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7.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5.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6.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7.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8.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9.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0.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1.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2.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3.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4.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5.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6.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7.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8.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9.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0.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1.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2.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3.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4.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5.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6.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7.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8.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9.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70.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71.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2.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3.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4.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5.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6.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7.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8.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9.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80.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81.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2.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3.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4.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5.xml" ContentType="application/vnd.openxmlformats-officedocument.drawingml.chart+xml"/>
  <Override PartName="/word/charts/style83.xml" ContentType="application/vnd.ms-office.chartstyle+xml"/>
  <Override PartName="/word/charts/colors83.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86.xml" ContentType="application/vnd.openxmlformats-officedocument.drawingml.chart+xml"/>
  <Override PartName="/word/charts/style84.xml" ContentType="application/vnd.ms-office.chartstyle+xml"/>
  <Override PartName="/word/charts/colors84.xml" ContentType="application/vnd.ms-office.chartcolorstyle+xml"/>
  <Override PartName="/word/drawings/drawing8.xml" ContentType="application/vnd.openxmlformats-officedocument.drawingml.chartshapes+xml"/>
  <Override PartName="/word/charts/chart87.xml" ContentType="application/vnd.openxmlformats-officedocument.drawingml.chart+xml"/>
  <Override PartName="/word/charts/style85.xml" ContentType="application/vnd.ms-office.chartstyle+xml"/>
  <Override PartName="/word/charts/colors85.xml" ContentType="application/vnd.ms-office.chartcolorstyle+xml"/>
  <Override PartName="/word/drawings/drawing9.xml" ContentType="application/vnd.openxmlformats-officedocument.drawingml.chartshapes+xml"/>
  <Override PartName="/word/charts/chart88.xml" ContentType="application/vnd.openxmlformats-officedocument.drawingml.chart+xml"/>
  <Override PartName="/word/charts/style86.xml" ContentType="application/vnd.ms-office.chartstyle+xml"/>
  <Override PartName="/word/charts/colors86.xml" ContentType="application/vnd.ms-office.chartcolorstyle+xml"/>
  <Override PartName="/word/drawings/drawing10.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89.xml" ContentType="application/vnd.openxmlformats-officedocument.drawingml.chart+xml"/>
  <Override PartName="/word/charts/style87.xml" ContentType="application/vnd.ms-office.chartstyle+xml"/>
  <Override PartName="/word/charts/colors87.xml" ContentType="application/vnd.ms-office.chartcolorstyle+xml"/>
  <Override PartName="/word/drawings/drawing11.xml" ContentType="application/vnd.openxmlformats-officedocument.drawingml.chartshapes+xml"/>
  <Override PartName="/word/charts/chart90.xml" ContentType="application/vnd.openxmlformats-officedocument.drawingml.chart+xml"/>
  <Override PartName="/word/charts/style88.xml" ContentType="application/vnd.ms-office.chartstyle+xml"/>
  <Override PartName="/word/charts/colors88.xml" ContentType="application/vnd.ms-office.chartcolorstyle+xml"/>
  <Override PartName="/word/drawings/drawing12.xml" ContentType="application/vnd.openxmlformats-officedocument.drawingml.chartshapes+xml"/>
  <Override PartName="/word/charts/chart91.xml" ContentType="application/vnd.openxmlformats-officedocument.drawingml.chart+xml"/>
  <Override PartName="/word/charts/style89.xml" ContentType="application/vnd.ms-office.chartstyle+xml"/>
  <Override PartName="/word/charts/colors89.xml" ContentType="application/vnd.ms-office.chartcolorstyle+xml"/>
  <Override PartName="/word/drawings/drawing13.xml" ContentType="application/vnd.openxmlformats-officedocument.drawingml.chartshapes+xml"/>
  <Override PartName="/word/charts/chart92.xml" ContentType="application/vnd.openxmlformats-officedocument.drawingml.chart+xml"/>
  <Override PartName="/word/drawings/drawing14.xml" ContentType="application/vnd.openxmlformats-officedocument.drawingml.chartshapes+xml"/>
  <Override PartName="/word/charts/chart93.xml" ContentType="application/vnd.openxmlformats-officedocument.drawingml.chart+xml"/>
  <Override PartName="/word/charts/style90.xml" ContentType="application/vnd.ms-office.chartstyle+xml"/>
  <Override PartName="/word/charts/colors90.xml" ContentType="application/vnd.ms-office.chartcolorstyle+xml"/>
  <Override PartName="/word/drawings/drawing15.xml" ContentType="application/vnd.openxmlformats-officedocument.drawingml.chartshapes+xml"/>
  <Override PartName="/word/charts/chart94.xml" ContentType="application/vnd.openxmlformats-officedocument.drawingml.chart+xml"/>
  <Override PartName="/word/charts/style91.xml" ContentType="application/vnd.ms-office.chartstyle+xml"/>
  <Override PartName="/word/charts/colors91.xml" ContentType="application/vnd.ms-office.chartcolorstyle+xml"/>
  <Override PartName="/word/drawings/drawing16.xml" ContentType="application/vnd.openxmlformats-officedocument.drawingml.chartshapes+xml"/>
  <Override PartName="/word/charts/chart95.xml" ContentType="application/vnd.openxmlformats-officedocument.drawingml.chart+xml"/>
  <Override PartName="/word/charts/style92.xml" ContentType="application/vnd.ms-office.chartstyle+xml"/>
  <Override PartName="/word/charts/colors92.xml" ContentType="application/vnd.ms-office.chartcolorstyle+xml"/>
  <Override PartName="/word/drawings/drawing17.xml" ContentType="application/vnd.openxmlformats-officedocument.drawingml.chartshapes+xml"/>
  <Override PartName="/word/charts/chart96.xml" ContentType="application/vnd.openxmlformats-officedocument.drawingml.chart+xml"/>
  <Override PartName="/word/charts/style93.xml" ContentType="application/vnd.ms-office.chartstyle+xml"/>
  <Override PartName="/word/charts/colors93.xml" ContentType="application/vnd.ms-office.chartcolorstyle+xml"/>
  <Override PartName="/word/drawings/drawing18.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B7525" w14:textId="71F042FA" w:rsidR="00F77FAC" w:rsidRDefault="00F77FAC" w:rsidP="00F77FAC">
      <w:pPr>
        <w:spacing w:after="0"/>
        <w:jc w:val="center"/>
        <w:rPr>
          <w:rFonts w:cs="Arial"/>
          <w:b/>
          <w:color w:val="1F497D" w:themeColor="text2"/>
          <w:sz w:val="28"/>
        </w:rPr>
      </w:pPr>
      <w:bookmarkStart w:id="0" w:name="_GoBack"/>
      <w:bookmarkEnd w:id="0"/>
      <w:r w:rsidRPr="00DE2F99">
        <w:rPr>
          <w:rFonts w:cstheme="minorHAnsi"/>
          <w:noProof/>
        </w:rPr>
        <w:drawing>
          <wp:inline distT="0" distB="0" distL="0" distR="0" wp14:anchorId="07D0CAB6" wp14:editId="6FFD55AC">
            <wp:extent cx="969010" cy="933450"/>
            <wp:effectExtent l="0" t="0" r="0" b="0"/>
            <wp:docPr id="1" name="Εικόνα 1" descr="thi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eos"/>
                    <pic:cNvPicPr>
                      <a:picLocks noChangeAspect="1" noChangeArrowheads="1"/>
                    </pic:cNvPicPr>
                  </pic:nvPicPr>
                  <pic:blipFill>
                    <a:blip r:embed="rId9" cstate="print"/>
                    <a:srcRect/>
                    <a:stretch>
                      <a:fillRect/>
                    </a:stretch>
                  </pic:blipFill>
                  <pic:spPr bwMode="auto">
                    <a:xfrm>
                      <a:off x="0" y="0"/>
                      <a:ext cx="969548" cy="933968"/>
                    </a:xfrm>
                    <a:prstGeom prst="rect">
                      <a:avLst/>
                    </a:prstGeom>
                    <a:noFill/>
                    <a:ln w="9525">
                      <a:noFill/>
                      <a:miter lim="800000"/>
                      <a:headEnd/>
                      <a:tailEnd/>
                    </a:ln>
                  </pic:spPr>
                </pic:pic>
              </a:graphicData>
            </a:graphic>
          </wp:inline>
        </w:drawing>
      </w:r>
    </w:p>
    <w:p w14:paraId="2BBD1EA3" w14:textId="29FB114F" w:rsidR="00921C34" w:rsidRPr="00CA0869" w:rsidRDefault="00921C34" w:rsidP="00B77469">
      <w:pPr>
        <w:spacing w:after="0" w:line="276" w:lineRule="auto"/>
        <w:jc w:val="center"/>
        <w:rPr>
          <w:rFonts w:cs="Arial"/>
          <w:b/>
          <w:color w:val="2F5496"/>
          <w:sz w:val="28"/>
        </w:rPr>
      </w:pPr>
      <w:r w:rsidRPr="00CA0869">
        <w:rPr>
          <w:rFonts w:cs="Arial"/>
          <w:b/>
          <w:color w:val="2F5496"/>
          <w:sz w:val="28"/>
        </w:rPr>
        <w:t>ΕΛΛΗΝΙΚΗ ΔΗΜΟΚΡΑΤΙΑ</w:t>
      </w:r>
    </w:p>
    <w:p w14:paraId="1F3B0B52" w14:textId="0805051B" w:rsidR="00F77FAC" w:rsidRPr="00CA0869" w:rsidRDefault="00F77FAC" w:rsidP="00B77469">
      <w:pPr>
        <w:spacing w:after="0" w:line="276" w:lineRule="auto"/>
        <w:jc w:val="center"/>
        <w:rPr>
          <w:rFonts w:cs="Arial"/>
          <w:b/>
          <w:color w:val="2F5496"/>
          <w:sz w:val="28"/>
        </w:rPr>
      </w:pPr>
      <w:r w:rsidRPr="00CA0869">
        <w:rPr>
          <w:rFonts w:cs="Arial"/>
          <w:b/>
          <w:color w:val="2F5496"/>
          <w:sz w:val="28"/>
        </w:rPr>
        <w:t>ΥΠΟΥΡΓΕΙΟ ΕΘΝΙΚΗΣ ΟΙΚΟΝΟΜΙΑΣ</w:t>
      </w:r>
      <w:r w:rsidR="00CA0869" w:rsidRPr="00CA0869">
        <w:rPr>
          <w:rFonts w:cs="Arial"/>
          <w:b/>
          <w:color w:val="2F5496"/>
          <w:sz w:val="28"/>
        </w:rPr>
        <w:t xml:space="preserve"> </w:t>
      </w:r>
      <w:r w:rsidRPr="00CA0869">
        <w:rPr>
          <w:rFonts w:cs="Arial"/>
          <w:b/>
          <w:color w:val="2F5496"/>
          <w:sz w:val="28"/>
        </w:rPr>
        <w:t>ΚΑΙ ΟΙΚΟΝΟΜΙΚΩΝ</w:t>
      </w:r>
    </w:p>
    <w:p w14:paraId="5DEBC712" w14:textId="6A167C7D" w:rsidR="00E77298" w:rsidRPr="00BB45DA" w:rsidRDefault="00E77298" w:rsidP="00E77298">
      <w:pPr>
        <w:spacing w:after="160" w:line="259" w:lineRule="auto"/>
        <w:jc w:val="center"/>
        <w:rPr>
          <w:rFonts w:eastAsia="Calibri" w:cs="Arial"/>
          <w:b/>
          <w:color w:val="365F91" w:themeColor="accent1" w:themeShade="BF"/>
          <w:sz w:val="24"/>
          <w:lang w:eastAsia="en-US"/>
        </w:rPr>
      </w:pPr>
    </w:p>
    <w:p w14:paraId="606D52F9" w14:textId="50A2AF6F" w:rsidR="00706FE6" w:rsidRDefault="00706FE6" w:rsidP="00E77298">
      <w:pPr>
        <w:spacing w:after="160" w:line="259" w:lineRule="auto"/>
        <w:jc w:val="center"/>
        <w:rPr>
          <w:rFonts w:eastAsia="Calibri" w:cs="Arial"/>
          <w:b/>
          <w:color w:val="2F5496"/>
          <w:sz w:val="24"/>
          <w:lang w:eastAsia="en-US"/>
        </w:rPr>
      </w:pPr>
    </w:p>
    <w:p w14:paraId="0C311993" w14:textId="77777777" w:rsidR="007F207D" w:rsidRPr="00E77298" w:rsidRDefault="007F207D" w:rsidP="00E77298">
      <w:pPr>
        <w:spacing w:after="160" w:line="259" w:lineRule="auto"/>
        <w:jc w:val="center"/>
        <w:rPr>
          <w:rFonts w:eastAsia="Calibri" w:cs="Arial"/>
          <w:b/>
          <w:color w:val="2F5496"/>
          <w:sz w:val="24"/>
          <w:lang w:eastAsia="en-US"/>
        </w:rPr>
      </w:pPr>
    </w:p>
    <w:p w14:paraId="4B0BEB59" w14:textId="03FB93C6" w:rsidR="00080B4F" w:rsidRPr="00CA0869" w:rsidRDefault="00080B4F" w:rsidP="00B77469">
      <w:pPr>
        <w:spacing w:after="0" w:line="276" w:lineRule="auto"/>
        <w:jc w:val="center"/>
        <w:rPr>
          <w:rFonts w:eastAsia="Calibri" w:cs="Arial"/>
          <w:b/>
          <w:color w:val="1F3864"/>
          <w:spacing w:val="80"/>
          <w:sz w:val="56"/>
          <w:szCs w:val="56"/>
          <w:lang w:eastAsia="en-US"/>
        </w:rPr>
      </w:pPr>
      <w:r w:rsidRPr="00CA0869">
        <w:rPr>
          <w:rFonts w:eastAsia="Calibri" w:cs="Arial"/>
          <w:b/>
          <w:color w:val="1F3864"/>
          <w:spacing w:val="80"/>
          <w:sz w:val="56"/>
          <w:szCs w:val="56"/>
          <w:lang w:eastAsia="en-US"/>
        </w:rPr>
        <w:t xml:space="preserve">Εισηγητική Έκθεση </w:t>
      </w:r>
    </w:p>
    <w:p w14:paraId="5D150B26" w14:textId="5624BFCD" w:rsidR="00E77298" w:rsidRDefault="00080B4F" w:rsidP="00B77469">
      <w:pPr>
        <w:spacing w:after="0" w:line="276" w:lineRule="auto"/>
        <w:jc w:val="center"/>
        <w:rPr>
          <w:rFonts w:eastAsia="Calibri" w:cs="Arial"/>
          <w:b/>
          <w:color w:val="1F3864"/>
          <w:spacing w:val="80"/>
          <w:sz w:val="56"/>
          <w:szCs w:val="56"/>
          <w:lang w:eastAsia="en-US"/>
        </w:rPr>
      </w:pPr>
      <w:r w:rsidRPr="00CA0869">
        <w:rPr>
          <w:rFonts w:eastAsia="Calibri" w:cs="Arial"/>
          <w:b/>
          <w:color w:val="1F3864"/>
          <w:spacing w:val="80"/>
          <w:sz w:val="56"/>
          <w:szCs w:val="56"/>
          <w:lang w:eastAsia="en-US"/>
        </w:rPr>
        <w:t>Προϋπολογισμού</w:t>
      </w:r>
    </w:p>
    <w:p w14:paraId="15531478" w14:textId="2C5283B1" w:rsidR="007F207D" w:rsidRPr="00E77298" w:rsidRDefault="007F207D" w:rsidP="00B77469">
      <w:pPr>
        <w:spacing w:after="0" w:line="276" w:lineRule="auto"/>
        <w:jc w:val="center"/>
        <w:rPr>
          <w:rFonts w:eastAsia="Calibri" w:cs="Arial"/>
          <w:b/>
          <w:color w:val="2F5496"/>
          <w:sz w:val="24"/>
          <w:lang w:eastAsia="en-US"/>
        </w:rPr>
      </w:pPr>
      <w:r>
        <w:rPr>
          <w:rFonts w:eastAsia="Calibri" w:cs="Arial"/>
          <w:b/>
          <w:noProof/>
          <w:color w:val="2F5496"/>
          <w:sz w:val="24"/>
          <w:lang w:eastAsia="en-US"/>
        </w:rPr>
        <mc:AlternateContent>
          <mc:Choice Requires="wps">
            <w:drawing>
              <wp:anchor distT="0" distB="0" distL="114300" distR="114300" simplePos="0" relativeHeight="251660288" behindDoc="0" locked="0" layoutInCell="1" allowOverlap="1" wp14:anchorId="5DC5A995" wp14:editId="2D6ECFEC">
                <wp:simplePos x="0" y="0"/>
                <wp:positionH relativeFrom="page">
                  <wp:posOffset>-82996</wp:posOffset>
                </wp:positionH>
                <wp:positionV relativeFrom="page">
                  <wp:posOffset>4429026</wp:posOffset>
                </wp:positionV>
                <wp:extent cx="7642860" cy="866841"/>
                <wp:effectExtent l="0" t="0" r="0" b="9525"/>
                <wp:wrapNone/>
                <wp:docPr id="38" name="Πλαίσιο κειμένου 38"/>
                <wp:cNvGraphicFramePr/>
                <a:graphic xmlns:a="http://schemas.openxmlformats.org/drawingml/2006/main">
                  <a:graphicData uri="http://schemas.microsoft.com/office/word/2010/wordprocessingShape">
                    <wps:wsp>
                      <wps:cNvSpPr txBox="1"/>
                      <wps:spPr>
                        <a:xfrm>
                          <a:off x="0" y="0"/>
                          <a:ext cx="7642860" cy="866841"/>
                        </a:xfrm>
                        <a:prstGeom prst="rect">
                          <a:avLst/>
                        </a:prstGeom>
                        <a:solidFill>
                          <a:srgbClr val="D5DCE4"/>
                        </a:solidFill>
                        <a:ln w="6350">
                          <a:noFill/>
                        </a:ln>
                      </wps:spPr>
                      <wps:txbx>
                        <w:txbxContent>
                          <w:p w14:paraId="58CB55A8" w14:textId="7F7E7182" w:rsidR="001E7B61" w:rsidRPr="00CA0869" w:rsidRDefault="001E7B61" w:rsidP="00CA0869">
                            <w:pPr>
                              <w:spacing w:after="0" w:line="240" w:lineRule="auto"/>
                              <w:jc w:val="center"/>
                              <w:rPr>
                                <w:color w:val="1F3864"/>
                                <w:spacing w:val="40"/>
                                <w:sz w:val="104"/>
                                <w:szCs w:val="104"/>
                                <w:lang w:val="en-US"/>
                              </w:rPr>
                            </w:pPr>
                            <w:r w:rsidRPr="00CA0869">
                              <w:rPr>
                                <w:color w:val="1F3864"/>
                                <w:spacing w:val="40"/>
                                <w:sz w:val="104"/>
                                <w:szCs w:val="104"/>
                                <w:lang w:val="en-US"/>
                              </w:rPr>
                              <w:t>202</w:t>
                            </w:r>
                            <w:r>
                              <w:rPr>
                                <w:color w:val="1F3864"/>
                                <w:spacing w:val="40"/>
                                <w:sz w:val="104"/>
                                <w:szCs w:val="104"/>
                                <w:lang w:val="en-US"/>
                              </w:rPr>
                              <w:t>6</w:t>
                            </w:r>
                          </w:p>
                          <w:p w14:paraId="29DBC5D8" w14:textId="77777777" w:rsidR="001E7B61" w:rsidRDefault="001E7B6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5A995" id="_x0000_t202" coordsize="21600,21600" o:spt="202" path="m,l,21600r21600,l21600,xe">
                <v:stroke joinstyle="miter"/>
                <v:path gradientshapeok="t" o:connecttype="rect"/>
              </v:shapetype>
              <v:shape id="Πλαίσιο κειμένου 38" o:spid="_x0000_s1026" type="#_x0000_t202" style="position:absolute;left:0;text-align:left;margin-left:-6.55pt;margin-top:348.75pt;width:601.8pt;height:68.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" fillcolor="#d5dce4" stroked="f" strokeweight=".5pt">
                <v:textbox>
                  <w:txbxContent>
                    <w:p w14:paraId="58CB55A8" w14:textId="7F7E7182" w:rsidR="001E7B61" w:rsidRPr="00CA0869" w:rsidRDefault="001E7B61" w:rsidP="00CA0869">
                      <w:pPr>
                        <w:spacing w:after="0" w:line="240" w:lineRule="auto"/>
                        <w:jc w:val="center"/>
                        <w:rPr>
                          <w:color w:val="1F3864"/>
                          <w:spacing w:val="40"/>
                          <w:sz w:val="104"/>
                          <w:szCs w:val="104"/>
                          <w:lang w:val="en-US"/>
                        </w:rPr>
                      </w:pPr>
                      <w:r w:rsidRPr="00CA0869">
                        <w:rPr>
                          <w:color w:val="1F3864"/>
                          <w:spacing w:val="40"/>
                          <w:sz w:val="104"/>
                          <w:szCs w:val="104"/>
                          <w:lang w:val="en-US"/>
                        </w:rPr>
                        <w:t>202</w:t>
                      </w:r>
                      <w:r>
                        <w:rPr>
                          <w:color w:val="1F3864"/>
                          <w:spacing w:val="40"/>
                          <w:sz w:val="104"/>
                          <w:szCs w:val="104"/>
                          <w:lang w:val="en-US"/>
                        </w:rPr>
                        <w:t>6</w:t>
                      </w:r>
                    </w:p>
                    <w:p w14:paraId="29DBC5D8" w14:textId="77777777" w:rsidR="001E7B61" w:rsidRDefault="001E7B61"/>
                  </w:txbxContent>
                </v:textbox>
                <w10:wrap anchorx="page" anchory="page"/>
              </v:shape>
            </w:pict>
          </mc:Fallback>
        </mc:AlternateContent>
      </w:r>
    </w:p>
    <w:p w14:paraId="41DAEC4A" w14:textId="6DD55609" w:rsidR="00E77298" w:rsidRPr="007F207D" w:rsidRDefault="00E77298" w:rsidP="00E77298">
      <w:pPr>
        <w:spacing w:after="160" w:line="259" w:lineRule="auto"/>
        <w:jc w:val="center"/>
        <w:rPr>
          <w:rFonts w:eastAsia="Calibri" w:cs="Arial"/>
          <w:b/>
          <w:color w:val="2F5496"/>
          <w:sz w:val="28"/>
          <w:szCs w:val="28"/>
          <w:lang w:eastAsia="en-US"/>
        </w:rPr>
      </w:pPr>
    </w:p>
    <w:p w14:paraId="06A7A5D5" w14:textId="08B38D97" w:rsidR="00E77298" w:rsidRPr="00AD7476" w:rsidRDefault="00E77298" w:rsidP="00E77298">
      <w:pPr>
        <w:spacing w:after="160" w:line="259" w:lineRule="auto"/>
        <w:jc w:val="center"/>
        <w:rPr>
          <w:rFonts w:eastAsia="Calibri" w:cs="Arial"/>
          <w:b/>
          <w:color w:val="2F5496"/>
          <w:sz w:val="24"/>
          <w:lang w:eastAsia="en-US"/>
        </w:rPr>
      </w:pPr>
    </w:p>
    <w:p w14:paraId="33B8B130" w14:textId="7CB69E76" w:rsidR="00ED72AD" w:rsidRDefault="00ED72AD" w:rsidP="00E77298">
      <w:pPr>
        <w:spacing w:before="25" w:after="160" w:line="259" w:lineRule="auto"/>
        <w:ind w:right="84"/>
        <w:jc w:val="center"/>
        <w:rPr>
          <w:rFonts w:eastAsia="Arial" w:cs="Arial"/>
          <w:sz w:val="28"/>
          <w:szCs w:val="28"/>
          <w:lang w:eastAsia="en-US"/>
        </w:rPr>
      </w:pPr>
    </w:p>
    <w:p w14:paraId="0730399F" w14:textId="215147C5" w:rsidR="005D09AD" w:rsidRPr="007F207D" w:rsidRDefault="005D09AD" w:rsidP="00E77298">
      <w:pPr>
        <w:spacing w:before="25" w:after="160" w:line="259" w:lineRule="auto"/>
        <w:ind w:right="84"/>
        <w:jc w:val="center"/>
        <w:rPr>
          <w:rFonts w:eastAsia="Arial" w:cs="Arial"/>
          <w:sz w:val="28"/>
          <w:szCs w:val="28"/>
          <w:lang w:eastAsia="en-US"/>
        </w:rPr>
      </w:pPr>
    </w:p>
    <w:p w14:paraId="4D913D2E" w14:textId="4A1EE7E5" w:rsidR="00AD7476" w:rsidRDefault="00AD7476" w:rsidP="00E77298">
      <w:pPr>
        <w:spacing w:before="25" w:after="160" w:line="259" w:lineRule="auto"/>
        <w:ind w:right="84"/>
        <w:jc w:val="center"/>
        <w:rPr>
          <w:rFonts w:eastAsia="Arial" w:cs="Arial"/>
          <w:sz w:val="28"/>
          <w:szCs w:val="28"/>
          <w:lang w:eastAsia="en-US"/>
        </w:rPr>
      </w:pPr>
    </w:p>
    <w:p w14:paraId="1EB3253E" w14:textId="77777777" w:rsidR="007F207D" w:rsidRPr="007F207D" w:rsidRDefault="007F207D" w:rsidP="00E77298">
      <w:pPr>
        <w:spacing w:before="25" w:after="160" w:line="259" w:lineRule="auto"/>
        <w:ind w:right="84"/>
        <w:jc w:val="center"/>
        <w:rPr>
          <w:rFonts w:eastAsia="Arial" w:cs="Arial"/>
          <w:sz w:val="28"/>
          <w:szCs w:val="28"/>
          <w:lang w:eastAsia="en-US"/>
        </w:rPr>
      </w:pPr>
    </w:p>
    <w:p w14:paraId="012FE75C" w14:textId="62ED3B5A" w:rsidR="00EC30A1" w:rsidRDefault="00E77298" w:rsidP="00B77469">
      <w:pPr>
        <w:spacing w:after="0" w:line="276" w:lineRule="auto"/>
        <w:ind w:right="85"/>
        <w:jc w:val="center"/>
        <w:rPr>
          <w:rFonts w:eastAsia="Arial" w:cs="Arial"/>
          <w:b/>
          <w:spacing w:val="3"/>
          <w:sz w:val="28"/>
          <w:szCs w:val="28"/>
          <w:lang w:eastAsia="en-US"/>
        </w:rPr>
      </w:pPr>
      <w:r w:rsidRPr="00E77298">
        <w:rPr>
          <w:rFonts w:eastAsia="Arial" w:cs="Arial"/>
          <w:sz w:val="28"/>
          <w:szCs w:val="28"/>
          <w:lang w:eastAsia="en-US"/>
        </w:rPr>
        <w:t>Κατ</w:t>
      </w:r>
      <w:r w:rsidRPr="00E77298">
        <w:rPr>
          <w:rFonts w:eastAsia="Arial" w:cs="Arial"/>
          <w:spacing w:val="1"/>
          <w:sz w:val="28"/>
          <w:szCs w:val="28"/>
          <w:lang w:eastAsia="en-US"/>
        </w:rPr>
        <w:t>α</w:t>
      </w:r>
      <w:r w:rsidRPr="00E77298">
        <w:rPr>
          <w:rFonts w:eastAsia="Arial" w:cs="Arial"/>
          <w:sz w:val="28"/>
          <w:szCs w:val="28"/>
          <w:lang w:eastAsia="en-US"/>
        </w:rPr>
        <w:t>τ</w:t>
      </w:r>
      <w:r w:rsidRPr="00E77298">
        <w:rPr>
          <w:rFonts w:eastAsia="Arial" w:cs="Arial"/>
          <w:spacing w:val="-1"/>
          <w:sz w:val="28"/>
          <w:szCs w:val="28"/>
          <w:lang w:eastAsia="en-US"/>
        </w:rPr>
        <w:t>έ</w:t>
      </w:r>
      <w:r w:rsidRPr="00E77298">
        <w:rPr>
          <w:rFonts w:eastAsia="Arial" w:cs="Arial"/>
          <w:sz w:val="28"/>
          <w:szCs w:val="28"/>
          <w:lang w:eastAsia="en-US"/>
        </w:rPr>
        <w:t>θ</w:t>
      </w:r>
      <w:r w:rsidRPr="00E77298">
        <w:rPr>
          <w:rFonts w:eastAsia="Arial" w:cs="Arial"/>
          <w:spacing w:val="-3"/>
          <w:sz w:val="28"/>
          <w:szCs w:val="28"/>
          <w:lang w:eastAsia="en-US"/>
        </w:rPr>
        <w:t>η</w:t>
      </w:r>
      <w:r w:rsidRPr="00E77298">
        <w:rPr>
          <w:rFonts w:eastAsia="Arial" w:cs="Arial"/>
          <w:spacing w:val="1"/>
          <w:sz w:val="28"/>
          <w:szCs w:val="28"/>
          <w:lang w:eastAsia="en-US"/>
        </w:rPr>
        <w:t>κ</w:t>
      </w:r>
      <w:r w:rsidRPr="00E77298">
        <w:rPr>
          <w:rFonts w:eastAsia="Arial" w:cs="Arial"/>
          <w:sz w:val="28"/>
          <w:szCs w:val="28"/>
          <w:lang w:eastAsia="en-US"/>
        </w:rPr>
        <w:t>ε</w:t>
      </w:r>
      <w:r w:rsidRPr="00E77298">
        <w:rPr>
          <w:rFonts w:eastAsia="Arial" w:cs="Arial"/>
          <w:spacing w:val="-1"/>
          <w:sz w:val="28"/>
          <w:szCs w:val="28"/>
          <w:lang w:eastAsia="en-US"/>
        </w:rPr>
        <w:t xml:space="preserve"> </w:t>
      </w:r>
      <w:r w:rsidRPr="00E77298">
        <w:rPr>
          <w:rFonts w:eastAsia="Arial" w:cs="Arial"/>
          <w:sz w:val="28"/>
          <w:szCs w:val="28"/>
          <w:lang w:eastAsia="en-US"/>
        </w:rPr>
        <w:t>σ</w:t>
      </w:r>
      <w:r w:rsidRPr="00E77298">
        <w:rPr>
          <w:rFonts w:eastAsia="Arial" w:cs="Arial"/>
          <w:spacing w:val="-1"/>
          <w:sz w:val="28"/>
          <w:szCs w:val="28"/>
          <w:lang w:eastAsia="en-US"/>
        </w:rPr>
        <w:t>τ</w:t>
      </w:r>
      <w:r w:rsidRPr="00E77298">
        <w:rPr>
          <w:rFonts w:eastAsia="Arial" w:cs="Arial"/>
          <w:sz w:val="28"/>
          <w:szCs w:val="28"/>
          <w:lang w:eastAsia="en-US"/>
        </w:rPr>
        <w:t>η</w:t>
      </w:r>
      <w:r w:rsidRPr="00E77298">
        <w:rPr>
          <w:rFonts w:eastAsia="Arial" w:cs="Arial"/>
          <w:spacing w:val="3"/>
          <w:sz w:val="28"/>
          <w:szCs w:val="28"/>
          <w:lang w:eastAsia="en-US"/>
        </w:rPr>
        <w:t xml:space="preserve"> </w:t>
      </w:r>
      <w:r w:rsidRPr="00E77298">
        <w:rPr>
          <w:rFonts w:eastAsia="Arial" w:cs="Arial"/>
          <w:b/>
          <w:spacing w:val="-1"/>
          <w:sz w:val="28"/>
          <w:szCs w:val="28"/>
          <w:lang w:eastAsia="en-US"/>
        </w:rPr>
        <w:t>Β</w:t>
      </w:r>
      <w:r w:rsidRPr="00E77298">
        <w:rPr>
          <w:rFonts w:eastAsia="Arial" w:cs="Arial"/>
          <w:b/>
          <w:spacing w:val="-4"/>
          <w:sz w:val="28"/>
          <w:szCs w:val="28"/>
          <w:lang w:eastAsia="en-US"/>
        </w:rPr>
        <w:t>ο</w:t>
      </w:r>
      <w:r w:rsidRPr="00E77298">
        <w:rPr>
          <w:rFonts w:eastAsia="Arial" w:cs="Arial"/>
          <w:b/>
          <w:sz w:val="28"/>
          <w:szCs w:val="28"/>
          <w:lang w:eastAsia="en-US"/>
        </w:rPr>
        <w:t>υλή των</w:t>
      </w:r>
      <w:r w:rsidRPr="00E77298">
        <w:rPr>
          <w:rFonts w:eastAsia="Arial" w:cs="Arial"/>
          <w:b/>
          <w:spacing w:val="-1"/>
          <w:sz w:val="28"/>
          <w:szCs w:val="28"/>
          <w:lang w:eastAsia="en-US"/>
        </w:rPr>
        <w:t xml:space="preserve"> </w:t>
      </w:r>
      <w:r w:rsidRPr="00E77298">
        <w:rPr>
          <w:rFonts w:eastAsia="Arial" w:cs="Arial"/>
          <w:b/>
          <w:sz w:val="28"/>
          <w:szCs w:val="28"/>
          <w:lang w:eastAsia="en-US"/>
        </w:rPr>
        <w:t>Ελλ</w:t>
      </w:r>
      <w:r w:rsidRPr="00E77298">
        <w:rPr>
          <w:rFonts w:eastAsia="Arial" w:cs="Arial"/>
          <w:b/>
          <w:spacing w:val="-1"/>
          <w:sz w:val="28"/>
          <w:szCs w:val="28"/>
          <w:lang w:eastAsia="en-US"/>
        </w:rPr>
        <w:t>ή</w:t>
      </w:r>
      <w:r w:rsidRPr="00E77298">
        <w:rPr>
          <w:rFonts w:eastAsia="Arial" w:cs="Arial"/>
          <w:b/>
          <w:spacing w:val="-3"/>
          <w:sz w:val="28"/>
          <w:szCs w:val="28"/>
          <w:lang w:eastAsia="en-US"/>
        </w:rPr>
        <w:t>ν</w:t>
      </w:r>
      <w:r w:rsidRPr="00E77298">
        <w:rPr>
          <w:rFonts w:eastAsia="Arial" w:cs="Arial"/>
          <w:b/>
          <w:sz w:val="28"/>
          <w:szCs w:val="28"/>
          <w:lang w:eastAsia="en-US"/>
        </w:rPr>
        <w:t>ων</w:t>
      </w:r>
      <w:r w:rsidRPr="00E77298">
        <w:rPr>
          <w:rFonts w:eastAsia="Arial" w:cs="Arial"/>
          <w:b/>
          <w:spacing w:val="3"/>
          <w:sz w:val="28"/>
          <w:szCs w:val="28"/>
          <w:lang w:eastAsia="en-US"/>
        </w:rPr>
        <w:t xml:space="preserve"> </w:t>
      </w:r>
    </w:p>
    <w:p w14:paraId="5CAE1775" w14:textId="7679B5DE" w:rsidR="00AD7476" w:rsidRDefault="00E77298" w:rsidP="007F207D">
      <w:pPr>
        <w:spacing w:after="0" w:line="276" w:lineRule="auto"/>
        <w:ind w:right="85"/>
        <w:jc w:val="center"/>
        <w:rPr>
          <w:rFonts w:eastAsia="Arial" w:cs="Arial"/>
          <w:sz w:val="28"/>
          <w:szCs w:val="28"/>
          <w:lang w:eastAsia="en-US"/>
        </w:rPr>
      </w:pPr>
      <w:r w:rsidRPr="00E77298">
        <w:rPr>
          <w:rFonts w:eastAsia="Arial" w:cs="Arial"/>
          <w:spacing w:val="-1"/>
          <w:sz w:val="28"/>
          <w:szCs w:val="28"/>
          <w:lang w:eastAsia="en-US"/>
        </w:rPr>
        <w:t>α</w:t>
      </w:r>
      <w:r w:rsidRPr="00E77298">
        <w:rPr>
          <w:rFonts w:eastAsia="Arial" w:cs="Arial"/>
          <w:sz w:val="28"/>
          <w:szCs w:val="28"/>
          <w:lang w:eastAsia="en-US"/>
        </w:rPr>
        <w:t xml:space="preserve">πό </w:t>
      </w:r>
      <w:r w:rsidRPr="00E77298">
        <w:rPr>
          <w:rFonts w:eastAsia="Arial" w:cs="Arial"/>
          <w:spacing w:val="2"/>
          <w:sz w:val="28"/>
          <w:szCs w:val="28"/>
          <w:lang w:eastAsia="en-US"/>
        </w:rPr>
        <w:t>τ</w:t>
      </w:r>
      <w:r w:rsidRPr="00E77298">
        <w:rPr>
          <w:rFonts w:eastAsia="Arial" w:cs="Arial"/>
          <w:sz w:val="28"/>
          <w:szCs w:val="28"/>
          <w:lang w:eastAsia="en-US"/>
        </w:rPr>
        <w:t>ον</w:t>
      </w:r>
      <w:r w:rsidR="00EC30A1">
        <w:rPr>
          <w:rFonts w:eastAsia="Arial" w:cs="Arial"/>
          <w:sz w:val="28"/>
          <w:szCs w:val="28"/>
          <w:lang w:eastAsia="en-US"/>
        </w:rPr>
        <w:t xml:space="preserve"> </w:t>
      </w:r>
    </w:p>
    <w:p w14:paraId="72467F4A" w14:textId="62FC14D8" w:rsidR="00F77FAC" w:rsidRPr="00497390" w:rsidRDefault="00F77FAC" w:rsidP="00B77469">
      <w:pPr>
        <w:spacing w:after="0" w:line="276" w:lineRule="auto"/>
        <w:ind w:right="85"/>
        <w:jc w:val="center"/>
        <w:rPr>
          <w:rFonts w:eastAsia="Arial" w:cs="Arial"/>
          <w:sz w:val="28"/>
          <w:szCs w:val="28"/>
        </w:rPr>
      </w:pPr>
      <w:r>
        <w:rPr>
          <w:rFonts w:eastAsia="Arial" w:cs="Arial"/>
          <w:b/>
          <w:spacing w:val="-1"/>
          <w:sz w:val="28"/>
          <w:szCs w:val="28"/>
        </w:rPr>
        <w:t>Κ</w:t>
      </w:r>
      <w:r w:rsidR="002F7A6D">
        <w:rPr>
          <w:rFonts w:eastAsia="Arial" w:cs="Arial"/>
          <w:b/>
          <w:spacing w:val="-1"/>
          <w:sz w:val="28"/>
          <w:szCs w:val="28"/>
        </w:rPr>
        <w:t>υριάκο Πιερρακάκη</w:t>
      </w:r>
    </w:p>
    <w:p w14:paraId="08B0F9D9" w14:textId="2A0A38FA" w:rsidR="00F77FAC" w:rsidRPr="005D09AD" w:rsidRDefault="00F77FAC" w:rsidP="00B77469">
      <w:pPr>
        <w:spacing w:after="0" w:line="276" w:lineRule="auto"/>
        <w:ind w:right="85"/>
        <w:jc w:val="center"/>
        <w:rPr>
          <w:rFonts w:eastAsia="Arial" w:cs="Arial"/>
          <w:sz w:val="28"/>
          <w:szCs w:val="28"/>
        </w:rPr>
      </w:pPr>
      <w:r w:rsidRPr="005D09AD">
        <w:rPr>
          <w:rFonts w:eastAsia="Arial" w:cs="Arial"/>
          <w:spacing w:val="-3"/>
          <w:position w:val="-1"/>
          <w:sz w:val="28"/>
          <w:szCs w:val="28"/>
        </w:rPr>
        <w:t>Υ</w:t>
      </w:r>
      <w:r w:rsidRPr="005D09AD">
        <w:rPr>
          <w:rFonts w:eastAsia="Arial" w:cs="Arial"/>
          <w:position w:val="-1"/>
          <w:sz w:val="28"/>
          <w:szCs w:val="28"/>
        </w:rPr>
        <w:t>που</w:t>
      </w:r>
      <w:r w:rsidRPr="005D09AD">
        <w:rPr>
          <w:rFonts w:eastAsia="Arial" w:cs="Arial"/>
          <w:spacing w:val="1"/>
          <w:position w:val="-1"/>
          <w:sz w:val="28"/>
          <w:szCs w:val="28"/>
        </w:rPr>
        <w:t>ργ</w:t>
      </w:r>
      <w:r w:rsidRPr="005D09AD">
        <w:rPr>
          <w:rFonts w:eastAsia="Arial" w:cs="Arial"/>
          <w:position w:val="-1"/>
          <w:sz w:val="28"/>
          <w:szCs w:val="28"/>
        </w:rPr>
        <w:t xml:space="preserve">ό Εθνικής </w:t>
      </w:r>
      <w:r w:rsidRPr="005D09AD">
        <w:rPr>
          <w:rFonts w:eastAsia="Arial" w:cs="Arial"/>
          <w:spacing w:val="-1"/>
          <w:sz w:val="28"/>
          <w:szCs w:val="28"/>
          <w:lang w:eastAsia="en-US"/>
        </w:rPr>
        <w:t>Οικονομίας</w:t>
      </w:r>
      <w:r w:rsidRPr="005D09AD">
        <w:rPr>
          <w:rFonts w:eastAsia="Arial" w:cs="Arial"/>
          <w:position w:val="-1"/>
          <w:sz w:val="28"/>
          <w:szCs w:val="28"/>
        </w:rPr>
        <w:t xml:space="preserve"> και</w:t>
      </w:r>
      <w:r w:rsidRPr="005D09AD">
        <w:rPr>
          <w:rFonts w:eastAsia="Arial" w:cs="Arial"/>
          <w:spacing w:val="-1"/>
          <w:position w:val="-1"/>
          <w:sz w:val="28"/>
          <w:szCs w:val="28"/>
        </w:rPr>
        <w:t xml:space="preserve"> </w:t>
      </w:r>
      <w:r w:rsidRPr="005D09AD">
        <w:rPr>
          <w:rFonts w:eastAsia="Arial" w:cs="Arial"/>
          <w:position w:val="-1"/>
          <w:sz w:val="28"/>
          <w:szCs w:val="28"/>
        </w:rPr>
        <w:t>Ο</w:t>
      </w:r>
      <w:r w:rsidRPr="005D09AD">
        <w:rPr>
          <w:rFonts w:eastAsia="Arial" w:cs="Arial"/>
          <w:spacing w:val="-3"/>
          <w:position w:val="-1"/>
          <w:sz w:val="28"/>
          <w:szCs w:val="28"/>
        </w:rPr>
        <w:t>ι</w:t>
      </w:r>
      <w:r w:rsidRPr="005D09AD">
        <w:rPr>
          <w:rFonts w:eastAsia="Arial" w:cs="Arial"/>
          <w:spacing w:val="1"/>
          <w:position w:val="-1"/>
          <w:sz w:val="28"/>
          <w:szCs w:val="28"/>
        </w:rPr>
        <w:t>κ</w:t>
      </w:r>
      <w:r w:rsidRPr="005D09AD">
        <w:rPr>
          <w:rFonts w:eastAsia="Arial" w:cs="Arial"/>
          <w:position w:val="-1"/>
          <w:sz w:val="28"/>
          <w:szCs w:val="28"/>
        </w:rPr>
        <w:t>ο</w:t>
      </w:r>
      <w:r w:rsidRPr="005D09AD">
        <w:rPr>
          <w:rFonts w:eastAsia="Arial" w:cs="Arial"/>
          <w:spacing w:val="-4"/>
          <w:position w:val="-1"/>
          <w:sz w:val="28"/>
          <w:szCs w:val="28"/>
        </w:rPr>
        <w:t>ν</w:t>
      </w:r>
      <w:r w:rsidRPr="005D09AD">
        <w:rPr>
          <w:rFonts w:eastAsia="Arial" w:cs="Arial"/>
          <w:position w:val="-1"/>
          <w:sz w:val="28"/>
          <w:szCs w:val="28"/>
        </w:rPr>
        <w:t>ο</w:t>
      </w:r>
      <w:r w:rsidRPr="005D09AD">
        <w:rPr>
          <w:rFonts w:eastAsia="Arial" w:cs="Arial"/>
          <w:spacing w:val="-1"/>
          <w:position w:val="-1"/>
          <w:sz w:val="28"/>
          <w:szCs w:val="28"/>
        </w:rPr>
        <w:t>μ</w:t>
      </w:r>
      <w:r w:rsidRPr="005D09AD">
        <w:rPr>
          <w:rFonts w:eastAsia="Arial" w:cs="Arial"/>
          <w:position w:val="-1"/>
          <w:sz w:val="28"/>
          <w:szCs w:val="28"/>
        </w:rPr>
        <w:t>ι</w:t>
      </w:r>
      <w:r w:rsidRPr="005D09AD">
        <w:rPr>
          <w:rFonts w:eastAsia="Arial" w:cs="Arial"/>
          <w:spacing w:val="1"/>
          <w:position w:val="-1"/>
          <w:sz w:val="28"/>
          <w:szCs w:val="28"/>
        </w:rPr>
        <w:t>κ</w:t>
      </w:r>
      <w:r w:rsidRPr="005D09AD">
        <w:rPr>
          <w:rFonts w:eastAsia="Arial" w:cs="Arial"/>
          <w:spacing w:val="-1"/>
          <w:position w:val="-1"/>
          <w:sz w:val="28"/>
          <w:szCs w:val="28"/>
        </w:rPr>
        <w:t>ώ</w:t>
      </w:r>
      <w:r w:rsidRPr="005D09AD">
        <w:rPr>
          <w:rFonts w:eastAsia="Arial" w:cs="Arial"/>
          <w:position w:val="-1"/>
          <w:sz w:val="28"/>
          <w:szCs w:val="28"/>
        </w:rPr>
        <w:t>ν</w:t>
      </w:r>
    </w:p>
    <w:p w14:paraId="7B312840" w14:textId="0FD180C6" w:rsidR="00E77298" w:rsidRPr="00E77298" w:rsidRDefault="00E77298" w:rsidP="00E77298">
      <w:pPr>
        <w:spacing w:before="25" w:after="160" w:line="259" w:lineRule="auto"/>
        <w:ind w:right="84"/>
        <w:jc w:val="center"/>
        <w:rPr>
          <w:rFonts w:eastAsia="Arial" w:cs="Arial"/>
          <w:spacing w:val="-1"/>
          <w:sz w:val="28"/>
          <w:szCs w:val="28"/>
          <w:lang w:eastAsia="en-US"/>
        </w:rPr>
      </w:pPr>
    </w:p>
    <w:p w14:paraId="6DD8F970" w14:textId="203182CE" w:rsidR="00AD7476" w:rsidRDefault="00AD7476" w:rsidP="00E77298">
      <w:pPr>
        <w:spacing w:before="25" w:after="160" w:line="259" w:lineRule="auto"/>
        <w:ind w:right="84"/>
        <w:jc w:val="center"/>
        <w:rPr>
          <w:rFonts w:eastAsia="Arial" w:cs="Arial"/>
          <w:spacing w:val="-1"/>
          <w:sz w:val="28"/>
          <w:szCs w:val="28"/>
          <w:lang w:eastAsia="en-US"/>
        </w:rPr>
      </w:pPr>
    </w:p>
    <w:p w14:paraId="37BCF9D7" w14:textId="77777777" w:rsidR="00B77469" w:rsidRPr="007F207D" w:rsidRDefault="00B77469" w:rsidP="007F207D">
      <w:pPr>
        <w:spacing w:before="25" w:after="160" w:line="259" w:lineRule="auto"/>
        <w:ind w:right="84"/>
        <w:jc w:val="center"/>
        <w:rPr>
          <w:rFonts w:eastAsia="Arial" w:cs="Arial"/>
          <w:spacing w:val="-1"/>
          <w:sz w:val="28"/>
          <w:szCs w:val="28"/>
          <w:lang w:eastAsia="en-US"/>
        </w:rPr>
      </w:pPr>
    </w:p>
    <w:p w14:paraId="47291EB5" w14:textId="7BB87B41" w:rsidR="00E77298" w:rsidRPr="00E77298" w:rsidRDefault="00E77298" w:rsidP="007F207D">
      <w:pPr>
        <w:spacing w:before="25" w:after="160" w:line="259" w:lineRule="auto"/>
        <w:ind w:right="84"/>
        <w:jc w:val="center"/>
        <w:rPr>
          <w:rFonts w:eastAsia="Arial" w:cs="Arial"/>
          <w:spacing w:val="-1"/>
          <w:sz w:val="24"/>
          <w:szCs w:val="22"/>
          <w:lang w:eastAsia="en-US"/>
        </w:rPr>
      </w:pPr>
    </w:p>
    <w:p w14:paraId="0F8BF2ED" w14:textId="5F650DB0" w:rsidR="00E77298" w:rsidRPr="00E77298" w:rsidRDefault="00E77298" w:rsidP="007F207D">
      <w:pPr>
        <w:spacing w:before="25" w:after="160" w:line="259" w:lineRule="auto"/>
        <w:ind w:right="84"/>
        <w:jc w:val="center"/>
        <w:rPr>
          <w:rFonts w:eastAsia="Arial" w:cs="Arial"/>
          <w:spacing w:val="-1"/>
          <w:sz w:val="24"/>
          <w:szCs w:val="22"/>
          <w:lang w:eastAsia="en-US"/>
        </w:rPr>
      </w:pPr>
    </w:p>
    <w:p w14:paraId="06F33A87" w14:textId="77777777" w:rsidR="00E77298" w:rsidRPr="00E77298" w:rsidRDefault="00E77298" w:rsidP="007F207D">
      <w:pPr>
        <w:spacing w:before="25" w:after="160" w:line="259" w:lineRule="auto"/>
        <w:ind w:right="84"/>
        <w:jc w:val="center"/>
        <w:rPr>
          <w:rFonts w:eastAsia="Arial" w:cs="Arial"/>
          <w:spacing w:val="-1"/>
          <w:sz w:val="24"/>
          <w:szCs w:val="22"/>
          <w:lang w:eastAsia="en-US"/>
        </w:rPr>
      </w:pPr>
    </w:p>
    <w:p w14:paraId="3C190B02" w14:textId="4E2CDED1" w:rsidR="00E77298" w:rsidRPr="00E77298" w:rsidRDefault="00E77298" w:rsidP="00E77298">
      <w:pPr>
        <w:spacing w:before="32" w:after="160" w:line="259" w:lineRule="auto"/>
        <w:ind w:right="-87"/>
        <w:jc w:val="center"/>
        <w:rPr>
          <w:rFonts w:eastAsia="Arial" w:cs="Arial"/>
          <w:spacing w:val="-1"/>
          <w:sz w:val="24"/>
          <w:szCs w:val="22"/>
          <w:lang w:eastAsia="en-US"/>
        </w:rPr>
      </w:pPr>
    </w:p>
    <w:p w14:paraId="655293E4" w14:textId="285D2337" w:rsidR="002F7A6D" w:rsidRPr="00CA0869" w:rsidRDefault="002F7A6D" w:rsidP="002F7A6D">
      <w:pPr>
        <w:spacing w:after="0" w:line="240" w:lineRule="auto"/>
        <w:ind w:right="85"/>
        <w:jc w:val="center"/>
        <w:rPr>
          <w:rFonts w:eastAsia="Arial" w:cs="Arial"/>
          <w:b/>
          <w:spacing w:val="-1"/>
          <w:sz w:val="22"/>
          <w:szCs w:val="22"/>
          <w:lang w:eastAsia="en-US"/>
        </w:rPr>
      </w:pPr>
      <w:r w:rsidRPr="00CA0869">
        <w:rPr>
          <w:rFonts w:eastAsia="Arial" w:cs="Arial"/>
          <w:b/>
          <w:spacing w:val="-1"/>
          <w:sz w:val="22"/>
          <w:szCs w:val="22"/>
          <w:lang w:eastAsia="en-US"/>
        </w:rPr>
        <w:t>ΑΘΗΝΑ, ΝΟΕΜΒΡΙΟΣ 202</w:t>
      </w:r>
      <w:r>
        <w:rPr>
          <w:rFonts w:eastAsia="Arial" w:cs="Arial"/>
          <w:b/>
          <w:spacing w:val="-1"/>
          <w:sz w:val="22"/>
          <w:szCs w:val="22"/>
          <w:lang w:eastAsia="en-US"/>
        </w:rPr>
        <w:t>5</w:t>
      </w:r>
    </w:p>
    <w:p w14:paraId="27C82DE2" w14:textId="67D4AF36" w:rsidR="00CA0869" w:rsidRDefault="00CA0869" w:rsidP="00E77298">
      <w:pPr>
        <w:spacing w:before="32" w:after="160" w:line="259" w:lineRule="auto"/>
        <w:ind w:right="-87"/>
        <w:jc w:val="center"/>
        <w:rPr>
          <w:rFonts w:eastAsia="Arial" w:cs="Arial"/>
          <w:spacing w:val="-1"/>
          <w:sz w:val="24"/>
          <w:szCs w:val="22"/>
          <w:lang w:eastAsia="en-US"/>
        </w:rPr>
      </w:pPr>
      <w:r>
        <w:rPr>
          <w:rFonts w:eastAsia="Arial" w:cs="Arial"/>
          <w:spacing w:val="-1"/>
          <w:sz w:val="24"/>
          <w:szCs w:val="22"/>
          <w:lang w:eastAsia="en-US"/>
        </w:rPr>
        <w:br w:type="page"/>
      </w:r>
    </w:p>
    <w:p w14:paraId="786DEDAA"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45950EFE"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026D0297"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75D46E4B" w14:textId="77777777" w:rsidR="0064363A" w:rsidRPr="00E77298" w:rsidRDefault="0064363A" w:rsidP="00E77298">
      <w:pPr>
        <w:spacing w:before="32" w:after="160" w:line="259" w:lineRule="auto"/>
        <w:ind w:right="-87"/>
        <w:jc w:val="center"/>
        <w:rPr>
          <w:rFonts w:eastAsia="Arial" w:cs="Arial"/>
          <w:spacing w:val="-1"/>
          <w:sz w:val="24"/>
          <w:szCs w:val="22"/>
          <w:lang w:eastAsia="en-US"/>
        </w:rPr>
      </w:pPr>
    </w:p>
    <w:p w14:paraId="71981D6B"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73AD7A8B"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61431D41"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66C64311"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5F07D810"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4AF8C570" w14:textId="5B620219" w:rsidR="00E77298" w:rsidRDefault="00E77298" w:rsidP="00E77298">
      <w:pPr>
        <w:spacing w:before="32" w:after="160" w:line="259" w:lineRule="auto"/>
        <w:ind w:right="-87"/>
        <w:jc w:val="center"/>
        <w:rPr>
          <w:rFonts w:eastAsia="Arial" w:cs="Arial"/>
          <w:spacing w:val="-1"/>
          <w:sz w:val="24"/>
          <w:szCs w:val="22"/>
          <w:lang w:eastAsia="en-US"/>
        </w:rPr>
      </w:pPr>
    </w:p>
    <w:p w14:paraId="5DE825E0" w14:textId="77777777" w:rsidR="00E77298" w:rsidRPr="00E77298" w:rsidRDefault="00E77298" w:rsidP="00E77298">
      <w:pPr>
        <w:spacing w:before="32" w:after="160" w:line="259" w:lineRule="auto"/>
        <w:ind w:right="-87"/>
        <w:jc w:val="center"/>
        <w:rPr>
          <w:rFonts w:eastAsia="Arial" w:cs="Arial"/>
          <w:spacing w:val="-1"/>
          <w:sz w:val="24"/>
          <w:szCs w:val="22"/>
          <w:lang w:eastAsia="en-US"/>
        </w:rPr>
      </w:pPr>
    </w:p>
    <w:p w14:paraId="590C5621" w14:textId="3ABE2DB8" w:rsidR="00350764" w:rsidRDefault="00497D13" w:rsidP="00350764">
      <w:pPr>
        <w:spacing w:before="120" w:line="259" w:lineRule="auto"/>
        <w:ind w:right="-85"/>
        <w:jc w:val="center"/>
        <w:rPr>
          <w:rFonts w:eastAsia="Arial" w:cs="Arial"/>
          <w:spacing w:val="-1"/>
          <w:sz w:val="24"/>
          <w:szCs w:val="22"/>
          <w:lang w:eastAsia="en-US"/>
        </w:rPr>
      </w:pPr>
      <w:r>
        <w:rPr>
          <w:noProof/>
        </w:rPr>
        <w:drawing>
          <wp:inline distT="0" distB="0" distL="0" distR="0" wp14:anchorId="2CECACF5" wp14:editId="0EB406ED">
            <wp:extent cx="1009650" cy="10096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009650" cy="1009650"/>
                    </a:xfrm>
                    <a:prstGeom prst="rect">
                      <a:avLst/>
                    </a:prstGeom>
                    <a:noFill/>
                    <a:ln>
                      <a:noFill/>
                    </a:ln>
                  </pic:spPr>
                </pic:pic>
              </a:graphicData>
            </a:graphic>
          </wp:inline>
        </w:drawing>
      </w:r>
    </w:p>
    <w:p w14:paraId="44A25F4F" w14:textId="14042ED8" w:rsidR="00350764" w:rsidRDefault="00350764" w:rsidP="00350764">
      <w:pPr>
        <w:spacing w:before="120" w:line="259" w:lineRule="auto"/>
        <w:ind w:right="-85"/>
        <w:jc w:val="center"/>
        <w:rPr>
          <w:rFonts w:eastAsia="Arial" w:cs="Arial"/>
          <w:spacing w:val="-1"/>
          <w:sz w:val="24"/>
          <w:szCs w:val="22"/>
          <w:lang w:eastAsia="en-US"/>
        </w:rPr>
      </w:pPr>
    </w:p>
    <w:p w14:paraId="7F85CE63" w14:textId="4B4B9577" w:rsidR="00C275BB" w:rsidRDefault="00C275BB" w:rsidP="00350764">
      <w:pPr>
        <w:spacing w:before="120" w:line="259" w:lineRule="auto"/>
        <w:ind w:right="-85"/>
        <w:jc w:val="center"/>
        <w:rPr>
          <w:rFonts w:eastAsia="Arial" w:cs="Arial"/>
          <w:spacing w:val="-1"/>
          <w:sz w:val="24"/>
          <w:szCs w:val="22"/>
          <w:lang w:eastAsia="en-US"/>
        </w:rPr>
      </w:pPr>
    </w:p>
    <w:p w14:paraId="2DB1C67B" w14:textId="181824C4" w:rsidR="00C275BB" w:rsidRDefault="00C275BB" w:rsidP="00350764">
      <w:pPr>
        <w:spacing w:before="120" w:line="259" w:lineRule="auto"/>
        <w:ind w:right="-85"/>
        <w:jc w:val="center"/>
        <w:rPr>
          <w:rFonts w:eastAsia="Arial" w:cs="Arial"/>
          <w:spacing w:val="-1"/>
          <w:sz w:val="24"/>
          <w:szCs w:val="22"/>
          <w:lang w:eastAsia="en-US"/>
        </w:rPr>
      </w:pPr>
    </w:p>
    <w:p w14:paraId="11A22EF4" w14:textId="15F0018A" w:rsidR="00797424" w:rsidRDefault="00797424" w:rsidP="00350764">
      <w:pPr>
        <w:spacing w:before="120" w:line="259" w:lineRule="auto"/>
        <w:ind w:right="-85"/>
        <w:jc w:val="center"/>
        <w:rPr>
          <w:rFonts w:eastAsia="Arial" w:cs="Arial"/>
          <w:spacing w:val="-1"/>
          <w:sz w:val="24"/>
          <w:szCs w:val="22"/>
          <w:lang w:eastAsia="en-US"/>
        </w:rPr>
      </w:pPr>
    </w:p>
    <w:p w14:paraId="14819243" w14:textId="77777777" w:rsidR="00797424" w:rsidRDefault="00797424" w:rsidP="00350764">
      <w:pPr>
        <w:spacing w:before="120" w:line="259" w:lineRule="auto"/>
        <w:ind w:right="-85"/>
        <w:jc w:val="center"/>
        <w:rPr>
          <w:rFonts w:eastAsia="Arial" w:cs="Arial"/>
          <w:spacing w:val="-1"/>
          <w:sz w:val="24"/>
          <w:szCs w:val="22"/>
          <w:lang w:eastAsia="en-US"/>
        </w:rPr>
      </w:pPr>
    </w:p>
    <w:p w14:paraId="295FC560" w14:textId="12AA06C7" w:rsidR="001A2BE8" w:rsidRPr="00350764" w:rsidRDefault="001A2BE8" w:rsidP="00B77469">
      <w:pPr>
        <w:spacing w:before="120" w:line="259" w:lineRule="auto"/>
        <w:ind w:right="-85"/>
        <w:jc w:val="center"/>
        <w:rPr>
          <w:rFonts w:eastAsia="Arial" w:cs="Arial"/>
          <w:sz w:val="22"/>
          <w:szCs w:val="22"/>
          <w:lang w:eastAsia="en-US"/>
        </w:rPr>
      </w:pPr>
    </w:p>
    <w:tbl>
      <w:tblPr>
        <w:tblStyle w:val="ac"/>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B77469" w:rsidRPr="00350764" w14:paraId="4713CA27" w14:textId="77777777" w:rsidTr="00B77469">
        <w:trPr>
          <w:jc w:val="center"/>
        </w:trPr>
        <w:tc>
          <w:tcPr>
            <w:tcW w:w="8296" w:type="dxa"/>
            <w:gridSpan w:val="2"/>
          </w:tcPr>
          <w:p w14:paraId="4D300A9B" w14:textId="5EB3CB26" w:rsidR="00B77469" w:rsidRDefault="00B77469" w:rsidP="00B77469">
            <w:pPr>
              <w:tabs>
                <w:tab w:val="left" w:pos="451"/>
                <w:tab w:val="center" w:pos="4428"/>
              </w:tabs>
              <w:spacing w:after="600" w:line="276" w:lineRule="auto"/>
              <w:jc w:val="center"/>
              <w:rPr>
                <w:rFonts w:eastAsia="Arial" w:cs="Arial"/>
                <w:sz w:val="22"/>
                <w:szCs w:val="22"/>
                <w:lang w:eastAsia="en-US"/>
              </w:rPr>
            </w:pPr>
            <w:r w:rsidRPr="00B77469">
              <w:rPr>
                <w:rFonts w:eastAsia="Arial" w:cs="Arial"/>
                <w:sz w:val="22"/>
                <w:szCs w:val="22"/>
                <w:lang w:eastAsia="en-US"/>
              </w:rPr>
              <w:t>ΥΠΟΥΡΓΕΙΟ ΕΘΝΙΚΗΣ ΟΙΚΟΝΟΜΙΑΣ ΚΑΙ ΟΙΚΟΝΟΜΙΚΩΝ</w:t>
            </w:r>
          </w:p>
        </w:tc>
      </w:tr>
      <w:tr w:rsidR="00350764" w:rsidRPr="00350764" w14:paraId="70E1AD02" w14:textId="77777777" w:rsidTr="00B77469">
        <w:trPr>
          <w:jc w:val="center"/>
        </w:trPr>
        <w:tc>
          <w:tcPr>
            <w:tcW w:w="8296" w:type="dxa"/>
            <w:gridSpan w:val="2"/>
          </w:tcPr>
          <w:p w14:paraId="3DE7FBB6" w14:textId="7516115B" w:rsidR="00350764" w:rsidRPr="00350764" w:rsidRDefault="00B77469" w:rsidP="00AD7495">
            <w:pPr>
              <w:tabs>
                <w:tab w:val="left" w:pos="451"/>
                <w:tab w:val="center" w:pos="4428"/>
              </w:tabs>
              <w:spacing w:after="160" w:line="276" w:lineRule="auto"/>
              <w:jc w:val="left"/>
              <w:rPr>
                <w:rFonts w:eastAsia="Arial" w:cs="Arial"/>
                <w:sz w:val="22"/>
                <w:szCs w:val="22"/>
                <w:lang w:eastAsia="en-US"/>
              </w:rPr>
            </w:pPr>
            <w:r>
              <w:rPr>
                <w:rFonts w:eastAsia="Arial" w:cs="Arial"/>
                <w:sz w:val="22"/>
                <w:szCs w:val="22"/>
                <w:lang w:eastAsia="en-US"/>
              </w:rPr>
              <w:tab/>
            </w:r>
            <w:r>
              <w:rPr>
                <w:rFonts w:eastAsia="Arial" w:cs="Arial"/>
                <w:sz w:val="22"/>
                <w:szCs w:val="22"/>
                <w:lang w:eastAsia="en-US"/>
              </w:rPr>
              <w:tab/>
            </w:r>
            <w:r w:rsidRPr="00350764">
              <w:rPr>
                <w:rFonts w:eastAsia="Arial" w:cs="Arial"/>
                <w:sz w:val="22"/>
                <w:szCs w:val="22"/>
                <w:lang w:eastAsia="en-US"/>
              </w:rPr>
              <w:t>Υπουργός</w:t>
            </w:r>
          </w:p>
          <w:p w14:paraId="1E02EA42" w14:textId="609A8A65" w:rsidR="00350764" w:rsidRPr="00350764" w:rsidRDefault="00350764" w:rsidP="00AD7495">
            <w:pPr>
              <w:spacing w:before="160" w:after="0" w:line="276" w:lineRule="auto"/>
              <w:jc w:val="center"/>
              <w:rPr>
                <w:rFonts w:eastAsia="Arial" w:cs="Arial"/>
                <w:sz w:val="22"/>
                <w:szCs w:val="22"/>
                <w:lang w:eastAsia="en-US"/>
              </w:rPr>
            </w:pPr>
            <w:r w:rsidRPr="00350764">
              <w:rPr>
                <w:rFonts w:eastAsia="Arial" w:cs="Arial"/>
                <w:sz w:val="22"/>
                <w:szCs w:val="22"/>
                <w:lang w:eastAsia="en-US"/>
              </w:rPr>
              <w:t>Κ</w:t>
            </w:r>
            <w:r w:rsidR="002F7A6D">
              <w:rPr>
                <w:rFonts w:eastAsia="Arial" w:cs="Arial"/>
                <w:sz w:val="22"/>
                <w:szCs w:val="22"/>
                <w:lang w:eastAsia="en-US"/>
              </w:rPr>
              <w:t>υριάκος Πιερρακάκης</w:t>
            </w:r>
          </w:p>
        </w:tc>
      </w:tr>
      <w:tr w:rsidR="00350764" w:rsidRPr="00350764" w14:paraId="314B5166" w14:textId="77777777" w:rsidTr="00B77469">
        <w:trPr>
          <w:jc w:val="center"/>
        </w:trPr>
        <w:tc>
          <w:tcPr>
            <w:tcW w:w="8296" w:type="dxa"/>
            <w:gridSpan w:val="2"/>
          </w:tcPr>
          <w:p w14:paraId="5679BEA2" w14:textId="62578380" w:rsidR="00350764" w:rsidRPr="00350764" w:rsidRDefault="00B77469" w:rsidP="00647451">
            <w:pPr>
              <w:spacing w:before="480" w:after="160" w:line="276" w:lineRule="auto"/>
              <w:jc w:val="center"/>
              <w:rPr>
                <w:rFonts w:eastAsia="Arial" w:cs="Arial"/>
                <w:sz w:val="22"/>
                <w:szCs w:val="22"/>
                <w:lang w:eastAsia="en-US"/>
              </w:rPr>
            </w:pPr>
            <w:r w:rsidRPr="00350764">
              <w:rPr>
                <w:rFonts w:eastAsia="Arial" w:cs="Arial"/>
                <w:sz w:val="22"/>
                <w:szCs w:val="22"/>
                <w:lang w:eastAsia="en-US"/>
              </w:rPr>
              <w:t>Αναπληρωτής Υπουργός</w:t>
            </w:r>
          </w:p>
          <w:p w14:paraId="666AFBD0" w14:textId="7A5C5962" w:rsidR="00350764" w:rsidRPr="00350764" w:rsidRDefault="00B77469" w:rsidP="00AD7495">
            <w:pPr>
              <w:spacing w:before="120" w:after="480" w:line="276" w:lineRule="auto"/>
              <w:jc w:val="center"/>
              <w:rPr>
                <w:rFonts w:eastAsia="Arial" w:cs="Arial"/>
                <w:sz w:val="22"/>
                <w:szCs w:val="22"/>
                <w:lang w:eastAsia="en-US"/>
              </w:rPr>
            </w:pPr>
            <w:r w:rsidRPr="00350764">
              <w:rPr>
                <w:rFonts w:eastAsia="Arial" w:cs="Arial"/>
                <w:sz w:val="22"/>
                <w:szCs w:val="22"/>
                <w:lang w:eastAsia="en-US"/>
              </w:rPr>
              <w:t>Νικόλαος Παπαθανάσης</w:t>
            </w:r>
          </w:p>
        </w:tc>
      </w:tr>
      <w:tr w:rsidR="00350764" w:rsidRPr="00350764" w14:paraId="11E47FA9" w14:textId="77777777" w:rsidTr="00B77469">
        <w:trPr>
          <w:jc w:val="center"/>
        </w:trPr>
        <w:tc>
          <w:tcPr>
            <w:tcW w:w="4148" w:type="dxa"/>
          </w:tcPr>
          <w:p w14:paraId="5FAE67A2" w14:textId="21F7C69B" w:rsidR="00350764" w:rsidRPr="00350764" w:rsidRDefault="00B77469" w:rsidP="00647451">
            <w:pPr>
              <w:spacing w:after="160" w:line="276" w:lineRule="auto"/>
              <w:jc w:val="center"/>
              <w:rPr>
                <w:rFonts w:eastAsia="Arial" w:cs="Arial"/>
                <w:sz w:val="22"/>
                <w:szCs w:val="22"/>
                <w:lang w:eastAsia="en-US"/>
              </w:rPr>
            </w:pPr>
            <w:r w:rsidRPr="00350764">
              <w:rPr>
                <w:rFonts w:eastAsia="Arial" w:cs="Arial"/>
                <w:sz w:val="22"/>
                <w:szCs w:val="22"/>
                <w:lang w:eastAsia="en-US"/>
              </w:rPr>
              <w:t>Υφυπουργός</w:t>
            </w:r>
          </w:p>
          <w:p w14:paraId="1CB70710" w14:textId="40CA8CF7" w:rsidR="00350764" w:rsidRPr="00350764" w:rsidRDefault="00350764" w:rsidP="00647451">
            <w:pPr>
              <w:spacing w:before="160" w:after="0" w:line="276" w:lineRule="auto"/>
              <w:jc w:val="center"/>
              <w:rPr>
                <w:rFonts w:eastAsia="Arial" w:cs="Arial"/>
                <w:sz w:val="22"/>
                <w:szCs w:val="22"/>
                <w:lang w:eastAsia="en-US"/>
              </w:rPr>
            </w:pPr>
            <w:r w:rsidRPr="00350764">
              <w:rPr>
                <w:rFonts w:eastAsia="Arial" w:cs="Arial"/>
                <w:sz w:val="22"/>
                <w:szCs w:val="22"/>
                <w:lang w:eastAsia="en-US"/>
              </w:rPr>
              <w:t>Αθανάσιος Πετραλιάς</w:t>
            </w:r>
          </w:p>
        </w:tc>
        <w:tc>
          <w:tcPr>
            <w:tcW w:w="4148" w:type="dxa"/>
          </w:tcPr>
          <w:p w14:paraId="10B3356D" w14:textId="0BF16616" w:rsidR="00350764" w:rsidRPr="00350764" w:rsidRDefault="00B77469" w:rsidP="00647451">
            <w:pPr>
              <w:spacing w:after="160" w:line="276" w:lineRule="auto"/>
              <w:jc w:val="center"/>
              <w:rPr>
                <w:rFonts w:eastAsia="Arial" w:cs="Arial"/>
                <w:sz w:val="22"/>
                <w:szCs w:val="22"/>
                <w:lang w:eastAsia="en-US"/>
              </w:rPr>
            </w:pPr>
            <w:r w:rsidRPr="00350764">
              <w:rPr>
                <w:rFonts w:eastAsia="Arial" w:cs="Arial"/>
                <w:sz w:val="22"/>
                <w:szCs w:val="22"/>
                <w:lang w:eastAsia="en-US"/>
              </w:rPr>
              <w:t>Υφυπουργός</w:t>
            </w:r>
          </w:p>
          <w:p w14:paraId="3496A27E" w14:textId="02152E9B" w:rsidR="00350764" w:rsidRPr="00350764" w:rsidRDefault="002F7A6D" w:rsidP="00647451">
            <w:pPr>
              <w:spacing w:before="160" w:after="0" w:line="276" w:lineRule="auto"/>
              <w:jc w:val="center"/>
              <w:rPr>
                <w:rFonts w:eastAsia="Arial" w:cs="Arial"/>
                <w:sz w:val="22"/>
                <w:szCs w:val="22"/>
                <w:lang w:eastAsia="en-US"/>
              </w:rPr>
            </w:pPr>
            <w:r>
              <w:rPr>
                <w:rFonts w:eastAsia="Arial" w:cs="Arial"/>
                <w:sz w:val="22"/>
                <w:szCs w:val="22"/>
                <w:lang w:eastAsia="en-US"/>
              </w:rPr>
              <w:t>Γεώργιος Κώτσηρας</w:t>
            </w:r>
          </w:p>
        </w:tc>
      </w:tr>
    </w:tbl>
    <w:p w14:paraId="75F7B335" w14:textId="5E4F9B6E" w:rsidR="00350764" w:rsidRDefault="00350764" w:rsidP="00A42E73">
      <w:pPr>
        <w:spacing w:after="240"/>
        <w:rPr>
          <w:rFonts w:eastAsia="Calibri"/>
          <w:b/>
          <w:color w:val="365F91" w:themeColor="accent1" w:themeShade="BF"/>
          <w:lang w:eastAsia="en-US"/>
        </w:rPr>
      </w:pPr>
    </w:p>
    <w:p w14:paraId="7F94C6DE" w14:textId="77777777" w:rsidR="00AD7495" w:rsidRDefault="00AD7495">
      <w:pPr>
        <w:spacing w:after="0" w:line="240" w:lineRule="auto"/>
        <w:jc w:val="left"/>
        <w:rPr>
          <w:rFonts w:eastAsia="Calibri"/>
          <w:b/>
          <w:color w:val="365F91" w:themeColor="accent1" w:themeShade="BF"/>
          <w:lang w:eastAsia="en-US"/>
        </w:rPr>
      </w:pPr>
      <w:r>
        <w:rPr>
          <w:rFonts w:eastAsia="Calibri"/>
          <w:b/>
          <w:color w:val="365F91" w:themeColor="accent1" w:themeShade="BF"/>
          <w:lang w:eastAsia="en-US"/>
        </w:rPr>
        <w:br w:type="page"/>
      </w:r>
    </w:p>
    <w:p w14:paraId="4C0A1C76" w14:textId="3056735F" w:rsidR="00E77298" w:rsidRPr="00763262" w:rsidRDefault="00E77298" w:rsidP="00797424">
      <w:pPr>
        <w:spacing w:after="240"/>
        <w:rPr>
          <w:rFonts w:eastAsia="Calibri"/>
          <w:b/>
          <w:color w:val="365F91" w:themeColor="accent1" w:themeShade="BF"/>
          <w:lang w:eastAsia="en-US"/>
        </w:rPr>
      </w:pPr>
      <w:r w:rsidRPr="00763262">
        <w:rPr>
          <w:rFonts w:eastAsia="Calibri"/>
          <w:b/>
          <w:color w:val="365F91" w:themeColor="accent1" w:themeShade="BF"/>
          <w:lang w:eastAsia="en-US"/>
        </w:rPr>
        <w:lastRenderedPageBreak/>
        <w:t>Προς τη Βουλή των Ελλήνων</w:t>
      </w:r>
    </w:p>
    <w:p w14:paraId="107B8FBD" w14:textId="77777777" w:rsidR="008D6424" w:rsidRDefault="008D6424" w:rsidP="00F0448C">
      <w:pPr>
        <w:rPr>
          <w:rFonts w:eastAsia="Calibri"/>
        </w:rPr>
      </w:pPr>
      <w:r>
        <w:rPr>
          <w:rFonts w:eastAsia="Calibri"/>
        </w:rPr>
        <w:t>Κυρίες και Κύριοι Βουλευτές,</w:t>
      </w:r>
    </w:p>
    <w:p w14:paraId="37D0B689" w14:textId="6447E454" w:rsidR="00F0448C" w:rsidRDefault="00F0448C" w:rsidP="00E42841">
      <w:pPr>
        <w:rPr>
          <w:rFonts w:eastAsia="Calibri"/>
        </w:rPr>
      </w:pPr>
      <w:r>
        <w:rPr>
          <w:rFonts w:eastAsia="Calibri"/>
        </w:rPr>
        <w:t>καταθέτουμε προς συζήτηση στη Βουλή των Ελλήνων τον κρατικό προϋπολογισμό του έτους 202</w:t>
      </w:r>
      <w:r w:rsidR="002F7A6D">
        <w:rPr>
          <w:rFonts w:eastAsia="Calibri"/>
        </w:rPr>
        <w:t>6</w:t>
      </w:r>
      <w:r>
        <w:rPr>
          <w:rFonts w:eastAsia="Calibri"/>
        </w:rPr>
        <w:t>.</w:t>
      </w:r>
    </w:p>
    <w:p w14:paraId="70B1AE5E" w14:textId="496FE64F" w:rsidR="00E42841" w:rsidRPr="00792D38" w:rsidRDefault="00E42841" w:rsidP="00E42841">
      <w:r w:rsidRPr="00792D38">
        <w:t xml:space="preserve">Η έναρξη του έτους 2026 </w:t>
      </w:r>
      <w:r w:rsidR="00705BAD">
        <w:t xml:space="preserve">για </w:t>
      </w:r>
      <w:r w:rsidRPr="00792D38">
        <w:t xml:space="preserve">την ελληνική οικονομία </w:t>
      </w:r>
      <w:r w:rsidR="00705BAD">
        <w:t xml:space="preserve">σηματοδοτείται από </w:t>
      </w:r>
      <w:r>
        <w:t>συνθήκες συνεχιζόμενης δυναμικής ανάπτυξης</w:t>
      </w:r>
      <w:r w:rsidRPr="00792D38">
        <w:t xml:space="preserve"> σε ένα διεθνές περιβάλλον που εξακολουθεί να διέπεται από γεωπολιτική αβεβαιότητα, από μεταβαλλόμενες συνθήκες στο παγκόσμιο εμπόριο και στις αγορές ενέργειας καθώς και από κινδύνους για τη δημοσιονομική και πολιτική σταθερότητα σε μεγάλες ευρωπαϊκές οικονομίες.</w:t>
      </w:r>
    </w:p>
    <w:p w14:paraId="6B7B5005" w14:textId="7A74FD86" w:rsidR="00E42841" w:rsidRPr="00394D55" w:rsidRDefault="00E42841" w:rsidP="00E42841">
      <w:r w:rsidRPr="00394D55">
        <w:t xml:space="preserve">Παρά την αβεβαιότητα στο </w:t>
      </w:r>
      <w:r>
        <w:t xml:space="preserve">παγκόσμιο </w:t>
      </w:r>
      <w:r w:rsidRPr="00394D55">
        <w:t xml:space="preserve">οικονομικό περιβάλλον, η ελληνική οικονομία προβλέπεται να συνεχίσει για έκτο συναπτό έτος να καταγράφει σημαντικά υψηλότερο ρυθμό πραγματικής ανάπτυξης σε σχέση με τον μέσο όρο της Ευρωζώνης. Ο ρυθμός ανάπτυξης αναμένεται να ανέλθει σε 2,2% το 2025 </w:t>
      </w:r>
      <w:r w:rsidRPr="0054463B">
        <w:t xml:space="preserve">και </w:t>
      </w:r>
      <w:r w:rsidR="00705BAD">
        <w:t xml:space="preserve">σε </w:t>
      </w:r>
      <w:r w:rsidRPr="0054463B">
        <w:t>2,4% το 2026 έναντι 1,3% και 1,2% για την Ε</w:t>
      </w:r>
      <w:r>
        <w:t>υρωζώνη</w:t>
      </w:r>
      <w:r w:rsidR="00705BAD">
        <w:t>,</w:t>
      </w:r>
      <w:r>
        <w:t xml:space="preserve"> αντίστοιχα</w:t>
      </w:r>
      <w:r w:rsidRPr="00394D55">
        <w:t xml:space="preserve">. Το ονομαστικό ΑΕΠ αναμένεται να αυξηθεί από </w:t>
      </w:r>
      <w:r>
        <w:t>248,7</w:t>
      </w:r>
      <w:r w:rsidRPr="00394D55">
        <w:t xml:space="preserve"> δισ. ευρώ το 2025 σε 260 δισ. ευρώ το 2026. Παράλληλα, ο εγχώριος πληθωρισμός αναμένεται να αποκλιμακωθεί από 2,6% το 2025 σε 2,2% το 2026.</w:t>
      </w:r>
    </w:p>
    <w:p w14:paraId="74B9C407" w14:textId="77777777" w:rsidR="00E42841" w:rsidRPr="00394D55" w:rsidRDefault="00E42841" w:rsidP="00E42841">
      <w:r w:rsidRPr="00394D55">
        <w:t xml:space="preserve">Σημαντικό ρόλο στην επιτάχυνση του ρυθμού ανάπτυξης διαδραματίζουν τόσο η φορολογική μεταρρύθμιση όσο και οι λοιπές παρεμβάσεις που ανακοινώθηκαν στη Διεθνή Έκθεση της Θεσσαλονίκης. Μέσω της διαρθρωτικής αναμόρφωσης της φορολογίας εισοδήματος με έμφαση στους νέους, στις οικογένειες με παιδιά και στη μεσαία τάξη, ενισχύεται άμεσα το εισόδημα των πολιτών. Παράλληλα, η μείωση των </w:t>
      </w:r>
      <w:r>
        <w:t xml:space="preserve">φορολογικών </w:t>
      </w:r>
      <w:r w:rsidRPr="00394D55">
        <w:t>συντελεστών συνεπάγεται μεγαλύτερη ωφέλεια για τους εργαζόμενους, τους συνταξιούχους, τους αγρότες και τους ελεύθερους επαγγελματίες με κάθε μελλοντική αύξηση των αποδοχών τους. Στο πλαίσιο της δημογραφικής φορολογικής μεταρρύθμισης εισάγονται επιπλέον μέτρα με τοπικά χαρακτηριστικά και παρεμβάσεις που σχετίζονται με το στεγαστικό πρόβλημα, όπως η σταδιακή κατάργηση του ΕΝΦΙΑ για οικισμούς με πληθυσμό έως 1.500 κατοίκους, η μείωση του ΦΠΑ στα ακριτικά νησιά με πληθυσμό έως 20.000 κατοίκους, η μείωση της φορολογίας ενοικίων σε συνδυασμό με την επιστροφή ενός ενοικίου ετησίως καθώς και η μείωση των τεκμηρίων διαβίωσης για τις κατοικίες και άλλα περιουσιακά στοιχεία με απαλλαγή των εξαρτώμενων τέκνων από την ελάχιστη δαπάνη διαβίωσης. Επιπροσθέτως, ενισχύεται το εισόδημα των συνταξιούχων μέσω της σταδιακής κατάργησης του συμψηφισμού των αυξήσεων των συντάξεων με την προσωπική διαφορά, με την περαιτέρω αύξηση των συντάξεων βάσει ΑΕΠ και πληθωρισμού καθώς και με την ενίσχυση των χαμηλοσυνταξιούχων, των ανασφάλιστων υπερηλίκων και των ατόμων με αναπηρία κάθε Νοέμβριο.</w:t>
      </w:r>
    </w:p>
    <w:p w14:paraId="15A23642" w14:textId="6AA1588F" w:rsidR="00E42841" w:rsidRPr="00394D55" w:rsidRDefault="00E42841" w:rsidP="00E42841">
      <w:r w:rsidRPr="00394D55">
        <w:t xml:space="preserve">Ο ρυθμός μεταβολής των επενδύσεων αναμένεται να αυξηθεί από 4,5% το 2024 σε 5,7% το 2025 και σε 10,2% το 2026, καθ’ όσον σε συνδυασμό με τη δυναμική που επιδεικνύουν οι ιδιωτικές επενδύσεις, αναμένεται να υλοποιηθεί ένα σημαντικά διευρυμένο πρόγραμμα δημοσίων </w:t>
      </w:r>
      <w:r w:rsidRPr="0054463B">
        <w:t>επενδύσεων το 2026, με πόρους ύψους 16,7 δισ. ευρώ έναντι 14,6 δισ. ευρώ το 2025. Η ανωτέρω αύξηση των επενδύσεων είναι πολλαπλάσια αυτής του μέσου όρου της Ευρωζώνης</w:t>
      </w:r>
      <w:r w:rsidR="00705BAD">
        <w:t>,</w:t>
      </w:r>
      <w:r w:rsidRPr="0054463B">
        <w:t xml:space="preserve"> που εκτιμάται σε 2,2% για το 2025 και</w:t>
      </w:r>
      <w:r w:rsidR="00705BAD">
        <w:t xml:space="preserve"> σε</w:t>
      </w:r>
      <w:r w:rsidRPr="0054463B">
        <w:t xml:space="preserve"> 2,5% για το 2026, μειώνοντας περαιτέρω το παραγωγικό κενό.</w:t>
      </w:r>
      <w:r>
        <w:t xml:space="preserve"> Σε αυτ</w:t>
      </w:r>
      <w:r w:rsidR="00705BAD">
        <w:t>ό</w:t>
      </w:r>
      <w:r>
        <w:t xml:space="preserve"> τ</w:t>
      </w:r>
      <w:r w:rsidR="00705BAD">
        <w:t>ο</w:t>
      </w:r>
      <w:r>
        <w:t xml:space="preserve"> πλαίσι</w:t>
      </w:r>
      <w:r w:rsidR="00705BAD">
        <w:t>ο</w:t>
      </w:r>
      <w:r>
        <w:t xml:space="preserve"> ο λόγος επενδύσεων προς ΑΕΠ αναμένεται να αυξηθεί από 16,4% το 2025 σε 17,7% το 2026.</w:t>
      </w:r>
    </w:p>
    <w:p w14:paraId="0B08433E" w14:textId="0B656598" w:rsidR="00E42841" w:rsidRPr="00394D55" w:rsidRDefault="00E42841" w:rsidP="00E42841">
      <w:r w:rsidRPr="00394D55">
        <w:t>Το ποσοστό ανεργίας, έχοντας υποχωρήσει σε μονοψήφιο αριθμό ήδη από το 2025, προβλέπεται να βελτιωθεί περαιτέρω το 2026 κατά μισή ποσοστιαία μονάδα του εργατικού δυναμικού, διαμορφούμενο σε 8,6% βάσει της Έρευνας Εργατικού Δυναμικού, το οποίο αντιστοιχεί στο χαμηλότερο ποσοστό ανεργίας στην Ελλάδα μετά το 2008.</w:t>
      </w:r>
    </w:p>
    <w:p w14:paraId="57085D04" w14:textId="432BACEF" w:rsidR="00E42841" w:rsidRPr="00394D55" w:rsidRDefault="00E42841" w:rsidP="00E42841">
      <w:r w:rsidRPr="00394D55">
        <w:t>Το πρωτογενές αποτέλεσμα του κρατικού προϋπολογισμού αναμένεται να διαμορφωθεί σε 3,</w:t>
      </w:r>
      <w:r>
        <w:t>7</w:t>
      </w:r>
      <w:r w:rsidRPr="00394D55">
        <w:t>% του ΑΕΠ για το 2025 και σε 2,8% το 2026, ενώ το συνολικό αποτέλεσμα της Γενικής Κυβέρνησης σε 0,6% το 2025 και σε -0,</w:t>
      </w:r>
      <w:r>
        <w:t>2</w:t>
      </w:r>
      <w:r w:rsidRPr="00394D55">
        <w:t xml:space="preserve">% το 2026. Σε αυτό το πλαίσιο το χρέος της Γενικής Κυβέρνησης ως ποσοστό του ΑΕΠ αναμένεται να παρουσιάσει για έκτο συνεχόμενο έτος τη μεγαλύτερη αποκλιμάκωση στην </w:t>
      </w:r>
      <w:r w:rsidRPr="00394D55">
        <w:lastRenderedPageBreak/>
        <w:t xml:space="preserve">Ευρωπαϊκή Ένωση και να διαμορφωθεί σε επίπεδα κάτω του 140%, με την πρόβλεψη να διαμορφώνεται σε </w:t>
      </w:r>
      <w:r>
        <w:t>138,2</w:t>
      </w:r>
      <w:r w:rsidRPr="00394D55">
        <w:t>%, που είναι το χαμηλότερο επίπεδο από το 2010.</w:t>
      </w:r>
    </w:p>
    <w:p w14:paraId="2BD7CD82" w14:textId="457521C0" w:rsidR="00F0448C" w:rsidRPr="00E42841" w:rsidRDefault="00E42841" w:rsidP="00F0448C">
      <w:r w:rsidRPr="00394D55">
        <w:t>Παρά το ασταθές παγκόσμιο περιβάλλον, η Ελλάδα αποτελεί πλέον σημείο αναφοράς για τη σταθερότητα και τη συνέπεια της οικονομικής της πολιτικής. Η αναγνώριση αυτή από τους διεθνείς θεσμούς</w:t>
      </w:r>
      <w:r>
        <w:t xml:space="preserve"> και τους οίκους αξιολόγησης</w:t>
      </w:r>
      <w:r w:rsidR="00F913B9">
        <w:t>,</w:t>
      </w:r>
      <w:r>
        <w:t xml:space="preserve"> που αναβαθμίζουν περαιτέρω το αξιόχρεο της χώρας</w:t>
      </w:r>
      <w:r w:rsidR="00F913B9">
        <w:t>,</w:t>
      </w:r>
      <w:r w:rsidRPr="00394D55">
        <w:t xml:space="preserve"> δεν είναι αυτονόητη</w:t>
      </w:r>
      <w:r w:rsidR="00F913B9">
        <w:t>,</w:t>
      </w:r>
      <w:r w:rsidRPr="00394D55">
        <w:t xml:space="preserve"> αλλά συνιστά αποτέλεσμα συλλογικής προσπάθειας, υπευθυνότητας και σταθερού μεταρρυθμιστικού προσανατολισμού. Η διατήρηση της δημοσιονομικής ισορροπίας, σε συνδυασμό με τη συνέχιση των επενδύσεων και των διαρθρωτικών αλλαγών, αποτελεί τ</w:t>
      </w:r>
      <w:r>
        <w:t>ο</w:t>
      </w:r>
      <w:r w:rsidRPr="00394D55">
        <w:t xml:space="preserve"> έναυσμα για βιώσιμη ανάπτυξη και ουσιαστική βελτίωση του βιοτικού επιπέδου όλων των πολιτών.</w:t>
      </w:r>
    </w:p>
    <w:p w14:paraId="6CBCCAEE" w14:textId="36F47DDF" w:rsidR="00E77298" w:rsidRDefault="00E77298" w:rsidP="0018738D">
      <w:pPr>
        <w:spacing w:before="240" w:after="480" w:line="264" w:lineRule="auto"/>
        <w:rPr>
          <w:rFonts w:eastAsia="Calibri"/>
          <w:lang w:eastAsia="en-US"/>
        </w:rPr>
      </w:pPr>
      <w:r w:rsidRPr="00E77298">
        <w:rPr>
          <w:rFonts w:eastAsia="Calibri"/>
          <w:lang w:eastAsia="en-US"/>
        </w:rPr>
        <w:t>Νοέμβριος 202</w:t>
      </w:r>
      <w:r w:rsidR="002F7A6D">
        <w:rPr>
          <w:rFonts w:eastAsia="Calibri"/>
          <w:lang w:eastAsia="en-US"/>
        </w:rPr>
        <w:t>5</w:t>
      </w:r>
    </w:p>
    <w:p w14:paraId="5C8D9B6B" w14:textId="77777777" w:rsidR="00CB0EFD" w:rsidRDefault="00CB0EFD" w:rsidP="0018738D">
      <w:pPr>
        <w:spacing w:before="240" w:after="480" w:line="264" w:lineRule="auto"/>
        <w:rPr>
          <w:rFonts w:eastAsia="Calibri"/>
          <w:lang w:eastAsia="en-US"/>
        </w:rPr>
      </w:pPr>
    </w:p>
    <w:tbl>
      <w:tblPr>
        <w:tblW w:w="0" w:type="auto"/>
        <w:jc w:val="center"/>
        <w:tblLook w:val="04A0" w:firstRow="1" w:lastRow="0" w:firstColumn="1" w:lastColumn="0" w:noHBand="0" w:noVBand="1"/>
      </w:tblPr>
      <w:tblGrid>
        <w:gridCol w:w="4144"/>
        <w:gridCol w:w="4162"/>
      </w:tblGrid>
      <w:tr w:rsidR="00E77298" w:rsidRPr="00E77298" w14:paraId="130D96F7" w14:textId="77777777" w:rsidTr="00CB0EFD">
        <w:trPr>
          <w:trHeight w:val="454"/>
          <w:jc w:val="center"/>
        </w:trPr>
        <w:tc>
          <w:tcPr>
            <w:tcW w:w="4144" w:type="dxa"/>
            <w:shd w:val="clear" w:color="auto" w:fill="auto"/>
            <w:vAlign w:val="center"/>
          </w:tcPr>
          <w:p w14:paraId="3E36CF42" w14:textId="11445AA8" w:rsidR="00E77298" w:rsidRPr="00E77298" w:rsidRDefault="009C5ABB" w:rsidP="00CB0EFD">
            <w:pPr>
              <w:spacing w:after="0"/>
              <w:jc w:val="center"/>
              <w:rPr>
                <w:rFonts w:eastAsia="Calibri" w:cs="Arial"/>
                <w:szCs w:val="22"/>
                <w:lang w:eastAsia="en-US"/>
              </w:rPr>
            </w:pPr>
            <w:r>
              <w:rPr>
                <w:rFonts w:eastAsia="Calibri" w:cs="Arial"/>
                <w:szCs w:val="22"/>
                <w:lang w:eastAsia="en-US"/>
              </w:rPr>
              <w:t>Κ</w:t>
            </w:r>
            <w:r w:rsidR="002F7A6D">
              <w:rPr>
                <w:rFonts w:eastAsia="Calibri" w:cs="Arial"/>
                <w:szCs w:val="22"/>
                <w:lang w:eastAsia="en-US"/>
              </w:rPr>
              <w:t>υριάκος Πιερρακάκης</w:t>
            </w:r>
          </w:p>
        </w:tc>
        <w:tc>
          <w:tcPr>
            <w:tcW w:w="4162" w:type="dxa"/>
            <w:shd w:val="clear" w:color="auto" w:fill="auto"/>
            <w:vAlign w:val="center"/>
          </w:tcPr>
          <w:p w14:paraId="57B9EEDE" w14:textId="45BF97F6" w:rsidR="00E77298" w:rsidRPr="00E77298" w:rsidRDefault="009C5ABB" w:rsidP="00CB0EFD">
            <w:pPr>
              <w:spacing w:after="0"/>
              <w:jc w:val="center"/>
              <w:rPr>
                <w:rFonts w:eastAsia="Calibri" w:cs="Arial"/>
                <w:szCs w:val="22"/>
                <w:lang w:eastAsia="en-US"/>
              </w:rPr>
            </w:pPr>
            <w:r>
              <w:rPr>
                <w:rFonts w:eastAsia="Calibri" w:cs="Arial"/>
                <w:szCs w:val="22"/>
                <w:lang w:eastAsia="en-US"/>
              </w:rPr>
              <w:t>Αθανάσιος Πετραλιάς</w:t>
            </w:r>
          </w:p>
        </w:tc>
      </w:tr>
      <w:tr w:rsidR="00A42E73" w:rsidRPr="00E77298" w14:paraId="7D5020BB" w14:textId="77777777" w:rsidTr="009C5ABB">
        <w:trPr>
          <w:jc w:val="center"/>
        </w:trPr>
        <w:tc>
          <w:tcPr>
            <w:tcW w:w="4144" w:type="dxa"/>
            <w:shd w:val="clear" w:color="auto" w:fill="auto"/>
          </w:tcPr>
          <w:p w14:paraId="0B652CD1" w14:textId="77777777" w:rsidR="00A42E73" w:rsidRPr="00E77298" w:rsidRDefault="00A42E73" w:rsidP="00E77298">
            <w:pPr>
              <w:jc w:val="center"/>
              <w:rPr>
                <w:rFonts w:eastAsia="Calibri" w:cs="Arial"/>
                <w:szCs w:val="22"/>
                <w:lang w:eastAsia="en-US"/>
              </w:rPr>
            </w:pPr>
          </w:p>
        </w:tc>
        <w:tc>
          <w:tcPr>
            <w:tcW w:w="4162" w:type="dxa"/>
            <w:shd w:val="clear" w:color="auto" w:fill="auto"/>
          </w:tcPr>
          <w:p w14:paraId="43751269" w14:textId="77777777" w:rsidR="00A42E73" w:rsidRPr="00E77298" w:rsidRDefault="00A42E73" w:rsidP="009C5ABB">
            <w:pPr>
              <w:ind w:right="-279"/>
              <w:jc w:val="center"/>
              <w:rPr>
                <w:rFonts w:eastAsia="Calibri" w:cs="Arial"/>
                <w:szCs w:val="22"/>
                <w:lang w:eastAsia="en-US"/>
              </w:rPr>
            </w:pPr>
          </w:p>
        </w:tc>
      </w:tr>
      <w:tr w:rsidR="00E77298" w:rsidRPr="00E77298" w14:paraId="2F69DD8D" w14:textId="77777777" w:rsidTr="009C5ABB">
        <w:trPr>
          <w:jc w:val="center"/>
        </w:trPr>
        <w:tc>
          <w:tcPr>
            <w:tcW w:w="4144" w:type="dxa"/>
            <w:shd w:val="clear" w:color="auto" w:fill="auto"/>
          </w:tcPr>
          <w:p w14:paraId="09C52A7B" w14:textId="77777777" w:rsidR="00A372D2" w:rsidRDefault="00E77298" w:rsidP="009C5ABB">
            <w:pPr>
              <w:spacing w:after="0"/>
              <w:jc w:val="center"/>
              <w:rPr>
                <w:rFonts w:eastAsia="Calibri" w:cs="Arial"/>
                <w:szCs w:val="22"/>
                <w:lang w:eastAsia="en-US"/>
              </w:rPr>
            </w:pPr>
            <w:r w:rsidRPr="00E77298">
              <w:rPr>
                <w:rFonts w:eastAsia="Calibri" w:cs="Arial"/>
                <w:szCs w:val="22"/>
                <w:lang w:eastAsia="en-US"/>
              </w:rPr>
              <w:t xml:space="preserve">Υπουργός </w:t>
            </w:r>
          </w:p>
          <w:p w14:paraId="060496EE" w14:textId="6BFB5BB1" w:rsidR="00E77298" w:rsidRPr="00E77298" w:rsidRDefault="009C5ABB" w:rsidP="00A372D2">
            <w:pPr>
              <w:spacing w:after="0"/>
              <w:jc w:val="center"/>
              <w:rPr>
                <w:rFonts w:eastAsia="Calibri" w:cs="Arial"/>
                <w:szCs w:val="22"/>
                <w:lang w:eastAsia="en-US"/>
              </w:rPr>
            </w:pPr>
            <w:r>
              <w:rPr>
                <w:rFonts w:eastAsia="Calibri" w:cs="Arial"/>
                <w:szCs w:val="22"/>
                <w:lang w:eastAsia="en-US"/>
              </w:rPr>
              <w:t xml:space="preserve">Εθνικής Οικονομίας και </w:t>
            </w:r>
            <w:r w:rsidR="00E77298" w:rsidRPr="00E77298">
              <w:rPr>
                <w:rFonts w:eastAsia="Calibri" w:cs="Arial"/>
                <w:szCs w:val="22"/>
                <w:lang w:eastAsia="en-US"/>
              </w:rPr>
              <w:t>Οικονομικών</w:t>
            </w:r>
          </w:p>
        </w:tc>
        <w:tc>
          <w:tcPr>
            <w:tcW w:w="4162" w:type="dxa"/>
            <w:shd w:val="clear" w:color="auto" w:fill="auto"/>
          </w:tcPr>
          <w:p w14:paraId="11AAB880" w14:textId="52E89DB3" w:rsidR="00A372D2" w:rsidRDefault="009C5ABB" w:rsidP="009C5ABB">
            <w:pPr>
              <w:spacing w:after="0"/>
              <w:jc w:val="center"/>
              <w:rPr>
                <w:rFonts w:eastAsia="Calibri" w:cs="Arial"/>
                <w:szCs w:val="22"/>
                <w:lang w:eastAsia="en-US"/>
              </w:rPr>
            </w:pPr>
            <w:r>
              <w:rPr>
                <w:rFonts w:eastAsia="Calibri" w:cs="Arial"/>
                <w:szCs w:val="22"/>
                <w:lang w:eastAsia="en-US"/>
              </w:rPr>
              <w:t xml:space="preserve">Υφυπουργός </w:t>
            </w:r>
          </w:p>
          <w:p w14:paraId="791ED8A3" w14:textId="5D74B15C" w:rsidR="00E77298" w:rsidRPr="00E77298" w:rsidRDefault="009C5ABB" w:rsidP="00A372D2">
            <w:pPr>
              <w:spacing w:after="0"/>
              <w:jc w:val="center"/>
              <w:rPr>
                <w:rFonts w:eastAsia="Calibri" w:cs="Arial"/>
                <w:szCs w:val="22"/>
                <w:lang w:eastAsia="en-US"/>
              </w:rPr>
            </w:pPr>
            <w:r>
              <w:rPr>
                <w:rFonts w:eastAsia="Calibri" w:cs="Arial"/>
                <w:szCs w:val="22"/>
                <w:lang w:eastAsia="en-US"/>
              </w:rPr>
              <w:t>Εθνικής Οικονομίας και Οικονομικών</w:t>
            </w:r>
          </w:p>
        </w:tc>
      </w:tr>
    </w:tbl>
    <w:p w14:paraId="0B653947" w14:textId="77777777" w:rsidR="00E77298" w:rsidRPr="00E77298" w:rsidRDefault="00E77298" w:rsidP="00E77298">
      <w:pPr>
        <w:sectPr w:rsidR="00E77298" w:rsidRPr="00E77298" w:rsidSect="008E7E86">
          <w:footerReference w:type="default" r:id="rId11"/>
          <w:footnotePr>
            <w:numRestart w:val="eachSect"/>
          </w:footnotePr>
          <w:pgSz w:w="11906" w:h="16838"/>
          <w:pgMar w:top="1310" w:right="1418" w:bottom="1310" w:left="1418" w:header="709" w:footer="709" w:gutter="0"/>
          <w:cols w:space="708"/>
          <w:docGrid w:linePitch="360"/>
        </w:sectPr>
      </w:pPr>
    </w:p>
    <w:p w14:paraId="108ECD21" w14:textId="60F7E68F" w:rsidR="00952818" w:rsidRDefault="00952818" w:rsidP="004D3BDA">
      <w:pPr>
        <w:pStyle w:val="afd"/>
      </w:pPr>
      <w:r>
        <w:lastRenderedPageBreak/>
        <w:t>ΠΕΡΙΕΧΟΜΕΝΑ</w:t>
      </w:r>
    </w:p>
    <w:p w14:paraId="07014C7B" w14:textId="18F99D8C" w:rsidR="004E6599" w:rsidRDefault="005B53F2">
      <w:pPr>
        <w:pStyle w:val="13"/>
        <w:rPr>
          <w:rFonts w:asciiTheme="minorHAnsi" w:eastAsiaTheme="minorEastAsia" w:hAnsiTheme="minorHAnsi" w:cstheme="minorBidi"/>
          <w:b w:val="0"/>
          <w:color w:val="auto"/>
          <w:sz w:val="22"/>
          <w:szCs w:val="22"/>
        </w:rPr>
      </w:pPr>
      <w:r w:rsidRPr="004C2EE4">
        <w:rPr>
          <w:bCs/>
          <w:caps/>
        </w:rPr>
        <w:fldChar w:fldCharType="begin"/>
      </w:r>
      <w:r w:rsidR="00E77298" w:rsidRPr="004C2EE4">
        <w:rPr>
          <w:bCs/>
          <w:caps/>
        </w:rPr>
        <w:instrText xml:space="preserve"> TOC \o "1-5" \h \z \u </w:instrText>
      </w:r>
      <w:r w:rsidRPr="004C2EE4">
        <w:rPr>
          <w:bCs/>
          <w:caps/>
        </w:rPr>
        <w:fldChar w:fldCharType="separate"/>
      </w:r>
      <w:hyperlink w:anchor="_Toc214473718" w:history="1">
        <w:r w:rsidR="004E6599" w:rsidRPr="005435D2">
          <w:rPr>
            <w:rStyle w:val="-"/>
          </w:rPr>
          <w:t>ΚΕΦΑΛΑΙΟ 1</w:t>
        </w:r>
        <w:r w:rsidR="004E6599">
          <w:rPr>
            <w:webHidden/>
          </w:rPr>
          <w:tab/>
        </w:r>
        <w:r w:rsidR="004E6599">
          <w:rPr>
            <w:webHidden/>
          </w:rPr>
          <w:fldChar w:fldCharType="begin"/>
        </w:r>
        <w:r w:rsidR="004E6599">
          <w:rPr>
            <w:webHidden/>
          </w:rPr>
          <w:instrText xml:space="preserve"> PAGEREF _Toc214473718 \h </w:instrText>
        </w:r>
        <w:r w:rsidR="004E6599">
          <w:rPr>
            <w:webHidden/>
          </w:rPr>
        </w:r>
        <w:r w:rsidR="004E6599">
          <w:rPr>
            <w:webHidden/>
          </w:rPr>
          <w:fldChar w:fldCharType="separate"/>
        </w:r>
        <w:r w:rsidR="00E15678">
          <w:rPr>
            <w:webHidden/>
          </w:rPr>
          <w:t>15</w:t>
        </w:r>
        <w:r w:rsidR="004E6599">
          <w:rPr>
            <w:webHidden/>
          </w:rPr>
          <w:fldChar w:fldCharType="end"/>
        </w:r>
      </w:hyperlink>
    </w:p>
    <w:p w14:paraId="57DFBDB5" w14:textId="4F406A78" w:rsidR="004E6599" w:rsidRDefault="0002021E">
      <w:pPr>
        <w:pStyle w:val="22"/>
        <w:rPr>
          <w:rFonts w:asciiTheme="minorHAnsi" w:eastAsiaTheme="minorEastAsia" w:hAnsiTheme="minorHAnsi" w:cstheme="minorBidi"/>
          <w:b w:val="0"/>
          <w:bCs w:val="0"/>
          <w:sz w:val="22"/>
          <w:szCs w:val="22"/>
        </w:rPr>
      </w:pPr>
      <w:hyperlink w:anchor="_Toc214473719" w:history="1">
        <w:r w:rsidR="004E6599" w:rsidRPr="005435D2">
          <w:rPr>
            <w:rStyle w:val="-"/>
          </w:rPr>
          <w:t>ΟΙΚΟΝΟΜΙΚΕΣ ΕΞΕΛΙΞΕΙΣ ΚΑΙ ΠΡΟΟΠΤΙΚΕΣ</w:t>
        </w:r>
        <w:r w:rsidR="004E6599">
          <w:rPr>
            <w:webHidden/>
          </w:rPr>
          <w:tab/>
        </w:r>
        <w:r w:rsidR="004E6599">
          <w:rPr>
            <w:webHidden/>
          </w:rPr>
          <w:fldChar w:fldCharType="begin"/>
        </w:r>
        <w:r w:rsidR="004E6599">
          <w:rPr>
            <w:webHidden/>
          </w:rPr>
          <w:instrText xml:space="preserve"> PAGEREF _Toc214473719 \h </w:instrText>
        </w:r>
        <w:r w:rsidR="004E6599">
          <w:rPr>
            <w:webHidden/>
          </w:rPr>
        </w:r>
        <w:r w:rsidR="004E6599">
          <w:rPr>
            <w:webHidden/>
          </w:rPr>
          <w:fldChar w:fldCharType="separate"/>
        </w:r>
        <w:r w:rsidR="00E15678">
          <w:rPr>
            <w:webHidden/>
          </w:rPr>
          <w:t>15</w:t>
        </w:r>
        <w:r w:rsidR="004E6599">
          <w:rPr>
            <w:webHidden/>
          </w:rPr>
          <w:fldChar w:fldCharType="end"/>
        </w:r>
      </w:hyperlink>
    </w:p>
    <w:p w14:paraId="3D7DBD58" w14:textId="674B28EA" w:rsidR="004E6599" w:rsidRPr="00C95274" w:rsidRDefault="0002021E">
      <w:pPr>
        <w:pStyle w:val="32"/>
        <w:rPr>
          <w:rFonts w:asciiTheme="minorHAnsi" w:eastAsiaTheme="minorEastAsia" w:hAnsiTheme="minorHAnsi" w:cstheme="minorBidi"/>
          <w:sz w:val="22"/>
          <w:szCs w:val="22"/>
        </w:rPr>
      </w:pPr>
      <w:hyperlink w:anchor="_Toc214473720" w:history="1">
        <w:r w:rsidR="004E6599" w:rsidRPr="00C95274">
          <w:rPr>
            <w:rStyle w:val="-"/>
            <w:color w:val="auto"/>
          </w:rPr>
          <w:t>1.1.</w:t>
        </w:r>
        <w:r w:rsidR="004E6599" w:rsidRPr="00C95274">
          <w:rPr>
            <w:rFonts w:asciiTheme="minorHAnsi" w:eastAsiaTheme="minorEastAsia" w:hAnsiTheme="minorHAnsi" w:cstheme="minorBidi"/>
            <w:sz w:val="22"/>
            <w:szCs w:val="22"/>
          </w:rPr>
          <w:tab/>
        </w:r>
        <w:r w:rsidR="004E6599" w:rsidRPr="00C95274">
          <w:rPr>
            <w:rStyle w:val="-"/>
            <w:color w:val="auto"/>
          </w:rPr>
          <w:t>Διεθνείς οικονομικές εξελίξεις</w:t>
        </w:r>
        <w:r w:rsidR="004E6599" w:rsidRPr="00C95274">
          <w:rPr>
            <w:webHidden/>
          </w:rPr>
          <w:tab/>
        </w:r>
        <w:r w:rsidR="004E6599" w:rsidRPr="00C95274">
          <w:rPr>
            <w:webHidden/>
          </w:rPr>
          <w:fldChar w:fldCharType="begin"/>
        </w:r>
        <w:r w:rsidR="004E6599" w:rsidRPr="00C95274">
          <w:rPr>
            <w:webHidden/>
          </w:rPr>
          <w:instrText xml:space="preserve"> PAGEREF _Toc214473720 \h </w:instrText>
        </w:r>
        <w:r w:rsidR="004E6599" w:rsidRPr="00C95274">
          <w:rPr>
            <w:webHidden/>
          </w:rPr>
        </w:r>
        <w:r w:rsidR="004E6599" w:rsidRPr="00C95274">
          <w:rPr>
            <w:webHidden/>
          </w:rPr>
          <w:fldChar w:fldCharType="separate"/>
        </w:r>
        <w:r w:rsidR="00E15678">
          <w:rPr>
            <w:webHidden/>
          </w:rPr>
          <w:t>15</w:t>
        </w:r>
        <w:r w:rsidR="004E6599" w:rsidRPr="00C95274">
          <w:rPr>
            <w:webHidden/>
          </w:rPr>
          <w:fldChar w:fldCharType="end"/>
        </w:r>
      </w:hyperlink>
    </w:p>
    <w:p w14:paraId="1BD5A4B9" w14:textId="0C45422C" w:rsidR="004E6599" w:rsidRPr="00C95274" w:rsidRDefault="0002021E">
      <w:pPr>
        <w:pStyle w:val="40"/>
        <w:rPr>
          <w:rFonts w:asciiTheme="minorHAnsi" w:eastAsiaTheme="minorEastAsia" w:hAnsiTheme="minorHAnsi" w:cstheme="minorBidi"/>
          <w:sz w:val="22"/>
          <w:szCs w:val="22"/>
        </w:rPr>
      </w:pPr>
      <w:hyperlink w:anchor="_Toc214473721" w:history="1">
        <w:r w:rsidR="004E6599" w:rsidRPr="00C95274">
          <w:rPr>
            <w:rStyle w:val="-"/>
            <w:color w:val="auto"/>
          </w:rPr>
          <w:t>1.1.1.</w:t>
        </w:r>
        <w:r w:rsidR="004E6599" w:rsidRPr="00C95274">
          <w:rPr>
            <w:rFonts w:asciiTheme="minorHAnsi" w:eastAsiaTheme="minorEastAsia" w:hAnsiTheme="minorHAnsi" w:cstheme="minorBidi"/>
            <w:sz w:val="22"/>
            <w:szCs w:val="22"/>
          </w:rPr>
          <w:tab/>
        </w:r>
        <w:r w:rsidR="004E6599" w:rsidRPr="00C95274">
          <w:rPr>
            <w:rStyle w:val="-"/>
            <w:color w:val="auto"/>
          </w:rPr>
          <w:t>Η ενιαία νομισματική πολιτική στην Ευρωζώνη</w:t>
        </w:r>
        <w:r w:rsidR="004E6599" w:rsidRPr="00C95274">
          <w:rPr>
            <w:webHidden/>
          </w:rPr>
          <w:tab/>
        </w:r>
        <w:r w:rsidR="004E6599" w:rsidRPr="00C95274">
          <w:rPr>
            <w:webHidden/>
          </w:rPr>
          <w:fldChar w:fldCharType="begin"/>
        </w:r>
        <w:r w:rsidR="004E6599" w:rsidRPr="00C95274">
          <w:rPr>
            <w:webHidden/>
          </w:rPr>
          <w:instrText xml:space="preserve"> PAGEREF _Toc214473721 \h </w:instrText>
        </w:r>
        <w:r w:rsidR="004E6599" w:rsidRPr="00C95274">
          <w:rPr>
            <w:webHidden/>
          </w:rPr>
        </w:r>
        <w:r w:rsidR="004E6599" w:rsidRPr="00C95274">
          <w:rPr>
            <w:webHidden/>
          </w:rPr>
          <w:fldChar w:fldCharType="separate"/>
        </w:r>
        <w:r w:rsidR="00E15678">
          <w:rPr>
            <w:webHidden/>
          </w:rPr>
          <w:t>17</w:t>
        </w:r>
        <w:r w:rsidR="004E6599" w:rsidRPr="00C95274">
          <w:rPr>
            <w:webHidden/>
          </w:rPr>
          <w:fldChar w:fldCharType="end"/>
        </w:r>
      </w:hyperlink>
    </w:p>
    <w:p w14:paraId="6E1D192F" w14:textId="51940392" w:rsidR="004E6599" w:rsidRPr="00C95274" w:rsidRDefault="0002021E">
      <w:pPr>
        <w:pStyle w:val="32"/>
        <w:rPr>
          <w:rFonts w:asciiTheme="minorHAnsi" w:eastAsiaTheme="minorEastAsia" w:hAnsiTheme="minorHAnsi" w:cstheme="minorBidi"/>
          <w:sz w:val="22"/>
          <w:szCs w:val="22"/>
        </w:rPr>
      </w:pPr>
      <w:hyperlink w:anchor="_Toc214473722" w:history="1">
        <w:r w:rsidR="004E6599" w:rsidRPr="00C95274">
          <w:rPr>
            <w:rStyle w:val="-"/>
            <w:color w:val="auto"/>
          </w:rPr>
          <w:t>1.2.</w:t>
        </w:r>
        <w:r w:rsidR="004E6599" w:rsidRPr="00C95274">
          <w:rPr>
            <w:rFonts w:asciiTheme="minorHAnsi" w:eastAsiaTheme="minorEastAsia" w:hAnsiTheme="minorHAnsi" w:cstheme="minorBidi"/>
            <w:sz w:val="22"/>
            <w:szCs w:val="22"/>
          </w:rPr>
          <w:tab/>
        </w:r>
        <w:r w:rsidR="004E6599" w:rsidRPr="00C95274">
          <w:rPr>
            <w:rStyle w:val="-"/>
            <w:color w:val="auto"/>
          </w:rPr>
          <w:t>Οι οικονομικές εξελίξεις στην Ελλάδα</w:t>
        </w:r>
        <w:r w:rsidR="004E6599" w:rsidRPr="00C95274">
          <w:rPr>
            <w:webHidden/>
          </w:rPr>
          <w:tab/>
        </w:r>
        <w:r w:rsidR="004E6599" w:rsidRPr="00C95274">
          <w:rPr>
            <w:webHidden/>
          </w:rPr>
          <w:fldChar w:fldCharType="begin"/>
        </w:r>
        <w:r w:rsidR="004E6599" w:rsidRPr="00C95274">
          <w:rPr>
            <w:webHidden/>
          </w:rPr>
          <w:instrText xml:space="preserve"> PAGEREF _Toc214473722 \h </w:instrText>
        </w:r>
        <w:r w:rsidR="004E6599" w:rsidRPr="00C95274">
          <w:rPr>
            <w:webHidden/>
          </w:rPr>
        </w:r>
        <w:r w:rsidR="004E6599" w:rsidRPr="00C95274">
          <w:rPr>
            <w:webHidden/>
          </w:rPr>
          <w:fldChar w:fldCharType="separate"/>
        </w:r>
        <w:r w:rsidR="00E15678">
          <w:rPr>
            <w:webHidden/>
          </w:rPr>
          <w:t>19</w:t>
        </w:r>
        <w:r w:rsidR="004E6599" w:rsidRPr="00C95274">
          <w:rPr>
            <w:webHidden/>
          </w:rPr>
          <w:fldChar w:fldCharType="end"/>
        </w:r>
      </w:hyperlink>
    </w:p>
    <w:p w14:paraId="6D5C00F4" w14:textId="310E9CCE" w:rsidR="004E6599" w:rsidRPr="00C95274" w:rsidRDefault="0002021E">
      <w:pPr>
        <w:pStyle w:val="40"/>
        <w:rPr>
          <w:rFonts w:asciiTheme="minorHAnsi" w:eastAsiaTheme="minorEastAsia" w:hAnsiTheme="minorHAnsi" w:cstheme="minorBidi"/>
          <w:sz w:val="22"/>
          <w:szCs w:val="22"/>
        </w:rPr>
      </w:pPr>
      <w:hyperlink w:anchor="_Toc214473723" w:history="1">
        <w:r w:rsidR="004E6599" w:rsidRPr="00C95274">
          <w:rPr>
            <w:rStyle w:val="-"/>
            <w:color w:val="auto"/>
          </w:rPr>
          <w:t>1.2.1.</w:t>
        </w:r>
        <w:r w:rsidR="004E6599" w:rsidRPr="00C95274">
          <w:rPr>
            <w:rFonts w:asciiTheme="minorHAnsi" w:eastAsiaTheme="minorEastAsia" w:hAnsiTheme="minorHAnsi" w:cstheme="minorBidi"/>
            <w:sz w:val="22"/>
            <w:szCs w:val="22"/>
          </w:rPr>
          <w:tab/>
        </w:r>
        <w:r w:rsidR="004E6599" w:rsidRPr="00C95274">
          <w:rPr>
            <w:rStyle w:val="-"/>
            <w:color w:val="auto"/>
          </w:rPr>
          <w:t>Γενική επισκόπηση της ελληνικής οικονομίας</w:t>
        </w:r>
        <w:r w:rsidR="004E6599" w:rsidRPr="00C95274">
          <w:rPr>
            <w:webHidden/>
          </w:rPr>
          <w:tab/>
        </w:r>
        <w:r w:rsidR="004E6599" w:rsidRPr="00C95274">
          <w:rPr>
            <w:webHidden/>
          </w:rPr>
          <w:fldChar w:fldCharType="begin"/>
        </w:r>
        <w:r w:rsidR="004E6599" w:rsidRPr="00C95274">
          <w:rPr>
            <w:webHidden/>
          </w:rPr>
          <w:instrText xml:space="preserve"> PAGEREF _Toc214473723 \h </w:instrText>
        </w:r>
        <w:r w:rsidR="004E6599" w:rsidRPr="00C95274">
          <w:rPr>
            <w:webHidden/>
          </w:rPr>
        </w:r>
        <w:r w:rsidR="004E6599" w:rsidRPr="00C95274">
          <w:rPr>
            <w:webHidden/>
          </w:rPr>
          <w:fldChar w:fldCharType="separate"/>
        </w:r>
        <w:r w:rsidR="00E15678">
          <w:rPr>
            <w:webHidden/>
          </w:rPr>
          <w:t>19</w:t>
        </w:r>
        <w:r w:rsidR="004E6599" w:rsidRPr="00C95274">
          <w:rPr>
            <w:webHidden/>
          </w:rPr>
          <w:fldChar w:fldCharType="end"/>
        </w:r>
      </w:hyperlink>
    </w:p>
    <w:p w14:paraId="7D9D8B98" w14:textId="275F2525" w:rsidR="004E6599" w:rsidRPr="00C95274" w:rsidRDefault="0002021E">
      <w:pPr>
        <w:pStyle w:val="40"/>
        <w:rPr>
          <w:rFonts w:asciiTheme="minorHAnsi" w:eastAsiaTheme="minorEastAsia" w:hAnsiTheme="minorHAnsi" w:cstheme="minorBidi"/>
          <w:sz w:val="22"/>
          <w:szCs w:val="22"/>
        </w:rPr>
      </w:pPr>
      <w:hyperlink w:anchor="_Toc214473724" w:history="1">
        <w:r w:rsidR="004E6599" w:rsidRPr="00C95274">
          <w:rPr>
            <w:rStyle w:val="-"/>
            <w:color w:val="auto"/>
          </w:rPr>
          <w:t>1.2.2.</w:t>
        </w:r>
        <w:r w:rsidR="004E6599" w:rsidRPr="00C95274">
          <w:rPr>
            <w:rFonts w:asciiTheme="minorHAnsi" w:eastAsiaTheme="minorEastAsia" w:hAnsiTheme="minorHAnsi" w:cstheme="minorBidi"/>
            <w:sz w:val="22"/>
            <w:szCs w:val="22"/>
          </w:rPr>
          <w:tab/>
        </w:r>
        <w:r w:rsidR="004E6599" w:rsidRPr="00C95274">
          <w:rPr>
            <w:rStyle w:val="-"/>
            <w:color w:val="auto"/>
          </w:rPr>
          <w:t>Οι εξελίξεις το 2024</w:t>
        </w:r>
        <w:r w:rsidR="004E6599" w:rsidRPr="00C95274">
          <w:rPr>
            <w:webHidden/>
          </w:rPr>
          <w:tab/>
        </w:r>
        <w:r w:rsidR="004E6599" w:rsidRPr="00C95274">
          <w:rPr>
            <w:webHidden/>
          </w:rPr>
          <w:fldChar w:fldCharType="begin"/>
        </w:r>
        <w:r w:rsidR="004E6599" w:rsidRPr="00C95274">
          <w:rPr>
            <w:webHidden/>
          </w:rPr>
          <w:instrText xml:space="preserve"> PAGEREF _Toc214473724 \h </w:instrText>
        </w:r>
        <w:r w:rsidR="004E6599" w:rsidRPr="00C95274">
          <w:rPr>
            <w:webHidden/>
          </w:rPr>
        </w:r>
        <w:r w:rsidR="004E6599" w:rsidRPr="00C95274">
          <w:rPr>
            <w:webHidden/>
          </w:rPr>
          <w:fldChar w:fldCharType="separate"/>
        </w:r>
        <w:r w:rsidR="00E15678">
          <w:rPr>
            <w:webHidden/>
          </w:rPr>
          <w:t>22</w:t>
        </w:r>
        <w:r w:rsidR="004E6599" w:rsidRPr="00C95274">
          <w:rPr>
            <w:webHidden/>
          </w:rPr>
          <w:fldChar w:fldCharType="end"/>
        </w:r>
      </w:hyperlink>
    </w:p>
    <w:p w14:paraId="20014945" w14:textId="6BAA3DC7" w:rsidR="004E6599" w:rsidRPr="00C95274" w:rsidRDefault="0002021E">
      <w:pPr>
        <w:pStyle w:val="40"/>
        <w:rPr>
          <w:rFonts w:asciiTheme="minorHAnsi" w:eastAsiaTheme="minorEastAsia" w:hAnsiTheme="minorHAnsi" w:cstheme="minorBidi"/>
          <w:sz w:val="22"/>
          <w:szCs w:val="22"/>
        </w:rPr>
      </w:pPr>
      <w:hyperlink w:anchor="_Toc214473725" w:history="1">
        <w:r w:rsidR="004E6599" w:rsidRPr="00C95274">
          <w:rPr>
            <w:rStyle w:val="-"/>
            <w:color w:val="auto"/>
          </w:rPr>
          <w:t>1.2.3.</w:t>
        </w:r>
        <w:r w:rsidR="004E6599" w:rsidRPr="00C95274">
          <w:rPr>
            <w:rFonts w:asciiTheme="minorHAnsi" w:eastAsiaTheme="minorEastAsia" w:hAnsiTheme="minorHAnsi" w:cstheme="minorBidi"/>
            <w:sz w:val="22"/>
            <w:szCs w:val="22"/>
          </w:rPr>
          <w:tab/>
        </w:r>
        <w:r w:rsidR="004E6599" w:rsidRPr="00C95274">
          <w:rPr>
            <w:rStyle w:val="-"/>
            <w:color w:val="auto"/>
          </w:rPr>
          <w:t>Οι εξελίξεις το 2025</w:t>
        </w:r>
        <w:r w:rsidR="004E6599" w:rsidRPr="00C95274">
          <w:rPr>
            <w:webHidden/>
          </w:rPr>
          <w:tab/>
        </w:r>
        <w:r w:rsidR="004E6599" w:rsidRPr="00C95274">
          <w:rPr>
            <w:webHidden/>
          </w:rPr>
          <w:fldChar w:fldCharType="begin"/>
        </w:r>
        <w:r w:rsidR="004E6599" w:rsidRPr="00C95274">
          <w:rPr>
            <w:webHidden/>
          </w:rPr>
          <w:instrText xml:space="preserve"> PAGEREF _Toc214473725 \h </w:instrText>
        </w:r>
        <w:r w:rsidR="004E6599" w:rsidRPr="00C95274">
          <w:rPr>
            <w:webHidden/>
          </w:rPr>
        </w:r>
        <w:r w:rsidR="004E6599" w:rsidRPr="00C95274">
          <w:rPr>
            <w:webHidden/>
          </w:rPr>
          <w:fldChar w:fldCharType="separate"/>
        </w:r>
        <w:r w:rsidR="00E15678">
          <w:rPr>
            <w:webHidden/>
          </w:rPr>
          <w:t>24</w:t>
        </w:r>
        <w:r w:rsidR="004E6599" w:rsidRPr="00C95274">
          <w:rPr>
            <w:webHidden/>
          </w:rPr>
          <w:fldChar w:fldCharType="end"/>
        </w:r>
      </w:hyperlink>
    </w:p>
    <w:p w14:paraId="6C64AA10" w14:textId="0EB292B7" w:rsidR="004E6599" w:rsidRPr="00C95274" w:rsidRDefault="0002021E">
      <w:pPr>
        <w:pStyle w:val="50"/>
        <w:rPr>
          <w:rFonts w:asciiTheme="minorHAnsi" w:eastAsiaTheme="minorEastAsia" w:hAnsiTheme="minorHAnsi" w:cstheme="minorBidi"/>
          <w:sz w:val="22"/>
          <w:szCs w:val="22"/>
        </w:rPr>
      </w:pPr>
      <w:hyperlink w:anchor="_Toc214473726" w:history="1">
        <w:r w:rsidR="004E6599" w:rsidRPr="00C95274">
          <w:rPr>
            <w:rStyle w:val="-"/>
            <w:color w:val="auto"/>
          </w:rPr>
          <w:t>1.2.3.1.</w:t>
        </w:r>
        <w:r w:rsidR="004E6599" w:rsidRPr="00C95274">
          <w:rPr>
            <w:rFonts w:asciiTheme="minorHAnsi" w:eastAsiaTheme="minorEastAsia" w:hAnsiTheme="minorHAnsi" w:cstheme="minorBidi"/>
            <w:sz w:val="22"/>
            <w:szCs w:val="22"/>
          </w:rPr>
          <w:tab/>
        </w:r>
        <w:r w:rsidR="004E6599" w:rsidRPr="00C95274">
          <w:rPr>
            <w:rStyle w:val="-"/>
            <w:color w:val="auto"/>
          </w:rPr>
          <w:t>Το ΑΕΠ και οι συνιστώσες του</w:t>
        </w:r>
        <w:r w:rsidR="004E6599" w:rsidRPr="00C95274">
          <w:rPr>
            <w:webHidden/>
          </w:rPr>
          <w:tab/>
        </w:r>
        <w:r w:rsidR="004E6599" w:rsidRPr="00C95274">
          <w:rPr>
            <w:webHidden/>
          </w:rPr>
          <w:fldChar w:fldCharType="begin"/>
        </w:r>
        <w:r w:rsidR="004E6599" w:rsidRPr="00C95274">
          <w:rPr>
            <w:webHidden/>
          </w:rPr>
          <w:instrText xml:space="preserve"> PAGEREF _Toc214473726 \h </w:instrText>
        </w:r>
        <w:r w:rsidR="004E6599" w:rsidRPr="00C95274">
          <w:rPr>
            <w:webHidden/>
          </w:rPr>
        </w:r>
        <w:r w:rsidR="004E6599" w:rsidRPr="00C95274">
          <w:rPr>
            <w:webHidden/>
          </w:rPr>
          <w:fldChar w:fldCharType="separate"/>
        </w:r>
        <w:r w:rsidR="00E15678">
          <w:rPr>
            <w:webHidden/>
          </w:rPr>
          <w:t>24</w:t>
        </w:r>
        <w:r w:rsidR="004E6599" w:rsidRPr="00C95274">
          <w:rPr>
            <w:webHidden/>
          </w:rPr>
          <w:fldChar w:fldCharType="end"/>
        </w:r>
      </w:hyperlink>
    </w:p>
    <w:p w14:paraId="6CDD2B62" w14:textId="3D4BD76F" w:rsidR="004E6599" w:rsidRPr="00C95274" w:rsidRDefault="0002021E">
      <w:pPr>
        <w:pStyle w:val="50"/>
        <w:rPr>
          <w:rFonts w:asciiTheme="minorHAnsi" w:eastAsiaTheme="minorEastAsia" w:hAnsiTheme="minorHAnsi" w:cstheme="minorBidi"/>
          <w:sz w:val="22"/>
          <w:szCs w:val="22"/>
        </w:rPr>
      </w:pPr>
      <w:hyperlink w:anchor="_Toc214473727" w:history="1">
        <w:r w:rsidR="004E6599" w:rsidRPr="00C95274">
          <w:rPr>
            <w:rStyle w:val="-"/>
            <w:color w:val="auto"/>
          </w:rPr>
          <w:t>1.2.3.2.</w:t>
        </w:r>
        <w:r w:rsidR="004E6599" w:rsidRPr="00C95274">
          <w:rPr>
            <w:rFonts w:asciiTheme="minorHAnsi" w:eastAsiaTheme="minorEastAsia" w:hAnsiTheme="minorHAnsi" w:cstheme="minorBidi"/>
            <w:sz w:val="22"/>
            <w:szCs w:val="22"/>
          </w:rPr>
          <w:tab/>
        </w:r>
        <w:r w:rsidR="004E6599" w:rsidRPr="00C95274">
          <w:rPr>
            <w:rStyle w:val="-"/>
            <w:color w:val="auto"/>
          </w:rPr>
          <w:t>Δείκτες Οικονομικής Συγκυρίας</w:t>
        </w:r>
        <w:r w:rsidR="004E6599" w:rsidRPr="00C95274">
          <w:rPr>
            <w:webHidden/>
          </w:rPr>
          <w:tab/>
        </w:r>
        <w:r w:rsidR="004E6599" w:rsidRPr="00C95274">
          <w:rPr>
            <w:webHidden/>
          </w:rPr>
          <w:fldChar w:fldCharType="begin"/>
        </w:r>
        <w:r w:rsidR="004E6599" w:rsidRPr="00C95274">
          <w:rPr>
            <w:webHidden/>
          </w:rPr>
          <w:instrText xml:space="preserve"> PAGEREF _Toc214473727 \h </w:instrText>
        </w:r>
        <w:r w:rsidR="004E6599" w:rsidRPr="00C95274">
          <w:rPr>
            <w:webHidden/>
          </w:rPr>
        </w:r>
        <w:r w:rsidR="004E6599" w:rsidRPr="00C95274">
          <w:rPr>
            <w:webHidden/>
          </w:rPr>
          <w:fldChar w:fldCharType="separate"/>
        </w:r>
        <w:r w:rsidR="00E15678">
          <w:rPr>
            <w:webHidden/>
          </w:rPr>
          <w:t>27</w:t>
        </w:r>
        <w:r w:rsidR="004E6599" w:rsidRPr="00C95274">
          <w:rPr>
            <w:webHidden/>
          </w:rPr>
          <w:fldChar w:fldCharType="end"/>
        </w:r>
      </w:hyperlink>
    </w:p>
    <w:p w14:paraId="7BD64D4D" w14:textId="59AF1800" w:rsidR="004E6599" w:rsidRPr="00C95274" w:rsidRDefault="0002021E">
      <w:pPr>
        <w:pStyle w:val="50"/>
        <w:rPr>
          <w:rFonts w:asciiTheme="minorHAnsi" w:eastAsiaTheme="minorEastAsia" w:hAnsiTheme="minorHAnsi" w:cstheme="minorBidi"/>
          <w:sz w:val="22"/>
          <w:szCs w:val="22"/>
        </w:rPr>
      </w:pPr>
      <w:hyperlink w:anchor="_Toc214473728" w:history="1">
        <w:r w:rsidR="004E6599" w:rsidRPr="00C95274">
          <w:rPr>
            <w:rStyle w:val="-"/>
            <w:color w:val="auto"/>
          </w:rPr>
          <w:t>1.2.3.3.</w:t>
        </w:r>
        <w:r w:rsidR="004E6599" w:rsidRPr="00C95274">
          <w:rPr>
            <w:rFonts w:asciiTheme="minorHAnsi" w:eastAsiaTheme="minorEastAsia" w:hAnsiTheme="minorHAnsi" w:cstheme="minorBidi"/>
            <w:sz w:val="22"/>
            <w:szCs w:val="22"/>
          </w:rPr>
          <w:tab/>
        </w:r>
        <w:r w:rsidR="004E6599" w:rsidRPr="00C95274">
          <w:rPr>
            <w:rStyle w:val="-"/>
            <w:color w:val="auto"/>
          </w:rPr>
          <w:t>Πληθωρισμός - Τιμές</w:t>
        </w:r>
        <w:r w:rsidR="004E6599" w:rsidRPr="00C95274">
          <w:rPr>
            <w:webHidden/>
          </w:rPr>
          <w:tab/>
        </w:r>
        <w:r w:rsidR="004E6599" w:rsidRPr="00C95274">
          <w:rPr>
            <w:webHidden/>
          </w:rPr>
          <w:fldChar w:fldCharType="begin"/>
        </w:r>
        <w:r w:rsidR="004E6599" w:rsidRPr="00C95274">
          <w:rPr>
            <w:webHidden/>
          </w:rPr>
          <w:instrText xml:space="preserve"> PAGEREF _Toc214473728 \h </w:instrText>
        </w:r>
        <w:r w:rsidR="004E6599" w:rsidRPr="00C95274">
          <w:rPr>
            <w:webHidden/>
          </w:rPr>
        </w:r>
        <w:r w:rsidR="004E6599" w:rsidRPr="00C95274">
          <w:rPr>
            <w:webHidden/>
          </w:rPr>
          <w:fldChar w:fldCharType="separate"/>
        </w:r>
        <w:r w:rsidR="00E15678">
          <w:rPr>
            <w:webHidden/>
          </w:rPr>
          <w:t>28</w:t>
        </w:r>
        <w:r w:rsidR="004E6599" w:rsidRPr="00C95274">
          <w:rPr>
            <w:webHidden/>
          </w:rPr>
          <w:fldChar w:fldCharType="end"/>
        </w:r>
      </w:hyperlink>
    </w:p>
    <w:p w14:paraId="6760892B" w14:textId="71DD4D22" w:rsidR="004E6599" w:rsidRPr="00C95274" w:rsidRDefault="0002021E">
      <w:pPr>
        <w:pStyle w:val="50"/>
        <w:rPr>
          <w:rFonts w:asciiTheme="minorHAnsi" w:eastAsiaTheme="minorEastAsia" w:hAnsiTheme="minorHAnsi" w:cstheme="minorBidi"/>
          <w:sz w:val="22"/>
          <w:szCs w:val="22"/>
        </w:rPr>
      </w:pPr>
      <w:hyperlink w:anchor="_Toc214473729" w:history="1">
        <w:r w:rsidR="004E6599" w:rsidRPr="00C95274">
          <w:rPr>
            <w:rStyle w:val="-"/>
            <w:color w:val="auto"/>
          </w:rPr>
          <w:t>1.2.3.4.</w:t>
        </w:r>
        <w:r w:rsidR="004E6599" w:rsidRPr="00C95274">
          <w:rPr>
            <w:rFonts w:asciiTheme="minorHAnsi" w:eastAsiaTheme="minorEastAsia" w:hAnsiTheme="minorHAnsi" w:cstheme="minorBidi"/>
            <w:sz w:val="22"/>
            <w:szCs w:val="22"/>
          </w:rPr>
          <w:tab/>
        </w:r>
        <w:r w:rsidR="004E6599" w:rsidRPr="00C95274">
          <w:rPr>
            <w:rStyle w:val="-"/>
            <w:color w:val="auto"/>
          </w:rPr>
          <w:t>Απασχόληση - Ανεργία</w:t>
        </w:r>
        <w:r w:rsidR="004E6599" w:rsidRPr="00C95274">
          <w:rPr>
            <w:webHidden/>
          </w:rPr>
          <w:tab/>
        </w:r>
        <w:r w:rsidR="004E6599" w:rsidRPr="00C95274">
          <w:rPr>
            <w:webHidden/>
          </w:rPr>
          <w:fldChar w:fldCharType="begin"/>
        </w:r>
        <w:r w:rsidR="004E6599" w:rsidRPr="00C95274">
          <w:rPr>
            <w:webHidden/>
          </w:rPr>
          <w:instrText xml:space="preserve"> PAGEREF _Toc214473729 \h </w:instrText>
        </w:r>
        <w:r w:rsidR="004E6599" w:rsidRPr="00C95274">
          <w:rPr>
            <w:webHidden/>
          </w:rPr>
        </w:r>
        <w:r w:rsidR="004E6599" w:rsidRPr="00C95274">
          <w:rPr>
            <w:webHidden/>
          </w:rPr>
          <w:fldChar w:fldCharType="separate"/>
        </w:r>
        <w:r w:rsidR="00E15678">
          <w:rPr>
            <w:webHidden/>
          </w:rPr>
          <w:t>29</w:t>
        </w:r>
        <w:r w:rsidR="004E6599" w:rsidRPr="00C95274">
          <w:rPr>
            <w:webHidden/>
          </w:rPr>
          <w:fldChar w:fldCharType="end"/>
        </w:r>
      </w:hyperlink>
    </w:p>
    <w:p w14:paraId="7D7B1CBF" w14:textId="5869EE2A" w:rsidR="004E6599" w:rsidRPr="00C95274" w:rsidRDefault="0002021E">
      <w:pPr>
        <w:pStyle w:val="50"/>
        <w:rPr>
          <w:rFonts w:asciiTheme="minorHAnsi" w:eastAsiaTheme="minorEastAsia" w:hAnsiTheme="minorHAnsi" w:cstheme="minorBidi"/>
          <w:sz w:val="22"/>
          <w:szCs w:val="22"/>
        </w:rPr>
      </w:pPr>
      <w:hyperlink w:anchor="_Toc214473730" w:history="1">
        <w:r w:rsidR="004E6599" w:rsidRPr="00C95274">
          <w:rPr>
            <w:rStyle w:val="-"/>
            <w:color w:val="auto"/>
          </w:rPr>
          <w:t>1.2.3.5.</w:t>
        </w:r>
        <w:r w:rsidR="004E6599" w:rsidRPr="00C95274">
          <w:rPr>
            <w:rFonts w:asciiTheme="minorHAnsi" w:eastAsiaTheme="minorEastAsia" w:hAnsiTheme="minorHAnsi" w:cstheme="minorBidi"/>
            <w:sz w:val="22"/>
            <w:szCs w:val="22"/>
          </w:rPr>
          <w:tab/>
        </w:r>
        <w:r w:rsidR="004E6599" w:rsidRPr="00C95274">
          <w:rPr>
            <w:rStyle w:val="-"/>
            <w:color w:val="auto"/>
          </w:rPr>
          <w:t>Νομισματικές και πιστωτικές εξελίξεις στην Ελλάδα το 2025</w:t>
        </w:r>
        <w:r w:rsidR="004E6599" w:rsidRPr="00C95274">
          <w:rPr>
            <w:webHidden/>
          </w:rPr>
          <w:tab/>
        </w:r>
        <w:r w:rsidR="004E6599" w:rsidRPr="00C95274">
          <w:rPr>
            <w:webHidden/>
          </w:rPr>
          <w:fldChar w:fldCharType="begin"/>
        </w:r>
        <w:r w:rsidR="004E6599" w:rsidRPr="00C95274">
          <w:rPr>
            <w:webHidden/>
          </w:rPr>
          <w:instrText xml:space="preserve"> PAGEREF _Toc214473730 \h </w:instrText>
        </w:r>
        <w:r w:rsidR="004E6599" w:rsidRPr="00C95274">
          <w:rPr>
            <w:webHidden/>
          </w:rPr>
        </w:r>
        <w:r w:rsidR="004E6599" w:rsidRPr="00C95274">
          <w:rPr>
            <w:webHidden/>
          </w:rPr>
          <w:fldChar w:fldCharType="separate"/>
        </w:r>
        <w:r w:rsidR="00E15678">
          <w:rPr>
            <w:webHidden/>
          </w:rPr>
          <w:t>30</w:t>
        </w:r>
        <w:r w:rsidR="004E6599" w:rsidRPr="00C95274">
          <w:rPr>
            <w:webHidden/>
          </w:rPr>
          <w:fldChar w:fldCharType="end"/>
        </w:r>
      </w:hyperlink>
    </w:p>
    <w:p w14:paraId="770ABB54" w14:textId="7BDD6ECF" w:rsidR="004E6599" w:rsidRPr="00C95274" w:rsidRDefault="0002021E">
      <w:pPr>
        <w:pStyle w:val="50"/>
        <w:rPr>
          <w:rFonts w:asciiTheme="minorHAnsi" w:eastAsiaTheme="minorEastAsia" w:hAnsiTheme="minorHAnsi" w:cstheme="minorBidi"/>
          <w:sz w:val="22"/>
          <w:szCs w:val="22"/>
        </w:rPr>
      </w:pPr>
      <w:hyperlink w:anchor="_Toc214473731" w:history="1">
        <w:r w:rsidR="004E6599" w:rsidRPr="00C95274">
          <w:rPr>
            <w:rStyle w:val="-"/>
            <w:color w:val="auto"/>
          </w:rPr>
          <w:t>1.2.3.6.</w:t>
        </w:r>
        <w:r w:rsidR="004E6599" w:rsidRPr="00C95274">
          <w:rPr>
            <w:rFonts w:asciiTheme="minorHAnsi" w:eastAsiaTheme="minorEastAsia" w:hAnsiTheme="minorHAnsi" w:cstheme="minorBidi"/>
            <w:sz w:val="22"/>
            <w:szCs w:val="22"/>
          </w:rPr>
          <w:tab/>
        </w:r>
        <w:r w:rsidR="004E6599" w:rsidRPr="00C95274">
          <w:rPr>
            <w:rStyle w:val="-"/>
            <w:color w:val="auto"/>
          </w:rPr>
          <w:t>Ισοζύγιο τρεχουσών συναλλαγών</w:t>
        </w:r>
        <w:r w:rsidR="004E6599" w:rsidRPr="00C95274">
          <w:rPr>
            <w:webHidden/>
          </w:rPr>
          <w:tab/>
        </w:r>
        <w:r w:rsidR="004E6599" w:rsidRPr="00C95274">
          <w:rPr>
            <w:webHidden/>
          </w:rPr>
          <w:fldChar w:fldCharType="begin"/>
        </w:r>
        <w:r w:rsidR="004E6599" w:rsidRPr="00C95274">
          <w:rPr>
            <w:webHidden/>
          </w:rPr>
          <w:instrText xml:space="preserve"> PAGEREF _Toc214473731 \h </w:instrText>
        </w:r>
        <w:r w:rsidR="004E6599" w:rsidRPr="00C95274">
          <w:rPr>
            <w:webHidden/>
          </w:rPr>
        </w:r>
        <w:r w:rsidR="004E6599" w:rsidRPr="00C95274">
          <w:rPr>
            <w:webHidden/>
          </w:rPr>
          <w:fldChar w:fldCharType="separate"/>
        </w:r>
        <w:r w:rsidR="00E15678">
          <w:rPr>
            <w:webHidden/>
          </w:rPr>
          <w:t>32</w:t>
        </w:r>
        <w:r w:rsidR="004E6599" w:rsidRPr="00C95274">
          <w:rPr>
            <w:webHidden/>
          </w:rPr>
          <w:fldChar w:fldCharType="end"/>
        </w:r>
      </w:hyperlink>
    </w:p>
    <w:p w14:paraId="71C16DBD" w14:textId="4F70B599" w:rsidR="004E6599" w:rsidRPr="00C95274" w:rsidRDefault="0002021E">
      <w:pPr>
        <w:pStyle w:val="50"/>
        <w:rPr>
          <w:rFonts w:asciiTheme="minorHAnsi" w:eastAsiaTheme="minorEastAsia" w:hAnsiTheme="minorHAnsi" w:cstheme="minorBidi"/>
          <w:sz w:val="22"/>
          <w:szCs w:val="22"/>
        </w:rPr>
      </w:pPr>
      <w:hyperlink w:anchor="_Toc214473732" w:history="1">
        <w:r w:rsidR="004E6599" w:rsidRPr="00C95274">
          <w:rPr>
            <w:rStyle w:val="-"/>
            <w:color w:val="auto"/>
          </w:rPr>
          <w:t>1.2.3.7.</w:t>
        </w:r>
        <w:r w:rsidR="004E6599" w:rsidRPr="00C95274">
          <w:rPr>
            <w:rFonts w:asciiTheme="minorHAnsi" w:eastAsiaTheme="minorEastAsia" w:hAnsiTheme="minorHAnsi" w:cstheme="minorBidi"/>
            <w:sz w:val="22"/>
            <w:szCs w:val="22"/>
          </w:rPr>
          <w:tab/>
        </w:r>
        <w:r w:rsidR="004E6599" w:rsidRPr="00C95274">
          <w:rPr>
            <w:rStyle w:val="-"/>
            <w:color w:val="auto"/>
          </w:rPr>
          <w:t>Ισοζύγιο χρηματοοικονομικών συναλλαγών</w:t>
        </w:r>
        <w:r w:rsidR="004E6599" w:rsidRPr="00C95274">
          <w:rPr>
            <w:webHidden/>
          </w:rPr>
          <w:tab/>
        </w:r>
        <w:r w:rsidR="004E6599" w:rsidRPr="00C95274">
          <w:rPr>
            <w:webHidden/>
          </w:rPr>
          <w:fldChar w:fldCharType="begin"/>
        </w:r>
        <w:r w:rsidR="004E6599" w:rsidRPr="00C95274">
          <w:rPr>
            <w:webHidden/>
          </w:rPr>
          <w:instrText xml:space="preserve"> PAGEREF _Toc214473732 \h </w:instrText>
        </w:r>
        <w:r w:rsidR="004E6599" w:rsidRPr="00C95274">
          <w:rPr>
            <w:webHidden/>
          </w:rPr>
        </w:r>
        <w:r w:rsidR="004E6599" w:rsidRPr="00C95274">
          <w:rPr>
            <w:webHidden/>
          </w:rPr>
          <w:fldChar w:fldCharType="separate"/>
        </w:r>
        <w:r w:rsidR="00E15678">
          <w:rPr>
            <w:webHidden/>
          </w:rPr>
          <w:t>34</w:t>
        </w:r>
        <w:r w:rsidR="004E6599" w:rsidRPr="00C95274">
          <w:rPr>
            <w:webHidden/>
          </w:rPr>
          <w:fldChar w:fldCharType="end"/>
        </w:r>
      </w:hyperlink>
    </w:p>
    <w:p w14:paraId="249BDEFA" w14:textId="64F3BDDB" w:rsidR="004E6599" w:rsidRPr="00C95274" w:rsidRDefault="0002021E">
      <w:pPr>
        <w:pStyle w:val="40"/>
        <w:rPr>
          <w:rFonts w:asciiTheme="minorHAnsi" w:eastAsiaTheme="minorEastAsia" w:hAnsiTheme="minorHAnsi" w:cstheme="minorBidi"/>
          <w:sz w:val="22"/>
          <w:szCs w:val="22"/>
        </w:rPr>
      </w:pPr>
      <w:hyperlink w:anchor="_Toc214473733" w:history="1">
        <w:r w:rsidR="004E6599" w:rsidRPr="00C95274">
          <w:rPr>
            <w:rStyle w:val="-"/>
            <w:color w:val="auto"/>
          </w:rPr>
          <w:t>1.2.4.</w:t>
        </w:r>
        <w:r w:rsidR="004E6599" w:rsidRPr="00C95274">
          <w:rPr>
            <w:rFonts w:asciiTheme="minorHAnsi" w:eastAsiaTheme="minorEastAsia" w:hAnsiTheme="minorHAnsi" w:cstheme="minorBidi"/>
            <w:sz w:val="22"/>
            <w:szCs w:val="22"/>
          </w:rPr>
          <w:tab/>
        </w:r>
        <w:r w:rsidR="004E6599" w:rsidRPr="00C95274">
          <w:rPr>
            <w:rStyle w:val="-"/>
            <w:color w:val="auto"/>
          </w:rPr>
          <w:t>Οι προοπτικές το 2026</w:t>
        </w:r>
        <w:r w:rsidR="004E6599" w:rsidRPr="00C95274">
          <w:rPr>
            <w:webHidden/>
          </w:rPr>
          <w:tab/>
        </w:r>
        <w:r w:rsidR="004E6599" w:rsidRPr="00C95274">
          <w:rPr>
            <w:webHidden/>
          </w:rPr>
          <w:fldChar w:fldCharType="begin"/>
        </w:r>
        <w:r w:rsidR="004E6599" w:rsidRPr="00C95274">
          <w:rPr>
            <w:webHidden/>
          </w:rPr>
          <w:instrText xml:space="preserve"> PAGEREF _Toc214473733 \h </w:instrText>
        </w:r>
        <w:r w:rsidR="004E6599" w:rsidRPr="00C95274">
          <w:rPr>
            <w:webHidden/>
          </w:rPr>
        </w:r>
        <w:r w:rsidR="004E6599" w:rsidRPr="00C95274">
          <w:rPr>
            <w:webHidden/>
          </w:rPr>
          <w:fldChar w:fldCharType="separate"/>
        </w:r>
        <w:r w:rsidR="00E15678">
          <w:rPr>
            <w:webHidden/>
          </w:rPr>
          <w:t>34</w:t>
        </w:r>
        <w:r w:rsidR="004E6599" w:rsidRPr="00C95274">
          <w:rPr>
            <w:webHidden/>
          </w:rPr>
          <w:fldChar w:fldCharType="end"/>
        </w:r>
      </w:hyperlink>
    </w:p>
    <w:p w14:paraId="0AC5E548" w14:textId="7D3C84DC" w:rsidR="004E6599" w:rsidRDefault="0002021E">
      <w:pPr>
        <w:pStyle w:val="13"/>
        <w:rPr>
          <w:rFonts w:asciiTheme="minorHAnsi" w:eastAsiaTheme="minorEastAsia" w:hAnsiTheme="minorHAnsi" w:cstheme="minorBidi"/>
          <w:b w:val="0"/>
          <w:color w:val="auto"/>
          <w:sz w:val="22"/>
          <w:szCs w:val="22"/>
        </w:rPr>
      </w:pPr>
      <w:hyperlink w:anchor="_Toc214473734" w:history="1">
        <w:r w:rsidR="004E6599" w:rsidRPr="005435D2">
          <w:rPr>
            <w:rStyle w:val="-"/>
          </w:rPr>
          <w:t>ΚΕΦΑΛΑΙΟ 2</w:t>
        </w:r>
        <w:r w:rsidR="004E6599">
          <w:rPr>
            <w:webHidden/>
          </w:rPr>
          <w:tab/>
        </w:r>
        <w:r w:rsidR="004E6599">
          <w:rPr>
            <w:webHidden/>
          </w:rPr>
          <w:fldChar w:fldCharType="begin"/>
        </w:r>
        <w:r w:rsidR="004E6599">
          <w:rPr>
            <w:webHidden/>
          </w:rPr>
          <w:instrText xml:space="preserve"> PAGEREF _Toc214473734 \h </w:instrText>
        </w:r>
        <w:r w:rsidR="004E6599">
          <w:rPr>
            <w:webHidden/>
          </w:rPr>
        </w:r>
        <w:r w:rsidR="004E6599">
          <w:rPr>
            <w:webHidden/>
          </w:rPr>
          <w:fldChar w:fldCharType="separate"/>
        </w:r>
        <w:r w:rsidR="00E15678">
          <w:rPr>
            <w:webHidden/>
          </w:rPr>
          <w:t>41</w:t>
        </w:r>
        <w:r w:rsidR="004E6599">
          <w:rPr>
            <w:webHidden/>
          </w:rPr>
          <w:fldChar w:fldCharType="end"/>
        </w:r>
      </w:hyperlink>
    </w:p>
    <w:p w14:paraId="64F9A111" w14:textId="48B7F9F6" w:rsidR="004E6599" w:rsidRDefault="0002021E">
      <w:pPr>
        <w:pStyle w:val="22"/>
        <w:rPr>
          <w:rFonts w:asciiTheme="minorHAnsi" w:eastAsiaTheme="minorEastAsia" w:hAnsiTheme="minorHAnsi" w:cstheme="minorBidi"/>
          <w:b w:val="0"/>
          <w:bCs w:val="0"/>
          <w:sz w:val="22"/>
          <w:szCs w:val="22"/>
        </w:rPr>
      </w:pPr>
      <w:hyperlink w:anchor="_Toc214473735" w:history="1">
        <w:r w:rsidR="004E6599" w:rsidRPr="005435D2">
          <w:rPr>
            <w:rStyle w:val="-"/>
          </w:rPr>
          <w:t>ΠΡΟΫΠΟΛΟΓΙΣΜΟΣ ΕΠΙΔΟΣΕΩΝ - ΕΠΙΣΚΟΠΗΣΕΙΣ ΔΑΠΑΝΩΝ ΚΑΙ ΕΣΟΔΩΝ</w:t>
        </w:r>
        <w:r w:rsidR="004E6599">
          <w:rPr>
            <w:webHidden/>
          </w:rPr>
          <w:tab/>
        </w:r>
        <w:r w:rsidR="004E6599">
          <w:rPr>
            <w:webHidden/>
          </w:rPr>
          <w:fldChar w:fldCharType="begin"/>
        </w:r>
        <w:r w:rsidR="004E6599">
          <w:rPr>
            <w:webHidden/>
          </w:rPr>
          <w:instrText xml:space="preserve"> PAGEREF _Toc214473735 \h </w:instrText>
        </w:r>
        <w:r w:rsidR="004E6599">
          <w:rPr>
            <w:webHidden/>
          </w:rPr>
        </w:r>
        <w:r w:rsidR="004E6599">
          <w:rPr>
            <w:webHidden/>
          </w:rPr>
          <w:fldChar w:fldCharType="separate"/>
        </w:r>
        <w:r w:rsidR="00E15678">
          <w:rPr>
            <w:webHidden/>
          </w:rPr>
          <w:t>41</w:t>
        </w:r>
        <w:r w:rsidR="004E6599">
          <w:rPr>
            <w:webHidden/>
          </w:rPr>
          <w:fldChar w:fldCharType="end"/>
        </w:r>
      </w:hyperlink>
    </w:p>
    <w:p w14:paraId="57A505EE" w14:textId="10F74F06" w:rsidR="004E6599" w:rsidRDefault="0002021E">
      <w:pPr>
        <w:pStyle w:val="32"/>
        <w:rPr>
          <w:rFonts w:asciiTheme="minorHAnsi" w:eastAsiaTheme="minorEastAsia" w:hAnsiTheme="minorHAnsi" w:cstheme="minorBidi"/>
          <w:sz w:val="22"/>
          <w:szCs w:val="22"/>
        </w:rPr>
      </w:pPr>
      <w:hyperlink w:anchor="_Toc214473736" w:history="1">
        <w:r w:rsidR="004E6599" w:rsidRPr="005435D2">
          <w:rPr>
            <w:rStyle w:val="-"/>
          </w:rPr>
          <w:t>2.1.</w:t>
        </w:r>
        <w:r w:rsidR="004E6599">
          <w:rPr>
            <w:rFonts w:asciiTheme="minorHAnsi" w:eastAsiaTheme="minorEastAsia" w:hAnsiTheme="minorHAnsi" w:cstheme="minorBidi"/>
            <w:sz w:val="22"/>
            <w:szCs w:val="22"/>
          </w:rPr>
          <w:tab/>
        </w:r>
        <w:r w:rsidR="004E6599" w:rsidRPr="005435D2">
          <w:rPr>
            <w:rStyle w:val="-"/>
          </w:rPr>
          <w:t>Μεταρρυθμίσεις στη δημοσιονομική διαχείριση</w:t>
        </w:r>
        <w:r w:rsidR="004E6599">
          <w:rPr>
            <w:webHidden/>
          </w:rPr>
          <w:tab/>
        </w:r>
        <w:r w:rsidR="004E6599">
          <w:rPr>
            <w:webHidden/>
          </w:rPr>
          <w:fldChar w:fldCharType="begin"/>
        </w:r>
        <w:r w:rsidR="004E6599">
          <w:rPr>
            <w:webHidden/>
          </w:rPr>
          <w:instrText xml:space="preserve"> PAGEREF _Toc214473736 \h </w:instrText>
        </w:r>
        <w:r w:rsidR="004E6599">
          <w:rPr>
            <w:webHidden/>
          </w:rPr>
        </w:r>
        <w:r w:rsidR="004E6599">
          <w:rPr>
            <w:webHidden/>
          </w:rPr>
          <w:fldChar w:fldCharType="separate"/>
        </w:r>
        <w:r w:rsidR="00E15678">
          <w:rPr>
            <w:webHidden/>
          </w:rPr>
          <w:t>41</w:t>
        </w:r>
        <w:r w:rsidR="004E6599">
          <w:rPr>
            <w:webHidden/>
          </w:rPr>
          <w:fldChar w:fldCharType="end"/>
        </w:r>
      </w:hyperlink>
    </w:p>
    <w:p w14:paraId="70E165DB" w14:textId="4B020993" w:rsidR="004E6599" w:rsidRDefault="0002021E">
      <w:pPr>
        <w:pStyle w:val="40"/>
        <w:rPr>
          <w:rFonts w:asciiTheme="minorHAnsi" w:eastAsiaTheme="minorEastAsia" w:hAnsiTheme="minorHAnsi" w:cstheme="minorBidi"/>
          <w:sz w:val="22"/>
          <w:szCs w:val="22"/>
        </w:rPr>
      </w:pPr>
      <w:hyperlink w:anchor="_Toc214473737" w:history="1">
        <w:r w:rsidR="004E6599" w:rsidRPr="005435D2">
          <w:rPr>
            <w:rStyle w:val="-"/>
          </w:rPr>
          <w:t>2.1.1.</w:t>
        </w:r>
        <w:r w:rsidR="004E6599">
          <w:rPr>
            <w:rFonts w:asciiTheme="minorHAnsi" w:eastAsiaTheme="minorEastAsia" w:hAnsiTheme="minorHAnsi" w:cstheme="minorBidi"/>
            <w:sz w:val="22"/>
            <w:szCs w:val="22"/>
          </w:rPr>
          <w:tab/>
        </w:r>
        <w:r w:rsidR="004E6599" w:rsidRPr="005435D2">
          <w:rPr>
            <w:rStyle w:val="-"/>
          </w:rPr>
          <w:t>Επισκόπηση δαπανών και εσόδων της Γενικής Κυβέρνησης</w:t>
        </w:r>
        <w:r w:rsidR="004E6599">
          <w:rPr>
            <w:webHidden/>
          </w:rPr>
          <w:tab/>
        </w:r>
        <w:r w:rsidR="004E6599">
          <w:rPr>
            <w:webHidden/>
          </w:rPr>
          <w:fldChar w:fldCharType="begin"/>
        </w:r>
        <w:r w:rsidR="004E6599">
          <w:rPr>
            <w:webHidden/>
          </w:rPr>
          <w:instrText xml:space="preserve"> PAGEREF _Toc214473737 \h </w:instrText>
        </w:r>
        <w:r w:rsidR="004E6599">
          <w:rPr>
            <w:webHidden/>
          </w:rPr>
        </w:r>
        <w:r w:rsidR="004E6599">
          <w:rPr>
            <w:webHidden/>
          </w:rPr>
          <w:fldChar w:fldCharType="separate"/>
        </w:r>
        <w:r w:rsidR="00E15678">
          <w:rPr>
            <w:webHidden/>
          </w:rPr>
          <w:t>41</w:t>
        </w:r>
        <w:r w:rsidR="004E6599">
          <w:rPr>
            <w:webHidden/>
          </w:rPr>
          <w:fldChar w:fldCharType="end"/>
        </w:r>
      </w:hyperlink>
    </w:p>
    <w:p w14:paraId="120D8011" w14:textId="425FD36F" w:rsidR="004E6599" w:rsidRDefault="0002021E">
      <w:pPr>
        <w:pStyle w:val="40"/>
        <w:rPr>
          <w:rFonts w:asciiTheme="minorHAnsi" w:eastAsiaTheme="minorEastAsia" w:hAnsiTheme="minorHAnsi" w:cstheme="minorBidi"/>
          <w:sz w:val="22"/>
          <w:szCs w:val="22"/>
        </w:rPr>
      </w:pPr>
      <w:hyperlink w:anchor="_Toc214473738" w:history="1">
        <w:r w:rsidR="004E6599" w:rsidRPr="005435D2">
          <w:rPr>
            <w:rStyle w:val="-"/>
          </w:rPr>
          <w:t>2.1.2.</w:t>
        </w:r>
        <w:r w:rsidR="004E6599">
          <w:rPr>
            <w:rFonts w:asciiTheme="minorHAnsi" w:eastAsiaTheme="minorEastAsia" w:hAnsiTheme="minorHAnsi" w:cstheme="minorBidi"/>
            <w:sz w:val="22"/>
            <w:szCs w:val="22"/>
          </w:rPr>
          <w:tab/>
        </w:r>
        <w:r w:rsidR="004E6599" w:rsidRPr="005435D2">
          <w:rPr>
            <w:rStyle w:val="-"/>
          </w:rPr>
          <w:t>Προϋπολογισμός επιδόσεων</w:t>
        </w:r>
        <w:r w:rsidR="004E6599">
          <w:rPr>
            <w:webHidden/>
          </w:rPr>
          <w:tab/>
        </w:r>
        <w:r w:rsidR="004E6599">
          <w:rPr>
            <w:webHidden/>
          </w:rPr>
          <w:fldChar w:fldCharType="begin"/>
        </w:r>
        <w:r w:rsidR="004E6599">
          <w:rPr>
            <w:webHidden/>
          </w:rPr>
          <w:instrText xml:space="preserve"> PAGEREF _Toc214473738 \h </w:instrText>
        </w:r>
        <w:r w:rsidR="004E6599">
          <w:rPr>
            <w:webHidden/>
          </w:rPr>
        </w:r>
        <w:r w:rsidR="004E6599">
          <w:rPr>
            <w:webHidden/>
          </w:rPr>
          <w:fldChar w:fldCharType="separate"/>
        </w:r>
        <w:r w:rsidR="00E15678">
          <w:rPr>
            <w:webHidden/>
          </w:rPr>
          <w:t>41</w:t>
        </w:r>
        <w:r w:rsidR="004E6599">
          <w:rPr>
            <w:webHidden/>
          </w:rPr>
          <w:fldChar w:fldCharType="end"/>
        </w:r>
      </w:hyperlink>
    </w:p>
    <w:p w14:paraId="2AF6C93E" w14:textId="1EAD8E80" w:rsidR="004E6599" w:rsidRDefault="0002021E">
      <w:pPr>
        <w:pStyle w:val="40"/>
        <w:rPr>
          <w:rFonts w:asciiTheme="minorHAnsi" w:eastAsiaTheme="minorEastAsia" w:hAnsiTheme="minorHAnsi" w:cstheme="minorBidi"/>
          <w:sz w:val="22"/>
          <w:szCs w:val="22"/>
        </w:rPr>
      </w:pPr>
      <w:hyperlink w:anchor="_Toc214473739" w:history="1">
        <w:r w:rsidR="004E6599" w:rsidRPr="005435D2">
          <w:rPr>
            <w:rStyle w:val="-"/>
          </w:rPr>
          <w:t>2.1.3.</w:t>
        </w:r>
        <w:r w:rsidR="004E6599">
          <w:rPr>
            <w:rFonts w:asciiTheme="minorHAnsi" w:eastAsiaTheme="minorEastAsia" w:hAnsiTheme="minorHAnsi" w:cstheme="minorBidi"/>
            <w:sz w:val="22"/>
            <w:szCs w:val="22"/>
          </w:rPr>
          <w:tab/>
        </w:r>
        <w:r w:rsidR="004E6599" w:rsidRPr="005435D2">
          <w:rPr>
            <w:rStyle w:val="-"/>
          </w:rPr>
          <w:t>Ανάπτυξη λειτουργικής ταξινόμησης του προϋπολογισμού</w:t>
        </w:r>
        <w:r w:rsidR="004E6599">
          <w:rPr>
            <w:webHidden/>
          </w:rPr>
          <w:tab/>
        </w:r>
        <w:r w:rsidR="004E6599">
          <w:rPr>
            <w:webHidden/>
          </w:rPr>
          <w:fldChar w:fldCharType="begin"/>
        </w:r>
        <w:r w:rsidR="004E6599">
          <w:rPr>
            <w:webHidden/>
          </w:rPr>
          <w:instrText xml:space="preserve"> PAGEREF _Toc214473739 \h </w:instrText>
        </w:r>
        <w:r w:rsidR="004E6599">
          <w:rPr>
            <w:webHidden/>
          </w:rPr>
        </w:r>
        <w:r w:rsidR="004E6599">
          <w:rPr>
            <w:webHidden/>
          </w:rPr>
          <w:fldChar w:fldCharType="separate"/>
        </w:r>
        <w:r w:rsidR="00E15678">
          <w:rPr>
            <w:webHidden/>
          </w:rPr>
          <w:t>91</w:t>
        </w:r>
        <w:r w:rsidR="004E6599">
          <w:rPr>
            <w:webHidden/>
          </w:rPr>
          <w:fldChar w:fldCharType="end"/>
        </w:r>
      </w:hyperlink>
    </w:p>
    <w:p w14:paraId="58932AC9" w14:textId="5E04E3EF" w:rsidR="004E6599" w:rsidRDefault="0002021E">
      <w:pPr>
        <w:pStyle w:val="40"/>
        <w:rPr>
          <w:rFonts w:asciiTheme="minorHAnsi" w:eastAsiaTheme="minorEastAsia" w:hAnsiTheme="minorHAnsi" w:cstheme="minorBidi"/>
          <w:sz w:val="22"/>
          <w:szCs w:val="22"/>
        </w:rPr>
      </w:pPr>
      <w:hyperlink w:anchor="_Toc214473740" w:history="1">
        <w:r w:rsidR="004E6599" w:rsidRPr="005435D2">
          <w:rPr>
            <w:rStyle w:val="-"/>
          </w:rPr>
          <w:t>2.1.4.</w:t>
        </w:r>
        <w:r w:rsidR="004E6599">
          <w:rPr>
            <w:rFonts w:asciiTheme="minorHAnsi" w:eastAsiaTheme="minorEastAsia" w:hAnsiTheme="minorHAnsi" w:cstheme="minorBidi"/>
            <w:sz w:val="22"/>
            <w:szCs w:val="22"/>
          </w:rPr>
          <w:tab/>
        </w:r>
        <w:r w:rsidR="004E6599" w:rsidRPr="005435D2">
          <w:rPr>
            <w:rStyle w:val="-"/>
          </w:rPr>
          <w:t>Ενσωμάτωση της περιβαλλοντικής διάστασης στον προϋπολογισμό (Green Budgeting)</w:t>
        </w:r>
        <w:r w:rsidR="004E6599">
          <w:rPr>
            <w:webHidden/>
          </w:rPr>
          <w:tab/>
        </w:r>
        <w:r w:rsidR="004E6599">
          <w:rPr>
            <w:webHidden/>
          </w:rPr>
          <w:fldChar w:fldCharType="begin"/>
        </w:r>
        <w:r w:rsidR="004E6599">
          <w:rPr>
            <w:webHidden/>
          </w:rPr>
          <w:instrText xml:space="preserve"> PAGEREF _Toc214473740 \h </w:instrText>
        </w:r>
        <w:r w:rsidR="004E6599">
          <w:rPr>
            <w:webHidden/>
          </w:rPr>
        </w:r>
        <w:r w:rsidR="004E6599">
          <w:rPr>
            <w:webHidden/>
          </w:rPr>
          <w:fldChar w:fldCharType="separate"/>
        </w:r>
        <w:r w:rsidR="00E15678">
          <w:rPr>
            <w:webHidden/>
          </w:rPr>
          <w:t>93</w:t>
        </w:r>
        <w:r w:rsidR="004E6599">
          <w:rPr>
            <w:webHidden/>
          </w:rPr>
          <w:fldChar w:fldCharType="end"/>
        </w:r>
      </w:hyperlink>
    </w:p>
    <w:p w14:paraId="20DD4401" w14:textId="03F56BF7" w:rsidR="004E6599" w:rsidRDefault="0002021E">
      <w:pPr>
        <w:pStyle w:val="13"/>
        <w:rPr>
          <w:rFonts w:asciiTheme="minorHAnsi" w:eastAsiaTheme="minorEastAsia" w:hAnsiTheme="minorHAnsi" w:cstheme="minorBidi"/>
          <w:b w:val="0"/>
          <w:color w:val="auto"/>
          <w:sz w:val="22"/>
          <w:szCs w:val="22"/>
        </w:rPr>
      </w:pPr>
      <w:hyperlink w:anchor="_Toc214473741" w:history="1">
        <w:r w:rsidR="004E6599" w:rsidRPr="005435D2">
          <w:rPr>
            <w:rStyle w:val="-"/>
          </w:rPr>
          <w:t>ΚΕΦΑΛΑΙΟ 3</w:t>
        </w:r>
        <w:r w:rsidR="004E6599">
          <w:rPr>
            <w:webHidden/>
          </w:rPr>
          <w:tab/>
        </w:r>
        <w:r w:rsidR="004E6599">
          <w:rPr>
            <w:webHidden/>
          </w:rPr>
          <w:fldChar w:fldCharType="begin"/>
        </w:r>
        <w:r w:rsidR="004E6599">
          <w:rPr>
            <w:webHidden/>
          </w:rPr>
          <w:instrText xml:space="preserve"> PAGEREF _Toc214473741 \h </w:instrText>
        </w:r>
        <w:r w:rsidR="004E6599">
          <w:rPr>
            <w:webHidden/>
          </w:rPr>
        </w:r>
        <w:r w:rsidR="004E6599">
          <w:rPr>
            <w:webHidden/>
          </w:rPr>
          <w:fldChar w:fldCharType="separate"/>
        </w:r>
        <w:r w:rsidR="00E15678">
          <w:rPr>
            <w:webHidden/>
          </w:rPr>
          <w:t>103</w:t>
        </w:r>
        <w:r w:rsidR="004E6599">
          <w:rPr>
            <w:webHidden/>
          </w:rPr>
          <w:fldChar w:fldCharType="end"/>
        </w:r>
      </w:hyperlink>
    </w:p>
    <w:p w14:paraId="63868BD0" w14:textId="7DFE40EC" w:rsidR="004E6599" w:rsidRDefault="0002021E">
      <w:pPr>
        <w:pStyle w:val="22"/>
        <w:rPr>
          <w:rFonts w:asciiTheme="minorHAnsi" w:eastAsiaTheme="minorEastAsia" w:hAnsiTheme="minorHAnsi" w:cstheme="minorBidi"/>
          <w:b w:val="0"/>
          <w:bCs w:val="0"/>
          <w:sz w:val="22"/>
          <w:szCs w:val="22"/>
        </w:rPr>
      </w:pPr>
      <w:hyperlink w:anchor="_Toc214473742" w:history="1">
        <w:r w:rsidR="004E6599" w:rsidRPr="005435D2">
          <w:rPr>
            <w:rStyle w:val="-"/>
          </w:rPr>
          <w:t>ΠΡΟΫΠΟΛΟΓΙΣΜΟΣ ΓΕΝΙΚΗΣ ΚΥΒΕΡΝΗΣΗΣ</w:t>
        </w:r>
        <w:r w:rsidR="004E6599">
          <w:rPr>
            <w:webHidden/>
          </w:rPr>
          <w:tab/>
        </w:r>
        <w:r w:rsidR="004E6599">
          <w:rPr>
            <w:webHidden/>
          </w:rPr>
          <w:fldChar w:fldCharType="begin"/>
        </w:r>
        <w:r w:rsidR="004E6599">
          <w:rPr>
            <w:webHidden/>
          </w:rPr>
          <w:instrText xml:space="preserve"> PAGEREF _Toc214473742 \h </w:instrText>
        </w:r>
        <w:r w:rsidR="004E6599">
          <w:rPr>
            <w:webHidden/>
          </w:rPr>
        </w:r>
        <w:r w:rsidR="004E6599">
          <w:rPr>
            <w:webHidden/>
          </w:rPr>
          <w:fldChar w:fldCharType="separate"/>
        </w:r>
        <w:r w:rsidR="00E15678">
          <w:rPr>
            <w:webHidden/>
          </w:rPr>
          <w:t>103</w:t>
        </w:r>
        <w:r w:rsidR="004E6599">
          <w:rPr>
            <w:webHidden/>
          </w:rPr>
          <w:fldChar w:fldCharType="end"/>
        </w:r>
      </w:hyperlink>
    </w:p>
    <w:p w14:paraId="3BAEA645" w14:textId="0B655275" w:rsidR="004E6599" w:rsidRDefault="0002021E">
      <w:pPr>
        <w:pStyle w:val="32"/>
        <w:rPr>
          <w:rFonts w:asciiTheme="minorHAnsi" w:eastAsiaTheme="minorEastAsia" w:hAnsiTheme="minorHAnsi" w:cstheme="minorBidi"/>
          <w:sz w:val="22"/>
          <w:szCs w:val="22"/>
        </w:rPr>
      </w:pPr>
      <w:hyperlink w:anchor="_Toc214473743" w:history="1">
        <w:r w:rsidR="004E6599" w:rsidRPr="005435D2">
          <w:rPr>
            <w:rStyle w:val="-"/>
          </w:rPr>
          <w:t>3.1.</w:t>
        </w:r>
        <w:r w:rsidR="004E6599">
          <w:rPr>
            <w:rFonts w:asciiTheme="minorHAnsi" w:eastAsiaTheme="minorEastAsia" w:hAnsiTheme="minorHAnsi" w:cstheme="minorBidi"/>
            <w:sz w:val="22"/>
            <w:szCs w:val="22"/>
          </w:rPr>
          <w:tab/>
        </w:r>
        <w:r w:rsidR="004E6599" w:rsidRPr="005435D2">
          <w:rPr>
            <w:rStyle w:val="-"/>
          </w:rPr>
          <w:t>Βασικά μεγέθη προϋπολογισμού Γενικής Κυβέρνησης 2025</w:t>
        </w:r>
        <w:r w:rsidR="004E6599">
          <w:rPr>
            <w:webHidden/>
          </w:rPr>
          <w:tab/>
        </w:r>
        <w:r w:rsidR="004E6599">
          <w:rPr>
            <w:webHidden/>
          </w:rPr>
          <w:fldChar w:fldCharType="begin"/>
        </w:r>
        <w:r w:rsidR="004E6599">
          <w:rPr>
            <w:webHidden/>
          </w:rPr>
          <w:instrText xml:space="preserve"> PAGEREF _Toc214473743 \h </w:instrText>
        </w:r>
        <w:r w:rsidR="004E6599">
          <w:rPr>
            <w:webHidden/>
          </w:rPr>
        </w:r>
        <w:r w:rsidR="004E6599">
          <w:rPr>
            <w:webHidden/>
          </w:rPr>
          <w:fldChar w:fldCharType="separate"/>
        </w:r>
        <w:r w:rsidR="00E15678">
          <w:rPr>
            <w:webHidden/>
          </w:rPr>
          <w:t>103</w:t>
        </w:r>
        <w:r w:rsidR="004E6599">
          <w:rPr>
            <w:webHidden/>
          </w:rPr>
          <w:fldChar w:fldCharType="end"/>
        </w:r>
      </w:hyperlink>
    </w:p>
    <w:p w14:paraId="362D7AA3" w14:textId="5DB9FA5E" w:rsidR="004E6599" w:rsidRDefault="0002021E">
      <w:pPr>
        <w:pStyle w:val="40"/>
        <w:rPr>
          <w:rFonts w:asciiTheme="minorHAnsi" w:eastAsiaTheme="minorEastAsia" w:hAnsiTheme="minorHAnsi" w:cstheme="minorBidi"/>
          <w:sz w:val="22"/>
          <w:szCs w:val="22"/>
        </w:rPr>
      </w:pPr>
      <w:hyperlink w:anchor="_Toc214473744" w:history="1">
        <w:r w:rsidR="004E6599" w:rsidRPr="005435D2">
          <w:rPr>
            <w:rStyle w:val="-"/>
          </w:rPr>
          <w:t>3.1.1.</w:t>
        </w:r>
        <w:r w:rsidR="004E6599">
          <w:rPr>
            <w:rFonts w:asciiTheme="minorHAnsi" w:eastAsiaTheme="minorEastAsia" w:hAnsiTheme="minorHAnsi" w:cstheme="minorBidi"/>
            <w:sz w:val="22"/>
            <w:szCs w:val="22"/>
          </w:rPr>
          <w:tab/>
        </w:r>
        <w:r w:rsidR="004E6599" w:rsidRPr="005435D2">
          <w:rPr>
            <w:rStyle w:val="-"/>
          </w:rPr>
          <w:t>Κρατικός προϋπολογισμός 202</w:t>
        </w:r>
        <w:r w:rsidR="004E6599" w:rsidRPr="005435D2">
          <w:rPr>
            <w:rStyle w:val="-"/>
            <w:lang w:val="en-US"/>
          </w:rPr>
          <w:t>5</w:t>
        </w:r>
        <w:r w:rsidR="004E6599">
          <w:rPr>
            <w:webHidden/>
          </w:rPr>
          <w:tab/>
        </w:r>
        <w:r w:rsidR="004E6599">
          <w:rPr>
            <w:webHidden/>
          </w:rPr>
          <w:fldChar w:fldCharType="begin"/>
        </w:r>
        <w:r w:rsidR="004E6599">
          <w:rPr>
            <w:webHidden/>
          </w:rPr>
          <w:instrText xml:space="preserve"> PAGEREF _Toc214473744 \h </w:instrText>
        </w:r>
        <w:r w:rsidR="004E6599">
          <w:rPr>
            <w:webHidden/>
          </w:rPr>
        </w:r>
        <w:r w:rsidR="004E6599">
          <w:rPr>
            <w:webHidden/>
          </w:rPr>
          <w:fldChar w:fldCharType="separate"/>
        </w:r>
        <w:r w:rsidR="00E15678">
          <w:rPr>
            <w:webHidden/>
          </w:rPr>
          <w:t>106</w:t>
        </w:r>
        <w:r w:rsidR="004E6599">
          <w:rPr>
            <w:webHidden/>
          </w:rPr>
          <w:fldChar w:fldCharType="end"/>
        </w:r>
      </w:hyperlink>
    </w:p>
    <w:p w14:paraId="09C68354" w14:textId="5E1B37EF" w:rsidR="004E6599" w:rsidRDefault="0002021E">
      <w:pPr>
        <w:pStyle w:val="50"/>
        <w:rPr>
          <w:rFonts w:asciiTheme="minorHAnsi" w:eastAsiaTheme="minorEastAsia" w:hAnsiTheme="minorHAnsi" w:cstheme="minorBidi"/>
          <w:sz w:val="22"/>
          <w:szCs w:val="22"/>
        </w:rPr>
      </w:pPr>
      <w:hyperlink w:anchor="_Toc214473745" w:history="1">
        <w:r w:rsidR="004E6599" w:rsidRPr="005435D2">
          <w:rPr>
            <w:rStyle w:val="-"/>
            <w:lang w:eastAsia="en-US"/>
          </w:rPr>
          <w:t>3.1.1.1.</w:t>
        </w:r>
        <w:r w:rsidR="004E6599">
          <w:rPr>
            <w:rFonts w:asciiTheme="minorHAnsi" w:eastAsiaTheme="minorEastAsia" w:hAnsiTheme="minorHAnsi" w:cstheme="minorBidi"/>
            <w:sz w:val="22"/>
            <w:szCs w:val="22"/>
          </w:rPr>
          <w:tab/>
        </w:r>
        <w:r w:rsidR="004E6599" w:rsidRPr="005435D2">
          <w:rPr>
            <w:rStyle w:val="-"/>
            <w:lang w:eastAsia="en-US"/>
          </w:rPr>
          <w:t>Έσοδα σε δημοσιονομική βάση</w:t>
        </w:r>
        <w:r w:rsidR="004E6599">
          <w:rPr>
            <w:webHidden/>
          </w:rPr>
          <w:tab/>
        </w:r>
        <w:r w:rsidR="004E6599">
          <w:rPr>
            <w:webHidden/>
          </w:rPr>
          <w:fldChar w:fldCharType="begin"/>
        </w:r>
        <w:r w:rsidR="004E6599">
          <w:rPr>
            <w:webHidden/>
          </w:rPr>
          <w:instrText xml:space="preserve"> PAGEREF _Toc214473745 \h </w:instrText>
        </w:r>
        <w:r w:rsidR="004E6599">
          <w:rPr>
            <w:webHidden/>
          </w:rPr>
        </w:r>
        <w:r w:rsidR="004E6599">
          <w:rPr>
            <w:webHidden/>
          </w:rPr>
          <w:fldChar w:fldCharType="separate"/>
        </w:r>
        <w:r w:rsidR="00E15678">
          <w:rPr>
            <w:webHidden/>
          </w:rPr>
          <w:t>106</w:t>
        </w:r>
        <w:r w:rsidR="004E6599">
          <w:rPr>
            <w:webHidden/>
          </w:rPr>
          <w:fldChar w:fldCharType="end"/>
        </w:r>
      </w:hyperlink>
    </w:p>
    <w:p w14:paraId="1FA8E544" w14:textId="3BA13E8E" w:rsidR="004E6599" w:rsidRDefault="0002021E">
      <w:pPr>
        <w:pStyle w:val="50"/>
        <w:rPr>
          <w:rFonts w:asciiTheme="minorHAnsi" w:eastAsiaTheme="minorEastAsia" w:hAnsiTheme="minorHAnsi" w:cstheme="minorBidi"/>
          <w:sz w:val="22"/>
          <w:szCs w:val="22"/>
        </w:rPr>
      </w:pPr>
      <w:hyperlink w:anchor="_Toc214473746" w:history="1">
        <w:r w:rsidR="004E6599" w:rsidRPr="005435D2">
          <w:rPr>
            <w:rStyle w:val="-"/>
            <w:lang w:eastAsia="en-US"/>
          </w:rPr>
          <w:t>3.1.1.2.</w:t>
        </w:r>
        <w:r w:rsidR="004E6599">
          <w:rPr>
            <w:rFonts w:asciiTheme="minorHAnsi" w:eastAsiaTheme="minorEastAsia" w:hAnsiTheme="minorHAnsi" w:cstheme="minorBidi"/>
            <w:sz w:val="22"/>
            <w:szCs w:val="22"/>
          </w:rPr>
          <w:tab/>
        </w:r>
        <w:r w:rsidR="004E6599" w:rsidRPr="005435D2">
          <w:rPr>
            <w:rStyle w:val="-"/>
            <w:lang w:eastAsia="en-US"/>
          </w:rPr>
          <w:t>Δαπάνες σε δημοσιονομική βάση</w:t>
        </w:r>
        <w:r w:rsidR="004E6599">
          <w:rPr>
            <w:webHidden/>
          </w:rPr>
          <w:tab/>
        </w:r>
        <w:r w:rsidR="004E6599">
          <w:rPr>
            <w:webHidden/>
          </w:rPr>
          <w:fldChar w:fldCharType="begin"/>
        </w:r>
        <w:r w:rsidR="004E6599">
          <w:rPr>
            <w:webHidden/>
          </w:rPr>
          <w:instrText xml:space="preserve"> PAGEREF _Toc214473746 \h </w:instrText>
        </w:r>
        <w:r w:rsidR="004E6599">
          <w:rPr>
            <w:webHidden/>
          </w:rPr>
        </w:r>
        <w:r w:rsidR="004E6599">
          <w:rPr>
            <w:webHidden/>
          </w:rPr>
          <w:fldChar w:fldCharType="separate"/>
        </w:r>
        <w:r w:rsidR="00E15678">
          <w:rPr>
            <w:webHidden/>
          </w:rPr>
          <w:t>108</w:t>
        </w:r>
        <w:r w:rsidR="004E6599">
          <w:rPr>
            <w:webHidden/>
          </w:rPr>
          <w:fldChar w:fldCharType="end"/>
        </w:r>
      </w:hyperlink>
    </w:p>
    <w:p w14:paraId="2D701A93" w14:textId="26C8A6C3" w:rsidR="004E6599" w:rsidRDefault="0002021E">
      <w:pPr>
        <w:pStyle w:val="40"/>
        <w:rPr>
          <w:rFonts w:asciiTheme="minorHAnsi" w:eastAsiaTheme="minorEastAsia" w:hAnsiTheme="minorHAnsi" w:cstheme="minorBidi"/>
          <w:sz w:val="22"/>
          <w:szCs w:val="22"/>
        </w:rPr>
      </w:pPr>
      <w:hyperlink w:anchor="_Toc214473747" w:history="1">
        <w:r w:rsidR="004E6599" w:rsidRPr="005435D2">
          <w:rPr>
            <w:rStyle w:val="-"/>
          </w:rPr>
          <w:t>3.1.2.</w:t>
        </w:r>
        <w:r w:rsidR="004E6599">
          <w:rPr>
            <w:rFonts w:asciiTheme="minorHAnsi" w:eastAsiaTheme="minorEastAsia" w:hAnsiTheme="minorHAnsi" w:cstheme="minorBidi"/>
            <w:sz w:val="22"/>
            <w:szCs w:val="22"/>
          </w:rPr>
          <w:tab/>
        </w:r>
        <w:r w:rsidR="004E6599" w:rsidRPr="005435D2">
          <w:rPr>
            <w:rStyle w:val="-"/>
          </w:rPr>
          <w:t>Νομικά Πρόσωπα Κεντρικής Κυβέρνησης</w:t>
        </w:r>
        <w:r w:rsidR="004E6599">
          <w:rPr>
            <w:webHidden/>
          </w:rPr>
          <w:tab/>
        </w:r>
        <w:r w:rsidR="004E6599">
          <w:rPr>
            <w:webHidden/>
          </w:rPr>
          <w:fldChar w:fldCharType="begin"/>
        </w:r>
        <w:r w:rsidR="004E6599">
          <w:rPr>
            <w:webHidden/>
          </w:rPr>
          <w:instrText xml:space="preserve"> PAGEREF _Toc214473747 \h </w:instrText>
        </w:r>
        <w:r w:rsidR="004E6599">
          <w:rPr>
            <w:webHidden/>
          </w:rPr>
        </w:r>
        <w:r w:rsidR="004E6599">
          <w:rPr>
            <w:webHidden/>
          </w:rPr>
          <w:fldChar w:fldCharType="separate"/>
        </w:r>
        <w:r w:rsidR="00E15678">
          <w:rPr>
            <w:webHidden/>
          </w:rPr>
          <w:t>112</w:t>
        </w:r>
        <w:r w:rsidR="004E6599">
          <w:rPr>
            <w:webHidden/>
          </w:rPr>
          <w:fldChar w:fldCharType="end"/>
        </w:r>
      </w:hyperlink>
    </w:p>
    <w:p w14:paraId="40B84E12" w14:textId="24E98AC7" w:rsidR="004E6599" w:rsidRDefault="0002021E">
      <w:pPr>
        <w:pStyle w:val="40"/>
        <w:rPr>
          <w:rFonts w:asciiTheme="minorHAnsi" w:eastAsiaTheme="minorEastAsia" w:hAnsiTheme="minorHAnsi" w:cstheme="minorBidi"/>
          <w:sz w:val="22"/>
          <w:szCs w:val="22"/>
        </w:rPr>
      </w:pPr>
      <w:hyperlink w:anchor="_Toc214473748" w:history="1">
        <w:r w:rsidR="004E6599" w:rsidRPr="005435D2">
          <w:rPr>
            <w:rStyle w:val="-"/>
          </w:rPr>
          <w:t>3.1.3.</w:t>
        </w:r>
        <w:r w:rsidR="004E6599">
          <w:rPr>
            <w:rFonts w:asciiTheme="minorHAnsi" w:eastAsiaTheme="minorEastAsia" w:hAnsiTheme="minorHAnsi" w:cstheme="minorBidi"/>
            <w:sz w:val="22"/>
            <w:szCs w:val="22"/>
          </w:rPr>
          <w:tab/>
        </w:r>
        <w:r w:rsidR="004E6599" w:rsidRPr="005435D2">
          <w:rPr>
            <w:rStyle w:val="-"/>
          </w:rPr>
          <w:t>Νοσοκομεία - Πρωτοβάθμια Φροντίδα Υγείας</w:t>
        </w:r>
        <w:r w:rsidR="004E6599">
          <w:rPr>
            <w:webHidden/>
          </w:rPr>
          <w:tab/>
        </w:r>
        <w:r w:rsidR="004E6599">
          <w:rPr>
            <w:webHidden/>
          </w:rPr>
          <w:fldChar w:fldCharType="begin"/>
        </w:r>
        <w:r w:rsidR="004E6599">
          <w:rPr>
            <w:webHidden/>
          </w:rPr>
          <w:instrText xml:space="preserve"> PAGEREF _Toc214473748 \h </w:instrText>
        </w:r>
        <w:r w:rsidR="004E6599">
          <w:rPr>
            <w:webHidden/>
          </w:rPr>
        </w:r>
        <w:r w:rsidR="004E6599">
          <w:rPr>
            <w:webHidden/>
          </w:rPr>
          <w:fldChar w:fldCharType="separate"/>
        </w:r>
        <w:r w:rsidR="00E15678">
          <w:rPr>
            <w:webHidden/>
          </w:rPr>
          <w:t>112</w:t>
        </w:r>
        <w:r w:rsidR="004E6599">
          <w:rPr>
            <w:webHidden/>
          </w:rPr>
          <w:fldChar w:fldCharType="end"/>
        </w:r>
      </w:hyperlink>
    </w:p>
    <w:p w14:paraId="7997EC1E" w14:textId="28462376" w:rsidR="004E6599" w:rsidRDefault="0002021E">
      <w:pPr>
        <w:pStyle w:val="40"/>
        <w:rPr>
          <w:rFonts w:asciiTheme="minorHAnsi" w:eastAsiaTheme="minorEastAsia" w:hAnsiTheme="minorHAnsi" w:cstheme="minorBidi"/>
          <w:sz w:val="22"/>
          <w:szCs w:val="22"/>
        </w:rPr>
      </w:pPr>
      <w:hyperlink w:anchor="_Toc214473749" w:history="1">
        <w:r w:rsidR="004E6599" w:rsidRPr="005435D2">
          <w:rPr>
            <w:rStyle w:val="-"/>
          </w:rPr>
          <w:t>3.1.4.</w:t>
        </w:r>
        <w:r w:rsidR="004E6599">
          <w:rPr>
            <w:rFonts w:asciiTheme="minorHAnsi" w:eastAsiaTheme="minorEastAsia" w:hAnsiTheme="minorHAnsi" w:cstheme="minorBidi"/>
            <w:sz w:val="22"/>
            <w:szCs w:val="22"/>
          </w:rPr>
          <w:tab/>
        </w:r>
        <w:r w:rsidR="004E6599" w:rsidRPr="005435D2">
          <w:rPr>
            <w:rStyle w:val="-"/>
          </w:rPr>
          <w:t>Οργανισμοί Τοπικής Αυτοδιοίκησης</w:t>
        </w:r>
        <w:r w:rsidR="004E6599">
          <w:rPr>
            <w:webHidden/>
          </w:rPr>
          <w:tab/>
        </w:r>
        <w:r w:rsidR="004E6599">
          <w:rPr>
            <w:webHidden/>
          </w:rPr>
          <w:fldChar w:fldCharType="begin"/>
        </w:r>
        <w:r w:rsidR="004E6599">
          <w:rPr>
            <w:webHidden/>
          </w:rPr>
          <w:instrText xml:space="preserve"> PAGEREF _Toc214473749 \h </w:instrText>
        </w:r>
        <w:r w:rsidR="004E6599">
          <w:rPr>
            <w:webHidden/>
          </w:rPr>
        </w:r>
        <w:r w:rsidR="004E6599">
          <w:rPr>
            <w:webHidden/>
          </w:rPr>
          <w:fldChar w:fldCharType="separate"/>
        </w:r>
        <w:r w:rsidR="00E15678">
          <w:rPr>
            <w:webHidden/>
          </w:rPr>
          <w:t>112</w:t>
        </w:r>
        <w:r w:rsidR="004E6599">
          <w:rPr>
            <w:webHidden/>
          </w:rPr>
          <w:fldChar w:fldCharType="end"/>
        </w:r>
      </w:hyperlink>
    </w:p>
    <w:p w14:paraId="544A2419" w14:textId="7E04FAB4" w:rsidR="004E6599" w:rsidRDefault="0002021E">
      <w:pPr>
        <w:pStyle w:val="40"/>
        <w:rPr>
          <w:rFonts w:asciiTheme="minorHAnsi" w:eastAsiaTheme="minorEastAsia" w:hAnsiTheme="minorHAnsi" w:cstheme="minorBidi"/>
          <w:sz w:val="22"/>
          <w:szCs w:val="22"/>
        </w:rPr>
      </w:pPr>
      <w:hyperlink w:anchor="_Toc214473750" w:history="1">
        <w:r w:rsidR="004E6599" w:rsidRPr="005435D2">
          <w:rPr>
            <w:rStyle w:val="-"/>
          </w:rPr>
          <w:t>3.1.5.</w:t>
        </w:r>
        <w:r w:rsidR="004E6599">
          <w:rPr>
            <w:rFonts w:asciiTheme="minorHAnsi" w:eastAsiaTheme="minorEastAsia" w:hAnsiTheme="minorHAnsi" w:cstheme="minorBidi"/>
            <w:sz w:val="22"/>
            <w:szCs w:val="22"/>
          </w:rPr>
          <w:tab/>
        </w:r>
        <w:r w:rsidR="004E6599" w:rsidRPr="005435D2">
          <w:rPr>
            <w:rStyle w:val="-"/>
          </w:rPr>
          <w:t>Οργανισμοί Κοινωνικής Ασφάλισης</w:t>
        </w:r>
        <w:r w:rsidR="004E6599">
          <w:rPr>
            <w:webHidden/>
          </w:rPr>
          <w:tab/>
        </w:r>
        <w:r w:rsidR="004E6599">
          <w:rPr>
            <w:webHidden/>
          </w:rPr>
          <w:fldChar w:fldCharType="begin"/>
        </w:r>
        <w:r w:rsidR="004E6599">
          <w:rPr>
            <w:webHidden/>
          </w:rPr>
          <w:instrText xml:space="preserve"> PAGEREF _Toc214473750 \h </w:instrText>
        </w:r>
        <w:r w:rsidR="004E6599">
          <w:rPr>
            <w:webHidden/>
          </w:rPr>
        </w:r>
        <w:r w:rsidR="004E6599">
          <w:rPr>
            <w:webHidden/>
          </w:rPr>
          <w:fldChar w:fldCharType="separate"/>
        </w:r>
        <w:r w:rsidR="00E15678">
          <w:rPr>
            <w:webHidden/>
          </w:rPr>
          <w:t>113</w:t>
        </w:r>
        <w:r w:rsidR="004E6599">
          <w:rPr>
            <w:webHidden/>
          </w:rPr>
          <w:fldChar w:fldCharType="end"/>
        </w:r>
      </w:hyperlink>
    </w:p>
    <w:p w14:paraId="3B57ADD2" w14:textId="0ADD2632" w:rsidR="004E6599" w:rsidRDefault="0002021E">
      <w:pPr>
        <w:pStyle w:val="32"/>
        <w:rPr>
          <w:rFonts w:asciiTheme="minorHAnsi" w:eastAsiaTheme="minorEastAsia" w:hAnsiTheme="minorHAnsi" w:cstheme="minorBidi"/>
          <w:sz w:val="22"/>
          <w:szCs w:val="22"/>
        </w:rPr>
      </w:pPr>
      <w:hyperlink w:anchor="_Toc214473751" w:history="1">
        <w:r w:rsidR="004E6599" w:rsidRPr="005435D2">
          <w:rPr>
            <w:rStyle w:val="-"/>
          </w:rPr>
          <w:t>3.2.</w:t>
        </w:r>
        <w:r w:rsidR="004E6599">
          <w:rPr>
            <w:rFonts w:asciiTheme="minorHAnsi" w:eastAsiaTheme="minorEastAsia" w:hAnsiTheme="minorHAnsi" w:cstheme="minorBidi"/>
            <w:sz w:val="22"/>
            <w:szCs w:val="22"/>
          </w:rPr>
          <w:tab/>
        </w:r>
        <w:r w:rsidR="004E6599" w:rsidRPr="005435D2">
          <w:rPr>
            <w:rStyle w:val="-"/>
          </w:rPr>
          <w:t>Βασικά μεγέθη προϋπολογισμού Γενικής Κυβέρνησης 2026</w:t>
        </w:r>
        <w:r w:rsidR="004E6599">
          <w:rPr>
            <w:webHidden/>
          </w:rPr>
          <w:tab/>
        </w:r>
        <w:r w:rsidR="004E6599">
          <w:rPr>
            <w:webHidden/>
          </w:rPr>
          <w:fldChar w:fldCharType="begin"/>
        </w:r>
        <w:r w:rsidR="004E6599">
          <w:rPr>
            <w:webHidden/>
          </w:rPr>
          <w:instrText xml:space="preserve"> PAGEREF _Toc214473751 \h </w:instrText>
        </w:r>
        <w:r w:rsidR="004E6599">
          <w:rPr>
            <w:webHidden/>
          </w:rPr>
        </w:r>
        <w:r w:rsidR="004E6599">
          <w:rPr>
            <w:webHidden/>
          </w:rPr>
          <w:fldChar w:fldCharType="separate"/>
        </w:r>
        <w:r w:rsidR="00E15678">
          <w:rPr>
            <w:webHidden/>
          </w:rPr>
          <w:t>114</w:t>
        </w:r>
        <w:r w:rsidR="004E6599">
          <w:rPr>
            <w:webHidden/>
          </w:rPr>
          <w:fldChar w:fldCharType="end"/>
        </w:r>
      </w:hyperlink>
    </w:p>
    <w:p w14:paraId="2DB429DB" w14:textId="175DE928" w:rsidR="004E6599" w:rsidRDefault="0002021E">
      <w:pPr>
        <w:pStyle w:val="40"/>
        <w:rPr>
          <w:rFonts w:asciiTheme="minorHAnsi" w:eastAsiaTheme="minorEastAsia" w:hAnsiTheme="minorHAnsi" w:cstheme="minorBidi"/>
          <w:sz w:val="22"/>
          <w:szCs w:val="22"/>
        </w:rPr>
      </w:pPr>
      <w:hyperlink w:anchor="_Toc214473752" w:history="1">
        <w:r w:rsidR="004E6599" w:rsidRPr="005435D2">
          <w:rPr>
            <w:rStyle w:val="-"/>
          </w:rPr>
          <w:t>3.2.1.</w:t>
        </w:r>
        <w:r w:rsidR="004E6599">
          <w:rPr>
            <w:rFonts w:asciiTheme="minorHAnsi" w:eastAsiaTheme="minorEastAsia" w:hAnsiTheme="minorHAnsi" w:cstheme="minorBidi"/>
            <w:sz w:val="22"/>
            <w:szCs w:val="22"/>
          </w:rPr>
          <w:tab/>
        </w:r>
        <w:r w:rsidR="004E6599" w:rsidRPr="005435D2">
          <w:rPr>
            <w:rStyle w:val="-"/>
          </w:rPr>
          <w:t>Κρατικός προϋπολογισμός 202</w:t>
        </w:r>
        <w:r w:rsidR="004E6599" w:rsidRPr="005435D2">
          <w:rPr>
            <w:rStyle w:val="-"/>
            <w:lang w:val="en-US"/>
          </w:rPr>
          <w:t>6</w:t>
        </w:r>
        <w:r w:rsidR="004E6599">
          <w:rPr>
            <w:webHidden/>
          </w:rPr>
          <w:tab/>
        </w:r>
        <w:r w:rsidR="004E6599">
          <w:rPr>
            <w:webHidden/>
          </w:rPr>
          <w:fldChar w:fldCharType="begin"/>
        </w:r>
        <w:r w:rsidR="004E6599">
          <w:rPr>
            <w:webHidden/>
          </w:rPr>
          <w:instrText xml:space="preserve"> PAGEREF _Toc214473752 \h </w:instrText>
        </w:r>
        <w:r w:rsidR="004E6599">
          <w:rPr>
            <w:webHidden/>
          </w:rPr>
        </w:r>
        <w:r w:rsidR="004E6599">
          <w:rPr>
            <w:webHidden/>
          </w:rPr>
          <w:fldChar w:fldCharType="separate"/>
        </w:r>
        <w:r w:rsidR="00E15678">
          <w:rPr>
            <w:webHidden/>
          </w:rPr>
          <w:t>115</w:t>
        </w:r>
        <w:r w:rsidR="004E6599">
          <w:rPr>
            <w:webHidden/>
          </w:rPr>
          <w:fldChar w:fldCharType="end"/>
        </w:r>
      </w:hyperlink>
    </w:p>
    <w:p w14:paraId="73B684DB" w14:textId="40462862" w:rsidR="004E6599" w:rsidRDefault="0002021E">
      <w:pPr>
        <w:pStyle w:val="50"/>
        <w:rPr>
          <w:rFonts w:asciiTheme="minorHAnsi" w:eastAsiaTheme="minorEastAsia" w:hAnsiTheme="minorHAnsi" w:cstheme="minorBidi"/>
          <w:sz w:val="22"/>
          <w:szCs w:val="22"/>
        </w:rPr>
      </w:pPr>
      <w:hyperlink w:anchor="_Toc214473753" w:history="1">
        <w:r w:rsidR="004E6599" w:rsidRPr="005435D2">
          <w:rPr>
            <w:rStyle w:val="-"/>
            <w:lang w:eastAsia="en-US"/>
          </w:rPr>
          <w:t>3.2.1.1.</w:t>
        </w:r>
        <w:r w:rsidR="004E6599">
          <w:rPr>
            <w:rFonts w:asciiTheme="minorHAnsi" w:eastAsiaTheme="minorEastAsia" w:hAnsiTheme="minorHAnsi" w:cstheme="minorBidi"/>
            <w:sz w:val="22"/>
            <w:szCs w:val="22"/>
          </w:rPr>
          <w:tab/>
        </w:r>
        <w:r w:rsidR="004E6599" w:rsidRPr="005435D2">
          <w:rPr>
            <w:rStyle w:val="-"/>
            <w:lang w:eastAsia="en-US"/>
          </w:rPr>
          <w:t>Έσοδα σε δημοσιονομική βάση</w:t>
        </w:r>
        <w:r w:rsidR="004E6599">
          <w:rPr>
            <w:webHidden/>
          </w:rPr>
          <w:tab/>
        </w:r>
        <w:r w:rsidR="004E6599">
          <w:rPr>
            <w:webHidden/>
          </w:rPr>
          <w:fldChar w:fldCharType="begin"/>
        </w:r>
        <w:r w:rsidR="004E6599">
          <w:rPr>
            <w:webHidden/>
          </w:rPr>
          <w:instrText xml:space="preserve"> PAGEREF _Toc214473753 \h </w:instrText>
        </w:r>
        <w:r w:rsidR="004E6599">
          <w:rPr>
            <w:webHidden/>
          </w:rPr>
        </w:r>
        <w:r w:rsidR="004E6599">
          <w:rPr>
            <w:webHidden/>
          </w:rPr>
          <w:fldChar w:fldCharType="separate"/>
        </w:r>
        <w:r w:rsidR="00E15678">
          <w:rPr>
            <w:webHidden/>
          </w:rPr>
          <w:t>115</w:t>
        </w:r>
        <w:r w:rsidR="004E6599">
          <w:rPr>
            <w:webHidden/>
          </w:rPr>
          <w:fldChar w:fldCharType="end"/>
        </w:r>
      </w:hyperlink>
    </w:p>
    <w:p w14:paraId="3C13BEA5" w14:textId="26A73B7D" w:rsidR="004E6599" w:rsidRDefault="0002021E">
      <w:pPr>
        <w:pStyle w:val="50"/>
        <w:rPr>
          <w:rFonts w:asciiTheme="minorHAnsi" w:eastAsiaTheme="minorEastAsia" w:hAnsiTheme="minorHAnsi" w:cstheme="minorBidi"/>
          <w:sz w:val="22"/>
          <w:szCs w:val="22"/>
        </w:rPr>
      </w:pPr>
      <w:hyperlink w:anchor="_Toc214473754" w:history="1">
        <w:r w:rsidR="004E6599" w:rsidRPr="005435D2">
          <w:rPr>
            <w:rStyle w:val="-"/>
            <w:lang w:eastAsia="en-US"/>
          </w:rPr>
          <w:t>3.2.1.2.</w:t>
        </w:r>
        <w:r w:rsidR="004E6599">
          <w:rPr>
            <w:rFonts w:asciiTheme="minorHAnsi" w:eastAsiaTheme="minorEastAsia" w:hAnsiTheme="minorHAnsi" w:cstheme="minorBidi"/>
            <w:sz w:val="22"/>
            <w:szCs w:val="22"/>
          </w:rPr>
          <w:tab/>
        </w:r>
        <w:r w:rsidR="004E6599" w:rsidRPr="005435D2">
          <w:rPr>
            <w:rStyle w:val="-"/>
            <w:lang w:eastAsia="en-US"/>
          </w:rPr>
          <w:t>Δαπάνες σε δημοσιονομική βάση</w:t>
        </w:r>
        <w:r w:rsidR="004E6599">
          <w:rPr>
            <w:webHidden/>
          </w:rPr>
          <w:tab/>
        </w:r>
        <w:r w:rsidR="004E6599">
          <w:rPr>
            <w:webHidden/>
          </w:rPr>
          <w:fldChar w:fldCharType="begin"/>
        </w:r>
        <w:r w:rsidR="004E6599">
          <w:rPr>
            <w:webHidden/>
          </w:rPr>
          <w:instrText xml:space="preserve"> PAGEREF _Toc214473754 \h </w:instrText>
        </w:r>
        <w:r w:rsidR="004E6599">
          <w:rPr>
            <w:webHidden/>
          </w:rPr>
        </w:r>
        <w:r w:rsidR="004E6599">
          <w:rPr>
            <w:webHidden/>
          </w:rPr>
          <w:fldChar w:fldCharType="separate"/>
        </w:r>
        <w:r w:rsidR="00E15678">
          <w:rPr>
            <w:webHidden/>
          </w:rPr>
          <w:t>117</w:t>
        </w:r>
        <w:r w:rsidR="004E6599">
          <w:rPr>
            <w:webHidden/>
          </w:rPr>
          <w:fldChar w:fldCharType="end"/>
        </w:r>
      </w:hyperlink>
    </w:p>
    <w:p w14:paraId="5C8587CC" w14:textId="79A10765" w:rsidR="004E6599" w:rsidRDefault="0002021E">
      <w:pPr>
        <w:pStyle w:val="40"/>
        <w:rPr>
          <w:rFonts w:asciiTheme="minorHAnsi" w:eastAsiaTheme="minorEastAsia" w:hAnsiTheme="minorHAnsi" w:cstheme="minorBidi"/>
          <w:sz w:val="22"/>
          <w:szCs w:val="22"/>
        </w:rPr>
      </w:pPr>
      <w:hyperlink w:anchor="_Toc214473755" w:history="1">
        <w:r w:rsidR="004E6599" w:rsidRPr="005435D2">
          <w:rPr>
            <w:rStyle w:val="-"/>
          </w:rPr>
          <w:t>3.2.2.</w:t>
        </w:r>
        <w:r w:rsidR="004E6599">
          <w:rPr>
            <w:rFonts w:asciiTheme="minorHAnsi" w:eastAsiaTheme="minorEastAsia" w:hAnsiTheme="minorHAnsi" w:cstheme="minorBidi"/>
            <w:sz w:val="22"/>
            <w:szCs w:val="22"/>
          </w:rPr>
          <w:tab/>
        </w:r>
        <w:r w:rsidR="004E6599" w:rsidRPr="005435D2">
          <w:rPr>
            <w:rStyle w:val="-"/>
          </w:rPr>
          <w:t>Νομικά Πρόσωπα Κεντρικής Κυβέρνησης</w:t>
        </w:r>
        <w:r w:rsidR="004E6599">
          <w:rPr>
            <w:webHidden/>
          </w:rPr>
          <w:tab/>
        </w:r>
        <w:r w:rsidR="004E6599">
          <w:rPr>
            <w:webHidden/>
          </w:rPr>
          <w:fldChar w:fldCharType="begin"/>
        </w:r>
        <w:r w:rsidR="004E6599">
          <w:rPr>
            <w:webHidden/>
          </w:rPr>
          <w:instrText xml:space="preserve"> PAGEREF _Toc214473755 \h </w:instrText>
        </w:r>
        <w:r w:rsidR="004E6599">
          <w:rPr>
            <w:webHidden/>
          </w:rPr>
        </w:r>
        <w:r w:rsidR="004E6599">
          <w:rPr>
            <w:webHidden/>
          </w:rPr>
          <w:fldChar w:fldCharType="separate"/>
        </w:r>
        <w:r w:rsidR="00E15678">
          <w:rPr>
            <w:webHidden/>
          </w:rPr>
          <w:t>119</w:t>
        </w:r>
        <w:r w:rsidR="004E6599">
          <w:rPr>
            <w:webHidden/>
          </w:rPr>
          <w:fldChar w:fldCharType="end"/>
        </w:r>
      </w:hyperlink>
    </w:p>
    <w:p w14:paraId="09B77E5F" w14:textId="3A46D05F" w:rsidR="004E6599" w:rsidRDefault="0002021E">
      <w:pPr>
        <w:pStyle w:val="40"/>
        <w:rPr>
          <w:rFonts w:asciiTheme="minorHAnsi" w:eastAsiaTheme="minorEastAsia" w:hAnsiTheme="minorHAnsi" w:cstheme="minorBidi"/>
          <w:sz w:val="22"/>
          <w:szCs w:val="22"/>
        </w:rPr>
      </w:pPr>
      <w:hyperlink w:anchor="_Toc214473756" w:history="1">
        <w:r w:rsidR="004E6599" w:rsidRPr="005435D2">
          <w:rPr>
            <w:rStyle w:val="-"/>
          </w:rPr>
          <w:t>3.2.3.</w:t>
        </w:r>
        <w:r w:rsidR="004E6599">
          <w:rPr>
            <w:rFonts w:asciiTheme="minorHAnsi" w:eastAsiaTheme="minorEastAsia" w:hAnsiTheme="minorHAnsi" w:cstheme="minorBidi"/>
            <w:sz w:val="22"/>
            <w:szCs w:val="22"/>
          </w:rPr>
          <w:tab/>
        </w:r>
        <w:r w:rsidR="004E6599" w:rsidRPr="005435D2">
          <w:rPr>
            <w:rStyle w:val="-"/>
          </w:rPr>
          <w:t>Νοσοκομεία - Πρωτοβάθμια Φροντίδα Υγείας</w:t>
        </w:r>
        <w:r w:rsidR="004E6599">
          <w:rPr>
            <w:webHidden/>
          </w:rPr>
          <w:tab/>
        </w:r>
        <w:r w:rsidR="004E6599">
          <w:rPr>
            <w:webHidden/>
          </w:rPr>
          <w:fldChar w:fldCharType="begin"/>
        </w:r>
        <w:r w:rsidR="004E6599">
          <w:rPr>
            <w:webHidden/>
          </w:rPr>
          <w:instrText xml:space="preserve"> PAGEREF _Toc214473756 \h </w:instrText>
        </w:r>
        <w:r w:rsidR="004E6599">
          <w:rPr>
            <w:webHidden/>
          </w:rPr>
        </w:r>
        <w:r w:rsidR="004E6599">
          <w:rPr>
            <w:webHidden/>
          </w:rPr>
          <w:fldChar w:fldCharType="separate"/>
        </w:r>
        <w:r w:rsidR="00E15678">
          <w:rPr>
            <w:webHidden/>
          </w:rPr>
          <w:t>119</w:t>
        </w:r>
        <w:r w:rsidR="004E6599">
          <w:rPr>
            <w:webHidden/>
          </w:rPr>
          <w:fldChar w:fldCharType="end"/>
        </w:r>
      </w:hyperlink>
    </w:p>
    <w:p w14:paraId="5F77AD25" w14:textId="333072ED" w:rsidR="004E6599" w:rsidRDefault="0002021E">
      <w:pPr>
        <w:pStyle w:val="40"/>
        <w:rPr>
          <w:rFonts w:asciiTheme="minorHAnsi" w:eastAsiaTheme="minorEastAsia" w:hAnsiTheme="minorHAnsi" w:cstheme="minorBidi"/>
          <w:sz w:val="22"/>
          <w:szCs w:val="22"/>
        </w:rPr>
      </w:pPr>
      <w:hyperlink w:anchor="_Toc214473757" w:history="1">
        <w:r w:rsidR="004E6599" w:rsidRPr="005435D2">
          <w:rPr>
            <w:rStyle w:val="-"/>
          </w:rPr>
          <w:t>3.2.4.</w:t>
        </w:r>
        <w:r w:rsidR="004E6599">
          <w:rPr>
            <w:rFonts w:asciiTheme="minorHAnsi" w:eastAsiaTheme="minorEastAsia" w:hAnsiTheme="minorHAnsi" w:cstheme="minorBidi"/>
            <w:sz w:val="22"/>
            <w:szCs w:val="22"/>
          </w:rPr>
          <w:tab/>
        </w:r>
        <w:r w:rsidR="004E6599" w:rsidRPr="005435D2">
          <w:rPr>
            <w:rStyle w:val="-"/>
          </w:rPr>
          <w:t>Οργανισμοί Τοπικής Αυτοδιοίκησης</w:t>
        </w:r>
        <w:r w:rsidR="004E6599">
          <w:rPr>
            <w:webHidden/>
          </w:rPr>
          <w:tab/>
        </w:r>
        <w:r w:rsidR="004E6599">
          <w:rPr>
            <w:webHidden/>
          </w:rPr>
          <w:fldChar w:fldCharType="begin"/>
        </w:r>
        <w:r w:rsidR="004E6599">
          <w:rPr>
            <w:webHidden/>
          </w:rPr>
          <w:instrText xml:space="preserve"> PAGEREF _Toc214473757 \h </w:instrText>
        </w:r>
        <w:r w:rsidR="004E6599">
          <w:rPr>
            <w:webHidden/>
          </w:rPr>
        </w:r>
        <w:r w:rsidR="004E6599">
          <w:rPr>
            <w:webHidden/>
          </w:rPr>
          <w:fldChar w:fldCharType="separate"/>
        </w:r>
        <w:r w:rsidR="00E15678">
          <w:rPr>
            <w:webHidden/>
          </w:rPr>
          <w:t>119</w:t>
        </w:r>
        <w:r w:rsidR="004E6599">
          <w:rPr>
            <w:webHidden/>
          </w:rPr>
          <w:fldChar w:fldCharType="end"/>
        </w:r>
      </w:hyperlink>
    </w:p>
    <w:p w14:paraId="0D3A4BD9" w14:textId="2D9BAA29" w:rsidR="004E6599" w:rsidRDefault="0002021E">
      <w:pPr>
        <w:pStyle w:val="40"/>
        <w:rPr>
          <w:rFonts w:asciiTheme="minorHAnsi" w:eastAsiaTheme="minorEastAsia" w:hAnsiTheme="minorHAnsi" w:cstheme="minorBidi"/>
          <w:sz w:val="22"/>
          <w:szCs w:val="22"/>
        </w:rPr>
      </w:pPr>
      <w:hyperlink w:anchor="_Toc214473758" w:history="1">
        <w:r w:rsidR="004E6599" w:rsidRPr="005435D2">
          <w:rPr>
            <w:rStyle w:val="-"/>
          </w:rPr>
          <w:t>3.2.5.</w:t>
        </w:r>
        <w:r w:rsidR="004E6599">
          <w:rPr>
            <w:rFonts w:asciiTheme="minorHAnsi" w:eastAsiaTheme="minorEastAsia" w:hAnsiTheme="minorHAnsi" w:cstheme="minorBidi"/>
            <w:sz w:val="22"/>
            <w:szCs w:val="22"/>
          </w:rPr>
          <w:tab/>
        </w:r>
        <w:r w:rsidR="004E6599" w:rsidRPr="005435D2">
          <w:rPr>
            <w:rStyle w:val="-"/>
          </w:rPr>
          <w:t>Οργανισμοί Κοινωνικής Ασφάλισης</w:t>
        </w:r>
        <w:r w:rsidR="004E6599">
          <w:rPr>
            <w:webHidden/>
          </w:rPr>
          <w:tab/>
        </w:r>
        <w:r w:rsidR="004E6599">
          <w:rPr>
            <w:webHidden/>
          </w:rPr>
          <w:fldChar w:fldCharType="begin"/>
        </w:r>
        <w:r w:rsidR="004E6599">
          <w:rPr>
            <w:webHidden/>
          </w:rPr>
          <w:instrText xml:space="preserve"> PAGEREF _Toc214473758 \h </w:instrText>
        </w:r>
        <w:r w:rsidR="004E6599">
          <w:rPr>
            <w:webHidden/>
          </w:rPr>
        </w:r>
        <w:r w:rsidR="004E6599">
          <w:rPr>
            <w:webHidden/>
          </w:rPr>
          <w:fldChar w:fldCharType="separate"/>
        </w:r>
        <w:r w:rsidR="00E15678">
          <w:rPr>
            <w:webHidden/>
          </w:rPr>
          <w:t>120</w:t>
        </w:r>
        <w:r w:rsidR="004E6599">
          <w:rPr>
            <w:webHidden/>
          </w:rPr>
          <w:fldChar w:fldCharType="end"/>
        </w:r>
      </w:hyperlink>
    </w:p>
    <w:p w14:paraId="107C6A6C" w14:textId="5419227F" w:rsidR="004E6599" w:rsidRDefault="0002021E">
      <w:pPr>
        <w:pStyle w:val="32"/>
        <w:rPr>
          <w:rFonts w:asciiTheme="minorHAnsi" w:eastAsiaTheme="minorEastAsia" w:hAnsiTheme="minorHAnsi" w:cstheme="minorBidi"/>
          <w:sz w:val="22"/>
          <w:szCs w:val="22"/>
        </w:rPr>
      </w:pPr>
      <w:hyperlink w:anchor="_Toc214473759" w:history="1">
        <w:r w:rsidR="004E6599" w:rsidRPr="005435D2">
          <w:rPr>
            <w:rStyle w:val="-"/>
          </w:rPr>
          <w:t>3.3.</w:t>
        </w:r>
        <w:r w:rsidR="004E6599">
          <w:rPr>
            <w:rFonts w:asciiTheme="minorHAnsi" w:eastAsiaTheme="minorEastAsia" w:hAnsiTheme="minorHAnsi" w:cstheme="minorBidi"/>
            <w:sz w:val="22"/>
            <w:szCs w:val="22"/>
          </w:rPr>
          <w:tab/>
        </w:r>
        <w:r w:rsidR="004E6599" w:rsidRPr="005435D2">
          <w:rPr>
            <w:rStyle w:val="-"/>
          </w:rPr>
          <w:t>Κρατικός προϋπολογισμός σε ταμειακή βάση</w:t>
        </w:r>
        <w:r w:rsidR="004E6599">
          <w:rPr>
            <w:webHidden/>
          </w:rPr>
          <w:tab/>
        </w:r>
        <w:r w:rsidR="004E6599">
          <w:rPr>
            <w:webHidden/>
          </w:rPr>
          <w:fldChar w:fldCharType="begin"/>
        </w:r>
        <w:r w:rsidR="004E6599">
          <w:rPr>
            <w:webHidden/>
          </w:rPr>
          <w:instrText xml:space="preserve"> PAGEREF _Toc214473759 \h </w:instrText>
        </w:r>
        <w:r w:rsidR="004E6599">
          <w:rPr>
            <w:webHidden/>
          </w:rPr>
        </w:r>
        <w:r w:rsidR="004E6599">
          <w:rPr>
            <w:webHidden/>
          </w:rPr>
          <w:fldChar w:fldCharType="separate"/>
        </w:r>
        <w:r w:rsidR="00E15678">
          <w:rPr>
            <w:webHidden/>
          </w:rPr>
          <w:t>120</w:t>
        </w:r>
        <w:r w:rsidR="004E6599">
          <w:rPr>
            <w:webHidden/>
          </w:rPr>
          <w:fldChar w:fldCharType="end"/>
        </w:r>
      </w:hyperlink>
    </w:p>
    <w:p w14:paraId="100B799E" w14:textId="238FE82D" w:rsidR="004E6599" w:rsidRDefault="0002021E">
      <w:pPr>
        <w:pStyle w:val="40"/>
        <w:rPr>
          <w:rFonts w:asciiTheme="minorHAnsi" w:eastAsiaTheme="minorEastAsia" w:hAnsiTheme="minorHAnsi" w:cstheme="minorBidi"/>
          <w:sz w:val="22"/>
          <w:szCs w:val="22"/>
        </w:rPr>
      </w:pPr>
      <w:hyperlink w:anchor="_Toc214473760" w:history="1">
        <w:r w:rsidR="004E6599" w:rsidRPr="005435D2">
          <w:rPr>
            <w:rStyle w:val="-"/>
          </w:rPr>
          <w:t>3.3.1.</w:t>
        </w:r>
        <w:r w:rsidR="004E6599">
          <w:rPr>
            <w:rFonts w:asciiTheme="minorHAnsi" w:eastAsiaTheme="minorEastAsia" w:hAnsiTheme="minorHAnsi" w:cstheme="minorBidi"/>
            <w:sz w:val="22"/>
            <w:szCs w:val="22"/>
          </w:rPr>
          <w:tab/>
        </w:r>
        <w:r w:rsidR="004E6599" w:rsidRPr="005435D2">
          <w:rPr>
            <w:rStyle w:val="-"/>
          </w:rPr>
          <w:t>Χρηματοδοτικές ανάγκες κρατικού προϋπολογισμού 2025</w:t>
        </w:r>
        <w:r w:rsidR="004E6599">
          <w:rPr>
            <w:webHidden/>
          </w:rPr>
          <w:tab/>
        </w:r>
        <w:r w:rsidR="004E6599">
          <w:rPr>
            <w:webHidden/>
          </w:rPr>
          <w:fldChar w:fldCharType="begin"/>
        </w:r>
        <w:r w:rsidR="004E6599">
          <w:rPr>
            <w:webHidden/>
          </w:rPr>
          <w:instrText xml:space="preserve"> PAGEREF _Toc214473760 \h </w:instrText>
        </w:r>
        <w:r w:rsidR="004E6599">
          <w:rPr>
            <w:webHidden/>
          </w:rPr>
        </w:r>
        <w:r w:rsidR="004E6599">
          <w:rPr>
            <w:webHidden/>
          </w:rPr>
          <w:fldChar w:fldCharType="separate"/>
        </w:r>
        <w:r w:rsidR="00E15678">
          <w:rPr>
            <w:webHidden/>
          </w:rPr>
          <w:t>122</w:t>
        </w:r>
        <w:r w:rsidR="004E6599">
          <w:rPr>
            <w:webHidden/>
          </w:rPr>
          <w:fldChar w:fldCharType="end"/>
        </w:r>
      </w:hyperlink>
    </w:p>
    <w:p w14:paraId="234567B6" w14:textId="1B244D54" w:rsidR="004E6599" w:rsidRDefault="0002021E">
      <w:pPr>
        <w:pStyle w:val="40"/>
        <w:rPr>
          <w:rFonts w:asciiTheme="minorHAnsi" w:eastAsiaTheme="minorEastAsia" w:hAnsiTheme="minorHAnsi" w:cstheme="minorBidi"/>
          <w:sz w:val="22"/>
          <w:szCs w:val="22"/>
        </w:rPr>
      </w:pPr>
      <w:hyperlink w:anchor="_Toc214473761" w:history="1">
        <w:r w:rsidR="004E6599" w:rsidRPr="005435D2">
          <w:rPr>
            <w:rStyle w:val="-"/>
          </w:rPr>
          <w:t>3.3.2.</w:t>
        </w:r>
        <w:r w:rsidR="004E6599">
          <w:rPr>
            <w:rFonts w:asciiTheme="minorHAnsi" w:eastAsiaTheme="minorEastAsia" w:hAnsiTheme="minorHAnsi" w:cstheme="minorBidi"/>
            <w:sz w:val="22"/>
            <w:szCs w:val="22"/>
          </w:rPr>
          <w:tab/>
        </w:r>
        <w:r w:rsidR="004E6599" w:rsidRPr="005435D2">
          <w:rPr>
            <w:rStyle w:val="-"/>
          </w:rPr>
          <w:t>Μηνιαία ταμειακή κατανομή εσόδων - δαπανών κρατικού προϋπολογισμού 2025 επί των μη χρηματοοικονομικών συναλλαγών</w:t>
        </w:r>
        <w:r w:rsidR="004E6599">
          <w:rPr>
            <w:webHidden/>
          </w:rPr>
          <w:tab/>
        </w:r>
        <w:r w:rsidR="004E6599">
          <w:rPr>
            <w:webHidden/>
          </w:rPr>
          <w:fldChar w:fldCharType="begin"/>
        </w:r>
        <w:r w:rsidR="004E6599">
          <w:rPr>
            <w:webHidden/>
          </w:rPr>
          <w:instrText xml:space="preserve"> PAGEREF _Toc214473761 \h </w:instrText>
        </w:r>
        <w:r w:rsidR="004E6599">
          <w:rPr>
            <w:webHidden/>
          </w:rPr>
        </w:r>
        <w:r w:rsidR="004E6599">
          <w:rPr>
            <w:webHidden/>
          </w:rPr>
          <w:fldChar w:fldCharType="separate"/>
        </w:r>
        <w:r w:rsidR="00E15678">
          <w:rPr>
            <w:webHidden/>
          </w:rPr>
          <w:t>123</w:t>
        </w:r>
        <w:r w:rsidR="004E6599">
          <w:rPr>
            <w:webHidden/>
          </w:rPr>
          <w:fldChar w:fldCharType="end"/>
        </w:r>
      </w:hyperlink>
    </w:p>
    <w:p w14:paraId="38A86545" w14:textId="464C5C85" w:rsidR="004E6599" w:rsidRDefault="0002021E">
      <w:pPr>
        <w:pStyle w:val="40"/>
        <w:rPr>
          <w:rFonts w:asciiTheme="minorHAnsi" w:eastAsiaTheme="minorEastAsia" w:hAnsiTheme="minorHAnsi" w:cstheme="minorBidi"/>
          <w:sz w:val="22"/>
          <w:szCs w:val="22"/>
        </w:rPr>
      </w:pPr>
      <w:hyperlink w:anchor="_Toc214473762" w:history="1">
        <w:r w:rsidR="004E6599" w:rsidRPr="005435D2">
          <w:rPr>
            <w:rStyle w:val="-"/>
          </w:rPr>
          <w:t>3.3.3.</w:t>
        </w:r>
        <w:r w:rsidR="004E6599">
          <w:rPr>
            <w:rFonts w:asciiTheme="minorHAnsi" w:eastAsiaTheme="minorEastAsia" w:hAnsiTheme="minorHAnsi" w:cstheme="minorBidi"/>
            <w:sz w:val="22"/>
            <w:szCs w:val="22"/>
          </w:rPr>
          <w:tab/>
        </w:r>
        <w:r w:rsidR="004E6599" w:rsidRPr="005435D2">
          <w:rPr>
            <w:rStyle w:val="-"/>
          </w:rPr>
          <w:t>Πρόσθετα πληροφοριακά στοιχεία μειζόνων κατηγοριών κρατικού προϋπολογισμού</w:t>
        </w:r>
        <w:r w:rsidR="004E6599">
          <w:rPr>
            <w:webHidden/>
          </w:rPr>
          <w:tab/>
        </w:r>
        <w:r w:rsidR="004E6599">
          <w:rPr>
            <w:webHidden/>
          </w:rPr>
          <w:fldChar w:fldCharType="begin"/>
        </w:r>
        <w:r w:rsidR="004E6599">
          <w:rPr>
            <w:webHidden/>
          </w:rPr>
          <w:instrText xml:space="preserve"> PAGEREF _Toc214473762 \h </w:instrText>
        </w:r>
        <w:r w:rsidR="004E6599">
          <w:rPr>
            <w:webHidden/>
          </w:rPr>
        </w:r>
        <w:r w:rsidR="004E6599">
          <w:rPr>
            <w:webHidden/>
          </w:rPr>
          <w:fldChar w:fldCharType="separate"/>
        </w:r>
        <w:r w:rsidR="00E15678">
          <w:rPr>
            <w:webHidden/>
          </w:rPr>
          <w:t>124</w:t>
        </w:r>
        <w:r w:rsidR="004E6599">
          <w:rPr>
            <w:webHidden/>
          </w:rPr>
          <w:fldChar w:fldCharType="end"/>
        </w:r>
      </w:hyperlink>
    </w:p>
    <w:p w14:paraId="2F41CBBA" w14:textId="08E21BD6" w:rsidR="004E6599" w:rsidRDefault="0002021E">
      <w:pPr>
        <w:pStyle w:val="50"/>
        <w:rPr>
          <w:rFonts w:asciiTheme="minorHAnsi" w:eastAsiaTheme="minorEastAsia" w:hAnsiTheme="minorHAnsi" w:cstheme="minorBidi"/>
          <w:sz w:val="22"/>
          <w:szCs w:val="22"/>
        </w:rPr>
      </w:pPr>
      <w:hyperlink w:anchor="_Toc214473763" w:history="1">
        <w:r w:rsidR="004E6599" w:rsidRPr="005435D2">
          <w:rPr>
            <w:rStyle w:val="-"/>
          </w:rPr>
          <w:t>3.3.3.1.</w:t>
        </w:r>
        <w:r w:rsidR="004E6599">
          <w:rPr>
            <w:rFonts w:asciiTheme="minorHAnsi" w:eastAsiaTheme="minorEastAsia" w:hAnsiTheme="minorHAnsi" w:cstheme="minorBidi"/>
            <w:sz w:val="22"/>
            <w:szCs w:val="22"/>
          </w:rPr>
          <w:tab/>
        </w:r>
        <w:r w:rsidR="004E6599" w:rsidRPr="005435D2">
          <w:rPr>
            <w:rStyle w:val="-"/>
          </w:rPr>
          <w:t>Έσοδα</w:t>
        </w:r>
        <w:r w:rsidR="004E6599">
          <w:rPr>
            <w:webHidden/>
          </w:rPr>
          <w:tab/>
        </w:r>
        <w:r w:rsidR="004E6599">
          <w:rPr>
            <w:webHidden/>
          </w:rPr>
          <w:fldChar w:fldCharType="begin"/>
        </w:r>
        <w:r w:rsidR="004E6599">
          <w:rPr>
            <w:webHidden/>
          </w:rPr>
          <w:instrText xml:space="preserve"> PAGEREF _Toc214473763 \h </w:instrText>
        </w:r>
        <w:r w:rsidR="004E6599">
          <w:rPr>
            <w:webHidden/>
          </w:rPr>
        </w:r>
        <w:r w:rsidR="004E6599">
          <w:rPr>
            <w:webHidden/>
          </w:rPr>
          <w:fldChar w:fldCharType="separate"/>
        </w:r>
        <w:r w:rsidR="00E15678">
          <w:rPr>
            <w:webHidden/>
          </w:rPr>
          <w:t>124</w:t>
        </w:r>
        <w:r w:rsidR="004E6599">
          <w:rPr>
            <w:webHidden/>
          </w:rPr>
          <w:fldChar w:fldCharType="end"/>
        </w:r>
      </w:hyperlink>
    </w:p>
    <w:p w14:paraId="0A31793D" w14:textId="2DEFE44A" w:rsidR="004E6599" w:rsidRDefault="0002021E">
      <w:pPr>
        <w:pStyle w:val="50"/>
        <w:rPr>
          <w:rFonts w:asciiTheme="minorHAnsi" w:eastAsiaTheme="minorEastAsia" w:hAnsiTheme="minorHAnsi" w:cstheme="minorBidi"/>
          <w:sz w:val="22"/>
          <w:szCs w:val="22"/>
        </w:rPr>
      </w:pPr>
      <w:hyperlink w:anchor="_Toc214473764" w:history="1">
        <w:r w:rsidR="004E6599" w:rsidRPr="005435D2">
          <w:rPr>
            <w:rStyle w:val="-"/>
          </w:rPr>
          <w:t>3.3.3.2.</w:t>
        </w:r>
        <w:r w:rsidR="004E6599">
          <w:rPr>
            <w:rFonts w:asciiTheme="minorHAnsi" w:eastAsiaTheme="minorEastAsia" w:hAnsiTheme="minorHAnsi" w:cstheme="minorBidi"/>
            <w:sz w:val="22"/>
            <w:szCs w:val="22"/>
          </w:rPr>
          <w:tab/>
        </w:r>
        <w:r w:rsidR="004E6599" w:rsidRPr="005435D2">
          <w:rPr>
            <w:rStyle w:val="-"/>
          </w:rPr>
          <w:t>Δαπάνες</w:t>
        </w:r>
        <w:r w:rsidR="004E6599">
          <w:rPr>
            <w:webHidden/>
          </w:rPr>
          <w:tab/>
        </w:r>
        <w:r w:rsidR="004E6599">
          <w:rPr>
            <w:webHidden/>
          </w:rPr>
          <w:fldChar w:fldCharType="begin"/>
        </w:r>
        <w:r w:rsidR="004E6599">
          <w:rPr>
            <w:webHidden/>
          </w:rPr>
          <w:instrText xml:space="preserve"> PAGEREF _Toc214473764 \h </w:instrText>
        </w:r>
        <w:r w:rsidR="004E6599">
          <w:rPr>
            <w:webHidden/>
          </w:rPr>
        </w:r>
        <w:r w:rsidR="004E6599">
          <w:rPr>
            <w:webHidden/>
          </w:rPr>
          <w:fldChar w:fldCharType="separate"/>
        </w:r>
        <w:r w:rsidR="00E15678">
          <w:rPr>
            <w:webHidden/>
          </w:rPr>
          <w:t>127</w:t>
        </w:r>
        <w:r w:rsidR="004E6599">
          <w:rPr>
            <w:webHidden/>
          </w:rPr>
          <w:fldChar w:fldCharType="end"/>
        </w:r>
      </w:hyperlink>
    </w:p>
    <w:p w14:paraId="2704C465" w14:textId="48D282C2" w:rsidR="004E6599" w:rsidRDefault="0002021E">
      <w:pPr>
        <w:pStyle w:val="40"/>
        <w:rPr>
          <w:rFonts w:asciiTheme="minorHAnsi" w:eastAsiaTheme="minorEastAsia" w:hAnsiTheme="minorHAnsi" w:cstheme="minorBidi"/>
          <w:sz w:val="22"/>
          <w:szCs w:val="22"/>
        </w:rPr>
      </w:pPr>
      <w:hyperlink w:anchor="_Toc214473765" w:history="1">
        <w:r w:rsidR="004E6599" w:rsidRPr="005435D2">
          <w:rPr>
            <w:rStyle w:val="-"/>
          </w:rPr>
          <w:t>3.3.4.</w:t>
        </w:r>
        <w:r w:rsidR="004E6599">
          <w:rPr>
            <w:rFonts w:asciiTheme="minorHAnsi" w:eastAsiaTheme="minorEastAsia" w:hAnsiTheme="minorHAnsi" w:cstheme="minorBidi"/>
            <w:sz w:val="22"/>
            <w:szCs w:val="22"/>
          </w:rPr>
          <w:tab/>
        </w:r>
        <w:r w:rsidR="004E6599" w:rsidRPr="005435D2">
          <w:rPr>
            <w:rStyle w:val="-"/>
          </w:rPr>
          <w:t>Δαπάνες ανά Υπουργείο</w:t>
        </w:r>
        <w:r w:rsidR="004E6599">
          <w:rPr>
            <w:webHidden/>
          </w:rPr>
          <w:tab/>
        </w:r>
        <w:r w:rsidR="004E6599">
          <w:rPr>
            <w:webHidden/>
          </w:rPr>
          <w:fldChar w:fldCharType="begin"/>
        </w:r>
        <w:r w:rsidR="004E6599">
          <w:rPr>
            <w:webHidden/>
          </w:rPr>
          <w:instrText xml:space="preserve"> PAGEREF _Toc214473765 \h </w:instrText>
        </w:r>
        <w:r w:rsidR="004E6599">
          <w:rPr>
            <w:webHidden/>
          </w:rPr>
        </w:r>
        <w:r w:rsidR="004E6599">
          <w:rPr>
            <w:webHidden/>
          </w:rPr>
          <w:fldChar w:fldCharType="separate"/>
        </w:r>
        <w:r w:rsidR="00E15678">
          <w:rPr>
            <w:webHidden/>
          </w:rPr>
          <w:t>133</w:t>
        </w:r>
        <w:r w:rsidR="004E6599">
          <w:rPr>
            <w:webHidden/>
          </w:rPr>
          <w:fldChar w:fldCharType="end"/>
        </w:r>
      </w:hyperlink>
    </w:p>
    <w:p w14:paraId="7CEF291C" w14:textId="48D43521" w:rsidR="004E6599" w:rsidRDefault="0002021E">
      <w:pPr>
        <w:pStyle w:val="50"/>
        <w:rPr>
          <w:rFonts w:asciiTheme="minorHAnsi" w:eastAsiaTheme="minorEastAsia" w:hAnsiTheme="minorHAnsi" w:cstheme="minorBidi"/>
          <w:sz w:val="22"/>
          <w:szCs w:val="22"/>
        </w:rPr>
      </w:pPr>
      <w:hyperlink w:anchor="_Toc214473766" w:history="1">
        <w:r w:rsidR="004E6599" w:rsidRPr="005435D2">
          <w:rPr>
            <w:rStyle w:val="-"/>
          </w:rPr>
          <w:t>3.3.4.1.</w:t>
        </w:r>
        <w:r w:rsidR="004E6599">
          <w:rPr>
            <w:rFonts w:asciiTheme="minorHAnsi" w:eastAsiaTheme="minorEastAsia" w:hAnsiTheme="minorHAnsi" w:cstheme="minorBidi"/>
            <w:sz w:val="22"/>
            <w:szCs w:val="22"/>
          </w:rPr>
          <w:tab/>
        </w:r>
        <w:r w:rsidR="004E6599" w:rsidRPr="005435D2">
          <w:rPr>
            <w:rStyle w:val="-"/>
          </w:rPr>
          <w:t>Αναπτυξιακό Πρόγραμμα Δημοσίων Επενδύσεων</w:t>
        </w:r>
        <w:r w:rsidR="004E6599">
          <w:rPr>
            <w:webHidden/>
          </w:rPr>
          <w:tab/>
        </w:r>
        <w:r w:rsidR="004E6599">
          <w:rPr>
            <w:webHidden/>
          </w:rPr>
          <w:fldChar w:fldCharType="begin"/>
        </w:r>
        <w:r w:rsidR="004E6599">
          <w:rPr>
            <w:webHidden/>
          </w:rPr>
          <w:instrText xml:space="preserve"> PAGEREF _Toc214473766 \h </w:instrText>
        </w:r>
        <w:r w:rsidR="004E6599">
          <w:rPr>
            <w:webHidden/>
          </w:rPr>
        </w:r>
        <w:r w:rsidR="004E6599">
          <w:rPr>
            <w:webHidden/>
          </w:rPr>
          <w:fldChar w:fldCharType="separate"/>
        </w:r>
        <w:r w:rsidR="00E15678">
          <w:rPr>
            <w:webHidden/>
          </w:rPr>
          <w:t>154</w:t>
        </w:r>
        <w:r w:rsidR="004E6599">
          <w:rPr>
            <w:webHidden/>
          </w:rPr>
          <w:fldChar w:fldCharType="end"/>
        </w:r>
      </w:hyperlink>
    </w:p>
    <w:p w14:paraId="7E090FE1" w14:textId="7BBD1914" w:rsidR="004E6599" w:rsidRDefault="0002021E">
      <w:pPr>
        <w:pStyle w:val="40"/>
        <w:rPr>
          <w:rFonts w:asciiTheme="minorHAnsi" w:eastAsiaTheme="minorEastAsia" w:hAnsiTheme="minorHAnsi" w:cstheme="minorBidi"/>
          <w:sz w:val="22"/>
          <w:szCs w:val="22"/>
        </w:rPr>
      </w:pPr>
      <w:hyperlink w:anchor="_Toc214473767" w:history="1">
        <w:r w:rsidR="004E6599" w:rsidRPr="005435D2">
          <w:rPr>
            <w:rStyle w:val="-"/>
          </w:rPr>
          <w:t>3.3.5.</w:t>
        </w:r>
        <w:r w:rsidR="004E6599">
          <w:rPr>
            <w:rFonts w:asciiTheme="minorHAnsi" w:eastAsiaTheme="minorEastAsia" w:hAnsiTheme="minorHAnsi" w:cstheme="minorBidi"/>
            <w:sz w:val="22"/>
            <w:szCs w:val="22"/>
          </w:rPr>
          <w:tab/>
        </w:r>
        <w:r w:rsidR="004E6599" w:rsidRPr="005435D2">
          <w:rPr>
            <w:rStyle w:val="-"/>
          </w:rPr>
          <w:t>Χρηματοροές μεταξύ Ελλάδας και Ευρωπαϊκής Ένωσης 2024 - 2026</w:t>
        </w:r>
        <w:r w:rsidR="004E6599">
          <w:rPr>
            <w:webHidden/>
          </w:rPr>
          <w:tab/>
        </w:r>
        <w:r w:rsidR="004E6599">
          <w:rPr>
            <w:webHidden/>
          </w:rPr>
          <w:fldChar w:fldCharType="begin"/>
        </w:r>
        <w:r w:rsidR="004E6599">
          <w:rPr>
            <w:webHidden/>
          </w:rPr>
          <w:instrText xml:space="preserve"> PAGEREF _Toc214473767 \h </w:instrText>
        </w:r>
        <w:r w:rsidR="004E6599">
          <w:rPr>
            <w:webHidden/>
          </w:rPr>
        </w:r>
        <w:r w:rsidR="004E6599">
          <w:rPr>
            <w:webHidden/>
          </w:rPr>
          <w:fldChar w:fldCharType="separate"/>
        </w:r>
        <w:r w:rsidR="00E15678">
          <w:rPr>
            <w:webHidden/>
          </w:rPr>
          <w:t>161</w:t>
        </w:r>
        <w:r w:rsidR="004E6599">
          <w:rPr>
            <w:webHidden/>
          </w:rPr>
          <w:fldChar w:fldCharType="end"/>
        </w:r>
      </w:hyperlink>
    </w:p>
    <w:p w14:paraId="3CB31C8E" w14:textId="381823F7" w:rsidR="004E6599" w:rsidRDefault="0002021E">
      <w:pPr>
        <w:pStyle w:val="50"/>
        <w:rPr>
          <w:rFonts w:asciiTheme="minorHAnsi" w:eastAsiaTheme="minorEastAsia" w:hAnsiTheme="minorHAnsi" w:cstheme="minorBidi"/>
          <w:sz w:val="22"/>
          <w:szCs w:val="22"/>
        </w:rPr>
      </w:pPr>
      <w:hyperlink w:anchor="_Toc214473768" w:history="1">
        <w:r w:rsidR="004E6599" w:rsidRPr="005435D2">
          <w:rPr>
            <w:rStyle w:val="-"/>
          </w:rPr>
          <w:t>3.3.5.1.</w:t>
        </w:r>
        <w:r w:rsidR="004E6599">
          <w:rPr>
            <w:rFonts w:asciiTheme="minorHAnsi" w:eastAsiaTheme="minorEastAsia" w:hAnsiTheme="minorHAnsi" w:cstheme="minorBidi"/>
            <w:sz w:val="22"/>
            <w:szCs w:val="22"/>
          </w:rPr>
          <w:tab/>
        </w:r>
        <w:r w:rsidR="004E6599" w:rsidRPr="005435D2">
          <w:rPr>
            <w:rStyle w:val="-"/>
          </w:rPr>
          <w:t>Χρηματοροές μεταξύ Ελλάδας και Ευρωπαϊκής Ένωσης το 2025</w:t>
        </w:r>
        <w:r w:rsidR="004E6599">
          <w:rPr>
            <w:webHidden/>
          </w:rPr>
          <w:tab/>
        </w:r>
        <w:r w:rsidR="004E6599">
          <w:rPr>
            <w:webHidden/>
          </w:rPr>
          <w:fldChar w:fldCharType="begin"/>
        </w:r>
        <w:r w:rsidR="004E6599">
          <w:rPr>
            <w:webHidden/>
          </w:rPr>
          <w:instrText xml:space="preserve"> PAGEREF _Toc214473768 \h </w:instrText>
        </w:r>
        <w:r w:rsidR="004E6599">
          <w:rPr>
            <w:webHidden/>
          </w:rPr>
        </w:r>
        <w:r w:rsidR="004E6599">
          <w:rPr>
            <w:webHidden/>
          </w:rPr>
          <w:fldChar w:fldCharType="separate"/>
        </w:r>
        <w:r w:rsidR="00E15678">
          <w:rPr>
            <w:webHidden/>
          </w:rPr>
          <w:t>163</w:t>
        </w:r>
        <w:r w:rsidR="004E6599">
          <w:rPr>
            <w:webHidden/>
          </w:rPr>
          <w:fldChar w:fldCharType="end"/>
        </w:r>
      </w:hyperlink>
    </w:p>
    <w:p w14:paraId="3E5B4A21" w14:textId="5AC4AEA3" w:rsidR="004E6599" w:rsidRDefault="0002021E">
      <w:pPr>
        <w:pStyle w:val="50"/>
        <w:rPr>
          <w:rFonts w:asciiTheme="minorHAnsi" w:eastAsiaTheme="minorEastAsia" w:hAnsiTheme="minorHAnsi" w:cstheme="minorBidi"/>
          <w:sz w:val="22"/>
          <w:szCs w:val="22"/>
        </w:rPr>
      </w:pPr>
      <w:hyperlink w:anchor="_Toc214473769" w:history="1">
        <w:r w:rsidR="004E6599" w:rsidRPr="005435D2">
          <w:rPr>
            <w:rStyle w:val="-"/>
          </w:rPr>
          <w:t>3.3.5.2.</w:t>
        </w:r>
        <w:r w:rsidR="004E6599">
          <w:rPr>
            <w:rFonts w:asciiTheme="minorHAnsi" w:eastAsiaTheme="minorEastAsia" w:hAnsiTheme="minorHAnsi" w:cstheme="minorBidi"/>
            <w:sz w:val="22"/>
            <w:szCs w:val="22"/>
          </w:rPr>
          <w:tab/>
        </w:r>
        <w:r w:rsidR="004E6599" w:rsidRPr="005435D2">
          <w:rPr>
            <w:rStyle w:val="-"/>
          </w:rPr>
          <w:t>Χρηματοροές μεταξύ Ελλάδας και Ευρωπαϊκής Ένωσης το 2026</w:t>
        </w:r>
        <w:r w:rsidR="004E6599">
          <w:rPr>
            <w:webHidden/>
          </w:rPr>
          <w:tab/>
        </w:r>
        <w:r w:rsidR="004E6599">
          <w:rPr>
            <w:webHidden/>
          </w:rPr>
          <w:fldChar w:fldCharType="begin"/>
        </w:r>
        <w:r w:rsidR="004E6599">
          <w:rPr>
            <w:webHidden/>
          </w:rPr>
          <w:instrText xml:space="preserve"> PAGEREF _Toc214473769 \h </w:instrText>
        </w:r>
        <w:r w:rsidR="004E6599">
          <w:rPr>
            <w:webHidden/>
          </w:rPr>
        </w:r>
        <w:r w:rsidR="004E6599">
          <w:rPr>
            <w:webHidden/>
          </w:rPr>
          <w:fldChar w:fldCharType="separate"/>
        </w:r>
        <w:r w:rsidR="00E15678">
          <w:rPr>
            <w:webHidden/>
          </w:rPr>
          <w:t>164</w:t>
        </w:r>
        <w:r w:rsidR="004E6599">
          <w:rPr>
            <w:webHidden/>
          </w:rPr>
          <w:fldChar w:fldCharType="end"/>
        </w:r>
      </w:hyperlink>
    </w:p>
    <w:p w14:paraId="4F37A5F6" w14:textId="4A3A3CF1" w:rsidR="004E6599" w:rsidRDefault="0002021E">
      <w:pPr>
        <w:pStyle w:val="32"/>
        <w:rPr>
          <w:rFonts w:asciiTheme="minorHAnsi" w:eastAsiaTheme="minorEastAsia" w:hAnsiTheme="minorHAnsi" w:cstheme="minorBidi"/>
          <w:sz w:val="22"/>
          <w:szCs w:val="22"/>
        </w:rPr>
      </w:pPr>
      <w:hyperlink w:anchor="_Toc214473770" w:history="1">
        <w:r w:rsidR="004E6599" w:rsidRPr="005435D2">
          <w:rPr>
            <w:rStyle w:val="-"/>
          </w:rPr>
          <w:t>3.4.</w:t>
        </w:r>
        <w:r w:rsidR="004E6599">
          <w:rPr>
            <w:rFonts w:asciiTheme="minorHAnsi" w:eastAsiaTheme="minorEastAsia" w:hAnsiTheme="minorHAnsi" w:cstheme="minorBidi"/>
            <w:sz w:val="22"/>
            <w:szCs w:val="22"/>
          </w:rPr>
          <w:tab/>
        </w:r>
        <w:r w:rsidR="004E6599" w:rsidRPr="005435D2">
          <w:rPr>
            <w:rStyle w:val="-"/>
          </w:rPr>
          <w:t>Νομικά Πρόσωπα Κεντρικής Κυβέρνησης</w:t>
        </w:r>
        <w:r w:rsidR="004E6599">
          <w:rPr>
            <w:webHidden/>
          </w:rPr>
          <w:tab/>
        </w:r>
        <w:r w:rsidR="004E6599">
          <w:rPr>
            <w:webHidden/>
          </w:rPr>
          <w:fldChar w:fldCharType="begin"/>
        </w:r>
        <w:r w:rsidR="004E6599">
          <w:rPr>
            <w:webHidden/>
          </w:rPr>
          <w:instrText xml:space="preserve"> PAGEREF _Toc214473770 \h </w:instrText>
        </w:r>
        <w:r w:rsidR="004E6599">
          <w:rPr>
            <w:webHidden/>
          </w:rPr>
        </w:r>
        <w:r w:rsidR="004E6599">
          <w:rPr>
            <w:webHidden/>
          </w:rPr>
          <w:fldChar w:fldCharType="separate"/>
        </w:r>
        <w:r w:rsidR="00E15678">
          <w:rPr>
            <w:webHidden/>
          </w:rPr>
          <w:t>164</w:t>
        </w:r>
        <w:r w:rsidR="004E6599">
          <w:rPr>
            <w:webHidden/>
          </w:rPr>
          <w:fldChar w:fldCharType="end"/>
        </w:r>
      </w:hyperlink>
    </w:p>
    <w:p w14:paraId="24E69D45" w14:textId="485E5E7A" w:rsidR="004E6599" w:rsidRDefault="0002021E">
      <w:pPr>
        <w:pStyle w:val="40"/>
        <w:rPr>
          <w:rFonts w:asciiTheme="minorHAnsi" w:eastAsiaTheme="minorEastAsia" w:hAnsiTheme="minorHAnsi" w:cstheme="minorBidi"/>
          <w:sz w:val="22"/>
          <w:szCs w:val="22"/>
        </w:rPr>
      </w:pPr>
      <w:hyperlink w:anchor="_Toc214473771" w:history="1">
        <w:r w:rsidR="004E6599" w:rsidRPr="005435D2">
          <w:rPr>
            <w:rStyle w:val="-"/>
          </w:rPr>
          <w:t>3.4.1.</w:t>
        </w:r>
        <w:r w:rsidR="004E6599">
          <w:rPr>
            <w:rFonts w:asciiTheme="minorHAnsi" w:eastAsiaTheme="minorEastAsia" w:hAnsiTheme="minorHAnsi" w:cstheme="minorBidi"/>
            <w:sz w:val="22"/>
            <w:szCs w:val="22"/>
          </w:rPr>
          <w:tab/>
        </w:r>
        <w:r w:rsidR="004E6599" w:rsidRPr="005435D2">
          <w:rPr>
            <w:rStyle w:val="-"/>
          </w:rPr>
          <w:t>Ανεξάρτητες Διοικητικές Αρχές</w:t>
        </w:r>
        <w:r w:rsidR="004E6599">
          <w:rPr>
            <w:webHidden/>
          </w:rPr>
          <w:tab/>
        </w:r>
        <w:r w:rsidR="004E6599">
          <w:rPr>
            <w:webHidden/>
          </w:rPr>
          <w:fldChar w:fldCharType="begin"/>
        </w:r>
        <w:r w:rsidR="004E6599">
          <w:rPr>
            <w:webHidden/>
          </w:rPr>
          <w:instrText xml:space="preserve"> PAGEREF _Toc214473771 \h </w:instrText>
        </w:r>
        <w:r w:rsidR="004E6599">
          <w:rPr>
            <w:webHidden/>
          </w:rPr>
        </w:r>
        <w:r w:rsidR="004E6599">
          <w:rPr>
            <w:webHidden/>
          </w:rPr>
          <w:fldChar w:fldCharType="separate"/>
        </w:r>
        <w:r w:rsidR="00E15678">
          <w:rPr>
            <w:webHidden/>
          </w:rPr>
          <w:t>164</w:t>
        </w:r>
        <w:r w:rsidR="004E6599">
          <w:rPr>
            <w:webHidden/>
          </w:rPr>
          <w:fldChar w:fldCharType="end"/>
        </w:r>
      </w:hyperlink>
    </w:p>
    <w:p w14:paraId="3E2C1DCF" w14:textId="34C9749C" w:rsidR="004E6599" w:rsidRDefault="0002021E">
      <w:pPr>
        <w:pStyle w:val="40"/>
        <w:rPr>
          <w:rFonts w:asciiTheme="minorHAnsi" w:eastAsiaTheme="minorEastAsia" w:hAnsiTheme="minorHAnsi" w:cstheme="minorBidi"/>
          <w:sz w:val="22"/>
          <w:szCs w:val="22"/>
        </w:rPr>
      </w:pPr>
      <w:hyperlink w:anchor="_Toc214473772" w:history="1">
        <w:r w:rsidR="004E6599" w:rsidRPr="005435D2">
          <w:rPr>
            <w:rStyle w:val="-"/>
          </w:rPr>
          <w:t>3.4.2.</w:t>
        </w:r>
        <w:r w:rsidR="004E6599">
          <w:rPr>
            <w:rFonts w:asciiTheme="minorHAnsi" w:eastAsiaTheme="minorEastAsia" w:hAnsiTheme="minorHAnsi" w:cstheme="minorBidi"/>
            <w:sz w:val="22"/>
            <w:szCs w:val="22"/>
          </w:rPr>
          <w:tab/>
        </w:r>
        <w:r w:rsidR="004E6599" w:rsidRPr="005435D2">
          <w:rPr>
            <w:rStyle w:val="-"/>
          </w:rPr>
          <w:t>Ασφαλιστικό Κεφάλαιο Αλληλεγγύης Γενεών</w:t>
        </w:r>
        <w:r w:rsidR="004E6599">
          <w:rPr>
            <w:webHidden/>
          </w:rPr>
          <w:tab/>
        </w:r>
        <w:r w:rsidR="004E6599">
          <w:rPr>
            <w:webHidden/>
          </w:rPr>
          <w:fldChar w:fldCharType="begin"/>
        </w:r>
        <w:r w:rsidR="004E6599">
          <w:rPr>
            <w:webHidden/>
          </w:rPr>
          <w:instrText xml:space="preserve"> PAGEREF _Toc214473772 \h </w:instrText>
        </w:r>
        <w:r w:rsidR="004E6599">
          <w:rPr>
            <w:webHidden/>
          </w:rPr>
        </w:r>
        <w:r w:rsidR="004E6599">
          <w:rPr>
            <w:webHidden/>
          </w:rPr>
          <w:fldChar w:fldCharType="separate"/>
        </w:r>
        <w:r w:rsidR="00E15678">
          <w:rPr>
            <w:webHidden/>
          </w:rPr>
          <w:t>167</w:t>
        </w:r>
        <w:r w:rsidR="004E6599">
          <w:rPr>
            <w:webHidden/>
          </w:rPr>
          <w:fldChar w:fldCharType="end"/>
        </w:r>
      </w:hyperlink>
    </w:p>
    <w:p w14:paraId="3D805B73" w14:textId="0F14CC04" w:rsidR="004E6599" w:rsidRDefault="0002021E">
      <w:pPr>
        <w:pStyle w:val="40"/>
        <w:rPr>
          <w:rFonts w:asciiTheme="minorHAnsi" w:eastAsiaTheme="minorEastAsia" w:hAnsiTheme="minorHAnsi" w:cstheme="minorBidi"/>
          <w:sz w:val="22"/>
          <w:szCs w:val="22"/>
        </w:rPr>
      </w:pPr>
      <w:hyperlink w:anchor="_Toc214473773" w:history="1">
        <w:r w:rsidR="004E6599" w:rsidRPr="005435D2">
          <w:rPr>
            <w:rStyle w:val="-"/>
          </w:rPr>
          <w:t>3.4.3.</w:t>
        </w:r>
        <w:r w:rsidR="004E6599">
          <w:rPr>
            <w:rFonts w:asciiTheme="minorHAnsi" w:eastAsiaTheme="minorEastAsia" w:hAnsiTheme="minorHAnsi" w:cstheme="minorBidi"/>
            <w:sz w:val="22"/>
            <w:szCs w:val="22"/>
          </w:rPr>
          <w:tab/>
        </w:r>
        <w:r w:rsidR="004E6599" w:rsidRPr="005435D2">
          <w:rPr>
            <w:rStyle w:val="-"/>
          </w:rPr>
          <w:t>Λοιπά Νομικά Πρόσωπα Κεντρικής Κυβέρνησης</w:t>
        </w:r>
        <w:r w:rsidR="004E6599">
          <w:rPr>
            <w:webHidden/>
          </w:rPr>
          <w:tab/>
        </w:r>
        <w:r w:rsidR="004E6599">
          <w:rPr>
            <w:webHidden/>
          </w:rPr>
          <w:fldChar w:fldCharType="begin"/>
        </w:r>
        <w:r w:rsidR="004E6599">
          <w:rPr>
            <w:webHidden/>
          </w:rPr>
          <w:instrText xml:space="preserve"> PAGEREF _Toc214473773 \h </w:instrText>
        </w:r>
        <w:r w:rsidR="004E6599">
          <w:rPr>
            <w:webHidden/>
          </w:rPr>
        </w:r>
        <w:r w:rsidR="004E6599">
          <w:rPr>
            <w:webHidden/>
          </w:rPr>
          <w:fldChar w:fldCharType="separate"/>
        </w:r>
        <w:r w:rsidR="00E15678">
          <w:rPr>
            <w:webHidden/>
          </w:rPr>
          <w:t>168</w:t>
        </w:r>
        <w:r w:rsidR="004E6599">
          <w:rPr>
            <w:webHidden/>
          </w:rPr>
          <w:fldChar w:fldCharType="end"/>
        </w:r>
      </w:hyperlink>
    </w:p>
    <w:p w14:paraId="00412F09" w14:textId="517BFEC2" w:rsidR="004E6599" w:rsidRDefault="0002021E">
      <w:pPr>
        <w:pStyle w:val="32"/>
        <w:rPr>
          <w:rFonts w:asciiTheme="minorHAnsi" w:eastAsiaTheme="minorEastAsia" w:hAnsiTheme="minorHAnsi" w:cstheme="minorBidi"/>
          <w:sz w:val="22"/>
          <w:szCs w:val="22"/>
        </w:rPr>
      </w:pPr>
      <w:hyperlink w:anchor="_Toc214473774" w:history="1">
        <w:r w:rsidR="004E6599" w:rsidRPr="005435D2">
          <w:rPr>
            <w:rStyle w:val="-"/>
          </w:rPr>
          <w:t>3.5.</w:t>
        </w:r>
        <w:r w:rsidR="004E6599">
          <w:rPr>
            <w:rFonts w:asciiTheme="minorHAnsi" w:eastAsiaTheme="minorEastAsia" w:hAnsiTheme="minorHAnsi" w:cstheme="minorBidi"/>
            <w:sz w:val="22"/>
            <w:szCs w:val="22"/>
          </w:rPr>
          <w:tab/>
        </w:r>
        <w:r w:rsidR="004E6599" w:rsidRPr="005435D2">
          <w:rPr>
            <w:rStyle w:val="-"/>
          </w:rPr>
          <w:t>Νοσοκομεία - Πρωτοβάθμια Φροντίδα Υγείας</w:t>
        </w:r>
        <w:r w:rsidR="004E6599">
          <w:rPr>
            <w:webHidden/>
          </w:rPr>
          <w:tab/>
        </w:r>
        <w:r w:rsidR="004E6599">
          <w:rPr>
            <w:webHidden/>
          </w:rPr>
          <w:fldChar w:fldCharType="begin"/>
        </w:r>
        <w:r w:rsidR="004E6599">
          <w:rPr>
            <w:webHidden/>
          </w:rPr>
          <w:instrText xml:space="preserve"> PAGEREF _Toc214473774 \h </w:instrText>
        </w:r>
        <w:r w:rsidR="004E6599">
          <w:rPr>
            <w:webHidden/>
          </w:rPr>
        </w:r>
        <w:r w:rsidR="004E6599">
          <w:rPr>
            <w:webHidden/>
          </w:rPr>
          <w:fldChar w:fldCharType="separate"/>
        </w:r>
        <w:r w:rsidR="00E15678">
          <w:rPr>
            <w:webHidden/>
          </w:rPr>
          <w:t>174</w:t>
        </w:r>
        <w:r w:rsidR="004E6599">
          <w:rPr>
            <w:webHidden/>
          </w:rPr>
          <w:fldChar w:fldCharType="end"/>
        </w:r>
      </w:hyperlink>
    </w:p>
    <w:p w14:paraId="5FB62118" w14:textId="38E8C2D9" w:rsidR="004E6599" w:rsidRDefault="0002021E">
      <w:pPr>
        <w:pStyle w:val="32"/>
        <w:rPr>
          <w:rFonts w:asciiTheme="minorHAnsi" w:eastAsiaTheme="minorEastAsia" w:hAnsiTheme="minorHAnsi" w:cstheme="minorBidi"/>
          <w:sz w:val="22"/>
          <w:szCs w:val="22"/>
        </w:rPr>
      </w:pPr>
      <w:hyperlink w:anchor="_Toc214473775" w:history="1">
        <w:r w:rsidR="004E6599" w:rsidRPr="005435D2">
          <w:rPr>
            <w:rStyle w:val="-"/>
          </w:rPr>
          <w:t>3.6.</w:t>
        </w:r>
        <w:r w:rsidR="004E6599">
          <w:rPr>
            <w:rFonts w:asciiTheme="minorHAnsi" w:eastAsiaTheme="minorEastAsia" w:hAnsiTheme="minorHAnsi" w:cstheme="minorBidi"/>
            <w:sz w:val="22"/>
            <w:szCs w:val="22"/>
          </w:rPr>
          <w:tab/>
        </w:r>
        <w:r w:rsidR="004E6599" w:rsidRPr="005435D2">
          <w:rPr>
            <w:rStyle w:val="-"/>
          </w:rPr>
          <w:t>Οργανισμοί Κοινωνικής Ασφάλισης - Προϋπολογισμός του υποτομέα των ΟΚΑ</w:t>
        </w:r>
        <w:r w:rsidR="004E6599">
          <w:rPr>
            <w:webHidden/>
          </w:rPr>
          <w:tab/>
        </w:r>
        <w:r w:rsidR="004E6599">
          <w:rPr>
            <w:webHidden/>
          </w:rPr>
          <w:fldChar w:fldCharType="begin"/>
        </w:r>
        <w:r w:rsidR="004E6599">
          <w:rPr>
            <w:webHidden/>
          </w:rPr>
          <w:instrText xml:space="preserve"> PAGEREF _Toc214473775 \h </w:instrText>
        </w:r>
        <w:r w:rsidR="004E6599">
          <w:rPr>
            <w:webHidden/>
          </w:rPr>
        </w:r>
        <w:r w:rsidR="004E6599">
          <w:rPr>
            <w:webHidden/>
          </w:rPr>
          <w:fldChar w:fldCharType="separate"/>
        </w:r>
        <w:r w:rsidR="00E15678">
          <w:rPr>
            <w:webHidden/>
          </w:rPr>
          <w:t>176</w:t>
        </w:r>
        <w:r w:rsidR="004E6599">
          <w:rPr>
            <w:webHidden/>
          </w:rPr>
          <w:fldChar w:fldCharType="end"/>
        </w:r>
      </w:hyperlink>
    </w:p>
    <w:p w14:paraId="692071BB" w14:textId="7B28694C" w:rsidR="004E6599" w:rsidRDefault="0002021E">
      <w:pPr>
        <w:pStyle w:val="40"/>
        <w:rPr>
          <w:rFonts w:asciiTheme="minorHAnsi" w:eastAsiaTheme="minorEastAsia" w:hAnsiTheme="minorHAnsi" w:cstheme="minorBidi"/>
          <w:sz w:val="22"/>
          <w:szCs w:val="22"/>
        </w:rPr>
      </w:pPr>
      <w:hyperlink w:anchor="_Toc214473776" w:history="1">
        <w:r w:rsidR="004E6599" w:rsidRPr="005435D2">
          <w:rPr>
            <w:rStyle w:val="-"/>
          </w:rPr>
          <w:t>3.6.1.</w:t>
        </w:r>
        <w:r w:rsidR="004E6599">
          <w:rPr>
            <w:rFonts w:asciiTheme="minorHAnsi" w:eastAsiaTheme="minorEastAsia" w:hAnsiTheme="minorHAnsi" w:cstheme="minorBidi"/>
            <w:sz w:val="22"/>
            <w:szCs w:val="22"/>
          </w:rPr>
          <w:tab/>
        </w:r>
        <w:r w:rsidR="004E6599" w:rsidRPr="005435D2">
          <w:rPr>
            <w:rStyle w:val="-"/>
          </w:rPr>
          <w:t>Ασφαλιστικά Ταμεία</w:t>
        </w:r>
        <w:r w:rsidR="004E6599">
          <w:rPr>
            <w:webHidden/>
          </w:rPr>
          <w:tab/>
        </w:r>
        <w:r w:rsidR="004E6599">
          <w:rPr>
            <w:webHidden/>
          </w:rPr>
          <w:fldChar w:fldCharType="begin"/>
        </w:r>
        <w:r w:rsidR="004E6599">
          <w:rPr>
            <w:webHidden/>
          </w:rPr>
          <w:instrText xml:space="preserve"> PAGEREF _Toc214473776 \h </w:instrText>
        </w:r>
        <w:r w:rsidR="004E6599">
          <w:rPr>
            <w:webHidden/>
          </w:rPr>
        </w:r>
        <w:r w:rsidR="004E6599">
          <w:rPr>
            <w:webHidden/>
          </w:rPr>
          <w:fldChar w:fldCharType="separate"/>
        </w:r>
        <w:r w:rsidR="00E15678">
          <w:rPr>
            <w:webHidden/>
          </w:rPr>
          <w:t>176</w:t>
        </w:r>
        <w:r w:rsidR="004E6599">
          <w:rPr>
            <w:webHidden/>
          </w:rPr>
          <w:fldChar w:fldCharType="end"/>
        </w:r>
      </w:hyperlink>
    </w:p>
    <w:p w14:paraId="1CB7FD42" w14:textId="72AB71DA" w:rsidR="004E6599" w:rsidRDefault="0002021E">
      <w:pPr>
        <w:pStyle w:val="40"/>
        <w:rPr>
          <w:rFonts w:asciiTheme="minorHAnsi" w:eastAsiaTheme="minorEastAsia" w:hAnsiTheme="minorHAnsi" w:cstheme="minorBidi"/>
          <w:sz w:val="22"/>
          <w:szCs w:val="22"/>
        </w:rPr>
      </w:pPr>
      <w:hyperlink w:anchor="_Toc214473777" w:history="1">
        <w:r w:rsidR="004E6599" w:rsidRPr="005435D2">
          <w:rPr>
            <w:rStyle w:val="-"/>
          </w:rPr>
          <w:t>3.6.2.</w:t>
        </w:r>
        <w:r w:rsidR="004E6599">
          <w:rPr>
            <w:rFonts w:asciiTheme="minorHAnsi" w:eastAsiaTheme="minorEastAsia" w:hAnsiTheme="minorHAnsi" w:cstheme="minorBidi"/>
            <w:sz w:val="22"/>
            <w:szCs w:val="22"/>
          </w:rPr>
          <w:tab/>
        </w:r>
        <w:r w:rsidR="004E6599" w:rsidRPr="005435D2">
          <w:rPr>
            <w:rStyle w:val="-"/>
          </w:rPr>
          <w:t>Δημόσια Υπηρεσία Απασχόλησης</w:t>
        </w:r>
        <w:r w:rsidR="004E6599">
          <w:rPr>
            <w:webHidden/>
          </w:rPr>
          <w:tab/>
        </w:r>
        <w:r w:rsidR="004E6599">
          <w:rPr>
            <w:webHidden/>
          </w:rPr>
          <w:fldChar w:fldCharType="begin"/>
        </w:r>
        <w:r w:rsidR="004E6599">
          <w:rPr>
            <w:webHidden/>
          </w:rPr>
          <w:instrText xml:space="preserve"> PAGEREF _Toc214473777 \h </w:instrText>
        </w:r>
        <w:r w:rsidR="004E6599">
          <w:rPr>
            <w:webHidden/>
          </w:rPr>
        </w:r>
        <w:r w:rsidR="004E6599">
          <w:rPr>
            <w:webHidden/>
          </w:rPr>
          <w:fldChar w:fldCharType="separate"/>
        </w:r>
        <w:r w:rsidR="00E15678">
          <w:rPr>
            <w:webHidden/>
          </w:rPr>
          <w:t>177</w:t>
        </w:r>
        <w:r w:rsidR="004E6599">
          <w:rPr>
            <w:webHidden/>
          </w:rPr>
          <w:fldChar w:fldCharType="end"/>
        </w:r>
      </w:hyperlink>
    </w:p>
    <w:p w14:paraId="597B9D26" w14:textId="2CDE8A37" w:rsidR="004E6599" w:rsidRDefault="0002021E">
      <w:pPr>
        <w:pStyle w:val="40"/>
        <w:rPr>
          <w:rFonts w:asciiTheme="minorHAnsi" w:eastAsiaTheme="minorEastAsia" w:hAnsiTheme="minorHAnsi" w:cstheme="minorBidi"/>
          <w:sz w:val="22"/>
          <w:szCs w:val="22"/>
        </w:rPr>
      </w:pPr>
      <w:hyperlink w:anchor="_Toc214473778" w:history="1">
        <w:r w:rsidR="004E6599" w:rsidRPr="005435D2">
          <w:rPr>
            <w:rStyle w:val="-"/>
          </w:rPr>
          <w:t>3.6.3.</w:t>
        </w:r>
        <w:r w:rsidR="004E6599">
          <w:rPr>
            <w:rFonts w:asciiTheme="minorHAnsi" w:eastAsiaTheme="minorEastAsia" w:hAnsiTheme="minorHAnsi" w:cstheme="minorBidi"/>
            <w:sz w:val="22"/>
            <w:szCs w:val="22"/>
          </w:rPr>
          <w:tab/>
        </w:r>
        <w:r w:rsidR="004E6599" w:rsidRPr="005435D2">
          <w:rPr>
            <w:rStyle w:val="-"/>
          </w:rPr>
          <w:t>Εθνικός Οργανισμός Παροχής Υπηρεσιών Υγείας</w:t>
        </w:r>
        <w:r w:rsidR="004E6599">
          <w:rPr>
            <w:webHidden/>
          </w:rPr>
          <w:tab/>
        </w:r>
        <w:r w:rsidR="004E6599">
          <w:rPr>
            <w:webHidden/>
          </w:rPr>
          <w:fldChar w:fldCharType="begin"/>
        </w:r>
        <w:r w:rsidR="004E6599">
          <w:rPr>
            <w:webHidden/>
          </w:rPr>
          <w:instrText xml:space="preserve"> PAGEREF _Toc214473778 \h </w:instrText>
        </w:r>
        <w:r w:rsidR="004E6599">
          <w:rPr>
            <w:webHidden/>
          </w:rPr>
        </w:r>
        <w:r w:rsidR="004E6599">
          <w:rPr>
            <w:webHidden/>
          </w:rPr>
          <w:fldChar w:fldCharType="separate"/>
        </w:r>
        <w:r w:rsidR="00E15678">
          <w:rPr>
            <w:webHidden/>
          </w:rPr>
          <w:t>177</w:t>
        </w:r>
        <w:r w:rsidR="004E6599">
          <w:rPr>
            <w:webHidden/>
          </w:rPr>
          <w:fldChar w:fldCharType="end"/>
        </w:r>
      </w:hyperlink>
    </w:p>
    <w:p w14:paraId="7648A247" w14:textId="0AFF56F6" w:rsidR="004E6599" w:rsidRDefault="0002021E">
      <w:pPr>
        <w:pStyle w:val="40"/>
        <w:rPr>
          <w:rFonts w:asciiTheme="minorHAnsi" w:eastAsiaTheme="minorEastAsia" w:hAnsiTheme="minorHAnsi" w:cstheme="minorBidi"/>
          <w:sz w:val="22"/>
          <w:szCs w:val="22"/>
        </w:rPr>
      </w:pPr>
      <w:hyperlink w:anchor="_Toc214473779" w:history="1">
        <w:r w:rsidR="004E6599" w:rsidRPr="005435D2">
          <w:rPr>
            <w:rStyle w:val="-"/>
          </w:rPr>
          <w:t>3.6.4.</w:t>
        </w:r>
        <w:r w:rsidR="004E6599">
          <w:rPr>
            <w:rFonts w:asciiTheme="minorHAnsi" w:eastAsiaTheme="minorEastAsia" w:hAnsiTheme="minorHAnsi" w:cstheme="minorBidi"/>
            <w:sz w:val="22"/>
            <w:szCs w:val="22"/>
          </w:rPr>
          <w:tab/>
        </w:r>
        <w:r w:rsidR="004E6599" w:rsidRPr="005435D2">
          <w:rPr>
            <w:rStyle w:val="-"/>
          </w:rPr>
          <w:t>Οργανισμός Προνοιακών Επιδομάτων και Κοινωνικής Αλληλεγγύης - Ναυτικό Απομαχικό Ταμείο</w:t>
        </w:r>
        <w:r w:rsidR="004E6599">
          <w:rPr>
            <w:webHidden/>
          </w:rPr>
          <w:tab/>
        </w:r>
        <w:r w:rsidR="004E6599">
          <w:rPr>
            <w:webHidden/>
          </w:rPr>
          <w:fldChar w:fldCharType="begin"/>
        </w:r>
        <w:r w:rsidR="004E6599">
          <w:rPr>
            <w:webHidden/>
          </w:rPr>
          <w:instrText xml:space="preserve"> PAGEREF _Toc214473779 \h </w:instrText>
        </w:r>
        <w:r w:rsidR="004E6599">
          <w:rPr>
            <w:webHidden/>
          </w:rPr>
        </w:r>
        <w:r w:rsidR="004E6599">
          <w:rPr>
            <w:webHidden/>
          </w:rPr>
          <w:fldChar w:fldCharType="separate"/>
        </w:r>
        <w:r w:rsidR="00E15678">
          <w:rPr>
            <w:webHidden/>
          </w:rPr>
          <w:t>178</w:t>
        </w:r>
        <w:r w:rsidR="004E6599">
          <w:rPr>
            <w:webHidden/>
          </w:rPr>
          <w:fldChar w:fldCharType="end"/>
        </w:r>
      </w:hyperlink>
    </w:p>
    <w:p w14:paraId="5B867813" w14:textId="296CA4C7" w:rsidR="004E6599" w:rsidRDefault="0002021E">
      <w:pPr>
        <w:pStyle w:val="32"/>
        <w:rPr>
          <w:rFonts w:asciiTheme="minorHAnsi" w:eastAsiaTheme="minorEastAsia" w:hAnsiTheme="minorHAnsi" w:cstheme="minorBidi"/>
          <w:sz w:val="22"/>
          <w:szCs w:val="22"/>
        </w:rPr>
      </w:pPr>
      <w:hyperlink w:anchor="_Toc214473780" w:history="1">
        <w:r w:rsidR="004E6599" w:rsidRPr="005435D2">
          <w:rPr>
            <w:rStyle w:val="-"/>
          </w:rPr>
          <w:t>3.7.</w:t>
        </w:r>
        <w:r w:rsidR="004E6599">
          <w:rPr>
            <w:rFonts w:asciiTheme="minorHAnsi" w:eastAsiaTheme="minorEastAsia" w:hAnsiTheme="minorHAnsi" w:cstheme="minorBidi"/>
            <w:sz w:val="22"/>
            <w:szCs w:val="22"/>
          </w:rPr>
          <w:tab/>
        </w:r>
        <w:r w:rsidR="004E6599" w:rsidRPr="005435D2">
          <w:rPr>
            <w:rStyle w:val="-"/>
          </w:rPr>
          <w:t>Οργανισμοί Τοπικής Αυτοδιοίκησης - Ενοποιημένος προϋπολογισμός</w:t>
        </w:r>
        <w:r w:rsidR="004E6599">
          <w:rPr>
            <w:webHidden/>
          </w:rPr>
          <w:tab/>
        </w:r>
        <w:r w:rsidR="004E6599">
          <w:rPr>
            <w:webHidden/>
          </w:rPr>
          <w:fldChar w:fldCharType="begin"/>
        </w:r>
        <w:r w:rsidR="004E6599">
          <w:rPr>
            <w:webHidden/>
          </w:rPr>
          <w:instrText xml:space="preserve"> PAGEREF _Toc214473780 \h </w:instrText>
        </w:r>
        <w:r w:rsidR="004E6599">
          <w:rPr>
            <w:webHidden/>
          </w:rPr>
        </w:r>
        <w:r w:rsidR="004E6599">
          <w:rPr>
            <w:webHidden/>
          </w:rPr>
          <w:fldChar w:fldCharType="separate"/>
        </w:r>
        <w:r w:rsidR="00E15678">
          <w:rPr>
            <w:webHidden/>
          </w:rPr>
          <w:t>180</w:t>
        </w:r>
        <w:r w:rsidR="004E6599">
          <w:rPr>
            <w:webHidden/>
          </w:rPr>
          <w:fldChar w:fldCharType="end"/>
        </w:r>
      </w:hyperlink>
    </w:p>
    <w:p w14:paraId="50B95B86" w14:textId="624DE5A2" w:rsidR="004E6599" w:rsidRDefault="0002021E">
      <w:pPr>
        <w:pStyle w:val="32"/>
        <w:rPr>
          <w:rFonts w:asciiTheme="minorHAnsi" w:eastAsiaTheme="minorEastAsia" w:hAnsiTheme="minorHAnsi" w:cstheme="minorBidi"/>
          <w:sz w:val="22"/>
          <w:szCs w:val="22"/>
        </w:rPr>
      </w:pPr>
      <w:hyperlink w:anchor="_Toc214473781" w:history="1">
        <w:r w:rsidR="004E6599" w:rsidRPr="005435D2">
          <w:rPr>
            <w:rStyle w:val="-"/>
          </w:rPr>
          <w:t>3.8.</w:t>
        </w:r>
        <w:r w:rsidR="004E6599">
          <w:rPr>
            <w:rFonts w:asciiTheme="minorHAnsi" w:eastAsiaTheme="minorEastAsia" w:hAnsiTheme="minorHAnsi" w:cstheme="minorBidi"/>
            <w:sz w:val="22"/>
            <w:szCs w:val="22"/>
          </w:rPr>
          <w:tab/>
        </w:r>
        <w:r w:rsidR="004E6599" w:rsidRPr="005435D2">
          <w:rPr>
            <w:rStyle w:val="-"/>
          </w:rPr>
          <w:t>Ληξιπρόθεσμες υποχρεώσεις της Γενικής Κυβέρνησης προς τρίτους</w:t>
        </w:r>
        <w:r w:rsidR="004E6599">
          <w:rPr>
            <w:webHidden/>
          </w:rPr>
          <w:tab/>
        </w:r>
        <w:r w:rsidR="004E6599">
          <w:rPr>
            <w:webHidden/>
          </w:rPr>
          <w:fldChar w:fldCharType="begin"/>
        </w:r>
        <w:r w:rsidR="004E6599">
          <w:rPr>
            <w:webHidden/>
          </w:rPr>
          <w:instrText xml:space="preserve"> PAGEREF _Toc214473781 \h </w:instrText>
        </w:r>
        <w:r w:rsidR="004E6599">
          <w:rPr>
            <w:webHidden/>
          </w:rPr>
        </w:r>
        <w:r w:rsidR="004E6599">
          <w:rPr>
            <w:webHidden/>
          </w:rPr>
          <w:fldChar w:fldCharType="separate"/>
        </w:r>
        <w:r w:rsidR="00E15678">
          <w:rPr>
            <w:webHidden/>
          </w:rPr>
          <w:t>182</w:t>
        </w:r>
        <w:r w:rsidR="004E6599">
          <w:rPr>
            <w:webHidden/>
          </w:rPr>
          <w:fldChar w:fldCharType="end"/>
        </w:r>
      </w:hyperlink>
    </w:p>
    <w:p w14:paraId="71F90FB9" w14:textId="08838F1F" w:rsidR="004E6599" w:rsidRDefault="0002021E">
      <w:pPr>
        <w:pStyle w:val="32"/>
        <w:rPr>
          <w:rFonts w:asciiTheme="minorHAnsi" w:eastAsiaTheme="minorEastAsia" w:hAnsiTheme="minorHAnsi" w:cstheme="minorBidi"/>
          <w:sz w:val="22"/>
          <w:szCs w:val="22"/>
        </w:rPr>
      </w:pPr>
      <w:hyperlink w:anchor="_Toc214473782" w:history="1">
        <w:r w:rsidR="004E6599" w:rsidRPr="005435D2">
          <w:rPr>
            <w:rStyle w:val="-"/>
          </w:rPr>
          <w:t>3.9.</w:t>
        </w:r>
        <w:r w:rsidR="004E6599">
          <w:rPr>
            <w:rFonts w:asciiTheme="minorHAnsi" w:eastAsiaTheme="minorEastAsia" w:hAnsiTheme="minorHAnsi" w:cstheme="minorBidi"/>
            <w:sz w:val="22"/>
            <w:szCs w:val="22"/>
          </w:rPr>
          <w:tab/>
        </w:r>
        <w:r w:rsidR="004E6599" w:rsidRPr="005435D2">
          <w:rPr>
            <w:rStyle w:val="-"/>
          </w:rPr>
          <w:t>Δημοσιονομικές παρεμβάσεις</w:t>
        </w:r>
        <w:r w:rsidR="004E6599">
          <w:rPr>
            <w:webHidden/>
          </w:rPr>
          <w:tab/>
        </w:r>
        <w:r w:rsidR="004E6599">
          <w:rPr>
            <w:webHidden/>
          </w:rPr>
          <w:fldChar w:fldCharType="begin"/>
        </w:r>
        <w:r w:rsidR="004E6599">
          <w:rPr>
            <w:webHidden/>
          </w:rPr>
          <w:instrText xml:space="preserve"> PAGEREF _Toc214473782 \h </w:instrText>
        </w:r>
        <w:r w:rsidR="004E6599">
          <w:rPr>
            <w:webHidden/>
          </w:rPr>
        </w:r>
        <w:r w:rsidR="004E6599">
          <w:rPr>
            <w:webHidden/>
          </w:rPr>
          <w:fldChar w:fldCharType="separate"/>
        </w:r>
        <w:r w:rsidR="00E15678">
          <w:rPr>
            <w:webHidden/>
          </w:rPr>
          <w:t>183</w:t>
        </w:r>
        <w:r w:rsidR="004E6599">
          <w:rPr>
            <w:webHidden/>
          </w:rPr>
          <w:fldChar w:fldCharType="end"/>
        </w:r>
      </w:hyperlink>
    </w:p>
    <w:p w14:paraId="3177BC2C" w14:textId="03700E54" w:rsidR="004E6599" w:rsidRDefault="0002021E">
      <w:pPr>
        <w:pStyle w:val="32"/>
        <w:rPr>
          <w:rFonts w:asciiTheme="minorHAnsi" w:eastAsiaTheme="minorEastAsia" w:hAnsiTheme="minorHAnsi" w:cstheme="minorBidi"/>
          <w:sz w:val="22"/>
          <w:szCs w:val="22"/>
        </w:rPr>
      </w:pPr>
      <w:hyperlink w:anchor="_Toc214473792" w:history="1">
        <w:r w:rsidR="004E6599" w:rsidRPr="005435D2">
          <w:rPr>
            <w:rStyle w:val="-"/>
          </w:rPr>
          <w:t>3.10.</w:t>
        </w:r>
        <w:r w:rsidR="004E6599">
          <w:rPr>
            <w:rFonts w:asciiTheme="minorHAnsi" w:eastAsiaTheme="minorEastAsia" w:hAnsiTheme="minorHAnsi" w:cstheme="minorBidi"/>
            <w:sz w:val="22"/>
            <w:szCs w:val="22"/>
          </w:rPr>
          <w:tab/>
        </w:r>
        <w:r w:rsidR="004E6599" w:rsidRPr="005435D2">
          <w:rPr>
            <w:rStyle w:val="-"/>
          </w:rPr>
          <w:t>Αναδιανεμητική επίπτωση δημοσιονομικών παρεμβάσεων</w:t>
        </w:r>
        <w:r w:rsidR="004E6599">
          <w:rPr>
            <w:webHidden/>
          </w:rPr>
          <w:tab/>
        </w:r>
        <w:r w:rsidR="004E6599">
          <w:rPr>
            <w:webHidden/>
          </w:rPr>
          <w:fldChar w:fldCharType="begin"/>
        </w:r>
        <w:r w:rsidR="004E6599">
          <w:rPr>
            <w:webHidden/>
          </w:rPr>
          <w:instrText xml:space="preserve"> PAGEREF _Toc214473792 \h </w:instrText>
        </w:r>
        <w:r w:rsidR="004E6599">
          <w:rPr>
            <w:webHidden/>
          </w:rPr>
        </w:r>
        <w:r w:rsidR="004E6599">
          <w:rPr>
            <w:webHidden/>
          </w:rPr>
          <w:fldChar w:fldCharType="separate"/>
        </w:r>
        <w:r w:rsidR="00E15678">
          <w:rPr>
            <w:webHidden/>
          </w:rPr>
          <w:t>191</w:t>
        </w:r>
        <w:r w:rsidR="004E6599">
          <w:rPr>
            <w:webHidden/>
          </w:rPr>
          <w:fldChar w:fldCharType="end"/>
        </w:r>
      </w:hyperlink>
    </w:p>
    <w:p w14:paraId="597AC338" w14:textId="1438BD0F" w:rsidR="004E6599" w:rsidRDefault="0002021E">
      <w:pPr>
        <w:pStyle w:val="40"/>
        <w:rPr>
          <w:rFonts w:asciiTheme="minorHAnsi" w:eastAsiaTheme="minorEastAsia" w:hAnsiTheme="minorHAnsi" w:cstheme="minorBidi"/>
          <w:sz w:val="22"/>
          <w:szCs w:val="22"/>
        </w:rPr>
      </w:pPr>
      <w:hyperlink w:anchor="_Toc214473793" w:history="1">
        <w:r w:rsidR="004E6599" w:rsidRPr="005435D2">
          <w:rPr>
            <w:rStyle w:val="-"/>
          </w:rPr>
          <w:t>3.10.1.</w:t>
        </w:r>
        <w:r w:rsidR="004E6599">
          <w:rPr>
            <w:rFonts w:asciiTheme="minorHAnsi" w:eastAsiaTheme="minorEastAsia" w:hAnsiTheme="minorHAnsi" w:cstheme="minorBidi"/>
            <w:sz w:val="22"/>
            <w:szCs w:val="22"/>
          </w:rPr>
          <w:tab/>
        </w:r>
        <w:r w:rsidR="004E6599" w:rsidRPr="005435D2">
          <w:rPr>
            <w:rStyle w:val="-"/>
          </w:rPr>
          <w:t>Μεθοδολογία</w:t>
        </w:r>
        <w:r w:rsidR="004E6599">
          <w:rPr>
            <w:webHidden/>
          </w:rPr>
          <w:tab/>
        </w:r>
        <w:r w:rsidR="004E6599">
          <w:rPr>
            <w:webHidden/>
          </w:rPr>
          <w:fldChar w:fldCharType="begin"/>
        </w:r>
        <w:r w:rsidR="004E6599">
          <w:rPr>
            <w:webHidden/>
          </w:rPr>
          <w:instrText xml:space="preserve"> PAGEREF _Toc214473793 \h </w:instrText>
        </w:r>
        <w:r w:rsidR="004E6599">
          <w:rPr>
            <w:webHidden/>
          </w:rPr>
        </w:r>
        <w:r w:rsidR="004E6599">
          <w:rPr>
            <w:webHidden/>
          </w:rPr>
          <w:fldChar w:fldCharType="separate"/>
        </w:r>
        <w:r w:rsidR="00E15678">
          <w:rPr>
            <w:webHidden/>
          </w:rPr>
          <w:t>191</w:t>
        </w:r>
        <w:r w:rsidR="004E6599">
          <w:rPr>
            <w:webHidden/>
          </w:rPr>
          <w:fldChar w:fldCharType="end"/>
        </w:r>
      </w:hyperlink>
    </w:p>
    <w:p w14:paraId="55A01003" w14:textId="712387CC" w:rsidR="004E6599" w:rsidRDefault="0002021E">
      <w:pPr>
        <w:pStyle w:val="40"/>
        <w:rPr>
          <w:rFonts w:asciiTheme="minorHAnsi" w:eastAsiaTheme="minorEastAsia" w:hAnsiTheme="minorHAnsi" w:cstheme="minorBidi"/>
          <w:sz w:val="22"/>
          <w:szCs w:val="22"/>
        </w:rPr>
      </w:pPr>
      <w:hyperlink w:anchor="_Toc214473794" w:history="1">
        <w:r w:rsidR="004E6599" w:rsidRPr="005435D2">
          <w:rPr>
            <w:rStyle w:val="-"/>
          </w:rPr>
          <w:t>3.10.2.</w:t>
        </w:r>
        <w:r w:rsidR="004E6599">
          <w:rPr>
            <w:rFonts w:asciiTheme="minorHAnsi" w:eastAsiaTheme="minorEastAsia" w:hAnsiTheme="minorHAnsi" w:cstheme="minorBidi"/>
            <w:sz w:val="22"/>
            <w:szCs w:val="22"/>
          </w:rPr>
          <w:tab/>
        </w:r>
        <w:r w:rsidR="004E6599" w:rsidRPr="005435D2">
          <w:rPr>
            <w:rStyle w:val="-"/>
          </w:rPr>
          <w:t>Αποτελέσματα</w:t>
        </w:r>
        <w:r w:rsidR="004E6599">
          <w:rPr>
            <w:webHidden/>
          </w:rPr>
          <w:tab/>
        </w:r>
        <w:r w:rsidR="004E6599">
          <w:rPr>
            <w:webHidden/>
          </w:rPr>
          <w:fldChar w:fldCharType="begin"/>
        </w:r>
        <w:r w:rsidR="004E6599">
          <w:rPr>
            <w:webHidden/>
          </w:rPr>
          <w:instrText xml:space="preserve"> PAGEREF _Toc214473794 \h </w:instrText>
        </w:r>
        <w:r w:rsidR="004E6599">
          <w:rPr>
            <w:webHidden/>
          </w:rPr>
        </w:r>
        <w:r w:rsidR="004E6599">
          <w:rPr>
            <w:webHidden/>
          </w:rPr>
          <w:fldChar w:fldCharType="separate"/>
        </w:r>
        <w:r w:rsidR="00E15678">
          <w:rPr>
            <w:webHidden/>
          </w:rPr>
          <w:t>192</w:t>
        </w:r>
        <w:r w:rsidR="004E6599">
          <w:rPr>
            <w:webHidden/>
          </w:rPr>
          <w:fldChar w:fldCharType="end"/>
        </w:r>
      </w:hyperlink>
    </w:p>
    <w:p w14:paraId="789326AB" w14:textId="39BB9CB9" w:rsidR="004E6599" w:rsidRDefault="0002021E">
      <w:pPr>
        <w:pStyle w:val="32"/>
        <w:rPr>
          <w:rFonts w:asciiTheme="minorHAnsi" w:eastAsiaTheme="minorEastAsia" w:hAnsiTheme="minorHAnsi" w:cstheme="minorBidi"/>
          <w:sz w:val="22"/>
          <w:szCs w:val="22"/>
        </w:rPr>
      </w:pPr>
      <w:hyperlink w:anchor="_Toc214473795" w:history="1">
        <w:r w:rsidR="004E6599" w:rsidRPr="005435D2">
          <w:rPr>
            <w:rStyle w:val="-"/>
          </w:rPr>
          <w:t>3.11.</w:t>
        </w:r>
        <w:r w:rsidR="004E6599">
          <w:rPr>
            <w:rFonts w:asciiTheme="minorHAnsi" w:eastAsiaTheme="minorEastAsia" w:hAnsiTheme="minorHAnsi" w:cstheme="minorBidi"/>
            <w:sz w:val="22"/>
            <w:szCs w:val="22"/>
          </w:rPr>
          <w:tab/>
        </w:r>
        <w:r w:rsidR="004E6599" w:rsidRPr="005435D2">
          <w:rPr>
            <w:rStyle w:val="-"/>
          </w:rPr>
          <w:t>Κύριες πηγές κινδύνου για τις δημοσιονομικές προβλέψεις</w:t>
        </w:r>
        <w:r w:rsidR="004E6599">
          <w:rPr>
            <w:webHidden/>
          </w:rPr>
          <w:tab/>
        </w:r>
        <w:r w:rsidR="004E6599">
          <w:rPr>
            <w:webHidden/>
          </w:rPr>
          <w:fldChar w:fldCharType="begin"/>
        </w:r>
        <w:r w:rsidR="004E6599">
          <w:rPr>
            <w:webHidden/>
          </w:rPr>
          <w:instrText xml:space="preserve"> PAGEREF _Toc214473795 \h </w:instrText>
        </w:r>
        <w:r w:rsidR="004E6599">
          <w:rPr>
            <w:webHidden/>
          </w:rPr>
        </w:r>
        <w:r w:rsidR="004E6599">
          <w:rPr>
            <w:webHidden/>
          </w:rPr>
          <w:fldChar w:fldCharType="separate"/>
        </w:r>
        <w:r w:rsidR="00E15678">
          <w:rPr>
            <w:webHidden/>
          </w:rPr>
          <w:t>195</w:t>
        </w:r>
        <w:r w:rsidR="004E6599">
          <w:rPr>
            <w:webHidden/>
          </w:rPr>
          <w:fldChar w:fldCharType="end"/>
        </w:r>
      </w:hyperlink>
    </w:p>
    <w:p w14:paraId="403F5752" w14:textId="3A8D3038" w:rsidR="004E6599" w:rsidRDefault="0002021E">
      <w:pPr>
        <w:pStyle w:val="40"/>
        <w:rPr>
          <w:rFonts w:asciiTheme="minorHAnsi" w:eastAsiaTheme="minorEastAsia" w:hAnsiTheme="minorHAnsi" w:cstheme="minorBidi"/>
          <w:sz w:val="22"/>
          <w:szCs w:val="22"/>
        </w:rPr>
      </w:pPr>
      <w:hyperlink w:anchor="_Toc214473796" w:history="1">
        <w:r w:rsidR="004E6599" w:rsidRPr="005435D2">
          <w:rPr>
            <w:rStyle w:val="-"/>
          </w:rPr>
          <w:t>3.11.1.</w:t>
        </w:r>
        <w:r w:rsidR="004E6599">
          <w:rPr>
            <w:rFonts w:asciiTheme="minorHAnsi" w:eastAsiaTheme="minorEastAsia" w:hAnsiTheme="minorHAnsi" w:cstheme="minorBidi"/>
            <w:sz w:val="22"/>
            <w:szCs w:val="22"/>
          </w:rPr>
          <w:tab/>
        </w:r>
        <w:r w:rsidR="004E6599" w:rsidRPr="005435D2">
          <w:rPr>
            <w:rStyle w:val="-"/>
          </w:rPr>
          <w:t>Ανάλυση ευαισθησίας</w:t>
        </w:r>
        <w:r w:rsidR="004E6599">
          <w:rPr>
            <w:webHidden/>
          </w:rPr>
          <w:tab/>
        </w:r>
        <w:r w:rsidR="004E6599">
          <w:rPr>
            <w:webHidden/>
          </w:rPr>
          <w:fldChar w:fldCharType="begin"/>
        </w:r>
        <w:r w:rsidR="004E6599">
          <w:rPr>
            <w:webHidden/>
          </w:rPr>
          <w:instrText xml:space="preserve"> PAGEREF _Toc214473796 \h </w:instrText>
        </w:r>
        <w:r w:rsidR="004E6599">
          <w:rPr>
            <w:webHidden/>
          </w:rPr>
        </w:r>
        <w:r w:rsidR="004E6599">
          <w:rPr>
            <w:webHidden/>
          </w:rPr>
          <w:fldChar w:fldCharType="separate"/>
        </w:r>
        <w:r w:rsidR="00E15678">
          <w:rPr>
            <w:webHidden/>
          </w:rPr>
          <w:t>195</w:t>
        </w:r>
        <w:r w:rsidR="004E6599">
          <w:rPr>
            <w:webHidden/>
          </w:rPr>
          <w:fldChar w:fldCharType="end"/>
        </w:r>
      </w:hyperlink>
    </w:p>
    <w:p w14:paraId="5905BF87" w14:textId="1E6C9132" w:rsidR="004E6599" w:rsidRDefault="0002021E">
      <w:pPr>
        <w:pStyle w:val="40"/>
        <w:rPr>
          <w:rFonts w:asciiTheme="minorHAnsi" w:eastAsiaTheme="minorEastAsia" w:hAnsiTheme="minorHAnsi" w:cstheme="minorBidi"/>
          <w:sz w:val="22"/>
          <w:szCs w:val="22"/>
        </w:rPr>
      </w:pPr>
      <w:hyperlink w:anchor="_Toc214473797" w:history="1">
        <w:r w:rsidR="004E6599" w:rsidRPr="005435D2">
          <w:rPr>
            <w:rStyle w:val="-"/>
          </w:rPr>
          <w:t>3.11.2.</w:t>
        </w:r>
        <w:r w:rsidR="004E6599">
          <w:rPr>
            <w:rFonts w:asciiTheme="minorHAnsi" w:eastAsiaTheme="minorEastAsia" w:hAnsiTheme="minorHAnsi" w:cstheme="minorBidi"/>
            <w:sz w:val="22"/>
            <w:szCs w:val="22"/>
          </w:rPr>
          <w:tab/>
        </w:r>
        <w:r w:rsidR="004E6599" w:rsidRPr="005435D2">
          <w:rPr>
            <w:rStyle w:val="-"/>
          </w:rPr>
          <w:t>Ενδεχόμενες υποχρεώσεις</w:t>
        </w:r>
        <w:r w:rsidR="004E6599">
          <w:rPr>
            <w:webHidden/>
          </w:rPr>
          <w:tab/>
        </w:r>
        <w:r w:rsidR="004E6599">
          <w:rPr>
            <w:webHidden/>
          </w:rPr>
          <w:fldChar w:fldCharType="begin"/>
        </w:r>
        <w:r w:rsidR="004E6599">
          <w:rPr>
            <w:webHidden/>
          </w:rPr>
          <w:instrText xml:space="preserve"> PAGEREF _Toc214473797 \h </w:instrText>
        </w:r>
        <w:r w:rsidR="004E6599">
          <w:rPr>
            <w:webHidden/>
          </w:rPr>
        </w:r>
        <w:r w:rsidR="004E6599">
          <w:rPr>
            <w:webHidden/>
          </w:rPr>
          <w:fldChar w:fldCharType="separate"/>
        </w:r>
        <w:r w:rsidR="00E15678">
          <w:rPr>
            <w:webHidden/>
          </w:rPr>
          <w:t>198</w:t>
        </w:r>
        <w:r w:rsidR="004E6599">
          <w:rPr>
            <w:webHidden/>
          </w:rPr>
          <w:fldChar w:fldCharType="end"/>
        </w:r>
      </w:hyperlink>
    </w:p>
    <w:p w14:paraId="4C91769C" w14:textId="2E111CF4" w:rsidR="004E6599" w:rsidRDefault="0002021E">
      <w:pPr>
        <w:pStyle w:val="13"/>
        <w:rPr>
          <w:rFonts w:asciiTheme="minorHAnsi" w:eastAsiaTheme="minorEastAsia" w:hAnsiTheme="minorHAnsi" w:cstheme="minorBidi"/>
          <w:b w:val="0"/>
          <w:color w:val="auto"/>
          <w:sz w:val="22"/>
          <w:szCs w:val="22"/>
        </w:rPr>
      </w:pPr>
      <w:hyperlink w:anchor="_Toc214473798" w:history="1">
        <w:r w:rsidR="004E6599" w:rsidRPr="005435D2">
          <w:rPr>
            <w:rStyle w:val="-"/>
          </w:rPr>
          <w:t>ΚΕΦΑΛΑΙΟ 4</w:t>
        </w:r>
        <w:r w:rsidR="004E6599">
          <w:rPr>
            <w:webHidden/>
          </w:rPr>
          <w:tab/>
        </w:r>
        <w:r w:rsidR="004E6599">
          <w:rPr>
            <w:webHidden/>
          </w:rPr>
          <w:fldChar w:fldCharType="begin"/>
        </w:r>
        <w:r w:rsidR="004E6599">
          <w:rPr>
            <w:webHidden/>
          </w:rPr>
          <w:instrText xml:space="preserve"> PAGEREF _Toc214473798 \h </w:instrText>
        </w:r>
        <w:r w:rsidR="004E6599">
          <w:rPr>
            <w:webHidden/>
          </w:rPr>
        </w:r>
        <w:r w:rsidR="004E6599">
          <w:rPr>
            <w:webHidden/>
          </w:rPr>
          <w:fldChar w:fldCharType="separate"/>
        </w:r>
        <w:r w:rsidR="00E15678">
          <w:rPr>
            <w:webHidden/>
          </w:rPr>
          <w:t>201</w:t>
        </w:r>
        <w:r w:rsidR="004E6599">
          <w:rPr>
            <w:webHidden/>
          </w:rPr>
          <w:fldChar w:fldCharType="end"/>
        </w:r>
      </w:hyperlink>
    </w:p>
    <w:p w14:paraId="03800CFA" w14:textId="0037DD66" w:rsidR="004E6599" w:rsidRDefault="0002021E">
      <w:pPr>
        <w:pStyle w:val="22"/>
        <w:rPr>
          <w:rFonts w:asciiTheme="minorHAnsi" w:eastAsiaTheme="minorEastAsia" w:hAnsiTheme="minorHAnsi" w:cstheme="minorBidi"/>
          <w:b w:val="0"/>
          <w:bCs w:val="0"/>
          <w:sz w:val="22"/>
          <w:szCs w:val="22"/>
        </w:rPr>
      </w:pPr>
      <w:hyperlink w:anchor="_Toc214473799" w:history="1">
        <w:r w:rsidR="004E6599" w:rsidRPr="005435D2">
          <w:rPr>
            <w:rStyle w:val="-"/>
          </w:rPr>
          <w:t>ΔΗΜΟΣΙΟ ΧΡΕΟΣ - ΕΓΓΥΗΣΕΙΣ</w:t>
        </w:r>
        <w:r w:rsidR="004E6599">
          <w:rPr>
            <w:webHidden/>
          </w:rPr>
          <w:tab/>
        </w:r>
        <w:r w:rsidR="004E6599">
          <w:rPr>
            <w:webHidden/>
          </w:rPr>
          <w:fldChar w:fldCharType="begin"/>
        </w:r>
        <w:r w:rsidR="004E6599">
          <w:rPr>
            <w:webHidden/>
          </w:rPr>
          <w:instrText xml:space="preserve"> PAGEREF _Toc214473799 \h </w:instrText>
        </w:r>
        <w:r w:rsidR="004E6599">
          <w:rPr>
            <w:webHidden/>
          </w:rPr>
        </w:r>
        <w:r w:rsidR="004E6599">
          <w:rPr>
            <w:webHidden/>
          </w:rPr>
          <w:fldChar w:fldCharType="separate"/>
        </w:r>
        <w:r w:rsidR="00E15678">
          <w:rPr>
            <w:webHidden/>
          </w:rPr>
          <w:t>201</w:t>
        </w:r>
        <w:r w:rsidR="004E6599">
          <w:rPr>
            <w:webHidden/>
          </w:rPr>
          <w:fldChar w:fldCharType="end"/>
        </w:r>
      </w:hyperlink>
    </w:p>
    <w:p w14:paraId="627E7F2D" w14:textId="67661357" w:rsidR="004E6599" w:rsidRDefault="0002021E">
      <w:pPr>
        <w:pStyle w:val="32"/>
        <w:rPr>
          <w:rFonts w:asciiTheme="minorHAnsi" w:eastAsiaTheme="minorEastAsia" w:hAnsiTheme="minorHAnsi" w:cstheme="minorBidi"/>
          <w:sz w:val="22"/>
          <w:szCs w:val="22"/>
        </w:rPr>
      </w:pPr>
      <w:hyperlink w:anchor="_Toc214473800" w:history="1">
        <w:r w:rsidR="004E6599" w:rsidRPr="005435D2">
          <w:rPr>
            <w:rStyle w:val="-"/>
          </w:rPr>
          <w:t>4.1.</w:t>
        </w:r>
        <w:r w:rsidR="004E6599">
          <w:rPr>
            <w:rFonts w:asciiTheme="minorHAnsi" w:eastAsiaTheme="minorEastAsia" w:hAnsiTheme="minorHAnsi" w:cstheme="minorBidi"/>
            <w:sz w:val="22"/>
            <w:szCs w:val="22"/>
          </w:rPr>
          <w:tab/>
        </w:r>
        <w:r w:rsidR="004E6599" w:rsidRPr="005435D2">
          <w:rPr>
            <w:rStyle w:val="-"/>
          </w:rPr>
          <w:t>Δημόσιο χρέος</w:t>
        </w:r>
        <w:r w:rsidR="004E6599">
          <w:rPr>
            <w:webHidden/>
          </w:rPr>
          <w:tab/>
        </w:r>
        <w:r w:rsidR="004E6599">
          <w:rPr>
            <w:webHidden/>
          </w:rPr>
          <w:fldChar w:fldCharType="begin"/>
        </w:r>
        <w:r w:rsidR="004E6599">
          <w:rPr>
            <w:webHidden/>
          </w:rPr>
          <w:instrText xml:space="preserve"> PAGEREF _Toc214473800 \h </w:instrText>
        </w:r>
        <w:r w:rsidR="004E6599">
          <w:rPr>
            <w:webHidden/>
          </w:rPr>
        </w:r>
        <w:r w:rsidR="004E6599">
          <w:rPr>
            <w:webHidden/>
          </w:rPr>
          <w:fldChar w:fldCharType="separate"/>
        </w:r>
        <w:r w:rsidR="00E15678">
          <w:rPr>
            <w:webHidden/>
          </w:rPr>
          <w:t>201</w:t>
        </w:r>
        <w:r w:rsidR="004E6599">
          <w:rPr>
            <w:webHidden/>
          </w:rPr>
          <w:fldChar w:fldCharType="end"/>
        </w:r>
      </w:hyperlink>
    </w:p>
    <w:p w14:paraId="29E1CF92" w14:textId="039CC681" w:rsidR="004E6599" w:rsidRDefault="0002021E">
      <w:pPr>
        <w:pStyle w:val="40"/>
        <w:rPr>
          <w:rFonts w:asciiTheme="minorHAnsi" w:eastAsiaTheme="minorEastAsia" w:hAnsiTheme="minorHAnsi" w:cstheme="minorBidi"/>
          <w:sz w:val="22"/>
          <w:szCs w:val="22"/>
        </w:rPr>
      </w:pPr>
      <w:hyperlink w:anchor="_Toc214473801" w:history="1">
        <w:r w:rsidR="004E6599" w:rsidRPr="005435D2">
          <w:rPr>
            <w:rStyle w:val="-"/>
          </w:rPr>
          <w:t>4.1.1.</w:t>
        </w:r>
        <w:r w:rsidR="004E6599">
          <w:rPr>
            <w:rFonts w:asciiTheme="minorHAnsi" w:eastAsiaTheme="minorEastAsia" w:hAnsiTheme="minorHAnsi" w:cstheme="minorBidi"/>
            <w:sz w:val="22"/>
            <w:szCs w:val="22"/>
          </w:rPr>
          <w:tab/>
        </w:r>
        <w:r w:rsidR="004E6599" w:rsidRPr="005435D2">
          <w:rPr>
            <w:rStyle w:val="-"/>
          </w:rPr>
          <w:t>Σύνθεση δημόσιου χρέους</w:t>
        </w:r>
        <w:r w:rsidR="004E6599">
          <w:rPr>
            <w:webHidden/>
          </w:rPr>
          <w:tab/>
        </w:r>
        <w:r w:rsidR="004E6599">
          <w:rPr>
            <w:webHidden/>
          </w:rPr>
          <w:fldChar w:fldCharType="begin"/>
        </w:r>
        <w:r w:rsidR="004E6599">
          <w:rPr>
            <w:webHidden/>
          </w:rPr>
          <w:instrText xml:space="preserve"> PAGEREF _Toc214473801 \h </w:instrText>
        </w:r>
        <w:r w:rsidR="004E6599">
          <w:rPr>
            <w:webHidden/>
          </w:rPr>
        </w:r>
        <w:r w:rsidR="004E6599">
          <w:rPr>
            <w:webHidden/>
          </w:rPr>
          <w:fldChar w:fldCharType="separate"/>
        </w:r>
        <w:r w:rsidR="00E15678">
          <w:rPr>
            <w:webHidden/>
          </w:rPr>
          <w:t>202</w:t>
        </w:r>
        <w:r w:rsidR="004E6599">
          <w:rPr>
            <w:webHidden/>
          </w:rPr>
          <w:fldChar w:fldCharType="end"/>
        </w:r>
      </w:hyperlink>
    </w:p>
    <w:p w14:paraId="56E4CEEE" w14:textId="044683E3" w:rsidR="004E6599" w:rsidRDefault="0002021E">
      <w:pPr>
        <w:pStyle w:val="50"/>
        <w:rPr>
          <w:rFonts w:asciiTheme="minorHAnsi" w:eastAsiaTheme="minorEastAsia" w:hAnsiTheme="minorHAnsi" w:cstheme="minorBidi"/>
          <w:sz w:val="22"/>
          <w:szCs w:val="22"/>
        </w:rPr>
      </w:pPr>
      <w:hyperlink w:anchor="_Toc214473802" w:history="1">
        <w:r w:rsidR="004E6599" w:rsidRPr="005435D2">
          <w:rPr>
            <w:rStyle w:val="-"/>
          </w:rPr>
          <w:t>4.1.1.1.</w:t>
        </w:r>
        <w:r w:rsidR="004E6599">
          <w:rPr>
            <w:rFonts w:asciiTheme="minorHAnsi" w:eastAsiaTheme="minorEastAsia" w:hAnsiTheme="minorHAnsi" w:cstheme="minorBidi"/>
            <w:sz w:val="22"/>
            <w:szCs w:val="22"/>
          </w:rPr>
          <w:tab/>
        </w:r>
        <w:r w:rsidR="004E6599" w:rsidRPr="005435D2">
          <w:rPr>
            <w:rStyle w:val="-"/>
          </w:rPr>
          <w:t>Το χρέος της Κεντρικής Διοίκησης και της Γενικής Κυβέρνησης</w:t>
        </w:r>
        <w:r w:rsidR="004E6599">
          <w:rPr>
            <w:webHidden/>
          </w:rPr>
          <w:tab/>
        </w:r>
        <w:r w:rsidR="004E6599">
          <w:rPr>
            <w:webHidden/>
          </w:rPr>
          <w:fldChar w:fldCharType="begin"/>
        </w:r>
        <w:r w:rsidR="004E6599">
          <w:rPr>
            <w:webHidden/>
          </w:rPr>
          <w:instrText xml:space="preserve"> PAGEREF _Toc214473802 \h </w:instrText>
        </w:r>
        <w:r w:rsidR="004E6599">
          <w:rPr>
            <w:webHidden/>
          </w:rPr>
        </w:r>
        <w:r w:rsidR="004E6599">
          <w:rPr>
            <w:webHidden/>
          </w:rPr>
          <w:fldChar w:fldCharType="separate"/>
        </w:r>
        <w:r w:rsidR="00E15678">
          <w:rPr>
            <w:webHidden/>
          </w:rPr>
          <w:t>202</w:t>
        </w:r>
        <w:r w:rsidR="004E6599">
          <w:rPr>
            <w:webHidden/>
          </w:rPr>
          <w:fldChar w:fldCharType="end"/>
        </w:r>
      </w:hyperlink>
    </w:p>
    <w:p w14:paraId="22E377D3" w14:textId="103C52AD" w:rsidR="004E6599" w:rsidRDefault="0002021E">
      <w:pPr>
        <w:pStyle w:val="50"/>
        <w:rPr>
          <w:rFonts w:asciiTheme="minorHAnsi" w:eastAsiaTheme="minorEastAsia" w:hAnsiTheme="minorHAnsi" w:cstheme="minorBidi"/>
          <w:sz w:val="22"/>
          <w:szCs w:val="22"/>
        </w:rPr>
      </w:pPr>
      <w:hyperlink w:anchor="_Toc214473803" w:history="1">
        <w:r w:rsidR="004E6599" w:rsidRPr="005435D2">
          <w:rPr>
            <w:rStyle w:val="-"/>
          </w:rPr>
          <w:t>4.1.1.2.</w:t>
        </w:r>
        <w:r w:rsidR="004E6599">
          <w:rPr>
            <w:rFonts w:asciiTheme="minorHAnsi" w:eastAsiaTheme="minorEastAsia" w:hAnsiTheme="minorHAnsi" w:cstheme="minorBidi"/>
            <w:sz w:val="22"/>
            <w:szCs w:val="22"/>
          </w:rPr>
          <w:tab/>
        </w:r>
        <w:r w:rsidR="004E6599" w:rsidRPr="005435D2">
          <w:rPr>
            <w:rStyle w:val="-"/>
          </w:rPr>
          <w:t>Δομή και χαρακτηριστικά του χρέους της Κεντρικής Διοίκησης</w:t>
        </w:r>
        <w:r w:rsidR="004E6599">
          <w:rPr>
            <w:webHidden/>
          </w:rPr>
          <w:tab/>
        </w:r>
        <w:r w:rsidR="004E6599">
          <w:rPr>
            <w:webHidden/>
          </w:rPr>
          <w:fldChar w:fldCharType="begin"/>
        </w:r>
        <w:r w:rsidR="004E6599">
          <w:rPr>
            <w:webHidden/>
          </w:rPr>
          <w:instrText xml:space="preserve"> PAGEREF _Toc214473803 \h </w:instrText>
        </w:r>
        <w:r w:rsidR="004E6599">
          <w:rPr>
            <w:webHidden/>
          </w:rPr>
        </w:r>
        <w:r w:rsidR="004E6599">
          <w:rPr>
            <w:webHidden/>
          </w:rPr>
          <w:fldChar w:fldCharType="separate"/>
        </w:r>
        <w:r w:rsidR="00E15678">
          <w:rPr>
            <w:webHidden/>
          </w:rPr>
          <w:t>203</w:t>
        </w:r>
        <w:r w:rsidR="004E6599">
          <w:rPr>
            <w:webHidden/>
          </w:rPr>
          <w:fldChar w:fldCharType="end"/>
        </w:r>
      </w:hyperlink>
    </w:p>
    <w:p w14:paraId="0B789AB2" w14:textId="2AB37939" w:rsidR="004E6599" w:rsidRDefault="0002021E">
      <w:pPr>
        <w:pStyle w:val="40"/>
        <w:rPr>
          <w:rFonts w:asciiTheme="minorHAnsi" w:eastAsiaTheme="minorEastAsia" w:hAnsiTheme="minorHAnsi" w:cstheme="minorBidi"/>
          <w:sz w:val="22"/>
          <w:szCs w:val="22"/>
        </w:rPr>
      </w:pPr>
      <w:hyperlink w:anchor="_Toc214473804" w:history="1">
        <w:r w:rsidR="004E6599" w:rsidRPr="005435D2">
          <w:rPr>
            <w:rStyle w:val="-"/>
          </w:rPr>
          <w:t>4.1.2.</w:t>
        </w:r>
        <w:r w:rsidR="004E6599">
          <w:rPr>
            <w:rFonts w:asciiTheme="minorHAnsi" w:eastAsiaTheme="minorEastAsia" w:hAnsiTheme="minorHAnsi" w:cstheme="minorBidi"/>
            <w:sz w:val="22"/>
            <w:szCs w:val="22"/>
          </w:rPr>
          <w:tab/>
        </w:r>
        <w:r w:rsidR="004E6599" w:rsidRPr="005435D2">
          <w:rPr>
            <w:rStyle w:val="-"/>
          </w:rPr>
          <w:t>Δαπάνες εξυπηρέτησης του χρέους της Κεντρικής Διοίκησης</w:t>
        </w:r>
        <w:r w:rsidR="004E6599">
          <w:rPr>
            <w:webHidden/>
          </w:rPr>
          <w:tab/>
        </w:r>
        <w:r w:rsidR="004E6599">
          <w:rPr>
            <w:webHidden/>
          </w:rPr>
          <w:fldChar w:fldCharType="begin"/>
        </w:r>
        <w:r w:rsidR="004E6599">
          <w:rPr>
            <w:webHidden/>
          </w:rPr>
          <w:instrText xml:space="preserve"> PAGEREF _Toc214473804 \h </w:instrText>
        </w:r>
        <w:r w:rsidR="004E6599">
          <w:rPr>
            <w:webHidden/>
          </w:rPr>
        </w:r>
        <w:r w:rsidR="004E6599">
          <w:rPr>
            <w:webHidden/>
          </w:rPr>
          <w:fldChar w:fldCharType="separate"/>
        </w:r>
        <w:r w:rsidR="00E15678">
          <w:rPr>
            <w:webHidden/>
          </w:rPr>
          <w:t>206</w:t>
        </w:r>
        <w:r w:rsidR="004E6599">
          <w:rPr>
            <w:webHidden/>
          </w:rPr>
          <w:fldChar w:fldCharType="end"/>
        </w:r>
      </w:hyperlink>
    </w:p>
    <w:p w14:paraId="2CD34541" w14:textId="6846D7D9" w:rsidR="004E6599" w:rsidRDefault="0002021E">
      <w:pPr>
        <w:pStyle w:val="40"/>
        <w:rPr>
          <w:rFonts w:asciiTheme="minorHAnsi" w:eastAsiaTheme="minorEastAsia" w:hAnsiTheme="minorHAnsi" w:cstheme="minorBidi"/>
          <w:sz w:val="22"/>
          <w:szCs w:val="22"/>
        </w:rPr>
      </w:pPr>
      <w:hyperlink w:anchor="_Toc214473805" w:history="1">
        <w:r w:rsidR="004E6599" w:rsidRPr="005435D2">
          <w:rPr>
            <w:rStyle w:val="-"/>
          </w:rPr>
          <w:t>4.1.3.</w:t>
        </w:r>
        <w:r w:rsidR="004E6599">
          <w:rPr>
            <w:rFonts w:asciiTheme="minorHAnsi" w:eastAsiaTheme="minorEastAsia" w:hAnsiTheme="minorHAnsi" w:cstheme="minorBidi"/>
            <w:sz w:val="22"/>
            <w:szCs w:val="22"/>
          </w:rPr>
          <w:tab/>
        </w:r>
        <w:r w:rsidR="004E6599" w:rsidRPr="005435D2">
          <w:rPr>
            <w:rStyle w:val="-"/>
          </w:rPr>
          <w:t>Η ενοποιημένη αγορά ευρωομολόγων</w:t>
        </w:r>
        <w:r w:rsidR="004E6599">
          <w:rPr>
            <w:webHidden/>
          </w:rPr>
          <w:tab/>
        </w:r>
        <w:r w:rsidR="004E6599">
          <w:rPr>
            <w:webHidden/>
          </w:rPr>
          <w:fldChar w:fldCharType="begin"/>
        </w:r>
        <w:r w:rsidR="004E6599">
          <w:rPr>
            <w:webHidden/>
          </w:rPr>
          <w:instrText xml:space="preserve"> PAGEREF _Toc214473805 \h </w:instrText>
        </w:r>
        <w:r w:rsidR="004E6599">
          <w:rPr>
            <w:webHidden/>
          </w:rPr>
        </w:r>
        <w:r w:rsidR="004E6599">
          <w:rPr>
            <w:webHidden/>
          </w:rPr>
          <w:fldChar w:fldCharType="separate"/>
        </w:r>
        <w:r w:rsidR="00E15678">
          <w:rPr>
            <w:webHidden/>
          </w:rPr>
          <w:t>209</w:t>
        </w:r>
        <w:r w:rsidR="004E6599">
          <w:rPr>
            <w:webHidden/>
          </w:rPr>
          <w:fldChar w:fldCharType="end"/>
        </w:r>
      </w:hyperlink>
    </w:p>
    <w:p w14:paraId="401496FF" w14:textId="4C8AC62C" w:rsidR="004E6599" w:rsidRDefault="0002021E">
      <w:pPr>
        <w:pStyle w:val="40"/>
        <w:rPr>
          <w:rFonts w:asciiTheme="minorHAnsi" w:eastAsiaTheme="minorEastAsia" w:hAnsiTheme="minorHAnsi" w:cstheme="minorBidi"/>
          <w:sz w:val="22"/>
          <w:szCs w:val="22"/>
        </w:rPr>
      </w:pPr>
      <w:hyperlink w:anchor="_Toc214473806" w:history="1">
        <w:r w:rsidR="004E6599" w:rsidRPr="005435D2">
          <w:rPr>
            <w:rStyle w:val="-"/>
          </w:rPr>
          <w:t>4.1.4.</w:t>
        </w:r>
        <w:r w:rsidR="004E6599">
          <w:rPr>
            <w:rFonts w:asciiTheme="minorHAnsi" w:eastAsiaTheme="minorEastAsia" w:hAnsiTheme="minorHAnsi" w:cstheme="minorBidi"/>
            <w:sz w:val="22"/>
            <w:szCs w:val="22"/>
          </w:rPr>
          <w:tab/>
        </w:r>
        <w:r w:rsidR="004E6599" w:rsidRPr="005435D2">
          <w:rPr>
            <w:rStyle w:val="-"/>
          </w:rPr>
          <w:t>Αγορά τίτλων του Ελληνικού Δημοσίου</w:t>
        </w:r>
        <w:r w:rsidR="004E6599">
          <w:rPr>
            <w:webHidden/>
          </w:rPr>
          <w:tab/>
        </w:r>
        <w:r w:rsidR="004E6599">
          <w:rPr>
            <w:webHidden/>
          </w:rPr>
          <w:fldChar w:fldCharType="begin"/>
        </w:r>
        <w:r w:rsidR="004E6599">
          <w:rPr>
            <w:webHidden/>
          </w:rPr>
          <w:instrText xml:space="preserve"> PAGEREF _Toc214473806 \h </w:instrText>
        </w:r>
        <w:r w:rsidR="004E6599">
          <w:rPr>
            <w:webHidden/>
          </w:rPr>
        </w:r>
        <w:r w:rsidR="004E6599">
          <w:rPr>
            <w:webHidden/>
          </w:rPr>
          <w:fldChar w:fldCharType="separate"/>
        </w:r>
        <w:r w:rsidR="00E15678">
          <w:rPr>
            <w:webHidden/>
          </w:rPr>
          <w:t>209</w:t>
        </w:r>
        <w:r w:rsidR="004E6599">
          <w:rPr>
            <w:webHidden/>
          </w:rPr>
          <w:fldChar w:fldCharType="end"/>
        </w:r>
      </w:hyperlink>
    </w:p>
    <w:p w14:paraId="70F179F1" w14:textId="1C39F260" w:rsidR="004E6599" w:rsidRDefault="0002021E">
      <w:pPr>
        <w:pStyle w:val="50"/>
        <w:rPr>
          <w:rFonts w:asciiTheme="minorHAnsi" w:eastAsiaTheme="minorEastAsia" w:hAnsiTheme="minorHAnsi" w:cstheme="minorBidi"/>
          <w:sz w:val="22"/>
          <w:szCs w:val="22"/>
        </w:rPr>
      </w:pPr>
      <w:hyperlink w:anchor="_Toc214473807" w:history="1">
        <w:r w:rsidR="004E6599" w:rsidRPr="005435D2">
          <w:rPr>
            <w:rStyle w:val="-"/>
          </w:rPr>
          <w:t>4.1.4.1.</w:t>
        </w:r>
        <w:r w:rsidR="004E6599">
          <w:rPr>
            <w:rFonts w:asciiTheme="minorHAnsi" w:eastAsiaTheme="minorEastAsia" w:hAnsiTheme="minorHAnsi" w:cstheme="minorBidi"/>
            <w:sz w:val="22"/>
            <w:szCs w:val="22"/>
          </w:rPr>
          <w:tab/>
        </w:r>
        <w:r w:rsidR="004E6599" w:rsidRPr="005435D2">
          <w:rPr>
            <w:rStyle w:val="-"/>
          </w:rPr>
          <w:t>Πρωτογενής αγορά τίτλων</w:t>
        </w:r>
        <w:r w:rsidR="004E6599">
          <w:rPr>
            <w:webHidden/>
          </w:rPr>
          <w:tab/>
        </w:r>
        <w:r w:rsidR="004E6599">
          <w:rPr>
            <w:webHidden/>
          </w:rPr>
          <w:fldChar w:fldCharType="begin"/>
        </w:r>
        <w:r w:rsidR="004E6599">
          <w:rPr>
            <w:webHidden/>
          </w:rPr>
          <w:instrText xml:space="preserve"> PAGEREF _Toc214473807 \h </w:instrText>
        </w:r>
        <w:r w:rsidR="004E6599">
          <w:rPr>
            <w:webHidden/>
          </w:rPr>
        </w:r>
        <w:r w:rsidR="004E6599">
          <w:rPr>
            <w:webHidden/>
          </w:rPr>
          <w:fldChar w:fldCharType="separate"/>
        </w:r>
        <w:r w:rsidR="00E15678">
          <w:rPr>
            <w:webHidden/>
          </w:rPr>
          <w:t>211</w:t>
        </w:r>
        <w:r w:rsidR="004E6599">
          <w:rPr>
            <w:webHidden/>
          </w:rPr>
          <w:fldChar w:fldCharType="end"/>
        </w:r>
      </w:hyperlink>
    </w:p>
    <w:p w14:paraId="7AE0136D" w14:textId="7B0D6675" w:rsidR="004E6599" w:rsidRDefault="0002021E">
      <w:pPr>
        <w:pStyle w:val="50"/>
        <w:rPr>
          <w:rFonts w:asciiTheme="minorHAnsi" w:eastAsiaTheme="minorEastAsia" w:hAnsiTheme="minorHAnsi" w:cstheme="minorBidi"/>
          <w:sz w:val="22"/>
          <w:szCs w:val="22"/>
        </w:rPr>
      </w:pPr>
      <w:hyperlink w:anchor="_Toc214473808" w:history="1">
        <w:r w:rsidR="004E6599" w:rsidRPr="005435D2">
          <w:rPr>
            <w:rStyle w:val="-"/>
          </w:rPr>
          <w:t>4.1.4.2.</w:t>
        </w:r>
        <w:r w:rsidR="004E6599">
          <w:rPr>
            <w:rFonts w:asciiTheme="minorHAnsi" w:eastAsiaTheme="minorEastAsia" w:hAnsiTheme="minorHAnsi" w:cstheme="minorBidi"/>
            <w:sz w:val="22"/>
            <w:szCs w:val="22"/>
          </w:rPr>
          <w:tab/>
        </w:r>
        <w:r w:rsidR="004E6599" w:rsidRPr="005435D2">
          <w:rPr>
            <w:rStyle w:val="-"/>
          </w:rPr>
          <w:t>Δευτερογενής αγορά τίτλων</w:t>
        </w:r>
        <w:r w:rsidR="004E6599">
          <w:rPr>
            <w:webHidden/>
          </w:rPr>
          <w:tab/>
        </w:r>
        <w:r w:rsidR="004E6599">
          <w:rPr>
            <w:webHidden/>
          </w:rPr>
          <w:fldChar w:fldCharType="begin"/>
        </w:r>
        <w:r w:rsidR="004E6599">
          <w:rPr>
            <w:webHidden/>
          </w:rPr>
          <w:instrText xml:space="preserve"> PAGEREF _Toc214473808 \h </w:instrText>
        </w:r>
        <w:r w:rsidR="004E6599">
          <w:rPr>
            <w:webHidden/>
          </w:rPr>
        </w:r>
        <w:r w:rsidR="004E6599">
          <w:rPr>
            <w:webHidden/>
          </w:rPr>
          <w:fldChar w:fldCharType="separate"/>
        </w:r>
        <w:r w:rsidR="00E15678">
          <w:rPr>
            <w:webHidden/>
          </w:rPr>
          <w:t>211</w:t>
        </w:r>
        <w:r w:rsidR="004E6599">
          <w:rPr>
            <w:webHidden/>
          </w:rPr>
          <w:fldChar w:fldCharType="end"/>
        </w:r>
      </w:hyperlink>
    </w:p>
    <w:p w14:paraId="015626A0" w14:textId="19B56A55" w:rsidR="004E6599" w:rsidRDefault="0002021E">
      <w:pPr>
        <w:pStyle w:val="40"/>
        <w:rPr>
          <w:rFonts w:asciiTheme="minorHAnsi" w:eastAsiaTheme="minorEastAsia" w:hAnsiTheme="minorHAnsi" w:cstheme="minorBidi"/>
          <w:sz w:val="22"/>
          <w:szCs w:val="22"/>
        </w:rPr>
      </w:pPr>
      <w:hyperlink w:anchor="_Toc214473809" w:history="1">
        <w:r w:rsidR="004E6599" w:rsidRPr="005435D2">
          <w:rPr>
            <w:rStyle w:val="-"/>
          </w:rPr>
          <w:t>4.1.5.</w:t>
        </w:r>
        <w:r w:rsidR="004E6599">
          <w:rPr>
            <w:rFonts w:asciiTheme="minorHAnsi" w:eastAsiaTheme="minorEastAsia" w:hAnsiTheme="minorHAnsi" w:cstheme="minorBidi"/>
            <w:sz w:val="22"/>
            <w:szCs w:val="22"/>
          </w:rPr>
          <w:tab/>
        </w:r>
        <w:r w:rsidR="004E6599" w:rsidRPr="005435D2">
          <w:rPr>
            <w:rStyle w:val="-"/>
          </w:rPr>
          <w:t>Βασικές κατευθύνσεις δανεισμού και διαχειριστικοί στόχοι έτους 2026</w:t>
        </w:r>
        <w:r w:rsidR="004E6599">
          <w:rPr>
            <w:webHidden/>
          </w:rPr>
          <w:tab/>
        </w:r>
        <w:r w:rsidR="004E6599">
          <w:rPr>
            <w:webHidden/>
          </w:rPr>
          <w:fldChar w:fldCharType="begin"/>
        </w:r>
        <w:r w:rsidR="004E6599">
          <w:rPr>
            <w:webHidden/>
          </w:rPr>
          <w:instrText xml:space="preserve"> PAGEREF _Toc214473809 \h </w:instrText>
        </w:r>
        <w:r w:rsidR="004E6599">
          <w:rPr>
            <w:webHidden/>
          </w:rPr>
        </w:r>
        <w:r w:rsidR="004E6599">
          <w:rPr>
            <w:webHidden/>
          </w:rPr>
          <w:fldChar w:fldCharType="separate"/>
        </w:r>
        <w:r w:rsidR="00E15678">
          <w:rPr>
            <w:webHidden/>
          </w:rPr>
          <w:t>212</w:t>
        </w:r>
        <w:r w:rsidR="004E6599">
          <w:rPr>
            <w:webHidden/>
          </w:rPr>
          <w:fldChar w:fldCharType="end"/>
        </w:r>
      </w:hyperlink>
    </w:p>
    <w:p w14:paraId="61147C80" w14:textId="6DEF8722" w:rsidR="004E6599" w:rsidRDefault="0002021E">
      <w:pPr>
        <w:pStyle w:val="32"/>
        <w:rPr>
          <w:rFonts w:asciiTheme="minorHAnsi" w:eastAsiaTheme="minorEastAsia" w:hAnsiTheme="minorHAnsi" w:cstheme="minorBidi"/>
          <w:sz w:val="22"/>
          <w:szCs w:val="22"/>
        </w:rPr>
      </w:pPr>
      <w:hyperlink w:anchor="_Toc214473810" w:history="1">
        <w:r w:rsidR="004E6599" w:rsidRPr="005435D2">
          <w:rPr>
            <w:rStyle w:val="-"/>
          </w:rPr>
          <w:t>4.2.</w:t>
        </w:r>
        <w:r w:rsidR="004E6599">
          <w:rPr>
            <w:rFonts w:asciiTheme="minorHAnsi" w:eastAsiaTheme="minorEastAsia" w:hAnsiTheme="minorHAnsi" w:cstheme="minorBidi"/>
            <w:sz w:val="22"/>
            <w:szCs w:val="22"/>
          </w:rPr>
          <w:tab/>
        </w:r>
        <w:r w:rsidR="004E6599" w:rsidRPr="005435D2">
          <w:rPr>
            <w:rStyle w:val="-"/>
          </w:rPr>
          <w:t>Εγγυήσεις</w:t>
        </w:r>
        <w:r w:rsidR="004E6599">
          <w:rPr>
            <w:webHidden/>
          </w:rPr>
          <w:tab/>
        </w:r>
        <w:r w:rsidR="004E6599">
          <w:rPr>
            <w:webHidden/>
          </w:rPr>
          <w:fldChar w:fldCharType="begin"/>
        </w:r>
        <w:r w:rsidR="004E6599">
          <w:rPr>
            <w:webHidden/>
          </w:rPr>
          <w:instrText xml:space="preserve"> PAGEREF _Toc214473810 \h </w:instrText>
        </w:r>
        <w:r w:rsidR="004E6599">
          <w:rPr>
            <w:webHidden/>
          </w:rPr>
        </w:r>
        <w:r w:rsidR="004E6599">
          <w:rPr>
            <w:webHidden/>
          </w:rPr>
          <w:fldChar w:fldCharType="separate"/>
        </w:r>
        <w:r w:rsidR="00E15678">
          <w:rPr>
            <w:webHidden/>
          </w:rPr>
          <w:t>214</w:t>
        </w:r>
        <w:r w:rsidR="004E6599">
          <w:rPr>
            <w:webHidden/>
          </w:rPr>
          <w:fldChar w:fldCharType="end"/>
        </w:r>
      </w:hyperlink>
    </w:p>
    <w:p w14:paraId="69F91310" w14:textId="00D5B234" w:rsidR="004E6599" w:rsidRDefault="0002021E">
      <w:pPr>
        <w:pStyle w:val="13"/>
        <w:rPr>
          <w:rFonts w:asciiTheme="minorHAnsi" w:eastAsiaTheme="minorEastAsia" w:hAnsiTheme="minorHAnsi" w:cstheme="minorBidi"/>
          <w:b w:val="0"/>
          <w:color w:val="auto"/>
          <w:sz w:val="22"/>
          <w:szCs w:val="22"/>
        </w:rPr>
      </w:pPr>
      <w:hyperlink w:anchor="_Toc214473811" w:history="1">
        <w:r w:rsidR="004E6599" w:rsidRPr="005435D2">
          <w:rPr>
            <w:rStyle w:val="-"/>
          </w:rPr>
          <w:t>ΚΕΦΑΛΑΙΟ 5</w:t>
        </w:r>
        <w:r w:rsidR="004E6599">
          <w:rPr>
            <w:webHidden/>
          </w:rPr>
          <w:tab/>
        </w:r>
        <w:r w:rsidR="004E6599">
          <w:rPr>
            <w:webHidden/>
          </w:rPr>
          <w:fldChar w:fldCharType="begin"/>
        </w:r>
        <w:r w:rsidR="004E6599">
          <w:rPr>
            <w:webHidden/>
          </w:rPr>
          <w:instrText xml:space="preserve"> PAGEREF _Toc214473811 \h </w:instrText>
        </w:r>
        <w:r w:rsidR="004E6599">
          <w:rPr>
            <w:webHidden/>
          </w:rPr>
        </w:r>
        <w:r w:rsidR="004E6599">
          <w:rPr>
            <w:webHidden/>
          </w:rPr>
          <w:fldChar w:fldCharType="separate"/>
        </w:r>
        <w:r w:rsidR="00E15678">
          <w:rPr>
            <w:webHidden/>
          </w:rPr>
          <w:t>219</w:t>
        </w:r>
        <w:r w:rsidR="004E6599">
          <w:rPr>
            <w:webHidden/>
          </w:rPr>
          <w:fldChar w:fldCharType="end"/>
        </w:r>
      </w:hyperlink>
    </w:p>
    <w:p w14:paraId="135D4CF1" w14:textId="34262A56" w:rsidR="004E6599" w:rsidRDefault="0002021E">
      <w:pPr>
        <w:pStyle w:val="22"/>
        <w:rPr>
          <w:rFonts w:asciiTheme="minorHAnsi" w:eastAsiaTheme="minorEastAsia" w:hAnsiTheme="minorHAnsi" w:cstheme="minorBidi"/>
          <w:b w:val="0"/>
          <w:bCs w:val="0"/>
          <w:sz w:val="22"/>
          <w:szCs w:val="22"/>
        </w:rPr>
      </w:pPr>
      <w:hyperlink w:anchor="_Toc214473812" w:history="1">
        <w:r w:rsidR="004E6599" w:rsidRPr="005435D2">
          <w:rPr>
            <w:rStyle w:val="-"/>
          </w:rPr>
          <w:t>ΠΕΡΙΟΥΣΙΑΚΑ ΣΤΟΙΧΕΙΑ ΕΛΛΗΝΙΚΟΥ ΔΗΜΟΣΙΟΥ - ΑΠΟΚΡΑΤΙΚΟΠΟΙΗΣΕΙΣ</w:t>
        </w:r>
        <w:r w:rsidR="004E6599">
          <w:rPr>
            <w:webHidden/>
          </w:rPr>
          <w:tab/>
        </w:r>
        <w:r w:rsidR="004E6599">
          <w:rPr>
            <w:webHidden/>
          </w:rPr>
          <w:fldChar w:fldCharType="begin"/>
        </w:r>
        <w:r w:rsidR="004E6599">
          <w:rPr>
            <w:webHidden/>
          </w:rPr>
          <w:instrText xml:space="preserve"> PAGEREF _Toc214473812 \h </w:instrText>
        </w:r>
        <w:r w:rsidR="004E6599">
          <w:rPr>
            <w:webHidden/>
          </w:rPr>
        </w:r>
        <w:r w:rsidR="004E6599">
          <w:rPr>
            <w:webHidden/>
          </w:rPr>
          <w:fldChar w:fldCharType="separate"/>
        </w:r>
        <w:r w:rsidR="00E15678">
          <w:rPr>
            <w:webHidden/>
          </w:rPr>
          <w:t>219</w:t>
        </w:r>
        <w:r w:rsidR="004E6599">
          <w:rPr>
            <w:webHidden/>
          </w:rPr>
          <w:fldChar w:fldCharType="end"/>
        </w:r>
      </w:hyperlink>
    </w:p>
    <w:p w14:paraId="7D5D8440" w14:textId="36787805" w:rsidR="004E6599" w:rsidRDefault="0002021E">
      <w:pPr>
        <w:pStyle w:val="32"/>
        <w:rPr>
          <w:rFonts w:asciiTheme="minorHAnsi" w:eastAsiaTheme="minorEastAsia" w:hAnsiTheme="minorHAnsi" w:cstheme="minorBidi"/>
          <w:sz w:val="22"/>
          <w:szCs w:val="22"/>
        </w:rPr>
      </w:pPr>
      <w:hyperlink w:anchor="_Toc214473813" w:history="1">
        <w:r w:rsidR="004E6599" w:rsidRPr="005435D2">
          <w:rPr>
            <w:rStyle w:val="-"/>
          </w:rPr>
          <w:t>5.1.</w:t>
        </w:r>
        <w:r w:rsidR="004E6599">
          <w:rPr>
            <w:rFonts w:asciiTheme="minorHAnsi" w:eastAsiaTheme="minorEastAsia" w:hAnsiTheme="minorHAnsi" w:cstheme="minorBidi"/>
            <w:sz w:val="22"/>
            <w:szCs w:val="22"/>
          </w:rPr>
          <w:tab/>
        </w:r>
        <w:r w:rsidR="004E6599" w:rsidRPr="005435D2">
          <w:rPr>
            <w:rStyle w:val="-"/>
          </w:rPr>
          <w:t>Ελληνική Εταιρεία Συμμετοχών και Περιουσίας</w:t>
        </w:r>
        <w:r w:rsidR="004E6599">
          <w:rPr>
            <w:webHidden/>
          </w:rPr>
          <w:tab/>
        </w:r>
        <w:r w:rsidR="004E6599">
          <w:rPr>
            <w:webHidden/>
          </w:rPr>
          <w:fldChar w:fldCharType="begin"/>
        </w:r>
        <w:r w:rsidR="004E6599">
          <w:rPr>
            <w:webHidden/>
          </w:rPr>
          <w:instrText xml:space="preserve"> PAGEREF _Toc214473813 \h </w:instrText>
        </w:r>
        <w:r w:rsidR="004E6599">
          <w:rPr>
            <w:webHidden/>
          </w:rPr>
        </w:r>
        <w:r w:rsidR="004E6599">
          <w:rPr>
            <w:webHidden/>
          </w:rPr>
          <w:fldChar w:fldCharType="separate"/>
        </w:r>
        <w:r w:rsidR="00E15678">
          <w:rPr>
            <w:webHidden/>
          </w:rPr>
          <w:t>219</w:t>
        </w:r>
        <w:r w:rsidR="004E6599">
          <w:rPr>
            <w:webHidden/>
          </w:rPr>
          <w:fldChar w:fldCharType="end"/>
        </w:r>
      </w:hyperlink>
    </w:p>
    <w:p w14:paraId="07A78F21" w14:textId="2DE44F45" w:rsidR="004E6599" w:rsidRDefault="0002021E">
      <w:pPr>
        <w:pStyle w:val="40"/>
        <w:rPr>
          <w:rFonts w:asciiTheme="minorHAnsi" w:eastAsiaTheme="minorEastAsia" w:hAnsiTheme="minorHAnsi" w:cstheme="minorBidi"/>
          <w:sz w:val="22"/>
          <w:szCs w:val="22"/>
        </w:rPr>
      </w:pPr>
      <w:hyperlink w:anchor="_Toc214473814" w:history="1">
        <w:r w:rsidR="004E6599" w:rsidRPr="005435D2">
          <w:rPr>
            <w:rStyle w:val="-"/>
          </w:rPr>
          <w:t>5.1.1.</w:t>
        </w:r>
        <w:r w:rsidR="004E6599">
          <w:rPr>
            <w:rFonts w:asciiTheme="minorHAnsi" w:eastAsiaTheme="minorEastAsia" w:hAnsiTheme="minorHAnsi" w:cstheme="minorBidi"/>
            <w:sz w:val="22"/>
            <w:szCs w:val="22"/>
          </w:rPr>
          <w:tab/>
        </w:r>
        <w:r w:rsidR="004E6599" w:rsidRPr="005435D2">
          <w:rPr>
            <w:rStyle w:val="-"/>
          </w:rPr>
          <w:t>Οικονομικές επιδόσεις 2024</w:t>
        </w:r>
        <w:r w:rsidR="004E6599">
          <w:rPr>
            <w:webHidden/>
          </w:rPr>
          <w:tab/>
        </w:r>
        <w:r w:rsidR="004E6599">
          <w:rPr>
            <w:webHidden/>
          </w:rPr>
          <w:fldChar w:fldCharType="begin"/>
        </w:r>
        <w:r w:rsidR="004E6599">
          <w:rPr>
            <w:webHidden/>
          </w:rPr>
          <w:instrText xml:space="preserve"> PAGEREF _Toc214473814 \h </w:instrText>
        </w:r>
        <w:r w:rsidR="004E6599">
          <w:rPr>
            <w:webHidden/>
          </w:rPr>
        </w:r>
        <w:r w:rsidR="004E6599">
          <w:rPr>
            <w:webHidden/>
          </w:rPr>
          <w:fldChar w:fldCharType="separate"/>
        </w:r>
        <w:r w:rsidR="00E15678">
          <w:rPr>
            <w:webHidden/>
          </w:rPr>
          <w:t>220</w:t>
        </w:r>
        <w:r w:rsidR="004E6599">
          <w:rPr>
            <w:webHidden/>
          </w:rPr>
          <w:fldChar w:fldCharType="end"/>
        </w:r>
      </w:hyperlink>
    </w:p>
    <w:p w14:paraId="422A8C7A" w14:textId="689C4C1E" w:rsidR="004E6599" w:rsidRDefault="0002021E">
      <w:pPr>
        <w:pStyle w:val="40"/>
        <w:rPr>
          <w:rFonts w:asciiTheme="minorHAnsi" w:eastAsiaTheme="minorEastAsia" w:hAnsiTheme="minorHAnsi" w:cstheme="minorBidi"/>
          <w:sz w:val="22"/>
          <w:szCs w:val="22"/>
        </w:rPr>
      </w:pPr>
      <w:hyperlink w:anchor="_Toc214473815" w:history="1">
        <w:r w:rsidR="004E6599" w:rsidRPr="005435D2">
          <w:rPr>
            <w:rStyle w:val="-"/>
          </w:rPr>
          <w:t>5.1.2.</w:t>
        </w:r>
        <w:r w:rsidR="004E6599">
          <w:rPr>
            <w:rFonts w:asciiTheme="minorHAnsi" w:eastAsiaTheme="minorEastAsia" w:hAnsiTheme="minorHAnsi" w:cstheme="minorBidi"/>
            <w:sz w:val="22"/>
            <w:szCs w:val="22"/>
          </w:rPr>
          <w:tab/>
        </w:r>
        <w:r w:rsidR="004E6599" w:rsidRPr="005435D2">
          <w:rPr>
            <w:rStyle w:val="-"/>
          </w:rPr>
          <w:t>Οικονομικές επιδόσεις 2025</w:t>
        </w:r>
        <w:r w:rsidR="004E6599">
          <w:rPr>
            <w:webHidden/>
          </w:rPr>
          <w:tab/>
        </w:r>
        <w:r w:rsidR="004E6599">
          <w:rPr>
            <w:webHidden/>
          </w:rPr>
          <w:fldChar w:fldCharType="begin"/>
        </w:r>
        <w:r w:rsidR="004E6599">
          <w:rPr>
            <w:webHidden/>
          </w:rPr>
          <w:instrText xml:space="preserve"> PAGEREF _Toc214473815 \h </w:instrText>
        </w:r>
        <w:r w:rsidR="004E6599">
          <w:rPr>
            <w:webHidden/>
          </w:rPr>
        </w:r>
        <w:r w:rsidR="004E6599">
          <w:rPr>
            <w:webHidden/>
          </w:rPr>
          <w:fldChar w:fldCharType="separate"/>
        </w:r>
        <w:r w:rsidR="00E15678">
          <w:rPr>
            <w:webHidden/>
          </w:rPr>
          <w:t>220</w:t>
        </w:r>
        <w:r w:rsidR="004E6599">
          <w:rPr>
            <w:webHidden/>
          </w:rPr>
          <w:fldChar w:fldCharType="end"/>
        </w:r>
      </w:hyperlink>
    </w:p>
    <w:p w14:paraId="755BF397" w14:textId="43646E44" w:rsidR="004E6599" w:rsidRDefault="0002021E">
      <w:pPr>
        <w:pStyle w:val="40"/>
        <w:rPr>
          <w:rFonts w:asciiTheme="minorHAnsi" w:eastAsiaTheme="minorEastAsia" w:hAnsiTheme="minorHAnsi" w:cstheme="minorBidi"/>
          <w:sz w:val="22"/>
          <w:szCs w:val="22"/>
        </w:rPr>
      </w:pPr>
      <w:hyperlink w:anchor="_Toc214473816" w:history="1">
        <w:r w:rsidR="004E6599" w:rsidRPr="005435D2">
          <w:rPr>
            <w:rStyle w:val="-"/>
          </w:rPr>
          <w:t>5.1.3.</w:t>
        </w:r>
        <w:r w:rsidR="004E6599">
          <w:rPr>
            <w:rFonts w:asciiTheme="minorHAnsi" w:eastAsiaTheme="minorEastAsia" w:hAnsiTheme="minorHAnsi" w:cstheme="minorBidi"/>
            <w:sz w:val="22"/>
            <w:szCs w:val="22"/>
          </w:rPr>
          <w:tab/>
        </w:r>
        <w:r w:rsidR="004E6599" w:rsidRPr="005435D2">
          <w:rPr>
            <w:rStyle w:val="-"/>
          </w:rPr>
          <w:t>Προοπτικές 2026</w:t>
        </w:r>
        <w:r w:rsidR="004E6599">
          <w:rPr>
            <w:webHidden/>
          </w:rPr>
          <w:tab/>
        </w:r>
        <w:r w:rsidR="004E6599">
          <w:rPr>
            <w:webHidden/>
          </w:rPr>
          <w:fldChar w:fldCharType="begin"/>
        </w:r>
        <w:r w:rsidR="004E6599">
          <w:rPr>
            <w:webHidden/>
          </w:rPr>
          <w:instrText xml:space="preserve"> PAGEREF _Toc214473816 \h </w:instrText>
        </w:r>
        <w:r w:rsidR="004E6599">
          <w:rPr>
            <w:webHidden/>
          </w:rPr>
        </w:r>
        <w:r w:rsidR="004E6599">
          <w:rPr>
            <w:webHidden/>
          </w:rPr>
          <w:fldChar w:fldCharType="separate"/>
        </w:r>
        <w:r w:rsidR="00E15678">
          <w:rPr>
            <w:webHidden/>
          </w:rPr>
          <w:t>221</w:t>
        </w:r>
        <w:r w:rsidR="004E6599">
          <w:rPr>
            <w:webHidden/>
          </w:rPr>
          <w:fldChar w:fldCharType="end"/>
        </w:r>
      </w:hyperlink>
    </w:p>
    <w:p w14:paraId="639CEECD" w14:textId="7DA55655" w:rsidR="004E6599" w:rsidRDefault="0002021E">
      <w:pPr>
        <w:pStyle w:val="32"/>
        <w:rPr>
          <w:rFonts w:asciiTheme="minorHAnsi" w:eastAsiaTheme="minorEastAsia" w:hAnsiTheme="minorHAnsi" w:cstheme="minorBidi"/>
          <w:sz w:val="22"/>
          <w:szCs w:val="22"/>
        </w:rPr>
      </w:pPr>
      <w:hyperlink w:anchor="_Toc214473817" w:history="1">
        <w:r w:rsidR="004E6599" w:rsidRPr="005435D2">
          <w:rPr>
            <w:rStyle w:val="-"/>
          </w:rPr>
          <w:t>5.2.</w:t>
        </w:r>
        <w:r w:rsidR="004E6599">
          <w:rPr>
            <w:rFonts w:asciiTheme="minorHAnsi" w:eastAsiaTheme="minorEastAsia" w:hAnsiTheme="minorHAnsi" w:cstheme="minorBidi"/>
            <w:sz w:val="22"/>
            <w:szCs w:val="22"/>
          </w:rPr>
          <w:tab/>
        </w:r>
        <w:r w:rsidR="004E6599" w:rsidRPr="005435D2">
          <w:rPr>
            <w:rStyle w:val="-"/>
          </w:rPr>
          <w:t>Ελληνική Εταιρεία Συμμετοχών και Περιουσίας - Κλάδος πρώην ΤΑΙΠΕΔ</w:t>
        </w:r>
        <w:r w:rsidR="004E6599">
          <w:rPr>
            <w:webHidden/>
          </w:rPr>
          <w:tab/>
        </w:r>
        <w:r w:rsidR="004E6599">
          <w:rPr>
            <w:webHidden/>
          </w:rPr>
          <w:fldChar w:fldCharType="begin"/>
        </w:r>
        <w:r w:rsidR="004E6599">
          <w:rPr>
            <w:webHidden/>
          </w:rPr>
          <w:instrText xml:space="preserve"> PAGEREF _Toc214473817 \h </w:instrText>
        </w:r>
        <w:r w:rsidR="004E6599">
          <w:rPr>
            <w:webHidden/>
          </w:rPr>
        </w:r>
        <w:r w:rsidR="004E6599">
          <w:rPr>
            <w:webHidden/>
          </w:rPr>
          <w:fldChar w:fldCharType="separate"/>
        </w:r>
        <w:r w:rsidR="00E15678">
          <w:rPr>
            <w:webHidden/>
          </w:rPr>
          <w:t>222</w:t>
        </w:r>
        <w:r w:rsidR="004E6599">
          <w:rPr>
            <w:webHidden/>
          </w:rPr>
          <w:fldChar w:fldCharType="end"/>
        </w:r>
      </w:hyperlink>
    </w:p>
    <w:p w14:paraId="16820D8F" w14:textId="236D8CEB" w:rsidR="004E6599" w:rsidRDefault="0002021E">
      <w:pPr>
        <w:pStyle w:val="32"/>
        <w:rPr>
          <w:rFonts w:asciiTheme="minorHAnsi" w:eastAsiaTheme="minorEastAsia" w:hAnsiTheme="minorHAnsi" w:cstheme="minorBidi"/>
          <w:sz w:val="22"/>
          <w:szCs w:val="22"/>
        </w:rPr>
      </w:pPr>
      <w:hyperlink w:anchor="_Toc214473818" w:history="1">
        <w:r w:rsidR="004E6599" w:rsidRPr="005435D2">
          <w:rPr>
            <w:rStyle w:val="-"/>
          </w:rPr>
          <w:t>5.3.</w:t>
        </w:r>
        <w:r w:rsidR="004E6599">
          <w:rPr>
            <w:rFonts w:asciiTheme="minorHAnsi" w:eastAsiaTheme="minorEastAsia" w:hAnsiTheme="minorHAnsi" w:cstheme="minorBidi"/>
            <w:sz w:val="22"/>
            <w:szCs w:val="22"/>
          </w:rPr>
          <w:tab/>
        </w:r>
        <w:r w:rsidR="004E6599" w:rsidRPr="005435D2">
          <w:rPr>
            <w:rStyle w:val="-"/>
          </w:rPr>
          <w:t>Γενική Γραμματεία Δημόσιας Περιουσίας</w:t>
        </w:r>
        <w:r w:rsidR="004E6599">
          <w:rPr>
            <w:webHidden/>
          </w:rPr>
          <w:tab/>
        </w:r>
        <w:r w:rsidR="004E6599">
          <w:rPr>
            <w:webHidden/>
          </w:rPr>
          <w:fldChar w:fldCharType="begin"/>
        </w:r>
        <w:r w:rsidR="004E6599">
          <w:rPr>
            <w:webHidden/>
          </w:rPr>
          <w:instrText xml:space="preserve"> PAGEREF _Toc214473818 \h </w:instrText>
        </w:r>
        <w:r w:rsidR="004E6599">
          <w:rPr>
            <w:webHidden/>
          </w:rPr>
        </w:r>
        <w:r w:rsidR="004E6599">
          <w:rPr>
            <w:webHidden/>
          </w:rPr>
          <w:fldChar w:fldCharType="separate"/>
        </w:r>
        <w:r w:rsidR="00E15678">
          <w:rPr>
            <w:webHidden/>
          </w:rPr>
          <w:t>237</w:t>
        </w:r>
        <w:r w:rsidR="004E6599">
          <w:rPr>
            <w:webHidden/>
          </w:rPr>
          <w:fldChar w:fldCharType="end"/>
        </w:r>
      </w:hyperlink>
    </w:p>
    <w:p w14:paraId="5A867B3A" w14:textId="74E16C36" w:rsidR="00E77298" w:rsidRPr="00A6193A" w:rsidRDefault="005B53F2" w:rsidP="009407A5">
      <w:pPr>
        <w:spacing w:line="276" w:lineRule="auto"/>
        <w:rPr>
          <w:rFonts w:cs="Arial"/>
          <w:sz w:val="18"/>
          <w:szCs w:val="18"/>
        </w:rPr>
        <w:sectPr w:rsidR="00E77298" w:rsidRPr="00A6193A" w:rsidSect="008E7E86">
          <w:footnotePr>
            <w:numRestart w:val="eachSect"/>
          </w:footnotePr>
          <w:pgSz w:w="11906" w:h="16838"/>
          <w:pgMar w:top="1310" w:right="1418" w:bottom="1310" w:left="1418" w:header="709" w:footer="709" w:gutter="0"/>
          <w:cols w:space="708"/>
          <w:docGrid w:linePitch="360"/>
        </w:sectPr>
      </w:pPr>
      <w:r w:rsidRPr="004C2EE4">
        <w:rPr>
          <w:rFonts w:cs="Arial"/>
          <w:bCs/>
          <w:caps/>
          <w:noProof/>
          <w:color w:val="2F5496"/>
          <w:sz w:val="18"/>
          <w:szCs w:val="18"/>
        </w:rPr>
        <w:fldChar w:fldCharType="end"/>
      </w:r>
    </w:p>
    <w:p w14:paraId="743252C8" w14:textId="1E4DBBDF" w:rsidR="00E77298" w:rsidRPr="00E665FE" w:rsidRDefault="00E77298" w:rsidP="004D3BDA">
      <w:pPr>
        <w:pStyle w:val="afd"/>
      </w:pPr>
      <w:r w:rsidRPr="00E665FE">
        <w:lastRenderedPageBreak/>
        <w:t>ΠΙΝΑΚΕΣ</w:t>
      </w:r>
    </w:p>
    <w:p w14:paraId="4EACA292" w14:textId="328E4635" w:rsidR="00ED5A3D" w:rsidRPr="00C95274" w:rsidRDefault="005B53F2" w:rsidP="00ED5A3D">
      <w:pPr>
        <w:pStyle w:val="af8"/>
        <w:rPr>
          <w:rFonts w:eastAsiaTheme="minorEastAsia"/>
          <w:color w:val="auto"/>
        </w:rPr>
      </w:pPr>
      <w:r w:rsidRPr="00C95274">
        <w:rPr>
          <w:color w:val="auto"/>
        </w:rPr>
        <w:fldChar w:fldCharType="begin"/>
      </w:r>
      <w:r w:rsidR="00E77298" w:rsidRPr="00C95274">
        <w:rPr>
          <w:color w:val="auto"/>
        </w:rPr>
        <w:instrText xml:space="preserve"> TOC \h \z \c "Πίνακας 1." </w:instrText>
      </w:r>
      <w:r w:rsidRPr="00C95274">
        <w:rPr>
          <w:color w:val="auto"/>
        </w:rPr>
        <w:fldChar w:fldCharType="separate"/>
      </w:r>
      <w:hyperlink w:anchor="_Toc214387610" w:history="1">
        <w:r w:rsidR="00ED5A3D" w:rsidRPr="00C95274">
          <w:rPr>
            <w:rStyle w:val="-"/>
            <w:color w:val="auto"/>
            <w:u w:val="none"/>
          </w:rPr>
          <w:t>Πίνακας 1.1.:</w:t>
        </w:r>
        <w:r w:rsidR="00ED5A3D" w:rsidRPr="00C95274">
          <w:rPr>
            <w:rStyle w:val="-"/>
            <w:color w:val="auto"/>
            <w:u w:val="none"/>
          </w:rPr>
          <w:tab/>
          <w:t>Βασικά μεγέθη της ευρωπαϊκής και της παγκόσμιας οικονομίας</w:t>
        </w:r>
        <w:r w:rsidR="00ED5A3D" w:rsidRPr="00C95274">
          <w:rPr>
            <w:webHidden/>
            <w:color w:val="auto"/>
          </w:rPr>
          <w:tab/>
        </w:r>
        <w:r w:rsidR="00ED5A3D" w:rsidRPr="00C95274">
          <w:rPr>
            <w:webHidden/>
            <w:color w:val="auto"/>
          </w:rPr>
          <w:fldChar w:fldCharType="begin"/>
        </w:r>
        <w:r w:rsidR="00ED5A3D" w:rsidRPr="00C95274">
          <w:rPr>
            <w:webHidden/>
            <w:color w:val="auto"/>
          </w:rPr>
          <w:instrText xml:space="preserve"> PAGEREF _Toc214387610 \h </w:instrText>
        </w:r>
        <w:r w:rsidR="00ED5A3D" w:rsidRPr="00C95274">
          <w:rPr>
            <w:webHidden/>
            <w:color w:val="auto"/>
          </w:rPr>
        </w:r>
        <w:r w:rsidR="00ED5A3D" w:rsidRPr="00C95274">
          <w:rPr>
            <w:webHidden/>
            <w:color w:val="auto"/>
          </w:rPr>
          <w:fldChar w:fldCharType="separate"/>
        </w:r>
        <w:r w:rsidR="00E15678">
          <w:rPr>
            <w:webHidden/>
            <w:color w:val="auto"/>
          </w:rPr>
          <w:t>15</w:t>
        </w:r>
        <w:r w:rsidR="00ED5A3D" w:rsidRPr="00C95274">
          <w:rPr>
            <w:webHidden/>
            <w:color w:val="auto"/>
          </w:rPr>
          <w:fldChar w:fldCharType="end"/>
        </w:r>
      </w:hyperlink>
    </w:p>
    <w:p w14:paraId="4FE58BD0" w14:textId="7A4060A0" w:rsidR="00ED5A3D" w:rsidRPr="00C95274" w:rsidRDefault="0002021E" w:rsidP="00ED5A3D">
      <w:pPr>
        <w:pStyle w:val="af8"/>
        <w:rPr>
          <w:rFonts w:eastAsiaTheme="minorEastAsia"/>
          <w:color w:val="auto"/>
        </w:rPr>
      </w:pPr>
      <w:hyperlink w:anchor="_Toc214387611" w:history="1">
        <w:r w:rsidR="00ED5A3D" w:rsidRPr="00C95274">
          <w:rPr>
            <w:rStyle w:val="-"/>
            <w:color w:val="auto"/>
            <w:u w:val="none"/>
          </w:rPr>
          <w:t>Πίνακας 1.2.:</w:t>
        </w:r>
        <w:r w:rsidR="00ED5A3D" w:rsidRPr="00C95274">
          <w:rPr>
            <w:rStyle w:val="-"/>
            <w:color w:val="auto"/>
            <w:u w:val="none"/>
          </w:rPr>
          <w:tab/>
          <w:t>Πιστοληπτικές βαθμίδες αξιολόγησης της ελληνικής οικονομίας</w:t>
        </w:r>
        <w:r w:rsidR="00FC3DBA" w:rsidRPr="00C95274">
          <w:rPr>
            <w:rStyle w:val="-"/>
            <w:color w:val="auto"/>
            <w:u w:val="none"/>
          </w:rPr>
          <w:br/>
        </w:r>
        <w:r w:rsidR="00FC3DBA" w:rsidRPr="00C95274">
          <w:rPr>
            <w:rStyle w:val="-"/>
            <w:color w:val="auto"/>
            <w:u w:val="none"/>
          </w:rPr>
          <w:tab/>
        </w:r>
        <w:r w:rsidR="00ED5A3D" w:rsidRPr="00C95274">
          <w:rPr>
            <w:rStyle w:val="-"/>
            <w:color w:val="auto"/>
            <w:u w:val="none"/>
          </w:rPr>
          <w:t>από Διεθνείς Οίκους Αξιολόγησης</w:t>
        </w:r>
        <w:r w:rsidR="00ED5A3D" w:rsidRPr="00C95274">
          <w:rPr>
            <w:webHidden/>
            <w:color w:val="auto"/>
          </w:rPr>
          <w:tab/>
        </w:r>
        <w:r w:rsidR="00ED5A3D" w:rsidRPr="00C95274">
          <w:rPr>
            <w:webHidden/>
            <w:color w:val="auto"/>
          </w:rPr>
          <w:fldChar w:fldCharType="begin"/>
        </w:r>
        <w:r w:rsidR="00ED5A3D" w:rsidRPr="00C95274">
          <w:rPr>
            <w:webHidden/>
            <w:color w:val="auto"/>
          </w:rPr>
          <w:instrText xml:space="preserve"> PAGEREF _Toc214387611 \h </w:instrText>
        </w:r>
        <w:r w:rsidR="00ED5A3D" w:rsidRPr="00C95274">
          <w:rPr>
            <w:webHidden/>
            <w:color w:val="auto"/>
          </w:rPr>
        </w:r>
        <w:r w:rsidR="00ED5A3D" w:rsidRPr="00C95274">
          <w:rPr>
            <w:webHidden/>
            <w:color w:val="auto"/>
          </w:rPr>
          <w:fldChar w:fldCharType="separate"/>
        </w:r>
        <w:r w:rsidR="00E15678">
          <w:rPr>
            <w:webHidden/>
            <w:color w:val="auto"/>
          </w:rPr>
          <w:t>21</w:t>
        </w:r>
        <w:r w:rsidR="00ED5A3D" w:rsidRPr="00C95274">
          <w:rPr>
            <w:webHidden/>
            <w:color w:val="auto"/>
          </w:rPr>
          <w:fldChar w:fldCharType="end"/>
        </w:r>
      </w:hyperlink>
    </w:p>
    <w:p w14:paraId="34317D0F" w14:textId="15BC94F6" w:rsidR="00ED5A3D" w:rsidRPr="00C95274" w:rsidRDefault="0002021E" w:rsidP="00ED5A3D">
      <w:pPr>
        <w:pStyle w:val="af8"/>
        <w:rPr>
          <w:rFonts w:eastAsiaTheme="minorEastAsia"/>
          <w:color w:val="auto"/>
        </w:rPr>
      </w:pPr>
      <w:hyperlink w:anchor="_Toc214387612" w:history="1">
        <w:r w:rsidR="00ED5A3D" w:rsidRPr="00C95274">
          <w:rPr>
            <w:rStyle w:val="-"/>
            <w:color w:val="auto"/>
            <w:u w:val="none"/>
          </w:rPr>
          <w:t>Πίνακας 1.3.:</w:t>
        </w:r>
        <w:r w:rsidR="00ED5A3D" w:rsidRPr="00C95274">
          <w:rPr>
            <w:rStyle w:val="-"/>
            <w:color w:val="auto"/>
            <w:u w:val="none"/>
          </w:rPr>
          <w:tab/>
          <w:t>Ισοζύγιο Πληρωμών</w:t>
        </w:r>
        <w:r w:rsidR="00ED5A3D" w:rsidRPr="00C95274">
          <w:rPr>
            <w:webHidden/>
            <w:color w:val="auto"/>
          </w:rPr>
          <w:tab/>
        </w:r>
        <w:r w:rsidR="00ED5A3D" w:rsidRPr="00C95274">
          <w:rPr>
            <w:webHidden/>
            <w:color w:val="auto"/>
          </w:rPr>
          <w:fldChar w:fldCharType="begin"/>
        </w:r>
        <w:r w:rsidR="00ED5A3D" w:rsidRPr="00C95274">
          <w:rPr>
            <w:webHidden/>
            <w:color w:val="auto"/>
          </w:rPr>
          <w:instrText xml:space="preserve"> PAGEREF _Toc214387612 \h </w:instrText>
        </w:r>
        <w:r w:rsidR="00ED5A3D" w:rsidRPr="00C95274">
          <w:rPr>
            <w:webHidden/>
            <w:color w:val="auto"/>
          </w:rPr>
        </w:r>
        <w:r w:rsidR="00ED5A3D" w:rsidRPr="00C95274">
          <w:rPr>
            <w:webHidden/>
            <w:color w:val="auto"/>
          </w:rPr>
          <w:fldChar w:fldCharType="separate"/>
        </w:r>
        <w:r w:rsidR="00E15678">
          <w:rPr>
            <w:webHidden/>
            <w:color w:val="auto"/>
          </w:rPr>
          <w:t>33</w:t>
        </w:r>
        <w:r w:rsidR="00ED5A3D" w:rsidRPr="00C95274">
          <w:rPr>
            <w:webHidden/>
            <w:color w:val="auto"/>
          </w:rPr>
          <w:fldChar w:fldCharType="end"/>
        </w:r>
      </w:hyperlink>
    </w:p>
    <w:p w14:paraId="53414BAB" w14:textId="0F2D4545" w:rsidR="004E6599" w:rsidRPr="00C95274" w:rsidRDefault="0002021E" w:rsidP="004E6599">
      <w:pPr>
        <w:pStyle w:val="af8"/>
        <w:rPr>
          <w:color w:val="auto"/>
        </w:rPr>
      </w:pPr>
      <w:hyperlink w:anchor="_Toc214387613" w:history="1">
        <w:r w:rsidR="00ED5A3D" w:rsidRPr="00C95274">
          <w:rPr>
            <w:rStyle w:val="-"/>
            <w:color w:val="auto"/>
            <w:u w:val="none"/>
          </w:rPr>
          <w:t>Πίνακας 1.4.:</w:t>
        </w:r>
        <w:r w:rsidR="00ED5A3D" w:rsidRPr="00C95274">
          <w:rPr>
            <w:rStyle w:val="-"/>
            <w:color w:val="auto"/>
            <w:u w:val="none"/>
          </w:rPr>
          <w:tab/>
          <w:t>Βασικά μεγέθη της ελληνικής οικονομίας</w:t>
        </w:r>
        <w:r w:rsidR="00ED5A3D" w:rsidRPr="00C95274">
          <w:rPr>
            <w:webHidden/>
            <w:color w:val="auto"/>
          </w:rPr>
          <w:tab/>
        </w:r>
        <w:r w:rsidR="00ED5A3D" w:rsidRPr="00C95274">
          <w:rPr>
            <w:webHidden/>
            <w:color w:val="auto"/>
          </w:rPr>
          <w:fldChar w:fldCharType="begin"/>
        </w:r>
        <w:r w:rsidR="00ED5A3D" w:rsidRPr="00C95274">
          <w:rPr>
            <w:webHidden/>
            <w:color w:val="auto"/>
          </w:rPr>
          <w:instrText xml:space="preserve"> PAGEREF _Toc214387613 \h </w:instrText>
        </w:r>
        <w:r w:rsidR="00ED5A3D" w:rsidRPr="00C95274">
          <w:rPr>
            <w:webHidden/>
            <w:color w:val="auto"/>
          </w:rPr>
        </w:r>
        <w:r w:rsidR="00ED5A3D" w:rsidRPr="00C95274">
          <w:rPr>
            <w:webHidden/>
            <w:color w:val="auto"/>
          </w:rPr>
          <w:fldChar w:fldCharType="separate"/>
        </w:r>
        <w:r w:rsidR="00E15678">
          <w:rPr>
            <w:webHidden/>
            <w:color w:val="auto"/>
          </w:rPr>
          <w:t>38</w:t>
        </w:r>
        <w:r w:rsidR="00ED5A3D" w:rsidRPr="00C95274">
          <w:rPr>
            <w:webHidden/>
            <w:color w:val="auto"/>
          </w:rPr>
          <w:fldChar w:fldCharType="end"/>
        </w:r>
      </w:hyperlink>
      <w:r w:rsidR="005B53F2" w:rsidRPr="00C95274">
        <w:rPr>
          <w:color w:val="auto"/>
        </w:rPr>
        <w:fldChar w:fldCharType="end"/>
      </w:r>
      <w:r w:rsidR="005B53F2" w:rsidRPr="00C95274">
        <w:rPr>
          <w:color w:val="auto"/>
        </w:rPr>
        <w:fldChar w:fldCharType="begin"/>
      </w:r>
      <w:r w:rsidR="00E77298" w:rsidRPr="00C95274">
        <w:rPr>
          <w:color w:val="auto"/>
        </w:rPr>
        <w:instrText xml:space="preserve"> TOC \h \z \c "Πίνακας 2." </w:instrText>
      </w:r>
      <w:r w:rsidR="005B53F2" w:rsidRPr="00C95274">
        <w:rPr>
          <w:color w:val="auto"/>
        </w:rPr>
        <w:fldChar w:fldCharType="separate"/>
      </w:r>
    </w:p>
    <w:p w14:paraId="39BB3963" w14:textId="33218B02" w:rsidR="004E6599" w:rsidRPr="00C95274" w:rsidRDefault="0002021E" w:rsidP="004E6599">
      <w:pPr>
        <w:pStyle w:val="af8"/>
        <w:rPr>
          <w:rFonts w:eastAsiaTheme="minorEastAsia"/>
          <w:color w:val="auto"/>
        </w:rPr>
      </w:pPr>
      <w:hyperlink w:anchor="_Toc214473819" w:history="1">
        <w:r w:rsidR="004E6599" w:rsidRPr="00C95274">
          <w:rPr>
            <w:rStyle w:val="-"/>
            <w:color w:val="auto"/>
            <w:u w:val="none"/>
          </w:rPr>
          <w:t>Πίνακας 2.1.:</w:t>
        </w:r>
        <w:r w:rsidR="004E6599" w:rsidRPr="00C95274">
          <w:rPr>
            <w:rStyle w:val="-"/>
            <w:color w:val="auto"/>
            <w:u w:val="none"/>
          </w:rPr>
          <w:tab/>
          <w:t>Συγκριτικός Πίνακας δείκτη εκπαίδευσης προσωπικού</w:t>
        </w:r>
        <w:r w:rsidR="004E6599" w:rsidRPr="00C95274">
          <w:rPr>
            <w:webHidden/>
            <w:color w:val="auto"/>
          </w:rPr>
          <w:tab/>
        </w:r>
        <w:r w:rsidR="004E6599" w:rsidRPr="00C95274">
          <w:rPr>
            <w:webHidden/>
            <w:color w:val="auto"/>
          </w:rPr>
          <w:fldChar w:fldCharType="begin"/>
        </w:r>
        <w:r w:rsidR="004E6599" w:rsidRPr="00C95274">
          <w:rPr>
            <w:webHidden/>
            <w:color w:val="auto"/>
          </w:rPr>
          <w:instrText xml:space="preserve"> PAGEREF _Toc214473819 \h </w:instrText>
        </w:r>
        <w:r w:rsidR="004E6599" w:rsidRPr="00C95274">
          <w:rPr>
            <w:webHidden/>
            <w:color w:val="auto"/>
          </w:rPr>
        </w:r>
        <w:r w:rsidR="004E6599" w:rsidRPr="00C95274">
          <w:rPr>
            <w:webHidden/>
            <w:color w:val="auto"/>
          </w:rPr>
          <w:fldChar w:fldCharType="separate"/>
        </w:r>
        <w:r w:rsidR="00E15678">
          <w:rPr>
            <w:webHidden/>
            <w:color w:val="auto"/>
          </w:rPr>
          <w:t>42</w:t>
        </w:r>
        <w:r w:rsidR="004E6599" w:rsidRPr="00C95274">
          <w:rPr>
            <w:webHidden/>
            <w:color w:val="auto"/>
          </w:rPr>
          <w:fldChar w:fldCharType="end"/>
        </w:r>
      </w:hyperlink>
    </w:p>
    <w:p w14:paraId="5E95676D" w14:textId="00547F6C" w:rsidR="004E6599" w:rsidRPr="00C95274" w:rsidRDefault="0002021E" w:rsidP="004E6599">
      <w:pPr>
        <w:pStyle w:val="af8"/>
        <w:rPr>
          <w:rFonts w:eastAsiaTheme="minorEastAsia"/>
          <w:color w:val="auto"/>
        </w:rPr>
      </w:pPr>
      <w:hyperlink w:anchor="_Toc214473820" w:history="1">
        <w:r w:rsidR="004E6599" w:rsidRPr="00C95274">
          <w:rPr>
            <w:rStyle w:val="-"/>
            <w:color w:val="auto"/>
            <w:u w:val="none"/>
          </w:rPr>
          <w:t>Πίνακας 2.2.:</w:t>
        </w:r>
        <w:r w:rsidR="004E6599" w:rsidRPr="00C95274">
          <w:rPr>
            <w:rStyle w:val="-"/>
            <w:color w:val="auto"/>
            <w:u w:val="none"/>
          </w:rPr>
          <w:tab/>
          <w:t>Προϋπολογιζόμενη Δαπάνη Κρατικού Προϋπολογισμού ανά Πρόγραμμα</w:t>
        </w:r>
        <w:r w:rsidR="004E6599" w:rsidRPr="00C95274">
          <w:rPr>
            <w:rStyle w:val="-"/>
            <w:color w:val="auto"/>
            <w:u w:val="none"/>
          </w:rPr>
          <w:br/>
        </w:r>
        <w:r w:rsidR="004E6599" w:rsidRPr="00C95274">
          <w:rPr>
            <w:rStyle w:val="-"/>
            <w:color w:val="auto"/>
            <w:u w:val="none"/>
          </w:rPr>
          <w:tab/>
          <w:t>(Προεδρία της Δημοκρατίας)</w:t>
        </w:r>
        <w:r w:rsidR="004E6599" w:rsidRPr="00C95274">
          <w:rPr>
            <w:webHidden/>
            <w:color w:val="auto"/>
          </w:rPr>
          <w:tab/>
        </w:r>
        <w:r w:rsidR="004E6599" w:rsidRPr="00C95274">
          <w:rPr>
            <w:webHidden/>
            <w:color w:val="auto"/>
          </w:rPr>
          <w:fldChar w:fldCharType="begin"/>
        </w:r>
        <w:r w:rsidR="004E6599" w:rsidRPr="00C95274">
          <w:rPr>
            <w:webHidden/>
            <w:color w:val="auto"/>
          </w:rPr>
          <w:instrText xml:space="preserve"> PAGEREF _Toc214473820 \h </w:instrText>
        </w:r>
        <w:r w:rsidR="004E6599" w:rsidRPr="00C95274">
          <w:rPr>
            <w:webHidden/>
            <w:color w:val="auto"/>
          </w:rPr>
        </w:r>
        <w:r w:rsidR="004E6599" w:rsidRPr="00C95274">
          <w:rPr>
            <w:webHidden/>
            <w:color w:val="auto"/>
          </w:rPr>
          <w:fldChar w:fldCharType="separate"/>
        </w:r>
        <w:r w:rsidR="00E15678">
          <w:rPr>
            <w:webHidden/>
            <w:color w:val="auto"/>
          </w:rPr>
          <w:t>44</w:t>
        </w:r>
        <w:r w:rsidR="004E6599" w:rsidRPr="00C95274">
          <w:rPr>
            <w:webHidden/>
            <w:color w:val="auto"/>
          </w:rPr>
          <w:fldChar w:fldCharType="end"/>
        </w:r>
      </w:hyperlink>
    </w:p>
    <w:p w14:paraId="24AD9FFC" w14:textId="219DBC31" w:rsidR="004E6599" w:rsidRPr="00C95274" w:rsidRDefault="0002021E" w:rsidP="004E6599">
      <w:pPr>
        <w:pStyle w:val="af8"/>
        <w:rPr>
          <w:rFonts w:eastAsiaTheme="minorEastAsia"/>
          <w:color w:val="auto"/>
        </w:rPr>
      </w:pPr>
      <w:hyperlink w:anchor="_Toc214473821" w:history="1">
        <w:r w:rsidR="004E6599" w:rsidRPr="00C95274">
          <w:rPr>
            <w:rStyle w:val="-"/>
            <w:color w:val="auto"/>
            <w:u w:val="none"/>
          </w:rPr>
          <w:t>Πίνακας 2.3.:</w:t>
        </w:r>
        <w:r w:rsidR="004E6599" w:rsidRPr="00C95274">
          <w:rPr>
            <w:rStyle w:val="-"/>
            <w:color w:val="auto"/>
            <w:u w:val="none"/>
          </w:rPr>
          <w:tab/>
          <w:t>Ανθρώπινοι πόροι ανά Πρόγραμμα</w:t>
        </w:r>
        <w:r w:rsidR="00286D73" w:rsidRPr="00C95274">
          <w:rPr>
            <w:rStyle w:val="-"/>
            <w:color w:val="auto"/>
            <w:u w:val="none"/>
          </w:rPr>
          <w:br/>
        </w:r>
        <w:r w:rsidR="00286D73" w:rsidRPr="00C95274">
          <w:rPr>
            <w:rStyle w:val="-"/>
            <w:color w:val="auto"/>
            <w:u w:val="none"/>
          </w:rPr>
          <w:tab/>
          <w:t>(Προεδρία της Δημοκρατίας)</w:t>
        </w:r>
        <w:r w:rsidR="004E6599" w:rsidRPr="00C95274">
          <w:rPr>
            <w:webHidden/>
            <w:color w:val="auto"/>
          </w:rPr>
          <w:tab/>
        </w:r>
        <w:r w:rsidR="004E6599" w:rsidRPr="00C95274">
          <w:rPr>
            <w:webHidden/>
            <w:color w:val="auto"/>
          </w:rPr>
          <w:fldChar w:fldCharType="begin"/>
        </w:r>
        <w:r w:rsidR="004E6599" w:rsidRPr="00C95274">
          <w:rPr>
            <w:webHidden/>
            <w:color w:val="auto"/>
          </w:rPr>
          <w:instrText xml:space="preserve"> PAGEREF _Toc214473821 \h </w:instrText>
        </w:r>
        <w:r w:rsidR="004E6599" w:rsidRPr="00C95274">
          <w:rPr>
            <w:webHidden/>
            <w:color w:val="auto"/>
          </w:rPr>
        </w:r>
        <w:r w:rsidR="004E6599" w:rsidRPr="00C95274">
          <w:rPr>
            <w:webHidden/>
            <w:color w:val="auto"/>
          </w:rPr>
          <w:fldChar w:fldCharType="separate"/>
        </w:r>
        <w:r w:rsidR="00E15678">
          <w:rPr>
            <w:webHidden/>
            <w:color w:val="auto"/>
          </w:rPr>
          <w:t>44</w:t>
        </w:r>
        <w:r w:rsidR="004E6599" w:rsidRPr="00C95274">
          <w:rPr>
            <w:webHidden/>
            <w:color w:val="auto"/>
          </w:rPr>
          <w:fldChar w:fldCharType="end"/>
        </w:r>
      </w:hyperlink>
    </w:p>
    <w:p w14:paraId="33DF42CA" w14:textId="0A6370EA" w:rsidR="004E6599" w:rsidRPr="00C95274" w:rsidRDefault="0002021E" w:rsidP="004E6599">
      <w:pPr>
        <w:pStyle w:val="af8"/>
        <w:rPr>
          <w:rFonts w:eastAsiaTheme="minorEastAsia"/>
          <w:color w:val="auto"/>
        </w:rPr>
      </w:pPr>
      <w:hyperlink w:anchor="_Toc214473822" w:history="1">
        <w:r w:rsidR="004E6599" w:rsidRPr="00C95274">
          <w:rPr>
            <w:rStyle w:val="-"/>
            <w:color w:val="auto"/>
            <w:u w:val="none"/>
          </w:rPr>
          <w:t>Πίνακας 2.4.:</w:t>
        </w:r>
        <w:r w:rsidR="004E6599" w:rsidRPr="00C95274">
          <w:rPr>
            <w:rStyle w:val="-"/>
            <w:color w:val="auto"/>
            <w:u w:val="none"/>
          </w:rPr>
          <w:tab/>
          <w:t>Προϋπολογιζόμενη Δαπάνη Κρατικού Προϋπολογισμού ανά Πρόγραμμα</w:t>
        </w:r>
        <w:r w:rsidR="00286D73" w:rsidRPr="00C95274">
          <w:rPr>
            <w:rStyle w:val="-"/>
            <w:color w:val="auto"/>
            <w:u w:val="none"/>
          </w:rPr>
          <w:br/>
        </w:r>
        <w:r w:rsidR="00286D73" w:rsidRPr="00C95274">
          <w:rPr>
            <w:rStyle w:val="-"/>
            <w:color w:val="auto"/>
            <w:u w:val="none"/>
          </w:rPr>
          <w:tab/>
          <w:t>(Βουλή των Ελλήνων)</w:t>
        </w:r>
        <w:r w:rsidR="004E6599" w:rsidRPr="00C95274">
          <w:rPr>
            <w:webHidden/>
            <w:color w:val="auto"/>
          </w:rPr>
          <w:tab/>
        </w:r>
        <w:r w:rsidR="004E6599" w:rsidRPr="00C95274">
          <w:rPr>
            <w:webHidden/>
            <w:color w:val="auto"/>
          </w:rPr>
          <w:fldChar w:fldCharType="begin"/>
        </w:r>
        <w:r w:rsidR="004E6599" w:rsidRPr="00C95274">
          <w:rPr>
            <w:webHidden/>
            <w:color w:val="auto"/>
          </w:rPr>
          <w:instrText xml:space="preserve"> PAGEREF _Toc214473822 \h </w:instrText>
        </w:r>
        <w:r w:rsidR="004E6599" w:rsidRPr="00C95274">
          <w:rPr>
            <w:webHidden/>
            <w:color w:val="auto"/>
          </w:rPr>
        </w:r>
        <w:r w:rsidR="004E6599" w:rsidRPr="00C95274">
          <w:rPr>
            <w:webHidden/>
            <w:color w:val="auto"/>
          </w:rPr>
          <w:fldChar w:fldCharType="separate"/>
        </w:r>
        <w:r w:rsidR="00E15678">
          <w:rPr>
            <w:webHidden/>
            <w:color w:val="auto"/>
          </w:rPr>
          <w:t>45</w:t>
        </w:r>
        <w:r w:rsidR="004E6599" w:rsidRPr="00C95274">
          <w:rPr>
            <w:webHidden/>
            <w:color w:val="auto"/>
          </w:rPr>
          <w:fldChar w:fldCharType="end"/>
        </w:r>
      </w:hyperlink>
    </w:p>
    <w:p w14:paraId="17121AB9" w14:textId="330CD977" w:rsidR="004E6599" w:rsidRPr="00C95274" w:rsidRDefault="0002021E" w:rsidP="004E6599">
      <w:pPr>
        <w:pStyle w:val="af8"/>
        <w:rPr>
          <w:rFonts w:eastAsiaTheme="minorEastAsia"/>
          <w:color w:val="auto"/>
        </w:rPr>
      </w:pPr>
      <w:hyperlink w:anchor="_Toc214473823" w:history="1">
        <w:r w:rsidR="004E6599" w:rsidRPr="00C95274">
          <w:rPr>
            <w:rStyle w:val="-"/>
            <w:color w:val="auto"/>
            <w:u w:val="none"/>
          </w:rPr>
          <w:t>Πίνακας 2.5.:</w:t>
        </w:r>
        <w:r w:rsidR="004E6599" w:rsidRPr="00C95274">
          <w:rPr>
            <w:rStyle w:val="-"/>
            <w:color w:val="auto"/>
            <w:u w:val="none"/>
          </w:rPr>
          <w:tab/>
          <w:t>Ανθρώπινοι πόροι ανά Πρόγραμμα</w:t>
        </w:r>
        <w:r w:rsidR="00286D73" w:rsidRPr="00C95274">
          <w:rPr>
            <w:rStyle w:val="-"/>
            <w:color w:val="auto"/>
            <w:u w:val="none"/>
          </w:rPr>
          <w:br/>
        </w:r>
        <w:r w:rsidR="00286D73" w:rsidRPr="00C95274">
          <w:rPr>
            <w:rStyle w:val="-"/>
            <w:color w:val="auto"/>
            <w:u w:val="none"/>
          </w:rPr>
          <w:tab/>
          <w:t>(Βουλή των Ελλήνων)</w:t>
        </w:r>
        <w:r w:rsidR="004E6599" w:rsidRPr="00C95274">
          <w:rPr>
            <w:webHidden/>
            <w:color w:val="auto"/>
          </w:rPr>
          <w:tab/>
        </w:r>
        <w:r w:rsidR="004E6599" w:rsidRPr="00C95274">
          <w:rPr>
            <w:webHidden/>
            <w:color w:val="auto"/>
          </w:rPr>
          <w:fldChar w:fldCharType="begin"/>
        </w:r>
        <w:r w:rsidR="004E6599" w:rsidRPr="00C95274">
          <w:rPr>
            <w:webHidden/>
            <w:color w:val="auto"/>
          </w:rPr>
          <w:instrText xml:space="preserve"> PAGEREF _Toc214473823 \h </w:instrText>
        </w:r>
        <w:r w:rsidR="004E6599" w:rsidRPr="00C95274">
          <w:rPr>
            <w:webHidden/>
            <w:color w:val="auto"/>
          </w:rPr>
        </w:r>
        <w:r w:rsidR="004E6599" w:rsidRPr="00C95274">
          <w:rPr>
            <w:webHidden/>
            <w:color w:val="auto"/>
          </w:rPr>
          <w:fldChar w:fldCharType="separate"/>
        </w:r>
        <w:r w:rsidR="00E15678">
          <w:rPr>
            <w:webHidden/>
            <w:color w:val="auto"/>
          </w:rPr>
          <w:t>45</w:t>
        </w:r>
        <w:r w:rsidR="004E6599" w:rsidRPr="00C95274">
          <w:rPr>
            <w:webHidden/>
            <w:color w:val="auto"/>
          </w:rPr>
          <w:fldChar w:fldCharType="end"/>
        </w:r>
      </w:hyperlink>
    </w:p>
    <w:p w14:paraId="2C97EECB" w14:textId="7713AAE7" w:rsidR="004E6599" w:rsidRPr="00C95274" w:rsidRDefault="0002021E" w:rsidP="004E6599">
      <w:pPr>
        <w:pStyle w:val="af8"/>
        <w:rPr>
          <w:rFonts w:eastAsiaTheme="minorEastAsia"/>
          <w:color w:val="auto"/>
        </w:rPr>
      </w:pPr>
      <w:hyperlink w:anchor="_Toc214473824" w:history="1">
        <w:r w:rsidR="004E6599" w:rsidRPr="00C95274">
          <w:rPr>
            <w:rStyle w:val="-"/>
            <w:color w:val="auto"/>
            <w:u w:val="none"/>
          </w:rPr>
          <w:t>Πίνακας 2.6.:</w:t>
        </w:r>
        <w:r w:rsidR="004E6599" w:rsidRPr="00C95274">
          <w:rPr>
            <w:rStyle w:val="-"/>
            <w:color w:val="auto"/>
            <w:u w:val="none"/>
          </w:rPr>
          <w:tab/>
          <w:t>Ανθρώπινοι πόροι</w:t>
        </w:r>
        <w:r w:rsidR="00286D73" w:rsidRPr="00C95274">
          <w:rPr>
            <w:rStyle w:val="-"/>
            <w:color w:val="auto"/>
            <w:u w:val="none"/>
          </w:rPr>
          <w:br/>
        </w:r>
        <w:r w:rsidR="00286D73" w:rsidRPr="00C95274">
          <w:rPr>
            <w:rStyle w:val="-"/>
            <w:color w:val="auto"/>
            <w:u w:val="none"/>
          </w:rPr>
          <w:tab/>
          <w:t>(Υπουργείο Εθνικής Άμυνας)</w:t>
        </w:r>
        <w:r w:rsidR="004E6599" w:rsidRPr="00C95274">
          <w:rPr>
            <w:webHidden/>
            <w:color w:val="auto"/>
          </w:rPr>
          <w:tab/>
        </w:r>
        <w:r w:rsidR="004E6599" w:rsidRPr="00C95274">
          <w:rPr>
            <w:webHidden/>
            <w:color w:val="auto"/>
          </w:rPr>
          <w:fldChar w:fldCharType="begin"/>
        </w:r>
        <w:r w:rsidR="004E6599" w:rsidRPr="00C95274">
          <w:rPr>
            <w:webHidden/>
            <w:color w:val="auto"/>
          </w:rPr>
          <w:instrText xml:space="preserve"> PAGEREF _Toc214473824 \h </w:instrText>
        </w:r>
        <w:r w:rsidR="004E6599" w:rsidRPr="00C95274">
          <w:rPr>
            <w:webHidden/>
            <w:color w:val="auto"/>
          </w:rPr>
        </w:r>
        <w:r w:rsidR="004E6599" w:rsidRPr="00C95274">
          <w:rPr>
            <w:webHidden/>
            <w:color w:val="auto"/>
          </w:rPr>
          <w:fldChar w:fldCharType="separate"/>
        </w:r>
        <w:r w:rsidR="00E15678">
          <w:rPr>
            <w:webHidden/>
            <w:color w:val="auto"/>
          </w:rPr>
          <w:t>49</w:t>
        </w:r>
        <w:r w:rsidR="004E6599" w:rsidRPr="00C95274">
          <w:rPr>
            <w:webHidden/>
            <w:color w:val="auto"/>
          </w:rPr>
          <w:fldChar w:fldCharType="end"/>
        </w:r>
      </w:hyperlink>
    </w:p>
    <w:p w14:paraId="5BB0B571" w14:textId="6654108A" w:rsidR="004E6599" w:rsidRPr="00C95274" w:rsidRDefault="0002021E" w:rsidP="004E6599">
      <w:pPr>
        <w:pStyle w:val="af8"/>
        <w:rPr>
          <w:rFonts w:eastAsiaTheme="minorEastAsia"/>
          <w:color w:val="auto"/>
        </w:rPr>
      </w:pPr>
      <w:hyperlink w:anchor="_Toc214473825" w:history="1">
        <w:r w:rsidR="004E6599" w:rsidRPr="00C95274">
          <w:rPr>
            <w:rStyle w:val="-"/>
            <w:color w:val="auto"/>
            <w:u w:val="none"/>
          </w:rPr>
          <w:t>Πίνακας 2.7.:</w:t>
        </w:r>
        <w:r w:rsidR="004E6599" w:rsidRPr="00C95274">
          <w:rPr>
            <w:rStyle w:val="-"/>
            <w:color w:val="auto"/>
            <w:u w:val="none"/>
          </w:rPr>
          <w:tab/>
          <w:t>Προϋπολογιζόμενη δαπάνη κρατικού προϋπολογισμού έτους 2026 ανά Πρόγραμμα</w:t>
        </w:r>
        <w:r w:rsidR="004E6599" w:rsidRPr="00C95274">
          <w:rPr>
            <w:webHidden/>
            <w:color w:val="auto"/>
          </w:rPr>
          <w:tab/>
        </w:r>
        <w:r w:rsidR="004E6599" w:rsidRPr="00C95274">
          <w:rPr>
            <w:webHidden/>
            <w:color w:val="auto"/>
          </w:rPr>
          <w:fldChar w:fldCharType="begin"/>
        </w:r>
        <w:r w:rsidR="004E6599" w:rsidRPr="00C95274">
          <w:rPr>
            <w:webHidden/>
            <w:color w:val="auto"/>
          </w:rPr>
          <w:instrText xml:space="preserve"> PAGEREF _Toc214473825 \h </w:instrText>
        </w:r>
        <w:r w:rsidR="004E6599" w:rsidRPr="00C95274">
          <w:rPr>
            <w:webHidden/>
            <w:color w:val="auto"/>
          </w:rPr>
        </w:r>
        <w:r w:rsidR="004E6599" w:rsidRPr="00C95274">
          <w:rPr>
            <w:webHidden/>
            <w:color w:val="auto"/>
          </w:rPr>
          <w:fldChar w:fldCharType="separate"/>
        </w:r>
        <w:r w:rsidR="00E15678">
          <w:rPr>
            <w:webHidden/>
            <w:color w:val="auto"/>
          </w:rPr>
          <w:t>71</w:t>
        </w:r>
        <w:r w:rsidR="004E6599" w:rsidRPr="00C95274">
          <w:rPr>
            <w:webHidden/>
            <w:color w:val="auto"/>
          </w:rPr>
          <w:fldChar w:fldCharType="end"/>
        </w:r>
      </w:hyperlink>
    </w:p>
    <w:p w14:paraId="252D85C5" w14:textId="4CD2683C" w:rsidR="004E6599" w:rsidRPr="00C95274" w:rsidRDefault="0002021E" w:rsidP="004E6599">
      <w:pPr>
        <w:pStyle w:val="af8"/>
        <w:rPr>
          <w:rFonts w:eastAsiaTheme="minorEastAsia"/>
          <w:color w:val="auto"/>
        </w:rPr>
      </w:pPr>
      <w:hyperlink w:anchor="_Toc214473826" w:history="1">
        <w:r w:rsidR="004E6599" w:rsidRPr="00C95274">
          <w:rPr>
            <w:rStyle w:val="-"/>
            <w:color w:val="auto"/>
            <w:u w:val="none"/>
          </w:rPr>
          <w:t>Πίνακας 2.8.:</w:t>
        </w:r>
        <w:r w:rsidR="004E6599" w:rsidRPr="00C95274">
          <w:rPr>
            <w:rStyle w:val="-"/>
            <w:color w:val="auto"/>
            <w:u w:val="none"/>
          </w:rPr>
          <w:tab/>
          <w:t>Προϋπολογιζόμενη δαπάνη Γενικής Κυβέρνησης έτους 2026 ανά Πρόγραμμα</w:t>
        </w:r>
        <w:r w:rsidR="004E6599" w:rsidRPr="00C95274">
          <w:rPr>
            <w:webHidden/>
            <w:color w:val="auto"/>
          </w:rPr>
          <w:tab/>
        </w:r>
        <w:r w:rsidR="004E6599" w:rsidRPr="00C95274">
          <w:rPr>
            <w:webHidden/>
            <w:color w:val="auto"/>
          </w:rPr>
          <w:fldChar w:fldCharType="begin"/>
        </w:r>
        <w:r w:rsidR="004E6599" w:rsidRPr="00C95274">
          <w:rPr>
            <w:webHidden/>
            <w:color w:val="auto"/>
          </w:rPr>
          <w:instrText xml:space="preserve"> PAGEREF _Toc214473826 \h </w:instrText>
        </w:r>
        <w:r w:rsidR="004E6599" w:rsidRPr="00C95274">
          <w:rPr>
            <w:webHidden/>
            <w:color w:val="auto"/>
          </w:rPr>
        </w:r>
        <w:r w:rsidR="004E6599" w:rsidRPr="00C95274">
          <w:rPr>
            <w:webHidden/>
            <w:color w:val="auto"/>
          </w:rPr>
          <w:fldChar w:fldCharType="separate"/>
        </w:r>
        <w:r w:rsidR="00E15678">
          <w:rPr>
            <w:webHidden/>
            <w:color w:val="auto"/>
          </w:rPr>
          <w:t>80</w:t>
        </w:r>
        <w:r w:rsidR="004E6599" w:rsidRPr="00C95274">
          <w:rPr>
            <w:webHidden/>
            <w:color w:val="auto"/>
          </w:rPr>
          <w:fldChar w:fldCharType="end"/>
        </w:r>
      </w:hyperlink>
    </w:p>
    <w:p w14:paraId="5E71A89D" w14:textId="70479E64" w:rsidR="004E6599" w:rsidRPr="00C95274" w:rsidRDefault="0002021E" w:rsidP="004E6599">
      <w:pPr>
        <w:pStyle w:val="af8"/>
        <w:rPr>
          <w:rFonts w:eastAsiaTheme="minorEastAsia"/>
          <w:color w:val="auto"/>
        </w:rPr>
      </w:pPr>
      <w:hyperlink w:anchor="_Toc214473827" w:history="1">
        <w:r w:rsidR="004E6599" w:rsidRPr="00C95274">
          <w:rPr>
            <w:rStyle w:val="-"/>
            <w:color w:val="auto"/>
            <w:u w:val="none"/>
          </w:rPr>
          <w:t>Πίνακας 2.9.:</w:t>
        </w:r>
        <w:r w:rsidR="004E6599" w:rsidRPr="00C95274">
          <w:rPr>
            <w:rStyle w:val="-"/>
            <w:color w:val="auto"/>
            <w:u w:val="none"/>
          </w:rPr>
          <w:tab/>
          <w:t>Λειτουργική ταξινόμηση προϋπολογισμού Γενικής Κυβέρνησης</w:t>
        </w:r>
        <w:r w:rsidR="004E6599" w:rsidRPr="00C95274">
          <w:rPr>
            <w:webHidden/>
            <w:color w:val="auto"/>
          </w:rPr>
          <w:tab/>
        </w:r>
        <w:r w:rsidR="004E6599" w:rsidRPr="00C95274">
          <w:rPr>
            <w:webHidden/>
            <w:color w:val="auto"/>
          </w:rPr>
          <w:fldChar w:fldCharType="begin"/>
        </w:r>
        <w:r w:rsidR="004E6599" w:rsidRPr="00C95274">
          <w:rPr>
            <w:webHidden/>
            <w:color w:val="auto"/>
          </w:rPr>
          <w:instrText xml:space="preserve"> PAGEREF _Toc214473827 \h </w:instrText>
        </w:r>
        <w:r w:rsidR="004E6599" w:rsidRPr="00C95274">
          <w:rPr>
            <w:webHidden/>
            <w:color w:val="auto"/>
          </w:rPr>
        </w:r>
        <w:r w:rsidR="004E6599" w:rsidRPr="00C95274">
          <w:rPr>
            <w:webHidden/>
            <w:color w:val="auto"/>
          </w:rPr>
          <w:fldChar w:fldCharType="separate"/>
        </w:r>
        <w:r w:rsidR="00E15678">
          <w:rPr>
            <w:webHidden/>
            <w:color w:val="auto"/>
          </w:rPr>
          <w:t>92</w:t>
        </w:r>
        <w:r w:rsidR="004E6599" w:rsidRPr="00C95274">
          <w:rPr>
            <w:webHidden/>
            <w:color w:val="auto"/>
          </w:rPr>
          <w:fldChar w:fldCharType="end"/>
        </w:r>
      </w:hyperlink>
    </w:p>
    <w:p w14:paraId="0EA49151" w14:textId="06162743" w:rsidR="004F2069" w:rsidRPr="00C95274" w:rsidRDefault="0002021E" w:rsidP="004E6599">
      <w:pPr>
        <w:pStyle w:val="af8"/>
        <w:rPr>
          <w:color w:val="auto"/>
        </w:rPr>
      </w:pPr>
      <w:hyperlink w:anchor="_Toc214473828" w:history="1">
        <w:r w:rsidR="004E6599" w:rsidRPr="00C95274">
          <w:rPr>
            <w:rStyle w:val="-"/>
            <w:color w:val="auto"/>
            <w:u w:val="none"/>
          </w:rPr>
          <w:t>Πίνακας 2.10.:</w:t>
        </w:r>
        <w:r w:rsidR="004E6599" w:rsidRPr="00C95274">
          <w:rPr>
            <w:rStyle w:val="-"/>
            <w:color w:val="auto"/>
            <w:u w:val="none"/>
          </w:rPr>
          <w:tab/>
          <w:t>Κατηγοριοποίηση ως προς την περιβαλλοντική διάσταση</w:t>
        </w:r>
        <w:r w:rsidR="004E6599" w:rsidRPr="00C95274">
          <w:rPr>
            <w:webHidden/>
            <w:color w:val="auto"/>
          </w:rPr>
          <w:tab/>
        </w:r>
        <w:r w:rsidR="004E6599" w:rsidRPr="00C95274">
          <w:rPr>
            <w:webHidden/>
            <w:color w:val="auto"/>
          </w:rPr>
          <w:fldChar w:fldCharType="begin"/>
        </w:r>
        <w:r w:rsidR="004E6599" w:rsidRPr="00C95274">
          <w:rPr>
            <w:webHidden/>
            <w:color w:val="auto"/>
          </w:rPr>
          <w:instrText xml:space="preserve"> PAGEREF _Toc214473828 \h </w:instrText>
        </w:r>
        <w:r w:rsidR="004E6599" w:rsidRPr="00C95274">
          <w:rPr>
            <w:webHidden/>
            <w:color w:val="auto"/>
          </w:rPr>
        </w:r>
        <w:r w:rsidR="004E6599" w:rsidRPr="00C95274">
          <w:rPr>
            <w:webHidden/>
            <w:color w:val="auto"/>
          </w:rPr>
          <w:fldChar w:fldCharType="separate"/>
        </w:r>
        <w:r w:rsidR="00E15678">
          <w:rPr>
            <w:webHidden/>
            <w:color w:val="auto"/>
          </w:rPr>
          <w:t>94</w:t>
        </w:r>
        <w:r w:rsidR="004E6599" w:rsidRPr="00C95274">
          <w:rPr>
            <w:webHidden/>
            <w:color w:val="auto"/>
          </w:rPr>
          <w:fldChar w:fldCharType="end"/>
        </w:r>
      </w:hyperlink>
      <w:r w:rsidR="005B53F2" w:rsidRPr="00C95274">
        <w:rPr>
          <w:color w:val="auto"/>
        </w:rPr>
        <w:fldChar w:fldCharType="end"/>
      </w:r>
    </w:p>
    <w:p w14:paraId="5733D6F9" w14:textId="0E8F8162" w:rsidR="00286D73" w:rsidRPr="00C95274" w:rsidRDefault="005B53F2" w:rsidP="00286D73">
      <w:pPr>
        <w:pStyle w:val="af8"/>
        <w:rPr>
          <w:rFonts w:eastAsiaTheme="minorEastAsia"/>
          <w:color w:val="auto"/>
        </w:rPr>
      </w:pPr>
      <w:r w:rsidRPr="00C95274">
        <w:rPr>
          <w:color w:val="auto"/>
        </w:rPr>
        <w:fldChar w:fldCharType="begin"/>
      </w:r>
      <w:r w:rsidR="00E77298" w:rsidRPr="00C95274">
        <w:rPr>
          <w:color w:val="auto"/>
        </w:rPr>
        <w:instrText xml:space="preserve"> TOC \h \z \c "Πίνακας 3." </w:instrText>
      </w:r>
      <w:r w:rsidRPr="00C95274">
        <w:rPr>
          <w:color w:val="auto"/>
        </w:rPr>
        <w:fldChar w:fldCharType="separate"/>
      </w:r>
      <w:hyperlink w:anchor="_Toc214474039" w:history="1">
        <w:r w:rsidR="00286D73" w:rsidRPr="00C95274">
          <w:rPr>
            <w:rStyle w:val="-"/>
            <w:color w:val="auto"/>
            <w:u w:val="none"/>
          </w:rPr>
          <w:t>Πίνακας 3.1.:</w:t>
        </w:r>
        <w:r w:rsidR="00286D73" w:rsidRPr="00C95274">
          <w:rPr>
            <w:rStyle w:val="-"/>
            <w:color w:val="auto"/>
            <w:u w:val="none"/>
          </w:rPr>
          <w:tab/>
          <w:t>Αποτελέσματα Γενικής Κυβέρνησης περιόδου 2024 - 2026</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_Toc214474039 \h </w:instrText>
        </w:r>
        <w:r w:rsidR="00286D73" w:rsidRPr="00C95274">
          <w:rPr>
            <w:webHidden/>
            <w:color w:val="auto"/>
          </w:rPr>
        </w:r>
        <w:r w:rsidR="00286D73" w:rsidRPr="00C95274">
          <w:rPr>
            <w:webHidden/>
            <w:color w:val="auto"/>
          </w:rPr>
          <w:fldChar w:fldCharType="separate"/>
        </w:r>
        <w:r w:rsidR="00E15678">
          <w:rPr>
            <w:webHidden/>
            <w:color w:val="auto"/>
          </w:rPr>
          <w:t>104</w:t>
        </w:r>
        <w:r w:rsidR="00286D73" w:rsidRPr="00C95274">
          <w:rPr>
            <w:webHidden/>
            <w:color w:val="auto"/>
          </w:rPr>
          <w:fldChar w:fldCharType="end"/>
        </w:r>
      </w:hyperlink>
    </w:p>
    <w:p w14:paraId="7ACAE00D" w14:textId="2780CFB4" w:rsidR="00286D73" w:rsidRPr="00C95274" w:rsidRDefault="0002021E" w:rsidP="00286D73">
      <w:pPr>
        <w:pStyle w:val="af8"/>
        <w:rPr>
          <w:rFonts w:eastAsiaTheme="minorEastAsia"/>
          <w:color w:val="auto"/>
        </w:rPr>
      </w:pPr>
      <w:hyperlink w:anchor="_Toc214474040" w:history="1">
        <w:r w:rsidR="00286D73" w:rsidRPr="00C95274">
          <w:rPr>
            <w:rStyle w:val="-"/>
            <w:color w:val="auto"/>
            <w:u w:val="none"/>
          </w:rPr>
          <w:t>Πίνακας 3.2.:</w:t>
        </w:r>
        <w:r w:rsidR="00286D73" w:rsidRPr="00C95274">
          <w:rPr>
            <w:rStyle w:val="-"/>
            <w:color w:val="auto"/>
            <w:u w:val="none"/>
          </w:rPr>
          <w:tab/>
          <w:t>Ισοζύγιο Γενικής Κυβέρνησης σύμφωνα με τη μεθοδολογία ESA</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_Toc214474040 \h </w:instrText>
        </w:r>
        <w:r w:rsidR="00286D73" w:rsidRPr="00C95274">
          <w:rPr>
            <w:webHidden/>
            <w:color w:val="auto"/>
          </w:rPr>
        </w:r>
        <w:r w:rsidR="00286D73" w:rsidRPr="00C95274">
          <w:rPr>
            <w:webHidden/>
            <w:color w:val="auto"/>
          </w:rPr>
          <w:fldChar w:fldCharType="separate"/>
        </w:r>
        <w:r w:rsidR="00E15678">
          <w:rPr>
            <w:webHidden/>
            <w:color w:val="auto"/>
          </w:rPr>
          <w:t>104</w:t>
        </w:r>
        <w:r w:rsidR="00286D73" w:rsidRPr="00C95274">
          <w:rPr>
            <w:webHidden/>
            <w:color w:val="auto"/>
          </w:rPr>
          <w:fldChar w:fldCharType="end"/>
        </w:r>
      </w:hyperlink>
    </w:p>
    <w:p w14:paraId="54024B82" w14:textId="6C45A019" w:rsidR="00286D73" w:rsidRPr="00C95274" w:rsidRDefault="0002021E" w:rsidP="00286D73">
      <w:pPr>
        <w:pStyle w:val="af8"/>
        <w:rPr>
          <w:rFonts w:eastAsiaTheme="minorEastAsia"/>
          <w:color w:val="auto"/>
        </w:rPr>
      </w:pPr>
      <w:hyperlink w:anchor="_Toc214474041" w:history="1">
        <w:r w:rsidR="00286D73" w:rsidRPr="00C95274">
          <w:rPr>
            <w:rStyle w:val="-"/>
            <w:color w:val="auto"/>
            <w:u w:val="none"/>
          </w:rPr>
          <w:t>Πίνακας 3.3.:</w:t>
        </w:r>
        <w:r w:rsidR="00286D73" w:rsidRPr="00C95274">
          <w:rPr>
            <w:rStyle w:val="-"/>
            <w:color w:val="auto"/>
            <w:u w:val="none"/>
          </w:rPr>
          <w:tab/>
          <w:t>Καθαρά έσοδα κρατικού προϋπολογισμού κατά μείζονα κατηγορία σε ταμειακή βάση</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_Toc214474041 \h </w:instrText>
        </w:r>
        <w:r w:rsidR="00286D73" w:rsidRPr="00C95274">
          <w:rPr>
            <w:webHidden/>
            <w:color w:val="auto"/>
          </w:rPr>
        </w:r>
        <w:r w:rsidR="00286D73" w:rsidRPr="00C95274">
          <w:rPr>
            <w:webHidden/>
            <w:color w:val="auto"/>
          </w:rPr>
          <w:fldChar w:fldCharType="separate"/>
        </w:r>
        <w:r w:rsidR="00E15678">
          <w:rPr>
            <w:webHidden/>
            <w:color w:val="auto"/>
          </w:rPr>
          <w:t>121</w:t>
        </w:r>
        <w:r w:rsidR="00286D73" w:rsidRPr="00C95274">
          <w:rPr>
            <w:webHidden/>
            <w:color w:val="auto"/>
          </w:rPr>
          <w:fldChar w:fldCharType="end"/>
        </w:r>
      </w:hyperlink>
    </w:p>
    <w:p w14:paraId="77178C92" w14:textId="368E227A" w:rsidR="00286D73" w:rsidRPr="00C95274" w:rsidRDefault="0002021E" w:rsidP="00286D73">
      <w:pPr>
        <w:pStyle w:val="af8"/>
        <w:rPr>
          <w:rFonts w:eastAsiaTheme="minorEastAsia"/>
          <w:color w:val="auto"/>
        </w:rPr>
      </w:pPr>
      <w:hyperlink w:anchor="_Toc214474042" w:history="1">
        <w:r w:rsidR="00286D73" w:rsidRPr="00C95274">
          <w:rPr>
            <w:rStyle w:val="-"/>
            <w:color w:val="auto"/>
            <w:u w:val="none"/>
          </w:rPr>
          <w:t>Πίνακας 3.4.:</w:t>
        </w:r>
        <w:r w:rsidR="00286D73" w:rsidRPr="00C95274">
          <w:rPr>
            <w:rStyle w:val="-"/>
            <w:color w:val="auto"/>
            <w:u w:val="none"/>
          </w:rPr>
          <w:tab/>
          <w:t>Δαπάνες κρατικού προϋπολογισμού κατά μείζονα κατηγορία σε ταμειακή βάση</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_Toc214474042 \h </w:instrText>
        </w:r>
        <w:r w:rsidR="00286D73" w:rsidRPr="00C95274">
          <w:rPr>
            <w:webHidden/>
            <w:color w:val="auto"/>
          </w:rPr>
        </w:r>
        <w:r w:rsidR="00286D73" w:rsidRPr="00C95274">
          <w:rPr>
            <w:webHidden/>
            <w:color w:val="auto"/>
          </w:rPr>
          <w:fldChar w:fldCharType="separate"/>
        </w:r>
        <w:r w:rsidR="00E15678">
          <w:rPr>
            <w:webHidden/>
            <w:color w:val="auto"/>
          </w:rPr>
          <w:t>122</w:t>
        </w:r>
        <w:r w:rsidR="00286D73" w:rsidRPr="00C95274">
          <w:rPr>
            <w:webHidden/>
            <w:color w:val="auto"/>
          </w:rPr>
          <w:fldChar w:fldCharType="end"/>
        </w:r>
      </w:hyperlink>
    </w:p>
    <w:p w14:paraId="5D78AEC7" w14:textId="35973449" w:rsidR="00286D73" w:rsidRPr="00C95274" w:rsidRDefault="0002021E" w:rsidP="00286D73">
      <w:pPr>
        <w:pStyle w:val="af8"/>
        <w:rPr>
          <w:rFonts w:eastAsiaTheme="minorEastAsia"/>
          <w:color w:val="auto"/>
        </w:rPr>
      </w:pPr>
      <w:hyperlink w:anchor="_Toc214474043" w:history="1">
        <w:r w:rsidR="00286D73" w:rsidRPr="00C95274">
          <w:rPr>
            <w:rStyle w:val="-"/>
            <w:color w:val="auto"/>
            <w:u w:val="none"/>
          </w:rPr>
          <w:t>Πίνακας 3.5.:</w:t>
        </w:r>
        <w:r w:rsidR="00286D73" w:rsidRPr="00C95274">
          <w:rPr>
            <w:rStyle w:val="-"/>
            <w:color w:val="auto"/>
            <w:u w:val="none"/>
          </w:rPr>
          <w:tab/>
          <w:t>Χρηματοδοτικές ανάγκες κρατικού προϋπολογισμού 2026</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_Toc214474043 \h </w:instrText>
        </w:r>
        <w:r w:rsidR="00286D73" w:rsidRPr="00C95274">
          <w:rPr>
            <w:webHidden/>
            <w:color w:val="auto"/>
          </w:rPr>
        </w:r>
        <w:r w:rsidR="00286D73" w:rsidRPr="00C95274">
          <w:rPr>
            <w:webHidden/>
            <w:color w:val="auto"/>
          </w:rPr>
          <w:fldChar w:fldCharType="separate"/>
        </w:r>
        <w:r w:rsidR="00E15678">
          <w:rPr>
            <w:webHidden/>
            <w:color w:val="auto"/>
          </w:rPr>
          <w:t>123</w:t>
        </w:r>
        <w:r w:rsidR="00286D73" w:rsidRPr="00C95274">
          <w:rPr>
            <w:webHidden/>
            <w:color w:val="auto"/>
          </w:rPr>
          <w:fldChar w:fldCharType="end"/>
        </w:r>
      </w:hyperlink>
    </w:p>
    <w:p w14:paraId="79D5FE4D" w14:textId="7A24C49E" w:rsidR="00286D73" w:rsidRPr="00C95274" w:rsidRDefault="0002021E" w:rsidP="00286D73">
      <w:pPr>
        <w:pStyle w:val="af8"/>
        <w:rPr>
          <w:rFonts w:eastAsiaTheme="minorEastAsia"/>
          <w:color w:val="auto"/>
        </w:rPr>
      </w:pPr>
      <w:hyperlink w:anchor="_Toc214474044" w:history="1">
        <w:r w:rsidR="00286D73" w:rsidRPr="00C95274">
          <w:rPr>
            <w:rStyle w:val="-"/>
            <w:color w:val="auto"/>
            <w:u w:val="none"/>
          </w:rPr>
          <w:t>Πίνακας 3.6.:</w:t>
        </w:r>
        <w:r w:rsidR="00286D73" w:rsidRPr="00C95274">
          <w:rPr>
            <w:rStyle w:val="-"/>
            <w:color w:val="auto"/>
            <w:u w:val="none"/>
          </w:rPr>
          <w:tab/>
          <w:t>Μηνιαία κατανομή εσόδων - δαπανών κρατικού προϋπολογισμού έτους 2026</w:t>
        </w:r>
        <w:r w:rsidR="00FC3DBA" w:rsidRPr="00C95274">
          <w:rPr>
            <w:rStyle w:val="-"/>
            <w:color w:val="auto"/>
            <w:u w:val="none"/>
          </w:rPr>
          <w:br/>
        </w:r>
        <w:r w:rsidR="00FC3DBA" w:rsidRPr="00C95274">
          <w:rPr>
            <w:rStyle w:val="-"/>
            <w:color w:val="auto"/>
            <w:u w:val="none"/>
          </w:rPr>
          <w:tab/>
        </w:r>
        <w:r w:rsidR="00286D73" w:rsidRPr="00C95274">
          <w:rPr>
            <w:rStyle w:val="-"/>
            <w:color w:val="auto"/>
            <w:u w:val="none"/>
          </w:rPr>
          <w:t>σε σωρευτική</w:t>
        </w:r>
        <w:r w:rsidR="00FC3DBA" w:rsidRPr="00C95274">
          <w:rPr>
            <w:rStyle w:val="-"/>
            <w:color w:val="auto"/>
            <w:u w:val="none"/>
          </w:rPr>
          <w:t xml:space="preserve"> </w:t>
        </w:r>
        <w:r w:rsidR="00286D73" w:rsidRPr="00C95274">
          <w:rPr>
            <w:rStyle w:val="-"/>
            <w:color w:val="auto"/>
            <w:u w:val="none"/>
          </w:rPr>
          <w:t>ταμειακή βάση</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_Toc214474044 \h </w:instrText>
        </w:r>
        <w:r w:rsidR="00286D73" w:rsidRPr="00C95274">
          <w:rPr>
            <w:webHidden/>
            <w:color w:val="auto"/>
          </w:rPr>
        </w:r>
        <w:r w:rsidR="00286D73" w:rsidRPr="00C95274">
          <w:rPr>
            <w:webHidden/>
            <w:color w:val="auto"/>
          </w:rPr>
          <w:fldChar w:fldCharType="separate"/>
        </w:r>
        <w:r w:rsidR="00E15678">
          <w:rPr>
            <w:webHidden/>
            <w:color w:val="auto"/>
          </w:rPr>
          <w:t>124</w:t>
        </w:r>
        <w:r w:rsidR="00286D73" w:rsidRPr="00C95274">
          <w:rPr>
            <w:webHidden/>
            <w:color w:val="auto"/>
          </w:rPr>
          <w:fldChar w:fldCharType="end"/>
        </w:r>
      </w:hyperlink>
    </w:p>
    <w:p w14:paraId="2189D366" w14:textId="31EA34EE" w:rsidR="00286D73" w:rsidRPr="00C95274" w:rsidRDefault="0002021E" w:rsidP="00286D73">
      <w:pPr>
        <w:pStyle w:val="af8"/>
        <w:rPr>
          <w:rFonts w:eastAsiaTheme="minorEastAsia"/>
          <w:color w:val="auto"/>
        </w:rPr>
      </w:pPr>
      <w:hyperlink w:anchor="_Toc214474045" w:history="1">
        <w:r w:rsidR="00286D73" w:rsidRPr="00C95274">
          <w:rPr>
            <w:rStyle w:val="-"/>
            <w:color w:val="auto"/>
            <w:u w:val="none"/>
          </w:rPr>
          <w:t>Πίνακας 3.7.:</w:t>
        </w:r>
        <w:r w:rsidR="00286D73" w:rsidRPr="00C95274">
          <w:rPr>
            <w:rStyle w:val="-"/>
            <w:color w:val="auto"/>
            <w:u w:val="none"/>
          </w:rPr>
          <w:tab/>
          <w:t>Έσοδα του προϋπολογισμού δημοσίων επενδύσεων</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_Toc214474045 \h </w:instrText>
        </w:r>
        <w:r w:rsidR="00286D73" w:rsidRPr="00C95274">
          <w:rPr>
            <w:webHidden/>
            <w:color w:val="auto"/>
          </w:rPr>
        </w:r>
        <w:r w:rsidR="00286D73" w:rsidRPr="00C95274">
          <w:rPr>
            <w:webHidden/>
            <w:color w:val="auto"/>
          </w:rPr>
          <w:fldChar w:fldCharType="separate"/>
        </w:r>
        <w:r w:rsidR="00E15678">
          <w:rPr>
            <w:webHidden/>
            <w:color w:val="auto"/>
          </w:rPr>
          <w:t>126</w:t>
        </w:r>
        <w:r w:rsidR="00286D73" w:rsidRPr="00C95274">
          <w:rPr>
            <w:webHidden/>
            <w:color w:val="auto"/>
          </w:rPr>
          <w:fldChar w:fldCharType="end"/>
        </w:r>
      </w:hyperlink>
    </w:p>
    <w:p w14:paraId="3F7FBA9C" w14:textId="13C82CF5" w:rsidR="00286D73" w:rsidRPr="00C95274" w:rsidRDefault="0002021E" w:rsidP="00286D73">
      <w:pPr>
        <w:pStyle w:val="af8"/>
        <w:rPr>
          <w:rFonts w:eastAsiaTheme="minorEastAsia"/>
          <w:color w:val="auto"/>
        </w:rPr>
      </w:pPr>
      <w:hyperlink w:anchor="_Toc214474046" w:history="1">
        <w:r w:rsidR="00286D73" w:rsidRPr="00C95274">
          <w:rPr>
            <w:rStyle w:val="-"/>
            <w:color w:val="auto"/>
            <w:u w:val="none"/>
          </w:rPr>
          <w:t>Πίνακας 3.8.:</w:t>
        </w:r>
        <w:r w:rsidR="00286D73" w:rsidRPr="00C95274">
          <w:rPr>
            <w:rStyle w:val="-"/>
            <w:color w:val="auto"/>
            <w:u w:val="none"/>
          </w:rPr>
          <w:tab/>
          <w:t>Μεταβιβάσεις τακτικού προϋπολογισμού σε φορείς εντός και εκτός</w:t>
        </w:r>
        <w:r w:rsidR="00FC3DBA" w:rsidRPr="00C95274">
          <w:rPr>
            <w:rStyle w:val="-"/>
            <w:color w:val="auto"/>
            <w:u w:val="none"/>
          </w:rPr>
          <w:br/>
        </w:r>
        <w:r w:rsidR="00FC3DBA" w:rsidRPr="00C95274">
          <w:rPr>
            <w:rStyle w:val="-"/>
            <w:color w:val="auto"/>
            <w:u w:val="none"/>
          </w:rPr>
          <w:tab/>
          <w:t xml:space="preserve">της </w:t>
        </w:r>
        <w:r w:rsidR="00286D73" w:rsidRPr="00C95274">
          <w:rPr>
            <w:rStyle w:val="-"/>
            <w:color w:val="auto"/>
            <w:u w:val="none"/>
          </w:rPr>
          <w:t>Γενικής Κυβέρνησης</w:t>
        </w:r>
        <w:r w:rsidR="00FC3DBA" w:rsidRPr="00C95274">
          <w:rPr>
            <w:rStyle w:val="-"/>
            <w:color w:val="auto"/>
            <w:u w:val="none"/>
          </w:rPr>
          <w:t xml:space="preserve"> σε ταμειακή βάση</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_Toc214474046 \h </w:instrText>
        </w:r>
        <w:r w:rsidR="00286D73" w:rsidRPr="00C95274">
          <w:rPr>
            <w:webHidden/>
            <w:color w:val="auto"/>
          </w:rPr>
        </w:r>
        <w:r w:rsidR="00286D73" w:rsidRPr="00C95274">
          <w:rPr>
            <w:webHidden/>
            <w:color w:val="auto"/>
          </w:rPr>
          <w:fldChar w:fldCharType="separate"/>
        </w:r>
        <w:r w:rsidR="00E15678">
          <w:rPr>
            <w:webHidden/>
            <w:color w:val="auto"/>
          </w:rPr>
          <w:t>131</w:t>
        </w:r>
        <w:r w:rsidR="00286D73" w:rsidRPr="00C95274">
          <w:rPr>
            <w:webHidden/>
            <w:color w:val="auto"/>
          </w:rPr>
          <w:fldChar w:fldCharType="end"/>
        </w:r>
      </w:hyperlink>
    </w:p>
    <w:p w14:paraId="2226C23F" w14:textId="7A9CEA01" w:rsidR="00286D73" w:rsidRPr="00C95274" w:rsidRDefault="0002021E" w:rsidP="00286D73">
      <w:pPr>
        <w:pStyle w:val="af8"/>
        <w:rPr>
          <w:rFonts w:eastAsiaTheme="minorEastAsia"/>
          <w:color w:val="auto"/>
        </w:rPr>
      </w:pPr>
      <w:hyperlink w:anchor="_Toc214474047" w:history="1">
        <w:r w:rsidR="00286D73" w:rsidRPr="00C95274">
          <w:rPr>
            <w:rStyle w:val="-"/>
            <w:color w:val="auto"/>
            <w:u w:val="none"/>
          </w:rPr>
          <w:t>Πίνακας 3.9.:</w:t>
        </w:r>
        <w:r w:rsidR="00286D73" w:rsidRPr="00C95274">
          <w:rPr>
            <w:rStyle w:val="-"/>
            <w:color w:val="auto"/>
            <w:u w:val="none"/>
          </w:rPr>
          <w:tab/>
          <w:t>Πιστώσεις υπό κατανομή κρατικού προϋπολογισμού έτους 2026</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_Toc214474047 \h </w:instrText>
        </w:r>
        <w:r w:rsidR="00286D73" w:rsidRPr="00C95274">
          <w:rPr>
            <w:webHidden/>
            <w:color w:val="auto"/>
          </w:rPr>
        </w:r>
        <w:r w:rsidR="00286D73" w:rsidRPr="00C95274">
          <w:rPr>
            <w:webHidden/>
            <w:color w:val="auto"/>
          </w:rPr>
          <w:fldChar w:fldCharType="separate"/>
        </w:r>
        <w:r w:rsidR="00E15678">
          <w:rPr>
            <w:webHidden/>
            <w:color w:val="auto"/>
          </w:rPr>
          <w:t>132</w:t>
        </w:r>
        <w:r w:rsidR="00286D73" w:rsidRPr="00C95274">
          <w:rPr>
            <w:webHidden/>
            <w:color w:val="auto"/>
          </w:rPr>
          <w:fldChar w:fldCharType="end"/>
        </w:r>
      </w:hyperlink>
    </w:p>
    <w:p w14:paraId="43F6C0FB" w14:textId="1459C8BF" w:rsidR="00286D73" w:rsidRPr="00C95274" w:rsidRDefault="0002021E" w:rsidP="00286D73">
      <w:pPr>
        <w:pStyle w:val="af8"/>
        <w:rPr>
          <w:rFonts w:eastAsiaTheme="minorEastAsia"/>
          <w:color w:val="auto"/>
        </w:rPr>
      </w:pPr>
      <w:hyperlink w:anchor="_Toc214474048" w:history="1">
        <w:r w:rsidR="00286D73" w:rsidRPr="00C95274">
          <w:rPr>
            <w:rStyle w:val="-"/>
            <w:color w:val="auto"/>
            <w:u w:val="none"/>
          </w:rPr>
          <w:t>Πίνακας 3.10.:</w:t>
        </w:r>
        <w:r w:rsidR="00286D73" w:rsidRPr="00C95274">
          <w:rPr>
            <w:rStyle w:val="-"/>
            <w:color w:val="auto"/>
            <w:u w:val="none"/>
          </w:rPr>
          <w:tab/>
          <w:t>Μείζονες κατηγορίες δαπανών προϋπολογισμού δημοσίων επενδύσεων</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_Toc214474048 \h </w:instrText>
        </w:r>
        <w:r w:rsidR="00286D73" w:rsidRPr="00C95274">
          <w:rPr>
            <w:webHidden/>
            <w:color w:val="auto"/>
          </w:rPr>
        </w:r>
        <w:r w:rsidR="00286D73" w:rsidRPr="00C95274">
          <w:rPr>
            <w:webHidden/>
            <w:color w:val="auto"/>
          </w:rPr>
          <w:fldChar w:fldCharType="separate"/>
        </w:r>
        <w:r w:rsidR="00E15678">
          <w:rPr>
            <w:webHidden/>
            <w:color w:val="auto"/>
          </w:rPr>
          <w:t>132</w:t>
        </w:r>
        <w:r w:rsidR="00286D73" w:rsidRPr="00C95274">
          <w:rPr>
            <w:webHidden/>
            <w:color w:val="auto"/>
          </w:rPr>
          <w:fldChar w:fldCharType="end"/>
        </w:r>
      </w:hyperlink>
    </w:p>
    <w:p w14:paraId="6C562BB5" w14:textId="19AD5D7D" w:rsidR="00286D73" w:rsidRPr="00C95274" w:rsidRDefault="0002021E" w:rsidP="00286D73">
      <w:pPr>
        <w:pStyle w:val="af8"/>
        <w:rPr>
          <w:rStyle w:val="-"/>
          <w:color w:val="auto"/>
          <w:u w:val="none"/>
        </w:rPr>
      </w:pPr>
      <w:hyperlink w:anchor="_Toc214474049" w:history="1">
        <w:r w:rsidR="00286D73" w:rsidRPr="00C95274">
          <w:rPr>
            <w:rStyle w:val="-"/>
            <w:color w:val="auto"/>
            <w:u w:val="none"/>
          </w:rPr>
          <w:t>Πίνακας 3.11.:</w:t>
        </w:r>
        <w:r w:rsidR="00286D73" w:rsidRPr="00C95274">
          <w:rPr>
            <w:rStyle w:val="-"/>
            <w:color w:val="auto"/>
            <w:u w:val="none"/>
          </w:rPr>
          <w:tab/>
          <w:t>Ανώτατα όρια δαπανών φορέων Κεντρικής Διοίκησης κρατικού</w:t>
        </w:r>
        <w:r w:rsidR="00CB77D7" w:rsidRPr="00C95274">
          <w:rPr>
            <w:rStyle w:val="-"/>
            <w:color w:val="auto"/>
            <w:u w:val="none"/>
          </w:rPr>
          <w:t xml:space="preserve"> </w:t>
        </w:r>
        <w:r w:rsidR="00286D73" w:rsidRPr="00C95274">
          <w:rPr>
            <w:rStyle w:val="-"/>
            <w:color w:val="auto"/>
            <w:u w:val="none"/>
          </w:rPr>
          <w:t>προϋπολογισμού</w:t>
        </w:r>
        <w:r w:rsidR="00CB77D7" w:rsidRPr="00C95274">
          <w:rPr>
            <w:rStyle w:val="-"/>
            <w:color w:val="auto"/>
            <w:u w:val="none"/>
          </w:rPr>
          <w:br/>
        </w:r>
        <w:r w:rsidR="00CB77D7" w:rsidRPr="00C95274">
          <w:rPr>
            <w:rStyle w:val="-"/>
            <w:color w:val="auto"/>
            <w:u w:val="none"/>
          </w:rPr>
          <w:tab/>
          <w:t>σε ταμειακή και δεδουλευμένη βάση σύμφωνα με τη μεθοδολογία ESA</w:t>
        </w:r>
        <w:r w:rsidR="00CB77D7" w:rsidRPr="00C95274">
          <w:rPr>
            <w:rStyle w:val="-"/>
            <w:color w:val="auto"/>
            <w:u w:val="none"/>
          </w:rPr>
          <w:br/>
        </w:r>
        <w:r w:rsidR="00CB77D7" w:rsidRPr="00C95274">
          <w:rPr>
            <w:rStyle w:val="-"/>
            <w:color w:val="auto"/>
            <w:u w:val="none"/>
          </w:rPr>
          <w:tab/>
          <w:t>για τα έτη 2025 και 2026</w:t>
        </w:r>
        <w:r w:rsidR="00286D73" w:rsidRPr="00C95274">
          <w:rPr>
            <w:rStyle w:val="-"/>
            <w:webHidden/>
            <w:color w:val="auto"/>
            <w:u w:val="none"/>
          </w:rPr>
          <w:tab/>
        </w:r>
        <w:r w:rsidR="00286D73" w:rsidRPr="00C95274">
          <w:rPr>
            <w:rStyle w:val="-"/>
            <w:webHidden/>
            <w:color w:val="auto"/>
            <w:u w:val="none"/>
          </w:rPr>
          <w:fldChar w:fldCharType="begin"/>
        </w:r>
        <w:r w:rsidR="00286D73" w:rsidRPr="00C95274">
          <w:rPr>
            <w:rStyle w:val="-"/>
            <w:webHidden/>
            <w:color w:val="auto"/>
            <w:u w:val="none"/>
          </w:rPr>
          <w:instrText xml:space="preserve"> PAGEREF _Toc214474049 \h </w:instrText>
        </w:r>
        <w:r w:rsidR="00286D73" w:rsidRPr="00C95274">
          <w:rPr>
            <w:rStyle w:val="-"/>
            <w:webHidden/>
            <w:color w:val="auto"/>
            <w:u w:val="none"/>
          </w:rPr>
        </w:r>
        <w:r w:rsidR="00286D73" w:rsidRPr="00C95274">
          <w:rPr>
            <w:rStyle w:val="-"/>
            <w:webHidden/>
            <w:color w:val="auto"/>
            <w:u w:val="none"/>
          </w:rPr>
          <w:fldChar w:fldCharType="separate"/>
        </w:r>
        <w:r w:rsidR="00E15678">
          <w:rPr>
            <w:rStyle w:val="-"/>
            <w:webHidden/>
            <w:color w:val="auto"/>
            <w:u w:val="none"/>
          </w:rPr>
          <w:t>134</w:t>
        </w:r>
        <w:r w:rsidR="00286D73" w:rsidRPr="00C95274">
          <w:rPr>
            <w:rStyle w:val="-"/>
            <w:webHidden/>
            <w:color w:val="auto"/>
            <w:u w:val="none"/>
          </w:rPr>
          <w:fldChar w:fldCharType="end"/>
        </w:r>
      </w:hyperlink>
    </w:p>
    <w:p w14:paraId="40D7A661" w14:textId="2DB42319" w:rsidR="00286D73" w:rsidRPr="00C95274" w:rsidRDefault="0002021E" w:rsidP="00286D73">
      <w:pPr>
        <w:pStyle w:val="af8"/>
        <w:rPr>
          <w:rFonts w:eastAsiaTheme="minorEastAsia"/>
          <w:color w:val="auto"/>
        </w:rPr>
      </w:pPr>
      <w:hyperlink w:anchor="_Toc214474050" w:history="1">
        <w:r w:rsidR="00286D73" w:rsidRPr="00C95274">
          <w:rPr>
            <w:rStyle w:val="-"/>
            <w:color w:val="auto"/>
            <w:u w:val="none"/>
          </w:rPr>
          <w:t>Πίνακας 3.12.:</w:t>
        </w:r>
        <w:r w:rsidR="00286D73" w:rsidRPr="00C95274">
          <w:rPr>
            <w:rStyle w:val="-"/>
            <w:color w:val="auto"/>
            <w:u w:val="none"/>
          </w:rPr>
          <w:tab/>
          <w:t>Ανώτατα όρια δαπανών Ανεξάρτητων Διοικητικών Αρχών φορέων των Υπουργείων</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_Toc214474050 \h </w:instrText>
        </w:r>
        <w:r w:rsidR="00286D73" w:rsidRPr="00C95274">
          <w:rPr>
            <w:webHidden/>
            <w:color w:val="auto"/>
          </w:rPr>
        </w:r>
        <w:r w:rsidR="00286D73" w:rsidRPr="00C95274">
          <w:rPr>
            <w:webHidden/>
            <w:color w:val="auto"/>
          </w:rPr>
          <w:fldChar w:fldCharType="separate"/>
        </w:r>
        <w:r w:rsidR="00E15678">
          <w:rPr>
            <w:webHidden/>
            <w:color w:val="auto"/>
          </w:rPr>
          <w:t>138</w:t>
        </w:r>
        <w:r w:rsidR="00286D73" w:rsidRPr="00C95274">
          <w:rPr>
            <w:webHidden/>
            <w:color w:val="auto"/>
          </w:rPr>
          <w:fldChar w:fldCharType="end"/>
        </w:r>
      </w:hyperlink>
    </w:p>
    <w:p w14:paraId="2C16B92C" w14:textId="62983337" w:rsidR="00286D73" w:rsidRPr="00C95274" w:rsidRDefault="0002021E" w:rsidP="00286D73">
      <w:pPr>
        <w:pStyle w:val="af8"/>
        <w:rPr>
          <w:rFonts w:eastAsiaTheme="minorEastAsia"/>
          <w:color w:val="auto"/>
        </w:rPr>
      </w:pPr>
      <w:hyperlink w:anchor="_Toc214474051" w:history="1">
        <w:r w:rsidR="00286D73" w:rsidRPr="00C95274">
          <w:rPr>
            <w:rStyle w:val="-"/>
            <w:color w:val="auto"/>
            <w:u w:val="none"/>
          </w:rPr>
          <w:t>Πίνακας 3.13.:</w:t>
        </w:r>
        <w:r w:rsidR="00286D73" w:rsidRPr="00C95274">
          <w:rPr>
            <w:rStyle w:val="-"/>
            <w:color w:val="auto"/>
            <w:u w:val="none"/>
          </w:rPr>
          <w:tab/>
          <w:t>Μεταβιβάσεις από τον τακτικό προϋπολογισμό του Υπουργείου Εσωτερικών</w:t>
        </w:r>
        <w:r w:rsidR="00CB77D7" w:rsidRPr="00C95274">
          <w:rPr>
            <w:rStyle w:val="-"/>
            <w:color w:val="auto"/>
            <w:u w:val="none"/>
          </w:rPr>
          <w:br/>
        </w:r>
        <w:r w:rsidR="00CB77D7" w:rsidRPr="00C95274">
          <w:rPr>
            <w:rStyle w:val="-"/>
            <w:color w:val="auto"/>
            <w:u w:val="none"/>
          </w:rPr>
          <w:tab/>
          <w:t>στους ΟΤΑ α’ και β’ βαθμού</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_Toc214474051 \h </w:instrText>
        </w:r>
        <w:r w:rsidR="00286D73" w:rsidRPr="00C95274">
          <w:rPr>
            <w:webHidden/>
            <w:color w:val="auto"/>
          </w:rPr>
        </w:r>
        <w:r w:rsidR="00286D73" w:rsidRPr="00C95274">
          <w:rPr>
            <w:webHidden/>
            <w:color w:val="auto"/>
          </w:rPr>
          <w:fldChar w:fldCharType="separate"/>
        </w:r>
        <w:r w:rsidR="00E15678">
          <w:rPr>
            <w:webHidden/>
            <w:color w:val="auto"/>
          </w:rPr>
          <w:t>140</w:t>
        </w:r>
        <w:r w:rsidR="00286D73" w:rsidRPr="00C95274">
          <w:rPr>
            <w:webHidden/>
            <w:color w:val="auto"/>
          </w:rPr>
          <w:fldChar w:fldCharType="end"/>
        </w:r>
      </w:hyperlink>
    </w:p>
    <w:p w14:paraId="7ECA8FF7" w14:textId="6CE170D9" w:rsidR="00286D73" w:rsidRPr="00C95274" w:rsidRDefault="0002021E" w:rsidP="00286D73">
      <w:pPr>
        <w:pStyle w:val="af8"/>
        <w:rPr>
          <w:rFonts w:eastAsiaTheme="minorEastAsia"/>
          <w:color w:val="auto"/>
        </w:rPr>
      </w:pPr>
      <w:hyperlink w:anchor="_Toc214474052" w:history="1">
        <w:r w:rsidR="00286D73" w:rsidRPr="00C95274">
          <w:rPr>
            <w:rStyle w:val="-"/>
            <w:color w:val="auto"/>
            <w:u w:val="none"/>
          </w:rPr>
          <w:t>Πίνακας 3.14.:</w:t>
        </w:r>
        <w:r w:rsidR="00286D73" w:rsidRPr="00C95274">
          <w:rPr>
            <w:rStyle w:val="-"/>
            <w:color w:val="auto"/>
            <w:u w:val="none"/>
          </w:rPr>
          <w:tab/>
          <w:t>Διαχρονική εξέλιξη δαπανών προϋπολογισμού δημοσίων επενδύσεων 2015 - 2026</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_Toc214474052 \h </w:instrText>
        </w:r>
        <w:r w:rsidR="00286D73" w:rsidRPr="00C95274">
          <w:rPr>
            <w:webHidden/>
            <w:color w:val="auto"/>
          </w:rPr>
        </w:r>
        <w:r w:rsidR="00286D73" w:rsidRPr="00C95274">
          <w:rPr>
            <w:webHidden/>
            <w:color w:val="auto"/>
          </w:rPr>
          <w:fldChar w:fldCharType="separate"/>
        </w:r>
        <w:r w:rsidR="00E15678">
          <w:rPr>
            <w:webHidden/>
            <w:color w:val="auto"/>
          </w:rPr>
          <w:t>155</w:t>
        </w:r>
        <w:r w:rsidR="00286D73" w:rsidRPr="00C95274">
          <w:rPr>
            <w:webHidden/>
            <w:color w:val="auto"/>
          </w:rPr>
          <w:fldChar w:fldCharType="end"/>
        </w:r>
      </w:hyperlink>
    </w:p>
    <w:p w14:paraId="3C0205C5" w14:textId="368848BA" w:rsidR="00286D73" w:rsidRPr="00C95274" w:rsidRDefault="0002021E" w:rsidP="00286D73">
      <w:pPr>
        <w:pStyle w:val="af8"/>
        <w:rPr>
          <w:rFonts w:eastAsiaTheme="minorEastAsia"/>
          <w:color w:val="auto"/>
        </w:rPr>
      </w:pPr>
      <w:hyperlink w:anchor="_Toc214474053" w:history="1">
        <w:r w:rsidR="00286D73" w:rsidRPr="00C95274">
          <w:rPr>
            <w:rStyle w:val="-"/>
            <w:color w:val="auto"/>
            <w:u w:val="none"/>
          </w:rPr>
          <w:t>Πίνακας 3.15.:</w:t>
        </w:r>
        <w:r w:rsidR="00286D73" w:rsidRPr="00C95274">
          <w:rPr>
            <w:rStyle w:val="-"/>
            <w:color w:val="auto"/>
            <w:u w:val="none"/>
          </w:rPr>
          <w:tab/>
          <w:t>Πρόβλεψη δαπανών για την αποκατάσταση φυσικών καταστροφών</w:t>
        </w:r>
        <w:r w:rsidR="00043AF8" w:rsidRPr="00C95274">
          <w:rPr>
            <w:rStyle w:val="-"/>
            <w:color w:val="auto"/>
            <w:u w:val="none"/>
          </w:rPr>
          <w:t xml:space="preserve"> και για κρατική αρωγή</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_Toc214474053 \h </w:instrText>
        </w:r>
        <w:r w:rsidR="00286D73" w:rsidRPr="00C95274">
          <w:rPr>
            <w:webHidden/>
            <w:color w:val="auto"/>
          </w:rPr>
        </w:r>
        <w:r w:rsidR="00286D73" w:rsidRPr="00C95274">
          <w:rPr>
            <w:webHidden/>
            <w:color w:val="auto"/>
          </w:rPr>
          <w:fldChar w:fldCharType="separate"/>
        </w:r>
        <w:r w:rsidR="00E15678">
          <w:rPr>
            <w:webHidden/>
            <w:color w:val="auto"/>
          </w:rPr>
          <w:t>161</w:t>
        </w:r>
        <w:r w:rsidR="00286D73" w:rsidRPr="00C95274">
          <w:rPr>
            <w:webHidden/>
            <w:color w:val="auto"/>
          </w:rPr>
          <w:fldChar w:fldCharType="end"/>
        </w:r>
      </w:hyperlink>
    </w:p>
    <w:p w14:paraId="34A426F7" w14:textId="2AA029A7" w:rsidR="00286D73" w:rsidRPr="00C95274" w:rsidRDefault="0002021E" w:rsidP="00286D73">
      <w:pPr>
        <w:pStyle w:val="af8"/>
        <w:rPr>
          <w:rFonts w:eastAsiaTheme="minorEastAsia"/>
          <w:color w:val="auto"/>
        </w:rPr>
      </w:pPr>
      <w:hyperlink w:anchor="_Toc214474054" w:history="1">
        <w:r w:rsidR="00286D73" w:rsidRPr="00C95274">
          <w:rPr>
            <w:rStyle w:val="-"/>
            <w:color w:val="auto"/>
            <w:u w:val="none"/>
          </w:rPr>
          <w:t>Πίνακας 3.16.:</w:t>
        </w:r>
        <w:r w:rsidR="00286D73" w:rsidRPr="00C95274">
          <w:rPr>
            <w:rStyle w:val="-"/>
            <w:color w:val="auto"/>
            <w:u w:val="none"/>
          </w:rPr>
          <w:tab/>
          <w:t>Χρηματοροές Ελλάδας και ΕΕ 2024 - 2026</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_Toc214474054 \h </w:instrText>
        </w:r>
        <w:r w:rsidR="00286D73" w:rsidRPr="00C95274">
          <w:rPr>
            <w:webHidden/>
            <w:color w:val="auto"/>
          </w:rPr>
        </w:r>
        <w:r w:rsidR="00286D73" w:rsidRPr="00C95274">
          <w:rPr>
            <w:webHidden/>
            <w:color w:val="auto"/>
          </w:rPr>
          <w:fldChar w:fldCharType="separate"/>
        </w:r>
        <w:r w:rsidR="00E15678">
          <w:rPr>
            <w:webHidden/>
            <w:color w:val="auto"/>
          </w:rPr>
          <w:t>162</w:t>
        </w:r>
        <w:r w:rsidR="00286D73" w:rsidRPr="00C95274">
          <w:rPr>
            <w:webHidden/>
            <w:color w:val="auto"/>
          </w:rPr>
          <w:fldChar w:fldCharType="end"/>
        </w:r>
      </w:hyperlink>
    </w:p>
    <w:p w14:paraId="1877A7C0" w14:textId="64477C79" w:rsidR="00286D73" w:rsidRPr="00C95274" w:rsidRDefault="0002021E" w:rsidP="00286D73">
      <w:pPr>
        <w:pStyle w:val="af8"/>
        <w:rPr>
          <w:rFonts w:eastAsiaTheme="minorEastAsia"/>
          <w:color w:val="auto"/>
        </w:rPr>
      </w:pPr>
      <w:hyperlink w:anchor="_Toc214474055" w:history="1">
        <w:r w:rsidR="00286D73" w:rsidRPr="00C95274">
          <w:rPr>
            <w:rStyle w:val="-"/>
            <w:color w:val="auto"/>
            <w:u w:val="none"/>
          </w:rPr>
          <w:t>Πίνακας 3.17.:</w:t>
        </w:r>
        <w:r w:rsidR="00286D73" w:rsidRPr="00C95274">
          <w:rPr>
            <w:rStyle w:val="-"/>
            <w:color w:val="auto"/>
            <w:u w:val="none"/>
          </w:rPr>
          <w:tab/>
          <w:t>Μεγέθη συνοπτικών προϋπολογισμών και δημοσιονομικό αποτέλεσμα</w:t>
        </w:r>
        <w:r w:rsidR="004A7DBD" w:rsidRPr="00C95274">
          <w:rPr>
            <w:rStyle w:val="-"/>
            <w:color w:val="auto"/>
            <w:u w:val="none"/>
          </w:rPr>
          <w:br/>
        </w:r>
        <w:r w:rsidR="004A7DBD" w:rsidRPr="00C95274">
          <w:rPr>
            <w:rStyle w:val="-"/>
            <w:color w:val="auto"/>
            <w:u w:val="none"/>
          </w:rPr>
          <w:tab/>
          <w:t>Ανεξάρτητων Διοικητικών Αρχών</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_Toc214474055 \h </w:instrText>
        </w:r>
        <w:r w:rsidR="00286D73" w:rsidRPr="00C95274">
          <w:rPr>
            <w:webHidden/>
            <w:color w:val="auto"/>
          </w:rPr>
        </w:r>
        <w:r w:rsidR="00286D73" w:rsidRPr="00C95274">
          <w:rPr>
            <w:webHidden/>
            <w:color w:val="auto"/>
          </w:rPr>
          <w:fldChar w:fldCharType="separate"/>
        </w:r>
        <w:r w:rsidR="00E15678">
          <w:rPr>
            <w:webHidden/>
            <w:color w:val="auto"/>
          </w:rPr>
          <w:t>165</w:t>
        </w:r>
        <w:r w:rsidR="00286D73" w:rsidRPr="00C95274">
          <w:rPr>
            <w:webHidden/>
            <w:color w:val="auto"/>
          </w:rPr>
          <w:fldChar w:fldCharType="end"/>
        </w:r>
      </w:hyperlink>
    </w:p>
    <w:p w14:paraId="416B384F" w14:textId="19FE195F" w:rsidR="00286D73" w:rsidRPr="00C95274" w:rsidRDefault="0002021E" w:rsidP="00286D73">
      <w:pPr>
        <w:pStyle w:val="af8"/>
        <w:rPr>
          <w:rFonts w:eastAsiaTheme="minorEastAsia"/>
          <w:color w:val="auto"/>
        </w:rPr>
      </w:pPr>
      <w:hyperlink w:anchor="_Toc214474056" w:history="1">
        <w:r w:rsidR="00286D73" w:rsidRPr="00C95274">
          <w:rPr>
            <w:rStyle w:val="-"/>
            <w:color w:val="auto"/>
            <w:u w:val="none"/>
          </w:rPr>
          <w:t>Πίνακας 3.18.:</w:t>
        </w:r>
        <w:r w:rsidR="00286D73" w:rsidRPr="00C95274">
          <w:rPr>
            <w:rStyle w:val="-"/>
            <w:color w:val="auto"/>
            <w:u w:val="none"/>
          </w:rPr>
          <w:tab/>
          <w:t>Προϋπολογισμός ΑΚΑΓΕ</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_Toc214474056 \h </w:instrText>
        </w:r>
        <w:r w:rsidR="00286D73" w:rsidRPr="00C95274">
          <w:rPr>
            <w:webHidden/>
            <w:color w:val="auto"/>
          </w:rPr>
        </w:r>
        <w:r w:rsidR="00286D73" w:rsidRPr="00C95274">
          <w:rPr>
            <w:webHidden/>
            <w:color w:val="auto"/>
          </w:rPr>
          <w:fldChar w:fldCharType="separate"/>
        </w:r>
        <w:r w:rsidR="00E15678">
          <w:rPr>
            <w:webHidden/>
            <w:color w:val="auto"/>
          </w:rPr>
          <w:t>168</w:t>
        </w:r>
        <w:r w:rsidR="00286D73" w:rsidRPr="00C95274">
          <w:rPr>
            <w:webHidden/>
            <w:color w:val="auto"/>
          </w:rPr>
          <w:fldChar w:fldCharType="end"/>
        </w:r>
      </w:hyperlink>
    </w:p>
    <w:p w14:paraId="495BF415" w14:textId="1F012654" w:rsidR="00286D73" w:rsidRPr="00C95274" w:rsidRDefault="0002021E" w:rsidP="00286D73">
      <w:pPr>
        <w:pStyle w:val="af8"/>
        <w:rPr>
          <w:rFonts w:eastAsiaTheme="minorEastAsia"/>
          <w:color w:val="auto"/>
        </w:rPr>
      </w:pPr>
      <w:hyperlink w:anchor="_Toc214474057" w:history="1">
        <w:r w:rsidR="00286D73" w:rsidRPr="00C95274">
          <w:rPr>
            <w:rStyle w:val="-"/>
            <w:color w:val="auto"/>
            <w:u w:val="none"/>
          </w:rPr>
          <w:t>Πίνακας 3.19.:</w:t>
        </w:r>
        <w:r w:rsidR="00286D73" w:rsidRPr="00C95274">
          <w:rPr>
            <w:rStyle w:val="-"/>
            <w:color w:val="auto"/>
            <w:u w:val="none"/>
          </w:rPr>
          <w:tab/>
          <w:t xml:space="preserve">Μεγέθη συνοπτικών προϋπολογισμών και ισοζύγιο λοιπών νομικών προσώπων Κεντρικής </w:t>
        </w:r>
        <w:r w:rsidR="00043AF8" w:rsidRPr="00C95274">
          <w:rPr>
            <w:rStyle w:val="-"/>
            <w:color w:val="auto"/>
            <w:u w:val="none"/>
          </w:rPr>
          <w:tab/>
        </w:r>
        <w:r w:rsidR="00286D73" w:rsidRPr="00C95274">
          <w:rPr>
            <w:rStyle w:val="-"/>
            <w:color w:val="auto"/>
            <w:u w:val="none"/>
          </w:rPr>
          <w:t>Κυβέρνησης (εκτός ΑΔΑ και ΑΚΑΓΕ) ανά Υπουργείο</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_Toc214474057 \h </w:instrText>
        </w:r>
        <w:r w:rsidR="00286D73" w:rsidRPr="00C95274">
          <w:rPr>
            <w:webHidden/>
            <w:color w:val="auto"/>
          </w:rPr>
        </w:r>
        <w:r w:rsidR="00286D73" w:rsidRPr="00C95274">
          <w:rPr>
            <w:webHidden/>
            <w:color w:val="auto"/>
          </w:rPr>
          <w:fldChar w:fldCharType="separate"/>
        </w:r>
        <w:r w:rsidR="00E15678">
          <w:rPr>
            <w:webHidden/>
            <w:color w:val="auto"/>
          </w:rPr>
          <w:t>168</w:t>
        </w:r>
        <w:r w:rsidR="00286D73" w:rsidRPr="00C95274">
          <w:rPr>
            <w:webHidden/>
            <w:color w:val="auto"/>
          </w:rPr>
          <w:fldChar w:fldCharType="end"/>
        </w:r>
      </w:hyperlink>
    </w:p>
    <w:p w14:paraId="67AFAB1C" w14:textId="4351ED39" w:rsidR="00286D73" w:rsidRPr="00C95274" w:rsidRDefault="0002021E" w:rsidP="00286D73">
      <w:pPr>
        <w:pStyle w:val="af8"/>
        <w:rPr>
          <w:rFonts w:eastAsiaTheme="minorEastAsia"/>
          <w:color w:val="auto"/>
        </w:rPr>
      </w:pPr>
      <w:hyperlink w:anchor="_Toc214474058" w:history="1">
        <w:r w:rsidR="00286D73" w:rsidRPr="00C95274">
          <w:rPr>
            <w:rStyle w:val="-"/>
            <w:color w:val="auto"/>
            <w:u w:val="none"/>
          </w:rPr>
          <w:t>Πίνακας 3.20.:</w:t>
        </w:r>
        <w:r w:rsidR="00286D73" w:rsidRPr="00C95274">
          <w:rPr>
            <w:rStyle w:val="-"/>
            <w:color w:val="auto"/>
            <w:u w:val="none"/>
          </w:rPr>
          <w:tab/>
          <w:t>Προϋπολογισμοί Νοσοκομείων και ΠΦΥ σε δεδουλευμένη βάση</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_Toc214474058 \h </w:instrText>
        </w:r>
        <w:r w:rsidR="00286D73" w:rsidRPr="00C95274">
          <w:rPr>
            <w:webHidden/>
            <w:color w:val="auto"/>
          </w:rPr>
        </w:r>
        <w:r w:rsidR="00286D73" w:rsidRPr="00C95274">
          <w:rPr>
            <w:webHidden/>
            <w:color w:val="auto"/>
          </w:rPr>
          <w:fldChar w:fldCharType="separate"/>
        </w:r>
        <w:r w:rsidR="00E15678">
          <w:rPr>
            <w:webHidden/>
            <w:color w:val="auto"/>
          </w:rPr>
          <w:t>175</w:t>
        </w:r>
        <w:r w:rsidR="00286D73" w:rsidRPr="00C95274">
          <w:rPr>
            <w:webHidden/>
            <w:color w:val="auto"/>
          </w:rPr>
          <w:fldChar w:fldCharType="end"/>
        </w:r>
      </w:hyperlink>
    </w:p>
    <w:p w14:paraId="59443713" w14:textId="4B0DBE62" w:rsidR="00286D73" w:rsidRPr="00C95274" w:rsidRDefault="0002021E" w:rsidP="00286D73">
      <w:pPr>
        <w:pStyle w:val="af8"/>
        <w:rPr>
          <w:rFonts w:eastAsiaTheme="minorEastAsia"/>
          <w:color w:val="auto"/>
        </w:rPr>
      </w:pPr>
      <w:hyperlink w:anchor="_Toc214474059" w:history="1">
        <w:r w:rsidR="00286D73" w:rsidRPr="00C95274">
          <w:rPr>
            <w:rStyle w:val="-"/>
            <w:color w:val="auto"/>
            <w:u w:val="none"/>
          </w:rPr>
          <w:t>Πίνακας 3.21.:</w:t>
        </w:r>
        <w:r w:rsidR="00286D73" w:rsidRPr="00C95274">
          <w:rPr>
            <w:rStyle w:val="-"/>
            <w:color w:val="auto"/>
            <w:u w:val="none"/>
          </w:rPr>
          <w:tab/>
          <w:t>Όριο φαρμακευτικής δαπάνης ΕΟΠΥΥ και νοσοκομειακής φαρμακευτικής δαπάνης</w:t>
        </w:r>
        <w:r w:rsidR="009344B7" w:rsidRPr="00C95274">
          <w:rPr>
            <w:rStyle w:val="-"/>
            <w:color w:val="auto"/>
            <w:u w:val="none"/>
          </w:rPr>
          <w:br/>
        </w:r>
        <w:r w:rsidR="009344B7" w:rsidRPr="00C95274">
          <w:rPr>
            <w:rStyle w:val="-"/>
            <w:color w:val="auto"/>
            <w:u w:val="none"/>
          </w:rPr>
          <w:tab/>
          <w:t>των Νοσοκομείων του ΕΣΥ και του ΓΝΘ Παπαγεωργίου</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_Toc214474059 \h </w:instrText>
        </w:r>
        <w:r w:rsidR="00286D73" w:rsidRPr="00C95274">
          <w:rPr>
            <w:webHidden/>
            <w:color w:val="auto"/>
          </w:rPr>
        </w:r>
        <w:r w:rsidR="00286D73" w:rsidRPr="00C95274">
          <w:rPr>
            <w:webHidden/>
            <w:color w:val="auto"/>
          </w:rPr>
          <w:fldChar w:fldCharType="separate"/>
        </w:r>
        <w:r w:rsidR="00E15678">
          <w:rPr>
            <w:webHidden/>
            <w:color w:val="auto"/>
          </w:rPr>
          <w:t>175</w:t>
        </w:r>
        <w:r w:rsidR="00286D73" w:rsidRPr="00C95274">
          <w:rPr>
            <w:webHidden/>
            <w:color w:val="auto"/>
          </w:rPr>
          <w:fldChar w:fldCharType="end"/>
        </w:r>
      </w:hyperlink>
    </w:p>
    <w:p w14:paraId="2901AEF1" w14:textId="5E2323A1" w:rsidR="00286D73" w:rsidRPr="00C95274" w:rsidRDefault="0002021E" w:rsidP="00286D73">
      <w:pPr>
        <w:pStyle w:val="af8"/>
        <w:rPr>
          <w:rFonts w:eastAsiaTheme="minorEastAsia"/>
          <w:color w:val="auto"/>
        </w:rPr>
      </w:pPr>
      <w:hyperlink w:anchor="_Toc214474060" w:history="1">
        <w:r w:rsidR="00286D73" w:rsidRPr="00C95274">
          <w:rPr>
            <w:rStyle w:val="-"/>
            <w:color w:val="auto"/>
            <w:u w:val="none"/>
          </w:rPr>
          <w:t>Πίνακας 3.22.:</w:t>
        </w:r>
        <w:r w:rsidR="00286D73" w:rsidRPr="00C95274">
          <w:rPr>
            <w:rStyle w:val="-"/>
            <w:color w:val="auto"/>
            <w:u w:val="none"/>
          </w:rPr>
          <w:tab/>
          <w:t>Προϋπολογισμοί Οργανισμών Κοινωνικής Ασφάλισης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_Toc214474060 \h </w:instrText>
        </w:r>
        <w:r w:rsidR="00286D73" w:rsidRPr="00C95274">
          <w:rPr>
            <w:webHidden/>
            <w:color w:val="auto"/>
          </w:rPr>
        </w:r>
        <w:r w:rsidR="00286D73" w:rsidRPr="00C95274">
          <w:rPr>
            <w:webHidden/>
            <w:color w:val="auto"/>
          </w:rPr>
          <w:fldChar w:fldCharType="separate"/>
        </w:r>
        <w:r w:rsidR="00E15678">
          <w:rPr>
            <w:webHidden/>
            <w:color w:val="auto"/>
          </w:rPr>
          <w:t>179</w:t>
        </w:r>
        <w:r w:rsidR="00286D73" w:rsidRPr="00C95274">
          <w:rPr>
            <w:webHidden/>
            <w:color w:val="auto"/>
          </w:rPr>
          <w:fldChar w:fldCharType="end"/>
        </w:r>
      </w:hyperlink>
    </w:p>
    <w:p w14:paraId="40A121A0" w14:textId="6D39C7DD" w:rsidR="00286D73" w:rsidRPr="00C95274" w:rsidRDefault="0002021E" w:rsidP="00286D73">
      <w:pPr>
        <w:pStyle w:val="af8"/>
        <w:rPr>
          <w:rFonts w:eastAsiaTheme="minorEastAsia"/>
          <w:color w:val="auto"/>
        </w:rPr>
      </w:pPr>
      <w:hyperlink w:anchor="_Toc214474061" w:history="1">
        <w:r w:rsidR="00286D73" w:rsidRPr="00C95274">
          <w:rPr>
            <w:rStyle w:val="-"/>
            <w:color w:val="auto"/>
            <w:u w:val="none"/>
          </w:rPr>
          <w:t>Πίνακας 3.23.:</w:t>
        </w:r>
        <w:r w:rsidR="00286D73" w:rsidRPr="00C95274">
          <w:rPr>
            <w:rStyle w:val="-"/>
            <w:color w:val="auto"/>
            <w:u w:val="none"/>
          </w:rPr>
          <w:tab/>
          <w:t>Ενοποιημένος προϋπολογισμός ΟΤΑ</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_Toc214474061 \h </w:instrText>
        </w:r>
        <w:r w:rsidR="00286D73" w:rsidRPr="00C95274">
          <w:rPr>
            <w:webHidden/>
            <w:color w:val="auto"/>
          </w:rPr>
        </w:r>
        <w:r w:rsidR="00286D73" w:rsidRPr="00C95274">
          <w:rPr>
            <w:webHidden/>
            <w:color w:val="auto"/>
          </w:rPr>
          <w:fldChar w:fldCharType="separate"/>
        </w:r>
        <w:r w:rsidR="00E15678">
          <w:rPr>
            <w:webHidden/>
            <w:color w:val="auto"/>
          </w:rPr>
          <w:t>181</w:t>
        </w:r>
        <w:r w:rsidR="00286D73" w:rsidRPr="00C95274">
          <w:rPr>
            <w:webHidden/>
            <w:color w:val="auto"/>
          </w:rPr>
          <w:fldChar w:fldCharType="end"/>
        </w:r>
      </w:hyperlink>
    </w:p>
    <w:p w14:paraId="0093DB4F" w14:textId="362C9720" w:rsidR="00286D73" w:rsidRPr="00C95274" w:rsidRDefault="0002021E" w:rsidP="00286D73">
      <w:pPr>
        <w:pStyle w:val="af8"/>
        <w:rPr>
          <w:rFonts w:eastAsiaTheme="minorEastAsia"/>
          <w:color w:val="auto"/>
        </w:rPr>
      </w:pPr>
      <w:hyperlink w:anchor="_Toc214474062" w:history="1">
        <w:r w:rsidR="00286D73" w:rsidRPr="00C95274">
          <w:rPr>
            <w:rStyle w:val="-"/>
            <w:color w:val="auto"/>
            <w:u w:val="none"/>
          </w:rPr>
          <w:t>Πίνακας 3.24.:</w:t>
        </w:r>
        <w:r w:rsidR="00286D73" w:rsidRPr="00C95274">
          <w:rPr>
            <w:rStyle w:val="-"/>
            <w:color w:val="auto"/>
            <w:u w:val="none"/>
          </w:rPr>
          <w:tab/>
          <w:t>Μεταβιβάσεις από τον τακτικό προϋπολογισμό στους ΟΤΑ α’ και β’ βαθμού</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_Toc214474062 \h </w:instrText>
        </w:r>
        <w:r w:rsidR="00286D73" w:rsidRPr="00C95274">
          <w:rPr>
            <w:webHidden/>
            <w:color w:val="auto"/>
          </w:rPr>
        </w:r>
        <w:r w:rsidR="00286D73" w:rsidRPr="00C95274">
          <w:rPr>
            <w:webHidden/>
            <w:color w:val="auto"/>
          </w:rPr>
          <w:fldChar w:fldCharType="separate"/>
        </w:r>
        <w:r w:rsidR="00E15678">
          <w:rPr>
            <w:webHidden/>
            <w:color w:val="auto"/>
          </w:rPr>
          <w:t>182</w:t>
        </w:r>
        <w:r w:rsidR="00286D73" w:rsidRPr="00C95274">
          <w:rPr>
            <w:webHidden/>
            <w:color w:val="auto"/>
          </w:rPr>
          <w:fldChar w:fldCharType="end"/>
        </w:r>
      </w:hyperlink>
    </w:p>
    <w:p w14:paraId="4351138E" w14:textId="2D88BB23" w:rsidR="00286D73" w:rsidRPr="00C95274" w:rsidRDefault="0002021E" w:rsidP="00286D73">
      <w:pPr>
        <w:pStyle w:val="af8"/>
        <w:rPr>
          <w:rFonts w:eastAsiaTheme="minorEastAsia"/>
          <w:color w:val="auto"/>
        </w:rPr>
      </w:pPr>
      <w:hyperlink w:anchor="_Toc214474063" w:history="1">
        <w:r w:rsidR="00286D73" w:rsidRPr="00C95274">
          <w:rPr>
            <w:rStyle w:val="-"/>
            <w:color w:val="auto"/>
            <w:u w:val="none"/>
          </w:rPr>
          <w:t>Πίνακας 3.25.:</w:t>
        </w:r>
        <w:r w:rsidR="00286D73" w:rsidRPr="00C95274">
          <w:rPr>
            <w:rStyle w:val="-"/>
            <w:color w:val="auto"/>
            <w:u w:val="none"/>
          </w:rPr>
          <w:tab/>
          <w:t>Εξέλιξη ληξιπρόθεσμων υποχρεώσεων της Γενικής Κυβέρνησης</w:t>
        </w:r>
        <w:r w:rsidR="00C047CD" w:rsidRPr="00C95274">
          <w:rPr>
            <w:rStyle w:val="-"/>
            <w:color w:val="auto"/>
            <w:u w:val="none"/>
          </w:rPr>
          <w:br/>
        </w:r>
        <w:r w:rsidR="00C047CD" w:rsidRPr="00C95274">
          <w:rPr>
            <w:rStyle w:val="-"/>
            <w:color w:val="auto"/>
            <w:u w:val="none"/>
          </w:rPr>
          <w:tab/>
          <w:t>Δεκέμβριος 2023 - Σεπτέμβριος 2025</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_Toc214474063 \h </w:instrText>
        </w:r>
        <w:r w:rsidR="00286D73" w:rsidRPr="00C95274">
          <w:rPr>
            <w:webHidden/>
            <w:color w:val="auto"/>
          </w:rPr>
        </w:r>
        <w:r w:rsidR="00286D73" w:rsidRPr="00C95274">
          <w:rPr>
            <w:webHidden/>
            <w:color w:val="auto"/>
          </w:rPr>
          <w:fldChar w:fldCharType="separate"/>
        </w:r>
        <w:r w:rsidR="00E15678">
          <w:rPr>
            <w:webHidden/>
            <w:color w:val="auto"/>
          </w:rPr>
          <w:t>183</w:t>
        </w:r>
        <w:r w:rsidR="00286D73" w:rsidRPr="00C95274">
          <w:rPr>
            <w:webHidden/>
            <w:color w:val="auto"/>
          </w:rPr>
          <w:fldChar w:fldCharType="end"/>
        </w:r>
      </w:hyperlink>
    </w:p>
    <w:p w14:paraId="18680EB9" w14:textId="53283860" w:rsidR="00286D73" w:rsidRPr="00C95274" w:rsidRDefault="0002021E" w:rsidP="00286D73">
      <w:pPr>
        <w:pStyle w:val="af8"/>
        <w:rPr>
          <w:rFonts w:eastAsiaTheme="minorEastAsia"/>
          <w:color w:val="auto"/>
        </w:rPr>
      </w:pPr>
      <w:hyperlink w:anchor="_Toc214474064" w:history="1">
        <w:r w:rsidR="00286D73" w:rsidRPr="00C95274">
          <w:rPr>
            <w:rStyle w:val="-"/>
            <w:color w:val="auto"/>
            <w:u w:val="none"/>
          </w:rPr>
          <w:t>Πίνακας 3.26.:</w:t>
        </w:r>
        <w:r w:rsidR="00286D73" w:rsidRPr="00C95274">
          <w:rPr>
            <w:rStyle w:val="-"/>
            <w:color w:val="auto"/>
            <w:u w:val="none"/>
          </w:rPr>
          <w:tab/>
          <w:t>Εξέλιξη εκκρεμών επιστροφών φόρων Δεκέμβριος 2023 - Σεπτέμβριος 2025</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_Toc214474064 \h </w:instrText>
        </w:r>
        <w:r w:rsidR="00286D73" w:rsidRPr="00C95274">
          <w:rPr>
            <w:webHidden/>
            <w:color w:val="auto"/>
          </w:rPr>
        </w:r>
        <w:r w:rsidR="00286D73" w:rsidRPr="00C95274">
          <w:rPr>
            <w:webHidden/>
            <w:color w:val="auto"/>
          </w:rPr>
          <w:fldChar w:fldCharType="separate"/>
        </w:r>
        <w:r w:rsidR="00E15678">
          <w:rPr>
            <w:webHidden/>
            <w:color w:val="auto"/>
          </w:rPr>
          <w:t>183</w:t>
        </w:r>
        <w:r w:rsidR="00286D73" w:rsidRPr="00C95274">
          <w:rPr>
            <w:webHidden/>
            <w:color w:val="auto"/>
          </w:rPr>
          <w:fldChar w:fldCharType="end"/>
        </w:r>
      </w:hyperlink>
    </w:p>
    <w:p w14:paraId="6B098FDE" w14:textId="447EEF88" w:rsidR="00286D73" w:rsidRPr="00C95274" w:rsidRDefault="0002021E" w:rsidP="00286D73">
      <w:pPr>
        <w:pStyle w:val="af8"/>
        <w:rPr>
          <w:rFonts w:eastAsiaTheme="minorEastAsia"/>
          <w:color w:val="auto"/>
        </w:rPr>
      </w:pPr>
      <w:hyperlink w:anchor="_Toc214474065" w:history="1">
        <w:r w:rsidR="00286D73" w:rsidRPr="00C95274">
          <w:rPr>
            <w:rStyle w:val="-"/>
            <w:color w:val="auto"/>
            <w:u w:val="none"/>
          </w:rPr>
          <w:t>Πίνακας 3.27.:</w:t>
        </w:r>
        <w:r w:rsidR="00286D73" w:rsidRPr="00C95274">
          <w:rPr>
            <w:rStyle w:val="-"/>
            <w:color w:val="auto"/>
            <w:u w:val="none"/>
          </w:rPr>
          <w:tab/>
          <w:t>Κυριότερες μόνιμες δημοσιονομικές παρεμβάσεις 2025 - 2027</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_Toc214474065 \h </w:instrText>
        </w:r>
        <w:r w:rsidR="00286D73" w:rsidRPr="00C95274">
          <w:rPr>
            <w:webHidden/>
            <w:color w:val="auto"/>
          </w:rPr>
        </w:r>
        <w:r w:rsidR="00286D73" w:rsidRPr="00C95274">
          <w:rPr>
            <w:webHidden/>
            <w:color w:val="auto"/>
          </w:rPr>
          <w:fldChar w:fldCharType="separate"/>
        </w:r>
        <w:r w:rsidR="00E15678">
          <w:rPr>
            <w:webHidden/>
            <w:color w:val="auto"/>
          </w:rPr>
          <w:t>190</w:t>
        </w:r>
        <w:r w:rsidR="00286D73" w:rsidRPr="00C95274">
          <w:rPr>
            <w:webHidden/>
            <w:color w:val="auto"/>
          </w:rPr>
          <w:fldChar w:fldCharType="end"/>
        </w:r>
      </w:hyperlink>
    </w:p>
    <w:p w14:paraId="68E12E7C" w14:textId="31443860" w:rsidR="00286D73" w:rsidRPr="00C95274" w:rsidRDefault="0002021E" w:rsidP="00286D73">
      <w:pPr>
        <w:pStyle w:val="af8"/>
        <w:rPr>
          <w:rFonts w:eastAsiaTheme="minorEastAsia"/>
          <w:color w:val="auto"/>
        </w:rPr>
      </w:pPr>
      <w:hyperlink w:anchor="_Toc214474066" w:history="1">
        <w:r w:rsidR="00286D73" w:rsidRPr="00C95274">
          <w:rPr>
            <w:rStyle w:val="-"/>
            <w:color w:val="auto"/>
            <w:u w:val="none"/>
          </w:rPr>
          <w:t>Πίνακας 3.28.:</w:t>
        </w:r>
        <w:r w:rsidR="00286D73" w:rsidRPr="00C95274">
          <w:rPr>
            <w:rStyle w:val="-"/>
            <w:color w:val="auto"/>
            <w:u w:val="none"/>
          </w:rPr>
          <w:tab/>
          <w:t>Τα σενάρια για τα οποία έγινε προσομοίωση για την αναδιανεμητική ανάλυση</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_Toc214474066 \h </w:instrText>
        </w:r>
        <w:r w:rsidR="00286D73" w:rsidRPr="00C95274">
          <w:rPr>
            <w:webHidden/>
            <w:color w:val="auto"/>
          </w:rPr>
        </w:r>
        <w:r w:rsidR="00286D73" w:rsidRPr="00C95274">
          <w:rPr>
            <w:webHidden/>
            <w:color w:val="auto"/>
          </w:rPr>
          <w:fldChar w:fldCharType="separate"/>
        </w:r>
        <w:r w:rsidR="00E15678">
          <w:rPr>
            <w:webHidden/>
            <w:color w:val="auto"/>
          </w:rPr>
          <w:t>192</w:t>
        </w:r>
        <w:r w:rsidR="00286D73" w:rsidRPr="00C95274">
          <w:rPr>
            <w:webHidden/>
            <w:color w:val="auto"/>
          </w:rPr>
          <w:fldChar w:fldCharType="end"/>
        </w:r>
      </w:hyperlink>
    </w:p>
    <w:p w14:paraId="21C1282F" w14:textId="4F7EA8F3" w:rsidR="00286D73" w:rsidRPr="00C95274" w:rsidRDefault="0002021E" w:rsidP="00286D73">
      <w:pPr>
        <w:pStyle w:val="af8"/>
        <w:rPr>
          <w:rFonts w:eastAsiaTheme="minorEastAsia"/>
          <w:color w:val="auto"/>
        </w:rPr>
      </w:pPr>
      <w:hyperlink w:anchor="_Toc214474067" w:history="1">
        <w:r w:rsidR="00286D73" w:rsidRPr="00C95274">
          <w:rPr>
            <w:rStyle w:val="-"/>
            <w:color w:val="auto"/>
            <w:u w:val="none"/>
          </w:rPr>
          <w:t>Πίνακας 3.29.:</w:t>
        </w:r>
        <w:r w:rsidR="00286D73" w:rsidRPr="00C95274">
          <w:rPr>
            <w:rStyle w:val="-"/>
            <w:color w:val="auto"/>
            <w:u w:val="none"/>
          </w:rPr>
          <w:tab/>
          <w:t>Μέσο ετήσιο ισοδύναμο διαθέσιμο εισόδημα,</w:t>
        </w:r>
        <w:r w:rsidR="00926256" w:rsidRPr="00C95274">
          <w:rPr>
            <w:rStyle w:val="-"/>
            <w:color w:val="auto"/>
            <w:u w:val="none"/>
          </w:rPr>
          <w:t xml:space="preserve"> ποσοστιαίες και απόλυτες μεταβολές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_Toc214474067 \h </w:instrText>
        </w:r>
        <w:r w:rsidR="00286D73" w:rsidRPr="00C95274">
          <w:rPr>
            <w:webHidden/>
            <w:color w:val="auto"/>
          </w:rPr>
        </w:r>
        <w:r w:rsidR="00286D73" w:rsidRPr="00C95274">
          <w:rPr>
            <w:webHidden/>
            <w:color w:val="auto"/>
          </w:rPr>
          <w:fldChar w:fldCharType="separate"/>
        </w:r>
        <w:r w:rsidR="00E15678">
          <w:rPr>
            <w:webHidden/>
            <w:color w:val="auto"/>
          </w:rPr>
          <w:t>193</w:t>
        </w:r>
        <w:r w:rsidR="00286D73" w:rsidRPr="00C95274">
          <w:rPr>
            <w:webHidden/>
            <w:color w:val="auto"/>
          </w:rPr>
          <w:fldChar w:fldCharType="end"/>
        </w:r>
      </w:hyperlink>
    </w:p>
    <w:p w14:paraId="0A2F6473" w14:textId="11C51E59" w:rsidR="00286D73" w:rsidRPr="00C95274" w:rsidRDefault="0002021E" w:rsidP="00286D73">
      <w:pPr>
        <w:pStyle w:val="af8"/>
        <w:rPr>
          <w:rFonts w:eastAsiaTheme="minorEastAsia"/>
          <w:color w:val="auto"/>
        </w:rPr>
      </w:pPr>
      <w:hyperlink w:anchor="_Toc214474068" w:history="1">
        <w:r w:rsidR="00286D73" w:rsidRPr="00C95274">
          <w:rPr>
            <w:rStyle w:val="-"/>
            <w:color w:val="auto"/>
            <w:u w:val="none"/>
          </w:rPr>
          <w:t>Πίνακας 3.30.:</w:t>
        </w:r>
        <w:r w:rsidR="00286D73" w:rsidRPr="00C95274">
          <w:rPr>
            <w:rStyle w:val="-"/>
            <w:color w:val="auto"/>
            <w:u w:val="none"/>
          </w:rPr>
          <w:tab/>
          <w:t>Μέση φορολογική επιβάρυνση (%), ποσοστιαίες μεταβολές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_Toc214474068 \h </w:instrText>
        </w:r>
        <w:r w:rsidR="00286D73" w:rsidRPr="00C95274">
          <w:rPr>
            <w:webHidden/>
            <w:color w:val="auto"/>
          </w:rPr>
        </w:r>
        <w:r w:rsidR="00286D73" w:rsidRPr="00C95274">
          <w:rPr>
            <w:webHidden/>
            <w:color w:val="auto"/>
          </w:rPr>
          <w:fldChar w:fldCharType="separate"/>
        </w:r>
        <w:r w:rsidR="00E15678">
          <w:rPr>
            <w:webHidden/>
            <w:color w:val="auto"/>
          </w:rPr>
          <w:t>193</w:t>
        </w:r>
        <w:r w:rsidR="00286D73" w:rsidRPr="00C95274">
          <w:rPr>
            <w:webHidden/>
            <w:color w:val="auto"/>
          </w:rPr>
          <w:fldChar w:fldCharType="end"/>
        </w:r>
      </w:hyperlink>
    </w:p>
    <w:p w14:paraId="572D4D4B" w14:textId="2EDE9E7E" w:rsidR="00286D73" w:rsidRPr="00C95274" w:rsidRDefault="0002021E" w:rsidP="00286D73">
      <w:pPr>
        <w:pStyle w:val="af8"/>
        <w:rPr>
          <w:rFonts w:eastAsiaTheme="minorEastAsia"/>
          <w:color w:val="auto"/>
        </w:rPr>
      </w:pPr>
      <w:hyperlink w:anchor="_Toc214474069" w:history="1">
        <w:r w:rsidR="00286D73" w:rsidRPr="00C95274">
          <w:rPr>
            <w:rStyle w:val="-"/>
            <w:color w:val="auto"/>
            <w:u w:val="none"/>
          </w:rPr>
          <w:t>Πίνακας 3.31.:</w:t>
        </w:r>
        <w:r w:rsidR="00286D73" w:rsidRPr="00C95274">
          <w:rPr>
            <w:rStyle w:val="-"/>
            <w:color w:val="auto"/>
            <w:u w:val="none"/>
          </w:rPr>
          <w:tab/>
          <w:t>Δείκτες ανισότητας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_Toc214474069 \h </w:instrText>
        </w:r>
        <w:r w:rsidR="00286D73" w:rsidRPr="00C95274">
          <w:rPr>
            <w:webHidden/>
            <w:color w:val="auto"/>
          </w:rPr>
        </w:r>
        <w:r w:rsidR="00286D73" w:rsidRPr="00C95274">
          <w:rPr>
            <w:webHidden/>
            <w:color w:val="auto"/>
          </w:rPr>
          <w:fldChar w:fldCharType="separate"/>
        </w:r>
        <w:r w:rsidR="00E15678">
          <w:rPr>
            <w:webHidden/>
            <w:color w:val="auto"/>
          </w:rPr>
          <w:t>194</w:t>
        </w:r>
        <w:r w:rsidR="00286D73" w:rsidRPr="00C95274">
          <w:rPr>
            <w:webHidden/>
            <w:color w:val="auto"/>
          </w:rPr>
          <w:fldChar w:fldCharType="end"/>
        </w:r>
      </w:hyperlink>
    </w:p>
    <w:p w14:paraId="7FFB14F4" w14:textId="3231347D" w:rsidR="00286D73" w:rsidRPr="00C95274" w:rsidRDefault="0002021E" w:rsidP="00286D73">
      <w:pPr>
        <w:pStyle w:val="af8"/>
        <w:rPr>
          <w:rFonts w:eastAsiaTheme="minorEastAsia"/>
          <w:color w:val="auto"/>
        </w:rPr>
      </w:pPr>
      <w:hyperlink w:anchor="_Toc214474070" w:history="1">
        <w:r w:rsidR="00286D73" w:rsidRPr="00C95274">
          <w:rPr>
            <w:rStyle w:val="-"/>
            <w:color w:val="auto"/>
            <w:u w:val="none"/>
          </w:rPr>
          <w:t>Πίνακας 3.32.:</w:t>
        </w:r>
        <w:r w:rsidR="00286D73" w:rsidRPr="00C95274">
          <w:rPr>
            <w:rStyle w:val="-"/>
            <w:color w:val="auto"/>
            <w:u w:val="none"/>
          </w:rPr>
          <w:tab/>
          <w:t>FGT(0) Δείκτης φτώχειας (σταθερό όριο φτώχειας)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_Toc214474070 \h </w:instrText>
        </w:r>
        <w:r w:rsidR="00286D73" w:rsidRPr="00C95274">
          <w:rPr>
            <w:webHidden/>
            <w:color w:val="auto"/>
          </w:rPr>
        </w:r>
        <w:r w:rsidR="00286D73" w:rsidRPr="00C95274">
          <w:rPr>
            <w:webHidden/>
            <w:color w:val="auto"/>
          </w:rPr>
          <w:fldChar w:fldCharType="separate"/>
        </w:r>
        <w:r w:rsidR="00E15678">
          <w:rPr>
            <w:webHidden/>
            <w:color w:val="auto"/>
          </w:rPr>
          <w:t>195</w:t>
        </w:r>
        <w:r w:rsidR="00286D73" w:rsidRPr="00C95274">
          <w:rPr>
            <w:webHidden/>
            <w:color w:val="auto"/>
          </w:rPr>
          <w:fldChar w:fldCharType="end"/>
        </w:r>
      </w:hyperlink>
    </w:p>
    <w:p w14:paraId="5E5FC542" w14:textId="2B23FB69" w:rsidR="00286D73" w:rsidRPr="00C95274" w:rsidRDefault="0002021E" w:rsidP="00286D73">
      <w:pPr>
        <w:pStyle w:val="af8"/>
        <w:rPr>
          <w:rFonts w:eastAsiaTheme="minorEastAsia"/>
          <w:color w:val="auto"/>
        </w:rPr>
      </w:pPr>
      <w:hyperlink w:anchor="_Toc214474071" w:history="1">
        <w:r w:rsidR="00286D73" w:rsidRPr="00C95274">
          <w:rPr>
            <w:rStyle w:val="-"/>
            <w:color w:val="auto"/>
            <w:u w:val="none"/>
          </w:rPr>
          <w:t>Πίνακας 3.33.:</w:t>
        </w:r>
        <w:r w:rsidR="00286D73" w:rsidRPr="00C95274">
          <w:rPr>
            <w:rStyle w:val="-"/>
            <w:color w:val="auto"/>
            <w:u w:val="none"/>
          </w:rPr>
          <w:tab/>
          <w:t xml:space="preserve">FGT(1) </w:t>
        </w:r>
        <w:r w:rsidR="00926256" w:rsidRPr="00C95274">
          <w:rPr>
            <w:rStyle w:val="-"/>
            <w:color w:val="auto"/>
            <w:u w:val="none"/>
          </w:rPr>
          <w:t>Χ</w:t>
        </w:r>
        <w:r w:rsidR="00286D73" w:rsidRPr="00C95274">
          <w:rPr>
            <w:rStyle w:val="-"/>
            <w:color w:val="auto"/>
            <w:u w:val="none"/>
          </w:rPr>
          <w:t>άσμα φτώχειας (σταθερό όριο φτώχειας)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_Toc214474071 \h </w:instrText>
        </w:r>
        <w:r w:rsidR="00286D73" w:rsidRPr="00C95274">
          <w:rPr>
            <w:webHidden/>
            <w:color w:val="auto"/>
          </w:rPr>
        </w:r>
        <w:r w:rsidR="00286D73" w:rsidRPr="00C95274">
          <w:rPr>
            <w:webHidden/>
            <w:color w:val="auto"/>
          </w:rPr>
          <w:fldChar w:fldCharType="separate"/>
        </w:r>
        <w:r w:rsidR="00E15678">
          <w:rPr>
            <w:webHidden/>
            <w:color w:val="auto"/>
          </w:rPr>
          <w:t>195</w:t>
        </w:r>
        <w:r w:rsidR="00286D73" w:rsidRPr="00C95274">
          <w:rPr>
            <w:webHidden/>
            <w:color w:val="auto"/>
          </w:rPr>
          <w:fldChar w:fldCharType="end"/>
        </w:r>
      </w:hyperlink>
    </w:p>
    <w:p w14:paraId="1B1F4F1E" w14:textId="64452B9E" w:rsidR="00286D73" w:rsidRPr="00C95274" w:rsidRDefault="0002021E" w:rsidP="00286D73">
      <w:pPr>
        <w:pStyle w:val="af8"/>
        <w:rPr>
          <w:rFonts w:eastAsiaTheme="minorEastAsia"/>
          <w:color w:val="auto"/>
        </w:rPr>
      </w:pPr>
      <w:hyperlink w:anchor="_Toc214474072" w:history="1">
        <w:r w:rsidR="00286D73" w:rsidRPr="00C95274">
          <w:rPr>
            <w:rStyle w:val="-"/>
            <w:color w:val="auto"/>
            <w:u w:val="none"/>
          </w:rPr>
          <w:t>Πίνακας 3.34.:</w:t>
        </w:r>
        <w:r w:rsidR="00286D73" w:rsidRPr="00C95274">
          <w:rPr>
            <w:rStyle w:val="-"/>
            <w:color w:val="auto"/>
            <w:u w:val="none"/>
          </w:rPr>
          <w:tab/>
          <w:t xml:space="preserve">FGT(0) </w:t>
        </w:r>
        <w:r w:rsidR="00926256" w:rsidRPr="00C95274">
          <w:rPr>
            <w:rStyle w:val="-"/>
            <w:color w:val="auto"/>
            <w:u w:val="none"/>
          </w:rPr>
          <w:t>Δ</w:t>
        </w:r>
        <w:r w:rsidR="00286D73" w:rsidRPr="00C95274">
          <w:rPr>
            <w:rStyle w:val="-"/>
            <w:color w:val="auto"/>
            <w:u w:val="none"/>
          </w:rPr>
          <w:t>είκτης φτώχειας (κυμαινόμενο όριο φτώχειας)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_Toc214474072 \h </w:instrText>
        </w:r>
        <w:r w:rsidR="00286D73" w:rsidRPr="00C95274">
          <w:rPr>
            <w:webHidden/>
            <w:color w:val="auto"/>
          </w:rPr>
        </w:r>
        <w:r w:rsidR="00286D73" w:rsidRPr="00C95274">
          <w:rPr>
            <w:webHidden/>
            <w:color w:val="auto"/>
          </w:rPr>
          <w:fldChar w:fldCharType="separate"/>
        </w:r>
        <w:r w:rsidR="00E15678">
          <w:rPr>
            <w:webHidden/>
            <w:color w:val="auto"/>
          </w:rPr>
          <w:t>195</w:t>
        </w:r>
        <w:r w:rsidR="00286D73" w:rsidRPr="00C95274">
          <w:rPr>
            <w:webHidden/>
            <w:color w:val="auto"/>
          </w:rPr>
          <w:fldChar w:fldCharType="end"/>
        </w:r>
      </w:hyperlink>
    </w:p>
    <w:p w14:paraId="1B2AF915" w14:textId="46AE9E96" w:rsidR="00286D73" w:rsidRPr="00C95274" w:rsidRDefault="0002021E" w:rsidP="00286D73">
      <w:pPr>
        <w:pStyle w:val="af8"/>
        <w:rPr>
          <w:rFonts w:eastAsiaTheme="minorEastAsia"/>
          <w:color w:val="auto"/>
        </w:rPr>
      </w:pPr>
      <w:hyperlink w:anchor="_Toc214474073" w:history="1">
        <w:r w:rsidR="00286D73" w:rsidRPr="00C95274">
          <w:rPr>
            <w:rStyle w:val="-"/>
            <w:color w:val="auto"/>
            <w:u w:val="none"/>
          </w:rPr>
          <w:t>Πίνακας 3.35.:</w:t>
        </w:r>
        <w:r w:rsidR="00286D73" w:rsidRPr="00C95274">
          <w:rPr>
            <w:rStyle w:val="-"/>
            <w:color w:val="auto"/>
            <w:u w:val="none"/>
          </w:rPr>
          <w:tab/>
          <w:t>Αποτελέσματα ανάλυσης ευαισθησίας - αποκλίσεις από το βασικό σενάριο</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_Toc214474073 \h </w:instrText>
        </w:r>
        <w:r w:rsidR="00286D73" w:rsidRPr="00C95274">
          <w:rPr>
            <w:webHidden/>
            <w:color w:val="auto"/>
          </w:rPr>
        </w:r>
        <w:r w:rsidR="00286D73" w:rsidRPr="00C95274">
          <w:rPr>
            <w:webHidden/>
            <w:color w:val="auto"/>
          </w:rPr>
          <w:fldChar w:fldCharType="separate"/>
        </w:r>
        <w:r w:rsidR="00E15678">
          <w:rPr>
            <w:webHidden/>
            <w:color w:val="auto"/>
          </w:rPr>
          <w:t>196</w:t>
        </w:r>
        <w:r w:rsidR="00286D73" w:rsidRPr="00C95274">
          <w:rPr>
            <w:webHidden/>
            <w:color w:val="auto"/>
          </w:rPr>
          <w:fldChar w:fldCharType="end"/>
        </w:r>
      </w:hyperlink>
    </w:p>
    <w:p w14:paraId="5AA26388" w14:textId="0171DD31" w:rsidR="00286D73" w:rsidRPr="00C95274" w:rsidRDefault="0002021E" w:rsidP="00286D73">
      <w:pPr>
        <w:pStyle w:val="af8"/>
        <w:rPr>
          <w:rFonts w:eastAsiaTheme="minorEastAsia"/>
          <w:color w:val="auto"/>
        </w:rPr>
      </w:pPr>
      <w:hyperlink w:anchor="_Toc214474074" w:history="1">
        <w:r w:rsidR="00286D73" w:rsidRPr="00C95274">
          <w:rPr>
            <w:rStyle w:val="-"/>
            <w:color w:val="auto"/>
            <w:u w:val="none"/>
          </w:rPr>
          <w:t>Πίνακας 3.36.:</w:t>
        </w:r>
        <w:r w:rsidR="00286D73" w:rsidRPr="00C95274">
          <w:rPr>
            <w:rStyle w:val="-"/>
            <w:color w:val="auto"/>
            <w:u w:val="none"/>
          </w:rPr>
          <w:tab/>
          <w:t>Ρυθμοί μεταβολής βασικών μεταβλητών στα σενάρια της ανάλυσης ευαισθησίας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_Toc214474074 \h </w:instrText>
        </w:r>
        <w:r w:rsidR="00286D73" w:rsidRPr="00C95274">
          <w:rPr>
            <w:webHidden/>
            <w:color w:val="auto"/>
          </w:rPr>
        </w:r>
        <w:r w:rsidR="00286D73" w:rsidRPr="00C95274">
          <w:rPr>
            <w:webHidden/>
            <w:color w:val="auto"/>
          </w:rPr>
          <w:fldChar w:fldCharType="separate"/>
        </w:r>
        <w:r w:rsidR="00E15678">
          <w:rPr>
            <w:webHidden/>
            <w:color w:val="auto"/>
          </w:rPr>
          <w:t>197</w:t>
        </w:r>
        <w:r w:rsidR="00286D73" w:rsidRPr="00C95274">
          <w:rPr>
            <w:webHidden/>
            <w:color w:val="auto"/>
          </w:rPr>
          <w:fldChar w:fldCharType="end"/>
        </w:r>
      </w:hyperlink>
    </w:p>
    <w:p w14:paraId="22D14E7F" w14:textId="01B06C8A" w:rsidR="00286D73" w:rsidRPr="00C95274" w:rsidRDefault="0002021E" w:rsidP="00286D73">
      <w:pPr>
        <w:pStyle w:val="af8"/>
        <w:rPr>
          <w:rFonts w:eastAsiaTheme="minorEastAsia"/>
          <w:color w:val="auto"/>
        </w:rPr>
      </w:pPr>
      <w:hyperlink w:anchor="_Toc214474075" w:history="1">
        <w:r w:rsidR="00286D73" w:rsidRPr="00C95274">
          <w:rPr>
            <w:rStyle w:val="-"/>
            <w:color w:val="auto"/>
            <w:u w:val="none"/>
          </w:rPr>
          <w:t>Πίνακας 3.37.:</w:t>
        </w:r>
        <w:r w:rsidR="00286D73" w:rsidRPr="00C95274">
          <w:rPr>
            <w:rStyle w:val="-"/>
            <w:color w:val="auto"/>
            <w:u w:val="none"/>
          </w:rPr>
          <w:tab/>
          <w:t xml:space="preserve">Ενδεχόμενες υποχρεώσεις που απορρέουν από ΣΔΙΤ, που καταγράφονται εκτός </w:t>
        </w:r>
        <w:r w:rsidR="00043AF8" w:rsidRPr="00C95274">
          <w:rPr>
            <w:rStyle w:val="-"/>
            <w:color w:val="auto"/>
            <w:u w:val="none"/>
          </w:rPr>
          <w:tab/>
        </w:r>
        <w:r w:rsidR="00286D73" w:rsidRPr="00C95274">
          <w:rPr>
            <w:rStyle w:val="-"/>
            <w:color w:val="auto"/>
            <w:u w:val="none"/>
          </w:rPr>
          <w:t>προϋπολογισμού (off-balance sheet)</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_Toc214474075 \h </w:instrText>
        </w:r>
        <w:r w:rsidR="00286D73" w:rsidRPr="00C95274">
          <w:rPr>
            <w:webHidden/>
            <w:color w:val="auto"/>
          </w:rPr>
        </w:r>
        <w:r w:rsidR="00286D73" w:rsidRPr="00C95274">
          <w:rPr>
            <w:webHidden/>
            <w:color w:val="auto"/>
          </w:rPr>
          <w:fldChar w:fldCharType="separate"/>
        </w:r>
        <w:r w:rsidR="00E15678">
          <w:rPr>
            <w:webHidden/>
            <w:color w:val="auto"/>
          </w:rPr>
          <w:t>198</w:t>
        </w:r>
        <w:r w:rsidR="00286D73" w:rsidRPr="00C95274">
          <w:rPr>
            <w:webHidden/>
            <w:color w:val="auto"/>
          </w:rPr>
          <w:fldChar w:fldCharType="end"/>
        </w:r>
      </w:hyperlink>
    </w:p>
    <w:p w14:paraId="75C29088" w14:textId="0F4EE96B" w:rsidR="00286D73" w:rsidRPr="00C95274" w:rsidRDefault="0002021E" w:rsidP="00286D73">
      <w:pPr>
        <w:pStyle w:val="af8"/>
        <w:rPr>
          <w:color w:val="auto"/>
        </w:rPr>
      </w:pPr>
      <w:hyperlink w:anchor="_Toc214474076" w:history="1">
        <w:r w:rsidR="00286D73" w:rsidRPr="00C95274">
          <w:rPr>
            <w:rStyle w:val="-"/>
            <w:color w:val="auto"/>
            <w:u w:val="none"/>
          </w:rPr>
          <w:t>Πίνακας 3.38.:</w:t>
        </w:r>
        <w:r w:rsidR="00286D73" w:rsidRPr="00C95274">
          <w:rPr>
            <w:rStyle w:val="-"/>
            <w:color w:val="auto"/>
            <w:u w:val="none"/>
          </w:rPr>
          <w:tab/>
          <w:t>Μη εξυπηρετούμενα δάνεια χορηγηθέντα από φορείς της Γενικής Κυβέρνησης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_Toc214474076 \h </w:instrText>
        </w:r>
        <w:r w:rsidR="00286D73" w:rsidRPr="00C95274">
          <w:rPr>
            <w:webHidden/>
            <w:color w:val="auto"/>
          </w:rPr>
        </w:r>
        <w:r w:rsidR="00286D73" w:rsidRPr="00C95274">
          <w:rPr>
            <w:webHidden/>
            <w:color w:val="auto"/>
          </w:rPr>
          <w:fldChar w:fldCharType="separate"/>
        </w:r>
        <w:r w:rsidR="00E15678">
          <w:rPr>
            <w:webHidden/>
            <w:color w:val="auto"/>
          </w:rPr>
          <w:t>199</w:t>
        </w:r>
        <w:r w:rsidR="00286D73" w:rsidRPr="00C95274">
          <w:rPr>
            <w:webHidden/>
            <w:color w:val="auto"/>
          </w:rPr>
          <w:fldChar w:fldCharType="end"/>
        </w:r>
      </w:hyperlink>
      <w:r w:rsidR="005B53F2" w:rsidRPr="00C95274">
        <w:rPr>
          <w:color w:val="auto"/>
        </w:rPr>
        <w:fldChar w:fldCharType="end"/>
      </w:r>
      <w:r w:rsidR="0040256B" w:rsidRPr="00C95274">
        <w:rPr>
          <w:color w:val="auto"/>
        </w:rPr>
        <w:fldChar w:fldCharType="begin"/>
      </w:r>
      <w:r w:rsidR="0040256B" w:rsidRPr="00C95274">
        <w:rPr>
          <w:color w:val="auto"/>
        </w:rPr>
        <w:instrText xml:space="preserve"> TOC \h \z \c "Πίνακας 4." </w:instrText>
      </w:r>
      <w:r w:rsidR="0040256B" w:rsidRPr="00C95274">
        <w:rPr>
          <w:color w:val="auto"/>
        </w:rPr>
        <w:fldChar w:fldCharType="separate"/>
      </w:r>
    </w:p>
    <w:p w14:paraId="72B816B2" w14:textId="56C860DD" w:rsidR="00286D73" w:rsidRPr="00C95274" w:rsidRDefault="0002021E" w:rsidP="00286D73">
      <w:pPr>
        <w:pStyle w:val="af8"/>
        <w:rPr>
          <w:rFonts w:eastAsiaTheme="minorEastAsia"/>
          <w:color w:val="auto"/>
        </w:rPr>
      </w:pPr>
      <w:hyperlink w:anchor="_Toc214474107" w:history="1">
        <w:r w:rsidR="00286D73" w:rsidRPr="00C95274">
          <w:rPr>
            <w:rStyle w:val="-"/>
            <w:color w:val="auto"/>
            <w:u w:val="none"/>
          </w:rPr>
          <w:t>Πίνακας 4.1.:</w:t>
        </w:r>
        <w:r w:rsidR="00286D73" w:rsidRPr="00C95274">
          <w:rPr>
            <w:rStyle w:val="-"/>
            <w:color w:val="auto"/>
            <w:u w:val="none"/>
          </w:rPr>
          <w:tab/>
          <w:t>Χρέος της Γενικής Κυβέρνησης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_Toc214474107 \h </w:instrText>
        </w:r>
        <w:r w:rsidR="00286D73" w:rsidRPr="00C95274">
          <w:rPr>
            <w:webHidden/>
            <w:color w:val="auto"/>
          </w:rPr>
        </w:r>
        <w:r w:rsidR="00286D73" w:rsidRPr="00C95274">
          <w:rPr>
            <w:webHidden/>
            <w:color w:val="auto"/>
          </w:rPr>
          <w:fldChar w:fldCharType="separate"/>
        </w:r>
        <w:r w:rsidR="00E15678">
          <w:rPr>
            <w:webHidden/>
            <w:color w:val="auto"/>
          </w:rPr>
          <w:t>202</w:t>
        </w:r>
        <w:r w:rsidR="00286D73" w:rsidRPr="00C95274">
          <w:rPr>
            <w:webHidden/>
            <w:color w:val="auto"/>
          </w:rPr>
          <w:fldChar w:fldCharType="end"/>
        </w:r>
      </w:hyperlink>
    </w:p>
    <w:p w14:paraId="1B4B97E9" w14:textId="02F2B0D5" w:rsidR="00286D73" w:rsidRPr="00C95274" w:rsidRDefault="0002021E" w:rsidP="00286D73">
      <w:pPr>
        <w:pStyle w:val="af8"/>
        <w:rPr>
          <w:rFonts w:eastAsiaTheme="minorEastAsia"/>
          <w:color w:val="auto"/>
        </w:rPr>
      </w:pPr>
      <w:hyperlink w:anchor="_Toc214474108" w:history="1">
        <w:r w:rsidR="00286D73" w:rsidRPr="00C95274">
          <w:rPr>
            <w:rStyle w:val="-"/>
            <w:color w:val="auto"/>
            <w:u w:val="none"/>
          </w:rPr>
          <w:t>Πίνακας 4.2.:</w:t>
        </w:r>
        <w:r w:rsidR="00286D73" w:rsidRPr="00C95274">
          <w:rPr>
            <w:rStyle w:val="-"/>
            <w:color w:val="auto"/>
            <w:u w:val="none"/>
          </w:rPr>
          <w:tab/>
          <w:t>Σύνθεση του χρέους της Κεντρικής Διοίκησης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_Toc214474108 \h </w:instrText>
        </w:r>
        <w:r w:rsidR="00286D73" w:rsidRPr="00C95274">
          <w:rPr>
            <w:webHidden/>
            <w:color w:val="auto"/>
          </w:rPr>
        </w:r>
        <w:r w:rsidR="00286D73" w:rsidRPr="00C95274">
          <w:rPr>
            <w:webHidden/>
            <w:color w:val="auto"/>
          </w:rPr>
          <w:fldChar w:fldCharType="separate"/>
        </w:r>
        <w:r w:rsidR="00E15678">
          <w:rPr>
            <w:webHidden/>
            <w:color w:val="auto"/>
          </w:rPr>
          <w:t>203</w:t>
        </w:r>
        <w:r w:rsidR="00286D73" w:rsidRPr="00C95274">
          <w:rPr>
            <w:webHidden/>
            <w:color w:val="auto"/>
          </w:rPr>
          <w:fldChar w:fldCharType="end"/>
        </w:r>
      </w:hyperlink>
    </w:p>
    <w:p w14:paraId="3E0F9931" w14:textId="6492CD68" w:rsidR="00286D73" w:rsidRPr="00C95274" w:rsidRDefault="0002021E" w:rsidP="00286D73">
      <w:pPr>
        <w:pStyle w:val="af8"/>
        <w:rPr>
          <w:rFonts w:eastAsiaTheme="minorEastAsia"/>
          <w:color w:val="auto"/>
        </w:rPr>
      </w:pPr>
      <w:hyperlink w:anchor="_Toc214474109" w:history="1">
        <w:r w:rsidR="00286D73" w:rsidRPr="00C95274">
          <w:rPr>
            <w:rStyle w:val="-"/>
            <w:color w:val="auto"/>
            <w:u w:val="none"/>
          </w:rPr>
          <w:t>Πίνακας 4.3.:</w:t>
        </w:r>
        <w:r w:rsidR="00286D73" w:rsidRPr="00C95274">
          <w:rPr>
            <w:rStyle w:val="-"/>
            <w:color w:val="auto"/>
            <w:u w:val="none"/>
          </w:rPr>
          <w:tab/>
          <w:t>Εξέλιξη του δημόσιου χρέους της Γενικής Κυβέρνησης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_Toc214474109 \h </w:instrText>
        </w:r>
        <w:r w:rsidR="00286D73" w:rsidRPr="00C95274">
          <w:rPr>
            <w:webHidden/>
            <w:color w:val="auto"/>
          </w:rPr>
        </w:r>
        <w:r w:rsidR="00286D73" w:rsidRPr="00C95274">
          <w:rPr>
            <w:webHidden/>
            <w:color w:val="auto"/>
          </w:rPr>
          <w:fldChar w:fldCharType="separate"/>
        </w:r>
        <w:r w:rsidR="00E15678">
          <w:rPr>
            <w:webHidden/>
            <w:color w:val="auto"/>
          </w:rPr>
          <w:t>203</w:t>
        </w:r>
        <w:r w:rsidR="00286D73" w:rsidRPr="00C95274">
          <w:rPr>
            <w:webHidden/>
            <w:color w:val="auto"/>
          </w:rPr>
          <w:fldChar w:fldCharType="end"/>
        </w:r>
      </w:hyperlink>
    </w:p>
    <w:p w14:paraId="7774B494" w14:textId="7A8BB68A" w:rsidR="00286D73" w:rsidRPr="00C95274" w:rsidRDefault="0002021E" w:rsidP="00286D73">
      <w:pPr>
        <w:pStyle w:val="af8"/>
        <w:rPr>
          <w:rFonts w:eastAsiaTheme="minorEastAsia"/>
          <w:color w:val="auto"/>
        </w:rPr>
      </w:pPr>
      <w:hyperlink w:anchor="_Toc214474110" w:history="1">
        <w:r w:rsidR="00286D73" w:rsidRPr="00C95274">
          <w:rPr>
            <w:rStyle w:val="-"/>
            <w:color w:val="auto"/>
            <w:u w:val="none"/>
          </w:rPr>
          <w:t>Πίνακας 4.4.:</w:t>
        </w:r>
        <w:r w:rsidR="00286D73" w:rsidRPr="00C95274">
          <w:rPr>
            <w:rStyle w:val="-"/>
            <w:color w:val="auto"/>
            <w:u w:val="none"/>
          </w:rPr>
          <w:tab/>
          <w:t>Χρονοδιάγραμμα λήξης του χρέους της Κεντρικής Διοίκησης την 30η.9.2025</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_Toc214474110 \h </w:instrText>
        </w:r>
        <w:r w:rsidR="00286D73" w:rsidRPr="00C95274">
          <w:rPr>
            <w:webHidden/>
            <w:color w:val="auto"/>
          </w:rPr>
        </w:r>
        <w:r w:rsidR="00286D73" w:rsidRPr="00C95274">
          <w:rPr>
            <w:webHidden/>
            <w:color w:val="auto"/>
          </w:rPr>
          <w:fldChar w:fldCharType="separate"/>
        </w:r>
        <w:r w:rsidR="00E15678">
          <w:rPr>
            <w:webHidden/>
            <w:color w:val="auto"/>
          </w:rPr>
          <w:t>204</w:t>
        </w:r>
        <w:r w:rsidR="00286D73" w:rsidRPr="00C95274">
          <w:rPr>
            <w:webHidden/>
            <w:color w:val="auto"/>
          </w:rPr>
          <w:fldChar w:fldCharType="end"/>
        </w:r>
      </w:hyperlink>
    </w:p>
    <w:p w14:paraId="5340926B" w14:textId="1D17528B" w:rsidR="00286D73" w:rsidRPr="00C95274" w:rsidRDefault="0002021E" w:rsidP="00286D73">
      <w:pPr>
        <w:pStyle w:val="af8"/>
        <w:rPr>
          <w:rFonts w:eastAsiaTheme="minorEastAsia"/>
          <w:color w:val="auto"/>
        </w:rPr>
      </w:pPr>
      <w:hyperlink w:anchor="_Toc214474111" w:history="1">
        <w:r w:rsidR="00286D73" w:rsidRPr="00C95274">
          <w:rPr>
            <w:rStyle w:val="-"/>
            <w:color w:val="auto"/>
            <w:u w:val="none"/>
          </w:rPr>
          <w:t>Πίνακας 4.5.:</w:t>
        </w:r>
        <w:r w:rsidR="00286D73" w:rsidRPr="00C95274">
          <w:rPr>
            <w:rStyle w:val="-"/>
            <w:color w:val="auto"/>
            <w:u w:val="none"/>
          </w:rPr>
          <w:tab/>
          <w:t>Μέση υπολειπόμενη φυσική διάρκεια του χρέους</w:t>
        </w:r>
        <w:r w:rsidR="00BA4C46" w:rsidRPr="00C95274">
          <w:rPr>
            <w:rStyle w:val="-"/>
            <w:color w:val="auto"/>
            <w:u w:val="none"/>
          </w:rPr>
          <w:t xml:space="preserve"> της Κεντρικής Διοίκησης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_Toc214474111 \h </w:instrText>
        </w:r>
        <w:r w:rsidR="00286D73" w:rsidRPr="00C95274">
          <w:rPr>
            <w:webHidden/>
            <w:color w:val="auto"/>
          </w:rPr>
        </w:r>
        <w:r w:rsidR="00286D73" w:rsidRPr="00C95274">
          <w:rPr>
            <w:webHidden/>
            <w:color w:val="auto"/>
          </w:rPr>
          <w:fldChar w:fldCharType="separate"/>
        </w:r>
        <w:r w:rsidR="00E15678">
          <w:rPr>
            <w:webHidden/>
            <w:color w:val="auto"/>
          </w:rPr>
          <w:t>206</w:t>
        </w:r>
        <w:r w:rsidR="00286D73" w:rsidRPr="00C95274">
          <w:rPr>
            <w:webHidden/>
            <w:color w:val="auto"/>
          </w:rPr>
          <w:fldChar w:fldCharType="end"/>
        </w:r>
      </w:hyperlink>
    </w:p>
    <w:p w14:paraId="6F3DE810" w14:textId="2FE710BD" w:rsidR="00286D73" w:rsidRPr="00C95274" w:rsidRDefault="0002021E" w:rsidP="00286D73">
      <w:pPr>
        <w:pStyle w:val="af8"/>
        <w:rPr>
          <w:rFonts w:eastAsiaTheme="minorEastAsia"/>
          <w:color w:val="auto"/>
        </w:rPr>
      </w:pPr>
      <w:hyperlink w:anchor="_Toc214474112" w:history="1">
        <w:r w:rsidR="00286D73" w:rsidRPr="00C95274">
          <w:rPr>
            <w:rStyle w:val="-"/>
            <w:color w:val="auto"/>
            <w:u w:val="none"/>
          </w:rPr>
          <w:t>Πίνακας 4.6.:</w:t>
        </w:r>
        <w:r w:rsidR="00286D73" w:rsidRPr="00C95274">
          <w:rPr>
            <w:rStyle w:val="-"/>
            <w:color w:val="auto"/>
            <w:u w:val="none"/>
          </w:rPr>
          <w:tab/>
          <w:t>Χρέος της Κεντρικής Διοίκησης</w:t>
        </w:r>
        <w:r w:rsidR="00925C64" w:rsidRPr="00C95274">
          <w:rPr>
            <w:rStyle w:val="-"/>
            <w:color w:val="auto"/>
            <w:u w:val="none"/>
          </w:rPr>
          <w:t xml:space="preserve"> ως προς την υπολειπόμενη φυσική διάρκεια</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_Toc214474112 \h </w:instrText>
        </w:r>
        <w:r w:rsidR="00286D73" w:rsidRPr="00C95274">
          <w:rPr>
            <w:webHidden/>
            <w:color w:val="auto"/>
          </w:rPr>
        </w:r>
        <w:r w:rsidR="00286D73" w:rsidRPr="00C95274">
          <w:rPr>
            <w:webHidden/>
            <w:color w:val="auto"/>
          </w:rPr>
          <w:fldChar w:fldCharType="separate"/>
        </w:r>
        <w:r w:rsidR="00E15678">
          <w:rPr>
            <w:webHidden/>
            <w:color w:val="auto"/>
          </w:rPr>
          <w:t>206</w:t>
        </w:r>
        <w:r w:rsidR="00286D73" w:rsidRPr="00C95274">
          <w:rPr>
            <w:webHidden/>
            <w:color w:val="auto"/>
          </w:rPr>
          <w:fldChar w:fldCharType="end"/>
        </w:r>
      </w:hyperlink>
    </w:p>
    <w:p w14:paraId="34FC9BCF" w14:textId="375FFD1D" w:rsidR="00286D73" w:rsidRPr="00C95274" w:rsidRDefault="0002021E" w:rsidP="00286D73">
      <w:pPr>
        <w:pStyle w:val="af8"/>
        <w:rPr>
          <w:rFonts w:eastAsiaTheme="minorEastAsia"/>
          <w:color w:val="auto"/>
        </w:rPr>
      </w:pPr>
      <w:hyperlink w:anchor="_Toc214474113" w:history="1">
        <w:r w:rsidR="00286D73" w:rsidRPr="00C95274">
          <w:rPr>
            <w:rStyle w:val="-"/>
            <w:color w:val="auto"/>
            <w:u w:val="none"/>
          </w:rPr>
          <w:t>Πίνακας 4.7.:</w:t>
        </w:r>
        <w:r w:rsidR="00286D73" w:rsidRPr="00C95274">
          <w:rPr>
            <w:rStyle w:val="-"/>
            <w:color w:val="auto"/>
            <w:u w:val="none"/>
          </w:rPr>
          <w:tab/>
          <w:t>Δαπάνες εξυπηρέτησης του χρέους της Κεντρικής Διοίκησης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_Toc214474113 \h </w:instrText>
        </w:r>
        <w:r w:rsidR="00286D73" w:rsidRPr="00C95274">
          <w:rPr>
            <w:webHidden/>
            <w:color w:val="auto"/>
          </w:rPr>
        </w:r>
        <w:r w:rsidR="00286D73" w:rsidRPr="00C95274">
          <w:rPr>
            <w:webHidden/>
            <w:color w:val="auto"/>
          </w:rPr>
          <w:fldChar w:fldCharType="separate"/>
        </w:r>
        <w:r w:rsidR="00E15678">
          <w:rPr>
            <w:webHidden/>
            <w:color w:val="auto"/>
          </w:rPr>
          <w:t>207</w:t>
        </w:r>
        <w:r w:rsidR="00286D73" w:rsidRPr="00C95274">
          <w:rPr>
            <w:webHidden/>
            <w:color w:val="auto"/>
          </w:rPr>
          <w:fldChar w:fldCharType="end"/>
        </w:r>
      </w:hyperlink>
    </w:p>
    <w:p w14:paraId="59F2208D" w14:textId="19461F8A" w:rsidR="00286D73" w:rsidRPr="00C95274" w:rsidRDefault="0002021E" w:rsidP="00286D73">
      <w:pPr>
        <w:pStyle w:val="af8"/>
        <w:rPr>
          <w:rFonts w:eastAsiaTheme="minorEastAsia"/>
          <w:color w:val="auto"/>
        </w:rPr>
      </w:pPr>
      <w:hyperlink w:anchor="_Toc214474114" w:history="1">
        <w:r w:rsidR="00286D73" w:rsidRPr="00C95274">
          <w:rPr>
            <w:rStyle w:val="-"/>
            <w:color w:val="auto"/>
            <w:u w:val="none"/>
          </w:rPr>
          <w:t>Πίνακας 4.8.:</w:t>
        </w:r>
        <w:r w:rsidR="00286D73" w:rsidRPr="00C95274">
          <w:rPr>
            <w:rStyle w:val="-"/>
            <w:color w:val="auto"/>
            <w:u w:val="none"/>
          </w:rPr>
          <w:tab/>
          <w:t>Καθαρή επίπτωση του βραχυπρόθεσμου δανεισμού (ΕΓΕΔ και Repos) στο χρέος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_Toc214474114 \h </w:instrText>
        </w:r>
        <w:r w:rsidR="00286D73" w:rsidRPr="00C95274">
          <w:rPr>
            <w:webHidden/>
            <w:color w:val="auto"/>
          </w:rPr>
        </w:r>
        <w:r w:rsidR="00286D73" w:rsidRPr="00C95274">
          <w:rPr>
            <w:webHidden/>
            <w:color w:val="auto"/>
          </w:rPr>
          <w:fldChar w:fldCharType="separate"/>
        </w:r>
        <w:r w:rsidR="00E15678">
          <w:rPr>
            <w:webHidden/>
            <w:color w:val="auto"/>
          </w:rPr>
          <w:t>208</w:t>
        </w:r>
        <w:r w:rsidR="00286D73" w:rsidRPr="00C95274">
          <w:rPr>
            <w:webHidden/>
            <w:color w:val="auto"/>
          </w:rPr>
          <w:fldChar w:fldCharType="end"/>
        </w:r>
      </w:hyperlink>
    </w:p>
    <w:p w14:paraId="38D79E96" w14:textId="2C675AA2" w:rsidR="00286D73" w:rsidRPr="00C95274" w:rsidRDefault="0002021E" w:rsidP="00286D73">
      <w:pPr>
        <w:pStyle w:val="af8"/>
        <w:rPr>
          <w:rFonts w:eastAsiaTheme="minorEastAsia"/>
          <w:color w:val="auto"/>
        </w:rPr>
      </w:pPr>
      <w:hyperlink w:anchor="_Toc214474115" w:history="1">
        <w:r w:rsidR="00286D73" w:rsidRPr="00C95274">
          <w:rPr>
            <w:rStyle w:val="-"/>
            <w:color w:val="auto"/>
            <w:u w:val="none"/>
          </w:rPr>
          <w:t>Πίνακας 4.9.:</w:t>
        </w:r>
        <w:r w:rsidR="00286D73" w:rsidRPr="00C95274">
          <w:rPr>
            <w:rStyle w:val="-"/>
            <w:color w:val="auto"/>
            <w:u w:val="none"/>
          </w:rPr>
          <w:tab/>
          <w:t>Ύψος δαπανών για τόκους χρέους της Κεντρικής Διοίκησης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_Toc214474115 \h </w:instrText>
        </w:r>
        <w:r w:rsidR="00286D73" w:rsidRPr="00C95274">
          <w:rPr>
            <w:webHidden/>
            <w:color w:val="auto"/>
          </w:rPr>
        </w:r>
        <w:r w:rsidR="00286D73" w:rsidRPr="00C95274">
          <w:rPr>
            <w:webHidden/>
            <w:color w:val="auto"/>
          </w:rPr>
          <w:fldChar w:fldCharType="separate"/>
        </w:r>
        <w:r w:rsidR="00E15678">
          <w:rPr>
            <w:webHidden/>
            <w:color w:val="auto"/>
          </w:rPr>
          <w:t>208</w:t>
        </w:r>
        <w:r w:rsidR="00286D73" w:rsidRPr="00C95274">
          <w:rPr>
            <w:webHidden/>
            <w:color w:val="auto"/>
          </w:rPr>
          <w:fldChar w:fldCharType="end"/>
        </w:r>
      </w:hyperlink>
    </w:p>
    <w:p w14:paraId="42EBA068" w14:textId="4924372F" w:rsidR="00286D73" w:rsidRPr="00C95274" w:rsidRDefault="0002021E" w:rsidP="00286D73">
      <w:pPr>
        <w:pStyle w:val="af8"/>
        <w:rPr>
          <w:rFonts w:eastAsiaTheme="minorEastAsia"/>
          <w:color w:val="auto"/>
        </w:rPr>
      </w:pPr>
      <w:hyperlink w:anchor="_Toc214474116" w:history="1">
        <w:r w:rsidR="00286D73" w:rsidRPr="00C95274">
          <w:rPr>
            <w:rStyle w:val="-"/>
            <w:color w:val="auto"/>
            <w:u w:val="none"/>
          </w:rPr>
          <w:t>Πίνακας 4.10.:</w:t>
        </w:r>
        <w:r w:rsidR="00286D73" w:rsidRPr="00C95274">
          <w:rPr>
            <w:rStyle w:val="-"/>
            <w:color w:val="auto"/>
            <w:u w:val="none"/>
          </w:rPr>
          <w:tab/>
          <w:t>Εγγυήσεις, ανεξόφλητο εγγυημένο υπόλοιπο, καταπτώσεις και προμήθειες εγγυήσεων</w:t>
        </w:r>
        <w:r w:rsidR="00925C64" w:rsidRPr="00C95274">
          <w:rPr>
            <w:rStyle w:val="-"/>
            <w:color w:val="auto"/>
            <w:u w:val="none"/>
          </w:rPr>
          <w:br/>
        </w:r>
        <w:r w:rsidR="00925C64" w:rsidRPr="00C95274">
          <w:rPr>
            <w:rStyle w:val="-"/>
            <w:color w:val="auto"/>
            <w:u w:val="none"/>
          </w:rPr>
          <w:tab/>
          <w:t>κατά τα έτη 2010 - 2025</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_Toc214474116 \h </w:instrText>
        </w:r>
        <w:r w:rsidR="00286D73" w:rsidRPr="00C95274">
          <w:rPr>
            <w:webHidden/>
            <w:color w:val="auto"/>
          </w:rPr>
        </w:r>
        <w:r w:rsidR="00286D73" w:rsidRPr="00C95274">
          <w:rPr>
            <w:webHidden/>
            <w:color w:val="auto"/>
          </w:rPr>
          <w:fldChar w:fldCharType="separate"/>
        </w:r>
        <w:r w:rsidR="00E15678">
          <w:rPr>
            <w:webHidden/>
            <w:color w:val="auto"/>
          </w:rPr>
          <w:t>215</w:t>
        </w:r>
        <w:r w:rsidR="00286D73" w:rsidRPr="00C95274">
          <w:rPr>
            <w:webHidden/>
            <w:color w:val="auto"/>
          </w:rPr>
          <w:fldChar w:fldCharType="end"/>
        </w:r>
      </w:hyperlink>
    </w:p>
    <w:p w14:paraId="3C9766D2" w14:textId="16073FCE" w:rsidR="00286D73" w:rsidRPr="00C95274" w:rsidRDefault="0002021E" w:rsidP="00286D73">
      <w:pPr>
        <w:pStyle w:val="af8"/>
        <w:rPr>
          <w:color w:val="auto"/>
        </w:rPr>
      </w:pPr>
      <w:hyperlink w:anchor="_Toc214474117" w:history="1">
        <w:r w:rsidR="00286D73" w:rsidRPr="00C95274">
          <w:rPr>
            <w:rStyle w:val="-"/>
            <w:color w:val="auto"/>
            <w:u w:val="none"/>
          </w:rPr>
          <w:t>Πίνακας 4.11.:</w:t>
        </w:r>
        <w:r w:rsidR="00286D73" w:rsidRPr="00C95274">
          <w:rPr>
            <w:rStyle w:val="-"/>
            <w:color w:val="auto"/>
            <w:u w:val="none"/>
          </w:rPr>
          <w:tab/>
          <w:t>Εισπραχθείσες προμήθειες από το Σχήμα «Ηρακλής» ανά έτος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_Toc214474117 \h </w:instrText>
        </w:r>
        <w:r w:rsidR="00286D73" w:rsidRPr="00C95274">
          <w:rPr>
            <w:webHidden/>
            <w:color w:val="auto"/>
          </w:rPr>
        </w:r>
        <w:r w:rsidR="00286D73" w:rsidRPr="00C95274">
          <w:rPr>
            <w:webHidden/>
            <w:color w:val="auto"/>
          </w:rPr>
          <w:fldChar w:fldCharType="separate"/>
        </w:r>
        <w:r w:rsidR="00E15678">
          <w:rPr>
            <w:webHidden/>
            <w:color w:val="auto"/>
          </w:rPr>
          <w:t>216</w:t>
        </w:r>
        <w:r w:rsidR="00286D73" w:rsidRPr="00C95274">
          <w:rPr>
            <w:webHidden/>
            <w:color w:val="auto"/>
          </w:rPr>
          <w:fldChar w:fldCharType="end"/>
        </w:r>
      </w:hyperlink>
      <w:r w:rsidR="0040256B" w:rsidRPr="00C95274">
        <w:rPr>
          <w:color w:val="auto"/>
        </w:rPr>
        <w:fldChar w:fldCharType="end"/>
      </w:r>
      <w:r w:rsidR="0040256B" w:rsidRPr="00C95274">
        <w:rPr>
          <w:color w:val="auto"/>
        </w:rPr>
        <w:fldChar w:fldCharType="begin"/>
      </w:r>
      <w:r w:rsidR="0040256B" w:rsidRPr="00C95274">
        <w:rPr>
          <w:color w:val="auto"/>
        </w:rPr>
        <w:instrText xml:space="preserve"> TOC \h \z \c "Πίνακας 5." </w:instrText>
      </w:r>
      <w:r w:rsidR="0040256B" w:rsidRPr="00C95274">
        <w:rPr>
          <w:color w:val="auto"/>
        </w:rPr>
        <w:fldChar w:fldCharType="separate"/>
      </w:r>
    </w:p>
    <w:p w14:paraId="175064DA" w14:textId="1BC02237" w:rsidR="00286D73" w:rsidRPr="00C95274" w:rsidRDefault="0002021E" w:rsidP="00286D73">
      <w:pPr>
        <w:pStyle w:val="af8"/>
        <w:rPr>
          <w:rFonts w:eastAsiaTheme="minorEastAsia"/>
          <w:color w:val="auto"/>
        </w:rPr>
      </w:pPr>
      <w:hyperlink w:anchor="_Toc214474135" w:history="1">
        <w:r w:rsidR="00286D73" w:rsidRPr="00C95274">
          <w:rPr>
            <w:rStyle w:val="-"/>
            <w:color w:val="auto"/>
            <w:u w:val="none"/>
          </w:rPr>
          <w:t>Πίνακας 5.1.:</w:t>
        </w:r>
        <w:r w:rsidR="00286D73" w:rsidRPr="00C95274">
          <w:rPr>
            <w:rStyle w:val="-"/>
            <w:color w:val="auto"/>
            <w:u w:val="none"/>
          </w:rPr>
          <w:tab/>
          <w:t>Μετοχολόγιο ΕΕΣΥΠ ΑΕ</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_Toc214474135 \h </w:instrText>
        </w:r>
        <w:r w:rsidR="00286D73" w:rsidRPr="00C95274">
          <w:rPr>
            <w:webHidden/>
            <w:color w:val="auto"/>
          </w:rPr>
        </w:r>
        <w:r w:rsidR="00286D73" w:rsidRPr="00C95274">
          <w:rPr>
            <w:webHidden/>
            <w:color w:val="auto"/>
          </w:rPr>
          <w:fldChar w:fldCharType="separate"/>
        </w:r>
        <w:r w:rsidR="00E15678">
          <w:rPr>
            <w:webHidden/>
            <w:color w:val="auto"/>
          </w:rPr>
          <w:t>222</w:t>
        </w:r>
        <w:r w:rsidR="00286D73" w:rsidRPr="00C95274">
          <w:rPr>
            <w:webHidden/>
            <w:color w:val="auto"/>
          </w:rPr>
          <w:fldChar w:fldCharType="end"/>
        </w:r>
      </w:hyperlink>
    </w:p>
    <w:p w14:paraId="0239BB84" w14:textId="0F774D8A" w:rsidR="00286D73" w:rsidRPr="00C95274" w:rsidRDefault="0002021E" w:rsidP="00286D73">
      <w:pPr>
        <w:pStyle w:val="af8"/>
        <w:rPr>
          <w:rFonts w:eastAsiaTheme="minorEastAsia"/>
          <w:color w:val="auto"/>
        </w:rPr>
      </w:pPr>
      <w:hyperlink w:anchor="_Toc214474136" w:history="1">
        <w:r w:rsidR="00286D73" w:rsidRPr="00C95274">
          <w:rPr>
            <w:rStyle w:val="-"/>
            <w:color w:val="auto"/>
            <w:u w:val="none"/>
          </w:rPr>
          <w:t>Πίνακας 5.2.:</w:t>
        </w:r>
        <w:r w:rsidR="00286D73" w:rsidRPr="00C95274">
          <w:rPr>
            <w:rStyle w:val="-"/>
            <w:color w:val="auto"/>
            <w:u w:val="none"/>
          </w:rPr>
          <w:tab/>
          <w:t>Έργα ενταγμένα στο «Αναπτυξιακό Πρόγραμμα Συμβάσεων Στρατηγικής Σημασίας»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_Toc214474136 \h </w:instrText>
        </w:r>
        <w:r w:rsidR="00286D73" w:rsidRPr="00C95274">
          <w:rPr>
            <w:webHidden/>
            <w:color w:val="auto"/>
          </w:rPr>
        </w:r>
        <w:r w:rsidR="00286D73" w:rsidRPr="00C95274">
          <w:rPr>
            <w:webHidden/>
            <w:color w:val="auto"/>
          </w:rPr>
          <w:fldChar w:fldCharType="separate"/>
        </w:r>
        <w:r w:rsidR="00E15678">
          <w:rPr>
            <w:webHidden/>
            <w:color w:val="auto"/>
          </w:rPr>
          <w:t>224</w:t>
        </w:r>
        <w:r w:rsidR="00286D73" w:rsidRPr="00C95274">
          <w:rPr>
            <w:webHidden/>
            <w:color w:val="auto"/>
          </w:rPr>
          <w:fldChar w:fldCharType="end"/>
        </w:r>
      </w:hyperlink>
    </w:p>
    <w:p w14:paraId="7BDB72E4" w14:textId="18064F23" w:rsidR="00286D73" w:rsidRPr="00C95274" w:rsidRDefault="0002021E" w:rsidP="00286D73">
      <w:pPr>
        <w:pStyle w:val="af8"/>
        <w:rPr>
          <w:rFonts w:eastAsiaTheme="minorEastAsia"/>
          <w:color w:val="auto"/>
        </w:rPr>
      </w:pPr>
      <w:hyperlink w:anchor="_Toc214474137" w:history="1">
        <w:r w:rsidR="00286D73" w:rsidRPr="00C95274">
          <w:rPr>
            <w:rStyle w:val="-"/>
            <w:color w:val="auto"/>
            <w:u w:val="none"/>
          </w:rPr>
          <w:t>Πίνακας 5.3.:</w:t>
        </w:r>
        <w:r w:rsidR="00286D73" w:rsidRPr="00C95274">
          <w:rPr>
            <w:rStyle w:val="-"/>
            <w:color w:val="auto"/>
            <w:u w:val="none"/>
          </w:rPr>
          <w:tab/>
          <w:t>Στόχος εσόδων 2026</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_Toc214474137 \h </w:instrText>
        </w:r>
        <w:r w:rsidR="00286D73" w:rsidRPr="00C95274">
          <w:rPr>
            <w:webHidden/>
            <w:color w:val="auto"/>
          </w:rPr>
        </w:r>
        <w:r w:rsidR="00286D73" w:rsidRPr="00C95274">
          <w:rPr>
            <w:webHidden/>
            <w:color w:val="auto"/>
          </w:rPr>
          <w:fldChar w:fldCharType="separate"/>
        </w:r>
        <w:r w:rsidR="00E15678">
          <w:rPr>
            <w:webHidden/>
            <w:color w:val="auto"/>
          </w:rPr>
          <w:t>228</w:t>
        </w:r>
        <w:r w:rsidR="00286D73" w:rsidRPr="00C95274">
          <w:rPr>
            <w:webHidden/>
            <w:color w:val="auto"/>
          </w:rPr>
          <w:fldChar w:fldCharType="end"/>
        </w:r>
      </w:hyperlink>
    </w:p>
    <w:p w14:paraId="2CD3A106" w14:textId="12F401A5" w:rsidR="00286D73" w:rsidRPr="00C95274" w:rsidRDefault="0002021E" w:rsidP="00286D73">
      <w:pPr>
        <w:pStyle w:val="af8"/>
        <w:rPr>
          <w:rFonts w:eastAsiaTheme="minorEastAsia"/>
          <w:color w:val="auto"/>
        </w:rPr>
      </w:pPr>
      <w:hyperlink w:anchor="_Toc214474138" w:history="1">
        <w:r w:rsidR="00286D73" w:rsidRPr="00C95274">
          <w:rPr>
            <w:rStyle w:val="-"/>
            <w:color w:val="auto"/>
            <w:u w:val="none"/>
          </w:rPr>
          <w:t>Πίνακας 5.4.:</w:t>
        </w:r>
        <w:r w:rsidR="00286D73" w:rsidRPr="00C95274">
          <w:rPr>
            <w:rStyle w:val="-"/>
            <w:color w:val="auto"/>
            <w:u w:val="none"/>
          </w:rPr>
          <w:tab/>
          <w:t>Προβολή τριμηνιαίων εσόδων</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_Toc214474138 \h </w:instrText>
        </w:r>
        <w:r w:rsidR="00286D73" w:rsidRPr="00C95274">
          <w:rPr>
            <w:webHidden/>
            <w:color w:val="auto"/>
          </w:rPr>
        </w:r>
        <w:r w:rsidR="00286D73" w:rsidRPr="00C95274">
          <w:rPr>
            <w:webHidden/>
            <w:color w:val="auto"/>
          </w:rPr>
          <w:fldChar w:fldCharType="separate"/>
        </w:r>
        <w:r w:rsidR="00E15678">
          <w:rPr>
            <w:webHidden/>
            <w:color w:val="auto"/>
          </w:rPr>
          <w:t>228</w:t>
        </w:r>
        <w:r w:rsidR="00286D73" w:rsidRPr="00C95274">
          <w:rPr>
            <w:webHidden/>
            <w:color w:val="auto"/>
          </w:rPr>
          <w:fldChar w:fldCharType="end"/>
        </w:r>
      </w:hyperlink>
    </w:p>
    <w:p w14:paraId="4DD527E3" w14:textId="4D4BE47D" w:rsidR="00286D73" w:rsidRPr="00C95274" w:rsidRDefault="0002021E" w:rsidP="00286D73">
      <w:pPr>
        <w:pStyle w:val="af8"/>
        <w:rPr>
          <w:rFonts w:eastAsiaTheme="minorEastAsia"/>
          <w:color w:val="auto"/>
        </w:rPr>
      </w:pPr>
      <w:hyperlink w:anchor="_Toc214474139" w:history="1">
        <w:r w:rsidR="00286D73" w:rsidRPr="00C95274">
          <w:rPr>
            <w:rStyle w:val="-"/>
            <w:color w:val="auto"/>
            <w:u w:val="none"/>
          </w:rPr>
          <w:t>Πίνακας 5.5.:</w:t>
        </w:r>
        <w:r w:rsidR="00286D73" w:rsidRPr="00C95274">
          <w:rPr>
            <w:rStyle w:val="-"/>
            <w:color w:val="auto"/>
            <w:u w:val="none"/>
          </w:rPr>
          <w:tab/>
          <w:t>Έσοδα από αποκρατικοποιήσεις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_Toc214474139 \h </w:instrText>
        </w:r>
        <w:r w:rsidR="00286D73" w:rsidRPr="00C95274">
          <w:rPr>
            <w:webHidden/>
            <w:color w:val="auto"/>
          </w:rPr>
        </w:r>
        <w:r w:rsidR="00286D73" w:rsidRPr="00C95274">
          <w:rPr>
            <w:webHidden/>
            <w:color w:val="auto"/>
          </w:rPr>
          <w:fldChar w:fldCharType="separate"/>
        </w:r>
        <w:r w:rsidR="00E15678">
          <w:rPr>
            <w:webHidden/>
            <w:color w:val="auto"/>
          </w:rPr>
          <w:t>229</w:t>
        </w:r>
        <w:r w:rsidR="00286D73" w:rsidRPr="00C95274">
          <w:rPr>
            <w:webHidden/>
            <w:color w:val="auto"/>
          </w:rPr>
          <w:fldChar w:fldCharType="end"/>
        </w:r>
      </w:hyperlink>
    </w:p>
    <w:p w14:paraId="05681EF6" w14:textId="79A30D67" w:rsidR="00286D73" w:rsidRPr="00C95274" w:rsidRDefault="0002021E" w:rsidP="00286D73">
      <w:pPr>
        <w:pStyle w:val="af8"/>
        <w:rPr>
          <w:rFonts w:eastAsiaTheme="minorEastAsia"/>
          <w:color w:val="auto"/>
        </w:rPr>
      </w:pPr>
      <w:hyperlink w:anchor="_Toc214474140" w:history="1">
        <w:r w:rsidR="00286D73" w:rsidRPr="00C95274">
          <w:rPr>
            <w:rStyle w:val="-"/>
            <w:color w:val="auto"/>
            <w:u w:val="none"/>
          </w:rPr>
          <w:t>Πίνακας 5.6.:</w:t>
        </w:r>
        <w:r w:rsidR="00286D73" w:rsidRPr="00C95274">
          <w:rPr>
            <w:rStyle w:val="-"/>
            <w:color w:val="auto"/>
            <w:u w:val="none"/>
          </w:rPr>
          <w:tab/>
          <w:t xml:space="preserve">Πλάνο </w:t>
        </w:r>
        <w:r w:rsidR="007C3178" w:rsidRPr="00C95274">
          <w:rPr>
            <w:rStyle w:val="-"/>
            <w:color w:val="auto"/>
            <w:u w:val="none"/>
          </w:rPr>
          <w:t>α</w:t>
        </w:r>
        <w:r w:rsidR="00286D73" w:rsidRPr="00C95274">
          <w:rPr>
            <w:rStyle w:val="-"/>
            <w:color w:val="auto"/>
            <w:u w:val="none"/>
          </w:rPr>
          <w:t>ποκρατικοποιήσεων</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_Toc214474140 \h </w:instrText>
        </w:r>
        <w:r w:rsidR="00286D73" w:rsidRPr="00C95274">
          <w:rPr>
            <w:webHidden/>
            <w:color w:val="auto"/>
          </w:rPr>
        </w:r>
        <w:r w:rsidR="00286D73" w:rsidRPr="00C95274">
          <w:rPr>
            <w:webHidden/>
            <w:color w:val="auto"/>
          </w:rPr>
          <w:fldChar w:fldCharType="separate"/>
        </w:r>
        <w:r w:rsidR="00E15678">
          <w:rPr>
            <w:webHidden/>
            <w:color w:val="auto"/>
          </w:rPr>
          <w:t>231</w:t>
        </w:r>
        <w:r w:rsidR="00286D73" w:rsidRPr="00C95274">
          <w:rPr>
            <w:webHidden/>
            <w:color w:val="auto"/>
          </w:rPr>
          <w:fldChar w:fldCharType="end"/>
        </w:r>
      </w:hyperlink>
    </w:p>
    <w:p w14:paraId="067881A3" w14:textId="3F0D4A7A" w:rsidR="00286D73" w:rsidRPr="00C95274" w:rsidRDefault="0002021E" w:rsidP="00286D73">
      <w:pPr>
        <w:pStyle w:val="af8"/>
        <w:rPr>
          <w:rFonts w:eastAsiaTheme="minorEastAsia"/>
          <w:color w:val="auto"/>
        </w:rPr>
      </w:pPr>
      <w:hyperlink w:anchor="_Toc214474141" w:history="1">
        <w:r w:rsidR="00286D73" w:rsidRPr="00C95274">
          <w:rPr>
            <w:rStyle w:val="-"/>
            <w:color w:val="auto"/>
            <w:u w:val="none"/>
          </w:rPr>
          <w:t>Πίνακας 5.7.:</w:t>
        </w:r>
        <w:r w:rsidR="00286D73" w:rsidRPr="00C95274">
          <w:rPr>
            <w:rStyle w:val="-"/>
            <w:color w:val="auto"/>
            <w:u w:val="none"/>
          </w:rPr>
          <w:tab/>
          <w:t>Έσοδα προγράμματος αποκρατικοποιήσεων</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_Toc214474141 \h </w:instrText>
        </w:r>
        <w:r w:rsidR="00286D73" w:rsidRPr="00C95274">
          <w:rPr>
            <w:webHidden/>
            <w:color w:val="auto"/>
          </w:rPr>
        </w:r>
        <w:r w:rsidR="00286D73" w:rsidRPr="00C95274">
          <w:rPr>
            <w:webHidden/>
            <w:color w:val="auto"/>
          </w:rPr>
          <w:fldChar w:fldCharType="separate"/>
        </w:r>
        <w:r w:rsidR="00E15678">
          <w:rPr>
            <w:webHidden/>
            <w:color w:val="auto"/>
          </w:rPr>
          <w:t>232</w:t>
        </w:r>
        <w:r w:rsidR="00286D73" w:rsidRPr="00C95274">
          <w:rPr>
            <w:webHidden/>
            <w:color w:val="auto"/>
          </w:rPr>
          <w:fldChar w:fldCharType="end"/>
        </w:r>
      </w:hyperlink>
    </w:p>
    <w:p w14:paraId="5811FB84" w14:textId="1CD85B0D" w:rsidR="00286D73" w:rsidRPr="00C95274" w:rsidRDefault="0002021E" w:rsidP="00286D73">
      <w:pPr>
        <w:pStyle w:val="af8"/>
        <w:rPr>
          <w:rFonts w:eastAsiaTheme="minorEastAsia"/>
          <w:color w:val="auto"/>
        </w:rPr>
      </w:pPr>
      <w:hyperlink w:anchor="_Toc214474142" w:history="1">
        <w:r w:rsidR="00286D73" w:rsidRPr="00C95274">
          <w:rPr>
            <w:rStyle w:val="-"/>
            <w:color w:val="auto"/>
            <w:u w:val="none"/>
          </w:rPr>
          <w:t>Πίνακας 5.8.:</w:t>
        </w:r>
        <w:r w:rsidR="00286D73" w:rsidRPr="00C95274">
          <w:rPr>
            <w:rStyle w:val="-"/>
            <w:color w:val="auto"/>
            <w:u w:val="none"/>
          </w:rPr>
          <w:tab/>
          <w:t>Μετοχολόγιο ΕΕΣΥΠ - κλάδος πρώην ΤΑΙΠΕΔ</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_Toc214474142 \h </w:instrText>
        </w:r>
        <w:r w:rsidR="00286D73" w:rsidRPr="00C95274">
          <w:rPr>
            <w:webHidden/>
            <w:color w:val="auto"/>
          </w:rPr>
        </w:r>
        <w:r w:rsidR="00286D73" w:rsidRPr="00C95274">
          <w:rPr>
            <w:webHidden/>
            <w:color w:val="auto"/>
          </w:rPr>
          <w:fldChar w:fldCharType="separate"/>
        </w:r>
        <w:r w:rsidR="00E15678">
          <w:rPr>
            <w:webHidden/>
            <w:color w:val="auto"/>
          </w:rPr>
          <w:t>233</w:t>
        </w:r>
        <w:r w:rsidR="00286D73" w:rsidRPr="00C95274">
          <w:rPr>
            <w:webHidden/>
            <w:color w:val="auto"/>
          </w:rPr>
          <w:fldChar w:fldCharType="end"/>
        </w:r>
      </w:hyperlink>
    </w:p>
    <w:p w14:paraId="44EAE4B9" w14:textId="62AEB079" w:rsidR="00286D73" w:rsidRPr="00C95274" w:rsidRDefault="0002021E" w:rsidP="00286D73">
      <w:pPr>
        <w:pStyle w:val="af8"/>
        <w:rPr>
          <w:rFonts w:eastAsiaTheme="minorEastAsia"/>
          <w:color w:val="auto"/>
        </w:rPr>
      </w:pPr>
      <w:hyperlink w:anchor="_Toc214474143" w:history="1">
        <w:r w:rsidR="00286D73" w:rsidRPr="00C95274">
          <w:rPr>
            <w:rStyle w:val="-"/>
            <w:color w:val="auto"/>
            <w:u w:val="none"/>
          </w:rPr>
          <w:t>Πίνακας 5.9.:</w:t>
        </w:r>
        <w:r w:rsidR="00286D73" w:rsidRPr="00C95274">
          <w:rPr>
            <w:rStyle w:val="-"/>
            <w:color w:val="auto"/>
            <w:u w:val="none"/>
          </w:rPr>
          <w:tab/>
          <w:t>Μετοχολόγιο Ελληνικού Δημοσίου - Προνομιούχες μετοχές</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_Toc214474143 \h </w:instrText>
        </w:r>
        <w:r w:rsidR="00286D73" w:rsidRPr="00C95274">
          <w:rPr>
            <w:webHidden/>
            <w:color w:val="auto"/>
          </w:rPr>
        </w:r>
        <w:r w:rsidR="00286D73" w:rsidRPr="00C95274">
          <w:rPr>
            <w:webHidden/>
            <w:color w:val="auto"/>
          </w:rPr>
          <w:fldChar w:fldCharType="separate"/>
        </w:r>
        <w:r w:rsidR="00E15678">
          <w:rPr>
            <w:webHidden/>
            <w:color w:val="auto"/>
          </w:rPr>
          <w:t>233</w:t>
        </w:r>
        <w:r w:rsidR="00286D73" w:rsidRPr="00C95274">
          <w:rPr>
            <w:webHidden/>
            <w:color w:val="auto"/>
          </w:rPr>
          <w:fldChar w:fldCharType="end"/>
        </w:r>
      </w:hyperlink>
    </w:p>
    <w:p w14:paraId="02556B05" w14:textId="5416E824" w:rsidR="00286D73" w:rsidRPr="00C95274" w:rsidRDefault="0002021E" w:rsidP="00286D73">
      <w:pPr>
        <w:pStyle w:val="af8"/>
        <w:rPr>
          <w:rFonts w:eastAsiaTheme="minorEastAsia"/>
          <w:color w:val="auto"/>
        </w:rPr>
      </w:pPr>
      <w:hyperlink w:anchor="_Toc214474144" w:history="1">
        <w:r w:rsidR="00286D73" w:rsidRPr="00C95274">
          <w:rPr>
            <w:rStyle w:val="-"/>
            <w:color w:val="auto"/>
            <w:u w:val="none"/>
          </w:rPr>
          <w:t>Πίνακας 5.10.:</w:t>
        </w:r>
        <w:r w:rsidR="00286D73" w:rsidRPr="00C95274">
          <w:rPr>
            <w:rStyle w:val="-"/>
            <w:color w:val="auto"/>
            <w:u w:val="none"/>
          </w:rPr>
          <w:tab/>
          <w:t>Μετοχολόγιο Ελληνικού Δημοσίου - Εισηγμένες στο ΧΑ</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_Toc214474144 \h </w:instrText>
        </w:r>
        <w:r w:rsidR="00286D73" w:rsidRPr="00C95274">
          <w:rPr>
            <w:webHidden/>
            <w:color w:val="auto"/>
          </w:rPr>
        </w:r>
        <w:r w:rsidR="00286D73" w:rsidRPr="00C95274">
          <w:rPr>
            <w:webHidden/>
            <w:color w:val="auto"/>
          </w:rPr>
          <w:fldChar w:fldCharType="separate"/>
        </w:r>
        <w:r w:rsidR="00E15678">
          <w:rPr>
            <w:webHidden/>
            <w:color w:val="auto"/>
          </w:rPr>
          <w:t>234</w:t>
        </w:r>
        <w:r w:rsidR="00286D73" w:rsidRPr="00C95274">
          <w:rPr>
            <w:webHidden/>
            <w:color w:val="auto"/>
          </w:rPr>
          <w:fldChar w:fldCharType="end"/>
        </w:r>
      </w:hyperlink>
    </w:p>
    <w:p w14:paraId="21F7622E" w14:textId="2C79C05B" w:rsidR="00286D73" w:rsidRPr="00C95274" w:rsidRDefault="0002021E" w:rsidP="00286D73">
      <w:pPr>
        <w:pStyle w:val="af8"/>
        <w:rPr>
          <w:rFonts w:eastAsiaTheme="minorEastAsia"/>
          <w:color w:val="auto"/>
        </w:rPr>
      </w:pPr>
      <w:hyperlink w:anchor="_Toc214474145" w:history="1">
        <w:r w:rsidR="00286D73" w:rsidRPr="00C95274">
          <w:rPr>
            <w:rStyle w:val="-"/>
            <w:color w:val="auto"/>
            <w:u w:val="none"/>
          </w:rPr>
          <w:t>Πίνακας 5.11.:</w:t>
        </w:r>
        <w:r w:rsidR="00286D73" w:rsidRPr="00C95274">
          <w:rPr>
            <w:rStyle w:val="-"/>
            <w:color w:val="auto"/>
            <w:u w:val="none"/>
          </w:rPr>
          <w:tab/>
          <w:t xml:space="preserve">Μετοχολόγιο Ελληνικού Δημοσίου - </w:t>
        </w:r>
        <w:r w:rsidR="00E11F26" w:rsidRPr="00C95274">
          <w:rPr>
            <w:rStyle w:val="-"/>
            <w:color w:val="auto"/>
            <w:u w:val="none"/>
          </w:rPr>
          <w:t>Μ</w:t>
        </w:r>
        <w:r w:rsidR="00286D73" w:rsidRPr="00C95274">
          <w:rPr>
            <w:rStyle w:val="-"/>
            <w:color w:val="auto"/>
            <w:u w:val="none"/>
          </w:rPr>
          <w:t>η εισηγμένες στο ΧΑ</w:t>
        </w:r>
        <w:r w:rsidR="00286D73" w:rsidRPr="00C95274">
          <w:rPr>
            <w:webHidden/>
            <w:color w:val="auto"/>
          </w:rPr>
          <w:tab/>
        </w:r>
        <w:r w:rsidR="00286D73" w:rsidRPr="00C95274">
          <w:rPr>
            <w:webHidden/>
            <w:color w:val="auto"/>
          </w:rPr>
          <w:fldChar w:fldCharType="begin"/>
        </w:r>
        <w:r w:rsidR="00286D73" w:rsidRPr="00C95274">
          <w:rPr>
            <w:webHidden/>
            <w:color w:val="auto"/>
          </w:rPr>
          <w:instrText xml:space="preserve"> PAGEREF _Toc214474145 \h </w:instrText>
        </w:r>
        <w:r w:rsidR="00286D73" w:rsidRPr="00C95274">
          <w:rPr>
            <w:webHidden/>
            <w:color w:val="auto"/>
          </w:rPr>
        </w:r>
        <w:r w:rsidR="00286D73" w:rsidRPr="00C95274">
          <w:rPr>
            <w:webHidden/>
            <w:color w:val="auto"/>
          </w:rPr>
          <w:fldChar w:fldCharType="separate"/>
        </w:r>
        <w:r w:rsidR="00E15678">
          <w:rPr>
            <w:webHidden/>
            <w:color w:val="auto"/>
          </w:rPr>
          <w:t>234</w:t>
        </w:r>
        <w:r w:rsidR="00286D73" w:rsidRPr="00C95274">
          <w:rPr>
            <w:webHidden/>
            <w:color w:val="auto"/>
          </w:rPr>
          <w:fldChar w:fldCharType="end"/>
        </w:r>
      </w:hyperlink>
    </w:p>
    <w:p w14:paraId="1954B563" w14:textId="255DEA9B" w:rsidR="00E665FE" w:rsidRPr="00280842" w:rsidRDefault="0040256B" w:rsidP="00286D73">
      <w:pPr>
        <w:pStyle w:val="af8"/>
      </w:pPr>
      <w:r w:rsidRPr="00C95274">
        <w:rPr>
          <w:color w:val="auto"/>
        </w:rPr>
        <w:fldChar w:fldCharType="end"/>
      </w:r>
    </w:p>
    <w:p w14:paraId="1EFE05D1" w14:textId="77777777" w:rsidR="00FD464A" w:rsidRPr="00FD464A" w:rsidRDefault="00FD464A" w:rsidP="00FD464A"/>
    <w:p w14:paraId="06F010AD" w14:textId="77777777" w:rsidR="00E665FE" w:rsidRPr="00126E6D" w:rsidRDefault="00E665FE" w:rsidP="00D35D96">
      <w:pPr>
        <w:spacing w:after="0"/>
        <w:rPr>
          <w:rFonts w:cs="Arial"/>
          <w:sz w:val="18"/>
          <w:szCs w:val="18"/>
        </w:rPr>
      </w:pPr>
    </w:p>
    <w:tbl>
      <w:tblPr>
        <w:tblW w:w="9039" w:type="dxa"/>
        <w:tblLook w:val="04A0" w:firstRow="1" w:lastRow="0" w:firstColumn="1" w:lastColumn="0" w:noHBand="0" w:noVBand="1"/>
      </w:tblPr>
      <w:tblGrid>
        <w:gridCol w:w="9039"/>
      </w:tblGrid>
      <w:tr w:rsidR="00E77298" w:rsidRPr="00126E6D" w14:paraId="75E1D118" w14:textId="77777777" w:rsidTr="00FD464A">
        <w:tc>
          <w:tcPr>
            <w:tcW w:w="9039" w:type="dxa"/>
            <w:shd w:val="clear" w:color="auto" w:fill="auto"/>
          </w:tcPr>
          <w:p w14:paraId="219F4333" w14:textId="2A76A9D4" w:rsidR="00E77298" w:rsidRPr="00126E6D" w:rsidRDefault="00E77298" w:rsidP="00D35D96">
            <w:pPr>
              <w:tabs>
                <w:tab w:val="left" w:pos="2100"/>
              </w:tabs>
              <w:spacing w:after="0"/>
              <w:rPr>
                <w:rFonts w:cs="Arial"/>
                <w:sz w:val="18"/>
                <w:szCs w:val="18"/>
              </w:rPr>
            </w:pPr>
            <w:r w:rsidRPr="00126E6D">
              <w:rPr>
                <w:rFonts w:cs="Arial"/>
                <w:sz w:val="18"/>
                <w:szCs w:val="18"/>
              </w:rPr>
              <w:t xml:space="preserve">Σημείωση: </w:t>
            </w:r>
            <w:r w:rsidR="00FD464A">
              <w:rPr>
                <w:rFonts w:cs="Arial"/>
                <w:sz w:val="18"/>
                <w:szCs w:val="18"/>
              </w:rPr>
              <w:t>Ενδεχόμενες</w:t>
            </w:r>
            <w:r w:rsidRPr="00126E6D">
              <w:rPr>
                <w:rFonts w:cs="Arial"/>
                <w:sz w:val="18"/>
                <w:szCs w:val="18"/>
              </w:rPr>
              <w:t xml:space="preserve"> διαφορές ποσών ή ποσοστών στους πίνακες οφείλονται σε στρογγυλοποιήσεις</w:t>
            </w:r>
            <w:r w:rsidR="00FD464A">
              <w:rPr>
                <w:rFonts w:cs="Arial"/>
                <w:sz w:val="18"/>
                <w:szCs w:val="18"/>
              </w:rPr>
              <w:t>.</w:t>
            </w:r>
          </w:p>
        </w:tc>
      </w:tr>
    </w:tbl>
    <w:p w14:paraId="731F7030" w14:textId="77777777" w:rsidR="00E77298" w:rsidRPr="00126E6D" w:rsidRDefault="00E77298" w:rsidP="00D35D96">
      <w:pPr>
        <w:spacing w:after="0" w:line="259" w:lineRule="auto"/>
        <w:jc w:val="center"/>
        <w:rPr>
          <w:rFonts w:eastAsia="Calibri" w:cs="Arial"/>
          <w:sz w:val="18"/>
          <w:szCs w:val="18"/>
          <w:lang w:eastAsia="en-US"/>
        </w:rPr>
      </w:pPr>
    </w:p>
    <w:p w14:paraId="0BD849C7" w14:textId="77777777" w:rsidR="00E77298" w:rsidRPr="00126E6D" w:rsidRDefault="00E77298" w:rsidP="000C5BBA">
      <w:pPr>
        <w:sectPr w:rsidR="00E77298" w:rsidRPr="00126E6D" w:rsidSect="008E7E86">
          <w:footnotePr>
            <w:numRestart w:val="eachSect"/>
          </w:footnotePr>
          <w:pgSz w:w="11906" w:h="16838"/>
          <w:pgMar w:top="1310" w:right="1418" w:bottom="1310" w:left="1418" w:header="709" w:footer="709" w:gutter="0"/>
          <w:cols w:space="708"/>
          <w:docGrid w:linePitch="360"/>
        </w:sectPr>
      </w:pPr>
    </w:p>
    <w:p w14:paraId="7C136009" w14:textId="77777777" w:rsidR="00043AF8" w:rsidRPr="00C95274" w:rsidRDefault="00493829" w:rsidP="006D43BB">
      <w:pPr>
        <w:pStyle w:val="afd"/>
        <w:rPr>
          <w:noProof/>
          <w:color w:val="auto"/>
        </w:rPr>
      </w:pPr>
      <w:r w:rsidRPr="00F3584F">
        <w:lastRenderedPageBreak/>
        <w:t>ΔΙΑΓΡΑΜΜΑΤΑ</w:t>
      </w:r>
      <w:r w:rsidR="005B53F2" w:rsidRPr="00C95274">
        <w:rPr>
          <w:color w:val="auto"/>
        </w:rPr>
        <w:fldChar w:fldCharType="begin"/>
      </w:r>
      <w:r w:rsidR="00E77298" w:rsidRPr="00C95274">
        <w:rPr>
          <w:color w:val="auto"/>
        </w:rPr>
        <w:instrText xml:space="preserve"> TOC \h \z \c "Διάγραμμα 1." </w:instrText>
      </w:r>
      <w:r w:rsidR="005B53F2" w:rsidRPr="00C95274">
        <w:rPr>
          <w:color w:val="auto"/>
        </w:rPr>
        <w:fldChar w:fldCharType="separate"/>
      </w:r>
    </w:p>
    <w:p w14:paraId="666B8DB0" w14:textId="6EF5E797" w:rsidR="00043AF8" w:rsidRPr="00C95274" w:rsidRDefault="0002021E" w:rsidP="00043AF8">
      <w:pPr>
        <w:pStyle w:val="afa"/>
        <w:rPr>
          <w:rFonts w:asciiTheme="minorHAnsi" w:eastAsiaTheme="minorEastAsia" w:hAnsiTheme="minorHAnsi" w:cstheme="minorBidi"/>
          <w:iCs/>
          <w:sz w:val="22"/>
          <w:szCs w:val="22"/>
        </w:rPr>
      </w:pPr>
      <w:hyperlink w:anchor="_Toc214474696" w:history="1">
        <w:r w:rsidR="00043AF8" w:rsidRPr="00C95274">
          <w:rPr>
            <w:rStyle w:val="-"/>
            <w:color w:val="auto"/>
          </w:rPr>
          <w:t>Διάγραμμα 1.1.:</w:t>
        </w:r>
        <w:r w:rsidR="00043AF8" w:rsidRPr="00C95274">
          <w:rPr>
            <w:rStyle w:val="-"/>
            <w:color w:val="auto"/>
          </w:rPr>
          <w:tab/>
          <w:t>Ακαθάριστο διαθέσιμο εισόδημα νοικοκυριών 2010 - 2024</w:t>
        </w:r>
        <w:r w:rsidR="00043AF8" w:rsidRPr="00C95274">
          <w:rPr>
            <w:webHidden/>
          </w:rPr>
          <w:tab/>
        </w:r>
        <w:r w:rsidR="00043AF8" w:rsidRPr="00C95274">
          <w:rPr>
            <w:webHidden/>
          </w:rPr>
          <w:fldChar w:fldCharType="begin"/>
        </w:r>
        <w:r w:rsidR="00043AF8" w:rsidRPr="00C95274">
          <w:rPr>
            <w:webHidden/>
          </w:rPr>
          <w:instrText xml:space="preserve"> PAGEREF _Toc214474696 \h </w:instrText>
        </w:r>
        <w:r w:rsidR="00043AF8" w:rsidRPr="00C95274">
          <w:rPr>
            <w:webHidden/>
          </w:rPr>
        </w:r>
        <w:r w:rsidR="00043AF8" w:rsidRPr="00C95274">
          <w:rPr>
            <w:webHidden/>
          </w:rPr>
          <w:fldChar w:fldCharType="separate"/>
        </w:r>
        <w:r w:rsidR="00E15678">
          <w:rPr>
            <w:webHidden/>
          </w:rPr>
          <w:t>23</w:t>
        </w:r>
        <w:r w:rsidR="00043AF8" w:rsidRPr="00C95274">
          <w:rPr>
            <w:webHidden/>
          </w:rPr>
          <w:fldChar w:fldCharType="end"/>
        </w:r>
      </w:hyperlink>
    </w:p>
    <w:p w14:paraId="47279505" w14:textId="40289F60" w:rsidR="00043AF8" w:rsidRPr="00C95274" w:rsidRDefault="0002021E" w:rsidP="00043AF8">
      <w:pPr>
        <w:pStyle w:val="afa"/>
        <w:rPr>
          <w:rFonts w:asciiTheme="minorHAnsi" w:eastAsiaTheme="minorEastAsia" w:hAnsiTheme="minorHAnsi" w:cstheme="minorBidi"/>
          <w:iCs/>
          <w:sz w:val="22"/>
          <w:szCs w:val="22"/>
        </w:rPr>
      </w:pPr>
      <w:hyperlink w:anchor="_Toc214474697" w:history="1">
        <w:r w:rsidR="00043AF8" w:rsidRPr="00C95274">
          <w:rPr>
            <w:rStyle w:val="-"/>
            <w:rFonts w:cs="Arial"/>
            <w:color w:val="auto"/>
          </w:rPr>
          <w:t>Διάγραμμα 1.2.:</w:t>
        </w:r>
        <w:r w:rsidR="00043AF8" w:rsidRPr="00C95274">
          <w:rPr>
            <w:rStyle w:val="-"/>
            <w:rFonts w:cs="Arial"/>
            <w:color w:val="auto"/>
          </w:rPr>
          <w:tab/>
          <w:t>Ρυθμός μεταβολής του Ακαθάριστου Εγχώριου Προϊόντος κατά το δεύτερο τρίμηνο</w:t>
        </w:r>
        <w:r w:rsidR="006B5821" w:rsidRPr="00C95274">
          <w:rPr>
            <w:rStyle w:val="-"/>
            <w:rFonts w:cs="Arial"/>
            <w:color w:val="auto"/>
          </w:rPr>
          <w:br/>
        </w:r>
        <w:r w:rsidR="00043AF8" w:rsidRPr="00C95274">
          <w:rPr>
            <w:rStyle w:val="-"/>
            <w:rFonts w:cs="Arial"/>
            <w:color w:val="auto"/>
          </w:rPr>
          <w:t>του 2025 στα κράτη - μέλη της ΕΕ</w:t>
        </w:r>
        <w:r w:rsidR="00043AF8" w:rsidRPr="00C95274">
          <w:rPr>
            <w:webHidden/>
          </w:rPr>
          <w:tab/>
        </w:r>
        <w:r w:rsidR="00043AF8" w:rsidRPr="00C95274">
          <w:rPr>
            <w:webHidden/>
          </w:rPr>
          <w:fldChar w:fldCharType="begin"/>
        </w:r>
        <w:r w:rsidR="00043AF8" w:rsidRPr="00C95274">
          <w:rPr>
            <w:webHidden/>
          </w:rPr>
          <w:instrText xml:space="preserve"> PAGEREF _Toc214474697 \h </w:instrText>
        </w:r>
        <w:r w:rsidR="00043AF8" w:rsidRPr="00C95274">
          <w:rPr>
            <w:webHidden/>
          </w:rPr>
        </w:r>
        <w:r w:rsidR="00043AF8" w:rsidRPr="00C95274">
          <w:rPr>
            <w:webHidden/>
          </w:rPr>
          <w:fldChar w:fldCharType="separate"/>
        </w:r>
        <w:r w:rsidR="00E15678">
          <w:rPr>
            <w:webHidden/>
          </w:rPr>
          <w:t>24</w:t>
        </w:r>
        <w:r w:rsidR="00043AF8" w:rsidRPr="00C95274">
          <w:rPr>
            <w:webHidden/>
          </w:rPr>
          <w:fldChar w:fldCharType="end"/>
        </w:r>
      </w:hyperlink>
    </w:p>
    <w:p w14:paraId="548CB2DD" w14:textId="7C5F8B1B" w:rsidR="00043AF8" w:rsidRPr="00C95274" w:rsidRDefault="0002021E" w:rsidP="00043AF8">
      <w:pPr>
        <w:pStyle w:val="afa"/>
        <w:rPr>
          <w:rFonts w:asciiTheme="minorHAnsi" w:eastAsiaTheme="minorEastAsia" w:hAnsiTheme="minorHAnsi" w:cstheme="minorBidi"/>
          <w:iCs/>
          <w:sz w:val="22"/>
          <w:szCs w:val="22"/>
        </w:rPr>
      </w:pPr>
      <w:hyperlink w:anchor="_Toc214474698" w:history="1">
        <w:r w:rsidR="00043AF8" w:rsidRPr="00C95274">
          <w:rPr>
            <w:rStyle w:val="-"/>
            <w:color w:val="auto"/>
          </w:rPr>
          <w:t>Διάγραμμα 1.3.</w:t>
        </w:r>
        <w:r w:rsidR="00043AF8" w:rsidRPr="00C95274">
          <w:rPr>
            <w:rStyle w:val="-"/>
            <w:rFonts w:cs="Arial"/>
            <w:color w:val="auto"/>
          </w:rPr>
          <w:t>:</w:t>
        </w:r>
        <w:r w:rsidR="00043AF8" w:rsidRPr="00C95274">
          <w:rPr>
            <w:rStyle w:val="-"/>
            <w:rFonts w:cs="Arial"/>
            <w:color w:val="auto"/>
          </w:rPr>
          <w:tab/>
          <w:t>Εξέλιξη συμβολής συνιστωσών στο ΑΕΠ (τριμηνιαία στοιχεία)</w:t>
        </w:r>
        <w:r w:rsidR="00043AF8" w:rsidRPr="00C95274">
          <w:rPr>
            <w:webHidden/>
          </w:rPr>
          <w:tab/>
        </w:r>
        <w:r w:rsidR="00043AF8" w:rsidRPr="00C95274">
          <w:rPr>
            <w:webHidden/>
          </w:rPr>
          <w:fldChar w:fldCharType="begin"/>
        </w:r>
        <w:r w:rsidR="00043AF8" w:rsidRPr="00C95274">
          <w:rPr>
            <w:webHidden/>
          </w:rPr>
          <w:instrText xml:space="preserve"> PAGEREF _Toc214474698 \h </w:instrText>
        </w:r>
        <w:r w:rsidR="00043AF8" w:rsidRPr="00C95274">
          <w:rPr>
            <w:webHidden/>
          </w:rPr>
        </w:r>
        <w:r w:rsidR="00043AF8" w:rsidRPr="00C95274">
          <w:rPr>
            <w:webHidden/>
          </w:rPr>
          <w:fldChar w:fldCharType="separate"/>
        </w:r>
        <w:r w:rsidR="00E15678">
          <w:rPr>
            <w:webHidden/>
          </w:rPr>
          <w:t>25</w:t>
        </w:r>
        <w:r w:rsidR="00043AF8" w:rsidRPr="00C95274">
          <w:rPr>
            <w:webHidden/>
          </w:rPr>
          <w:fldChar w:fldCharType="end"/>
        </w:r>
      </w:hyperlink>
    </w:p>
    <w:p w14:paraId="34B69E27" w14:textId="5F2AF281" w:rsidR="00043AF8" w:rsidRPr="00C95274" w:rsidRDefault="0002021E" w:rsidP="00043AF8">
      <w:pPr>
        <w:pStyle w:val="afa"/>
        <w:rPr>
          <w:rFonts w:asciiTheme="minorHAnsi" w:eastAsiaTheme="minorEastAsia" w:hAnsiTheme="minorHAnsi" w:cstheme="minorBidi"/>
          <w:iCs/>
          <w:sz w:val="22"/>
          <w:szCs w:val="22"/>
        </w:rPr>
      </w:pPr>
      <w:hyperlink w:anchor="_Toc214474699" w:history="1">
        <w:r w:rsidR="00043AF8" w:rsidRPr="00C95274">
          <w:rPr>
            <w:rStyle w:val="-"/>
            <w:color w:val="auto"/>
          </w:rPr>
          <w:t>Διάγραμμα 1.4.:</w:t>
        </w:r>
        <w:r w:rsidR="00043AF8" w:rsidRPr="00C95274">
          <w:rPr>
            <w:rStyle w:val="-"/>
            <w:color w:val="auto"/>
          </w:rPr>
          <w:tab/>
          <w:t>Διάρθρωση Ακαθάριστης Προστιθέμενης Αξίας βασικών οικονομικών κλάδων</w:t>
        </w:r>
        <w:r w:rsidR="006B5821" w:rsidRPr="00C95274">
          <w:rPr>
            <w:rStyle w:val="-"/>
            <w:color w:val="auto"/>
          </w:rPr>
          <w:br/>
        </w:r>
        <w:r w:rsidR="00043AF8" w:rsidRPr="00C95274">
          <w:rPr>
            <w:rStyle w:val="-"/>
            <w:color w:val="auto"/>
          </w:rPr>
          <w:t>πρώτο τρίμηνο 2022 - δεύτερο τρίμηνο 2025</w:t>
        </w:r>
        <w:r w:rsidR="00043AF8" w:rsidRPr="00C95274">
          <w:rPr>
            <w:webHidden/>
          </w:rPr>
          <w:tab/>
        </w:r>
        <w:r w:rsidR="00043AF8" w:rsidRPr="00C95274">
          <w:rPr>
            <w:webHidden/>
          </w:rPr>
          <w:fldChar w:fldCharType="begin"/>
        </w:r>
        <w:r w:rsidR="00043AF8" w:rsidRPr="00C95274">
          <w:rPr>
            <w:webHidden/>
          </w:rPr>
          <w:instrText xml:space="preserve"> PAGEREF _Toc214474699 \h </w:instrText>
        </w:r>
        <w:r w:rsidR="00043AF8" w:rsidRPr="00C95274">
          <w:rPr>
            <w:webHidden/>
          </w:rPr>
        </w:r>
        <w:r w:rsidR="00043AF8" w:rsidRPr="00C95274">
          <w:rPr>
            <w:webHidden/>
          </w:rPr>
          <w:fldChar w:fldCharType="separate"/>
        </w:r>
        <w:r w:rsidR="00E15678">
          <w:rPr>
            <w:webHidden/>
          </w:rPr>
          <w:t>26</w:t>
        </w:r>
        <w:r w:rsidR="00043AF8" w:rsidRPr="00C95274">
          <w:rPr>
            <w:webHidden/>
          </w:rPr>
          <w:fldChar w:fldCharType="end"/>
        </w:r>
      </w:hyperlink>
    </w:p>
    <w:p w14:paraId="5CDE1E26" w14:textId="3C868F97" w:rsidR="00043AF8" w:rsidRPr="00C95274" w:rsidRDefault="0002021E" w:rsidP="00043AF8">
      <w:pPr>
        <w:pStyle w:val="afa"/>
        <w:rPr>
          <w:rFonts w:asciiTheme="minorHAnsi" w:eastAsiaTheme="minorEastAsia" w:hAnsiTheme="minorHAnsi" w:cstheme="minorBidi"/>
          <w:iCs/>
          <w:sz w:val="22"/>
          <w:szCs w:val="22"/>
        </w:rPr>
      </w:pPr>
      <w:hyperlink w:anchor="_Toc214474700" w:history="1">
        <w:r w:rsidR="00043AF8" w:rsidRPr="00C95274">
          <w:rPr>
            <w:rStyle w:val="-"/>
            <w:color w:val="auto"/>
          </w:rPr>
          <w:t>Διάγραμμα 1.5.:</w:t>
        </w:r>
        <w:r w:rsidR="00043AF8" w:rsidRPr="00C95274">
          <w:rPr>
            <w:rStyle w:val="-"/>
            <w:rFonts w:cs="Arial"/>
            <w:color w:val="auto"/>
          </w:rPr>
          <w:tab/>
          <w:t>Ετήσιος Εν.ΔΤΚ, ενέργεια, πυρήνας και τρόφιμα</w:t>
        </w:r>
        <w:r w:rsidR="00043AF8" w:rsidRPr="00C95274">
          <w:rPr>
            <w:webHidden/>
          </w:rPr>
          <w:tab/>
        </w:r>
        <w:r w:rsidR="00043AF8" w:rsidRPr="00C95274">
          <w:rPr>
            <w:webHidden/>
          </w:rPr>
          <w:fldChar w:fldCharType="begin"/>
        </w:r>
        <w:r w:rsidR="00043AF8" w:rsidRPr="00C95274">
          <w:rPr>
            <w:webHidden/>
          </w:rPr>
          <w:instrText xml:space="preserve"> PAGEREF _Toc214474700 \h </w:instrText>
        </w:r>
        <w:r w:rsidR="00043AF8" w:rsidRPr="00C95274">
          <w:rPr>
            <w:webHidden/>
          </w:rPr>
        </w:r>
        <w:r w:rsidR="00043AF8" w:rsidRPr="00C95274">
          <w:rPr>
            <w:webHidden/>
          </w:rPr>
          <w:fldChar w:fldCharType="separate"/>
        </w:r>
        <w:r w:rsidR="00E15678">
          <w:rPr>
            <w:webHidden/>
          </w:rPr>
          <w:t>28</w:t>
        </w:r>
        <w:r w:rsidR="00043AF8" w:rsidRPr="00C95274">
          <w:rPr>
            <w:webHidden/>
          </w:rPr>
          <w:fldChar w:fldCharType="end"/>
        </w:r>
      </w:hyperlink>
    </w:p>
    <w:p w14:paraId="50378BCB" w14:textId="4AB907D1" w:rsidR="00043AF8" w:rsidRPr="00C95274" w:rsidRDefault="0002021E" w:rsidP="00043AF8">
      <w:pPr>
        <w:pStyle w:val="afa"/>
        <w:rPr>
          <w:rFonts w:asciiTheme="minorHAnsi" w:eastAsiaTheme="minorEastAsia" w:hAnsiTheme="minorHAnsi" w:cstheme="minorBidi"/>
          <w:iCs/>
          <w:sz w:val="22"/>
          <w:szCs w:val="22"/>
        </w:rPr>
      </w:pPr>
      <w:hyperlink w:anchor="_Toc214474701" w:history="1">
        <w:r w:rsidR="00043AF8" w:rsidRPr="00C95274">
          <w:rPr>
            <w:rStyle w:val="-"/>
            <w:color w:val="auto"/>
          </w:rPr>
          <w:t>Διάγραμμα 1.6.:</w:t>
        </w:r>
        <w:r w:rsidR="00043AF8" w:rsidRPr="00C95274">
          <w:rPr>
            <w:rStyle w:val="-"/>
            <w:color w:val="auto"/>
          </w:rPr>
          <w:tab/>
          <w:t>Το ε</w:t>
        </w:r>
        <w:r w:rsidR="00043AF8" w:rsidRPr="00C95274">
          <w:rPr>
            <w:rStyle w:val="-"/>
            <w:rFonts w:cs="Arial"/>
            <w:color w:val="auto"/>
          </w:rPr>
          <w:t>πενδυτικό κενό της Ελλάδας έναντι της Ευρωζώνης</w:t>
        </w:r>
        <w:r w:rsidR="00043AF8" w:rsidRPr="00C95274">
          <w:rPr>
            <w:webHidden/>
          </w:rPr>
          <w:tab/>
        </w:r>
        <w:r w:rsidR="00043AF8" w:rsidRPr="00C95274">
          <w:rPr>
            <w:webHidden/>
          </w:rPr>
          <w:fldChar w:fldCharType="begin"/>
        </w:r>
        <w:r w:rsidR="00043AF8" w:rsidRPr="00C95274">
          <w:rPr>
            <w:webHidden/>
          </w:rPr>
          <w:instrText xml:space="preserve"> PAGEREF _Toc214474701 \h </w:instrText>
        </w:r>
        <w:r w:rsidR="00043AF8" w:rsidRPr="00C95274">
          <w:rPr>
            <w:webHidden/>
          </w:rPr>
        </w:r>
        <w:r w:rsidR="00043AF8" w:rsidRPr="00C95274">
          <w:rPr>
            <w:webHidden/>
          </w:rPr>
          <w:fldChar w:fldCharType="separate"/>
        </w:r>
        <w:r w:rsidR="00E15678">
          <w:rPr>
            <w:webHidden/>
          </w:rPr>
          <w:t>36</w:t>
        </w:r>
        <w:r w:rsidR="00043AF8" w:rsidRPr="00C95274">
          <w:rPr>
            <w:webHidden/>
          </w:rPr>
          <w:fldChar w:fldCharType="end"/>
        </w:r>
      </w:hyperlink>
    </w:p>
    <w:p w14:paraId="5D2F61B9" w14:textId="0799086A" w:rsidR="0083414B" w:rsidRPr="00C95274" w:rsidRDefault="0002021E" w:rsidP="001E57A8">
      <w:pPr>
        <w:pStyle w:val="afa"/>
      </w:pPr>
      <w:hyperlink w:anchor="_Toc214474702" w:history="1">
        <w:r w:rsidR="00043AF8" w:rsidRPr="00C95274">
          <w:rPr>
            <w:rStyle w:val="-"/>
            <w:color w:val="auto"/>
          </w:rPr>
          <w:t>Διάγραμμα 1.7.:</w:t>
        </w:r>
        <w:r w:rsidR="00043AF8" w:rsidRPr="00C95274">
          <w:rPr>
            <w:rStyle w:val="-"/>
            <w:color w:val="auto"/>
          </w:rPr>
          <w:tab/>
          <w:t>Ρυθμός μεταβολής κατά κεφαλήν ΑΕΠ</w:t>
        </w:r>
        <w:r w:rsidR="00043AF8" w:rsidRPr="00C95274">
          <w:rPr>
            <w:webHidden/>
          </w:rPr>
          <w:tab/>
        </w:r>
        <w:r w:rsidR="00043AF8" w:rsidRPr="00C95274">
          <w:rPr>
            <w:webHidden/>
          </w:rPr>
          <w:fldChar w:fldCharType="begin"/>
        </w:r>
        <w:r w:rsidR="00043AF8" w:rsidRPr="00C95274">
          <w:rPr>
            <w:webHidden/>
          </w:rPr>
          <w:instrText xml:space="preserve"> PAGEREF _Toc214474702 \h </w:instrText>
        </w:r>
        <w:r w:rsidR="00043AF8" w:rsidRPr="00C95274">
          <w:rPr>
            <w:webHidden/>
          </w:rPr>
        </w:r>
        <w:r w:rsidR="00043AF8" w:rsidRPr="00C95274">
          <w:rPr>
            <w:webHidden/>
          </w:rPr>
          <w:fldChar w:fldCharType="separate"/>
        </w:r>
        <w:r w:rsidR="00E15678">
          <w:rPr>
            <w:webHidden/>
          </w:rPr>
          <w:t>37</w:t>
        </w:r>
        <w:r w:rsidR="00043AF8" w:rsidRPr="00C95274">
          <w:rPr>
            <w:webHidden/>
          </w:rPr>
          <w:fldChar w:fldCharType="end"/>
        </w:r>
      </w:hyperlink>
      <w:r w:rsidR="005B53F2" w:rsidRPr="00C95274">
        <w:fldChar w:fldCharType="end"/>
      </w:r>
      <w:r w:rsidR="0078482F" w:rsidRPr="00C95274">
        <w:fldChar w:fldCharType="begin"/>
      </w:r>
      <w:r w:rsidR="0078482F" w:rsidRPr="00C95274">
        <w:instrText xml:space="preserve"> TOC \h \z \c "Διάγραμμα 2. " </w:instrText>
      </w:r>
      <w:r w:rsidR="0078482F" w:rsidRPr="00C95274">
        <w:fldChar w:fldCharType="separate"/>
      </w:r>
    </w:p>
    <w:p w14:paraId="7DC4E792" w14:textId="1A8E9792" w:rsidR="0083414B" w:rsidRPr="00C95274" w:rsidRDefault="0002021E" w:rsidP="001E57A8">
      <w:pPr>
        <w:pStyle w:val="afa"/>
      </w:pPr>
      <w:hyperlink w:anchor="_Toc182931562" w:history="1">
        <w:r w:rsidR="0083414B" w:rsidRPr="00C95274">
          <w:t>Διάγραμμα 2.1.:</w:t>
        </w:r>
        <w:r w:rsidR="0083414B" w:rsidRPr="00C95274">
          <w:tab/>
          <w:t>Προϋπολογιζόμενη Δαπάνη Γενικής Κυβέρνησης ανά Πρόγραμμα</w:t>
        </w:r>
        <w:r w:rsidR="0083414B" w:rsidRPr="00C95274">
          <w:br/>
          <w:t>(Προ</w:t>
        </w:r>
        <w:r w:rsidR="0027453D" w:rsidRPr="00C95274">
          <w:t>εδρία</w:t>
        </w:r>
        <w:r w:rsidR="0083414B" w:rsidRPr="00C95274">
          <w:t xml:space="preserve"> της Δημοκρατίας)</w:t>
        </w:r>
        <w:r w:rsidR="0083414B" w:rsidRPr="00C95274">
          <w:rPr>
            <w:webHidden/>
          </w:rPr>
          <w:tab/>
        </w:r>
        <w:r w:rsidR="0083414B" w:rsidRPr="00C95274">
          <w:rPr>
            <w:webHidden/>
          </w:rPr>
          <w:fldChar w:fldCharType="begin"/>
        </w:r>
        <w:r w:rsidR="0083414B" w:rsidRPr="00C95274">
          <w:rPr>
            <w:webHidden/>
          </w:rPr>
          <w:instrText xml:space="preserve"> PAGEREF _Toc182931562 \h </w:instrText>
        </w:r>
        <w:r w:rsidR="0083414B" w:rsidRPr="00C95274">
          <w:rPr>
            <w:webHidden/>
          </w:rPr>
        </w:r>
        <w:r w:rsidR="0083414B" w:rsidRPr="00C95274">
          <w:rPr>
            <w:webHidden/>
          </w:rPr>
          <w:fldChar w:fldCharType="separate"/>
        </w:r>
        <w:r w:rsidR="00E15678">
          <w:rPr>
            <w:webHidden/>
          </w:rPr>
          <w:t>44</w:t>
        </w:r>
        <w:r w:rsidR="0083414B" w:rsidRPr="00C95274">
          <w:rPr>
            <w:webHidden/>
          </w:rPr>
          <w:fldChar w:fldCharType="end"/>
        </w:r>
      </w:hyperlink>
    </w:p>
    <w:p w14:paraId="05F4C56D" w14:textId="615729C7" w:rsidR="0083414B" w:rsidRPr="00C95274" w:rsidRDefault="0002021E" w:rsidP="001E57A8">
      <w:pPr>
        <w:pStyle w:val="afa"/>
      </w:pPr>
      <w:hyperlink w:anchor="_Toc182931563" w:history="1">
        <w:r w:rsidR="0083414B" w:rsidRPr="00C95274">
          <w:t>Διάγραμμα 2.2.:</w:t>
        </w:r>
        <w:r w:rsidR="0083414B" w:rsidRPr="00C95274">
          <w:tab/>
          <w:t>Προϋπολογιζόμενη Δαπάνη Γενικής Κυβέρνησης ανά Πρόγραμμα</w:t>
        </w:r>
        <w:r w:rsidR="0083414B" w:rsidRPr="00C95274">
          <w:br/>
          <w:t>(Βουλή των Ελλήνων)</w:t>
        </w:r>
        <w:r w:rsidR="0083414B" w:rsidRPr="00C95274">
          <w:rPr>
            <w:webHidden/>
          </w:rPr>
          <w:tab/>
        </w:r>
        <w:r w:rsidR="0083414B" w:rsidRPr="00C95274">
          <w:rPr>
            <w:webHidden/>
          </w:rPr>
          <w:fldChar w:fldCharType="begin"/>
        </w:r>
        <w:r w:rsidR="0083414B" w:rsidRPr="00C95274">
          <w:rPr>
            <w:webHidden/>
          </w:rPr>
          <w:instrText xml:space="preserve"> PAGEREF _Toc182931563 \h </w:instrText>
        </w:r>
        <w:r w:rsidR="0083414B" w:rsidRPr="00C95274">
          <w:rPr>
            <w:webHidden/>
          </w:rPr>
        </w:r>
        <w:r w:rsidR="0083414B" w:rsidRPr="00C95274">
          <w:rPr>
            <w:webHidden/>
          </w:rPr>
          <w:fldChar w:fldCharType="separate"/>
        </w:r>
        <w:r w:rsidR="00E15678">
          <w:rPr>
            <w:webHidden/>
          </w:rPr>
          <w:t>45</w:t>
        </w:r>
        <w:r w:rsidR="0083414B" w:rsidRPr="00C95274">
          <w:rPr>
            <w:webHidden/>
          </w:rPr>
          <w:fldChar w:fldCharType="end"/>
        </w:r>
      </w:hyperlink>
    </w:p>
    <w:p w14:paraId="1A46A3F7" w14:textId="30666DA4" w:rsidR="0083414B" w:rsidRPr="00C95274" w:rsidRDefault="0002021E" w:rsidP="001E57A8">
      <w:pPr>
        <w:pStyle w:val="afa"/>
      </w:pPr>
      <w:hyperlink w:anchor="_Toc182931564" w:history="1">
        <w:r w:rsidR="0083414B" w:rsidRPr="00C95274">
          <w:t>Διάγραμμα 2.3.:</w:t>
        </w:r>
        <w:r w:rsidR="0083414B" w:rsidRPr="00C95274">
          <w:tab/>
          <w:t>Προϋπολογιζόμενη Δαπάνη Κρατικού Προϋπολογισμού ανά Πρόγραμμα</w:t>
        </w:r>
        <w:r w:rsidR="0083414B" w:rsidRPr="00C95274">
          <w:br/>
          <w:t>(Προεδρία της Κυβέρνησης)</w:t>
        </w:r>
        <w:r w:rsidR="0083414B" w:rsidRPr="00C95274">
          <w:rPr>
            <w:webHidden/>
          </w:rPr>
          <w:tab/>
        </w:r>
        <w:r w:rsidR="0083414B" w:rsidRPr="00C95274">
          <w:rPr>
            <w:webHidden/>
          </w:rPr>
          <w:fldChar w:fldCharType="begin"/>
        </w:r>
        <w:r w:rsidR="0083414B" w:rsidRPr="00C95274">
          <w:rPr>
            <w:webHidden/>
          </w:rPr>
          <w:instrText xml:space="preserve"> PAGEREF _Toc182931564 \h </w:instrText>
        </w:r>
        <w:r w:rsidR="0083414B" w:rsidRPr="00C95274">
          <w:rPr>
            <w:webHidden/>
          </w:rPr>
        </w:r>
        <w:r w:rsidR="0083414B" w:rsidRPr="00C95274">
          <w:rPr>
            <w:webHidden/>
          </w:rPr>
          <w:fldChar w:fldCharType="separate"/>
        </w:r>
        <w:r w:rsidR="00E15678">
          <w:rPr>
            <w:webHidden/>
          </w:rPr>
          <w:t>46</w:t>
        </w:r>
        <w:r w:rsidR="0083414B" w:rsidRPr="00C95274">
          <w:rPr>
            <w:webHidden/>
          </w:rPr>
          <w:fldChar w:fldCharType="end"/>
        </w:r>
      </w:hyperlink>
    </w:p>
    <w:p w14:paraId="230D0B81" w14:textId="758EE226" w:rsidR="0083414B" w:rsidRPr="00C95274" w:rsidRDefault="0002021E" w:rsidP="001E57A8">
      <w:pPr>
        <w:pStyle w:val="afa"/>
      </w:pPr>
      <w:hyperlink w:anchor="_Toc182931565" w:history="1">
        <w:r w:rsidR="0083414B" w:rsidRPr="00C95274">
          <w:t>Διάγραμμα 2.4.:</w:t>
        </w:r>
        <w:r w:rsidR="0083414B" w:rsidRPr="00C95274">
          <w:tab/>
          <w:t>Προϋπολογιζόμενη Δαπάνη Γενικής Κυβέρνησης ανά Πρόγραμμα</w:t>
        </w:r>
        <w:r w:rsidR="0083414B" w:rsidRPr="00C95274">
          <w:br/>
          <w:t>(Προεδρία της Κυβέρνησης)</w:t>
        </w:r>
        <w:r w:rsidR="0083414B" w:rsidRPr="00C95274">
          <w:rPr>
            <w:webHidden/>
          </w:rPr>
          <w:tab/>
        </w:r>
        <w:r w:rsidR="0083414B" w:rsidRPr="00C95274">
          <w:rPr>
            <w:webHidden/>
          </w:rPr>
          <w:fldChar w:fldCharType="begin"/>
        </w:r>
        <w:r w:rsidR="0083414B" w:rsidRPr="00C95274">
          <w:rPr>
            <w:webHidden/>
          </w:rPr>
          <w:instrText xml:space="preserve"> PAGEREF _Toc182931565 \h </w:instrText>
        </w:r>
        <w:r w:rsidR="0083414B" w:rsidRPr="00C95274">
          <w:rPr>
            <w:webHidden/>
          </w:rPr>
        </w:r>
        <w:r w:rsidR="0083414B" w:rsidRPr="00C95274">
          <w:rPr>
            <w:webHidden/>
          </w:rPr>
          <w:fldChar w:fldCharType="separate"/>
        </w:r>
        <w:r w:rsidR="00E15678">
          <w:rPr>
            <w:webHidden/>
          </w:rPr>
          <w:t>46</w:t>
        </w:r>
        <w:r w:rsidR="0083414B" w:rsidRPr="00C95274">
          <w:rPr>
            <w:webHidden/>
          </w:rPr>
          <w:fldChar w:fldCharType="end"/>
        </w:r>
      </w:hyperlink>
    </w:p>
    <w:p w14:paraId="467F265C" w14:textId="1B08EB9F" w:rsidR="0083414B" w:rsidRPr="00C95274" w:rsidRDefault="0002021E" w:rsidP="001E57A8">
      <w:pPr>
        <w:pStyle w:val="afa"/>
      </w:pPr>
      <w:hyperlink w:anchor="_Toc182931566" w:history="1">
        <w:r w:rsidR="0083414B" w:rsidRPr="00C95274">
          <w:t>Διάγραμμα 2.5.:</w:t>
        </w:r>
        <w:r w:rsidR="0083414B" w:rsidRPr="00C95274">
          <w:tab/>
          <w:t xml:space="preserve">Ανθρώπινοι </w:t>
        </w:r>
        <w:r w:rsidR="00E10C6D" w:rsidRPr="00C95274">
          <w:t>π</w:t>
        </w:r>
        <w:r w:rsidR="0083414B" w:rsidRPr="00C95274">
          <w:t>όροι ανά Πρόγραμμα</w:t>
        </w:r>
        <w:r w:rsidR="0083414B" w:rsidRPr="00C95274">
          <w:br/>
          <w:t>(Προεδρία της Κυβέρνησης)</w:t>
        </w:r>
        <w:r w:rsidR="0083414B" w:rsidRPr="00C95274">
          <w:rPr>
            <w:webHidden/>
          </w:rPr>
          <w:tab/>
        </w:r>
        <w:r w:rsidR="0083414B" w:rsidRPr="00C95274">
          <w:rPr>
            <w:webHidden/>
          </w:rPr>
          <w:fldChar w:fldCharType="begin"/>
        </w:r>
        <w:r w:rsidR="0083414B" w:rsidRPr="00C95274">
          <w:rPr>
            <w:webHidden/>
          </w:rPr>
          <w:instrText xml:space="preserve"> PAGEREF _Toc182931566 \h </w:instrText>
        </w:r>
        <w:r w:rsidR="0083414B" w:rsidRPr="00C95274">
          <w:rPr>
            <w:webHidden/>
          </w:rPr>
        </w:r>
        <w:r w:rsidR="0083414B" w:rsidRPr="00C95274">
          <w:rPr>
            <w:webHidden/>
          </w:rPr>
          <w:fldChar w:fldCharType="separate"/>
        </w:r>
        <w:r w:rsidR="00E15678">
          <w:rPr>
            <w:webHidden/>
          </w:rPr>
          <w:t>46</w:t>
        </w:r>
        <w:r w:rsidR="0083414B" w:rsidRPr="00C95274">
          <w:rPr>
            <w:webHidden/>
          </w:rPr>
          <w:fldChar w:fldCharType="end"/>
        </w:r>
      </w:hyperlink>
    </w:p>
    <w:p w14:paraId="16EF70BD" w14:textId="07D6247B" w:rsidR="0083414B" w:rsidRPr="00C95274" w:rsidRDefault="0002021E" w:rsidP="001E57A8">
      <w:pPr>
        <w:pStyle w:val="afa"/>
      </w:pPr>
      <w:hyperlink w:anchor="_Toc182931567" w:history="1">
        <w:r w:rsidR="0083414B" w:rsidRPr="00C95274">
          <w:t>Διάγραμμα 2.6.:</w:t>
        </w:r>
        <w:r w:rsidR="0083414B" w:rsidRPr="00C95274">
          <w:tab/>
          <w:t>Προϋπολογιζόμενη Δαπάνη Κρατικού Προϋπολογισμού ανά Πρόγραμμα</w:t>
        </w:r>
        <w:r w:rsidR="0083414B" w:rsidRPr="00C95274">
          <w:br/>
          <w:t>(Υπουργείο Εσωτερικών)</w:t>
        </w:r>
        <w:r w:rsidR="0083414B" w:rsidRPr="00C95274">
          <w:rPr>
            <w:webHidden/>
          </w:rPr>
          <w:tab/>
        </w:r>
        <w:r w:rsidR="0083414B" w:rsidRPr="00C95274">
          <w:rPr>
            <w:webHidden/>
          </w:rPr>
          <w:fldChar w:fldCharType="begin"/>
        </w:r>
        <w:r w:rsidR="0083414B" w:rsidRPr="00C95274">
          <w:rPr>
            <w:webHidden/>
          </w:rPr>
          <w:instrText xml:space="preserve"> PAGEREF _Toc182931567 \h </w:instrText>
        </w:r>
        <w:r w:rsidR="0083414B" w:rsidRPr="00C95274">
          <w:rPr>
            <w:webHidden/>
          </w:rPr>
        </w:r>
        <w:r w:rsidR="0083414B" w:rsidRPr="00C95274">
          <w:rPr>
            <w:webHidden/>
          </w:rPr>
          <w:fldChar w:fldCharType="separate"/>
        </w:r>
        <w:r w:rsidR="00E15678">
          <w:rPr>
            <w:webHidden/>
          </w:rPr>
          <w:t>47</w:t>
        </w:r>
        <w:r w:rsidR="0083414B" w:rsidRPr="00C95274">
          <w:rPr>
            <w:webHidden/>
          </w:rPr>
          <w:fldChar w:fldCharType="end"/>
        </w:r>
      </w:hyperlink>
    </w:p>
    <w:p w14:paraId="7AC4C9EA" w14:textId="3329D1C7" w:rsidR="0083414B" w:rsidRPr="00C95274" w:rsidRDefault="0002021E" w:rsidP="001E57A8">
      <w:pPr>
        <w:pStyle w:val="afa"/>
      </w:pPr>
      <w:hyperlink w:anchor="_Toc182931568" w:history="1">
        <w:r w:rsidR="0083414B" w:rsidRPr="00C95274">
          <w:t>Διάγραμμα 2.7.:</w:t>
        </w:r>
        <w:r w:rsidR="0083414B" w:rsidRPr="00C95274">
          <w:tab/>
          <w:t>Προϋπολογιζόμενη Δαπάνη Γενικής Κυβέρνησης ανά Πρόγραμμα</w:t>
        </w:r>
        <w:r w:rsidR="0083414B" w:rsidRPr="00C95274">
          <w:br/>
          <w:t>(Υπουργείο Εσωτερικών)</w:t>
        </w:r>
        <w:r w:rsidR="0083414B" w:rsidRPr="00C95274">
          <w:rPr>
            <w:webHidden/>
          </w:rPr>
          <w:tab/>
        </w:r>
        <w:r w:rsidR="0083414B" w:rsidRPr="00C95274">
          <w:rPr>
            <w:webHidden/>
          </w:rPr>
          <w:fldChar w:fldCharType="begin"/>
        </w:r>
        <w:r w:rsidR="0083414B" w:rsidRPr="00C95274">
          <w:rPr>
            <w:webHidden/>
          </w:rPr>
          <w:instrText xml:space="preserve"> PAGEREF _Toc182931568 \h </w:instrText>
        </w:r>
        <w:r w:rsidR="0083414B" w:rsidRPr="00C95274">
          <w:rPr>
            <w:webHidden/>
          </w:rPr>
        </w:r>
        <w:r w:rsidR="0083414B" w:rsidRPr="00C95274">
          <w:rPr>
            <w:webHidden/>
          </w:rPr>
          <w:fldChar w:fldCharType="separate"/>
        </w:r>
        <w:r w:rsidR="00E15678">
          <w:rPr>
            <w:webHidden/>
          </w:rPr>
          <w:t>47</w:t>
        </w:r>
        <w:r w:rsidR="0083414B" w:rsidRPr="00C95274">
          <w:rPr>
            <w:webHidden/>
          </w:rPr>
          <w:fldChar w:fldCharType="end"/>
        </w:r>
      </w:hyperlink>
    </w:p>
    <w:p w14:paraId="6A830C3E" w14:textId="49C398F2" w:rsidR="0083414B" w:rsidRPr="00C95274" w:rsidRDefault="0002021E" w:rsidP="001E57A8">
      <w:pPr>
        <w:pStyle w:val="afa"/>
      </w:pPr>
      <w:hyperlink w:anchor="_Toc182931569" w:history="1">
        <w:r w:rsidR="0083414B" w:rsidRPr="00C95274">
          <w:t>Διάγραμμα 2.8.:</w:t>
        </w:r>
        <w:r w:rsidR="0083414B" w:rsidRPr="00C95274">
          <w:tab/>
          <w:t xml:space="preserve">Ανθρώπινοι </w:t>
        </w:r>
        <w:r w:rsidR="00E10C6D" w:rsidRPr="00C95274">
          <w:t>π</w:t>
        </w:r>
        <w:r w:rsidR="0083414B" w:rsidRPr="00C95274">
          <w:t>όροι ανά Πρόγραμμα</w:t>
        </w:r>
        <w:r w:rsidR="0083414B" w:rsidRPr="00C95274">
          <w:br/>
          <w:t>(Υπουργείο Εσωτερικών)</w:t>
        </w:r>
        <w:r w:rsidR="0083414B" w:rsidRPr="00C95274">
          <w:rPr>
            <w:webHidden/>
          </w:rPr>
          <w:tab/>
        </w:r>
        <w:r w:rsidR="0083414B" w:rsidRPr="00C95274">
          <w:rPr>
            <w:webHidden/>
          </w:rPr>
          <w:fldChar w:fldCharType="begin"/>
        </w:r>
        <w:r w:rsidR="0083414B" w:rsidRPr="00C95274">
          <w:rPr>
            <w:webHidden/>
          </w:rPr>
          <w:instrText xml:space="preserve"> PAGEREF _Toc182931569 \h </w:instrText>
        </w:r>
        <w:r w:rsidR="0083414B" w:rsidRPr="00C95274">
          <w:rPr>
            <w:webHidden/>
          </w:rPr>
        </w:r>
        <w:r w:rsidR="0083414B" w:rsidRPr="00C95274">
          <w:rPr>
            <w:webHidden/>
          </w:rPr>
          <w:fldChar w:fldCharType="separate"/>
        </w:r>
        <w:r w:rsidR="00E15678">
          <w:rPr>
            <w:webHidden/>
          </w:rPr>
          <w:t>47</w:t>
        </w:r>
        <w:r w:rsidR="0083414B" w:rsidRPr="00C95274">
          <w:rPr>
            <w:webHidden/>
          </w:rPr>
          <w:fldChar w:fldCharType="end"/>
        </w:r>
      </w:hyperlink>
    </w:p>
    <w:p w14:paraId="407998A4" w14:textId="7FC082CA" w:rsidR="0083414B" w:rsidRPr="00C95274" w:rsidRDefault="0002021E" w:rsidP="001E57A8">
      <w:pPr>
        <w:pStyle w:val="afa"/>
      </w:pPr>
      <w:hyperlink w:anchor="_Toc182931570" w:history="1">
        <w:r w:rsidR="0083414B" w:rsidRPr="00C95274">
          <w:t>Διάγραμμα 2.9.:</w:t>
        </w:r>
        <w:r w:rsidR="0083414B" w:rsidRPr="00C95274">
          <w:tab/>
          <w:t>Προϋπολογιζόμενη Δαπάνη Κρατικού Προϋπολογισμού ανά Πρόγραμμα</w:t>
        </w:r>
        <w:r w:rsidR="0083414B" w:rsidRPr="00C95274">
          <w:br/>
          <w:t>(Υπουργείο Εξωτερικών)</w:t>
        </w:r>
        <w:r w:rsidR="0083414B" w:rsidRPr="00C95274">
          <w:rPr>
            <w:webHidden/>
          </w:rPr>
          <w:tab/>
        </w:r>
        <w:r w:rsidR="0083414B" w:rsidRPr="00C95274">
          <w:rPr>
            <w:webHidden/>
          </w:rPr>
          <w:fldChar w:fldCharType="begin"/>
        </w:r>
        <w:r w:rsidR="0083414B" w:rsidRPr="00C95274">
          <w:rPr>
            <w:webHidden/>
          </w:rPr>
          <w:instrText xml:space="preserve"> PAGEREF _Toc182931570 \h </w:instrText>
        </w:r>
        <w:r w:rsidR="0083414B" w:rsidRPr="00C95274">
          <w:rPr>
            <w:webHidden/>
          </w:rPr>
        </w:r>
        <w:r w:rsidR="0083414B" w:rsidRPr="00C95274">
          <w:rPr>
            <w:webHidden/>
          </w:rPr>
          <w:fldChar w:fldCharType="separate"/>
        </w:r>
        <w:r w:rsidR="00E15678">
          <w:rPr>
            <w:webHidden/>
          </w:rPr>
          <w:t>48</w:t>
        </w:r>
        <w:r w:rsidR="0083414B" w:rsidRPr="00C95274">
          <w:rPr>
            <w:webHidden/>
          </w:rPr>
          <w:fldChar w:fldCharType="end"/>
        </w:r>
      </w:hyperlink>
    </w:p>
    <w:p w14:paraId="13E1978F" w14:textId="5410DA07" w:rsidR="0083414B" w:rsidRPr="00C95274" w:rsidRDefault="0002021E" w:rsidP="001E57A8">
      <w:pPr>
        <w:pStyle w:val="afa"/>
      </w:pPr>
      <w:hyperlink w:anchor="_Toc182931571" w:history="1">
        <w:r w:rsidR="0083414B" w:rsidRPr="00C95274">
          <w:t>Διάγραμμα 2.10.:</w:t>
        </w:r>
        <w:r w:rsidR="00072C90" w:rsidRPr="00C95274">
          <w:tab/>
        </w:r>
        <w:r w:rsidR="0083414B" w:rsidRPr="00C95274">
          <w:t>Προϋπολογιζόμενη Δαπάνη Γενικής Κυβέρνησης ανά Πρόγραμμα</w:t>
        </w:r>
        <w:r w:rsidR="0083414B" w:rsidRPr="00C95274">
          <w:br/>
          <w:t>(Υπουργείο Εξωτερικών)</w:t>
        </w:r>
        <w:r w:rsidR="0083414B" w:rsidRPr="00C95274">
          <w:rPr>
            <w:webHidden/>
          </w:rPr>
          <w:tab/>
        </w:r>
        <w:r w:rsidR="0083414B" w:rsidRPr="00C95274">
          <w:rPr>
            <w:webHidden/>
          </w:rPr>
          <w:fldChar w:fldCharType="begin"/>
        </w:r>
        <w:r w:rsidR="0083414B" w:rsidRPr="00C95274">
          <w:rPr>
            <w:webHidden/>
          </w:rPr>
          <w:instrText xml:space="preserve"> PAGEREF _Toc182931571 \h </w:instrText>
        </w:r>
        <w:r w:rsidR="0083414B" w:rsidRPr="00C95274">
          <w:rPr>
            <w:webHidden/>
          </w:rPr>
        </w:r>
        <w:r w:rsidR="0083414B" w:rsidRPr="00C95274">
          <w:rPr>
            <w:webHidden/>
          </w:rPr>
          <w:fldChar w:fldCharType="separate"/>
        </w:r>
        <w:r w:rsidR="00E15678">
          <w:rPr>
            <w:webHidden/>
          </w:rPr>
          <w:t>48</w:t>
        </w:r>
        <w:r w:rsidR="0083414B" w:rsidRPr="00C95274">
          <w:rPr>
            <w:webHidden/>
          </w:rPr>
          <w:fldChar w:fldCharType="end"/>
        </w:r>
      </w:hyperlink>
    </w:p>
    <w:p w14:paraId="50800378" w14:textId="1AA6B4AD" w:rsidR="0083414B" w:rsidRPr="00C95274" w:rsidRDefault="0002021E" w:rsidP="001E57A8">
      <w:pPr>
        <w:pStyle w:val="afa"/>
      </w:pPr>
      <w:hyperlink w:anchor="_Toc182931572" w:history="1">
        <w:r w:rsidR="0083414B" w:rsidRPr="00C95274">
          <w:t>Διάγραμμα 2.11.:</w:t>
        </w:r>
        <w:r w:rsidR="00072C90" w:rsidRPr="00C95274">
          <w:tab/>
        </w:r>
        <w:r w:rsidR="0083414B" w:rsidRPr="00C95274">
          <w:t xml:space="preserve">Ανθρώπινοι </w:t>
        </w:r>
        <w:r w:rsidR="00E10C6D" w:rsidRPr="00C95274">
          <w:t>π</w:t>
        </w:r>
        <w:r w:rsidR="0083414B" w:rsidRPr="00C95274">
          <w:t>όροι ανά Πρόγραμμα</w:t>
        </w:r>
        <w:r w:rsidR="0083414B" w:rsidRPr="00C95274">
          <w:br/>
          <w:t>(Υπουργείο Εξωτερικών)</w:t>
        </w:r>
        <w:r w:rsidR="0083414B" w:rsidRPr="00C95274">
          <w:rPr>
            <w:webHidden/>
          </w:rPr>
          <w:tab/>
        </w:r>
        <w:r w:rsidR="0083414B" w:rsidRPr="00C95274">
          <w:rPr>
            <w:webHidden/>
          </w:rPr>
          <w:fldChar w:fldCharType="begin"/>
        </w:r>
        <w:r w:rsidR="0083414B" w:rsidRPr="00C95274">
          <w:rPr>
            <w:webHidden/>
          </w:rPr>
          <w:instrText xml:space="preserve"> PAGEREF _Toc182931572 \h </w:instrText>
        </w:r>
        <w:r w:rsidR="0083414B" w:rsidRPr="00C95274">
          <w:rPr>
            <w:webHidden/>
          </w:rPr>
        </w:r>
        <w:r w:rsidR="0083414B" w:rsidRPr="00C95274">
          <w:rPr>
            <w:webHidden/>
          </w:rPr>
          <w:fldChar w:fldCharType="separate"/>
        </w:r>
        <w:r w:rsidR="00E15678">
          <w:rPr>
            <w:webHidden/>
          </w:rPr>
          <w:t>48</w:t>
        </w:r>
        <w:r w:rsidR="0083414B" w:rsidRPr="00C95274">
          <w:rPr>
            <w:webHidden/>
          </w:rPr>
          <w:fldChar w:fldCharType="end"/>
        </w:r>
      </w:hyperlink>
    </w:p>
    <w:p w14:paraId="5A11E71D" w14:textId="0309EEE7" w:rsidR="0083414B" w:rsidRPr="00C95274" w:rsidRDefault="0002021E" w:rsidP="001E57A8">
      <w:pPr>
        <w:pStyle w:val="afa"/>
      </w:pPr>
      <w:hyperlink w:anchor="_Toc182931573" w:history="1">
        <w:r w:rsidR="0083414B" w:rsidRPr="00C95274">
          <w:t>Διάγραμμα 2.12.:</w:t>
        </w:r>
        <w:r w:rsidR="00072C90" w:rsidRPr="00C95274">
          <w:tab/>
        </w:r>
        <w:r w:rsidR="0083414B" w:rsidRPr="00C95274">
          <w:t>Προϋπολογιζόμενη Δαπάνη Κρατικού Προϋπολογισμού ανά Πρόγραμμα</w:t>
        </w:r>
        <w:r w:rsidR="0083414B" w:rsidRPr="00C95274">
          <w:br/>
          <w:t>(Υπουργείο Εθνικής Άμυνας)</w:t>
        </w:r>
        <w:r w:rsidR="0083414B" w:rsidRPr="00C95274">
          <w:rPr>
            <w:webHidden/>
          </w:rPr>
          <w:tab/>
        </w:r>
        <w:r w:rsidR="0083414B" w:rsidRPr="00C95274">
          <w:rPr>
            <w:webHidden/>
          </w:rPr>
          <w:fldChar w:fldCharType="begin"/>
        </w:r>
        <w:r w:rsidR="0083414B" w:rsidRPr="00C95274">
          <w:rPr>
            <w:webHidden/>
          </w:rPr>
          <w:instrText xml:space="preserve"> PAGEREF _Toc182931573 \h </w:instrText>
        </w:r>
        <w:r w:rsidR="0083414B" w:rsidRPr="00C95274">
          <w:rPr>
            <w:webHidden/>
          </w:rPr>
        </w:r>
        <w:r w:rsidR="0083414B" w:rsidRPr="00C95274">
          <w:rPr>
            <w:webHidden/>
          </w:rPr>
          <w:fldChar w:fldCharType="separate"/>
        </w:r>
        <w:r w:rsidR="00E15678">
          <w:rPr>
            <w:webHidden/>
          </w:rPr>
          <w:t>49</w:t>
        </w:r>
        <w:r w:rsidR="0083414B" w:rsidRPr="00C95274">
          <w:rPr>
            <w:webHidden/>
          </w:rPr>
          <w:fldChar w:fldCharType="end"/>
        </w:r>
      </w:hyperlink>
    </w:p>
    <w:p w14:paraId="7BDC192D" w14:textId="48D77642" w:rsidR="0083414B" w:rsidRPr="00C95274" w:rsidRDefault="0002021E" w:rsidP="001E57A8">
      <w:pPr>
        <w:pStyle w:val="afa"/>
      </w:pPr>
      <w:hyperlink w:anchor="_Toc182931574" w:history="1">
        <w:r w:rsidR="0083414B" w:rsidRPr="00C95274">
          <w:t>Διάγραμμα 2.13.:</w:t>
        </w:r>
        <w:r w:rsidR="00072C90" w:rsidRPr="00C95274">
          <w:tab/>
        </w:r>
        <w:r w:rsidR="0083414B" w:rsidRPr="00C95274">
          <w:t>Προϋπολογιζόμενη Δαπάνη Γενικής Κυβέρνησης ανά Πρόγραμμα</w:t>
        </w:r>
        <w:r w:rsidR="0083414B" w:rsidRPr="00C95274">
          <w:br/>
          <w:t>(Υπουργείο Εθνικής Άμυνας)</w:t>
        </w:r>
        <w:r w:rsidR="0083414B" w:rsidRPr="00C95274">
          <w:rPr>
            <w:webHidden/>
          </w:rPr>
          <w:tab/>
        </w:r>
        <w:r w:rsidR="0083414B" w:rsidRPr="00C95274">
          <w:rPr>
            <w:webHidden/>
          </w:rPr>
          <w:fldChar w:fldCharType="begin"/>
        </w:r>
        <w:r w:rsidR="0083414B" w:rsidRPr="00C95274">
          <w:rPr>
            <w:webHidden/>
          </w:rPr>
          <w:instrText xml:space="preserve"> PAGEREF _Toc182931574 \h </w:instrText>
        </w:r>
        <w:r w:rsidR="0083414B" w:rsidRPr="00C95274">
          <w:rPr>
            <w:webHidden/>
          </w:rPr>
        </w:r>
        <w:r w:rsidR="0083414B" w:rsidRPr="00C95274">
          <w:rPr>
            <w:webHidden/>
          </w:rPr>
          <w:fldChar w:fldCharType="separate"/>
        </w:r>
        <w:r w:rsidR="00E15678">
          <w:rPr>
            <w:webHidden/>
          </w:rPr>
          <w:t>49</w:t>
        </w:r>
        <w:r w:rsidR="0083414B" w:rsidRPr="00C95274">
          <w:rPr>
            <w:webHidden/>
          </w:rPr>
          <w:fldChar w:fldCharType="end"/>
        </w:r>
      </w:hyperlink>
    </w:p>
    <w:p w14:paraId="45BEC4CA" w14:textId="1D7C0CFC" w:rsidR="0083414B" w:rsidRPr="00C95274" w:rsidRDefault="0002021E" w:rsidP="001E57A8">
      <w:pPr>
        <w:pStyle w:val="afa"/>
      </w:pPr>
      <w:hyperlink w:anchor="_Toc182931575" w:history="1">
        <w:r w:rsidR="0083414B" w:rsidRPr="00C95274">
          <w:t>Διάγραμμα 2.14.:</w:t>
        </w:r>
        <w:r w:rsidR="00072C90" w:rsidRPr="00C95274">
          <w:tab/>
        </w:r>
        <w:r w:rsidR="0083414B" w:rsidRPr="00C95274">
          <w:t>Προϋπολογιζόμενη Δαπάνη Κρατικού Προϋπολογισμού ανά Πρόγραμμα</w:t>
        </w:r>
        <w:r w:rsidR="0083414B" w:rsidRPr="00C95274">
          <w:br/>
          <w:t>(Υπουργείο Υγείας)</w:t>
        </w:r>
        <w:r w:rsidR="0083414B" w:rsidRPr="00C95274">
          <w:rPr>
            <w:webHidden/>
          </w:rPr>
          <w:tab/>
        </w:r>
        <w:r w:rsidR="0083414B" w:rsidRPr="00C95274">
          <w:rPr>
            <w:webHidden/>
          </w:rPr>
          <w:fldChar w:fldCharType="begin"/>
        </w:r>
        <w:r w:rsidR="0083414B" w:rsidRPr="00C95274">
          <w:rPr>
            <w:webHidden/>
          </w:rPr>
          <w:instrText xml:space="preserve"> PAGEREF _Toc182931575 \h </w:instrText>
        </w:r>
        <w:r w:rsidR="0083414B" w:rsidRPr="00C95274">
          <w:rPr>
            <w:webHidden/>
          </w:rPr>
        </w:r>
        <w:r w:rsidR="0083414B" w:rsidRPr="00C95274">
          <w:rPr>
            <w:webHidden/>
          </w:rPr>
          <w:fldChar w:fldCharType="separate"/>
        </w:r>
        <w:r w:rsidR="00E15678">
          <w:rPr>
            <w:webHidden/>
          </w:rPr>
          <w:t>50</w:t>
        </w:r>
        <w:r w:rsidR="0083414B" w:rsidRPr="00C95274">
          <w:rPr>
            <w:webHidden/>
          </w:rPr>
          <w:fldChar w:fldCharType="end"/>
        </w:r>
      </w:hyperlink>
    </w:p>
    <w:p w14:paraId="42905386" w14:textId="28BEA552" w:rsidR="0083414B" w:rsidRPr="00C95274" w:rsidRDefault="0002021E" w:rsidP="001E57A8">
      <w:pPr>
        <w:pStyle w:val="afa"/>
      </w:pPr>
      <w:hyperlink w:anchor="_Toc182931576" w:history="1">
        <w:r w:rsidR="0083414B" w:rsidRPr="00C95274">
          <w:t>Διάγραμμα 2.15.:</w:t>
        </w:r>
        <w:r w:rsidR="00072C90" w:rsidRPr="00C95274">
          <w:tab/>
        </w:r>
        <w:r w:rsidR="0083414B" w:rsidRPr="00C95274">
          <w:t>Προϋπολογιζόμενη Δαπάνη Γενικής Κυβέρνησης ανά Πρόγραμμα</w:t>
        </w:r>
        <w:r w:rsidR="0083414B" w:rsidRPr="00C95274">
          <w:br/>
          <w:t>(Υπουργείο Υγείας)</w:t>
        </w:r>
        <w:r w:rsidR="0083414B" w:rsidRPr="00C95274">
          <w:rPr>
            <w:webHidden/>
          </w:rPr>
          <w:tab/>
        </w:r>
        <w:r w:rsidR="0083414B" w:rsidRPr="00C95274">
          <w:rPr>
            <w:webHidden/>
          </w:rPr>
          <w:fldChar w:fldCharType="begin"/>
        </w:r>
        <w:r w:rsidR="0083414B" w:rsidRPr="00C95274">
          <w:rPr>
            <w:webHidden/>
          </w:rPr>
          <w:instrText xml:space="preserve"> PAGEREF _Toc182931576 \h </w:instrText>
        </w:r>
        <w:r w:rsidR="0083414B" w:rsidRPr="00C95274">
          <w:rPr>
            <w:webHidden/>
          </w:rPr>
        </w:r>
        <w:r w:rsidR="0083414B" w:rsidRPr="00C95274">
          <w:rPr>
            <w:webHidden/>
          </w:rPr>
          <w:fldChar w:fldCharType="separate"/>
        </w:r>
        <w:r w:rsidR="00E15678">
          <w:rPr>
            <w:webHidden/>
          </w:rPr>
          <w:t>50</w:t>
        </w:r>
        <w:r w:rsidR="0083414B" w:rsidRPr="00C95274">
          <w:rPr>
            <w:webHidden/>
          </w:rPr>
          <w:fldChar w:fldCharType="end"/>
        </w:r>
      </w:hyperlink>
    </w:p>
    <w:p w14:paraId="35E102DD" w14:textId="034A6095" w:rsidR="0083414B" w:rsidRPr="00C95274" w:rsidRDefault="0002021E" w:rsidP="001E57A8">
      <w:pPr>
        <w:pStyle w:val="afa"/>
      </w:pPr>
      <w:hyperlink w:anchor="_Toc182931577" w:history="1">
        <w:r w:rsidR="0083414B" w:rsidRPr="00C95274">
          <w:t>Διάγραμμα 2.16.:</w:t>
        </w:r>
        <w:r w:rsidR="00072C90" w:rsidRPr="00C95274">
          <w:tab/>
        </w:r>
        <w:r w:rsidR="0083414B" w:rsidRPr="00C95274">
          <w:t xml:space="preserve">Ανθρώπινοι </w:t>
        </w:r>
        <w:r w:rsidR="00E10C6D" w:rsidRPr="00C95274">
          <w:t>π</w:t>
        </w:r>
        <w:r w:rsidR="0083414B" w:rsidRPr="00C95274">
          <w:t>όροι ανά Πρόγραμμα</w:t>
        </w:r>
        <w:r w:rsidR="0083414B" w:rsidRPr="00C95274">
          <w:br/>
          <w:t>(Υπουργείο Υγείας)</w:t>
        </w:r>
        <w:r w:rsidR="0083414B" w:rsidRPr="00C95274">
          <w:rPr>
            <w:webHidden/>
          </w:rPr>
          <w:tab/>
        </w:r>
        <w:r w:rsidR="0083414B" w:rsidRPr="00C95274">
          <w:rPr>
            <w:webHidden/>
          </w:rPr>
          <w:fldChar w:fldCharType="begin"/>
        </w:r>
        <w:r w:rsidR="0083414B" w:rsidRPr="00C95274">
          <w:rPr>
            <w:webHidden/>
          </w:rPr>
          <w:instrText xml:space="preserve"> PAGEREF _Toc182931577 \h </w:instrText>
        </w:r>
        <w:r w:rsidR="0083414B" w:rsidRPr="00C95274">
          <w:rPr>
            <w:webHidden/>
          </w:rPr>
        </w:r>
        <w:r w:rsidR="0083414B" w:rsidRPr="00C95274">
          <w:rPr>
            <w:webHidden/>
          </w:rPr>
          <w:fldChar w:fldCharType="separate"/>
        </w:r>
        <w:r w:rsidR="00E15678">
          <w:rPr>
            <w:webHidden/>
          </w:rPr>
          <w:t>50</w:t>
        </w:r>
        <w:r w:rsidR="0083414B" w:rsidRPr="00C95274">
          <w:rPr>
            <w:webHidden/>
          </w:rPr>
          <w:fldChar w:fldCharType="end"/>
        </w:r>
      </w:hyperlink>
    </w:p>
    <w:p w14:paraId="1437A132" w14:textId="4974A83D" w:rsidR="0083414B" w:rsidRPr="00C95274" w:rsidRDefault="0002021E" w:rsidP="001E57A8">
      <w:pPr>
        <w:pStyle w:val="afa"/>
      </w:pPr>
      <w:hyperlink w:anchor="_Toc182931578" w:history="1">
        <w:r w:rsidR="0083414B" w:rsidRPr="00C95274">
          <w:t>Διάγραμμα 2.17.:</w:t>
        </w:r>
        <w:r w:rsidR="00072C90" w:rsidRPr="00C95274">
          <w:tab/>
        </w:r>
        <w:r w:rsidR="0083414B" w:rsidRPr="00C95274">
          <w:t>Προϋπολογιζόμενη Δαπάνη Κρατικού Προϋπολογισμού ανά Πρόγραμμα</w:t>
        </w:r>
        <w:r w:rsidR="0083414B" w:rsidRPr="00C95274">
          <w:br/>
          <w:t>(Υπουργείο Δικαιοσύνης)</w:t>
        </w:r>
        <w:r w:rsidR="0083414B" w:rsidRPr="00C95274">
          <w:rPr>
            <w:webHidden/>
          </w:rPr>
          <w:tab/>
        </w:r>
        <w:r w:rsidR="0083414B" w:rsidRPr="00C95274">
          <w:rPr>
            <w:webHidden/>
          </w:rPr>
          <w:fldChar w:fldCharType="begin"/>
        </w:r>
        <w:r w:rsidR="0083414B" w:rsidRPr="00C95274">
          <w:rPr>
            <w:webHidden/>
          </w:rPr>
          <w:instrText xml:space="preserve"> PAGEREF _Toc182931578 \h </w:instrText>
        </w:r>
        <w:r w:rsidR="0083414B" w:rsidRPr="00C95274">
          <w:rPr>
            <w:webHidden/>
          </w:rPr>
        </w:r>
        <w:r w:rsidR="0083414B" w:rsidRPr="00C95274">
          <w:rPr>
            <w:webHidden/>
          </w:rPr>
          <w:fldChar w:fldCharType="separate"/>
        </w:r>
        <w:r w:rsidR="00E15678">
          <w:rPr>
            <w:webHidden/>
          </w:rPr>
          <w:t>51</w:t>
        </w:r>
        <w:r w:rsidR="0083414B" w:rsidRPr="00C95274">
          <w:rPr>
            <w:webHidden/>
          </w:rPr>
          <w:fldChar w:fldCharType="end"/>
        </w:r>
      </w:hyperlink>
    </w:p>
    <w:p w14:paraId="352FA487" w14:textId="5C55090A" w:rsidR="0083414B" w:rsidRPr="00C95274" w:rsidRDefault="0002021E" w:rsidP="001E57A8">
      <w:pPr>
        <w:pStyle w:val="afa"/>
      </w:pPr>
      <w:hyperlink w:anchor="_Toc182931579" w:history="1">
        <w:r w:rsidR="0083414B" w:rsidRPr="00C95274">
          <w:t>Διάγραμμα 2.18.:</w:t>
        </w:r>
        <w:r w:rsidR="00072C90" w:rsidRPr="00C95274">
          <w:tab/>
        </w:r>
        <w:r w:rsidR="0083414B" w:rsidRPr="00C95274">
          <w:t>Προϋπολογιζόμενη Δαπάνη Γενικής Κυβέρνησης ανά Πρόγραμμα</w:t>
        </w:r>
        <w:r w:rsidR="0083414B" w:rsidRPr="00C95274">
          <w:br/>
          <w:t>(Υπουργείο Δικαιοσύνης)</w:t>
        </w:r>
        <w:r w:rsidR="0083414B" w:rsidRPr="00C95274">
          <w:rPr>
            <w:webHidden/>
          </w:rPr>
          <w:tab/>
        </w:r>
        <w:r w:rsidR="0083414B" w:rsidRPr="00C95274">
          <w:rPr>
            <w:webHidden/>
          </w:rPr>
          <w:fldChar w:fldCharType="begin"/>
        </w:r>
        <w:r w:rsidR="0083414B" w:rsidRPr="00C95274">
          <w:rPr>
            <w:webHidden/>
          </w:rPr>
          <w:instrText xml:space="preserve"> PAGEREF _Toc182931579 \h </w:instrText>
        </w:r>
        <w:r w:rsidR="0083414B" w:rsidRPr="00C95274">
          <w:rPr>
            <w:webHidden/>
          </w:rPr>
        </w:r>
        <w:r w:rsidR="0083414B" w:rsidRPr="00C95274">
          <w:rPr>
            <w:webHidden/>
          </w:rPr>
          <w:fldChar w:fldCharType="separate"/>
        </w:r>
        <w:r w:rsidR="00E15678">
          <w:rPr>
            <w:webHidden/>
          </w:rPr>
          <w:t>51</w:t>
        </w:r>
        <w:r w:rsidR="0083414B" w:rsidRPr="00C95274">
          <w:rPr>
            <w:webHidden/>
          </w:rPr>
          <w:fldChar w:fldCharType="end"/>
        </w:r>
      </w:hyperlink>
    </w:p>
    <w:p w14:paraId="7FC78CB5" w14:textId="0F0B2D16" w:rsidR="0083414B" w:rsidRPr="00C95274" w:rsidRDefault="0002021E" w:rsidP="001E57A8">
      <w:pPr>
        <w:pStyle w:val="afa"/>
      </w:pPr>
      <w:hyperlink w:anchor="_Toc182931580" w:history="1">
        <w:r w:rsidR="0083414B" w:rsidRPr="00C95274">
          <w:t>Διάγραμμα 2.19.:</w:t>
        </w:r>
        <w:r w:rsidR="00072C90" w:rsidRPr="00C95274">
          <w:tab/>
        </w:r>
        <w:r w:rsidR="0083414B" w:rsidRPr="00C95274">
          <w:t xml:space="preserve">Ανθρώπινοι </w:t>
        </w:r>
        <w:r w:rsidR="00B36CB9" w:rsidRPr="00C95274">
          <w:t>π</w:t>
        </w:r>
        <w:r w:rsidR="0083414B" w:rsidRPr="00C95274">
          <w:t>όροι ανά Πρόγραμμα</w:t>
        </w:r>
        <w:r w:rsidR="0083414B" w:rsidRPr="00C95274">
          <w:br/>
          <w:t>(Υπουργείο Δικαιοσύνης)</w:t>
        </w:r>
        <w:r w:rsidR="0083414B" w:rsidRPr="00C95274">
          <w:rPr>
            <w:webHidden/>
          </w:rPr>
          <w:tab/>
        </w:r>
        <w:r w:rsidR="0083414B" w:rsidRPr="00C95274">
          <w:rPr>
            <w:webHidden/>
          </w:rPr>
          <w:fldChar w:fldCharType="begin"/>
        </w:r>
        <w:r w:rsidR="0083414B" w:rsidRPr="00C95274">
          <w:rPr>
            <w:webHidden/>
          </w:rPr>
          <w:instrText xml:space="preserve"> PAGEREF _Toc182931580 \h </w:instrText>
        </w:r>
        <w:r w:rsidR="0083414B" w:rsidRPr="00C95274">
          <w:rPr>
            <w:webHidden/>
          </w:rPr>
        </w:r>
        <w:r w:rsidR="0083414B" w:rsidRPr="00C95274">
          <w:rPr>
            <w:webHidden/>
          </w:rPr>
          <w:fldChar w:fldCharType="separate"/>
        </w:r>
        <w:r w:rsidR="00E15678">
          <w:rPr>
            <w:webHidden/>
          </w:rPr>
          <w:t>51</w:t>
        </w:r>
        <w:r w:rsidR="0083414B" w:rsidRPr="00C95274">
          <w:rPr>
            <w:webHidden/>
          </w:rPr>
          <w:fldChar w:fldCharType="end"/>
        </w:r>
      </w:hyperlink>
    </w:p>
    <w:p w14:paraId="256DE867" w14:textId="760C3FA1" w:rsidR="0083414B" w:rsidRPr="00C95274" w:rsidRDefault="0002021E" w:rsidP="001E57A8">
      <w:pPr>
        <w:pStyle w:val="afa"/>
      </w:pPr>
      <w:hyperlink w:anchor="_Toc182931581" w:history="1">
        <w:r w:rsidR="0083414B" w:rsidRPr="00C95274">
          <w:t>Διάγραμμα 2.20.:</w:t>
        </w:r>
        <w:r w:rsidR="00072C90" w:rsidRPr="00C95274">
          <w:tab/>
        </w:r>
        <w:r w:rsidR="0083414B" w:rsidRPr="00C95274">
          <w:t>Προϋπολογιζόμενη Δαπάνη Κρατικού Προϋπολογισμού ανά Πρόγραμμα</w:t>
        </w:r>
        <w:r w:rsidR="0083414B" w:rsidRPr="00C95274">
          <w:br/>
        </w:r>
        <w:r w:rsidR="0083414B" w:rsidRPr="00C95274">
          <w:rPr>
            <w:webHidden/>
          </w:rPr>
          <w:t>(Υπουργείο Παιδείας, Θρησκευμάτων και Αθλητισμού)</w:t>
        </w:r>
        <w:r w:rsidR="0083414B" w:rsidRPr="00C95274">
          <w:rPr>
            <w:webHidden/>
          </w:rPr>
          <w:tab/>
        </w:r>
        <w:r w:rsidR="0083414B" w:rsidRPr="00C95274">
          <w:rPr>
            <w:webHidden/>
          </w:rPr>
          <w:fldChar w:fldCharType="begin"/>
        </w:r>
        <w:r w:rsidR="0083414B" w:rsidRPr="00C95274">
          <w:rPr>
            <w:webHidden/>
          </w:rPr>
          <w:instrText xml:space="preserve"> PAGEREF _Toc182931581 \h </w:instrText>
        </w:r>
        <w:r w:rsidR="0083414B" w:rsidRPr="00C95274">
          <w:rPr>
            <w:webHidden/>
          </w:rPr>
        </w:r>
        <w:r w:rsidR="0083414B" w:rsidRPr="00C95274">
          <w:rPr>
            <w:webHidden/>
          </w:rPr>
          <w:fldChar w:fldCharType="separate"/>
        </w:r>
        <w:r w:rsidR="00E15678">
          <w:rPr>
            <w:webHidden/>
          </w:rPr>
          <w:t>52</w:t>
        </w:r>
        <w:r w:rsidR="0083414B" w:rsidRPr="00C95274">
          <w:rPr>
            <w:webHidden/>
          </w:rPr>
          <w:fldChar w:fldCharType="end"/>
        </w:r>
      </w:hyperlink>
    </w:p>
    <w:p w14:paraId="04797995" w14:textId="33F4E0F3" w:rsidR="0083414B" w:rsidRPr="00C95274" w:rsidRDefault="0002021E" w:rsidP="001E57A8">
      <w:pPr>
        <w:pStyle w:val="afa"/>
      </w:pPr>
      <w:hyperlink w:anchor="_Toc182931582" w:history="1">
        <w:r w:rsidR="0083414B" w:rsidRPr="00C95274">
          <w:t>Διάγραμμα 2.21.:</w:t>
        </w:r>
        <w:r w:rsidR="00072C90" w:rsidRPr="00C95274">
          <w:tab/>
        </w:r>
        <w:r w:rsidR="0083414B" w:rsidRPr="00C95274">
          <w:t>Προϋπολογιζόμενη Δαπάνη Γενικής Κυβέρνησης ανά Πρόγραμμα</w:t>
        </w:r>
        <w:r w:rsidR="0083414B" w:rsidRPr="00C95274">
          <w:br/>
        </w:r>
        <w:r w:rsidR="0083414B" w:rsidRPr="00C95274">
          <w:rPr>
            <w:webHidden/>
          </w:rPr>
          <w:t>(Υπουργείο Παιδείας, Θρησκευμάτων και Αθλητισμού)</w:t>
        </w:r>
        <w:r w:rsidR="0083414B" w:rsidRPr="00C95274">
          <w:rPr>
            <w:webHidden/>
          </w:rPr>
          <w:tab/>
        </w:r>
        <w:r w:rsidR="0083414B" w:rsidRPr="00C95274">
          <w:rPr>
            <w:webHidden/>
          </w:rPr>
          <w:fldChar w:fldCharType="begin"/>
        </w:r>
        <w:r w:rsidR="0083414B" w:rsidRPr="00C95274">
          <w:rPr>
            <w:webHidden/>
          </w:rPr>
          <w:instrText xml:space="preserve"> PAGEREF _Toc182931582 \h </w:instrText>
        </w:r>
        <w:r w:rsidR="0083414B" w:rsidRPr="00C95274">
          <w:rPr>
            <w:webHidden/>
          </w:rPr>
        </w:r>
        <w:r w:rsidR="0083414B" w:rsidRPr="00C95274">
          <w:rPr>
            <w:webHidden/>
          </w:rPr>
          <w:fldChar w:fldCharType="separate"/>
        </w:r>
        <w:r w:rsidR="00E15678">
          <w:rPr>
            <w:webHidden/>
          </w:rPr>
          <w:t>52</w:t>
        </w:r>
        <w:r w:rsidR="0083414B" w:rsidRPr="00C95274">
          <w:rPr>
            <w:webHidden/>
          </w:rPr>
          <w:fldChar w:fldCharType="end"/>
        </w:r>
      </w:hyperlink>
    </w:p>
    <w:p w14:paraId="433A0B84" w14:textId="003D09E0" w:rsidR="0083414B" w:rsidRPr="00C95274" w:rsidRDefault="0002021E" w:rsidP="001E57A8">
      <w:pPr>
        <w:pStyle w:val="afa"/>
      </w:pPr>
      <w:hyperlink w:anchor="_Toc182931583" w:history="1">
        <w:r w:rsidR="0083414B" w:rsidRPr="00C95274">
          <w:t>Διάγραμμα 2.22.:</w:t>
        </w:r>
        <w:r w:rsidR="00FF13F0" w:rsidRPr="00C95274">
          <w:tab/>
        </w:r>
        <w:r w:rsidR="0083414B" w:rsidRPr="00C95274">
          <w:t xml:space="preserve">Ανθρώπινοι </w:t>
        </w:r>
        <w:r w:rsidR="00E10C6D" w:rsidRPr="00C95274">
          <w:t>π</w:t>
        </w:r>
        <w:r w:rsidR="0083414B" w:rsidRPr="00C95274">
          <w:t>όροι ανά Πρόγραμμα</w:t>
        </w:r>
        <w:r w:rsidR="0083414B" w:rsidRPr="00C95274">
          <w:br/>
        </w:r>
        <w:r w:rsidR="0083414B" w:rsidRPr="00C95274">
          <w:rPr>
            <w:webHidden/>
          </w:rPr>
          <w:t>(Υπουργείο Παιδείας, Θρησκευμάτων και Αθλητισμού)</w:t>
        </w:r>
        <w:r w:rsidR="0083414B" w:rsidRPr="00C95274">
          <w:rPr>
            <w:webHidden/>
          </w:rPr>
          <w:tab/>
        </w:r>
        <w:r w:rsidR="0083414B" w:rsidRPr="00C95274">
          <w:rPr>
            <w:webHidden/>
          </w:rPr>
          <w:fldChar w:fldCharType="begin"/>
        </w:r>
        <w:r w:rsidR="0083414B" w:rsidRPr="00C95274">
          <w:rPr>
            <w:webHidden/>
          </w:rPr>
          <w:instrText xml:space="preserve"> PAGEREF _Toc182931583 \h </w:instrText>
        </w:r>
        <w:r w:rsidR="0083414B" w:rsidRPr="00C95274">
          <w:rPr>
            <w:webHidden/>
          </w:rPr>
        </w:r>
        <w:r w:rsidR="0083414B" w:rsidRPr="00C95274">
          <w:rPr>
            <w:webHidden/>
          </w:rPr>
          <w:fldChar w:fldCharType="separate"/>
        </w:r>
        <w:r w:rsidR="00E15678">
          <w:rPr>
            <w:webHidden/>
          </w:rPr>
          <w:t>52</w:t>
        </w:r>
        <w:r w:rsidR="0083414B" w:rsidRPr="00C95274">
          <w:rPr>
            <w:webHidden/>
          </w:rPr>
          <w:fldChar w:fldCharType="end"/>
        </w:r>
      </w:hyperlink>
    </w:p>
    <w:p w14:paraId="24D89E3F" w14:textId="51E707E0" w:rsidR="0083414B" w:rsidRPr="00C95274" w:rsidRDefault="0002021E" w:rsidP="001E57A8">
      <w:pPr>
        <w:pStyle w:val="afa"/>
      </w:pPr>
      <w:hyperlink w:anchor="_Toc182931584" w:history="1">
        <w:r w:rsidR="0083414B" w:rsidRPr="00C95274">
          <w:t>Διάγραμμα 2.23.:</w:t>
        </w:r>
        <w:r w:rsidR="00FF13F0" w:rsidRPr="00C95274">
          <w:tab/>
        </w:r>
        <w:r w:rsidR="0083414B" w:rsidRPr="00C95274">
          <w:t>Προϋπολογιζόμενη Δαπάνη Κρατικού Προϋπολογισμού ανά Πρόγραμμα</w:t>
        </w:r>
        <w:r w:rsidR="0083414B" w:rsidRPr="00C95274">
          <w:br/>
        </w:r>
        <w:r w:rsidR="0083414B" w:rsidRPr="00C95274">
          <w:rPr>
            <w:webHidden/>
          </w:rPr>
          <w:t>(Υπουργείο Πολιτισμού)</w:t>
        </w:r>
        <w:r w:rsidR="0083414B" w:rsidRPr="00C95274">
          <w:rPr>
            <w:webHidden/>
          </w:rPr>
          <w:tab/>
        </w:r>
        <w:r w:rsidR="0083414B" w:rsidRPr="00C95274">
          <w:rPr>
            <w:webHidden/>
          </w:rPr>
          <w:fldChar w:fldCharType="begin"/>
        </w:r>
        <w:r w:rsidR="0083414B" w:rsidRPr="00C95274">
          <w:rPr>
            <w:webHidden/>
          </w:rPr>
          <w:instrText xml:space="preserve"> PAGEREF _Toc182931584 \h </w:instrText>
        </w:r>
        <w:r w:rsidR="0083414B" w:rsidRPr="00C95274">
          <w:rPr>
            <w:webHidden/>
          </w:rPr>
        </w:r>
        <w:r w:rsidR="0083414B" w:rsidRPr="00C95274">
          <w:rPr>
            <w:webHidden/>
          </w:rPr>
          <w:fldChar w:fldCharType="separate"/>
        </w:r>
        <w:r w:rsidR="00E15678">
          <w:rPr>
            <w:webHidden/>
          </w:rPr>
          <w:t>53</w:t>
        </w:r>
        <w:r w:rsidR="0083414B" w:rsidRPr="00C95274">
          <w:rPr>
            <w:webHidden/>
          </w:rPr>
          <w:fldChar w:fldCharType="end"/>
        </w:r>
      </w:hyperlink>
    </w:p>
    <w:p w14:paraId="253BA1D1" w14:textId="75131CC8" w:rsidR="0083414B" w:rsidRPr="00C95274" w:rsidRDefault="0002021E" w:rsidP="001E57A8">
      <w:pPr>
        <w:pStyle w:val="afa"/>
      </w:pPr>
      <w:hyperlink w:anchor="_Toc182931585" w:history="1">
        <w:r w:rsidR="0083414B" w:rsidRPr="00C95274">
          <w:t>Διάγραμμα 2.24.:</w:t>
        </w:r>
        <w:r w:rsidR="00072C90" w:rsidRPr="00C95274">
          <w:tab/>
        </w:r>
        <w:r w:rsidR="0083414B" w:rsidRPr="00C95274">
          <w:t>Προϋπολογιζόμενη Δαπάνη Γενικής Κυβέρνησης ανά Πρόγραμμα</w:t>
        </w:r>
        <w:r w:rsidR="0083414B" w:rsidRPr="00C95274">
          <w:br/>
        </w:r>
        <w:r w:rsidR="0083414B" w:rsidRPr="00C95274">
          <w:rPr>
            <w:webHidden/>
          </w:rPr>
          <w:t>(Υπουργείο Πολιτισμού)</w:t>
        </w:r>
        <w:r w:rsidR="0083414B" w:rsidRPr="00C95274">
          <w:rPr>
            <w:webHidden/>
          </w:rPr>
          <w:tab/>
        </w:r>
        <w:r w:rsidR="0083414B" w:rsidRPr="00C95274">
          <w:rPr>
            <w:webHidden/>
          </w:rPr>
          <w:fldChar w:fldCharType="begin"/>
        </w:r>
        <w:r w:rsidR="0083414B" w:rsidRPr="00C95274">
          <w:rPr>
            <w:webHidden/>
          </w:rPr>
          <w:instrText xml:space="preserve"> PAGEREF _Toc182931585 \h </w:instrText>
        </w:r>
        <w:r w:rsidR="0083414B" w:rsidRPr="00C95274">
          <w:rPr>
            <w:webHidden/>
          </w:rPr>
        </w:r>
        <w:r w:rsidR="0083414B" w:rsidRPr="00C95274">
          <w:rPr>
            <w:webHidden/>
          </w:rPr>
          <w:fldChar w:fldCharType="separate"/>
        </w:r>
        <w:r w:rsidR="00E15678">
          <w:rPr>
            <w:webHidden/>
          </w:rPr>
          <w:t>53</w:t>
        </w:r>
        <w:r w:rsidR="0083414B" w:rsidRPr="00C95274">
          <w:rPr>
            <w:webHidden/>
          </w:rPr>
          <w:fldChar w:fldCharType="end"/>
        </w:r>
      </w:hyperlink>
    </w:p>
    <w:p w14:paraId="7BBB9AFA" w14:textId="43BA5AF3" w:rsidR="0083414B" w:rsidRPr="00C95274" w:rsidRDefault="0002021E" w:rsidP="001E57A8">
      <w:pPr>
        <w:pStyle w:val="afa"/>
      </w:pPr>
      <w:hyperlink w:anchor="_Toc182931586" w:history="1">
        <w:r w:rsidR="0083414B" w:rsidRPr="00C95274">
          <w:t>Διάγραμμα 2.25.:</w:t>
        </w:r>
        <w:r w:rsidR="00072C90" w:rsidRPr="00C95274">
          <w:tab/>
        </w:r>
        <w:r w:rsidR="0083414B" w:rsidRPr="00C95274">
          <w:t xml:space="preserve">Ανθρώπινοι </w:t>
        </w:r>
        <w:r w:rsidR="00E10C6D" w:rsidRPr="00C95274">
          <w:t>π</w:t>
        </w:r>
        <w:r w:rsidR="0083414B" w:rsidRPr="00C95274">
          <w:t>όροι ανά Πρόγραμμα</w:t>
        </w:r>
        <w:r w:rsidR="0083414B" w:rsidRPr="00C95274">
          <w:br/>
        </w:r>
        <w:r w:rsidR="0083414B" w:rsidRPr="00C95274">
          <w:rPr>
            <w:webHidden/>
          </w:rPr>
          <w:t>(Υπουργείο Πολιτισμού)</w:t>
        </w:r>
        <w:r w:rsidR="0083414B" w:rsidRPr="00C95274">
          <w:rPr>
            <w:webHidden/>
          </w:rPr>
          <w:tab/>
        </w:r>
        <w:r w:rsidR="0083414B" w:rsidRPr="00C95274">
          <w:rPr>
            <w:webHidden/>
          </w:rPr>
          <w:fldChar w:fldCharType="begin"/>
        </w:r>
        <w:r w:rsidR="0083414B" w:rsidRPr="00C95274">
          <w:rPr>
            <w:webHidden/>
          </w:rPr>
          <w:instrText xml:space="preserve"> PAGEREF _Toc182931586 \h </w:instrText>
        </w:r>
        <w:r w:rsidR="0083414B" w:rsidRPr="00C95274">
          <w:rPr>
            <w:webHidden/>
          </w:rPr>
        </w:r>
        <w:r w:rsidR="0083414B" w:rsidRPr="00C95274">
          <w:rPr>
            <w:webHidden/>
          </w:rPr>
          <w:fldChar w:fldCharType="separate"/>
        </w:r>
        <w:r w:rsidR="00E15678">
          <w:rPr>
            <w:webHidden/>
          </w:rPr>
          <w:t>53</w:t>
        </w:r>
        <w:r w:rsidR="0083414B" w:rsidRPr="00C95274">
          <w:rPr>
            <w:webHidden/>
          </w:rPr>
          <w:fldChar w:fldCharType="end"/>
        </w:r>
      </w:hyperlink>
    </w:p>
    <w:p w14:paraId="673550AB" w14:textId="35F995BE" w:rsidR="0083414B" w:rsidRPr="00C95274" w:rsidRDefault="0002021E" w:rsidP="001E57A8">
      <w:pPr>
        <w:pStyle w:val="afa"/>
      </w:pPr>
      <w:hyperlink w:anchor="_Toc182931587" w:history="1">
        <w:r w:rsidR="0083414B" w:rsidRPr="00C95274">
          <w:t>Διάγραμμα 2.26.:</w:t>
        </w:r>
        <w:r w:rsidR="00072C90" w:rsidRPr="00C95274">
          <w:tab/>
        </w:r>
        <w:r w:rsidR="0083414B" w:rsidRPr="00C95274">
          <w:t>Προϋπολογιζόμενη Δαπάνη Κρατικού Προϋπολογισμού ανά Πρόγραμμα</w:t>
        </w:r>
        <w:r w:rsidR="0017490E" w:rsidRPr="00C95274">
          <w:br/>
          <w:t>(Υπουργείο Εθνικής Οικονομίας και Οικονομικών)</w:t>
        </w:r>
        <w:r w:rsidR="0083414B" w:rsidRPr="00C95274">
          <w:rPr>
            <w:webHidden/>
          </w:rPr>
          <w:tab/>
        </w:r>
        <w:r w:rsidR="0083414B" w:rsidRPr="00C95274">
          <w:rPr>
            <w:webHidden/>
          </w:rPr>
          <w:fldChar w:fldCharType="begin"/>
        </w:r>
        <w:r w:rsidR="0083414B" w:rsidRPr="00C95274">
          <w:rPr>
            <w:webHidden/>
          </w:rPr>
          <w:instrText xml:space="preserve"> PAGEREF _Toc182931587 \h </w:instrText>
        </w:r>
        <w:r w:rsidR="0083414B" w:rsidRPr="00C95274">
          <w:rPr>
            <w:webHidden/>
          </w:rPr>
        </w:r>
        <w:r w:rsidR="0083414B" w:rsidRPr="00C95274">
          <w:rPr>
            <w:webHidden/>
          </w:rPr>
          <w:fldChar w:fldCharType="separate"/>
        </w:r>
        <w:r w:rsidR="00E15678">
          <w:rPr>
            <w:webHidden/>
          </w:rPr>
          <w:t>54</w:t>
        </w:r>
        <w:r w:rsidR="0083414B" w:rsidRPr="00C95274">
          <w:rPr>
            <w:webHidden/>
          </w:rPr>
          <w:fldChar w:fldCharType="end"/>
        </w:r>
      </w:hyperlink>
    </w:p>
    <w:p w14:paraId="0364A709" w14:textId="66AAA11D" w:rsidR="0083414B" w:rsidRPr="00C95274" w:rsidRDefault="0002021E" w:rsidP="001E57A8">
      <w:pPr>
        <w:pStyle w:val="afa"/>
      </w:pPr>
      <w:hyperlink w:anchor="_Toc182931588" w:history="1">
        <w:r w:rsidR="0083414B" w:rsidRPr="00C95274">
          <w:t>Διάγραμμα 2.27.:</w:t>
        </w:r>
        <w:r w:rsidR="00072C90" w:rsidRPr="00C95274">
          <w:tab/>
        </w:r>
        <w:r w:rsidR="0083414B" w:rsidRPr="00C95274">
          <w:t>Προϋπολογιζόμενη Δαπάνη Γενικής Κυβέρνησης ανά Πρόγραμμα</w:t>
        </w:r>
        <w:r w:rsidR="0017490E" w:rsidRPr="00C95274">
          <w:br/>
          <w:t>(Υπουργείο Εθνικής Οικονομίας και Οικονομικών)</w:t>
        </w:r>
        <w:r w:rsidR="0083414B" w:rsidRPr="00C95274">
          <w:rPr>
            <w:webHidden/>
          </w:rPr>
          <w:tab/>
        </w:r>
        <w:r w:rsidR="0083414B" w:rsidRPr="00C95274">
          <w:rPr>
            <w:webHidden/>
          </w:rPr>
          <w:fldChar w:fldCharType="begin"/>
        </w:r>
        <w:r w:rsidR="0083414B" w:rsidRPr="00C95274">
          <w:rPr>
            <w:webHidden/>
          </w:rPr>
          <w:instrText xml:space="preserve"> PAGEREF _Toc182931588 \h </w:instrText>
        </w:r>
        <w:r w:rsidR="0083414B" w:rsidRPr="00C95274">
          <w:rPr>
            <w:webHidden/>
          </w:rPr>
        </w:r>
        <w:r w:rsidR="0083414B" w:rsidRPr="00C95274">
          <w:rPr>
            <w:webHidden/>
          </w:rPr>
          <w:fldChar w:fldCharType="separate"/>
        </w:r>
        <w:r w:rsidR="00E15678">
          <w:rPr>
            <w:webHidden/>
          </w:rPr>
          <w:t>54</w:t>
        </w:r>
        <w:r w:rsidR="0083414B" w:rsidRPr="00C95274">
          <w:rPr>
            <w:webHidden/>
          </w:rPr>
          <w:fldChar w:fldCharType="end"/>
        </w:r>
      </w:hyperlink>
    </w:p>
    <w:p w14:paraId="4768C1DC" w14:textId="376704D1" w:rsidR="0083414B" w:rsidRPr="00C95274" w:rsidRDefault="0002021E" w:rsidP="001E57A8">
      <w:pPr>
        <w:pStyle w:val="afa"/>
      </w:pPr>
      <w:hyperlink w:anchor="_Toc182931589" w:history="1">
        <w:r w:rsidR="0083414B" w:rsidRPr="00C95274">
          <w:t>Διάγραμμα 2.28.:</w:t>
        </w:r>
        <w:r w:rsidR="00072C90" w:rsidRPr="00C95274">
          <w:tab/>
        </w:r>
        <w:r w:rsidR="0083414B" w:rsidRPr="00C95274">
          <w:t xml:space="preserve">Ανθρώπινοι </w:t>
        </w:r>
        <w:r w:rsidR="00B36CB9" w:rsidRPr="00C95274">
          <w:t>π</w:t>
        </w:r>
        <w:r w:rsidR="0083414B" w:rsidRPr="00C95274">
          <w:t>όροι ανά Πρόγραμμα</w:t>
        </w:r>
        <w:r w:rsidR="0017490E" w:rsidRPr="00C95274">
          <w:br/>
          <w:t>(Υπουργείο Εθνικής Οικονομίας και Οικονομικών)</w:t>
        </w:r>
        <w:r w:rsidR="0017490E" w:rsidRPr="00C95274">
          <w:rPr>
            <w:webHidden/>
          </w:rPr>
          <w:tab/>
        </w:r>
        <w:r w:rsidR="0083414B" w:rsidRPr="00C95274">
          <w:rPr>
            <w:webHidden/>
          </w:rPr>
          <w:fldChar w:fldCharType="begin"/>
        </w:r>
        <w:r w:rsidR="0083414B" w:rsidRPr="00C95274">
          <w:rPr>
            <w:webHidden/>
          </w:rPr>
          <w:instrText xml:space="preserve"> PAGEREF _Toc182931589 \h </w:instrText>
        </w:r>
        <w:r w:rsidR="0083414B" w:rsidRPr="00C95274">
          <w:rPr>
            <w:webHidden/>
          </w:rPr>
        </w:r>
        <w:r w:rsidR="0083414B" w:rsidRPr="00C95274">
          <w:rPr>
            <w:webHidden/>
          </w:rPr>
          <w:fldChar w:fldCharType="separate"/>
        </w:r>
        <w:r w:rsidR="00E15678">
          <w:rPr>
            <w:webHidden/>
          </w:rPr>
          <w:t>54</w:t>
        </w:r>
        <w:r w:rsidR="0083414B" w:rsidRPr="00C95274">
          <w:rPr>
            <w:webHidden/>
          </w:rPr>
          <w:fldChar w:fldCharType="end"/>
        </w:r>
      </w:hyperlink>
    </w:p>
    <w:p w14:paraId="18E1FA9A" w14:textId="0FE4511B" w:rsidR="0083414B" w:rsidRPr="00C95274" w:rsidRDefault="0002021E" w:rsidP="001E57A8">
      <w:pPr>
        <w:pStyle w:val="afa"/>
      </w:pPr>
      <w:hyperlink w:anchor="_Toc182931590" w:history="1">
        <w:r w:rsidR="0083414B" w:rsidRPr="00C95274">
          <w:t>Διάγραμμα 2.29.:</w:t>
        </w:r>
        <w:r w:rsidR="00072C90" w:rsidRPr="00C95274">
          <w:tab/>
        </w:r>
        <w:r w:rsidR="0083414B" w:rsidRPr="00C95274">
          <w:t>Προϋπολογιζόμενη Δαπάνη Κρατικού Προϋπολογισμού ανά Πρόγραμμα</w:t>
        </w:r>
        <w:r w:rsidR="0017490E" w:rsidRPr="00C95274">
          <w:br/>
        </w:r>
        <w:r w:rsidR="0017490E" w:rsidRPr="00C95274">
          <w:rPr>
            <w:webHidden/>
          </w:rPr>
          <w:t>(Υπουργείο Αγροτικής Ανάπτυξης και Τροφίμων)</w:t>
        </w:r>
        <w:r w:rsidR="0017490E" w:rsidRPr="00C95274">
          <w:rPr>
            <w:webHidden/>
          </w:rPr>
          <w:tab/>
        </w:r>
        <w:r w:rsidR="0083414B" w:rsidRPr="00C95274">
          <w:rPr>
            <w:webHidden/>
          </w:rPr>
          <w:fldChar w:fldCharType="begin"/>
        </w:r>
        <w:r w:rsidR="0083414B" w:rsidRPr="00C95274">
          <w:rPr>
            <w:webHidden/>
          </w:rPr>
          <w:instrText xml:space="preserve"> PAGEREF _Toc182931590 \h </w:instrText>
        </w:r>
        <w:r w:rsidR="0083414B" w:rsidRPr="00C95274">
          <w:rPr>
            <w:webHidden/>
          </w:rPr>
        </w:r>
        <w:r w:rsidR="0083414B" w:rsidRPr="00C95274">
          <w:rPr>
            <w:webHidden/>
          </w:rPr>
          <w:fldChar w:fldCharType="separate"/>
        </w:r>
        <w:r w:rsidR="00E15678">
          <w:rPr>
            <w:webHidden/>
          </w:rPr>
          <w:t>55</w:t>
        </w:r>
        <w:r w:rsidR="0083414B" w:rsidRPr="00C95274">
          <w:rPr>
            <w:webHidden/>
          </w:rPr>
          <w:fldChar w:fldCharType="end"/>
        </w:r>
      </w:hyperlink>
    </w:p>
    <w:p w14:paraId="3057AC14" w14:textId="671EAC9A" w:rsidR="0083414B" w:rsidRPr="00C95274" w:rsidRDefault="0002021E" w:rsidP="001E57A8">
      <w:pPr>
        <w:pStyle w:val="afa"/>
      </w:pPr>
      <w:hyperlink w:anchor="_Toc182931591" w:history="1">
        <w:r w:rsidR="0083414B" w:rsidRPr="00C95274">
          <w:t>Διάγραμμα 2.30.:</w:t>
        </w:r>
        <w:r w:rsidR="00072C90" w:rsidRPr="00C95274">
          <w:tab/>
        </w:r>
        <w:r w:rsidR="0083414B" w:rsidRPr="00C95274">
          <w:t>Προϋπολογιζόμενη Δαπάνη Γενικής Κυβέρνησης ανά Πρόγραμμα</w:t>
        </w:r>
        <w:r w:rsidR="0017490E" w:rsidRPr="00C95274">
          <w:br/>
        </w:r>
        <w:r w:rsidR="0017490E" w:rsidRPr="00C95274">
          <w:rPr>
            <w:webHidden/>
          </w:rPr>
          <w:t>(Υπουργείο Αγροτικής Ανάπτυξης και Τροφίμων)</w:t>
        </w:r>
        <w:r w:rsidR="0017490E" w:rsidRPr="00C95274">
          <w:rPr>
            <w:webHidden/>
          </w:rPr>
          <w:tab/>
        </w:r>
        <w:r w:rsidR="0083414B" w:rsidRPr="00C95274">
          <w:rPr>
            <w:webHidden/>
          </w:rPr>
          <w:fldChar w:fldCharType="begin"/>
        </w:r>
        <w:r w:rsidR="0083414B" w:rsidRPr="00C95274">
          <w:rPr>
            <w:webHidden/>
          </w:rPr>
          <w:instrText xml:space="preserve"> PAGEREF _Toc182931591 \h </w:instrText>
        </w:r>
        <w:r w:rsidR="0083414B" w:rsidRPr="00C95274">
          <w:rPr>
            <w:webHidden/>
          </w:rPr>
        </w:r>
        <w:r w:rsidR="0083414B" w:rsidRPr="00C95274">
          <w:rPr>
            <w:webHidden/>
          </w:rPr>
          <w:fldChar w:fldCharType="separate"/>
        </w:r>
        <w:r w:rsidR="00E15678">
          <w:rPr>
            <w:webHidden/>
          </w:rPr>
          <w:t>55</w:t>
        </w:r>
        <w:r w:rsidR="0083414B" w:rsidRPr="00C95274">
          <w:rPr>
            <w:webHidden/>
          </w:rPr>
          <w:fldChar w:fldCharType="end"/>
        </w:r>
      </w:hyperlink>
    </w:p>
    <w:p w14:paraId="2E7155B5" w14:textId="3EA4BC9A" w:rsidR="0083414B" w:rsidRPr="00C95274" w:rsidRDefault="0002021E" w:rsidP="001E57A8">
      <w:pPr>
        <w:pStyle w:val="afa"/>
      </w:pPr>
      <w:hyperlink w:anchor="_Toc182931592" w:history="1">
        <w:r w:rsidR="0083414B" w:rsidRPr="00C95274">
          <w:t>Διάγραμμα 2.31.:</w:t>
        </w:r>
        <w:r w:rsidR="00072C90" w:rsidRPr="00C95274">
          <w:tab/>
        </w:r>
        <w:r w:rsidR="0083414B" w:rsidRPr="00C95274">
          <w:t xml:space="preserve">Ανθρώπινοι </w:t>
        </w:r>
        <w:r w:rsidR="00E10C6D" w:rsidRPr="00C95274">
          <w:t>π</w:t>
        </w:r>
        <w:r w:rsidR="0083414B" w:rsidRPr="00C95274">
          <w:t>όροι ανά Πρόγραμμα</w:t>
        </w:r>
        <w:r w:rsidR="0017490E" w:rsidRPr="00C95274">
          <w:br/>
        </w:r>
        <w:r w:rsidR="0017490E" w:rsidRPr="00C95274">
          <w:rPr>
            <w:webHidden/>
          </w:rPr>
          <w:t>(Υπουργείο Αγροτικής Ανάπτυξης και Τροφίμων)</w:t>
        </w:r>
        <w:r w:rsidR="0017490E" w:rsidRPr="00C95274">
          <w:rPr>
            <w:webHidden/>
          </w:rPr>
          <w:tab/>
        </w:r>
        <w:r w:rsidR="0083414B" w:rsidRPr="00C95274">
          <w:rPr>
            <w:webHidden/>
          </w:rPr>
          <w:fldChar w:fldCharType="begin"/>
        </w:r>
        <w:r w:rsidR="0083414B" w:rsidRPr="00C95274">
          <w:rPr>
            <w:webHidden/>
          </w:rPr>
          <w:instrText xml:space="preserve"> PAGEREF _Toc182931592 \h </w:instrText>
        </w:r>
        <w:r w:rsidR="0083414B" w:rsidRPr="00C95274">
          <w:rPr>
            <w:webHidden/>
          </w:rPr>
        </w:r>
        <w:r w:rsidR="0083414B" w:rsidRPr="00C95274">
          <w:rPr>
            <w:webHidden/>
          </w:rPr>
          <w:fldChar w:fldCharType="separate"/>
        </w:r>
        <w:r w:rsidR="00E15678">
          <w:rPr>
            <w:webHidden/>
          </w:rPr>
          <w:t>55</w:t>
        </w:r>
        <w:r w:rsidR="0083414B" w:rsidRPr="00C95274">
          <w:rPr>
            <w:webHidden/>
          </w:rPr>
          <w:fldChar w:fldCharType="end"/>
        </w:r>
      </w:hyperlink>
    </w:p>
    <w:p w14:paraId="4CF1BD72" w14:textId="5F641BDC" w:rsidR="0083414B" w:rsidRPr="00C95274" w:rsidRDefault="0002021E" w:rsidP="001E57A8">
      <w:pPr>
        <w:pStyle w:val="afa"/>
      </w:pPr>
      <w:hyperlink w:anchor="_Toc182931593" w:history="1">
        <w:r w:rsidR="0083414B" w:rsidRPr="00C95274">
          <w:t>Διάγραμμα 2.32.:</w:t>
        </w:r>
        <w:r w:rsidR="00072C90" w:rsidRPr="00C95274">
          <w:tab/>
        </w:r>
        <w:r w:rsidR="0083414B" w:rsidRPr="00C95274">
          <w:t>Προϋπολογιζόμενη Δαπάνη Κρατικού Προϋπολογισμού ανά Πρόγραμμα</w:t>
        </w:r>
        <w:r w:rsidR="0017490E" w:rsidRPr="00C95274">
          <w:br/>
          <w:t>(Υπουργείο Περιβάλλοντος και Ενέργειας)</w:t>
        </w:r>
        <w:r w:rsidR="0083414B" w:rsidRPr="00C95274">
          <w:rPr>
            <w:webHidden/>
          </w:rPr>
          <w:tab/>
        </w:r>
        <w:r w:rsidR="0083414B" w:rsidRPr="00C95274">
          <w:rPr>
            <w:webHidden/>
          </w:rPr>
          <w:fldChar w:fldCharType="begin"/>
        </w:r>
        <w:r w:rsidR="0083414B" w:rsidRPr="00C95274">
          <w:rPr>
            <w:webHidden/>
          </w:rPr>
          <w:instrText xml:space="preserve"> PAGEREF _Toc182931593 \h </w:instrText>
        </w:r>
        <w:r w:rsidR="0083414B" w:rsidRPr="00C95274">
          <w:rPr>
            <w:webHidden/>
          </w:rPr>
        </w:r>
        <w:r w:rsidR="0083414B" w:rsidRPr="00C95274">
          <w:rPr>
            <w:webHidden/>
          </w:rPr>
          <w:fldChar w:fldCharType="separate"/>
        </w:r>
        <w:r w:rsidR="00E15678">
          <w:rPr>
            <w:webHidden/>
          </w:rPr>
          <w:t>56</w:t>
        </w:r>
        <w:r w:rsidR="0083414B" w:rsidRPr="00C95274">
          <w:rPr>
            <w:webHidden/>
          </w:rPr>
          <w:fldChar w:fldCharType="end"/>
        </w:r>
      </w:hyperlink>
    </w:p>
    <w:p w14:paraId="70FD9D32" w14:textId="3F1A33F0" w:rsidR="0083414B" w:rsidRPr="00C95274" w:rsidRDefault="0002021E" w:rsidP="001E57A8">
      <w:pPr>
        <w:pStyle w:val="afa"/>
      </w:pPr>
      <w:hyperlink w:anchor="_Toc182931594" w:history="1">
        <w:r w:rsidR="0083414B" w:rsidRPr="00C95274">
          <w:t>Διάγραμμα 2.33.:</w:t>
        </w:r>
        <w:r w:rsidR="00072C90" w:rsidRPr="00C95274">
          <w:tab/>
        </w:r>
        <w:r w:rsidR="0083414B" w:rsidRPr="00C95274">
          <w:t>Προϋπολογιζόμενη Δαπάνη Γενικής Κυβέρνησης ανά Πρόγραμμα</w:t>
        </w:r>
        <w:r w:rsidR="0017490E" w:rsidRPr="00C95274">
          <w:br/>
          <w:t>(Υπουργείο Περιβάλλοντος και Ενέργειας)</w:t>
        </w:r>
        <w:r w:rsidR="0083414B" w:rsidRPr="00C95274">
          <w:rPr>
            <w:webHidden/>
          </w:rPr>
          <w:tab/>
        </w:r>
        <w:r w:rsidR="0083414B" w:rsidRPr="00C95274">
          <w:rPr>
            <w:webHidden/>
          </w:rPr>
          <w:fldChar w:fldCharType="begin"/>
        </w:r>
        <w:r w:rsidR="0083414B" w:rsidRPr="00C95274">
          <w:rPr>
            <w:webHidden/>
          </w:rPr>
          <w:instrText xml:space="preserve"> PAGEREF _Toc182931594 \h </w:instrText>
        </w:r>
        <w:r w:rsidR="0083414B" w:rsidRPr="00C95274">
          <w:rPr>
            <w:webHidden/>
          </w:rPr>
        </w:r>
        <w:r w:rsidR="0083414B" w:rsidRPr="00C95274">
          <w:rPr>
            <w:webHidden/>
          </w:rPr>
          <w:fldChar w:fldCharType="separate"/>
        </w:r>
        <w:r w:rsidR="00E15678">
          <w:rPr>
            <w:webHidden/>
          </w:rPr>
          <w:t>56</w:t>
        </w:r>
        <w:r w:rsidR="0083414B" w:rsidRPr="00C95274">
          <w:rPr>
            <w:webHidden/>
          </w:rPr>
          <w:fldChar w:fldCharType="end"/>
        </w:r>
      </w:hyperlink>
    </w:p>
    <w:p w14:paraId="4C847EC0" w14:textId="290EECFA" w:rsidR="0083414B" w:rsidRPr="00C95274" w:rsidRDefault="0002021E" w:rsidP="001E57A8">
      <w:pPr>
        <w:pStyle w:val="afa"/>
      </w:pPr>
      <w:hyperlink w:anchor="_Toc182931595" w:history="1">
        <w:r w:rsidR="0083414B" w:rsidRPr="00C95274">
          <w:t>Διάγραμμα 2.34.:</w:t>
        </w:r>
        <w:r w:rsidR="00072C90" w:rsidRPr="00C95274">
          <w:tab/>
        </w:r>
        <w:r w:rsidR="0083414B" w:rsidRPr="00C95274">
          <w:t xml:space="preserve">Ανθρώπινοι </w:t>
        </w:r>
        <w:r w:rsidR="00E10C6D" w:rsidRPr="00C95274">
          <w:t>π</w:t>
        </w:r>
        <w:r w:rsidR="0083414B" w:rsidRPr="00C95274">
          <w:t>όροι ανά Πρόγραμμα</w:t>
        </w:r>
        <w:r w:rsidR="0017490E" w:rsidRPr="00C95274">
          <w:br/>
          <w:t>(Υπουργείο Περιβάλλοντος και Ενέργειας)</w:t>
        </w:r>
        <w:r w:rsidR="0083414B" w:rsidRPr="00C95274">
          <w:rPr>
            <w:webHidden/>
          </w:rPr>
          <w:tab/>
        </w:r>
        <w:r w:rsidR="0083414B" w:rsidRPr="00C95274">
          <w:rPr>
            <w:webHidden/>
          </w:rPr>
          <w:fldChar w:fldCharType="begin"/>
        </w:r>
        <w:r w:rsidR="0083414B" w:rsidRPr="00C95274">
          <w:rPr>
            <w:webHidden/>
          </w:rPr>
          <w:instrText xml:space="preserve"> PAGEREF _Toc182931595 \h </w:instrText>
        </w:r>
        <w:r w:rsidR="0083414B" w:rsidRPr="00C95274">
          <w:rPr>
            <w:webHidden/>
          </w:rPr>
        </w:r>
        <w:r w:rsidR="0083414B" w:rsidRPr="00C95274">
          <w:rPr>
            <w:webHidden/>
          </w:rPr>
          <w:fldChar w:fldCharType="separate"/>
        </w:r>
        <w:r w:rsidR="00E15678">
          <w:rPr>
            <w:webHidden/>
          </w:rPr>
          <w:t>56</w:t>
        </w:r>
        <w:r w:rsidR="0083414B" w:rsidRPr="00C95274">
          <w:rPr>
            <w:webHidden/>
          </w:rPr>
          <w:fldChar w:fldCharType="end"/>
        </w:r>
      </w:hyperlink>
    </w:p>
    <w:p w14:paraId="11FF61B2" w14:textId="48AB07CB" w:rsidR="0083414B" w:rsidRPr="00C95274" w:rsidRDefault="0002021E" w:rsidP="001E57A8">
      <w:pPr>
        <w:pStyle w:val="afa"/>
      </w:pPr>
      <w:hyperlink w:anchor="_Toc182931596" w:history="1">
        <w:r w:rsidR="0083414B" w:rsidRPr="00C95274">
          <w:t>Διάγραμμα 2.35.:</w:t>
        </w:r>
        <w:r w:rsidR="00FF13F0" w:rsidRPr="00C95274">
          <w:tab/>
        </w:r>
        <w:r w:rsidR="0083414B" w:rsidRPr="00C95274">
          <w:t>Προϋπολογιζόμενη Δαπάνη Κρατικού Προϋπολογισμού ανά Πρόγραμμα</w:t>
        </w:r>
        <w:r w:rsidR="0017490E" w:rsidRPr="00C95274">
          <w:br/>
          <w:t>(Υπουργείο Εργασίας και Κοινωνικής Ασφάλισης)</w:t>
        </w:r>
        <w:r w:rsidR="0083414B" w:rsidRPr="00C95274">
          <w:rPr>
            <w:webHidden/>
          </w:rPr>
          <w:tab/>
        </w:r>
        <w:r w:rsidR="0083414B" w:rsidRPr="00C95274">
          <w:rPr>
            <w:webHidden/>
          </w:rPr>
          <w:fldChar w:fldCharType="begin"/>
        </w:r>
        <w:r w:rsidR="0083414B" w:rsidRPr="00C95274">
          <w:rPr>
            <w:webHidden/>
          </w:rPr>
          <w:instrText xml:space="preserve"> PAGEREF _Toc182931596 \h </w:instrText>
        </w:r>
        <w:r w:rsidR="0083414B" w:rsidRPr="00C95274">
          <w:rPr>
            <w:webHidden/>
          </w:rPr>
        </w:r>
        <w:r w:rsidR="0083414B" w:rsidRPr="00C95274">
          <w:rPr>
            <w:webHidden/>
          </w:rPr>
          <w:fldChar w:fldCharType="separate"/>
        </w:r>
        <w:r w:rsidR="00E15678">
          <w:rPr>
            <w:webHidden/>
          </w:rPr>
          <w:t>57</w:t>
        </w:r>
        <w:r w:rsidR="0083414B" w:rsidRPr="00C95274">
          <w:rPr>
            <w:webHidden/>
          </w:rPr>
          <w:fldChar w:fldCharType="end"/>
        </w:r>
      </w:hyperlink>
    </w:p>
    <w:p w14:paraId="0D53AA41" w14:textId="6F1A385B" w:rsidR="0083414B" w:rsidRPr="00C95274" w:rsidRDefault="0002021E" w:rsidP="001E57A8">
      <w:pPr>
        <w:pStyle w:val="afa"/>
      </w:pPr>
      <w:hyperlink w:anchor="_Toc182931597" w:history="1">
        <w:r w:rsidR="0083414B" w:rsidRPr="00C95274">
          <w:t>Διάγραμμα 2.36.:</w:t>
        </w:r>
        <w:r w:rsidR="00FF13F0" w:rsidRPr="00C95274">
          <w:tab/>
        </w:r>
        <w:r w:rsidR="0083414B" w:rsidRPr="00C95274">
          <w:t>Προϋπολογιζόμενη Δαπάνη Γενικής Κυβέρνησης ανά Πρόγραμμα</w:t>
        </w:r>
        <w:r w:rsidR="0017490E" w:rsidRPr="00C95274">
          <w:br/>
          <w:t>(Υπουργείο Εργασίας και Κοινωνικής Ασφάλισης)</w:t>
        </w:r>
        <w:r w:rsidR="0083414B" w:rsidRPr="00C95274">
          <w:rPr>
            <w:webHidden/>
          </w:rPr>
          <w:tab/>
        </w:r>
        <w:r w:rsidR="0083414B" w:rsidRPr="00C95274">
          <w:rPr>
            <w:webHidden/>
          </w:rPr>
          <w:fldChar w:fldCharType="begin"/>
        </w:r>
        <w:r w:rsidR="0083414B" w:rsidRPr="00C95274">
          <w:rPr>
            <w:webHidden/>
          </w:rPr>
          <w:instrText xml:space="preserve"> PAGEREF _Toc182931597 \h </w:instrText>
        </w:r>
        <w:r w:rsidR="0083414B" w:rsidRPr="00C95274">
          <w:rPr>
            <w:webHidden/>
          </w:rPr>
        </w:r>
        <w:r w:rsidR="0083414B" w:rsidRPr="00C95274">
          <w:rPr>
            <w:webHidden/>
          </w:rPr>
          <w:fldChar w:fldCharType="separate"/>
        </w:r>
        <w:r w:rsidR="00E15678">
          <w:rPr>
            <w:webHidden/>
          </w:rPr>
          <w:t>57</w:t>
        </w:r>
        <w:r w:rsidR="0083414B" w:rsidRPr="00C95274">
          <w:rPr>
            <w:webHidden/>
          </w:rPr>
          <w:fldChar w:fldCharType="end"/>
        </w:r>
      </w:hyperlink>
    </w:p>
    <w:p w14:paraId="5DB7491E" w14:textId="437A3267" w:rsidR="0083414B" w:rsidRPr="00C95274" w:rsidRDefault="0002021E" w:rsidP="001E57A8">
      <w:pPr>
        <w:pStyle w:val="afa"/>
      </w:pPr>
      <w:hyperlink w:anchor="_Toc182931598" w:history="1">
        <w:r w:rsidR="0083414B" w:rsidRPr="00C95274">
          <w:t>Διάγραμμα 2.37.:</w:t>
        </w:r>
        <w:r w:rsidR="00FF13F0" w:rsidRPr="00C95274">
          <w:tab/>
        </w:r>
        <w:r w:rsidR="0083414B" w:rsidRPr="00C95274">
          <w:t xml:space="preserve">Ανθρώπινοι </w:t>
        </w:r>
        <w:r w:rsidR="00E10C6D" w:rsidRPr="00C95274">
          <w:t>π</w:t>
        </w:r>
        <w:r w:rsidR="0083414B" w:rsidRPr="00C95274">
          <w:t>όροι ανά Πρόγραμμα</w:t>
        </w:r>
        <w:r w:rsidR="0017490E" w:rsidRPr="00C95274">
          <w:br/>
          <w:t>(Υπουργείο Εργασίας και Κοινωνικής Ασφάλισης)</w:t>
        </w:r>
        <w:r w:rsidR="0083414B" w:rsidRPr="00C95274">
          <w:rPr>
            <w:webHidden/>
          </w:rPr>
          <w:tab/>
        </w:r>
        <w:r w:rsidR="0083414B" w:rsidRPr="00C95274">
          <w:rPr>
            <w:webHidden/>
          </w:rPr>
          <w:fldChar w:fldCharType="begin"/>
        </w:r>
        <w:r w:rsidR="0083414B" w:rsidRPr="00C95274">
          <w:rPr>
            <w:webHidden/>
          </w:rPr>
          <w:instrText xml:space="preserve"> PAGEREF _Toc182931598 \h </w:instrText>
        </w:r>
        <w:r w:rsidR="0083414B" w:rsidRPr="00C95274">
          <w:rPr>
            <w:webHidden/>
          </w:rPr>
        </w:r>
        <w:r w:rsidR="0083414B" w:rsidRPr="00C95274">
          <w:rPr>
            <w:webHidden/>
          </w:rPr>
          <w:fldChar w:fldCharType="separate"/>
        </w:r>
        <w:r w:rsidR="00E15678">
          <w:rPr>
            <w:webHidden/>
          </w:rPr>
          <w:t>57</w:t>
        </w:r>
        <w:r w:rsidR="0083414B" w:rsidRPr="00C95274">
          <w:rPr>
            <w:webHidden/>
          </w:rPr>
          <w:fldChar w:fldCharType="end"/>
        </w:r>
      </w:hyperlink>
    </w:p>
    <w:p w14:paraId="5B7CE501" w14:textId="260EA829" w:rsidR="0083414B" w:rsidRPr="00C95274" w:rsidRDefault="0002021E" w:rsidP="001E57A8">
      <w:pPr>
        <w:pStyle w:val="afa"/>
      </w:pPr>
      <w:hyperlink w:anchor="_Toc182931599" w:history="1">
        <w:r w:rsidR="0083414B" w:rsidRPr="00C95274">
          <w:t>Διάγραμμα 2.38.:</w:t>
        </w:r>
        <w:r w:rsidR="00FF13F0" w:rsidRPr="00C95274">
          <w:tab/>
        </w:r>
        <w:r w:rsidR="0083414B" w:rsidRPr="00C95274">
          <w:t>Προϋπολογιζόμενη Δαπάνη Κρατικού Προϋπολογισμού ανά Πρόγραμμα</w:t>
        </w:r>
        <w:r w:rsidR="00F4693A" w:rsidRPr="00C95274">
          <w:br/>
          <w:t>(Υπουργείο Κοινωνικής Συνοχής και Οικογένειας)</w:t>
        </w:r>
        <w:r w:rsidR="0083414B" w:rsidRPr="00C95274">
          <w:rPr>
            <w:webHidden/>
          </w:rPr>
          <w:tab/>
        </w:r>
        <w:r w:rsidR="0083414B" w:rsidRPr="00C95274">
          <w:rPr>
            <w:webHidden/>
          </w:rPr>
          <w:fldChar w:fldCharType="begin"/>
        </w:r>
        <w:r w:rsidR="0083414B" w:rsidRPr="00C95274">
          <w:rPr>
            <w:webHidden/>
          </w:rPr>
          <w:instrText xml:space="preserve"> PAGEREF _Toc182931599 \h </w:instrText>
        </w:r>
        <w:r w:rsidR="0083414B" w:rsidRPr="00C95274">
          <w:rPr>
            <w:webHidden/>
          </w:rPr>
        </w:r>
        <w:r w:rsidR="0083414B" w:rsidRPr="00C95274">
          <w:rPr>
            <w:webHidden/>
          </w:rPr>
          <w:fldChar w:fldCharType="separate"/>
        </w:r>
        <w:r w:rsidR="00E15678">
          <w:rPr>
            <w:webHidden/>
          </w:rPr>
          <w:t>58</w:t>
        </w:r>
        <w:r w:rsidR="0083414B" w:rsidRPr="00C95274">
          <w:rPr>
            <w:webHidden/>
          </w:rPr>
          <w:fldChar w:fldCharType="end"/>
        </w:r>
      </w:hyperlink>
    </w:p>
    <w:p w14:paraId="616A40C9" w14:textId="4BB529D8" w:rsidR="0083414B" w:rsidRPr="00C95274" w:rsidRDefault="0002021E" w:rsidP="001E57A8">
      <w:pPr>
        <w:pStyle w:val="afa"/>
      </w:pPr>
      <w:hyperlink w:anchor="_Toc182931600" w:history="1">
        <w:r w:rsidR="0083414B" w:rsidRPr="00C95274">
          <w:t>Διάγραμμα 2.39.:</w:t>
        </w:r>
        <w:r w:rsidR="00FF13F0" w:rsidRPr="00C95274">
          <w:tab/>
        </w:r>
        <w:r w:rsidR="0083414B" w:rsidRPr="00C95274">
          <w:t>Προϋπολογιζόμενη Δαπάνη Γενικής Κυβέρνησης ανά Πρόγραμμα</w:t>
        </w:r>
        <w:r w:rsidR="00F4693A" w:rsidRPr="00C95274">
          <w:br/>
          <w:t>(Υπουργείο Κοινωνικής Συνοχής και Οικογένειας)</w:t>
        </w:r>
        <w:r w:rsidR="0083414B" w:rsidRPr="00C95274">
          <w:rPr>
            <w:webHidden/>
          </w:rPr>
          <w:tab/>
        </w:r>
        <w:r w:rsidR="0083414B" w:rsidRPr="00C95274">
          <w:rPr>
            <w:webHidden/>
          </w:rPr>
          <w:fldChar w:fldCharType="begin"/>
        </w:r>
        <w:r w:rsidR="0083414B" w:rsidRPr="00C95274">
          <w:rPr>
            <w:webHidden/>
          </w:rPr>
          <w:instrText xml:space="preserve"> PAGEREF _Toc182931600 \h </w:instrText>
        </w:r>
        <w:r w:rsidR="0083414B" w:rsidRPr="00C95274">
          <w:rPr>
            <w:webHidden/>
          </w:rPr>
        </w:r>
        <w:r w:rsidR="0083414B" w:rsidRPr="00C95274">
          <w:rPr>
            <w:webHidden/>
          </w:rPr>
          <w:fldChar w:fldCharType="separate"/>
        </w:r>
        <w:r w:rsidR="00E15678">
          <w:rPr>
            <w:webHidden/>
          </w:rPr>
          <w:t>58</w:t>
        </w:r>
        <w:r w:rsidR="0083414B" w:rsidRPr="00C95274">
          <w:rPr>
            <w:webHidden/>
          </w:rPr>
          <w:fldChar w:fldCharType="end"/>
        </w:r>
      </w:hyperlink>
    </w:p>
    <w:p w14:paraId="44444EAA" w14:textId="7735DE6E" w:rsidR="0083414B" w:rsidRPr="00C95274" w:rsidRDefault="0002021E" w:rsidP="001E57A8">
      <w:pPr>
        <w:pStyle w:val="afa"/>
      </w:pPr>
      <w:hyperlink w:anchor="_Toc182931601" w:history="1">
        <w:r w:rsidR="0083414B" w:rsidRPr="00C95274">
          <w:t>Διάγραμμα 2.40.:</w:t>
        </w:r>
        <w:r w:rsidR="00FF13F0" w:rsidRPr="00C95274">
          <w:tab/>
        </w:r>
        <w:r w:rsidR="0083414B" w:rsidRPr="00C95274">
          <w:t xml:space="preserve">Ανθρώπινοι </w:t>
        </w:r>
        <w:r w:rsidR="00E10C6D" w:rsidRPr="00C95274">
          <w:t>π</w:t>
        </w:r>
        <w:r w:rsidR="0083414B" w:rsidRPr="00C95274">
          <w:t>όροι ανά Πρόγραμμα</w:t>
        </w:r>
        <w:r w:rsidR="00F4693A" w:rsidRPr="00C95274">
          <w:br/>
          <w:t>(Υπουργείο Κοινωνικής Συνοχής και Οικογένειας)</w:t>
        </w:r>
        <w:r w:rsidR="0083414B" w:rsidRPr="00C95274">
          <w:rPr>
            <w:webHidden/>
          </w:rPr>
          <w:tab/>
        </w:r>
        <w:r w:rsidR="0083414B" w:rsidRPr="00C95274">
          <w:rPr>
            <w:webHidden/>
          </w:rPr>
          <w:fldChar w:fldCharType="begin"/>
        </w:r>
        <w:r w:rsidR="0083414B" w:rsidRPr="00C95274">
          <w:rPr>
            <w:webHidden/>
          </w:rPr>
          <w:instrText xml:space="preserve"> PAGEREF _Toc182931601 \h </w:instrText>
        </w:r>
        <w:r w:rsidR="0083414B" w:rsidRPr="00C95274">
          <w:rPr>
            <w:webHidden/>
          </w:rPr>
        </w:r>
        <w:r w:rsidR="0083414B" w:rsidRPr="00C95274">
          <w:rPr>
            <w:webHidden/>
          </w:rPr>
          <w:fldChar w:fldCharType="separate"/>
        </w:r>
        <w:r w:rsidR="00E15678">
          <w:rPr>
            <w:webHidden/>
          </w:rPr>
          <w:t>58</w:t>
        </w:r>
        <w:r w:rsidR="0083414B" w:rsidRPr="00C95274">
          <w:rPr>
            <w:webHidden/>
          </w:rPr>
          <w:fldChar w:fldCharType="end"/>
        </w:r>
      </w:hyperlink>
    </w:p>
    <w:p w14:paraId="0B8A9BF7" w14:textId="5473EF73" w:rsidR="0083414B" w:rsidRPr="00C95274" w:rsidRDefault="0002021E" w:rsidP="001E57A8">
      <w:pPr>
        <w:pStyle w:val="afa"/>
      </w:pPr>
      <w:hyperlink w:anchor="_Toc182931602" w:history="1">
        <w:r w:rsidR="0083414B" w:rsidRPr="00C95274">
          <w:t>Διάγραμμα 2.41.:</w:t>
        </w:r>
        <w:r w:rsidR="00FF13F0" w:rsidRPr="00C95274">
          <w:tab/>
        </w:r>
        <w:r w:rsidR="0083414B" w:rsidRPr="00C95274">
          <w:t>Προϋπολογιζόμενη Δαπάνη Κρατικού Προϋπολογισμού ανά Πρόγραμμα</w:t>
        </w:r>
        <w:r w:rsidR="00F4693A" w:rsidRPr="00C95274">
          <w:br/>
          <w:t>(Υπουργείο Ανάπτυξης)</w:t>
        </w:r>
        <w:r w:rsidR="0083414B" w:rsidRPr="00C95274">
          <w:rPr>
            <w:webHidden/>
          </w:rPr>
          <w:tab/>
        </w:r>
        <w:r w:rsidR="0083414B" w:rsidRPr="00C95274">
          <w:rPr>
            <w:webHidden/>
          </w:rPr>
          <w:fldChar w:fldCharType="begin"/>
        </w:r>
        <w:r w:rsidR="0083414B" w:rsidRPr="00C95274">
          <w:rPr>
            <w:webHidden/>
          </w:rPr>
          <w:instrText xml:space="preserve"> PAGEREF _Toc182931602 \h </w:instrText>
        </w:r>
        <w:r w:rsidR="0083414B" w:rsidRPr="00C95274">
          <w:rPr>
            <w:webHidden/>
          </w:rPr>
        </w:r>
        <w:r w:rsidR="0083414B" w:rsidRPr="00C95274">
          <w:rPr>
            <w:webHidden/>
          </w:rPr>
          <w:fldChar w:fldCharType="separate"/>
        </w:r>
        <w:r w:rsidR="00E15678">
          <w:rPr>
            <w:webHidden/>
          </w:rPr>
          <w:t>59</w:t>
        </w:r>
        <w:r w:rsidR="0083414B" w:rsidRPr="00C95274">
          <w:rPr>
            <w:webHidden/>
          </w:rPr>
          <w:fldChar w:fldCharType="end"/>
        </w:r>
      </w:hyperlink>
    </w:p>
    <w:p w14:paraId="5F8DFBCA" w14:textId="2589D17A" w:rsidR="0083414B" w:rsidRPr="00C95274" w:rsidRDefault="0002021E" w:rsidP="001E57A8">
      <w:pPr>
        <w:pStyle w:val="afa"/>
      </w:pPr>
      <w:hyperlink w:anchor="_Toc182931603" w:history="1">
        <w:r w:rsidR="0083414B" w:rsidRPr="00C95274">
          <w:t>Διάγραμμα 2.42.:</w:t>
        </w:r>
        <w:r w:rsidR="00FF13F0" w:rsidRPr="00C95274">
          <w:tab/>
        </w:r>
        <w:r w:rsidR="0083414B" w:rsidRPr="00C95274">
          <w:t>Προϋπολογιζόμενη Δαπάνη Γενικής Κυβέρνησης ανά Πρόγραμμα</w:t>
        </w:r>
        <w:r w:rsidR="00F4693A" w:rsidRPr="00C95274">
          <w:br/>
          <w:t>(Υπουργείο Ανάπτυξης)</w:t>
        </w:r>
        <w:r w:rsidR="0083414B" w:rsidRPr="00C95274">
          <w:rPr>
            <w:webHidden/>
          </w:rPr>
          <w:tab/>
        </w:r>
        <w:r w:rsidR="0083414B" w:rsidRPr="00C95274">
          <w:rPr>
            <w:webHidden/>
          </w:rPr>
          <w:fldChar w:fldCharType="begin"/>
        </w:r>
        <w:r w:rsidR="0083414B" w:rsidRPr="00C95274">
          <w:rPr>
            <w:webHidden/>
          </w:rPr>
          <w:instrText xml:space="preserve"> PAGEREF _Toc182931603 \h </w:instrText>
        </w:r>
        <w:r w:rsidR="0083414B" w:rsidRPr="00C95274">
          <w:rPr>
            <w:webHidden/>
          </w:rPr>
        </w:r>
        <w:r w:rsidR="0083414B" w:rsidRPr="00C95274">
          <w:rPr>
            <w:webHidden/>
          </w:rPr>
          <w:fldChar w:fldCharType="separate"/>
        </w:r>
        <w:r w:rsidR="00E15678">
          <w:rPr>
            <w:webHidden/>
          </w:rPr>
          <w:t>59</w:t>
        </w:r>
        <w:r w:rsidR="0083414B" w:rsidRPr="00C95274">
          <w:rPr>
            <w:webHidden/>
          </w:rPr>
          <w:fldChar w:fldCharType="end"/>
        </w:r>
      </w:hyperlink>
    </w:p>
    <w:p w14:paraId="650162E6" w14:textId="367B686B" w:rsidR="0083414B" w:rsidRPr="00C95274" w:rsidRDefault="0002021E" w:rsidP="001E57A8">
      <w:pPr>
        <w:pStyle w:val="afa"/>
      </w:pPr>
      <w:hyperlink w:anchor="_Toc182931604" w:history="1">
        <w:r w:rsidR="0083414B" w:rsidRPr="00C95274">
          <w:t>Διάγραμμα 2.43.:</w:t>
        </w:r>
        <w:r w:rsidR="00FF13F0" w:rsidRPr="00C95274">
          <w:tab/>
        </w:r>
        <w:r w:rsidR="0083414B" w:rsidRPr="00C95274">
          <w:t xml:space="preserve">Ανθρώπινοι </w:t>
        </w:r>
        <w:r w:rsidR="00E10C6D" w:rsidRPr="00C95274">
          <w:t>π</w:t>
        </w:r>
        <w:r w:rsidR="0083414B" w:rsidRPr="00C95274">
          <w:t>όροι ανά Πρόγραμμα</w:t>
        </w:r>
        <w:r w:rsidR="00F4693A" w:rsidRPr="00C95274">
          <w:br/>
          <w:t>(Υπουργείο Ανάπτυξης)</w:t>
        </w:r>
        <w:r w:rsidR="0083414B" w:rsidRPr="00C95274">
          <w:rPr>
            <w:webHidden/>
          </w:rPr>
          <w:tab/>
        </w:r>
        <w:r w:rsidR="0083414B" w:rsidRPr="00C95274">
          <w:rPr>
            <w:webHidden/>
          </w:rPr>
          <w:fldChar w:fldCharType="begin"/>
        </w:r>
        <w:r w:rsidR="0083414B" w:rsidRPr="00C95274">
          <w:rPr>
            <w:webHidden/>
          </w:rPr>
          <w:instrText xml:space="preserve"> PAGEREF _Toc182931604 \h </w:instrText>
        </w:r>
        <w:r w:rsidR="0083414B" w:rsidRPr="00C95274">
          <w:rPr>
            <w:webHidden/>
          </w:rPr>
        </w:r>
        <w:r w:rsidR="0083414B" w:rsidRPr="00C95274">
          <w:rPr>
            <w:webHidden/>
          </w:rPr>
          <w:fldChar w:fldCharType="separate"/>
        </w:r>
        <w:r w:rsidR="00E15678">
          <w:rPr>
            <w:webHidden/>
          </w:rPr>
          <w:t>59</w:t>
        </w:r>
        <w:r w:rsidR="0083414B" w:rsidRPr="00C95274">
          <w:rPr>
            <w:webHidden/>
          </w:rPr>
          <w:fldChar w:fldCharType="end"/>
        </w:r>
      </w:hyperlink>
    </w:p>
    <w:p w14:paraId="013C0EB0" w14:textId="39FE4CDB" w:rsidR="0083414B" w:rsidRPr="00C95274" w:rsidRDefault="0002021E" w:rsidP="001E57A8">
      <w:pPr>
        <w:pStyle w:val="afa"/>
      </w:pPr>
      <w:hyperlink w:anchor="_Toc182931605" w:history="1">
        <w:r w:rsidR="0083414B" w:rsidRPr="00C95274">
          <w:t>Διάγραμμα 2.44.:</w:t>
        </w:r>
        <w:r w:rsidR="00FF13F0" w:rsidRPr="00C95274">
          <w:tab/>
        </w:r>
        <w:r w:rsidR="0083414B" w:rsidRPr="00C95274">
          <w:t>Προϋπολογιζόμενη Δαπάνη Κρατικού Προϋπολογισμού ανά Πρόγραμμα</w:t>
        </w:r>
        <w:r w:rsidR="00F4693A" w:rsidRPr="00C95274">
          <w:br/>
          <w:t>(Υπουργείο Υποδομών και Μεταφορών)</w:t>
        </w:r>
        <w:r w:rsidR="0083414B" w:rsidRPr="00C95274">
          <w:rPr>
            <w:webHidden/>
          </w:rPr>
          <w:tab/>
        </w:r>
        <w:r w:rsidR="0083414B" w:rsidRPr="00C95274">
          <w:rPr>
            <w:webHidden/>
          </w:rPr>
          <w:fldChar w:fldCharType="begin"/>
        </w:r>
        <w:r w:rsidR="0083414B" w:rsidRPr="00C95274">
          <w:rPr>
            <w:webHidden/>
          </w:rPr>
          <w:instrText xml:space="preserve"> PAGEREF _Toc182931605 \h </w:instrText>
        </w:r>
        <w:r w:rsidR="0083414B" w:rsidRPr="00C95274">
          <w:rPr>
            <w:webHidden/>
          </w:rPr>
        </w:r>
        <w:r w:rsidR="0083414B" w:rsidRPr="00C95274">
          <w:rPr>
            <w:webHidden/>
          </w:rPr>
          <w:fldChar w:fldCharType="separate"/>
        </w:r>
        <w:r w:rsidR="00E15678">
          <w:rPr>
            <w:webHidden/>
          </w:rPr>
          <w:t>60</w:t>
        </w:r>
        <w:r w:rsidR="0083414B" w:rsidRPr="00C95274">
          <w:rPr>
            <w:webHidden/>
          </w:rPr>
          <w:fldChar w:fldCharType="end"/>
        </w:r>
      </w:hyperlink>
    </w:p>
    <w:p w14:paraId="780C3673" w14:textId="3E45156F" w:rsidR="0083414B" w:rsidRPr="00C95274" w:rsidRDefault="0002021E" w:rsidP="001E57A8">
      <w:pPr>
        <w:pStyle w:val="afa"/>
      </w:pPr>
      <w:hyperlink w:anchor="_Toc182931606" w:history="1">
        <w:r w:rsidR="0083414B" w:rsidRPr="00C95274">
          <w:t>Διάγραμμα 2.45.:</w:t>
        </w:r>
        <w:r w:rsidR="00FF13F0" w:rsidRPr="00C95274">
          <w:tab/>
        </w:r>
        <w:r w:rsidR="0083414B" w:rsidRPr="00C95274">
          <w:t>Προϋπολογιζόμενη Δαπάνη Γενικής Κυβέρνησης ανά Πρόγραμμα</w:t>
        </w:r>
        <w:r w:rsidR="00F4693A" w:rsidRPr="00C95274">
          <w:br/>
          <w:t>(Υπουργείο Υποδομών και Μεταφορών)</w:t>
        </w:r>
        <w:r w:rsidR="0083414B" w:rsidRPr="00C95274">
          <w:rPr>
            <w:webHidden/>
          </w:rPr>
          <w:tab/>
        </w:r>
        <w:r w:rsidR="0083414B" w:rsidRPr="00C95274">
          <w:rPr>
            <w:webHidden/>
          </w:rPr>
          <w:fldChar w:fldCharType="begin"/>
        </w:r>
        <w:r w:rsidR="0083414B" w:rsidRPr="00C95274">
          <w:rPr>
            <w:webHidden/>
          </w:rPr>
          <w:instrText xml:space="preserve"> PAGEREF _Toc182931606 \h </w:instrText>
        </w:r>
        <w:r w:rsidR="0083414B" w:rsidRPr="00C95274">
          <w:rPr>
            <w:webHidden/>
          </w:rPr>
        </w:r>
        <w:r w:rsidR="0083414B" w:rsidRPr="00C95274">
          <w:rPr>
            <w:webHidden/>
          </w:rPr>
          <w:fldChar w:fldCharType="separate"/>
        </w:r>
        <w:r w:rsidR="00E15678">
          <w:rPr>
            <w:webHidden/>
          </w:rPr>
          <w:t>60</w:t>
        </w:r>
        <w:r w:rsidR="0083414B" w:rsidRPr="00C95274">
          <w:rPr>
            <w:webHidden/>
          </w:rPr>
          <w:fldChar w:fldCharType="end"/>
        </w:r>
      </w:hyperlink>
    </w:p>
    <w:p w14:paraId="0791C2AF" w14:textId="61CACA24" w:rsidR="0083414B" w:rsidRPr="00C95274" w:rsidRDefault="0002021E" w:rsidP="001E57A8">
      <w:pPr>
        <w:pStyle w:val="afa"/>
      </w:pPr>
      <w:hyperlink w:anchor="_Toc182931607" w:history="1">
        <w:r w:rsidR="0083414B" w:rsidRPr="00C95274">
          <w:t>Διάγραμμα 2.46.:</w:t>
        </w:r>
        <w:r w:rsidR="00FF13F0" w:rsidRPr="00C95274">
          <w:tab/>
        </w:r>
        <w:r w:rsidR="0083414B" w:rsidRPr="00C95274">
          <w:t xml:space="preserve">Ανθρώπινοι </w:t>
        </w:r>
        <w:r w:rsidR="00E10C6D" w:rsidRPr="00C95274">
          <w:t>π</w:t>
        </w:r>
        <w:r w:rsidR="0083414B" w:rsidRPr="00C95274">
          <w:t>όροι ανά Πρόγραμμα</w:t>
        </w:r>
        <w:r w:rsidR="00F4693A" w:rsidRPr="00C95274">
          <w:br/>
          <w:t>(Υπουργείο Υποδομών και Μεταφορών)</w:t>
        </w:r>
        <w:r w:rsidR="0083414B" w:rsidRPr="00C95274">
          <w:rPr>
            <w:webHidden/>
          </w:rPr>
          <w:tab/>
        </w:r>
        <w:r w:rsidR="0083414B" w:rsidRPr="00C95274">
          <w:rPr>
            <w:webHidden/>
          </w:rPr>
          <w:fldChar w:fldCharType="begin"/>
        </w:r>
        <w:r w:rsidR="0083414B" w:rsidRPr="00C95274">
          <w:rPr>
            <w:webHidden/>
          </w:rPr>
          <w:instrText xml:space="preserve"> PAGEREF _Toc182931607 \h </w:instrText>
        </w:r>
        <w:r w:rsidR="0083414B" w:rsidRPr="00C95274">
          <w:rPr>
            <w:webHidden/>
          </w:rPr>
        </w:r>
        <w:r w:rsidR="0083414B" w:rsidRPr="00C95274">
          <w:rPr>
            <w:webHidden/>
          </w:rPr>
          <w:fldChar w:fldCharType="separate"/>
        </w:r>
        <w:r w:rsidR="00E15678">
          <w:rPr>
            <w:webHidden/>
          </w:rPr>
          <w:t>60</w:t>
        </w:r>
        <w:r w:rsidR="0083414B" w:rsidRPr="00C95274">
          <w:rPr>
            <w:webHidden/>
          </w:rPr>
          <w:fldChar w:fldCharType="end"/>
        </w:r>
      </w:hyperlink>
    </w:p>
    <w:p w14:paraId="7DE6579C" w14:textId="5BC6A463" w:rsidR="0083414B" w:rsidRPr="00C95274" w:rsidRDefault="0002021E" w:rsidP="001E57A8">
      <w:pPr>
        <w:pStyle w:val="afa"/>
      </w:pPr>
      <w:hyperlink w:anchor="_Toc182931608" w:history="1">
        <w:r w:rsidR="0083414B" w:rsidRPr="00C95274">
          <w:t>Διάγραμμα 2.47.:</w:t>
        </w:r>
        <w:r w:rsidR="00FF13F0" w:rsidRPr="00C95274">
          <w:tab/>
        </w:r>
        <w:r w:rsidR="0083414B" w:rsidRPr="00C95274">
          <w:t>Προϋπολογιζόμενη Δαπάνη Κρατικού Προϋπολογισμού ανά Πρόγραμμα</w:t>
        </w:r>
        <w:r w:rsidR="00F4693A" w:rsidRPr="00C95274">
          <w:br/>
          <w:t>(Υπουργείο Ναυτιλίας και Νησιωτικής Πολιτικής)</w:t>
        </w:r>
        <w:r w:rsidR="0083414B" w:rsidRPr="00C95274">
          <w:rPr>
            <w:webHidden/>
          </w:rPr>
          <w:tab/>
        </w:r>
        <w:r w:rsidR="0083414B" w:rsidRPr="00C95274">
          <w:rPr>
            <w:webHidden/>
          </w:rPr>
          <w:fldChar w:fldCharType="begin"/>
        </w:r>
        <w:r w:rsidR="0083414B" w:rsidRPr="00C95274">
          <w:rPr>
            <w:webHidden/>
          </w:rPr>
          <w:instrText xml:space="preserve"> PAGEREF _Toc182931608 \h </w:instrText>
        </w:r>
        <w:r w:rsidR="0083414B" w:rsidRPr="00C95274">
          <w:rPr>
            <w:webHidden/>
          </w:rPr>
        </w:r>
        <w:r w:rsidR="0083414B" w:rsidRPr="00C95274">
          <w:rPr>
            <w:webHidden/>
          </w:rPr>
          <w:fldChar w:fldCharType="separate"/>
        </w:r>
        <w:r w:rsidR="00E15678">
          <w:rPr>
            <w:webHidden/>
          </w:rPr>
          <w:t>61</w:t>
        </w:r>
        <w:r w:rsidR="0083414B" w:rsidRPr="00C95274">
          <w:rPr>
            <w:webHidden/>
          </w:rPr>
          <w:fldChar w:fldCharType="end"/>
        </w:r>
      </w:hyperlink>
    </w:p>
    <w:p w14:paraId="08BC0A0A" w14:textId="22F13F7E" w:rsidR="0083414B" w:rsidRPr="00C95274" w:rsidRDefault="0002021E" w:rsidP="001E57A8">
      <w:pPr>
        <w:pStyle w:val="afa"/>
      </w:pPr>
      <w:hyperlink w:anchor="_Toc182931609" w:history="1">
        <w:r w:rsidR="0083414B" w:rsidRPr="00C95274">
          <w:t>Διάγραμμα 2.48.:</w:t>
        </w:r>
        <w:r w:rsidR="00FF13F0" w:rsidRPr="00C95274">
          <w:tab/>
        </w:r>
        <w:r w:rsidR="0083414B" w:rsidRPr="00C95274">
          <w:t>Προϋπολογιζόμενη Δαπάνη Γενικής Κυβέρνησης ανά Πρόγραμμα</w:t>
        </w:r>
        <w:r w:rsidR="00F4693A" w:rsidRPr="00C95274">
          <w:br/>
          <w:t>(Υπουργείο Ναυτιλίας και Νησιωτικής Πολιτικής)</w:t>
        </w:r>
        <w:r w:rsidR="0083414B" w:rsidRPr="00C95274">
          <w:rPr>
            <w:webHidden/>
          </w:rPr>
          <w:tab/>
        </w:r>
        <w:r w:rsidR="0083414B" w:rsidRPr="00C95274">
          <w:rPr>
            <w:webHidden/>
          </w:rPr>
          <w:fldChar w:fldCharType="begin"/>
        </w:r>
        <w:r w:rsidR="0083414B" w:rsidRPr="00C95274">
          <w:rPr>
            <w:webHidden/>
          </w:rPr>
          <w:instrText xml:space="preserve"> PAGEREF _Toc182931609 \h </w:instrText>
        </w:r>
        <w:r w:rsidR="0083414B" w:rsidRPr="00C95274">
          <w:rPr>
            <w:webHidden/>
          </w:rPr>
        </w:r>
        <w:r w:rsidR="0083414B" w:rsidRPr="00C95274">
          <w:rPr>
            <w:webHidden/>
          </w:rPr>
          <w:fldChar w:fldCharType="separate"/>
        </w:r>
        <w:r w:rsidR="00E15678">
          <w:rPr>
            <w:webHidden/>
          </w:rPr>
          <w:t>61</w:t>
        </w:r>
        <w:r w:rsidR="0083414B" w:rsidRPr="00C95274">
          <w:rPr>
            <w:webHidden/>
          </w:rPr>
          <w:fldChar w:fldCharType="end"/>
        </w:r>
      </w:hyperlink>
    </w:p>
    <w:p w14:paraId="30D9D99B" w14:textId="337DEB32" w:rsidR="0083414B" w:rsidRPr="00C95274" w:rsidRDefault="0002021E" w:rsidP="001E57A8">
      <w:pPr>
        <w:pStyle w:val="afa"/>
      </w:pPr>
      <w:hyperlink w:anchor="_Toc182931610" w:history="1">
        <w:r w:rsidR="0083414B" w:rsidRPr="00C95274">
          <w:t>Διάγραμμα 2.49.:</w:t>
        </w:r>
        <w:r w:rsidR="00FF13F0" w:rsidRPr="00C95274">
          <w:tab/>
        </w:r>
        <w:r w:rsidR="0083414B" w:rsidRPr="00C95274">
          <w:t xml:space="preserve">Ανθρώπινοι </w:t>
        </w:r>
        <w:r w:rsidR="00E10C6D" w:rsidRPr="00C95274">
          <w:t>π</w:t>
        </w:r>
        <w:r w:rsidR="0083414B" w:rsidRPr="00C95274">
          <w:t>όροι ανά Πρόγραμμα</w:t>
        </w:r>
        <w:r w:rsidR="00F4693A" w:rsidRPr="00C95274">
          <w:br/>
          <w:t>(Υπουργείο Ναυτιλίας και Νησιωτικής Πολιτικής)</w:t>
        </w:r>
        <w:r w:rsidR="0083414B" w:rsidRPr="00C95274">
          <w:rPr>
            <w:webHidden/>
          </w:rPr>
          <w:tab/>
        </w:r>
        <w:r w:rsidR="0083414B" w:rsidRPr="00C95274">
          <w:rPr>
            <w:webHidden/>
          </w:rPr>
          <w:fldChar w:fldCharType="begin"/>
        </w:r>
        <w:r w:rsidR="0083414B" w:rsidRPr="00C95274">
          <w:rPr>
            <w:webHidden/>
          </w:rPr>
          <w:instrText xml:space="preserve"> PAGEREF _Toc182931610 \h </w:instrText>
        </w:r>
        <w:r w:rsidR="0083414B" w:rsidRPr="00C95274">
          <w:rPr>
            <w:webHidden/>
          </w:rPr>
        </w:r>
        <w:r w:rsidR="0083414B" w:rsidRPr="00C95274">
          <w:rPr>
            <w:webHidden/>
          </w:rPr>
          <w:fldChar w:fldCharType="separate"/>
        </w:r>
        <w:r w:rsidR="00E15678">
          <w:rPr>
            <w:webHidden/>
          </w:rPr>
          <w:t>61</w:t>
        </w:r>
        <w:r w:rsidR="0083414B" w:rsidRPr="00C95274">
          <w:rPr>
            <w:webHidden/>
          </w:rPr>
          <w:fldChar w:fldCharType="end"/>
        </w:r>
      </w:hyperlink>
    </w:p>
    <w:p w14:paraId="307DDD16" w14:textId="2F8736EB" w:rsidR="0083414B" w:rsidRPr="00C95274" w:rsidRDefault="0002021E" w:rsidP="001E57A8">
      <w:pPr>
        <w:pStyle w:val="afa"/>
      </w:pPr>
      <w:hyperlink w:anchor="_Toc182931611" w:history="1">
        <w:r w:rsidR="0083414B" w:rsidRPr="00C95274">
          <w:t>Διάγραμμα 2.50.:</w:t>
        </w:r>
        <w:r w:rsidR="00FF13F0" w:rsidRPr="00C95274">
          <w:tab/>
        </w:r>
        <w:r w:rsidR="0083414B" w:rsidRPr="00C95274">
          <w:t>Προϋπολογιζόμενη Δαπάνη Κρατικού Προϋπολογισμού ανά Πρόγραμμα</w:t>
        </w:r>
        <w:r w:rsidR="00F4693A" w:rsidRPr="00C95274">
          <w:br/>
          <w:t>(Υπουργείο Τουρισμού)</w:t>
        </w:r>
        <w:r w:rsidR="00F4693A" w:rsidRPr="00C95274">
          <w:rPr>
            <w:webHidden/>
          </w:rPr>
          <w:tab/>
        </w:r>
        <w:r w:rsidR="0083414B" w:rsidRPr="00C95274">
          <w:rPr>
            <w:webHidden/>
          </w:rPr>
          <w:fldChar w:fldCharType="begin"/>
        </w:r>
        <w:r w:rsidR="0083414B" w:rsidRPr="00C95274">
          <w:rPr>
            <w:webHidden/>
          </w:rPr>
          <w:instrText xml:space="preserve"> PAGEREF _Toc182931611 \h </w:instrText>
        </w:r>
        <w:r w:rsidR="0083414B" w:rsidRPr="00C95274">
          <w:rPr>
            <w:webHidden/>
          </w:rPr>
        </w:r>
        <w:r w:rsidR="0083414B" w:rsidRPr="00C95274">
          <w:rPr>
            <w:webHidden/>
          </w:rPr>
          <w:fldChar w:fldCharType="separate"/>
        </w:r>
        <w:r w:rsidR="00E15678">
          <w:rPr>
            <w:webHidden/>
          </w:rPr>
          <w:t>62</w:t>
        </w:r>
        <w:r w:rsidR="0083414B" w:rsidRPr="00C95274">
          <w:rPr>
            <w:webHidden/>
          </w:rPr>
          <w:fldChar w:fldCharType="end"/>
        </w:r>
      </w:hyperlink>
    </w:p>
    <w:p w14:paraId="67975D4C" w14:textId="078F3C0B" w:rsidR="0083414B" w:rsidRPr="00C95274" w:rsidRDefault="0002021E" w:rsidP="001E57A8">
      <w:pPr>
        <w:pStyle w:val="afa"/>
      </w:pPr>
      <w:hyperlink w:anchor="_Toc182931612" w:history="1">
        <w:r w:rsidR="0083414B" w:rsidRPr="00C95274">
          <w:t>Διάγραμμα 2.51.:</w:t>
        </w:r>
        <w:r w:rsidR="00FF13F0" w:rsidRPr="00C95274">
          <w:tab/>
        </w:r>
        <w:r w:rsidR="0083414B" w:rsidRPr="00C95274">
          <w:t>Προϋπολογιζόμενη Δαπάνη Γενικής Κυβέρνησης ανά Πρόγραμμα</w:t>
        </w:r>
        <w:r w:rsidR="00F4693A" w:rsidRPr="00C95274">
          <w:br/>
          <w:t>(Υπουργείο Τουρισμού)</w:t>
        </w:r>
        <w:r w:rsidR="0083414B" w:rsidRPr="00C95274">
          <w:rPr>
            <w:webHidden/>
          </w:rPr>
          <w:tab/>
        </w:r>
        <w:r w:rsidR="0083414B" w:rsidRPr="00C95274">
          <w:rPr>
            <w:webHidden/>
          </w:rPr>
          <w:fldChar w:fldCharType="begin"/>
        </w:r>
        <w:r w:rsidR="0083414B" w:rsidRPr="00C95274">
          <w:rPr>
            <w:webHidden/>
          </w:rPr>
          <w:instrText xml:space="preserve"> PAGEREF _Toc182931612 \h </w:instrText>
        </w:r>
        <w:r w:rsidR="0083414B" w:rsidRPr="00C95274">
          <w:rPr>
            <w:webHidden/>
          </w:rPr>
        </w:r>
        <w:r w:rsidR="0083414B" w:rsidRPr="00C95274">
          <w:rPr>
            <w:webHidden/>
          </w:rPr>
          <w:fldChar w:fldCharType="separate"/>
        </w:r>
        <w:r w:rsidR="00E15678">
          <w:rPr>
            <w:webHidden/>
          </w:rPr>
          <w:t>62</w:t>
        </w:r>
        <w:r w:rsidR="0083414B" w:rsidRPr="00C95274">
          <w:rPr>
            <w:webHidden/>
          </w:rPr>
          <w:fldChar w:fldCharType="end"/>
        </w:r>
      </w:hyperlink>
    </w:p>
    <w:p w14:paraId="34E31150" w14:textId="01FA33E5" w:rsidR="0083414B" w:rsidRPr="00C95274" w:rsidRDefault="0002021E" w:rsidP="001E57A8">
      <w:pPr>
        <w:pStyle w:val="afa"/>
      </w:pPr>
      <w:hyperlink w:anchor="_Toc182931613" w:history="1">
        <w:r w:rsidR="0083414B" w:rsidRPr="00C95274">
          <w:t>Διάγραμμα 2.52.:</w:t>
        </w:r>
        <w:r w:rsidR="00FF13F0" w:rsidRPr="00C95274">
          <w:tab/>
        </w:r>
        <w:r w:rsidR="0083414B" w:rsidRPr="00C95274">
          <w:t xml:space="preserve">Ανθρώπινοι </w:t>
        </w:r>
        <w:r w:rsidR="00E10C6D" w:rsidRPr="00C95274">
          <w:t>π</w:t>
        </w:r>
        <w:r w:rsidR="0083414B" w:rsidRPr="00C95274">
          <w:t>όροι ανά Πρόγραμμα</w:t>
        </w:r>
        <w:r w:rsidR="00F4693A" w:rsidRPr="00C95274">
          <w:br/>
          <w:t>(Υπουργείο Τουρισμού)</w:t>
        </w:r>
        <w:r w:rsidR="0083414B" w:rsidRPr="00C95274">
          <w:rPr>
            <w:webHidden/>
          </w:rPr>
          <w:tab/>
        </w:r>
        <w:r w:rsidR="0083414B" w:rsidRPr="00C95274">
          <w:rPr>
            <w:webHidden/>
          </w:rPr>
          <w:fldChar w:fldCharType="begin"/>
        </w:r>
        <w:r w:rsidR="0083414B" w:rsidRPr="00C95274">
          <w:rPr>
            <w:webHidden/>
          </w:rPr>
          <w:instrText xml:space="preserve"> PAGEREF _Toc182931613 \h </w:instrText>
        </w:r>
        <w:r w:rsidR="0083414B" w:rsidRPr="00C95274">
          <w:rPr>
            <w:webHidden/>
          </w:rPr>
        </w:r>
        <w:r w:rsidR="0083414B" w:rsidRPr="00C95274">
          <w:rPr>
            <w:webHidden/>
          </w:rPr>
          <w:fldChar w:fldCharType="separate"/>
        </w:r>
        <w:r w:rsidR="00E15678">
          <w:rPr>
            <w:webHidden/>
          </w:rPr>
          <w:t>62</w:t>
        </w:r>
        <w:r w:rsidR="0083414B" w:rsidRPr="00C95274">
          <w:rPr>
            <w:webHidden/>
          </w:rPr>
          <w:fldChar w:fldCharType="end"/>
        </w:r>
      </w:hyperlink>
    </w:p>
    <w:p w14:paraId="061C08B3" w14:textId="45FD870A" w:rsidR="0083414B" w:rsidRPr="00C95274" w:rsidRDefault="0002021E" w:rsidP="001E57A8">
      <w:pPr>
        <w:pStyle w:val="afa"/>
      </w:pPr>
      <w:hyperlink w:anchor="_Toc182931614" w:history="1">
        <w:r w:rsidR="0083414B" w:rsidRPr="00C95274">
          <w:t>Διάγραμμα 2.53.:</w:t>
        </w:r>
        <w:r w:rsidR="00FF13F0" w:rsidRPr="00C95274">
          <w:tab/>
        </w:r>
        <w:r w:rsidR="0083414B" w:rsidRPr="00C95274">
          <w:t>Προϋπολογιζόμενη Δαπάνη Κρατικού Προϋπολογισμού ανά Πρόγραμμα</w:t>
        </w:r>
        <w:r w:rsidR="00F4693A" w:rsidRPr="00C95274">
          <w:br/>
          <w:t>(Υπουργείο Ψηφιακής Διακυβέρνησης)</w:t>
        </w:r>
        <w:r w:rsidR="0083414B" w:rsidRPr="00C95274">
          <w:rPr>
            <w:webHidden/>
          </w:rPr>
          <w:tab/>
        </w:r>
        <w:r w:rsidR="0083414B" w:rsidRPr="00C95274">
          <w:rPr>
            <w:webHidden/>
          </w:rPr>
          <w:fldChar w:fldCharType="begin"/>
        </w:r>
        <w:r w:rsidR="0083414B" w:rsidRPr="00C95274">
          <w:rPr>
            <w:webHidden/>
          </w:rPr>
          <w:instrText xml:space="preserve"> PAGEREF _Toc182931614 \h </w:instrText>
        </w:r>
        <w:r w:rsidR="0083414B" w:rsidRPr="00C95274">
          <w:rPr>
            <w:webHidden/>
          </w:rPr>
        </w:r>
        <w:r w:rsidR="0083414B" w:rsidRPr="00C95274">
          <w:rPr>
            <w:webHidden/>
          </w:rPr>
          <w:fldChar w:fldCharType="separate"/>
        </w:r>
        <w:r w:rsidR="00E15678">
          <w:rPr>
            <w:webHidden/>
          </w:rPr>
          <w:t>63</w:t>
        </w:r>
        <w:r w:rsidR="0083414B" w:rsidRPr="00C95274">
          <w:rPr>
            <w:webHidden/>
          </w:rPr>
          <w:fldChar w:fldCharType="end"/>
        </w:r>
      </w:hyperlink>
    </w:p>
    <w:p w14:paraId="7C867E4F" w14:textId="6AA7033B" w:rsidR="0083414B" w:rsidRPr="00C95274" w:rsidRDefault="0002021E" w:rsidP="001E57A8">
      <w:pPr>
        <w:pStyle w:val="afa"/>
      </w:pPr>
      <w:hyperlink w:anchor="_Toc182931615" w:history="1">
        <w:r w:rsidR="0083414B" w:rsidRPr="00C95274">
          <w:t>Διάγραμμα 2.54.:</w:t>
        </w:r>
        <w:r w:rsidR="00FF13F0" w:rsidRPr="00C95274">
          <w:tab/>
        </w:r>
        <w:r w:rsidR="0083414B" w:rsidRPr="00C95274">
          <w:t>Προϋπολογιζόμενη Δαπάνη Γενικής Κυβέρνησης ανά Πρόγραμμα</w:t>
        </w:r>
        <w:r w:rsidR="00F4693A" w:rsidRPr="00C95274">
          <w:br/>
        </w:r>
        <w:r w:rsidR="00F5724A" w:rsidRPr="00C95274">
          <w:t>(Υπουργείο Ψηφιακής Διακυβέρνησης)</w:t>
        </w:r>
        <w:r w:rsidR="0083414B" w:rsidRPr="00C95274">
          <w:rPr>
            <w:webHidden/>
          </w:rPr>
          <w:tab/>
        </w:r>
        <w:r w:rsidR="0083414B" w:rsidRPr="00C95274">
          <w:rPr>
            <w:webHidden/>
          </w:rPr>
          <w:fldChar w:fldCharType="begin"/>
        </w:r>
        <w:r w:rsidR="0083414B" w:rsidRPr="00C95274">
          <w:rPr>
            <w:webHidden/>
          </w:rPr>
          <w:instrText xml:space="preserve"> PAGEREF _Toc182931615 \h </w:instrText>
        </w:r>
        <w:r w:rsidR="0083414B" w:rsidRPr="00C95274">
          <w:rPr>
            <w:webHidden/>
          </w:rPr>
        </w:r>
        <w:r w:rsidR="0083414B" w:rsidRPr="00C95274">
          <w:rPr>
            <w:webHidden/>
          </w:rPr>
          <w:fldChar w:fldCharType="separate"/>
        </w:r>
        <w:r w:rsidR="00E15678">
          <w:rPr>
            <w:webHidden/>
          </w:rPr>
          <w:t>63</w:t>
        </w:r>
        <w:r w:rsidR="0083414B" w:rsidRPr="00C95274">
          <w:rPr>
            <w:webHidden/>
          </w:rPr>
          <w:fldChar w:fldCharType="end"/>
        </w:r>
      </w:hyperlink>
    </w:p>
    <w:p w14:paraId="4EA8A13F" w14:textId="738560DB" w:rsidR="0083414B" w:rsidRPr="00C95274" w:rsidRDefault="0002021E" w:rsidP="001E57A8">
      <w:pPr>
        <w:pStyle w:val="afa"/>
      </w:pPr>
      <w:hyperlink w:anchor="_Toc182931616" w:history="1">
        <w:r w:rsidR="0083414B" w:rsidRPr="00C95274">
          <w:t>Διάγραμμα 2.55.:</w:t>
        </w:r>
        <w:r w:rsidR="00FF13F0" w:rsidRPr="00C95274">
          <w:tab/>
        </w:r>
        <w:r w:rsidR="0083414B" w:rsidRPr="00C95274">
          <w:t xml:space="preserve">Ανθρώπινοι </w:t>
        </w:r>
        <w:r w:rsidR="00E10C6D" w:rsidRPr="00C95274">
          <w:t>π</w:t>
        </w:r>
        <w:r w:rsidR="0083414B" w:rsidRPr="00C95274">
          <w:t>όροι ανά Πρόγραμμα</w:t>
        </w:r>
        <w:r w:rsidR="00F4693A" w:rsidRPr="00C95274">
          <w:br/>
        </w:r>
        <w:r w:rsidR="00F5724A" w:rsidRPr="00C95274">
          <w:t>(Υπουργείο Ψηφιακής Διακυβέρνησης)</w:t>
        </w:r>
        <w:r w:rsidR="0083414B" w:rsidRPr="00C95274">
          <w:rPr>
            <w:webHidden/>
          </w:rPr>
          <w:tab/>
        </w:r>
        <w:r w:rsidR="0083414B" w:rsidRPr="00C95274">
          <w:rPr>
            <w:webHidden/>
          </w:rPr>
          <w:fldChar w:fldCharType="begin"/>
        </w:r>
        <w:r w:rsidR="0083414B" w:rsidRPr="00C95274">
          <w:rPr>
            <w:webHidden/>
          </w:rPr>
          <w:instrText xml:space="preserve"> PAGEREF _Toc182931616 \h </w:instrText>
        </w:r>
        <w:r w:rsidR="0083414B" w:rsidRPr="00C95274">
          <w:rPr>
            <w:webHidden/>
          </w:rPr>
        </w:r>
        <w:r w:rsidR="0083414B" w:rsidRPr="00C95274">
          <w:rPr>
            <w:webHidden/>
          </w:rPr>
          <w:fldChar w:fldCharType="separate"/>
        </w:r>
        <w:r w:rsidR="00E15678">
          <w:rPr>
            <w:webHidden/>
          </w:rPr>
          <w:t>63</w:t>
        </w:r>
        <w:r w:rsidR="0083414B" w:rsidRPr="00C95274">
          <w:rPr>
            <w:webHidden/>
          </w:rPr>
          <w:fldChar w:fldCharType="end"/>
        </w:r>
      </w:hyperlink>
    </w:p>
    <w:p w14:paraId="363ED42A" w14:textId="109EB7EC" w:rsidR="0083414B" w:rsidRPr="00C95274" w:rsidRDefault="0002021E" w:rsidP="001E57A8">
      <w:pPr>
        <w:pStyle w:val="afa"/>
      </w:pPr>
      <w:hyperlink w:anchor="_Toc182931617" w:history="1">
        <w:r w:rsidR="0083414B" w:rsidRPr="00C95274">
          <w:t>Διάγραμμα 2.56.:</w:t>
        </w:r>
        <w:r w:rsidR="00FF13F0" w:rsidRPr="00C95274">
          <w:tab/>
        </w:r>
        <w:r w:rsidR="0083414B" w:rsidRPr="00C95274">
          <w:t>Προϋπολογιζόμενη Δαπάνη Κρατικού Προϋπολογισμού ανά Πρόγραμμα</w:t>
        </w:r>
        <w:r w:rsidR="00F5724A" w:rsidRPr="00C95274">
          <w:br/>
          <w:t>(Υπουργείο Μετανάστευσης και Ασύλου)</w:t>
        </w:r>
        <w:r w:rsidR="0083414B" w:rsidRPr="00C95274">
          <w:rPr>
            <w:webHidden/>
          </w:rPr>
          <w:tab/>
        </w:r>
        <w:r w:rsidR="0083414B" w:rsidRPr="00C95274">
          <w:rPr>
            <w:webHidden/>
          </w:rPr>
          <w:fldChar w:fldCharType="begin"/>
        </w:r>
        <w:r w:rsidR="0083414B" w:rsidRPr="00C95274">
          <w:rPr>
            <w:webHidden/>
          </w:rPr>
          <w:instrText xml:space="preserve"> PAGEREF _Toc182931617 \h </w:instrText>
        </w:r>
        <w:r w:rsidR="0083414B" w:rsidRPr="00C95274">
          <w:rPr>
            <w:webHidden/>
          </w:rPr>
        </w:r>
        <w:r w:rsidR="0083414B" w:rsidRPr="00C95274">
          <w:rPr>
            <w:webHidden/>
          </w:rPr>
          <w:fldChar w:fldCharType="separate"/>
        </w:r>
        <w:r w:rsidR="00E15678">
          <w:rPr>
            <w:webHidden/>
          </w:rPr>
          <w:t>64</w:t>
        </w:r>
        <w:r w:rsidR="0083414B" w:rsidRPr="00C95274">
          <w:rPr>
            <w:webHidden/>
          </w:rPr>
          <w:fldChar w:fldCharType="end"/>
        </w:r>
      </w:hyperlink>
    </w:p>
    <w:p w14:paraId="235E26C7" w14:textId="60EF239B" w:rsidR="0083414B" w:rsidRPr="00C95274" w:rsidRDefault="0002021E" w:rsidP="001E57A8">
      <w:pPr>
        <w:pStyle w:val="afa"/>
      </w:pPr>
      <w:hyperlink w:anchor="_Toc182931618" w:history="1">
        <w:r w:rsidR="0083414B" w:rsidRPr="00C95274">
          <w:t>Διάγραμμα 2.57.:</w:t>
        </w:r>
        <w:r w:rsidR="00FF13F0" w:rsidRPr="00C95274">
          <w:tab/>
        </w:r>
        <w:r w:rsidR="0083414B" w:rsidRPr="00C95274">
          <w:t>Προϋπολογιζόμενη Δαπάνη Γενικής Κυβέρνησης ανά Πρόγραμμα</w:t>
        </w:r>
        <w:r w:rsidR="00F5724A" w:rsidRPr="00C95274">
          <w:br/>
          <w:t>(Υπουργείο Μετανάστευσης και Ασύλου)</w:t>
        </w:r>
        <w:r w:rsidR="0083414B" w:rsidRPr="00C95274">
          <w:rPr>
            <w:webHidden/>
          </w:rPr>
          <w:tab/>
        </w:r>
        <w:r w:rsidR="0083414B" w:rsidRPr="00C95274">
          <w:rPr>
            <w:webHidden/>
          </w:rPr>
          <w:fldChar w:fldCharType="begin"/>
        </w:r>
        <w:r w:rsidR="0083414B" w:rsidRPr="00C95274">
          <w:rPr>
            <w:webHidden/>
          </w:rPr>
          <w:instrText xml:space="preserve"> PAGEREF _Toc182931618 \h </w:instrText>
        </w:r>
        <w:r w:rsidR="0083414B" w:rsidRPr="00C95274">
          <w:rPr>
            <w:webHidden/>
          </w:rPr>
        </w:r>
        <w:r w:rsidR="0083414B" w:rsidRPr="00C95274">
          <w:rPr>
            <w:webHidden/>
          </w:rPr>
          <w:fldChar w:fldCharType="separate"/>
        </w:r>
        <w:r w:rsidR="00E15678">
          <w:rPr>
            <w:webHidden/>
          </w:rPr>
          <w:t>64</w:t>
        </w:r>
        <w:r w:rsidR="0083414B" w:rsidRPr="00C95274">
          <w:rPr>
            <w:webHidden/>
          </w:rPr>
          <w:fldChar w:fldCharType="end"/>
        </w:r>
      </w:hyperlink>
    </w:p>
    <w:p w14:paraId="6E0259C3" w14:textId="1B263B4B" w:rsidR="0083414B" w:rsidRPr="00C95274" w:rsidRDefault="0002021E" w:rsidP="001E57A8">
      <w:pPr>
        <w:pStyle w:val="afa"/>
      </w:pPr>
      <w:hyperlink w:anchor="_Toc182931619" w:history="1">
        <w:r w:rsidR="0083414B" w:rsidRPr="00C95274">
          <w:t>Διάγραμμα 2.58.:</w:t>
        </w:r>
        <w:r w:rsidR="00FF13F0" w:rsidRPr="00C95274">
          <w:tab/>
        </w:r>
        <w:r w:rsidR="0083414B" w:rsidRPr="00C95274">
          <w:t xml:space="preserve">Ανθρώπινοι </w:t>
        </w:r>
        <w:r w:rsidR="00E10C6D" w:rsidRPr="00C95274">
          <w:t>π</w:t>
        </w:r>
        <w:r w:rsidR="0083414B" w:rsidRPr="00C95274">
          <w:t>όροι ανά Πρόγραμμα</w:t>
        </w:r>
        <w:r w:rsidR="00F5724A" w:rsidRPr="00C95274">
          <w:br/>
          <w:t>(Υπουργείο Μετανάστευσης και Ασύλου)</w:t>
        </w:r>
        <w:r w:rsidR="0083414B" w:rsidRPr="00C95274">
          <w:rPr>
            <w:webHidden/>
          </w:rPr>
          <w:tab/>
        </w:r>
        <w:r w:rsidR="0083414B" w:rsidRPr="00C95274">
          <w:rPr>
            <w:webHidden/>
          </w:rPr>
          <w:fldChar w:fldCharType="begin"/>
        </w:r>
        <w:r w:rsidR="0083414B" w:rsidRPr="00C95274">
          <w:rPr>
            <w:webHidden/>
          </w:rPr>
          <w:instrText xml:space="preserve"> PAGEREF _Toc182931619 \h </w:instrText>
        </w:r>
        <w:r w:rsidR="0083414B" w:rsidRPr="00C95274">
          <w:rPr>
            <w:webHidden/>
          </w:rPr>
        </w:r>
        <w:r w:rsidR="0083414B" w:rsidRPr="00C95274">
          <w:rPr>
            <w:webHidden/>
          </w:rPr>
          <w:fldChar w:fldCharType="separate"/>
        </w:r>
        <w:r w:rsidR="00E15678">
          <w:rPr>
            <w:webHidden/>
          </w:rPr>
          <w:t>64</w:t>
        </w:r>
        <w:r w:rsidR="0083414B" w:rsidRPr="00C95274">
          <w:rPr>
            <w:webHidden/>
          </w:rPr>
          <w:fldChar w:fldCharType="end"/>
        </w:r>
      </w:hyperlink>
    </w:p>
    <w:p w14:paraId="6B3A73E4" w14:textId="1294D0C9" w:rsidR="0083414B" w:rsidRPr="00C95274" w:rsidRDefault="0002021E" w:rsidP="001E57A8">
      <w:pPr>
        <w:pStyle w:val="afa"/>
      </w:pPr>
      <w:hyperlink w:anchor="_Toc182931620" w:history="1">
        <w:r w:rsidR="0083414B" w:rsidRPr="00C95274">
          <w:t>Διάγραμμα 2.59.:</w:t>
        </w:r>
        <w:r w:rsidR="00FF13F0" w:rsidRPr="00C95274">
          <w:tab/>
        </w:r>
        <w:r w:rsidR="0083414B" w:rsidRPr="00C95274">
          <w:t>Προϋπολογιζόμενη Δαπάνη Κρατικού Προϋπολογισμού ανά Πρόγραμμα</w:t>
        </w:r>
        <w:r w:rsidR="00F5724A" w:rsidRPr="00C95274">
          <w:br/>
          <w:t>(Υπουργείο Προστασίας του Πολίτη)</w:t>
        </w:r>
        <w:r w:rsidR="0083414B" w:rsidRPr="00C95274">
          <w:rPr>
            <w:webHidden/>
          </w:rPr>
          <w:tab/>
        </w:r>
        <w:r w:rsidR="0083414B" w:rsidRPr="00C95274">
          <w:rPr>
            <w:webHidden/>
          </w:rPr>
          <w:fldChar w:fldCharType="begin"/>
        </w:r>
        <w:r w:rsidR="0083414B" w:rsidRPr="00C95274">
          <w:rPr>
            <w:webHidden/>
          </w:rPr>
          <w:instrText xml:space="preserve"> PAGEREF _Toc182931620 \h </w:instrText>
        </w:r>
        <w:r w:rsidR="0083414B" w:rsidRPr="00C95274">
          <w:rPr>
            <w:webHidden/>
          </w:rPr>
        </w:r>
        <w:r w:rsidR="0083414B" w:rsidRPr="00C95274">
          <w:rPr>
            <w:webHidden/>
          </w:rPr>
          <w:fldChar w:fldCharType="separate"/>
        </w:r>
        <w:r w:rsidR="00E15678">
          <w:rPr>
            <w:webHidden/>
          </w:rPr>
          <w:t>65</w:t>
        </w:r>
        <w:r w:rsidR="0083414B" w:rsidRPr="00C95274">
          <w:rPr>
            <w:webHidden/>
          </w:rPr>
          <w:fldChar w:fldCharType="end"/>
        </w:r>
      </w:hyperlink>
    </w:p>
    <w:p w14:paraId="3C7CDAF4" w14:textId="78361FD5" w:rsidR="0083414B" w:rsidRPr="00C95274" w:rsidRDefault="0002021E" w:rsidP="001E57A8">
      <w:pPr>
        <w:pStyle w:val="afa"/>
      </w:pPr>
      <w:hyperlink w:anchor="_Toc182931621" w:history="1">
        <w:r w:rsidR="0083414B" w:rsidRPr="00C95274">
          <w:t>Διάγραμμα 2.60.:</w:t>
        </w:r>
        <w:r w:rsidR="00FF13F0" w:rsidRPr="00C95274">
          <w:tab/>
        </w:r>
        <w:r w:rsidR="0083414B" w:rsidRPr="00C95274">
          <w:t>Προϋπολογιζόμενη Δαπάνη Γενικής Κυβέρνησης ανά Πρόγραμμα</w:t>
        </w:r>
        <w:r w:rsidR="00F5724A" w:rsidRPr="00C95274">
          <w:br/>
          <w:t>(Υπουργείο Προστασίας του Πολίτη)</w:t>
        </w:r>
        <w:r w:rsidR="0083414B" w:rsidRPr="00C95274">
          <w:rPr>
            <w:webHidden/>
          </w:rPr>
          <w:tab/>
        </w:r>
        <w:r w:rsidR="0083414B" w:rsidRPr="00C95274">
          <w:rPr>
            <w:webHidden/>
          </w:rPr>
          <w:fldChar w:fldCharType="begin"/>
        </w:r>
        <w:r w:rsidR="0083414B" w:rsidRPr="00C95274">
          <w:rPr>
            <w:webHidden/>
          </w:rPr>
          <w:instrText xml:space="preserve"> PAGEREF _Toc182931621 \h </w:instrText>
        </w:r>
        <w:r w:rsidR="0083414B" w:rsidRPr="00C95274">
          <w:rPr>
            <w:webHidden/>
          </w:rPr>
        </w:r>
        <w:r w:rsidR="0083414B" w:rsidRPr="00C95274">
          <w:rPr>
            <w:webHidden/>
          </w:rPr>
          <w:fldChar w:fldCharType="separate"/>
        </w:r>
        <w:r w:rsidR="00E15678">
          <w:rPr>
            <w:webHidden/>
          </w:rPr>
          <w:t>65</w:t>
        </w:r>
        <w:r w:rsidR="0083414B" w:rsidRPr="00C95274">
          <w:rPr>
            <w:webHidden/>
          </w:rPr>
          <w:fldChar w:fldCharType="end"/>
        </w:r>
      </w:hyperlink>
    </w:p>
    <w:p w14:paraId="1CE8967D" w14:textId="1D9B1D2C" w:rsidR="0083414B" w:rsidRPr="00C95274" w:rsidRDefault="0002021E" w:rsidP="001E57A8">
      <w:pPr>
        <w:pStyle w:val="afa"/>
      </w:pPr>
      <w:hyperlink w:anchor="_Toc182931622" w:history="1">
        <w:r w:rsidR="0083414B" w:rsidRPr="00C95274">
          <w:t>Διάγραμμα 2.61.:</w:t>
        </w:r>
        <w:r w:rsidR="00FF13F0" w:rsidRPr="00C95274">
          <w:tab/>
        </w:r>
        <w:r w:rsidR="0083414B" w:rsidRPr="00C95274">
          <w:t xml:space="preserve">Ανθρώπινοι </w:t>
        </w:r>
        <w:r w:rsidR="00E10C6D" w:rsidRPr="00C95274">
          <w:t>π</w:t>
        </w:r>
        <w:r w:rsidR="0083414B" w:rsidRPr="00C95274">
          <w:t>όροι ανά Πρόγραμμα</w:t>
        </w:r>
        <w:r w:rsidR="00F5724A" w:rsidRPr="00C95274">
          <w:br/>
          <w:t>(Υπουργείο Προστασίας του Πολίτη)</w:t>
        </w:r>
        <w:r w:rsidR="0083414B" w:rsidRPr="00C95274">
          <w:rPr>
            <w:webHidden/>
          </w:rPr>
          <w:tab/>
        </w:r>
        <w:r w:rsidR="0083414B" w:rsidRPr="00C95274">
          <w:rPr>
            <w:webHidden/>
          </w:rPr>
          <w:fldChar w:fldCharType="begin"/>
        </w:r>
        <w:r w:rsidR="0083414B" w:rsidRPr="00C95274">
          <w:rPr>
            <w:webHidden/>
          </w:rPr>
          <w:instrText xml:space="preserve"> PAGEREF _Toc182931622 \h </w:instrText>
        </w:r>
        <w:r w:rsidR="0083414B" w:rsidRPr="00C95274">
          <w:rPr>
            <w:webHidden/>
          </w:rPr>
        </w:r>
        <w:r w:rsidR="0083414B" w:rsidRPr="00C95274">
          <w:rPr>
            <w:webHidden/>
          </w:rPr>
          <w:fldChar w:fldCharType="separate"/>
        </w:r>
        <w:r w:rsidR="00E15678">
          <w:rPr>
            <w:webHidden/>
          </w:rPr>
          <w:t>65</w:t>
        </w:r>
        <w:r w:rsidR="0083414B" w:rsidRPr="00C95274">
          <w:rPr>
            <w:webHidden/>
          </w:rPr>
          <w:fldChar w:fldCharType="end"/>
        </w:r>
      </w:hyperlink>
    </w:p>
    <w:p w14:paraId="21E1F6B4" w14:textId="35DCD460" w:rsidR="0083414B" w:rsidRPr="00C95274" w:rsidRDefault="0002021E" w:rsidP="001E57A8">
      <w:pPr>
        <w:pStyle w:val="afa"/>
      </w:pPr>
      <w:hyperlink w:anchor="_Toc182931623" w:history="1">
        <w:r w:rsidR="0083414B" w:rsidRPr="00C95274">
          <w:t>Διάγραμμα 2.62.:</w:t>
        </w:r>
        <w:r w:rsidR="00FF13F0" w:rsidRPr="00C95274">
          <w:tab/>
        </w:r>
        <w:r w:rsidR="0083414B" w:rsidRPr="00C95274">
          <w:t>Προϋπολογιζόμενη Δαπάνη Κρατικού Προϋπολογισμού ανά Πρόγραμμα</w:t>
        </w:r>
        <w:r w:rsidR="00F5724A" w:rsidRPr="00C95274">
          <w:br/>
          <w:t>(Υπουργείο Κλιματικής Κρίσης και Πολιτικής Προστασίας)</w:t>
        </w:r>
        <w:r w:rsidR="0083414B" w:rsidRPr="00C95274">
          <w:rPr>
            <w:webHidden/>
          </w:rPr>
          <w:tab/>
        </w:r>
        <w:r w:rsidR="0083414B" w:rsidRPr="00C95274">
          <w:rPr>
            <w:webHidden/>
          </w:rPr>
          <w:fldChar w:fldCharType="begin"/>
        </w:r>
        <w:r w:rsidR="0083414B" w:rsidRPr="00C95274">
          <w:rPr>
            <w:webHidden/>
          </w:rPr>
          <w:instrText xml:space="preserve"> PAGEREF _Toc182931623 \h </w:instrText>
        </w:r>
        <w:r w:rsidR="0083414B" w:rsidRPr="00C95274">
          <w:rPr>
            <w:webHidden/>
          </w:rPr>
        </w:r>
        <w:r w:rsidR="0083414B" w:rsidRPr="00C95274">
          <w:rPr>
            <w:webHidden/>
          </w:rPr>
          <w:fldChar w:fldCharType="separate"/>
        </w:r>
        <w:r w:rsidR="00E15678">
          <w:rPr>
            <w:webHidden/>
          </w:rPr>
          <w:t>66</w:t>
        </w:r>
        <w:r w:rsidR="0083414B" w:rsidRPr="00C95274">
          <w:rPr>
            <w:webHidden/>
          </w:rPr>
          <w:fldChar w:fldCharType="end"/>
        </w:r>
      </w:hyperlink>
    </w:p>
    <w:p w14:paraId="74C22131" w14:textId="7B54BB3F" w:rsidR="0083414B" w:rsidRPr="00C95274" w:rsidRDefault="0002021E" w:rsidP="001E57A8">
      <w:pPr>
        <w:pStyle w:val="afa"/>
      </w:pPr>
      <w:hyperlink w:anchor="_Toc182931624" w:history="1">
        <w:r w:rsidR="0083414B" w:rsidRPr="00C95274">
          <w:t>Διάγραμμα 2.63.:</w:t>
        </w:r>
        <w:r w:rsidR="00FF13F0" w:rsidRPr="00C95274">
          <w:tab/>
        </w:r>
        <w:r w:rsidR="0083414B" w:rsidRPr="00C95274">
          <w:t>Προϋπολογιζόμενη Δαπάνη Γενικής Κυβέρνησης ανά Πρόγραμμα</w:t>
        </w:r>
        <w:r w:rsidR="00F5724A" w:rsidRPr="00C95274">
          <w:br/>
          <w:t>(Υπουργείο Κλιματικής Κρίσης και Πολιτικής Προστασίας)</w:t>
        </w:r>
        <w:r w:rsidR="0083414B" w:rsidRPr="00C95274">
          <w:rPr>
            <w:webHidden/>
          </w:rPr>
          <w:tab/>
        </w:r>
        <w:r w:rsidR="0083414B" w:rsidRPr="00C95274">
          <w:rPr>
            <w:webHidden/>
          </w:rPr>
          <w:fldChar w:fldCharType="begin"/>
        </w:r>
        <w:r w:rsidR="0083414B" w:rsidRPr="00C95274">
          <w:rPr>
            <w:webHidden/>
          </w:rPr>
          <w:instrText xml:space="preserve"> PAGEREF _Toc182931624 \h </w:instrText>
        </w:r>
        <w:r w:rsidR="0083414B" w:rsidRPr="00C95274">
          <w:rPr>
            <w:webHidden/>
          </w:rPr>
        </w:r>
        <w:r w:rsidR="0083414B" w:rsidRPr="00C95274">
          <w:rPr>
            <w:webHidden/>
          </w:rPr>
          <w:fldChar w:fldCharType="separate"/>
        </w:r>
        <w:r w:rsidR="00E15678">
          <w:rPr>
            <w:webHidden/>
          </w:rPr>
          <w:t>66</w:t>
        </w:r>
        <w:r w:rsidR="0083414B" w:rsidRPr="00C95274">
          <w:rPr>
            <w:webHidden/>
          </w:rPr>
          <w:fldChar w:fldCharType="end"/>
        </w:r>
      </w:hyperlink>
    </w:p>
    <w:p w14:paraId="568051C8" w14:textId="307ED980" w:rsidR="0083414B" w:rsidRPr="00C95274" w:rsidRDefault="0002021E" w:rsidP="001E57A8">
      <w:pPr>
        <w:pStyle w:val="afa"/>
      </w:pPr>
      <w:hyperlink w:anchor="_Toc182931625" w:history="1">
        <w:r w:rsidR="0083414B" w:rsidRPr="00C95274">
          <w:t>Διάγραμμα 2.64.:</w:t>
        </w:r>
        <w:r w:rsidR="00502BDA" w:rsidRPr="00C95274">
          <w:tab/>
        </w:r>
        <w:r w:rsidR="0083414B" w:rsidRPr="00C95274">
          <w:t xml:space="preserve">Ανθρώπινοι </w:t>
        </w:r>
        <w:r w:rsidR="00E10C6D" w:rsidRPr="00C95274">
          <w:t>π</w:t>
        </w:r>
        <w:r w:rsidR="0083414B" w:rsidRPr="00C95274">
          <w:t>όροι ανά Πρόγραμμα</w:t>
        </w:r>
        <w:r w:rsidR="00F5724A" w:rsidRPr="00C95274">
          <w:br/>
          <w:t>(Υπουργείο Κλιματικής Κρίσης και Πολιτικής Προστασίας)</w:t>
        </w:r>
        <w:r w:rsidR="0083414B" w:rsidRPr="00C95274">
          <w:rPr>
            <w:webHidden/>
          </w:rPr>
          <w:tab/>
        </w:r>
        <w:r w:rsidR="0083414B" w:rsidRPr="00C95274">
          <w:rPr>
            <w:webHidden/>
          </w:rPr>
          <w:fldChar w:fldCharType="begin"/>
        </w:r>
        <w:r w:rsidR="0083414B" w:rsidRPr="00C95274">
          <w:rPr>
            <w:webHidden/>
          </w:rPr>
          <w:instrText xml:space="preserve"> PAGEREF _Toc182931625 \h </w:instrText>
        </w:r>
        <w:r w:rsidR="0083414B" w:rsidRPr="00C95274">
          <w:rPr>
            <w:webHidden/>
          </w:rPr>
        </w:r>
        <w:r w:rsidR="0083414B" w:rsidRPr="00C95274">
          <w:rPr>
            <w:webHidden/>
          </w:rPr>
          <w:fldChar w:fldCharType="separate"/>
        </w:r>
        <w:r w:rsidR="00E15678">
          <w:rPr>
            <w:webHidden/>
          </w:rPr>
          <w:t>66</w:t>
        </w:r>
        <w:r w:rsidR="0083414B" w:rsidRPr="00C95274">
          <w:rPr>
            <w:webHidden/>
          </w:rPr>
          <w:fldChar w:fldCharType="end"/>
        </w:r>
      </w:hyperlink>
    </w:p>
    <w:p w14:paraId="13CE3E99" w14:textId="54110E70" w:rsidR="0083414B" w:rsidRPr="00C95274" w:rsidRDefault="0002021E" w:rsidP="001E57A8">
      <w:pPr>
        <w:pStyle w:val="afa"/>
      </w:pPr>
      <w:hyperlink w:anchor="_Toc182931626" w:history="1">
        <w:r w:rsidR="0083414B" w:rsidRPr="00C95274">
          <w:t>Διάγραμμα 2.65.:</w:t>
        </w:r>
        <w:r w:rsidR="00502BDA" w:rsidRPr="00C95274">
          <w:tab/>
        </w:r>
        <w:r w:rsidR="0083414B" w:rsidRPr="00C95274">
          <w:t>Προϋπολογιζόμενη Δαπάνη Κρατικού Προϋπολογισμού ανά Πρόγραμμα</w:t>
        </w:r>
        <w:r w:rsidR="00F5724A" w:rsidRPr="00C95274">
          <w:br/>
          <w:t>(Αποκεντρωμένη Διοίκηση Αττικής)</w:t>
        </w:r>
        <w:r w:rsidR="0083414B" w:rsidRPr="00C95274">
          <w:rPr>
            <w:webHidden/>
          </w:rPr>
          <w:tab/>
        </w:r>
        <w:r w:rsidR="0083414B" w:rsidRPr="00C95274">
          <w:rPr>
            <w:webHidden/>
          </w:rPr>
          <w:fldChar w:fldCharType="begin"/>
        </w:r>
        <w:r w:rsidR="0083414B" w:rsidRPr="00C95274">
          <w:rPr>
            <w:webHidden/>
          </w:rPr>
          <w:instrText xml:space="preserve"> PAGEREF _Toc182931626 \h </w:instrText>
        </w:r>
        <w:r w:rsidR="0083414B" w:rsidRPr="00C95274">
          <w:rPr>
            <w:webHidden/>
          </w:rPr>
        </w:r>
        <w:r w:rsidR="0083414B" w:rsidRPr="00C95274">
          <w:rPr>
            <w:webHidden/>
          </w:rPr>
          <w:fldChar w:fldCharType="separate"/>
        </w:r>
        <w:r w:rsidR="00E15678">
          <w:rPr>
            <w:webHidden/>
          </w:rPr>
          <w:t>67</w:t>
        </w:r>
        <w:r w:rsidR="0083414B" w:rsidRPr="00C95274">
          <w:rPr>
            <w:webHidden/>
          </w:rPr>
          <w:fldChar w:fldCharType="end"/>
        </w:r>
      </w:hyperlink>
    </w:p>
    <w:p w14:paraId="6A443E5C" w14:textId="65B66432" w:rsidR="0083414B" w:rsidRPr="00C95274" w:rsidRDefault="0002021E" w:rsidP="001E57A8">
      <w:pPr>
        <w:pStyle w:val="afa"/>
      </w:pPr>
      <w:hyperlink w:anchor="_Toc182931627" w:history="1">
        <w:r w:rsidR="0083414B" w:rsidRPr="00C95274">
          <w:t>Διάγραμμα 2.66.:</w:t>
        </w:r>
        <w:r w:rsidR="00FF13F0" w:rsidRPr="00C95274">
          <w:tab/>
        </w:r>
        <w:r w:rsidR="0083414B" w:rsidRPr="00C95274">
          <w:t xml:space="preserve">Ανθρώπινοι </w:t>
        </w:r>
        <w:r w:rsidR="00E10C6D" w:rsidRPr="00C95274">
          <w:t>π</w:t>
        </w:r>
        <w:r w:rsidR="0083414B" w:rsidRPr="00C95274">
          <w:t>όροι ανά Πρόγραμμα</w:t>
        </w:r>
        <w:r w:rsidR="00F5724A" w:rsidRPr="00C95274">
          <w:br/>
          <w:t>(Αποκεντρωμένη Διοίκηση Αττικής)</w:t>
        </w:r>
        <w:r w:rsidR="0083414B" w:rsidRPr="00C95274">
          <w:rPr>
            <w:webHidden/>
          </w:rPr>
          <w:tab/>
        </w:r>
        <w:r w:rsidR="0083414B" w:rsidRPr="00C95274">
          <w:rPr>
            <w:webHidden/>
          </w:rPr>
          <w:fldChar w:fldCharType="begin"/>
        </w:r>
        <w:r w:rsidR="0083414B" w:rsidRPr="00C95274">
          <w:rPr>
            <w:webHidden/>
          </w:rPr>
          <w:instrText xml:space="preserve"> PAGEREF _Toc182931627 \h </w:instrText>
        </w:r>
        <w:r w:rsidR="0083414B" w:rsidRPr="00C95274">
          <w:rPr>
            <w:webHidden/>
          </w:rPr>
        </w:r>
        <w:r w:rsidR="0083414B" w:rsidRPr="00C95274">
          <w:rPr>
            <w:webHidden/>
          </w:rPr>
          <w:fldChar w:fldCharType="separate"/>
        </w:r>
        <w:r w:rsidR="00E15678">
          <w:rPr>
            <w:webHidden/>
          </w:rPr>
          <w:t>67</w:t>
        </w:r>
        <w:r w:rsidR="0083414B" w:rsidRPr="00C95274">
          <w:rPr>
            <w:webHidden/>
          </w:rPr>
          <w:fldChar w:fldCharType="end"/>
        </w:r>
      </w:hyperlink>
    </w:p>
    <w:p w14:paraId="571933E6" w14:textId="19BF8F0D" w:rsidR="0083414B" w:rsidRPr="00C95274" w:rsidRDefault="0002021E" w:rsidP="001E57A8">
      <w:pPr>
        <w:pStyle w:val="afa"/>
      </w:pPr>
      <w:hyperlink w:anchor="_Toc182931628" w:history="1">
        <w:r w:rsidR="0083414B" w:rsidRPr="00C95274">
          <w:t>Διάγραμμα 2.67.:</w:t>
        </w:r>
        <w:r w:rsidR="00FF13F0" w:rsidRPr="00C95274">
          <w:tab/>
        </w:r>
        <w:r w:rsidR="0083414B" w:rsidRPr="00C95274">
          <w:t>Προϋπολογιζόμενη Δαπάνη Κρατικού Προϋπολογισμού ανά Πρόγραμμα</w:t>
        </w:r>
        <w:r w:rsidR="00F5724A" w:rsidRPr="00C95274">
          <w:br/>
        </w:r>
        <w:r w:rsidR="00964FE1" w:rsidRPr="00C95274">
          <w:t>(Αποκεντρωμένη Διοίκηση Θεσσαλίας - Στερεάς Ελλάδας)</w:t>
        </w:r>
        <w:r w:rsidR="0083414B" w:rsidRPr="00C95274">
          <w:rPr>
            <w:webHidden/>
          </w:rPr>
          <w:tab/>
        </w:r>
        <w:r w:rsidR="0083414B" w:rsidRPr="00C95274">
          <w:rPr>
            <w:webHidden/>
          </w:rPr>
          <w:fldChar w:fldCharType="begin"/>
        </w:r>
        <w:r w:rsidR="0083414B" w:rsidRPr="00C95274">
          <w:rPr>
            <w:webHidden/>
          </w:rPr>
          <w:instrText xml:space="preserve"> PAGEREF _Toc182931628 \h </w:instrText>
        </w:r>
        <w:r w:rsidR="0083414B" w:rsidRPr="00C95274">
          <w:rPr>
            <w:webHidden/>
          </w:rPr>
        </w:r>
        <w:r w:rsidR="0083414B" w:rsidRPr="00C95274">
          <w:rPr>
            <w:webHidden/>
          </w:rPr>
          <w:fldChar w:fldCharType="separate"/>
        </w:r>
        <w:r w:rsidR="00E15678">
          <w:rPr>
            <w:webHidden/>
          </w:rPr>
          <w:t>67</w:t>
        </w:r>
        <w:r w:rsidR="0083414B" w:rsidRPr="00C95274">
          <w:rPr>
            <w:webHidden/>
          </w:rPr>
          <w:fldChar w:fldCharType="end"/>
        </w:r>
      </w:hyperlink>
    </w:p>
    <w:p w14:paraId="7CE8EEA5" w14:textId="728BF99C" w:rsidR="0083414B" w:rsidRPr="00C95274" w:rsidRDefault="0002021E" w:rsidP="001E57A8">
      <w:pPr>
        <w:pStyle w:val="afa"/>
      </w:pPr>
      <w:hyperlink w:anchor="_Toc182931629" w:history="1">
        <w:r w:rsidR="0083414B" w:rsidRPr="00C95274">
          <w:t>Διάγραμμα 2.68.:</w:t>
        </w:r>
        <w:r w:rsidR="00FF13F0" w:rsidRPr="00C95274">
          <w:tab/>
        </w:r>
        <w:r w:rsidR="0083414B" w:rsidRPr="00C95274">
          <w:t xml:space="preserve">Ανθρώπινοι </w:t>
        </w:r>
        <w:r w:rsidR="00E10C6D" w:rsidRPr="00C95274">
          <w:t>π</w:t>
        </w:r>
        <w:r w:rsidR="0083414B" w:rsidRPr="00C95274">
          <w:t>όροι ανά Πρόγραμμα</w:t>
        </w:r>
        <w:r w:rsidR="00F5724A" w:rsidRPr="00C95274">
          <w:br/>
        </w:r>
        <w:r w:rsidR="00964FE1" w:rsidRPr="00C95274">
          <w:t>(Αποκεντρωμένη Διοίκηση Θεσσαλίας - Στερεάς Ελλάδας)</w:t>
        </w:r>
        <w:r w:rsidR="0083414B" w:rsidRPr="00C95274">
          <w:rPr>
            <w:webHidden/>
          </w:rPr>
          <w:tab/>
        </w:r>
        <w:r w:rsidR="0083414B" w:rsidRPr="00C95274">
          <w:rPr>
            <w:webHidden/>
          </w:rPr>
          <w:fldChar w:fldCharType="begin"/>
        </w:r>
        <w:r w:rsidR="0083414B" w:rsidRPr="00C95274">
          <w:rPr>
            <w:webHidden/>
          </w:rPr>
          <w:instrText xml:space="preserve"> PAGEREF _Toc182931629 \h </w:instrText>
        </w:r>
        <w:r w:rsidR="0083414B" w:rsidRPr="00C95274">
          <w:rPr>
            <w:webHidden/>
          </w:rPr>
        </w:r>
        <w:r w:rsidR="0083414B" w:rsidRPr="00C95274">
          <w:rPr>
            <w:webHidden/>
          </w:rPr>
          <w:fldChar w:fldCharType="separate"/>
        </w:r>
        <w:r w:rsidR="00E15678">
          <w:rPr>
            <w:webHidden/>
          </w:rPr>
          <w:t>67</w:t>
        </w:r>
        <w:r w:rsidR="0083414B" w:rsidRPr="00C95274">
          <w:rPr>
            <w:webHidden/>
          </w:rPr>
          <w:fldChar w:fldCharType="end"/>
        </w:r>
      </w:hyperlink>
    </w:p>
    <w:p w14:paraId="0F1825F5" w14:textId="67CEAD3F" w:rsidR="0083414B" w:rsidRPr="00C95274" w:rsidRDefault="0002021E" w:rsidP="001E57A8">
      <w:pPr>
        <w:pStyle w:val="afa"/>
      </w:pPr>
      <w:hyperlink w:anchor="_Toc182931630" w:history="1">
        <w:r w:rsidR="0083414B" w:rsidRPr="00C95274">
          <w:t>Διάγραμμα 2.69.:</w:t>
        </w:r>
        <w:r w:rsidR="00FF13F0" w:rsidRPr="00C95274">
          <w:tab/>
        </w:r>
        <w:r w:rsidR="0083414B" w:rsidRPr="00C95274">
          <w:t>Προϋπολογιζόμενη Δαπάνη Κρατικού Προϋπολογισμού ανά Πρόγραμμα</w:t>
        </w:r>
        <w:r w:rsidR="00F5724A" w:rsidRPr="00C95274">
          <w:br/>
        </w:r>
        <w:r w:rsidR="00964FE1" w:rsidRPr="00C95274">
          <w:t>(Αποκεντρωμένη Διοίκηση Ηπείρου - Δυτικής Μακεδονίας)</w:t>
        </w:r>
        <w:r w:rsidR="0083414B" w:rsidRPr="00C95274">
          <w:rPr>
            <w:webHidden/>
          </w:rPr>
          <w:tab/>
        </w:r>
        <w:r w:rsidR="0083414B" w:rsidRPr="00C95274">
          <w:rPr>
            <w:webHidden/>
          </w:rPr>
          <w:fldChar w:fldCharType="begin"/>
        </w:r>
        <w:r w:rsidR="0083414B" w:rsidRPr="00C95274">
          <w:rPr>
            <w:webHidden/>
          </w:rPr>
          <w:instrText xml:space="preserve"> PAGEREF _Toc182931630 \h </w:instrText>
        </w:r>
        <w:r w:rsidR="0083414B" w:rsidRPr="00C95274">
          <w:rPr>
            <w:webHidden/>
          </w:rPr>
        </w:r>
        <w:r w:rsidR="0083414B" w:rsidRPr="00C95274">
          <w:rPr>
            <w:webHidden/>
          </w:rPr>
          <w:fldChar w:fldCharType="separate"/>
        </w:r>
        <w:r w:rsidR="00E15678">
          <w:rPr>
            <w:webHidden/>
          </w:rPr>
          <w:t>68</w:t>
        </w:r>
        <w:r w:rsidR="0083414B" w:rsidRPr="00C95274">
          <w:rPr>
            <w:webHidden/>
          </w:rPr>
          <w:fldChar w:fldCharType="end"/>
        </w:r>
      </w:hyperlink>
    </w:p>
    <w:p w14:paraId="2C74DEC7" w14:textId="6D251241" w:rsidR="0083414B" w:rsidRPr="00C95274" w:rsidRDefault="0002021E" w:rsidP="001E57A8">
      <w:pPr>
        <w:pStyle w:val="afa"/>
      </w:pPr>
      <w:hyperlink w:anchor="_Toc182931631" w:history="1">
        <w:r w:rsidR="0083414B" w:rsidRPr="00C95274">
          <w:t>Διάγραμμα 2.70.:</w:t>
        </w:r>
        <w:r w:rsidR="00FF13F0" w:rsidRPr="00C95274">
          <w:tab/>
        </w:r>
        <w:r w:rsidR="0083414B" w:rsidRPr="00C95274">
          <w:t xml:space="preserve">Ανθρώπινοι </w:t>
        </w:r>
        <w:r w:rsidR="00E10C6D" w:rsidRPr="00C95274">
          <w:t>π</w:t>
        </w:r>
        <w:r w:rsidR="0083414B" w:rsidRPr="00C95274">
          <w:t>όροι ανά Πρόγραμμα</w:t>
        </w:r>
        <w:r w:rsidR="00F5724A" w:rsidRPr="00C95274">
          <w:br/>
        </w:r>
        <w:r w:rsidR="00964FE1" w:rsidRPr="00C95274">
          <w:t>(Αποκεντρωμένη Διοίκηση Ηπείρου - Δυτικής Μακεδονίας)</w:t>
        </w:r>
        <w:r w:rsidR="0083414B" w:rsidRPr="00C95274">
          <w:rPr>
            <w:webHidden/>
          </w:rPr>
          <w:tab/>
        </w:r>
        <w:r w:rsidR="0083414B" w:rsidRPr="00C95274">
          <w:rPr>
            <w:webHidden/>
          </w:rPr>
          <w:fldChar w:fldCharType="begin"/>
        </w:r>
        <w:r w:rsidR="0083414B" w:rsidRPr="00C95274">
          <w:rPr>
            <w:webHidden/>
          </w:rPr>
          <w:instrText xml:space="preserve"> PAGEREF _Toc182931631 \h </w:instrText>
        </w:r>
        <w:r w:rsidR="0083414B" w:rsidRPr="00C95274">
          <w:rPr>
            <w:webHidden/>
          </w:rPr>
        </w:r>
        <w:r w:rsidR="0083414B" w:rsidRPr="00C95274">
          <w:rPr>
            <w:webHidden/>
          </w:rPr>
          <w:fldChar w:fldCharType="separate"/>
        </w:r>
        <w:r w:rsidR="00E15678">
          <w:rPr>
            <w:webHidden/>
          </w:rPr>
          <w:t>68</w:t>
        </w:r>
        <w:r w:rsidR="0083414B" w:rsidRPr="00C95274">
          <w:rPr>
            <w:webHidden/>
          </w:rPr>
          <w:fldChar w:fldCharType="end"/>
        </w:r>
      </w:hyperlink>
    </w:p>
    <w:p w14:paraId="1A9349AB" w14:textId="4F4F80C7" w:rsidR="0083414B" w:rsidRPr="00C95274" w:rsidRDefault="0002021E" w:rsidP="001E57A8">
      <w:pPr>
        <w:pStyle w:val="afa"/>
      </w:pPr>
      <w:hyperlink w:anchor="_Toc182931632" w:history="1">
        <w:r w:rsidR="0083414B" w:rsidRPr="00C95274">
          <w:t>Διάγραμμα 2.71.:</w:t>
        </w:r>
        <w:r w:rsidR="00FF13F0" w:rsidRPr="00C95274">
          <w:tab/>
        </w:r>
        <w:r w:rsidR="0083414B" w:rsidRPr="00C95274">
          <w:t>Προϋπολογιζόμενη Δαπάνη Κρατικού Προϋπολογισμού ανά Πρόγραμμα</w:t>
        </w:r>
        <w:r w:rsidR="00F5724A" w:rsidRPr="00C95274">
          <w:br/>
        </w:r>
        <w:r w:rsidR="00964FE1" w:rsidRPr="00C95274">
          <w:t>(Αποκεντρωμένη Διοίκηση Πελοποννήσου - Δυτικής Ελλάδας και Ιονίου)</w:t>
        </w:r>
        <w:r w:rsidR="0083414B" w:rsidRPr="00C95274">
          <w:rPr>
            <w:webHidden/>
          </w:rPr>
          <w:tab/>
        </w:r>
        <w:r w:rsidR="0083414B" w:rsidRPr="00C95274">
          <w:rPr>
            <w:webHidden/>
          </w:rPr>
          <w:fldChar w:fldCharType="begin"/>
        </w:r>
        <w:r w:rsidR="0083414B" w:rsidRPr="00C95274">
          <w:rPr>
            <w:webHidden/>
          </w:rPr>
          <w:instrText xml:space="preserve"> PAGEREF _Toc182931632 \h </w:instrText>
        </w:r>
        <w:r w:rsidR="0083414B" w:rsidRPr="00C95274">
          <w:rPr>
            <w:webHidden/>
          </w:rPr>
        </w:r>
        <w:r w:rsidR="0083414B" w:rsidRPr="00C95274">
          <w:rPr>
            <w:webHidden/>
          </w:rPr>
          <w:fldChar w:fldCharType="separate"/>
        </w:r>
        <w:r w:rsidR="00E15678">
          <w:rPr>
            <w:webHidden/>
          </w:rPr>
          <w:t>68</w:t>
        </w:r>
        <w:r w:rsidR="0083414B" w:rsidRPr="00C95274">
          <w:rPr>
            <w:webHidden/>
          </w:rPr>
          <w:fldChar w:fldCharType="end"/>
        </w:r>
      </w:hyperlink>
    </w:p>
    <w:p w14:paraId="1F7DE2A4" w14:textId="4739782F" w:rsidR="0083414B" w:rsidRPr="00C95274" w:rsidRDefault="0002021E" w:rsidP="001E57A8">
      <w:pPr>
        <w:pStyle w:val="afa"/>
      </w:pPr>
      <w:hyperlink w:anchor="_Toc182931633" w:history="1">
        <w:r w:rsidR="0083414B" w:rsidRPr="00C95274">
          <w:t>Διάγραμμα 2.72.:</w:t>
        </w:r>
        <w:r w:rsidR="00FF13F0" w:rsidRPr="00C95274">
          <w:tab/>
        </w:r>
        <w:r w:rsidR="0083414B" w:rsidRPr="00C95274">
          <w:t xml:space="preserve">Ανθρώπινοι </w:t>
        </w:r>
        <w:r w:rsidR="00E10C6D" w:rsidRPr="00C95274">
          <w:t>π</w:t>
        </w:r>
        <w:r w:rsidR="0083414B" w:rsidRPr="00C95274">
          <w:t>όροι ανά Πρόγραμμα</w:t>
        </w:r>
        <w:r w:rsidR="00964FE1" w:rsidRPr="00C95274">
          <w:br/>
          <w:t>(Αποκεντρωμένη Διοίκηση Πελοποννήσου - Δυτικής Ελλάδας και Ιονίου)</w:t>
        </w:r>
        <w:r w:rsidR="0083414B" w:rsidRPr="00C95274">
          <w:rPr>
            <w:webHidden/>
          </w:rPr>
          <w:tab/>
        </w:r>
        <w:r w:rsidR="0083414B" w:rsidRPr="00C95274">
          <w:rPr>
            <w:webHidden/>
          </w:rPr>
          <w:fldChar w:fldCharType="begin"/>
        </w:r>
        <w:r w:rsidR="0083414B" w:rsidRPr="00C95274">
          <w:rPr>
            <w:webHidden/>
          </w:rPr>
          <w:instrText xml:space="preserve"> PAGEREF _Toc182931633 \h </w:instrText>
        </w:r>
        <w:r w:rsidR="0083414B" w:rsidRPr="00C95274">
          <w:rPr>
            <w:webHidden/>
          </w:rPr>
        </w:r>
        <w:r w:rsidR="0083414B" w:rsidRPr="00C95274">
          <w:rPr>
            <w:webHidden/>
          </w:rPr>
          <w:fldChar w:fldCharType="separate"/>
        </w:r>
        <w:r w:rsidR="00E15678">
          <w:rPr>
            <w:webHidden/>
          </w:rPr>
          <w:t>68</w:t>
        </w:r>
        <w:r w:rsidR="0083414B" w:rsidRPr="00C95274">
          <w:rPr>
            <w:webHidden/>
          </w:rPr>
          <w:fldChar w:fldCharType="end"/>
        </w:r>
      </w:hyperlink>
    </w:p>
    <w:p w14:paraId="3B6C65ED" w14:textId="49D02DF6" w:rsidR="0083414B" w:rsidRPr="00C95274" w:rsidRDefault="0002021E" w:rsidP="001E57A8">
      <w:pPr>
        <w:pStyle w:val="afa"/>
      </w:pPr>
      <w:hyperlink w:anchor="_Toc182931634" w:history="1">
        <w:r w:rsidR="0083414B" w:rsidRPr="00C95274">
          <w:t>Διάγραμμα 2.73.:</w:t>
        </w:r>
        <w:r w:rsidR="00FF13F0" w:rsidRPr="00C95274">
          <w:tab/>
        </w:r>
        <w:r w:rsidR="0083414B" w:rsidRPr="00C95274">
          <w:t>Προϋπολογιζόμενη Δαπάνη Κρατικού Προϋπολογισμού ανά Πρόγραμμα</w:t>
        </w:r>
        <w:r w:rsidR="00964FE1" w:rsidRPr="00C95274">
          <w:br/>
          <w:t>(Αποκεντρωμένη Διοίκηση Αιγαίου)</w:t>
        </w:r>
        <w:r w:rsidR="0083414B" w:rsidRPr="00C95274">
          <w:rPr>
            <w:webHidden/>
          </w:rPr>
          <w:tab/>
        </w:r>
        <w:r w:rsidR="0083414B" w:rsidRPr="00C95274">
          <w:rPr>
            <w:webHidden/>
          </w:rPr>
          <w:fldChar w:fldCharType="begin"/>
        </w:r>
        <w:r w:rsidR="0083414B" w:rsidRPr="00C95274">
          <w:rPr>
            <w:webHidden/>
          </w:rPr>
          <w:instrText xml:space="preserve"> PAGEREF _Toc182931634 \h </w:instrText>
        </w:r>
        <w:r w:rsidR="0083414B" w:rsidRPr="00C95274">
          <w:rPr>
            <w:webHidden/>
          </w:rPr>
        </w:r>
        <w:r w:rsidR="0083414B" w:rsidRPr="00C95274">
          <w:rPr>
            <w:webHidden/>
          </w:rPr>
          <w:fldChar w:fldCharType="separate"/>
        </w:r>
        <w:r w:rsidR="00E15678">
          <w:rPr>
            <w:webHidden/>
          </w:rPr>
          <w:t>69</w:t>
        </w:r>
        <w:r w:rsidR="0083414B" w:rsidRPr="00C95274">
          <w:rPr>
            <w:webHidden/>
          </w:rPr>
          <w:fldChar w:fldCharType="end"/>
        </w:r>
      </w:hyperlink>
    </w:p>
    <w:p w14:paraId="488EFF5A" w14:textId="14E3D67A" w:rsidR="0083414B" w:rsidRPr="00C95274" w:rsidRDefault="0002021E" w:rsidP="001E57A8">
      <w:pPr>
        <w:pStyle w:val="afa"/>
      </w:pPr>
      <w:hyperlink w:anchor="_Toc182931635" w:history="1">
        <w:r w:rsidR="0083414B" w:rsidRPr="00C95274">
          <w:t>Διάγραμμα 2.74.:</w:t>
        </w:r>
        <w:r w:rsidR="00FF13F0" w:rsidRPr="00C95274">
          <w:tab/>
        </w:r>
        <w:r w:rsidR="0083414B" w:rsidRPr="00C95274">
          <w:t xml:space="preserve">Ανθρώπινοι </w:t>
        </w:r>
        <w:r w:rsidR="00E10C6D" w:rsidRPr="00C95274">
          <w:t>π</w:t>
        </w:r>
        <w:r w:rsidR="0083414B" w:rsidRPr="00C95274">
          <w:t>όροι ανά Πρόγραμμα</w:t>
        </w:r>
        <w:r w:rsidR="00964FE1" w:rsidRPr="00C95274">
          <w:br/>
          <w:t>(Αποκεντρωμένη Διοίκηση Αιγαίου)</w:t>
        </w:r>
        <w:r w:rsidR="0083414B" w:rsidRPr="00C95274">
          <w:rPr>
            <w:webHidden/>
          </w:rPr>
          <w:tab/>
        </w:r>
        <w:r w:rsidR="0083414B" w:rsidRPr="00C95274">
          <w:rPr>
            <w:webHidden/>
          </w:rPr>
          <w:fldChar w:fldCharType="begin"/>
        </w:r>
        <w:r w:rsidR="0083414B" w:rsidRPr="00C95274">
          <w:rPr>
            <w:webHidden/>
          </w:rPr>
          <w:instrText xml:space="preserve"> PAGEREF _Toc182931635 \h </w:instrText>
        </w:r>
        <w:r w:rsidR="0083414B" w:rsidRPr="00C95274">
          <w:rPr>
            <w:webHidden/>
          </w:rPr>
        </w:r>
        <w:r w:rsidR="0083414B" w:rsidRPr="00C95274">
          <w:rPr>
            <w:webHidden/>
          </w:rPr>
          <w:fldChar w:fldCharType="separate"/>
        </w:r>
        <w:r w:rsidR="00E15678">
          <w:rPr>
            <w:webHidden/>
          </w:rPr>
          <w:t>69</w:t>
        </w:r>
        <w:r w:rsidR="0083414B" w:rsidRPr="00C95274">
          <w:rPr>
            <w:webHidden/>
          </w:rPr>
          <w:fldChar w:fldCharType="end"/>
        </w:r>
      </w:hyperlink>
    </w:p>
    <w:p w14:paraId="30E6F9C3" w14:textId="558C8D66" w:rsidR="0083414B" w:rsidRPr="00C95274" w:rsidRDefault="0002021E" w:rsidP="001E57A8">
      <w:pPr>
        <w:pStyle w:val="afa"/>
      </w:pPr>
      <w:hyperlink w:anchor="_Toc182931636" w:history="1">
        <w:r w:rsidR="0083414B" w:rsidRPr="00C95274">
          <w:t>Διάγραμμα 2.75.:</w:t>
        </w:r>
        <w:r w:rsidR="00FF13F0" w:rsidRPr="00C95274">
          <w:tab/>
        </w:r>
        <w:r w:rsidR="0083414B" w:rsidRPr="00C95274">
          <w:t>Προϋπολογιζόμενη Δαπάνη Κρατικού Προϋπολογισμού ανά Πρόγραμμα</w:t>
        </w:r>
        <w:r w:rsidR="00964FE1" w:rsidRPr="00C95274">
          <w:br/>
          <w:t>(Αποκεντρωμένη Διοίκηση Κρήτης)</w:t>
        </w:r>
        <w:r w:rsidR="0083414B" w:rsidRPr="00C95274">
          <w:rPr>
            <w:webHidden/>
          </w:rPr>
          <w:tab/>
        </w:r>
        <w:r w:rsidR="0083414B" w:rsidRPr="00C95274">
          <w:rPr>
            <w:webHidden/>
          </w:rPr>
          <w:fldChar w:fldCharType="begin"/>
        </w:r>
        <w:r w:rsidR="0083414B" w:rsidRPr="00C95274">
          <w:rPr>
            <w:webHidden/>
          </w:rPr>
          <w:instrText xml:space="preserve"> PAGEREF _Toc182931636 \h </w:instrText>
        </w:r>
        <w:r w:rsidR="0083414B" w:rsidRPr="00C95274">
          <w:rPr>
            <w:webHidden/>
          </w:rPr>
        </w:r>
        <w:r w:rsidR="0083414B" w:rsidRPr="00C95274">
          <w:rPr>
            <w:webHidden/>
          </w:rPr>
          <w:fldChar w:fldCharType="separate"/>
        </w:r>
        <w:r w:rsidR="00E15678">
          <w:rPr>
            <w:webHidden/>
          </w:rPr>
          <w:t>69</w:t>
        </w:r>
        <w:r w:rsidR="0083414B" w:rsidRPr="00C95274">
          <w:rPr>
            <w:webHidden/>
          </w:rPr>
          <w:fldChar w:fldCharType="end"/>
        </w:r>
      </w:hyperlink>
    </w:p>
    <w:p w14:paraId="28086E0E" w14:textId="46FACE6E" w:rsidR="0083414B" w:rsidRPr="00C95274" w:rsidRDefault="0002021E" w:rsidP="001E57A8">
      <w:pPr>
        <w:pStyle w:val="afa"/>
      </w:pPr>
      <w:hyperlink w:anchor="_Toc182931637" w:history="1">
        <w:r w:rsidR="0083414B" w:rsidRPr="00C95274">
          <w:t>Διάγραμμα 2.76.:</w:t>
        </w:r>
        <w:r w:rsidR="00FF13F0" w:rsidRPr="00C95274">
          <w:tab/>
        </w:r>
        <w:r w:rsidR="0083414B" w:rsidRPr="00C95274">
          <w:t xml:space="preserve">Ανθρώπινοι </w:t>
        </w:r>
        <w:r w:rsidR="00E10C6D" w:rsidRPr="00C95274">
          <w:t>π</w:t>
        </w:r>
        <w:r w:rsidR="0083414B" w:rsidRPr="00C95274">
          <w:t>όροι ανά Πρόγραμμα</w:t>
        </w:r>
        <w:r w:rsidR="00964FE1" w:rsidRPr="00C95274">
          <w:br/>
          <w:t>(Αποκεντρωμένη Διοίκηση Κρήτης)</w:t>
        </w:r>
        <w:r w:rsidR="0083414B" w:rsidRPr="00C95274">
          <w:rPr>
            <w:webHidden/>
          </w:rPr>
          <w:tab/>
        </w:r>
        <w:r w:rsidR="0083414B" w:rsidRPr="00C95274">
          <w:rPr>
            <w:webHidden/>
          </w:rPr>
          <w:fldChar w:fldCharType="begin"/>
        </w:r>
        <w:r w:rsidR="0083414B" w:rsidRPr="00C95274">
          <w:rPr>
            <w:webHidden/>
          </w:rPr>
          <w:instrText xml:space="preserve"> PAGEREF _Toc182931637 \h </w:instrText>
        </w:r>
        <w:r w:rsidR="0083414B" w:rsidRPr="00C95274">
          <w:rPr>
            <w:webHidden/>
          </w:rPr>
        </w:r>
        <w:r w:rsidR="0083414B" w:rsidRPr="00C95274">
          <w:rPr>
            <w:webHidden/>
          </w:rPr>
          <w:fldChar w:fldCharType="separate"/>
        </w:r>
        <w:r w:rsidR="00E15678">
          <w:rPr>
            <w:webHidden/>
          </w:rPr>
          <w:t>69</w:t>
        </w:r>
        <w:r w:rsidR="0083414B" w:rsidRPr="00C95274">
          <w:rPr>
            <w:webHidden/>
          </w:rPr>
          <w:fldChar w:fldCharType="end"/>
        </w:r>
      </w:hyperlink>
    </w:p>
    <w:p w14:paraId="6672DC1C" w14:textId="63E3C6A1" w:rsidR="0083414B" w:rsidRPr="00C95274" w:rsidRDefault="0002021E" w:rsidP="001E57A8">
      <w:pPr>
        <w:pStyle w:val="afa"/>
      </w:pPr>
      <w:hyperlink w:anchor="_Toc182931638" w:history="1">
        <w:r w:rsidR="0083414B" w:rsidRPr="00C95274">
          <w:t>Διάγραμμα 2.77.:</w:t>
        </w:r>
        <w:r w:rsidR="00FF13F0" w:rsidRPr="00C95274">
          <w:tab/>
        </w:r>
        <w:r w:rsidR="0083414B" w:rsidRPr="00C95274">
          <w:t>Προϋπολογιζόμενη Δαπάνη Κρατικού Προϋπολογισμού ανά Πρόγραμμα</w:t>
        </w:r>
        <w:r w:rsidR="00964FE1" w:rsidRPr="00C95274">
          <w:br/>
          <w:t>(Αποκεντρωμένη Διοίκηση Μακεδονίας - Θράκης)</w:t>
        </w:r>
        <w:r w:rsidR="0083414B" w:rsidRPr="00C95274">
          <w:rPr>
            <w:webHidden/>
          </w:rPr>
          <w:tab/>
        </w:r>
        <w:r w:rsidR="0083414B" w:rsidRPr="00C95274">
          <w:rPr>
            <w:webHidden/>
          </w:rPr>
          <w:fldChar w:fldCharType="begin"/>
        </w:r>
        <w:r w:rsidR="0083414B" w:rsidRPr="00C95274">
          <w:rPr>
            <w:webHidden/>
          </w:rPr>
          <w:instrText xml:space="preserve"> PAGEREF _Toc182931638 \h </w:instrText>
        </w:r>
        <w:r w:rsidR="0083414B" w:rsidRPr="00C95274">
          <w:rPr>
            <w:webHidden/>
          </w:rPr>
        </w:r>
        <w:r w:rsidR="0083414B" w:rsidRPr="00C95274">
          <w:rPr>
            <w:webHidden/>
          </w:rPr>
          <w:fldChar w:fldCharType="separate"/>
        </w:r>
        <w:r w:rsidR="00E15678">
          <w:rPr>
            <w:webHidden/>
          </w:rPr>
          <w:t>70</w:t>
        </w:r>
        <w:r w:rsidR="0083414B" w:rsidRPr="00C95274">
          <w:rPr>
            <w:webHidden/>
          </w:rPr>
          <w:fldChar w:fldCharType="end"/>
        </w:r>
      </w:hyperlink>
    </w:p>
    <w:p w14:paraId="7D7E17F4" w14:textId="486BD060" w:rsidR="006B5821" w:rsidRPr="00C95274" w:rsidRDefault="0002021E" w:rsidP="006B5821">
      <w:pPr>
        <w:pStyle w:val="afa"/>
      </w:pPr>
      <w:hyperlink w:anchor="_Toc182931639" w:history="1">
        <w:r w:rsidR="0083414B" w:rsidRPr="00C95274">
          <w:t>Διάγραμμα 2.78.:</w:t>
        </w:r>
        <w:r w:rsidR="00FF13F0" w:rsidRPr="00C95274">
          <w:tab/>
        </w:r>
        <w:r w:rsidR="0083414B" w:rsidRPr="00C95274">
          <w:t xml:space="preserve">Ανθρώπινοι </w:t>
        </w:r>
        <w:r w:rsidR="00E10C6D" w:rsidRPr="00C95274">
          <w:t>π</w:t>
        </w:r>
        <w:r w:rsidR="0083414B" w:rsidRPr="00C95274">
          <w:t>όροι ανά Πρόγραμμα</w:t>
        </w:r>
        <w:r w:rsidR="00964FE1" w:rsidRPr="00C95274">
          <w:br/>
          <w:t>(Αποκεντρωμένη Διοίκηση Μακεδονίας - Θράκης)</w:t>
        </w:r>
        <w:r w:rsidR="0083414B" w:rsidRPr="00C95274">
          <w:rPr>
            <w:webHidden/>
          </w:rPr>
          <w:tab/>
        </w:r>
        <w:r w:rsidR="0083414B" w:rsidRPr="00C95274">
          <w:rPr>
            <w:webHidden/>
          </w:rPr>
          <w:fldChar w:fldCharType="begin"/>
        </w:r>
        <w:r w:rsidR="0083414B" w:rsidRPr="00C95274">
          <w:rPr>
            <w:webHidden/>
          </w:rPr>
          <w:instrText xml:space="preserve"> PAGEREF _Toc182931639 \h </w:instrText>
        </w:r>
        <w:r w:rsidR="0083414B" w:rsidRPr="00C95274">
          <w:rPr>
            <w:webHidden/>
          </w:rPr>
        </w:r>
        <w:r w:rsidR="0083414B" w:rsidRPr="00C95274">
          <w:rPr>
            <w:webHidden/>
          </w:rPr>
          <w:fldChar w:fldCharType="separate"/>
        </w:r>
        <w:r w:rsidR="00E15678">
          <w:rPr>
            <w:webHidden/>
          </w:rPr>
          <w:t>70</w:t>
        </w:r>
        <w:r w:rsidR="0083414B" w:rsidRPr="00C95274">
          <w:rPr>
            <w:webHidden/>
          </w:rPr>
          <w:fldChar w:fldCharType="end"/>
        </w:r>
      </w:hyperlink>
      <w:r w:rsidR="0078482F" w:rsidRPr="00C95274">
        <w:fldChar w:fldCharType="end"/>
      </w:r>
      <w:r w:rsidR="005B53F2" w:rsidRPr="00C95274">
        <w:fldChar w:fldCharType="begin"/>
      </w:r>
      <w:r w:rsidR="00E77298" w:rsidRPr="00C95274">
        <w:instrText xml:space="preserve"> TOC \h \z \c "Διάγραμμα 3." </w:instrText>
      </w:r>
      <w:r w:rsidR="005B53F2" w:rsidRPr="00C95274">
        <w:fldChar w:fldCharType="separate"/>
      </w:r>
    </w:p>
    <w:p w14:paraId="1CE8ED7B" w14:textId="21A77720" w:rsidR="006B5821" w:rsidRPr="00C95274" w:rsidRDefault="0002021E" w:rsidP="006B5821">
      <w:pPr>
        <w:pStyle w:val="afa"/>
        <w:rPr>
          <w:rFonts w:eastAsiaTheme="minorEastAsia"/>
        </w:rPr>
      </w:pPr>
      <w:hyperlink w:anchor="_Toc214474828" w:history="1">
        <w:r w:rsidR="006B5821" w:rsidRPr="00C95274">
          <w:rPr>
            <w:rStyle w:val="-"/>
            <w:color w:val="auto"/>
            <w:u w:val="none"/>
          </w:rPr>
          <w:t>Διάγραμμα 3.1.:</w:t>
        </w:r>
        <w:r w:rsidR="006B5821" w:rsidRPr="00C95274">
          <w:rPr>
            <w:rStyle w:val="-"/>
            <w:color w:val="auto"/>
            <w:u w:val="none"/>
          </w:rPr>
          <w:tab/>
          <w:t>Δαπάνη παροχών σε εργαζόμενους έτους 2025</w:t>
        </w:r>
        <w:r w:rsidR="006B5821" w:rsidRPr="00C95274">
          <w:rPr>
            <w:webHidden/>
          </w:rPr>
          <w:tab/>
        </w:r>
        <w:r w:rsidR="006B5821" w:rsidRPr="00C95274">
          <w:rPr>
            <w:webHidden/>
          </w:rPr>
          <w:fldChar w:fldCharType="begin"/>
        </w:r>
        <w:r w:rsidR="006B5821" w:rsidRPr="00C95274">
          <w:rPr>
            <w:webHidden/>
          </w:rPr>
          <w:instrText xml:space="preserve"> PAGEREF _Toc214474828 \h </w:instrText>
        </w:r>
        <w:r w:rsidR="006B5821" w:rsidRPr="00C95274">
          <w:rPr>
            <w:webHidden/>
          </w:rPr>
        </w:r>
        <w:r w:rsidR="006B5821" w:rsidRPr="00C95274">
          <w:rPr>
            <w:webHidden/>
          </w:rPr>
          <w:fldChar w:fldCharType="separate"/>
        </w:r>
        <w:r w:rsidR="00E15678">
          <w:rPr>
            <w:webHidden/>
          </w:rPr>
          <w:t>128</w:t>
        </w:r>
        <w:r w:rsidR="006B5821" w:rsidRPr="00C95274">
          <w:rPr>
            <w:webHidden/>
          </w:rPr>
          <w:fldChar w:fldCharType="end"/>
        </w:r>
      </w:hyperlink>
    </w:p>
    <w:p w14:paraId="2EEB46ED" w14:textId="61EDC57F" w:rsidR="006B5821" w:rsidRPr="00C95274" w:rsidRDefault="0002021E" w:rsidP="006B5821">
      <w:pPr>
        <w:pStyle w:val="afa"/>
        <w:rPr>
          <w:rFonts w:eastAsiaTheme="minorEastAsia"/>
        </w:rPr>
      </w:pPr>
      <w:hyperlink w:anchor="_Toc214474829" w:history="1">
        <w:r w:rsidR="006B5821" w:rsidRPr="00C95274">
          <w:rPr>
            <w:rStyle w:val="-"/>
            <w:color w:val="auto"/>
            <w:u w:val="none"/>
          </w:rPr>
          <w:t>Διάγραμμα 3.2.:</w:t>
        </w:r>
        <w:r w:rsidR="006B5821" w:rsidRPr="00C95274">
          <w:rPr>
            <w:rStyle w:val="-"/>
            <w:color w:val="auto"/>
            <w:u w:val="none"/>
          </w:rPr>
          <w:tab/>
          <w:t>Διορισμοί και προσλήψεις τακτικού προσωπικού που μισθοδοτείται από τον τακτικό προϋπολογισμό περιόδου 2024 - 2025</w:t>
        </w:r>
        <w:r w:rsidR="006B5821" w:rsidRPr="00C95274">
          <w:rPr>
            <w:webHidden/>
          </w:rPr>
          <w:tab/>
        </w:r>
        <w:r w:rsidR="006B5821" w:rsidRPr="00C95274">
          <w:rPr>
            <w:webHidden/>
          </w:rPr>
          <w:fldChar w:fldCharType="begin"/>
        </w:r>
        <w:r w:rsidR="006B5821" w:rsidRPr="00C95274">
          <w:rPr>
            <w:webHidden/>
          </w:rPr>
          <w:instrText xml:space="preserve"> PAGEREF _Toc214474829 \h </w:instrText>
        </w:r>
        <w:r w:rsidR="006B5821" w:rsidRPr="00C95274">
          <w:rPr>
            <w:webHidden/>
          </w:rPr>
        </w:r>
        <w:r w:rsidR="006B5821" w:rsidRPr="00C95274">
          <w:rPr>
            <w:webHidden/>
          </w:rPr>
          <w:fldChar w:fldCharType="separate"/>
        </w:r>
        <w:r w:rsidR="00E15678">
          <w:rPr>
            <w:webHidden/>
          </w:rPr>
          <w:t>129</w:t>
        </w:r>
        <w:r w:rsidR="006B5821" w:rsidRPr="00C95274">
          <w:rPr>
            <w:webHidden/>
          </w:rPr>
          <w:fldChar w:fldCharType="end"/>
        </w:r>
      </w:hyperlink>
    </w:p>
    <w:p w14:paraId="41DB1244" w14:textId="1A30F3CA" w:rsidR="00E77298" w:rsidRPr="00C95274" w:rsidRDefault="0002021E" w:rsidP="00ED5A3D">
      <w:pPr>
        <w:pStyle w:val="afa"/>
      </w:pPr>
      <w:hyperlink w:anchor="_Toc214474830" w:history="1">
        <w:r w:rsidR="006B5821" w:rsidRPr="00C95274">
          <w:rPr>
            <w:rStyle w:val="-"/>
            <w:color w:val="auto"/>
            <w:u w:val="none"/>
          </w:rPr>
          <w:t>Διάγραμμα 3.3.:</w:t>
        </w:r>
        <w:r w:rsidR="006B5821" w:rsidRPr="00C95274">
          <w:rPr>
            <w:rStyle w:val="-"/>
            <w:color w:val="auto"/>
            <w:u w:val="none"/>
          </w:rPr>
          <w:tab/>
          <w:t>Αποχωρήσεις τακτικών υπαλλήλων μισθοδοτούμενων από τον τακτικό</w:t>
        </w:r>
        <w:r w:rsidR="006B5821" w:rsidRPr="00C95274">
          <w:rPr>
            <w:rStyle w:val="-"/>
            <w:color w:val="auto"/>
            <w:u w:val="none"/>
          </w:rPr>
          <w:br/>
          <w:t>προϋπολογισμό περιόδου 2024 - 2026</w:t>
        </w:r>
        <w:r w:rsidR="006B5821" w:rsidRPr="00C95274">
          <w:rPr>
            <w:webHidden/>
          </w:rPr>
          <w:tab/>
        </w:r>
        <w:r w:rsidR="006B5821" w:rsidRPr="00C95274">
          <w:rPr>
            <w:webHidden/>
          </w:rPr>
          <w:fldChar w:fldCharType="begin"/>
        </w:r>
        <w:r w:rsidR="006B5821" w:rsidRPr="00C95274">
          <w:rPr>
            <w:webHidden/>
          </w:rPr>
          <w:instrText xml:space="preserve"> PAGEREF _Toc214474830 \h </w:instrText>
        </w:r>
        <w:r w:rsidR="006B5821" w:rsidRPr="00C95274">
          <w:rPr>
            <w:webHidden/>
          </w:rPr>
        </w:r>
        <w:r w:rsidR="006B5821" w:rsidRPr="00C95274">
          <w:rPr>
            <w:webHidden/>
          </w:rPr>
          <w:fldChar w:fldCharType="separate"/>
        </w:r>
        <w:r w:rsidR="00E15678">
          <w:rPr>
            <w:webHidden/>
          </w:rPr>
          <w:t>130</w:t>
        </w:r>
        <w:r w:rsidR="006B5821" w:rsidRPr="00C95274">
          <w:rPr>
            <w:webHidden/>
          </w:rPr>
          <w:fldChar w:fldCharType="end"/>
        </w:r>
      </w:hyperlink>
      <w:r w:rsidR="005B53F2" w:rsidRPr="00C95274">
        <w:fldChar w:fldCharType="end"/>
      </w:r>
    </w:p>
    <w:p w14:paraId="0CFC37BC" w14:textId="5BCBA874" w:rsidR="006B5821" w:rsidRPr="00C95274" w:rsidRDefault="00817BBF" w:rsidP="006B5821">
      <w:pPr>
        <w:pStyle w:val="afa"/>
        <w:rPr>
          <w:rFonts w:eastAsiaTheme="minorEastAsia"/>
        </w:rPr>
      </w:pPr>
      <w:r w:rsidRPr="00C95274">
        <w:fldChar w:fldCharType="begin"/>
      </w:r>
      <w:r w:rsidRPr="00C95274">
        <w:instrText xml:space="preserve"> TOC \h \z \c "Διάγραμμα 4." </w:instrText>
      </w:r>
      <w:r w:rsidRPr="00C95274">
        <w:fldChar w:fldCharType="separate"/>
      </w:r>
      <w:hyperlink w:anchor="_Toc214474883" w:history="1">
        <w:r w:rsidR="006B5821" w:rsidRPr="00C95274">
          <w:rPr>
            <w:rStyle w:val="-"/>
            <w:color w:val="auto"/>
            <w:u w:val="none"/>
          </w:rPr>
          <w:t>Διάγραμμα 4.1.:</w:t>
        </w:r>
        <w:r w:rsidR="006B5821" w:rsidRPr="00C95274">
          <w:rPr>
            <w:rStyle w:val="-"/>
            <w:color w:val="auto"/>
            <w:u w:val="none"/>
          </w:rPr>
          <w:tab/>
          <w:t xml:space="preserve">Χρονοδιάγραμμα λήξης του χρέους της Κεντρικής Διοίκησης </w:t>
        </w:r>
        <w:r w:rsidR="00A90CD9" w:rsidRPr="00C95274">
          <w:rPr>
            <w:rStyle w:val="-"/>
            <w:color w:val="auto"/>
            <w:u w:val="none"/>
          </w:rPr>
          <w:t>την</w:t>
        </w:r>
        <w:r w:rsidR="006B5821" w:rsidRPr="00C95274">
          <w:rPr>
            <w:rStyle w:val="-"/>
            <w:color w:val="auto"/>
            <w:u w:val="none"/>
          </w:rPr>
          <w:t xml:space="preserve"> 30</w:t>
        </w:r>
        <w:r w:rsidR="00A90CD9" w:rsidRPr="00C95274">
          <w:rPr>
            <w:rStyle w:val="-"/>
            <w:color w:val="auto"/>
            <w:u w:val="none"/>
          </w:rPr>
          <w:t>η</w:t>
        </w:r>
        <w:r w:rsidR="006B5821" w:rsidRPr="00C95274">
          <w:rPr>
            <w:rStyle w:val="-"/>
            <w:color w:val="auto"/>
            <w:u w:val="none"/>
          </w:rPr>
          <w:t>.9.2025</w:t>
        </w:r>
        <w:r w:rsidR="006B5821" w:rsidRPr="00C95274">
          <w:rPr>
            <w:webHidden/>
          </w:rPr>
          <w:tab/>
        </w:r>
        <w:r w:rsidR="006B5821" w:rsidRPr="00C95274">
          <w:rPr>
            <w:webHidden/>
          </w:rPr>
          <w:fldChar w:fldCharType="begin"/>
        </w:r>
        <w:r w:rsidR="006B5821" w:rsidRPr="00C95274">
          <w:rPr>
            <w:webHidden/>
          </w:rPr>
          <w:instrText xml:space="preserve"> PAGEREF _Toc214474883 \h </w:instrText>
        </w:r>
        <w:r w:rsidR="006B5821" w:rsidRPr="00C95274">
          <w:rPr>
            <w:webHidden/>
          </w:rPr>
        </w:r>
        <w:r w:rsidR="006B5821" w:rsidRPr="00C95274">
          <w:rPr>
            <w:webHidden/>
          </w:rPr>
          <w:fldChar w:fldCharType="separate"/>
        </w:r>
        <w:r w:rsidR="00E15678">
          <w:rPr>
            <w:webHidden/>
          </w:rPr>
          <w:t>205</w:t>
        </w:r>
        <w:r w:rsidR="006B5821" w:rsidRPr="00C95274">
          <w:rPr>
            <w:webHidden/>
          </w:rPr>
          <w:fldChar w:fldCharType="end"/>
        </w:r>
      </w:hyperlink>
    </w:p>
    <w:p w14:paraId="42F2DE85" w14:textId="3B096163" w:rsidR="006B5821" w:rsidRPr="00C95274" w:rsidRDefault="0002021E" w:rsidP="006B5821">
      <w:pPr>
        <w:pStyle w:val="afa"/>
        <w:rPr>
          <w:rFonts w:eastAsiaTheme="minorEastAsia"/>
        </w:rPr>
      </w:pPr>
      <w:hyperlink w:anchor="_Toc214474884" w:history="1">
        <w:r w:rsidR="006B5821" w:rsidRPr="00C95274">
          <w:rPr>
            <w:rStyle w:val="-"/>
            <w:color w:val="auto"/>
            <w:u w:val="none"/>
          </w:rPr>
          <w:t>Διάγραμμα 4.2.:</w:t>
        </w:r>
        <w:r w:rsidR="006B5821" w:rsidRPr="00C95274">
          <w:rPr>
            <w:rStyle w:val="-"/>
            <w:color w:val="auto"/>
            <w:u w:val="none"/>
          </w:rPr>
          <w:tab/>
          <w:t xml:space="preserve">Σύνθεση του χρέους της Κεντρικής Διοίκησης </w:t>
        </w:r>
        <w:r w:rsidR="00A90CD9" w:rsidRPr="00C95274">
          <w:rPr>
            <w:rStyle w:val="-"/>
            <w:color w:val="auto"/>
            <w:u w:val="none"/>
          </w:rPr>
          <w:t>την</w:t>
        </w:r>
        <w:r w:rsidR="006B5821" w:rsidRPr="00C95274">
          <w:rPr>
            <w:rStyle w:val="-"/>
            <w:color w:val="auto"/>
            <w:u w:val="none"/>
          </w:rPr>
          <w:t xml:space="preserve"> 30</w:t>
        </w:r>
        <w:r w:rsidR="00A90CD9" w:rsidRPr="00C95274">
          <w:rPr>
            <w:rStyle w:val="-"/>
            <w:color w:val="auto"/>
            <w:u w:val="none"/>
          </w:rPr>
          <w:t>η</w:t>
        </w:r>
        <w:r w:rsidR="006B5821" w:rsidRPr="00C95274">
          <w:rPr>
            <w:rStyle w:val="-"/>
            <w:color w:val="auto"/>
            <w:u w:val="none"/>
          </w:rPr>
          <w:t>.9.2025</w:t>
        </w:r>
        <w:r w:rsidR="006B5821" w:rsidRPr="00C95274">
          <w:rPr>
            <w:webHidden/>
          </w:rPr>
          <w:tab/>
        </w:r>
        <w:r w:rsidR="006B5821" w:rsidRPr="00C95274">
          <w:rPr>
            <w:webHidden/>
          </w:rPr>
          <w:fldChar w:fldCharType="begin"/>
        </w:r>
        <w:r w:rsidR="006B5821" w:rsidRPr="00C95274">
          <w:rPr>
            <w:webHidden/>
          </w:rPr>
          <w:instrText xml:space="preserve"> PAGEREF _Toc214474884 \h </w:instrText>
        </w:r>
        <w:r w:rsidR="006B5821" w:rsidRPr="00C95274">
          <w:rPr>
            <w:webHidden/>
          </w:rPr>
        </w:r>
        <w:r w:rsidR="006B5821" w:rsidRPr="00C95274">
          <w:rPr>
            <w:webHidden/>
          </w:rPr>
          <w:fldChar w:fldCharType="separate"/>
        </w:r>
        <w:r w:rsidR="00E15678">
          <w:rPr>
            <w:webHidden/>
          </w:rPr>
          <w:t>205</w:t>
        </w:r>
        <w:r w:rsidR="006B5821" w:rsidRPr="00C95274">
          <w:rPr>
            <w:webHidden/>
          </w:rPr>
          <w:fldChar w:fldCharType="end"/>
        </w:r>
      </w:hyperlink>
    </w:p>
    <w:p w14:paraId="7A4F6922" w14:textId="346E00AF" w:rsidR="006B5821" w:rsidRPr="00C95274" w:rsidRDefault="0002021E" w:rsidP="006B5821">
      <w:pPr>
        <w:pStyle w:val="afa"/>
        <w:rPr>
          <w:rFonts w:eastAsiaTheme="minorEastAsia"/>
        </w:rPr>
      </w:pPr>
      <w:hyperlink w:anchor="_Toc214474885" w:history="1">
        <w:r w:rsidR="006B5821" w:rsidRPr="00C95274">
          <w:rPr>
            <w:rStyle w:val="-"/>
            <w:color w:val="auto"/>
            <w:u w:val="none"/>
          </w:rPr>
          <w:t>Διάγραμμα 4.3.:</w:t>
        </w:r>
        <w:r w:rsidR="006B5821" w:rsidRPr="00C95274">
          <w:rPr>
            <w:rStyle w:val="-"/>
            <w:color w:val="auto"/>
            <w:u w:val="none"/>
          </w:rPr>
          <w:tab/>
          <w:t>Δαπάνες για τόκους χρέους της Κεντρικής Διοίκησης</w:t>
        </w:r>
        <w:r w:rsidR="006B5821" w:rsidRPr="00C95274">
          <w:rPr>
            <w:webHidden/>
          </w:rPr>
          <w:tab/>
        </w:r>
        <w:r w:rsidR="006B5821" w:rsidRPr="00C95274">
          <w:rPr>
            <w:webHidden/>
          </w:rPr>
          <w:fldChar w:fldCharType="begin"/>
        </w:r>
        <w:r w:rsidR="006B5821" w:rsidRPr="00C95274">
          <w:rPr>
            <w:webHidden/>
          </w:rPr>
          <w:instrText xml:space="preserve"> PAGEREF _Toc214474885 \h </w:instrText>
        </w:r>
        <w:r w:rsidR="006B5821" w:rsidRPr="00C95274">
          <w:rPr>
            <w:webHidden/>
          </w:rPr>
        </w:r>
        <w:r w:rsidR="006B5821" w:rsidRPr="00C95274">
          <w:rPr>
            <w:webHidden/>
          </w:rPr>
          <w:fldChar w:fldCharType="separate"/>
        </w:r>
        <w:r w:rsidR="00E15678">
          <w:rPr>
            <w:webHidden/>
          </w:rPr>
          <w:t>209</w:t>
        </w:r>
        <w:r w:rsidR="006B5821" w:rsidRPr="00C95274">
          <w:rPr>
            <w:webHidden/>
          </w:rPr>
          <w:fldChar w:fldCharType="end"/>
        </w:r>
      </w:hyperlink>
    </w:p>
    <w:p w14:paraId="53812EDE" w14:textId="240EABBC" w:rsidR="006B5821" w:rsidRPr="00C95274" w:rsidRDefault="0002021E" w:rsidP="006B5821">
      <w:pPr>
        <w:pStyle w:val="afa"/>
        <w:rPr>
          <w:rFonts w:eastAsiaTheme="minorEastAsia"/>
        </w:rPr>
      </w:pPr>
      <w:hyperlink w:anchor="_Toc214474886" w:history="1">
        <w:r w:rsidR="006B5821" w:rsidRPr="00C95274">
          <w:rPr>
            <w:rStyle w:val="-"/>
            <w:color w:val="auto"/>
            <w:u w:val="none"/>
          </w:rPr>
          <w:t>Διάγραμμα 4.4.:</w:t>
        </w:r>
        <w:r w:rsidR="006B5821" w:rsidRPr="00C95274">
          <w:rPr>
            <w:rStyle w:val="-"/>
            <w:color w:val="auto"/>
            <w:u w:val="none"/>
          </w:rPr>
          <w:tab/>
          <w:t>Καμπύλη αποδόσεων τίτλων του Ελληνικού Δημοσίου</w:t>
        </w:r>
        <w:r w:rsidR="006B5821" w:rsidRPr="00C95274">
          <w:rPr>
            <w:webHidden/>
          </w:rPr>
          <w:tab/>
        </w:r>
        <w:r w:rsidR="006B5821" w:rsidRPr="00C95274">
          <w:rPr>
            <w:webHidden/>
          </w:rPr>
          <w:fldChar w:fldCharType="begin"/>
        </w:r>
        <w:r w:rsidR="006B5821" w:rsidRPr="00C95274">
          <w:rPr>
            <w:webHidden/>
          </w:rPr>
          <w:instrText xml:space="preserve"> PAGEREF _Toc214474886 \h </w:instrText>
        </w:r>
        <w:r w:rsidR="006B5821" w:rsidRPr="00C95274">
          <w:rPr>
            <w:webHidden/>
          </w:rPr>
        </w:r>
        <w:r w:rsidR="006B5821" w:rsidRPr="00C95274">
          <w:rPr>
            <w:webHidden/>
          </w:rPr>
          <w:fldChar w:fldCharType="separate"/>
        </w:r>
        <w:r w:rsidR="00E15678">
          <w:rPr>
            <w:webHidden/>
          </w:rPr>
          <w:t>210</w:t>
        </w:r>
        <w:r w:rsidR="006B5821" w:rsidRPr="00C95274">
          <w:rPr>
            <w:webHidden/>
          </w:rPr>
          <w:fldChar w:fldCharType="end"/>
        </w:r>
      </w:hyperlink>
    </w:p>
    <w:p w14:paraId="1DEFDBAF" w14:textId="47251275" w:rsidR="006B5821" w:rsidRPr="00C95274" w:rsidRDefault="0002021E" w:rsidP="006B5821">
      <w:pPr>
        <w:pStyle w:val="afa"/>
        <w:rPr>
          <w:rFonts w:eastAsiaTheme="minorEastAsia"/>
        </w:rPr>
      </w:pPr>
      <w:hyperlink w:anchor="_Toc214474887" w:history="1">
        <w:r w:rsidR="006B5821" w:rsidRPr="00C95274">
          <w:rPr>
            <w:rStyle w:val="-"/>
            <w:color w:val="auto"/>
            <w:u w:val="none"/>
          </w:rPr>
          <w:t>Διάγραμμα 4.5.:</w:t>
        </w:r>
        <w:r w:rsidR="006B5821" w:rsidRPr="00C95274">
          <w:rPr>
            <w:rStyle w:val="-"/>
            <w:color w:val="auto"/>
            <w:u w:val="none"/>
          </w:rPr>
          <w:tab/>
          <w:t>Αποδόσεις (%) δεκαετών κρατικών τίτλων</w:t>
        </w:r>
        <w:r w:rsidR="006B5821" w:rsidRPr="00C95274">
          <w:rPr>
            <w:webHidden/>
          </w:rPr>
          <w:tab/>
        </w:r>
        <w:r w:rsidR="006B5821" w:rsidRPr="00C95274">
          <w:rPr>
            <w:webHidden/>
          </w:rPr>
          <w:fldChar w:fldCharType="begin"/>
        </w:r>
        <w:r w:rsidR="006B5821" w:rsidRPr="00C95274">
          <w:rPr>
            <w:webHidden/>
          </w:rPr>
          <w:instrText xml:space="preserve"> PAGEREF _Toc214474887 \h </w:instrText>
        </w:r>
        <w:r w:rsidR="006B5821" w:rsidRPr="00C95274">
          <w:rPr>
            <w:webHidden/>
          </w:rPr>
        </w:r>
        <w:r w:rsidR="006B5821" w:rsidRPr="00C95274">
          <w:rPr>
            <w:webHidden/>
          </w:rPr>
          <w:fldChar w:fldCharType="separate"/>
        </w:r>
        <w:r w:rsidR="00E15678">
          <w:rPr>
            <w:webHidden/>
          </w:rPr>
          <w:t>210</w:t>
        </w:r>
        <w:r w:rsidR="006B5821" w:rsidRPr="00C95274">
          <w:rPr>
            <w:webHidden/>
          </w:rPr>
          <w:fldChar w:fldCharType="end"/>
        </w:r>
      </w:hyperlink>
    </w:p>
    <w:p w14:paraId="15CB84AB" w14:textId="210BF285" w:rsidR="006B5821" w:rsidRPr="00C95274" w:rsidRDefault="0002021E" w:rsidP="006B5821">
      <w:pPr>
        <w:pStyle w:val="afa"/>
        <w:rPr>
          <w:rFonts w:eastAsiaTheme="minorEastAsia"/>
        </w:rPr>
      </w:pPr>
      <w:hyperlink w:anchor="_Toc214474888" w:history="1">
        <w:r w:rsidR="006B5821" w:rsidRPr="00C95274">
          <w:rPr>
            <w:rStyle w:val="-"/>
            <w:color w:val="auto"/>
            <w:u w:val="none"/>
          </w:rPr>
          <w:t>Διάγραμμα 4.6.:</w:t>
        </w:r>
        <w:r w:rsidR="006B5821" w:rsidRPr="00C95274">
          <w:rPr>
            <w:rStyle w:val="-"/>
            <w:color w:val="auto"/>
            <w:u w:val="none"/>
          </w:rPr>
          <w:tab/>
          <w:t xml:space="preserve">Αξία συναλλαγών στην ΗΔΑΤ </w:t>
        </w:r>
        <w:r w:rsidR="00A90CD9" w:rsidRPr="00C95274">
          <w:rPr>
            <w:rStyle w:val="-"/>
            <w:color w:val="auto"/>
            <w:u w:val="none"/>
          </w:rPr>
          <w:t xml:space="preserve">- </w:t>
        </w:r>
        <w:r w:rsidR="006B5821" w:rsidRPr="00C95274">
          <w:rPr>
            <w:rStyle w:val="-"/>
            <w:color w:val="auto"/>
            <w:u w:val="none"/>
          </w:rPr>
          <w:t>τρίτο τρίμηνο 2025</w:t>
        </w:r>
        <w:r w:rsidR="006B5821" w:rsidRPr="00C95274">
          <w:rPr>
            <w:rStyle w:val="-"/>
            <w:color w:val="auto"/>
            <w:u w:val="none"/>
          </w:rPr>
          <w:tab/>
        </w:r>
        <w:r w:rsidR="006B5821" w:rsidRPr="00C95274">
          <w:rPr>
            <w:webHidden/>
          </w:rPr>
          <w:fldChar w:fldCharType="begin"/>
        </w:r>
        <w:r w:rsidR="006B5821" w:rsidRPr="00C95274">
          <w:rPr>
            <w:webHidden/>
          </w:rPr>
          <w:instrText xml:space="preserve"> PAGEREF _Toc214474888 \h </w:instrText>
        </w:r>
        <w:r w:rsidR="006B5821" w:rsidRPr="00C95274">
          <w:rPr>
            <w:webHidden/>
          </w:rPr>
        </w:r>
        <w:r w:rsidR="006B5821" w:rsidRPr="00C95274">
          <w:rPr>
            <w:webHidden/>
          </w:rPr>
          <w:fldChar w:fldCharType="separate"/>
        </w:r>
        <w:r w:rsidR="00E15678">
          <w:rPr>
            <w:webHidden/>
          </w:rPr>
          <w:t>212</w:t>
        </w:r>
        <w:r w:rsidR="006B5821" w:rsidRPr="00C95274">
          <w:rPr>
            <w:webHidden/>
          </w:rPr>
          <w:fldChar w:fldCharType="end"/>
        </w:r>
      </w:hyperlink>
    </w:p>
    <w:p w14:paraId="3BAD6186" w14:textId="24468AC2" w:rsidR="006B5821" w:rsidRPr="00C95274" w:rsidRDefault="0002021E" w:rsidP="006B5821">
      <w:pPr>
        <w:pStyle w:val="afa"/>
        <w:rPr>
          <w:rFonts w:eastAsiaTheme="minorEastAsia"/>
        </w:rPr>
      </w:pPr>
      <w:hyperlink w:anchor="_Toc214474889" w:history="1">
        <w:r w:rsidR="006B5821" w:rsidRPr="00C95274">
          <w:rPr>
            <w:rStyle w:val="-"/>
            <w:color w:val="auto"/>
            <w:u w:val="none"/>
          </w:rPr>
          <w:t>Διάγραμμα 4.7.:</w:t>
        </w:r>
        <w:r w:rsidR="006B5821" w:rsidRPr="00C95274">
          <w:rPr>
            <w:rStyle w:val="-"/>
            <w:color w:val="auto"/>
            <w:u w:val="none"/>
          </w:rPr>
          <w:tab/>
          <w:t>Μηνιαίος όγκος συναλλαγών επί τίτλων του Δημοσίου στην ΗΔΑΤ</w:t>
        </w:r>
        <w:r w:rsidR="006B5821" w:rsidRPr="00C95274">
          <w:rPr>
            <w:webHidden/>
          </w:rPr>
          <w:tab/>
        </w:r>
        <w:r w:rsidR="006B5821" w:rsidRPr="00C95274">
          <w:rPr>
            <w:webHidden/>
          </w:rPr>
          <w:fldChar w:fldCharType="begin"/>
        </w:r>
        <w:r w:rsidR="006B5821" w:rsidRPr="00C95274">
          <w:rPr>
            <w:webHidden/>
          </w:rPr>
          <w:instrText xml:space="preserve"> PAGEREF _Toc214474889 \h </w:instrText>
        </w:r>
        <w:r w:rsidR="006B5821" w:rsidRPr="00C95274">
          <w:rPr>
            <w:webHidden/>
          </w:rPr>
        </w:r>
        <w:r w:rsidR="006B5821" w:rsidRPr="00C95274">
          <w:rPr>
            <w:webHidden/>
          </w:rPr>
          <w:fldChar w:fldCharType="separate"/>
        </w:r>
        <w:r w:rsidR="00E15678">
          <w:rPr>
            <w:webHidden/>
          </w:rPr>
          <w:t>212</w:t>
        </w:r>
        <w:r w:rsidR="006B5821" w:rsidRPr="00C95274">
          <w:rPr>
            <w:webHidden/>
          </w:rPr>
          <w:fldChar w:fldCharType="end"/>
        </w:r>
      </w:hyperlink>
    </w:p>
    <w:p w14:paraId="05831D83" w14:textId="361EDC6E" w:rsidR="006B5821" w:rsidRPr="00C95274" w:rsidRDefault="0002021E" w:rsidP="006B5821">
      <w:pPr>
        <w:pStyle w:val="afa"/>
        <w:rPr>
          <w:rFonts w:eastAsiaTheme="minorEastAsia"/>
        </w:rPr>
      </w:pPr>
      <w:hyperlink w:anchor="_Toc214474890" w:history="1">
        <w:r w:rsidR="006B5821" w:rsidRPr="00C95274">
          <w:rPr>
            <w:rStyle w:val="-"/>
            <w:color w:val="auto"/>
            <w:u w:val="none"/>
          </w:rPr>
          <w:t>Διάγραμμα 4.8.:</w:t>
        </w:r>
        <w:r w:rsidR="006B5821" w:rsidRPr="00C95274">
          <w:rPr>
            <w:rStyle w:val="-"/>
            <w:color w:val="auto"/>
            <w:u w:val="none"/>
          </w:rPr>
          <w:tab/>
          <w:t>Εγγυήσεις, καταπτώσεις και ανεξόφλητο εγγυημένο υπόλοιπο κατά τα έτη 2010 - 2025</w:t>
        </w:r>
        <w:r w:rsidR="006B5821" w:rsidRPr="00C95274">
          <w:rPr>
            <w:webHidden/>
          </w:rPr>
          <w:tab/>
        </w:r>
        <w:r w:rsidR="006B5821" w:rsidRPr="00C95274">
          <w:rPr>
            <w:webHidden/>
          </w:rPr>
          <w:fldChar w:fldCharType="begin"/>
        </w:r>
        <w:r w:rsidR="006B5821" w:rsidRPr="00C95274">
          <w:rPr>
            <w:webHidden/>
          </w:rPr>
          <w:instrText xml:space="preserve"> PAGEREF _Toc214474890 \h </w:instrText>
        </w:r>
        <w:r w:rsidR="006B5821" w:rsidRPr="00C95274">
          <w:rPr>
            <w:webHidden/>
          </w:rPr>
        </w:r>
        <w:r w:rsidR="006B5821" w:rsidRPr="00C95274">
          <w:rPr>
            <w:webHidden/>
          </w:rPr>
          <w:fldChar w:fldCharType="separate"/>
        </w:r>
        <w:r w:rsidR="00E15678">
          <w:rPr>
            <w:webHidden/>
          </w:rPr>
          <w:t>215</w:t>
        </w:r>
        <w:r w:rsidR="006B5821" w:rsidRPr="00C95274">
          <w:rPr>
            <w:webHidden/>
          </w:rPr>
          <w:fldChar w:fldCharType="end"/>
        </w:r>
      </w:hyperlink>
    </w:p>
    <w:p w14:paraId="51694644" w14:textId="4B47650B" w:rsidR="00A40922" w:rsidRPr="00280842" w:rsidRDefault="00817BBF" w:rsidP="006B5821">
      <w:pPr>
        <w:pStyle w:val="afa"/>
      </w:pPr>
      <w:r w:rsidRPr="00C95274">
        <w:fldChar w:fldCharType="end"/>
      </w:r>
    </w:p>
    <w:p w14:paraId="259E8FD4" w14:textId="6F98BBCB" w:rsidR="000315CE" w:rsidRPr="000315CE" w:rsidRDefault="000315CE" w:rsidP="000C5BBA">
      <w:pPr>
        <w:sectPr w:rsidR="000315CE" w:rsidRPr="000315CE" w:rsidSect="008E7E86">
          <w:footnotePr>
            <w:numRestart w:val="eachSect"/>
          </w:footnotePr>
          <w:pgSz w:w="11906" w:h="16838"/>
          <w:pgMar w:top="1310" w:right="1418" w:bottom="1310" w:left="1418" w:header="709" w:footer="709" w:gutter="0"/>
          <w:cols w:space="708"/>
          <w:docGrid w:linePitch="360"/>
        </w:sectPr>
      </w:pPr>
    </w:p>
    <w:p w14:paraId="5F7ACB4B" w14:textId="5106AB70" w:rsidR="007E4A5F" w:rsidRDefault="007E4A5F" w:rsidP="00E77298">
      <w:pPr>
        <w:spacing w:after="0" w:line="259" w:lineRule="auto"/>
        <w:jc w:val="center"/>
        <w:rPr>
          <w:rFonts w:eastAsia="Calibri" w:cs="Arial"/>
          <w:b/>
          <w:szCs w:val="20"/>
          <w:lang w:val="en-US" w:eastAsia="en-US"/>
        </w:rPr>
      </w:pPr>
    </w:p>
    <w:p w14:paraId="04D5D45E" w14:textId="77777777" w:rsidR="00A8023F" w:rsidRPr="004E50A7" w:rsidRDefault="00A8023F" w:rsidP="00E77298">
      <w:pPr>
        <w:spacing w:after="0" w:line="259" w:lineRule="auto"/>
        <w:jc w:val="center"/>
        <w:rPr>
          <w:rFonts w:eastAsia="Calibri" w:cs="Arial"/>
          <w:b/>
          <w:szCs w:val="20"/>
          <w:lang w:val="en-US" w:eastAsia="en-US"/>
        </w:rPr>
      </w:pPr>
    </w:p>
    <w:p w14:paraId="1A40BEA4" w14:textId="77777777" w:rsidR="007E4A5F" w:rsidRPr="004E50A7" w:rsidRDefault="007E4A5F" w:rsidP="00E77298">
      <w:pPr>
        <w:spacing w:after="0" w:line="259" w:lineRule="auto"/>
        <w:jc w:val="center"/>
        <w:rPr>
          <w:rFonts w:eastAsia="Calibri" w:cs="Arial"/>
          <w:b/>
          <w:szCs w:val="20"/>
          <w:lang w:val="en-US" w:eastAsia="en-US"/>
        </w:rPr>
      </w:pPr>
    </w:p>
    <w:p w14:paraId="6157972C" w14:textId="77777777" w:rsidR="007E4A5F" w:rsidRPr="004E50A7" w:rsidRDefault="007E4A5F" w:rsidP="00E77298">
      <w:pPr>
        <w:spacing w:after="0" w:line="259" w:lineRule="auto"/>
        <w:jc w:val="center"/>
        <w:rPr>
          <w:rFonts w:eastAsia="Calibri" w:cs="Arial"/>
          <w:b/>
          <w:szCs w:val="20"/>
          <w:lang w:val="en-US" w:eastAsia="en-US"/>
        </w:rPr>
      </w:pPr>
    </w:p>
    <w:p w14:paraId="15378CD8" w14:textId="43FAF8E8" w:rsidR="007E4A5F" w:rsidRDefault="007E4A5F" w:rsidP="00E77298">
      <w:pPr>
        <w:spacing w:after="0" w:line="259" w:lineRule="auto"/>
        <w:jc w:val="center"/>
        <w:rPr>
          <w:rFonts w:eastAsia="Calibri" w:cs="Arial"/>
          <w:b/>
          <w:szCs w:val="20"/>
          <w:lang w:val="en-US" w:eastAsia="en-US"/>
        </w:rPr>
      </w:pPr>
    </w:p>
    <w:p w14:paraId="0E2BC350" w14:textId="77777777" w:rsidR="00816D02" w:rsidRPr="004E50A7" w:rsidRDefault="00816D02" w:rsidP="00E77298">
      <w:pPr>
        <w:spacing w:after="0" w:line="259" w:lineRule="auto"/>
        <w:jc w:val="center"/>
        <w:rPr>
          <w:rFonts w:eastAsia="Calibri" w:cs="Arial"/>
          <w:b/>
          <w:szCs w:val="20"/>
          <w:lang w:val="en-US" w:eastAsia="en-US"/>
        </w:rPr>
      </w:pPr>
    </w:p>
    <w:p w14:paraId="0F22FE22" w14:textId="77777777" w:rsidR="007E4A5F" w:rsidRPr="004E50A7" w:rsidRDefault="007E4A5F" w:rsidP="00E77298">
      <w:pPr>
        <w:spacing w:after="0" w:line="259" w:lineRule="auto"/>
        <w:jc w:val="center"/>
        <w:rPr>
          <w:rFonts w:eastAsia="Calibri" w:cs="Arial"/>
          <w:b/>
          <w:szCs w:val="20"/>
          <w:lang w:val="en-US" w:eastAsia="en-US"/>
        </w:rPr>
      </w:pPr>
    </w:p>
    <w:p w14:paraId="4C7C12A7" w14:textId="77777777" w:rsidR="007E4A5F" w:rsidRPr="004E50A7" w:rsidRDefault="007E4A5F" w:rsidP="00E77298">
      <w:pPr>
        <w:spacing w:after="0" w:line="259" w:lineRule="auto"/>
        <w:jc w:val="center"/>
        <w:rPr>
          <w:rFonts w:eastAsia="Calibri" w:cs="Arial"/>
          <w:b/>
          <w:szCs w:val="20"/>
          <w:lang w:val="en-US" w:eastAsia="en-US"/>
        </w:rPr>
      </w:pPr>
    </w:p>
    <w:p w14:paraId="4EE46244" w14:textId="77777777" w:rsidR="007E4A5F" w:rsidRPr="004E50A7" w:rsidRDefault="007E4A5F" w:rsidP="00E77298">
      <w:pPr>
        <w:spacing w:after="0" w:line="259" w:lineRule="auto"/>
        <w:jc w:val="center"/>
        <w:rPr>
          <w:rFonts w:eastAsia="Calibri" w:cs="Arial"/>
          <w:b/>
          <w:szCs w:val="20"/>
          <w:lang w:val="en-US" w:eastAsia="en-US"/>
        </w:rPr>
      </w:pPr>
    </w:p>
    <w:p w14:paraId="2A9A9D20" w14:textId="77777777" w:rsidR="007E4A5F" w:rsidRPr="004E50A7" w:rsidRDefault="007E4A5F" w:rsidP="00E77298">
      <w:pPr>
        <w:spacing w:after="0" w:line="259" w:lineRule="auto"/>
        <w:jc w:val="center"/>
        <w:rPr>
          <w:rFonts w:eastAsia="Calibri" w:cs="Arial"/>
          <w:b/>
          <w:szCs w:val="20"/>
          <w:lang w:val="en-US" w:eastAsia="en-US"/>
        </w:rPr>
      </w:pPr>
    </w:p>
    <w:p w14:paraId="088AA6FA" w14:textId="77777777" w:rsidR="007E4A5F" w:rsidRPr="004E50A7" w:rsidRDefault="007E4A5F" w:rsidP="00E77298">
      <w:pPr>
        <w:spacing w:after="0" w:line="259" w:lineRule="auto"/>
        <w:jc w:val="center"/>
        <w:rPr>
          <w:rFonts w:eastAsia="Calibri" w:cs="Arial"/>
          <w:b/>
          <w:szCs w:val="20"/>
          <w:lang w:val="en-US" w:eastAsia="en-US"/>
        </w:rPr>
      </w:pPr>
    </w:p>
    <w:p w14:paraId="4A3469D6" w14:textId="77777777" w:rsidR="007E4A5F" w:rsidRPr="004E50A7" w:rsidRDefault="007E4A5F" w:rsidP="00E77298">
      <w:pPr>
        <w:spacing w:after="0" w:line="259" w:lineRule="auto"/>
        <w:jc w:val="center"/>
        <w:rPr>
          <w:rFonts w:eastAsia="Calibri" w:cs="Arial"/>
          <w:b/>
          <w:szCs w:val="20"/>
          <w:lang w:val="en-US" w:eastAsia="en-US"/>
        </w:rPr>
      </w:pPr>
    </w:p>
    <w:p w14:paraId="57CD063D" w14:textId="77777777" w:rsidR="00E77298" w:rsidRPr="00E77298" w:rsidRDefault="00E77298" w:rsidP="00E77298">
      <w:pPr>
        <w:spacing w:after="0" w:line="259" w:lineRule="auto"/>
        <w:jc w:val="center"/>
        <w:rPr>
          <w:rFonts w:eastAsia="Calibri" w:cs="Arial"/>
          <w:b/>
          <w:szCs w:val="20"/>
          <w:lang w:eastAsia="en-US"/>
        </w:rPr>
      </w:pPr>
      <w:r w:rsidRPr="00E77298">
        <w:rPr>
          <w:rFonts w:eastAsia="Calibri" w:cs="Arial"/>
          <w:b/>
          <w:szCs w:val="20"/>
          <w:lang w:eastAsia="en-US"/>
        </w:rPr>
        <w:t>Γνώμη του Ελληνικού Δημοσιονομικού Συμβουλίου</w:t>
      </w:r>
    </w:p>
    <w:p w14:paraId="6F7547A5" w14:textId="66531ED5" w:rsidR="00E77298" w:rsidRPr="0078750B" w:rsidRDefault="00E77298" w:rsidP="00E77298">
      <w:pPr>
        <w:spacing w:after="0" w:line="259" w:lineRule="auto"/>
        <w:jc w:val="center"/>
        <w:rPr>
          <w:rFonts w:eastAsia="Calibri" w:cs="Arial"/>
          <w:b/>
          <w:szCs w:val="20"/>
          <w:lang w:eastAsia="en-US"/>
        </w:rPr>
      </w:pPr>
      <w:r w:rsidRPr="0078750B">
        <w:rPr>
          <w:rFonts w:eastAsia="Calibri" w:cs="Arial"/>
          <w:b/>
          <w:szCs w:val="20"/>
          <w:lang w:eastAsia="en-US"/>
        </w:rPr>
        <w:t>(</w:t>
      </w:r>
      <w:r w:rsidR="0078750B">
        <w:rPr>
          <w:rFonts w:eastAsia="Calibri" w:cs="Arial"/>
          <w:b/>
          <w:szCs w:val="20"/>
          <w:lang w:eastAsia="en-US"/>
        </w:rPr>
        <w:t xml:space="preserve">περ. α και β της </w:t>
      </w:r>
      <w:r w:rsidR="001A162E" w:rsidRPr="0078750B">
        <w:rPr>
          <w:rFonts w:eastAsia="Calibri" w:cs="Arial"/>
          <w:b/>
          <w:szCs w:val="20"/>
          <w:lang w:eastAsia="en-US"/>
        </w:rPr>
        <w:t>παρ.</w:t>
      </w:r>
      <w:r w:rsidR="0078750B">
        <w:rPr>
          <w:rFonts w:eastAsia="Calibri" w:cs="Arial"/>
          <w:b/>
          <w:szCs w:val="20"/>
          <w:lang w:eastAsia="en-US"/>
        </w:rPr>
        <w:t xml:space="preserve"> </w:t>
      </w:r>
      <w:r w:rsidR="001A162E" w:rsidRPr="0078750B">
        <w:rPr>
          <w:rFonts w:eastAsia="Calibri" w:cs="Arial"/>
          <w:b/>
          <w:szCs w:val="20"/>
          <w:lang w:eastAsia="en-US"/>
        </w:rPr>
        <w:t xml:space="preserve">4 του άρθρου 2 και </w:t>
      </w:r>
      <w:r w:rsidRPr="0078750B">
        <w:rPr>
          <w:rFonts w:eastAsia="Calibri" w:cs="Arial"/>
          <w:b/>
          <w:szCs w:val="20"/>
          <w:lang w:eastAsia="en-US"/>
        </w:rPr>
        <w:t>παρ.</w:t>
      </w:r>
      <w:r w:rsidR="0078750B">
        <w:rPr>
          <w:rFonts w:eastAsia="Calibri" w:cs="Arial"/>
          <w:b/>
          <w:szCs w:val="20"/>
          <w:lang w:eastAsia="en-US"/>
        </w:rPr>
        <w:t xml:space="preserve"> </w:t>
      </w:r>
      <w:r w:rsidRPr="0078750B">
        <w:rPr>
          <w:rFonts w:eastAsia="Calibri" w:cs="Arial"/>
          <w:b/>
          <w:szCs w:val="20"/>
          <w:lang w:eastAsia="en-US"/>
        </w:rPr>
        <w:t>4</w:t>
      </w:r>
      <w:r w:rsidR="001A162E" w:rsidRPr="0078750B">
        <w:rPr>
          <w:rFonts w:eastAsia="Calibri" w:cs="Arial"/>
          <w:b/>
          <w:szCs w:val="20"/>
          <w:lang w:eastAsia="en-US"/>
        </w:rPr>
        <w:t xml:space="preserve"> του</w:t>
      </w:r>
      <w:r w:rsidRPr="0078750B">
        <w:rPr>
          <w:rFonts w:eastAsia="Calibri" w:cs="Arial"/>
          <w:b/>
          <w:szCs w:val="20"/>
          <w:lang w:eastAsia="en-US"/>
        </w:rPr>
        <w:t xml:space="preserve"> άρθρο</w:t>
      </w:r>
      <w:r w:rsidR="001A162E" w:rsidRPr="0078750B">
        <w:rPr>
          <w:rFonts w:eastAsia="Calibri" w:cs="Arial"/>
          <w:b/>
          <w:szCs w:val="20"/>
          <w:lang w:eastAsia="en-US"/>
        </w:rPr>
        <w:t>υ</w:t>
      </w:r>
      <w:r w:rsidRPr="0078750B">
        <w:rPr>
          <w:rFonts w:eastAsia="Calibri" w:cs="Arial"/>
          <w:b/>
          <w:szCs w:val="20"/>
          <w:lang w:eastAsia="en-US"/>
        </w:rPr>
        <w:t xml:space="preserve"> 42 του ν.4270/2014</w:t>
      </w:r>
      <w:r w:rsidR="001A162E" w:rsidRPr="0078750B">
        <w:rPr>
          <w:rFonts w:eastAsia="Calibri" w:cs="Arial"/>
          <w:b/>
          <w:szCs w:val="20"/>
          <w:lang w:eastAsia="en-US"/>
        </w:rPr>
        <w:t>, Α’ 143</w:t>
      </w:r>
      <w:r w:rsidR="00311C8E" w:rsidRPr="0078750B">
        <w:rPr>
          <w:rFonts w:eastAsia="Calibri" w:cs="Arial"/>
          <w:b/>
          <w:szCs w:val="20"/>
          <w:lang w:eastAsia="en-US"/>
        </w:rPr>
        <w:t>)</w:t>
      </w:r>
    </w:p>
    <w:p w14:paraId="014A7DF4" w14:textId="6E81E44E" w:rsidR="00E77298" w:rsidRPr="0078750B" w:rsidRDefault="00E77298" w:rsidP="00E77298">
      <w:pPr>
        <w:spacing w:after="0" w:line="259" w:lineRule="auto"/>
        <w:rPr>
          <w:rFonts w:eastAsia="Calibri" w:cs="Arial"/>
          <w:b/>
          <w:szCs w:val="20"/>
          <w:lang w:eastAsia="en-US"/>
        </w:rPr>
      </w:pPr>
    </w:p>
    <w:p w14:paraId="5254F558" w14:textId="1BA5900C" w:rsidR="00FB2A46" w:rsidRPr="00FB2A46" w:rsidRDefault="00FB2A46" w:rsidP="00FB2A46">
      <w:pPr>
        <w:spacing w:after="160" w:line="254" w:lineRule="auto"/>
        <w:ind w:left="426" w:right="651"/>
        <w:rPr>
          <w:rFonts w:eastAsia="Calibri" w:cs="Arial"/>
          <w:szCs w:val="20"/>
          <w:lang w:eastAsia="en-US"/>
        </w:rPr>
      </w:pPr>
      <w:r w:rsidRPr="0078750B">
        <w:rPr>
          <w:rFonts w:eastAsia="Calibri" w:cs="Arial"/>
          <w:szCs w:val="20"/>
          <w:lang w:eastAsia="en-US"/>
        </w:rPr>
        <w:t>Οι μακροοικονομικές και οι δημοσιονομικές προβλέψεις, πάνω στις οποίες βασίζεται το σχέδιο του κρατικού προϋπολογισμού οικονομικού έτους 2026, έχουν αξιολογηθεί και υιοθετηθεί από το Ελληνικό Δημοσιονομικό Συμβούλιο.</w:t>
      </w:r>
    </w:p>
    <w:p w14:paraId="620550C6" w14:textId="77777777" w:rsidR="00FB2A46" w:rsidRDefault="00FB2A46" w:rsidP="00FB2A46">
      <w:pPr>
        <w:spacing w:after="160" w:line="254" w:lineRule="auto"/>
        <w:ind w:left="426" w:right="651"/>
        <w:rPr>
          <w:rFonts w:eastAsia="Calibri" w:cs="Arial"/>
          <w:szCs w:val="20"/>
          <w:lang w:eastAsia="en-US"/>
        </w:rPr>
      </w:pPr>
    </w:p>
    <w:p w14:paraId="205507D0" w14:textId="77777777" w:rsidR="00FB2A46" w:rsidRDefault="00FB2A46" w:rsidP="00FB2A46">
      <w:pPr>
        <w:spacing w:after="0" w:line="254" w:lineRule="auto"/>
        <w:jc w:val="left"/>
        <w:rPr>
          <w:rFonts w:eastAsia="Calibri" w:cs="Arial"/>
          <w:szCs w:val="20"/>
          <w:lang w:eastAsia="en-US"/>
        </w:rPr>
        <w:sectPr w:rsidR="00FB2A46">
          <w:pgSz w:w="11906" w:h="16838"/>
          <w:pgMar w:top="1310" w:right="1418" w:bottom="1310" w:left="1418" w:header="709" w:footer="624" w:gutter="0"/>
          <w:cols w:space="720"/>
        </w:sectPr>
      </w:pPr>
    </w:p>
    <w:p w14:paraId="4EA8F41A" w14:textId="77777777" w:rsidR="00E77298" w:rsidRDefault="00E77298" w:rsidP="00E77298">
      <w:pPr>
        <w:spacing w:after="160" w:line="259" w:lineRule="auto"/>
        <w:ind w:left="426" w:right="651"/>
        <w:rPr>
          <w:rFonts w:eastAsia="Calibri" w:cs="Arial"/>
          <w:szCs w:val="20"/>
          <w:lang w:eastAsia="en-US"/>
        </w:rPr>
      </w:pPr>
    </w:p>
    <w:p w14:paraId="12D9924C" w14:textId="2F9DAAA9" w:rsidR="00FD5D9C" w:rsidRPr="00E77298" w:rsidRDefault="00FD5D9C" w:rsidP="00E77298">
      <w:pPr>
        <w:spacing w:after="160" w:line="259" w:lineRule="auto"/>
        <w:ind w:left="426" w:right="651"/>
        <w:rPr>
          <w:rFonts w:eastAsia="Calibri" w:cs="Arial"/>
          <w:szCs w:val="20"/>
          <w:lang w:eastAsia="en-US"/>
        </w:rPr>
        <w:sectPr w:rsidR="00FD5D9C" w:rsidRPr="00E77298" w:rsidSect="008E7E86">
          <w:footnotePr>
            <w:numRestart w:val="eachSect"/>
          </w:footnotePr>
          <w:pgSz w:w="11906" w:h="16838"/>
          <w:pgMar w:top="1310" w:right="1418" w:bottom="1310" w:left="1418" w:header="709" w:footer="624" w:gutter="0"/>
          <w:cols w:space="708"/>
          <w:docGrid w:linePitch="360"/>
        </w:sectPr>
      </w:pPr>
    </w:p>
    <w:p w14:paraId="6191ADD5" w14:textId="2786CD79" w:rsidR="00564AC9" w:rsidRDefault="00564AC9" w:rsidP="0032045E">
      <w:pPr>
        <w:pStyle w:val="1"/>
        <w:tabs>
          <w:tab w:val="clear" w:pos="8932"/>
        </w:tabs>
        <w:ind w:left="0"/>
      </w:pPr>
      <w:bookmarkStart w:id="1" w:name="_Toc214473718"/>
      <w:bookmarkEnd w:id="1"/>
    </w:p>
    <w:p w14:paraId="2CC6A2CA" w14:textId="6234C28A" w:rsidR="000C72C7" w:rsidRPr="00B067F4" w:rsidRDefault="000C72C7" w:rsidP="008336FD">
      <w:pPr>
        <w:pStyle w:val="2"/>
      </w:pPr>
      <w:bookmarkStart w:id="2" w:name="_Toc214473719"/>
      <w:r w:rsidRPr="008336FD">
        <w:t>ΟΙΚΟΝΟΜΙΚΕΣ</w:t>
      </w:r>
      <w:r w:rsidRPr="00B067F4">
        <w:t xml:space="preserve"> </w:t>
      </w:r>
      <w:r w:rsidRPr="00BB0E8F">
        <w:t>ΕΞΕΛΙΞΕΙΣ</w:t>
      </w:r>
      <w:r w:rsidR="00564AC9">
        <w:t xml:space="preserve"> </w:t>
      </w:r>
      <w:r w:rsidRPr="00B067F4">
        <w:t>ΚΑΙ ΠΡΟΟΠΤΙΚΕΣ</w:t>
      </w:r>
      <w:bookmarkEnd w:id="2"/>
    </w:p>
    <w:p w14:paraId="5B5FF420" w14:textId="77777777" w:rsidR="000D05B1" w:rsidRDefault="00EA594A" w:rsidP="00300BBF">
      <w:pPr>
        <w:pStyle w:val="3"/>
      </w:pPr>
      <w:bookmarkStart w:id="3" w:name="_Toc214473720"/>
      <w:bookmarkStart w:id="4" w:name="OLE_LINK1"/>
      <w:r>
        <w:t>Διεθνείς οικονομικές εξελίξεις</w:t>
      </w:r>
      <w:bookmarkEnd w:id="3"/>
    </w:p>
    <w:p w14:paraId="7AD7C99B" w14:textId="68ED93C7" w:rsidR="00E33164" w:rsidRDefault="003C22BE" w:rsidP="00E33164">
      <w:r>
        <w:t>Κατά τη διάρκεια του 2025 η</w:t>
      </w:r>
      <w:r w:rsidR="00E33164">
        <w:t xml:space="preserve"> παγκόσμια οικονομία κινείται σε ένα περιβάλλον αστάθειας, το οποίο διαμορφώνεται κυρίως από τις γεωπολιτικές εντάσεις, τις εμπορικές αντιπαραθέσεις και την κλιματική αλλαγή. Οι κυβερνήσεις καλούνται να προσαρμοστούν χρησιμοποιώντας κατάλληλο μίγμα οικονομικών πολιτικών, το οποίο θα αντιμετωπίζει τις νέες προκλήσεις και θα συμβάλλει στον περιορισμό της αβεβαιότητας και </w:t>
      </w:r>
      <w:r w:rsidR="00F1418D">
        <w:t>σ</w:t>
      </w:r>
      <w:r w:rsidR="00E33164">
        <w:t xml:space="preserve">την </w:t>
      </w:r>
      <w:r w:rsidR="00AC4E8E">
        <w:t>ενίσχυση</w:t>
      </w:r>
      <w:r w:rsidR="00E33164">
        <w:t xml:space="preserve"> της οικονομικής δραστηριότητας.</w:t>
      </w:r>
    </w:p>
    <w:p w14:paraId="435E47D4" w14:textId="485377B8" w:rsidR="00E33164" w:rsidRDefault="00E33164" w:rsidP="00E33164">
      <w:pPr>
        <w:spacing w:after="240"/>
        <w:rPr>
          <w:rFonts w:cstheme="minorHAnsi"/>
        </w:rPr>
      </w:pPr>
      <w:r>
        <w:t xml:space="preserve">Σύμφωνα με τις προβλέψεις του Διεθνούς Νομισματικού Ταμείου (ΔΝΤ) τον Οκτώβριο 2025, ο ρυθμός ανάπτυξης της παγκόσμιας οικονομίας για το τρέχον έτος εκτιμάται ότι θα παραμείνει </w:t>
      </w:r>
      <w:r w:rsidR="003C22BE">
        <w:t xml:space="preserve">σχεδόν </w:t>
      </w:r>
      <w:r>
        <w:t xml:space="preserve">αμετάβλητος σε σχέση με το προηγούμενο </w:t>
      </w:r>
      <w:r w:rsidR="00F1418D">
        <w:t xml:space="preserve">έτος </w:t>
      </w:r>
      <w:r>
        <w:t>και θα διαμορφωθεί σε 3,2% έναντι 3,3% το 2024</w:t>
      </w:r>
      <w:r w:rsidR="00AC4E8E">
        <w:t>,</w:t>
      </w:r>
      <w:r>
        <w:t xml:space="preserve"> </w:t>
      </w:r>
      <w:r w:rsidR="00F1418D">
        <w:t>ενώ</w:t>
      </w:r>
      <w:r>
        <w:t xml:space="preserve"> για το 2026 προβλέπεται </w:t>
      </w:r>
      <w:r w:rsidR="00AC4E8E">
        <w:t xml:space="preserve">να διαμορφωθεί </w:t>
      </w:r>
      <w:r>
        <w:t>σε 3</w:t>
      </w:r>
      <w:r w:rsidRPr="000D3127">
        <w:t>,1% (</w:t>
      </w:r>
      <w:r w:rsidR="009E1441" w:rsidRPr="000D3127">
        <w:fldChar w:fldCharType="begin"/>
      </w:r>
      <w:r w:rsidR="009E1441" w:rsidRPr="000D3127">
        <w:instrText xml:space="preserve"> REF _Ref213415168 \h  \* MERGEFORMAT </w:instrText>
      </w:r>
      <w:r w:rsidR="009E1441" w:rsidRPr="000D3127">
        <w:fldChar w:fldCharType="separate"/>
      </w:r>
      <w:r w:rsidR="00E15678" w:rsidRPr="00E15678">
        <w:t>Πίνακας 1.1</w:t>
      </w:r>
      <w:r w:rsidR="009E1441" w:rsidRPr="000D3127">
        <w:fldChar w:fldCharType="end"/>
      </w:r>
      <w:r w:rsidR="002D2644" w:rsidRPr="000D3127">
        <w:t>.</w:t>
      </w:r>
      <w:r w:rsidRPr="000D3127">
        <w:t xml:space="preserve">). </w:t>
      </w:r>
      <w:r w:rsidRPr="000D3127">
        <w:rPr>
          <w:rFonts w:cstheme="minorHAnsi"/>
        </w:rPr>
        <w:t>Η</w:t>
      </w:r>
      <w:r w:rsidRPr="00A46E42">
        <w:rPr>
          <w:rFonts w:cstheme="minorHAnsi"/>
        </w:rPr>
        <w:t xml:space="preserve"> πρ</w:t>
      </w:r>
      <w:r>
        <w:rPr>
          <w:rFonts w:cstheme="minorHAnsi"/>
        </w:rPr>
        <w:t xml:space="preserve">όβλεψη έχει </w:t>
      </w:r>
      <w:r w:rsidRPr="00A46E42">
        <w:rPr>
          <w:rFonts w:cstheme="minorHAnsi"/>
        </w:rPr>
        <w:t>αναθεωρηθεί προς τα πάνω κατά 0,2 ποσοστιαίες μονάδες για το 2025</w:t>
      </w:r>
      <w:r>
        <w:rPr>
          <w:rFonts w:cstheme="minorHAnsi"/>
        </w:rPr>
        <w:t xml:space="preserve">, ενώ έχει μείνει αμετάβλητη </w:t>
      </w:r>
      <w:r w:rsidRPr="00A46E42">
        <w:rPr>
          <w:rFonts w:cstheme="minorHAnsi"/>
        </w:rPr>
        <w:t xml:space="preserve">για το 2026 σε σύγκριση με </w:t>
      </w:r>
      <w:r w:rsidR="00F1418D">
        <w:rPr>
          <w:rFonts w:cstheme="minorHAnsi"/>
        </w:rPr>
        <w:t>τις αντίστοιχες</w:t>
      </w:r>
      <w:r w:rsidRPr="00A46E42">
        <w:rPr>
          <w:rFonts w:cstheme="minorHAnsi"/>
        </w:rPr>
        <w:t xml:space="preserve"> προβλέψεις του </w:t>
      </w:r>
      <w:r>
        <w:rPr>
          <w:rFonts w:cstheme="minorHAnsi"/>
        </w:rPr>
        <w:t>Ιουλίου 2025</w:t>
      </w:r>
      <w:r w:rsidRPr="00A46E42">
        <w:rPr>
          <w:rFonts w:cstheme="minorHAnsi"/>
        </w:rPr>
        <w:t>. Ο ρυθμός ανάπτυξης για την Ευρωζώνη</w:t>
      </w:r>
      <w:r>
        <w:rPr>
          <w:rFonts w:cstheme="minorHAnsi"/>
        </w:rPr>
        <w:t xml:space="preserve">, σύμφωνα με </w:t>
      </w:r>
      <w:r w:rsidR="00F1418D">
        <w:rPr>
          <w:rFonts w:cstheme="minorHAnsi"/>
        </w:rPr>
        <w:t>τις ανωτέρω προβλέψεις</w:t>
      </w:r>
      <w:r>
        <w:rPr>
          <w:rFonts w:cstheme="minorHAnsi"/>
        </w:rPr>
        <w:t>,</w:t>
      </w:r>
      <w:r w:rsidRPr="00A46E42">
        <w:rPr>
          <w:rFonts w:cstheme="minorHAnsi"/>
        </w:rPr>
        <w:t xml:space="preserve"> αναμένεται να</w:t>
      </w:r>
      <w:r>
        <w:rPr>
          <w:rFonts w:cstheme="minorHAnsi"/>
        </w:rPr>
        <w:t xml:space="preserve"> ανέλθει</w:t>
      </w:r>
      <w:r w:rsidRPr="00A46E42">
        <w:rPr>
          <w:rFonts w:cstheme="minorHAnsi"/>
        </w:rPr>
        <w:t xml:space="preserve"> σε 1,</w:t>
      </w:r>
      <w:r>
        <w:rPr>
          <w:rFonts w:cstheme="minorHAnsi"/>
        </w:rPr>
        <w:t>2</w:t>
      </w:r>
      <w:r w:rsidRPr="00A46E42">
        <w:rPr>
          <w:rFonts w:cstheme="minorHAnsi"/>
        </w:rPr>
        <w:t>% το 2025 και</w:t>
      </w:r>
      <w:r>
        <w:rPr>
          <w:rFonts w:cstheme="minorHAnsi"/>
        </w:rPr>
        <w:t xml:space="preserve"> </w:t>
      </w:r>
      <w:r w:rsidRPr="00A46E42">
        <w:rPr>
          <w:rFonts w:cstheme="minorHAnsi"/>
        </w:rPr>
        <w:t>σε 1,</w:t>
      </w:r>
      <w:r>
        <w:rPr>
          <w:rFonts w:cstheme="minorHAnsi"/>
        </w:rPr>
        <w:t>1</w:t>
      </w:r>
      <w:r w:rsidRPr="00A46E42">
        <w:rPr>
          <w:rFonts w:cstheme="minorHAnsi"/>
        </w:rPr>
        <w:t>% το 2026 έναντι 0,9% το 2024</w:t>
      </w:r>
      <w:r w:rsidRPr="002A63E2">
        <w:rPr>
          <w:rFonts w:cstheme="minorHAnsi"/>
        </w:rPr>
        <w:t>.</w:t>
      </w:r>
    </w:p>
    <w:tbl>
      <w:tblPr>
        <w:tblW w:w="7994"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ayout w:type="fixed"/>
        <w:tblCellMar>
          <w:left w:w="0" w:type="dxa"/>
          <w:right w:w="0" w:type="dxa"/>
        </w:tblCellMar>
        <w:tblLook w:val="04A0" w:firstRow="1" w:lastRow="0" w:firstColumn="1" w:lastColumn="0" w:noHBand="0" w:noVBand="1"/>
      </w:tblPr>
      <w:tblGrid>
        <w:gridCol w:w="4287"/>
        <w:gridCol w:w="1230"/>
        <w:gridCol w:w="1230"/>
        <w:gridCol w:w="1247"/>
      </w:tblGrid>
      <w:tr w:rsidR="00E33164" w:rsidRPr="003E5CF7" w14:paraId="24BAF8C3" w14:textId="77777777" w:rsidTr="00816D02">
        <w:trPr>
          <w:jc w:val="center"/>
        </w:trPr>
        <w:tc>
          <w:tcPr>
            <w:tcW w:w="7994" w:type="dxa"/>
            <w:gridSpan w:val="4"/>
            <w:tcBorders>
              <w:top w:val="single" w:sz="2" w:space="0" w:color="A6A6A6" w:themeColor="background1" w:themeShade="A6"/>
              <w:bottom w:val="single" w:sz="2" w:space="0" w:color="A6A6A6" w:themeColor="background1" w:themeShade="A6"/>
            </w:tcBorders>
            <w:shd w:val="clear" w:color="auto" w:fill="D5DCE4"/>
            <w:hideMark/>
          </w:tcPr>
          <w:p w14:paraId="36FB2A11" w14:textId="00062B10" w:rsidR="00E33164" w:rsidRPr="003E5CF7" w:rsidRDefault="00E33164" w:rsidP="00E33164">
            <w:pPr>
              <w:spacing w:after="0" w:line="276" w:lineRule="auto"/>
              <w:ind w:left="139"/>
              <w:jc w:val="center"/>
              <w:rPr>
                <w:rFonts w:cs="Arial"/>
                <w:b/>
                <w:sz w:val="18"/>
                <w:szCs w:val="18"/>
              </w:rPr>
            </w:pPr>
            <w:bookmarkStart w:id="5" w:name="_Ref213415168"/>
            <w:bookmarkStart w:id="6" w:name="_Toc214387610"/>
            <w:r w:rsidRPr="00E33164">
              <w:rPr>
                <w:b/>
                <w:sz w:val="18"/>
                <w:szCs w:val="18"/>
              </w:rPr>
              <w:t>Πίνακας 1.</w:t>
            </w:r>
            <w:r w:rsidRPr="00E33164">
              <w:rPr>
                <w:b/>
                <w:sz w:val="18"/>
                <w:szCs w:val="18"/>
              </w:rPr>
              <w:fldChar w:fldCharType="begin"/>
            </w:r>
            <w:r w:rsidRPr="00E33164">
              <w:rPr>
                <w:b/>
                <w:sz w:val="18"/>
                <w:szCs w:val="18"/>
              </w:rPr>
              <w:instrText xml:space="preserve"> SEQ Πίνακας_1. \* ARABIC </w:instrText>
            </w:r>
            <w:r w:rsidRPr="00E33164">
              <w:rPr>
                <w:b/>
                <w:sz w:val="18"/>
                <w:szCs w:val="18"/>
              </w:rPr>
              <w:fldChar w:fldCharType="separate"/>
            </w:r>
            <w:r w:rsidR="00E15678">
              <w:rPr>
                <w:b/>
                <w:noProof/>
                <w:sz w:val="18"/>
                <w:szCs w:val="18"/>
              </w:rPr>
              <w:t>1</w:t>
            </w:r>
            <w:r w:rsidRPr="00E33164">
              <w:rPr>
                <w:b/>
                <w:sz w:val="18"/>
                <w:szCs w:val="18"/>
              </w:rPr>
              <w:fldChar w:fldCharType="end"/>
            </w:r>
            <w:bookmarkEnd w:id="5"/>
            <w:r w:rsidRPr="00E33164">
              <w:rPr>
                <w:rFonts w:cs="Arial"/>
                <w:b/>
                <w:sz w:val="18"/>
                <w:szCs w:val="18"/>
              </w:rPr>
              <w:t>.: Βασικά</w:t>
            </w:r>
            <w:r w:rsidRPr="00E33164">
              <w:rPr>
                <w:rFonts w:cs="Arial"/>
                <w:b/>
                <w:szCs w:val="18"/>
              </w:rPr>
              <w:t xml:space="preserve"> </w:t>
            </w:r>
            <w:r w:rsidRPr="003E5CF7">
              <w:rPr>
                <w:rFonts w:cs="Arial"/>
                <w:b/>
                <w:sz w:val="18"/>
                <w:szCs w:val="18"/>
              </w:rPr>
              <w:t>μεγέθη της ευρωπαϊκής και της παγκόσμιας οικονομίας</w:t>
            </w:r>
            <w:bookmarkEnd w:id="6"/>
          </w:p>
          <w:p w14:paraId="5C899236" w14:textId="77777777" w:rsidR="00E33164" w:rsidRPr="003E5CF7" w:rsidRDefault="00E33164" w:rsidP="00E33164">
            <w:pPr>
              <w:snapToGrid w:val="0"/>
              <w:spacing w:after="0" w:line="276" w:lineRule="auto"/>
              <w:jc w:val="center"/>
              <w:rPr>
                <w:rFonts w:cs="Arial"/>
                <w:b/>
                <w:bCs/>
                <w:sz w:val="18"/>
                <w:szCs w:val="18"/>
              </w:rPr>
            </w:pPr>
            <w:r w:rsidRPr="003E5CF7">
              <w:rPr>
                <w:rFonts w:cs="Arial"/>
                <w:b/>
                <w:sz w:val="18"/>
                <w:szCs w:val="18"/>
              </w:rPr>
              <w:t>(% ετήσιες μεταβολές, σταθερές τιμές)</w:t>
            </w:r>
          </w:p>
        </w:tc>
      </w:tr>
      <w:tr w:rsidR="00E33164" w:rsidRPr="003E5CF7" w14:paraId="1F4543B1" w14:textId="77777777" w:rsidTr="00816D02">
        <w:trPr>
          <w:trHeight w:val="283"/>
          <w:jc w:val="center"/>
        </w:trPr>
        <w:tc>
          <w:tcPr>
            <w:tcW w:w="4287"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0" w:type="dxa"/>
              <w:left w:w="108" w:type="dxa"/>
              <w:bottom w:w="0" w:type="dxa"/>
              <w:right w:w="108" w:type="dxa"/>
            </w:tcMar>
          </w:tcPr>
          <w:p w14:paraId="33E60DD5" w14:textId="77777777" w:rsidR="00E33164" w:rsidRPr="003E5CF7" w:rsidRDefault="00E33164" w:rsidP="00E33164">
            <w:pPr>
              <w:snapToGrid w:val="0"/>
              <w:spacing w:after="0" w:line="276" w:lineRule="auto"/>
              <w:jc w:val="center"/>
              <w:rPr>
                <w:rFonts w:cs="Arial"/>
                <w:b/>
                <w:bCs/>
                <w:sz w:val="18"/>
                <w:szCs w:val="18"/>
              </w:rPr>
            </w:pPr>
          </w:p>
        </w:tc>
        <w:tc>
          <w:tcPr>
            <w:tcW w:w="123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0" w:type="dxa"/>
              <w:left w:w="108" w:type="dxa"/>
              <w:bottom w:w="0" w:type="dxa"/>
              <w:right w:w="108" w:type="dxa"/>
            </w:tcMar>
            <w:hideMark/>
          </w:tcPr>
          <w:p w14:paraId="1BAD78AD" w14:textId="77777777" w:rsidR="00E33164" w:rsidRPr="003E5CF7" w:rsidRDefault="00E33164" w:rsidP="00E33164">
            <w:pPr>
              <w:snapToGrid w:val="0"/>
              <w:spacing w:after="0" w:line="276" w:lineRule="auto"/>
              <w:jc w:val="center"/>
              <w:rPr>
                <w:rFonts w:cs="Arial"/>
                <w:b/>
                <w:sz w:val="18"/>
                <w:szCs w:val="18"/>
                <w:lang w:val="en-US"/>
              </w:rPr>
            </w:pPr>
            <w:r>
              <w:rPr>
                <w:rFonts w:cs="Arial"/>
                <w:b/>
                <w:sz w:val="18"/>
                <w:szCs w:val="18"/>
              </w:rPr>
              <w:t>2024</w:t>
            </w:r>
          </w:p>
        </w:tc>
        <w:tc>
          <w:tcPr>
            <w:tcW w:w="1230"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0" w:type="dxa"/>
              <w:left w:w="108" w:type="dxa"/>
              <w:bottom w:w="0" w:type="dxa"/>
              <w:right w:w="108" w:type="dxa"/>
            </w:tcMar>
            <w:hideMark/>
          </w:tcPr>
          <w:p w14:paraId="68FB4595" w14:textId="77777777" w:rsidR="00E33164" w:rsidRPr="003E5CF7" w:rsidRDefault="00E33164" w:rsidP="00E33164">
            <w:pPr>
              <w:snapToGrid w:val="0"/>
              <w:spacing w:after="0" w:line="276" w:lineRule="auto"/>
              <w:jc w:val="center"/>
              <w:rPr>
                <w:rFonts w:cs="Arial"/>
                <w:b/>
                <w:sz w:val="18"/>
                <w:szCs w:val="18"/>
                <w:lang w:val="en-US"/>
              </w:rPr>
            </w:pPr>
            <w:r>
              <w:rPr>
                <w:rFonts w:cs="Arial"/>
                <w:b/>
                <w:sz w:val="18"/>
                <w:szCs w:val="18"/>
              </w:rPr>
              <w:t>2025</w:t>
            </w:r>
            <w:r w:rsidRPr="003E5CF7">
              <w:rPr>
                <w:rFonts w:cs="Arial"/>
                <w:b/>
                <w:sz w:val="18"/>
                <w:szCs w:val="18"/>
              </w:rPr>
              <w:t>*</w:t>
            </w:r>
          </w:p>
        </w:tc>
        <w:tc>
          <w:tcPr>
            <w:tcW w:w="1247" w:type="dxa"/>
            <w:tcBorders>
              <w:top w:val="single" w:sz="2" w:space="0" w:color="A6A6A6" w:themeColor="background1" w:themeShade="A6"/>
              <w:bottom w:val="single" w:sz="2" w:space="0" w:color="A6A6A6" w:themeColor="background1" w:themeShade="A6"/>
            </w:tcBorders>
            <w:shd w:val="clear" w:color="auto" w:fill="F2F2F2" w:themeFill="background1" w:themeFillShade="F2"/>
            <w:tcMar>
              <w:top w:w="0" w:type="dxa"/>
              <w:left w:w="108" w:type="dxa"/>
              <w:bottom w:w="0" w:type="dxa"/>
              <w:right w:w="108" w:type="dxa"/>
            </w:tcMar>
            <w:hideMark/>
          </w:tcPr>
          <w:p w14:paraId="0AA962F0" w14:textId="77777777" w:rsidR="00E33164" w:rsidRPr="003E5CF7" w:rsidRDefault="00E33164" w:rsidP="00E33164">
            <w:pPr>
              <w:snapToGrid w:val="0"/>
              <w:spacing w:after="0" w:line="276" w:lineRule="auto"/>
              <w:jc w:val="center"/>
              <w:rPr>
                <w:rFonts w:cs="Arial"/>
                <w:b/>
                <w:sz w:val="18"/>
                <w:szCs w:val="18"/>
                <w:lang w:val="en-US"/>
              </w:rPr>
            </w:pPr>
            <w:r>
              <w:rPr>
                <w:rFonts w:cs="Arial"/>
                <w:b/>
                <w:sz w:val="18"/>
                <w:szCs w:val="18"/>
              </w:rPr>
              <w:t>2026</w:t>
            </w:r>
            <w:r w:rsidRPr="003E5CF7">
              <w:rPr>
                <w:rFonts w:cs="Arial"/>
                <w:b/>
                <w:sz w:val="18"/>
                <w:szCs w:val="18"/>
              </w:rPr>
              <w:t>*</w:t>
            </w:r>
          </w:p>
        </w:tc>
      </w:tr>
      <w:tr w:rsidR="00E33164" w:rsidRPr="003E5CF7" w14:paraId="5746D88C" w14:textId="77777777" w:rsidTr="00C50984">
        <w:trPr>
          <w:trHeight w:val="283"/>
          <w:jc w:val="center"/>
        </w:trPr>
        <w:tc>
          <w:tcPr>
            <w:tcW w:w="4287" w:type="dxa"/>
            <w:tcBorders>
              <w:top w:val="single" w:sz="2" w:space="0" w:color="A6A6A6" w:themeColor="background1" w:themeShade="A6"/>
            </w:tcBorders>
            <w:shd w:val="clear" w:color="auto" w:fill="FFFFFF"/>
            <w:tcMar>
              <w:top w:w="0" w:type="dxa"/>
              <w:left w:w="108" w:type="dxa"/>
              <w:bottom w:w="0" w:type="dxa"/>
              <w:right w:w="108" w:type="dxa"/>
            </w:tcMar>
            <w:vAlign w:val="center"/>
            <w:hideMark/>
          </w:tcPr>
          <w:p w14:paraId="3F42A11C" w14:textId="77777777" w:rsidR="00E33164" w:rsidRPr="003E5CF7" w:rsidRDefault="00E33164" w:rsidP="00AC4E8E">
            <w:pPr>
              <w:snapToGrid w:val="0"/>
              <w:spacing w:after="0" w:line="276" w:lineRule="auto"/>
              <w:jc w:val="left"/>
              <w:rPr>
                <w:rFonts w:cs="Arial"/>
                <w:bCs/>
                <w:sz w:val="16"/>
                <w:szCs w:val="16"/>
              </w:rPr>
            </w:pPr>
            <w:r w:rsidRPr="003E5CF7">
              <w:rPr>
                <w:rFonts w:cs="Arial"/>
                <w:bCs/>
                <w:sz w:val="16"/>
                <w:szCs w:val="16"/>
              </w:rPr>
              <w:t>Παγκόσμιο ΑΕΠ</w:t>
            </w:r>
          </w:p>
        </w:tc>
        <w:tc>
          <w:tcPr>
            <w:tcW w:w="1230" w:type="dxa"/>
            <w:tcBorders>
              <w:top w:val="single" w:sz="2" w:space="0" w:color="A6A6A6" w:themeColor="background1" w:themeShade="A6"/>
            </w:tcBorders>
            <w:shd w:val="clear" w:color="auto" w:fill="FFFFFF"/>
            <w:tcMar>
              <w:top w:w="0" w:type="dxa"/>
              <w:left w:w="108" w:type="dxa"/>
              <w:bottom w:w="0" w:type="dxa"/>
              <w:right w:w="108" w:type="dxa"/>
            </w:tcMar>
            <w:vAlign w:val="center"/>
            <w:hideMark/>
          </w:tcPr>
          <w:p w14:paraId="7A2B97C5" w14:textId="77777777" w:rsidR="00E33164" w:rsidRPr="00A46E42" w:rsidRDefault="00E33164" w:rsidP="00E33164">
            <w:pPr>
              <w:snapToGrid w:val="0"/>
              <w:spacing w:after="0" w:line="276" w:lineRule="auto"/>
              <w:jc w:val="right"/>
              <w:rPr>
                <w:rFonts w:cs="Arial"/>
                <w:sz w:val="16"/>
                <w:szCs w:val="16"/>
              </w:rPr>
            </w:pPr>
            <w:r w:rsidRPr="00A46E42">
              <w:rPr>
                <w:rFonts w:cs="Arial"/>
                <w:sz w:val="16"/>
                <w:szCs w:val="16"/>
                <w:lang w:val="en-US"/>
              </w:rPr>
              <w:t>3</w:t>
            </w:r>
            <w:r w:rsidRPr="00A46E42">
              <w:rPr>
                <w:rFonts w:cs="Arial"/>
                <w:sz w:val="16"/>
                <w:szCs w:val="16"/>
              </w:rPr>
              <w:t>,3</w:t>
            </w:r>
          </w:p>
        </w:tc>
        <w:tc>
          <w:tcPr>
            <w:tcW w:w="1230" w:type="dxa"/>
            <w:tcBorders>
              <w:top w:val="single" w:sz="2" w:space="0" w:color="A6A6A6" w:themeColor="background1" w:themeShade="A6"/>
            </w:tcBorders>
            <w:shd w:val="clear" w:color="auto" w:fill="FFFFFF"/>
            <w:tcMar>
              <w:top w:w="0" w:type="dxa"/>
              <w:left w:w="108" w:type="dxa"/>
              <w:bottom w:w="0" w:type="dxa"/>
              <w:right w:w="108" w:type="dxa"/>
            </w:tcMar>
            <w:vAlign w:val="center"/>
            <w:hideMark/>
          </w:tcPr>
          <w:p w14:paraId="756A5048" w14:textId="77777777" w:rsidR="00E33164" w:rsidRPr="00A46E42" w:rsidRDefault="00E33164" w:rsidP="00E33164">
            <w:pPr>
              <w:snapToGrid w:val="0"/>
              <w:spacing w:after="0" w:line="276" w:lineRule="auto"/>
              <w:jc w:val="right"/>
              <w:rPr>
                <w:rFonts w:cs="Arial"/>
                <w:sz w:val="16"/>
                <w:szCs w:val="16"/>
              </w:rPr>
            </w:pPr>
            <w:r w:rsidRPr="00A46E42">
              <w:rPr>
                <w:rFonts w:cs="Arial"/>
                <w:sz w:val="16"/>
                <w:szCs w:val="16"/>
                <w:lang w:val="en-US"/>
              </w:rPr>
              <w:t>3,</w:t>
            </w:r>
            <w:r>
              <w:rPr>
                <w:rFonts w:cs="Arial"/>
                <w:sz w:val="16"/>
                <w:szCs w:val="16"/>
              </w:rPr>
              <w:t>2</w:t>
            </w:r>
          </w:p>
        </w:tc>
        <w:tc>
          <w:tcPr>
            <w:tcW w:w="1247" w:type="dxa"/>
            <w:tcBorders>
              <w:top w:val="single" w:sz="2" w:space="0" w:color="A6A6A6" w:themeColor="background1" w:themeShade="A6"/>
            </w:tcBorders>
            <w:shd w:val="clear" w:color="auto" w:fill="FFFFFF"/>
            <w:tcMar>
              <w:top w:w="0" w:type="dxa"/>
              <w:left w:w="108" w:type="dxa"/>
              <w:bottom w:w="0" w:type="dxa"/>
              <w:right w:w="108" w:type="dxa"/>
            </w:tcMar>
            <w:vAlign w:val="center"/>
            <w:hideMark/>
          </w:tcPr>
          <w:p w14:paraId="0A96D3C5" w14:textId="77777777" w:rsidR="00E33164" w:rsidRPr="00A46E42" w:rsidRDefault="00E33164" w:rsidP="00E33164">
            <w:pPr>
              <w:snapToGrid w:val="0"/>
              <w:spacing w:after="0" w:line="276" w:lineRule="auto"/>
              <w:jc w:val="right"/>
              <w:rPr>
                <w:rFonts w:cs="Arial"/>
                <w:sz w:val="16"/>
                <w:szCs w:val="16"/>
              </w:rPr>
            </w:pPr>
            <w:r w:rsidRPr="00A46E42">
              <w:rPr>
                <w:rFonts w:cs="Arial"/>
                <w:sz w:val="16"/>
                <w:szCs w:val="16"/>
              </w:rPr>
              <w:t>3,1</w:t>
            </w:r>
          </w:p>
        </w:tc>
      </w:tr>
      <w:tr w:rsidR="00E33164" w:rsidRPr="00FA4C8A" w14:paraId="0109508C" w14:textId="77777777" w:rsidTr="00C50984">
        <w:trPr>
          <w:trHeight w:val="283"/>
          <w:jc w:val="center"/>
        </w:trPr>
        <w:tc>
          <w:tcPr>
            <w:tcW w:w="4287" w:type="dxa"/>
            <w:shd w:val="clear" w:color="auto" w:fill="FFFFFF"/>
            <w:tcMar>
              <w:top w:w="0" w:type="dxa"/>
              <w:left w:w="108" w:type="dxa"/>
              <w:bottom w:w="0" w:type="dxa"/>
              <w:right w:w="108" w:type="dxa"/>
            </w:tcMar>
            <w:vAlign w:val="center"/>
            <w:hideMark/>
          </w:tcPr>
          <w:p w14:paraId="53EE649A" w14:textId="77777777" w:rsidR="00E33164" w:rsidRPr="00FA4C8A" w:rsidRDefault="00E33164" w:rsidP="00AC4E8E">
            <w:pPr>
              <w:snapToGrid w:val="0"/>
              <w:spacing w:after="0" w:line="276" w:lineRule="auto"/>
              <w:jc w:val="left"/>
              <w:rPr>
                <w:rFonts w:cs="Arial"/>
                <w:bCs/>
                <w:sz w:val="16"/>
                <w:szCs w:val="16"/>
                <w:lang w:val="en-US"/>
              </w:rPr>
            </w:pPr>
            <w:r w:rsidRPr="00FA4C8A">
              <w:rPr>
                <w:rFonts w:cs="Arial"/>
                <w:bCs/>
                <w:sz w:val="16"/>
                <w:szCs w:val="16"/>
              </w:rPr>
              <w:t>ΑΕΠ ΕΕ**</w:t>
            </w:r>
          </w:p>
        </w:tc>
        <w:tc>
          <w:tcPr>
            <w:tcW w:w="1230" w:type="dxa"/>
            <w:shd w:val="clear" w:color="auto" w:fill="FFFFFF"/>
            <w:tcMar>
              <w:top w:w="0" w:type="dxa"/>
              <w:left w:w="108" w:type="dxa"/>
              <w:bottom w:w="0" w:type="dxa"/>
              <w:right w:w="108" w:type="dxa"/>
            </w:tcMar>
            <w:vAlign w:val="center"/>
            <w:hideMark/>
          </w:tcPr>
          <w:p w14:paraId="7B963771" w14:textId="2047A34D" w:rsidR="00E33164" w:rsidRPr="00FA4C8A" w:rsidRDefault="00E33164" w:rsidP="00E33164">
            <w:pPr>
              <w:snapToGrid w:val="0"/>
              <w:spacing w:after="0" w:line="276" w:lineRule="auto"/>
              <w:jc w:val="right"/>
              <w:rPr>
                <w:rFonts w:cs="Arial"/>
                <w:sz w:val="16"/>
                <w:szCs w:val="16"/>
              </w:rPr>
            </w:pPr>
            <w:r w:rsidRPr="00FA4C8A">
              <w:rPr>
                <w:rFonts w:cs="Arial"/>
                <w:sz w:val="16"/>
                <w:szCs w:val="16"/>
              </w:rPr>
              <w:t>1,</w:t>
            </w:r>
            <w:r w:rsidR="003C22BE">
              <w:rPr>
                <w:rFonts w:cs="Arial"/>
                <w:sz w:val="16"/>
                <w:szCs w:val="16"/>
              </w:rPr>
              <w:t>1</w:t>
            </w:r>
          </w:p>
        </w:tc>
        <w:tc>
          <w:tcPr>
            <w:tcW w:w="1230" w:type="dxa"/>
            <w:shd w:val="clear" w:color="auto" w:fill="FFFFFF"/>
            <w:tcMar>
              <w:top w:w="0" w:type="dxa"/>
              <w:left w:w="108" w:type="dxa"/>
              <w:bottom w:w="0" w:type="dxa"/>
              <w:right w:w="108" w:type="dxa"/>
            </w:tcMar>
            <w:vAlign w:val="center"/>
            <w:hideMark/>
          </w:tcPr>
          <w:p w14:paraId="4CD9DF8A" w14:textId="662B3EF4" w:rsidR="00E33164" w:rsidRPr="003C22BE" w:rsidRDefault="00E33164" w:rsidP="00E33164">
            <w:pPr>
              <w:snapToGrid w:val="0"/>
              <w:spacing w:after="0" w:line="276" w:lineRule="auto"/>
              <w:jc w:val="right"/>
              <w:rPr>
                <w:rFonts w:cs="Arial"/>
                <w:sz w:val="16"/>
                <w:szCs w:val="16"/>
              </w:rPr>
            </w:pPr>
            <w:r w:rsidRPr="00FA4C8A">
              <w:rPr>
                <w:rFonts w:cs="Arial"/>
                <w:sz w:val="16"/>
                <w:szCs w:val="16"/>
              </w:rPr>
              <w:t>1</w:t>
            </w:r>
            <w:r w:rsidRPr="00FA4C8A">
              <w:rPr>
                <w:rFonts w:cs="Arial"/>
                <w:sz w:val="16"/>
                <w:szCs w:val="16"/>
                <w:lang w:val="en-US"/>
              </w:rPr>
              <w:t>,</w:t>
            </w:r>
            <w:r w:rsidR="003C22BE">
              <w:rPr>
                <w:rFonts w:cs="Arial"/>
                <w:sz w:val="16"/>
                <w:szCs w:val="16"/>
              </w:rPr>
              <w:t>4</w:t>
            </w:r>
          </w:p>
        </w:tc>
        <w:tc>
          <w:tcPr>
            <w:tcW w:w="1247" w:type="dxa"/>
            <w:shd w:val="clear" w:color="auto" w:fill="FFFFFF"/>
            <w:tcMar>
              <w:top w:w="0" w:type="dxa"/>
              <w:left w:w="108" w:type="dxa"/>
              <w:bottom w:w="0" w:type="dxa"/>
              <w:right w:w="108" w:type="dxa"/>
            </w:tcMar>
            <w:vAlign w:val="center"/>
            <w:hideMark/>
          </w:tcPr>
          <w:p w14:paraId="5D6183C7" w14:textId="3C2606B7" w:rsidR="00E33164" w:rsidRPr="00FA4C8A" w:rsidRDefault="00E33164" w:rsidP="00E33164">
            <w:pPr>
              <w:snapToGrid w:val="0"/>
              <w:spacing w:after="0" w:line="276" w:lineRule="auto"/>
              <w:jc w:val="right"/>
              <w:rPr>
                <w:rFonts w:cs="Arial"/>
                <w:sz w:val="16"/>
                <w:szCs w:val="16"/>
              </w:rPr>
            </w:pPr>
            <w:r w:rsidRPr="00FA4C8A">
              <w:rPr>
                <w:rFonts w:cs="Arial"/>
                <w:sz w:val="16"/>
                <w:szCs w:val="16"/>
                <w:lang w:val="en-US"/>
              </w:rPr>
              <w:t>1,</w:t>
            </w:r>
            <w:r w:rsidR="003C22BE">
              <w:rPr>
                <w:rFonts w:cs="Arial"/>
                <w:sz w:val="16"/>
                <w:szCs w:val="16"/>
              </w:rPr>
              <w:t>4</w:t>
            </w:r>
          </w:p>
        </w:tc>
      </w:tr>
      <w:tr w:rsidR="00E33164" w:rsidRPr="00FA4C8A" w14:paraId="6AEE2501" w14:textId="77777777" w:rsidTr="00C50984">
        <w:trPr>
          <w:trHeight w:val="283"/>
          <w:jc w:val="center"/>
        </w:trPr>
        <w:tc>
          <w:tcPr>
            <w:tcW w:w="4287" w:type="dxa"/>
            <w:shd w:val="clear" w:color="auto" w:fill="FFFFFF"/>
            <w:tcMar>
              <w:top w:w="0" w:type="dxa"/>
              <w:left w:w="108" w:type="dxa"/>
              <w:bottom w:w="0" w:type="dxa"/>
              <w:right w:w="108" w:type="dxa"/>
            </w:tcMar>
            <w:vAlign w:val="center"/>
            <w:hideMark/>
          </w:tcPr>
          <w:p w14:paraId="5D63C9DF" w14:textId="77777777" w:rsidR="00E33164" w:rsidRPr="00FA4C8A" w:rsidRDefault="00E33164" w:rsidP="00AC4E8E">
            <w:pPr>
              <w:snapToGrid w:val="0"/>
              <w:spacing w:after="0" w:line="276" w:lineRule="auto"/>
              <w:jc w:val="left"/>
              <w:rPr>
                <w:rFonts w:cs="Arial"/>
                <w:bCs/>
                <w:sz w:val="16"/>
                <w:szCs w:val="16"/>
                <w:lang w:val="en-US"/>
              </w:rPr>
            </w:pPr>
            <w:r w:rsidRPr="00FA4C8A">
              <w:rPr>
                <w:rFonts w:cs="Arial"/>
                <w:bCs/>
                <w:sz w:val="16"/>
                <w:szCs w:val="16"/>
              </w:rPr>
              <w:t>ΑΕΠ Ευρωζώνης**</w:t>
            </w:r>
          </w:p>
        </w:tc>
        <w:tc>
          <w:tcPr>
            <w:tcW w:w="1230" w:type="dxa"/>
            <w:shd w:val="clear" w:color="auto" w:fill="FFFFFF"/>
            <w:tcMar>
              <w:top w:w="0" w:type="dxa"/>
              <w:left w:w="108" w:type="dxa"/>
              <w:bottom w:w="0" w:type="dxa"/>
              <w:right w:w="108" w:type="dxa"/>
            </w:tcMar>
            <w:vAlign w:val="center"/>
            <w:hideMark/>
          </w:tcPr>
          <w:p w14:paraId="584466FF"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lang w:val="en-US"/>
              </w:rPr>
              <w:t>0,</w:t>
            </w:r>
            <w:r w:rsidRPr="00FA4C8A">
              <w:rPr>
                <w:rFonts w:cs="Arial"/>
                <w:sz w:val="16"/>
                <w:szCs w:val="16"/>
              </w:rPr>
              <w:t>9</w:t>
            </w:r>
          </w:p>
        </w:tc>
        <w:tc>
          <w:tcPr>
            <w:tcW w:w="1230" w:type="dxa"/>
            <w:shd w:val="clear" w:color="auto" w:fill="FFFFFF"/>
            <w:tcMar>
              <w:top w:w="0" w:type="dxa"/>
              <w:left w:w="108" w:type="dxa"/>
              <w:bottom w:w="0" w:type="dxa"/>
              <w:right w:w="108" w:type="dxa"/>
            </w:tcMar>
            <w:vAlign w:val="center"/>
            <w:hideMark/>
          </w:tcPr>
          <w:p w14:paraId="53303B06" w14:textId="522112C0" w:rsidR="00E33164" w:rsidRPr="003C22BE" w:rsidRDefault="003C22BE" w:rsidP="00E33164">
            <w:pPr>
              <w:snapToGrid w:val="0"/>
              <w:spacing w:after="0" w:line="276" w:lineRule="auto"/>
              <w:jc w:val="right"/>
              <w:rPr>
                <w:rFonts w:cs="Arial"/>
                <w:sz w:val="16"/>
                <w:szCs w:val="16"/>
              </w:rPr>
            </w:pPr>
            <w:r>
              <w:rPr>
                <w:rFonts w:cs="Arial"/>
                <w:sz w:val="16"/>
                <w:szCs w:val="16"/>
              </w:rPr>
              <w:t>1</w:t>
            </w:r>
            <w:r w:rsidR="00E33164" w:rsidRPr="00FA4C8A">
              <w:rPr>
                <w:rFonts w:cs="Arial"/>
                <w:sz w:val="16"/>
                <w:szCs w:val="16"/>
                <w:lang w:val="en-US"/>
              </w:rPr>
              <w:t>,</w:t>
            </w:r>
            <w:r>
              <w:rPr>
                <w:rFonts w:cs="Arial"/>
                <w:sz w:val="16"/>
                <w:szCs w:val="16"/>
              </w:rPr>
              <w:t>3</w:t>
            </w:r>
          </w:p>
        </w:tc>
        <w:tc>
          <w:tcPr>
            <w:tcW w:w="1247" w:type="dxa"/>
            <w:shd w:val="clear" w:color="auto" w:fill="FFFFFF"/>
            <w:tcMar>
              <w:top w:w="0" w:type="dxa"/>
              <w:left w:w="108" w:type="dxa"/>
              <w:bottom w:w="0" w:type="dxa"/>
              <w:right w:w="108" w:type="dxa"/>
            </w:tcMar>
            <w:vAlign w:val="center"/>
            <w:hideMark/>
          </w:tcPr>
          <w:p w14:paraId="7C552EB7" w14:textId="7A935DBB" w:rsidR="00E33164" w:rsidRPr="003C22BE" w:rsidRDefault="00E33164" w:rsidP="00E33164">
            <w:pPr>
              <w:snapToGrid w:val="0"/>
              <w:spacing w:after="0" w:line="276" w:lineRule="auto"/>
              <w:jc w:val="right"/>
              <w:rPr>
                <w:rFonts w:cs="Arial"/>
                <w:sz w:val="16"/>
                <w:szCs w:val="16"/>
              </w:rPr>
            </w:pPr>
            <w:r w:rsidRPr="00FA4C8A">
              <w:rPr>
                <w:rFonts w:cs="Arial"/>
                <w:sz w:val="16"/>
                <w:szCs w:val="16"/>
                <w:lang w:val="en-US"/>
              </w:rPr>
              <w:t>1,</w:t>
            </w:r>
            <w:r w:rsidR="003C22BE">
              <w:rPr>
                <w:rFonts w:cs="Arial"/>
                <w:sz w:val="16"/>
                <w:szCs w:val="16"/>
              </w:rPr>
              <w:t>2</w:t>
            </w:r>
          </w:p>
        </w:tc>
      </w:tr>
      <w:tr w:rsidR="00E33164" w:rsidRPr="00FA4C8A" w14:paraId="142CAE0F" w14:textId="77777777" w:rsidTr="00C50984">
        <w:trPr>
          <w:trHeight w:val="283"/>
          <w:jc w:val="center"/>
        </w:trPr>
        <w:tc>
          <w:tcPr>
            <w:tcW w:w="4287" w:type="dxa"/>
            <w:shd w:val="clear" w:color="auto" w:fill="FFFFFF"/>
            <w:tcMar>
              <w:top w:w="0" w:type="dxa"/>
              <w:left w:w="108" w:type="dxa"/>
              <w:bottom w:w="0" w:type="dxa"/>
              <w:right w:w="108" w:type="dxa"/>
            </w:tcMar>
            <w:vAlign w:val="center"/>
            <w:hideMark/>
          </w:tcPr>
          <w:p w14:paraId="4D0E8163" w14:textId="77777777" w:rsidR="00E33164" w:rsidRPr="00FA4C8A" w:rsidRDefault="00E33164" w:rsidP="00AC4E8E">
            <w:pPr>
              <w:snapToGrid w:val="0"/>
              <w:spacing w:after="0" w:line="276" w:lineRule="auto"/>
              <w:jc w:val="left"/>
              <w:rPr>
                <w:rFonts w:cs="Arial"/>
                <w:bCs/>
                <w:sz w:val="16"/>
                <w:szCs w:val="16"/>
              </w:rPr>
            </w:pPr>
            <w:r w:rsidRPr="00FA4C8A">
              <w:rPr>
                <w:rFonts w:cs="Arial"/>
                <w:bCs/>
                <w:sz w:val="16"/>
                <w:szCs w:val="16"/>
              </w:rPr>
              <w:t>ΑΕΠ ΗΠΑ</w:t>
            </w:r>
          </w:p>
        </w:tc>
        <w:tc>
          <w:tcPr>
            <w:tcW w:w="1230" w:type="dxa"/>
            <w:shd w:val="clear" w:color="auto" w:fill="FFFFFF"/>
            <w:tcMar>
              <w:top w:w="0" w:type="dxa"/>
              <w:left w:w="108" w:type="dxa"/>
              <w:bottom w:w="0" w:type="dxa"/>
              <w:right w:w="108" w:type="dxa"/>
            </w:tcMar>
            <w:vAlign w:val="center"/>
            <w:hideMark/>
          </w:tcPr>
          <w:p w14:paraId="40868DB4"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2,8</w:t>
            </w:r>
          </w:p>
        </w:tc>
        <w:tc>
          <w:tcPr>
            <w:tcW w:w="1230" w:type="dxa"/>
            <w:shd w:val="clear" w:color="auto" w:fill="FFFFFF"/>
            <w:tcMar>
              <w:top w:w="0" w:type="dxa"/>
              <w:left w:w="108" w:type="dxa"/>
              <w:bottom w:w="0" w:type="dxa"/>
              <w:right w:w="108" w:type="dxa"/>
            </w:tcMar>
            <w:vAlign w:val="center"/>
            <w:hideMark/>
          </w:tcPr>
          <w:p w14:paraId="04F70AF6"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2,0</w:t>
            </w:r>
          </w:p>
        </w:tc>
        <w:tc>
          <w:tcPr>
            <w:tcW w:w="1247" w:type="dxa"/>
            <w:shd w:val="clear" w:color="auto" w:fill="FFFFFF"/>
            <w:tcMar>
              <w:top w:w="0" w:type="dxa"/>
              <w:left w:w="108" w:type="dxa"/>
              <w:bottom w:w="0" w:type="dxa"/>
              <w:right w:w="108" w:type="dxa"/>
            </w:tcMar>
            <w:vAlign w:val="center"/>
            <w:hideMark/>
          </w:tcPr>
          <w:p w14:paraId="146C274F"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w:t>
            </w:r>
            <w:r w:rsidRPr="00FA4C8A">
              <w:rPr>
                <w:rFonts w:cs="Arial"/>
                <w:sz w:val="16"/>
                <w:szCs w:val="16"/>
                <w:lang w:val="en-US"/>
              </w:rPr>
              <w:t>,</w:t>
            </w:r>
            <w:r w:rsidRPr="00FA4C8A">
              <w:rPr>
                <w:rFonts w:cs="Arial"/>
                <w:sz w:val="16"/>
                <w:szCs w:val="16"/>
              </w:rPr>
              <w:t>1</w:t>
            </w:r>
          </w:p>
        </w:tc>
      </w:tr>
      <w:tr w:rsidR="00E33164" w:rsidRPr="00FA4C8A" w14:paraId="136FE78E" w14:textId="77777777" w:rsidTr="00C50984">
        <w:trPr>
          <w:trHeight w:val="283"/>
          <w:jc w:val="center"/>
        </w:trPr>
        <w:tc>
          <w:tcPr>
            <w:tcW w:w="4287" w:type="dxa"/>
            <w:shd w:val="clear" w:color="auto" w:fill="FFFFFF"/>
            <w:tcMar>
              <w:top w:w="0" w:type="dxa"/>
              <w:left w:w="108" w:type="dxa"/>
              <w:bottom w:w="0" w:type="dxa"/>
              <w:right w:w="108" w:type="dxa"/>
            </w:tcMar>
            <w:vAlign w:val="center"/>
            <w:hideMark/>
          </w:tcPr>
          <w:p w14:paraId="111E3D4F" w14:textId="77777777" w:rsidR="00E33164" w:rsidRPr="00FA4C8A" w:rsidRDefault="00E33164" w:rsidP="00AC4E8E">
            <w:pPr>
              <w:snapToGrid w:val="0"/>
              <w:spacing w:after="0" w:line="276" w:lineRule="auto"/>
              <w:jc w:val="left"/>
              <w:rPr>
                <w:rFonts w:cs="Arial"/>
                <w:bCs/>
                <w:sz w:val="16"/>
                <w:szCs w:val="16"/>
              </w:rPr>
            </w:pPr>
            <w:r w:rsidRPr="00FA4C8A">
              <w:rPr>
                <w:rFonts w:cs="Arial"/>
                <w:bCs/>
                <w:sz w:val="16"/>
                <w:szCs w:val="16"/>
              </w:rPr>
              <w:t>Όγκος παγκόσμιου εμπορίου (αγαθά και υπηρεσίες)</w:t>
            </w:r>
          </w:p>
        </w:tc>
        <w:tc>
          <w:tcPr>
            <w:tcW w:w="1230" w:type="dxa"/>
            <w:shd w:val="clear" w:color="auto" w:fill="FFFFFF"/>
            <w:tcMar>
              <w:top w:w="0" w:type="dxa"/>
              <w:left w:w="108" w:type="dxa"/>
              <w:bottom w:w="0" w:type="dxa"/>
              <w:right w:w="108" w:type="dxa"/>
            </w:tcMar>
            <w:vAlign w:val="center"/>
            <w:hideMark/>
          </w:tcPr>
          <w:p w14:paraId="5022BA98"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3,5</w:t>
            </w:r>
          </w:p>
        </w:tc>
        <w:tc>
          <w:tcPr>
            <w:tcW w:w="1230" w:type="dxa"/>
            <w:shd w:val="clear" w:color="auto" w:fill="FFFFFF"/>
            <w:tcMar>
              <w:top w:w="0" w:type="dxa"/>
              <w:left w:w="108" w:type="dxa"/>
              <w:bottom w:w="0" w:type="dxa"/>
              <w:right w:w="108" w:type="dxa"/>
            </w:tcMar>
            <w:vAlign w:val="center"/>
            <w:hideMark/>
          </w:tcPr>
          <w:p w14:paraId="5F5D2A37"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3,6</w:t>
            </w:r>
          </w:p>
        </w:tc>
        <w:tc>
          <w:tcPr>
            <w:tcW w:w="1247" w:type="dxa"/>
            <w:shd w:val="clear" w:color="auto" w:fill="FFFFFF"/>
            <w:tcMar>
              <w:top w:w="0" w:type="dxa"/>
              <w:left w:w="108" w:type="dxa"/>
              <w:bottom w:w="0" w:type="dxa"/>
              <w:right w:w="108" w:type="dxa"/>
            </w:tcMar>
            <w:vAlign w:val="center"/>
            <w:hideMark/>
          </w:tcPr>
          <w:p w14:paraId="14296762"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2,3</w:t>
            </w:r>
          </w:p>
        </w:tc>
      </w:tr>
      <w:tr w:rsidR="00E33164" w:rsidRPr="00FA4C8A" w14:paraId="449D49B6" w14:textId="77777777" w:rsidTr="00C50984">
        <w:trPr>
          <w:trHeight w:val="283"/>
          <w:jc w:val="center"/>
        </w:trPr>
        <w:tc>
          <w:tcPr>
            <w:tcW w:w="4287" w:type="dxa"/>
            <w:shd w:val="clear" w:color="auto" w:fill="FFFFFF"/>
            <w:tcMar>
              <w:top w:w="0" w:type="dxa"/>
              <w:left w:w="108" w:type="dxa"/>
              <w:bottom w:w="0" w:type="dxa"/>
              <w:right w:w="108" w:type="dxa"/>
            </w:tcMar>
            <w:vAlign w:val="center"/>
            <w:hideMark/>
          </w:tcPr>
          <w:p w14:paraId="4712FAF7" w14:textId="77777777" w:rsidR="00E33164" w:rsidRPr="00FA4C8A" w:rsidRDefault="00E33164" w:rsidP="00AC4E8E">
            <w:pPr>
              <w:snapToGrid w:val="0"/>
              <w:spacing w:after="0" w:line="276" w:lineRule="auto"/>
              <w:jc w:val="left"/>
              <w:rPr>
                <w:rFonts w:cs="Arial"/>
                <w:bCs/>
                <w:sz w:val="16"/>
                <w:szCs w:val="16"/>
              </w:rPr>
            </w:pPr>
            <w:r w:rsidRPr="00FA4C8A">
              <w:rPr>
                <w:rFonts w:cs="Arial"/>
                <w:bCs/>
                <w:sz w:val="16"/>
                <w:szCs w:val="16"/>
              </w:rPr>
              <w:t>Πληθωρισμός</w:t>
            </w:r>
          </w:p>
        </w:tc>
        <w:tc>
          <w:tcPr>
            <w:tcW w:w="1230" w:type="dxa"/>
            <w:shd w:val="clear" w:color="auto" w:fill="FFFFFF"/>
            <w:tcMar>
              <w:top w:w="0" w:type="dxa"/>
              <w:left w:w="108" w:type="dxa"/>
              <w:bottom w:w="0" w:type="dxa"/>
              <w:right w:w="108" w:type="dxa"/>
            </w:tcMar>
            <w:vAlign w:val="center"/>
          </w:tcPr>
          <w:p w14:paraId="3E32C167"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5,8</w:t>
            </w:r>
          </w:p>
        </w:tc>
        <w:tc>
          <w:tcPr>
            <w:tcW w:w="1230" w:type="dxa"/>
            <w:shd w:val="clear" w:color="auto" w:fill="FFFFFF"/>
            <w:tcMar>
              <w:top w:w="0" w:type="dxa"/>
              <w:left w:w="108" w:type="dxa"/>
              <w:bottom w:w="0" w:type="dxa"/>
              <w:right w:w="108" w:type="dxa"/>
            </w:tcMar>
            <w:vAlign w:val="center"/>
          </w:tcPr>
          <w:p w14:paraId="3C3266EF"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4,2</w:t>
            </w:r>
          </w:p>
        </w:tc>
        <w:tc>
          <w:tcPr>
            <w:tcW w:w="1247" w:type="dxa"/>
            <w:shd w:val="clear" w:color="auto" w:fill="FFFFFF"/>
            <w:tcMar>
              <w:top w:w="0" w:type="dxa"/>
              <w:left w:w="108" w:type="dxa"/>
              <w:bottom w:w="0" w:type="dxa"/>
              <w:right w:w="108" w:type="dxa"/>
            </w:tcMar>
            <w:vAlign w:val="center"/>
          </w:tcPr>
          <w:p w14:paraId="74A3A27B"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3,7</w:t>
            </w:r>
          </w:p>
        </w:tc>
      </w:tr>
      <w:tr w:rsidR="00E33164" w:rsidRPr="00FA4C8A" w14:paraId="3B6FB1DE" w14:textId="77777777" w:rsidTr="00C50984">
        <w:trPr>
          <w:trHeight w:val="283"/>
          <w:jc w:val="center"/>
        </w:trPr>
        <w:tc>
          <w:tcPr>
            <w:tcW w:w="4287" w:type="dxa"/>
            <w:shd w:val="clear" w:color="auto" w:fill="FFFFFF"/>
            <w:tcMar>
              <w:top w:w="0" w:type="dxa"/>
              <w:left w:w="108" w:type="dxa"/>
              <w:bottom w:w="0" w:type="dxa"/>
              <w:right w:w="108" w:type="dxa"/>
            </w:tcMar>
            <w:vAlign w:val="center"/>
            <w:hideMark/>
          </w:tcPr>
          <w:p w14:paraId="61219CDD" w14:textId="77777777" w:rsidR="00E33164" w:rsidRPr="00FA4C8A" w:rsidRDefault="00E33164" w:rsidP="00AC4E8E">
            <w:pPr>
              <w:snapToGrid w:val="0"/>
              <w:spacing w:after="0" w:line="276" w:lineRule="auto"/>
              <w:jc w:val="left"/>
              <w:rPr>
                <w:rFonts w:cs="Arial"/>
                <w:bCs/>
                <w:sz w:val="16"/>
                <w:szCs w:val="16"/>
                <w:lang w:val="en-US"/>
              </w:rPr>
            </w:pPr>
            <w:r w:rsidRPr="00FA4C8A">
              <w:rPr>
                <w:rFonts w:cs="Arial"/>
                <w:bCs/>
                <w:sz w:val="16"/>
                <w:szCs w:val="16"/>
              </w:rPr>
              <w:t>α. Προηγμένες οικονομίες</w:t>
            </w:r>
          </w:p>
        </w:tc>
        <w:tc>
          <w:tcPr>
            <w:tcW w:w="1230" w:type="dxa"/>
            <w:shd w:val="clear" w:color="auto" w:fill="FFFFFF"/>
            <w:tcMar>
              <w:top w:w="0" w:type="dxa"/>
              <w:left w:w="108" w:type="dxa"/>
              <w:bottom w:w="0" w:type="dxa"/>
              <w:right w:w="108" w:type="dxa"/>
            </w:tcMar>
            <w:vAlign w:val="center"/>
            <w:hideMark/>
          </w:tcPr>
          <w:p w14:paraId="618BAAA4"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2,6</w:t>
            </w:r>
          </w:p>
        </w:tc>
        <w:tc>
          <w:tcPr>
            <w:tcW w:w="1230" w:type="dxa"/>
            <w:shd w:val="clear" w:color="auto" w:fill="FFFFFF"/>
            <w:tcMar>
              <w:top w:w="0" w:type="dxa"/>
              <w:left w:w="108" w:type="dxa"/>
              <w:bottom w:w="0" w:type="dxa"/>
              <w:right w:w="108" w:type="dxa"/>
            </w:tcMar>
            <w:vAlign w:val="center"/>
            <w:hideMark/>
          </w:tcPr>
          <w:p w14:paraId="461E460C"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2,5</w:t>
            </w:r>
          </w:p>
        </w:tc>
        <w:tc>
          <w:tcPr>
            <w:tcW w:w="1247" w:type="dxa"/>
            <w:shd w:val="clear" w:color="auto" w:fill="FFFFFF"/>
            <w:tcMar>
              <w:top w:w="0" w:type="dxa"/>
              <w:left w:w="108" w:type="dxa"/>
              <w:bottom w:w="0" w:type="dxa"/>
              <w:right w:w="108" w:type="dxa"/>
            </w:tcMar>
            <w:vAlign w:val="center"/>
            <w:hideMark/>
          </w:tcPr>
          <w:p w14:paraId="1272067D"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2,2</w:t>
            </w:r>
          </w:p>
        </w:tc>
      </w:tr>
      <w:tr w:rsidR="00E33164" w:rsidRPr="00FA4C8A" w14:paraId="500A206C" w14:textId="77777777" w:rsidTr="00C50984">
        <w:trPr>
          <w:trHeight w:val="283"/>
          <w:jc w:val="center"/>
        </w:trPr>
        <w:tc>
          <w:tcPr>
            <w:tcW w:w="4287" w:type="dxa"/>
            <w:shd w:val="clear" w:color="auto" w:fill="FFFFFF"/>
            <w:tcMar>
              <w:top w:w="0" w:type="dxa"/>
              <w:left w:w="108" w:type="dxa"/>
              <w:bottom w:w="0" w:type="dxa"/>
              <w:right w:w="108" w:type="dxa"/>
            </w:tcMar>
            <w:vAlign w:val="center"/>
            <w:hideMark/>
          </w:tcPr>
          <w:p w14:paraId="47075DED" w14:textId="77777777" w:rsidR="00E33164" w:rsidRPr="00FA4C8A" w:rsidRDefault="00E33164" w:rsidP="00AC4E8E">
            <w:pPr>
              <w:snapToGrid w:val="0"/>
              <w:spacing w:after="0" w:line="276" w:lineRule="auto"/>
              <w:jc w:val="left"/>
              <w:rPr>
                <w:rFonts w:cs="Arial"/>
                <w:bCs/>
                <w:sz w:val="16"/>
                <w:szCs w:val="16"/>
              </w:rPr>
            </w:pPr>
            <w:r w:rsidRPr="00FA4C8A">
              <w:rPr>
                <w:rFonts w:cs="Arial"/>
                <w:bCs/>
                <w:sz w:val="16"/>
                <w:szCs w:val="16"/>
              </w:rPr>
              <w:t>β. Αναδυόμενες και αναπτυσσόμενες οικονομίες</w:t>
            </w:r>
          </w:p>
        </w:tc>
        <w:tc>
          <w:tcPr>
            <w:tcW w:w="1230" w:type="dxa"/>
            <w:shd w:val="clear" w:color="auto" w:fill="FFFFFF"/>
            <w:tcMar>
              <w:top w:w="0" w:type="dxa"/>
              <w:left w:w="108" w:type="dxa"/>
              <w:bottom w:w="0" w:type="dxa"/>
              <w:right w:w="108" w:type="dxa"/>
            </w:tcMar>
            <w:vAlign w:val="center"/>
            <w:hideMark/>
          </w:tcPr>
          <w:p w14:paraId="00AB237F" w14:textId="77777777" w:rsidR="00E33164" w:rsidRPr="00FA4C8A" w:rsidRDefault="00E33164" w:rsidP="00E33164">
            <w:pPr>
              <w:snapToGrid w:val="0"/>
              <w:spacing w:after="0" w:line="276" w:lineRule="auto"/>
              <w:jc w:val="right"/>
              <w:rPr>
                <w:rFonts w:cs="Arial"/>
                <w:bCs/>
                <w:sz w:val="16"/>
                <w:szCs w:val="16"/>
              </w:rPr>
            </w:pPr>
            <w:r w:rsidRPr="00FA4C8A">
              <w:rPr>
                <w:rFonts w:cs="Arial"/>
                <w:bCs/>
                <w:sz w:val="16"/>
                <w:szCs w:val="16"/>
              </w:rPr>
              <w:t>7,9</w:t>
            </w:r>
          </w:p>
        </w:tc>
        <w:tc>
          <w:tcPr>
            <w:tcW w:w="1230" w:type="dxa"/>
            <w:shd w:val="clear" w:color="auto" w:fill="FFFFFF"/>
            <w:tcMar>
              <w:top w:w="0" w:type="dxa"/>
              <w:left w:w="108" w:type="dxa"/>
              <w:bottom w:w="0" w:type="dxa"/>
              <w:right w:w="108" w:type="dxa"/>
            </w:tcMar>
            <w:vAlign w:val="center"/>
            <w:hideMark/>
          </w:tcPr>
          <w:p w14:paraId="407D5CCF" w14:textId="77777777" w:rsidR="00E33164" w:rsidRPr="00FA4C8A" w:rsidRDefault="00E33164" w:rsidP="00E33164">
            <w:pPr>
              <w:snapToGrid w:val="0"/>
              <w:spacing w:after="0" w:line="276" w:lineRule="auto"/>
              <w:jc w:val="right"/>
              <w:rPr>
                <w:rFonts w:cs="Arial"/>
                <w:bCs/>
                <w:sz w:val="16"/>
                <w:szCs w:val="16"/>
              </w:rPr>
            </w:pPr>
            <w:r w:rsidRPr="00FA4C8A">
              <w:rPr>
                <w:rFonts w:cs="Arial"/>
                <w:bCs/>
                <w:sz w:val="16"/>
                <w:szCs w:val="16"/>
              </w:rPr>
              <w:t>5,3</w:t>
            </w:r>
          </w:p>
        </w:tc>
        <w:tc>
          <w:tcPr>
            <w:tcW w:w="1247" w:type="dxa"/>
            <w:shd w:val="clear" w:color="auto" w:fill="FFFFFF"/>
            <w:tcMar>
              <w:top w:w="0" w:type="dxa"/>
              <w:left w:w="108" w:type="dxa"/>
              <w:bottom w:w="0" w:type="dxa"/>
              <w:right w:w="108" w:type="dxa"/>
            </w:tcMar>
            <w:vAlign w:val="center"/>
            <w:hideMark/>
          </w:tcPr>
          <w:p w14:paraId="245E4858" w14:textId="77777777" w:rsidR="00E33164" w:rsidRPr="00FA4C8A" w:rsidRDefault="00E33164" w:rsidP="00E33164">
            <w:pPr>
              <w:tabs>
                <w:tab w:val="left" w:pos="380"/>
                <w:tab w:val="right" w:pos="578"/>
              </w:tabs>
              <w:snapToGrid w:val="0"/>
              <w:spacing w:after="0" w:line="276" w:lineRule="auto"/>
              <w:jc w:val="right"/>
              <w:rPr>
                <w:rFonts w:cs="Arial"/>
                <w:bCs/>
                <w:sz w:val="16"/>
                <w:szCs w:val="16"/>
              </w:rPr>
            </w:pPr>
            <w:r w:rsidRPr="00FA4C8A">
              <w:rPr>
                <w:rFonts w:cs="Arial"/>
                <w:bCs/>
                <w:sz w:val="16"/>
                <w:szCs w:val="16"/>
              </w:rPr>
              <w:t>4,7</w:t>
            </w:r>
          </w:p>
        </w:tc>
      </w:tr>
      <w:tr w:rsidR="00E33164" w:rsidRPr="00FA4C8A" w14:paraId="40657359" w14:textId="77777777" w:rsidTr="00C50984">
        <w:trPr>
          <w:trHeight w:val="283"/>
          <w:jc w:val="center"/>
        </w:trPr>
        <w:tc>
          <w:tcPr>
            <w:tcW w:w="4287" w:type="dxa"/>
            <w:shd w:val="clear" w:color="auto" w:fill="FFFFFF"/>
            <w:tcMar>
              <w:top w:w="0" w:type="dxa"/>
              <w:left w:w="108" w:type="dxa"/>
              <w:bottom w:w="0" w:type="dxa"/>
              <w:right w:w="108" w:type="dxa"/>
            </w:tcMar>
            <w:vAlign w:val="center"/>
          </w:tcPr>
          <w:p w14:paraId="2F8AC1E0" w14:textId="77777777" w:rsidR="00E33164" w:rsidRPr="00FA4C8A" w:rsidRDefault="00E33164" w:rsidP="00AC4E8E">
            <w:pPr>
              <w:snapToGrid w:val="0"/>
              <w:spacing w:after="0" w:line="276" w:lineRule="auto"/>
              <w:jc w:val="left"/>
              <w:rPr>
                <w:rFonts w:cs="Arial"/>
                <w:bCs/>
                <w:sz w:val="16"/>
                <w:szCs w:val="16"/>
              </w:rPr>
            </w:pPr>
            <w:r w:rsidRPr="00FA4C8A">
              <w:rPr>
                <w:rFonts w:cs="Arial"/>
                <w:bCs/>
                <w:sz w:val="16"/>
                <w:szCs w:val="16"/>
              </w:rPr>
              <w:t>γ</w:t>
            </w:r>
            <w:r w:rsidRPr="00FA4C8A">
              <w:rPr>
                <w:rFonts w:cs="Arial"/>
                <w:bCs/>
                <w:sz w:val="16"/>
                <w:szCs w:val="16"/>
                <w:lang w:val="en-US"/>
              </w:rPr>
              <w:t xml:space="preserve">. </w:t>
            </w:r>
            <w:r w:rsidRPr="00FA4C8A">
              <w:rPr>
                <w:rFonts w:cs="Arial"/>
                <w:bCs/>
                <w:sz w:val="16"/>
                <w:szCs w:val="16"/>
              </w:rPr>
              <w:t>Ευρωζώνη**</w:t>
            </w:r>
          </w:p>
        </w:tc>
        <w:tc>
          <w:tcPr>
            <w:tcW w:w="1230" w:type="dxa"/>
            <w:shd w:val="clear" w:color="auto" w:fill="FFFFFF"/>
            <w:tcMar>
              <w:top w:w="0" w:type="dxa"/>
              <w:left w:w="108" w:type="dxa"/>
              <w:bottom w:w="0" w:type="dxa"/>
              <w:right w:w="108" w:type="dxa"/>
            </w:tcMar>
            <w:vAlign w:val="center"/>
          </w:tcPr>
          <w:p w14:paraId="793C84C4"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2,4</w:t>
            </w:r>
          </w:p>
        </w:tc>
        <w:tc>
          <w:tcPr>
            <w:tcW w:w="1230" w:type="dxa"/>
            <w:shd w:val="clear" w:color="auto" w:fill="FFFFFF"/>
            <w:tcMar>
              <w:top w:w="0" w:type="dxa"/>
              <w:left w:w="108" w:type="dxa"/>
              <w:bottom w:w="0" w:type="dxa"/>
              <w:right w:w="108" w:type="dxa"/>
            </w:tcMar>
            <w:vAlign w:val="center"/>
          </w:tcPr>
          <w:p w14:paraId="21BE3D9A" w14:textId="77777777" w:rsidR="00E33164" w:rsidRPr="00FA4C8A" w:rsidRDefault="00E33164" w:rsidP="00E33164">
            <w:pPr>
              <w:snapToGrid w:val="0"/>
              <w:spacing w:after="0" w:line="276" w:lineRule="auto"/>
              <w:jc w:val="right"/>
              <w:rPr>
                <w:rFonts w:cs="Arial"/>
                <w:sz w:val="16"/>
                <w:szCs w:val="16"/>
              </w:rPr>
            </w:pPr>
            <w:r w:rsidRPr="00FA4C8A">
              <w:rPr>
                <w:rFonts w:cs="Arial"/>
                <w:sz w:val="16"/>
                <w:szCs w:val="16"/>
              </w:rPr>
              <w:t>2,1</w:t>
            </w:r>
          </w:p>
        </w:tc>
        <w:tc>
          <w:tcPr>
            <w:tcW w:w="1247" w:type="dxa"/>
            <w:shd w:val="clear" w:color="auto" w:fill="FFFFFF"/>
            <w:tcMar>
              <w:top w:w="0" w:type="dxa"/>
              <w:left w:w="108" w:type="dxa"/>
              <w:bottom w:w="0" w:type="dxa"/>
              <w:right w:w="108" w:type="dxa"/>
            </w:tcMar>
            <w:vAlign w:val="center"/>
          </w:tcPr>
          <w:p w14:paraId="1A4E1417" w14:textId="577E0153" w:rsidR="00E33164" w:rsidRPr="00FA4C8A" w:rsidRDefault="00E33164" w:rsidP="00E33164">
            <w:pPr>
              <w:snapToGrid w:val="0"/>
              <w:spacing w:after="0" w:line="276" w:lineRule="auto"/>
              <w:jc w:val="right"/>
              <w:rPr>
                <w:rFonts w:cs="Arial"/>
                <w:sz w:val="16"/>
                <w:szCs w:val="16"/>
              </w:rPr>
            </w:pPr>
            <w:r w:rsidRPr="00FA4C8A">
              <w:rPr>
                <w:rFonts w:cs="Arial"/>
                <w:sz w:val="16"/>
                <w:szCs w:val="16"/>
              </w:rPr>
              <w:t>1,</w:t>
            </w:r>
            <w:r w:rsidR="00947CAD">
              <w:rPr>
                <w:rFonts w:cs="Arial"/>
                <w:sz w:val="16"/>
                <w:szCs w:val="16"/>
              </w:rPr>
              <w:t>9</w:t>
            </w:r>
          </w:p>
        </w:tc>
      </w:tr>
      <w:tr w:rsidR="00E33164" w:rsidRPr="00C9482D" w14:paraId="63788C50" w14:textId="77777777" w:rsidTr="00C50984">
        <w:trPr>
          <w:trHeight w:val="283"/>
          <w:jc w:val="center"/>
        </w:trPr>
        <w:tc>
          <w:tcPr>
            <w:tcW w:w="4287" w:type="dxa"/>
            <w:tcBorders>
              <w:bottom w:val="single" w:sz="2" w:space="0" w:color="A6A6A6" w:themeColor="background1" w:themeShade="A6"/>
            </w:tcBorders>
            <w:shd w:val="clear" w:color="auto" w:fill="FFFFFF"/>
            <w:tcMar>
              <w:top w:w="0" w:type="dxa"/>
              <w:left w:w="108" w:type="dxa"/>
              <w:bottom w:w="0" w:type="dxa"/>
              <w:right w:w="108" w:type="dxa"/>
            </w:tcMar>
            <w:vAlign w:val="center"/>
            <w:hideMark/>
          </w:tcPr>
          <w:p w14:paraId="0F06F1A1" w14:textId="77777777" w:rsidR="00E33164" w:rsidRPr="00FA4C8A" w:rsidRDefault="00E33164" w:rsidP="00AC4E8E">
            <w:pPr>
              <w:snapToGrid w:val="0"/>
              <w:spacing w:after="0" w:line="276" w:lineRule="auto"/>
              <w:jc w:val="left"/>
              <w:rPr>
                <w:rFonts w:cs="Arial"/>
                <w:bCs/>
                <w:sz w:val="16"/>
                <w:szCs w:val="16"/>
                <w:lang w:val="en-US"/>
              </w:rPr>
            </w:pPr>
            <w:r w:rsidRPr="00FA4C8A">
              <w:rPr>
                <w:rFonts w:cs="Arial"/>
                <w:bCs/>
                <w:sz w:val="16"/>
                <w:szCs w:val="16"/>
              </w:rPr>
              <w:t>Τιμή</w:t>
            </w:r>
            <w:r w:rsidRPr="00FA4C8A">
              <w:rPr>
                <w:rFonts w:cs="Arial"/>
                <w:bCs/>
                <w:sz w:val="16"/>
                <w:szCs w:val="16"/>
                <w:lang w:val="en-US"/>
              </w:rPr>
              <w:t xml:space="preserve"> </w:t>
            </w:r>
            <w:r w:rsidRPr="00FA4C8A">
              <w:rPr>
                <w:rFonts w:cs="Arial"/>
                <w:bCs/>
                <w:sz w:val="16"/>
                <w:szCs w:val="16"/>
              </w:rPr>
              <w:t>πετρελαίου</w:t>
            </w:r>
            <w:r w:rsidRPr="00FA4C8A">
              <w:rPr>
                <w:rFonts w:cs="Arial"/>
                <w:bCs/>
                <w:sz w:val="16"/>
                <w:szCs w:val="16"/>
                <w:lang w:val="en-US"/>
              </w:rPr>
              <w:t xml:space="preserve"> (</w:t>
            </w:r>
            <w:r w:rsidRPr="00FA4C8A">
              <w:rPr>
                <w:rFonts w:cs="Arial"/>
                <w:bCs/>
                <w:sz w:val="16"/>
                <w:szCs w:val="16"/>
                <w:lang w:val="en-GB"/>
              </w:rPr>
              <w:t>Brent</w:t>
            </w:r>
            <w:r w:rsidRPr="00FA4C8A">
              <w:rPr>
                <w:rFonts w:cs="Arial"/>
                <w:bCs/>
                <w:sz w:val="16"/>
                <w:szCs w:val="16"/>
                <w:lang w:val="en-US"/>
              </w:rPr>
              <w:t xml:space="preserve">, </w:t>
            </w:r>
            <w:r w:rsidRPr="00FA4C8A">
              <w:rPr>
                <w:rFonts w:cs="Arial"/>
                <w:bCs/>
                <w:sz w:val="16"/>
                <w:szCs w:val="16"/>
                <w:lang w:val="en-GB"/>
              </w:rPr>
              <w:t>USD</w:t>
            </w:r>
            <w:r w:rsidRPr="00FA4C8A">
              <w:rPr>
                <w:rFonts w:cs="Arial"/>
                <w:bCs/>
                <w:sz w:val="16"/>
                <w:szCs w:val="16"/>
                <w:lang w:val="en-US"/>
              </w:rPr>
              <w:t>/</w:t>
            </w:r>
            <w:r w:rsidRPr="00FA4C8A">
              <w:rPr>
                <w:rFonts w:cs="Arial"/>
                <w:bCs/>
                <w:sz w:val="16"/>
                <w:szCs w:val="16"/>
                <w:lang w:val="en-GB"/>
              </w:rPr>
              <w:t>barrel</w:t>
            </w:r>
            <w:r w:rsidRPr="00FA4C8A">
              <w:rPr>
                <w:rFonts w:cs="Arial"/>
                <w:bCs/>
                <w:sz w:val="16"/>
                <w:szCs w:val="16"/>
                <w:lang w:val="en-US"/>
              </w:rPr>
              <w:t>)**</w:t>
            </w:r>
          </w:p>
        </w:tc>
        <w:tc>
          <w:tcPr>
            <w:tcW w:w="1230" w:type="dxa"/>
            <w:tcBorders>
              <w:bottom w:val="single" w:sz="2" w:space="0" w:color="A6A6A6" w:themeColor="background1" w:themeShade="A6"/>
            </w:tcBorders>
            <w:shd w:val="clear" w:color="auto" w:fill="FFFFFF"/>
            <w:tcMar>
              <w:top w:w="0" w:type="dxa"/>
              <w:left w:w="108" w:type="dxa"/>
              <w:bottom w:w="0" w:type="dxa"/>
              <w:right w:w="108" w:type="dxa"/>
            </w:tcMar>
            <w:vAlign w:val="center"/>
            <w:hideMark/>
          </w:tcPr>
          <w:p w14:paraId="18706E3B" w14:textId="77777777" w:rsidR="00E33164" w:rsidRPr="00FA4C8A" w:rsidRDefault="00E33164" w:rsidP="00E33164">
            <w:pPr>
              <w:snapToGrid w:val="0"/>
              <w:spacing w:after="0" w:line="276" w:lineRule="auto"/>
              <w:jc w:val="right"/>
              <w:rPr>
                <w:rFonts w:cs="Arial"/>
                <w:sz w:val="16"/>
                <w:szCs w:val="16"/>
                <w:lang w:val="en-US"/>
              </w:rPr>
            </w:pPr>
            <w:r w:rsidRPr="00FA4C8A">
              <w:rPr>
                <w:rFonts w:cs="Arial"/>
                <w:sz w:val="16"/>
                <w:szCs w:val="16"/>
                <w:lang w:val="en-US"/>
              </w:rPr>
              <w:t>8</w:t>
            </w:r>
            <w:r w:rsidRPr="00FA4C8A">
              <w:rPr>
                <w:rFonts w:cs="Arial"/>
                <w:sz w:val="16"/>
                <w:szCs w:val="16"/>
              </w:rPr>
              <w:t>0</w:t>
            </w:r>
            <w:r w:rsidRPr="00FA4C8A">
              <w:rPr>
                <w:rFonts w:cs="Arial"/>
                <w:sz w:val="16"/>
                <w:szCs w:val="16"/>
                <w:lang w:val="en-US"/>
              </w:rPr>
              <w:t>,5</w:t>
            </w:r>
          </w:p>
        </w:tc>
        <w:tc>
          <w:tcPr>
            <w:tcW w:w="1230" w:type="dxa"/>
            <w:tcBorders>
              <w:bottom w:val="single" w:sz="2" w:space="0" w:color="A6A6A6" w:themeColor="background1" w:themeShade="A6"/>
            </w:tcBorders>
            <w:shd w:val="clear" w:color="auto" w:fill="FFFFFF"/>
            <w:tcMar>
              <w:top w:w="0" w:type="dxa"/>
              <w:left w:w="108" w:type="dxa"/>
              <w:bottom w:w="0" w:type="dxa"/>
              <w:right w:w="108" w:type="dxa"/>
            </w:tcMar>
            <w:vAlign w:val="center"/>
            <w:hideMark/>
          </w:tcPr>
          <w:p w14:paraId="2C417E83" w14:textId="6D63200D" w:rsidR="00E33164" w:rsidRPr="00947CAD" w:rsidRDefault="00E33164" w:rsidP="00E33164">
            <w:pPr>
              <w:snapToGrid w:val="0"/>
              <w:spacing w:after="0" w:line="276" w:lineRule="auto"/>
              <w:jc w:val="right"/>
              <w:rPr>
                <w:rFonts w:cs="Arial"/>
                <w:sz w:val="16"/>
                <w:szCs w:val="16"/>
              </w:rPr>
            </w:pPr>
            <w:r w:rsidRPr="00FA4C8A">
              <w:rPr>
                <w:rFonts w:cs="Arial"/>
                <w:sz w:val="16"/>
                <w:szCs w:val="16"/>
              </w:rPr>
              <w:t>6</w:t>
            </w:r>
            <w:r w:rsidR="00947CAD">
              <w:rPr>
                <w:rFonts w:cs="Arial"/>
                <w:sz w:val="16"/>
                <w:szCs w:val="16"/>
              </w:rPr>
              <w:t>8</w:t>
            </w:r>
            <w:r w:rsidRPr="00FA4C8A">
              <w:rPr>
                <w:rFonts w:cs="Arial"/>
                <w:sz w:val="16"/>
                <w:szCs w:val="16"/>
                <w:lang w:val="en-US"/>
              </w:rPr>
              <w:t>,</w:t>
            </w:r>
            <w:r w:rsidR="00947CAD">
              <w:rPr>
                <w:rFonts w:cs="Arial"/>
                <w:sz w:val="16"/>
                <w:szCs w:val="16"/>
              </w:rPr>
              <w:t>9</w:t>
            </w:r>
          </w:p>
        </w:tc>
        <w:tc>
          <w:tcPr>
            <w:tcW w:w="1247" w:type="dxa"/>
            <w:tcBorders>
              <w:bottom w:val="single" w:sz="2" w:space="0" w:color="A6A6A6" w:themeColor="background1" w:themeShade="A6"/>
            </w:tcBorders>
            <w:shd w:val="clear" w:color="auto" w:fill="FFFFFF"/>
            <w:tcMar>
              <w:top w:w="0" w:type="dxa"/>
              <w:left w:w="108" w:type="dxa"/>
              <w:bottom w:w="0" w:type="dxa"/>
              <w:right w:w="108" w:type="dxa"/>
            </w:tcMar>
            <w:vAlign w:val="center"/>
            <w:hideMark/>
          </w:tcPr>
          <w:p w14:paraId="679F4074" w14:textId="4F43442F" w:rsidR="00E33164" w:rsidRPr="00947CAD" w:rsidRDefault="00E33164" w:rsidP="00E33164">
            <w:pPr>
              <w:snapToGrid w:val="0"/>
              <w:spacing w:after="0" w:line="276" w:lineRule="auto"/>
              <w:jc w:val="right"/>
              <w:rPr>
                <w:rFonts w:cs="Arial"/>
                <w:sz w:val="16"/>
                <w:szCs w:val="16"/>
              </w:rPr>
            </w:pPr>
            <w:r w:rsidRPr="00FA4C8A">
              <w:rPr>
                <w:rFonts w:cs="Arial"/>
                <w:sz w:val="16"/>
                <w:szCs w:val="16"/>
              </w:rPr>
              <w:t>6</w:t>
            </w:r>
            <w:r w:rsidR="00947CAD">
              <w:rPr>
                <w:rFonts w:cs="Arial"/>
                <w:sz w:val="16"/>
                <w:szCs w:val="16"/>
              </w:rPr>
              <w:t>2</w:t>
            </w:r>
            <w:r w:rsidRPr="00FA4C8A">
              <w:rPr>
                <w:rFonts w:cs="Arial"/>
                <w:sz w:val="16"/>
                <w:szCs w:val="16"/>
                <w:lang w:val="en-US"/>
              </w:rPr>
              <w:t>,</w:t>
            </w:r>
            <w:r w:rsidR="00947CAD">
              <w:rPr>
                <w:rFonts w:cs="Arial"/>
                <w:sz w:val="16"/>
                <w:szCs w:val="16"/>
              </w:rPr>
              <w:t>4</w:t>
            </w:r>
          </w:p>
        </w:tc>
      </w:tr>
      <w:tr w:rsidR="002D2644" w:rsidRPr="0004334A" w14:paraId="22E1692F" w14:textId="77777777" w:rsidTr="00C50984">
        <w:trPr>
          <w:trHeight w:val="283"/>
          <w:jc w:val="center"/>
        </w:trPr>
        <w:tc>
          <w:tcPr>
            <w:tcW w:w="7994" w:type="dxa"/>
            <w:gridSpan w:val="4"/>
            <w:tcBorders>
              <w:top w:val="single" w:sz="2" w:space="0" w:color="A6A6A6" w:themeColor="background1" w:themeShade="A6"/>
              <w:left w:val="nil"/>
              <w:bottom w:val="nil"/>
              <w:right w:val="nil"/>
            </w:tcBorders>
            <w:shd w:val="clear" w:color="auto" w:fill="FFFFFF"/>
            <w:tcMar>
              <w:top w:w="0" w:type="dxa"/>
              <w:left w:w="108" w:type="dxa"/>
              <w:bottom w:w="0" w:type="dxa"/>
              <w:right w:w="108" w:type="dxa"/>
            </w:tcMar>
            <w:vAlign w:val="center"/>
          </w:tcPr>
          <w:p w14:paraId="0740DAB8" w14:textId="77777777" w:rsidR="002D2644" w:rsidRDefault="002D2644" w:rsidP="002319F2">
            <w:pPr>
              <w:tabs>
                <w:tab w:val="left" w:pos="170"/>
              </w:tabs>
              <w:spacing w:before="60" w:after="0" w:line="276" w:lineRule="auto"/>
              <w:jc w:val="left"/>
              <w:rPr>
                <w:rFonts w:cs="Arial"/>
                <w:sz w:val="16"/>
                <w:szCs w:val="16"/>
              </w:rPr>
            </w:pPr>
            <w:r w:rsidRPr="003E5CF7">
              <w:rPr>
                <w:rFonts w:cs="Arial"/>
                <w:sz w:val="16"/>
                <w:szCs w:val="16"/>
              </w:rPr>
              <w:t xml:space="preserve">* </w:t>
            </w:r>
            <w:r>
              <w:rPr>
                <w:rFonts w:cs="Arial"/>
                <w:sz w:val="16"/>
                <w:szCs w:val="16"/>
              </w:rPr>
              <w:tab/>
            </w:r>
            <w:r w:rsidRPr="003E5CF7">
              <w:rPr>
                <w:rFonts w:cs="Arial"/>
                <w:sz w:val="16"/>
                <w:szCs w:val="16"/>
              </w:rPr>
              <w:t>Εκτιμήσεις/προβλέψεις</w:t>
            </w:r>
          </w:p>
          <w:p w14:paraId="3938B22E" w14:textId="34501930" w:rsidR="002319F2" w:rsidRDefault="002319F2" w:rsidP="002319F2">
            <w:pPr>
              <w:tabs>
                <w:tab w:val="left" w:pos="170"/>
              </w:tabs>
              <w:spacing w:before="60" w:after="0" w:line="276" w:lineRule="auto"/>
              <w:jc w:val="left"/>
              <w:rPr>
                <w:rFonts w:cs="Arial"/>
                <w:sz w:val="16"/>
                <w:szCs w:val="16"/>
              </w:rPr>
            </w:pPr>
            <w:r w:rsidRPr="00FF28F1">
              <w:rPr>
                <w:rFonts w:cs="Arial"/>
                <w:sz w:val="16"/>
                <w:szCs w:val="16"/>
              </w:rPr>
              <w:t>**</w:t>
            </w:r>
            <w:r>
              <w:rPr>
                <w:rFonts w:cs="Arial"/>
                <w:sz w:val="16"/>
                <w:szCs w:val="16"/>
              </w:rPr>
              <w:tab/>
              <w:t>Φθινοπωρινές προβλέψεις Ευρωπαϊκής Επιτροπής, Νοέμβριος 2025</w:t>
            </w:r>
          </w:p>
          <w:p w14:paraId="40589F3B" w14:textId="536D7FBB" w:rsidR="002319F2" w:rsidRPr="002319F2" w:rsidRDefault="002319F2" w:rsidP="002319F2">
            <w:pPr>
              <w:tabs>
                <w:tab w:val="left" w:pos="170"/>
              </w:tabs>
              <w:spacing w:before="60" w:after="0" w:line="276" w:lineRule="auto"/>
              <w:jc w:val="left"/>
              <w:rPr>
                <w:rFonts w:cs="Arial"/>
                <w:sz w:val="16"/>
                <w:szCs w:val="16"/>
                <w:lang w:val="en-US"/>
              </w:rPr>
            </w:pPr>
            <w:r w:rsidRPr="002D2644">
              <w:rPr>
                <w:rFonts w:cs="Arial"/>
                <w:sz w:val="16"/>
                <w:szCs w:val="16"/>
              </w:rPr>
              <w:t>Πηγές</w:t>
            </w:r>
            <w:r w:rsidRPr="002D2644">
              <w:rPr>
                <w:rFonts w:cs="Arial"/>
                <w:sz w:val="16"/>
                <w:szCs w:val="16"/>
                <w:lang w:val="en-US"/>
              </w:rPr>
              <w:t xml:space="preserve">: IMF, World Economic Outlook, </w:t>
            </w:r>
            <w:r w:rsidRPr="002D2644">
              <w:rPr>
                <w:rFonts w:cs="Arial"/>
                <w:sz w:val="16"/>
                <w:szCs w:val="16"/>
              </w:rPr>
              <w:t>Οκτώβριος</w:t>
            </w:r>
            <w:r w:rsidRPr="002D2644">
              <w:rPr>
                <w:rFonts w:cs="Arial"/>
                <w:sz w:val="16"/>
                <w:szCs w:val="16"/>
                <w:lang w:val="en-US"/>
              </w:rPr>
              <w:t xml:space="preserve"> 2025</w:t>
            </w:r>
          </w:p>
        </w:tc>
      </w:tr>
    </w:tbl>
    <w:p w14:paraId="00A9B78D" w14:textId="68E32FCF" w:rsidR="00F277D3" w:rsidRPr="00FA4C8A" w:rsidRDefault="00F277D3" w:rsidP="00F277D3">
      <w:pPr>
        <w:spacing w:before="240"/>
      </w:pPr>
      <w:r w:rsidRPr="00FA4C8A">
        <w:t xml:space="preserve">Η Ευρωπαϊκή Επιτροπή στις </w:t>
      </w:r>
      <w:r w:rsidR="00947CAD">
        <w:t>φθινοπωρινές</w:t>
      </w:r>
      <w:r w:rsidRPr="00FA4C8A">
        <w:t xml:space="preserve"> οικονομικές προβλέψεις τον </w:t>
      </w:r>
      <w:r w:rsidR="00947CAD">
        <w:t>Νοέμβριο</w:t>
      </w:r>
      <w:r w:rsidRPr="00FA4C8A">
        <w:t xml:space="preserve"> 2025 εκτιμά </w:t>
      </w:r>
      <w:r w:rsidR="00AC4E8E">
        <w:t xml:space="preserve">ότι ο </w:t>
      </w:r>
      <w:r w:rsidRPr="00FA4C8A">
        <w:t>ρυθμό</w:t>
      </w:r>
      <w:r w:rsidR="00AC4E8E">
        <w:t>ς</w:t>
      </w:r>
      <w:r w:rsidRPr="00FA4C8A">
        <w:t xml:space="preserve"> ανάπτυξης</w:t>
      </w:r>
      <w:bookmarkStart w:id="7" w:name="_Hlk205804232"/>
      <w:r w:rsidRPr="00FA4C8A">
        <w:t xml:space="preserve"> </w:t>
      </w:r>
      <w:r w:rsidR="00AC4E8E">
        <w:t>της</w:t>
      </w:r>
      <w:r w:rsidRPr="00FA4C8A">
        <w:t xml:space="preserve"> </w:t>
      </w:r>
      <w:r w:rsidR="005F0687">
        <w:t>Ευρωπαϊκής Ένωσης (</w:t>
      </w:r>
      <w:r w:rsidRPr="00FA4C8A">
        <w:t>ΕΕ</w:t>
      </w:r>
      <w:r w:rsidR="005F0687">
        <w:t>)</w:t>
      </w:r>
      <w:r w:rsidRPr="00FA4C8A">
        <w:t xml:space="preserve"> </w:t>
      </w:r>
      <w:r w:rsidR="00AC4E8E">
        <w:t xml:space="preserve">θα διαμορφωθεί </w:t>
      </w:r>
      <w:r w:rsidRPr="00FA4C8A">
        <w:t>από 1,</w:t>
      </w:r>
      <w:r w:rsidR="00947CAD">
        <w:t>1</w:t>
      </w:r>
      <w:r w:rsidRPr="00FA4C8A">
        <w:t>% το 2024 σε 1,</w:t>
      </w:r>
      <w:r w:rsidR="00947CAD">
        <w:t>4</w:t>
      </w:r>
      <w:r w:rsidRPr="00FA4C8A">
        <w:t>% τ</w:t>
      </w:r>
      <w:r w:rsidR="00947CAD">
        <w:t>α έτη</w:t>
      </w:r>
      <w:r w:rsidRPr="00FA4C8A">
        <w:t xml:space="preserve"> 2025 </w:t>
      </w:r>
      <w:r w:rsidR="00947CAD">
        <w:t>και 2026</w:t>
      </w:r>
      <w:r w:rsidRPr="00FA4C8A">
        <w:t xml:space="preserve">, </w:t>
      </w:r>
      <w:bookmarkEnd w:id="7"/>
      <w:r w:rsidRPr="00FA4C8A">
        <w:t>υποστηριζόμενο</w:t>
      </w:r>
      <w:r w:rsidR="006723BD">
        <w:t>ς</w:t>
      </w:r>
      <w:r w:rsidRPr="00FA4C8A">
        <w:t xml:space="preserve"> από τη</w:t>
      </w:r>
      <w:r w:rsidR="00947CAD">
        <w:t>ν ανθεκτική αγορά εργασίας, τη μείωση του πληθωρισμού και τις ευνοϊκές χρηματοδοτικές συνθήκες</w:t>
      </w:r>
      <w:r w:rsidR="006B3573">
        <w:t>.</w:t>
      </w:r>
      <w:bookmarkStart w:id="8" w:name="_Hlk205804314"/>
      <w:r w:rsidR="006723BD">
        <w:t xml:space="preserve"> </w:t>
      </w:r>
      <w:r w:rsidR="006B3573">
        <w:t>Σ</w:t>
      </w:r>
      <w:r w:rsidR="006723BD">
        <w:t xml:space="preserve">την </w:t>
      </w:r>
      <w:r w:rsidRPr="00FA4C8A">
        <w:t xml:space="preserve">Ευρωζώνη </w:t>
      </w:r>
      <w:r w:rsidR="006723BD">
        <w:t xml:space="preserve">ο ρυθμός ανάπτυξης </w:t>
      </w:r>
      <w:r w:rsidR="006B3573">
        <w:t xml:space="preserve">εκτιμάται ότι </w:t>
      </w:r>
      <w:r w:rsidR="006723BD">
        <w:t xml:space="preserve">θα διαμορφωθεί </w:t>
      </w:r>
      <w:r w:rsidRPr="00FA4C8A">
        <w:t>από 0,9% τ</w:t>
      </w:r>
      <w:r w:rsidR="006B3573">
        <w:t>ο</w:t>
      </w:r>
      <w:r w:rsidRPr="00FA4C8A">
        <w:t xml:space="preserve"> 2024 </w:t>
      </w:r>
      <w:r w:rsidR="006B3573">
        <w:t>σε 1,3% το</w:t>
      </w:r>
      <w:r w:rsidRPr="00FA4C8A">
        <w:t xml:space="preserve"> 2025 </w:t>
      </w:r>
      <w:r w:rsidR="006B3573">
        <w:t xml:space="preserve">και </w:t>
      </w:r>
      <w:r w:rsidRPr="00FA4C8A">
        <w:t>σε 1,</w:t>
      </w:r>
      <w:r w:rsidR="006B3573">
        <w:t>2</w:t>
      </w:r>
      <w:r w:rsidRPr="00FA4C8A">
        <w:t xml:space="preserve">% το </w:t>
      </w:r>
      <w:r w:rsidRPr="000D3127">
        <w:t>2026 (</w:t>
      </w:r>
      <w:r w:rsidRPr="000D3127">
        <w:fldChar w:fldCharType="begin"/>
      </w:r>
      <w:r w:rsidRPr="000D3127">
        <w:instrText xml:space="preserve"> REF _Ref213415168 \h  \* MERGEFORMAT </w:instrText>
      </w:r>
      <w:r w:rsidRPr="000D3127">
        <w:fldChar w:fldCharType="separate"/>
      </w:r>
      <w:r w:rsidR="00E15678" w:rsidRPr="00E15678">
        <w:t>Πίνακας 1.1</w:t>
      </w:r>
      <w:r w:rsidRPr="000D3127">
        <w:fldChar w:fldCharType="end"/>
      </w:r>
      <w:r w:rsidRPr="000D3127">
        <w:t>.). Για</w:t>
      </w:r>
      <w:r w:rsidRPr="00FA4C8A">
        <w:t xml:space="preserve"> τη Γαλλία ο ρυθμός ανάπτυξης </w:t>
      </w:r>
      <w:r w:rsidR="00FE2711">
        <w:t>αναμένεται να</w:t>
      </w:r>
      <w:r w:rsidRPr="00FA4C8A">
        <w:t xml:space="preserve"> επιβραδυνθεί </w:t>
      </w:r>
      <w:r w:rsidR="00631FBA" w:rsidRPr="00FA4C8A">
        <w:t xml:space="preserve">από 1,2% το 2024 </w:t>
      </w:r>
      <w:r w:rsidRPr="00FA4C8A">
        <w:t>σε 0,</w:t>
      </w:r>
      <w:r w:rsidR="006B3573">
        <w:t>7</w:t>
      </w:r>
      <w:r w:rsidRPr="00FA4C8A">
        <w:t xml:space="preserve">% το 2025 και </w:t>
      </w:r>
      <w:r w:rsidR="006B3573">
        <w:t>να</w:t>
      </w:r>
      <w:r w:rsidRPr="00FA4C8A">
        <w:t xml:space="preserve"> αυξηθεί σε </w:t>
      </w:r>
      <w:r w:rsidR="006B3573">
        <w:t>0</w:t>
      </w:r>
      <w:r w:rsidRPr="00FA4C8A">
        <w:t>,</w:t>
      </w:r>
      <w:r w:rsidR="006B3573">
        <w:t>9</w:t>
      </w:r>
      <w:r w:rsidRPr="00FA4C8A">
        <w:t xml:space="preserve">% το 2026. Για τη Γερμανία, ύστερα από δύο έτη ύφεσης, </w:t>
      </w:r>
      <w:r w:rsidR="006B3573" w:rsidRPr="00FA4C8A">
        <w:t xml:space="preserve">ο ρυθμός ανάπτυξης </w:t>
      </w:r>
      <w:r w:rsidRPr="00FA4C8A">
        <w:t xml:space="preserve">αναμένεται </w:t>
      </w:r>
      <w:r w:rsidR="006B3573">
        <w:t>να ανέλθει σε 0,2% τ</w:t>
      </w:r>
      <w:r w:rsidRPr="00FA4C8A">
        <w:t>ο 2025</w:t>
      </w:r>
      <w:r w:rsidR="006B3573">
        <w:t xml:space="preserve"> και να επιταχυνθεί σε</w:t>
      </w:r>
      <w:r w:rsidRPr="00FA4C8A">
        <w:t xml:space="preserve"> 1,</w:t>
      </w:r>
      <w:r w:rsidR="006B3573">
        <w:t>2</w:t>
      </w:r>
      <w:r w:rsidRPr="00FA4C8A">
        <w:t>% το 2026.</w:t>
      </w:r>
    </w:p>
    <w:bookmarkEnd w:id="8"/>
    <w:p w14:paraId="09F33B79" w14:textId="169E33C0" w:rsidR="00F277D3" w:rsidRPr="00FA4C8A" w:rsidRDefault="00F277D3" w:rsidP="00F277D3">
      <w:r w:rsidRPr="00FA4C8A">
        <w:t xml:space="preserve">Ο πληθωρισμός, σύμφωνα με τις </w:t>
      </w:r>
      <w:r w:rsidR="00631FBA">
        <w:t>φθινοπωρινές</w:t>
      </w:r>
      <w:r w:rsidRPr="00FA4C8A">
        <w:t xml:space="preserve"> οικονομικές προβλέψεις της Ευρωπαϊκής Επιτροπής, αναμένεται να υποχωρήσει στην ΕΕ από 2,6% το 2024 σε 2,</w:t>
      </w:r>
      <w:r w:rsidR="00631FBA">
        <w:t>5</w:t>
      </w:r>
      <w:r w:rsidRPr="00FA4C8A">
        <w:t xml:space="preserve">% το 2025 και σε </w:t>
      </w:r>
      <w:r w:rsidR="00631FBA">
        <w:t>2</w:t>
      </w:r>
      <w:r w:rsidRPr="00FA4C8A">
        <w:t>,</w:t>
      </w:r>
      <w:r w:rsidR="00631FBA">
        <w:t>1</w:t>
      </w:r>
      <w:r w:rsidRPr="00FA4C8A">
        <w:t>% το 2026</w:t>
      </w:r>
      <w:r w:rsidR="00631FBA">
        <w:t xml:space="preserve"> και </w:t>
      </w:r>
      <w:r w:rsidRPr="00FA4C8A">
        <w:t>στη</w:t>
      </w:r>
      <w:r w:rsidR="00631FBA">
        <w:t>ν</w:t>
      </w:r>
      <w:r w:rsidRPr="00FA4C8A">
        <w:t xml:space="preserve"> Ευρωζώνη από 2,4% το 2024 σε 2,1% το 2025 και σε 1,</w:t>
      </w:r>
      <w:r w:rsidR="00631FBA">
        <w:t>9</w:t>
      </w:r>
      <w:r w:rsidRPr="00FA4C8A">
        <w:t xml:space="preserve">% το 2026. </w:t>
      </w:r>
      <w:r w:rsidR="00631FBA">
        <w:t xml:space="preserve">Επιπλέον, ο πληθωρισμός της </w:t>
      </w:r>
      <w:r w:rsidR="00631FBA">
        <w:lastRenderedPageBreak/>
        <w:t xml:space="preserve">Ευρωζώνης αναμένεται να διατηρηθεί πλησίον του στόχου του 2% της </w:t>
      </w:r>
      <w:r w:rsidR="00567182" w:rsidRPr="00A46E42">
        <w:t>Ευρωπαϊκής Κεντρικής Τράπεζας</w:t>
      </w:r>
      <w:r w:rsidR="00567182">
        <w:t xml:space="preserve"> (</w:t>
      </w:r>
      <w:r w:rsidR="00631FBA">
        <w:t>ΕΚΤ</w:t>
      </w:r>
      <w:r w:rsidR="00567182">
        <w:t>)</w:t>
      </w:r>
      <w:r w:rsidR="00631FBA">
        <w:t xml:space="preserve"> κατά τη διάρκεια του χρονικού ορίζοντα της πρόβλεψης</w:t>
      </w:r>
      <w:r w:rsidR="00567182">
        <w:t>, με διαφοροποιημένες ωστόσο τάσεις μεταξύ των επιμέρους συνιστωσών του.</w:t>
      </w:r>
    </w:p>
    <w:p w14:paraId="533D3A9E" w14:textId="3ADEEB6A" w:rsidR="00F277D3" w:rsidRPr="00A46E42" w:rsidRDefault="00F277D3" w:rsidP="00F277D3">
      <w:pPr>
        <w:rPr>
          <w:b/>
          <w:bCs/>
          <w:u w:val="single"/>
        </w:rPr>
      </w:pPr>
      <w:bookmarkStart w:id="9" w:name="_Hlk203034356"/>
      <w:r w:rsidRPr="00A46E42">
        <w:t xml:space="preserve">Σύμφωνα με τις προβλέψεις της </w:t>
      </w:r>
      <w:r>
        <w:t>ΕΚΤ</w:t>
      </w:r>
      <w:r w:rsidRPr="00A46E42">
        <w:t xml:space="preserve"> τον Σεπτέμβριο 2025</w:t>
      </w:r>
      <w:bookmarkEnd w:id="9"/>
      <w:r w:rsidRPr="00A46E42">
        <w:t xml:space="preserve">, ο ρυθμός ανάπτυξης της Ευρωζώνης προβλέπεται </w:t>
      </w:r>
      <w:r>
        <w:t xml:space="preserve">να διαμορφωθεί </w:t>
      </w:r>
      <w:r w:rsidRPr="00A46E42">
        <w:t>σε 1,2% το 2025 και σε 1,0% το 2026 έναντι 0,8% το 2024</w:t>
      </w:r>
      <w:r>
        <w:t xml:space="preserve">. Ο </w:t>
      </w:r>
      <w:r w:rsidRPr="00A46E42">
        <w:t xml:space="preserve">πληθωρισμός αναμένεται να αποκλιμακωθεί από 2,4% </w:t>
      </w:r>
      <w:r>
        <w:t>τ</w:t>
      </w:r>
      <w:r w:rsidRPr="00A46E42">
        <w:rPr>
          <w:lang w:val="en-US"/>
        </w:rPr>
        <w:t>o</w:t>
      </w:r>
      <w:r w:rsidRPr="00A46E42">
        <w:t xml:space="preserve"> 2024 σε 2,1% το 2025 και σε 1,7% το 2026.</w:t>
      </w:r>
    </w:p>
    <w:p w14:paraId="6EFEA470" w14:textId="222A558A" w:rsidR="00F277D3" w:rsidRPr="003F006B" w:rsidRDefault="00F277D3" w:rsidP="00F277D3">
      <w:r w:rsidRPr="00A46E42">
        <w:t xml:space="preserve">Στις προηγμένες οικονομίες, σύμφωνα με τις προβλέψεις του ΔΝΤ τον </w:t>
      </w:r>
      <w:r>
        <w:t>Οκτώβριο</w:t>
      </w:r>
      <w:r w:rsidRPr="00A46E42">
        <w:t xml:space="preserve"> 2025, ο ρυθμός αύξησης του </w:t>
      </w:r>
      <w:r w:rsidR="00456BBD" w:rsidRPr="00456BBD">
        <w:rPr>
          <w:rFonts w:eastAsia="Calibri"/>
        </w:rPr>
        <w:t>Ακαθάριστο</w:t>
      </w:r>
      <w:r w:rsidR="00456BBD">
        <w:rPr>
          <w:rFonts w:eastAsia="Calibri"/>
        </w:rPr>
        <w:t>υ</w:t>
      </w:r>
      <w:r w:rsidR="00456BBD" w:rsidRPr="00456BBD">
        <w:rPr>
          <w:rFonts w:eastAsia="Calibri"/>
        </w:rPr>
        <w:t xml:space="preserve"> Εγχώριο</w:t>
      </w:r>
      <w:r w:rsidR="00456BBD">
        <w:rPr>
          <w:rFonts w:eastAsia="Calibri"/>
        </w:rPr>
        <w:t>υ</w:t>
      </w:r>
      <w:r w:rsidR="00456BBD" w:rsidRPr="00456BBD">
        <w:rPr>
          <w:rFonts w:eastAsia="Calibri"/>
        </w:rPr>
        <w:t xml:space="preserve"> Προϊόν</w:t>
      </w:r>
      <w:r w:rsidR="00456BBD">
        <w:rPr>
          <w:rFonts w:eastAsia="Calibri"/>
        </w:rPr>
        <w:t>τος</w:t>
      </w:r>
      <w:r w:rsidR="00456BBD" w:rsidRPr="00456BBD">
        <w:rPr>
          <w:rFonts w:eastAsia="Calibri"/>
        </w:rPr>
        <w:t xml:space="preserve"> </w:t>
      </w:r>
      <w:r w:rsidR="00456BBD">
        <w:rPr>
          <w:rFonts w:eastAsia="Calibri"/>
        </w:rPr>
        <w:t>(</w:t>
      </w:r>
      <w:r w:rsidRPr="00A46E42">
        <w:t>ΑΕΠ</w:t>
      </w:r>
      <w:r w:rsidR="00456BBD">
        <w:t>)</w:t>
      </w:r>
      <w:r w:rsidRPr="00A46E42">
        <w:t xml:space="preserve"> εκτιμάται ότι θα υποχωρήσει από 1,8% το 2024 σε 1,</w:t>
      </w:r>
      <w:r>
        <w:t>6</w:t>
      </w:r>
      <w:r w:rsidRPr="00A46E42">
        <w:t xml:space="preserve">% </w:t>
      </w:r>
      <w:r>
        <w:t xml:space="preserve">τα έτη </w:t>
      </w:r>
      <w:r w:rsidRPr="00A46E42">
        <w:t xml:space="preserve">2025 και </w:t>
      </w:r>
      <w:r>
        <w:t>2026</w:t>
      </w:r>
      <w:r w:rsidRPr="00A46E42">
        <w:t xml:space="preserve">. Ειδικότερα, ο ρυθμός αύξησης του ΑΕΠ </w:t>
      </w:r>
      <w:r w:rsidR="006723BD">
        <w:t xml:space="preserve">για </w:t>
      </w:r>
      <w:r w:rsidR="006723BD" w:rsidRPr="00A46E42">
        <w:t xml:space="preserve">τις ΗΠΑ </w:t>
      </w:r>
      <w:r w:rsidRPr="00A46E42">
        <w:t xml:space="preserve">αναμένεται να </w:t>
      </w:r>
      <w:r w:rsidRPr="00670CE3">
        <w:t xml:space="preserve">επιβραδυνθεί από 2,8% το 2024 σε 2,0% το 2025 και να ανακάμψει ελαφρώς σε 2,1% το 2026. </w:t>
      </w:r>
      <w:r w:rsidRPr="008473A4">
        <w:t xml:space="preserve">Οι προβλέψεις παραμένουν σε γενικές γραμμές οι ίδιες σε σχέση με τον Ιούλιο και βελτιωμένες σε σχέση με τον Απρίλιο λόγω των χαμηλότερων πραγματικών </w:t>
      </w:r>
      <w:r w:rsidRPr="004715C7">
        <w:t>δασμολογικών συντελεστών</w:t>
      </w:r>
      <w:r w:rsidR="000F6B8E">
        <w:t xml:space="preserve"> σε σύγκριση με τις προηγούμενες προβλέψεις</w:t>
      </w:r>
      <w:r w:rsidR="00700439">
        <w:t xml:space="preserve"> </w:t>
      </w:r>
      <w:r w:rsidRPr="004715C7">
        <w:t>και της χαλάρωσης</w:t>
      </w:r>
      <w:r w:rsidRPr="008473A4">
        <w:t xml:space="preserve"> των χρηματοπιστωτικών συνθηκών.</w:t>
      </w:r>
      <w:r w:rsidRPr="00670CE3">
        <w:t xml:space="preserve"> Για την Ιαπωνία ο ρυθμός ανάπτυξης προβλέπεται να διαμορφωθεί από 0,1% το 2024 σε 1,1% το 2025 και σε 0,6% το 2</w:t>
      </w:r>
      <w:r w:rsidRPr="00A46E42">
        <w:t xml:space="preserve">026. Για τον Καναδά </w:t>
      </w:r>
      <w:r>
        <w:t xml:space="preserve">ο ρυθμός ανάπτυξης </w:t>
      </w:r>
      <w:r w:rsidRPr="00A46E42">
        <w:t>αναμένεται</w:t>
      </w:r>
      <w:r>
        <w:t xml:space="preserve"> να διαμορφωθεί από </w:t>
      </w:r>
      <w:r w:rsidRPr="00A46E42">
        <w:t>1,6% τ</w:t>
      </w:r>
      <w:r>
        <w:t xml:space="preserve">ο </w:t>
      </w:r>
      <w:r w:rsidRPr="00A46E42">
        <w:t xml:space="preserve">2024 </w:t>
      </w:r>
      <w:r>
        <w:t xml:space="preserve">σε 1,2% το </w:t>
      </w:r>
      <w:r w:rsidRPr="00A46E42">
        <w:t xml:space="preserve">2025 και </w:t>
      </w:r>
      <w:r w:rsidR="006C068E">
        <w:t xml:space="preserve">σε </w:t>
      </w:r>
      <w:r w:rsidRPr="00A46E42">
        <w:t>1,</w:t>
      </w:r>
      <w:r>
        <w:t>5</w:t>
      </w:r>
      <w:r w:rsidRPr="00A46E42">
        <w:t>% το 2026. Για το Ηνωμένο Βασίλειο ο ρυθμός ανάπτυξης</w:t>
      </w:r>
      <w:r>
        <w:t xml:space="preserve"> προβλέπεται να ανέλθει </w:t>
      </w:r>
      <w:r w:rsidRPr="00A46E42">
        <w:t>από 1,1% το 2024 σε 1,</w:t>
      </w:r>
      <w:r>
        <w:t>3</w:t>
      </w:r>
      <w:r w:rsidRPr="00A46E42">
        <w:t xml:space="preserve">% </w:t>
      </w:r>
      <w:r>
        <w:t xml:space="preserve">τα έτη 2025 και </w:t>
      </w:r>
      <w:r w:rsidRPr="00A46E42">
        <w:t>2026.</w:t>
      </w:r>
    </w:p>
    <w:p w14:paraId="39F74789" w14:textId="2BB57C73" w:rsidR="00F277D3" w:rsidRPr="00CB426F" w:rsidRDefault="00F277D3" w:rsidP="00F277D3">
      <w:r w:rsidRPr="00CB426F">
        <w:t xml:space="preserve">Στις αναδυόμενες αγορές και </w:t>
      </w:r>
      <w:r w:rsidR="006C068E">
        <w:t xml:space="preserve">τις </w:t>
      </w:r>
      <w:r w:rsidRPr="00CB426F">
        <w:t xml:space="preserve">αναπτυσσόμενες οικονομίες, σύμφωνα με τις προβλέψεις του ΔΝΤ τον Οκτώβριο 2025, ο ρυθμός αύξησης του ΑΕΠ αναμένεται να επιβραδυνθεί από 4,3% το 2024 σε 4,2% το 2025 και σε 4,0% το 2026. Οι εν λόγω οικονομίες έχουν επωφεληθεί από ευνοϊκές χρηματοοικονομικές συνθήκες, οι οποίες συνδέονται με την υποτίμηση του δολαρίου. Για την Κίνα ο ρυθμός ανάπτυξης προβλέπεται να υποχωρήσει από 5,0% το 2024 σε 4,8% το 2025 και σε 4,2% το 2026. </w:t>
      </w:r>
      <w:r w:rsidRPr="00110C1C">
        <w:t>H</w:t>
      </w:r>
      <w:r w:rsidRPr="00CB426F">
        <w:t xml:space="preserve"> οικονομία της Ινδίας, χάρη στην ισχυρή άνοδο του τομέα των υπηρεσιών, κατέγραψε το </w:t>
      </w:r>
      <w:r w:rsidR="00020881">
        <w:t xml:space="preserve">1ο </w:t>
      </w:r>
      <w:r w:rsidRPr="00CB426F">
        <w:t>εξάμηνο του 2025 ρυθμό ανάπτυξης υψηλότερο του αναμενόμενου, ο οποίος προβλέπεται να διαμορφωθεί σε 6,6% το 2025 έναντι 6,5% το 2024, ενώ αναμένεται επιβράδυνση σε 6,2% το 2026.</w:t>
      </w:r>
    </w:p>
    <w:p w14:paraId="5E802D82" w14:textId="5E27BAE4" w:rsidR="00F277D3" w:rsidRPr="00CB426F" w:rsidRDefault="00F277D3" w:rsidP="00FA4C8A">
      <w:r w:rsidRPr="00CB426F">
        <w:t xml:space="preserve">Σύμφωνα με τις προβλέψεις του ΔΝΤ τον Οκτώβριο 2025, ο ρυθμός ανάπτυξης του παγκόσμιου εμπορίου αγαθών και υπηρεσιών σε όρους όγκου αναμένεται να αυξηθεί από 3,5% το 2024 σε 3,6% το 2025 και να επιβραδυνθεί σε 2,3% το 2026. Σε σύγκριση με τις προβλέψεις </w:t>
      </w:r>
      <w:r w:rsidR="00E1646B">
        <w:t xml:space="preserve">του </w:t>
      </w:r>
      <w:r w:rsidRPr="00CB426F">
        <w:t>Ιουλίου, παρατηρείται ανοδική αναθεώρηση κατά μ</w:t>
      </w:r>
      <w:r w:rsidR="00E1646B">
        <w:t>ί</w:t>
      </w:r>
      <w:r w:rsidRPr="00CB426F">
        <w:t xml:space="preserve">α ποσοστιαία μονάδα για το 2025, ενώ για το 2026 η αναθεώρηση προς τα πάνω περιορίζεται σε 0,4 ποσοστιαίες μονάδες, αντικατοπτρίζοντας φαινόμενα προαγορών που παρατηρήθηκαν το 2025. Στις προηγμένες οικονομίες οι εξαγωγές </w:t>
      </w:r>
      <w:r w:rsidR="00E1646B">
        <w:t>αναμένεται</w:t>
      </w:r>
      <w:r w:rsidRPr="00CB426F">
        <w:t xml:space="preserve"> να αυξηθούν κατά 2,1% το 2025 και κατά 1,7% το 2026 έναντι 1,8% το 2024 και οι εισαγωγές κατά 3,1% το 2025 και κατά 1,3% το 2026 έναντι 2,1% το 2024. Στις αναδυόμενες αγορές και </w:t>
      </w:r>
      <w:r w:rsidR="00E1646B">
        <w:t xml:space="preserve">τις </w:t>
      </w:r>
      <w:r w:rsidRPr="00CB426F">
        <w:t>αναπτυσσόμενες οικονομίες οι εξαγωγές αναμένεται να αυξηθούν κατά 5,9% το 2025 και κατά 3,3% το 2026 έναντι 6,5% το 2024 και οι εισαγωγές κατά 4,3% το 2025 και κατά 4,0% το 2026 έναντι 5,6% το 2024.</w:t>
      </w:r>
    </w:p>
    <w:p w14:paraId="765EACCA" w14:textId="7DBB0122" w:rsidR="00F277D3" w:rsidRPr="00852C27" w:rsidRDefault="00F277D3" w:rsidP="00FA4C8A">
      <w:pPr>
        <w:rPr>
          <w:b/>
          <w:bCs/>
          <w:u w:val="single"/>
        </w:rPr>
      </w:pPr>
      <w:r w:rsidRPr="00A46E42">
        <w:t>Σύμφωνα με τις προβλέψεις</w:t>
      </w:r>
      <w:r>
        <w:t xml:space="preserve"> της ΕΚΤ</w:t>
      </w:r>
      <w:r w:rsidRPr="00A46E42">
        <w:t xml:space="preserve"> τον Σεπτέμβριο 2025, ο ρυθμός αύξησης του παγκόσμιου εμπορίου (εξαιρουμένης της Ευρωζώνης) αναμένεται να μειωθεί από 4,2% το 2024 σε 2,8% το 2025 και περαιτέρω σε 1,5% το 2026. Ο ρυθμός αύξησης της εξωτερικής ζήτησης της Ευρωζώνης προβλέπεται να περιοριστεί από 3,6% το 2024 σε 2,8% το 2025 και σε 1,4% το 2026.</w:t>
      </w:r>
    </w:p>
    <w:p w14:paraId="2917B60C" w14:textId="17F6F47C" w:rsidR="00F277D3" w:rsidRPr="00A46E42" w:rsidRDefault="00F277D3" w:rsidP="00FA4C8A">
      <w:r w:rsidRPr="00A46E42">
        <w:t xml:space="preserve">Ο παγκόσμιος πληθωρισμός, σύμφωνα με τις προβλέψεις του </w:t>
      </w:r>
      <w:r>
        <w:t>ΔΝΤ τον Οκτώβριο 2025, αναμένεται</w:t>
      </w:r>
      <w:r w:rsidRPr="00A46E42">
        <w:t xml:space="preserve"> να αποκλιμακωθεί σε 4,2% το 2025 και να υποχωρήσει</w:t>
      </w:r>
      <w:r>
        <w:t xml:space="preserve"> </w:t>
      </w:r>
      <w:r w:rsidRPr="00A46E42">
        <w:t>σε 3,</w:t>
      </w:r>
      <w:r>
        <w:t>7</w:t>
      </w:r>
      <w:r w:rsidRPr="00A46E42">
        <w:t>% το 2026 έναντι 5,</w:t>
      </w:r>
      <w:r>
        <w:t>8</w:t>
      </w:r>
      <w:r w:rsidRPr="00A46E42">
        <w:t>% το 2024</w:t>
      </w:r>
      <w:r w:rsidRPr="00744997">
        <w:t>.</w:t>
      </w:r>
      <w:r w:rsidRPr="00A46E42">
        <w:t xml:space="preserve"> Στις προηγμένες οικονομίες ο πληθωρισμός προβλέπεται να μειωθεί από 2,6% το 2024 σε 2,5% το 2025 και</w:t>
      </w:r>
      <w:r>
        <w:t xml:space="preserve"> </w:t>
      </w:r>
      <w:r w:rsidRPr="00A46E42">
        <w:t>σε 2,</w:t>
      </w:r>
      <w:r>
        <w:t>2</w:t>
      </w:r>
      <w:r w:rsidRPr="00A46E42">
        <w:t xml:space="preserve">% το 2026, ενώ στις αναδυόμενες αγορές και </w:t>
      </w:r>
      <w:r w:rsidR="00E1646B">
        <w:t xml:space="preserve">τις </w:t>
      </w:r>
      <w:r w:rsidRPr="00A46E42">
        <w:t>αναπτυσσόμενες οικονομίες</w:t>
      </w:r>
      <w:r>
        <w:t xml:space="preserve"> προβλέπεται</w:t>
      </w:r>
      <w:r w:rsidRPr="00A46E42">
        <w:t xml:space="preserve"> να παραμείνει υψηλότερος σε σύγκριση με τις προηγμένες οικονομίες και να υποχωρήσει από 7,</w:t>
      </w:r>
      <w:r>
        <w:t>9</w:t>
      </w:r>
      <w:r w:rsidRPr="00A46E42">
        <w:t>% το 2024 σε 5,</w:t>
      </w:r>
      <w:r>
        <w:t>3</w:t>
      </w:r>
      <w:r w:rsidRPr="00A46E42">
        <w:t>% το 2025 και να αποκλιμακωθεί περαιτέρω σε 4,</w:t>
      </w:r>
      <w:r>
        <w:t>7</w:t>
      </w:r>
      <w:r w:rsidRPr="00A46E42">
        <w:t>% το 2026.</w:t>
      </w:r>
    </w:p>
    <w:p w14:paraId="0DAFBD29" w14:textId="622F475F" w:rsidR="00F277D3" w:rsidRPr="00A46E42" w:rsidRDefault="00F277D3" w:rsidP="00F277D3">
      <w:bookmarkStart w:id="10" w:name="_Hlk211418830"/>
      <w:r w:rsidRPr="004F1BDC">
        <w:lastRenderedPageBreak/>
        <w:t xml:space="preserve">Σύμφωνα με τις </w:t>
      </w:r>
      <w:r w:rsidR="000F6B8E">
        <w:t>φθινοπωρινές</w:t>
      </w:r>
      <w:r w:rsidRPr="004F1BDC">
        <w:t xml:space="preserve"> οικονομικές προβλέψεις της Ευρωπαϊκής Επιτροπής, </w:t>
      </w:r>
      <w:bookmarkEnd w:id="10"/>
      <w:r w:rsidRPr="004F1BDC">
        <w:t>η μέση τιμή του αργού πετρελαίου βρίσκεται σε καθοδική τροχιά</w:t>
      </w:r>
      <w:r w:rsidR="000F6B8E">
        <w:t xml:space="preserve"> και από </w:t>
      </w:r>
      <w:r w:rsidRPr="004F1BDC">
        <w:t>80,5 δολάρια το βαρέλι το 2024</w:t>
      </w:r>
      <w:r w:rsidR="00CC0AB4">
        <w:t xml:space="preserve"> αναμένεται να μειωθεί</w:t>
      </w:r>
      <w:r w:rsidRPr="004F1BDC">
        <w:t xml:space="preserve"> </w:t>
      </w:r>
      <w:r w:rsidR="00E1646B">
        <w:t xml:space="preserve">σε </w:t>
      </w:r>
      <w:r w:rsidRPr="004F1BDC">
        <w:t>6</w:t>
      </w:r>
      <w:r w:rsidR="00CC0AB4">
        <w:t>8,9</w:t>
      </w:r>
      <w:r w:rsidRPr="004F1BDC">
        <w:t xml:space="preserve"> δολάρια το βαρέλι το 2025 και σε 6</w:t>
      </w:r>
      <w:r w:rsidR="00CC0AB4">
        <w:t>2</w:t>
      </w:r>
      <w:r w:rsidRPr="004F1BDC">
        <w:t>,</w:t>
      </w:r>
      <w:r w:rsidR="00CC0AB4">
        <w:t>4</w:t>
      </w:r>
      <w:r w:rsidRPr="004F1BDC">
        <w:t xml:space="preserve"> δολάρια το βαρέλι το 2026. Οι προβλέψεις για τις τιμές του πετρελαίου </w:t>
      </w:r>
      <w:r w:rsidR="00CC0AB4">
        <w:t>παραμένουν σε χαμηλά επίπεδα λόγω της αυξανόμενης προσφοράς και των συνεχιζόμενων ανησυχιών σχετικά με τη διεθνή</w:t>
      </w:r>
      <w:r w:rsidRPr="004F1BDC">
        <w:t xml:space="preserve"> ζήτηση.</w:t>
      </w:r>
    </w:p>
    <w:p w14:paraId="34554D07" w14:textId="22C560F3" w:rsidR="00995C2B" w:rsidRPr="00CC0AB4" w:rsidRDefault="00F277D3" w:rsidP="0053197E">
      <w:r>
        <w:t>Από τις αρχές του 2025 η παγκόσμια οικονομία έχει εισέλθει σε μ</w:t>
      </w:r>
      <w:r w:rsidR="00FD140E">
        <w:t>ί</w:t>
      </w:r>
      <w:r>
        <w:t>α παρατεταμένη περίοδο αβεβαιότητας</w:t>
      </w:r>
      <w:r w:rsidRPr="00A44E0A">
        <w:t>,</w:t>
      </w:r>
      <w:r>
        <w:t xml:space="preserve"> η οποία </w:t>
      </w:r>
      <w:r w:rsidR="00FD140E">
        <w:t>συ</w:t>
      </w:r>
      <w:r>
        <w:t xml:space="preserve">σχετίζεται κυρίως με τη δασμολογική πολιτική των ΗΠΑ. </w:t>
      </w:r>
      <w:r w:rsidR="00FD140E">
        <w:t>Αν και</w:t>
      </w:r>
      <w:r w:rsidR="00FA4C8A">
        <w:t xml:space="preserve"> </w:t>
      </w:r>
      <w:r>
        <w:t>οι εμπορικές συμφωνίες που ισχύουν σήμερα μεταξύ των ΗΠΑ και των εμπορικών τους εταίρων έχουν μειώσει σημαντικά τα αρχικά υψηλά δασμολογικά επίπεδα, η αβεβαιότητα παραμένει αυξημένη</w:t>
      </w:r>
      <w:r w:rsidR="00020881">
        <w:t xml:space="preserve"> </w:t>
      </w:r>
      <w:r w:rsidR="00FD140E">
        <w:t xml:space="preserve">αποτελώντας τροχοπέδη τόσο για τις </w:t>
      </w:r>
      <w:r>
        <w:t xml:space="preserve">επενδυτικές αποφάσεις των επιχειρήσεων </w:t>
      </w:r>
      <w:r w:rsidR="00FD140E">
        <w:t>όσο και για</w:t>
      </w:r>
      <w:r>
        <w:t xml:space="preserve"> τις προοπτικές ανάπτυξης. Η άσκηση της δημοσιονομικής πολιτικής </w:t>
      </w:r>
      <w:r w:rsidR="0035622F">
        <w:t xml:space="preserve">καθίσταται δυσχερέστερη </w:t>
      </w:r>
      <w:r>
        <w:t xml:space="preserve">για πολλές οικονομίες </w:t>
      </w:r>
      <w:r w:rsidR="00FA4C8A">
        <w:t xml:space="preserve">τόσο λόγω </w:t>
      </w:r>
      <w:r>
        <w:t xml:space="preserve">υψηλότερων επιτοκίων </w:t>
      </w:r>
      <w:r w:rsidR="00FA4C8A">
        <w:t xml:space="preserve">όσο </w:t>
      </w:r>
      <w:r>
        <w:t xml:space="preserve">και </w:t>
      </w:r>
      <w:r w:rsidR="00FA4C8A">
        <w:t xml:space="preserve">λόγω </w:t>
      </w:r>
      <w:r>
        <w:t xml:space="preserve">αυξημένων αναγκών για δαπάνες σε άμυνα </w:t>
      </w:r>
      <w:r w:rsidR="00FA4C8A">
        <w:t>εξαιτίας</w:t>
      </w:r>
      <w:r>
        <w:t xml:space="preserve"> των γεωπολιτικών κινδύνων. Επίσης, η κλιματική αλλαγή ενδέχεται να προκαλέσει αυξήσεις στις τιμές καυσίμων, τροφίμων και εμπορευμάτων</w:t>
      </w:r>
      <w:r w:rsidR="00CC0AB4">
        <w:t xml:space="preserve"> σε ορισμένες αγορές</w:t>
      </w:r>
      <w:r w:rsidR="005244AE">
        <w:t>,</w:t>
      </w:r>
      <w:r>
        <w:t xml:space="preserve"> με δυσμεν</w:t>
      </w:r>
      <w:r w:rsidR="005244AE">
        <w:t xml:space="preserve">είς </w:t>
      </w:r>
      <w:r w:rsidR="00020881">
        <w:t>συνέπειες</w:t>
      </w:r>
      <w:r>
        <w:t xml:space="preserve"> </w:t>
      </w:r>
      <w:r w:rsidR="005244AE">
        <w:t xml:space="preserve">ιδιαίτερα </w:t>
      </w:r>
      <w:r>
        <w:t xml:space="preserve">για τις χώρες χαμηλού εισοδήματος. </w:t>
      </w:r>
      <w:r w:rsidR="0035622F">
        <w:t>Συγχρόνως</w:t>
      </w:r>
      <w:r>
        <w:t xml:space="preserve">, η μείωση της διεθνούς βοήθειας από τις ΗΠΑ </w:t>
      </w:r>
      <w:r w:rsidR="0035622F">
        <w:t xml:space="preserve">επιδεινώνει </w:t>
      </w:r>
      <w:r>
        <w:t>τις προοπτικές για τις πλέον ευάλωτες χώρες</w:t>
      </w:r>
      <w:r w:rsidR="003E7858">
        <w:t xml:space="preserve">, καθιστώντας </w:t>
      </w:r>
      <w:r>
        <w:t xml:space="preserve">αναγκαία τη στροφή τους σε εσωτερικούς πόρους και δανεισμό. </w:t>
      </w:r>
      <w:r>
        <w:rPr>
          <w:lang w:val="en-US"/>
        </w:rPr>
        <w:t>T</w:t>
      </w:r>
      <w:r>
        <w:t xml:space="preserve">έλος, </w:t>
      </w:r>
      <w:r w:rsidR="00CC0AB4">
        <w:t xml:space="preserve">σημαντικός παράγοντας που αναμένεται να έχει διαφοροποιημένες επιδράσεις μεταξύ των χωρών είναι η εξέλιξη </w:t>
      </w:r>
      <w:r>
        <w:t xml:space="preserve">της τεχνητής νοημοσύνης. </w:t>
      </w:r>
      <w:r w:rsidRPr="00EA321A">
        <w:t xml:space="preserve">Στους παράγοντες που θα μπορούσαν να </w:t>
      </w:r>
      <w:r w:rsidR="00B943D4">
        <w:t>συντελέσουν</w:t>
      </w:r>
      <w:r w:rsidRPr="00EA321A">
        <w:t xml:space="preserve"> στην ανοδική πορεία της παγκόσμιας οικονομίας</w:t>
      </w:r>
      <w:r w:rsidR="00B943D4">
        <w:t>,</w:t>
      </w:r>
      <w:r w:rsidRPr="00EA321A">
        <w:t xml:space="preserve"> περιλαμβάνεται η επίτευξη συμφωνίας για </w:t>
      </w:r>
      <w:r w:rsidR="00B943D4">
        <w:t xml:space="preserve">τη </w:t>
      </w:r>
      <w:r w:rsidRPr="00EA321A">
        <w:t>μείωση των δασμολογικών επιβαρύνσεων παγκοσμίως. Ένα αποτελεσματικό</w:t>
      </w:r>
      <w:r w:rsidR="00934AB5">
        <w:t>,</w:t>
      </w:r>
      <w:r w:rsidRPr="00EA321A">
        <w:t xml:space="preserve"> πολυμερές εμπορικό σύστημα</w:t>
      </w:r>
      <w:r w:rsidR="00CC7498">
        <w:t xml:space="preserve"> </w:t>
      </w:r>
      <w:r w:rsidRPr="00EA321A">
        <w:t xml:space="preserve">θα μπορούσε να βελτιώσει την προβλεψιμότητα των εμπορικών πολιτικών με οφέλη ευρείας κλίμακας. </w:t>
      </w:r>
      <w:r w:rsidRPr="00DE3785">
        <w:t>Επίσης, σε ένα ολοένα και πιο απαιτητικό παγκόσμιο περιβάλλον, τόσο οι προηγμένες όσο και οι αναδυόμενες αγορές και οι αναπτυσσόμενες οικονομίες θα μπορούσαν</w:t>
      </w:r>
      <w:r w:rsidR="005244AE">
        <w:t>,</w:t>
      </w:r>
      <w:r w:rsidRPr="00DE3785">
        <w:t xml:space="preserve"> επιταχύνοντας τον ρυθμό των διαρθρωτικών μεταρρυθμίσεων</w:t>
      </w:r>
      <w:r w:rsidR="005244AE">
        <w:t>,</w:t>
      </w:r>
      <w:r>
        <w:t xml:space="preserve"> </w:t>
      </w:r>
      <w:r w:rsidRPr="00DE3785">
        <w:t>να αποτρέψουν περαιτέρω μειώσεις στην παραγωγικότητα και να συμβάλουν σε ισχυρότερη μεσοπρόθεσμη ανάπτυξη.</w:t>
      </w:r>
    </w:p>
    <w:p w14:paraId="7988FE9B" w14:textId="77777777" w:rsidR="0007761B" w:rsidRDefault="0007761B" w:rsidP="00300BBF">
      <w:pPr>
        <w:pStyle w:val="4"/>
      </w:pPr>
      <w:bookmarkStart w:id="11" w:name="_Toc119778039"/>
      <w:bookmarkStart w:id="12" w:name="_Toc214473721"/>
      <w:r w:rsidRPr="00EA594A">
        <w:t xml:space="preserve">Η ενιαία νομισματική </w:t>
      </w:r>
      <w:r w:rsidRPr="002F5B38">
        <w:t>πολιτική</w:t>
      </w:r>
      <w:r w:rsidRPr="00EA594A">
        <w:t xml:space="preserve"> στη</w:t>
      </w:r>
      <w:r>
        <w:t>ν Ευρωζ</w:t>
      </w:r>
      <w:r w:rsidRPr="00EA594A">
        <w:t>ώνη</w:t>
      </w:r>
      <w:bookmarkEnd w:id="11"/>
      <w:bookmarkEnd w:id="12"/>
    </w:p>
    <w:p w14:paraId="427D7B67" w14:textId="1E32CC8C" w:rsidR="00CA2AF1" w:rsidRPr="004736E1" w:rsidRDefault="00CA2AF1" w:rsidP="00197C53">
      <w:r w:rsidRPr="004736E1">
        <w:t>Στη διάρκεια του 2025 η οικονομία στη</w:t>
      </w:r>
      <w:r w:rsidR="00E506F6">
        <w:t>ν</w:t>
      </w:r>
      <w:r w:rsidRPr="004736E1">
        <w:t xml:space="preserve"> </w:t>
      </w:r>
      <w:r w:rsidR="00E506F6">
        <w:t>Ευρω</w:t>
      </w:r>
      <w:r w:rsidRPr="004736E1">
        <w:t xml:space="preserve">ζώνη συνέχισε να αναπτύσσεται παρά τις προκλήσεις του διεθνούς περιβάλλοντος. Σε τριμηνιαία βάση η ενίσχυση </w:t>
      </w:r>
      <w:r>
        <w:t xml:space="preserve">της οικονομικής δραστηριότητας </w:t>
      </w:r>
      <w:r w:rsidRPr="004736E1">
        <w:t xml:space="preserve">ήταν εντονότερη το </w:t>
      </w:r>
      <w:r w:rsidR="001E1EFD">
        <w:t>1ο</w:t>
      </w:r>
      <w:r w:rsidRPr="004736E1">
        <w:t xml:space="preserve"> τρίμηνο του 2025 και ασθενέστερη τα επόμενα τρίμηνα, </w:t>
      </w:r>
      <w:r w:rsidR="001E1EFD">
        <w:t>αντανακλώντας</w:t>
      </w:r>
      <w:r w:rsidR="008D46A6">
        <w:t xml:space="preserve"> </w:t>
      </w:r>
      <w:r w:rsidRPr="004736E1">
        <w:t>εν μέρει</w:t>
      </w:r>
      <w:r w:rsidR="001E1EFD">
        <w:t xml:space="preserve"> την επίσπευση μεγάλου μέρους </w:t>
      </w:r>
      <w:r w:rsidRPr="004736E1">
        <w:t xml:space="preserve">των εξαγωγών και της παραγωγής εξαγώγιμων προϊόντων </w:t>
      </w:r>
      <w:r w:rsidR="001E1EFD">
        <w:t>πριν</w:t>
      </w:r>
      <w:r w:rsidR="006C755D">
        <w:t xml:space="preserve"> από</w:t>
      </w:r>
      <w:r w:rsidR="001E1EFD">
        <w:t xml:space="preserve"> την επιβολή </w:t>
      </w:r>
      <w:r w:rsidRPr="004736E1">
        <w:t>νέ</w:t>
      </w:r>
      <w:r w:rsidR="001E1EFD">
        <w:t>ων</w:t>
      </w:r>
      <w:r w:rsidRPr="004736E1">
        <w:t xml:space="preserve"> δασμ</w:t>
      </w:r>
      <w:r w:rsidR="001E1EFD">
        <w:t>ών</w:t>
      </w:r>
      <w:r w:rsidRPr="004736E1">
        <w:t xml:space="preserve"> από τις ΗΠΑ. Η δραστηριότητα στον τομέα των υπηρεσιών συνέχισε να εξελίσσεται ικανοποιητικά. Οι συνθήκες στην αγορά εργασίας </w:t>
      </w:r>
      <w:r>
        <w:t>παρέμειναν</w:t>
      </w:r>
      <w:r w:rsidRPr="004736E1">
        <w:t xml:space="preserve"> βελτιωμένες</w:t>
      </w:r>
      <w:r w:rsidR="008D46A6">
        <w:t>,</w:t>
      </w:r>
      <w:r w:rsidRPr="004736E1">
        <w:t xml:space="preserve"> καθώς το ποσοστό ανεργίας διατηρήθηκε κοντά σε ιστορικώς χαμηλά επίπεδα. Ειδικότερα, το πραγματικό ΑΕΠ στη</w:t>
      </w:r>
      <w:r w:rsidR="00E506F6">
        <w:t>ν Ευρω</w:t>
      </w:r>
      <w:r w:rsidR="00E506F6" w:rsidRPr="004736E1">
        <w:t>ζώνη</w:t>
      </w:r>
      <w:r w:rsidRPr="004736E1">
        <w:t xml:space="preserve"> ενισχύθηκε σε ετήσια βάση κατά 1,6% το </w:t>
      </w:r>
      <w:r w:rsidR="006C755D">
        <w:t>1ο</w:t>
      </w:r>
      <w:r w:rsidRPr="004736E1">
        <w:t xml:space="preserve"> τρίμηνο του 2025, κατά 1,5% το </w:t>
      </w:r>
      <w:r w:rsidR="006C755D">
        <w:t>2ο</w:t>
      </w:r>
      <w:r w:rsidRPr="004736E1">
        <w:t xml:space="preserve"> τρίμηνο και κατά 1,3% το </w:t>
      </w:r>
      <w:r w:rsidR="006C755D">
        <w:t>3ο</w:t>
      </w:r>
      <w:r w:rsidRPr="004736E1">
        <w:t xml:space="preserve"> τρίμηνο του τρέχοντος έτους.</w:t>
      </w:r>
    </w:p>
    <w:p w14:paraId="62F40525" w14:textId="52A522E6" w:rsidR="00CA2AF1" w:rsidRPr="004736E1" w:rsidRDefault="00CA2AF1" w:rsidP="00197C53">
      <w:r w:rsidRPr="004736E1">
        <w:t>Ο πληθωρισμός στη</w:t>
      </w:r>
      <w:r w:rsidR="00E506F6">
        <w:t>ν Ευρω</w:t>
      </w:r>
      <w:r w:rsidR="00E506F6" w:rsidRPr="004736E1">
        <w:t>ζώνη</w:t>
      </w:r>
      <w:r w:rsidR="00E506F6">
        <w:t xml:space="preserve"> </w:t>
      </w:r>
      <w:r w:rsidRPr="004736E1">
        <w:t xml:space="preserve">συνέχισε να αποκλιμακώνεται στη διάρκεια του </w:t>
      </w:r>
      <w:r>
        <w:t>έτους</w:t>
      </w:r>
      <w:r w:rsidRPr="004736E1">
        <w:t xml:space="preserve">. Ο ρυθμός αύξησης του μοναδιαίου κόστους εργασίας </w:t>
      </w:r>
      <w:r>
        <w:t>μετριάστηκε</w:t>
      </w:r>
      <w:r w:rsidRPr="004736E1">
        <w:t>, καθώς οι μισθολογικές αυξήσεις επιβραδύνθηκαν και η παραγωγικότητα της εργασίας ενισχύθηκε. Ειδικότερα, ο ετήσιος ρυθμός του γενικού πληθωρισμού στη</w:t>
      </w:r>
      <w:r w:rsidR="00E506F6">
        <w:t>ν Ευρω</w:t>
      </w:r>
      <w:r w:rsidR="00E506F6" w:rsidRPr="004736E1">
        <w:t>ζώνη</w:t>
      </w:r>
      <w:r w:rsidRPr="004736E1">
        <w:t xml:space="preserve"> παρουσίασε κατά τη διάρκεια του 2025 περαιτέρω επιβράδυνση (Οκτώβριος 2025: 2,1%, Δεκέμβριος 2024: 2,4%). Ο πυρήνας του πληθωρισμού</w:t>
      </w:r>
      <w:r w:rsidR="003E6920">
        <w:t>, ήτοι</w:t>
      </w:r>
      <w:r w:rsidRPr="004736E1">
        <w:t xml:space="preserve"> ο ρυθμός μεταβολής των τιμών εκτός ενέργειας και ειδών διατροφής</w:t>
      </w:r>
      <w:r w:rsidR="003E6920">
        <w:t>,</w:t>
      </w:r>
      <w:r w:rsidRPr="004736E1">
        <w:t xml:space="preserve"> επίσης υποχώρησε (Οκτώβριος 2025: 2,4%, Δεκέμβριος 2024: 2,7%). Αν και </w:t>
      </w:r>
      <w:r w:rsidR="0046140C">
        <w:t>σ</w:t>
      </w:r>
      <w:r w:rsidRPr="004736E1">
        <w:t xml:space="preserve">τις αρχές του έτους σημειώθηκε, λόγω των εμπορικών εντάσεων, προσωρινή άνοδος των πληθωριστικών προσδοκιών στις πιο βραχυπρόθεσμες διάρκειες, οι περισσότεροι δείκτες μακροπρόθεσμων πληθωριστικών προσδοκιών διατηρήθηκαν </w:t>
      </w:r>
      <w:r w:rsidR="007C322F">
        <w:t>σε ποσοστό</w:t>
      </w:r>
      <w:r w:rsidRPr="004736E1">
        <w:t xml:space="preserve"> 2%</w:t>
      </w:r>
      <w:r w:rsidR="007C322F">
        <w:t xml:space="preserve"> περίπου</w:t>
      </w:r>
      <w:r w:rsidR="003E6920">
        <w:t xml:space="preserve">. Η εν λόγω </w:t>
      </w:r>
      <w:r w:rsidRPr="004736E1">
        <w:t>εξέλιξη</w:t>
      </w:r>
      <w:r w:rsidR="00623536">
        <w:t xml:space="preserve"> </w:t>
      </w:r>
      <w:r w:rsidRPr="004736E1">
        <w:t>είναι συνεπής με τη διατηρήσιμη επιστροφή του πληθωρισμού στο</w:t>
      </w:r>
      <w:r w:rsidR="007C322F">
        <w:t>ν</w:t>
      </w:r>
      <w:r w:rsidRPr="004736E1">
        <w:t xml:space="preserve"> στόχο του 2% του Ευρωσυστήματος.</w:t>
      </w:r>
    </w:p>
    <w:p w14:paraId="46763767" w14:textId="68617494" w:rsidR="00CA2AF1" w:rsidRPr="004736E1" w:rsidRDefault="00CA2AF1" w:rsidP="00197C53">
      <w:r w:rsidRPr="004736E1">
        <w:lastRenderedPageBreak/>
        <w:t>Οι κίνδυνοι για τις προοπτικές της οικονομικής δραστηριότητας στη</w:t>
      </w:r>
      <w:r w:rsidR="00E506F6">
        <w:t>ν Ευρω</w:t>
      </w:r>
      <w:r w:rsidR="00E506F6" w:rsidRPr="004736E1">
        <w:t>ζώνη</w:t>
      </w:r>
      <w:r w:rsidRPr="004736E1">
        <w:t xml:space="preserve"> θεωρούνται πλέον ισορροπημένοι. Αν και οι πρόσφατες εμπορικές συμφωνίες έχουν </w:t>
      </w:r>
      <w:r w:rsidR="0046140C">
        <w:t>συμβάλει</w:t>
      </w:r>
      <w:r w:rsidRPr="004736E1">
        <w:t xml:space="preserve"> </w:t>
      </w:r>
      <w:r w:rsidR="0046140C">
        <w:t>στη</w:t>
      </w:r>
      <w:r w:rsidRPr="004736E1">
        <w:t xml:space="preserve"> μείωση της αβεβαιότητας, </w:t>
      </w:r>
      <w:r w:rsidR="00425EDB">
        <w:t>ενδεχόμενη</w:t>
      </w:r>
      <w:r w:rsidRPr="004736E1">
        <w:t xml:space="preserve"> νέα </w:t>
      </w:r>
      <w:r w:rsidR="00FE497B">
        <w:t xml:space="preserve">όξυνση </w:t>
      </w:r>
      <w:r w:rsidRPr="004736E1">
        <w:t>των εμπορικών εντάσεων θα μπορούσε να επιφέρει εξασθέν</w:t>
      </w:r>
      <w:r w:rsidR="003E6920">
        <w:t>ι</w:t>
      </w:r>
      <w:r w:rsidRPr="004736E1">
        <w:t xml:space="preserve">ση των εξαγωγών και μείωση των επενδύσεων και της κατανάλωσης. Μία </w:t>
      </w:r>
      <w:r w:rsidR="00425EDB">
        <w:t xml:space="preserve">πιθανή </w:t>
      </w:r>
      <w:r w:rsidRPr="004736E1">
        <w:t>επιδείνωση του κλίματος στις χρηματοπιστωτικές αγορές θα μπορούσε να οδηγήσει σε αυστηροποίηση των συνθηκών χρηματοδότησης στη</w:t>
      </w:r>
      <w:r w:rsidR="00E506F6">
        <w:t>ν Ευρω</w:t>
      </w:r>
      <w:r w:rsidR="00E506F6" w:rsidRPr="004736E1">
        <w:t>ζώνη</w:t>
      </w:r>
      <w:r w:rsidRPr="004736E1">
        <w:t>. Οι γεωπολιτικές εντάσεις παραμένουν</w:t>
      </w:r>
      <w:r w:rsidR="0046140C">
        <w:t>, επίσης,</w:t>
      </w:r>
      <w:r w:rsidRPr="004736E1">
        <w:t xml:space="preserve"> μία πολύ σημαντική πηγή αβεβαιότητας. Από την άλλη πλευρά, οι υψηλές δαπάνες που αναμένονται σε άμυνα και υποδομές</w:t>
      </w:r>
      <w:r w:rsidR="0046140C">
        <w:t>,</w:t>
      </w:r>
      <w:r w:rsidRPr="004736E1">
        <w:t xml:space="preserve"> σε συνδυασμό με μεταρρυθμίσεις που στηρίζουν την παραγωγικότητα, θα μπορούσαν να συμβάλουν σε ενίσχυση της ανάπτυξης. Προς την ίδια κατεύθυνση θα </w:t>
      </w:r>
      <w:r w:rsidR="00FE497B">
        <w:t xml:space="preserve">επιδράσει </w:t>
      </w:r>
      <w:r w:rsidRPr="004736E1">
        <w:t xml:space="preserve">και </w:t>
      </w:r>
      <w:r w:rsidR="00FE497B">
        <w:t>ενδεχόμενη</w:t>
      </w:r>
      <w:r w:rsidRPr="004736E1">
        <w:t xml:space="preserve"> </w:t>
      </w:r>
      <w:r w:rsidR="00A9192B">
        <w:t xml:space="preserve">αποκλιμάκωση </w:t>
      </w:r>
      <w:r w:rsidRPr="004736E1">
        <w:t xml:space="preserve">των γεωπολιτικών εντάσεων ή πιθανή διευθέτηση των εμπορικών διαφορών νωρίτερα </w:t>
      </w:r>
      <w:r w:rsidR="00FE497B">
        <w:t xml:space="preserve">του </w:t>
      </w:r>
      <w:r w:rsidRPr="004736E1">
        <w:t>αναμενόμενο</w:t>
      </w:r>
      <w:r w:rsidR="00FE497B">
        <w:t>υ</w:t>
      </w:r>
      <w:r w:rsidRPr="004736E1">
        <w:t>.</w:t>
      </w:r>
    </w:p>
    <w:p w14:paraId="403857E3" w14:textId="586E633E" w:rsidR="00CA2AF1" w:rsidRPr="004736E1" w:rsidRDefault="00CA2AF1" w:rsidP="00197C53">
      <w:r w:rsidRPr="004736E1">
        <w:t xml:space="preserve">Οι προοπτικές του πληθωρισμού χαρακτηρίζονται από αβεβαιότητα λόγω του </w:t>
      </w:r>
      <w:r w:rsidR="00A9192B">
        <w:t xml:space="preserve">διεθνούς </w:t>
      </w:r>
      <w:r w:rsidRPr="004736E1">
        <w:t>ευμετάβλητου περιβάλλοντος</w:t>
      </w:r>
      <w:r w:rsidR="00A9192B">
        <w:t>,</w:t>
      </w:r>
      <w:r w:rsidRPr="004736E1">
        <w:t xml:space="preserve"> όσον αφορά </w:t>
      </w:r>
      <w:r w:rsidR="00A9192B">
        <w:t>σ</w:t>
      </w:r>
      <w:r w:rsidRPr="004736E1">
        <w:t xml:space="preserve">τις εμπορικές πολιτικές. Περαιτέρω ανατίμηση του ευρώ </w:t>
      </w:r>
      <w:r w:rsidR="00CC7498">
        <w:t xml:space="preserve">σε σχέση με το δολάριο </w:t>
      </w:r>
      <w:r w:rsidRPr="004736E1">
        <w:t>θα ασκήσει καθοδικές επιδράσεις στον πληθωρισμό</w:t>
      </w:r>
      <w:r w:rsidR="00CC7498">
        <w:t>, ενώ</w:t>
      </w:r>
      <w:r w:rsidRPr="004736E1">
        <w:t xml:space="preserve"> </w:t>
      </w:r>
      <w:r w:rsidR="005D5C95">
        <w:t>στο ίδιο αποτέλεσμα μπορεί να συμβάλει κ</w:t>
      </w:r>
      <w:r w:rsidR="00B0205F">
        <w:t>αι</w:t>
      </w:r>
      <w:r w:rsidR="00DF3CB0">
        <w:t xml:space="preserve"> </w:t>
      </w:r>
      <w:r w:rsidRPr="004736E1">
        <w:t>η ανακατεύθυνση προς τη</w:t>
      </w:r>
      <w:r w:rsidR="001C4EF8">
        <w:t>ν</w:t>
      </w:r>
      <w:r w:rsidRPr="004736E1">
        <w:t xml:space="preserve"> </w:t>
      </w:r>
      <w:r w:rsidR="001C4EF8">
        <w:t>Ευρω</w:t>
      </w:r>
      <w:r w:rsidR="001C4EF8" w:rsidRPr="004736E1">
        <w:t>ζώνη</w:t>
      </w:r>
      <w:r w:rsidRPr="004736E1">
        <w:t xml:space="preserve"> εξαγόμενων προϊόντων από χώρες με πλεόνασμα παραγωγικού δυναμικού. Αντίθετα, η κατάτμηση των εφοδιαστικών αλυσίδων διεθνώς μπορεί να </w:t>
      </w:r>
      <w:r>
        <w:t>επιφέρει</w:t>
      </w:r>
      <w:r w:rsidRPr="004736E1">
        <w:t xml:space="preserve"> αύξηση των τιμών των εισαγ</w:t>
      </w:r>
      <w:r w:rsidR="000F0FC4">
        <w:t>ό</w:t>
      </w:r>
      <w:r w:rsidRPr="004736E1">
        <w:t>μ</w:t>
      </w:r>
      <w:r w:rsidR="000F0FC4">
        <w:t>ε</w:t>
      </w:r>
      <w:r w:rsidRPr="004736E1">
        <w:t xml:space="preserve">νων </w:t>
      </w:r>
      <w:r w:rsidR="000F0FC4">
        <w:t xml:space="preserve">προϊόντων </w:t>
      </w:r>
      <w:r w:rsidRPr="004736E1">
        <w:t>στη</w:t>
      </w:r>
      <w:r w:rsidR="001C4EF8">
        <w:t>ν</w:t>
      </w:r>
      <w:r w:rsidRPr="004736E1">
        <w:t xml:space="preserve"> </w:t>
      </w:r>
      <w:r w:rsidR="001C4EF8">
        <w:t>Ευρω</w:t>
      </w:r>
      <w:r w:rsidR="001C4EF8" w:rsidRPr="004736E1">
        <w:t>ζώνη</w:t>
      </w:r>
      <w:r w:rsidRPr="004736E1">
        <w:t xml:space="preserve"> και να εντείνει τους περιορισμούς στο παραγωγικό δυναμικό της εγχώριας οικονομίας</w:t>
      </w:r>
      <w:r w:rsidR="00FC525D">
        <w:t>,</w:t>
      </w:r>
      <w:r w:rsidRPr="004736E1">
        <w:t xml:space="preserve"> ενισχύοντας τις πληθωριστικές πιέσεις. Επ</w:t>
      </w:r>
      <w:r w:rsidR="000F0FC4">
        <w:t>ιπλέον</w:t>
      </w:r>
      <w:r w:rsidR="006771AD">
        <w:t>,</w:t>
      </w:r>
      <w:r w:rsidR="000F0FC4">
        <w:t xml:space="preserve"> </w:t>
      </w:r>
      <w:r w:rsidRPr="004736E1">
        <w:t>η υπό εξέλιξη αύξηση των αμυντικών δαπανών</w:t>
      </w:r>
      <w:r w:rsidR="00FC525D">
        <w:t>,</w:t>
      </w:r>
      <w:r w:rsidRPr="004736E1">
        <w:t xml:space="preserve"> όπως και εκείνων για τη δημιουργία υποδομών</w:t>
      </w:r>
      <w:r w:rsidR="000F0FC4">
        <w:t>,</w:t>
      </w:r>
      <w:r w:rsidRPr="004736E1">
        <w:t xml:space="preserve"> είναι δυνατό να συμβάλει σ</w:t>
      </w:r>
      <w:r w:rsidR="000F0FC4">
        <w:t>την</w:t>
      </w:r>
      <w:r w:rsidRPr="004736E1">
        <w:t xml:space="preserve"> ενίσχυση των πληθωριστικών πιέσεων</w:t>
      </w:r>
      <w:r w:rsidR="000F0FC4">
        <w:t xml:space="preserve">. Τέλος, </w:t>
      </w:r>
      <w:r w:rsidR="005D5C95">
        <w:t>πιθανά</w:t>
      </w:r>
      <w:r w:rsidRPr="004736E1">
        <w:t xml:space="preserve"> ακραία καιρικά φαινόμενα </w:t>
      </w:r>
      <w:r>
        <w:t xml:space="preserve">λόγω </w:t>
      </w:r>
      <w:r w:rsidRPr="004736E1">
        <w:t xml:space="preserve">της κλιματικής κρίσης </w:t>
      </w:r>
      <w:r w:rsidR="006E5D8E">
        <w:t>μπορεί</w:t>
      </w:r>
      <w:r w:rsidRPr="004736E1">
        <w:t xml:space="preserve"> να επιφέρουν αύξηση των τιμών των τροφίμων πέραν του αναμενόμενου.</w:t>
      </w:r>
    </w:p>
    <w:p w14:paraId="4C9087C4" w14:textId="5474CE32" w:rsidR="00CA2AF1" w:rsidRPr="004736E1" w:rsidRDefault="00CA2AF1" w:rsidP="00197C53">
      <w:r w:rsidRPr="004736E1">
        <w:t>Σύμφωνα με τις πλέον πρόσφατες μακροοικονομικές προβολές της ΕΚΤ (Σεπτέμβριος 2025), ο ετήσιος ρυθμός πληθωρισμού αναμένεται να διαμορφωθεί κατά μέσο όρο στα κράτη</w:t>
      </w:r>
      <w:r w:rsidR="007934F4">
        <w:t xml:space="preserve"> </w:t>
      </w:r>
      <w:r w:rsidR="009E0BFB">
        <w:t xml:space="preserve">- </w:t>
      </w:r>
      <w:r w:rsidRPr="004736E1">
        <w:t xml:space="preserve">μέλη της </w:t>
      </w:r>
      <w:r w:rsidR="001C4EF8">
        <w:t>Ευρω</w:t>
      </w:r>
      <w:r w:rsidR="001C4EF8" w:rsidRPr="004736E1">
        <w:t>ζώνη</w:t>
      </w:r>
      <w:r w:rsidR="001C4EF8">
        <w:t>ς</w:t>
      </w:r>
      <w:r w:rsidR="001C4EF8" w:rsidRPr="004736E1">
        <w:t xml:space="preserve"> </w:t>
      </w:r>
      <w:r w:rsidRPr="004736E1">
        <w:t xml:space="preserve">σε 2,1% το 2025, </w:t>
      </w:r>
      <w:r w:rsidR="009E0BFB">
        <w:t xml:space="preserve">σε </w:t>
      </w:r>
      <w:r w:rsidRPr="004736E1">
        <w:t xml:space="preserve">1,7% το 2026 και </w:t>
      </w:r>
      <w:r w:rsidR="009E0BFB">
        <w:t xml:space="preserve">σε </w:t>
      </w:r>
      <w:r w:rsidRPr="004736E1">
        <w:t>1,9% το 2027</w:t>
      </w:r>
      <w:r w:rsidR="000F0FC4" w:rsidRPr="000F24DF">
        <w:t>,</w:t>
      </w:r>
      <w:r w:rsidRPr="000F24DF">
        <w:t xml:space="preserve"> ενώ ο πυρήνα</w:t>
      </w:r>
      <w:r w:rsidR="00414B12" w:rsidRPr="000F24DF">
        <w:t>ς</w:t>
      </w:r>
      <w:r w:rsidRPr="000F24DF">
        <w:t xml:space="preserve"> του πληθωρισμού </w:t>
      </w:r>
      <w:r w:rsidR="007934F4" w:rsidRPr="000F24DF">
        <w:t>αν</w:t>
      </w:r>
      <w:r w:rsidR="000F24DF" w:rsidRPr="000F24DF">
        <w:t xml:space="preserve">αμένεται να ανέλθει </w:t>
      </w:r>
      <w:r w:rsidR="007934F4" w:rsidRPr="000F24DF">
        <w:t xml:space="preserve">σε </w:t>
      </w:r>
      <w:r w:rsidRPr="000F24DF">
        <w:t xml:space="preserve">2,4%, </w:t>
      </w:r>
      <w:r w:rsidR="00BF7ED8" w:rsidRPr="000F24DF">
        <w:t xml:space="preserve">σε </w:t>
      </w:r>
      <w:r w:rsidRPr="000F24DF">
        <w:t xml:space="preserve">1,9% και </w:t>
      </w:r>
      <w:r w:rsidR="00BF7ED8" w:rsidRPr="000F24DF">
        <w:t xml:space="preserve">σε </w:t>
      </w:r>
      <w:r w:rsidRPr="000F24DF">
        <w:t>1,8%</w:t>
      </w:r>
      <w:r w:rsidR="007934F4" w:rsidRPr="000F24DF">
        <w:t>, αντίστοιχα</w:t>
      </w:r>
      <w:r w:rsidRPr="000F24DF">
        <w:t>.</w:t>
      </w:r>
    </w:p>
    <w:p w14:paraId="5FB53E0C" w14:textId="10A992AE" w:rsidR="00CA2AF1" w:rsidRPr="004736E1" w:rsidRDefault="00CA2AF1" w:rsidP="00197C53">
      <w:r w:rsidRPr="004736E1">
        <w:t xml:space="preserve">Όσον αφορά </w:t>
      </w:r>
      <w:r w:rsidR="002B12A4">
        <w:t>σ</w:t>
      </w:r>
      <w:r w:rsidRPr="004736E1">
        <w:t xml:space="preserve">την πολιτική των επιτοκίων, οι μειώσεις των βασικών επιτοκίων του Ευρωσυστήματος που είχαν ξεκινήσει από τον Ιούνιο 2024, συνεχίστηκαν και κατά το </w:t>
      </w:r>
      <w:r w:rsidR="00BF7ED8">
        <w:t>1ο</w:t>
      </w:r>
      <w:r w:rsidRPr="004736E1">
        <w:t xml:space="preserve"> εξάμηνο του 2025. Ειδικότερα, το ΔΣ της ΕΚΤ </w:t>
      </w:r>
      <w:r w:rsidR="002B12A4">
        <w:t>κατά</w:t>
      </w:r>
      <w:r w:rsidRPr="004736E1">
        <w:t xml:space="preserve"> τη διάρκεια του 2025</w:t>
      </w:r>
      <w:r w:rsidR="00AC105E">
        <w:t xml:space="preserve"> και συγκεκριμένα τους μήνες </w:t>
      </w:r>
      <w:r w:rsidRPr="004736E1">
        <w:t>Ιανουάριο, Μάρτιο,</w:t>
      </w:r>
      <w:r w:rsidR="00AC105E">
        <w:t xml:space="preserve"> </w:t>
      </w:r>
      <w:r w:rsidRPr="004736E1">
        <w:t xml:space="preserve">Απρίλιο και Ιούνιο </w:t>
      </w:r>
      <w:r w:rsidR="00AC105E">
        <w:t xml:space="preserve">προέβη </w:t>
      </w:r>
      <w:r w:rsidRPr="004736E1">
        <w:t>σε</w:t>
      </w:r>
      <w:r w:rsidR="00AC105E">
        <w:t xml:space="preserve"> τέσσερις </w:t>
      </w:r>
      <w:r w:rsidRPr="004736E1">
        <w:t>με</w:t>
      </w:r>
      <w:r w:rsidR="00AC105E">
        <w:t xml:space="preserve">ιώσεις </w:t>
      </w:r>
      <w:r w:rsidRPr="004736E1">
        <w:t xml:space="preserve">επιτοκίων πολιτικής, κατά 25 μονάδες </w:t>
      </w:r>
      <w:r w:rsidRPr="000D3127">
        <w:t>βάσης κάθε φορά</w:t>
      </w:r>
      <w:r w:rsidRPr="000D3127">
        <w:rPr>
          <w:vertAlign w:val="superscript"/>
        </w:rPr>
        <w:footnoteReference w:id="2"/>
      </w:r>
      <w:r w:rsidR="00197C53" w:rsidRPr="000D3127">
        <w:t>.</w:t>
      </w:r>
      <w:r w:rsidRPr="000D3127">
        <w:t xml:space="preserve"> Το ΔΣ</w:t>
      </w:r>
      <w:r w:rsidRPr="004736E1">
        <w:t xml:space="preserve"> της ΕΚΤ αναφέρθηκε επανειλημμένα στο γεγονός ότι η διαδικασία αποκλιμάκωσης του πληθωρισμού </w:t>
      </w:r>
      <w:r>
        <w:t>ήταν ομαλή</w:t>
      </w:r>
      <w:r w:rsidRPr="004736E1">
        <w:t>, οι μισθολογικές αυξήσεις είχαν αρχίσει να αποκλιμακώνονται</w:t>
      </w:r>
      <w:r w:rsidR="00AC105E">
        <w:t>,</w:t>
      </w:r>
      <w:r w:rsidRPr="004736E1">
        <w:t xml:space="preserve"> ενώ οι περισσότεροι δείκτες του πυρήνα του πληθωρισμού υποδήλωναν ότι τείνει προς το</w:t>
      </w:r>
      <w:r w:rsidR="00BF7ED8">
        <w:t>ν</w:t>
      </w:r>
      <w:r w:rsidRPr="004736E1">
        <w:t xml:space="preserve"> μεσοπρόθεσμο στόχο του 2% σε διατηρήσιμη βάση. </w:t>
      </w:r>
      <w:r w:rsidR="00BF7ED8">
        <w:t>Σ</w:t>
      </w:r>
      <w:r w:rsidR="00BF7ED8" w:rsidRPr="004736E1">
        <w:t>το πλαίσιο του διευρυμένου προγράμματος αγοράς τίτλων (</w:t>
      </w:r>
      <w:r w:rsidR="00BF7ED8" w:rsidRPr="004736E1">
        <w:rPr>
          <w:lang w:val="en-GB"/>
        </w:rPr>
        <w:t>Asset</w:t>
      </w:r>
      <w:r w:rsidR="00BF7ED8" w:rsidRPr="004736E1">
        <w:t xml:space="preserve"> </w:t>
      </w:r>
      <w:r w:rsidR="00BF7ED8" w:rsidRPr="004736E1">
        <w:rPr>
          <w:lang w:val="en-GB"/>
        </w:rPr>
        <w:t>Purchase</w:t>
      </w:r>
      <w:r w:rsidR="00BF7ED8" w:rsidRPr="004736E1">
        <w:t xml:space="preserve"> </w:t>
      </w:r>
      <w:r w:rsidR="00BF7ED8" w:rsidRPr="004736E1">
        <w:rPr>
          <w:lang w:val="en-GB"/>
        </w:rPr>
        <w:t>Programme</w:t>
      </w:r>
      <w:r w:rsidR="00BF7ED8">
        <w:t xml:space="preserve"> </w:t>
      </w:r>
      <w:r w:rsidR="00BF7ED8" w:rsidRPr="004736E1">
        <w:t>-</w:t>
      </w:r>
      <w:r w:rsidR="00BF7ED8">
        <w:t xml:space="preserve"> </w:t>
      </w:r>
      <w:r w:rsidR="00BF7ED8" w:rsidRPr="004736E1">
        <w:rPr>
          <w:lang w:val="en-GB"/>
        </w:rPr>
        <w:t>APP</w:t>
      </w:r>
      <w:r w:rsidR="00BF7ED8" w:rsidRPr="004736E1">
        <w:t>) και του έκτακτου προγράμματος αγοράς τίτλων λόγω της πανδημίας (</w:t>
      </w:r>
      <w:r w:rsidR="00BF7ED8" w:rsidRPr="004736E1">
        <w:rPr>
          <w:lang w:val="en-GB"/>
        </w:rPr>
        <w:t>Pandemic</w:t>
      </w:r>
      <w:r w:rsidR="00BF7ED8" w:rsidRPr="004736E1">
        <w:t xml:space="preserve"> </w:t>
      </w:r>
      <w:r w:rsidR="00BF7ED8" w:rsidRPr="004736E1">
        <w:rPr>
          <w:lang w:val="en-GB"/>
        </w:rPr>
        <w:t>Emergency</w:t>
      </w:r>
      <w:r w:rsidR="00BF7ED8" w:rsidRPr="004736E1">
        <w:t xml:space="preserve"> </w:t>
      </w:r>
      <w:r w:rsidR="00BF7ED8" w:rsidRPr="004736E1">
        <w:rPr>
          <w:lang w:val="en-GB"/>
        </w:rPr>
        <w:t>Purchase</w:t>
      </w:r>
      <w:r w:rsidR="00BF7ED8" w:rsidRPr="004736E1">
        <w:t xml:space="preserve"> </w:t>
      </w:r>
      <w:r w:rsidR="00BF7ED8" w:rsidRPr="004736E1">
        <w:rPr>
          <w:lang w:val="en-GB"/>
        </w:rPr>
        <w:t>Programme</w:t>
      </w:r>
      <w:r w:rsidR="00BF7ED8">
        <w:t xml:space="preserve"> </w:t>
      </w:r>
      <w:r w:rsidR="00BF7ED8" w:rsidRPr="004736E1">
        <w:t>-</w:t>
      </w:r>
      <w:r w:rsidR="00BF7ED8">
        <w:t xml:space="preserve"> </w:t>
      </w:r>
      <w:r w:rsidR="00BF7ED8" w:rsidRPr="004736E1">
        <w:t>PEPP)</w:t>
      </w:r>
      <w:r w:rsidR="00BF7ED8">
        <w:t>,</w:t>
      </w:r>
      <w:r w:rsidRPr="004736E1">
        <w:t xml:space="preserve"> το χαρτοφυλάκιο τίτλων του Ευρωσυστήματος μειώθηκε στη διάρκεια του 2025 με μετρημένο και προβλέψιμο τρόπο, </w:t>
      </w:r>
      <w:r w:rsidR="00BF7ED8">
        <w:t xml:space="preserve">δεδομένου ότι </w:t>
      </w:r>
      <w:r w:rsidRPr="004736E1">
        <w:t xml:space="preserve">το Ευρωσύστημα δεν επανεπενδύει τα ποσά των κεφαλαίων που αποπληρώνονται λόγω εξόφλησης των εν λόγω τίτλων κατά </w:t>
      </w:r>
      <w:r w:rsidRPr="000D3127">
        <w:t>τη λήξη τους</w:t>
      </w:r>
      <w:r w:rsidRPr="000D3127">
        <w:rPr>
          <w:rStyle w:val="ab"/>
          <w:szCs w:val="20"/>
        </w:rPr>
        <w:footnoteReference w:id="3"/>
      </w:r>
      <w:r w:rsidR="00197C53" w:rsidRPr="000D3127">
        <w:t>.</w:t>
      </w:r>
    </w:p>
    <w:p w14:paraId="405F4F16" w14:textId="1859395E" w:rsidR="008F04D5" w:rsidRDefault="00306A8E" w:rsidP="007E5956">
      <w:pPr>
        <w:pStyle w:val="3"/>
      </w:pPr>
      <w:bookmarkStart w:id="13" w:name="_Toc214473722"/>
      <w:bookmarkStart w:id="14" w:name="_Hlk50045320"/>
      <w:bookmarkEnd w:id="4"/>
      <w:r>
        <w:lastRenderedPageBreak/>
        <w:t xml:space="preserve">Οι </w:t>
      </w:r>
      <w:r w:rsidRPr="002F5B38">
        <w:t>οικονομικές</w:t>
      </w:r>
      <w:r>
        <w:t xml:space="preserve"> εξελίξεις στην Ελλάδα</w:t>
      </w:r>
      <w:bookmarkEnd w:id="13"/>
    </w:p>
    <w:p w14:paraId="539ACF2F" w14:textId="77777777" w:rsidR="0065480A" w:rsidRDefault="0065480A" w:rsidP="007E5956">
      <w:pPr>
        <w:pStyle w:val="4"/>
      </w:pPr>
      <w:bookmarkStart w:id="15" w:name="_Toc119778042"/>
      <w:bookmarkStart w:id="16" w:name="_Toc214473723"/>
      <w:r>
        <w:t xml:space="preserve">Γενική </w:t>
      </w:r>
      <w:r w:rsidRPr="007E5956">
        <w:t>επισκόπηση</w:t>
      </w:r>
      <w:r>
        <w:t xml:space="preserve"> της ελληνικής οικονομίας</w:t>
      </w:r>
      <w:bookmarkEnd w:id="15"/>
      <w:bookmarkEnd w:id="16"/>
    </w:p>
    <w:p w14:paraId="64D9FB8B" w14:textId="1E0DB4B9" w:rsidR="00F50438" w:rsidRPr="008B4F99" w:rsidRDefault="00F50438" w:rsidP="00F50438">
      <w:bookmarkStart w:id="17" w:name="_Toc116042505"/>
      <w:bookmarkStart w:id="18" w:name="_Toc116042608"/>
      <w:bookmarkStart w:id="19" w:name="_Toc116044120"/>
      <w:bookmarkStart w:id="20" w:name="_Toc116044222"/>
      <w:bookmarkStart w:id="21" w:name="_Toc118990940"/>
      <w:bookmarkStart w:id="22" w:name="_Toc119082232"/>
      <w:bookmarkStart w:id="23" w:name="_Toc119607125"/>
      <w:bookmarkStart w:id="24" w:name="_Toc119607418"/>
      <w:bookmarkStart w:id="25" w:name="_Toc119777935"/>
      <w:bookmarkStart w:id="26" w:name="_Toc119778041"/>
      <w:bookmarkStart w:id="27" w:name="_Toc150175825"/>
      <w:bookmarkStart w:id="28" w:name="_Toc150177118"/>
      <w:bookmarkStart w:id="29" w:name="_Toc150516181"/>
      <w:bookmarkStart w:id="30" w:name="_Toc150516322"/>
      <w:bookmarkStart w:id="31" w:name="_Toc150853382"/>
      <w:bookmarkStart w:id="32" w:name="_Toc150853490"/>
      <w:bookmarkStart w:id="33" w:name="_Toc151100746"/>
      <w:bookmarkStart w:id="34" w:name="_Toc151401096"/>
      <w:bookmarkStart w:id="35" w:name="_Toc150516182"/>
      <w:bookmarkStart w:id="36" w:name="_Toc150516323"/>
      <w:bookmarkStart w:id="37" w:name="_Toc150853383"/>
      <w:bookmarkStart w:id="38" w:name="_Toc150853491"/>
      <w:bookmarkStart w:id="39" w:name="_Toc151100747"/>
      <w:bookmarkStart w:id="40" w:name="_Toc151401097"/>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8B4F99">
        <w:t xml:space="preserve">Το 2024 η ελληνική οικονομία κατέγραψε ρυθμό ανάπτυξης 2,1%, επιβεβαιώνοντας την ανθεκτικότητά της σε ένα περιβάλλον αυξημένης διεθνούς αβεβαιότητας και γεωπολιτικών εντάσεων. Η άνοδος του ΑΕΠ προήλθε κυρίως από τη συνεχιζόμενη αύξηση των επενδύσεων παγίου κεφαλαίου, </w:t>
      </w:r>
      <w:r w:rsidR="00C849B9">
        <w:t xml:space="preserve">από </w:t>
      </w:r>
      <w:r w:rsidRPr="008B4F99">
        <w:t xml:space="preserve">τη θετική </w:t>
      </w:r>
      <w:r w:rsidR="00C849B9">
        <w:t>επίδραση</w:t>
      </w:r>
      <w:r w:rsidRPr="008B4F99">
        <w:t xml:space="preserve"> των εξαγωγών υπηρεσιών </w:t>
      </w:r>
      <w:r w:rsidR="000D1D55" w:rsidRPr="000D1D55">
        <w:t>-</w:t>
      </w:r>
      <w:r w:rsidRPr="008B4F99">
        <w:t xml:space="preserve"> ιδίως του τουρισμού και των μεταφορών </w:t>
      </w:r>
      <w:r w:rsidR="000D1D55" w:rsidRPr="000D1D55">
        <w:t>-</w:t>
      </w:r>
      <w:r w:rsidRPr="008B4F99">
        <w:t xml:space="preserve"> καθώς και </w:t>
      </w:r>
      <w:r w:rsidR="005244AE">
        <w:t xml:space="preserve">από </w:t>
      </w:r>
      <w:r w:rsidRPr="008B4F99">
        <w:t>την αύξηση της ιδιωτικής κατανάλωσης, η οποία στηρίχθηκε στην άνοδο των μισθών και της απασχόλησης. Σημαντική συνεισφορά στη διατήρηση της ανθεκτικότητας της ελληνικής οικονομίας είχαν οι</w:t>
      </w:r>
      <w:r w:rsidR="005244AE">
        <w:t xml:space="preserve"> </w:t>
      </w:r>
      <w:r w:rsidRPr="008B4F99">
        <w:t>κυβερνητικές πολιτικές για τη στήριξη του διαθέσιμου εισοδήματος των νοικοκυριών μ</w:t>
      </w:r>
      <w:r w:rsidR="003425AA">
        <w:t>έσω της</w:t>
      </w:r>
      <w:r w:rsidRPr="008B4F99">
        <w:t xml:space="preserve"> μείωση</w:t>
      </w:r>
      <w:r w:rsidR="003425AA">
        <w:t>ς</w:t>
      </w:r>
      <w:r w:rsidRPr="008B4F99">
        <w:t xml:space="preserve"> των φορολογικών βαρών και τη</w:t>
      </w:r>
      <w:r w:rsidR="003425AA">
        <w:t>ς</w:t>
      </w:r>
      <w:r w:rsidRPr="008B4F99">
        <w:t xml:space="preserve"> αύξηση</w:t>
      </w:r>
      <w:r w:rsidR="003425AA">
        <w:t>ς</w:t>
      </w:r>
      <w:r w:rsidRPr="008B4F99">
        <w:t xml:space="preserve"> των μισθών στον δημόσιο και </w:t>
      </w:r>
      <w:r w:rsidR="003425AA">
        <w:t xml:space="preserve">τον </w:t>
      </w:r>
      <w:r w:rsidRPr="008B4F99">
        <w:t>ιδιωτικό τομέα.</w:t>
      </w:r>
    </w:p>
    <w:p w14:paraId="1993E7FA" w14:textId="546CE4EB" w:rsidR="00F50438" w:rsidRPr="008B4F99" w:rsidRDefault="00F50438" w:rsidP="00F50438">
      <w:r w:rsidRPr="008B4F99">
        <w:t xml:space="preserve">Το 2025 η ελληνική οικονομία εκτιμάται ότι θα καταγράψει ρυθμό ανάπτυξης </w:t>
      </w:r>
      <w:r w:rsidR="008262C2">
        <w:t>2,2%</w:t>
      </w:r>
      <w:r w:rsidR="000D1D55" w:rsidRPr="000D1D55">
        <w:t>,</w:t>
      </w:r>
      <w:r w:rsidR="008262C2">
        <w:t xml:space="preserve"> </w:t>
      </w:r>
      <w:r w:rsidR="006E5D8E">
        <w:t>σημαντικά υψηλότερο</w:t>
      </w:r>
      <w:r w:rsidRPr="008B4F99">
        <w:t xml:space="preserve"> </w:t>
      </w:r>
      <w:r w:rsidR="006E5D8E">
        <w:t xml:space="preserve">από </w:t>
      </w:r>
      <w:r w:rsidRPr="008B4F99">
        <w:t>το</w:t>
      </w:r>
      <w:r w:rsidR="006E5D8E">
        <w:t>ν</w:t>
      </w:r>
      <w:r w:rsidRPr="008B4F99">
        <w:t xml:space="preserve"> αντίστοιχο μέσο όρο </w:t>
      </w:r>
      <w:r w:rsidR="00B31A82">
        <w:t>(</w:t>
      </w:r>
      <w:r w:rsidR="006E5D8E">
        <w:t>1</w:t>
      </w:r>
      <w:r w:rsidR="00B31A82">
        <w:t>,</w:t>
      </w:r>
      <w:r w:rsidR="006E5D8E">
        <w:t>3</w:t>
      </w:r>
      <w:r w:rsidR="00B31A82">
        <w:t xml:space="preserve">%) των </w:t>
      </w:r>
      <w:r w:rsidR="006E5D8E">
        <w:t>φθινοπωρινών</w:t>
      </w:r>
      <w:r w:rsidR="00B31A82">
        <w:t xml:space="preserve"> προβλέψεων </w:t>
      </w:r>
      <w:r w:rsidRPr="008B4F99">
        <w:t xml:space="preserve">της </w:t>
      </w:r>
      <w:r w:rsidR="008262C2">
        <w:t xml:space="preserve">Ευρωπαϊκής Επιτροπής για την </w:t>
      </w:r>
      <w:r w:rsidRPr="008B4F99">
        <w:t>Ευρωζώνη</w:t>
      </w:r>
      <w:r w:rsidR="00B31A82">
        <w:t>.</w:t>
      </w:r>
      <w:r w:rsidRPr="008B4F99">
        <w:t xml:space="preserve"> Η αύξηση των επενδύσεων, ιδίως σε τομείς υψηλής προστιθέμενης αξίας και υποδομών, εξακολουθεί να αποτελεί τον βασικό πυλώνα του ρυθμού μεγέθυνσης του ΑΕΠ, ενώ η ιδιωτική κατανάλωση ενισχύεται από την άνοδο των πραγματικών μισθών, τη μείωση της ανεργίας και τη σταδιακή αποκατάσταση της αγοραστικής δύναμης των νοικοκυριών. Οι επιμέρους δείκτες οικονομικής δραστηριότητας επιβεβαιώνουν τη διατήρηση θετικών προοπτικών, με την ελληνική οικονομία να επιδεικνύει ανθεκτικότητα απέναντι στις διεθνείς προκλήσεις και τη γεωπολιτική αβεβαιότητα διατηρώντας τη</w:t>
      </w:r>
      <w:r>
        <w:t xml:space="preserve">ν αναπτυξιακή </w:t>
      </w:r>
      <w:r w:rsidRPr="008B4F99">
        <w:t xml:space="preserve">δυναμική </w:t>
      </w:r>
      <w:r>
        <w:t>της.</w:t>
      </w:r>
    </w:p>
    <w:p w14:paraId="5A372B8C" w14:textId="41CA6308" w:rsidR="00F50438" w:rsidRPr="008B4F99" w:rsidRDefault="00F50438" w:rsidP="00F50438">
      <w:r w:rsidRPr="008B4F99">
        <w:t xml:space="preserve">Η ανεργία συνέχισε την πτωτική της πορεία το 2025 </w:t>
      </w:r>
      <w:r w:rsidR="009B4A06">
        <w:t xml:space="preserve">υποχωρώντας </w:t>
      </w:r>
      <w:r w:rsidRPr="008B4F99">
        <w:t>σε 8,</w:t>
      </w:r>
      <w:r w:rsidR="006E5D8E">
        <w:t>2</w:t>
      </w:r>
      <w:r w:rsidRPr="008B4F99">
        <w:t xml:space="preserve">% τον </w:t>
      </w:r>
      <w:r w:rsidR="006E5D8E">
        <w:t>Σεπτέμβριο</w:t>
      </w:r>
      <w:r w:rsidRPr="008B4F99">
        <w:t xml:space="preserve"> 2025 από 9,7% τον αντίστοιχο μήνα του 2024, </w:t>
      </w:r>
      <w:r w:rsidR="009B4A06">
        <w:t>γεγονός που αντανακλά τ</w:t>
      </w:r>
      <w:r w:rsidRPr="008B4F99">
        <w:t xml:space="preserve">η συνεχιζόμενη ενίσχυση της απασχόλησης και την αυξημένη συμμετοχή στο εργατικό </w:t>
      </w:r>
      <w:r>
        <w:t>δυναμικό.</w:t>
      </w:r>
      <w:r w:rsidRPr="008B4F99">
        <w:t xml:space="preserve"> Οι αμοιβές εξαρτημένης εργασίας αυξήθηκαν με ρυθμό 6,</w:t>
      </w:r>
      <w:r w:rsidR="004C71DD">
        <w:t>5</w:t>
      </w:r>
      <w:r w:rsidRPr="008B4F99">
        <w:t>% σε ετήσια βάση στο πρώτο εξάμηνο του έτους, σύμφωνα με τα στοιχεία της Ελληνικής Στατιστικής Αρχής (ΕΛΣΤΑΤ). Ο πληθωρισμός παρουσιάζει σταθεροποίηση</w:t>
      </w:r>
      <w:r w:rsidR="003425AA">
        <w:t xml:space="preserve"> διαμορφούμενος </w:t>
      </w:r>
      <w:r w:rsidRPr="008B4F99">
        <w:t xml:space="preserve">σε </w:t>
      </w:r>
      <w:r w:rsidR="006E5D8E">
        <w:t>2</w:t>
      </w:r>
      <w:r w:rsidRPr="008B4F99">
        <w:t>,</w:t>
      </w:r>
      <w:r w:rsidR="006E5D8E">
        <w:t>0</w:t>
      </w:r>
      <w:r w:rsidRPr="008B4F99">
        <w:t xml:space="preserve">% τον </w:t>
      </w:r>
      <w:r w:rsidR="006E5D8E">
        <w:t>Οκτώβριο</w:t>
      </w:r>
      <w:r w:rsidRPr="008B4F99">
        <w:t xml:space="preserve"> 2025. Ο μέσος ετήσιος ρυθμός μεταβολής του </w:t>
      </w:r>
      <w:r w:rsidR="006E5D8E">
        <w:t xml:space="preserve">Δείκτη Τιμών Καταναλωτή για το 2025 προβλέπεται να διαμορφωθεί σε 2,6% και του </w:t>
      </w:r>
      <w:r w:rsidRPr="008B4F99">
        <w:t>Εναρμονισμένου Δείκτη Τιμών Καταναλωτή (Εν.ΔΤΚ) σε 3,0%</w:t>
      </w:r>
      <w:r w:rsidR="00F419CD">
        <w:t>.</w:t>
      </w:r>
    </w:p>
    <w:p w14:paraId="118E8FE0" w14:textId="6C9805FA" w:rsidR="00F50438" w:rsidRPr="008B4F99" w:rsidRDefault="00F50438" w:rsidP="00F50438">
      <w:r w:rsidRPr="008B4F99">
        <w:t>Η επιβράδυνση του ρυθμού αύξησης των τιμών</w:t>
      </w:r>
      <w:r w:rsidR="00F419CD">
        <w:t>,</w:t>
      </w:r>
      <w:r w:rsidRPr="008B4F99">
        <w:t xml:space="preserve"> </w:t>
      </w:r>
      <w:r w:rsidR="003425AA">
        <w:t>η οποία</w:t>
      </w:r>
      <w:r w:rsidRPr="008B4F99">
        <w:t xml:space="preserve"> καταγράφεται κατά τη διάρκεια του 2025 στην Ελλάδα</w:t>
      </w:r>
      <w:r w:rsidR="00F419CD">
        <w:t>,</w:t>
      </w:r>
      <w:r w:rsidRPr="008B4F99">
        <w:t xml:space="preserve"> αντανακλά τη συν</w:t>
      </w:r>
      <w:r w:rsidR="003425AA">
        <w:t xml:space="preserve">εχιζόμενη </w:t>
      </w:r>
      <w:r w:rsidRPr="008B4F99">
        <w:t xml:space="preserve">μείωση του ενεργειακού κόστους και την αποκλιμάκωση του ρυθμού ανόδου των τιμών </w:t>
      </w:r>
      <w:r>
        <w:t xml:space="preserve">των </w:t>
      </w:r>
      <w:r w:rsidRPr="008B4F99">
        <w:t>τροφίμων και</w:t>
      </w:r>
      <w:r>
        <w:t xml:space="preserve"> των</w:t>
      </w:r>
      <w:r w:rsidRPr="008B4F99">
        <w:t xml:space="preserve"> μη ενεργειακών βιομηχανικών αγαθών. </w:t>
      </w:r>
      <w:r w:rsidRPr="000D3781">
        <w:t>Την ίδια στιγμή ο πυρήνας του πληθωρισμού διατηρείται σε σχετικά υψηλ</w:t>
      </w:r>
      <w:r w:rsidR="008C7744">
        <w:t>ότερα</w:t>
      </w:r>
      <w:r w:rsidRPr="000D3781">
        <w:t xml:space="preserve"> επίπεδα, ιδίως στις υπηρεσίες, αποτυπώνοντας, μεταξύ άλλων</w:t>
      </w:r>
      <w:r w:rsidR="00F419CD">
        <w:t>,</w:t>
      </w:r>
      <w:r w:rsidRPr="000D3781">
        <w:t xml:space="preserve"> την ενίσχυση της ζήτησης λόγω </w:t>
      </w:r>
      <w:r>
        <w:t xml:space="preserve">και </w:t>
      </w:r>
      <w:r w:rsidRPr="000D3781">
        <w:t>τ</w:t>
      </w:r>
      <w:r>
        <w:t xml:space="preserve">ων αυξημένων τουριστικών αφίξεων </w:t>
      </w:r>
      <w:r w:rsidRPr="000D3781">
        <w:t>καθ</w:t>
      </w:r>
      <w:r w:rsidR="00F419CD">
        <w:t xml:space="preserve">’ </w:t>
      </w:r>
      <w:r w:rsidRPr="000D3781">
        <w:t xml:space="preserve">όλη πλέον τη διάρκεια του έτους. </w:t>
      </w:r>
      <w:r w:rsidRPr="008B4F99">
        <w:t>Αναφορικά με τις τιμές ενέργειας, εξακολουθούν να παρατηρούνται διακυμάνσεις λόγω της μεταβλητότητας στις διεθνείς αγορές πετρελαίου και φυσικού αερίου, ωστόσο ο συνολικός τους αντίκτυπος στον ετήσιο πληθωρισμό παραμένει περιορισμένος.</w:t>
      </w:r>
    </w:p>
    <w:p w14:paraId="25323B13" w14:textId="27487D4D" w:rsidR="00F50438" w:rsidRPr="008B4F99" w:rsidRDefault="00F50438" w:rsidP="00F50438">
      <w:r w:rsidRPr="008B4F99">
        <w:t>Η αποκλιμάκωση του πληθωρισμού και η επιβράδυνση της παγκόσμιας οικονομικής δραστηριότητας, σε συνδυασμό με τις συνεχιζόμενες γεωπολιτικές εντάσεις και τις πιέσεις στο διεθνές εμπόριο, οδήγησαν τις κεντρικές τράπεζες διεθνώς στη συνέχιση της σταδιακής χαλάρωσης της νομισματικής πολιτικής κατά τη διάρκεια του 2025. Η</w:t>
      </w:r>
      <w:r w:rsidR="00B31A82">
        <w:t xml:space="preserve"> εν λόγω</w:t>
      </w:r>
      <w:r w:rsidRPr="008B4F99">
        <w:t xml:space="preserve"> εξέλιξη αποσκοπεί στη στήριξη της οικονομικής δραστηριότητας και στη διατήρηση της σταθερότητας των τιμών, επιδιώκοντας την εξισορρόπηση μεταξύ της συγκράτησης του πληθωρισμού και της ενίσχυσης της ανάπτυξης σε ένα περιβάλλον αυξημένης αβεβαιότητας και μεταβλητότητας στις διεθνείς αγορές.</w:t>
      </w:r>
    </w:p>
    <w:p w14:paraId="1311124F" w14:textId="36BC99C8" w:rsidR="00F50438" w:rsidRPr="008B4F99" w:rsidRDefault="00F50438" w:rsidP="00F50438">
      <w:r w:rsidRPr="008B4F99">
        <w:t xml:space="preserve">Υπό το πρίσμα της δημοσιονομικής πολιτικής και εν μέσω της εξομάλυνσης των πληθωριστικών πιέσεων, το νέο ευρωπαϊκό πλαίσιο οικονομικής διακυβέρνησης εφαρμόζεται από το 2025 εισάγοντας έναν ενισχυμένο μηχανισμό μεσοπρόθεσμου δημοσιονομικού προγραμματισμού και παρακολούθησης. </w:t>
      </w:r>
      <w:r w:rsidRPr="008B4F99">
        <w:lastRenderedPageBreak/>
        <w:t xml:space="preserve">Η Ελλάδα υπέβαλε τον Οκτώβριο 2024 το πρώτο Μεσοπρόθεσμο Δημοσιονομικό </w:t>
      </w:r>
      <w:r w:rsidR="003425AA">
        <w:t>-</w:t>
      </w:r>
      <w:r w:rsidRPr="008B4F99">
        <w:t xml:space="preserve"> Διαρθρωτικό Σχέδιο</w:t>
      </w:r>
      <w:r w:rsidR="00FE2F2B">
        <w:t xml:space="preserve"> (ΜΔΣ)</w:t>
      </w:r>
      <w:r w:rsidRPr="008B4F99">
        <w:t xml:space="preserve"> 2025</w:t>
      </w:r>
      <w:r w:rsidR="003425AA">
        <w:t xml:space="preserve"> - </w:t>
      </w:r>
      <w:r w:rsidRPr="008B4F99">
        <w:t>2028, ενώ τον Απρίλιο 2025 κατέθεσε στην Ευρωπαϊκή Επιτροπή την πρώτη ετήσια έκθεση προόδου για την πορεία εφαρμογής του</w:t>
      </w:r>
      <w:r w:rsidRPr="00786808">
        <w:t>.</w:t>
      </w:r>
      <w:r w:rsidR="008C7744" w:rsidRPr="00786808">
        <w:t xml:space="preserve"> </w:t>
      </w:r>
      <w:r w:rsidR="00A26A7E" w:rsidRPr="00786808">
        <w:t>Ακολούθως</w:t>
      </w:r>
      <w:r w:rsidR="008C7744" w:rsidRPr="00786808">
        <w:t>, τον Ιού</w:t>
      </w:r>
      <w:r w:rsidR="008C7744">
        <w:t xml:space="preserve">λιο 2025 </w:t>
      </w:r>
      <w:r w:rsidR="00786808">
        <w:t xml:space="preserve">ενσωμάτωσε στην εθνική έννομη τάξη την Οδηγία </w:t>
      </w:r>
      <w:r w:rsidR="0093545E" w:rsidRPr="0093545E">
        <w:t>(</w:t>
      </w:r>
      <w:r w:rsidR="00786808" w:rsidRPr="0093545E">
        <w:t>ΕΕ</w:t>
      </w:r>
      <w:r w:rsidR="0093545E" w:rsidRPr="0093545E">
        <w:t>)</w:t>
      </w:r>
      <w:r w:rsidR="00786808" w:rsidRPr="0093545E">
        <w:t xml:space="preserve"> 202</w:t>
      </w:r>
      <w:r w:rsidR="00786808">
        <w:t xml:space="preserve">4/1265 του Συμβουλίου, τροποποιώντας τον </w:t>
      </w:r>
      <w:r w:rsidR="00A26A7E">
        <w:t xml:space="preserve">ν.4270/2014 </w:t>
      </w:r>
      <w:r w:rsidR="00786808">
        <w:t>(</w:t>
      </w:r>
      <w:r w:rsidR="00A26A7E">
        <w:t>Α’ 143</w:t>
      </w:r>
      <w:r w:rsidR="00786808">
        <w:t>)</w:t>
      </w:r>
      <w:r w:rsidR="008C7744">
        <w:t>.</w:t>
      </w:r>
    </w:p>
    <w:p w14:paraId="10F82257" w14:textId="2ADF9719" w:rsidR="00F50438" w:rsidRPr="008B4F99" w:rsidRDefault="00F50438" w:rsidP="00F419CD">
      <w:r w:rsidRPr="008B4F99">
        <w:t>Σε εναρμόνιση με το μεσοπρόθεσμο δημοσιονομικό πλαίσιο και τους στόχους αύξησης των</w:t>
      </w:r>
      <w:r w:rsidR="001C4EF8">
        <w:t xml:space="preserve"> καθαρών</w:t>
      </w:r>
      <w:r w:rsidRPr="008B4F99">
        <w:t xml:space="preserve"> πρωτογενών δαπανών, οι δημοσιονομικές παρεμβάσεις για το 2026 επικεντρώνονται στη διατήρηση της κοινωνικής συνοχής και στη στήριξη της αναπτυξιακής προοπτικής της οικονομίας. Κεντρικό άξονα αποτελεί η δημογραφική φορολογική μεταρρύθμιση, </w:t>
      </w:r>
      <w:r w:rsidR="00875BDB">
        <w:t xml:space="preserve">η οποία αποβλέπει </w:t>
      </w:r>
      <w:r w:rsidRPr="008B4F99">
        <w:t>στη μείωση των φορολογικών επιβαρύνσεων για τους νέους και τη μεσαία τάξη, στην ενίσχυση των οικογενειών με παιδιά</w:t>
      </w:r>
      <w:r w:rsidR="00987980">
        <w:t>,</w:t>
      </w:r>
      <w:r w:rsidRPr="008B4F99">
        <w:t xml:space="preserve"> στη δημιουργία ισχυρών κινήτρων για εργασία</w:t>
      </w:r>
      <w:r w:rsidR="00987980">
        <w:t xml:space="preserve"> καθώς και στην</w:t>
      </w:r>
      <w:r w:rsidRPr="008B4F99">
        <w:t xml:space="preserve"> </w:t>
      </w:r>
      <w:r w:rsidR="00987980">
        <w:t>αύξηση των μισθών και της παραγωγικότητας</w:t>
      </w:r>
      <w:r w:rsidRPr="008B4F99">
        <w:t>. Η μεταρρύθμιση αυτή συνιστά δομική αλλαγή στο φορολογικό πλαίσιο, καθώς επιβραβεύει την παραγωγική δραστηριότητα και ενισχύει τη δημογραφική και κοινωνική συνοχή. Παράλληλα, οι δημοσιονομικές παρεμβάσεις περιλαμβάνουν στοχευμένες ρυθμίσεις για τη</w:t>
      </w:r>
      <w:r w:rsidR="00987980">
        <w:t>ν περαιτέρω</w:t>
      </w:r>
      <w:r w:rsidRPr="008B4F99">
        <w:t xml:space="preserve"> βελτίωση του διαθέσιμου εισοδήματος, την αντιμετώπιση του στεγαστικού προβλήματος, την αναμόρφωση των τεκμηρίων διαβίωσης, την ενίσχυση ειδικών μισθολογίων και τη</w:t>
      </w:r>
      <w:r w:rsidR="00987980">
        <w:t>ν αύξηση των συντάξεων</w:t>
      </w:r>
      <w:r w:rsidRPr="008B4F99">
        <w:t>. Προβλέπονται</w:t>
      </w:r>
      <w:r w:rsidR="006436CB">
        <w:t>,</w:t>
      </w:r>
      <w:r w:rsidRPr="008B4F99">
        <w:t xml:space="preserve"> </w:t>
      </w:r>
      <w:r w:rsidR="006436CB">
        <w:t>επίσης,</w:t>
      </w:r>
      <w:r w:rsidRPr="008B4F99">
        <w:t xml:space="preserve"> μέτρα για τη στήριξη της περιφερειακής ανάπτυξης και τη μείωση των ανισοτήτων μεταξύ αστικών και νησιωτικών περιοχών μέσ</w:t>
      </w:r>
      <w:r w:rsidR="006436CB">
        <w:t>ω</w:t>
      </w:r>
      <w:r w:rsidRPr="008B4F99">
        <w:t xml:space="preserve"> φορολογικ</w:t>
      </w:r>
      <w:r w:rsidR="006436CB">
        <w:t>ών</w:t>
      </w:r>
      <w:r w:rsidRPr="008B4F99">
        <w:t xml:space="preserve"> κ</w:t>
      </w:r>
      <w:r w:rsidR="006436CB">
        <w:t>ινήτρων</w:t>
      </w:r>
      <w:r w:rsidRPr="008B4F99">
        <w:t xml:space="preserve"> και παρεμβάσε</w:t>
      </w:r>
      <w:r w:rsidR="006436CB">
        <w:t>ων</w:t>
      </w:r>
      <w:r w:rsidRPr="008B4F99">
        <w:t xml:space="preserve"> υπέρ των ακριτικών περιοχών. Επιπλέον, εισάγονται νέες φορολογικές και επενδυτικές διευκολύνσεις για στρατηγικούς κλάδους της οικονομίας</w:t>
      </w:r>
      <w:r w:rsidR="006436CB">
        <w:t xml:space="preserve">, οι οποίες </w:t>
      </w:r>
      <w:r w:rsidRPr="008B4F99">
        <w:t>ενισχύουν την καινοτομία, την αμυντική βιομηχανία και την παραγωγή υψηλής προστιθέμενης αξίας, ενώ η σταδιακή αύξηση των μισθών στο</w:t>
      </w:r>
      <w:r w:rsidR="006436CB">
        <w:t>ν</w:t>
      </w:r>
      <w:r w:rsidRPr="008B4F99">
        <w:t xml:space="preserve"> δημόσιο και </w:t>
      </w:r>
      <w:r w:rsidR="006436CB">
        <w:t xml:space="preserve">τον </w:t>
      </w:r>
      <w:r w:rsidRPr="008B4F99">
        <w:t xml:space="preserve">ιδιωτικό τομέα </w:t>
      </w:r>
      <w:r w:rsidR="006436CB">
        <w:t>προάγει</w:t>
      </w:r>
      <w:r w:rsidRPr="008B4F99">
        <w:t xml:space="preserve"> τη βελτίωση του βιοτικού επιπέδου.</w:t>
      </w:r>
    </w:p>
    <w:p w14:paraId="1A4A1B94" w14:textId="4563E1B2" w:rsidR="00F50438" w:rsidRPr="008B4F99" w:rsidRDefault="00F50438" w:rsidP="00F50438">
      <w:r w:rsidRPr="008B4F99">
        <w:t xml:space="preserve">Οι παρεμβάσεις αυτές παρουσιάζονται αναλυτικά </w:t>
      </w:r>
      <w:r w:rsidRPr="000D3127">
        <w:t xml:space="preserve">στην </w:t>
      </w:r>
      <w:hyperlink w:anchor="_Δημοσιονομικές_παρεμβάσεις" w:history="1">
        <w:r w:rsidRPr="000D3127">
          <w:t xml:space="preserve">ενότητα </w:t>
        </w:r>
        <w:r w:rsidR="00971D8B" w:rsidRPr="000D3127">
          <w:t>3.9.</w:t>
        </w:r>
      </w:hyperlink>
      <w:r w:rsidRPr="000D3127">
        <w:t xml:space="preserve"> του Κεφαλαίου </w:t>
      </w:r>
      <w:r w:rsidR="00971D8B" w:rsidRPr="000D3127">
        <w:t>3.</w:t>
      </w:r>
    </w:p>
    <w:p w14:paraId="2810CA8B" w14:textId="39645E23" w:rsidR="00F50438" w:rsidRPr="008B4F99" w:rsidRDefault="00F50438" w:rsidP="00BC1653">
      <w:pPr>
        <w:spacing w:after="240"/>
      </w:pPr>
      <w:r w:rsidRPr="008B4F99">
        <w:t xml:space="preserve">Στο πεδίο της δημοσιονομικής διαχείρισης και </w:t>
      </w:r>
      <w:r w:rsidR="006436CB">
        <w:t>κατόπιν</w:t>
      </w:r>
      <w:r w:rsidRPr="008B4F99">
        <w:t xml:space="preserve"> τη</w:t>
      </w:r>
      <w:r w:rsidR="006436CB">
        <w:t>ς</w:t>
      </w:r>
      <w:r w:rsidRPr="008B4F99">
        <w:t xml:space="preserve"> επίτευξη</w:t>
      </w:r>
      <w:r w:rsidR="006436CB">
        <w:t>ς</w:t>
      </w:r>
      <w:r w:rsidR="0017640A">
        <w:t xml:space="preserve"> </w:t>
      </w:r>
      <w:r w:rsidRPr="008B4F99">
        <w:t>πρωτογενούς πλεονάσματος 4,7% του ΑΕΠ το 2024, το 2025 εκτιμάται ότι θα επιτευχθεί πρωτογενές πλεόνασμα 3,</w:t>
      </w:r>
      <w:r w:rsidR="001C4EF8">
        <w:t>7</w:t>
      </w:r>
      <w:r w:rsidRPr="008B4F99">
        <w:t>%. Η πορεία της αποκλιμάκωσης του χρέους της Γενικής Κυβέρνησης εκτιμάται από 154,2% του ΑΕΠ το 2024 (σύμφωνα με τα στοιχεία της ΕΛΣΤΑΤ) σε 145,</w:t>
      </w:r>
      <w:r w:rsidR="001C4EF8">
        <w:t>9</w:t>
      </w:r>
      <w:r w:rsidRPr="008B4F99">
        <w:t>% το 2025. Η αξιοπιστία του αξιόχρεου της χώρας ενισχύεται περαιτέρω από την επίτευξη των ανωτέρω δημοσιονομικών στόχων, όπως αποτυπώνεται και στην εξέλιξη των πιστοληπτικών αξιολογήσεων. Μετά την ανάκτηση της επενδυτικής βαθμίδας το 2023 από τους οίκους DBRS</w:t>
      </w:r>
      <w:r w:rsidR="006436CB">
        <w:t xml:space="preserve"> </w:t>
      </w:r>
      <w:r w:rsidR="006436CB">
        <w:rPr>
          <w:lang w:val="en-US"/>
        </w:rPr>
        <w:t>Morningstar</w:t>
      </w:r>
      <w:r w:rsidRPr="008B4F99">
        <w:t>, Standard &amp; Poor’s, Fitch</w:t>
      </w:r>
      <w:r w:rsidR="006436CB" w:rsidRPr="006436CB">
        <w:t xml:space="preserve"> </w:t>
      </w:r>
      <w:r w:rsidR="006436CB">
        <w:rPr>
          <w:lang w:val="en-US"/>
        </w:rPr>
        <w:t>Ratings</w:t>
      </w:r>
      <w:r w:rsidRPr="008B4F99">
        <w:t>, R&amp;I και Scope</w:t>
      </w:r>
      <w:r w:rsidR="006436CB" w:rsidRPr="006436CB">
        <w:t xml:space="preserve"> </w:t>
      </w:r>
      <w:r w:rsidR="006436CB">
        <w:rPr>
          <w:lang w:val="en-US"/>
        </w:rPr>
        <w:t>Ratings</w:t>
      </w:r>
      <w:r w:rsidRPr="008B4F99">
        <w:t xml:space="preserve">, ακολούθησαν νέες αναβαθμίσεις στη βαθμίδα BBB από τους οίκους Scope </w:t>
      </w:r>
      <w:r w:rsidR="006436CB">
        <w:rPr>
          <w:lang w:val="en-US"/>
        </w:rPr>
        <w:t>Ratings</w:t>
      </w:r>
      <w:r w:rsidR="006436CB" w:rsidRPr="006436CB">
        <w:t xml:space="preserve"> </w:t>
      </w:r>
      <w:r w:rsidRPr="008B4F99">
        <w:t xml:space="preserve">(Δεκέμβριος 2024), DBRS </w:t>
      </w:r>
      <w:r w:rsidR="006436CB">
        <w:rPr>
          <w:lang w:val="en-US"/>
        </w:rPr>
        <w:t>Morningstar</w:t>
      </w:r>
      <w:r w:rsidR="006436CB" w:rsidRPr="006436CB">
        <w:t xml:space="preserve"> </w:t>
      </w:r>
      <w:r w:rsidRPr="008B4F99">
        <w:t xml:space="preserve">και Standard &amp; Poor’s (Μάρτιος και Απρίλιος 2025) καθώς και από τον οίκο R&amp;I (Οκτώβριος 2025). Παράλληλα, ο οίκος Moody’s αναβάθμισε τον Μάρτιο 2025 το αξιόχρεο του Ελληνικού Δημοσίου στην επενδυτική βαθμίδα Baa3 με σταθερή </w:t>
      </w:r>
      <w:r w:rsidRPr="00DF45F7">
        <w:t xml:space="preserve">προοπτική, ενώ τον Μάιο 2025 ο οίκος Fitch </w:t>
      </w:r>
      <w:r w:rsidR="003B1B00" w:rsidRPr="00DF45F7">
        <w:rPr>
          <w:lang w:val="en-US"/>
        </w:rPr>
        <w:t>Ratings</w:t>
      </w:r>
      <w:r w:rsidR="003B1B00" w:rsidRPr="00DF45F7">
        <w:t xml:space="preserve"> </w:t>
      </w:r>
      <w:r w:rsidRPr="00DF45F7">
        <w:t>αναβάθμισε τις προοπτικές της ελληνικής οικονομίας από σταθερές σε θετικές</w:t>
      </w:r>
      <w:r w:rsidR="009B7DE5" w:rsidRPr="00DF45F7">
        <w:t>.</w:t>
      </w:r>
      <w:r w:rsidR="00CD793C" w:rsidRPr="00DF45F7">
        <w:t xml:space="preserve"> Περαιτέρω</w:t>
      </w:r>
      <w:r w:rsidR="00CD793C" w:rsidRPr="0079226F">
        <w:t xml:space="preserve">, στις αρχές Νοεμβρίου του τρέχοντος έτους ο οίκος </w:t>
      </w:r>
      <w:r w:rsidR="00CD793C" w:rsidRPr="0079226F">
        <w:rPr>
          <w:lang w:val="en-US"/>
        </w:rPr>
        <w:t>Scope</w:t>
      </w:r>
      <w:r w:rsidR="00CD793C" w:rsidRPr="0079226F">
        <w:t xml:space="preserve"> </w:t>
      </w:r>
      <w:r w:rsidR="00CD793C" w:rsidRPr="0079226F">
        <w:rPr>
          <w:lang w:val="en-US"/>
        </w:rPr>
        <w:t>Ratings</w:t>
      </w:r>
      <w:r w:rsidR="00CD793C" w:rsidRPr="0079226F">
        <w:t xml:space="preserve"> αναβάθμισε τις προοπτικές της ελληνικής οικονομίας από σταθερές σε θετικές, ενώ ο οίκος </w:t>
      </w:r>
      <w:r w:rsidR="00CD793C" w:rsidRPr="0079226F">
        <w:rPr>
          <w:lang w:val="en-US"/>
        </w:rPr>
        <w:t>Fitch</w:t>
      </w:r>
      <w:r w:rsidR="00CD793C" w:rsidRPr="0079226F">
        <w:t xml:space="preserve"> </w:t>
      </w:r>
      <w:r w:rsidR="00CD793C" w:rsidRPr="0079226F">
        <w:rPr>
          <w:lang w:val="en-US"/>
        </w:rPr>
        <w:t>Ratings</w:t>
      </w:r>
      <w:r w:rsidR="00CD793C" w:rsidRPr="0079226F">
        <w:t xml:space="preserve"> </w:t>
      </w:r>
      <w:r w:rsidR="00253CBE" w:rsidRPr="0079226F">
        <w:t xml:space="preserve">προχώρησε σε αναβάθμιση στη βαθμίδα </w:t>
      </w:r>
      <w:r w:rsidR="00253CBE" w:rsidRPr="0079226F">
        <w:rPr>
          <w:lang w:val="en-US"/>
        </w:rPr>
        <w:t>BBB</w:t>
      </w:r>
      <w:r w:rsidR="00253CBE" w:rsidRPr="0079226F">
        <w:t xml:space="preserve"> με σταθερή </w:t>
      </w:r>
      <w:r w:rsidR="00253CBE" w:rsidRPr="000D3127">
        <w:t>προοπτική</w:t>
      </w:r>
      <w:r w:rsidRPr="000D3127">
        <w:t xml:space="preserve"> (</w:t>
      </w:r>
      <w:r w:rsidR="00AF10E7" w:rsidRPr="000D3127">
        <w:fldChar w:fldCharType="begin"/>
      </w:r>
      <w:r w:rsidR="00AF10E7" w:rsidRPr="000D3127">
        <w:instrText xml:space="preserve"> REF _Ref213416341 \h  \* MERGEFORMAT </w:instrText>
      </w:r>
      <w:r w:rsidR="00AF10E7" w:rsidRPr="000D3127">
        <w:fldChar w:fldCharType="separate"/>
      </w:r>
      <w:r w:rsidR="00E15678" w:rsidRPr="00E15678">
        <w:t>Πίνακας 1.2</w:t>
      </w:r>
      <w:r w:rsidR="00AF10E7" w:rsidRPr="000D3127">
        <w:fldChar w:fldCharType="end"/>
      </w:r>
      <w:r w:rsidR="00AF10E7" w:rsidRPr="000D3127">
        <w:t>.</w:t>
      </w:r>
      <w:r w:rsidRPr="000D3127">
        <w:t>). Οι εξελίξεις</w:t>
      </w:r>
      <w:r w:rsidRPr="008B4F99">
        <w:t xml:space="preserve"> αυτές επιβεβαιώνουν την πρόοδο στον</w:t>
      </w:r>
      <w:r w:rsidRPr="00F32211">
        <w:rPr>
          <w:color w:val="76923C" w:themeColor="accent3" w:themeShade="BF"/>
        </w:rPr>
        <w:t xml:space="preserve"> </w:t>
      </w:r>
      <w:r w:rsidRPr="008B4F99">
        <w:t>τομέα των μεταρρυθμίσεων και τη σταθερή εμπιστοσύνη των διεθνών αγορών απέναντι στη δημοσιονομική και αναπτυξιακή στρατηγική της χώρας.</w:t>
      </w:r>
    </w:p>
    <w:p w14:paraId="46BD39CA" w14:textId="77777777" w:rsidR="00F50438" w:rsidRDefault="00F50438" w:rsidP="00AB5902">
      <w:pPr>
        <w:rPr>
          <w:highlight w:val="yellow"/>
        </w:rPr>
      </w:pPr>
    </w:p>
    <w:p w14:paraId="25F1D584" w14:textId="77777777" w:rsidR="00F50438" w:rsidRDefault="00F50438" w:rsidP="00AB5902">
      <w:pPr>
        <w:rPr>
          <w:highlight w:val="yellow"/>
        </w:rPr>
      </w:pPr>
    </w:p>
    <w:p w14:paraId="0DD939C0" w14:textId="77777777" w:rsidR="00F50438" w:rsidRDefault="00F50438" w:rsidP="00AB5902">
      <w:pPr>
        <w:rPr>
          <w:highlight w:val="yellow"/>
        </w:rPr>
      </w:pPr>
    </w:p>
    <w:p w14:paraId="664C3DEA" w14:textId="77777777" w:rsidR="00F50438" w:rsidRDefault="00F50438" w:rsidP="00AB5902">
      <w:pPr>
        <w:rPr>
          <w:highlight w:val="yellow"/>
        </w:rPr>
      </w:pPr>
    </w:p>
    <w:p w14:paraId="37D9EAA0" w14:textId="0E169235" w:rsidR="00F50438" w:rsidRDefault="00F50438" w:rsidP="00AB5902">
      <w:pPr>
        <w:rPr>
          <w:highlight w:val="yellow"/>
        </w:rPr>
      </w:pPr>
    </w:p>
    <w:p w14:paraId="12F3AB70" w14:textId="77777777" w:rsidR="00345DCF" w:rsidRDefault="00345DCF" w:rsidP="00AB5902">
      <w:pPr>
        <w:rPr>
          <w:highlight w:val="yellow"/>
        </w:rPr>
      </w:pPr>
    </w:p>
    <w:tbl>
      <w:tblPr>
        <w:tblW w:w="10321" w:type="dxa"/>
        <w:jc w:val="center"/>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1590"/>
        <w:gridCol w:w="1185"/>
        <w:gridCol w:w="1256"/>
        <w:gridCol w:w="1255"/>
        <w:gridCol w:w="1258"/>
        <w:gridCol w:w="1255"/>
        <w:gridCol w:w="1255"/>
        <w:gridCol w:w="1261"/>
        <w:gridCol w:w="6"/>
      </w:tblGrid>
      <w:tr w:rsidR="002C6861" w:rsidRPr="007E1E0E" w14:paraId="0909CEB3" w14:textId="77777777" w:rsidTr="006F6710">
        <w:trPr>
          <w:cantSplit/>
          <w:trHeight w:val="340"/>
          <w:jc w:val="center"/>
        </w:trPr>
        <w:tc>
          <w:tcPr>
            <w:tcW w:w="10321" w:type="dxa"/>
            <w:gridSpan w:val="9"/>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tcPr>
          <w:p w14:paraId="7C8EB02E" w14:textId="0961CF17" w:rsidR="002C6861" w:rsidRPr="00075338" w:rsidRDefault="00AF10E7" w:rsidP="006F6710">
            <w:pPr>
              <w:spacing w:after="0" w:line="276" w:lineRule="auto"/>
              <w:jc w:val="center"/>
              <w:rPr>
                <w:rFonts w:cs="Arial"/>
                <w:b/>
                <w:sz w:val="18"/>
                <w:szCs w:val="18"/>
              </w:rPr>
            </w:pPr>
            <w:bookmarkStart w:id="41" w:name="_Ref213416341"/>
            <w:bookmarkStart w:id="42" w:name="_Toc182927912"/>
            <w:bookmarkStart w:id="43" w:name="_Toc214387611"/>
            <w:r w:rsidRPr="00AF10E7">
              <w:rPr>
                <w:b/>
                <w:sz w:val="18"/>
                <w:szCs w:val="18"/>
              </w:rPr>
              <w:lastRenderedPageBreak/>
              <w:t>Πίνακας 1.</w:t>
            </w:r>
            <w:r w:rsidRPr="00AF10E7">
              <w:rPr>
                <w:b/>
                <w:sz w:val="18"/>
                <w:szCs w:val="18"/>
              </w:rPr>
              <w:fldChar w:fldCharType="begin"/>
            </w:r>
            <w:r w:rsidRPr="00AF10E7">
              <w:rPr>
                <w:b/>
                <w:sz w:val="18"/>
                <w:szCs w:val="18"/>
              </w:rPr>
              <w:instrText xml:space="preserve"> SEQ Πίνακας_1. \* ARABIC </w:instrText>
            </w:r>
            <w:r w:rsidRPr="00AF10E7">
              <w:rPr>
                <w:b/>
                <w:sz w:val="18"/>
                <w:szCs w:val="18"/>
              </w:rPr>
              <w:fldChar w:fldCharType="separate"/>
            </w:r>
            <w:r w:rsidR="00E15678">
              <w:rPr>
                <w:b/>
                <w:noProof/>
                <w:sz w:val="18"/>
                <w:szCs w:val="18"/>
              </w:rPr>
              <w:t>2</w:t>
            </w:r>
            <w:r w:rsidRPr="00AF10E7">
              <w:rPr>
                <w:b/>
                <w:sz w:val="18"/>
                <w:szCs w:val="18"/>
              </w:rPr>
              <w:fldChar w:fldCharType="end"/>
            </w:r>
            <w:bookmarkEnd w:id="41"/>
            <w:r w:rsidR="002C6861" w:rsidRPr="00AF10E7">
              <w:rPr>
                <w:rFonts w:cs="Arial"/>
                <w:b/>
                <w:sz w:val="18"/>
                <w:szCs w:val="18"/>
              </w:rPr>
              <w:t>.: Πιστοληπτικές</w:t>
            </w:r>
            <w:r w:rsidR="002C6861" w:rsidRPr="00075338">
              <w:rPr>
                <w:rFonts w:cs="Arial"/>
                <w:b/>
                <w:sz w:val="18"/>
                <w:szCs w:val="18"/>
              </w:rPr>
              <w:t xml:space="preserve"> βαθμίδες αξιολόγησης της ελληνικής οικονομίας από Διεθνείς Οίκους Αξιολόγησης</w:t>
            </w:r>
            <w:bookmarkEnd w:id="42"/>
            <w:bookmarkEnd w:id="43"/>
          </w:p>
        </w:tc>
      </w:tr>
      <w:tr w:rsidR="002C6861" w:rsidRPr="00C835AF" w14:paraId="164339D7" w14:textId="77777777" w:rsidTr="007D1605">
        <w:trPr>
          <w:gridAfter w:val="1"/>
          <w:wAfter w:w="6" w:type="dxa"/>
          <w:cantSplit/>
          <w:trHeight w:val="567"/>
          <w:jc w:val="center"/>
        </w:trPr>
        <w:tc>
          <w:tcPr>
            <w:tcW w:w="1590" w:type="dxa"/>
            <w:tcBorders>
              <w:top w:val="single" w:sz="2" w:space="0" w:color="A6A6A6" w:themeColor="background1" w:themeShade="A6"/>
              <w:left w:val="single" w:sz="2" w:space="0" w:color="A6A6A6" w:themeColor="background1" w:themeShade="A6"/>
              <w:bottom w:val="nil"/>
            </w:tcBorders>
            <w:shd w:val="clear" w:color="auto" w:fill="F2F2F2"/>
            <w:vAlign w:val="center"/>
          </w:tcPr>
          <w:p w14:paraId="584B516A" w14:textId="77777777" w:rsidR="002C6861" w:rsidRPr="00EB4666" w:rsidRDefault="002C6861" w:rsidP="006F6710">
            <w:pPr>
              <w:spacing w:after="0" w:line="276" w:lineRule="auto"/>
              <w:jc w:val="center"/>
              <w:rPr>
                <w:rFonts w:cs="Arial"/>
                <w:b/>
                <w:sz w:val="16"/>
                <w:szCs w:val="16"/>
              </w:rPr>
            </w:pPr>
            <w:r w:rsidRPr="00EB4666">
              <w:rPr>
                <w:rFonts w:cs="Arial"/>
                <w:b/>
                <w:sz w:val="16"/>
                <w:szCs w:val="16"/>
              </w:rPr>
              <w:t>Περιγραφή</w:t>
            </w:r>
          </w:p>
        </w:tc>
        <w:tc>
          <w:tcPr>
            <w:tcW w:w="1185" w:type="dxa"/>
            <w:tcBorders>
              <w:top w:val="single" w:sz="2" w:space="0" w:color="A6A6A6" w:themeColor="background1" w:themeShade="A6"/>
              <w:bottom w:val="nil"/>
            </w:tcBorders>
            <w:shd w:val="clear" w:color="auto" w:fill="F2F2F2"/>
            <w:vAlign w:val="center"/>
          </w:tcPr>
          <w:p w14:paraId="4D67C5A2" w14:textId="77777777" w:rsidR="00B6260D" w:rsidRDefault="003B1B00" w:rsidP="006F6710">
            <w:pPr>
              <w:spacing w:after="0" w:line="276" w:lineRule="auto"/>
              <w:jc w:val="center"/>
              <w:rPr>
                <w:rFonts w:cs="Arial"/>
                <w:b/>
                <w:sz w:val="16"/>
                <w:szCs w:val="16"/>
              </w:rPr>
            </w:pPr>
            <w:r w:rsidRPr="003B1B00">
              <w:rPr>
                <w:rFonts w:cs="Arial"/>
                <w:b/>
                <w:sz w:val="16"/>
                <w:szCs w:val="16"/>
              </w:rPr>
              <w:t xml:space="preserve">Standard </w:t>
            </w:r>
          </w:p>
          <w:p w14:paraId="5C7F25AD" w14:textId="7507F5A6" w:rsidR="002C6861" w:rsidRPr="00EB4666" w:rsidRDefault="003B1B00" w:rsidP="006F6710">
            <w:pPr>
              <w:spacing w:after="0" w:line="276" w:lineRule="auto"/>
              <w:jc w:val="center"/>
              <w:rPr>
                <w:rFonts w:cs="Arial"/>
                <w:b/>
                <w:sz w:val="16"/>
                <w:szCs w:val="16"/>
                <w:lang w:val="en-US"/>
              </w:rPr>
            </w:pPr>
            <w:r w:rsidRPr="003B1B00">
              <w:rPr>
                <w:rFonts w:cs="Arial"/>
                <w:b/>
                <w:sz w:val="16"/>
                <w:szCs w:val="16"/>
              </w:rPr>
              <w:t>&amp; Poor’s</w:t>
            </w:r>
          </w:p>
        </w:tc>
        <w:tc>
          <w:tcPr>
            <w:tcW w:w="1256" w:type="dxa"/>
            <w:tcBorders>
              <w:top w:val="single" w:sz="2" w:space="0" w:color="A6A6A6" w:themeColor="background1" w:themeShade="A6"/>
              <w:bottom w:val="nil"/>
            </w:tcBorders>
            <w:shd w:val="clear" w:color="auto" w:fill="F2F2F2"/>
            <w:vAlign w:val="center"/>
          </w:tcPr>
          <w:p w14:paraId="14D53358" w14:textId="77777777" w:rsidR="002C6861" w:rsidRPr="00EB4666" w:rsidRDefault="002C6861" w:rsidP="006F6710">
            <w:pPr>
              <w:spacing w:after="0" w:line="276" w:lineRule="auto"/>
              <w:jc w:val="center"/>
              <w:rPr>
                <w:rFonts w:cs="Arial"/>
                <w:b/>
                <w:sz w:val="16"/>
                <w:szCs w:val="16"/>
                <w:lang w:val="en-US"/>
              </w:rPr>
            </w:pPr>
            <w:r w:rsidRPr="00EB4666">
              <w:rPr>
                <w:rFonts w:cs="Arial"/>
                <w:b/>
                <w:sz w:val="16"/>
                <w:szCs w:val="16"/>
                <w:lang w:val="en-US"/>
              </w:rPr>
              <w:t>Moody’s</w:t>
            </w:r>
          </w:p>
        </w:tc>
        <w:tc>
          <w:tcPr>
            <w:tcW w:w="1255" w:type="dxa"/>
            <w:tcBorders>
              <w:top w:val="single" w:sz="2" w:space="0" w:color="A6A6A6" w:themeColor="background1" w:themeShade="A6"/>
              <w:bottom w:val="nil"/>
            </w:tcBorders>
            <w:shd w:val="clear" w:color="auto" w:fill="F2F2F2"/>
            <w:vAlign w:val="center"/>
          </w:tcPr>
          <w:p w14:paraId="626B3AB6" w14:textId="77777777" w:rsidR="005247F6" w:rsidRDefault="002C6861" w:rsidP="005247F6">
            <w:pPr>
              <w:spacing w:after="0" w:line="276" w:lineRule="auto"/>
              <w:jc w:val="center"/>
              <w:rPr>
                <w:rFonts w:cs="Arial"/>
                <w:b/>
                <w:sz w:val="16"/>
                <w:szCs w:val="16"/>
              </w:rPr>
            </w:pPr>
            <w:r w:rsidRPr="00EB4666">
              <w:rPr>
                <w:rFonts w:cs="Arial"/>
                <w:b/>
                <w:sz w:val="16"/>
                <w:szCs w:val="16"/>
                <w:lang w:val="en-US"/>
              </w:rPr>
              <w:t>Fitch</w:t>
            </w:r>
            <w:r>
              <w:rPr>
                <w:rFonts w:cs="Arial"/>
                <w:b/>
                <w:sz w:val="16"/>
                <w:szCs w:val="16"/>
              </w:rPr>
              <w:t xml:space="preserve"> </w:t>
            </w:r>
          </w:p>
          <w:p w14:paraId="1BB63868" w14:textId="17097F74" w:rsidR="002C6861" w:rsidRPr="00E54C43" w:rsidRDefault="002C6861" w:rsidP="005247F6">
            <w:pPr>
              <w:spacing w:after="0" w:line="276" w:lineRule="auto"/>
              <w:jc w:val="center"/>
              <w:rPr>
                <w:rFonts w:cs="Arial"/>
                <w:b/>
                <w:sz w:val="16"/>
                <w:szCs w:val="16"/>
                <w:lang w:val="en-US"/>
              </w:rPr>
            </w:pPr>
            <w:r>
              <w:rPr>
                <w:rFonts w:cs="Arial"/>
                <w:b/>
                <w:sz w:val="16"/>
                <w:szCs w:val="16"/>
                <w:lang w:val="en-US"/>
              </w:rPr>
              <w:t>Ratings</w:t>
            </w:r>
          </w:p>
        </w:tc>
        <w:tc>
          <w:tcPr>
            <w:tcW w:w="1258" w:type="dxa"/>
            <w:tcBorders>
              <w:top w:val="single" w:sz="2" w:space="0" w:color="A6A6A6" w:themeColor="background1" w:themeShade="A6"/>
              <w:bottom w:val="nil"/>
            </w:tcBorders>
            <w:shd w:val="clear" w:color="auto" w:fill="F2F2F2"/>
            <w:vAlign w:val="center"/>
          </w:tcPr>
          <w:p w14:paraId="389EA647" w14:textId="77777777" w:rsidR="002C6861" w:rsidRPr="00EB4666" w:rsidRDefault="002C6861" w:rsidP="006F6710">
            <w:pPr>
              <w:spacing w:after="0" w:line="276" w:lineRule="auto"/>
              <w:jc w:val="center"/>
              <w:rPr>
                <w:rFonts w:cs="Arial"/>
                <w:b/>
                <w:sz w:val="16"/>
                <w:szCs w:val="16"/>
                <w:lang w:val="en-US"/>
              </w:rPr>
            </w:pPr>
            <w:r w:rsidRPr="00EB4666">
              <w:rPr>
                <w:rFonts w:cs="Arial"/>
                <w:b/>
                <w:sz w:val="16"/>
                <w:szCs w:val="16"/>
                <w:lang w:val="en-US"/>
              </w:rPr>
              <w:t>DBRS</w:t>
            </w:r>
            <w:r>
              <w:rPr>
                <w:rFonts w:cs="Arial"/>
                <w:b/>
                <w:sz w:val="16"/>
                <w:szCs w:val="16"/>
                <w:lang w:val="en-US"/>
              </w:rPr>
              <w:t xml:space="preserve"> Morningstar</w:t>
            </w:r>
          </w:p>
        </w:tc>
        <w:tc>
          <w:tcPr>
            <w:tcW w:w="1255" w:type="dxa"/>
            <w:tcBorders>
              <w:top w:val="single" w:sz="2" w:space="0" w:color="A6A6A6" w:themeColor="background1" w:themeShade="A6"/>
              <w:bottom w:val="nil"/>
            </w:tcBorders>
            <w:shd w:val="clear" w:color="auto" w:fill="F2F2F2"/>
            <w:vAlign w:val="center"/>
          </w:tcPr>
          <w:p w14:paraId="395DC9FC" w14:textId="77777777" w:rsidR="002C6861" w:rsidRDefault="002C6861" w:rsidP="006F6710">
            <w:pPr>
              <w:spacing w:after="0" w:line="276" w:lineRule="auto"/>
              <w:jc w:val="center"/>
              <w:rPr>
                <w:rFonts w:cs="Arial"/>
                <w:b/>
                <w:sz w:val="16"/>
                <w:szCs w:val="16"/>
                <w:lang w:val="en-US"/>
              </w:rPr>
            </w:pPr>
            <w:r w:rsidRPr="00EB4666">
              <w:rPr>
                <w:rFonts w:cs="Arial"/>
                <w:b/>
                <w:sz w:val="16"/>
                <w:szCs w:val="16"/>
                <w:lang w:val="en-US"/>
              </w:rPr>
              <w:t xml:space="preserve">Scope </w:t>
            </w:r>
          </w:p>
          <w:p w14:paraId="5E1A9A5E" w14:textId="77777777" w:rsidR="002C6861" w:rsidRPr="00E6499C" w:rsidRDefault="002C6861" w:rsidP="006F6710">
            <w:pPr>
              <w:spacing w:after="0" w:line="276" w:lineRule="auto"/>
              <w:jc w:val="center"/>
              <w:rPr>
                <w:rFonts w:cs="Arial"/>
                <w:b/>
                <w:sz w:val="16"/>
                <w:szCs w:val="16"/>
              </w:rPr>
            </w:pPr>
            <w:r w:rsidRPr="00EB4666">
              <w:rPr>
                <w:rFonts w:cs="Arial"/>
                <w:b/>
                <w:sz w:val="16"/>
                <w:szCs w:val="16"/>
                <w:lang w:val="en-US"/>
              </w:rPr>
              <w:t>Rating</w:t>
            </w:r>
            <w:r>
              <w:rPr>
                <w:rFonts w:cs="Arial"/>
                <w:b/>
                <w:sz w:val="16"/>
                <w:szCs w:val="16"/>
                <w:lang w:val="en-US"/>
              </w:rPr>
              <w:t>s</w:t>
            </w:r>
          </w:p>
        </w:tc>
        <w:tc>
          <w:tcPr>
            <w:tcW w:w="1255" w:type="dxa"/>
            <w:tcBorders>
              <w:top w:val="single" w:sz="2" w:space="0" w:color="A6A6A6" w:themeColor="background1" w:themeShade="A6"/>
              <w:bottom w:val="nil"/>
            </w:tcBorders>
            <w:shd w:val="clear" w:color="auto" w:fill="F2F2F2"/>
            <w:vAlign w:val="center"/>
          </w:tcPr>
          <w:p w14:paraId="3DA0EF7A" w14:textId="77777777" w:rsidR="002C6861" w:rsidRPr="00EB4666" w:rsidRDefault="002C6861" w:rsidP="006F6710">
            <w:pPr>
              <w:spacing w:after="0" w:line="276" w:lineRule="auto"/>
              <w:jc w:val="center"/>
              <w:rPr>
                <w:rFonts w:cs="Arial"/>
                <w:b/>
                <w:sz w:val="16"/>
                <w:szCs w:val="16"/>
                <w:lang w:val="en-US"/>
              </w:rPr>
            </w:pPr>
            <w:r w:rsidRPr="00EB4666">
              <w:rPr>
                <w:rFonts w:cs="Arial"/>
                <w:b/>
                <w:sz w:val="16"/>
                <w:szCs w:val="16"/>
                <w:lang w:val="en-US"/>
              </w:rPr>
              <w:t>R&amp;I</w:t>
            </w:r>
          </w:p>
        </w:tc>
        <w:tc>
          <w:tcPr>
            <w:tcW w:w="1261" w:type="dxa"/>
            <w:tcBorders>
              <w:top w:val="single" w:sz="2" w:space="0" w:color="A6A6A6" w:themeColor="background1" w:themeShade="A6"/>
              <w:bottom w:val="single" w:sz="4" w:space="0" w:color="A6A6A6" w:themeColor="background1" w:themeShade="A6"/>
              <w:right w:val="single" w:sz="2" w:space="0" w:color="A6A6A6" w:themeColor="background1" w:themeShade="A6"/>
            </w:tcBorders>
            <w:shd w:val="clear" w:color="auto" w:fill="F2F2F2"/>
            <w:vAlign w:val="center"/>
          </w:tcPr>
          <w:p w14:paraId="620FE14D" w14:textId="77777777" w:rsidR="002C6861" w:rsidRPr="00EB4666" w:rsidRDefault="002C6861" w:rsidP="006F6710">
            <w:pPr>
              <w:spacing w:after="0" w:line="276" w:lineRule="auto"/>
              <w:jc w:val="center"/>
              <w:rPr>
                <w:rFonts w:cs="Arial"/>
                <w:b/>
                <w:sz w:val="16"/>
                <w:szCs w:val="16"/>
              </w:rPr>
            </w:pPr>
            <w:r w:rsidRPr="00EB4666">
              <w:rPr>
                <w:rFonts w:cs="Arial"/>
                <w:b/>
                <w:sz w:val="16"/>
                <w:szCs w:val="16"/>
              </w:rPr>
              <w:t>Βαθμίδα</w:t>
            </w:r>
          </w:p>
        </w:tc>
      </w:tr>
      <w:tr w:rsidR="002C6861" w:rsidRPr="00C835AF" w14:paraId="06CF5034" w14:textId="77777777" w:rsidTr="007D1605">
        <w:trPr>
          <w:gridAfter w:val="1"/>
          <w:wAfter w:w="6" w:type="dxa"/>
          <w:cantSplit/>
          <w:trHeight w:val="543"/>
          <w:jc w:val="center"/>
        </w:trPr>
        <w:tc>
          <w:tcPr>
            <w:tcW w:w="1590" w:type="dxa"/>
            <w:tcBorders>
              <w:top w:val="nil"/>
              <w:left w:val="single" w:sz="2" w:space="0" w:color="A6A6A6" w:themeColor="background1" w:themeShade="A6"/>
              <w:bottom w:val="single" w:sz="2" w:space="0" w:color="A6A6A6" w:themeColor="background1" w:themeShade="A6"/>
            </w:tcBorders>
            <w:shd w:val="clear" w:color="auto" w:fill="ACB9CA"/>
            <w:vAlign w:val="center"/>
          </w:tcPr>
          <w:p w14:paraId="2C0EB20B" w14:textId="77777777" w:rsidR="002C6861" w:rsidRPr="00EB4666" w:rsidRDefault="002C6861" w:rsidP="006F6710">
            <w:pPr>
              <w:spacing w:after="0" w:line="276" w:lineRule="auto"/>
              <w:jc w:val="center"/>
              <w:rPr>
                <w:rFonts w:cs="Arial"/>
                <w:sz w:val="16"/>
                <w:szCs w:val="16"/>
              </w:rPr>
            </w:pPr>
            <w:r w:rsidRPr="00EB4666">
              <w:rPr>
                <w:rFonts w:cs="Arial"/>
                <w:sz w:val="16"/>
                <w:szCs w:val="16"/>
              </w:rPr>
              <w:t>Ανώτατη</w:t>
            </w:r>
          </w:p>
          <w:p w14:paraId="4AD107AB" w14:textId="77777777" w:rsidR="002C6861" w:rsidRPr="00EB4666" w:rsidRDefault="002C6861" w:rsidP="006F6710">
            <w:pPr>
              <w:spacing w:after="0" w:line="276" w:lineRule="auto"/>
              <w:jc w:val="center"/>
              <w:rPr>
                <w:rFonts w:cs="Arial"/>
                <w:sz w:val="16"/>
                <w:szCs w:val="16"/>
              </w:rPr>
            </w:pPr>
            <w:r w:rsidRPr="00EB4666">
              <w:rPr>
                <w:rFonts w:cs="Arial"/>
                <w:sz w:val="16"/>
                <w:szCs w:val="16"/>
              </w:rPr>
              <w:t>Βαθμίδα</w:t>
            </w:r>
          </w:p>
        </w:tc>
        <w:tc>
          <w:tcPr>
            <w:tcW w:w="1185" w:type="dxa"/>
            <w:tcBorders>
              <w:top w:val="nil"/>
              <w:bottom w:val="single" w:sz="2" w:space="0" w:color="A6A6A6" w:themeColor="background1" w:themeShade="A6"/>
            </w:tcBorders>
            <w:shd w:val="clear" w:color="auto" w:fill="ACB9CA"/>
            <w:vAlign w:val="center"/>
          </w:tcPr>
          <w:p w14:paraId="50200363"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AAA</w:t>
            </w:r>
          </w:p>
        </w:tc>
        <w:tc>
          <w:tcPr>
            <w:tcW w:w="1256" w:type="dxa"/>
            <w:tcBorders>
              <w:top w:val="nil"/>
              <w:bottom w:val="single" w:sz="2" w:space="0" w:color="A6A6A6" w:themeColor="background1" w:themeShade="A6"/>
            </w:tcBorders>
            <w:shd w:val="clear" w:color="auto" w:fill="ACB9CA"/>
            <w:vAlign w:val="center"/>
          </w:tcPr>
          <w:p w14:paraId="772EC5C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Aaa</w:t>
            </w:r>
          </w:p>
        </w:tc>
        <w:tc>
          <w:tcPr>
            <w:tcW w:w="1255" w:type="dxa"/>
            <w:tcBorders>
              <w:top w:val="nil"/>
              <w:bottom w:val="single" w:sz="2" w:space="0" w:color="A6A6A6" w:themeColor="background1" w:themeShade="A6"/>
            </w:tcBorders>
            <w:shd w:val="clear" w:color="auto" w:fill="ACB9CA"/>
            <w:vAlign w:val="center"/>
          </w:tcPr>
          <w:p w14:paraId="58656051"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AAA</w:t>
            </w:r>
          </w:p>
        </w:tc>
        <w:tc>
          <w:tcPr>
            <w:tcW w:w="1258" w:type="dxa"/>
            <w:tcBorders>
              <w:top w:val="nil"/>
              <w:bottom w:val="single" w:sz="2" w:space="0" w:color="A6A6A6" w:themeColor="background1" w:themeShade="A6"/>
            </w:tcBorders>
            <w:shd w:val="clear" w:color="auto" w:fill="ACB9CA"/>
            <w:vAlign w:val="center"/>
          </w:tcPr>
          <w:p w14:paraId="442CF026"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AAA</w:t>
            </w:r>
          </w:p>
        </w:tc>
        <w:tc>
          <w:tcPr>
            <w:tcW w:w="1255" w:type="dxa"/>
            <w:tcBorders>
              <w:top w:val="nil"/>
              <w:bottom w:val="single" w:sz="2" w:space="0" w:color="A6A6A6" w:themeColor="background1" w:themeShade="A6"/>
            </w:tcBorders>
            <w:shd w:val="clear" w:color="auto" w:fill="ACB9CA"/>
            <w:vAlign w:val="center"/>
          </w:tcPr>
          <w:p w14:paraId="0B05AACA"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AAA</w:t>
            </w:r>
          </w:p>
        </w:tc>
        <w:tc>
          <w:tcPr>
            <w:tcW w:w="1255" w:type="dxa"/>
            <w:tcBorders>
              <w:top w:val="nil"/>
              <w:bottom w:val="single" w:sz="2" w:space="0" w:color="A6A6A6" w:themeColor="background1" w:themeShade="A6"/>
              <w:right w:val="single" w:sz="4" w:space="0" w:color="A6A6A6" w:themeColor="background1" w:themeShade="A6"/>
            </w:tcBorders>
            <w:shd w:val="clear" w:color="auto" w:fill="ACB9CA"/>
            <w:vAlign w:val="center"/>
          </w:tcPr>
          <w:p w14:paraId="7375B7B5"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AAA</w:t>
            </w:r>
          </w:p>
        </w:tc>
        <w:tc>
          <w:tcPr>
            <w:tcW w:w="126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0615A107"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rPr>
              <w:t>Επενδυτική</w:t>
            </w:r>
          </w:p>
        </w:tc>
      </w:tr>
      <w:tr w:rsidR="002C6861" w:rsidRPr="00C835AF" w14:paraId="6B083DE7" w14:textId="77777777" w:rsidTr="007D1605">
        <w:trPr>
          <w:gridAfter w:val="1"/>
          <w:wAfter w:w="6" w:type="dxa"/>
          <w:cantSplit/>
          <w:trHeight w:val="280"/>
          <w:jc w:val="center"/>
        </w:trPr>
        <w:tc>
          <w:tcPr>
            <w:tcW w:w="1590" w:type="dxa"/>
            <w:vMerge w:val="restart"/>
            <w:tcBorders>
              <w:top w:val="single" w:sz="2" w:space="0" w:color="A6A6A6" w:themeColor="background1" w:themeShade="A6"/>
              <w:left w:val="single" w:sz="2" w:space="0" w:color="A6A6A6" w:themeColor="background1" w:themeShade="A6"/>
              <w:bottom w:val="single" w:sz="4" w:space="0" w:color="808080"/>
            </w:tcBorders>
            <w:shd w:val="clear" w:color="auto" w:fill="ACB9CA"/>
            <w:vAlign w:val="center"/>
          </w:tcPr>
          <w:p w14:paraId="5A449961" w14:textId="77777777" w:rsidR="002C6861" w:rsidRPr="00EB4666" w:rsidRDefault="002C6861" w:rsidP="006F6710">
            <w:pPr>
              <w:spacing w:after="0" w:line="276" w:lineRule="auto"/>
              <w:jc w:val="center"/>
              <w:rPr>
                <w:rFonts w:cs="Arial"/>
                <w:sz w:val="16"/>
                <w:szCs w:val="16"/>
              </w:rPr>
            </w:pPr>
            <w:r w:rsidRPr="00EB4666">
              <w:rPr>
                <w:rFonts w:cs="Arial"/>
                <w:sz w:val="16"/>
                <w:szCs w:val="16"/>
              </w:rPr>
              <w:t>Υψηλή Ενδιάμεση Βαθμίδα</w:t>
            </w:r>
          </w:p>
        </w:tc>
        <w:tc>
          <w:tcPr>
            <w:tcW w:w="1185" w:type="dxa"/>
            <w:tcBorders>
              <w:top w:val="single" w:sz="2" w:space="0" w:color="A6A6A6" w:themeColor="background1" w:themeShade="A6"/>
            </w:tcBorders>
            <w:shd w:val="clear" w:color="auto" w:fill="ACB9CA"/>
            <w:vAlign w:val="center"/>
          </w:tcPr>
          <w:p w14:paraId="14BD0AD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6" w:type="dxa"/>
            <w:tcBorders>
              <w:top w:val="single" w:sz="2" w:space="0" w:color="A6A6A6" w:themeColor="background1" w:themeShade="A6"/>
            </w:tcBorders>
            <w:shd w:val="clear" w:color="auto" w:fill="ACB9CA"/>
            <w:vAlign w:val="center"/>
          </w:tcPr>
          <w:p w14:paraId="3354889B"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Aa1</w:t>
            </w:r>
          </w:p>
        </w:tc>
        <w:tc>
          <w:tcPr>
            <w:tcW w:w="1255" w:type="dxa"/>
            <w:tcBorders>
              <w:top w:val="single" w:sz="2" w:space="0" w:color="A6A6A6" w:themeColor="background1" w:themeShade="A6"/>
            </w:tcBorders>
            <w:shd w:val="clear" w:color="auto" w:fill="ACB9CA"/>
            <w:vAlign w:val="center"/>
          </w:tcPr>
          <w:p w14:paraId="4D09813E"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8" w:type="dxa"/>
            <w:tcBorders>
              <w:top w:val="single" w:sz="2" w:space="0" w:color="A6A6A6" w:themeColor="background1" w:themeShade="A6"/>
            </w:tcBorders>
            <w:shd w:val="clear" w:color="auto" w:fill="ACB9CA"/>
            <w:vAlign w:val="center"/>
          </w:tcPr>
          <w:p w14:paraId="00B006B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 (high)</w:t>
            </w:r>
          </w:p>
        </w:tc>
        <w:tc>
          <w:tcPr>
            <w:tcW w:w="1255" w:type="dxa"/>
            <w:tcBorders>
              <w:top w:val="single" w:sz="2" w:space="0" w:color="A6A6A6" w:themeColor="background1" w:themeShade="A6"/>
            </w:tcBorders>
            <w:shd w:val="clear" w:color="auto" w:fill="ACB9CA"/>
            <w:vAlign w:val="center"/>
          </w:tcPr>
          <w:p w14:paraId="7BFD3546"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5" w:type="dxa"/>
            <w:tcBorders>
              <w:top w:val="single" w:sz="2" w:space="0" w:color="A6A6A6" w:themeColor="background1" w:themeShade="A6"/>
              <w:right w:val="single" w:sz="4" w:space="0" w:color="A6A6A6" w:themeColor="background1" w:themeShade="A6"/>
            </w:tcBorders>
            <w:shd w:val="clear" w:color="auto" w:fill="ACB9CA"/>
            <w:vAlign w:val="center"/>
          </w:tcPr>
          <w:p w14:paraId="3BF1A622"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407F345A" w14:textId="77777777" w:rsidR="002C6861" w:rsidRPr="00EB4666" w:rsidRDefault="002C6861" w:rsidP="006F6710">
            <w:pPr>
              <w:spacing w:after="0" w:line="276" w:lineRule="auto"/>
              <w:jc w:val="center"/>
              <w:rPr>
                <w:rFonts w:cs="Arial"/>
                <w:sz w:val="16"/>
                <w:szCs w:val="16"/>
              </w:rPr>
            </w:pPr>
          </w:p>
        </w:tc>
      </w:tr>
      <w:tr w:rsidR="002C6861" w:rsidRPr="00C835AF" w14:paraId="5839DFE3" w14:textId="77777777" w:rsidTr="007D1605">
        <w:trPr>
          <w:gridAfter w:val="1"/>
          <w:wAfter w:w="6" w:type="dxa"/>
          <w:cantSplit/>
          <w:trHeight w:val="280"/>
          <w:jc w:val="center"/>
        </w:trPr>
        <w:tc>
          <w:tcPr>
            <w:tcW w:w="1590" w:type="dxa"/>
            <w:vMerge/>
            <w:tcBorders>
              <w:top w:val="nil"/>
              <w:left w:val="single" w:sz="2" w:space="0" w:color="A6A6A6" w:themeColor="background1" w:themeShade="A6"/>
              <w:bottom w:val="single" w:sz="4" w:space="0" w:color="808080"/>
            </w:tcBorders>
            <w:shd w:val="clear" w:color="auto" w:fill="ACB9CA"/>
            <w:vAlign w:val="center"/>
          </w:tcPr>
          <w:p w14:paraId="363BC59F" w14:textId="77777777" w:rsidR="002C6861" w:rsidRPr="00EB4666" w:rsidRDefault="002C6861" w:rsidP="006F6710">
            <w:pPr>
              <w:spacing w:after="0" w:line="276" w:lineRule="auto"/>
              <w:jc w:val="center"/>
              <w:rPr>
                <w:rFonts w:cs="Arial"/>
                <w:sz w:val="16"/>
                <w:szCs w:val="16"/>
              </w:rPr>
            </w:pPr>
          </w:p>
        </w:tc>
        <w:tc>
          <w:tcPr>
            <w:tcW w:w="1185" w:type="dxa"/>
            <w:tcBorders>
              <w:bottom w:val="nil"/>
            </w:tcBorders>
            <w:shd w:val="clear" w:color="auto" w:fill="ACB9CA"/>
            <w:vAlign w:val="center"/>
          </w:tcPr>
          <w:p w14:paraId="2E194499"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6" w:type="dxa"/>
            <w:tcBorders>
              <w:bottom w:val="nil"/>
            </w:tcBorders>
            <w:shd w:val="clear" w:color="auto" w:fill="ACB9CA"/>
            <w:vAlign w:val="center"/>
          </w:tcPr>
          <w:p w14:paraId="1A696146"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Aa2</w:t>
            </w:r>
          </w:p>
        </w:tc>
        <w:tc>
          <w:tcPr>
            <w:tcW w:w="1255" w:type="dxa"/>
            <w:tcBorders>
              <w:bottom w:val="nil"/>
            </w:tcBorders>
            <w:shd w:val="clear" w:color="auto" w:fill="ACB9CA"/>
            <w:vAlign w:val="center"/>
          </w:tcPr>
          <w:p w14:paraId="57C57D0A"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8" w:type="dxa"/>
            <w:tcBorders>
              <w:bottom w:val="nil"/>
            </w:tcBorders>
            <w:shd w:val="clear" w:color="auto" w:fill="ACB9CA"/>
            <w:vAlign w:val="center"/>
          </w:tcPr>
          <w:p w14:paraId="4E5AD4D4"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5" w:type="dxa"/>
            <w:tcBorders>
              <w:bottom w:val="nil"/>
            </w:tcBorders>
            <w:shd w:val="clear" w:color="auto" w:fill="ACB9CA"/>
            <w:vAlign w:val="center"/>
          </w:tcPr>
          <w:p w14:paraId="0DA3ADF3"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5" w:type="dxa"/>
            <w:tcBorders>
              <w:bottom w:val="nil"/>
              <w:right w:val="single" w:sz="4" w:space="0" w:color="A6A6A6" w:themeColor="background1" w:themeShade="A6"/>
            </w:tcBorders>
            <w:shd w:val="clear" w:color="auto" w:fill="ACB9CA"/>
            <w:vAlign w:val="center"/>
          </w:tcPr>
          <w:p w14:paraId="5B54EA17"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63A551A4" w14:textId="77777777" w:rsidR="002C6861" w:rsidRPr="00EB4666" w:rsidRDefault="002C6861" w:rsidP="006F6710">
            <w:pPr>
              <w:spacing w:after="0" w:line="276" w:lineRule="auto"/>
              <w:jc w:val="center"/>
              <w:rPr>
                <w:rFonts w:cs="Arial"/>
                <w:sz w:val="16"/>
                <w:szCs w:val="16"/>
              </w:rPr>
            </w:pPr>
          </w:p>
        </w:tc>
      </w:tr>
      <w:tr w:rsidR="002C6861" w:rsidRPr="00C835AF" w14:paraId="5B93D1A0" w14:textId="77777777" w:rsidTr="007D1605">
        <w:trPr>
          <w:gridAfter w:val="1"/>
          <w:wAfter w:w="6" w:type="dxa"/>
          <w:cantSplit/>
          <w:trHeight w:val="280"/>
          <w:jc w:val="center"/>
        </w:trPr>
        <w:tc>
          <w:tcPr>
            <w:tcW w:w="1590" w:type="dxa"/>
            <w:vMerge/>
            <w:tcBorders>
              <w:top w:val="nil"/>
              <w:left w:val="single" w:sz="2" w:space="0" w:color="A6A6A6" w:themeColor="background1" w:themeShade="A6"/>
              <w:bottom w:val="single" w:sz="4" w:space="0" w:color="A6A6A6" w:themeColor="background1" w:themeShade="A6"/>
            </w:tcBorders>
            <w:shd w:val="clear" w:color="auto" w:fill="ACB9CA"/>
            <w:vAlign w:val="center"/>
          </w:tcPr>
          <w:p w14:paraId="3F4EE31A" w14:textId="77777777" w:rsidR="002C6861" w:rsidRPr="00EB4666" w:rsidRDefault="002C6861" w:rsidP="006F6710">
            <w:pPr>
              <w:spacing w:after="0" w:line="276" w:lineRule="auto"/>
              <w:jc w:val="center"/>
              <w:rPr>
                <w:rFonts w:cs="Arial"/>
                <w:sz w:val="16"/>
                <w:szCs w:val="16"/>
              </w:rPr>
            </w:pPr>
          </w:p>
        </w:tc>
        <w:tc>
          <w:tcPr>
            <w:tcW w:w="1185" w:type="dxa"/>
            <w:tcBorders>
              <w:top w:val="nil"/>
              <w:bottom w:val="single" w:sz="4" w:space="0" w:color="A6A6A6" w:themeColor="background1" w:themeShade="A6"/>
            </w:tcBorders>
            <w:shd w:val="clear" w:color="auto" w:fill="ACB9CA"/>
            <w:vAlign w:val="center"/>
          </w:tcPr>
          <w:p w14:paraId="506B3BE7"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6" w:type="dxa"/>
            <w:tcBorders>
              <w:top w:val="nil"/>
              <w:bottom w:val="single" w:sz="4" w:space="0" w:color="A6A6A6" w:themeColor="background1" w:themeShade="A6"/>
            </w:tcBorders>
            <w:shd w:val="clear" w:color="auto" w:fill="ACB9CA"/>
            <w:vAlign w:val="center"/>
          </w:tcPr>
          <w:p w14:paraId="3CE5F67E"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Aa3</w:t>
            </w:r>
          </w:p>
        </w:tc>
        <w:tc>
          <w:tcPr>
            <w:tcW w:w="1255" w:type="dxa"/>
            <w:tcBorders>
              <w:top w:val="nil"/>
              <w:bottom w:val="single" w:sz="4" w:space="0" w:color="A6A6A6" w:themeColor="background1" w:themeShade="A6"/>
            </w:tcBorders>
            <w:shd w:val="clear" w:color="auto" w:fill="ACB9CA"/>
            <w:vAlign w:val="center"/>
          </w:tcPr>
          <w:p w14:paraId="5D2E16FD"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8" w:type="dxa"/>
            <w:tcBorders>
              <w:top w:val="nil"/>
              <w:bottom w:val="single" w:sz="4" w:space="0" w:color="A6A6A6" w:themeColor="background1" w:themeShade="A6"/>
            </w:tcBorders>
            <w:shd w:val="clear" w:color="auto" w:fill="ACB9CA"/>
            <w:vAlign w:val="center"/>
          </w:tcPr>
          <w:p w14:paraId="4C34D23C"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 (low)</w:t>
            </w:r>
          </w:p>
        </w:tc>
        <w:tc>
          <w:tcPr>
            <w:tcW w:w="1255" w:type="dxa"/>
            <w:tcBorders>
              <w:top w:val="nil"/>
              <w:bottom w:val="single" w:sz="4" w:space="0" w:color="A6A6A6" w:themeColor="background1" w:themeShade="A6"/>
            </w:tcBorders>
            <w:shd w:val="clear" w:color="auto" w:fill="ACB9CA"/>
            <w:vAlign w:val="center"/>
          </w:tcPr>
          <w:p w14:paraId="217217F9"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55" w:type="dxa"/>
            <w:tcBorders>
              <w:top w:val="nil"/>
              <w:bottom w:val="single" w:sz="4" w:space="0" w:color="A6A6A6" w:themeColor="background1" w:themeShade="A6"/>
              <w:right w:val="single" w:sz="4" w:space="0" w:color="A6A6A6" w:themeColor="background1" w:themeShade="A6"/>
            </w:tcBorders>
            <w:shd w:val="clear" w:color="auto" w:fill="ACB9CA"/>
            <w:vAlign w:val="center"/>
          </w:tcPr>
          <w:p w14:paraId="310E6C92"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AA-</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1167F0F6" w14:textId="77777777" w:rsidR="002C6861" w:rsidRPr="00EB4666" w:rsidRDefault="002C6861" w:rsidP="006F6710">
            <w:pPr>
              <w:spacing w:after="0" w:line="276" w:lineRule="auto"/>
              <w:jc w:val="center"/>
              <w:rPr>
                <w:rFonts w:cs="Arial"/>
                <w:sz w:val="16"/>
                <w:szCs w:val="16"/>
              </w:rPr>
            </w:pPr>
          </w:p>
        </w:tc>
      </w:tr>
      <w:tr w:rsidR="002C6861" w:rsidRPr="00C835AF" w14:paraId="71A51286" w14:textId="77777777" w:rsidTr="00FE61D8">
        <w:trPr>
          <w:gridAfter w:val="1"/>
          <w:wAfter w:w="6" w:type="dxa"/>
          <w:cantSplit/>
          <w:trHeight w:val="278"/>
          <w:jc w:val="center"/>
        </w:trPr>
        <w:tc>
          <w:tcPr>
            <w:tcW w:w="1590"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CB9CA"/>
            <w:vAlign w:val="center"/>
          </w:tcPr>
          <w:p w14:paraId="50DDD32C" w14:textId="77777777" w:rsidR="002C6861" w:rsidRPr="00EB4666" w:rsidRDefault="002C6861" w:rsidP="006F6710">
            <w:pPr>
              <w:spacing w:after="0" w:line="276" w:lineRule="auto"/>
              <w:jc w:val="center"/>
              <w:rPr>
                <w:rFonts w:cs="Arial"/>
                <w:sz w:val="16"/>
                <w:szCs w:val="16"/>
              </w:rPr>
            </w:pPr>
            <w:r w:rsidRPr="00EB4666">
              <w:rPr>
                <w:rFonts w:cs="Arial"/>
                <w:sz w:val="16"/>
                <w:szCs w:val="16"/>
              </w:rPr>
              <w:t>Ανώτερη Ενδιάμεση Βαθμίδα</w:t>
            </w:r>
          </w:p>
        </w:tc>
        <w:tc>
          <w:tcPr>
            <w:tcW w:w="1185" w:type="dxa"/>
            <w:tcBorders>
              <w:top w:val="single" w:sz="4" w:space="0" w:color="A6A6A6" w:themeColor="background1" w:themeShade="A6"/>
              <w:bottom w:val="nil"/>
            </w:tcBorders>
            <w:shd w:val="clear" w:color="auto" w:fill="ACB9CA"/>
            <w:vAlign w:val="center"/>
          </w:tcPr>
          <w:p w14:paraId="68FB15F9"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6" w:type="dxa"/>
            <w:tcBorders>
              <w:top w:val="single" w:sz="4" w:space="0" w:color="A6A6A6" w:themeColor="background1" w:themeShade="A6"/>
              <w:bottom w:val="nil"/>
            </w:tcBorders>
            <w:shd w:val="clear" w:color="auto" w:fill="ACB9CA"/>
            <w:vAlign w:val="center"/>
          </w:tcPr>
          <w:p w14:paraId="0386ED3E"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A1</w:t>
            </w:r>
          </w:p>
        </w:tc>
        <w:tc>
          <w:tcPr>
            <w:tcW w:w="1255" w:type="dxa"/>
            <w:tcBorders>
              <w:top w:val="single" w:sz="4" w:space="0" w:color="A6A6A6" w:themeColor="background1" w:themeShade="A6"/>
              <w:bottom w:val="nil"/>
            </w:tcBorders>
            <w:shd w:val="clear" w:color="auto" w:fill="ACB9CA"/>
            <w:vAlign w:val="center"/>
          </w:tcPr>
          <w:p w14:paraId="6A4819B2"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8" w:type="dxa"/>
            <w:tcBorders>
              <w:top w:val="single" w:sz="4" w:space="0" w:color="A6A6A6" w:themeColor="background1" w:themeShade="A6"/>
              <w:bottom w:val="nil"/>
            </w:tcBorders>
            <w:shd w:val="clear" w:color="auto" w:fill="ACB9CA"/>
            <w:vAlign w:val="center"/>
          </w:tcPr>
          <w:p w14:paraId="6B0EA804"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 (high)</w:t>
            </w:r>
          </w:p>
        </w:tc>
        <w:tc>
          <w:tcPr>
            <w:tcW w:w="1255" w:type="dxa"/>
            <w:tcBorders>
              <w:top w:val="single" w:sz="4" w:space="0" w:color="A6A6A6" w:themeColor="background1" w:themeShade="A6"/>
              <w:bottom w:val="nil"/>
            </w:tcBorders>
            <w:shd w:val="clear" w:color="auto" w:fill="ACB9CA"/>
            <w:vAlign w:val="center"/>
          </w:tcPr>
          <w:p w14:paraId="2C507FF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5" w:type="dxa"/>
            <w:tcBorders>
              <w:top w:val="single" w:sz="4" w:space="0" w:color="A6A6A6" w:themeColor="background1" w:themeShade="A6"/>
              <w:bottom w:val="nil"/>
              <w:right w:val="single" w:sz="4" w:space="0" w:color="A6A6A6" w:themeColor="background1" w:themeShade="A6"/>
            </w:tcBorders>
            <w:shd w:val="clear" w:color="auto" w:fill="ACB9CA"/>
            <w:vAlign w:val="center"/>
          </w:tcPr>
          <w:p w14:paraId="2748F5FA"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35113EDA" w14:textId="77777777" w:rsidR="002C6861" w:rsidRPr="00EB4666" w:rsidRDefault="002C6861" w:rsidP="006F6710">
            <w:pPr>
              <w:spacing w:after="0" w:line="276" w:lineRule="auto"/>
              <w:jc w:val="center"/>
              <w:rPr>
                <w:rFonts w:cs="Arial"/>
                <w:sz w:val="16"/>
                <w:szCs w:val="16"/>
              </w:rPr>
            </w:pPr>
          </w:p>
        </w:tc>
      </w:tr>
      <w:tr w:rsidR="002C6861" w:rsidRPr="00C835AF" w14:paraId="6B7592E0" w14:textId="77777777" w:rsidTr="007D1605">
        <w:trPr>
          <w:gridAfter w:val="1"/>
          <w:wAfter w:w="6" w:type="dxa"/>
          <w:cantSplit/>
          <w:trHeight w:val="280"/>
          <w:jc w:val="center"/>
        </w:trPr>
        <w:tc>
          <w:tcPr>
            <w:tcW w:w="1590" w:type="dxa"/>
            <w:vMerge/>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ACB9CA"/>
            <w:vAlign w:val="center"/>
          </w:tcPr>
          <w:p w14:paraId="64C49D02" w14:textId="77777777" w:rsidR="002C6861" w:rsidRPr="00EB4666" w:rsidRDefault="002C6861" w:rsidP="006F6710">
            <w:pPr>
              <w:spacing w:after="0" w:line="276" w:lineRule="auto"/>
              <w:jc w:val="center"/>
              <w:rPr>
                <w:rFonts w:cs="Arial"/>
                <w:sz w:val="16"/>
                <w:szCs w:val="16"/>
              </w:rPr>
            </w:pPr>
          </w:p>
        </w:tc>
        <w:tc>
          <w:tcPr>
            <w:tcW w:w="1185" w:type="dxa"/>
            <w:tcBorders>
              <w:top w:val="nil"/>
              <w:bottom w:val="nil"/>
            </w:tcBorders>
            <w:shd w:val="clear" w:color="auto" w:fill="ACB9CA"/>
            <w:vAlign w:val="center"/>
          </w:tcPr>
          <w:p w14:paraId="65C83928"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6" w:type="dxa"/>
            <w:tcBorders>
              <w:top w:val="nil"/>
              <w:bottom w:val="nil"/>
            </w:tcBorders>
            <w:shd w:val="clear" w:color="auto" w:fill="ACB9CA"/>
            <w:vAlign w:val="center"/>
          </w:tcPr>
          <w:p w14:paraId="4D458ECB"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A2</w:t>
            </w:r>
          </w:p>
        </w:tc>
        <w:tc>
          <w:tcPr>
            <w:tcW w:w="1255" w:type="dxa"/>
            <w:tcBorders>
              <w:top w:val="nil"/>
              <w:bottom w:val="nil"/>
            </w:tcBorders>
            <w:shd w:val="clear" w:color="auto" w:fill="ACB9CA"/>
            <w:vAlign w:val="center"/>
          </w:tcPr>
          <w:p w14:paraId="0083E4BB"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8" w:type="dxa"/>
            <w:tcBorders>
              <w:top w:val="nil"/>
              <w:bottom w:val="nil"/>
            </w:tcBorders>
            <w:shd w:val="clear" w:color="auto" w:fill="ACB9CA"/>
            <w:vAlign w:val="center"/>
          </w:tcPr>
          <w:p w14:paraId="5EEA8B62"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5" w:type="dxa"/>
            <w:tcBorders>
              <w:top w:val="nil"/>
              <w:bottom w:val="nil"/>
            </w:tcBorders>
            <w:shd w:val="clear" w:color="auto" w:fill="ACB9CA"/>
            <w:vAlign w:val="center"/>
          </w:tcPr>
          <w:p w14:paraId="66F22A4F"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5" w:type="dxa"/>
            <w:tcBorders>
              <w:top w:val="nil"/>
              <w:bottom w:val="nil"/>
              <w:right w:val="single" w:sz="4" w:space="0" w:color="A6A6A6" w:themeColor="background1" w:themeShade="A6"/>
            </w:tcBorders>
            <w:shd w:val="clear" w:color="auto" w:fill="ACB9CA"/>
            <w:vAlign w:val="center"/>
          </w:tcPr>
          <w:p w14:paraId="734DF9BB"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11725D64" w14:textId="77777777" w:rsidR="002C6861" w:rsidRPr="00EB4666" w:rsidRDefault="002C6861" w:rsidP="006F6710">
            <w:pPr>
              <w:spacing w:after="0" w:line="276" w:lineRule="auto"/>
              <w:jc w:val="center"/>
              <w:rPr>
                <w:rFonts w:cs="Arial"/>
                <w:sz w:val="16"/>
                <w:szCs w:val="16"/>
              </w:rPr>
            </w:pPr>
          </w:p>
        </w:tc>
      </w:tr>
      <w:tr w:rsidR="002C6861" w:rsidRPr="00C835AF" w14:paraId="58722183" w14:textId="77777777" w:rsidTr="007D1605">
        <w:trPr>
          <w:gridAfter w:val="1"/>
          <w:wAfter w:w="6" w:type="dxa"/>
          <w:cantSplit/>
          <w:trHeight w:val="280"/>
          <w:jc w:val="center"/>
        </w:trPr>
        <w:tc>
          <w:tcPr>
            <w:tcW w:w="1590" w:type="dxa"/>
            <w:vMerge/>
            <w:tcBorders>
              <w:top w:val="nil"/>
              <w:left w:val="single" w:sz="4" w:space="0" w:color="A6A6A6" w:themeColor="background1" w:themeShade="A6"/>
              <w:bottom w:val="single" w:sz="2" w:space="0" w:color="A6A6A6" w:themeColor="background1" w:themeShade="A6"/>
            </w:tcBorders>
            <w:shd w:val="clear" w:color="auto" w:fill="ACB9CA"/>
            <w:vAlign w:val="center"/>
          </w:tcPr>
          <w:p w14:paraId="18909B81" w14:textId="77777777" w:rsidR="002C6861" w:rsidRPr="00EB4666" w:rsidRDefault="002C6861" w:rsidP="006F6710">
            <w:pPr>
              <w:spacing w:after="0" w:line="276" w:lineRule="auto"/>
              <w:jc w:val="center"/>
              <w:rPr>
                <w:rFonts w:cs="Arial"/>
                <w:sz w:val="16"/>
                <w:szCs w:val="16"/>
              </w:rPr>
            </w:pPr>
          </w:p>
        </w:tc>
        <w:tc>
          <w:tcPr>
            <w:tcW w:w="1185" w:type="dxa"/>
            <w:tcBorders>
              <w:top w:val="nil"/>
              <w:bottom w:val="single" w:sz="2" w:space="0" w:color="A6A6A6" w:themeColor="background1" w:themeShade="A6"/>
            </w:tcBorders>
            <w:shd w:val="clear" w:color="auto" w:fill="ACB9CA"/>
            <w:vAlign w:val="center"/>
          </w:tcPr>
          <w:p w14:paraId="7EAA6EB7"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6" w:type="dxa"/>
            <w:tcBorders>
              <w:top w:val="nil"/>
              <w:bottom w:val="single" w:sz="2" w:space="0" w:color="A6A6A6" w:themeColor="background1" w:themeShade="A6"/>
            </w:tcBorders>
            <w:shd w:val="clear" w:color="auto" w:fill="ACB9CA"/>
            <w:vAlign w:val="center"/>
          </w:tcPr>
          <w:p w14:paraId="6B664DED"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A3</w:t>
            </w:r>
          </w:p>
        </w:tc>
        <w:tc>
          <w:tcPr>
            <w:tcW w:w="1255" w:type="dxa"/>
            <w:tcBorders>
              <w:top w:val="nil"/>
              <w:bottom w:val="single" w:sz="2" w:space="0" w:color="A6A6A6" w:themeColor="background1" w:themeShade="A6"/>
            </w:tcBorders>
            <w:shd w:val="clear" w:color="auto" w:fill="ACB9CA"/>
            <w:vAlign w:val="center"/>
          </w:tcPr>
          <w:p w14:paraId="4EC86938"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8" w:type="dxa"/>
            <w:tcBorders>
              <w:top w:val="nil"/>
              <w:bottom w:val="single" w:sz="2" w:space="0" w:color="A6A6A6" w:themeColor="background1" w:themeShade="A6"/>
            </w:tcBorders>
            <w:shd w:val="clear" w:color="auto" w:fill="ACB9CA"/>
            <w:vAlign w:val="center"/>
          </w:tcPr>
          <w:p w14:paraId="7979676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 (low)</w:t>
            </w:r>
          </w:p>
        </w:tc>
        <w:tc>
          <w:tcPr>
            <w:tcW w:w="1255" w:type="dxa"/>
            <w:tcBorders>
              <w:top w:val="nil"/>
              <w:bottom w:val="single" w:sz="2" w:space="0" w:color="A6A6A6" w:themeColor="background1" w:themeShade="A6"/>
            </w:tcBorders>
            <w:shd w:val="clear" w:color="auto" w:fill="ACB9CA"/>
            <w:vAlign w:val="center"/>
          </w:tcPr>
          <w:p w14:paraId="417FCC81"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55" w:type="dxa"/>
            <w:tcBorders>
              <w:top w:val="nil"/>
              <w:bottom w:val="single" w:sz="2" w:space="0" w:color="A6A6A6" w:themeColor="background1" w:themeShade="A6"/>
              <w:right w:val="single" w:sz="4" w:space="0" w:color="A6A6A6" w:themeColor="background1" w:themeShade="A6"/>
            </w:tcBorders>
            <w:shd w:val="clear" w:color="auto" w:fill="ACB9CA"/>
            <w:vAlign w:val="center"/>
          </w:tcPr>
          <w:p w14:paraId="5ED549CD"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A-</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377D2E9D" w14:textId="77777777" w:rsidR="002C6861" w:rsidRPr="00EB4666" w:rsidRDefault="002C6861" w:rsidP="006F6710">
            <w:pPr>
              <w:spacing w:after="0" w:line="276" w:lineRule="auto"/>
              <w:jc w:val="center"/>
              <w:rPr>
                <w:rFonts w:cs="Arial"/>
                <w:sz w:val="16"/>
                <w:szCs w:val="16"/>
              </w:rPr>
            </w:pPr>
          </w:p>
        </w:tc>
      </w:tr>
      <w:tr w:rsidR="002C6861" w:rsidRPr="00C835AF" w14:paraId="02F3EB90" w14:textId="77777777" w:rsidTr="00FE61D8">
        <w:trPr>
          <w:gridAfter w:val="1"/>
          <w:wAfter w:w="6" w:type="dxa"/>
          <w:cantSplit/>
          <w:trHeight w:val="278"/>
          <w:jc w:val="center"/>
        </w:trPr>
        <w:tc>
          <w:tcPr>
            <w:tcW w:w="1590" w:type="dxa"/>
            <w:vMerge w:val="restart"/>
            <w:tcBorders>
              <w:top w:val="single" w:sz="2" w:space="0" w:color="A6A6A6" w:themeColor="background1" w:themeShade="A6"/>
              <w:left w:val="single" w:sz="2" w:space="0" w:color="A6A6A6" w:themeColor="background1" w:themeShade="A6"/>
              <w:bottom w:val="nil"/>
            </w:tcBorders>
            <w:shd w:val="clear" w:color="auto" w:fill="ACB9CA"/>
            <w:vAlign w:val="center"/>
          </w:tcPr>
          <w:p w14:paraId="2D7C8EAF" w14:textId="77777777" w:rsidR="002C6861" w:rsidRPr="00EB4666" w:rsidRDefault="002C6861" w:rsidP="006F6710">
            <w:pPr>
              <w:spacing w:after="0" w:line="276" w:lineRule="auto"/>
              <w:jc w:val="center"/>
              <w:rPr>
                <w:rFonts w:cs="Arial"/>
                <w:sz w:val="16"/>
                <w:szCs w:val="16"/>
              </w:rPr>
            </w:pPr>
            <w:r w:rsidRPr="00EB4666">
              <w:rPr>
                <w:rFonts w:cs="Arial"/>
                <w:sz w:val="16"/>
                <w:szCs w:val="16"/>
              </w:rPr>
              <w:t>Χαμηλή Ενδιάμεση Βαθμίδα</w:t>
            </w:r>
          </w:p>
        </w:tc>
        <w:tc>
          <w:tcPr>
            <w:tcW w:w="1185" w:type="dxa"/>
            <w:tcBorders>
              <w:top w:val="single" w:sz="2" w:space="0" w:color="A6A6A6" w:themeColor="background1" w:themeShade="A6"/>
              <w:bottom w:val="nil"/>
            </w:tcBorders>
            <w:shd w:val="clear" w:color="auto" w:fill="ACB9CA"/>
            <w:vAlign w:val="center"/>
          </w:tcPr>
          <w:p w14:paraId="1E7A9F3A"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BBB+</w:t>
            </w:r>
          </w:p>
        </w:tc>
        <w:tc>
          <w:tcPr>
            <w:tcW w:w="1256" w:type="dxa"/>
            <w:tcBorders>
              <w:top w:val="single" w:sz="2" w:space="0" w:color="A6A6A6" w:themeColor="background1" w:themeShade="A6"/>
              <w:bottom w:val="nil"/>
            </w:tcBorders>
            <w:shd w:val="clear" w:color="auto" w:fill="ACB9CA"/>
            <w:vAlign w:val="center"/>
          </w:tcPr>
          <w:p w14:paraId="613B2AC4"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Baa1</w:t>
            </w:r>
          </w:p>
        </w:tc>
        <w:tc>
          <w:tcPr>
            <w:tcW w:w="1255" w:type="dxa"/>
            <w:tcBorders>
              <w:top w:val="single" w:sz="2" w:space="0" w:color="A6A6A6" w:themeColor="background1" w:themeShade="A6"/>
              <w:bottom w:val="nil"/>
            </w:tcBorders>
            <w:shd w:val="clear" w:color="auto" w:fill="ACB9CA"/>
            <w:vAlign w:val="center"/>
          </w:tcPr>
          <w:p w14:paraId="35E491F9"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BBB+</w:t>
            </w:r>
          </w:p>
        </w:tc>
        <w:tc>
          <w:tcPr>
            <w:tcW w:w="1258" w:type="dxa"/>
            <w:tcBorders>
              <w:top w:val="single" w:sz="2" w:space="0" w:color="A6A6A6" w:themeColor="background1" w:themeShade="A6"/>
              <w:bottom w:val="nil"/>
            </w:tcBorders>
            <w:shd w:val="clear" w:color="auto" w:fill="ACB9CA"/>
            <w:vAlign w:val="center"/>
          </w:tcPr>
          <w:p w14:paraId="1CC0BF19"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BBB (high)</w:t>
            </w:r>
          </w:p>
        </w:tc>
        <w:tc>
          <w:tcPr>
            <w:tcW w:w="1255" w:type="dxa"/>
            <w:tcBorders>
              <w:top w:val="single" w:sz="2" w:space="0" w:color="A6A6A6" w:themeColor="background1" w:themeShade="A6"/>
              <w:bottom w:val="nil"/>
            </w:tcBorders>
            <w:shd w:val="clear" w:color="auto" w:fill="ACB9CA"/>
            <w:vAlign w:val="center"/>
          </w:tcPr>
          <w:p w14:paraId="296FDA0E"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BBB+</w:t>
            </w:r>
          </w:p>
        </w:tc>
        <w:tc>
          <w:tcPr>
            <w:tcW w:w="1255" w:type="dxa"/>
            <w:tcBorders>
              <w:top w:val="single" w:sz="2" w:space="0" w:color="A6A6A6" w:themeColor="background1" w:themeShade="A6"/>
              <w:bottom w:val="nil"/>
              <w:right w:val="single" w:sz="4" w:space="0" w:color="A6A6A6" w:themeColor="background1" w:themeShade="A6"/>
            </w:tcBorders>
            <w:shd w:val="clear" w:color="auto" w:fill="ACB9CA"/>
            <w:vAlign w:val="center"/>
          </w:tcPr>
          <w:p w14:paraId="430D18DD"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BBB+</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687F9E97" w14:textId="77777777" w:rsidR="002C6861" w:rsidRPr="00EB4666" w:rsidRDefault="002C6861" w:rsidP="006F6710">
            <w:pPr>
              <w:spacing w:after="0" w:line="276" w:lineRule="auto"/>
              <w:jc w:val="center"/>
              <w:rPr>
                <w:rFonts w:cs="Arial"/>
                <w:sz w:val="16"/>
                <w:szCs w:val="16"/>
              </w:rPr>
            </w:pPr>
          </w:p>
        </w:tc>
      </w:tr>
      <w:tr w:rsidR="0079226F" w:rsidRPr="00C835AF" w14:paraId="2523FBF2" w14:textId="77777777" w:rsidTr="0079226F">
        <w:trPr>
          <w:gridAfter w:val="1"/>
          <w:wAfter w:w="6" w:type="dxa"/>
          <w:cantSplit/>
          <w:trHeight w:val="769"/>
          <w:jc w:val="center"/>
        </w:trPr>
        <w:tc>
          <w:tcPr>
            <w:tcW w:w="1590" w:type="dxa"/>
            <w:vMerge/>
            <w:tcBorders>
              <w:top w:val="nil"/>
              <w:left w:val="single" w:sz="2" w:space="0" w:color="A6A6A6" w:themeColor="background1" w:themeShade="A6"/>
              <w:bottom w:val="nil"/>
            </w:tcBorders>
            <w:shd w:val="clear" w:color="auto" w:fill="ACB9CA"/>
            <w:vAlign w:val="center"/>
          </w:tcPr>
          <w:p w14:paraId="62A0AB95" w14:textId="77777777" w:rsidR="0079226F" w:rsidRPr="00EB4666" w:rsidRDefault="0079226F" w:rsidP="0079226F">
            <w:pPr>
              <w:spacing w:after="0" w:line="276" w:lineRule="auto"/>
              <w:jc w:val="center"/>
              <w:rPr>
                <w:rFonts w:cs="Arial"/>
                <w:sz w:val="16"/>
                <w:szCs w:val="16"/>
              </w:rPr>
            </w:pPr>
          </w:p>
        </w:tc>
        <w:tc>
          <w:tcPr>
            <w:tcW w:w="1185" w:type="dxa"/>
            <w:tcBorders>
              <w:top w:val="nil"/>
              <w:bottom w:val="nil"/>
            </w:tcBorders>
            <w:shd w:val="clear" w:color="auto" w:fill="D9D9D9" w:themeFill="background1" w:themeFillShade="D9"/>
            <w:vAlign w:val="center"/>
          </w:tcPr>
          <w:p w14:paraId="10D2CF0F" w14:textId="77777777" w:rsidR="00EB55A9" w:rsidRDefault="0079226F" w:rsidP="00EB55A9">
            <w:pPr>
              <w:spacing w:after="0" w:line="276" w:lineRule="auto"/>
              <w:jc w:val="center"/>
              <w:rPr>
                <w:rFonts w:cs="Arial"/>
                <w:sz w:val="16"/>
                <w:szCs w:val="16"/>
                <w:lang w:val="en-US"/>
              </w:rPr>
            </w:pPr>
            <w:r w:rsidRPr="00EB4666">
              <w:rPr>
                <w:rFonts w:cs="Arial"/>
                <w:sz w:val="16"/>
                <w:szCs w:val="16"/>
                <w:lang w:val="en-US"/>
              </w:rPr>
              <w:t>BBB</w:t>
            </w:r>
          </w:p>
          <w:p w14:paraId="48E35CC8" w14:textId="08BB3451" w:rsidR="0079226F" w:rsidRPr="00AF6D9B" w:rsidRDefault="0079226F" w:rsidP="00EB55A9">
            <w:pPr>
              <w:spacing w:after="0" w:line="276" w:lineRule="auto"/>
              <w:jc w:val="center"/>
              <w:rPr>
                <w:rFonts w:cs="Arial"/>
                <w:sz w:val="16"/>
                <w:szCs w:val="16"/>
              </w:rPr>
            </w:pPr>
            <w:r>
              <w:rPr>
                <w:rFonts w:cs="Arial"/>
                <w:sz w:val="16"/>
                <w:szCs w:val="16"/>
                <w:lang w:val="en-US"/>
              </w:rPr>
              <w:t>(</w:t>
            </w:r>
            <w:r>
              <w:rPr>
                <w:rFonts w:cs="Arial"/>
                <w:sz w:val="16"/>
                <w:szCs w:val="16"/>
              </w:rPr>
              <w:t>σταθερή προοπτική</w:t>
            </w:r>
          </w:p>
        </w:tc>
        <w:tc>
          <w:tcPr>
            <w:tcW w:w="1256" w:type="dxa"/>
            <w:tcBorders>
              <w:top w:val="nil"/>
              <w:bottom w:val="nil"/>
            </w:tcBorders>
            <w:shd w:val="clear" w:color="auto" w:fill="ACB9CA"/>
            <w:vAlign w:val="center"/>
          </w:tcPr>
          <w:p w14:paraId="556B337B" w14:textId="77777777" w:rsidR="0079226F" w:rsidRPr="00EB4666" w:rsidRDefault="0079226F" w:rsidP="0079226F">
            <w:pPr>
              <w:spacing w:after="0" w:line="276" w:lineRule="auto"/>
              <w:jc w:val="center"/>
              <w:rPr>
                <w:rFonts w:cs="Arial"/>
                <w:sz w:val="16"/>
                <w:szCs w:val="16"/>
                <w:lang w:val="en-US"/>
              </w:rPr>
            </w:pPr>
            <w:r w:rsidRPr="00EB4666">
              <w:rPr>
                <w:rFonts w:cs="Arial"/>
                <w:sz w:val="16"/>
                <w:szCs w:val="16"/>
                <w:lang w:val="en-US"/>
              </w:rPr>
              <w:t>Baa2</w:t>
            </w:r>
          </w:p>
        </w:tc>
        <w:tc>
          <w:tcPr>
            <w:tcW w:w="1255" w:type="dxa"/>
            <w:tcBorders>
              <w:top w:val="nil"/>
              <w:bottom w:val="nil"/>
            </w:tcBorders>
            <w:shd w:val="clear" w:color="auto" w:fill="D9D9D9" w:themeFill="background1" w:themeFillShade="D9"/>
            <w:vAlign w:val="center"/>
          </w:tcPr>
          <w:p w14:paraId="27A2AFC4" w14:textId="77777777" w:rsidR="00EB55A9" w:rsidRDefault="0079226F" w:rsidP="0079226F">
            <w:pPr>
              <w:spacing w:after="0" w:line="276" w:lineRule="auto"/>
              <w:jc w:val="center"/>
              <w:rPr>
                <w:rFonts w:cs="Arial"/>
                <w:sz w:val="16"/>
                <w:szCs w:val="16"/>
                <w:lang w:val="en-US"/>
              </w:rPr>
            </w:pPr>
            <w:r w:rsidRPr="00EB4666">
              <w:rPr>
                <w:rFonts w:cs="Arial"/>
                <w:sz w:val="16"/>
                <w:szCs w:val="16"/>
                <w:lang w:val="en-US"/>
              </w:rPr>
              <w:t>BBB</w:t>
            </w:r>
          </w:p>
          <w:p w14:paraId="0CA2D2D3" w14:textId="0A6A35E8" w:rsidR="0079226F" w:rsidRPr="0079226F" w:rsidRDefault="0079226F" w:rsidP="0079226F">
            <w:pPr>
              <w:spacing w:after="0" w:line="276" w:lineRule="auto"/>
              <w:jc w:val="center"/>
              <w:rPr>
                <w:rFonts w:cs="Arial"/>
                <w:sz w:val="16"/>
                <w:szCs w:val="16"/>
                <w:lang w:val="en-US"/>
              </w:rPr>
            </w:pPr>
            <w:r>
              <w:rPr>
                <w:rFonts w:cs="Arial"/>
                <w:sz w:val="16"/>
                <w:szCs w:val="16"/>
                <w:lang w:val="en-US"/>
              </w:rPr>
              <w:t>(</w:t>
            </w:r>
            <w:r w:rsidRPr="0079226F">
              <w:rPr>
                <w:rFonts w:cs="Arial"/>
                <w:sz w:val="16"/>
                <w:szCs w:val="16"/>
                <w:lang w:val="en-US"/>
              </w:rPr>
              <w:t>σταθερή προοπτική)</w:t>
            </w:r>
          </w:p>
        </w:tc>
        <w:tc>
          <w:tcPr>
            <w:tcW w:w="1258" w:type="dxa"/>
            <w:tcBorders>
              <w:top w:val="nil"/>
              <w:bottom w:val="nil"/>
            </w:tcBorders>
            <w:shd w:val="clear" w:color="auto" w:fill="D9D9D9" w:themeFill="background1" w:themeFillShade="D9"/>
            <w:vAlign w:val="center"/>
          </w:tcPr>
          <w:p w14:paraId="23E4A0A9" w14:textId="77777777" w:rsidR="00EB55A9" w:rsidRDefault="0079226F" w:rsidP="0079226F">
            <w:pPr>
              <w:spacing w:after="0" w:line="276" w:lineRule="auto"/>
              <w:jc w:val="center"/>
              <w:rPr>
                <w:rFonts w:cs="Arial"/>
                <w:sz w:val="16"/>
                <w:szCs w:val="16"/>
                <w:lang w:val="en-US"/>
              </w:rPr>
            </w:pPr>
            <w:r w:rsidRPr="00EB4666">
              <w:rPr>
                <w:rFonts w:cs="Arial"/>
                <w:sz w:val="16"/>
                <w:szCs w:val="16"/>
                <w:lang w:val="en-US"/>
              </w:rPr>
              <w:t>BBB</w:t>
            </w:r>
          </w:p>
          <w:p w14:paraId="5D7E93A9" w14:textId="749C1BD5" w:rsidR="0079226F" w:rsidRPr="00E6499C" w:rsidRDefault="0079226F" w:rsidP="0079226F">
            <w:pPr>
              <w:spacing w:after="0" w:line="276" w:lineRule="auto"/>
              <w:jc w:val="center"/>
              <w:rPr>
                <w:rFonts w:cs="Arial"/>
                <w:sz w:val="16"/>
                <w:szCs w:val="16"/>
              </w:rPr>
            </w:pPr>
            <w:r>
              <w:rPr>
                <w:rFonts w:cs="Arial"/>
                <w:sz w:val="16"/>
                <w:szCs w:val="16"/>
                <w:lang w:val="en-US"/>
              </w:rPr>
              <w:t>(</w:t>
            </w:r>
            <w:r>
              <w:rPr>
                <w:rFonts w:cs="Arial"/>
                <w:sz w:val="16"/>
                <w:szCs w:val="16"/>
              </w:rPr>
              <w:t>σταθερή προοπτική)</w:t>
            </w:r>
          </w:p>
        </w:tc>
        <w:tc>
          <w:tcPr>
            <w:tcW w:w="1255" w:type="dxa"/>
            <w:tcBorders>
              <w:top w:val="nil"/>
              <w:bottom w:val="nil"/>
            </w:tcBorders>
            <w:shd w:val="clear" w:color="auto" w:fill="D9D9D9" w:themeFill="background1" w:themeFillShade="D9"/>
            <w:vAlign w:val="center"/>
          </w:tcPr>
          <w:p w14:paraId="4984DEC9" w14:textId="77777777" w:rsidR="00EB55A9" w:rsidRDefault="0079226F" w:rsidP="0079226F">
            <w:pPr>
              <w:spacing w:after="0" w:line="276" w:lineRule="auto"/>
              <w:jc w:val="center"/>
              <w:rPr>
                <w:rFonts w:cs="Arial"/>
                <w:sz w:val="16"/>
                <w:szCs w:val="16"/>
                <w:lang w:val="en-US"/>
              </w:rPr>
            </w:pPr>
            <w:r w:rsidRPr="00EB4666">
              <w:rPr>
                <w:rFonts w:cs="Arial"/>
                <w:sz w:val="16"/>
                <w:szCs w:val="16"/>
                <w:lang w:val="en-US"/>
              </w:rPr>
              <w:t>BBB</w:t>
            </w:r>
          </w:p>
          <w:p w14:paraId="5BF39E46" w14:textId="789D66FD" w:rsidR="0079226F" w:rsidRPr="00E6499C" w:rsidRDefault="0079226F" w:rsidP="0079226F">
            <w:pPr>
              <w:spacing w:after="0" w:line="276" w:lineRule="auto"/>
              <w:jc w:val="center"/>
              <w:rPr>
                <w:rFonts w:cs="Arial"/>
                <w:sz w:val="16"/>
                <w:szCs w:val="16"/>
              </w:rPr>
            </w:pPr>
            <w:r>
              <w:rPr>
                <w:rFonts w:cs="Arial"/>
                <w:sz w:val="16"/>
                <w:szCs w:val="16"/>
              </w:rPr>
              <w:t>(θετική προοπτική)</w:t>
            </w:r>
          </w:p>
        </w:tc>
        <w:tc>
          <w:tcPr>
            <w:tcW w:w="1255" w:type="dxa"/>
            <w:tcBorders>
              <w:top w:val="nil"/>
              <w:bottom w:val="nil"/>
              <w:right w:val="single" w:sz="4" w:space="0" w:color="A6A6A6" w:themeColor="background1" w:themeShade="A6"/>
            </w:tcBorders>
            <w:shd w:val="clear" w:color="auto" w:fill="D9D9D9" w:themeFill="background1" w:themeFillShade="D9"/>
            <w:vAlign w:val="center"/>
          </w:tcPr>
          <w:p w14:paraId="5016D578" w14:textId="2D7861C7" w:rsidR="00EB55A9" w:rsidRDefault="0079226F" w:rsidP="0079226F">
            <w:pPr>
              <w:spacing w:after="0" w:line="276" w:lineRule="auto"/>
              <w:jc w:val="center"/>
              <w:rPr>
                <w:rFonts w:cs="Arial"/>
                <w:sz w:val="16"/>
                <w:szCs w:val="16"/>
              </w:rPr>
            </w:pPr>
            <w:r w:rsidRPr="00EB4666">
              <w:rPr>
                <w:rFonts w:cs="Arial"/>
                <w:sz w:val="16"/>
                <w:szCs w:val="16"/>
                <w:lang w:val="en-US"/>
              </w:rPr>
              <w:t>BBB</w:t>
            </w:r>
          </w:p>
          <w:p w14:paraId="2C0BC224" w14:textId="0963ADFF" w:rsidR="0079226F" w:rsidRPr="00E6499C" w:rsidRDefault="0079226F" w:rsidP="0079226F">
            <w:pPr>
              <w:spacing w:after="0" w:line="276" w:lineRule="auto"/>
              <w:jc w:val="center"/>
              <w:rPr>
                <w:rFonts w:cs="Arial"/>
                <w:sz w:val="16"/>
                <w:szCs w:val="16"/>
              </w:rPr>
            </w:pPr>
            <w:r>
              <w:rPr>
                <w:rFonts w:cs="Arial"/>
                <w:sz w:val="16"/>
                <w:szCs w:val="16"/>
              </w:rPr>
              <w:t>(σταθερή προοπτική)</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5A23A955" w14:textId="77777777" w:rsidR="0079226F" w:rsidRPr="00EB4666" w:rsidRDefault="0079226F" w:rsidP="0079226F">
            <w:pPr>
              <w:spacing w:after="0" w:line="276" w:lineRule="auto"/>
              <w:jc w:val="center"/>
              <w:rPr>
                <w:rFonts w:cs="Arial"/>
                <w:sz w:val="16"/>
                <w:szCs w:val="16"/>
              </w:rPr>
            </w:pPr>
          </w:p>
        </w:tc>
      </w:tr>
      <w:tr w:rsidR="002C6861" w:rsidRPr="00C835AF" w14:paraId="2CA0E2F3" w14:textId="77777777" w:rsidTr="0079226F">
        <w:trPr>
          <w:gridAfter w:val="1"/>
          <w:wAfter w:w="6" w:type="dxa"/>
          <w:cantSplit/>
          <w:trHeight w:val="841"/>
          <w:jc w:val="center"/>
        </w:trPr>
        <w:tc>
          <w:tcPr>
            <w:tcW w:w="1590" w:type="dxa"/>
            <w:vMerge/>
            <w:tcBorders>
              <w:top w:val="nil"/>
              <w:left w:val="single" w:sz="2" w:space="0" w:color="A6A6A6" w:themeColor="background1" w:themeShade="A6"/>
              <w:bottom w:val="single" w:sz="2" w:space="0" w:color="A6A6A6" w:themeColor="background1" w:themeShade="A6"/>
            </w:tcBorders>
            <w:shd w:val="clear" w:color="auto" w:fill="D5DCE4"/>
            <w:vAlign w:val="center"/>
          </w:tcPr>
          <w:p w14:paraId="70853320" w14:textId="77777777" w:rsidR="002C6861" w:rsidRPr="00EB4666" w:rsidRDefault="002C6861" w:rsidP="006F6710">
            <w:pPr>
              <w:spacing w:after="0" w:line="276" w:lineRule="auto"/>
              <w:jc w:val="center"/>
              <w:rPr>
                <w:rFonts w:cs="Arial"/>
                <w:sz w:val="16"/>
                <w:szCs w:val="16"/>
              </w:rPr>
            </w:pPr>
          </w:p>
        </w:tc>
        <w:tc>
          <w:tcPr>
            <w:tcW w:w="1185" w:type="dxa"/>
            <w:tcBorders>
              <w:top w:val="nil"/>
              <w:bottom w:val="single" w:sz="2" w:space="0" w:color="A6A6A6" w:themeColor="background1" w:themeShade="A6"/>
            </w:tcBorders>
            <w:shd w:val="clear" w:color="auto" w:fill="ACB9CA"/>
            <w:vAlign w:val="center"/>
          </w:tcPr>
          <w:p w14:paraId="41074604" w14:textId="77777777" w:rsidR="002C6861" w:rsidRPr="00AF6D9B" w:rsidRDefault="002C6861" w:rsidP="006F6710">
            <w:pPr>
              <w:spacing w:after="0" w:line="276" w:lineRule="auto"/>
              <w:jc w:val="center"/>
              <w:rPr>
                <w:rFonts w:cs="Arial"/>
                <w:sz w:val="16"/>
                <w:szCs w:val="16"/>
              </w:rPr>
            </w:pPr>
            <w:r w:rsidRPr="00EB4666">
              <w:rPr>
                <w:rFonts w:cs="Arial"/>
                <w:sz w:val="16"/>
                <w:szCs w:val="16"/>
                <w:lang w:val="en-US"/>
              </w:rPr>
              <w:t xml:space="preserve">BBB- </w:t>
            </w:r>
          </w:p>
        </w:tc>
        <w:tc>
          <w:tcPr>
            <w:tcW w:w="1256" w:type="dxa"/>
            <w:tcBorders>
              <w:top w:val="nil"/>
              <w:bottom w:val="single" w:sz="2" w:space="0" w:color="A6A6A6" w:themeColor="background1" w:themeShade="A6"/>
            </w:tcBorders>
            <w:shd w:val="clear" w:color="auto" w:fill="D9D9D9" w:themeFill="background1" w:themeFillShade="D9"/>
            <w:vAlign w:val="center"/>
          </w:tcPr>
          <w:p w14:paraId="03FD74D9" w14:textId="77777777" w:rsidR="00EB55A9" w:rsidRDefault="002C6861" w:rsidP="006F6710">
            <w:pPr>
              <w:spacing w:after="0" w:line="276" w:lineRule="auto"/>
              <w:jc w:val="center"/>
              <w:rPr>
                <w:rFonts w:cs="Arial"/>
                <w:sz w:val="16"/>
                <w:szCs w:val="16"/>
                <w:lang w:val="en-US"/>
              </w:rPr>
            </w:pPr>
            <w:r w:rsidRPr="00EB4666">
              <w:rPr>
                <w:rFonts w:cs="Arial"/>
                <w:sz w:val="16"/>
                <w:szCs w:val="16"/>
                <w:lang w:val="en-US"/>
              </w:rPr>
              <w:t>Baa3</w:t>
            </w:r>
          </w:p>
          <w:p w14:paraId="4F15D6CD" w14:textId="32C67EDB" w:rsidR="002C6861" w:rsidRPr="00AF6D9B" w:rsidRDefault="002C6861" w:rsidP="006F6710">
            <w:pPr>
              <w:spacing w:after="0" w:line="276" w:lineRule="auto"/>
              <w:jc w:val="center"/>
              <w:rPr>
                <w:rFonts w:cs="Arial"/>
                <w:sz w:val="16"/>
                <w:szCs w:val="16"/>
              </w:rPr>
            </w:pPr>
            <w:r>
              <w:rPr>
                <w:rFonts w:cs="Arial"/>
                <w:sz w:val="16"/>
                <w:szCs w:val="16"/>
              </w:rPr>
              <w:t>(σταθερή προοπτική)</w:t>
            </w:r>
          </w:p>
        </w:tc>
        <w:tc>
          <w:tcPr>
            <w:tcW w:w="1255" w:type="dxa"/>
            <w:tcBorders>
              <w:top w:val="nil"/>
              <w:bottom w:val="single" w:sz="2" w:space="0" w:color="A6A6A6" w:themeColor="background1" w:themeShade="A6"/>
            </w:tcBorders>
            <w:shd w:val="clear" w:color="auto" w:fill="ACB9CA"/>
            <w:vAlign w:val="center"/>
          </w:tcPr>
          <w:p w14:paraId="13DE5E07" w14:textId="1B185B9F" w:rsidR="002C6861" w:rsidRPr="00EB4666" w:rsidRDefault="002C6861" w:rsidP="006F6710">
            <w:pPr>
              <w:spacing w:after="0" w:line="276" w:lineRule="auto"/>
              <w:jc w:val="center"/>
              <w:rPr>
                <w:rFonts w:cs="Arial"/>
                <w:sz w:val="16"/>
                <w:szCs w:val="16"/>
              </w:rPr>
            </w:pPr>
            <w:r w:rsidRPr="00EB4666">
              <w:rPr>
                <w:rFonts w:cs="Arial"/>
                <w:sz w:val="16"/>
                <w:szCs w:val="16"/>
                <w:lang w:val="en-US"/>
              </w:rPr>
              <w:t>BBB-</w:t>
            </w:r>
          </w:p>
        </w:tc>
        <w:tc>
          <w:tcPr>
            <w:tcW w:w="1258" w:type="dxa"/>
            <w:tcBorders>
              <w:top w:val="nil"/>
              <w:bottom w:val="single" w:sz="2" w:space="0" w:color="A6A6A6" w:themeColor="background1" w:themeShade="A6"/>
            </w:tcBorders>
            <w:shd w:val="clear" w:color="auto" w:fill="ACB9CA"/>
            <w:vAlign w:val="center"/>
          </w:tcPr>
          <w:p w14:paraId="54C9E711" w14:textId="77777777" w:rsidR="002C6861" w:rsidRPr="00E6499C" w:rsidRDefault="002C6861" w:rsidP="006F6710">
            <w:pPr>
              <w:spacing w:after="0" w:line="276" w:lineRule="auto"/>
              <w:jc w:val="center"/>
              <w:rPr>
                <w:rFonts w:cs="Arial"/>
                <w:sz w:val="16"/>
                <w:szCs w:val="16"/>
              </w:rPr>
            </w:pPr>
            <w:r w:rsidRPr="00EB4666">
              <w:rPr>
                <w:rFonts w:cs="Arial"/>
                <w:sz w:val="16"/>
                <w:szCs w:val="16"/>
                <w:lang w:val="en-US"/>
              </w:rPr>
              <w:t>BBB (low)</w:t>
            </w:r>
          </w:p>
        </w:tc>
        <w:tc>
          <w:tcPr>
            <w:tcW w:w="1255" w:type="dxa"/>
            <w:tcBorders>
              <w:top w:val="nil"/>
              <w:bottom w:val="single" w:sz="2" w:space="0" w:color="A6A6A6" w:themeColor="background1" w:themeShade="A6"/>
            </w:tcBorders>
            <w:shd w:val="clear" w:color="auto" w:fill="ACB9CA"/>
            <w:vAlign w:val="center"/>
          </w:tcPr>
          <w:p w14:paraId="60B25DAD" w14:textId="77777777" w:rsidR="002C6861" w:rsidRPr="00EB4666" w:rsidRDefault="002C6861" w:rsidP="006F6710">
            <w:pPr>
              <w:spacing w:after="0" w:line="276" w:lineRule="auto"/>
              <w:jc w:val="center"/>
              <w:rPr>
                <w:rFonts w:cs="Arial"/>
                <w:sz w:val="16"/>
                <w:szCs w:val="16"/>
              </w:rPr>
            </w:pPr>
            <w:r w:rsidRPr="00EB4666">
              <w:rPr>
                <w:rFonts w:cs="Arial"/>
                <w:sz w:val="16"/>
                <w:szCs w:val="16"/>
              </w:rPr>
              <w:t>BBB</w:t>
            </w:r>
            <w:r w:rsidRPr="00EB4666">
              <w:rPr>
                <w:rFonts w:cs="Arial"/>
                <w:sz w:val="16"/>
                <w:szCs w:val="16"/>
                <w:lang w:val="en-US"/>
              </w:rPr>
              <w:t>-</w:t>
            </w:r>
          </w:p>
        </w:tc>
        <w:tc>
          <w:tcPr>
            <w:tcW w:w="1255" w:type="dxa"/>
            <w:tcBorders>
              <w:top w:val="nil"/>
              <w:bottom w:val="single" w:sz="2" w:space="0" w:color="A6A6A6" w:themeColor="background1" w:themeShade="A6"/>
              <w:right w:val="single" w:sz="4" w:space="0" w:color="A6A6A6" w:themeColor="background1" w:themeShade="A6"/>
            </w:tcBorders>
            <w:shd w:val="clear" w:color="auto" w:fill="ACB9CA"/>
            <w:vAlign w:val="center"/>
          </w:tcPr>
          <w:p w14:paraId="35C0A245" w14:textId="77777777" w:rsidR="002C6861" w:rsidRPr="00E6499C" w:rsidRDefault="002C6861" w:rsidP="006F6710">
            <w:pPr>
              <w:spacing w:after="0" w:line="276" w:lineRule="auto"/>
              <w:jc w:val="center"/>
              <w:rPr>
                <w:rFonts w:cs="Arial"/>
                <w:sz w:val="16"/>
                <w:szCs w:val="16"/>
              </w:rPr>
            </w:pPr>
            <w:r w:rsidRPr="00EB4666">
              <w:rPr>
                <w:rFonts w:cs="Arial"/>
                <w:sz w:val="16"/>
                <w:szCs w:val="16"/>
                <w:lang w:val="en-US"/>
              </w:rPr>
              <w:t>BBB-</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vAlign w:val="center"/>
          </w:tcPr>
          <w:p w14:paraId="3A1E048A" w14:textId="77777777" w:rsidR="002C6861" w:rsidRPr="00EB4666" w:rsidRDefault="002C6861" w:rsidP="006F6710">
            <w:pPr>
              <w:spacing w:after="0" w:line="276" w:lineRule="auto"/>
              <w:jc w:val="center"/>
              <w:rPr>
                <w:rFonts w:cs="Arial"/>
                <w:sz w:val="16"/>
                <w:szCs w:val="16"/>
              </w:rPr>
            </w:pPr>
          </w:p>
        </w:tc>
      </w:tr>
      <w:tr w:rsidR="002C6861" w:rsidRPr="00C835AF" w14:paraId="64360D29" w14:textId="77777777" w:rsidTr="00F37601">
        <w:trPr>
          <w:gridAfter w:val="1"/>
          <w:wAfter w:w="6" w:type="dxa"/>
          <w:cantSplit/>
          <w:trHeight w:val="278"/>
          <w:jc w:val="center"/>
        </w:trPr>
        <w:tc>
          <w:tcPr>
            <w:tcW w:w="1590" w:type="dxa"/>
            <w:vMerge w:val="restart"/>
            <w:tcBorders>
              <w:top w:val="single" w:sz="2" w:space="0" w:color="A6A6A6" w:themeColor="background1" w:themeShade="A6"/>
              <w:left w:val="single" w:sz="2" w:space="0" w:color="A6A6A6" w:themeColor="background1" w:themeShade="A6"/>
              <w:bottom w:val="nil"/>
            </w:tcBorders>
            <w:vAlign w:val="center"/>
          </w:tcPr>
          <w:p w14:paraId="332F3C53" w14:textId="77777777" w:rsidR="002C6861" w:rsidRPr="00EB4666" w:rsidRDefault="002C6861" w:rsidP="006F6710">
            <w:pPr>
              <w:spacing w:after="0" w:line="276" w:lineRule="auto"/>
              <w:jc w:val="center"/>
              <w:rPr>
                <w:rFonts w:cs="Arial"/>
                <w:sz w:val="16"/>
                <w:szCs w:val="16"/>
              </w:rPr>
            </w:pPr>
            <w:r w:rsidRPr="00EB4666">
              <w:rPr>
                <w:rFonts w:cs="Arial"/>
                <w:sz w:val="16"/>
                <w:szCs w:val="16"/>
              </w:rPr>
              <w:t>Υψηλή</w:t>
            </w:r>
          </w:p>
          <w:p w14:paraId="362A10E6" w14:textId="77777777" w:rsidR="002C6861" w:rsidRPr="00EB4666" w:rsidRDefault="002C6861" w:rsidP="006F6710">
            <w:pPr>
              <w:spacing w:after="0" w:line="276" w:lineRule="auto"/>
              <w:jc w:val="center"/>
              <w:rPr>
                <w:rFonts w:cs="Arial"/>
                <w:sz w:val="16"/>
                <w:szCs w:val="16"/>
              </w:rPr>
            </w:pPr>
            <w:r w:rsidRPr="00EB4666">
              <w:rPr>
                <w:rFonts w:cs="Arial"/>
                <w:sz w:val="16"/>
                <w:szCs w:val="16"/>
              </w:rPr>
              <w:t>Μη - επενδυτική Βαθμίδα</w:t>
            </w:r>
          </w:p>
        </w:tc>
        <w:tc>
          <w:tcPr>
            <w:tcW w:w="1185" w:type="dxa"/>
            <w:tcBorders>
              <w:top w:val="single" w:sz="2" w:space="0" w:color="A6A6A6" w:themeColor="background1" w:themeShade="A6"/>
              <w:bottom w:val="nil"/>
            </w:tcBorders>
            <w:vAlign w:val="center"/>
          </w:tcPr>
          <w:p w14:paraId="06D70BBE"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6" w:type="dxa"/>
            <w:tcBorders>
              <w:top w:val="single" w:sz="2" w:space="0" w:color="A6A6A6" w:themeColor="background1" w:themeShade="A6"/>
              <w:bottom w:val="nil"/>
            </w:tcBorders>
            <w:shd w:val="clear" w:color="auto" w:fill="FFFFFF" w:themeFill="background1"/>
            <w:vAlign w:val="center"/>
          </w:tcPr>
          <w:p w14:paraId="02EA36BE" w14:textId="77777777" w:rsidR="002C6861" w:rsidRPr="00E6499C" w:rsidRDefault="002C6861" w:rsidP="006F6710">
            <w:pPr>
              <w:spacing w:after="0" w:line="276" w:lineRule="auto"/>
              <w:jc w:val="center"/>
              <w:rPr>
                <w:rFonts w:cs="Arial"/>
                <w:sz w:val="16"/>
                <w:szCs w:val="16"/>
              </w:rPr>
            </w:pPr>
            <w:r w:rsidRPr="00EB4666">
              <w:rPr>
                <w:rFonts w:cs="Arial"/>
                <w:sz w:val="16"/>
                <w:szCs w:val="16"/>
                <w:lang w:val="en-US"/>
              </w:rPr>
              <w:t>Ba1</w:t>
            </w:r>
          </w:p>
        </w:tc>
        <w:tc>
          <w:tcPr>
            <w:tcW w:w="1255" w:type="dxa"/>
            <w:tcBorders>
              <w:top w:val="single" w:sz="2" w:space="0" w:color="A6A6A6" w:themeColor="background1" w:themeShade="A6"/>
              <w:bottom w:val="nil"/>
            </w:tcBorders>
            <w:shd w:val="clear" w:color="auto" w:fill="FFFFFF"/>
            <w:vAlign w:val="center"/>
          </w:tcPr>
          <w:p w14:paraId="6E42CBC5" w14:textId="77777777" w:rsidR="002C6861" w:rsidRPr="00AD2912"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8" w:type="dxa"/>
            <w:tcBorders>
              <w:top w:val="single" w:sz="2" w:space="0" w:color="A6A6A6" w:themeColor="background1" w:themeShade="A6"/>
              <w:bottom w:val="nil"/>
            </w:tcBorders>
            <w:vAlign w:val="center"/>
          </w:tcPr>
          <w:p w14:paraId="13903FFB"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 (high)</w:t>
            </w:r>
          </w:p>
        </w:tc>
        <w:tc>
          <w:tcPr>
            <w:tcW w:w="1255" w:type="dxa"/>
            <w:tcBorders>
              <w:top w:val="single" w:sz="2" w:space="0" w:color="A6A6A6" w:themeColor="background1" w:themeShade="A6"/>
              <w:bottom w:val="nil"/>
            </w:tcBorders>
            <w:vAlign w:val="center"/>
          </w:tcPr>
          <w:p w14:paraId="1FF32A85"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5" w:type="dxa"/>
            <w:tcBorders>
              <w:top w:val="single" w:sz="2" w:space="0" w:color="A6A6A6" w:themeColor="background1" w:themeShade="A6"/>
              <w:bottom w:val="nil"/>
              <w:right w:val="single" w:sz="4" w:space="0" w:color="A6A6A6" w:themeColor="background1" w:themeShade="A6"/>
            </w:tcBorders>
            <w:vAlign w:val="center"/>
          </w:tcPr>
          <w:p w14:paraId="4EB2FBD8"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61"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746AE8" w14:textId="77777777" w:rsidR="002C6861" w:rsidRPr="00EB4666" w:rsidRDefault="002C6861" w:rsidP="006F6710">
            <w:pPr>
              <w:spacing w:after="0" w:line="276" w:lineRule="auto"/>
              <w:jc w:val="center"/>
              <w:rPr>
                <w:rFonts w:cs="Arial"/>
                <w:sz w:val="16"/>
                <w:szCs w:val="16"/>
              </w:rPr>
            </w:pPr>
            <w:r w:rsidRPr="00EB4666">
              <w:rPr>
                <w:rFonts w:cs="Arial"/>
                <w:sz w:val="16"/>
                <w:szCs w:val="16"/>
              </w:rPr>
              <w:t>Μη - επενδυτική</w:t>
            </w:r>
          </w:p>
        </w:tc>
      </w:tr>
      <w:tr w:rsidR="002C6861" w:rsidRPr="00C835AF" w14:paraId="2EFA5789" w14:textId="77777777" w:rsidTr="007D1605">
        <w:trPr>
          <w:gridAfter w:val="1"/>
          <w:wAfter w:w="6" w:type="dxa"/>
          <w:cantSplit/>
          <w:trHeight w:val="280"/>
          <w:jc w:val="center"/>
        </w:trPr>
        <w:tc>
          <w:tcPr>
            <w:tcW w:w="1590" w:type="dxa"/>
            <w:vMerge/>
            <w:tcBorders>
              <w:top w:val="nil"/>
              <w:left w:val="single" w:sz="2" w:space="0" w:color="A6A6A6" w:themeColor="background1" w:themeShade="A6"/>
              <w:bottom w:val="nil"/>
            </w:tcBorders>
            <w:vAlign w:val="center"/>
          </w:tcPr>
          <w:p w14:paraId="08A3D7A8" w14:textId="77777777" w:rsidR="002C6861" w:rsidRPr="00EB4666" w:rsidRDefault="002C6861" w:rsidP="006F6710">
            <w:pPr>
              <w:spacing w:after="0" w:line="276" w:lineRule="auto"/>
              <w:jc w:val="center"/>
              <w:rPr>
                <w:rFonts w:cs="Arial"/>
                <w:sz w:val="16"/>
                <w:szCs w:val="16"/>
              </w:rPr>
            </w:pPr>
          </w:p>
        </w:tc>
        <w:tc>
          <w:tcPr>
            <w:tcW w:w="1185" w:type="dxa"/>
            <w:tcBorders>
              <w:top w:val="nil"/>
              <w:bottom w:val="nil"/>
            </w:tcBorders>
            <w:vAlign w:val="center"/>
          </w:tcPr>
          <w:p w14:paraId="109501E1"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6" w:type="dxa"/>
            <w:tcBorders>
              <w:top w:val="nil"/>
              <w:bottom w:val="nil"/>
            </w:tcBorders>
            <w:vAlign w:val="center"/>
          </w:tcPr>
          <w:p w14:paraId="3F75D0E8"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Ba2</w:t>
            </w:r>
          </w:p>
        </w:tc>
        <w:tc>
          <w:tcPr>
            <w:tcW w:w="1255" w:type="dxa"/>
            <w:tcBorders>
              <w:top w:val="nil"/>
              <w:bottom w:val="nil"/>
            </w:tcBorders>
            <w:vAlign w:val="center"/>
          </w:tcPr>
          <w:p w14:paraId="25DC28A7"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8" w:type="dxa"/>
            <w:tcBorders>
              <w:top w:val="nil"/>
              <w:bottom w:val="nil"/>
            </w:tcBorders>
            <w:vAlign w:val="center"/>
          </w:tcPr>
          <w:p w14:paraId="0A105661"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5" w:type="dxa"/>
            <w:tcBorders>
              <w:top w:val="nil"/>
              <w:bottom w:val="nil"/>
            </w:tcBorders>
            <w:vAlign w:val="center"/>
          </w:tcPr>
          <w:p w14:paraId="2FCE7432"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5" w:type="dxa"/>
            <w:tcBorders>
              <w:top w:val="nil"/>
              <w:bottom w:val="nil"/>
              <w:right w:val="single" w:sz="4" w:space="0" w:color="A6A6A6" w:themeColor="background1" w:themeShade="A6"/>
            </w:tcBorders>
            <w:vAlign w:val="center"/>
          </w:tcPr>
          <w:p w14:paraId="1E4C7B68"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270511" w14:textId="77777777" w:rsidR="002C6861" w:rsidRPr="00075338" w:rsidRDefault="002C6861" w:rsidP="006F6710">
            <w:pPr>
              <w:spacing w:after="0" w:line="276" w:lineRule="auto"/>
              <w:jc w:val="center"/>
              <w:rPr>
                <w:rFonts w:cs="Arial"/>
                <w:sz w:val="18"/>
                <w:szCs w:val="18"/>
              </w:rPr>
            </w:pPr>
          </w:p>
        </w:tc>
      </w:tr>
      <w:tr w:rsidR="002C6861" w:rsidRPr="00C835AF" w14:paraId="161F1DC2" w14:textId="77777777" w:rsidTr="007D1605">
        <w:trPr>
          <w:gridAfter w:val="1"/>
          <w:wAfter w:w="6" w:type="dxa"/>
          <w:cantSplit/>
          <w:trHeight w:val="280"/>
          <w:jc w:val="center"/>
        </w:trPr>
        <w:tc>
          <w:tcPr>
            <w:tcW w:w="1590" w:type="dxa"/>
            <w:vMerge/>
            <w:tcBorders>
              <w:top w:val="nil"/>
              <w:left w:val="single" w:sz="2" w:space="0" w:color="A6A6A6" w:themeColor="background1" w:themeShade="A6"/>
              <w:bottom w:val="single" w:sz="2" w:space="0" w:color="A6A6A6" w:themeColor="background1" w:themeShade="A6"/>
            </w:tcBorders>
            <w:vAlign w:val="center"/>
          </w:tcPr>
          <w:p w14:paraId="54FCEE12" w14:textId="77777777" w:rsidR="002C6861" w:rsidRPr="00EB4666" w:rsidRDefault="002C6861" w:rsidP="006F6710">
            <w:pPr>
              <w:spacing w:after="0" w:line="276" w:lineRule="auto"/>
              <w:jc w:val="center"/>
              <w:rPr>
                <w:rFonts w:cs="Arial"/>
                <w:sz w:val="16"/>
                <w:szCs w:val="16"/>
              </w:rPr>
            </w:pPr>
          </w:p>
        </w:tc>
        <w:tc>
          <w:tcPr>
            <w:tcW w:w="1185" w:type="dxa"/>
            <w:tcBorders>
              <w:top w:val="nil"/>
              <w:bottom w:val="single" w:sz="2" w:space="0" w:color="A6A6A6" w:themeColor="background1" w:themeShade="A6"/>
            </w:tcBorders>
            <w:vAlign w:val="center"/>
          </w:tcPr>
          <w:p w14:paraId="0646177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6" w:type="dxa"/>
            <w:tcBorders>
              <w:top w:val="nil"/>
              <w:bottom w:val="single" w:sz="2" w:space="0" w:color="A6A6A6" w:themeColor="background1" w:themeShade="A6"/>
            </w:tcBorders>
            <w:vAlign w:val="center"/>
          </w:tcPr>
          <w:p w14:paraId="49FDD092"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Ba3</w:t>
            </w:r>
          </w:p>
        </w:tc>
        <w:tc>
          <w:tcPr>
            <w:tcW w:w="1255" w:type="dxa"/>
            <w:tcBorders>
              <w:top w:val="nil"/>
              <w:bottom w:val="single" w:sz="2" w:space="0" w:color="A6A6A6" w:themeColor="background1" w:themeShade="A6"/>
            </w:tcBorders>
            <w:vAlign w:val="center"/>
          </w:tcPr>
          <w:p w14:paraId="2937435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8" w:type="dxa"/>
            <w:tcBorders>
              <w:top w:val="nil"/>
              <w:bottom w:val="single" w:sz="2" w:space="0" w:color="A6A6A6" w:themeColor="background1" w:themeShade="A6"/>
            </w:tcBorders>
            <w:vAlign w:val="center"/>
          </w:tcPr>
          <w:p w14:paraId="481E1879"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 (low)</w:t>
            </w:r>
          </w:p>
        </w:tc>
        <w:tc>
          <w:tcPr>
            <w:tcW w:w="1255" w:type="dxa"/>
            <w:tcBorders>
              <w:top w:val="nil"/>
              <w:bottom w:val="single" w:sz="2" w:space="0" w:color="A6A6A6" w:themeColor="background1" w:themeShade="A6"/>
            </w:tcBorders>
            <w:vAlign w:val="center"/>
          </w:tcPr>
          <w:p w14:paraId="459DAD94"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55" w:type="dxa"/>
            <w:tcBorders>
              <w:top w:val="nil"/>
              <w:bottom w:val="single" w:sz="2" w:space="0" w:color="A6A6A6" w:themeColor="background1" w:themeShade="A6"/>
              <w:right w:val="single" w:sz="4" w:space="0" w:color="A6A6A6" w:themeColor="background1" w:themeShade="A6"/>
            </w:tcBorders>
            <w:vAlign w:val="center"/>
          </w:tcPr>
          <w:p w14:paraId="4D18D584"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BB-</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C3FF1F" w14:textId="77777777" w:rsidR="002C6861" w:rsidRPr="00075338" w:rsidRDefault="002C6861" w:rsidP="006F6710">
            <w:pPr>
              <w:spacing w:after="0" w:line="276" w:lineRule="auto"/>
              <w:jc w:val="center"/>
              <w:rPr>
                <w:rFonts w:cs="Arial"/>
                <w:sz w:val="18"/>
                <w:szCs w:val="18"/>
              </w:rPr>
            </w:pPr>
          </w:p>
        </w:tc>
      </w:tr>
      <w:tr w:rsidR="002C6861" w:rsidRPr="00C835AF" w14:paraId="7097AB03" w14:textId="77777777" w:rsidTr="007D1605">
        <w:trPr>
          <w:gridAfter w:val="1"/>
          <w:wAfter w:w="6" w:type="dxa"/>
          <w:cantSplit/>
          <w:trHeight w:val="280"/>
          <w:jc w:val="center"/>
        </w:trPr>
        <w:tc>
          <w:tcPr>
            <w:tcW w:w="1590"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vAlign w:val="center"/>
          </w:tcPr>
          <w:p w14:paraId="42C5589E" w14:textId="77777777" w:rsidR="002C6861" w:rsidRPr="00EB4666" w:rsidRDefault="002C6861" w:rsidP="006F6710">
            <w:pPr>
              <w:spacing w:after="0" w:line="276" w:lineRule="auto"/>
              <w:jc w:val="center"/>
              <w:rPr>
                <w:rFonts w:cs="Arial"/>
                <w:sz w:val="16"/>
                <w:szCs w:val="16"/>
              </w:rPr>
            </w:pPr>
            <w:r w:rsidRPr="00EB4666">
              <w:rPr>
                <w:rFonts w:cs="Arial"/>
                <w:sz w:val="16"/>
                <w:szCs w:val="16"/>
              </w:rPr>
              <w:t>Χαμηλή</w:t>
            </w:r>
          </w:p>
          <w:p w14:paraId="27E587A2" w14:textId="77777777" w:rsidR="002C6861" w:rsidRPr="00EB4666" w:rsidRDefault="002C6861" w:rsidP="006F6710">
            <w:pPr>
              <w:spacing w:after="0" w:line="276" w:lineRule="auto"/>
              <w:jc w:val="center"/>
              <w:rPr>
                <w:rFonts w:cs="Arial"/>
                <w:sz w:val="16"/>
                <w:szCs w:val="16"/>
              </w:rPr>
            </w:pPr>
            <w:r w:rsidRPr="00EB4666">
              <w:rPr>
                <w:rFonts w:cs="Arial"/>
                <w:sz w:val="16"/>
                <w:szCs w:val="16"/>
              </w:rPr>
              <w:t>Μη - επενδυτική Βαθμίδα</w:t>
            </w:r>
          </w:p>
        </w:tc>
        <w:tc>
          <w:tcPr>
            <w:tcW w:w="1185" w:type="dxa"/>
            <w:tcBorders>
              <w:top w:val="single" w:sz="2" w:space="0" w:color="A6A6A6" w:themeColor="background1" w:themeShade="A6"/>
              <w:left w:val="nil"/>
              <w:bottom w:val="nil"/>
              <w:right w:val="nil"/>
            </w:tcBorders>
            <w:vAlign w:val="center"/>
          </w:tcPr>
          <w:p w14:paraId="2B910A59"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6" w:type="dxa"/>
            <w:tcBorders>
              <w:top w:val="single" w:sz="2" w:space="0" w:color="A6A6A6" w:themeColor="background1" w:themeShade="A6"/>
              <w:left w:val="nil"/>
              <w:bottom w:val="nil"/>
              <w:right w:val="nil"/>
            </w:tcBorders>
            <w:vAlign w:val="center"/>
          </w:tcPr>
          <w:p w14:paraId="7646D085"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B1</w:t>
            </w:r>
          </w:p>
        </w:tc>
        <w:tc>
          <w:tcPr>
            <w:tcW w:w="1255" w:type="dxa"/>
            <w:tcBorders>
              <w:top w:val="single" w:sz="2" w:space="0" w:color="A6A6A6" w:themeColor="background1" w:themeShade="A6"/>
              <w:left w:val="nil"/>
              <w:bottom w:val="nil"/>
              <w:right w:val="nil"/>
            </w:tcBorders>
            <w:vAlign w:val="center"/>
          </w:tcPr>
          <w:p w14:paraId="15BA7681"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8" w:type="dxa"/>
            <w:tcBorders>
              <w:top w:val="single" w:sz="2" w:space="0" w:color="A6A6A6" w:themeColor="background1" w:themeShade="A6"/>
              <w:left w:val="nil"/>
              <w:bottom w:val="nil"/>
              <w:right w:val="nil"/>
            </w:tcBorders>
            <w:vAlign w:val="center"/>
          </w:tcPr>
          <w:p w14:paraId="2D60F3D4"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 (high)</w:t>
            </w:r>
          </w:p>
        </w:tc>
        <w:tc>
          <w:tcPr>
            <w:tcW w:w="1255" w:type="dxa"/>
            <w:tcBorders>
              <w:top w:val="single" w:sz="2" w:space="0" w:color="A6A6A6" w:themeColor="background1" w:themeShade="A6"/>
              <w:left w:val="nil"/>
              <w:bottom w:val="nil"/>
              <w:right w:val="nil"/>
            </w:tcBorders>
            <w:vAlign w:val="center"/>
          </w:tcPr>
          <w:p w14:paraId="7B76D1FF"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5" w:type="dxa"/>
            <w:tcBorders>
              <w:top w:val="single" w:sz="2" w:space="0" w:color="A6A6A6" w:themeColor="background1" w:themeShade="A6"/>
              <w:left w:val="nil"/>
              <w:bottom w:val="nil"/>
              <w:right w:val="single" w:sz="4" w:space="0" w:color="A6A6A6" w:themeColor="background1" w:themeShade="A6"/>
            </w:tcBorders>
            <w:vAlign w:val="center"/>
          </w:tcPr>
          <w:p w14:paraId="18631681"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6317E0" w14:textId="77777777" w:rsidR="002C6861" w:rsidRPr="00075338" w:rsidRDefault="002C6861" w:rsidP="006F6710">
            <w:pPr>
              <w:spacing w:after="0" w:line="276" w:lineRule="auto"/>
              <w:jc w:val="center"/>
              <w:rPr>
                <w:rFonts w:cs="Arial"/>
                <w:sz w:val="18"/>
                <w:szCs w:val="18"/>
              </w:rPr>
            </w:pPr>
          </w:p>
        </w:tc>
      </w:tr>
      <w:tr w:rsidR="002C6861" w:rsidRPr="00C835AF" w14:paraId="24EC81E2" w14:textId="77777777" w:rsidTr="00FE61D8">
        <w:trPr>
          <w:gridAfter w:val="1"/>
          <w:wAfter w:w="6" w:type="dxa"/>
          <w:cantSplit/>
          <w:trHeight w:val="278"/>
          <w:jc w:val="center"/>
        </w:trPr>
        <w:tc>
          <w:tcPr>
            <w:tcW w:w="1590" w:type="dxa"/>
            <w:vMerge/>
            <w:tcBorders>
              <w:top w:val="single" w:sz="2" w:space="0" w:color="A6A6A6" w:themeColor="background1" w:themeShade="A6"/>
              <w:bottom w:val="single" w:sz="4" w:space="0" w:color="808080"/>
            </w:tcBorders>
            <w:vAlign w:val="center"/>
          </w:tcPr>
          <w:p w14:paraId="05888C9A" w14:textId="77777777" w:rsidR="002C6861" w:rsidRPr="00EB4666" w:rsidRDefault="002C6861" w:rsidP="006F6710">
            <w:pPr>
              <w:spacing w:after="0" w:line="276" w:lineRule="auto"/>
              <w:jc w:val="center"/>
              <w:rPr>
                <w:rFonts w:cs="Arial"/>
                <w:sz w:val="16"/>
                <w:szCs w:val="16"/>
              </w:rPr>
            </w:pPr>
          </w:p>
        </w:tc>
        <w:tc>
          <w:tcPr>
            <w:tcW w:w="1185" w:type="dxa"/>
            <w:tcBorders>
              <w:top w:val="nil"/>
            </w:tcBorders>
            <w:vAlign w:val="center"/>
          </w:tcPr>
          <w:p w14:paraId="6286A2D2"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6" w:type="dxa"/>
            <w:tcBorders>
              <w:top w:val="nil"/>
            </w:tcBorders>
            <w:vAlign w:val="center"/>
          </w:tcPr>
          <w:p w14:paraId="622138F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B2</w:t>
            </w:r>
          </w:p>
        </w:tc>
        <w:tc>
          <w:tcPr>
            <w:tcW w:w="1255" w:type="dxa"/>
            <w:tcBorders>
              <w:top w:val="nil"/>
            </w:tcBorders>
            <w:vAlign w:val="center"/>
          </w:tcPr>
          <w:p w14:paraId="2F92498C"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8" w:type="dxa"/>
            <w:tcBorders>
              <w:top w:val="nil"/>
            </w:tcBorders>
            <w:vAlign w:val="center"/>
          </w:tcPr>
          <w:p w14:paraId="1A1C4B17"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5" w:type="dxa"/>
            <w:tcBorders>
              <w:top w:val="nil"/>
            </w:tcBorders>
            <w:vAlign w:val="center"/>
          </w:tcPr>
          <w:p w14:paraId="4A7972EB"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5" w:type="dxa"/>
            <w:tcBorders>
              <w:top w:val="nil"/>
              <w:right w:val="single" w:sz="4" w:space="0" w:color="A6A6A6" w:themeColor="background1" w:themeShade="A6"/>
            </w:tcBorders>
            <w:vAlign w:val="center"/>
          </w:tcPr>
          <w:p w14:paraId="303A78BD"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36BC8E" w14:textId="77777777" w:rsidR="002C6861" w:rsidRPr="00075338" w:rsidRDefault="002C6861" w:rsidP="006F6710">
            <w:pPr>
              <w:spacing w:after="0" w:line="276" w:lineRule="auto"/>
              <w:jc w:val="center"/>
              <w:rPr>
                <w:rFonts w:cs="Arial"/>
                <w:sz w:val="18"/>
                <w:szCs w:val="18"/>
              </w:rPr>
            </w:pPr>
          </w:p>
        </w:tc>
      </w:tr>
      <w:tr w:rsidR="002C6861" w:rsidRPr="00C835AF" w14:paraId="3AE95C78" w14:textId="77777777" w:rsidTr="007D1605">
        <w:trPr>
          <w:gridAfter w:val="1"/>
          <w:wAfter w:w="6" w:type="dxa"/>
          <w:cantSplit/>
          <w:trHeight w:val="280"/>
          <w:jc w:val="center"/>
        </w:trPr>
        <w:tc>
          <w:tcPr>
            <w:tcW w:w="1590" w:type="dxa"/>
            <w:vMerge/>
            <w:tcBorders>
              <w:top w:val="nil"/>
              <w:bottom w:val="single" w:sz="4" w:space="0" w:color="808080"/>
            </w:tcBorders>
            <w:vAlign w:val="center"/>
          </w:tcPr>
          <w:p w14:paraId="203F7CF7" w14:textId="77777777" w:rsidR="002C6861" w:rsidRPr="00EB4666" w:rsidRDefault="002C6861" w:rsidP="006F6710">
            <w:pPr>
              <w:spacing w:after="0" w:line="276" w:lineRule="auto"/>
              <w:jc w:val="center"/>
              <w:rPr>
                <w:rFonts w:cs="Arial"/>
                <w:sz w:val="16"/>
                <w:szCs w:val="16"/>
              </w:rPr>
            </w:pPr>
          </w:p>
        </w:tc>
        <w:tc>
          <w:tcPr>
            <w:tcW w:w="1185" w:type="dxa"/>
            <w:tcBorders>
              <w:bottom w:val="nil"/>
            </w:tcBorders>
            <w:vAlign w:val="center"/>
          </w:tcPr>
          <w:p w14:paraId="3EA9DC9B"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6" w:type="dxa"/>
            <w:tcBorders>
              <w:bottom w:val="nil"/>
            </w:tcBorders>
            <w:vAlign w:val="center"/>
          </w:tcPr>
          <w:p w14:paraId="15810E16"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B3</w:t>
            </w:r>
          </w:p>
        </w:tc>
        <w:tc>
          <w:tcPr>
            <w:tcW w:w="1255" w:type="dxa"/>
            <w:tcBorders>
              <w:bottom w:val="nil"/>
            </w:tcBorders>
            <w:vAlign w:val="center"/>
          </w:tcPr>
          <w:p w14:paraId="13062B6D"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8" w:type="dxa"/>
            <w:tcBorders>
              <w:bottom w:val="nil"/>
            </w:tcBorders>
            <w:vAlign w:val="center"/>
          </w:tcPr>
          <w:p w14:paraId="6EBCA85F"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 (low)</w:t>
            </w:r>
          </w:p>
        </w:tc>
        <w:tc>
          <w:tcPr>
            <w:tcW w:w="1255" w:type="dxa"/>
            <w:tcBorders>
              <w:bottom w:val="nil"/>
            </w:tcBorders>
            <w:vAlign w:val="center"/>
          </w:tcPr>
          <w:p w14:paraId="5694320E"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5" w:type="dxa"/>
            <w:tcBorders>
              <w:bottom w:val="nil"/>
              <w:right w:val="single" w:sz="4" w:space="0" w:color="A6A6A6" w:themeColor="background1" w:themeShade="A6"/>
            </w:tcBorders>
            <w:vAlign w:val="center"/>
          </w:tcPr>
          <w:p w14:paraId="0E513282"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C0B5C86" w14:textId="77777777" w:rsidR="002C6861" w:rsidRPr="00075338" w:rsidRDefault="002C6861" w:rsidP="006F6710">
            <w:pPr>
              <w:spacing w:after="0" w:line="276" w:lineRule="auto"/>
              <w:jc w:val="center"/>
              <w:rPr>
                <w:rFonts w:cs="Arial"/>
                <w:sz w:val="18"/>
                <w:szCs w:val="18"/>
              </w:rPr>
            </w:pPr>
          </w:p>
        </w:tc>
      </w:tr>
      <w:tr w:rsidR="002C6861" w:rsidRPr="00C835AF" w14:paraId="0F391B5A" w14:textId="77777777" w:rsidTr="007D1605">
        <w:trPr>
          <w:gridAfter w:val="1"/>
          <w:wAfter w:w="6" w:type="dxa"/>
          <w:cantSplit/>
          <w:trHeight w:val="280"/>
          <w:jc w:val="center"/>
        </w:trPr>
        <w:tc>
          <w:tcPr>
            <w:tcW w:w="1590" w:type="dxa"/>
            <w:vMerge/>
            <w:tcBorders>
              <w:top w:val="nil"/>
              <w:bottom w:val="single" w:sz="4" w:space="0" w:color="808080"/>
            </w:tcBorders>
            <w:vAlign w:val="center"/>
          </w:tcPr>
          <w:p w14:paraId="258D2EA1" w14:textId="77777777" w:rsidR="002C6861" w:rsidRPr="00EB4666" w:rsidRDefault="002C6861" w:rsidP="006F6710">
            <w:pPr>
              <w:spacing w:after="0" w:line="276" w:lineRule="auto"/>
              <w:jc w:val="center"/>
              <w:rPr>
                <w:rFonts w:cs="Arial"/>
                <w:sz w:val="16"/>
                <w:szCs w:val="16"/>
              </w:rPr>
            </w:pPr>
          </w:p>
        </w:tc>
        <w:tc>
          <w:tcPr>
            <w:tcW w:w="1185" w:type="dxa"/>
            <w:tcBorders>
              <w:top w:val="nil"/>
              <w:bottom w:val="single" w:sz="4" w:space="0" w:color="808080" w:themeColor="background1" w:themeShade="80"/>
            </w:tcBorders>
            <w:vAlign w:val="center"/>
          </w:tcPr>
          <w:p w14:paraId="34429175" w14:textId="77777777" w:rsidR="002C6861" w:rsidRPr="00EB4666" w:rsidRDefault="002C6861" w:rsidP="006F6710">
            <w:pPr>
              <w:spacing w:after="0" w:line="276" w:lineRule="auto"/>
              <w:jc w:val="center"/>
              <w:rPr>
                <w:rFonts w:cs="Arial"/>
                <w:sz w:val="16"/>
                <w:szCs w:val="16"/>
              </w:rPr>
            </w:pPr>
            <w:r w:rsidRPr="00EB4666">
              <w:rPr>
                <w:rFonts w:cs="Arial"/>
                <w:sz w:val="16"/>
                <w:szCs w:val="16"/>
              </w:rPr>
              <w:t>B-</w:t>
            </w:r>
          </w:p>
        </w:tc>
        <w:tc>
          <w:tcPr>
            <w:tcW w:w="1256" w:type="dxa"/>
            <w:tcBorders>
              <w:top w:val="nil"/>
              <w:bottom w:val="single" w:sz="4" w:space="0" w:color="808080" w:themeColor="background1" w:themeShade="80"/>
            </w:tcBorders>
            <w:vAlign w:val="center"/>
          </w:tcPr>
          <w:p w14:paraId="78D30D77"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B3</w:t>
            </w:r>
          </w:p>
        </w:tc>
        <w:tc>
          <w:tcPr>
            <w:tcW w:w="1255" w:type="dxa"/>
            <w:tcBorders>
              <w:top w:val="nil"/>
              <w:bottom w:val="single" w:sz="4" w:space="0" w:color="808080" w:themeColor="background1" w:themeShade="80"/>
            </w:tcBorders>
            <w:vAlign w:val="center"/>
          </w:tcPr>
          <w:p w14:paraId="53B897DF"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8" w:type="dxa"/>
            <w:tcBorders>
              <w:top w:val="nil"/>
              <w:bottom w:val="single" w:sz="4" w:space="0" w:color="808080" w:themeColor="background1" w:themeShade="80"/>
            </w:tcBorders>
            <w:vAlign w:val="center"/>
          </w:tcPr>
          <w:p w14:paraId="6BA739C6" w14:textId="77777777" w:rsidR="002C6861" w:rsidRPr="00EB4666" w:rsidRDefault="002C6861" w:rsidP="006F6710">
            <w:pPr>
              <w:spacing w:after="0" w:line="276" w:lineRule="auto"/>
              <w:jc w:val="center"/>
              <w:rPr>
                <w:rFonts w:cs="Arial"/>
                <w:sz w:val="16"/>
                <w:szCs w:val="16"/>
              </w:rPr>
            </w:pPr>
            <w:r w:rsidRPr="00EB4666">
              <w:rPr>
                <w:rFonts w:cs="Arial"/>
                <w:sz w:val="16"/>
                <w:szCs w:val="16"/>
              </w:rPr>
              <w:t>B (</w:t>
            </w:r>
            <w:r w:rsidRPr="00EB4666">
              <w:rPr>
                <w:rFonts w:cs="Arial"/>
                <w:sz w:val="16"/>
                <w:szCs w:val="16"/>
                <w:lang w:val="en-US"/>
              </w:rPr>
              <w:t>low</w:t>
            </w:r>
            <w:r w:rsidRPr="00EB4666">
              <w:rPr>
                <w:rFonts w:cs="Arial"/>
                <w:sz w:val="16"/>
                <w:szCs w:val="16"/>
              </w:rPr>
              <w:t>)</w:t>
            </w:r>
          </w:p>
        </w:tc>
        <w:tc>
          <w:tcPr>
            <w:tcW w:w="1255" w:type="dxa"/>
            <w:tcBorders>
              <w:top w:val="nil"/>
              <w:bottom w:val="single" w:sz="4" w:space="0" w:color="808080" w:themeColor="background1" w:themeShade="80"/>
            </w:tcBorders>
            <w:vAlign w:val="center"/>
          </w:tcPr>
          <w:p w14:paraId="09605320" w14:textId="77777777" w:rsidR="002C6861" w:rsidRPr="00EB4666" w:rsidRDefault="002C6861" w:rsidP="006F6710">
            <w:pPr>
              <w:spacing w:after="0" w:line="276" w:lineRule="auto"/>
              <w:jc w:val="center"/>
              <w:rPr>
                <w:rFonts w:cs="Arial"/>
                <w:sz w:val="16"/>
                <w:szCs w:val="16"/>
                <w:lang w:val="en-US"/>
              </w:rPr>
            </w:pPr>
            <w:r w:rsidRPr="00EB4666">
              <w:rPr>
                <w:rFonts w:cs="Arial"/>
                <w:sz w:val="16"/>
                <w:szCs w:val="16"/>
                <w:lang w:val="en-US"/>
              </w:rPr>
              <w:t>B-</w:t>
            </w:r>
          </w:p>
        </w:tc>
        <w:tc>
          <w:tcPr>
            <w:tcW w:w="1255" w:type="dxa"/>
            <w:tcBorders>
              <w:top w:val="nil"/>
              <w:bottom w:val="single" w:sz="4" w:space="0" w:color="808080" w:themeColor="background1" w:themeShade="80"/>
              <w:right w:val="single" w:sz="4" w:space="0" w:color="A6A6A6" w:themeColor="background1" w:themeShade="A6"/>
            </w:tcBorders>
            <w:vAlign w:val="center"/>
          </w:tcPr>
          <w:p w14:paraId="4F619F35" w14:textId="77777777" w:rsidR="002C6861" w:rsidRPr="00EB4666" w:rsidRDefault="002C6861" w:rsidP="006F6710">
            <w:pPr>
              <w:spacing w:after="0" w:line="276" w:lineRule="auto"/>
              <w:jc w:val="center"/>
              <w:rPr>
                <w:rFonts w:cs="Arial"/>
                <w:sz w:val="16"/>
                <w:szCs w:val="16"/>
              </w:rPr>
            </w:pPr>
            <w:r w:rsidRPr="00EB4666">
              <w:rPr>
                <w:rFonts w:cs="Arial"/>
                <w:sz w:val="16"/>
                <w:szCs w:val="16"/>
              </w:rPr>
              <w:t>B-</w:t>
            </w:r>
          </w:p>
        </w:tc>
        <w:tc>
          <w:tcPr>
            <w:tcW w:w="1261"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259103" w14:textId="77777777" w:rsidR="002C6861" w:rsidRPr="00075338" w:rsidRDefault="002C6861" w:rsidP="006F6710">
            <w:pPr>
              <w:spacing w:after="0" w:line="276" w:lineRule="auto"/>
              <w:jc w:val="center"/>
              <w:rPr>
                <w:rFonts w:cs="Arial"/>
                <w:sz w:val="18"/>
                <w:szCs w:val="18"/>
              </w:rPr>
            </w:pPr>
          </w:p>
        </w:tc>
      </w:tr>
      <w:tr w:rsidR="002C6861" w:rsidRPr="0004334A" w14:paraId="1756D9DA" w14:textId="77777777" w:rsidTr="006F6710">
        <w:trPr>
          <w:cantSplit/>
          <w:trHeight w:val="283"/>
          <w:jc w:val="center"/>
        </w:trPr>
        <w:tc>
          <w:tcPr>
            <w:tcW w:w="10321" w:type="dxa"/>
            <w:gridSpan w:val="9"/>
            <w:tcBorders>
              <w:top w:val="nil"/>
              <w:left w:val="nil"/>
              <w:bottom w:val="nil"/>
              <w:right w:val="nil"/>
            </w:tcBorders>
          </w:tcPr>
          <w:p w14:paraId="1CDAF788" w14:textId="77777777" w:rsidR="002C6861" w:rsidRPr="00075338" w:rsidRDefault="002C6861" w:rsidP="002319F2">
            <w:pPr>
              <w:spacing w:before="60" w:after="0" w:line="276" w:lineRule="auto"/>
              <w:rPr>
                <w:rFonts w:cs="Arial"/>
                <w:lang w:val="en-GB"/>
              </w:rPr>
            </w:pPr>
            <w:r w:rsidRPr="00075338">
              <w:rPr>
                <w:rFonts w:cs="Arial"/>
                <w:sz w:val="16"/>
                <w:szCs w:val="16"/>
              </w:rPr>
              <w:t>Πηγή</w:t>
            </w:r>
            <w:r w:rsidRPr="00075338">
              <w:rPr>
                <w:rFonts w:cs="Arial"/>
                <w:sz w:val="16"/>
                <w:szCs w:val="16"/>
                <w:lang w:val="en-GB"/>
              </w:rPr>
              <w:t>: S&amp;P Global Ratings, Moody’s, Fitch Ratings, DBRS Morningstar, Scope Ratings, R&amp;I</w:t>
            </w:r>
          </w:p>
        </w:tc>
      </w:tr>
    </w:tbl>
    <w:p w14:paraId="3CA43072" w14:textId="323EEE91" w:rsidR="006F6710" w:rsidRPr="008B4F99" w:rsidRDefault="006F6710" w:rsidP="006F6710">
      <w:pPr>
        <w:spacing w:before="240"/>
      </w:pPr>
      <w:r w:rsidRPr="008B4F99">
        <w:t xml:space="preserve">Στο πεδίο της αναπτυξιακής πολιτικής </w:t>
      </w:r>
      <w:r w:rsidR="0017640A" w:rsidRPr="008B4F99">
        <w:t xml:space="preserve">χρηματοδοτούνται </w:t>
      </w:r>
      <w:r w:rsidRPr="008B4F99">
        <w:t xml:space="preserve">μέσω του </w:t>
      </w:r>
      <w:r w:rsidRPr="005247F6">
        <w:t>προϋπολογισμού δημοσίων επενδύσεων</w:t>
      </w:r>
      <w:r w:rsidRPr="008B4F99">
        <w:t xml:space="preserve"> έργα και δράσεις του </w:t>
      </w:r>
      <w:r w:rsidR="00345DCF">
        <w:t>Αναπτυξιακού Προγράμματος Δημοσίων Επενδύσεων (</w:t>
      </w:r>
      <w:r w:rsidRPr="008B4F99">
        <w:t>ΑΠΔΕ</w:t>
      </w:r>
      <w:r w:rsidR="00345DCF">
        <w:t>)</w:t>
      </w:r>
      <w:r w:rsidRPr="008B4F99">
        <w:t>, το οποίο συμβάλλει καθοριστικά στην αύξηση του ιδιωτικού και δημόσιου π</w:t>
      </w:r>
      <w:r w:rsidR="005247F6">
        <w:t>α</w:t>
      </w:r>
      <w:r w:rsidR="008D4E51">
        <w:t>γ</w:t>
      </w:r>
      <w:r w:rsidR="005247F6">
        <w:t>ί</w:t>
      </w:r>
      <w:r w:rsidR="008D4E51">
        <w:t xml:space="preserve">ου </w:t>
      </w:r>
      <w:r w:rsidRPr="008B4F99">
        <w:t>κεφαλαίου, στην ενίσχυση της επιχειρηματικότητας και στη δημιουργία νέων ή στον εκσυγχρονισμό υφιστάμενων δημόσιων υποδομών, ενώ παράλληλα</w:t>
      </w:r>
      <w:r w:rsidR="005247F6">
        <w:t>,</w:t>
      </w:r>
      <w:r w:rsidRPr="008B4F99">
        <w:t xml:space="preserve"> συνδράμει στην προώθηση της κοινωνικής συνοχής και στην άρση </w:t>
      </w:r>
      <w:r w:rsidR="008D4E51">
        <w:t xml:space="preserve">των </w:t>
      </w:r>
      <w:r w:rsidRPr="008B4F99">
        <w:t>ανισοτήτων. Μέσω του ΑΠΔΕ υλοποιούνται</w:t>
      </w:r>
      <w:r w:rsidR="005247F6">
        <w:t>,</w:t>
      </w:r>
      <w:r w:rsidRPr="008B4F99">
        <w:t xml:space="preserve"> </w:t>
      </w:r>
      <w:r w:rsidR="005247F6">
        <w:t>επίσης,</w:t>
      </w:r>
      <w:r w:rsidRPr="008B4F99">
        <w:t xml:space="preserve"> δράσεις συγχρηματοδοτούμενες από την Ε</w:t>
      </w:r>
      <w:r w:rsidR="005247F6">
        <w:t>Ε</w:t>
      </w:r>
      <w:r w:rsidRPr="008B4F99">
        <w:t xml:space="preserve">, οι οποίες λειτουργούν πολλαπλασιαστικά για την ελληνική οικονομία. Προς αυτή την κατεύθυνση η αξιοποίηση των πόρων του Ταμείου Ανάκαμψης και Ανθεκτικότητας (ΤΑΑ) μέσω του </w:t>
      </w:r>
      <w:r w:rsidR="00CC73CB">
        <w:rPr>
          <w:rFonts w:cs="Arial"/>
          <w:szCs w:val="22"/>
        </w:rPr>
        <w:t xml:space="preserve">Εθνικού Σχεδίου </w:t>
      </w:r>
      <w:r w:rsidRPr="008B4F99">
        <w:t>«Ελλάδα 2.0» συ</w:t>
      </w:r>
      <w:r w:rsidR="00E32037">
        <w:t>ντελ</w:t>
      </w:r>
      <w:r w:rsidR="00A87B1E">
        <w:t>εί</w:t>
      </w:r>
      <w:r w:rsidRPr="008B4F99">
        <w:t xml:space="preserve"> ουσιαστικά στην επιτάχυνση της αναπτυξιακής μετάβασης της χώρας. Από το 2021 έως και τον Οκτώβριο 2025 το σύνολο των πόρων του </w:t>
      </w:r>
      <w:r w:rsidRPr="00CD51ED">
        <w:t>Τ</w:t>
      </w:r>
      <w:r w:rsidR="00E32037" w:rsidRPr="00CD51ED">
        <w:t>ΑΑ</w:t>
      </w:r>
      <w:r w:rsidRPr="00CD51ED">
        <w:t xml:space="preserve"> που έχουν εισρεύσει στη χώρα ανέρχεται σε 21,3 δισ. ευρώ, εκ των οποίων </w:t>
      </w:r>
      <w:r w:rsidR="0017640A">
        <w:t xml:space="preserve">ποσό </w:t>
      </w:r>
      <w:r w:rsidRPr="00CD51ED">
        <w:t>11,4 δισ. ευρώ αφορ</w:t>
      </w:r>
      <w:r w:rsidR="0017640A">
        <w:t>ά</w:t>
      </w:r>
      <w:r w:rsidRPr="00CD51ED">
        <w:t xml:space="preserve"> στο δανειακό σκέλος και </w:t>
      </w:r>
      <w:r w:rsidR="0017640A">
        <w:t xml:space="preserve">ποσό </w:t>
      </w:r>
      <w:r w:rsidRPr="00CD51ED">
        <w:t xml:space="preserve">9,9 δισ. ευρώ </w:t>
      </w:r>
      <w:r w:rsidR="00742F7C">
        <w:t xml:space="preserve">αφορά </w:t>
      </w:r>
      <w:r w:rsidRPr="00CD51ED">
        <w:t>στο σκέλος των επιχορηγήσεων.</w:t>
      </w:r>
    </w:p>
    <w:p w14:paraId="5FF30385" w14:textId="4ED4CB14" w:rsidR="00AB5902" w:rsidRPr="00FB7B94" w:rsidRDefault="006F6710" w:rsidP="006F6710">
      <w:pPr>
        <w:rPr>
          <w:highlight w:val="yellow"/>
        </w:rPr>
      </w:pPr>
      <w:r w:rsidRPr="008B4F99">
        <w:t>Παρά την αστάθεια της διεθνούς συγκυρίας, οι επιδόσεις της ελληνικής οικονομίας αναγνωρίζονται διεθνώς, με τη διατήρηση της επενδυτικής βαθμίδας και τις συνεχείς αναβαθμίσεις να επιβεβαιώνουν την αξιοπιστία και την ανθεκτικότητά της. Στο πλαίσιο αυτό, η οικονομική πολιτική εστιάζει στη δημοσιονομική σταθερότητα, στη μείωση του χρέους, στις φορολογικές ελαφρύνσεις και στην ενίσχυση του διαθέσιμου εισοδήματος, ενώ παράλληλα</w:t>
      </w:r>
      <w:r w:rsidR="00E32037">
        <w:t>,</w:t>
      </w:r>
      <w:r w:rsidRPr="008B4F99">
        <w:t xml:space="preserve"> προωθεί επενδύσεις με έμφαση στην πράσινη και την ψηφιακή μετάβαση αξιοποιώντας τους πόρους του ΑΠΔΕ και ενισχύοντας περαιτέρω την απασχόληση</w:t>
      </w:r>
      <w:r w:rsidRPr="00C1779F">
        <w:rPr>
          <w:color w:val="76923C" w:themeColor="accent3" w:themeShade="BF"/>
        </w:rPr>
        <w:t xml:space="preserve"> </w:t>
      </w:r>
      <w:r w:rsidRPr="008B4F99">
        <w:t>και την παραγωγικότητα. Η στρατηγική αυτή ενδυναμώνει την εμπιστοσύνη των επενδυτών, βελτιώνει τις χρηματοδοτικές συνθήκες και δημιουργεί τις προϋποθέσεις</w:t>
      </w:r>
      <w:r w:rsidR="00E32037">
        <w:t>,</w:t>
      </w:r>
      <w:r w:rsidRPr="008B4F99">
        <w:t xml:space="preserve"> για να συνεχιστεί απρόσκοπτα η αναπτυξιακή δυναμική της οικονομίας προς όφελος όλων των πολιτών.</w:t>
      </w:r>
    </w:p>
    <w:p w14:paraId="0202E14F" w14:textId="247E3B1F" w:rsidR="001476F7" w:rsidRPr="00365B0D" w:rsidRDefault="001476F7" w:rsidP="00300BBF">
      <w:pPr>
        <w:pStyle w:val="4"/>
      </w:pPr>
      <w:bookmarkStart w:id="44" w:name="_Toc214473724"/>
      <w:r>
        <w:lastRenderedPageBreak/>
        <w:t>Οι εξελίξεις το 202</w:t>
      </w:r>
      <w:r w:rsidR="00FE61D8">
        <w:t>4</w:t>
      </w:r>
      <w:bookmarkEnd w:id="44"/>
    </w:p>
    <w:p w14:paraId="5CBF496C" w14:textId="1BF9BC76" w:rsidR="00FE61D8" w:rsidRPr="00C702E8" w:rsidRDefault="00FE61D8" w:rsidP="00FE61D8">
      <w:r>
        <w:t xml:space="preserve">Το </w:t>
      </w:r>
      <w:r w:rsidRPr="00EF6ED9">
        <w:t>2024</w:t>
      </w:r>
      <w:r>
        <w:t xml:space="preserve"> χαρακτηρίστηκε από αυξημένη διεθνή αβεβαιότητα λόγω των συνεχιζόμενων γεωπολιτικών εντάσεων</w:t>
      </w:r>
      <w:r w:rsidRPr="00EF6ED9">
        <w:t xml:space="preserve"> στην Ουκρανία</w:t>
      </w:r>
      <w:r>
        <w:t xml:space="preserve"> και τη </w:t>
      </w:r>
      <w:r w:rsidRPr="00EF6ED9">
        <w:t xml:space="preserve">Μέση Ανατολή. Παράλληλα, </w:t>
      </w:r>
      <w:r>
        <w:t>ο κατακερματισμός του διεθνούς εμπορίου με επίκεντρο την αναμενόμενη επιβολή νέων δασμών από τις ΗΠΑ επέτειν</w:t>
      </w:r>
      <w:r w:rsidR="0017640A">
        <w:t>ε</w:t>
      </w:r>
      <w:r>
        <w:t xml:space="preserve"> την αβεβαιότητα στο παγκόσμιο οικονομικό περιβάλλον επιβραδύνοντας το</w:t>
      </w:r>
      <w:r w:rsidR="009D332D">
        <w:t>ν</w:t>
      </w:r>
      <w:r>
        <w:t xml:space="preserve"> ρυθμό της παγκόσμιας οικονομικής ανάπτυξης. </w:t>
      </w:r>
      <w:r w:rsidRPr="00C702E8">
        <w:t>Στην</w:t>
      </w:r>
      <w:r>
        <w:t xml:space="preserve"> </w:t>
      </w:r>
      <w:r w:rsidR="009D332D">
        <w:t>Ε</w:t>
      </w:r>
      <w:r w:rsidRPr="00C702E8">
        <w:t>υρωζώνη</w:t>
      </w:r>
      <w:r>
        <w:t xml:space="preserve"> </w:t>
      </w:r>
      <w:r w:rsidRPr="00C702E8">
        <w:t xml:space="preserve">η οικονομική δραστηριότητα διατηρήθηκε σε χαμηλά επίπεδα, καθώς η αυξημένη αβεβαιότητα και ο συνδυασμός περιοριστικών δημοσιονομικών και νομισματικών πολιτικών επιβάρυναν το κλίμα εμπιστοσύνης και την αναπτυξιακή δυναμική. Τον Ιούνιο 2024 η ΕΚΤ εγκαινίασε κύκλο μείωσης των βασικών επιτοκίων, </w:t>
      </w:r>
      <w:r w:rsidR="009D332D">
        <w:t xml:space="preserve">ο οποίος αντανακλά </w:t>
      </w:r>
      <w:r w:rsidRPr="00C702E8">
        <w:t xml:space="preserve">τη σημαντική υποχώρηση του πληθωρισμού στην οικονομία της </w:t>
      </w:r>
      <w:r w:rsidR="009D332D">
        <w:t>Ε</w:t>
      </w:r>
      <w:r w:rsidRPr="00C702E8">
        <w:t>υρωζώνης.</w:t>
      </w:r>
      <w:r>
        <w:t xml:space="preserve"> Κ</w:t>
      </w:r>
      <w:r w:rsidRPr="00C702E8">
        <w:t>ατά τη διάρκεια του 2024</w:t>
      </w:r>
      <w:r>
        <w:t xml:space="preserve"> η ελληνική οικονομία συνέχισε να επιδεικνύει αξιοσημείωτη ανθεκτικότητα και θετικές επιδόσεις</w:t>
      </w:r>
      <w:r w:rsidRPr="00213767">
        <w:t>,</w:t>
      </w:r>
      <w:r>
        <w:t xml:space="preserve"> </w:t>
      </w:r>
      <w:r w:rsidR="00B50EB9">
        <w:t>όπως άλλωστε</w:t>
      </w:r>
      <w:r>
        <w:t xml:space="preserve"> αποτυπώθηκαν και στην </w:t>
      </w:r>
      <w:r w:rsidRPr="00C702E8">
        <w:t>πιστοληπτική εικόνα τη</w:t>
      </w:r>
      <w:r>
        <w:t>ς</w:t>
      </w:r>
      <w:r w:rsidRPr="00C702E8">
        <w:t>,</w:t>
      </w:r>
      <w:r>
        <w:t xml:space="preserve"> </w:t>
      </w:r>
      <w:r w:rsidRPr="00C702E8">
        <w:t>επιβεβα</w:t>
      </w:r>
      <w:r>
        <w:t>ιώνοντας τ</w:t>
      </w:r>
      <w:r w:rsidRPr="00C702E8">
        <w:t xml:space="preserve">η σταθερή βελτίωση των μακροοικονομικών και δημοσιονομικών μεγεθών της χώρας. Οι οίκοι πιστοληπτικής αξιολόγησης Standard &amp; Poor’s, DBRS </w:t>
      </w:r>
      <w:r w:rsidR="00B50EB9" w:rsidRPr="00C702E8">
        <w:t xml:space="preserve">Morningstar </w:t>
      </w:r>
      <w:r w:rsidRPr="00C702E8">
        <w:t xml:space="preserve">και Moody’s άλλαξαν τις προοπτικές της ελληνικής οικονομίας από σταθερές σε θετικές και ο οίκος Scope Ratings προχώρησε τον Δεκέμβριο 2024 σε αναβάθμιση της αξιολόγησης της Ελλάδας σε επίπεδο BBB με σταθερή προοπτική, γεγονός που αντανακλά τη </w:t>
      </w:r>
      <w:r w:rsidR="00F51A17">
        <w:t>συνεχή</w:t>
      </w:r>
      <w:r w:rsidRPr="00C702E8">
        <w:t xml:space="preserve"> εμπιστοσύνη των αγορών και των θεσμικών επενδυτών στις προοπτικές της ελληνικής οικονομίας.</w:t>
      </w:r>
    </w:p>
    <w:p w14:paraId="31708981" w14:textId="1E8B1CFA" w:rsidR="00FE61D8" w:rsidRPr="00C702E8" w:rsidRDefault="00FE61D8" w:rsidP="00FE61D8">
      <w:r w:rsidRPr="00C702E8">
        <w:t xml:space="preserve">Η ελληνική οικονομία διατήρησε και το 2024 </w:t>
      </w:r>
      <w:r>
        <w:t xml:space="preserve">αναπτυξιακή </w:t>
      </w:r>
      <w:r w:rsidRPr="00C702E8">
        <w:t xml:space="preserve">δυναμική, στηριζόμενη σε ένα σύνολο μέτρων δημοσιονομικής πολιτικής που </w:t>
      </w:r>
      <w:r>
        <w:t xml:space="preserve">αποσκοπούν </w:t>
      </w:r>
      <w:r w:rsidRPr="00C702E8">
        <w:t xml:space="preserve">στην ενίσχυση των εισοδημάτων </w:t>
      </w:r>
      <w:r>
        <w:t>των νοικοκυριών</w:t>
      </w:r>
      <w:r w:rsidR="008D4E51">
        <w:t xml:space="preserve"> και</w:t>
      </w:r>
      <w:r>
        <w:t xml:space="preserve"> των εργαζόμενων </w:t>
      </w:r>
      <w:r w:rsidR="008D4E51">
        <w:t xml:space="preserve">καθώς </w:t>
      </w:r>
      <w:r w:rsidRPr="00C702E8">
        <w:t xml:space="preserve">και </w:t>
      </w:r>
      <w:r w:rsidR="008D4E51">
        <w:t>σ</w:t>
      </w:r>
      <w:r w:rsidRPr="00C702E8">
        <w:t xml:space="preserve">τη στήριξη των </w:t>
      </w:r>
      <w:r>
        <w:t xml:space="preserve">ευάλωτων </w:t>
      </w:r>
      <w:r w:rsidRPr="00C702E8">
        <w:t xml:space="preserve">κοινωνικών ομάδων. </w:t>
      </w:r>
      <w:r w:rsidR="008715D3">
        <w:t>Στις βασικές</w:t>
      </w:r>
      <w:r w:rsidRPr="00C702E8">
        <w:t xml:space="preserve"> πρωτοβουλ</w:t>
      </w:r>
      <w:r w:rsidR="008715D3">
        <w:t>ίες</w:t>
      </w:r>
      <w:r w:rsidRPr="00C702E8">
        <w:t xml:space="preserve"> περιλαμβάνονται η περ</w:t>
      </w:r>
      <w:r w:rsidR="008D4E51">
        <w:t>αιτέρω</w:t>
      </w:r>
      <w:r w:rsidRPr="00C702E8">
        <w:t xml:space="preserve"> αύξηση του κατώτατου μισθού σε 830 ευρώ τον Απρίλιο 2024, η αύξηση των μισθών και των επιδομάτων των δημ</w:t>
      </w:r>
      <w:r w:rsidR="008715D3">
        <w:t>ό</w:t>
      </w:r>
      <w:r w:rsidRPr="00C702E8">
        <w:t>σ</w:t>
      </w:r>
      <w:r w:rsidR="008715D3">
        <w:t>ι</w:t>
      </w:r>
      <w:r w:rsidRPr="00C702E8">
        <w:t xml:space="preserve">ων υπαλλήλων, η επαναφορά των επιδομάτων προϋπηρεσίας (τριετιών) στον ιδιωτικό τομέα, η αύξηση του αφορολόγητου κατά 1.000 ευρώ για οικογένειες με παιδιά, </w:t>
      </w:r>
      <w:r>
        <w:t xml:space="preserve">η </w:t>
      </w:r>
      <w:r w:rsidRPr="00C702E8">
        <w:t>αύξηση του επιδόματος γέννησης αναδρομικά από το 2023 και η συνέχιση του προγράμματος «Σπίτι μου» για την αντιμετώπιση του στεγαστικού προβλήματος</w:t>
      </w:r>
      <w:r w:rsidR="008715D3">
        <w:t>,</w:t>
      </w:r>
      <w:r w:rsidRPr="00C702E8">
        <w:t xml:space="preserve"> κυρίως των νέων ατόμων.</w:t>
      </w:r>
    </w:p>
    <w:p w14:paraId="4557E877" w14:textId="52F15EEB" w:rsidR="00FE61D8" w:rsidRPr="00C702E8" w:rsidRDefault="00FE61D8" w:rsidP="006D49EA">
      <w:pPr>
        <w:spacing w:after="240"/>
      </w:pPr>
      <w:r w:rsidRPr="00C702E8">
        <w:t>Το 2024 η ελληνική οικονομία κατέγραψε ρυθμό ανάπτυξης 2,1%, σύμφωνα με τα αναθεωρημένα στοιχεία της ΕΛΣΤΑΤ τον Οκτώβριο 2025, διπλάσιο από τον ευρωπαϊκό μέσο όρο (Ευρωζώνη: 0,9%, ΕΕ: 1,</w:t>
      </w:r>
      <w:r w:rsidR="00A87B1E">
        <w:t>1</w:t>
      </w:r>
      <w:r w:rsidRPr="00C702E8">
        <w:t>%</w:t>
      </w:r>
      <w:r w:rsidR="00CF34BB">
        <w:t xml:space="preserve"> σύμφωνα με τις </w:t>
      </w:r>
      <w:r w:rsidR="00A87B1E">
        <w:t>φθινοπωρινές</w:t>
      </w:r>
      <w:r w:rsidR="00CF34BB">
        <w:t xml:space="preserve"> προβλέψεις της Ευρωπαϊκής Επιτροπής</w:t>
      </w:r>
      <w:r w:rsidRPr="00C702E8">
        <w:t xml:space="preserve">). Το πραγματικό ΑΕΠ </w:t>
      </w:r>
      <w:r>
        <w:t xml:space="preserve">το 2024 </w:t>
      </w:r>
      <w:r w:rsidR="00D174AD">
        <w:t>ανήλθε</w:t>
      </w:r>
      <w:r w:rsidRPr="00C702E8">
        <w:t xml:space="preserve"> στο υψηλότερο επίπεδό του </w:t>
      </w:r>
      <w:r w:rsidR="00A87B1E">
        <w:t>μετά</w:t>
      </w:r>
      <w:r w:rsidRPr="00C702E8">
        <w:t xml:space="preserve"> το 2010, </w:t>
      </w:r>
      <w:r>
        <w:t xml:space="preserve">υποστηριζόμενο από </w:t>
      </w:r>
      <w:r w:rsidRPr="00C702E8">
        <w:t>την αύξηση των επενδύσεων (4,5%), της ιδιωτικής κατανάλωσης (2,4%) και των εξαγωγών (1%</w:t>
      </w:r>
      <w:r>
        <w:t>)</w:t>
      </w:r>
      <w:r w:rsidRPr="00C702E8">
        <w:t>. Το ονομαστικό ΑΕΠ το 2024 ανήλθε σε 236,7 δισ. ευρώ έναντι 224,7 δισ. ευρώ το 2023.</w:t>
      </w:r>
      <w:r w:rsidR="00D174AD">
        <w:t xml:space="preserve"> Συνεπεία </w:t>
      </w:r>
      <w:r>
        <w:t>των ανωτέρω</w:t>
      </w:r>
      <w:r w:rsidR="00CF34BB">
        <w:t xml:space="preserve"> </w:t>
      </w:r>
      <w:r>
        <w:t xml:space="preserve">ευνοϊκών εξελίξεων </w:t>
      </w:r>
      <w:r w:rsidRPr="00C702E8">
        <w:t xml:space="preserve">το ονομαστικό ακαθάριστο διαθέσιμο εισόδημα των νοικοκυριών αυξήθηκε </w:t>
      </w:r>
      <w:r w:rsidR="00D174AD">
        <w:t>τ</w:t>
      </w:r>
      <w:r w:rsidR="00D174AD" w:rsidRPr="00C702E8">
        <w:t>ο 2024</w:t>
      </w:r>
      <w:r w:rsidR="00D174AD">
        <w:t xml:space="preserve"> </w:t>
      </w:r>
      <w:r w:rsidRPr="00C702E8">
        <w:t>κατά 4,5% έναντι του 2023, στο υψηλότερο επίπεδ</w:t>
      </w:r>
      <w:r w:rsidR="001C4EF8">
        <w:t>ό</w:t>
      </w:r>
      <w:r>
        <w:t xml:space="preserve"> του</w:t>
      </w:r>
      <w:r w:rsidRPr="00C702E8">
        <w:t xml:space="preserve"> από το 2010 και </w:t>
      </w:r>
      <w:r w:rsidR="0017640A" w:rsidRPr="000D3127">
        <w:t>μετά</w:t>
      </w:r>
      <w:r w:rsidRPr="000D3127">
        <w:t xml:space="preserve"> (</w:t>
      </w:r>
      <w:r w:rsidR="007B61EA" w:rsidRPr="000D3127">
        <w:fldChar w:fldCharType="begin"/>
      </w:r>
      <w:r w:rsidR="007B61EA" w:rsidRPr="000D3127">
        <w:instrText xml:space="preserve"> REF _Ref150421636 \h  \* MERGEFORMAT </w:instrText>
      </w:r>
      <w:r w:rsidR="007B61EA" w:rsidRPr="000D3127">
        <w:fldChar w:fldCharType="separate"/>
      </w:r>
      <w:r w:rsidR="00E15678" w:rsidRPr="00E15678">
        <w:t>Διάγραμμα 1.1</w:t>
      </w:r>
      <w:r w:rsidR="007B61EA" w:rsidRPr="000D3127">
        <w:fldChar w:fldCharType="end"/>
      </w:r>
      <w:r w:rsidR="007B61EA" w:rsidRPr="000D3127">
        <w:t>.</w:t>
      </w:r>
      <w:r w:rsidRPr="000D3127">
        <w:t>). Η</w:t>
      </w:r>
      <w:r w:rsidRPr="00C702E8">
        <w:t xml:space="preserve"> αύξηση αυτή συνδέεται κυρίως με την αύξηση της μισθολογικής δαπάνης στην οικονομία, η οποία στηρίχθηκε </w:t>
      </w:r>
      <w:r>
        <w:t>στις ευνοϊκές εξελίξεις στην αγορά εργασίας</w:t>
      </w:r>
      <w:r w:rsidR="00D174AD">
        <w:t>, ήτοι στην ενίσχυση της</w:t>
      </w:r>
      <w:r w:rsidRPr="00C702E8">
        <w:t xml:space="preserve"> απασχόλησης και στις αυξήσεις του κατώτατου και μέσου μισθού</w:t>
      </w:r>
      <w:r w:rsidR="00D174AD">
        <w:t>, κατατείνοντας</w:t>
      </w:r>
      <w:r w:rsidRPr="00C702E8">
        <w:t xml:space="preserve"> στη </w:t>
      </w:r>
      <w:r w:rsidR="004E3BFC">
        <w:t>συνακόλουθη ενίσχυση</w:t>
      </w:r>
      <w:r w:rsidRPr="00C702E8">
        <w:t xml:space="preserve"> της ονομαστικής και της πραγματικής ιδιωτικής κατανάλωσης κατά 4,6% και 2,4%</w:t>
      </w:r>
      <w:r w:rsidR="00D174AD">
        <w:t>,</w:t>
      </w:r>
      <w:r w:rsidRPr="00C702E8">
        <w:t xml:space="preserve"> αντίστοιχα</w:t>
      </w:r>
      <w:r w:rsidR="00D174AD">
        <w:t>,</w:t>
      </w:r>
      <w:r w:rsidRPr="00C702E8">
        <w:t xml:space="preserve"> το 2024.</w:t>
      </w:r>
    </w:p>
    <w:p w14:paraId="5416DEB4" w14:textId="15DCBF37" w:rsidR="0063290F" w:rsidRPr="00AF703B" w:rsidRDefault="0063290F" w:rsidP="00E41AB2">
      <w:pPr>
        <w:pStyle w:val="afe"/>
        <w:keepNext/>
        <w:spacing w:after="60" w:line="276" w:lineRule="auto"/>
        <w:jc w:val="left"/>
        <w:rPr>
          <w:sz w:val="18"/>
          <w:szCs w:val="18"/>
        </w:rPr>
      </w:pPr>
      <w:bookmarkStart w:id="45" w:name="_Ref150421636"/>
      <w:bookmarkStart w:id="46" w:name="_Ref182151969"/>
      <w:bookmarkStart w:id="47" w:name="_Toc214474696"/>
      <w:r w:rsidRPr="00AF703B">
        <w:rPr>
          <w:sz w:val="18"/>
          <w:szCs w:val="18"/>
        </w:rPr>
        <w:lastRenderedPageBreak/>
        <w:t>Διάγραμμα 1.</w:t>
      </w:r>
      <w:r w:rsidRPr="00AF703B">
        <w:rPr>
          <w:sz w:val="18"/>
          <w:szCs w:val="18"/>
        </w:rPr>
        <w:fldChar w:fldCharType="begin"/>
      </w:r>
      <w:r w:rsidRPr="00AF703B">
        <w:rPr>
          <w:sz w:val="18"/>
          <w:szCs w:val="18"/>
        </w:rPr>
        <w:instrText xml:space="preserve"> SEQ Διάγραμμα_1. \* ARABIC </w:instrText>
      </w:r>
      <w:r w:rsidRPr="00AF703B">
        <w:rPr>
          <w:sz w:val="18"/>
          <w:szCs w:val="18"/>
        </w:rPr>
        <w:fldChar w:fldCharType="separate"/>
      </w:r>
      <w:r w:rsidR="00E15678">
        <w:rPr>
          <w:noProof/>
          <w:sz w:val="18"/>
          <w:szCs w:val="18"/>
        </w:rPr>
        <w:t>1</w:t>
      </w:r>
      <w:r w:rsidRPr="00AF703B">
        <w:rPr>
          <w:sz w:val="18"/>
          <w:szCs w:val="18"/>
        </w:rPr>
        <w:fldChar w:fldCharType="end"/>
      </w:r>
      <w:bookmarkEnd w:id="45"/>
      <w:bookmarkEnd w:id="46"/>
      <w:r w:rsidRPr="00AF703B">
        <w:rPr>
          <w:sz w:val="18"/>
          <w:szCs w:val="18"/>
        </w:rPr>
        <w:t>.: Ακαθάριστο διαθέσιμο εισόδημα νοικοκυριών 201</w:t>
      </w:r>
      <w:r w:rsidR="0015271F" w:rsidRPr="00AF703B">
        <w:rPr>
          <w:sz w:val="18"/>
          <w:szCs w:val="18"/>
        </w:rPr>
        <w:t>0</w:t>
      </w:r>
      <w:r w:rsidR="00785E90" w:rsidRPr="00AF703B">
        <w:rPr>
          <w:sz w:val="18"/>
          <w:szCs w:val="18"/>
        </w:rPr>
        <w:t xml:space="preserve"> </w:t>
      </w:r>
      <w:r w:rsidRPr="00AF703B">
        <w:rPr>
          <w:sz w:val="18"/>
          <w:szCs w:val="18"/>
        </w:rPr>
        <w:t>-</w:t>
      </w:r>
      <w:r w:rsidR="00785E90" w:rsidRPr="00AF703B">
        <w:rPr>
          <w:sz w:val="18"/>
          <w:szCs w:val="18"/>
        </w:rPr>
        <w:t xml:space="preserve"> </w:t>
      </w:r>
      <w:r w:rsidRPr="00AF703B">
        <w:rPr>
          <w:sz w:val="18"/>
          <w:szCs w:val="18"/>
        </w:rPr>
        <w:t>202</w:t>
      </w:r>
      <w:r w:rsidR="00AF703B" w:rsidRPr="00AF703B">
        <w:rPr>
          <w:sz w:val="18"/>
          <w:szCs w:val="18"/>
        </w:rPr>
        <w:t>4</w:t>
      </w:r>
      <w:r w:rsidRPr="00AF703B">
        <w:rPr>
          <w:sz w:val="18"/>
          <w:szCs w:val="18"/>
        </w:rPr>
        <w:t xml:space="preserve"> (</w:t>
      </w:r>
      <w:r w:rsidR="001F2B20">
        <w:rPr>
          <w:sz w:val="18"/>
          <w:szCs w:val="18"/>
        </w:rPr>
        <w:t xml:space="preserve">σε </w:t>
      </w:r>
      <w:r w:rsidRPr="00AF703B">
        <w:rPr>
          <w:sz w:val="18"/>
          <w:szCs w:val="18"/>
        </w:rPr>
        <w:t>εκατ. ευρώ)</w:t>
      </w:r>
      <w:bookmarkEnd w:id="47"/>
    </w:p>
    <w:p w14:paraId="7A5055C3" w14:textId="1A254C7F" w:rsidR="00AF703B" w:rsidRDefault="00AF703B" w:rsidP="009A6075">
      <w:pPr>
        <w:spacing w:after="0"/>
        <w:jc w:val="center"/>
      </w:pPr>
      <w:r w:rsidRPr="00C4247B">
        <w:rPr>
          <w:noProof/>
          <w:sz w:val="16"/>
        </w:rPr>
        <w:drawing>
          <wp:inline distT="0" distB="0" distL="0" distR="0" wp14:anchorId="23F4767C" wp14:editId="51C8DED8">
            <wp:extent cx="5759450" cy="2727297"/>
            <wp:effectExtent l="0" t="0" r="12700" b="16510"/>
            <wp:docPr id="6" name="Γράφημα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3BADAD" w14:textId="614A3841" w:rsidR="00AC5D46" w:rsidRPr="00A4366F" w:rsidRDefault="00AC5D46" w:rsidP="008D7BA6">
      <w:pPr>
        <w:spacing w:before="240"/>
      </w:pPr>
      <w:r w:rsidRPr="00A4366F">
        <w:t>Ο εξωτερικός τομέας το 202</w:t>
      </w:r>
      <w:r>
        <w:t>4</w:t>
      </w:r>
      <w:r w:rsidRPr="00A4366F">
        <w:t xml:space="preserve"> κατέγραψε αρνητική επίδραση στον ρυθμό μεταβολής του πραγματικού ΑΕΠ κατά 1,7 ποσοστιαίες μονάδες. Η αύξηση των εξαγωγών αγαθών και υπηρεσιών (1,0%) ήταν μικρότερη από την αντίστοιχη αύξηση των εισαγωγών αγαθών και υπηρεσιών (4,8%). Η εξέλιξη αυτή οφείλεται κυρίως στη σημαντική </w:t>
      </w:r>
      <w:r w:rsidR="001C4EF8">
        <w:t>ενίσχυση</w:t>
      </w:r>
      <w:r w:rsidRPr="00A4366F">
        <w:t xml:space="preserve"> των εισαγωγών υπηρεσιών, οι οποίες το 2024 αυξήθηκαν κατά </w:t>
      </w:r>
      <w:r w:rsidR="00CF34BB">
        <w:t>6</w:t>
      </w:r>
      <w:r w:rsidRPr="00A4366F">
        <w:t>,</w:t>
      </w:r>
      <w:r w:rsidR="00CF34BB">
        <w:t>4</w:t>
      </w:r>
      <w:r w:rsidRPr="00A4366F">
        <w:t xml:space="preserve">% έναντι του 2023, ανερχόμενες στο ποσό των </w:t>
      </w:r>
      <w:r w:rsidR="00CF34BB">
        <w:t>22</w:t>
      </w:r>
      <w:r w:rsidRPr="00A4366F">
        <w:t xml:space="preserve"> δισ. ευρώ σε σταθερές τιμές.</w:t>
      </w:r>
    </w:p>
    <w:p w14:paraId="0382C441" w14:textId="0EAF39B0" w:rsidR="00AC5D46" w:rsidRPr="00A4366F" w:rsidRDefault="00AC5D46" w:rsidP="008D7BA6">
      <w:r w:rsidRPr="00A4366F">
        <w:t>Η Ακαθάριστη Προστιθέμενη Αξία (ΑΠΑ) της οικονομίας, σε σταθερές τιμές, αυξήθηκε το 2024 κατά 1,7% λόγω των υψηλών επιδόσεων που καταγράφηκαν: (α) στον δευτερογενή τομέα, κυρίως στους κλάδους της παροχής ηλεκτρικού ρεύματος, φυσικού αερίου, ατμού και κλιματισμού (23,7%), της παραγωγής οπτάνθρακα και προϊόντων διύλισης πετρελαίου (16,8%), της κατασκευής ηλεκτρονικών υπολογιστών, ηλεκτρονικών και οπτικών προϊόντων (14,6%) και των κατασκευών (6,4%), (β) στον τριτογενή τομέα, στις εκδοτικές δραστηριότητες (21,5%), στις δραστηριότητες προγραμματισμού ηλεκτρονικών υπολογιστών (17,2%) και στις δραστηριότητες διαφήμισης και έρευνας αγοράς (16,1%) καθώς και (γ) σε κλάδους που συνδέονται πρωτίστως με τον τουρισμό, όπως οι δραστηριότητες ενοικίασης και εκμίσθωσης (20,3%), οι αεροπορικές μεταφορές (10,5%) και τα ταξιδιωτικά πρακτορεία (7,8%).</w:t>
      </w:r>
    </w:p>
    <w:p w14:paraId="4AAFB57F" w14:textId="5D53DB2A" w:rsidR="00AC5D46" w:rsidRPr="00A4366F" w:rsidRDefault="00AC5D46" w:rsidP="008D7BA6">
      <w:r w:rsidRPr="00A4366F">
        <w:t>Η επιβράδυνση των πληθωριστικών πιέσεων</w:t>
      </w:r>
      <w:r w:rsidR="005B6A6B">
        <w:t>,</w:t>
      </w:r>
      <w:r w:rsidRPr="00A4366F">
        <w:t xml:space="preserve"> </w:t>
      </w:r>
      <w:r w:rsidR="0017640A">
        <w:t>η οποία</w:t>
      </w:r>
      <w:r w:rsidRPr="00A4366F">
        <w:t xml:space="preserve"> ξεκίνησε το 2023</w:t>
      </w:r>
      <w:r w:rsidR="002C2736">
        <w:t>,</w:t>
      </w:r>
      <w:r w:rsidRPr="00A4366F">
        <w:t xml:space="preserve"> συνεχίστηκε και το 2024 κυρίως λόγω της υποχώρησης των τιμών των ενεργειακών αγαθών. Συγκεκριμένα, ο Εν.ΔΤΚ υποχώρησε σ</w:t>
      </w:r>
      <w:r w:rsidR="002C2736">
        <w:t>ε</w:t>
      </w:r>
      <w:r w:rsidRPr="00A4366F">
        <w:t xml:space="preserve"> 3,0% το 2024 από 4,2% το 2023 και </w:t>
      </w:r>
      <w:r w:rsidR="00A87B1E">
        <w:t xml:space="preserve">από </w:t>
      </w:r>
      <w:r w:rsidRPr="00A4366F">
        <w:t>9,3% το 2022</w:t>
      </w:r>
      <w:r>
        <w:t>.</w:t>
      </w:r>
      <w:r w:rsidRPr="00A4366F">
        <w:t xml:space="preserve"> Η διατήρηση της αποκλιμάκωσης αποδίδεται στην ενεργειακή συνιστώσα (-1,4%), στα καύσιμα (-1,5%) και εν μέρει στα αγαθά (1,7%), καθ</w:t>
      </w:r>
      <w:r w:rsidR="002C2736">
        <w:t xml:space="preserve">’ όσον </w:t>
      </w:r>
      <w:r w:rsidRPr="00A4366F">
        <w:t xml:space="preserve">οι υπηρεσίες κινήθηκαν σε υψηλότερους ρυθμούς </w:t>
      </w:r>
      <w:r w:rsidRPr="00AF4AC3">
        <w:t xml:space="preserve">(4,4%) </w:t>
      </w:r>
      <w:r w:rsidRPr="00A4366F">
        <w:t>από τον Εν.ΔΤΚ. Ως αποτέλεσμα, ο πυρήνας του πληθωρισμού (Εν.ΔΤΚ χωρίς τις τιμές της ενέργειας και των ειδών διατροφής) διαμορφώθηκε σ</w:t>
      </w:r>
      <w:r w:rsidR="002C2736">
        <w:t>ε</w:t>
      </w:r>
      <w:r w:rsidRPr="00A4366F">
        <w:t xml:space="preserve"> 3,6% το 2024 (από 5,3% το 2023), ενώ ο πληθωρισμός των τροφίμων </w:t>
      </w:r>
      <w:r>
        <w:t>υποχώρησε σημαντικά</w:t>
      </w:r>
      <w:r w:rsidRPr="00A4366F">
        <w:t xml:space="preserve"> σ</w:t>
      </w:r>
      <w:r w:rsidR="002C2736">
        <w:t>ε</w:t>
      </w:r>
      <w:r w:rsidRPr="00A4366F">
        <w:t xml:space="preserve"> 2,8% το 2024 έναντι 9,9% το 2023.</w:t>
      </w:r>
    </w:p>
    <w:p w14:paraId="51D2B8B4" w14:textId="0042587F" w:rsidR="00AC5D46" w:rsidRPr="00A4366F" w:rsidRDefault="00AC5D46" w:rsidP="008D7BA6">
      <w:r w:rsidRPr="00A4366F">
        <w:t xml:space="preserve">Στην αγορά εργασίας η ανεργία μειώθηκε περαιτέρω το 2024 έναντι του 2023 και διαμορφώθηκε σε 10,1% του εργατικού δυναμικού, σύμφωνα με την Έρευνα Εργατικού Δυναμικού (Labor Force Survey - LFS) της ΕΛΣΤΑΤ και σε 8,5% βάσει των αναθεωρημένων εθνικών λογαριασμών. </w:t>
      </w:r>
      <w:r w:rsidR="00E445E3">
        <w:t>Δυνάμει τω</w:t>
      </w:r>
      <w:r w:rsidRPr="00A4366F">
        <w:t>ν τελευταίων</w:t>
      </w:r>
      <w:r w:rsidR="007B6135">
        <w:t>,</w:t>
      </w:r>
      <w:r w:rsidRPr="00A4366F">
        <w:t xml:space="preserve"> η συνολική απασχόληση αυξήθηκε κατά 0,9% και η απασχόληση μισθωτών (ή εξαρτημένης εργασίας) κατά 1,5%.</w:t>
      </w:r>
    </w:p>
    <w:p w14:paraId="1C04BCFD" w14:textId="2C3472F5" w:rsidR="00AC5D46" w:rsidRPr="00A4366F" w:rsidRDefault="00AC5D46" w:rsidP="008D7BA6">
      <w:r w:rsidRPr="00A4366F">
        <w:t>Σύμφωνα με τα στοιχεία του πληροφοριακού συστήματος «ΕΡΓΑΝΗ», το 2024 ο αριθμός των εργαζ</w:t>
      </w:r>
      <w:r w:rsidR="00E445E3">
        <w:t>ό</w:t>
      </w:r>
      <w:r w:rsidRPr="00A4366F">
        <w:t>μ</w:t>
      </w:r>
      <w:r w:rsidR="00E445E3">
        <w:t>ε</w:t>
      </w:r>
      <w:r w:rsidRPr="00A4366F">
        <w:t xml:space="preserve">νων </w:t>
      </w:r>
      <w:r>
        <w:t xml:space="preserve">στον ιδιωτικό τομέα αυξήθηκε </w:t>
      </w:r>
      <w:r w:rsidRPr="00A4366F">
        <w:t>κατά 93.312 άτομα σε σ</w:t>
      </w:r>
      <w:r w:rsidR="00E445E3">
        <w:t>ύγκριση</w:t>
      </w:r>
      <w:r w:rsidRPr="00A4366F">
        <w:t xml:space="preserve"> με το 2023, </w:t>
      </w:r>
      <w:r w:rsidRPr="00A4366F">
        <w:lastRenderedPageBreak/>
        <w:t>παρουσιάζοντας σε ετήσια βάση αύξηση κατά 4,06%. Το 2024 οι συνολικές αμοιβές εργασίας αυξήθηκαν κατά 7,3%, ενώ ο μέσος μισθός αυξήθηκε κατά 5,8%.</w:t>
      </w:r>
    </w:p>
    <w:p w14:paraId="43F74486" w14:textId="2E4F33EC" w:rsidR="001E7346" w:rsidRPr="000B7661" w:rsidRDefault="00AC5D46" w:rsidP="001E7346">
      <w:bookmarkStart w:id="48" w:name="_Toc182927394"/>
      <w:bookmarkEnd w:id="48"/>
      <w:r w:rsidRPr="009B2962">
        <w:t xml:space="preserve">Το πλεόνασμα της Γενικής Κυβέρνησης, σύμφωνα με το Ευρωπαϊκό Σύστημα Λογαριασμών (European </w:t>
      </w:r>
      <w:r w:rsidRPr="000B7661">
        <w:t>System of Accounts - ESA), ανήλθε σε 1,2% του ΑΕΠ, ενώ το πρωτογενές πλεόνασμα διαμορφώθηκε σ</w:t>
      </w:r>
      <w:r w:rsidR="00E445E3">
        <w:t>ε</w:t>
      </w:r>
      <w:r w:rsidRPr="000B7661">
        <w:t xml:space="preserve"> 4,7% του ΑΕΠ, παρά τα δημοσιονομικά μέτρα και τις παρεμβάσεις που υιοθετήθηκαν για την ενίσχυση των εισοδημάτων το 2024. Επίσης, ο λόγος του δημόσιου χρέους προς το ΑΕΠ υποχώρησε σε 154,2% το 2024 από 164,3% το 2023.</w:t>
      </w:r>
    </w:p>
    <w:p w14:paraId="7DAFD1E9" w14:textId="14207E58" w:rsidR="001E7346" w:rsidRDefault="001E7346" w:rsidP="00300BBF">
      <w:pPr>
        <w:pStyle w:val="4"/>
      </w:pPr>
      <w:bookmarkStart w:id="49" w:name="_Toc214473725"/>
      <w:r>
        <w:t>Οι εξελίξεις το 202</w:t>
      </w:r>
      <w:r w:rsidR="008D7BA6">
        <w:t>5</w:t>
      </w:r>
      <w:bookmarkEnd w:id="49"/>
    </w:p>
    <w:p w14:paraId="7051BD2F" w14:textId="06B3EDBC" w:rsidR="001E7346" w:rsidRPr="001E7346" w:rsidRDefault="008111D1" w:rsidP="00300BBF">
      <w:pPr>
        <w:pStyle w:val="5"/>
      </w:pPr>
      <w:bookmarkStart w:id="50" w:name="_Toc214473726"/>
      <w:r>
        <w:t>Το ΑΕΠ και οι συνιστώσες του</w:t>
      </w:r>
      <w:bookmarkEnd w:id="50"/>
    </w:p>
    <w:p w14:paraId="49E653B5" w14:textId="0DEEFE9A" w:rsidR="008D7BA6" w:rsidRPr="006F08DB" w:rsidRDefault="008D7BA6" w:rsidP="008D7BA6">
      <w:r w:rsidRPr="006F08DB">
        <w:t xml:space="preserve">Η παγκόσμια οικονομία συνεχίζει να λειτουργεί </w:t>
      </w:r>
      <w:r w:rsidR="006D3CBF" w:rsidRPr="006F08DB">
        <w:t xml:space="preserve">και το 2025 </w:t>
      </w:r>
      <w:r w:rsidRPr="006F08DB">
        <w:t xml:space="preserve">σε ένα περιβάλλον </w:t>
      </w:r>
      <w:r w:rsidR="009B7DE5">
        <w:t>σημαντικών</w:t>
      </w:r>
      <w:r w:rsidRPr="006F08DB">
        <w:t xml:space="preserve"> προκλήσεων και αβεβαιοτήτων. Η διατήρηση και σε ορισμένες περιπτώσεις η κλιμάκωση των γεωπολιτικών συγκρούσεων στην Ουκρανία και τη Μέση Ανατολή, η όξυνση του ανταγωνισμού μεταξύ ομάδων χωρών και η ενίσχυση του προστατευτισμού</w:t>
      </w:r>
      <w:r w:rsidR="007B6135">
        <w:t>,</w:t>
      </w:r>
      <w:r w:rsidRPr="006F08DB">
        <w:t xml:space="preserve"> μέσω της επιβολής δασμών</w:t>
      </w:r>
      <w:r w:rsidR="007B6135">
        <w:t>,</w:t>
      </w:r>
      <w:r w:rsidRPr="006F08DB">
        <w:t xml:space="preserve"> επηρεάζουν αρνητικά το διεθνές εμπόριο αποτελώντας τροχοπέδη για τις επενδύσεις και την παραγωγικότητα.</w:t>
      </w:r>
    </w:p>
    <w:p w14:paraId="67836474" w14:textId="5F2AC045" w:rsidR="008D7BA6" w:rsidRPr="006F08DB" w:rsidRDefault="008D7BA6" w:rsidP="003B2E40">
      <w:pPr>
        <w:spacing w:after="240"/>
      </w:pPr>
      <w:r>
        <w:t>Η</w:t>
      </w:r>
      <w:r w:rsidRPr="006F08DB">
        <w:t xml:space="preserve"> ελληνική οικονομία</w:t>
      </w:r>
      <w:r>
        <w:t>, π</w:t>
      </w:r>
      <w:r w:rsidRPr="006F08DB">
        <w:t xml:space="preserve">αρά </w:t>
      </w:r>
      <w:r>
        <w:t>τις αντιξοότητες του διεθνούς περιβάλλοντος</w:t>
      </w:r>
      <w:r w:rsidRPr="006F08DB">
        <w:t>, εξακολουθεί να επιδεικνύει αξιοσημείωτη ανθεκτικότητα καταγράφοντας ρυθμούς αύξησης του Α</w:t>
      </w:r>
      <w:r w:rsidR="002E29AF">
        <w:t xml:space="preserve">ΕΠ </w:t>
      </w:r>
      <w:r w:rsidRPr="006F08DB">
        <w:t>που υπερβαίνουν σταθερά τον μέσο όρο τόσο της Ευρωζώνης όσο και της Ε</w:t>
      </w:r>
      <w:r w:rsidR="002E29AF">
        <w:t>Ε</w:t>
      </w:r>
      <w:r w:rsidRPr="006F08DB">
        <w:t xml:space="preserve">. Ειδικότερα, κατά το </w:t>
      </w:r>
      <w:r w:rsidR="002E29AF">
        <w:t>2ο</w:t>
      </w:r>
      <w:r w:rsidRPr="006F08DB">
        <w:t xml:space="preserve"> τρίμηνο του 2025, σύμφωνα με τα στοιχεία της Ευρωπαϊκής Στατιστικής Υπηρεσίας (</w:t>
      </w:r>
      <w:r w:rsidRPr="006F08DB">
        <w:rPr>
          <w:lang w:val="en-US"/>
        </w:rPr>
        <w:t>Eurostat</w:t>
      </w:r>
      <w:r w:rsidRPr="006F08DB">
        <w:t xml:space="preserve">), το ΑΕΠ της Ελλάδας διαμορφώθηκε σε 1,7% σε ετήσια βάση έναντι 1,5% της Ευρωζώνης και 1,6% της ΕΕ, όπως αποτυπώνεται στο </w:t>
      </w:r>
      <w:r w:rsidR="00ED1E8A" w:rsidRPr="000D3127">
        <w:fldChar w:fldCharType="begin"/>
      </w:r>
      <w:r w:rsidR="00ED1E8A" w:rsidRPr="000D3127">
        <w:instrText xml:space="preserve"> REF _Ref118990358 \h  \* MERGEFORMAT </w:instrText>
      </w:r>
      <w:r w:rsidR="00ED1E8A" w:rsidRPr="000D3127">
        <w:fldChar w:fldCharType="separate"/>
      </w:r>
      <w:r w:rsidR="00E15678" w:rsidRPr="00E15678">
        <w:t>Διάγραμμα 1.2</w:t>
      </w:r>
      <w:r w:rsidR="00ED1E8A" w:rsidRPr="000D3127">
        <w:fldChar w:fldCharType="end"/>
      </w:r>
      <w:r w:rsidRPr="000D3127">
        <w:t>.</w:t>
      </w:r>
    </w:p>
    <w:p w14:paraId="51259439" w14:textId="49247FBB" w:rsidR="00665461" w:rsidRDefault="0015382E" w:rsidP="00FA4580">
      <w:pPr>
        <w:pStyle w:val="afe"/>
        <w:keepNext/>
        <w:spacing w:after="60" w:line="276" w:lineRule="auto"/>
        <w:rPr>
          <w:rFonts w:cs="Arial"/>
          <w:bCs w:val="0"/>
          <w:color w:val="000000"/>
          <w:sz w:val="18"/>
          <w:szCs w:val="18"/>
        </w:rPr>
      </w:pPr>
      <w:bookmarkStart w:id="51" w:name="_Ref118990358"/>
      <w:bookmarkStart w:id="52" w:name="_Ref119594754"/>
      <w:bookmarkStart w:id="53" w:name="_Toc118991068"/>
      <w:bookmarkStart w:id="54" w:name="_Toc214474697"/>
      <w:r w:rsidRPr="00C64DDF">
        <w:rPr>
          <w:rFonts w:cs="Arial"/>
          <w:bCs w:val="0"/>
          <w:color w:val="000000"/>
          <w:sz w:val="18"/>
          <w:szCs w:val="18"/>
        </w:rPr>
        <w:t>Διάγραμμα 1.</w:t>
      </w:r>
      <w:r w:rsidR="005B53F2" w:rsidRPr="00C64DDF">
        <w:rPr>
          <w:rFonts w:cs="Arial"/>
          <w:bCs w:val="0"/>
          <w:color w:val="000000"/>
          <w:sz w:val="18"/>
          <w:szCs w:val="18"/>
        </w:rPr>
        <w:fldChar w:fldCharType="begin"/>
      </w:r>
      <w:r w:rsidRPr="00C64DDF">
        <w:rPr>
          <w:rFonts w:cs="Arial"/>
          <w:bCs w:val="0"/>
          <w:color w:val="000000"/>
          <w:sz w:val="18"/>
          <w:szCs w:val="18"/>
        </w:rPr>
        <w:instrText xml:space="preserve"> SEQ Διάγραμμα_1. \* ARABIC </w:instrText>
      </w:r>
      <w:r w:rsidR="005B53F2" w:rsidRPr="00C64DDF">
        <w:rPr>
          <w:rFonts w:cs="Arial"/>
          <w:bCs w:val="0"/>
          <w:color w:val="000000"/>
          <w:sz w:val="18"/>
          <w:szCs w:val="18"/>
        </w:rPr>
        <w:fldChar w:fldCharType="separate"/>
      </w:r>
      <w:r w:rsidR="00E15678">
        <w:rPr>
          <w:rFonts w:cs="Arial"/>
          <w:bCs w:val="0"/>
          <w:noProof/>
          <w:color w:val="000000"/>
          <w:sz w:val="18"/>
          <w:szCs w:val="18"/>
        </w:rPr>
        <w:t>2</w:t>
      </w:r>
      <w:r w:rsidR="005B53F2" w:rsidRPr="00C64DDF">
        <w:rPr>
          <w:rFonts w:cs="Arial"/>
          <w:bCs w:val="0"/>
          <w:color w:val="000000"/>
          <w:sz w:val="18"/>
          <w:szCs w:val="18"/>
        </w:rPr>
        <w:fldChar w:fldCharType="end"/>
      </w:r>
      <w:bookmarkEnd w:id="51"/>
      <w:bookmarkEnd w:id="52"/>
      <w:r w:rsidRPr="00C64DDF">
        <w:rPr>
          <w:rFonts w:cs="Arial"/>
          <w:bCs w:val="0"/>
          <w:color w:val="000000"/>
          <w:sz w:val="18"/>
          <w:szCs w:val="18"/>
        </w:rPr>
        <w:t xml:space="preserve">.: </w:t>
      </w:r>
      <w:r w:rsidR="00160CB2" w:rsidRPr="00C64DDF">
        <w:rPr>
          <w:rFonts w:cs="Arial"/>
          <w:bCs w:val="0"/>
          <w:color w:val="000000"/>
          <w:sz w:val="18"/>
          <w:szCs w:val="18"/>
        </w:rPr>
        <w:t>Ρυθμός μεταβολής του Ακαθάριστου Εγχώριου Προϊόντος κατά το δεύτερο τρίμηνο του 202</w:t>
      </w:r>
      <w:r w:rsidR="008D7BA6" w:rsidRPr="00C64DDF">
        <w:rPr>
          <w:rFonts w:cs="Arial"/>
          <w:bCs w:val="0"/>
          <w:color w:val="000000"/>
          <w:sz w:val="18"/>
          <w:szCs w:val="18"/>
        </w:rPr>
        <w:t>5</w:t>
      </w:r>
      <w:r w:rsidR="00160CB2" w:rsidRPr="00C64DDF">
        <w:rPr>
          <w:rFonts w:cs="Arial"/>
          <w:bCs w:val="0"/>
          <w:color w:val="000000"/>
          <w:sz w:val="18"/>
          <w:szCs w:val="18"/>
        </w:rPr>
        <w:t xml:space="preserve"> στα κράτη</w:t>
      </w:r>
      <w:r w:rsidR="00537B26">
        <w:rPr>
          <w:rFonts w:cs="Arial"/>
          <w:bCs w:val="0"/>
          <w:color w:val="000000"/>
          <w:sz w:val="18"/>
          <w:szCs w:val="18"/>
        </w:rPr>
        <w:t xml:space="preserve"> -</w:t>
      </w:r>
      <w:r w:rsidR="00160CB2" w:rsidRPr="00C64DDF">
        <w:rPr>
          <w:rFonts w:cs="Arial"/>
          <w:bCs w:val="0"/>
          <w:color w:val="000000"/>
          <w:sz w:val="18"/>
          <w:szCs w:val="18"/>
        </w:rPr>
        <w:t xml:space="preserve"> μέλη της ΕΕ (% μεταβολή έναντι του αντίστοιχου τριμήνου του 202</w:t>
      </w:r>
      <w:r w:rsidR="008D7BA6" w:rsidRPr="00C64DDF">
        <w:rPr>
          <w:rFonts w:cs="Arial"/>
          <w:bCs w:val="0"/>
          <w:color w:val="000000"/>
          <w:sz w:val="18"/>
          <w:szCs w:val="18"/>
        </w:rPr>
        <w:t>4</w:t>
      </w:r>
      <w:r w:rsidR="00160CB2" w:rsidRPr="00C64DDF">
        <w:rPr>
          <w:rFonts w:cs="Arial"/>
          <w:bCs w:val="0"/>
          <w:color w:val="000000"/>
          <w:sz w:val="18"/>
          <w:szCs w:val="18"/>
        </w:rPr>
        <w:t>)</w:t>
      </w:r>
      <w:bookmarkEnd w:id="53"/>
      <w:bookmarkEnd w:id="54"/>
    </w:p>
    <w:p w14:paraId="27072633" w14:textId="142CB56D" w:rsidR="00144130" w:rsidRDefault="00144130" w:rsidP="0084739E">
      <w:pPr>
        <w:tabs>
          <w:tab w:val="left" w:pos="2127"/>
        </w:tabs>
        <w:spacing w:after="0"/>
        <w:jc w:val="center"/>
      </w:pPr>
      <w:r>
        <w:rPr>
          <w:noProof/>
        </w:rPr>
        <w:drawing>
          <wp:inline distT="0" distB="0" distL="0" distR="0" wp14:anchorId="1238D1A5" wp14:editId="62096DA9">
            <wp:extent cx="5759450" cy="2631882"/>
            <wp:effectExtent l="0" t="0" r="12700" b="16510"/>
            <wp:docPr id="21" name="Γράφημα 21">
              <a:extLst xmlns:a="http://schemas.openxmlformats.org/drawingml/2006/main">
                <a:ext uri="{FF2B5EF4-FFF2-40B4-BE49-F238E27FC236}">
                  <a16:creationId xmlns:a16="http://schemas.microsoft.com/office/drawing/2014/main" id="{84A0940F-D5AA-46BD-A7D1-D7E9C8481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B85944" w14:textId="32C802E1" w:rsidR="00ED1E8A" w:rsidRPr="006F08DB" w:rsidRDefault="00ED1E8A" w:rsidP="00ED1E8A">
      <w:pPr>
        <w:spacing w:before="240" w:after="240"/>
      </w:pPr>
      <w:r w:rsidRPr="006F08DB">
        <w:t xml:space="preserve">Η αύξηση του ΑΕΠ κατά 1,7% το </w:t>
      </w:r>
      <w:r w:rsidR="002E29AF">
        <w:t>2ο</w:t>
      </w:r>
      <w:r w:rsidRPr="006F08DB">
        <w:t xml:space="preserve"> τρίμηνο του 2025, παρά τη συνεχιζόμενη αστάθεια αναφορικά με τις δασμολογικές πολιτικές σε παγκόσμιο επίπεδο, οφείλεται </w:t>
      </w:r>
      <w:r>
        <w:t xml:space="preserve">κυρίως </w:t>
      </w:r>
      <w:r w:rsidRPr="006F08DB">
        <w:t xml:space="preserve">στην </w:t>
      </w:r>
      <w:r w:rsidR="002E29AF">
        <w:t>επίδραση</w:t>
      </w:r>
      <w:r w:rsidRPr="006F08DB">
        <w:t xml:space="preserve"> των επενδύσεων (ακαθάριστος σχηματισμός παγίου κεφαλαίου) </w:t>
      </w:r>
      <w:r w:rsidRPr="006F08DB">
        <w:rPr>
          <w:lang w:val="x-none"/>
        </w:rPr>
        <w:t>κατά</w:t>
      </w:r>
      <w:r w:rsidRPr="006F08DB">
        <w:rPr>
          <w:color w:val="FF0000"/>
          <w:lang w:val="x-none"/>
        </w:rPr>
        <w:t xml:space="preserve"> </w:t>
      </w:r>
      <w:r w:rsidRPr="006F08DB">
        <w:t>μία (</w:t>
      </w:r>
      <w:r w:rsidRPr="006F08DB">
        <w:rPr>
          <w:lang w:val="x-none"/>
        </w:rPr>
        <w:t>1</w:t>
      </w:r>
      <w:r w:rsidRPr="006F08DB">
        <w:t>)</w:t>
      </w:r>
      <w:r w:rsidRPr="006F08DB">
        <w:rPr>
          <w:lang w:val="x-none"/>
        </w:rPr>
        <w:t xml:space="preserve"> ποσοστιαία μονάδα</w:t>
      </w:r>
      <w:r>
        <w:t xml:space="preserve"> </w:t>
      </w:r>
      <w:r w:rsidRPr="006F08DB">
        <w:t xml:space="preserve">και της ιδιωτικής κατανάλωσης κατά 0,8 </w:t>
      </w:r>
      <w:r w:rsidRPr="006F08DB">
        <w:rPr>
          <w:lang w:val="x-none"/>
        </w:rPr>
        <w:t xml:space="preserve">ποσοστιαίες </w:t>
      </w:r>
      <w:r w:rsidRPr="000D3127">
        <w:rPr>
          <w:lang w:val="x-none"/>
        </w:rPr>
        <w:t>μονάδες</w:t>
      </w:r>
      <w:r w:rsidRPr="000D3127">
        <w:t xml:space="preserve"> (</w:t>
      </w:r>
      <w:r w:rsidR="009A6075" w:rsidRPr="000D3127">
        <w:fldChar w:fldCharType="begin"/>
      </w:r>
      <w:r w:rsidR="009A6075" w:rsidRPr="000D3127">
        <w:instrText xml:space="preserve"> REF _Ref150422097 \h  \* MERGEFORMAT </w:instrText>
      </w:r>
      <w:r w:rsidR="009A6075" w:rsidRPr="000D3127">
        <w:fldChar w:fldCharType="separate"/>
      </w:r>
      <w:r w:rsidR="00E15678" w:rsidRPr="00E15678">
        <w:t>Διάγραμμα 1.3</w:t>
      </w:r>
      <w:r w:rsidR="009A6075" w:rsidRPr="000D3127">
        <w:fldChar w:fldCharType="end"/>
      </w:r>
      <w:r w:rsidR="00AE4499" w:rsidRPr="000D3127">
        <w:t>.</w:t>
      </w:r>
      <w:r w:rsidRPr="000D3127">
        <w:t>).</w:t>
      </w:r>
      <w:r w:rsidRPr="000D3127">
        <w:rPr>
          <w:lang w:val="x-none"/>
        </w:rPr>
        <w:t xml:space="preserve"> Οι εξαγωγές</w:t>
      </w:r>
      <w:r w:rsidRPr="006F08DB">
        <w:rPr>
          <w:lang w:val="x-none"/>
        </w:rPr>
        <w:t xml:space="preserve"> (αγαθών και υπηρεσιών) επέδρασαν</w:t>
      </w:r>
      <w:r w:rsidRPr="006F08DB">
        <w:t xml:space="preserve"> επίσης </w:t>
      </w:r>
      <w:r w:rsidRPr="006F08DB">
        <w:rPr>
          <w:lang w:val="x-none"/>
        </w:rPr>
        <w:t xml:space="preserve">θετικά στο ΑΕΠ του </w:t>
      </w:r>
      <w:r w:rsidR="002E29AF">
        <w:t>2ου</w:t>
      </w:r>
      <w:r w:rsidRPr="006F08DB">
        <w:rPr>
          <w:lang w:val="x-none"/>
        </w:rPr>
        <w:t xml:space="preserve"> τριμήνου του 2025</w:t>
      </w:r>
      <w:r>
        <w:t xml:space="preserve"> κατά </w:t>
      </w:r>
      <w:r w:rsidRPr="006F08DB">
        <w:rPr>
          <w:lang w:val="x-none"/>
        </w:rPr>
        <w:t>0,7 ποσοστιαίες μονάδες λόγω της αύξησης</w:t>
      </w:r>
      <w:r>
        <w:t xml:space="preserve"> </w:t>
      </w:r>
      <w:r w:rsidRPr="006F08DB">
        <w:rPr>
          <w:lang w:val="x-none"/>
        </w:rPr>
        <w:t>τ</w:t>
      </w:r>
      <w:r>
        <w:t xml:space="preserve">ων </w:t>
      </w:r>
      <w:r w:rsidRPr="006F08DB">
        <w:rPr>
          <w:lang w:val="x-none"/>
        </w:rPr>
        <w:t>εξαγωγ</w:t>
      </w:r>
      <w:r>
        <w:t xml:space="preserve">ών </w:t>
      </w:r>
      <w:r w:rsidRPr="006F08DB">
        <w:rPr>
          <w:lang w:val="x-none"/>
        </w:rPr>
        <w:t>υπηρεσιών</w:t>
      </w:r>
      <w:r>
        <w:t xml:space="preserve"> (κυρίως μέσω του τουρισμού)</w:t>
      </w:r>
      <w:r w:rsidRPr="006F08DB">
        <w:rPr>
          <w:lang w:val="x-none"/>
        </w:rPr>
        <w:t>, η οποία αντιστάθμισε πλήρως τη μείωση</w:t>
      </w:r>
      <w:r>
        <w:t xml:space="preserve"> (</w:t>
      </w:r>
      <w:r w:rsidRPr="006F08DB">
        <w:rPr>
          <w:lang w:val="x-none"/>
        </w:rPr>
        <w:t>κατά 0,2 ποσοστιαίες μονάδες</w:t>
      </w:r>
      <w:r>
        <w:t xml:space="preserve">) </w:t>
      </w:r>
      <w:r w:rsidRPr="006F08DB">
        <w:rPr>
          <w:lang w:val="x-none"/>
        </w:rPr>
        <w:t xml:space="preserve">των εξαγωγών αγαθών. Οι εισαγωγές αγαθών και υπηρεσιών, </w:t>
      </w:r>
      <w:r w:rsidRPr="006F08DB">
        <w:rPr>
          <w:lang w:val="x-none"/>
        </w:rPr>
        <w:lastRenderedPageBreak/>
        <w:t xml:space="preserve">καταγράφοντας μείωση 3,2% (-4,8% στα αγαθά και αύξηση 1,5% στις υπηρεσίες), </w:t>
      </w:r>
      <w:r w:rsidR="00916DB7">
        <w:t xml:space="preserve">επενήργησαν </w:t>
      </w:r>
      <w:r w:rsidRPr="006F08DB">
        <w:rPr>
          <w:lang w:val="x-none"/>
        </w:rPr>
        <w:t xml:space="preserve">θετικά </w:t>
      </w:r>
      <w:r w:rsidR="00916DB7">
        <w:rPr>
          <w:lang w:val="x-none"/>
        </w:rPr>
        <w:t>στ</w:t>
      </w:r>
      <w:r w:rsidR="00916DB7">
        <w:t xml:space="preserve">ην επίδραση των </w:t>
      </w:r>
      <w:r w:rsidRPr="006F08DB">
        <w:rPr>
          <w:lang w:val="x-none"/>
        </w:rPr>
        <w:t>καθαρ</w:t>
      </w:r>
      <w:r w:rsidR="00916DB7">
        <w:t>ών</w:t>
      </w:r>
      <w:r w:rsidRPr="006F08DB">
        <w:rPr>
          <w:lang w:val="x-none"/>
        </w:rPr>
        <w:t xml:space="preserve"> εξαγωγ</w:t>
      </w:r>
      <w:r w:rsidR="00916DB7">
        <w:t xml:space="preserve">ών </w:t>
      </w:r>
      <w:r w:rsidRPr="006F08DB">
        <w:rPr>
          <w:lang w:val="x-none"/>
        </w:rPr>
        <w:t>στο ΑΕΠ κατά 2,2 ποσοστιαίες μονάδες.</w:t>
      </w:r>
      <w:r>
        <w:t xml:space="preserve"> Η δημόσια κατανάλωση </w:t>
      </w:r>
      <w:r w:rsidR="00E210BB">
        <w:t>συνεισέφερε</w:t>
      </w:r>
      <w:r w:rsidR="007B6135">
        <w:t>,</w:t>
      </w:r>
      <w:r w:rsidR="00E210BB">
        <w:t xml:space="preserve"> </w:t>
      </w:r>
      <w:r w:rsidR="007B6135">
        <w:t>επίσης,</w:t>
      </w:r>
      <w:r>
        <w:t xml:space="preserve"> </w:t>
      </w:r>
      <w:r w:rsidR="00E210BB">
        <w:t>σ</w:t>
      </w:r>
      <w:r>
        <w:t>την αύξηση του ΑΕΠ κατά 0,1 ποσοστιαία μονάδα.</w:t>
      </w:r>
    </w:p>
    <w:p w14:paraId="20563215" w14:textId="659EE426" w:rsidR="00431B5F" w:rsidRDefault="00431B5F" w:rsidP="00FC7371">
      <w:pPr>
        <w:spacing w:after="60" w:line="276" w:lineRule="auto"/>
        <w:rPr>
          <w:rFonts w:cs="Arial"/>
          <w:b/>
          <w:color w:val="000000"/>
          <w:sz w:val="18"/>
          <w:szCs w:val="18"/>
        </w:rPr>
      </w:pPr>
      <w:bookmarkStart w:id="55" w:name="_Ref150422097"/>
      <w:bookmarkStart w:id="56" w:name="_Toc214474698"/>
      <w:r w:rsidRPr="009A6075">
        <w:rPr>
          <w:b/>
          <w:sz w:val="18"/>
          <w:szCs w:val="18"/>
        </w:rPr>
        <w:t>Διάγραμμα 1.</w:t>
      </w:r>
      <w:r w:rsidRPr="009A6075">
        <w:rPr>
          <w:b/>
          <w:sz w:val="18"/>
          <w:szCs w:val="18"/>
        </w:rPr>
        <w:fldChar w:fldCharType="begin"/>
      </w:r>
      <w:r w:rsidRPr="009A6075">
        <w:rPr>
          <w:b/>
          <w:sz w:val="18"/>
          <w:szCs w:val="18"/>
        </w:rPr>
        <w:instrText xml:space="preserve"> SEQ Διάγραμμα_1. \* ARABIC </w:instrText>
      </w:r>
      <w:r w:rsidRPr="009A6075">
        <w:rPr>
          <w:b/>
          <w:sz w:val="18"/>
          <w:szCs w:val="18"/>
        </w:rPr>
        <w:fldChar w:fldCharType="separate"/>
      </w:r>
      <w:r w:rsidR="00E15678">
        <w:rPr>
          <w:b/>
          <w:noProof/>
          <w:sz w:val="18"/>
          <w:szCs w:val="18"/>
        </w:rPr>
        <w:t>3</w:t>
      </w:r>
      <w:r w:rsidRPr="009A6075">
        <w:rPr>
          <w:b/>
          <w:sz w:val="18"/>
          <w:szCs w:val="18"/>
        </w:rPr>
        <w:fldChar w:fldCharType="end"/>
      </w:r>
      <w:bookmarkEnd w:id="55"/>
      <w:r w:rsidRPr="009A6075">
        <w:rPr>
          <w:b/>
          <w:sz w:val="18"/>
          <w:szCs w:val="18"/>
        </w:rPr>
        <w:t>.</w:t>
      </w:r>
      <w:r w:rsidRPr="009A6075">
        <w:rPr>
          <w:rFonts w:cs="Arial"/>
          <w:b/>
          <w:sz w:val="18"/>
          <w:szCs w:val="18"/>
        </w:rPr>
        <w:t>:</w:t>
      </w:r>
      <w:r w:rsidRPr="009A6075">
        <w:rPr>
          <w:rFonts w:cs="Arial"/>
          <w:b/>
          <w:color w:val="000000"/>
          <w:sz w:val="18"/>
          <w:szCs w:val="18"/>
        </w:rPr>
        <w:t xml:space="preserve"> Εξέλιξη συμβολής συνιστωσών στο ΑΕΠ (τριμηνιαία στοιχεία)</w:t>
      </w:r>
      <w:bookmarkEnd w:id="56"/>
    </w:p>
    <w:p w14:paraId="772FFC4F" w14:textId="426F64A0" w:rsidR="009A6075" w:rsidRDefault="009A6075" w:rsidP="0084739E">
      <w:pPr>
        <w:tabs>
          <w:tab w:val="left" w:pos="2127"/>
        </w:tabs>
        <w:spacing w:after="0" w:line="276" w:lineRule="auto"/>
        <w:jc w:val="center"/>
        <w:rPr>
          <w:rFonts w:cs="Arial"/>
          <w:b/>
          <w:color w:val="000000"/>
          <w:sz w:val="18"/>
          <w:szCs w:val="18"/>
        </w:rPr>
      </w:pPr>
      <w:r w:rsidRPr="009A6075">
        <w:rPr>
          <w:noProof/>
          <w:sz w:val="14"/>
        </w:rPr>
        <w:drawing>
          <wp:inline distT="0" distB="0" distL="0" distR="0" wp14:anchorId="467412FC" wp14:editId="7BC274E8">
            <wp:extent cx="5759450" cy="3220278"/>
            <wp:effectExtent l="0" t="0" r="12700" b="18415"/>
            <wp:docPr id="26" name="Γράφημα 26">
              <a:extLst xmlns:a="http://schemas.openxmlformats.org/drawingml/2006/main">
                <a:ext uri="{FF2B5EF4-FFF2-40B4-BE49-F238E27FC236}">
                  <a16:creationId xmlns:a16="http://schemas.microsoft.com/office/drawing/2014/main" id="{53526814-250A-4BAF-9B93-CE3BA7678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BB6F257" w14:textId="4FD4A1CA" w:rsidR="00AE4499" w:rsidRPr="006F08DB" w:rsidRDefault="00AE4499" w:rsidP="00AE4499">
      <w:pPr>
        <w:spacing w:before="240"/>
      </w:pPr>
      <w:r w:rsidRPr="006F08DB">
        <w:t xml:space="preserve">Σύμφωνα με τα τελευταία διαθέσιμα στοιχεία της ΕΛΣΤΑΤ (σταθερές τιμές, ετήσιες μεταβολές), σε όρους συνιστωσών του ΑΕΠ οι επενδύσεις στο </w:t>
      </w:r>
      <w:r w:rsidR="00E210BB">
        <w:t>2ο</w:t>
      </w:r>
      <w:r w:rsidRPr="006F08DB">
        <w:t xml:space="preserve"> τρίμηνο του 2025 ανέκαμψαν σημαντικά σε σχέση με το </w:t>
      </w:r>
      <w:r w:rsidR="00E210BB">
        <w:t>1ο</w:t>
      </w:r>
      <w:r w:rsidRPr="006F08DB">
        <w:t xml:space="preserve"> τρίμηνο του 2025, παρουσιάζοντας αύξηση</w:t>
      </w:r>
      <w:r>
        <w:t xml:space="preserve"> </w:t>
      </w:r>
      <w:r w:rsidRPr="006F08DB">
        <w:t>6,5% σε ετήσια βάση. Σημαντική συμβολή σε αυτή την εξέλιξη είχαν οι εισροές από το ΑΠΔΕ, στο οποίο περιλαμβάνονται και οι εισροές από τον Ευρωπαϊκό Μηχανισμό Ανάκαμψης και Ανθεκτικότητας</w:t>
      </w:r>
      <w:r w:rsidR="00E210BB">
        <w:t xml:space="preserve"> </w:t>
      </w:r>
      <w:r w:rsidR="00E210BB" w:rsidRPr="00E210BB">
        <w:t>(</w:t>
      </w:r>
      <w:r w:rsidR="00E210BB">
        <w:rPr>
          <w:lang w:val="en-US"/>
        </w:rPr>
        <w:t>RRF</w:t>
      </w:r>
      <w:r w:rsidR="00E210BB" w:rsidRPr="00E210BB">
        <w:t>)</w:t>
      </w:r>
      <w:r w:rsidRPr="006F08DB">
        <w:t xml:space="preserve">. Οι </w:t>
      </w:r>
      <w:r w:rsidR="00E210BB">
        <w:t xml:space="preserve">μεγαλύτερες </w:t>
      </w:r>
      <w:r w:rsidRPr="006F08DB">
        <w:t>μεταβολές εντοπίζονται στις κατηγορίες «Μεταφορικός εξοπλισμός»</w:t>
      </w:r>
      <w:r w:rsidR="00E210BB">
        <w:t xml:space="preserve"> (</w:t>
      </w:r>
      <w:r w:rsidRPr="006F08DB">
        <w:t>αύξηση 30,4%</w:t>
      </w:r>
      <w:r w:rsidR="00E210BB">
        <w:t>)</w:t>
      </w:r>
      <w:r w:rsidRPr="006F08DB">
        <w:t>, «Κατοικίες» (αύξηση 15,2%), «Αγροτικά προϊόντα» (αύξηση 8,3%) και «Άλλες κατασκευές», όπου περιλαμβάνονται ιδίως παραγωγικές επενδύσεις (αύξηση 7,7%). Συνολικά για το 2025 εκτιμάται αύξηση των επενδύσεων κατά 5</w:t>
      </w:r>
      <w:r>
        <w:t>,</w:t>
      </w:r>
      <w:r w:rsidRPr="006F08DB">
        <w:t xml:space="preserve">7% έναντι </w:t>
      </w:r>
      <w:r w:rsidR="00E210BB">
        <w:t xml:space="preserve">της </w:t>
      </w:r>
      <w:r w:rsidRPr="006F08DB">
        <w:t>αύξησης 4,5%</w:t>
      </w:r>
      <w:r w:rsidR="00E210BB">
        <w:t>,</w:t>
      </w:r>
      <w:r w:rsidRPr="006F08DB">
        <w:t xml:space="preserve"> </w:t>
      </w:r>
      <w:r w:rsidR="00E210BB">
        <w:t>η οποία</w:t>
      </w:r>
      <w:r w:rsidRPr="006F08DB">
        <w:t xml:space="preserve"> σημειώθηκε το 2024.</w:t>
      </w:r>
    </w:p>
    <w:p w14:paraId="647BE891" w14:textId="7C1E7798" w:rsidR="00AE4499" w:rsidRPr="006F08DB" w:rsidRDefault="00C67A7A" w:rsidP="00AE4499">
      <w:r>
        <w:t>Την ίδια περίοδο η</w:t>
      </w:r>
      <w:r w:rsidR="00AE4499" w:rsidRPr="006F08DB">
        <w:t xml:space="preserve"> ιδιωτική κατανάλωση κατέγραψε αύξηση 1,1% σε ετήσια βάση. Η συνεχιζόμενη αύξηση της ιδιωτικής κατανάλωσης και στο </w:t>
      </w:r>
      <w:r w:rsidR="00E210BB">
        <w:t>2ο</w:t>
      </w:r>
      <w:r w:rsidR="00AE4499" w:rsidRPr="006F08DB">
        <w:t xml:space="preserve"> τρίμηνο του 2025 συνδέεται άμεσα με τις θετικές εξελίξεις στην αγορά εργασίας και την περαιτέρω ενίσχυση της απασχόλησης</w:t>
      </w:r>
      <w:r w:rsidR="00AE4499">
        <w:t>,</w:t>
      </w:r>
      <w:r w:rsidR="00AE4499" w:rsidRPr="006F08DB">
        <w:t xml:space="preserve"> η οποία προσθέτει εισοδήματα στα νοικοκυριά</w:t>
      </w:r>
      <w:r w:rsidR="00AE4499">
        <w:t>.</w:t>
      </w:r>
      <w:r w:rsidR="00AE4499" w:rsidRPr="006F08DB">
        <w:t xml:space="preserve"> </w:t>
      </w:r>
      <w:r w:rsidR="00AE4499">
        <w:t>Η</w:t>
      </w:r>
      <w:r w:rsidR="00AE4499" w:rsidRPr="006F08DB">
        <w:t xml:space="preserve"> άνοδος του μέσου μισθού, τόσο στον ιδιωτικό όσο και στον δημόσιο τομέα, συμβάλλει </w:t>
      </w:r>
      <w:r w:rsidR="00AE4499">
        <w:t xml:space="preserve">επίσης </w:t>
      </w:r>
      <w:r w:rsidR="00AE4499" w:rsidRPr="006F08DB">
        <w:t xml:space="preserve">σημαντικά στην ενίσχυση της κατανάλωσης και στην ομαλοποίηση των επιπτώσεων από τις πληθωριστικές πιέσεις. </w:t>
      </w:r>
      <w:bookmarkStart w:id="57" w:name="_Hlk212130935"/>
      <w:r w:rsidR="00AE4499" w:rsidRPr="006F08DB">
        <w:t xml:space="preserve">Συνολικά για το 2025 εκτιμάται </w:t>
      </w:r>
      <w:bookmarkEnd w:id="57"/>
      <w:r w:rsidR="00AE4499" w:rsidRPr="006F08DB">
        <w:t>αύξηση της ιδιωτικής κατανάλωσης κατά 1,9%</w:t>
      </w:r>
      <w:r w:rsidR="00AE4499">
        <w:t>,</w:t>
      </w:r>
      <w:r w:rsidR="00AE4499" w:rsidRPr="006F08DB">
        <w:t xml:space="preserve"> υποστηριζόμενη και από τις κυβερνητικές παρεμβάσεις που εφαρμόζονται στο </w:t>
      </w:r>
      <w:r w:rsidR="007349A6">
        <w:t>4ο</w:t>
      </w:r>
      <w:r w:rsidR="00AE4499" w:rsidRPr="006F08DB">
        <w:t xml:space="preserve"> τρίμηνο του 2025 έναντι </w:t>
      </w:r>
      <w:r w:rsidR="007349A6">
        <w:t xml:space="preserve">της </w:t>
      </w:r>
      <w:r w:rsidR="00AE4499" w:rsidRPr="006F08DB">
        <w:t>αύξησης 2,4%</w:t>
      </w:r>
      <w:r w:rsidR="007349A6">
        <w:t xml:space="preserve">, η οποία κατεγράφη </w:t>
      </w:r>
      <w:r w:rsidR="00AE4499" w:rsidRPr="006F08DB">
        <w:t>το 2024.</w:t>
      </w:r>
    </w:p>
    <w:p w14:paraId="0095F159" w14:textId="4CFA2AB7" w:rsidR="00AE4499" w:rsidRPr="006F08DB" w:rsidRDefault="00AE4499" w:rsidP="00AE4499">
      <w:r w:rsidRPr="006F08DB">
        <w:t xml:space="preserve">Η δημόσια κατανάλωση επέδρασε θετικά στην ανάπτυξη του </w:t>
      </w:r>
      <w:r w:rsidR="007F5884">
        <w:t>2ου</w:t>
      </w:r>
      <w:r w:rsidRPr="006F08DB">
        <w:t xml:space="preserve"> τριμήνου του 2025, </w:t>
      </w:r>
      <w:r>
        <w:t>παρουσιάζοντας αύξηση 0</w:t>
      </w:r>
      <w:r w:rsidRPr="006F08DB">
        <w:t xml:space="preserve">,7% σε σχέση με το </w:t>
      </w:r>
      <w:r w:rsidR="007F5884">
        <w:t>2ο</w:t>
      </w:r>
      <w:r w:rsidRPr="006F08DB">
        <w:t xml:space="preserve"> τρίμηνο του 2024. </w:t>
      </w:r>
      <w:bookmarkStart w:id="58" w:name="_Hlk212131488"/>
      <w:r w:rsidRPr="006F08DB">
        <w:t xml:space="preserve">Συνολικά για το 2025 εκτιμάται αύξηση </w:t>
      </w:r>
      <w:bookmarkEnd w:id="58"/>
      <w:r w:rsidRPr="006F08DB">
        <w:t>της δημόσιας κατανάλωσης κατά 1,4% έναντι μείωσης 2,6% το 2024.</w:t>
      </w:r>
    </w:p>
    <w:p w14:paraId="1358A1AD" w14:textId="7A0CCB8D" w:rsidR="00AE4499" w:rsidRPr="006F08DB" w:rsidRDefault="00AE4499" w:rsidP="00AE4499">
      <w:pPr>
        <w:rPr>
          <w:lang w:val="x-none"/>
        </w:rPr>
      </w:pPr>
      <w:r w:rsidRPr="006F08DB">
        <w:t>Ο</w:t>
      </w:r>
      <w:r w:rsidRPr="006F08DB">
        <w:rPr>
          <w:lang w:val="x-none"/>
        </w:rPr>
        <w:t>ι εξαγωγές αγαθών και υπηρεσιών συνέχισαν την ανοδική τους πορεία</w:t>
      </w:r>
      <w:r w:rsidRPr="006F08DB">
        <w:t xml:space="preserve"> σ</w:t>
      </w:r>
      <w:r w:rsidRPr="006F08DB">
        <w:rPr>
          <w:lang w:val="x-none"/>
        </w:rPr>
        <w:t xml:space="preserve">το </w:t>
      </w:r>
      <w:r w:rsidR="007F5884">
        <w:t>2ο</w:t>
      </w:r>
      <w:r w:rsidRPr="006F08DB">
        <w:rPr>
          <w:lang w:val="x-none"/>
        </w:rPr>
        <w:t xml:space="preserve"> τρίμηνο του 2025</w:t>
      </w:r>
      <w:r w:rsidRPr="006F08DB">
        <w:t xml:space="preserve"> </w:t>
      </w:r>
      <w:r w:rsidRPr="006F08DB">
        <w:rPr>
          <w:lang w:val="x-none"/>
        </w:rPr>
        <w:t xml:space="preserve">καταγράφοντας αύξηση 1,9% έναντι του </w:t>
      </w:r>
      <w:r w:rsidR="007F5884">
        <w:t>2ου</w:t>
      </w:r>
      <w:r w:rsidRPr="006F08DB">
        <w:t xml:space="preserve"> </w:t>
      </w:r>
      <w:r w:rsidRPr="006F08DB">
        <w:rPr>
          <w:lang w:val="x-none"/>
        </w:rPr>
        <w:t>τριμήνου του 2024. Η άνοδος αυτή οφείλεται κυρίως στις εξαγωγές υπηρεσιών, οι οποίες αυξήθηκαν κατά 3,9% λόγω της συνεχιζόμενης ισχυρής απόδοσης του τουρισμού και των αντίστοιχων υψηλών τουριστικών εισπράξεων.</w:t>
      </w:r>
      <w:r w:rsidRPr="006F08DB">
        <w:t xml:space="preserve"> </w:t>
      </w:r>
      <w:bookmarkStart w:id="59" w:name="_Hlk212131756"/>
      <w:r w:rsidRPr="006F08DB">
        <w:t xml:space="preserve">Συνολικά για το 2025 εκτιμάται </w:t>
      </w:r>
      <w:bookmarkEnd w:id="59"/>
      <w:r w:rsidRPr="006F08DB">
        <w:lastRenderedPageBreak/>
        <w:t>αύξηση των εξαγωγών αγαθών και υπηρεσιών κατά 2,2% (0,8% για τ</w:t>
      </w:r>
      <w:r>
        <w:t xml:space="preserve">α αγαθά </w:t>
      </w:r>
      <w:r w:rsidRPr="006F08DB">
        <w:t xml:space="preserve">και 3,3% για </w:t>
      </w:r>
      <w:r>
        <w:t>τις υπηρεσίες)</w:t>
      </w:r>
      <w:r w:rsidRPr="006F08DB">
        <w:t xml:space="preserve"> έναντι αύξησης 1,0% το 2024.</w:t>
      </w:r>
    </w:p>
    <w:p w14:paraId="4A3F221F" w14:textId="656751D6" w:rsidR="00AE4499" w:rsidRPr="006F08DB" w:rsidRDefault="00AE4499" w:rsidP="00AE4499">
      <w:pPr>
        <w:rPr>
          <w:lang w:val="x-none"/>
        </w:rPr>
      </w:pPr>
      <w:r w:rsidRPr="006F08DB">
        <w:rPr>
          <w:lang w:val="x-none"/>
        </w:rPr>
        <w:t xml:space="preserve">Οι εισαγωγές αγαθών και υπηρεσιών το </w:t>
      </w:r>
      <w:r w:rsidR="007F5884">
        <w:t>2ο</w:t>
      </w:r>
      <w:r w:rsidRPr="006F08DB">
        <w:rPr>
          <w:lang w:val="x-none"/>
        </w:rPr>
        <w:t xml:space="preserve"> τρίμηνο του 2025 παρουσίασαν μείωση κατά 3,2% σε </w:t>
      </w:r>
      <w:r w:rsidR="006271F5">
        <w:t>σύγκριση</w:t>
      </w:r>
      <w:r w:rsidRPr="006F08DB">
        <w:rPr>
          <w:lang w:val="x-none"/>
        </w:rPr>
        <w:t xml:space="preserve"> με το </w:t>
      </w:r>
      <w:r w:rsidR="006271F5">
        <w:t>2ο</w:t>
      </w:r>
      <w:r w:rsidRPr="006F08DB">
        <w:rPr>
          <w:lang w:val="x-none"/>
        </w:rPr>
        <w:t xml:space="preserve"> τρίμηνο του 2024, η οποία οφείλεται στη μείωση (4,8%) </w:t>
      </w:r>
      <w:r>
        <w:rPr>
          <w:lang w:val="x-none"/>
        </w:rPr>
        <w:t>της</w:t>
      </w:r>
      <w:r>
        <w:t xml:space="preserve"> συνιστώσας </w:t>
      </w:r>
      <w:r w:rsidRPr="006F08DB">
        <w:rPr>
          <w:lang w:val="x-none"/>
        </w:rPr>
        <w:t>των αγαθών, συ</w:t>
      </w:r>
      <w:r w:rsidR="007B6135">
        <w:t>ντελώντας</w:t>
      </w:r>
      <w:r w:rsidRPr="006F08DB">
        <w:rPr>
          <w:lang w:val="x-none"/>
        </w:rPr>
        <w:t xml:space="preserve"> στη βελτίωση του </w:t>
      </w:r>
      <w:r>
        <w:t>εμπορικού ισοζυγίου</w:t>
      </w:r>
      <w:r w:rsidRPr="006F08DB">
        <w:rPr>
          <w:lang w:val="x-none"/>
        </w:rPr>
        <w:t>, ενώ οι εισαγωγές υπηρεσιών αυξήθηκαν κατά 1,5</w:t>
      </w:r>
      <w:r w:rsidRPr="00CD51ED">
        <w:rPr>
          <w:lang w:val="x-none"/>
        </w:rPr>
        <w:t>%.</w:t>
      </w:r>
      <w:r w:rsidRPr="00CD51ED">
        <w:t xml:space="preserve"> Συνολικά για το 2025 εκτιμάται αύξηση 0,9% των εισαγωγών αγαθών και υπηρεσιών (0,</w:t>
      </w:r>
      <w:r w:rsidR="000044C3" w:rsidRPr="00CD51ED">
        <w:t>6</w:t>
      </w:r>
      <w:r w:rsidRPr="00CD51ED">
        <w:t xml:space="preserve">% για τα αγαθά και </w:t>
      </w:r>
      <w:r w:rsidR="00F921C2" w:rsidRPr="00CD51ED">
        <w:t>1</w:t>
      </w:r>
      <w:r w:rsidRPr="00CD51ED">
        <w:t>,</w:t>
      </w:r>
      <w:r w:rsidR="00F921C2" w:rsidRPr="00CD51ED">
        <w:t>9</w:t>
      </w:r>
      <w:r w:rsidRPr="00CD51ED">
        <w:t xml:space="preserve">% </w:t>
      </w:r>
      <w:r w:rsidR="00F921C2" w:rsidRPr="00CD51ED">
        <w:t xml:space="preserve">για τις </w:t>
      </w:r>
      <w:r w:rsidRPr="00CD51ED">
        <w:t>υπηρεσίες) έναντι αύξησης 4,8% το 2024.</w:t>
      </w:r>
    </w:p>
    <w:p w14:paraId="730CCE0C" w14:textId="3E98EBC0" w:rsidR="00AE4499" w:rsidRPr="00BC6DFE" w:rsidRDefault="00AE4499" w:rsidP="00AE4499">
      <w:r w:rsidRPr="006F08DB">
        <w:t>Ο αποπληθωριστής</w:t>
      </w:r>
      <w:r w:rsidRPr="00BC6DFE">
        <w:t xml:space="preserve"> του</w:t>
      </w:r>
      <w:r w:rsidRPr="006F08DB">
        <w:t xml:space="preserve"> ΑΕΠ</w:t>
      </w:r>
      <w:r w:rsidRPr="00BC6DFE">
        <w:t xml:space="preserve"> διαμορφώθηκε σε 3,4% το </w:t>
      </w:r>
      <w:r w:rsidR="006271F5">
        <w:t>2ο</w:t>
      </w:r>
      <w:r w:rsidRPr="00BC6DFE">
        <w:t xml:space="preserve"> τρίμηνο του 2025 σε ετήσια βάση</w:t>
      </w:r>
      <w:r w:rsidR="00941BF0">
        <w:t>, ενώ συνολικά</w:t>
      </w:r>
      <w:r w:rsidR="00941BF0" w:rsidRPr="00BC6DFE">
        <w:t xml:space="preserve"> </w:t>
      </w:r>
      <w:r w:rsidR="00941BF0">
        <w:t xml:space="preserve">το </w:t>
      </w:r>
      <w:r w:rsidRPr="00BC6DFE">
        <w:t>2025</w:t>
      </w:r>
      <w:r w:rsidR="00C5144D">
        <w:t xml:space="preserve"> </w:t>
      </w:r>
      <w:r w:rsidRPr="00BC6DFE">
        <w:t>αναμένεται να διαμορφωθεί σε 2,8%</w:t>
      </w:r>
      <w:r w:rsidRPr="00E36EC6">
        <w:t>,</w:t>
      </w:r>
      <w:r w:rsidRPr="00BC6DFE">
        <w:t xml:space="preserve"> </w:t>
      </w:r>
      <w:r w:rsidR="006271F5">
        <w:t xml:space="preserve">καταδεικνυόμενης </w:t>
      </w:r>
      <w:r w:rsidRPr="00BC6DFE">
        <w:t>τη</w:t>
      </w:r>
      <w:r w:rsidR="006271F5">
        <w:t>ς</w:t>
      </w:r>
      <w:r w:rsidRPr="00BC6DFE">
        <w:t xml:space="preserve"> τάση</w:t>
      </w:r>
      <w:r w:rsidR="006271F5">
        <w:t>ς</w:t>
      </w:r>
      <w:r w:rsidRPr="00BC6DFE">
        <w:t xml:space="preserve"> ομαλοποίησης στο </w:t>
      </w:r>
      <w:r w:rsidR="006271F5">
        <w:t>2ο</w:t>
      </w:r>
      <w:r w:rsidRPr="00BC6DFE">
        <w:t xml:space="preserve"> εξάμηνο του έτους.</w:t>
      </w:r>
    </w:p>
    <w:p w14:paraId="4D498F28" w14:textId="41E81844" w:rsidR="00AE4499" w:rsidRPr="006F08DB" w:rsidRDefault="00AE4499" w:rsidP="00AE4499">
      <w:r w:rsidRPr="006F08DB">
        <w:t>Η αναπτυξιακή πορεία της ελληνικής οικονομίας αποτυπώνεται και σε όρους πραγματικής παραγωγής. Η Α</w:t>
      </w:r>
      <w:r w:rsidR="0087229B">
        <w:t>ΠΑ</w:t>
      </w:r>
      <w:r w:rsidRPr="006F08DB">
        <w:t xml:space="preserve"> κατά τη διάρκεια του </w:t>
      </w:r>
      <w:r w:rsidR="006271F5">
        <w:t>2ου</w:t>
      </w:r>
      <w:r w:rsidRPr="006F08DB">
        <w:t xml:space="preserve"> τριμήνου του 2025 κατέγραψε αύξηση της τάξης του 1,3% έναντι του αντίστοιχου τριμήνου 2024, διατηρώντας τη θετική της δυναμική που καταγράφεται από το τέλος της πανδημίας και </w:t>
      </w:r>
      <w:r w:rsidRPr="000D3127">
        <w:t>εφεξής (</w:t>
      </w:r>
      <w:r w:rsidR="008B287D" w:rsidRPr="000D3127">
        <w:fldChar w:fldCharType="begin"/>
      </w:r>
      <w:r w:rsidR="008B287D" w:rsidRPr="000D3127">
        <w:instrText xml:space="preserve"> REF _Ref150422392 \h  \* MERGEFORMAT </w:instrText>
      </w:r>
      <w:r w:rsidR="008B287D" w:rsidRPr="000D3127">
        <w:fldChar w:fldCharType="separate"/>
      </w:r>
      <w:r w:rsidR="00E15678" w:rsidRPr="00E15678">
        <w:t>Διάγραμμα 1.4</w:t>
      </w:r>
      <w:r w:rsidR="008B287D" w:rsidRPr="000D3127">
        <w:fldChar w:fldCharType="end"/>
      </w:r>
      <w:r w:rsidRPr="000D3127">
        <w:t>.).</w:t>
      </w:r>
    </w:p>
    <w:p w14:paraId="1A05C17B" w14:textId="47BB6924" w:rsidR="00AE4499" w:rsidRPr="006F08DB" w:rsidRDefault="00AE4499" w:rsidP="00AE4499">
      <w:r w:rsidRPr="006F08DB">
        <w:t xml:space="preserve">Οι κυριότερες αυξήσεις το </w:t>
      </w:r>
      <w:r w:rsidR="00700427">
        <w:t>2ο</w:t>
      </w:r>
      <w:r w:rsidRPr="006F08DB">
        <w:t xml:space="preserve"> τρίμηνο του 2025 καταγράφηκαν στον πρωτογενή τομέα, ο οποίος με τον κλάδο «</w:t>
      </w:r>
      <w:r w:rsidR="00700427">
        <w:t>Γ</w:t>
      </w:r>
      <w:r w:rsidRPr="006F08DB">
        <w:t>εωργία, δασοκομία και αλιεία» παρουσίασε συνολικά αύξηση 5,5%, επιβεβαιώνοντας την αναστροφή της συρρίκνωσης του αγροτικού τομέα ως απόρροια</w:t>
      </w:r>
      <w:r w:rsidR="00700427">
        <w:t>ς</w:t>
      </w:r>
      <w:r w:rsidRPr="006F08DB">
        <w:t xml:space="preserve"> των καταστροφικών πλημμυρών στη Θεσσαλία το 2023. Ο δευτερογενής τομέας κατέγραψε συνολικά αύξηση 1,2%</w:t>
      </w:r>
      <w:r w:rsidR="00700427">
        <w:t>,</w:t>
      </w:r>
      <w:r w:rsidRPr="006F08DB">
        <w:t xml:space="preserve"> με τον κλάδο «</w:t>
      </w:r>
      <w:r w:rsidR="00700427">
        <w:t>Κ</w:t>
      </w:r>
      <w:r w:rsidRPr="006F08DB">
        <w:t>ατασκευές» να σημειώνει αύξηση 11,0%. Θετικά αναπτύχθηκε και ο τριτογενής τομέας καταγράφοντας συνολική αύξηση 0,9% μέσω των κλάδων «</w:t>
      </w:r>
      <w:r w:rsidR="00700427">
        <w:t>Ψ</w:t>
      </w:r>
      <w:r w:rsidRPr="006F08DB">
        <w:t xml:space="preserve">υχαγωγία - </w:t>
      </w:r>
      <w:r w:rsidR="004B1FB7">
        <w:t>Δ</w:t>
      </w:r>
      <w:r w:rsidRPr="006F08DB">
        <w:t xml:space="preserve">ιασκέδαση - </w:t>
      </w:r>
      <w:r w:rsidR="004B1FB7">
        <w:t>Τ</w:t>
      </w:r>
      <w:r w:rsidRPr="006F08DB">
        <w:t>έχνες» (8,9%), «</w:t>
      </w:r>
      <w:r w:rsidR="00700427">
        <w:t>Χ</w:t>
      </w:r>
      <w:r w:rsidRPr="006F08DB">
        <w:t>ρηματο</w:t>
      </w:r>
      <w:r w:rsidR="00700427">
        <w:t>πιστωτικές</w:t>
      </w:r>
      <w:r w:rsidRPr="006F08DB">
        <w:t xml:space="preserve"> και ασφαλιστικές δραστηριότητες» (5,2%), «</w:t>
      </w:r>
      <w:r w:rsidR="00416AF7">
        <w:t>Ε</w:t>
      </w:r>
      <w:r w:rsidRPr="006F08DB">
        <w:t>παγγελματικές, επιστημονικές και τεχνικές δραστηριότητες» (5,6%) και «</w:t>
      </w:r>
      <w:r w:rsidR="0008285B">
        <w:t>Ε</w:t>
      </w:r>
      <w:r w:rsidRPr="006F08DB">
        <w:t>μπόριο, ξενοδοχεία και εστιατόρια, μεταφορές και επικοινωνίες» (1,8%).</w:t>
      </w:r>
    </w:p>
    <w:p w14:paraId="25597035" w14:textId="6D51E95B" w:rsidR="009A6075" w:rsidRDefault="00AE4499" w:rsidP="00AE4499">
      <w:pPr>
        <w:spacing w:after="240"/>
      </w:pPr>
      <w:r w:rsidRPr="006F08DB">
        <w:t xml:space="preserve">Η διαχρονική εξέλιξη των βασικών οικονομικών δραστηριοτήτων της ελληνικής οικονομίας για τα έτη </w:t>
      </w:r>
      <w:r w:rsidRPr="00667D36">
        <w:t>202</w:t>
      </w:r>
      <w:r w:rsidR="00667D36" w:rsidRPr="00667D36">
        <w:t>2</w:t>
      </w:r>
      <w:r w:rsidR="00667D36">
        <w:t xml:space="preserve"> </w:t>
      </w:r>
      <w:r w:rsidRPr="00667D36">
        <w:t>-</w:t>
      </w:r>
      <w:r w:rsidR="00667D36">
        <w:t xml:space="preserve"> </w:t>
      </w:r>
      <w:r w:rsidRPr="00667D36">
        <w:t>2025 αποτυπώνεται</w:t>
      </w:r>
      <w:r w:rsidRPr="006F08DB">
        <w:t xml:space="preserve"> </w:t>
      </w:r>
      <w:r w:rsidRPr="000D3127">
        <w:t xml:space="preserve">στο </w:t>
      </w:r>
      <w:r w:rsidR="008B287D" w:rsidRPr="000D3127">
        <w:fldChar w:fldCharType="begin"/>
      </w:r>
      <w:r w:rsidR="008B287D" w:rsidRPr="000D3127">
        <w:instrText xml:space="preserve"> REF _Ref150422392 \h  \* MERGEFORMAT </w:instrText>
      </w:r>
      <w:r w:rsidR="008B287D" w:rsidRPr="000D3127">
        <w:fldChar w:fldCharType="separate"/>
      </w:r>
      <w:r w:rsidR="00E15678" w:rsidRPr="00E15678">
        <w:t>Διάγραμμα 1.4</w:t>
      </w:r>
      <w:r w:rsidR="008B287D" w:rsidRPr="000D3127">
        <w:fldChar w:fldCharType="end"/>
      </w:r>
      <w:r w:rsidR="008B287D" w:rsidRPr="000D3127">
        <w:t>.</w:t>
      </w:r>
      <w:r w:rsidRPr="000D3127">
        <w:t>, αναδ</w:t>
      </w:r>
      <w:r w:rsidRPr="006F08DB">
        <w:t>εικνύοντας τη σταθερά ανοδική τάση όλων των παραγωγικών κλάδων της χώρας.</w:t>
      </w:r>
    </w:p>
    <w:p w14:paraId="7005D6F4" w14:textId="32DC93D0" w:rsidR="009E6914" w:rsidRDefault="00431B5F" w:rsidP="00261DCB">
      <w:pPr>
        <w:spacing w:after="60" w:line="276" w:lineRule="auto"/>
        <w:rPr>
          <w:b/>
          <w:sz w:val="18"/>
          <w:szCs w:val="18"/>
        </w:rPr>
      </w:pPr>
      <w:bookmarkStart w:id="60" w:name="_Ref150422392"/>
      <w:bookmarkStart w:id="61" w:name="_Toc214474699"/>
      <w:r w:rsidRPr="00667D36">
        <w:rPr>
          <w:b/>
          <w:sz w:val="18"/>
          <w:szCs w:val="18"/>
        </w:rPr>
        <w:t>Διάγραμμα 1.</w:t>
      </w:r>
      <w:r w:rsidRPr="00667D36">
        <w:rPr>
          <w:b/>
          <w:sz w:val="18"/>
          <w:szCs w:val="18"/>
        </w:rPr>
        <w:fldChar w:fldCharType="begin"/>
      </w:r>
      <w:r w:rsidRPr="00667D36">
        <w:rPr>
          <w:b/>
          <w:sz w:val="18"/>
          <w:szCs w:val="18"/>
        </w:rPr>
        <w:instrText xml:space="preserve"> SEQ Διάγραμμα_1. \* ARABIC </w:instrText>
      </w:r>
      <w:r w:rsidRPr="00667D36">
        <w:rPr>
          <w:b/>
          <w:sz w:val="18"/>
          <w:szCs w:val="18"/>
        </w:rPr>
        <w:fldChar w:fldCharType="separate"/>
      </w:r>
      <w:r w:rsidR="00E15678">
        <w:rPr>
          <w:b/>
          <w:noProof/>
          <w:sz w:val="18"/>
          <w:szCs w:val="18"/>
        </w:rPr>
        <w:t>4</w:t>
      </w:r>
      <w:r w:rsidRPr="00667D36">
        <w:rPr>
          <w:b/>
          <w:sz w:val="18"/>
          <w:szCs w:val="18"/>
        </w:rPr>
        <w:fldChar w:fldCharType="end"/>
      </w:r>
      <w:bookmarkEnd w:id="60"/>
      <w:r w:rsidRPr="00667D36">
        <w:rPr>
          <w:b/>
          <w:sz w:val="18"/>
          <w:szCs w:val="18"/>
        </w:rPr>
        <w:t>.: Διάρθρωση Ακαθάριστης Προστιθέμενης Αξίας βασικών οικονομικών κλάδων πρώτο τρίμηνο 20</w:t>
      </w:r>
      <w:r w:rsidR="00667D36" w:rsidRPr="00667D36">
        <w:rPr>
          <w:b/>
          <w:sz w:val="18"/>
          <w:szCs w:val="18"/>
        </w:rPr>
        <w:t>22</w:t>
      </w:r>
      <w:r w:rsidRPr="00667D36">
        <w:rPr>
          <w:b/>
          <w:sz w:val="18"/>
          <w:szCs w:val="18"/>
        </w:rPr>
        <w:t xml:space="preserve"> </w:t>
      </w:r>
      <w:r w:rsidR="00524EDF" w:rsidRPr="00667D36">
        <w:rPr>
          <w:b/>
          <w:sz w:val="18"/>
          <w:szCs w:val="18"/>
        </w:rPr>
        <w:t>-</w:t>
      </w:r>
      <w:r w:rsidRPr="00667D36">
        <w:rPr>
          <w:b/>
          <w:sz w:val="18"/>
          <w:szCs w:val="18"/>
        </w:rPr>
        <w:t xml:space="preserve"> δεύτερο τρίμηνο 202</w:t>
      </w:r>
      <w:r w:rsidR="00007E9D" w:rsidRPr="00667D36">
        <w:rPr>
          <w:b/>
          <w:sz w:val="18"/>
          <w:szCs w:val="18"/>
        </w:rPr>
        <w:t>5</w:t>
      </w:r>
      <w:r w:rsidRPr="00667D36">
        <w:rPr>
          <w:b/>
          <w:sz w:val="18"/>
          <w:szCs w:val="18"/>
        </w:rPr>
        <w:t xml:space="preserve"> (σταθερές τιμές, εποχικά διορθωμένα, </w:t>
      </w:r>
      <w:r w:rsidR="00114CCE">
        <w:rPr>
          <w:b/>
          <w:sz w:val="18"/>
          <w:szCs w:val="18"/>
        </w:rPr>
        <w:t xml:space="preserve">σε </w:t>
      </w:r>
      <w:r w:rsidRPr="00667D36">
        <w:rPr>
          <w:b/>
          <w:sz w:val="18"/>
          <w:szCs w:val="18"/>
        </w:rPr>
        <w:t>εκατ. ευρώ)</w:t>
      </w:r>
      <w:bookmarkEnd w:id="61"/>
    </w:p>
    <w:p w14:paraId="48F1C360" w14:textId="7218425B" w:rsidR="00843018" w:rsidRDefault="00632AEC" w:rsidP="00BA789A">
      <w:pPr>
        <w:spacing w:after="0"/>
        <w:jc w:val="center"/>
      </w:pPr>
      <w:r w:rsidRPr="00D35C81">
        <w:rPr>
          <w:noProof/>
          <w:sz w:val="14"/>
        </w:rPr>
        <w:drawing>
          <wp:inline distT="0" distB="0" distL="0" distR="0" wp14:anchorId="27B68F67" wp14:editId="03D21E9D">
            <wp:extent cx="5759450" cy="2543810"/>
            <wp:effectExtent l="0" t="0" r="12700" b="8890"/>
            <wp:docPr id="29" name="Γράφημα 29" descr="Διάρθρωση Κλάδων οικονομίας (εκατ. ευρώ, Σταθερές τιμές)">
              <a:extLst xmlns:a="http://schemas.openxmlformats.org/drawingml/2006/main">
                <a:ext uri="{FF2B5EF4-FFF2-40B4-BE49-F238E27FC236}">
                  <a16:creationId xmlns:a16="http://schemas.microsoft.com/office/drawing/2014/main" id="{53F0809A-23F7-43F5-A818-0160EC7A5D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327E48" w14:textId="41F4F933" w:rsidR="00007E9D" w:rsidRPr="00735A75" w:rsidRDefault="00007E9D" w:rsidP="00007E9D">
      <w:pPr>
        <w:spacing w:before="240"/>
      </w:pPr>
      <w:r w:rsidRPr="00735A75">
        <w:t xml:space="preserve">Το ακαθάριστο λειτουργικό πλεόνασμα/μικτό εισόδημα αυξήθηκε το </w:t>
      </w:r>
      <w:r w:rsidR="003F17FA">
        <w:t>2ο</w:t>
      </w:r>
      <w:r w:rsidRPr="00735A75">
        <w:t xml:space="preserve"> τρίμηνο του 2025 κατά 6,1% σε ετήσια βάση. Οι αμοιβές εξαρτημένης εργασίας το </w:t>
      </w:r>
      <w:r w:rsidR="00460D47">
        <w:t>2</w:t>
      </w:r>
      <w:r w:rsidRPr="00735A75">
        <w:t>ο τρίμηνο του 2025 αυξήθηκαν</w:t>
      </w:r>
      <w:r w:rsidR="00460D47">
        <w:t>,</w:t>
      </w:r>
      <w:r w:rsidRPr="00735A75">
        <w:t xml:space="preserve"> </w:t>
      </w:r>
      <w:r w:rsidR="00460D47">
        <w:t>ομοίως,</w:t>
      </w:r>
      <w:r w:rsidRPr="00735A75">
        <w:t xml:space="preserve"> κατά 6,2% σε ετήσια βάση (εποχικά διορθωμένα στοιχεία) λόγω της περαιτέρω αύξησης του κατώτατου μισθού </w:t>
      </w:r>
      <w:r w:rsidRPr="00735A75">
        <w:lastRenderedPageBreak/>
        <w:t>από την 1η</w:t>
      </w:r>
      <w:r w:rsidR="00460D47">
        <w:t>.4.</w:t>
      </w:r>
      <w:r w:rsidRPr="00735A75">
        <w:t xml:space="preserve">2025 κατά 6,0%, αντανακλώντας αντίστοιχη θετική εξέλιξη σε όλους τους κλάδους οικονομικής δραστηριότητας, αλλά και </w:t>
      </w:r>
      <w:r w:rsidR="007B6135">
        <w:t xml:space="preserve">λόγω </w:t>
      </w:r>
      <w:r w:rsidRPr="00735A75">
        <w:t>της αύξησης των μισθών του δημόσιου τομέα ως συνέπεια της προς τα άνω αναπροσαρμογής του εισαγωγικού κλιμακίου στους δημ</w:t>
      </w:r>
      <w:r w:rsidR="001F2272">
        <w:t>ό</w:t>
      </w:r>
      <w:r w:rsidRPr="00735A75">
        <w:t>σ</w:t>
      </w:r>
      <w:r w:rsidR="001F2272">
        <w:t>ι</w:t>
      </w:r>
      <w:r w:rsidRPr="00735A75">
        <w:t xml:space="preserve">ους υπαλλήλους στο ύψος του κατώτατου μισθού </w:t>
      </w:r>
      <w:r>
        <w:t>των</w:t>
      </w:r>
      <w:r w:rsidRPr="00735A75">
        <w:t xml:space="preserve"> ιδιωτικ</w:t>
      </w:r>
      <w:r>
        <w:t xml:space="preserve">ών </w:t>
      </w:r>
      <w:r w:rsidRPr="00735A75">
        <w:t>υπαλλήλ</w:t>
      </w:r>
      <w:r>
        <w:t>ων</w:t>
      </w:r>
      <w:r w:rsidRPr="00735A75">
        <w:t>.</w:t>
      </w:r>
      <w:r>
        <w:t xml:space="preserve"> </w:t>
      </w:r>
      <w:r w:rsidRPr="00735A75">
        <w:t>Σημαντική αύξηση καταγράφεται στο</w:t>
      </w:r>
      <w:r w:rsidR="001F2272">
        <w:t>υς</w:t>
      </w:r>
      <w:r w:rsidRPr="00735A75">
        <w:t xml:space="preserve"> κλάδο</w:t>
      </w:r>
      <w:r w:rsidR="001F2272">
        <w:t>υς</w:t>
      </w:r>
      <w:r w:rsidRPr="00735A75">
        <w:t xml:space="preserve"> </w:t>
      </w:r>
      <w:r w:rsidR="001F2272">
        <w:t>«Κ</w:t>
      </w:r>
      <w:r w:rsidRPr="00735A75">
        <w:t>ατασκευ</w:t>
      </w:r>
      <w:r w:rsidR="001F2272">
        <w:t>ές» (</w:t>
      </w:r>
      <w:r w:rsidR="001F2272" w:rsidRPr="00735A75">
        <w:t>16,0%</w:t>
      </w:r>
      <w:r w:rsidR="001F2272">
        <w:t>)</w:t>
      </w:r>
      <w:r w:rsidRPr="00735A75">
        <w:t>,</w:t>
      </w:r>
      <w:r w:rsidR="001F2272">
        <w:t xml:space="preserve"> «Χ</w:t>
      </w:r>
      <w:r w:rsidRPr="00735A75">
        <w:t>ρηματοπιστωτικές και ασφαλιστικές δραστηριότητες</w:t>
      </w:r>
      <w:r w:rsidR="001F2272">
        <w:t>»</w:t>
      </w:r>
      <w:r w:rsidRPr="00735A75">
        <w:t xml:space="preserve"> </w:t>
      </w:r>
      <w:r w:rsidR="001F2272">
        <w:t>(</w:t>
      </w:r>
      <w:r w:rsidRPr="00735A75">
        <w:t>12,8%</w:t>
      </w:r>
      <w:r w:rsidR="001F2272">
        <w:t>)</w:t>
      </w:r>
      <w:r w:rsidRPr="00735A75">
        <w:t>,</w:t>
      </w:r>
      <w:r>
        <w:t xml:space="preserve"> </w:t>
      </w:r>
      <w:r w:rsidR="001F2272">
        <w:t>«Ε</w:t>
      </w:r>
      <w:r w:rsidRPr="00735A75">
        <w:t>παγγελματικές, επιστημονικές</w:t>
      </w:r>
      <w:r w:rsidR="001F2272">
        <w:t xml:space="preserve"> και τεχνικές</w:t>
      </w:r>
      <w:r w:rsidRPr="00735A75">
        <w:t xml:space="preserve"> δραστηριότητες</w:t>
      </w:r>
      <w:r w:rsidR="001F2272">
        <w:t>» (</w:t>
      </w:r>
      <w:r w:rsidRPr="00735A75">
        <w:t>9,5%</w:t>
      </w:r>
      <w:r w:rsidR="001F2272">
        <w:t>)</w:t>
      </w:r>
      <w:r w:rsidRPr="00735A75">
        <w:t>,</w:t>
      </w:r>
      <w:r>
        <w:t xml:space="preserve"> </w:t>
      </w:r>
      <w:r w:rsidR="001F2272">
        <w:t>«Χ</w:t>
      </w:r>
      <w:r w:rsidRPr="00735A75">
        <w:t xml:space="preserve">ονδρικό </w:t>
      </w:r>
      <w:r>
        <w:t>-</w:t>
      </w:r>
      <w:r w:rsidRPr="00735A75">
        <w:t xml:space="preserve"> λιανικό εμπόριο</w:t>
      </w:r>
      <w:r w:rsidR="001F2272">
        <w:t>»</w:t>
      </w:r>
      <w:r w:rsidRPr="00735A75">
        <w:t xml:space="preserve"> </w:t>
      </w:r>
      <w:r w:rsidR="001F2272">
        <w:t>(</w:t>
      </w:r>
      <w:r w:rsidRPr="00735A75">
        <w:t>8,4%</w:t>
      </w:r>
      <w:r w:rsidR="001F2272">
        <w:t>), «Β</w:t>
      </w:r>
      <w:r w:rsidRPr="00735A75">
        <w:t>ιομηχανία, ενέργεια, μεταποίηση</w:t>
      </w:r>
      <w:r w:rsidR="004B1FB7">
        <w:t>»</w:t>
      </w:r>
      <w:r w:rsidRPr="00735A75">
        <w:t xml:space="preserve"> </w:t>
      </w:r>
      <w:r w:rsidR="004B1FB7">
        <w:t>(</w:t>
      </w:r>
      <w:r w:rsidRPr="00735A75">
        <w:t>7,0%</w:t>
      </w:r>
      <w:r w:rsidR="004B1FB7">
        <w:t>)</w:t>
      </w:r>
      <w:r w:rsidRPr="00735A75">
        <w:t xml:space="preserve"> και</w:t>
      </w:r>
      <w:r w:rsidR="004B1FB7">
        <w:t xml:space="preserve"> «Γ</w:t>
      </w:r>
      <w:r w:rsidRPr="00735A75">
        <w:t>εωργία</w:t>
      </w:r>
      <w:r w:rsidR="004B1FB7">
        <w:t>» (</w:t>
      </w:r>
      <w:r w:rsidRPr="00735A75">
        <w:t>5,2%</w:t>
      </w:r>
      <w:r w:rsidR="004B1FB7">
        <w:t>)</w:t>
      </w:r>
      <w:r w:rsidRPr="00735A75">
        <w:t>.</w:t>
      </w:r>
    </w:p>
    <w:p w14:paraId="132342AA" w14:textId="15961B97" w:rsidR="00007E9D" w:rsidRPr="006F08DB" w:rsidRDefault="00007E9D" w:rsidP="00007E9D">
      <w:r w:rsidRPr="006F08DB">
        <w:t>Για το σύνολο του έτους 2025 εκτιμάται αύξηση κατά 3,7% της αμοιβής ανά εργαζόμενο (μέσος μισθός)</w:t>
      </w:r>
      <w:r w:rsidR="001A6841">
        <w:t>,</w:t>
      </w:r>
      <w:r w:rsidRPr="006F08DB">
        <w:t xml:space="preserve"> διαμορφούμενης συνεπώς της αύξησης των συνολικών αμοιβών εξαρτημένης εργασίας σε 6,3%</w:t>
      </w:r>
      <w:r>
        <w:t xml:space="preserve"> έναντι αντίστοιχων αυξήσεων 5,8% και 7,3% που </w:t>
      </w:r>
      <w:r w:rsidR="001A6841">
        <w:t xml:space="preserve">σημειώθηκαν </w:t>
      </w:r>
      <w:r>
        <w:t>το 2024.</w:t>
      </w:r>
      <w:r w:rsidRPr="006F08DB">
        <w:t xml:space="preserve"> Η αύξηση του ακαθάριστου λειτουργικού πλεονάσματος για το 2025</w:t>
      </w:r>
      <w:r>
        <w:t xml:space="preserve"> </w:t>
      </w:r>
      <w:r w:rsidRPr="006F08DB">
        <w:t>εκτιμάται σε</w:t>
      </w:r>
      <w:r>
        <w:t xml:space="preserve"> 3,7</w:t>
      </w:r>
      <w:r w:rsidRPr="006F08DB">
        <w:t>%</w:t>
      </w:r>
      <w:r>
        <w:t xml:space="preserve"> </w:t>
      </w:r>
      <w:r w:rsidRPr="006F08DB">
        <w:t>έναντι αύξησης 3,</w:t>
      </w:r>
      <w:r>
        <w:t>1</w:t>
      </w:r>
      <w:r w:rsidRPr="006F08DB">
        <w:t>% το</w:t>
      </w:r>
      <w:r>
        <w:t xml:space="preserve"> </w:t>
      </w:r>
      <w:r w:rsidRPr="006F08DB">
        <w:t>2024</w:t>
      </w:r>
      <w:r>
        <w:t>, σύμφωνα με τα αναθεωρημένα στοιχεία της ΕΛΣΤΑΤ (Οκτώβριος 2025).</w:t>
      </w:r>
    </w:p>
    <w:p w14:paraId="73581AB8" w14:textId="002B9EA2" w:rsidR="008111D1" w:rsidRPr="008D4951" w:rsidRDefault="00007E9D" w:rsidP="008111D1">
      <w:r w:rsidRPr="006F08DB">
        <w:t xml:space="preserve">Η </w:t>
      </w:r>
      <w:r w:rsidRPr="000748ED">
        <w:t>ελληνική οικονομία, παρά τη συνεχιζόμενη γεωπολιτική αστάθεια και την αβεβαιότητα στο παγκόσμιο οικονομικό περιβάλλον</w:t>
      </w:r>
      <w:r w:rsidR="007B6135">
        <w:t>, οι οποίες</w:t>
      </w:r>
      <w:r w:rsidRPr="000748ED">
        <w:t xml:space="preserve"> </w:t>
      </w:r>
      <w:r w:rsidR="001A6841">
        <w:t>εξακολουθούν</w:t>
      </w:r>
      <w:r w:rsidRPr="000748ED">
        <w:t xml:space="preserve"> και το 2025</w:t>
      </w:r>
      <w:r w:rsidR="001A6841">
        <w:t>,</w:t>
      </w:r>
      <w:r w:rsidRPr="000748ED">
        <w:t xml:space="preserve"> εκτιμάται ότι θ</w:t>
      </w:r>
      <w:r>
        <w:t>α</w:t>
      </w:r>
      <w:r w:rsidRPr="000748ED">
        <w:t xml:space="preserve"> διατηρήσει την αναπτυξιακή της πορεία για το σύνολο του έτους</w:t>
      </w:r>
      <w:r w:rsidR="001A6841">
        <w:t>,</w:t>
      </w:r>
      <w:r w:rsidRPr="000748ED">
        <w:t xml:space="preserve"> με τον ρυθμό ανάπτυξης του ΑΕΠ να διαμορφώνεται σε 2,2%, όπως προβλέπεται και στο προσχέδιο του κρατικού προϋπολογισμού 2026 καθώς και στο </w:t>
      </w:r>
      <w:r w:rsidRPr="000748ED">
        <w:rPr>
          <w:lang w:val="en-US"/>
        </w:rPr>
        <w:t>Draft</w:t>
      </w:r>
      <w:r w:rsidRPr="000748ED">
        <w:t xml:space="preserve"> </w:t>
      </w:r>
      <w:r w:rsidRPr="000748ED">
        <w:rPr>
          <w:lang w:val="en-US"/>
        </w:rPr>
        <w:t>Budgetary</w:t>
      </w:r>
      <w:r w:rsidRPr="000748ED">
        <w:t xml:space="preserve"> </w:t>
      </w:r>
      <w:r w:rsidRPr="000748ED">
        <w:rPr>
          <w:lang w:val="en-US"/>
        </w:rPr>
        <w:t>Plan</w:t>
      </w:r>
      <w:r w:rsidRPr="000748ED">
        <w:t xml:space="preserve"> </w:t>
      </w:r>
      <w:r w:rsidR="001A6841" w:rsidRPr="001A6841">
        <w:t xml:space="preserve">- </w:t>
      </w:r>
      <w:r w:rsidR="001A6841">
        <w:rPr>
          <w:lang w:val="en-US"/>
        </w:rPr>
        <w:t>DBP</w:t>
      </w:r>
      <w:r w:rsidR="001A6841" w:rsidRPr="001A6841">
        <w:t xml:space="preserve"> </w:t>
      </w:r>
      <w:r w:rsidRPr="000748ED">
        <w:t>2026</w:t>
      </w:r>
      <w:r w:rsidR="001A6841" w:rsidRPr="001A6841">
        <w:t>,</w:t>
      </w:r>
      <w:r w:rsidRPr="000748ED">
        <w:t xml:space="preserve"> που υποβλήθηκε στην Ευρωπαϊκή Επιτροπή τον Οκτώβριο 202</w:t>
      </w:r>
      <w:r>
        <w:t>5</w:t>
      </w:r>
      <w:r w:rsidRPr="000748ED">
        <w:t>.</w:t>
      </w:r>
    </w:p>
    <w:p w14:paraId="733C62CB" w14:textId="5927A147" w:rsidR="00BD1C59" w:rsidRDefault="00622607" w:rsidP="00300BBF">
      <w:pPr>
        <w:pStyle w:val="5"/>
      </w:pPr>
      <w:bookmarkStart w:id="62" w:name="_Toc214473727"/>
      <w:r>
        <w:t>Δείκτες Οικονομικής Συγκυρίας</w:t>
      </w:r>
      <w:bookmarkEnd w:id="62"/>
    </w:p>
    <w:p w14:paraId="32BF1D0C" w14:textId="5E622FD9" w:rsidR="00007E9D" w:rsidRPr="00544B91" w:rsidRDefault="00007E9D" w:rsidP="00007E9D">
      <w:r w:rsidRPr="00544B91">
        <w:t xml:space="preserve">Ο δείκτης οικονομικού κλίματος, σύμφωνα με στοιχεία της Ευρωπαϊκής Επιτροπής για την περίοδο Ιανουαρίου </w:t>
      </w:r>
      <w:r>
        <w:t>-</w:t>
      </w:r>
      <w:r w:rsidRPr="00544B91">
        <w:t xml:space="preserve"> Οκτωβρίου 2025</w:t>
      </w:r>
      <w:r w:rsidR="00EB41DB">
        <w:t>,</w:t>
      </w:r>
      <w:r>
        <w:t xml:space="preserve"> </w:t>
      </w:r>
      <w:r w:rsidRPr="00544B91">
        <w:t>διαμορφώθηκε στις 107,5 μονάδες, σ</w:t>
      </w:r>
      <w:r w:rsidR="009B7DE5">
        <w:t>ε παρόμοια</w:t>
      </w:r>
      <w:r w:rsidRPr="00544B91">
        <w:t xml:space="preserve"> επίπεδα με αυτά της αντίστοιχης περιόδου του προηγούμενου έτους</w:t>
      </w:r>
      <w:r w:rsidR="004457FC">
        <w:t xml:space="preserve"> </w:t>
      </w:r>
      <w:r w:rsidR="004457FC" w:rsidRPr="00544B91">
        <w:t>(107,8 μονάδες)</w:t>
      </w:r>
      <w:r w:rsidRPr="00544B91">
        <w:t xml:space="preserve"> και σε πολύ υψηλότερα επίπεδα από τους σχετικούς δείκτες στην ΕΕ και την Ευρωζώνη για τους δέκα μήνες του 2025. Η διατήρηση του δείκτη σε υψηλά επίπεδα οφείλεται κυρίως στην ενίσχυση των επιχειρηματικών προσδοκιών στη βιομηχανία και στον κλάδο των κατασκευών</w:t>
      </w:r>
      <w:r w:rsidR="005B6A6B">
        <w:t>,</w:t>
      </w:r>
      <w:r w:rsidRPr="00544B91">
        <w:t xml:space="preserve"> σε υψηλότερα επίπεδα σε σχέση με το 2024. Τον Οκτώβριο 2025 ο δείκτης αυξήθηκε στις 107,5 μονάδες από </w:t>
      </w:r>
      <w:r w:rsidR="007F2F0D">
        <w:t xml:space="preserve">τις </w:t>
      </w:r>
      <w:r w:rsidRPr="00544B91">
        <w:t>106,2 μονάδες τον Σεπτέμβριο 2025 και στα ίδια επίπεδα με τις 107,6 μονάδες του Οκτωβρίου 2024. Η διατήρηση συνολικά της δυναμικής του δείκτη</w:t>
      </w:r>
      <w:r w:rsidR="007F2F0D">
        <w:t>,</w:t>
      </w:r>
      <w:r w:rsidRPr="00544B91">
        <w:t xml:space="preserve"> παρά το αβέβαιο εξωτερικό οικονομικό περιβάλλον που επηρεάζει επιχειρήσεις και νοικοκυριά, αντανακλά την ανθεκτικότητα της ελληνικής οικονομίας.</w:t>
      </w:r>
    </w:p>
    <w:p w14:paraId="68CA1DBD" w14:textId="1343AA81" w:rsidR="00007E9D" w:rsidRPr="008C447C" w:rsidRDefault="00007E9D" w:rsidP="00007E9D">
      <w:r w:rsidRPr="008C447C">
        <w:t xml:space="preserve">Ο μέσος Γενικός Δείκτης Βιομηχανικής Παραγωγής (εποχικά διορθωμένα στοιχεία) την περίοδο Ιανουαρίου - Αυγούστου 2025 μειώθηκε κατά 0,1% σε σύγκριση με την αντίστοιχη περίοδο του 2024. Ο εποχικά διορθωμένος Γενικός Δείκτης Βιομηχανικής Παραγωγής για τον Αύγουστο 2025 παρουσίασε μείωση 2,9% σε σύγκριση με τον Αύγουστο 2024, με τους δείκτες παροχής ηλεκτρικού ρεύματος και νερού να μειώνονται κατά 8,9% και 6,8%, αντίστοιχα, ενώ ο δείκτης ορυχείων </w:t>
      </w:r>
      <w:r w:rsidR="007F2F0D">
        <w:t xml:space="preserve">- </w:t>
      </w:r>
      <w:r w:rsidRPr="008C447C">
        <w:t>λατομείων αυξήθηκε κατά 2,4%.</w:t>
      </w:r>
    </w:p>
    <w:p w14:paraId="2CE3C755" w14:textId="3489FF39" w:rsidR="00007E9D" w:rsidRPr="00544B91" w:rsidRDefault="00007E9D" w:rsidP="00007E9D">
      <w:r w:rsidRPr="00544B91">
        <w:t xml:space="preserve">Ο δείκτης τιμών παραγωγού στη βιομηχανία την περίοδο Ιανουαρίου - Σεπτεμβρίου 2025 αυξήθηκε κατά 0,4% έναντι μείωσης 2,4% την ίδια περίοδο του προηγούμενου έτους. Η αύξηση των τιμών αφορά κυρίως στα εγχώρια βιομηχανικά προϊόντα (3,0% από -3,1% το 2024), ενώ τα εξαγόμενα προϊόντα παρουσίασαν μείωση 6,0% </w:t>
      </w:r>
      <w:r w:rsidR="007F2F0D">
        <w:t>έναντι</w:t>
      </w:r>
      <w:r w:rsidRPr="00544B91">
        <w:t xml:space="preserve"> μείωση</w:t>
      </w:r>
      <w:r w:rsidR="007F2F0D">
        <w:t>ς</w:t>
      </w:r>
      <w:r w:rsidRPr="00544B91">
        <w:t xml:space="preserve"> 0,</w:t>
      </w:r>
      <w:r w:rsidR="004457FC">
        <w:t>4</w:t>
      </w:r>
      <w:r w:rsidRPr="00544B91">
        <w:t>% την ίδια περίοδο του προηγο</w:t>
      </w:r>
      <w:r w:rsidR="007F2F0D">
        <w:t>ύμενου</w:t>
      </w:r>
      <w:r w:rsidRPr="00544B91">
        <w:t xml:space="preserve"> έτους. Η αύξηση των τιμών των βιομηχανικών προϊόντων συνοδεύτηκε με υποχώρηση του κύκλου εργασιών στη βιομηχανία, που παρουσίασε μείωση 1,8% την περίοδο Ιανουαρίου - Αυγούστου 2025 έναντι αύξησης 3,7% την ίδια περίοδο του προηγούμενου έτους.</w:t>
      </w:r>
    </w:p>
    <w:p w14:paraId="3962E265" w14:textId="77777777" w:rsidR="00007E9D" w:rsidRPr="00544B91" w:rsidRDefault="00007E9D" w:rsidP="00007E9D">
      <w:r w:rsidRPr="00544B91">
        <w:t>O δείκτης όγκου στο λιανικό εμπόριο την περίοδο Ιανουαρίου - Αυγούστου 2025 αυξήθηκε κατά 2,1% έναντι υποχώρησης 1,7% την ίδια περίοδο του προηγούμενου έτους.</w:t>
      </w:r>
    </w:p>
    <w:p w14:paraId="0820F909" w14:textId="51870D28" w:rsidR="00622607" w:rsidRPr="001229CD" w:rsidRDefault="00007E9D" w:rsidP="004F5DBB">
      <w:r w:rsidRPr="008C447C">
        <w:t xml:space="preserve">Ο μεταποιητικός τομέας διατήρησε την ανοδική του πορεία, όπως αποτυπώνεται στον εποχικά προσαρμοσμένο Δείκτη Υπευθύνων Προμηθειών της S&amp;P (Purchasing Managers’ Index - PMI), επί </w:t>
      </w:r>
      <w:r w:rsidRPr="008C447C">
        <w:lastRenderedPageBreak/>
        <w:t>εννέα συναπτούς μήνες το 2025</w:t>
      </w:r>
      <w:r w:rsidR="007F2F0D">
        <w:t xml:space="preserve"> (</w:t>
      </w:r>
      <w:r w:rsidRPr="008C447C">
        <w:t>Ιανου</w:t>
      </w:r>
      <w:r w:rsidR="007F2F0D">
        <w:t xml:space="preserve">άριος </w:t>
      </w:r>
      <w:r w:rsidR="004457FC">
        <w:t>-</w:t>
      </w:r>
      <w:r w:rsidRPr="008C447C">
        <w:t xml:space="preserve"> Σεπτ</w:t>
      </w:r>
      <w:r w:rsidR="007F2F0D">
        <w:t>έμβριος</w:t>
      </w:r>
      <w:r w:rsidRPr="008C447C">
        <w:t xml:space="preserve"> 2025</w:t>
      </w:r>
      <w:r w:rsidR="007F2F0D">
        <w:t>)</w:t>
      </w:r>
      <w:r w:rsidR="0070195F">
        <w:t>,</w:t>
      </w:r>
      <w:r w:rsidRPr="008C447C">
        <w:t xml:space="preserve"> διαμορφ</w:t>
      </w:r>
      <w:r w:rsidR="0070195F">
        <w:t>ούμενος</w:t>
      </w:r>
      <w:r w:rsidRPr="008C447C">
        <w:t xml:space="preserve"> σ</w:t>
      </w:r>
      <w:r w:rsidR="00F74090">
        <w:t>τις</w:t>
      </w:r>
      <w:r w:rsidRPr="008C447C">
        <w:t xml:space="preserve"> 53,1</w:t>
      </w:r>
      <w:r>
        <w:t xml:space="preserve"> </w:t>
      </w:r>
      <w:r w:rsidRPr="008C447C">
        <w:t xml:space="preserve">μονάδες από </w:t>
      </w:r>
      <w:r w:rsidR="00F74090">
        <w:t xml:space="preserve">τις </w:t>
      </w:r>
      <w:r w:rsidRPr="008C447C">
        <w:t>54,2 μονάδες την ίδια περίοδο του προηγούμενου έτους. Ο δείκτης Υπευθύνων Προμηθειών διαμορφώθηκε σ</w:t>
      </w:r>
      <w:r w:rsidR="00F74090">
        <w:t>τις</w:t>
      </w:r>
      <w:r w:rsidRPr="008C447C">
        <w:t xml:space="preserve"> 52,0 μονάδες τον Σεπτέμβριο 2025 </w:t>
      </w:r>
      <w:r>
        <w:t>από</w:t>
      </w:r>
      <w:r w:rsidR="00F74090">
        <w:t xml:space="preserve"> τις</w:t>
      </w:r>
      <w:r>
        <w:t xml:space="preserve"> 5</w:t>
      </w:r>
      <w:r w:rsidRPr="008C447C">
        <w:t>4,5 μονάδες τ</w:t>
      </w:r>
      <w:r>
        <w:t>ον Αύγουστο</w:t>
      </w:r>
      <w:r w:rsidR="0070195F">
        <w:t xml:space="preserve"> 2025</w:t>
      </w:r>
      <w:r w:rsidRPr="008C447C">
        <w:t>, ενώ στην Ευρωζώνη διαμορφώθηκε σ</w:t>
      </w:r>
      <w:r w:rsidR="00F74090">
        <w:t>τις</w:t>
      </w:r>
      <w:r w:rsidRPr="008C447C">
        <w:t xml:space="preserve"> 49,8 μονάδες από </w:t>
      </w:r>
      <w:r w:rsidR="00F74090">
        <w:t xml:space="preserve">τις </w:t>
      </w:r>
      <w:r w:rsidRPr="008C447C">
        <w:t>50,7 μονάδες το</w:t>
      </w:r>
      <w:r>
        <w:t xml:space="preserve">ν </w:t>
      </w:r>
      <w:r w:rsidRPr="008C447C">
        <w:t>Α</w:t>
      </w:r>
      <w:r>
        <w:t>ύγουστο 2025</w:t>
      </w:r>
      <w:r w:rsidRPr="008C447C">
        <w:t>. Παρά τη βραδύτερη αύξηση της παραγωγής, των νέων παραγγελιών και της απασχόλησης, οι ρυθμοί επέκτασης παρέμειναν ιστορικά υψηλοί. Ο πληθωρισμός κόστους και τιμών πώλησης υποχώρησε, ενώ η επιχειρηματική εμπιστοσύνη ενισχύθηκε χάρη στις θετικές προοπτικές για την παραγωγή τους επόμενους μήνες. Σύμφωνα με τα τελευταία διαθέσιμα στοιχεία (1η Οκτωβρίου 2025), η Ελλάδα κατέγραψε τη δεύτερη καλύτερη επίδοση για τον Σεπτέμβριο 2025 από τις χώρες της Ευρωζώνης που συμμετέχουν στον δείκτη, μετά την Ολλανδία.</w:t>
      </w:r>
    </w:p>
    <w:p w14:paraId="29727287" w14:textId="4B7CCC5B" w:rsidR="00622607" w:rsidRDefault="00622607" w:rsidP="00300BBF">
      <w:pPr>
        <w:pStyle w:val="5"/>
      </w:pPr>
      <w:bookmarkStart w:id="63" w:name="_Toc214473728"/>
      <w:r>
        <w:t>Πληθωρισμός - Τιμές</w:t>
      </w:r>
      <w:bookmarkEnd w:id="63"/>
    </w:p>
    <w:p w14:paraId="634F6571" w14:textId="1FD18748" w:rsidR="00982FED" w:rsidRDefault="001229CD" w:rsidP="001229CD">
      <w:r w:rsidRPr="008C447C">
        <w:t xml:space="preserve">Η </w:t>
      </w:r>
      <w:r>
        <w:t xml:space="preserve">αποκλιμάκωση </w:t>
      </w:r>
      <w:r w:rsidRPr="008C447C">
        <w:t xml:space="preserve">του πληθωρισμού συνεχίστηκε την περίοδο Ιανουαρίου - </w:t>
      </w:r>
      <w:r w:rsidR="00982FED">
        <w:t>Οκτω</w:t>
      </w:r>
      <w:r w:rsidRPr="008C447C">
        <w:t xml:space="preserve">βρίου 2025 </w:t>
      </w:r>
      <w:r w:rsidR="00474268">
        <w:t>συνεπεία</w:t>
      </w:r>
      <w:r w:rsidRPr="008C447C">
        <w:t xml:space="preserve"> της συνεχιζόμενης υποχώρησης των τιμών των ενεργειακών αγαθών και της επιβράδυνσης της ανόδου των τιμών στα τρόφιμα.</w:t>
      </w:r>
      <w:r w:rsidR="009120CB">
        <w:t xml:space="preserve"> </w:t>
      </w:r>
      <w:r w:rsidRPr="008C447C">
        <w:t>Το</w:t>
      </w:r>
      <w:r w:rsidR="008C3800">
        <w:t>ν</w:t>
      </w:r>
      <w:r w:rsidRPr="008C447C">
        <w:t xml:space="preserve"> </w:t>
      </w:r>
      <w:r w:rsidR="00982FED">
        <w:t>Οκτώβριο</w:t>
      </w:r>
      <w:r w:rsidRPr="008C447C">
        <w:t xml:space="preserve"> 2025 ο ΓΔΤΚ διαμορφώθηκε σε </w:t>
      </w:r>
      <w:r w:rsidR="00982FED">
        <w:t>2</w:t>
      </w:r>
      <w:r w:rsidRPr="008C447C">
        <w:t>,</w:t>
      </w:r>
      <w:r w:rsidR="00982FED">
        <w:t>0</w:t>
      </w:r>
      <w:r w:rsidRPr="008C447C">
        <w:t xml:space="preserve">% έναντι του </w:t>
      </w:r>
      <w:r w:rsidR="00982FED">
        <w:t>Οκτω</w:t>
      </w:r>
      <w:r w:rsidRPr="008C447C">
        <w:t xml:space="preserve">βρίου 2024. </w:t>
      </w:r>
      <w:r w:rsidRPr="00DB076F">
        <w:t>Σε ετήσια βάση ο πληθωρισμός</w:t>
      </w:r>
      <w:r w:rsidR="00982FED">
        <w:t xml:space="preserve"> των τροφίμων αυξήθηκε κατά 1,9%, της ένδυσης και υπόδησης, </w:t>
      </w:r>
      <w:r w:rsidR="00105C8F">
        <w:t>ομοίως</w:t>
      </w:r>
      <w:r w:rsidR="00982FED">
        <w:t xml:space="preserve">, κατά 1,9%, της υγείας κατά 0,6%, των μεταφορών κατά 0,7%, ενώ </w:t>
      </w:r>
      <w:r w:rsidR="00105C8F">
        <w:t xml:space="preserve">μείωση παρουσίασαν </w:t>
      </w:r>
      <w:r w:rsidR="00982FED">
        <w:t>ο</w:t>
      </w:r>
      <w:r w:rsidR="00105C8F">
        <w:t>ι</w:t>
      </w:r>
      <w:r w:rsidR="00982FED">
        <w:t xml:space="preserve"> δείκτ</w:t>
      </w:r>
      <w:r w:rsidR="00105C8F">
        <w:t>ε</w:t>
      </w:r>
      <w:r w:rsidR="00982FED">
        <w:t xml:space="preserve">ς τιμών του ηλεκτρισμού κατά 3,3%, του φυσικού αερίου </w:t>
      </w:r>
      <w:r w:rsidR="00982FED" w:rsidRPr="00982FED">
        <w:t>κατά</w:t>
      </w:r>
      <w:r w:rsidR="00982FED">
        <w:t xml:space="preserve"> 6,3% και του πετρελαίου θέρμανσης κατά 4,3%. Σημαντικά υψηλότερα του ΓΔΤΚ κινήθηκε ο πληθωρισμός στην κατηγορία </w:t>
      </w:r>
      <w:r w:rsidR="00105C8F">
        <w:t>τ</w:t>
      </w:r>
      <w:r w:rsidR="00105C8F" w:rsidRPr="00EB55A9">
        <w:t>ων ξενοδοχείων</w:t>
      </w:r>
      <w:r w:rsidR="00EB55A9" w:rsidRPr="00EB55A9">
        <w:t xml:space="preserve"> - </w:t>
      </w:r>
      <w:r w:rsidR="00105C8F" w:rsidRPr="00EB55A9">
        <w:t>κ</w:t>
      </w:r>
      <w:r w:rsidR="00982FED" w:rsidRPr="00EB55A9">
        <w:t>αφέ</w:t>
      </w:r>
      <w:r w:rsidR="00105C8F" w:rsidRPr="00EB55A9">
        <w:t xml:space="preserve"> </w:t>
      </w:r>
      <w:r w:rsidR="00EB55A9" w:rsidRPr="00EB55A9">
        <w:t xml:space="preserve">- </w:t>
      </w:r>
      <w:r w:rsidR="00105C8F" w:rsidRPr="00EB55A9">
        <w:t>εστιατορίων, όπου</w:t>
      </w:r>
      <w:r w:rsidR="00105C8F">
        <w:t xml:space="preserve"> ο σχετικός δείκτης παρουσίασε αύξηση τον Οκτώβριο 2025 κατά 6,5% σε ετήσια βάση.</w:t>
      </w:r>
    </w:p>
    <w:p w14:paraId="44912DE7" w14:textId="4D2B4464" w:rsidR="001229CD" w:rsidRPr="008C447C" w:rsidRDefault="001229CD" w:rsidP="001229CD">
      <w:r w:rsidRPr="008C447C">
        <w:t xml:space="preserve">Ο πυρήνας του πληθωρισμού (εξαιρουμένων </w:t>
      </w:r>
      <w:r w:rsidR="00E47E8D">
        <w:t xml:space="preserve">της </w:t>
      </w:r>
      <w:r w:rsidRPr="008C447C">
        <w:t xml:space="preserve">ενέργειας και </w:t>
      </w:r>
      <w:r w:rsidR="00E47E8D">
        <w:t xml:space="preserve">των </w:t>
      </w:r>
      <w:r w:rsidRPr="008C447C">
        <w:t>τροφίμων)</w:t>
      </w:r>
      <w:r w:rsidR="00E47E8D">
        <w:t xml:space="preserve">, </w:t>
      </w:r>
      <w:r w:rsidRPr="008C447C">
        <w:t>βάσει της μεθοδολογίας της ΕΛΣΤΑΤ</w:t>
      </w:r>
      <w:r w:rsidR="00E47E8D">
        <w:t>,</w:t>
      </w:r>
      <w:r w:rsidRPr="008C447C">
        <w:t xml:space="preserve"> αυξήθηκε </w:t>
      </w:r>
      <w:r w:rsidR="00E47E8D" w:rsidRPr="008C447C">
        <w:t xml:space="preserve">τον </w:t>
      </w:r>
      <w:r w:rsidR="006815F1">
        <w:t>Οκτώβριο</w:t>
      </w:r>
      <w:r w:rsidR="00E47E8D" w:rsidRPr="008C447C">
        <w:t xml:space="preserve"> 2025 </w:t>
      </w:r>
      <w:r w:rsidRPr="008C447C">
        <w:t xml:space="preserve">κατά </w:t>
      </w:r>
      <w:r w:rsidR="006815F1">
        <w:t>2</w:t>
      </w:r>
      <w:r w:rsidRPr="008C447C">
        <w:t>,</w:t>
      </w:r>
      <w:r w:rsidR="006815F1">
        <w:t>8</w:t>
      </w:r>
      <w:r w:rsidRPr="008C447C">
        <w:t>%</w:t>
      </w:r>
      <w:r w:rsidR="00E47E8D">
        <w:t xml:space="preserve"> </w:t>
      </w:r>
      <w:r w:rsidR="00E47E8D" w:rsidRPr="008C447C">
        <w:t>σε ετήσια βάση</w:t>
      </w:r>
      <w:r w:rsidR="006815F1">
        <w:t>, σημειώνοντας αποκλιμάκωση</w:t>
      </w:r>
      <w:r w:rsidRPr="008C447C">
        <w:t xml:space="preserve"> </w:t>
      </w:r>
      <w:r w:rsidR="00A96B7D">
        <w:t xml:space="preserve">έναντι </w:t>
      </w:r>
      <w:r w:rsidR="006815F1">
        <w:t>το</w:t>
      </w:r>
      <w:r w:rsidR="00A96B7D">
        <w:t>υ</w:t>
      </w:r>
      <w:r w:rsidR="006815F1">
        <w:t xml:space="preserve"> Σεπτ</w:t>
      </w:r>
      <w:r w:rsidR="00A96B7D">
        <w:t>εμβρίου</w:t>
      </w:r>
      <w:r w:rsidR="006815F1">
        <w:t xml:space="preserve"> 2025, που παρουσίαζε</w:t>
      </w:r>
      <w:r w:rsidR="00E47E8D">
        <w:t xml:space="preserve"> </w:t>
      </w:r>
      <w:r w:rsidRPr="008C447C">
        <w:t>αύξηση</w:t>
      </w:r>
      <w:r w:rsidR="006815F1">
        <w:t xml:space="preserve"> κατά 3,2%</w:t>
      </w:r>
      <w:r w:rsidR="00A96B7D">
        <w:t xml:space="preserve"> </w:t>
      </w:r>
      <w:r w:rsidR="006815F1">
        <w:t xml:space="preserve">σε ετήσια βάση και </w:t>
      </w:r>
      <w:r w:rsidR="00A96B7D">
        <w:t xml:space="preserve">έναντι </w:t>
      </w:r>
      <w:r w:rsidR="006815F1">
        <w:t>το</w:t>
      </w:r>
      <w:r w:rsidR="00A96B7D">
        <w:t>υ</w:t>
      </w:r>
      <w:r w:rsidR="006815F1">
        <w:t xml:space="preserve"> Α</w:t>
      </w:r>
      <w:r w:rsidR="00A96B7D">
        <w:t>υ</w:t>
      </w:r>
      <w:r w:rsidR="006815F1">
        <w:t>γο</w:t>
      </w:r>
      <w:r w:rsidR="00A96B7D">
        <w:t>ύ</w:t>
      </w:r>
      <w:r w:rsidR="006815F1">
        <w:t>στο</w:t>
      </w:r>
      <w:r w:rsidR="00A96B7D">
        <w:t>υ</w:t>
      </w:r>
      <w:r w:rsidR="006815F1">
        <w:t xml:space="preserve"> 2025, που παρουσίαζε αύξηση κατά 4,2% σε ετήσια βάση.</w:t>
      </w:r>
    </w:p>
    <w:p w14:paraId="109AC572" w14:textId="77777777" w:rsidR="001229CD" w:rsidRPr="008C447C" w:rsidRDefault="001229CD" w:rsidP="00F0270C">
      <w:pPr>
        <w:spacing w:after="240"/>
      </w:pPr>
      <w:r w:rsidRPr="008C447C">
        <w:t>Η εκτίμηση για τη διαμόρφωση του πληθωρισμού (ΓΔΤΚ) για το έτος 2025 είναι 2,6%.</w:t>
      </w:r>
    </w:p>
    <w:p w14:paraId="014CA40C" w14:textId="19DA1E28" w:rsidR="00CD3075" w:rsidRPr="009D1BE8" w:rsidRDefault="001E71D5" w:rsidP="00261DCB">
      <w:pPr>
        <w:pStyle w:val="afe"/>
        <w:keepNext/>
        <w:spacing w:after="60" w:line="276" w:lineRule="auto"/>
        <w:rPr>
          <w:rFonts w:cs="Arial"/>
          <w:sz w:val="18"/>
          <w:szCs w:val="18"/>
        </w:rPr>
      </w:pPr>
      <w:bookmarkStart w:id="64" w:name="_Ref150422524"/>
      <w:bookmarkStart w:id="65" w:name="_Toc214474700"/>
      <w:r w:rsidRPr="009D1BE8">
        <w:rPr>
          <w:sz w:val="18"/>
          <w:szCs w:val="18"/>
        </w:rPr>
        <w:t>Διάγραμμα 1.</w:t>
      </w:r>
      <w:r w:rsidRPr="009D1BE8">
        <w:rPr>
          <w:sz w:val="18"/>
          <w:szCs w:val="18"/>
        </w:rPr>
        <w:fldChar w:fldCharType="begin"/>
      </w:r>
      <w:r w:rsidRPr="009D1BE8">
        <w:rPr>
          <w:sz w:val="18"/>
          <w:szCs w:val="18"/>
        </w:rPr>
        <w:instrText xml:space="preserve"> SEQ Διάγραμμα_1. \* ARABIC </w:instrText>
      </w:r>
      <w:r w:rsidRPr="009D1BE8">
        <w:rPr>
          <w:sz w:val="18"/>
          <w:szCs w:val="18"/>
        </w:rPr>
        <w:fldChar w:fldCharType="separate"/>
      </w:r>
      <w:r w:rsidR="00E15678">
        <w:rPr>
          <w:noProof/>
          <w:sz w:val="18"/>
          <w:szCs w:val="18"/>
        </w:rPr>
        <w:t>5</w:t>
      </w:r>
      <w:r w:rsidRPr="009D1BE8">
        <w:rPr>
          <w:sz w:val="18"/>
          <w:szCs w:val="18"/>
        </w:rPr>
        <w:fldChar w:fldCharType="end"/>
      </w:r>
      <w:bookmarkEnd w:id="64"/>
      <w:r w:rsidRPr="009D1BE8">
        <w:rPr>
          <w:sz w:val="18"/>
          <w:szCs w:val="18"/>
        </w:rPr>
        <w:t>.:</w:t>
      </w:r>
      <w:r w:rsidRPr="009D1BE8">
        <w:rPr>
          <w:rFonts w:cs="Arial"/>
          <w:sz w:val="18"/>
          <w:szCs w:val="18"/>
        </w:rPr>
        <w:t xml:space="preserve"> Ετήσιος Εν.ΔΤΚ, ενέργεια, πυρήνας </w:t>
      </w:r>
      <w:r w:rsidR="009E0DC1" w:rsidRPr="009D1BE8">
        <w:rPr>
          <w:rFonts w:cs="Arial"/>
          <w:sz w:val="18"/>
          <w:szCs w:val="18"/>
        </w:rPr>
        <w:t>και</w:t>
      </w:r>
      <w:r w:rsidRPr="009D1BE8">
        <w:rPr>
          <w:rFonts w:cs="Arial"/>
          <w:sz w:val="18"/>
          <w:szCs w:val="18"/>
        </w:rPr>
        <w:t xml:space="preserve"> τρόφιμα (% ετήσιες μεταβολές)</w:t>
      </w:r>
      <w:bookmarkEnd w:id="65"/>
    </w:p>
    <w:p w14:paraId="4AD9D79D" w14:textId="16CEB2B2" w:rsidR="001229CD" w:rsidRDefault="001229CD" w:rsidP="00BA789A">
      <w:pPr>
        <w:spacing w:after="0"/>
        <w:jc w:val="center"/>
      </w:pPr>
      <w:r w:rsidRPr="001229CD">
        <w:rPr>
          <w:noProof/>
          <w:sz w:val="14"/>
        </w:rPr>
        <w:drawing>
          <wp:inline distT="0" distB="0" distL="0" distR="0" wp14:anchorId="12AA2305" wp14:editId="2F5F4EBA">
            <wp:extent cx="5759450" cy="2752725"/>
            <wp:effectExtent l="0" t="0" r="12700" b="9525"/>
            <wp:docPr id="308756594" name="Chart 1">
              <a:extLst xmlns:a="http://schemas.openxmlformats.org/drawingml/2006/main">
                <a:ext uri="{FF2B5EF4-FFF2-40B4-BE49-F238E27FC236}">
                  <a16:creationId xmlns:a16="http://schemas.microsoft.com/office/drawing/2014/main" id="{5E7B46B8-E5F6-4C47-AA2D-8FAC2B335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FB9B74" w14:textId="7A97D608" w:rsidR="009D1BE8" w:rsidRPr="00DB076F" w:rsidRDefault="009D1BE8" w:rsidP="009D1BE8">
      <w:pPr>
        <w:spacing w:before="240"/>
      </w:pPr>
      <w:r w:rsidRPr="00DB076F">
        <w:t>Ο Εν.ΔΤΚ διαμορφώθηκε σε 1,7% τον Οκτώβριο 2025 από 1,8% το</w:t>
      </w:r>
      <w:r>
        <w:t>ν</w:t>
      </w:r>
      <w:r w:rsidRPr="00DB076F">
        <w:t xml:space="preserve"> Σεπτέμβριο 2025</w:t>
      </w:r>
      <w:r w:rsidR="00E47E8D">
        <w:t>, κατα</w:t>
      </w:r>
      <w:r w:rsidR="00857171">
        <w:t xml:space="preserve">γράφοντας </w:t>
      </w:r>
      <w:r w:rsidRPr="00DB076F">
        <w:t>σημαντικά χαμηλότερ</w:t>
      </w:r>
      <w:r w:rsidR="00857171">
        <w:t>ο</w:t>
      </w:r>
      <w:r w:rsidRPr="00DB076F">
        <w:t xml:space="preserve"> </w:t>
      </w:r>
      <w:r w:rsidR="00857171">
        <w:t>ποσοστό έναντι του</w:t>
      </w:r>
      <w:r w:rsidRPr="00DB076F">
        <w:t xml:space="preserve"> ρυθμ</w:t>
      </w:r>
      <w:r w:rsidR="00857171">
        <w:t>ού</w:t>
      </w:r>
      <w:r w:rsidRPr="00DB076F">
        <w:t xml:space="preserve"> μεταβολής 3,1% τον Αύγουστο </w:t>
      </w:r>
      <w:r w:rsidRPr="000D3127">
        <w:t>2025 (</w:t>
      </w:r>
      <w:r w:rsidR="00F0270C" w:rsidRPr="000D3127">
        <w:fldChar w:fldCharType="begin"/>
      </w:r>
      <w:r w:rsidR="00F0270C" w:rsidRPr="000D3127">
        <w:instrText xml:space="preserve"> REF _Ref150422524 \h  \* MERGEFORMAT </w:instrText>
      </w:r>
      <w:r w:rsidR="00F0270C" w:rsidRPr="000D3127">
        <w:fldChar w:fldCharType="separate"/>
      </w:r>
      <w:r w:rsidR="00E15678" w:rsidRPr="00E15678">
        <w:t>Διάγραμμα 1.5</w:t>
      </w:r>
      <w:r w:rsidR="00F0270C" w:rsidRPr="000D3127">
        <w:fldChar w:fldCharType="end"/>
      </w:r>
      <w:r w:rsidRPr="000D3127">
        <w:t>.). Η σημαντική επιβράδυνση της αύξησης του πληθωρισμού στην Ελλάδα τον Οκτώβ</w:t>
      </w:r>
      <w:r w:rsidRPr="00DB076F">
        <w:t xml:space="preserve">ριο 2025 </w:t>
      </w:r>
      <w:r w:rsidRPr="00DB076F">
        <w:lastRenderedPageBreak/>
        <w:t xml:space="preserve">αποδίδεται κυρίως: </w:t>
      </w:r>
      <w:r w:rsidR="00E47E8D">
        <w:t>(</w:t>
      </w:r>
      <w:r w:rsidRPr="00DB076F">
        <w:t xml:space="preserve">α) στη μείωση των τιμών της ενέργειας (-3,3% και -3,7% </w:t>
      </w:r>
      <w:r>
        <w:t xml:space="preserve">τον </w:t>
      </w:r>
      <w:r w:rsidRPr="00DB076F">
        <w:t>Σεπτέμβριο και</w:t>
      </w:r>
      <w:r w:rsidR="00857171">
        <w:t xml:space="preserve"> τον</w:t>
      </w:r>
      <w:r w:rsidRPr="00DB076F">
        <w:t xml:space="preserve"> Αύγουστο</w:t>
      </w:r>
      <w:r w:rsidR="00857171">
        <w:t>,</w:t>
      </w:r>
      <w:r w:rsidRPr="00DB076F">
        <w:t xml:space="preserve"> αντίστοιχα) και των τιμών των μη ενεργειακών βιομηχανικών προϊόντων (-0,2% έναντι 0,5% τον προηγούμενο μήνα), </w:t>
      </w:r>
      <w:r w:rsidR="00857171">
        <w:t>(</w:t>
      </w:r>
      <w:r w:rsidRPr="00DB076F">
        <w:t>β) στην περαιτέρω επιβράδυνση των τιμών των υπηρεσιών (2,7% από 3,4% τον Αύγουστο)</w:t>
      </w:r>
      <w:r>
        <w:t xml:space="preserve"> και </w:t>
      </w:r>
      <w:r w:rsidR="00857171">
        <w:t>(</w:t>
      </w:r>
      <w:r w:rsidRPr="00DB076F">
        <w:t xml:space="preserve">γ) στην επιβράδυνση του πυρήνα </w:t>
      </w:r>
      <w:r w:rsidR="00857171">
        <w:t xml:space="preserve">του </w:t>
      </w:r>
      <w:r w:rsidRPr="00DB076F">
        <w:t>πληθωρισμού σ</w:t>
      </w:r>
      <w:r w:rsidR="00857171">
        <w:t>ε</w:t>
      </w:r>
      <w:r w:rsidRPr="00DB076F">
        <w:t xml:space="preserve"> 1,9% (έναντι 2,6% τον προηγούμενο μήνα).</w:t>
      </w:r>
    </w:p>
    <w:p w14:paraId="4487A009" w14:textId="21EFEBF8" w:rsidR="009D1BE8" w:rsidRPr="00DB076F" w:rsidRDefault="009D1BE8" w:rsidP="009D1BE8">
      <w:r w:rsidRPr="00DB076F">
        <w:t>Την περίοδο Ιανουαρίου - Οκτωβρίου 2025 η μέση αύξηση του Εν.ΔΤΚ ήταν 2,9%</w:t>
      </w:r>
      <w:r w:rsidR="006815F1">
        <w:t xml:space="preserve"> έναντι</w:t>
      </w:r>
      <w:r w:rsidRPr="00DB076F">
        <w:t xml:space="preserve"> 3,0%</w:t>
      </w:r>
      <w:r w:rsidR="005B6A6B">
        <w:t>,</w:t>
      </w:r>
      <w:r w:rsidRPr="00DB076F">
        <w:t xml:space="preserve"> που είχε σημειωθεί την αντίστοιχη περίοδο του 2024. Η εκτίμηση για τον μέσο ρυθμό μεταβολής του Εν.ΔΤΚ για το 2025 είναι 3,0%.</w:t>
      </w:r>
    </w:p>
    <w:p w14:paraId="3251400B" w14:textId="0F414ECA" w:rsidR="00622607" w:rsidRDefault="00622607" w:rsidP="00300BBF">
      <w:pPr>
        <w:pStyle w:val="5"/>
      </w:pPr>
      <w:bookmarkStart w:id="66" w:name="_Toc214473729"/>
      <w:r>
        <w:t>Απασχόληση - Ανεργία</w:t>
      </w:r>
      <w:bookmarkEnd w:id="66"/>
    </w:p>
    <w:p w14:paraId="5624C210" w14:textId="0B27BF6B" w:rsidR="0084739E" w:rsidRPr="00FD746C" w:rsidRDefault="0084739E" w:rsidP="0084739E">
      <w:r w:rsidRPr="00FD746C">
        <w:t xml:space="preserve">Η ανάπτυξη της ελληνικής οικονομίας με σταθερούς ρυθμούς άνω του 2% </w:t>
      </w:r>
      <w:r w:rsidR="001A663F">
        <w:t xml:space="preserve">κατά </w:t>
      </w:r>
      <w:r w:rsidRPr="00FD746C">
        <w:t xml:space="preserve">τα τελευταία έτη, η αύξηση των επενδύσεων και η πραγματοποίηση διαρθρωτικών μεταρρυθμίσεων έχουν συμβάλει στην </w:t>
      </w:r>
      <w:r w:rsidR="001A663F">
        <w:t xml:space="preserve">ενίσχυση </w:t>
      </w:r>
      <w:r w:rsidRPr="00FD746C">
        <w:t>της συνολικής απασχόλησης, στη μείωση του ποσοστού ανεργίας και στη βελτίωση του ποσοστού συμμετοχής στο εργατικό δυναμικό. Σύμφωνα με το ισοζύγιο μισθωτής απασχόλησης του συστήματος ΕΡΓΑΝΗ, στο οκτάμηνο του έτους 2025 δημιουργήθηκαν 317.301 νέες θέσεις εργασίας έναντι 299.148 το 2024, αποτελώντας την υψηλότερη επίδοση οκταμήνου έτους από το 2001 μέχρι σήμερα. Στο σύνολο των προσλήψεων της ίδιας περιόδου το 55,8% αφορά σε συμβάσεις πλήρους απασχόλησης, το 34,9% σε συμβάσεις μερικής απασχόλησης και το 9,2% σε συμβάσεις εκ περιτροπής.</w:t>
      </w:r>
    </w:p>
    <w:p w14:paraId="5B35B168" w14:textId="7C85BC30" w:rsidR="0084739E" w:rsidRPr="00FD746C" w:rsidRDefault="0084739E" w:rsidP="0084739E">
      <w:r w:rsidRPr="00FD746C">
        <w:t>Σύμφωνα με τα στοιχεία της Έρευνας Εργατικού Δυναμικού της ΕΛΣΤΑΤ, ο αριθμός των απασχολούμενων το 2ο τρίμηνο του 2025 ανήλθε σε 4.386.832 άτομα, παρουσιάζοντας αύξηση κατά 4,0% έναντι του προηγούμενου τριμήνου και αύξηση 1,4% σε σχέση με το αντίστοιχο τρίμηνο του προηγούμενου έτους. Ο αριθμός των ανέργων το 2ο τρίμηνο του 2025 ανήλθε σε 411.722 άτομα, χαμηλότερος σε σύγκριση με τον αριθμό των 488.085 ατόμων του 1ου τριμήνου, παρουσιάζοντας μείωση κατά 15,7%, ενώ σε ετήσια βάση κατέγραψε μείωση 12,0%. Το ποσοστό ανεργίας κατά το 2ο τρίμηνο</w:t>
      </w:r>
      <w:r w:rsidR="0032708E">
        <w:t xml:space="preserve"> του</w:t>
      </w:r>
      <w:r w:rsidRPr="00FD746C">
        <w:t xml:space="preserve"> 2025 διαμορφώθηκε σε 8,6%, υποχωρώντας τόσο σε σχέση με το ποσοστό 10,4% του 1ου τριμήνου όσο και με το ποσοστό 9,8% του αντίστοιχου τριμήνου του προηγούμενου έτους. Σημειώνεται ότι το ανωτέρω μονοψήφιο ποσοστό 8,6% συνιστά, σύμφωνα με στοιχεία της Eurostat, το χαμηλότερο ποσοστό ανεργίας από το 1ο τρίμηνο του 2009 και εφεξής.</w:t>
      </w:r>
    </w:p>
    <w:p w14:paraId="35E3DB91" w14:textId="451097BD" w:rsidR="0084739E" w:rsidRPr="00FD746C" w:rsidRDefault="0084739E" w:rsidP="0084739E">
      <w:r w:rsidRPr="00FD746C">
        <w:t>Στις ανωτέρω εξελίξεις συνέβαλαν τα μέτρα πολιτικής και οι μεταρρυθμίσεις που υιοθετήθηκαν, όπως η μείωση των ασφαλιστικών εισφορών τα τελευταία έτη, η οποία συνετέλεσε άμεσα στην ελάφρυνση του μη μισθολογικού κόστους, η μείωση των φορολογικών βαρών, η ψηφιακή κάρτα εργασίας, η οποία συνέτεινε στην καταγραφή των πραγματικών ωρών απασχόλησης και στην αύξηση των αποδοχών των εργαζόμενων, οι πολιτικές για τη διευκόλυνση της συμμετοχής των γυναικών στην αγορά εργασίας και οι υψηλοί ρυθμοί ανάπτυξης της ελληνικής οικονομίας με την αύξηση των επενδύσεων, που είχαν ως αποτέλεσμα την αύξηση της ζήτησης εργασίας εκ μέρους των επιχειρήσεων. Σημειώνεται ότι από το 2019 και εφεξής το επίπεδο των μισθών έχει αυξηθεί σημαντικά, καθ</w:t>
      </w:r>
      <w:r w:rsidR="00496D61">
        <w:t xml:space="preserve">’ όσον </w:t>
      </w:r>
      <w:r w:rsidRPr="00FD746C">
        <w:t>ο κατώτατος μισθός έχει καταγράψει σωρευτική αύξηση της τάξης του 35,4% με στόχο τη διαμόρφωση του κατώτατου μισθού στο ποσό των 950 ευρώ έως τον Απρίλιο 2027. Η αύξηση του κατώτατου μισθού</w:t>
      </w:r>
      <w:r w:rsidR="00496D61">
        <w:t xml:space="preserve">, </w:t>
      </w:r>
      <w:r w:rsidRPr="00FD746C">
        <w:t>η οποία συμπαρασύρει μερικώς και τον μέσο μισθό</w:t>
      </w:r>
      <w:r w:rsidR="00496D61">
        <w:t>,</w:t>
      </w:r>
      <w:r w:rsidRPr="00FD746C">
        <w:t xml:space="preserve"> συμβάλλει επίσης στην αντιμετώπιση ζητημάτων έλλειψης προσφοράς εργατικού δυναμικού σε ορισμένους τομείς, όπως το λιανικό εμπόριο, η γεωργία, </w:t>
      </w:r>
      <w:r w:rsidR="00496D61">
        <w:t>οι</w:t>
      </w:r>
      <w:r w:rsidRPr="00FD746C">
        <w:t xml:space="preserve"> κατασκευές και ο τουρισμό</w:t>
      </w:r>
      <w:r w:rsidR="00496D61">
        <w:t>ς</w:t>
      </w:r>
      <w:r w:rsidRPr="00FD746C">
        <w:t>, ενώ παράλληλα</w:t>
      </w:r>
      <w:r w:rsidR="00F74090">
        <w:t>,</w:t>
      </w:r>
      <w:r w:rsidRPr="00FD746C">
        <w:t xml:space="preserve"> ενισχύει τη συμμετοχή στην αγορά εργασίας. Στο πλαίσιο αυτό και ο μέσος μισθός αυξήθηκε σε 1.342 ευρώ, σύμφωνα με τα στοιχεία της ετήσιας έκθεσης του συστήματος ΕΡΓΑΝΗ για το έτος 2024 (αύξηση 28,3% από το 2019), με στόχο τη διαμόρφωσή του στο ποσό των 1.500 ευρώ έως τον Απρίλιο 2027. </w:t>
      </w:r>
      <w:r w:rsidR="00F32481">
        <w:t>Ο</w:t>
      </w:r>
      <w:r w:rsidRPr="00FD746C">
        <w:t xml:space="preserve">ι αμοιβές εξαρτημένης εργασίας ανά εργαζόμενο </w:t>
      </w:r>
      <w:r w:rsidR="00F32481">
        <w:t xml:space="preserve">εκτιμάται ότι </w:t>
      </w:r>
      <w:r w:rsidRPr="00FD746C">
        <w:t>θα αυξηθούν περαιτέρω το 2025 κατά 3,7%</w:t>
      </w:r>
      <w:r w:rsidR="002045B3">
        <w:t>. Παράλληλα, οι</w:t>
      </w:r>
      <w:r w:rsidRPr="00FD746C">
        <w:t xml:space="preserve"> συνολικές αμοιβές εξαρτημένης εργασίας, λαμβανομένης υπόψη και της </w:t>
      </w:r>
      <w:r w:rsidR="002045B3">
        <w:t xml:space="preserve">ενίσχυσης </w:t>
      </w:r>
      <w:r w:rsidRPr="00FD746C">
        <w:t xml:space="preserve">της απασχόλησης, αναμένεται να </w:t>
      </w:r>
      <w:r w:rsidR="002045B3">
        <w:t xml:space="preserve">σημειώσουν αύξηση </w:t>
      </w:r>
      <w:r w:rsidRPr="00FD746C">
        <w:t xml:space="preserve">κατά 6,3% το 2025, </w:t>
      </w:r>
      <w:r w:rsidR="002045B3">
        <w:t xml:space="preserve">η οποία είναι </w:t>
      </w:r>
      <w:r w:rsidRPr="00FD746C">
        <w:t>σημαντικά υψηλότερ</w:t>
      </w:r>
      <w:r w:rsidR="002045B3">
        <w:t>η</w:t>
      </w:r>
      <w:r w:rsidRPr="00FD746C">
        <w:t xml:space="preserve"> </w:t>
      </w:r>
      <w:r w:rsidR="002045B3">
        <w:t xml:space="preserve">από την πρόβλεψη </w:t>
      </w:r>
      <w:r w:rsidR="002045B3" w:rsidRPr="00FD746C">
        <w:t xml:space="preserve">της εισηγητικής </w:t>
      </w:r>
      <w:r w:rsidR="002045B3" w:rsidRPr="00FD746C">
        <w:lastRenderedPageBreak/>
        <w:t>έκθεσης του προϋπολογισμού 2025</w:t>
      </w:r>
      <w:r w:rsidR="002045B3">
        <w:t xml:space="preserve"> (</w:t>
      </w:r>
      <w:r w:rsidRPr="00FD746C">
        <w:t>3,4%</w:t>
      </w:r>
      <w:r w:rsidR="002045B3">
        <w:t>)</w:t>
      </w:r>
      <w:r w:rsidRPr="00FD746C">
        <w:t>.</w:t>
      </w:r>
      <w:r w:rsidRPr="00FD746C">
        <w:rPr>
          <w:lang w:eastAsia="x-none"/>
        </w:rPr>
        <w:t xml:space="preserve"> Τα ανωτέρω ποσοστά, όπως αναμένεται να διαμορφωθούν, είναι σημαντικά υψηλότερα του πληθωρισμού (2,6%) και αντικατοπτρίζουν την ενίσχυση του πραγματικού εισοδήματος των εργαζόμενων.</w:t>
      </w:r>
    </w:p>
    <w:p w14:paraId="016B1C07" w14:textId="31358B50" w:rsidR="0084739E" w:rsidRPr="00FD746C" w:rsidRDefault="0084739E" w:rsidP="0084739E">
      <w:pPr>
        <w:rPr>
          <w:lang w:eastAsia="x-none"/>
        </w:rPr>
      </w:pPr>
      <w:r w:rsidRPr="00FD746C">
        <w:t xml:space="preserve">Το μεγαλύτερο ποσοστό των </w:t>
      </w:r>
      <w:r w:rsidR="009A3730">
        <w:t>εργαζόμενων</w:t>
      </w:r>
      <w:r w:rsidRPr="00FD746C">
        <w:t xml:space="preserve"> το </w:t>
      </w:r>
      <w:r w:rsidR="00896673">
        <w:t>2ο</w:t>
      </w:r>
      <w:r w:rsidRPr="00FD746C">
        <w:t xml:space="preserve"> τρίμηνο του 2025 </w:t>
      </w:r>
      <w:r w:rsidR="009A3730">
        <w:t>απασχολούνταν</w:t>
      </w:r>
      <w:r w:rsidRPr="00FD746C">
        <w:rPr>
          <w:lang w:eastAsia="x-none"/>
        </w:rPr>
        <w:t xml:space="preserve"> </w:t>
      </w:r>
      <w:r w:rsidR="00D27D0E">
        <w:rPr>
          <w:lang w:eastAsia="x-none"/>
        </w:rPr>
        <w:t>με σχέση εξαρτημένης εργασία</w:t>
      </w:r>
      <w:r w:rsidR="007F71A6">
        <w:rPr>
          <w:lang w:eastAsia="x-none"/>
        </w:rPr>
        <w:t>ς</w:t>
      </w:r>
      <w:r w:rsidR="00D27D0E">
        <w:rPr>
          <w:lang w:eastAsia="x-none"/>
        </w:rPr>
        <w:t xml:space="preserve"> </w:t>
      </w:r>
      <w:r w:rsidRPr="00FD746C">
        <w:rPr>
          <w:lang w:eastAsia="x-none"/>
        </w:rPr>
        <w:t>(72,1%), ενώ σημαντικό είναι και το ποσοστό των αυτοαπασχολούμενων (17,9%). Οι κλάδοι οικονομικής δραστηριότητας που συνέβαλαν στην αύξηση της απασχόλησης σε ετήσια βάση και σύμφωνα με το ποσοστό συμμετοχής τους στο σύνολο των απασχολούμενων, ήταν του χονδρικού και λιανικού εμπορίου, της επισκευής μηχανοκίνητων οχημάτων και μοτοσυκλετών, της μεταποίησης, των κατασκευών, της εκπαίδευσης καθώς και του κλάδου των επαγγελματικών, επιστημονικών</w:t>
      </w:r>
      <w:r w:rsidRPr="00FD746C">
        <w:t xml:space="preserve"> </w:t>
      </w:r>
      <w:r w:rsidRPr="00FD746C">
        <w:rPr>
          <w:lang w:eastAsia="x-none"/>
        </w:rPr>
        <w:t>και τεχνικών δραστηριοτήτων. Αντίθετα, μείωση του αριθμού των απασχολούμενων παρατηρήθηκε στους κλάδους της γεωργίας, δασοκομίας και αλιείας καθώς και της δημόσιας διοίκησης και άμυνας και της υποχρεωτικής κοινωνικής ασφάλισης.</w:t>
      </w:r>
      <w:r>
        <w:rPr>
          <w:lang w:eastAsia="x-none"/>
        </w:rPr>
        <w:t xml:space="preserve"> </w:t>
      </w:r>
      <w:r w:rsidRPr="00FD746C">
        <w:rPr>
          <w:lang w:eastAsia="x-none"/>
        </w:rPr>
        <w:t>Ο αριθμός των απασχολο</w:t>
      </w:r>
      <w:r w:rsidR="00896673">
        <w:rPr>
          <w:lang w:eastAsia="x-none"/>
        </w:rPr>
        <w:t>ύμενων</w:t>
      </w:r>
      <w:r w:rsidRPr="00FD746C">
        <w:rPr>
          <w:lang w:eastAsia="x-none"/>
        </w:rPr>
        <w:t xml:space="preserve"> στις δραστηριότητες υπηρεσιών παροχής καταλύματος και εστίασης κατέγραψε οριακή μείωση (1,1%) σε ετήσια βάση</w:t>
      </w:r>
      <w:r w:rsidR="00896673">
        <w:rPr>
          <w:lang w:eastAsia="x-none"/>
        </w:rPr>
        <w:t>,</w:t>
      </w:r>
      <w:r w:rsidRPr="00FD746C">
        <w:rPr>
          <w:lang w:eastAsia="x-none"/>
        </w:rPr>
        <w:t xml:space="preserve"> ενώ σε </w:t>
      </w:r>
      <w:r w:rsidR="00896673">
        <w:rPr>
          <w:lang w:eastAsia="x-none"/>
        </w:rPr>
        <w:t xml:space="preserve">σύγκριση </w:t>
      </w:r>
      <w:r w:rsidRPr="00FD746C">
        <w:rPr>
          <w:lang w:eastAsia="x-none"/>
        </w:rPr>
        <w:t xml:space="preserve">με το </w:t>
      </w:r>
      <w:r w:rsidR="00896673">
        <w:rPr>
          <w:lang w:eastAsia="x-none"/>
        </w:rPr>
        <w:t>1ο</w:t>
      </w:r>
      <w:r w:rsidRPr="00FD746C">
        <w:rPr>
          <w:lang w:eastAsia="x-none"/>
        </w:rPr>
        <w:t xml:space="preserve"> τρίμηνο του 2025 σημειώθηκε ιδιαίτερα σημαντική αύξηση (38,5%).</w:t>
      </w:r>
    </w:p>
    <w:p w14:paraId="051EDD90" w14:textId="3422CEEE" w:rsidR="0084739E" w:rsidRPr="00EB1CF6" w:rsidRDefault="0084739E" w:rsidP="0084739E">
      <w:pPr>
        <w:rPr>
          <w:lang w:eastAsia="x-none"/>
        </w:rPr>
      </w:pPr>
      <w:r w:rsidRPr="00EB1CF6">
        <w:rPr>
          <w:lang w:eastAsia="x-none"/>
        </w:rPr>
        <w:t xml:space="preserve">Σημαντική βελτίωση σημειώθηκε και σε μηνιαία βάση, σύμφωνα με τα στοιχεία της Έρευνας Εργατικού Δυναμικού της ΕΛΣΤΑΤ, όπου το εποχικά διορθωμένο ποσοστό ανεργίας τον Σεπτέμβριο 2025 ανήλθε σε 8,2% έναντι ποσοστού 9,7% τον Σεπτέμβριο 2024 και του αναθεωρημένου προς τα πάνω ποσοστού 8,2% τον Αύγουστο 2025. </w:t>
      </w:r>
      <w:r w:rsidR="00896673">
        <w:rPr>
          <w:lang w:eastAsia="x-none"/>
        </w:rPr>
        <w:t>Επισημαίνεται ότι τ</w:t>
      </w:r>
      <w:r w:rsidRPr="00EB1CF6">
        <w:rPr>
          <w:lang w:eastAsia="x-none"/>
        </w:rPr>
        <w:t>ο ποσοστό ανεργίας του Σεπτεμβρίου 2025 είναι το χαμηλότερο που έχει καταγραφεί από τον Νοέμβριο 2008 (7,7%). Το ποσοστό ανεργίας των γυναικών κατέγραψε βελτίωση υποχωρώντας κατά μία (1) ποσοστιαία μονάδα και διαμορφώθηκε σε 10,9% τον Σεπτέμβριο 2025</w:t>
      </w:r>
      <w:r>
        <w:rPr>
          <w:lang w:eastAsia="x-none"/>
        </w:rPr>
        <w:t xml:space="preserve"> </w:t>
      </w:r>
      <w:r w:rsidRPr="00EB1CF6">
        <w:rPr>
          <w:lang w:eastAsia="x-none"/>
        </w:rPr>
        <w:t>από 11,9% τον Σεπτέμβριο 2024, ενώ το ποσοστό ανεργίας των ανδρών υποχώρησε περαιτέρω σε 6,0% το</w:t>
      </w:r>
      <w:r w:rsidR="00D27D0E">
        <w:rPr>
          <w:lang w:eastAsia="x-none"/>
        </w:rPr>
        <w:t>ν</w:t>
      </w:r>
      <w:r w:rsidRPr="00EB1CF6">
        <w:rPr>
          <w:lang w:eastAsia="x-none"/>
        </w:rPr>
        <w:t xml:space="preserve"> Σεπτέμβριο 2025 από 7,9% τον Σεπτέμβριο 2024. Ο αριθμός των ανέργων ανήλθε σε 385.804 άτομα από 456.253 άτομα τον Σεπτέμβριο 2024, παρουσιάζοντας μείωση κατά 70.449 άτομα (-15,4%), με τον Σεπτέμβριο 2025 να καταγράφεται ο χαμηλότερος αριθμός ανέργων από τον Νοέμβριο 2008 (385.400 άτομα). Οι απασχολούμενοι ανήλθαν σε 4.326.322 άτομα από 4.267.236 άτομα τον Σεπτέμβριο 2024, σημειώνοντας αύξηση κατά 59.086 άτομα (1,4%).</w:t>
      </w:r>
    </w:p>
    <w:p w14:paraId="0C268674" w14:textId="289A1031" w:rsidR="0084739E" w:rsidRDefault="0084739E" w:rsidP="0084739E">
      <w:pPr>
        <w:rPr>
          <w:rFonts w:ascii="Calibri" w:hAnsi="Calibri" w:cs="Calibri"/>
          <w:sz w:val="22"/>
          <w:szCs w:val="22"/>
          <w:lang w:eastAsia="en-US"/>
        </w:rPr>
      </w:pPr>
      <w:r w:rsidRPr="00EB1CF6">
        <w:rPr>
          <w:lang w:eastAsia="x-none"/>
        </w:rPr>
        <w:t xml:space="preserve">Την περίοδο Ιανουαρίου - Σεπτεμβρίου 2025 το ποσοστό ανεργίας διαμορφώθηκε σε 8,9% έναντι 10,3% την αντίστοιχη περίοδο του 2024. </w:t>
      </w:r>
      <w:r>
        <w:rPr>
          <w:lang w:eastAsia="x-none"/>
        </w:rPr>
        <w:t xml:space="preserve">Βάσει της Έρευνας Εργατικού Δυναμικού, </w:t>
      </w:r>
      <w:r w:rsidR="000C72C1">
        <w:rPr>
          <w:lang w:eastAsia="x-none"/>
        </w:rPr>
        <w:t xml:space="preserve">για το 2025 </w:t>
      </w:r>
      <w:r>
        <w:rPr>
          <w:lang w:eastAsia="x-none"/>
        </w:rPr>
        <w:t xml:space="preserve">εκτιμάται ετήσια μείωση του ποσοστού ανεργίας σε </w:t>
      </w:r>
      <w:r w:rsidR="00EB6ABB">
        <w:rPr>
          <w:lang w:eastAsia="x-none"/>
        </w:rPr>
        <w:t>σύγκριση</w:t>
      </w:r>
      <w:r>
        <w:rPr>
          <w:lang w:eastAsia="x-none"/>
        </w:rPr>
        <w:t xml:space="preserve"> με το 2024 κ</w:t>
      </w:r>
      <w:r>
        <w:t>ατά μ</w:t>
      </w:r>
      <w:r w:rsidR="00EB6ABB">
        <w:t>ί</w:t>
      </w:r>
      <w:r>
        <w:t>α (1) ποσοστιαία μονάδα</w:t>
      </w:r>
      <w:r w:rsidR="00EB6ABB">
        <w:t xml:space="preserve">, </w:t>
      </w:r>
      <w:r>
        <w:t xml:space="preserve">διαμορφούμενου σε 9,1% του εργατικού δυναμικού </w:t>
      </w:r>
      <w:r w:rsidR="00EB6ABB">
        <w:t xml:space="preserve">έναντι </w:t>
      </w:r>
      <w:r>
        <w:t>10,1% το 2024, ενώ παράλληλα</w:t>
      </w:r>
      <w:r w:rsidR="00F74090">
        <w:t>,</w:t>
      </w:r>
      <w:r>
        <w:t xml:space="preserve"> εκτιμάται αύξηση 0,7% της απασχόλησης.</w:t>
      </w:r>
    </w:p>
    <w:p w14:paraId="73646D6E" w14:textId="0AC518C1" w:rsidR="00C23803" w:rsidRDefault="00C23803" w:rsidP="00300BBF">
      <w:pPr>
        <w:pStyle w:val="5"/>
      </w:pPr>
      <w:bookmarkStart w:id="67" w:name="_Toc214473730"/>
      <w:r>
        <w:t>Νομισματικές και πιστωτικές εξελίξεις στην Ελλάδα το 202</w:t>
      </w:r>
      <w:r w:rsidR="007D3BFF">
        <w:t>5</w:t>
      </w:r>
      <w:bookmarkEnd w:id="67"/>
    </w:p>
    <w:p w14:paraId="040521EC" w14:textId="2B314452" w:rsidR="007D3BFF" w:rsidRDefault="00F32481" w:rsidP="00DB7476">
      <w:pPr>
        <w:keepNext/>
        <w:rPr>
          <w:color w:val="000000" w:themeColor="text1"/>
        </w:rPr>
      </w:pPr>
      <w:r>
        <w:t>Κατά το τρέχον έτος ο</w:t>
      </w:r>
      <w:r w:rsidR="007D3BFF" w:rsidRPr="00BA35A8">
        <w:t xml:space="preserve"> ετήσιος ρυθμός ανόδου του </w:t>
      </w:r>
      <w:r w:rsidR="007D3BFF" w:rsidRPr="000D3127">
        <w:t>νομισματικού μεγέθους Μ3</w:t>
      </w:r>
      <w:r w:rsidR="007D3BFF" w:rsidRPr="000D3127">
        <w:rPr>
          <w:rStyle w:val="ab"/>
        </w:rPr>
        <w:footnoteReference w:id="4"/>
      </w:r>
      <w:r w:rsidRPr="000D3127">
        <w:t>, στο</w:t>
      </w:r>
      <w:r>
        <w:t xml:space="preserve"> οποίο περιλαμβάνονται και οι καταθέσεις, </w:t>
      </w:r>
      <w:r w:rsidR="007D3BFF" w:rsidRPr="00BA35A8">
        <w:t xml:space="preserve">διαμορφώθηκε σε 5,9% κατά μέσο όρο το εννεάμηνο Ιανουαρίου </w:t>
      </w:r>
      <w:r w:rsidR="00AC105E">
        <w:t>-</w:t>
      </w:r>
      <w:r w:rsidR="007D3BFF" w:rsidRPr="00BA35A8">
        <w:t xml:space="preserve"> Σεπτεμβρίου 2025, </w:t>
      </w:r>
      <w:r w:rsidR="00643981">
        <w:t xml:space="preserve">ανερχόμενος σε </w:t>
      </w:r>
      <w:r w:rsidR="007D3BFF" w:rsidRPr="00BA35A8">
        <w:t>ελαφρώς υψηλότερο</w:t>
      </w:r>
      <w:r w:rsidR="00643981">
        <w:t xml:space="preserve"> επίπεδο</w:t>
      </w:r>
      <w:r w:rsidR="007D3BFF" w:rsidRPr="00BA35A8">
        <w:t xml:space="preserve"> έναντι της μέσης τιμής</w:t>
      </w:r>
      <w:r w:rsidR="00EA0024">
        <w:t xml:space="preserve"> της αντίστοιχης περιόδου</w:t>
      </w:r>
      <w:r w:rsidR="007D3BFF" w:rsidRPr="00BA35A8">
        <w:t xml:space="preserve"> </w:t>
      </w:r>
      <w:r w:rsidR="00643981">
        <w:t xml:space="preserve">του </w:t>
      </w:r>
      <w:r w:rsidR="002B5E67">
        <w:t>2024</w:t>
      </w:r>
      <w:r w:rsidR="007D3BFF" w:rsidRPr="00BA35A8">
        <w:t xml:space="preserve"> (Ιαν. </w:t>
      </w:r>
      <w:r w:rsidR="00EA0024">
        <w:t>-</w:t>
      </w:r>
      <w:r w:rsidR="007D3BFF" w:rsidRPr="00BA35A8">
        <w:t xml:space="preserve"> Σεπ</w:t>
      </w:r>
      <w:r w:rsidR="007D3BFF" w:rsidRPr="000935EB">
        <w:t xml:space="preserve">. 2024: 3,4%). Η άνοδος του νομισματικού μεγέθους αποδίδεται στη </w:t>
      </w:r>
      <w:r w:rsidR="007D3BFF" w:rsidRPr="000935EB">
        <w:rPr>
          <w:color w:val="000000"/>
        </w:rPr>
        <w:t xml:space="preserve">σημαντική αύξηση των καταθέσεων </w:t>
      </w:r>
      <w:r w:rsidR="007D3BFF" w:rsidRPr="000D3127">
        <w:rPr>
          <w:color w:val="000000"/>
        </w:rPr>
        <w:t>διάρκειας μίας ημέρας</w:t>
      </w:r>
      <w:r w:rsidR="007D3BFF" w:rsidRPr="000D3127">
        <w:rPr>
          <w:rStyle w:val="ab"/>
          <w:color w:val="000000"/>
        </w:rPr>
        <w:footnoteReference w:id="5"/>
      </w:r>
      <w:r w:rsidR="00197C53" w:rsidRPr="000D3127">
        <w:rPr>
          <w:color w:val="000000"/>
        </w:rPr>
        <w:t>,</w:t>
      </w:r>
      <w:r w:rsidR="007D3BFF" w:rsidRPr="000D3127">
        <w:rPr>
          <w:color w:val="000000"/>
        </w:rPr>
        <w:t xml:space="preserve"> </w:t>
      </w:r>
      <w:r w:rsidR="00777323" w:rsidRPr="000D3127">
        <w:rPr>
          <w:color w:val="000000"/>
        </w:rPr>
        <w:t>η οπο</w:t>
      </w:r>
      <w:r w:rsidR="00777323">
        <w:rPr>
          <w:color w:val="000000"/>
        </w:rPr>
        <w:t xml:space="preserve">ία απορρέει από την </w:t>
      </w:r>
      <w:r w:rsidR="007D3BFF" w:rsidRPr="000935EB">
        <w:rPr>
          <w:color w:val="000000"/>
        </w:rPr>
        <w:t xml:space="preserve">ενίσχυση </w:t>
      </w:r>
      <w:r w:rsidR="007D3BFF" w:rsidRPr="00EE46B8">
        <w:rPr>
          <w:color w:val="000000"/>
        </w:rPr>
        <w:t xml:space="preserve">των ονομαστικών εισοδημάτων των νοικοκυριών και </w:t>
      </w:r>
      <w:r w:rsidR="00777323">
        <w:rPr>
          <w:color w:val="000000"/>
        </w:rPr>
        <w:t xml:space="preserve">από </w:t>
      </w:r>
      <w:r w:rsidR="007D3BFF" w:rsidRPr="00EE46B8">
        <w:rPr>
          <w:color w:val="000000"/>
        </w:rPr>
        <w:t>τη βελτίωση της οικονομικής δραστηριότητας. Κατά μέσο όρο</w:t>
      </w:r>
      <w:r w:rsidR="00AF1D5D">
        <w:rPr>
          <w:color w:val="000000"/>
        </w:rPr>
        <w:t>,</w:t>
      </w:r>
      <w:r w:rsidR="007D3BFF" w:rsidRPr="00EE46B8">
        <w:rPr>
          <w:color w:val="000000"/>
        </w:rPr>
        <w:t xml:space="preserve"> το εννεάμηνο</w:t>
      </w:r>
      <w:r w:rsidR="007D3BFF" w:rsidRPr="00EE46B8">
        <w:t xml:space="preserve"> Ιανου</w:t>
      </w:r>
      <w:r w:rsidR="002B5E67">
        <w:t>α</w:t>
      </w:r>
      <w:r w:rsidR="007D3BFF" w:rsidRPr="00EE46B8">
        <w:t>ρ</w:t>
      </w:r>
      <w:r w:rsidR="002B5E67">
        <w:t>ί</w:t>
      </w:r>
      <w:r w:rsidR="007D3BFF" w:rsidRPr="00EE46B8">
        <w:t>ου</w:t>
      </w:r>
      <w:r w:rsidR="00CF7C9C">
        <w:t xml:space="preserve"> - </w:t>
      </w:r>
      <w:r w:rsidR="007D3BFF" w:rsidRPr="00EE46B8">
        <w:t xml:space="preserve">Σεπτεμβρίου 2025 ο ετήσιος ρυθμός μεταβολής των καταθέσεων διάρκειας μίας ημέρας διαμορφώθηκε σε 8,2% έναντι </w:t>
      </w:r>
      <w:r w:rsidR="00353DA4">
        <w:t xml:space="preserve">του </w:t>
      </w:r>
      <w:r w:rsidR="007D3BFF" w:rsidRPr="00EE46B8">
        <w:t>αρνητικού ρυθμού</w:t>
      </w:r>
      <w:r w:rsidR="00353DA4">
        <w:t xml:space="preserve"> </w:t>
      </w:r>
      <w:r w:rsidR="007D3BFF" w:rsidRPr="00EE46B8">
        <w:t xml:space="preserve">-0,4% </w:t>
      </w:r>
      <w:r w:rsidR="00353DA4">
        <w:t xml:space="preserve">που σημειώθηκε </w:t>
      </w:r>
      <w:r w:rsidR="007D3BFF" w:rsidRPr="00EE46B8">
        <w:t xml:space="preserve">την ίδια περίοδο </w:t>
      </w:r>
      <w:r w:rsidR="002B5E67">
        <w:t>του 2024</w:t>
      </w:r>
      <w:r w:rsidR="007D3BFF" w:rsidRPr="00EE46B8">
        <w:t xml:space="preserve">. Όσον αφορά </w:t>
      </w:r>
      <w:r w:rsidR="00D3319B">
        <w:t>σ</w:t>
      </w:r>
      <w:r w:rsidR="007D3BFF" w:rsidRPr="00EE46B8">
        <w:t xml:space="preserve">τις καταθέσεις προθεσμίας, ο ετήσιος </w:t>
      </w:r>
      <w:r w:rsidR="007D3BFF" w:rsidRPr="00EE46B8">
        <w:lastRenderedPageBreak/>
        <w:t>ρυθμός μεταβολής τους συνέχισε να υποχωρεί στη διάρκεια του 2025 και μεταστράφηκε σε αρνητικό από τον Μάρτιο του τρέχοντος έτους. Κατά μέσο όρο</w:t>
      </w:r>
      <w:r w:rsidR="002B5E67">
        <w:t>,</w:t>
      </w:r>
      <w:r w:rsidR="007D3BFF" w:rsidRPr="00EE46B8">
        <w:t xml:space="preserve"> ο ετήσιος ρυθμός μεταβολής τους διαμορφώθηκε σε -0,5% το επισκοπούμενο εννεάμηνο έναντι μέσης τιμής 16,1% την ίδια </w:t>
      </w:r>
      <w:r w:rsidR="007D3BFF" w:rsidRPr="00EE46B8">
        <w:rPr>
          <w:color w:val="000000"/>
        </w:rPr>
        <w:t>περίοδο του 2024.</w:t>
      </w:r>
    </w:p>
    <w:p w14:paraId="53F30E36" w14:textId="7B65C088" w:rsidR="007D3BFF" w:rsidRDefault="007D3BFF" w:rsidP="007D3BFF">
      <w:r>
        <w:rPr>
          <w:color w:val="000000"/>
        </w:rPr>
        <w:t xml:space="preserve">Όσον αφορά </w:t>
      </w:r>
      <w:r w:rsidR="00D3319B">
        <w:rPr>
          <w:color w:val="000000"/>
        </w:rPr>
        <w:t>σ</w:t>
      </w:r>
      <w:r>
        <w:rPr>
          <w:color w:val="000000"/>
        </w:rPr>
        <w:t xml:space="preserve">τις καταθέσεις των επιμέρους τομέων της οικονομίας, οι καταθέσεις των νοικοκυριών αυξήθηκαν κατά </w:t>
      </w:r>
      <w:r w:rsidRPr="00B44041">
        <w:rPr>
          <w:color w:val="000000"/>
        </w:rPr>
        <w:t>1,7</w:t>
      </w:r>
      <w:r>
        <w:rPr>
          <w:color w:val="000000"/>
        </w:rPr>
        <w:t xml:space="preserve"> δισ. ευρώ το εννεάμηνο Ιανουαρίου - Σεπτεμβρίου 2025 έναντι αύξησης 0,6 δισ. ευρώ την </w:t>
      </w:r>
      <w:r w:rsidR="00EA0024">
        <w:rPr>
          <w:color w:val="000000"/>
        </w:rPr>
        <w:t>αντίστοιχη</w:t>
      </w:r>
      <w:r>
        <w:rPr>
          <w:color w:val="000000"/>
        </w:rPr>
        <w:t xml:space="preserve"> περίοδο του 2024. Ο ετήσιος ρυθμός αύξησης των καταθέσεων των νοικοκυριών διαμορφώθηκε κατά μέσο όρο </w:t>
      </w:r>
      <w:r w:rsidRPr="000C0623">
        <w:t>σε 3,</w:t>
      </w:r>
      <w:r>
        <w:t>1</w:t>
      </w:r>
      <w:r w:rsidRPr="000C0623">
        <w:t>% (Ιαν</w:t>
      </w:r>
      <w:r>
        <w:t>.</w:t>
      </w:r>
      <w:r w:rsidRPr="000C0623">
        <w:t xml:space="preserve"> </w:t>
      </w:r>
      <w:r w:rsidR="00E8243F" w:rsidRPr="00E8243F">
        <w:t>-</w:t>
      </w:r>
      <w:r w:rsidRPr="000C0623">
        <w:t xml:space="preserve"> </w:t>
      </w:r>
      <w:r>
        <w:t>Σεπ.</w:t>
      </w:r>
      <w:r w:rsidRPr="000C0623">
        <w:t xml:space="preserve"> 2024: 2,6%). </w:t>
      </w:r>
      <w:r>
        <w:t>Σε όρους ροών κατ</w:t>
      </w:r>
      <w:r w:rsidR="00D3319B">
        <w:t>ε</w:t>
      </w:r>
      <w:r>
        <w:t>γράφ</w:t>
      </w:r>
      <w:r w:rsidR="00D3319B">
        <w:t>η</w:t>
      </w:r>
      <w:r>
        <w:t xml:space="preserve"> </w:t>
      </w:r>
      <w:r w:rsidRPr="000C0623">
        <w:t xml:space="preserve">σημαντική άνοδος </w:t>
      </w:r>
      <w:r>
        <w:t>στις καταθέσεις</w:t>
      </w:r>
      <w:r w:rsidRPr="000C0623">
        <w:t xml:space="preserve"> μίας ημέρας των νοικοκυριών (</w:t>
      </w:r>
      <w:r>
        <w:t xml:space="preserve">κατά </w:t>
      </w:r>
      <w:r w:rsidRPr="00C40123">
        <w:t>4,2</w:t>
      </w:r>
      <w:r w:rsidRPr="000C0623">
        <w:t xml:space="preserve"> δισ. ευρώ)</w:t>
      </w:r>
      <w:r>
        <w:t xml:space="preserve">. Αντίθετα, οι </w:t>
      </w:r>
      <w:r w:rsidRPr="000C0623">
        <w:t>καταθέσ</w:t>
      </w:r>
      <w:r>
        <w:t>εις π</w:t>
      </w:r>
      <w:r w:rsidRPr="000C0623">
        <w:t xml:space="preserve">ροθεσμίας </w:t>
      </w:r>
      <w:r>
        <w:t xml:space="preserve">μειώθηκαν </w:t>
      </w:r>
      <w:r w:rsidRPr="000C0623">
        <w:t>(</w:t>
      </w:r>
      <w:r>
        <w:t xml:space="preserve">κατά </w:t>
      </w:r>
      <w:r w:rsidRPr="00C40123">
        <w:t>2,</w:t>
      </w:r>
      <w:r w:rsidRPr="00BF4D1E">
        <w:t>5</w:t>
      </w:r>
      <w:r w:rsidRPr="000C0623">
        <w:t xml:space="preserve"> δισ. ευρώ)</w:t>
      </w:r>
      <w:r>
        <w:t xml:space="preserve"> συν</w:t>
      </w:r>
      <w:r w:rsidR="00D3319B">
        <w:t>ε</w:t>
      </w:r>
      <w:r>
        <w:t>πε</w:t>
      </w:r>
      <w:r w:rsidR="00D3319B">
        <w:t>ί</w:t>
      </w:r>
      <w:r>
        <w:t xml:space="preserve">α της αρνητικής επίδρασης </w:t>
      </w:r>
      <w:r w:rsidR="00EA0024">
        <w:t xml:space="preserve">στη ζήτηση </w:t>
      </w:r>
      <w:r>
        <w:t xml:space="preserve">που άσκησε η μείωση των επιτοκίων για καταθέσεις προθεσμίας. </w:t>
      </w:r>
      <w:r w:rsidR="0065073D">
        <w:t xml:space="preserve">Οι </w:t>
      </w:r>
      <w:r w:rsidRPr="000C0623">
        <w:t xml:space="preserve">καταθέσεις των Μη Χρηματοπιστωτικών Επιχειρήσεων (ΜΧΕ) </w:t>
      </w:r>
      <w:r>
        <w:t>παρουσίασαν έντονη μεταβλητότητα κατά τη διάρκεια του έτους και συνολικά αυξήθηκαν</w:t>
      </w:r>
      <w:r w:rsidRPr="000C0623">
        <w:t xml:space="preserve"> το επισκοπούμενο </w:t>
      </w:r>
      <w:r>
        <w:t>εννε</w:t>
      </w:r>
      <w:r w:rsidRPr="000C0623">
        <w:t xml:space="preserve">άμηνο κατά </w:t>
      </w:r>
      <w:r>
        <w:t>3,</w:t>
      </w:r>
      <w:r w:rsidRPr="000C0623">
        <w:t xml:space="preserve">5 δισ. ευρώ (έναντι </w:t>
      </w:r>
      <w:r w:rsidR="00B26E58">
        <w:t xml:space="preserve">της </w:t>
      </w:r>
      <w:r w:rsidRPr="000C0623">
        <w:t xml:space="preserve">αύξησης </w:t>
      </w:r>
      <w:r>
        <w:t>3,1</w:t>
      </w:r>
      <w:r w:rsidRPr="000C0623">
        <w:t xml:space="preserve"> δισ. ευρώ την ίδια περίοδο του 2024). </w:t>
      </w:r>
      <w:r>
        <w:t>Σε ετήσια βάση οι καταθέσεις των ΜΧΕ ενισχύθηκαν αντανακλώντας κυρίως την ισχυρή πιστωτική επέκταση προς τον τομέα αυτό. Ο</w:t>
      </w:r>
      <w:r w:rsidRPr="000C0623">
        <w:t xml:space="preserve"> ετήσιος ρυθμός ανόδου τους </w:t>
      </w:r>
      <w:r>
        <w:t>κυμάνθηκε στη διάρκεια του 2025 σε υψηλά επίπεδα</w:t>
      </w:r>
      <w:r w:rsidRPr="000C0623">
        <w:t xml:space="preserve"> </w:t>
      </w:r>
      <w:r>
        <w:t>(</w:t>
      </w:r>
      <w:r w:rsidRPr="000C0623">
        <w:t>Ιαν</w:t>
      </w:r>
      <w:r>
        <w:t>.</w:t>
      </w:r>
      <w:r w:rsidR="00F74090">
        <w:t xml:space="preserve"> </w:t>
      </w:r>
      <w:r w:rsidR="00B26E58">
        <w:t>-</w:t>
      </w:r>
      <w:r w:rsidRPr="000C0623">
        <w:t xml:space="preserve"> </w:t>
      </w:r>
      <w:r>
        <w:t xml:space="preserve">Σεπ. 2025: 10,3%, </w:t>
      </w:r>
      <w:r w:rsidRPr="000C0623">
        <w:t>Ιαν</w:t>
      </w:r>
      <w:r>
        <w:t>.</w:t>
      </w:r>
      <w:r w:rsidR="00F74090">
        <w:t xml:space="preserve"> </w:t>
      </w:r>
      <w:r w:rsidR="00B26E58">
        <w:t>-</w:t>
      </w:r>
      <w:r w:rsidRPr="000C0623">
        <w:t xml:space="preserve"> </w:t>
      </w:r>
      <w:r>
        <w:t>Σεπ. 2024: 3,8</w:t>
      </w:r>
      <w:r w:rsidRPr="000C0623">
        <w:t>%</w:t>
      </w:r>
      <w:r>
        <w:t>)</w:t>
      </w:r>
      <w:r w:rsidRPr="000C0623">
        <w:t>.</w:t>
      </w:r>
    </w:p>
    <w:p w14:paraId="2E74FF4A" w14:textId="24E90891" w:rsidR="007D3BFF" w:rsidRPr="00CE5085" w:rsidRDefault="007D3BFF" w:rsidP="007D3BFF">
      <w:r w:rsidRPr="00CE5085">
        <w:t>Ο ετήσιος ρυθμός μεταβολής της τραπεζικής χρηματοδότησης (συμπεριλαμβανομένης της Τ</w:t>
      </w:r>
      <w:r w:rsidR="00125194">
        <w:t xml:space="preserve">ράπεζας της </w:t>
      </w:r>
      <w:r w:rsidRPr="00CE5085">
        <w:t>Ε</w:t>
      </w:r>
      <w:r w:rsidR="00125194">
        <w:t>λλάδος - ΤτΕ</w:t>
      </w:r>
      <w:r w:rsidRPr="00CE5085">
        <w:t>) προς τον τομέα της Γενικής Κυβέρνησης επιταχύνθηκε</w:t>
      </w:r>
      <w:r w:rsidR="006675BF" w:rsidRPr="006675BF">
        <w:t xml:space="preserve"> </w:t>
      </w:r>
      <w:r w:rsidR="006675BF" w:rsidRPr="00CE5085">
        <w:t>συνολικά</w:t>
      </w:r>
      <w:r w:rsidRPr="00CE5085">
        <w:t xml:space="preserve">, με </w:t>
      </w:r>
      <w:r w:rsidR="006675BF">
        <w:t>μερικές</w:t>
      </w:r>
      <w:r w:rsidRPr="00CE5085">
        <w:t xml:space="preserve"> διακυμάνσεις, το 2025 και διαμορφώθηκε κατά μέσο όρο </w:t>
      </w:r>
      <w:r>
        <w:t xml:space="preserve">το </w:t>
      </w:r>
      <w:r w:rsidRPr="00CE5085">
        <w:t>εννεάμηνο Ιανουαρίου - Σεπτεμβρίου 2025</w:t>
      </w:r>
      <w:r w:rsidRPr="00C04082">
        <w:t xml:space="preserve"> σε 1,5% έναντι -0,2% την αντίστοιχη περίοδο του 2024 (Σεπ. 2025: 3,2%, Δεκ. 2024: 0%). </w:t>
      </w:r>
      <w:r w:rsidRPr="00CE5085">
        <w:t>Ο ετήσιος ρυθμός ανόδου της τραπεζικής χρηματοδότησης του ιδιωτικού μη χρηματοπιστωτικού τομέα της οικονομίας συνέχισε να επιταχύνεται το 2025 λόγω της σημαντικής ανόδου του ρυθμού της πιστωτικής επέκτασης προς τις επιχειρήσεις</w:t>
      </w:r>
      <w:r w:rsidR="006675BF">
        <w:t xml:space="preserve"> καθώς</w:t>
      </w:r>
      <w:r w:rsidRPr="00CE5085">
        <w:t xml:space="preserve"> και </w:t>
      </w:r>
      <w:r w:rsidR="00AA3F32">
        <w:t xml:space="preserve">λόγω </w:t>
      </w:r>
      <w:r w:rsidRPr="00CE5085">
        <w:t xml:space="preserve">του </w:t>
      </w:r>
      <w:r w:rsidRPr="00326832">
        <w:t xml:space="preserve">περιορισμού του </w:t>
      </w:r>
      <w:r>
        <w:t xml:space="preserve">αρνητικού </w:t>
      </w:r>
      <w:r w:rsidRPr="00326832">
        <w:t xml:space="preserve">ρυθμού </w:t>
      </w:r>
      <w:r>
        <w:t>μεταβολής</w:t>
      </w:r>
      <w:r w:rsidRPr="00CE5085">
        <w:t xml:space="preserve"> των τραπεζικών δανείων προς τα νοικοκυριά</w:t>
      </w:r>
      <w:r w:rsidR="00EA0024">
        <w:t>,</w:t>
      </w:r>
      <w:r w:rsidRPr="00083D26">
        <w:t xml:space="preserve"> </w:t>
      </w:r>
      <w:r>
        <w:t xml:space="preserve">ο οποίος από τα μέσα του 2025 </w:t>
      </w:r>
      <w:r w:rsidR="0065073D">
        <w:t xml:space="preserve">διαμορφώθηκε σε </w:t>
      </w:r>
      <w:r>
        <w:t>θετικό</w:t>
      </w:r>
      <w:r w:rsidRPr="00CE5085">
        <w:t>.</w:t>
      </w:r>
    </w:p>
    <w:p w14:paraId="59729345" w14:textId="30A969EA" w:rsidR="007D3BFF" w:rsidRPr="003D5A2A" w:rsidRDefault="007D3BFF" w:rsidP="007D3BFF">
      <w:pPr>
        <w:rPr>
          <w:highlight w:val="yellow"/>
        </w:rPr>
      </w:pPr>
      <w:r w:rsidRPr="003A0336">
        <w:t xml:space="preserve">Αναλυτικότερα, ο ετήσιος ρυθμός αύξησης των τραπεζικών δανείων προς τις ΜΧΕ επιταχύνθηκε περαιτέρω το 2025 </w:t>
      </w:r>
      <w:r w:rsidR="008F02D2">
        <w:t>καταγράφοντας</w:t>
      </w:r>
      <w:r w:rsidRPr="003A0336">
        <w:t xml:space="preserve"> υψηλά ποσοστά, κατά μέσο όρο 16,5% </w:t>
      </w:r>
      <w:r w:rsidR="006675BF">
        <w:t xml:space="preserve">το </w:t>
      </w:r>
      <w:r w:rsidRPr="00CE5085">
        <w:t>εννεάμηνο Ιανουαρίου - Σεπτεμβρίου</w:t>
      </w:r>
      <w:r w:rsidRPr="003A0336">
        <w:t xml:space="preserve"> 2025 έναντι 7,9% το αντίστοιχο </w:t>
      </w:r>
      <w:r w:rsidR="008F02D2">
        <w:t>διάστημα</w:t>
      </w:r>
      <w:r w:rsidRPr="003A0336">
        <w:t xml:space="preserve"> του 2024</w:t>
      </w:r>
      <w:r w:rsidRPr="000F091F">
        <w:t xml:space="preserve"> (Σεπ. 2025:</w:t>
      </w:r>
      <w:r w:rsidRPr="00326832">
        <w:t xml:space="preserve"> 16,1%, </w:t>
      </w:r>
      <w:r w:rsidRPr="000F091F">
        <w:t xml:space="preserve">Δεκ. 2024: 13,8%). </w:t>
      </w:r>
      <w:r w:rsidRPr="00867929">
        <w:t xml:space="preserve">Η </w:t>
      </w:r>
      <w:r w:rsidR="006675BF">
        <w:t xml:space="preserve">εν λόγω </w:t>
      </w:r>
      <w:r w:rsidRPr="00867929">
        <w:t xml:space="preserve">επιτάχυνση αντικατοπτρίζει θετικές συνθήκες </w:t>
      </w:r>
      <w:r w:rsidR="008F02D2">
        <w:t xml:space="preserve">τόσο </w:t>
      </w:r>
      <w:r w:rsidRPr="00867929">
        <w:t xml:space="preserve">από την πλευρά της ζήτησης </w:t>
      </w:r>
      <w:r w:rsidR="008F02D2">
        <w:t xml:space="preserve">όσο </w:t>
      </w:r>
      <w:r w:rsidRPr="00867929">
        <w:t xml:space="preserve">και </w:t>
      </w:r>
      <w:r w:rsidR="008F02D2">
        <w:t xml:space="preserve">από την πλευρά </w:t>
      </w:r>
      <w:r w:rsidRPr="00867929">
        <w:t xml:space="preserve">της προσφοράς τραπεζικών δανείων. Η ζήτηση για τραπεζικά δάνεια αυξήθηκε λόγω της θετικής εξέλιξης της οικονομικής δραστηριότητας καθώς και </w:t>
      </w:r>
      <w:r w:rsidR="00791FB5">
        <w:t xml:space="preserve">λόγω </w:t>
      </w:r>
      <w:r w:rsidRPr="00867929">
        <w:t xml:space="preserve">της μείωσης των τραπεζικών επιτοκίων δανεισμού. </w:t>
      </w:r>
      <w:r w:rsidR="008F02D2">
        <w:t>Από την πλευρά της προσφοράς</w:t>
      </w:r>
      <w:r w:rsidRPr="00867929">
        <w:t xml:space="preserve">, η ρευστότητα των ελληνικών πιστωτικών ιδρυμάτων συνολικά ενισχύθηκε και παρέμεινε τους εννέα πρώτους μήνες του 2025 σε επίπεδα τα οποία στηρίζουν την απρόσκοπτη παροχή χρηματοδότησης προς τον ιδιωτικό τομέα. Τα ελληνικά πιστωτικά ιδρύματα συγκέντρωσαν το διάστημα Ιανουαρίου - </w:t>
      </w:r>
      <w:r w:rsidRPr="00CE5085">
        <w:t>Σεπτεμβρίου</w:t>
      </w:r>
      <w:r w:rsidRPr="00867929">
        <w:t xml:space="preserve"> 2025 σημαντικά κεφάλαια κυρίως από τις καταθέσεις πελατών, </w:t>
      </w:r>
      <w:r w:rsidR="00791FB5">
        <w:t xml:space="preserve">από </w:t>
      </w:r>
      <w:r w:rsidRPr="00867929">
        <w:t xml:space="preserve">τη διατραπεζική αγορά του εξωτερικού και </w:t>
      </w:r>
      <w:r w:rsidR="00791FB5">
        <w:t xml:space="preserve">από </w:t>
      </w:r>
      <w:r w:rsidRPr="00867929">
        <w:t>τη</w:t>
      </w:r>
      <w:r w:rsidR="00791FB5">
        <w:t>ν</w:t>
      </w:r>
      <w:r w:rsidRPr="00867929">
        <w:t xml:space="preserve"> έκδοση ομολόγων. Η </w:t>
      </w:r>
      <w:r>
        <w:t>χρηματοδότηση</w:t>
      </w:r>
      <w:r w:rsidRPr="00867929">
        <w:t xml:space="preserve"> </w:t>
      </w:r>
      <w:r>
        <w:t xml:space="preserve">των τραπεζών </w:t>
      </w:r>
      <w:r w:rsidRPr="00867929">
        <w:t xml:space="preserve">από το Ευρωσύστημα μειώθηκε </w:t>
      </w:r>
      <w:r>
        <w:t xml:space="preserve">το </w:t>
      </w:r>
      <w:r w:rsidRPr="00867929">
        <w:t xml:space="preserve">εννεάμηνο αυτό και διατηρήθηκε </w:t>
      </w:r>
      <w:r w:rsidR="00C72F15">
        <w:t xml:space="preserve">γενικά </w:t>
      </w:r>
      <w:r w:rsidRPr="00867929">
        <w:t>σε πολύ χαμηλ</w:t>
      </w:r>
      <w:r w:rsidR="00C72F15">
        <w:t xml:space="preserve">ά </w:t>
      </w:r>
      <w:r w:rsidRPr="00867929">
        <w:t>επίπεδ</w:t>
      </w:r>
      <w:r w:rsidR="00C72F15">
        <w:t>α</w:t>
      </w:r>
      <w:r w:rsidRPr="00867929">
        <w:t>.</w:t>
      </w:r>
    </w:p>
    <w:p w14:paraId="1B88B2A8" w14:textId="34D618D8" w:rsidR="007D3BFF" w:rsidRPr="000041CF" w:rsidRDefault="00791FB5" w:rsidP="007D3BFF">
      <w:r>
        <w:t>Η</w:t>
      </w:r>
      <w:r w:rsidR="007D3BFF" w:rsidRPr="000041CF">
        <w:t xml:space="preserve"> επέκταση δανείων από τις τράπεζες προς τις επιχειρήσεις</w:t>
      </w:r>
      <w:r>
        <w:t xml:space="preserve"> ενισχύθηκε </w:t>
      </w:r>
      <w:r w:rsidR="00AA3F32" w:rsidRPr="000041CF">
        <w:t>σημαντικά</w:t>
      </w:r>
      <w:r w:rsidR="00AA3F32">
        <w:t xml:space="preserve"> </w:t>
      </w:r>
      <w:r w:rsidR="0062787C">
        <w:t xml:space="preserve">και </w:t>
      </w:r>
      <w:r>
        <w:t>το τρέχον έτος από</w:t>
      </w:r>
      <w:r w:rsidR="007D3BFF" w:rsidRPr="000041CF">
        <w:t xml:space="preserve"> τα προγράμματα συγχρηματοδότησης και εγγυοδοσίας του ομίλου της Ευρωπαϊκής Τράπεζας Επενδύσεων (ΕΤΕπ)</w:t>
      </w:r>
      <w:r>
        <w:t xml:space="preserve">, της </w:t>
      </w:r>
      <w:r w:rsidR="007D3BFF" w:rsidRPr="000041CF">
        <w:t>Ελληνικής Αναπτυξιακής Τράπεζας (ΕΑΤ)</w:t>
      </w:r>
      <w:r>
        <w:t xml:space="preserve"> καθώς και από τα </w:t>
      </w:r>
      <w:r w:rsidR="007D3BFF" w:rsidRPr="000041CF">
        <w:t>τραπεζικά δάνεια συγχρηματοδότησης στο πλαίσιο του RRF.</w:t>
      </w:r>
    </w:p>
    <w:p w14:paraId="663AA2C8" w14:textId="2574C7B8" w:rsidR="007D3BFF" w:rsidRPr="000041CF" w:rsidRDefault="007D3BFF" w:rsidP="007D3BFF">
      <w:r w:rsidRPr="000041CF">
        <w:t xml:space="preserve">Όσον αφορά </w:t>
      </w:r>
      <w:r w:rsidR="00791FB5">
        <w:t>σ</w:t>
      </w:r>
      <w:r w:rsidRPr="000041CF">
        <w:t xml:space="preserve">τα νοικοκυριά, ο ετήσιος ρυθμός μεταβολής των τραπεζικών δανείων </w:t>
      </w:r>
      <w:r w:rsidR="0062787C">
        <w:t>κατ</w:t>
      </w:r>
      <w:r w:rsidR="00791FB5">
        <w:t>έστη</w:t>
      </w:r>
      <w:r w:rsidR="0062787C">
        <w:t xml:space="preserve"> </w:t>
      </w:r>
      <w:r>
        <w:t>θετικός</w:t>
      </w:r>
      <w:r w:rsidRPr="000041CF">
        <w:t xml:space="preserve"> κατά μέσο όρο τους </w:t>
      </w:r>
      <w:r>
        <w:t>εννέα</w:t>
      </w:r>
      <w:r w:rsidRPr="000041CF">
        <w:t xml:space="preserve"> πρώτους μήνες του 2025</w:t>
      </w:r>
      <w:r>
        <w:t xml:space="preserve"> </w:t>
      </w:r>
      <w:r w:rsidRPr="00AE0633">
        <w:t xml:space="preserve">(Ιαν. - Σεπ. 2025: 0,2%, Ιαν. - Σεπ. 2024: -1,1%, Σεπ. 2025: 1,4%, </w:t>
      </w:r>
      <w:r w:rsidRPr="000041CF">
        <w:t xml:space="preserve">Δεκ. 2024: -0,5%). H </w:t>
      </w:r>
      <w:r w:rsidR="00791FB5">
        <w:t xml:space="preserve">εν λόγω </w:t>
      </w:r>
      <w:r w:rsidRPr="000041CF">
        <w:t xml:space="preserve">εξέλιξη αντανακλά την περαιτέρω </w:t>
      </w:r>
      <w:r w:rsidRPr="009B40A3">
        <w:t>μείωση του ρυθμού συρρίκνωσης</w:t>
      </w:r>
      <w:r w:rsidRPr="000041CF">
        <w:t xml:space="preserve"> των στεγαστικών δανείων καθώς και την επιτάχυνση του ρυθμού ανόδου της καταναλωτικής πίστης, </w:t>
      </w:r>
      <w:r w:rsidR="008305D1">
        <w:t>η</w:t>
      </w:r>
      <w:r w:rsidRPr="000041CF">
        <w:t xml:space="preserve"> οποί</w:t>
      </w:r>
      <w:r w:rsidR="008305D1">
        <w:t>α</w:t>
      </w:r>
      <w:r w:rsidRPr="000041CF">
        <w:t xml:space="preserve"> </w:t>
      </w:r>
      <w:r w:rsidR="008305D1">
        <w:t xml:space="preserve">είχε </w:t>
      </w:r>
      <w:r w:rsidRPr="000041CF">
        <w:t>ήδη ισχυροποιηθεί</w:t>
      </w:r>
      <w:r w:rsidR="008305D1">
        <w:t xml:space="preserve"> από το 2024</w:t>
      </w:r>
      <w:r w:rsidRPr="000041CF">
        <w:t>.</w:t>
      </w:r>
    </w:p>
    <w:p w14:paraId="7283C4FE" w14:textId="6C0A3C9D" w:rsidR="007D3BFF" w:rsidRPr="00D84F53" w:rsidRDefault="00CC51B6" w:rsidP="007D3BFF">
      <w:r>
        <w:t xml:space="preserve">Ως προς </w:t>
      </w:r>
      <w:r w:rsidR="007D3BFF" w:rsidRPr="000041CF">
        <w:t xml:space="preserve">τις προοπτικές, </w:t>
      </w:r>
      <w:r w:rsidR="00CA2EA7">
        <w:t xml:space="preserve">τόσο </w:t>
      </w:r>
      <w:r w:rsidR="007D3BFF" w:rsidRPr="000041CF">
        <w:t xml:space="preserve">η άνοδος του ΑΕΠ </w:t>
      </w:r>
      <w:r w:rsidR="00CA2EA7">
        <w:t xml:space="preserve">κατά τα έτη </w:t>
      </w:r>
      <w:r w:rsidR="007D3BFF" w:rsidRPr="000041CF">
        <w:t>2025</w:t>
      </w:r>
      <w:r w:rsidR="00304979">
        <w:t xml:space="preserve"> </w:t>
      </w:r>
      <w:r w:rsidR="007D3BFF">
        <w:t>-</w:t>
      </w:r>
      <w:r w:rsidR="00304979">
        <w:t xml:space="preserve"> </w:t>
      </w:r>
      <w:r w:rsidR="007D3BFF">
        <w:t>2026</w:t>
      </w:r>
      <w:r w:rsidR="007D3BFF" w:rsidRPr="000041CF">
        <w:t xml:space="preserve"> </w:t>
      </w:r>
      <w:r w:rsidR="00CA2EA7">
        <w:t>όσο και</w:t>
      </w:r>
      <w:r w:rsidR="007D3BFF" w:rsidRPr="000041CF">
        <w:t xml:space="preserve"> το χαμηλότερο </w:t>
      </w:r>
      <w:r w:rsidR="007D3BFF">
        <w:t xml:space="preserve">σε σύγκριση με προηγούμενα έτη </w:t>
      </w:r>
      <w:r w:rsidR="007D3BFF" w:rsidRPr="000041CF">
        <w:t xml:space="preserve">επίπεδο των επιτοκίων </w:t>
      </w:r>
      <w:r w:rsidR="008305D1">
        <w:t>των τραπεζικών δανείων</w:t>
      </w:r>
      <w:r w:rsidR="00490F7E">
        <w:t>,</w:t>
      </w:r>
      <w:r w:rsidR="007D3BFF" w:rsidRPr="000041CF">
        <w:t xml:space="preserve"> θα συνεχίσουν να </w:t>
      </w:r>
      <w:r w:rsidR="007D3BFF" w:rsidRPr="000041CF">
        <w:lastRenderedPageBreak/>
        <w:t xml:space="preserve">στηρίζουν τη χορήγηση τραπεζικών πιστώσεων προς τις ΜΧΕ. Επίσης, </w:t>
      </w:r>
      <w:r w:rsidR="00CA2EA7">
        <w:t xml:space="preserve">για τα ίδια έτη (2025 - 2026) </w:t>
      </w:r>
      <w:r w:rsidR="00490F7E">
        <w:t xml:space="preserve">προβλέπεται σημαντική ενίσχυση της </w:t>
      </w:r>
      <w:r w:rsidR="007D3BFF" w:rsidRPr="000041CF">
        <w:t>απορρόφηση</w:t>
      </w:r>
      <w:r w:rsidR="00490F7E">
        <w:t>ς</w:t>
      </w:r>
      <w:r w:rsidR="007D3BFF" w:rsidRPr="000041CF">
        <w:t xml:space="preserve"> δανειακών πόρων στο πλαίσιο του RRF, ενώ θετική αναμένεται να παραμείνει η </w:t>
      </w:r>
      <w:r w:rsidR="00CA2EA7">
        <w:t xml:space="preserve">επίδραση </w:t>
      </w:r>
      <w:r w:rsidR="007D3BFF" w:rsidRPr="000041CF">
        <w:t>των χρηματοδοτικών προγραμμάτων του ομίλου της ΕΤΕπ και της Ε</w:t>
      </w:r>
      <w:r w:rsidR="00CA2EA7">
        <w:t>ΑΤ</w:t>
      </w:r>
      <w:r w:rsidR="007D3BFF" w:rsidRPr="000041CF">
        <w:t xml:space="preserve"> στη διοχέτευση τραπεζικών επιχειρηματικών πιστώσεων.</w:t>
      </w:r>
    </w:p>
    <w:p w14:paraId="44294B85" w14:textId="0C1E972B" w:rsidR="007D3BFF" w:rsidRPr="003F3E6B" w:rsidRDefault="007D3BFF" w:rsidP="007D3BFF">
      <w:r w:rsidRPr="003F3E6B">
        <w:t>Τ</w:t>
      </w:r>
      <w:r w:rsidR="00490F7E">
        <w:t>ο τρέχον έτος τ</w:t>
      </w:r>
      <w:r w:rsidRPr="003F3E6B">
        <w:t xml:space="preserve">α επιτόκια τραπεζικών καταθέσεων που προσφέρονται στις </w:t>
      </w:r>
      <w:r w:rsidR="0040597D">
        <w:t>ΜΧΕ</w:t>
      </w:r>
      <w:r w:rsidRPr="003F3E6B">
        <w:t xml:space="preserve"> και στα νοικοκυριά στην Ελλάδα μειώθηκαν </w:t>
      </w:r>
      <w:r w:rsidR="00490F7E">
        <w:t>ως</w:t>
      </w:r>
      <w:r w:rsidRPr="003F3E6B">
        <w:t xml:space="preserve"> </w:t>
      </w:r>
      <w:r w:rsidR="0040597D">
        <w:t>επακόλουθο</w:t>
      </w:r>
      <w:r w:rsidRPr="003F3E6B">
        <w:t xml:space="preserve"> των αποφάσεων νομισματικής πολιτικής του Ευρωσυστήματος. Εντονότερες μειώσεις παρουσίασαν τα επιτόκια καταθέσεων προς τις </w:t>
      </w:r>
      <w:r w:rsidR="0040597D">
        <w:t>ΜΧΕ</w:t>
      </w:r>
      <w:r w:rsidR="00490F7E">
        <w:t>,</w:t>
      </w:r>
      <w:r w:rsidRPr="003F3E6B">
        <w:t xml:space="preserve"> </w:t>
      </w:r>
      <w:r>
        <w:t xml:space="preserve">για τα οποία έχει παρατηρηθεί </w:t>
      </w:r>
      <w:r w:rsidR="0040597D">
        <w:t>εν γένει</w:t>
      </w:r>
      <w:r w:rsidR="0040597D" w:rsidRPr="003F3E6B">
        <w:t xml:space="preserve"> </w:t>
      </w:r>
      <w:r w:rsidRPr="003F3E6B">
        <w:t>ταχύτερη και εντονότερη ενσωμάτωση των μεταβολών των επιτοκίων νομισματικής πολιτικής</w:t>
      </w:r>
      <w:r w:rsidR="00490F7E">
        <w:t>,</w:t>
      </w:r>
      <w:r w:rsidRPr="003F3E6B">
        <w:t xml:space="preserve"> τόσο κατά τον ανοδικό όσο και κατά τον καθοδικό </w:t>
      </w:r>
      <w:r w:rsidRPr="004715C7">
        <w:t>κύκλο. Το επιτόκιο των καταθέσεων προθεσμίας, περιλαμβανομέν</w:t>
      </w:r>
      <w:r w:rsidRPr="003F3E6B">
        <w:t xml:space="preserve">ων των καταθέσεων των νοικοκυριών και των </w:t>
      </w:r>
      <w:r w:rsidR="0040597D">
        <w:t>ΜΧΕ,</w:t>
      </w:r>
      <w:r w:rsidRPr="003F3E6B">
        <w:t xml:space="preserve"> διαμορφώθηκε κατά μέσο όρο τους </w:t>
      </w:r>
      <w:r>
        <w:t>εννέα</w:t>
      </w:r>
      <w:r w:rsidRPr="003F3E6B">
        <w:t xml:space="preserve"> πρώτους μήνες του τρέχοντος έτους σε 1,</w:t>
      </w:r>
      <w:r>
        <w:t>6</w:t>
      </w:r>
      <w:r w:rsidRPr="003F3E6B">
        <w:t>% έναντι 2,5% την ίδια περίοδο του 2024, ενώ το επιτόκιο καταθέσεων διάρκειας μίας ημέρας παρέμεινε σε οριακά θετικό επίπεδο.</w:t>
      </w:r>
    </w:p>
    <w:p w14:paraId="7F4301E8" w14:textId="4DA5264C" w:rsidR="007D3BFF" w:rsidRPr="001837E8" w:rsidRDefault="007D3BFF" w:rsidP="007D3BFF">
      <w:r w:rsidRPr="001837E8">
        <w:t>Το ονομαστικό κόστος τραπεζικού δανεισμού του εγχώριου ιδιωτικού μη χρηματοπιστωτικού τομέα περιορίστηκε κατά τη διάρκεια του τρέχοντος έτους</w:t>
      </w:r>
      <w:r>
        <w:t>,</w:t>
      </w:r>
      <w:r w:rsidRPr="001837E8">
        <w:t xml:space="preserve"> καθ</w:t>
      </w:r>
      <w:r w:rsidR="0040597D">
        <w:t xml:space="preserve">’ όσον </w:t>
      </w:r>
      <w:r w:rsidRPr="001837E8">
        <w:t xml:space="preserve">σημειώθηκαν μειώσεις επιτοκίων στην πλειονότητα των κατηγοριών δανεισμού. Αξιόλογες ήταν οι μειώσεις στα επιτόκια χορηγήσεων των </w:t>
      </w:r>
      <w:r w:rsidR="0040597D">
        <w:t>ΜΧΕ</w:t>
      </w:r>
      <w:r>
        <w:t>,</w:t>
      </w:r>
      <w:r w:rsidRPr="001837E8">
        <w:t xml:space="preserve"> των ο</w:t>
      </w:r>
      <w:r>
        <w:t>π</w:t>
      </w:r>
      <w:r w:rsidRPr="001837E8">
        <w:t xml:space="preserve">οίων το μεσοσταθμικό επιτόκιο δανεισμού υποχώρησε περίπου κατά 1,5 ποσοστιαία μονάδα το </w:t>
      </w:r>
      <w:r>
        <w:t>εννε</w:t>
      </w:r>
      <w:r w:rsidRPr="001837E8">
        <w:t xml:space="preserve">άμηνο του 2025 έναντι της </w:t>
      </w:r>
      <w:r w:rsidR="0040597D">
        <w:t>αντίστοιχης</w:t>
      </w:r>
      <w:r w:rsidRPr="001837E8">
        <w:t xml:space="preserve"> περιόδου </w:t>
      </w:r>
      <w:r w:rsidR="0040597D">
        <w:t>του 2024</w:t>
      </w:r>
      <w:r w:rsidRPr="001837E8">
        <w:t xml:space="preserve"> και διαμορφώθηκε σε 4,</w:t>
      </w:r>
      <w:r>
        <w:t>2</w:t>
      </w:r>
      <w:r w:rsidRPr="001837E8">
        <w:t>%. Οι μειώσεις των επιτοκίων δανεισμού προς τα νοικοκυριά</w:t>
      </w:r>
      <w:r w:rsidR="00C35884">
        <w:t>,</w:t>
      </w:r>
      <w:r w:rsidRPr="001837E8">
        <w:t xml:space="preserve"> αν και </w:t>
      </w:r>
      <w:r>
        <w:t xml:space="preserve">αφορούσαν </w:t>
      </w:r>
      <w:r w:rsidR="00C35884">
        <w:t>σ</w:t>
      </w:r>
      <w:r>
        <w:t>την πλειονότητα των επιμέρους κατηγοριών στεγαστικών και καταναλωτικών δανείων,</w:t>
      </w:r>
      <w:r w:rsidRPr="001837E8">
        <w:t xml:space="preserve"> </w:t>
      </w:r>
      <w:r>
        <w:t xml:space="preserve">ήταν </w:t>
      </w:r>
      <w:r w:rsidRPr="001837E8">
        <w:t>περιορισμένες</w:t>
      </w:r>
      <w:r>
        <w:t xml:space="preserve"> σε σ</w:t>
      </w:r>
      <w:r w:rsidR="00C35884">
        <w:t>ύγκριση</w:t>
      </w:r>
      <w:r>
        <w:t xml:space="preserve"> με</w:t>
      </w:r>
      <w:r w:rsidR="00C35884">
        <w:t xml:space="preserve"> τις </w:t>
      </w:r>
      <w:r w:rsidR="00C35884" w:rsidRPr="001837E8">
        <w:t>μειώσεις των επιτοκίων δανεισμού προς</w:t>
      </w:r>
      <w:r>
        <w:t xml:space="preserve"> τις επιχειρήσεις</w:t>
      </w:r>
      <w:r w:rsidR="00490F7E">
        <w:t>. Τ</w:t>
      </w:r>
      <w:r w:rsidRPr="001837E8">
        <w:t>ο μεσοσταθμικό κόστος τραπεζικού δανεισμού των νοικοκυριών διαμορφ</w:t>
      </w:r>
      <w:r w:rsidR="00490F7E">
        <w:t xml:space="preserve">ώθηκε </w:t>
      </w:r>
      <w:r w:rsidRPr="001837E8">
        <w:t>σε 5,</w:t>
      </w:r>
      <w:r>
        <w:t>7</w:t>
      </w:r>
      <w:r w:rsidRPr="001837E8">
        <w:t>%</w:t>
      </w:r>
      <w:r>
        <w:t>,</w:t>
      </w:r>
      <w:r w:rsidRPr="001837E8">
        <w:t xml:space="preserve"> περίπου κατά </w:t>
      </w:r>
      <w:r>
        <w:t>40 μονάδες βάσης</w:t>
      </w:r>
      <w:r w:rsidRPr="001837E8">
        <w:t xml:space="preserve"> </w:t>
      </w:r>
      <w:r w:rsidRPr="00490981">
        <w:t>χαμηλότερα</w:t>
      </w:r>
      <w:r w:rsidRPr="001837E8">
        <w:t xml:space="preserve"> έναντι της μέσης τιμής της αντίστοιχης περιόδου του 2024.</w:t>
      </w:r>
      <w:r>
        <w:t xml:space="preserve"> </w:t>
      </w:r>
      <w:r w:rsidR="00C35884">
        <w:t xml:space="preserve">Σημειωτέον ότι </w:t>
      </w:r>
      <w:r>
        <w:t xml:space="preserve">στην πράξη το κόστος δανεισμού τόσο των επιχειρήσεων όσο και των νοικοκυριών υπήρξε βελτιωμένο </w:t>
      </w:r>
      <w:r w:rsidR="00C35884">
        <w:t xml:space="preserve">σε σύγκριση με το </w:t>
      </w:r>
      <w:r>
        <w:t>καταγρ</w:t>
      </w:r>
      <w:r w:rsidR="00C35884">
        <w:t>αφέν</w:t>
      </w:r>
      <w:r>
        <w:t xml:space="preserve"> στη στατιστική σειρά των τραπεζικών επιτοκίων λόγω της συμμετοχής των τομέων αυτών σε επιδοτούμενες χρηματοδοτήσεις στο πλαίσιο των σύγχρονων χρηματοδοτικών εργαλείων, των συγχρηματοδοτούμενων προγραμμάτων της Ε</w:t>
      </w:r>
      <w:r w:rsidR="00C35884">
        <w:t>ΑΤ</w:t>
      </w:r>
      <w:r>
        <w:t xml:space="preserve"> και των δανείων του </w:t>
      </w:r>
      <w:r w:rsidR="00C35884">
        <w:rPr>
          <w:lang w:val="en-US"/>
        </w:rPr>
        <w:t>RRF</w:t>
      </w:r>
      <w:r>
        <w:t>.</w:t>
      </w:r>
    </w:p>
    <w:p w14:paraId="7F0D421A" w14:textId="722C4137" w:rsidR="0077430C" w:rsidRDefault="0077430C" w:rsidP="00300BBF">
      <w:pPr>
        <w:pStyle w:val="5"/>
      </w:pPr>
      <w:bookmarkStart w:id="68" w:name="_Toc214473731"/>
      <w:r>
        <w:t>Ισοζύγιο τρεχουσών συναλλαγών</w:t>
      </w:r>
      <w:bookmarkEnd w:id="68"/>
    </w:p>
    <w:p w14:paraId="0F462D66" w14:textId="51010529" w:rsidR="00197C53" w:rsidRPr="00241B81" w:rsidRDefault="00197C53" w:rsidP="00197C53">
      <w:r>
        <w:t xml:space="preserve">Την περίοδο </w:t>
      </w:r>
      <w:r w:rsidRPr="00E8243F">
        <w:t>Ιανουαρίου</w:t>
      </w:r>
      <w:r w:rsidR="0068630D" w:rsidRPr="00E8243F">
        <w:t xml:space="preserve"> </w:t>
      </w:r>
      <w:r w:rsidRPr="00E8243F">
        <w:t>-</w:t>
      </w:r>
      <w:r w:rsidR="0068630D" w:rsidRPr="00E8243F">
        <w:t xml:space="preserve"> </w:t>
      </w:r>
      <w:r w:rsidRPr="00E8243F">
        <w:t>Αυγούστου 2025</w:t>
      </w:r>
      <w:r>
        <w:t xml:space="preserve"> το έλλειμμα του ισοζυγίου τρεχουσών συναλλαγών περιορίστηκε κατά 2,1 δισ. ευρώ σε σχέση με το ίδιο διάστημα του 2024 και διαμορφώθηκε σε 6,6 δισ. ευρώ. Η </w:t>
      </w:r>
      <w:r w:rsidR="00A50743">
        <w:t>εν λόγω</w:t>
      </w:r>
      <w:r w:rsidR="00A50743" w:rsidRPr="00A50743">
        <w:t xml:space="preserve"> </w:t>
      </w:r>
      <w:r>
        <w:t xml:space="preserve">εξέλιξη οφείλεται στη βελτίωση όλων των επιμέρους ισοζυγίων και κυρίως των ισοζυγίων αγαθών, πρωτογενών εισοδημάτων και </w:t>
      </w:r>
      <w:r w:rsidRPr="000D3127">
        <w:t>υπηρεσιών</w:t>
      </w:r>
      <w:r w:rsidRPr="000D3127" w:rsidDel="006A7B1D">
        <w:t xml:space="preserve"> </w:t>
      </w:r>
      <w:r w:rsidRPr="000D3127">
        <w:t>(</w:t>
      </w:r>
      <w:r w:rsidR="0070503A" w:rsidRPr="000D3127">
        <w:fldChar w:fldCharType="begin"/>
      </w:r>
      <w:r w:rsidR="0070503A" w:rsidRPr="000D3127">
        <w:instrText xml:space="preserve"> REF _Ref213753613 \h  \* MERGEFORMAT </w:instrText>
      </w:r>
      <w:r w:rsidR="0070503A" w:rsidRPr="000D3127">
        <w:fldChar w:fldCharType="separate"/>
      </w:r>
      <w:r w:rsidR="00E15678" w:rsidRPr="00E15678">
        <w:t>Πίνακας 1.3</w:t>
      </w:r>
      <w:r w:rsidR="0070503A" w:rsidRPr="000D3127">
        <w:fldChar w:fldCharType="end"/>
      </w:r>
      <w:r w:rsidR="0070503A" w:rsidRPr="000D3127">
        <w:t>.</w:t>
      </w:r>
      <w:r w:rsidRPr="000D3127">
        <w:t>).</w:t>
      </w:r>
    </w:p>
    <w:p w14:paraId="12485FB9" w14:textId="043549AD" w:rsidR="00665626" w:rsidRDefault="00197C53" w:rsidP="00305C65">
      <w:pPr>
        <w:spacing w:after="240"/>
      </w:pPr>
      <w:r>
        <w:t xml:space="preserve">Το έλλειμμα του ισοζυγίου αγαθών περιορίστηκε κατά 810 εκατ. ευρώ, καθώς η μείωση των εισαγωγών υπερέβη εκείνη των εξαγωγών σε απόλυτους όρους. </w:t>
      </w:r>
      <w:r w:rsidR="00EC0EF8">
        <w:t>Η βελτίωση του ισοζυγίου καυσίμων συνέβαλε σημαντικά στη μείωση, σ</w:t>
      </w:r>
      <w:r>
        <w:t>ε τρέχουσες τιμές</w:t>
      </w:r>
      <w:r w:rsidR="00EC0EF8">
        <w:t>,</w:t>
      </w:r>
      <w:r>
        <w:t xml:space="preserve"> </w:t>
      </w:r>
      <w:r w:rsidR="00EC0EF8">
        <w:t xml:space="preserve">των </w:t>
      </w:r>
      <w:r>
        <w:t>εξαγωγ</w:t>
      </w:r>
      <w:r w:rsidR="00EC0EF8">
        <w:t>ών</w:t>
      </w:r>
      <w:r>
        <w:t xml:space="preserve"> αγαθών κατά 5,4% (-0,2% σε σταθερές τιμές) και </w:t>
      </w:r>
      <w:r w:rsidR="00EC0EF8">
        <w:t xml:space="preserve">των </w:t>
      </w:r>
      <w:r>
        <w:t>εισαγωγ</w:t>
      </w:r>
      <w:r w:rsidR="00EC0EF8">
        <w:t>ών</w:t>
      </w:r>
      <w:r>
        <w:t xml:space="preserve"> αγαθών κατά 4,6% (-3,1% σε σταθερές τιμέ</w:t>
      </w:r>
      <w:r w:rsidRPr="00EC0EF8">
        <w:t>ς).</w:t>
      </w:r>
      <w:r>
        <w:t xml:space="preserve"> Σε τρέχουσες τιμές οι εξαγωγές αγαθών χωρίς </w:t>
      </w:r>
      <w:r w:rsidR="003C3158">
        <w:t xml:space="preserve">τα </w:t>
      </w:r>
      <w:r>
        <w:t>καύσιμα αυξήθηκαν κατά 3,4%, ενώ οι αντίστοιχες εισαγωγές κατέγραψαν άνοδο κατά 2,7% (αύξηση 6,1% και 2,1% σε σταθερές τιμές</w:t>
      </w:r>
      <w:r w:rsidR="00EC0EF8">
        <w:t>,</w:t>
      </w:r>
      <w:r>
        <w:t xml:space="preserve"> αντίστοιχα).</w:t>
      </w:r>
    </w:p>
    <w:p w14:paraId="0B583446" w14:textId="77777777" w:rsidR="00665626" w:rsidRDefault="00665626">
      <w:pPr>
        <w:spacing w:after="0" w:line="240" w:lineRule="auto"/>
        <w:jc w:val="left"/>
      </w:pPr>
      <w:r>
        <w:br w:type="page"/>
      </w:r>
    </w:p>
    <w:tbl>
      <w:tblPr>
        <w:tblW w:w="10380"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557"/>
        <w:gridCol w:w="4134"/>
        <w:gridCol w:w="928"/>
        <w:gridCol w:w="928"/>
        <w:gridCol w:w="982"/>
        <w:gridCol w:w="936"/>
        <w:gridCol w:w="917"/>
        <w:gridCol w:w="992"/>
        <w:gridCol w:w="6"/>
      </w:tblGrid>
      <w:tr w:rsidR="00911520" w:rsidRPr="00573AD3" w14:paraId="61113793" w14:textId="77777777" w:rsidTr="00114CCE">
        <w:trPr>
          <w:cantSplit/>
          <w:trHeight w:val="340"/>
          <w:tblHeader/>
          <w:jc w:val="center"/>
        </w:trPr>
        <w:tc>
          <w:tcPr>
            <w:tcW w:w="10380" w:type="dxa"/>
            <w:gridSpan w:val="9"/>
            <w:tcBorders>
              <w:top w:val="single" w:sz="2" w:space="0" w:color="A6A6A6" w:themeColor="background1" w:themeShade="A6"/>
              <w:bottom w:val="single" w:sz="2" w:space="0" w:color="A6A6A6" w:themeColor="background1" w:themeShade="A6"/>
            </w:tcBorders>
            <w:shd w:val="clear" w:color="000000" w:fill="D5DCE4"/>
            <w:noWrap/>
            <w:vAlign w:val="center"/>
            <w:hideMark/>
          </w:tcPr>
          <w:p w14:paraId="0DD9F9F5" w14:textId="69D010AB" w:rsidR="00114CCE" w:rsidRDefault="00911520" w:rsidP="00B25FC4">
            <w:pPr>
              <w:spacing w:after="0" w:line="240" w:lineRule="auto"/>
              <w:jc w:val="center"/>
              <w:rPr>
                <w:rFonts w:cs="Arial"/>
                <w:b/>
                <w:bCs/>
                <w:sz w:val="18"/>
                <w:szCs w:val="18"/>
              </w:rPr>
            </w:pPr>
            <w:bookmarkStart w:id="69" w:name="_Ref213753613"/>
            <w:bookmarkStart w:id="70" w:name="_Toc214387612"/>
            <w:bookmarkStart w:id="71" w:name="_Hlk212808258"/>
            <w:r w:rsidRPr="00911520">
              <w:rPr>
                <w:b/>
                <w:sz w:val="18"/>
                <w:szCs w:val="18"/>
              </w:rPr>
              <w:lastRenderedPageBreak/>
              <w:t>Πίνακας 1.</w:t>
            </w:r>
            <w:r w:rsidRPr="00911520">
              <w:rPr>
                <w:b/>
                <w:sz w:val="18"/>
                <w:szCs w:val="18"/>
              </w:rPr>
              <w:fldChar w:fldCharType="begin"/>
            </w:r>
            <w:r w:rsidRPr="00911520">
              <w:rPr>
                <w:b/>
                <w:sz w:val="18"/>
                <w:szCs w:val="18"/>
              </w:rPr>
              <w:instrText xml:space="preserve"> SEQ Πίνακας_1. \* ARABIC </w:instrText>
            </w:r>
            <w:r w:rsidRPr="00911520">
              <w:rPr>
                <w:b/>
                <w:sz w:val="18"/>
                <w:szCs w:val="18"/>
              </w:rPr>
              <w:fldChar w:fldCharType="separate"/>
            </w:r>
            <w:r w:rsidR="00E15678">
              <w:rPr>
                <w:b/>
                <w:noProof/>
                <w:sz w:val="18"/>
                <w:szCs w:val="18"/>
              </w:rPr>
              <w:t>3</w:t>
            </w:r>
            <w:r w:rsidRPr="00911520">
              <w:rPr>
                <w:b/>
                <w:sz w:val="18"/>
                <w:szCs w:val="18"/>
              </w:rPr>
              <w:fldChar w:fldCharType="end"/>
            </w:r>
            <w:bookmarkEnd w:id="69"/>
            <w:r w:rsidRPr="00911520">
              <w:rPr>
                <w:rFonts w:cs="Arial"/>
                <w:b/>
                <w:bCs/>
                <w:sz w:val="18"/>
                <w:szCs w:val="18"/>
              </w:rPr>
              <w:t>.: Ισοζύγιο</w:t>
            </w:r>
            <w:r w:rsidRPr="00573AD3">
              <w:rPr>
                <w:rFonts w:cs="Arial"/>
                <w:b/>
                <w:bCs/>
                <w:sz w:val="18"/>
                <w:szCs w:val="18"/>
              </w:rPr>
              <w:t xml:space="preserve"> Πληρωμών</w:t>
            </w:r>
          </w:p>
          <w:p w14:paraId="714E39ED" w14:textId="2D02513B" w:rsidR="00911520" w:rsidRPr="00573AD3" w:rsidRDefault="00911520" w:rsidP="00B25FC4">
            <w:pPr>
              <w:spacing w:after="0" w:line="240" w:lineRule="auto"/>
              <w:jc w:val="center"/>
              <w:rPr>
                <w:rFonts w:cs="Arial"/>
                <w:b/>
                <w:bCs/>
                <w:color w:val="000000"/>
                <w:sz w:val="18"/>
                <w:szCs w:val="18"/>
              </w:rPr>
            </w:pPr>
            <w:r w:rsidRPr="00573AD3">
              <w:rPr>
                <w:rFonts w:cs="Arial"/>
                <w:b/>
                <w:bCs/>
                <w:sz w:val="18"/>
                <w:szCs w:val="18"/>
              </w:rPr>
              <w:t>(</w:t>
            </w:r>
            <w:r w:rsidR="00114CCE">
              <w:rPr>
                <w:rFonts w:cs="Arial"/>
                <w:b/>
                <w:bCs/>
                <w:sz w:val="18"/>
                <w:szCs w:val="18"/>
              </w:rPr>
              <w:t xml:space="preserve">σε </w:t>
            </w:r>
            <w:r w:rsidRPr="00573AD3">
              <w:rPr>
                <w:rFonts w:cs="Arial"/>
                <w:b/>
                <w:bCs/>
                <w:sz w:val="18"/>
                <w:szCs w:val="18"/>
              </w:rPr>
              <w:t>εκατ. ευρώ)</w:t>
            </w:r>
            <w:bookmarkEnd w:id="70"/>
          </w:p>
        </w:tc>
      </w:tr>
      <w:tr w:rsidR="00911520" w:rsidRPr="00573AD3" w14:paraId="3B155E39" w14:textId="77777777" w:rsidTr="00665626">
        <w:trPr>
          <w:cantSplit/>
          <w:trHeight w:val="204"/>
          <w:tblHeader/>
          <w:jc w:val="center"/>
        </w:trPr>
        <w:tc>
          <w:tcPr>
            <w:tcW w:w="557" w:type="dxa"/>
            <w:tcBorders>
              <w:top w:val="single" w:sz="2" w:space="0" w:color="A6A6A6" w:themeColor="background1" w:themeShade="A6"/>
              <w:bottom w:val="nil"/>
            </w:tcBorders>
            <w:shd w:val="clear" w:color="000000" w:fill="F2F2F2"/>
            <w:noWrap/>
            <w:vAlign w:val="center"/>
            <w:hideMark/>
          </w:tcPr>
          <w:p w14:paraId="6C8DF39E" w14:textId="4085C357" w:rsidR="00911520" w:rsidRPr="00573AD3" w:rsidRDefault="00911520" w:rsidP="00B25FC4">
            <w:pPr>
              <w:spacing w:after="0" w:line="240" w:lineRule="auto"/>
              <w:jc w:val="center"/>
              <w:rPr>
                <w:rFonts w:cs="Arial"/>
                <w:b/>
                <w:bCs/>
                <w:color w:val="000000"/>
                <w:sz w:val="16"/>
                <w:szCs w:val="16"/>
              </w:rPr>
            </w:pPr>
          </w:p>
        </w:tc>
        <w:tc>
          <w:tcPr>
            <w:tcW w:w="4134" w:type="dxa"/>
            <w:tcBorders>
              <w:top w:val="single" w:sz="2" w:space="0" w:color="A6A6A6" w:themeColor="background1" w:themeShade="A6"/>
              <w:bottom w:val="nil"/>
            </w:tcBorders>
            <w:shd w:val="clear" w:color="000000" w:fill="F2F2F2"/>
            <w:noWrap/>
            <w:vAlign w:val="center"/>
            <w:hideMark/>
          </w:tcPr>
          <w:p w14:paraId="1CC7DFD9" w14:textId="66A3AA68" w:rsidR="00911520" w:rsidRPr="00573AD3" w:rsidRDefault="00911520" w:rsidP="00B25FC4">
            <w:pPr>
              <w:spacing w:after="0" w:line="240" w:lineRule="auto"/>
              <w:jc w:val="center"/>
              <w:rPr>
                <w:rFonts w:cs="Arial"/>
                <w:b/>
                <w:bCs/>
                <w:color w:val="000000"/>
                <w:sz w:val="16"/>
                <w:szCs w:val="16"/>
              </w:rPr>
            </w:pPr>
          </w:p>
        </w:tc>
        <w:tc>
          <w:tcPr>
            <w:tcW w:w="2838" w:type="dxa"/>
            <w:gridSpan w:val="3"/>
            <w:tcBorders>
              <w:top w:val="single" w:sz="2" w:space="0" w:color="A6A6A6" w:themeColor="background1" w:themeShade="A6"/>
              <w:bottom w:val="nil"/>
            </w:tcBorders>
            <w:shd w:val="clear" w:color="000000" w:fill="F2F2F2"/>
            <w:noWrap/>
            <w:vAlign w:val="center"/>
            <w:hideMark/>
          </w:tcPr>
          <w:p w14:paraId="3AE34D97" w14:textId="2FCD54C3" w:rsidR="00911520" w:rsidRPr="00573AD3" w:rsidRDefault="00911520" w:rsidP="00B25FC4">
            <w:pPr>
              <w:spacing w:after="0" w:line="240" w:lineRule="auto"/>
              <w:jc w:val="center"/>
              <w:rPr>
                <w:rFonts w:cs="Arial"/>
                <w:b/>
                <w:bCs/>
                <w:color w:val="000000"/>
                <w:sz w:val="18"/>
                <w:szCs w:val="18"/>
              </w:rPr>
            </w:pPr>
            <w:r w:rsidRPr="00573AD3">
              <w:rPr>
                <w:rFonts w:cs="Arial"/>
                <w:b/>
                <w:bCs/>
                <w:sz w:val="18"/>
                <w:szCs w:val="18"/>
              </w:rPr>
              <w:t>Ιανουάριος - Δεκέμβριος</w:t>
            </w:r>
          </w:p>
        </w:tc>
        <w:tc>
          <w:tcPr>
            <w:tcW w:w="2851" w:type="dxa"/>
            <w:gridSpan w:val="4"/>
            <w:tcBorders>
              <w:top w:val="single" w:sz="2" w:space="0" w:color="A6A6A6" w:themeColor="background1" w:themeShade="A6"/>
              <w:bottom w:val="nil"/>
            </w:tcBorders>
            <w:shd w:val="clear" w:color="000000" w:fill="F2F2F2"/>
            <w:noWrap/>
            <w:vAlign w:val="center"/>
            <w:hideMark/>
          </w:tcPr>
          <w:p w14:paraId="3D2477D1" w14:textId="733995C7" w:rsidR="00911520" w:rsidRPr="00573AD3" w:rsidRDefault="00911520" w:rsidP="00B25FC4">
            <w:pPr>
              <w:spacing w:after="0" w:line="240" w:lineRule="auto"/>
              <w:jc w:val="center"/>
              <w:rPr>
                <w:rFonts w:cs="Arial"/>
                <w:b/>
                <w:bCs/>
                <w:color w:val="000000"/>
                <w:sz w:val="18"/>
                <w:szCs w:val="18"/>
              </w:rPr>
            </w:pPr>
            <w:r w:rsidRPr="00573AD3">
              <w:rPr>
                <w:rFonts w:cs="Arial"/>
                <w:b/>
                <w:bCs/>
                <w:sz w:val="18"/>
                <w:szCs w:val="18"/>
              </w:rPr>
              <w:t>Ιανουάριος - Αύγουστος</w:t>
            </w:r>
          </w:p>
        </w:tc>
      </w:tr>
      <w:tr w:rsidR="00911520" w:rsidRPr="00573AD3" w14:paraId="76ED59FE" w14:textId="77777777" w:rsidTr="00665626">
        <w:trPr>
          <w:gridAfter w:val="1"/>
          <w:wAfter w:w="6" w:type="dxa"/>
          <w:cantSplit/>
          <w:trHeight w:val="215"/>
          <w:tblHeader/>
          <w:jc w:val="center"/>
        </w:trPr>
        <w:tc>
          <w:tcPr>
            <w:tcW w:w="557" w:type="dxa"/>
            <w:tcBorders>
              <w:top w:val="nil"/>
              <w:bottom w:val="single" w:sz="2" w:space="0" w:color="A6A6A6" w:themeColor="background1" w:themeShade="A6"/>
            </w:tcBorders>
            <w:shd w:val="clear" w:color="000000" w:fill="F2F2F2"/>
            <w:noWrap/>
            <w:vAlign w:val="center"/>
            <w:hideMark/>
          </w:tcPr>
          <w:p w14:paraId="3DCC8D9E" w14:textId="0333E470" w:rsidR="00911520" w:rsidRPr="00573AD3" w:rsidRDefault="00911520" w:rsidP="00B25FC4">
            <w:pPr>
              <w:spacing w:after="0" w:line="240" w:lineRule="auto"/>
              <w:jc w:val="center"/>
              <w:rPr>
                <w:rFonts w:cs="Arial"/>
                <w:b/>
                <w:bCs/>
                <w:color w:val="000000"/>
                <w:sz w:val="16"/>
                <w:szCs w:val="16"/>
              </w:rPr>
            </w:pPr>
          </w:p>
        </w:tc>
        <w:tc>
          <w:tcPr>
            <w:tcW w:w="4134" w:type="dxa"/>
            <w:tcBorders>
              <w:top w:val="nil"/>
              <w:bottom w:val="single" w:sz="2" w:space="0" w:color="A6A6A6" w:themeColor="background1" w:themeShade="A6"/>
            </w:tcBorders>
            <w:shd w:val="clear" w:color="000000" w:fill="F2F2F2"/>
            <w:noWrap/>
            <w:vAlign w:val="center"/>
            <w:hideMark/>
          </w:tcPr>
          <w:p w14:paraId="6B61C93A" w14:textId="78CF5AF3" w:rsidR="00911520" w:rsidRPr="00573AD3" w:rsidRDefault="00911520" w:rsidP="00B25FC4">
            <w:pPr>
              <w:spacing w:after="0" w:line="240" w:lineRule="auto"/>
              <w:jc w:val="center"/>
              <w:rPr>
                <w:rFonts w:cs="Arial"/>
                <w:b/>
                <w:bCs/>
                <w:color w:val="000000"/>
                <w:sz w:val="16"/>
                <w:szCs w:val="16"/>
              </w:rPr>
            </w:pPr>
          </w:p>
        </w:tc>
        <w:tc>
          <w:tcPr>
            <w:tcW w:w="928" w:type="dxa"/>
            <w:tcBorders>
              <w:top w:val="nil"/>
              <w:bottom w:val="single" w:sz="2" w:space="0" w:color="A6A6A6" w:themeColor="background1" w:themeShade="A6"/>
            </w:tcBorders>
            <w:shd w:val="clear" w:color="000000" w:fill="F2F2F2"/>
            <w:noWrap/>
            <w:vAlign w:val="center"/>
            <w:hideMark/>
          </w:tcPr>
          <w:p w14:paraId="2171A651" w14:textId="77777777" w:rsidR="00911520" w:rsidRPr="00573AD3" w:rsidRDefault="00911520" w:rsidP="00B25FC4">
            <w:pPr>
              <w:spacing w:after="0" w:line="240" w:lineRule="auto"/>
              <w:jc w:val="center"/>
              <w:rPr>
                <w:rFonts w:cs="Arial"/>
                <w:b/>
                <w:bCs/>
                <w:color w:val="000000"/>
                <w:sz w:val="18"/>
                <w:szCs w:val="18"/>
              </w:rPr>
            </w:pPr>
            <w:r w:rsidRPr="00573AD3">
              <w:rPr>
                <w:rFonts w:cs="Arial"/>
                <w:b/>
                <w:bCs/>
                <w:color w:val="000000"/>
                <w:sz w:val="18"/>
                <w:szCs w:val="18"/>
              </w:rPr>
              <w:t>2022</w:t>
            </w:r>
          </w:p>
        </w:tc>
        <w:tc>
          <w:tcPr>
            <w:tcW w:w="928" w:type="dxa"/>
            <w:tcBorders>
              <w:top w:val="nil"/>
              <w:bottom w:val="single" w:sz="2" w:space="0" w:color="A6A6A6" w:themeColor="background1" w:themeShade="A6"/>
            </w:tcBorders>
            <w:shd w:val="clear" w:color="000000" w:fill="F2F2F2"/>
            <w:noWrap/>
            <w:vAlign w:val="center"/>
            <w:hideMark/>
          </w:tcPr>
          <w:p w14:paraId="200628CD" w14:textId="77777777" w:rsidR="00911520" w:rsidRPr="00573AD3" w:rsidRDefault="00911520" w:rsidP="00B25FC4">
            <w:pPr>
              <w:spacing w:after="0" w:line="240" w:lineRule="auto"/>
              <w:jc w:val="center"/>
              <w:rPr>
                <w:rFonts w:cs="Arial"/>
                <w:b/>
                <w:bCs/>
                <w:color w:val="000000"/>
                <w:sz w:val="18"/>
                <w:szCs w:val="18"/>
              </w:rPr>
            </w:pPr>
            <w:r w:rsidRPr="00573AD3">
              <w:rPr>
                <w:rFonts w:cs="Arial"/>
                <w:b/>
                <w:bCs/>
                <w:color w:val="000000"/>
                <w:sz w:val="18"/>
                <w:szCs w:val="18"/>
              </w:rPr>
              <w:t>2023</w:t>
            </w:r>
          </w:p>
        </w:tc>
        <w:tc>
          <w:tcPr>
            <w:tcW w:w="982" w:type="dxa"/>
            <w:tcBorders>
              <w:top w:val="nil"/>
              <w:bottom w:val="single" w:sz="2" w:space="0" w:color="A6A6A6" w:themeColor="background1" w:themeShade="A6"/>
            </w:tcBorders>
            <w:shd w:val="clear" w:color="000000" w:fill="F2F2F2"/>
            <w:noWrap/>
            <w:vAlign w:val="center"/>
            <w:hideMark/>
          </w:tcPr>
          <w:p w14:paraId="2757FCDE" w14:textId="77777777" w:rsidR="00911520" w:rsidRPr="00573AD3" w:rsidRDefault="00911520" w:rsidP="00B25FC4">
            <w:pPr>
              <w:spacing w:after="0" w:line="240" w:lineRule="auto"/>
              <w:jc w:val="center"/>
              <w:rPr>
                <w:rFonts w:cs="Arial"/>
                <w:b/>
                <w:bCs/>
                <w:color w:val="000000"/>
                <w:sz w:val="18"/>
                <w:szCs w:val="18"/>
              </w:rPr>
            </w:pPr>
            <w:r w:rsidRPr="00573AD3">
              <w:rPr>
                <w:rFonts w:cs="Arial"/>
                <w:b/>
                <w:bCs/>
                <w:color w:val="000000"/>
                <w:sz w:val="18"/>
                <w:szCs w:val="18"/>
              </w:rPr>
              <w:t>2024</w:t>
            </w:r>
          </w:p>
        </w:tc>
        <w:tc>
          <w:tcPr>
            <w:tcW w:w="936" w:type="dxa"/>
            <w:tcBorders>
              <w:top w:val="nil"/>
              <w:bottom w:val="single" w:sz="2" w:space="0" w:color="A6A6A6" w:themeColor="background1" w:themeShade="A6"/>
            </w:tcBorders>
            <w:shd w:val="clear" w:color="000000" w:fill="F2F2F2"/>
            <w:noWrap/>
            <w:vAlign w:val="center"/>
            <w:hideMark/>
          </w:tcPr>
          <w:p w14:paraId="758C938E" w14:textId="77777777" w:rsidR="00911520" w:rsidRPr="006425B7" w:rsidRDefault="00911520" w:rsidP="00B25FC4">
            <w:pPr>
              <w:spacing w:after="0" w:line="240" w:lineRule="auto"/>
              <w:jc w:val="center"/>
              <w:rPr>
                <w:rFonts w:cs="Arial"/>
                <w:b/>
                <w:bCs/>
                <w:color w:val="000000"/>
                <w:sz w:val="18"/>
                <w:szCs w:val="18"/>
              </w:rPr>
            </w:pPr>
            <w:r w:rsidRPr="006425B7">
              <w:rPr>
                <w:rFonts w:cs="Arial"/>
                <w:b/>
                <w:bCs/>
                <w:color w:val="000000"/>
                <w:sz w:val="18"/>
                <w:szCs w:val="18"/>
              </w:rPr>
              <w:t>2023</w:t>
            </w:r>
          </w:p>
        </w:tc>
        <w:tc>
          <w:tcPr>
            <w:tcW w:w="917" w:type="dxa"/>
            <w:tcBorders>
              <w:top w:val="nil"/>
              <w:bottom w:val="single" w:sz="2" w:space="0" w:color="A6A6A6" w:themeColor="background1" w:themeShade="A6"/>
            </w:tcBorders>
            <w:shd w:val="clear" w:color="000000" w:fill="F2F2F2"/>
            <w:noWrap/>
            <w:vAlign w:val="center"/>
            <w:hideMark/>
          </w:tcPr>
          <w:p w14:paraId="2D05B6A8" w14:textId="77777777" w:rsidR="00911520" w:rsidRPr="006425B7" w:rsidRDefault="00911520" w:rsidP="00B25FC4">
            <w:pPr>
              <w:spacing w:after="0" w:line="240" w:lineRule="auto"/>
              <w:jc w:val="center"/>
              <w:rPr>
                <w:rFonts w:cs="Arial"/>
                <w:b/>
                <w:bCs/>
                <w:color w:val="000000"/>
                <w:sz w:val="18"/>
                <w:szCs w:val="18"/>
              </w:rPr>
            </w:pPr>
            <w:r w:rsidRPr="006425B7">
              <w:rPr>
                <w:rFonts w:cs="Arial"/>
                <w:b/>
                <w:bCs/>
                <w:color w:val="000000"/>
                <w:sz w:val="18"/>
                <w:szCs w:val="18"/>
              </w:rPr>
              <w:t>2024</w:t>
            </w:r>
          </w:p>
        </w:tc>
        <w:tc>
          <w:tcPr>
            <w:tcW w:w="992" w:type="dxa"/>
            <w:tcBorders>
              <w:top w:val="nil"/>
              <w:bottom w:val="single" w:sz="2" w:space="0" w:color="A6A6A6" w:themeColor="background1" w:themeShade="A6"/>
            </w:tcBorders>
            <w:shd w:val="clear" w:color="000000" w:fill="F2F2F2"/>
            <w:noWrap/>
            <w:vAlign w:val="center"/>
            <w:hideMark/>
          </w:tcPr>
          <w:p w14:paraId="4F3D1F7A" w14:textId="77777777" w:rsidR="00911520" w:rsidRPr="006425B7" w:rsidRDefault="00911520" w:rsidP="00B25FC4">
            <w:pPr>
              <w:spacing w:after="0" w:line="240" w:lineRule="auto"/>
              <w:jc w:val="center"/>
              <w:rPr>
                <w:rFonts w:cs="Arial"/>
                <w:b/>
                <w:bCs/>
                <w:color w:val="000000"/>
                <w:sz w:val="18"/>
                <w:szCs w:val="18"/>
              </w:rPr>
            </w:pPr>
            <w:r w:rsidRPr="006425B7">
              <w:rPr>
                <w:rFonts w:cs="Arial"/>
                <w:b/>
                <w:bCs/>
                <w:color w:val="000000"/>
                <w:sz w:val="18"/>
                <w:szCs w:val="18"/>
              </w:rPr>
              <w:t>2025</w:t>
            </w:r>
          </w:p>
        </w:tc>
      </w:tr>
      <w:tr w:rsidR="00911520" w:rsidRPr="00016CF7" w14:paraId="7159AACE" w14:textId="77777777" w:rsidTr="00665626">
        <w:trPr>
          <w:gridAfter w:val="1"/>
          <w:wAfter w:w="6" w:type="dxa"/>
          <w:cantSplit/>
          <w:trHeight w:val="184"/>
          <w:jc w:val="center"/>
        </w:trPr>
        <w:tc>
          <w:tcPr>
            <w:tcW w:w="557" w:type="dxa"/>
            <w:tcBorders>
              <w:top w:val="single" w:sz="2" w:space="0" w:color="A6A6A6" w:themeColor="background1" w:themeShade="A6"/>
            </w:tcBorders>
            <w:shd w:val="clear" w:color="000000" w:fill="D5DCE4"/>
            <w:noWrap/>
            <w:vAlign w:val="center"/>
            <w:hideMark/>
          </w:tcPr>
          <w:p w14:paraId="0AA25AD7" w14:textId="141D8908" w:rsidR="00911520" w:rsidRPr="002E3825" w:rsidRDefault="00911520" w:rsidP="00B25FC4">
            <w:pPr>
              <w:spacing w:after="0" w:line="240" w:lineRule="auto"/>
              <w:jc w:val="left"/>
              <w:rPr>
                <w:rFonts w:cs="Arial"/>
                <w:b/>
                <w:bCs/>
                <w:color w:val="000000"/>
                <w:sz w:val="16"/>
                <w:szCs w:val="16"/>
                <w:lang w:val="en-US"/>
              </w:rPr>
            </w:pPr>
            <w:r w:rsidRPr="00016CF7">
              <w:rPr>
                <w:rFonts w:cs="Arial"/>
                <w:b/>
                <w:bCs/>
                <w:sz w:val="16"/>
                <w:szCs w:val="16"/>
              </w:rPr>
              <w:t>I</w:t>
            </w:r>
            <w:r w:rsidR="002E3825">
              <w:rPr>
                <w:rFonts w:cs="Arial"/>
                <w:b/>
                <w:bCs/>
                <w:sz w:val="16"/>
                <w:szCs w:val="16"/>
                <w:lang w:val="en-US"/>
              </w:rPr>
              <w:t>.</w:t>
            </w:r>
          </w:p>
        </w:tc>
        <w:tc>
          <w:tcPr>
            <w:tcW w:w="4134" w:type="dxa"/>
            <w:tcBorders>
              <w:top w:val="single" w:sz="2" w:space="0" w:color="A6A6A6" w:themeColor="background1" w:themeShade="A6"/>
            </w:tcBorders>
            <w:shd w:val="clear" w:color="000000" w:fill="D5DCE4"/>
            <w:noWrap/>
            <w:vAlign w:val="center"/>
            <w:hideMark/>
          </w:tcPr>
          <w:p w14:paraId="11839D6F" w14:textId="77777777" w:rsidR="00911520" w:rsidRPr="00016CF7" w:rsidRDefault="00911520" w:rsidP="00B25FC4">
            <w:pPr>
              <w:spacing w:after="0" w:line="240" w:lineRule="auto"/>
              <w:jc w:val="left"/>
              <w:rPr>
                <w:rFonts w:cs="Arial"/>
                <w:b/>
                <w:bCs/>
                <w:color w:val="000000"/>
                <w:sz w:val="16"/>
                <w:szCs w:val="16"/>
              </w:rPr>
            </w:pPr>
            <w:r w:rsidRPr="00016CF7">
              <w:rPr>
                <w:rFonts w:cs="Arial"/>
                <w:b/>
                <w:bCs/>
                <w:sz w:val="16"/>
                <w:szCs w:val="16"/>
              </w:rPr>
              <w:t>Ισοζύγιο Τρεχουσών Συναλλαγών</w:t>
            </w:r>
          </w:p>
        </w:tc>
        <w:tc>
          <w:tcPr>
            <w:tcW w:w="928" w:type="dxa"/>
            <w:tcBorders>
              <w:top w:val="single" w:sz="2" w:space="0" w:color="A6A6A6" w:themeColor="background1" w:themeShade="A6"/>
            </w:tcBorders>
            <w:shd w:val="clear" w:color="000000" w:fill="D5DCE4"/>
            <w:noWrap/>
            <w:vAlign w:val="center"/>
            <w:hideMark/>
          </w:tcPr>
          <w:p w14:paraId="013B6F10"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-22.247,6</w:t>
            </w:r>
          </w:p>
        </w:tc>
        <w:tc>
          <w:tcPr>
            <w:tcW w:w="928" w:type="dxa"/>
            <w:tcBorders>
              <w:top w:val="single" w:sz="2" w:space="0" w:color="A6A6A6" w:themeColor="background1" w:themeShade="A6"/>
            </w:tcBorders>
            <w:shd w:val="clear" w:color="000000" w:fill="D5DCE4"/>
            <w:noWrap/>
            <w:vAlign w:val="center"/>
            <w:hideMark/>
          </w:tcPr>
          <w:p w14:paraId="60207414"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-15.281,5</w:t>
            </w:r>
          </w:p>
        </w:tc>
        <w:tc>
          <w:tcPr>
            <w:tcW w:w="982" w:type="dxa"/>
            <w:tcBorders>
              <w:top w:val="single" w:sz="2" w:space="0" w:color="A6A6A6" w:themeColor="background1" w:themeShade="A6"/>
            </w:tcBorders>
            <w:shd w:val="clear" w:color="000000" w:fill="D5DCE4"/>
            <w:noWrap/>
            <w:vAlign w:val="center"/>
            <w:hideMark/>
          </w:tcPr>
          <w:p w14:paraId="5812171B"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-16.943,6</w:t>
            </w:r>
          </w:p>
        </w:tc>
        <w:tc>
          <w:tcPr>
            <w:tcW w:w="936" w:type="dxa"/>
            <w:tcBorders>
              <w:top w:val="single" w:sz="2" w:space="0" w:color="A6A6A6" w:themeColor="background1" w:themeShade="A6"/>
            </w:tcBorders>
            <w:shd w:val="clear" w:color="000000" w:fill="D5DCE4"/>
            <w:noWrap/>
            <w:vAlign w:val="center"/>
            <w:hideMark/>
          </w:tcPr>
          <w:p w14:paraId="490D4511"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-7.163,5</w:t>
            </w:r>
          </w:p>
        </w:tc>
        <w:tc>
          <w:tcPr>
            <w:tcW w:w="917" w:type="dxa"/>
            <w:tcBorders>
              <w:top w:val="single" w:sz="2" w:space="0" w:color="A6A6A6" w:themeColor="background1" w:themeShade="A6"/>
            </w:tcBorders>
            <w:shd w:val="clear" w:color="000000" w:fill="D5DCE4"/>
            <w:noWrap/>
            <w:vAlign w:val="center"/>
            <w:hideMark/>
          </w:tcPr>
          <w:p w14:paraId="1D1F8A59"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-8.744,1</w:t>
            </w:r>
          </w:p>
        </w:tc>
        <w:tc>
          <w:tcPr>
            <w:tcW w:w="992" w:type="dxa"/>
            <w:tcBorders>
              <w:top w:val="single" w:sz="2" w:space="0" w:color="A6A6A6" w:themeColor="background1" w:themeShade="A6"/>
            </w:tcBorders>
            <w:shd w:val="clear" w:color="000000" w:fill="D5DCE4"/>
            <w:noWrap/>
            <w:vAlign w:val="center"/>
            <w:hideMark/>
          </w:tcPr>
          <w:p w14:paraId="5E0B44C2"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-6.616,0</w:t>
            </w:r>
          </w:p>
        </w:tc>
      </w:tr>
      <w:tr w:rsidR="00911520" w:rsidRPr="00016CF7" w14:paraId="77D5E16E" w14:textId="77777777" w:rsidTr="00665626">
        <w:trPr>
          <w:gridAfter w:val="1"/>
          <w:wAfter w:w="6" w:type="dxa"/>
          <w:cantSplit/>
          <w:trHeight w:val="184"/>
          <w:jc w:val="center"/>
        </w:trPr>
        <w:tc>
          <w:tcPr>
            <w:tcW w:w="557" w:type="dxa"/>
            <w:shd w:val="clear" w:color="000000" w:fill="D5DCE4"/>
            <w:noWrap/>
            <w:vAlign w:val="center"/>
            <w:hideMark/>
          </w:tcPr>
          <w:p w14:paraId="17FA82FF" w14:textId="45E11A4F" w:rsidR="00911520" w:rsidRPr="00016CF7" w:rsidRDefault="00911520" w:rsidP="00B25FC4">
            <w:pPr>
              <w:spacing w:after="0" w:line="240" w:lineRule="auto"/>
              <w:jc w:val="left"/>
              <w:rPr>
                <w:rFonts w:cs="Arial"/>
                <w:b/>
                <w:bCs/>
                <w:color w:val="000000"/>
                <w:sz w:val="16"/>
                <w:szCs w:val="16"/>
              </w:rPr>
            </w:pPr>
          </w:p>
        </w:tc>
        <w:tc>
          <w:tcPr>
            <w:tcW w:w="4134" w:type="dxa"/>
            <w:shd w:val="clear" w:color="000000" w:fill="D5DCE4"/>
            <w:noWrap/>
            <w:vAlign w:val="center"/>
            <w:hideMark/>
          </w:tcPr>
          <w:p w14:paraId="00802252" w14:textId="77777777" w:rsidR="00911520" w:rsidRPr="00016CF7" w:rsidRDefault="00911520" w:rsidP="00B25FC4">
            <w:pPr>
              <w:spacing w:after="0" w:line="240" w:lineRule="auto"/>
              <w:jc w:val="left"/>
              <w:rPr>
                <w:rFonts w:cs="Arial"/>
                <w:b/>
                <w:bCs/>
                <w:color w:val="000000"/>
                <w:sz w:val="16"/>
                <w:szCs w:val="16"/>
              </w:rPr>
            </w:pPr>
            <w:r w:rsidRPr="00016CF7">
              <w:rPr>
                <w:rFonts w:cs="Arial"/>
                <w:b/>
                <w:bCs/>
                <w:sz w:val="16"/>
                <w:szCs w:val="16"/>
              </w:rPr>
              <w:t>(Ι.Α + Ι.Β + Ι.Γ + Ι.Δ)</w:t>
            </w:r>
          </w:p>
        </w:tc>
        <w:tc>
          <w:tcPr>
            <w:tcW w:w="928" w:type="dxa"/>
            <w:shd w:val="clear" w:color="000000" w:fill="D5DCE4"/>
            <w:noWrap/>
            <w:vAlign w:val="center"/>
            <w:hideMark/>
          </w:tcPr>
          <w:p w14:paraId="4EB1414F" w14:textId="208D5429" w:rsidR="00911520" w:rsidRPr="00016CF7" w:rsidRDefault="00911520" w:rsidP="00B25FC4">
            <w:pPr>
              <w:spacing w:after="0" w:line="240" w:lineRule="auto"/>
              <w:jc w:val="right"/>
              <w:rPr>
                <w:rFonts w:cs="Arial"/>
                <w:b/>
                <w:bCs/>
                <w:color w:val="000000"/>
                <w:sz w:val="16"/>
                <w:szCs w:val="16"/>
              </w:rPr>
            </w:pPr>
          </w:p>
        </w:tc>
        <w:tc>
          <w:tcPr>
            <w:tcW w:w="928" w:type="dxa"/>
            <w:shd w:val="clear" w:color="000000" w:fill="D5DCE4"/>
            <w:noWrap/>
            <w:vAlign w:val="center"/>
            <w:hideMark/>
          </w:tcPr>
          <w:p w14:paraId="01236346" w14:textId="68E25EB1" w:rsidR="00911520" w:rsidRPr="00016CF7" w:rsidRDefault="00911520" w:rsidP="00B25FC4">
            <w:pPr>
              <w:spacing w:after="0" w:line="240" w:lineRule="auto"/>
              <w:jc w:val="right"/>
              <w:rPr>
                <w:rFonts w:cs="Arial"/>
                <w:b/>
                <w:bCs/>
                <w:color w:val="000000"/>
                <w:sz w:val="16"/>
                <w:szCs w:val="16"/>
              </w:rPr>
            </w:pPr>
          </w:p>
        </w:tc>
        <w:tc>
          <w:tcPr>
            <w:tcW w:w="982" w:type="dxa"/>
            <w:shd w:val="clear" w:color="000000" w:fill="D5DCE4"/>
            <w:noWrap/>
            <w:vAlign w:val="center"/>
            <w:hideMark/>
          </w:tcPr>
          <w:p w14:paraId="45A41EC4" w14:textId="4F57962D" w:rsidR="00911520" w:rsidRPr="00016CF7" w:rsidRDefault="00911520" w:rsidP="00B25FC4">
            <w:pPr>
              <w:spacing w:after="0" w:line="240" w:lineRule="auto"/>
              <w:jc w:val="right"/>
              <w:rPr>
                <w:rFonts w:cs="Arial"/>
                <w:b/>
                <w:bCs/>
                <w:color w:val="000000"/>
                <w:sz w:val="16"/>
                <w:szCs w:val="16"/>
              </w:rPr>
            </w:pPr>
          </w:p>
        </w:tc>
        <w:tc>
          <w:tcPr>
            <w:tcW w:w="936" w:type="dxa"/>
            <w:shd w:val="clear" w:color="000000" w:fill="D5DCE4"/>
            <w:noWrap/>
            <w:vAlign w:val="center"/>
            <w:hideMark/>
          </w:tcPr>
          <w:p w14:paraId="443D10BB" w14:textId="6E290912" w:rsidR="00911520" w:rsidRPr="00016CF7" w:rsidRDefault="00911520" w:rsidP="00B25FC4">
            <w:pPr>
              <w:spacing w:after="0" w:line="240" w:lineRule="auto"/>
              <w:jc w:val="right"/>
              <w:rPr>
                <w:rFonts w:cs="Arial"/>
                <w:b/>
                <w:bCs/>
                <w:color w:val="000000"/>
                <w:sz w:val="16"/>
                <w:szCs w:val="16"/>
              </w:rPr>
            </w:pPr>
          </w:p>
        </w:tc>
        <w:tc>
          <w:tcPr>
            <w:tcW w:w="917" w:type="dxa"/>
            <w:shd w:val="clear" w:color="000000" w:fill="D5DCE4"/>
            <w:noWrap/>
            <w:vAlign w:val="center"/>
            <w:hideMark/>
          </w:tcPr>
          <w:p w14:paraId="75B7BED5" w14:textId="374DF7BE" w:rsidR="00911520" w:rsidRPr="00016CF7" w:rsidRDefault="00911520" w:rsidP="00B25FC4">
            <w:pPr>
              <w:spacing w:after="0" w:line="240" w:lineRule="auto"/>
              <w:jc w:val="right"/>
              <w:rPr>
                <w:rFonts w:cs="Arial"/>
                <w:b/>
                <w:bCs/>
                <w:color w:val="000000"/>
                <w:sz w:val="16"/>
                <w:szCs w:val="16"/>
              </w:rPr>
            </w:pPr>
          </w:p>
        </w:tc>
        <w:tc>
          <w:tcPr>
            <w:tcW w:w="992" w:type="dxa"/>
            <w:shd w:val="clear" w:color="000000" w:fill="D5DCE4"/>
            <w:noWrap/>
            <w:vAlign w:val="center"/>
            <w:hideMark/>
          </w:tcPr>
          <w:p w14:paraId="2520D69C" w14:textId="452605C5" w:rsidR="00911520" w:rsidRPr="00016CF7" w:rsidRDefault="00911520" w:rsidP="00B25FC4">
            <w:pPr>
              <w:spacing w:after="0" w:line="240" w:lineRule="auto"/>
              <w:jc w:val="right"/>
              <w:rPr>
                <w:rFonts w:cs="Arial"/>
                <w:b/>
                <w:bCs/>
                <w:color w:val="000000"/>
                <w:sz w:val="16"/>
                <w:szCs w:val="16"/>
              </w:rPr>
            </w:pPr>
          </w:p>
        </w:tc>
      </w:tr>
      <w:tr w:rsidR="00911520" w:rsidRPr="00016CF7" w14:paraId="69B4CC0F" w14:textId="77777777" w:rsidTr="00665626">
        <w:trPr>
          <w:gridAfter w:val="1"/>
          <w:wAfter w:w="6" w:type="dxa"/>
          <w:cantSplit/>
          <w:trHeight w:val="194"/>
          <w:jc w:val="center"/>
        </w:trPr>
        <w:tc>
          <w:tcPr>
            <w:tcW w:w="557" w:type="dxa"/>
            <w:noWrap/>
            <w:vAlign w:val="center"/>
            <w:hideMark/>
          </w:tcPr>
          <w:p w14:paraId="63363318" w14:textId="67BB272F" w:rsidR="00911520" w:rsidRPr="00016CF7" w:rsidRDefault="00911520" w:rsidP="00B25FC4">
            <w:pPr>
              <w:spacing w:after="0" w:line="240" w:lineRule="auto"/>
              <w:jc w:val="left"/>
              <w:rPr>
                <w:rFonts w:cs="Arial"/>
                <w:color w:val="000000"/>
                <w:sz w:val="16"/>
                <w:szCs w:val="16"/>
              </w:rPr>
            </w:pPr>
          </w:p>
        </w:tc>
        <w:tc>
          <w:tcPr>
            <w:tcW w:w="4134" w:type="dxa"/>
            <w:noWrap/>
            <w:vAlign w:val="center"/>
            <w:hideMark/>
          </w:tcPr>
          <w:p w14:paraId="3152FC8E"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Ισοζύγιο Αγαθών και Υπηρεσιών</w:t>
            </w:r>
          </w:p>
        </w:tc>
        <w:tc>
          <w:tcPr>
            <w:tcW w:w="928" w:type="dxa"/>
            <w:noWrap/>
            <w:vAlign w:val="center"/>
            <w:hideMark/>
          </w:tcPr>
          <w:p w14:paraId="57AFAF72"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-20.188,3</w:t>
            </w:r>
          </w:p>
        </w:tc>
        <w:tc>
          <w:tcPr>
            <w:tcW w:w="928" w:type="dxa"/>
            <w:noWrap/>
            <w:vAlign w:val="center"/>
            <w:hideMark/>
          </w:tcPr>
          <w:p w14:paraId="09EA9CC8"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-11.254,4</w:t>
            </w:r>
          </w:p>
        </w:tc>
        <w:tc>
          <w:tcPr>
            <w:tcW w:w="982" w:type="dxa"/>
            <w:noWrap/>
            <w:vAlign w:val="center"/>
            <w:hideMark/>
          </w:tcPr>
          <w:p w14:paraId="088D5B82"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-12.994,0</w:t>
            </w:r>
          </w:p>
        </w:tc>
        <w:tc>
          <w:tcPr>
            <w:tcW w:w="936" w:type="dxa"/>
            <w:noWrap/>
            <w:vAlign w:val="center"/>
            <w:hideMark/>
          </w:tcPr>
          <w:p w14:paraId="31FC3C34"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-5.499,3</w:t>
            </w:r>
          </w:p>
        </w:tc>
        <w:tc>
          <w:tcPr>
            <w:tcW w:w="917" w:type="dxa"/>
            <w:noWrap/>
            <w:vAlign w:val="center"/>
            <w:hideMark/>
          </w:tcPr>
          <w:p w14:paraId="349E76A6"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-7.099,6</w:t>
            </w:r>
          </w:p>
        </w:tc>
        <w:tc>
          <w:tcPr>
            <w:tcW w:w="992" w:type="dxa"/>
            <w:noWrap/>
            <w:vAlign w:val="center"/>
            <w:hideMark/>
          </w:tcPr>
          <w:p w14:paraId="3E3A9D64"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-5.741,9</w:t>
            </w:r>
          </w:p>
        </w:tc>
      </w:tr>
      <w:tr w:rsidR="00911520" w:rsidRPr="00016CF7" w14:paraId="02192772" w14:textId="77777777" w:rsidTr="00665626">
        <w:trPr>
          <w:gridAfter w:val="1"/>
          <w:wAfter w:w="6" w:type="dxa"/>
          <w:cantSplit/>
          <w:trHeight w:val="184"/>
          <w:jc w:val="center"/>
        </w:trPr>
        <w:tc>
          <w:tcPr>
            <w:tcW w:w="557" w:type="dxa"/>
            <w:noWrap/>
            <w:vAlign w:val="center"/>
            <w:hideMark/>
          </w:tcPr>
          <w:p w14:paraId="58054745" w14:textId="11DB11CA" w:rsidR="00911520" w:rsidRPr="00016CF7" w:rsidRDefault="00911520" w:rsidP="00B25FC4">
            <w:pPr>
              <w:spacing w:after="0" w:line="240" w:lineRule="auto"/>
              <w:jc w:val="left"/>
              <w:rPr>
                <w:rFonts w:cs="Arial"/>
                <w:color w:val="000000"/>
                <w:sz w:val="16"/>
                <w:szCs w:val="16"/>
              </w:rPr>
            </w:pPr>
          </w:p>
        </w:tc>
        <w:tc>
          <w:tcPr>
            <w:tcW w:w="4134" w:type="dxa"/>
            <w:noWrap/>
            <w:vAlign w:val="center"/>
            <w:hideMark/>
          </w:tcPr>
          <w:p w14:paraId="5D8C0A84"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(I.Α + I.B)</w:t>
            </w:r>
          </w:p>
        </w:tc>
        <w:tc>
          <w:tcPr>
            <w:tcW w:w="928" w:type="dxa"/>
            <w:noWrap/>
            <w:vAlign w:val="center"/>
            <w:hideMark/>
          </w:tcPr>
          <w:p w14:paraId="607C4BBC" w14:textId="77777777" w:rsidR="00911520" w:rsidRPr="00016CF7" w:rsidRDefault="00911520" w:rsidP="00B25FC4">
            <w:pPr>
              <w:spacing w:after="0" w:line="240" w:lineRule="auto"/>
              <w:jc w:val="right"/>
              <w:rPr>
                <w:rFonts w:cs="Arial"/>
                <w:b/>
                <w:bCs/>
                <w:color w:val="000000"/>
                <w:sz w:val="16"/>
                <w:szCs w:val="16"/>
              </w:rPr>
            </w:pPr>
          </w:p>
        </w:tc>
        <w:tc>
          <w:tcPr>
            <w:tcW w:w="928" w:type="dxa"/>
            <w:noWrap/>
            <w:vAlign w:val="center"/>
            <w:hideMark/>
          </w:tcPr>
          <w:p w14:paraId="1B7246B6" w14:textId="77777777" w:rsidR="00911520" w:rsidRPr="00016CF7" w:rsidRDefault="00911520" w:rsidP="00B25FC4">
            <w:pPr>
              <w:spacing w:after="0" w:line="240" w:lineRule="auto"/>
              <w:jc w:val="right"/>
              <w:rPr>
                <w:rFonts w:cs="Arial"/>
                <w:sz w:val="16"/>
                <w:szCs w:val="16"/>
              </w:rPr>
            </w:pPr>
          </w:p>
        </w:tc>
        <w:tc>
          <w:tcPr>
            <w:tcW w:w="982" w:type="dxa"/>
            <w:noWrap/>
            <w:vAlign w:val="center"/>
            <w:hideMark/>
          </w:tcPr>
          <w:p w14:paraId="0A0F7EAD" w14:textId="77777777" w:rsidR="00911520" w:rsidRPr="00016CF7" w:rsidRDefault="00911520" w:rsidP="00B25FC4">
            <w:pPr>
              <w:spacing w:after="0" w:line="240" w:lineRule="auto"/>
              <w:jc w:val="right"/>
              <w:rPr>
                <w:rFonts w:cs="Arial"/>
                <w:sz w:val="16"/>
                <w:szCs w:val="16"/>
              </w:rPr>
            </w:pPr>
          </w:p>
        </w:tc>
        <w:tc>
          <w:tcPr>
            <w:tcW w:w="936" w:type="dxa"/>
            <w:noWrap/>
            <w:vAlign w:val="center"/>
            <w:hideMark/>
          </w:tcPr>
          <w:p w14:paraId="0F7B5C10" w14:textId="77777777" w:rsidR="00911520" w:rsidRPr="00016CF7" w:rsidRDefault="00911520" w:rsidP="00B25FC4">
            <w:pPr>
              <w:spacing w:after="0" w:line="240" w:lineRule="auto"/>
              <w:jc w:val="right"/>
              <w:rPr>
                <w:rFonts w:cs="Arial"/>
                <w:sz w:val="16"/>
                <w:szCs w:val="16"/>
              </w:rPr>
            </w:pPr>
          </w:p>
        </w:tc>
        <w:tc>
          <w:tcPr>
            <w:tcW w:w="917" w:type="dxa"/>
            <w:noWrap/>
            <w:vAlign w:val="center"/>
            <w:hideMark/>
          </w:tcPr>
          <w:p w14:paraId="0A87818C" w14:textId="77777777" w:rsidR="00911520" w:rsidRPr="00016CF7" w:rsidRDefault="00911520" w:rsidP="00B25FC4">
            <w:pPr>
              <w:spacing w:after="0" w:line="240" w:lineRule="auto"/>
              <w:jc w:val="right"/>
              <w:rPr>
                <w:rFonts w:cs="Arial"/>
                <w:sz w:val="16"/>
                <w:szCs w:val="16"/>
              </w:rPr>
            </w:pPr>
          </w:p>
        </w:tc>
        <w:tc>
          <w:tcPr>
            <w:tcW w:w="992" w:type="dxa"/>
            <w:noWrap/>
            <w:vAlign w:val="center"/>
            <w:hideMark/>
          </w:tcPr>
          <w:p w14:paraId="0B818006" w14:textId="5EB836EC" w:rsidR="00911520" w:rsidRPr="00016CF7" w:rsidRDefault="00911520" w:rsidP="00B25FC4">
            <w:pPr>
              <w:spacing w:after="0" w:line="240" w:lineRule="auto"/>
              <w:jc w:val="right"/>
              <w:rPr>
                <w:rFonts w:cs="Arial"/>
                <w:b/>
                <w:bCs/>
                <w:color w:val="000000"/>
                <w:sz w:val="16"/>
                <w:szCs w:val="16"/>
              </w:rPr>
            </w:pPr>
          </w:p>
        </w:tc>
      </w:tr>
      <w:tr w:rsidR="00911520" w:rsidRPr="0041454E" w14:paraId="70806D9B" w14:textId="77777777" w:rsidTr="00665626">
        <w:trPr>
          <w:gridAfter w:val="1"/>
          <w:wAfter w:w="6" w:type="dxa"/>
          <w:cantSplit/>
          <w:trHeight w:val="194"/>
          <w:jc w:val="center"/>
        </w:trPr>
        <w:tc>
          <w:tcPr>
            <w:tcW w:w="557" w:type="dxa"/>
            <w:noWrap/>
            <w:vAlign w:val="center"/>
            <w:hideMark/>
          </w:tcPr>
          <w:p w14:paraId="1A0AFBE9" w14:textId="1C463273"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326ED5AA" w14:textId="77777777" w:rsidR="00911520" w:rsidRPr="0041454E" w:rsidRDefault="00911520" w:rsidP="00B25FC4">
            <w:pPr>
              <w:spacing w:after="0" w:line="240" w:lineRule="auto"/>
              <w:jc w:val="left"/>
              <w:rPr>
                <w:rFonts w:cs="Arial"/>
                <w:i/>
                <w:iCs/>
                <w:color w:val="000000"/>
                <w:sz w:val="16"/>
                <w:szCs w:val="16"/>
              </w:rPr>
            </w:pPr>
            <w:r w:rsidRPr="0041454E">
              <w:rPr>
                <w:rFonts w:cs="Arial"/>
                <w:i/>
                <w:iCs/>
                <w:color w:val="000000"/>
                <w:sz w:val="16"/>
                <w:szCs w:val="16"/>
              </w:rPr>
              <w:t>Εξαγωγές</w:t>
            </w:r>
          </w:p>
        </w:tc>
        <w:tc>
          <w:tcPr>
            <w:tcW w:w="928" w:type="dxa"/>
            <w:noWrap/>
            <w:vAlign w:val="center"/>
            <w:hideMark/>
          </w:tcPr>
          <w:p w14:paraId="6107B83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102.510,9</w:t>
            </w:r>
          </w:p>
        </w:tc>
        <w:tc>
          <w:tcPr>
            <w:tcW w:w="928" w:type="dxa"/>
            <w:noWrap/>
            <w:vAlign w:val="center"/>
            <w:hideMark/>
          </w:tcPr>
          <w:p w14:paraId="00321D0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99.097,3</w:t>
            </w:r>
          </w:p>
        </w:tc>
        <w:tc>
          <w:tcPr>
            <w:tcW w:w="982" w:type="dxa"/>
            <w:noWrap/>
            <w:vAlign w:val="center"/>
            <w:hideMark/>
          </w:tcPr>
          <w:p w14:paraId="1D9128C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100.058,7</w:t>
            </w:r>
          </w:p>
        </w:tc>
        <w:tc>
          <w:tcPr>
            <w:tcW w:w="936" w:type="dxa"/>
            <w:noWrap/>
            <w:vAlign w:val="center"/>
            <w:hideMark/>
          </w:tcPr>
          <w:p w14:paraId="64D5545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66.904,7</w:t>
            </w:r>
          </w:p>
        </w:tc>
        <w:tc>
          <w:tcPr>
            <w:tcW w:w="917" w:type="dxa"/>
            <w:noWrap/>
            <w:vAlign w:val="center"/>
            <w:hideMark/>
          </w:tcPr>
          <w:p w14:paraId="6710BEB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67.564,0</w:t>
            </w:r>
          </w:p>
        </w:tc>
        <w:tc>
          <w:tcPr>
            <w:tcW w:w="992" w:type="dxa"/>
            <w:noWrap/>
            <w:vAlign w:val="center"/>
            <w:hideMark/>
          </w:tcPr>
          <w:p w14:paraId="0870F55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66.100,0</w:t>
            </w:r>
          </w:p>
        </w:tc>
      </w:tr>
      <w:tr w:rsidR="00911520" w:rsidRPr="0041454E" w14:paraId="0BFF9DB6" w14:textId="77777777" w:rsidTr="00665626">
        <w:trPr>
          <w:gridAfter w:val="1"/>
          <w:wAfter w:w="6" w:type="dxa"/>
          <w:cantSplit/>
          <w:trHeight w:val="184"/>
          <w:jc w:val="center"/>
        </w:trPr>
        <w:tc>
          <w:tcPr>
            <w:tcW w:w="557" w:type="dxa"/>
            <w:noWrap/>
            <w:vAlign w:val="center"/>
            <w:hideMark/>
          </w:tcPr>
          <w:p w14:paraId="09F9C833" w14:textId="4C0A24DE"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4E820DCA" w14:textId="77777777" w:rsidR="00911520" w:rsidRPr="0041454E" w:rsidRDefault="00911520" w:rsidP="00B25FC4">
            <w:pPr>
              <w:spacing w:after="0" w:line="240" w:lineRule="auto"/>
              <w:jc w:val="left"/>
              <w:rPr>
                <w:rFonts w:cs="Arial"/>
                <w:i/>
                <w:iCs/>
                <w:color w:val="000000"/>
                <w:sz w:val="16"/>
                <w:szCs w:val="16"/>
              </w:rPr>
            </w:pPr>
            <w:r w:rsidRPr="0041454E">
              <w:rPr>
                <w:rFonts w:cs="Arial"/>
                <w:i/>
                <w:iCs/>
                <w:color w:val="000000"/>
                <w:sz w:val="16"/>
                <w:szCs w:val="16"/>
              </w:rPr>
              <w:t>Εισαγωγές</w:t>
            </w:r>
          </w:p>
        </w:tc>
        <w:tc>
          <w:tcPr>
            <w:tcW w:w="928" w:type="dxa"/>
            <w:noWrap/>
            <w:vAlign w:val="center"/>
            <w:hideMark/>
          </w:tcPr>
          <w:p w14:paraId="6E57E03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122.699,2</w:t>
            </w:r>
          </w:p>
        </w:tc>
        <w:tc>
          <w:tcPr>
            <w:tcW w:w="928" w:type="dxa"/>
            <w:noWrap/>
            <w:vAlign w:val="center"/>
            <w:hideMark/>
          </w:tcPr>
          <w:p w14:paraId="3C42668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110.351,7</w:t>
            </w:r>
          </w:p>
        </w:tc>
        <w:tc>
          <w:tcPr>
            <w:tcW w:w="982" w:type="dxa"/>
            <w:noWrap/>
            <w:vAlign w:val="center"/>
            <w:hideMark/>
          </w:tcPr>
          <w:p w14:paraId="5A64A90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113.052,6</w:t>
            </w:r>
          </w:p>
        </w:tc>
        <w:tc>
          <w:tcPr>
            <w:tcW w:w="936" w:type="dxa"/>
            <w:noWrap/>
            <w:vAlign w:val="center"/>
            <w:hideMark/>
          </w:tcPr>
          <w:p w14:paraId="62B4624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72.403,9</w:t>
            </w:r>
          </w:p>
        </w:tc>
        <w:tc>
          <w:tcPr>
            <w:tcW w:w="917" w:type="dxa"/>
            <w:noWrap/>
            <w:vAlign w:val="center"/>
            <w:hideMark/>
          </w:tcPr>
          <w:p w14:paraId="3D2B329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74.663,6</w:t>
            </w:r>
          </w:p>
        </w:tc>
        <w:tc>
          <w:tcPr>
            <w:tcW w:w="992" w:type="dxa"/>
            <w:noWrap/>
            <w:vAlign w:val="center"/>
            <w:hideMark/>
          </w:tcPr>
          <w:p w14:paraId="3D4144F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71.841,8</w:t>
            </w:r>
          </w:p>
        </w:tc>
      </w:tr>
      <w:tr w:rsidR="00911520" w:rsidRPr="00016CF7" w14:paraId="587AE7DF" w14:textId="77777777" w:rsidTr="00665626">
        <w:trPr>
          <w:gridAfter w:val="1"/>
          <w:wAfter w:w="6" w:type="dxa"/>
          <w:cantSplit/>
          <w:trHeight w:val="184"/>
          <w:jc w:val="center"/>
        </w:trPr>
        <w:tc>
          <w:tcPr>
            <w:tcW w:w="557" w:type="dxa"/>
            <w:noWrap/>
            <w:vAlign w:val="center"/>
            <w:hideMark/>
          </w:tcPr>
          <w:p w14:paraId="68520AC2"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Ι.A</w:t>
            </w:r>
          </w:p>
        </w:tc>
        <w:tc>
          <w:tcPr>
            <w:tcW w:w="4134" w:type="dxa"/>
            <w:noWrap/>
            <w:vAlign w:val="center"/>
            <w:hideMark/>
          </w:tcPr>
          <w:p w14:paraId="2E73A4CC"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Ισοζύγιο Αγαθών (I.Α.1 - I.Α.2)</w:t>
            </w:r>
          </w:p>
        </w:tc>
        <w:tc>
          <w:tcPr>
            <w:tcW w:w="928" w:type="dxa"/>
            <w:noWrap/>
            <w:vAlign w:val="center"/>
            <w:hideMark/>
          </w:tcPr>
          <w:p w14:paraId="2585E44D"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-39.508,4</w:t>
            </w:r>
          </w:p>
        </w:tc>
        <w:tc>
          <w:tcPr>
            <w:tcW w:w="928" w:type="dxa"/>
            <w:noWrap/>
            <w:vAlign w:val="center"/>
            <w:hideMark/>
          </w:tcPr>
          <w:p w14:paraId="1C942EAC"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-33.062,1</w:t>
            </w:r>
          </w:p>
        </w:tc>
        <w:tc>
          <w:tcPr>
            <w:tcW w:w="982" w:type="dxa"/>
            <w:noWrap/>
            <w:vAlign w:val="center"/>
            <w:hideMark/>
          </w:tcPr>
          <w:p w14:paraId="7BCF4802"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-35.665,5</w:t>
            </w:r>
          </w:p>
        </w:tc>
        <w:tc>
          <w:tcPr>
            <w:tcW w:w="936" w:type="dxa"/>
            <w:noWrap/>
            <w:vAlign w:val="center"/>
            <w:hideMark/>
          </w:tcPr>
          <w:p w14:paraId="5A0A7886"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-20.989,7</w:t>
            </w:r>
          </w:p>
        </w:tc>
        <w:tc>
          <w:tcPr>
            <w:tcW w:w="917" w:type="dxa"/>
            <w:noWrap/>
            <w:vAlign w:val="center"/>
            <w:hideMark/>
          </w:tcPr>
          <w:p w14:paraId="5EBE9A00"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-22.850,4</w:t>
            </w:r>
          </w:p>
        </w:tc>
        <w:tc>
          <w:tcPr>
            <w:tcW w:w="992" w:type="dxa"/>
            <w:noWrap/>
            <w:vAlign w:val="center"/>
            <w:hideMark/>
          </w:tcPr>
          <w:p w14:paraId="5126CC5D"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-22.040,8</w:t>
            </w:r>
          </w:p>
        </w:tc>
      </w:tr>
      <w:tr w:rsidR="00911520" w:rsidRPr="001F4553" w14:paraId="3F2E2A38" w14:textId="77777777" w:rsidTr="00665626">
        <w:trPr>
          <w:gridAfter w:val="1"/>
          <w:wAfter w:w="6" w:type="dxa"/>
          <w:cantSplit/>
          <w:trHeight w:val="194"/>
          <w:jc w:val="center"/>
        </w:trPr>
        <w:tc>
          <w:tcPr>
            <w:tcW w:w="557" w:type="dxa"/>
            <w:noWrap/>
            <w:vAlign w:val="center"/>
            <w:hideMark/>
          </w:tcPr>
          <w:p w14:paraId="7E1E38EA"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I.A.1</w:t>
            </w:r>
          </w:p>
        </w:tc>
        <w:tc>
          <w:tcPr>
            <w:tcW w:w="4134" w:type="dxa"/>
            <w:noWrap/>
            <w:vAlign w:val="center"/>
            <w:hideMark/>
          </w:tcPr>
          <w:p w14:paraId="687A6037"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Εξαγωγές αγαθών</w:t>
            </w:r>
          </w:p>
        </w:tc>
        <w:tc>
          <w:tcPr>
            <w:tcW w:w="928" w:type="dxa"/>
            <w:noWrap/>
            <w:vAlign w:val="center"/>
            <w:hideMark/>
          </w:tcPr>
          <w:p w14:paraId="39CA1DE2"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54.749,0</w:t>
            </w:r>
          </w:p>
        </w:tc>
        <w:tc>
          <w:tcPr>
            <w:tcW w:w="928" w:type="dxa"/>
            <w:noWrap/>
            <w:vAlign w:val="center"/>
            <w:hideMark/>
          </w:tcPr>
          <w:p w14:paraId="19E94344"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50.056,5</w:t>
            </w:r>
          </w:p>
        </w:tc>
        <w:tc>
          <w:tcPr>
            <w:tcW w:w="982" w:type="dxa"/>
            <w:noWrap/>
            <w:vAlign w:val="center"/>
            <w:hideMark/>
          </w:tcPr>
          <w:p w14:paraId="24C64B37"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48.612,8</w:t>
            </w:r>
          </w:p>
        </w:tc>
        <w:tc>
          <w:tcPr>
            <w:tcW w:w="936" w:type="dxa"/>
            <w:noWrap/>
            <w:vAlign w:val="center"/>
            <w:hideMark/>
          </w:tcPr>
          <w:p w14:paraId="664049B4"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33.647,7</w:t>
            </w:r>
          </w:p>
        </w:tc>
        <w:tc>
          <w:tcPr>
            <w:tcW w:w="917" w:type="dxa"/>
            <w:noWrap/>
            <w:vAlign w:val="center"/>
            <w:hideMark/>
          </w:tcPr>
          <w:p w14:paraId="4B587E98"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32.830,9</w:t>
            </w:r>
          </w:p>
        </w:tc>
        <w:tc>
          <w:tcPr>
            <w:tcW w:w="992" w:type="dxa"/>
            <w:noWrap/>
            <w:vAlign w:val="center"/>
            <w:hideMark/>
          </w:tcPr>
          <w:p w14:paraId="1CFD5EE5"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31.062,6</w:t>
            </w:r>
          </w:p>
        </w:tc>
      </w:tr>
      <w:tr w:rsidR="00911520" w:rsidRPr="0041454E" w14:paraId="70B75135" w14:textId="77777777" w:rsidTr="00665626">
        <w:trPr>
          <w:gridAfter w:val="1"/>
          <w:wAfter w:w="6" w:type="dxa"/>
          <w:cantSplit/>
          <w:trHeight w:val="184"/>
          <w:jc w:val="center"/>
        </w:trPr>
        <w:tc>
          <w:tcPr>
            <w:tcW w:w="557" w:type="dxa"/>
            <w:noWrap/>
            <w:vAlign w:val="center"/>
            <w:hideMark/>
          </w:tcPr>
          <w:p w14:paraId="69167491" w14:textId="3C35303D"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1D82D0CB"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Καύσιμα</w:t>
            </w:r>
          </w:p>
        </w:tc>
        <w:tc>
          <w:tcPr>
            <w:tcW w:w="928" w:type="dxa"/>
            <w:noWrap/>
            <w:vAlign w:val="center"/>
            <w:hideMark/>
          </w:tcPr>
          <w:p w14:paraId="3E90C7B9"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18.489,4</w:t>
            </w:r>
          </w:p>
        </w:tc>
        <w:tc>
          <w:tcPr>
            <w:tcW w:w="928" w:type="dxa"/>
            <w:noWrap/>
            <w:vAlign w:val="center"/>
            <w:hideMark/>
          </w:tcPr>
          <w:p w14:paraId="534AE51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14.562,1</w:t>
            </w:r>
          </w:p>
        </w:tc>
        <w:tc>
          <w:tcPr>
            <w:tcW w:w="982" w:type="dxa"/>
            <w:noWrap/>
            <w:vAlign w:val="center"/>
            <w:hideMark/>
          </w:tcPr>
          <w:p w14:paraId="7B4377D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12.802,1</w:t>
            </w:r>
          </w:p>
        </w:tc>
        <w:tc>
          <w:tcPr>
            <w:tcW w:w="936" w:type="dxa"/>
            <w:noWrap/>
            <w:vAlign w:val="center"/>
            <w:hideMark/>
          </w:tcPr>
          <w:p w14:paraId="665AA20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9.527,8</w:t>
            </w:r>
          </w:p>
        </w:tc>
        <w:tc>
          <w:tcPr>
            <w:tcW w:w="917" w:type="dxa"/>
            <w:noWrap/>
            <w:vAlign w:val="center"/>
            <w:hideMark/>
          </w:tcPr>
          <w:p w14:paraId="3E0664F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9.187,6</w:t>
            </w:r>
          </w:p>
        </w:tc>
        <w:tc>
          <w:tcPr>
            <w:tcW w:w="992" w:type="dxa"/>
            <w:noWrap/>
            <w:vAlign w:val="center"/>
            <w:hideMark/>
          </w:tcPr>
          <w:p w14:paraId="165C5F0E"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6.605,2</w:t>
            </w:r>
          </w:p>
        </w:tc>
      </w:tr>
      <w:tr w:rsidR="00911520" w:rsidRPr="0041454E" w14:paraId="4AF14086" w14:textId="77777777" w:rsidTr="00665626">
        <w:trPr>
          <w:gridAfter w:val="1"/>
          <w:wAfter w:w="6" w:type="dxa"/>
          <w:cantSplit/>
          <w:trHeight w:val="194"/>
          <w:jc w:val="center"/>
        </w:trPr>
        <w:tc>
          <w:tcPr>
            <w:tcW w:w="557" w:type="dxa"/>
            <w:noWrap/>
            <w:vAlign w:val="center"/>
            <w:hideMark/>
          </w:tcPr>
          <w:p w14:paraId="43B35624" w14:textId="5F887AF6"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51FC6E88"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Πλοία (πωλήσεις)</w:t>
            </w:r>
          </w:p>
        </w:tc>
        <w:tc>
          <w:tcPr>
            <w:tcW w:w="928" w:type="dxa"/>
            <w:noWrap/>
            <w:vAlign w:val="center"/>
            <w:hideMark/>
          </w:tcPr>
          <w:p w14:paraId="5C292DD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110,3</w:t>
            </w:r>
          </w:p>
        </w:tc>
        <w:tc>
          <w:tcPr>
            <w:tcW w:w="928" w:type="dxa"/>
            <w:noWrap/>
            <w:vAlign w:val="center"/>
            <w:hideMark/>
          </w:tcPr>
          <w:p w14:paraId="32D1B56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206,8</w:t>
            </w:r>
          </w:p>
        </w:tc>
        <w:tc>
          <w:tcPr>
            <w:tcW w:w="982" w:type="dxa"/>
            <w:noWrap/>
            <w:vAlign w:val="center"/>
            <w:hideMark/>
          </w:tcPr>
          <w:p w14:paraId="32281D4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186,9</w:t>
            </w:r>
          </w:p>
        </w:tc>
        <w:tc>
          <w:tcPr>
            <w:tcW w:w="936" w:type="dxa"/>
            <w:noWrap/>
            <w:vAlign w:val="center"/>
            <w:hideMark/>
          </w:tcPr>
          <w:p w14:paraId="47F750B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157,7</w:t>
            </w:r>
          </w:p>
        </w:tc>
        <w:tc>
          <w:tcPr>
            <w:tcW w:w="917" w:type="dxa"/>
            <w:noWrap/>
            <w:vAlign w:val="center"/>
            <w:hideMark/>
          </w:tcPr>
          <w:p w14:paraId="75E0008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141,5</w:t>
            </w:r>
          </w:p>
        </w:tc>
        <w:tc>
          <w:tcPr>
            <w:tcW w:w="992" w:type="dxa"/>
            <w:noWrap/>
            <w:vAlign w:val="center"/>
            <w:hideMark/>
          </w:tcPr>
          <w:p w14:paraId="2D810D8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95,6</w:t>
            </w:r>
          </w:p>
        </w:tc>
      </w:tr>
      <w:tr w:rsidR="00911520" w:rsidRPr="0041454E" w14:paraId="2A6BF2ED" w14:textId="77777777" w:rsidTr="00665626">
        <w:trPr>
          <w:gridAfter w:val="1"/>
          <w:wAfter w:w="6" w:type="dxa"/>
          <w:cantSplit/>
          <w:trHeight w:val="184"/>
          <w:jc w:val="center"/>
        </w:trPr>
        <w:tc>
          <w:tcPr>
            <w:tcW w:w="557" w:type="dxa"/>
            <w:noWrap/>
            <w:vAlign w:val="center"/>
            <w:hideMark/>
          </w:tcPr>
          <w:p w14:paraId="244522E8" w14:textId="11E2114D"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0B58EA0A"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Αγαθά χωρίς καύσιμα και πλοία</w:t>
            </w:r>
          </w:p>
        </w:tc>
        <w:tc>
          <w:tcPr>
            <w:tcW w:w="928" w:type="dxa"/>
            <w:noWrap/>
            <w:vAlign w:val="center"/>
            <w:hideMark/>
          </w:tcPr>
          <w:p w14:paraId="6D17273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36.149,3</w:t>
            </w:r>
          </w:p>
        </w:tc>
        <w:tc>
          <w:tcPr>
            <w:tcW w:w="928" w:type="dxa"/>
            <w:noWrap/>
            <w:vAlign w:val="center"/>
            <w:hideMark/>
          </w:tcPr>
          <w:p w14:paraId="2C497CC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35.287,6</w:t>
            </w:r>
          </w:p>
        </w:tc>
        <w:tc>
          <w:tcPr>
            <w:tcW w:w="982" w:type="dxa"/>
            <w:noWrap/>
            <w:vAlign w:val="center"/>
            <w:hideMark/>
          </w:tcPr>
          <w:p w14:paraId="1A44662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35.623,8</w:t>
            </w:r>
          </w:p>
        </w:tc>
        <w:tc>
          <w:tcPr>
            <w:tcW w:w="936" w:type="dxa"/>
            <w:noWrap/>
            <w:vAlign w:val="center"/>
            <w:hideMark/>
          </w:tcPr>
          <w:p w14:paraId="4D100F8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23.962,1</w:t>
            </w:r>
          </w:p>
        </w:tc>
        <w:tc>
          <w:tcPr>
            <w:tcW w:w="917" w:type="dxa"/>
            <w:noWrap/>
            <w:vAlign w:val="center"/>
            <w:hideMark/>
          </w:tcPr>
          <w:p w14:paraId="7C2FB52E"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23.501,8</w:t>
            </w:r>
          </w:p>
        </w:tc>
        <w:tc>
          <w:tcPr>
            <w:tcW w:w="992" w:type="dxa"/>
            <w:noWrap/>
            <w:vAlign w:val="center"/>
            <w:hideMark/>
          </w:tcPr>
          <w:p w14:paraId="4D46A67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24.361,8</w:t>
            </w:r>
          </w:p>
        </w:tc>
      </w:tr>
      <w:tr w:rsidR="00911520" w:rsidRPr="001F4553" w14:paraId="2FE55E31" w14:textId="77777777" w:rsidTr="00665626">
        <w:trPr>
          <w:gridAfter w:val="1"/>
          <w:wAfter w:w="6" w:type="dxa"/>
          <w:cantSplit/>
          <w:trHeight w:val="184"/>
          <w:jc w:val="center"/>
        </w:trPr>
        <w:tc>
          <w:tcPr>
            <w:tcW w:w="557" w:type="dxa"/>
            <w:noWrap/>
            <w:vAlign w:val="center"/>
            <w:hideMark/>
          </w:tcPr>
          <w:p w14:paraId="0A533894"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I.A.2</w:t>
            </w:r>
          </w:p>
        </w:tc>
        <w:tc>
          <w:tcPr>
            <w:tcW w:w="4134" w:type="dxa"/>
            <w:noWrap/>
            <w:vAlign w:val="center"/>
            <w:hideMark/>
          </w:tcPr>
          <w:p w14:paraId="35AE4E5F"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Εισαγωγές αγαθών</w:t>
            </w:r>
          </w:p>
        </w:tc>
        <w:tc>
          <w:tcPr>
            <w:tcW w:w="928" w:type="dxa"/>
            <w:noWrap/>
            <w:vAlign w:val="center"/>
            <w:hideMark/>
          </w:tcPr>
          <w:p w14:paraId="7B016CB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94.257,4</w:t>
            </w:r>
          </w:p>
        </w:tc>
        <w:tc>
          <w:tcPr>
            <w:tcW w:w="928" w:type="dxa"/>
            <w:noWrap/>
            <w:vAlign w:val="center"/>
            <w:hideMark/>
          </w:tcPr>
          <w:p w14:paraId="00B4E9BA"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83.118,6</w:t>
            </w:r>
          </w:p>
        </w:tc>
        <w:tc>
          <w:tcPr>
            <w:tcW w:w="982" w:type="dxa"/>
            <w:noWrap/>
            <w:vAlign w:val="center"/>
            <w:hideMark/>
          </w:tcPr>
          <w:p w14:paraId="37772311"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84.278,3</w:t>
            </w:r>
          </w:p>
        </w:tc>
        <w:tc>
          <w:tcPr>
            <w:tcW w:w="936" w:type="dxa"/>
            <w:noWrap/>
            <w:vAlign w:val="center"/>
            <w:hideMark/>
          </w:tcPr>
          <w:p w14:paraId="70891A3E"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54.637,4</w:t>
            </w:r>
          </w:p>
        </w:tc>
        <w:tc>
          <w:tcPr>
            <w:tcW w:w="917" w:type="dxa"/>
            <w:noWrap/>
            <w:vAlign w:val="center"/>
            <w:hideMark/>
          </w:tcPr>
          <w:p w14:paraId="56C0A45F"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55.681,3</w:t>
            </w:r>
          </w:p>
        </w:tc>
        <w:tc>
          <w:tcPr>
            <w:tcW w:w="992" w:type="dxa"/>
            <w:noWrap/>
            <w:vAlign w:val="center"/>
            <w:hideMark/>
          </w:tcPr>
          <w:p w14:paraId="376EC76C"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53.103,4</w:t>
            </w:r>
          </w:p>
        </w:tc>
      </w:tr>
      <w:tr w:rsidR="00911520" w:rsidRPr="0041454E" w14:paraId="029F0522" w14:textId="77777777" w:rsidTr="00665626">
        <w:trPr>
          <w:gridAfter w:val="1"/>
          <w:wAfter w:w="6" w:type="dxa"/>
          <w:cantSplit/>
          <w:trHeight w:val="194"/>
          <w:jc w:val="center"/>
        </w:trPr>
        <w:tc>
          <w:tcPr>
            <w:tcW w:w="557" w:type="dxa"/>
            <w:noWrap/>
            <w:vAlign w:val="center"/>
            <w:hideMark/>
          </w:tcPr>
          <w:p w14:paraId="0D5B3D1E" w14:textId="28BE79F6"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00446E09"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Καύσιμα</w:t>
            </w:r>
          </w:p>
        </w:tc>
        <w:tc>
          <w:tcPr>
            <w:tcW w:w="928" w:type="dxa"/>
            <w:noWrap/>
            <w:vAlign w:val="center"/>
            <w:hideMark/>
          </w:tcPr>
          <w:p w14:paraId="5C3E035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31.855,5</w:t>
            </w:r>
          </w:p>
        </w:tc>
        <w:tc>
          <w:tcPr>
            <w:tcW w:w="928" w:type="dxa"/>
            <w:noWrap/>
            <w:vAlign w:val="center"/>
            <w:hideMark/>
          </w:tcPr>
          <w:p w14:paraId="52132A0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21.628,2</w:t>
            </w:r>
          </w:p>
        </w:tc>
        <w:tc>
          <w:tcPr>
            <w:tcW w:w="982" w:type="dxa"/>
            <w:noWrap/>
            <w:vAlign w:val="center"/>
            <w:hideMark/>
          </w:tcPr>
          <w:p w14:paraId="4440155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20.421,1</w:t>
            </w:r>
          </w:p>
        </w:tc>
        <w:tc>
          <w:tcPr>
            <w:tcW w:w="936" w:type="dxa"/>
            <w:noWrap/>
            <w:vAlign w:val="center"/>
            <w:hideMark/>
          </w:tcPr>
          <w:p w14:paraId="697FEA1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14.353,1</w:t>
            </w:r>
          </w:p>
        </w:tc>
        <w:tc>
          <w:tcPr>
            <w:tcW w:w="917" w:type="dxa"/>
            <w:noWrap/>
            <w:vAlign w:val="center"/>
            <w:hideMark/>
          </w:tcPr>
          <w:p w14:paraId="6B458B9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13.924,2</w:t>
            </w:r>
          </w:p>
        </w:tc>
        <w:tc>
          <w:tcPr>
            <w:tcW w:w="992" w:type="dxa"/>
            <w:noWrap/>
            <w:vAlign w:val="center"/>
            <w:hideMark/>
          </w:tcPr>
          <w:p w14:paraId="6609020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10.201,6</w:t>
            </w:r>
          </w:p>
        </w:tc>
      </w:tr>
      <w:tr w:rsidR="00911520" w:rsidRPr="0041454E" w14:paraId="1BE34AE6" w14:textId="77777777" w:rsidTr="00665626">
        <w:trPr>
          <w:gridAfter w:val="1"/>
          <w:wAfter w:w="6" w:type="dxa"/>
          <w:cantSplit/>
          <w:trHeight w:val="184"/>
          <w:jc w:val="center"/>
        </w:trPr>
        <w:tc>
          <w:tcPr>
            <w:tcW w:w="557" w:type="dxa"/>
            <w:noWrap/>
            <w:vAlign w:val="center"/>
            <w:hideMark/>
          </w:tcPr>
          <w:p w14:paraId="2994AD3D" w14:textId="2E5994AE"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47C6C65E"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Πλοία (αγορές)</w:t>
            </w:r>
          </w:p>
        </w:tc>
        <w:tc>
          <w:tcPr>
            <w:tcW w:w="928" w:type="dxa"/>
            <w:noWrap/>
            <w:vAlign w:val="center"/>
            <w:hideMark/>
          </w:tcPr>
          <w:p w14:paraId="2FB4E06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404,0</w:t>
            </w:r>
          </w:p>
        </w:tc>
        <w:tc>
          <w:tcPr>
            <w:tcW w:w="928" w:type="dxa"/>
            <w:noWrap/>
            <w:vAlign w:val="center"/>
            <w:hideMark/>
          </w:tcPr>
          <w:p w14:paraId="4911007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308,8</w:t>
            </w:r>
          </w:p>
        </w:tc>
        <w:tc>
          <w:tcPr>
            <w:tcW w:w="982" w:type="dxa"/>
            <w:noWrap/>
            <w:vAlign w:val="center"/>
            <w:hideMark/>
          </w:tcPr>
          <w:p w14:paraId="2C4ADE0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311,3</w:t>
            </w:r>
          </w:p>
        </w:tc>
        <w:tc>
          <w:tcPr>
            <w:tcW w:w="936" w:type="dxa"/>
            <w:noWrap/>
            <w:vAlign w:val="center"/>
            <w:hideMark/>
          </w:tcPr>
          <w:p w14:paraId="4F34400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222,3</w:t>
            </w:r>
          </w:p>
        </w:tc>
        <w:tc>
          <w:tcPr>
            <w:tcW w:w="917" w:type="dxa"/>
            <w:noWrap/>
            <w:vAlign w:val="center"/>
            <w:hideMark/>
          </w:tcPr>
          <w:p w14:paraId="2289410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238,2</w:t>
            </w:r>
          </w:p>
        </w:tc>
        <w:tc>
          <w:tcPr>
            <w:tcW w:w="992" w:type="dxa"/>
            <w:noWrap/>
            <w:vAlign w:val="center"/>
            <w:hideMark/>
          </w:tcPr>
          <w:p w14:paraId="0691A13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385,7</w:t>
            </w:r>
          </w:p>
        </w:tc>
      </w:tr>
      <w:tr w:rsidR="00911520" w:rsidRPr="0041454E" w14:paraId="741A3A7C" w14:textId="77777777" w:rsidTr="00665626">
        <w:trPr>
          <w:gridAfter w:val="1"/>
          <w:wAfter w:w="6" w:type="dxa"/>
          <w:cantSplit/>
          <w:trHeight w:val="194"/>
          <w:jc w:val="center"/>
        </w:trPr>
        <w:tc>
          <w:tcPr>
            <w:tcW w:w="557" w:type="dxa"/>
            <w:noWrap/>
            <w:vAlign w:val="center"/>
            <w:hideMark/>
          </w:tcPr>
          <w:p w14:paraId="79BD13B2" w14:textId="3DA9A789"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65A99211"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Αγαθά χωρίς καύσιμα και πλοία</w:t>
            </w:r>
          </w:p>
        </w:tc>
        <w:tc>
          <w:tcPr>
            <w:tcW w:w="928" w:type="dxa"/>
            <w:noWrap/>
            <w:vAlign w:val="center"/>
            <w:hideMark/>
          </w:tcPr>
          <w:p w14:paraId="3555808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61.997,9</w:t>
            </w:r>
          </w:p>
        </w:tc>
        <w:tc>
          <w:tcPr>
            <w:tcW w:w="928" w:type="dxa"/>
            <w:noWrap/>
            <w:vAlign w:val="center"/>
            <w:hideMark/>
          </w:tcPr>
          <w:p w14:paraId="2C2F7EA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61.181,6</w:t>
            </w:r>
          </w:p>
        </w:tc>
        <w:tc>
          <w:tcPr>
            <w:tcW w:w="982" w:type="dxa"/>
            <w:noWrap/>
            <w:vAlign w:val="center"/>
            <w:hideMark/>
          </w:tcPr>
          <w:p w14:paraId="351B73F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63.545,9</w:t>
            </w:r>
          </w:p>
        </w:tc>
        <w:tc>
          <w:tcPr>
            <w:tcW w:w="936" w:type="dxa"/>
            <w:noWrap/>
            <w:vAlign w:val="center"/>
            <w:hideMark/>
          </w:tcPr>
          <w:p w14:paraId="793C7849"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40.062,0</w:t>
            </w:r>
          </w:p>
        </w:tc>
        <w:tc>
          <w:tcPr>
            <w:tcW w:w="917" w:type="dxa"/>
            <w:noWrap/>
            <w:vAlign w:val="center"/>
            <w:hideMark/>
          </w:tcPr>
          <w:p w14:paraId="1FDF732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41.518,9</w:t>
            </w:r>
          </w:p>
        </w:tc>
        <w:tc>
          <w:tcPr>
            <w:tcW w:w="992" w:type="dxa"/>
            <w:noWrap/>
            <w:vAlign w:val="center"/>
            <w:hideMark/>
          </w:tcPr>
          <w:p w14:paraId="5A51183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42.516,1</w:t>
            </w:r>
          </w:p>
        </w:tc>
      </w:tr>
      <w:tr w:rsidR="00911520" w:rsidRPr="00016CF7" w14:paraId="6D8C59C3" w14:textId="77777777" w:rsidTr="00665626">
        <w:trPr>
          <w:gridAfter w:val="1"/>
          <w:wAfter w:w="6" w:type="dxa"/>
          <w:cantSplit/>
          <w:trHeight w:val="184"/>
          <w:jc w:val="center"/>
        </w:trPr>
        <w:tc>
          <w:tcPr>
            <w:tcW w:w="557" w:type="dxa"/>
            <w:noWrap/>
            <w:vAlign w:val="center"/>
            <w:hideMark/>
          </w:tcPr>
          <w:p w14:paraId="2D429EB5"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Ι.Β</w:t>
            </w:r>
          </w:p>
        </w:tc>
        <w:tc>
          <w:tcPr>
            <w:tcW w:w="4134" w:type="dxa"/>
            <w:noWrap/>
            <w:vAlign w:val="center"/>
            <w:hideMark/>
          </w:tcPr>
          <w:p w14:paraId="6FCF62BD"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Ισοζύγιο Υπηρεσιών (I.Β.1 - I.Β.2)</w:t>
            </w:r>
          </w:p>
        </w:tc>
        <w:tc>
          <w:tcPr>
            <w:tcW w:w="928" w:type="dxa"/>
            <w:noWrap/>
            <w:vAlign w:val="center"/>
            <w:hideMark/>
          </w:tcPr>
          <w:p w14:paraId="020BD677"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19.320,1</w:t>
            </w:r>
          </w:p>
        </w:tc>
        <w:tc>
          <w:tcPr>
            <w:tcW w:w="928" w:type="dxa"/>
            <w:noWrap/>
            <w:vAlign w:val="center"/>
            <w:hideMark/>
          </w:tcPr>
          <w:p w14:paraId="1B2F32A1"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21.807,7</w:t>
            </w:r>
          </w:p>
        </w:tc>
        <w:tc>
          <w:tcPr>
            <w:tcW w:w="982" w:type="dxa"/>
            <w:noWrap/>
            <w:vAlign w:val="center"/>
            <w:hideMark/>
          </w:tcPr>
          <w:p w14:paraId="7CB60216"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22.671,5</w:t>
            </w:r>
          </w:p>
        </w:tc>
        <w:tc>
          <w:tcPr>
            <w:tcW w:w="936" w:type="dxa"/>
            <w:noWrap/>
            <w:vAlign w:val="center"/>
            <w:hideMark/>
          </w:tcPr>
          <w:p w14:paraId="6D7AEE4A"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15.490,4</w:t>
            </w:r>
          </w:p>
        </w:tc>
        <w:tc>
          <w:tcPr>
            <w:tcW w:w="917" w:type="dxa"/>
            <w:noWrap/>
            <w:vAlign w:val="center"/>
            <w:hideMark/>
          </w:tcPr>
          <w:p w14:paraId="20148718"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15.750,8</w:t>
            </w:r>
          </w:p>
        </w:tc>
        <w:tc>
          <w:tcPr>
            <w:tcW w:w="992" w:type="dxa"/>
            <w:noWrap/>
            <w:vAlign w:val="center"/>
            <w:hideMark/>
          </w:tcPr>
          <w:p w14:paraId="4E8F6116"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16.298,9</w:t>
            </w:r>
          </w:p>
        </w:tc>
      </w:tr>
      <w:tr w:rsidR="00911520" w:rsidRPr="001F4553" w14:paraId="18B27FF9" w14:textId="77777777" w:rsidTr="00665626">
        <w:trPr>
          <w:gridAfter w:val="1"/>
          <w:wAfter w:w="6" w:type="dxa"/>
          <w:cantSplit/>
          <w:trHeight w:val="184"/>
          <w:jc w:val="center"/>
        </w:trPr>
        <w:tc>
          <w:tcPr>
            <w:tcW w:w="557" w:type="dxa"/>
            <w:noWrap/>
            <w:vAlign w:val="center"/>
            <w:hideMark/>
          </w:tcPr>
          <w:p w14:paraId="3C5C86B3"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I.B.1</w:t>
            </w:r>
          </w:p>
        </w:tc>
        <w:tc>
          <w:tcPr>
            <w:tcW w:w="4134" w:type="dxa"/>
            <w:noWrap/>
            <w:vAlign w:val="center"/>
            <w:hideMark/>
          </w:tcPr>
          <w:p w14:paraId="44A85A6B"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Εισπράξεις</w:t>
            </w:r>
          </w:p>
        </w:tc>
        <w:tc>
          <w:tcPr>
            <w:tcW w:w="928" w:type="dxa"/>
            <w:noWrap/>
            <w:vAlign w:val="center"/>
            <w:hideMark/>
          </w:tcPr>
          <w:p w14:paraId="09A1891A"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47.761,9</w:t>
            </w:r>
          </w:p>
        </w:tc>
        <w:tc>
          <w:tcPr>
            <w:tcW w:w="928" w:type="dxa"/>
            <w:noWrap/>
            <w:vAlign w:val="center"/>
            <w:hideMark/>
          </w:tcPr>
          <w:p w14:paraId="15154FD6"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49.040,7</w:t>
            </w:r>
          </w:p>
        </w:tc>
        <w:tc>
          <w:tcPr>
            <w:tcW w:w="982" w:type="dxa"/>
            <w:noWrap/>
            <w:vAlign w:val="center"/>
            <w:hideMark/>
          </w:tcPr>
          <w:p w14:paraId="6DA490B8"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51.445,9</w:t>
            </w:r>
          </w:p>
        </w:tc>
        <w:tc>
          <w:tcPr>
            <w:tcW w:w="936" w:type="dxa"/>
            <w:noWrap/>
            <w:vAlign w:val="center"/>
            <w:hideMark/>
          </w:tcPr>
          <w:p w14:paraId="5D50C3B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33.257,0</w:t>
            </w:r>
          </w:p>
        </w:tc>
        <w:tc>
          <w:tcPr>
            <w:tcW w:w="917" w:type="dxa"/>
            <w:noWrap/>
            <w:vAlign w:val="center"/>
            <w:hideMark/>
          </w:tcPr>
          <w:p w14:paraId="7E718B2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34.733,0</w:t>
            </w:r>
          </w:p>
        </w:tc>
        <w:tc>
          <w:tcPr>
            <w:tcW w:w="992" w:type="dxa"/>
            <w:noWrap/>
            <w:vAlign w:val="center"/>
            <w:hideMark/>
          </w:tcPr>
          <w:p w14:paraId="64F4A6DE"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35.037,3</w:t>
            </w:r>
          </w:p>
        </w:tc>
      </w:tr>
      <w:tr w:rsidR="00911520" w:rsidRPr="0041454E" w14:paraId="75023164" w14:textId="77777777" w:rsidTr="00665626">
        <w:trPr>
          <w:gridAfter w:val="1"/>
          <w:wAfter w:w="6" w:type="dxa"/>
          <w:cantSplit/>
          <w:trHeight w:val="194"/>
          <w:jc w:val="center"/>
        </w:trPr>
        <w:tc>
          <w:tcPr>
            <w:tcW w:w="557" w:type="dxa"/>
            <w:noWrap/>
            <w:vAlign w:val="center"/>
            <w:hideMark/>
          </w:tcPr>
          <w:p w14:paraId="12E42776" w14:textId="308D01D2"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55CA8F97"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Ταξιδιωτικό</w:t>
            </w:r>
          </w:p>
        </w:tc>
        <w:tc>
          <w:tcPr>
            <w:tcW w:w="928" w:type="dxa"/>
            <w:noWrap/>
            <w:vAlign w:val="center"/>
            <w:hideMark/>
          </w:tcPr>
          <w:p w14:paraId="56F376C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17.676,2</w:t>
            </w:r>
          </w:p>
        </w:tc>
        <w:tc>
          <w:tcPr>
            <w:tcW w:w="928" w:type="dxa"/>
            <w:noWrap/>
            <w:vAlign w:val="center"/>
            <w:hideMark/>
          </w:tcPr>
          <w:p w14:paraId="551FE7B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20.593,6</w:t>
            </w:r>
          </w:p>
        </w:tc>
        <w:tc>
          <w:tcPr>
            <w:tcW w:w="982" w:type="dxa"/>
            <w:noWrap/>
            <w:vAlign w:val="center"/>
            <w:hideMark/>
          </w:tcPr>
          <w:p w14:paraId="4408246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21.592,3</w:t>
            </w:r>
          </w:p>
        </w:tc>
        <w:tc>
          <w:tcPr>
            <w:tcW w:w="936" w:type="dxa"/>
            <w:noWrap/>
            <w:vAlign w:val="center"/>
            <w:hideMark/>
          </w:tcPr>
          <w:p w14:paraId="0769589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14.703,5</w:t>
            </w:r>
          </w:p>
        </w:tc>
        <w:tc>
          <w:tcPr>
            <w:tcW w:w="917" w:type="dxa"/>
            <w:noWrap/>
            <w:vAlign w:val="center"/>
            <w:hideMark/>
          </w:tcPr>
          <w:p w14:paraId="6F7946A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14.924,2</w:t>
            </w:r>
          </w:p>
        </w:tc>
        <w:tc>
          <w:tcPr>
            <w:tcW w:w="992" w:type="dxa"/>
            <w:noWrap/>
            <w:vAlign w:val="center"/>
            <w:hideMark/>
          </w:tcPr>
          <w:p w14:paraId="1A98DA7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16.712,0</w:t>
            </w:r>
          </w:p>
        </w:tc>
      </w:tr>
      <w:tr w:rsidR="00911520" w:rsidRPr="0041454E" w14:paraId="228E421C" w14:textId="77777777" w:rsidTr="00665626">
        <w:trPr>
          <w:gridAfter w:val="1"/>
          <w:wAfter w:w="6" w:type="dxa"/>
          <w:cantSplit/>
          <w:trHeight w:val="184"/>
          <w:jc w:val="center"/>
        </w:trPr>
        <w:tc>
          <w:tcPr>
            <w:tcW w:w="557" w:type="dxa"/>
            <w:noWrap/>
            <w:vAlign w:val="center"/>
            <w:hideMark/>
          </w:tcPr>
          <w:p w14:paraId="702DB692" w14:textId="2C8BA0F8"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24C1F8F3"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Μεταφορές</w:t>
            </w:r>
          </w:p>
        </w:tc>
        <w:tc>
          <w:tcPr>
            <w:tcW w:w="928" w:type="dxa"/>
            <w:noWrap/>
            <w:vAlign w:val="center"/>
            <w:hideMark/>
          </w:tcPr>
          <w:p w14:paraId="40784A2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23.434,0</w:t>
            </w:r>
          </w:p>
        </w:tc>
        <w:tc>
          <w:tcPr>
            <w:tcW w:w="928" w:type="dxa"/>
            <w:noWrap/>
            <w:vAlign w:val="center"/>
            <w:hideMark/>
          </w:tcPr>
          <w:p w14:paraId="61C0DB9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20.999,8</w:t>
            </w:r>
          </w:p>
        </w:tc>
        <w:tc>
          <w:tcPr>
            <w:tcW w:w="982" w:type="dxa"/>
            <w:noWrap/>
            <w:vAlign w:val="center"/>
            <w:hideMark/>
          </w:tcPr>
          <w:p w14:paraId="3EB5C0A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21.214,9</w:t>
            </w:r>
          </w:p>
        </w:tc>
        <w:tc>
          <w:tcPr>
            <w:tcW w:w="936" w:type="dxa"/>
            <w:noWrap/>
            <w:vAlign w:val="center"/>
            <w:hideMark/>
          </w:tcPr>
          <w:p w14:paraId="5DAD478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13.688,1</w:t>
            </w:r>
          </w:p>
        </w:tc>
        <w:tc>
          <w:tcPr>
            <w:tcW w:w="917" w:type="dxa"/>
            <w:noWrap/>
            <w:vAlign w:val="center"/>
            <w:hideMark/>
          </w:tcPr>
          <w:p w14:paraId="5B9DACA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14.269,1</w:t>
            </w:r>
          </w:p>
        </w:tc>
        <w:tc>
          <w:tcPr>
            <w:tcW w:w="992" w:type="dxa"/>
            <w:noWrap/>
            <w:vAlign w:val="center"/>
            <w:hideMark/>
          </w:tcPr>
          <w:p w14:paraId="4AF48B3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12.470,8</w:t>
            </w:r>
          </w:p>
        </w:tc>
      </w:tr>
      <w:tr w:rsidR="00911520" w:rsidRPr="0041454E" w14:paraId="2E0F9001" w14:textId="77777777" w:rsidTr="00665626">
        <w:trPr>
          <w:gridAfter w:val="1"/>
          <w:wAfter w:w="6" w:type="dxa"/>
          <w:cantSplit/>
          <w:trHeight w:val="194"/>
          <w:jc w:val="center"/>
        </w:trPr>
        <w:tc>
          <w:tcPr>
            <w:tcW w:w="557" w:type="dxa"/>
            <w:noWrap/>
            <w:vAlign w:val="center"/>
            <w:hideMark/>
          </w:tcPr>
          <w:p w14:paraId="468AE052" w14:textId="03AB0F1B"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58CC93D0"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Λοιπές υπηρεσίες</w:t>
            </w:r>
          </w:p>
        </w:tc>
        <w:tc>
          <w:tcPr>
            <w:tcW w:w="928" w:type="dxa"/>
            <w:noWrap/>
            <w:vAlign w:val="center"/>
            <w:hideMark/>
          </w:tcPr>
          <w:p w14:paraId="3B4F6D3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6.651,8</w:t>
            </w:r>
          </w:p>
        </w:tc>
        <w:tc>
          <w:tcPr>
            <w:tcW w:w="928" w:type="dxa"/>
            <w:noWrap/>
            <w:vAlign w:val="center"/>
            <w:hideMark/>
          </w:tcPr>
          <w:p w14:paraId="711E1BA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7.447,3</w:t>
            </w:r>
          </w:p>
        </w:tc>
        <w:tc>
          <w:tcPr>
            <w:tcW w:w="982" w:type="dxa"/>
            <w:noWrap/>
            <w:vAlign w:val="center"/>
            <w:hideMark/>
          </w:tcPr>
          <w:p w14:paraId="2B18418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8.638,7</w:t>
            </w:r>
          </w:p>
        </w:tc>
        <w:tc>
          <w:tcPr>
            <w:tcW w:w="936" w:type="dxa"/>
            <w:noWrap/>
            <w:vAlign w:val="center"/>
            <w:hideMark/>
          </w:tcPr>
          <w:p w14:paraId="5C9743D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4.865,4</w:t>
            </w:r>
          </w:p>
        </w:tc>
        <w:tc>
          <w:tcPr>
            <w:tcW w:w="917" w:type="dxa"/>
            <w:noWrap/>
            <w:vAlign w:val="center"/>
            <w:hideMark/>
          </w:tcPr>
          <w:p w14:paraId="321280D9"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5.539,7</w:t>
            </w:r>
          </w:p>
        </w:tc>
        <w:tc>
          <w:tcPr>
            <w:tcW w:w="992" w:type="dxa"/>
            <w:noWrap/>
            <w:vAlign w:val="center"/>
            <w:hideMark/>
          </w:tcPr>
          <w:p w14:paraId="0AE5D45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5.854,5</w:t>
            </w:r>
          </w:p>
        </w:tc>
      </w:tr>
      <w:tr w:rsidR="00911520" w:rsidRPr="001F4553" w14:paraId="58212B71" w14:textId="77777777" w:rsidTr="00665626">
        <w:trPr>
          <w:gridAfter w:val="1"/>
          <w:wAfter w:w="6" w:type="dxa"/>
          <w:cantSplit/>
          <w:trHeight w:val="184"/>
          <w:jc w:val="center"/>
        </w:trPr>
        <w:tc>
          <w:tcPr>
            <w:tcW w:w="557" w:type="dxa"/>
            <w:noWrap/>
            <w:vAlign w:val="center"/>
            <w:hideMark/>
          </w:tcPr>
          <w:p w14:paraId="26144903"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I.B.2</w:t>
            </w:r>
          </w:p>
        </w:tc>
        <w:tc>
          <w:tcPr>
            <w:tcW w:w="4134" w:type="dxa"/>
            <w:noWrap/>
            <w:vAlign w:val="center"/>
            <w:hideMark/>
          </w:tcPr>
          <w:p w14:paraId="7341B8FA"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Πληρωμές</w:t>
            </w:r>
          </w:p>
        </w:tc>
        <w:tc>
          <w:tcPr>
            <w:tcW w:w="928" w:type="dxa"/>
            <w:noWrap/>
            <w:vAlign w:val="center"/>
            <w:hideMark/>
          </w:tcPr>
          <w:p w14:paraId="3B623433"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28.441,9</w:t>
            </w:r>
          </w:p>
        </w:tc>
        <w:tc>
          <w:tcPr>
            <w:tcW w:w="928" w:type="dxa"/>
            <w:noWrap/>
            <w:vAlign w:val="center"/>
            <w:hideMark/>
          </w:tcPr>
          <w:p w14:paraId="4179593A"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27.233,1</w:t>
            </w:r>
          </w:p>
        </w:tc>
        <w:tc>
          <w:tcPr>
            <w:tcW w:w="982" w:type="dxa"/>
            <w:noWrap/>
            <w:vAlign w:val="center"/>
            <w:hideMark/>
          </w:tcPr>
          <w:p w14:paraId="6760D19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28.774,3</w:t>
            </w:r>
          </w:p>
        </w:tc>
        <w:tc>
          <w:tcPr>
            <w:tcW w:w="936" w:type="dxa"/>
            <w:noWrap/>
            <w:vAlign w:val="center"/>
            <w:hideMark/>
          </w:tcPr>
          <w:p w14:paraId="0855B805"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17.766,5</w:t>
            </w:r>
          </w:p>
        </w:tc>
        <w:tc>
          <w:tcPr>
            <w:tcW w:w="917" w:type="dxa"/>
            <w:noWrap/>
            <w:vAlign w:val="center"/>
            <w:hideMark/>
          </w:tcPr>
          <w:p w14:paraId="5B815EB2"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18.982,3</w:t>
            </w:r>
          </w:p>
        </w:tc>
        <w:tc>
          <w:tcPr>
            <w:tcW w:w="992" w:type="dxa"/>
            <w:noWrap/>
            <w:vAlign w:val="center"/>
            <w:hideMark/>
          </w:tcPr>
          <w:p w14:paraId="0D1ACC6D"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18.738,4</w:t>
            </w:r>
          </w:p>
        </w:tc>
      </w:tr>
      <w:tr w:rsidR="00911520" w:rsidRPr="0041454E" w14:paraId="6D5F7B3B" w14:textId="77777777" w:rsidTr="00665626">
        <w:trPr>
          <w:gridAfter w:val="1"/>
          <w:wAfter w:w="6" w:type="dxa"/>
          <w:cantSplit/>
          <w:trHeight w:val="184"/>
          <w:jc w:val="center"/>
        </w:trPr>
        <w:tc>
          <w:tcPr>
            <w:tcW w:w="557" w:type="dxa"/>
            <w:noWrap/>
            <w:vAlign w:val="center"/>
            <w:hideMark/>
          </w:tcPr>
          <w:p w14:paraId="0B8C7096" w14:textId="546F3D73"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25C7D880"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Ταξιδιωτικό</w:t>
            </w:r>
          </w:p>
        </w:tc>
        <w:tc>
          <w:tcPr>
            <w:tcW w:w="928" w:type="dxa"/>
            <w:noWrap/>
            <w:vAlign w:val="center"/>
            <w:hideMark/>
          </w:tcPr>
          <w:p w14:paraId="7EC96E3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1.924,6</w:t>
            </w:r>
          </w:p>
        </w:tc>
        <w:tc>
          <w:tcPr>
            <w:tcW w:w="928" w:type="dxa"/>
            <w:noWrap/>
            <w:vAlign w:val="center"/>
            <w:hideMark/>
          </w:tcPr>
          <w:p w14:paraId="1095BA9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2.431,7</w:t>
            </w:r>
          </w:p>
        </w:tc>
        <w:tc>
          <w:tcPr>
            <w:tcW w:w="982" w:type="dxa"/>
            <w:noWrap/>
            <w:vAlign w:val="center"/>
            <w:hideMark/>
          </w:tcPr>
          <w:p w14:paraId="5B2372A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2.805,3</w:t>
            </w:r>
          </w:p>
        </w:tc>
        <w:tc>
          <w:tcPr>
            <w:tcW w:w="936" w:type="dxa"/>
            <w:noWrap/>
            <w:vAlign w:val="center"/>
            <w:hideMark/>
          </w:tcPr>
          <w:p w14:paraId="79F1E43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1.607,4</w:t>
            </w:r>
          </w:p>
        </w:tc>
        <w:tc>
          <w:tcPr>
            <w:tcW w:w="917" w:type="dxa"/>
            <w:noWrap/>
            <w:vAlign w:val="center"/>
            <w:hideMark/>
          </w:tcPr>
          <w:p w14:paraId="4FCD7F6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1.882,4</w:t>
            </w:r>
          </w:p>
        </w:tc>
        <w:tc>
          <w:tcPr>
            <w:tcW w:w="992" w:type="dxa"/>
            <w:noWrap/>
            <w:vAlign w:val="center"/>
            <w:hideMark/>
          </w:tcPr>
          <w:p w14:paraId="199E6A4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2.371,4</w:t>
            </w:r>
          </w:p>
        </w:tc>
      </w:tr>
      <w:tr w:rsidR="00911520" w:rsidRPr="0041454E" w14:paraId="78D0C3CC" w14:textId="77777777" w:rsidTr="00665626">
        <w:trPr>
          <w:gridAfter w:val="1"/>
          <w:wAfter w:w="6" w:type="dxa"/>
          <w:cantSplit/>
          <w:trHeight w:val="194"/>
          <w:jc w:val="center"/>
        </w:trPr>
        <w:tc>
          <w:tcPr>
            <w:tcW w:w="557" w:type="dxa"/>
            <w:noWrap/>
            <w:vAlign w:val="center"/>
            <w:hideMark/>
          </w:tcPr>
          <w:p w14:paraId="0307800C" w14:textId="4A9538EC"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51C7F857"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Μεταφορές</w:t>
            </w:r>
          </w:p>
        </w:tc>
        <w:tc>
          <w:tcPr>
            <w:tcW w:w="928" w:type="dxa"/>
            <w:noWrap/>
            <w:vAlign w:val="center"/>
            <w:hideMark/>
          </w:tcPr>
          <w:p w14:paraId="7F8F135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19.666,7</w:t>
            </w:r>
          </w:p>
        </w:tc>
        <w:tc>
          <w:tcPr>
            <w:tcW w:w="928" w:type="dxa"/>
            <w:noWrap/>
            <w:vAlign w:val="center"/>
            <w:hideMark/>
          </w:tcPr>
          <w:p w14:paraId="2EE623D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17.833,9</w:t>
            </w:r>
          </w:p>
        </w:tc>
        <w:tc>
          <w:tcPr>
            <w:tcW w:w="982" w:type="dxa"/>
            <w:noWrap/>
            <w:vAlign w:val="center"/>
            <w:hideMark/>
          </w:tcPr>
          <w:p w14:paraId="4DF98EC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18.179,0</w:t>
            </w:r>
          </w:p>
        </w:tc>
        <w:tc>
          <w:tcPr>
            <w:tcW w:w="936" w:type="dxa"/>
            <w:noWrap/>
            <w:vAlign w:val="center"/>
            <w:hideMark/>
          </w:tcPr>
          <w:p w14:paraId="79E821F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11.607,2</w:t>
            </w:r>
          </w:p>
        </w:tc>
        <w:tc>
          <w:tcPr>
            <w:tcW w:w="917" w:type="dxa"/>
            <w:noWrap/>
            <w:vAlign w:val="center"/>
            <w:hideMark/>
          </w:tcPr>
          <w:p w14:paraId="596B01B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12.127,6</w:t>
            </w:r>
          </w:p>
        </w:tc>
        <w:tc>
          <w:tcPr>
            <w:tcW w:w="992" w:type="dxa"/>
            <w:noWrap/>
            <w:vAlign w:val="center"/>
            <w:hideMark/>
          </w:tcPr>
          <w:p w14:paraId="792E1B0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10.910,3</w:t>
            </w:r>
          </w:p>
        </w:tc>
      </w:tr>
      <w:tr w:rsidR="00911520" w:rsidRPr="0041454E" w14:paraId="71BC225C" w14:textId="77777777" w:rsidTr="00665626">
        <w:trPr>
          <w:gridAfter w:val="1"/>
          <w:wAfter w:w="6" w:type="dxa"/>
          <w:cantSplit/>
          <w:trHeight w:val="184"/>
          <w:jc w:val="center"/>
        </w:trPr>
        <w:tc>
          <w:tcPr>
            <w:tcW w:w="557" w:type="dxa"/>
            <w:noWrap/>
            <w:vAlign w:val="center"/>
            <w:hideMark/>
          </w:tcPr>
          <w:p w14:paraId="7BF44F88" w14:textId="59B58EE6"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669C204C"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Λοιπές υπηρεσίες</w:t>
            </w:r>
          </w:p>
        </w:tc>
        <w:tc>
          <w:tcPr>
            <w:tcW w:w="928" w:type="dxa"/>
            <w:noWrap/>
            <w:vAlign w:val="center"/>
            <w:hideMark/>
          </w:tcPr>
          <w:p w14:paraId="0E8FE23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6.850,5</w:t>
            </w:r>
          </w:p>
        </w:tc>
        <w:tc>
          <w:tcPr>
            <w:tcW w:w="928" w:type="dxa"/>
            <w:noWrap/>
            <w:vAlign w:val="center"/>
            <w:hideMark/>
          </w:tcPr>
          <w:p w14:paraId="40E74E2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6.967,5</w:t>
            </w:r>
          </w:p>
        </w:tc>
        <w:tc>
          <w:tcPr>
            <w:tcW w:w="982" w:type="dxa"/>
            <w:noWrap/>
            <w:vAlign w:val="center"/>
            <w:hideMark/>
          </w:tcPr>
          <w:p w14:paraId="04AECC2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7.790,0</w:t>
            </w:r>
          </w:p>
        </w:tc>
        <w:tc>
          <w:tcPr>
            <w:tcW w:w="936" w:type="dxa"/>
            <w:noWrap/>
            <w:vAlign w:val="center"/>
            <w:hideMark/>
          </w:tcPr>
          <w:p w14:paraId="40DB73D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4.552,0</w:t>
            </w:r>
          </w:p>
        </w:tc>
        <w:tc>
          <w:tcPr>
            <w:tcW w:w="917" w:type="dxa"/>
            <w:noWrap/>
            <w:vAlign w:val="center"/>
            <w:hideMark/>
          </w:tcPr>
          <w:p w14:paraId="3DF7363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4.972,3</w:t>
            </w:r>
          </w:p>
        </w:tc>
        <w:tc>
          <w:tcPr>
            <w:tcW w:w="992" w:type="dxa"/>
            <w:noWrap/>
            <w:vAlign w:val="center"/>
            <w:hideMark/>
          </w:tcPr>
          <w:p w14:paraId="4FE7267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5.456,7</w:t>
            </w:r>
          </w:p>
        </w:tc>
      </w:tr>
      <w:tr w:rsidR="00911520" w:rsidRPr="00016CF7" w14:paraId="490B9D08" w14:textId="77777777" w:rsidTr="00665626">
        <w:trPr>
          <w:gridAfter w:val="1"/>
          <w:wAfter w:w="6" w:type="dxa"/>
          <w:cantSplit/>
          <w:trHeight w:val="194"/>
          <w:jc w:val="center"/>
        </w:trPr>
        <w:tc>
          <w:tcPr>
            <w:tcW w:w="557" w:type="dxa"/>
            <w:noWrap/>
            <w:vAlign w:val="center"/>
            <w:hideMark/>
          </w:tcPr>
          <w:p w14:paraId="597F0FEB"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Ι.Γ</w:t>
            </w:r>
          </w:p>
        </w:tc>
        <w:tc>
          <w:tcPr>
            <w:tcW w:w="4134" w:type="dxa"/>
            <w:noWrap/>
            <w:vAlign w:val="center"/>
            <w:hideMark/>
          </w:tcPr>
          <w:p w14:paraId="7A9284CE"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Ισοζύγιο Πρωτογενών Εισοδημάτων</w:t>
            </w:r>
          </w:p>
        </w:tc>
        <w:tc>
          <w:tcPr>
            <w:tcW w:w="928" w:type="dxa"/>
            <w:noWrap/>
            <w:vAlign w:val="center"/>
            <w:hideMark/>
          </w:tcPr>
          <w:p w14:paraId="61FDDC41"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-1.757,7</w:t>
            </w:r>
          </w:p>
        </w:tc>
        <w:tc>
          <w:tcPr>
            <w:tcW w:w="928" w:type="dxa"/>
            <w:noWrap/>
            <w:vAlign w:val="center"/>
            <w:hideMark/>
          </w:tcPr>
          <w:p w14:paraId="62F7888C"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-5.352,6</w:t>
            </w:r>
          </w:p>
        </w:tc>
        <w:tc>
          <w:tcPr>
            <w:tcW w:w="982" w:type="dxa"/>
            <w:noWrap/>
            <w:vAlign w:val="center"/>
            <w:hideMark/>
          </w:tcPr>
          <w:p w14:paraId="4D3E4205"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-6.025,9</w:t>
            </w:r>
          </w:p>
        </w:tc>
        <w:tc>
          <w:tcPr>
            <w:tcW w:w="936" w:type="dxa"/>
            <w:noWrap/>
            <w:vAlign w:val="center"/>
            <w:hideMark/>
          </w:tcPr>
          <w:p w14:paraId="68778784"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-2.855,4</w:t>
            </w:r>
          </w:p>
        </w:tc>
        <w:tc>
          <w:tcPr>
            <w:tcW w:w="917" w:type="dxa"/>
            <w:noWrap/>
            <w:vAlign w:val="center"/>
            <w:hideMark/>
          </w:tcPr>
          <w:p w14:paraId="4C96BAA7"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-4.019,0</w:t>
            </w:r>
          </w:p>
        </w:tc>
        <w:tc>
          <w:tcPr>
            <w:tcW w:w="992" w:type="dxa"/>
            <w:noWrap/>
            <w:vAlign w:val="center"/>
            <w:hideMark/>
          </w:tcPr>
          <w:p w14:paraId="4D83817E"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-3.281,0</w:t>
            </w:r>
          </w:p>
        </w:tc>
      </w:tr>
      <w:tr w:rsidR="00911520" w:rsidRPr="00016CF7" w14:paraId="788F1141" w14:textId="77777777" w:rsidTr="00665626">
        <w:trPr>
          <w:gridAfter w:val="1"/>
          <w:wAfter w:w="6" w:type="dxa"/>
          <w:cantSplit/>
          <w:trHeight w:val="184"/>
          <w:jc w:val="center"/>
        </w:trPr>
        <w:tc>
          <w:tcPr>
            <w:tcW w:w="557" w:type="dxa"/>
            <w:noWrap/>
            <w:vAlign w:val="center"/>
            <w:hideMark/>
          </w:tcPr>
          <w:p w14:paraId="5D942913" w14:textId="2537ED3D" w:rsidR="00911520" w:rsidRPr="00016CF7" w:rsidRDefault="00911520" w:rsidP="00B25FC4">
            <w:pPr>
              <w:spacing w:after="0" w:line="240" w:lineRule="auto"/>
              <w:jc w:val="left"/>
              <w:rPr>
                <w:rFonts w:cs="Arial"/>
                <w:b/>
                <w:bCs/>
                <w:color w:val="000000"/>
                <w:sz w:val="16"/>
                <w:szCs w:val="16"/>
              </w:rPr>
            </w:pPr>
          </w:p>
        </w:tc>
        <w:tc>
          <w:tcPr>
            <w:tcW w:w="4134" w:type="dxa"/>
            <w:noWrap/>
            <w:vAlign w:val="center"/>
            <w:hideMark/>
          </w:tcPr>
          <w:p w14:paraId="17F8B0B2"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(I.Γ.1 - I.Γ.2)</w:t>
            </w:r>
          </w:p>
        </w:tc>
        <w:tc>
          <w:tcPr>
            <w:tcW w:w="928" w:type="dxa"/>
            <w:noWrap/>
            <w:vAlign w:val="center"/>
            <w:hideMark/>
          </w:tcPr>
          <w:p w14:paraId="3A9F5AA1" w14:textId="77777777" w:rsidR="00911520" w:rsidRPr="00016CF7" w:rsidRDefault="00911520" w:rsidP="00B25FC4">
            <w:pPr>
              <w:spacing w:after="0" w:line="240" w:lineRule="auto"/>
              <w:jc w:val="right"/>
              <w:rPr>
                <w:rFonts w:cs="Arial"/>
                <w:b/>
                <w:bCs/>
                <w:color w:val="000000"/>
                <w:sz w:val="16"/>
                <w:szCs w:val="16"/>
              </w:rPr>
            </w:pPr>
          </w:p>
        </w:tc>
        <w:tc>
          <w:tcPr>
            <w:tcW w:w="928" w:type="dxa"/>
            <w:noWrap/>
            <w:vAlign w:val="center"/>
            <w:hideMark/>
          </w:tcPr>
          <w:p w14:paraId="0E64B4A6" w14:textId="77777777" w:rsidR="00911520" w:rsidRPr="00016CF7" w:rsidRDefault="00911520" w:rsidP="00B25FC4">
            <w:pPr>
              <w:spacing w:after="0" w:line="240" w:lineRule="auto"/>
              <w:jc w:val="right"/>
              <w:rPr>
                <w:rFonts w:cs="Arial"/>
                <w:sz w:val="16"/>
                <w:szCs w:val="16"/>
              </w:rPr>
            </w:pPr>
          </w:p>
        </w:tc>
        <w:tc>
          <w:tcPr>
            <w:tcW w:w="982" w:type="dxa"/>
            <w:noWrap/>
            <w:vAlign w:val="center"/>
            <w:hideMark/>
          </w:tcPr>
          <w:p w14:paraId="4872F5D5" w14:textId="77777777" w:rsidR="00911520" w:rsidRPr="00016CF7" w:rsidRDefault="00911520" w:rsidP="00B25FC4">
            <w:pPr>
              <w:spacing w:after="0" w:line="240" w:lineRule="auto"/>
              <w:jc w:val="right"/>
              <w:rPr>
                <w:rFonts w:cs="Arial"/>
                <w:sz w:val="16"/>
                <w:szCs w:val="16"/>
              </w:rPr>
            </w:pPr>
          </w:p>
        </w:tc>
        <w:tc>
          <w:tcPr>
            <w:tcW w:w="936" w:type="dxa"/>
            <w:noWrap/>
            <w:vAlign w:val="center"/>
            <w:hideMark/>
          </w:tcPr>
          <w:p w14:paraId="7D4DC8B0" w14:textId="77777777" w:rsidR="00911520" w:rsidRPr="00016CF7" w:rsidRDefault="00911520" w:rsidP="00B25FC4">
            <w:pPr>
              <w:spacing w:after="0" w:line="240" w:lineRule="auto"/>
              <w:jc w:val="right"/>
              <w:rPr>
                <w:rFonts w:cs="Arial"/>
                <w:sz w:val="16"/>
                <w:szCs w:val="16"/>
              </w:rPr>
            </w:pPr>
          </w:p>
        </w:tc>
        <w:tc>
          <w:tcPr>
            <w:tcW w:w="917" w:type="dxa"/>
            <w:noWrap/>
            <w:vAlign w:val="center"/>
            <w:hideMark/>
          </w:tcPr>
          <w:p w14:paraId="2C18FFC0" w14:textId="77777777" w:rsidR="00911520" w:rsidRPr="00016CF7" w:rsidRDefault="00911520" w:rsidP="00B25FC4">
            <w:pPr>
              <w:spacing w:after="0" w:line="240" w:lineRule="auto"/>
              <w:jc w:val="right"/>
              <w:rPr>
                <w:rFonts w:cs="Arial"/>
                <w:sz w:val="16"/>
                <w:szCs w:val="16"/>
              </w:rPr>
            </w:pPr>
          </w:p>
        </w:tc>
        <w:tc>
          <w:tcPr>
            <w:tcW w:w="992" w:type="dxa"/>
            <w:noWrap/>
            <w:vAlign w:val="center"/>
            <w:hideMark/>
          </w:tcPr>
          <w:p w14:paraId="56182D4F" w14:textId="5C1FEC33" w:rsidR="00911520" w:rsidRPr="00016CF7" w:rsidRDefault="00911520" w:rsidP="00B25FC4">
            <w:pPr>
              <w:spacing w:after="0" w:line="240" w:lineRule="auto"/>
              <w:jc w:val="right"/>
              <w:rPr>
                <w:rFonts w:cs="Arial"/>
                <w:b/>
                <w:bCs/>
                <w:color w:val="000000"/>
                <w:sz w:val="16"/>
                <w:szCs w:val="16"/>
              </w:rPr>
            </w:pPr>
          </w:p>
        </w:tc>
      </w:tr>
      <w:tr w:rsidR="00911520" w:rsidRPr="001F4553" w14:paraId="7C8CDEF2" w14:textId="77777777" w:rsidTr="00665626">
        <w:trPr>
          <w:gridAfter w:val="1"/>
          <w:wAfter w:w="6" w:type="dxa"/>
          <w:cantSplit/>
          <w:trHeight w:val="184"/>
          <w:jc w:val="center"/>
        </w:trPr>
        <w:tc>
          <w:tcPr>
            <w:tcW w:w="557" w:type="dxa"/>
            <w:noWrap/>
            <w:vAlign w:val="center"/>
            <w:hideMark/>
          </w:tcPr>
          <w:p w14:paraId="2395D77C"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I.Γ.1</w:t>
            </w:r>
          </w:p>
        </w:tc>
        <w:tc>
          <w:tcPr>
            <w:tcW w:w="4134" w:type="dxa"/>
            <w:noWrap/>
            <w:vAlign w:val="center"/>
            <w:hideMark/>
          </w:tcPr>
          <w:p w14:paraId="4678870A"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Εισπράξεις</w:t>
            </w:r>
          </w:p>
        </w:tc>
        <w:tc>
          <w:tcPr>
            <w:tcW w:w="928" w:type="dxa"/>
            <w:noWrap/>
            <w:vAlign w:val="center"/>
            <w:hideMark/>
          </w:tcPr>
          <w:p w14:paraId="18E1600E"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7.875,5</w:t>
            </w:r>
          </w:p>
        </w:tc>
        <w:tc>
          <w:tcPr>
            <w:tcW w:w="928" w:type="dxa"/>
            <w:noWrap/>
            <w:vAlign w:val="center"/>
            <w:hideMark/>
          </w:tcPr>
          <w:p w14:paraId="192EAF43"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10.100,3</w:t>
            </w:r>
          </w:p>
        </w:tc>
        <w:tc>
          <w:tcPr>
            <w:tcW w:w="982" w:type="dxa"/>
            <w:noWrap/>
            <w:vAlign w:val="center"/>
            <w:hideMark/>
          </w:tcPr>
          <w:p w14:paraId="2F065D54"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11.282,5</w:t>
            </w:r>
          </w:p>
        </w:tc>
        <w:tc>
          <w:tcPr>
            <w:tcW w:w="936" w:type="dxa"/>
            <w:noWrap/>
            <w:vAlign w:val="center"/>
            <w:hideMark/>
          </w:tcPr>
          <w:p w14:paraId="22373E01"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6.886,1</w:t>
            </w:r>
          </w:p>
        </w:tc>
        <w:tc>
          <w:tcPr>
            <w:tcW w:w="917" w:type="dxa"/>
            <w:noWrap/>
            <w:vAlign w:val="center"/>
            <w:hideMark/>
          </w:tcPr>
          <w:p w14:paraId="3C5261B6"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7.848,3</w:t>
            </w:r>
          </w:p>
        </w:tc>
        <w:tc>
          <w:tcPr>
            <w:tcW w:w="992" w:type="dxa"/>
            <w:noWrap/>
            <w:vAlign w:val="center"/>
            <w:hideMark/>
          </w:tcPr>
          <w:p w14:paraId="3F7B698B"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7.445,0</w:t>
            </w:r>
          </w:p>
        </w:tc>
      </w:tr>
      <w:tr w:rsidR="00911520" w:rsidRPr="0041454E" w14:paraId="4A185C59" w14:textId="77777777" w:rsidTr="00665626">
        <w:trPr>
          <w:gridAfter w:val="1"/>
          <w:wAfter w:w="6" w:type="dxa"/>
          <w:cantSplit/>
          <w:trHeight w:val="194"/>
          <w:jc w:val="center"/>
        </w:trPr>
        <w:tc>
          <w:tcPr>
            <w:tcW w:w="557" w:type="dxa"/>
            <w:noWrap/>
            <w:vAlign w:val="center"/>
            <w:hideMark/>
          </w:tcPr>
          <w:p w14:paraId="4351E7DE" w14:textId="6D951546"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38391687"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Από εργασία (αμοιβές, μισθοί)</w:t>
            </w:r>
          </w:p>
        </w:tc>
        <w:tc>
          <w:tcPr>
            <w:tcW w:w="928" w:type="dxa"/>
            <w:noWrap/>
            <w:vAlign w:val="center"/>
            <w:hideMark/>
          </w:tcPr>
          <w:p w14:paraId="0121FB9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224,7</w:t>
            </w:r>
          </w:p>
        </w:tc>
        <w:tc>
          <w:tcPr>
            <w:tcW w:w="928" w:type="dxa"/>
            <w:noWrap/>
            <w:vAlign w:val="center"/>
            <w:hideMark/>
          </w:tcPr>
          <w:p w14:paraId="0FBD41F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208,8</w:t>
            </w:r>
          </w:p>
        </w:tc>
        <w:tc>
          <w:tcPr>
            <w:tcW w:w="982" w:type="dxa"/>
            <w:noWrap/>
            <w:vAlign w:val="center"/>
            <w:hideMark/>
          </w:tcPr>
          <w:p w14:paraId="6A99965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232,5</w:t>
            </w:r>
          </w:p>
        </w:tc>
        <w:tc>
          <w:tcPr>
            <w:tcW w:w="936" w:type="dxa"/>
            <w:noWrap/>
            <w:vAlign w:val="center"/>
            <w:hideMark/>
          </w:tcPr>
          <w:p w14:paraId="2128C67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141,6</w:t>
            </w:r>
          </w:p>
        </w:tc>
        <w:tc>
          <w:tcPr>
            <w:tcW w:w="917" w:type="dxa"/>
            <w:noWrap/>
            <w:vAlign w:val="center"/>
            <w:hideMark/>
          </w:tcPr>
          <w:p w14:paraId="34523FA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153,7</w:t>
            </w:r>
          </w:p>
        </w:tc>
        <w:tc>
          <w:tcPr>
            <w:tcW w:w="992" w:type="dxa"/>
            <w:noWrap/>
            <w:vAlign w:val="center"/>
            <w:hideMark/>
          </w:tcPr>
          <w:p w14:paraId="52600E7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171,8</w:t>
            </w:r>
          </w:p>
        </w:tc>
      </w:tr>
      <w:tr w:rsidR="00911520" w:rsidRPr="0041454E" w14:paraId="0E7FE252" w14:textId="77777777" w:rsidTr="00665626">
        <w:trPr>
          <w:gridAfter w:val="1"/>
          <w:wAfter w:w="6" w:type="dxa"/>
          <w:cantSplit/>
          <w:trHeight w:val="184"/>
          <w:jc w:val="center"/>
        </w:trPr>
        <w:tc>
          <w:tcPr>
            <w:tcW w:w="557" w:type="dxa"/>
            <w:noWrap/>
            <w:vAlign w:val="center"/>
            <w:hideMark/>
          </w:tcPr>
          <w:p w14:paraId="239BB01B" w14:textId="0B5E0FA6"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26BFB342"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Από επενδύσεις (τόκοι, μερίσματα, κέρδη)</w:t>
            </w:r>
          </w:p>
        </w:tc>
        <w:tc>
          <w:tcPr>
            <w:tcW w:w="928" w:type="dxa"/>
            <w:noWrap/>
            <w:vAlign w:val="center"/>
            <w:hideMark/>
          </w:tcPr>
          <w:p w14:paraId="234CAE5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4.177,7</w:t>
            </w:r>
          </w:p>
        </w:tc>
        <w:tc>
          <w:tcPr>
            <w:tcW w:w="928" w:type="dxa"/>
            <w:noWrap/>
            <w:vAlign w:val="center"/>
            <w:hideMark/>
          </w:tcPr>
          <w:p w14:paraId="4FC8FE6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6.547,2</w:t>
            </w:r>
          </w:p>
        </w:tc>
        <w:tc>
          <w:tcPr>
            <w:tcW w:w="982" w:type="dxa"/>
            <w:noWrap/>
            <w:vAlign w:val="center"/>
            <w:hideMark/>
          </w:tcPr>
          <w:p w14:paraId="6CD44AC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8.075,9</w:t>
            </w:r>
          </w:p>
        </w:tc>
        <w:tc>
          <w:tcPr>
            <w:tcW w:w="936" w:type="dxa"/>
            <w:noWrap/>
            <w:vAlign w:val="center"/>
            <w:hideMark/>
          </w:tcPr>
          <w:p w14:paraId="27455ED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3.988,6</w:t>
            </w:r>
          </w:p>
        </w:tc>
        <w:tc>
          <w:tcPr>
            <w:tcW w:w="917" w:type="dxa"/>
            <w:noWrap/>
            <w:vAlign w:val="center"/>
            <w:hideMark/>
          </w:tcPr>
          <w:p w14:paraId="2B54B1A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5.469,4</w:t>
            </w:r>
          </w:p>
        </w:tc>
        <w:tc>
          <w:tcPr>
            <w:tcW w:w="992" w:type="dxa"/>
            <w:noWrap/>
            <w:vAlign w:val="center"/>
            <w:hideMark/>
          </w:tcPr>
          <w:p w14:paraId="6B2F3E8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4.879,4</w:t>
            </w:r>
          </w:p>
        </w:tc>
      </w:tr>
      <w:tr w:rsidR="00911520" w:rsidRPr="0041454E" w14:paraId="4241BCE2" w14:textId="77777777" w:rsidTr="00665626">
        <w:trPr>
          <w:gridAfter w:val="1"/>
          <w:wAfter w:w="6" w:type="dxa"/>
          <w:cantSplit/>
          <w:trHeight w:val="194"/>
          <w:jc w:val="center"/>
        </w:trPr>
        <w:tc>
          <w:tcPr>
            <w:tcW w:w="557" w:type="dxa"/>
            <w:noWrap/>
            <w:vAlign w:val="center"/>
            <w:hideMark/>
          </w:tcPr>
          <w:p w14:paraId="5B1A2CB1" w14:textId="328B1877"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16317864"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Λοιπά πρωτογενή εισοδήματα</w:t>
            </w:r>
          </w:p>
        </w:tc>
        <w:tc>
          <w:tcPr>
            <w:tcW w:w="928" w:type="dxa"/>
            <w:noWrap/>
            <w:vAlign w:val="center"/>
            <w:hideMark/>
          </w:tcPr>
          <w:p w14:paraId="02E4520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3.473,0</w:t>
            </w:r>
          </w:p>
        </w:tc>
        <w:tc>
          <w:tcPr>
            <w:tcW w:w="928" w:type="dxa"/>
            <w:noWrap/>
            <w:vAlign w:val="center"/>
            <w:hideMark/>
          </w:tcPr>
          <w:p w14:paraId="0C2A69E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3.344,3</w:t>
            </w:r>
          </w:p>
        </w:tc>
        <w:tc>
          <w:tcPr>
            <w:tcW w:w="982" w:type="dxa"/>
            <w:noWrap/>
            <w:vAlign w:val="center"/>
            <w:hideMark/>
          </w:tcPr>
          <w:p w14:paraId="522E44B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2.974,1</w:t>
            </w:r>
          </w:p>
        </w:tc>
        <w:tc>
          <w:tcPr>
            <w:tcW w:w="936" w:type="dxa"/>
            <w:noWrap/>
            <w:vAlign w:val="center"/>
            <w:hideMark/>
          </w:tcPr>
          <w:p w14:paraId="5410453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2.755,9</w:t>
            </w:r>
          </w:p>
        </w:tc>
        <w:tc>
          <w:tcPr>
            <w:tcW w:w="917" w:type="dxa"/>
            <w:noWrap/>
            <w:vAlign w:val="center"/>
            <w:hideMark/>
          </w:tcPr>
          <w:p w14:paraId="0F3B5659"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2.225,2</w:t>
            </w:r>
          </w:p>
        </w:tc>
        <w:tc>
          <w:tcPr>
            <w:tcW w:w="992" w:type="dxa"/>
            <w:noWrap/>
            <w:vAlign w:val="center"/>
            <w:hideMark/>
          </w:tcPr>
          <w:p w14:paraId="726C5D3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2.393,8</w:t>
            </w:r>
          </w:p>
        </w:tc>
      </w:tr>
      <w:tr w:rsidR="00911520" w:rsidRPr="001F4553" w14:paraId="70A52BCD" w14:textId="77777777" w:rsidTr="00665626">
        <w:trPr>
          <w:gridAfter w:val="1"/>
          <w:wAfter w:w="6" w:type="dxa"/>
          <w:cantSplit/>
          <w:trHeight w:val="184"/>
          <w:jc w:val="center"/>
        </w:trPr>
        <w:tc>
          <w:tcPr>
            <w:tcW w:w="557" w:type="dxa"/>
            <w:noWrap/>
            <w:vAlign w:val="center"/>
            <w:hideMark/>
          </w:tcPr>
          <w:p w14:paraId="6EF80E21"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I.Γ.2</w:t>
            </w:r>
          </w:p>
        </w:tc>
        <w:tc>
          <w:tcPr>
            <w:tcW w:w="4134" w:type="dxa"/>
            <w:noWrap/>
            <w:vAlign w:val="center"/>
            <w:hideMark/>
          </w:tcPr>
          <w:p w14:paraId="3D42F4A3"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Πληρωμές</w:t>
            </w:r>
          </w:p>
        </w:tc>
        <w:tc>
          <w:tcPr>
            <w:tcW w:w="928" w:type="dxa"/>
            <w:noWrap/>
            <w:vAlign w:val="center"/>
            <w:hideMark/>
          </w:tcPr>
          <w:p w14:paraId="4CAFD360"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9.633,1</w:t>
            </w:r>
          </w:p>
        </w:tc>
        <w:tc>
          <w:tcPr>
            <w:tcW w:w="928" w:type="dxa"/>
            <w:noWrap/>
            <w:vAlign w:val="center"/>
            <w:hideMark/>
          </w:tcPr>
          <w:p w14:paraId="104CF2A1"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15.452,9</w:t>
            </w:r>
          </w:p>
        </w:tc>
        <w:tc>
          <w:tcPr>
            <w:tcW w:w="982" w:type="dxa"/>
            <w:noWrap/>
            <w:vAlign w:val="center"/>
            <w:hideMark/>
          </w:tcPr>
          <w:p w14:paraId="7304BB6A"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17.308,4</w:t>
            </w:r>
          </w:p>
        </w:tc>
        <w:tc>
          <w:tcPr>
            <w:tcW w:w="936" w:type="dxa"/>
            <w:noWrap/>
            <w:vAlign w:val="center"/>
            <w:hideMark/>
          </w:tcPr>
          <w:p w14:paraId="1796C2CD"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9.741,5</w:t>
            </w:r>
          </w:p>
        </w:tc>
        <w:tc>
          <w:tcPr>
            <w:tcW w:w="917" w:type="dxa"/>
            <w:noWrap/>
            <w:vAlign w:val="center"/>
            <w:hideMark/>
          </w:tcPr>
          <w:p w14:paraId="0DBBFE87"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11.867,3</w:t>
            </w:r>
          </w:p>
        </w:tc>
        <w:tc>
          <w:tcPr>
            <w:tcW w:w="992" w:type="dxa"/>
            <w:noWrap/>
            <w:vAlign w:val="center"/>
            <w:hideMark/>
          </w:tcPr>
          <w:p w14:paraId="0020428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10.726,0</w:t>
            </w:r>
          </w:p>
        </w:tc>
      </w:tr>
      <w:tr w:rsidR="00911520" w:rsidRPr="0041454E" w14:paraId="3EE2ACC6" w14:textId="77777777" w:rsidTr="00665626">
        <w:trPr>
          <w:gridAfter w:val="1"/>
          <w:wAfter w:w="6" w:type="dxa"/>
          <w:cantSplit/>
          <w:trHeight w:val="184"/>
          <w:jc w:val="center"/>
        </w:trPr>
        <w:tc>
          <w:tcPr>
            <w:tcW w:w="557" w:type="dxa"/>
            <w:noWrap/>
            <w:vAlign w:val="center"/>
            <w:hideMark/>
          </w:tcPr>
          <w:p w14:paraId="0B8E53DC" w14:textId="1D3659CF"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6E33CE80"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Από εργασία (αμοιβές, μισθοί)</w:t>
            </w:r>
          </w:p>
        </w:tc>
        <w:tc>
          <w:tcPr>
            <w:tcW w:w="928" w:type="dxa"/>
            <w:noWrap/>
            <w:vAlign w:val="center"/>
            <w:hideMark/>
          </w:tcPr>
          <w:p w14:paraId="5485EB7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1.493,8</w:t>
            </w:r>
          </w:p>
        </w:tc>
        <w:tc>
          <w:tcPr>
            <w:tcW w:w="928" w:type="dxa"/>
            <w:noWrap/>
            <w:vAlign w:val="center"/>
            <w:hideMark/>
          </w:tcPr>
          <w:p w14:paraId="30A68AC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1.327,1</w:t>
            </w:r>
          </w:p>
        </w:tc>
        <w:tc>
          <w:tcPr>
            <w:tcW w:w="982" w:type="dxa"/>
            <w:noWrap/>
            <w:vAlign w:val="center"/>
            <w:hideMark/>
          </w:tcPr>
          <w:p w14:paraId="00277CC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1.372,3</w:t>
            </w:r>
          </w:p>
        </w:tc>
        <w:tc>
          <w:tcPr>
            <w:tcW w:w="936" w:type="dxa"/>
            <w:noWrap/>
            <w:vAlign w:val="center"/>
            <w:hideMark/>
          </w:tcPr>
          <w:p w14:paraId="05EB329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881,4</w:t>
            </w:r>
          </w:p>
        </w:tc>
        <w:tc>
          <w:tcPr>
            <w:tcW w:w="917" w:type="dxa"/>
            <w:noWrap/>
            <w:vAlign w:val="center"/>
            <w:hideMark/>
          </w:tcPr>
          <w:p w14:paraId="2AFFAEB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911,5</w:t>
            </w:r>
          </w:p>
        </w:tc>
        <w:tc>
          <w:tcPr>
            <w:tcW w:w="992" w:type="dxa"/>
            <w:noWrap/>
            <w:vAlign w:val="center"/>
            <w:hideMark/>
          </w:tcPr>
          <w:p w14:paraId="2DDE2949"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883,3</w:t>
            </w:r>
          </w:p>
        </w:tc>
      </w:tr>
      <w:tr w:rsidR="00911520" w:rsidRPr="0041454E" w14:paraId="0A39AFBD" w14:textId="77777777" w:rsidTr="00665626">
        <w:trPr>
          <w:gridAfter w:val="1"/>
          <w:wAfter w:w="6" w:type="dxa"/>
          <w:cantSplit/>
          <w:trHeight w:val="194"/>
          <w:jc w:val="center"/>
        </w:trPr>
        <w:tc>
          <w:tcPr>
            <w:tcW w:w="557" w:type="dxa"/>
            <w:noWrap/>
            <w:vAlign w:val="center"/>
            <w:hideMark/>
          </w:tcPr>
          <w:p w14:paraId="190B028F" w14:textId="4920261A"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566DE2D8"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Από επενδύσεις (τόκοι, μερίσματα, κέρδη)</w:t>
            </w:r>
          </w:p>
        </w:tc>
        <w:tc>
          <w:tcPr>
            <w:tcW w:w="928" w:type="dxa"/>
            <w:noWrap/>
            <w:vAlign w:val="center"/>
            <w:hideMark/>
          </w:tcPr>
          <w:p w14:paraId="50A4497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7.478,8</w:t>
            </w:r>
          </w:p>
        </w:tc>
        <w:tc>
          <w:tcPr>
            <w:tcW w:w="928" w:type="dxa"/>
            <w:noWrap/>
            <w:vAlign w:val="center"/>
            <w:hideMark/>
          </w:tcPr>
          <w:p w14:paraId="49A341A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13.609,9</w:t>
            </w:r>
          </w:p>
        </w:tc>
        <w:tc>
          <w:tcPr>
            <w:tcW w:w="982" w:type="dxa"/>
            <w:noWrap/>
            <w:vAlign w:val="center"/>
            <w:hideMark/>
          </w:tcPr>
          <w:p w14:paraId="1719B0CE"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15.439,0</w:t>
            </w:r>
          </w:p>
        </w:tc>
        <w:tc>
          <w:tcPr>
            <w:tcW w:w="936" w:type="dxa"/>
            <w:noWrap/>
            <w:vAlign w:val="center"/>
            <w:hideMark/>
          </w:tcPr>
          <w:p w14:paraId="4FA0973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8.495,1</w:t>
            </w:r>
          </w:p>
        </w:tc>
        <w:tc>
          <w:tcPr>
            <w:tcW w:w="917" w:type="dxa"/>
            <w:noWrap/>
            <w:vAlign w:val="center"/>
            <w:hideMark/>
          </w:tcPr>
          <w:p w14:paraId="5ED604A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10.637,3</w:t>
            </w:r>
          </w:p>
        </w:tc>
        <w:tc>
          <w:tcPr>
            <w:tcW w:w="992" w:type="dxa"/>
            <w:noWrap/>
            <w:vAlign w:val="center"/>
            <w:hideMark/>
          </w:tcPr>
          <w:p w14:paraId="537D552E"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9.485,1</w:t>
            </w:r>
          </w:p>
        </w:tc>
      </w:tr>
      <w:tr w:rsidR="00911520" w:rsidRPr="0041454E" w14:paraId="716E265C" w14:textId="77777777" w:rsidTr="00665626">
        <w:trPr>
          <w:gridAfter w:val="1"/>
          <w:wAfter w:w="6" w:type="dxa"/>
          <w:cantSplit/>
          <w:trHeight w:val="184"/>
          <w:jc w:val="center"/>
        </w:trPr>
        <w:tc>
          <w:tcPr>
            <w:tcW w:w="557" w:type="dxa"/>
            <w:noWrap/>
            <w:vAlign w:val="center"/>
            <w:hideMark/>
          </w:tcPr>
          <w:p w14:paraId="621799F5" w14:textId="71628D5B"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3E7A43F7"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Λοιπά πρωτογενή εισοδήματα</w:t>
            </w:r>
          </w:p>
        </w:tc>
        <w:tc>
          <w:tcPr>
            <w:tcW w:w="928" w:type="dxa"/>
            <w:noWrap/>
            <w:vAlign w:val="center"/>
            <w:hideMark/>
          </w:tcPr>
          <w:p w14:paraId="738E2D2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660,6</w:t>
            </w:r>
          </w:p>
        </w:tc>
        <w:tc>
          <w:tcPr>
            <w:tcW w:w="928" w:type="dxa"/>
            <w:noWrap/>
            <w:vAlign w:val="center"/>
            <w:hideMark/>
          </w:tcPr>
          <w:p w14:paraId="3067038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515,9</w:t>
            </w:r>
          </w:p>
        </w:tc>
        <w:tc>
          <w:tcPr>
            <w:tcW w:w="982" w:type="dxa"/>
            <w:noWrap/>
            <w:vAlign w:val="center"/>
            <w:hideMark/>
          </w:tcPr>
          <w:p w14:paraId="7AFEAA6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497,1</w:t>
            </w:r>
          </w:p>
        </w:tc>
        <w:tc>
          <w:tcPr>
            <w:tcW w:w="936" w:type="dxa"/>
            <w:noWrap/>
            <w:vAlign w:val="center"/>
            <w:hideMark/>
          </w:tcPr>
          <w:p w14:paraId="16DC2E4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365,1</w:t>
            </w:r>
          </w:p>
        </w:tc>
        <w:tc>
          <w:tcPr>
            <w:tcW w:w="917" w:type="dxa"/>
            <w:noWrap/>
            <w:vAlign w:val="center"/>
            <w:hideMark/>
          </w:tcPr>
          <w:p w14:paraId="17E7186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318,5</w:t>
            </w:r>
          </w:p>
        </w:tc>
        <w:tc>
          <w:tcPr>
            <w:tcW w:w="992" w:type="dxa"/>
            <w:noWrap/>
            <w:vAlign w:val="center"/>
            <w:hideMark/>
          </w:tcPr>
          <w:p w14:paraId="17A0086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357,6</w:t>
            </w:r>
          </w:p>
        </w:tc>
      </w:tr>
      <w:tr w:rsidR="00911520" w:rsidRPr="00016CF7" w14:paraId="67B37C7D" w14:textId="77777777" w:rsidTr="00665626">
        <w:trPr>
          <w:gridAfter w:val="1"/>
          <w:wAfter w:w="6" w:type="dxa"/>
          <w:cantSplit/>
          <w:trHeight w:val="194"/>
          <w:jc w:val="center"/>
        </w:trPr>
        <w:tc>
          <w:tcPr>
            <w:tcW w:w="557" w:type="dxa"/>
            <w:noWrap/>
            <w:vAlign w:val="center"/>
            <w:hideMark/>
          </w:tcPr>
          <w:p w14:paraId="29C28F4F"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Ι.Δ</w:t>
            </w:r>
          </w:p>
        </w:tc>
        <w:tc>
          <w:tcPr>
            <w:tcW w:w="4134" w:type="dxa"/>
            <w:noWrap/>
            <w:vAlign w:val="center"/>
            <w:hideMark/>
          </w:tcPr>
          <w:p w14:paraId="28009527"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Ισοζύγιο Δευτερογενών Εισοδημάτων</w:t>
            </w:r>
          </w:p>
        </w:tc>
        <w:tc>
          <w:tcPr>
            <w:tcW w:w="928" w:type="dxa"/>
            <w:noWrap/>
            <w:vAlign w:val="center"/>
            <w:hideMark/>
          </w:tcPr>
          <w:p w14:paraId="3966CFA3"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-301,6</w:t>
            </w:r>
          </w:p>
        </w:tc>
        <w:tc>
          <w:tcPr>
            <w:tcW w:w="928" w:type="dxa"/>
            <w:noWrap/>
            <w:vAlign w:val="center"/>
            <w:hideMark/>
          </w:tcPr>
          <w:p w14:paraId="38386B38"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1.325,5</w:t>
            </w:r>
          </w:p>
        </w:tc>
        <w:tc>
          <w:tcPr>
            <w:tcW w:w="982" w:type="dxa"/>
            <w:noWrap/>
            <w:vAlign w:val="center"/>
            <w:hideMark/>
          </w:tcPr>
          <w:p w14:paraId="6776165D"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2.076,4</w:t>
            </w:r>
          </w:p>
        </w:tc>
        <w:tc>
          <w:tcPr>
            <w:tcW w:w="936" w:type="dxa"/>
            <w:noWrap/>
            <w:vAlign w:val="center"/>
            <w:hideMark/>
          </w:tcPr>
          <w:p w14:paraId="3844D184"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1.191,2</w:t>
            </w:r>
          </w:p>
        </w:tc>
        <w:tc>
          <w:tcPr>
            <w:tcW w:w="917" w:type="dxa"/>
            <w:noWrap/>
            <w:vAlign w:val="center"/>
            <w:hideMark/>
          </w:tcPr>
          <w:p w14:paraId="432685BA"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2.374,6</w:t>
            </w:r>
          </w:p>
        </w:tc>
        <w:tc>
          <w:tcPr>
            <w:tcW w:w="992" w:type="dxa"/>
            <w:noWrap/>
            <w:vAlign w:val="center"/>
            <w:hideMark/>
          </w:tcPr>
          <w:p w14:paraId="37E50311"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2.406,9</w:t>
            </w:r>
          </w:p>
        </w:tc>
      </w:tr>
      <w:tr w:rsidR="00911520" w:rsidRPr="00016CF7" w14:paraId="6452887B" w14:textId="77777777" w:rsidTr="00665626">
        <w:trPr>
          <w:gridAfter w:val="1"/>
          <w:wAfter w:w="6" w:type="dxa"/>
          <w:cantSplit/>
          <w:trHeight w:val="184"/>
          <w:jc w:val="center"/>
        </w:trPr>
        <w:tc>
          <w:tcPr>
            <w:tcW w:w="557" w:type="dxa"/>
            <w:noWrap/>
            <w:vAlign w:val="center"/>
            <w:hideMark/>
          </w:tcPr>
          <w:p w14:paraId="6BBBB507" w14:textId="6CD5DB0F" w:rsidR="00911520" w:rsidRPr="00016CF7" w:rsidRDefault="00911520" w:rsidP="00B25FC4">
            <w:pPr>
              <w:spacing w:after="0" w:line="240" w:lineRule="auto"/>
              <w:jc w:val="left"/>
              <w:rPr>
                <w:rFonts w:cs="Arial"/>
                <w:b/>
                <w:bCs/>
                <w:color w:val="000000"/>
                <w:sz w:val="16"/>
                <w:szCs w:val="16"/>
              </w:rPr>
            </w:pPr>
          </w:p>
        </w:tc>
        <w:tc>
          <w:tcPr>
            <w:tcW w:w="4134" w:type="dxa"/>
            <w:noWrap/>
            <w:vAlign w:val="center"/>
            <w:hideMark/>
          </w:tcPr>
          <w:p w14:paraId="1B1CC3C8"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(I.Δ.1 - I.Δ.2)</w:t>
            </w:r>
          </w:p>
        </w:tc>
        <w:tc>
          <w:tcPr>
            <w:tcW w:w="928" w:type="dxa"/>
            <w:noWrap/>
            <w:vAlign w:val="center"/>
            <w:hideMark/>
          </w:tcPr>
          <w:p w14:paraId="398F9B69" w14:textId="77777777" w:rsidR="00911520" w:rsidRPr="00016CF7" w:rsidRDefault="00911520" w:rsidP="00B25FC4">
            <w:pPr>
              <w:spacing w:after="0" w:line="240" w:lineRule="auto"/>
              <w:jc w:val="right"/>
              <w:rPr>
                <w:rFonts w:cs="Arial"/>
                <w:b/>
                <w:bCs/>
                <w:color w:val="000000"/>
                <w:sz w:val="16"/>
                <w:szCs w:val="16"/>
              </w:rPr>
            </w:pPr>
          </w:p>
        </w:tc>
        <w:tc>
          <w:tcPr>
            <w:tcW w:w="928" w:type="dxa"/>
            <w:noWrap/>
            <w:vAlign w:val="center"/>
            <w:hideMark/>
          </w:tcPr>
          <w:p w14:paraId="5549D71F" w14:textId="77777777" w:rsidR="00911520" w:rsidRPr="00016CF7" w:rsidRDefault="00911520" w:rsidP="00B25FC4">
            <w:pPr>
              <w:spacing w:after="0" w:line="240" w:lineRule="auto"/>
              <w:jc w:val="right"/>
              <w:rPr>
                <w:rFonts w:cs="Arial"/>
                <w:sz w:val="16"/>
                <w:szCs w:val="16"/>
              </w:rPr>
            </w:pPr>
          </w:p>
        </w:tc>
        <w:tc>
          <w:tcPr>
            <w:tcW w:w="982" w:type="dxa"/>
            <w:noWrap/>
            <w:vAlign w:val="center"/>
            <w:hideMark/>
          </w:tcPr>
          <w:p w14:paraId="0CCEA126" w14:textId="77777777" w:rsidR="00911520" w:rsidRPr="00016CF7" w:rsidRDefault="00911520" w:rsidP="00B25FC4">
            <w:pPr>
              <w:spacing w:after="0" w:line="240" w:lineRule="auto"/>
              <w:jc w:val="right"/>
              <w:rPr>
                <w:rFonts w:cs="Arial"/>
                <w:sz w:val="16"/>
                <w:szCs w:val="16"/>
              </w:rPr>
            </w:pPr>
          </w:p>
        </w:tc>
        <w:tc>
          <w:tcPr>
            <w:tcW w:w="936" w:type="dxa"/>
            <w:noWrap/>
            <w:vAlign w:val="center"/>
            <w:hideMark/>
          </w:tcPr>
          <w:p w14:paraId="6E08DCF5" w14:textId="77777777" w:rsidR="00911520" w:rsidRPr="00016CF7" w:rsidRDefault="00911520" w:rsidP="00B25FC4">
            <w:pPr>
              <w:spacing w:after="0" w:line="240" w:lineRule="auto"/>
              <w:jc w:val="right"/>
              <w:rPr>
                <w:rFonts w:cs="Arial"/>
                <w:sz w:val="16"/>
                <w:szCs w:val="16"/>
              </w:rPr>
            </w:pPr>
          </w:p>
        </w:tc>
        <w:tc>
          <w:tcPr>
            <w:tcW w:w="917" w:type="dxa"/>
            <w:noWrap/>
            <w:vAlign w:val="center"/>
            <w:hideMark/>
          </w:tcPr>
          <w:p w14:paraId="65119F02" w14:textId="77777777" w:rsidR="00911520" w:rsidRPr="00016CF7" w:rsidRDefault="00911520" w:rsidP="00B25FC4">
            <w:pPr>
              <w:spacing w:after="0" w:line="240" w:lineRule="auto"/>
              <w:jc w:val="right"/>
              <w:rPr>
                <w:rFonts w:cs="Arial"/>
                <w:sz w:val="16"/>
                <w:szCs w:val="16"/>
              </w:rPr>
            </w:pPr>
          </w:p>
        </w:tc>
        <w:tc>
          <w:tcPr>
            <w:tcW w:w="992" w:type="dxa"/>
            <w:noWrap/>
            <w:vAlign w:val="center"/>
            <w:hideMark/>
          </w:tcPr>
          <w:p w14:paraId="700E013E" w14:textId="4FB55304" w:rsidR="00911520" w:rsidRPr="00016CF7" w:rsidRDefault="00911520" w:rsidP="00B25FC4">
            <w:pPr>
              <w:spacing w:after="0" w:line="240" w:lineRule="auto"/>
              <w:jc w:val="right"/>
              <w:rPr>
                <w:rFonts w:cs="Arial"/>
                <w:b/>
                <w:bCs/>
                <w:color w:val="000000"/>
                <w:sz w:val="16"/>
                <w:szCs w:val="16"/>
              </w:rPr>
            </w:pPr>
          </w:p>
        </w:tc>
      </w:tr>
      <w:tr w:rsidR="00911520" w:rsidRPr="001F4553" w14:paraId="704063D8" w14:textId="77777777" w:rsidTr="00665626">
        <w:trPr>
          <w:gridAfter w:val="1"/>
          <w:wAfter w:w="6" w:type="dxa"/>
          <w:cantSplit/>
          <w:trHeight w:val="184"/>
          <w:jc w:val="center"/>
        </w:trPr>
        <w:tc>
          <w:tcPr>
            <w:tcW w:w="557" w:type="dxa"/>
            <w:noWrap/>
            <w:vAlign w:val="center"/>
            <w:hideMark/>
          </w:tcPr>
          <w:p w14:paraId="4D4AB252"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I.Δ.1</w:t>
            </w:r>
          </w:p>
        </w:tc>
        <w:tc>
          <w:tcPr>
            <w:tcW w:w="4134" w:type="dxa"/>
            <w:noWrap/>
            <w:vAlign w:val="center"/>
            <w:hideMark/>
          </w:tcPr>
          <w:p w14:paraId="45A7D33F"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Εισπράξεις</w:t>
            </w:r>
          </w:p>
        </w:tc>
        <w:tc>
          <w:tcPr>
            <w:tcW w:w="928" w:type="dxa"/>
            <w:noWrap/>
            <w:vAlign w:val="center"/>
            <w:hideMark/>
          </w:tcPr>
          <w:p w14:paraId="52600176"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4.390,6</w:t>
            </w:r>
          </w:p>
        </w:tc>
        <w:tc>
          <w:tcPr>
            <w:tcW w:w="928" w:type="dxa"/>
            <w:noWrap/>
            <w:vAlign w:val="center"/>
            <w:hideMark/>
          </w:tcPr>
          <w:p w14:paraId="4824E315"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5.541,5</w:t>
            </w:r>
          </w:p>
        </w:tc>
        <w:tc>
          <w:tcPr>
            <w:tcW w:w="982" w:type="dxa"/>
            <w:noWrap/>
            <w:vAlign w:val="center"/>
            <w:hideMark/>
          </w:tcPr>
          <w:p w14:paraId="4A2886F4"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6.822,2</w:t>
            </w:r>
          </w:p>
        </w:tc>
        <w:tc>
          <w:tcPr>
            <w:tcW w:w="936" w:type="dxa"/>
            <w:noWrap/>
            <w:vAlign w:val="center"/>
            <w:hideMark/>
          </w:tcPr>
          <w:p w14:paraId="0FCE0ED1"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3.931,9</w:t>
            </w:r>
          </w:p>
        </w:tc>
        <w:tc>
          <w:tcPr>
            <w:tcW w:w="917" w:type="dxa"/>
            <w:noWrap/>
            <w:vAlign w:val="center"/>
            <w:hideMark/>
          </w:tcPr>
          <w:p w14:paraId="6F1B290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5.453,0</w:t>
            </w:r>
          </w:p>
        </w:tc>
        <w:tc>
          <w:tcPr>
            <w:tcW w:w="992" w:type="dxa"/>
            <w:noWrap/>
            <w:vAlign w:val="center"/>
            <w:hideMark/>
          </w:tcPr>
          <w:p w14:paraId="0002388F"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5.826,8</w:t>
            </w:r>
          </w:p>
        </w:tc>
      </w:tr>
      <w:tr w:rsidR="00911520" w:rsidRPr="0041454E" w14:paraId="04A0020A" w14:textId="77777777" w:rsidTr="00665626">
        <w:trPr>
          <w:gridAfter w:val="1"/>
          <w:wAfter w:w="6" w:type="dxa"/>
          <w:cantSplit/>
          <w:trHeight w:val="194"/>
          <w:jc w:val="center"/>
        </w:trPr>
        <w:tc>
          <w:tcPr>
            <w:tcW w:w="557" w:type="dxa"/>
            <w:noWrap/>
            <w:vAlign w:val="center"/>
            <w:hideMark/>
          </w:tcPr>
          <w:p w14:paraId="71434184" w14:textId="6341CA27"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3C3549E2"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Γενική Κυβέρνηση</w:t>
            </w:r>
          </w:p>
        </w:tc>
        <w:tc>
          <w:tcPr>
            <w:tcW w:w="928" w:type="dxa"/>
            <w:noWrap/>
            <w:vAlign w:val="center"/>
            <w:hideMark/>
          </w:tcPr>
          <w:p w14:paraId="6360305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2.642,7</w:t>
            </w:r>
          </w:p>
        </w:tc>
        <w:tc>
          <w:tcPr>
            <w:tcW w:w="928" w:type="dxa"/>
            <w:noWrap/>
            <w:vAlign w:val="center"/>
            <w:hideMark/>
          </w:tcPr>
          <w:p w14:paraId="7C2BD0F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3.255,8</w:t>
            </w:r>
          </w:p>
        </w:tc>
        <w:tc>
          <w:tcPr>
            <w:tcW w:w="982" w:type="dxa"/>
            <w:noWrap/>
            <w:vAlign w:val="center"/>
            <w:hideMark/>
          </w:tcPr>
          <w:p w14:paraId="37FBD57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1.514,1</w:t>
            </w:r>
          </w:p>
        </w:tc>
        <w:tc>
          <w:tcPr>
            <w:tcW w:w="936" w:type="dxa"/>
            <w:noWrap/>
            <w:vAlign w:val="center"/>
            <w:hideMark/>
          </w:tcPr>
          <w:p w14:paraId="5339125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2.294,6</w:t>
            </w:r>
          </w:p>
        </w:tc>
        <w:tc>
          <w:tcPr>
            <w:tcW w:w="917" w:type="dxa"/>
            <w:noWrap/>
            <w:vAlign w:val="center"/>
            <w:hideMark/>
          </w:tcPr>
          <w:p w14:paraId="4F80905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815,0</w:t>
            </w:r>
          </w:p>
        </w:tc>
        <w:tc>
          <w:tcPr>
            <w:tcW w:w="992" w:type="dxa"/>
            <w:noWrap/>
            <w:vAlign w:val="center"/>
            <w:hideMark/>
          </w:tcPr>
          <w:p w14:paraId="122DDDB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1.403,6</w:t>
            </w:r>
          </w:p>
        </w:tc>
      </w:tr>
      <w:tr w:rsidR="00911520" w:rsidRPr="0041454E" w14:paraId="27DE59C9" w14:textId="77777777" w:rsidTr="00665626">
        <w:trPr>
          <w:gridAfter w:val="1"/>
          <w:wAfter w:w="6" w:type="dxa"/>
          <w:cantSplit/>
          <w:trHeight w:val="184"/>
          <w:jc w:val="center"/>
        </w:trPr>
        <w:tc>
          <w:tcPr>
            <w:tcW w:w="557" w:type="dxa"/>
            <w:noWrap/>
            <w:vAlign w:val="center"/>
            <w:hideMark/>
          </w:tcPr>
          <w:p w14:paraId="097AE877" w14:textId="6DF5362C"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4B34E4DD"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Λοιποί τομείς</w:t>
            </w:r>
          </w:p>
        </w:tc>
        <w:tc>
          <w:tcPr>
            <w:tcW w:w="928" w:type="dxa"/>
            <w:noWrap/>
            <w:vAlign w:val="center"/>
            <w:hideMark/>
          </w:tcPr>
          <w:p w14:paraId="473CBEA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1.747,9</w:t>
            </w:r>
          </w:p>
        </w:tc>
        <w:tc>
          <w:tcPr>
            <w:tcW w:w="928" w:type="dxa"/>
            <w:noWrap/>
            <w:vAlign w:val="center"/>
            <w:hideMark/>
          </w:tcPr>
          <w:p w14:paraId="006A509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2.285,8</w:t>
            </w:r>
          </w:p>
        </w:tc>
        <w:tc>
          <w:tcPr>
            <w:tcW w:w="982" w:type="dxa"/>
            <w:noWrap/>
            <w:vAlign w:val="center"/>
            <w:hideMark/>
          </w:tcPr>
          <w:p w14:paraId="09A1FDA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5.308,1</w:t>
            </w:r>
          </w:p>
        </w:tc>
        <w:tc>
          <w:tcPr>
            <w:tcW w:w="936" w:type="dxa"/>
            <w:noWrap/>
            <w:vAlign w:val="center"/>
            <w:hideMark/>
          </w:tcPr>
          <w:p w14:paraId="268DD3B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1.637,3</w:t>
            </w:r>
          </w:p>
        </w:tc>
        <w:tc>
          <w:tcPr>
            <w:tcW w:w="917" w:type="dxa"/>
            <w:noWrap/>
            <w:vAlign w:val="center"/>
            <w:hideMark/>
          </w:tcPr>
          <w:p w14:paraId="2A0071E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4.638,0</w:t>
            </w:r>
          </w:p>
        </w:tc>
        <w:tc>
          <w:tcPr>
            <w:tcW w:w="992" w:type="dxa"/>
            <w:noWrap/>
            <w:vAlign w:val="center"/>
            <w:hideMark/>
          </w:tcPr>
          <w:p w14:paraId="6E1E9F9E"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4.423,2</w:t>
            </w:r>
          </w:p>
        </w:tc>
      </w:tr>
      <w:tr w:rsidR="00911520" w:rsidRPr="001F4553" w14:paraId="0A4F61F5" w14:textId="77777777" w:rsidTr="00665626">
        <w:trPr>
          <w:gridAfter w:val="1"/>
          <w:wAfter w:w="6" w:type="dxa"/>
          <w:cantSplit/>
          <w:trHeight w:val="194"/>
          <w:jc w:val="center"/>
        </w:trPr>
        <w:tc>
          <w:tcPr>
            <w:tcW w:w="557" w:type="dxa"/>
            <w:noWrap/>
            <w:vAlign w:val="center"/>
            <w:hideMark/>
          </w:tcPr>
          <w:p w14:paraId="18274D1D"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I.Δ.2</w:t>
            </w:r>
          </w:p>
        </w:tc>
        <w:tc>
          <w:tcPr>
            <w:tcW w:w="4134" w:type="dxa"/>
            <w:noWrap/>
            <w:vAlign w:val="center"/>
            <w:hideMark/>
          </w:tcPr>
          <w:p w14:paraId="36C603E3"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Πληρωμές</w:t>
            </w:r>
          </w:p>
        </w:tc>
        <w:tc>
          <w:tcPr>
            <w:tcW w:w="928" w:type="dxa"/>
            <w:noWrap/>
            <w:vAlign w:val="center"/>
            <w:hideMark/>
          </w:tcPr>
          <w:p w14:paraId="658FF7B3"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4.692,2</w:t>
            </w:r>
          </w:p>
        </w:tc>
        <w:tc>
          <w:tcPr>
            <w:tcW w:w="928" w:type="dxa"/>
            <w:noWrap/>
            <w:vAlign w:val="center"/>
            <w:hideMark/>
          </w:tcPr>
          <w:p w14:paraId="5F1E7EDE"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4.216,1</w:t>
            </w:r>
          </w:p>
        </w:tc>
        <w:tc>
          <w:tcPr>
            <w:tcW w:w="982" w:type="dxa"/>
            <w:noWrap/>
            <w:vAlign w:val="center"/>
            <w:hideMark/>
          </w:tcPr>
          <w:p w14:paraId="2FF5F99E"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4.745,8</w:t>
            </w:r>
          </w:p>
        </w:tc>
        <w:tc>
          <w:tcPr>
            <w:tcW w:w="936" w:type="dxa"/>
            <w:noWrap/>
            <w:vAlign w:val="center"/>
            <w:hideMark/>
          </w:tcPr>
          <w:p w14:paraId="0A75FC9E"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2.740,7</w:t>
            </w:r>
          </w:p>
        </w:tc>
        <w:tc>
          <w:tcPr>
            <w:tcW w:w="917" w:type="dxa"/>
            <w:noWrap/>
            <w:vAlign w:val="center"/>
            <w:hideMark/>
          </w:tcPr>
          <w:p w14:paraId="6B68E12F"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3.078,5</w:t>
            </w:r>
          </w:p>
        </w:tc>
        <w:tc>
          <w:tcPr>
            <w:tcW w:w="992" w:type="dxa"/>
            <w:noWrap/>
            <w:vAlign w:val="center"/>
            <w:hideMark/>
          </w:tcPr>
          <w:p w14:paraId="3193B33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3.419,9</w:t>
            </w:r>
          </w:p>
        </w:tc>
      </w:tr>
      <w:tr w:rsidR="00911520" w:rsidRPr="0041454E" w14:paraId="64DEBB2E" w14:textId="77777777" w:rsidTr="00665626">
        <w:trPr>
          <w:gridAfter w:val="1"/>
          <w:wAfter w:w="6" w:type="dxa"/>
          <w:cantSplit/>
          <w:trHeight w:val="184"/>
          <w:jc w:val="center"/>
        </w:trPr>
        <w:tc>
          <w:tcPr>
            <w:tcW w:w="557" w:type="dxa"/>
            <w:noWrap/>
            <w:vAlign w:val="center"/>
            <w:hideMark/>
          </w:tcPr>
          <w:p w14:paraId="226DBC16" w14:textId="732C276C"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66D567CA"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Γενική Κυβέρνηση</w:t>
            </w:r>
          </w:p>
        </w:tc>
        <w:tc>
          <w:tcPr>
            <w:tcW w:w="928" w:type="dxa"/>
            <w:noWrap/>
            <w:vAlign w:val="center"/>
            <w:hideMark/>
          </w:tcPr>
          <w:p w14:paraId="23FB9B6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3.058,7</w:t>
            </w:r>
          </w:p>
        </w:tc>
        <w:tc>
          <w:tcPr>
            <w:tcW w:w="928" w:type="dxa"/>
            <w:noWrap/>
            <w:vAlign w:val="center"/>
            <w:hideMark/>
          </w:tcPr>
          <w:p w14:paraId="0684C0C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2.381,9</w:t>
            </w:r>
          </w:p>
        </w:tc>
        <w:tc>
          <w:tcPr>
            <w:tcW w:w="982" w:type="dxa"/>
            <w:noWrap/>
            <w:vAlign w:val="center"/>
            <w:hideMark/>
          </w:tcPr>
          <w:p w14:paraId="2DE3E19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2.817,0</w:t>
            </w:r>
          </w:p>
        </w:tc>
        <w:tc>
          <w:tcPr>
            <w:tcW w:w="936" w:type="dxa"/>
            <w:noWrap/>
            <w:vAlign w:val="center"/>
            <w:hideMark/>
          </w:tcPr>
          <w:p w14:paraId="1A52352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1.527,3</w:t>
            </w:r>
          </w:p>
        </w:tc>
        <w:tc>
          <w:tcPr>
            <w:tcW w:w="917" w:type="dxa"/>
            <w:noWrap/>
            <w:vAlign w:val="center"/>
            <w:hideMark/>
          </w:tcPr>
          <w:p w14:paraId="5ECDBDB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1.804,7</w:t>
            </w:r>
          </w:p>
        </w:tc>
        <w:tc>
          <w:tcPr>
            <w:tcW w:w="992" w:type="dxa"/>
            <w:noWrap/>
            <w:vAlign w:val="center"/>
            <w:hideMark/>
          </w:tcPr>
          <w:p w14:paraId="15F4A15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2.026,3</w:t>
            </w:r>
          </w:p>
        </w:tc>
      </w:tr>
      <w:tr w:rsidR="00911520" w:rsidRPr="0041454E" w14:paraId="025F0ECE" w14:textId="77777777" w:rsidTr="00665626">
        <w:trPr>
          <w:gridAfter w:val="1"/>
          <w:wAfter w:w="6" w:type="dxa"/>
          <w:cantSplit/>
          <w:trHeight w:val="184"/>
          <w:jc w:val="center"/>
        </w:trPr>
        <w:tc>
          <w:tcPr>
            <w:tcW w:w="557" w:type="dxa"/>
            <w:noWrap/>
            <w:vAlign w:val="center"/>
            <w:hideMark/>
          </w:tcPr>
          <w:p w14:paraId="4FBFCA79" w14:textId="7FF15ABC"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0BC759FA"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Λοιποί τομείς</w:t>
            </w:r>
          </w:p>
        </w:tc>
        <w:tc>
          <w:tcPr>
            <w:tcW w:w="928" w:type="dxa"/>
            <w:noWrap/>
            <w:vAlign w:val="center"/>
            <w:hideMark/>
          </w:tcPr>
          <w:p w14:paraId="79D3936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1.633,5</w:t>
            </w:r>
          </w:p>
        </w:tc>
        <w:tc>
          <w:tcPr>
            <w:tcW w:w="928" w:type="dxa"/>
            <w:noWrap/>
            <w:vAlign w:val="center"/>
            <w:hideMark/>
          </w:tcPr>
          <w:p w14:paraId="44C9B59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1.834,2</w:t>
            </w:r>
          </w:p>
        </w:tc>
        <w:tc>
          <w:tcPr>
            <w:tcW w:w="982" w:type="dxa"/>
            <w:noWrap/>
            <w:vAlign w:val="center"/>
            <w:hideMark/>
          </w:tcPr>
          <w:p w14:paraId="0949766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1.928,8</w:t>
            </w:r>
          </w:p>
        </w:tc>
        <w:tc>
          <w:tcPr>
            <w:tcW w:w="936" w:type="dxa"/>
            <w:noWrap/>
            <w:vAlign w:val="center"/>
            <w:hideMark/>
          </w:tcPr>
          <w:p w14:paraId="624FCE2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1.213,4</w:t>
            </w:r>
          </w:p>
        </w:tc>
        <w:tc>
          <w:tcPr>
            <w:tcW w:w="917" w:type="dxa"/>
            <w:noWrap/>
            <w:vAlign w:val="center"/>
            <w:hideMark/>
          </w:tcPr>
          <w:p w14:paraId="2AA51A6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1.273,8</w:t>
            </w:r>
          </w:p>
        </w:tc>
        <w:tc>
          <w:tcPr>
            <w:tcW w:w="992" w:type="dxa"/>
            <w:noWrap/>
            <w:vAlign w:val="center"/>
            <w:hideMark/>
          </w:tcPr>
          <w:p w14:paraId="1AF349B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1.393,6</w:t>
            </w:r>
          </w:p>
        </w:tc>
      </w:tr>
      <w:tr w:rsidR="00911520" w:rsidRPr="00016CF7" w14:paraId="3008EDAF" w14:textId="77777777" w:rsidTr="00665626">
        <w:trPr>
          <w:gridAfter w:val="1"/>
          <w:wAfter w:w="6" w:type="dxa"/>
          <w:cantSplit/>
          <w:trHeight w:val="194"/>
          <w:jc w:val="center"/>
        </w:trPr>
        <w:tc>
          <w:tcPr>
            <w:tcW w:w="557" w:type="dxa"/>
            <w:shd w:val="clear" w:color="000000" w:fill="D5DCE4"/>
            <w:noWrap/>
            <w:vAlign w:val="center"/>
            <w:hideMark/>
          </w:tcPr>
          <w:p w14:paraId="54D6E190" w14:textId="4C1EAE14" w:rsidR="00911520" w:rsidRPr="002E3825" w:rsidRDefault="00911520" w:rsidP="00B25FC4">
            <w:pPr>
              <w:spacing w:after="0" w:line="240" w:lineRule="auto"/>
              <w:jc w:val="left"/>
              <w:rPr>
                <w:rFonts w:cs="Arial"/>
                <w:b/>
                <w:bCs/>
                <w:color w:val="000000"/>
                <w:sz w:val="16"/>
                <w:szCs w:val="16"/>
                <w:lang w:val="en-US"/>
              </w:rPr>
            </w:pPr>
            <w:r w:rsidRPr="00016CF7">
              <w:rPr>
                <w:rFonts w:cs="Arial"/>
                <w:b/>
                <w:bCs/>
                <w:sz w:val="16"/>
                <w:szCs w:val="16"/>
              </w:rPr>
              <w:t>ΙΙ</w:t>
            </w:r>
            <w:r w:rsidR="002E3825">
              <w:rPr>
                <w:rFonts w:cs="Arial"/>
                <w:b/>
                <w:bCs/>
                <w:sz w:val="16"/>
                <w:szCs w:val="16"/>
                <w:lang w:val="en-US"/>
              </w:rPr>
              <w:t>.</w:t>
            </w:r>
          </w:p>
        </w:tc>
        <w:tc>
          <w:tcPr>
            <w:tcW w:w="4134" w:type="dxa"/>
            <w:shd w:val="clear" w:color="000000" w:fill="D5DCE4"/>
            <w:noWrap/>
            <w:vAlign w:val="center"/>
            <w:hideMark/>
          </w:tcPr>
          <w:p w14:paraId="52983AD0" w14:textId="77777777" w:rsidR="00911520" w:rsidRPr="00016CF7" w:rsidRDefault="00911520" w:rsidP="00B25FC4">
            <w:pPr>
              <w:spacing w:after="0" w:line="240" w:lineRule="auto"/>
              <w:jc w:val="left"/>
              <w:rPr>
                <w:rFonts w:cs="Arial"/>
                <w:b/>
                <w:bCs/>
                <w:color w:val="000000"/>
                <w:sz w:val="16"/>
                <w:szCs w:val="16"/>
              </w:rPr>
            </w:pPr>
            <w:r w:rsidRPr="00016CF7">
              <w:rPr>
                <w:rFonts w:cs="Arial"/>
                <w:b/>
                <w:bCs/>
                <w:sz w:val="16"/>
                <w:szCs w:val="16"/>
              </w:rPr>
              <w:t>Ισοζύγιο Κεφαλαίων (II.1 - II.2)</w:t>
            </w:r>
          </w:p>
        </w:tc>
        <w:tc>
          <w:tcPr>
            <w:tcW w:w="928" w:type="dxa"/>
            <w:shd w:val="clear" w:color="000000" w:fill="D5DCE4"/>
            <w:noWrap/>
            <w:vAlign w:val="center"/>
            <w:hideMark/>
          </w:tcPr>
          <w:p w14:paraId="35150DD0"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3.111,6</w:t>
            </w:r>
          </w:p>
        </w:tc>
        <w:tc>
          <w:tcPr>
            <w:tcW w:w="928" w:type="dxa"/>
            <w:shd w:val="clear" w:color="000000" w:fill="D5DCE4"/>
            <w:noWrap/>
            <w:vAlign w:val="center"/>
            <w:hideMark/>
          </w:tcPr>
          <w:p w14:paraId="03BFACA6"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2.677,0</w:t>
            </w:r>
          </w:p>
        </w:tc>
        <w:tc>
          <w:tcPr>
            <w:tcW w:w="982" w:type="dxa"/>
            <w:shd w:val="clear" w:color="000000" w:fill="D5DCE4"/>
            <w:noWrap/>
            <w:vAlign w:val="center"/>
            <w:hideMark/>
          </w:tcPr>
          <w:p w14:paraId="6B4F05BD"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-21,0</w:t>
            </w:r>
          </w:p>
        </w:tc>
        <w:tc>
          <w:tcPr>
            <w:tcW w:w="936" w:type="dxa"/>
            <w:shd w:val="clear" w:color="000000" w:fill="D5DCE4"/>
            <w:noWrap/>
            <w:vAlign w:val="center"/>
            <w:hideMark/>
          </w:tcPr>
          <w:p w14:paraId="519C0EA8"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1.953,4</w:t>
            </w:r>
          </w:p>
        </w:tc>
        <w:tc>
          <w:tcPr>
            <w:tcW w:w="917" w:type="dxa"/>
            <w:shd w:val="clear" w:color="000000" w:fill="D5DCE4"/>
            <w:noWrap/>
            <w:vAlign w:val="center"/>
            <w:hideMark/>
          </w:tcPr>
          <w:p w14:paraId="6AEB2B8E"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-553,0</w:t>
            </w:r>
          </w:p>
        </w:tc>
        <w:tc>
          <w:tcPr>
            <w:tcW w:w="992" w:type="dxa"/>
            <w:shd w:val="clear" w:color="000000" w:fill="D5DCE4"/>
            <w:noWrap/>
            <w:vAlign w:val="center"/>
            <w:hideMark/>
          </w:tcPr>
          <w:p w14:paraId="5AF2CF56"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609,8</w:t>
            </w:r>
          </w:p>
        </w:tc>
      </w:tr>
      <w:tr w:rsidR="00911520" w:rsidRPr="001F4553" w14:paraId="033577B8" w14:textId="77777777" w:rsidTr="00665626">
        <w:trPr>
          <w:gridAfter w:val="1"/>
          <w:wAfter w:w="6" w:type="dxa"/>
          <w:cantSplit/>
          <w:trHeight w:val="184"/>
          <w:jc w:val="center"/>
        </w:trPr>
        <w:tc>
          <w:tcPr>
            <w:tcW w:w="557" w:type="dxa"/>
            <w:noWrap/>
            <w:vAlign w:val="center"/>
            <w:hideMark/>
          </w:tcPr>
          <w:p w14:paraId="61932B70"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II.1</w:t>
            </w:r>
          </w:p>
        </w:tc>
        <w:tc>
          <w:tcPr>
            <w:tcW w:w="4134" w:type="dxa"/>
            <w:noWrap/>
            <w:vAlign w:val="center"/>
            <w:hideMark/>
          </w:tcPr>
          <w:p w14:paraId="65F651DC"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Εισπράξεις</w:t>
            </w:r>
          </w:p>
        </w:tc>
        <w:tc>
          <w:tcPr>
            <w:tcW w:w="928" w:type="dxa"/>
            <w:noWrap/>
            <w:vAlign w:val="center"/>
            <w:hideMark/>
          </w:tcPr>
          <w:p w14:paraId="35AF4D86"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3.857,0</w:t>
            </w:r>
          </w:p>
        </w:tc>
        <w:tc>
          <w:tcPr>
            <w:tcW w:w="928" w:type="dxa"/>
            <w:noWrap/>
            <w:vAlign w:val="center"/>
            <w:hideMark/>
          </w:tcPr>
          <w:p w14:paraId="213DD70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3.367,7</w:t>
            </w:r>
          </w:p>
        </w:tc>
        <w:tc>
          <w:tcPr>
            <w:tcW w:w="982" w:type="dxa"/>
            <w:noWrap/>
            <w:vAlign w:val="center"/>
            <w:hideMark/>
          </w:tcPr>
          <w:p w14:paraId="5C6F4770"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947,3</w:t>
            </w:r>
          </w:p>
        </w:tc>
        <w:tc>
          <w:tcPr>
            <w:tcW w:w="936" w:type="dxa"/>
            <w:noWrap/>
            <w:vAlign w:val="center"/>
            <w:hideMark/>
          </w:tcPr>
          <w:p w14:paraId="3414855B"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2.278,8</w:t>
            </w:r>
          </w:p>
        </w:tc>
        <w:tc>
          <w:tcPr>
            <w:tcW w:w="917" w:type="dxa"/>
            <w:noWrap/>
            <w:vAlign w:val="center"/>
            <w:hideMark/>
          </w:tcPr>
          <w:p w14:paraId="124CBC98"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269,3</w:t>
            </w:r>
          </w:p>
        </w:tc>
        <w:tc>
          <w:tcPr>
            <w:tcW w:w="992" w:type="dxa"/>
            <w:noWrap/>
            <w:vAlign w:val="center"/>
            <w:hideMark/>
          </w:tcPr>
          <w:p w14:paraId="24EBC01A"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1.800,2</w:t>
            </w:r>
          </w:p>
        </w:tc>
      </w:tr>
      <w:tr w:rsidR="00911520" w:rsidRPr="0041454E" w14:paraId="26DE96B9" w14:textId="77777777" w:rsidTr="00665626">
        <w:trPr>
          <w:gridAfter w:val="1"/>
          <w:wAfter w:w="6" w:type="dxa"/>
          <w:cantSplit/>
          <w:trHeight w:val="194"/>
          <w:jc w:val="center"/>
        </w:trPr>
        <w:tc>
          <w:tcPr>
            <w:tcW w:w="557" w:type="dxa"/>
            <w:noWrap/>
            <w:vAlign w:val="center"/>
            <w:hideMark/>
          </w:tcPr>
          <w:p w14:paraId="353E9241" w14:textId="5CC5C651"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3C7D9B3C"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Γενική Κυβέρνηση</w:t>
            </w:r>
          </w:p>
        </w:tc>
        <w:tc>
          <w:tcPr>
            <w:tcW w:w="928" w:type="dxa"/>
            <w:noWrap/>
            <w:vAlign w:val="center"/>
            <w:hideMark/>
          </w:tcPr>
          <w:p w14:paraId="39B9328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2.523,2</w:t>
            </w:r>
          </w:p>
        </w:tc>
        <w:tc>
          <w:tcPr>
            <w:tcW w:w="928" w:type="dxa"/>
            <w:noWrap/>
            <w:vAlign w:val="center"/>
            <w:hideMark/>
          </w:tcPr>
          <w:p w14:paraId="10D5185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2.824,7</w:t>
            </w:r>
          </w:p>
        </w:tc>
        <w:tc>
          <w:tcPr>
            <w:tcW w:w="982" w:type="dxa"/>
            <w:noWrap/>
            <w:vAlign w:val="center"/>
            <w:hideMark/>
          </w:tcPr>
          <w:p w14:paraId="5A12FE7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638,8</w:t>
            </w:r>
          </w:p>
        </w:tc>
        <w:tc>
          <w:tcPr>
            <w:tcW w:w="936" w:type="dxa"/>
            <w:noWrap/>
            <w:vAlign w:val="center"/>
            <w:hideMark/>
          </w:tcPr>
          <w:p w14:paraId="25B9250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1.765,8</w:t>
            </w:r>
          </w:p>
        </w:tc>
        <w:tc>
          <w:tcPr>
            <w:tcW w:w="917" w:type="dxa"/>
            <w:noWrap/>
            <w:vAlign w:val="center"/>
            <w:hideMark/>
          </w:tcPr>
          <w:p w14:paraId="4ACE327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89,0</w:t>
            </w:r>
          </w:p>
        </w:tc>
        <w:tc>
          <w:tcPr>
            <w:tcW w:w="992" w:type="dxa"/>
            <w:noWrap/>
            <w:vAlign w:val="center"/>
            <w:hideMark/>
          </w:tcPr>
          <w:p w14:paraId="6371FC0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1.341,2</w:t>
            </w:r>
          </w:p>
        </w:tc>
      </w:tr>
      <w:tr w:rsidR="00911520" w:rsidRPr="0041454E" w14:paraId="1407D859" w14:textId="77777777" w:rsidTr="00665626">
        <w:trPr>
          <w:gridAfter w:val="1"/>
          <w:wAfter w:w="6" w:type="dxa"/>
          <w:cantSplit/>
          <w:trHeight w:val="184"/>
          <w:jc w:val="center"/>
        </w:trPr>
        <w:tc>
          <w:tcPr>
            <w:tcW w:w="557" w:type="dxa"/>
            <w:noWrap/>
            <w:vAlign w:val="center"/>
            <w:hideMark/>
          </w:tcPr>
          <w:p w14:paraId="44490C8D" w14:textId="2A560A5D"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417352CA"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Λοιποί τομείς</w:t>
            </w:r>
          </w:p>
        </w:tc>
        <w:tc>
          <w:tcPr>
            <w:tcW w:w="928" w:type="dxa"/>
            <w:noWrap/>
            <w:vAlign w:val="center"/>
            <w:hideMark/>
          </w:tcPr>
          <w:p w14:paraId="003BF9D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1.333,7</w:t>
            </w:r>
          </w:p>
        </w:tc>
        <w:tc>
          <w:tcPr>
            <w:tcW w:w="928" w:type="dxa"/>
            <w:noWrap/>
            <w:vAlign w:val="center"/>
            <w:hideMark/>
          </w:tcPr>
          <w:p w14:paraId="17ED24A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543,0</w:t>
            </w:r>
          </w:p>
        </w:tc>
        <w:tc>
          <w:tcPr>
            <w:tcW w:w="982" w:type="dxa"/>
            <w:noWrap/>
            <w:vAlign w:val="center"/>
            <w:hideMark/>
          </w:tcPr>
          <w:p w14:paraId="7FA4935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308,5</w:t>
            </w:r>
          </w:p>
        </w:tc>
        <w:tc>
          <w:tcPr>
            <w:tcW w:w="936" w:type="dxa"/>
            <w:noWrap/>
            <w:vAlign w:val="center"/>
            <w:hideMark/>
          </w:tcPr>
          <w:p w14:paraId="67B5ED1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512,9</w:t>
            </w:r>
          </w:p>
        </w:tc>
        <w:tc>
          <w:tcPr>
            <w:tcW w:w="917" w:type="dxa"/>
            <w:noWrap/>
            <w:vAlign w:val="center"/>
            <w:hideMark/>
          </w:tcPr>
          <w:p w14:paraId="4955987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180,3</w:t>
            </w:r>
          </w:p>
        </w:tc>
        <w:tc>
          <w:tcPr>
            <w:tcW w:w="992" w:type="dxa"/>
            <w:noWrap/>
            <w:vAlign w:val="center"/>
            <w:hideMark/>
          </w:tcPr>
          <w:p w14:paraId="73C6286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459,0</w:t>
            </w:r>
          </w:p>
        </w:tc>
      </w:tr>
      <w:tr w:rsidR="00911520" w:rsidRPr="001F4553" w14:paraId="4A9EC090" w14:textId="77777777" w:rsidTr="00665626">
        <w:trPr>
          <w:gridAfter w:val="1"/>
          <w:wAfter w:w="6" w:type="dxa"/>
          <w:cantSplit/>
          <w:trHeight w:val="184"/>
          <w:jc w:val="center"/>
        </w:trPr>
        <w:tc>
          <w:tcPr>
            <w:tcW w:w="557" w:type="dxa"/>
            <w:noWrap/>
            <w:vAlign w:val="center"/>
            <w:hideMark/>
          </w:tcPr>
          <w:p w14:paraId="0C039059"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II.2</w:t>
            </w:r>
          </w:p>
        </w:tc>
        <w:tc>
          <w:tcPr>
            <w:tcW w:w="4134" w:type="dxa"/>
            <w:noWrap/>
            <w:vAlign w:val="center"/>
            <w:hideMark/>
          </w:tcPr>
          <w:p w14:paraId="7FC55AC7"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Πληρωμές</w:t>
            </w:r>
          </w:p>
        </w:tc>
        <w:tc>
          <w:tcPr>
            <w:tcW w:w="928" w:type="dxa"/>
            <w:noWrap/>
            <w:vAlign w:val="center"/>
            <w:hideMark/>
          </w:tcPr>
          <w:p w14:paraId="51388A30"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745,3</w:t>
            </w:r>
          </w:p>
        </w:tc>
        <w:tc>
          <w:tcPr>
            <w:tcW w:w="928" w:type="dxa"/>
            <w:noWrap/>
            <w:vAlign w:val="center"/>
            <w:hideMark/>
          </w:tcPr>
          <w:p w14:paraId="011A440F"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690,8</w:t>
            </w:r>
          </w:p>
        </w:tc>
        <w:tc>
          <w:tcPr>
            <w:tcW w:w="982" w:type="dxa"/>
            <w:noWrap/>
            <w:vAlign w:val="center"/>
            <w:hideMark/>
          </w:tcPr>
          <w:p w14:paraId="67B1A726"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968,3</w:t>
            </w:r>
          </w:p>
        </w:tc>
        <w:tc>
          <w:tcPr>
            <w:tcW w:w="936" w:type="dxa"/>
            <w:noWrap/>
            <w:vAlign w:val="center"/>
            <w:hideMark/>
          </w:tcPr>
          <w:p w14:paraId="25664362"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325,4</w:t>
            </w:r>
          </w:p>
        </w:tc>
        <w:tc>
          <w:tcPr>
            <w:tcW w:w="917" w:type="dxa"/>
            <w:noWrap/>
            <w:vAlign w:val="center"/>
            <w:hideMark/>
          </w:tcPr>
          <w:p w14:paraId="5F33DF17"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822,3</w:t>
            </w:r>
          </w:p>
        </w:tc>
        <w:tc>
          <w:tcPr>
            <w:tcW w:w="992" w:type="dxa"/>
            <w:noWrap/>
            <w:vAlign w:val="center"/>
            <w:hideMark/>
          </w:tcPr>
          <w:p w14:paraId="6402630C"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1.190,4</w:t>
            </w:r>
          </w:p>
        </w:tc>
      </w:tr>
      <w:tr w:rsidR="00911520" w:rsidRPr="0041454E" w14:paraId="6A995EF8" w14:textId="77777777" w:rsidTr="00665626">
        <w:trPr>
          <w:gridAfter w:val="1"/>
          <w:wAfter w:w="6" w:type="dxa"/>
          <w:cantSplit/>
          <w:trHeight w:val="194"/>
          <w:jc w:val="center"/>
        </w:trPr>
        <w:tc>
          <w:tcPr>
            <w:tcW w:w="557" w:type="dxa"/>
            <w:noWrap/>
            <w:vAlign w:val="center"/>
            <w:hideMark/>
          </w:tcPr>
          <w:p w14:paraId="474E4228" w14:textId="41D84BB4"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204CDD50"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Γενική Κυβέρνηση</w:t>
            </w:r>
          </w:p>
        </w:tc>
        <w:tc>
          <w:tcPr>
            <w:tcW w:w="928" w:type="dxa"/>
            <w:noWrap/>
            <w:vAlign w:val="center"/>
            <w:hideMark/>
          </w:tcPr>
          <w:p w14:paraId="3FD3054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7,2</w:t>
            </w:r>
          </w:p>
        </w:tc>
        <w:tc>
          <w:tcPr>
            <w:tcW w:w="928" w:type="dxa"/>
            <w:noWrap/>
            <w:vAlign w:val="center"/>
            <w:hideMark/>
          </w:tcPr>
          <w:p w14:paraId="1D7F408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7,0</w:t>
            </w:r>
          </w:p>
        </w:tc>
        <w:tc>
          <w:tcPr>
            <w:tcW w:w="982" w:type="dxa"/>
            <w:noWrap/>
            <w:vAlign w:val="center"/>
            <w:hideMark/>
          </w:tcPr>
          <w:p w14:paraId="35DA4D0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7,2</w:t>
            </w:r>
          </w:p>
        </w:tc>
        <w:tc>
          <w:tcPr>
            <w:tcW w:w="936" w:type="dxa"/>
            <w:noWrap/>
            <w:vAlign w:val="center"/>
            <w:hideMark/>
          </w:tcPr>
          <w:p w14:paraId="12CB1B2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4,8</w:t>
            </w:r>
          </w:p>
        </w:tc>
        <w:tc>
          <w:tcPr>
            <w:tcW w:w="917" w:type="dxa"/>
            <w:noWrap/>
            <w:vAlign w:val="center"/>
            <w:hideMark/>
          </w:tcPr>
          <w:p w14:paraId="14DCA34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4,7</w:t>
            </w:r>
          </w:p>
        </w:tc>
        <w:tc>
          <w:tcPr>
            <w:tcW w:w="992" w:type="dxa"/>
            <w:noWrap/>
            <w:vAlign w:val="center"/>
            <w:hideMark/>
          </w:tcPr>
          <w:p w14:paraId="6F715A1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4,6</w:t>
            </w:r>
          </w:p>
        </w:tc>
      </w:tr>
      <w:tr w:rsidR="00911520" w:rsidRPr="0041454E" w14:paraId="2F88A316" w14:textId="77777777" w:rsidTr="00665626">
        <w:trPr>
          <w:gridAfter w:val="1"/>
          <w:wAfter w:w="6" w:type="dxa"/>
          <w:cantSplit/>
          <w:trHeight w:val="184"/>
          <w:jc w:val="center"/>
        </w:trPr>
        <w:tc>
          <w:tcPr>
            <w:tcW w:w="557" w:type="dxa"/>
            <w:noWrap/>
            <w:vAlign w:val="center"/>
            <w:hideMark/>
          </w:tcPr>
          <w:p w14:paraId="18DD48CE" w14:textId="21DD21E4"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7C3ED236"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Λοιποί τομείς</w:t>
            </w:r>
          </w:p>
        </w:tc>
        <w:tc>
          <w:tcPr>
            <w:tcW w:w="928" w:type="dxa"/>
            <w:noWrap/>
            <w:vAlign w:val="center"/>
            <w:hideMark/>
          </w:tcPr>
          <w:p w14:paraId="1113577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738,1</w:t>
            </w:r>
          </w:p>
        </w:tc>
        <w:tc>
          <w:tcPr>
            <w:tcW w:w="928" w:type="dxa"/>
            <w:noWrap/>
            <w:vAlign w:val="center"/>
            <w:hideMark/>
          </w:tcPr>
          <w:p w14:paraId="2E0FD8E2"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683,8</w:t>
            </w:r>
          </w:p>
        </w:tc>
        <w:tc>
          <w:tcPr>
            <w:tcW w:w="982" w:type="dxa"/>
            <w:noWrap/>
            <w:vAlign w:val="center"/>
            <w:hideMark/>
          </w:tcPr>
          <w:p w14:paraId="31002FB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961,1</w:t>
            </w:r>
          </w:p>
        </w:tc>
        <w:tc>
          <w:tcPr>
            <w:tcW w:w="936" w:type="dxa"/>
            <w:noWrap/>
            <w:vAlign w:val="center"/>
            <w:hideMark/>
          </w:tcPr>
          <w:p w14:paraId="6F33629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320,6</w:t>
            </w:r>
          </w:p>
        </w:tc>
        <w:tc>
          <w:tcPr>
            <w:tcW w:w="917" w:type="dxa"/>
            <w:noWrap/>
            <w:vAlign w:val="center"/>
            <w:hideMark/>
          </w:tcPr>
          <w:p w14:paraId="215AE06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817,5</w:t>
            </w:r>
          </w:p>
        </w:tc>
        <w:tc>
          <w:tcPr>
            <w:tcW w:w="992" w:type="dxa"/>
            <w:noWrap/>
            <w:vAlign w:val="center"/>
            <w:hideMark/>
          </w:tcPr>
          <w:p w14:paraId="366082D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1.185,8</w:t>
            </w:r>
          </w:p>
        </w:tc>
      </w:tr>
      <w:tr w:rsidR="00911520" w:rsidRPr="00016CF7" w14:paraId="53331DBC" w14:textId="77777777" w:rsidTr="00665626">
        <w:trPr>
          <w:gridAfter w:val="1"/>
          <w:wAfter w:w="6" w:type="dxa"/>
          <w:cantSplit/>
          <w:trHeight w:val="194"/>
          <w:jc w:val="center"/>
        </w:trPr>
        <w:tc>
          <w:tcPr>
            <w:tcW w:w="557" w:type="dxa"/>
            <w:noWrap/>
            <w:vAlign w:val="center"/>
            <w:hideMark/>
          </w:tcPr>
          <w:p w14:paraId="27E55E2F" w14:textId="3B69F814" w:rsidR="00911520" w:rsidRPr="00016CF7" w:rsidRDefault="00911520" w:rsidP="00B25FC4">
            <w:pPr>
              <w:spacing w:after="0" w:line="240" w:lineRule="auto"/>
              <w:jc w:val="left"/>
              <w:rPr>
                <w:rFonts w:cs="Arial"/>
                <w:color w:val="000000"/>
                <w:sz w:val="16"/>
                <w:szCs w:val="16"/>
              </w:rPr>
            </w:pPr>
          </w:p>
        </w:tc>
        <w:tc>
          <w:tcPr>
            <w:tcW w:w="4134" w:type="dxa"/>
            <w:vAlign w:val="center"/>
            <w:hideMark/>
          </w:tcPr>
          <w:p w14:paraId="255AE6BA" w14:textId="4DD62EF0"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Ισοζύγιο Τρεχουσών Συν/γων και Κεφαλαίων (Ι + ΙΙ)</w:t>
            </w:r>
          </w:p>
        </w:tc>
        <w:tc>
          <w:tcPr>
            <w:tcW w:w="928" w:type="dxa"/>
            <w:noWrap/>
            <w:vAlign w:val="center"/>
            <w:hideMark/>
          </w:tcPr>
          <w:p w14:paraId="2B522325"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-19.136,0</w:t>
            </w:r>
          </w:p>
        </w:tc>
        <w:tc>
          <w:tcPr>
            <w:tcW w:w="928" w:type="dxa"/>
            <w:noWrap/>
            <w:vAlign w:val="center"/>
            <w:hideMark/>
          </w:tcPr>
          <w:p w14:paraId="091B176A"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-12.604,5</w:t>
            </w:r>
          </w:p>
        </w:tc>
        <w:tc>
          <w:tcPr>
            <w:tcW w:w="982" w:type="dxa"/>
            <w:noWrap/>
            <w:vAlign w:val="center"/>
            <w:hideMark/>
          </w:tcPr>
          <w:p w14:paraId="6F5DF03B"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-16.964,6</w:t>
            </w:r>
          </w:p>
        </w:tc>
        <w:tc>
          <w:tcPr>
            <w:tcW w:w="936" w:type="dxa"/>
            <w:noWrap/>
            <w:vAlign w:val="center"/>
            <w:hideMark/>
          </w:tcPr>
          <w:p w14:paraId="01D60684"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-5.210,1</w:t>
            </w:r>
          </w:p>
        </w:tc>
        <w:tc>
          <w:tcPr>
            <w:tcW w:w="917" w:type="dxa"/>
            <w:noWrap/>
            <w:vAlign w:val="center"/>
            <w:hideMark/>
          </w:tcPr>
          <w:p w14:paraId="0AC4ABD5"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-9.297,1</w:t>
            </w:r>
          </w:p>
        </w:tc>
        <w:tc>
          <w:tcPr>
            <w:tcW w:w="992" w:type="dxa"/>
            <w:noWrap/>
            <w:vAlign w:val="center"/>
            <w:hideMark/>
          </w:tcPr>
          <w:p w14:paraId="3600AE7F"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-6.006,2</w:t>
            </w:r>
          </w:p>
        </w:tc>
      </w:tr>
      <w:tr w:rsidR="00911520" w:rsidRPr="00016CF7" w14:paraId="33332AEE" w14:textId="77777777" w:rsidTr="00665626">
        <w:trPr>
          <w:gridAfter w:val="1"/>
          <w:wAfter w:w="6" w:type="dxa"/>
          <w:cantSplit/>
          <w:trHeight w:val="184"/>
          <w:jc w:val="center"/>
        </w:trPr>
        <w:tc>
          <w:tcPr>
            <w:tcW w:w="557" w:type="dxa"/>
            <w:shd w:val="clear" w:color="000000" w:fill="D5DCE4"/>
            <w:noWrap/>
            <w:vAlign w:val="center"/>
            <w:hideMark/>
          </w:tcPr>
          <w:p w14:paraId="6B089D85" w14:textId="50091B9E" w:rsidR="00911520" w:rsidRPr="002E3825" w:rsidRDefault="00911520" w:rsidP="00B25FC4">
            <w:pPr>
              <w:spacing w:after="0" w:line="240" w:lineRule="auto"/>
              <w:jc w:val="left"/>
              <w:rPr>
                <w:rFonts w:cs="Arial"/>
                <w:b/>
                <w:bCs/>
                <w:color w:val="000000"/>
                <w:sz w:val="16"/>
                <w:szCs w:val="16"/>
                <w:lang w:val="en-US"/>
              </w:rPr>
            </w:pPr>
            <w:r w:rsidRPr="00016CF7">
              <w:rPr>
                <w:rFonts w:cs="Arial"/>
                <w:b/>
                <w:bCs/>
                <w:sz w:val="16"/>
                <w:szCs w:val="16"/>
              </w:rPr>
              <w:t>ΙII</w:t>
            </w:r>
            <w:r w:rsidR="002E3825">
              <w:rPr>
                <w:rFonts w:cs="Arial"/>
                <w:b/>
                <w:bCs/>
                <w:sz w:val="16"/>
                <w:szCs w:val="16"/>
                <w:lang w:val="en-US"/>
              </w:rPr>
              <w:t>.</w:t>
            </w:r>
          </w:p>
        </w:tc>
        <w:tc>
          <w:tcPr>
            <w:tcW w:w="4134" w:type="dxa"/>
            <w:shd w:val="clear" w:color="000000" w:fill="D5DCE4"/>
            <w:noWrap/>
            <w:vAlign w:val="center"/>
            <w:hideMark/>
          </w:tcPr>
          <w:p w14:paraId="448FEA8E" w14:textId="77777777" w:rsidR="00911520" w:rsidRPr="00016CF7" w:rsidRDefault="00911520" w:rsidP="00B25FC4">
            <w:pPr>
              <w:spacing w:after="0" w:line="240" w:lineRule="auto"/>
              <w:jc w:val="left"/>
              <w:rPr>
                <w:rFonts w:cs="Arial"/>
                <w:b/>
                <w:bCs/>
                <w:color w:val="000000"/>
                <w:sz w:val="16"/>
                <w:szCs w:val="16"/>
              </w:rPr>
            </w:pPr>
            <w:r w:rsidRPr="00016CF7">
              <w:rPr>
                <w:rFonts w:cs="Arial"/>
                <w:b/>
                <w:bCs/>
                <w:sz w:val="16"/>
                <w:szCs w:val="16"/>
              </w:rPr>
              <w:t>Ισοζύγιο Χρηματοοικονομικών Συναλλαγών</w:t>
            </w:r>
          </w:p>
        </w:tc>
        <w:tc>
          <w:tcPr>
            <w:tcW w:w="928" w:type="dxa"/>
            <w:shd w:val="clear" w:color="000000" w:fill="D5DCE4"/>
            <w:noWrap/>
            <w:vAlign w:val="center"/>
            <w:hideMark/>
          </w:tcPr>
          <w:p w14:paraId="60263183"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-17.152,0</w:t>
            </w:r>
          </w:p>
        </w:tc>
        <w:tc>
          <w:tcPr>
            <w:tcW w:w="928" w:type="dxa"/>
            <w:shd w:val="clear" w:color="000000" w:fill="D5DCE4"/>
            <w:noWrap/>
            <w:vAlign w:val="center"/>
            <w:hideMark/>
          </w:tcPr>
          <w:p w14:paraId="344645F5"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-10.329,3</w:t>
            </w:r>
          </w:p>
        </w:tc>
        <w:tc>
          <w:tcPr>
            <w:tcW w:w="982" w:type="dxa"/>
            <w:shd w:val="clear" w:color="000000" w:fill="D5DCE4"/>
            <w:noWrap/>
            <w:vAlign w:val="center"/>
            <w:hideMark/>
          </w:tcPr>
          <w:p w14:paraId="06F699E8"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-14.628,4</w:t>
            </w:r>
          </w:p>
        </w:tc>
        <w:tc>
          <w:tcPr>
            <w:tcW w:w="936" w:type="dxa"/>
            <w:shd w:val="clear" w:color="000000" w:fill="D5DCE4"/>
            <w:noWrap/>
            <w:vAlign w:val="center"/>
            <w:hideMark/>
          </w:tcPr>
          <w:p w14:paraId="3D7AFADA"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-3.240,7</w:t>
            </w:r>
          </w:p>
        </w:tc>
        <w:tc>
          <w:tcPr>
            <w:tcW w:w="917" w:type="dxa"/>
            <w:shd w:val="clear" w:color="000000" w:fill="D5DCE4"/>
            <w:noWrap/>
            <w:vAlign w:val="center"/>
            <w:hideMark/>
          </w:tcPr>
          <w:p w14:paraId="31F63F0F"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-7.289,1</w:t>
            </w:r>
          </w:p>
        </w:tc>
        <w:tc>
          <w:tcPr>
            <w:tcW w:w="992" w:type="dxa"/>
            <w:shd w:val="clear" w:color="000000" w:fill="D5DCE4"/>
            <w:noWrap/>
            <w:vAlign w:val="center"/>
            <w:hideMark/>
          </w:tcPr>
          <w:p w14:paraId="4EDDEF53"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-4.812,7</w:t>
            </w:r>
          </w:p>
        </w:tc>
      </w:tr>
      <w:tr w:rsidR="00911520" w:rsidRPr="00016CF7" w14:paraId="37D71A41" w14:textId="77777777" w:rsidTr="00665626">
        <w:trPr>
          <w:gridAfter w:val="1"/>
          <w:wAfter w:w="6" w:type="dxa"/>
          <w:cantSplit/>
          <w:trHeight w:val="184"/>
          <w:jc w:val="center"/>
        </w:trPr>
        <w:tc>
          <w:tcPr>
            <w:tcW w:w="557" w:type="dxa"/>
            <w:shd w:val="clear" w:color="000000" w:fill="D5DCE4"/>
            <w:noWrap/>
            <w:vAlign w:val="center"/>
            <w:hideMark/>
          </w:tcPr>
          <w:p w14:paraId="4D02B5E4" w14:textId="6B5EDF58" w:rsidR="00911520" w:rsidRPr="00016CF7" w:rsidRDefault="00911520" w:rsidP="00B25FC4">
            <w:pPr>
              <w:spacing w:after="0" w:line="240" w:lineRule="auto"/>
              <w:jc w:val="left"/>
              <w:rPr>
                <w:rFonts w:cs="Arial"/>
                <w:b/>
                <w:bCs/>
                <w:color w:val="000000"/>
                <w:sz w:val="16"/>
                <w:szCs w:val="16"/>
              </w:rPr>
            </w:pPr>
          </w:p>
        </w:tc>
        <w:tc>
          <w:tcPr>
            <w:tcW w:w="4134" w:type="dxa"/>
            <w:shd w:val="clear" w:color="000000" w:fill="D5DCE4"/>
            <w:noWrap/>
            <w:vAlign w:val="center"/>
            <w:hideMark/>
          </w:tcPr>
          <w:p w14:paraId="7C08C5F7" w14:textId="77777777" w:rsidR="00911520" w:rsidRPr="00016CF7" w:rsidRDefault="00911520" w:rsidP="00B25FC4">
            <w:pPr>
              <w:spacing w:after="0" w:line="240" w:lineRule="auto"/>
              <w:jc w:val="left"/>
              <w:rPr>
                <w:rFonts w:cs="Arial"/>
                <w:b/>
                <w:bCs/>
                <w:color w:val="000000"/>
                <w:sz w:val="16"/>
                <w:szCs w:val="16"/>
              </w:rPr>
            </w:pPr>
            <w:r w:rsidRPr="00016CF7">
              <w:rPr>
                <w:rFonts w:cs="Arial"/>
                <w:b/>
                <w:bCs/>
                <w:sz w:val="16"/>
                <w:szCs w:val="16"/>
              </w:rPr>
              <w:t>(ΙII.Α + III.Β + ΙII.Γ + III.Δ)</w:t>
            </w:r>
          </w:p>
        </w:tc>
        <w:tc>
          <w:tcPr>
            <w:tcW w:w="928" w:type="dxa"/>
            <w:shd w:val="clear" w:color="000000" w:fill="D5DCE4"/>
            <w:noWrap/>
            <w:vAlign w:val="center"/>
            <w:hideMark/>
          </w:tcPr>
          <w:p w14:paraId="779F8246" w14:textId="51D6DCB5" w:rsidR="00911520" w:rsidRPr="00016CF7" w:rsidRDefault="00911520" w:rsidP="00B25FC4">
            <w:pPr>
              <w:spacing w:after="0" w:line="240" w:lineRule="auto"/>
              <w:jc w:val="right"/>
              <w:rPr>
                <w:rFonts w:cs="Arial"/>
                <w:b/>
                <w:bCs/>
                <w:color w:val="000000"/>
                <w:sz w:val="16"/>
                <w:szCs w:val="16"/>
              </w:rPr>
            </w:pPr>
          </w:p>
        </w:tc>
        <w:tc>
          <w:tcPr>
            <w:tcW w:w="928" w:type="dxa"/>
            <w:shd w:val="clear" w:color="000000" w:fill="D5DCE4"/>
            <w:noWrap/>
            <w:vAlign w:val="center"/>
            <w:hideMark/>
          </w:tcPr>
          <w:p w14:paraId="3D55A6D9" w14:textId="3ADDE24C" w:rsidR="00911520" w:rsidRPr="00016CF7" w:rsidRDefault="00911520" w:rsidP="00B25FC4">
            <w:pPr>
              <w:spacing w:after="0" w:line="240" w:lineRule="auto"/>
              <w:jc w:val="right"/>
              <w:rPr>
                <w:rFonts w:cs="Arial"/>
                <w:b/>
                <w:bCs/>
                <w:color w:val="000000"/>
                <w:sz w:val="16"/>
                <w:szCs w:val="16"/>
              </w:rPr>
            </w:pPr>
          </w:p>
        </w:tc>
        <w:tc>
          <w:tcPr>
            <w:tcW w:w="982" w:type="dxa"/>
            <w:shd w:val="clear" w:color="000000" w:fill="D5DCE4"/>
            <w:noWrap/>
            <w:vAlign w:val="center"/>
            <w:hideMark/>
          </w:tcPr>
          <w:p w14:paraId="19EEB092" w14:textId="6D3F4F94" w:rsidR="00911520" w:rsidRPr="00016CF7" w:rsidRDefault="00911520" w:rsidP="00B25FC4">
            <w:pPr>
              <w:spacing w:after="0" w:line="240" w:lineRule="auto"/>
              <w:jc w:val="right"/>
              <w:rPr>
                <w:rFonts w:cs="Arial"/>
                <w:b/>
                <w:bCs/>
                <w:color w:val="000000"/>
                <w:sz w:val="16"/>
                <w:szCs w:val="16"/>
              </w:rPr>
            </w:pPr>
          </w:p>
        </w:tc>
        <w:tc>
          <w:tcPr>
            <w:tcW w:w="936" w:type="dxa"/>
            <w:shd w:val="clear" w:color="000000" w:fill="D5DCE4"/>
            <w:noWrap/>
            <w:vAlign w:val="center"/>
            <w:hideMark/>
          </w:tcPr>
          <w:p w14:paraId="74F88D6E" w14:textId="30DCD608" w:rsidR="00911520" w:rsidRPr="00016CF7" w:rsidRDefault="00911520" w:rsidP="00B25FC4">
            <w:pPr>
              <w:spacing w:after="0" w:line="240" w:lineRule="auto"/>
              <w:jc w:val="right"/>
              <w:rPr>
                <w:rFonts w:cs="Arial"/>
                <w:b/>
                <w:bCs/>
                <w:color w:val="000000"/>
                <w:sz w:val="16"/>
                <w:szCs w:val="16"/>
              </w:rPr>
            </w:pPr>
          </w:p>
        </w:tc>
        <w:tc>
          <w:tcPr>
            <w:tcW w:w="917" w:type="dxa"/>
            <w:shd w:val="clear" w:color="000000" w:fill="D5DCE4"/>
            <w:noWrap/>
            <w:vAlign w:val="center"/>
            <w:hideMark/>
          </w:tcPr>
          <w:p w14:paraId="7E569E3B" w14:textId="230BAEB9" w:rsidR="00911520" w:rsidRPr="00016CF7" w:rsidRDefault="00911520" w:rsidP="00B25FC4">
            <w:pPr>
              <w:spacing w:after="0" w:line="240" w:lineRule="auto"/>
              <w:jc w:val="right"/>
              <w:rPr>
                <w:rFonts w:cs="Arial"/>
                <w:b/>
                <w:bCs/>
                <w:color w:val="000000"/>
                <w:sz w:val="16"/>
                <w:szCs w:val="16"/>
              </w:rPr>
            </w:pPr>
          </w:p>
        </w:tc>
        <w:tc>
          <w:tcPr>
            <w:tcW w:w="992" w:type="dxa"/>
            <w:shd w:val="clear" w:color="000000" w:fill="D5DCE4"/>
            <w:noWrap/>
            <w:vAlign w:val="center"/>
            <w:hideMark/>
          </w:tcPr>
          <w:p w14:paraId="5C014594" w14:textId="123AC36E" w:rsidR="00911520" w:rsidRPr="00016CF7" w:rsidRDefault="00911520" w:rsidP="00B25FC4">
            <w:pPr>
              <w:spacing w:after="0" w:line="240" w:lineRule="auto"/>
              <w:jc w:val="right"/>
              <w:rPr>
                <w:rFonts w:cs="Arial"/>
                <w:b/>
                <w:bCs/>
                <w:color w:val="000000"/>
                <w:sz w:val="16"/>
                <w:szCs w:val="16"/>
              </w:rPr>
            </w:pPr>
          </w:p>
        </w:tc>
      </w:tr>
      <w:tr w:rsidR="00911520" w:rsidRPr="001F4553" w14:paraId="438DF2D2" w14:textId="77777777" w:rsidTr="00665626">
        <w:trPr>
          <w:gridAfter w:val="1"/>
          <w:wAfter w:w="6" w:type="dxa"/>
          <w:cantSplit/>
          <w:trHeight w:val="194"/>
          <w:jc w:val="center"/>
        </w:trPr>
        <w:tc>
          <w:tcPr>
            <w:tcW w:w="557" w:type="dxa"/>
            <w:noWrap/>
            <w:vAlign w:val="center"/>
            <w:hideMark/>
          </w:tcPr>
          <w:p w14:paraId="52170122"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ΙII.Α</w:t>
            </w:r>
          </w:p>
        </w:tc>
        <w:tc>
          <w:tcPr>
            <w:tcW w:w="4134" w:type="dxa"/>
            <w:noWrap/>
            <w:vAlign w:val="center"/>
            <w:hideMark/>
          </w:tcPr>
          <w:p w14:paraId="5793672B"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Άμεσες Επενδύσεις</w:t>
            </w:r>
            <w:r w:rsidRPr="001F4553">
              <w:rPr>
                <w:rFonts w:cs="Arial"/>
                <w:b/>
                <w:bCs/>
                <w:color w:val="000000"/>
                <w:sz w:val="16"/>
                <w:szCs w:val="16"/>
                <w:vertAlign w:val="superscript"/>
              </w:rPr>
              <w:t>1</w:t>
            </w:r>
          </w:p>
        </w:tc>
        <w:tc>
          <w:tcPr>
            <w:tcW w:w="928" w:type="dxa"/>
            <w:noWrap/>
            <w:vAlign w:val="center"/>
            <w:hideMark/>
          </w:tcPr>
          <w:p w14:paraId="4CE9B316"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-4.988,9</w:t>
            </w:r>
          </w:p>
        </w:tc>
        <w:tc>
          <w:tcPr>
            <w:tcW w:w="928" w:type="dxa"/>
            <w:noWrap/>
            <w:vAlign w:val="center"/>
            <w:hideMark/>
          </w:tcPr>
          <w:p w14:paraId="3C88445C"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-602,9</w:t>
            </w:r>
          </w:p>
        </w:tc>
        <w:tc>
          <w:tcPr>
            <w:tcW w:w="982" w:type="dxa"/>
            <w:noWrap/>
            <w:vAlign w:val="center"/>
            <w:hideMark/>
          </w:tcPr>
          <w:p w14:paraId="52B35071"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-4.198,9</w:t>
            </w:r>
          </w:p>
        </w:tc>
        <w:tc>
          <w:tcPr>
            <w:tcW w:w="936" w:type="dxa"/>
            <w:noWrap/>
            <w:vAlign w:val="center"/>
            <w:hideMark/>
          </w:tcPr>
          <w:p w14:paraId="4421E2C8"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-2.358,9</w:t>
            </w:r>
          </w:p>
        </w:tc>
        <w:tc>
          <w:tcPr>
            <w:tcW w:w="917" w:type="dxa"/>
            <w:noWrap/>
            <w:vAlign w:val="center"/>
            <w:hideMark/>
          </w:tcPr>
          <w:p w14:paraId="6305E36D"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-1.398,3</w:t>
            </w:r>
          </w:p>
        </w:tc>
        <w:tc>
          <w:tcPr>
            <w:tcW w:w="992" w:type="dxa"/>
            <w:noWrap/>
            <w:vAlign w:val="center"/>
            <w:hideMark/>
          </w:tcPr>
          <w:p w14:paraId="73F2C574"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-5.800,4</w:t>
            </w:r>
          </w:p>
        </w:tc>
      </w:tr>
      <w:tr w:rsidR="00911520" w:rsidRPr="0041454E" w14:paraId="4F16124C" w14:textId="77777777" w:rsidTr="00665626">
        <w:trPr>
          <w:gridAfter w:val="1"/>
          <w:wAfter w:w="6" w:type="dxa"/>
          <w:cantSplit/>
          <w:trHeight w:val="184"/>
          <w:jc w:val="center"/>
        </w:trPr>
        <w:tc>
          <w:tcPr>
            <w:tcW w:w="557" w:type="dxa"/>
            <w:noWrap/>
            <w:vAlign w:val="center"/>
            <w:hideMark/>
          </w:tcPr>
          <w:p w14:paraId="37A9298C" w14:textId="31AB2922"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6FABAFBB"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Απαιτήσεις</w:t>
            </w:r>
          </w:p>
        </w:tc>
        <w:tc>
          <w:tcPr>
            <w:tcW w:w="928" w:type="dxa"/>
            <w:noWrap/>
            <w:vAlign w:val="center"/>
            <w:hideMark/>
          </w:tcPr>
          <w:p w14:paraId="28818AE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2.538,5</w:t>
            </w:r>
          </w:p>
        </w:tc>
        <w:tc>
          <w:tcPr>
            <w:tcW w:w="928" w:type="dxa"/>
            <w:noWrap/>
            <w:vAlign w:val="center"/>
            <w:hideMark/>
          </w:tcPr>
          <w:p w14:paraId="0CBA7E09"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3.757,8</w:t>
            </w:r>
          </w:p>
        </w:tc>
        <w:tc>
          <w:tcPr>
            <w:tcW w:w="982" w:type="dxa"/>
            <w:noWrap/>
            <w:vAlign w:val="center"/>
            <w:hideMark/>
          </w:tcPr>
          <w:p w14:paraId="6981E8F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2.052,4</w:t>
            </w:r>
          </w:p>
        </w:tc>
        <w:tc>
          <w:tcPr>
            <w:tcW w:w="936" w:type="dxa"/>
            <w:noWrap/>
            <w:vAlign w:val="center"/>
            <w:hideMark/>
          </w:tcPr>
          <w:p w14:paraId="37D474A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964,9</w:t>
            </w:r>
          </w:p>
        </w:tc>
        <w:tc>
          <w:tcPr>
            <w:tcW w:w="917" w:type="dxa"/>
            <w:noWrap/>
            <w:vAlign w:val="center"/>
            <w:hideMark/>
          </w:tcPr>
          <w:p w14:paraId="6C8BE15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1.497,8</w:t>
            </w:r>
          </w:p>
        </w:tc>
        <w:tc>
          <w:tcPr>
            <w:tcW w:w="992" w:type="dxa"/>
            <w:noWrap/>
            <w:vAlign w:val="center"/>
            <w:hideMark/>
          </w:tcPr>
          <w:p w14:paraId="4D519D8D"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2.342,1</w:t>
            </w:r>
          </w:p>
        </w:tc>
      </w:tr>
      <w:tr w:rsidR="00911520" w:rsidRPr="0041454E" w14:paraId="028D6F33" w14:textId="77777777" w:rsidTr="00665626">
        <w:trPr>
          <w:gridAfter w:val="1"/>
          <w:wAfter w:w="6" w:type="dxa"/>
          <w:cantSplit/>
          <w:trHeight w:val="194"/>
          <w:jc w:val="center"/>
        </w:trPr>
        <w:tc>
          <w:tcPr>
            <w:tcW w:w="557" w:type="dxa"/>
            <w:noWrap/>
            <w:vAlign w:val="center"/>
            <w:hideMark/>
          </w:tcPr>
          <w:p w14:paraId="1CC8D2EA" w14:textId="0E55C210"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5F5024A9"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Υποχρεώσεις</w:t>
            </w:r>
          </w:p>
        </w:tc>
        <w:tc>
          <w:tcPr>
            <w:tcW w:w="928" w:type="dxa"/>
            <w:noWrap/>
            <w:vAlign w:val="center"/>
            <w:hideMark/>
          </w:tcPr>
          <w:p w14:paraId="209B567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7.527,5</w:t>
            </w:r>
          </w:p>
        </w:tc>
        <w:tc>
          <w:tcPr>
            <w:tcW w:w="928" w:type="dxa"/>
            <w:noWrap/>
            <w:vAlign w:val="center"/>
            <w:hideMark/>
          </w:tcPr>
          <w:p w14:paraId="024FE7E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4.360,7</w:t>
            </w:r>
          </w:p>
        </w:tc>
        <w:tc>
          <w:tcPr>
            <w:tcW w:w="982" w:type="dxa"/>
            <w:noWrap/>
            <w:vAlign w:val="center"/>
            <w:hideMark/>
          </w:tcPr>
          <w:p w14:paraId="4E7F200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6.251,3</w:t>
            </w:r>
          </w:p>
        </w:tc>
        <w:tc>
          <w:tcPr>
            <w:tcW w:w="936" w:type="dxa"/>
            <w:noWrap/>
            <w:vAlign w:val="center"/>
            <w:hideMark/>
          </w:tcPr>
          <w:p w14:paraId="7DFD0B2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3.323,8</w:t>
            </w:r>
          </w:p>
        </w:tc>
        <w:tc>
          <w:tcPr>
            <w:tcW w:w="917" w:type="dxa"/>
            <w:noWrap/>
            <w:vAlign w:val="center"/>
            <w:hideMark/>
          </w:tcPr>
          <w:p w14:paraId="6FA1E11C"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2.896,1</w:t>
            </w:r>
          </w:p>
        </w:tc>
        <w:tc>
          <w:tcPr>
            <w:tcW w:w="992" w:type="dxa"/>
            <w:noWrap/>
            <w:vAlign w:val="center"/>
            <w:hideMark/>
          </w:tcPr>
          <w:p w14:paraId="3045D87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8.142,5</w:t>
            </w:r>
          </w:p>
        </w:tc>
      </w:tr>
      <w:tr w:rsidR="00911520" w:rsidRPr="001F4553" w14:paraId="00C2178E" w14:textId="77777777" w:rsidTr="00665626">
        <w:trPr>
          <w:gridAfter w:val="1"/>
          <w:wAfter w:w="6" w:type="dxa"/>
          <w:cantSplit/>
          <w:trHeight w:val="184"/>
          <w:jc w:val="center"/>
        </w:trPr>
        <w:tc>
          <w:tcPr>
            <w:tcW w:w="557" w:type="dxa"/>
            <w:noWrap/>
            <w:vAlign w:val="center"/>
            <w:hideMark/>
          </w:tcPr>
          <w:p w14:paraId="06EFAC95"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ΙII.Β</w:t>
            </w:r>
          </w:p>
        </w:tc>
        <w:tc>
          <w:tcPr>
            <w:tcW w:w="4134" w:type="dxa"/>
            <w:noWrap/>
            <w:vAlign w:val="center"/>
            <w:hideMark/>
          </w:tcPr>
          <w:p w14:paraId="33BC7453"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Επενδύσεις Χαρτοφυλακίου</w:t>
            </w:r>
            <w:r w:rsidRPr="001F4553">
              <w:rPr>
                <w:rFonts w:cs="Arial"/>
                <w:b/>
                <w:bCs/>
                <w:color w:val="000000"/>
                <w:sz w:val="16"/>
                <w:szCs w:val="16"/>
                <w:vertAlign w:val="superscript"/>
              </w:rPr>
              <w:t>1</w:t>
            </w:r>
          </w:p>
        </w:tc>
        <w:tc>
          <w:tcPr>
            <w:tcW w:w="928" w:type="dxa"/>
            <w:noWrap/>
            <w:vAlign w:val="center"/>
            <w:hideMark/>
          </w:tcPr>
          <w:p w14:paraId="5FC7545B"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8.934,9</w:t>
            </w:r>
          </w:p>
        </w:tc>
        <w:tc>
          <w:tcPr>
            <w:tcW w:w="928" w:type="dxa"/>
            <w:noWrap/>
            <w:vAlign w:val="center"/>
            <w:hideMark/>
          </w:tcPr>
          <w:p w14:paraId="7CFC0B32"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-3.020,4</w:t>
            </w:r>
          </w:p>
        </w:tc>
        <w:tc>
          <w:tcPr>
            <w:tcW w:w="982" w:type="dxa"/>
            <w:noWrap/>
            <w:vAlign w:val="center"/>
            <w:hideMark/>
          </w:tcPr>
          <w:p w14:paraId="6C46877B"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-6.544,0</w:t>
            </w:r>
          </w:p>
        </w:tc>
        <w:tc>
          <w:tcPr>
            <w:tcW w:w="936" w:type="dxa"/>
            <w:noWrap/>
            <w:vAlign w:val="center"/>
            <w:hideMark/>
          </w:tcPr>
          <w:p w14:paraId="68C85F82"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672,3</w:t>
            </w:r>
          </w:p>
        </w:tc>
        <w:tc>
          <w:tcPr>
            <w:tcW w:w="917" w:type="dxa"/>
            <w:noWrap/>
            <w:vAlign w:val="center"/>
            <w:hideMark/>
          </w:tcPr>
          <w:p w14:paraId="6A04F8BB"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-3.147,3</w:t>
            </w:r>
          </w:p>
        </w:tc>
        <w:tc>
          <w:tcPr>
            <w:tcW w:w="992" w:type="dxa"/>
            <w:noWrap/>
            <w:vAlign w:val="center"/>
            <w:hideMark/>
          </w:tcPr>
          <w:p w14:paraId="5BC71D76"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-6.451,9</w:t>
            </w:r>
          </w:p>
        </w:tc>
      </w:tr>
      <w:tr w:rsidR="00911520" w:rsidRPr="0041454E" w14:paraId="172ECEBF" w14:textId="77777777" w:rsidTr="00665626">
        <w:trPr>
          <w:gridAfter w:val="1"/>
          <w:wAfter w:w="6" w:type="dxa"/>
          <w:cantSplit/>
          <w:trHeight w:val="184"/>
          <w:jc w:val="center"/>
        </w:trPr>
        <w:tc>
          <w:tcPr>
            <w:tcW w:w="557" w:type="dxa"/>
            <w:noWrap/>
            <w:vAlign w:val="center"/>
            <w:hideMark/>
          </w:tcPr>
          <w:p w14:paraId="310E5457" w14:textId="0B02A8F2"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0DC65877"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Απαιτήσεις</w:t>
            </w:r>
          </w:p>
        </w:tc>
        <w:tc>
          <w:tcPr>
            <w:tcW w:w="928" w:type="dxa"/>
            <w:noWrap/>
            <w:vAlign w:val="center"/>
            <w:hideMark/>
          </w:tcPr>
          <w:p w14:paraId="0D3C777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10.206,3</w:t>
            </w:r>
          </w:p>
        </w:tc>
        <w:tc>
          <w:tcPr>
            <w:tcW w:w="928" w:type="dxa"/>
            <w:noWrap/>
            <w:vAlign w:val="center"/>
            <w:hideMark/>
          </w:tcPr>
          <w:p w14:paraId="63BF716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2.601,4</w:t>
            </w:r>
          </w:p>
        </w:tc>
        <w:tc>
          <w:tcPr>
            <w:tcW w:w="982" w:type="dxa"/>
            <w:noWrap/>
            <w:vAlign w:val="center"/>
            <w:hideMark/>
          </w:tcPr>
          <w:p w14:paraId="426E267E"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5.460,2</w:t>
            </w:r>
          </w:p>
        </w:tc>
        <w:tc>
          <w:tcPr>
            <w:tcW w:w="936" w:type="dxa"/>
            <w:noWrap/>
            <w:vAlign w:val="center"/>
            <w:hideMark/>
          </w:tcPr>
          <w:p w14:paraId="16C7760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5.498,4</w:t>
            </w:r>
          </w:p>
        </w:tc>
        <w:tc>
          <w:tcPr>
            <w:tcW w:w="917" w:type="dxa"/>
            <w:noWrap/>
            <w:vAlign w:val="center"/>
            <w:hideMark/>
          </w:tcPr>
          <w:p w14:paraId="7D08DF7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4.784,4</w:t>
            </w:r>
          </w:p>
        </w:tc>
        <w:tc>
          <w:tcPr>
            <w:tcW w:w="992" w:type="dxa"/>
            <w:noWrap/>
            <w:vAlign w:val="center"/>
            <w:hideMark/>
          </w:tcPr>
          <w:p w14:paraId="58718CAE"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1.590,1</w:t>
            </w:r>
          </w:p>
        </w:tc>
      </w:tr>
      <w:tr w:rsidR="00911520" w:rsidRPr="0041454E" w14:paraId="39FAAC4F" w14:textId="77777777" w:rsidTr="00665626">
        <w:trPr>
          <w:gridAfter w:val="1"/>
          <w:wAfter w:w="6" w:type="dxa"/>
          <w:cantSplit/>
          <w:trHeight w:val="194"/>
          <w:jc w:val="center"/>
        </w:trPr>
        <w:tc>
          <w:tcPr>
            <w:tcW w:w="557" w:type="dxa"/>
            <w:noWrap/>
            <w:vAlign w:val="center"/>
            <w:hideMark/>
          </w:tcPr>
          <w:p w14:paraId="79BE3F90" w14:textId="00180A2F"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129970C6"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Υποχρεώσεις</w:t>
            </w:r>
          </w:p>
        </w:tc>
        <w:tc>
          <w:tcPr>
            <w:tcW w:w="928" w:type="dxa"/>
            <w:noWrap/>
            <w:vAlign w:val="center"/>
            <w:hideMark/>
          </w:tcPr>
          <w:p w14:paraId="2388205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1.271,4</w:t>
            </w:r>
          </w:p>
        </w:tc>
        <w:tc>
          <w:tcPr>
            <w:tcW w:w="928" w:type="dxa"/>
            <w:noWrap/>
            <w:vAlign w:val="center"/>
            <w:hideMark/>
          </w:tcPr>
          <w:p w14:paraId="384D7D3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5.621,8</w:t>
            </w:r>
          </w:p>
        </w:tc>
        <w:tc>
          <w:tcPr>
            <w:tcW w:w="982" w:type="dxa"/>
            <w:noWrap/>
            <w:vAlign w:val="center"/>
            <w:hideMark/>
          </w:tcPr>
          <w:p w14:paraId="0FC9E8D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12.004,2</w:t>
            </w:r>
          </w:p>
        </w:tc>
        <w:tc>
          <w:tcPr>
            <w:tcW w:w="936" w:type="dxa"/>
            <w:noWrap/>
            <w:vAlign w:val="center"/>
            <w:hideMark/>
          </w:tcPr>
          <w:p w14:paraId="4FF59675"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4.826,1</w:t>
            </w:r>
          </w:p>
        </w:tc>
        <w:tc>
          <w:tcPr>
            <w:tcW w:w="917" w:type="dxa"/>
            <w:noWrap/>
            <w:vAlign w:val="center"/>
            <w:hideMark/>
          </w:tcPr>
          <w:p w14:paraId="1B99DC0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7.931,6</w:t>
            </w:r>
          </w:p>
        </w:tc>
        <w:tc>
          <w:tcPr>
            <w:tcW w:w="992" w:type="dxa"/>
            <w:noWrap/>
            <w:vAlign w:val="center"/>
            <w:hideMark/>
          </w:tcPr>
          <w:p w14:paraId="7899A923"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8.042,0</w:t>
            </w:r>
          </w:p>
        </w:tc>
      </w:tr>
      <w:tr w:rsidR="00911520" w:rsidRPr="001F4553" w14:paraId="65B34177" w14:textId="77777777" w:rsidTr="00665626">
        <w:trPr>
          <w:gridAfter w:val="1"/>
          <w:wAfter w:w="6" w:type="dxa"/>
          <w:cantSplit/>
          <w:trHeight w:val="184"/>
          <w:jc w:val="center"/>
        </w:trPr>
        <w:tc>
          <w:tcPr>
            <w:tcW w:w="557" w:type="dxa"/>
            <w:noWrap/>
            <w:vAlign w:val="center"/>
            <w:hideMark/>
          </w:tcPr>
          <w:p w14:paraId="60B131A2"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ΙII.Γ</w:t>
            </w:r>
          </w:p>
        </w:tc>
        <w:tc>
          <w:tcPr>
            <w:tcW w:w="4134" w:type="dxa"/>
            <w:noWrap/>
            <w:vAlign w:val="center"/>
            <w:hideMark/>
          </w:tcPr>
          <w:p w14:paraId="08C9F304"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Λοιπές Επενδύσεις</w:t>
            </w:r>
            <w:r w:rsidRPr="001F4553">
              <w:rPr>
                <w:rFonts w:cs="Arial"/>
                <w:b/>
                <w:bCs/>
                <w:color w:val="000000"/>
                <w:sz w:val="16"/>
                <w:szCs w:val="16"/>
                <w:vertAlign w:val="superscript"/>
              </w:rPr>
              <w:t>1</w:t>
            </w:r>
          </w:p>
        </w:tc>
        <w:tc>
          <w:tcPr>
            <w:tcW w:w="928" w:type="dxa"/>
            <w:noWrap/>
            <w:vAlign w:val="center"/>
            <w:hideMark/>
          </w:tcPr>
          <w:p w14:paraId="467C87CA"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-19.252,5</w:t>
            </w:r>
          </w:p>
        </w:tc>
        <w:tc>
          <w:tcPr>
            <w:tcW w:w="928" w:type="dxa"/>
            <w:noWrap/>
            <w:vAlign w:val="center"/>
            <w:hideMark/>
          </w:tcPr>
          <w:p w14:paraId="32723816"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-7.236,6</w:t>
            </w:r>
          </w:p>
        </w:tc>
        <w:tc>
          <w:tcPr>
            <w:tcW w:w="982" w:type="dxa"/>
            <w:noWrap/>
            <w:vAlign w:val="center"/>
            <w:hideMark/>
          </w:tcPr>
          <w:p w14:paraId="62DE6674"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-3.624,6</w:t>
            </w:r>
          </w:p>
        </w:tc>
        <w:tc>
          <w:tcPr>
            <w:tcW w:w="936" w:type="dxa"/>
            <w:noWrap/>
            <w:vAlign w:val="center"/>
            <w:hideMark/>
          </w:tcPr>
          <w:p w14:paraId="090D4E67"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-2.167,7</w:t>
            </w:r>
          </w:p>
        </w:tc>
        <w:tc>
          <w:tcPr>
            <w:tcW w:w="917" w:type="dxa"/>
            <w:noWrap/>
            <w:vAlign w:val="center"/>
            <w:hideMark/>
          </w:tcPr>
          <w:p w14:paraId="5E858C39"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-2.496,2</w:t>
            </w:r>
          </w:p>
        </w:tc>
        <w:tc>
          <w:tcPr>
            <w:tcW w:w="992" w:type="dxa"/>
            <w:noWrap/>
            <w:vAlign w:val="center"/>
            <w:hideMark/>
          </w:tcPr>
          <w:p w14:paraId="4461597F"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5.814,6</w:t>
            </w:r>
          </w:p>
        </w:tc>
      </w:tr>
      <w:tr w:rsidR="00911520" w:rsidRPr="0041454E" w14:paraId="1DB66F4E" w14:textId="77777777" w:rsidTr="00665626">
        <w:trPr>
          <w:gridAfter w:val="1"/>
          <w:wAfter w:w="6" w:type="dxa"/>
          <w:cantSplit/>
          <w:trHeight w:val="194"/>
          <w:jc w:val="center"/>
        </w:trPr>
        <w:tc>
          <w:tcPr>
            <w:tcW w:w="557" w:type="dxa"/>
            <w:noWrap/>
            <w:vAlign w:val="center"/>
            <w:hideMark/>
          </w:tcPr>
          <w:p w14:paraId="28E35463" w14:textId="354B5E61"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342931DB"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Απαιτήσεις</w:t>
            </w:r>
          </w:p>
        </w:tc>
        <w:tc>
          <w:tcPr>
            <w:tcW w:w="928" w:type="dxa"/>
            <w:noWrap/>
            <w:vAlign w:val="center"/>
            <w:hideMark/>
          </w:tcPr>
          <w:p w14:paraId="2B6A7AD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-3.688,1</w:t>
            </w:r>
          </w:p>
        </w:tc>
        <w:tc>
          <w:tcPr>
            <w:tcW w:w="928" w:type="dxa"/>
            <w:noWrap/>
            <w:vAlign w:val="center"/>
            <w:hideMark/>
          </w:tcPr>
          <w:p w14:paraId="2EF88E76"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-2.301,7</w:t>
            </w:r>
          </w:p>
        </w:tc>
        <w:tc>
          <w:tcPr>
            <w:tcW w:w="982" w:type="dxa"/>
            <w:noWrap/>
            <w:vAlign w:val="center"/>
            <w:hideMark/>
          </w:tcPr>
          <w:p w14:paraId="107E095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-396,0</w:t>
            </w:r>
          </w:p>
        </w:tc>
        <w:tc>
          <w:tcPr>
            <w:tcW w:w="936" w:type="dxa"/>
            <w:noWrap/>
            <w:vAlign w:val="center"/>
            <w:hideMark/>
          </w:tcPr>
          <w:p w14:paraId="4E399C4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-1.868,4</w:t>
            </w:r>
          </w:p>
        </w:tc>
        <w:tc>
          <w:tcPr>
            <w:tcW w:w="917" w:type="dxa"/>
            <w:noWrap/>
            <w:vAlign w:val="center"/>
            <w:hideMark/>
          </w:tcPr>
          <w:p w14:paraId="132D672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-3.776,2</w:t>
            </w:r>
          </w:p>
        </w:tc>
        <w:tc>
          <w:tcPr>
            <w:tcW w:w="992" w:type="dxa"/>
            <w:noWrap/>
            <w:vAlign w:val="center"/>
            <w:hideMark/>
          </w:tcPr>
          <w:p w14:paraId="4FDAF359"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4.263,7</w:t>
            </w:r>
          </w:p>
        </w:tc>
      </w:tr>
      <w:tr w:rsidR="00911520" w:rsidRPr="0041454E" w14:paraId="661C0A39" w14:textId="77777777" w:rsidTr="00665626">
        <w:trPr>
          <w:gridAfter w:val="1"/>
          <w:wAfter w:w="6" w:type="dxa"/>
          <w:cantSplit/>
          <w:trHeight w:val="184"/>
          <w:jc w:val="center"/>
        </w:trPr>
        <w:tc>
          <w:tcPr>
            <w:tcW w:w="557" w:type="dxa"/>
            <w:noWrap/>
            <w:vAlign w:val="center"/>
            <w:hideMark/>
          </w:tcPr>
          <w:p w14:paraId="7AD8D23B" w14:textId="277076A6"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6B062BE6"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Υποχρεώσεις</w:t>
            </w:r>
          </w:p>
        </w:tc>
        <w:tc>
          <w:tcPr>
            <w:tcW w:w="928" w:type="dxa"/>
            <w:noWrap/>
            <w:vAlign w:val="center"/>
            <w:hideMark/>
          </w:tcPr>
          <w:p w14:paraId="66CF0A2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15.564,4</w:t>
            </w:r>
          </w:p>
        </w:tc>
        <w:tc>
          <w:tcPr>
            <w:tcW w:w="928" w:type="dxa"/>
            <w:noWrap/>
            <w:vAlign w:val="center"/>
            <w:hideMark/>
          </w:tcPr>
          <w:p w14:paraId="2FC5F7F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4.935,0</w:t>
            </w:r>
          </w:p>
        </w:tc>
        <w:tc>
          <w:tcPr>
            <w:tcW w:w="982" w:type="dxa"/>
            <w:noWrap/>
            <w:vAlign w:val="center"/>
            <w:hideMark/>
          </w:tcPr>
          <w:p w14:paraId="58C6076F"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3.228,6</w:t>
            </w:r>
          </w:p>
        </w:tc>
        <w:tc>
          <w:tcPr>
            <w:tcW w:w="936" w:type="dxa"/>
            <w:noWrap/>
            <w:vAlign w:val="center"/>
            <w:hideMark/>
          </w:tcPr>
          <w:p w14:paraId="40180537"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299,3</w:t>
            </w:r>
          </w:p>
        </w:tc>
        <w:tc>
          <w:tcPr>
            <w:tcW w:w="917" w:type="dxa"/>
            <w:noWrap/>
            <w:vAlign w:val="center"/>
            <w:hideMark/>
          </w:tcPr>
          <w:p w14:paraId="748CEB4A"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-1.280,0</w:t>
            </w:r>
          </w:p>
        </w:tc>
        <w:tc>
          <w:tcPr>
            <w:tcW w:w="992" w:type="dxa"/>
            <w:noWrap/>
            <w:vAlign w:val="center"/>
            <w:hideMark/>
          </w:tcPr>
          <w:p w14:paraId="5D2B6DB1"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-1.550,9</w:t>
            </w:r>
          </w:p>
        </w:tc>
      </w:tr>
      <w:tr w:rsidR="00911520" w:rsidRPr="0041454E" w14:paraId="290277A6" w14:textId="77777777" w:rsidTr="00665626">
        <w:trPr>
          <w:gridAfter w:val="1"/>
          <w:wAfter w:w="6" w:type="dxa"/>
          <w:cantSplit/>
          <w:trHeight w:val="184"/>
          <w:jc w:val="center"/>
        </w:trPr>
        <w:tc>
          <w:tcPr>
            <w:tcW w:w="557" w:type="dxa"/>
            <w:noWrap/>
            <w:vAlign w:val="center"/>
            <w:hideMark/>
          </w:tcPr>
          <w:p w14:paraId="5CC10E43" w14:textId="20848364" w:rsidR="00911520" w:rsidRPr="0041454E" w:rsidRDefault="00911520" w:rsidP="00B25FC4">
            <w:pPr>
              <w:spacing w:after="0" w:line="240" w:lineRule="auto"/>
              <w:jc w:val="left"/>
              <w:rPr>
                <w:rFonts w:cs="Arial"/>
                <w:i/>
                <w:color w:val="000000"/>
                <w:sz w:val="16"/>
                <w:szCs w:val="16"/>
              </w:rPr>
            </w:pPr>
          </w:p>
        </w:tc>
        <w:tc>
          <w:tcPr>
            <w:tcW w:w="4134" w:type="dxa"/>
            <w:noWrap/>
            <w:vAlign w:val="center"/>
            <w:hideMark/>
          </w:tcPr>
          <w:p w14:paraId="754D0D35" w14:textId="77777777" w:rsidR="00911520" w:rsidRPr="0041454E" w:rsidRDefault="00911520" w:rsidP="00B25FC4">
            <w:pPr>
              <w:spacing w:after="0" w:line="240" w:lineRule="auto"/>
              <w:jc w:val="left"/>
              <w:rPr>
                <w:rFonts w:cs="Arial"/>
                <w:i/>
                <w:color w:val="000000"/>
                <w:sz w:val="16"/>
                <w:szCs w:val="16"/>
              </w:rPr>
            </w:pPr>
            <w:r w:rsidRPr="0041454E">
              <w:rPr>
                <w:rFonts w:cs="Arial"/>
                <w:i/>
                <w:color w:val="000000"/>
                <w:sz w:val="16"/>
                <w:szCs w:val="16"/>
              </w:rPr>
              <w:t>(Δάνεια Γενικής Κυβέρνησης)</w:t>
            </w:r>
          </w:p>
        </w:tc>
        <w:tc>
          <w:tcPr>
            <w:tcW w:w="928" w:type="dxa"/>
            <w:noWrap/>
            <w:vAlign w:val="center"/>
            <w:hideMark/>
          </w:tcPr>
          <w:p w14:paraId="2800A789"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-3.496,0</w:t>
            </w:r>
          </w:p>
        </w:tc>
        <w:tc>
          <w:tcPr>
            <w:tcW w:w="928" w:type="dxa"/>
            <w:noWrap/>
            <w:vAlign w:val="center"/>
            <w:hideMark/>
          </w:tcPr>
          <w:p w14:paraId="3C28013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-2.196,3</w:t>
            </w:r>
          </w:p>
        </w:tc>
        <w:tc>
          <w:tcPr>
            <w:tcW w:w="982" w:type="dxa"/>
            <w:noWrap/>
            <w:vAlign w:val="center"/>
            <w:hideMark/>
          </w:tcPr>
          <w:p w14:paraId="65C3A200"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-6.057,8</w:t>
            </w:r>
          </w:p>
        </w:tc>
        <w:tc>
          <w:tcPr>
            <w:tcW w:w="936" w:type="dxa"/>
            <w:noWrap/>
            <w:vAlign w:val="center"/>
            <w:hideMark/>
          </w:tcPr>
          <w:p w14:paraId="1D2ABFFB"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642,8</w:t>
            </w:r>
          </w:p>
        </w:tc>
        <w:tc>
          <w:tcPr>
            <w:tcW w:w="917" w:type="dxa"/>
            <w:noWrap/>
            <w:vAlign w:val="center"/>
            <w:hideMark/>
          </w:tcPr>
          <w:p w14:paraId="0C13BBD4"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1.197,9</w:t>
            </w:r>
          </w:p>
        </w:tc>
        <w:tc>
          <w:tcPr>
            <w:tcW w:w="992" w:type="dxa"/>
            <w:noWrap/>
            <w:vAlign w:val="center"/>
            <w:hideMark/>
          </w:tcPr>
          <w:p w14:paraId="6C197DF8" w14:textId="77777777" w:rsidR="00911520" w:rsidRPr="0041454E" w:rsidRDefault="00911520" w:rsidP="00B25FC4">
            <w:pPr>
              <w:spacing w:after="0" w:line="240" w:lineRule="auto"/>
              <w:jc w:val="right"/>
              <w:rPr>
                <w:rFonts w:cs="Arial"/>
                <w:i/>
                <w:iCs/>
                <w:color w:val="000000"/>
                <w:sz w:val="16"/>
                <w:szCs w:val="16"/>
              </w:rPr>
            </w:pPr>
            <w:r w:rsidRPr="0041454E">
              <w:rPr>
                <w:rFonts w:cs="Arial"/>
                <w:i/>
                <w:iCs/>
                <w:color w:val="000000"/>
                <w:sz w:val="16"/>
                <w:szCs w:val="16"/>
              </w:rPr>
              <w:t>607,4</w:t>
            </w:r>
          </w:p>
        </w:tc>
      </w:tr>
      <w:tr w:rsidR="00911520" w:rsidRPr="001F4553" w14:paraId="760187F4" w14:textId="77777777" w:rsidTr="00665626">
        <w:trPr>
          <w:gridAfter w:val="1"/>
          <w:wAfter w:w="6" w:type="dxa"/>
          <w:cantSplit/>
          <w:trHeight w:val="194"/>
          <w:jc w:val="center"/>
        </w:trPr>
        <w:tc>
          <w:tcPr>
            <w:tcW w:w="557" w:type="dxa"/>
            <w:noWrap/>
            <w:vAlign w:val="center"/>
            <w:hideMark/>
          </w:tcPr>
          <w:p w14:paraId="5EB4EC27" w14:textId="77777777" w:rsidR="00911520" w:rsidRPr="001F4553" w:rsidRDefault="00911520" w:rsidP="00B25FC4">
            <w:pPr>
              <w:spacing w:after="0" w:line="240" w:lineRule="auto"/>
              <w:jc w:val="left"/>
              <w:rPr>
                <w:rFonts w:cs="Arial"/>
                <w:b/>
                <w:color w:val="000000"/>
                <w:sz w:val="16"/>
                <w:szCs w:val="16"/>
              </w:rPr>
            </w:pPr>
            <w:r w:rsidRPr="001F4553">
              <w:rPr>
                <w:rFonts w:cs="Arial"/>
                <w:b/>
                <w:color w:val="000000"/>
                <w:sz w:val="16"/>
                <w:szCs w:val="16"/>
              </w:rPr>
              <w:t>III.Δ</w:t>
            </w:r>
          </w:p>
        </w:tc>
        <w:tc>
          <w:tcPr>
            <w:tcW w:w="4134" w:type="dxa"/>
            <w:noWrap/>
            <w:vAlign w:val="center"/>
            <w:hideMark/>
          </w:tcPr>
          <w:p w14:paraId="5DD46DA1" w14:textId="77777777" w:rsidR="00911520" w:rsidRPr="001F4553" w:rsidRDefault="00911520" w:rsidP="00B25FC4">
            <w:pPr>
              <w:spacing w:after="0" w:line="240" w:lineRule="auto"/>
              <w:jc w:val="left"/>
              <w:rPr>
                <w:rFonts w:cs="Arial"/>
                <w:b/>
                <w:bCs/>
                <w:color w:val="000000"/>
                <w:sz w:val="16"/>
                <w:szCs w:val="16"/>
              </w:rPr>
            </w:pPr>
            <w:r w:rsidRPr="001F4553">
              <w:rPr>
                <w:rFonts w:cs="Arial"/>
                <w:b/>
                <w:bCs/>
                <w:color w:val="000000"/>
                <w:sz w:val="16"/>
                <w:szCs w:val="16"/>
              </w:rPr>
              <w:t>Μεταβολή Συναλλαγματικών Διαθεσίμων</w:t>
            </w:r>
          </w:p>
        </w:tc>
        <w:tc>
          <w:tcPr>
            <w:tcW w:w="928" w:type="dxa"/>
            <w:noWrap/>
            <w:vAlign w:val="center"/>
            <w:hideMark/>
          </w:tcPr>
          <w:p w14:paraId="397EB50C"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-1.845,4</w:t>
            </w:r>
          </w:p>
        </w:tc>
        <w:tc>
          <w:tcPr>
            <w:tcW w:w="928" w:type="dxa"/>
            <w:noWrap/>
            <w:vAlign w:val="center"/>
            <w:hideMark/>
          </w:tcPr>
          <w:p w14:paraId="4CF454FE"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530,6</w:t>
            </w:r>
          </w:p>
        </w:tc>
        <w:tc>
          <w:tcPr>
            <w:tcW w:w="982" w:type="dxa"/>
            <w:noWrap/>
            <w:vAlign w:val="center"/>
            <w:hideMark/>
          </w:tcPr>
          <w:p w14:paraId="546D60A0"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-261,0</w:t>
            </w:r>
          </w:p>
        </w:tc>
        <w:tc>
          <w:tcPr>
            <w:tcW w:w="936" w:type="dxa"/>
            <w:noWrap/>
            <w:vAlign w:val="center"/>
            <w:hideMark/>
          </w:tcPr>
          <w:p w14:paraId="0320B77D"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613,6</w:t>
            </w:r>
          </w:p>
        </w:tc>
        <w:tc>
          <w:tcPr>
            <w:tcW w:w="917" w:type="dxa"/>
            <w:noWrap/>
            <w:vAlign w:val="center"/>
            <w:hideMark/>
          </w:tcPr>
          <w:p w14:paraId="192BF654"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-247,3</w:t>
            </w:r>
          </w:p>
        </w:tc>
        <w:tc>
          <w:tcPr>
            <w:tcW w:w="992" w:type="dxa"/>
            <w:noWrap/>
            <w:vAlign w:val="center"/>
            <w:hideMark/>
          </w:tcPr>
          <w:p w14:paraId="4695A5AC" w14:textId="77777777" w:rsidR="00911520" w:rsidRPr="001F4553" w:rsidRDefault="00911520" w:rsidP="00B25FC4">
            <w:pPr>
              <w:spacing w:after="0" w:line="240" w:lineRule="auto"/>
              <w:jc w:val="right"/>
              <w:rPr>
                <w:rFonts w:cs="Arial"/>
                <w:b/>
                <w:bCs/>
                <w:color w:val="000000"/>
                <w:sz w:val="16"/>
                <w:szCs w:val="16"/>
              </w:rPr>
            </w:pPr>
            <w:r w:rsidRPr="001F4553">
              <w:rPr>
                <w:rFonts w:cs="Arial"/>
                <w:b/>
                <w:bCs/>
                <w:color w:val="000000"/>
                <w:sz w:val="16"/>
                <w:szCs w:val="16"/>
              </w:rPr>
              <w:t>1.625,0</w:t>
            </w:r>
          </w:p>
        </w:tc>
      </w:tr>
      <w:tr w:rsidR="00911520" w:rsidRPr="00016CF7" w14:paraId="425A3F12" w14:textId="77777777" w:rsidTr="00665626">
        <w:trPr>
          <w:gridAfter w:val="1"/>
          <w:wAfter w:w="6" w:type="dxa"/>
          <w:cantSplit/>
          <w:trHeight w:val="184"/>
          <w:jc w:val="center"/>
        </w:trPr>
        <w:tc>
          <w:tcPr>
            <w:tcW w:w="557" w:type="dxa"/>
            <w:shd w:val="clear" w:color="000000" w:fill="D5DCE4"/>
            <w:noWrap/>
            <w:vAlign w:val="center"/>
            <w:hideMark/>
          </w:tcPr>
          <w:p w14:paraId="33C99EFE" w14:textId="08755AE3" w:rsidR="00911520" w:rsidRPr="002E3825" w:rsidRDefault="00911520" w:rsidP="00B25FC4">
            <w:pPr>
              <w:spacing w:after="0" w:line="240" w:lineRule="auto"/>
              <w:jc w:val="left"/>
              <w:rPr>
                <w:rFonts w:cs="Arial"/>
                <w:b/>
                <w:bCs/>
                <w:color w:val="000000"/>
                <w:sz w:val="16"/>
                <w:szCs w:val="16"/>
                <w:lang w:val="en-US"/>
              </w:rPr>
            </w:pPr>
            <w:r w:rsidRPr="00016CF7">
              <w:rPr>
                <w:rFonts w:cs="Arial"/>
                <w:b/>
                <w:bCs/>
                <w:sz w:val="16"/>
                <w:szCs w:val="16"/>
              </w:rPr>
              <w:t>IV</w:t>
            </w:r>
            <w:r w:rsidR="002E3825">
              <w:rPr>
                <w:rFonts w:cs="Arial"/>
                <w:b/>
                <w:bCs/>
                <w:sz w:val="16"/>
                <w:szCs w:val="16"/>
                <w:lang w:val="en-US"/>
              </w:rPr>
              <w:t>.</w:t>
            </w:r>
          </w:p>
        </w:tc>
        <w:tc>
          <w:tcPr>
            <w:tcW w:w="4134" w:type="dxa"/>
            <w:shd w:val="clear" w:color="000000" w:fill="D5DCE4"/>
            <w:noWrap/>
            <w:vAlign w:val="center"/>
            <w:hideMark/>
          </w:tcPr>
          <w:p w14:paraId="58E539C8" w14:textId="77777777" w:rsidR="00911520" w:rsidRPr="00016CF7" w:rsidRDefault="00911520" w:rsidP="00B25FC4">
            <w:pPr>
              <w:spacing w:after="0" w:line="240" w:lineRule="auto"/>
              <w:jc w:val="left"/>
              <w:rPr>
                <w:rFonts w:cs="Arial"/>
                <w:b/>
                <w:bCs/>
                <w:color w:val="000000"/>
                <w:sz w:val="16"/>
                <w:szCs w:val="16"/>
              </w:rPr>
            </w:pPr>
            <w:r w:rsidRPr="00016CF7">
              <w:rPr>
                <w:rFonts w:cs="Arial"/>
                <w:b/>
                <w:bCs/>
                <w:sz w:val="16"/>
                <w:szCs w:val="16"/>
              </w:rPr>
              <w:t>Τακτοποιητέα Στοιχεία</w:t>
            </w:r>
          </w:p>
        </w:tc>
        <w:tc>
          <w:tcPr>
            <w:tcW w:w="928" w:type="dxa"/>
            <w:shd w:val="clear" w:color="000000" w:fill="D5DCE4"/>
            <w:noWrap/>
            <w:vAlign w:val="center"/>
            <w:hideMark/>
          </w:tcPr>
          <w:p w14:paraId="6CE6A0BE"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1.984,0</w:t>
            </w:r>
          </w:p>
        </w:tc>
        <w:tc>
          <w:tcPr>
            <w:tcW w:w="928" w:type="dxa"/>
            <w:shd w:val="clear" w:color="000000" w:fill="D5DCE4"/>
            <w:noWrap/>
            <w:vAlign w:val="center"/>
            <w:hideMark/>
          </w:tcPr>
          <w:p w14:paraId="66B19939"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2.275,2</w:t>
            </w:r>
          </w:p>
        </w:tc>
        <w:tc>
          <w:tcPr>
            <w:tcW w:w="982" w:type="dxa"/>
            <w:shd w:val="clear" w:color="000000" w:fill="D5DCE4"/>
            <w:noWrap/>
            <w:vAlign w:val="center"/>
            <w:hideMark/>
          </w:tcPr>
          <w:p w14:paraId="465017D1"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2.336,2</w:t>
            </w:r>
          </w:p>
        </w:tc>
        <w:tc>
          <w:tcPr>
            <w:tcW w:w="936" w:type="dxa"/>
            <w:shd w:val="clear" w:color="000000" w:fill="D5DCE4"/>
            <w:noWrap/>
            <w:vAlign w:val="center"/>
            <w:hideMark/>
          </w:tcPr>
          <w:p w14:paraId="09AE8D4A"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1.969,4</w:t>
            </w:r>
          </w:p>
        </w:tc>
        <w:tc>
          <w:tcPr>
            <w:tcW w:w="917" w:type="dxa"/>
            <w:shd w:val="clear" w:color="000000" w:fill="D5DCE4"/>
            <w:noWrap/>
            <w:vAlign w:val="center"/>
            <w:hideMark/>
          </w:tcPr>
          <w:p w14:paraId="086EF3A1"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2.008,0</w:t>
            </w:r>
          </w:p>
        </w:tc>
        <w:tc>
          <w:tcPr>
            <w:tcW w:w="992" w:type="dxa"/>
            <w:shd w:val="clear" w:color="000000" w:fill="D5DCE4"/>
            <w:noWrap/>
            <w:vAlign w:val="center"/>
            <w:hideMark/>
          </w:tcPr>
          <w:p w14:paraId="23850D41"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1.193,4</w:t>
            </w:r>
          </w:p>
        </w:tc>
      </w:tr>
      <w:tr w:rsidR="00911520" w:rsidRPr="00016CF7" w14:paraId="5B680664" w14:textId="77777777" w:rsidTr="00665626">
        <w:trPr>
          <w:gridAfter w:val="1"/>
          <w:wAfter w:w="6" w:type="dxa"/>
          <w:cantSplit/>
          <w:trHeight w:val="184"/>
          <w:jc w:val="center"/>
        </w:trPr>
        <w:tc>
          <w:tcPr>
            <w:tcW w:w="557" w:type="dxa"/>
            <w:shd w:val="clear" w:color="000000" w:fill="D5DCE4"/>
            <w:noWrap/>
            <w:vAlign w:val="center"/>
            <w:hideMark/>
          </w:tcPr>
          <w:p w14:paraId="1B3261D2" w14:textId="16B158F0" w:rsidR="00911520" w:rsidRPr="00016CF7" w:rsidRDefault="00911520" w:rsidP="00B25FC4">
            <w:pPr>
              <w:spacing w:after="0" w:line="240" w:lineRule="auto"/>
              <w:jc w:val="left"/>
              <w:rPr>
                <w:rFonts w:cs="Arial"/>
                <w:b/>
                <w:bCs/>
                <w:color w:val="000000"/>
                <w:sz w:val="16"/>
                <w:szCs w:val="16"/>
              </w:rPr>
            </w:pPr>
          </w:p>
        </w:tc>
        <w:tc>
          <w:tcPr>
            <w:tcW w:w="4134" w:type="dxa"/>
            <w:shd w:val="clear" w:color="000000" w:fill="D5DCE4"/>
            <w:noWrap/>
            <w:vAlign w:val="center"/>
            <w:hideMark/>
          </w:tcPr>
          <w:p w14:paraId="76DF6551" w14:textId="77777777" w:rsidR="00911520" w:rsidRPr="00016CF7" w:rsidRDefault="00911520" w:rsidP="00B25FC4">
            <w:pPr>
              <w:spacing w:after="0" w:line="240" w:lineRule="auto"/>
              <w:jc w:val="left"/>
              <w:rPr>
                <w:rFonts w:cs="Arial"/>
                <w:b/>
                <w:bCs/>
                <w:color w:val="000000"/>
                <w:sz w:val="16"/>
                <w:szCs w:val="16"/>
              </w:rPr>
            </w:pPr>
            <w:r w:rsidRPr="00016CF7">
              <w:rPr>
                <w:rFonts w:cs="Arial"/>
                <w:b/>
                <w:bCs/>
                <w:sz w:val="16"/>
                <w:szCs w:val="16"/>
              </w:rPr>
              <w:t>(Ι + ΙΙ - III + IV = 0)</w:t>
            </w:r>
          </w:p>
        </w:tc>
        <w:tc>
          <w:tcPr>
            <w:tcW w:w="928" w:type="dxa"/>
            <w:shd w:val="clear" w:color="000000" w:fill="D5DCE4"/>
            <w:noWrap/>
            <w:vAlign w:val="center"/>
            <w:hideMark/>
          </w:tcPr>
          <w:p w14:paraId="733EBED2" w14:textId="73680CBA" w:rsidR="00911520" w:rsidRPr="00016CF7" w:rsidRDefault="00911520" w:rsidP="00B25FC4">
            <w:pPr>
              <w:spacing w:after="0" w:line="240" w:lineRule="auto"/>
              <w:jc w:val="right"/>
              <w:rPr>
                <w:rFonts w:cs="Arial"/>
                <w:b/>
                <w:bCs/>
                <w:color w:val="000000"/>
                <w:sz w:val="16"/>
                <w:szCs w:val="16"/>
              </w:rPr>
            </w:pPr>
          </w:p>
        </w:tc>
        <w:tc>
          <w:tcPr>
            <w:tcW w:w="928" w:type="dxa"/>
            <w:shd w:val="clear" w:color="000000" w:fill="D5DCE4"/>
            <w:noWrap/>
            <w:vAlign w:val="center"/>
            <w:hideMark/>
          </w:tcPr>
          <w:p w14:paraId="492B7BCB" w14:textId="79BD3D7E" w:rsidR="00911520" w:rsidRPr="00016CF7" w:rsidRDefault="00911520" w:rsidP="00B25FC4">
            <w:pPr>
              <w:spacing w:after="0" w:line="240" w:lineRule="auto"/>
              <w:jc w:val="right"/>
              <w:rPr>
                <w:rFonts w:cs="Arial"/>
                <w:b/>
                <w:bCs/>
                <w:color w:val="000000"/>
                <w:sz w:val="16"/>
                <w:szCs w:val="16"/>
              </w:rPr>
            </w:pPr>
          </w:p>
        </w:tc>
        <w:tc>
          <w:tcPr>
            <w:tcW w:w="982" w:type="dxa"/>
            <w:shd w:val="clear" w:color="000000" w:fill="D5DCE4"/>
            <w:noWrap/>
            <w:vAlign w:val="center"/>
            <w:hideMark/>
          </w:tcPr>
          <w:p w14:paraId="2438FE2E" w14:textId="6BED09C6" w:rsidR="00911520" w:rsidRPr="00016CF7" w:rsidRDefault="00911520" w:rsidP="00B25FC4">
            <w:pPr>
              <w:spacing w:after="0" w:line="240" w:lineRule="auto"/>
              <w:jc w:val="right"/>
              <w:rPr>
                <w:rFonts w:cs="Arial"/>
                <w:b/>
                <w:bCs/>
                <w:color w:val="000000"/>
                <w:sz w:val="16"/>
                <w:szCs w:val="16"/>
              </w:rPr>
            </w:pPr>
          </w:p>
        </w:tc>
        <w:tc>
          <w:tcPr>
            <w:tcW w:w="936" w:type="dxa"/>
            <w:shd w:val="clear" w:color="000000" w:fill="D5DCE4"/>
            <w:noWrap/>
            <w:vAlign w:val="center"/>
            <w:hideMark/>
          </w:tcPr>
          <w:p w14:paraId="397BDF9C" w14:textId="7F9CECA2" w:rsidR="00911520" w:rsidRPr="00016CF7" w:rsidRDefault="00911520" w:rsidP="00B25FC4">
            <w:pPr>
              <w:spacing w:after="0" w:line="240" w:lineRule="auto"/>
              <w:jc w:val="right"/>
              <w:rPr>
                <w:rFonts w:cs="Arial"/>
                <w:b/>
                <w:bCs/>
                <w:color w:val="000000"/>
                <w:sz w:val="16"/>
                <w:szCs w:val="16"/>
              </w:rPr>
            </w:pPr>
          </w:p>
        </w:tc>
        <w:tc>
          <w:tcPr>
            <w:tcW w:w="917" w:type="dxa"/>
            <w:shd w:val="clear" w:color="000000" w:fill="D5DCE4"/>
            <w:noWrap/>
            <w:vAlign w:val="center"/>
            <w:hideMark/>
          </w:tcPr>
          <w:p w14:paraId="603E46A7" w14:textId="422EFEDC" w:rsidR="00911520" w:rsidRPr="00016CF7" w:rsidRDefault="00911520" w:rsidP="00B25FC4">
            <w:pPr>
              <w:spacing w:after="0" w:line="240" w:lineRule="auto"/>
              <w:jc w:val="right"/>
              <w:rPr>
                <w:rFonts w:cs="Arial"/>
                <w:b/>
                <w:bCs/>
                <w:color w:val="000000"/>
                <w:sz w:val="16"/>
                <w:szCs w:val="16"/>
              </w:rPr>
            </w:pPr>
          </w:p>
        </w:tc>
        <w:tc>
          <w:tcPr>
            <w:tcW w:w="992" w:type="dxa"/>
            <w:shd w:val="clear" w:color="000000" w:fill="D5DCE4"/>
            <w:noWrap/>
            <w:vAlign w:val="center"/>
            <w:hideMark/>
          </w:tcPr>
          <w:p w14:paraId="50294C7C" w14:textId="1FF40914" w:rsidR="00911520" w:rsidRPr="00016CF7" w:rsidRDefault="00911520" w:rsidP="00B25FC4">
            <w:pPr>
              <w:spacing w:after="0" w:line="240" w:lineRule="auto"/>
              <w:jc w:val="right"/>
              <w:rPr>
                <w:rFonts w:cs="Arial"/>
                <w:b/>
                <w:bCs/>
                <w:color w:val="000000"/>
                <w:sz w:val="16"/>
                <w:szCs w:val="16"/>
              </w:rPr>
            </w:pPr>
          </w:p>
        </w:tc>
      </w:tr>
      <w:tr w:rsidR="00911520" w:rsidRPr="00016CF7" w14:paraId="4A25EAE2" w14:textId="77777777" w:rsidTr="00665626">
        <w:trPr>
          <w:gridAfter w:val="1"/>
          <w:wAfter w:w="6" w:type="dxa"/>
          <w:cantSplit/>
          <w:trHeight w:val="194"/>
          <w:jc w:val="center"/>
        </w:trPr>
        <w:tc>
          <w:tcPr>
            <w:tcW w:w="557" w:type="dxa"/>
            <w:tcBorders>
              <w:bottom w:val="single" w:sz="2" w:space="0" w:color="A6A6A6" w:themeColor="background1" w:themeShade="A6"/>
            </w:tcBorders>
            <w:noWrap/>
            <w:vAlign w:val="center"/>
            <w:hideMark/>
          </w:tcPr>
          <w:p w14:paraId="40C9FFE6" w14:textId="2CADBF36" w:rsidR="00911520" w:rsidRPr="00016CF7" w:rsidRDefault="00911520" w:rsidP="00B25FC4">
            <w:pPr>
              <w:spacing w:after="0" w:line="240" w:lineRule="auto"/>
              <w:jc w:val="left"/>
              <w:rPr>
                <w:rFonts w:cs="Arial"/>
                <w:color w:val="000000"/>
                <w:sz w:val="16"/>
                <w:szCs w:val="16"/>
              </w:rPr>
            </w:pPr>
          </w:p>
        </w:tc>
        <w:tc>
          <w:tcPr>
            <w:tcW w:w="4134" w:type="dxa"/>
            <w:tcBorders>
              <w:bottom w:val="single" w:sz="2" w:space="0" w:color="A6A6A6" w:themeColor="background1" w:themeShade="A6"/>
            </w:tcBorders>
            <w:noWrap/>
            <w:vAlign w:val="center"/>
            <w:hideMark/>
          </w:tcPr>
          <w:p w14:paraId="206ADEAB" w14:textId="77777777" w:rsidR="00911520" w:rsidRPr="00016CF7" w:rsidRDefault="00911520" w:rsidP="00B25FC4">
            <w:pPr>
              <w:spacing w:after="0" w:line="240" w:lineRule="auto"/>
              <w:jc w:val="left"/>
              <w:rPr>
                <w:rFonts w:cs="Arial"/>
                <w:b/>
                <w:bCs/>
                <w:color w:val="000000"/>
                <w:sz w:val="16"/>
                <w:szCs w:val="16"/>
              </w:rPr>
            </w:pPr>
            <w:r w:rsidRPr="00016CF7">
              <w:rPr>
                <w:rFonts w:cs="Arial"/>
                <w:b/>
                <w:bCs/>
                <w:color w:val="000000"/>
                <w:sz w:val="16"/>
                <w:szCs w:val="16"/>
              </w:rPr>
              <w:t>Ύψος Συναλλαγματικών Διαθεσίμων</w:t>
            </w:r>
          </w:p>
        </w:tc>
        <w:tc>
          <w:tcPr>
            <w:tcW w:w="928" w:type="dxa"/>
            <w:tcBorders>
              <w:bottom w:val="single" w:sz="2" w:space="0" w:color="A6A6A6" w:themeColor="background1" w:themeShade="A6"/>
            </w:tcBorders>
            <w:noWrap/>
            <w:vAlign w:val="center"/>
            <w:hideMark/>
          </w:tcPr>
          <w:p w14:paraId="3EECFDDE"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11.341</w:t>
            </w:r>
          </w:p>
        </w:tc>
        <w:tc>
          <w:tcPr>
            <w:tcW w:w="928" w:type="dxa"/>
            <w:tcBorders>
              <w:bottom w:val="single" w:sz="2" w:space="0" w:color="A6A6A6" w:themeColor="background1" w:themeShade="A6"/>
            </w:tcBorders>
            <w:noWrap/>
            <w:vAlign w:val="center"/>
            <w:hideMark/>
          </w:tcPr>
          <w:p w14:paraId="24D40CE2"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12.324</w:t>
            </w:r>
          </w:p>
        </w:tc>
        <w:tc>
          <w:tcPr>
            <w:tcW w:w="982" w:type="dxa"/>
            <w:tcBorders>
              <w:bottom w:val="single" w:sz="2" w:space="0" w:color="A6A6A6" w:themeColor="background1" w:themeShade="A6"/>
            </w:tcBorders>
            <w:noWrap/>
            <w:vAlign w:val="center"/>
            <w:hideMark/>
          </w:tcPr>
          <w:p w14:paraId="75FF0EC4"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14.649</w:t>
            </w:r>
          </w:p>
        </w:tc>
        <w:tc>
          <w:tcPr>
            <w:tcW w:w="936" w:type="dxa"/>
            <w:tcBorders>
              <w:bottom w:val="single" w:sz="2" w:space="0" w:color="A6A6A6" w:themeColor="background1" w:themeShade="A6"/>
            </w:tcBorders>
            <w:noWrap/>
            <w:vAlign w:val="center"/>
            <w:hideMark/>
          </w:tcPr>
          <w:p w14:paraId="54E67F25"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12.162</w:t>
            </w:r>
          </w:p>
        </w:tc>
        <w:tc>
          <w:tcPr>
            <w:tcW w:w="917" w:type="dxa"/>
            <w:tcBorders>
              <w:bottom w:val="single" w:sz="2" w:space="0" w:color="A6A6A6" w:themeColor="background1" w:themeShade="A6"/>
            </w:tcBorders>
            <w:noWrap/>
            <w:vAlign w:val="center"/>
            <w:hideMark/>
          </w:tcPr>
          <w:p w14:paraId="29A897B8"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13.565</w:t>
            </w:r>
          </w:p>
        </w:tc>
        <w:tc>
          <w:tcPr>
            <w:tcW w:w="992" w:type="dxa"/>
            <w:tcBorders>
              <w:bottom w:val="single" w:sz="2" w:space="0" w:color="A6A6A6" w:themeColor="background1" w:themeShade="A6"/>
            </w:tcBorders>
            <w:noWrap/>
            <w:vAlign w:val="center"/>
            <w:hideMark/>
          </w:tcPr>
          <w:p w14:paraId="43D12930" w14:textId="77777777" w:rsidR="00911520" w:rsidRPr="00016CF7" w:rsidRDefault="00911520" w:rsidP="00B25FC4">
            <w:pPr>
              <w:spacing w:after="0" w:line="240" w:lineRule="auto"/>
              <w:jc w:val="right"/>
              <w:rPr>
                <w:rFonts w:cs="Arial"/>
                <w:b/>
                <w:bCs/>
                <w:color w:val="000000"/>
                <w:sz w:val="16"/>
                <w:szCs w:val="16"/>
              </w:rPr>
            </w:pPr>
            <w:r w:rsidRPr="00016CF7">
              <w:rPr>
                <w:rFonts w:cs="Arial"/>
                <w:b/>
                <w:bCs/>
                <w:color w:val="000000"/>
                <w:sz w:val="16"/>
                <w:szCs w:val="16"/>
              </w:rPr>
              <w:t>17.422</w:t>
            </w:r>
          </w:p>
        </w:tc>
      </w:tr>
      <w:tr w:rsidR="00B25FC4" w:rsidRPr="00573AD3" w14:paraId="5A3127A2" w14:textId="77777777" w:rsidTr="00665626">
        <w:trPr>
          <w:cantSplit/>
          <w:trHeight w:val="245"/>
          <w:jc w:val="center"/>
        </w:trPr>
        <w:tc>
          <w:tcPr>
            <w:tcW w:w="10380" w:type="dxa"/>
            <w:gridSpan w:val="9"/>
            <w:tcBorders>
              <w:top w:val="single" w:sz="2" w:space="0" w:color="A6A6A6" w:themeColor="background1" w:themeShade="A6"/>
              <w:left w:val="nil"/>
              <w:bottom w:val="nil"/>
              <w:right w:val="nil"/>
            </w:tcBorders>
            <w:noWrap/>
            <w:vAlign w:val="center"/>
            <w:hideMark/>
          </w:tcPr>
          <w:p w14:paraId="04F69C60" w14:textId="77777777" w:rsidR="00B25FC4" w:rsidRDefault="00B25FC4" w:rsidP="002319F2">
            <w:pPr>
              <w:spacing w:before="60" w:after="0" w:line="276" w:lineRule="auto"/>
              <w:jc w:val="left"/>
              <w:rPr>
                <w:rFonts w:cs="Arial"/>
                <w:color w:val="000000"/>
                <w:sz w:val="16"/>
                <w:szCs w:val="16"/>
              </w:rPr>
            </w:pPr>
            <w:r w:rsidRPr="00573AD3">
              <w:rPr>
                <w:rFonts w:cs="Arial"/>
                <w:color w:val="000000"/>
                <w:sz w:val="16"/>
                <w:szCs w:val="16"/>
                <w:vertAlign w:val="superscript"/>
              </w:rPr>
              <w:t xml:space="preserve">1 </w:t>
            </w:r>
            <w:r w:rsidRPr="00573AD3">
              <w:rPr>
                <w:rFonts w:cs="Arial"/>
                <w:color w:val="000000"/>
                <w:sz w:val="16"/>
                <w:szCs w:val="16"/>
              </w:rPr>
              <w:t>(+) αύξηση, (-) μείωση</w:t>
            </w:r>
          </w:p>
          <w:p w14:paraId="0A4A29C5" w14:textId="03D9B578" w:rsidR="002319F2" w:rsidRPr="00573AD3" w:rsidRDefault="002319F2" w:rsidP="002319F2">
            <w:pPr>
              <w:spacing w:before="60" w:after="0" w:line="276" w:lineRule="auto"/>
              <w:jc w:val="left"/>
              <w:rPr>
                <w:rFonts w:cs="Arial"/>
                <w:color w:val="000000"/>
                <w:sz w:val="16"/>
                <w:szCs w:val="16"/>
              </w:rPr>
            </w:pPr>
            <w:r w:rsidRPr="00573AD3">
              <w:rPr>
                <w:rFonts w:cs="Arial"/>
                <w:color w:val="000000"/>
                <w:sz w:val="16"/>
                <w:szCs w:val="16"/>
              </w:rPr>
              <w:t>Πηγή: Τράπεζα της Ελλάδος</w:t>
            </w:r>
          </w:p>
        </w:tc>
      </w:tr>
    </w:tbl>
    <w:bookmarkEnd w:id="71"/>
    <w:p w14:paraId="2D751B5C" w14:textId="0CF7245B" w:rsidR="00665626" w:rsidRDefault="00665626" w:rsidP="00665626">
      <w:pPr>
        <w:spacing w:before="240"/>
      </w:pPr>
      <w:r>
        <w:lastRenderedPageBreak/>
        <w:t xml:space="preserve">Το πλεόνασμα του ισοζυγίου υπηρεσιών αυξήθηκε λόγω της βελτίωσης του ισοζυγίου ταξιδιωτικών υπηρεσιών, η οποία αντισταθμίστηκε πάνω από το ήμισυ από την επιδείνωση των ισοζυγίων μεταφορών και λοιπών υπηρεσιών. Την περίοδο </w:t>
      </w:r>
      <w:r w:rsidRPr="007267B3">
        <w:t>Ιανουαρίου</w:t>
      </w:r>
      <w:r>
        <w:t xml:space="preserve"> </w:t>
      </w:r>
      <w:r w:rsidRPr="007267B3">
        <w:t>-</w:t>
      </w:r>
      <w:r>
        <w:t xml:space="preserve"> </w:t>
      </w:r>
      <w:r w:rsidRPr="007267B3">
        <w:t>Αυγούστου 202</w:t>
      </w:r>
      <w:r>
        <w:t>5</w:t>
      </w:r>
      <w:r w:rsidRPr="007267B3">
        <w:t xml:space="preserve"> οι αφίξεις</w:t>
      </w:r>
      <w:r w:rsidR="00AA3F32">
        <w:t xml:space="preserve"> των</w:t>
      </w:r>
      <w:r w:rsidRPr="007267B3">
        <w:t xml:space="preserve"> μη κατοίκων ταξιδιωτών αυξήθηκαν </w:t>
      </w:r>
      <w:r w:rsidRPr="008404F5">
        <w:t>κατά 4,1%</w:t>
      </w:r>
      <w:r w:rsidRPr="007267B3">
        <w:t xml:space="preserve"> κ</w:t>
      </w:r>
      <w:r>
        <w:t>αι οι αντίστοιχες εισπράξεις κατά 12,0% σε σύγκριση με την ίδια περίοδο του 2024, ενώ παράλληλα, σημειώθηκε αύξηση της μέσης δαπάνης ανά ταξίδι κατά 7,2% σε σύγκριση με την ίδια περίοδο του 2024. Η μείωση των καθαρών εισπράξεων από μεταφορές λόγω της συρρίκνωσης του πλεονάσματος του ισοζυγίου θαλάσσιων μεταφορών αντικατοπτρίζει τη μείωση των ναύλων. Το έλλειμμα του ισοζυγίου πρωτογενών εισοδημάτων μειώθηκε σε σύγκριση με την αντίστοιχη περίοδο του 2024, κυρίως ως αποτέλεσμα των χαμηλότερων καθαρών πληρωμών για τόκους, μερίσματα και κέρδη, ενώ και το πλεόνασμα του ισοζυγίου δευτερογενών εισοδημάτων κατέγραψε μικρή άνοδο.</w:t>
      </w:r>
    </w:p>
    <w:p w14:paraId="181DB77D" w14:textId="5B917571" w:rsidR="0077430C" w:rsidRDefault="003C24CA" w:rsidP="00300BBF">
      <w:pPr>
        <w:pStyle w:val="5"/>
      </w:pPr>
      <w:bookmarkStart w:id="72" w:name="_Toc214473732"/>
      <w:r>
        <w:t>Ισοζύγιο χρηματοοικονομικών συναλλαγών</w:t>
      </w:r>
      <w:bookmarkEnd w:id="72"/>
    </w:p>
    <w:p w14:paraId="60887D11" w14:textId="1064C99D" w:rsidR="00693A7C" w:rsidRPr="000A22D0" w:rsidRDefault="00693A7C" w:rsidP="00693A7C">
      <w:r>
        <w:t xml:space="preserve">Την </w:t>
      </w:r>
      <w:r w:rsidRPr="00CF385C">
        <w:t>περίοδο Ιανουαρίου - Αυγούστου 2025</w:t>
      </w:r>
      <w:r>
        <w:t xml:space="preserve"> στην κατηγορία των άμεσων επενδύσεων οι απαιτήσεις των κατοίκων έναντι του εξωτερικού κατέγραψαν καθαρές ροές ύψους 2,3</w:t>
      </w:r>
      <w:r w:rsidR="00FA721B">
        <w:t xml:space="preserve"> </w:t>
      </w:r>
      <w:r>
        <w:t xml:space="preserve">δισ. ευρώ και οι υποχρεώσεις των κατοίκων έναντι του εξωτερικού, που αντιστοιχούν σε άμεσες επενδύσεις </w:t>
      </w:r>
      <w:r w:rsidR="00FA721B">
        <w:t xml:space="preserve">των </w:t>
      </w:r>
      <w:r>
        <w:t>μη κατοίκων στην Ελλάδα, σημείωσαν καθαρές ροές ύψους 8,1 δισ</w:t>
      </w:r>
      <w:r w:rsidRPr="000D3127">
        <w:t>. ευρώ</w:t>
      </w:r>
      <w:r w:rsidRPr="000D3127">
        <w:rPr>
          <w:rStyle w:val="ab"/>
          <w:rFonts w:cs="Arial"/>
          <w:color w:val="000000"/>
        </w:rPr>
        <w:footnoteReference w:id="6"/>
      </w:r>
      <w:r w:rsidRPr="000D3127">
        <w:t xml:space="preserve"> (</w:t>
      </w:r>
      <w:r w:rsidR="000A22D0" w:rsidRPr="000D3127">
        <w:fldChar w:fldCharType="begin"/>
      </w:r>
      <w:r w:rsidR="000A22D0" w:rsidRPr="000D3127">
        <w:instrText xml:space="preserve"> REF _Ref213753613 \h  \* MERGEFORMAT </w:instrText>
      </w:r>
      <w:r w:rsidR="000A22D0" w:rsidRPr="000D3127">
        <w:fldChar w:fldCharType="separate"/>
      </w:r>
      <w:r w:rsidR="00E15678" w:rsidRPr="00E15678">
        <w:t>Πίνακας 1.3</w:t>
      </w:r>
      <w:r w:rsidR="000A22D0" w:rsidRPr="000D3127">
        <w:fldChar w:fldCharType="end"/>
      </w:r>
      <w:r w:rsidR="00EB3700" w:rsidRPr="000D3127">
        <w:t>.</w:t>
      </w:r>
      <w:r w:rsidRPr="000D3127">
        <w:t>).</w:t>
      </w:r>
    </w:p>
    <w:p w14:paraId="6F32EEC8" w14:textId="1CADECC0" w:rsidR="00693A7C" w:rsidRPr="008A4143" w:rsidRDefault="00693A7C" w:rsidP="00693A7C">
      <w:pPr>
        <w:rPr>
          <w:color w:val="000000" w:themeColor="text1"/>
        </w:rPr>
      </w:pPr>
      <w:r>
        <w:t xml:space="preserve">Στις επενδύσεις χαρτοφυλακίου η άνοδος των απαιτήσεων των κατοίκων έναντι του εξωτερικού οφείλεται στη διεύρυνση κατά 4,4 δισ. ευρώ των τοποθετήσεων </w:t>
      </w:r>
      <w:r w:rsidR="003C3158">
        <w:t xml:space="preserve">των </w:t>
      </w:r>
      <w:r>
        <w:t xml:space="preserve">κατοίκων σε μετοχές επιχειρήσεων </w:t>
      </w:r>
      <w:r w:rsidR="00FA721B">
        <w:t xml:space="preserve">των </w:t>
      </w:r>
      <w:r>
        <w:t xml:space="preserve">μη κατοίκων, η οποία </w:t>
      </w:r>
      <w:r w:rsidRPr="005F5C4E">
        <w:t xml:space="preserve">αντισταθμίστηκε περίπου κατά το ήμισυ </w:t>
      </w:r>
      <w:r>
        <w:t xml:space="preserve">από τη </w:t>
      </w:r>
      <w:r w:rsidR="0046585F">
        <w:t>μείωση</w:t>
      </w:r>
      <w:r>
        <w:t xml:space="preserve"> κατά 2,7</w:t>
      </w:r>
      <w:r w:rsidR="003B3262">
        <w:t xml:space="preserve"> </w:t>
      </w:r>
      <w:r>
        <w:t xml:space="preserve">δισ. ευρώ των τοποθετήσεων </w:t>
      </w:r>
      <w:r w:rsidR="003C3158">
        <w:t xml:space="preserve">των </w:t>
      </w:r>
      <w:r>
        <w:t xml:space="preserve">κατοίκων σε ομόλογα και </w:t>
      </w:r>
      <w:r w:rsidR="003B3262">
        <w:t xml:space="preserve">σε </w:t>
      </w:r>
      <w:r>
        <w:t xml:space="preserve">έντοκα γραμμάτια του εξωτερικού. Η αύξηση των υποχρεώσεών τους αντανακλά κυρίως την άνοδο κατά 8,4 δισ. ευρώ των τοποθετήσεων </w:t>
      </w:r>
      <w:r w:rsidR="003C3158">
        <w:t xml:space="preserve">των </w:t>
      </w:r>
      <w:r>
        <w:t>μη κατοίκων σε ελληνικά ομόλογα και</w:t>
      </w:r>
      <w:r w:rsidR="003B3262">
        <w:t xml:space="preserve"> σε</w:t>
      </w:r>
      <w:r>
        <w:t xml:space="preserve"> έντοκα γραμμάτια</w:t>
      </w:r>
      <w:r w:rsidRPr="008A4143">
        <w:t>.</w:t>
      </w:r>
    </w:p>
    <w:p w14:paraId="0FFF674B" w14:textId="0C3C5261" w:rsidR="00693A7C" w:rsidRPr="00516ABB" w:rsidRDefault="00693A7C" w:rsidP="00693A7C">
      <w:pPr>
        <w:rPr>
          <w:color w:val="000000" w:themeColor="text1"/>
        </w:rPr>
      </w:pPr>
      <w:r>
        <w:t>Στην κατηγορία των λοιπών επενδύσεων η αύξηση των απαιτήσεων των κατοίκων έναντι του εξωτερικού οφείλεται κυρίως στη</w:t>
      </w:r>
      <w:r w:rsidR="00F32481">
        <w:t>ν</w:t>
      </w:r>
      <w:r>
        <w:t xml:space="preserve"> προσαρμογή </w:t>
      </w:r>
      <w:r w:rsidR="0046585F">
        <w:t>που αφορά</w:t>
      </w:r>
      <w:r>
        <w:t xml:space="preserve"> </w:t>
      </w:r>
      <w:r w:rsidR="0046585F">
        <w:t>σ</w:t>
      </w:r>
      <w:r>
        <w:t>την έκδοση τραπεζογραμματίων (κατά 4,3 δισ. ευρώ) και</w:t>
      </w:r>
      <w:r w:rsidR="005B6A6B">
        <w:t>,</w:t>
      </w:r>
      <w:r>
        <w:t xml:space="preserve"> σε μικρότερο βαθμό</w:t>
      </w:r>
      <w:r w:rsidR="00AA3F32">
        <w:t>,</w:t>
      </w:r>
      <w:r>
        <w:t xml:space="preserve"> στην άνοδο κατά 440,5 εκατ. ευρώ της χορήγησης δανείων σε μη κατοίκους, οι οποίες αντισταθμίστηκαν μερικώς από τη μείωση κατά 450,8 εκατ. ευρώ των τοποθετήσεων </w:t>
      </w:r>
      <w:r w:rsidR="003C3158">
        <w:t xml:space="preserve">των </w:t>
      </w:r>
      <w:r>
        <w:t xml:space="preserve">κατοίκων σε καταθέσεις και repos στο εξωτερικό. Η μείωση των υποχρεώσεών τους συνδέεται με την υποχώρηση των τοποθετήσεων </w:t>
      </w:r>
      <w:r w:rsidR="003C3158">
        <w:t xml:space="preserve">των </w:t>
      </w:r>
      <w:r>
        <w:t>μη κατοίκων σε καταθέσεις και repos στην Ελλάδα</w:t>
      </w:r>
      <w:r w:rsidR="0046585F">
        <w:t xml:space="preserve"> κατά 5,9 δισ. ευρώ</w:t>
      </w:r>
      <w:r>
        <w:t xml:space="preserve"> (περιλαμβάνεται και ο λογαριασμός TARGET), η οποία αντισταθμίστηκε στο μεγαλύτερο μέρος από τη στατιστική προσαρμογή για την έκδοση τραπεζογραμματίων (κατά 4,3 δισ. ευρώ).</w:t>
      </w:r>
    </w:p>
    <w:p w14:paraId="542A6CCE" w14:textId="7BFC26A9" w:rsidR="00693A7C" w:rsidRPr="00516ABB" w:rsidRDefault="00693A7C" w:rsidP="00693A7C">
      <w:pPr>
        <w:rPr>
          <w:color w:val="000000" w:themeColor="text1"/>
        </w:rPr>
      </w:pPr>
      <w:r w:rsidRPr="00516ABB">
        <w:t>Στο τέλος Αυγούστου 2025 τα συναλλαγματικά διαθέσιμα της χώρας διαμορφώθηκαν σε 17,4</w:t>
      </w:r>
      <w:r w:rsidR="003B3262">
        <w:t xml:space="preserve"> </w:t>
      </w:r>
      <w:r w:rsidRPr="00516ABB">
        <w:t>δισ. ευρώ έναντι 13,6</w:t>
      </w:r>
      <w:r w:rsidR="003B3262">
        <w:t xml:space="preserve"> </w:t>
      </w:r>
      <w:r w:rsidRPr="00516ABB">
        <w:t>δισ. ευρώ στο τέλος Αυγούστου 2024.</w:t>
      </w:r>
    </w:p>
    <w:p w14:paraId="1055E909" w14:textId="66EA5F36" w:rsidR="00622607" w:rsidRDefault="00CF0A58" w:rsidP="00300BBF">
      <w:pPr>
        <w:pStyle w:val="4"/>
      </w:pPr>
      <w:bookmarkStart w:id="73" w:name="_Toc214473733"/>
      <w:r>
        <w:t>Οι προοπτικές το 202</w:t>
      </w:r>
      <w:r w:rsidR="007D1755">
        <w:t>6</w:t>
      </w:r>
      <w:bookmarkEnd w:id="73"/>
    </w:p>
    <w:p w14:paraId="0AD17034" w14:textId="2A14DD99" w:rsidR="007D1755" w:rsidRDefault="007D1755" w:rsidP="007D1755">
      <w:r>
        <w:t xml:space="preserve">Η </w:t>
      </w:r>
      <w:r w:rsidR="0093374B">
        <w:t>έναρξη του έτους</w:t>
      </w:r>
      <w:r>
        <w:t xml:space="preserve"> 2026 </w:t>
      </w:r>
      <w:r w:rsidR="000D6A1B">
        <w:t xml:space="preserve">για την ελληνική οικονομία </w:t>
      </w:r>
      <w:r w:rsidR="0093374B">
        <w:t xml:space="preserve">σηματοδοτείται </w:t>
      </w:r>
      <w:r w:rsidR="000D6A1B">
        <w:t xml:space="preserve">από την εδραίωση </w:t>
      </w:r>
      <w:r>
        <w:t>συνθ</w:t>
      </w:r>
      <w:r w:rsidR="000D6A1B">
        <w:t>ηκών</w:t>
      </w:r>
      <w:r>
        <w:t xml:space="preserve"> βιώσιμης ανάπτυξης σε ένα διεθνές περιβάλλον που εξακολουθεί να </w:t>
      </w:r>
      <w:r w:rsidR="000D6A1B">
        <w:t>διέπεται</w:t>
      </w:r>
      <w:r>
        <w:t xml:space="preserve"> από γεωπολιτική αβεβαιότητα, </w:t>
      </w:r>
      <w:r w:rsidR="000D6A1B">
        <w:t xml:space="preserve">από </w:t>
      </w:r>
      <w:r>
        <w:t xml:space="preserve">μεταβαλλόμενες συνθήκες στο παγκόσμιο εμπόριο και στις αγορές ενέργειας </w:t>
      </w:r>
      <w:r w:rsidR="000D6A1B">
        <w:t xml:space="preserve">καθώς </w:t>
      </w:r>
      <w:r>
        <w:t xml:space="preserve">και </w:t>
      </w:r>
      <w:r w:rsidR="000D6A1B">
        <w:t>από</w:t>
      </w:r>
      <w:r w:rsidR="00F32481">
        <w:t xml:space="preserve"> </w:t>
      </w:r>
      <w:r>
        <w:t>κινδύνους για τη δημοσιονομική και πολιτική σταθερότητα σε μεγάλες ευρωπαϊκές οικονομίες.</w:t>
      </w:r>
    </w:p>
    <w:p w14:paraId="1FCA236E" w14:textId="680572D8" w:rsidR="007D1755" w:rsidRDefault="000D6A1B" w:rsidP="007D1755">
      <w:r>
        <w:t xml:space="preserve">Ως </w:t>
      </w:r>
      <w:r w:rsidR="00C71DD1">
        <w:t>αντιστάθμισμα</w:t>
      </w:r>
      <w:r>
        <w:t xml:space="preserve"> στους ανωτέρω </w:t>
      </w:r>
      <w:r w:rsidR="007D1755">
        <w:t>εξωγεν</w:t>
      </w:r>
      <w:r>
        <w:t xml:space="preserve">είς </w:t>
      </w:r>
      <w:r w:rsidR="007D1755">
        <w:t>παρ</w:t>
      </w:r>
      <w:r>
        <w:t>άγοντες</w:t>
      </w:r>
      <w:r w:rsidR="007D1755">
        <w:t xml:space="preserve"> αστάθειας και προκλήσεων, η θετική δυναμική της ελληνικής οικονομίας το 2026 προβλέπεται να στηριχθεί στην ενίσχυση </w:t>
      </w:r>
      <w:r w:rsidR="000E7037">
        <w:t>των επενδύσε</w:t>
      </w:r>
      <w:r w:rsidR="000E7037" w:rsidRPr="001575F7">
        <w:t>ων</w:t>
      </w:r>
      <w:r w:rsidR="005B6A6B">
        <w:t xml:space="preserve">, </w:t>
      </w:r>
      <w:r w:rsidR="007D1755">
        <w:t xml:space="preserve">όλων των συνιστωσών της εγχώριας ζήτησης, στην ώθηση της εξωτερικής ζήτησης για υπηρεσίες, στη </w:t>
      </w:r>
      <w:r w:rsidR="007D1755">
        <w:lastRenderedPageBreak/>
        <w:t xml:space="preserve">συνεχιζόμενη διεύρυνση της απασχόλησης </w:t>
      </w:r>
      <w:r w:rsidR="00AA3F32">
        <w:t xml:space="preserve">καθώς </w:t>
      </w:r>
      <w:r w:rsidR="007D1755">
        <w:t>και των εισοδημάτων και στη σταθερή δημοσιονομική πορεία.</w:t>
      </w:r>
    </w:p>
    <w:p w14:paraId="28BDF0B4" w14:textId="0E9DF450" w:rsidR="007D1755" w:rsidRPr="00125608" w:rsidRDefault="007D1755" w:rsidP="007D1755">
      <w:r>
        <w:t>Οι ανθεκτικοί ρυθμοί μεγέθυνσης των τελευταίων ετών, σε συνδυασμό με την πρόοδο των διαρθρωτικών μεταρρυθμίσεων και την ενισχυμένη απορρόφηση των ευρωπαϊκών πόρων, αναμένεται να μεταφέρουν τη θετική επίδρασ</w:t>
      </w:r>
      <w:r w:rsidR="004431FE">
        <w:t>ή</w:t>
      </w:r>
      <w:r>
        <w:t xml:space="preserve"> τους στο </w:t>
      </w:r>
      <w:r w:rsidR="004431FE">
        <w:t xml:space="preserve">έτος </w:t>
      </w:r>
      <w:r>
        <w:t>2026,</w:t>
      </w:r>
      <w:r w:rsidRPr="00F051BB">
        <w:t xml:space="preserve"> </w:t>
      </w:r>
      <w:r>
        <w:t xml:space="preserve">διαμορφώνοντας ένα ευνοϊκό πλαίσιο για την περαιτέρω βιώσιμη ανάπτυξη της ελληνικής οικονομίας. </w:t>
      </w:r>
      <w:r w:rsidR="000646EE">
        <w:t xml:space="preserve">Η αύξηση του </w:t>
      </w:r>
      <w:r w:rsidRPr="00125608">
        <w:t>πραγματικ</w:t>
      </w:r>
      <w:r w:rsidR="000646EE">
        <w:t>ού</w:t>
      </w:r>
      <w:r w:rsidRPr="00125608">
        <w:t xml:space="preserve"> ΑΕΠ </w:t>
      </w:r>
      <w:r>
        <w:t xml:space="preserve">στην Ελλάδα </w:t>
      </w:r>
      <w:r w:rsidR="00C31ED8" w:rsidRPr="00125608">
        <w:t xml:space="preserve">το 2026 </w:t>
      </w:r>
      <w:r w:rsidR="000646EE">
        <w:t>προβλέπεται σε</w:t>
      </w:r>
      <w:r w:rsidRPr="00125608">
        <w:t xml:space="preserve"> 2,4% σε ετήσια βάση, </w:t>
      </w:r>
      <w:r w:rsidR="000646EE">
        <w:t>εμφανίζοντας</w:t>
      </w:r>
      <w:r w:rsidR="006B213E">
        <w:t xml:space="preserve"> επ</w:t>
      </w:r>
      <w:r w:rsidR="004431FE" w:rsidRPr="00125608">
        <w:t xml:space="preserve">ιτάχυνση έναντι </w:t>
      </w:r>
      <w:r w:rsidR="004431FE" w:rsidRPr="00A3574C">
        <w:t xml:space="preserve">των </w:t>
      </w:r>
      <w:r w:rsidR="004431FE">
        <w:t>τριών</w:t>
      </w:r>
      <w:r w:rsidR="004431FE" w:rsidRPr="00A3574C">
        <w:t xml:space="preserve"> προηγούμενων ετών (2,1% το 202</w:t>
      </w:r>
      <w:r w:rsidR="004431FE">
        <w:t xml:space="preserve">3 και το 2024 και </w:t>
      </w:r>
      <w:r w:rsidR="004431FE" w:rsidRPr="00A3574C">
        <w:t>2,2% το 2025)</w:t>
      </w:r>
      <w:r w:rsidR="00C31ED8">
        <w:t xml:space="preserve">. Η εν λόγω αύξηση </w:t>
      </w:r>
      <w:r w:rsidR="00530662">
        <w:t>καθιστ</w:t>
      </w:r>
      <w:r w:rsidR="00C31ED8">
        <w:t xml:space="preserve">ά </w:t>
      </w:r>
      <w:r w:rsidR="00530662">
        <w:t xml:space="preserve">το 2026 </w:t>
      </w:r>
      <w:r w:rsidRPr="00125608">
        <w:t>το έκτο διαδοχικό έτος με ρυθμό ανάπτυξης άνω του 2%</w:t>
      </w:r>
      <w:r w:rsidRPr="00A3574C">
        <w:t>.</w:t>
      </w:r>
    </w:p>
    <w:p w14:paraId="19C7F6A5" w14:textId="77777777" w:rsidR="007D1755" w:rsidRDefault="007D1755" w:rsidP="007D1755">
      <w:r w:rsidRPr="0025392F">
        <w:t>Η επιτάχυνση της πραγματικής ανάπτυξης</w:t>
      </w:r>
      <w:r>
        <w:t xml:space="preserve"> το 2026</w:t>
      </w:r>
      <w:r w:rsidRPr="0025392F">
        <w:t xml:space="preserve"> εδράζεται </w:t>
      </w:r>
      <w:r>
        <w:t xml:space="preserve">στους ακόλουθους </w:t>
      </w:r>
      <w:r w:rsidRPr="0025392F">
        <w:t>βασικούς άξονες ανθεκτικότητας</w:t>
      </w:r>
      <w:r>
        <w:t>:</w:t>
      </w:r>
    </w:p>
    <w:p w14:paraId="274DD5D6" w14:textId="77777777" w:rsidR="007D1755" w:rsidRPr="003C47E7" w:rsidRDefault="007D1755" w:rsidP="00EC630C">
      <w:pPr>
        <w:numPr>
          <w:ilvl w:val="0"/>
          <w:numId w:val="12"/>
        </w:numPr>
        <w:spacing w:before="120" w:after="60"/>
        <w:ind w:left="568" w:hanging="284"/>
      </w:pPr>
      <w:r w:rsidRPr="003C47E7">
        <w:t>στις νέες κυβερνητικές παρεμβάσεις μείωσης των φορολογικών βαρών και ενίσχυσης των εισοδημάτων και των επενδύσεων,</w:t>
      </w:r>
    </w:p>
    <w:p w14:paraId="70112790" w14:textId="77777777" w:rsidR="007D1755" w:rsidRPr="003C47E7" w:rsidRDefault="007D1755" w:rsidP="00EC630C">
      <w:pPr>
        <w:numPr>
          <w:ilvl w:val="0"/>
          <w:numId w:val="12"/>
        </w:numPr>
        <w:spacing w:before="60" w:after="60"/>
        <w:ind w:left="568" w:hanging="284"/>
      </w:pPr>
      <w:r w:rsidRPr="003C47E7">
        <w:t>στη συνεχιζόμενη επέκταση της αγοράς εργασίας, που ενισχύει το διαθέσιμο εισόδημα και την καταναλωτική εμπιστοσύνη,</w:t>
      </w:r>
    </w:p>
    <w:p w14:paraId="5D27C1B0" w14:textId="0AF45ACB" w:rsidR="007D1755" w:rsidRPr="003C47E7" w:rsidRDefault="007D1755" w:rsidP="00EC630C">
      <w:pPr>
        <w:numPr>
          <w:ilvl w:val="0"/>
          <w:numId w:val="12"/>
        </w:numPr>
        <w:spacing w:before="60" w:after="60"/>
        <w:ind w:left="568" w:hanging="284"/>
      </w:pPr>
      <w:r w:rsidRPr="003C47E7">
        <w:t>στην αξιοποίηση των ευρωπαϊκών πόρων του ΤΑΑ/Next Generation EU (NGEU), που συνδέεται με την επέκταση της αγοράς εργασίας και την ώθηση της επενδυτικής δραστηριότητας και</w:t>
      </w:r>
    </w:p>
    <w:p w14:paraId="593E58E0" w14:textId="77777777" w:rsidR="007D1755" w:rsidRPr="003C47E7" w:rsidRDefault="007D1755" w:rsidP="00EC630C">
      <w:pPr>
        <w:numPr>
          <w:ilvl w:val="0"/>
          <w:numId w:val="12"/>
        </w:numPr>
        <w:spacing w:before="60"/>
        <w:ind w:left="568" w:hanging="284"/>
      </w:pPr>
      <w:r w:rsidRPr="003C47E7">
        <w:t>στην προοδευτική αναβάθμιση της παραγωγικής βάσης μέσω των διαρθρωτικών μεταρρυθμίσεων, που ενισχύει την ανταγωνιστικότητα της οικονομίας και τις προοπτικές των ελληνικών εξαγωγών.</w:t>
      </w:r>
    </w:p>
    <w:p w14:paraId="47E45E58" w14:textId="7C1BDAF9" w:rsidR="007D1755" w:rsidRDefault="007D1755" w:rsidP="009B1E57">
      <w:r w:rsidRPr="0082513D">
        <w:rPr>
          <w:rFonts w:cs="Arial"/>
          <w:szCs w:val="22"/>
        </w:rPr>
        <w:t xml:space="preserve">Εν μέσω </w:t>
      </w:r>
      <w:r w:rsidR="00A42D7E">
        <w:rPr>
          <w:rFonts w:cs="Arial"/>
          <w:szCs w:val="22"/>
        </w:rPr>
        <w:t xml:space="preserve">της </w:t>
      </w:r>
      <w:r w:rsidRPr="0082513D">
        <w:rPr>
          <w:rFonts w:cs="Arial"/>
          <w:szCs w:val="22"/>
        </w:rPr>
        <w:t xml:space="preserve">σταδιακής ολοκλήρωσης του </w:t>
      </w:r>
      <w:r w:rsidR="000646EE">
        <w:rPr>
          <w:rFonts w:cs="Arial"/>
          <w:szCs w:val="22"/>
        </w:rPr>
        <w:t xml:space="preserve">Εθνικού Σχεδίου </w:t>
      </w:r>
      <w:r w:rsidR="000646EE" w:rsidRPr="00394F3C">
        <w:t>Ανάκαμψης και Ανθεκτικότητας</w:t>
      </w:r>
      <w:r w:rsidR="000646EE">
        <w:rPr>
          <w:rFonts w:cs="Arial"/>
          <w:szCs w:val="22"/>
        </w:rPr>
        <w:t xml:space="preserve"> </w:t>
      </w:r>
      <w:r w:rsidRPr="0082513D">
        <w:rPr>
          <w:rFonts w:cs="Arial"/>
          <w:szCs w:val="22"/>
        </w:rPr>
        <w:t>«Ελλάδα 2.0» οι αυξημένοι πόροι και η περαιτέρω ωρίμανση των έργων που χρηματοδοτούνται από το Τ</w:t>
      </w:r>
      <w:r w:rsidR="00AC2D61">
        <w:rPr>
          <w:rFonts w:cs="Arial"/>
          <w:szCs w:val="22"/>
        </w:rPr>
        <w:t>ΑΑ</w:t>
      </w:r>
      <w:r w:rsidR="00A42D7E">
        <w:rPr>
          <w:rFonts w:cs="Arial"/>
          <w:szCs w:val="22"/>
        </w:rPr>
        <w:t>,</w:t>
      </w:r>
      <w:r w:rsidRPr="0082513D">
        <w:rPr>
          <w:rFonts w:cs="Arial"/>
          <w:szCs w:val="22"/>
        </w:rPr>
        <w:t xml:space="preserve"> αναμένεται να </w:t>
      </w:r>
      <w:r w:rsidR="00A42D7E">
        <w:rPr>
          <w:rFonts w:cs="Arial"/>
          <w:szCs w:val="22"/>
        </w:rPr>
        <w:t xml:space="preserve">επιφέρουν ενίσχυση </w:t>
      </w:r>
      <w:r w:rsidRPr="0082513D">
        <w:rPr>
          <w:rFonts w:cs="Arial"/>
          <w:szCs w:val="22"/>
        </w:rPr>
        <w:t>τη</w:t>
      </w:r>
      <w:r w:rsidR="00A42D7E">
        <w:rPr>
          <w:rFonts w:cs="Arial"/>
          <w:szCs w:val="22"/>
        </w:rPr>
        <w:t>ς</w:t>
      </w:r>
      <w:r w:rsidRPr="0082513D">
        <w:rPr>
          <w:rFonts w:cs="Arial"/>
          <w:szCs w:val="22"/>
        </w:rPr>
        <w:t xml:space="preserve"> επενδυτική</w:t>
      </w:r>
      <w:r w:rsidR="00A42D7E">
        <w:rPr>
          <w:rFonts w:cs="Arial"/>
          <w:szCs w:val="22"/>
        </w:rPr>
        <w:t>ς</w:t>
      </w:r>
      <w:r w:rsidRPr="0082513D">
        <w:rPr>
          <w:rFonts w:cs="Arial"/>
          <w:szCs w:val="22"/>
        </w:rPr>
        <w:t xml:space="preserve"> δραστηριότητα</w:t>
      </w:r>
      <w:r w:rsidR="00A42D7E">
        <w:rPr>
          <w:rFonts w:cs="Arial"/>
          <w:szCs w:val="22"/>
        </w:rPr>
        <w:t>ς, η οποία σ</w:t>
      </w:r>
      <w:r>
        <w:rPr>
          <w:rFonts w:cs="Arial"/>
          <w:szCs w:val="22"/>
        </w:rPr>
        <w:t>ε συνδυασμό με τη συνυπάρχουσα δυναμική των ιδιωτικών επενδύσεων οδηγεί σε πρόβλεψη για</w:t>
      </w:r>
      <w:r w:rsidRPr="0082513D">
        <w:rPr>
          <w:rFonts w:cs="Arial"/>
          <w:szCs w:val="22"/>
        </w:rPr>
        <w:t xml:space="preserve"> σημαντική αύξηση του ακαθάριστου σχηματισμού παγίου κεφαλαίου </w:t>
      </w:r>
      <w:r>
        <w:rPr>
          <w:rFonts w:cs="Arial"/>
          <w:szCs w:val="22"/>
        </w:rPr>
        <w:t>το 2026 κατά</w:t>
      </w:r>
      <w:r w:rsidRPr="0082513D">
        <w:rPr>
          <w:rFonts w:cs="Arial"/>
          <w:szCs w:val="22"/>
        </w:rPr>
        <w:t xml:space="preserve"> 10,2% </w:t>
      </w:r>
      <w:r>
        <w:rPr>
          <w:rFonts w:cs="Arial"/>
          <w:szCs w:val="22"/>
        </w:rPr>
        <w:t xml:space="preserve">σε ετήσια βάση και σταθερές τιμές </w:t>
      </w:r>
      <w:r w:rsidRPr="0082513D">
        <w:rPr>
          <w:rFonts w:cs="Arial"/>
          <w:szCs w:val="22"/>
        </w:rPr>
        <w:t>έναντι 5,7% το 2025.</w:t>
      </w:r>
      <w:r w:rsidRPr="0082513D">
        <w:t xml:space="preserve"> Η </w:t>
      </w:r>
      <w:r>
        <w:t>διψήφια αύξηση</w:t>
      </w:r>
      <w:r w:rsidRPr="0082513D">
        <w:t xml:space="preserve"> </w:t>
      </w:r>
      <w:r>
        <w:t xml:space="preserve">του όγκου </w:t>
      </w:r>
      <w:r w:rsidR="00FA721B">
        <w:t xml:space="preserve">των </w:t>
      </w:r>
      <w:r>
        <w:t>επενδύσεων</w:t>
      </w:r>
      <w:r w:rsidRPr="0082513D">
        <w:t xml:space="preserve"> αντανακλά τη διεύρυνση </w:t>
      </w:r>
      <w:r>
        <w:t>της επενδυτικής δραστηριότητας</w:t>
      </w:r>
      <w:r w:rsidRPr="0082513D">
        <w:t xml:space="preserve"> σε όλους τους τομείς της οικονομίας, ιδίως στις κατασκευές και τον παραγωγικό εξοπλισμό, </w:t>
      </w:r>
      <w:r>
        <w:t>γεγονός που δρα υποστηρικτικά για τη δυνητική παραγωγικότητα της ελληνικής οικονομίας</w:t>
      </w:r>
      <w:r w:rsidRPr="0082513D">
        <w:t>.</w:t>
      </w:r>
      <w:r>
        <w:t xml:space="preserve"> Το 53% </w:t>
      </w:r>
      <w:r w:rsidRPr="0025392F">
        <w:t xml:space="preserve">περίπου της αύξησης </w:t>
      </w:r>
      <w:r>
        <w:t>των επενδύσεων εκτιμάται ότι θα προέλθει από τ</w:t>
      </w:r>
      <w:r w:rsidRPr="0025392F">
        <w:t xml:space="preserve">ις επενδύσεις σε κατασκευές (μεταβολή 13,8% σε ετήσια βάση) και το </w:t>
      </w:r>
      <w:r>
        <w:t>υπόλοιπο 47%</w:t>
      </w:r>
      <w:r w:rsidRPr="0025392F">
        <w:t xml:space="preserve"> </w:t>
      </w:r>
      <w:r>
        <w:t xml:space="preserve">από τις </w:t>
      </w:r>
      <w:r w:rsidRPr="0025392F">
        <w:t xml:space="preserve">επενδύσεις σε εξοπλισμό (μεταβολή 10,1% σε ετήσια βάση) </w:t>
      </w:r>
      <w:r w:rsidR="00277037">
        <w:t xml:space="preserve">καθώς </w:t>
      </w:r>
      <w:r w:rsidRPr="0025392F">
        <w:t xml:space="preserve">και </w:t>
      </w:r>
      <w:r>
        <w:t>από</w:t>
      </w:r>
      <w:r w:rsidRPr="0025392F">
        <w:t xml:space="preserve"> </w:t>
      </w:r>
      <w:r>
        <w:t xml:space="preserve">τις </w:t>
      </w:r>
      <w:r w:rsidRPr="0025392F">
        <w:t>επενδύσεις σε αγροτικά και λοιπά αγαθά (μεταβολή 2,</w:t>
      </w:r>
      <w:r>
        <w:t>4</w:t>
      </w:r>
      <w:r w:rsidRPr="0025392F">
        <w:t>% σε ετήσια βάση).</w:t>
      </w:r>
    </w:p>
    <w:p w14:paraId="1C653BD6" w14:textId="364C1A83" w:rsidR="009B1E57" w:rsidRPr="000D3127" w:rsidRDefault="009B1E57" w:rsidP="00217248">
      <w:pPr>
        <w:spacing w:before="120" w:after="240"/>
      </w:pPr>
      <w:r w:rsidRPr="00C50EBB">
        <w:t xml:space="preserve">Ως εκ τούτου, οι επενδύσεις προβλέπεται να αποτελέσουν τον κύριο μοχλό ανάπτυξης για το 2026, συμβάλλοντας στην ετήσια πραγματική ανάπτυξη κατά 1,8 ποσοστιαίες μονάδες. Το αρνητικό επενδυτικό κενό της Ελλάδας απέναντι στην Ευρωζώνη, το οποίο βαίνει συνεχώς </w:t>
      </w:r>
      <w:r>
        <w:t>μειούμενο</w:t>
      </w:r>
      <w:r w:rsidRPr="00C50EBB">
        <w:t xml:space="preserve"> από το 2020, αναμένεται στο τέλος του 2026 να έχει συρρικνωθεί στο μικρότερο μέγεθος για όλη την περίοδο από την έναρξη της οικονομικής προσαρμογής. Μάλιστα, σύμφωνα με τα αναθεωρημένα στοιχεία Εθνικών Λογαριασμών της Ε</w:t>
      </w:r>
      <w:r>
        <w:t xml:space="preserve">ΛΣΤΑΤ </w:t>
      </w:r>
      <w:r w:rsidRPr="00C50EBB">
        <w:t>(Οκτώβριος 2025), ο όγκος</w:t>
      </w:r>
      <w:r>
        <w:t xml:space="preserve"> των</w:t>
      </w:r>
      <w:r w:rsidRPr="00C50EBB">
        <w:t xml:space="preserve"> επενδύσεων στην Ελλάδα διαμορφώθηκε</w:t>
      </w:r>
      <w:r>
        <w:t>,</w:t>
      </w:r>
      <w:r w:rsidRPr="00C50EBB">
        <w:t xml:space="preserve"> ήδη το 2024</w:t>
      </w:r>
      <w:r>
        <w:t>,</w:t>
      </w:r>
      <w:r w:rsidRPr="00DD58A1">
        <w:t xml:space="preserve"> </w:t>
      </w:r>
      <w:r w:rsidRPr="00C50EBB">
        <w:t xml:space="preserve">σε ποσοστό 17,0% του ΑΕΠ έναντι </w:t>
      </w:r>
      <w:r>
        <w:t xml:space="preserve">της </w:t>
      </w:r>
      <w:r w:rsidRPr="00C50EBB">
        <w:t xml:space="preserve">προηγούμενης εκτίμησης 16,1%. </w:t>
      </w:r>
      <w:r>
        <w:t xml:space="preserve">Υπό το πρίσμα των εν λόγω νέων </w:t>
      </w:r>
      <w:r w:rsidRPr="00C50EBB">
        <w:t>δεδομέν</w:t>
      </w:r>
      <w:r>
        <w:t>ων</w:t>
      </w:r>
      <w:r w:rsidRPr="00C50EBB">
        <w:t xml:space="preserve">, </w:t>
      </w:r>
      <w:r>
        <w:t>οι</w:t>
      </w:r>
      <w:r w:rsidRPr="00C50EBB">
        <w:t xml:space="preserve"> επενδύσε</w:t>
      </w:r>
      <w:r>
        <w:t xml:space="preserve">ις </w:t>
      </w:r>
      <w:r w:rsidRPr="00C50EBB">
        <w:t xml:space="preserve">στην Ελλάδα προβλέπεται να </w:t>
      </w:r>
      <w:r>
        <w:t>αυξήσουν τον όγκο τους</w:t>
      </w:r>
      <w:r w:rsidRPr="00C50EBB">
        <w:t xml:space="preserve"> σε ποσοστό 18,9% του ΑΕΠ το 2026 από 17,6% το 2025, </w:t>
      </w:r>
      <w:r>
        <w:t xml:space="preserve">το οποίο είναι </w:t>
      </w:r>
      <w:r w:rsidRPr="00C50EBB">
        <w:t>υψηλότερ</w:t>
      </w:r>
      <w:r>
        <w:t>ο</w:t>
      </w:r>
      <w:r w:rsidRPr="00C50EBB">
        <w:t xml:space="preserve"> κατά 1,0 ποσοστιαία μονάδα</w:t>
      </w:r>
      <w:r>
        <w:t xml:space="preserve"> </w:t>
      </w:r>
      <w:r w:rsidRPr="00C50EBB">
        <w:t xml:space="preserve">από την πρόβλεψη του </w:t>
      </w:r>
      <w:r>
        <w:t>π</w:t>
      </w:r>
      <w:r w:rsidRPr="00C50EBB">
        <w:t xml:space="preserve">ροσχεδίου </w:t>
      </w:r>
      <w:r>
        <w:t>του κ</w:t>
      </w:r>
      <w:r w:rsidRPr="00C50EBB">
        <w:t xml:space="preserve">ρατικού </w:t>
      </w:r>
      <w:r>
        <w:t>π</w:t>
      </w:r>
      <w:r w:rsidRPr="00C50EBB">
        <w:t>ροϋπολογισμού</w:t>
      </w:r>
      <w:r>
        <w:t xml:space="preserve"> 2026</w:t>
      </w:r>
      <w:r w:rsidRPr="00C50EBB">
        <w:t xml:space="preserve">. Σε ονομαστικούς όρους οι επενδύσεις στην Ελλάδα προβλέπεται το 2026 να ανέλθουν σε ποσοστό 17,7% του ΑΕΠ έναντι 16,4% το 2025, σηματοδοτώντας το υψηλότερο ποσοστό </w:t>
      </w:r>
      <w:r>
        <w:t>μετά</w:t>
      </w:r>
      <w:r w:rsidRPr="00C50EBB">
        <w:t xml:space="preserve"> </w:t>
      </w:r>
      <w:r w:rsidRPr="000D3127">
        <w:t>το 2009 (</w:t>
      </w:r>
      <w:r w:rsidRPr="000D3127">
        <w:fldChar w:fldCharType="begin"/>
      </w:r>
      <w:r w:rsidRPr="000D3127">
        <w:instrText xml:space="preserve"> REF _Ref150437178 \h  \* MERGEFORMAT </w:instrText>
      </w:r>
      <w:r w:rsidRPr="000D3127">
        <w:fldChar w:fldCharType="separate"/>
      </w:r>
      <w:r w:rsidR="00E15678" w:rsidRPr="00E15678">
        <w:t>Διάγραμμα 1.6</w:t>
      </w:r>
      <w:r w:rsidRPr="000D3127">
        <w:fldChar w:fldCharType="end"/>
      </w:r>
      <w:r w:rsidRPr="000D3127">
        <w:t>.).</w:t>
      </w:r>
    </w:p>
    <w:p w14:paraId="2D7CAC6E" w14:textId="46E533FF" w:rsidR="001F55CA" w:rsidRPr="00341EB1" w:rsidRDefault="007B6DB8" w:rsidP="00261DCB">
      <w:pPr>
        <w:pStyle w:val="afe"/>
        <w:keepNext/>
        <w:keepLines/>
        <w:spacing w:after="60" w:line="276" w:lineRule="auto"/>
        <w:rPr>
          <w:rFonts w:cs="Arial"/>
          <w:sz w:val="18"/>
          <w:szCs w:val="18"/>
        </w:rPr>
      </w:pPr>
      <w:bookmarkStart w:id="74" w:name="_Ref150437178"/>
      <w:bookmarkStart w:id="75" w:name="_Toc214474701"/>
      <w:r w:rsidRPr="00341EB1">
        <w:rPr>
          <w:sz w:val="18"/>
          <w:szCs w:val="18"/>
        </w:rPr>
        <w:lastRenderedPageBreak/>
        <w:t>Διάγραμμα 1.</w:t>
      </w:r>
      <w:r w:rsidRPr="00341EB1">
        <w:rPr>
          <w:sz w:val="18"/>
          <w:szCs w:val="18"/>
        </w:rPr>
        <w:fldChar w:fldCharType="begin"/>
      </w:r>
      <w:r w:rsidRPr="00341EB1">
        <w:rPr>
          <w:sz w:val="18"/>
          <w:szCs w:val="18"/>
        </w:rPr>
        <w:instrText xml:space="preserve"> SEQ Διάγραμμα_1. \* ARABIC </w:instrText>
      </w:r>
      <w:r w:rsidRPr="00341EB1">
        <w:rPr>
          <w:sz w:val="18"/>
          <w:szCs w:val="18"/>
        </w:rPr>
        <w:fldChar w:fldCharType="separate"/>
      </w:r>
      <w:r w:rsidR="00E15678">
        <w:rPr>
          <w:noProof/>
          <w:sz w:val="18"/>
          <w:szCs w:val="18"/>
        </w:rPr>
        <w:t>6</w:t>
      </w:r>
      <w:r w:rsidRPr="00341EB1">
        <w:rPr>
          <w:sz w:val="18"/>
          <w:szCs w:val="18"/>
        </w:rPr>
        <w:fldChar w:fldCharType="end"/>
      </w:r>
      <w:bookmarkEnd w:id="74"/>
      <w:r w:rsidRPr="00341EB1">
        <w:rPr>
          <w:sz w:val="18"/>
          <w:szCs w:val="18"/>
        </w:rPr>
        <w:t xml:space="preserve">.: </w:t>
      </w:r>
      <w:r w:rsidR="003666B7" w:rsidRPr="00341EB1">
        <w:rPr>
          <w:sz w:val="18"/>
          <w:szCs w:val="18"/>
        </w:rPr>
        <w:t>Το ε</w:t>
      </w:r>
      <w:r w:rsidR="001F55CA" w:rsidRPr="00341EB1">
        <w:rPr>
          <w:rFonts w:cs="Arial"/>
          <w:sz w:val="18"/>
          <w:szCs w:val="18"/>
        </w:rPr>
        <w:t>πενδυτικό κενό της Ελλάδας έναντι της Ευρωζώνης</w:t>
      </w:r>
      <w:r w:rsidR="00261DCB" w:rsidRPr="00341EB1">
        <w:rPr>
          <w:rFonts w:cs="Arial"/>
          <w:sz w:val="18"/>
          <w:szCs w:val="18"/>
        </w:rPr>
        <w:t xml:space="preserve"> </w:t>
      </w:r>
      <w:r w:rsidR="001F55CA" w:rsidRPr="00341EB1">
        <w:rPr>
          <w:rFonts w:cs="Arial"/>
          <w:sz w:val="18"/>
          <w:szCs w:val="18"/>
        </w:rPr>
        <w:t>(σταθερές τιμές</w:t>
      </w:r>
      <w:r w:rsidR="003666B7" w:rsidRPr="00341EB1">
        <w:rPr>
          <w:rFonts w:cs="Arial"/>
          <w:sz w:val="18"/>
          <w:szCs w:val="18"/>
        </w:rPr>
        <w:t>, μη εποχικά διορθωμένα στοιχεία</w:t>
      </w:r>
      <w:r w:rsidR="003A5408" w:rsidRPr="00341EB1">
        <w:rPr>
          <w:rFonts w:cs="Arial"/>
          <w:sz w:val="18"/>
          <w:szCs w:val="18"/>
        </w:rPr>
        <w:t>)</w:t>
      </w:r>
      <w:bookmarkEnd w:id="75"/>
    </w:p>
    <w:p w14:paraId="163CEDFB" w14:textId="01E0B5CE" w:rsidR="00731078" w:rsidRDefault="00F06DD4" w:rsidP="00341EB1">
      <w:pPr>
        <w:spacing w:after="0"/>
      </w:pPr>
      <w:r>
        <w:rPr>
          <w:noProof/>
        </w:rPr>
        <w:drawing>
          <wp:inline distT="0" distB="0" distL="0" distR="0" wp14:anchorId="24AB54D0" wp14:editId="214DB515">
            <wp:extent cx="5759450" cy="2700000"/>
            <wp:effectExtent l="0" t="0" r="12700" b="5715"/>
            <wp:docPr id="17" name="Γράφημα 17">
              <a:extLst xmlns:a="http://schemas.openxmlformats.org/drawingml/2006/main">
                <a:ext uri="{FF2B5EF4-FFF2-40B4-BE49-F238E27FC236}">
                  <a16:creationId xmlns:a16="http://schemas.microsoft.com/office/drawing/2014/main" id="{2419F796-4867-4398-96EA-1ED1B91F4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43B590" w14:textId="3F206F47" w:rsidR="008F2E51" w:rsidRPr="0025392F" w:rsidRDefault="008F2E51" w:rsidP="002F473B">
      <w:pPr>
        <w:spacing w:before="240"/>
      </w:pPr>
      <w:r w:rsidRPr="00125608">
        <w:t>Παράλληλα</w:t>
      </w:r>
      <w:r w:rsidRPr="00254DC1">
        <w:t xml:space="preserve">, η εφαρμογή των νέων μόνιμων δημοσιονομικών παρεμβάσεων που ανακοινώθηκαν στη Διεθνή Έκθεση Θεσσαλονίκης (ΔΕΘ) 2025, </w:t>
      </w:r>
      <w:r w:rsidR="000E7037">
        <w:t xml:space="preserve">συνολικού </w:t>
      </w:r>
      <w:r w:rsidRPr="00254DC1">
        <w:t>ύψους 1,76 δισ. ευρώ για το 2026,</w:t>
      </w:r>
      <w:r w:rsidRPr="00125608">
        <w:t xml:space="preserve"> </w:t>
      </w:r>
      <w:r>
        <w:t xml:space="preserve">προβλέπεται να ενισχύσει το εισόδημα και να μειώσει τα φορολογικά βάρη </w:t>
      </w:r>
      <w:r w:rsidRPr="0025392F">
        <w:t>για το μεγαλύτερο μέρος του πληθυσμού</w:t>
      </w:r>
      <w:r w:rsidRPr="00125608">
        <w:t>.</w:t>
      </w:r>
      <w:r w:rsidRPr="0025392F">
        <w:t xml:space="preserve"> </w:t>
      </w:r>
      <w:r w:rsidRPr="00254DC1">
        <w:t xml:space="preserve">Στο επίκεντρο των παρεμβάσεων βρίσκεται η σημαντική αναμόρφωση της κλίμακας του φόρου εισοδήματος μισθωτών, συνταξιούχων, αγροτών και ελεύθερων επαγγελματιών, ενώ ειδικές ρυθμίσεις για την επιπλέον φορολογική ελάφρυνση προβλέπονται για τις οικογένειες με παιδιά και για νέους ηλικίας έως 30 ετών. Η εν λόγω διαρθρωτική αναμόρφωση της φορολογικής κλίμακας εισοδήματος αναμένεται να επιφέρει στους οικογενειακούς προϋπολογισμούς ελάφρυνση ύψους 1,2 δισ. ευρώ το 2026 και επιπλέον 400 εκατ. ευρώ το 2027, </w:t>
      </w:r>
      <w:r w:rsidR="00740806">
        <w:t>αποσκοπώντας</w:t>
      </w:r>
      <w:r w:rsidRPr="00254DC1">
        <w:t xml:space="preserve"> στην ουσιαστική ενίσχυση των μεσαίων εισοδημάτων, των οικογενειών με παιδιά και των νέων.</w:t>
      </w:r>
    </w:p>
    <w:p w14:paraId="78991BF7" w14:textId="6DBDF687" w:rsidR="008F2E51" w:rsidRDefault="008F2E51" w:rsidP="002F473B">
      <w:pPr>
        <w:rPr>
          <w:rFonts w:cs="Arial"/>
        </w:rPr>
      </w:pPr>
      <w:r w:rsidRPr="0025392F">
        <w:t xml:space="preserve">Περαιτέρω ενίσχυση των εισοδημάτων αναμένεται το 2026 από τις υπόλοιπες νέες παρεμβάσεις, όπως η σταδιακή κατάργηση του συμψηφισμού της προσωπικής διαφοράς των συνταξιούχων, η μείωση </w:t>
      </w:r>
      <w:r>
        <w:t xml:space="preserve">του </w:t>
      </w:r>
      <w:r w:rsidRPr="0025392F">
        <w:t xml:space="preserve">φόρου </w:t>
      </w:r>
      <w:r>
        <w:t>εισοδήματος</w:t>
      </w:r>
      <w:r w:rsidRPr="0025392F">
        <w:t xml:space="preserve"> για ιδιοκτήτες ακινήτων, η μείωση κατά 30% μεσοσταθμικά των τεκμηρίων διαβίωσης, οι παρεμβάσεις στα ειδικά μισθολόγια </w:t>
      </w:r>
      <w:r w:rsidR="00D81813">
        <w:t xml:space="preserve">των </w:t>
      </w:r>
      <w:r>
        <w:t>Ε</w:t>
      </w:r>
      <w:r w:rsidRPr="0025392F">
        <w:t xml:space="preserve">νόπλων </w:t>
      </w:r>
      <w:r>
        <w:t>Δ</w:t>
      </w:r>
      <w:r w:rsidRPr="0025392F">
        <w:t xml:space="preserve">υνάμεων και </w:t>
      </w:r>
      <w:r w:rsidR="00D81813">
        <w:t xml:space="preserve">των </w:t>
      </w:r>
      <w:r>
        <w:t>Σ</w:t>
      </w:r>
      <w:r w:rsidRPr="0025392F">
        <w:t xml:space="preserve">ωμάτων </w:t>
      </w:r>
      <w:r>
        <w:t>Α</w:t>
      </w:r>
      <w:r w:rsidRPr="0025392F">
        <w:t>σφαλείας, η μείωση κατά 30% του Φ</w:t>
      </w:r>
      <w:r>
        <w:t xml:space="preserve">όρου </w:t>
      </w:r>
      <w:r w:rsidRPr="003C225E">
        <w:t xml:space="preserve">Προστιθέμενης Αξίας (ΦΠΑ) στα ακριτικά νησιά με πληθυσμό έως 20.000 κατοίκους, η τριετής </w:t>
      </w:r>
      <w:r w:rsidR="007A4543">
        <w:t>εξαίρεση από τ</w:t>
      </w:r>
      <w:r w:rsidRPr="003C225E">
        <w:t>ο ελάχιστο εισ</w:t>
      </w:r>
      <w:r w:rsidR="007A4543">
        <w:t xml:space="preserve">όδημα </w:t>
      </w:r>
      <w:r w:rsidRPr="003C225E">
        <w:t>για</w:t>
      </w:r>
      <w:r w:rsidR="00D81813">
        <w:t xml:space="preserve"> τις</w:t>
      </w:r>
      <w:r w:rsidRPr="003C225E">
        <w:t xml:space="preserve"> νέες μητέρες</w:t>
      </w:r>
      <w:r w:rsidRPr="0084395F">
        <w:t xml:space="preserve"> </w:t>
      </w:r>
      <w:r w:rsidR="007A4543">
        <w:t xml:space="preserve">που ασκούν ελεύθερο επάγγελμα </w:t>
      </w:r>
      <w:r w:rsidRPr="0084395F">
        <w:t xml:space="preserve">καθώς και οι ελαφρύνσεις σε οικισμούς με πληθυσμό έως 1.500 κατοίκους, όπως η σταδιακή κατάργηση του </w:t>
      </w:r>
      <w:r>
        <w:t>Ενιαίου Φόρου Ιδιοκτησίας Ακινήτων (</w:t>
      </w:r>
      <w:r w:rsidRPr="0084395F">
        <w:t>ΕΝΦΙΑ</w:t>
      </w:r>
      <w:r>
        <w:t>)</w:t>
      </w:r>
      <w:r w:rsidRPr="0084395F">
        <w:t xml:space="preserve"> για κύριες κατοικίες και η μείωση κατά 50% του </w:t>
      </w:r>
      <w:r>
        <w:rPr>
          <w:rFonts w:cs="Arial"/>
        </w:rPr>
        <w:t>ελάχιστου</w:t>
      </w:r>
      <w:r w:rsidRPr="0084395F">
        <w:rPr>
          <w:rFonts w:cs="Arial"/>
        </w:rPr>
        <w:t xml:space="preserve"> εισοδήματος για τους ελεύθερους επαγγελματίες</w:t>
      </w:r>
      <w:r>
        <w:rPr>
          <w:rFonts w:cs="Arial"/>
        </w:rPr>
        <w:t>.</w:t>
      </w:r>
    </w:p>
    <w:p w14:paraId="554A9341" w14:textId="4924B720" w:rsidR="002F473B" w:rsidRDefault="002F473B" w:rsidP="002F473B">
      <w:pPr>
        <w:spacing w:before="120" w:after="240"/>
      </w:pPr>
      <w:r w:rsidRPr="0025392F">
        <w:t>Η υλοποίηση αυτών των μ</w:t>
      </w:r>
      <w:r>
        <w:t xml:space="preserve">όνιμων </w:t>
      </w:r>
      <w:r w:rsidRPr="0025392F">
        <w:t>πολιτικών ενίσχυσης εισοδημάτων,</w:t>
      </w:r>
      <w:r>
        <w:t xml:space="preserve"> η οποία συντελείται </w:t>
      </w:r>
      <w:r w:rsidRPr="0025392F">
        <w:t>εντός των δημοσιονομικών στόχων</w:t>
      </w:r>
      <w:r>
        <w:t xml:space="preserve">, αφορά στη μεγάλη πλειοψηφία των πολιτών και οδηγεί στη </w:t>
      </w:r>
      <w:r w:rsidRPr="0025392F">
        <w:t>βελτίωση της αγοραστικής δύναμης των νοικοκυριών και στη στήριξη της εγχώριας ζήτησης με μόνιμο αποτύπωμα στο διαθέσιμο εισόδημα.</w:t>
      </w:r>
      <w:r>
        <w:t xml:space="preserve"> Επιπλέον, η μείωση των φορολογικών συντελεστών συνεπάγεται ότι οι αυξήσεις των αποδοχών κατά τα μελλοντικά έτη θα ενισχύουν ακόμα περισσότερο το καθαρό εισόδημα των εργαζόμενων. </w:t>
      </w:r>
      <w:r w:rsidRPr="0025392F">
        <w:t xml:space="preserve">Για το 2026 η θετική </w:t>
      </w:r>
      <w:r>
        <w:t xml:space="preserve">επίδραση </w:t>
      </w:r>
      <w:r w:rsidRPr="0025392F">
        <w:t xml:space="preserve">από το σύνολο των νέων κυβερνητικών παρεμβάσεων στην </w:t>
      </w:r>
      <w:r>
        <w:t xml:space="preserve">ετήσια </w:t>
      </w:r>
      <w:r w:rsidRPr="0025392F">
        <w:t>πραγματική ανάπτυξη προβλέπεται σε 0,</w:t>
      </w:r>
      <w:r>
        <w:t>6</w:t>
      </w:r>
      <w:r w:rsidRPr="0025392F">
        <w:t xml:space="preserve"> ποσοστιαίες μονάδες </w:t>
      </w:r>
      <w:r w:rsidRPr="0072765D">
        <w:rPr>
          <w:rFonts w:cs="Arial"/>
        </w:rPr>
        <w:t>του ΑΕΠ. Ως αποτέλεσμα, η ελληνική οικονομία προβλέπεται να συνεχίσει για έκτο συναπτό έτος να καταγράφει υψηλ</w:t>
      </w:r>
      <w:r w:rsidRPr="0025392F">
        <w:t>ότερο ρυθμό πραγματικής ανάπτυξης</w:t>
      </w:r>
      <w:r>
        <w:t>, σύμφωνα με τις προβλέψεις του Υπουργείου Εθνικής Οικονομίας και Οικονομικών (συνολικά 2,4% και ανά κάτοικο 2,6%),</w:t>
      </w:r>
      <w:r w:rsidRPr="0025392F">
        <w:t xml:space="preserve"> σε σχέση με τον μέσο όρο της Ευρωζώνης και της </w:t>
      </w:r>
      <w:r w:rsidRPr="00D81813">
        <w:t xml:space="preserve">ΕΕ, όπως αποτυπώνεται στις </w:t>
      </w:r>
      <w:r>
        <w:t>φθινοπωρινές</w:t>
      </w:r>
      <w:r w:rsidRPr="00D81813">
        <w:t xml:space="preserve"> οικονομικές προβλέψεις της Ευρωπαϊκής Επιτροπής (1,</w:t>
      </w:r>
      <w:r>
        <w:t>2</w:t>
      </w:r>
      <w:r w:rsidRPr="00D81813">
        <w:t>% για</w:t>
      </w:r>
      <w:r w:rsidRPr="009253FF">
        <w:t xml:space="preserve"> την</w:t>
      </w:r>
      <w:r w:rsidRPr="0025392F">
        <w:t xml:space="preserve"> Ευρωζώνη και 1,</w:t>
      </w:r>
      <w:r>
        <w:t>4</w:t>
      </w:r>
      <w:r w:rsidRPr="0025392F">
        <w:t>% για την ΕΕ</w:t>
      </w:r>
      <w:r>
        <w:t xml:space="preserve"> και </w:t>
      </w:r>
      <w:r w:rsidRPr="0025392F">
        <w:t>ανά κάτοικο 1,</w:t>
      </w:r>
      <w:r>
        <w:t>0</w:t>
      </w:r>
      <w:r w:rsidRPr="0025392F">
        <w:t>% και 1,</w:t>
      </w:r>
      <w:r>
        <w:t>2</w:t>
      </w:r>
      <w:r w:rsidRPr="0025392F">
        <w:t>%</w:t>
      </w:r>
      <w:r>
        <w:t>,</w:t>
      </w:r>
      <w:r w:rsidRPr="0025392F">
        <w:t xml:space="preserve"> αντίστοιχα)</w:t>
      </w:r>
      <w:r>
        <w:t xml:space="preserve">. </w:t>
      </w:r>
      <w:r w:rsidRPr="0025392F">
        <w:t xml:space="preserve">Με αυτόν τον τρόπο </w:t>
      </w:r>
      <w:r w:rsidRPr="0025392F">
        <w:lastRenderedPageBreak/>
        <w:t>ενισχύεται η μεσοπρόθεσμη προοπτική σύγκλισης με την Ευρωζώνη</w:t>
      </w:r>
      <w:r w:rsidR="00734F23">
        <w:t xml:space="preserve"> και συνακόλουθα βελτιώνεται</w:t>
      </w:r>
      <w:r w:rsidRPr="0025392F">
        <w:t xml:space="preserve"> σταδιακά η θέση της χώρας στο ευρωπαϊκό </w:t>
      </w:r>
      <w:r w:rsidRPr="000D3127">
        <w:t>πλαίσιο (</w:t>
      </w:r>
      <w:r w:rsidRPr="000D3127">
        <w:fldChar w:fldCharType="begin"/>
      </w:r>
      <w:r w:rsidRPr="000D3127">
        <w:instrText xml:space="preserve"> REF _Ref213426633 \h  \* MERGEFORMAT </w:instrText>
      </w:r>
      <w:r w:rsidRPr="000D3127">
        <w:fldChar w:fldCharType="separate"/>
      </w:r>
      <w:r w:rsidR="00E15678" w:rsidRPr="00E15678">
        <w:t>Διάγραμμα 1.7</w:t>
      </w:r>
      <w:r w:rsidRPr="000D3127">
        <w:fldChar w:fldCharType="end"/>
      </w:r>
      <w:r w:rsidRPr="000D3127">
        <w:t>.).</w:t>
      </w:r>
    </w:p>
    <w:p w14:paraId="79E9A9A6" w14:textId="21F0E4B5" w:rsidR="00320B3F" w:rsidRPr="00B551D7" w:rsidRDefault="00320B3F" w:rsidP="00320B3F">
      <w:pPr>
        <w:pStyle w:val="afe"/>
        <w:keepNext/>
        <w:keepLines/>
        <w:spacing w:after="60" w:line="276" w:lineRule="auto"/>
        <w:rPr>
          <w:sz w:val="18"/>
          <w:szCs w:val="18"/>
        </w:rPr>
      </w:pPr>
      <w:bookmarkStart w:id="76" w:name="_Ref213426633"/>
      <w:bookmarkStart w:id="77" w:name="_Toc214474702"/>
      <w:r w:rsidRPr="00B551D7">
        <w:rPr>
          <w:sz w:val="18"/>
          <w:szCs w:val="18"/>
        </w:rPr>
        <w:t>Διάγραμμα 1.</w:t>
      </w:r>
      <w:r w:rsidRPr="00B551D7">
        <w:rPr>
          <w:sz w:val="18"/>
          <w:szCs w:val="18"/>
        </w:rPr>
        <w:fldChar w:fldCharType="begin"/>
      </w:r>
      <w:r w:rsidRPr="00B551D7">
        <w:rPr>
          <w:sz w:val="18"/>
          <w:szCs w:val="18"/>
        </w:rPr>
        <w:instrText xml:space="preserve"> SEQ Διάγραμμα_1. \* ARABIC </w:instrText>
      </w:r>
      <w:r w:rsidRPr="00B551D7">
        <w:rPr>
          <w:sz w:val="18"/>
          <w:szCs w:val="18"/>
        </w:rPr>
        <w:fldChar w:fldCharType="separate"/>
      </w:r>
      <w:r w:rsidR="00E15678">
        <w:rPr>
          <w:noProof/>
          <w:sz w:val="18"/>
          <w:szCs w:val="18"/>
        </w:rPr>
        <w:t>7</w:t>
      </w:r>
      <w:r w:rsidRPr="00B551D7">
        <w:rPr>
          <w:sz w:val="18"/>
          <w:szCs w:val="18"/>
        </w:rPr>
        <w:fldChar w:fldCharType="end"/>
      </w:r>
      <w:bookmarkEnd w:id="76"/>
      <w:r w:rsidRPr="00B551D7">
        <w:rPr>
          <w:sz w:val="18"/>
          <w:szCs w:val="18"/>
        </w:rPr>
        <w:t xml:space="preserve">.: Ρυθμός μεταβολής κατά κεφαλήν ΑΕΠ (σταθερές τιμές, </w:t>
      </w:r>
      <w:r w:rsidR="001F2B20" w:rsidRPr="00B551D7">
        <w:rPr>
          <w:sz w:val="18"/>
          <w:szCs w:val="18"/>
        </w:rPr>
        <w:t>%</w:t>
      </w:r>
      <w:r w:rsidR="001F2B20">
        <w:rPr>
          <w:sz w:val="18"/>
          <w:szCs w:val="18"/>
        </w:rPr>
        <w:t xml:space="preserve"> </w:t>
      </w:r>
      <w:r w:rsidRPr="00B551D7">
        <w:rPr>
          <w:sz w:val="18"/>
          <w:szCs w:val="18"/>
        </w:rPr>
        <w:t>ετήσιες μεταβολές)</w:t>
      </w:r>
      <w:bookmarkEnd w:id="77"/>
    </w:p>
    <w:p w14:paraId="63278466" w14:textId="0A7D3E4F" w:rsidR="009210D9" w:rsidRDefault="009210D9" w:rsidP="009E727B">
      <w:pPr>
        <w:jc w:val="center"/>
      </w:pPr>
      <w:r w:rsidRPr="009E727B">
        <w:rPr>
          <w:noProof/>
          <w:sz w:val="14"/>
        </w:rPr>
        <w:drawing>
          <wp:inline distT="0" distB="0" distL="0" distR="0" wp14:anchorId="0E06BC05" wp14:editId="2D55E2D5">
            <wp:extent cx="5400000" cy="2577600"/>
            <wp:effectExtent l="0" t="0" r="10795" b="13335"/>
            <wp:docPr id="15" name="Γράφημα 15">
              <a:extLst xmlns:a="http://schemas.openxmlformats.org/drawingml/2006/main">
                <a:ext uri="{FF2B5EF4-FFF2-40B4-BE49-F238E27FC236}">
                  <a16:creationId xmlns:a16="http://schemas.microsoft.com/office/drawing/2014/main" id="{170FDD37-DBBA-4404-AE38-B20D944CA8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59D7C7" w14:textId="6DFAEE40" w:rsidR="00FF133D" w:rsidRPr="0025392F" w:rsidRDefault="00FF133D" w:rsidP="002F473B">
      <w:pPr>
        <w:spacing w:before="240"/>
      </w:pPr>
      <w:r>
        <w:t>Βασιζόμενη σ</w:t>
      </w:r>
      <w:r w:rsidRPr="0025392F">
        <w:t xml:space="preserve">τα ενισχυμένα εισοδήματα, η πραγματική καταναλωτική δαπάνη προβλέπεται να αυξηθεί κατά 1,5% το 2026 σε ετήσια βάση, </w:t>
      </w:r>
      <w:r>
        <w:t xml:space="preserve">δεδομένου ότι </w:t>
      </w:r>
      <w:r w:rsidRPr="0025392F">
        <w:t xml:space="preserve">η ιδιωτική κατανάλωση αναμένεται να αυξηθεί κατά 1,7% και η δημόσια κατανάλωση κατά 0,7%, </w:t>
      </w:r>
      <w:r>
        <w:t xml:space="preserve">με εφαλτήριο </w:t>
      </w:r>
      <w:r w:rsidRPr="0025392F">
        <w:t>τις παρεμβάσεις εισοδηματικής πολιτικής για τον ιδιωτικό και τον δημόσιο τομέα</w:t>
      </w:r>
      <w:r>
        <w:t xml:space="preserve">, </w:t>
      </w:r>
      <w:r w:rsidRPr="0025392F">
        <w:t>τις θετικές εξελίξεις στην αγορά εργασίας,</w:t>
      </w:r>
      <w:r>
        <w:t xml:space="preserve"> </w:t>
      </w:r>
      <w:r w:rsidRPr="0025392F">
        <w:t>την επιβράδυνση του ρυθμού πληθωρισμού</w:t>
      </w:r>
      <w:r>
        <w:t xml:space="preserve"> καθώς </w:t>
      </w:r>
      <w:r w:rsidRPr="0025392F">
        <w:t>και την ενίσχυση του καταναλωτικού κλίματος.</w:t>
      </w:r>
    </w:p>
    <w:p w14:paraId="1FB7CD34" w14:textId="2F7A4958" w:rsidR="00FF133D" w:rsidRDefault="00FF133D" w:rsidP="00FF133D">
      <w:r w:rsidRPr="0025392F">
        <w:t>Η απασχόληση εκτιμάται ότι θα συνεχίσει να κινείται ανοδικά το 2026 κατά 0,4% σε ετήσια εθνικολογιστική βάση, αντικατοπτρίζοντας συγκριτικά μεγαλύτερη αύξηση του αριθμού των μισθωτών κατά 0,6%</w:t>
      </w:r>
      <w:r>
        <w:t>.</w:t>
      </w:r>
      <w:r w:rsidRPr="0025392F">
        <w:t xml:space="preserve"> Σε εθνικολογιστικά μεγέθη ο αριθμός των μισθωτών το 2026 αναμένεται να ανέλθει σε 3,9</w:t>
      </w:r>
      <w:r>
        <w:t>4</w:t>
      </w:r>
      <w:r w:rsidRPr="0025392F">
        <w:t xml:space="preserve"> εκατομμύρια</w:t>
      </w:r>
      <w:r>
        <w:t xml:space="preserve"> </w:t>
      </w:r>
      <w:r w:rsidRPr="0025392F">
        <w:t xml:space="preserve">περίπου, </w:t>
      </w:r>
      <w:r w:rsidR="007A4543">
        <w:t xml:space="preserve">αυξημένος </w:t>
      </w:r>
      <w:r w:rsidRPr="0025392F">
        <w:t xml:space="preserve">κατά </w:t>
      </w:r>
      <w:r>
        <w:t>723</w:t>
      </w:r>
      <w:r w:rsidRPr="0025392F">
        <w:t xml:space="preserve"> χιλιάδες άτομα </w:t>
      </w:r>
      <w:r w:rsidR="007A4543">
        <w:t xml:space="preserve">σε σύγκριση με </w:t>
      </w:r>
      <w:r w:rsidRPr="0025392F">
        <w:t>το 2008, πριν την οικονομική κρίση χρέους στην Ελλάδα. Αντίστοιχα, ο αριθμός των συνολικά απασχολούμενων αναμένεται να ανέλθει σε 5,2</w:t>
      </w:r>
      <w:r>
        <w:t>4</w:t>
      </w:r>
      <w:r w:rsidRPr="0025392F">
        <w:t xml:space="preserve"> εκατομμύρια, </w:t>
      </w:r>
      <w:r w:rsidR="007A4543">
        <w:t>παρουσιάζοντας αύξηση κατά</w:t>
      </w:r>
      <w:r w:rsidR="00FF0F33">
        <w:t xml:space="preserve"> </w:t>
      </w:r>
      <w:r>
        <w:t>376</w:t>
      </w:r>
      <w:r w:rsidRPr="0025392F">
        <w:t xml:space="preserve"> χιλιάδες άτομα</w:t>
      </w:r>
      <w:r w:rsidR="00FF0F33">
        <w:t xml:space="preserve"> έναντι του 2008</w:t>
      </w:r>
      <w:r w:rsidRPr="0025392F">
        <w:t xml:space="preserve">, </w:t>
      </w:r>
      <w:r w:rsidR="00FF0F33">
        <w:t xml:space="preserve">η </w:t>
      </w:r>
      <w:r w:rsidRPr="0025392F">
        <w:t>οποί</w:t>
      </w:r>
      <w:r w:rsidR="00FF0F33">
        <w:t>α</w:t>
      </w:r>
      <w:r w:rsidRPr="0025392F">
        <w:t xml:space="preserve"> αποδίδεται εξ ολοκλήρου σ</w:t>
      </w:r>
      <w:r>
        <w:t>την</w:t>
      </w:r>
      <w:r w:rsidRPr="0025392F">
        <w:t xml:space="preserve"> προοδευτική βελτίωση από το 2022 και </w:t>
      </w:r>
      <w:r>
        <w:t>εφεξής</w:t>
      </w:r>
      <w:r w:rsidRPr="0025392F">
        <w:t>.</w:t>
      </w:r>
    </w:p>
    <w:p w14:paraId="69480A8C" w14:textId="77777777" w:rsidR="00FF133D" w:rsidRPr="0025392F" w:rsidRDefault="00FF133D" w:rsidP="00FF133D">
      <w:r w:rsidRPr="0025392F">
        <w:t xml:space="preserve">Το ποσοστό ανεργίας, έχοντας υποχωρήσει σε μονοψήφιο αριθμό ήδη από το 2025, προβλέπεται να </w:t>
      </w:r>
      <w:r>
        <w:t>μειωθεί</w:t>
      </w:r>
      <w:r w:rsidRPr="0025392F">
        <w:t xml:space="preserve"> περαιτέρω το 2026 κατά μισή ποσοστιαία μονάδα του εργατικού δυναμικού, διαμορφούμενο σε</w:t>
      </w:r>
      <w:r>
        <w:t xml:space="preserve"> </w:t>
      </w:r>
      <w:r w:rsidRPr="0025392F">
        <w:t xml:space="preserve">8,6% βάσει της Έρευνας Εργατικού Δυναμικού, </w:t>
      </w:r>
      <w:r>
        <w:t xml:space="preserve">το </w:t>
      </w:r>
      <w:r w:rsidRPr="0025392F">
        <w:t xml:space="preserve">χαμηλότερο ποσοστό ανεργίας στην Ελλάδα </w:t>
      </w:r>
      <w:r>
        <w:t xml:space="preserve">μετά </w:t>
      </w:r>
      <w:r w:rsidRPr="0025392F">
        <w:t>το 2008.</w:t>
      </w:r>
    </w:p>
    <w:p w14:paraId="0BC981B7" w14:textId="4CD2306D" w:rsidR="00FF133D" w:rsidRPr="0025392F" w:rsidRDefault="00FF133D" w:rsidP="00FF133D">
      <w:r w:rsidRPr="0025392F">
        <w:t>Λαμβ</w:t>
      </w:r>
      <w:r>
        <w:t xml:space="preserve">ανομένης </w:t>
      </w:r>
      <w:r w:rsidRPr="0025392F">
        <w:t>υπόψη τη</w:t>
      </w:r>
      <w:r>
        <w:t>ς</w:t>
      </w:r>
      <w:r w:rsidRPr="0025392F">
        <w:t xml:space="preserve"> νέα</w:t>
      </w:r>
      <w:r>
        <w:t>ς</w:t>
      </w:r>
      <w:r w:rsidRPr="0025392F">
        <w:t xml:space="preserve"> </w:t>
      </w:r>
      <w:r>
        <w:t>αναπροσαρμογής</w:t>
      </w:r>
      <w:r w:rsidRPr="0025392F">
        <w:t xml:space="preserve"> του κατώτατου μισθού</w:t>
      </w:r>
      <w:r>
        <w:t xml:space="preserve"> από την </w:t>
      </w:r>
      <w:r w:rsidRPr="00FF0F33">
        <w:t>01η.4.2026</w:t>
      </w:r>
      <w:r w:rsidRPr="0025392F">
        <w:t xml:space="preserve"> και εν μέσω </w:t>
      </w:r>
      <w:r>
        <w:t>αυξημένης απασχόλησης</w:t>
      </w:r>
      <w:r w:rsidRPr="0025392F">
        <w:t xml:space="preserve">, ο ονομαστικός μέσος μισθός αναμένεται να αυξηθεί το 2026 κατά 3,7%, όσο και το 2025. </w:t>
      </w:r>
      <w:r>
        <w:t xml:space="preserve">Η </w:t>
      </w:r>
      <w:r w:rsidR="00A333B6">
        <w:t xml:space="preserve">εν λόγω </w:t>
      </w:r>
      <w:r>
        <w:t>εξέλιξη</w:t>
      </w:r>
      <w:r w:rsidR="00A333B6">
        <w:t xml:space="preserve"> </w:t>
      </w:r>
      <w:r w:rsidRPr="0025392F">
        <w:t xml:space="preserve">διαμορφώνει </w:t>
      </w:r>
      <w:r>
        <w:t>το επίπεδο των κατά κεφαλήν αμοιβών εξαρτημένης εργασίας για το έτος</w:t>
      </w:r>
      <w:r w:rsidRPr="0025392F">
        <w:t xml:space="preserve"> 2026</w:t>
      </w:r>
      <w:r w:rsidR="00A333B6">
        <w:t xml:space="preserve"> </w:t>
      </w:r>
      <w:r w:rsidRPr="0025392F">
        <w:t xml:space="preserve">υψηλότερα </w:t>
      </w:r>
      <w:r w:rsidR="00A333B6">
        <w:t xml:space="preserve">κατά </w:t>
      </w:r>
      <w:r w:rsidR="00A333B6" w:rsidRPr="0025392F">
        <w:t>21,</w:t>
      </w:r>
      <w:r w:rsidR="00A333B6">
        <w:t>3</w:t>
      </w:r>
      <w:r w:rsidR="00A333B6" w:rsidRPr="0025392F">
        <w:t xml:space="preserve">% </w:t>
      </w:r>
      <w:r w:rsidR="00A333B6">
        <w:t xml:space="preserve">σε σύγκριση με το </w:t>
      </w:r>
      <w:r w:rsidRPr="0025392F">
        <w:t>2019</w:t>
      </w:r>
      <w:r>
        <w:t xml:space="preserve">. Σημειώνεται ότι οι κατά κεφαλήν αμοιβές εξαρτημένης εργασίας αποτελούν μικτές αμοιβές. Εάν ληφθούν υπόψη οι διαδοχικές μειώσεις της φορολογίας εισοδήματος και των ασφαλιστικών εισφορών, εκτιμάται ότι οι καθαρές κατά κεφαλήν αμοιβές το 2026 θα έχουν </w:t>
      </w:r>
      <w:r w:rsidR="005460EE">
        <w:t xml:space="preserve">υπερβεί </w:t>
      </w:r>
      <w:r w:rsidR="00AD4BA8" w:rsidRPr="008C21FF">
        <w:t>κατά</w:t>
      </w:r>
      <w:r w:rsidR="00E743D4" w:rsidRPr="008C21FF">
        <w:t xml:space="preserve"> περισσότερο από</w:t>
      </w:r>
      <w:r w:rsidR="005460EE" w:rsidRPr="008C21FF">
        <w:t xml:space="preserve"> </w:t>
      </w:r>
      <w:r w:rsidRPr="008C21FF">
        <w:t xml:space="preserve">30% </w:t>
      </w:r>
      <w:r w:rsidR="00AD4BA8" w:rsidRPr="008C21FF">
        <w:t>τ</w:t>
      </w:r>
      <w:r w:rsidR="00AD4BA8">
        <w:t xml:space="preserve">α επίπεδα του </w:t>
      </w:r>
      <w:r>
        <w:t>2019</w:t>
      </w:r>
      <w:r w:rsidRPr="0025392F">
        <w:t>.</w:t>
      </w:r>
    </w:p>
    <w:p w14:paraId="4C820FB0" w14:textId="495D8079" w:rsidR="00FF133D" w:rsidRPr="0025392F" w:rsidRDefault="00FF133D" w:rsidP="00FF133D">
      <w:r w:rsidRPr="0025392F">
        <w:t>Ο πραγματικός μέσος μισθός προβλέπεται να κινηθεί ανοδικά για τρίτη διαδοχική χρονιά το 2026, με τον ρυθμό αύξησ</w:t>
      </w:r>
      <w:r>
        <w:t>ή</w:t>
      </w:r>
      <w:r w:rsidRPr="0025392F">
        <w:t xml:space="preserve">ς του να επιταχύνεται σε 1,5% από 0,5% το 2025. Η παραγωγικότητα </w:t>
      </w:r>
      <w:r>
        <w:t xml:space="preserve">της </w:t>
      </w:r>
      <w:r w:rsidRPr="0025392F">
        <w:t>εργασίας προβλέπεται</w:t>
      </w:r>
      <w:r w:rsidR="005B6A6B">
        <w:t>,</w:t>
      </w:r>
      <w:r w:rsidRPr="0025392F">
        <w:t xml:space="preserve"> </w:t>
      </w:r>
      <w:r w:rsidR="005B6A6B">
        <w:t>επίσης,</w:t>
      </w:r>
      <w:r w:rsidRPr="0025392F">
        <w:t xml:space="preserve"> </w:t>
      </w:r>
      <w:r>
        <w:t xml:space="preserve">να εισέλθει </w:t>
      </w:r>
      <w:r w:rsidRPr="0025392F">
        <w:t>σε τροχιά επιτάχυνσης, με τον ρυθμό ετήσιας αύξησ</w:t>
      </w:r>
      <w:r>
        <w:t>ή</w:t>
      </w:r>
      <w:r w:rsidRPr="0025392F">
        <w:t>ς της να διαμορφώνεται σε 1,9% από 1,5% το 2025</w:t>
      </w:r>
      <w:r>
        <w:t xml:space="preserve">, </w:t>
      </w:r>
      <w:r w:rsidR="00734F23">
        <w:t>συμβά</w:t>
      </w:r>
      <w:r w:rsidRPr="0025392F">
        <w:t>λλ</w:t>
      </w:r>
      <w:r w:rsidR="00734F23">
        <w:t>οντας</w:t>
      </w:r>
      <w:r w:rsidRPr="0025392F">
        <w:t xml:space="preserve"> στη διατήρηση της διεθνούς ανταγωνιστικότητας της ελληνικής οικονομίας.</w:t>
      </w:r>
    </w:p>
    <w:p w14:paraId="34A0B458" w14:textId="61E6AE7B" w:rsidR="00FF133D" w:rsidRPr="00CA3C82" w:rsidRDefault="00FF133D" w:rsidP="00FF133D">
      <w:r w:rsidRPr="00BB7CCC">
        <w:lastRenderedPageBreak/>
        <w:t xml:space="preserve">Τα οφέλη για τον πραγματικό μέσο μισθό </w:t>
      </w:r>
      <w:r w:rsidR="00FF0F33">
        <w:t xml:space="preserve">αποδίδονται </w:t>
      </w:r>
      <w:r w:rsidRPr="00BB7CCC">
        <w:t>στην εκτιμώμενη άμβλυνση των πληθωριστικών πιέσεων εντός του 2026. Ο ρυθμός αύξησης του Εν.ΔΤΚ το 2026 προβλέπεται να διαμορφωθεί σε 2,2%</w:t>
      </w:r>
      <w:r>
        <w:t xml:space="preserve">, </w:t>
      </w:r>
      <w:r w:rsidRPr="00BB7CCC">
        <w:t>προσεγγίζοντας τον μεσοπρόθεσμο στόχο της ΕΚΤ. Η εξέλιξη αυτή υποδηλώνει την εξομάλυνση των υποκείμενων πιέσεων τόσο στον τομέα των τροφίμων όσο και στον δομικό πυρήνα του πληθωρισμού</w:t>
      </w:r>
      <w:r w:rsidRPr="0025392F">
        <w:t xml:space="preserve"> </w:t>
      </w:r>
      <w:r>
        <w:t xml:space="preserve">καθώς </w:t>
      </w:r>
      <w:r w:rsidRPr="0025392F">
        <w:t xml:space="preserve">και την αρνητική </w:t>
      </w:r>
      <w:r>
        <w:t xml:space="preserve">επίδραση </w:t>
      </w:r>
      <w:r w:rsidRPr="0025392F">
        <w:t>της συνιστώσας της ενέργειας, της τάξεως των 0,2 ποσοστιαίων μονάδων, στον ετήσιο ρυθμό μεταβολής του εναρμονισμένου δείκτη.</w:t>
      </w:r>
    </w:p>
    <w:p w14:paraId="143372E8" w14:textId="466C4F5D" w:rsidR="00FF133D" w:rsidRPr="007D3858" w:rsidRDefault="00FF133D" w:rsidP="00FF133D">
      <w:r w:rsidRPr="007D3858">
        <w:t>Στον εξωτερικό τομέα της οικονομίας το περιβάλλον για το 2026 διαφαίνεται λιγότερο ασταθές, έπειτα από τη δασμολογική συμφωνία μεταξύ ΗΠΑ και ΕΕ τον Ιούλιο 2025</w:t>
      </w:r>
      <w:r>
        <w:t xml:space="preserve">, </w:t>
      </w:r>
      <w:r w:rsidR="00FF0F33">
        <w:t>η οποία</w:t>
      </w:r>
      <w:r w:rsidRPr="007D3858">
        <w:t xml:space="preserve"> περιορίζει τους κινδύνους από το διεθνές εμπόριο και δημιουργεί περιθώρια εξωστρέφειας για τις ελληνικές εξαγωγικές επιχειρήσεις. Η επίδραση των αυξημένων δασμών των ΗΠΑ στην ελληνική οικονομία αναμένεται συγκρατημένη και για το 2026 λόγω των σχετικά ασθενών εμπορικών </w:t>
      </w:r>
      <w:r w:rsidR="00E743D4">
        <w:t>συναλλαγών</w:t>
      </w:r>
      <w:r w:rsidRPr="007D3858">
        <w:t xml:space="preserve"> της Ελλάδας με τις ΗΠΑ.</w:t>
      </w:r>
    </w:p>
    <w:p w14:paraId="14CBE714" w14:textId="4898AAE3" w:rsidR="00FF133D" w:rsidRDefault="00FF133D" w:rsidP="00EA2CD0">
      <w:pPr>
        <w:spacing w:after="240"/>
      </w:pPr>
      <w:r w:rsidRPr="007D3858">
        <w:t>Σε αυτό το πλαίσιο, το εξωτερικό ισοζύγιο υπηρεσιών προβλέπεται να έχει θετική πορεία το 2026, με συμβολή 0,6 ποσοστιαίων μονάδων στην αύξηση του πραγματικού ΑΕΠ, χάρη στην ταχύτερη αύξηση</w:t>
      </w:r>
      <w:r w:rsidRPr="0025392F">
        <w:t xml:space="preserve"> των πραγματικών εξαγωγών υπηρεσιών (5,0%) έναντι των πραγματικών εισαγωγών υπηρεσιών (2,7%). Η δυναμική αύξηση των ονομαστικών τουριστικών εισπράξεων</w:t>
      </w:r>
      <w:r>
        <w:t>,</w:t>
      </w:r>
      <w:r w:rsidRPr="0025392F">
        <w:t xml:space="preserve"> </w:t>
      </w:r>
      <w:r w:rsidR="00D715BE">
        <w:t>η οποία</w:t>
      </w:r>
      <w:r>
        <w:t xml:space="preserve"> εκτιμάται σε</w:t>
      </w:r>
      <w:r w:rsidRPr="0025392F">
        <w:t xml:space="preserve"> 6,5% σε ετήσια βάση</w:t>
      </w:r>
      <w:r>
        <w:t>,</w:t>
      </w:r>
      <w:r w:rsidRPr="0025392F">
        <w:t xml:space="preserve"> </w:t>
      </w:r>
      <w:r>
        <w:t>αναμένεται να</w:t>
      </w:r>
      <w:r w:rsidRPr="0025392F">
        <w:t xml:space="preserve"> συμβάλει </w:t>
      </w:r>
      <w:r>
        <w:t>προς αυτή την κατεύθυνση</w:t>
      </w:r>
      <w:r w:rsidRPr="0025392F">
        <w:t>.</w:t>
      </w:r>
      <w:r>
        <w:t xml:space="preserve"> Οι εξαγωγές αγαθών σε σταθερές τιμές αναμένεται να αυξηθούν κατά 3,9%, ενώ αύξηση κατά 4,5% προβλέπεται να παρουσιάσουν και οι </w:t>
      </w:r>
      <w:r w:rsidRPr="003A59C0">
        <w:t>εξαγωγές αγαθών και υπηρεσιών</w:t>
      </w:r>
      <w:r>
        <w:t xml:space="preserve"> συνολικά. Οι εισαγωγές αγαθών και υπηρεσιών αναμένεται</w:t>
      </w:r>
      <w:r w:rsidR="00627910">
        <w:t>,</w:t>
      </w:r>
      <w:r>
        <w:t xml:space="preserve"> </w:t>
      </w:r>
      <w:r w:rsidR="00627910">
        <w:t>επίσης,</w:t>
      </w:r>
      <w:r>
        <w:t xml:space="preserve"> να αυξηθούν σε ανάλογα επίπεδα (4,6%), ενισχυόμενες από την αύξηση των εισαγωγών αγαθών</w:t>
      </w:r>
      <w:r w:rsidR="00D715BE">
        <w:t>,</w:t>
      </w:r>
      <w:r>
        <w:t xml:space="preserve"> </w:t>
      </w:r>
      <w:r w:rsidR="00D715BE">
        <w:t>η οποία</w:t>
      </w:r>
      <w:r>
        <w:t xml:space="preserve"> εκτιμάται σε</w:t>
      </w:r>
      <w:r w:rsidR="00D715BE">
        <w:t xml:space="preserve"> ποσοστό</w:t>
      </w:r>
      <w:r>
        <w:t xml:space="preserve"> 5,3% </w:t>
      </w:r>
      <w:r w:rsidRPr="0025392F">
        <w:t>λόγω της εύρωστης εγχώριας ζήτησης για επενδύσεις και κατανάλωση.</w:t>
      </w:r>
    </w:p>
    <w:tbl>
      <w:tblPr>
        <w:tblW w:w="0" w:type="auto"/>
        <w:jc w:val="center"/>
        <w:tblBorders>
          <w:top w:val="single" w:sz="8" w:space="0" w:color="7F7F7F"/>
          <w:left w:val="single" w:sz="8" w:space="0" w:color="7F7F7F"/>
          <w:bottom w:val="single" w:sz="8" w:space="0" w:color="7F7F7F"/>
          <w:right w:val="single" w:sz="8" w:space="0" w:color="7F7F7F"/>
        </w:tblBorders>
        <w:tblLook w:val="00A0" w:firstRow="1" w:lastRow="0" w:firstColumn="1" w:lastColumn="0" w:noHBand="0" w:noVBand="0"/>
      </w:tblPr>
      <w:tblGrid>
        <w:gridCol w:w="5302"/>
        <w:gridCol w:w="1012"/>
        <w:gridCol w:w="1079"/>
        <w:gridCol w:w="1028"/>
      </w:tblGrid>
      <w:tr w:rsidR="00EA2CD0" w:rsidRPr="0025392F" w14:paraId="3C07B1FE" w14:textId="77777777" w:rsidTr="002A3F34">
        <w:trPr>
          <w:cantSplit/>
          <w:trHeight w:val="510"/>
          <w:jc w:val="center"/>
        </w:trPr>
        <w:tc>
          <w:tcPr>
            <w:tcW w:w="8421"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tcPr>
          <w:p w14:paraId="55C51675" w14:textId="78A50E96" w:rsidR="00EA2CD0" w:rsidRPr="00EB4E92" w:rsidRDefault="00EA2CD0" w:rsidP="00DF2679">
            <w:pPr>
              <w:spacing w:after="0" w:line="276" w:lineRule="auto"/>
              <w:jc w:val="center"/>
              <w:rPr>
                <w:rFonts w:cs="Arial"/>
                <w:b/>
                <w:sz w:val="18"/>
                <w:szCs w:val="18"/>
              </w:rPr>
            </w:pPr>
            <w:bookmarkStart w:id="78" w:name="_Toc210570893"/>
            <w:bookmarkStart w:id="79" w:name="_Toc214387613"/>
            <w:r w:rsidRPr="00EB4E92">
              <w:rPr>
                <w:b/>
                <w:sz w:val="18"/>
                <w:szCs w:val="18"/>
              </w:rPr>
              <w:t>Πίνακας 1.</w:t>
            </w:r>
            <w:r w:rsidRPr="00EB4E92">
              <w:rPr>
                <w:b/>
                <w:sz w:val="18"/>
                <w:szCs w:val="18"/>
              </w:rPr>
              <w:fldChar w:fldCharType="begin"/>
            </w:r>
            <w:r w:rsidRPr="00EB4E92">
              <w:rPr>
                <w:b/>
                <w:sz w:val="18"/>
                <w:szCs w:val="18"/>
              </w:rPr>
              <w:instrText xml:space="preserve"> SEQ Πίνακας_1. \* ARABIC </w:instrText>
            </w:r>
            <w:r w:rsidRPr="00EB4E92">
              <w:rPr>
                <w:b/>
                <w:sz w:val="18"/>
                <w:szCs w:val="18"/>
              </w:rPr>
              <w:fldChar w:fldCharType="separate"/>
            </w:r>
            <w:r w:rsidR="00E15678">
              <w:rPr>
                <w:b/>
                <w:noProof/>
                <w:sz w:val="18"/>
                <w:szCs w:val="18"/>
              </w:rPr>
              <w:t>4</w:t>
            </w:r>
            <w:r w:rsidRPr="00EB4E92">
              <w:rPr>
                <w:b/>
                <w:sz w:val="18"/>
                <w:szCs w:val="18"/>
              </w:rPr>
              <w:fldChar w:fldCharType="end"/>
            </w:r>
            <w:r w:rsidRPr="00EB4E92">
              <w:rPr>
                <w:b/>
                <w:sz w:val="18"/>
                <w:szCs w:val="18"/>
              </w:rPr>
              <w:t xml:space="preserve">.: </w:t>
            </w:r>
            <w:r w:rsidRPr="00EB4E92">
              <w:rPr>
                <w:rFonts w:cs="Arial"/>
                <w:b/>
                <w:sz w:val="18"/>
                <w:szCs w:val="18"/>
              </w:rPr>
              <w:t>Βασικά μεγέθη της ελληνικής οικονομίας</w:t>
            </w:r>
            <w:bookmarkEnd w:id="78"/>
            <w:bookmarkEnd w:id="79"/>
          </w:p>
          <w:p w14:paraId="04FB696A" w14:textId="77777777" w:rsidR="00EA2CD0" w:rsidRPr="0025392F" w:rsidRDefault="00EA2CD0" w:rsidP="00DF2679">
            <w:pPr>
              <w:spacing w:after="0" w:line="276" w:lineRule="auto"/>
              <w:jc w:val="center"/>
              <w:rPr>
                <w:rFonts w:ascii="Calibri" w:hAnsi="Calibri"/>
                <w:b/>
                <w:sz w:val="18"/>
                <w:szCs w:val="18"/>
              </w:rPr>
            </w:pPr>
            <w:r w:rsidRPr="00EB4E92">
              <w:rPr>
                <w:rFonts w:cs="Arial"/>
                <w:b/>
                <w:sz w:val="18"/>
                <w:szCs w:val="18"/>
              </w:rPr>
              <w:t>(% ετήσιες μεταβολές, σταθερές τιμές)</w:t>
            </w:r>
          </w:p>
        </w:tc>
      </w:tr>
      <w:tr w:rsidR="00EA2CD0" w:rsidRPr="0025392F" w14:paraId="412DC39B" w14:textId="77777777" w:rsidTr="002A3F34">
        <w:trPr>
          <w:cantSplit/>
          <w:trHeight w:val="227"/>
          <w:jc w:val="center"/>
        </w:trPr>
        <w:tc>
          <w:tcPr>
            <w:tcW w:w="5302"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F2F2F2"/>
            <w:vAlign w:val="center"/>
          </w:tcPr>
          <w:p w14:paraId="0E4436BE" w14:textId="77777777" w:rsidR="00EA2CD0" w:rsidRPr="0025392F" w:rsidRDefault="00EA2CD0" w:rsidP="00DF2679">
            <w:pPr>
              <w:spacing w:after="0" w:line="240" w:lineRule="auto"/>
              <w:jc w:val="center"/>
              <w:rPr>
                <w:rFonts w:ascii="Arial Narrow" w:hAnsi="Arial Narrow"/>
                <w:b/>
                <w:sz w:val="16"/>
                <w:szCs w:val="16"/>
              </w:rPr>
            </w:pPr>
          </w:p>
        </w:tc>
        <w:tc>
          <w:tcPr>
            <w:tcW w:w="1012" w:type="dxa"/>
            <w:tcBorders>
              <w:top w:val="single" w:sz="2" w:space="0" w:color="A6A6A6" w:themeColor="background1" w:themeShade="A6"/>
              <w:bottom w:val="single" w:sz="2" w:space="0" w:color="A6A6A6" w:themeColor="background1" w:themeShade="A6"/>
            </w:tcBorders>
            <w:shd w:val="clear" w:color="auto" w:fill="F2F2F2"/>
            <w:vAlign w:val="center"/>
          </w:tcPr>
          <w:p w14:paraId="69F4C5DA" w14:textId="77777777" w:rsidR="00EA2CD0" w:rsidRPr="0025392F" w:rsidRDefault="00EA2CD0" w:rsidP="002A3F34">
            <w:pPr>
              <w:spacing w:after="0" w:line="240" w:lineRule="auto"/>
              <w:jc w:val="center"/>
              <w:rPr>
                <w:rFonts w:cs="Arial"/>
                <w:b/>
                <w:sz w:val="18"/>
                <w:szCs w:val="16"/>
              </w:rPr>
            </w:pPr>
            <w:r w:rsidRPr="0025392F">
              <w:rPr>
                <w:rFonts w:cs="Arial"/>
                <w:b/>
                <w:sz w:val="18"/>
                <w:szCs w:val="16"/>
              </w:rPr>
              <w:t>2024</w:t>
            </w:r>
          </w:p>
        </w:tc>
        <w:tc>
          <w:tcPr>
            <w:tcW w:w="1079" w:type="dxa"/>
            <w:tcBorders>
              <w:top w:val="single" w:sz="2" w:space="0" w:color="A6A6A6" w:themeColor="background1" w:themeShade="A6"/>
              <w:bottom w:val="single" w:sz="2" w:space="0" w:color="A6A6A6" w:themeColor="background1" w:themeShade="A6"/>
            </w:tcBorders>
            <w:shd w:val="clear" w:color="auto" w:fill="F2F2F2"/>
            <w:vAlign w:val="center"/>
          </w:tcPr>
          <w:p w14:paraId="6E572A30" w14:textId="77777777" w:rsidR="00EA2CD0" w:rsidRPr="0025392F" w:rsidRDefault="00EA2CD0" w:rsidP="002A3F34">
            <w:pPr>
              <w:spacing w:after="0" w:line="240" w:lineRule="auto"/>
              <w:jc w:val="center"/>
              <w:rPr>
                <w:rFonts w:cs="Arial"/>
                <w:b/>
                <w:sz w:val="18"/>
                <w:szCs w:val="16"/>
              </w:rPr>
            </w:pPr>
            <w:r w:rsidRPr="0025392F">
              <w:rPr>
                <w:rFonts w:cs="Arial"/>
                <w:b/>
                <w:sz w:val="18"/>
                <w:szCs w:val="16"/>
              </w:rPr>
              <w:t>2025**</w:t>
            </w:r>
          </w:p>
        </w:tc>
        <w:tc>
          <w:tcPr>
            <w:tcW w:w="1028"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vAlign w:val="center"/>
          </w:tcPr>
          <w:p w14:paraId="20FA6628" w14:textId="77777777" w:rsidR="00EA2CD0" w:rsidRPr="0025392F" w:rsidRDefault="00EA2CD0" w:rsidP="002A3F34">
            <w:pPr>
              <w:spacing w:after="0" w:line="240" w:lineRule="auto"/>
              <w:jc w:val="center"/>
              <w:rPr>
                <w:rFonts w:cs="Arial"/>
                <w:b/>
                <w:sz w:val="18"/>
                <w:szCs w:val="16"/>
              </w:rPr>
            </w:pPr>
            <w:r w:rsidRPr="0025392F">
              <w:rPr>
                <w:rFonts w:cs="Arial"/>
                <w:b/>
                <w:sz w:val="18"/>
                <w:szCs w:val="16"/>
              </w:rPr>
              <w:t>2026**</w:t>
            </w:r>
          </w:p>
        </w:tc>
      </w:tr>
      <w:tr w:rsidR="00EA2CD0" w:rsidRPr="00EB4E92" w14:paraId="6440BA5D" w14:textId="77777777" w:rsidTr="002A3F34">
        <w:trPr>
          <w:cantSplit/>
          <w:jc w:val="center"/>
        </w:trPr>
        <w:tc>
          <w:tcPr>
            <w:tcW w:w="5302" w:type="dxa"/>
            <w:tcBorders>
              <w:top w:val="single" w:sz="2" w:space="0" w:color="A6A6A6" w:themeColor="background1" w:themeShade="A6"/>
              <w:left w:val="single" w:sz="2" w:space="0" w:color="A6A6A6" w:themeColor="background1" w:themeShade="A6"/>
              <w:bottom w:val="nil"/>
            </w:tcBorders>
            <w:vAlign w:val="center"/>
          </w:tcPr>
          <w:p w14:paraId="13B5D832" w14:textId="77777777" w:rsidR="00EA2CD0" w:rsidRPr="002A3F34" w:rsidRDefault="00EA2CD0" w:rsidP="002A3F34">
            <w:pPr>
              <w:spacing w:after="0" w:line="276" w:lineRule="auto"/>
              <w:jc w:val="left"/>
              <w:rPr>
                <w:rFonts w:cs="Arial"/>
                <w:sz w:val="16"/>
                <w:szCs w:val="16"/>
              </w:rPr>
            </w:pPr>
            <w:r w:rsidRPr="002A3F34">
              <w:rPr>
                <w:rFonts w:cs="Arial"/>
                <w:sz w:val="16"/>
                <w:szCs w:val="16"/>
              </w:rPr>
              <w:t>ΑΕΠ</w:t>
            </w:r>
          </w:p>
        </w:tc>
        <w:tc>
          <w:tcPr>
            <w:tcW w:w="1012" w:type="dxa"/>
            <w:tcBorders>
              <w:top w:val="single" w:sz="2" w:space="0" w:color="A6A6A6" w:themeColor="background1" w:themeShade="A6"/>
              <w:bottom w:val="nil"/>
            </w:tcBorders>
            <w:vAlign w:val="center"/>
          </w:tcPr>
          <w:p w14:paraId="4233A332" w14:textId="77777777" w:rsidR="00EA2CD0" w:rsidRPr="002A3F34" w:rsidRDefault="00EA2CD0" w:rsidP="002A3F34">
            <w:pPr>
              <w:spacing w:after="0" w:line="276" w:lineRule="auto"/>
              <w:jc w:val="right"/>
              <w:rPr>
                <w:rFonts w:cs="Arial"/>
                <w:sz w:val="16"/>
                <w:szCs w:val="16"/>
              </w:rPr>
            </w:pPr>
            <w:r w:rsidRPr="002A3F34">
              <w:rPr>
                <w:rFonts w:cs="Arial"/>
                <w:sz w:val="16"/>
                <w:szCs w:val="16"/>
              </w:rPr>
              <w:t>2,1</w:t>
            </w:r>
          </w:p>
        </w:tc>
        <w:tc>
          <w:tcPr>
            <w:tcW w:w="1079" w:type="dxa"/>
            <w:tcBorders>
              <w:top w:val="single" w:sz="2" w:space="0" w:color="A6A6A6" w:themeColor="background1" w:themeShade="A6"/>
              <w:bottom w:val="nil"/>
            </w:tcBorders>
            <w:vAlign w:val="center"/>
          </w:tcPr>
          <w:p w14:paraId="5208955F" w14:textId="77777777" w:rsidR="00EA2CD0" w:rsidRPr="002A3F34" w:rsidRDefault="00EA2CD0" w:rsidP="002A3F34">
            <w:pPr>
              <w:spacing w:after="0" w:line="276" w:lineRule="auto"/>
              <w:jc w:val="right"/>
              <w:rPr>
                <w:rFonts w:cs="Arial"/>
                <w:sz w:val="16"/>
                <w:szCs w:val="16"/>
              </w:rPr>
            </w:pPr>
            <w:r w:rsidRPr="002A3F34">
              <w:rPr>
                <w:rFonts w:cs="Arial"/>
                <w:sz w:val="16"/>
                <w:szCs w:val="16"/>
              </w:rPr>
              <w:t>2,2</w:t>
            </w:r>
          </w:p>
        </w:tc>
        <w:tc>
          <w:tcPr>
            <w:tcW w:w="1028" w:type="dxa"/>
            <w:tcBorders>
              <w:top w:val="single" w:sz="2" w:space="0" w:color="A6A6A6" w:themeColor="background1" w:themeShade="A6"/>
              <w:bottom w:val="nil"/>
              <w:right w:val="single" w:sz="2" w:space="0" w:color="A6A6A6" w:themeColor="background1" w:themeShade="A6"/>
            </w:tcBorders>
            <w:vAlign w:val="center"/>
          </w:tcPr>
          <w:p w14:paraId="2E57400B" w14:textId="77777777" w:rsidR="00EA2CD0" w:rsidRPr="002A3F34" w:rsidRDefault="00EA2CD0" w:rsidP="002A3F34">
            <w:pPr>
              <w:spacing w:after="0" w:line="276" w:lineRule="auto"/>
              <w:jc w:val="right"/>
              <w:rPr>
                <w:rFonts w:cs="Arial"/>
                <w:sz w:val="16"/>
                <w:szCs w:val="16"/>
              </w:rPr>
            </w:pPr>
            <w:r w:rsidRPr="002A3F34">
              <w:rPr>
                <w:rFonts w:cs="Arial"/>
                <w:sz w:val="16"/>
                <w:szCs w:val="16"/>
              </w:rPr>
              <w:t>2,4</w:t>
            </w:r>
          </w:p>
        </w:tc>
      </w:tr>
      <w:tr w:rsidR="00EA2CD0" w:rsidRPr="00EB4E92" w14:paraId="4E79A1F3" w14:textId="77777777" w:rsidTr="002A3F34">
        <w:trPr>
          <w:cantSplit/>
          <w:jc w:val="center"/>
        </w:trPr>
        <w:tc>
          <w:tcPr>
            <w:tcW w:w="5302" w:type="dxa"/>
            <w:tcBorders>
              <w:top w:val="nil"/>
              <w:left w:val="single" w:sz="2" w:space="0" w:color="A6A6A6" w:themeColor="background1" w:themeShade="A6"/>
              <w:bottom w:val="nil"/>
            </w:tcBorders>
            <w:vAlign w:val="center"/>
          </w:tcPr>
          <w:p w14:paraId="223A6FDB" w14:textId="77777777" w:rsidR="00EA2CD0" w:rsidRPr="002A3F34" w:rsidRDefault="00EA2CD0" w:rsidP="002A3F34">
            <w:pPr>
              <w:spacing w:after="0" w:line="276" w:lineRule="auto"/>
              <w:jc w:val="left"/>
              <w:rPr>
                <w:rFonts w:cs="Arial"/>
                <w:sz w:val="16"/>
                <w:szCs w:val="16"/>
              </w:rPr>
            </w:pPr>
            <w:r w:rsidRPr="002A3F34">
              <w:rPr>
                <w:rFonts w:cs="Arial"/>
                <w:sz w:val="16"/>
                <w:szCs w:val="16"/>
              </w:rPr>
              <w:t>Ιδιωτική κατανάλωση</w:t>
            </w:r>
          </w:p>
        </w:tc>
        <w:tc>
          <w:tcPr>
            <w:tcW w:w="1012" w:type="dxa"/>
            <w:tcBorders>
              <w:top w:val="nil"/>
              <w:bottom w:val="nil"/>
            </w:tcBorders>
            <w:vAlign w:val="center"/>
          </w:tcPr>
          <w:p w14:paraId="36E1F7E1" w14:textId="77777777" w:rsidR="00EA2CD0" w:rsidRPr="002A3F34" w:rsidRDefault="00EA2CD0" w:rsidP="002A3F34">
            <w:pPr>
              <w:spacing w:after="0" w:line="276" w:lineRule="auto"/>
              <w:jc w:val="right"/>
              <w:rPr>
                <w:rFonts w:cs="Arial"/>
                <w:sz w:val="16"/>
                <w:szCs w:val="16"/>
              </w:rPr>
            </w:pPr>
            <w:r w:rsidRPr="002A3F34">
              <w:rPr>
                <w:rFonts w:cs="Arial"/>
                <w:sz w:val="16"/>
                <w:szCs w:val="16"/>
              </w:rPr>
              <w:t>2,4</w:t>
            </w:r>
          </w:p>
        </w:tc>
        <w:tc>
          <w:tcPr>
            <w:tcW w:w="1079" w:type="dxa"/>
            <w:tcBorders>
              <w:top w:val="nil"/>
              <w:bottom w:val="nil"/>
            </w:tcBorders>
            <w:vAlign w:val="center"/>
          </w:tcPr>
          <w:p w14:paraId="15EF4BFB" w14:textId="77777777" w:rsidR="00EA2CD0" w:rsidRPr="002A3F34" w:rsidRDefault="00EA2CD0" w:rsidP="002A3F34">
            <w:pPr>
              <w:spacing w:after="0" w:line="276" w:lineRule="auto"/>
              <w:jc w:val="right"/>
              <w:rPr>
                <w:rFonts w:cs="Arial"/>
                <w:sz w:val="16"/>
                <w:szCs w:val="16"/>
              </w:rPr>
            </w:pPr>
            <w:r w:rsidRPr="002A3F34">
              <w:rPr>
                <w:rFonts w:cs="Arial"/>
                <w:sz w:val="16"/>
                <w:szCs w:val="16"/>
              </w:rPr>
              <w:t>1,9</w:t>
            </w:r>
          </w:p>
        </w:tc>
        <w:tc>
          <w:tcPr>
            <w:tcW w:w="1028" w:type="dxa"/>
            <w:tcBorders>
              <w:top w:val="nil"/>
              <w:bottom w:val="nil"/>
              <w:right w:val="single" w:sz="2" w:space="0" w:color="A6A6A6" w:themeColor="background1" w:themeShade="A6"/>
            </w:tcBorders>
            <w:vAlign w:val="center"/>
          </w:tcPr>
          <w:p w14:paraId="18429C7A" w14:textId="77777777" w:rsidR="00EA2CD0" w:rsidRPr="002A3F34" w:rsidRDefault="00EA2CD0" w:rsidP="002A3F34">
            <w:pPr>
              <w:spacing w:after="0" w:line="276" w:lineRule="auto"/>
              <w:jc w:val="right"/>
              <w:rPr>
                <w:rFonts w:cs="Arial"/>
                <w:sz w:val="16"/>
                <w:szCs w:val="16"/>
              </w:rPr>
            </w:pPr>
            <w:r w:rsidRPr="002A3F34">
              <w:rPr>
                <w:rFonts w:cs="Arial"/>
                <w:sz w:val="16"/>
                <w:szCs w:val="16"/>
              </w:rPr>
              <w:t>1,7</w:t>
            </w:r>
          </w:p>
        </w:tc>
      </w:tr>
      <w:tr w:rsidR="00EA2CD0" w:rsidRPr="00EB4E92" w14:paraId="24B5BA2A" w14:textId="77777777" w:rsidTr="002A3F34">
        <w:trPr>
          <w:cantSplit/>
          <w:jc w:val="center"/>
        </w:trPr>
        <w:tc>
          <w:tcPr>
            <w:tcW w:w="5302" w:type="dxa"/>
            <w:tcBorders>
              <w:top w:val="nil"/>
              <w:left w:val="single" w:sz="2" w:space="0" w:color="A6A6A6" w:themeColor="background1" w:themeShade="A6"/>
              <w:bottom w:val="nil"/>
            </w:tcBorders>
            <w:vAlign w:val="center"/>
          </w:tcPr>
          <w:p w14:paraId="2B46D8DF" w14:textId="77777777" w:rsidR="00EA2CD0" w:rsidRPr="002A3F34" w:rsidRDefault="00EA2CD0" w:rsidP="002A3F34">
            <w:pPr>
              <w:spacing w:after="0" w:line="276" w:lineRule="auto"/>
              <w:jc w:val="left"/>
              <w:rPr>
                <w:rFonts w:cs="Arial"/>
                <w:sz w:val="16"/>
                <w:szCs w:val="16"/>
              </w:rPr>
            </w:pPr>
            <w:r w:rsidRPr="002A3F34">
              <w:rPr>
                <w:rFonts w:cs="Arial"/>
                <w:sz w:val="16"/>
                <w:szCs w:val="16"/>
              </w:rPr>
              <w:t>Δημόσια κατανάλωση</w:t>
            </w:r>
          </w:p>
        </w:tc>
        <w:tc>
          <w:tcPr>
            <w:tcW w:w="1012" w:type="dxa"/>
            <w:tcBorders>
              <w:top w:val="nil"/>
              <w:bottom w:val="nil"/>
            </w:tcBorders>
            <w:vAlign w:val="center"/>
          </w:tcPr>
          <w:p w14:paraId="57FAA493" w14:textId="77777777" w:rsidR="00EA2CD0" w:rsidRPr="002A3F34" w:rsidRDefault="00EA2CD0" w:rsidP="002A3F34">
            <w:pPr>
              <w:spacing w:after="0" w:line="276" w:lineRule="auto"/>
              <w:jc w:val="right"/>
              <w:rPr>
                <w:rFonts w:cs="Arial"/>
                <w:sz w:val="16"/>
                <w:szCs w:val="16"/>
              </w:rPr>
            </w:pPr>
            <w:r w:rsidRPr="002A3F34">
              <w:rPr>
                <w:rFonts w:cs="Arial"/>
                <w:sz w:val="16"/>
                <w:szCs w:val="16"/>
              </w:rPr>
              <w:t>-2,6</w:t>
            </w:r>
          </w:p>
        </w:tc>
        <w:tc>
          <w:tcPr>
            <w:tcW w:w="1079" w:type="dxa"/>
            <w:tcBorders>
              <w:top w:val="nil"/>
              <w:bottom w:val="nil"/>
            </w:tcBorders>
            <w:vAlign w:val="center"/>
          </w:tcPr>
          <w:p w14:paraId="458872C5" w14:textId="77777777" w:rsidR="00EA2CD0" w:rsidRPr="002A3F34" w:rsidRDefault="00EA2CD0" w:rsidP="002A3F34">
            <w:pPr>
              <w:spacing w:after="0" w:line="276" w:lineRule="auto"/>
              <w:jc w:val="right"/>
              <w:rPr>
                <w:rFonts w:cs="Arial"/>
                <w:sz w:val="16"/>
                <w:szCs w:val="16"/>
              </w:rPr>
            </w:pPr>
            <w:r w:rsidRPr="002A3F34">
              <w:rPr>
                <w:rFonts w:cs="Arial"/>
                <w:sz w:val="16"/>
                <w:szCs w:val="16"/>
              </w:rPr>
              <w:t>1,4</w:t>
            </w:r>
          </w:p>
        </w:tc>
        <w:tc>
          <w:tcPr>
            <w:tcW w:w="1028" w:type="dxa"/>
            <w:tcBorders>
              <w:top w:val="nil"/>
              <w:bottom w:val="nil"/>
              <w:right w:val="single" w:sz="2" w:space="0" w:color="A6A6A6" w:themeColor="background1" w:themeShade="A6"/>
            </w:tcBorders>
            <w:vAlign w:val="center"/>
          </w:tcPr>
          <w:p w14:paraId="1EA7C177" w14:textId="77777777" w:rsidR="00EA2CD0" w:rsidRPr="002A3F34" w:rsidRDefault="00EA2CD0" w:rsidP="002A3F34">
            <w:pPr>
              <w:spacing w:after="0" w:line="276" w:lineRule="auto"/>
              <w:jc w:val="right"/>
              <w:rPr>
                <w:rFonts w:cs="Arial"/>
                <w:sz w:val="16"/>
                <w:szCs w:val="16"/>
              </w:rPr>
            </w:pPr>
            <w:r w:rsidRPr="002A3F34">
              <w:rPr>
                <w:rFonts w:cs="Arial"/>
                <w:sz w:val="16"/>
                <w:szCs w:val="16"/>
              </w:rPr>
              <w:t>0,7</w:t>
            </w:r>
          </w:p>
        </w:tc>
      </w:tr>
      <w:tr w:rsidR="00EA2CD0" w:rsidRPr="00EB4E92" w14:paraId="0A4AA308" w14:textId="77777777" w:rsidTr="002A3F34">
        <w:trPr>
          <w:cantSplit/>
          <w:jc w:val="center"/>
        </w:trPr>
        <w:tc>
          <w:tcPr>
            <w:tcW w:w="5302" w:type="dxa"/>
            <w:tcBorders>
              <w:top w:val="nil"/>
              <w:left w:val="single" w:sz="2" w:space="0" w:color="A6A6A6" w:themeColor="background1" w:themeShade="A6"/>
              <w:bottom w:val="nil"/>
            </w:tcBorders>
            <w:vAlign w:val="center"/>
          </w:tcPr>
          <w:p w14:paraId="6AB39F1E" w14:textId="77777777" w:rsidR="00EA2CD0" w:rsidRPr="002A3F34" w:rsidRDefault="00EA2CD0" w:rsidP="002A3F34">
            <w:pPr>
              <w:spacing w:after="0" w:line="276" w:lineRule="auto"/>
              <w:jc w:val="left"/>
              <w:rPr>
                <w:rFonts w:cs="Arial"/>
                <w:sz w:val="16"/>
                <w:szCs w:val="16"/>
              </w:rPr>
            </w:pPr>
            <w:r w:rsidRPr="002A3F34">
              <w:rPr>
                <w:rFonts w:cs="Arial"/>
                <w:sz w:val="16"/>
                <w:szCs w:val="16"/>
              </w:rPr>
              <w:t>Ακαθάριστος σχηματισμός παγίου κεφαλαίου</w:t>
            </w:r>
          </w:p>
        </w:tc>
        <w:tc>
          <w:tcPr>
            <w:tcW w:w="1012" w:type="dxa"/>
            <w:tcBorders>
              <w:top w:val="nil"/>
              <w:bottom w:val="nil"/>
            </w:tcBorders>
            <w:vAlign w:val="center"/>
          </w:tcPr>
          <w:p w14:paraId="07EC3524" w14:textId="77777777" w:rsidR="00EA2CD0" w:rsidRPr="002A3F34" w:rsidRDefault="00EA2CD0" w:rsidP="002A3F34">
            <w:pPr>
              <w:spacing w:after="0" w:line="276" w:lineRule="auto"/>
              <w:jc w:val="right"/>
              <w:rPr>
                <w:rFonts w:cs="Arial"/>
                <w:sz w:val="16"/>
                <w:szCs w:val="16"/>
              </w:rPr>
            </w:pPr>
            <w:r w:rsidRPr="002A3F34">
              <w:rPr>
                <w:rFonts w:cs="Arial"/>
                <w:sz w:val="16"/>
                <w:szCs w:val="16"/>
              </w:rPr>
              <w:t>4,5</w:t>
            </w:r>
          </w:p>
        </w:tc>
        <w:tc>
          <w:tcPr>
            <w:tcW w:w="1079" w:type="dxa"/>
            <w:tcBorders>
              <w:top w:val="nil"/>
              <w:bottom w:val="nil"/>
            </w:tcBorders>
            <w:vAlign w:val="center"/>
          </w:tcPr>
          <w:p w14:paraId="0BBF677E" w14:textId="77777777" w:rsidR="00EA2CD0" w:rsidRPr="002A3F34" w:rsidRDefault="00EA2CD0" w:rsidP="002A3F34">
            <w:pPr>
              <w:spacing w:after="0" w:line="276" w:lineRule="auto"/>
              <w:jc w:val="right"/>
              <w:rPr>
                <w:rFonts w:cs="Arial"/>
                <w:sz w:val="16"/>
                <w:szCs w:val="16"/>
              </w:rPr>
            </w:pPr>
            <w:r w:rsidRPr="002A3F34">
              <w:rPr>
                <w:rFonts w:cs="Arial"/>
                <w:sz w:val="16"/>
                <w:szCs w:val="16"/>
              </w:rPr>
              <w:t>5,7</w:t>
            </w:r>
          </w:p>
        </w:tc>
        <w:tc>
          <w:tcPr>
            <w:tcW w:w="1028" w:type="dxa"/>
            <w:tcBorders>
              <w:top w:val="nil"/>
              <w:bottom w:val="nil"/>
              <w:right w:val="single" w:sz="2" w:space="0" w:color="A6A6A6" w:themeColor="background1" w:themeShade="A6"/>
            </w:tcBorders>
            <w:vAlign w:val="center"/>
          </w:tcPr>
          <w:p w14:paraId="48F21634" w14:textId="77777777" w:rsidR="00EA2CD0" w:rsidRPr="002A3F34" w:rsidRDefault="00EA2CD0" w:rsidP="002A3F34">
            <w:pPr>
              <w:spacing w:after="0" w:line="276" w:lineRule="auto"/>
              <w:jc w:val="right"/>
              <w:rPr>
                <w:rFonts w:cs="Arial"/>
                <w:sz w:val="16"/>
                <w:szCs w:val="16"/>
              </w:rPr>
            </w:pPr>
            <w:r w:rsidRPr="002A3F34">
              <w:rPr>
                <w:rFonts w:cs="Arial"/>
                <w:sz w:val="16"/>
                <w:szCs w:val="16"/>
              </w:rPr>
              <w:t>10,2</w:t>
            </w:r>
          </w:p>
        </w:tc>
      </w:tr>
      <w:tr w:rsidR="00EA2CD0" w:rsidRPr="00EB4E92" w14:paraId="59EF65A4" w14:textId="77777777" w:rsidTr="002A3F34">
        <w:trPr>
          <w:cantSplit/>
          <w:jc w:val="center"/>
        </w:trPr>
        <w:tc>
          <w:tcPr>
            <w:tcW w:w="5302" w:type="dxa"/>
            <w:tcBorders>
              <w:top w:val="nil"/>
              <w:left w:val="single" w:sz="2" w:space="0" w:color="A6A6A6" w:themeColor="background1" w:themeShade="A6"/>
              <w:bottom w:val="nil"/>
            </w:tcBorders>
            <w:vAlign w:val="center"/>
          </w:tcPr>
          <w:p w14:paraId="6C5D3116" w14:textId="77777777" w:rsidR="00EA2CD0" w:rsidRPr="002A3F34" w:rsidRDefault="00EA2CD0" w:rsidP="002A3F34">
            <w:pPr>
              <w:spacing w:after="0" w:line="276" w:lineRule="auto"/>
              <w:jc w:val="left"/>
              <w:rPr>
                <w:rFonts w:cs="Arial"/>
                <w:sz w:val="16"/>
                <w:szCs w:val="16"/>
              </w:rPr>
            </w:pPr>
            <w:r w:rsidRPr="002A3F34">
              <w:rPr>
                <w:rFonts w:cs="Arial"/>
                <w:sz w:val="16"/>
                <w:szCs w:val="16"/>
              </w:rPr>
              <w:t>Εξαγωγές αγαθών και υπηρεσιών</w:t>
            </w:r>
          </w:p>
        </w:tc>
        <w:tc>
          <w:tcPr>
            <w:tcW w:w="1012" w:type="dxa"/>
            <w:tcBorders>
              <w:top w:val="nil"/>
              <w:bottom w:val="nil"/>
            </w:tcBorders>
            <w:vAlign w:val="center"/>
          </w:tcPr>
          <w:p w14:paraId="4E310843" w14:textId="77777777" w:rsidR="00EA2CD0" w:rsidRPr="002A3F34" w:rsidRDefault="00EA2CD0" w:rsidP="002A3F34">
            <w:pPr>
              <w:spacing w:after="0" w:line="276" w:lineRule="auto"/>
              <w:jc w:val="right"/>
              <w:rPr>
                <w:rFonts w:cs="Arial"/>
                <w:sz w:val="16"/>
                <w:szCs w:val="16"/>
              </w:rPr>
            </w:pPr>
            <w:r w:rsidRPr="002A3F34">
              <w:rPr>
                <w:rFonts w:cs="Arial"/>
                <w:sz w:val="16"/>
                <w:szCs w:val="16"/>
              </w:rPr>
              <w:t>1,0</w:t>
            </w:r>
          </w:p>
        </w:tc>
        <w:tc>
          <w:tcPr>
            <w:tcW w:w="1079" w:type="dxa"/>
            <w:tcBorders>
              <w:top w:val="nil"/>
              <w:bottom w:val="nil"/>
            </w:tcBorders>
            <w:vAlign w:val="center"/>
          </w:tcPr>
          <w:p w14:paraId="4A16C223" w14:textId="77777777" w:rsidR="00EA2CD0" w:rsidRPr="002A3F34" w:rsidRDefault="00EA2CD0" w:rsidP="002A3F34">
            <w:pPr>
              <w:spacing w:after="0" w:line="276" w:lineRule="auto"/>
              <w:jc w:val="right"/>
              <w:rPr>
                <w:rFonts w:cs="Arial"/>
                <w:sz w:val="16"/>
                <w:szCs w:val="16"/>
              </w:rPr>
            </w:pPr>
            <w:r w:rsidRPr="002A3F34">
              <w:rPr>
                <w:rFonts w:cs="Arial"/>
                <w:sz w:val="16"/>
                <w:szCs w:val="16"/>
              </w:rPr>
              <w:t>2,2</w:t>
            </w:r>
          </w:p>
        </w:tc>
        <w:tc>
          <w:tcPr>
            <w:tcW w:w="1028" w:type="dxa"/>
            <w:tcBorders>
              <w:top w:val="nil"/>
              <w:bottom w:val="nil"/>
              <w:right w:val="single" w:sz="2" w:space="0" w:color="A6A6A6" w:themeColor="background1" w:themeShade="A6"/>
            </w:tcBorders>
            <w:vAlign w:val="center"/>
          </w:tcPr>
          <w:p w14:paraId="6622A3B6" w14:textId="77777777" w:rsidR="00EA2CD0" w:rsidRPr="002A3F34" w:rsidRDefault="00EA2CD0" w:rsidP="002A3F34">
            <w:pPr>
              <w:spacing w:after="0" w:line="276" w:lineRule="auto"/>
              <w:jc w:val="right"/>
              <w:rPr>
                <w:rFonts w:cs="Arial"/>
                <w:sz w:val="16"/>
                <w:szCs w:val="16"/>
              </w:rPr>
            </w:pPr>
            <w:r w:rsidRPr="002A3F34">
              <w:rPr>
                <w:rFonts w:cs="Arial"/>
                <w:sz w:val="16"/>
                <w:szCs w:val="16"/>
              </w:rPr>
              <w:t>4,5</w:t>
            </w:r>
          </w:p>
        </w:tc>
      </w:tr>
      <w:tr w:rsidR="00EA2CD0" w:rsidRPr="00EB4E92" w14:paraId="219C9B7C" w14:textId="77777777" w:rsidTr="002A3F34">
        <w:trPr>
          <w:cantSplit/>
          <w:jc w:val="center"/>
        </w:trPr>
        <w:tc>
          <w:tcPr>
            <w:tcW w:w="5302" w:type="dxa"/>
            <w:tcBorders>
              <w:top w:val="nil"/>
              <w:left w:val="single" w:sz="2" w:space="0" w:color="A6A6A6" w:themeColor="background1" w:themeShade="A6"/>
              <w:bottom w:val="nil"/>
            </w:tcBorders>
            <w:vAlign w:val="center"/>
          </w:tcPr>
          <w:p w14:paraId="501B2D54" w14:textId="77777777" w:rsidR="00EA2CD0" w:rsidRPr="002A3F34" w:rsidRDefault="00EA2CD0" w:rsidP="002A3F34">
            <w:pPr>
              <w:spacing w:after="0" w:line="276" w:lineRule="auto"/>
              <w:jc w:val="left"/>
              <w:rPr>
                <w:rFonts w:cs="Arial"/>
                <w:sz w:val="16"/>
                <w:szCs w:val="16"/>
              </w:rPr>
            </w:pPr>
            <w:r w:rsidRPr="002A3F34">
              <w:rPr>
                <w:rFonts w:cs="Arial"/>
                <w:sz w:val="16"/>
                <w:szCs w:val="16"/>
              </w:rPr>
              <w:t>Εισαγωγές αγαθών και υπηρεσιών</w:t>
            </w:r>
          </w:p>
        </w:tc>
        <w:tc>
          <w:tcPr>
            <w:tcW w:w="1012" w:type="dxa"/>
            <w:tcBorders>
              <w:top w:val="nil"/>
              <w:bottom w:val="nil"/>
            </w:tcBorders>
            <w:vAlign w:val="center"/>
          </w:tcPr>
          <w:p w14:paraId="3DA6C6CF" w14:textId="77777777" w:rsidR="00EA2CD0" w:rsidRPr="002A3F34" w:rsidRDefault="00EA2CD0" w:rsidP="002A3F34">
            <w:pPr>
              <w:spacing w:after="0" w:line="276" w:lineRule="auto"/>
              <w:jc w:val="right"/>
              <w:rPr>
                <w:rFonts w:cs="Arial"/>
                <w:sz w:val="16"/>
                <w:szCs w:val="16"/>
              </w:rPr>
            </w:pPr>
            <w:r w:rsidRPr="002A3F34">
              <w:rPr>
                <w:rFonts w:cs="Arial"/>
                <w:sz w:val="16"/>
                <w:szCs w:val="16"/>
              </w:rPr>
              <w:t>4,8</w:t>
            </w:r>
          </w:p>
        </w:tc>
        <w:tc>
          <w:tcPr>
            <w:tcW w:w="1079" w:type="dxa"/>
            <w:tcBorders>
              <w:top w:val="nil"/>
              <w:bottom w:val="nil"/>
            </w:tcBorders>
            <w:vAlign w:val="center"/>
          </w:tcPr>
          <w:p w14:paraId="4225BE21" w14:textId="77777777" w:rsidR="00EA2CD0" w:rsidRPr="002A3F34" w:rsidRDefault="00EA2CD0" w:rsidP="002A3F34">
            <w:pPr>
              <w:spacing w:after="0" w:line="276" w:lineRule="auto"/>
              <w:jc w:val="right"/>
              <w:rPr>
                <w:rFonts w:cs="Arial"/>
                <w:sz w:val="16"/>
                <w:szCs w:val="16"/>
              </w:rPr>
            </w:pPr>
            <w:r w:rsidRPr="002A3F34">
              <w:rPr>
                <w:rFonts w:cs="Arial"/>
                <w:sz w:val="16"/>
                <w:szCs w:val="16"/>
              </w:rPr>
              <w:t>0,9</w:t>
            </w:r>
          </w:p>
        </w:tc>
        <w:tc>
          <w:tcPr>
            <w:tcW w:w="1028" w:type="dxa"/>
            <w:tcBorders>
              <w:top w:val="nil"/>
              <w:bottom w:val="nil"/>
              <w:right w:val="single" w:sz="2" w:space="0" w:color="A6A6A6" w:themeColor="background1" w:themeShade="A6"/>
            </w:tcBorders>
            <w:vAlign w:val="center"/>
          </w:tcPr>
          <w:p w14:paraId="3CFBC40A" w14:textId="77777777" w:rsidR="00EA2CD0" w:rsidRPr="002A3F34" w:rsidRDefault="00EA2CD0" w:rsidP="002A3F34">
            <w:pPr>
              <w:spacing w:after="0" w:line="276" w:lineRule="auto"/>
              <w:jc w:val="right"/>
              <w:rPr>
                <w:rFonts w:cs="Arial"/>
                <w:sz w:val="16"/>
                <w:szCs w:val="16"/>
              </w:rPr>
            </w:pPr>
            <w:r w:rsidRPr="002A3F34">
              <w:rPr>
                <w:rFonts w:cs="Arial"/>
                <w:sz w:val="16"/>
                <w:szCs w:val="16"/>
              </w:rPr>
              <w:t>4,6</w:t>
            </w:r>
          </w:p>
        </w:tc>
      </w:tr>
      <w:tr w:rsidR="00EA2CD0" w:rsidRPr="00EB4E92" w14:paraId="3720A9AE" w14:textId="77777777" w:rsidTr="002A3F34">
        <w:trPr>
          <w:cantSplit/>
          <w:jc w:val="center"/>
        </w:trPr>
        <w:tc>
          <w:tcPr>
            <w:tcW w:w="5302" w:type="dxa"/>
            <w:tcBorders>
              <w:top w:val="nil"/>
              <w:left w:val="single" w:sz="2" w:space="0" w:color="A6A6A6" w:themeColor="background1" w:themeShade="A6"/>
              <w:bottom w:val="nil"/>
            </w:tcBorders>
            <w:vAlign w:val="center"/>
          </w:tcPr>
          <w:p w14:paraId="1005B473" w14:textId="77777777" w:rsidR="00EA2CD0" w:rsidRPr="002A3F34" w:rsidRDefault="00EA2CD0" w:rsidP="002A3F34">
            <w:pPr>
              <w:spacing w:after="0" w:line="276" w:lineRule="auto"/>
              <w:jc w:val="left"/>
              <w:rPr>
                <w:rFonts w:cs="Arial"/>
                <w:sz w:val="16"/>
                <w:szCs w:val="16"/>
              </w:rPr>
            </w:pPr>
            <w:r w:rsidRPr="002A3F34">
              <w:rPr>
                <w:rFonts w:cs="Arial"/>
                <w:sz w:val="16"/>
                <w:szCs w:val="16"/>
              </w:rPr>
              <w:t>Αποπληθωριστής ΑΕΠ</w:t>
            </w:r>
          </w:p>
        </w:tc>
        <w:tc>
          <w:tcPr>
            <w:tcW w:w="1012" w:type="dxa"/>
            <w:tcBorders>
              <w:top w:val="nil"/>
              <w:bottom w:val="nil"/>
            </w:tcBorders>
            <w:vAlign w:val="center"/>
          </w:tcPr>
          <w:p w14:paraId="45E84F6F" w14:textId="77777777" w:rsidR="00EA2CD0" w:rsidRPr="002A3F34" w:rsidRDefault="00EA2CD0" w:rsidP="002A3F34">
            <w:pPr>
              <w:spacing w:after="0" w:line="276" w:lineRule="auto"/>
              <w:jc w:val="right"/>
              <w:rPr>
                <w:rFonts w:cs="Arial"/>
                <w:sz w:val="16"/>
                <w:szCs w:val="16"/>
              </w:rPr>
            </w:pPr>
            <w:r w:rsidRPr="002A3F34">
              <w:rPr>
                <w:rFonts w:cs="Arial"/>
                <w:sz w:val="16"/>
                <w:szCs w:val="16"/>
              </w:rPr>
              <w:t>3,2</w:t>
            </w:r>
          </w:p>
        </w:tc>
        <w:tc>
          <w:tcPr>
            <w:tcW w:w="1079" w:type="dxa"/>
            <w:tcBorders>
              <w:top w:val="nil"/>
              <w:bottom w:val="nil"/>
            </w:tcBorders>
            <w:vAlign w:val="center"/>
          </w:tcPr>
          <w:p w14:paraId="7C3C1CE1" w14:textId="77777777" w:rsidR="00EA2CD0" w:rsidRPr="002A3F34" w:rsidRDefault="00EA2CD0" w:rsidP="002A3F34">
            <w:pPr>
              <w:spacing w:after="0" w:line="276" w:lineRule="auto"/>
              <w:jc w:val="right"/>
              <w:rPr>
                <w:rFonts w:cs="Arial"/>
                <w:sz w:val="16"/>
                <w:szCs w:val="16"/>
              </w:rPr>
            </w:pPr>
            <w:r w:rsidRPr="002A3F34">
              <w:rPr>
                <w:rFonts w:cs="Arial"/>
                <w:sz w:val="16"/>
                <w:szCs w:val="16"/>
              </w:rPr>
              <w:t>2,8</w:t>
            </w:r>
          </w:p>
        </w:tc>
        <w:tc>
          <w:tcPr>
            <w:tcW w:w="1028" w:type="dxa"/>
            <w:tcBorders>
              <w:top w:val="nil"/>
              <w:bottom w:val="nil"/>
              <w:right w:val="single" w:sz="2" w:space="0" w:color="A6A6A6" w:themeColor="background1" w:themeShade="A6"/>
            </w:tcBorders>
            <w:vAlign w:val="center"/>
          </w:tcPr>
          <w:p w14:paraId="292CCF7D" w14:textId="77777777" w:rsidR="00EA2CD0" w:rsidRPr="002A3F34" w:rsidRDefault="00EA2CD0" w:rsidP="002A3F34">
            <w:pPr>
              <w:spacing w:after="0" w:line="276" w:lineRule="auto"/>
              <w:jc w:val="right"/>
              <w:rPr>
                <w:rFonts w:cs="Arial"/>
                <w:sz w:val="16"/>
                <w:szCs w:val="16"/>
              </w:rPr>
            </w:pPr>
            <w:r w:rsidRPr="002A3F34">
              <w:rPr>
                <w:rFonts w:cs="Arial"/>
                <w:sz w:val="16"/>
                <w:szCs w:val="16"/>
              </w:rPr>
              <w:t>2,1</w:t>
            </w:r>
          </w:p>
        </w:tc>
      </w:tr>
      <w:tr w:rsidR="00EA2CD0" w:rsidRPr="00EB4E92" w14:paraId="60902051" w14:textId="77777777" w:rsidTr="002A3F34">
        <w:trPr>
          <w:cantSplit/>
          <w:jc w:val="center"/>
        </w:trPr>
        <w:tc>
          <w:tcPr>
            <w:tcW w:w="5302" w:type="dxa"/>
            <w:tcBorders>
              <w:top w:val="nil"/>
              <w:left w:val="single" w:sz="2" w:space="0" w:color="A6A6A6" w:themeColor="background1" w:themeShade="A6"/>
              <w:bottom w:val="nil"/>
            </w:tcBorders>
            <w:vAlign w:val="center"/>
          </w:tcPr>
          <w:p w14:paraId="7B1A45AF" w14:textId="77777777" w:rsidR="00EA2CD0" w:rsidRPr="002A3F34" w:rsidRDefault="00EA2CD0" w:rsidP="002A3F34">
            <w:pPr>
              <w:spacing w:after="0" w:line="276" w:lineRule="auto"/>
              <w:jc w:val="left"/>
              <w:rPr>
                <w:rFonts w:cs="Arial"/>
                <w:sz w:val="16"/>
                <w:szCs w:val="16"/>
              </w:rPr>
            </w:pPr>
            <w:r w:rsidRPr="002A3F34">
              <w:rPr>
                <w:rFonts w:cs="Arial"/>
                <w:sz w:val="16"/>
                <w:szCs w:val="16"/>
              </w:rPr>
              <w:t>Εναρμονισμένος Δείκτης Τιμών Καταναλωτή</w:t>
            </w:r>
          </w:p>
        </w:tc>
        <w:tc>
          <w:tcPr>
            <w:tcW w:w="1012" w:type="dxa"/>
            <w:tcBorders>
              <w:top w:val="nil"/>
              <w:bottom w:val="nil"/>
            </w:tcBorders>
            <w:vAlign w:val="center"/>
          </w:tcPr>
          <w:p w14:paraId="39F043BC" w14:textId="77777777" w:rsidR="00EA2CD0" w:rsidRPr="002A3F34" w:rsidRDefault="00EA2CD0" w:rsidP="002A3F34">
            <w:pPr>
              <w:spacing w:after="0" w:line="276" w:lineRule="auto"/>
              <w:jc w:val="right"/>
              <w:rPr>
                <w:rFonts w:cs="Arial"/>
                <w:sz w:val="16"/>
                <w:szCs w:val="16"/>
              </w:rPr>
            </w:pPr>
            <w:r w:rsidRPr="002A3F34">
              <w:rPr>
                <w:rFonts w:cs="Arial"/>
                <w:sz w:val="16"/>
                <w:szCs w:val="16"/>
              </w:rPr>
              <w:t>3,0</w:t>
            </w:r>
          </w:p>
        </w:tc>
        <w:tc>
          <w:tcPr>
            <w:tcW w:w="1079" w:type="dxa"/>
            <w:tcBorders>
              <w:top w:val="nil"/>
              <w:bottom w:val="nil"/>
            </w:tcBorders>
            <w:vAlign w:val="center"/>
          </w:tcPr>
          <w:p w14:paraId="51635232" w14:textId="77777777" w:rsidR="00EA2CD0" w:rsidRPr="002A3F34" w:rsidRDefault="00EA2CD0" w:rsidP="002A3F34">
            <w:pPr>
              <w:spacing w:after="0" w:line="276" w:lineRule="auto"/>
              <w:jc w:val="right"/>
              <w:rPr>
                <w:rFonts w:cs="Arial"/>
                <w:sz w:val="16"/>
                <w:szCs w:val="16"/>
              </w:rPr>
            </w:pPr>
            <w:r w:rsidRPr="002A3F34">
              <w:rPr>
                <w:rFonts w:cs="Arial"/>
                <w:sz w:val="16"/>
                <w:szCs w:val="16"/>
              </w:rPr>
              <w:t>3,0</w:t>
            </w:r>
          </w:p>
        </w:tc>
        <w:tc>
          <w:tcPr>
            <w:tcW w:w="1028" w:type="dxa"/>
            <w:tcBorders>
              <w:top w:val="nil"/>
              <w:bottom w:val="nil"/>
              <w:right w:val="single" w:sz="2" w:space="0" w:color="A6A6A6" w:themeColor="background1" w:themeShade="A6"/>
            </w:tcBorders>
            <w:vAlign w:val="center"/>
          </w:tcPr>
          <w:p w14:paraId="6A552C44" w14:textId="77777777" w:rsidR="00EA2CD0" w:rsidRPr="002A3F34" w:rsidRDefault="00EA2CD0" w:rsidP="002A3F34">
            <w:pPr>
              <w:spacing w:after="0" w:line="276" w:lineRule="auto"/>
              <w:jc w:val="right"/>
              <w:rPr>
                <w:rFonts w:cs="Arial"/>
                <w:sz w:val="16"/>
                <w:szCs w:val="16"/>
              </w:rPr>
            </w:pPr>
            <w:r w:rsidRPr="002A3F34">
              <w:rPr>
                <w:rFonts w:cs="Arial"/>
                <w:sz w:val="16"/>
                <w:szCs w:val="16"/>
              </w:rPr>
              <w:t>2,2</w:t>
            </w:r>
          </w:p>
        </w:tc>
      </w:tr>
      <w:tr w:rsidR="00EA2CD0" w:rsidRPr="00EB4E92" w14:paraId="0E63FF82" w14:textId="77777777" w:rsidTr="002A3F34">
        <w:trPr>
          <w:cantSplit/>
          <w:jc w:val="center"/>
        </w:trPr>
        <w:tc>
          <w:tcPr>
            <w:tcW w:w="5302" w:type="dxa"/>
            <w:tcBorders>
              <w:top w:val="nil"/>
              <w:left w:val="single" w:sz="2" w:space="0" w:color="A6A6A6" w:themeColor="background1" w:themeShade="A6"/>
              <w:bottom w:val="nil"/>
            </w:tcBorders>
            <w:vAlign w:val="center"/>
          </w:tcPr>
          <w:p w14:paraId="1434A7AF" w14:textId="77777777" w:rsidR="00EA2CD0" w:rsidRPr="002A3F34" w:rsidRDefault="00EA2CD0" w:rsidP="002A3F34">
            <w:pPr>
              <w:spacing w:after="0" w:line="276" w:lineRule="auto"/>
              <w:jc w:val="left"/>
              <w:rPr>
                <w:rFonts w:cs="Arial"/>
                <w:sz w:val="16"/>
                <w:szCs w:val="16"/>
              </w:rPr>
            </w:pPr>
            <w:r w:rsidRPr="002A3F34">
              <w:rPr>
                <w:rFonts w:cs="Arial"/>
                <w:sz w:val="16"/>
                <w:szCs w:val="16"/>
              </w:rPr>
              <w:t>Δείκτης Τιμών Καταναλωτή</w:t>
            </w:r>
          </w:p>
        </w:tc>
        <w:tc>
          <w:tcPr>
            <w:tcW w:w="1012" w:type="dxa"/>
            <w:tcBorders>
              <w:top w:val="nil"/>
              <w:bottom w:val="nil"/>
            </w:tcBorders>
            <w:vAlign w:val="center"/>
          </w:tcPr>
          <w:p w14:paraId="43119966" w14:textId="77777777" w:rsidR="00EA2CD0" w:rsidRPr="002A3F34" w:rsidRDefault="00EA2CD0" w:rsidP="002A3F34">
            <w:pPr>
              <w:spacing w:after="0" w:line="276" w:lineRule="auto"/>
              <w:jc w:val="right"/>
              <w:rPr>
                <w:rFonts w:cs="Arial"/>
                <w:sz w:val="16"/>
                <w:szCs w:val="16"/>
              </w:rPr>
            </w:pPr>
            <w:r w:rsidRPr="002A3F34">
              <w:rPr>
                <w:rFonts w:cs="Arial"/>
                <w:sz w:val="16"/>
                <w:szCs w:val="16"/>
              </w:rPr>
              <w:t>2,7</w:t>
            </w:r>
          </w:p>
        </w:tc>
        <w:tc>
          <w:tcPr>
            <w:tcW w:w="1079" w:type="dxa"/>
            <w:tcBorders>
              <w:top w:val="nil"/>
              <w:bottom w:val="nil"/>
            </w:tcBorders>
            <w:vAlign w:val="center"/>
          </w:tcPr>
          <w:p w14:paraId="1536BA12" w14:textId="77777777" w:rsidR="00EA2CD0" w:rsidRPr="002A3F34" w:rsidRDefault="00EA2CD0" w:rsidP="002A3F34">
            <w:pPr>
              <w:spacing w:after="0" w:line="276" w:lineRule="auto"/>
              <w:jc w:val="right"/>
              <w:rPr>
                <w:rFonts w:cs="Arial"/>
                <w:sz w:val="16"/>
                <w:szCs w:val="16"/>
              </w:rPr>
            </w:pPr>
            <w:r w:rsidRPr="002A3F34">
              <w:rPr>
                <w:rFonts w:cs="Arial"/>
                <w:sz w:val="16"/>
                <w:szCs w:val="16"/>
              </w:rPr>
              <w:t>2,6</w:t>
            </w:r>
          </w:p>
        </w:tc>
        <w:tc>
          <w:tcPr>
            <w:tcW w:w="1028" w:type="dxa"/>
            <w:tcBorders>
              <w:top w:val="nil"/>
              <w:bottom w:val="nil"/>
              <w:right w:val="single" w:sz="2" w:space="0" w:color="A6A6A6" w:themeColor="background1" w:themeShade="A6"/>
            </w:tcBorders>
            <w:vAlign w:val="center"/>
          </w:tcPr>
          <w:p w14:paraId="6F8CFA1C" w14:textId="77777777" w:rsidR="00EA2CD0" w:rsidRPr="002A3F34" w:rsidRDefault="00EA2CD0" w:rsidP="002A3F34">
            <w:pPr>
              <w:spacing w:after="0" w:line="276" w:lineRule="auto"/>
              <w:jc w:val="right"/>
              <w:rPr>
                <w:rFonts w:cs="Arial"/>
                <w:sz w:val="16"/>
                <w:szCs w:val="16"/>
              </w:rPr>
            </w:pPr>
            <w:r w:rsidRPr="002A3F34">
              <w:rPr>
                <w:rFonts w:cs="Arial"/>
                <w:sz w:val="16"/>
                <w:szCs w:val="16"/>
              </w:rPr>
              <w:t>2,2</w:t>
            </w:r>
          </w:p>
        </w:tc>
      </w:tr>
      <w:tr w:rsidR="00EA2CD0" w:rsidRPr="00EB4E92" w14:paraId="27B533B3" w14:textId="77777777" w:rsidTr="002A3F34">
        <w:trPr>
          <w:cantSplit/>
          <w:jc w:val="center"/>
        </w:trPr>
        <w:tc>
          <w:tcPr>
            <w:tcW w:w="5302" w:type="dxa"/>
            <w:tcBorders>
              <w:top w:val="nil"/>
              <w:left w:val="single" w:sz="2" w:space="0" w:color="A6A6A6" w:themeColor="background1" w:themeShade="A6"/>
              <w:bottom w:val="nil"/>
            </w:tcBorders>
            <w:vAlign w:val="center"/>
          </w:tcPr>
          <w:p w14:paraId="2D4DD11B" w14:textId="77777777" w:rsidR="00EA2CD0" w:rsidRPr="002A3F34" w:rsidRDefault="00EA2CD0" w:rsidP="002A3F34">
            <w:pPr>
              <w:spacing w:after="0" w:line="276" w:lineRule="auto"/>
              <w:jc w:val="left"/>
              <w:rPr>
                <w:rFonts w:cs="Arial"/>
                <w:sz w:val="16"/>
                <w:szCs w:val="16"/>
              </w:rPr>
            </w:pPr>
            <w:r w:rsidRPr="002A3F34">
              <w:rPr>
                <w:rFonts w:cs="Arial"/>
                <w:sz w:val="16"/>
                <w:szCs w:val="16"/>
              </w:rPr>
              <w:t>Απασχόληση*</w:t>
            </w:r>
          </w:p>
        </w:tc>
        <w:tc>
          <w:tcPr>
            <w:tcW w:w="1012" w:type="dxa"/>
            <w:tcBorders>
              <w:top w:val="nil"/>
              <w:bottom w:val="nil"/>
            </w:tcBorders>
            <w:vAlign w:val="center"/>
          </w:tcPr>
          <w:p w14:paraId="1D5BB919" w14:textId="77777777" w:rsidR="00EA2CD0" w:rsidRPr="002A3F34" w:rsidRDefault="00EA2CD0" w:rsidP="002A3F34">
            <w:pPr>
              <w:spacing w:after="0" w:line="276" w:lineRule="auto"/>
              <w:jc w:val="right"/>
              <w:rPr>
                <w:rFonts w:cs="Arial"/>
                <w:sz w:val="16"/>
                <w:szCs w:val="16"/>
              </w:rPr>
            </w:pPr>
            <w:r w:rsidRPr="002A3F34">
              <w:rPr>
                <w:rFonts w:cs="Arial"/>
                <w:sz w:val="16"/>
                <w:szCs w:val="16"/>
              </w:rPr>
              <w:t>0,9</w:t>
            </w:r>
          </w:p>
        </w:tc>
        <w:tc>
          <w:tcPr>
            <w:tcW w:w="1079" w:type="dxa"/>
            <w:tcBorders>
              <w:top w:val="nil"/>
              <w:bottom w:val="nil"/>
            </w:tcBorders>
            <w:vAlign w:val="center"/>
          </w:tcPr>
          <w:p w14:paraId="62D8C813" w14:textId="77777777" w:rsidR="00EA2CD0" w:rsidRPr="002A3F34" w:rsidRDefault="00EA2CD0" w:rsidP="002A3F34">
            <w:pPr>
              <w:spacing w:after="0" w:line="276" w:lineRule="auto"/>
              <w:jc w:val="right"/>
              <w:rPr>
                <w:rFonts w:cs="Arial"/>
                <w:sz w:val="16"/>
                <w:szCs w:val="16"/>
              </w:rPr>
            </w:pPr>
            <w:r w:rsidRPr="002A3F34">
              <w:rPr>
                <w:rFonts w:cs="Arial"/>
                <w:sz w:val="16"/>
                <w:szCs w:val="16"/>
              </w:rPr>
              <w:t>0,7</w:t>
            </w:r>
          </w:p>
        </w:tc>
        <w:tc>
          <w:tcPr>
            <w:tcW w:w="1028" w:type="dxa"/>
            <w:tcBorders>
              <w:top w:val="nil"/>
              <w:bottom w:val="nil"/>
              <w:right w:val="single" w:sz="2" w:space="0" w:color="A6A6A6" w:themeColor="background1" w:themeShade="A6"/>
            </w:tcBorders>
            <w:vAlign w:val="center"/>
          </w:tcPr>
          <w:p w14:paraId="3180727F" w14:textId="77777777" w:rsidR="00EA2CD0" w:rsidRPr="002A3F34" w:rsidRDefault="00EA2CD0" w:rsidP="002A3F34">
            <w:pPr>
              <w:spacing w:after="0" w:line="276" w:lineRule="auto"/>
              <w:jc w:val="right"/>
              <w:rPr>
                <w:rFonts w:cs="Arial"/>
                <w:sz w:val="16"/>
                <w:szCs w:val="16"/>
              </w:rPr>
            </w:pPr>
            <w:r w:rsidRPr="002A3F34">
              <w:rPr>
                <w:rFonts w:cs="Arial"/>
                <w:sz w:val="16"/>
                <w:szCs w:val="16"/>
              </w:rPr>
              <w:t>0,4</w:t>
            </w:r>
          </w:p>
        </w:tc>
      </w:tr>
      <w:tr w:rsidR="00EA2CD0" w:rsidRPr="00EB4E92" w14:paraId="2EC49FA8" w14:textId="77777777" w:rsidTr="002A3F34">
        <w:trPr>
          <w:cantSplit/>
          <w:jc w:val="center"/>
        </w:trPr>
        <w:tc>
          <w:tcPr>
            <w:tcW w:w="5302" w:type="dxa"/>
            <w:tcBorders>
              <w:top w:val="nil"/>
              <w:left w:val="single" w:sz="2" w:space="0" w:color="A6A6A6" w:themeColor="background1" w:themeShade="A6"/>
              <w:bottom w:val="nil"/>
            </w:tcBorders>
            <w:vAlign w:val="center"/>
          </w:tcPr>
          <w:p w14:paraId="6D8D3164" w14:textId="77777777" w:rsidR="00EA2CD0" w:rsidRPr="002A3F34" w:rsidRDefault="00EA2CD0" w:rsidP="002A3F34">
            <w:pPr>
              <w:spacing w:after="0" w:line="276" w:lineRule="auto"/>
              <w:jc w:val="left"/>
              <w:rPr>
                <w:rFonts w:cs="Arial"/>
                <w:sz w:val="16"/>
                <w:szCs w:val="16"/>
              </w:rPr>
            </w:pPr>
            <w:r w:rsidRPr="002A3F34">
              <w:rPr>
                <w:rFonts w:cs="Arial"/>
                <w:sz w:val="16"/>
                <w:szCs w:val="16"/>
              </w:rPr>
              <w:t>Ποσοστό ανεργίας*</w:t>
            </w:r>
          </w:p>
        </w:tc>
        <w:tc>
          <w:tcPr>
            <w:tcW w:w="1012" w:type="dxa"/>
            <w:tcBorders>
              <w:top w:val="nil"/>
              <w:bottom w:val="nil"/>
            </w:tcBorders>
            <w:vAlign w:val="center"/>
          </w:tcPr>
          <w:p w14:paraId="5CACC196" w14:textId="77777777" w:rsidR="00EA2CD0" w:rsidRPr="002A3F34" w:rsidRDefault="00EA2CD0" w:rsidP="002A3F34">
            <w:pPr>
              <w:spacing w:after="0" w:line="276" w:lineRule="auto"/>
              <w:jc w:val="right"/>
              <w:rPr>
                <w:rFonts w:cs="Arial"/>
                <w:sz w:val="16"/>
                <w:szCs w:val="16"/>
              </w:rPr>
            </w:pPr>
            <w:r w:rsidRPr="002A3F34">
              <w:rPr>
                <w:rFonts w:cs="Arial"/>
                <w:sz w:val="16"/>
                <w:szCs w:val="16"/>
              </w:rPr>
              <w:t>8,5</w:t>
            </w:r>
          </w:p>
        </w:tc>
        <w:tc>
          <w:tcPr>
            <w:tcW w:w="1079" w:type="dxa"/>
            <w:tcBorders>
              <w:top w:val="nil"/>
              <w:bottom w:val="nil"/>
            </w:tcBorders>
            <w:vAlign w:val="center"/>
          </w:tcPr>
          <w:p w14:paraId="6A8B85DC" w14:textId="77777777" w:rsidR="00EA2CD0" w:rsidRPr="002A3F34" w:rsidRDefault="00EA2CD0" w:rsidP="002A3F34">
            <w:pPr>
              <w:spacing w:after="0" w:line="276" w:lineRule="auto"/>
              <w:jc w:val="right"/>
              <w:rPr>
                <w:rFonts w:cs="Arial"/>
                <w:sz w:val="16"/>
                <w:szCs w:val="16"/>
              </w:rPr>
            </w:pPr>
            <w:r w:rsidRPr="002A3F34">
              <w:rPr>
                <w:rFonts w:cs="Arial"/>
                <w:sz w:val="16"/>
                <w:szCs w:val="16"/>
              </w:rPr>
              <w:t>7,6</w:t>
            </w:r>
          </w:p>
        </w:tc>
        <w:tc>
          <w:tcPr>
            <w:tcW w:w="1028" w:type="dxa"/>
            <w:tcBorders>
              <w:top w:val="nil"/>
              <w:bottom w:val="nil"/>
              <w:right w:val="single" w:sz="2" w:space="0" w:color="A6A6A6" w:themeColor="background1" w:themeShade="A6"/>
            </w:tcBorders>
            <w:vAlign w:val="center"/>
          </w:tcPr>
          <w:p w14:paraId="059B381F" w14:textId="77777777" w:rsidR="00EA2CD0" w:rsidRPr="002A3F34" w:rsidRDefault="00EA2CD0" w:rsidP="002A3F34">
            <w:pPr>
              <w:spacing w:after="0" w:line="276" w:lineRule="auto"/>
              <w:jc w:val="right"/>
              <w:rPr>
                <w:rFonts w:cs="Arial"/>
                <w:sz w:val="16"/>
                <w:szCs w:val="16"/>
              </w:rPr>
            </w:pPr>
            <w:r w:rsidRPr="002A3F34">
              <w:rPr>
                <w:rFonts w:cs="Arial"/>
                <w:sz w:val="16"/>
                <w:szCs w:val="16"/>
              </w:rPr>
              <w:t>7,2</w:t>
            </w:r>
          </w:p>
        </w:tc>
      </w:tr>
      <w:tr w:rsidR="00EA2CD0" w:rsidRPr="00EB4E92" w14:paraId="3DA0C950" w14:textId="77777777" w:rsidTr="003B2E40">
        <w:trPr>
          <w:cantSplit/>
          <w:jc w:val="center"/>
        </w:trPr>
        <w:tc>
          <w:tcPr>
            <w:tcW w:w="5302" w:type="dxa"/>
            <w:tcBorders>
              <w:top w:val="nil"/>
              <w:left w:val="single" w:sz="2" w:space="0" w:color="A6A6A6" w:themeColor="background1" w:themeShade="A6"/>
              <w:bottom w:val="single" w:sz="2" w:space="0" w:color="A6A6A6" w:themeColor="background1" w:themeShade="A6"/>
            </w:tcBorders>
            <w:vAlign w:val="center"/>
          </w:tcPr>
          <w:p w14:paraId="482DB1D1" w14:textId="77777777" w:rsidR="00EA2CD0" w:rsidRPr="002A3F34" w:rsidRDefault="00EA2CD0" w:rsidP="002A3F34">
            <w:pPr>
              <w:spacing w:after="0" w:line="276" w:lineRule="auto"/>
              <w:jc w:val="left"/>
              <w:rPr>
                <w:rFonts w:cs="Arial"/>
                <w:sz w:val="16"/>
                <w:szCs w:val="16"/>
              </w:rPr>
            </w:pPr>
            <w:r w:rsidRPr="002A3F34">
              <w:rPr>
                <w:rFonts w:cs="Arial"/>
                <w:sz w:val="16"/>
                <w:szCs w:val="16"/>
              </w:rPr>
              <w:t>Ποσοστό ανεργίας (Έρευνα Εργατικού Δυναμικού)</w:t>
            </w:r>
          </w:p>
        </w:tc>
        <w:tc>
          <w:tcPr>
            <w:tcW w:w="1012" w:type="dxa"/>
            <w:tcBorders>
              <w:top w:val="nil"/>
              <w:bottom w:val="single" w:sz="2" w:space="0" w:color="A6A6A6" w:themeColor="background1" w:themeShade="A6"/>
            </w:tcBorders>
            <w:vAlign w:val="center"/>
          </w:tcPr>
          <w:p w14:paraId="1C0B8B33" w14:textId="77777777" w:rsidR="00EA2CD0" w:rsidRPr="002A3F34" w:rsidRDefault="00EA2CD0" w:rsidP="002A3F34">
            <w:pPr>
              <w:spacing w:after="0" w:line="276" w:lineRule="auto"/>
              <w:jc w:val="right"/>
              <w:rPr>
                <w:rFonts w:cs="Arial"/>
                <w:sz w:val="16"/>
                <w:szCs w:val="16"/>
              </w:rPr>
            </w:pPr>
            <w:r w:rsidRPr="002A3F34">
              <w:rPr>
                <w:rFonts w:cs="Arial"/>
                <w:sz w:val="16"/>
                <w:szCs w:val="16"/>
              </w:rPr>
              <w:t>10,1</w:t>
            </w:r>
          </w:p>
        </w:tc>
        <w:tc>
          <w:tcPr>
            <w:tcW w:w="1079" w:type="dxa"/>
            <w:tcBorders>
              <w:top w:val="nil"/>
              <w:bottom w:val="single" w:sz="2" w:space="0" w:color="A6A6A6" w:themeColor="background1" w:themeShade="A6"/>
            </w:tcBorders>
            <w:vAlign w:val="center"/>
          </w:tcPr>
          <w:p w14:paraId="01E7E911" w14:textId="77777777" w:rsidR="00EA2CD0" w:rsidRPr="002A3F34" w:rsidRDefault="00EA2CD0" w:rsidP="002A3F34">
            <w:pPr>
              <w:spacing w:after="0" w:line="276" w:lineRule="auto"/>
              <w:jc w:val="right"/>
              <w:rPr>
                <w:rFonts w:cs="Arial"/>
                <w:sz w:val="16"/>
                <w:szCs w:val="16"/>
              </w:rPr>
            </w:pPr>
            <w:r w:rsidRPr="002A3F34">
              <w:rPr>
                <w:rFonts w:cs="Arial"/>
                <w:sz w:val="16"/>
                <w:szCs w:val="16"/>
              </w:rPr>
              <w:t>9,1</w:t>
            </w:r>
          </w:p>
        </w:tc>
        <w:tc>
          <w:tcPr>
            <w:tcW w:w="1028" w:type="dxa"/>
            <w:tcBorders>
              <w:top w:val="nil"/>
              <w:bottom w:val="single" w:sz="2" w:space="0" w:color="A6A6A6" w:themeColor="background1" w:themeShade="A6"/>
              <w:right w:val="single" w:sz="2" w:space="0" w:color="A6A6A6" w:themeColor="background1" w:themeShade="A6"/>
            </w:tcBorders>
            <w:vAlign w:val="center"/>
          </w:tcPr>
          <w:p w14:paraId="38E4D3DE" w14:textId="77777777" w:rsidR="00EA2CD0" w:rsidRPr="002A3F34" w:rsidRDefault="00EA2CD0" w:rsidP="002A3F34">
            <w:pPr>
              <w:spacing w:after="0" w:line="276" w:lineRule="auto"/>
              <w:jc w:val="right"/>
              <w:rPr>
                <w:rFonts w:cs="Arial"/>
                <w:sz w:val="16"/>
                <w:szCs w:val="16"/>
              </w:rPr>
            </w:pPr>
            <w:r w:rsidRPr="002A3F34">
              <w:rPr>
                <w:rFonts w:cs="Arial"/>
                <w:sz w:val="16"/>
                <w:szCs w:val="16"/>
              </w:rPr>
              <w:t>8,6</w:t>
            </w:r>
          </w:p>
        </w:tc>
      </w:tr>
      <w:tr w:rsidR="00EA2CD0" w:rsidRPr="00EB4E92" w14:paraId="2F9975BE" w14:textId="77777777" w:rsidTr="002A3F34">
        <w:trPr>
          <w:cantSplit/>
          <w:trHeight w:val="283"/>
          <w:jc w:val="center"/>
        </w:trPr>
        <w:tc>
          <w:tcPr>
            <w:tcW w:w="8421" w:type="dxa"/>
            <w:gridSpan w:val="4"/>
            <w:tcBorders>
              <w:top w:val="single" w:sz="2" w:space="0" w:color="A6A6A6" w:themeColor="background1" w:themeShade="A6"/>
              <w:left w:val="nil"/>
              <w:bottom w:val="nil"/>
              <w:right w:val="nil"/>
            </w:tcBorders>
            <w:vAlign w:val="center"/>
          </w:tcPr>
          <w:p w14:paraId="78D10877" w14:textId="77777777" w:rsidR="00EA2CD0" w:rsidRDefault="00EA2CD0" w:rsidP="002319F2">
            <w:pPr>
              <w:tabs>
                <w:tab w:val="left" w:pos="170"/>
              </w:tabs>
              <w:spacing w:before="60" w:after="0" w:line="276" w:lineRule="auto"/>
              <w:rPr>
                <w:rFonts w:cs="Arial"/>
                <w:sz w:val="16"/>
                <w:szCs w:val="16"/>
              </w:rPr>
            </w:pPr>
            <w:r w:rsidRPr="002A3F34">
              <w:rPr>
                <w:rFonts w:cs="Arial"/>
                <w:sz w:val="16"/>
                <w:szCs w:val="16"/>
              </w:rPr>
              <w:t>*</w:t>
            </w:r>
            <w:r w:rsidRPr="002A3F34">
              <w:rPr>
                <w:rFonts w:cs="Arial"/>
                <w:sz w:val="16"/>
                <w:szCs w:val="16"/>
              </w:rPr>
              <w:tab/>
              <w:t>Σε εθνικολογιστική βάση</w:t>
            </w:r>
          </w:p>
          <w:p w14:paraId="095FA2B3" w14:textId="1A6FFC80" w:rsidR="002319F2" w:rsidRDefault="002319F2" w:rsidP="002319F2">
            <w:pPr>
              <w:tabs>
                <w:tab w:val="left" w:pos="170"/>
              </w:tabs>
              <w:spacing w:before="60" w:after="0" w:line="276" w:lineRule="auto"/>
              <w:rPr>
                <w:rFonts w:cs="Arial"/>
                <w:sz w:val="16"/>
                <w:szCs w:val="16"/>
              </w:rPr>
            </w:pPr>
            <w:r w:rsidRPr="002A3F34">
              <w:rPr>
                <w:rFonts w:cs="Arial"/>
                <w:sz w:val="16"/>
                <w:szCs w:val="16"/>
              </w:rPr>
              <w:t>**</w:t>
            </w:r>
            <w:r w:rsidRPr="002A3F34">
              <w:rPr>
                <w:rFonts w:cs="Arial"/>
                <w:sz w:val="16"/>
                <w:szCs w:val="16"/>
              </w:rPr>
              <w:tab/>
              <w:t>Εκτιμήσεις/προβλέψεις</w:t>
            </w:r>
          </w:p>
          <w:p w14:paraId="5C57CE7D" w14:textId="388CA2B1" w:rsidR="002319F2" w:rsidRPr="002A3F34" w:rsidRDefault="002319F2" w:rsidP="0095485D">
            <w:pPr>
              <w:tabs>
                <w:tab w:val="left" w:pos="462"/>
              </w:tabs>
              <w:spacing w:before="60" w:after="0" w:line="276" w:lineRule="auto"/>
              <w:rPr>
                <w:rFonts w:cs="Arial"/>
                <w:sz w:val="16"/>
                <w:szCs w:val="16"/>
              </w:rPr>
            </w:pPr>
            <w:r w:rsidRPr="002A3F34">
              <w:rPr>
                <w:rFonts w:cs="Arial"/>
                <w:sz w:val="16"/>
                <w:szCs w:val="16"/>
              </w:rPr>
              <w:t>Πηγή:</w:t>
            </w:r>
            <w:r w:rsidR="0095485D">
              <w:rPr>
                <w:rFonts w:cs="Arial"/>
                <w:sz w:val="16"/>
                <w:szCs w:val="16"/>
              </w:rPr>
              <w:tab/>
            </w:r>
            <w:r w:rsidRPr="002A3F34">
              <w:rPr>
                <w:rFonts w:cs="Arial"/>
                <w:sz w:val="16"/>
                <w:szCs w:val="16"/>
              </w:rPr>
              <w:t>Ετήσιοι Εθνικοί Λογαριασμοί (ΕΛΣΤΑΤ), εκτιμήσεις/προβλέψεις Υπουργείου Εθνικής Οικονομίας και Οικονομικών</w:t>
            </w:r>
          </w:p>
        </w:tc>
      </w:tr>
    </w:tbl>
    <w:p w14:paraId="4197F6EC" w14:textId="3C9E5762" w:rsidR="00EA2CD0" w:rsidRPr="0025392F" w:rsidRDefault="00EA2CD0" w:rsidP="00EA2CD0">
      <w:pPr>
        <w:spacing w:before="240"/>
      </w:pPr>
      <w:r w:rsidRPr="0025392F">
        <w:t xml:space="preserve">Οι κυριότεροι βραχυπρόθεσμοι κίνδυνοι για τη διαμόρφωση του ρυθμού ανάπτυξης το 2025 και το 2026 συνοψίζονται σε </w:t>
      </w:r>
      <w:r w:rsidR="00D715BE">
        <w:t>πιθανή</w:t>
      </w:r>
      <w:r w:rsidR="00D81813">
        <w:t xml:space="preserve"> </w:t>
      </w:r>
      <w:r w:rsidRPr="007A3CCB">
        <w:t>όξυνση των γεωπολιτικών αναταραχών</w:t>
      </w:r>
      <w:r>
        <w:t>, σε</w:t>
      </w:r>
      <w:r w:rsidRPr="007A3CCB">
        <w:t xml:space="preserve"> </w:t>
      </w:r>
      <w:r w:rsidR="00D715BE">
        <w:t>ενδεχόμενη</w:t>
      </w:r>
      <w:r w:rsidRPr="0025392F">
        <w:t xml:space="preserve"> παρέκκλιση από τη δασμολογική συμφωνία μεταξύ ΗΠΑ και ΕΕ ή </w:t>
      </w:r>
      <w:r w:rsidR="00627910">
        <w:t xml:space="preserve">σε </w:t>
      </w:r>
      <w:r w:rsidRPr="0025392F">
        <w:t xml:space="preserve">άλλη αποσταθεροποίηση των όρων του διεθνούς εμπορίου, σε μεγαλύτερη του αναμενόμενου επίπτωση των δασμών στην παγκόσμια και </w:t>
      </w:r>
      <w:r>
        <w:t xml:space="preserve">την </w:t>
      </w:r>
      <w:r w:rsidRPr="0025392F">
        <w:t>ευρωπαϊκή οικονομία,</w:t>
      </w:r>
      <w:r>
        <w:t xml:space="preserve"> </w:t>
      </w:r>
      <w:r w:rsidRPr="0025392F">
        <w:t xml:space="preserve">σε </w:t>
      </w:r>
      <w:r>
        <w:t xml:space="preserve">εντονότερη εκδήλωση </w:t>
      </w:r>
      <w:r w:rsidRPr="0025392F">
        <w:t xml:space="preserve">των φαινομένων κλιματικής </w:t>
      </w:r>
      <w:r w:rsidRPr="005A3880">
        <w:t>αλλαγής και στην περίπτωση καθυστέρησης τη</w:t>
      </w:r>
      <w:r>
        <w:t>ς πραγματοποίησης προγραμματιζόμενων επενδύσεων</w:t>
      </w:r>
      <w:r w:rsidRPr="0025392F">
        <w:t>. Παράλληλα, η ανατίμηση του ευρώ ενέχει κινδύνους για το εξωτερικό ισοζύγιο και την ανταγωνιστικότητα στην Ευρωζώνη, ενώ η εφαρμογή συσταλτικής δημοσιονομικής πολιτικής σε μεγάλες οικονομίες της ΕΕ ενδέχεται να επιδράσει αρνητικά στην εξωτερική ζήτηση.</w:t>
      </w:r>
    </w:p>
    <w:p w14:paraId="7DE895B8" w14:textId="68D96109" w:rsidR="0079392D" w:rsidRDefault="004D5543" w:rsidP="00EA2CD0">
      <w:r>
        <w:lastRenderedPageBreak/>
        <w:t>Θετική επίδραση στον</w:t>
      </w:r>
      <w:r w:rsidR="00EA2CD0">
        <w:t xml:space="preserve"> </w:t>
      </w:r>
      <w:r w:rsidR="00EA2CD0" w:rsidRPr="0025392F">
        <w:t>ρυθμ</w:t>
      </w:r>
      <w:r>
        <w:t>ό</w:t>
      </w:r>
      <w:r w:rsidR="00EA2CD0" w:rsidRPr="0025392F">
        <w:t xml:space="preserve"> ανάπτυξης της ελληνικής οικονομίας θα μπορούσ</w:t>
      </w:r>
      <w:r>
        <w:t>ε</w:t>
      </w:r>
      <w:r w:rsidR="00EA2CD0" w:rsidRPr="0025392F">
        <w:t xml:space="preserve"> να </w:t>
      </w:r>
      <w:r>
        <w:t xml:space="preserve">προέλθει από </w:t>
      </w:r>
      <w:r w:rsidR="00C06328">
        <w:t xml:space="preserve">την </w:t>
      </w:r>
      <w:r>
        <w:t xml:space="preserve">περαιτέρω </w:t>
      </w:r>
      <w:r w:rsidR="00EA2CD0" w:rsidRPr="0025392F">
        <w:t>εν</w:t>
      </w:r>
      <w:r>
        <w:t>ίσχυση της</w:t>
      </w:r>
      <w:r w:rsidR="00EA2CD0" w:rsidRPr="0025392F">
        <w:t xml:space="preserve"> δυναμική</w:t>
      </w:r>
      <w:r>
        <w:t>ς</w:t>
      </w:r>
      <w:r w:rsidR="00EA2CD0" w:rsidRPr="0025392F">
        <w:t xml:space="preserve"> </w:t>
      </w:r>
      <w:r>
        <w:t xml:space="preserve">του </w:t>
      </w:r>
      <w:r w:rsidR="00EA2CD0" w:rsidRPr="0025392F">
        <w:t>εξωτερικ</w:t>
      </w:r>
      <w:r>
        <w:t xml:space="preserve">ού </w:t>
      </w:r>
      <w:r w:rsidR="00EA2CD0" w:rsidRPr="0025392F">
        <w:t>τουρισμ</w:t>
      </w:r>
      <w:r>
        <w:t>ού</w:t>
      </w:r>
      <w:r w:rsidR="00EA2CD0" w:rsidRPr="0025392F">
        <w:t xml:space="preserve"> και τη</w:t>
      </w:r>
      <w:r>
        <w:t>ς</w:t>
      </w:r>
      <w:r w:rsidR="00EA2CD0" w:rsidRPr="0025392F">
        <w:t xml:space="preserve"> ναυτιλία</w:t>
      </w:r>
      <w:r>
        <w:t>ς</w:t>
      </w:r>
      <w:r w:rsidR="00EA2CD0" w:rsidRPr="0025392F">
        <w:t xml:space="preserve">, </w:t>
      </w:r>
      <w:r w:rsidR="00E743D4">
        <w:t xml:space="preserve">από τις εγχώριες εξελίξεις στον τομέα της ενέργειας και των προγραμματιζόμενων επενδύσεων, </w:t>
      </w:r>
      <w:r>
        <w:t xml:space="preserve">από </w:t>
      </w:r>
      <w:r w:rsidR="00D74432">
        <w:t xml:space="preserve">την </w:t>
      </w:r>
      <w:r>
        <w:t>τ</w:t>
      </w:r>
      <w:r w:rsidR="00EA2CD0" w:rsidRPr="0025392F">
        <w:t>αχύτερη αποκλιμάκωση του πληθωρισμού</w:t>
      </w:r>
      <w:r w:rsidR="00EA2CD0">
        <w:t>,</w:t>
      </w:r>
      <w:r w:rsidR="00EA2CD0" w:rsidRPr="0025392F">
        <w:t xml:space="preserve"> </w:t>
      </w:r>
      <w:r w:rsidR="00EA2CD0">
        <w:t xml:space="preserve">συνδεόμενη και με τις διεθνείς εξελίξεις </w:t>
      </w:r>
      <w:r w:rsidR="00E743D4">
        <w:t xml:space="preserve">στις τιμές </w:t>
      </w:r>
      <w:r w:rsidR="00EA2CD0">
        <w:t xml:space="preserve">ενέργειας, καθώς </w:t>
      </w:r>
      <w:r w:rsidR="00EA2CD0" w:rsidRPr="0025392F">
        <w:t xml:space="preserve">και </w:t>
      </w:r>
      <w:r w:rsidR="00D74432">
        <w:t xml:space="preserve">από τη </w:t>
      </w:r>
      <w:r w:rsidR="00EA2CD0" w:rsidRPr="0025392F">
        <w:t xml:space="preserve">μεγαλύτερη του αναμενόμενου επενδυτική και αναπτυξιακή ώθηση, ως </w:t>
      </w:r>
      <w:r w:rsidR="00EA2CD0">
        <w:t xml:space="preserve">επακόλουθο </w:t>
      </w:r>
      <w:r w:rsidR="00EA2CD0" w:rsidRPr="0025392F">
        <w:t xml:space="preserve">των συνεργειών που </w:t>
      </w:r>
      <w:r w:rsidR="00EA2CD0">
        <w:t xml:space="preserve">απορρέουν </w:t>
      </w:r>
      <w:r w:rsidR="00EA2CD0" w:rsidRPr="0025392F">
        <w:t>από τις υλοποιούμενες διαρθρωτικές μεταρρυθμίσεις.</w:t>
      </w:r>
    </w:p>
    <w:p w14:paraId="766C8FA6" w14:textId="77777777" w:rsidR="0079392D" w:rsidRDefault="0079392D">
      <w:pPr>
        <w:spacing w:after="0" w:line="240" w:lineRule="auto"/>
        <w:jc w:val="left"/>
      </w:pPr>
      <w:r>
        <w:br w:type="page"/>
      </w:r>
    </w:p>
    <w:bookmarkEnd w:id="14"/>
    <w:p w14:paraId="15384FA0" w14:textId="77777777" w:rsidR="00BD1517" w:rsidRDefault="00BD1517" w:rsidP="003349A6">
      <w:pPr>
        <w:rPr>
          <w:szCs w:val="22"/>
        </w:rPr>
      </w:pPr>
    </w:p>
    <w:p w14:paraId="4FDDB77A" w14:textId="37CED7C4" w:rsidR="00BD1517" w:rsidRPr="003349A6" w:rsidRDefault="00BD1517" w:rsidP="003349A6">
      <w:pPr>
        <w:rPr>
          <w:szCs w:val="22"/>
        </w:rPr>
        <w:sectPr w:rsidR="00BD1517" w:rsidRPr="003349A6" w:rsidSect="008E7E86">
          <w:headerReference w:type="even" r:id="rId19"/>
          <w:headerReference w:type="default" r:id="rId20"/>
          <w:footerReference w:type="even" r:id="rId21"/>
          <w:footerReference w:type="default" r:id="rId22"/>
          <w:footnotePr>
            <w:numRestart w:val="eachSect"/>
          </w:footnotePr>
          <w:pgSz w:w="11906" w:h="16838" w:code="9"/>
          <w:pgMar w:top="1310" w:right="1418" w:bottom="1310" w:left="1418" w:header="652" w:footer="652" w:gutter="0"/>
          <w:cols w:space="708"/>
          <w:docGrid w:linePitch="360"/>
        </w:sectPr>
      </w:pPr>
    </w:p>
    <w:p w14:paraId="07D4B1C5" w14:textId="283E6415" w:rsidR="00C46AAB" w:rsidRPr="00F5292B" w:rsidRDefault="00C46AAB" w:rsidP="0032045E">
      <w:pPr>
        <w:pStyle w:val="1"/>
        <w:tabs>
          <w:tab w:val="clear" w:pos="8932"/>
        </w:tabs>
        <w:ind w:left="0"/>
      </w:pPr>
      <w:bookmarkStart w:id="80" w:name="_Toc214473734"/>
      <w:bookmarkEnd w:id="80"/>
    </w:p>
    <w:p w14:paraId="7805F6FF" w14:textId="6EDBE77C" w:rsidR="00C46AAB" w:rsidRPr="001D2955" w:rsidRDefault="003377C3" w:rsidP="001D2955">
      <w:pPr>
        <w:pStyle w:val="2"/>
      </w:pPr>
      <w:bookmarkStart w:id="81" w:name="_Toc214473735"/>
      <w:r w:rsidRPr="00F5292B">
        <w:t xml:space="preserve">ΠΡΟΫΠΟΛΟΓΙΣΜΟΣ </w:t>
      </w:r>
      <w:r w:rsidR="003951D4">
        <w:t xml:space="preserve">ΕΠΙΔΟΣΕΩΝ </w:t>
      </w:r>
      <w:r w:rsidR="00FF6269">
        <w:t>-</w:t>
      </w:r>
      <w:r w:rsidR="003951D4">
        <w:t xml:space="preserve"> ΕΠΙΣΚΟΠΗΣΕΙΣ ΔΑΠΑΝΩΝ ΚΑΙ ΕΣΟΔΩΝ</w:t>
      </w:r>
      <w:bookmarkStart w:id="82" w:name="_Toc114142021"/>
      <w:bookmarkStart w:id="83" w:name="_Toc114142275"/>
      <w:bookmarkStart w:id="84" w:name="_Toc114142358"/>
      <w:bookmarkStart w:id="85" w:name="_Toc114142407"/>
      <w:bookmarkStart w:id="86" w:name="_Toc114149864"/>
      <w:bookmarkStart w:id="87" w:name="_Toc114219134"/>
      <w:bookmarkStart w:id="88" w:name="_Toc114219152"/>
      <w:bookmarkStart w:id="89" w:name="_Toc114219328"/>
      <w:bookmarkStart w:id="90" w:name="_Toc114219377"/>
      <w:bookmarkStart w:id="91" w:name="_Toc114219845"/>
      <w:bookmarkStart w:id="92" w:name="_Toc114234838"/>
      <w:bookmarkStart w:id="93" w:name="_Toc114489508"/>
      <w:bookmarkStart w:id="94" w:name="_Toc114489586"/>
      <w:bookmarkStart w:id="95" w:name="_Toc114489673"/>
      <w:bookmarkStart w:id="96" w:name="_Toc115338143"/>
      <w:bookmarkStart w:id="97" w:name="_Toc115358120"/>
      <w:bookmarkStart w:id="98" w:name="_Toc115424348"/>
      <w:bookmarkStart w:id="99" w:name="_Toc115435215"/>
      <w:bookmarkStart w:id="100" w:name="_Toc115437949"/>
      <w:bookmarkStart w:id="101" w:name="_Toc115526126"/>
      <w:bookmarkStart w:id="102" w:name="_Toc116042518"/>
      <w:bookmarkStart w:id="103" w:name="_Toc116042621"/>
      <w:bookmarkStart w:id="104" w:name="_Toc116044133"/>
      <w:bookmarkStart w:id="105" w:name="_Toc116044235"/>
      <w:bookmarkStart w:id="106" w:name="_Toc118990954"/>
      <w:bookmarkStart w:id="107" w:name="_Toc119082246"/>
      <w:bookmarkStart w:id="108" w:name="_Toc119607139"/>
      <w:bookmarkStart w:id="109" w:name="_Toc119607432"/>
      <w:bookmarkStart w:id="110" w:name="_Toc119777949"/>
      <w:bookmarkStart w:id="111" w:name="_Toc119778055"/>
      <w:bookmarkStart w:id="112" w:name="_Toc150175839"/>
      <w:bookmarkStart w:id="113" w:name="_Toc150177132"/>
      <w:bookmarkStart w:id="114" w:name="_Toc150516195"/>
      <w:bookmarkStart w:id="115" w:name="_Toc150516336"/>
      <w:bookmarkStart w:id="116" w:name="_Toc150853396"/>
      <w:bookmarkStart w:id="117" w:name="_Toc150853504"/>
      <w:bookmarkStart w:id="118" w:name="_Toc151100760"/>
      <w:bookmarkStart w:id="119" w:name="_Toc15140111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17E17D2A" w14:textId="54C6EB2B" w:rsidR="00E30C8C" w:rsidRPr="00414F9D" w:rsidRDefault="003951D4" w:rsidP="00300BBF">
      <w:pPr>
        <w:pStyle w:val="3"/>
      </w:pPr>
      <w:bookmarkStart w:id="120" w:name="_Toc214473736"/>
      <w:r w:rsidRPr="00414F9D">
        <w:t>Μεταρρυθμίσεις στη δημοσιονομική διαχείριση</w:t>
      </w:r>
      <w:bookmarkEnd w:id="120"/>
    </w:p>
    <w:p w14:paraId="722B6884" w14:textId="67C449D7" w:rsidR="00A961E3" w:rsidRDefault="00A961E3" w:rsidP="00A961E3">
      <w:r>
        <w:t>Το Υπουργείο Εθνικής Οικονομίας και Οικονομικών δίνει ιδιαίτερη έμφαση στην προώθηση των μεταρρυθμίσεων που ενισχύουν την ποιότητα της δημοσιονομικής πληροφορίας και προάγουν την αξιολόγηση της κατανομής των δημόσιων πόρων στο πλαίσιο του κοινοβουλευτικού, πολιτικού και κοινωνικού διαλόγου. Ο προϋπολογισμός επιδόσεων και οι λοιπές μεταρρυθμίσεις που εξελίσσονται στο ίδιο περιβάλλον αποτελούν καθοριστικά εργαλεία προς αυτή την κατεύθυνση.</w:t>
      </w:r>
    </w:p>
    <w:p w14:paraId="06557E7A" w14:textId="1E3B3DE2" w:rsidR="00A961E3" w:rsidRDefault="00A961E3" w:rsidP="00A961E3">
      <w:r>
        <w:t xml:space="preserve">Η Ελλάδα έχει σημειώσει τα τελευταία έτη σημαντική πρόοδο στον τομέα της αποτύπωσης της κατεύθυνσης των προϋπολογιζόμενων πόρων και συγκαταλέγεται στις πλέον προχωρημένες χώρες σε επίπεδο ΕΕ και </w:t>
      </w:r>
      <w:r w:rsidR="00C91F10" w:rsidRPr="009A790B">
        <w:t>Οργανισμού Οικονομικής Συνεργασίας και Ανάπτυξης (</w:t>
      </w:r>
      <w:r w:rsidRPr="009A790B">
        <w:t>ΟΟΣΑ</w:t>
      </w:r>
      <w:r w:rsidR="00C91F10" w:rsidRPr="009A790B">
        <w:t>)</w:t>
      </w:r>
      <w:r w:rsidRPr="009A790B">
        <w:t>.</w:t>
      </w:r>
    </w:p>
    <w:p w14:paraId="3F8B5BCA" w14:textId="1D163D00" w:rsidR="00406507" w:rsidRPr="00A961E3" w:rsidRDefault="00A961E3" w:rsidP="00414F9D">
      <w:r>
        <w:t xml:space="preserve">Η μεταρρυθμιστική αυτή πορεία αναμένεται να ενισχυθεί περαιτέρω και διαρθρώνεται σε τέσσερις κύριους πυλώνες: Προϋπολογισμό Επιδόσεων, Επισκοπήσεις Δαπανών και Εσόδων, Λειτουργική Ταξινόμηση του προϋπολογισμού με βάση το διεθνές πρότυπο </w:t>
      </w:r>
      <w:r w:rsidR="009A790B">
        <w:t>Classification of the Functions of Government/</w:t>
      </w:r>
      <w:r>
        <w:t xml:space="preserve">CoFoG και Αποτύπωση του Περιβαλλοντικού αποτυπώματος των δράσεων που αναμένεται να χρηματοδοτηθούν από τον </w:t>
      </w:r>
      <w:r w:rsidR="009A790B">
        <w:t>κ</w:t>
      </w:r>
      <w:r>
        <w:t xml:space="preserve">ρατικό </w:t>
      </w:r>
      <w:r w:rsidR="009A790B">
        <w:t>π</w:t>
      </w:r>
      <w:r>
        <w:t>ροϋπολογισμό μέσα στο έτος αναφοράς.</w:t>
      </w:r>
    </w:p>
    <w:p w14:paraId="6583CAD3" w14:textId="296591E5" w:rsidR="003951D4" w:rsidRPr="00414F9D" w:rsidRDefault="003951D4" w:rsidP="00300BBF">
      <w:pPr>
        <w:pStyle w:val="4"/>
      </w:pPr>
      <w:bookmarkStart w:id="121" w:name="_Toc116042520"/>
      <w:bookmarkStart w:id="122" w:name="_Toc116042623"/>
      <w:bookmarkStart w:id="123" w:name="_Toc116044135"/>
      <w:bookmarkStart w:id="124" w:name="_Toc116044237"/>
      <w:bookmarkStart w:id="125" w:name="_Toc118990956"/>
      <w:bookmarkStart w:id="126" w:name="_Toc119082248"/>
      <w:bookmarkStart w:id="127" w:name="_Toc119607141"/>
      <w:bookmarkStart w:id="128" w:name="_Toc119607434"/>
      <w:bookmarkStart w:id="129" w:name="_Toc119777951"/>
      <w:bookmarkStart w:id="130" w:name="_Toc119778057"/>
      <w:bookmarkStart w:id="131" w:name="_Toc150175841"/>
      <w:bookmarkStart w:id="132" w:name="_Toc150177134"/>
      <w:bookmarkStart w:id="133" w:name="_Toc214473737"/>
      <w:bookmarkEnd w:id="121"/>
      <w:bookmarkEnd w:id="122"/>
      <w:bookmarkEnd w:id="123"/>
      <w:bookmarkEnd w:id="124"/>
      <w:bookmarkEnd w:id="125"/>
      <w:bookmarkEnd w:id="126"/>
      <w:bookmarkEnd w:id="127"/>
      <w:bookmarkEnd w:id="128"/>
      <w:bookmarkEnd w:id="129"/>
      <w:bookmarkEnd w:id="130"/>
      <w:bookmarkEnd w:id="131"/>
      <w:bookmarkEnd w:id="132"/>
      <w:r w:rsidRPr="00414F9D">
        <w:t xml:space="preserve">Επισκόπηση δαπανών και εσόδων </w:t>
      </w:r>
      <w:r w:rsidR="006A492C">
        <w:t xml:space="preserve">της </w:t>
      </w:r>
      <w:r w:rsidRPr="00414F9D">
        <w:t>Γενικής Κυβέρνησης</w:t>
      </w:r>
      <w:bookmarkEnd w:id="133"/>
    </w:p>
    <w:p w14:paraId="2034C23F" w14:textId="5193EEB4" w:rsidR="00A961E3" w:rsidRDefault="00A961E3" w:rsidP="00A961E3">
      <w:r>
        <w:t xml:space="preserve">H επισκόπηση δαπανών και εσόδων αποτελεί σημαντικό μηχανισμό για την αποτελεσματικότερη επιλογή και αξιοποίηση των διαθέσιμων πόρων από πλευράς της Κεντρικής Διοίκησης αλλά και σε επίπεδο Γενικής Κυβέρνησης. Μέσω του μηχανισμού αυτού παρέχεται </w:t>
      </w:r>
      <w:r w:rsidR="009A790B">
        <w:t xml:space="preserve">η </w:t>
      </w:r>
      <w:r>
        <w:t xml:space="preserve">δυνατότητα για συστηματική επανεξέταση των πόρων που χρησιμοποιούνται, των διαδικασιών που ακολουθούνται και των δράσεων που αναπτύσσονται, για τη συνακόλουθη λήψη μέτρων με στόχο τη βελτίωση της αποτελεσματικότητας των προγραμμάτων και των πολιτικών της Κυβέρνησης καθώς και </w:t>
      </w:r>
      <w:r w:rsidR="00EA797E">
        <w:t xml:space="preserve">για </w:t>
      </w:r>
      <w:r>
        <w:t>τη βελτίωση του δημοσιονομικού αποτελέσματος.</w:t>
      </w:r>
    </w:p>
    <w:p w14:paraId="230CAED9" w14:textId="653A8522" w:rsidR="00A961E3" w:rsidRDefault="00A961E3" w:rsidP="00A961E3">
      <w:r>
        <w:t xml:space="preserve">Σε αυτή την κατεύθυνση θα συνεχιστεί για το 2026 η αποτύπωση των κύριων δράσεων επισκόπησης δαπανών και εσόδων των Υπουργείων και των εποπτευόμενων φορέων </w:t>
      </w:r>
      <w:r w:rsidR="00EA797E">
        <w:t xml:space="preserve">της </w:t>
      </w:r>
      <w:r>
        <w:t>Γενικής Κυβέρνησης. Σε αυτές περιλαμβάνονται δράσεις οριζόντιες, κυρίως αναφορικά με τη διαχείριση των ενεργειακών αναγκών των φορέων, καθώς και τομεακές. Οι δράσεις αυτές για λόγους πληρότητας της πληροφόρησης παρουσιάζονται στον ειδικό τόμο προϋπολογισμού επιδόσεων 2026.</w:t>
      </w:r>
    </w:p>
    <w:p w14:paraId="48A1CC73" w14:textId="4A7ADF74" w:rsidR="003951D4" w:rsidRPr="00A961E3" w:rsidRDefault="00A961E3" w:rsidP="00873FD2">
      <w:r>
        <w:t xml:space="preserve">Ο συντονισμός και η παρακολούθηση των δράσεων επισκόπησης δαπανών και εσόδων διενεργείται από το Γενικό Λογιστήριο του Κράτους (ΓΛΚ) σε συνεργασία με τα Υπουργεία και τους εποπτευόμενους από αυτά φορείς </w:t>
      </w:r>
      <w:r w:rsidR="00EC0BD7">
        <w:t xml:space="preserve">της </w:t>
      </w:r>
      <w:r>
        <w:t>Γενικής Κυβέρνησης.</w:t>
      </w:r>
    </w:p>
    <w:p w14:paraId="022D293A" w14:textId="77777777" w:rsidR="003951D4" w:rsidRPr="00B67D21" w:rsidRDefault="00073FDD" w:rsidP="00300BBF">
      <w:pPr>
        <w:pStyle w:val="4"/>
      </w:pPr>
      <w:bookmarkStart w:id="134" w:name="_Toc214473738"/>
      <w:r w:rsidRPr="00B67D21">
        <w:t>Προϋπολογισμός επιδόσεων</w:t>
      </w:r>
      <w:bookmarkEnd w:id="134"/>
    </w:p>
    <w:p w14:paraId="17A12F8F" w14:textId="78C72180" w:rsidR="00A961E3" w:rsidRDefault="00A961E3" w:rsidP="00A961E3">
      <w:r>
        <w:t>Για το 2026 συνεχίζεται η ωρίμανση της μεταρρύθμισης του προϋπολογισμού επιδόσεων. Κατά το τρέχον έτος</w:t>
      </w:r>
      <w:r w:rsidR="00EC0BD7">
        <w:t xml:space="preserve"> </w:t>
      </w:r>
      <w:r>
        <w:t>το Υπουργείο Εθνικής Οικονομίας και Οικονομικών εργάστηκε εντατικά για τη βελτίωση της ποιότητας των δεικτών αξιολόγησης των δημόσιων πολιτικών στο πλαίσιο του προϋπολογισμού επιδόσεων.</w:t>
      </w:r>
    </w:p>
    <w:p w14:paraId="1DAA4596" w14:textId="3D6F487D" w:rsidR="00A961E3" w:rsidRDefault="00A961E3" w:rsidP="00A961E3">
      <w:r>
        <w:lastRenderedPageBreak/>
        <w:t>Μέσα στο έτος αξιολογήθηκαν όλοι οι ανωτέρω δείκτες και διαμορφώθηκαν από το Γ</w:t>
      </w:r>
      <w:r w:rsidR="00EC0BD7">
        <w:t>ΛΚ</w:t>
      </w:r>
      <w:r>
        <w:t xml:space="preserve"> προτάσεις βελτίωσης υφιστάμενων και εισαγωγής νέων δεικτών</w:t>
      </w:r>
      <w:r w:rsidR="002D1484">
        <w:t xml:space="preserve">, </w:t>
      </w:r>
      <w:r>
        <w:t xml:space="preserve">έγινε </w:t>
      </w:r>
      <w:r w:rsidR="002D1484">
        <w:t xml:space="preserve">δε </w:t>
      </w:r>
      <w:r>
        <w:t>επικοινωνία των στόχων αυτών στους Γενικούς, Ειδικούς και Υπηρεσιακούς Γραμματείς καθώς και σε στελέχη των Γ</w:t>
      </w:r>
      <w:r w:rsidR="002D1484">
        <w:t>ενικών Διευθύνσεων Οικονομικών Υπηρεσιών (Γ</w:t>
      </w:r>
      <w:r>
        <w:t>ΔΟΥ</w:t>
      </w:r>
      <w:r w:rsidR="002D1484">
        <w:t>)</w:t>
      </w:r>
      <w:r>
        <w:t xml:space="preserve"> και των Υπηρεσιών Συντονισμού των Φορέων.</w:t>
      </w:r>
    </w:p>
    <w:p w14:paraId="283C4DA8" w14:textId="77777777" w:rsidR="00A961E3" w:rsidRDefault="00A961E3" w:rsidP="00A961E3">
      <w:r>
        <w:t>Τα αποτελέσματα αυτής της εργασίας αποτυπώνονται στα Ετήσια Σχέδια Προγραμμάτων των Φορέων που περιλαμβάνονται στον ειδικό τόμο του Προϋπολογισμού Επιδόσεων.</w:t>
      </w:r>
    </w:p>
    <w:p w14:paraId="2C7BE86B" w14:textId="77777777" w:rsidR="00A961E3" w:rsidRDefault="00A961E3" w:rsidP="00A961E3">
      <w:r>
        <w:t>Πέραν των τομεακών δεικτών, μέσα στο 2025 προχώρησε και η συγκριτική αξιολόγηση οριζόντιων δεικτών που παρακολουθούνται από περισσότερους φορείς. Η διαδικασία αυτή υποστηρίζει την ποιοτικότερη ανάλυση των σχετικών δεδομένων και τη λήψη αποφάσεων δημόσιας πολιτικής και βέλτιστης κατανομής των διαθέσιμων πόρων.</w:t>
      </w:r>
    </w:p>
    <w:p w14:paraId="6A9F106A" w14:textId="106A68F0" w:rsidR="00B9672B" w:rsidRDefault="00A961E3" w:rsidP="009B10AE">
      <w:pPr>
        <w:spacing w:after="240"/>
      </w:pPr>
      <w:r>
        <w:t xml:space="preserve">Ακολουθεί η παρουσίαση των αποτελεσμάτων της συγκριτικής ανάλυσης </w:t>
      </w:r>
      <w:r w:rsidR="00435893">
        <w:t>του οριζόντιου δείκτη εκπαίδευσης προσωπικού</w:t>
      </w:r>
      <w:r>
        <w:t>.</w:t>
      </w:r>
    </w:p>
    <w:tbl>
      <w:tblPr>
        <w:tblW w:w="5398" w:type="pct"/>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2771"/>
        <w:gridCol w:w="1505"/>
        <w:gridCol w:w="5509"/>
      </w:tblGrid>
      <w:tr w:rsidR="004E6D8F" w:rsidRPr="00634FEC" w14:paraId="7D46CB0F" w14:textId="77777777" w:rsidTr="00CE2442">
        <w:trPr>
          <w:cantSplit/>
          <w:trHeight w:val="454"/>
          <w:tblHeader/>
          <w:jc w:val="center"/>
        </w:trPr>
        <w:tc>
          <w:tcPr>
            <w:tcW w:w="5000" w:type="pct"/>
            <w:gridSpan w:val="3"/>
            <w:shd w:val="clear" w:color="auto" w:fill="D5DCE4"/>
            <w:vAlign w:val="center"/>
          </w:tcPr>
          <w:p w14:paraId="61726984" w14:textId="42013FE4" w:rsidR="004E6D8F" w:rsidRPr="004E6D8F" w:rsidRDefault="004E6D8F" w:rsidP="00CE2442">
            <w:pPr>
              <w:spacing w:after="0" w:line="240" w:lineRule="auto"/>
              <w:jc w:val="center"/>
              <w:rPr>
                <w:rFonts w:cs="Arial"/>
                <w:b/>
                <w:bCs/>
                <w:color w:val="000000"/>
                <w:sz w:val="18"/>
                <w:szCs w:val="18"/>
              </w:rPr>
            </w:pPr>
            <w:bookmarkStart w:id="135" w:name="_Toc214473819"/>
            <w:r w:rsidRPr="004E6D8F">
              <w:rPr>
                <w:b/>
                <w:sz w:val="18"/>
                <w:szCs w:val="18"/>
              </w:rPr>
              <w:t>Πίνακας 2.</w:t>
            </w:r>
            <w:r w:rsidRPr="004E6D8F">
              <w:rPr>
                <w:b/>
                <w:sz w:val="18"/>
                <w:szCs w:val="18"/>
              </w:rPr>
              <w:fldChar w:fldCharType="begin"/>
            </w:r>
            <w:r w:rsidRPr="004E6D8F">
              <w:rPr>
                <w:b/>
                <w:sz w:val="18"/>
                <w:szCs w:val="18"/>
              </w:rPr>
              <w:instrText xml:space="preserve"> SEQ Πίνακας_2. \* ARABIC </w:instrText>
            </w:r>
            <w:r w:rsidRPr="004E6D8F">
              <w:rPr>
                <w:b/>
                <w:sz w:val="18"/>
                <w:szCs w:val="18"/>
              </w:rPr>
              <w:fldChar w:fldCharType="separate"/>
            </w:r>
            <w:r w:rsidR="00E15678">
              <w:rPr>
                <w:b/>
                <w:noProof/>
                <w:sz w:val="18"/>
                <w:szCs w:val="18"/>
              </w:rPr>
              <w:t>1</w:t>
            </w:r>
            <w:r w:rsidRPr="004E6D8F">
              <w:rPr>
                <w:b/>
                <w:sz w:val="18"/>
                <w:szCs w:val="18"/>
              </w:rPr>
              <w:fldChar w:fldCharType="end"/>
            </w:r>
            <w:r w:rsidRPr="004E6D8F">
              <w:rPr>
                <w:b/>
                <w:sz w:val="18"/>
                <w:szCs w:val="18"/>
              </w:rPr>
              <w:t>.: Συγκριτικός Πίνακας δείκτη εκπαίδευσης προσωπικού</w:t>
            </w:r>
            <w:bookmarkEnd w:id="135"/>
          </w:p>
        </w:tc>
      </w:tr>
      <w:tr w:rsidR="00634FEC" w:rsidRPr="00634FEC" w14:paraId="19DB2A82" w14:textId="77777777" w:rsidTr="0045579F">
        <w:trPr>
          <w:cantSplit/>
          <w:tblHeader/>
          <w:jc w:val="center"/>
        </w:trPr>
        <w:tc>
          <w:tcPr>
            <w:tcW w:w="1416" w:type="pct"/>
            <w:shd w:val="clear" w:color="auto" w:fill="D9E1F2"/>
            <w:vAlign w:val="center"/>
            <w:hideMark/>
          </w:tcPr>
          <w:p w14:paraId="3CAD1D8E"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ΔΕΙΚΤΗΣ</w:t>
            </w:r>
          </w:p>
        </w:tc>
        <w:tc>
          <w:tcPr>
            <w:tcW w:w="3584" w:type="pct"/>
            <w:gridSpan w:val="2"/>
            <w:shd w:val="clear" w:color="auto" w:fill="D9E1F2"/>
            <w:vAlign w:val="center"/>
            <w:hideMark/>
          </w:tcPr>
          <w:p w14:paraId="5853972B" w14:textId="46E221E2" w:rsidR="00634FEC" w:rsidRPr="00634FEC" w:rsidRDefault="00634FEC" w:rsidP="007B3E3F">
            <w:pPr>
              <w:spacing w:after="0" w:line="240" w:lineRule="auto"/>
              <w:jc w:val="center"/>
              <w:rPr>
                <w:rFonts w:cs="Arial"/>
                <w:b/>
                <w:bCs/>
                <w:color w:val="000000"/>
                <w:sz w:val="16"/>
                <w:szCs w:val="16"/>
              </w:rPr>
            </w:pPr>
            <w:r w:rsidRPr="00634FEC">
              <w:rPr>
                <w:rFonts w:cs="Arial"/>
                <w:b/>
                <w:bCs/>
                <w:color w:val="000000"/>
                <w:sz w:val="16"/>
                <w:szCs w:val="16"/>
              </w:rPr>
              <w:t>Αριθμός εργαζ</w:t>
            </w:r>
            <w:r w:rsidR="002D1484">
              <w:rPr>
                <w:rFonts w:cs="Arial"/>
                <w:b/>
                <w:bCs/>
                <w:color w:val="000000"/>
                <w:sz w:val="16"/>
                <w:szCs w:val="16"/>
              </w:rPr>
              <w:t>ό</w:t>
            </w:r>
            <w:r w:rsidRPr="00634FEC">
              <w:rPr>
                <w:rFonts w:cs="Arial"/>
                <w:b/>
                <w:bCs/>
                <w:color w:val="000000"/>
                <w:sz w:val="16"/>
                <w:szCs w:val="16"/>
              </w:rPr>
              <w:t>μ</w:t>
            </w:r>
            <w:r w:rsidR="002D1484">
              <w:rPr>
                <w:rFonts w:cs="Arial"/>
                <w:b/>
                <w:bCs/>
                <w:color w:val="000000"/>
                <w:sz w:val="16"/>
                <w:szCs w:val="16"/>
              </w:rPr>
              <w:t>ε</w:t>
            </w:r>
            <w:r w:rsidRPr="00634FEC">
              <w:rPr>
                <w:rFonts w:cs="Arial"/>
                <w:b/>
                <w:bCs/>
                <w:color w:val="000000"/>
                <w:sz w:val="16"/>
                <w:szCs w:val="16"/>
              </w:rPr>
              <w:t>νων που θα συμμετάσχουν σε τουλάχιστον ένα (1) εκπαιδευτικό σεμινάριο στο έτος αναφοράς/Σύνολο των υπηρετούντων εργαζ</w:t>
            </w:r>
            <w:r w:rsidR="00375ADD">
              <w:rPr>
                <w:rFonts w:cs="Arial"/>
                <w:b/>
                <w:bCs/>
                <w:color w:val="000000"/>
                <w:sz w:val="16"/>
                <w:szCs w:val="16"/>
              </w:rPr>
              <w:t>ό</w:t>
            </w:r>
            <w:r w:rsidRPr="00634FEC">
              <w:rPr>
                <w:rFonts w:cs="Arial"/>
                <w:b/>
                <w:bCs/>
                <w:color w:val="000000"/>
                <w:sz w:val="16"/>
                <w:szCs w:val="16"/>
              </w:rPr>
              <w:t>μ</w:t>
            </w:r>
            <w:r w:rsidR="00375ADD">
              <w:rPr>
                <w:rFonts w:cs="Arial"/>
                <w:b/>
                <w:bCs/>
                <w:color w:val="000000"/>
                <w:sz w:val="16"/>
                <w:szCs w:val="16"/>
              </w:rPr>
              <w:t>ε</w:t>
            </w:r>
            <w:r w:rsidRPr="00634FEC">
              <w:rPr>
                <w:rFonts w:cs="Arial"/>
                <w:b/>
                <w:bCs/>
                <w:color w:val="000000"/>
                <w:sz w:val="16"/>
                <w:szCs w:val="16"/>
              </w:rPr>
              <w:t>νων x %</w:t>
            </w:r>
          </w:p>
        </w:tc>
      </w:tr>
      <w:tr w:rsidR="00634FEC" w:rsidRPr="00634FEC" w14:paraId="7ADC16DA" w14:textId="77777777" w:rsidTr="007B3E3F">
        <w:trPr>
          <w:cantSplit/>
          <w:tblHeader/>
          <w:jc w:val="center"/>
        </w:trPr>
        <w:tc>
          <w:tcPr>
            <w:tcW w:w="1416" w:type="pct"/>
            <w:shd w:val="clear" w:color="000000" w:fill="F2F2F2"/>
            <w:vAlign w:val="center"/>
            <w:hideMark/>
          </w:tcPr>
          <w:p w14:paraId="07FA878F"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ΑΝΑΛΥΣΗ ΔΕΙΚΤΗ</w:t>
            </w:r>
          </w:p>
        </w:tc>
        <w:tc>
          <w:tcPr>
            <w:tcW w:w="3584" w:type="pct"/>
            <w:gridSpan w:val="2"/>
            <w:shd w:val="clear" w:color="000000" w:fill="F2F2F2"/>
            <w:vAlign w:val="center"/>
            <w:hideMark/>
          </w:tcPr>
          <w:p w14:paraId="6420119C" w14:textId="65183FDD" w:rsidR="0045579F" w:rsidRDefault="00634FEC" w:rsidP="007B3E3F">
            <w:pPr>
              <w:spacing w:after="0" w:line="240" w:lineRule="auto"/>
              <w:rPr>
                <w:rFonts w:cs="Arial"/>
                <w:color w:val="000000"/>
                <w:sz w:val="16"/>
                <w:szCs w:val="16"/>
              </w:rPr>
            </w:pPr>
            <w:r w:rsidRPr="00634FEC">
              <w:rPr>
                <w:rFonts w:cs="Arial"/>
                <w:color w:val="000000"/>
                <w:sz w:val="16"/>
                <w:szCs w:val="16"/>
              </w:rPr>
              <w:t>Είναι η αναλογία των εργαζ</w:t>
            </w:r>
            <w:r w:rsidR="00375ADD">
              <w:rPr>
                <w:rFonts w:cs="Arial"/>
                <w:color w:val="000000"/>
                <w:sz w:val="16"/>
                <w:szCs w:val="16"/>
              </w:rPr>
              <w:t>ό</w:t>
            </w:r>
            <w:r w:rsidRPr="00634FEC">
              <w:rPr>
                <w:rFonts w:cs="Arial"/>
                <w:color w:val="000000"/>
                <w:sz w:val="16"/>
                <w:szCs w:val="16"/>
              </w:rPr>
              <w:t>μ</w:t>
            </w:r>
            <w:r w:rsidR="00375ADD">
              <w:rPr>
                <w:rFonts w:cs="Arial"/>
                <w:color w:val="000000"/>
                <w:sz w:val="16"/>
                <w:szCs w:val="16"/>
              </w:rPr>
              <w:t>ε</w:t>
            </w:r>
            <w:r w:rsidRPr="00634FEC">
              <w:rPr>
                <w:rFonts w:cs="Arial"/>
                <w:color w:val="000000"/>
                <w:sz w:val="16"/>
                <w:szCs w:val="16"/>
              </w:rPr>
              <w:t>νων που συμμετέχουν σε τουλάχιστον ένα (1) εκπαιδευτικό σεμινάριο/πρόγραμμα προς τον συνολικό αριθμό των εν τοις πράγμασι υπηρετούντων εργαζ</w:t>
            </w:r>
            <w:r w:rsidR="00375ADD">
              <w:rPr>
                <w:rFonts w:cs="Arial"/>
                <w:color w:val="000000"/>
                <w:sz w:val="16"/>
                <w:szCs w:val="16"/>
              </w:rPr>
              <w:t>ό</w:t>
            </w:r>
            <w:r w:rsidRPr="00634FEC">
              <w:rPr>
                <w:rFonts w:cs="Arial"/>
                <w:color w:val="000000"/>
                <w:sz w:val="16"/>
                <w:szCs w:val="16"/>
              </w:rPr>
              <w:t>μ</w:t>
            </w:r>
            <w:r w:rsidR="00375ADD">
              <w:rPr>
                <w:rFonts w:cs="Arial"/>
                <w:color w:val="000000"/>
                <w:sz w:val="16"/>
                <w:szCs w:val="16"/>
              </w:rPr>
              <w:t>ε</w:t>
            </w:r>
            <w:r w:rsidRPr="00634FEC">
              <w:rPr>
                <w:rFonts w:cs="Arial"/>
                <w:color w:val="000000"/>
                <w:sz w:val="16"/>
                <w:szCs w:val="16"/>
              </w:rPr>
              <w:t>νων του φορέα στο έτος αναφοράς. Δείχνει το ποσοστό εργαζ</w:t>
            </w:r>
            <w:r w:rsidR="00375ADD">
              <w:rPr>
                <w:rFonts w:cs="Arial"/>
                <w:color w:val="000000"/>
                <w:sz w:val="16"/>
                <w:szCs w:val="16"/>
              </w:rPr>
              <w:t>ό</w:t>
            </w:r>
            <w:r w:rsidRPr="00634FEC">
              <w:rPr>
                <w:rFonts w:cs="Arial"/>
                <w:color w:val="000000"/>
                <w:sz w:val="16"/>
                <w:szCs w:val="16"/>
              </w:rPr>
              <w:t>μ</w:t>
            </w:r>
            <w:r w:rsidR="00375ADD">
              <w:rPr>
                <w:rFonts w:cs="Arial"/>
                <w:color w:val="000000"/>
                <w:sz w:val="16"/>
                <w:szCs w:val="16"/>
              </w:rPr>
              <w:t>ε</w:t>
            </w:r>
            <w:r w:rsidRPr="00634FEC">
              <w:rPr>
                <w:rFonts w:cs="Arial"/>
                <w:color w:val="000000"/>
                <w:sz w:val="16"/>
                <w:szCs w:val="16"/>
              </w:rPr>
              <w:t>νων που εκπαιδεύτηκαν κατά το έτος αναφοράς.</w:t>
            </w:r>
          </w:p>
          <w:p w14:paraId="20712D4B" w14:textId="77777777" w:rsidR="00375ADD" w:rsidRDefault="00634FEC" w:rsidP="007B3E3F">
            <w:pPr>
              <w:spacing w:after="0" w:line="240" w:lineRule="auto"/>
              <w:rPr>
                <w:rFonts w:cs="Arial"/>
                <w:color w:val="000000"/>
                <w:sz w:val="16"/>
                <w:szCs w:val="16"/>
              </w:rPr>
            </w:pPr>
            <w:r w:rsidRPr="00634FEC">
              <w:rPr>
                <w:rFonts w:cs="Arial"/>
                <w:color w:val="000000"/>
                <w:sz w:val="16"/>
                <w:szCs w:val="16"/>
              </w:rPr>
              <w:t>Ως εκπαίδευση θεωρούνται τα πιστοποιημένα εκπαιδευτικά σεμινάρια στην Ελλάδα και στο εξωτερικό τα οποία παρακολούθησαν οι υπάλληλοι με έγκριση του φορέα</w:t>
            </w:r>
            <w:r w:rsidR="00375ADD">
              <w:rPr>
                <w:rFonts w:cs="Arial"/>
                <w:color w:val="000000"/>
                <w:sz w:val="16"/>
                <w:szCs w:val="16"/>
              </w:rPr>
              <w:t>,</w:t>
            </w:r>
            <w:r w:rsidRPr="00634FEC">
              <w:rPr>
                <w:rFonts w:cs="Arial"/>
                <w:color w:val="000000"/>
                <w:sz w:val="16"/>
                <w:szCs w:val="16"/>
              </w:rPr>
              <w:t xml:space="preserve"> συμπεριλαμβανομένων και των σεμιναρίων που παρακολουθούν οι εργαζόμενοι στο πλαίσιο του σχεδίου ανάπτυξής τους.</w:t>
            </w:r>
          </w:p>
          <w:p w14:paraId="312F339F" w14:textId="341EE6E0" w:rsidR="00634FEC" w:rsidRPr="00634FEC" w:rsidRDefault="00634FEC" w:rsidP="007B3E3F">
            <w:pPr>
              <w:spacing w:after="0" w:line="240" w:lineRule="auto"/>
              <w:rPr>
                <w:rFonts w:cs="Arial"/>
                <w:color w:val="000000"/>
                <w:sz w:val="16"/>
                <w:szCs w:val="16"/>
              </w:rPr>
            </w:pPr>
            <w:r w:rsidRPr="00634FEC">
              <w:rPr>
                <w:rFonts w:cs="Arial"/>
                <w:color w:val="000000"/>
                <w:sz w:val="16"/>
                <w:szCs w:val="16"/>
              </w:rPr>
              <w:t>Στο σύνολο των υπηρετούντων εργαζ</w:t>
            </w:r>
            <w:r w:rsidR="00375ADD">
              <w:rPr>
                <w:rFonts w:cs="Arial"/>
                <w:color w:val="000000"/>
                <w:sz w:val="16"/>
                <w:szCs w:val="16"/>
              </w:rPr>
              <w:t>ό</w:t>
            </w:r>
            <w:r w:rsidRPr="00634FEC">
              <w:rPr>
                <w:rFonts w:cs="Arial"/>
                <w:color w:val="000000"/>
                <w:sz w:val="16"/>
                <w:szCs w:val="16"/>
              </w:rPr>
              <w:t>μ</w:t>
            </w:r>
            <w:r w:rsidR="00375ADD">
              <w:rPr>
                <w:rFonts w:cs="Arial"/>
                <w:color w:val="000000"/>
                <w:sz w:val="16"/>
                <w:szCs w:val="16"/>
              </w:rPr>
              <w:t>ε</w:t>
            </w:r>
            <w:r w:rsidRPr="00634FEC">
              <w:rPr>
                <w:rFonts w:cs="Arial"/>
                <w:color w:val="000000"/>
                <w:sz w:val="16"/>
                <w:szCs w:val="16"/>
              </w:rPr>
              <w:t>νων δεν λαμβάνονται υπόψη εργαζόμενοι που: α) δεν υπηρετούν πραγματικά στον φορέα</w:t>
            </w:r>
            <w:r w:rsidR="00375ADD">
              <w:rPr>
                <w:rFonts w:cs="Arial"/>
                <w:color w:val="000000"/>
                <w:sz w:val="16"/>
                <w:szCs w:val="16"/>
              </w:rPr>
              <w:t>,</w:t>
            </w:r>
            <w:r w:rsidRPr="00634FEC">
              <w:rPr>
                <w:rFonts w:cs="Arial"/>
                <w:color w:val="000000"/>
                <w:sz w:val="16"/>
                <w:szCs w:val="16"/>
              </w:rPr>
              <w:t xml:space="preserve"> όπως π.χ. εργαζόμενοι του φορέα που είναι αποσπασμένοι σε άλλο</w:t>
            </w:r>
            <w:r w:rsidR="00375ADD">
              <w:rPr>
                <w:rFonts w:cs="Arial"/>
                <w:color w:val="000000"/>
                <w:sz w:val="16"/>
                <w:szCs w:val="16"/>
              </w:rPr>
              <w:t>ν</w:t>
            </w:r>
            <w:r w:rsidRPr="00634FEC">
              <w:rPr>
                <w:rFonts w:cs="Arial"/>
                <w:color w:val="000000"/>
                <w:sz w:val="16"/>
                <w:szCs w:val="16"/>
              </w:rPr>
              <w:t xml:space="preserve"> φορέα και β) εργαζόμενοι που λόγω σχέσης εργασίας με τον φορέα δεν δικαιούνται να συμμετάσχουν σε σεμινάρια</w:t>
            </w:r>
            <w:r w:rsidR="00375ADD">
              <w:rPr>
                <w:rFonts w:cs="Arial"/>
                <w:color w:val="000000"/>
                <w:sz w:val="16"/>
                <w:szCs w:val="16"/>
              </w:rPr>
              <w:t>,</w:t>
            </w:r>
            <w:r w:rsidRPr="00634FEC">
              <w:rPr>
                <w:rFonts w:cs="Arial"/>
                <w:color w:val="000000"/>
                <w:sz w:val="16"/>
                <w:szCs w:val="16"/>
              </w:rPr>
              <w:t xml:space="preserve"> όπως π.χ. εργαζόμενοι με σύμβαση έργου.</w:t>
            </w:r>
          </w:p>
        </w:tc>
      </w:tr>
      <w:tr w:rsidR="00634FEC" w:rsidRPr="00634FEC" w14:paraId="3B2B11FB" w14:textId="77777777" w:rsidTr="007B3E3F">
        <w:trPr>
          <w:cantSplit/>
          <w:tblHeader/>
          <w:jc w:val="center"/>
        </w:trPr>
        <w:tc>
          <w:tcPr>
            <w:tcW w:w="2185" w:type="pct"/>
            <w:gridSpan w:val="2"/>
            <w:vMerge w:val="restart"/>
            <w:shd w:val="clear" w:color="auto" w:fill="F2F2F2" w:themeFill="background1" w:themeFillShade="F2"/>
            <w:noWrap/>
            <w:vAlign w:val="center"/>
            <w:hideMark/>
          </w:tcPr>
          <w:p w14:paraId="68659CF5" w14:textId="77777777" w:rsidR="00634FEC" w:rsidRPr="00634FEC" w:rsidRDefault="00634FEC" w:rsidP="007B3E3F">
            <w:pPr>
              <w:spacing w:after="0" w:line="240" w:lineRule="auto"/>
              <w:jc w:val="center"/>
              <w:rPr>
                <w:rFonts w:cs="Arial"/>
                <w:b/>
                <w:bCs/>
                <w:color w:val="000000"/>
                <w:sz w:val="16"/>
                <w:szCs w:val="16"/>
              </w:rPr>
            </w:pPr>
            <w:r w:rsidRPr="00634FEC">
              <w:rPr>
                <w:rFonts w:cs="Arial"/>
                <w:b/>
                <w:bCs/>
                <w:color w:val="000000"/>
                <w:sz w:val="16"/>
                <w:szCs w:val="16"/>
              </w:rPr>
              <w:t>ΦΟΡΕΑΣ</w:t>
            </w:r>
          </w:p>
        </w:tc>
        <w:tc>
          <w:tcPr>
            <w:tcW w:w="2815" w:type="pct"/>
            <w:shd w:val="clear" w:color="000000" w:fill="FFFFFF"/>
            <w:vAlign w:val="center"/>
            <w:hideMark/>
          </w:tcPr>
          <w:p w14:paraId="1D435546" w14:textId="0B1ED7AD" w:rsidR="00634FEC" w:rsidRPr="00634FEC" w:rsidRDefault="00634FEC" w:rsidP="007B3E3F">
            <w:pPr>
              <w:spacing w:after="0" w:line="240" w:lineRule="auto"/>
              <w:jc w:val="center"/>
              <w:rPr>
                <w:rFonts w:cs="Arial"/>
                <w:i/>
                <w:iCs/>
                <w:sz w:val="16"/>
                <w:szCs w:val="16"/>
              </w:rPr>
            </w:pPr>
            <w:r w:rsidRPr="00634FEC">
              <w:rPr>
                <w:rFonts w:cs="Arial"/>
                <w:i/>
                <w:iCs/>
                <w:sz w:val="16"/>
                <w:szCs w:val="16"/>
              </w:rPr>
              <w:t>ΜΟΝΑΔΑ ΜΕΤΡΗΣΗΣ: Ποσοστό</w:t>
            </w:r>
          </w:p>
        </w:tc>
      </w:tr>
      <w:tr w:rsidR="00634FEC" w:rsidRPr="00634FEC" w14:paraId="4986257C" w14:textId="77777777" w:rsidTr="007B3E3F">
        <w:trPr>
          <w:cantSplit/>
          <w:tblHeader/>
          <w:jc w:val="center"/>
        </w:trPr>
        <w:tc>
          <w:tcPr>
            <w:tcW w:w="2185" w:type="pct"/>
            <w:gridSpan w:val="2"/>
            <w:vMerge/>
            <w:shd w:val="clear" w:color="auto" w:fill="F2F2F2" w:themeFill="background1" w:themeFillShade="F2"/>
            <w:vAlign w:val="center"/>
            <w:hideMark/>
          </w:tcPr>
          <w:p w14:paraId="7E5DA2D2" w14:textId="77777777" w:rsidR="00634FEC" w:rsidRPr="00634FEC" w:rsidRDefault="00634FEC" w:rsidP="007B3E3F">
            <w:pPr>
              <w:spacing w:after="0" w:line="240" w:lineRule="auto"/>
              <w:rPr>
                <w:rFonts w:cs="Arial"/>
                <w:b/>
                <w:bCs/>
                <w:color w:val="000000"/>
                <w:sz w:val="16"/>
                <w:szCs w:val="16"/>
              </w:rPr>
            </w:pPr>
          </w:p>
        </w:tc>
        <w:tc>
          <w:tcPr>
            <w:tcW w:w="2815" w:type="pct"/>
            <w:shd w:val="clear" w:color="000000" w:fill="F2F2F2"/>
            <w:noWrap/>
            <w:vAlign w:val="center"/>
            <w:hideMark/>
          </w:tcPr>
          <w:p w14:paraId="693C4DEB" w14:textId="77777777" w:rsidR="00634FEC" w:rsidRPr="00634FEC" w:rsidRDefault="00634FEC" w:rsidP="007B3E3F">
            <w:pPr>
              <w:spacing w:after="0" w:line="240" w:lineRule="auto"/>
              <w:jc w:val="center"/>
              <w:rPr>
                <w:rFonts w:cs="Arial"/>
                <w:sz w:val="16"/>
                <w:szCs w:val="16"/>
              </w:rPr>
            </w:pPr>
            <w:r w:rsidRPr="00634FEC">
              <w:rPr>
                <w:rFonts w:cs="Arial"/>
                <w:sz w:val="16"/>
                <w:szCs w:val="16"/>
              </w:rPr>
              <w:t>ΕΤΟΣ</w:t>
            </w:r>
          </w:p>
        </w:tc>
      </w:tr>
      <w:tr w:rsidR="00634FEC" w:rsidRPr="00634FEC" w14:paraId="20C9A877" w14:textId="77777777" w:rsidTr="007B3E3F">
        <w:trPr>
          <w:cantSplit/>
          <w:tblHeader/>
          <w:jc w:val="center"/>
        </w:trPr>
        <w:tc>
          <w:tcPr>
            <w:tcW w:w="2185" w:type="pct"/>
            <w:gridSpan w:val="2"/>
            <w:vMerge/>
            <w:shd w:val="clear" w:color="auto" w:fill="F2F2F2" w:themeFill="background1" w:themeFillShade="F2"/>
            <w:vAlign w:val="center"/>
            <w:hideMark/>
          </w:tcPr>
          <w:p w14:paraId="3A58DC37" w14:textId="77777777" w:rsidR="00634FEC" w:rsidRPr="00634FEC" w:rsidRDefault="00634FEC" w:rsidP="007B3E3F">
            <w:pPr>
              <w:spacing w:after="0" w:line="240" w:lineRule="auto"/>
              <w:rPr>
                <w:rFonts w:cs="Arial"/>
                <w:b/>
                <w:bCs/>
                <w:color w:val="000000"/>
                <w:sz w:val="16"/>
                <w:szCs w:val="16"/>
              </w:rPr>
            </w:pPr>
          </w:p>
        </w:tc>
        <w:tc>
          <w:tcPr>
            <w:tcW w:w="2815" w:type="pct"/>
            <w:shd w:val="clear" w:color="000000" w:fill="D9E1F2"/>
            <w:noWrap/>
            <w:vAlign w:val="center"/>
            <w:hideMark/>
          </w:tcPr>
          <w:p w14:paraId="7E04FF78"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2026</w:t>
            </w:r>
          </w:p>
        </w:tc>
      </w:tr>
      <w:tr w:rsidR="00634FEC" w:rsidRPr="00634FEC" w14:paraId="19C51FE5" w14:textId="77777777" w:rsidTr="007B3E3F">
        <w:trPr>
          <w:cantSplit/>
          <w:tblHeader/>
          <w:jc w:val="center"/>
        </w:trPr>
        <w:tc>
          <w:tcPr>
            <w:tcW w:w="2185" w:type="pct"/>
            <w:gridSpan w:val="2"/>
            <w:vMerge/>
            <w:shd w:val="clear" w:color="auto" w:fill="F2F2F2" w:themeFill="background1" w:themeFillShade="F2"/>
            <w:vAlign w:val="center"/>
            <w:hideMark/>
          </w:tcPr>
          <w:p w14:paraId="73509918" w14:textId="77777777" w:rsidR="00634FEC" w:rsidRPr="00634FEC" w:rsidRDefault="00634FEC" w:rsidP="007B3E3F">
            <w:pPr>
              <w:spacing w:after="0" w:line="240" w:lineRule="auto"/>
              <w:rPr>
                <w:rFonts w:cs="Arial"/>
                <w:b/>
                <w:bCs/>
                <w:color w:val="000000"/>
                <w:sz w:val="16"/>
                <w:szCs w:val="16"/>
              </w:rPr>
            </w:pPr>
          </w:p>
        </w:tc>
        <w:tc>
          <w:tcPr>
            <w:tcW w:w="2815" w:type="pct"/>
            <w:shd w:val="clear" w:color="000000" w:fill="F2F2F2"/>
            <w:noWrap/>
            <w:vAlign w:val="center"/>
            <w:hideMark/>
          </w:tcPr>
          <w:p w14:paraId="760E32F0" w14:textId="77777777" w:rsidR="00634FEC" w:rsidRPr="00634FEC" w:rsidRDefault="00634FEC" w:rsidP="007B3E3F">
            <w:pPr>
              <w:spacing w:after="0" w:line="240" w:lineRule="auto"/>
              <w:jc w:val="center"/>
              <w:rPr>
                <w:rFonts w:cs="Arial"/>
                <w:sz w:val="16"/>
                <w:szCs w:val="16"/>
              </w:rPr>
            </w:pPr>
            <w:r w:rsidRPr="00634FEC">
              <w:rPr>
                <w:rFonts w:cs="Arial"/>
                <w:sz w:val="16"/>
                <w:szCs w:val="16"/>
              </w:rPr>
              <w:t>ΚΑΤΗΓΟΡΙΑ ΤΙΜΗΣ</w:t>
            </w:r>
          </w:p>
        </w:tc>
      </w:tr>
      <w:tr w:rsidR="00634FEC" w:rsidRPr="00634FEC" w14:paraId="3AD92864" w14:textId="77777777" w:rsidTr="007B3E3F">
        <w:trPr>
          <w:cantSplit/>
          <w:tblHeader/>
          <w:jc w:val="center"/>
        </w:trPr>
        <w:tc>
          <w:tcPr>
            <w:tcW w:w="2185" w:type="pct"/>
            <w:gridSpan w:val="2"/>
            <w:vMerge/>
            <w:shd w:val="clear" w:color="auto" w:fill="F2F2F2" w:themeFill="background1" w:themeFillShade="F2"/>
            <w:vAlign w:val="center"/>
            <w:hideMark/>
          </w:tcPr>
          <w:p w14:paraId="3A654DA9" w14:textId="77777777" w:rsidR="00634FEC" w:rsidRPr="00634FEC" w:rsidRDefault="00634FEC" w:rsidP="007B3E3F">
            <w:pPr>
              <w:spacing w:after="0" w:line="240" w:lineRule="auto"/>
              <w:rPr>
                <w:rFonts w:cs="Arial"/>
                <w:b/>
                <w:bCs/>
                <w:color w:val="000000"/>
                <w:sz w:val="16"/>
                <w:szCs w:val="16"/>
              </w:rPr>
            </w:pPr>
          </w:p>
        </w:tc>
        <w:tc>
          <w:tcPr>
            <w:tcW w:w="2815" w:type="pct"/>
            <w:shd w:val="clear" w:color="000000" w:fill="D9E1F2"/>
            <w:vAlign w:val="center"/>
            <w:hideMark/>
          </w:tcPr>
          <w:p w14:paraId="5B613272"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τιμή στόχος</w:t>
            </w:r>
          </w:p>
        </w:tc>
      </w:tr>
      <w:tr w:rsidR="00634FEC" w:rsidRPr="00634FEC" w14:paraId="0EEFCAD5" w14:textId="77777777" w:rsidTr="00375ADD">
        <w:trPr>
          <w:cantSplit/>
          <w:trHeight w:val="227"/>
          <w:jc w:val="center"/>
        </w:trPr>
        <w:tc>
          <w:tcPr>
            <w:tcW w:w="2185" w:type="pct"/>
            <w:gridSpan w:val="2"/>
            <w:shd w:val="clear" w:color="auto" w:fill="F2F2F2" w:themeFill="background1" w:themeFillShade="F2"/>
            <w:vAlign w:val="center"/>
            <w:hideMark/>
          </w:tcPr>
          <w:p w14:paraId="37EF4A2A"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ΠΡΟΕΔΡΙΑ ΤΗΣ ΚΥΒΕΡΝΗΣΗΣ</w:t>
            </w:r>
          </w:p>
        </w:tc>
        <w:tc>
          <w:tcPr>
            <w:tcW w:w="2815" w:type="pct"/>
            <w:shd w:val="clear" w:color="auto" w:fill="auto"/>
            <w:noWrap/>
            <w:vAlign w:val="center"/>
            <w:hideMark/>
          </w:tcPr>
          <w:p w14:paraId="71FCEBD2" w14:textId="77777777" w:rsidR="00634FEC" w:rsidRPr="00634FEC" w:rsidRDefault="00634FEC" w:rsidP="007B3E3F">
            <w:pPr>
              <w:spacing w:after="0" w:line="240" w:lineRule="auto"/>
              <w:jc w:val="center"/>
              <w:rPr>
                <w:rFonts w:cs="Arial"/>
                <w:sz w:val="16"/>
                <w:szCs w:val="16"/>
              </w:rPr>
            </w:pPr>
            <w:r w:rsidRPr="00634FEC">
              <w:rPr>
                <w:rFonts w:cs="Arial"/>
                <w:sz w:val="16"/>
                <w:szCs w:val="16"/>
              </w:rPr>
              <w:t>45,00%</w:t>
            </w:r>
          </w:p>
        </w:tc>
      </w:tr>
      <w:tr w:rsidR="00634FEC" w:rsidRPr="00634FEC" w14:paraId="353CC293" w14:textId="77777777" w:rsidTr="00375ADD">
        <w:trPr>
          <w:cantSplit/>
          <w:trHeight w:val="227"/>
          <w:jc w:val="center"/>
        </w:trPr>
        <w:tc>
          <w:tcPr>
            <w:tcW w:w="2185" w:type="pct"/>
            <w:gridSpan w:val="2"/>
            <w:shd w:val="clear" w:color="auto" w:fill="F2F2F2" w:themeFill="background1" w:themeFillShade="F2"/>
            <w:vAlign w:val="center"/>
            <w:hideMark/>
          </w:tcPr>
          <w:p w14:paraId="20450474"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ΥΠΟΥΡΓΕΙΟ ΕΣΩΤΕΡΙΚΩΝ</w:t>
            </w:r>
          </w:p>
        </w:tc>
        <w:tc>
          <w:tcPr>
            <w:tcW w:w="2815" w:type="pct"/>
            <w:shd w:val="clear" w:color="auto" w:fill="auto"/>
            <w:noWrap/>
            <w:vAlign w:val="center"/>
            <w:hideMark/>
          </w:tcPr>
          <w:p w14:paraId="12C89D07"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60,00%</w:t>
            </w:r>
          </w:p>
        </w:tc>
      </w:tr>
      <w:tr w:rsidR="00634FEC" w:rsidRPr="00634FEC" w14:paraId="2CE51F56" w14:textId="77777777" w:rsidTr="00375ADD">
        <w:trPr>
          <w:cantSplit/>
          <w:trHeight w:val="227"/>
          <w:jc w:val="center"/>
        </w:trPr>
        <w:tc>
          <w:tcPr>
            <w:tcW w:w="2185" w:type="pct"/>
            <w:gridSpan w:val="2"/>
            <w:shd w:val="clear" w:color="auto" w:fill="F2F2F2" w:themeFill="background1" w:themeFillShade="F2"/>
            <w:vAlign w:val="center"/>
            <w:hideMark/>
          </w:tcPr>
          <w:p w14:paraId="7701619B" w14:textId="77777777" w:rsidR="00634FEC" w:rsidRPr="00634FEC" w:rsidRDefault="00634FEC" w:rsidP="007B3E3F">
            <w:pPr>
              <w:spacing w:after="0" w:line="240" w:lineRule="auto"/>
              <w:jc w:val="center"/>
              <w:rPr>
                <w:rFonts w:cs="Arial"/>
                <w:b/>
                <w:bCs/>
                <w:sz w:val="16"/>
                <w:szCs w:val="16"/>
                <w:lang w:val="en-US"/>
              </w:rPr>
            </w:pPr>
            <w:r w:rsidRPr="00634FEC">
              <w:rPr>
                <w:rFonts w:cs="Arial"/>
                <w:b/>
                <w:bCs/>
                <w:sz w:val="16"/>
                <w:szCs w:val="16"/>
              </w:rPr>
              <w:t>ΥΠΟΥΡΓΕΙΟ ΕΞΩΤΕΡΙΚΩΝ</w:t>
            </w:r>
            <w:r w:rsidRPr="00634FEC">
              <w:rPr>
                <w:rFonts w:cs="Arial"/>
                <w:b/>
                <w:bCs/>
                <w:sz w:val="16"/>
                <w:szCs w:val="16"/>
                <w:vertAlign w:val="superscript"/>
              </w:rPr>
              <w:t>1</w:t>
            </w:r>
          </w:p>
        </w:tc>
        <w:tc>
          <w:tcPr>
            <w:tcW w:w="2815" w:type="pct"/>
            <w:shd w:val="clear" w:color="auto" w:fill="auto"/>
            <w:noWrap/>
            <w:vAlign w:val="center"/>
            <w:hideMark/>
          </w:tcPr>
          <w:p w14:paraId="0B0A8035"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30,00%</w:t>
            </w:r>
          </w:p>
        </w:tc>
      </w:tr>
      <w:tr w:rsidR="00634FEC" w:rsidRPr="00634FEC" w14:paraId="58037CBA" w14:textId="77777777" w:rsidTr="00375ADD">
        <w:trPr>
          <w:cantSplit/>
          <w:trHeight w:val="227"/>
          <w:jc w:val="center"/>
        </w:trPr>
        <w:tc>
          <w:tcPr>
            <w:tcW w:w="2185" w:type="pct"/>
            <w:gridSpan w:val="2"/>
            <w:shd w:val="clear" w:color="auto" w:fill="F2F2F2" w:themeFill="background1" w:themeFillShade="F2"/>
            <w:vAlign w:val="center"/>
            <w:hideMark/>
          </w:tcPr>
          <w:p w14:paraId="6CEFF4EA"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ΥΠΟΥΡΓΕΙΟ ΕΘΝΙΚΗΣ ΑΜΥΝΑΣ</w:t>
            </w:r>
            <w:r w:rsidRPr="00634FEC">
              <w:rPr>
                <w:rFonts w:cs="Arial"/>
                <w:b/>
                <w:bCs/>
                <w:sz w:val="16"/>
                <w:szCs w:val="16"/>
                <w:vertAlign w:val="superscript"/>
              </w:rPr>
              <w:t>2</w:t>
            </w:r>
          </w:p>
        </w:tc>
        <w:tc>
          <w:tcPr>
            <w:tcW w:w="2815" w:type="pct"/>
            <w:shd w:val="clear" w:color="auto" w:fill="auto"/>
            <w:noWrap/>
            <w:vAlign w:val="center"/>
            <w:hideMark/>
          </w:tcPr>
          <w:p w14:paraId="4C93AA92"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9,52%</w:t>
            </w:r>
          </w:p>
        </w:tc>
      </w:tr>
      <w:tr w:rsidR="00634FEC" w:rsidRPr="00634FEC" w14:paraId="3AA8D397" w14:textId="77777777" w:rsidTr="00375ADD">
        <w:trPr>
          <w:cantSplit/>
          <w:trHeight w:val="227"/>
          <w:jc w:val="center"/>
        </w:trPr>
        <w:tc>
          <w:tcPr>
            <w:tcW w:w="2185" w:type="pct"/>
            <w:gridSpan w:val="2"/>
            <w:shd w:val="clear" w:color="auto" w:fill="F2F2F2" w:themeFill="background1" w:themeFillShade="F2"/>
            <w:vAlign w:val="center"/>
            <w:hideMark/>
          </w:tcPr>
          <w:p w14:paraId="18D4D5AC"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ΥΠΟΥΡΓΕΙΟ ΥΓΕΙΑΣ</w:t>
            </w:r>
          </w:p>
        </w:tc>
        <w:tc>
          <w:tcPr>
            <w:tcW w:w="2815" w:type="pct"/>
            <w:shd w:val="clear" w:color="auto" w:fill="auto"/>
            <w:noWrap/>
            <w:vAlign w:val="center"/>
            <w:hideMark/>
          </w:tcPr>
          <w:p w14:paraId="3815E2C1"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43,01%</w:t>
            </w:r>
          </w:p>
        </w:tc>
      </w:tr>
      <w:tr w:rsidR="00634FEC" w:rsidRPr="00634FEC" w14:paraId="505C89E9" w14:textId="77777777" w:rsidTr="00375ADD">
        <w:trPr>
          <w:cantSplit/>
          <w:trHeight w:val="227"/>
          <w:jc w:val="center"/>
        </w:trPr>
        <w:tc>
          <w:tcPr>
            <w:tcW w:w="2185" w:type="pct"/>
            <w:gridSpan w:val="2"/>
            <w:shd w:val="clear" w:color="auto" w:fill="F2F2F2" w:themeFill="background1" w:themeFillShade="F2"/>
            <w:vAlign w:val="center"/>
            <w:hideMark/>
          </w:tcPr>
          <w:p w14:paraId="79CA1AA6"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ΥΠΟΥΡΓΕΙΟ ΔΙΚΑΙΟΣΥΝΗΣ</w:t>
            </w:r>
            <w:r w:rsidRPr="00634FEC">
              <w:rPr>
                <w:rFonts w:cs="Arial"/>
                <w:b/>
                <w:bCs/>
                <w:sz w:val="16"/>
                <w:szCs w:val="16"/>
                <w:vertAlign w:val="superscript"/>
              </w:rPr>
              <w:t>3</w:t>
            </w:r>
          </w:p>
        </w:tc>
        <w:tc>
          <w:tcPr>
            <w:tcW w:w="2815" w:type="pct"/>
            <w:shd w:val="clear" w:color="auto" w:fill="auto"/>
            <w:noWrap/>
            <w:vAlign w:val="center"/>
            <w:hideMark/>
          </w:tcPr>
          <w:p w14:paraId="596D477E"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45,00%</w:t>
            </w:r>
          </w:p>
        </w:tc>
      </w:tr>
      <w:tr w:rsidR="00634FEC" w:rsidRPr="00634FEC" w14:paraId="11AB4D97" w14:textId="77777777" w:rsidTr="00375ADD">
        <w:trPr>
          <w:cantSplit/>
          <w:trHeight w:val="227"/>
          <w:jc w:val="center"/>
        </w:trPr>
        <w:tc>
          <w:tcPr>
            <w:tcW w:w="2185" w:type="pct"/>
            <w:gridSpan w:val="2"/>
            <w:shd w:val="clear" w:color="auto" w:fill="F2F2F2" w:themeFill="background1" w:themeFillShade="F2"/>
            <w:vAlign w:val="center"/>
            <w:hideMark/>
          </w:tcPr>
          <w:p w14:paraId="09238105" w14:textId="54E8BAA6" w:rsidR="00634FEC" w:rsidRPr="00634FEC" w:rsidRDefault="00634FEC" w:rsidP="007B3E3F">
            <w:pPr>
              <w:spacing w:after="0" w:line="240" w:lineRule="auto"/>
              <w:jc w:val="center"/>
              <w:rPr>
                <w:rFonts w:cs="Arial"/>
                <w:b/>
                <w:bCs/>
                <w:sz w:val="16"/>
                <w:szCs w:val="16"/>
              </w:rPr>
            </w:pPr>
            <w:r w:rsidRPr="00634FEC">
              <w:rPr>
                <w:rFonts w:cs="Arial"/>
                <w:b/>
                <w:bCs/>
                <w:sz w:val="16"/>
                <w:szCs w:val="16"/>
              </w:rPr>
              <w:t>ΥΠΟΥΡΓΕΙΟ ΠΑΙΔΕΙΑΣ, ΘΡΗΣΚΕΥΜΑΤΩΝ ΚΑΙ ΑΘΛΗΤΙΣΜΟΥ</w:t>
            </w:r>
          </w:p>
        </w:tc>
        <w:tc>
          <w:tcPr>
            <w:tcW w:w="2815" w:type="pct"/>
            <w:shd w:val="clear" w:color="auto" w:fill="auto"/>
            <w:noWrap/>
            <w:vAlign w:val="center"/>
            <w:hideMark/>
          </w:tcPr>
          <w:p w14:paraId="32195A55"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50,00%</w:t>
            </w:r>
          </w:p>
        </w:tc>
      </w:tr>
      <w:tr w:rsidR="00634FEC" w:rsidRPr="00634FEC" w14:paraId="655DC486" w14:textId="77777777" w:rsidTr="00375ADD">
        <w:trPr>
          <w:cantSplit/>
          <w:trHeight w:val="227"/>
          <w:jc w:val="center"/>
        </w:trPr>
        <w:tc>
          <w:tcPr>
            <w:tcW w:w="2185" w:type="pct"/>
            <w:gridSpan w:val="2"/>
            <w:shd w:val="clear" w:color="auto" w:fill="F2F2F2" w:themeFill="background1" w:themeFillShade="F2"/>
            <w:noWrap/>
            <w:vAlign w:val="center"/>
            <w:hideMark/>
          </w:tcPr>
          <w:p w14:paraId="73CC641B" w14:textId="77777777" w:rsidR="00634FEC" w:rsidRPr="00634FEC" w:rsidRDefault="00634FEC" w:rsidP="007B3E3F">
            <w:pPr>
              <w:spacing w:after="0" w:line="240" w:lineRule="auto"/>
              <w:jc w:val="center"/>
              <w:rPr>
                <w:rFonts w:cs="Arial"/>
                <w:b/>
                <w:bCs/>
                <w:sz w:val="16"/>
                <w:szCs w:val="16"/>
              </w:rPr>
            </w:pPr>
            <w:r w:rsidRPr="00634FEC">
              <w:rPr>
                <w:rFonts w:cs="Arial"/>
                <w:b/>
                <w:bCs/>
                <w:sz w:val="16"/>
                <w:szCs w:val="16"/>
              </w:rPr>
              <w:t xml:space="preserve">ΥΠΟΥΡΓΕΙΟ ΠΟΛΙΤΙΣΜΟΥ </w:t>
            </w:r>
          </w:p>
        </w:tc>
        <w:tc>
          <w:tcPr>
            <w:tcW w:w="2815" w:type="pct"/>
            <w:shd w:val="clear" w:color="auto" w:fill="auto"/>
            <w:noWrap/>
            <w:vAlign w:val="center"/>
            <w:hideMark/>
          </w:tcPr>
          <w:p w14:paraId="0329603D"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69,00%</w:t>
            </w:r>
          </w:p>
        </w:tc>
      </w:tr>
      <w:tr w:rsidR="00634FEC" w:rsidRPr="00634FEC" w14:paraId="428A84F5" w14:textId="77777777" w:rsidTr="00375ADD">
        <w:trPr>
          <w:cantSplit/>
          <w:trHeight w:val="227"/>
          <w:jc w:val="center"/>
        </w:trPr>
        <w:tc>
          <w:tcPr>
            <w:tcW w:w="2185" w:type="pct"/>
            <w:gridSpan w:val="2"/>
            <w:shd w:val="clear" w:color="auto" w:fill="F2F2F2" w:themeFill="background1" w:themeFillShade="F2"/>
            <w:vAlign w:val="center"/>
            <w:hideMark/>
          </w:tcPr>
          <w:p w14:paraId="594923A5"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ΕΘΝΙΚΗΣ ΟΙΚΟΝΟΜΙΑΣ ΚΑΙ ΟΙΚΟΝΟΜΙΚΩΝ (ΠΛΗΝ ΑΑΔΕ ΚΑΙ ΝΣΚ)</w:t>
            </w:r>
          </w:p>
        </w:tc>
        <w:tc>
          <w:tcPr>
            <w:tcW w:w="2815" w:type="pct"/>
            <w:shd w:val="clear" w:color="auto" w:fill="auto"/>
            <w:noWrap/>
            <w:vAlign w:val="center"/>
            <w:hideMark/>
          </w:tcPr>
          <w:p w14:paraId="65E94F0D"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15,00%</w:t>
            </w:r>
          </w:p>
        </w:tc>
      </w:tr>
      <w:tr w:rsidR="00634FEC" w:rsidRPr="00634FEC" w14:paraId="27B0C803" w14:textId="77777777" w:rsidTr="00375ADD">
        <w:trPr>
          <w:cantSplit/>
          <w:trHeight w:val="227"/>
          <w:jc w:val="center"/>
        </w:trPr>
        <w:tc>
          <w:tcPr>
            <w:tcW w:w="2185" w:type="pct"/>
            <w:gridSpan w:val="2"/>
            <w:shd w:val="clear" w:color="auto" w:fill="F2F2F2" w:themeFill="background1" w:themeFillShade="F2"/>
            <w:vAlign w:val="center"/>
            <w:hideMark/>
          </w:tcPr>
          <w:p w14:paraId="571B7FAC"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ΑΑΔΕ</w:t>
            </w:r>
            <w:r w:rsidRPr="004E6D8F">
              <w:rPr>
                <w:rFonts w:cs="Arial"/>
                <w:b/>
                <w:bCs/>
                <w:iCs/>
                <w:sz w:val="16"/>
                <w:szCs w:val="16"/>
                <w:vertAlign w:val="superscript"/>
              </w:rPr>
              <w:t>4</w:t>
            </w:r>
          </w:p>
        </w:tc>
        <w:tc>
          <w:tcPr>
            <w:tcW w:w="2815" w:type="pct"/>
            <w:shd w:val="clear" w:color="auto" w:fill="auto"/>
            <w:noWrap/>
            <w:vAlign w:val="center"/>
            <w:hideMark/>
          </w:tcPr>
          <w:p w14:paraId="54FDCD10"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≥20,00%</w:t>
            </w:r>
          </w:p>
        </w:tc>
      </w:tr>
      <w:tr w:rsidR="00634FEC" w:rsidRPr="00634FEC" w14:paraId="56A4886E" w14:textId="77777777" w:rsidTr="00375ADD">
        <w:trPr>
          <w:cantSplit/>
          <w:trHeight w:val="227"/>
          <w:jc w:val="center"/>
        </w:trPr>
        <w:tc>
          <w:tcPr>
            <w:tcW w:w="2185" w:type="pct"/>
            <w:gridSpan w:val="2"/>
            <w:shd w:val="clear" w:color="auto" w:fill="F2F2F2" w:themeFill="background1" w:themeFillShade="F2"/>
            <w:vAlign w:val="center"/>
            <w:hideMark/>
          </w:tcPr>
          <w:p w14:paraId="43F5F5D4"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ΝΣΚ</w:t>
            </w:r>
            <w:r w:rsidRPr="004E6D8F">
              <w:rPr>
                <w:rFonts w:cs="Arial"/>
                <w:b/>
                <w:bCs/>
                <w:iCs/>
                <w:sz w:val="16"/>
                <w:szCs w:val="16"/>
                <w:vertAlign w:val="superscript"/>
              </w:rPr>
              <w:t>5</w:t>
            </w:r>
          </w:p>
        </w:tc>
        <w:tc>
          <w:tcPr>
            <w:tcW w:w="2815" w:type="pct"/>
            <w:shd w:val="clear" w:color="auto" w:fill="auto"/>
            <w:noWrap/>
            <w:vAlign w:val="center"/>
            <w:hideMark/>
          </w:tcPr>
          <w:p w14:paraId="4DE49E95"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42,00%</w:t>
            </w:r>
          </w:p>
        </w:tc>
      </w:tr>
      <w:tr w:rsidR="00634FEC" w:rsidRPr="00634FEC" w14:paraId="347DA038" w14:textId="77777777" w:rsidTr="00375ADD">
        <w:trPr>
          <w:cantSplit/>
          <w:trHeight w:val="227"/>
          <w:jc w:val="center"/>
        </w:trPr>
        <w:tc>
          <w:tcPr>
            <w:tcW w:w="2185" w:type="pct"/>
            <w:gridSpan w:val="2"/>
            <w:shd w:val="clear" w:color="auto" w:fill="F2F2F2" w:themeFill="background1" w:themeFillShade="F2"/>
            <w:vAlign w:val="center"/>
            <w:hideMark/>
          </w:tcPr>
          <w:p w14:paraId="0112B6B0"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ΑΓΡΟΤΙΚΗΣ ΑΝΑΠΤΥΞΗΣ ΚΑΙ ΤΡΟΦΙΜΩΝ</w:t>
            </w:r>
          </w:p>
        </w:tc>
        <w:tc>
          <w:tcPr>
            <w:tcW w:w="2815" w:type="pct"/>
            <w:shd w:val="clear" w:color="auto" w:fill="auto"/>
            <w:noWrap/>
            <w:vAlign w:val="center"/>
            <w:hideMark/>
          </w:tcPr>
          <w:p w14:paraId="45F71F6E"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95,00%</w:t>
            </w:r>
          </w:p>
        </w:tc>
      </w:tr>
      <w:tr w:rsidR="00634FEC" w:rsidRPr="00634FEC" w14:paraId="3790ACF3" w14:textId="77777777" w:rsidTr="00375ADD">
        <w:trPr>
          <w:cantSplit/>
          <w:trHeight w:val="227"/>
          <w:jc w:val="center"/>
        </w:trPr>
        <w:tc>
          <w:tcPr>
            <w:tcW w:w="2185" w:type="pct"/>
            <w:gridSpan w:val="2"/>
            <w:shd w:val="clear" w:color="auto" w:fill="F2F2F2" w:themeFill="background1" w:themeFillShade="F2"/>
            <w:vAlign w:val="center"/>
            <w:hideMark/>
          </w:tcPr>
          <w:p w14:paraId="527860CE"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ΕΡΓΑΣΙΑΣ ΚΑΙ ΚΟΙΝΩΝΙΚΗΣ ΑΣΦΑΛΙΣΗΣ</w:t>
            </w:r>
          </w:p>
        </w:tc>
        <w:tc>
          <w:tcPr>
            <w:tcW w:w="2815" w:type="pct"/>
            <w:shd w:val="clear" w:color="auto" w:fill="auto"/>
            <w:noWrap/>
            <w:vAlign w:val="center"/>
            <w:hideMark/>
          </w:tcPr>
          <w:p w14:paraId="6F269E38"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54,00%</w:t>
            </w:r>
          </w:p>
        </w:tc>
      </w:tr>
      <w:tr w:rsidR="00634FEC" w:rsidRPr="00634FEC" w14:paraId="74E2D03D" w14:textId="77777777" w:rsidTr="00375ADD">
        <w:trPr>
          <w:cantSplit/>
          <w:trHeight w:val="227"/>
          <w:jc w:val="center"/>
        </w:trPr>
        <w:tc>
          <w:tcPr>
            <w:tcW w:w="2185" w:type="pct"/>
            <w:gridSpan w:val="2"/>
            <w:shd w:val="clear" w:color="auto" w:fill="F2F2F2" w:themeFill="background1" w:themeFillShade="F2"/>
            <w:vAlign w:val="center"/>
            <w:hideMark/>
          </w:tcPr>
          <w:p w14:paraId="4447C19D" w14:textId="57A208BF"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ΑΝΑΠΤΥΞΗΣ</w:t>
            </w:r>
          </w:p>
        </w:tc>
        <w:tc>
          <w:tcPr>
            <w:tcW w:w="2815" w:type="pct"/>
            <w:shd w:val="clear" w:color="auto" w:fill="auto"/>
            <w:noWrap/>
            <w:vAlign w:val="center"/>
            <w:hideMark/>
          </w:tcPr>
          <w:p w14:paraId="0FDB8DFD"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75,00%</w:t>
            </w:r>
          </w:p>
        </w:tc>
      </w:tr>
      <w:tr w:rsidR="00634FEC" w:rsidRPr="00634FEC" w14:paraId="1F4012E9" w14:textId="77777777" w:rsidTr="00375ADD">
        <w:trPr>
          <w:cantSplit/>
          <w:trHeight w:val="227"/>
          <w:jc w:val="center"/>
        </w:trPr>
        <w:tc>
          <w:tcPr>
            <w:tcW w:w="2185" w:type="pct"/>
            <w:gridSpan w:val="2"/>
            <w:shd w:val="clear" w:color="auto" w:fill="F2F2F2" w:themeFill="background1" w:themeFillShade="F2"/>
            <w:vAlign w:val="center"/>
            <w:hideMark/>
          </w:tcPr>
          <w:p w14:paraId="3C5BB03E"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ΥΠΟΔΟΜΩΝ ΚΑΙ ΜΕΤΑΦΟΡΩΝ</w:t>
            </w:r>
          </w:p>
        </w:tc>
        <w:tc>
          <w:tcPr>
            <w:tcW w:w="2815" w:type="pct"/>
            <w:shd w:val="clear" w:color="auto" w:fill="auto"/>
            <w:noWrap/>
            <w:vAlign w:val="center"/>
            <w:hideMark/>
          </w:tcPr>
          <w:p w14:paraId="24850C92"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55,00%</w:t>
            </w:r>
          </w:p>
        </w:tc>
      </w:tr>
      <w:tr w:rsidR="00634FEC" w:rsidRPr="00634FEC" w14:paraId="3CF3DB40" w14:textId="77777777" w:rsidTr="00375ADD">
        <w:trPr>
          <w:cantSplit/>
          <w:trHeight w:val="227"/>
          <w:jc w:val="center"/>
        </w:trPr>
        <w:tc>
          <w:tcPr>
            <w:tcW w:w="2185" w:type="pct"/>
            <w:gridSpan w:val="2"/>
            <w:shd w:val="clear" w:color="auto" w:fill="F2F2F2" w:themeFill="background1" w:themeFillShade="F2"/>
            <w:vAlign w:val="center"/>
            <w:hideMark/>
          </w:tcPr>
          <w:p w14:paraId="78222E43"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ΥΠΑ</w:t>
            </w:r>
          </w:p>
        </w:tc>
        <w:tc>
          <w:tcPr>
            <w:tcW w:w="2815" w:type="pct"/>
            <w:shd w:val="clear" w:color="auto" w:fill="auto"/>
            <w:noWrap/>
            <w:vAlign w:val="center"/>
            <w:hideMark/>
          </w:tcPr>
          <w:p w14:paraId="5255B454"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44,00%</w:t>
            </w:r>
          </w:p>
        </w:tc>
      </w:tr>
      <w:tr w:rsidR="00634FEC" w:rsidRPr="00634FEC" w14:paraId="7F454C1A" w14:textId="77777777" w:rsidTr="00375ADD">
        <w:trPr>
          <w:cantSplit/>
          <w:trHeight w:val="227"/>
          <w:jc w:val="center"/>
        </w:trPr>
        <w:tc>
          <w:tcPr>
            <w:tcW w:w="2185" w:type="pct"/>
            <w:gridSpan w:val="2"/>
            <w:shd w:val="clear" w:color="auto" w:fill="F2F2F2" w:themeFill="background1" w:themeFillShade="F2"/>
            <w:vAlign w:val="center"/>
            <w:hideMark/>
          </w:tcPr>
          <w:p w14:paraId="722EECD4"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ΝΑΥΤΙΛΙΑΣ ΚΑΙ ΝΗΣΙΩΤΙΚΗΣ ΠΟΛΙΤΙΚΗΣ</w:t>
            </w:r>
          </w:p>
        </w:tc>
        <w:tc>
          <w:tcPr>
            <w:tcW w:w="2815" w:type="pct"/>
            <w:shd w:val="clear" w:color="auto" w:fill="auto"/>
            <w:noWrap/>
            <w:vAlign w:val="center"/>
            <w:hideMark/>
          </w:tcPr>
          <w:p w14:paraId="0D408544"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10,60%</w:t>
            </w:r>
          </w:p>
        </w:tc>
      </w:tr>
      <w:tr w:rsidR="00634FEC" w:rsidRPr="00634FEC" w14:paraId="5235138B" w14:textId="77777777" w:rsidTr="00375ADD">
        <w:trPr>
          <w:cantSplit/>
          <w:trHeight w:val="227"/>
          <w:jc w:val="center"/>
        </w:trPr>
        <w:tc>
          <w:tcPr>
            <w:tcW w:w="2185" w:type="pct"/>
            <w:gridSpan w:val="2"/>
            <w:shd w:val="clear" w:color="auto" w:fill="F2F2F2" w:themeFill="background1" w:themeFillShade="F2"/>
            <w:vAlign w:val="center"/>
            <w:hideMark/>
          </w:tcPr>
          <w:p w14:paraId="20858FD0"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ΤΟΥΡΙΣΜΟΥ</w:t>
            </w:r>
          </w:p>
        </w:tc>
        <w:tc>
          <w:tcPr>
            <w:tcW w:w="2815" w:type="pct"/>
            <w:shd w:val="clear" w:color="auto" w:fill="auto"/>
            <w:noWrap/>
            <w:vAlign w:val="center"/>
            <w:hideMark/>
          </w:tcPr>
          <w:p w14:paraId="3EEAD689"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90,00%</w:t>
            </w:r>
          </w:p>
        </w:tc>
      </w:tr>
      <w:tr w:rsidR="00634FEC" w:rsidRPr="00634FEC" w14:paraId="3C7E4901" w14:textId="77777777" w:rsidTr="00375ADD">
        <w:trPr>
          <w:cantSplit/>
          <w:trHeight w:val="227"/>
          <w:jc w:val="center"/>
        </w:trPr>
        <w:tc>
          <w:tcPr>
            <w:tcW w:w="2185" w:type="pct"/>
            <w:gridSpan w:val="2"/>
            <w:shd w:val="clear" w:color="auto" w:fill="F2F2F2" w:themeFill="background1" w:themeFillShade="F2"/>
            <w:vAlign w:val="center"/>
            <w:hideMark/>
          </w:tcPr>
          <w:p w14:paraId="593BAA2A"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ΨΗΦΙΑΚΗΣ ΔΙΑΚΥΒΕΡΝΗΣΗΣ</w:t>
            </w:r>
          </w:p>
        </w:tc>
        <w:tc>
          <w:tcPr>
            <w:tcW w:w="2815" w:type="pct"/>
            <w:shd w:val="clear" w:color="auto" w:fill="auto"/>
            <w:noWrap/>
            <w:vAlign w:val="center"/>
            <w:hideMark/>
          </w:tcPr>
          <w:p w14:paraId="60FBF1F6"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90,00%</w:t>
            </w:r>
          </w:p>
        </w:tc>
      </w:tr>
      <w:tr w:rsidR="00634FEC" w:rsidRPr="00634FEC" w14:paraId="30B1059D" w14:textId="77777777" w:rsidTr="00375ADD">
        <w:trPr>
          <w:cantSplit/>
          <w:trHeight w:val="227"/>
          <w:jc w:val="center"/>
        </w:trPr>
        <w:tc>
          <w:tcPr>
            <w:tcW w:w="2185" w:type="pct"/>
            <w:gridSpan w:val="2"/>
            <w:shd w:val="clear" w:color="auto" w:fill="F2F2F2" w:themeFill="background1" w:themeFillShade="F2"/>
            <w:vAlign w:val="center"/>
            <w:hideMark/>
          </w:tcPr>
          <w:p w14:paraId="53C36EA6"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ΜΕΤΑΝΑΣΤΕΥΣΗΣ ΚΑΙ ΑΣΥΛΟΥ</w:t>
            </w:r>
          </w:p>
        </w:tc>
        <w:tc>
          <w:tcPr>
            <w:tcW w:w="2815" w:type="pct"/>
            <w:shd w:val="clear" w:color="auto" w:fill="auto"/>
            <w:noWrap/>
            <w:vAlign w:val="center"/>
            <w:hideMark/>
          </w:tcPr>
          <w:p w14:paraId="0B78B47E"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53,62%</w:t>
            </w:r>
          </w:p>
        </w:tc>
      </w:tr>
      <w:tr w:rsidR="00634FEC" w:rsidRPr="00634FEC" w14:paraId="1C4BCB4F" w14:textId="77777777" w:rsidTr="00375ADD">
        <w:trPr>
          <w:cantSplit/>
          <w:trHeight w:val="227"/>
          <w:jc w:val="center"/>
        </w:trPr>
        <w:tc>
          <w:tcPr>
            <w:tcW w:w="2185" w:type="pct"/>
            <w:gridSpan w:val="2"/>
            <w:shd w:val="clear" w:color="auto" w:fill="F2F2F2" w:themeFill="background1" w:themeFillShade="F2"/>
            <w:vAlign w:val="center"/>
            <w:hideMark/>
          </w:tcPr>
          <w:p w14:paraId="12312896"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ΠΡΟΣΤΑΣΙΑΣ ΤΟΥ ΠΟΛΙΤΗ</w:t>
            </w:r>
          </w:p>
        </w:tc>
        <w:tc>
          <w:tcPr>
            <w:tcW w:w="2815" w:type="pct"/>
            <w:shd w:val="clear" w:color="auto" w:fill="auto"/>
            <w:noWrap/>
            <w:vAlign w:val="center"/>
            <w:hideMark/>
          </w:tcPr>
          <w:p w14:paraId="02EEC016"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25,00%</w:t>
            </w:r>
          </w:p>
        </w:tc>
      </w:tr>
      <w:tr w:rsidR="00634FEC" w:rsidRPr="00634FEC" w14:paraId="0DB1B148" w14:textId="77777777" w:rsidTr="00375ADD">
        <w:trPr>
          <w:cantSplit/>
          <w:trHeight w:val="227"/>
          <w:jc w:val="center"/>
        </w:trPr>
        <w:tc>
          <w:tcPr>
            <w:tcW w:w="2185" w:type="pct"/>
            <w:gridSpan w:val="2"/>
            <w:shd w:val="clear" w:color="auto" w:fill="F2F2F2" w:themeFill="background1" w:themeFillShade="F2"/>
            <w:vAlign w:val="center"/>
            <w:hideMark/>
          </w:tcPr>
          <w:p w14:paraId="22C35BD6"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ΥΠΟΥΡΓΕΙΟ ΚΛΙΜΑΤΙΚΗΣ ΚΡΙΣΗΣ ΚΑΙ ΠΟΛΙΤΙΚΗΣ ΠΡΟΣΤΑΣΙΑΣ</w:t>
            </w:r>
          </w:p>
        </w:tc>
        <w:tc>
          <w:tcPr>
            <w:tcW w:w="2815" w:type="pct"/>
            <w:shd w:val="clear" w:color="auto" w:fill="auto"/>
            <w:noWrap/>
            <w:vAlign w:val="center"/>
            <w:hideMark/>
          </w:tcPr>
          <w:p w14:paraId="3BA6EBD2"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12,00%</w:t>
            </w:r>
          </w:p>
        </w:tc>
      </w:tr>
      <w:tr w:rsidR="00634FEC" w:rsidRPr="00634FEC" w14:paraId="7DD319B9" w14:textId="77777777" w:rsidTr="00375ADD">
        <w:trPr>
          <w:cantSplit/>
          <w:trHeight w:val="227"/>
          <w:jc w:val="center"/>
        </w:trPr>
        <w:tc>
          <w:tcPr>
            <w:tcW w:w="2185" w:type="pct"/>
            <w:gridSpan w:val="2"/>
            <w:shd w:val="clear" w:color="auto" w:fill="F2F2F2" w:themeFill="background1" w:themeFillShade="F2"/>
            <w:vAlign w:val="center"/>
            <w:hideMark/>
          </w:tcPr>
          <w:p w14:paraId="74EAD066"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ΑΠΟΚΕΝΤΡΩΜΕΝΗ ΔΙΟΙΚΗΣΗ ΑΤΤΙΚΗΣ</w:t>
            </w:r>
          </w:p>
        </w:tc>
        <w:tc>
          <w:tcPr>
            <w:tcW w:w="2815" w:type="pct"/>
            <w:shd w:val="clear" w:color="auto" w:fill="auto"/>
            <w:noWrap/>
            <w:vAlign w:val="center"/>
            <w:hideMark/>
          </w:tcPr>
          <w:p w14:paraId="6F49D090"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57,00%</w:t>
            </w:r>
          </w:p>
        </w:tc>
      </w:tr>
      <w:tr w:rsidR="00634FEC" w:rsidRPr="00634FEC" w14:paraId="1BFC3EBE" w14:textId="77777777" w:rsidTr="00375ADD">
        <w:trPr>
          <w:cantSplit/>
          <w:trHeight w:val="227"/>
          <w:jc w:val="center"/>
        </w:trPr>
        <w:tc>
          <w:tcPr>
            <w:tcW w:w="2185" w:type="pct"/>
            <w:gridSpan w:val="2"/>
            <w:shd w:val="clear" w:color="auto" w:fill="F2F2F2" w:themeFill="background1" w:themeFillShade="F2"/>
            <w:vAlign w:val="center"/>
            <w:hideMark/>
          </w:tcPr>
          <w:p w14:paraId="268EC053"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lastRenderedPageBreak/>
              <w:t>ΑΠΟΚΕΝΤΡΩΜΕΝΗ ΔΙΟΙΚΗΣΗ ΘΕΣΣΑΛΙΑΣ - ΣΤΕΡΕΑΣ ΕΛΛΑΔΑΣ</w:t>
            </w:r>
          </w:p>
        </w:tc>
        <w:tc>
          <w:tcPr>
            <w:tcW w:w="2815" w:type="pct"/>
            <w:shd w:val="clear" w:color="auto" w:fill="auto"/>
            <w:noWrap/>
            <w:vAlign w:val="center"/>
            <w:hideMark/>
          </w:tcPr>
          <w:p w14:paraId="4D74FC34"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80,00%</w:t>
            </w:r>
          </w:p>
        </w:tc>
      </w:tr>
      <w:tr w:rsidR="00634FEC" w:rsidRPr="00634FEC" w14:paraId="3F0BDD2C" w14:textId="77777777" w:rsidTr="00375ADD">
        <w:trPr>
          <w:cantSplit/>
          <w:trHeight w:val="227"/>
          <w:jc w:val="center"/>
        </w:trPr>
        <w:tc>
          <w:tcPr>
            <w:tcW w:w="2185" w:type="pct"/>
            <w:gridSpan w:val="2"/>
            <w:shd w:val="clear" w:color="auto" w:fill="F2F2F2" w:themeFill="background1" w:themeFillShade="F2"/>
            <w:vAlign w:val="center"/>
            <w:hideMark/>
          </w:tcPr>
          <w:p w14:paraId="36FFCF6C"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ΑΠΟΚΕΝΤΡΩΜΕΝΗ ΔΙΟΙΚΗΣΗ ΗΠΕΙΡΟΥ - ΔΥΤΙΚΗΣ ΜΑΚΕΔΟΝΙΑΣ</w:t>
            </w:r>
          </w:p>
        </w:tc>
        <w:tc>
          <w:tcPr>
            <w:tcW w:w="2815" w:type="pct"/>
            <w:shd w:val="clear" w:color="auto" w:fill="auto"/>
            <w:noWrap/>
            <w:vAlign w:val="center"/>
            <w:hideMark/>
          </w:tcPr>
          <w:p w14:paraId="0EC53841"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80,00%</w:t>
            </w:r>
          </w:p>
        </w:tc>
      </w:tr>
      <w:tr w:rsidR="00634FEC" w:rsidRPr="00634FEC" w14:paraId="0C5B1765" w14:textId="77777777" w:rsidTr="00375ADD">
        <w:trPr>
          <w:cantSplit/>
          <w:trHeight w:val="227"/>
          <w:jc w:val="center"/>
        </w:trPr>
        <w:tc>
          <w:tcPr>
            <w:tcW w:w="2185" w:type="pct"/>
            <w:gridSpan w:val="2"/>
            <w:shd w:val="clear" w:color="auto" w:fill="F2F2F2" w:themeFill="background1" w:themeFillShade="F2"/>
            <w:vAlign w:val="center"/>
            <w:hideMark/>
          </w:tcPr>
          <w:p w14:paraId="4530A65E"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ΑΠΟΚΕΝΤΡΩΜΕΝΗ ΔΙΟΙΚΗΣΗ ΠΕΛΟΠΟΝΝΗΣΟΥ - ΔΥΤΙΚΗΣ ΕΛΛΑΔΑΣ ΚΑΙ ΙΟΝΙΟΥ</w:t>
            </w:r>
          </w:p>
        </w:tc>
        <w:tc>
          <w:tcPr>
            <w:tcW w:w="2815" w:type="pct"/>
            <w:shd w:val="clear" w:color="auto" w:fill="auto"/>
            <w:noWrap/>
            <w:vAlign w:val="center"/>
            <w:hideMark/>
          </w:tcPr>
          <w:p w14:paraId="766B45A1"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16,27%</w:t>
            </w:r>
          </w:p>
        </w:tc>
      </w:tr>
      <w:tr w:rsidR="00634FEC" w:rsidRPr="00634FEC" w14:paraId="0E0884E4" w14:textId="77777777" w:rsidTr="00375ADD">
        <w:trPr>
          <w:cantSplit/>
          <w:trHeight w:val="227"/>
          <w:jc w:val="center"/>
        </w:trPr>
        <w:tc>
          <w:tcPr>
            <w:tcW w:w="2185" w:type="pct"/>
            <w:gridSpan w:val="2"/>
            <w:shd w:val="clear" w:color="auto" w:fill="F2F2F2" w:themeFill="background1" w:themeFillShade="F2"/>
            <w:vAlign w:val="center"/>
            <w:hideMark/>
          </w:tcPr>
          <w:p w14:paraId="1D9D325E"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ΑΠΟΚΕΝΤΡΩΜΕΝΗ ΔΙΟΙΚΗΣΗ ΑΙΓΑΙΟΥ</w:t>
            </w:r>
          </w:p>
        </w:tc>
        <w:tc>
          <w:tcPr>
            <w:tcW w:w="2815" w:type="pct"/>
            <w:shd w:val="clear" w:color="auto" w:fill="auto"/>
            <w:noWrap/>
            <w:vAlign w:val="center"/>
            <w:hideMark/>
          </w:tcPr>
          <w:p w14:paraId="32A20E3A"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55,06%</w:t>
            </w:r>
          </w:p>
        </w:tc>
      </w:tr>
      <w:tr w:rsidR="00634FEC" w:rsidRPr="00634FEC" w14:paraId="149C3C65" w14:textId="77777777" w:rsidTr="00375ADD">
        <w:trPr>
          <w:cantSplit/>
          <w:trHeight w:val="227"/>
          <w:jc w:val="center"/>
        </w:trPr>
        <w:tc>
          <w:tcPr>
            <w:tcW w:w="2185" w:type="pct"/>
            <w:gridSpan w:val="2"/>
            <w:shd w:val="clear" w:color="auto" w:fill="F2F2F2" w:themeFill="background1" w:themeFillShade="F2"/>
            <w:vAlign w:val="center"/>
            <w:hideMark/>
          </w:tcPr>
          <w:p w14:paraId="77DECCAE"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ΑΠΟΚΕΝΤΡΩΜΕΝΗ ΔΙΟΙΚΗΣΗ ΚΡΗΤΗΣ</w:t>
            </w:r>
          </w:p>
        </w:tc>
        <w:tc>
          <w:tcPr>
            <w:tcW w:w="2815" w:type="pct"/>
            <w:shd w:val="clear" w:color="auto" w:fill="auto"/>
            <w:noWrap/>
            <w:vAlign w:val="center"/>
            <w:hideMark/>
          </w:tcPr>
          <w:p w14:paraId="395F35B5"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84,77%</w:t>
            </w:r>
          </w:p>
        </w:tc>
      </w:tr>
      <w:tr w:rsidR="00634FEC" w:rsidRPr="00634FEC" w14:paraId="0570A570" w14:textId="77777777" w:rsidTr="00375ADD">
        <w:trPr>
          <w:cantSplit/>
          <w:trHeight w:val="227"/>
          <w:jc w:val="center"/>
        </w:trPr>
        <w:tc>
          <w:tcPr>
            <w:tcW w:w="2185" w:type="pct"/>
            <w:gridSpan w:val="2"/>
            <w:tcBorders>
              <w:bottom w:val="single" w:sz="2" w:space="0" w:color="A6A6A6" w:themeColor="background1" w:themeShade="A6"/>
            </w:tcBorders>
            <w:shd w:val="clear" w:color="auto" w:fill="F2F2F2" w:themeFill="background1" w:themeFillShade="F2"/>
            <w:vAlign w:val="center"/>
            <w:hideMark/>
          </w:tcPr>
          <w:p w14:paraId="48C5A7C9" w14:textId="77777777" w:rsidR="00634FEC" w:rsidRPr="004E6D8F" w:rsidRDefault="00634FEC" w:rsidP="007B3E3F">
            <w:pPr>
              <w:spacing w:after="0" w:line="240" w:lineRule="auto"/>
              <w:jc w:val="center"/>
              <w:rPr>
                <w:rFonts w:cs="Arial"/>
                <w:b/>
                <w:bCs/>
                <w:iCs/>
                <w:sz w:val="16"/>
                <w:szCs w:val="16"/>
              </w:rPr>
            </w:pPr>
            <w:r w:rsidRPr="004E6D8F">
              <w:rPr>
                <w:rFonts w:cs="Arial"/>
                <w:b/>
                <w:bCs/>
                <w:iCs/>
                <w:sz w:val="16"/>
                <w:szCs w:val="16"/>
              </w:rPr>
              <w:t>ΑΠΟΚΕΝΤΡΩΜΕΝΗ ΔΙΟΙΚΗΣΗ ΜΑΚΕΔΟΝΙΑΣ - ΘΡΑΚΗΣ</w:t>
            </w:r>
          </w:p>
        </w:tc>
        <w:tc>
          <w:tcPr>
            <w:tcW w:w="2815" w:type="pct"/>
            <w:tcBorders>
              <w:bottom w:val="single" w:sz="2" w:space="0" w:color="A6A6A6" w:themeColor="background1" w:themeShade="A6"/>
            </w:tcBorders>
            <w:shd w:val="clear" w:color="auto" w:fill="auto"/>
            <w:noWrap/>
            <w:vAlign w:val="center"/>
            <w:hideMark/>
          </w:tcPr>
          <w:p w14:paraId="61C2B397" w14:textId="77777777" w:rsidR="00634FEC" w:rsidRPr="00634FEC" w:rsidRDefault="00634FEC" w:rsidP="007B3E3F">
            <w:pPr>
              <w:spacing w:after="0" w:line="240" w:lineRule="auto"/>
              <w:jc w:val="center"/>
              <w:rPr>
                <w:rFonts w:cs="Arial"/>
                <w:color w:val="000000"/>
                <w:sz w:val="16"/>
                <w:szCs w:val="16"/>
              </w:rPr>
            </w:pPr>
            <w:r w:rsidRPr="00634FEC">
              <w:rPr>
                <w:rFonts w:cs="Arial"/>
                <w:color w:val="000000"/>
                <w:sz w:val="16"/>
                <w:szCs w:val="16"/>
              </w:rPr>
              <w:t>86,00%</w:t>
            </w:r>
          </w:p>
        </w:tc>
      </w:tr>
      <w:tr w:rsidR="004E6D8F" w:rsidRPr="008D26B6" w14:paraId="483E9A40" w14:textId="77777777" w:rsidTr="007B3E3F">
        <w:trPr>
          <w:cantSplit/>
          <w:jc w:val="center"/>
        </w:trPr>
        <w:tc>
          <w:tcPr>
            <w:tcW w:w="5000" w:type="pct"/>
            <w:gridSpan w:val="3"/>
            <w:tcBorders>
              <w:left w:val="nil"/>
              <w:bottom w:val="nil"/>
              <w:right w:val="nil"/>
            </w:tcBorders>
            <w:shd w:val="clear" w:color="auto" w:fill="auto"/>
            <w:vAlign w:val="center"/>
          </w:tcPr>
          <w:p w14:paraId="2E2E1CA4" w14:textId="1CE16245" w:rsidR="004E6D8F" w:rsidRPr="008D26B6" w:rsidRDefault="004E6D8F" w:rsidP="007B3E3F">
            <w:pPr>
              <w:tabs>
                <w:tab w:val="left" w:pos="227"/>
              </w:tabs>
              <w:spacing w:before="60" w:after="0" w:line="240" w:lineRule="auto"/>
              <w:ind w:left="227" w:hanging="227"/>
              <w:rPr>
                <w:i/>
                <w:sz w:val="16"/>
              </w:rPr>
            </w:pPr>
            <w:r w:rsidRPr="008D26B6">
              <w:rPr>
                <w:i/>
                <w:sz w:val="16"/>
              </w:rPr>
              <w:t>1.</w:t>
            </w:r>
            <w:r w:rsidR="007B3E3F" w:rsidRPr="008D26B6">
              <w:rPr>
                <w:i/>
                <w:sz w:val="16"/>
              </w:rPr>
              <w:tab/>
            </w:r>
            <w:r w:rsidRPr="008D26B6">
              <w:rPr>
                <w:i/>
                <w:sz w:val="16"/>
              </w:rPr>
              <w:t xml:space="preserve">Στο Υπουργείο Εξωτερικών ως εκπαίδευση λαμβάνονται υπόψη τα σεμινάρια που οργανώνει η </w:t>
            </w:r>
            <w:r w:rsidR="00375ADD" w:rsidRPr="008D26B6">
              <w:rPr>
                <w:i/>
                <w:sz w:val="16"/>
              </w:rPr>
              <w:t>Ελληνική Διπλωματική Ακαδημία (</w:t>
            </w:r>
            <w:r w:rsidRPr="008D26B6">
              <w:rPr>
                <w:i/>
                <w:sz w:val="16"/>
              </w:rPr>
              <w:t>ΕΔΑ</w:t>
            </w:r>
            <w:r w:rsidR="00375ADD" w:rsidRPr="008D26B6">
              <w:rPr>
                <w:i/>
                <w:sz w:val="16"/>
              </w:rPr>
              <w:t>)</w:t>
            </w:r>
            <w:r w:rsidR="0045579F" w:rsidRPr="008D26B6">
              <w:rPr>
                <w:i/>
                <w:sz w:val="16"/>
              </w:rPr>
              <w:t>.</w:t>
            </w:r>
          </w:p>
          <w:p w14:paraId="3A0D876F" w14:textId="3F88237A" w:rsidR="004E6D8F" w:rsidRPr="008D26B6" w:rsidRDefault="004E6D8F" w:rsidP="007B3E3F">
            <w:pPr>
              <w:tabs>
                <w:tab w:val="left" w:pos="227"/>
              </w:tabs>
              <w:spacing w:before="60" w:after="0" w:line="240" w:lineRule="auto"/>
              <w:ind w:left="227" w:hanging="227"/>
              <w:rPr>
                <w:i/>
                <w:sz w:val="16"/>
              </w:rPr>
            </w:pPr>
            <w:r w:rsidRPr="008D26B6">
              <w:rPr>
                <w:i/>
                <w:sz w:val="16"/>
              </w:rPr>
              <w:t>2.</w:t>
            </w:r>
            <w:r w:rsidR="007B3E3F" w:rsidRPr="008D26B6">
              <w:rPr>
                <w:i/>
                <w:sz w:val="16"/>
              </w:rPr>
              <w:tab/>
            </w:r>
            <w:r w:rsidRPr="008D26B6">
              <w:rPr>
                <w:i/>
                <w:sz w:val="16"/>
              </w:rPr>
              <w:t>Στο Υπουργείο Εθνικής Άμυνας για το έτος 2026 έχει συμπεριληφθεί στον δείκτη το σύνολο του προσωπικού μόνο του ΓΕΕΘΑ</w:t>
            </w:r>
            <w:r w:rsidR="003B5B34" w:rsidRPr="008D26B6">
              <w:rPr>
                <w:i/>
                <w:sz w:val="16"/>
              </w:rPr>
              <w:t>,</w:t>
            </w:r>
            <w:r w:rsidRPr="008D26B6">
              <w:rPr>
                <w:i/>
                <w:sz w:val="16"/>
              </w:rPr>
              <w:t xml:space="preserve"> ενώ το προσωπικό των υπ</w:t>
            </w:r>
            <w:r w:rsidR="003B5B34" w:rsidRPr="008D26B6">
              <w:rPr>
                <w:i/>
                <w:sz w:val="16"/>
              </w:rPr>
              <w:t>όλοι</w:t>
            </w:r>
            <w:r w:rsidRPr="008D26B6">
              <w:rPr>
                <w:i/>
                <w:sz w:val="16"/>
              </w:rPr>
              <w:t>πων Γ</w:t>
            </w:r>
            <w:r w:rsidR="003B5B34" w:rsidRPr="008D26B6">
              <w:rPr>
                <w:i/>
                <w:sz w:val="16"/>
              </w:rPr>
              <w:t xml:space="preserve">ενικών </w:t>
            </w:r>
            <w:r w:rsidRPr="008D26B6">
              <w:rPr>
                <w:i/>
                <w:sz w:val="16"/>
              </w:rPr>
              <w:t>Ε</w:t>
            </w:r>
            <w:r w:rsidR="003B5B34" w:rsidRPr="008D26B6">
              <w:rPr>
                <w:i/>
                <w:sz w:val="16"/>
              </w:rPr>
              <w:t xml:space="preserve">πιτελείων </w:t>
            </w:r>
            <w:r w:rsidRPr="008D26B6">
              <w:rPr>
                <w:i/>
                <w:sz w:val="16"/>
              </w:rPr>
              <w:t>θα ενταχθεί σε επόμενη χρήση.</w:t>
            </w:r>
          </w:p>
          <w:p w14:paraId="34118E95" w14:textId="3E1A975D" w:rsidR="004E6D8F" w:rsidRPr="008D26B6" w:rsidRDefault="004E6D8F" w:rsidP="007B3E3F">
            <w:pPr>
              <w:tabs>
                <w:tab w:val="left" w:pos="227"/>
              </w:tabs>
              <w:spacing w:before="60" w:after="0" w:line="240" w:lineRule="auto"/>
              <w:ind w:left="227" w:hanging="227"/>
              <w:rPr>
                <w:i/>
                <w:sz w:val="16"/>
              </w:rPr>
            </w:pPr>
            <w:r w:rsidRPr="008D26B6">
              <w:rPr>
                <w:i/>
                <w:sz w:val="16"/>
              </w:rPr>
              <w:t>3.</w:t>
            </w:r>
            <w:r w:rsidR="007B3E3F" w:rsidRPr="008D26B6">
              <w:rPr>
                <w:i/>
                <w:sz w:val="16"/>
              </w:rPr>
              <w:tab/>
            </w:r>
            <w:r w:rsidRPr="008D26B6">
              <w:rPr>
                <w:i/>
                <w:sz w:val="16"/>
              </w:rPr>
              <w:t>Στο Υπουργείο Δικαιοσύνης λαμβάνονται υπόψη σεμινάρια δικαστικών και διοικητικών υπαλλήλων της Κεντρικής Υπηρεσίας αποκλειστικά από την ΕΣΔΙ.</w:t>
            </w:r>
          </w:p>
          <w:p w14:paraId="2097BB21" w14:textId="6F15F844" w:rsidR="004E6D8F" w:rsidRPr="008D26B6" w:rsidRDefault="004E6D8F" w:rsidP="007B3E3F">
            <w:pPr>
              <w:tabs>
                <w:tab w:val="left" w:pos="227"/>
              </w:tabs>
              <w:spacing w:before="60" w:after="0" w:line="240" w:lineRule="auto"/>
              <w:ind w:left="227" w:hanging="227"/>
              <w:rPr>
                <w:i/>
                <w:sz w:val="16"/>
              </w:rPr>
            </w:pPr>
            <w:r w:rsidRPr="008D26B6">
              <w:rPr>
                <w:i/>
                <w:sz w:val="16"/>
              </w:rPr>
              <w:t>4.</w:t>
            </w:r>
            <w:r w:rsidR="007B3E3F" w:rsidRPr="008D26B6">
              <w:rPr>
                <w:i/>
                <w:sz w:val="16"/>
              </w:rPr>
              <w:tab/>
            </w:r>
            <w:r w:rsidRPr="008D26B6">
              <w:rPr>
                <w:i/>
                <w:sz w:val="16"/>
              </w:rPr>
              <w:t>Στην ΑΑΔΕ λαμβάνονται υπόψη εκπαιδευτικά προγράμματα στη Φ</w:t>
            </w:r>
            <w:r w:rsidR="00F548FA" w:rsidRPr="008D26B6">
              <w:rPr>
                <w:i/>
                <w:sz w:val="16"/>
              </w:rPr>
              <w:t>ορολογική και Τελωνειακή Ακαδημία</w:t>
            </w:r>
            <w:r w:rsidRPr="008D26B6">
              <w:rPr>
                <w:i/>
                <w:sz w:val="16"/>
              </w:rPr>
              <w:t xml:space="preserve"> </w:t>
            </w:r>
            <w:r w:rsidR="00F548FA" w:rsidRPr="008D26B6">
              <w:rPr>
                <w:i/>
                <w:sz w:val="16"/>
              </w:rPr>
              <w:t xml:space="preserve">(ΦΟΤΑ) </w:t>
            </w:r>
            <w:r w:rsidRPr="008D26B6">
              <w:rPr>
                <w:i/>
                <w:sz w:val="16"/>
              </w:rPr>
              <w:t>και στο ΕΚΔΔΑ.</w:t>
            </w:r>
          </w:p>
          <w:p w14:paraId="72AF4031" w14:textId="2DC5B0EF" w:rsidR="004E6D8F" w:rsidRPr="008D26B6" w:rsidRDefault="004E6D8F" w:rsidP="007B3E3F">
            <w:pPr>
              <w:tabs>
                <w:tab w:val="left" w:pos="227"/>
              </w:tabs>
              <w:spacing w:before="60" w:after="0" w:line="240" w:lineRule="auto"/>
              <w:ind w:left="227" w:hanging="227"/>
              <w:rPr>
                <w:i/>
                <w:sz w:val="14"/>
                <w:szCs w:val="14"/>
              </w:rPr>
            </w:pPr>
            <w:r w:rsidRPr="008D26B6">
              <w:rPr>
                <w:i/>
                <w:sz w:val="16"/>
              </w:rPr>
              <w:t>5.</w:t>
            </w:r>
            <w:r w:rsidR="007B3E3F" w:rsidRPr="008D26B6">
              <w:rPr>
                <w:i/>
                <w:sz w:val="16"/>
              </w:rPr>
              <w:tab/>
            </w:r>
            <w:r w:rsidRPr="008D26B6">
              <w:rPr>
                <w:i/>
                <w:sz w:val="16"/>
              </w:rPr>
              <w:t xml:space="preserve">Στο ΝΣΚ τα στοιχεία αφορούν μόνο </w:t>
            </w:r>
            <w:r w:rsidR="008D26B6" w:rsidRPr="008D26B6">
              <w:rPr>
                <w:i/>
                <w:sz w:val="16"/>
              </w:rPr>
              <w:t>σ</w:t>
            </w:r>
            <w:r w:rsidRPr="008D26B6">
              <w:rPr>
                <w:i/>
                <w:sz w:val="16"/>
              </w:rPr>
              <w:t xml:space="preserve">το διοικητικό προσωπικό του φορέα και όχι </w:t>
            </w:r>
            <w:r w:rsidR="008D26B6" w:rsidRPr="008D26B6">
              <w:rPr>
                <w:i/>
                <w:sz w:val="16"/>
              </w:rPr>
              <w:t>σ</w:t>
            </w:r>
            <w:r w:rsidRPr="008D26B6">
              <w:rPr>
                <w:i/>
                <w:sz w:val="16"/>
              </w:rPr>
              <w:t>τους νομικούς</w:t>
            </w:r>
            <w:r w:rsidR="008D26B6" w:rsidRPr="008D26B6">
              <w:rPr>
                <w:i/>
                <w:sz w:val="16"/>
              </w:rPr>
              <w:t xml:space="preserve"> -</w:t>
            </w:r>
            <w:r w:rsidRPr="008D26B6">
              <w:rPr>
                <w:i/>
                <w:sz w:val="16"/>
              </w:rPr>
              <w:t xml:space="preserve"> μέλη του ΝΣΚ.</w:t>
            </w:r>
          </w:p>
        </w:tc>
      </w:tr>
    </w:tbl>
    <w:p w14:paraId="78E00D7A" w14:textId="77777777" w:rsidR="007B3E3F" w:rsidRDefault="007B3E3F" w:rsidP="006A492C">
      <w:pPr>
        <w:spacing w:before="240"/>
      </w:pPr>
      <w:r>
        <w:t>Οι οριζόντιοι δείκτες περιλαμβάνονται αναλυτικά στα Ετήσια Σχέδια Προγραμμάτων των Φορέων.</w:t>
      </w:r>
    </w:p>
    <w:p w14:paraId="1E8BE52F" w14:textId="66673F82" w:rsidR="007B3E3F" w:rsidRDefault="007B3E3F" w:rsidP="006A492C">
      <w:r>
        <w:t xml:space="preserve">Ο προϋπολογισμός επιδόσεων 2026 περιλαμβάνει την προϋπολογιζόμενη χρηματοδότηση για τα 185 Προγράμματα στα οποία δραστηριοποιείται η </w:t>
      </w:r>
      <w:r w:rsidR="00EA797E">
        <w:t>Κ</w:t>
      </w:r>
      <w:r>
        <w:t xml:space="preserve">εντρική </w:t>
      </w:r>
      <w:r w:rsidR="00EA797E">
        <w:t>Δ</w:t>
      </w:r>
      <w:r>
        <w:t xml:space="preserve">ιοίκηση ή/και νομικά πρόσωπα ΦΓΚ. Στον προϋπολογισμό έτους 2026 ολοκληρώνεται και η ανάπτυξη διακριτών Προγραμμάτων για το σύνολο των </w:t>
      </w:r>
      <w:r w:rsidR="008D26B6">
        <w:t xml:space="preserve">Ανεξάρτητων Διοικητικών Αρχών - </w:t>
      </w:r>
      <w:r>
        <w:t>ΑΔΑ.</w:t>
      </w:r>
    </w:p>
    <w:p w14:paraId="02B6B45E" w14:textId="40788620" w:rsidR="007B3E3F" w:rsidRDefault="007B3E3F" w:rsidP="006A492C">
      <w:r>
        <w:t xml:space="preserve">Ακολουθούν διαγράμματα ανά </w:t>
      </w:r>
      <w:r w:rsidR="008D26B6">
        <w:t>φ</w:t>
      </w:r>
      <w:r>
        <w:t>ορέα</w:t>
      </w:r>
      <w:r w:rsidR="008D26B6">
        <w:t>,</w:t>
      </w:r>
      <w:r>
        <w:t xml:space="preserve"> στα οποία αποτυπώνονται η χρηματοδότηση κάθε Προγράμματος από το Κράτος αλλά και σε επίπεδο Γενικής Κυβέρνησης καθώς και το απασχολούμενο προσωπικό για κάθε Πρόγραμμα.</w:t>
      </w:r>
    </w:p>
    <w:p w14:paraId="6D6342D6" w14:textId="1B07A3B1" w:rsidR="00B9672B" w:rsidRDefault="00B9672B">
      <w:pPr>
        <w:spacing w:after="0" w:line="240" w:lineRule="auto"/>
        <w:jc w:val="left"/>
      </w:pPr>
      <w:r>
        <w:br w:type="page"/>
      </w:r>
    </w:p>
    <w:p w14:paraId="01B22EB9" w14:textId="28932ADC" w:rsidR="007F39B9" w:rsidRPr="00873FD2" w:rsidRDefault="007F39B9" w:rsidP="007F39B9">
      <w:pPr>
        <w:shd w:val="clear" w:color="auto" w:fill="D5DCE4"/>
        <w:rPr>
          <w:rFonts w:cs="Arial"/>
          <w:b/>
          <w:color w:val="2F5496"/>
          <w:szCs w:val="20"/>
        </w:rPr>
      </w:pPr>
      <w:r w:rsidRPr="00873FD2">
        <w:rPr>
          <w:rFonts w:cs="Arial"/>
          <w:b/>
          <w:color w:val="2F5496"/>
          <w:szCs w:val="20"/>
        </w:rPr>
        <w:lastRenderedPageBreak/>
        <w:t>Προεδρία της Δημοκρατίας</w:t>
      </w:r>
    </w:p>
    <w:p w14:paraId="66C44DDB" w14:textId="7AB87D66" w:rsidR="00873FD2" w:rsidRPr="00FD49A6" w:rsidRDefault="00873FD2" w:rsidP="00A30240">
      <w:pPr>
        <w:pStyle w:val="afe"/>
        <w:keepNext/>
        <w:spacing w:after="60"/>
        <w:rPr>
          <w:sz w:val="18"/>
          <w:szCs w:val="18"/>
        </w:rPr>
      </w:pPr>
      <w:bookmarkStart w:id="136" w:name="_Toc182856372"/>
      <w:bookmarkStart w:id="137" w:name="_Toc214473820"/>
      <w:r w:rsidRPr="00FD49A6">
        <w:rPr>
          <w:sz w:val="18"/>
          <w:szCs w:val="18"/>
        </w:rPr>
        <w:t>Πίνακας 2.</w:t>
      </w:r>
      <w:r w:rsidRPr="00FD49A6">
        <w:rPr>
          <w:sz w:val="18"/>
          <w:szCs w:val="18"/>
        </w:rPr>
        <w:fldChar w:fldCharType="begin"/>
      </w:r>
      <w:r w:rsidRPr="00FD49A6">
        <w:rPr>
          <w:sz w:val="18"/>
          <w:szCs w:val="18"/>
        </w:rPr>
        <w:instrText xml:space="preserve"> SEQ Πίνακας_2. \* ARABIC </w:instrText>
      </w:r>
      <w:r w:rsidRPr="00FD49A6">
        <w:rPr>
          <w:sz w:val="18"/>
          <w:szCs w:val="18"/>
        </w:rPr>
        <w:fldChar w:fldCharType="separate"/>
      </w:r>
      <w:r w:rsidR="00E15678">
        <w:rPr>
          <w:noProof/>
          <w:sz w:val="18"/>
          <w:szCs w:val="18"/>
        </w:rPr>
        <w:t>2</w:t>
      </w:r>
      <w:r w:rsidRPr="00FD49A6">
        <w:rPr>
          <w:sz w:val="18"/>
          <w:szCs w:val="18"/>
        </w:rPr>
        <w:fldChar w:fldCharType="end"/>
      </w:r>
      <w:r w:rsidRPr="00FD49A6">
        <w:rPr>
          <w:sz w:val="18"/>
          <w:szCs w:val="18"/>
        </w:rPr>
        <w:t xml:space="preserve">.: Προϋπολογιζόμενη </w:t>
      </w:r>
      <w:r w:rsidR="00AD6C46">
        <w:rPr>
          <w:sz w:val="18"/>
          <w:szCs w:val="18"/>
        </w:rPr>
        <w:t>Δ</w:t>
      </w:r>
      <w:r w:rsidRPr="00FD49A6">
        <w:rPr>
          <w:sz w:val="18"/>
          <w:szCs w:val="18"/>
        </w:rPr>
        <w:t xml:space="preserve">απάνη </w:t>
      </w:r>
      <w:r w:rsidR="00AD6C46">
        <w:rPr>
          <w:sz w:val="18"/>
          <w:szCs w:val="18"/>
        </w:rPr>
        <w:t>Κ</w:t>
      </w:r>
      <w:r w:rsidRPr="00FD49A6">
        <w:rPr>
          <w:sz w:val="18"/>
          <w:szCs w:val="18"/>
        </w:rPr>
        <w:t xml:space="preserve">ρατικού </w:t>
      </w:r>
      <w:r w:rsidR="00AD6C46">
        <w:rPr>
          <w:sz w:val="18"/>
          <w:szCs w:val="18"/>
        </w:rPr>
        <w:t>Π</w:t>
      </w:r>
      <w:r w:rsidRPr="00FD49A6">
        <w:rPr>
          <w:sz w:val="18"/>
          <w:szCs w:val="18"/>
        </w:rPr>
        <w:t>ροϋπολογισμού ανά Πρόγραμμα</w:t>
      </w:r>
      <w:bookmarkEnd w:id="136"/>
      <w:bookmarkEnd w:id="137"/>
    </w:p>
    <w:p w14:paraId="13EBC79E" w14:textId="1CB6A580" w:rsidR="00873FD2" w:rsidRDefault="00873FD2" w:rsidP="00D52ADF"/>
    <w:tbl>
      <w:tblPr>
        <w:tblW w:w="6720"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500"/>
        <w:gridCol w:w="3220"/>
      </w:tblGrid>
      <w:tr w:rsidR="006A492C" w:rsidRPr="00B56A98" w14:paraId="63B05779" w14:textId="77777777" w:rsidTr="00D52ADF">
        <w:trPr>
          <w:trHeight w:val="495"/>
          <w:jc w:val="center"/>
        </w:trPr>
        <w:tc>
          <w:tcPr>
            <w:tcW w:w="6720" w:type="dxa"/>
            <w:gridSpan w:val="2"/>
            <w:shd w:val="clear" w:color="000000" w:fill="D5DCE4"/>
            <w:vAlign w:val="center"/>
            <w:hideMark/>
          </w:tcPr>
          <w:p w14:paraId="78A35167" w14:textId="22E54471" w:rsidR="006A492C" w:rsidRDefault="006A492C" w:rsidP="00D52ADF">
            <w:pPr>
              <w:spacing w:after="0" w:line="240" w:lineRule="auto"/>
              <w:jc w:val="center"/>
              <w:rPr>
                <w:rFonts w:cs="Arial"/>
                <w:b/>
                <w:bCs/>
                <w:color w:val="000000"/>
                <w:sz w:val="18"/>
                <w:szCs w:val="18"/>
              </w:rPr>
            </w:pPr>
            <w:r w:rsidRPr="00B56A98">
              <w:rPr>
                <w:rFonts w:cs="Arial"/>
                <w:b/>
                <w:bCs/>
                <w:color w:val="000000"/>
                <w:sz w:val="18"/>
                <w:szCs w:val="18"/>
              </w:rPr>
              <w:t xml:space="preserve">Προϋπολογιζόμενη </w:t>
            </w:r>
            <w:r w:rsidR="00096202">
              <w:rPr>
                <w:rFonts w:cs="Arial"/>
                <w:b/>
                <w:bCs/>
                <w:color w:val="000000"/>
                <w:sz w:val="18"/>
                <w:szCs w:val="18"/>
              </w:rPr>
              <w:t>δ</w:t>
            </w:r>
            <w:r w:rsidRPr="00B56A98">
              <w:rPr>
                <w:rFonts w:cs="Arial"/>
                <w:b/>
                <w:bCs/>
                <w:color w:val="000000"/>
                <w:sz w:val="18"/>
                <w:szCs w:val="18"/>
              </w:rPr>
              <w:t xml:space="preserve">απάνη </w:t>
            </w:r>
            <w:r w:rsidR="00096202">
              <w:rPr>
                <w:rFonts w:cs="Arial"/>
                <w:b/>
                <w:bCs/>
                <w:color w:val="000000"/>
                <w:sz w:val="18"/>
                <w:szCs w:val="18"/>
              </w:rPr>
              <w:t>κ</w:t>
            </w:r>
            <w:r w:rsidRPr="00B56A98">
              <w:rPr>
                <w:rFonts w:cs="Arial"/>
                <w:b/>
                <w:bCs/>
                <w:color w:val="000000"/>
                <w:sz w:val="18"/>
                <w:szCs w:val="18"/>
              </w:rPr>
              <w:t xml:space="preserve">ρατικού </w:t>
            </w:r>
            <w:r w:rsidR="00096202">
              <w:rPr>
                <w:rFonts w:cs="Arial"/>
                <w:b/>
                <w:bCs/>
                <w:color w:val="000000"/>
                <w:sz w:val="18"/>
                <w:szCs w:val="18"/>
              </w:rPr>
              <w:t>π</w:t>
            </w:r>
            <w:r w:rsidRPr="00B56A98">
              <w:rPr>
                <w:rFonts w:cs="Arial"/>
                <w:b/>
                <w:bCs/>
                <w:color w:val="000000"/>
                <w:sz w:val="18"/>
                <w:szCs w:val="18"/>
              </w:rPr>
              <w:t>ροϋπολογισμού ανά Πρόγραμμα</w:t>
            </w:r>
          </w:p>
          <w:p w14:paraId="2C76C6AB" w14:textId="77777777" w:rsidR="006A492C" w:rsidRPr="00B56A98" w:rsidRDefault="006A492C" w:rsidP="00D52ADF">
            <w:pPr>
              <w:spacing w:after="0" w:line="240" w:lineRule="auto"/>
              <w:jc w:val="center"/>
              <w:rPr>
                <w:rFonts w:cs="Arial"/>
                <w:b/>
                <w:bCs/>
                <w:color w:val="000000"/>
                <w:sz w:val="18"/>
                <w:szCs w:val="18"/>
              </w:rPr>
            </w:pPr>
          </w:p>
        </w:tc>
      </w:tr>
      <w:tr w:rsidR="006A492C" w:rsidRPr="00B56A98" w14:paraId="7C0486DE" w14:textId="77777777" w:rsidTr="00D52ADF">
        <w:trPr>
          <w:trHeight w:val="585"/>
          <w:jc w:val="center"/>
        </w:trPr>
        <w:tc>
          <w:tcPr>
            <w:tcW w:w="3500" w:type="dxa"/>
            <w:shd w:val="clear" w:color="000000" w:fill="F2F2F2"/>
            <w:vAlign w:val="center"/>
            <w:hideMark/>
          </w:tcPr>
          <w:p w14:paraId="7F18B67D" w14:textId="77777777" w:rsidR="006A492C" w:rsidRPr="00B56A98" w:rsidRDefault="006A492C" w:rsidP="00D52ADF">
            <w:pPr>
              <w:spacing w:after="0" w:line="240" w:lineRule="auto"/>
              <w:jc w:val="center"/>
              <w:rPr>
                <w:rFonts w:cs="Arial"/>
                <w:b/>
                <w:bCs/>
                <w:color w:val="000000"/>
                <w:sz w:val="16"/>
                <w:szCs w:val="16"/>
              </w:rPr>
            </w:pPr>
            <w:r w:rsidRPr="00B56A98">
              <w:rPr>
                <w:rFonts w:cs="Arial"/>
                <w:b/>
                <w:bCs/>
                <w:color w:val="000000"/>
                <w:sz w:val="16"/>
                <w:szCs w:val="16"/>
              </w:rPr>
              <w:t>ΠΡΟΓΡΑΜΜΑ</w:t>
            </w:r>
          </w:p>
        </w:tc>
        <w:tc>
          <w:tcPr>
            <w:tcW w:w="3220" w:type="dxa"/>
            <w:shd w:val="clear" w:color="000000" w:fill="F2F2F2"/>
            <w:vAlign w:val="center"/>
            <w:hideMark/>
          </w:tcPr>
          <w:p w14:paraId="721DCB13" w14:textId="77777777" w:rsidR="006A492C" w:rsidRPr="00B56A98" w:rsidRDefault="006A492C" w:rsidP="00D52ADF">
            <w:pPr>
              <w:spacing w:after="0" w:line="240" w:lineRule="auto"/>
              <w:jc w:val="center"/>
              <w:rPr>
                <w:rFonts w:cs="Arial"/>
                <w:b/>
                <w:bCs/>
                <w:color w:val="000000"/>
                <w:sz w:val="16"/>
                <w:szCs w:val="16"/>
              </w:rPr>
            </w:pPr>
            <w:r w:rsidRPr="00B56A98">
              <w:rPr>
                <w:rFonts w:cs="Arial"/>
                <w:b/>
                <w:bCs/>
                <w:color w:val="000000"/>
                <w:sz w:val="16"/>
                <w:szCs w:val="16"/>
              </w:rPr>
              <w:t>Π/Υ ΔΑΠΑΝΗ ΑΝΑ ΠΡΟΓΡΑΜΜΑ</w:t>
            </w:r>
          </w:p>
        </w:tc>
      </w:tr>
      <w:tr w:rsidR="006A492C" w:rsidRPr="00B56A98" w14:paraId="73138740" w14:textId="77777777" w:rsidTr="00D52ADF">
        <w:trPr>
          <w:trHeight w:val="450"/>
          <w:jc w:val="center"/>
        </w:trPr>
        <w:tc>
          <w:tcPr>
            <w:tcW w:w="3500" w:type="dxa"/>
            <w:shd w:val="clear" w:color="auto" w:fill="auto"/>
            <w:vAlign w:val="center"/>
            <w:hideMark/>
          </w:tcPr>
          <w:p w14:paraId="54B6F34D" w14:textId="77777777" w:rsidR="006A492C" w:rsidRPr="00B56A98" w:rsidRDefault="006A492C" w:rsidP="00D52ADF">
            <w:pPr>
              <w:spacing w:after="0" w:line="240" w:lineRule="auto"/>
              <w:jc w:val="left"/>
              <w:rPr>
                <w:rFonts w:cs="Arial"/>
                <w:color w:val="000000"/>
                <w:sz w:val="16"/>
                <w:szCs w:val="16"/>
              </w:rPr>
            </w:pPr>
            <w:r w:rsidRPr="00B56A98">
              <w:rPr>
                <w:rFonts w:cs="Arial"/>
                <w:color w:val="000000"/>
                <w:sz w:val="16"/>
                <w:szCs w:val="16"/>
              </w:rPr>
              <w:t>ΔΙΟΙΚΗΤΙΚΗ ΚΑΙ ΕΠΙΤΕΛΙΚΗ ΥΠΟΣΤΗΡΙΞΗ ΤΗΣ ΠΡΟΕΔΡΙΑΣ ΤΗΣ ΔΗΜΟΚΡΑΤΙΑΣ</w:t>
            </w:r>
          </w:p>
        </w:tc>
        <w:tc>
          <w:tcPr>
            <w:tcW w:w="3220" w:type="dxa"/>
            <w:shd w:val="clear" w:color="auto" w:fill="auto"/>
            <w:vAlign w:val="center"/>
            <w:hideMark/>
          </w:tcPr>
          <w:p w14:paraId="09A0A62B" w14:textId="77777777" w:rsidR="006A492C" w:rsidRPr="00B56A98" w:rsidRDefault="006A492C" w:rsidP="00D52ADF">
            <w:pPr>
              <w:spacing w:after="0" w:line="240" w:lineRule="auto"/>
              <w:jc w:val="center"/>
              <w:rPr>
                <w:rFonts w:cs="Arial"/>
                <w:color w:val="000000"/>
                <w:sz w:val="16"/>
                <w:szCs w:val="16"/>
              </w:rPr>
            </w:pPr>
            <w:r w:rsidRPr="00B56A98">
              <w:rPr>
                <w:rFonts w:cs="Arial"/>
                <w:color w:val="000000"/>
                <w:sz w:val="16"/>
                <w:szCs w:val="16"/>
              </w:rPr>
              <w:t>4.951.000 €</w:t>
            </w:r>
          </w:p>
        </w:tc>
      </w:tr>
      <w:tr w:rsidR="006A492C" w:rsidRPr="00B56A98" w14:paraId="48482981" w14:textId="77777777" w:rsidTr="00D52ADF">
        <w:trPr>
          <w:trHeight w:val="255"/>
          <w:jc w:val="center"/>
        </w:trPr>
        <w:tc>
          <w:tcPr>
            <w:tcW w:w="3500" w:type="dxa"/>
            <w:shd w:val="clear" w:color="000000" w:fill="F2F2F2"/>
            <w:vAlign w:val="center"/>
            <w:hideMark/>
          </w:tcPr>
          <w:p w14:paraId="4F3894F7" w14:textId="77777777" w:rsidR="006A492C" w:rsidRPr="00B56A98" w:rsidRDefault="006A492C" w:rsidP="00D52ADF">
            <w:pPr>
              <w:spacing w:after="0" w:line="240" w:lineRule="auto"/>
              <w:jc w:val="right"/>
              <w:rPr>
                <w:rFonts w:cs="Arial"/>
                <w:b/>
                <w:bCs/>
                <w:color w:val="000000"/>
                <w:sz w:val="16"/>
                <w:szCs w:val="16"/>
              </w:rPr>
            </w:pPr>
            <w:r w:rsidRPr="00B56A98">
              <w:rPr>
                <w:rFonts w:cs="Arial"/>
                <w:b/>
                <w:bCs/>
                <w:color w:val="000000"/>
                <w:sz w:val="16"/>
                <w:szCs w:val="16"/>
              </w:rPr>
              <w:t>ΣΥΝΟΛΟ</w:t>
            </w:r>
          </w:p>
        </w:tc>
        <w:tc>
          <w:tcPr>
            <w:tcW w:w="3220" w:type="dxa"/>
            <w:shd w:val="clear" w:color="000000" w:fill="F2F2F2"/>
            <w:noWrap/>
            <w:vAlign w:val="center"/>
            <w:hideMark/>
          </w:tcPr>
          <w:p w14:paraId="48B7A52A" w14:textId="77777777" w:rsidR="006A492C" w:rsidRPr="00B56A98" w:rsidRDefault="006A492C" w:rsidP="00D52ADF">
            <w:pPr>
              <w:spacing w:after="0" w:line="240" w:lineRule="auto"/>
              <w:jc w:val="center"/>
              <w:rPr>
                <w:rFonts w:cs="Arial"/>
                <w:b/>
                <w:bCs/>
                <w:color w:val="000000"/>
                <w:sz w:val="16"/>
                <w:szCs w:val="16"/>
              </w:rPr>
            </w:pPr>
            <w:r w:rsidRPr="00B56A98">
              <w:rPr>
                <w:rFonts w:cs="Arial"/>
                <w:b/>
                <w:bCs/>
                <w:color w:val="000000"/>
                <w:sz w:val="16"/>
                <w:szCs w:val="16"/>
              </w:rPr>
              <w:t>4.951.000 €</w:t>
            </w:r>
          </w:p>
        </w:tc>
      </w:tr>
    </w:tbl>
    <w:p w14:paraId="25F7EC74" w14:textId="1BAF78D8" w:rsidR="006A492C" w:rsidRDefault="006A492C" w:rsidP="00D52ADF"/>
    <w:p w14:paraId="35BBC5AB" w14:textId="77777777" w:rsidR="00D52ADF" w:rsidRDefault="00D52ADF" w:rsidP="00D52ADF"/>
    <w:p w14:paraId="2944DB62" w14:textId="0A61F519" w:rsidR="00873FD2" w:rsidRDefault="00873FD2" w:rsidP="00D52ADF">
      <w:pPr>
        <w:rPr>
          <w:sz w:val="18"/>
          <w:szCs w:val="18"/>
        </w:rPr>
      </w:pPr>
    </w:p>
    <w:p w14:paraId="2B1405A8" w14:textId="6B0E03AC" w:rsidR="00873FD2" w:rsidRDefault="0078482F" w:rsidP="0078482F">
      <w:pPr>
        <w:spacing w:after="60" w:line="240" w:lineRule="auto"/>
        <w:rPr>
          <w:b/>
          <w:sz w:val="18"/>
          <w:szCs w:val="18"/>
        </w:rPr>
      </w:pPr>
      <w:bookmarkStart w:id="138" w:name="_Toc182931562"/>
      <w:r w:rsidRPr="0078482F">
        <w:rPr>
          <w:b/>
          <w:sz w:val="18"/>
          <w:szCs w:val="18"/>
        </w:rPr>
        <w:t>Διάγραμμα 2.</w:t>
      </w:r>
      <w:r w:rsidRPr="0078482F">
        <w:rPr>
          <w:b/>
          <w:sz w:val="18"/>
          <w:szCs w:val="18"/>
        </w:rPr>
        <w:fldChar w:fldCharType="begin"/>
      </w:r>
      <w:r w:rsidRPr="0078482F">
        <w:rPr>
          <w:b/>
          <w:sz w:val="18"/>
          <w:szCs w:val="18"/>
        </w:rPr>
        <w:instrText xml:space="preserve"> SEQ Διάγραμμα_2._ \* ARABIC </w:instrText>
      </w:r>
      <w:r w:rsidRPr="0078482F">
        <w:rPr>
          <w:b/>
          <w:sz w:val="18"/>
          <w:szCs w:val="18"/>
        </w:rPr>
        <w:fldChar w:fldCharType="separate"/>
      </w:r>
      <w:r w:rsidR="00E15678">
        <w:rPr>
          <w:b/>
          <w:noProof/>
          <w:sz w:val="18"/>
          <w:szCs w:val="18"/>
        </w:rPr>
        <w:t>1</w:t>
      </w:r>
      <w:r w:rsidRPr="0078482F">
        <w:rPr>
          <w:b/>
          <w:sz w:val="18"/>
          <w:szCs w:val="18"/>
        </w:rPr>
        <w:fldChar w:fldCharType="end"/>
      </w:r>
      <w:r>
        <w:rPr>
          <w:b/>
          <w:sz w:val="18"/>
          <w:szCs w:val="18"/>
        </w:rPr>
        <w:t>.</w:t>
      </w:r>
      <w:r w:rsidR="00873FD2" w:rsidRPr="0078482F">
        <w:rPr>
          <w:b/>
          <w:sz w:val="18"/>
          <w:szCs w:val="18"/>
        </w:rPr>
        <w:t xml:space="preserve">: Προϋπολογιζόμενη </w:t>
      </w:r>
      <w:r w:rsidR="00AD6C46">
        <w:rPr>
          <w:b/>
          <w:sz w:val="18"/>
          <w:szCs w:val="18"/>
        </w:rPr>
        <w:t>Δ</w:t>
      </w:r>
      <w:r w:rsidR="00873FD2" w:rsidRPr="0078482F">
        <w:rPr>
          <w:b/>
          <w:sz w:val="18"/>
          <w:szCs w:val="18"/>
        </w:rPr>
        <w:t xml:space="preserve">απάνη </w:t>
      </w:r>
      <w:r w:rsidR="006A492C">
        <w:rPr>
          <w:b/>
          <w:sz w:val="18"/>
          <w:szCs w:val="18"/>
        </w:rPr>
        <w:t>Γ</w:t>
      </w:r>
      <w:r w:rsidR="00873FD2" w:rsidRPr="0078482F">
        <w:rPr>
          <w:b/>
          <w:sz w:val="18"/>
          <w:szCs w:val="18"/>
        </w:rPr>
        <w:t xml:space="preserve">ενικής </w:t>
      </w:r>
      <w:r w:rsidR="006A492C">
        <w:rPr>
          <w:b/>
          <w:sz w:val="18"/>
          <w:szCs w:val="18"/>
        </w:rPr>
        <w:t>Κ</w:t>
      </w:r>
      <w:r w:rsidR="00873FD2" w:rsidRPr="0078482F">
        <w:rPr>
          <w:b/>
          <w:sz w:val="18"/>
          <w:szCs w:val="18"/>
        </w:rPr>
        <w:t>υβέρνησης ανά Πρόγραμμα</w:t>
      </w:r>
      <w:bookmarkEnd w:id="138"/>
    </w:p>
    <w:p w14:paraId="02995282" w14:textId="404645BA" w:rsidR="00096202" w:rsidRDefault="00096202" w:rsidP="0078482F">
      <w:pPr>
        <w:spacing w:after="60" w:line="240" w:lineRule="auto"/>
        <w:rPr>
          <w:b/>
          <w:sz w:val="18"/>
          <w:szCs w:val="18"/>
        </w:rPr>
      </w:pPr>
      <w:r>
        <w:rPr>
          <w:noProof/>
        </w:rPr>
        <w:drawing>
          <wp:inline distT="0" distB="0" distL="0" distR="0" wp14:anchorId="62EDD366" wp14:editId="35753461">
            <wp:extent cx="5295900" cy="3167063"/>
            <wp:effectExtent l="0" t="0" r="0" b="0"/>
            <wp:docPr id="9" name="Γράφημα 9">
              <a:extLst xmlns:a="http://schemas.openxmlformats.org/drawingml/2006/main">
                <a:ext uri="{FF2B5EF4-FFF2-40B4-BE49-F238E27FC236}">
                  <a16:creationId xmlns:a16="http://schemas.microsoft.com/office/drawing/2014/main" id="{1C6287DF-643D-4343-AEF0-D13208B04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7BD15E0" w14:textId="1BFCFE0E" w:rsidR="00096202" w:rsidRDefault="00096202" w:rsidP="00D52ADF"/>
    <w:p w14:paraId="61C3B478" w14:textId="006D69AF" w:rsidR="00A04686" w:rsidRDefault="00A04686" w:rsidP="00D52ADF"/>
    <w:p w14:paraId="007C0863" w14:textId="77777777" w:rsidR="00D52ADF" w:rsidRPr="00654D1A" w:rsidRDefault="00D52ADF" w:rsidP="00D52ADF"/>
    <w:p w14:paraId="3FAA53AE" w14:textId="7D6441BE" w:rsidR="00873FD2" w:rsidRPr="00FD49A6" w:rsidRDefault="00873FD2" w:rsidP="00A30240">
      <w:pPr>
        <w:pStyle w:val="afe"/>
        <w:keepNext/>
        <w:spacing w:after="60"/>
        <w:rPr>
          <w:sz w:val="18"/>
          <w:szCs w:val="18"/>
        </w:rPr>
      </w:pPr>
      <w:bookmarkStart w:id="139" w:name="_Toc182856373"/>
      <w:bookmarkStart w:id="140" w:name="_Toc214473821"/>
      <w:r w:rsidRPr="00FD49A6">
        <w:rPr>
          <w:sz w:val="18"/>
          <w:szCs w:val="18"/>
        </w:rPr>
        <w:t>Πίνακας 2.</w:t>
      </w:r>
      <w:r w:rsidRPr="00FD49A6">
        <w:rPr>
          <w:sz w:val="18"/>
          <w:szCs w:val="18"/>
        </w:rPr>
        <w:fldChar w:fldCharType="begin"/>
      </w:r>
      <w:r w:rsidRPr="00FD49A6">
        <w:rPr>
          <w:sz w:val="18"/>
          <w:szCs w:val="18"/>
        </w:rPr>
        <w:instrText xml:space="preserve"> SEQ Πίνακας_2. \* ARABIC </w:instrText>
      </w:r>
      <w:r w:rsidRPr="00FD49A6">
        <w:rPr>
          <w:sz w:val="18"/>
          <w:szCs w:val="18"/>
        </w:rPr>
        <w:fldChar w:fldCharType="separate"/>
      </w:r>
      <w:r w:rsidR="00E15678">
        <w:rPr>
          <w:noProof/>
          <w:sz w:val="18"/>
          <w:szCs w:val="18"/>
        </w:rPr>
        <w:t>3</w:t>
      </w:r>
      <w:r w:rsidRPr="00FD49A6">
        <w:rPr>
          <w:sz w:val="18"/>
          <w:szCs w:val="18"/>
        </w:rPr>
        <w:fldChar w:fldCharType="end"/>
      </w:r>
      <w:r w:rsidRPr="00FD49A6">
        <w:rPr>
          <w:sz w:val="18"/>
          <w:szCs w:val="18"/>
        </w:rPr>
        <w:t xml:space="preserve">.: Ανθρώπινοι </w:t>
      </w:r>
      <w:r w:rsidR="00411AF4">
        <w:rPr>
          <w:sz w:val="18"/>
          <w:szCs w:val="18"/>
        </w:rPr>
        <w:t>π</w:t>
      </w:r>
      <w:r w:rsidRPr="00FD49A6">
        <w:rPr>
          <w:sz w:val="18"/>
          <w:szCs w:val="18"/>
        </w:rPr>
        <w:t>όροι ανά Πρόγραμμα</w:t>
      </w:r>
      <w:bookmarkEnd w:id="139"/>
      <w:bookmarkEnd w:id="140"/>
    </w:p>
    <w:p w14:paraId="0459127B" w14:textId="77777777" w:rsidR="00873FD2" w:rsidRPr="00654D1A" w:rsidRDefault="00873FD2" w:rsidP="00873FD2"/>
    <w:tbl>
      <w:tblPr>
        <w:tblW w:w="3757" w:type="pct"/>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874"/>
        <w:gridCol w:w="2937"/>
      </w:tblGrid>
      <w:tr w:rsidR="00096202" w:rsidRPr="00B56A98" w14:paraId="66EE9775" w14:textId="77777777" w:rsidTr="00D52ADF">
        <w:trPr>
          <w:trHeight w:val="570"/>
          <w:jc w:val="center"/>
        </w:trPr>
        <w:tc>
          <w:tcPr>
            <w:tcW w:w="5000" w:type="pct"/>
            <w:gridSpan w:val="2"/>
            <w:shd w:val="clear" w:color="000000" w:fill="D5DCE4"/>
            <w:vAlign w:val="center"/>
            <w:hideMark/>
          </w:tcPr>
          <w:p w14:paraId="0A187289" w14:textId="0754553D" w:rsidR="00096202" w:rsidRPr="00B56A98" w:rsidRDefault="00096202" w:rsidP="00D52ADF">
            <w:pPr>
              <w:spacing w:after="0" w:line="240" w:lineRule="auto"/>
              <w:jc w:val="center"/>
              <w:rPr>
                <w:rFonts w:cs="Arial"/>
                <w:b/>
                <w:bCs/>
                <w:color w:val="000000"/>
                <w:sz w:val="18"/>
                <w:szCs w:val="18"/>
              </w:rPr>
            </w:pPr>
            <w:r w:rsidRPr="00B56A98">
              <w:rPr>
                <w:rFonts w:cs="Arial"/>
                <w:b/>
                <w:bCs/>
                <w:color w:val="000000"/>
                <w:sz w:val="18"/>
                <w:szCs w:val="18"/>
              </w:rPr>
              <w:t xml:space="preserve">Ανθρώπινοι </w:t>
            </w:r>
            <w:r w:rsidR="009E58F1">
              <w:rPr>
                <w:rFonts w:cs="Arial"/>
                <w:b/>
                <w:bCs/>
                <w:color w:val="000000"/>
                <w:sz w:val="18"/>
                <w:szCs w:val="18"/>
              </w:rPr>
              <w:t>π</w:t>
            </w:r>
            <w:r w:rsidRPr="00B56A98">
              <w:rPr>
                <w:rFonts w:cs="Arial"/>
                <w:b/>
                <w:bCs/>
                <w:color w:val="000000"/>
                <w:sz w:val="18"/>
                <w:szCs w:val="18"/>
              </w:rPr>
              <w:t xml:space="preserve">όροι ανά Πρόγραμμα </w:t>
            </w:r>
          </w:p>
        </w:tc>
      </w:tr>
      <w:tr w:rsidR="00096202" w:rsidRPr="00B56A98" w14:paraId="12030886" w14:textId="77777777" w:rsidTr="00D52ADF">
        <w:trPr>
          <w:trHeight w:val="255"/>
          <w:jc w:val="center"/>
        </w:trPr>
        <w:tc>
          <w:tcPr>
            <w:tcW w:w="2844" w:type="pct"/>
            <w:shd w:val="clear" w:color="000000" w:fill="F2F2F2"/>
            <w:vAlign w:val="center"/>
            <w:hideMark/>
          </w:tcPr>
          <w:p w14:paraId="6A354B5A" w14:textId="77777777" w:rsidR="00096202" w:rsidRPr="00B56A98" w:rsidRDefault="00096202" w:rsidP="00D52ADF">
            <w:pPr>
              <w:spacing w:after="0" w:line="240" w:lineRule="auto"/>
              <w:jc w:val="center"/>
              <w:rPr>
                <w:rFonts w:cs="Arial"/>
                <w:b/>
                <w:bCs/>
                <w:color w:val="000000"/>
                <w:sz w:val="16"/>
                <w:szCs w:val="16"/>
              </w:rPr>
            </w:pPr>
            <w:r w:rsidRPr="00B56A98">
              <w:rPr>
                <w:rFonts w:cs="Arial"/>
                <w:b/>
                <w:bCs/>
                <w:color w:val="000000"/>
                <w:sz w:val="16"/>
                <w:szCs w:val="16"/>
              </w:rPr>
              <w:t>ΠΡΟΓΡΑΜΜΑ</w:t>
            </w:r>
          </w:p>
        </w:tc>
        <w:tc>
          <w:tcPr>
            <w:tcW w:w="2156" w:type="pct"/>
            <w:shd w:val="clear" w:color="000000" w:fill="F2F2F2"/>
            <w:vAlign w:val="center"/>
            <w:hideMark/>
          </w:tcPr>
          <w:p w14:paraId="1998B276" w14:textId="77777777" w:rsidR="00096202" w:rsidRPr="00B56A98" w:rsidRDefault="00096202" w:rsidP="00D52ADF">
            <w:pPr>
              <w:spacing w:after="0" w:line="240" w:lineRule="auto"/>
              <w:jc w:val="center"/>
              <w:rPr>
                <w:rFonts w:cs="Arial"/>
                <w:b/>
                <w:bCs/>
                <w:color w:val="000000"/>
                <w:sz w:val="16"/>
                <w:szCs w:val="16"/>
              </w:rPr>
            </w:pPr>
            <w:r w:rsidRPr="00B56A98">
              <w:rPr>
                <w:rFonts w:cs="Arial"/>
                <w:b/>
                <w:bCs/>
                <w:color w:val="000000"/>
                <w:sz w:val="16"/>
                <w:szCs w:val="16"/>
              </w:rPr>
              <w:t>ΠΡΟΣΩΠΙΚΟ 2026</w:t>
            </w:r>
          </w:p>
        </w:tc>
      </w:tr>
      <w:tr w:rsidR="00096202" w:rsidRPr="00B56A98" w14:paraId="36353EFB" w14:textId="77777777" w:rsidTr="00D52ADF">
        <w:trPr>
          <w:trHeight w:val="450"/>
          <w:jc w:val="center"/>
        </w:trPr>
        <w:tc>
          <w:tcPr>
            <w:tcW w:w="2844" w:type="pct"/>
            <w:shd w:val="clear" w:color="auto" w:fill="auto"/>
            <w:vAlign w:val="center"/>
            <w:hideMark/>
          </w:tcPr>
          <w:p w14:paraId="196AC43D" w14:textId="77777777" w:rsidR="00096202" w:rsidRPr="00B56A98" w:rsidRDefault="00096202" w:rsidP="00D52ADF">
            <w:pPr>
              <w:spacing w:after="0" w:line="240" w:lineRule="auto"/>
              <w:jc w:val="left"/>
              <w:rPr>
                <w:rFonts w:cs="Arial"/>
                <w:color w:val="000000"/>
                <w:sz w:val="16"/>
                <w:szCs w:val="16"/>
              </w:rPr>
            </w:pPr>
            <w:r w:rsidRPr="00B56A98">
              <w:rPr>
                <w:rFonts w:cs="Arial"/>
                <w:color w:val="000000"/>
                <w:sz w:val="16"/>
                <w:szCs w:val="16"/>
              </w:rPr>
              <w:t>ΔΙΟΙΚΗΤΙΚΗ ΚΑΙ ΕΠΙΤΕΛΙΚΗ ΥΠΟΣΤΗΡΙΞΗ ΤΗΣ ΠΡΟΕΔΡΙΑΣ ΤΗΣ ΔΗΜΟΚΡΑΤΙΑΣ</w:t>
            </w:r>
          </w:p>
        </w:tc>
        <w:tc>
          <w:tcPr>
            <w:tcW w:w="2156" w:type="pct"/>
            <w:shd w:val="clear" w:color="auto" w:fill="auto"/>
            <w:noWrap/>
            <w:vAlign w:val="center"/>
            <w:hideMark/>
          </w:tcPr>
          <w:p w14:paraId="2FF71D8C" w14:textId="77777777" w:rsidR="00096202" w:rsidRPr="00B56A98" w:rsidRDefault="00096202" w:rsidP="00D52ADF">
            <w:pPr>
              <w:spacing w:after="0" w:line="240" w:lineRule="auto"/>
              <w:jc w:val="center"/>
              <w:rPr>
                <w:rFonts w:cs="Arial"/>
                <w:color w:val="000000"/>
                <w:sz w:val="16"/>
                <w:szCs w:val="16"/>
              </w:rPr>
            </w:pPr>
            <w:r w:rsidRPr="00B56A98">
              <w:rPr>
                <w:rFonts w:cs="Arial"/>
                <w:color w:val="000000"/>
                <w:sz w:val="16"/>
                <w:szCs w:val="16"/>
              </w:rPr>
              <w:t>144 άτομα</w:t>
            </w:r>
          </w:p>
        </w:tc>
      </w:tr>
      <w:tr w:rsidR="00096202" w:rsidRPr="00B56A98" w14:paraId="6CBC74F6" w14:textId="77777777" w:rsidTr="00D52ADF">
        <w:trPr>
          <w:trHeight w:val="255"/>
          <w:jc w:val="center"/>
        </w:trPr>
        <w:tc>
          <w:tcPr>
            <w:tcW w:w="2844" w:type="pct"/>
            <w:shd w:val="clear" w:color="000000" w:fill="F2F2F2"/>
            <w:vAlign w:val="center"/>
            <w:hideMark/>
          </w:tcPr>
          <w:p w14:paraId="33BDE2B9" w14:textId="77777777" w:rsidR="00096202" w:rsidRPr="00B56A98" w:rsidRDefault="00096202" w:rsidP="00D52ADF">
            <w:pPr>
              <w:spacing w:after="0" w:line="240" w:lineRule="auto"/>
              <w:jc w:val="right"/>
              <w:rPr>
                <w:rFonts w:cs="Arial"/>
                <w:b/>
                <w:bCs/>
                <w:color w:val="000000"/>
                <w:sz w:val="16"/>
                <w:szCs w:val="16"/>
              </w:rPr>
            </w:pPr>
            <w:r w:rsidRPr="00B56A98">
              <w:rPr>
                <w:rFonts w:cs="Arial"/>
                <w:b/>
                <w:bCs/>
                <w:color w:val="000000"/>
                <w:sz w:val="16"/>
                <w:szCs w:val="16"/>
              </w:rPr>
              <w:t>ΣΥΝΟΛΟ</w:t>
            </w:r>
          </w:p>
        </w:tc>
        <w:tc>
          <w:tcPr>
            <w:tcW w:w="2156" w:type="pct"/>
            <w:shd w:val="clear" w:color="000000" w:fill="F2F2F2"/>
            <w:noWrap/>
            <w:vAlign w:val="center"/>
            <w:hideMark/>
          </w:tcPr>
          <w:p w14:paraId="16AFAE3F" w14:textId="77777777" w:rsidR="00096202" w:rsidRPr="00B56A98" w:rsidRDefault="00096202" w:rsidP="00D52ADF">
            <w:pPr>
              <w:spacing w:after="0" w:line="240" w:lineRule="auto"/>
              <w:jc w:val="center"/>
              <w:rPr>
                <w:rFonts w:cs="Arial"/>
                <w:b/>
                <w:bCs/>
                <w:color w:val="000000"/>
                <w:sz w:val="16"/>
                <w:szCs w:val="16"/>
              </w:rPr>
            </w:pPr>
            <w:r w:rsidRPr="00B56A98">
              <w:rPr>
                <w:rFonts w:cs="Arial"/>
                <w:b/>
                <w:bCs/>
                <w:color w:val="000000"/>
                <w:sz w:val="16"/>
                <w:szCs w:val="16"/>
              </w:rPr>
              <w:t xml:space="preserve"> 144 άτομα</w:t>
            </w:r>
          </w:p>
        </w:tc>
      </w:tr>
    </w:tbl>
    <w:p w14:paraId="1B5B90D1" w14:textId="77777777" w:rsidR="002077DC" w:rsidRDefault="002077DC" w:rsidP="0049753F">
      <w:pPr>
        <w:rPr>
          <w:b/>
          <w:sz w:val="18"/>
          <w:szCs w:val="18"/>
        </w:rPr>
      </w:pPr>
    </w:p>
    <w:p w14:paraId="49401700" w14:textId="77777777" w:rsidR="00873FD2" w:rsidRDefault="00873FD2">
      <w:pPr>
        <w:spacing w:after="0" w:line="240" w:lineRule="auto"/>
        <w:jc w:val="left"/>
        <w:rPr>
          <w:rFonts w:cs="Arial"/>
          <w:b/>
          <w:color w:val="2F5496"/>
          <w:szCs w:val="20"/>
          <w:highlight w:val="yellow"/>
        </w:rPr>
      </w:pPr>
      <w:r>
        <w:rPr>
          <w:rFonts w:cs="Arial"/>
          <w:b/>
          <w:color w:val="2F5496"/>
          <w:szCs w:val="20"/>
          <w:highlight w:val="yellow"/>
        </w:rPr>
        <w:br w:type="page"/>
      </w:r>
    </w:p>
    <w:p w14:paraId="656C9652" w14:textId="5FDD562E" w:rsidR="000D3BF5" w:rsidRPr="00873FD2" w:rsidRDefault="00B948CD" w:rsidP="00B948CD">
      <w:pPr>
        <w:shd w:val="clear" w:color="auto" w:fill="D5DCE4"/>
        <w:rPr>
          <w:rFonts w:cs="Arial"/>
          <w:b/>
          <w:color w:val="2F5496"/>
          <w:szCs w:val="20"/>
        </w:rPr>
      </w:pPr>
      <w:r w:rsidRPr="00873FD2">
        <w:rPr>
          <w:rFonts w:cs="Arial"/>
          <w:b/>
          <w:color w:val="2F5496"/>
          <w:szCs w:val="20"/>
        </w:rPr>
        <w:lastRenderedPageBreak/>
        <w:t>Βουλή των Ελλήνων</w:t>
      </w:r>
    </w:p>
    <w:p w14:paraId="2FFF4F52" w14:textId="1736B4F6" w:rsidR="00873FD2" w:rsidRPr="00FD49A6" w:rsidRDefault="00873FD2" w:rsidP="00A30240">
      <w:pPr>
        <w:pStyle w:val="afe"/>
        <w:keepNext/>
        <w:spacing w:after="60"/>
        <w:rPr>
          <w:sz w:val="18"/>
          <w:szCs w:val="18"/>
        </w:rPr>
      </w:pPr>
      <w:bookmarkStart w:id="141" w:name="_Toc182856374"/>
      <w:bookmarkStart w:id="142" w:name="_Toc214473822"/>
      <w:r w:rsidRPr="00FD49A6">
        <w:rPr>
          <w:sz w:val="18"/>
          <w:szCs w:val="18"/>
        </w:rPr>
        <w:t>Πίνακας 2.</w:t>
      </w:r>
      <w:r w:rsidRPr="00FD49A6">
        <w:rPr>
          <w:sz w:val="18"/>
          <w:szCs w:val="18"/>
        </w:rPr>
        <w:fldChar w:fldCharType="begin"/>
      </w:r>
      <w:r w:rsidRPr="00FD49A6">
        <w:rPr>
          <w:sz w:val="18"/>
          <w:szCs w:val="18"/>
        </w:rPr>
        <w:instrText xml:space="preserve"> SEQ Πίνακας_2. \* ARABIC </w:instrText>
      </w:r>
      <w:r w:rsidRPr="00FD49A6">
        <w:rPr>
          <w:sz w:val="18"/>
          <w:szCs w:val="18"/>
        </w:rPr>
        <w:fldChar w:fldCharType="separate"/>
      </w:r>
      <w:r w:rsidR="00E15678">
        <w:rPr>
          <w:noProof/>
          <w:sz w:val="18"/>
          <w:szCs w:val="18"/>
        </w:rPr>
        <w:t>4</w:t>
      </w:r>
      <w:r w:rsidRPr="00FD49A6">
        <w:rPr>
          <w:sz w:val="18"/>
          <w:szCs w:val="18"/>
        </w:rPr>
        <w:fldChar w:fldCharType="end"/>
      </w:r>
      <w:r w:rsidRPr="00FD49A6">
        <w:rPr>
          <w:sz w:val="18"/>
          <w:szCs w:val="18"/>
        </w:rPr>
        <w:t xml:space="preserve">.: Προϋπολογιζόμενη </w:t>
      </w:r>
      <w:r w:rsidR="00411AF4">
        <w:rPr>
          <w:sz w:val="18"/>
          <w:szCs w:val="18"/>
        </w:rPr>
        <w:t>Δ</w:t>
      </w:r>
      <w:r w:rsidRPr="00FD49A6">
        <w:rPr>
          <w:sz w:val="18"/>
          <w:szCs w:val="18"/>
        </w:rPr>
        <w:t xml:space="preserve">απάνη </w:t>
      </w:r>
      <w:r w:rsidR="00411AF4">
        <w:rPr>
          <w:sz w:val="18"/>
          <w:szCs w:val="18"/>
        </w:rPr>
        <w:t>Κ</w:t>
      </w:r>
      <w:r w:rsidRPr="00FD49A6">
        <w:rPr>
          <w:sz w:val="18"/>
          <w:szCs w:val="18"/>
        </w:rPr>
        <w:t xml:space="preserve">ρατικού </w:t>
      </w:r>
      <w:r w:rsidR="00411AF4">
        <w:rPr>
          <w:sz w:val="18"/>
          <w:szCs w:val="18"/>
        </w:rPr>
        <w:t>Π</w:t>
      </w:r>
      <w:r w:rsidRPr="00FD49A6">
        <w:rPr>
          <w:sz w:val="18"/>
          <w:szCs w:val="18"/>
        </w:rPr>
        <w:t>ροϋπολογισμού ανά Πρόγραμμα</w:t>
      </w:r>
      <w:bookmarkEnd w:id="141"/>
      <w:bookmarkEnd w:id="142"/>
    </w:p>
    <w:p w14:paraId="7092BE20" w14:textId="77777777" w:rsidR="00873FD2" w:rsidRPr="00654D1A" w:rsidRDefault="00873FD2" w:rsidP="00873FD2"/>
    <w:tbl>
      <w:tblPr>
        <w:tblW w:w="6237"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261"/>
        <w:gridCol w:w="2976"/>
      </w:tblGrid>
      <w:tr w:rsidR="00D52ADF" w:rsidRPr="00F01C31" w14:paraId="6F36E344" w14:textId="77777777" w:rsidTr="008434A7">
        <w:trPr>
          <w:trHeight w:val="495"/>
          <w:jc w:val="center"/>
        </w:trPr>
        <w:tc>
          <w:tcPr>
            <w:tcW w:w="6237" w:type="dxa"/>
            <w:gridSpan w:val="2"/>
            <w:shd w:val="clear" w:color="000000" w:fill="D5DCE4"/>
            <w:vAlign w:val="center"/>
            <w:hideMark/>
          </w:tcPr>
          <w:p w14:paraId="6AAFA416" w14:textId="77777777" w:rsidR="00D52ADF" w:rsidRPr="00F01C31" w:rsidRDefault="00D52ADF" w:rsidP="00D52ADF">
            <w:pPr>
              <w:spacing w:after="0" w:line="240" w:lineRule="auto"/>
              <w:jc w:val="center"/>
              <w:rPr>
                <w:rFonts w:cs="Arial"/>
                <w:b/>
                <w:bCs/>
                <w:color w:val="000000"/>
                <w:sz w:val="18"/>
                <w:szCs w:val="18"/>
              </w:rPr>
            </w:pPr>
            <w:r w:rsidRPr="00F01C31">
              <w:rPr>
                <w:rFonts w:cs="Arial"/>
                <w:b/>
                <w:bCs/>
                <w:color w:val="000000"/>
                <w:sz w:val="18"/>
                <w:szCs w:val="18"/>
              </w:rPr>
              <w:t xml:space="preserve">Προϋπολογιζόμενη Δαπάνη Κρατικού Προϋπολογισμού ανά Πρόγραμμα </w:t>
            </w:r>
          </w:p>
        </w:tc>
      </w:tr>
      <w:tr w:rsidR="00D52ADF" w:rsidRPr="00F01C31" w14:paraId="09D864C4" w14:textId="77777777" w:rsidTr="008434A7">
        <w:trPr>
          <w:trHeight w:val="585"/>
          <w:jc w:val="center"/>
        </w:trPr>
        <w:tc>
          <w:tcPr>
            <w:tcW w:w="3261" w:type="dxa"/>
            <w:shd w:val="clear" w:color="000000" w:fill="F2F2F2"/>
            <w:vAlign w:val="center"/>
            <w:hideMark/>
          </w:tcPr>
          <w:p w14:paraId="27B98A89" w14:textId="77777777" w:rsidR="00D52ADF" w:rsidRPr="00F01C31" w:rsidRDefault="00D52ADF" w:rsidP="00D52ADF">
            <w:pPr>
              <w:spacing w:after="0" w:line="240" w:lineRule="auto"/>
              <w:jc w:val="center"/>
              <w:rPr>
                <w:rFonts w:cs="Arial"/>
                <w:b/>
                <w:bCs/>
                <w:color w:val="000000"/>
                <w:sz w:val="16"/>
                <w:szCs w:val="16"/>
              </w:rPr>
            </w:pPr>
            <w:r w:rsidRPr="00F01C31">
              <w:rPr>
                <w:rFonts w:cs="Arial"/>
                <w:b/>
                <w:bCs/>
                <w:color w:val="000000"/>
                <w:sz w:val="16"/>
                <w:szCs w:val="16"/>
              </w:rPr>
              <w:t>ΠΡΟΓΡΑΜΜΑ</w:t>
            </w:r>
          </w:p>
        </w:tc>
        <w:tc>
          <w:tcPr>
            <w:tcW w:w="2976" w:type="dxa"/>
            <w:shd w:val="clear" w:color="000000" w:fill="F2F2F2"/>
            <w:vAlign w:val="center"/>
            <w:hideMark/>
          </w:tcPr>
          <w:p w14:paraId="140473BA" w14:textId="77777777" w:rsidR="00D52ADF" w:rsidRPr="00F01C31" w:rsidRDefault="00D52ADF" w:rsidP="00D52ADF">
            <w:pPr>
              <w:spacing w:after="0" w:line="240" w:lineRule="auto"/>
              <w:jc w:val="center"/>
              <w:rPr>
                <w:rFonts w:cs="Arial"/>
                <w:b/>
                <w:bCs/>
                <w:color w:val="000000"/>
                <w:sz w:val="16"/>
                <w:szCs w:val="16"/>
              </w:rPr>
            </w:pPr>
            <w:r w:rsidRPr="00F01C31">
              <w:rPr>
                <w:rFonts w:cs="Arial"/>
                <w:b/>
                <w:bCs/>
                <w:color w:val="000000"/>
                <w:sz w:val="16"/>
                <w:szCs w:val="16"/>
              </w:rPr>
              <w:t>Π/Υ ΔΑΠΑΝΗ ΑΝΑ ΠΡΟΓΡΑΜΜΑ</w:t>
            </w:r>
          </w:p>
        </w:tc>
      </w:tr>
      <w:tr w:rsidR="00D52ADF" w:rsidRPr="00F01C31" w14:paraId="2D452AD5" w14:textId="77777777" w:rsidTr="008434A7">
        <w:trPr>
          <w:trHeight w:val="240"/>
          <w:jc w:val="center"/>
        </w:trPr>
        <w:tc>
          <w:tcPr>
            <w:tcW w:w="3261" w:type="dxa"/>
            <w:shd w:val="clear" w:color="auto" w:fill="auto"/>
            <w:vAlign w:val="center"/>
            <w:hideMark/>
          </w:tcPr>
          <w:p w14:paraId="4D9E5D8A" w14:textId="77777777" w:rsidR="00D52ADF" w:rsidRPr="00F01C31" w:rsidRDefault="00D52ADF" w:rsidP="00D52ADF">
            <w:pPr>
              <w:spacing w:after="0" w:line="240" w:lineRule="auto"/>
              <w:jc w:val="left"/>
              <w:rPr>
                <w:rFonts w:cs="Arial"/>
                <w:color w:val="000000"/>
                <w:sz w:val="16"/>
                <w:szCs w:val="16"/>
              </w:rPr>
            </w:pPr>
            <w:r w:rsidRPr="00F01C31">
              <w:rPr>
                <w:rFonts w:cs="Arial"/>
                <w:color w:val="000000"/>
                <w:sz w:val="16"/>
                <w:szCs w:val="16"/>
              </w:rPr>
              <w:t>ΚΟΙΝΟΒΟΥΛΕΥΤΙΚΟ ΕΡΓΟ</w:t>
            </w:r>
          </w:p>
        </w:tc>
        <w:tc>
          <w:tcPr>
            <w:tcW w:w="2976" w:type="dxa"/>
            <w:shd w:val="clear" w:color="auto" w:fill="auto"/>
            <w:vAlign w:val="center"/>
            <w:hideMark/>
          </w:tcPr>
          <w:p w14:paraId="4F7742A9" w14:textId="77777777" w:rsidR="00D52ADF" w:rsidRPr="00F01C31" w:rsidRDefault="00D52ADF" w:rsidP="00D52ADF">
            <w:pPr>
              <w:spacing w:after="0" w:line="240" w:lineRule="auto"/>
              <w:jc w:val="center"/>
              <w:rPr>
                <w:rFonts w:cs="Arial"/>
                <w:color w:val="000000"/>
                <w:sz w:val="16"/>
                <w:szCs w:val="16"/>
              </w:rPr>
            </w:pPr>
            <w:r w:rsidRPr="00F01C31">
              <w:rPr>
                <w:rFonts w:cs="Arial"/>
                <w:color w:val="000000"/>
                <w:sz w:val="16"/>
                <w:szCs w:val="16"/>
              </w:rPr>
              <w:t>186.900.000 €</w:t>
            </w:r>
          </w:p>
        </w:tc>
      </w:tr>
      <w:tr w:rsidR="00D52ADF" w:rsidRPr="00F01C31" w14:paraId="03F0E982" w14:textId="77777777" w:rsidTr="008434A7">
        <w:trPr>
          <w:trHeight w:val="255"/>
          <w:jc w:val="center"/>
        </w:trPr>
        <w:tc>
          <w:tcPr>
            <w:tcW w:w="3261" w:type="dxa"/>
            <w:shd w:val="clear" w:color="000000" w:fill="F2F2F2"/>
            <w:vAlign w:val="center"/>
            <w:hideMark/>
          </w:tcPr>
          <w:p w14:paraId="5188F443" w14:textId="77777777" w:rsidR="00D52ADF" w:rsidRPr="00F01C31" w:rsidRDefault="00D52ADF" w:rsidP="00D52ADF">
            <w:pPr>
              <w:spacing w:after="0" w:line="240" w:lineRule="auto"/>
              <w:jc w:val="right"/>
              <w:rPr>
                <w:rFonts w:cs="Arial"/>
                <w:b/>
                <w:bCs/>
                <w:color w:val="000000"/>
                <w:sz w:val="16"/>
                <w:szCs w:val="16"/>
              </w:rPr>
            </w:pPr>
            <w:r w:rsidRPr="00F01C31">
              <w:rPr>
                <w:rFonts w:cs="Arial"/>
                <w:b/>
                <w:bCs/>
                <w:color w:val="000000"/>
                <w:sz w:val="16"/>
                <w:szCs w:val="16"/>
              </w:rPr>
              <w:t>ΣΥΝΟΛΟ</w:t>
            </w:r>
          </w:p>
        </w:tc>
        <w:tc>
          <w:tcPr>
            <w:tcW w:w="2976" w:type="dxa"/>
            <w:shd w:val="clear" w:color="000000" w:fill="F2F2F2"/>
            <w:noWrap/>
            <w:vAlign w:val="center"/>
            <w:hideMark/>
          </w:tcPr>
          <w:p w14:paraId="0E0F81BD" w14:textId="77777777" w:rsidR="00D52ADF" w:rsidRPr="00F01C31" w:rsidRDefault="00D52ADF" w:rsidP="00D52ADF">
            <w:pPr>
              <w:spacing w:after="0" w:line="240" w:lineRule="auto"/>
              <w:jc w:val="center"/>
              <w:rPr>
                <w:rFonts w:cs="Arial"/>
                <w:b/>
                <w:bCs/>
                <w:color w:val="000000"/>
                <w:sz w:val="16"/>
                <w:szCs w:val="16"/>
              </w:rPr>
            </w:pPr>
            <w:r w:rsidRPr="00F01C31">
              <w:rPr>
                <w:rFonts w:cs="Arial"/>
                <w:b/>
                <w:bCs/>
                <w:color w:val="000000"/>
                <w:sz w:val="16"/>
                <w:szCs w:val="16"/>
              </w:rPr>
              <w:t>186.900.000 €</w:t>
            </w:r>
          </w:p>
        </w:tc>
      </w:tr>
    </w:tbl>
    <w:p w14:paraId="5D148DEE" w14:textId="77777777" w:rsidR="00873FD2" w:rsidRPr="009577A8" w:rsidRDefault="00873FD2" w:rsidP="008434A7"/>
    <w:p w14:paraId="221DE8EF" w14:textId="2A96FFC9" w:rsidR="00873FD2" w:rsidRPr="0078482F" w:rsidRDefault="0078482F" w:rsidP="0078482F">
      <w:pPr>
        <w:spacing w:after="60" w:line="240" w:lineRule="auto"/>
        <w:rPr>
          <w:b/>
          <w:sz w:val="18"/>
          <w:szCs w:val="18"/>
        </w:rPr>
      </w:pPr>
      <w:bookmarkStart w:id="143" w:name="_Toc182931563"/>
      <w:r w:rsidRPr="0078482F">
        <w:rPr>
          <w:b/>
          <w:sz w:val="18"/>
          <w:szCs w:val="18"/>
        </w:rPr>
        <w:t>Διάγραμμα 2.</w:t>
      </w:r>
      <w:r w:rsidRPr="0078482F">
        <w:rPr>
          <w:b/>
          <w:sz w:val="18"/>
          <w:szCs w:val="18"/>
        </w:rPr>
        <w:fldChar w:fldCharType="begin"/>
      </w:r>
      <w:r w:rsidRPr="0078482F">
        <w:rPr>
          <w:b/>
          <w:sz w:val="18"/>
          <w:szCs w:val="18"/>
        </w:rPr>
        <w:instrText xml:space="preserve"> SEQ Διάγραμμα_2._ \* ARABIC </w:instrText>
      </w:r>
      <w:r w:rsidRPr="0078482F">
        <w:rPr>
          <w:b/>
          <w:sz w:val="18"/>
          <w:szCs w:val="18"/>
        </w:rPr>
        <w:fldChar w:fldCharType="separate"/>
      </w:r>
      <w:r w:rsidR="00E15678">
        <w:rPr>
          <w:b/>
          <w:noProof/>
          <w:sz w:val="18"/>
          <w:szCs w:val="18"/>
        </w:rPr>
        <w:t>2</w:t>
      </w:r>
      <w:r w:rsidRPr="0078482F">
        <w:rPr>
          <w:b/>
          <w:sz w:val="18"/>
          <w:szCs w:val="18"/>
        </w:rPr>
        <w:fldChar w:fldCharType="end"/>
      </w:r>
      <w:r w:rsidRPr="0078482F">
        <w:rPr>
          <w:b/>
          <w:sz w:val="18"/>
          <w:szCs w:val="18"/>
        </w:rPr>
        <w:t>.</w:t>
      </w:r>
      <w:r w:rsidR="00873FD2" w:rsidRPr="0078482F">
        <w:rPr>
          <w:b/>
          <w:sz w:val="18"/>
          <w:szCs w:val="18"/>
        </w:rPr>
        <w:t xml:space="preserve">: Προϋπολογιζόμενη </w:t>
      </w:r>
      <w:r w:rsidR="00411AF4">
        <w:rPr>
          <w:b/>
          <w:sz w:val="18"/>
          <w:szCs w:val="18"/>
        </w:rPr>
        <w:t>Δ</w:t>
      </w:r>
      <w:r w:rsidR="00873FD2" w:rsidRPr="0078482F">
        <w:rPr>
          <w:b/>
          <w:sz w:val="18"/>
          <w:szCs w:val="18"/>
        </w:rPr>
        <w:t>απάνη Γενικής Κυβέρνησης ανά Πρόγραμμα</w:t>
      </w:r>
      <w:bookmarkEnd w:id="143"/>
    </w:p>
    <w:p w14:paraId="707DD417" w14:textId="77777777" w:rsidR="00873FD2" w:rsidRPr="000E5582" w:rsidRDefault="00873FD2" w:rsidP="00873FD2"/>
    <w:p w14:paraId="263E6A32" w14:textId="64598E77" w:rsidR="00873FD2" w:rsidRDefault="008434A7" w:rsidP="008434A7">
      <w:pPr>
        <w:spacing w:after="0" w:line="240" w:lineRule="auto"/>
        <w:jc w:val="center"/>
        <w:rPr>
          <w:sz w:val="18"/>
          <w:szCs w:val="18"/>
        </w:rPr>
      </w:pPr>
      <w:r w:rsidRPr="008434A7">
        <w:rPr>
          <w:noProof/>
          <w:sz w:val="16"/>
        </w:rPr>
        <w:drawing>
          <wp:inline distT="0" distB="0" distL="0" distR="0" wp14:anchorId="5ABB66DC" wp14:editId="649B74E3">
            <wp:extent cx="5572125" cy="3138487"/>
            <wp:effectExtent l="0" t="0" r="0" b="5080"/>
            <wp:docPr id="2" name="Γράφημα 2">
              <a:extLst xmlns:a="http://schemas.openxmlformats.org/drawingml/2006/main">
                <a:ext uri="{FF2B5EF4-FFF2-40B4-BE49-F238E27FC236}">
                  <a16:creationId xmlns:a16="http://schemas.microsoft.com/office/drawing/2014/main" id="{42899EE5-6967-4701-9680-A1FA00CF55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7CD31C" w14:textId="77777777" w:rsidR="00873FD2" w:rsidRDefault="00873FD2" w:rsidP="00873FD2">
      <w:pPr>
        <w:spacing w:after="0" w:line="240" w:lineRule="auto"/>
        <w:rPr>
          <w:sz w:val="18"/>
          <w:szCs w:val="18"/>
        </w:rPr>
      </w:pPr>
    </w:p>
    <w:p w14:paraId="26BBB5EF" w14:textId="77777777" w:rsidR="00873FD2" w:rsidRDefault="00873FD2" w:rsidP="00873FD2">
      <w:pPr>
        <w:spacing w:after="0" w:line="240" w:lineRule="auto"/>
        <w:rPr>
          <w:sz w:val="18"/>
          <w:szCs w:val="18"/>
        </w:rPr>
      </w:pPr>
    </w:p>
    <w:p w14:paraId="6BCB4A90" w14:textId="77777777" w:rsidR="00873FD2" w:rsidRDefault="00873FD2" w:rsidP="00873FD2">
      <w:pPr>
        <w:spacing w:after="0" w:line="240" w:lineRule="auto"/>
        <w:rPr>
          <w:sz w:val="18"/>
          <w:szCs w:val="18"/>
        </w:rPr>
      </w:pPr>
    </w:p>
    <w:p w14:paraId="70F87889" w14:textId="77777777" w:rsidR="00873FD2" w:rsidRDefault="00873FD2" w:rsidP="00873FD2">
      <w:pPr>
        <w:spacing w:after="0" w:line="240" w:lineRule="auto"/>
        <w:rPr>
          <w:sz w:val="18"/>
          <w:szCs w:val="18"/>
        </w:rPr>
      </w:pPr>
    </w:p>
    <w:p w14:paraId="07351449" w14:textId="00A33DE4" w:rsidR="00873FD2" w:rsidRDefault="00873FD2" w:rsidP="00873FD2">
      <w:pPr>
        <w:spacing w:after="0" w:line="240" w:lineRule="auto"/>
        <w:rPr>
          <w:sz w:val="18"/>
          <w:szCs w:val="18"/>
        </w:rPr>
      </w:pPr>
    </w:p>
    <w:p w14:paraId="1189F16E" w14:textId="73FFB2C5" w:rsidR="00A04686" w:rsidRDefault="00A04686" w:rsidP="00873FD2">
      <w:pPr>
        <w:spacing w:after="0" w:line="240" w:lineRule="auto"/>
        <w:rPr>
          <w:sz w:val="18"/>
          <w:szCs w:val="18"/>
        </w:rPr>
      </w:pPr>
    </w:p>
    <w:p w14:paraId="337A228C" w14:textId="078D6580" w:rsidR="00A04686" w:rsidRDefault="00A04686" w:rsidP="00873FD2">
      <w:pPr>
        <w:spacing w:after="0" w:line="240" w:lineRule="auto"/>
        <w:rPr>
          <w:sz w:val="18"/>
          <w:szCs w:val="18"/>
        </w:rPr>
      </w:pPr>
    </w:p>
    <w:p w14:paraId="1A57F962" w14:textId="1C518A9A" w:rsidR="00873FD2" w:rsidRPr="00FD49A6" w:rsidRDefault="00873FD2" w:rsidP="00A30240">
      <w:pPr>
        <w:pStyle w:val="afe"/>
        <w:keepNext/>
        <w:spacing w:after="60"/>
        <w:rPr>
          <w:sz w:val="18"/>
          <w:szCs w:val="18"/>
        </w:rPr>
      </w:pPr>
      <w:bookmarkStart w:id="144" w:name="_Toc182856375"/>
      <w:bookmarkStart w:id="145" w:name="_Toc214473823"/>
      <w:r w:rsidRPr="00FD49A6">
        <w:rPr>
          <w:sz w:val="18"/>
          <w:szCs w:val="18"/>
        </w:rPr>
        <w:t>Πίνακας 2.</w:t>
      </w:r>
      <w:r w:rsidRPr="00FD49A6">
        <w:rPr>
          <w:sz w:val="18"/>
          <w:szCs w:val="18"/>
        </w:rPr>
        <w:fldChar w:fldCharType="begin"/>
      </w:r>
      <w:r w:rsidRPr="00FD49A6">
        <w:rPr>
          <w:sz w:val="18"/>
          <w:szCs w:val="18"/>
        </w:rPr>
        <w:instrText xml:space="preserve"> SEQ Πίνακας_2. \* ARABIC </w:instrText>
      </w:r>
      <w:r w:rsidRPr="00FD49A6">
        <w:rPr>
          <w:sz w:val="18"/>
          <w:szCs w:val="18"/>
        </w:rPr>
        <w:fldChar w:fldCharType="separate"/>
      </w:r>
      <w:r w:rsidR="00E15678">
        <w:rPr>
          <w:noProof/>
          <w:sz w:val="18"/>
          <w:szCs w:val="18"/>
        </w:rPr>
        <w:t>5</w:t>
      </w:r>
      <w:r w:rsidRPr="00FD49A6">
        <w:rPr>
          <w:sz w:val="18"/>
          <w:szCs w:val="18"/>
        </w:rPr>
        <w:fldChar w:fldCharType="end"/>
      </w:r>
      <w:r w:rsidRPr="00FD49A6">
        <w:rPr>
          <w:sz w:val="18"/>
          <w:szCs w:val="18"/>
        </w:rPr>
        <w:t xml:space="preserve">.: Ανθρώπινοι </w:t>
      </w:r>
      <w:r w:rsidR="00411AF4">
        <w:rPr>
          <w:sz w:val="18"/>
          <w:szCs w:val="18"/>
        </w:rPr>
        <w:t>π</w:t>
      </w:r>
      <w:r w:rsidRPr="00FD49A6">
        <w:rPr>
          <w:sz w:val="18"/>
          <w:szCs w:val="18"/>
        </w:rPr>
        <w:t>όροι ανά Πρόγραμμα</w:t>
      </w:r>
      <w:bookmarkEnd w:id="144"/>
      <w:bookmarkEnd w:id="145"/>
    </w:p>
    <w:p w14:paraId="3C06D54E" w14:textId="77777777" w:rsidR="00873FD2" w:rsidRPr="00654D1A" w:rsidRDefault="00873FD2" w:rsidP="00873FD2"/>
    <w:tbl>
      <w:tblPr>
        <w:tblW w:w="6237"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261"/>
        <w:gridCol w:w="2976"/>
      </w:tblGrid>
      <w:tr w:rsidR="008434A7" w:rsidRPr="00F01C31" w14:paraId="42704349" w14:textId="77777777" w:rsidTr="008434A7">
        <w:trPr>
          <w:trHeight w:val="570"/>
          <w:jc w:val="center"/>
        </w:trPr>
        <w:tc>
          <w:tcPr>
            <w:tcW w:w="6237" w:type="dxa"/>
            <w:gridSpan w:val="2"/>
            <w:shd w:val="clear" w:color="000000" w:fill="D5DCE4"/>
            <w:vAlign w:val="center"/>
            <w:hideMark/>
          </w:tcPr>
          <w:p w14:paraId="3739E0C2" w14:textId="1DB9E51D" w:rsidR="008434A7" w:rsidRPr="00F01C31" w:rsidRDefault="008434A7" w:rsidP="00A4063C">
            <w:pPr>
              <w:spacing w:after="0" w:line="240" w:lineRule="auto"/>
              <w:jc w:val="center"/>
              <w:rPr>
                <w:rFonts w:cs="Arial"/>
                <w:b/>
                <w:bCs/>
                <w:color w:val="000000"/>
                <w:sz w:val="18"/>
                <w:szCs w:val="18"/>
              </w:rPr>
            </w:pPr>
            <w:r w:rsidRPr="00F01C31">
              <w:rPr>
                <w:rFonts w:cs="Arial"/>
                <w:b/>
                <w:bCs/>
                <w:color w:val="000000"/>
                <w:sz w:val="18"/>
                <w:szCs w:val="18"/>
              </w:rPr>
              <w:t xml:space="preserve">Ανθρώπινοι </w:t>
            </w:r>
            <w:r w:rsidR="009E58F1">
              <w:rPr>
                <w:rFonts w:cs="Arial"/>
                <w:b/>
                <w:bCs/>
                <w:color w:val="000000"/>
                <w:sz w:val="18"/>
                <w:szCs w:val="18"/>
              </w:rPr>
              <w:t>π</w:t>
            </w:r>
            <w:r w:rsidRPr="00F01C31">
              <w:rPr>
                <w:rFonts w:cs="Arial"/>
                <w:b/>
                <w:bCs/>
                <w:color w:val="000000"/>
                <w:sz w:val="18"/>
                <w:szCs w:val="18"/>
              </w:rPr>
              <w:t>όροι ανά Πρόγραμμα</w:t>
            </w:r>
          </w:p>
        </w:tc>
      </w:tr>
      <w:tr w:rsidR="008434A7" w:rsidRPr="00F01C31" w14:paraId="7A7875B1" w14:textId="77777777" w:rsidTr="008434A7">
        <w:trPr>
          <w:trHeight w:val="255"/>
          <w:jc w:val="center"/>
        </w:trPr>
        <w:tc>
          <w:tcPr>
            <w:tcW w:w="3261" w:type="dxa"/>
            <w:shd w:val="clear" w:color="000000" w:fill="F2F2F2"/>
            <w:vAlign w:val="center"/>
            <w:hideMark/>
          </w:tcPr>
          <w:p w14:paraId="67D230B7" w14:textId="77777777" w:rsidR="008434A7" w:rsidRPr="00F01C31" w:rsidRDefault="008434A7" w:rsidP="00A4063C">
            <w:pPr>
              <w:spacing w:after="0" w:line="240" w:lineRule="auto"/>
              <w:jc w:val="center"/>
              <w:rPr>
                <w:rFonts w:cs="Arial"/>
                <w:b/>
                <w:bCs/>
                <w:color w:val="000000"/>
                <w:sz w:val="16"/>
                <w:szCs w:val="16"/>
              </w:rPr>
            </w:pPr>
            <w:r w:rsidRPr="00F01C31">
              <w:rPr>
                <w:rFonts w:cs="Arial"/>
                <w:b/>
                <w:bCs/>
                <w:color w:val="000000"/>
                <w:sz w:val="16"/>
                <w:szCs w:val="16"/>
              </w:rPr>
              <w:t>ΠΡΟΓΡΑΜΜΑ</w:t>
            </w:r>
          </w:p>
        </w:tc>
        <w:tc>
          <w:tcPr>
            <w:tcW w:w="2976" w:type="dxa"/>
            <w:shd w:val="clear" w:color="000000" w:fill="F2F2F2"/>
            <w:vAlign w:val="center"/>
            <w:hideMark/>
          </w:tcPr>
          <w:p w14:paraId="05A3DD96" w14:textId="77777777" w:rsidR="008434A7" w:rsidRPr="00F01C31" w:rsidRDefault="008434A7" w:rsidP="00A4063C">
            <w:pPr>
              <w:spacing w:after="0" w:line="240" w:lineRule="auto"/>
              <w:jc w:val="center"/>
              <w:rPr>
                <w:rFonts w:cs="Arial"/>
                <w:b/>
                <w:bCs/>
                <w:color w:val="000000"/>
                <w:sz w:val="16"/>
                <w:szCs w:val="16"/>
              </w:rPr>
            </w:pPr>
            <w:r w:rsidRPr="00F01C31">
              <w:rPr>
                <w:rFonts w:cs="Arial"/>
                <w:b/>
                <w:bCs/>
                <w:color w:val="000000"/>
                <w:sz w:val="16"/>
                <w:szCs w:val="16"/>
              </w:rPr>
              <w:t>ΠΡΟΣΩΠΙΚΟ 2026</w:t>
            </w:r>
          </w:p>
        </w:tc>
      </w:tr>
      <w:tr w:rsidR="008434A7" w:rsidRPr="00F01C31" w14:paraId="4DD2DAF1" w14:textId="77777777" w:rsidTr="008434A7">
        <w:trPr>
          <w:trHeight w:val="371"/>
          <w:jc w:val="center"/>
        </w:trPr>
        <w:tc>
          <w:tcPr>
            <w:tcW w:w="3261" w:type="dxa"/>
            <w:shd w:val="clear" w:color="auto" w:fill="auto"/>
            <w:vAlign w:val="center"/>
            <w:hideMark/>
          </w:tcPr>
          <w:p w14:paraId="7A47FBF6" w14:textId="77777777" w:rsidR="008434A7" w:rsidRPr="00F01C31" w:rsidRDefault="008434A7" w:rsidP="00A4063C">
            <w:pPr>
              <w:spacing w:after="0" w:line="240" w:lineRule="auto"/>
              <w:jc w:val="left"/>
              <w:rPr>
                <w:rFonts w:cs="Arial"/>
                <w:color w:val="000000"/>
                <w:sz w:val="16"/>
                <w:szCs w:val="16"/>
              </w:rPr>
            </w:pPr>
            <w:r w:rsidRPr="00F01C31">
              <w:rPr>
                <w:rFonts w:cs="Arial"/>
                <w:color w:val="000000"/>
                <w:sz w:val="16"/>
                <w:szCs w:val="16"/>
              </w:rPr>
              <w:t>ΚΟΙΝΟΒΟΥΛΕΥΤΙΚΟ ΕΡΓΟ</w:t>
            </w:r>
          </w:p>
        </w:tc>
        <w:tc>
          <w:tcPr>
            <w:tcW w:w="2976" w:type="dxa"/>
            <w:shd w:val="clear" w:color="auto" w:fill="auto"/>
            <w:noWrap/>
            <w:vAlign w:val="center"/>
            <w:hideMark/>
          </w:tcPr>
          <w:p w14:paraId="369A0587" w14:textId="77777777" w:rsidR="008434A7" w:rsidRPr="00F01C31" w:rsidRDefault="008434A7" w:rsidP="00A4063C">
            <w:pPr>
              <w:spacing w:after="0" w:line="240" w:lineRule="auto"/>
              <w:jc w:val="center"/>
              <w:rPr>
                <w:rFonts w:cs="Arial"/>
                <w:color w:val="000000"/>
                <w:sz w:val="16"/>
                <w:szCs w:val="16"/>
              </w:rPr>
            </w:pPr>
            <w:r w:rsidRPr="00F01C31">
              <w:rPr>
                <w:rFonts w:cs="Arial"/>
                <w:color w:val="000000"/>
                <w:sz w:val="16"/>
                <w:szCs w:val="16"/>
              </w:rPr>
              <w:t>3.321 άτομα</w:t>
            </w:r>
          </w:p>
        </w:tc>
      </w:tr>
      <w:tr w:rsidR="008434A7" w:rsidRPr="00F01C31" w14:paraId="4EA48B69" w14:textId="77777777" w:rsidTr="008434A7">
        <w:trPr>
          <w:trHeight w:val="255"/>
          <w:jc w:val="center"/>
        </w:trPr>
        <w:tc>
          <w:tcPr>
            <w:tcW w:w="3261" w:type="dxa"/>
            <w:shd w:val="clear" w:color="000000" w:fill="F2F2F2"/>
            <w:vAlign w:val="center"/>
            <w:hideMark/>
          </w:tcPr>
          <w:p w14:paraId="2D2633A8" w14:textId="77777777" w:rsidR="008434A7" w:rsidRPr="00F01C31" w:rsidRDefault="008434A7" w:rsidP="00A4063C">
            <w:pPr>
              <w:spacing w:after="0" w:line="240" w:lineRule="auto"/>
              <w:jc w:val="right"/>
              <w:rPr>
                <w:rFonts w:cs="Arial"/>
                <w:b/>
                <w:bCs/>
                <w:color w:val="000000"/>
                <w:sz w:val="16"/>
                <w:szCs w:val="16"/>
              </w:rPr>
            </w:pPr>
            <w:r w:rsidRPr="00F01C31">
              <w:rPr>
                <w:rFonts w:cs="Arial"/>
                <w:b/>
                <w:bCs/>
                <w:color w:val="000000"/>
                <w:sz w:val="16"/>
                <w:szCs w:val="16"/>
              </w:rPr>
              <w:t>ΣΥΝΟΛΟ</w:t>
            </w:r>
          </w:p>
        </w:tc>
        <w:tc>
          <w:tcPr>
            <w:tcW w:w="2976" w:type="dxa"/>
            <w:shd w:val="clear" w:color="000000" w:fill="F2F2F2"/>
            <w:noWrap/>
            <w:vAlign w:val="center"/>
            <w:hideMark/>
          </w:tcPr>
          <w:p w14:paraId="2D988149" w14:textId="77777777" w:rsidR="008434A7" w:rsidRPr="00F01C31" w:rsidRDefault="008434A7" w:rsidP="00A4063C">
            <w:pPr>
              <w:spacing w:after="0" w:line="240" w:lineRule="auto"/>
              <w:jc w:val="center"/>
              <w:rPr>
                <w:rFonts w:cs="Arial"/>
                <w:b/>
                <w:bCs/>
                <w:color w:val="000000"/>
                <w:sz w:val="16"/>
                <w:szCs w:val="16"/>
              </w:rPr>
            </w:pPr>
            <w:r w:rsidRPr="00F01C31">
              <w:rPr>
                <w:rFonts w:cs="Arial"/>
                <w:b/>
                <w:bCs/>
                <w:color w:val="000000"/>
                <w:sz w:val="16"/>
                <w:szCs w:val="16"/>
              </w:rPr>
              <w:t>3.321 άτομα</w:t>
            </w:r>
          </w:p>
        </w:tc>
      </w:tr>
    </w:tbl>
    <w:p w14:paraId="618C70C9" w14:textId="63CFB5F8" w:rsidR="003C562E" w:rsidRDefault="003C562E" w:rsidP="0049753F">
      <w:pPr>
        <w:rPr>
          <w:b/>
          <w:sz w:val="18"/>
          <w:szCs w:val="18"/>
        </w:rPr>
      </w:pPr>
    </w:p>
    <w:p w14:paraId="406415C5" w14:textId="77777777" w:rsidR="00873FD2" w:rsidRDefault="00873FD2">
      <w:pPr>
        <w:spacing w:after="0" w:line="240" w:lineRule="auto"/>
        <w:jc w:val="left"/>
        <w:rPr>
          <w:rFonts w:cs="Arial"/>
          <w:b/>
          <w:color w:val="2F5496"/>
          <w:szCs w:val="20"/>
          <w:highlight w:val="yellow"/>
        </w:rPr>
      </w:pPr>
      <w:r>
        <w:rPr>
          <w:rFonts w:cs="Arial"/>
          <w:b/>
          <w:color w:val="2F5496"/>
          <w:szCs w:val="20"/>
          <w:highlight w:val="yellow"/>
        </w:rPr>
        <w:br w:type="page"/>
      </w:r>
    </w:p>
    <w:p w14:paraId="57A27482" w14:textId="4F3BB38D" w:rsidR="000D3BF5" w:rsidRPr="00C16F32" w:rsidRDefault="00B948CD" w:rsidP="00B948CD">
      <w:pPr>
        <w:shd w:val="clear" w:color="auto" w:fill="D5DCE4"/>
        <w:rPr>
          <w:rFonts w:cs="Arial"/>
          <w:b/>
          <w:color w:val="2F5496"/>
          <w:szCs w:val="20"/>
        </w:rPr>
      </w:pPr>
      <w:r w:rsidRPr="00C16F32">
        <w:rPr>
          <w:rFonts w:cs="Arial"/>
          <w:b/>
          <w:color w:val="2F5496"/>
          <w:szCs w:val="20"/>
        </w:rPr>
        <w:lastRenderedPageBreak/>
        <w:t>Προεδρία της Κυβέρνησης</w:t>
      </w:r>
    </w:p>
    <w:p w14:paraId="0993206D" w14:textId="059D6674" w:rsidR="00C16F32" w:rsidRPr="0078482F" w:rsidRDefault="0078482F" w:rsidP="0078482F">
      <w:pPr>
        <w:spacing w:after="60" w:line="240" w:lineRule="auto"/>
        <w:rPr>
          <w:b/>
          <w:sz w:val="18"/>
          <w:szCs w:val="18"/>
        </w:rPr>
      </w:pPr>
      <w:bookmarkStart w:id="146" w:name="_Toc182931564"/>
      <w:r w:rsidRPr="0078482F">
        <w:rPr>
          <w:b/>
          <w:sz w:val="18"/>
          <w:szCs w:val="18"/>
        </w:rPr>
        <w:t>Διάγραμμα 2.</w:t>
      </w:r>
      <w:r w:rsidRPr="0078482F">
        <w:rPr>
          <w:b/>
          <w:sz w:val="18"/>
          <w:szCs w:val="18"/>
        </w:rPr>
        <w:fldChar w:fldCharType="begin"/>
      </w:r>
      <w:r w:rsidRPr="0078482F">
        <w:rPr>
          <w:b/>
          <w:sz w:val="18"/>
          <w:szCs w:val="18"/>
        </w:rPr>
        <w:instrText xml:space="preserve"> SEQ Διάγραμμα_2._ \* ARABIC </w:instrText>
      </w:r>
      <w:r w:rsidRPr="0078482F">
        <w:rPr>
          <w:b/>
          <w:sz w:val="18"/>
          <w:szCs w:val="18"/>
        </w:rPr>
        <w:fldChar w:fldCharType="separate"/>
      </w:r>
      <w:r w:rsidR="00E15678">
        <w:rPr>
          <w:b/>
          <w:noProof/>
          <w:sz w:val="18"/>
          <w:szCs w:val="18"/>
        </w:rPr>
        <w:t>3</w:t>
      </w:r>
      <w:r w:rsidRPr="0078482F">
        <w:rPr>
          <w:b/>
          <w:sz w:val="18"/>
          <w:szCs w:val="18"/>
        </w:rPr>
        <w:fldChar w:fldCharType="end"/>
      </w:r>
      <w:r w:rsidRPr="0078482F">
        <w:rPr>
          <w:b/>
          <w:sz w:val="18"/>
          <w:szCs w:val="18"/>
        </w:rPr>
        <w:t>.</w:t>
      </w:r>
      <w:r w:rsidR="00C16F32" w:rsidRPr="0078482F">
        <w:rPr>
          <w:b/>
          <w:sz w:val="18"/>
          <w:szCs w:val="18"/>
        </w:rPr>
        <w:t>: Προϋπολογιζόμενη Δαπάνη Κρατικού Προϋπολογισμού ανά Πρόγραμμα</w:t>
      </w:r>
      <w:bookmarkEnd w:id="146"/>
    </w:p>
    <w:p w14:paraId="6C4FA1E1" w14:textId="6AD3ED10" w:rsidR="00C16F32" w:rsidRDefault="00915D42" w:rsidP="00A36CE4">
      <w:pPr>
        <w:spacing w:after="0" w:line="240" w:lineRule="auto"/>
        <w:jc w:val="center"/>
        <w:rPr>
          <w:sz w:val="18"/>
          <w:szCs w:val="18"/>
        </w:rPr>
      </w:pPr>
      <w:r>
        <w:rPr>
          <w:noProof/>
        </w:rPr>
        <w:drawing>
          <wp:inline distT="0" distB="0" distL="0" distR="0" wp14:anchorId="5F3A6B62" wp14:editId="3626C5F9">
            <wp:extent cx="5759450" cy="2271395"/>
            <wp:effectExtent l="0" t="0" r="0" b="0"/>
            <wp:docPr id="10" name="Γράφημα 10">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9F89E70" w14:textId="72D09B12" w:rsidR="00C16F32" w:rsidRDefault="00C16F32" w:rsidP="00C16F32">
      <w:pPr>
        <w:spacing w:after="0" w:line="240" w:lineRule="auto"/>
        <w:rPr>
          <w:sz w:val="18"/>
          <w:szCs w:val="18"/>
        </w:rPr>
      </w:pPr>
    </w:p>
    <w:p w14:paraId="47D9F2C1" w14:textId="77777777" w:rsidR="00A04686" w:rsidRDefault="00A04686" w:rsidP="00C16F32">
      <w:pPr>
        <w:spacing w:after="0" w:line="240" w:lineRule="auto"/>
        <w:rPr>
          <w:sz w:val="18"/>
          <w:szCs w:val="18"/>
        </w:rPr>
      </w:pPr>
    </w:p>
    <w:p w14:paraId="345BC3BF" w14:textId="098BD263" w:rsidR="00794B07" w:rsidRPr="00794B07" w:rsidRDefault="00794B07" w:rsidP="00794B07">
      <w:pPr>
        <w:spacing w:after="60" w:line="240" w:lineRule="auto"/>
        <w:rPr>
          <w:b/>
          <w:sz w:val="18"/>
          <w:szCs w:val="18"/>
        </w:rPr>
      </w:pPr>
      <w:bookmarkStart w:id="147" w:name="_Toc182931565"/>
      <w:r w:rsidRPr="00794B07">
        <w:rPr>
          <w:b/>
          <w:sz w:val="18"/>
          <w:szCs w:val="18"/>
        </w:rPr>
        <w:t>Διάγραμμα 2.</w:t>
      </w:r>
      <w:r w:rsidRPr="00794B07">
        <w:rPr>
          <w:b/>
          <w:sz w:val="18"/>
          <w:szCs w:val="18"/>
        </w:rPr>
        <w:fldChar w:fldCharType="begin"/>
      </w:r>
      <w:r w:rsidRPr="00794B07">
        <w:rPr>
          <w:b/>
          <w:sz w:val="18"/>
          <w:szCs w:val="18"/>
        </w:rPr>
        <w:instrText xml:space="preserve"> SEQ Διάγραμμα_2._ \* ARABIC </w:instrText>
      </w:r>
      <w:r w:rsidRPr="00794B07">
        <w:rPr>
          <w:b/>
          <w:sz w:val="18"/>
          <w:szCs w:val="18"/>
        </w:rPr>
        <w:fldChar w:fldCharType="separate"/>
      </w:r>
      <w:r w:rsidR="00E15678">
        <w:rPr>
          <w:b/>
          <w:noProof/>
          <w:sz w:val="18"/>
          <w:szCs w:val="18"/>
        </w:rPr>
        <w:t>4</w:t>
      </w:r>
      <w:r w:rsidRPr="00794B07">
        <w:rPr>
          <w:b/>
          <w:sz w:val="18"/>
          <w:szCs w:val="18"/>
        </w:rPr>
        <w:fldChar w:fldCharType="end"/>
      </w:r>
      <w:r>
        <w:rPr>
          <w:b/>
          <w:sz w:val="18"/>
          <w:szCs w:val="18"/>
        </w:rPr>
        <w:t>.:</w:t>
      </w:r>
      <w:r w:rsidRPr="00794B07">
        <w:rPr>
          <w:b/>
          <w:sz w:val="18"/>
          <w:szCs w:val="18"/>
        </w:rPr>
        <w:t xml:space="preserve"> Προϋπολογιζόμενη Δαπάνη Γενικής Κυβέρνησης ανά Πρόγραμμα</w:t>
      </w:r>
      <w:bookmarkEnd w:id="147"/>
    </w:p>
    <w:p w14:paraId="416EF8FB" w14:textId="75BC9A36" w:rsidR="00C16F32" w:rsidRDefault="00915D42" w:rsidP="00A36CE4">
      <w:pPr>
        <w:spacing w:after="0" w:line="240" w:lineRule="auto"/>
        <w:jc w:val="center"/>
        <w:rPr>
          <w:sz w:val="18"/>
          <w:szCs w:val="18"/>
        </w:rPr>
      </w:pPr>
      <w:r w:rsidRPr="00915D42">
        <w:rPr>
          <w:noProof/>
          <w:sz w:val="16"/>
        </w:rPr>
        <w:drawing>
          <wp:inline distT="0" distB="0" distL="0" distR="0" wp14:anchorId="5F7510DC" wp14:editId="53373254">
            <wp:extent cx="5759450" cy="2540635"/>
            <wp:effectExtent l="0" t="0" r="0" b="0"/>
            <wp:docPr id="20" name="Γράφημα 20">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529B03" w14:textId="410D75A6" w:rsidR="00C16F32" w:rsidRDefault="00C16F32" w:rsidP="00C16F32">
      <w:pPr>
        <w:spacing w:after="0" w:line="240" w:lineRule="auto"/>
        <w:rPr>
          <w:sz w:val="18"/>
          <w:szCs w:val="18"/>
        </w:rPr>
      </w:pPr>
    </w:p>
    <w:p w14:paraId="416DB7D1" w14:textId="77777777" w:rsidR="00A04686" w:rsidRDefault="00A04686" w:rsidP="00C16F32">
      <w:pPr>
        <w:spacing w:after="0" w:line="240" w:lineRule="auto"/>
        <w:rPr>
          <w:sz w:val="18"/>
          <w:szCs w:val="18"/>
        </w:rPr>
      </w:pPr>
    </w:p>
    <w:p w14:paraId="27C5962E" w14:textId="246D974C" w:rsidR="00794B07" w:rsidRPr="00794B07" w:rsidRDefault="00794B07" w:rsidP="00794B07">
      <w:pPr>
        <w:spacing w:after="60" w:line="240" w:lineRule="auto"/>
        <w:rPr>
          <w:b/>
          <w:sz w:val="18"/>
          <w:szCs w:val="18"/>
        </w:rPr>
      </w:pPr>
      <w:bookmarkStart w:id="148" w:name="_Toc182931566"/>
      <w:r w:rsidRPr="00794B07">
        <w:rPr>
          <w:b/>
          <w:sz w:val="18"/>
          <w:szCs w:val="18"/>
        </w:rPr>
        <w:t>Διάγραμμα 2.</w:t>
      </w:r>
      <w:r w:rsidRPr="00794B07">
        <w:rPr>
          <w:b/>
          <w:sz w:val="18"/>
          <w:szCs w:val="18"/>
        </w:rPr>
        <w:fldChar w:fldCharType="begin"/>
      </w:r>
      <w:r w:rsidRPr="00794B07">
        <w:rPr>
          <w:b/>
          <w:sz w:val="18"/>
          <w:szCs w:val="18"/>
        </w:rPr>
        <w:instrText xml:space="preserve"> SEQ Διάγραμμα_2._ \* ARABIC </w:instrText>
      </w:r>
      <w:r w:rsidRPr="00794B07">
        <w:rPr>
          <w:b/>
          <w:sz w:val="18"/>
          <w:szCs w:val="18"/>
        </w:rPr>
        <w:fldChar w:fldCharType="separate"/>
      </w:r>
      <w:r w:rsidR="00E15678">
        <w:rPr>
          <w:b/>
          <w:noProof/>
          <w:sz w:val="18"/>
          <w:szCs w:val="18"/>
        </w:rPr>
        <w:t>5</w:t>
      </w:r>
      <w:r w:rsidRPr="00794B07">
        <w:rPr>
          <w:b/>
          <w:sz w:val="18"/>
          <w:szCs w:val="18"/>
        </w:rPr>
        <w:fldChar w:fldCharType="end"/>
      </w:r>
      <w:r w:rsidRPr="00794B07">
        <w:rPr>
          <w:b/>
          <w:sz w:val="18"/>
          <w:szCs w:val="18"/>
        </w:rPr>
        <w:t xml:space="preserve">.: Ανθρώπινοι </w:t>
      </w:r>
      <w:r w:rsidR="00411AF4">
        <w:rPr>
          <w:b/>
          <w:sz w:val="18"/>
          <w:szCs w:val="18"/>
        </w:rPr>
        <w:t>π</w:t>
      </w:r>
      <w:r w:rsidRPr="00794B07">
        <w:rPr>
          <w:b/>
          <w:sz w:val="18"/>
          <w:szCs w:val="18"/>
        </w:rPr>
        <w:t>όροι ανά Πρόγραμμα</w:t>
      </w:r>
      <w:bookmarkEnd w:id="148"/>
    </w:p>
    <w:p w14:paraId="4E2AD729" w14:textId="56EEAD4E" w:rsidR="00C16F32" w:rsidRDefault="00915D42" w:rsidP="00A36CE4">
      <w:pPr>
        <w:spacing w:after="0" w:line="240" w:lineRule="auto"/>
        <w:jc w:val="center"/>
        <w:rPr>
          <w:sz w:val="18"/>
          <w:szCs w:val="18"/>
        </w:rPr>
      </w:pPr>
      <w:r>
        <w:rPr>
          <w:noProof/>
        </w:rPr>
        <w:drawing>
          <wp:inline distT="0" distB="0" distL="0" distR="0" wp14:anchorId="1D7B7B3B" wp14:editId="4303C205">
            <wp:extent cx="5759450" cy="2130425"/>
            <wp:effectExtent l="0" t="0" r="0" b="3175"/>
            <wp:docPr id="25" name="Γράφημα 25">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335D5B6" w14:textId="77777777" w:rsidR="00C16F32" w:rsidRDefault="00C16F32">
      <w:pPr>
        <w:spacing w:after="0" w:line="240" w:lineRule="auto"/>
        <w:jc w:val="left"/>
        <w:rPr>
          <w:rFonts w:cs="Arial"/>
          <w:b/>
          <w:color w:val="2F5496"/>
          <w:szCs w:val="20"/>
          <w:highlight w:val="yellow"/>
        </w:rPr>
      </w:pPr>
      <w:r>
        <w:rPr>
          <w:rFonts w:cs="Arial"/>
          <w:b/>
          <w:color w:val="2F5496"/>
          <w:szCs w:val="20"/>
          <w:highlight w:val="yellow"/>
        </w:rPr>
        <w:br w:type="page"/>
      </w:r>
    </w:p>
    <w:p w14:paraId="2231152B" w14:textId="11A006E9" w:rsidR="00B948CD" w:rsidRPr="00C16F32" w:rsidRDefault="00F02466" w:rsidP="00F02466">
      <w:pPr>
        <w:shd w:val="clear" w:color="auto" w:fill="D5DCE4"/>
        <w:rPr>
          <w:rFonts w:cs="Arial"/>
          <w:b/>
          <w:color w:val="2F5496"/>
          <w:szCs w:val="20"/>
        </w:rPr>
      </w:pPr>
      <w:r w:rsidRPr="00C16F32">
        <w:rPr>
          <w:rFonts w:cs="Arial"/>
          <w:b/>
          <w:color w:val="2F5496"/>
          <w:szCs w:val="20"/>
        </w:rPr>
        <w:lastRenderedPageBreak/>
        <w:t>Υπουργείο Εσωτερικών</w:t>
      </w:r>
    </w:p>
    <w:p w14:paraId="5295341D" w14:textId="0C60A938" w:rsidR="00D41062" w:rsidRPr="00BB2133" w:rsidRDefault="00D63756" w:rsidP="00BB2133">
      <w:pPr>
        <w:spacing w:after="60" w:line="240" w:lineRule="auto"/>
        <w:rPr>
          <w:b/>
          <w:sz w:val="18"/>
          <w:szCs w:val="18"/>
        </w:rPr>
      </w:pPr>
      <w:bookmarkStart w:id="149" w:name="_Toc182931567"/>
      <w:r w:rsidRPr="00BB2133">
        <w:rPr>
          <w:b/>
          <w:sz w:val="18"/>
          <w:szCs w:val="18"/>
        </w:rPr>
        <w:t>Διάγραμμα 2.</w:t>
      </w:r>
      <w:r w:rsidRPr="00BB2133">
        <w:rPr>
          <w:b/>
          <w:sz w:val="18"/>
          <w:szCs w:val="18"/>
        </w:rPr>
        <w:fldChar w:fldCharType="begin"/>
      </w:r>
      <w:r w:rsidRPr="00BB2133">
        <w:rPr>
          <w:b/>
          <w:sz w:val="18"/>
          <w:szCs w:val="18"/>
        </w:rPr>
        <w:instrText xml:space="preserve"> SEQ Διάγραμμα_2._ \* ARABIC </w:instrText>
      </w:r>
      <w:r w:rsidRPr="00BB2133">
        <w:rPr>
          <w:b/>
          <w:sz w:val="18"/>
          <w:szCs w:val="18"/>
        </w:rPr>
        <w:fldChar w:fldCharType="separate"/>
      </w:r>
      <w:r w:rsidR="00E15678">
        <w:rPr>
          <w:b/>
          <w:noProof/>
          <w:sz w:val="18"/>
          <w:szCs w:val="18"/>
        </w:rPr>
        <w:t>6</w:t>
      </w:r>
      <w:r w:rsidRPr="00BB2133">
        <w:rPr>
          <w:b/>
          <w:sz w:val="18"/>
          <w:szCs w:val="18"/>
        </w:rPr>
        <w:fldChar w:fldCharType="end"/>
      </w:r>
      <w:r w:rsidRPr="00BB2133">
        <w:rPr>
          <w:b/>
          <w:sz w:val="18"/>
          <w:szCs w:val="18"/>
        </w:rPr>
        <w:t xml:space="preserve">.: </w:t>
      </w:r>
      <w:r w:rsidR="00D41062" w:rsidRPr="00BB2133">
        <w:rPr>
          <w:b/>
          <w:sz w:val="18"/>
          <w:szCs w:val="18"/>
        </w:rPr>
        <w:t xml:space="preserve">Προϋπολογιζόμενη </w:t>
      </w:r>
      <w:r w:rsidR="00AD6C46">
        <w:rPr>
          <w:b/>
          <w:sz w:val="18"/>
          <w:szCs w:val="18"/>
        </w:rPr>
        <w:t>Δ</w:t>
      </w:r>
      <w:r w:rsidR="00D41062" w:rsidRPr="00BB2133">
        <w:rPr>
          <w:b/>
          <w:sz w:val="18"/>
          <w:szCs w:val="18"/>
        </w:rPr>
        <w:t xml:space="preserve">απάνη </w:t>
      </w:r>
      <w:r w:rsidR="00AD6C46">
        <w:rPr>
          <w:b/>
          <w:sz w:val="18"/>
          <w:szCs w:val="18"/>
        </w:rPr>
        <w:t>Κ</w:t>
      </w:r>
      <w:r w:rsidR="00D41062" w:rsidRPr="00BB2133">
        <w:rPr>
          <w:b/>
          <w:sz w:val="18"/>
          <w:szCs w:val="18"/>
        </w:rPr>
        <w:t xml:space="preserve">ρατικού </w:t>
      </w:r>
      <w:r w:rsidR="00AD6C46">
        <w:rPr>
          <w:b/>
          <w:sz w:val="18"/>
          <w:szCs w:val="18"/>
        </w:rPr>
        <w:t>Π</w:t>
      </w:r>
      <w:r w:rsidR="00D41062" w:rsidRPr="00BB2133">
        <w:rPr>
          <w:b/>
          <w:sz w:val="18"/>
          <w:szCs w:val="18"/>
        </w:rPr>
        <w:t>ροϋπολογισμού ανά Πρόγραμμα</w:t>
      </w:r>
      <w:bookmarkEnd w:id="149"/>
    </w:p>
    <w:p w14:paraId="40FD13E7" w14:textId="28F3967E" w:rsidR="00D41062" w:rsidRDefault="00FA11F0" w:rsidP="00FA11F0">
      <w:pPr>
        <w:jc w:val="center"/>
        <w:rPr>
          <w:sz w:val="18"/>
        </w:rPr>
      </w:pPr>
      <w:r>
        <w:rPr>
          <w:noProof/>
        </w:rPr>
        <w:drawing>
          <wp:inline distT="0" distB="0" distL="0" distR="0" wp14:anchorId="23E1198C" wp14:editId="31DAC5B2">
            <wp:extent cx="5759450" cy="2381250"/>
            <wp:effectExtent l="0" t="0" r="0" b="0"/>
            <wp:docPr id="28" name="Γράφημα 28">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3CEC54" w14:textId="77777777" w:rsidR="00A04686" w:rsidRDefault="00A04686" w:rsidP="00A04686"/>
    <w:p w14:paraId="109C57DC" w14:textId="29336C1F" w:rsidR="00D41062" w:rsidRPr="00BB2133" w:rsidRDefault="00BB2133" w:rsidP="00BB2133">
      <w:pPr>
        <w:spacing w:after="60" w:line="240" w:lineRule="auto"/>
        <w:rPr>
          <w:b/>
          <w:sz w:val="18"/>
          <w:szCs w:val="18"/>
        </w:rPr>
      </w:pPr>
      <w:bookmarkStart w:id="150" w:name="_Toc182931568"/>
      <w:r w:rsidRPr="00BB2133">
        <w:rPr>
          <w:b/>
          <w:sz w:val="18"/>
          <w:szCs w:val="18"/>
        </w:rPr>
        <w:t>Διάγραμμα 2.</w:t>
      </w:r>
      <w:r w:rsidRPr="00BB2133">
        <w:rPr>
          <w:b/>
          <w:sz w:val="18"/>
          <w:szCs w:val="18"/>
        </w:rPr>
        <w:fldChar w:fldCharType="begin"/>
      </w:r>
      <w:r w:rsidRPr="00BB2133">
        <w:rPr>
          <w:b/>
          <w:sz w:val="18"/>
          <w:szCs w:val="18"/>
        </w:rPr>
        <w:instrText xml:space="preserve"> SEQ Διάγραμμα_2._ \* ARABIC </w:instrText>
      </w:r>
      <w:r w:rsidRPr="00BB2133">
        <w:rPr>
          <w:b/>
          <w:sz w:val="18"/>
          <w:szCs w:val="18"/>
        </w:rPr>
        <w:fldChar w:fldCharType="separate"/>
      </w:r>
      <w:r w:rsidR="00E15678">
        <w:rPr>
          <w:b/>
          <w:noProof/>
          <w:sz w:val="18"/>
          <w:szCs w:val="18"/>
        </w:rPr>
        <w:t>7</w:t>
      </w:r>
      <w:r w:rsidRPr="00BB2133">
        <w:rPr>
          <w:b/>
          <w:sz w:val="18"/>
          <w:szCs w:val="18"/>
        </w:rPr>
        <w:fldChar w:fldCharType="end"/>
      </w:r>
      <w:r>
        <w:rPr>
          <w:b/>
          <w:sz w:val="18"/>
          <w:szCs w:val="18"/>
        </w:rPr>
        <w:t>.</w:t>
      </w:r>
      <w:r w:rsidRPr="00BB2133">
        <w:rPr>
          <w:b/>
          <w:sz w:val="18"/>
          <w:szCs w:val="18"/>
        </w:rPr>
        <w:t>:</w:t>
      </w:r>
      <w:r w:rsidR="009F4531">
        <w:rPr>
          <w:b/>
          <w:sz w:val="18"/>
          <w:szCs w:val="18"/>
        </w:rPr>
        <w:t xml:space="preserve"> </w:t>
      </w:r>
      <w:r w:rsidR="00D41062" w:rsidRPr="00BB2133">
        <w:rPr>
          <w:b/>
          <w:sz w:val="18"/>
          <w:szCs w:val="18"/>
        </w:rPr>
        <w:t xml:space="preserve">Προϋπολογιζόμενη </w:t>
      </w:r>
      <w:r w:rsidR="00AD6C46">
        <w:rPr>
          <w:b/>
          <w:sz w:val="18"/>
          <w:szCs w:val="18"/>
        </w:rPr>
        <w:t>Δ</w:t>
      </w:r>
      <w:r w:rsidR="00D41062" w:rsidRPr="00BB2133">
        <w:rPr>
          <w:b/>
          <w:sz w:val="18"/>
          <w:szCs w:val="18"/>
        </w:rPr>
        <w:t>απάνη Γενικής Κυβέρνησης ανά Πρόγραμμα</w:t>
      </w:r>
      <w:bookmarkEnd w:id="150"/>
    </w:p>
    <w:p w14:paraId="2F5F40FE" w14:textId="77777777" w:rsidR="007003BD" w:rsidRPr="007003BD" w:rsidRDefault="00FA11F0" w:rsidP="007003BD">
      <w:pPr>
        <w:jc w:val="center"/>
      </w:pPr>
      <w:r>
        <w:rPr>
          <w:noProof/>
        </w:rPr>
        <w:drawing>
          <wp:inline distT="0" distB="0" distL="0" distR="0" wp14:anchorId="1BAF9BD6" wp14:editId="430157FA">
            <wp:extent cx="5759450" cy="2602557"/>
            <wp:effectExtent l="0" t="0" r="0" b="7620"/>
            <wp:docPr id="31" name="Γράφημα 31">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151" w:name="_Toc182931569"/>
    </w:p>
    <w:p w14:paraId="353F3FCE" w14:textId="20D8E80E" w:rsidR="00BB2133" w:rsidRDefault="00BB2133" w:rsidP="00A07702">
      <w:pPr>
        <w:spacing w:after="0" w:line="240" w:lineRule="auto"/>
        <w:rPr>
          <w:b/>
          <w:sz w:val="18"/>
          <w:szCs w:val="18"/>
        </w:rPr>
      </w:pPr>
      <w:r w:rsidRPr="00BB2133">
        <w:rPr>
          <w:b/>
          <w:sz w:val="18"/>
          <w:szCs w:val="18"/>
        </w:rPr>
        <w:t>Διάγραμμα 2.</w:t>
      </w:r>
      <w:r w:rsidRPr="00BB2133">
        <w:rPr>
          <w:b/>
          <w:sz w:val="18"/>
          <w:szCs w:val="18"/>
        </w:rPr>
        <w:fldChar w:fldCharType="begin"/>
      </w:r>
      <w:r w:rsidRPr="00BB2133">
        <w:rPr>
          <w:b/>
          <w:sz w:val="18"/>
          <w:szCs w:val="18"/>
        </w:rPr>
        <w:instrText xml:space="preserve"> SEQ Διάγραμμα_2._ \* ARABIC </w:instrText>
      </w:r>
      <w:r w:rsidRPr="00BB2133">
        <w:rPr>
          <w:b/>
          <w:sz w:val="18"/>
          <w:szCs w:val="18"/>
        </w:rPr>
        <w:fldChar w:fldCharType="separate"/>
      </w:r>
      <w:r w:rsidR="00E15678">
        <w:rPr>
          <w:b/>
          <w:noProof/>
          <w:sz w:val="18"/>
          <w:szCs w:val="18"/>
        </w:rPr>
        <w:t>8</w:t>
      </w:r>
      <w:r w:rsidRPr="00BB2133">
        <w:rPr>
          <w:b/>
          <w:sz w:val="18"/>
          <w:szCs w:val="18"/>
        </w:rPr>
        <w:fldChar w:fldCharType="end"/>
      </w:r>
      <w:r>
        <w:rPr>
          <w:b/>
          <w:sz w:val="18"/>
          <w:szCs w:val="18"/>
        </w:rPr>
        <w:t xml:space="preserve">.: </w:t>
      </w:r>
      <w:r w:rsidRPr="00BB2133">
        <w:rPr>
          <w:b/>
          <w:sz w:val="18"/>
          <w:szCs w:val="18"/>
        </w:rPr>
        <w:t xml:space="preserve">Ανθρώπινοι </w:t>
      </w:r>
      <w:r w:rsidR="00411AF4">
        <w:rPr>
          <w:b/>
          <w:sz w:val="18"/>
          <w:szCs w:val="18"/>
        </w:rPr>
        <w:t>π</w:t>
      </w:r>
      <w:r w:rsidRPr="00BB2133">
        <w:rPr>
          <w:b/>
          <w:sz w:val="18"/>
          <w:szCs w:val="18"/>
        </w:rPr>
        <w:t>όροι ανά Πρόγραμμα</w:t>
      </w:r>
      <w:bookmarkEnd w:id="151"/>
    </w:p>
    <w:p w14:paraId="3253E7D4" w14:textId="77777777" w:rsidR="00A07702" w:rsidRPr="00BB2133" w:rsidRDefault="00A07702" w:rsidP="00A07702">
      <w:pPr>
        <w:spacing w:after="0" w:line="240" w:lineRule="auto"/>
        <w:rPr>
          <w:b/>
          <w:sz w:val="18"/>
          <w:szCs w:val="18"/>
        </w:rPr>
      </w:pPr>
    </w:p>
    <w:p w14:paraId="68EB7285" w14:textId="2F84FD08" w:rsidR="00D41062" w:rsidRPr="007003BD" w:rsidRDefault="000C0FDB" w:rsidP="007003BD">
      <w:pPr>
        <w:jc w:val="center"/>
      </w:pPr>
      <w:r>
        <w:rPr>
          <w:noProof/>
        </w:rPr>
        <w:drawing>
          <wp:inline distT="0" distB="0" distL="0" distR="0" wp14:anchorId="1BEBF2D3" wp14:editId="05074E7C">
            <wp:extent cx="5759450" cy="2240815"/>
            <wp:effectExtent l="0" t="0" r="0" b="7620"/>
            <wp:docPr id="36" name="Γράφημα 36">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E4BDA72" w14:textId="274D0DD9" w:rsidR="00A33B2A" w:rsidRDefault="00A33B2A">
      <w:pPr>
        <w:spacing w:after="0" w:line="240" w:lineRule="auto"/>
        <w:jc w:val="left"/>
        <w:rPr>
          <w:rFonts w:cs="Arial"/>
          <w:b/>
          <w:color w:val="2F5496"/>
          <w:szCs w:val="20"/>
        </w:rPr>
      </w:pPr>
      <w:r>
        <w:rPr>
          <w:rFonts w:cs="Arial"/>
          <w:b/>
          <w:color w:val="2F5496"/>
          <w:szCs w:val="20"/>
        </w:rPr>
        <w:br w:type="page"/>
      </w:r>
    </w:p>
    <w:p w14:paraId="0D9EDC6A" w14:textId="28DC80F4" w:rsidR="007F39B9" w:rsidRPr="00D41062" w:rsidRDefault="007F39B9" w:rsidP="007F39B9">
      <w:pPr>
        <w:shd w:val="clear" w:color="auto" w:fill="D5DCE4"/>
        <w:rPr>
          <w:rFonts w:cs="Arial"/>
          <w:b/>
          <w:color w:val="2F5496"/>
          <w:szCs w:val="20"/>
        </w:rPr>
      </w:pPr>
      <w:r w:rsidRPr="00D41062">
        <w:rPr>
          <w:rFonts w:cs="Arial"/>
          <w:b/>
          <w:color w:val="2F5496"/>
          <w:szCs w:val="20"/>
        </w:rPr>
        <w:lastRenderedPageBreak/>
        <w:t>Υπουργείο Εξωτερικών</w:t>
      </w:r>
    </w:p>
    <w:p w14:paraId="5578431A" w14:textId="5D80E567" w:rsidR="005B735D" w:rsidRPr="005B735D" w:rsidRDefault="005B735D" w:rsidP="005B735D">
      <w:pPr>
        <w:spacing w:after="60" w:line="240" w:lineRule="auto"/>
        <w:rPr>
          <w:b/>
          <w:sz w:val="18"/>
          <w:szCs w:val="18"/>
        </w:rPr>
      </w:pPr>
      <w:bookmarkStart w:id="152" w:name="_Toc182931570"/>
      <w:r w:rsidRPr="005B735D">
        <w:rPr>
          <w:b/>
          <w:sz w:val="18"/>
          <w:szCs w:val="18"/>
        </w:rPr>
        <w:t>Διάγραμμα 2.</w:t>
      </w:r>
      <w:r w:rsidRPr="005B735D">
        <w:rPr>
          <w:b/>
          <w:sz w:val="18"/>
          <w:szCs w:val="18"/>
        </w:rPr>
        <w:fldChar w:fldCharType="begin"/>
      </w:r>
      <w:r w:rsidRPr="005B735D">
        <w:rPr>
          <w:b/>
          <w:sz w:val="18"/>
          <w:szCs w:val="18"/>
        </w:rPr>
        <w:instrText xml:space="preserve"> SEQ Διάγραμμα_2._ \* ARABIC </w:instrText>
      </w:r>
      <w:r w:rsidRPr="005B735D">
        <w:rPr>
          <w:b/>
          <w:sz w:val="18"/>
          <w:szCs w:val="18"/>
        </w:rPr>
        <w:fldChar w:fldCharType="separate"/>
      </w:r>
      <w:r w:rsidR="00E15678">
        <w:rPr>
          <w:b/>
          <w:noProof/>
          <w:sz w:val="18"/>
          <w:szCs w:val="18"/>
        </w:rPr>
        <w:t>9</w:t>
      </w:r>
      <w:r w:rsidRPr="005B735D">
        <w:rPr>
          <w:b/>
          <w:sz w:val="18"/>
          <w:szCs w:val="18"/>
        </w:rPr>
        <w:fldChar w:fldCharType="end"/>
      </w:r>
      <w:r w:rsidRPr="005B735D">
        <w:rPr>
          <w:b/>
          <w:sz w:val="18"/>
          <w:szCs w:val="18"/>
        </w:rPr>
        <w:t xml:space="preserve">.: Προϋπολογιζόμενη </w:t>
      </w:r>
      <w:r w:rsidR="00AD6C46">
        <w:rPr>
          <w:b/>
          <w:sz w:val="18"/>
          <w:szCs w:val="18"/>
        </w:rPr>
        <w:t>Δ</w:t>
      </w:r>
      <w:r w:rsidRPr="005B735D">
        <w:rPr>
          <w:b/>
          <w:sz w:val="18"/>
          <w:szCs w:val="18"/>
        </w:rPr>
        <w:t xml:space="preserve">απάνη </w:t>
      </w:r>
      <w:r w:rsidR="00AD6C46">
        <w:rPr>
          <w:b/>
          <w:sz w:val="18"/>
          <w:szCs w:val="18"/>
        </w:rPr>
        <w:t>Κ</w:t>
      </w:r>
      <w:r w:rsidRPr="005B735D">
        <w:rPr>
          <w:b/>
          <w:sz w:val="18"/>
          <w:szCs w:val="18"/>
        </w:rPr>
        <w:t>ρατικού Προϋπολογισμού ανά Πρόγραμμα</w:t>
      </w:r>
      <w:bookmarkEnd w:id="152"/>
    </w:p>
    <w:p w14:paraId="77CAB1C8" w14:textId="3330BEDE" w:rsidR="005B735D" w:rsidRDefault="005B735D" w:rsidP="005B735D"/>
    <w:p w14:paraId="5D1911EB" w14:textId="395D440A" w:rsidR="00D41062" w:rsidRDefault="000C0FDB" w:rsidP="00A36CE4">
      <w:pPr>
        <w:spacing w:after="0" w:line="240" w:lineRule="auto"/>
        <w:jc w:val="center"/>
        <w:rPr>
          <w:sz w:val="18"/>
          <w:szCs w:val="18"/>
        </w:rPr>
      </w:pPr>
      <w:r>
        <w:rPr>
          <w:noProof/>
        </w:rPr>
        <w:drawing>
          <wp:inline distT="0" distB="0" distL="0" distR="0" wp14:anchorId="4A080348" wp14:editId="4AA38BCD">
            <wp:extent cx="5759450" cy="2372995"/>
            <wp:effectExtent l="0" t="0" r="0" b="8255"/>
            <wp:docPr id="39" name="Γράφημα 39">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D157EA" w14:textId="46CE904C" w:rsidR="00D41062" w:rsidRDefault="00D41062" w:rsidP="00D41062">
      <w:pPr>
        <w:spacing w:after="0" w:line="240" w:lineRule="auto"/>
        <w:jc w:val="left"/>
        <w:rPr>
          <w:sz w:val="18"/>
          <w:szCs w:val="18"/>
        </w:rPr>
      </w:pPr>
    </w:p>
    <w:p w14:paraId="4C0B2E6B" w14:textId="48EC9801" w:rsidR="005B735D" w:rsidRPr="005B735D" w:rsidRDefault="005B735D" w:rsidP="005B735D">
      <w:pPr>
        <w:spacing w:after="60" w:line="240" w:lineRule="auto"/>
        <w:rPr>
          <w:b/>
          <w:sz w:val="18"/>
          <w:szCs w:val="18"/>
        </w:rPr>
      </w:pPr>
      <w:bookmarkStart w:id="153" w:name="_Toc182931571"/>
      <w:r w:rsidRPr="005B735D">
        <w:rPr>
          <w:b/>
          <w:sz w:val="18"/>
          <w:szCs w:val="18"/>
        </w:rPr>
        <w:t>Διάγραμμα 2.</w:t>
      </w:r>
      <w:r w:rsidRPr="005B735D">
        <w:rPr>
          <w:b/>
          <w:sz w:val="18"/>
          <w:szCs w:val="18"/>
        </w:rPr>
        <w:fldChar w:fldCharType="begin"/>
      </w:r>
      <w:r w:rsidRPr="005B735D">
        <w:rPr>
          <w:b/>
          <w:sz w:val="18"/>
          <w:szCs w:val="18"/>
        </w:rPr>
        <w:instrText xml:space="preserve"> SEQ Διάγραμμα_2._ \* ARABIC </w:instrText>
      </w:r>
      <w:r w:rsidRPr="005B735D">
        <w:rPr>
          <w:b/>
          <w:sz w:val="18"/>
          <w:szCs w:val="18"/>
        </w:rPr>
        <w:fldChar w:fldCharType="separate"/>
      </w:r>
      <w:r w:rsidR="00E15678">
        <w:rPr>
          <w:b/>
          <w:noProof/>
          <w:sz w:val="18"/>
          <w:szCs w:val="18"/>
        </w:rPr>
        <w:t>10</w:t>
      </w:r>
      <w:r w:rsidRPr="005B735D">
        <w:rPr>
          <w:b/>
          <w:sz w:val="18"/>
          <w:szCs w:val="18"/>
        </w:rPr>
        <w:fldChar w:fldCharType="end"/>
      </w:r>
      <w:r w:rsidRPr="005B735D">
        <w:rPr>
          <w:b/>
          <w:sz w:val="18"/>
          <w:szCs w:val="18"/>
        </w:rPr>
        <w:t>.: Προϋπολογιζόμενη Δαπάνη Γενικής Κυβέρνησης ανά Πρόγραμμα</w:t>
      </w:r>
      <w:bookmarkEnd w:id="153"/>
    </w:p>
    <w:p w14:paraId="1B24FB13" w14:textId="406B9375" w:rsidR="00A04686" w:rsidRPr="007003BD" w:rsidRDefault="00AD6C46" w:rsidP="00AD6C46">
      <w:pPr>
        <w:jc w:val="center"/>
      </w:pPr>
      <w:r>
        <w:rPr>
          <w:noProof/>
        </w:rPr>
        <w:drawing>
          <wp:inline distT="0" distB="0" distL="0" distR="0" wp14:anchorId="7A04C3B8" wp14:editId="027D49ED">
            <wp:extent cx="5759450" cy="2447925"/>
            <wp:effectExtent l="0" t="0" r="0" b="0"/>
            <wp:docPr id="49" name="Γράφημα 49">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206268A" w14:textId="766DB999" w:rsidR="005B735D" w:rsidRDefault="005B735D" w:rsidP="005B735D">
      <w:pPr>
        <w:spacing w:after="60" w:line="240" w:lineRule="auto"/>
        <w:rPr>
          <w:b/>
          <w:sz w:val="18"/>
          <w:szCs w:val="18"/>
        </w:rPr>
      </w:pPr>
      <w:bookmarkStart w:id="154" w:name="_Toc182931572"/>
      <w:r w:rsidRPr="005B735D">
        <w:rPr>
          <w:b/>
          <w:sz w:val="18"/>
          <w:szCs w:val="18"/>
        </w:rPr>
        <w:t>Διάγραμμα 2.</w:t>
      </w:r>
      <w:r w:rsidRPr="005B735D">
        <w:rPr>
          <w:b/>
          <w:sz w:val="18"/>
          <w:szCs w:val="18"/>
        </w:rPr>
        <w:fldChar w:fldCharType="begin"/>
      </w:r>
      <w:r w:rsidRPr="005B735D">
        <w:rPr>
          <w:b/>
          <w:sz w:val="18"/>
          <w:szCs w:val="18"/>
        </w:rPr>
        <w:instrText xml:space="preserve"> SEQ Διάγραμμα_2._ \* ARABIC </w:instrText>
      </w:r>
      <w:r w:rsidRPr="005B735D">
        <w:rPr>
          <w:b/>
          <w:sz w:val="18"/>
          <w:szCs w:val="18"/>
        </w:rPr>
        <w:fldChar w:fldCharType="separate"/>
      </w:r>
      <w:r w:rsidR="00E15678">
        <w:rPr>
          <w:b/>
          <w:noProof/>
          <w:sz w:val="18"/>
          <w:szCs w:val="18"/>
        </w:rPr>
        <w:t>11</w:t>
      </w:r>
      <w:r w:rsidRPr="005B735D">
        <w:rPr>
          <w:b/>
          <w:sz w:val="18"/>
          <w:szCs w:val="18"/>
        </w:rPr>
        <w:fldChar w:fldCharType="end"/>
      </w:r>
      <w:r w:rsidRPr="005B735D">
        <w:rPr>
          <w:b/>
          <w:sz w:val="18"/>
          <w:szCs w:val="18"/>
        </w:rPr>
        <w:t xml:space="preserve">.: Ανθρώπινοι </w:t>
      </w:r>
      <w:r w:rsidR="009E58F1">
        <w:rPr>
          <w:b/>
          <w:sz w:val="18"/>
          <w:szCs w:val="18"/>
        </w:rPr>
        <w:t>π</w:t>
      </w:r>
      <w:r w:rsidRPr="005B735D">
        <w:rPr>
          <w:b/>
          <w:sz w:val="18"/>
          <w:szCs w:val="18"/>
        </w:rPr>
        <w:t>όροι ανά Πρόγραμμα</w:t>
      </w:r>
      <w:bookmarkEnd w:id="154"/>
    </w:p>
    <w:p w14:paraId="325618F9" w14:textId="72D31613" w:rsidR="00AD6C46" w:rsidRPr="005B735D" w:rsidRDefault="00AD6C46" w:rsidP="00AD6C46">
      <w:pPr>
        <w:spacing w:after="60" w:line="240" w:lineRule="auto"/>
        <w:jc w:val="center"/>
        <w:rPr>
          <w:b/>
          <w:sz w:val="18"/>
          <w:szCs w:val="18"/>
        </w:rPr>
      </w:pPr>
      <w:r w:rsidRPr="00AD6C46">
        <w:rPr>
          <w:noProof/>
          <w:sz w:val="18"/>
        </w:rPr>
        <w:drawing>
          <wp:inline distT="0" distB="0" distL="0" distR="0" wp14:anchorId="2702BBC2" wp14:editId="7FF01227">
            <wp:extent cx="5759450" cy="2563495"/>
            <wp:effectExtent l="0" t="0" r="0" b="8255"/>
            <wp:docPr id="11" name="Γράφημα 11">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7B2E4AC" w14:textId="34344960" w:rsidR="00D41062" w:rsidRDefault="00D41062" w:rsidP="00A04686">
      <w:pPr>
        <w:rPr>
          <w:highlight w:val="yellow"/>
        </w:rPr>
      </w:pPr>
      <w:r>
        <w:rPr>
          <w:highlight w:val="yellow"/>
        </w:rPr>
        <w:br w:type="page"/>
      </w:r>
    </w:p>
    <w:p w14:paraId="6DB70E0E" w14:textId="43C0D4DC" w:rsidR="007F39B9" w:rsidRPr="00D41062" w:rsidRDefault="007F39B9" w:rsidP="007F39B9">
      <w:pPr>
        <w:shd w:val="clear" w:color="auto" w:fill="D5DCE4"/>
        <w:rPr>
          <w:rFonts w:cs="Arial"/>
          <w:b/>
          <w:color w:val="2F5496"/>
          <w:szCs w:val="20"/>
        </w:rPr>
      </w:pPr>
      <w:r w:rsidRPr="00D41062">
        <w:rPr>
          <w:rFonts w:cs="Arial"/>
          <w:b/>
          <w:color w:val="2F5496"/>
          <w:szCs w:val="20"/>
        </w:rPr>
        <w:lastRenderedPageBreak/>
        <w:t>Υπουργείο Εθνικής Άμυνας</w:t>
      </w:r>
    </w:p>
    <w:p w14:paraId="70CE0D0D" w14:textId="57906CE1" w:rsidR="005B735D" w:rsidRPr="005B735D" w:rsidRDefault="005B735D" w:rsidP="005B735D">
      <w:pPr>
        <w:spacing w:after="60" w:line="240" w:lineRule="auto"/>
        <w:rPr>
          <w:b/>
          <w:sz w:val="18"/>
          <w:szCs w:val="18"/>
        </w:rPr>
      </w:pPr>
      <w:bookmarkStart w:id="155" w:name="_Toc182931573"/>
      <w:r w:rsidRPr="005B735D">
        <w:rPr>
          <w:b/>
          <w:sz w:val="18"/>
          <w:szCs w:val="18"/>
        </w:rPr>
        <w:t>Διάγραμμα 2.</w:t>
      </w:r>
      <w:r w:rsidRPr="005B735D">
        <w:rPr>
          <w:b/>
          <w:sz w:val="18"/>
          <w:szCs w:val="18"/>
        </w:rPr>
        <w:fldChar w:fldCharType="begin"/>
      </w:r>
      <w:r w:rsidRPr="005B735D">
        <w:rPr>
          <w:b/>
          <w:sz w:val="18"/>
          <w:szCs w:val="18"/>
        </w:rPr>
        <w:instrText xml:space="preserve"> SEQ Διάγραμμα_2._ \* ARABIC </w:instrText>
      </w:r>
      <w:r w:rsidRPr="005B735D">
        <w:rPr>
          <w:b/>
          <w:sz w:val="18"/>
          <w:szCs w:val="18"/>
        </w:rPr>
        <w:fldChar w:fldCharType="separate"/>
      </w:r>
      <w:r w:rsidR="00E15678">
        <w:rPr>
          <w:b/>
          <w:noProof/>
          <w:sz w:val="18"/>
          <w:szCs w:val="18"/>
        </w:rPr>
        <w:t>12</w:t>
      </w:r>
      <w:r w:rsidRPr="005B735D">
        <w:rPr>
          <w:b/>
          <w:sz w:val="18"/>
          <w:szCs w:val="18"/>
        </w:rPr>
        <w:fldChar w:fldCharType="end"/>
      </w:r>
      <w:r w:rsidRPr="005B735D">
        <w:rPr>
          <w:b/>
          <w:sz w:val="18"/>
          <w:szCs w:val="18"/>
        </w:rPr>
        <w:t>.: Προϋπολογιζόμενη Δαπάνη Κρατικού Προϋπολογισμού ανά Πρόγραμμα</w:t>
      </w:r>
      <w:bookmarkEnd w:id="155"/>
    </w:p>
    <w:p w14:paraId="74E9C8FE" w14:textId="3E5126B4" w:rsidR="00D41062" w:rsidRPr="007003BD" w:rsidRDefault="006238D3" w:rsidP="007003BD">
      <w:pPr>
        <w:jc w:val="center"/>
      </w:pPr>
      <w:r>
        <w:rPr>
          <w:noProof/>
        </w:rPr>
        <w:drawing>
          <wp:inline distT="0" distB="0" distL="0" distR="0" wp14:anchorId="4A4694CB" wp14:editId="639FA54D">
            <wp:extent cx="5759450" cy="2324100"/>
            <wp:effectExtent l="0" t="0" r="0" b="0"/>
            <wp:docPr id="50" name="Γράφημα 50">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84BE6F7" w14:textId="411B78CE" w:rsidR="005B735D" w:rsidRPr="005B735D" w:rsidRDefault="005B735D" w:rsidP="005B735D">
      <w:pPr>
        <w:spacing w:after="60" w:line="240" w:lineRule="auto"/>
        <w:rPr>
          <w:b/>
          <w:sz w:val="18"/>
          <w:szCs w:val="18"/>
        </w:rPr>
      </w:pPr>
      <w:bookmarkStart w:id="156" w:name="_Toc182931574"/>
      <w:r w:rsidRPr="005B735D">
        <w:rPr>
          <w:b/>
          <w:sz w:val="18"/>
          <w:szCs w:val="18"/>
        </w:rPr>
        <w:t>Διάγραμμα 2.</w:t>
      </w:r>
      <w:r w:rsidRPr="005B735D">
        <w:rPr>
          <w:b/>
          <w:sz w:val="18"/>
          <w:szCs w:val="18"/>
        </w:rPr>
        <w:fldChar w:fldCharType="begin"/>
      </w:r>
      <w:r w:rsidRPr="005B735D">
        <w:rPr>
          <w:b/>
          <w:sz w:val="18"/>
          <w:szCs w:val="18"/>
        </w:rPr>
        <w:instrText xml:space="preserve"> SEQ Διάγραμμα_2._ \* ARABIC </w:instrText>
      </w:r>
      <w:r w:rsidRPr="005B735D">
        <w:rPr>
          <w:b/>
          <w:sz w:val="18"/>
          <w:szCs w:val="18"/>
        </w:rPr>
        <w:fldChar w:fldCharType="separate"/>
      </w:r>
      <w:r w:rsidR="00E15678">
        <w:rPr>
          <w:b/>
          <w:noProof/>
          <w:sz w:val="18"/>
          <w:szCs w:val="18"/>
        </w:rPr>
        <w:t>13</w:t>
      </w:r>
      <w:r w:rsidRPr="005B735D">
        <w:rPr>
          <w:b/>
          <w:sz w:val="18"/>
          <w:szCs w:val="18"/>
        </w:rPr>
        <w:fldChar w:fldCharType="end"/>
      </w:r>
      <w:r w:rsidRPr="005B735D">
        <w:rPr>
          <w:b/>
          <w:sz w:val="18"/>
          <w:szCs w:val="18"/>
        </w:rPr>
        <w:t>.: Προϋπολογιζόμενη Δαπάνη Γενικής Κυβέρνησης ανά Πρόγραμμα</w:t>
      </w:r>
      <w:bookmarkEnd w:id="156"/>
    </w:p>
    <w:p w14:paraId="64397BD5" w14:textId="79427452" w:rsidR="00D41062" w:rsidRDefault="006238D3" w:rsidP="00A36CE4">
      <w:pPr>
        <w:spacing w:after="0" w:line="240" w:lineRule="auto"/>
        <w:jc w:val="center"/>
        <w:rPr>
          <w:rFonts w:cs="Arial"/>
          <w:noProof/>
          <w:sz w:val="18"/>
          <w:szCs w:val="18"/>
        </w:rPr>
      </w:pPr>
      <w:r>
        <w:rPr>
          <w:noProof/>
        </w:rPr>
        <w:drawing>
          <wp:inline distT="0" distB="0" distL="0" distR="0" wp14:anchorId="0575606F" wp14:editId="1D416A0C">
            <wp:extent cx="5759450" cy="2867025"/>
            <wp:effectExtent l="0" t="0" r="0" b="0"/>
            <wp:docPr id="53" name="Γράφημα 53">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8C37F7C" w14:textId="77777777" w:rsidR="00A04686" w:rsidRDefault="00A04686" w:rsidP="007003BD">
      <w:pPr>
        <w:jc w:val="center"/>
        <w:rPr>
          <w:rFonts w:cs="Arial"/>
          <w:noProof/>
          <w:sz w:val="18"/>
          <w:szCs w:val="18"/>
        </w:rPr>
      </w:pPr>
    </w:p>
    <w:p w14:paraId="0C509989" w14:textId="2FF96475" w:rsidR="00D41062" w:rsidRPr="00384D42" w:rsidRDefault="00D41062" w:rsidP="00A30240">
      <w:pPr>
        <w:pStyle w:val="afe"/>
        <w:keepNext/>
        <w:spacing w:after="60"/>
        <w:rPr>
          <w:sz w:val="18"/>
          <w:szCs w:val="18"/>
        </w:rPr>
      </w:pPr>
      <w:bookmarkStart w:id="157" w:name="_Toc182856376"/>
      <w:bookmarkStart w:id="158" w:name="_Toc214473824"/>
      <w:r w:rsidRPr="00384D42">
        <w:rPr>
          <w:sz w:val="18"/>
          <w:szCs w:val="18"/>
        </w:rPr>
        <w:t>Πίνακας 2.</w:t>
      </w:r>
      <w:r w:rsidRPr="00384D42">
        <w:rPr>
          <w:sz w:val="18"/>
          <w:szCs w:val="18"/>
        </w:rPr>
        <w:fldChar w:fldCharType="begin"/>
      </w:r>
      <w:r w:rsidRPr="00384D42">
        <w:rPr>
          <w:sz w:val="18"/>
          <w:szCs w:val="18"/>
        </w:rPr>
        <w:instrText xml:space="preserve"> SEQ Πίνακας_2. \* ARABIC </w:instrText>
      </w:r>
      <w:r w:rsidRPr="00384D42">
        <w:rPr>
          <w:sz w:val="18"/>
          <w:szCs w:val="18"/>
        </w:rPr>
        <w:fldChar w:fldCharType="separate"/>
      </w:r>
      <w:r w:rsidR="00E15678">
        <w:rPr>
          <w:noProof/>
          <w:sz w:val="18"/>
          <w:szCs w:val="18"/>
        </w:rPr>
        <w:t>6</w:t>
      </w:r>
      <w:r w:rsidRPr="00384D42">
        <w:rPr>
          <w:sz w:val="18"/>
          <w:szCs w:val="18"/>
        </w:rPr>
        <w:fldChar w:fldCharType="end"/>
      </w:r>
      <w:r w:rsidRPr="00384D42">
        <w:rPr>
          <w:sz w:val="18"/>
          <w:szCs w:val="18"/>
        </w:rPr>
        <w:t xml:space="preserve">.: Ανθρώπινοι </w:t>
      </w:r>
      <w:r w:rsidR="00384D42" w:rsidRPr="00384D42">
        <w:rPr>
          <w:sz w:val="18"/>
          <w:szCs w:val="18"/>
        </w:rPr>
        <w:t>π</w:t>
      </w:r>
      <w:r w:rsidRPr="00384D42">
        <w:rPr>
          <w:sz w:val="18"/>
          <w:szCs w:val="18"/>
        </w:rPr>
        <w:t>όροι</w:t>
      </w:r>
      <w:bookmarkEnd w:id="157"/>
      <w:bookmarkEnd w:id="158"/>
    </w:p>
    <w:p w14:paraId="3D4F057B" w14:textId="77777777" w:rsidR="006238D3" w:rsidRPr="006238D3" w:rsidRDefault="006238D3" w:rsidP="006238D3"/>
    <w:tbl>
      <w:tblPr>
        <w:tblW w:w="6520" w:type="dxa"/>
        <w:tblInd w:w="155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118"/>
        <w:gridCol w:w="3402"/>
      </w:tblGrid>
      <w:tr w:rsidR="006238D3" w:rsidRPr="00544E6D" w14:paraId="4074707E" w14:textId="77777777" w:rsidTr="006238D3">
        <w:trPr>
          <w:trHeight w:val="255"/>
        </w:trPr>
        <w:tc>
          <w:tcPr>
            <w:tcW w:w="6520" w:type="dxa"/>
            <w:gridSpan w:val="2"/>
            <w:shd w:val="clear" w:color="000000" w:fill="D5DCE4"/>
            <w:vAlign w:val="center"/>
            <w:hideMark/>
          </w:tcPr>
          <w:p w14:paraId="7272FD83" w14:textId="0AE67F60" w:rsidR="006238D3" w:rsidRPr="00544E6D" w:rsidRDefault="006238D3" w:rsidP="00A4063C">
            <w:pPr>
              <w:spacing w:after="0" w:line="240" w:lineRule="auto"/>
              <w:jc w:val="center"/>
              <w:rPr>
                <w:rFonts w:cs="Arial"/>
                <w:b/>
                <w:bCs/>
                <w:color w:val="000000"/>
                <w:sz w:val="18"/>
                <w:szCs w:val="18"/>
              </w:rPr>
            </w:pPr>
            <w:r w:rsidRPr="00544E6D">
              <w:rPr>
                <w:rFonts w:cs="Arial"/>
                <w:b/>
                <w:bCs/>
                <w:color w:val="000000"/>
                <w:sz w:val="18"/>
                <w:szCs w:val="18"/>
              </w:rPr>
              <w:t xml:space="preserve">Ανθρώπινοι </w:t>
            </w:r>
            <w:r w:rsidR="00E52D51">
              <w:rPr>
                <w:rFonts w:cs="Arial"/>
                <w:b/>
                <w:bCs/>
                <w:color w:val="000000"/>
                <w:sz w:val="18"/>
                <w:szCs w:val="18"/>
              </w:rPr>
              <w:t>π</w:t>
            </w:r>
            <w:r w:rsidRPr="00544E6D">
              <w:rPr>
                <w:rFonts w:cs="Arial"/>
                <w:b/>
                <w:bCs/>
                <w:color w:val="000000"/>
                <w:sz w:val="18"/>
                <w:szCs w:val="18"/>
              </w:rPr>
              <w:t>όροι</w:t>
            </w:r>
          </w:p>
        </w:tc>
      </w:tr>
      <w:tr w:rsidR="006238D3" w:rsidRPr="00544E6D" w14:paraId="08919266" w14:textId="77777777" w:rsidTr="006238D3">
        <w:trPr>
          <w:trHeight w:val="690"/>
        </w:trPr>
        <w:tc>
          <w:tcPr>
            <w:tcW w:w="3118" w:type="dxa"/>
            <w:shd w:val="clear" w:color="000000" w:fill="F2F2F2"/>
            <w:vAlign w:val="center"/>
            <w:hideMark/>
          </w:tcPr>
          <w:p w14:paraId="4E0C6CD0" w14:textId="77777777" w:rsidR="006238D3" w:rsidRPr="00544E6D" w:rsidRDefault="006238D3" w:rsidP="00A4063C">
            <w:pPr>
              <w:spacing w:after="0" w:line="240" w:lineRule="auto"/>
              <w:jc w:val="center"/>
              <w:rPr>
                <w:rFonts w:cs="Arial"/>
                <w:b/>
                <w:bCs/>
                <w:color w:val="000000"/>
                <w:sz w:val="16"/>
                <w:szCs w:val="16"/>
              </w:rPr>
            </w:pPr>
            <w:r w:rsidRPr="00544E6D">
              <w:rPr>
                <w:rFonts w:cs="Arial"/>
                <w:b/>
                <w:bCs/>
                <w:color w:val="000000"/>
                <w:sz w:val="16"/>
                <w:szCs w:val="16"/>
              </w:rPr>
              <w:t>Προσωπικό μισθοδοτούμενο από το Υπ. Εθνικής Άμυνας και από φορείς Γενικής Κυβέρνησης</w:t>
            </w:r>
          </w:p>
        </w:tc>
        <w:tc>
          <w:tcPr>
            <w:tcW w:w="3402" w:type="dxa"/>
            <w:shd w:val="clear" w:color="000000" w:fill="F2F2F2"/>
            <w:vAlign w:val="center"/>
            <w:hideMark/>
          </w:tcPr>
          <w:p w14:paraId="4DB735A3" w14:textId="77777777" w:rsidR="006238D3" w:rsidRPr="00544E6D" w:rsidRDefault="006238D3" w:rsidP="00A4063C">
            <w:pPr>
              <w:spacing w:after="0" w:line="240" w:lineRule="auto"/>
              <w:jc w:val="center"/>
              <w:rPr>
                <w:rFonts w:cs="Arial"/>
                <w:b/>
                <w:bCs/>
                <w:color w:val="000000"/>
                <w:sz w:val="16"/>
                <w:szCs w:val="16"/>
              </w:rPr>
            </w:pPr>
            <w:r w:rsidRPr="00544E6D">
              <w:rPr>
                <w:rFonts w:cs="Arial"/>
                <w:b/>
                <w:bCs/>
                <w:color w:val="000000"/>
                <w:sz w:val="16"/>
                <w:szCs w:val="16"/>
              </w:rPr>
              <w:t>ΠΡΟΣΩΠΙΚΟ 2026</w:t>
            </w:r>
          </w:p>
        </w:tc>
      </w:tr>
      <w:tr w:rsidR="006238D3" w:rsidRPr="00544E6D" w14:paraId="45FD0FDB" w14:textId="77777777" w:rsidTr="006238D3">
        <w:trPr>
          <w:trHeight w:val="345"/>
        </w:trPr>
        <w:tc>
          <w:tcPr>
            <w:tcW w:w="3118" w:type="dxa"/>
            <w:shd w:val="clear" w:color="auto" w:fill="auto"/>
            <w:vAlign w:val="center"/>
            <w:hideMark/>
          </w:tcPr>
          <w:p w14:paraId="53AA00E9" w14:textId="77777777" w:rsidR="006238D3" w:rsidRPr="00544E6D" w:rsidRDefault="006238D3" w:rsidP="00A4063C">
            <w:pPr>
              <w:spacing w:after="0" w:line="240" w:lineRule="auto"/>
              <w:jc w:val="left"/>
              <w:rPr>
                <w:rFonts w:cs="Arial"/>
                <w:color w:val="000000"/>
                <w:sz w:val="16"/>
                <w:szCs w:val="16"/>
              </w:rPr>
            </w:pPr>
            <w:r w:rsidRPr="00544E6D">
              <w:rPr>
                <w:rFonts w:cs="Arial"/>
                <w:color w:val="000000"/>
                <w:sz w:val="16"/>
                <w:szCs w:val="16"/>
              </w:rPr>
              <w:t>Σύνολο Ανθρώπινου Δυναμικού</w:t>
            </w:r>
          </w:p>
        </w:tc>
        <w:tc>
          <w:tcPr>
            <w:tcW w:w="3402" w:type="dxa"/>
            <w:shd w:val="clear" w:color="auto" w:fill="auto"/>
            <w:noWrap/>
            <w:vAlign w:val="center"/>
            <w:hideMark/>
          </w:tcPr>
          <w:p w14:paraId="3BF1CAC7" w14:textId="77777777" w:rsidR="006238D3" w:rsidRPr="00544E6D" w:rsidRDefault="006238D3" w:rsidP="00A4063C">
            <w:pPr>
              <w:spacing w:after="0" w:line="240" w:lineRule="auto"/>
              <w:jc w:val="center"/>
              <w:rPr>
                <w:rFonts w:cs="Arial"/>
                <w:color w:val="000000"/>
                <w:sz w:val="16"/>
                <w:szCs w:val="16"/>
              </w:rPr>
            </w:pPr>
            <w:r w:rsidRPr="00544E6D">
              <w:rPr>
                <w:rFonts w:cs="Arial"/>
                <w:color w:val="000000"/>
                <w:sz w:val="16"/>
                <w:szCs w:val="16"/>
              </w:rPr>
              <w:t>88.126 άτομα</w:t>
            </w:r>
          </w:p>
        </w:tc>
      </w:tr>
      <w:tr w:rsidR="006238D3" w:rsidRPr="00544E6D" w14:paraId="710A46ED" w14:textId="77777777" w:rsidTr="006238D3">
        <w:trPr>
          <w:trHeight w:val="255"/>
        </w:trPr>
        <w:tc>
          <w:tcPr>
            <w:tcW w:w="3118" w:type="dxa"/>
            <w:shd w:val="clear" w:color="000000" w:fill="F2F2F2"/>
            <w:vAlign w:val="center"/>
            <w:hideMark/>
          </w:tcPr>
          <w:p w14:paraId="18561D0D" w14:textId="77777777" w:rsidR="006238D3" w:rsidRPr="00544E6D" w:rsidRDefault="006238D3" w:rsidP="00A4063C">
            <w:pPr>
              <w:spacing w:after="0" w:line="240" w:lineRule="auto"/>
              <w:jc w:val="right"/>
              <w:rPr>
                <w:rFonts w:cs="Arial"/>
                <w:b/>
                <w:bCs/>
                <w:color w:val="000000"/>
                <w:sz w:val="16"/>
                <w:szCs w:val="16"/>
              </w:rPr>
            </w:pPr>
            <w:r w:rsidRPr="00544E6D">
              <w:rPr>
                <w:rFonts w:cs="Arial"/>
                <w:b/>
                <w:bCs/>
                <w:color w:val="000000"/>
                <w:sz w:val="16"/>
                <w:szCs w:val="16"/>
              </w:rPr>
              <w:t>ΣΥΝΟΛΟ</w:t>
            </w:r>
          </w:p>
        </w:tc>
        <w:tc>
          <w:tcPr>
            <w:tcW w:w="3402" w:type="dxa"/>
            <w:shd w:val="clear" w:color="000000" w:fill="F2F2F2"/>
            <w:noWrap/>
            <w:vAlign w:val="center"/>
            <w:hideMark/>
          </w:tcPr>
          <w:p w14:paraId="3AA5430E" w14:textId="77777777" w:rsidR="006238D3" w:rsidRPr="00544E6D" w:rsidRDefault="006238D3" w:rsidP="00A4063C">
            <w:pPr>
              <w:spacing w:after="0" w:line="240" w:lineRule="auto"/>
              <w:jc w:val="center"/>
              <w:rPr>
                <w:rFonts w:cs="Arial"/>
                <w:b/>
                <w:bCs/>
                <w:color w:val="000000"/>
                <w:sz w:val="16"/>
                <w:szCs w:val="16"/>
              </w:rPr>
            </w:pPr>
            <w:r w:rsidRPr="00544E6D">
              <w:rPr>
                <w:rFonts w:cs="Arial"/>
                <w:b/>
                <w:bCs/>
                <w:color w:val="000000"/>
                <w:sz w:val="16"/>
                <w:szCs w:val="16"/>
              </w:rPr>
              <w:t>88.126 άτομα</w:t>
            </w:r>
          </w:p>
        </w:tc>
      </w:tr>
    </w:tbl>
    <w:p w14:paraId="1BA7601D" w14:textId="77777777" w:rsidR="006238D3" w:rsidRDefault="006238D3" w:rsidP="006238D3"/>
    <w:p w14:paraId="61A7115F" w14:textId="77777777" w:rsidR="006238D3" w:rsidRDefault="006238D3" w:rsidP="006238D3"/>
    <w:p w14:paraId="6574F1D8" w14:textId="61524B4B" w:rsidR="00A33B2A" w:rsidRDefault="00A33B2A">
      <w:pPr>
        <w:spacing w:after="0" w:line="240" w:lineRule="auto"/>
        <w:jc w:val="left"/>
        <w:rPr>
          <w:rFonts w:cs="Arial"/>
          <w:b/>
          <w:color w:val="2F5496"/>
          <w:szCs w:val="20"/>
        </w:rPr>
      </w:pPr>
      <w:r>
        <w:rPr>
          <w:rFonts w:cs="Arial"/>
          <w:b/>
          <w:color w:val="2F5496"/>
          <w:szCs w:val="20"/>
        </w:rPr>
        <w:br w:type="page"/>
      </w:r>
    </w:p>
    <w:p w14:paraId="0BFDD071" w14:textId="2F081E08" w:rsidR="00EA1BDB" w:rsidRDefault="007F39B9" w:rsidP="00A30240">
      <w:pPr>
        <w:shd w:val="clear" w:color="auto" w:fill="D5DCE4"/>
        <w:rPr>
          <w:rFonts w:cs="Arial"/>
          <w:b/>
          <w:color w:val="2F5496"/>
          <w:szCs w:val="20"/>
        </w:rPr>
      </w:pPr>
      <w:r w:rsidRPr="002F54E3">
        <w:rPr>
          <w:rFonts w:cs="Arial"/>
          <w:b/>
          <w:color w:val="2F5496"/>
          <w:szCs w:val="20"/>
        </w:rPr>
        <w:lastRenderedPageBreak/>
        <w:t>Υπουργείο Υγείας</w:t>
      </w:r>
    </w:p>
    <w:p w14:paraId="08A2675D" w14:textId="4165CD64" w:rsidR="005B735D" w:rsidRPr="005B735D" w:rsidRDefault="005B735D" w:rsidP="005B735D">
      <w:pPr>
        <w:spacing w:after="60" w:line="240" w:lineRule="auto"/>
        <w:rPr>
          <w:b/>
          <w:sz w:val="18"/>
          <w:szCs w:val="18"/>
        </w:rPr>
      </w:pPr>
      <w:bookmarkStart w:id="159" w:name="_Toc182931575"/>
      <w:r w:rsidRPr="005B735D">
        <w:rPr>
          <w:b/>
          <w:sz w:val="18"/>
          <w:szCs w:val="18"/>
        </w:rPr>
        <w:t>Διάγραμμα 2.</w:t>
      </w:r>
      <w:r w:rsidRPr="005B735D">
        <w:rPr>
          <w:b/>
          <w:sz w:val="18"/>
          <w:szCs w:val="18"/>
        </w:rPr>
        <w:fldChar w:fldCharType="begin"/>
      </w:r>
      <w:r w:rsidRPr="005B735D">
        <w:rPr>
          <w:b/>
          <w:sz w:val="18"/>
          <w:szCs w:val="18"/>
        </w:rPr>
        <w:instrText xml:space="preserve"> SEQ Διάγραμμα_2._ \* ARABIC </w:instrText>
      </w:r>
      <w:r w:rsidRPr="005B735D">
        <w:rPr>
          <w:b/>
          <w:sz w:val="18"/>
          <w:szCs w:val="18"/>
        </w:rPr>
        <w:fldChar w:fldCharType="separate"/>
      </w:r>
      <w:r w:rsidR="00E15678">
        <w:rPr>
          <w:b/>
          <w:noProof/>
          <w:sz w:val="18"/>
          <w:szCs w:val="18"/>
        </w:rPr>
        <w:t>14</w:t>
      </w:r>
      <w:r w:rsidRPr="005B735D">
        <w:rPr>
          <w:b/>
          <w:sz w:val="18"/>
          <w:szCs w:val="18"/>
        </w:rPr>
        <w:fldChar w:fldCharType="end"/>
      </w:r>
      <w:r w:rsidRPr="005B735D">
        <w:rPr>
          <w:b/>
          <w:sz w:val="18"/>
          <w:szCs w:val="18"/>
        </w:rPr>
        <w:t>.: Προϋπολογιζόμενη Δαπάνη Κρατικού Προϋπολογισμού ανά Πρόγραμμα</w:t>
      </w:r>
      <w:bookmarkEnd w:id="159"/>
    </w:p>
    <w:p w14:paraId="6A25EF84" w14:textId="4F36F3F5" w:rsidR="00B90581" w:rsidRPr="00AE0956" w:rsidRDefault="006238D3" w:rsidP="008D1D17">
      <w:pPr>
        <w:spacing w:after="0" w:line="240" w:lineRule="auto"/>
        <w:jc w:val="center"/>
        <w:rPr>
          <w:rFonts w:cs="Arial"/>
          <w:noProof/>
          <w:sz w:val="18"/>
          <w:szCs w:val="18"/>
        </w:rPr>
      </w:pPr>
      <w:r>
        <w:rPr>
          <w:noProof/>
        </w:rPr>
        <w:drawing>
          <wp:inline distT="0" distB="0" distL="0" distR="0" wp14:anchorId="0A39E33C" wp14:editId="72B7E014">
            <wp:extent cx="5759450" cy="2365375"/>
            <wp:effectExtent l="0" t="0" r="0" b="0"/>
            <wp:docPr id="14" name="Γράφημα 14">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6277F0" w14:textId="77777777" w:rsidR="00B90581" w:rsidRDefault="00B90581" w:rsidP="00B90581">
      <w:pPr>
        <w:spacing w:after="0" w:line="240" w:lineRule="auto"/>
        <w:jc w:val="left"/>
        <w:rPr>
          <w:rFonts w:cs="Arial"/>
          <w:noProof/>
          <w:sz w:val="18"/>
          <w:szCs w:val="18"/>
        </w:rPr>
      </w:pPr>
    </w:p>
    <w:p w14:paraId="74E09DBC" w14:textId="6AEA45DA" w:rsidR="005B735D" w:rsidRPr="005B735D" w:rsidRDefault="005B735D" w:rsidP="005B735D">
      <w:pPr>
        <w:spacing w:after="60" w:line="240" w:lineRule="auto"/>
        <w:rPr>
          <w:b/>
          <w:sz w:val="18"/>
          <w:szCs w:val="18"/>
        </w:rPr>
      </w:pPr>
      <w:bookmarkStart w:id="160" w:name="_Toc182931576"/>
      <w:r w:rsidRPr="005B735D">
        <w:rPr>
          <w:b/>
          <w:sz w:val="18"/>
          <w:szCs w:val="18"/>
        </w:rPr>
        <w:t>Διάγραμμα 2.</w:t>
      </w:r>
      <w:r w:rsidRPr="005B735D">
        <w:rPr>
          <w:b/>
          <w:sz w:val="18"/>
          <w:szCs w:val="18"/>
        </w:rPr>
        <w:fldChar w:fldCharType="begin"/>
      </w:r>
      <w:r w:rsidRPr="005B735D">
        <w:rPr>
          <w:b/>
          <w:sz w:val="18"/>
          <w:szCs w:val="18"/>
        </w:rPr>
        <w:instrText xml:space="preserve"> SEQ Διάγραμμα_2._ \* ARABIC </w:instrText>
      </w:r>
      <w:r w:rsidRPr="005B735D">
        <w:rPr>
          <w:b/>
          <w:sz w:val="18"/>
          <w:szCs w:val="18"/>
        </w:rPr>
        <w:fldChar w:fldCharType="separate"/>
      </w:r>
      <w:r w:rsidR="00E15678">
        <w:rPr>
          <w:b/>
          <w:noProof/>
          <w:sz w:val="18"/>
          <w:szCs w:val="18"/>
        </w:rPr>
        <w:t>15</w:t>
      </w:r>
      <w:r w:rsidRPr="005B735D">
        <w:rPr>
          <w:b/>
          <w:sz w:val="18"/>
          <w:szCs w:val="18"/>
        </w:rPr>
        <w:fldChar w:fldCharType="end"/>
      </w:r>
      <w:r w:rsidRPr="005B735D">
        <w:rPr>
          <w:b/>
          <w:sz w:val="18"/>
          <w:szCs w:val="18"/>
        </w:rPr>
        <w:t>.: Προϋπολογιζόμενη Δαπάνη Γενικής Κυβέρνησης ανά Πρόγραμμα</w:t>
      </w:r>
      <w:bookmarkEnd w:id="160"/>
    </w:p>
    <w:p w14:paraId="315E7EAB" w14:textId="6B7B45BC" w:rsidR="00B90581" w:rsidRDefault="006238D3" w:rsidP="008D1D17">
      <w:pPr>
        <w:spacing w:after="0" w:line="240" w:lineRule="auto"/>
        <w:jc w:val="center"/>
        <w:rPr>
          <w:rFonts w:cs="Arial"/>
          <w:noProof/>
          <w:sz w:val="18"/>
          <w:szCs w:val="18"/>
        </w:rPr>
      </w:pPr>
      <w:r>
        <w:rPr>
          <w:noProof/>
        </w:rPr>
        <w:drawing>
          <wp:inline distT="0" distB="0" distL="0" distR="0" wp14:anchorId="732F2EBC" wp14:editId="0217141C">
            <wp:extent cx="5759450" cy="2638425"/>
            <wp:effectExtent l="0" t="0" r="0" b="0"/>
            <wp:docPr id="83" name="Γράφημα 83">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CEC610C" w14:textId="77777777" w:rsidR="00A04686" w:rsidRDefault="00A04686" w:rsidP="008D1D17">
      <w:pPr>
        <w:spacing w:after="0" w:line="240" w:lineRule="auto"/>
        <w:jc w:val="center"/>
        <w:rPr>
          <w:rFonts w:cs="Arial"/>
          <w:noProof/>
          <w:sz w:val="18"/>
          <w:szCs w:val="18"/>
        </w:rPr>
      </w:pPr>
    </w:p>
    <w:p w14:paraId="00F0EF1A" w14:textId="25F7925E" w:rsidR="00D034F2" w:rsidRPr="00D034F2" w:rsidRDefault="00D034F2" w:rsidP="00D034F2">
      <w:pPr>
        <w:spacing w:after="60" w:line="240" w:lineRule="auto"/>
        <w:rPr>
          <w:b/>
          <w:sz w:val="18"/>
          <w:szCs w:val="18"/>
        </w:rPr>
      </w:pPr>
      <w:bookmarkStart w:id="161" w:name="_Toc182931577"/>
      <w:r w:rsidRPr="00D034F2">
        <w:rPr>
          <w:b/>
          <w:sz w:val="18"/>
          <w:szCs w:val="18"/>
        </w:rPr>
        <w:t>Διάγραμμα 2.</w:t>
      </w:r>
      <w:r w:rsidRPr="00D034F2">
        <w:rPr>
          <w:b/>
          <w:sz w:val="18"/>
          <w:szCs w:val="18"/>
        </w:rPr>
        <w:fldChar w:fldCharType="begin"/>
      </w:r>
      <w:r w:rsidRPr="00D034F2">
        <w:rPr>
          <w:b/>
          <w:sz w:val="18"/>
          <w:szCs w:val="18"/>
        </w:rPr>
        <w:instrText xml:space="preserve"> SEQ Διάγραμμα_2._ \* ARABIC </w:instrText>
      </w:r>
      <w:r w:rsidRPr="00D034F2">
        <w:rPr>
          <w:b/>
          <w:sz w:val="18"/>
          <w:szCs w:val="18"/>
        </w:rPr>
        <w:fldChar w:fldCharType="separate"/>
      </w:r>
      <w:r w:rsidR="00E15678">
        <w:rPr>
          <w:b/>
          <w:noProof/>
          <w:sz w:val="18"/>
          <w:szCs w:val="18"/>
        </w:rPr>
        <w:t>16</w:t>
      </w:r>
      <w:r w:rsidRPr="00D034F2">
        <w:rPr>
          <w:b/>
          <w:sz w:val="18"/>
          <w:szCs w:val="18"/>
        </w:rPr>
        <w:fldChar w:fldCharType="end"/>
      </w:r>
      <w:r w:rsidRPr="00D034F2">
        <w:rPr>
          <w:b/>
          <w:sz w:val="18"/>
          <w:szCs w:val="18"/>
        </w:rPr>
        <w:t xml:space="preserve">.: Ανθρώπινοι </w:t>
      </w:r>
      <w:r w:rsidR="00384D42">
        <w:rPr>
          <w:b/>
          <w:sz w:val="18"/>
          <w:szCs w:val="18"/>
        </w:rPr>
        <w:t>π</w:t>
      </w:r>
      <w:r w:rsidRPr="00D034F2">
        <w:rPr>
          <w:b/>
          <w:sz w:val="18"/>
          <w:szCs w:val="18"/>
        </w:rPr>
        <w:t>όροι ανά Πρόγραμμα</w:t>
      </w:r>
      <w:bookmarkEnd w:id="161"/>
    </w:p>
    <w:p w14:paraId="6C5B965D" w14:textId="10A461ED" w:rsidR="006238D3" w:rsidRDefault="006238D3" w:rsidP="00A04686">
      <w:pPr>
        <w:spacing w:after="0" w:line="240" w:lineRule="auto"/>
        <w:jc w:val="center"/>
        <w:rPr>
          <w:noProof/>
        </w:rPr>
      </w:pPr>
      <w:r>
        <w:rPr>
          <w:noProof/>
        </w:rPr>
        <w:drawing>
          <wp:inline distT="0" distB="0" distL="0" distR="0" wp14:anchorId="0D4D898F" wp14:editId="4402060B">
            <wp:extent cx="5759450" cy="2390775"/>
            <wp:effectExtent l="0" t="0" r="0" b="0"/>
            <wp:docPr id="84" name="Γράφημα 84">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1E7D152" w14:textId="1C3D07A9" w:rsidR="00D41062" w:rsidRDefault="00D41062" w:rsidP="00A04686">
      <w:pPr>
        <w:spacing w:after="0" w:line="240" w:lineRule="auto"/>
        <w:jc w:val="center"/>
        <w:rPr>
          <w:rFonts w:cs="Arial"/>
          <w:b/>
          <w:color w:val="2F5496"/>
          <w:szCs w:val="20"/>
          <w:highlight w:val="yellow"/>
        </w:rPr>
      </w:pPr>
      <w:r>
        <w:rPr>
          <w:rFonts w:cs="Arial"/>
          <w:b/>
          <w:color w:val="2F5496"/>
          <w:szCs w:val="20"/>
          <w:highlight w:val="yellow"/>
        </w:rPr>
        <w:br w:type="page"/>
      </w:r>
    </w:p>
    <w:p w14:paraId="41591A3D" w14:textId="48C61386" w:rsidR="007F39B9" w:rsidRPr="002F54E3" w:rsidRDefault="007F39B9" w:rsidP="00A30240">
      <w:pPr>
        <w:shd w:val="clear" w:color="auto" w:fill="D5DCE4"/>
        <w:rPr>
          <w:rFonts w:cs="Arial"/>
          <w:b/>
          <w:color w:val="2F5496"/>
          <w:szCs w:val="20"/>
        </w:rPr>
      </w:pPr>
      <w:r w:rsidRPr="002F54E3">
        <w:rPr>
          <w:rFonts w:cs="Arial"/>
          <w:b/>
          <w:color w:val="2F5496"/>
          <w:szCs w:val="20"/>
        </w:rPr>
        <w:lastRenderedPageBreak/>
        <w:t>Υπουργείο Δικαιοσύνης</w:t>
      </w:r>
    </w:p>
    <w:p w14:paraId="4CC49F3C" w14:textId="1D0191E4" w:rsidR="00D458A2" w:rsidRPr="00D458A2" w:rsidRDefault="00D458A2" w:rsidP="00D458A2">
      <w:pPr>
        <w:spacing w:after="60" w:line="240" w:lineRule="auto"/>
        <w:rPr>
          <w:b/>
          <w:sz w:val="18"/>
          <w:szCs w:val="18"/>
        </w:rPr>
      </w:pPr>
      <w:bookmarkStart w:id="162" w:name="_Toc182931578"/>
      <w:r w:rsidRPr="00D458A2">
        <w:rPr>
          <w:b/>
          <w:sz w:val="18"/>
          <w:szCs w:val="18"/>
        </w:rPr>
        <w:t>Διάγραμμα 2.</w:t>
      </w:r>
      <w:r w:rsidRPr="00D458A2">
        <w:rPr>
          <w:b/>
          <w:sz w:val="18"/>
          <w:szCs w:val="18"/>
        </w:rPr>
        <w:fldChar w:fldCharType="begin"/>
      </w:r>
      <w:r w:rsidRPr="00D458A2">
        <w:rPr>
          <w:b/>
          <w:sz w:val="18"/>
          <w:szCs w:val="18"/>
        </w:rPr>
        <w:instrText xml:space="preserve"> SEQ Διάγραμμα_2._ \* ARABIC </w:instrText>
      </w:r>
      <w:r w:rsidRPr="00D458A2">
        <w:rPr>
          <w:b/>
          <w:sz w:val="18"/>
          <w:szCs w:val="18"/>
        </w:rPr>
        <w:fldChar w:fldCharType="separate"/>
      </w:r>
      <w:r w:rsidR="00E15678">
        <w:rPr>
          <w:b/>
          <w:noProof/>
          <w:sz w:val="18"/>
          <w:szCs w:val="18"/>
        </w:rPr>
        <w:t>17</w:t>
      </w:r>
      <w:r w:rsidRPr="00D458A2">
        <w:rPr>
          <w:b/>
          <w:sz w:val="18"/>
          <w:szCs w:val="18"/>
        </w:rPr>
        <w:fldChar w:fldCharType="end"/>
      </w:r>
      <w:r w:rsidRPr="00D458A2">
        <w:rPr>
          <w:b/>
          <w:sz w:val="18"/>
          <w:szCs w:val="18"/>
        </w:rPr>
        <w:t>.: Προϋπολογιζόμενη Δαπάνη Κρατικού Προϋπολογισμού ανά Πρόγραμμα</w:t>
      </w:r>
      <w:bookmarkEnd w:id="162"/>
    </w:p>
    <w:p w14:paraId="27FA3EBF" w14:textId="6EABC463" w:rsidR="002F54E3" w:rsidRPr="00AE0956" w:rsidRDefault="006238D3" w:rsidP="008D1D17">
      <w:pPr>
        <w:spacing w:after="0" w:line="240" w:lineRule="auto"/>
        <w:jc w:val="center"/>
        <w:rPr>
          <w:rFonts w:cs="Arial"/>
          <w:sz w:val="18"/>
          <w:szCs w:val="18"/>
        </w:rPr>
      </w:pPr>
      <w:r>
        <w:rPr>
          <w:noProof/>
        </w:rPr>
        <w:drawing>
          <wp:inline distT="0" distB="0" distL="0" distR="0" wp14:anchorId="4E9A0213" wp14:editId="3CD062A0">
            <wp:extent cx="5759450" cy="2423795"/>
            <wp:effectExtent l="0" t="0" r="0" b="0"/>
            <wp:docPr id="85" name="Γράφημα 85">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43AFE51" w14:textId="77777777" w:rsidR="002F54E3" w:rsidRPr="00F24001" w:rsidRDefault="002F54E3" w:rsidP="002F54E3">
      <w:pPr>
        <w:spacing w:after="0" w:line="240" w:lineRule="auto"/>
        <w:rPr>
          <w:rFonts w:cs="Arial"/>
          <w:sz w:val="18"/>
          <w:szCs w:val="18"/>
        </w:rPr>
      </w:pPr>
    </w:p>
    <w:p w14:paraId="5118A7A9" w14:textId="09DA4607" w:rsidR="00D458A2" w:rsidRPr="00D458A2" w:rsidRDefault="00D458A2" w:rsidP="00D458A2">
      <w:pPr>
        <w:spacing w:after="60" w:line="240" w:lineRule="auto"/>
        <w:rPr>
          <w:b/>
          <w:sz w:val="18"/>
          <w:szCs w:val="18"/>
        </w:rPr>
      </w:pPr>
      <w:bookmarkStart w:id="163" w:name="_Toc182931579"/>
      <w:r w:rsidRPr="00D458A2">
        <w:rPr>
          <w:b/>
          <w:sz w:val="18"/>
          <w:szCs w:val="18"/>
        </w:rPr>
        <w:t>Διάγραμμα 2.</w:t>
      </w:r>
      <w:r w:rsidRPr="00D458A2">
        <w:rPr>
          <w:b/>
          <w:sz w:val="18"/>
          <w:szCs w:val="18"/>
        </w:rPr>
        <w:fldChar w:fldCharType="begin"/>
      </w:r>
      <w:r w:rsidRPr="00D458A2">
        <w:rPr>
          <w:b/>
          <w:sz w:val="18"/>
          <w:szCs w:val="18"/>
        </w:rPr>
        <w:instrText xml:space="preserve"> SEQ Διάγραμμα_2._ \* ARABIC </w:instrText>
      </w:r>
      <w:r w:rsidRPr="00D458A2">
        <w:rPr>
          <w:b/>
          <w:sz w:val="18"/>
          <w:szCs w:val="18"/>
        </w:rPr>
        <w:fldChar w:fldCharType="separate"/>
      </w:r>
      <w:r w:rsidR="00E15678">
        <w:rPr>
          <w:b/>
          <w:noProof/>
          <w:sz w:val="18"/>
          <w:szCs w:val="18"/>
        </w:rPr>
        <w:t>18</w:t>
      </w:r>
      <w:r w:rsidRPr="00D458A2">
        <w:rPr>
          <w:b/>
          <w:sz w:val="18"/>
          <w:szCs w:val="18"/>
        </w:rPr>
        <w:fldChar w:fldCharType="end"/>
      </w:r>
      <w:r w:rsidRPr="00D458A2">
        <w:rPr>
          <w:b/>
          <w:sz w:val="18"/>
          <w:szCs w:val="18"/>
        </w:rPr>
        <w:t>.: Προϋπολογιζόμενη Δαπάνη Γενικής Κυβέρνησης ανά Πρόγραμμα</w:t>
      </w:r>
      <w:bookmarkEnd w:id="163"/>
    </w:p>
    <w:p w14:paraId="071B0136" w14:textId="762EC748" w:rsidR="002F54E3" w:rsidRDefault="006238D3" w:rsidP="006238D3">
      <w:pPr>
        <w:spacing w:after="0" w:line="240" w:lineRule="auto"/>
        <w:rPr>
          <w:rFonts w:cs="Arial"/>
          <w:sz w:val="18"/>
          <w:szCs w:val="18"/>
        </w:rPr>
      </w:pPr>
      <w:r>
        <w:rPr>
          <w:noProof/>
        </w:rPr>
        <w:drawing>
          <wp:inline distT="0" distB="0" distL="0" distR="0" wp14:anchorId="7BA000C0" wp14:editId="390B2CE9">
            <wp:extent cx="5759450" cy="2695575"/>
            <wp:effectExtent l="0" t="0" r="0" b="0"/>
            <wp:docPr id="18" name="Γράφημα 18">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20A2AF1" w14:textId="0962F37D" w:rsidR="002F54E3" w:rsidRDefault="002F54E3" w:rsidP="002F54E3">
      <w:pPr>
        <w:spacing w:after="0" w:line="240" w:lineRule="auto"/>
        <w:rPr>
          <w:rFonts w:cs="Arial"/>
          <w:sz w:val="18"/>
          <w:szCs w:val="18"/>
        </w:rPr>
      </w:pPr>
    </w:p>
    <w:p w14:paraId="3423C792" w14:textId="77777777" w:rsidR="00A04686" w:rsidRDefault="00A04686" w:rsidP="002F54E3">
      <w:pPr>
        <w:spacing w:after="0" w:line="240" w:lineRule="auto"/>
        <w:rPr>
          <w:rFonts w:cs="Arial"/>
          <w:sz w:val="18"/>
          <w:szCs w:val="18"/>
        </w:rPr>
      </w:pPr>
    </w:p>
    <w:p w14:paraId="4677E9BF" w14:textId="12147D8F" w:rsidR="00D458A2" w:rsidRPr="00D458A2" w:rsidRDefault="00D458A2" w:rsidP="00D458A2">
      <w:pPr>
        <w:spacing w:after="60" w:line="240" w:lineRule="auto"/>
        <w:rPr>
          <w:b/>
          <w:sz w:val="18"/>
          <w:szCs w:val="18"/>
        </w:rPr>
      </w:pPr>
      <w:bookmarkStart w:id="164" w:name="_Toc182931580"/>
      <w:r w:rsidRPr="00D458A2">
        <w:rPr>
          <w:b/>
          <w:sz w:val="18"/>
          <w:szCs w:val="18"/>
        </w:rPr>
        <w:t>Διάγραμμα 2.</w:t>
      </w:r>
      <w:r w:rsidRPr="00D458A2">
        <w:rPr>
          <w:b/>
          <w:sz w:val="18"/>
          <w:szCs w:val="18"/>
        </w:rPr>
        <w:fldChar w:fldCharType="begin"/>
      </w:r>
      <w:r w:rsidRPr="00D458A2">
        <w:rPr>
          <w:b/>
          <w:sz w:val="18"/>
          <w:szCs w:val="18"/>
        </w:rPr>
        <w:instrText xml:space="preserve"> SEQ Διάγραμμα_2._ \* ARABIC </w:instrText>
      </w:r>
      <w:r w:rsidRPr="00D458A2">
        <w:rPr>
          <w:b/>
          <w:sz w:val="18"/>
          <w:szCs w:val="18"/>
        </w:rPr>
        <w:fldChar w:fldCharType="separate"/>
      </w:r>
      <w:r w:rsidR="00E15678">
        <w:rPr>
          <w:b/>
          <w:noProof/>
          <w:sz w:val="18"/>
          <w:szCs w:val="18"/>
        </w:rPr>
        <w:t>19</w:t>
      </w:r>
      <w:r w:rsidRPr="00D458A2">
        <w:rPr>
          <w:b/>
          <w:sz w:val="18"/>
          <w:szCs w:val="18"/>
        </w:rPr>
        <w:fldChar w:fldCharType="end"/>
      </w:r>
      <w:r w:rsidRPr="00D458A2">
        <w:rPr>
          <w:b/>
          <w:sz w:val="18"/>
          <w:szCs w:val="18"/>
        </w:rPr>
        <w:t xml:space="preserve">.: Ανθρώπινοι </w:t>
      </w:r>
      <w:r w:rsidR="00384D42">
        <w:rPr>
          <w:b/>
          <w:sz w:val="18"/>
          <w:szCs w:val="18"/>
        </w:rPr>
        <w:t>π</w:t>
      </w:r>
      <w:r w:rsidRPr="00D458A2">
        <w:rPr>
          <w:b/>
          <w:sz w:val="18"/>
          <w:szCs w:val="18"/>
        </w:rPr>
        <w:t>όροι ανά Πρόγραμμα</w:t>
      </w:r>
      <w:bookmarkEnd w:id="164"/>
    </w:p>
    <w:p w14:paraId="5FC37790" w14:textId="7D7060AF" w:rsidR="002F54E3" w:rsidRDefault="006238D3" w:rsidP="006238D3">
      <w:pPr>
        <w:spacing w:after="0" w:line="240" w:lineRule="auto"/>
        <w:rPr>
          <w:rFonts w:cs="Arial"/>
          <w:sz w:val="18"/>
          <w:szCs w:val="18"/>
        </w:rPr>
      </w:pPr>
      <w:r>
        <w:rPr>
          <w:noProof/>
        </w:rPr>
        <w:drawing>
          <wp:inline distT="0" distB="0" distL="0" distR="0" wp14:anchorId="5B3A137B" wp14:editId="242D2BED">
            <wp:extent cx="5759450" cy="2325370"/>
            <wp:effectExtent l="0" t="0" r="0" b="0"/>
            <wp:docPr id="19" name="Γράφημα 19">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B0567D3" w14:textId="162E75FA" w:rsidR="002F54E3" w:rsidRDefault="002F54E3">
      <w:pPr>
        <w:spacing w:after="0" w:line="240" w:lineRule="auto"/>
        <w:jc w:val="left"/>
        <w:rPr>
          <w:rFonts w:cs="Arial"/>
          <w:b/>
          <w:color w:val="2F5496"/>
          <w:szCs w:val="20"/>
          <w:highlight w:val="yellow"/>
        </w:rPr>
      </w:pPr>
      <w:r>
        <w:rPr>
          <w:rFonts w:cs="Arial"/>
          <w:b/>
          <w:color w:val="2F5496"/>
          <w:szCs w:val="20"/>
          <w:highlight w:val="yellow"/>
        </w:rPr>
        <w:br w:type="page"/>
      </w:r>
    </w:p>
    <w:p w14:paraId="35132895" w14:textId="416E998C" w:rsidR="007F39B9" w:rsidRPr="00444120" w:rsidRDefault="007F39B9" w:rsidP="007F39B9">
      <w:pPr>
        <w:shd w:val="clear" w:color="auto" w:fill="D5DCE4"/>
        <w:rPr>
          <w:rFonts w:cs="Arial"/>
          <w:b/>
          <w:color w:val="2F5496"/>
          <w:szCs w:val="20"/>
        </w:rPr>
      </w:pPr>
      <w:r w:rsidRPr="00444120">
        <w:rPr>
          <w:rFonts w:cs="Arial"/>
          <w:b/>
          <w:color w:val="2F5496"/>
          <w:szCs w:val="20"/>
        </w:rPr>
        <w:lastRenderedPageBreak/>
        <w:t>Υπουργείο Παιδείας, Θρησκευμάτων και Αθλητισμού</w:t>
      </w:r>
    </w:p>
    <w:p w14:paraId="343BB19E" w14:textId="71D71996" w:rsidR="005F17F6" w:rsidRPr="005F17F6" w:rsidRDefault="005F17F6" w:rsidP="005F17F6">
      <w:pPr>
        <w:spacing w:after="60" w:line="240" w:lineRule="auto"/>
        <w:rPr>
          <w:b/>
          <w:sz w:val="18"/>
          <w:szCs w:val="18"/>
        </w:rPr>
      </w:pPr>
      <w:bookmarkStart w:id="165" w:name="_Toc182931581"/>
      <w:r w:rsidRPr="005F17F6">
        <w:rPr>
          <w:b/>
          <w:sz w:val="18"/>
          <w:szCs w:val="18"/>
        </w:rPr>
        <w:t>Διάγραμμα 2.</w:t>
      </w:r>
      <w:r w:rsidRPr="005F17F6">
        <w:rPr>
          <w:b/>
          <w:sz w:val="18"/>
          <w:szCs w:val="18"/>
        </w:rPr>
        <w:fldChar w:fldCharType="begin"/>
      </w:r>
      <w:r w:rsidRPr="005F17F6">
        <w:rPr>
          <w:b/>
          <w:sz w:val="18"/>
          <w:szCs w:val="18"/>
        </w:rPr>
        <w:instrText xml:space="preserve"> SEQ Διάγραμμα_2._ \* ARABIC </w:instrText>
      </w:r>
      <w:r w:rsidRPr="005F17F6">
        <w:rPr>
          <w:b/>
          <w:sz w:val="18"/>
          <w:szCs w:val="18"/>
        </w:rPr>
        <w:fldChar w:fldCharType="separate"/>
      </w:r>
      <w:r w:rsidR="00E15678">
        <w:rPr>
          <w:b/>
          <w:noProof/>
          <w:sz w:val="18"/>
          <w:szCs w:val="18"/>
        </w:rPr>
        <w:t>20</w:t>
      </w:r>
      <w:r w:rsidRPr="005F17F6">
        <w:rPr>
          <w:b/>
          <w:sz w:val="18"/>
          <w:szCs w:val="18"/>
        </w:rPr>
        <w:fldChar w:fldCharType="end"/>
      </w:r>
      <w:r w:rsidRPr="005F17F6">
        <w:rPr>
          <w:b/>
          <w:sz w:val="18"/>
          <w:szCs w:val="18"/>
        </w:rPr>
        <w:t>.: Προϋπολογιζόμενη Δαπάνη Κρατικού Προϋπολογισμού ανά Πρόγραμμα</w:t>
      </w:r>
      <w:bookmarkEnd w:id="165"/>
    </w:p>
    <w:p w14:paraId="30DA8829" w14:textId="03D8408C" w:rsidR="00444120" w:rsidRPr="00F710D2" w:rsidRDefault="006238D3" w:rsidP="006238D3">
      <w:pPr>
        <w:tabs>
          <w:tab w:val="left" w:pos="284"/>
        </w:tabs>
        <w:spacing w:after="0" w:line="240" w:lineRule="auto"/>
        <w:contextualSpacing/>
        <w:jc w:val="center"/>
        <w:rPr>
          <w:rFonts w:cs="Arial"/>
          <w:noProof/>
          <w:color w:val="000000" w:themeColor="text1"/>
          <w:sz w:val="18"/>
          <w:szCs w:val="18"/>
        </w:rPr>
      </w:pPr>
      <w:r>
        <w:rPr>
          <w:noProof/>
        </w:rPr>
        <w:drawing>
          <wp:inline distT="0" distB="0" distL="0" distR="0" wp14:anchorId="1A30EFD6" wp14:editId="3873F0C3">
            <wp:extent cx="5759450" cy="3081020"/>
            <wp:effectExtent l="0" t="0" r="0" b="5080"/>
            <wp:docPr id="86" name="Γράφημα 86">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E7A8AC6" w14:textId="77777777" w:rsidR="00B3600A" w:rsidRDefault="00B3600A" w:rsidP="005F17F6">
      <w:pPr>
        <w:spacing w:after="60" w:line="240" w:lineRule="auto"/>
        <w:rPr>
          <w:b/>
          <w:sz w:val="18"/>
          <w:szCs w:val="18"/>
        </w:rPr>
      </w:pPr>
    </w:p>
    <w:p w14:paraId="7E721CDD" w14:textId="2EBC3BA7" w:rsidR="005F17F6" w:rsidRPr="005F17F6" w:rsidRDefault="005F17F6" w:rsidP="005F17F6">
      <w:pPr>
        <w:spacing w:after="60" w:line="240" w:lineRule="auto"/>
        <w:rPr>
          <w:b/>
          <w:sz w:val="18"/>
          <w:szCs w:val="18"/>
        </w:rPr>
      </w:pPr>
      <w:bookmarkStart w:id="166" w:name="_Toc182931582"/>
      <w:r w:rsidRPr="005F17F6">
        <w:rPr>
          <w:b/>
          <w:sz w:val="18"/>
          <w:szCs w:val="18"/>
        </w:rPr>
        <w:t>Διάγραμμα 2.</w:t>
      </w:r>
      <w:r w:rsidRPr="005F17F6">
        <w:rPr>
          <w:b/>
          <w:sz w:val="18"/>
          <w:szCs w:val="18"/>
        </w:rPr>
        <w:fldChar w:fldCharType="begin"/>
      </w:r>
      <w:r w:rsidRPr="005F17F6">
        <w:rPr>
          <w:b/>
          <w:sz w:val="18"/>
          <w:szCs w:val="18"/>
        </w:rPr>
        <w:instrText xml:space="preserve"> SEQ Διάγραμμα_2._ \* ARABIC </w:instrText>
      </w:r>
      <w:r w:rsidRPr="005F17F6">
        <w:rPr>
          <w:b/>
          <w:sz w:val="18"/>
          <w:szCs w:val="18"/>
        </w:rPr>
        <w:fldChar w:fldCharType="separate"/>
      </w:r>
      <w:r w:rsidR="00E15678">
        <w:rPr>
          <w:b/>
          <w:noProof/>
          <w:sz w:val="18"/>
          <w:szCs w:val="18"/>
        </w:rPr>
        <w:t>21</w:t>
      </w:r>
      <w:r w:rsidRPr="005F17F6">
        <w:rPr>
          <w:b/>
          <w:sz w:val="18"/>
          <w:szCs w:val="18"/>
        </w:rPr>
        <w:fldChar w:fldCharType="end"/>
      </w:r>
      <w:r w:rsidRPr="005F17F6">
        <w:rPr>
          <w:b/>
          <w:sz w:val="18"/>
          <w:szCs w:val="18"/>
        </w:rPr>
        <w:t>.: Προϋπολογιζόμενη Δαπάνη Γενικής Κυβέρνησης ανά Πρόγραμμα</w:t>
      </w:r>
      <w:bookmarkEnd w:id="166"/>
    </w:p>
    <w:p w14:paraId="6C2D7290" w14:textId="633A89A7" w:rsidR="00444120" w:rsidRDefault="006238D3" w:rsidP="008D1D17">
      <w:pPr>
        <w:tabs>
          <w:tab w:val="left" w:pos="284"/>
        </w:tabs>
        <w:spacing w:after="0" w:line="240" w:lineRule="auto"/>
        <w:contextualSpacing/>
        <w:rPr>
          <w:rFonts w:cs="Arial"/>
          <w:color w:val="000000" w:themeColor="text1"/>
          <w:sz w:val="18"/>
          <w:szCs w:val="18"/>
        </w:rPr>
      </w:pPr>
      <w:r>
        <w:rPr>
          <w:noProof/>
        </w:rPr>
        <w:drawing>
          <wp:anchor distT="0" distB="0" distL="114300" distR="114300" simplePos="0" relativeHeight="251662336" behindDoc="0" locked="0" layoutInCell="1" allowOverlap="1" wp14:anchorId="57BFC07B" wp14:editId="5EA6684C">
            <wp:simplePos x="0" y="0"/>
            <wp:positionH relativeFrom="column">
              <wp:posOffset>0</wp:posOffset>
            </wp:positionH>
            <wp:positionV relativeFrom="paragraph">
              <wp:posOffset>131445</wp:posOffset>
            </wp:positionV>
            <wp:extent cx="5759450" cy="2265680"/>
            <wp:effectExtent l="0" t="0" r="0" b="1270"/>
            <wp:wrapSquare wrapText="bothSides"/>
            <wp:docPr id="87" name="Γράφημα 87">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V relativeFrom="margin">
              <wp14:pctHeight>0</wp14:pctHeight>
            </wp14:sizeRelV>
          </wp:anchor>
        </w:drawing>
      </w:r>
    </w:p>
    <w:p w14:paraId="2690EA10" w14:textId="77777777" w:rsidR="00444120" w:rsidRDefault="00444120" w:rsidP="00444120">
      <w:pPr>
        <w:tabs>
          <w:tab w:val="left" w:pos="284"/>
        </w:tabs>
        <w:spacing w:after="0" w:line="240" w:lineRule="auto"/>
        <w:contextualSpacing/>
        <w:jc w:val="left"/>
        <w:rPr>
          <w:rFonts w:cs="Arial"/>
          <w:color w:val="000000" w:themeColor="text1"/>
          <w:sz w:val="18"/>
          <w:szCs w:val="18"/>
        </w:rPr>
      </w:pPr>
    </w:p>
    <w:p w14:paraId="001A0967" w14:textId="15EE4302" w:rsidR="005F17F6" w:rsidRPr="005F17F6" w:rsidRDefault="005F17F6" w:rsidP="005F17F6">
      <w:pPr>
        <w:spacing w:after="60" w:line="240" w:lineRule="auto"/>
        <w:rPr>
          <w:b/>
          <w:sz w:val="18"/>
          <w:szCs w:val="18"/>
        </w:rPr>
      </w:pPr>
      <w:bookmarkStart w:id="167" w:name="_Toc182931583"/>
      <w:r w:rsidRPr="005F17F6">
        <w:rPr>
          <w:b/>
          <w:sz w:val="18"/>
          <w:szCs w:val="18"/>
        </w:rPr>
        <w:t>Διάγραμμα 2.</w:t>
      </w:r>
      <w:r w:rsidRPr="005F17F6">
        <w:rPr>
          <w:b/>
          <w:sz w:val="18"/>
          <w:szCs w:val="18"/>
        </w:rPr>
        <w:fldChar w:fldCharType="begin"/>
      </w:r>
      <w:r w:rsidRPr="005F17F6">
        <w:rPr>
          <w:b/>
          <w:sz w:val="18"/>
          <w:szCs w:val="18"/>
        </w:rPr>
        <w:instrText xml:space="preserve"> SEQ Διάγραμμα_2._ \* ARABIC </w:instrText>
      </w:r>
      <w:r w:rsidRPr="005F17F6">
        <w:rPr>
          <w:b/>
          <w:sz w:val="18"/>
          <w:szCs w:val="18"/>
        </w:rPr>
        <w:fldChar w:fldCharType="separate"/>
      </w:r>
      <w:r w:rsidR="00E15678">
        <w:rPr>
          <w:b/>
          <w:noProof/>
          <w:sz w:val="18"/>
          <w:szCs w:val="18"/>
        </w:rPr>
        <w:t>22</w:t>
      </w:r>
      <w:r w:rsidRPr="005F17F6">
        <w:rPr>
          <w:b/>
          <w:sz w:val="18"/>
          <w:szCs w:val="18"/>
        </w:rPr>
        <w:fldChar w:fldCharType="end"/>
      </w:r>
      <w:r w:rsidRPr="005F17F6">
        <w:rPr>
          <w:b/>
          <w:sz w:val="18"/>
          <w:szCs w:val="18"/>
        </w:rPr>
        <w:t xml:space="preserve">.: Ανθρώπινοι </w:t>
      </w:r>
      <w:r w:rsidR="00384D42">
        <w:rPr>
          <w:b/>
          <w:sz w:val="18"/>
          <w:szCs w:val="18"/>
        </w:rPr>
        <w:t>π</w:t>
      </w:r>
      <w:r w:rsidRPr="005F17F6">
        <w:rPr>
          <w:b/>
          <w:sz w:val="18"/>
          <w:szCs w:val="18"/>
        </w:rPr>
        <w:t>όροι ανά Πρόγραμμα</w:t>
      </w:r>
      <w:bookmarkEnd w:id="167"/>
    </w:p>
    <w:p w14:paraId="08FEAA1C" w14:textId="76307F42" w:rsidR="00444120" w:rsidRDefault="006238D3" w:rsidP="006238D3">
      <w:pPr>
        <w:tabs>
          <w:tab w:val="left" w:pos="284"/>
        </w:tabs>
        <w:spacing w:after="0" w:line="240" w:lineRule="auto"/>
        <w:contextualSpacing/>
        <w:rPr>
          <w:rFonts w:cs="Arial"/>
          <w:color w:val="000000" w:themeColor="text1"/>
          <w:sz w:val="18"/>
          <w:szCs w:val="18"/>
        </w:rPr>
      </w:pPr>
      <w:r>
        <w:rPr>
          <w:noProof/>
        </w:rPr>
        <w:drawing>
          <wp:inline distT="0" distB="0" distL="0" distR="0" wp14:anchorId="3D8F09A7" wp14:editId="4F5B7F18">
            <wp:extent cx="5759450" cy="2276475"/>
            <wp:effectExtent l="0" t="0" r="0" b="0"/>
            <wp:docPr id="88" name="Γράφημα 88">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2123128" w14:textId="3273EF1C" w:rsidR="00A33B2A" w:rsidRDefault="00A33B2A">
      <w:pPr>
        <w:spacing w:after="0" w:line="240" w:lineRule="auto"/>
        <w:jc w:val="left"/>
        <w:rPr>
          <w:rFonts w:cs="Arial"/>
          <w:b/>
          <w:color w:val="2F5496"/>
          <w:szCs w:val="20"/>
        </w:rPr>
      </w:pPr>
      <w:r>
        <w:rPr>
          <w:rFonts w:cs="Arial"/>
          <w:b/>
          <w:color w:val="2F5496"/>
          <w:szCs w:val="20"/>
        </w:rPr>
        <w:br w:type="page"/>
      </w:r>
    </w:p>
    <w:p w14:paraId="591432F0" w14:textId="526EDC9C" w:rsidR="007F39B9" w:rsidRPr="002B3CBB" w:rsidRDefault="007F39B9" w:rsidP="007F39B9">
      <w:pPr>
        <w:shd w:val="clear" w:color="auto" w:fill="D5DCE4"/>
        <w:rPr>
          <w:rFonts w:cs="Arial"/>
          <w:b/>
          <w:color w:val="2F5496"/>
          <w:szCs w:val="20"/>
        </w:rPr>
      </w:pPr>
      <w:r w:rsidRPr="00444120">
        <w:rPr>
          <w:rFonts w:cs="Arial"/>
          <w:b/>
          <w:color w:val="2F5496"/>
          <w:szCs w:val="20"/>
        </w:rPr>
        <w:lastRenderedPageBreak/>
        <w:t>Υπουργείο Πολιτισμού</w:t>
      </w:r>
    </w:p>
    <w:p w14:paraId="5E930997" w14:textId="5C5204C7" w:rsidR="00D12D45" w:rsidRPr="00D12D45" w:rsidRDefault="00D12D45" w:rsidP="00D12D45">
      <w:pPr>
        <w:spacing w:after="60" w:line="240" w:lineRule="auto"/>
        <w:rPr>
          <w:b/>
          <w:sz w:val="18"/>
          <w:szCs w:val="18"/>
        </w:rPr>
      </w:pPr>
      <w:bookmarkStart w:id="168" w:name="_Toc182931584"/>
      <w:r w:rsidRPr="00D12D45">
        <w:rPr>
          <w:b/>
          <w:sz w:val="18"/>
          <w:szCs w:val="18"/>
        </w:rPr>
        <w:t>Διάγραμμα 2.</w:t>
      </w:r>
      <w:r w:rsidRPr="00D12D45">
        <w:rPr>
          <w:b/>
          <w:sz w:val="18"/>
          <w:szCs w:val="18"/>
        </w:rPr>
        <w:fldChar w:fldCharType="begin"/>
      </w:r>
      <w:r w:rsidRPr="00D12D45">
        <w:rPr>
          <w:b/>
          <w:sz w:val="18"/>
          <w:szCs w:val="18"/>
        </w:rPr>
        <w:instrText xml:space="preserve"> SEQ Διάγραμμα_2._ \* ARABIC </w:instrText>
      </w:r>
      <w:r w:rsidRPr="00D12D45">
        <w:rPr>
          <w:b/>
          <w:sz w:val="18"/>
          <w:szCs w:val="18"/>
        </w:rPr>
        <w:fldChar w:fldCharType="separate"/>
      </w:r>
      <w:r w:rsidR="00E15678">
        <w:rPr>
          <w:b/>
          <w:noProof/>
          <w:sz w:val="18"/>
          <w:szCs w:val="18"/>
        </w:rPr>
        <w:t>23</w:t>
      </w:r>
      <w:r w:rsidRPr="00D12D45">
        <w:rPr>
          <w:b/>
          <w:sz w:val="18"/>
          <w:szCs w:val="18"/>
        </w:rPr>
        <w:fldChar w:fldCharType="end"/>
      </w:r>
      <w:r w:rsidRPr="00D12D45">
        <w:rPr>
          <w:b/>
          <w:sz w:val="18"/>
          <w:szCs w:val="18"/>
        </w:rPr>
        <w:t>.: Προϋπολογιζόμενη Δαπάνη Κρατικού Προϋπολογισμού ανά Πρόγραμμα</w:t>
      </w:r>
      <w:bookmarkEnd w:id="168"/>
    </w:p>
    <w:p w14:paraId="7AC0452E" w14:textId="301BE845" w:rsidR="00444120" w:rsidRDefault="006238D3" w:rsidP="006238D3">
      <w:pPr>
        <w:spacing w:after="0" w:line="240" w:lineRule="auto"/>
        <w:rPr>
          <w:rFonts w:cs="Arial"/>
          <w:sz w:val="18"/>
          <w:szCs w:val="18"/>
        </w:rPr>
      </w:pPr>
      <w:r>
        <w:rPr>
          <w:noProof/>
        </w:rPr>
        <w:drawing>
          <wp:inline distT="0" distB="0" distL="0" distR="0" wp14:anchorId="39AA7C21" wp14:editId="5335F856">
            <wp:extent cx="5759450" cy="1990725"/>
            <wp:effectExtent l="0" t="0" r="0" b="0"/>
            <wp:docPr id="89" name="Γράφημα 89">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D2AFF21" w14:textId="5BABF89D" w:rsidR="00444120" w:rsidRDefault="00444120" w:rsidP="00444120">
      <w:pPr>
        <w:spacing w:after="0" w:line="240" w:lineRule="auto"/>
        <w:rPr>
          <w:rFonts w:cs="Arial"/>
          <w:sz w:val="18"/>
          <w:szCs w:val="18"/>
        </w:rPr>
      </w:pPr>
    </w:p>
    <w:p w14:paraId="6F6D914C" w14:textId="77777777" w:rsidR="00A04686" w:rsidRDefault="00A04686" w:rsidP="00444120">
      <w:pPr>
        <w:spacing w:after="0" w:line="240" w:lineRule="auto"/>
        <w:rPr>
          <w:rFonts w:cs="Arial"/>
          <w:sz w:val="18"/>
          <w:szCs w:val="18"/>
        </w:rPr>
      </w:pPr>
    </w:p>
    <w:p w14:paraId="358A73EC" w14:textId="77777777" w:rsidR="00444120" w:rsidRPr="00286385" w:rsidRDefault="00444120" w:rsidP="00444120">
      <w:pPr>
        <w:spacing w:after="0" w:line="240" w:lineRule="auto"/>
        <w:rPr>
          <w:rFonts w:cs="Arial"/>
          <w:sz w:val="18"/>
          <w:szCs w:val="18"/>
        </w:rPr>
      </w:pPr>
    </w:p>
    <w:p w14:paraId="0356F019" w14:textId="557FF959" w:rsidR="00B3600A" w:rsidRPr="00B3600A" w:rsidRDefault="00B3600A" w:rsidP="00B3600A">
      <w:pPr>
        <w:spacing w:after="60" w:line="240" w:lineRule="auto"/>
        <w:rPr>
          <w:b/>
          <w:sz w:val="18"/>
          <w:szCs w:val="18"/>
        </w:rPr>
      </w:pPr>
      <w:bookmarkStart w:id="169" w:name="_Toc182931585"/>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24</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69"/>
    </w:p>
    <w:p w14:paraId="323835E5" w14:textId="2AC16C9D" w:rsidR="00444120" w:rsidRPr="00AE0956" w:rsidRDefault="006238D3" w:rsidP="007939CB">
      <w:r>
        <w:rPr>
          <w:noProof/>
        </w:rPr>
        <w:drawing>
          <wp:inline distT="0" distB="0" distL="0" distR="0" wp14:anchorId="59707FF3" wp14:editId="0373DC46">
            <wp:extent cx="5759450" cy="2682875"/>
            <wp:effectExtent l="0" t="0" r="0" b="3175"/>
            <wp:docPr id="24" name="Γράφημα 24">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0294ADD" w14:textId="7D8B3B01" w:rsidR="00444120" w:rsidRPr="008F3917" w:rsidRDefault="00444120" w:rsidP="00A30240">
      <w:pPr>
        <w:pStyle w:val="afe"/>
        <w:keepNext/>
        <w:spacing w:after="60"/>
        <w:rPr>
          <w:sz w:val="18"/>
          <w:szCs w:val="18"/>
        </w:rPr>
      </w:pPr>
    </w:p>
    <w:p w14:paraId="4D760E9D" w14:textId="6CE542B5" w:rsidR="00B3600A" w:rsidRPr="00B3600A" w:rsidRDefault="00B3600A" w:rsidP="00B3600A">
      <w:pPr>
        <w:spacing w:after="60" w:line="240" w:lineRule="auto"/>
        <w:rPr>
          <w:b/>
          <w:sz w:val="18"/>
          <w:szCs w:val="18"/>
        </w:rPr>
      </w:pPr>
      <w:bookmarkStart w:id="170" w:name="_Toc182931586"/>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25</w:t>
      </w:r>
      <w:r w:rsidRPr="00B3600A">
        <w:rPr>
          <w:b/>
          <w:sz w:val="18"/>
          <w:szCs w:val="18"/>
        </w:rPr>
        <w:fldChar w:fldCharType="end"/>
      </w:r>
      <w:r w:rsidRPr="00B3600A">
        <w:rPr>
          <w:b/>
          <w:sz w:val="18"/>
          <w:szCs w:val="18"/>
        </w:rPr>
        <w:t xml:space="preserve">.: Ανθρώπινοι </w:t>
      </w:r>
      <w:r w:rsidR="003336A0">
        <w:rPr>
          <w:b/>
          <w:sz w:val="18"/>
          <w:szCs w:val="18"/>
        </w:rPr>
        <w:t>π</w:t>
      </w:r>
      <w:r w:rsidRPr="00B3600A">
        <w:rPr>
          <w:b/>
          <w:sz w:val="18"/>
          <w:szCs w:val="18"/>
        </w:rPr>
        <w:t>όροι ανά Πρόγραμμα</w:t>
      </w:r>
      <w:bookmarkEnd w:id="170"/>
    </w:p>
    <w:p w14:paraId="7B2A04E8" w14:textId="35DA1DEB" w:rsidR="00444120" w:rsidRDefault="006238D3" w:rsidP="006238D3">
      <w:pPr>
        <w:spacing w:after="0" w:line="240" w:lineRule="auto"/>
        <w:rPr>
          <w:rFonts w:cs="Arial"/>
          <w:sz w:val="18"/>
          <w:szCs w:val="18"/>
        </w:rPr>
      </w:pPr>
      <w:r>
        <w:rPr>
          <w:noProof/>
        </w:rPr>
        <w:drawing>
          <wp:inline distT="0" distB="0" distL="0" distR="0" wp14:anchorId="0BBA85C2" wp14:editId="46DE91F8">
            <wp:extent cx="5759450" cy="2562225"/>
            <wp:effectExtent l="0" t="0" r="0" b="0"/>
            <wp:docPr id="90" name="Γράφημα 90">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6F2F448" w14:textId="0207FFDE" w:rsidR="007F39B9" w:rsidRPr="00B41A1D" w:rsidRDefault="007F39B9" w:rsidP="007F39B9">
      <w:pPr>
        <w:spacing w:after="0" w:line="240" w:lineRule="auto"/>
        <w:jc w:val="left"/>
        <w:rPr>
          <w:rFonts w:cs="Arial"/>
          <w:b/>
          <w:color w:val="2F5496"/>
          <w:sz w:val="22"/>
          <w:szCs w:val="22"/>
        </w:rPr>
      </w:pPr>
      <w:r w:rsidRPr="00B41A1D">
        <w:rPr>
          <w:rFonts w:cs="Arial"/>
          <w:b/>
          <w:color w:val="2F5496"/>
          <w:sz w:val="22"/>
          <w:szCs w:val="22"/>
        </w:rPr>
        <w:br w:type="page"/>
      </w:r>
    </w:p>
    <w:p w14:paraId="619258DA" w14:textId="7D116181" w:rsidR="007F39B9" w:rsidRPr="002819C4" w:rsidRDefault="007F39B9" w:rsidP="007F39B9">
      <w:pPr>
        <w:shd w:val="clear" w:color="auto" w:fill="D5DCE4"/>
        <w:rPr>
          <w:rFonts w:cs="Arial"/>
          <w:b/>
          <w:color w:val="2F5496"/>
          <w:szCs w:val="20"/>
        </w:rPr>
      </w:pPr>
      <w:r w:rsidRPr="002819C4">
        <w:rPr>
          <w:rFonts w:cs="Arial"/>
          <w:b/>
          <w:color w:val="2F5496"/>
          <w:szCs w:val="20"/>
        </w:rPr>
        <w:lastRenderedPageBreak/>
        <w:t>Υπουργείο Εθνικής Οικονομίας και Οικονομικών</w:t>
      </w:r>
    </w:p>
    <w:p w14:paraId="4DFF9E01" w14:textId="6261418F" w:rsidR="00B3600A" w:rsidRPr="00B3600A" w:rsidRDefault="00B3600A" w:rsidP="00B3600A">
      <w:pPr>
        <w:spacing w:after="60" w:line="240" w:lineRule="auto"/>
        <w:rPr>
          <w:b/>
          <w:sz w:val="18"/>
          <w:szCs w:val="18"/>
        </w:rPr>
      </w:pPr>
      <w:bookmarkStart w:id="171" w:name="_Toc182931587"/>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26</w:t>
      </w:r>
      <w:r w:rsidRPr="00B3600A">
        <w:rPr>
          <w:b/>
          <w:sz w:val="18"/>
          <w:szCs w:val="18"/>
        </w:rPr>
        <w:fldChar w:fldCharType="end"/>
      </w:r>
      <w:r w:rsidRPr="00B3600A">
        <w:rPr>
          <w:b/>
          <w:sz w:val="18"/>
          <w:szCs w:val="18"/>
        </w:rPr>
        <w:t>.: Προϋπολογιζόμενη Δαπάνη Κρατικού Προϋπολογισμού ανά Πρόγραμμα</w:t>
      </w:r>
      <w:bookmarkEnd w:id="171"/>
    </w:p>
    <w:p w14:paraId="25969CDB" w14:textId="2FBB07DF" w:rsidR="002819C4" w:rsidRPr="00AE0956" w:rsidRDefault="006238D3" w:rsidP="007939CB">
      <w:pPr>
        <w:rPr>
          <w:rFonts w:cs="Arial"/>
          <w:sz w:val="18"/>
          <w:szCs w:val="18"/>
        </w:rPr>
      </w:pPr>
      <w:r>
        <w:rPr>
          <w:noProof/>
        </w:rPr>
        <w:drawing>
          <wp:inline distT="0" distB="0" distL="0" distR="0" wp14:anchorId="3529C6EF" wp14:editId="43E30121">
            <wp:extent cx="5759450" cy="2647950"/>
            <wp:effectExtent l="0" t="0" r="0" b="0"/>
            <wp:docPr id="91" name="Γράφημα 91">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E0C40B2" w14:textId="77777777" w:rsidR="002819C4" w:rsidRDefault="002819C4" w:rsidP="002819C4">
      <w:pPr>
        <w:tabs>
          <w:tab w:val="left" w:pos="284"/>
        </w:tabs>
        <w:spacing w:after="0" w:line="240" w:lineRule="auto"/>
        <w:contextualSpacing/>
        <w:jc w:val="left"/>
        <w:rPr>
          <w:rFonts w:cs="Arial"/>
          <w:noProof/>
          <w:sz w:val="18"/>
          <w:szCs w:val="18"/>
          <w:lang w:eastAsia="en-US"/>
        </w:rPr>
      </w:pPr>
    </w:p>
    <w:p w14:paraId="324AA672" w14:textId="713BFE65" w:rsidR="00B3600A" w:rsidRPr="00B3600A" w:rsidRDefault="00B3600A" w:rsidP="00B3600A">
      <w:pPr>
        <w:spacing w:after="60" w:line="240" w:lineRule="auto"/>
        <w:rPr>
          <w:b/>
          <w:sz w:val="18"/>
          <w:szCs w:val="18"/>
        </w:rPr>
      </w:pPr>
      <w:bookmarkStart w:id="172" w:name="_Toc182931588"/>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27</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72"/>
    </w:p>
    <w:p w14:paraId="37CE2517" w14:textId="462D2BA5" w:rsidR="002819C4" w:rsidRDefault="006238D3" w:rsidP="008D1D17">
      <w:pPr>
        <w:tabs>
          <w:tab w:val="left" w:pos="284"/>
        </w:tabs>
        <w:spacing w:after="0" w:line="240" w:lineRule="auto"/>
        <w:contextualSpacing/>
        <w:jc w:val="center"/>
        <w:rPr>
          <w:rFonts w:cs="Arial"/>
          <w:noProof/>
          <w:sz w:val="18"/>
          <w:szCs w:val="18"/>
          <w:lang w:eastAsia="en-US"/>
        </w:rPr>
      </w:pPr>
      <w:r>
        <w:rPr>
          <w:noProof/>
        </w:rPr>
        <w:drawing>
          <wp:inline distT="0" distB="0" distL="0" distR="0" wp14:anchorId="4DF03FF8" wp14:editId="0BD6D9C2">
            <wp:extent cx="5759450" cy="2650605"/>
            <wp:effectExtent l="0" t="0" r="0" b="0"/>
            <wp:docPr id="27" name="Γράφημα 27">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7665E24" w14:textId="5E85713B" w:rsidR="00B3600A" w:rsidRPr="00B3600A" w:rsidRDefault="00B3600A" w:rsidP="00B3600A">
      <w:pPr>
        <w:spacing w:after="60" w:line="240" w:lineRule="auto"/>
        <w:rPr>
          <w:b/>
          <w:sz w:val="18"/>
          <w:szCs w:val="18"/>
        </w:rPr>
      </w:pPr>
      <w:bookmarkStart w:id="173" w:name="_Toc182931589"/>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28</w:t>
      </w:r>
      <w:r w:rsidRPr="00B3600A">
        <w:rPr>
          <w:b/>
          <w:sz w:val="18"/>
          <w:szCs w:val="18"/>
        </w:rPr>
        <w:fldChar w:fldCharType="end"/>
      </w:r>
      <w:r w:rsidRPr="00B3600A">
        <w:rPr>
          <w:b/>
          <w:sz w:val="18"/>
          <w:szCs w:val="18"/>
        </w:rPr>
        <w:t xml:space="preserve">.: Ανθρώπινοι </w:t>
      </w:r>
      <w:r w:rsidR="003336A0">
        <w:rPr>
          <w:b/>
          <w:sz w:val="18"/>
          <w:szCs w:val="18"/>
        </w:rPr>
        <w:t>π</w:t>
      </w:r>
      <w:r w:rsidRPr="00B3600A">
        <w:rPr>
          <w:b/>
          <w:sz w:val="18"/>
          <w:szCs w:val="18"/>
        </w:rPr>
        <w:t>όροι ανά Πρόγραμμα</w:t>
      </w:r>
      <w:bookmarkEnd w:id="173"/>
    </w:p>
    <w:p w14:paraId="2479027C" w14:textId="098B5130" w:rsidR="002819C4" w:rsidRPr="007939CB" w:rsidRDefault="006238D3" w:rsidP="007939CB">
      <w:pPr>
        <w:tabs>
          <w:tab w:val="left" w:pos="284"/>
        </w:tabs>
        <w:spacing w:after="0" w:line="240" w:lineRule="auto"/>
        <w:contextualSpacing/>
        <w:jc w:val="center"/>
      </w:pPr>
      <w:r>
        <w:rPr>
          <w:noProof/>
        </w:rPr>
        <w:drawing>
          <wp:inline distT="0" distB="0" distL="0" distR="0" wp14:anchorId="40B65596" wp14:editId="2F549FB1">
            <wp:extent cx="5759450" cy="2370125"/>
            <wp:effectExtent l="0" t="0" r="0" b="0"/>
            <wp:docPr id="92" name="Γράφημα 92">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24F3D34" w14:textId="265A982C" w:rsidR="00A33B2A" w:rsidRDefault="00A33B2A" w:rsidP="007939CB">
      <w:r>
        <w:br w:type="page"/>
      </w:r>
    </w:p>
    <w:p w14:paraId="2EF75522" w14:textId="0EF46EE7" w:rsidR="008B7956" w:rsidRPr="002819C4" w:rsidRDefault="008B7956" w:rsidP="008B7956">
      <w:pPr>
        <w:shd w:val="clear" w:color="auto" w:fill="D5DCE4"/>
        <w:rPr>
          <w:rFonts w:cs="Arial"/>
          <w:b/>
          <w:color w:val="2F5496"/>
          <w:szCs w:val="20"/>
        </w:rPr>
      </w:pPr>
      <w:r w:rsidRPr="002819C4">
        <w:rPr>
          <w:rFonts w:cs="Arial"/>
          <w:b/>
          <w:color w:val="2F5496"/>
          <w:szCs w:val="20"/>
        </w:rPr>
        <w:lastRenderedPageBreak/>
        <w:t>Υπουργείο Αγροτικής Ανάπτυξης και Τροφίμων</w:t>
      </w:r>
    </w:p>
    <w:p w14:paraId="2C48269C" w14:textId="587AA428" w:rsidR="00B3600A" w:rsidRPr="00B3600A" w:rsidRDefault="00B3600A" w:rsidP="00B3600A">
      <w:pPr>
        <w:spacing w:after="60" w:line="240" w:lineRule="auto"/>
        <w:rPr>
          <w:b/>
          <w:sz w:val="18"/>
          <w:szCs w:val="18"/>
        </w:rPr>
      </w:pPr>
      <w:bookmarkStart w:id="174" w:name="_Toc182931590"/>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29</w:t>
      </w:r>
      <w:r w:rsidRPr="00B3600A">
        <w:rPr>
          <w:b/>
          <w:sz w:val="18"/>
          <w:szCs w:val="18"/>
        </w:rPr>
        <w:fldChar w:fldCharType="end"/>
      </w:r>
      <w:r w:rsidRPr="00B3600A">
        <w:rPr>
          <w:b/>
          <w:sz w:val="18"/>
          <w:szCs w:val="18"/>
        </w:rPr>
        <w:t xml:space="preserve">.: </w:t>
      </w:r>
      <w:bookmarkStart w:id="175" w:name="_Hlk182846909"/>
      <w:r w:rsidRPr="00B3600A">
        <w:rPr>
          <w:b/>
          <w:sz w:val="18"/>
          <w:szCs w:val="18"/>
        </w:rPr>
        <w:t>Προϋπολογιζόμενη Δαπάνη Κρατικού Προϋπολογισμού ανά Πρόγραμμα</w:t>
      </w:r>
      <w:bookmarkEnd w:id="174"/>
      <w:bookmarkEnd w:id="175"/>
    </w:p>
    <w:p w14:paraId="31DC100C" w14:textId="3869197C" w:rsidR="002819C4" w:rsidRDefault="006238D3" w:rsidP="006238D3">
      <w:pPr>
        <w:tabs>
          <w:tab w:val="left" w:pos="284"/>
        </w:tabs>
        <w:spacing w:after="0" w:line="240" w:lineRule="auto"/>
        <w:contextualSpacing/>
        <w:rPr>
          <w:rFonts w:cs="Arial"/>
          <w:color w:val="000000" w:themeColor="text1"/>
          <w:sz w:val="18"/>
          <w:szCs w:val="18"/>
        </w:rPr>
      </w:pPr>
      <w:r>
        <w:rPr>
          <w:noProof/>
        </w:rPr>
        <w:drawing>
          <wp:inline distT="0" distB="0" distL="0" distR="0" wp14:anchorId="33038D41" wp14:editId="4C520F17">
            <wp:extent cx="5759450" cy="2219325"/>
            <wp:effectExtent l="0" t="0" r="0" b="0"/>
            <wp:docPr id="93" name="Γράφημα 93">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2605C92" w14:textId="77777777" w:rsidR="002819C4" w:rsidRDefault="002819C4" w:rsidP="002819C4">
      <w:pPr>
        <w:tabs>
          <w:tab w:val="left" w:pos="284"/>
        </w:tabs>
        <w:spacing w:after="0" w:line="240" w:lineRule="auto"/>
        <w:contextualSpacing/>
        <w:jc w:val="left"/>
        <w:rPr>
          <w:rFonts w:cs="Arial"/>
          <w:color w:val="000000" w:themeColor="text1"/>
          <w:sz w:val="18"/>
          <w:szCs w:val="18"/>
        </w:rPr>
      </w:pPr>
    </w:p>
    <w:p w14:paraId="25CC406E" w14:textId="77777777" w:rsidR="002819C4" w:rsidRDefault="002819C4" w:rsidP="002819C4">
      <w:pPr>
        <w:tabs>
          <w:tab w:val="left" w:pos="284"/>
        </w:tabs>
        <w:spacing w:after="0" w:line="240" w:lineRule="auto"/>
        <w:contextualSpacing/>
        <w:jc w:val="left"/>
        <w:rPr>
          <w:rFonts w:cs="Arial"/>
          <w:color w:val="000000" w:themeColor="text1"/>
          <w:sz w:val="18"/>
          <w:szCs w:val="18"/>
        </w:rPr>
      </w:pPr>
    </w:p>
    <w:p w14:paraId="686E9452" w14:textId="0400E2B0" w:rsidR="00B3600A" w:rsidRPr="00B3600A" w:rsidRDefault="00B3600A" w:rsidP="00B3600A">
      <w:pPr>
        <w:spacing w:after="60" w:line="240" w:lineRule="auto"/>
        <w:rPr>
          <w:b/>
          <w:sz w:val="18"/>
          <w:szCs w:val="18"/>
        </w:rPr>
      </w:pPr>
      <w:bookmarkStart w:id="176" w:name="_Toc182931591"/>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30</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76"/>
    </w:p>
    <w:p w14:paraId="067D3D41" w14:textId="681DFA34" w:rsidR="002819C4" w:rsidRPr="00F710D2" w:rsidRDefault="006238D3" w:rsidP="008D1D17">
      <w:pPr>
        <w:tabs>
          <w:tab w:val="left" w:pos="284"/>
        </w:tabs>
        <w:spacing w:after="0" w:line="240" w:lineRule="auto"/>
        <w:contextualSpacing/>
        <w:jc w:val="center"/>
        <w:rPr>
          <w:rFonts w:cs="Arial"/>
          <w:color w:val="000000" w:themeColor="text1"/>
          <w:sz w:val="18"/>
          <w:szCs w:val="18"/>
        </w:rPr>
      </w:pPr>
      <w:r>
        <w:rPr>
          <w:noProof/>
        </w:rPr>
        <w:drawing>
          <wp:inline distT="0" distB="0" distL="0" distR="0" wp14:anchorId="61149C58" wp14:editId="60C3A2B7">
            <wp:extent cx="5759450" cy="2579370"/>
            <wp:effectExtent l="0" t="0" r="0" b="0"/>
            <wp:docPr id="30" name="Γράφημα 30">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DA39B24" w14:textId="596C10E3" w:rsidR="002819C4" w:rsidRDefault="002819C4" w:rsidP="002819C4">
      <w:pPr>
        <w:tabs>
          <w:tab w:val="left" w:pos="284"/>
        </w:tabs>
        <w:spacing w:after="0" w:line="240" w:lineRule="auto"/>
        <w:contextualSpacing/>
        <w:jc w:val="left"/>
        <w:rPr>
          <w:rFonts w:cs="Arial"/>
          <w:color w:val="000000" w:themeColor="text1"/>
          <w:sz w:val="18"/>
          <w:szCs w:val="18"/>
        </w:rPr>
      </w:pPr>
    </w:p>
    <w:p w14:paraId="21D0AD1B" w14:textId="77777777" w:rsidR="00A04686" w:rsidRDefault="00A04686" w:rsidP="002819C4">
      <w:pPr>
        <w:tabs>
          <w:tab w:val="left" w:pos="284"/>
        </w:tabs>
        <w:spacing w:after="0" w:line="240" w:lineRule="auto"/>
        <w:contextualSpacing/>
        <w:jc w:val="left"/>
        <w:rPr>
          <w:rFonts w:cs="Arial"/>
          <w:color w:val="000000" w:themeColor="text1"/>
          <w:sz w:val="18"/>
          <w:szCs w:val="18"/>
        </w:rPr>
      </w:pPr>
    </w:p>
    <w:p w14:paraId="1FEB2D0D" w14:textId="009BE6BE" w:rsidR="00B3600A" w:rsidRPr="00B3600A" w:rsidRDefault="00B3600A" w:rsidP="00B3600A">
      <w:pPr>
        <w:spacing w:after="60" w:line="240" w:lineRule="auto"/>
        <w:rPr>
          <w:b/>
          <w:sz w:val="18"/>
          <w:szCs w:val="18"/>
        </w:rPr>
      </w:pPr>
      <w:bookmarkStart w:id="177" w:name="_Toc182931592"/>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31</w:t>
      </w:r>
      <w:r w:rsidRPr="00B3600A">
        <w:rPr>
          <w:b/>
          <w:sz w:val="18"/>
          <w:szCs w:val="18"/>
        </w:rPr>
        <w:fldChar w:fldCharType="end"/>
      </w:r>
      <w:r w:rsidRPr="00B3600A">
        <w:rPr>
          <w:b/>
          <w:sz w:val="18"/>
          <w:szCs w:val="18"/>
        </w:rPr>
        <w:t xml:space="preserve">.: Ανθρώπινοι </w:t>
      </w:r>
      <w:r w:rsidR="003336A0">
        <w:rPr>
          <w:b/>
          <w:sz w:val="18"/>
          <w:szCs w:val="18"/>
        </w:rPr>
        <w:t>π</w:t>
      </w:r>
      <w:r w:rsidRPr="00B3600A">
        <w:rPr>
          <w:b/>
          <w:sz w:val="18"/>
          <w:szCs w:val="18"/>
        </w:rPr>
        <w:t>όροι ανά Πρόγραμμα</w:t>
      </w:r>
      <w:bookmarkEnd w:id="177"/>
    </w:p>
    <w:p w14:paraId="460E4E67" w14:textId="3AC5A657" w:rsidR="002819C4" w:rsidRDefault="00E90032" w:rsidP="00E90032">
      <w:pPr>
        <w:tabs>
          <w:tab w:val="left" w:pos="284"/>
        </w:tabs>
        <w:spacing w:after="0" w:line="240" w:lineRule="auto"/>
        <w:contextualSpacing/>
        <w:rPr>
          <w:rFonts w:cs="Arial"/>
          <w:color w:val="000000" w:themeColor="text1"/>
          <w:sz w:val="18"/>
          <w:szCs w:val="18"/>
        </w:rPr>
      </w:pPr>
      <w:r>
        <w:rPr>
          <w:noProof/>
        </w:rPr>
        <w:drawing>
          <wp:inline distT="0" distB="0" distL="0" distR="0" wp14:anchorId="4B8B289A" wp14:editId="3532835F">
            <wp:extent cx="5759450" cy="2392045"/>
            <wp:effectExtent l="0" t="0" r="0" b="8255"/>
            <wp:docPr id="94" name="Γράφημα 94">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DBDE34" w14:textId="38E84BC8" w:rsidR="002819C4" w:rsidRDefault="002819C4">
      <w:pPr>
        <w:spacing w:after="0" w:line="240" w:lineRule="auto"/>
        <w:jc w:val="left"/>
        <w:rPr>
          <w:rFonts w:cs="Arial"/>
          <w:b/>
          <w:color w:val="2F5496"/>
          <w:szCs w:val="20"/>
          <w:highlight w:val="yellow"/>
        </w:rPr>
      </w:pPr>
      <w:r>
        <w:rPr>
          <w:rFonts w:cs="Arial"/>
          <w:b/>
          <w:color w:val="2F5496"/>
          <w:szCs w:val="20"/>
          <w:highlight w:val="yellow"/>
        </w:rPr>
        <w:br w:type="page"/>
      </w:r>
    </w:p>
    <w:p w14:paraId="5D9D4F07" w14:textId="5AC738D3" w:rsidR="00595D0D" w:rsidRPr="002819C4" w:rsidRDefault="00595D0D" w:rsidP="00595D0D">
      <w:pPr>
        <w:shd w:val="clear" w:color="auto" w:fill="D5DCE4"/>
        <w:rPr>
          <w:rFonts w:cs="Arial"/>
          <w:b/>
          <w:color w:val="2F5496"/>
          <w:szCs w:val="20"/>
        </w:rPr>
      </w:pPr>
      <w:r w:rsidRPr="002819C4">
        <w:rPr>
          <w:rFonts w:cs="Arial"/>
          <w:b/>
          <w:color w:val="2F5496"/>
          <w:szCs w:val="20"/>
        </w:rPr>
        <w:lastRenderedPageBreak/>
        <w:t>Υπουργείο Περιβάλλοντος και Ενέργειας</w:t>
      </w:r>
    </w:p>
    <w:p w14:paraId="63E97766" w14:textId="7D369D13" w:rsidR="00B3600A" w:rsidRPr="00B3600A" w:rsidRDefault="00B3600A" w:rsidP="00B3600A">
      <w:pPr>
        <w:spacing w:after="60" w:line="240" w:lineRule="auto"/>
        <w:rPr>
          <w:b/>
          <w:sz w:val="18"/>
          <w:szCs w:val="18"/>
        </w:rPr>
      </w:pPr>
      <w:bookmarkStart w:id="178" w:name="_Toc182931593"/>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32</w:t>
      </w:r>
      <w:r w:rsidRPr="00B3600A">
        <w:rPr>
          <w:b/>
          <w:sz w:val="18"/>
          <w:szCs w:val="18"/>
        </w:rPr>
        <w:fldChar w:fldCharType="end"/>
      </w:r>
      <w:r w:rsidRPr="00B3600A">
        <w:rPr>
          <w:b/>
          <w:sz w:val="18"/>
          <w:szCs w:val="18"/>
        </w:rPr>
        <w:t>.: Προϋπολογιζόμενη Δαπάνη Κρατικού Προϋπολογισμού ανά Πρόγραμμα</w:t>
      </w:r>
      <w:bookmarkEnd w:id="178"/>
    </w:p>
    <w:p w14:paraId="2A3B0AB5" w14:textId="2ACD2024" w:rsidR="00B3600A" w:rsidRDefault="00E90032" w:rsidP="00E90032">
      <w:pPr>
        <w:pStyle w:val="afe"/>
        <w:keepNext/>
      </w:pPr>
      <w:r>
        <w:rPr>
          <w:noProof/>
        </w:rPr>
        <w:drawing>
          <wp:inline distT="0" distB="0" distL="0" distR="0" wp14:anchorId="1A56DEC6" wp14:editId="330DDE10">
            <wp:extent cx="5759450" cy="2139315"/>
            <wp:effectExtent l="0" t="0" r="0" b="0"/>
            <wp:docPr id="32" name="Γράφημα 32">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336F1D2" w14:textId="77777777" w:rsidR="002819C4" w:rsidRDefault="002819C4" w:rsidP="002819C4">
      <w:pPr>
        <w:tabs>
          <w:tab w:val="left" w:pos="284"/>
        </w:tabs>
        <w:spacing w:after="0" w:line="240" w:lineRule="auto"/>
        <w:contextualSpacing/>
        <w:jc w:val="left"/>
        <w:rPr>
          <w:rFonts w:cs="Arial"/>
          <w:color w:val="000000" w:themeColor="text1"/>
          <w:sz w:val="18"/>
          <w:szCs w:val="18"/>
        </w:rPr>
      </w:pPr>
    </w:p>
    <w:p w14:paraId="083F3A28" w14:textId="4F526583" w:rsidR="00B3600A" w:rsidRPr="00B3600A" w:rsidRDefault="00B3600A" w:rsidP="00B3600A">
      <w:pPr>
        <w:spacing w:after="60" w:line="240" w:lineRule="auto"/>
        <w:rPr>
          <w:b/>
          <w:sz w:val="18"/>
          <w:szCs w:val="18"/>
        </w:rPr>
      </w:pPr>
      <w:bookmarkStart w:id="179" w:name="_Toc182931594"/>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33</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79"/>
    </w:p>
    <w:p w14:paraId="32A16F96" w14:textId="0D47E9A9" w:rsidR="002819C4" w:rsidRDefault="00E90032" w:rsidP="00E90032">
      <w:pPr>
        <w:tabs>
          <w:tab w:val="left" w:pos="284"/>
        </w:tabs>
        <w:spacing w:after="0" w:line="240" w:lineRule="auto"/>
        <w:contextualSpacing/>
        <w:rPr>
          <w:rFonts w:cs="Arial"/>
          <w:color w:val="000000" w:themeColor="text1"/>
          <w:sz w:val="18"/>
          <w:szCs w:val="18"/>
        </w:rPr>
      </w:pPr>
      <w:r>
        <w:rPr>
          <w:noProof/>
        </w:rPr>
        <w:drawing>
          <wp:inline distT="0" distB="0" distL="0" distR="0" wp14:anchorId="1ADB9DDC" wp14:editId="7CAA96BE">
            <wp:extent cx="5759450" cy="2901950"/>
            <wp:effectExtent l="0" t="0" r="0" b="0"/>
            <wp:docPr id="33" name="Γράφημα 33">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6429053" w14:textId="5D8DBA13" w:rsidR="002819C4" w:rsidRDefault="002819C4" w:rsidP="002819C4">
      <w:pPr>
        <w:tabs>
          <w:tab w:val="left" w:pos="284"/>
        </w:tabs>
        <w:spacing w:after="0" w:line="240" w:lineRule="auto"/>
        <w:contextualSpacing/>
        <w:jc w:val="left"/>
        <w:rPr>
          <w:rFonts w:cs="Arial"/>
          <w:color w:val="000000" w:themeColor="text1"/>
          <w:sz w:val="18"/>
          <w:szCs w:val="18"/>
        </w:rPr>
      </w:pPr>
    </w:p>
    <w:p w14:paraId="21285FDE" w14:textId="77777777" w:rsidR="00A04686" w:rsidRDefault="00A04686" w:rsidP="002819C4">
      <w:pPr>
        <w:tabs>
          <w:tab w:val="left" w:pos="284"/>
        </w:tabs>
        <w:spacing w:after="0" w:line="240" w:lineRule="auto"/>
        <w:contextualSpacing/>
        <w:jc w:val="left"/>
        <w:rPr>
          <w:rFonts w:cs="Arial"/>
          <w:color w:val="000000" w:themeColor="text1"/>
          <w:sz w:val="18"/>
          <w:szCs w:val="18"/>
        </w:rPr>
      </w:pPr>
    </w:p>
    <w:p w14:paraId="01AFE663" w14:textId="23533891" w:rsidR="00B3600A" w:rsidRPr="00B3600A" w:rsidRDefault="00B3600A" w:rsidP="00B3600A">
      <w:pPr>
        <w:spacing w:after="60" w:line="240" w:lineRule="auto"/>
        <w:rPr>
          <w:b/>
          <w:sz w:val="18"/>
          <w:szCs w:val="18"/>
        </w:rPr>
      </w:pPr>
      <w:bookmarkStart w:id="180" w:name="_Toc182931595"/>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34</w:t>
      </w:r>
      <w:r w:rsidRPr="00B3600A">
        <w:rPr>
          <w:b/>
          <w:sz w:val="18"/>
          <w:szCs w:val="18"/>
        </w:rPr>
        <w:fldChar w:fldCharType="end"/>
      </w:r>
      <w:r w:rsidRPr="00B3600A">
        <w:rPr>
          <w:b/>
          <w:sz w:val="18"/>
          <w:szCs w:val="18"/>
        </w:rPr>
        <w:t xml:space="preserve">.: Ανθρώπινοι </w:t>
      </w:r>
      <w:r w:rsidR="003E22DB">
        <w:rPr>
          <w:b/>
          <w:sz w:val="18"/>
          <w:szCs w:val="18"/>
        </w:rPr>
        <w:t>π</w:t>
      </w:r>
      <w:r w:rsidRPr="00B3600A">
        <w:rPr>
          <w:b/>
          <w:sz w:val="18"/>
          <w:szCs w:val="18"/>
        </w:rPr>
        <w:t>όροι ανά Πρόγραμμα</w:t>
      </w:r>
      <w:bookmarkEnd w:id="180"/>
    </w:p>
    <w:p w14:paraId="28ADB341" w14:textId="3B7AF376" w:rsidR="002819C4" w:rsidRDefault="00E90032" w:rsidP="00E90032">
      <w:pPr>
        <w:tabs>
          <w:tab w:val="left" w:pos="284"/>
        </w:tabs>
        <w:spacing w:after="0" w:line="240" w:lineRule="auto"/>
        <w:contextualSpacing/>
        <w:rPr>
          <w:rFonts w:cs="Arial"/>
          <w:color w:val="000000" w:themeColor="text1"/>
          <w:sz w:val="18"/>
          <w:szCs w:val="18"/>
        </w:rPr>
      </w:pPr>
      <w:r>
        <w:rPr>
          <w:noProof/>
        </w:rPr>
        <w:drawing>
          <wp:inline distT="0" distB="0" distL="0" distR="0" wp14:anchorId="76DAC49D" wp14:editId="04EEEB11">
            <wp:extent cx="5759450" cy="2409825"/>
            <wp:effectExtent l="0" t="0" r="0" b="0"/>
            <wp:docPr id="34" name="Γράφημα 34">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163F4A9" w14:textId="5F65D4D5" w:rsidR="00A33B2A" w:rsidRDefault="00A33B2A">
      <w:pPr>
        <w:spacing w:after="0" w:line="240" w:lineRule="auto"/>
        <w:jc w:val="left"/>
        <w:rPr>
          <w:rFonts w:cs="Arial"/>
          <w:b/>
          <w:color w:val="2F5496"/>
          <w:szCs w:val="20"/>
        </w:rPr>
      </w:pPr>
      <w:r>
        <w:rPr>
          <w:rFonts w:cs="Arial"/>
          <w:b/>
          <w:color w:val="2F5496"/>
          <w:szCs w:val="20"/>
        </w:rPr>
        <w:br w:type="page"/>
      </w:r>
    </w:p>
    <w:p w14:paraId="05092D08" w14:textId="3EF8FF39" w:rsidR="001D58F8" w:rsidRPr="001D58F8" w:rsidRDefault="001D58F8" w:rsidP="001D58F8">
      <w:pPr>
        <w:shd w:val="clear" w:color="auto" w:fill="D5DCE4"/>
        <w:rPr>
          <w:rFonts w:cs="Arial"/>
          <w:b/>
          <w:color w:val="2F5496"/>
          <w:szCs w:val="20"/>
        </w:rPr>
      </w:pPr>
      <w:r w:rsidRPr="002819C4">
        <w:rPr>
          <w:rFonts w:cs="Arial"/>
          <w:b/>
          <w:color w:val="2F5496"/>
          <w:szCs w:val="20"/>
        </w:rPr>
        <w:lastRenderedPageBreak/>
        <w:t>Υπουργείο Εργασίας και Κοινωνικής Ασφάλισης</w:t>
      </w:r>
    </w:p>
    <w:p w14:paraId="0BAA7E98" w14:textId="708D4979" w:rsidR="00B3600A" w:rsidRPr="00B3600A" w:rsidRDefault="00B3600A" w:rsidP="00B3600A">
      <w:pPr>
        <w:spacing w:after="60" w:line="240" w:lineRule="auto"/>
        <w:rPr>
          <w:b/>
          <w:sz w:val="18"/>
          <w:szCs w:val="18"/>
        </w:rPr>
      </w:pPr>
      <w:bookmarkStart w:id="181" w:name="_Toc182931596"/>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35</w:t>
      </w:r>
      <w:r w:rsidRPr="00B3600A">
        <w:rPr>
          <w:b/>
          <w:sz w:val="18"/>
          <w:szCs w:val="18"/>
        </w:rPr>
        <w:fldChar w:fldCharType="end"/>
      </w:r>
      <w:r w:rsidRPr="00B3600A">
        <w:rPr>
          <w:b/>
          <w:sz w:val="18"/>
          <w:szCs w:val="18"/>
        </w:rPr>
        <w:t>.: Προϋπολογιζόμενη Δαπάνη Κρατικού Προϋπολογισμού ανά Πρόγραμμα</w:t>
      </w:r>
      <w:bookmarkEnd w:id="181"/>
    </w:p>
    <w:p w14:paraId="2107DCA8" w14:textId="166157C8" w:rsidR="002819C4" w:rsidRPr="00F710D2" w:rsidRDefault="00E90032" w:rsidP="00E90032">
      <w:pPr>
        <w:tabs>
          <w:tab w:val="left" w:pos="284"/>
        </w:tabs>
        <w:spacing w:after="0" w:line="240" w:lineRule="auto"/>
        <w:contextualSpacing/>
        <w:rPr>
          <w:rFonts w:cs="Arial"/>
          <w:color w:val="000000" w:themeColor="text1"/>
          <w:sz w:val="18"/>
          <w:szCs w:val="18"/>
        </w:rPr>
      </w:pPr>
      <w:r>
        <w:rPr>
          <w:noProof/>
        </w:rPr>
        <w:drawing>
          <wp:inline distT="0" distB="0" distL="0" distR="0" wp14:anchorId="2F713E72" wp14:editId="437DFFE4">
            <wp:extent cx="5759450" cy="2240280"/>
            <wp:effectExtent l="0" t="0" r="0" b="7620"/>
            <wp:docPr id="96" name="Γράφημα 96">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5A8D965" w14:textId="77777777" w:rsidR="002819C4" w:rsidRDefault="002819C4" w:rsidP="002819C4">
      <w:pPr>
        <w:tabs>
          <w:tab w:val="left" w:pos="284"/>
        </w:tabs>
        <w:spacing w:after="0" w:line="240" w:lineRule="auto"/>
        <w:contextualSpacing/>
        <w:jc w:val="left"/>
        <w:rPr>
          <w:rFonts w:cs="Arial"/>
          <w:color w:val="000000" w:themeColor="text1"/>
          <w:sz w:val="18"/>
          <w:szCs w:val="18"/>
        </w:rPr>
      </w:pPr>
    </w:p>
    <w:p w14:paraId="79A8D2A7" w14:textId="77777777" w:rsidR="002819C4" w:rsidRDefault="002819C4" w:rsidP="002819C4">
      <w:pPr>
        <w:tabs>
          <w:tab w:val="left" w:pos="284"/>
        </w:tabs>
        <w:spacing w:after="0" w:line="240" w:lineRule="auto"/>
        <w:contextualSpacing/>
        <w:jc w:val="left"/>
        <w:rPr>
          <w:rFonts w:cs="Arial"/>
          <w:color w:val="000000" w:themeColor="text1"/>
          <w:sz w:val="18"/>
          <w:szCs w:val="18"/>
        </w:rPr>
      </w:pPr>
    </w:p>
    <w:p w14:paraId="41FB4959" w14:textId="156416F4" w:rsidR="00B3600A" w:rsidRPr="00B3600A" w:rsidRDefault="00B3600A" w:rsidP="00B3600A">
      <w:pPr>
        <w:spacing w:after="60" w:line="240" w:lineRule="auto"/>
        <w:rPr>
          <w:b/>
          <w:sz w:val="18"/>
          <w:szCs w:val="18"/>
        </w:rPr>
      </w:pPr>
      <w:bookmarkStart w:id="182" w:name="_Toc182931597"/>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36</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82"/>
    </w:p>
    <w:p w14:paraId="70AAAD16" w14:textId="41A9D069" w:rsidR="002819C4" w:rsidRDefault="00E90032" w:rsidP="00E90032">
      <w:pPr>
        <w:tabs>
          <w:tab w:val="left" w:pos="284"/>
        </w:tabs>
        <w:spacing w:after="0" w:line="240" w:lineRule="auto"/>
        <w:contextualSpacing/>
        <w:rPr>
          <w:rFonts w:cs="Arial"/>
          <w:color w:val="000000" w:themeColor="text1"/>
          <w:sz w:val="18"/>
          <w:szCs w:val="18"/>
        </w:rPr>
      </w:pPr>
      <w:r>
        <w:rPr>
          <w:noProof/>
        </w:rPr>
        <w:drawing>
          <wp:inline distT="0" distB="0" distL="0" distR="0" wp14:anchorId="2AAD1593" wp14:editId="581EF148">
            <wp:extent cx="5759450" cy="2372360"/>
            <wp:effectExtent l="0" t="0" r="0" b="8890"/>
            <wp:docPr id="37" name="Γράφημα 37">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EBF262B" w14:textId="24F28FE2" w:rsidR="002819C4" w:rsidRDefault="002819C4" w:rsidP="002819C4">
      <w:pPr>
        <w:tabs>
          <w:tab w:val="left" w:pos="284"/>
        </w:tabs>
        <w:spacing w:after="0" w:line="240" w:lineRule="auto"/>
        <w:contextualSpacing/>
        <w:jc w:val="left"/>
        <w:rPr>
          <w:rFonts w:cs="Arial"/>
          <w:color w:val="000000" w:themeColor="text1"/>
          <w:sz w:val="18"/>
          <w:szCs w:val="18"/>
        </w:rPr>
      </w:pPr>
    </w:p>
    <w:p w14:paraId="33598878" w14:textId="6AD66680" w:rsidR="00B3600A" w:rsidRPr="00B3600A" w:rsidRDefault="00B3600A" w:rsidP="00B3600A">
      <w:pPr>
        <w:spacing w:after="60" w:line="240" w:lineRule="auto"/>
        <w:rPr>
          <w:b/>
          <w:sz w:val="18"/>
          <w:szCs w:val="18"/>
        </w:rPr>
      </w:pPr>
      <w:bookmarkStart w:id="183" w:name="_Toc182931598"/>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37</w:t>
      </w:r>
      <w:r w:rsidRPr="00B3600A">
        <w:rPr>
          <w:b/>
          <w:sz w:val="18"/>
          <w:szCs w:val="18"/>
        </w:rPr>
        <w:fldChar w:fldCharType="end"/>
      </w:r>
      <w:r w:rsidRPr="00B3600A">
        <w:rPr>
          <w:b/>
          <w:sz w:val="18"/>
          <w:szCs w:val="18"/>
        </w:rPr>
        <w:t xml:space="preserve">.: Ανθρώπινοι </w:t>
      </w:r>
      <w:r w:rsidR="00E52D51">
        <w:rPr>
          <w:b/>
          <w:sz w:val="18"/>
          <w:szCs w:val="18"/>
        </w:rPr>
        <w:t>π</w:t>
      </w:r>
      <w:r w:rsidRPr="00B3600A">
        <w:rPr>
          <w:b/>
          <w:sz w:val="18"/>
          <w:szCs w:val="18"/>
        </w:rPr>
        <w:t>όροι ανά Πρόγραμμα</w:t>
      </w:r>
      <w:bookmarkEnd w:id="183"/>
    </w:p>
    <w:p w14:paraId="2C400BB6" w14:textId="3003E48B" w:rsidR="002819C4" w:rsidRDefault="00E90032" w:rsidP="007939CB">
      <w:r>
        <w:rPr>
          <w:noProof/>
        </w:rPr>
        <w:drawing>
          <wp:inline distT="0" distB="0" distL="0" distR="0" wp14:anchorId="4DD5306E" wp14:editId="34BB3D61">
            <wp:extent cx="5759450" cy="2552700"/>
            <wp:effectExtent l="0" t="0" r="0" b="0"/>
            <wp:docPr id="97" name="Γράφημα 97">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7149981" w14:textId="7F690D2E" w:rsidR="00A33B2A" w:rsidRDefault="00A33B2A" w:rsidP="007939CB">
      <w:pPr>
        <w:rPr>
          <w:b/>
          <w:color w:val="2F5496"/>
          <w:szCs w:val="20"/>
        </w:rPr>
      </w:pPr>
      <w:r>
        <w:rPr>
          <w:b/>
          <w:color w:val="2F5496"/>
          <w:szCs w:val="20"/>
        </w:rPr>
        <w:br w:type="page"/>
      </w:r>
    </w:p>
    <w:p w14:paraId="5626D6FE" w14:textId="22ADF820" w:rsidR="00B74DD2" w:rsidRPr="00B74DD2" w:rsidRDefault="00B74DD2" w:rsidP="00B74DD2">
      <w:pPr>
        <w:shd w:val="clear" w:color="auto" w:fill="D5DCE4"/>
        <w:rPr>
          <w:rFonts w:cs="Arial"/>
          <w:b/>
          <w:color w:val="2F5496"/>
          <w:szCs w:val="20"/>
        </w:rPr>
      </w:pPr>
      <w:r w:rsidRPr="002819C4">
        <w:rPr>
          <w:rFonts w:cs="Arial"/>
          <w:b/>
          <w:color w:val="2F5496"/>
          <w:szCs w:val="20"/>
        </w:rPr>
        <w:lastRenderedPageBreak/>
        <w:t>Υπουργείο Κοινωνικής Συνοχής και Οικογένειας</w:t>
      </w:r>
    </w:p>
    <w:p w14:paraId="0B167F7D" w14:textId="24D2F29B" w:rsidR="00B3600A" w:rsidRPr="00B3600A" w:rsidRDefault="00B3600A" w:rsidP="00B3600A">
      <w:pPr>
        <w:spacing w:after="60" w:line="240" w:lineRule="auto"/>
        <w:rPr>
          <w:b/>
          <w:sz w:val="18"/>
          <w:szCs w:val="18"/>
        </w:rPr>
      </w:pPr>
      <w:bookmarkStart w:id="184" w:name="_Toc182931599"/>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38</w:t>
      </w:r>
      <w:r w:rsidRPr="00B3600A">
        <w:rPr>
          <w:b/>
          <w:sz w:val="18"/>
          <w:szCs w:val="18"/>
        </w:rPr>
        <w:fldChar w:fldCharType="end"/>
      </w:r>
      <w:r w:rsidRPr="00B3600A">
        <w:rPr>
          <w:b/>
          <w:sz w:val="18"/>
          <w:szCs w:val="18"/>
        </w:rPr>
        <w:t xml:space="preserve">.: Προϋπολογιζόμενη Δαπάνη Κρατικού </w:t>
      </w:r>
      <w:r w:rsidRPr="00DA571D">
        <w:rPr>
          <w:b/>
          <w:sz w:val="18"/>
          <w:szCs w:val="18"/>
        </w:rPr>
        <w:t>Προϋπολογισ</w:t>
      </w:r>
      <w:r w:rsidRPr="00B3600A">
        <w:rPr>
          <w:b/>
          <w:sz w:val="18"/>
          <w:szCs w:val="18"/>
        </w:rPr>
        <w:t>μού ανά Πρόγραμμα</w:t>
      </w:r>
      <w:bookmarkEnd w:id="184"/>
    </w:p>
    <w:p w14:paraId="3B29229E" w14:textId="49214C1E" w:rsidR="002819C4" w:rsidRPr="00F710D2" w:rsidRDefault="00DA571D" w:rsidP="008D1D17">
      <w:pPr>
        <w:tabs>
          <w:tab w:val="left" w:pos="284"/>
        </w:tabs>
        <w:spacing w:after="0" w:line="240" w:lineRule="auto"/>
        <w:contextualSpacing/>
        <w:jc w:val="center"/>
        <w:rPr>
          <w:rFonts w:cs="Arial"/>
          <w:color w:val="000000" w:themeColor="text1"/>
          <w:sz w:val="18"/>
          <w:szCs w:val="18"/>
        </w:rPr>
      </w:pPr>
      <w:r>
        <w:rPr>
          <w:noProof/>
        </w:rPr>
        <w:drawing>
          <wp:inline distT="0" distB="0" distL="0" distR="0" wp14:anchorId="1D71FDF5" wp14:editId="1E36C281">
            <wp:extent cx="5759450" cy="2438400"/>
            <wp:effectExtent l="0" t="0" r="0" b="0"/>
            <wp:docPr id="98" name="Γράφημα 98">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421CD4F" w14:textId="77777777" w:rsidR="002819C4" w:rsidRDefault="002819C4" w:rsidP="002819C4">
      <w:pPr>
        <w:tabs>
          <w:tab w:val="left" w:pos="284"/>
        </w:tabs>
        <w:spacing w:after="0" w:line="240" w:lineRule="auto"/>
        <w:contextualSpacing/>
        <w:rPr>
          <w:rFonts w:cs="Arial"/>
          <w:color w:val="000000" w:themeColor="text1"/>
          <w:sz w:val="18"/>
          <w:szCs w:val="18"/>
        </w:rPr>
      </w:pPr>
    </w:p>
    <w:p w14:paraId="0FCE153C" w14:textId="77777777" w:rsidR="002819C4" w:rsidRDefault="002819C4" w:rsidP="002819C4">
      <w:pPr>
        <w:tabs>
          <w:tab w:val="left" w:pos="284"/>
        </w:tabs>
        <w:spacing w:after="0" w:line="240" w:lineRule="auto"/>
        <w:contextualSpacing/>
        <w:rPr>
          <w:rFonts w:cs="Arial"/>
          <w:color w:val="000000" w:themeColor="text1"/>
          <w:sz w:val="18"/>
          <w:szCs w:val="18"/>
        </w:rPr>
      </w:pPr>
    </w:p>
    <w:p w14:paraId="7E6588BC" w14:textId="063E8579" w:rsidR="00B3600A" w:rsidRPr="00B3600A" w:rsidRDefault="00B3600A" w:rsidP="00B3600A">
      <w:pPr>
        <w:spacing w:after="60" w:line="240" w:lineRule="auto"/>
        <w:rPr>
          <w:b/>
          <w:sz w:val="18"/>
          <w:szCs w:val="18"/>
        </w:rPr>
      </w:pPr>
      <w:bookmarkStart w:id="185" w:name="_Toc182931600"/>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39</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85"/>
    </w:p>
    <w:p w14:paraId="6C9CF47E" w14:textId="152EBF28" w:rsidR="002819C4" w:rsidRPr="007939CB" w:rsidRDefault="00DA571D" w:rsidP="007939CB">
      <w:r>
        <w:rPr>
          <w:noProof/>
        </w:rPr>
        <w:drawing>
          <wp:inline distT="0" distB="0" distL="0" distR="0" wp14:anchorId="3D682A96" wp14:editId="4EDD1AEA">
            <wp:extent cx="5759450" cy="2399386"/>
            <wp:effectExtent l="0" t="0" r="0" b="1270"/>
            <wp:docPr id="40" name="Γράφημα 40">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C5C811B" w14:textId="2C2E6CB7" w:rsidR="002819C4" w:rsidRDefault="002819C4" w:rsidP="007939CB">
      <w:pPr>
        <w:rPr>
          <w:rFonts w:cs="Arial"/>
          <w:color w:val="000000" w:themeColor="text1"/>
          <w:sz w:val="18"/>
          <w:szCs w:val="18"/>
        </w:rPr>
      </w:pPr>
    </w:p>
    <w:p w14:paraId="231866FF" w14:textId="0538C143" w:rsidR="00B3600A" w:rsidRPr="00B3600A" w:rsidRDefault="00B3600A" w:rsidP="00B3600A">
      <w:pPr>
        <w:spacing w:after="60" w:line="240" w:lineRule="auto"/>
        <w:rPr>
          <w:b/>
          <w:sz w:val="18"/>
          <w:szCs w:val="18"/>
        </w:rPr>
      </w:pPr>
      <w:bookmarkStart w:id="186" w:name="_Toc182931601"/>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40</w:t>
      </w:r>
      <w:r w:rsidRPr="00B3600A">
        <w:rPr>
          <w:b/>
          <w:sz w:val="18"/>
          <w:szCs w:val="18"/>
        </w:rPr>
        <w:fldChar w:fldCharType="end"/>
      </w:r>
      <w:r w:rsidRPr="00B3600A">
        <w:rPr>
          <w:b/>
          <w:sz w:val="18"/>
          <w:szCs w:val="18"/>
        </w:rPr>
        <w:t xml:space="preserve">.: Ανθρώπινοι </w:t>
      </w:r>
      <w:r w:rsidR="003E22DB">
        <w:rPr>
          <w:b/>
          <w:sz w:val="18"/>
          <w:szCs w:val="18"/>
        </w:rPr>
        <w:t>π</w:t>
      </w:r>
      <w:r w:rsidRPr="00B3600A">
        <w:rPr>
          <w:b/>
          <w:sz w:val="18"/>
          <w:szCs w:val="18"/>
        </w:rPr>
        <w:t>όροι ανά Πρόγραμμα</w:t>
      </w:r>
      <w:bookmarkEnd w:id="186"/>
    </w:p>
    <w:p w14:paraId="17E1A016" w14:textId="2DA27D2B" w:rsidR="002819C4" w:rsidRDefault="00001AD4" w:rsidP="008D1D17">
      <w:pPr>
        <w:tabs>
          <w:tab w:val="left" w:pos="284"/>
        </w:tabs>
        <w:spacing w:after="0" w:line="240" w:lineRule="auto"/>
        <w:contextualSpacing/>
        <w:jc w:val="center"/>
        <w:rPr>
          <w:rFonts w:cs="Arial"/>
          <w:color w:val="000000" w:themeColor="text1"/>
          <w:sz w:val="18"/>
          <w:szCs w:val="18"/>
        </w:rPr>
      </w:pPr>
      <w:r>
        <w:rPr>
          <w:noProof/>
        </w:rPr>
        <w:drawing>
          <wp:inline distT="0" distB="0" distL="0" distR="0" wp14:anchorId="4DA8A4F3" wp14:editId="1CC533BD">
            <wp:extent cx="5759450" cy="2351405"/>
            <wp:effectExtent l="0" t="0" r="0" b="0"/>
            <wp:docPr id="41" name="Γράφημα 41">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FC09ECB" w14:textId="77777777" w:rsidR="00A33B2A" w:rsidRDefault="00A33B2A" w:rsidP="00001AD4">
      <w:r>
        <w:br w:type="page"/>
      </w:r>
    </w:p>
    <w:p w14:paraId="6EDAAE07" w14:textId="3C518DFB" w:rsidR="007F39B9" w:rsidRPr="002819C4" w:rsidRDefault="0091013C" w:rsidP="0091013C">
      <w:pPr>
        <w:shd w:val="clear" w:color="auto" w:fill="D5DCE4"/>
        <w:rPr>
          <w:rFonts w:cs="Arial"/>
          <w:b/>
          <w:color w:val="2F5496"/>
          <w:sz w:val="22"/>
          <w:szCs w:val="22"/>
        </w:rPr>
      </w:pPr>
      <w:r w:rsidRPr="002819C4">
        <w:rPr>
          <w:rFonts w:cs="Arial"/>
          <w:b/>
          <w:color w:val="2F5496"/>
          <w:szCs w:val="20"/>
        </w:rPr>
        <w:lastRenderedPageBreak/>
        <w:t xml:space="preserve">Υπουργείο </w:t>
      </w:r>
      <w:r w:rsidR="0031743A" w:rsidRPr="002819C4">
        <w:rPr>
          <w:rFonts w:cs="Arial"/>
          <w:b/>
          <w:color w:val="2F5496"/>
          <w:szCs w:val="20"/>
        </w:rPr>
        <w:t>Ανάπτυξης</w:t>
      </w:r>
    </w:p>
    <w:p w14:paraId="54AF03C1" w14:textId="797D353B" w:rsidR="00B3600A" w:rsidRPr="00B3600A" w:rsidRDefault="00B3600A" w:rsidP="00B3600A">
      <w:pPr>
        <w:spacing w:after="60" w:line="240" w:lineRule="auto"/>
        <w:rPr>
          <w:b/>
          <w:sz w:val="18"/>
          <w:szCs w:val="18"/>
        </w:rPr>
      </w:pPr>
      <w:bookmarkStart w:id="187" w:name="_Toc182931602"/>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41</w:t>
      </w:r>
      <w:r w:rsidRPr="00B3600A">
        <w:rPr>
          <w:b/>
          <w:sz w:val="18"/>
          <w:szCs w:val="18"/>
        </w:rPr>
        <w:fldChar w:fldCharType="end"/>
      </w:r>
      <w:r w:rsidRPr="00B3600A">
        <w:rPr>
          <w:b/>
          <w:sz w:val="18"/>
          <w:szCs w:val="18"/>
        </w:rPr>
        <w:t>.: Προϋπολογιζόμενη Δαπάνη Κρατικού Προϋπολογισμού ανά Πρόγραμμα</w:t>
      </w:r>
      <w:bookmarkEnd w:id="187"/>
    </w:p>
    <w:p w14:paraId="644E718E" w14:textId="553803B1" w:rsidR="002819C4" w:rsidRPr="00F710D2" w:rsidRDefault="00001AD4" w:rsidP="007939CB">
      <w:r>
        <w:rPr>
          <w:noProof/>
        </w:rPr>
        <w:drawing>
          <wp:inline distT="0" distB="0" distL="0" distR="0" wp14:anchorId="60F27856" wp14:editId="79AE34F3">
            <wp:extent cx="5759450" cy="2514600"/>
            <wp:effectExtent l="0" t="0" r="0" b="0"/>
            <wp:docPr id="42" name="Γράφημα 42">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06749ED" w14:textId="77777777" w:rsidR="002819C4" w:rsidRPr="007939CB" w:rsidRDefault="002819C4" w:rsidP="007939CB">
      <w:pPr>
        <w:rPr>
          <w:sz w:val="12"/>
        </w:rPr>
      </w:pPr>
    </w:p>
    <w:p w14:paraId="4C0491B7" w14:textId="13E2110D" w:rsidR="00B3600A" w:rsidRPr="00B3600A" w:rsidRDefault="00B3600A" w:rsidP="00B3600A">
      <w:pPr>
        <w:spacing w:after="60" w:line="240" w:lineRule="auto"/>
        <w:rPr>
          <w:b/>
          <w:sz w:val="18"/>
          <w:szCs w:val="18"/>
        </w:rPr>
      </w:pPr>
      <w:bookmarkStart w:id="188" w:name="_Toc182931603"/>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42</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88"/>
    </w:p>
    <w:p w14:paraId="5F634754" w14:textId="63D7A240" w:rsidR="002819C4" w:rsidRDefault="00001AD4" w:rsidP="007939CB">
      <w:r>
        <w:rPr>
          <w:noProof/>
        </w:rPr>
        <w:drawing>
          <wp:inline distT="0" distB="0" distL="0" distR="0" wp14:anchorId="62784EE9" wp14:editId="5B584231">
            <wp:extent cx="5759450" cy="2667000"/>
            <wp:effectExtent l="0" t="0" r="0" b="0"/>
            <wp:docPr id="43" name="Γράφημα 43">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3841DEB" w14:textId="77777777" w:rsidR="00B4506B" w:rsidRPr="00B4506B" w:rsidRDefault="00B4506B" w:rsidP="00B3600A">
      <w:pPr>
        <w:spacing w:after="60" w:line="240" w:lineRule="auto"/>
        <w:rPr>
          <w:b/>
          <w:sz w:val="12"/>
          <w:szCs w:val="18"/>
        </w:rPr>
      </w:pPr>
      <w:bookmarkStart w:id="189" w:name="_Toc182931604"/>
    </w:p>
    <w:p w14:paraId="0619C7B9" w14:textId="732131D4" w:rsidR="00B3600A" w:rsidRPr="00B3600A" w:rsidRDefault="00B3600A" w:rsidP="00B3600A">
      <w:pPr>
        <w:spacing w:after="60" w:line="240" w:lineRule="auto"/>
        <w:rPr>
          <w:b/>
          <w:sz w:val="18"/>
          <w:szCs w:val="18"/>
        </w:rPr>
      </w:pPr>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43</w:t>
      </w:r>
      <w:r w:rsidRPr="00B3600A">
        <w:rPr>
          <w:b/>
          <w:sz w:val="18"/>
          <w:szCs w:val="18"/>
        </w:rPr>
        <w:fldChar w:fldCharType="end"/>
      </w:r>
      <w:r w:rsidRPr="00B3600A">
        <w:rPr>
          <w:b/>
          <w:sz w:val="18"/>
          <w:szCs w:val="18"/>
        </w:rPr>
        <w:t xml:space="preserve">.: Ανθρώπινοι </w:t>
      </w:r>
      <w:r w:rsidR="003E22DB">
        <w:rPr>
          <w:b/>
          <w:sz w:val="18"/>
          <w:szCs w:val="18"/>
        </w:rPr>
        <w:t>π</w:t>
      </w:r>
      <w:r w:rsidRPr="00B3600A">
        <w:rPr>
          <w:b/>
          <w:sz w:val="18"/>
          <w:szCs w:val="18"/>
        </w:rPr>
        <w:t>όροι ανά Πρόγραμμα</w:t>
      </w:r>
      <w:bookmarkEnd w:id="189"/>
    </w:p>
    <w:p w14:paraId="2090401B" w14:textId="3E7C9AA9" w:rsidR="002819C4" w:rsidRDefault="00001AD4" w:rsidP="00B4506B">
      <w:pPr>
        <w:rPr>
          <w:b/>
          <w:color w:val="2F5496"/>
          <w:szCs w:val="20"/>
          <w:highlight w:val="yellow"/>
        </w:rPr>
      </w:pPr>
      <w:r>
        <w:rPr>
          <w:noProof/>
        </w:rPr>
        <w:drawing>
          <wp:inline distT="0" distB="0" distL="0" distR="0" wp14:anchorId="251D53EA" wp14:editId="6418B1BF">
            <wp:extent cx="5759450" cy="2398395"/>
            <wp:effectExtent l="0" t="0" r="0" b="1905"/>
            <wp:docPr id="99" name="Γράφημα 99">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2819C4">
        <w:rPr>
          <w:b/>
          <w:color w:val="2F5496"/>
          <w:szCs w:val="20"/>
          <w:highlight w:val="yellow"/>
        </w:rPr>
        <w:br w:type="page"/>
      </w:r>
    </w:p>
    <w:p w14:paraId="4E6EC22C" w14:textId="7174954B" w:rsidR="007F39B9" w:rsidRPr="00BD762C" w:rsidRDefault="007F39B9" w:rsidP="008D1D17">
      <w:pPr>
        <w:shd w:val="clear" w:color="auto" w:fill="D5DCE4"/>
        <w:rPr>
          <w:rFonts w:cs="Arial"/>
          <w:b/>
          <w:color w:val="2F5496"/>
          <w:szCs w:val="20"/>
        </w:rPr>
      </w:pPr>
      <w:r w:rsidRPr="00BD762C">
        <w:rPr>
          <w:rFonts w:cs="Arial"/>
          <w:b/>
          <w:color w:val="2F5496"/>
          <w:szCs w:val="20"/>
        </w:rPr>
        <w:lastRenderedPageBreak/>
        <w:t xml:space="preserve">Υπουργείο </w:t>
      </w:r>
      <w:r w:rsidR="0031743A" w:rsidRPr="00BD762C">
        <w:rPr>
          <w:rFonts w:cs="Arial"/>
          <w:b/>
          <w:color w:val="2F5496"/>
          <w:szCs w:val="20"/>
        </w:rPr>
        <w:t>Υποδομών και Μεταφορών</w:t>
      </w:r>
    </w:p>
    <w:p w14:paraId="1799E462" w14:textId="53E1F79F" w:rsidR="00B3600A" w:rsidRPr="00B3600A" w:rsidRDefault="00B3600A" w:rsidP="00B3600A">
      <w:pPr>
        <w:spacing w:after="60" w:line="240" w:lineRule="auto"/>
        <w:rPr>
          <w:b/>
          <w:sz w:val="18"/>
          <w:szCs w:val="18"/>
        </w:rPr>
      </w:pPr>
      <w:bookmarkStart w:id="190" w:name="_Toc182931605"/>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44</w:t>
      </w:r>
      <w:r w:rsidRPr="00B3600A">
        <w:rPr>
          <w:b/>
          <w:sz w:val="18"/>
          <w:szCs w:val="18"/>
        </w:rPr>
        <w:fldChar w:fldCharType="end"/>
      </w:r>
      <w:r w:rsidRPr="00B3600A">
        <w:rPr>
          <w:b/>
          <w:sz w:val="18"/>
          <w:szCs w:val="18"/>
        </w:rPr>
        <w:t>.: Προϋπολογιζόμενη Δαπάνη Κρατικού Προϋπολογισμού ανά Πρόγραμμα</w:t>
      </w:r>
      <w:bookmarkEnd w:id="190"/>
    </w:p>
    <w:p w14:paraId="0199A757" w14:textId="170243D9" w:rsidR="00BD762C" w:rsidRPr="00F710D2" w:rsidRDefault="00001AD4" w:rsidP="00001AD4">
      <w:pPr>
        <w:spacing w:after="0" w:line="240" w:lineRule="auto"/>
        <w:rPr>
          <w:rFonts w:cs="Arial"/>
          <w:sz w:val="18"/>
          <w:szCs w:val="18"/>
        </w:rPr>
      </w:pPr>
      <w:r>
        <w:rPr>
          <w:noProof/>
        </w:rPr>
        <w:drawing>
          <wp:inline distT="0" distB="0" distL="0" distR="0" wp14:anchorId="4CF1A230" wp14:editId="1F6DC5C0">
            <wp:extent cx="5759450" cy="2581275"/>
            <wp:effectExtent l="0" t="0" r="0" b="0"/>
            <wp:docPr id="45" name="Γράφημα 45">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EB57544" w14:textId="77777777" w:rsidR="00BD762C" w:rsidRDefault="00BD762C" w:rsidP="00BD762C">
      <w:pPr>
        <w:spacing w:after="0" w:line="240" w:lineRule="auto"/>
        <w:jc w:val="left"/>
        <w:rPr>
          <w:rFonts w:cs="Arial"/>
          <w:sz w:val="18"/>
          <w:szCs w:val="18"/>
        </w:rPr>
      </w:pPr>
    </w:p>
    <w:p w14:paraId="065B98BB" w14:textId="26A8D4C0" w:rsidR="00B3600A" w:rsidRPr="00B3600A" w:rsidRDefault="00B3600A" w:rsidP="00B3600A">
      <w:pPr>
        <w:spacing w:after="60" w:line="240" w:lineRule="auto"/>
        <w:rPr>
          <w:b/>
          <w:sz w:val="18"/>
          <w:szCs w:val="18"/>
        </w:rPr>
      </w:pPr>
      <w:bookmarkStart w:id="191" w:name="_Toc182931606"/>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45</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91"/>
    </w:p>
    <w:p w14:paraId="212E9EA9" w14:textId="6C412EAD" w:rsidR="00BD762C" w:rsidRDefault="00001AD4" w:rsidP="008D1D17">
      <w:pPr>
        <w:spacing w:after="0" w:line="240" w:lineRule="auto"/>
        <w:jc w:val="center"/>
        <w:rPr>
          <w:rFonts w:cs="Arial"/>
          <w:sz w:val="18"/>
          <w:szCs w:val="18"/>
        </w:rPr>
      </w:pPr>
      <w:r>
        <w:rPr>
          <w:noProof/>
        </w:rPr>
        <w:drawing>
          <wp:inline distT="0" distB="0" distL="0" distR="0" wp14:anchorId="1BA89BEF" wp14:editId="4C93437E">
            <wp:extent cx="5759450" cy="2600325"/>
            <wp:effectExtent l="0" t="0" r="0" b="0"/>
            <wp:docPr id="46" name="Γράφημα 46">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AA9D6B7" w14:textId="77777777" w:rsidR="00A04686" w:rsidRDefault="00A04686" w:rsidP="008D1D17">
      <w:pPr>
        <w:spacing w:after="0" w:line="240" w:lineRule="auto"/>
        <w:jc w:val="center"/>
        <w:rPr>
          <w:rFonts w:cs="Arial"/>
          <w:sz w:val="18"/>
          <w:szCs w:val="18"/>
        </w:rPr>
      </w:pPr>
    </w:p>
    <w:p w14:paraId="0DD12E3A" w14:textId="77B3AD7D" w:rsidR="00B3600A" w:rsidRPr="00B3600A" w:rsidRDefault="00B3600A" w:rsidP="00B3600A">
      <w:pPr>
        <w:spacing w:after="60" w:line="240" w:lineRule="auto"/>
        <w:rPr>
          <w:b/>
          <w:sz w:val="18"/>
          <w:szCs w:val="18"/>
        </w:rPr>
      </w:pPr>
      <w:bookmarkStart w:id="192" w:name="_Toc182931607"/>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46</w:t>
      </w:r>
      <w:r w:rsidRPr="00B3600A">
        <w:rPr>
          <w:b/>
          <w:sz w:val="18"/>
          <w:szCs w:val="18"/>
        </w:rPr>
        <w:fldChar w:fldCharType="end"/>
      </w:r>
      <w:r w:rsidRPr="00B3600A">
        <w:rPr>
          <w:b/>
          <w:sz w:val="18"/>
          <w:szCs w:val="18"/>
        </w:rPr>
        <w:t xml:space="preserve">.: Ανθρώπινοι </w:t>
      </w:r>
      <w:r w:rsidR="003E22DB">
        <w:rPr>
          <w:b/>
          <w:sz w:val="18"/>
          <w:szCs w:val="18"/>
        </w:rPr>
        <w:t>π</w:t>
      </w:r>
      <w:r w:rsidRPr="00B3600A">
        <w:rPr>
          <w:b/>
          <w:sz w:val="18"/>
          <w:szCs w:val="18"/>
        </w:rPr>
        <w:t>όροι ανά Πρόγραμμα</w:t>
      </w:r>
      <w:bookmarkEnd w:id="192"/>
    </w:p>
    <w:p w14:paraId="3F1BBA37" w14:textId="4D461A83" w:rsidR="007F39B9" w:rsidRPr="00B41A1D" w:rsidRDefault="00001AD4" w:rsidP="00B4506B">
      <w:pPr>
        <w:rPr>
          <w:b/>
          <w:sz w:val="22"/>
          <w:szCs w:val="22"/>
        </w:rPr>
      </w:pPr>
      <w:r>
        <w:rPr>
          <w:noProof/>
        </w:rPr>
        <w:drawing>
          <wp:inline distT="0" distB="0" distL="0" distR="0" wp14:anchorId="5DAA027A" wp14:editId="6B0BDAAA">
            <wp:extent cx="5759450" cy="2549525"/>
            <wp:effectExtent l="0" t="0" r="0" b="3175"/>
            <wp:docPr id="47" name="Γράφημα 47">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7F39B9" w:rsidRPr="00B41A1D">
        <w:rPr>
          <w:b/>
          <w:sz w:val="22"/>
          <w:szCs w:val="22"/>
        </w:rPr>
        <w:br w:type="page"/>
      </w:r>
    </w:p>
    <w:p w14:paraId="25C39F55" w14:textId="36AA57CC" w:rsidR="007F39B9" w:rsidRPr="00F51A7C" w:rsidRDefault="007F39B9" w:rsidP="007F39B9">
      <w:pPr>
        <w:shd w:val="clear" w:color="auto" w:fill="D5DCE4"/>
        <w:rPr>
          <w:rFonts w:cs="Arial"/>
          <w:b/>
          <w:color w:val="2F5496"/>
          <w:szCs w:val="20"/>
        </w:rPr>
      </w:pPr>
      <w:r w:rsidRPr="00F51A7C">
        <w:rPr>
          <w:rFonts w:cs="Arial"/>
          <w:b/>
          <w:color w:val="2F5496"/>
          <w:szCs w:val="20"/>
        </w:rPr>
        <w:lastRenderedPageBreak/>
        <w:t xml:space="preserve">Υπουργείο </w:t>
      </w:r>
      <w:r w:rsidR="0031743A" w:rsidRPr="00F51A7C">
        <w:rPr>
          <w:rFonts w:cs="Arial"/>
          <w:b/>
          <w:color w:val="2F5496"/>
          <w:szCs w:val="20"/>
        </w:rPr>
        <w:t>Ναυτιλίας και Νησιωτικής Πολιτικής</w:t>
      </w:r>
    </w:p>
    <w:p w14:paraId="058D0B28" w14:textId="7377FA5B" w:rsidR="00B3600A" w:rsidRPr="00B3600A" w:rsidRDefault="00B3600A" w:rsidP="00B3600A">
      <w:pPr>
        <w:spacing w:after="60" w:line="240" w:lineRule="auto"/>
        <w:rPr>
          <w:b/>
          <w:sz w:val="18"/>
          <w:szCs w:val="18"/>
        </w:rPr>
      </w:pPr>
      <w:bookmarkStart w:id="193" w:name="_Toc182931608"/>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47</w:t>
      </w:r>
      <w:r w:rsidRPr="00B3600A">
        <w:rPr>
          <w:b/>
          <w:sz w:val="18"/>
          <w:szCs w:val="18"/>
        </w:rPr>
        <w:fldChar w:fldCharType="end"/>
      </w:r>
      <w:r w:rsidRPr="00B3600A">
        <w:rPr>
          <w:b/>
          <w:sz w:val="18"/>
          <w:szCs w:val="18"/>
        </w:rPr>
        <w:t>.: Προϋπολογιζόμενη Δαπάνη Κρατικού Προϋπολογισμού ανά Πρόγραμμα</w:t>
      </w:r>
      <w:bookmarkEnd w:id="193"/>
    </w:p>
    <w:p w14:paraId="476AD98B" w14:textId="030B07F8" w:rsidR="00F51A7C" w:rsidRPr="00F710D2" w:rsidRDefault="00001AD4" w:rsidP="008D1D17">
      <w:pPr>
        <w:spacing w:after="0" w:line="240" w:lineRule="auto"/>
        <w:jc w:val="center"/>
        <w:rPr>
          <w:rFonts w:cs="Arial"/>
          <w:sz w:val="18"/>
          <w:szCs w:val="18"/>
        </w:rPr>
      </w:pPr>
      <w:r>
        <w:rPr>
          <w:noProof/>
        </w:rPr>
        <w:drawing>
          <wp:inline distT="0" distB="0" distL="0" distR="0" wp14:anchorId="593D6785" wp14:editId="6555DB5C">
            <wp:extent cx="5759450" cy="2466975"/>
            <wp:effectExtent l="0" t="0" r="0" b="0"/>
            <wp:docPr id="48" name="Γράφημα 48">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154B6A6" w14:textId="77777777" w:rsidR="00F51A7C" w:rsidRDefault="00F51A7C" w:rsidP="00F51A7C">
      <w:pPr>
        <w:spacing w:after="0" w:line="240" w:lineRule="auto"/>
        <w:jc w:val="left"/>
        <w:rPr>
          <w:rFonts w:cs="Arial"/>
          <w:sz w:val="18"/>
          <w:szCs w:val="18"/>
        </w:rPr>
      </w:pPr>
    </w:p>
    <w:p w14:paraId="5D418238" w14:textId="73086E6E" w:rsidR="00B3600A" w:rsidRPr="00B3600A" w:rsidRDefault="00B3600A" w:rsidP="00B3600A">
      <w:pPr>
        <w:spacing w:after="60" w:line="240" w:lineRule="auto"/>
        <w:rPr>
          <w:b/>
          <w:sz w:val="18"/>
          <w:szCs w:val="18"/>
        </w:rPr>
      </w:pPr>
      <w:bookmarkStart w:id="194" w:name="_Toc182931609"/>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48</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94"/>
    </w:p>
    <w:p w14:paraId="40B6FB73" w14:textId="3B38134D" w:rsidR="00F51A7C" w:rsidRPr="00B4506B" w:rsidRDefault="00001AD4" w:rsidP="00B4506B">
      <w:r>
        <w:rPr>
          <w:noProof/>
        </w:rPr>
        <w:drawing>
          <wp:inline distT="0" distB="0" distL="0" distR="0" wp14:anchorId="714938AD" wp14:editId="4F6D60D6">
            <wp:extent cx="5759450" cy="2667000"/>
            <wp:effectExtent l="0" t="0" r="0" b="0"/>
            <wp:docPr id="100" name="Γράφημα 100">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6D94E48" w14:textId="77777777" w:rsidR="00F51A7C" w:rsidRDefault="00F51A7C" w:rsidP="00B4506B">
      <w:pPr>
        <w:rPr>
          <w:rFonts w:cs="Arial"/>
          <w:sz w:val="18"/>
          <w:szCs w:val="18"/>
        </w:rPr>
      </w:pPr>
    </w:p>
    <w:p w14:paraId="12F8B962" w14:textId="4456E8AA" w:rsidR="00B3600A" w:rsidRPr="00B3600A" w:rsidRDefault="00B3600A" w:rsidP="00B3600A">
      <w:pPr>
        <w:spacing w:after="60" w:line="240" w:lineRule="auto"/>
        <w:rPr>
          <w:b/>
          <w:sz w:val="18"/>
          <w:szCs w:val="18"/>
        </w:rPr>
      </w:pPr>
      <w:bookmarkStart w:id="195" w:name="_Toc182931610"/>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49</w:t>
      </w:r>
      <w:r w:rsidRPr="00B3600A">
        <w:rPr>
          <w:b/>
          <w:sz w:val="18"/>
          <w:szCs w:val="18"/>
        </w:rPr>
        <w:fldChar w:fldCharType="end"/>
      </w:r>
      <w:r w:rsidRPr="00B3600A">
        <w:rPr>
          <w:b/>
          <w:sz w:val="18"/>
          <w:szCs w:val="18"/>
        </w:rPr>
        <w:t xml:space="preserve">.: Ανθρώπινοι </w:t>
      </w:r>
      <w:r w:rsidR="003E22DB">
        <w:rPr>
          <w:b/>
          <w:sz w:val="18"/>
          <w:szCs w:val="18"/>
        </w:rPr>
        <w:t>π</w:t>
      </w:r>
      <w:r w:rsidRPr="00B3600A">
        <w:rPr>
          <w:b/>
          <w:sz w:val="18"/>
          <w:szCs w:val="18"/>
        </w:rPr>
        <w:t>όροι ανά Πρόγραμμα</w:t>
      </w:r>
      <w:bookmarkEnd w:id="195"/>
    </w:p>
    <w:p w14:paraId="654A0CBB" w14:textId="1573FA9F" w:rsidR="00A33B2A" w:rsidRDefault="00001AD4" w:rsidP="00B4506B">
      <w:pPr>
        <w:rPr>
          <w:b/>
          <w:color w:val="2F5496"/>
          <w:szCs w:val="20"/>
        </w:rPr>
      </w:pPr>
      <w:r>
        <w:rPr>
          <w:noProof/>
        </w:rPr>
        <w:drawing>
          <wp:inline distT="0" distB="0" distL="0" distR="0" wp14:anchorId="5408DE87" wp14:editId="095D27F1">
            <wp:extent cx="5759450" cy="2432685"/>
            <wp:effectExtent l="0" t="0" r="0" b="5715"/>
            <wp:docPr id="101" name="Γράφημα 101">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A33B2A">
        <w:rPr>
          <w:b/>
          <w:color w:val="2F5496"/>
          <w:szCs w:val="20"/>
        </w:rPr>
        <w:br w:type="page"/>
      </w:r>
    </w:p>
    <w:p w14:paraId="70010410" w14:textId="3B988599" w:rsidR="007F39B9" w:rsidRPr="002B3CBB" w:rsidRDefault="007F39B9" w:rsidP="007F39B9">
      <w:pPr>
        <w:shd w:val="clear" w:color="auto" w:fill="D5DCE4"/>
        <w:rPr>
          <w:rFonts w:cs="Arial"/>
          <w:b/>
          <w:color w:val="2F5496"/>
          <w:szCs w:val="20"/>
        </w:rPr>
      </w:pPr>
      <w:r w:rsidRPr="00367452">
        <w:rPr>
          <w:rFonts w:cs="Arial"/>
          <w:b/>
          <w:color w:val="2F5496"/>
          <w:szCs w:val="20"/>
        </w:rPr>
        <w:lastRenderedPageBreak/>
        <w:t xml:space="preserve">Υπουργείο </w:t>
      </w:r>
      <w:r w:rsidR="0031743A" w:rsidRPr="00367452">
        <w:rPr>
          <w:rFonts w:cs="Arial"/>
          <w:b/>
          <w:color w:val="2F5496"/>
          <w:szCs w:val="20"/>
        </w:rPr>
        <w:t>Τουρισμού</w:t>
      </w:r>
    </w:p>
    <w:p w14:paraId="27B4CA28" w14:textId="0600EC3C" w:rsidR="00B3600A" w:rsidRPr="00B3600A" w:rsidRDefault="00B3600A" w:rsidP="00B3600A">
      <w:pPr>
        <w:spacing w:after="60" w:line="240" w:lineRule="auto"/>
        <w:rPr>
          <w:b/>
          <w:sz w:val="18"/>
          <w:szCs w:val="18"/>
        </w:rPr>
      </w:pPr>
      <w:bookmarkStart w:id="196" w:name="_Toc182931611"/>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50</w:t>
      </w:r>
      <w:r w:rsidRPr="00B3600A">
        <w:rPr>
          <w:b/>
          <w:sz w:val="18"/>
          <w:szCs w:val="18"/>
        </w:rPr>
        <w:fldChar w:fldCharType="end"/>
      </w:r>
      <w:r w:rsidRPr="00B3600A">
        <w:rPr>
          <w:b/>
          <w:sz w:val="18"/>
          <w:szCs w:val="18"/>
        </w:rPr>
        <w:t>.: Προϋπολογιζόμενη Δαπάνη Κρατικού Προϋπολογισμού ανά Πρόγραμμα</w:t>
      </w:r>
      <w:bookmarkEnd w:id="196"/>
    </w:p>
    <w:p w14:paraId="6BF2D1D4" w14:textId="6C0BEC38" w:rsidR="00367452" w:rsidRPr="00AE0956" w:rsidRDefault="00001AD4" w:rsidP="008D1D17">
      <w:pPr>
        <w:spacing w:after="0" w:line="240" w:lineRule="auto"/>
        <w:jc w:val="center"/>
        <w:rPr>
          <w:rFonts w:cs="Arial"/>
          <w:sz w:val="18"/>
          <w:szCs w:val="18"/>
        </w:rPr>
      </w:pPr>
      <w:r>
        <w:rPr>
          <w:noProof/>
        </w:rPr>
        <w:drawing>
          <wp:inline distT="0" distB="0" distL="0" distR="0" wp14:anchorId="20722423" wp14:editId="3DDA2D02">
            <wp:extent cx="5759450" cy="1687195"/>
            <wp:effectExtent l="0" t="0" r="0" b="8255"/>
            <wp:docPr id="51" name="Γράφημα 51">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D68A687" w14:textId="77777777" w:rsidR="00367452" w:rsidRDefault="00367452" w:rsidP="00367452">
      <w:pPr>
        <w:spacing w:after="0" w:line="240" w:lineRule="auto"/>
        <w:jc w:val="left"/>
        <w:rPr>
          <w:rFonts w:cs="Arial"/>
          <w:noProof/>
          <w:sz w:val="18"/>
          <w:szCs w:val="18"/>
        </w:rPr>
      </w:pPr>
    </w:p>
    <w:p w14:paraId="12C97445" w14:textId="77777777" w:rsidR="00367452" w:rsidRDefault="00367452" w:rsidP="00367452">
      <w:pPr>
        <w:spacing w:after="0" w:line="240" w:lineRule="auto"/>
        <w:jc w:val="left"/>
        <w:rPr>
          <w:rFonts w:cs="Arial"/>
          <w:noProof/>
          <w:sz w:val="18"/>
          <w:szCs w:val="18"/>
        </w:rPr>
      </w:pPr>
    </w:p>
    <w:p w14:paraId="0BC9B0C6" w14:textId="75FEC8FC" w:rsidR="00B3600A" w:rsidRPr="00B3600A" w:rsidRDefault="00B3600A" w:rsidP="00B3600A">
      <w:pPr>
        <w:spacing w:after="60" w:line="240" w:lineRule="auto"/>
        <w:rPr>
          <w:b/>
          <w:sz w:val="18"/>
          <w:szCs w:val="18"/>
        </w:rPr>
      </w:pPr>
      <w:bookmarkStart w:id="197" w:name="_Toc182931612"/>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51</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197"/>
    </w:p>
    <w:p w14:paraId="646200F3" w14:textId="293A738F" w:rsidR="00367452" w:rsidRDefault="00001AD4" w:rsidP="008D1D17">
      <w:pPr>
        <w:spacing w:after="0" w:line="240" w:lineRule="auto"/>
        <w:jc w:val="center"/>
        <w:rPr>
          <w:rFonts w:cs="Arial"/>
          <w:noProof/>
          <w:sz w:val="18"/>
          <w:szCs w:val="18"/>
        </w:rPr>
      </w:pPr>
      <w:r>
        <w:rPr>
          <w:noProof/>
        </w:rPr>
        <w:drawing>
          <wp:inline distT="0" distB="0" distL="0" distR="0" wp14:anchorId="4270057F" wp14:editId="35D6E152">
            <wp:extent cx="5759450" cy="2153285"/>
            <wp:effectExtent l="0" t="0" r="0" b="0"/>
            <wp:docPr id="52" name="Γράφημα 52">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ECB690F" w14:textId="77777777" w:rsidR="00367452" w:rsidRDefault="00367452" w:rsidP="00367452">
      <w:pPr>
        <w:spacing w:after="0" w:line="240" w:lineRule="auto"/>
        <w:jc w:val="left"/>
        <w:rPr>
          <w:rFonts w:cs="Arial"/>
          <w:noProof/>
          <w:sz w:val="18"/>
          <w:szCs w:val="18"/>
        </w:rPr>
      </w:pPr>
    </w:p>
    <w:p w14:paraId="7C8A24CF" w14:textId="5AB9AC21" w:rsidR="00367452" w:rsidRDefault="00367452" w:rsidP="00367452">
      <w:pPr>
        <w:spacing w:after="0" w:line="240" w:lineRule="auto"/>
        <w:jc w:val="left"/>
        <w:rPr>
          <w:rFonts w:cs="Arial"/>
          <w:noProof/>
          <w:sz w:val="18"/>
          <w:szCs w:val="18"/>
        </w:rPr>
      </w:pPr>
    </w:p>
    <w:p w14:paraId="200D6354" w14:textId="77777777" w:rsidR="00A04686" w:rsidRDefault="00A04686" w:rsidP="00367452">
      <w:pPr>
        <w:spacing w:after="0" w:line="240" w:lineRule="auto"/>
        <w:jc w:val="left"/>
        <w:rPr>
          <w:rFonts w:cs="Arial"/>
          <w:noProof/>
          <w:sz w:val="18"/>
          <w:szCs w:val="18"/>
        </w:rPr>
      </w:pPr>
    </w:p>
    <w:p w14:paraId="24EF0044" w14:textId="07BDCD37" w:rsidR="00B3600A" w:rsidRPr="00B3600A" w:rsidRDefault="00B3600A" w:rsidP="00B3600A">
      <w:pPr>
        <w:spacing w:after="60" w:line="240" w:lineRule="auto"/>
        <w:rPr>
          <w:b/>
          <w:sz w:val="18"/>
          <w:szCs w:val="18"/>
        </w:rPr>
      </w:pPr>
      <w:bookmarkStart w:id="198" w:name="_Toc182931613"/>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52</w:t>
      </w:r>
      <w:r w:rsidRPr="00B3600A">
        <w:rPr>
          <w:b/>
          <w:sz w:val="18"/>
          <w:szCs w:val="18"/>
        </w:rPr>
        <w:fldChar w:fldCharType="end"/>
      </w:r>
      <w:r w:rsidRPr="00B3600A">
        <w:rPr>
          <w:b/>
          <w:sz w:val="18"/>
          <w:szCs w:val="18"/>
        </w:rPr>
        <w:t xml:space="preserve">.: Ανθρώπινοι </w:t>
      </w:r>
      <w:r w:rsidR="00616773">
        <w:rPr>
          <w:b/>
          <w:sz w:val="18"/>
          <w:szCs w:val="18"/>
        </w:rPr>
        <w:t>π</w:t>
      </w:r>
      <w:r w:rsidRPr="00B3600A">
        <w:rPr>
          <w:b/>
          <w:sz w:val="18"/>
          <w:szCs w:val="18"/>
        </w:rPr>
        <w:t>όροι ανά Πρόγραμμα</w:t>
      </w:r>
      <w:bookmarkEnd w:id="198"/>
    </w:p>
    <w:p w14:paraId="240D744D" w14:textId="06C35DBB" w:rsidR="00367452" w:rsidRDefault="00001AD4" w:rsidP="00001AD4">
      <w:pPr>
        <w:spacing w:after="0" w:line="240" w:lineRule="auto"/>
        <w:rPr>
          <w:rFonts w:cs="Arial"/>
          <w:noProof/>
          <w:sz w:val="18"/>
          <w:szCs w:val="18"/>
        </w:rPr>
      </w:pPr>
      <w:r>
        <w:rPr>
          <w:noProof/>
        </w:rPr>
        <w:drawing>
          <wp:inline distT="0" distB="0" distL="0" distR="0" wp14:anchorId="0FEF8FC0" wp14:editId="1D27D1BC">
            <wp:extent cx="5759450" cy="2315845"/>
            <wp:effectExtent l="0" t="0" r="0" b="8255"/>
            <wp:docPr id="102" name="Γράφημα 102">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EA3E9C3" w14:textId="77777777" w:rsidR="0031743A" w:rsidRDefault="0031743A" w:rsidP="007F39B9">
      <w:pPr>
        <w:spacing w:after="0" w:line="240" w:lineRule="auto"/>
        <w:jc w:val="left"/>
        <w:rPr>
          <w:rFonts w:cs="Arial"/>
          <w:noProof/>
        </w:rPr>
      </w:pPr>
    </w:p>
    <w:p w14:paraId="42EEC792" w14:textId="3E196802" w:rsidR="008262D5" w:rsidRDefault="008262D5">
      <w:pPr>
        <w:spacing w:after="0" w:line="240" w:lineRule="auto"/>
        <w:jc w:val="left"/>
        <w:rPr>
          <w:rFonts w:cs="Arial"/>
          <w:noProof/>
        </w:rPr>
      </w:pPr>
      <w:r>
        <w:rPr>
          <w:rFonts w:cs="Arial"/>
          <w:noProof/>
        </w:rPr>
        <w:br w:type="page"/>
      </w:r>
    </w:p>
    <w:p w14:paraId="2B05CD98" w14:textId="6C4858B4" w:rsidR="007F39B9" w:rsidRPr="00367452" w:rsidRDefault="007F39B9" w:rsidP="007F39B9">
      <w:pPr>
        <w:shd w:val="clear" w:color="auto" w:fill="D5DCE4"/>
        <w:rPr>
          <w:rFonts w:cs="Arial"/>
          <w:b/>
          <w:color w:val="2F5496"/>
          <w:szCs w:val="20"/>
        </w:rPr>
      </w:pPr>
      <w:bookmarkStart w:id="199" w:name="_Hlk118111497"/>
      <w:r w:rsidRPr="00367452">
        <w:rPr>
          <w:rFonts w:cs="Arial"/>
          <w:b/>
          <w:color w:val="2F5496"/>
          <w:szCs w:val="20"/>
        </w:rPr>
        <w:lastRenderedPageBreak/>
        <w:t xml:space="preserve">Υπουργείο </w:t>
      </w:r>
      <w:r w:rsidR="0031743A" w:rsidRPr="00367452">
        <w:rPr>
          <w:rFonts w:cs="Arial"/>
          <w:b/>
          <w:color w:val="2F5496"/>
          <w:szCs w:val="20"/>
        </w:rPr>
        <w:t>Ψηφιακής Διακυβέρνησης</w:t>
      </w:r>
    </w:p>
    <w:p w14:paraId="240487EC" w14:textId="40686F60" w:rsidR="00B3600A" w:rsidRPr="00B3600A" w:rsidRDefault="00B3600A" w:rsidP="00B3600A">
      <w:pPr>
        <w:spacing w:after="60" w:line="240" w:lineRule="auto"/>
        <w:rPr>
          <w:b/>
          <w:sz w:val="18"/>
          <w:szCs w:val="18"/>
        </w:rPr>
      </w:pPr>
      <w:bookmarkStart w:id="200" w:name="_Toc182931614"/>
      <w:bookmarkEnd w:id="199"/>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53</w:t>
      </w:r>
      <w:r w:rsidRPr="00B3600A">
        <w:rPr>
          <w:b/>
          <w:sz w:val="18"/>
          <w:szCs w:val="18"/>
        </w:rPr>
        <w:fldChar w:fldCharType="end"/>
      </w:r>
      <w:r w:rsidRPr="00B3600A">
        <w:rPr>
          <w:b/>
          <w:sz w:val="18"/>
          <w:szCs w:val="18"/>
        </w:rPr>
        <w:t>.: Προϋπολογιζόμενη Δαπάνη Κρατικού Προϋπολογισμού ανά Πρόγραμμα</w:t>
      </w:r>
      <w:bookmarkEnd w:id="200"/>
    </w:p>
    <w:p w14:paraId="48014660" w14:textId="3759B36D" w:rsidR="00367452" w:rsidRPr="00AE0956" w:rsidRDefault="00001AD4" w:rsidP="008D1D17">
      <w:pPr>
        <w:spacing w:after="0" w:line="240" w:lineRule="auto"/>
        <w:jc w:val="center"/>
        <w:rPr>
          <w:rFonts w:cs="Arial"/>
          <w:noProof/>
          <w:sz w:val="18"/>
          <w:szCs w:val="18"/>
        </w:rPr>
      </w:pPr>
      <w:r>
        <w:rPr>
          <w:noProof/>
        </w:rPr>
        <w:drawing>
          <wp:inline distT="0" distB="0" distL="0" distR="0" wp14:anchorId="07451E9D" wp14:editId="44B0A0FB">
            <wp:extent cx="5759450" cy="2676525"/>
            <wp:effectExtent l="0" t="0" r="0" b="0"/>
            <wp:docPr id="54" name="Γράφημα 54">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3F5A6BD" w14:textId="77777777" w:rsidR="00367452" w:rsidRDefault="00367452" w:rsidP="00367452">
      <w:pPr>
        <w:spacing w:after="0" w:line="240" w:lineRule="auto"/>
        <w:jc w:val="left"/>
        <w:rPr>
          <w:rFonts w:cs="Arial"/>
          <w:noProof/>
          <w:sz w:val="18"/>
          <w:szCs w:val="18"/>
        </w:rPr>
      </w:pPr>
    </w:p>
    <w:p w14:paraId="320AA702" w14:textId="77777777" w:rsidR="00367452" w:rsidRDefault="00367452" w:rsidP="00367452">
      <w:pPr>
        <w:spacing w:after="0" w:line="240" w:lineRule="auto"/>
        <w:jc w:val="left"/>
        <w:rPr>
          <w:rFonts w:cs="Arial"/>
          <w:noProof/>
          <w:sz w:val="18"/>
          <w:szCs w:val="18"/>
        </w:rPr>
      </w:pPr>
    </w:p>
    <w:p w14:paraId="22444D64" w14:textId="19142E41" w:rsidR="00B3600A" w:rsidRPr="00B3600A" w:rsidRDefault="00B3600A" w:rsidP="00B3600A">
      <w:pPr>
        <w:spacing w:after="60" w:line="240" w:lineRule="auto"/>
        <w:rPr>
          <w:b/>
          <w:sz w:val="18"/>
          <w:szCs w:val="18"/>
        </w:rPr>
      </w:pPr>
      <w:bookmarkStart w:id="201" w:name="_Toc182931615"/>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54</w:t>
      </w:r>
      <w:r w:rsidRPr="00B3600A">
        <w:rPr>
          <w:b/>
          <w:sz w:val="18"/>
          <w:szCs w:val="18"/>
        </w:rPr>
        <w:fldChar w:fldCharType="end"/>
      </w:r>
      <w:r w:rsidRPr="00B3600A">
        <w:rPr>
          <w:b/>
          <w:sz w:val="18"/>
          <w:szCs w:val="18"/>
        </w:rPr>
        <w:t>.: Προϋπολογιζόμενη Δαπάνη Γενικής Κυβέρνησης ανά Πρόγραμμα</w:t>
      </w:r>
      <w:bookmarkEnd w:id="201"/>
    </w:p>
    <w:p w14:paraId="2163CE4D" w14:textId="782B3A4A" w:rsidR="00367452" w:rsidRDefault="00001AD4" w:rsidP="008D1D17">
      <w:pPr>
        <w:spacing w:after="0" w:line="240" w:lineRule="auto"/>
        <w:jc w:val="center"/>
        <w:rPr>
          <w:rFonts w:cs="Arial"/>
          <w:noProof/>
          <w:sz w:val="18"/>
          <w:szCs w:val="18"/>
        </w:rPr>
      </w:pPr>
      <w:r>
        <w:rPr>
          <w:noProof/>
        </w:rPr>
        <w:drawing>
          <wp:inline distT="0" distB="0" distL="0" distR="0" wp14:anchorId="2D682065" wp14:editId="68EB8A7B">
            <wp:extent cx="5759450" cy="2409825"/>
            <wp:effectExtent l="0" t="0" r="0" b="0"/>
            <wp:docPr id="55" name="Γράφημα 55">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CEE2270" w14:textId="77777777" w:rsidR="00367452" w:rsidRDefault="00367452" w:rsidP="00367452">
      <w:pPr>
        <w:spacing w:after="0" w:line="240" w:lineRule="auto"/>
        <w:jc w:val="left"/>
        <w:rPr>
          <w:rFonts w:cs="Arial"/>
          <w:noProof/>
          <w:sz w:val="18"/>
          <w:szCs w:val="18"/>
        </w:rPr>
      </w:pPr>
    </w:p>
    <w:p w14:paraId="196FA7C1" w14:textId="2F1B3808" w:rsidR="00B3600A" w:rsidRPr="00B3600A" w:rsidRDefault="00B3600A" w:rsidP="00B3600A">
      <w:pPr>
        <w:spacing w:after="60" w:line="240" w:lineRule="auto"/>
        <w:rPr>
          <w:b/>
          <w:sz w:val="18"/>
          <w:szCs w:val="18"/>
        </w:rPr>
      </w:pPr>
      <w:bookmarkStart w:id="202" w:name="_Toc182931616"/>
      <w:r w:rsidRPr="00B3600A">
        <w:rPr>
          <w:b/>
          <w:sz w:val="18"/>
          <w:szCs w:val="18"/>
        </w:rPr>
        <w:t>Διάγραμμα 2.</w:t>
      </w:r>
      <w:r w:rsidRPr="00B3600A">
        <w:rPr>
          <w:b/>
          <w:sz w:val="18"/>
          <w:szCs w:val="18"/>
        </w:rPr>
        <w:fldChar w:fldCharType="begin"/>
      </w:r>
      <w:r w:rsidRPr="00B3600A">
        <w:rPr>
          <w:b/>
          <w:sz w:val="18"/>
          <w:szCs w:val="18"/>
        </w:rPr>
        <w:instrText xml:space="preserve"> SEQ Διάγραμμα_2._ \* ARABIC </w:instrText>
      </w:r>
      <w:r w:rsidRPr="00B3600A">
        <w:rPr>
          <w:b/>
          <w:sz w:val="18"/>
          <w:szCs w:val="18"/>
        </w:rPr>
        <w:fldChar w:fldCharType="separate"/>
      </w:r>
      <w:r w:rsidR="00E15678">
        <w:rPr>
          <w:b/>
          <w:noProof/>
          <w:sz w:val="18"/>
          <w:szCs w:val="18"/>
        </w:rPr>
        <w:t>55</w:t>
      </w:r>
      <w:r w:rsidRPr="00B3600A">
        <w:rPr>
          <w:b/>
          <w:sz w:val="18"/>
          <w:szCs w:val="18"/>
        </w:rPr>
        <w:fldChar w:fldCharType="end"/>
      </w:r>
      <w:r w:rsidRPr="00B3600A">
        <w:rPr>
          <w:b/>
          <w:sz w:val="18"/>
          <w:szCs w:val="18"/>
        </w:rPr>
        <w:t xml:space="preserve">.: Ανθρώπινοι </w:t>
      </w:r>
      <w:r w:rsidR="00616773">
        <w:rPr>
          <w:b/>
          <w:sz w:val="18"/>
          <w:szCs w:val="18"/>
        </w:rPr>
        <w:t>π</w:t>
      </w:r>
      <w:r w:rsidRPr="00B3600A">
        <w:rPr>
          <w:b/>
          <w:sz w:val="18"/>
          <w:szCs w:val="18"/>
        </w:rPr>
        <w:t>όροι ανά Πρόγραμμα</w:t>
      </w:r>
      <w:bookmarkEnd w:id="202"/>
    </w:p>
    <w:p w14:paraId="29ED734D" w14:textId="74769962" w:rsidR="00367452" w:rsidRDefault="00001AD4" w:rsidP="00001AD4">
      <w:pPr>
        <w:spacing w:after="0" w:line="240" w:lineRule="auto"/>
        <w:rPr>
          <w:rFonts w:cs="Arial"/>
          <w:noProof/>
          <w:sz w:val="18"/>
          <w:szCs w:val="18"/>
        </w:rPr>
      </w:pPr>
      <w:r>
        <w:rPr>
          <w:noProof/>
        </w:rPr>
        <w:drawing>
          <wp:inline distT="0" distB="0" distL="0" distR="0" wp14:anchorId="04E7318D" wp14:editId="6BE94025">
            <wp:extent cx="5759450" cy="2247900"/>
            <wp:effectExtent l="0" t="0" r="0" b="0"/>
            <wp:docPr id="56" name="Γράφημα 56">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831CE78" w14:textId="77777777" w:rsidR="00367452" w:rsidRDefault="00367452">
      <w:pPr>
        <w:spacing w:after="0" w:line="240" w:lineRule="auto"/>
        <w:jc w:val="left"/>
        <w:rPr>
          <w:rFonts w:cs="Arial"/>
          <w:b/>
          <w:color w:val="2F5496"/>
          <w:szCs w:val="20"/>
          <w:highlight w:val="yellow"/>
        </w:rPr>
      </w:pPr>
      <w:r>
        <w:rPr>
          <w:rFonts w:cs="Arial"/>
          <w:b/>
          <w:color w:val="2F5496"/>
          <w:szCs w:val="20"/>
          <w:highlight w:val="yellow"/>
        </w:rPr>
        <w:br w:type="page"/>
      </w:r>
    </w:p>
    <w:p w14:paraId="4118C24A" w14:textId="7E3F29C1" w:rsidR="007F39B9" w:rsidRPr="003D1854" w:rsidRDefault="007F39B9" w:rsidP="007F39B9">
      <w:pPr>
        <w:shd w:val="clear" w:color="auto" w:fill="D5DCE4"/>
        <w:rPr>
          <w:rFonts w:cs="Arial"/>
          <w:b/>
          <w:color w:val="2F5496"/>
          <w:szCs w:val="20"/>
        </w:rPr>
      </w:pPr>
      <w:r w:rsidRPr="003D1854">
        <w:rPr>
          <w:rFonts w:cs="Arial"/>
          <w:b/>
          <w:color w:val="2F5496"/>
          <w:szCs w:val="20"/>
        </w:rPr>
        <w:lastRenderedPageBreak/>
        <w:t xml:space="preserve">Υπουργείο </w:t>
      </w:r>
      <w:r w:rsidR="00974CB4" w:rsidRPr="003D1854">
        <w:rPr>
          <w:rFonts w:cs="Arial"/>
          <w:b/>
          <w:color w:val="2F5496"/>
          <w:szCs w:val="20"/>
        </w:rPr>
        <w:t>Μετανάστευσης και Ασύλου</w:t>
      </w:r>
    </w:p>
    <w:p w14:paraId="6347AEB6" w14:textId="1A78FB70" w:rsidR="003B24A1" w:rsidRPr="003B24A1" w:rsidRDefault="003B24A1" w:rsidP="003B24A1">
      <w:pPr>
        <w:spacing w:after="60" w:line="240" w:lineRule="auto"/>
        <w:rPr>
          <w:b/>
          <w:sz w:val="18"/>
          <w:szCs w:val="18"/>
        </w:rPr>
      </w:pPr>
      <w:bookmarkStart w:id="203" w:name="_Toc182931617"/>
      <w:r w:rsidRPr="003B24A1">
        <w:rPr>
          <w:b/>
          <w:sz w:val="18"/>
          <w:szCs w:val="18"/>
        </w:rPr>
        <w:t>Διάγραμμα 2.</w:t>
      </w:r>
      <w:r w:rsidRPr="003B24A1">
        <w:rPr>
          <w:b/>
          <w:sz w:val="18"/>
          <w:szCs w:val="18"/>
        </w:rPr>
        <w:fldChar w:fldCharType="begin"/>
      </w:r>
      <w:r w:rsidRPr="003B24A1">
        <w:rPr>
          <w:b/>
          <w:sz w:val="18"/>
          <w:szCs w:val="18"/>
        </w:rPr>
        <w:instrText xml:space="preserve"> SEQ Διάγραμμα_2._ \* ARABIC </w:instrText>
      </w:r>
      <w:r w:rsidRPr="003B24A1">
        <w:rPr>
          <w:b/>
          <w:sz w:val="18"/>
          <w:szCs w:val="18"/>
        </w:rPr>
        <w:fldChar w:fldCharType="separate"/>
      </w:r>
      <w:r w:rsidR="00E15678">
        <w:rPr>
          <w:b/>
          <w:noProof/>
          <w:sz w:val="18"/>
          <w:szCs w:val="18"/>
        </w:rPr>
        <w:t>56</w:t>
      </w:r>
      <w:r w:rsidRPr="003B24A1">
        <w:rPr>
          <w:b/>
          <w:sz w:val="18"/>
          <w:szCs w:val="18"/>
        </w:rPr>
        <w:fldChar w:fldCharType="end"/>
      </w:r>
      <w:r w:rsidRPr="003B24A1">
        <w:rPr>
          <w:b/>
          <w:sz w:val="18"/>
          <w:szCs w:val="18"/>
        </w:rPr>
        <w:t>.: Προϋπολογιζόμενη Δαπάνη Κρατικού Προϋπολογισμού ανά Πρόγραμμα</w:t>
      </w:r>
      <w:bookmarkEnd w:id="203"/>
    </w:p>
    <w:p w14:paraId="0C49531E" w14:textId="59E94901" w:rsidR="003D1854" w:rsidRPr="00F710D2" w:rsidRDefault="00420220" w:rsidP="008D1D17">
      <w:pPr>
        <w:spacing w:after="0" w:line="240" w:lineRule="auto"/>
        <w:jc w:val="center"/>
        <w:rPr>
          <w:rFonts w:cs="Arial"/>
          <w:color w:val="000000" w:themeColor="text1"/>
          <w:sz w:val="18"/>
          <w:szCs w:val="18"/>
        </w:rPr>
      </w:pPr>
      <w:r>
        <w:rPr>
          <w:noProof/>
        </w:rPr>
        <w:drawing>
          <wp:inline distT="0" distB="0" distL="0" distR="0" wp14:anchorId="65A2A2DF" wp14:editId="35924775">
            <wp:extent cx="5759450" cy="2193925"/>
            <wp:effectExtent l="0" t="0" r="0" b="0"/>
            <wp:docPr id="57" name="Γράφημα 57">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406694B" w14:textId="5F640604" w:rsidR="003D1854" w:rsidRDefault="003D1854" w:rsidP="003D1854">
      <w:pPr>
        <w:spacing w:after="0" w:line="240" w:lineRule="auto"/>
        <w:jc w:val="left"/>
        <w:rPr>
          <w:rFonts w:cs="Arial"/>
          <w:color w:val="000000" w:themeColor="text1"/>
          <w:sz w:val="18"/>
          <w:szCs w:val="18"/>
        </w:rPr>
      </w:pPr>
    </w:p>
    <w:p w14:paraId="1B47B779" w14:textId="77777777" w:rsidR="00A04686" w:rsidRDefault="00A04686" w:rsidP="003D1854">
      <w:pPr>
        <w:spacing w:after="0" w:line="240" w:lineRule="auto"/>
        <w:jc w:val="left"/>
        <w:rPr>
          <w:rFonts w:cs="Arial"/>
          <w:color w:val="000000" w:themeColor="text1"/>
          <w:sz w:val="18"/>
          <w:szCs w:val="18"/>
        </w:rPr>
      </w:pPr>
    </w:p>
    <w:p w14:paraId="7BF51FA8" w14:textId="75E3596A" w:rsidR="003B24A1" w:rsidRPr="003B24A1" w:rsidRDefault="003B24A1" w:rsidP="003B24A1">
      <w:pPr>
        <w:spacing w:after="60" w:line="240" w:lineRule="auto"/>
        <w:rPr>
          <w:b/>
          <w:sz w:val="18"/>
          <w:szCs w:val="18"/>
        </w:rPr>
      </w:pPr>
      <w:bookmarkStart w:id="204" w:name="_Toc182931618"/>
      <w:r w:rsidRPr="003B24A1">
        <w:rPr>
          <w:b/>
          <w:sz w:val="18"/>
          <w:szCs w:val="18"/>
        </w:rPr>
        <w:t>Διάγραμμα 2.</w:t>
      </w:r>
      <w:r w:rsidRPr="003B24A1">
        <w:rPr>
          <w:b/>
          <w:sz w:val="18"/>
          <w:szCs w:val="18"/>
        </w:rPr>
        <w:fldChar w:fldCharType="begin"/>
      </w:r>
      <w:r w:rsidRPr="003B24A1">
        <w:rPr>
          <w:b/>
          <w:sz w:val="18"/>
          <w:szCs w:val="18"/>
        </w:rPr>
        <w:instrText xml:space="preserve"> SEQ Διάγραμμα_2._ \* ARABIC </w:instrText>
      </w:r>
      <w:r w:rsidRPr="003B24A1">
        <w:rPr>
          <w:b/>
          <w:sz w:val="18"/>
          <w:szCs w:val="18"/>
        </w:rPr>
        <w:fldChar w:fldCharType="separate"/>
      </w:r>
      <w:r w:rsidR="00E15678">
        <w:rPr>
          <w:b/>
          <w:noProof/>
          <w:sz w:val="18"/>
          <w:szCs w:val="18"/>
        </w:rPr>
        <w:t>57</w:t>
      </w:r>
      <w:r w:rsidRPr="003B24A1">
        <w:rPr>
          <w:b/>
          <w:sz w:val="18"/>
          <w:szCs w:val="18"/>
        </w:rPr>
        <w:fldChar w:fldCharType="end"/>
      </w:r>
      <w:r w:rsidRPr="003B24A1">
        <w:rPr>
          <w:b/>
          <w:sz w:val="18"/>
          <w:szCs w:val="18"/>
        </w:rPr>
        <w:t>.: Προϋπολογιζόμενη Δαπάνη Γενικής Κυβέρνησης ανά Πρόγραμμα</w:t>
      </w:r>
      <w:bookmarkEnd w:id="204"/>
    </w:p>
    <w:p w14:paraId="36DF7F21" w14:textId="4C3E7B34" w:rsidR="003D1854" w:rsidRDefault="00420220" w:rsidP="008D1D17">
      <w:pPr>
        <w:spacing w:after="0" w:line="240" w:lineRule="auto"/>
        <w:jc w:val="center"/>
        <w:rPr>
          <w:rFonts w:cs="Arial"/>
          <w:color w:val="000000" w:themeColor="text1"/>
          <w:sz w:val="18"/>
          <w:szCs w:val="18"/>
        </w:rPr>
      </w:pPr>
      <w:r>
        <w:rPr>
          <w:noProof/>
        </w:rPr>
        <w:drawing>
          <wp:inline distT="0" distB="0" distL="0" distR="0" wp14:anchorId="140957EE" wp14:editId="2A4254C8">
            <wp:extent cx="5759450" cy="2153285"/>
            <wp:effectExtent l="0" t="0" r="0" b="0"/>
            <wp:docPr id="58" name="Γράφημα 58">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71CDD5F" w14:textId="0987A951" w:rsidR="003D1854" w:rsidRDefault="003D1854" w:rsidP="003D1854">
      <w:pPr>
        <w:spacing w:after="0" w:line="240" w:lineRule="auto"/>
        <w:jc w:val="left"/>
        <w:rPr>
          <w:rFonts w:cs="Arial"/>
          <w:color w:val="000000" w:themeColor="text1"/>
          <w:sz w:val="18"/>
          <w:szCs w:val="18"/>
        </w:rPr>
      </w:pPr>
    </w:p>
    <w:p w14:paraId="34774A24" w14:textId="77777777" w:rsidR="00A04686" w:rsidRDefault="00A04686" w:rsidP="003D1854">
      <w:pPr>
        <w:spacing w:after="0" w:line="240" w:lineRule="auto"/>
        <w:jc w:val="left"/>
        <w:rPr>
          <w:rFonts w:cs="Arial"/>
          <w:color w:val="000000" w:themeColor="text1"/>
          <w:sz w:val="18"/>
          <w:szCs w:val="18"/>
        </w:rPr>
      </w:pPr>
    </w:p>
    <w:p w14:paraId="724FDD95" w14:textId="036C34C6" w:rsidR="003B24A1" w:rsidRPr="003B24A1" w:rsidRDefault="003B24A1" w:rsidP="003B24A1">
      <w:pPr>
        <w:spacing w:after="60" w:line="240" w:lineRule="auto"/>
        <w:rPr>
          <w:b/>
          <w:sz w:val="18"/>
          <w:szCs w:val="18"/>
        </w:rPr>
      </w:pPr>
      <w:bookmarkStart w:id="205" w:name="_Toc182931619"/>
      <w:r w:rsidRPr="003B24A1">
        <w:rPr>
          <w:b/>
          <w:sz w:val="18"/>
          <w:szCs w:val="18"/>
        </w:rPr>
        <w:t>Διάγραμμα 2.</w:t>
      </w:r>
      <w:r w:rsidRPr="003B24A1">
        <w:rPr>
          <w:b/>
          <w:sz w:val="18"/>
          <w:szCs w:val="18"/>
        </w:rPr>
        <w:fldChar w:fldCharType="begin"/>
      </w:r>
      <w:r w:rsidRPr="003B24A1">
        <w:rPr>
          <w:b/>
          <w:sz w:val="18"/>
          <w:szCs w:val="18"/>
        </w:rPr>
        <w:instrText xml:space="preserve"> SEQ Διάγραμμα_2._ \* ARABIC </w:instrText>
      </w:r>
      <w:r w:rsidRPr="003B24A1">
        <w:rPr>
          <w:b/>
          <w:sz w:val="18"/>
          <w:szCs w:val="18"/>
        </w:rPr>
        <w:fldChar w:fldCharType="separate"/>
      </w:r>
      <w:r w:rsidR="00E15678">
        <w:rPr>
          <w:b/>
          <w:noProof/>
          <w:sz w:val="18"/>
          <w:szCs w:val="18"/>
        </w:rPr>
        <w:t>58</w:t>
      </w:r>
      <w:r w:rsidRPr="003B24A1">
        <w:rPr>
          <w:b/>
          <w:sz w:val="18"/>
          <w:szCs w:val="18"/>
        </w:rPr>
        <w:fldChar w:fldCharType="end"/>
      </w:r>
      <w:r w:rsidRPr="003B24A1">
        <w:rPr>
          <w:b/>
          <w:sz w:val="18"/>
          <w:szCs w:val="18"/>
        </w:rPr>
        <w:t xml:space="preserve">.: Ανθρώπινοι </w:t>
      </w:r>
      <w:r w:rsidR="00616773">
        <w:rPr>
          <w:b/>
          <w:sz w:val="18"/>
          <w:szCs w:val="18"/>
        </w:rPr>
        <w:t>π</w:t>
      </w:r>
      <w:r w:rsidRPr="003B24A1">
        <w:rPr>
          <w:b/>
          <w:sz w:val="18"/>
          <w:szCs w:val="18"/>
        </w:rPr>
        <w:t>όροι ανά Πρόγραμμα</w:t>
      </w:r>
      <w:bookmarkEnd w:id="205"/>
    </w:p>
    <w:p w14:paraId="6DF434CD" w14:textId="00AF1E33" w:rsidR="003D1854" w:rsidRDefault="00420220" w:rsidP="008D1D17">
      <w:pPr>
        <w:spacing w:after="0" w:line="240" w:lineRule="auto"/>
        <w:jc w:val="center"/>
        <w:rPr>
          <w:rFonts w:cs="Arial"/>
          <w:color w:val="000000" w:themeColor="text1"/>
          <w:sz w:val="18"/>
          <w:szCs w:val="18"/>
        </w:rPr>
      </w:pPr>
      <w:r>
        <w:rPr>
          <w:noProof/>
        </w:rPr>
        <w:drawing>
          <wp:inline distT="0" distB="0" distL="0" distR="0" wp14:anchorId="59263A2E" wp14:editId="6661629C">
            <wp:extent cx="5759450" cy="2286000"/>
            <wp:effectExtent l="0" t="0" r="0" b="0"/>
            <wp:docPr id="59" name="Γράφημα 59">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025AB7F" w14:textId="77777777" w:rsidR="003D1854" w:rsidRDefault="003D1854">
      <w:pPr>
        <w:spacing w:after="0" w:line="240" w:lineRule="auto"/>
        <w:jc w:val="left"/>
        <w:rPr>
          <w:rFonts w:cs="Arial"/>
          <w:b/>
          <w:sz w:val="22"/>
          <w:szCs w:val="22"/>
        </w:rPr>
      </w:pPr>
    </w:p>
    <w:p w14:paraId="17A3EB69" w14:textId="727225EB" w:rsidR="008262D5" w:rsidRDefault="008262D5">
      <w:pPr>
        <w:spacing w:after="0" w:line="240" w:lineRule="auto"/>
        <w:jc w:val="left"/>
        <w:rPr>
          <w:rFonts w:cs="Arial"/>
          <w:b/>
          <w:sz w:val="22"/>
          <w:szCs w:val="22"/>
        </w:rPr>
      </w:pPr>
      <w:r>
        <w:rPr>
          <w:rFonts w:cs="Arial"/>
          <w:b/>
          <w:sz w:val="22"/>
          <w:szCs w:val="22"/>
        </w:rPr>
        <w:br w:type="page"/>
      </w:r>
    </w:p>
    <w:p w14:paraId="5F17DE17" w14:textId="10031D44" w:rsidR="007F39B9" w:rsidRPr="003D1854" w:rsidRDefault="007F39B9" w:rsidP="007F39B9">
      <w:pPr>
        <w:shd w:val="clear" w:color="auto" w:fill="D5DCE4"/>
        <w:rPr>
          <w:rFonts w:cs="Arial"/>
          <w:b/>
          <w:color w:val="2F5496"/>
          <w:szCs w:val="20"/>
        </w:rPr>
      </w:pPr>
      <w:r w:rsidRPr="003D1854">
        <w:rPr>
          <w:rFonts w:cs="Arial"/>
          <w:b/>
          <w:color w:val="2F5496"/>
          <w:szCs w:val="20"/>
        </w:rPr>
        <w:lastRenderedPageBreak/>
        <w:t xml:space="preserve">Υπουργείο </w:t>
      </w:r>
      <w:r w:rsidR="00974CB4" w:rsidRPr="003D1854">
        <w:rPr>
          <w:rFonts w:cs="Arial"/>
          <w:b/>
          <w:color w:val="2F5496"/>
          <w:szCs w:val="20"/>
        </w:rPr>
        <w:t>Προστασίας του Πολίτη</w:t>
      </w:r>
    </w:p>
    <w:p w14:paraId="54B70D67" w14:textId="10B1499A" w:rsidR="003B24A1" w:rsidRPr="003B24A1" w:rsidRDefault="003B24A1" w:rsidP="003B24A1">
      <w:pPr>
        <w:spacing w:after="60" w:line="240" w:lineRule="auto"/>
        <w:rPr>
          <w:b/>
          <w:sz w:val="18"/>
          <w:szCs w:val="18"/>
        </w:rPr>
      </w:pPr>
      <w:bookmarkStart w:id="206" w:name="_Toc182931620"/>
      <w:r w:rsidRPr="003B24A1">
        <w:rPr>
          <w:b/>
          <w:sz w:val="18"/>
          <w:szCs w:val="18"/>
        </w:rPr>
        <w:t>Διάγραμμα 2.</w:t>
      </w:r>
      <w:r w:rsidRPr="003B24A1">
        <w:rPr>
          <w:b/>
          <w:sz w:val="18"/>
          <w:szCs w:val="18"/>
        </w:rPr>
        <w:fldChar w:fldCharType="begin"/>
      </w:r>
      <w:r w:rsidRPr="003B24A1">
        <w:rPr>
          <w:b/>
          <w:sz w:val="18"/>
          <w:szCs w:val="18"/>
        </w:rPr>
        <w:instrText xml:space="preserve"> SEQ Διάγραμμα_2._ \* ARABIC </w:instrText>
      </w:r>
      <w:r w:rsidRPr="003B24A1">
        <w:rPr>
          <w:b/>
          <w:sz w:val="18"/>
          <w:szCs w:val="18"/>
        </w:rPr>
        <w:fldChar w:fldCharType="separate"/>
      </w:r>
      <w:r w:rsidR="00E15678">
        <w:rPr>
          <w:b/>
          <w:noProof/>
          <w:sz w:val="18"/>
          <w:szCs w:val="18"/>
        </w:rPr>
        <w:t>59</w:t>
      </w:r>
      <w:r w:rsidRPr="003B24A1">
        <w:rPr>
          <w:b/>
          <w:sz w:val="18"/>
          <w:szCs w:val="18"/>
        </w:rPr>
        <w:fldChar w:fldCharType="end"/>
      </w:r>
      <w:r w:rsidRPr="003B24A1">
        <w:rPr>
          <w:b/>
          <w:sz w:val="18"/>
          <w:szCs w:val="18"/>
        </w:rPr>
        <w:t>.: Προϋπολογιζόμενη Δαπάνη Κρατικού Προϋπολογισμού ανά Πρόγραμμα</w:t>
      </w:r>
      <w:bookmarkEnd w:id="206"/>
    </w:p>
    <w:p w14:paraId="7BF74C1F" w14:textId="536AAB9E" w:rsidR="003D1854" w:rsidRPr="00F710D2" w:rsidRDefault="00420220" w:rsidP="00B4506B">
      <w:r>
        <w:rPr>
          <w:noProof/>
        </w:rPr>
        <w:drawing>
          <wp:inline distT="0" distB="0" distL="0" distR="0" wp14:anchorId="3E46ABEF" wp14:editId="2D26CE91">
            <wp:extent cx="5759450" cy="2302510"/>
            <wp:effectExtent l="0" t="0" r="0" b="2540"/>
            <wp:docPr id="60" name="Γράφημα 60">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930345A" w14:textId="77777777" w:rsidR="003D1854" w:rsidRDefault="003D1854" w:rsidP="00B4506B"/>
    <w:p w14:paraId="69B937B0" w14:textId="4285BFDD" w:rsidR="003B24A1" w:rsidRPr="003B24A1" w:rsidRDefault="003B24A1" w:rsidP="003B24A1">
      <w:pPr>
        <w:spacing w:after="60" w:line="240" w:lineRule="auto"/>
        <w:rPr>
          <w:b/>
          <w:sz w:val="18"/>
          <w:szCs w:val="18"/>
        </w:rPr>
      </w:pPr>
      <w:bookmarkStart w:id="207" w:name="_Toc182931621"/>
      <w:r w:rsidRPr="003B24A1">
        <w:rPr>
          <w:b/>
          <w:sz w:val="18"/>
          <w:szCs w:val="18"/>
        </w:rPr>
        <w:t>Διάγραμμα 2.</w:t>
      </w:r>
      <w:r w:rsidRPr="003B24A1">
        <w:rPr>
          <w:b/>
          <w:sz w:val="18"/>
          <w:szCs w:val="18"/>
        </w:rPr>
        <w:fldChar w:fldCharType="begin"/>
      </w:r>
      <w:r w:rsidRPr="003B24A1">
        <w:rPr>
          <w:b/>
          <w:sz w:val="18"/>
          <w:szCs w:val="18"/>
        </w:rPr>
        <w:instrText xml:space="preserve"> SEQ Διάγραμμα_2._ \* ARABIC </w:instrText>
      </w:r>
      <w:r w:rsidRPr="003B24A1">
        <w:rPr>
          <w:b/>
          <w:sz w:val="18"/>
          <w:szCs w:val="18"/>
        </w:rPr>
        <w:fldChar w:fldCharType="separate"/>
      </w:r>
      <w:r w:rsidR="00E15678">
        <w:rPr>
          <w:b/>
          <w:noProof/>
          <w:sz w:val="18"/>
          <w:szCs w:val="18"/>
        </w:rPr>
        <w:t>60</w:t>
      </w:r>
      <w:r w:rsidRPr="003B24A1">
        <w:rPr>
          <w:b/>
          <w:sz w:val="18"/>
          <w:szCs w:val="18"/>
        </w:rPr>
        <w:fldChar w:fldCharType="end"/>
      </w:r>
      <w:r w:rsidRPr="003B24A1">
        <w:rPr>
          <w:b/>
          <w:sz w:val="18"/>
          <w:szCs w:val="18"/>
        </w:rPr>
        <w:t>.: Προϋπολογιζόμενη Δαπάνη Γενικής Κυβέρνησης ανά Πρόγραμμα</w:t>
      </w:r>
      <w:bookmarkEnd w:id="207"/>
    </w:p>
    <w:p w14:paraId="29553A89" w14:textId="51AC4C0A" w:rsidR="003D1854" w:rsidRDefault="00420220" w:rsidP="008D1D17">
      <w:pPr>
        <w:pStyle w:val="afe"/>
        <w:keepNext/>
        <w:spacing w:after="60"/>
        <w:jc w:val="center"/>
        <w:rPr>
          <w:rFonts w:cs="Arial"/>
          <w:sz w:val="18"/>
          <w:szCs w:val="18"/>
        </w:rPr>
      </w:pPr>
      <w:r>
        <w:rPr>
          <w:noProof/>
        </w:rPr>
        <w:drawing>
          <wp:inline distT="0" distB="0" distL="0" distR="0" wp14:anchorId="59EDFC10" wp14:editId="1FFEE557">
            <wp:extent cx="5759450" cy="2524125"/>
            <wp:effectExtent l="0" t="0" r="0" b="0"/>
            <wp:docPr id="61" name="Γράφημα 61">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285FF65" w14:textId="77777777" w:rsidR="00A04686" w:rsidRDefault="00A04686" w:rsidP="003D1854">
      <w:pPr>
        <w:spacing w:after="0" w:line="240" w:lineRule="auto"/>
        <w:jc w:val="left"/>
        <w:rPr>
          <w:rFonts w:cs="Arial"/>
          <w:sz w:val="18"/>
          <w:szCs w:val="18"/>
        </w:rPr>
      </w:pPr>
    </w:p>
    <w:p w14:paraId="03D33F67" w14:textId="5D6AE242" w:rsidR="003B24A1" w:rsidRPr="003B24A1" w:rsidRDefault="003B24A1" w:rsidP="003B24A1">
      <w:pPr>
        <w:spacing w:after="60" w:line="240" w:lineRule="auto"/>
        <w:rPr>
          <w:b/>
          <w:sz w:val="18"/>
          <w:szCs w:val="18"/>
        </w:rPr>
      </w:pPr>
      <w:bookmarkStart w:id="208" w:name="_Toc182931622"/>
      <w:r w:rsidRPr="003B24A1">
        <w:rPr>
          <w:b/>
          <w:sz w:val="18"/>
          <w:szCs w:val="18"/>
        </w:rPr>
        <w:t>Διάγραμμα 2.</w:t>
      </w:r>
      <w:r w:rsidRPr="003B24A1">
        <w:rPr>
          <w:b/>
          <w:sz w:val="18"/>
          <w:szCs w:val="18"/>
        </w:rPr>
        <w:fldChar w:fldCharType="begin"/>
      </w:r>
      <w:r w:rsidRPr="003B24A1">
        <w:rPr>
          <w:b/>
          <w:sz w:val="18"/>
          <w:szCs w:val="18"/>
        </w:rPr>
        <w:instrText xml:space="preserve"> SEQ Διάγραμμα_2._ \* ARABIC </w:instrText>
      </w:r>
      <w:r w:rsidRPr="003B24A1">
        <w:rPr>
          <w:b/>
          <w:sz w:val="18"/>
          <w:szCs w:val="18"/>
        </w:rPr>
        <w:fldChar w:fldCharType="separate"/>
      </w:r>
      <w:r w:rsidR="00E15678">
        <w:rPr>
          <w:b/>
          <w:noProof/>
          <w:sz w:val="18"/>
          <w:szCs w:val="18"/>
        </w:rPr>
        <w:t>61</w:t>
      </w:r>
      <w:r w:rsidRPr="003B24A1">
        <w:rPr>
          <w:b/>
          <w:sz w:val="18"/>
          <w:szCs w:val="18"/>
        </w:rPr>
        <w:fldChar w:fldCharType="end"/>
      </w:r>
      <w:r w:rsidRPr="003B24A1">
        <w:rPr>
          <w:b/>
          <w:sz w:val="18"/>
          <w:szCs w:val="18"/>
        </w:rPr>
        <w:t xml:space="preserve">.: Ανθρώπινοι </w:t>
      </w:r>
      <w:r w:rsidR="00616773">
        <w:rPr>
          <w:b/>
          <w:sz w:val="18"/>
          <w:szCs w:val="18"/>
        </w:rPr>
        <w:t>π</w:t>
      </w:r>
      <w:r w:rsidRPr="003B24A1">
        <w:rPr>
          <w:b/>
          <w:sz w:val="18"/>
          <w:szCs w:val="18"/>
        </w:rPr>
        <w:t>όροι ανά Πρόγραμμα</w:t>
      </w:r>
      <w:bookmarkEnd w:id="208"/>
    </w:p>
    <w:p w14:paraId="657D6846" w14:textId="54A160F0" w:rsidR="003D1854" w:rsidRDefault="00B413D4" w:rsidP="00B4506B">
      <w:r>
        <w:rPr>
          <w:noProof/>
        </w:rPr>
        <w:drawing>
          <wp:inline distT="0" distB="0" distL="0" distR="0" wp14:anchorId="4E10B260" wp14:editId="09081085">
            <wp:extent cx="5759450" cy="2515235"/>
            <wp:effectExtent l="0" t="0" r="0" b="0"/>
            <wp:docPr id="62" name="Γράφημα 62">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1AFFC50" w14:textId="43D28F2E" w:rsidR="007F39B9" w:rsidRPr="00B41A1D" w:rsidRDefault="007F39B9" w:rsidP="007F39B9">
      <w:pPr>
        <w:spacing w:after="0" w:line="240" w:lineRule="auto"/>
        <w:jc w:val="left"/>
        <w:rPr>
          <w:rFonts w:cs="Arial"/>
          <w:b/>
          <w:sz w:val="22"/>
          <w:szCs w:val="22"/>
        </w:rPr>
      </w:pPr>
      <w:r w:rsidRPr="00B41A1D">
        <w:rPr>
          <w:rFonts w:cs="Arial"/>
          <w:b/>
          <w:sz w:val="22"/>
          <w:szCs w:val="22"/>
        </w:rPr>
        <w:br w:type="page"/>
      </w:r>
    </w:p>
    <w:p w14:paraId="476F4860" w14:textId="53D8A555" w:rsidR="007F39B9" w:rsidRPr="003D1854" w:rsidRDefault="007F39B9" w:rsidP="007F39B9">
      <w:pPr>
        <w:shd w:val="clear" w:color="auto" w:fill="D5DCE4"/>
        <w:rPr>
          <w:rFonts w:cs="Arial"/>
          <w:b/>
          <w:color w:val="2F5496"/>
          <w:szCs w:val="20"/>
        </w:rPr>
      </w:pPr>
      <w:r w:rsidRPr="003D1854">
        <w:rPr>
          <w:rFonts w:cs="Arial"/>
          <w:b/>
          <w:color w:val="2F5496"/>
          <w:szCs w:val="20"/>
        </w:rPr>
        <w:lastRenderedPageBreak/>
        <w:t xml:space="preserve">Υπουργείο </w:t>
      </w:r>
      <w:r w:rsidR="00FC083E" w:rsidRPr="003D1854">
        <w:rPr>
          <w:rFonts w:cs="Arial"/>
          <w:b/>
          <w:color w:val="2F5496"/>
          <w:szCs w:val="20"/>
        </w:rPr>
        <w:t>Κλιματικής Κρίσης και Πολιτικής Προστασίας</w:t>
      </w:r>
    </w:p>
    <w:p w14:paraId="78D50943" w14:textId="344630B5" w:rsidR="009B12EF" w:rsidRPr="009B12EF" w:rsidRDefault="009B12EF" w:rsidP="009B12EF">
      <w:pPr>
        <w:spacing w:after="60" w:line="240" w:lineRule="auto"/>
        <w:rPr>
          <w:b/>
          <w:sz w:val="18"/>
          <w:szCs w:val="18"/>
        </w:rPr>
      </w:pPr>
      <w:bookmarkStart w:id="209" w:name="_Toc182931623"/>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62</w:t>
      </w:r>
      <w:r w:rsidRPr="009B12EF">
        <w:rPr>
          <w:b/>
          <w:sz w:val="18"/>
          <w:szCs w:val="18"/>
        </w:rPr>
        <w:fldChar w:fldCharType="end"/>
      </w:r>
      <w:r w:rsidRPr="009B12EF">
        <w:rPr>
          <w:b/>
          <w:sz w:val="18"/>
          <w:szCs w:val="18"/>
        </w:rPr>
        <w:t>.: Προϋπολογιζόμενη Δαπάνη Κρατικού Προϋπολογισμού ανά Πρόγραμμα</w:t>
      </w:r>
      <w:bookmarkEnd w:id="209"/>
    </w:p>
    <w:p w14:paraId="27889B06" w14:textId="35793D4F" w:rsidR="003D1854" w:rsidRPr="004A6F29" w:rsidRDefault="00B413D4" w:rsidP="008D1D17">
      <w:pPr>
        <w:spacing w:after="0" w:line="240" w:lineRule="auto"/>
        <w:jc w:val="center"/>
        <w:rPr>
          <w:rFonts w:cs="Arial"/>
          <w:sz w:val="18"/>
          <w:szCs w:val="18"/>
          <w:lang w:val="en-US"/>
        </w:rPr>
      </w:pPr>
      <w:r>
        <w:rPr>
          <w:noProof/>
        </w:rPr>
        <w:drawing>
          <wp:inline distT="0" distB="0" distL="0" distR="0" wp14:anchorId="0731E1A2" wp14:editId="47BA1355">
            <wp:extent cx="5759450" cy="2263775"/>
            <wp:effectExtent l="0" t="0" r="0" b="3175"/>
            <wp:docPr id="63" name="Γράφημα 63">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EAFFBB0" w14:textId="77777777" w:rsidR="003D1854" w:rsidRDefault="003D1854" w:rsidP="003D1854">
      <w:pPr>
        <w:spacing w:after="0" w:line="240" w:lineRule="auto"/>
        <w:jc w:val="left"/>
        <w:rPr>
          <w:rFonts w:cs="Arial"/>
          <w:sz w:val="18"/>
          <w:szCs w:val="18"/>
        </w:rPr>
      </w:pPr>
    </w:p>
    <w:p w14:paraId="005765DC" w14:textId="77777777" w:rsidR="003D1854" w:rsidRDefault="003D1854" w:rsidP="003D1854">
      <w:pPr>
        <w:spacing w:after="0" w:line="240" w:lineRule="auto"/>
        <w:jc w:val="left"/>
        <w:rPr>
          <w:rFonts w:cs="Arial"/>
          <w:sz w:val="18"/>
          <w:szCs w:val="18"/>
        </w:rPr>
      </w:pPr>
    </w:p>
    <w:p w14:paraId="11284971" w14:textId="65504E30" w:rsidR="009B12EF" w:rsidRPr="009B12EF" w:rsidRDefault="009B12EF" w:rsidP="009B12EF">
      <w:pPr>
        <w:spacing w:after="60" w:line="240" w:lineRule="auto"/>
        <w:rPr>
          <w:b/>
          <w:sz w:val="18"/>
          <w:szCs w:val="18"/>
        </w:rPr>
      </w:pPr>
      <w:bookmarkStart w:id="210" w:name="_Toc182931624"/>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63</w:t>
      </w:r>
      <w:r w:rsidRPr="009B12EF">
        <w:rPr>
          <w:b/>
          <w:sz w:val="18"/>
          <w:szCs w:val="18"/>
        </w:rPr>
        <w:fldChar w:fldCharType="end"/>
      </w:r>
      <w:r w:rsidRPr="009B12EF">
        <w:rPr>
          <w:b/>
          <w:sz w:val="18"/>
          <w:szCs w:val="18"/>
        </w:rPr>
        <w:t>.: Προϋπολογιζόμενη Δαπάνη Γενικής Κυβέρνησης ανά Πρόγραμμα</w:t>
      </w:r>
      <w:bookmarkEnd w:id="210"/>
    </w:p>
    <w:p w14:paraId="658F9A62" w14:textId="3BC95B3C" w:rsidR="003D1854" w:rsidRDefault="00B413D4" w:rsidP="008D1D17">
      <w:pPr>
        <w:spacing w:after="0" w:line="240" w:lineRule="auto"/>
        <w:jc w:val="center"/>
        <w:rPr>
          <w:rFonts w:cs="Arial"/>
          <w:sz w:val="18"/>
          <w:szCs w:val="18"/>
        </w:rPr>
      </w:pPr>
      <w:r>
        <w:rPr>
          <w:noProof/>
        </w:rPr>
        <w:drawing>
          <wp:inline distT="0" distB="0" distL="0" distR="0" wp14:anchorId="36BDE5E3" wp14:editId="6FD346FF">
            <wp:extent cx="5759450" cy="2734310"/>
            <wp:effectExtent l="0" t="0" r="0" b="8890"/>
            <wp:docPr id="64" name="Γράφημα 64">
              <a:extLst xmlns:a="http://schemas.openxmlformats.org/drawingml/2006/main">
                <a:ext uri="{FF2B5EF4-FFF2-40B4-BE49-F238E27FC236}">
                  <a16:creationId xmlns:a16="http://schemas.microsoft.com/office/drawing/2014/main" id="{B809D49B-4468-40FD-A836-E786AE2BC0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12295F7" w14:textId="77777777" w:rsidR="003D1854" w:rsidRDefault="003D1854" w:rsidP="003D1854">
      <w:pPr>
        <w:spacing w:after="0" w:line="240" w:lineRule="auto"/>
        <w:jc w:val="left"/>
        <w:rPr>
          <w:rFonts w:cs="Arial"/>
          <w:sz w:val="18"/>
          <w:szCs w:val="18"/>
        </w:rPr>
      </w:pPr>
    </w:p>
    <w:p w14:paraId="36E001F1" w14:textId="1B56B7BF" w:rsidR="003D1854" w:rsidRDefault="003D1854" w:rsidP="003D1854">
      <w:pPr>
        <w:spacing w:after="0" w:line="240" w:lineRule="auto"/>
        <w:jc w:val="left"/>
        <w:rPr>
          <w:rFonts w:cs="Arial"/>
          <w:sz w:val="18"/>
          <w:szCs w:val="18"/>
        </w:rPr>
      </w:pPr>
    </w:p>
    <w:p w14:paraId="68D3E649" w14:textId="77777777" w:rsidR="00A04686" w:rsidRDefault="00A04686" w:rsidP="003D1854">
      <w:pPr>
        <w:spacing w:after="0" w:line="240" w:lineRule="auto"/>
        <w:jc w:val="left"/>
        <w:rPr>
          <w:rFonts w:cs="Arial"/>
          <w:sz w:val="18"/>
          <w:szCs w:val="18"/>
        </w:rPr>
      </w:pPr>
    </w:p>
    <w:p w14:paraId="40276299" w14:textId="29B36044" w:rsidR="009B12EF" w:rsidRPr="009B12EF" w:rsidRDefault="009B12EF" w:rsidP="009B12EF">
      <w:pPr>
        <w:spacing w:after="60" w:line="240" w:lineRule="auto"/>
        <w:rPr>
          <w:b/>
          <w:sz w:val="18"/>
          <w:szCs w:val="18"/>
        </w:rPr>
      </w:pPr>
      <w:bookmarkStart w:id="211" w:name="_Toc182931625"/>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64</w:t>
      </w:r>
      <w:r w:rsidRPr="009B12EF">
        <w:rPr>
          <w:b/>
          <w:sz w:val="18"/>
          <w:szCs w:val="18"/>
        </w:rPr>
        <w:fldChar w:fldCharType="end"/>
      </w:r>
      <w:r w:rsidRPr="009B12EF">
        <w:rPr>
          <w:b/>
          <w:sz w:val="18"/>
          <w:szCs w:val="18"/>
        </w:rPr>
        <w:t xml:space="preserve">.: Ανθρώπινοι </w:t>
      </w:r>
      <w:r w:rsidR="00616773">
        <w:rPr>
          <w:b/>
          <w:sz w:val="18"/>
          <w:szCs w:val="18"/>
        </w:rPr>
        <w:t>π</w:t>
      </w:r>
      <w:r w:rsidRPr="009B12EF">
        <w:rPr>
          <w:b/>
          <w:sz w:val="18"/>
          <w:szCs w:val="18"/>
        </w:rPr>
        <w:t>όροι ανά Πρόγραμμα</w:t>
      </w:r>
      <w:bookmarkEnd w:id="211"/>
    </w:p>
    <w:p w14:paraId="75F3D495" w14:textId="6AAC1ED9" w:rsidR="003D1854" w:rsidRDefault="00B413D4" w:rsidP="008D1D17">
      <w:pPr>
        <w:spacing w:after="0" w:line="240" w:lineRule="auto"/>
        <w:jc w:val="center"/>
        <w:rPr>
          <w:rFonts w:cs="Arial"/>
          <w:sz w:val="18"/>
          <w:szCs w:val="18"/>
        </w:rPr>
      </w:pPr>
      <w:r>
        <w:rPr>
          <w:noProof/>
        </w:rPr>
        <w:drawing>
          <wp:inline distT="0" distB="0" distL="0" distR="0" wp14:anchorId="68286856" wp14:editId="66793EA7">
            <wp:extent cx="5759450" cy="2143125"/>
            <wp:effectExtent l="0" t="0" r="0" b="0"/>
            <wp:docPr id="65" name="Γράφημα 65">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502F3585" w14:textId="77777777" w:rsidR="008262D5" w:rsidRDefault="008262D5">
      <w:pPr>
        <w:spacing w:after="0" w:line="240" w:lineRule="auto"/>
        <w:jc w:val="left"/>
        <w:rPr>
          <w:rFonts w:cs="Arial"/>
          <w:b/>
          <w:color w:val="2F5496"/>
          <w:szCs w:val="20"/>
        </w:rPr>
      </w:pPr>
      <w:r>
        <w:rPr>
          <w:rFonts w:cs="Arial"/>
          <w:b/>
          <w:color w:val="2F5496"/>
          <w:szCs w:val="20"/>
        </w:rPr>
        <w:br w:type="page"/>
      </w:r>
    </w:p>
    <w:p w14:paraId="097CBA56" w14:textId="5D9C4C7D" w:rsidR="007F39B9" w:rsidRPr="001B35AE" w:rsidRDefault="00B36E03" w:rsidP="008D1D17">
      <w:pPr>
        <w:shd w:val="clear" w:color="auto" w:fill="D5DCE4"/>
        <w:spacing w:after="60" w:line="240" w:lineRule="auto"/>
        <w:rPr>
          <w:rFonts w:cs="Arial"/>
          <w:b/>
          <w:color w:val="2F5496"/>
          <w:szCs w:val="20"/>
        </w:rPr>
      </w:pPr>
      <w:r w:rsidRPr="001B35AE">
        <w:rPr>
          <w:rFonts w:cs="Arial"/>
          <w:b/>
          <w:color w:val="2F5496"/>
          <w:szCs w:val="20"/>
        </w:rPr>
        <w:lastRenderedPageBreak/>
        <w:t>Αποκεντρωμένη Διοίκηση Αττικής</w:t>
      </w:r>
    </w:p>
    <w:p w14:paraId="049DA3E1" w14:textId="7A4F1390" w:rsidR="00B36E03" w:rsidRPr="00616773" w:rsidRDefault="00B36E03" w:rsidP="008D1D17">
      <w:pPr>
        <w:spacing w:line="240" w:lineRule="auto"/>
        <w:jc w:val="left"/>
        <w:rPr>
          <w:rFonts w:cs="Arial"/>
          <w:noProof/>
          <w:sz w:val="22"/>
        </w:rPr>
      </w:pPr>
      <w:r w:rsidRPr="00616773">
        <w:rPr>
          <w:rFonts w:cs="Arial"/>
          <w:sz w:val="16"/>
          <w:szCs w:val="14"/>
        </w:rPr>
        <w:t>*Στα Προγράμματα των Αποκεντρωμένων Διοικήσεων δεν μετέχουν λοιποί φορείς Γενικής Κυβέρνησης.</w:t>
      </w:r>
    </w:p>
    <w:p w14:paraId="08A7EDD4" w14:textId="14C7A65F" w:rsidR="009B12EF" w:rsidRPr="009B12EF" w:rsidRDefault="009B12EF" w:rsidP="009B12EF">
      <w:pPr>
        <w:spacing w:after="60" w:line="240" w:lineRule="auto"/>
        <w:rPr>
          <w:b/>
          <w:sz w:val="18"/>
          <w:szCs w:val="18"/>
        </w:rPr>
      </w:pPr>
      <w:bookmarkStart w:id="212" w:name="_Toc182931626"/>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65</w:t>
      </w:r>
      <w:r w:rsidRPr="009B12EF">
        <w:rPr>
          <w:b/>
          <w:sz w:val="18"/>
          <w:szCs w:val="18"/>
        </w:rPr>
        <w:fldChar w:fldCharType="end"/>
      </w:r>
      <w:r w:rsidRPr="009B12EF">
        <w:rPr>
          <w:b/>
          <w:sz w:val="18"/>
          <w:szCs w:val="18"/>
        </w:rPr>
        <w:t>.: Προϋπολογιζόμενη Δαπάνη Κρατικού Προϋπολογισμού ανά Πρόγραμμα</w:t>
      </w:r>
      <w:bookmarkEnd w:id="212"/>
    </w:p>
    <w:p w14:paraId="69EAD886" w14:textId="7BDB148D" w:rsidR="001B35AE" w:rsidRPr="00F710D2" w:rsidRDefault="00B413D4" w:rsidP="00B413D4">
      <w:pPr>
        <w:spacing w:after="0" w:line="240" w:lineRule="auto"/>
        <w:rPr>
          <w:rFonts w:cs="Arial"/>
          <w:sz w:val="18"/>
          <w:szCs w:val="18"/>
        </w:rPr>
      </w:pPr>
      <w:r>
        <w:rPr>
          <w:noProof/>
        </w:rPr>
        <w:drawing>
          <wp:inline distT="0" distB="0" distL="0" distR="0" wp14:anchorId="1EB05F6F" wp14:editId="393BE1B7">
            <wp:extent cx="5759450" cy="1676400"/>
            <wp:effectExtent l="0" t="0" r="0" b="0"/>
            <wp:docPr id="66" name="Γράφημα 66">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6E34424" w14:textId="1B7981F9" w:rsidR="009B12EF" w:rsidRPr="009B12EF" w:rsidRDefault="009B12EF" w:rsidP="009B12EF">
      <w:pPr>
        <w:spacing w:after="60" w:line="240" w:lineRule="auto"/>
        <w:rPr>
          <w:b/>
          <w:sz w:val="18"/>
          <w:szCs w:val="18"/>
        </w:rPr>
      </w:pPr>
      <w:bookmarkStart w:id="213" w:name="_Toc182931627"/>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66</w:t>
      </w:r>
      <w:r w:rsidRPr="009B12EF">
        <w:rPr>
          <w:b/>
          <w:sz w:val="18"/>
          <w:szCs w:val="18"/>
        </w:rPr>
        <w:fldChar w:fldCharType="end"/>
      </w:r>
      <w:r w:rsidRPr="009B12EF">
        <w:rPr>
          <w:b/>
          <w:sz w:val="18"/>
          <w:szCs w:val="18"/>
        </w:rPr>
        <w:t xml:space="preserve">.: Ανθρώπινοι </w:t>
      </w:r>
      <w:r w:rsidR="00B9210B">
        <w:rPr>
          <w:b/>
          <w:sz w:val="18"/>
          <w:szCs w:val="18"/>
        </w:rPr>
        <w:t>π</w:t>
      </w:r>
      <w:r w:rsidRPr="009B12EF">
        <w:rPr>
          <w:b/>
          <w:sz w:val="18"/>
          <w:szCs w:val="18"/>
        </w:rPr>
        <w:t>όροι ανά Πρόγραμμα</w:t>
      </w:r>
      <w:bookmarkEnd w:id="213"/>
    </w:p>
    <w:p w14:paraId="3F389F1A" w14:textId="24CB8BDF" w:rsidR="001B35AE" w:rsidRDefault="00B413D4" w:rsidP="00B4506B">
      <w:r>
        <w:rPr>
          <w:noProof/>
        </w:rPr>
        <w:drawing>
          <wp:inline distT="0" distB="0" distL="0" distR="0" wp14:anchorId="2FC1BB76" wp14:editId="6CDA2476">
            <wp:extent cx="5759450" cy="1619250"/>
            <wp:effectExtent l="0" t="0" r="0" b="0"/>
            <wp:docPr id="68" name="Γράφημα 68">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BAD84D4" w14:textId="4DC3AC84" w:rsidR="00B36E03" w:rsidRPr="002B3CBB" w:rsidRDefault="00B36E03" w:rsidP="008D1D17">
      <w:pPr>
        <w:shd w:val="clear" w:color="auto" w:fill="D5DCE4"/>
        <w:spacing w:before="60"/>
        <w:rPr>
          <w:rFonts w:cs="Arial"/>
          <w:b/>
          <w:color w:val="2F5496"/>
          <w:szCs w:val="20"/>
        </w:rPr>
      </w:pPr>
      <w:r w:rsidRPr="001B35AE">
        <w:rPr>
          <w:rFonts w:cs="Arial"/>
          <w:b/>
          <w:color w:val="2F5496"/>
          <w:szCs w:val="20"/>
        </w:rPr>
        <w:t>Αποκεντρωμένη Διοίκηση Θεσσαλίας - Στερεάς Ελλάδας</w:t>
      </w:r>
    </w:p>
    <w:p w14:paraId="2AE5EF87" w14:textId="496C79B6" w:rsidR="009B12EF" w:rsidRPr="009B12EF" w:rsidRDefault="009B12EF" w:rsidP="009B12EF">
      <w:pPr>
        <w:spacing w:after="60" w:line="240" w:lineRule="auto"/>
        <w:rPr>
          <w:b/>
          <w:sz w:val="18"/>
          <w:szCs w:val="18"/>
        </w:rPr>
      </w:pPr>
      <w:bookmarkStart w:id="214" w:name="_Toc182931628"/>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67</w:t>
      </w:r>
      <w:r w:rsidRPr="009B12EF">
        <w:rPr>
          <w:b/>
          <w:sz w:val="18"/>
          <w:szCs w:val="18"/>
        </w:rPr>
        <w:fldChar w:fldCharType="end"/>
      </w:r>
      <w:r w:rsidRPr="009B12EF">
        <w:rPr>
          <w:b/>
          <w:sz w:val="18"/>
          <w:szCs w:val="18"/>
        </w:rPr>
        <w:t>.: Προϋπολογιζόμενη Δαπάνη Κρατικού Προϋπολογισμού ανά Πρόγραμμα</w:t>
      </w:r>
      <w:bookmarkEnd w:id="214"/>
    </w:p>
    <w:p w14:paraId="44746FEA" w14:textId="5D341392" w:rsidR="001B35AE" w:rsidRPr="00F710D2" w:rsidRDefault="00B413D4" w:rsidP="008D1D17">
      <w:pPr>
        <w:spacing w:after="0" w:line="240" w:lineRule="auto"/>
        <w:jc w:val="center"/>
        <w:rPr>
          <w:rFonts w:cs="Arial"/>
          <w:sz w:val="18"/>
          <w:szCs w:val="18"/>
        </w:rPr>
      </w:pPr>
      <w:r>
        <w:rPr>
          <w:noProof/>
        </w:rPr>
        <w:drawing>
          <wp:inline distT="0" distB="0" distL="0" distR="0" wp14:anchorId="31DFA3AD" wp14:editId="7F92E991">
            <wp:extent cx="5759450" cy="1762125"/>
            <wp:effectExtent l="0" t="0" r="0" b="0"/>
            <wp:docPr id="69" name="Γράφημα 69">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FB44097" w14:textId="77777777" w:rsidR="008D1D17" w:rsidRDefault="008D1D17" w:rsidP="008D1D17">
      <w:pPr>
        <w:pStyle w:val="afe"/>
        <w:keepNext/>
        <w:spacing w:after="60"/>
        <w:jc w:val="left"/>
        <w:rPr>
          <w:sz w:val="18"/>
          <w:szCs w:val="18"/>
        </w:rPr>
      </w:pPr>
    </w:p>
    <w:p w14:paraId="123B3877" w14:textId="27701B16" w:rsidR="009B12EF" w:rsidRPr="009B12EF" w:rsidRDefault="009B12EF" w:rsidP="009B12EF">
      <w:pPr>
        <w:spacing w:after="60" w:line="240" w:lineRule="auto"/>
        <w:rPr>
          <w:b/>
          <w:sz w:val="18"/>
          <w:szCs w:val="18"/>
        </w:rPr>
      </w:pPr>
      <w:bookmarkStart w:id="215" w:name="_Toc182931629"/>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68</w:t>
      </w:r>
      <w:r w:rsidRPr="009B12EF">
        <w:rPr>
          <w:b/>
          <w:sz w:val="18"/>
          <w:szCs w:val="18"/>
        </w:rPr>
        <w:fldChar w:fldCharType="end"/>
      </w:r>
      <w:r w:rsidRPr="009B12EF">
        <w:rPr>
          <w:b/>
          <w:sz w:val="18"/>
          <w:szCs w:val="18"/>
        </w:rPr>
        <w:t xml:space="preserve">.: Ανθρώπινοι </w:t>
      </w:r>
      <w:r w:rsidR="00B9210B">
        <w:rPr>
          <w:b/>
          <w:sz w:val="18"/>
          <w:szCs w:val="18"/>
        </w:rPr>
        <w:t>π</w:t>
      </w:r>
      <w:r w:rsidRPr="009B12EF">
        <w:rPr>
          <w:b/>
          <w:sz w:val="18"/>
          <w:szCs w:val="18"/>
        </w:rPr>
        <w:t>όροι ανά Πρόγραμμα</w:t>
      </w:r>
      <w:bookmarkEnd w:id="215"/>
    </w:p>
    <w:p w14:paraId="01E2261B" w14:textId="2321A8CA" w:rsidR="00B413D4" w:rsidRDefault="00B413D4" w:rsidP="00B413D4">
      <w:pPr>
        <w:jc w:val="center"/>
      </w:pPr>
      <w:r>
        <w:rPr>
          <w:noProof/>
        </w:rPr>
        <w:drawing>
          <wp:inline distT="0" distB="0" distL="0" distR="0" wp14:anchorId="5D551DDB" wp14:editId="30802081">
            <wp:extent cx="5759450" cy="1857375"/>
            <wp:effectExtent l="0" t="0" r="0" b="0"/>
            <wp:docPr id="70" name="Γράφημα 70">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EAC0BE5" w14:textId="18F81FA1" w:rsidR="008262D5" w:rsidRDefault="008262D5" w:rsidP="008D1D17">
      <w:pPr>
        <w:spacing w:after="0" w:line="240" w:lineRule="auto"/>
        <w:jc w:val="center"/>
        <w:rPr>
          <w:rFonts w:cs="Arial"/>
          <w:b/>
          <w:color w:val="2F5496"/>
          <w:szCs w:val="20"/>
        </w:rPr>
      </w:pPr>
      <w:r>
        <w:rPr>
          <w:rFonts w:cs="Arial"/>
          <w:b/>
          <w:color w:val="2F5496"/>
          <w:szCs w:val="20"/>
        </w:rPr>
        <w:br w:type="page"/>
      </w:r>
    </w:p>
    <w:p w14:paraId="5D25E1DF" w14:textId="3E250E8D" w:rsidR="00B36E03" w:rsidRPr="0073535B" w:rsidRDefault="00B36E03" w:rsidP="008D1D17">
      <w:pPr>
        <w:shd w:val="clear" w:color="auto" w:fill="D5DCE4"/>
        <w:rPr>
          <w:rFonts w:cs="Arial"/>
          <w:b/>
          <w:color w:val="2F5496"/>
          <w:szCs w:val="20"/>
        </w:rPr>
      </w:pPr>
      <w:r w:rsidRPr="0073535B">
        <w:rPr>
          <w:rFonts w:cs="Arial"/>
          <w:b/>
          <w:color w:val="2F5496"/>
          <w:szCs w:val="20"/>
        </w:rPr>
        <w:lastRenderedPageBreak/>
        <w:t>Αποκεντρωμένη Διοίκηση Ηπείρου - Δυτικής Μακεδονίας</w:t>
      </w:r>
    </w:p>
    <w:p w14:paraId="0CDDF300" w14:textId="39CA1142" w:rsidR="009B12EF" w:rsidRPr="009B12EF" w:rsidRDefault="009B12EF" w:rsidP="009B12EF">
      <w:pPr>
        <w:spacing w:after="60" w:line="240" w:lineRule="auto"/>
        <w:rPr>
          <w:b/>
          <w:sz w:val="18"/>
          <w:szCs w:val="18"/>
        </w:rPr>
      </w:pPr>
      <w:bookmarkStart w:id="216" w:name="_Toc182931630"/>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69</w:t>
      </w:r>
      <w:r w:rsidRPr="009B12EF">
        <w:rPr>
          <w:b/>
          <w:sz w:val="18"/>
          <w:szCs w:val="18"/>
        </w:rPr>
        <w:fldChar w:fldCharType="end"/>
      </w:r>
      <w:r w:rsidRPr="009B12EF">
        <w:rPr>
          <w:b/>
          <w:sz w:val="18"/>
          <w:szCs w:val="18"/>
        </w:rPr>
        <w:t>.: Προϋπολογιζόμενη Δαπάνη Κρατικού Προϋπολογισμού ανά Πρόγραμμα</w:t>
      </w:r>
      <w:bookmarkEnd w:id="216"/>
    </w:p>
    <w:p w14:paraId="6ABD82E6" w14:textId="6474F597" w:rsidR="00960535" w:rsidRDefault="00B413D4" w:rsidP="00B4506B">
      <w:r>
        <w:rPr>
          <w:noProof/>
        </w:rPr>
        <w:drawing>
          <wp:inline distT="0" distB="0" distL="0" distR="0" wp14:anchorId="75FE8236" wp14:editId="18EF2D6B">
            <wp:extent cx="5759450" cy="1771650"/>
            <wp:effectExtent l="0" t="0" r="0" b="0"/>
            <wp:docPr id="71" name="Γράφημα 71">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B81BD7F" w14:textId="77777777" w:rsidR="00616773" w:rsidRDefault="00616773" w:rsidP="00B4506B">
      <w:pPr>
        <w:rPr>
          <w:b/>
        </w:rPr>
      </w:pPr>
      <w:bookmarkStart w:id="217" w:name="_Toc182931631"/>
    </w:p>
    <w:p w14:paraId="39D78908" w14:textId="7E3CA476" w:rsidR="009B12EF" w:rsidRPr="009B12EF" w:rsidRDefault="009B12EF" w:rsidP="009B12EF">
      <w:pPr>
        <w:spacing w:after="60" w:line="240" w:lineRule="auto"/>
        <w:rPr>
          <w:b/>
          <w:sz w:val="18"/>
          <w:szCs w:val="18"/>
        </w:rPr>
      </w:pPr>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70</w:t>
      </w:r>
      <w:r w:rsidRPr="009B12EF">
        <w:rPr>
          <w:b/>
          <w:sz w:val="18"/>
          <w:szCs w:val="18"/>
        </w:rPr>
        <w:fldChar w:fldCharType="end"/>
      </w:r>
      <w:r w:rsidRPr="009B12EF">
        <w:rPr>
          <w:b/>
          <w:sz w:val="18"/>
          <w:szCs w:val="18"/>
        </w:rPr>
        <w:t xml:space="preserve">.: Ανθρώπινοι </w:t>
      </w:r>
      <w:r w:rsidR="00B9210B">
        <w:rPr>
          <w:b/>
          <w:sz w:val="18"/>
          <w:szCs w:val="18"/>
        </w:rPr>
        <w:t>π</w:t>
      </w:r>
      <w:r w:rsidRPr="009B12EF">
        <w:rPr>
          <w:b/>
          <w:sz w:val="18"/>
          <w:szCs w:val="18"/>
        </w:rPr>
        <w:t>όροι ανά Πρόγραμμα</w:t>
      </w:r>
      <w:bookmarkEnd w:id="217"/>
    </w:p>
    <w:p w14:paraId="4BB43FC7" w14:textId="6AFBADF7" w:rsidR="0073535B" w:rsidRDefault="00B413D4" w:rsidP="00B4506B">
      <w:r>
        <w:rPr>
          <w:noProof/>
        </w:rPr>
        <w:drawing>
          <wp:inline distT="0" distB="0" distL="0" distR="0" wp14:anchorId="544DCE65" wp14:editId="63B5336D">
            <wp:extent cx="5759450" cy="1600200"/>
            <wp:effectExtent l="0" t="0" r="0" b="0"/>
            <wp:docPr id="72" name="Γράφημα 72">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C61E7D1" w14:textId="59184C5A" w:rsidR="00B36E03" w:rsidRPr="004A47A4" w:rsidRDefault="00B36E03" w:rsidP="008D1D17">
      <w:pPr>
        <w:shd w:val="clear" w:color="auto" w:fill="D5DCE4"/>
        <w:rPr>
          <w:rFonts w:cs="Arial"/>
          <w:b/>
          <w:color w:val="2F5496"/>
          <w:szCs w:val="20"/>
        </w:rPr>
      </w:pPr>
      <w:r w:rsidRPr="004A47A4">
        <w:rPr>
          <w:rFonts w:cs="Arial"/>
          <w:b/>
          <w:color w:val="2F5496"/>
          <w:szCs w:val="20"/>
        </w:rPr>
        <w:t xml:space="preserve">Αποκεντρωμένη </w:t>
      </w:r>
      <w:r w:rsidR="0006258D" w:rsidRPr="004A47A4">
        <w:rPr>
          <w:rFonts w:cs="Arial"/>
          <w:b/>
          <w:color w:val="2F5496"/>
          <w:szCs w:val="20"/>
        </w:rPr>
        <w:t xml:space="preserve">Διοίκηση </w:t>
      </w:r>
      <w:r w:rsidRPr="004A47A4">
        <w:rPr>
          <w:rFonts w:cs="Arial"/>
          <w:b/>
          <w:color w:val="2F5496"/>
          <w:szCs w:val="20"/>
        </w:rPr>
        <w:t>Πελοποννήσου - Δυτικής Ελλάδας και Ιονίου</w:t>
      </w:r>
    </w:p>
    <w:p w14:paraId="19E25903" w14:textId="1AA217E6" w:rsidR="009B12EF" w:rsidRPr="009B12EF" w:rsidRDefault="009B12EF" w:rsidP="009B12EF">
      <w:pPr>
        <w:spacing w:after="60" w:line="240" w:lineRule="auto"/>
        <w:rPr>
          <w:b/>
          <w:sz w:val="18"/>
          <w:szCs w:val="18"/>
        </w:rPr>
      </w:pPr>
      <w:bookmarkStart w:id="218" w:name="_Toc182931632"/>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71</w:t>
      </w:r>
      <w:r w:rsidRPr="009B12EF">
        <w:rPr>
          <w:b/>
          <w:sz w:val="18"/>
          <w:szCs w:val="18"/>
        </w:rPr>
        <w:fldChar w:fldCharType="end"/>
      </w:r>
      <w:r w:rsidRPr="009B12EF">
        <w:rPr>
          <w:b/>
          <w:sz w:val="18"/>
          <w:szCs w:val="18"/>
        </w:rPr>
        <w:t>.: Προϋπολογιζόμενη Δαπάνη Κρατικού Προϋπολογισμού ανά Πρόγραμμα</w:t>
      </w:r>
      <w:bookmarkEnd w:id="218"/>
    </w:p>
    <w:p w14:paraId="5C9B6447" w14:textId="3BFDA148" w:rsidR="0073535B" w:rsidRDefault="00B413D4" w:rsidP="008D1D17">
      <w:pPr>
        <w:spacing w:after="0" w:line="240" w:lineRule="auto"/>
        <w:jc w:val="center"/>
        <w:rPr>
          <w:rFonts w:cs="Arial"/>
          <w:sz w:val="18"/>
          <w:szCs w:val="18"/>
        </w:rPr>
      </w:pPr>
      <w:r>
        <w:rPr>
          <w:noProof/>
        </w:rPr>
        <w:drawing>
          <wp:inline distT="0" distB="0" distL="0" distR="0" wp14:anchorId="0C212C63" wp14:editId="29EDCAFF">
            <wp:extent cx="5759450" cy="1743075"/>
            <wp:effectExtent l="0" t="0" r="0" b="0"/>
            <wp:docPr id="73" name="Γράφημα 73">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95C1EE8" w14:textId="77777777" w:rsidR="00616773" w:rsidRDefault="00616773" w:rsidP="009B12EF">
      <w:pPr>
        <w:spacing w:after="60" w:line="240" w:lineRule="auto"/>
        <w:rPr>
          <w:b/>
          <w:sz w:val="18"/>
          <w:szCs w:val="18"/>
        </w:rPr>
      </w:pPr>
      <w:bookmarkStart w:id="219" w:name="_Toc182931633"/>
    </w:p>
    <w:p w14:paraId="0C1119B8" w14:textId="176064DF" w:rsidR="009B12EF" w:rsidRPr="009B12EF" w:rsidRDefault="009B12EF" w:rsidP="009B12EF">
      <w:pPr>
        <w:spacing w:after="60" w:line="240" w:lineRule="auto"/>
        <w:rPr>
          <w:b/>
          <w:sz w:val="18"/>
          <w:szCs w:val="18"/>
        </w:rPr>
      </w:pPr>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72</w:t>
      </w:r>
      <w:r w:rsidRPr="009B12EF">
        <w:rPr>
          <w:b/>
          <w:sz w:val="18"/>
          <w:szCs w:val="18"/>
        </w:rPr>
        <w:fldChar w:fldCharType="end"/>
      </w:r>
      <w:r w:rsidRPr="009B12EF">
        <w:rPr>
          <w:b/>
          <w:sz w:val="18"/>
          <w:szCs w:val="18"/>
        </w:rPr>
        <w:t xml:space="preserve">.: Ανθρώπινοι </w:t>
      </w:r>
      <w:r w:rsidR="00B9210B">
        <w:rPr>
          <w:b/>
          <w:sz w:val="18"/>
          <w:szCs w:val="18"/>
        </w:rPr>
        <w:t>π</w:t>
      </w:r>
      <w:r w:rsidRPr="009B12EF">
        <w:rPr>
          <w:b/>
          <w:sz w:val="18"/>
          <w:szCs w:val="18"/>
        </w:rPr>
        <w:t>όροι ανά Πρόγραμμα</w:t>
      </w:r>
      <w:bookmarkEnd w:id="219"/>
    </w:p>
    <w:p w14:paraId="37CA5F69" w14:textId="1912C11E" w:rsidR="0073535B" w:rsidRDefault="00B413D4" w:rsidP="00B413D4">
      <w:pPr>
        <w:jc w:val="center"/>
      </w:pPr>
      <w:r>
        <w:rPr>
          <w:noProof/>
        </w:rPr>
        <w:drawing>
          <wp:inline distT="0" distB="0" distL="0" distR="0" wp14:anchorId="7F876E3E" wp14:editId="151624C5">
            <wp:extent cx="5759450" cy="1666875"/>
            <wp:effectExtent l="0" t="0" r="0" b="0"/>
            <wp:docPr id="74" name="Γράφημα 74">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57C37FB" w14:textId="4831C11D" w:rsidR="008262D5" w:rsidRDefault="008262D5">
      <w:pPr>
        <w:spacing w:after="0" w:line="240" w:lineRule="auto"/>
        <w:jc w:val="left"/>
        <w:rPr>
          <w:rFonts w:cs="Arial"/>
          <w:b/>
          <w:color w:val="2F5496"/>
          <w:szCs w:val="20"/>
        </w:rPr>
      </w:pPr>
      <w:r>
        <w:rPr>
          <w:rFonts w:cs="Arial"/>
          <w:b/>
          <w:color w:val="2F5496"/>
          <w:szCs w:val="20"/>
        </w:rPr>
        <w:br w:type="page"/>
      </w:r>
    </w:p>
    <w:p w14:paraId="6C3A204E" w14:textId="19510D69" w:rsidR="0006258D" w:rsidRPr="004A47A4" w:rsidRDefault="0006258D" w:rsidP="008D1D17">
      <w:pPr>
        <w:shd w:val="clear" w:color="auto" w:fill="D5DCE4"/>
        <w:rPr>
          <w:rFonts w:cs="Arial"/>
          <w:b/>
          <w:color w:val="2F5496"/>
          <w:szCs w:val="20"/>
        </w:rPr>
      </w:pPr>
      <w:r w:rsidRPr="004A47A4">
        <w:rPr>
          <w:rFonts w:cs="Arial"/>
          <w:b/>
          <w:color w:val="2F5496"/>
          <w:szCs w:val="20"/>
        </w:rPr>
        <w:lastRenderedPageBreak/>
        <w:t>Αποκεντρωμένη Διοίκηση Αιγαίου</w:t>
      </w:r>
    </w:p>
    <w:p w14:paraId="47F3EA7F" w14:textId="09F546C2" w:rsidR="009B12EF" w:rsidRPr="009B12EF" w:rsidRDefault="009B12EF" w:rsidP="009B12EF">
      <w:pPr>
        <w:spacing w:after="60" w:line="240" w:lineRule="auto"/>
        <w:rPr>
          <w:b/>
          <w:sz w:val="18"/>
          <w:szCs w:val="18"/>
        </w:rPr>
      </w:pPr>
      <w:bookmarkStart w:id="220" w:name="_Toc182931634"/>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73</w:t>
      </w:r>
      <w:r w:rsidRPr="009B12EF">
        <w:rPr>
          <w:b/>
          <w:sz w:val="18"/>
          <w:szCs w:val="18"/>
        </w:rPr>
        <w:fldChar w:fldCharType="end"/>
      </w:r>
      <w:r w:rsidRPr="009B12EF">
        <w:rPr>
          <w:b/>
          <w:sz w:val="18"/>
          <w:szCs w:val="18"/>
        </w:rPr>
        <w:t>.: Προϋπολογιζόμενη Δαπάνη Κρατικού Προϋπολογισμού ανά Πρόγραμμα</w:t>
      </w:r>
      <w:bookmarkEnd w:id="220"/>
    </w:p>
    <w:p w14:paraId="267A7C50" w14:textId="25C5BED2" w:rsidR="004A47A4" w:rsidRDefault="00B413D4" w:rsidP="008D1D17">
      <w:pPr>
        <w:spacing w:after="0" w:line="240" w:lineRule="auto"/>
        <w:jc w:val="center"/>
        <w:rPr>
          <w:rFonts w:cs="Arial"/>
          <w:sz w:val="18"/>
          <w:szCs w:val="18"/>
        </w:rPr>
      </w:pPr>
      <w:r>
        <w:rPr>
          <w:noProof/>
        </w:rPr>
        <w:drawing>
          <wp:inline distT="0" distB="0" distL="0" distR="0" wp14:anchorId="2E363AD5" wp14:editId="332A3F66">
            <wp:extent cx="5759450" cy="1714500"/>
            <wp:effectExtent l="0" t="0" r="0" b="0"/>
            <wp:docPr id="75" name="Γράφημα 75">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4246C6A4" w14:textId="3DCD19AF" w:rsidR="009B12EF" w:rsidRPr="009B12EF" w:rsidRDefault="009B12EF" w:rsidP="009B12EF">
      <w:pPr>
        <w:spacing w:after="60" w:line="240" w:lineRule="auto"/>
        <w:rPr>
          <w:b/>
          <w:sz w:val="18"/>
          <w:szCs w:val="18"/>
        </w:rPr>
      </w:pPr>
      <w:bookmarkStart w:id="221" w:name="_Toc182931635"/>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74</w:t>
      </w:r>
      <w:r w:rsidRPr="009B12EF">
        <w:rPr>
          <w:b/>
          <w:sz w:val="18"/>
          <w:szCs w:val="18"/>
        </w:rPr>
        <w:fldChar w:fldCharType="end"/>
      </w:r>
      <w:r w:rsidRPr="009B12EF">
        <w:rPr>
          <w:b/>
          <w:sz w:val="18"/>
          <w:szCs w:val="18"/>
        </w:rPr>
        <w:t xml:space="preserve">.: Ανθρώπινοι </w:t>
      </w:r>
      <w:r w:rsidR="00B9210B">
        <w:rPr>
          <w:b/>
          <w:sz w:val="18"/>
          <w:szCs w:val="18"/>
        </w:rPr>
        <w:t>π</w:t>
      </w:r>
      <w:r w:rsidRPr="009B12EF">
        <w:rPr>
          <w:b/>
          <w:sz w:val="18"/>
          <w:szCs w:val="18"/>
        </w:rPr>
        <w:t>όροι ανά Πρόγραμμα</w:t>
      </w:r>
      <w:bookmarkEnd w:id="221"/>
    </w:p>
    <w:p w14:paraId="13C64785" w14:textId="2EE06846" w:rsidR="004A47A4" w:rsidRPr="00B4506B" w:rsidRDefault="00B413D4" w:rsidP="008D1D17">
      <w:pPr>
        <w:spacing w:after="0" w:line="240" w:lineRule="auto"/>
        <w:jc w:val="center"/>
      </w:pPr>
      <w:r>
        <w:rPr>
          <w:noProof/>
        </w:rPr>
        <w:drawing>
          <wp:inline distT="0" distB="0" distL="0" distR="0" wp14:anchorId="720D1813" wp14:editId="68F8542C">
            <wp:extent cx="5759450" cy="1762125"/>
            <wp:effectExtent l="0" t="0" r="0" b="0"/>
            <wp:docPr id="76" name="Γράφημα 76">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402AC4FB" w14:textId="77777777" w:rsidR="00B4506B" w:rsidRDefault="00B4506B" w:rsidP="00B4506B"/>
    <w:p w14:paraId="13C274D8" w14:textId="112B2B5A" w:rsidR="0006258D" w:rsidRPr="004A47A4" w:rsidRDefault="0006258D" w:rsidP="008D1D17">
      <w:pPr>
        <w:shd w:val="clear" w:color="auto" w:fill="D5DCE4"/>
        <w:rPr>
          <w:rFonts w:cs="Arial"/>
          <w:b/>
          <w:color w:val="2F5496"/>
          <w:szCs w:val="20"/>
        </w:rPr>
      </w:pPr>
      <w:r w:rsidRPr="004A47A4">
        <w:rPr>
          <w:rFonts w:cs="Arial"/>
          <w:b/>
          <w:color w:val="2F5496"/>
          <w:szCs w:val="20"/>
        </w:rPr>
        <w:t>Αποκεντρωμένη Διοίκηση Κρήτης</w:t>
      </w:r>
    </w:p>
    <w:p w14:paraId="6CB9CF2C" w14:textId="423917F7" w:rsidR="009B12EF" w:rsidRPr="009B12EF" w:rsidRDefault="009B12EF" w:rsidP="009B12EF">
      <w:pPr>
        <w:spacing w:after="60" w:line="240" w:lineRule="auto"/>
        <w:rPr>
          <w:b/>
          <w:sz w:val="18"/>
          <w:szCs w:val="18"/>
        </w:rPr>
      </w:pPr>
      <w:bookmarkStart w:id="222" w:name="_Toc182931636"/>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75</w:t>
      </w:r>
      <w:r w:rsidRPr="009B12EF">
        <w:rPr>
          <w:b/>
          <w:sz w:val="18"/>
          <w:szCs w:val="18"/>
        </w:rPr>
        <w:fldChar w:fldCharType="end"/>
      </w:r>
      <w:r w:rsidRPr="009B12EF">
        <w:rPr>
          <w:b/>
          <w:sz w:val="18"/>
          <w:szCs w:val="18"/>
        </w:rPr>
        <w:t>.: Προϋπολογιζόμενη Δαπάνη Κρατικού Προϋπολογισμού ανά Πρόγραμμα</w:t>
      </w:r>
      <w:bookmarkEnd w:id="222"/>
    </w:p>
    <w:p w14:paraId="37CB9E06" w14:textId="11BE3B17" w:rsidR="004A47A4" w:rsidRDefault="00B413D4" w:rsidP="008D1D17">
      <w:pPr>
        <w:spacing w:after="0" w:line="240" w:lineRule="auto"/>
        <w:jc w:val="center"/>
        <w:rPr>
          <w:rFonts w:cs="Arial"/>
          <w:sz w:val="18"/>
          <w:szCs w:val="18"/>
        </w:rPr>
      </w:pPr>
      <w:r>
        <w:rPr>
          <w:noProof/>
        </w:rPr>
        <w:drawing>
          <wp:inline distT="0" distB="0" distL="0" distR="0" wp14:anchorId="49ED8FA9" wp14:editId="46D44E34">
            <wp:extent cx="5759450" cy="1647825"/>
            <wp:effectExtent l="0" t="0" r="0" b="0"/>
            <wp:docPr id="77" name="Γράφημα 77">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07D0E042" w14:textId="555527E5" w:rsidR="009B12EF" w:rsidRPr="009B12EF" w:rsidRDefault="009B12EF" w:rsidP="009B12EF">
      <w:pPr>
        <w:spacing w:after="60" w:line="240" w:lineRule="auto"/>
        <w:rPr>
          <w:b/>
          <w:sz w:val="18"/>
          <w:szCs w:val="18"/>
        </w:rPr>
      </w:pPr>
      <w:bookmarkStart w:id="223" w:name="_Toc182931637"/>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76</w:t>
      </w:r>
      <w:r w:rsidRPr="009B12EF">
        <w:rPr>
          <w:b/>
          <w:sz w:val="18"/>
          <w:szCs w:val="18"/>
        </w:rPr>
        <w:fldChar w:fldCharType="end"/>
      </w:r>
      <w:r w:rsidRPr="009B12EF">
        <w:rPr>
          <w:b/>
          <w:sz w:val="18"/>
          <w:szCs w:val="18"/>
        </w:rPr>
        <w:t xml:space="preserve">.: Ανθρώπινοι </w:t>
      </w:r>
      <w:r w:rsidR="00B9210B">
        <w:rPr>
          <w:b/>
          <w:sz w:val="18"/>
          <w:szCs w:val="18"/>
        </w:rPr>
        <w:t>π</w:t>
      </w:r>
      <w:r w:rsidRPr="009B12EF">
        <w:rPr>
          <w:b/>
          <w:sz w:val="18"/>
          <w:szCs w:val="18"/>
        </w:rPr>
        <w:t>όροι ανά Πρόγραμμα</w:t>
      </w:r>
      <w:bookmarkEnd w:id="223"/>
    </w:p>
    <w:p w14:paraId="608F7022" w14:textId="07948B0F" w:rsidR="004A47A4" w:rsidRDefault="00B413D4" w:rsidP="00B4506B">
      <w:r>
        <w:rPr>
          <w:noProof/>
        </w:rPr>
        <w:drawing>
          <wp:inline distT="0" distB="0" distL="0" distR="0" wp14:anchorId="68A77A2A" wp14:editId="32FD07CE">
            <wp:extent cx="5759450" cy="1752600"/>
            <wp:effectExtent l="0" t="0" r="0" b="0"/>
            <wp:docPr id="78" name="Γράφημα 78">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C032424" w14:textId="76947870" w:rsidR="004A47A4" w:rsidRDefault="004A47A4" w:rsidP="00B4506B">
      <w:pPr>
        <w:rPr>
          <w:b/>
          <w:sz w:val="22"/>
          <w:szCs w:val="22"/>
        </w:rPr>
      </w:pPr>
      <w:r>
        <w:rPr>
          <w:b/>
          <w:sz w:val="22"/>
          <w:szCs w:val="22"/>
        </w:rPr>
        <w:br w:type="page"/>
      </w:r>
    </w:p>
    <w:p w14:paraId="6EBF08ED" w14:textId="22A262AD" w:rsidR="00494238" w:rsidRPr="0047087B" w:rsidRDefault="00494238" w:rsidP="008D1D17">
      <w:pPr>
        <w:shd w:val="clear" w:color="auto" w:fill="D5DCE4"/>
        <w:rPr>
          <w:rFonts w:cs="Arial"/>
          <w:b/>
          <w:color w:val="2F5496"/>
          <w:szCs w:val="20"/>
        </w:rPr>
      </w:pPr>
      <w:r w:rsidRPr="0047087B">
        <w:rPr>
          <w:rFonts w:cs="Arial"/>
          <w:b/>
          <w:color w:val="2F5496"/>
          <w:szCs w:val="20"/>
        </w:rPr>
        <w:lastRenderedPageBreak/>
        <w:t>Αποκεντρωμένη Διοίκηση Μακεδονίας - Θράκης</w:t>
      </w:r>
    </w:p>
    <w:p w14:paraId="4789FF25" w14:textId="314F59F0" w:rsidR="009B12EF" w:rsidRPr="009B12EF" w:rsidRDefault="009B12EF" w:rsidP="009B12EF">
      <w:pPr>
        <w:spacing w:after="60" w:line="240" w:lineRule="auto"/>
        <w:rPr>
          <w:b/>
          <w:sz w:val="18"/>
          <w:szCs w:val="18"/>
        </w:rPr>
      </w:pPr>
      <w:bookmarkStart w:id="224" w:name="_Toc182931638"/>
      <w:r w:rsidRPr="009B12EF">
        <w:rPr>
          <w:b/>
          <w:sz w:val="18"/>
          <w:szCs w:val="18"/>
        </w:rPr>
        <w:t>Διάγραμμα 2.</w:t>
      </w:r>
      <w:r w:rsidRPr="009B12EF">
        <w:rPr>
          <w:b/>
          <w:sz w:val="18"/>
          <w:szCs w:val="18"/>
        </w:rPr>
        <w:fldChar w:fldCharType="begin"/>
      </w:r>
      <w:r w:rsidRPr="009B12EF">
        <w:rPr>
          <w:b/>
          <w:sz w:val="18"/>
          <w:szCs w:val="18"/>
        </w:rPr>
        <w:instrText xml:space="preserve"> SEQ Διάγραμμα_2._ \* ARABIC </w:instrText>
      </w:r>
      <w:r w:rsidRPr="009B12EF">
        <w:rPr>
          <w:b/>
          <w:sz w:val="18"/>
          <w:szCs w:val="18"/>
        </w:rPr>
        <w:fldChar w:fldCharType="separate"/>
      </w:r>
      <w:r w:rsidR="00E15678">
        <w:rPr>
          <w:b/>
          <w:noProof/>
          <w:sz w:val="18"/>
          <w:szCs w:val="18"/>
        </w:rPr>
        <w:t>77</w:t>
      </w:r>
      <w:r w:rsidRPr="009B12EF">
        <w:rPr>
          <w:b/>
          <w:sz w:val="18"/>
          <w:szCs w:val="18"/>
        </w:rPr>
        <w:fldChar w:fldCharType="end"/>
      </w:r>
      <w:r w:rsidRPr="009B12EF">
        <w:rPr>
          <w:b/>
          <w:sz w:val="18"/>
          <w:szCs w:val="18"/>
        </w:rPr>
        <w:t>.: Προϋπολογιζόμενη Δαπάνη Κρατικού Προϋπολογισμού ανά Πρόγραμμα</w:t>
      </w:r>
      <w:bookmarkEnd w:id="224"/>
    </w:p>
    <w:p w14:paraId="4933B729" w14:textId="00B0D088" w:rsidR="004A47A4" w:rsidRPr="00F710D2" w:rsidRDefault="00B413D4" w:rsidP="00B4506B">
      <w:r>
        <w:rPr>
          <w:noProof/>
        </w:rPr>
        <w:drawing>
          <wp:inline distT="0" distB="0" distL="0" distR="0" wp14:anchorId="1A3C8F01" wp14:editId="1136F0C5">
            <wp:extent cx="5759450" cy="1943100"/>
            <wp:effectExtent l="0" t="0" r="0" b="0"/>
            <wp:docPr id="79" name="Γράφημα 79">
              <a:extLst xmlns:a="http://schemas.openxmlformats.org/drawingml/2006/main">
                <a:ext uri="{FF2B5EF4-FFF2-40B4-BE49-F238E27FC236}">
                  <a16:creationId xmlns:a16="http://schemas.microsoft.com/office/drawing/2014/main" id="{181A8F2A-0799-4ACE-9E19-C266C0E1B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151C968" w14:textId="77777777" w:rsidR="00494238" w:rsidRDefault="00494238" w:rsidP="00B4506B">
      <w:pPr>
        <w:rPr>
          <w:b/>
          <w:sz w:val="22"/>
          <w:szCs w:val="22"/>
        </w:rPr>
      </w:pPr>
    </w:p>
    <w:p w14:paraId="5C442DB5" w14:textId="77777777" w:rsidR="00B9210B" w:rsidRDefault="00B9210B" w:rsidP="00B4506B">
      <w:pPr>
        <w:rPr>
          <w:b/>
        </w:rPr>
      </w:pPr>
      <w:bookmarkStart w:id="225" w:name="_Toc182931639"/>
    </w:p>
    <w:p w14:paraId="5BE2BDD4" w14:textId="2FDC85FD" w:rsidR="009B12EF" w:rsidRPr="007E62EB" w:rsidRDefault="009B12EF" w:rsidP="009B12EF">
      <w:pPr>
        <w:spacing w:after="60" w:line="240" w:lineRule="auto"/>
        <w:rPr>
          <w:b/>
          <w:sz w:val="18"/>
          <w:szCs w:val="18"/>
        </w:rPr>
      </w:pPr>
      <w:r w:rsidRPr="007E62EB">
        <w:rPr>
          <w:b/>
          <w:sz w:val="18"/>
          <w:szCs w:val="18"/>
        </w:rPr>
        <w:t>Διάγραμμα 2.</w:t>
      </w:r>
      <w:r w:rsidRPr="007E62EB">
        <w:rPr>
          <w:b/>
          <w:sz w:val="18"/>
          <w:szCs w:val="18"/>
        </w:rPr>
        <w:fldChar w:fldCharType="begin"/>
      </w:r>
      <w:r w:rsidRPr="007E62EB">
        <w:rPr>
          <w:b/>
          <w:sz w:val="18"/>
          <w:szCs w:val="18"/>
        </w:rPr>
        <w:instrText xml:space="preserve"> SEQ Διάγραμμα_2._ \* ARABIC </w:instrText>
      </w:r>
      <w:r w:rsidRPr="007E62EB">
        <w:rPr>
          <w:b/>
          <w:sz w:val="18"/>
          <w:szCs w:val="18"/>
        </w:rPr>
        <w:fldChar w:fldCharType="separate"/>
      </w:r>
      <w:r w:rsidR="00E15678">
        <w:rPr>
          <w:b/>
          <w:noProof/>
          <w:sz w:val="18"/>
          <w:szCs w:val="18"/>
        </w:rPr>
        <w:t>78</w:t>
      </w:r>
      <w:r w:rsidRPr="007E62EB">
        <w:rPr>
          <w:b/>
          <w:sz w:val="18"/>
          <w:szCs w:val="18"/>
        </w:rPr>
        <w:fldChar w:fldCharType="end"/>
      </w:r>
      <w:r w:rsidRPr="007E62EB">
        <w:rPr>
          <w:b/>
          <w:sz w:val="18"/>
          <w:szCs w:val="18"/>
        </w:rPr>
        <w:t xml:space="preserve">.: Ανθρώπινοι </w:t>
      </w:r>
      <w:r w:rsidR="00B9210B">
        <w:rPr>
          <w:b/>
          <w:sz w:val="18"/>
          <w:szCs w:val="18"/>
        </w:rPr>
        <w:t>π</w:t>
      </w:r>
      <w:r w:rsidRPr="007E62EB">
        <w:rPr>
          <w:b/>
          <w:sz w:val="18"/>
          <w:szCs w:val="18"/>
        </w:rPr>
        <w:t>όροι ανά Πρόγραμμα</w:t>
      </w:r>
      <w:bookmarkEnd w:id="225"/>
    </w:p>
    <w:p w14:paraId="5B0AE993" w14:textId="4FDF2C7E" w:rsidR="004A47A4" w:rsidRDefault="00B413D4" w:rsidP="00B4506B">
      <w:r>
        <w:rPr>
          <w:noProof/>
        </w:rPr>
        <w:drawing>
          <wp:inline distT="0" distB="0" distL="0" distR="0" wp14:anchorId="3FBAAE79" wp14:editId="3314A27E">
            <wp:extent cx="5759450" cy="2038350"/>
            <wp:effectExtent l="0" t="0" r="0" b="0"/>
            <wp:docPr id="80" name="Γράφημα 80">
              <a:extLst xmlns:a="http://schemas.openxmlformats.org/drawingml/2006/main">
                <a:ext uri="{FF2B5EF4-FFF2-40B4-BE49-F238E27FC236}">
                  <a16:creationId xmlns:a16="http://schemas.microsoft.com/office/drawing/2014/main" id="{A0D23464-B178-4F0C-8F0D-EDE1A410AA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9D19500" w14:textId="2BC72406" w:rsidR="009A132F" w:rsidRPr="000F3021" w:rsidRDefault="007F39B9" w:rsidP="00217248">
      <w:pPr>
        <w:spacing w:before="240" w:after="240"/>
        <w:rPr>
          <w:szCs w:val="20"/>
        </w:rPr>
      </w:pPr>
      <w:r w:rsidRPr="00B94CD4">
        <w:t>Συγκεντρωτικά, η προϋπολογιζόμενη δαπάνη από τον κρατικό προϋπολογισμό ανά Πρόγραμμα</w:t>
      </w:r>
      <w:r w:rsidR="009A132F" w:rsidRPr="00B94CD4">
        <w:t xml:space="preserve"> αποτυπώνεται στον πίνακα </w:t>
      </w:r>
      <w:r w:rsidR="009A132F" w:rsidRPr="00154C13">
        <w:t>που ακολουθεί</w:t>
      </w:r>
      <w:r w:rsidR="00B74E87" w:rsidRPr="00154C13">
        <w:t xml:space="preserve"> (</w:t>
      </w:r>
      <w:r w:rsidR="00A4063C" w:rsidRPr="00154C13">
        <w:fldChar w:fldCharType="begin"/>
      </w:r>
      <w:r w:rsidR="00A4063C" w:rsidRPr="00154C13">
        <w:instrText xml:space="preserve"> REF _Ref214440202 \h  \* MERGEFORMAT </w:instrText>
      </w:r>
      <w:r w:rsidR="00A4063C" w:rsidRPr="00154C13">
        <w:fldChar w:fldCharType="separate"/>
      </w:r>
      <w:r w:rsidR="00E15678" w:rsidRPr="00E15678">
        <w:t>Πίνακας 2.7</w:t>
      </w:r>
      <w:r w:rsidR="00A4063C" w:rsidRPr="00154C13">
        <w:fldChar w:fldCharType="end"/>
      </w:r>
      <w:r w:rsidR="00A4063C" w:rsidRPr="00154C13">
        <w:t>.</w:t>
      </w:r>
      <w:r w:rsidR="00B74E87" w:rsidRPr="00154C13">
        <w:t>)</w:t>
      </w:r>
      <w:r w:rsidR="009A132F" w:rsidRPr="00154C13">
        <w:t>.</w:t>
      </w:r>
    </w:p>
    <w:p w14:paraId="6591CC80" w14:textId="2F923AA5" w:rsidR="00A24D7D" w:rsidRDefault="00A24D7D">
      <w:pPr>
        <w:spacing w:after="0" w:line="240" w:lineRule="auto"/>
        <w:jc w:val="left"/>
      </w:pPr>
      <w:r>
        <w:br w:type="page"/>
      </w:r>
    </w:p>
    <w:tbl>
      <w:tblPr>
        <w:tblW w:w="9067"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ayout w:type="fixed"/>
        <w:tblLook w:val="04A0" w:firstRow="1" w:lastRow="0" w:firstColumn="1" w:lastColumn="0" w:noHBand="0" w:noVBand="1"/>
      </w:tblPr>
      <w:tblGrid>
        <w:gridCol w:w="1051"/>
        <w:gridCol w:w="2346"/>
        <w:gridCol w:w="1134"/>
        <w:gridCol w:w="1134"/>
        <w:gridCol w:w="1985"/>
        <w:gridCol w:w="1417"/>
      </w:tblGrid>
      <w:tr w:rsidR="00A4063C" w:rsidRPr="00A4063C" w14:paraId="7BF14449" w14:textId="77777777" w:rsidTr="00025781">
        <w:trPr>
          <w:cantSplit/>
          <w:trHeight w:val="555"/>
          <w:tblHeader/>
          <w:jc w:val="center"/>
        </w:trPr>
        <w:tc>
          <w:tcPr>
            <w:tcW w:w="9067" w:type="dxa"/>
            <w:gridSpan w:val="6"/>
            <w:tcBorders>
              <w:top w:val="single" w:sz="2" w:space="0" w:color="A6A6A6" w:themeColor="background1" w:themeShade="A6"/>
              <w:bottom w:val="single" w:sz="2" w:space="0" w:color="A6A6A6" w:themeColor="background1" w:themeShade="A6"/>
            </w:tcBorders>
            <w:shd w:val="clear" w:color="auto" w:fill="D5DCE4"/>
            <w:vAlign w:val="center"/>
            <w:hideMark/>
          </w:tcPr>
          <w:p w14:paraId="47CA924D" w14:textId="2C471180" w:rsidR="00A4063C" w:rsidRDefault="00A4063C" w:rsidP="00A4063C">
            <w:pPr>
              <w:pStyle w:val="afe"/>
              <w:spacing w:after="0" w:line="276" w:lineRule="auto"/>
              <w:jc w:val="center"/>
              <w:rPr>
                <w:sz w:val="18"/>
                <w:szCs w:val="18"/>
              </w:rPr>
            </w:pPr>
            <w:bookmarkStart w:id="226" w:name="_Ref214440202"/>
            <w:bookmarkStart w:id="227" w:name="_Toc214473825"/>
            <w:bookmarkStart w:id="228" w:name="_Toc214372335"/>
            <w:r w:rsidRPr="00A4063C">
              <w:rPr>
                <w:sz w:val="18"/>
                <w:szCs w:val="18"/>
              </w:rPr>
              <w:lastRenderedPageBreak/>
              <w:t>Πίνακας 2.</w:t>
            </w:r>
            <w:r w:rsidRPr="00A4063C">
              <w:rPr>
                <w:sz w:val="18"/>
                <w:szCs w:val="18"/>
              </w:rPr>
              <w:fldChar w:fldCharType="begin"/>
            </w:r>
            <w:r w:rsidRPr="00A4063C">
              <w:rPr>
                <w:sz w:val="18"/>
                <w:szCs w:val="18"/>
              </w:rPr>
              <w:instrText xml:space="preserve"> SEQ Πίνακας_2. \* ARABIC </w:instrText>
            </w:r>
            <w:r w:rsidRPr="00A4063C">
              <w:rPr>
                <w:sz w:val="18"/>
                <w:szCs w:val="18"/>
              </w:rPr>
              <w:fldChar w:fldCharType="separate"/>
            </w:r>
            <w:r w:rsidR="00E15678">
              <w:rPr>
                <w:noProof/>
                <w:sz w:val="18"/>
                <w:szCs w:val="18"/>
              </w:rPr>
              <w:t>7</w:t>
            </w:r>
            <w:r w:rsidRPr="00A4063C">
              <w:rPr>
                <w:sz w:val="18"/>
                <w:szCs w:val="18"/>
              </w:rPr>
              <w:fldChar w:fldCharType="end"/>
            </w:r>
            <w:bookmarkEnd w:id="226"/>
            <w:r w:rsidRPr="00A4063C">
              <w:rPr>
                <w:sz w:val="18"/>
                <w:szCs w:val="18"/>
              </w:rPr>
              <w:t>.: Προϋπολογιζόμενη δαπάνη κρατικού προϋπολογισμού έτους 2026 ανά Πρόγραμμα</w:t>
            </w:r>
            <w:bookmarkEnd w:id="227"/>
          </w:p>
          <w:p w14:paraId="7548910B" w14:textId="7DF6698E" w:rsidR="00A4063C" w:rsidRPr="00A4063C" w:rsidRDefault="00A4063C" w:rsidP="00025781">
            <w:pPr>
              <w:pStyle w:val="afe"/>
              <w:spacing w:after="0" w:line="276" w:lineRule="auto"/>
              <w:jc w:val="center"/>
              <w:rPr>
                <w:rFonts w:cs="Arial"/>
                <w:b w:val="0"/>
                <w:bCs w:val="0"/>
                <w:color w:val="000000"/>
                <w:sz w:val="18"/>
                <w:szCs w:val="18"/>
              </w:rPr>
            </w:pPr>
            <w:r w:rsidRPr="00A4063C">
              <w:rPr>
                <w:sz w:val="18"/>
                <w:szCs w:val="18"/>
              </w:rPr>
              <w:t>(σε χιλιάδες ευρώ)</w:t>
            </w:r>
            <w:r w:rsidRPr="00A4063C">
              <w:rPr>
                <w:sz w:val="18"/>
                <w:szCs w:val="18"/>
                <w:vertAlign w:val="superscript"/>
              </w:rPr>
              <w:t>1</w:t>
            </w:r>
            <w:bookmarkEnd w:id="228"/>
          </w:p>
        </w:tc>
      </w:tr>
      <w:tr w:rsidR="00A4063C" w:rsidRPr="00394ACF" w14:paraId="77F49FAA" w14:textId="77777777" w:rsidTr="00025781">
        <w:trPr>
          <w:cantSplit/>
          <w:trHeight w:val="285"/>
          <w:tblHeader/>
          <w:jc w:val="center"/>
        </w:trPr>
        <w:tc>
          <w:tcPr>
            <w:tcW w:w="1051" w:type="dxa"/>
            <w:vMerge w:val="restart"/>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71D596EF" w14:textId="77777777" w:rsidR="00A4063C" w:rsidRPr="00394ACF" w:rsidRDefault="00A4063C" w:rsidP="00A4063C">
            <w:pPr>
              <w:spacing w:after="0" w:line="276" w:lineRule="auto"/>
              <w:jc w:val="center"/>
              <w:rPr>
                <w:rFonts w:cs="Arial"/>
                <w:b/>
                <w:bCs/>
                <w:color w:val="000000"/>
                <w:sz w:val="16"/>
                <w:szCs w:val="16"/>
              </w:rPr>
            </w:pPr>
            <w:r w:rsidRPr="00394ACF">
              <w:rPr>
                <w:rFonts w:cs="Arial"/>
                <w:b/>
                <w:bCs/>
                <w:color w:val="000000"/>
                <w:sz w:val="16"/>
                <w:szCs w:val="16"/>
              </w:rPr>
              <w:t>Κωδ.</w:t>
            </w:r>
          </w:p>
        </w:tc>
        <w:tc>
          <w:tcPr>
            <w:tcW w:w="2346"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2A0C36C0" w14:textId="77777777" w:rsidR="00A4063C" w:rsidRPr="00394ACF" w:rsidRDefault="00A4063C" w:rsidP="00A4063C">
            <w:pPr>
              <w:spacing w:after="0" w:line="276" w:lineRule="auto"/>
              <w:jc w:val="center"/>
              <w:rPr>
                <w:rFonts w:cs="Arial"/>
                <w:b/>
                <w:bCs/>
                <w:color w:val="000000"/>
                <w:sz w:val="16"/>
                <w:szCs w:val="16"/>
              </w:rPr>
            </w:pPr>
            <w:r w:rsidRPr="00394ACF">
              <w:rPr>
                <w:rFonts w:cs="Arial"/>
                <w:b/>
                <w:bCs/>
                <w:color w:val="000000"/>
                <w:sz w:val="16"/>
                <w:szCs w:val="16"/>
              </w:rPr>
              <w:t>Φορείς Προγράμματα</w:t>
            </w:r>
          </w:p>
        </w:tc>
        <w:tc>
          <w:tcPr>
            <w:tcW w:w="5670" w:type="dxa"/>
            <w:gridSpan w:val="4"/>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D5DCE4"/>
            <w:vAlign w:val="center"/>
            <w:hideMark/>
          </w:tcPr>
          <w:p w14:paraId="319D3B31" w14:textId="77777777" w:rsidR="00A4063C" w:rsidRPr="00394ACF" w:rsidRDefault="00A4063C" w:rsidP="00A4063C">
            <w:pPr>
              <w:spacing w:after="0" w:line="276" w:lineRule="auto"/>
              <w:jc w:val="center"/>
              <w:rPr>
                <w:rFonts w:cs="Arial"/>
                <w:b/>
                <w:bCs/>
                <w:color w:val="000000"/>
                <w:sz w:val="16"/>
                <w:szCs w:val="16"/>
              </w:rPr>
            </w:pPr>
            <w:r w:rsidRPr="00394ACF">
              <w:rPr>
                <w:rFonts w:cs="Arial"/>
                <w:b/>
                <w:bCs/>
                <w:color w:val="000000"/>
                <w:sz w:val="16"/>
                <w:szCs w:val="16"/>
              </w:rPr>
              <w:t xml:space="preserve">Προϋπολογισμός </w:t>
            </w:r>
          </w:p>
        </w:tc>
      </w:tr>
      <w:tr w:rsidR="00A4063C" w:rsidRPr="00394ACF" w14:paraId="144F5DD4" w14:textId="77777777" w:rsidTr="00025781">
        <w:trPr>
          <w:cantSplit/>
          <w:trHeight w:val="285"/>
          <w:tblHeader/>
          <w:jc w:val="center"/>
        </w:trPr>
        <w:tc>
          <w:tcPr>
            <w:tcW w:w="1051" w:type="dxa"/>
            <w:vMerge/>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7E9E26ED" w14:textId="77777777" w:rsidR="00A4063C" w:rsidRPr="00394ACF" w:rsidRDefault="00A4063C" w:rsidP="00A4063C">
            <w:pPr>
              <w:spacing w:after="0" w:line="276" w:lineRule="auto"/>
              <w:jc w:val="left"/>
              <w:rPr>
                <w:rFonts w:cs="Arial"/>
                <w:b/>
                <w:bCs/>
                <w:color w:val="000000"/>
                <w:sz w:val="16"/>
                <w:szCs w:val="16"/>
              </w:rPr>
            </w:pPr>
          </w:p>
        </w:tc>
        <w:tc>
          <w:tcPr>
            <w:tcW w:w="2346" w:type="dxa"/>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14486124" w14:textId="77777777" w:rsidR="00A4063C" w:rsidRPr="00394ACF" w:rsidRDefault="00A4063C" w:rsidP="00A4063C">
            <w:pPr>
              <w:spacing w:after="0" w:line="276" w:lineRule="auto"/>
              <w:jc w:val="left"/>
              <w:rPr>
                <w:rFonts w:cs="Arial"/>
                <w:b/>
                <w:bCs/>
                <w:color w:val="000000"/>
                <w:sz w:val="16"/>
                <w:szCs w:val="16"/>
              </w:rPr>
            </w:pPr>
          </w:p>
        </w:tc>
        <w:tc>
          <w:tcPr>
            <w:tcW w:w="1134"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37C34C1D" w14:textId="77777777" w:rsidR="00A4063C" w:rsidRPr="00394ACF" w:rsidRDefault="00A4063C" w:rsidP="00A4063C">
            <w:pPr>
              <w:spacing w:after="0" w:line="276" w:lineRule="auto"/>
              <w:jc w:val="center"/>
              <w:rPr>
                <w:rFonts w:cs="Arial"/>
                <w:b/>
                <w:bCs/>
                <w:color w:val="000000"/>
                <w:sz w:val="16"/>
                <w:szCs w:val="16"/>
              </w:rPr>
            </w:pPr>
            <w:r w:rsidRPr="00394ACF">
              <w:rPr>
                <w:rFonts w:cs="Arial"/>
                <w:b/>
                <w:bCs/>
                <w:color w:val="000000"/>
                <w:sz w:val="16"/>
                <w:szCs w:val="16"/>
              </w:rPr>
              <w:t>Τακτικός</w:t>
            </w:r>
          </w:p>
        </w:tc>
        <w:tc>
          <w:tcPr>
            <w:tcW w:w="3119"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5A4BCA8D" w14:textId="77777777" w:rsidR="00A4063C" w:rsidRPr="00424D14" w:rsidRDefault="00A4063C" w:rsidP="00A4063C">
            <w:pPr>
              <w:spacing w:after="0" w:line="276" w:lineRule="auto"/>
              <w:jc w:val="center"/>
              <w:rPr>
                <w:rFonts w:cs="Arial"/>
                <w:b/>
                <w:bCs/>
                <w:color w:val="000000"/>
                <w:sz w:val="16"/>
                <w:szCs w:val="16"/>
                <w:lang w:val="en-US"/>
              </w:rPr>
            </w:pPr>
            <w:r w:rsidRPr="00394ACF">
              <w:rPr>
                <w:rFonts w:cs="Arial"/>
                <w:b/>
                <w:bCs/>
                <w:color w:val="000000"/>
                <w:sz w:val="16"/>
                <w:szCs w:val="16"/>
              </w:rPr>
              <w:t>Προϋπολογισμός Δημοσίων Επενδύσεων</w:t>
            </w:r>
            <w:r w:rsidRPr="00424D14">
              <w:rPr>
                <w:rFonts w:cs="Arial"/>
                <w:b/>
                <w:bCs/>
                <w:color w:val="000000"/>
                <w:sz w:val="16"/>
                <w:szCs w:val="16"/>
                <w:vertAlign w:val="superscript"/>
                <w:lang w:val="en-US"/>
              </w:rPr>
              <w:t>2</w:t>
            </w:r>
          </w:p>
        </w:tc>
        <w:tc>
          <w:tcPr>
            <w:tcW w:w="1417"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D5DCE4"/>
            <w:vAlign w:val="center"/>
            <w:hideMark/>
          </w:tcPr>
          <w:p w14:paraId="28A67125" w14:textId="77777777" w:rsidR="00A4063C" w:rsidRPr="00394ACF" w:rsidRDefault="00A4063C" w:rsidP="00A4063C">
            <w:pPr>
              <w:spacing w:after="0" w:line="276" w:lineRule="auto"/>
              <w:jc w:val="center"/>
              <w:rPr>
                <w:rFonts w:cs="Arial"/>
                <w:b/>
                <w:bCs/>
                <w:color w:val="000000"/>
                <w:sz w:val="16"/>
                <w:szCs w:val="16"/>
              </w:rPr>
            </w:pPr>
            <w:r w:rsidRPr="00394ACF">
              <w:rPr>
                <w:rFonts w:cs="Arial"/>
                <w:b/>
                <w:bCs/>
                <w:color w:val="000000"/>
                <w:sz w:val="16"/>
                <w:szCs w:val="16"/>
              </w:rPr>
              <w:t>Σύνολο</w:t>
            </w:r>
          </w:p>
        </w:tc>
      </w:tr>
      <w:tr w:rsidR="00A4063C" w:rsidRPr="00394ACF" w14:paraId="677259BD" w14:textId="77777777" w:rsidTr="00025781">
        <w:trPr>
          <w:cantSplit/>
          <w:trHeight w:val="285"/>
          <w:jc w:val="center"/>
        </w:trPr>
        <w:tc>
          <w:tcPr>
            <w:tcW w:w="1051" w:type="dxa"/>
            <w:vMerge/>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43CF4922" w14:textId="77777777" w:rsidR="00A4063C" w:rsidRPr="00394ACF" w:rsidRDefault="00A4063C" w:rsidP="00A4063C">
            <w:pPr>
              <w:spacing w:after="0" w:line="276" w:lineRule="auto"/>
              <w:jc w:val="left"/>
              <w:rPr>
                <w:rFonts w:cs="Arial"/>
                <w:b/>
                <w:bCs/>
                <w:color w:val="000000"/>
                <w:sz w:val="16"/>
                <w:szCs w:val="16"/>
              </w:rPr>
            </w:pPr>
          </w:p>
        </w:tc>
        <w:tc>
          <w:tcPr>
            <w:tcW w:w="2346" w:type="dxa"/>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02358342" w14:textId="77777777" w:rsidR="00A4063C" w:rsidRPr="00394ACF" w:rsidRDefault="00A4063C" w:rsidP="00A4063C">
            <w:pPr>
              <w:spacing w:after="0" w:line="276" w:lineRule="auto"/>
              <w:jc w:val="left"/>
              <w:rPr>
                <w:rFonts w:cs="Arial"/>
                <w:b/>
                <w:bCs/>
                <w:color w:val="000000"/>
                <w:sz w:val="16"/>
                <w:szCs w:val="16"/>
              </w:rPr>
            </w:pPr>
          </w:p>
        </w:tc>
        <w:tc>
          <w:tcPr>
            <w:tcW w:w="1134" w:type="dxa"/>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59F92FA6" w14:textId="77777777" w:rsidR="00A4063C" w:rsidRPr="00394ACF" w:rsidRDefault="00A4063C" w:rsidP="00A4063C">
            <w:pPr>
              <w:spacing w:after="0" w:line="276" w:lineRule="auto"/>
              <w:jc w:val="left"/>
              <w:rPr>
                <w:rFonts w:cs="Arial"/>
                <w:b/>
                <w:bCs/>
                <w:color w:val="000000"/>
                <w:sz w:val="16"/>
                <w:szCs w:val="16"/>
              </w:rPr>
            </w:pPr>
          </w:p>
        </w:tc>
        <w:tc>
          <w:tcPr>
            <w:tcW w:w="113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47A5E7BF" w14:textId="77777777" w:rsidR="00A4063C" w:rsidRPr="00394ACF" w:rsidRDefault="00A4063C" w:rsidP="00A4063C">
            <w:pPr>
              <w:spacing w:after="0" w:line="276" w:lineRule="auto"/>
              <w:jc w:val="center"/>
              <w:rPr>
                <w:rFonts w:cs="Arial"/>
                <w:b/>
                <w:bCs/>
                <w:color w:val="000000"/>
                <w:sz w:val="16"/>
                <w:szCs w:val="16"/>
              </w:rPr>
            </w:pPr>
            <w:r w:rsidRPr="00394ACF">
              <w:rPr>
                <w:rFonts w:cs="Arial"/>
                <w:b/>
                <w:bCs/>
                <w:color w:val="000000"/>
                <w:sz w:val="16"/>
                <w:szCs w:val="16"/>
              </w:rPr>
              <w:t>Εθνικό</w:t>
            </w:r>
          </w:p>
        </w:tc>
        <w:tc>
          <w:tcPr>
            <w:tcW w:w="19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42B85F35" w14:textId="77777777" w:rsidR="00A4063C" w:rsidRPr="00394ACF" w:rsidRDefault="00A4063C" w:rsidP="00A4063C">
            <w:pPr>
              <w:spacing w:after="0" w:line="276" w:lineRule="auto"/>
              <w:jc w:val="center"/>
              <w:rPr>
                <w:rFonts w:cs="Arial"/>
                <w:b/>
                <w:bCs/>
                <w:color w:val="000000"/>
                <w:sz w:val="16"/>
                <w:szCs w:val="16"/>
              </w:rPr>
            </w:pPr>
            <w:r w:rsidRPr="00394ACF">
              <w:rPr>
                <w:rFonts w:cs="Arial"/>
                <w:b/>
                <w:bCs/>
                <w:color w:val="000000"/>
                <w:sz w:val="16"/>
                <w:szCs w:val="16"/>
              </w:rPr>
              <w:t>Συγχρηματοδοτούμενο</w:t>
            </w:r>
          </w:p>
        </w:tc>
        <w:tc>
          <w:tcPr>
            <w:tcW w:w="1417" w:type="dxa"/>
            <w:vMerge/>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D5DCE4"/>
            <w:vAlign w:val="center"/>
            <w:hideMark/>
          </w:tcPr>
          <w:p w14:paraId="36293F68" w14:textId="77777777" w:rsidR="00A4063C" w:rsidRPr="00394ACF" w:rsidRDefault="00A4063C" w:rsidP="00A4063C">
            <w:pPr>
              <w:spacing w:after="0" w:line="276" w:lineRule="auto"/>
              <w:jc w:val="left"/>
              <w:rPr>
                <w:rFonts w:cs="Arial"/>
                <w:b/>
                <w:bCs/>
                <w:color w:val="000000"/>
                <w:sz w:val="16"/>
                <w:szCs w:val="16"/>
              </w:rPr>
            </w:pPr>
          </w:p>
        </w:tc>
      </w:tr>
      <w:tr w:rsidR="00A4063C" w:rsidRPr="00394ACF" w14:paraId="1BAE0514" w14:textId="77777777" w:rsidTr="00025781">
        <w:trPr>
          <w:cantSplit/>
          <w:trHeight w:val="210"/>
          <w:jc w:val="center"/>
        </w:trPr>
        <w:tc>
          <w:tcPr>
            <w:tcW w:w="1051" w:type="dxa"/>
            <w:tcBorders>
              <w:top w:val="single" w:sz="2" w:space="0" w:color="A6A6A6" w:themeColor="background1" w:themeShade="A6"/>
            </w:tcBorders>
            <w:shd w:val="clear" w:color="000000" w:fill="D9D9D9"/>
            <w:vAlign w:val="bottom"/>
            <w:hideMark/>
          </w:tcPr>
          <w:p w14:paraId="28E98326"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1001</w:t>
            </w:r>
          </w:p>
        </w:tc>
        <w:tc>
          <w:tcPr>
            <w:tcW w:w="2346" w:type="dxa"/>
            <w:tcBorders>
              <w:top w:val="single" w:sz="2" w:space="0" w:color="A6A6A6" w:themeColor="background1" w:themeShade="A6"/>
            </w:tcBorders>
            <w:shd w:val="clear" w:color="000000" w:fill="D9D9D9"/>
            <w:vAlign w:val="bottom"/>
            <w:hideMark/>
          </w:tcPr>
          <w:p w14:paraId="21591A54"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ΠΡΟΕΔΡΙΑ ΤΗΣ ΔΗΜΟΚΡΑΤΙΑΣ</w:t>
            </w:r>
          </w:p>
        </w:tc>
        <w:tc>
          <w:tcPr>
            <w:tcW w:w="1134" w:type="dxa"/>
            <w:tcBorders>
              <w:top w:val="single" w:sz="2" w:space="0" w:color="A6A6A6" w:themeColor="background1" w:themeShade="A6"/>
            </w:tcBorders>
            <w:shd w:val="clear" w:color="000000" w:fill="D9D9D9"/>
            <w:vAlign w:val="bottom"/>
            <w:hideMark/>
          </w:tcPr>
          <w:p w14:paraId="7253D3F7"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4.951 €</w:t>
            </w:r>
          </w:p>
        </w:tc>
        <w:tc>
          <w:tcPr>
            <w:tcW w:w="1134" w:type="dxa"/>
            <w:tcBorders>
              <w:top w:val="single" w:sz="2" w:space="0" w:color="A6A6A6" w:themeColor="background1" w:themeShade="A6"/>
            </w:tcBorders>
            <w:shd w:val="clear" w:color="000000" w:fill="D9D9D9"/>
            <w:vAlign w:val="bottom"/>
            <w:hideMark/>
          </w:tcPr>
          <w:p w14:paraId="14F7A790"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tcBorders>
              <w:top w:val="single" w:sz="2" w:space="0" w:color="A6A6A6" w:themeColor="background1" w:themeShade="A6"/>
            </w:tcBorders>
            <w:shd w:val="clear" w:color="000000" w:fill="D9D9D9"/>
            <w:vAlign w:val="bottom"/>
            <w:hideMark/>
          </w:tcPr>
          <w:p w14:paraId="7BE40A76"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417" w:type="dxa"/>
            <w:tcBorders>
              <w:top w:val="single" w:sz="2" w:space="0" w:color="A6A6A6" w:themeColor="background1" w:themeShade="A6"/>
            </w:tcBorders>
            <w:shd w:val="clear" w:color="000000" w:fill="D9D9D9"/>
            <w:vAlign w:val="bottom"/>
            <w:hideMark/>
          </w:tcPr>
          <w:p w14:paraId="7672582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4.951 €</w:t>
            </w:r>
          </w:p>
        </w:tc>
      </w:tr>
      <w:tr w:rsidR="00A4063C" w:rsidRPr="00394ACF" w14:paraId="66880046" w14:textId="77777777" w:rsidTr="00FE500C">
        <w:trPr>
          <w:cantSplit/>
          <w:trHeight w:val="420"/>
          <w:jc w:val="center"/>
        </w:trPr>
        <w:tc>
          <w:tcPr>
            <w:tcW w:w="1051" w:type="dxa"/>
            <w:shd w:val="clear" w:color="auto" w:fill="auto"/>
            <w:vAlign w:val="center"/>
            <w:hideMark/>
          </w:tcPr>
          <w:p w14:paraId="7E05896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01.1001.001</w:t>
            </w:r>
          </w:p>
        </w:tc>
        <w:tc>
          <w:tcPr>
            <w:tcW w:w="2346" w:type="dxa"/>
            <w:shd w:val="clear" w:color="auto" w:fill="auto"/>
            <w:vAlign w:val="center"/>
            <w:hideMark/>
          </w:tcPr>
          <w:p w14:paraId="357657D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ΔΙΟΙΚΗΤΙΚΗ ΚΑΙ ΕΠΙΤΕΛΙΚΗ ΥΠΟΣΤΗΡΙΞΗ ΤΗΣ ΠΡΟΕΔΡΙΑΣ ΤΗΣ ΔΗΜΟΚΡΑΤΙΑΣ</w:t>
            </w:r>
          </w:p>
        </w:tc>
        <w:tc>
          <w:tcPr>
            <w:tcW w:w="1134" w:type="dxa"/>
            <w:shd w:val="clear" w:color="auto" w:fill="auto"/>
            <w:vAlign w:val="center"/>
            <w:hideMark/>
          </w:tcPr>
          <w:p w14:paraId="1815B2E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4.951 €</w:t>
            </w:r>
          </w:p>
        </w:tc>
        <w:tc>
          <w:tcPr>
            <w:tcW w:w="1134" w:type="dxa"/>
            <w:shd w:val="clear" w:color="auto" w:fill="auto"/>
            <w:vAlign w:val="center"/>
            <w:hideMark/>
          </w:tcPr>
          <w:p w14:paraId="137CCD7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35E312A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634EF13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4.951 €</w:t>
            </w:r>
          </w:p>
        </w:tc>
      </w:tr>
      <w:tr w:rsidR="00A4063C" w:rsidRPr="00394ACF" w14:paraId="04D18F8B" w14:textId="77777777" w:rsidTr="00FE500C">
        <w:trPr>
          <w:cantSplit/>
          <w:trHeight w:val="210"/>
          <w:jc w:val="center"/>
        </w:trPr>
        <w:tc>
          <w:tcPr>
            <w:tcW w:w="1051" w:type="dxa"/>
            <w:shd w:val="clear" w:color="000000" w:fill="D9D9D9"/>
            <w:vAlign w:val="center"/>
            <w:hideMark/>
          </w:tcPr>
          <w:p w14:paraId="0A7F79F7"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1003</w:t>
            </w:r>
          </w:p>
        </w:tc>
        <w:tc>
          <w:tcPr>
            <w:tcW w:w="2346" w:type="dxa"/>
            <w:shd w:val="clear" w:color="000000" w:fill="D9D9D9"/>
            <w:vAlign w:val="center"/>
            <w:hideMark/>
          </w:tcPr>
          <w:p w14:paraId="5776A7DC"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ΒΟΥΛΗ ΤΩΝ ΕΛΛΗΝΩΝ</w:t>
            </w:r>
          </w:p>
        </w:tc>
        <w:tc>
          <w:tcPr>
            <w:tcW w:w="1134" w:type="dxa"/>
            <w:shd w:val="clear" w:color="000000" w:fill="D9D9D9"/>
            <w:vAlign w:val="center"/>
            <w:hideMark/>
          </w:tcPr>
          <w:p w14:paraId="7E12866C"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184.900 €</w:t>
            </w:r>
          </w:p>
        </w:tc>
        <w:tc>
          <w:tcPr>
            <w:tcW w:w="1134" w:type="dxa"/>
            <w:shd w:val="clear" w:color="000000" w:fill="D9D9D9"/>
            <w:vAlign w:val="center"/>
            <w:hideMark/>
          </w:tcPr>
          <w:p w14:paraId="27BBE5D5"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shd w:val="clear" w:color="000000" w:fill="D9D9D9"/>
            <w:vAlign w:val="center"/>
            <w:hideMark/>
          </w:tcPr>
          <w:p w14:paraId="6E6CD4F2"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2.000 €</w:t>
            </w:r>
          </w:p>
        </w:tc>
        <w:tc>
          <w:tcPr>
            <w:tcW w:w="1417" w:type="dxa"/>
            <w:shd w:val="clear" w:color="000000" w:fill="D9D9D9"/>
            <w:vAlign w:val="center"/>
            <w:hideMark/>
          </w:tcPr>
          <w:p w14:paraId="60324D6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186.900 €</w:t>
            </w:r>
          </w:p>
        </w:tc>
      </w:tr>
      <w:tr w:rsidR="00A4063C" w:rsidRPr="00394ACF" w14:paraId="6D755C4D" w14:textId="77777777" w:rsidTr="00FE500C">
        <w:trPr>
          <w:cantSplit/>
          <w:trHeight w:val="210"/>
          <w:jc w:val="center"/>
        </w:trPr>
        <w:tc>
          <w:tcPr>
            <w:tcW w:w="1051" w:type="dxa"/>
            <w:shd w:val="clear" w:color="auto" w:fill="auto"/>
            <w:vAlign w:val="center"/>
            <w:hideMark/>
          </w:tcPr>
          <w:p w14:paraId="767C706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01.1003.001</w:t>
            </w:r>
          </w:p>
        </w:tc>
        <w:tc>
          <w:tcPr>
            <w:tcW w:w="2346" w:type="dxa"/>
            <w:shd w:val="clear" w:color="auto" w:fill="auto"/>
            <w:vAlign w:val="center"/>
            <w:hideMark/>
          </w:tcPr>
          <w:p w14:paraId="1EF1265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ΚΟΙΝΟΒΟΥΛΕΥΤΙΚΟ ΕΡΓΟ</w:t>
            </w:r>
          </w:p>
        </w:tc>
        <w:tc>
          <w:tcPr>
            <w:tcW w:w="1134" w:type="dxa"/>
            <w:shd w:val="clear" w:color="auto" w:fill="auto"/>
            <w:vAlign w:val="center"/>
            <w:hideMark/>
          </w:tcPr>
          <w:p w14:paraId="24599CD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184.900 €</w:t>
            </w:r>
          </w:p>
        </w:tc>
        <w:tc>
          <w:tcPr>
            <w:tcW w:w="1134" w:type="dxa"/>
            <w:shd w:val="clear" w:color="auto" w:fill="auto"/>
            <w:vAlign w:val="center"/>
            <w:hideMark/>
          </w:tcPr>
          <w:p w14:paraId="1CE3DDB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6CBEADD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2.000 €</w:t>
            </w:r>
          </w:p>
        </w:tc>
        <w:tc>
          <w:tcPr>
            <w:tcW w:w="1417" w:type="dxa"/>
            <w:shd w:val="clear" w:color="auto" w:fill="auto"/>
            <w:vAlign w:val="center"/>
            <w:hideMark/>
          </w:tcPr>
          <w:p w14:paraId="6A201FE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186.900 €</w:t>
            </w:r>
          </w:p>
        </w:tc>
      </w:tr>
      <w:tr w:rsidR="00A4063C" w:rsidRPr="00394ACF" w14:paraId="743CA33B" w14:textId="77777777" w:rsidTr="00FE500C">
        <w:trPr>
          <w:cantSplit/>
          <w:trHeight w:val="210"/>
          <w:jc w:val="center"/>
        </w:trPr>
        <w:tc>
          <w:tcPr>
            <w:tcW w:w="1051" w:type="dxa"/>
            <w:shd w:val="clear" w:color="000000" w:fill="D9D9D9"/>
            <w:vAlign w:val="center"/>
            <w:hideMark/>
          </w:tcPr>
          <w:p w14:paraId="4A62DF52"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1004</w:t>
            </w:r>
          </w:p>
        </w:tc>
        <w:tc>
          <w:tcPr>
            <w:tcW w:w="2346" w:type="dxa"/>
            <w:shd w:val="clear" w:color="000000" w:fill="D9D9D9"/>
            <w:vAlign w:val="center"/>
            <w:hideMark/>
          </w:tcPr>
          <w:p w14:paraId="4E1E359D"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ΠΡΟΕΔΡΙΑ ΤΗΣ ΚΥΒΕΡΝΗΣΗΣ</w:t>
            </w:r>
          </w:p>
        </w:tc>
        <w:tc>
          <w:tcPr>
            <w:tcW w:w="1134" w:type="dxa"/>
            <w:shd w:val="clear" w:color="000000" w:fill="D9D9D9"/>
            <w:vAlign w:val="center"/>
            <w:hideMark/>
          </w:tcPr>
          <w:p w14:paraId="77FBA64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39.905 €</w:t>
            </w:r>
          </w:p>
        </w:tc>
        <w:tc>
          <w:tcPr>
            <w:tcW w:w="1134" w:type="dxa"/>
            <w:shd w:val="clear" w:color="000000" w:fill="D9D9D9"/>
            <w:vAlign w:val="center"/>
            <w:hideMark/>
          </w:tcPr>
          <w:p w14:paraId="0C27786C"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5.000 €</w:t>
            </w:r>
          </w:p>
        </w:tc>
        <w:tc>
          <w:tcPr>
            <w:tcW w:w="1985" w:type="dxa"/>
            <w:shd w:val="clear" w:color="000000" w:fill="D9D9D9"/>
            <w:vAlign w:val="center"/>
            <w:hideMark/>
          </w:tcPr>
          <w:p w14:paraId="61436D5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1.000 €</w:t>
            </w:r>
          </w:p>
        </w:tc>
        <w:tc>
          <w:tcPr>
            <w:tcW w:w="1417" w:type="dxa"/>
            <w:shd w:val="clear" w:color="000000" w:fill="D9D9D9"/>
            <w:vAlign w:val="center"/>
            <w:hideMark/>
          </w:tcPr>
          <w:p w14:paraId="72C7C0CE"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45.905 €</w:t>
            </w:r>
          </w:p>
        </w:tc>
      </w:tr>
      <w:tr w:rsidR="00A4063C" w:rsidRPr="00394ACF" w14:paraId="65E625FB" w14:textId="77777777" w:rsidTr="00FE500C">
        <w:trPr>
          <w:cantSplit/>
          <w:trHeight w:val="420"/>
          <w:jc w:val="center"/>
        </w:trPr>
        <w:tc>
          <w:tcPr>
            <w:tcW w:w="1051" w:type="dxa"/>
            <w:shd w:val="clear" w:color="auto" w:fill="auto"/>
            <w:vAlign w:val="center"/>
            <w:hideMark/>
          </w:tcPr>
          <w:p w14:paraId="554F0D2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01.1004.001</w:t>
            </w:r>
          </w:p>
        </w:tc>
        <w:tc>
          <w:tcPr>
            <w:tcW w:w="2346" w:type="dxa"/>
            <w:shd w:val="clear" w:color="auto" w:fill="auto"/>
            <w:vAlign w:val="center"/>
            <w:hideMark/>
          </w:tcPr>
          <w:p w14:paraId="54B7D78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ΠΡΟΕΔΡΙΑΣ ΤΗΣ ΚΥΒΕΡΝΗΣΗΣ</w:t>
            </w:r>
          </w:p>
        </w:tc>
        <w:tc>
          <w:tcPr>
            <w:tcW w:w="1134" w:type="dxa"/>
            <w:shd w:val="clear" w:color="auto" w:fill="auto"/>
            <w:vAlign w:val="center"/>
            <w:hideMark/>
          </w:tcPr>
          <w:p w14:paraId="2BD4FBE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6.566 €</w:t>
            </w:r>
          </w:p>
        </w:tc>
        <w:tc>
          <w:tcPr>
            <w:tcW w:w="1134" w:type="dxa"/>
            <w:shd w:val="clear" w:color="auto" w:fill="auto"/>
            <w:vAlign w:val="center"/>
            <w:hideMark/>
          </w:tcPr>
          <w:p w14:paraId="24D1029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3.500 €</w:t>
            </w:r>
          </w:p>
        </w:tc>
        <w:tc>
          <w:tcPr>
            <w:tcW w:w="1985" w:type="dxa"/>
            <w:shd w:val="clear" w:color="auto" w:fill="auto"/>
            <w:vAlign w:val="center"/>
            <w:hideMark/>
          </w:tcPr>
          <w:p w14:paraId="015E539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1.000 €</w:t>
            </w:r>
          </w:p>
        </w:tc>
        <w:tc>
          <w:tcPr>
            <w:tcW w:w="1417" w:type="dxa"/>
            <w:shd w:val="clear" w:color="auto" w:fill="auto"/>
            <w:vAlign w:val="center"/>
            <w:hideMark/>
          </w:tcPr>
          <w:p w14:paraId="1AB9D32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11.066 €</w:t>
            </w:r>
          </w:p>
        </w:tc>
      </w:tr>
      <w:tr w:rsidR="00A4063C" w:rsidRPr="00394ACF" w14:paraId="212F6D89" w14:textId="77777777" w:rsidTr="00FE500C">
        <w:trPr>
          <w:cantSplit/>
          <w:trHeight w:val="210"/>
          <w:jc w:val="center"/>
        </w:trPr>
        <w:tc>
          <w:tcPr>
            <w:tcW w:w="1051" w:type="dxa"/>
            <w:shd w:val="clear" w:color="auto" w:fill="auto"/>
            <w:vAlign w:val="center"/>
            <w:hideMark/>
          </w:tcPr>
          <w:p w14:paraId="494BF6F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01.1004.002</w:t>
            </w:r>
          </w:p>
        </w:tc>
        <w:tc>
          <w:tcPr>
            <w:tcW w:w="2346" w:type="dxa"/>
            <w:shd w:val="clear" w:color="auto" w:fill="auto"/>
            <w:vAlign w:val="center"/>
            <w:hideMark/>
          </w:tcPr>
          <w:p w14:paraId="024E761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ΣΥΝΤΟΝΙΣΜΟΣ ΚΥΒΕΡΝΗΤΙΚΟΥ ΕΡΓΟΥ</w:t>
            </w:r>
          </w:p>
        </w:tc>
        <w:tc>
          <w:tcPr>
            <w:tcW w:w="1134" w:type="dxa"/>
            <w:shd w:val="clear" w:color="auto" w:fill="auto"/>
            <w:vAlign w:val="center"/>
            <w:hideMark/>
          </w:tcPr>
          <w:p w14:paraId="17151CB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5.013 €</w:t>
            </w:r>
          </w:p>
        </w:tc>
        <w:tc>
          <w:tcPr>
            <w:tcW w:w="1134" w:type="dxa"/>
            <w:shd w:val="clear" w:color="auto" w:fill="auto"/>
            <w:vAlign w:val="center"/>
            <w:hideMark/>
          </w:tcPr>
          <w:p w14:paraId="1FFB291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01653AD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238E326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5.013 €</w:t>
            </w:r>
          </w:p>
        </w:tc>
      </w:tr>
      <w:tr w:rsidR="00A4063C" w:rsidRPr="00394ACF" w14:paraId="1B2FEB3C" w14:textId="77777777" w:rsidTr="00FE500C">
        <w:trPr>
          <w:cantSplit/>
          <w:trHeight w:val="420"/>
          <w:jc w:val="center"/>
        </w:trPr>
        <w:tc>
          <w:tcPr>
            <w:tcW w:w="1051" w:type="dxa"/>
            <w:shd w:val="clear" w:color="auto" w:fill="auto"/>
            <w:vAlign w:val="center"/>
            <w:hideMark/>
          </w:tcPr>
          <w:p w14:paraId="3389EBE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01.1004.003</w:t>
            </w:r>
          </w:p>
        </w:tc>
        <w:tc>
          <w:tcPr>
            <w:tcW w:w="2346" w:type="dxa"/>
            <w:shd w:val="clear" w:color="auto" w:fill="auto"/>
            <w:vAlign w:val="center"/>
            <w:hideMark/>
          </w:tcPr>
          <w:p w14:paraId="4D2B2DC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ΣΥΝΟΧΗ ΚΑΙ ΣΥΝΤΟΝΙΣΜΟΣ ΝΟΜΟΠΑΡΑΣΚΕΥΑΣΤΙΚΗΣ ΔΙΑΔΙΚΑΣΙΑΣ</w:t>
            </w:r>
          </w:p>
        </w:tc>
        <w:tc>
          <w:tcPr>
            <w:tcW w:w="1134" w:type="dxa"/>
            <w:shd w:val="clear" w:color="auto" w:fill="auto"/>
            <w:vAlign w:val="center"/>
            <w:hideMark/>
          </w:tcPr>
          <w:p w14:paraId="0C8735D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10.228 €</w:t>
            </w:r>
          </w:p>
        </w:tc>
        <w:tc>
          <w:tcPr>
            <w:tcW w:w="1134" w:type="dxa"/>
            <w:shd w:val="clear" w:color="auto" w:fill="auto"/>
            <w:vAlign w:val="center"/>
            <w:hideMark/>
          </w:tcPr>
          <w:p w14:paraId="3A2970D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1.500 €</w:t>
            </w:r>
          </w:p>
        </w:tc>
        <w:tc>
          <w:tcPr>
            <w:tcW w:w="1985" w:type="dxa"/>
            <w:shd w:val="clear" w:color="auto" w:fill="auto"/>
            <w:vAlign w:val="center"/>
            <w:hideMark/>
          </w:tcPr>
          <w:p w14:paraId="62DACBF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7ED0614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11.728 €</w:t>
            </w:r>
          </w:p>
        </w:tc>
      </w:tr>
      <w:tr w:rsidR="00A4063C" w:rsidRPr="00394ACF" w14:paraId="431E7FB3" w14:textId="77777777" w:rsidTr="00FE500C">
        <w:trPr>
          <w:cantSplit/>
          <w:trHeight w:val="420"/>
          <w:jc w:val="center"/>
        </w:trPr>
        <w:tc>
          <w:tcPr>
            <w:tcW w:w="1051" w:type="dxa"/>
            <w:shd w:val="clear" w:color="auto" w:fill="auto"/>
            <w:vAlign w:val="center"/>
            <w:hideMark/>
          </w:tcPr>
          <w:p w14:paraId="1860109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01.1004.004</w:t>
            </w:r>
          </w:p>
        </w:tc>
        <w:tc>
          <w:tcPr>
            <w:tcW w:w="2346" w:type="dxa"/>
            <w:shd w:val="clear" w:color="auto" w:fill="auto"/>
            <w:vAlign w:val="center"/>
            <w:hideMark/>
          </w:tcPr>
          <w:p w14:paraId="38689E9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ΣΥΝΤΟΝΙΣΜΟΣ ΚΥΒΕΡΝΗΤΙΚΩΝ ΔΡΑΣΕΩΝ ΣΕ ΘΕΜΑΤΑ ΕΘΝΙΚΗΣ ΑΣΦΑΛΕΙΑΣ</w:t>
            </w:r>
          </w:p>
        </w:tc>
        <w:tc>
          <w:tcPr>
            <w:tcW w:w="1134" w:type="dxa"/>
            <w:shd w:val="clear" w:color="auto" w:fill="auto"/>
            <w:vAlign w:val="center"/>
            <w:hideMark/>
          </w:tcPr>
          <w:p w14:paraId="2098A96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215 €</w:t>
            </w:r>
          </w:p>
        </w:tc>
        <w:tc>
          <w:tcPr>
            <w:tcW w:w="1134" w:type="dxa"/>
            <w:shd w:val="clear" w:color="auto" w:fill="auto"/>
            <w:vAlign w:val="center"/>
            <w:hideMark/>
          </w:tcPr>
          <w:p w14:paraId="1BA77DC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03911F5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716B796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215 €</w:t>
            </w:r>
          </w:p>
        </w:tc>
      </w:tr>
      <w:tr w:rsidR="00A4063C" w:rsidRPr="00394ACF" w14:paraId="6C513716" w14:textId="77777777" w:rsidTr="00FE500C">
        <w:trPr>
          <w:cantSplit/>
          <w:trHeight w:val="210"/>
          <w:jc w:val="center"/>
        </w:trPr>
        <w:tc>
          <w:tcPr>
            <w:tcW w:w="1051" w:type="dxa"/>
            <w:shd w:val="clear" w:color="auto" w:fill="auto"/>
            <w:vAlign w:val="center"/>
            <w:hideMark/>
          </w:tcPr>
          <w:p w14:paraId="0415D0E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08.1004.001</w:t>
            </w:r>
          </w:p>
        </w:tc>
        <w:tc>
          <w:tcPr>
            <w:tcW w:w="2346" w:type="dxa"/>
            <w:shd w:val="clear" w:color="auto" w:fill="auto"/>
            <w:vAlign w:val="center"/>
            <w:hideMark/>
          </w:tcPr>
          <w:p w14:paraId="53FC878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ΕΠΙΚΟΙΝΩΝΙΑ ΚΑΙ ΕΝΗΜΕΡΩΣΗ</w:t>
            </w:r>
          </w:p>
        </w:tc>
        <w:tc>
          <w:tcPr>
            <w:tcW w:w="1134" w:type="dxa"/>
            <w:shd w:val="clear" w:color="auto" w:fill="auto"/>
            <w:vAlign w:val="center"/>
            <w:hideMark/>
          </w:tcPr>
          <w:p w14:paraId="19E772A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17.884 €</w:t>
            </w:r>
          </w:p>
        </w:tc>
        <w:tc>
          <w:tcPr>
            <w:tcW w:w="1134" w:type="dxa"/>
            <w:shd w:val="clear" w:color="auto" w:fill="auto"/>
            <w:vAlign w:val="center"/>
            <w:hideMark/>
          </w:tcPr>
          <w:p w14:paraId="5F261DC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54511C1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6B0163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17.884 €</w:t>
            </w:r>
          </w:p>
        </w:tc>
      </w:tr>
      <w:tr w:rsidR="00A4063C" w:rsidRPr="00394ACF" w14:paraId="01D363B5" w14:textId="77777777" w:rsidTr="00FE500C">
        <w:trPr>
          <w:cantSplit/>
          <w:trHeight w:val="210"/>
          <w:jc w:val="center"/>
        </w:trPr>
        <w:tc>
          <w:tcPr>
            <w:tcW w:w="1051" w:type="dxa"/>
            <w:shd w:val="clear" w:color="000000" w:fill="D9D9D9"/>
            <w:vAlign w:val="center"/>
            <w:hideMark/>
          </w:tcPr>
          <w:p w14:paraId="02BB318B"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1007</w:t>
            </w:r>
          </w:p>
        </w:tc>
        <w:tc>
          <w:tcPr>
            <w:tcW w:w="2346" w:type="dxa"/>
            <w:shd w:val="clear" w:color="000000" w:fill="D9D9D9"/>
            <w:vAlign w:val="center"/>
            <w:hideMark/>
          </w:tcPr>
          <w:p w14:paraId="6268605C"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ΕΣΩΤΕΡΙΚΩΝ</w:t>
            </w:r>
          </w:p>
        </w:tc>
        <w:tc>
          <w:tcPr>
            <w:tcW w:w="1134" w:type="dxa"/>
            <w:shd w:val="clear" w:color="000000" w:fill="D9D9D9"/>
            <w:vAlign w:val="center"/>
            <w:hideMark/>
          </w:tcPr>
          <w:p w14:paraId="5945927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3.731.668 €</w:t>
            </w:r>
          </w:p>
        </w:tc>
        <w:tc>
          <w:tcPr>
            <w:tcW w:w="1134" w:type="dxa"/>
            <w:shd w:val="clear" w:color="000000" w:fill="D9D9D9"/>
            <w:vAlign w:val="center"/>
            <w:hideMark/>
          </w:tcPr>
          <w:p w14:paraId="5D110FC3"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358.000 €</w:t>
            </w:r>
          </w:p>
        </w:tc>
        <w:tc>
          <w:tcPr>
            <w:tcW w:w="1985" w:type="dxa"/>
            <w:shd w:val="clear" w:color="000000" w:fill="D9D9D9"/>
            <w:vAlign w:val="center"/>
            <w:hideMark/>
          </w:tcPr>
          <w:p w14:paraId="7296839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74.000 €</w:t>
            </w:r>
          </w:p>
        </w:tc>
        <w:tc>
          <w:tcPr>
            <w:tcW w:w="1417" w:type="dxa"/>
            <w:shd w:val="clear" w:color="000000" w:fill="D9D9D9"/>
            <w:vAlign w:val="center"/>
            <w:hideMark/>
          </w:tcPr>
          <w:p w14:paraId="1342B982"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4.163.668 €</w:t>
            </w:r>
          </w:p>
        </w:tc>
      </w:tr>
      <w:tr w:rsidR="00A4063C" w:rsidRPr="00394ACF" w14:paraId="5CEE2D74" w14:textId="77777777" w:rsidTr="00FE500C">
        <w:trPr>
          <w:cantSplit/>
          <w:trHeight w:val="420"/>
          <w:jc w:val="center"/>
        </w:trPr>
        <w:tc>
          <w:tcPr>
            <w:tcW w:w="1051" w:type="dxa"/>
            <w:shd w:val="clear" w:color="auto" w:fill="auto"/>
            <w:vAlign w:val="center"/>
            <w:hideMark/>
          </w:tcPr>
          <w:p w14:paraId="25A4C21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01.1007.001</w:t>
            </w:r>
          </w:p>
        </w:tc>
        <w:tc>
          <w:tcPr>
            <w:tcW w:w="2346" w:type="dxa"/>
            <w:shd w:val="clear" w:color="auto" w:fill="auto"/>
            <w:vAlign w:val="center"/>
            <w:hideMark/>
          </w:tcPr>
          <w:p w14:paraId="3CB5B93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ΕΣΩΤΕΡΙΚΩΝ</w:t>
            </w:r>
          </w:p>
        </w:tc>
        <w:tc>
          <w:tcPr>
            <w:tcW w:w="1134" w:type="dxa"/>
            <w:shd w:val="clear" w:color="auto" w:fill="auto"/>
            <w:vAlign w:val="center"/>
            <w:hideMark/>
          </w:tcPr>
          <w:p w14:paraId="228EE51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46.751 €</w:t>
            </w:r>
          </w:p>
        </w:tc>
        <w:tc>
          <w:tcPr>
            <w:tcW w:w="1134" w:type="dxa"/>
            <w:shd w:val="clear" w:color="auto" w:fill="auto"/>
            <w:vAlign w:val="center"/>
            <w:hideMark/>
          </w:tcPr>
          <w:p w14:paraId="5EF898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1.000 €</w:t>
            </w:r>
          </w:p>
        </w:tc>
        <w:tc>
          <w:tcPr>
            <w:tcW w:w="1985" w:type="dxa"/>
            <w:shd w:val="clear" w:color="auto" w:fill="auto"/>
            <w:vAlign w:val="center"/>
            <w:hideMark/>
          </w:tcPr>
          <w:p w14:paraId="02106F1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1.000 €</w:t>
            </w:r>
          </w:p>
        </w:tc>
        <w:tc>
          <w:tcPr>
            <w:tcW w:w="1417" w:type="dxa"/>
            <w:shd w:val="clear" w:color="auto" w:fill="auto"/>
            <w:vAlign w:val="center"/>
            <w:hideMark/>
          </w:tcPr>
          <w:p w14:paraId="4B82331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48.751 €</w:t>
            </w:r>
          </w:p>
        </w:tc>
      </w:tr>
      <w:tr w:rsidR="00A4063C" w:rsidRPr="00394ACF" w14:paraId="4E2713E4" w14:textId="77777777" w:rsidTr="00FE500C">
        <w:trPr>
          <w:cantSplit/>
          <w:trHeight w:val="420"/>
          <w:jc w:val="center"/>
        </w:trPr>
        <w:tc>
          <w:tcPr>
            <w:tcW w:w="1051" w:type="dxa"/>
            <w:shd w:val="clear" w:color="auto" w:fill="auto"/>
            <w:vAlign w:val="center"/>
            <w:hideMark/>
          </w:tcPr>
          <w:p w14:paraId="3852ABE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01.1007.002</w:t>
            </w:r>
          </w:p>
        </w:tc>
        <w:tc>
          <w:tcPr>
            <w:tcW w:w="2346" w:type="dxa"/>
            <w:shd w:val="clear" w:color="auto" w:fill="auto"/>
            <w:vAlign w:val="center"/>
            <w:hideMark/>
          </w:tcPr>
          <w:p w14:paraId="5699CB4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ΣΧΕΔΙΑΣΜΟΣ ΚΑΙ ΥΛΟΠΟΙΗΣΗ ΠΟΛΙΤΙΚΩΝ ΙΘΑΓΕΝΕΙΑΣ</w:t>
            </w:r>
          </w:p>
        </w:tc>
        <w:tc>
          <w:tcPr>
            <w:tcW w:w="1134" w:type="dxa"/>
            <w:shd w:val="clear" w:color="auto" w:fill="auto"/>
            <w:vAlign w:val="center"/>
            <w:hideMark/>
          </w:tcPr>
          <w:p w14:paraId="6518677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14.587 €</w:t>
            </w:r>
          </w:p>
        </w:tc>
        <w:tc>
          <w:tcPr>
            <w:tcW w:w="1134" w:type="dxa"/>
            <w:shd w:val="clear" w:color="auto" w:fill="auto"/>
            <w:vAlign w:val="center"/>
            <w:hideMark/>
          </w:tcPr>
          <w:p w14:paraId="74471A8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66D25B8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3.334 €</w:t>
            </w:r>
          </w:p>
        </w:tc>
        <w:tc>
          <w:tcPr>
            <w:tcW w:w="1417" w:type="dxa"/>
            <w:shd w:val="clear" w:color="auto" w:fill="auto"/>
            <w:vAlign w:val="center"/>
            <w:hideMark/>
          </w:tcPr>
          <w:p w14:paraId="2F0E2ED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17.921 €</w:t>
            </w:r>
          </w:p>
        </w:tc>
      </w:tr>
      <w:tr w:rsidR="00A4063C" w:rsidRPr="00394ACF" w14:paraId="30C3140B" w14:textId="77777777" w:rsidTr="00FE500C">
        <w:trPr>
          <w:cantSplit/>
          <w:trHeight w:val="420"/>
          <w:jc w:val="center"/>
        </w:trPr>
        <w:tc>
          <w:tcPr>
            <w:tcW w:w="1051" w:type="dxa"/>
            <w:shd w:val="clear" w:color="auto" w:fill="auto"/>
            <w:vAlign w:val="center"/>
            <w:hideMark/>
          </w:tcPr>
          <w:p w14:paraId="4C32F75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01.1007.003</w:t>
            </w:r>
          </w:p>
        </w:tc>
        <w:tc>
          <w:tcPr>
            <w:tcW w:w="2346" w:type="dxa"/>
            <w:shd w:val="clear" w:color="auto" w:fill="auto"/>
            <w:vAlign w:val="center"/>
            <w:hideMark/>
          </w:tcPr>
          <w:p w14:paraId="5A483C9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ΑΝΘΡΩΠΙΝΟ ΔΥΝΑΜΙΚΟ ΔΗΜΟΣΙΟΥ ΤΟΜΕΑ ΚΑΙ ΕΚΣΥ</w:t>
            </w:r>
            <w:r>
              <w:rPr>
                <w:rFonts w:cs="Arial"/>
                <w:color w:val="000000"/>
                <w:sz w:val="15"/>
                <w:szCs w:val="15"/>
              </w:rPr>
              <w:t>Γ</w:t>
            </w:r>
            <w:r w:rsidRPr="00394ACF">
              <w:rPr>
                <w:rFonts w:cs="Arial"/>
                <w:color w:val="000000"/>
                <w:sz w:val="15"/>
                <w:szCs w:val="15"/>
              </w:rPr>
              <w:t>ΧΡΟΝΙΣΜΟΣ ΔΗΜΟΣΙΩΝ ΟΡΓΑΝΩΣΕΩΝ</w:t>
            </w:r>
          </w:p>
        </w:tc>
        <w:tc>
          <w:tcPr>
            <w:tcW w:w="1134" w:type="dxa"/>
            <w:shd w:val="clear" w:color="auto" w:fill="auto"/>
            <w:vAlign w:val="center"/>
            <w:hideMark/>
          </w:tcPr>
          <w:p w14:paraId="204A5C1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14.161 €</w:t>
            </w:r>
          </w:p>
        </w:tc>
        <w:tc>
          <w:tcPr>
            <w:tcW w:w="1134" w:type="dxa"/>
            <w:shd w:val="clear" w:color="auto" w:fill="auto"/>
            <w:vAlign w:val="center"/>
            <w:hideMark/>
          </w:tcPr>
          <w:p w14:paraId="5FBB4D9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7.999 €</w:t>
            </w:r>
          </w:p>
        </w:tc>
        <w:tc>
          <w:tcPr>
            <w:tcW w:w="1985" w:type="dxa"/>
            <w:shd w:val="clear" w:color="auto" w:fill="auto"/>
            <w:vAlign w:val="center"/>
            <w:hideMark/>
          </w:tcPr>
          <w:p w14:paraId="2F9BBFD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466 €</w:t>
            </w:r>
          </w:p>
        </w:tc>
        <w:tc>
          <w:tcPr>
            <w:tcW w:w="1417" w:type="dxa"/>
            <w:shd w:val="clear" w:color="auto" w:fill="auto"/>
            <w:vAlign w:val="center"/>
            <w:hideMark/>
          </w:tcPr>
          <w:p w14:paraId="051C7BB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22.626 €</w:t>
            </w:r>
          </w:p>
        </w:tc>
      </w:tr>
      <w:tr w:rsidR="00A4063C" w:rsidRPr="00394ACF" w14:paraId="740402FE" w14:textId="77777777" w:rsidTr="00FE500C">
        <w:trPr>
          <w:cantSplit/>
          <w:trHeight w:val="210"/>
          <w:jc w:val="center"/>
        </w:trPr>
        <w:tc>
          <w:tcPr>
            <w:tcW w:w="1051" w:type="dxa"/>
            <w:shd w:val="clear" w:color="auto" w:fill="auto"/>
            <w:vAlign w:val="center"/>
            <w:hideMark/>
          </w:tcPr>
          <w:p w14:paraId="46E4A77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01.1007.004</w:t>
            </w:r>
          </w:p>
        </w:tc>
        <w:tc>
          <w:tcPr>
            <w:tcW w:w="2346" w:type="dxa"/>
            <w:shd w:val="clear" w:color="auto" w:fill="auto"/>
            <w:vAlign w:val="center"/>
            <w:hideMark/>
          </w:tcPr>
          <w:p w14:paraId="4CF84B6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ΕΠΙΛΟΓΗ ΠΡΟΣΩΠΙΚΟΥ ΣΤΟ ΔΗΜΟΣΙΟ ΤΟΜΕΑ</w:t>
            </w:r>
          </w:p>
        </w:tc>
        <w:tc>
          <w:tcPr>
            <w:tcW w:w="1134" w:type="dxa"/>
            <w:shd w:val="clear" w:color="auto" w:fill="auto"/>
            <w:vAlign w:val="center"/>
            <w:hideMark/>
          </w:tcPr>
          <w:p w14:paraId="6C72895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17.604 €</w:t>
            </w:r>
          </w:p>
        </w:tc>
        <w:tc>
          <w:tcPr>
            <w:tcW w:w="1134" w:type="dxa"/>
            <w:shd w:val="clear" w:color="auto" w:fill="auto"/>
            <w:vAlign w:val="center"/>
            <w:hideMark/>
          </w:tcPr>
          <w:p w14:paraId="010B81E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2.803 €</w:t>
            </w:r>
          </w:p>
        </w:tc>
        <w:tc>
          <w:tcPr>
            <w:tcW w:w="1985" w:type="dxa"/>
            <w:shd w:val="clear" w:color="auto" w:fill="auto"/>
            <w:vAlign w:val="center"/>
            <w:hideMark/>
          </w:tcPr>
          <w:p w14:paraId="318471A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1083C7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20.407 €</w:t>
            </w:r>
          </w:p>
        </w:tc>
      </w:tr>
      <w:tr w:rsidR="00A4063C" w:rsidRPr="00394ACF" w14:paraId="5BFFC47F" w14:textId="77777777" w:rsidTr="00FE500C">
        <w:trPr>
          <w:cantSplit/>
          <w:trHeight w:val="420"/>
          <w:jc w:val="center"/>
        </w:trPr>
        <w:tc>
          <w:tcPr>
            <w:tcW w:w="1051" w:type="dxa"/>
            <w:shd w:val="clear" w:color="auto" w:fill="auto"/>
            <w:vAlign w:val="center"/>
            <w:hideMark/>
          </w:tcPr>
          <w:p w14:paraId="58F3D27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01.1007.005</w:t>
            </w:r>
          </w:p>
        </w:tc>
        <w:tc>
          <w:tcPr>
            <w:tcW w:w="2346" w:type="dxa"/>
            <w:shd w:val="clear" w:color="auto" w:fill="auto"/>
            <w:vAlign w:val="center"/>
            <w:hideMark/>
          </w:tcPr>
          <w:p w14:paraId="1CDF0E4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ΑΝΑΠΤΥΞΗ ΚΑΙ ΕΝΔΥΝΑΜΩΣΗ ΑΝΘΡΩΠΙΝΟΥ ΔΥΝΑΜΙΚΟΥ ΔΗΜΟΣΙΟΥ ΤΟΜΕΑ</w:t>
            </w:r>
          </w:p>
        </w:tc>
        <w:tc>
          <w:tcPr>
            <w:tcW w:w="1134" w:type="dxa"/>
            <w:shd w:val="clear" w:color="auto" w:fill="auto"/>
            <w:vAlign w:val="center"/>
            <w:hideMark/>
          </w:tcPr>
          <w:p w14:paraId="34349AB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8.896 €</w:t>
            </w:r>
          </w:p>
        </w:tc>
        <w:tc>
          <w:tcPr>
            <w:tcW w:w="1134" w:type="dxa"/>
            <w:shd w:val="clear" w:color="auto" w:fill="auto"/>
            <w:vAlign w:val="center"/>
            <w:hideMark/>
          </w:tcPr>
          <w:p w14:paraId="611FD97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7.000 €</w:t>
            </w:r>
          </w:p>
        </w:tc>
        <w:tc>
          <w:tcPr>
            <w:tcW w:w="1985" w:type="dxa"/>
            <w:shd w:val="clear" w:color="auto" w:fill="auto"/>
            <w:vAlign w:val="center"/>
            <w:hideMark/>
          </w:tcPr>
          <w:p w14:paraId="1DE6573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4.000 €</w:t>
            </w:r>
          </w:p>
        </w:tc>
        <w:tc>
          <w:tcPr>
            <w:tcW w:w="1417" w:type="dxa"/>
            <w:shd w:val="clear" w:color="auto" w:fill="auto"/>
            <w:vAlign w:val="center"/>
            <w:hideMark/>
          </w:tcPr>
          <w:p w14:paraId="28ABA5A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19.897 €</w:t>
            </w:r>
          </w:p>
        </w:tc>
      </w:tr>
      <w:tr w:rsidR="00A4063C" w:rsidRPr="00394ACF" w14:paraId="632759F7" w14:textId="77777777" w:rsidTr="00FE500C">
        <w:trPr>
          <w:cantSplit/>
          <w:trHeight w:val="210"/>
          <w:jc w:val="center"/>
        </w:trPr>
        <w:tc>
          <w:tcPr>
            <w:tcW w:w="1051" w:type="dxa"/>
            <w:shd w:val="clear" w:color="auto" w:fill="auto"/>
            <w:vAlign w:val="center"/>
            <w:hideMark/>
          </w:tcPr>
          <w:p w14:paraId="7E22367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01.1007.006</w:t>
            </w:r>
          </w:p>
        </w:tc>
        <w:tc>
          <w:tcPr>
            <w:tcW w:w="2346" w:type="dxa"/>
            <w:shd w:val="clear" w:color="auto" w:fill="auto"/>
            <w:vAlign w:val="center"/>
            <w:hideMark/>
          </w:tcPr>
          <w:p w14:paraId="0191715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ΔΙΑΦΑΝΕΙΑ ΚΑΙ ΣΧΕΣΕΙΣ ΜΕ ΤΟΝ ΠΟΛΙΤΗ</w:t>
            </w:r>
          </w:p>
        </w:tc>
        <w:tc>
          <w:tcPr>
            <w:tcW w:w="1134" w:type="dxa"/>
            <w:shd w:val="clear" w:color="auto" w:fill="auto"/>
            <w:vAlign w:val="center"/>
            <w:hideMark/>
          </w:tcPr>
          <w:p w14:paraId="43B6E4B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8.089 €</w:t>
            </w:r>
          </w:p>
        </w:tc>
        <w:tc>
          <w:tcPr>
            <w:tcW w:w="1134" w:type="dxa"/>
            <w:shd w:val="clear" w:color="auto" w:fill="auto"/>
            <w:vAlign w:val="center"/>
            <w:hideMark/>
          </w:tcPr>
          <w:p w14:paraId="5A70F17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39ECFF6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200 €</w:t>
            </w:r>
          </w:p>
        </w:tc>
        <w:tc>
          <w:tcPr>
            <w:tcW w:w="1417" w:type="dxa"/>
            <w:shd w:val="clear" w:color="auto" w:fill="auto"/>
            <w:vAlign w:val="center"/>
            <w:hideMark/>
          </w:tcPr>
          <w:p w14:paraId="540F1F0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8.289 €</w:t>
            </w:r>
          </w:p>
        </w:tc>
      </w:tr>
      <w:tr w:rsidR="00A4063C" w:rsidRPr="00394ACF" w14:paraId="1701539A" w14:textId="77777777" w:rsidTr="00FE500C">
        <w:trPr>
          <w:cantSplit/>
          <w:trHeight w:val="210"/>
          <w:jc w:val="center"/>
        </w:trPr>
        <w:tc>
          <w:tcPr>
            <w:tcW w:w="1051" w:type="dxa"/>
            <w:shd w:val="clear" w:color="auto" w:fill="auto"/>
            <w:vAlign w:val="center"/>
            <w:hideMark/>
          </w:tcPr>
          <w:p w14:paraId="77B3389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01.1007.007</w:t>
            </w:r>
          </w:p>
        </w:tc>
        <w:tc>
          <w:tcPr>
            <w:tcW w:w="2346" w:type="dxa"/>
            <w:shd w:val="clear" w:color="auto" w:fill="auto"/>
            <w:vAlign w:val="center"/>
            <w:hideMark/>
          </w:tcPr>
          <w:p w14:paraId="318DD25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ΕΛΕΓΧΟΣ ΑΚΕΡΑΙΟΤΗΤΑ ΚΑΙ ΔΗΜΟΣΙΑ ΛΟΓΟΔΟΣΙΑ</w:t>
            </w:r>
          </w:p>
        </w:tc>
        <w:tc>
          <w:tcPr>
            <w:tcW w:w="1134" w:type="dxa"/>
            <w:shd w:val="clear" w:color="auto" w:fill="auto"/>
            <w:vAlign w:val="center"/>
            <w:hideMark/>
          </w:tcPr>
          <w:p w14:paraId="28CC22E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9.254 €</w:t>
            </w:r>
          </w:p>
        </w:tc>
        <w:tc>
          <w:tcPr>
            <w:tcW w:w="1134" w:type="dxa"/>
            <w:shd w:val="clear" w:color="auto" w:fill="auto"/>
            <w:vAlign w:val="center"/>
            <w:hideMark/>
          </w:tcPr>
          <w:p w14:paraId="3A64186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3.199 €</w:t>
            </w:r>
          </w:p>
        </w:tc>
        <w:tc>
          <w:tcPr>
            <w:tcW w:w="1985" w:type="dxa"/>
            <w:shd w:val="clear" w:color="auto" w:fill="auto"/>
            <w:vAlign w:val="center"/>
            <w:hideMark/>
          </w:tcPr>
          <w:p w14:paraId="2D09773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5F2E871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12.453 €</w:t>
            </w:r>
          </w:p>
        </w:tc>
      </w:tr>
      <w:tr w:rsidR="00A4063C" w:rsidRPr="00394ACF" w14:paraId="1D4AC017" w14:textId="77777777" w:rsidTr="00FE500C">
        <w:trPr>
          <w:cantSplit/>
          <w:trHeight w:val="210"/>
          <w:jc w:val="center"/>
        </w:trPr>
        <w:tc>
          <w:tcPr>
            <w:tcW w:w="1051" w:type="dxa"/>
            <w:shd w:val="clear" w:color="auto" w:fill="auto"/>
            <w:vAlign w:val="center"/>
            <w:hideMark/>
          </w:tcPr>
          <w:p w14:paraId="28F0F10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01.1007.008</w:t>
            </w:r>
          </w:p>
        </w:tc>
        <w:tc>
          <w:tcPr>
            <w:tcW w:w="2346" w:type="dxa"/>
            <w:shd w:val="clear" w:color="auto" w:fill="auto"/>
            <w:vAlign w:val="center"/>
            <w:hideMark/>
          </w:tcPr>
          <w:p w14:paraId="3E5C126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ΕΚΛΟΓΕΣ-ΠΟΛΙΤΙΚΑ ΚΟΜΜΑΤΑ</w:t>
            </w:r>
          </w:p>
        </w:tc>
        <w:tc>
          <w:tcPr>
            <w:tcW w:w="1134" w:type="dxa"/>
            <w:shd w:val="clear" w:color="auto" w:fill="auto"/>
            <w:vAlign w:val="center"/>
            <w:hideMark/>
          </w:tcPr>
          <w:p w14:paraId="6D39F5D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44.374 €</w:t>
            </w:r>
          </w:p>
        </w:tc>
        <w:tc>
          <w:tcPr>
            <w:tcW w:w="1134" w:type="dxa"/>
            <w:shd w:val="clear" w:color="auto" w:fill="auto"/>
            <w:vAlign w:val="center"/>
            <w:hideMark/>
          </w:tcPr>
          <w:p w14:paraId="63993AC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0871DAD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12E6049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44.374 €</w:t>
            </w:r>
          </w:p>
        </w:tc>
      </w:tr>
      <w:tr w:rsidR="00A4063C" w:rsidRPr="00394ACF" w14:paraId="5BA889D6" w14:textId="77777777" w:rsidTr="00FE500C">
        <w:trPr>
          <w:cantSplit/>
          <w:trHeight w:val="630"/>
          <w:jc w:val="center"/>
        </w:trPr>
        <w:tc>
          <w:tcPr>
            <w:tcW w:w="1051" w:type="dxa"/>
            <w:shd w:val="clear" w:color="auto" w:fill="auto"/>
            <w:vAlign w:val="center"/>
            <w:hideMark/>
          </w:tcPr>
          <w:p w14:paraId="57B804C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01.1007.009</w:t>
            </w:r>
          </w:p>
        </w:tc>
        <w:tc>
          <w:tcPr>
            <w:tcW w:w="2346" w:type="dxa"/>
            <w:shd w:val="clear" w:color="auto" w:fill="auto"/>
            <w:vAlign w:val="center"/>
            <w:hideMark/>
          </w:tcPr>
          <w:p w14:paraId="499C18A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ΨΗΦΙΟΠΟΙΗΣΗ ΚΑΙ ΑΠΛΟΥΣΤΕΥΣΗ ΔΙΑΔΙΚΑΣΙΩΝ-ΑΝΑΒΑΘΜΙΣΗ ΕΞΥΠΗΡΕΤΗΣΗΣ ΠΟΛΙΤΩΝ ΑΠΟ ΤΑ ΚΕΠ</w:t>
            </w:r>
          </w:p>
        </w:tc>
        <w:tc>
          <w:tcPr>
            <w:tcW w:w="1134" w:type="dxa"/>
            <w:shd w:val="clear" w:color="auto" w:fill="auto"/>
            <w:vAlign w:val="center"/>
            <w:hideMark/>
          </w:tcPr>
          <w:p w14:paraId="046A16F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13.780 €</w:t>
            </w:r>
          </w:p>
        </w:tc>
        <w:tc>
          <w:tcPr>
            <w:tcW w:w="1134" w:type="dxa"/>
            <w:shd w:val="clear" w:color="auto" w:fill="auto"/>
            <w:vAlign w:val="center"/>
            <w:hideMark/>
          </w:tcPr>
          <w:p w14:paraId="74FF848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22.999 €</w:t>
            </w:r>
          </w:p>
        </w:tc>
        <w:tc>
          <w:tcPr>
            <w:tcW w:w="1985" w:type="dxa"/>
            <w:shd w:val="clear" w:color="auto" w:fill="auto"/>
            <w:vAlign w:val="center"/>
            <w:hideMark/>
          </w:tcPr>
          <w:p w14:paraId="098B17F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3824178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36.778 €</w:t>
            </w:r>
          </w:p>
        </w:tc>
      </w:tr>
      <w:tr w:rsidR="00A4063C" w:rsidRPr="00394ACF" w14:paraId="049DEE96" w14:textId="77777777" w:rsidTr="00FE500C">
        <w:trPr>
          <w:cantSplit/>
          <w:trHeight w:val="210"/>
          <w:jc w:val="center"/>
        </w:trPr>
        <w:tc>
          <w:tcPr>
            <w:tcW w:w="1051" w:type="dxa"/>
            <w:shd w:val="clear" w:color="auto" w:fill="auto"/>
            <w:vAlign w:val="center"/>
            <w:hideMark/>
          </w:tcPr>
          <w:p w14:paraId="6BBCBC1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12.1007.001</w:t>
            </w:r>
          </w:p>
        </w:tc>
        <w:tc>
          <w:tcPr>
            <w:tcW w:w="2346" w:type="dxa"/>
            <w:shd w:val="clear" w:color="auto" w:fill="auto"/>
            <w:vAlign w:val="center"/>
            <w:hideMark/>
          </w:tcPr>
          <w:p w14:paraId="4289C1E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ΕΝΙΣΧΥΣΗ ΤΟΠΙΚΗΣ ΑΝΑΠΤΥΞΗΣ</w:t>
            </w:r>
          </w:p>
        </w:tc>
        <w:tc>
          <w:tcPr>
            <w:tcW w:w="1134" w:type="dxa"/>
            <w:shd w:val="clear" w:color="auto" w:fill="auto"/>
            <w:vAlign w:val="center"/>
            <w:hideMark/>
          </w:tcPr>
          <w:p w14:paraId="39DFE60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3.554.172 €</w:t>
            </w:r>
          </w:p>
        </w:tc>
        <w:tc>
          <w:tcPr>
            <w:tcW w:w="1134" w:type="dxa"/>
            <w:shd w:val="clear" w:color="auto" w:fill="auto"/>
            <w:vAlign w:val="center"/>
            <w:hideMark/>
          </w:tcPr>
          <w:p w14:paraId="5D8855B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313.000 €</w:t>
            </w:r>
          </w:p>
        </w:tc>
        <w:tc>
          <w:tcPr>
            <w:tcW w:w="1985" w:type="dxa"/>
            <w:shd w:val="clear" w:color="auto" w:fill="auto"/>
            <w:vAlign w:val="center"/>
            <w:hideMark/>
          </w:tcPr>
          <w:p w14:paraId="524DFA2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65.000 €</w:t>
            </w:r>
          </w:p>
        </w:tc>
        <w:tc>
          <w:tcPr>
            <w:tcW w:w="1417" w:type="dxa"/>
            <w:shd w:val="clear" w:color="auto" w:fill="auto"/>
            <w:vAlign w:val="center"/>
            <w:hideMark/>
          </w:tcPr>
          <w:p w14:paraId="14831A8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3.932.172 €</w:t>
            </w:r>
          </w:p>
        </w:tc>
      </w:tr>
      <w:tr w:rsidR="00A4063C" w:rsidRPr="00394ACF" w14:paraId="473AD985" w14:textId="77777777" w:rsidTr="00FE500C">
        <w:trPr>
          <w:cantSplit/>
          <w:trHeight w:val="210"/>
          <w:jc w:val="center"/>
        </w:trPr>
        <w:tc>
          <w:tcPr>
            <w:tcW w:w="1051" w:type="dxa"/>
            <w:shd w:val="clear" w:color="000000" w:fill="D9D9D9"/>
            <w:vAlign w:val="center"/>
            <w:hideMark/>
          </w:tcPr>
          <w:p w14:paraId="39D6AAC9"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1009</w:t>
            </w:r>
          </w:p>
        </w:tc>
        <w:tc>
          <w:tcPr>
            <w:tcW w:w="2346" w:type="dxa"/>
            <w:shd w:val="clear" w:color="000000" w:fill="D9D9D9"/>
            <w:vAlign w:val="center"/>
            <w:hideMark/>
          </w:tcPr>
          <w:p w14:paraId="7B62C6FE"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ΕΞΩΤΕΡΙΚΩΝ</w:t>
            </w:r>
          </w:p>
        </w:tc>
        <w:tc>
          <w:tcPr>
            <w:tcW w:w="1134" w:type="dxa"/>
            <w:shd w:val="clear" w:color="000000" w:fill="D9D9D9"/>
            <w:vAlign w:val="center"/>
            <w:hideMark/>
          </w:tcPr>
          <w:p w14:paraId="177906A5"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439.237 €</w:t>
            </w:r>
          </w:p>
        </w:tc>
        <w:tc>
          <w:tcPr>
            <w:tcW w:w="1134" w:type="dxa"/>
            <w:shd w:val="clear" w:color="000000" w:fill="D9D9D9"/>
            <w:vAlign w:val="center"/>
            <w:hideMark/>
          </w:tcPr>
          <w:p w14:paraId="1900B1E6"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28.000 €</w:t>
            </w:r>
          </w:p>
        </w:tc>
        <w:tc>
          <w:tcPr>
            <w:tcW w:w="1985" w:type="dxa"/>
            <w:shd w:val="clear" w:color="000000" w:fill="D9D9D9"/>
            <w:vAlign w:val="center"/>
            <w:hideMark/>
          </w:tcPr>
          <w:p w14:paraId="4AB582B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16.000 €</w:t>
            </w:r>
          </w:p>
        </w:tc>
        <w:tc>
          <w:tcPr>
            <w:tcW w:w="1417" w:type="dxa"/>
            <w:shd w:val="clear" w:color="000000" w:fill="D9D9D9"/>
            <w:vAlign w:val="center"/>
            <w:hideMark/>
          </w:tcPr>
          <w:p w14:paraId="3065AA16"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483.237 €</w:t>
            </w:r>
          </w:p>
        </w:tc>
      </w:tr>
      <w:tr w:rsidR="00A4063C" w:rsidRPr="00394ACF" w14:paraId="661DE890" w14:textId="77777777" w:rsidTr="00FE500C">
        <w:trPr>
          <w:cantSplit/>
          <w:trHeight w:val="420"/>
          <w:jc w:val="center"/>
        </w:trPr>
        <w:tc>
          <w:tcPr>
            <w:tcW w:w="1051" w:type="dxa"/>
            <w:shd w:val="clear" w:color="auto" w:fill="auto"/>
            <w:vAlign w:val="center"/>
            <w:hideMark/>
          </w:tcPr>
          <w:p w14:paraId="37B7A0C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01.1009.001</w:t>
            </w:r>
          </w:p>
        </w:tc>
        <w:tc>
          <w:tcPr>
            <w:tcW w:w="2346" w:type="dxa"/>
            <w:shd w:val="clear" w:color="auto" w:fill="auto"/>
            <w:vAlign w:val="center"/>
            <w:hideMark/>
          </w:tcPr>
          <w:p w14:paraId="1A9ED30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ΕΞΩΤΕΡΙΚΩΝ</w:t>
            </w:r>
          </w:p>
        </w:tc>
        <w:tc>
          <w:tcPr>
            <w:tcW w:w="1134" w:type="dxa"/>
            <w:shd w:val="clear" w:color="auto" w:fill="auto"/>
            <w:vAlign w:val="center"/>
            <w:hideMark/>
          </w:tcPr>
          <w:p w14:paraId="5A11540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24.541 €</w:t>
            </w:r>
          </w:p>
        </w:tc>
        <w:tc>
          <w:tcPr>
            <w:tcW w:w="1134" w:type="dxa"/>
            <w:shd w:val="clear" w:color="auto" w:fill="auto"/>
            <w:vAlign w:val="center"/>
            <w:hideMark/>
          </w:tcPr>
          <w:p w14:paraId="65D1971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45 €</w:t>
            </w:r>
          </w:p>
        </w:tc>
        <w:tc>
          <w:tcPr>
            <w:tcW w:w="1985" w:type="dxa"/>
            <w:shd w:val="clear" w:color="auto" w:fill="auto"/>
            <w:vAlign w:val="center"/>
            <w:hideMark/>
          </w:tcPr>
          <w:p w14:paraId="349F161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16 €</w:t>
            </w:r>
          </w:p>
        </w:tc>
        <w:tc>
          <w:tcPr>
            <w:tcW w:w="1417" w:type="dxa"/>
            <w:shd w:val="clear" w:color="auto" w:fill="auto"/>
            <w:vAlign w:val="center"/>
            <w:hideMark/>
          </w:tcPr>
          <w:p w14:paraId="561E5E8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24.602 €</w:t>
            </w:r>
          </w:p>
        </w:tc>
      </w:tr>
      <w:tr w:rsidR="00A4063C" w:rsidRPr="00394ACF" w14:paraId="110A241B" w14:textId="77777777" w:rsidTr="00FE500C">
        <w:trPr>
          <w:cantSplit/>
          <w:trHeight w:val="210"/>
          <w:jc w:val="center"/>
        </w:trPr>
        <w:tc>
          <w:tcPr>
            <w:tcW w:w="1051" w:type="dxa"/>
            <w:shd w:val="clear" w:color="auto" w:fill="auto"/>
            <w:vAlign w:val="center"/>
            <w:hideMark/>
          </w:tcPr>
          <w:p w14:paraId="246FD60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01.1009.002</w:t>
            </w:r>
          </w:p>
        </w:tc>
        <w:tc>
          <w:tcPr>
            <w:tcW w:w="2346" w:type="dxa"/>
            <w:shd w:val="clear" w:color="auto" w:fill="auto"/>
            <w:vAlign w:val="center"/>
            <w:hideMark/>
          </w:tcPr>
          <w:p w14:paraId="717170E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ΔΙΕΘΝΕΙΣ ΟΙΚΟΝΟΜΙΚΕΣ ΚΑΙ ΕΜΠΟΡΙΚΕΣ ΣΧΕΣΕΙΣ</w:t>
            </w:r>
          </w:p>
        </w:tc>
        <w:tc>
          <w:tcPr>
            <w:tcW w:w="1134" w:type="dxa"/>
            <w:shd w:val="clear" w:color="auto" w:fill="auto"/>
            <w:vAlign w:val="center"/>
            <w:hideMark/>
          </w:tcPr>
          <w:p w14:paraId="2804280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42.292 €</w:t>
            </w:r>
          </w:p>
        </w:tc>
        <w:tc>
          <w:tcPr>
            <w:tcW w:w="1134" w:type="dxa"/>
            <w:shd w:val="clear" w:color="auto" w:fill="auto"/>
            <w:vAlign w:val="center"/>
            <w:hideMark/>
          </w:tcPr>
          <w:p w14:paraId="428068B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27.955 €</w:t>
            </w:r>
          </w:p>
        </w:tc>
        <w:tc>
          <w:tcPr>
            <w:tcW w:w="1985" w:type="dxa"/>
            <w:shd w:val="clear" w:color="auto" w:fill="auto"/>
            <w:vAlign w:val="center"/>
            <w:hideMark/>
          </w:tcPr>
          <w:p w14:paraId="533D011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1.033 €</w:t>
            </w:r>
          </w:p>
        </w:tc>
        <w:tc>
          <w:tcPr>
            <w:tcW w:w="1417" w:type="dxa"/>
            <w:shd w:val="clear" w:color="auto" w:fill="auto"/>
            <w:vAlign w:val="center"/>
            <w:hideMark/>
          </w:tcPr>
          <w:p w14:paraId="6660222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71.280 €</w:t>
            </w:r>
          </w:p>
        </w:tc>
      </w:tr>
      <w:tr w:rsidR="00A4063C" w:rsidRPr="00394ACF" w14:paraId="01092A92" w14:textId="77777777" w:rsidTr="00FE500C">
        <w:trPr>
          <w:cantSplit/>
          <w:trHeight w:val="420"/>
          <w:jc w:val="center"/>
        </w:trPr>
        <w:tc>
          <w:tcPr>
            <w:tcW w:w="1051" w:type="dxa"/>
            <w:shd w:val="clear" w:color="auto" w:fill="auto"/>
            <w:vAlign w:val="center"/>
            <w:hideMark/>
          </w:tcPr>
          <w:p w14:paraId="4D17EAA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01.1009.003</w:t>
            </w:r>
          </w:p>
        </w:tc>
        <w:tc>
          <w:tcPr>
            <w:tcW w:w="2346" w:type="dxa"/>
            <w:shd w:val="clear" w:color="auto" w:fill="auto"/>
            <w:vAlign w:val="center"/>
            <w:hideMark/>
          </w:tcPr>
          <w:p w14:paraId="299240D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ΔΙΠΛΩΜΑΤΙΚΕΣ ΑΡΧΕΣ-ΠΡΟΩΘΗΣΗ ΕΛΛΗΝΙΚΩΝ ΣΥΜΦΕΡΟΝΤΩΝ</w:t>
            </w:r>
          </w:p>
        </w:tc>
        <w:tc>
          <w:tcPr>
            <w:tcW w:w="1134" w:type="dxa"/>
            <w:shd w:val="clear" w:color="auto" w:fill="auto"/>
            <w:vAlign w:val="center"/>
            <w:hideMark/>
          </w:tcPr>
          <w:p w14:paraId="6ACE641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348.484 €</w:t>
            </w:r>
          </w:p>
        </w:tc>
        <w:tc>
          <w:tcPr>
            <w:tcW w:w="1134" w:type="dxa"/>
            <w:shd w:val="clear" w:color="auto" w:fill="auto"/>
            <w:vAlign w:val="center"/>
            <w:hideMark/>
          </w:tcPr>
          <w:p w14:paraId="0AE2234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2070A76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14.951 €</w:t>
            </w:r>
          </w:p>
        </w:tc>
        <w:tc>
          <w:tcPr>
            <w:tcW w:w="1417" w:type="dxa"/>
            <w:shd w:val="clear" w:color="auto" w:fill="auto"/>
            <w:vAlign w:val="center"/>
            <w:hideMark/>
          </w:tcPr>
          <w:p w14:paraId="1CD3B66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363.435 €</w:t>
            </w:r>
          </w:p>
        </w:tc>
      </w:tr>
      <w:tr w:rsidR="00A4063C" w:rsidRPr="00394ACF" w14:paraId="56764ABA" w14:textId="77777777" w:rsidTr="00FE500C">
        <w:trPr>
          <w:cantSplit/>
          <w:trHeight w:val="389"/>
          <w:jc w:val="center"/>
        </w:trPr>
        <w:tc>
          <w:tcPr>
            <w:tcW w:w="1051" w:type="dxa"/>
            <w:shd w:val="clear" w:color="auto" w:fill="auto"/>
            <w:vAlign w:val="center"/>
            <w:hideMark/>
          </w:tcPr>
          <w:p w14:paraId="57B2C96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lastRenderedPageBreak/>
              <w:t>01.1009.004</w:t>
            </w:r>
          </w:p>
        </w:tc>
        <w:tc>
          <w:tcPr>
            <w:tcW w:w="2346" w:type="dxa"/>
            <w:shd w:val="clear" w:color="auto" w:fill="auto"/>
            <w:vAlign w:val="center"/>
            <w:hideMark/>
          </w:tcPr>
          <w:p w14:paraId="00E54E4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ΑΠΟΔΗΜΟΣ ΕΛΛΗΝΙΣΜΟΣ</w:t>
            </w:r>
          </w:p>
        </w:tc>
        <w:tc>
          <w:tcPr>
            <w:tcW w:w="1134" w:type="dxa"/>
            <w:shd w:val="clear" w:color="auto" w:fill="auto"/>
            <w:vAlign w:val="center"/>
            <w:hideMark/>
          </w:tcPr>
          <w:p w14:paraId="77F8171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21.850 €</w:t>
            </w:r>
          </w:p>
        </w:tc>
        <w:tc>
          <w:tcPr>
            <w:tcW w:w="1134" w:type="dxa"/>
            <w:shd w:val="clear" w:color="auto" w:fill="auto"/>
            <w:vAlign w:val="center"/>
            <w:hideMark/>
          </w:tcPr>
          <w:p w14:paraId="039B84E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0046A7B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319C5BB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21.850 €</w:t>
            </w:r>
          </w:p>
        </w:tc>
      </w:tr>
      <w:tr w:rsidR="00A4063C" w:rsidRPr="00394ACF" w14:paraId="2A59DCCB" w14:textId="77777777" w:rsidTr="00FE500C">
        <w:trPr>
          <w:cantSplit/>
          <w:trHeight w:val="420"/>
          <w:jc w:val="center"/>
        </w:trPr>
        <w:tc>
          <w:tcPr>
            <w:tcW w:w="1051" w:type="dxa"/>
            <w:shd w:val="clear" w:color="auto" w:fill="auto"/>
            <w:vAlign w:val="center"/>
            <w:hideMark/>
          </w:tcPr>
          <w:p w14:paraId="131D96F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09.1009.001</w:t>
            </w:r>
          </w:p>
        </w:tc>
        <w:tc>
          <w:tcPr>
            <w:tcW w:w="2346" w:type="dxa"/>
            <w:shd w:val="clear" w:color="auto" w:fill="auto"/>
            <w:vAlign w:val="center"/>
            <w:hideMark/>
          </w:tcPr>
          <w:p w14:paraId="7136447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ΕΛΛΗΝΙΚΗ ΔΙΠΛΩΜΑΤΙΚΗ ΑΚΑΔΗΜΙΑ-ΕΚΠΑΙΔΕΥΣΗ ΚΑΙ ΑΝΑΠΤΥΞΗ ΑΝΘΡΩΠΙΝΩΝ ΠΟΡΩΝ</w:t>
            </w:r>
          </w:p>
        </w:tc>
        <w:tc>
          <w:tcPr>
            <w:tcW w:w="1134" w:type="dxa"/>
            <w:shd w:val="clear" w:color="auto" w:fill="auto"/>
            <w:vAlign w:val="center"/>
            <w:hideMark/>
          </w:tcPr>
          <w:p w14:paraId="49ECAFC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2.071 €</w:t>
            </w:r>
          </w:p>
        </w:tc>
        <w:tc>
          <w:tcPr>
            <w:tcW w:w="1134" w:type="dxa"/>
            <w:shd w:val="clear" w:color="auto" w:fill="auto"/>
            <w:vAlign w:val="center"/>
            <w:hideMark/>
          </w:tcPr>
          <w:p w14:paraId="181FD0D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179B8B6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53F598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2.071 €</w:t>
            </w:r>
          </w:p>
        </w:tc>
      </w:tr>
      <w:tr w:rsidR="00A4063C" w:rsidRPr="00394ACF" w14:paraId="40BAACBE" w14:textId="77777777" w:rsidTr="00FE500C">
        <w:trPr>
          <w:cantSplit/>
          <w:trHeight w:val="210"/>
          <w:jc w:val="center"/>
        </w:trPr>
        <w:tc>
          <w:tcPr>
            <w:tcW w:w="1051" w:type="dxa"/>
            <w:shd w:val="clear" w:color="000000" w:fill="D9D9D9"/>
            <w:vAlign w:val="center"/>
            <w:hideMark/>
          </w:tcPr>
          <w:p w14:paraId="5478284B"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1011</w:t>
            </w:r>
          </w:p>
        </w:tc>
        <w:tc>
          <w:tcPr>
            <w:tcW w:w="2346" w:type="dxa"/>
            <w:shd w:val="clear" w:color="000000" w:fill="D9D9D9"/>
            <w:vAlign w:val="center"/>
            <w:hideMark/>
          </w:tcPr>
          <w:p w14:paraId="20AEA934"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ΕΘΝΙΚΗΣ ΑΜΥΝΑΣ</w:t>
            </w:r>
          </w:p>
        </w:tc>
        <w:tc>
          <w:tcPr>
            <w:tcW w:w="1134" w:type="dxa"/>
            <w:shd w:val="clear" w:color="000000" w:fill="D9D9D9"/>
            <w:vAlign w:val="center"/>
            <w:hideMark/>
          </w:tcPr>
          <w:p w14:paraId="679DEF3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6.955.272 €</w:t>
            </w:r>
          </w:p>
        </w:tc>
        <w:tc>
          <w:tcPr>
            <w:tcW w:w="1134" w:type="dxa"/>
            <w:shd w:val="clear" w:color="000000" w:fill="D9D9D9"/>
            <w:vAlign w:val="center"/>
            <w:hideMark/>
          </w:tcPr>
          <w:p w14:paraId="30EE8A63"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70.000 €</w:t>
            </w:r>
          </w:p>
        </w:tc>
        <w:tc>
          <w:tcPr>
            <w:tcW w:w="1985" w:type="dxa"/>
            <w:shd w:val="clear" w:color="000000" w:fill="D9D9D9"/>
            <w:vAlign w:val="center"/>
            <w:hideMark/>
          </w:tcPr>
          <w:p w14:paraId="4A3FD267"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38.000 €</w:t>
            </w:r>
          </w:p>
        </w:tc>
        <w:tc>
          <w:tcPr>
            <w:tcW w:w="1417" w:type="dxa"/>
            <w:shd w:val="clear" w:color="000000" w:fill="D9D9D9"/>
            <w:vAlign w:val="center"/>
            <w:hideMark/>
          </w:tcPr>
          <w:p w14:paraId="0D779C7A"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7.063.272 €</w:t>
            </w:r>
          </w:p>
        </w:tc>
      </w:tr>
      <w:tr w:rsidR="00A4063C" w:rsidRPr="00394ACF" w14:paraId="2F127A11" w14:textId="77777777" w:rsidTr="00FE500C">
        <w:trPr>
          <w:cantSplit/>
          <w:trHeight w:val="420"/>
          <w:jc w:val="center"/>
        </w:trPr>
        <w:tc>
          <w:tcPr>
            <w:tcW w:w="1051" w:type="dxa"/>
            <w:shd w:val="clear" w:color="auto" w:fill="auto"/>
            <w:vAlign w:val="center"/>
            <w:hideMark/>
          </w:tcPr>
          <w:p w14:paraId="5481C63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02.1011.001</w:t>
            </w:r>
          </w:p>
        </w:tc>
        <w:tc>
          <w:tcPr>
            <w:tcW w:w="2346" w:type="dxa"/>
            <w:shd w:val="clear" w:color="auto" w:fill="auto"/>
            <w:vAlign w:val="center"/>
            <w:hideMark/>
          </w:tcPr>
          <w:p w14:paraId="119F34D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ΑΠΟΤΡΟΠΗ ΕΞΩΤΕΡΙΚΩΝ ΑΠΕΙΛΩΝ - ΕΓΓΥΗΣΗ ΤΗΣ ΑΣΦΑΛΕΙΑΣ ΚΑΙ ΤΗΣ ΑΜΥΝΑΣ ΤΗΣ ΧΩΡΑΣ</w:t>
            </w:r>
          </w:p>
        </w:tc>
        <w:tc>
          <w:tcPr>
            <w:tcW w:w="1134" w:type="dxa"/>
            <w:shd w:val="clear" w:color="auto" w:fill="auto"/>
            <w:vAlign w:val="center"/>
            <w:hideMark/>
          </w:tcPr>
          <w:p w14:paraId="23BA8FF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6.275.222 €</w:t>
            </w:r>
          </w:p>
        </w:tc>
        <w:tc>
          <w:tcPr>
            <w:tcW w:w="1134" w:type="dxa"/>
            <w:shd w:val="clear" w:color="auto" w:fill="auto"/>
            <w:vAlign w:val="center"/>
            <w:hideMark/>
          </w:tcPr>
          <w:p w14:paraId="4731E69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60685CB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1EB8B55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6.275.222 €</w:t>
            </w:r>
          </w:p>
        </w:tc>
      </w:tr>
      <w:tr w:rsidR="00A4063C" w:rsidRPr="00394ACF" w14:paraId="12B78466" w14:textId="77777777" w:rsidTr="00FE500C">
        <w:trPr>
          <w:cantSplit/>
          <w:trHeight w:val="210"/>
          <w:jc w:val="center"/>
        </w:trPr>
        <w:tc>
          <w:tcPr>
            <w:tcW w:w="1051" w:type="dxa"/>
            <w:shd w:val="clear" w:color="auto" w:fill="auto"/>
            <w:vAlign w:val="center"/>
            <w:hideMark/>
          </w:tcPr>
          <w:p w14:paraId="72E1AA6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02.1011.002</w:t>
            </w:r>
          </w:p>
        </w:tc>
        <w:tc>
          <w:tcPr>
            <w:tcW w:w="2346" w:type="dxa"/>
            <w:shd w:val="clear" w:color="auto" w:fill="auto"/>
            <w:vAlign w:val="center"/>
            <w:hideMark/>
          </w:tcPr>
          <w:p w14:paraId="56521AA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ΔΙΕΘΝΕΙΣ ΣΧΕΣΕΙΣ/ΔΡΑΣΕΙΣ ΥΠΕΘΑ ΣΤΟ ΕΞΩΤΕΡΙΚΟ</w:t>
            </w:r>
          </w:p>
        </w:tc>
        <w:tc>
          <w:tcPr>
            <w:tcW w:w="1134" w:type="dxa"/>
            <w:shd w:val="clear" w:color="auto" w:fill="auto"/>
            <w:vAlign w:val="center"/>
            <w:hideMark/>
          </w:tcPr>
          <w:p w14:paraId="26D5B3E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128.421 €</w:t>
            </w:r>
          </w:p>
        </w:tc>
        <w:tc>
          <w:tcPr>
            <w:tcW w:w="1134" w:type="dxa"/>
            <w:shd w:val="clear" w:color="auto" w:fill="auto"/>
            <w:vAlign w:val="center"/>
            <w:hideMark/>
          </w:tcPr>
          <w:p w14:paraId="6F63EEC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67CC08C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197AAFD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128.421 €</w:t>
            </w:r>
          </w:p>
        </w:tc>
      </w:tr>
      <w:tr w:rsidR="00A4063C" w:rsidRPr="00394ACF" w14:paraId="742E1C62" w14:textId="77777777" w:rsidTr="00FE500C">
        <w:trPr>
          <w:cantSplit/>
          <w:trHeight w:val="630"/>
          <w:jc w:val="center"/>
        </w:trPr>
        <w:tc>
          <w:tcPr>
            <w:tcW w:w="1051" w:type="dxa"/>
            <w:shd w:val="clear" w:color="auto" w:fill="auto"/>
            <w:vAlign w:val="center"/>
            <w:hideMark/>
          </w:tcPr>
          <w:p w14:paraId="255EFB9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02.1011.003</w:t>
            </w:r>
          </w:p>
        </w:tc>
        <w:tc>
          <w:tcPr>
            <w:tcW w:w="2346" w:type="dxa"/>
            <w:shd w:val="clear" w:color="auto" w:fill="auto"/>
            <w:vAlign w:val="center"/>
            <w:hideMark/>
          </w:tcPr>
          <w:p w14:paraId="47E7CFF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ΣΥΛΛΟΓΗ – ΕΠΕΞΕΡΓΑΣΙΑ – ΕΚΜΕΤΑΛΛΕΥΣΗ ΠΛΗΡΟΦΟΡΙΩΝ ΕΠ΄ ΩΦΕΛΕΙΑ ΤΗΣ ΕΘΝΙΚΗΣ ΑΣΦΑΛΕΙΑΣ</w:t>
            </w:r>
          </w:p>
        </w:tc>
        <w:tc>
          <w:tcPr>
            <w:tcW w:w="1134" w:type="dxa"/>
            <w:shd w:val="clear" w:color="auto" w:fill="auto"/>
            <w:vAlign w:val="center"/>
            <w:hideMark/>
          </w:tcPr>
          <w:p w14:paraId="2321077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36.945 €</w:t>
            </w:r>
          </w:p>
        </w:tc>
        <w:tc>
          <w:tcPr>
            <w:tcW w:w="1134" w:type="dxa"/>
            <w:shd w:val="clear" w:color="auto" w:fill="auto"/>
            <w:vAlign w:val="center"/>
            <w:hideMark/>
          </w:tcPr>
          <w:p w14:paraId="45288C4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3F99E85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0E73311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36.945 €</w:t>
            </w:r>
          </w:p>
        </w:tc>
      </w:tr>
      <w:tr w:rsidR="00A4063C" w:rsidRPr="00394ACF" w14:paraId="3CFAA575" w14:textId="77777777" w:rsidTr="00FE500C">
        <w:trPr>
          <w:cantSplit/>
          <w:trHeight w:val="420"/>
          <w:jc w:val="center"/>
        </w:trPr>
        <w:tc>
          <w:tcPr>
            <w:tcW w:w="1051" w:type="dxa"/>
            <w:shd w:val="clear" w:color="auto" w:fill="auto"/>
            <w:vAlign w:val="center"/>
            <w:hideMark/>
          </w:tcPr>
          <w:p w14:paraId="2803D92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02.1011.004</w:t>
            </w:r>
          </w:p>
        </w:tc>
        <w:tc>
          <w:tcPr>
            <w:tcW w:w="2346" w:type="dxa"/>
            <w:shd w:val="clear" w:color="auto" w:fill="auto"/>
            <w:vAlign w:val="center"/>
            <w:hideMark/>
          </w:tcPr>
          <w:p w14:paraId="36AFA40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ΕΘΝΙΚΗΣ ΑΜΥΝΑΣ</w:t>
            </w:r>
          </w:p>
        </w:tc>
        <w:tc>
          <w:tcPr>
            <w:tcW w:w="1134" w:type="dxa"/>
            <w:shd w:val="clear" w:color="auto" w:fill="auto"/>
            <w:vAlign w:val="center"/>
            <w:hideMark/>
          </w:tcPr>
          <w:p w14:paraId="0B34BD7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9.344 €</w:t>
            </w:r>
          </w:p>
        </w:tc>
        <w:tc>
          <w:tcPr>
            <w:tcW w:w="1134" w:type="dxa"/>
            <w:shd w:val="clear" w:color="auto" w:fill="auto"/>
            <w:vAlign w:val="center"/>
            <w:hideMark/>
          </w:tcPr>
          <w:p w14:paraId="01547F8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1.080 €</w:t>
            </w:r>
          </w:p>
        </w:tc>
        <w:tc>
          <w:tcPr>
            <w:tcW w:w="1985" w:type="dxa"/>
            <w:shd w:val="clear" w:color="auto" w:fill="auto"/>
            <w:vAlign w:val="center"/>
            <w:hideMark/>
          </w:tcPr>
          <w:p w14:paraId="21AD31F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0C6294F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10.424 €</w:t>
            </w:r>
          </w:p>
        </w:tc>
      </w:tr>
      <w:tr w:rsidR="00A4063C" w:rsidRPr="00394ACF" w14:paraId="19B6BA8E" w14:textId="77777777" w:rsidTr="00FE500C">
        <w:trPr>
          <w:cantSplit/>
          <w:trHeight w:val="420"/>
          <w:jc w:val="center"/>
        </w:trPr>
        <w:tc>
          <w:tcPr>
            <w:tcW w:w="1051" w:type="dxa"/>
            <w:shd w:val="clear" w:color="auto" w:fill="auto"/>
            <w:vAlign w:val="center"/>
            <w:hideMark/>
          </w:tcPr>
          <w:p w14:paraId="76AA5F2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03.1011.001</w:t>
            </w:r>
          </w:p>
        </w:tc>
        <w:tc>
          <w:tcPr>
            <w:tcW w:w="2346" w:type="dxa"/>
            <w:shd w:val="clear" w:color="auto" w:fill="auto"/>
            <w:vAlign w:val="center"/>
            <w:hideMark/>
          </w:tcPr>
          <w:p w14:paraId="0110E45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ΣΥΝΕΙΣΦΟΡΑ ΕΝΟΠΛΩΝ ΔΥΝΑΜΕΩΝ ΣΤΟΝ ΤΟΜΕΑ ΤΗΣ ΠΟΛΙΤΙΚΗΣ ΠΡΟΣΤΑΣΙΑΣ</w:t>
            </w:r>
          </w:p>
        </w:tc>
        <w:tc>
          <w:tcPr>
            <w:tcW w:w="1134" w:type="dxa"/>
            <w:shd w:val="clear" w:color="auto" w:fill="auto"/>
            <w:vAlign w:val="center"/>
            <w:hideMark/>
          </w:tcPr>
          <w:p w14:paraId="00138AD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89.239 €</w:t>
            </w:r>
          </w:p>
        </w:tc>
        <w:tc>
          <w:tcPr>
            <w:tcW w:w="1134" w:type="dxa"/>
            <w:shd w:val="clear" w:color="auto" w:fill="auto"/>
            <w:vAlign w:val="center"/>
            <w:hideMark/>
          </w:tcPr>
          <w:p w14:paraId="08C1E8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19.660 €</w:t>
            </w:r>
          </w:p>
        </w:tc>
        <w:tc>
          <w:tcPr>
            <w:tcW w:w="1985" w:type="dxa"/>
            <w:shd w:val="clear" w:color="auto" w:fill="auto"/>
            <w:vAlign w:val="center"/>
            <w:hideMark/>
          </w:tcPr>
          <w:p w14:paraId="1212498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26.363 €</w:t>
            </w:r>
          </w:p>
        </w:tc>
        <w:tc>
          <w:tcPr>
            <w:tcW w:w="1417" w:type="dxa"/>
            <w:shd w:val="clear" w:color="auto" w:fill="auto"/>
            <w:vAlign w:val="center"/>
            <w:hideMark/>
          </w:tcPr>
          <w:p w14:paraId="629C1AA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135.261 €</w:t>
            </w:r>
          </w:p>
        </w:tc>
      </w:tr>
      <w:tr w:rsidR="00A4063C" w:rsidRPr="00394ACF" w14:paraId="7B423003" w14:textId="77777777" w:rsidTr="00FE500C">
        <w:trPr>
          <w:cantSplit/>
          <w:trHeight w:val="420"/>
          <w:jc w:val="center"/>
        </w:trPr>
        <w:tc>
          <w:tcPr>
            <w:tcW w:w="1051" w:type="dxa"/>
            <w:shd w:val="clear" w:color="auto" w:fill="auto"/>
            <w:vAlign w:val="center"/>
            <w:hideMark/>
          </w:tcPr>
          <w:p w14:paraId="121F9D2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05.1011.001</w:t>
            </w:r>
          </w:p>
        </w:tc>
        <w:tc>
          <w:tcPr>
            <w:tcW w:w="2346" w:type="dxa"/>
            <w:shd w:val="clear" w:color="auto" w:fill="auto"/>
            <w:vAlign w:val="center"/>
            <w:hideMark/>
          </w:tcPr>
          <w:p w14:paraId="61DD74A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ΣΥΝΕΙΣΦΟΡΑ ΕΝΟΠΛΩΝ ΔΥΝΑΜΕΩΝ ΣΤΟ ΠΕΡΙΒΑΛΛΟΝ</w:t>
            </w:r>
          </w:p>
        </w:tc>
        <w:tc>
          <w:tcPr>
            <w:tcW w:w="1134" w:type="dxa"/>
            <w:shd w:val="clear" w:color="auto" w:fill="auto"/>
            <w:vAlign w:val="center"/>
            <w:hideMark/>
          </w:tcPr>
          <w:p w14:paraId="07D20CE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3.475 €</w:t>
            </w:r>
          </w:p>
        </w:tc>
        <w:tc>
          <w:tcPr>
            <w:tcW w:w="1134" w:type="dxa"/>
            <w:shd w:val="clear" w:color="auto" w:fill="auto"/>
            <w:vAlign w:val="center"/>
            <w:hideMark/>
          </w:tcPr>
          <w:p w14:paraId="2046D88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9.540 €</w:t>
            </w:r>
          </w:p>
        </w:tc>
        <w:tc>
          <w:tcPr>
            <w:tcW w:w="1985" w:type="dxa"/>
            <w:shd w:val="clear" w:color="auto" w:fill="auto"/>
            <w:vAlign w:val="center"/>
            <w:hideMark/>
          </w:tcPr>
          <w:p w14:paraId="58ECC91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11.593 €</w:t>
            </w:r>
          </w:p>
        </w:tc>
        <w:tc>
          <w:tcPr>
            <w:tcW w:w="1417" w:type="dxa"/>
            <w:shd w:val="clear" w:color="auto" w:fill="auto"/>
            <w:vAlign w:val="center"/>
            <w:hideMark/>
          </w:tcPr>
          <w:p w14:paraId="0EEB7DB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24.608 €</w:t>
            </w:r>
          </w:p>
        </w:tc>
      </w:tr>
      <w:tr w:rsidR="00A4063C" w:rsidRPr="00394ACF" w14:paraId="74E07BC2" w14:textId="77777777" w:rsidTr="00FE500C">
        <w:trPr>
          <w:cantSplit/>
          <w:trHeight w:val="420"/>
          <w:jc w:val="center"/>
        </w:trPr>
        <w:tc>
          <w:tcPr>
            <w:tcW w:w="1051" w:type="dxa"/>
            <w:shd w:val="clear" w:color="auto" w:fill="auto"/>
            <w:vAlign w:val="center"/>
            <w:hideMark/>
          </w:tcPr>
          <w:p w14:paraId="3538EA3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07.1011.001</w:t>
            </w:r>
          </w:p>
        </w:tc>
        <w:tc>
          <w:tcPr>
            <w:tcW w:w="2346" w:type="dxa"/>
            <w:shd w:val="clear" w:color="auto" w:fill="auto"/>
            <w:vAlign w:val="center"/>
            <w:hideMark/>
          </w:tcPr>
          <w:p w14:paraId="637CFA1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ΠΑΡΟΧΗ ΥΓΕΙΟΝΟΜΙΚΗΣ ΠΕΡΙΘΑΛΨΗΣ ΕΝΟΠΛΩΝ ΔΥΝΑΜΕΩΝ</w:t>
            </w:r>
          </w:p>
        </w:tc>
        <w:tc>
          <w:tcPr>
            <w:tcW w:w="1134" w:type="dxa"/>
            <w:shd w:val="clear" w:color="auto" w:fill="auto"/>
            <w:vAlign w:val="center"/>
            <w:hideMark/>
          </w:tcPr>
          <w:p w14:paraId="4C934F9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320.454 €</w:t>
            </w:r>
          </w:p>
        </w:tc>
        <w:tc>
          <w:tcPr>
            <w:tcW w:w="1134" w:type="dxa"/>
            <w:shd w:val="clear" w:color="auto" w:fill="auto"/>
            <w:vAlign w:val="center"/>
            <w:hideMark/>
          </w:tcPr>
          <w:p w14:paraId="4A60809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6.540 €</w:t>
            </w:r>
          </w:p>
        </w:tc>
        <w:tc>
          <w:tcPr>
            <w:tcW w:w="1985" w:type="dxa"/>
            <w:shd w:val="clear" w:color="auto" w:fill="auto"/>
            <w:vAlign w:val="center"/>
            <w:hideMark/>
          </w:tcPr>
          <w:p w14:paraId="7332C21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7D4C583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326.994 €</w:t>
            </w:r>
          </w:p>
        </w:tc>
      </w:tr>
      <w:tr w:rsidR="00A4063C" w:rsidRPr="00394ACF" w14:paraId="5862EAC9" w14:textId="77777777" w:rsidTr="00FE500C">
        <w:trPr>
          <w:cantSplit/>
          <w:trHeight w:val="210"/>
          <w:jc w:val="center"/>
        </w:trPr>
        <w:tc>
          <w:tcPr>
            <w:tcW w:w="1051" w:type="dxa"/>
            <w:shd w:val="clear" w:color="auto" w:fill="auto"/>
            <w:vAlign w:val="center"/>
            <w:hideMark/>
          </w:tcPr>
          <w:p w14:paraId="62F8BC9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09.1011.001</w:t>
            </w:r>
          </w:p>
        </w:tc>
        <w:tc>
          <w:tcPr>
            <w:tcW w:w="2346" w:type="dxa"/>
            <w:shd w:val="clear" w:color="auto" w:fill="auto"/>
            <w:vAlign w:val="center"/>
            <w:hideMark/>
          </w:tcPr>
          <w:p w14:paraId="7B678AC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ΕΚΠΑΙΔΕΥΣΗ ΠΡΟΣΩΠΙΚΟΥ ΕΝΟΠΛΩΝ ΔΥΝΑΜΕΩΝ</w:t>
            </w:r>
          </w:p>
        </w:tc>
        <w:tc>
          <w:tcPr>
            <w:tcW w:w="1134" w:type="dxa"/>
            <w:shd w:val="clear" w:color="auto" w:fill="auto"/>
            <w:vAlign w:val="center"/>
            <w:hideMark/>
          </w:tcPr>
          <w:p w14:paraId="4E42D3C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91.897 €</w:t>
            </w:r>
          </w:p>
        </w:tc>
        <w:tc>
          <w:tcPr>
            <w:tcW w:w="1134" w:type="dxa"/>
            <w:shd w:val="clear" w:color="auto" w:fill="auto"/>
            <w:vAlign w:val="center"/>
            <w:hideMark/>
          </w:tcPr>
          <w:p w14:paraId="74C4104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20 €</w:t>
            </w:r>
          </w:p>
        </w:tc>
        <w:tc>
          <w:tcPr>
            <w:tcW w:w="1985" w:type="dxa"/>
            <w:shd w:val="clear" w:color="auto" w:fill="auto"/>
            <w:vAlign w:val="center"/>
            <w:hideMark/>
          </w:tcPr>
          <w:p w14:paraId="20B04A9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45 €</w:t>
            </w:r>
          </w:p>
        </w:tc>
        <w:tc>
          <w:tcPr>
            <w:tcW w:w="1417" w:type="dxa"/>
            <w:shd w:val="clear" w:color="auto" w:fill="auto"/>
            <w:vAlign w:val="center"/>
            <w:hideMark/>
          </w:tcPr>
          <w:p w14:paraId="262AF0C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91.962 €</w:t>
            </w:r>
          </w:p>
        </w:tc>
      </w:tr>
      <w:tr w:rsidR="00A4063C" w:rsidRPr="00394ACF" w14:paraId="01D500E2" w14:textId="77777777" w:rsidTr="00FE500C">
        <w:trPr>
          <w:cantSplit/>
          <w:trHeight w:val="210"/>
          <w:jc w:val="center"/>
        </w:trPr>
        <w:tc>
          <w:tcPr>
            <w:tcW w:w="1051" w:type="dxa"/>
            <w:shd w:val="clear" w:color="auto" w:fill="auto"/>
            <w:vAlign w:val="center"/>
            <w:hideMark/>
          </w:tcPr>
          <w:p w14:paraId="65D6169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10.1011.001</w:t>
            </w:r>
          </w:p>
        </w:tc>
        <w:tc>
          <w:tcPr>
            <w:tcW w:w="2346" w:type="dxa"/>
            <w:shd w:val="clear" w:color="auto" w:fill="auto"/>
            <w:vAlign w:val="center"/>
            <w:hideMark/>
          </w:tcPr>
          <w:p w14:paraId="612D2BB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ΚΟΙΝΩΝΙΚΗ ΜΕΡΙΜΝΑ ΠΡΟΣΩΠΙΚΟΥ</w:t>
            </w:r>
          </w:p>
        </w:tc>
        <w:tc>
          <w:tcPr>
            <w:tcW w:w="1134" w:type="dxa"/>
            <w:shd w:val="clear" w:color="auto" w:fill="auto"/>
            <w:vAlign w:val="center"/>
            <w:hideMark/>
          </w:tcPr>
          <w:p w14:paraId="1CF3FB2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275 €</w:t>
            </w:r>
          </w:p>
        </w:tc>
        <w:tc>
          <w:tcPr>
            <w:tcW w:w="1134" w:type="dxa"/>
            <w:shd w:val="clear" w:color="auto" w:fill="auto"/>
            <w:vAlign w:val="center"/>
            <w:hideMark/>
          </w:tcPr>
          <w:p w14:paraId="56F6ECE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33.160 €</w:t>
            </w:r>
          </w:p>
        </w:tc>
        <w:tc>
          <w:tcPr>
            <w:tcW w:w="1985" w:type="dxa"/>
            <w:shd w:val="clear" w:color="auto" w:fill="auto"/>
            <w:vAlign w:val="center"/>
            <w:hideMark/>
          </w:tcPr>
          <w:p w14:paraId="59EBE6D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A03760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33.435 €</w:t>
            </w:r>
          </w:p>
        </w:tc>
      </w:tr>
      <w:tr w:rsidR="00A4063C" w:rsidRPr="00394ACF" w14:paraId="327108EB" w14:textId="77777777" w:rsidTr="00FE500C">
        <w:trPr>
          <w:cantSplit/>
          <w:trHeight w:val="210"/>
          <w:jc w:val="center"/>
        </w:trPr>
        <w:tc>
          <w:tcPr>
            <w:tcW w:w="1051" w:type="dxa"/>
            <w:shd w:val="clear" w:color="000000" w:fill="BEBEBE"/>
            <w:vAlign w:val="center"/>
            <w:hideMark/>
          </w:tcPr>
          <w:p w14:paraId="638F9300"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1015</w:t>
            </w:r>
          </w:p>
        </w:tc>
        <w:tc>
          <w:tcPr>
            <w:tcW w:w="2346" w:type="dxa"/>
            <w:shd w:val="clear" w:color="000000" w:fill="BEBEBE"/>
            <w:vAlign w:val="center"/>
            <w:hideMark/>
          </w:tcPr>
          <w:p w14:paraId="160749FC"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ΥΓΕΙΑΣ</w:t>
            </w:r>
          </w:p>
        </w:tc>
        <w:tc>
          <w:tcPr>
            <w:tcW w:w="1134" w:type="dxa"/>
            <w:shd w:val="clear" w:color="000000" w:fill="BEBEBE"/>
            <w:vAlign w:val="center"/>
            <w:hideMark/>
          </w:tcPr>
          <w:p w14:paraId="30AE1101"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6.945.945 €</w:t>
            </w:r>
          </w:p>
        </w:tc>
        <w:tc>
          <w:tcPr>
            <w:tcW w:w="1134" w:type="dxa"/>
            <w:shd w:val="clear" w:color="000000" w:fill="BEBEBE"/>
            <w:vAlign w:val="center"/>
            <w:hideMark/>
          </w:tcPr>
          <w:p w14:paraId="20CF1FA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866.000 €</w:t>
            </w:r>
          </w:p>
        </w:tc>
        <w:tc>
          <w:tcPr>
            <w:tcW w:w="1985" w:type="dxa"/>
            <w:shd w:val="clear" w:color="000000" w:fill="BEBEBE"/>
            <w:vAlign w:val="center"/>
            <w:hideMark/>
          </w:tcPr>
          <w:p w14:paraId="44FDACF8"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30.000 €</w:t>
            </w:r>
          </w:p>
        </w:tc>
        <w:tc>
          <w:tcPr>
            <w:tcW w:w="1417" w:type="dxa"/>
            <w:shd w:val="clear" w:color="000000" w:fill="BEBEBE"/>
            <w:vAlign w:val="center"/>
            <w:hideMark/>
          </w:tcPr>
          <w:p w14:paraId="52E1907E"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7.841.945 €</w:t>
            </w:r>
          </w:p>
        </w:tc>
      </w:tr>
      <w:tr w:rsidR="00A4063C" w:rsidRPr="00394ACF" w14:paraId="4517430E" w14:textId="77777777" w:rsidTr="00FE500C">
        <w:trPr>
          <w:cantSplit/>
          <w:trHeight w:val="420"/>
          <w:jc w:val="center"/>
        </w:trPr>
        <w:tc>
          <w:tcPr>
            <w:tcW w:w="1051" w:type="dxa"/>
            <w:shd w:val="clear" w:color="auto" w:fill="auto"/>
            <w:vAlign w:val="center"/>
            <w:hideMark/>
          </w:tcPr>
          <w:p w14:paraId="356FDC5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07.1015.001</w:t>
            </w:r>
          </w:p>
        </w:tc>
        <w:tc>
          <w:tcPr>
            <w:tcW w:w="2346" w:type="dxa"/>
            <w:shd w:val="clear" w:color="auto" w:fill="auto"/>
            <w:vAlign w:val="center"/>
            <w:hideMark/>
          </w:tcPr>
          <w:p w14:paraId="1F65B01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ΕΠΕΝΔΥΣΕΙΣ ΚΑΙ ΔΙΑΜΟΡΦΩΣΗ ΠΟΛΙΤΙΚΩΝ ΥΠΟΥΡΓΕΙΟΥ ΥΓΕΙΑΣ</w:t>
            </w:r>
          </w:p>
        </w:tc>
        <w:tc>
          <w:tcPr>
            <w:tcW w:w="1134" w:type="dxa"/>
            <w:shd w:val="clear" w:color="auto" w:fill="auto"/>
            <w:vAlign w:val="center"/>
            <w:hideMark/>
          </w:tcPr>
          <w:p w14:paraId="1B20D65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67.544 €</w:t>
            </w:r>
          </w:p>
        </w:tc>
        <w:tc>
          <w:tcPr>
            <w:tcW w:w="1134" w:type="dxa"/>
            <w:shd w:val="clear" w:color="auto" w:fill="auto"/>
            <w:vAlign w:val="center"/>
            <w:hideMark/>
          </w:tcPr>
          <w:p w14:paraId="55CCAB9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82.640 €</w:t>
            </w:r>
          </w:p>
        </w:tc>
        <w:tc>
          <w:tcPr>
            <w:tcW w:w="1985" w:type="dxa"/>
            <w:shd w:val="clear" w:color="auto" w:fill="auto"/>
            <w:vAlign w:val="center"/>
            <w:hideMark/>
          </w:tcPr>
          <w:p w14:paraId="27DF98B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900 €</w:t>
            </w:r>
          </w:p>
        </w:tc>
        <w:tc>
          <w:tcPr>
            <w:tcW w:w="1417" w:type="dxa"/>
            <w:shd w:val="clear" w:color="auto" w:fill="auto"/>
            <w:vAlign w:val="center"/>
            <w:hideMark/>
          </w:tcPr>
          <w:p w14:paraId="47F2B50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151.084 €</w:t>
            </w:r>
          </w:p>
        </w:tc>
      </w:tr>
      <w:tr w:rsidR="00A4063C" w:rsidRPr="00394ACF" w14:paraId="198AAE6A" w14:textId="77777777" w:rsidTr="00FE500C">
        <w:trPr>
          <w:cantSplit/>
          <w:trHeight w:val="210"/>
          <w:jc w:val="center"/>
        </w:trPr>
        <w:tc>
          <w:tcPr>
            <w:tcW w:w="1051" w:type="dxa"/>
            <w:shd w:val="clear" w:color="auto" w:fill="auto"/>
            <w:vAlign w:val="center"/>
            <w:hideMark/>
          </w:tcPr>
          <w:p w14:paraId="2874397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07.1015.002</w:t>
            </w:r>
          </w:p>
        </w:tc>
        <w:tc>
          <w:tcPr>
            <w:tcW w:w="2346" w:type="dxa"/>
            <w:shd w:val="clear" w:color="auto" w:fill="auto"/>
            <w:vAlign w:val="center"/>
            <w:hideMark/>
          </w:tcPr>
          <w:p w14:paraId="0DCC773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ΕΠΕΙΓΟΥΣΑ ΠΡΟΝΟΣΟΚΟΜΕΙΑΚΗ ΦΡΟΝΤΙΔΑ</w:t>
            </w:r>
          </w:p>
        </w:tc>
        <w:tc>
          <w:tcPr>
            <w:tcW w:w="1134" w:type="dxa"/>
            <w:shd w:val="clear" w:color="auto" w:fill="auto"/>
            <w:vAlign w:val="center"/>
            <w:hideMark/>
          </w:tcPr>
          <w:p w14:paraId="7806910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135.221 €</w:t>
            </w:r>
          </w:p>
        </w:tc>
        <w:tc>
          <w:tcPr>
            <w:tcW w:w="1134" w:type="dxa"/>
            <w:shd w:val="clear" w:color="auto" w:fill="auto"/>
            <w:vAlign w:val="center"/>
            <w:hideMark/>
          </w:tcPr>
          <w:p w14:paraId="2EF5E89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97.320 €</w:t>
            </w:r>
          </w:p>
        </w:tc>
        <w:tc>
          <w:tcPr>
            <w:tcW w:w="1985" w:type="dxa"/>
            <w:shd w:val="clear" w:color="auto" w:fill="auto"/>
            <w:vAlign w:val="center"/>
            <w:hideMark/>
          </w:tcPr>
          <w:p w14:paraId="2AE9EF0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2.400 €</w:t>
            </w:r>
          </w:p>
        </w:tc>
        <w:tc>
          <w:tcPr>
            <w:tcW w:w="1417" w:type="dxa"/>
            <w:shd w:val="clear" w:color="auto" w:fill="auto"/>
            <w:vAlign w:val="center"/>
            <w:hideMark/>
          </w:tcPr>
          <w:p w14:paraId="6B82F1F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234.941 €</w:t>
            </w:r>
          </w:p>
        </w:tc>
      </w:tr>
      <w:tr w:rsidR="00A4063C" w:rsidRPr="00394ACF" w14:paraId="3068C128" w14:textId="77777777" w:rsidTr="00FE500C">
        <w:trPr>
          <w:cantSplit/>
          <w:trHeight w:val="420"/>
          <w:jc w:val="center"/>
        </w:trPr>
        <w:tc>
          <w:tcPr>
            <w:tcW w:w="1051" w:type="dxa"/>
            <w:shd w:val="clear" w:color="auto" w:fill="auto"/>
            <w:vAlign w:val="center"/>
            <w:hideMark/>
          </w:tcPr>
          <w:p w14:paraId="7851C5D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07.1015.003</w:t>
            </w:r>
          </w:p>
        </w:tc>
        <w:tc>
          <w:tcPr>
            <w:tcW w:w="2346" w:type="dxa"/>
            <w:shd w:val="clear" w:color="auto" w:fill="auto"/>
            <w:vAlign w:val="center"/>
            <w:hideMark/>
          </w:tcPr>
          <w:p w14:paraId="741F9ED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ΠΑΡΟΧΗ ΥΠΗΡΕΣΙΩΝ ΠΡΩΤΟΒΑΘΜΙΑΣ ΦΡΟΝΤΙΔΑΣ ΥΓΕΙΑΣ</w:t>
            </w:r>
          </w:p>
        </w:tc>
        <w:tc>
          <w:tcPr>
            <w:tcW w:w="1134" w:type="dxa"/>
            <w:shd w:val="clear" w:color="auto" w:fill="auto"/>
            <w:vAlign w:val="center"/>
            <w:hideMark/>
          </w:tcPr>
          <w:p w14:paraId="7C1CD6B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538.815 €</w:t>
            </w:r>
          </w:p>
        </w:tc>
        <w:tc>
          <w:tcPr>
            <w:tcW w:w="1134" w:type="dxa"/>
            <w:shd w:val="clear" w:color="auto" w:fill="auto"/>
            <w:vAlign w:val="center"/>
            <w:hideMark/>
          </w:tcPr>
          <w:p w14:paraId="796566F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210.480 €</w:t>
            </w:r>
          </w:p>
        </w:tc>
        <w:tc>
          <w:tcPr>
            <w:tcW w:w="1985" w:type="dxa"/>
            <w:shd w:val="clear" w:color="auto" w:fill="auto"/>
            <w:vAlign w:val="center"/>
            <w:hideMark/>
          </w:tcPr>
          <w:p w14:paraId="422C1F1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17.100 €</w:t>
            </w:r>
          </w:p>
        </w:tc>
        <w:tc>
          <w:tcPr>
            <w:tcW w:w="1417" w:type="dxa"/>
            <w:shd w:val="clear" w:color="auto" w:fill="auto"/>
            <w:vAlign w:val="center"/>
            <w:hideMark/>
          </w:tcPr>
          <w:p w14:paraId="31B2B8D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766.395 €</w:t>
            </w:r>
          </w:p>
        </w:tc>
      </w:tr>
      <w:tr w:rsidR="00A4063C" w:rsidRPr="00394ACF" w14:paraId="574777D8" w14:textId="77777777" w:rsidTr="00FE500C">
        <w:trPr>
          <w:cantSplit/>
          <w:trHeight w:val="210"/>
          <w:jc w:val="center"/>
        </w:trPr>
        <w:tc>
          <w:tcPr>
            <w:tcW w:w="1051" w:type="dxa"/>
            <w:shd w:val="clear" w:color="auto" w:fill="auto"/>
            <w:vAlign w:val="center"/>
            <w:hideMark/>
          </w:tcPr>
          <w:p w14:paraId="3DC6DAD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07.1015.004</w:t>
            </w:r>
          </w:p>
        </w:tc>
        <w:tc>
          <w:tcPr>
            <w:tcW w:w="2346" w:type="dxa"/>
            <w:shd w:val="clear" w:color="auto" w:fill="auto"/>
            <w:vAlign w:val="center"/>
            <w:hideMark/>
          </w:tcPr>
          <w:p w14:paraId="10C67CF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ΝΟΣΟΚΟΜΕΙΑΚΗ ΠΕΡΙΘΑΛΨΗ</w:t>
            </w:r>
          </w:p>
        </w:tc>
        <w:tc>
          <w:tcPr>
            <w:tcW w:w="1134" w:type="dxa"/>
            <w:shd w:val="clear" w:color="auto" w:fill="auto"/>
            <w:vAlign w:val="center"/>
            <w:hideMark/>
          </w:tcPr>
          <w:p w14:paraId="29B4EA2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5.622.107 €</w:t>
            </w:r>
          </w:p>
        </w:tc>
        <w:tc>
          <w:tcPr>
            <w:tcW w:w="1134" w:type="dxa"/>
            <w:shd w:val="clear" w:color="auto" w:fill="auto"/>
            <w:vAlign w:val="center"/>
            <w:hideMark/>
          </w:tcPr>
          <w:p w14:paraId="1C8856A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306.240 €</w:t>
            </w:r>
          </w:p>
        </w:tc>
        <w:tc>
          <w:tcPr>
            <w:tcW w:w="1985" w:type="dxa"/>
            <w:shd w:val="clear" w:color="auto" w:fill="auto"/>
            <w:vAlign w:val="center"/>
            <w:hideMark/>
          </w:tcPr>
          <w:p w14:paraId="357209A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1.350 €</w:t>
            </w:r>
          </w:p>
        </w:tc>
        <w:tc>
          <w:tcPr>
            <w:tcW w:w="1417" w:type="dxa"/>
            <w:shd w:val="clear" w:color="auto" w:fill="auto"/>
            <w:vAlign w:val="center"/>
            <w:hideMark/>
          </w:tcPr>
          <w:p w14:paraId="72E85D1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5.929.697 €</w:t>
            </w:r>
          </w:p>
        </w:tc>
      </w:tr>
      <w:tr w:rsidR="00A4063C" w:rsidRPr="00394ACF" w14:paraId="282724C1" w14:textId="77777777" w:rsidTr="00FE500C">
        <w:trPr>
          <w:cantSplit/>
          <w:trHeight w:val="210"/>
          <w:jc w:val="center"/>
        </w:trPr>
        <w:tc>
          <w:tcPr>
            <w:tcW w:w="1051" w:type="dxa"/>
            <w:shd w:val="clear" w:color="auto" w:fill="auto"/>
            <w:vAlign w:val="center"/>
            <w:hideMark/>
          </w:tcPr>
          <w:p w14:paraId="6BCD807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07.1015.005</w:t>
            </w:r>
          </w:p>
        </w:tc>
        <w:tc>
          <w:tcPr>
            <w:tcW w:w="2346" w:type="dxa"/>
            <w:shd w:val="clear" w:color="auto" w:fill="auto"/>
            <w:vAlign w:val="center"/>
            <w:hideMark/>
          </w:tcPr>
          <w:p w14:paraId="45C7589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ΠΡΟΛΗΨΗ ΚΑΙ ΠΡΟΣΤΑΣΙΑ ΤΗΣ ΔΗΜΟΣΙΑΣ ΥΓΕΙΑΣ</w:t>
            </w:r>
          </w:p>
        </w:tc>
        <w:tc>
          <w:tcPr>
            <w:tcW w:w="1134" w:type="dxa"/>
            <w:shd w:val="clear" w:color="auto" w:fill="auto"/>
            <w:vAlign w:val="center"/>
            <w:hideMark/>
          </w:tcPr>
          <w:p w14:paraId="0B9F35D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460.232 €</w:t>
            </w:r>
          </w:p>
        </w:tc>
        <w:tc>
          <w:tcPr>
            <w:tcW w:w="1134" w:type="dxa"/>
            <w:shd w:val="clear" w:color="auto" w:fill="auto"/>
            <w:vAlign w:val="center"/>
            <w:hideMark/>
          </w:tcPr>
          <w:p w14:paraId="75E0179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97.320 €</w:t>
            </w:r>
          </w:p>
        </w:tc>
        <w:tc>
          <w:tcPr>
            <w:tcW w:w="1985" w:type="dxa"/>
            <w:shd w:val="clear" w:color="auto" w:fill="auto"/>
            <w:vAlign w:val="center"/>
            <w:hideMark/>
          </w:tcPr>
          <w:p w14:paraId="30F51FE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6.600 €</w:t>
            </w:r>
          </w:p>
        </w:tc>
        <w:tc>
          <w:tcPr>
            <w:tcW w:w="1417" w:type="dxa"/>
            <w:shd w:val="clear" w:color="auto" w:fill="auto"/>
            <w:vAlign w:val="center"/>
            <w:hideMark/>
          </w:tcPr>
          <w:p w14:paraId="46D6592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564.152 €</w:t>
            </w:r>
          </w:p>
        </w:tc>
      </w:tr>
      <w:tr w:rsidR="00A4063C" w:rsidRPr="00394ACF" w14:paraId="69D6D836" w14:textId="77777777" w:rsidTr="00FE500C">
        <w:trPr>
          <w:cantSplit/>
          <w:trHeight w:val="210"/>
          <w:jc w:val="center"/>
        </w:trPr>
        <w:tc>
          <w:tcPr>
            <w:tcW w:w="1051" w:type="dxa"/>
            <w:shd w:val="clear" w:color="auto" w:fill="auto"/>
            <w:vAlign w:val="center"/>
            <w:hideMark/>
          </w:tcPr>
          <w:p w14:paraId="00B9D60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07.1015.006</w:t>
            </w:r>
          </w:p>
        </w:tc>
        <w:tc>
          <w:tcPr>
            <w:tcW w:w="2346" w:type="dxa"/>
            <w:shd w:val="clear" w:color="auto" w:fill="auto"/>
            <w:vAlign w:val="center"/>
            <w:hideMark/>
          </w:tcPr>
          <w:p w14:paraId="7455BE0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ΕΝΙΣΧΥΣΗ ΝΠΙΔ ΨΥΧΙΚΗΣ ΥΓΕΙΑΣ</w:t>
            </w:r>
          </w:p>
        </w:tc>
        <w:tc>
          <w:tcPr>
            <w:tcW w:w="1134" w:type="dxa"/>
            <w:shd w:val="clear" w:color="auto" w:fill="auto"/>
            <w:vAlign w:val="center"/>
            <w:hideMark/>
          </w:tcPr>
          <w:p w14:paraId="18684F2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10.167 €</w:t>
            </w:r>
          </w:p>
        </w:tc>
        <w:tc>
          <w:tcPr>
            <w:tcW w:w="1134" w:type="dxa"/>
            <w:shd w:val="clear" w:color="auto" w:fill="auto"/>
            <w:vAlign w:val="center"/>
            <w:hideMark/>
          </w:tcPr>
          <w:p w14:paraId="74B0DE6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56.000 €</w:t>
            </w:r>
          </w:p>
        </w:tc>
        <w:tc>
          <w:tcPr>
            <w:tcW w:w="1985" w:type="dxa"/>
            <w:shd w:val="clear" w:color="auto" w:fill="auto"/>
            <w:vAlign w:val="center"/>
            <w:hideMark/>
          </w:tcPr>
          <w:p w14:paraId="405237A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1.650 €</w:t>
            </w:r>
          </w:p>
        </w:tc>
        <w:tc>
          <w:tcPr>
            <w:tcW w:w="1417" w:type="dxa"/>
            <w:shd w:val="clear" w:color="auto" w:fill="auto"/>
            <w:vAlign w:val="center"/>
            <w:hideMark/>
          </w:tcPr>
          <w:p w14:paraId="2D2E71F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67.817 €</w:t>
            </w:r>
          </w:p>
        </w:tc>
      </w:tr>
      <w:tr w:rsidR="00A4063C" w:rsidRPr="00394ACF" w14:paraId="33460B2B" w14:textId="77777777" w:rsidTr="00FE500C">
        <w:trPr>
          <w:cantSplit/>
          <w:trHeight w:val="210"/>
          <w:jc w:val="center"/>
        </w:trPr>
        <w:tc>
          <w:tcPr>
            <w:tcW w:w="1051" w:type="dxa"/>
            <w:shd w:val="clear" w:color="auto" w:fill="auto"/>
            <w:vAlign w:val="center"/>
            <w:hideMark/>
          </w:tcPr>
          <w:p w14:paraId="7231746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10.1015.001</w:t>
            </w:r>
          </w:p>
        </w:tc>
        <w:tc>
          <w:tcPr>
            <w:tcW w:w="2346" w:type="dxa"/>
            <w:shd w:val="clear" w:color="auto" w:fill="auto"/>
            <w:vAlign w:val="center"/>
            <w:hideMark/>
          </w:tcPr>
          <w:p w14:paraId="6E4B2C4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ΑΝΤΙΜΕΤΩΠΙΣΗ ΤΩΝ ΕΞΑΡΤΗΣΕΩΝ</w:t>
            </w:r>
          </w:p>
        </w:tc>
        <w:tc>
          <w:tcPr>
            <w:tcW w:w="1134" w:type="dxa"/>
            <w:shd w:val="clear" w:color="auto" w:fill="auto"/>
            <w:vAlign w:val="center"/>
            <w:hideMark/>
          </w:tcPr>
          <w:p w14:paraId="54EF1EC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111.859 €</w:t>
            </w:r>
          </w:p>
        </w:tc>
        <w:tc>
          <w:tcPr>
            <w:tcW w:w="1134" w:type="dxa"/>
            <w:shd w:val="clear" w:color="auto" w:fill="auto"/>
            <w:vAlign w:val="center"/>
            <w:hideMark/>
          </w:tcPr>
          <w:p w14:paraId="747C709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16.000 €</w:t>
            </w:r>
          </w:p>
        </w:tc>
        <w:tc>
          <w:tcPr>
            <w:tcW w:w="1985" w:type="dxa"/>
            <w:shd w:val="clear" w:color="auto" w:fill="auto"/>
            <w:vAlign w:val="center"/>
            <w:hideMark/>
          </w:tcPr>
          <w:p w14:paraId="64F72DF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79AB14B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127.859 €</w:t>
            </w:r>
          </w:p>
        </w:tc>
      </w:tr>
      <w:tr w:rsidR="00A4063C" w:rsidRPr="00394ACF" w14:paraId="04F55A24" w14:textId="77777777" w:rsidTr="00FE500C">
        <w:trPr>
          <w:cantSplit/>
          <w:trHeight w:val="210"/>
          <w:jc w:val="center"/>
        </w:trPr>
        <w:tc>
          <w:tcPr>
            <w:tcW w:w="1051" w:type="dxa"/>
            <w:shd w:val="clear" w:color="000000" w:fill="D9D9D9"/>
            <w:vAlign w:val="center"/>
            <w:hideMark/>
          </w:tcPr>
          <w:p w14:paraId="21273914"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1017</w:t>
            </w:r>
          </w:p>
        </w:tc>
        <w:tc>
          <w:tcPr>
            <w:tcW w:w="2346" w:type="dxa"/>
            <w:shd w:val="clear" w:color="000000" w:fill="D9D9D9"/>
            <w:vAlign w:val="center"/>
            <w:hideMark/>
          </w:tcPr>
          <w:p w14:paraId="78C5808A"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ΔΙΚΑΙΟΣΥΝΗΣ</w:t>
            </w:r>
          </w:p>
        </w:tc>
        <w:tc>
          <w:tcPr>
            <w:tcW w:w="1134" w:type="dxa"/>
            <w:shd w:val="clear" w:color="000000" w:fill="D9D9D9"/>
            <w:vAlign w:val="center"/>
            <w:hideMark/>
          </w:tcPr>
          <w:p w14:paraId="4BE12AE3"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616.577 €</w:t>
            </w:r>
          </w:p>
        </w:tc>
        <w:tc>
          <w:tcPr>
            <w:tcW w:w="1134" w:type="dxa"/>
            <w:shd w:val="clear" w:color="000000" w:fill="D9D9D9"/>
            <w:vAlign w:val="center"/>
            <w:hideMark/>
          </w:tcPr>
          <w:p w14:paraId="183730F1"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61.000 €</w:t>
            </w:r>
          </w:p>
        </w:tc>
        <w:tc>
          <w:tcPr>
            <w:tcW w:w="1985" w:type="dxa"/>
            <w:shd w:val="clear" w:color="000000" w:fill="D9D9D9"/>
            <w:vAlign w:val="center"/>
            <w:hideMark/>
          </w:tcPr>
          <w:p w14:paraId="185D454D"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2.000 €</w:t>
            </w:r>
          </w:p>
        </w:tc>
        <w:tc>
          <w:tcPr>
            <w:tcW w:w="1417" w:type="dxa"/>
            <w:shd w:val="clear" w:color="000000" w:fill="D9D9D9"/>
            <w:vAlign w:val="center"/>
            <w:hideMark/>
          </w:tcPr>
          <w:p w14:paraId="4D3853D8"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679.577 €</w:t>
            </w:r>
          </w:p>
        </w:tc>
      </w:tr>
      <w:tr w:rsidR="00A4063C" w:rsidRPr="00394ACF" w14:paraId="6A4D981F" w14:textId="77777777" w:rsidTr="00FE500C">
        <w:trPr>
          <w:cantSplit/>
          <w:trHeight w:val="210"/>
          <w:jc w:val="center"/>
        </w:trPr>
        <w:tc>
          <w:tcPr>
            <w:tcW w:w="1051" w:type="dxa"/>
            <w:shd w:val="clear" w:color="auto" w:fill="auto"/>
            <w:vAlign w:val="center"/>
            <w:hideMark/>
          </w:tcPr>
          <w:p w14:paraId="538FD44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03.1017.001</w:t>
            </w:r>
          </w:p>
        </w:tc>
        <w:tc>
          <w:tcPr>
            <w:tcW w:w="2346" w:type="dxa"/>
            <w:shd w:val="clear" w:color="auto" w:fill="auto"/>
            <w:vAlign w:val="center"/>
            <w:hideMark/>
          </w:tcPr>
          <w:p w14:paraId="4FD02A7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ΑΠΟΝΟΜΗ ΔΙΚΑΙΟΣΥΝΗΣ</w:t>
            </w:r>
          </w:p>
        </w:tc>
        <w:tc>
          <w:tcPr>
            <w:tcW w:w="1134" w:type="dxa"/>
            <w:shd w:val="clear" w:color="auto" w:fill="auto"/>
            <w:vAlign w:val="center"/>
            <w:hideMark/>
          </w:tcPr>
          <w:p w14:paraId="7FF9322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542.502 €</w:t>
            </w:r>
          </w:p>
        </w:tc>
        <w:tc>
          <w:tcPr>
            <w:tcW w:w="1134" w:type="dxa"/>
            <w:shd w:val="clear" w:color="auto" w:fill="auto"/>
            <w:vAlign w:val="center"/>
            <w:hideMark/>
          </w:tcPr>
          <w:p w14:paraId="1605DAB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51.700 €</w:t>
            </w:r>
          </w:p>
        </w:tc>
        <w:tc>
          <w:tcPr>
            <w:tcW w:w="1985" w:type="dxa"/>
            <w:shd w:val="clear" w:color="auto" w:fill="auto"/>
            <w:vAlign w:val="center"/>
            <w:hideMark/>
          </w:tcPr>
          <w:p w14:paraId="79A52CB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1.680 €</w:t>
            </w:r>
          </w:p>
        </w:tc>
        <w:tc>
          <w:tcPr>
            <w:tcW w:w="1417" w:type="dxa"/>
            <w:shd w:val="clear" w:color="auto" w:fill="auto"/>
            <w:vAlign w:val="center"/>
            <w:hideMark/>
          </w:tcPr>
          <w:p w14:paraId="50B27C0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595.882 €</w:t>
            </w:r>
          </w:p>
        </w:tc>
      </w:tr>
      <w:tr w:rsidR="00A4063C" w:rsidRPr="00394ACF" w14:paraId="477E776D" w14:textId="77777777" w:rsidTr="00FE500C">
        <w:trPr>
          <w:cantSplit/>
          <w:trHeight w:val="210"/>
          <w:jc w:val="center"/>
        </w:trPr>
        <w:tc>
          <w:tcPr>
            <w:tcW w:w="1051" w:type="dxa"/>
            <w:shd w:val="clear" w:color="auto" w:fill="auto"/>
            <w:vAlign w:val="center"/>
            <w:hideMark/>
          </w:tcPr>
          <w:p w14:paraId="3DD1CD3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03.1017.002</w:t>
            </w:r>
          </w:p>
        </w:tc>
        <w:tc>
          <w:tcPr>
            <w:tcW w:w="2346" w:type="dxa"/>
            <w:shd w:val="clear" w:color="auto" w:fill="auto"/>
            <w:vAlign w:val="center"/>
            <w:hideMark/>
          </w:tcPr>
          <w:p w14:paraId="34BA2BF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ΠΡΟΑΣΠΙΣΗ ΑΝΘΡΩΠΙΝΗΣ ΑΣΦΑΛΕΙΑΣ</w:t>
            </w:r>
          </w:p>
        </w:tc>
        <w:tc>
          <w:tcPr>
            <w:tcW w:w="1134" w:type="dxa"/>
            <w:shd w:val="clear" w:color="auto" w:fill="auto"/>
            <w:vAlign w:val="center"/>
            <w:hideMark/>
          </w:tcPr>
          <w:p w14:paraId="6535880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52.335 €</w:t>
            </w:r>
          </w:p>
        </w:tc>
        <w:tc>
          <w:tcPr>
            <w:tcW w:w="1134" w:type="dxa"/>
            <w:shd w:val="clear" w:color="auto" w:fill="auto"/>
            <w:vAlign w:val="center"/>
            <w:hideMark/>
          </w:tcPr>
          <w:p w14:paraId="51B08AE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7CCE6EC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167CA97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52.335 €</w:t>
            </w:r>
          </w:p>
        </w:tc>
      </w:tr>
      <w:tr w:rsidR="00A4063C" w:rsidRPr="00394ACF" w14:paraId="55AB10EB" w14:textId="77777777" w:rsidTr="00FE500C">
        <w:trPr>
          <w:cantSplit/>
          <w:trHeight w:val="210"/>
          <w:jc w:val="center"/>
        </w:trPr>
        <w:tc>
          <w:tcPr>
            <w:tcW w:w="1051" w:type="dxa"/>
            <w:shd w:val="clear" w:color="auto" w:fill="auto"/>
            <w:vAlign w:val="center"/>
            <w:hideMark/>
          </w:tcPr>
          <w:p w14:paraId="59B85CB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03.1017.003</w:t>
            </w:r>
          </w:p>
        </w:tc>
        <w:tc>
          <w:tcPr>
            <w:tcW w:w="2346" w:type="dxa"/>
            <w:shd w:val="clear" w:color="auto" w:fill="auto"/>
            <w:vAlign w:val="center"/>
            <w:hideMark/>
          </w:tcPr>
          <w:p w14:paraId="10CA140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ΨΗΦΙΑΚΗ ΔΙΚΑΙΟΣΥΝΗ</w:t>
            </w:r>
          </w:p>
        </w:tc>
        <w:tc>
          <w:tcPr>
            <w:tcW w:w="1134" w:type="dxa"/>
            <w:shd w:val="clear" w:color="auto" w:fill="auto"/>
            <w:vAlign w:val="center"/>
            <w:hideMark/>
          </w:tcPr>
          <w:p w14:paraId="336F1CD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1.778 €</w:t>
            </w:r>
          </w:p>
        </w:tc>
        <w:tc>
          <w:tcPr>
            <w:tcW w:w="1134" w:type="dxa"/>
            <w:shd w:val="clear" w:color="auto" w:fill="auto"/>
            <w:vAlign w:val="center"/>
            <w:hideMark/>
          </w:tcPr>
          <w:p w14:paraId="48B17AA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5.500 €</w:t>
            </w:r>
          </w:p>
        </w:tc>
        <w:tc>
          <w:tcPr>
            <w:tcW w:w="1985" w:type="dxa"/>
            <w:shd w:val="clear" w:color="auto" w:fill="auto"/>
            <w:vAlign w:val="center"/>
            <w:hideMark/>
          </w:tcPr>
          <w:p w14:paraId="5BBC4F9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6246EAD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7.278 €</w:t>
            </w:r>
          </w:p>
        </w:tc>
      </w:tr>
      <w:tr w:rsidR="00A4063C" w:rsidRPr="00394ACF" w14:paraId="178A3AF6" w14:textId="77777777" w:rsidTr="00FE500C">
        <w:trPr>
          <w:cantSplit/>
          <w:trHeight w:val="210"/>
          <w:jc w:val="center"/>
        </w:trPr>
        <w:tc>
          <w:tcPr>
            <w:tcW w:w="1051" w:type="dxa"/>
            <w:shd w:val="clear" w:color="auto" w:fill="auto"/>
            <w:vAlign w:val="center"/>
            <w:hideMark/>
          </w:tcPr>
          <w:p w14:paraId="1EB4DBA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03.1017.005</w:t>
            </w:r>
          </w:p>
        </w:tc>
        <w:tc>
          <w:tcPr>
            <w:tcW w:w="2346" w:type="dxa"/>
            <w:shd w:val="clear" w:color="auto" w:fill="auto"/>
            <w:vAlign w:val="center"/>
            <w:hideMark/>
          </w:tcPr>
          <w:p w14:paraId="1B5BEFD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ΠΡΟΣΤΑΣΙΑ ΑΝΗΛΙΚΩΝ</w:t>
            </w:r>
          </w:p>
        </w:tc>
        <w:tc>
          <w:tcPr>
            <w:tcW w:w="1134" w:type="dxa"/>
            <w:shd w:val="clear" w:color="auto" w:fill="auto"/>
            <w:vAlign w:val="center"/>
            <w:hideMark/>
          </w:tcPr>
          <w:p w14:paraId="310DA25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8.063 €</w:t>
            </w:r>
          </w:p>
        </w:tc>
        <w:tc>
          <w:tcPr>
            <w:tcW w:w="1134" w:type="dxa"/>
            <w:shd w:val="clear" w:color="auto" w:fill="auto"/>
            <w:vAlign w:val="center"/>
            <w:hideMark/>
          </w:tcPr>
          <w:p w14:paraId="731AA2A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5FDEA47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320 €</w:t>
            </w:r>
          </w:p>
        </w:tc>
        <w:tc>
          <w:tcPr>
            <w:tcW w:w="1417" w:type="dxa"/>
            <w:shd w:val="clear" w:color="auto" w:fill="auto"/>
            <w:vAlign w:val="center"/>
            <w:hideMark/>
          </w:tcPr>
          <w:p w14:paraId="7B58C4F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8.383 €</w:t>
            </w:r>
          </w:p>
        </w:tc>
      </w:tr>
      <w:tr w:rsidR="00A4063C" w:rsidRPr="00394ACF" w14:paraId="7DA5880C" w14:textId="77777777" w:rsidTr="00FE500C">
        <w:trPr>
          <w:cantSplit/>
          <w:trHeight w:val="420"/>
          <w:jc w:val="center"/>
        </w:trPr>
        <w:tc>
          <w:tcPr>
            <w:tcW w:w="1051" w:type="dxa"/>
            <w:shd w:val="clear" w:color="auto" w:fill="auto"/>
            <w:vAlign w:val="center"/>
            <w:hideMark/>
          </w:tcPr>
          <w:p w14:paraId="2D04BE6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lastRenderedPageBreak/>
              <w:t>03.1017.006</w:t>
            </w:r>
          </w:p>
        </w:tc>
        <w:tc>
          <w:tcPr>
            <w:tcW w:w="2346" w:type="dxa"/>
            <w:shd w:val="clear" w:color="auto" w:fill="auto"/>
            <w:vAlign w:val="center"/>
            <w:hideMark/>
          </w:tcPr>
          <w:p w14:paraId="2A09DA8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ΔΙΚΑΙΟΣΥΝΗΣ</w:t>
            </w:r>
          </w:p>
        </w:tc>
        <w:tc>
          <w:tcPr>
            <w:tcW w:w="1134" w:type="dxa"/>
            <w:shd w:val="clear" w:color="auto" w:fill="auto"/>
            <w:vAlign w:val="center"/>
            <w:hideMark/>
          </w:tcPr>
          <w:p w14:paraId="5712183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6.346 €</w:t>
            </w:r>
          </w:p>
        </w:tc>
        <w:tc>
          <w:tcPr>
            <w:tcW w:w="1134" w:type="dxa"/>
            <w:shd w:val="clear" w:color="auto" w:fill="auto"/>
            <w:vAlign w:val="center"/>
            <w:hideMark/>
          </w:tcPr>
          <w:p w14:paraId="6C38746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4CD7C0D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0C0D849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6.346 €</w:t>
            </w:r>
          </w:p>
        </w:tc>
      </w:tr>
      <w:tr w:rsidR="00A4063C" w:rsidRPr="00394ACF" w14:paraId="08E9E12C" w14:textId="77777777" w:rsidTr="00FE500C">
        <w:trPr>
          <w:cantSplit/>
          <w:trHeight w:val="504"/>
          <w:jc w:val="center"/>
        </w:trPr>
        <w:tc>
          <w:tcPr>
            <w:tcW w:w="1051" w:type="dxa"/>
            <w:shd w:val="clear" w:color="auto" w:fill="auto"/>
            <w:vAlign w:val="center"/>
            <w:hideMark/>
          </w:tcPr>
          <w:p w14:paraId="52612EB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03.1017.007</w:t>
            </w:r>
          </w:p>
        </w:tc>
        <w:tc>
          <w:tcPr>
            <w:tcW w:w="2346" w:type="dxa"/>
            <w:shd w:val="clear" w:color="auto" w:fill="auto"/>
            <w:vAlign w:val="center"/>
            <w:hideMark/>
          </w:tcPr>
          <w:p w14:paraId="754A142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ΠΡΟΣΤΑΣΙΑ ΠΡΟΣΩΠΙΚΩΝ ΔΕΔΟΜΕΝΩΝ</w:t>
            </w:r>
          </w:p>
        </w:tc>
        <w:tc>
          <w:tcPr>
            <w:tcW w:w="1134" w:type="dxa"/>
            <w:shd w:val="clear" w:color="auto" w:fill="auto"/>
            <w:vAlign w:val="center"/>
            <w:hideMark/>
          </w:tcPr>
          <w:p w14:paraId="35F3BE5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2.817 €</w:t>
            </w:r>
          </w:p>
        </w:tc>
        <w:tc>
          <w:tcPr>
            <w:tcW w:w="1134" w:type="dxa"/>
            <w:shd w:val="clear" w:color="auto" w:fill="auto"/>
            <w:vAlign w:val="center"/>
            <w:hideMark/>
          </w:tcPr>
          <w:p w14:paraId="62D9BC7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5620D9A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54BD2F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2.817 €</w:t>
            </w:r>
          </w:p>
        </w:tc>
      </w:tr>
      <w:tr w:rsidR="00A4063C" w:rsidRPr="00394ACF" w14:paraId="79F2A4E8" w14:textId="77777777" w:rsidTr="00FE500C">
        <w:trPr>
          <w:cantSplit/>
          <w:trHeight w:val="420"/>
          <w:jc w:val="center"/>
        </w:trPr>
        <w:tc>
          <w:tcPr>
            <w:tcW w:w="1051" w:type="dxa"/>
            <w:shd w:val="clear" w:color="auto" w:fill="auto"/>
            <w:vAlign w:val="center"/>
            <w:hideMark/>
          </w:tcPr>
          <w:p w14:paraId="0F6FFD6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03.1017.008</w:t>
            </w:r>
          </w:p>
        </w:tc>
        <w:tc>
          <w:tcPr>
            <w:tcW w:w="2346" w:type="dxa"/>
            <w:shd w:val="clear" w:color="auto" w:fill="auto"/>
            <w:vAlign w:val="center"/>
            <w:hideMark/>
          </w:tcPr>
          <w:p w14:paraId="5657FBA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ΠΡΟΣΤΑΣΙΑ ΤΟΥ ΔΙKAIΩΜΑΤΟΣ ΣΤΟ ΑΠΟΡΡΗΤΟ ΤΩΝ ΕΠΙΚΟΙΝΩΝΙΩΝ</w:t>
            </w:r>
          </w:p>
        </w:tc>
        <w:tc>
          <w:tcPr>
            <w:tcW w:w="1134" w:type="dxa"/>
            <w:shd w:val="clear" w:color="auto" w:fill="auto"/>
            <w:vAlign w:val="center"/>
            <w:hideMark/>
          </w:tcPr>
          <w:p w14:paraId="085F17B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2.526 €</w:t>
            </w:r>
          </w:p>
        </w:tc>
        <w:tc>
          <w:tcPr>
            <w:tcW w:w="1134" w:type="dxa"/>
            <w:shd w:val="clear" w:color="auto" w:fill="auto"/>
            <w:vAlign w:val="center"/>
            <w:hideMark/>
          </w:tcPr>
          <w:p w14:paraId="431D37E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52F62E6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95FC41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2.526 €</w:t>
            </w:r>
          </w:p>
        </w:tc>
      </w:tr>
      <w:tr w:rsidR="00A4063C" w:rsidRPr="00394ACF" w14:paraId="5A92C6FA" w14:textId="77777777" w:rsidTr="00FE500C">
        <w:trPr>
          <w:cantSplit/>
          <w:trHeight w:val="420"/>
          <w:jc w:val="center"/>
        </w:trPr>
        <w:tc>
          <w:tcPr>
            <w:tcW w:w="1051" w:type="dxa"/>
            <w:shd w:val="clear" w:color="auto" w:fill="auto"/>
            <w:vAlign w:val="center"/>
            <w:hideMark/>
          </w:tcPr>
          <w:p w14:paraId="6CAD507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03.1017.010</w:t>
            </w:r>
          </w:p>
        </w:tc>
        <w:tc>
          <w:tcPr>
            <w:tcW w:w="2346" w:type="dxa"/>
            <w:shd w:val="clear" w:color="auto" w:fill="auto"/>
            <w:vAlign w:val="center"/>
            <w:hideMark/>
          </w:tcPr>
          <w:p w14:paraId="4FF4CC8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ΕΠΙΛΥΣΗ ΔΙΑΦΟΡΩΝ ΜΕΣΩ ΤΟΥ ΘΕΣΜΟΥ ΤΗΣ ΔΙΑΜΕΣΟΛΑΒΗΣΗΣ</w:t>
            </w:r>
          </w:p>
        </w:tc>
        <w:tc>
          <w:tcPr>
            <w:tcW w:w="1134" w:type="dxa"/>
            <w:shd w:val="clear" w:color="auto" w:fill="auto"/>
            <w:vAlign w:val="center"/>
            <w:hideMark/>
          </w:tcPr>
          <w:p w14:paraId="7D58500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210 €</w:t>
            </w:r>
          </w:p>
        </w:tc>
        <w:tc>
          <w:tcPr>
            <w:tcW w:w="1134" w:type="dxa"/>
            <w:shd w:val="clear" w:color="auto" w:fill="auto"/>
            <w:vAlign w:val="center"/>
            <w:hideMark/>
          </w:tcPr>
          <w:p w14:paraId="4002303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3.800 €</w:t>
            </w:r>
          </w:p>
        </w:tc>
        <w:tc>
          <w:tcPr>
            <w:tcW w:w="1985" w:type="dxa"/>
            <w:shd w:val="clear" w:color="auto" w:fill="auto"/>
            <w:vAlign w:val="center"/>
            <w:hideMark/>
          </w:tcPr>
          <w:p w14:paraId="2EFFD57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27AE08C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4.010 €</w:t>
            </w:r>
          </w:p>
        </w:tc>
      </w:tr>
      <w:tr w:rsidR="00A4063C" w:rsidRPr="00394ACF" w14:paraId="081A5ABE" w14:textId="77777777" w:rsidTr="00FE500C">
        <w:trPr>
          <w:cantSplit/>
          <w:trHeight w:val="420"/>
          <w:jc w:val="center"/>
        </w:trPr>
        <w:tc>
          <w:tcPr>
            <w:tcW w:w="1051" w:type="dxa"/>
            <w:shd w:val="clear" w:color="000000" w:fill="D9D9D9"/>
            <w:vAlign w:val="center"/>
            <w:hideMark/>
          </w:tcPr>
          <w:p w14:paraId="4BE8501E"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1020</w:t>
            </w:r>
          </w:p>
        </w:tc>
        <w:tc>
          <w:tcPr>
            <w:tcW w:w="2346" w:type="dxa"/>
            <w:shd w:val="clear" w:color="000000" w:fill="D9D9D9"/>
            <w:vAlign w:val="center"/>
            <w:hideMark/>
          </w:tcPr>
          <w:p w14:paraId="2A566CEF"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ΠΑΙΔΕΙΑΣ, ΘΡΗΣΚΕΥΜΑΤΩΝ ΚΑΙ ΑΘΛΗΤΙΣΜΟΥ</w:t>
            </w:r>
          </w:p>
        </w:tc>
        <w:tc>
          <w:tcPr>
            <w:tcW w:w="1134" w:type="dxa"/>
            <w:shd w:val="clear" w:color="000000" w:fill="D9D9D9"/>
            <w:vAlign w:val="center"/>
            <w:hideMark/>
          </w:tcPr>
          <w:p w14:paraId="509DE517"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5.899.933 €</w:t>
            </w:r>
          </w:p>
        </w:tc>
        <w:tc>
          <w:tcPr>
            <w:tcW w:w="1134" w:type="dxa"/>
            <w:shd w:val="clear" w:color="000000" w:fill="D9D9D9"/>
            <w:vAlign w:val="center"/>
            <w:hideMark/>
          </w:tcPr>
          <w:p w14:paraId="546A7C25"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384.000 €</w:t>
            </w:r>
          </w:p>
        </w:tc>
        <w:tc>
          <w:tcPr>
            <w:tcW w:w="1985" w:type="dxa"/>
            <w:shd w:val="clear" w:color="000000" w:fill="D9D9D9"/>
            <w:vAlign w:val="center"/>
            <w:hideMark/>
          </w:tcPr>
          <w:p w14:paraId="14297AA6"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480.000 €</w:t>
            </w:r>
          </w:p>
        </w:tc>
        <w:tc>
          <w:tcPr>
            <w:tcW w:w="1417" w:type="dxa"/>
            <w:shd w:val="clear" w:color="000000" w:fill="D9D9D9"/>
            <w:vAlign w:val="center"/>
            <w:hideMark/>
          </w:tcPr>
          <w:p w14:paraId="1652F8AA"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6.763.933 €</w:t>
            </w:r>
          </w:p>
        </w:tc>
      </w:tr>
      <w:tr w:rsidR="00A4063C" w:rsidRPr="00394ACF" w14:paraId="00083C43" w14:textId="77777777" w:rsidTr="00FE500C">
        <w:trPr>
          <w:cantSplit/>
          <w:trHeight w:val="210"/>
          <w:jc w:val="center"/>
        </w:trPr>
        <w:tc>
          <w:tcPr>
            <w:tcW w:w="1051" w:type="dxa"/>
            <w:shd w:val="clear" w:color="auto" w:fill="auto"/>
            <w:vAlign w:val="center"/>
            <w:hideMark/>
          </w:tcPr>
          <w:p w14:paraId="7617DB5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07.1020.001</w:t>
            </w:r>
          </w:p>
        </w:tc>
        <w:tc>
          <w:tcPr>
            <w:tcW w:w="2346" w:type="dxa"/>
            <w:shd w:val="clear" w:color="auto" w:fill="auto"/>
            <w:vAlign w:val="center"/>
            <w:hideMark/>
          </w:tcPr>
          <w:p w14:paraId="0C46EB9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ΠΑΝΕΠΙΣΤΗΜΙΑΚΑ ΝΟΣΟΚΟΜΕΙΑ</w:t>
            </w:r>
          </w:p>
        </w:tc>
        <w:tc>
          <w:tcPr>
            <w:tcW w:w="1134" w:type="dxa"/>
            <w:shd w:val="clear" w:color="auto" w:fill="auto"/>
            <w:vAlign w:val="center"/>
            <w:hideMark/>
          </w:tcPr>
          <w:p w14:paraId="17C95FF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16.586 €</w:t>
            </w:r>
          </w:p>
        </w:tc>
        <w:tc>
          <w:tcPr>
            <w:tcW w:w="1134" w:type="dxa"/>
            <w:shd w:val="clear" w:color="auto" w:fill="auto"/>
            <w:vAlign w:val="center"/>
            <w:hideMark/>
          </w:tcPr>
          <w:p w14:paraId="23736B9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6.800 €</w:t>
            </w:r>
          </w:p>
        </w:tc>
        <w:tc>
          <w:tcPr>
            <w:tcW w:w="1985" w:type="dxa"/>
            <w:shd w:val="clear" w:color="auto" w:fill="auto"/>
            <w:vAlign w:val="center"/>
            <w:hideMark/>
          </w:tcPr>
          <w:p w14:paraId="1DF31FB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1313F77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23.385 €</w:t>
            </w:r>
          </w:p>
        </w:tc>
      </w:tr>
      <w:tr w:rsidR="00A4063C" w:rsidRPr="00394ACF" w14:paraId="5925B5C7" w14:textId="77777777" w:rsidTr="00FE500C">
        <w:trPr>
          <w:cantSplit/>
          <w:trHeight w:val="210"/>
          <w:jc w:val="center"/>
        </w:trPr>
        <w:tc>
          <w:tcPr>
            <w:tcW w:w="1051" w:type="dxa"/>
            <w:shd w:val="clear" w:color="auto" w:fill="auto"/>
            <w:vAlign w:val="center"/>
            <w:hideMark/>
          </w:tcPr>
          <w:p w14:paraId="56FC8F2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08.1020.001</w:t>
            </w:r>
          </w:p>
        </w:tc>
        <w:tc>
          <w:tcPr>
            <w:tcW w:w="2346" w:type="dxa"/>
            <w:shd w:val="clear" w:color="auto" w:fill="auto"/>
            <w:vAlign w:val="center"/>
            <w:hideMark/>
          </w:tcPr>
          <w:p w14:paraId="320BFF6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ΘΡΗΣΚΕΙΑ</w:t>
            </w:r>
          </w:p>
        </w:tc>
        <w:tc>
          <w:tcPr>
            <w:tcW w:w="1134" w:type="dxa"/>
            <w:shd w:val="clear" w:color="auto" w:fill="auto"/>
            <w:vAlign w:val="center"/>
            <w:hideMark/>
          </w:tcPr>
          <w:p w14:paraId="11527AD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227.670 €</w:t>
            </w:r>
          </w:p>
        </w:tc>
        <w:tc>
          <w:tcPr>
            <w:tcW w:w="1134" w:type="dxa"/>
            <w:shd w:val="clear" w:color="auto" w:fill="auto"/>
            <w:vAlign w:val="center"/>
            <w:hideMark/>
          </w:tcPr>
          <w:p w14:paraId="243F9B8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373EECA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1.175 €</w:t>
            </w:r>
          </w:p>
        </w:tc>
        <w:tc>
          <w:tcPr>
            <w:tcW w:w="1417" w:type="dxa"/>
            <w:shd w:val="clear" w:color="auto" w:fill="auto"/>
            <w:vAlign w:val="center"/>
            <w:hideMark/>
          </w:tcPr>
          <w:p w14:paraId="04089AC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228.845 €</w:t>
            </w:r>
          </w:p>
        </w:tc>
      </w:tr>
      <w:tr w:rsidR="00A4063C" w:rsidRPr="00394ACF" w14:paraId="5B05F9A6" w14:textId="77777777" w:rsidTr="00FE500C">
        <w:trPr>
          <w:cantSplit/>
          <w:trHeight w:val="210"/>
          <w:jc w:val="center"/>
        </w:trPr>
        <w:tc>
          <w:tcPr>
            <w:tcW w:w="1051" w:type="dxa"/>
            <w:shd w:val="clear" w:color="auto" w:fill="auto"/>
            <w:vAlign w:val="center"/>
            <w:hideMark/>
          </w:tcPr>
          <w:p w14:paraId="16BB811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08.1020.002</w:t>
            </w:r>
          </w:p>
        </w:tc>
        <w:tc>
          <w:tcPr>
            <w:tcW w:w="2346" w:type="dxa"/>
            <w:shd w:val="clear" w:color="auto" w:fill="auto"/>
            <w:vAlign w:val="center"/>
            <w:hideMark/>
          </w:tcPr>
          <w:p w14:paraId="325320A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ΣΧΟΛΙΚΟΣ/ ΠΑΝΕΠΙΣΤΗΜΙΑΚΟΣ ΑΘΛΗΤΙΣΜΟΣ</w:t>
            </w:r>
          </w:p>
        </w:tc>
        <w:tc>
          <w:tcPr>
            <w:tcW w:w="1134" w:type="dxa"/>
            <w:shd w:val="clear" w:color="auto" w:fill="auto"/>
            <w:vAlign w:val="center"/>
            <w:hideMark/>
          </w:tcPr>
          <w:p w14:paraId="3A175D7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2.118 €</w:t>
            </w:r>
          </w:p>
        </w:tc>
        <w:tc>
          <w:tcPr>
            <w:tcW w:w="1134" w:type="dxa"/>
            <w:shd w:val="clear" w:color="auto" w:fill="auto"/>
            <w:vAlign w:val="center"/>
            <w:hideMark/>
          </w:tcPr>
          <w:p w14:paraId="2D6A433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1.099 €</w:t>
            </w:r>
          </w:p>
        </w:tc>
        <w:tc>
          <w:tcPr>
            <w:tcW w:w="1985" w:type="dxa"/>
            <w:shd w:val="clear" w:color="auto" w:fill="auto"/>
            <w:vAlign w:val="center"/>
            <w:hideMark/>
          </w:tcPr>
          <w:p w14:paraId="60A0DD9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16627A9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3.217 €</w:t>
            </w:r>
          </w:p>
        </w:tc>
      </w:tr>
      <w:tr w:rsidR="00A4063C" w:rsidRPr="00394ACF" w14:paraId="519B79A1" w14:textId="77777777" w:rsidTr="00FE500C">
        <w:trPr>
          <w:cantSplit/>
          <w:trHeight w:val="210"/>
          <w:jc w:val="center"/>
        </w:trPr>
        <w:tc>
          <w:tcPr>
            <w:tcW w:w="1051" w:type="dxa"/>
            <w:shd w:val="clear" w:color="auto" w:fill="auto"/>
            <w:vAlign w:val="center"/>
            <w:hideMark/>
          </w:tcPr>
          <w:p w14:paraId="0F474CB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08.1020.003</w:t>
            </w:r>
          </w:p>
        </w:tc>
        <w:tc>
          <w:tcPr>
            <w:tcW w:w="2346" w:type="dxa"/>
            <w:shd w:val="clear" w:color="auto" w:fill="auto"/>
            <w:vAlign w:val="center"/>
            <w:hideMark/>
          </w:tcPr>
          <w:p w14:paraId="3D57DD0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ΔΗΜΟΣΙΕΣ ΒΙΒΛΙΟΘΗΚΕΣ/ ΓΕΝΙΚΑ ΑΡΧΕΙΑ</w:t>
            </w:r>
          </w:p>
        </w:tc>
        <w:tc>
          <w:tcPr>
            <w:tcW w:w="1134" w:type="dxa"/>
            <w:shd w:val="clear" w:color="auto" w:fill="auto"/>
            <w:vAlign w:val="center"/>
            <w:hideMark/>
          </w:tcPr>
          <w:p w14:paraId="6EC744B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30.392 €</w:t>
            </w:r>
          </w:p>
        </w:tc>
        <w:tc>
          <w:tcPr>
            <w:tcW w:w="1134" w:type="dxa"/>
            <w:shd w:val="clear" w:color="auto" w:fill="auto"/>
            <w:vAlign w:val="center"/>
            <w:hideMark/>
          </w:tcPr>
          <w:p w14:paraId="6DA4CF6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371 €</w:t>
            </w:r>
          </w:p>
        </w:tc>
        <w:tc>
          <w:tcPr>
            <w:tcW w:w="1985" w:type="dxa"/>
            <w:shd w:val="clear" w:color="auto" w:fill="auto"/>
            <w:vAlign w:val="center"/>
            <w:hideMark/>
          </w:tcPr>
          <w:p w14:paraId="66B5FDB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6ED3E23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30.763 €</w:t>
            </w:r>
          </w:p>
        </w:tc>
      </w:tr>
      <w:tr w:rsidR="00A4063C" w:rsidRPr="00394ACF" w14:paraId="6B03CC84" w14:textId="77777777" w:rsidTr="00FE500C">
        <w:trPr>
          <w:cantSplit/>
          <w:trHeight w:val="420"/>
          <w:jc w:val="center"/>
        </w:trPr>
        <w:tc>
          <w:tcPr>
            <w:tcW w:w="1051" w:type="dxa"/>
            <w:shd w:val="clear" w:color="auto" w:fill="auto"/>
            <w:vAlign w:val="center"/>
            <w:hideMark/>
          </w:tcPr>
          <w:p w14:paraId="5496014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08.1020.004</w:t>
            </w:r>
          </w:p>
        </w:tc>
        <w:tc>
          <w:tcPr>
            <w:tcW w:w="2346" w:type="dxa"/>
            <w:shd w:val="clear" w:color="auto" w:fill="auto"/>
            <w:vAlign w:val="center"/>
            <w:hideMark/>
          </w:tcPr>
          <w:p w14:paraId="19BD1C2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ΕΡΑΣΙΤΕΧΝΙΚΟΣ ΚΑΙ ΕΠΑΓΓΕΛΜΑΤΙΚΟΣ ΑΘΛΗΤΙΣΜΟΣ</w:t>
            </w:r>
          </w:p>
        </w:tc>
        <w:tc>
          <w:tcPr>
            <w:tcW w:w="1134" w:type="dxa"/>
            <w:shd w:val="clear" w:color="auto" w:fill="auto"/>
            <w:vAlign w:val="center"/>
            <w:hideMark/>
          </w:tcPr>
          <w:p w14:paraId="06EDBF9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93.182 €</w:t>
            </w:r>
          </w:p>
        </w:tc>
        <w:tc>
          <w:tcPr>
            <w:tcW w:w="1134" w:type="dxa"/>
            <w:shd w:val="clear" w:color="auto" w:fill="auto"/>
            <w:vAlign w:val="center"/>
            <w:hideMark/>
          </w:tcPr>
          <w:p w14:paraId="69DBB8E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2D5166D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26E2EF5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93.182 €</w:t>
            </w:r>
          </w:p>
        </w:tc>
      </w:tr>
      <w:tr w:rsidR="00A4063C" w:rsidRPr="00394ACF" w14:paraId="2B7578E8" w14:textId="77777777" w:rsidTr="00FE500C">
        <w:trPr>
          <w:cantSplit/>
          <w:trHeight w:val="420"/>
          <w:jc w:val="center"/>
        </w:trPr>
        <w:tc>
          <w:tcPr>
            <w:tcW w:w="1051" w:type="dxa"/>
            <w:shd w:val="clear" w:color="auto" w:fill="auto"/>
            <w:vAlign w:val="center"/>
            <w:hideMark/>
          </w:tcPr>
          <w:p w14:paraId="0BC9D8D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08.1020.005</w:t>
            </w:r>
          </w:p>
        </w:tc>
        <w:tc>
          <w:tcPr>
            <w:tcW w:w="2346" w:type="dxa"/>
            <w:shd w:val="clear" w:color="auto" w:fill="auto"/>
            <w:vAlign w:val="center"/>
            <w:hideMark/>
          </w:tcPr>
          <w:p w14:paraId="599097B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ΑΘΛΗΣΗ ΓΙΑ ΟΛΟΥΣ, ΑΝΑΨΥΧΗ, ΑΘΛΟΤΟΥΡΙΣΜΟΣ, ΕΠΙΣΤΗΜΟΝΙΚΗ ΥΠΟΣΤΗΡΙΞΗ ΚΑΙ ΔΙΕΘΝΕΙΣ ΣΧΕΣΕΙΣ</w:t>
            </w:r>
          </w:p>
        </w:tc>
        <w:tc>
          <w:tcPr>
            <w:tcW w:w="1134" w:type="dxa"/>
            <w:shd w:val="clear" w:color="auto" w:fill="auto"/>
            <w:vAlign w:val="center"/>
            <w:hideMark/>
          </w:tcPr>
          <w:p w14:paraId="1B19C2C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48.954 €</w:t>
            </w:r>
          </w:p>
        </w:tc>
        <w:tc>
          <w:tcPr>
            <w:tcW w:w="1134" w:type="dxa"/>
            <w:shd w:val="clear" w:color="auto" w:fill="auto"/>
            <w:vAlign w:val="center"/>
            <w:hideMark/>
          </w:tcPr>
          <w:p w14:paraId="4652A1C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6B14A2A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11B0172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48.954 €</w:t>
            </w:r>
          </w:p>
        </w:tc>
      </w:tr>
      <w:tr w:rsidR="00A4063C" w:rsidRPr="00394ACF" w14:paraId="0300F7BC" w14:textId="77777777" w:rsidTr="00FE500C">
        <w:trPr>
          <w:cantSplit/>
          <w:trHeight w:val="210"/>
          <w:jc w:val="center"/>
        </w:trPr>
        <w:tc>
          <w:tcPr>
            <w:tcW w:w="1051" w:type="dxa"/>
            <w:shd w:val="clear" w:color="auto" w:fill="auto"/>
            <w:vAlign w:val="center"/>
            <w:hideMark/>
          </w:tcPr>
          <w:p w14:paraId="54AC1D2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08.1020.006</w:t>
            </w:r>
          </w:p>
        </w:tc>
        <w:tc>
          <w:tcPr>
            <w:tcW w:w="2346" w:type="dxa"/>
            <w:shd w:val="clear" w:color="auto" w:fill="auto"/>
            <w:vAlign w:val="center"/>
            <w:hideMark/>
          </w:tcPr>
          <w:p w14:paraId="69E7DFF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ΕΡΓΑ ΥΠΟΔΟΜΩΝ ΑΘΛΗΤΙΣΜΟΥ</w:t>
            </w:r>
          </w:p>
        </w:tc>
        <w:tc>
          <w:tcPr>
            <w:tcW w:w="1134" w:type="dxa"/>
            <w:shd w:val="clear" w:color="auto" w:fill="auto"/>
            <w:vAlign w:val="center"/>
            <w:hideMark/>
          </w:tcPr>
          <w:p w14:paraId="7F89309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4.626 €</w:t>
            </w:r>
          </w:p>
        </w:tc>
        <w:tc>
          <w:tcPr>
            <w:tcW w:w="1134" w:type="dxa"/>
            <w:shd w:val="clear" w:color="auto" w:fill="auto"/>
            <w:vAlign w:val="center"/>
            <w:hideMark/>
          </w:tcPr>
          <w:p w14:paraId="4D1B2EA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60.630 €</w:t>
            </w:r>
          </w:p>
        </w:tc>
        <w:tc>
          <w:tcPr>
            <w:tcW w:w="1985" w:type="dxa"/>
            <w:shd w:val="clear" w:color="auto" w:fill="auto"/>
            <w:vAlign w:val="center"/>
            <w:hideMark/>
          </w:tcPr>
          <w:p w14:paraId="26DAD13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3398ABB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65.256 €</w:t>
            </w:r>
          </w:p>
        </w:tc>
      </w:tr>
      <w:tr w:rsidR="00A4063C" w:rsidRPr="00394ACF" w14:paraId="63C4F54E" w14:textId="77777777" w:rsidTr="00FE500C">
        <w:trPr>
          <w:cantSplit/>
          <w:trHeight w:val="210"/>
          <w:jc w:val="center"/>
        </w:trPr>
        <w:tc>
          <w:tcPr>
            <w:tcW w:w="1051" w:type="dxa"/>
            <w:shd w:val="clear" w:color="auto" w:fill="auto"/>
            <w:vAlign w:val="center"/>
            <w:hideMark/>
          </w:tcPr>
          <w:p w14:paraId="572C8FC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09.1020.001</w:t>
            </w:r>
          </w:p>
        </w:tc>
        <w:tc>
          <w:tcPr>
            <w:tcW w:w="2346" w:type="dxa"/>
            <w:shd w:val="clear" w:color="auto" w:fill="auto"/>
            <w:vAlign w:val="center"/>
            <w:hideMark/>
          </w:tcPr>
          <w:p w14:paraId="6393E29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ΠΡΩΤΟΒΑΘΜΙΑ/ ΔΕΥΤΕΡΟΒΑΘΜΙΑ ΕΚΠΑΙΔΕΥΣΗ</w:t>
            </w:r>
          </w:p>
        </w:tc>
        <w:tc>
          <w:tcPr>
            <w:tcW w:w="1134" w:type="dxa"/>
            <w:shd w:val="clear" w:color="auto" w:fill="auto"/>
            <w:vAlign w:val="center"/>
            <w:hideMark/>
          </w:tcPr>
          <w:p w14:paraId="3B69896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3.767.163 €</w:t>
            </w:r>
          </w:p>
        </w:tc>
        <w:tc>
          <w:tcPr>
            <w:tcW w:w="1134" w:type="dxa"/>
            <w:shd w:val="clear" w:color="auto" w:fill="auto"/>
            <w:vAlign w:val="center"/>
            <w:hideMark/>
          </w:tcPr>
          <w:p w14:paraId="5AC95BF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123.666 €</w:t>
            </w:r>
          </w:p>
        </w:tc>
        <w:tc>
          <w:tcPr>
            <w:tcW w:w="1985" w:type="dxa"/>
            <w:shd w:val="clear" w:color="auto" w:fill="auto"/>
            <w:vAlign w:val="center"/>
            <w:hideMark/>
          </w:tcPr>
          <w:p w14:paraId="79D9A58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214.330 €</w:t>
            </w:r>
          </w:p>
        </w:tc>
        <w:tc>
          <w:tcPr>
            <w:tcW w:w="1417" w:type="dxa"/>
            <w:shd w:val="clear" w:color="auto" w:fill="auto"/>
            <w:vAlign w:val="center"/>
            <w:hideMark/>
          </w:tcPr>
          <w:p w14:paraId="2DB0695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4.105.159 €</w:t>
            </w:r>
          </w:p>
        </w:tc>
      </w:tr>
      <w:tr w:rsidR="00A4063C" w:rsidRPr="00394ACF" w14:paraId="66381903" w14:textId="77777777" w:rsidTr="00FE500C">
        <w:trPr>
          <w:cantSplit/>
          <w:trHeight w:val="210"/>
          <w:jc w:val="center"/>
        </w:trPr>
        <w:tc>
          <w:tcPr>
            <w:tcW w:w="1051" w:type="dxa"/>
            <w:shd w:val="clear" w:color="auto" w:fill="auto"/>
            <w:vAlign w:val="center"/>
            <w:hideMark/>
          </w:tcPr>
          <w:p w14:paraId="1603A9F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09.1020.002</w:t>
            </w:r>
          </w:p>
        </w:tc>
        <w:tc>
          <w:tcPr>
            <w:tcW w:w="2346" w:type="dxa"/>
            <w:shd w:val="clear" w:color="auto" w:fill="auto"/>
            <w:vAlign w:val="center"/>
            <w:hideMark/>
          </w:tcPr>
          <w:p w14:paraId="259C79D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ΤΡΙΤΟΒΑΘΜΙΑ ΕΚΠΑΙΔΕΥΣΗ</w:t>
            </w:r>
          </w:p>
        </w:tc>
        <w:tc>
          <w:tcPr>
            <w:tcW w:w="1134" w:type="dxa"/>
            <w:shd w:val="clear" w:color="auto" w:fill="auto"/>
            <w:vAlign w:val="center"/>
            <w:hideMark/>
          </w:tcPr>
          <w:p w14:paraId="7EFC0D4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1.177.572 €</w:t>
            </w:r>
          </w:p>
        </w:tc>
        <w:tc>
          <w:tcPr>
            <w:tcW w:w="1134" w:type="dxa"/>
            <w:shd w:val="clear" w:color="auto" w:fill="auto"/>
            <w:vAlign w:val="center"/>
            <w:hideMark/>
          </w:tcPr>
          <w:p w14:paraId="2695DED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149.409 €</w:t>
            </w:r>
          </w:p>
        </w:tc>
        <w:tc>
          <w:tcPr>
            <w:tcW w:w="1985" w:type="dxa"/>
            <w:shd w:val="clear" w:color="auto" w:fill="auto"/>
            <w:vAlign w:val="center"/>
            <w:hideMark/>
          </w:tcPr>
          <w:p w14:paraId="5E91CE2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130.600 €</w:t>
            </w:r>
          </w:p>
        </w:tc>
        <w:tc>
          <w:tcPr>
            <w:tcW w:w="1417" w:type="dxa"/>
            <w:shd w:val="clear" w:color="auto" w:fill="auto"/>
            <w:vAlign w:val="center"/>
            <w:hideMark/>
          </w:tcPr>
          <w:p w14:paraId="1A9F241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1.457.581 €</w:t>
            </w:r>
          </w:p>
        </w:tc>
      </w:tr>
      <w:tr w:rsidR="00A4063C" w:rsidRPr="00394ACF" w14:paraId="3113CA8F" w14:textId="77777777" w:rsidTr="00FE500C">
        <w:trPr>
          <w:cantSplit/>
          <w:trHeight w:val="420"/>
          <w:jc w:val="center"/>
        </w:trPr>
        <w:tc>
          <w:tcPr>
            <w:tcW w:w="1051" w:type="dxa"/>
            <w:shd w:val="clear" w:color="auto" w:fill="auto"/>
            <w:vAlign w:val="center"/>
            <w:hideMark/>
          </w:tcPr>
          <w:p w14:paraId="11246AB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09.1020.003</w:t>
            </w:r>
          </w:p>
        </w:tc>
        <w:tc>
          <w:tcPr>
            <w:tcW w:w="2346" w:type="dxa"/>
            <w:shd w:val="clear" w:color="auto" w:fill="auto"/>
            <w:vAlign w:val="center"/>
            <w:hideMark/>
          </w:tcPr>
          <w:p w14:paraId="3D1E0A0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ΕΠΑΓΓΕΛΜΑΤΙΚΗ ΕΚΠΑΙΔΕΥΣΗ ΚΑΙ ΔΙΑ ΒΙΟΥ ΜΑΘΗΣΗ</w:t>
            </w:r>
          </w:p>
        </w:tc>
        <w:tc>
          <w:tcPr>
            <w:tcW w:w="1134" w:type="dxa"/>
            <w:shd w:val="clear" w:color="auto" w:fill="auto"/>
            <w:vAlign w:val="center"/>
            <w:hideMark/>
          </w:tcPr>
          <w:p w14:paraId="44728BF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332.728 €</w:t>
            </w:r>
          </w:p>
        </w:tc>
        <w:tc>
          <w:tcPr>
            <w:tcW w:w="1134" w:type="dxa"/>
            <w:shd w:val="clear" w:color="auto" w:fill="auto"/>
            <w:vAlign w:val="center"/>
            <w:hideMark/>
          </w:tcPr>
          <w:p w14:paraId="796FBCF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26.674 €</w:t>
            </w:r>
          </w:p>
        </w:tc>
        <w:tc>
          <w:tcPr>
            <w:tcW w:w="1985" w:type="dxa"/>
            <w:shd w:val="clear" w:color="auto" w:fill="auto"/>
            <w:vAlign w:val="center"/>
            <w:hideMark/>
          </w:tcPr>
          <w:p w14:paraId="4EB1722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126.666 €</w:t>
            </w:r>
          </w:p>
        </w:tc>
        <w:tc>
          <w:tcPr>
            <w:tcW w:w="1417" w:type="dxa"/>
            <w:shd w:val="clear" w:color="auto" w:fill="auto"/>
            <w:vAlign w:val="center"/>
            <w:hideMark/>
          </w:tcPr>
          <w:p w14:paraId="0875FA6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486.068 €</w:t>
            </w:r>
          </w:p>
        </w:tc>
      </w:tr>
      <w:tr w:rsidR="00A4063C" w:rsidRPr="00394ACF" w14:paraId="7F0D49A2" w14:textId="77777777" w:rsidTr="00FE500C">
        <w:trPr>
          <w:cantSplit/>
          <w:trHeight w:val="210"/>
          <w:jc w:val="center"/>
        </w:trPr>
        <w:tc>
          <w:tcPr>
            <w:tcW w:w="1051" w:type="dxa"/>
            <w:shd w:val="clear" w:color="auto" w:fill="auto"/>
            <w:vAlign w:val="center"/>
            <w:hideMark/>
          </w:tcPr>
          <w:p w14:paraId="5F4EAFE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09.1020.004</w:t>
            </w:r>
          </w:p>
        </w:tc>
        <w:tc>
          <w:tcPr>
            <w:tcW w:w="2346" w:type="dxa"/>
            <w:shd w:val="clear" w:color="auto" w:fill="auto"/>
            <w:vAlign w:val="center"/>
            <w:hideMark/>
          </w:tcPr>
          <w:p w14:paraId="68C0317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ΕΚΠΑΙΔΕΥΣΗ ΕΛΛΗΝΟΠΑΙΔΩΝ ΕΞΩΤΕΡΙΚΟΥ</w:t>
            </w:r>
          </w:p>
        </w:tc>
        <w:tc>
          <w:tcPr>
            <w:tcW w:w="1134" w:type="dxa"/>
            <w:shd w:val="clear" w:color="auto" w:fill="auto"/>
            <w:vAlign w:val="center"/>
            <w:hideMark/>
          </w:tcPr>
          <w:p w14:paraId="3035E98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19.082 €</w:t>
            </w:r>
          </w:p>
        </w:tc>
        <w:tc>
          <w:tcPr>
            <w:tcW w:w="1134" w:type="dxa"/>
            <w:shd w:val="clear" w:color="auto" w:fill="auto"/>
            <w:vAlign w:val="center"/>
            <w:hideMark/>
          </w:tcPr>
          <w:p w14:paraId="1F4C0D2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43A22ED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3FECEB5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19.082 €</w:t>
            </w:r>
          </w:p>
        </w:tc>
      </w:tr>
      <w:tr w:rsidR="00A4063C" w:rsidRPr="00394ACF" w14:paraId="0F352D32" w14:textId="77777777" w:rsidTr="00FE500C">
        <w:trPr>
          <w:cantSplit/>
          <w:trHeight w:val="210"/>
          <w:jc w:val="center"/>
        </w:trPr>
        <w:tc>
          <w:tcPr>
            <w:tcW w:w="1051" w:type="dxa"/>
            <w:shd w:val="clear" w:color="auto" w:fill="auto"/>
            <w:vAlign w:val="center"/>
            <w:hideMark/>
          </w:tcPr>
          <w:p w14:paraId="3BCED4A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09.1020.005</w:t>
            </w:r>
          </w:p>
        </w:tc>
        <w:tc>
          <w:tcPr>
            <w:tcW w:w="2346" w:type="dxa"/>
            <w:shd w:val="clear" w:color="auto" w:fill="auto"/>
            <w:vAlign w:val="center"/>
            <w:hideMark/>
          </w:tcPr>
          <w:p w14:paraId="08C1980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ΘΡΗΣΚΕΥΤΙΚΗ ΕΚΠΑΙΔΕΥΣΗ</w:t>
            </w:r>
          </w:p>
        </w:tc>
        <w:tc>
          <w:tcPr>
            <w:tcW w:w="1134" w:type="dxa"/>
            <w:shd w:val="clear" w:color="auto" w:fill="auto"/>
            <w:vAlign w:val="center"/>
            <w:hideMark/>
          </w:tcPr>
          <w:p w14:paraId="05F26B0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7.295 €</w:t>
            </w:r>
          </w:p>
        </w:tc>
        <w:tc>
          <w:tcPr>
            <w:tcW w:w="1134" w:type="dxa"/>
            <w:shd w:val="clear" w:color="auto" w:fill="auto"/>
            <w:vAlign w:val="center"/>
            <w:hideMark/>
          </w:tcPr>
          <w:p w14:paraId="400102F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01DBE7F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6C5EE2F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7.295 €</w:t>
            </w:r>
          </w:p>
        </w:tc>
      </w:tr>
      <w:tr w:rsidR="00A4063C" w:rsidRPr="00394ACF" w14:paraId="0C5740A8" w14:textId="77777777" w:rsidTr="00FE500C">
        <w:trPr>
          <w:cantSplit/>
          <w:trHeight w:val="630"/>
          <w:jc w:val="center"/>
        </w:trPr>
        <w:tc>
          <w:tcPr>
            <w:tcW w:w="1051" w:type="dxa"/>
            <w:shd w:val="clear" w:color="auto" w:fill="auto"/>
            <w:vAlign w:val="center"/>
            <w:hideMark/>
          </w:tcPr>
          <w:p w14:paraId="0613821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09.1020.006</w:t>
            </w:r>
          </w:p>
        </w:tc>
        <w:tc>
          <w:tcPr>
            <w:tcW w:w="2346" w:type="dxa"/>
            <w:shd w:val="clear" w:color="auto" w:fill="auto"/>
            <w:vAlign w:val="center"/>
            <w:hideMark/>
          </w:tcPr>
          <w:p w14:paraId="3572D5F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ΠΑΙΔΕΙΑΣ, ΘΡΗΣΚΕΥΜΑΤΩΝ ΚΑΙ ΑΘΛΗΤΙΣΜΟΥ</w:t>
            </w:r>
          </w:p>
        </w:tc>
        <w:tc>
          <w:tcPr>
            <w:tcW w:w="1134" w:type="dxa"/>
            <w:shd w:val="clear" w:color="auto" w:fill="auto"/>
            <w:vAlign w:val="center"/>
            <w:hideMark/>
          </w:tcPr>
          <w:p w14:paraId="1188541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171.125 €</w:t>
            </w:r>
          </w:p>
        </w:tc>
        <w:tc>
          <w:tcPr>
            <w:tcW w:w="1134" w:type="dxa"/>
            <w:shd w:val="clear" w:color="auto" w:fill="auto"/>
            <w:vAlign w:val="center"/>
            <w:hideMark/>
          </w:tcPr>
          <w:p w14:paraId="360F59B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15.352 €</w:t>
            </w:r>
          </w:p>
        </w:tc>
        <w:tc>
          <w:tcPr>
            <w:tcW w:w="1985" w:type="dxa"/>
            <w:shd w:val="clear" w:color="auto" w:fill="auto"/>
            <w:vAlign w:val="center"/>
            <w:hideMark/>
          </w:tcPr>
          <w:p w14:paraId="05F0928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1.834 €</w:t>
            </w:r>
          </w:p>
        </w:tc>
        <w:tc>
          <w:tcPr>
            <w:tcW w:w="1417" w:type="dxa"/>
            <w:shd w:val="clear" w:color="auto" w:fill="auto"/>
            <w:vAlign w:val="center"/>
            <w:hideMark/>
          </w:tcPr>
          <w:p w14:paraId="7931F37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188.311 €</w:t>
            </w:r>
          </w:p>
        </w:tc>
      </w:tr>
      <w:tr w:rsidR="00A4063C" w:rsidRPr="00394ACF" w14:paraId="6F764AF6" w14:textId="77777777" w:rsidTr="00FE500C">
        <w:trPr>
          <w:cantSplit/>
          <w:trHeight w:val="420"/>
          <w:jc w:val="center"/>
        </w:trPr>
        <w:tc>
          <w:tcPr>
            <w:tcW w:w="1051" w:type="dxa"/>
            <w:shd w:val="clear" w:color="auto" w:fill="auto"/>
            <w:vAlign w:val="center"/>
            <w:hideMark/>
          </w:tcPr>
          <w:p w14:paraId="0A5827B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09.1020.007</w:t>
            </w:r>
          </w:p>
        </w:tc>
        <w:tc>
          <w:tcPr>
            <w:tcW w:w="2346" w:type="dxa"/>
            <w:shd w:val="clear" w:color="auto" w:fill="auto"/>
            <w:vAlign w:val="center"/>
            <w:hideMark/>
          </w:tcPr>
          <w:p w14:paraId="72F7E07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ΔΙΑΣΦΑΛΙΣΗ ΤΗΣ ΠΟΙΟΤΗΤΑΣ ΣΤΗΝ ΠΡΩΤΟΒΑΘΜΙΑ ΚΑΙ ΔΕΥΤΕΡΟΒΑΘΜΙΑ ΕΚΠΑΙΔΕΥΣΗ</w:t>
            </w:r>
          </w:p>
        </w:tc>
        <w:tc>
          <w:tcPr>
            <w:tcW w:w="1134" w:type="dxa"/>
            <w:shd w:val="clear" w:color="auto" w:fill="auto"/>
            <w:vAlign w:val="center"/>
            <w:hideMark/>
          </w:tcPr>
          <w:p w14:paraId="2A6BC27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77 €</w:t>
            </w:r>
          </w:p>
        </w:tc>
        <w:tc>
          <w:tcPr>
            <w:tcW w:w="1134" w:type="dxa"/>
            <w:shd w:val="clear" w:color="auto" w:fill="auto"/>
            <w:vAlign w:val="center"/>
            <w:hideMark/>
          </w:tcPr>
          <w:p w14:paraId="030F81A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04EECA2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57CD064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77 €</w:t>
            </w:r>
          </w:p>
        </w:tc>
      </w:tr>
      <w:tr w:rsidR="00A4063C" w:rsidRPr="00394ACF" w14:paraId="42B4C3A0" w14:textId="77777777" w:rsidTr="00FE500C">
        <w:trPr>
          <w:cantSplit/>
          <w:trHeight w:val="210"/>
          <w:jc w:val="center"/>
        </w:trPr>
        <w:tc>
          <w:tcPr>
            <w:tcW w:w="1051" w:type="dxa"/>
            <w:shd w:val="clear" w:color="auto" w:fill="auto"/>
            <w:vAlign w:val="center"/>
            <w:hideMark/>
          </w:tcPr>
          <w:p w14:paraId="2826C25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09.1020.008</w:t>
            </w:r>
          </w:p>
        </w:tc>
        <w:tc>
          <w:tcPr>
            <w:tcW w:w="2346" w:type="dxa"/>
            <w:shd w:val="clear" w:color="auto" w:fill="auto"/>
            <w:vAlign w:val="center"/>
            <w:hideMark/>
          </w:tcPr>
          <w:p w14:paraId="71FA70E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ΕΘΝΙΚΗ ΑΡΧΗ ΑΝΩΤΑΤΗΣ ΕΚΠΑΙΔΕΥΣΗΣ</w:t>
            </w:r>
          </w:p>
        </w:tc>
        <w:tc>
          <w:tcPr>
            <w:tcW w:w="1134" w:type="dxa"/>
            <w:shd w:val="clear" w:color="auto" w:fill="auto"/>
            <w:vAlign w:val="center"/>
            <w:hideMark/>
          </w:tcPr>
          <w:p w14:paraId="2FCB0E7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1.272 €</w:t>
            </w:r>
          </w:p>
        </w:tc>
        <w:tc>
          <w:tcPr>
            <w:tcW w:w="1134" w:type="dxa"/>
            <w:shd w:val="clear" w:color="auto" w:fill="auto"/>
            <w:vAlign w:val="center"/>
            <w:hideMark/>
          </w:tcPr>
          <w:p w14:paraId="1BF6A11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5F8F534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5.395 €</w:t>
            </w:r>
          </w:p>
        </w:tc>
        <w:tc>
          <w:tcPr>
            <w:tcW w:w="1417" w:type="dxa"/>
            <w:shd w:val="clear" w:color="auto" w:fill="auto"/>
            <w:vAlign w:val="center"/>
            <w:hideMark/>
          </w:tcPr>
          <w:p w14:paraId="187B067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6.667 €</w:t>
            </w:r>
          </w:p>
        </w:tc>
      </w:tr>
      <w:tr w:rsidR="00A4063C" w:rsidRPr="00394ACF" w14:paraId="72563224" w14:textId="77777777" w:rsidTr="00FE500C">
        <w:trPr>
          <w:cantSplit/>
          <w:trHeight w:val="210"/>
          <w:jc w:val="center"/>
        </w:trPr>
        <w:tc>
          <w:tcPr>
            <w:tcW w:w="1051" w:type="dxa"/>
            <w:shd w:val="clear" w:color="auto" w:fill="auto"/>
            <w:vAlign w:val="center"/>
            <w:hideMark/>
          </w:tcPr>
          <w:p w14:paraId="2BC19F4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09.1020.009</w:t>
            </w:r>
          </w:p>
        </w:tc>
        <w:tc>
          <w:tcPr>
            <w:tcW w:w="2346" w:type="dxa"/>
            <w:shd w:val="clear" w:color="auto" w:fill="auto"/>
            <w:vAlign w:val="center"/>
            <w:hideMark/>
          </w:tcPr>
          <w:p w14:paraId="3E082B9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ΕΘΝΙΚΟΣ ΟΡΓΑΝΙΣΜΟΣ ΕΞΕΤΑΣΕΩΝ</w:t>
            </w:r>
          </w:p>
        </w:tc>
        <w:tc>
          <w:tcPr>
            <w:tcW w:w="1134" w:type="dxa"/>
            <w:shd w:val="clear" w:color="auto" w:fill="auto"/>
            <w:vAlign w:val="center"/>
            <w:hideMark/>
          </w:tcPr>
          <w:p w14:paraId="5A7C9CD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89 €</w:t>
            </w:r>
          </w:p>
        </w:tc>
        <w:tc>
          <w:tcPr>
            <w:tcW w:w="1134" w:type="dxa"/>
            <w:shd w:val="clear" w:color="auto" w:fill="auto"/>
            <w:vAlign w:val="center"/>
            <w:hideMark/>
          </w:tcPr>
          <w:p w14:paraId="799AAAC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3D9705C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65C5DA5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89 €</w:t>
            </w:r>
          </w:p>
        </w:tc>
      </w:tr>
      <w:tr w:rsidR="00A4063C" w:rsidRPr="00394ACF" w14:paraId="6218ED94" w14:textId="77777777" w:rsidTr="00FE500C">
        <w:trPr>
          <w:cantSplit/>
          <w:trHeight w:val="210"/>
          <w:jc w:val="center"/>
        </w:trPr>
        <w:tc>
          <w:tcPr>
            <w:tcW w:w="1051" w:type="dxa"/>
            <w:shd w:val="clear" w:color="000000" w:fill="D9D9D9"/>
            <w:vAlign w:val="center"/>
            <w:hideMark/>
          </w:tcPr>
          <w:p w14:paraId="6FCE768D"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1022</w:t>
            </w:r>
          </w:p>
        </w:tc>
        <w:tc>
          <w:tcPr>
            <w:tcW w:w="2346" w:type="dxa"/>
            <w:shd w:val="clear" w:color="000000" w:fill="D9D9D9"/>
            <w:vAlign w:val="center"/>
            <w:hideMark/>
          </w:tcPr>
          <w:p w14:paraId="5EA6F994"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ΠΟΛΙΤΙΣΜΟΥ</w:t>
            </w:r>
          </w:p>
        </w:tc>
        <w:tc>
          <w:tcPr>
            <w:tcW w:w="1134" w:type="dxa"/>
            <w:shd w:val="clear" w:color="000000" w:fill="D9D9D9"/>
            <w:vAlign w:val="center"/>
            <w:hideMark/>
          </w:tcPr>
          <w:p w14:paraId="46C1946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278.109 €</w:t>
            </w:r>
          </w:p>
        </w:tc>
        <w:tc>
          <w:tcPr>
            <w:tcW w:w="1134" w:type="dxa"/>
            <w:shd w:val="clear" w:color="000000" w:fill="D9D9D9"/>
            <w:vAlign w:val="center"/>
            <w:hideMark/>
          </w:tcPr>
          <w:p w14:paraId="0B682EDC"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370.000 €</w:t>
            </w:r>
          </w:p>
        </w:tc>
        <w:tc>
          <w:tcPr>
            <w:tcW w:w="1985" w:type="dxa"/>
            <w:shd w:val="clear" w:color="000000" w:fill="D9D9D9"/>
            <w:vAlign w:val="center"/>
            <w:hideMark/>
          </w:tcPr>
          <w:p w14:paraId="36DA5ACE"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5.000 €</w:t>
            </w:r>
          </w:p>
        </w:tc>
        <w:tc>
          <w:tcPr>
            <w:tcW w:w="1417" w:type="dxa"/>
            <w:shd w:val="clear" w:color="000000" w:fill="D9D9D9"/>
            <w:vAlign w:val="center"/>
            <w:hideMark/>
          </w:tcPr>
          <w:p w14:paraId="71DA631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653.109 €</w:t>
            </w:r>
          </w:p>
        </w:tc>
      </w:tr>
      <w:tr w:rsidR="00A4063C" w:rsidRPr="00394ACF" w14:paraId="3D493A01" w14:textId="77777777" w:rsidTr="00FE500C">
        <w:trPr>
          <w:cantSplit/>
          <w:trHeight w:val="420"/>
          <w:jc w:val="center"/>
        </w:trPr>
        <w:tc>
          <w:tcPr>
            <w:tcW w:w="1051" w:type="dxa"/>
            <w:shd w:val="clear" w:color="auto" w:fill="auto"/>
            <w:vAlign w:val="center"/>
            <w:hideMark/>
          </w:tcPr>
          <w:p w14:paraId="715F40D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lastRenderedPageBreak/>
              <w:t>08.1022.001</w:t>
            </w:r>
          </w:p>
        </w:tc>
        <w:tc>
          <w:tcPr>
            <w:tcW w:w="2346" w:type="dxa"/>
            <w:shd w:val="clear" w:color="auto" w:fill="auto"/>
            <w:vAlign w:val="center"/>
            <w:hideMark/>
          </w:tcPr>
          <w:p w14:paraId="6E46B45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ΠΟΛΙΤΙΣΜΟΥ</w:t>
            </w:r>
          </w:p>
        </w:tc>
        <w:tc>
          <w:tcPr>
            <w:tcW w:w="1134" w:type="dxa"/>
            <w:shd w:val="clear" w:color="auto" w:fill="auto"/>
            <w:vAlign w:val="center"/>
            <w:hideMark/>
          </w:tcPr>
          <w:p w14:paraId="2982728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29.512 €</w:t>
            </w:r>
          </w:p>
        </w:tc>
        <w:tc>
          <w:tcPr>
            <w:tcW w:w="1134" w:type="dxa"/>
            <w:shd w:val="clear" w:color="auto" w:fill="auto"/>
            <w:vAlign w:val="center"/>
            <w:hideMark/>
          </w:tcPr>
          <w:p w14:paraId="0C71ADE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76.088 €</w:t>
            </w:r>
          </w:p>
        </w:tc>
        <w:tc>
          <w:tcPr>
            <w:tcW w:w="1985" w:type="dxa"/>
            <w:shd w:val="clear" w:color="auto" w:fill="auto"/>
            <w:vAlign w:val="center"/>
            <w:hideMark/>
          </w:tcPr>
          <w:p w14:paraId="0028EAC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3CC3C42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105.600 €</w:t>
            </w:r>
          </w:p>
        </w:tc>
      </w:tr>
      <w:tr w:rsidR="00A4063C" w:rsidRPr="00394ACF" w14:paraId="321CDDF9" w14:textId="77777777" w:rsidTr="00FE500C">
        <w:trPr>
          <w:cantSplit/>
          <w:trHeight w:val="420"/>
          <w:jc w:val="center"/>
        </w:trPr>
        <w:tc>
          <w:tcPr>
            <w:tcW w:w="1051" w:type="dxa"/>
            <w:shd w:val="clear" w:color="auto" w:fill="auto"/>
            <w:vAlign w:val="center"/>
            <w:hideMark/>
          </w:tcPr>
          <w:p w14:paraId="3D4309D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08.1022.002</w:t>
            </w:r>
          </w:p>
        </w:tc>
        <w:tc>
          <w:tcPr>
            <w:tcW w:w="2346" w:type="dxa"/>
            <w:shd w:val="clear" w:color="auto" w:fill="auto"/>
            <w:vAlign w:val="center"/>
            <w:hideMark/>
          </w:tcPr>
          <w:p w14:paraId="4FDC350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ΑΡΧΑΙΟΛΟΓΙΚΑ ΜΟΥΣΕΙΑ - ΑΡΧΑΙΟΛΟΓΙΚΟΙ ΧΩΡΟΙ-ΜΝΗΜΕΙΑ-ΚΤΙΡΙΑ</w:t>
            </w:r>
          </w:p>
        </w:tc>
        <w:tc>
          <w:tcPr>
            <w:tcW w:w="1134" w:type="dxa"/>
            <w:shd w:val="clear" w:color="auto" w:fill="auto"/>
            <w:vAlign w:val="center"/>
            <w:hideMark/>
          </w:tcPr>
          <w:p w14:paraId="4DEBE7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150.002 €</w:t>
            </w:r>
          </w:p>
        </w:tc>
        <w:tc>
          <w:tcPr>
            <w:tcW w:w="1134" w:type="dxa"/>
            <w:shd w:val="clear" w:color="auto" w:fill="auto"/>
            <w:vAlign w:val="center"/>
            <w:hideMark/>
          </w:tcPr>
          <w:p w14:paraId="6E2E1FE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219.152 €</w:t>
            </w:r>
          </w:p>
        </w:tc>
        <w:tc>
          <w:tcPr>
            <w:tcW w:w="1985" w:type="dxa"/>
            <w:shd w:val="clear" w:color="auto" w:fill="auto"/>
            <w:vAlign w:val="center"/>
            <w:hideMark/>
          </w:tcPr>
          <w:p w14:paraId="7A8ADDD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5.000 €</w:t>
            </w:r>
          </w:p>
        </w:tc>
        <w:tc>
          <w:tcPr>
            <w:tcW w:w="1417" w:type="dxa"/>
            <w:shd w:val="clear" w:color="auto" w:fill="auto"/>
            <w:vAlign w:val="center"/>
            <w:hideMark/>
          </w:tcPr>
          <w:p w14:paraId="3C6CB9B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374.155 €</w:t>
            </w:r>
          </w:p>
        </w:tc>
      </w:tr>
      <w:tr w:rsidR="00A4063C" w:rsidRPr="00394ACF" w14:paraId="1DD3169E" w14:textId="77777777" w:rsidTr="00FE500C">
        <w:trPr>
          <w:cantSplit/>
          <w:trHeight w:val="420"/>
          <w:jc w:val="center"/>
        </w:trPr>
        <w:tc>
          <w:tcPr>
            <w:tcW w:w="1051" w:type="dxa"/>
            <w:shd w:val="clear" w:color="auto" w:fill="auto"/>
            <w:vAlign w:val="center"/>
            <w:hideMark/>
          </w:tcPr>
          <w:p w14:paraId="187C5A0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08.1022.003</w:t>
            </w:r>
          </w:p>
        </w:tc>
        <w:tc>
          <w:tcPr>
            <w:tcW w:w="2346" w:type="dxa"/>
            <w:shd w:val="clear" w:color="auto" w:fill="auto"/>
            <w:vAlign w:val="center"/>
            <w:hideMark/>
          </w:tcPr>
          <w:p w14:paraId="759747D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ΤΕΧΝΕΣ ΚΑΙ ΓΡΑΜΜΑΤΑ - ΚΑΛΛΙΤΕΧΝΙΚΗ ΕΚΠΑΙΔΕΥΣΗ ΚΑΙ ΛΟΙΠΕΣ ΠΟΛΙΤΙΣΤΙΚΕΣ ΔΡΑΣΕΙΣ</w:t>
            </w:r>
          </w:p>
        </w:tc>
        <w:tc>
          <w:tcPr>
            <w:tcW w:w="1134" w:type="dxa"/>
            <w:shd w:val="clear" w:color="auto" w:fill="auto"/>
            <w:vAlign w:val="center"/>
            <w:hideMark/>
          </w:tcPr>
          <w:p w14:paraId="47ACCA6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91.999 €</w:t>
            </w:r>
          </w:p>
        </w:tc>
        <w:tc>
          <w:tcPr>
            <w:tcW w:w="1134" w:type="dxa"/>
            <w:shd w:val="clear" w:color="auto" w:fill="auto"/>
            <w:vAlign w:val="center"/>
            <w:hideMark/>
          </w:tcPr>
          <w:p w14:paraId="4ADD47C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12.841 €</w:t>
            </w:r>
          </w:p>
        </w:tc>
        <w:tc>
          <w:tcPr>
            <w:tcW w:w="1985" w:type="dxa"/>
            <w:shd w:val="clear" w:color="auto" w:fill="auto"/>
            <w:vAlign w:val="center"/>
            <w:hideMark/>
          </w:tcPr>
          <w:p w14:paraId="2616806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8486EE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104.841 €</w:t>
            </w:r>
          </w:p>
        </w:tc>
      </w:tr>
      <w:tr w:rsidR="00A4063C" w:rsidRPr="00394ACF" w14:paraId="7DF076BF" w14:textId="77777777" w:rsidTr="00FE500C">
        <w:trPr>
          <w:cantSplit/>
          <w:trHeight w:val="210"/>
          <w:jc w:val="center"/>
        </w:trPr>
        <w:tc>
          <w:tcPr>
            <w:tcW w:w="1051" w:type="dxa"/>
            <w:shd w:val="clear" w:color="auto" w:fill="auto"/>
            <w:vAlign w:val="center"/>
            <w:hideMark/>
          </w:tcPr>
          <w:p w14:paraId="4617738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08.1022.004</w:t>
            </w:r>
          </w:p>
        </w:tc>
        <w:tc>
          <w:tcPr>
            <w:tcW w:w="2346" w:type="dxa"/>
            <w:shd w:val="clear" w:color="auto" w:fill="auto"/>
            <w:vAlign w:val="center"/>
            <w:hideMark/>
          </w:tcPr>
          <w:p w14:paraId="0CB8E55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ΟΠΤΙΚΟΑΚΟΥΣΤΙΚΗ ΠΑΡΑΓΩΓΗ</w:t>
            </w:r>
          </w:p>
        </w:tc>
        <w:tc>
          <w:tcPr>
            <w:tcW w:w="1134" w:type="dxa"/>
            <w:shd w:val="clear" w:color="auto" w:fill="auto"/>
            <w:vAlign w:val="center"/>
            <w:hideMark/>
          </w:tcPr>
          <w:p w14:paraId="2C43949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6.595 €</w:t>
            </w:r>
          </w:p>
        </w:tc>
        <w:tc>
          <w:tcPr>
            <w:tcW w:w="1134" w:type="dxa"/>
            <w:shd w:val="clear" w:color="auto" w:fill="auto"/>
            <w:vAlign w:val="center"/>
            <w:hideMark/>
          </w:tcPr>
          <w:p w14:paraId="37A78DF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61.919 €</w:t>
            </w:r>
          </w:p>
        </w:tc>
        <w:tc>
          <w:tcPr>
            <w:tcW w:w="1985" w:type="dxa"/>
            <w:shd w:val="clear" w:color="auto" w:fill="auto"/>
            <w:vAlign w:val="center"/>
            <w:hideMark/>
          </w:tcPr>
          <w:p w14:paraId="31FD156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552B6C8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68.514 €</w:t>
            </w:r>
          </w:p>
        </w:tc>
      </w:tr>
      <w:tr w:rsidR="00A4063C" w:rsidRPr="00394ACF" w14:paraId="21AECA5C" w14:textId="77777777" w:rsidTr="00FE500C">
        <w:trPr>
          <w:cantSplit/>
          <w:trHeight w:val="420"/>
          <w:jc w:val="center"/>
        </w:trPr>
        <w:tc>
          <w:tcPr>
            <w:tcW w:w="1051" w:type="dxa"/>
            <w:shd w:val="clear" w:color="000000" w:fill="D9D9D9"/>
            <w:vAlign w:val="center"/>
            <w:hideMark/>
          </w:tcPr>
          <w:p w14:paraId="0D088490"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1024</w:t>
            </w:r>
          </w:p>
        </w:tc>
        <w:tc>
          <w:tcPr>
            <w:tcW w:w="2346" w:type="dxa"/>
            <w:shd w:val="clear" w:color="000000" w:fill="D9D9D9"/>
            <w:vAlign w:val="center"/>
            <w:hideMark/>
          </w:tcPr>
          <w:p w14:paraId="1AD22F81"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ΕΘΝΙΚΗΣ ΟΙΚΟΝΟΜΙΑΣ ΚΑΙ ΟΙΚΟΝΟΜΙΚΩΝ</w:t>
            </w:r>
          </w:p>
        </w:tc>
        <w:tc>
          <w:tcPr>
            <w:tcW w:w="1134" w:type="dxa"/>
            <w:shd w:val="clear" w:color="000000" w:fill="D9D9D9"/>
            <w:vAlign w:val="center"/>
            <w:hideMark/>
          </w:tcPr>
          <w:p w14:paraId="0C751B4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16.307.438 €</w:t>
            </w:r>
          </w:p>
        </w:tc>
        <w:tc>
          <w:tcPr>
            <w:tcW w:w="1134" w:type="dxa"/>
            <w:shd w:val="clear" w:color="000000" w:fill="D9D9D9"/>
            <w:vAlign w:val="center"/>
            <w:hideMark/>
          </w:tcPr>
          <w:p w14:paraId="03A3CA6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1.049.954 €</w:t>
            </w:r>
          </w:p>
        </w:tc>
        <w:tc>
          <w:tcPr>
            <w:tcW w:w="1985" w:type="dxa"/>
            <w:shd w:val="clear" w:color="000000" w:fill="D9D9D9"/>
            <w:vAlign w:val="center"/>
            <w:hideMark/>
          </w:tcPr>
          <w:p w14:paraId="3D98D54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2.020.000 €</w:t>
            </w:r>
          </w:p>
        </w:tc>
        <w:tc>
          <w:tcPr>
            <w:tcW w:w="1417" w:type="dxa"/>
            <w:shd w:val="clear" w:color="000000" w:fill="D9D9D9"/>
            <w:vAlign w:val="center"/>
            <w:hideMark/>
          </w:tcPr>
          <w:p w14:paraId="2B3B6C1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19.377.392 €</w:t>
            </w:r>
          </w:p>
        </w:tc>
      </w:tr>
      <w:tr w:rsidR="00A4063C" w:rsidRPr="00394ACF" w14:paraId="7B5A3A9B" w14:textId="77777777" w:rsidTr="00FE500C">
        <w:trPr>
          <w:cantSplit/>
          <w:trHeight w:val="630"/>
          <w:jc w:val="center"/>
        </w:trPr>
        <w:tc>
          <w:tcPr>
            <w:tcW w:w="1051" w:type="dxa"/>
            <w:shd w:val="clear" w:color="auto" w:fill="auto"/>
            <w:vAlign w:val="center"/>
            <w:hideMark/>
          </w:tcPr>
          <w:p w14:paraId="4995E5A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01.1024.001</w:t>
            </w:r>
          </w:p>
        </w:tc>
        <w:tc>
          <w:tcPr>
            <w:tcW w:w="2346" w:type="dxa"/>
            <w:shd w:val="clear" w:color="auto" w:fill="auto"/>
            <w:vAlign w:val="center"/>
            <w:hideMark/>
          </w:tcPr>
          <w:p w14:paraId="1697A39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ΕΘΝΙΚΗΣ ΟΙΚΟΝΟΜΙΑΣ ΚΑΙ ΟΙΚΟΝΟΜΙΚΩΝ</w:t>
            </w:r>
          </w:p>
        </w:tc>
        <w:tc>
          <w:tcPr>
            <w:tcW w:w="1134" w:type="dxa"/>
            <w:shd w:val="clear" w:color="auto" w:fill="auto"/>
            <w:vAlign w:val="center"/>
            <w:hideMark/>
          </w:tcPr>
          <w:p w14:paraId="526B979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36.111 €</w:t>
            </w:r>
          </w:p>
        </w:tc>
        <w:tc>
          <w:tcPr>
            <w:tcW w:w="1134" w:type="dxa"/>
            <w:shd w:val="clear" w:color="auto" w:fill="auto"/>
            <w:vAlign w:val="center"/>
            <w:hideMark/>
          </w:tcPr>
          <w:p w14:paraId="04A4785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306 €</w:t>
            </w:r>
          </w:p>
        </w:tc>
        <w:tc>
          <w:tcPr>
            <w:tcW w:w="1985" w:type="dxa"/>
            <w:shd w:val="clear" w:color="auto" w:fill="auto"/>
            <w:vAlign w:val="center"/>
            <w:hideMark/>
          </w:tcPr>
          <w:p w14:paraId="34A989A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6713BD8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36.417 €</w:t>
            </w:r>
          </w:p>
        </w:tc>
      </w:tr>
      <w:tr w:rsidR="00A4063C" w:rsidRPr="00394ACF" w14:paraId="797F937A" w14:textId="77777777" w:rsidTr="00FE500C">
        <w:trPr>
          <w:cantSplit/>
          <w:trHeight w:val="210"/>
          <w:jc w:val="center"/>
        </w:trPr>
        <w:tc>
          <w:tcPr>
            <w:tcW w:w="1051" w:type="dxa"/>
            <w:shd w:val="clear" w:color="auto" w:fill="auto"/>
            <w:vAlign w:val="center"/>
            <w:hideMark/>
          </w:tcPr>
          <w:p w14:paraId="4F873B5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01.1024.002</w:t>
            </w:r>
          </w:p>
        </w:tc>
        <w:tc>
          <w:tcPr>
            <w:tcW w:w="2346" w:type="dxa"/>
            <w:shd w:val="clear" w:color="auto" w:fill="auto"/>
            <w:vAlign w:val="center"/>
            <w:hideMark/>
          </w:tcPr>
          <w:p w14:paraId="11FCCD0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ΟΙΚΟΝΟΜΙΚΗ ΠΟΛΙΤΙΚΗ</w:t>
            </w:r>
          </w:p>
        </w:tc>
        <w:tc>
          <w:tcPr>
            <w:tcW w:w="1134" w:type="dxa"/>
            <w:shd w:val="clear" w:color="auto" w:fill="auto"/>
            <w:vAlign w:val="center"/>
            <w:hideMark/>
          </w:tcPr>
          <w:p w14:paraId="2A525D8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197.628 €</w:t>
            </w:r>
          </w:p>
        </w:tc>
        <w:tc>
          <w:tcPr>
            <w:tcW w:w="1134" w:type="dxa"/>
            <w:shd w:val="clear" w:color="auto" w:fill="auto"/>
            <w:vAlign w:val="center"/>
            <w:hideMark/>
          </w:tcPr>
          <w:p w14:paraId="34DA278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32.027 €</w:t>
            </w:r>
          </w:p>
        </w:tc>
        <w:tc>
          <w:tcPr>
            <w:tcW w:w="1985" w:type="dxa"/>
            <w:shd w:val="clear" w:color="auto" w:fill="auto"/>
            <w:vAlign w:val="center"/>
            <w:hideMark/>
          </w:tcPr>
          <w:p w14:paraId="302A738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398.555 €</w:t>
            </w:r>
          </w:p>
        </w:tc>
        <w:tc>
          <w:tcPr>
            <w:tcW w:w="1417" w:type="dxa"/>
            <w:shd w:val="clear" w:color="auto" w:fill="auto"/>
            <w:vAlign w:val="center"/>
            <w:hideMark/>
          </w:tcPr>
          <w:p w14:paraId="679FD37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628.210 €</w:t>
            </w:r>
          </w:p>
        </w:tc>
      </w:tr>
      <w:tr w:rsidR="00A4063C" w:rsidRPr="00394ACF" w14:paraId="2967D47E" w14:textId="77777777" w:rsidTr="00FE500C">
        <w:trPr>
          <w:cantSplit/>
          <w:trHeight w:val="210"/>
          <w:jc w:val="center"/>
        </w:trPr>
        <w:tc>
          <w:tcPr>
            <w:tcW w:w="1051" w:type="dxa"/>
            <w:shd w:val="clear" w:color="auto" w:fill="auto"/>
            <w:vAlign w:val="center"/>
            <w:hideMark/>
          </w:tcPr>
          <w:p w14:paraId="2E49B21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01.1024.003</w:t>
            </w:r>
          </w:p>
        </w:tc>
        <w:tc>
          <w:tcPr>
            <w:tcW w:w="2346" w:type="dxa"/>
            <w:shd w:val="clear" w:color="auto" w:fill="auto"/>
            <w:vAlign w:val="center"/>
            <w:hideMark/>
          </w:tcPr>
          <w:p w14:paraId="5C41350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ΔΗΜΟΣΙΑΣ ΠΕΡΙΟΥΣΙΑΣ</w:t>
            </w:r>
          </w:p>
        </w:tc>
        <w:tc>
          <w:tcPr>
            <w:tcW w:w="1134" w:type="dxa"/>
            <w:shd w:val="clear" w:color="auto" w:fill="auto"/>
            <w:vAlign w:val="center"/>
            <w:hideMark/>
          </w:tcPr>
          <w:p w14:paraId="4C9C3B3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39.951 €</w:t>
            </w:r>
          </w:p>
        </w:tc>
        <w:tc>
          <w:tcPr>
            <w:tcW w:w="1134" w:type="dxa"/>
            <w:shd w:val="clear" w:color="auto" w:fill="auto"/>
            <w:vAlign w:val="center"/>
            <w:hideMark/>
          </w:tcPr>
          <w:p w14:paraId="20996A0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6.242 €</w:t>
            </w:r>
          </w:p>
        </w:tc>
        <w:tc>
          <w:tcPr>
            <w:tcW w:w="1985" w:type="dxa"/>
            <w:shd w:val="clear" w:color="auto" w:fill="auto"/>
            <w:vAlign w:val="center"/>
            <w:hideMark/>
          </w:tcPr>
          <w:p w14:paraId="38846FD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BC3963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46.193 €</w:t>
            </w:r>
          </w:p>
        </w:tc>
      </w:tr>
      <w:tr w:rsidR="00A4063C" w:rsidRPr="00394ACF" w14:paraId="794E67DE" w14:textId="77777777" w:rsidTr="00FE500C">
        <w:trPr>
          <w:cantSplit/>
          <w:trHeight w:val="420"/>
          <w:jc w:val="center"/>
        </w:trPr>
        <w:tc>
          <w:tcPr>
            <w:tcW w:w="1051" w:type="dxa"/>
            <w:shd w:val="clear" w:color="auto" w:fill="auto"/>
            <w:vAlign w:val="center"/>
            <w:hideMark/>
          </w:tcPr>
          <w:p w14:paraId="0F4FA4F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01.1024.004</w:t>
            </w:r>
          </w:p>
        </w:tc>
        <w:tc>
          <w:tcPr>
            <w:tcW w:w="2346" w:type="dxa"/>
            <w:shd w:val="clear" w:color="auto" w:fill="auto"/>
            <w:vAlign w:val="center"/>
            <w:hideMark/>
          </w:tcPr>
          <w:p w14:paraId="7D7769B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ΓΕΝΙΚΕΣ ΚΡΑΤΙΚΕΣ ΔΑΠΑΝΕΣ ΚΑΙ ΔΗΜΟΣΙΟΝΟΜΙΚΗ ΠΟΛΙΤΙΚΗ</w:t>
            </w:r>
          </w:p>
        </w:tc>
        <w:tc>
          <w:tcPr>
            <w:tcW w:w="1134" w:type="dxa"/>
            <w:shd w:val="clear" w:color="auto" w:fill="auto"/>
            <w:vAlign w:val="center"/>
            <w:hideMark/>
          </w:tcPr>
          <w:p w14:paraId="6920A71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14.406.143 €</w:t>
            </w:r>
          </w:p>
        </w:tc>
        <w:tc>
          <w:tcPr>
            <w:tcW w:w="1134" w:type="dxa"/>
            <w:shd w:val="clear" w:color="auto" w:fill="auto"/>
            <w:vAlign w:val="center"/>
            <w:hideMark/>
          </w:tcPr>
          <w:p w14:paraId="24B6198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2.027 €</w:t>
            </w:r>
          </w:p>
        </w:tc>
        <w:tc>
          <w:tcPr>
            <w:tcW w:w="1985" w:type="dxa"/>
            <w:shd w:val="clear" w:color="auto" w:fill="auto"/>
            <w:vAlign w:val="center"/>
            <w:hideMark/>
          </w:tcPr>
          <w:p w14:paraId="78FF496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1.250 €</w:t>
            </w:r>
          </w:p>
        </w:tc>
        <w:tc>
          <w:tcPr>
            <w:tcW w:w="1417" w:type="dxa"/>
            <w:shd w:val="clear" w:color="auto" w:fill="auto"/>
            <w:vAlign w:val="center"/>
            <w:hideMark/>
          </w:tcPr>
          <w:p w14:paraId="74AF048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14.409.420 €</w:t>
            </w:r>
          </w:p>
        </w:tc>
      </w:tr>
      <w:tr w:rsidR="00A4063C" w:rsidRPr="00394ACF" w14:paraId="2585CE0E" w14:textId="77777777" w:rsidTr="00FE500C">
        <w:trPr>
          <w:cantSplit/>
          <w:trHeight w:val="210"/>
          <w:jc w:val="center"/>
        </w:trPr>
        <w:tc>
          <w:tcPr>
            <w:tcW w:w="1051" w:type="dxa"/>
            <w:shd w:val="clear" w:color="auto" w:fill="auto"/>
            <w:vAlign w:val="center"/>
            <w:hideMark/>
          </w:tcPr>
          <w:p w14:paraId="4FF396F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01.1024.005</w:t>
            </w:r>
          </w:p>
        </w:tc>
        <w:tc>
          <w:tcPr>
            <w:tcW w:w="2346" w:type="dxa"/>
            <w:shd w:val="clear" w:color="auto" w:fill="auto"/>
            <w:vAlign w:val="center"/>
            <w:hideMark/>
          </w:tcPr>
          <w:p w14:paraId="4EF3BAE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ΣΤΑΤΙΣΤΙΚΑ ΔΕΔΟΜΕΝΑ ΚΑΙ ΕΡΕΥΝΕΣ ΕΛΣΤΑΤ</w:t>
            </w:r>
          </w:p>
        </w:tc>
        <w:tc>
          <w:tcPr>
            <w:tcW w:w="1134" w:type="dxa"/>
            <w:shd w:val="clear" w:color="auto" w:fill="auto"/>
            <w:vAlign w:val="center"/>
            <w:hideMark/>
          </w:tcPr>
          <w:p w14:paraId="77551D3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39.000 €</w:t>
            </w:r>
          </w:p>
        </w:tc>
        <w:tc>
          <w:tcPr>
            <w:tcW w:w="1134" w:type="dxa"/>
            <w:shd w:val="clear" w:color="auto" w:fill="auto"/>
            <w:vAlign w:val="center"/>
            <w:hideMark/>
          </w:tcPr>
          <w:p w14:paraId="174E616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34FC977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594ACC2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39.000 €</w:t>
            </w:r>
          </w:p>
        </w:tc>
      </w:tr>
      <w:tr w:rsidR="00A4063C" w:rsidRPr="00394ACF" w14:paraId="416BFFFE" w14:textId="77777777" w:rsidTr="00FE500C">
        <w:trPr>
          <w:cantSplit/>
          <w:trHeight w:val="210"/>
          <w:jc w:val="center"/>
        </w:trPr>
        <w:tc>
          <w:tcPr>
            <w:tcW w:w="1051" w:type="dxa"/>
            <w:shd w:val="clear" w:color="auto" w:fill="auto"/>
            <w:vAlign w:val="center"/>
            <w:hideMark/>
          </w:tcPr>
          <w:p w14:paraId="193EAE2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01.1024.006</w:t>
            </w:r>
          </w:p>
        </w:tc>
        <w:tc>
          <w:tcPr>
            <w:tcW w:w="2346" w:type="dxa"/>
            <w:shd w:val="clear" w:color="auto" w:fill="auto"/>
            <w:vAlign w:val="center"/>
            <w:hideMark/>
          </w:tcPr>
          <w:p w14:paraId="14ACCBF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ΜΕΤΑΝΑΣΤΕΥΤΙΚΗ ΠΟΛΙΤΙΚΗ</w:t>
            </w:r>
          </w:p>
        </w:tc>
        <w:tc>
          <w:tcPr>
            <w:tcW w:w="1134" w:type="dxa"/>
            <w:shd w:val="clear" w:color="auto" w:fill="auto"/>
            <w:vAlign w:val="center"/>
            <w:hideMark/>
          </w:tcPr>
          <w:p w14:paraId="44189CF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180.000 €</w:t>
            </w:r>
          </w:p>
        </w:tc>
        <w:tc>
          <w:tcPr>
            <w:tcW w:w="1134" w:type="dxa"/>
            <w:shd w:val="clear" w:color="auto" w:fill="auto"/>
            <w:vAlign w:val="center"/>
            <w:hideMark/>
          </w:tcPr>
          <w:p w14:paraId="7F4B77D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0D415C7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1F84B6F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180.000 €</w:t>
            </w:r>
          </w:p>
        </w:tc>
      </w:tr>
      <w:tr w:rsidR="00A4063C" w:rsidRPr="00394ACF" w14:paraId="5E9A6C92" w14:textId="77777777" w:rsidTr="00FE500C">
        <w:trPr>
          <w:cantSplit/>
          <w:trHeight w:val="210"/>
          <w:jc w:val="center"/>
        </w:trPr>
        <w:tc>
          <w:tcPr>
            <w:tcW w:w="1051" w:type="dxa"/>
            <w:shd w:val="clear" w:color="auto" w:fill="auto"/>
            <w:vAlign w:val="center"/>
            <w:hideMark/>
          </w:tcPr>
          <w:p w14:paraId="67487A1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01.1024.007</w:t>
            </w:r>
          </w:p>
        </w:tc>
        <w:tc>
          <w:tcPr>
            <w:tcW w:w="2346" w:type="dxa"/>
            <w:shd w:val="clear" w:color="auto" w:fill="auto"/>
            <w:vAlign w:val="center"/>
            <w:hideMark/>
          </w:tcPr>
          <w:p w14:paraId="6280440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ΝΟΜΙΚΗ ΥΠΟΣΤΗΡΙΞΗ ΤΟΥ ΚΡΑΤΟΥΣ</w:t>
            </w:r>
          </w:p>
        </w:tc>
        <w:tc>
          <w:tcPr>
            <w:tcW w:w="1134" w:type="dxa"/>
            <w:shd w:val="clear" w:color="auto" w:fill="auto"/>
            <w:vAlign w:val="center"/>
            <w:hideMark/>
          </w:tcPr>
          <w:p w14:paraId="6DBFB16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43.750 €</w:t>
            </w:r>
          </w:p>
        </w:tc>
        <w:tc>
          <w:tcPr>
            <w:tcW w:w="1134" w:type="dxa"/>
            <w:shd w:val="clear" w:color="auto" w:fill="auto"/>
            <w:vAlign w:val="center"/>
            <w:hideMark/>
          </w:tcPr>
          <w:p w14:paraId="6E0611A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79E07EC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346D426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43.750 €</w:t>
            </w:r>
          </w:p>
        </w:tc>
      </w:tr>
      <w:tr w:rsidR="00A4063C" w:rsidRPr="00394ACF" w14:paraId="0E421E70" w14:textId="77777777" w:rsidTr="00FE500C">
        <w:trPr>
          <w:cantSplit/>
          <w:trHeight w:val="210"/>
          <w:jc w:val="center"/>
        </w:trPr>
        <w:tc>
          <w:tcPr>
            <w:tcW w:w="1051" w:type="dxa"/>
            <w:shd w:val="clear" w:color="auto" w:fill="auto"/>
            <w:vAlign w:val="center"/>
            <w:hideMark/>
          </w:tcPr>
          <w:p w14:paraId="65440B7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01.1024.008</w:t>
            </w:r>
          </w:p>
        </w:tc>
        <w:tc>
          <w:tcPr>
            <w:tcW w:w="2346" w:type="dxa"/>
            <w:shd w:val="clear" w:color="auto" w:fill="auto"/>
            <w:vAlign w:val="center"/>
            <w:hideMark/>
          </w:tcPr>
          <w:p w14:paraId="7E7963D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ΔΗΜΟΣΙΩΝ ΕΣΟΔΩΝ</w:t>
            </w:r>
          </w:p>
        </w:tc>
        <w:tc>
          <w:tcPr>
            <w:tcW w:w="1134" w:type="dxa"/>
            <w:shd w:val="clear" w:color="auto" w:fill="auto"/>
            <w:vAlign w:val="center"/>
            <w:hideMark/>
          </w:tcPr>
          <w:p w14:paraId="11F8407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65.237 €</w:t>
            </w:r>
          </w:p>
        </w:tc>
        <w:tc>
          <w:tcPr>
            <w:tcW w:w="1134" w:type="dxa"/>
            <w:shd w:val="clear" w:color="auto" w:fill="auto"/>
            <w:vAlign w:val="center"/>
            <w:hideMark/>
          </w:tcPr>
          <w:p w14:paraId="7BCDFDC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5.234 €</w:t>
            </w:r>
          </w:p>
        </w:tc>
        <w:tc>
          <w:tcPr>
            <w:tcW w:w="1985" w:type="dxa"/>
            <w:shd w:val="clear" w:color="auto" w:fill="auto"/>
            <w:vAlign w:val="center"/>
            <w:hideMark/>
          </w:tcPr>
          <w:p w14:paraId="288CBDD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671 €</w:t>
            </w:r>
          </w:p>
        </w:tc>
        <w:tc>
          <w:tcPr>
            <w:tcW w:w="1417" w:type="dxa"/>
            <w:shd w:val="clear" w:color="auto" w:fill="auto"/>
            <w:vAlign w:val="center"/>
            <w:hideMark/>
          </w:tcPr>
          <w:p w14:paraId="3A5C9EB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71.142 €</w:t>
            </w:r>
          </w:p>
        </w:tc>
      </w:tr>
      <w:tr w:rsidR="00A4063C" w:rsidRPr="00394ACF" w14:paraId="22C27719" w14:textId="77777777" w:rsidTr="00FE500C">
        <w:trPr>
          <w:cantSplit/>
          <w:trHeight w:val="210"/>
          <w:jc w:val="center"/>
        </w:trPr>
        <w:tc>
          <w:tcPr>
            <w:tcW w:w="1051" w:type="dxa"/>
            <w:shd w:val="clear" w:color="auto" w:fill="auto"/>
            <w:vAlign w:val="center"/>
            <w:hideMark/>
          </w:tcPr>
          <w:p w14:paraId="1996728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01.1024.009</w:t>
            </w:r>
          </w:p>
        </w:tc>
        <w:tc>
          <w:tcPr>
            <w:tcW w:w="2346" w:type="dxa"/>
            <w:shd w:val="clear" w:color="auto" w:fill="auto"/>
            <w:vAlign w:val="center"/>
            <w:hideMark/>
          </w:tcPr>
          <w:p w14:paraId="3BB35AB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ΦΟΡΟΛΟΓΙΚΕΣ ΥΠΗΡΕΣΙΕΣ</w:t>
            </w:r>
          </w:p>
        </w:tc>
        <w:tc>
          <w:tcPr>
            <w:tcW w:w="1134" w:type="dxa"/>
            <w:shd w:val="clear" w:color="auto" w:fill="auto"/>
            <w:vAlign w:val="center"/>
            <w:hideMark/>
          </w:tcPr>
          <w:p w14:paraId="6AACCE0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306.316 €</w:t>
            </w:r>
          </w:p>
        </w:tc>
        <w:tc>
          <w:tcPr>
            <w:tcW w:w="1134" w:type="dxa"/>
            <w:shd w:val="clear" w:color="auto" w:fill="auto"/>
            <w:vAlign w:val="center"/>
            <w:hideMark/>
          </w:tcPr>
          <w:p w14:paraId="026842A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24.397 €</w:t>
            </w:r>
          </w:p>
        </w:tc>
        <w:tc>
          <w:tcPr>
            <w:tcW w:w="1985" w:type="dxa"/>
            <w:shd w:val="clear" w:color="auto" w:fill="auto"/>
            <w:vAlign w:val="center"/>
            <w:hideMark/>
          </w:tcPr>
          <w:p w14:paraId="74D0BF6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2.868 €</w:t>
            </w:r>
          </w:p>
        </w:tc>
        <w:tc>
          <w:tcPr>
            <w:tcW w:w="1417" w:type="dxa"/>
            <w:shd w:val="clear" w:color="auto" w:fill="auto"/>
            <w:vAlign w:val="center"/>
            <w:hideMark/>
          </w:tcPr>
          <w:p w14:paraId="074CA77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333.582 €</w:t>
            </w:r>
          </w:p>
        </w:tc>
      </w:tr>
      <w:tr w:rsidR="00A4063C" w:rsidRPr="00394ACF" w14:paraId="2685A65F" w14:textId="77777777" w:rsidTr="00FE500C">
        <w:trPr>
          <w:cantSplit/>
          <w:trHeight w:val="210"/>
          <w:jc w:val="center"/>
        </w:trPr>
        <w:tc>
          <w:tcPr>
            <w:tcW w:w="1051" w:type="dxa"/>
            <w:shd w:val="clear" w:color="auto" w:fill="auto"/>
            <w:vAlign w:val="center"/>
            <w:hideMark/>
          </w:tcPr>
          <w:p w14:paraId="195FCA4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01.1024.010</w:t>
            </w:r>
          </w:p>
        </w:tc>
        <w:tc>
          <w:tcPr>
            <w:tcW w:w="2346" w:type="dxa"/>
            <w:shd w:val="clear" w:color="auto" w:fill="auto"/>
            <w:vAlign w:val="center"/>
            <w:hideMark/>
          </w:tcPr>
          <w:p w14:paraId="0ADF071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ΤΕΛΩΝΕΙΑΚΕΣ ΥΠΗΡΕΣΙΕΣ</w:t>
            </w:r>
          </w:p>
        </w:tc>
        <w:tc>
          <w:tcPr>
            <w:tcW w:w="1134" w:type="dxa"/>
            <w:shd w:val="clear" w:color="auto" w:fill="auto"/>
            <w:vAlign w:val="center"/>
            <w:hideMark/>
          </w:tcPr>
          <w:p w14:paraId="291FD14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123.511 €</w:t>
            </w:r>
          </w:p>
        </w:tc>
        <w:tc>
          <w:tcPr>
            <w:tcW w:w="1134" w:type="dxa"/>
            <w:shd w:val="clear" w:color="auto" w:fill="auto"/>
            <w:vAlign w:val="center"/>
            <w:hideMark/>
          </w:tcPr>
          <w:p w14:paraId="44AC550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20.132 €</w:t>
            </w:r>
          </w:p>
        </w:tc>
        <w:tc>
          <w:tcPr>
            <w:tcW w:w="1985" w:type="dxa"/>
            <w:shd w:val="clear" w:color="auto" w:fill="auto"/>
            <w:vAlign w:val="center"/>
            <w:hideMark/>
          </w:tcPr>
          <w:p w14:paraId="2247BFC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1.258 €</w:t>
            </w:r>
          </w:p>
        </w:tc>
        <w:tc>
          <w:tcPr>
            <w:tcW w:w="1417" w:type="dxa"/>
            <w:shd w:val="clear" w:color="auto" w:fill="auto"/>
            <w:vAlign w:val="center"/>
            <w:hideMark/>
          </w:tcPr>
          <w:p w14:paraId="3594BF8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144.901 €</w:t>
            </w:r>
          </w:p>
        </w:tc>
      </w:tr>
      <w:tr w:rsidR="00A4063C" w:rsidRPr="00394ACF" w14:paraId="1ECD450A" w14:textId="77777777" w:rsidTr="00FE500C">
        <w:trPr>
          <w:cantSplit/>
          <w:trHeight w:val="210"/>
          <w:jc w:val="center"/>
        </w:trPr>
        <w:tc>
          <w:tcPr>
            <w:tcW w:w="1051" w:type="dxa"/>
            <w:shd w:val="clear" w:color="auto" w:fill="auto"/>
            <w:vAlign w:val="center"/>
            <w:hideMark/>
          </w:tcPr>
          <w:p w14:paraId="704C40A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01.1024.011</w:t>
            </w:r>
          </w:p>
        </w:tc>
        <w:tc>
          <w:tcPr>
            <w:tcW w:w="2346" w:type="dxa"/>
            <w:shd w:val="clear" w:color="auto" w:fill="auto"/>
            <w:vAlign w:val="center"/>
            <w:hideMark/>
          </w:tcPr>
          <w:p w14:paraId="385A5FE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ΥΠΗΡΕΣΙΕΣ ΓΕΝΙΚΟΥ ΧΗΜΕΙΟΥ ΤΟΥ ΚΡΑΤΟΥΣ</w:t>
            </w:r>
          </w:p>
        </w:tc>
        <w:tc>
          <w:tcPr>
            <w:tcW w:w="1134" w:type="dxa"/>
            <w:shd w:val="clear" w:color="auto" w:fill="auto"/>
            <w:vAlign w:val="center"/>
            <w:hideMark/>
          </w:tcPr>
          <w:p w14:paraId="7E1EE5B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16.975 €</w:t>
            </w:r>
          </w:p>
        </w:tc>
        <w:tc>
          <w:tcPr>
            <w:tcW w:w="1134" w:type="dxa"/>
            <w:shd w:val="clear" w:color="auto" w:fill="auto"/>
            <w:vAlign w:val="center"/>
            <w:hideMark/>
          </w:tcPr>
          <w:p w14:paraId="0260209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237 €</w:t>
            </w:r>
          </w:p>
        </w:tc>
        <w:tc>
          <w:tcPr>
            <w:tcW w:w="1985" w:type="dxa"/>
            <w:shd w:val="clear" w:color="auto" w:fill="auto"/>
            <w:vAlign w:val="center"/>
            <w:hideMark/>
          </w:tcPr>
          <w:p w14:paraId="3CCED27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171 €</w:t>
            </w:r>
          </w:p>
        </w:tc>
        <w:tc>
          <w:tcPr>
            <w:tcW w:w="1417" w:type="dxa"/>
            <w:shd w:val="clear" w:color="auto" w:fill="auto"/>
            <w:vAlign w:val="center"/>
            <w:hideMark/>
          </w:tcPr>
          <w:p w14:paraId="656CED0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17.383 €</w:t>
            </w:r>
          </w:p>
        </w:tc>
      </w:tr>
      <w:tr w:rsidR="00A4063C" w:rsidRPr="00394ACF" w14:paraId="205C72B0" w14:textId="77777777" w:rsidTr="00FE500C">
        <w:trPr>
          <w:cantSplit/>
          <w:trHeight w:val="420"/>
          <w:jc w:val="center"/>
        </w:trPr>
        <w:tc>
          <w:tcPr>
            <w:tcW w:w="1051" w:type="dxa"/>
            <w:shd w:val="clear" w:color="auto" w:fill="auto"/>
            <w:vAlign w:val="center"/>
            <w:hideMark/>
          </w:tcPr>
          <w:p w14:paraId="43DE45E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01.1024.012</w:t>
            </w:r>
          </w:p>
        </w:tc>
        <w:tc>
          <w:tcPr>
            <w:tcW w:w="2346" w:type="dxa"/>
            <w:shd w:val="clear" w:color="auto" w:fill="auto"/>
            <w:vAlign w:val="center"/>
            <w:hideMark/>
          </w:tcPr>
          <w:p w14:paraId="412CB4B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ΑΡΧΗ ΚΑΤΑΠΟΛΕΜΗΣΗΣ ΤΗΣ ΝΟΜΙΜΟΠΟΙΗΣΗΣ ΕΣΟΔΩΝ ΑΠΟ ΕΓΚΛΗΜΑΤΙΚΕΣ ΔΡΑΣΤΗΡΙΟΤΗΤΕΣ</w:t>
            </w:r>
          </w:p>
        </w:tc>
        <w:tc>
          <w:tcPr>
            <w:tcW w:w="1134" w:type="dxa"/>
            <w:shd w:val="clear" w:color="auto" w:fill="auto"/>
            <w:vAlign w:val="center"/>
            <w:hideMark/>
          </w:tcPr>
          <w:p w14:paraId="6B1EA03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2.986 €</w:t>
            </w:r>
          </w:p>
        </w:tc>
        <w:tc>
          <w:tcPr>
            <w:tcW w:w="1134" w:type="dxa"/>
            <w:shd w:val="clear" w:color="auto" w:fill="auto"/>
            <w:vAlign w:val="center"/>
            <w:hideMark/>
          </w:tcPr>
          <w:p w14:paraId="10F5F50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46C55E6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1CC3D8A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2.986 €</w:t>
            </w:r>
          </w:p>
        </w:tc>
      </w:tr>
      <w:tr w:rsidR="00A4063C" w:rsidRPr="00394ACF" w14:paraId="656DB3BF" w14:textId="77777777" w:rsidTr="00FE500C">
        <w:trPr>
          <w:cantSplit/>
          <w:trHeight w:val="210"/>
          <w:jc w:val="center"/>
        </w:trPr>
        <w:tc>
          <w:tcPr>
            <w:tcW w:w="1051" w:type="dxa"/>
            <w:shd w:val="clear" w:color="auto" w:fill="auto"/>
            <w:vAlign w:val="center"/>
            <w:hideMark/>
          </w:tcPr>
          <w:p w14:paraId="15A89DD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01.1024.013</w:t>
            </w:r>
          </w:p>
        </w:tc>
        <w:tc>
          <w:tcPr>
            <w:tcW w:w="2346" w:type="dxa"/>
            <w:shd w:val="clear" w:color="auto" w:fill="auto"/>
            <w:vAlign w:val="center"/>
            <w:hideMark/>
          </w:tcPr>
          <w:p w14:paraId="00BCC53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ΕΛΛΗΝΙΚΟ ΔΗΜΟΣΙΟΝΟΜΙΚΟ ΣΥΜΒΟΥΛΙΟ</w:t>
            </w:r>
          </w:p>
        </w:tc>
        <w:tc>
          <w:tcPr>
            <w:tcW w:w="1134" w:type="dxa"/>
            <w:shd w:val="clear" w:color="auto" w:fill="auto"/>
            <w:vAlign w:val="center"/>
            <w:hideMark/>
          </w:tcPr>
          <w:p w14:paraId="64E561C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1.114 €</w:t>
            </w:r>
          </w:p>
        </w:tc>
        <w:tc>
          <w:tcPr>
            <w:tcW w:w="1134" w:type="dxa"/>
            <w:shd w:val="clear" w:color="auto" w:fill="auto"/>
            <w:vAlign w:val="center"/>
            <w:hideMark/>
          </w:tcPr>
          <w:p w14:paraId="4EE4267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21A4AA7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52CDED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1.114 €</w:t>
            </w:r>
          </w:p>
        </w:tc>
      </w:tr>
      <w:tr w:rsidR="00A4063C" w:rsidRPr="00394ACF" w14:paraId="57461EA3" w14:textId="77777777" w:rsidTr="00FE500C">
        <w:trPr>
          <w:cantSplit/>
          <w:trHeight w:val="210"/>
          <w:jc w:val="center"/>
        </w:trPr>
        <w:tc>
          <w:tcPr>
            <w:tcW w:w="1051" w:type="dxa"/>
            <w:shd w:val="clear" w:color="auto" w:fill="auto"/>
            <w:vAlign w:val="center"/>
            <w:hideMark/>
          </w:tcPr>
          <w:p w14:paraId="3C9597D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01.1024.014</w:t>
            </w:r>
          </w:p>
        </w:tc>
        <w:tc>
          <w:tcPr>
            <w:tcW w:w="2346" w:type="dxa"/>
            <w:shd w:val="clear" w:color="auto" w:fill="auto"/>
            <w:vAlign w:val="center"/>
            <w:hideMark/>
          </w:tcPr>
          <w:p w14:paraId="51EE7A0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ΑΝΤΙΜΕΤΩΠΙΣΗ ΟΙΚΟΝΟΜΙΚΟΥ ΕΓΚΛΗΜΑΤΟΣ</w:t>
            </w:r>
          </w:p>
        </w:tc>
        <w:tc>
          <w:tcPr>
            <w:tcW w:w="1134" w:type="dxa"/>
            <w:shd w:val="clear" w:color="auto" w:fill="auto"/>
            <w:vAlign w:val="center"/>
            <w:hideMark/>
          </w:tcPr>
          <w:p w14:paraId="44CB57F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12.813 €</w:t>
            </w:r>
          </w:p>
        </w:tc>
        <w:tc>
          <w:tcPr>
            <w:tcW w:w="1134" w:type="dxa"/>
            <w:shd w:val="clear" w:color="auto" w:fill="auto"/>
            <w:vAlign w:val="center"/>
            <w:hideMark/>
          </w:tcPr>
          <w:p w14:paraId="47FABC9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7922554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352E963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12.813 €</w:t>
            </w:r>
          </w:p>
        </w:tc>
      </w:tr>
      <w:tr w:rsidR="00A4063C" w:rsidRPr="00394ACF" w14:paraId="6CB0B337" w14:textId="77777777" w:rsidTr="00FE500C">
        <w:trPr>
          <w:cantSplit/>
          <w:trHeight w:val="420"/>
          <w:jc w:val="center"/>
        </w:trPr>
        <w:tc>
          <w:tcPr>
            <w:tcW w:w="1051" w:type="dxa"/>
            <w:shd w:val="clear" w:color="auto" w:fill="auto"/>
            <w:vAlign w:val="center"/>
            <w:hideMark/>
          </w:tcPr>
          <w:p w14:paraId="38123ED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03.1024.001</w:t>
            </w:r>
          </w:p>
        </w:tc>
        <w:tc>
          <w:tcPr>
            <w:tcW w:w="2346" w:type="dxa"/>
            <w:shd w:val="clear" w:color="auto" w:fill="auto"/>
            <w:vAlign w:val="center"/>
            <w:hideMark/>
          </w:tcPr>
          <w:p w14:paraId="2F00851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ΕΘΝΙΚΗ ΕΠΙΤΡΟΠΗ ΓΙΑ ΤΑ ΔΙΚΑΙΩΜΑΤΑ ΤΟΥ ΑΝΘΡΩΠΟΥ</w:t>
            </w:r>
          </w:p>
        </w:tc>
        <w:tc>
          <w:tcPr>
            <w:tcW w:w="1134" w:type="dxa"/>
            <w:shd w:val="clear" w:color="auto" w:fill="auto"/>
            <w:vAlign w:val="center"/>
            <w:hideMark/>
          </w:tcPr>
          <w:p w14:paraId="41FF4AF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763 €</w:t>
            </w:r>
          </w:p>
        </w:tc>
        <w:tc>
          <w:tcPr>
            <w:tcW w:w="1134" w:type="dxa"/>
            <w:shd w:val="clear" w:color="auto" w:fill="auto"/>
            <w:vAlign w:val="center"/>
            <w:hideMark/>
          </w:tcPr>
          <w:p w14:paraId="79EB4CE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52F31B9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5375E3C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763 €</w:t>
            </w:r>
          </w:p>
        </w:tc>
      </w:tr>
      <w:tr w:rsidR="00A4063C" w:rsidRPr="00394ACF" w14:paraId="4160C33B" w14:textId="77777777" w:rsidTr="00FE500C">
        <w:trPr>
          <w:cantSplit/>
          <w:trHeight w:val="630"/>
          <w:jc w:val="center"/>
        </w:trPr>
        <w:tc>
          <w:tcPr>
            <w:tcW w:w="1051" w:type="dxa"/>
            <w:shd w:val="clear" w:color="auto" w:fill="auto"/>
            <w:vAlign w:val="center"/>
            <w:hideMark/>
          </w:tcPr>
          <w:p w14:paraId="51D8485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04.1024.001</w:t>
            </w:r>
          </w:p>
        </w:tc>
        <w:tc>
          <w:tcPr>
            <w:tcW w:w="2346" w:type="dxa"/>
            <w:shd w:val="clear" w:color="auto" w:fill="auto"/>
            <w:vAlign w:val="center"/>
            <w:hideMark/>
          </w:tcPr>
          <w:p w14:paraId="715BA86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ΣΧΕΔΙΑΣΜΟΣ, ΠΡΟΓΡΑΜΜΑΤΙΣΜΟΣ, ΕΚΤΕΛΕΣΗ ΚΑΙ ΠΑΡΑΚΟΛΟΥΘΗΣΗ ΤΟΥ ΠΡΟΓΡΑΜΜΑΤΟΣ ΔΗΜΟΣΙΩΝ ΕΠΕΝΔΥΣΕΩΝ</w:t>
            </w:r>
          </w:p>
        </w:tc>
        <w:tc>
          <w:tcPr>
            <w:tcW w:w="1134" w:type="dxa"/>
            <w:shd w:val="clear" w:color="auto" w:fill="auto"/>
            <w:vAlign w:val="center"/>
            <w:hideMark/>
          </w:tcPr>
          <w:p w14:paraId="6457D10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11.605 €</w:t>
            </w:r>
          </w:p>
        </w:tc>
        <w:tc>
          <w:tcPr>
            <w:tcW w:w="1134" w:type="dxa"/>
            <w:shd w:val="clear" w:color="auto" w:fill="auto"/>
            <w:vAlign w:val="center"/>
            <w:hideMark/>
          </w:tcPr>
          <w:p w14:paraId="17FBDFE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959.352 €</w:t>
            </w:r>
          </w:p>
        </w:tc>
        <w:tc>
          <w:tcPr>
            <w:tcW w:w="1985" w:type="dxa"/>
            <w:shd w:val="clear" w:color="auto" w:fill="auto"/>
            <w:vAlign w:val="center"/>
            <w:hideMark/>
          </w:tcPr>
          <w:p w14:paraId="34CA58C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1.614.914 €</w:t>
            </w:r>
          </w:p>
        </w:tc>
        <w:tc>
          <w:tcPr>
            <w:tcW w:w="1417" w:type="dxa"/>
            <w:shd w:val="clear" w:color="auto" w:fill="auto"/>
            <w:vAlign w:val="center"/>
            <w:hideMark/>
          </w:tcPr>
          <w:p w14:paraId="51BC56F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2.585.872 €</w:t>
            </w:r>
          </w:p>
        </w:tc>
      </w:tr>
      <w:tr w:rsidR="00A4063C" w:rsidRPr="00394ACF" w14:paraId="283AF9EB" w14:textId="77777777" w:rsidTr="00FE500C">
        <w:trPr>
          <w:cantSplit/>
          <w:trHeight w:val="420"/>
          <w:jc w:val="center"/>
        </w:trPr>
        <w:tc>
          <w:tcPr>
            <w:tcW w:w="1051" w:type="dxa"/>
            <w:shd w:val="clear" w:color="auto" w:fill="auto"/>
            <w:vAlign w:val="center"/>
            <w:hideMark/>
          </w:tcPr>
          <w:p w14:paraId="382E7A3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08.1024.001</w:t>
            </w:r>
          </w:p>
        </w:tc>
        <w:tc>
          <w:tcPr>
            <w:tcW w:w="2346" w:type="dxa"/>
            <w:shd w:val="clear" w:color="auto" w:fill="auto"/>
            <w:vAlign w:val="center"/>
            <w:hideMark/>
          </w:tcPr>
          <w:p w14:paraId="6A124F6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ΡΥΘΜΙΣΗ ΘΕΜΑΤΩΝ ΣΤΟΥΣ ΤΟΜΕΙΣ ΤΟΥ ΠΟΛΙΤΙΣΜΟΥ ΚΑΙ ΤΗΣ ΘΡΗΣΚΕΙΑΣ</w:t>
            </w:r>
          </w:p>
        </w:tc>
        <w:tc>
          <w:tcPr>
            <w:tcW w:w="1134" w:type="dxa"/>
            <w:shd w:val="clear" w:color="auto" w:fill="auto"/>
            <w:vAlign w:val="center"/>
            <w:hideMark/>
          </w:tcPr>
          <w:p w14:paraId="5B7D766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18.585 €</w:t>
            </w:r>
          </w:p>
        </w:tc>
        <w:tc>
          <w:tcPr>
            <w:tcW w:w="1134" w:type="dxa"/>
            <w:shd w:val="clear" w:color="auto" w:fill="auto"/>
            <w:vAlign w:val="center"/>
            <w:hideMark/>
          </w:tcPr>
          <w:p w14:paraId="7733AED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14C7907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6FE637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18.585 €</w:t>
            </w:r>
          </w:p>
        </w:tc>
      </w:tr>
      <w:tr w:rsidR="00A4063C" w:rsidRPr="00394ACF" w14:paraId="47D0880A" w14:textId="77777777" w:rsidTr="00FE500C">
        <w:trPr>
          <w:cantSplit/>
          <w:trHeight w:val="210"/>
          <w:jc w:val="center"/>
        </w:trPr>
        <w:tc>
          <w:tcPr>
            <w:tcW w:w="1051" w:type="dxa"/>
            <w:shd w:val="clear" w:color="auto" w:fill="auto"/>
            <w:vAlign w:val="center"/>
            <w:hideMark/>
          </w:tcPr>
          <w:p w14:paraId="7992617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08.1024.002</w:t>
            </w:r>
          </w:p>
        </w:tc>
        <w:tc>
          <w:tcPr>
            <w:tcW w:w="2346" w:type="dxa"/>
            <w:shd w:val="clear" w:color="auto" w:fill="auto"/>
            <w:vAlign w:val="center"/>
            <w:hideMark/>
          </w:tcPr>
          <w:p w14:paraId="7FB316A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ΕΘΝΙΚΟ ΣΥΜΒΟΥΛΙΟ ΡΑΔΙΟΤΗΛΕΟΡΑΣΗΣ</w:t>
            </w:r>
          </w:p>
        </w:tc>
        <w:tc>
          <w:tcPr>
            <w:tcW w:w="1134" w:type="dxa"/>
            <w:shd w:val="clear" w:color="auto" w:fill="auto"/>
            <w:vAlign w:val="center"/>
            <w:hideMark/>
          </w:tcPr>
          <w:p w14:paraId="14791CD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2.378 €</w:t>
            </w:r>
          </w:p>
        </w:tc>
        <w:tc>
          <w:tcPr>
            <w:tcW w:w="1134" w:type="dxa"/>
            <w:shd w:val="clear" w:color="auto" w:fill="auto"/>
            <w:vAlign w:val="center"/>
            <w:hideMark/>
          </w:tcPr>
          <w:p w14:paraId="0554876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16DA3FD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DD036B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2.378 €</w:t>
            </w:r>
          </w:p>
        </w:tc>
      </w:tr>
      <w:tr w:rsidR="00A4063C" w:rsidRPr="00394ACF" w14:paraId="593E2343" w14:textId="77777777" w:rsidTr="00FE500C">
        <w:trPr>
          <w:cantSplit/>
          <w:trHeight w:val="210"/>
          <w:jc w:val="center"/>
        </w:trPr>
        <w:tc>
          <w:tcPr>
            <w:tcW w:w="1051" w:type="dxa"/>
            <w:shd w:val="clear" w:color="auto" w:fill="auto"/>
            <w:vAlign w:val="center"/>
            <w:hideMark/>
          </w:tcPr>
          <w:p w14:paraId="25FFB4E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08.1024.003</w:t>
            </w:r>
          </w:p>
        </w:tc>
        <w:tc>
          <w:tcPr>
            <w:tcW w:w="2346" w:type="dxa"/>
            <w:shd w:val="clear" w:color="auto" w:fill="auto"/>
            <w:vAlign w:val="center"/>
            <w:hideMark/>
          </w:tcPr>
          <w:p w14:paraId="5DCB265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ΕΠΙΤΡΟΠΗ ΕΠΟΠΤΕΙΑΣ ΚΑΙ ΕΛΕΓΧΟΥ ΠΑΙΓΝΙΩΝ</w:t>
            </w:r>
          </w:p>
        </w:tc>
        <w:tc>
          <w:tcPr>
            <w:tcW w:w="1134" w:type="dxa"/>
            <w:shd w:val="clear" w:color="auto" w:fill="auto"/>
            <w:vAlign w:val="center"/>
            <w:hideMark/>
          </w:tcPr>
          <w:p w14:paraId="558B4C3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134" w:type="dxa"/>
            <w:shd w:val="clear" w:color="auto" w:fill="auto"/>
            <w:vAlign w:val="center"/>
            <w:hideMark/>
          </w:tcPr>
          <w:p w14:paraId="5BF8E8E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770B9B7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281 €</w:t>
            </w:r>
          </w:p>
        </w:tc>
        <w:tc>
          <w:tcPr>
            <w:tcW w:w="1417" w:type="dxa"/>
            <w:shd w:val="clear" w:color="auto" w:fill="auto"/>
            <w:vAlign w:val="center"/>
            <w:hideMark/>
          </w:tcPr>
          <w:p w14:paraId="135905B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281 €</w:t>
            </w:r>
          </w:p>
        </w:tc>
      </w:tr>
      <w:tr w:rsidR="00A4063C" w:rsidRPr="00394ACF" w14:paraId="4263540A" w14:textId="77777777" w:rsidTr="00FE500C">
        <w:trPr>
          <w:cantSplit/>
          <w:trHeight w:val="210"/>
          <w:jc w:val="center"/>
        </w:trPr>
        <w:tc>
          <w:tcPr>
            <w:tcW w:w="1051" w:type="dxa"/>
            <w:shd w:val="clear" w:color="auto" w:fill="auto"/>
            <w:vAlign w:val="center"/>
            <w:hideMark/>
          </w:tcPr>
          <w:p w14:paraId="3FDBA7F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lastRenderedPageBreak/>
              <w:t>09.1024.001</w:t>
            </w:r>
          </w:p>
        </w:tc>
        <w:tc>
          <w:tcPr>
            <w:tcW w:w="2346" w:type="dxa"/>
            <w:shd w:val="clear" w:color="auto" w:fill="auto"/>
            <w:vAlign w:val="center"/>
            <w:hideMark/>
          </w:tcPr>
          <w:p w14:paraId="68C88F4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ΦΟΡΟΛΟΓΙΚΗ ΚΑΙ ΤΕΛΩΝΕΙΑΚΗ ΕΚΠΑΙΔΕΥΣΗ</w:t>
            </w:r>
          </w:p>
        </w:tc>
        <w:tc>
          <w:tcPr>
            <w:tcW w:w="1134" w:type="dxa"/>
            <w:shd w:val="clear" w:color="auto" w:fill="auto"/>
            <w:vAlign w:val="center"/>
            <w:hideMark/>
          </w:tcPr>
          <w:p w14:paraId="712D154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17.847 €</w:t>
            </w:r>
          </w:p>
        </w:tc>
        <w:tc>
          <w:tcPr>
            <w:tcW w:w="1134" w:type="dxa"/>
            <w:shd w:val="clear" w:color="auto" w:fill="auto"/>
            <w:vAlign w:val="center"/>
            <w:hideMark/>
          </w:tcPr>
          <w:p w14:paraId="6996C62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583D5D6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32 €</w:t>
            </w:r>
          </w:p>
        </w:tc>
        <w:tc>
          <w:tcPr>
            <w:tcW w:w="1417" w:type="dxa"/>
            <w:shd w:val="clear" w:color="auto" w:fill="auto"/>
            <w:vAlign w:val="center"/>
            <w:hideMark/>
          </w:tcPr>
          <w:p w14:paraId="4535F77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17.879 €</w:t>
            </w:r>
          </w:p>
        </w:tc>
      </w:tr>
      <w:tr w:rsidR="00A4063C" w:rsidRPr="00394ACF" w14:paraId="3773AEDC" w14:textId="77777777" w:rsidTr="00FE500C">
        <w:trPr>
          <w:cantSplit/>
          <w:trHeight w:val="210"/>
          <w:jc w:val="center"/>
        </w:trPr>
        <w:tc>
          <w:tcPr>
            <w:tcW w:w="1051" w:type="dxa"/>
            <w:shd w:val="clear" w:color="auto" w:fill="auto"/>
            <w:vAlign w:val="center"/>
            <w:hideMark/>
          </w:tcPr>
          <w:p w14:paraId="779BEC3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10.1024.001</w:t>
            </w:r>
          </w:p>
        </w:tc>
        <w:tc>
          <w:tcPr>
            <w:tcW w:w="2346" w:type="dxa"/>
            <w:shd w:val="clear" w:color="auto" w:fill="auto"/>
            <w:vAlign w:val="center"/>
            <w:hideMark/>
          </w:tcPr>
          <w:p w14:paraId="33C2832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ΔΡΑΣΕΙΣ ΚΟΙΝΩΝΙΚΗΣ ΠΡΟΣΤΑΣΙΑΣ</w:t>
            </w:r>
          </w:p>
        </w:tc>
        <w:tc>
          <w:tcPr>
            <w:tcW w:w="1134" w:type="dxa"/>
            <w:shd w:val="clear" w:color="auto" w:fill="auto"/>
            <w:vAlign w:val="center"/>
            <w:hideMark/>
          </w:tcPr>
          <w:p w14:paraId="482E426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784.724 €</w:t>
            </w:r>
          </w:p>
        </w:tc>
        <w:tc>
          <w:tcPr>
            <w:tcW w:w="1134" w:type="dxa"/>
            <w:shd w:val="clear" w:color="auto" w:fill="auto"/>
            <w:vAlign w:val="center"/>
            <w:hideMark/>
          </w:tcPr>
          <w:p w14:paraId="31B6AEC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485BF31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0A88A6C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784.724 €</w:t>
            </w:r>
          </w:p>
        </w:tc>
      </w:tr>
      <w:tr w:rsidR="00A4063C" w:rsidRPr="00394ACF" w14:paraId="22E14A17" w14:textId="77777777" w:rsidTr="00FE500C">
        <w:trPr>
          <w:cantSplit/>
          <w:trHeight w:val="210"/>
          <w:jc w:val="center"/>
        </w:trPr>
        <w:tc>
          <w:tcPr>
            <w:tcW w:w="1051" w:type="dxa"/>
            <w:shd w:val="clear" w:color="000000" w:fill="D9D9D9"/>
            <w:vAlign w:val="center"/>
            <w:hideMark/>
          </w:tcPr>
          <w:p w14:paraId="6C080416"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1029</w:t>
            </w:r>
          </w:p>
        </w:tc>
        <w:tc>
          <w:tcPr>
            <w:tcW w:w="2346" w:type="dxa"/>
            <w:shd w:val="clear" w:color="000000" w:fill="D9D9D9"/>
            <w:vAlign w:val="center"/>
            <w:hideMark/>
          </w:tcPr>
          <w:p w14:paraId="0A91BBDA"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ΑΓΡΟΤΙΚΗΣ ΑΝΑΠΤΥΞΗΣ ΚΑΙ ΤΡΟΦΙΜΩΝ</w:t>
            </w:r>
          </w:p>
        </w:tc>
        <w:tc>
          <w:tcPr>
            <w:tcW w:w="1134" w:type="dxa"/>
            <w:shd w:val="clear" w:color="000000" w:fill="D9D9D9"/>
            <w:vAlign w:val="center"/>
            <w:hideMark/>
          </w:tcPr>
          <w:p w14:paraId="13E0576A"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296.877 €</w:t>
            </w:r>
          </w:p>
        </w:tc>
        <w:tc>
          <w:tcPr>
            <w:tcW w:w="1134" w:type="dxa"/>
            <w:shd w:val="clear" w:color="000000" w:fill="D9D9D9"/>
            <w:vAlign w:val="center"/>
            <w:hideMark/>
          </w:tcPr>
          <w:p w14:paraId="2086405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357.000 €</w:t>
            </w:r>
          </w:p>
        </w:tc>
        <w:tc>
          <w:tcPr>
            <w:tcW w:w="1985" w:type="dxa"/>
            <w:shd w:val="clear" w:color="000000" w:fill="D9D9D9"/>
            <w:vAlign w:val="center"/>
            <w:hideMark/>
          </w:tcPr>
          <w:p w14:paraId="595F4AB5"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850.000 €</w:t>
            </w:r>
          </w:p>
        </w:tc>
        <w:tc>
          <w:tcPr>
            <w:tcW w:w="1417" w:type="dxa"/>
            <w:shd w:val="clear" w:color="000000" w:fill="D9D9D9"/>
            <w:vAlign w:val="center"/>
            <w:hideMark/>
          </w:tcPr>
          <w:p w14:paraId="37C1DA52"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1.503.877 €</w:t>
            </w:r>
          </w:p>
        </w:tc>
      </w:tr>
      <w:tr w:rsidR="00A4063C" w:rsidRPr="00394ACF" w14:paraId="31EADC75" w14:textId="77777777" w:rsidTr="00FE500C">
        <w:trPr>
          <w:cantSplit/>
          <w:trHeight w:val="210"/>
          <w:jc w:val="center"/>
        </w:trPr>
        <w:tc>
          <w:tcPr>
            <w:tcW w:w="1051" w:type="dxa"/>
            <w:shd w:val="clear" w:color="auto" w:fill="auto"/>
            <w:vAlign w:val="center"/>
            <w:hideMark/>
          </w:tcPr>
          <w:p w14:paraId="37E4271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11.1029.001</w:t>
            </w:r>
          </w:p>
        </w:tc>
        <w:tc>
          <w:tcPr>
            <w:tcW w:w="2346" w:type="dxa"/>
            <w:shd w:val="clear" w:color="auto" w:fill="auto"/>
            <w:vAlign w:val="center"/>
            <w:hideMark/>
          </w:tcPr>
          <w:p w14:paraId="46BBF21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ΒΙΩΣΙΜΗ ΑΓΡΟΤΙΚΗ ΑΝΑΠΤΥΞΗ</w:t>
            </w:r>
          </w:p>
        </w:tc>
        <w:tc>
          <w:tcPr>
            <w:tcW w:w="1134" w:type="dxa"/>
            <w:shd w:val="clear" w:color="auto" w:fill="auto"/>
            <w:vAlign w:val="center"/>
            <w:hideMark/>
          </w:tcPr>
          <w:p w14:paraId="3344708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183.443 €</w:t>
            </w:r>
          </w:p>
        </w:tc>
        <w:tc>
          <w:tcPr>
            <w:tcW w:w="1134" w:type="dxa"/>
            <w:shd w:val="clear" w:color="auto" w:fill="auto"/>
            <w:vAlign w:val="center"/>
            <w:hideMark/>
          </w:tcPr>
          <w:p w14:paraId="639D6F5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296.600 €</w:t>
            </w:r>
          </w:p>
        </w:tc>
        <w:tc>
          <w:tcPr>
            <w:tcW w:w="1985" w:type="dxa"/>
            <w:shd w:val="clear" w:color="auto" w:fill="auto"/>
            <w:vAlign w:val="center"/>
            <w:hideMark/>
          </w:tcPr>
          <w:p w14:paraId="29C4377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712.300 €</w:t>
            </w:r>
          </w:p>
        </w:tc>
        <w:tc>
          <w:tcPr>
            <w:tcW w:w="1417" w:type="dxa"/>
            <w:shd w:val="clear" w:color="auto" w:fill="auto"/>
            <w:vAlign w:val="center"/>
            <w:hideMark/>
          </w:tcPr>
          <w:p w14:paraId="67909D2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1.192.343 €</w:t>
            </w:r>
          </w:p>
        </w:tc>
      </w:tr>
      <w:tr w:rsidR="00A4063C" w:rsidRPr="00394ACF" w14:paraId="0F5C8FFC" w14:textId="77777777" w:rsidTr="00FE500C">
        <w:trPr>
          <w:cantSplit/>
          <w:trHeight w:val="210"/>
          <w:jc w:val="center"/>
        </w:trPr>
        <w:tc>
          <w:tcPr>
            <w:tcW w:w="1051" w:type="dxa"/>
            <w:shd w:val="clear" w:color="auto" w:fill="auto"/>
            <w:vAlign w:val="center"/>
            <w:hideMark/>
          </w:tcPr>
          <w:p w14:paraId="1A1839D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11.1029.002</w:t>
            </w:r>
          </w:p>
        </w:tc>
        <w:tc>
          <w:tcPr>
            <w:tcW w:w="2346" w:type="dxa"/>
            <w:shd w:val="clear" w:color="auto" w:fill="auto"/>
            <w:vAlign w:val="center"/>
            <w:hideMark/>
          </w:tcPr>
          <w:p w14:paraId="2E6EBB1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ΦΥΤΙΚΗ ΚΑΙ ΖΩΙΚΗ ΠΑΡΑΓΩΓΗ</w:t>
            </w:r>
          </w:p>
        </w:tc>
        <w:tc>
          <w:tcPr>
            <w:tcW w:w="1134" w:type="dxa"/>
            <w:shd w:val="clear" w:color="auto" w:fill="auto"/>
            <w:vAlign w:val="center"/>
            <w:hideMark/>
          </w:tcPr>
          <w:p w14:paraId="690BB1E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63.222 €</w:t>
            </w:r>
          </w:p>
        </w:tc>
        <w:tc>
          <w:tcPr>
            <w:tcW w:w="1134" w:type="dxa"/>
            <w:shd w:val="clear" w:color="auto" w:fill="auto"/>
            <w:vAlign w:val="center"/>
            <w:hideMark/>
          </w:tcPr>
          <w:p w14:paraId="00B5ABC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21.140 €</w:t>
            </w:r>
          </w:p>
        </w:tc>
        <w:tc>
          <w:tcPr>
            <w:tcW w:w="1985" w:type="dxa"/>
            <w:shd w:val="clear" w:color="auto" w:fill="auto"/>
            <w:vAlign w:val="center"/>
            <w:hideMark/>
          </w:tcPr>
          <w:p w14:paraId="548B297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17.000 €</w:t>
            </w:r>
          </w:p>
        </w:tc>
        <w:tc>
          <w:tcPr>
            <w:tcW w:w="1417" w:type="dxa"/>
            <w:shd w:val="clear" w:color="auto" w:fill="auto"/>
            <w:vAlign w:val="center"/>
            <w:hideMark/>
          </w:tcPr>
          <w:p w14:paraId="79C1801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101.362 €</w:t>
            </w:r>
          </w:p>
        </w:tc>
      </w:tr>
      <w:tr w:rsidR="00A4063C" w:rsidRPr="00394ACF" w14:paraId="3FBD1251" w14:textId="77777777" w:rsidTr="00FE500C">
        <w:trPr>
          <w:cantSplit/>
          <w:trHeight w:val="210"/>
          <w:jc w:val="center"/>
        </w:trPr>
        <w:tc>
          <w:tcPr>
            <w:tcW w:w="1051" w:type="dxa"/>
            <w:shd w:val="clear" w:color="auto" w:fill="auto"/>
            <w:vAlign w:val="center"/>
            <w:hideMark/>
          </w:tcPr>
          <w:p w14:paraId="6D0C79E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11.1029.003</w:t>
            </w:r>
          </w:p>
        </w:tc>
        <w:tc>
          <w:tcPr>
            <w:tcW w:w="2346" w:type="dxa"/>
            <w:shd w:val="clear" w:color="auto" w:fill="auto"/>
            <w:vAlign w:val="center"/>
            <w:hideMark/>
          </w:tcPr>
          <w:p w14:paraId="12AD9E7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ΚΤΗΝΙΑΤΡΙΚΗ</w:t>
            </w:r>
          </w:p>
        </w:tc>
        <w:tc>
          <w:tcPr>
            <w:tcW w:w="1134" w:type="dxa"/>
            <w:shd w:val="clear" w:color="auto" w:fill="auto"/>
            <w:vAlign w:val="center"/>
            <w:hideMark/>
          </w:tcPr>
          <w:p w14:paraId="29A3EA8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7.630 €</w:t>
            </w:r>
          </w:p>
        </w:tc>
        <w:tc>
          <w:tcPr>
            <w:tcW w:w="1134" w:type="dxa"/>
            <w:shd w:val="clear" w:color="auto" w:fill="auto"/>
            <w:vAlign w:val="center"/>
            <w:hideMark/>
          </w:tcPr>
          <w:p w14:paraId="106A287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539E759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22.950 €</w:t>
            </w:r>
          </w:p>
        </w:tc>
        <w:tc>
          <w:tcPr>
            <w:tcW w:w="1417" w:type="dxa"/>
            <w:shd w:val="clear" w:color="auto" w:fill="auto"/>
            <w:vAlign w:val="center"/>
            <w:hideMark/>
          </w:tcPr>
          <w:p w14:paraId="01128D2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30.580 €</w:t>
            </w:r>
          </w:p>
        </w:tc>
      </w:tr>
      <w:tr w:rsidR="00A4063C" w:rsidRPr="00394ACF" w14:paraId="531291A4" w14:textId="77777777" w:rsidTr="00FE500C">
        <w:trPr>
          <w:cantSplit/>
          <w:trHeight w:val="210"/>
          <w:jc w:val="center"/>
        </w:trPr>
        <w:tc>
          <w:tcPr>
            <w:tcW w:w="1051" w:type="dxa"/>
            <w:shd w:val="clear" w:color="auto" w:fill="auto"/>
            <w:vAlign w:val="center"/>
            <w:hideMark/>
          </w:tcPr>
          <w:p w14:paraId="5374736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11.1029.004</w:t>
            </w:r>
          </w:p>
        </w:tc>
        <w:tc>
          <w:tcPr>
            <w:tcW w:w="2346" w:type="dxa"/>
            <w:shd w:val="clear" w:color="auto" w:fill="auto"/>
            <w:vAlign w:val="center"/>
            <w:hideMark/>
          </w:tcPr>
          <w:p w14:paraId="357C5B1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ΑΛΙΕΙΑ</w:t>
            </w:r>
          </w:p>
        </w:tc>
        <w:tc>
          <w:tcPr>
            <w:tcW w:w="1134" w:type="dxa"/>
            <w:shd w:val="clear" w:color="auto" w:fill="auto"/>
            <w:vAlign w:val="center"/>
            <w:hideMark/>
          </w:tcPr>
          <w:p w14:paraId="7EC0247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2.309 €</w:t>
            </w:r>
          </w:p>
        </w:tc>
        <w:tc>
          <w:tcPr>
            <w:tcW w:w="1134" w:type="dxa"/>
            <w:shd w:val="clear" w:color="auto" w:fill="auto"/>
            <w:vAlign w:val="center"/>
            <w:hideMark/>
          </w:tcPr>
          <w:p w14:paraId="2C43437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27.180 €</w:t>
            </w:r>
          </w:p>
        </w:tc>
        <w:tc>
          <w:tcPr>
            <w:tcW w:w="1985" w:type="dxa"/>
            <w:shd w:val="clear" w:color="auto" w:fill="auto"/>
            <w:vAlign w:val="center"/>
            <w:hideMark/>
          </w:tcPr>
          <w:p w14:paraId="2B80177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72.250 €</w:t>
            </w:r>
          </w:p>
        </w:tc>
        <w:tc>
          <w:tcPr>
            <w:tcW w:w="1417" w:type="dxa"/>
            <w:shd w:val="clear" w:color="auto" w:fill="auto"/>
            <w:vAlign w:val="center"/>
            <w:hideMark/>
          </w:tcPr>
          <w:p w14:paraId="6C10943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101.739 €</w:t>
            </w:r>
          </w:p>
        </w:tc>
      </w:tr>
      <w:tr w:rsidR="00A4063C" w:rsidRPr="00394ACF" w14:paraId="3BCAE9C9" w14:textId="77777777" w:rsidTr="00FE500C">
        <w:trPr>
          <w:cantSplit/>
          <w:trHeight w:val="210"/>
          <w:jc w:val="center"/>
        </w:trPr>
        <w:tc>
          <w:tcPr>
            <w:tcW w:w="1051" w:type="dxa"/>
            <w:shd w:val="clear" w:color="auto" w:fill="auto"/>
            <w:vAlign w:val="center"/>
            <w:hideMark/>
          </w:tcPr>
          <w:p w14:paraId="0A6A191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11.1029.005</w:t>
            </w:r>
          </w:p>
        </w:tc>
        <w:tc>
          <w:tcPr>
            <w:tcW w:w="2346" w:type="dxa"/>
            <w:shd w:val="clear" w:color="auto" w:fill="auto"/>
            <w:vAlign w:val="center"/>
            <w:hideMark/>
          </w:tcPr>
          <w:p w14:paraId="23508ED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ΤΡΟΦΙΜΑ</w:t>
            </w:r>
          </w:p>
        </w:tc>
        <w:tc>
          <w:tcPr>
            <w:tcW w:w="1134" w:type="dxa"/>
            <w:shd w:val="clear" w:color="auto" w:fill="auto"/>
            <w:vAlign w:val="center"/>
            <w:hideMark/>
          </w:tcPr>
          <w:p w14:paraId="6485D7D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15.208 €</w:t>
            </w:r>
          </w:p>
        </w:tc>
        <w:tc>
          <w:tcPr>
            <w:tcW w:w="1134" w:type="dxa"/>
            <w:shd w:val="clear" w:color="auto" w:fill="auto"/>
            <w:vAlign w:val="center"/>
            <w:hideMark/>
          </w:tcPr>
          <w:p w14:paraId="7DB6B40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6525C86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12.750 €</w:t>
            </w:r>
          </w:p>
        </w:tc>
        <w:tc>
          <w:tcPr>
            <w:tcW w:w="1417" w:type="dxa"/>
            <w:shd w:val="clear" w:color="auto" w:fill="auto"/>
            <w:vAlign w:val="center"/>
            <w:hideMark/>
          </w:tcPr>
          <w:p w14:paraId="758649D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27.958 €</w:t>
            </w:r>
          </w:p>
        </w:tc>
      </w:tr>
      <w:tr w:rsidR="00A4063C" w:rsidRPr="00394ACF" w14:paraId="464432E8" w14:textId="77777777" w:rsidTr="00FE500C">
        <w:trPr>
          <w:cantSplit/>
          <w:trHeight w:val="630"/>
          <w:jc w:val="center"/>
        </w:trPr>
        <w:tc>
          <w:tcPr>
            <w:tcW w:w="1051" w:type="dxa"/>
            <w:shd w:val="clear" w:color="auto" w:fill="auto"/>
            <w:vAlign w:val="center"/>
            <w:hideMark/>
          </w:tcPr>
          <w:p w14:paraId="72779E7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11.1029.006</w:t>
            </w:r>
          </w:p>
        </w:tc>
        <w:tc>
          <w:tcPr>
            <w:tcW w:w="2346" w:type="dxa"/>
            <w:shd w:val="clear" w:color="auto" w:fill="auto"/>
            <w:vAlign w:val="center"/>
            <w:hideMark/>
          </w:tcPr>
          <w:p w14:paraId="7206D18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ΑΓΡΟΤΙΚΗΣ ΑΝΑΠΤΥΞΗΣ ΚΑΙ ΤΡΟΦΙΜΩΝ</w:t>
            </w:r>
          </w:p>
        </w:tc>
        <w:tc>
          <w:tcPr>
            <w:tcW w:w="1134" w:type="dxa"/>
            <w:shd w:val="clear" w:color="auto" w:fill="auto"/>
            <w:vAlign w:val="center"/>
            <w:hideMark/>
          </w:tcPr>
          <w:p w14:paraId="0AA239E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25.065 €</w:t>
            </w:r>
          </w:p>
        </w:tc>
        <w:tc>
          <w:tcPr>
            <w:tcW w:w="1134" w:type="dxa"/>
            <w:shd w:val="clear" w:color="auto" w:fill="auto"/>
            <w:vAlign w:val="center"/>
            <w:hideMark/>
          </w:tcPr>
          <w:p w14:paraId="0C93725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12.080 €</w:t>
            </w:r>
          </w:p>
        </w:tc>
        <w:tc>
          <w:tcPr>
            <w:tcW w:w="1985" w:type="dxa"/>
            <w:shd w:val="clear" w:color="auto" w:fill="auto"/>
            <w:vAlign w:val="center"/>
            <w:hideMark/>
          </w:tcPr>
          <w:p w14:paraId="0F9621E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12.750 €</w:t>
            </w:r>
          </w:p>
        </w:tc>
        <w:tc>
          <w:tcPr>
            <w:tcW w:w="1417" w:type="dxa"/>
            <w:shd w:val="clear" w:color="auto" w:fill="auto"/>
            <w:vAlign w:val="center"/>
            <w:hideMark/>
          </w:tcPr>
          <w:p w14:paraId="0D9FCB3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49.895 €</w:t>
            </w:r>
          </w:p>
        </w:tc>
      </w:tr>
      <w:tr w:rsidR="00A4063C" w:rsidRPr="00394ACF" w14:paraId="720CC520" w14:textId="77777777" w:rsidTr="00FE500C">
        <w:trPr>
          <w:cantSplit/>
          <w:trHeight w:val="210"/>
          <w:jc w:val="center"/>
        </w:trPr>
        <w:tc>
          <w:tcPr>
            <w:tcW w:w="1051" w:type="dxa"/>
            <w:shd w:val="clear" w:color="000000" w:fill="D9D9D9"/>
            <w:vAlign w:val="center"/>
            <w:hideMark/>
          </w:tcPr>
          <w:p w14:paraId="4161C905"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1031</w:t>
            </w:r>
          </w:p>
        </w:tc>
        <w:tc>
          <w:tcPr>
            <w:tcW w:w="2346" w:type="dxa"/>
            <w:shd w:val="clear" w:color="000000" w:fill="D9D9D9"/>
            <w:vAlign w:val="center"/>
            <w:hideMark/>
          </w:tcPr>
          <w:p w14:paraId="5F699D61"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ΠΕΡΙΒΑΛΛΟΝΤΟΣ ΚΑΙ ΕΝΕΡΓΕΙΑΣ</w:t>
            </w:r>
          </w:p>
        </w:tc>
        <w:tc>
          <w:tcPr>
            <w:tcW w:w="1134" w:type="dxa"/>
            <w:shd w:val="clear" w:color="000000" w:fill="D9D9D9"/>
            <w:vAlign w:val="center"/>
            <w:hideMark/>
          </w:tcPr>
          <w:p w14:paraId="71C786E6"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318.452 €</w:t>
            </w:r>
          </w:p>
        </w:tc>
        <w:tc>
          <w:tcPr>
            <w:tcW w:w="1134" w:type="dxa"/>
            <w:shd w:val="clear" w:color="000000" w:fill="D9D9D9"/>
            <w:vAlign w:val="center"/>
            <w:hideMark/>
          </w:tcPr>
          <w:p w14:paraId="0E8F1EA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2.285.000 €</w:t>
            </w:r>
          </w:p>
        </w:tc>
        <w:tc>
          <w:tcPr>
            <w:tcW w:w="1985" w:type="dxa"/>
            <w:shd w:val="clear" w:color="000000" w:fill="D9D9D9"/>
            <w:vAlign w:val="center"/>
            <w:hideMark/>
          </w:tcPr>
          <w:p w14:paraId="23974170"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530.000 €</w:t>
            </w:r>
          </w:p>
        </w:tc>
        <w:tc>
          <w:tcPr>
            <w:tcW w:w="1417" w:type="dxa"/>
            <w:shd w:val="clear" w:color="000000" w:fill="D9D9D9"/>
            <w:vAlign w:val="center"/>
            <w:hideMark/>
          </w:tcPr>
          <w:p w14:paraId="7CB6209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3.133.452 €</w:t>
            </w:r>
          </w:p>
        </w:tc>
      </w:tr>
      <w:tr w:rsidR="00A4063C" w:rsidRPr="00394ACF" w14:paraId="0D6EC042" w14:textId="77777777" w:rsidTr="00FE500C">
        <w:trPr>
          <w:cantSplit/>
          <w:trHeight w:val="420"/>
          <w:jc w:val="center"/>
        </w:trPr>
        <w:tc>
          <w:tcPr>
            <w:tcW w:w="1051" w:type="dxa"/>
            <w:shd w:val="clear" w:color="auto" w:fill="auto"/>
            <w:vAlign w:val="center"/>
            <w:hideMark/>
          </w:tcPr>
          <w:p w14:paraId="6EF3441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05.1031.001</w:t>
            </w:r>
          </w:p>
        </w:tc>
        <w:tc>
          <w:tcPr>
            <w:tcW w:w="2346" w:type="dxa"/>
            <w:shd w:val="clear" w:color="auto" w:fill="auto"/>
            <w:vAlign w:val="center"/>
            <w:hideMark/>
          </w:tcPr>
          <w:p w14:paraId="05886D7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ΠΕΡΙΒΑΛΛΟΝΤΟΣ ΚΑΙ ΕΝΕΡΓΕΙΑΣ</w:t>
            </w:r>
          </w:p>
        </w:tc>
        <w:tc>
          <w:tcPr>
            <w:tcW w:w="1134" w:type="dxa"/>
            <w:shd w:val="clear" w:color="auto" w:fill="auto"/>
            <w:vAlign w:val="center"/>
            <w:hideMark/>
          </w:tcPr>
          <w:p w14:paraId="5DDB535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13.995 €</w:t>
            </w:r>
          </w:p>
        </w:tc>
        <w:tc>
          <w:tcPr>
            <w:tcW w:w="1134" w:type="dxa"/>
            <w:shd w:val="clear" w:color="auto" w:fill="auto"/>
            <w:vAlign w:val="center"/>
            <w:hideMark/>
          </w:tcPr>
          <w:p w14:paraId="4219929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6A197E1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2.020 €</w:t>
            </w:r>
          </w:p>
        </w:tc>
        <w:tc>
          <w:tcPr>
            <w:tcW w:w="1417" w:type="dxa"/>
            <w:shd w:val="clear" w:color="auto" w:fill="auto"/>
            <w:vAlign w:val="center"/>
            <w:hideMark/>
          </w:tcPr>
          <w:p w14:paraId="6F077DB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16.015 €</w:t>
            </w:r>
          </w:p>
        </w:tc>
      </w:tr>
      <w:tr w:rsidR="00A4063C" w:rsidRPr="00394ACF" w14:paraId="260A45EA" w14:textId="77777777" w:rsidTr="00FE500C">
        <w:trPr>
          <w:cantSplit/>
          <w:trHeight w:val="420"/>
          <w:jc w:val="center"/>
        </w:trPr>
        <w:tc>
          <w:tcPr>
            <w:tcW w:w="1051" w:type="dxa"/>
            <w:shd w:val="clear" w:color="auto" w:fill="auto"/>
            <w:vAlign w:val="center"/>
            <w:hideMark/>
          </w:tcPr>
          <w:p w14:paraId="6CD2514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05.1031.002</w:t>
            </w:r>
          </w:p>
        </w:tc>
        <w:tc>
          <w:tcPr>
            <w:tcW w:w="2346" w:type="dxa"/>
            <w:shd w:val="clear" w:color="auto" w:fill="auto"/>
            <w:vAlign w:val="center"/>
            <w:hideMark/>
          </w:tcPr>
          <w:p w14:paraId="5B86196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ΠΡΟΣΤΑΣΙΑ ΦΥΣΙΚΟΥ ΠΕΡΙΒΑΛΛΟΝΤΟΣ ΚΑΙ ΥΔΑΤΩΝ ΒΑΣΕΙ ΒΙΩΣΙΜΗΣ ΑΝΑΠΤΥΞΗΣ</w:t>
            </w:r>
          </w:p>
        </w:tc>
        <w:tc>
          <w:tcPr>
            <w:tcW w:w="1134" w:type="dxa"/>
            <w:shd w:val="clear" w:color="auto" w:fill="auto"/>
            <w:vAlign w:val="center"/>
            <w:hideMark/>
          </w:tcPr>
          <w:p w14:paraId="4289EFE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156.054 €</w:t>
            </w:r>
          </w:p>
        </w:tc>
        <w:tc>
          <w:tcPr>
            <w:tcW w:w="1134" w:type="dxa"/>
            <w:shd w:val="clear" w:color="auto" w:fill="auto"/>
            <w:vAlign w:val="center"/>
            <w:hideMark/>
          </w:tcPr>
          <w:p w14:paraId="40C5E03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462.538 €</w:t>
            </w:r>
          </w:p>
        </w:tc>
        <w:tc>
          <w:tcPr>
            <w:tcW w:w="1985" w:type="dxa"/>
            <w:shd w:val="clear" w:color="auto" w:fill="auto"/>
            <w:vAlign w:val="center"/>
            <w:hideMark/>
          </w:tcPr>
          <w:p w14:paraId="0238642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305.706 €</w:t>
            </w:r>
          </w:p>
        </w:tc>
        <w:tc>
          <w:tcPr>
            <w:tcW w:w="1417" w:type="dxa"/>
            <w:shd w:val="clear" w:color="auto" w:fill="auto"/>
            <w:vAlign w:val="center"/>
            <w:hideMark/>
          </w:tcPr>
          <w:p w14:paraId="4866AD1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924.298 €</w:t>
            </w:r>
          </w:p>
        </w:tc>
      </w:tr>
      <w:tr w:rsidR="00A4063C" w:rsidRPr="00394ACF" w14:paraId="7AF8173A" w14:textId="77777777" w:rsidTr="00FE500C">
        <w:trPr>
          <w:cantSplit/>
          <w:trHeight w:val="420"/>
          <w:jc w:val="center"/>
        </w:trPr>
        <w:tc>
          <w:tcPr>
            <w:tcW w:w="1051" w:type="dxa"/>
            <w:shd w:val="clear" w:color="auto" w:fill="auto"/>
            <w:vAlign w:val="center"/>
            <w:hideMark/>
          </w:tcPr>
          <w:p w14:paraId="7328D93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05.1031.003</w:t>
            </w:r>
          </w:p>
        </w:tc>
        <w:tc>
          <w:tcPr>
            <w:tcW w:w="2346" w:type="dxa"/>
            <w:shd w:val="clear" w:color="auto" w:fill="auto"/>
            <w:vAlign w:val="center"/>
            <w:hideMark/>
          </w:tcPr>
          <w:p w14:paraId="0122814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ΧΩΡΟΤΑΞΙΚΟΣ ΣΧΕΔΙΑΣΜΟΣ ΚΑΙ ΑΣΤΙΚΟ ΠΕΡΙΒΑΛΛΟΝ</w:t>
            </w:r>
          </w:p>
        </w:tc>
        <w:tc>
          <w:tcPr>
            <w:tcW w:w="1134" w:type="dxa"/>
            <w:shd w:val="clear" w:color="auto" w:fill="auto"/>
            <w:vAlign w:val="center"/>
            <w:hideMark/>
          </w:tcPr>
          <w:p w14:paraId="23C565C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8.635 €</w:t>
            </w:r>
          </w:p>
        </w:tc>
        <w:tc>
          <w:tcPr>
            <w:tcW w:w="1134" w:type="dxa"/>
            <w:shd w:val="clear" w:color="auto" w:fill="auto"/>
            <w:vAlign w:val="center"/>
            <w:hideMark/>
          </w:tcPr>
          <w:p w14:paraId="66DDF12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704.750 €</w:t>
            </w:r>
          </w:p>
        </w:tc>
        <w:tc>
          <w:tcPr>
            <w:tcW w:w="1985" w:type="dxa"/>
            <w:shd w:val="clear" w:color="auto" w:fill="auto"/>
            <w:vAlign w:val="center"/>
            <w:hideMark/>
          </w:tcPr>
          <w:p w14:paraId="6B7998E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70.986 €</w:t>
            </w:r>
          </w:p>
        </w:tc>
        <w:tc>
          <w:tcPr>
            <w:tcW w:w="1417" w:type="dxa"/>
            <w:shd w:val="clear" w:color="auto" w:fill="auto"/>
            <w:vAlign w:val="center"/>
            <w:hideMark/>
          </w:tcPr>
          <w:p w14:paraId="32EAF65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784.371 €</w:t>
            </w:r>
          </w:p>
        </w:tc>
      </w:tr>
      <w:tr w:rsidR="00A4063C" w:rsidRPr="00394ACF" w14:paraId="5DF33F82" w14:textId="77777777" w:rsidTr="00FE500C">
        <w:trPr>
          <w:cantSplit/>
          <w:trHeight w:val="420"/>
          <w:jc w:val="center"/>
        </w:trPr>
        <w:tc>
          <w:tcPr>
            <w:tcW w:w="1051" w:type="dxa"/>
            <w:shd w:val="clear" w:color="auto" w:fill="auto"/>
            <w:vAlign w:val="center"/>
            <w:hideMark/>
          </w:tcPr>
          <w:p w14:paraId="1AA006C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05.1031.004</w:t>
            </w:r>
          </w:p>
        </w:tc>
        <w:tc>
          <w:tcPr>
            <w:tcW w:w="2346" w:type="dxa"/>
            <w:shd w:val="clear" w:color="auto" w:fill="auto"/>
            <w:vAlign w:val="center"/>
            <w:hideMark/>
          </w:tcPr>
          <w:p w14:paraId="0831D4B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ΕΝΕΡΓΕΙΑΣ ΚΑΙ ΟΡΥΚΤΩΝ ΠΡΩΤΩΝ ΥΛΩΝ</w:t>
            </w:r>
          </w:p>
        </w:tc>
        <w:tc>
          <w:tcPr>
            <w:tcW w:w="1134" w:type="dxa"/>
            <w:shd w:val="clear" w:color="auto" w:fill="auto"/>
            <w:vAlign w:val="center"/>
            <w:hideMark/>
          </w:tcPr>
          <w:p w14:paraId="7AB96B8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139.767 €</w:t>
            </w:r>
          </w:p>
        </w:tc>
        <w:tc>
          <w:tcPr>
            <w:tcW w:w="1134" w:type="dxa"/>
            <w:shd w:val="clear" w:color="auto" w:fill="auto"/>
            <w:vAlign w:val="center"/>
            <w:hideMark/>
          </w:tcPr>
          <w:p w14:paraId="36601DF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1.117.712 €</w:t>
            </w:r>
          </w:p>
        </w:tc>
        <w:tc>
          <w:tcPr>
            <w:tcW w:w="1985" w:type="dxa"/>
            <w:shd w:val="clear" w:color="auto" w:fill="auto"/>
            <w:vAlign w:val="center"/>
            <w:hideMark/>
          </w:tcPr>
          <w:p w14:paraId="2069B46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151.289 €</w:t>
            </w:r>
          </w:p>
        </w:tc>
        <w:tc>
          <w:tcPr>
            <w:tcW w:w="1417" w:type="dxa"/>
            <w:shd w:val="clear" w:color="auto" w:fill="auto"/>
            <w:vAlign w:val="center"/>
            <w:hideMark/>
          </w:tcPr>
          <w:p w14:paraId="123A344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1.408.768 €</w:t>
            </w:r>
          </w:p>
        </w:tc>
      </w:tr>
      <w:tr w:rsidR="00A4063C" w:rsidRPr="00394ACF" w14:paraId="6F05B770" w14:textId="77777777" w:rsidTr="00FE500C">
        <w:trPr>
          <w:cantSplit/>
          <w:trHeight w:val="210"/>
          <w:jc w:val="center"/>
        </w:trPr>
        <w:tc>
          <w:tcPr>
            <w:tcW w:w="1051" w:type="dxa"/>
            <w:shd w:val="clear" w:color="000000" w:fill="D9D9D9"/>
            <w:vAlign w:val="center"/>
            <w:hideMark/>
          </w:tcPr>
          <w:p w14:paraId="57D84A46"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1032</w:t>
            </w:r>
          </w:p>
        </w:tc>
        <w:tc>
          <w:tcPr>
            <w:tcW w:w="2346" w:type="dxa"/>
            <w:shd w:val="clear" w:color="000000" w:fill="D9D9D9"/>
            <w:vAlign w:val="center"/>
            <w:hideMark/>
          </w:tcPr>
          <w:p w14:paraId="1FA6366C"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ΕΡΓΑΣΙΑΣ ΚΑΙ ΚΟΙΝΩΝΙΚΗΣ ΑΣΦΑΛΙΣΗΣ</w:t>
            </w:r>
          </w:p>
        </w:tc>
        <w:tc>
          <w:tcPr>
            <w:tcW w:w="1134" w:type="dxa"/>
            <w:shd w:val="clear" w:color="000000" w:fill="D9D9D9"/>
            <w:vAlign w:val="center"/>
            <w:hideMark/>
          </w:tcPr>
          <w:p w14:paraId="4682A2A7"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18.429.078 €</w:t>
            </w:r>
          </w:p>
        </w:tc>
        <w:tc>
          <w:tcPr>
            <w:tcW w:w="1134" w:type="dxa"/>
            <w:shd w:val="clear" w:color="000000" w:fill="D9D9D9"/>
            <w:vAlign w:val="center"/>
            <w:hideMark/>
          </w:tcPr>
          <w:p w14:paraId="1CA6BD35"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422.000 €</w:t>
            </w:r>
          </w:p>
        </w:tc>
        <w:tc>
          <w:tcPr>
            <w:tcW w:w="1985" w:type="dxa"/>
            <w:shd w:val="clear" w:color="000000" w:fill="D9D9D9"/>
            <w:vAlign w:val="center"/>
            <w:hideMark/>
          </w:tcPr>
          <w:p w14:paraId="43B55A3E"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250.000 €</w:t>
            </w:r>
          </w:p>
        </w:tc>
        <w:tc>
          <w:tcPr>
            <w:tcW w:w="1417" w:type="dxa"/>
            <w:shd w:val="clear" w:color="000000" w:fill="D9D9D9"/>
            <w:vAlign w:val="center"/>
            <w:hideMark/>
          </w:tcPr>
          <w:p w14:paraId="1F53DB03"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19.101.078 €</w:t>
            </w:r>
          </w:p>
        </w:tc>
      </w:tr>
      <w:tr w:rsidR="00A4063C" w:rsidRPr="00394ACF" w14:paraId="56DDF749" w14:textId="77777777" w:rsidTr="00FE500C">
        <w:trPr>
          <w:cantSplit/>
          <w:trHeight w:val="630"/>
          <w:jc w:val="center"/>
        </w:trPr>
        <w:tc>
          <w:tcPr>
            <w:tcW w:w="1051" w:type="dxa"/>
            <w:shd w:val="clear" w:color="auto" w:fill="auto"/>
            <w:vAlign w:val="center"/>
            <w:hideMark/>
          </w:tcPr>
          <w:p w14:paraId="495B2A1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10.1032.001</w:t>
            </w:r>
          </w:p>
        </w:tc>
        <w:tc>
          <w:tcPr>
            <w:tcW w:w="2346" w:type="dxa"/>
            <w:shd w:val="clear" w:color="auto" w:fill="auto"/>
            <w:vAlign w:val="center"/>
            <w:hideMark/>
          </w:tcPr>
          <w:p w14:paraId="496B801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ΕΠΕΝΔΥΣΕΙΣ ΚΑΙ ΔΙΑΜΟΡΦΩΣΗ ΠΟΛΙΤΙΚΩΝ ΥΠΟΥΡΓΕΙΟΥ ΕΡΓΑΣΙΑΣ ΚΑΙ ΚΟΙΝΩΝΙΚΗΣ ΑΣΦΑΛΙΣΗΣ</w:t>
            </w:r>
          </w:p>
        </w:tc>
        <w:tc>
          <w:tcPr>
            <w:tcW w:w="1134" w:type="dxa"/>
            <w:shd w:val="clear" w:color="auto" w:fill="auto"/>
            <w:vAlign w:val="center"/>
            <w:hideMark/>
          </w:tcPr>
          <w:p w14:paraId="3C1CC45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17.811 €</w:t>
            </w:r>
          </w:p>
        </w:tc>
        <w:tc>
          <w:tcPr>
            <w:tcW w:w="1134" w:type="dxa"/>
            <w:shd w:val="clear" w:color="auto" w:fill="auto"/>
            <w:vAlign w:val="center"/>
            <w:hideMark/>
          </w:tcPr>
          <w:p w14:paraId="36A6533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24.486 €</w:t>
            </w:r>
          </w:p>
        </w:tc>
        <w:tc>
          <w:tcPr>
            <w:tcW w:w="1985" w:type="dxa"/>
            <w:shd w:val="clear" w:color="auto" w:fill="auto"/>
            <w:vAlign w:val="center"/>
            <w:hideMark/>
          </w:tcPr>
          <w:p w14:paraId="25D2611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6.974 €</w:t>
            </w:r>
          </w:p>
        </w:tc>
        <w:tc>
          <w:tcPr>
            <w:tcW w:w="1417" w:type="dxa"/>
            <w:shd w:val="clear" w:color="auto" w:fill="auto"/>
            <w:vAlign w:val="center"/>
            <w:hideMark/>
          </w:tcPr>
          <w:p w14:paraId="12E42EA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49.270 €</w:t>
            </w:r>
          </w:p>
        </w:tc>
      </w:tr>
      <w:tr w:rsidR="00A4063C" w:rsidRPr="00394ACF" w14:paraId="2C863E7A" w14:textId="77777777" w:rsidTr="00FE500C">
        <w:trPr>
          <w:cantSplit/>
          <w:trHeight w:val="210"/>
          <w:jc w:val="center"/>
        </w:trPr>
        <w:tc>
          <w:tcPr>
            <w:tcW w:w="1051" w:type="dxa"/>
            <w:shd w:val="clear" w:color="auto" w:fill="auto"/>
            <w:vAlign w:val="center"/>
            <w:hideMark/>
          </w:tcPr>
          <w:p w14:paraId="1C647DB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10.1032.002</w:t>
            </w:r>
          </w:p>
        </w:tc>
        <w:tc>
          <w:tcPr>
            <w:tcW w:w="2346" w:type="dxa"/>
            <w:shd w:val="clear" w:color="auto" w:fill="auto"/>
            <w:vAlign w:val="center"/>
            <w:hideMark/>
          </w:tcPr>
          <w:p w14:paraId="5637B94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ΠΟΛΙΤΙΚΕΣ ΚΟΙΝΩΝΙΚΗΣ ΑΣΦΑΛΙΣΗΣ</w:t>
            </w:r>
          </w:p>
        </w:tc>
        <w:tc>
          <w:tcPr>
            <w:tcW w:w="1134" w:type="dxa"/>
            <w:shd w:val="clear" w:color="auto" w:fill="auto"/>
            <w:vAlign w:val="center"/>
            <w:hideMark/>
          </w:tcPr>
          <w:p w14:paraId="32CBFD4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16.961.142 €</w:t>
            </w:r>
          </w:p>
        </w:tc>
        <w:tc>
          <w:tcPr>
            <w:tcW w:w="1134" w:type="dxa"/>
            <w:shd w:val="clear" w:color="auto" w:fill="auto"/>
            <w:vAlign w:val="center"/>
            <w:hideMark/>
          </w:tcPr>
          <w:p w14:paraId="56BFC1B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26.931 €</w:t>
            </w:r>
          </w:p>
        </w:tc>
        <w:tc>
          <w:tcPr>
            <w:tcW w:w="1985" w:type="dxa"/>
            <w:shd w:val="clear" w:color="auto" w:fill="auto"/>
            <w:vAlign w:val="center"/>
            <w:hideMark/>
          </w:tcPr>
          <w:p w14:paraId="1577632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17.550 €</w:t>
            </w:r>
          </w:p>
        </w:tc>
        <w:tc>
          <w:tcPr>
            <w:tcW w:w="1417" w:type="dxa"/>
            <w:shd w:val="clear" w:color="auto" w:fill="auto"/>
            <w:vAlign w:val="center"/>
            <w:hideMark/>
          </w:tcPr>
          <w:p w14:paraId="202452B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17.005.623 €</w:t>
            </w:r>
          </w:p>
        </w:tc>
      </w:tr>
      <w:tr w:rsidR="00A4063C" w:rsidRPr="00394ACF" w14:paraId="48B0EAC4" w14:textId="77777777" w:rsidTr="00FE500C">
        <w:trPr>
          <w:cantSplit/>
          <w:trHeight w:val="210"/>
          <w:jc w:val="center"/>
        </w:trPr>
        <w:tc>
          <w:tcPr>
            <w:tcW w:w="1051" w:type="dxa"/>
            <w:shd w:val="clear" w:color="auto" w:fill="auto"/>
            <w:vAlign w:val="center"/>
            <w:hideMark/>
          </w:tcPr>
          <w:p w14:paraId="35179BC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10.1032.003</w:t>
            </w:r>
          </w:p>
        </w:tc>
        <w:tc>
          <w:tcPr>
            <w:tcW w:w="2346" w:type="dxa"/>
            <w:shd w:val="clear" w:color="auto" w:fill="auto"/>
            <w:vAlign w:val="center"/>
            <w:hideMark/>
          </w:tcPr>
          <w:p w14:paraId="65C0B3E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ΠΟΛΙΤΙΚΕΣ ΣΤΗΡΙΞΗΣ ΤΗΣ ΕΡΓΑΣΙΑΣ</w:t>
            </w:r>
          </w:p>
        </w:tc>
        <w:tc>
          <w:tcPr>
            <w:tcW w:w="1134" w:type="dxa"/>
            <w:shd w:val="clear" w:color="auto" w:fill="auto"/>
            <w:vAlign w:val="center"/>
            <w:hideMark/>
          </w:tcPr>
          <w:p w14:paraId="2CC29A1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1.417.082 €</w:t>
            </w:r>
          </w:p>
        </w:tc>
        <w:tc>
          <w:tcPr>
            <w:tcW w:w="1134" w:type="dxa"/>
            <w:shd w:val="clear" w:color="auto" w:fill="auto"/>
            <w:vAlign w:val="center"/>
            <w:hideMark/>
          </w:tcPr>
          <w:p w14:paraId="409EDA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370.583 €</w:t>
            </w:r>
          </w:p>
        </w:tc>
        <w:tc>
          <w:tcPr>
            <w:tcW w:w="1985" w:type="dxa"/>
            <w:shd w:val="clear" w:color="auto" w:fill="auto"/>
            <w:vAlign w:val="center"/>
            <w:hideMark/>
          </w:tcPr>
          <w:p w14:paraId="2942474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225.477 €</w:t>
            </w:r>
          </w:p>
        </w:tc>
        <w:tc>
          <w:tcPr>
            <w:tcW w:w="1417" w:type="dxa"/>
            <w:shd w:val="clear" w:color="auto" w:fill="auto"/>
            <w:vAlign w:val="center"/>
            <w:hideMark/>
          </w:tcPr>
          <w:p w14:paraId="6EB59F6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2.013.142 €</w:t>
            </w:r>
          </w:p>
        </w:tc>
      </w:tr>
      <w:tr w:rsidR="00A4063C" w:rsidRPr="00394ACF" w14:paraId="2E37799F" w14:textId="77777777" w:rsidTr="00FE500C">
        <w:trPr>
          <w:cantSplit/>
          <w:trHeight w:val="210"/>
          <w:jc w:val="center"/>
        </w:trPr>
        <w:tc>
          <w:tcPr>
            <w:tcW w:w="1051" w:type="dxa"/>
            <w:shd w:val="clear" w:color="auto" w:fill="auto"/>
            <w:vAlign w:val="center"/>
            <w:hideMark/>
          </w:tcPr>
          <w:p w14:paraId="462B2B7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10.1032.004</w:t>
            </w:r>
          </w:p>
        </w:tc>
        <w:tc>
          <w:tcPr>
            <w:tcW w:w="2346" w:type="dxa"/>
            <w:shd w:val="clear" w:color="auto" w:fill="auto"/>
            <w:vAlign w:val="center"/>
            <w:hideMark/>
          </w:tcPr>
          <w:p w14:paraId="012F019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ΕΛΕΓΧΟΣ ΤΗΣ ΑΓΟΡΑΣ ΕΡΓΑΣΙΑΣ</w:t>
            </w:r>
          </w:p>
        </w:tc>
        <w:tc>
          <w:tcPr>
            <w:tcW w:w="1134" w:type="dxa"/>
            <w:shd w:val="clear" w:color="auto" w:fill="auto"/>
            <w:vAlign w:val="center"/>
            <w:hideMark/>
          </w:tcPr>
          <w:p w14:paraId="035BFE4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32.841 €</w:t>
            </w:r>
          </w:p>
        </w:tc>
        <w:tc>
          <w:tcPr>
            <w:tcW w:w="1134" w:type="dxa"/>
            <w:shd w:val="clear" w:color="auto" w:fill="auto"/>
            <w:vAlign w:val="center"/>
            <w:hideMark/>
          </w:tcPr>
          <w:p w14:paraId="7B35D0A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5A91FE6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2DDA63E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32.841 €</w:t>
            </w:r>
          </w:p>
        </w:tc>
      </w:tr>
      <w:tr w:rsidR="00A4063C" w:rsidRPr="00394ACF" w14:paraId="39D76360" w14:textId="77777777" w:rsidTr="00FE500C">
        <w:trPr>
          <w:cantSplit/>
          <w:trHeight w:val="210"/>
          <w:jc w:val="center"/>
        </w:trPr>
        <w:tc>
          <w:tcPr>
            <w:tcW w:w="1051" w:type="dxa"/>
            <w:shd w:val="clear" w:color="auto" w:fill="auto"/>
            <w:vAlign w:val="center"/>
            <w:hideMark/>
          </w:tcPr>
          <w:p w14:paraId="2141A76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10.1032.005</w:t>
            </w:r>
          </w:p>
        </w:tc>
        <w:tc>
          <w:tcPr>
            <w:tcW w:w="2346" w:type="dxa"/>
            <w:shd w:val="clear" w:color="auto" w:fill="auto"/>
            <w:vAlign w:val="center"/>
            <w:hideMark/>
          </w:tcPr>
          <w:p w14:paraId="6EBFB75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ΣΤΑΤΙΣΤΙΚΑ ΔΕΔΟΜΕΝΑ ΚΑΙ ΕΡΕΥΝΕΣ ΕΑΑ</w:t>
            </w:r>
          </w:p>
        </w:tc>
        <w:tc>
          <w:tcPr>
            <w:tcW w:w="1134" w:type="dxa"/>
            <w:shd w:val="clear" w:color="auto" w:fill="auto"/>
            <w:vAlign w:val="center"/>
            <w:hideMark/>
          </w:tcPr>
          <w:p w14:paraId="4BE962C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202 €</w:t>
            </w:r>
          </w:p>
        </w:tc>
        <w:tc>
          <w:tcPr>
            <w:tcW w:w="1134" w:type="dxa"/>
            <w:shd w:val="clear" w:color="auto" w:fill="auto"/>
            <w:vAlign w:val="center"/>
            <w:hideMark/>
          </w:tcPr>
          <w:p w14:paraId="537FC5A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67CEBBE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010BB97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202 €</w:t>
            </w:r>
          </w:p>
        </w:tc>
      </w:tr>
      <w:tr w:rsidR="00A4063C" w:rsidRPr="00394ACF" w14:paraId="421ED1A9" w14:textId="77777777" w:rsidTr="00FE500C">
        <w:trPr>
          <w:cantSplit/>
          <w:trHeight w:val="420"/>
          <w:jc w:val="center"/>
        </w:trPr>
        <w:tc>
          <w:tcPr>
            <w:tcW w:w="1051" w:type="dxa"/>
            <w:shd w:val="clear" w:color="000000" w:fill="D9D9D9"/>
            <w:vAlign w:val="center"/>
            <w:hideMark/>
          </w:tcPr>
          <w:p w14:paraId="170C1C7E"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1034</w:t>
            </w:r>
          </w:p>
        </w:tc>
        <w:tc>
          <w:tcPr>
            <w:tcW w:w="2346" w:type="dxa"/>
            <w:shd w:val="clear" w:color="000000" w:fill="D9D9D9"/>
            <w:vAlign w:val="center"/>
            <w:hideMark/>
          </w:tcPr>
          <w:p w14:paraId="46ADB8B5"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ΚΟΙΝΩΝΙΚΗΣ ΣΥΝΟΧΗΣ ΚΑΙ ΟΙΚΟΓΕΝΕΙΑΣ</w:t>
            </w:r>
          </w:p>
        </w:tc>
        <w:tc>
          <w:tcPr>
            <w:tcW w:w="1134" w:type="dxa"/>
            <w:shd w:val="clear" w:color="000000" w:fill="D9D9D9"/>
            <w:vAlign w:val="center"/>
            <w:hideMark/>
          </w:tcPr>
          <w:p w14:paraId="1193D4A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3.570.316 €</w:t>
            </w:r>
          </w:p>
        </w:tc>
        <w:tc>
          <w:tcPr>
            <w:tcW w:w="1134" w:type="dxa"/>
            <w:shd w:val="clear" w:color="000000" w:fill="D9D9D9"/>
            <w:vAlign w:val="center"/>
            <w:hideMark/>
          </w:tcPr>
          <w:p w14:paraId="6F526096"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102.000 €</w:t>
            </w:r>
          </w:p>
        </w:tc>
        <w:tc>
          <w:tcPr>
            <w:tcW w:w="1985" w:type="dxa"/>
            <w:shd w:val="clear" w:color="000000" w:fill="D9D9D9"/>
            <w:vAlign w:val="center"/>
            <w:hideMark/>
          </w:tcPr>
          <w:p w14:paraId="46504ABC"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131.000 €</w:t>
            </w:r>
          </w:p>
        </w:tc>
        <w:tc>
          <w:tcPr>
            <w:tcW w:w="1417" w:type="dxa"/>
            <w:shd w:val="clear" w:color="000000" w:fill="D9D9D9"/>
            <w:vAlign w:val="center"/>
            <w:hideMark/>
          </w:tcPr>
          <w:p w14:paraId="114FEC0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3.803.316 €</w:t>
            </w:r>
          </w:p>
        </w:tc>
      </w:tr>
      <w:tr w:rsidR="00A4063C" w:rsidRPr="00394ACF" w14:paraId="2135D7CC" w14:textId="77777777" w:rsidTr="00FE500C">
        <w:trPr>
          <w:cantSplit/>
          <w:trHeight w:val="630"/>
          <w:jc w:val="center"/>
        </w:trPr>
        <w:tc>
          <w:tcPr>
            <w:tcW w:w="1051" w:type="dxa"/>
            <w:shd w:val="clear" w:color="auto" w:fill="auto"/>
            <w:vAlign w:val="center"/>
            <w:hideMark/>
          </w:tcPr>
          <w:p w14:paraId="335E29A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10.1034.001</w:t>
            </w:r>
          </w:p>
        </w:tc>
        <w:tc>
          <w:tcPr>
            <w:tcW w:w="2346" w:type="dxa"/>
            <w:shd w:val="clear" w:color="auto" w:fill="auto"/>
            <w:vAlign w:val="center"/>
            <w:hideMark/>
          </w:tcPr>
          <w:p w14:paraId="3E7166D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ΕΠΕΝΔΥΣΕΙΣ ΚΑΙ ΔΙΑΜΟΡΦΩΣΗ ΠΟΛΙΤΙΚΩΝ ΥΠΟΥΡΓΕΙΟΥ ΚΟΙΝΩΝΙΚΗΣ ΣΥΝΟΧΗΣ ΚΑΙ ΟΙΚΟΓΕΝΕΙΑΣ</w:t>
            </w:r>
          </w:p>
        </w:tc>
        <w:tc>
          <w:tcPr>
            <w:tcW w:w="1134" w:type="dxa"/>
            <w:shd w:val="clear" w:color="auto" w:fill="auto"/>
            <w:vAlign w:val="center"/>
            <w:hideMark/>
          </w:tcPr>
          <w:p w14:paraId="1F82A77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46.767 €</w:t>
            </w:r>
          </w:p>
        </w:tc>
        <w:tc>
          <w:tcPr>
            <w:tcW w:w="1134" w:type="dxa"/>
            <w:shd w:val="clear" w:color="auto" w:fill="auto"/>
            <w:vAlign w:val="center"/>
            <w:hideMark/>
          </w:tcPr>
          <w:p w14:paraId="725F288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290 €</w:t>
            </w:r>
          </w:p>
        </w:tc>
        <w:tc>
          <w:tcPr>
            <w:tcW w:w="1985" w:type="dxa"/>
            <w:shd w:val="clear" w:color="auto" w:fill="auto"/>
            <w:vAlign w:val="center"/>
            <w:hideMark/>
          </w:tcPr>
          <w:p w14:paraId="47A32BB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28.600 €</w:t>
            </w:r>
          </w:p>
        </w:tc>
        <w:tc>
          <w:tcPr>
            <w:tcW w:w="1417" w:type="dxa"/>
            <w:shd w:val="clear" w:color="auto" w:fill="auto"/>
            <w:vAlign w:val="center"/>
            <w:hideMark/>
          </w:tcPr>
          <w:p w14:paraId="59D0255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75.657 €</w:t>
            </w:r>
          </w:p>
        </w:tc>
      </w:tr>
      <w:tr w:rsidR="00A4063C" w:rsidRPr="00394ACF" w14:paraId="01B666F6" w14:textId="77777777" w:rsidTr="00FE500C">
        <w:trPr>
          <w:cantSplit/>
          <w:trHeight w:val="420"/>
          <w:jc w:val="center"/>
        </w:trPr>
        <w:tc>
          <w:tcPr>
            <w:tcW w:w="1051" w:type="dxa"/>
            <w:shd w:val="clear" w:color="auto" w:fill="auto"/>
            <w:vAlign w:val="center"/>
            <w:hideMark/>
          </w:tcPr>
          <w:p w14:paraId="29A4686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10.1034.002</w:t>
            </w:r>
          </w:p>
        </w:tc>
        <w:tc>
          <w:tcPr>
            <w:tcW w:w="2346" w:type="dxa"/>
            <w:shd w:val="clear" w:color="auto" w:fill="auto"/>
            <w:vAlign w:val="center"/>
            <w:hideMark/>
          </w:tcPr>
          <w:p w14:paraId="23451EB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ΠΟΛΙΤΙΚΕΣ ΚΟΙΝΩΝΙΚΗΣ ΑΛΛΗΛΕΓΓΥΗΣ ΚΑΙ ΚΑΤΑΠΟΛΕΜΗΣΗΣ ΤΗΣ ΦΤΩΧΕΙΑΣ</w:t>
            </w:r>
          </w:p>
        </w:tc>
        <w:tc>
          <w:tcPr>
            <w:tcW w:w="1134" w:type="dxa"/>
            <w:shd w:val="clear" w:color="auto" w:fill="auto"/>
            <w:vAlign w:val="center"/>
            <w:hideMark/>
          </w:tcPr>
          <w:p w14:paraId="2DB8254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3.520.471 €</w:t>
            </w:r>
          </w:p>
        </w:tc>
        <w:tc>
          <w:tcPr>
            <w:tcW w:w="1134" w:type="dxa"/>
            <w:shd w:val="clear" w:color="auto" w:fill="auto"/>
            <w:vAlign w:val="center"/>
            <w:hideMark/>
          </w:tcPr>
          <w:p w14:paraId="0C7AE39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101.000 €</w:t>
            </w:r>
          </w:p>
        </w:tc>
        <w:tc>
          <w:tcPr>
            <w:tcW w:w="1985" w:type="dxa"/>
            <w:shd w:val="clear" w:color="auto" w:fill="auto"/>
            <w:vAlign w:val="center"/>
            <w:hideMark/>
          </w:tcPr>
          <w:p w14:paraId="617B018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102.249 €</w:t>
            </w:r>
          </w:p>
        </w:tc>
        <w:tc>
          <w:tcPr>
            <w:tcW w:w="1417" w:type="dxa"/>
            <w:shd w:val="clear" w:color="auto" w:fill="auto"/>
            <w:vAlign w:val="center"/>
            <w:hideMark/>
          </w:tcPr>
          <w:p w14:paraId="46F6B62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3.723.720 €</w:t>
            </w:r>
          </w:p>
        </w:tc>
      </w:tr>
      <w:tr w:rsidR="00A4063C" w:rsidRPr="00394ACF" w14:paraId="1D756BDE" w14:textId="77777777" w:rsidTr="00FE500C">
        <w:trPr>
          <w:cantSplit/>
          <w:trHeight w:val="420"/>
          <w:jc w:val="center"/>
        </w:trPr>
        <w:tc>
          <w:tcPr>
            <w:tcW w:w="1051" w:type="dxa"/>
            <w:shd w:val="clear" w:color="auto" w:fill="auto"/>
            <w:vAlign w:val="center"/>
            <w:hideMark/>
          </w:tcPr>
          <w:p w14:paraId="4D98A3B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10.1034.003</w:t>
            </w:r>
          </w:p>
        </w:tc>
        <w:tc>
          <w:tcPr>
            <w:tcW w:w="2346" w:type="dxa"/>
            <w:shd w:val="clear" w:color="auto" w:fill="auto"/>
            <w:vAlign w:val="center"/>
            <w:hideMark/>
          </w:tcPr>
          <w:p w14:paraId="73CD6DB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ΠΟΛΙΤΙΚΕΣ ΓΙΑ ΤΗΝ ΙΣΟΤΗΤΑ ΤΩΝ ΦΥΛΩΝ ΚΑΙ ΤΑ ΑΝΘΡΩΠΙΝΑ ΔΙΚΑΙΩΜΑΤΑ</w:t>
            </w:r>
          </w:p>
        </w:tc>
        <w:tc>
          <w:tcPr>
            <w:tcW w:w="1134" w:type="dxa"/>
            <w:shd w:val="clear" w:color="auto" w:fill="auto"/>
            <w:vAlign w:val="center"/>
            <w:hideMark/>
          </w:tcPr>
          <w:p w14:paraId="2AF7B65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3.078 €</w:t>
            </w:r>
          </w:p>
        </w:tc>
        <w:tc>
          <w:tcPr>
            <w:tcW w:w="1134" w:type="dxa"/>
            <w:shd w:val="clear" w:color="auto" w:fill="auto"/>
            <w:vAlign w:val="center"/>
            <w:hideMark/>
          </w:tcPr>
          <w:p w14:paraId="7C1BEB5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710 €</w:t>
            </w:r>
          </w:p>
        </w:tc>
        <w:tc>
          <w:tcPr>
            <w:tcW w:w="1985" w:type="dxa"/>
            <w:shd w:val="clear" w:color="auto" w:fill="auto"/>
            <w:vAlign w:val="center"/>
            <w:hideMark/>
          </w:tcPr>
          <w:p w14:paraId="5621705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151 €</w:t>
            </w:r>
          </w:p>
        </w:tc>
        <w:tc>
          <w:tcPr>
            <w:tcW w:w="1417" w:type="dxa"/>
            <w:shd w:val="clear" w:color="auto" w:fill="auto"/>
            <w:vAlign w:val="center"/>
            <w:hideMark/>
          </w:tcPr>
          <w:p w14:paraId="5BDF380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3.939 €</w:t>
            </w:r>
          </w:p>
        </w:tc>
      </w:tr>
      <w:tr w:rsidR="00A4063C" w:rsidRPr="00394ACF" w14:paraId="5345DDF8" w14:textId="77777777" w:rsidTr="00FE500C">
        <w:trPr>
          <w:cantSplit/>
          <w:trHeight w:val="210"/>
          <w:jc w:val="center"/>
        </w:trPr>
        <w:tc>
          <w:tcPr>
            <w:tcW w:w="1051" w:type="dxa"/>
            <w:shd w:val="clear" w:color="000000" w:fill="D9D9D9"/>
            <w:vAlign w:val="center"/>
            <w:hideMark/>
          </w:tcPr>
          <w:p w14:paraId="3CB7D8C6"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1036</w:t>
            </w:r>
          </w:p>
        </w:tc>
        <w:tc>
          <w:tcPr>
            <w:tcW w:w="2346" w:type="dxa"/>
            <w:shd w:val="clear" w:color="000000" w:fill="D9D9D9"/>
            <w:vAlign w:val="center"/>
            <w:hideMark/>
          </w:tcPr>
          <w:p w14:paraId="7403F573"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ΑΝΑΠΤΥΞΗΣ</w:t>
            </w:r>
          </w:p>
        </w:tc>
        <w:tc>
          <w:tcPr>
            <w:tcW w:w="1134" w:type="dxa"/>
            <w:shd w:val="clear" w:color="000000" w:fill="D9D9D9"/>
            <w:vAlign w:val="center"/>
            <w:hideMark/>
          </w:tcPr>
          <w:p w14:paraId="56EC2E98"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128.476 €</w:t>
            </w:r>
          </w:p>
        </w:tc>
        <w:tc>
          <w:tcPr>
            <w:tcW w:w="1134" w:type="dxa"/>
            <w:shd w:val="clear" w:color="000000" w:fill="D9D9D9"/>
            <w:vAlign w:val="center"/>
            <w:hideMark/>
          </w:tcPr>
          <w:p w14:paraId="3DC453C3"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410.000 €</w:t>
            </w:r>
          </w:p>
        </w:tc>
        <w:tc>
          <w:tcPr>
            <w:tcW w:w="1985" w:type="dxa"/>
            <w:shd w:val="clear" w:color="000000" w:fill="D9D9D9"/>
            <w:vAlign w:val="center"/>
            <w:hideMark/>
          </w:tcPr>
          <w:p w14:paraId="2FCE31D0"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260.000 €</w:t>
            </w:r>
          </w:p>
        </w:tc>
        <w:tc>
          <w:tcPr>
            <w:tcW w:w="1417" w:type="dxa"/>
            <w:shd w:val="clear" w:color="000000" w:fill="D9D9D9"/>
            <w:vAlign w:val="center"/>
            <w:hideMark/>
          </w:tcPr>
          <w:p w14:paraId="1459C777"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798.476 €</w:t>
            </w:r>
          </w:p>
        </w:tc>
      </w:tr>
      <w:tr w:rsidR="00A4063C" w:rsidRPr="00394ACF" w14:paraId="3DE2F0B8" w14:textId="77777777" w:rsidTr="00FE500C">
        <w:trPr>
          <w:cantSplit/>
          <w:trHeight w:val="210"/>
          <w:jc w:val="center"/>
        </w:trPr>
        <w:tc>
          <w:tcPr>
            <w:tcW w:w="1051" w:type="dxa"/>
            <w:shd w:val="clear" w:color="auto" w:fill="auto"/>
            <w:vAlign w:val="center"/>
            <w:hideMark/>
          </w:tcPr>
          <w:p w14:paraId="3A6166B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lastRenderedPageBreak/>
              <w:t>04.1036.001</w:t>
            </w:r>
          </w:p>
        </w:tc>
        <w:tc>
          <w:tcPr>
            <w:tcW w:w="2346" w:type="dxa"/>
            <w:shd w:val="clear" w:color="auto" w:fill="auto"/>
            <w:vAlign w:val="center"/>
            <w:hideMark/>
          </w:tcPr>
          <w:p w14:paraId="45AE120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ΠΡΟΣΤΑΣΙΑ ΤΩΝ ΚΑΤΑΝΑΛΩΤΩΝ</w:t>
            </w:r>
          </w:p>
        </w:tc>
        <w:tc>
          <w:tcPr>
            <w:tcW w:w="1134" w:type="dxa"/>
            <w:shd w:val="clear" w:color="auto" w:fill="auto"/>
            <w:vAlign w:val="center"/>
            <w:hideMark/>
          </w:tcPr>
          <w:p w14:paraId="41F5B1E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1.985 €</w:t>
            </w:r>
          </w:p>
        </w:tc>
        <w:tc>
          <w:tcPr>
            <w:tcW w:w="1134" w:type="dxa"/>
            <w:shd w:val="clear" w:color="auto" w:fill="auto"/>
            <w:vAlign w:val="center"/>
            <w:hideMark/>
          </w:tcPr>
          <w:p w14:paraId="09B73A0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2.994 €</w:t>
            </w:r>
          </w:p>
        </w:tc>
        <w:tc>
          <w:tcPr>
            <w:tcW w:w="1985" w:type="dxa"/>
            <w:shd w:val="clear" w:color="auto" w:fill="auto"/>
            <w:vAlign w:val="center"/>
            <w:hideMark/>
          </w:tcPr>
          <w:p w14:paraId="5539ADC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9.793 €</w:t>
            </w:r>
          </w:p>
        </w:tc>
        <w:tc>
          <w:tcPr>
            <w:tcW w:w="1417" w:type="dxa"/>
            <w:shd w:val="clear" w:color="auto" w:fill="auto"/>
            <w:vAlign w:val="center"/>
            <w:hideMark/>
          </w:tcPr>
          <w:p w14:paraId="20CB9A1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14.773 €</w:t>
            </w:r>
          </w:p>
        </w:tc>
      </w:tr>
      <w:tr w:rsidR="00A4063C" w:rsidRPr="00394ACF" w14:paraId="7B754304" w14:textId="77777777" w:rsidTr="00FE500C">
        <w:trPr>
          <w:cantSplit/>
          <w:trHeight w:val="420"/>
          <w:jc w:val="center"/>
        </w:trPr>
        <w:tc>
          <w:tcPr>
            <w:tcW w:w="1051" w:type="dxa"/>
            <w:shd w:val="clear" w:color="auto" w:fill="auto"/>
            <w:vAlign w:val="center"/>
            <w:hideMark/>
          </w:tcPr>
          <w:p w14:paraId="46399B8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04.1036.002</w:t>
            </w:r>
          </w:p>
        </w:tc>
        <w:tc>
          <w:tcPr>
            <w:tcW w:w="2346" w:type="dxa"/>
            <w:shd w:val="clear" w:color="auto" w:fill="auto"/>
            <w:vAlign w:val="center"/>
            <w:hideMark/>
          </w:tcPr>
          <w:p w14:paraId="2B11993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ΕΡΕΥΝΑ ΚΑΙ ΑΝΑΠΤΥΞΗ ΣΕ ΕΡΕΥΝΗΤΙΚΑ ΚΕΝΤΡΑ ΚΑΙ ΕΠΙΧΕΙΡΗΣΕΙΣ</w:t>
            </w:r>
          </w:p>
        </w:tc>
        <w:tc>
          <w:tcPr>
            <w:tcW w:w="1134" w:type="dxa"/>
            <w:shd w:val="clear" w:color="auto" w:fill="auto"/>
            <w:vAlign w:val="center"/>
            <w:hideMark/>
          </w:tcPr>
          <w:p w14:paraId="5D2E90E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96.700 €</w:t>
            </w:r>
          </w:p>
        </w:tc>
        <w:tc>
          <w:tcPr>
            <w:tcW w:w="1134" w:type="dxa"/>
            <w:shd w:val="clear" w:color="auto" w:fill="auto"/>
            <w:vAlign w:val="center"/>
            <w:hideMark/>
          </w:tcPr>
          <w:p w14:paraId="5E7A4FF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132.688 €</w:t>
            </w:r>
          </w:p>
        </w:tc>
        <w:tc>
          <w:tcPr>
            <w:tcW w:w="1985" w:type="dxa"/>
            <w:shd w:val="clear" w:color="auto" w:fill="auto"/>
            <w:vAlign w:val="center"/>
            <w:hideMark/>
          </w:tcPr>
          <w:p w14:paraId="155B040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79.568 €</w:t>
            </w:r>
          </w:p>
        </w:tc>
        <w:tc>
          <w:tcPr>
            <w:tcW w:w="1417" w:type="dxa"/>
            <w:shd w:val="clear" w:color="auto" w:fill="auto"/>
            <w:vAlign w:val="center"/>
            <w:hideMark/>
          </w:tcPr>
          <w:p w14:paraId="5FB69B6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308.956 €</w:t>
            </w:r>
          </w:p>
        </w:tc>
      </w:tr>
      <w:tr w:rsidR="00A4063C" w:rsidRPr="00394ACF" w14:paraId="296FB77B" w14:textId="77777777" w:rsidTr="00FE500C">
        <w:trPr>
          <w:cantSplit/>
          <w:trHeight w:val="210"/>
          <w:jc w:val="center"/>
        </w:trPr>
        <w:tc>
          <w:tcPr>
            <w:tcW w:w="1051" w:type="dxa"/>
            <w:shd w:val="clear" w:color="auto" w:fill="auto"/>
            <w:vAlign w:val="center"/>
            <w:hideMark/>
          </w:tcPr>
          <w:p w14:paraId="5C98E6E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04.1036.003</w:t>
            </w:r>
          </w:p>
        </w:tc>
        <w:tc>
          <w:tcPr>
            <w:tcW w:w="2346" w:type="dxa"/>
            <w:shd w:val="clear" w:color="auto" w:fill="auto"/>
            <w:vAlign w:val="center"/>
            <w:hideMark/>
          </w:tcPr>
          <w:p w14:paraId="70DF7F9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ΕΛΛΗΝΙΚΗ ΒΙΟΜΗΧΑΝΙΑ</w:t>
            </w:r>
          </w:p>
        </w:tc>
        <w:tc>
          <w:tcPr>
            <w:tcW w:w="1134" w:type="dxa"/>
            <w:shd w:val="clear" w:color="auto" w:fill="auto"/>
            <w:vAlign w:val="center"/>
            <w:hideMark/>
          </w:tcPr>
          <w:p w14:paraId="492EA2D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4.322 €</w:t>
            </w:r>
          </w:p>
        </w:tc>
        <w:tc>
          <w:tcPr>
            <w:tcW w:w="1134" w:type="dxa"/>
            <w:shd w:val="clear" w:color="auto" w:fill="auto"/>
            <w:vAlign w:val="center"/>
            <w:hideMark/>
          </w:tcPr>
          <w:p w14:paraId="1D2ADE6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150.988 €</w:t>
            </w:r>
          </w:p>
        </w:tc>
        <w:tc>
          <w:tcPr>
            <w:tcW w:w="1985" w:type="dxa"/>
            <w:shd w:val="clear" w:color="auto" w:fill="auto"/>
            <w:vAlign w:val="center"/>
            <w:hideMark/>
          </w:tcPr>
          <w:p w14:paraId="10A3521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5.106 €</w:t>
            </w:r>
          </w:p>
        </w:tc>
        <w:tc>
          <w:tcPr>
            <w:tcW w:w="1417" w:type="dxa"/>
            <w:shd w:val="clear" w:color="auto" w:fill="auto"/>
            <w:vAlign w:val="center"/>
            <w:hideMark/>
          </w:tcPr>
          <w:p w14:paraId="6490FE1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160.416 €</w:t>
            </w:r>
          </w:p>
        </w:tc>
      </w:tr>
      <w:tr w:rsidR="00A4063C" w:rsidRPr="00394ACF" w14:paraId="388CDF1F" w14:textId="77777777" w:rsidTr="00FE500C">
        <w:trPr>
          <w:cantSplit/>
          <w:trHeight w:val="210"/>
          <w:jc w:val="center"/>
        </w:trPr>
        <w:tc>
          <w:tcPr>
            <w:tcW w:w="1051" w:type="dxa"/>
            <w:shd w:val="clear" w:color="auto" w:fill="auto"/>
            <w:vAlign w:val="center"/>
            <w:hideMark/>
          </w:tcPr>
          <w:p w14:paraId="3DDEB35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04.1036.004</w:t>
            </w:r>
          </w:p>
        </w:tc>
        <w:tc>
          <w:tcPr>
            <w:tcW w:w="2346" w:type="dxa"/>
            <w:shd w:val="clear" w:color="auto" w:fill="auto"/>
            <w:vAlign w:val="center"/>
            <w:hideMark/>
          </w:tcPr>
          <w:p w14:paraId="2392D94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ΠΡΟΣΕΛΚΥΣΗ ΙΔΙΩΤΙΚΩΝ ΕΠΕΝΔΥΣΕΩΝ</w:t>
            </w:r>
          </w:p>
        </w:tc>
        <w:tc>
          <w:tcPr>
            <w:tcW w:w="1134" w:type="dxa"/>
            <w:shd w:val="clear" w:color="auto" w:fill="auto"/>
            <w:vAlign w:val="center"/>
            <w:hideMark/>
          </w:tcPr>
          <w:p w14:paraId="53A6A6B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3.244 €</w:t>
            </w:r>
          </w:p>
        </w:tc>
        <w:tc>
          <w:tcPr>
            <w:tcW w:w="1134" w:type="dxa"/>
            <w:shd w:val="clear" w:color="auto" w:fill="auto"/>
            <w:vAlign w:val="center"/>
            <w:hideMark/>
          </w:tcPr>
          <w:p w14:paraId="3B56116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113.195 €</w:t>
            </w:r>
          </w:p>
        </w:tc>
        <w:tc>
          <w:tcPr>
            <w:tcW w:w="1985" w:type="dxa"/>
            <w:shd w:val="clear" w:color="auto" w:fill="auto"/>
            <w:vAlign w:val="center"/>
            <w:hideMark/>
          </w:tcPr>
          <w:p w14:paraId="6FE7216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135.390 €</w:t>
            </w:r>
          </w:p>
        </w:tc>
        <w:tc>
          <w:tcPr>
            <w:tcW w:w="1417" w:type="dxa"/>
            <w:shd w:val="clear" w:color="auto" w:fill="auto"/>
            <w:vAlign w:val="center"/>
            <w:hideMark/>
          </w:tcPr>
          <w:p w14:paraId="10F8EC4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251.829 €</w:t>
            </w:r>
          </w:p>
        </w:tc>
      </w:tr>
      <w:tr w:rsidR="00A4063C" w:rsidRPr="00394ACF" w14:paraId="2356EA97" w14:textId="77777777" w:rsidTr="00FE500C">
        <w:trPr>
          <w:cantSplit/>
          <w:trHeight w:val="420"/>
          <w:jc w:val="center"/>
        </w:trPr>
        <w:tc>
          <w:tcPr>
            <w:tcW w:w="1051" w:type="dxa"/>
            <w:shd w:val="clear" w:color="auto" w:fill="auto"/>
            <w:vAlign w:val="center"/>
            <w:hideMark/>
          </w:tcPr>
          <w:p w14:paraId="0F5869C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04.1036.005</w:t>
            </w:r>
          </w:p>
        </w:tc>
        <w:tc>
          <w:tcPr>
            <w:tcW w:w="2346" w:type="dxa"/>
            <w:shd w:val="clear" w:color="auto" w:fill="auto"/>
            <w:vAlign w:val="center"/>
            <w:hideMark/>
          </w:tcPr>
          <w:p w14:paraId="4DDDBB2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ΕΠΙΧΕΙΡΗΜΑΤΙΚΟ ΠΕΡΙΒΑΛΛΟΝ ΣΤΟΝ ΤΟΜΕΑ ΤΟΥ ΕΜΠΟΡΙΟΥ</w:t>
            </w:r>
          </w:p>
        </w:tc>
        <w:tc>
          <w:tcPr>
            <w:tcW w:w="1134" w:type="dxa"/>
            <w:shd w:val="clear" w:color="auto" w:fill="auto"/>
            <w:vAlign w:val="center"/>
            <w:hideMark/>
          </w:tcPr>
          <w:p w14:paraId="4E6176D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4.960 €</w:t>
            </w:r>
          </w:p>
        </w:tc>
        <w:tc>
          <w:tcPr>
            <w:tcW w:w="1134" w:type="dxa"/>
            <w:shd w:val="clear" w:color="auto" w:fill="auto"/>
            <w:vAlign w:val="center"/>
            <w:hideMark/>
          </w:tcPr>
          <w:p w14:paraId="0C18443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3.744 €</w:t>
            </w:r>
          </w:p>
        </w:tc>
        <w:tc>
          <w:tcPr>
            <w:tcW w:w="1985" w:type="dxa"/>
            <w:shd w:val="clear" w:color="auto" w:fill="auto"/>
            <w:vAlign w:val="center"/>
            <w:hideMark/>
          </w:tcPr>
          <w:p w14:paraId="19FD910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12.241 €</w:t>
            </w:r>
          </w:p>
        </w:tc>
        <w:tc>
          <w:tcPr>
            <w:tcW w:w="1417" w:type="dxa"/>
            <w:shd w:val="clear" w:color="auto" w:fill="auto"/>
            <w:vAlign w:val="center"/>
            <w:hideMark/>
          </w:tcPr>
          <w:p w14:paraId="2FB08E7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20.945 €</w:t>
            </w:r>
          </w:p>
        </w:tc>
      </w:tr>
      <w:tr w:rsidR="00A4063C" w:rsidRPr="00394ACF" w14:paraId="7C978904" w14:textId="77777777" w:rsidTr="00FE500C">
        <w:trPr>
          <w:cantSplit/>
          <w:trHeight w:val="420"/>
          <w:jc w:val="center"/>
        </w:trPr>
        <w:tc>
          <w:tcPr>
            <w:tcW w:w="1051" w:type="dxa"/>
            <w:shd w:val="clear" w:color="auto" w:fill="auto"/>
            <w:vAlign w:val="center"/>
            <w:hideMark/>
          </w:tcPr>
          <w:p w14:paraId="5872578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04.1036.006</w:t>
            </w:r>
          </w:p>
        </w:tc>
        <w:tc>
          <w:tcPr>
            <w:tcW w:w="2346" w:type="dxa"/>
            <w:shd w:val="clear" w:color="auto" w:fill="auto"/>
            <w:vAlign w:val="center"/>
            <w:hideMark/>
          </w:tcPr>
          <w:p w14:paraId="3594CA7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ΚΕΝΤΡΙΚΕΣ ΔΙΑΔΙΚΑΣΙΕΣ ΑΝΑΘΕΣΗΣ ΔΗΜΟΣΙΩΝ ΣΥΜΒΑΣΕΩΝ</w:t>
            </w:r>
          </w:p>
        </w:tc>
        <w:tc>
          <w:tcPr>
            <w:tcW w:w="1134" w:type="dxa"/>
            <w:shd w:val="clear" w:color="auto" w:fill="auto"/>
            <w:vAlign w:val="center"/>
            <w:hideMark/>
          </w:tcPr>
          <w:p w14:paraId="2828B4D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1.638 €</w:t>
            </w:r>
          </w:p>
        </w:tc>
        <w:tc>
          <w:tcPr>
            <w:tcW w:w="1134" w:type="dxa"/>
            <w:shd w:val="clear" w:color="auto" w:fill="auto"/>
            <w:vAlign w:val="center"/>
            <w:hideMark/>
          </w:tcPr>
          <w:p w14:paraId="3CAF568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2.469 €</w:t>
            </w:r>
          </w:p>
        </w:tc>
        <w:tc>
          <w:tcPr>
            <w:tcW w:w="1985" w:type="dxa"/>
            <w:shd w:val="clear" w:color="auto" w:fill="auto"/>
            <w:vAlign w:val="center"/>
            <w:hideMark/>
          </w:tcPr>
          <w:p w14:paraId="2D9672F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8.079 €</w:t>
            </w:r>
          </w:p>
        </w:tc>
        <w:tc>
          <w:tcPr>
            <w:tcW w:w="1417" w:type="dxa"/>
            <w:shd w:val="clear" w:color="auto" w:fill="auto"/>
            <w:vAlign w:val="center"/>
            <w:hideMark/>
          </w:tcPr>
          <w:p w14:paraId="7FC67C3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12.187 €</w:t>
            </w:r>
          </w:p>
        </w:tc>
      </w:tr>
      <w:tr w:rsidR="00A4063C" w:rsidRPr="00394ACF" w14:paraId="0F726391" w14:textId="77777777" w:rsidTr="00FE500C">
        <w:trPr>
          <w:cantSplit/>
          <w:trHeight w:val="420"/>
          <w:jc w:val="center"/>
        </w:trPr>
        <w:tc>
          <w:tcPr>
            <w:tcW w:w="1051" w:type="dxa"/>
            <w:shd w:val="clear" w:color="auto" w:fill="auto"/>
            <w:vAlign w:val="center"/>
            <w:hideMark/>
          </w:tcPr>
          <w:p w14:paraId="5C704C3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04.1036.007</w:t>
            </w:r>
          </w:p>
        </w:tc>
        <w:tc>
          <w:tcPr>
            <w:tcW w:w="2346" w:type="dxa"/>
            <w:shd w:val="clear" w:color="auto" w:fill="auto"/>
            <w:vAlign w:val="center"/>
            <w:hideMark/>
          </w:tcPr>
          <w:p w14:paraId="5B29049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ΑΝΑΠΤΥΞΗΣ</w:t>
            </w:r>
          </w:p>
        </w:tc>
        <w:tc>
          <w:tcPr>
            <w:tcW w:w="1134" w:type="dxa"/>
            <w:shd w:val="clear" w:color="auto" w:fill="auto"/>
            <w:vAlign w:val="center"/>
            <w:hideMark/>
          </w:tcPr>
          <w:p w14:paraId="4FA2058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13.318 €</w:t>
            </w:r>
          </w:p>
        </w:tc>
        <w:tc>
          <w:tcPr>
            <w:tcW w:w="1134" w:type="dxa"/>
            <w:shd w:val="clear" w:color="auto" w:fill="auto"/>
            <w:vAlign w:val="center"/>
            <w:hideMark/>
          </w:tcPr>
          <w:p w14:paraId="15BBACE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3.921 €</w:t>
            </w:r>
          </w:p>
        </w:tc>
        <w:tc>
          <w:tcPr>
            <w:tcW w:w="1985" w:type="dxa"/>
            <w:shd w:val="clear" w:color="auto" w:fill="auto"/>
            <w:vAlign w:val="center"/>
            <w:hideMark/>
          </w:tcPr>
          <w:p w14:paraId="5BE4894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9.823 €</w:t>
            </w:r>
          </w:p>
        </w:tc>
        <w:tc>
          <w:tcPr>
            <w:tcW w:w="1417" w:type="dxa"/>
            <w:shd w:val="clear" w:color="auto" w:fill="auto"/>
            <w:vAlign w:val="center"/>
            <w:hideMark/>
          </w:tcPr>
          <w:p w14:paraId="697382E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27.062 €</w:t>
            </w:r>
          </w:p>
        </w:tc>
      </w:tr>
      <w:tr w:rsidR="00A4063C" w:rsidRPr="00394ACF" w14:paraId="2DDD8747" w14:textId="77777777" w:rsidTr="00FE500C">
        <w:trPr>
          <w:cantSplit/>
          <w:trHeight w:val="420"/>
          <w:jc w:val="center"/>
        </w:trPr>
        <w:tc>
          <w:tcPr>
            <w:tcW w:w="1051" w:type="dxa"/>
            <w:shd w:val="clear" w:color="auto" w:fill="auto"/>
            <w:vAlign w:val="center"/>
            <w:hideMark/>
          </w:tcPr>
          <w:p w14:paraId="32625E4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04.1036.008</w:t>
            </w:r>
          </w:p>
        </w:tc>
        <w:tc>
          <w:tcPr>
            <w:tcW w:w="2346" w:type="dxa"/>
            <w:shd w:val="clear" w:color="auto" w:fill="auto"/>
            <w:vAlign w:val="center"/>
            <w:hideMark/>
          </w:tcPr>
          <w:p w14:paraId="02C6E6B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ΔΙΑΜΕΣΟΛΑΒΗΣΗ ΓΙΑ ΤΗΝ ΕΞΩΔΙΚΑΣΤΙΚΗ ΕΠΙΛΥΣΗ ΚΑΤΑΝΑΛΩΤΙΚΩΝ ΔΙΑΦΟΡΩΝ</w:t>
            </w:r>
          </w:p>
        </w:tc>
        <w:tc>
          <w:tcPr>
            <w:tcW w:w="1134" w:type="dxa"/>
            <w:shd w:val="clear" w:color="auto" w:fill="auto"/>
            <w:vAlign w:val="center"/>
            <w:hideMark/>
          </w:tcPr>
          <w:p w14:paraId="238EB58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2.309 €</w:t>
            </w:r>
          </w:p>
        </w:tc>
        <w:tc>
          <w:tcPr>
            <w:tcW w:w="1134" w:type="dxa"/>
            <w:shd w:val="clear" w:color="auto" w:fill="auto"/>
            <w:vAlign w:val="center"/>
            <w:hideMark/>
          </w:tcPr>
          <w:p w14:paraId="34D7DAB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57EE459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6AF0AB0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2.309 €</w:t>
            </w:r>
          </w:p>
        </w:tc>
      </w:tr>
      <w:tr w:rsidR="00A4063C" w:rsidRPr="00394ACF" w14:paraId="0BC20704" w14:textId="77777777" w:rsidTr="00FE500C">
        <w:trPr>
          <w:cantSplit/>
          <w:trHeight w:val="210"/>
          <w:jc w:val="center"/>
        </w:trPr>
        <w:tc>
          <w:tcPr>
            <w:tcW w:w="1051" w:type="dxa"/>
            <w:shd w:val="clear" w:color="000000" w:fill="D9D9D9"/>
            <w:vAlign w:val="center"/>
            <w:hideMark/>
          </w:tcPr>
          <w:p w14:paraId="269B8BEE"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1039</w:t>
            </w:r>
          </w:p>
        </w:tc>
        <w:tc>
          <w:tcPr>
            <w:tcW w:w="2346" w:type="dxa"/>
            <w:shd w:val="clear" w:color="000000" w:fill="D9D9D9"/>
            <w:vAlign w:val="center"/>
            <w:hideMark/>
          </w:tcPr>
          <w:p w14:paraId="3853FAD5"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ΥΠΟΔΟΜΩΝ ΚΑΙ ΜΕΤΑΦΟΡΩΝ</w:t>
            </w:r>
          </w:p>
        </w:tc>
        <w:tc>
          <w:tcPr>
            <w:tcW w:w="1134" w:type="dxa"/>
            <w:shd w:val="clear" w:color="000000" w:fill="D9D9D9"/>
            <w:vAlign w:val="center"/>
            <w:hideMark/>
          </w:tcPr>
          <w:p w14:paraId="08CAA143"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1.031.756 €</w:t>
            </w:r>
          </w:p>
        </w:tc>
        <w:tc>
          <w:tcPr>
            <w:tcW w:w="1134" w:type="dxa"/>
            <w:shd w:val="clear" w:color="000000" w:fill="D9D9D9"/>
            <w:vAlign w:val="center"/>
            <w:hideMark/>
          </w:tcPr>
          <w:p w14:paraId="60993FA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1.600.000 €</w:t>
            </w:r>
          </w:p>
        </w:tc>
        <w:tc>
          <w:tcPr>
            <w:tcW w:w="1985" w:type="dxa"/>
            <w:shd w:val="clear" w:color="000000" w:fill="D9D9D9"/>
            <w:vAlign w:val="center"/>
            <w:hideMark/>
          </w:tcPr>
          <w:p w14:paraId="722D0D30"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760.000 €</w:t>
            </w:r>
          </w:p>
        </w:tc>
        <w:tc>
          <w:tcPr>
            <w:tcW w:w="1417" w:type="dxa"/>
            <w:shd w:val="clear" w:color="000000" w:fill="D9D9D9"/>
            <w:vAlign w:val="center"/>
            <w:hideMark/>
          </w:tcPr>
          <w:p w14:paraId="455FEADD"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3.391.756 €</w:t>
            </w:r>
          </w:p>
        </w:tc>
      </w:tr>
      <w:tr w:rsidR="00A4063C" w:rsidRPr="00394ACF" w14:paraId="39D82AD9" w14:textId="77777777" w:rsidTr="00FE500C">
        <w:trPr>
          <w:cantSplit/>
          <w:trHeight w:val="210"/>
          <w:jc w:val="center"/>
        </w:trPr>
        <w:tc>
          <w:tcPr>
            <w:tcW w:w="1051" w:type="dxa"/>
            <w:shd w:val="clear" w:color="auto" w:fill="auto"/>
            <w:vAlign w:val="center"/>
            <w:hideMark/>
          </w:tcPr>
          <w:p w14:paraId="2D93D90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06.1039.001</w:t>
            </w:r>
          </w:p>
        </w:tc>
        <w:tc>
          <w:tcPr>
            <w:tcW w:w="2346" w:type="dxa"/>
            <w:shd w:val="clear" w:color="auto" w:fill="auto"/>
            <w:vAlign w:val="center"/>
            <w:hideMark/>
          </w:tcPr>
          <w:p w14:paraId="1BFAB53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ΑΠΟΔΟΤΙΚΗ ΚΑΙ ΒΙΩΣΙΜΗ ΔΙΑΧΕΙΡΙΣΗ ΠΟΡΩΝ</w:t>
            </w:r>
          </w:p>
        </w:tc>
        <w:tc>
          <w:tcPr>
            <w:tcW w:w="1134" w:type="dxa"/>
            <w:shd w:val="clear" w:color="auto" w:fill="auto"/>
            <w:vAlign w:val="center"/>
            <w:hideMark/>
          </w:tcPr>
          <w:p w14:paraId="7C06011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2.948 €</w:t>
            </w:r>
          </w:p>
        </w:tc>
        <w:tc>
          <w:tcPr>
            <w:tcW w:w="1134" w:type="dxa"/>
            <w:shd w:val="clear" w:color="auto" w:fill="auto"/>
            <w:vAlign w:val="center"/>
            <w:hideMark/>
          </w:tcPr>
          <w:p w14:paraId="0D65164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82.029 €</w:t>
            </w:r>
          </w:p>
        </w:tc>
        <w:tc>
          <w:tcPr>
            <w:tcW w:w="1985" w:type="dxa"/>
            <w:shd w:val="clear" w:color="auto" w:fill="auto"/>
            <w:vAlign w:val="center"/>
            <w:hideMark/>
          </w:tcPr>
          <w:p w14:paraId="7A14F89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12.389 €</w:t>
            </w:r>
          </w:p>
        </w:tc>
        <w:tc>
          <w:tcPr>
            <w:tcW w:w="1417" w:type="dxa"/>
            <w:shd w:val="clear" w:color="auto" w:fill="auto"/>
            <w:vAlign w:val="center"/>
            <w:hideMark/>
          </w:tcPr>
          <w:p w14:paraId="11926FD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97.365 €</w:t>
            </w:r>
          </w:p>
        </w:tc>
      </w:tr>
      <w:tr w:rsidR="00A4063C" w:rsidRPr="00394ACF" w14:paraId="493C859C" w14:textId="77777777" w:rsidTr="00FE500C">
        <w:trPr>
          <w:cantSplit/>
          <w:trHeight w:val="210"/>
          <w:jc w:val="center"/>
        </w:trPr>
        <w:tc>
          <w:tcPr>
            <w:tcW w:w="1051" w:type="dxa"/>
            <w:shd w:val="clear" w:color="auto" w:fill="auto"/>
            <w:vAlign w:val="center"/>
            <w:hideMark/>
          </w:tcPr>
          <w:p w14:paraId="34F087B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06.1039.002</w:t>
            </w:r>
          </w:p>
        </w:tc>
        <w:tc>
          <w:tcPr>
            <w:tcW w:w="2346" w:type="dxa"/>
            <w:shd w:val="clear" w:color="auto" w:fill="auto"/>
            <w:vAlign w:val="center"/>
            <w:hideMark/>
          </w:tcPr>
          <w:p w14:paraId="0A93833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ΑΣΦΑΛΕΙΣ ΚΑΙ ΠΟΙΟΤΙΚΕΣ ΥΠΟΔΟΜΕΣ ΜΕΤΑΦΟΡΩΝ</w:t>
            </w:r>
          </w:p>
        </w:tc>
        <w:tc>
          <w:tcPr>
            <w:tcW w:w="1134" w:type="dxa"/>
            <w:shd w:val="clear" w:color="auto" w:fill="auto"/>
            <w:vAlign w:val="center"/>
            <w:hideMark/>
          </w:tcPr>
          <w:p w14:paraId="581DF25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139.782 €</w:t>
            </w:r>
          </w:p>
        </w:tc>
        <w:tc>
          <w:tcPr>
            <w:tcW w:w="1134" w:type="dxa"/>
            <w:shd w:val="clear" w:color="auto" w:fill="auto"/>
            <w:vAlign w:val="center"/>
            <w:hideMark/>
          </w:tcPr>
          <w:p w14:paraId="0FE66B7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648.170 €</w:t>
            </w:r>
          </w:p>
        </w:tc>
        <w:tc>
          <w:tcPr>
            <w:tcW w:w="1985" w:type="dxa"/>
            <w:shd w:val="clear" w:color="auto" w:fill="auto"/>
            <w:vAlign w:val="center"/>
            <w:hideMark/>
          </w:tcPr>
          <w:p w14:paraId="15B4893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476.741 €</w:t>
            </w:r>
          </w:p>
        </w:tc>
        <w:tc>
          <w:tcPr>
            <w:tcW w:w="1417" w:type="dxa"/>
            <w:shd w:val="clear" w:color="auto" w:fill="auto"/>
            <w:vAlign w:val="center"/>
            <w:hideMark/>
          </w:tcPr>
          <w:p w14:paraId="4A01FC6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1.264.694 €</w:t>
            </w:r>
          </w:p>
        </w:tc>
      </w:tr>
      <w:tr w:rsidR="00A4063C" w:rsidRPr="00394ACF" w14:paraId="26A600B6" w14:textId="77777777" w:rsidTr="00FE500C">
        <w:trPr>
          <w:cantSplit/>
          <w:trHeight w:val="420"/>
          <w:jc w:val="center"/>
        </w:trPr>
        <w:tc>
          <w:tcPr>
            <w:tcW w:w="1051" w:type="dxa"/>
            <w:shd w:val="clear" w:color="auto" w:fill="auto"/>
            <w:vAlign w:val="center"/>
            <w:hideMark/>
          </w:tcPr>
          <w:p w14:paraId="31DE801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06.1039.003</w:t>
            </w:r>
          </w:p>
        </w:tc>
        <w:tc>
          <w:tcPr>
            <w:tcW w:w="2346" w:type="dxa"/>
            <w:shd w:val="clear" w:color="auto" w:fill="auto"/>
            <w:vAlign w:val="center"/>
            <w:hideMark/>
          </w:tcPr>
          <w:p w14:paraId="3FE605E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ΑΣΦΑΛΕΙΣ, ΒΙΩΣΙΜΕΣ ΚΑΙ ΕΝΕΡΓΕΙΑΚΑ ΑΠΟΔΟΤΙΚΕΣ ΚΤΙΡΙΑΚΕΣ ΥΠΟΔΟΜΕΣ</w:t>
            </w:r>
          </w:p>
        </w:tc>
        <w:tc>
          <w:tcPr>
            <w:tcW w:w="1134" w:type="dxa"/>
            <w:shd w:val="clear" w:color="auto" w:fill="auto"/>
            <w:vAlign w:val="center"/>
            <w:hideMark/>
          </w:tcPr>
          <w:p w14:paraId="767DEE5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35.358 €</w:t>
            </w:r>
          </w:p>
        </w:tc>
        <w:tc>
          <w:tcPr>
            <w:tcW w:w="1134" w:type="dxa"/>
            <w:shd w:val="clear" w:color="auto" w:fill="auto"/>
            <w:vAlign w:val="center"/>
            <w:hideMark/>
          </w:tcPr>
          <w:p w14:paraId="582DAE5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60.207 €</w:t>
            </w:r>
          </w:p>
        </w:tc>
        <w:tc>
          <w:tcPr>
            <w:tcW w:w="1985" w:type="dxa"/>
            <w:shd w:val="clear" w:color="auto" w:fill="auto"/>
            <w:vAlign w:val="center"/>
            <w:hideMark/>
          </w:tcPr>
          <w:p w14:paraId="6B86098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1029978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95.565 €</w:t>
            </w:r>
          </w:p>
        </w:tc>
      </w:tr>
      <w:tr w:rsidR="00A4063C" w:rsidRPr="00394ACF" w14:paraId="41347679" w14:textId="77777777" w:rsidTr="00FE500C">
        <w:trPr>
          <w:cantSplit/>
          <w:trHeight w:val="210"/>
          <w:jc w:val="center"/>
        </w:trPr>
        <w:tc>
          <w:tcPr>
            <w:tcW w:w="1051" w:type="dxa"/>
            <w:shd w:val="clear" w:color="auto" w:fill="auto"/>
            <w:vAlign w:val="center"/>
            <w:hideMark/>
          </w:tcPr>
          <w:p w14:paraId="49761F9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06.1039.004</w:t>
            </w:r>
          </w:p>
        </w:tc>
        <w:tc>
          <w:tcPr>
            <w:tcW w:w="2346" w:type="dxa"/>
            <w:shd w:val="clear" w:color="auto" w:fill="auto"/>
            <w:vAlign w:val="center"/>
            <w:hideMark/>
          </w:tcPr>
          <w:p w14:paraId="53A66C5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ΒΙΩΣΙΜΗ ΑΣΤΙΚΗ ΚΙΝΗΤΙΚΟΤΗΤΑ</w:t>
            </w:r>
          </w:p>
        </w:tc>
        <w:tc>
          <w:tcPr>
            <w:tcW w:w="1134" w:type="dxa"/>
            <w:shd w:val="clear" w:color="auto" w:fill="auto"/>
            <w:vAlign w:val="center"/>
            <w:hideMark/>
          </w:tcPr>
          <w:p w14:paraId="329673C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1.669 €</w:t>
            </w:r>
          </w:p>
        </w:tc>
        <w:tc>
          <w:tcPr>
            <w:tcW w:w="1134" w:type="dxa"/>
            <w:shd w:val="clear" w:color="auto" w:fill="auto"/>
            <w:vAlign w:val="center"/>
            <w:hideMark/>
          </w:tcPr>
          <w:p w14:paraId="50E4B25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232.512 €</w:t>
            </w:r>
          </w:p>
        </w:tc>
        <w:tc>
          <w:tcPr>
            <w:tcW w:w="1985" w:type="dxa"/>
            <w:shd w:val="clear" w:color="auto" w:fill="auto"/>
            <w:vAlign w:val="center"/>
            <w:hideMark/>
          </w:tcPr>
          <w:p w14:paraId="709BC3D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116.531 €</w:t>
            </w:r>
          </w:p>
        </w:tc>
        <w:tc>
          <w:tcPr>
            <w:tcW w:w="1417" w:type="dxa"/>
            <w:shd w:val="clear" w:color="auto" w:fill="auto"/>
            <w:vAlign w:val="center"/>
            <w:hideMark/>
          </w:tcPr>
          <w:p w14:paraId="22B6284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350.712 €</w:t>
            </w:r>
          </w:p>
        </w:tc>
      </w:tr>
      <w:tr w:rsidR="00A4063C" w:rsidRPr="00394ACF" w14:paraId="1628E7E4" w14:textId="77777777" w:rsidTr="00FE500C">
        <w:trPr>
          <w:cantSplit/>
          <w:trHeight w:val="420"/>
          <w:jc w:val="center"/>
        </w:trPr>
        <w:tc>
          <w:tcPr>
            <w:tcW w:w="1051" w:type="dxa"/>
            <w:shd w:val="clear" w:color="auto" w:fill="auto"/>
            <w:vAlign w:val="center"/>
            <w:hideMark/>
          </w:tcPr>
          <w:p w14:paraId="14B1E6C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06.1039.005</w:t>
            </w:r>
          </w:p>
        </w:tc>
        <w:tc>
          <w:tcPr>
            <w:tcW w:w="2346" w:type="dxa"/>
            <w:shd w:val="clear" w:color="auto" w:fill="auto"/>
            <w:vAlign w:val="center"/>
            <w:hideMark/>
          </w:tcPr>
          <w:p w14:paraId="07EE826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ΥΠΟΔΟΜΩΝ ΚΑΙ ΜΕΤΑΦΟΡΩΝ</w:t>
            </w:r>
          </w:p>
        </w:tc>
        <w:tc>
          <w:tcPr>
            <w:tcW w:w="1134" w:type="dxa"/>
            <w:shd w:val="clear" w:color="auto" w:fill="auto"/>
            <w:vAlign w:val="center"/>
            <w:hideMark/>
          </w:tcPr>
          <w:p w14:paraId="640DB92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32.135 €</w:t>
            </w:r>
          </w:p>
        </w:tc>
        <w:tc>
          <w:tcPr>
            <w:tcW w:w="1134" w:type="dxa"/>
            <w:shd w:val="clear" w:color="auto" w:fill="auto"/>
            <w:vAlign w:val="center"/>
            <w:hideMark/>
          </w:tcPr>
          <w:p w14:paraId="7D840FA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23.147 €</w:t>
            </w:r>
          </w:p>
        </w:tc>
        <w:tc>
          <w:tcPr>
            <w:tcW w:w="1985" w:type="dxa"/>
            <w:shd w:val="clear" w:color="auto" w:fill="auto"/>
            <w:vAlign w:val="center"/>
            <w:hideMark/>
          </w:tcPr>
          <w:p w14:paraId="4E59BD1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1.262 €</w:t>
            </w:r>
          </w:p>
        </w:tc>
        <w:tc>
          <w:tcPr>
            <w:tcW w:w="1417" w:type="dxa"/>
            <w:shd w:val="clear" w:color="auto" w:fill="auto"/>
            <w:vAlign w:val="center"/>
            <w:hideMark/>
          </w:tcPr>
          <w:p w14:paraId="63B79DA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56.545 €</w:t>
            </w:r>
          </w:p>
        </w:tc>
      </w:tr>
      <w:tr w:rsidR="00A4063C" w:rsidRPr="00394ACF" w14:paraId="0027B503" w14:textId="77777777" w:rsidTr="00FE500C">
        <w:trPr>
          <w:cantSplit/>
          <w:trHeight w:val="420"/>
          <w:jc w:val="center"/>
        </w:trPr>
        <w:tc>
          <w:tcPr>
            <w:tcW w:w="1051" w:type="dxa"/>
            <w:shd w:val="clear" w:color="auto" w:fill="auto"/>
            <w:vAlign w:val="center"/>
            <w:hideMark/>
          </w:tcPr>
          <w:p w14:paraId="3A54DAD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06.1039.006</w:t>
            </w:r>
          </w:p>
        </w:tc>
        <w:tc>
          <w:tcPr>
            <w:tcW w:w="2346" w:type="dxa"/>
            <w:shd w:val="clear" w:color="auto" w:fill="auto"/>
            <w:vAlign w:val="center"/>
            <w:hideMark/>
          </w:tcPr>
          <w:p w14:paraId="645C28B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ΠΟΙΟΤΗΤΑ, ΑΣΦΑΛΕΙΑ ΚΑΙ ΟΙΚΟΝΟΜΙΚΗ ΠΡΟΣΙΤΟΤΗΤΑ ΜΕΤΑΦΟΡΩΝ</w:t>
            </w:r>
          </w:p>
        </w:tc>
        <w:tc>
          <w:tcPr>
            <w:tcW w:w="1134" w:type="dxa"/>
            <w:shd w:val="clear" w:color="auto" w:fill="auto"/>
            <w:vAlign w:val="center"/>
            <w:hideMark/>
          </w:tcPr>
          <w:p w14:paraId="3E93FB8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618.859 €</w:t>
            </w:r>
          </w:p>
        </w:tc>
        <w:tc>
          <w:tcPr>
            <w:tcW w:w="1134" w:type="dxa"/>
            <w:shd w:val="clear" w:color="auto" w:fill="auto"/>
            <w:vAlign w:val="center"/>
            <w:hideMark/>
          </w:tcPr>
          <w:p w14:paraId="4E25699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95.657 €</w:t>
            </w:r>
          </w:p>
        </w:tc>
        <w:tc>
          <w:tcPr>
            <w:tcW w:w="1985" w:type="dxa"/>
            <w:shd w:val="clear" w:color="auto" w:fill="auto"/>
            <w:vAlign w:val="center"/>
            <w:hideMark/>
          </w:tcPr>
          <w:p w14:paraId="0C4FE5B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15.177 €</w:t>
            </w:r>
          </w:p>
        </w:tc>
        <w:tc>
          <w:tcPr>
            <w:tcW w:w="1417" w:type="dxa"/>
            <w:shd w:val="clear" w:color="auto" w:fill="auto"/>
            <w:vAlign w:val="center"/>
            <w:hideMark/>
          </w:tcPr>
          <w:p w14:paraId="702CC25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729.693 €</w:t>
            </w:r>
          </w:p>
        </w:tc>
      </w:tr>
      <w:tr w:rsidR="00A4063C" w:rsidRPr="00394ACF" w14:paraId="7E50AFE7" w14:textId="77777777" w:rsidTr="00FE500C">
        <w:trPr>
          <w:cantSplit/>
          <w:trHeight w:val="420"/>
          <w:jc w:val="center"/>
        </w:trPr>
        <w:tc>
          <w:tcPr>
            <w:tcW w:w="1051" w:type="dxa"/>
            <w:shd w:val="clear" w:color="auto" w:fill="auto"/>
            <w:vAlign w:val="center"/>
            <w:hideMark/>
          </w:tcPr>
          <w:p w14:paraId="0E57D2E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06.1039.007</w:t>
            </w:r>
          </w:p>
        </w:tc>
        <w:tc>
          <w:tcPr>
            <w:tcW w:w="2346" w:type="dxa"/>
            <w:shd w:val="clear" w:color="auto" w:fill="auto"/>
            <w:vAlign w:val="center"/>
            <w:hideMark/>
          </w:tcPr>
          <w:p w14:paraId="5A421B0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ΚΑΙ ΛΕΙΤΟΥΡΓΙΑ ΥΠΗΡΕΣΙΑΣ ΠΟΛΙΤΙΚΗΣ ΑΕΡΟΠΟΡΙΑΣ</w:t>
            </w:r>
          </w:p>
        </w:tc>
        <w:tc>
          <w:tcPr>
            <w:tcW w:w="1134" w:type="dxa"/>
            <w:shd w:val="clear" w:color="auto" w:fill="auto"/>
            <w:vAlign w:val="center"/>
            <w:hideMark/>
          </w:tcPr>
          <w:p w14:paraId="35144F4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194.724 €</w:t>
            </w:r>
          </w:p>
        </w:tc>
        <w:tc>
          <w:tcPr>
            <w:tcW w:w="1134" w:type="dxa"/>
            <w:shd w:val="clear" w:color="auto" w:fill="auto"/>
            <w:vAlign w:val="center"/>
            <w:hideMark/>
          </w:tcPr>
          <w:p w14:paraId="6731C0B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7ABA09B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E145D6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194.724 €</w:t>
            </w:r>
          </w:p>
        </w:tc>
      </w:tr>
      <w:tr w:rsidR="00A4063C" w:rsidRPr="00394ACF" w14:paraId="1F669E37" w14:textId="77777777" w:rsidTr="00FE500C">
        <w:trPr>
          <w:cantSplit/>
          <w:trHeight w:val="210"/>
          <w:jc w:val="center"/>
        </w:trPr>
        <w:tc>
          <w:tcPr>
            <w:tcW w:w="1051" w:type="dxa"/>
            <w:shd w:val="clear" w:color="auto" w:fill="auto"/>
            <w:vAlign w:val="center"/>
            <w:hideMark/>
          </w:tcPr>
          <w:p w14:paraId="78792F8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06.1039.008</w:t>
            </w:r>
          </w:p>
        </w:tc>
        <w:tc>
          <w:tcPr>
            <w:tcW w:w="2346" w:type="dxa"/>
            <w:shd w:val="clear" w:color="auto" w:fill="auto"/>
            <w:vAlign w:val="center"/>
            <w:hideMark/>
          </w:tcPr>
          <w:p w14:paraId="5C21E6C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ΡΥΘΜΙΣΤΙΚΗ ΑΡΧΗ ΣΙΔΗΡΟΔΡΟΜΩΝ</w:t>
            </w:r>
          </w:p>
        </w:tc>
        <w:tc>
          <w:tcPr>
            <w:tcW w:w="1134" w:type="dxa"/>
            <w:shd w:val="clear" w:color="auto" w:fill="auto"/>
            <w:vAlign w:val="center"/>
            <w:hideMark/>
          </w:tcPr>
          <w:p w14:paraId="1BA0115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3.447 €</w:t>
            </w:r>
          </w:p>
        </w:tc>
        <w:tc>
          <w:tcPr>
            <w:tcW w:w="1134" w:type="dxa"/>
            <w:shd w:val="clear" w:color="auto" w:fill="auto"/>
            <w:vAlign w:val="center"/>
            <w:hideMark/>
          </w:tcPr>
          <w:p w14:paraId="66C5889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4316418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7DDB49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3.447 €</w:t>
            </w:r>
          </w:p>
        </w:tc>
      </w:tr>
      <w:tr w:rsidR="00A4063C" w:rsidRPr="00394ACF" w14:paraId="2886E776" w14:textId="77777777" w:rsidTr="00FE500C">
        <w:trPr>
          <w:cantSplit/>
          <w:trHeight w:val="420"/>
          <w:jc w:val="center"/>
        </w:trPr>
        <w:tc>
          <w:tcPr>
            <w:tcW w:w="1051" w:type="dxa"/>
            <w:shd w:val="clear" w:color="auto" w:fill="auto"/>
            <w:vAlign w:val="center"/>
            <w:hideMark/>
          </w:tcPr>
          <w:p w14:paraId="3ED059C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10.1039.001</w:t>
            </w:r>
          </w:p>
        </w:tc>
        <w:tc>
          <w:tcPr>
            <w:tcW w:w="2346" w:type="dxa"/>
            <w:shd w:val="clear" w:color="auto" w:fill="auto"/>
            <w:vAlign w:val="center"/>
            <w:hideMark/>
          </w:tcPr>
          <w:p w14:paraId="5A11112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ΠΡΟΛΗΨΗ ΚΑΙ ΑΝΤΙΜΕΤΩΠΙΣΗ ΕΠΙΠΤΩΣΕΩΝ ΦΥΣΙΚΩΝ ΚΑΤΑΣΤΡΟΦΩΝ</w:t>
            </w:r>
          </w:p>
        </w:tc>
        <w:tc>
          <w:tcPr>
            <w:tcW w:w="1134" w:type="dxa"/>
            <w:shd w:val="clear" w:color="auto" w:fill="auto"/>
            <w:vAlign w:val="center"/>
            <w:hideMark/>
          </w:tcPr>
          <w:p w14:paraId="5BCC6B5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2.834 €</w:t>
            </w:r>
          </w:p>
        </w:tc>
        <w:tc>
          <w:tcPr>
            <w:tcW w:w="1134" w:type="dxa"/>
            <w:shd w:val="clear" w:color="auto" w:fill="auto"/>
            <w:vAlign w:val="center"/>
            <w:hideMark/>
          </w:tcPr>
          <w:p w14:paraId="4C3F0F2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458.277 €</w:t>
            </w:r>
          </w:p>
        </w:tc>
        <w:tc>
          <w:tcPr>
            <w:tcW w:w="1985" w:type="dxa"/>
            <w:shd w:val="clear" w:color="auto" w:fill="auto"/>
            <w:vAlign w:val="center"/>
            <w:hideMark/>
          </w:tcPr>
          <w:p w14:paraId="2A35DCA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137.900 €</w:t>
            </w:r>
          </w:p>
        </w:tc>
        <w:tc>
          <w:tcPr>
            <w:tcW w:w="1417" w:type="dxa"/>
            <w:shd w:val="clear" w:color="auto" w:fill="auto"/>
            <w:vAlign w:val="center"/>
            <w:hideMark/>
          </w:tcPr>
          <w:p w14:paraId="6F5EF26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599.011 €</w:t>
            </w:r>
          </w:p>
        </w:tc>
      </w:tr>
      <w:tr w:rsidR="00A4063C" w:rsidRPr="00394ACF" w14:paraId="740747E1" w14:textId="77777777" w:rsidTr="00FE500C">
        <w:trPr>
          <w:cantSplit/>
          <w:trHeight w:val="210"/>
          <w:jc w:val="center"/>
        </w:trPr>
        <w:tc>
          <w:tcPr>
            <w:tcW w:w="1051" w:type="dxa"/>
            <w:shd w:val="clear" w:color="000000" w:fill="D9D9D9"/>
            <w:vAlign w:val="center"/>
            <w:hideMark/>
          </w:tcPr>
          <w:p w14:paraId="5A6A659E"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1041</w:t>
            </w:r>
          </w:p>
        </w:tc>
        <w:tc>
          <w:tcPr>
            <w:tcW w:w="2346" w:type="dxa"/>
            <w:shd w:val="clear" w:color="000000" w:fill="D9D9D9"/>
            <w:vAlign w:val="center"/>
            <w:hideMark/>
          </w:tcPr>
          <w:p w14:paraId="3EC950BD"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ΝΑΥΤΙΛΙΑΣ ΚΑΙ ΝΗΣΙΩΤΙΚΗΣ ΠΟΛΙΤΙΚΗΣ</w:t>
            </w:r>
          </w:p>
        </w:tc>
        <w:tc>
          <w:tcPr>
            <w:tcW w:w="1134" w:type="dxa"/>
            <w:shd w:val="clear" w:color="000000" w:fill="D9D9D9"/>
            <w:vAlign w:val="center"/>
            <w:hideMark/>
          </w:tcPr>
          <w:p w14:paraId="4C2B438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367.593 €</w:t>
            </w:r>
          </w:p>
        </w:tc>
        <w:tc>
          <w:tcPr>
            <w:tcW w:w="1134" w:type="dxa"/>
            <w:shd w:val="clear" w:color="000000" w:fill="D9D9D9"/>
            <w:vAlign w:val="center"/>
            <w:hideMark/>
          </w:tcPr>
          <w:p w14:paraId="32CB000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304.000 €</w:t>
            </w:r>
          </w:p>
        </w:tc>
        <w:tc>
          <w:tcPr>
            <w:tcW w:w="1985" w:type="dxa"/>
            <w:shd w:val="clear" w:color="000000" w:fill="D9D9D9"/>
            <w:vAlign w:val="center"/>
            <w:hideMark/>
          </w:tcPr>
          <w:p w14:paraId="30CC6F1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85.000 €</w:t>
            </w:r>
          </w:p>
        </w:tc>
        <w:tc>
          <w:tcPr>
            <w:tcW w:w="1417" w:type="dxa"/>
            <w:shd w:val="clear" w:color="000000" w:fill="D9D9D9"/>
            <w:vAlign w:val="center"/>
            <w:hideMark/>
          </w:tcPr>
          <w:p w14:paraId="2DCEDD2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756.593 €</w:t>
            </w:r>
          </w:p>
        </w:tc>
      </w:tr>
      <w:tr w:rsidR="00A4063C" w:rsidRPr="00394ACF" w14:paraId="2DCB6DAD" w14:textId="77777777" w:rsidTr="00FE500C">
        <w:trPr>
          <w:cantSplit/>
          <w:trHeight w:val="210"/>
          <w:jc w:val="center"/>
        </w:trPr>
        <w:tc>
          <w:tcPr>
            <w:tcW w:w="1051" w:type="dxa"/>
            <w:shd w:val="clear" w:color="auto" w:fill="auto"/>
            <w:vAlign w:val="center"/>
            <w:hideMark/>
          </w:tcPr>
          <w:p w14:paraId="565D88B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03.1041.001</w:t>
            </w:r>
          </w:p>
        </w:tc>
        <w:tc>
          <w:tcPr>
            <w:tcW w:w="2346" w:type="dxa"/>
            <w:shd w:val="clear" w:color="auto" w:fill="auto"/>
            <w:vAlign w:val="center"/>
            <w:hideMark/>
          </w:tcPr>
          <w:p w14:paraId="5D527F4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ΘΑΛΑΣΣΙΩΝ ΣΥΝΟΡΩΝ</w:t>
            </w:r>
          </w:p>
        </w:tc>
        <w:tc>
          <w:tcPr>
            <w:tcW w:w="1134" w:type="dxa"/>
            <w:shd w:val="clear" w:color="auto" w:fill="auto"/>
            <w:vAlign w:val="center"/>
            <w:hideMark/>
          </w:tcPr>
          <w:p w14:paraId="40E922A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11.618 €</w:t>
            </w:r>
          </w:p>
        </w:tc>
        <w:tc>
          <w:tcPr>
            <w:tcW w:w="1134" w:type="dxa"/>
            <w:shd w:val="clear" w:color="auto" w:fill="auto"/>
            <w:vAlign w:val="center"/>
            <w:hideMark/>
          </w:tcPr>
          <w:p w14:paraId="4AE431E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2F5BF3D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40.000 €</w:t>
            </w:r>
          </w:p>
        </w:tc>
        <w:tc>
          <w:tcPr>
            <w:tcW w:w="1417" w:type="dxa"/>
            <w:shd w:val="clear" w:color="auto" w:fill="auto"/>
            <w:vAlign w:val="center"/>
            <w:hideMark/>
          </w:tcPr>
          <w:p w14:paraId="75A749E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51.618 €</w:t>
            </w:r>
          </w:p>
        </w:tc>
      </w:tr>
      <w:tr w:rsidR="00A4063C" w:rsidRPr="00394ACF" w14:paraId="16BB61DC" w14:textId="77777777" w:rsidTr="00FE500C">
        <w:trPr>
          <w:cantSplit/>
          <w:trHeight w:val="630"/>
          <w:jc w:val="center"/>
        </w:trPr>
        <w:tc>
          <w:tcPr>
            <w:tcW w:w="1051" w:type="dxa"/>
            <w:shd w:val="clear" w:color="auto" w:fill="auto"/>
            <w:vAlign w:val="center"/>
            <w:hideMark/>
          </w:tcPr>
          <w:p w14:paraId="703B4D6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03.1041.002</w:t>
            </w:r>
          </w:p>
        </w:tc>
        <w:tc>
          <w:tcPr>
            <w:tcW w:w="2346" w:type="dxa"/>
            <w:shd w:val="clear" w:color="auto" w:fill="auto"/>
            <w:vAlign w:val="center"/>
            <w:hideMark/>
          </w:tcPr>
          <w:p w14:paraId="2E15542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ΥΠΗΡΕΣΙΕΣ ΑΣΦΑΛΕΙΑΣ ΚΑΙ ΑΣΤΥΝΟΜΕΥΣΗΣ ΘΑΛΑΣΣΙΟΥ ΧΩΡΟΥ, ΛΙΜΕΝΩΝ- ΕΡΕΥΝΑΣ ΚΑΙ ΔΙΑΣΩΣΗΣ</w:t>
            </w:r>
          </w:p>
        </w:tc>
        <w:tc>
          <w:tcPr>
            <w:tcW w:w="1134" w:type="dxa"/>
            <w:shd w:val="clear" w:color="auto" w:fill="auto"/>
            <w:vAlign w:val="center"/>
            <w:hideMark/>
          </w:tcPr>
          <w:p w14:paraId="034AB0E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251.470 €</w:t>
            </w:r>
          </w:p>
        </w:tc>
        <w:tc>
          <w:tcPr>
            <w:tcW w:w="1134" w:type="dxa"/>
            <w:shd w:val="clear" w:color="auto" w:fill="auto"/>
            <w:vAlign w:val="center"/>
            <w:hideMark/>
          </w:tcPr>
          <w:p w14:paraId="6370E84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1.950 €</w:t>
            </w:r>
          </w:p>
        </w:tc>
        <w:tc>
          <w:tcPr>
            <w:tcW w:w="1985" w:type="dxa"/>
            <w:shd w:val="clear" w:color="auto" w:fill="auto"/>
            <w:vAlign w:val="center"/>
            <w:hideMark/>
          </w:tcPr>
          <w:p w14:paraId="7D8CCB2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1D59BD2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253.420 €</w:t>
            </w:r>
          </w:p>
        </w:tc>
      </w:tr>
      <w:tr w:rsidR="00A4063C" w:rsidRPr="00394ACF" w14:paraId="1F1CD8D2" w14:textId="77777777" w:rsidTr="00FE500C">
        <w:trPr>
          <w:cantSplit/>
          <w:trHeight w:val="420"/>
          <w:jc w:val="center"/>
        </w:trPr>
        <w:tc>
          <w:tcPr>
            <w:tcW w:w="1051" w:type="dxa"/>
            <w:shd w:val="clear" w:color="auto" w:fill="auto"/>
            <w:vAlign w:val="center"/>
            <w:hideMark/>
          </w:tcPr>
          <w:p w14:paraId="2DA5E7B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04.1041.001</w:t>
            </w:r>
          </w:p>
        </w:tc>
        <w:tc>
          <w:tcPr>
            <w:tcW w:w="2346" w:type="dxa"/>
            <w:shd w:val="clear" w:color="auto" w:fill="auto"/>
            <w:vAlign w:val="center"/>
            <w:hideMark/>
          </w:tcPr>
          <w:p w14:paraId="50B783E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ΝΑΥΤΙΛΙΑΣ ΚΑΙ ΝΗΣΙΩΤΙΚΗΣ ΠΟΛΙΤΙΚΗΣ</w:t>
            </w:r>
          </w:p>
        </w:tc>
        <w:tc>
          <w:tcPr>
            <w:tcW w:w="1134" w:type="dxa"/>
            <w:shd w:val="clear" w:color="auto" w:fill="auto"/>
            <w:vAlign w:val="center"/>
            <w:hideMark/>
          </w:tcPr>
          <w:p w14:paraId="2B4B99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61.078 €</w:t>
            </w:r>
          </w:p>
        </w:tc>
        <w:tc>
          <w:tcPr>
            <w:tcW w:w="1134" w:type="dxa"/>
            <w:shd w:val="clear" w:color="auto" w:fill="auto"/>
            <w:vAlign w:val="center"/>
            <w:hideMark/>
          </w:tcPr>
          <w:p w14:paraId="0E5DA3C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968 €</w:t>
            </w:r>
          </w:p>
        </w:tc>
        <w:tc>
          <w:tcPr>
            <w:tcW w:w="1985" w:type="dxa"/>
            <w:shd w:val="clear" w:color="auto" w:fill="auto"/>
            <w:vAlign w:val="center"/>
            <w:hideMark/>
          </w:tcPr>
          <w:p w14:paraId="396081A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500 €</w:t>
            </w:r>
          </w:p>
        </w:tc>
        <w:tc>
          <w:tcPr>
            <w:tcW w:w="1417" w:type="dxa"/>
            <w:shd w:val="clear" w:color="auto" w:fill="auto"/>
            <w:vAlign w:val="center"/>
            <w:hideMark/>
          </w:tcPr>
          <w:p w14:paraId="465AA94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62.546 €</w:t>
            </w:r>
          </w:p>
        </w:tc>
      </w:tr>
      <w:tr w:rsidR="00A4063C" w:rsidRPr="00394ACF" w14:paraId="2B3945C5" w14:textId="77777777" w:rsidTr="00FE500C">
        <w:trPr>
          <w:cantSplit/>
          <w:trHeight w:val="210"/>
          <w:jc w:val="center"/>
        </w:trPr>
        <w:tc>
          <w:tcPr>
            <w:tcW w:w="1051" w:type="dxa"/>
            <w:shd w:val="clear" w:color="auto" w:fill="auto"/>
            <w:vAlign w:val="center"/>
            <w:hideMark/>
          </w:tcPr>
          <w:p w14:paraId="30B6A37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04.1041.002</w:t>
            </w:r>
          </w:p>
        </w:tc>
        <w:tc>
          <w:tcPr>
            <w:tcW w:w="2346" w:type="dxa"/>
            <w:shd w:val="clear" w:color="auto" w:fill="auto"/>
            <w:vAlign w:val="center"/>
            <w:hideMark/>
          </w:tcPr>
          <w:p w14:paraId="69A9E86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ΝΑΥΤΙΛΙΑΚΗ ΠΟΛΙΤΙΚΗ ΚΑΙ ΕΛΕΓΧΟΣ ΠΛΟΙΩΝ</w:t>
            </w:r>
          </w:p>
        </w:tc>
        <w:tc>
          <w:tcPr>
            <w:tcW w:w="1134" w:type="dxa"/>
            <w:shd w:val="clear" w:color="auto" w:fill="auto"/>
            <w:vAlign w:val="center"/>
            <w:hideMark/>
          </w:tcPr>
          <w:p w14:paraId="36452E3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30.335 €</w:t>
            </w:r>
          </w:p>
        </w:tc>
        <w:tc>
          <w:tcPr>
            <w:tcW w:w="1134" w:type="dxa"/>
            <w:shd w:val="clear" w:color="auto" w:fill="auto"/>
            <w:vAlign w:val="center"/>
            <w:hideMark/>
          </w:tcPr>
          <w:p w14:paraId="170A4D9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183.513 €</w:t>
            </w:r>
          </w:p>
        </w:tc>
        <w:tc>
          <w:tcPr>
            <w:tcW w:w="1985" w:type="dxa"/>
            <w:shd w:val="clear" w:color="auto" w:fill="auto"/>
            <w:vAlign w:val="center"/>
            <w:hideMark/>
          </w:tcPr>
          <w:p w14:paraId="0150803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085475D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213.848 €</w:t>
            </w:r>
          </w:p>
        </w:tc>
      </w:tr>
      <w:tr w:rsidR="00A4063C" w:rsidRPr="00394ACF" w14:paraId="227837BF" w14:textId="77777777" w:rsidTr="00FE500C">
        <w:trPr>
          <w:cantSplit/>
          <w:trHeight w:val="420"/>
          <w:jc w:val="center"/>
        </w:trPr>
        <w:tc>
          <w:tcPr>
            <w:tcW w:w="1051" w:type="dxa"/>
            <w:shd w:val="clear" w:color="auto" w:fill="auto"/>
            <w:vAlign w:val="center"/>
            <w:hideMark/>
          </w:tcPr>
          <w:p w14:paraId="4F36704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lastRenderedPageBreak/>
              <w:t>04.1041.003</w:t>
            </w:r>
          </w:p>
        </w:tc>
        <w:tc>
          <w:tcPr>
            <w:tcW w:w="2346" w:type="dxa"/>
            <w:shd w:val="clear" w:color="auto" w:fill="auto"/>
            <w:vAlign w:val="center"/>
            <w:hideMark/>
          </w:tcPr>
          <w:p w14:paraId="767EC7A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ΟΛΟΚΛΗΡΩΜΕΝΗ ΘΑΛΑΣΣΙΑ ΠΟΛΙΤΙΚΗ ΣΤΟ ΝΗΣΙΩΤΙΚΟ ΧΩΡΟ</w:t>
            </w:r>
          </w:p>
        </w:tc>
        <w:tc>
          <w:tcPr>
            <w:tcW w:w="1134" w:type="dxa"/>
            <w:shd w:val="clear" w:color="auto" w:fill="auto"/>
            <w:vAlign w:val="center"/>
            <w:hideMark/>
          </w:tcPr>
          <w:p w14:paraId="78BDF7B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3.095 €</w:t>
            </w:r>
          </w:p>
        </w:tc>
        <w:tc>
          <w:tcPr>
            <w:tcW w:w="1134" w:type="dxa"/>
            <w:shd w:val="clear" w:color="auto" w:fill="auto"/>
            <w:vAlign w:val="center"/>
            <w:hideMark/>
          </w:tcPr>
          <w:p w14:paraId="2AD5A54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65.000 €</w:t>
            </w:r>
          </w:p>
        </w:tc>
        <w:tc>
          <w:tcPr>
            <w:tcW w:w="1985" w:type="dxa"/>
            <w:shd w:val="clear" w:color="auto" w:fill="auto"/>
            <w:vAlign w:val="center"/>
            <w:hideMark/>
          </w:tcPr>
          <w:p w14:paraId="6131DD9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510E08E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68.095 €</w:t>
            </w:r>
          </w:p>
        </w:tc>
      </w:tr>
      <w:tr w:rsidR="00A4063C" w:rsidRPr="00394ACF" w14:paraId="3D975908" w14:textId="77777777" w:rsidTr="00FE500C">
        <w:trPr>
          <w:cantSplit/>
          <w:trHeight w:val="420"/>
          <w:jc w:val="center"/>
        </w:trPr>
        <w:tc>
          <w:tcPr>
            <w:tcW w:w="1051" w:type="dxa"/>
            <w:shd w:val="clear" w:color="auto" w:fill="auto"/>
            <w:vAlign w:val="center"/>
            <w:hideMark/>
          </w:tcPr>
          <w:p w14:paraId="78FF6C3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04.1041.004</w:t>
            </w:r>
          </w:p>
        </w:tc>
        <w:tc>
          <w:tcPr>
            <w:tcW w:w="2346" w:type="dxa"/>
            <w:shd w:val="clear" w:color="auto" w:fill="auto"/>
            <w:vAlign w:val="center"/>
            <w:hideMark/>
          </w:tcPr>
          <w:p w14:paraId="79E7149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ΛΙΜΕΝΙΚΗ ΠΟΛΙΤΙΚΗ - ΥΠΟΔΟΜΕΣ - ΘΑΛΑΣΣΙΟΣ ΤΟΥΡΙΣΜΟΣ</w:t>
            </w:r>
          </w:p>
        </w:tc>
        <w:tc>
          <w:tcPr>
            <w:tcW w:w="1134" w:type="dxa"/>
            <w:shd w:val="clear" w:color="auto" w:fill="auto"/>
            <w:vAlign w:val="center"/>
            <w:hideMark/>
          </w:tcPr>
          <w:p w14:paraId="310D5E3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4.502 €</w:t>
            </w:r>
          </w:p>
        </w:tc>
        <w:tc>
          <w:tcPr>
            <w:tcW w:w="1134" w:type="dxa"/>
            <w:shd w:val="clear" w:color="auto" w:fill="auto"/>
            <w:vAlign w:val="center"/>
            <w:hideMark/>
          </w:tcPr>
          <w:p w14:paraId="68E32AF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50.619 €</w:t>
            </w:r>
          </w:p>
        </w:tc>
        <w:tc>
          <w:tcPr>
            <w:tcW w:w="1985" w:type="dxa"/>
            <w:shd w:val="clear" w:color="auto" w:fill="auto"/>
            <w:vAlign w:val="center"/>
            <w:hideMark/>
          </w:tcPr>
          <w:p w14:paraId="6DF4CD5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16.465 €</w:t>
            </w:r>
          </w:p>
        </w:tc>
        <w:tc>
          <w:tcPr>
            <w:tcW w:w="1417" w:type="dxa"/>
            <w:shd w:val="clear" w:color="auto" w:fill="auto"/>
            <w:vAlign w:val="center"/>
            <w:hideMark/>
          </w:tcPr>
          <w:p w14:paraId="6375E9C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71.586 €</w:t>
            </w:r>
          </w:p>
        </w:tc>
      </w:tr>
      <w:tr w:rsidR="00A4063C" w:rsidRPr="00394ACF" w14:paraId="4009322B" w14:textId="77777777" w:rsidTr="00FE500C">
        <w:trPr>
          <w:cantSplit/>
          <w:trHeight w:val="210"/>
          <w:jc w:val="center"/>
        </w:trPr>
        <w:tc>
          <w:tcPr>
            <w:tcW w:w="1051" w:type="dxa"/>
            <w:shd w:val="clear" w:color="auto" w:fill="auto"/>
            <w:vAlign w:val="center"/>
            <w:hideMark/>
          </w:tcPr>
          <w:p w14:paraId="723F4F8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09.1041.001</w:t>
            </w:r>
          </w:p>
        </w:tc>
        <w:tc>
          <w:tcPr>
            <w:tcW w:w="2346" w:type="dxa"/>
            <w:shd w:val="clear" w:color="auto" w:fill="auto"/>
            <w:vAlign w:val="center"/>
            <w:hideMark/>
          </w:tcPr>
          <w:p w14:paraId="01DB2D7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ΕΚΠΑΙΔΕΥΣΗ ΝΑΥΤΙΚΩΝ</w:t>
            </w:r>
          </w:p>
        </w:tc>
        <w:tc>
          <w:tcPr>
            <w:tcW w:w="1134" w:type="dxa"/>
            <w:shd w:val="clear" w:color="auto" w:fill="auto"/>
            <w:vAlign w:val="center"/>
            <w:hideMark/>
          </w:tcPr>
          <w:p w14:paraId="506CCB7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5.496 €</w:t>
            </w:r>
          </w:p>
        </w:tc>
        <w:tc>
          <w:tcPr>
            <w:tcW w:w="1134" w:type="dxa"/>
            <w:shd w:val="clear" w:color="auto" w:fill="auto"/>
            <w:vAlign w:val="center"/>
            <w:hideMark/>
          </w:tcPr>
          <w:p w14:paraId="78C71AE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1.950 €</w:t>
            </w:r>
          </w:p>
        </w:tc>
        <w:tc>
          <w:tcPr>
            <w:tcW w:w="1985" w:type="dxa"/>
            <w:shd w:val="clear" w:color="auto" w:fill="auto"/>
            <w:vAlign w:val="center"/>
            <w:hideMark/>
          </w:tcPr>
          <w:p w14:paraId="096106D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28.035 €</w:t>
            </w:r>
          </w:p>
        </w:tc>
        <w:tc>
          <w:tcPr>
            <w:tcW w:w="1417" w:type="dxa"/>
            <w:shd w:val="clear" w:color="auto" w:fill="auto"/>
            <w:vAlign w:val="center"/>
            <w:hideMark/>
          </w:tcPr>
          <w:p w14:paraId="6A50FD1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35.481 €</w:t>
            </w:r>
          </w:p>
        </w:tc>
      </w:tr>
      <w:tr w:rsidR="00A4063C" w:rsidRPr="00394ACF" w14:paraId="3D85B536" w14:textId="77777777" w:rsidTr="00FE500C">
        <w:trPr>
          <w:cantSplit/>
          <w:trHeight w:val="210"/>
          <w:jc w:val="center"/>
        </w:trPr>
        <w:tc>
          <w:tcPr>
            <w:tcW w:w="1051" w:type="dxa"/>
            <w:shd w:val="clear" w:color="000000" w:fill="D9D9D9"/>
            <w:vAlign w:val="center"/>
            <w:hideMark/>
          </w:tcPr>
          <w:p w14:paraId="3BD66FEA"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1045</w:t>
            </w:r>
          </w:p>
        </w:tc>
        <w:tc>
          <w:tcPr>
            <w:tcW w:w="2346" w:type="dxa"/>
            <w:shd w:val="clear" w:color="000000" w:fill="D9D9D9"/>
            <w:vAlign w:val="center"/>
            <w:hideMark/>
          </w:tcPr>
          <w:p w14:paraId="2C904B1C"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ΤΟΥΡΙΣΜΟΥ</w:t>
            </w:r>
          </w:p>
        </w:tc>
        <w:tc>
          <w:tcPr>
            <w:tcW w:w="1134" w:type="dxa"/>
            <w:shd w:val="clear" w:color="000000" w:fill="D9D9D9"/>
            <w:vAlign w:val="center"/>
            <w:hideMark/>
          </w:tcPr>
          <w:p w14:paraId="369E489D"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40.992 €</w:t>
            </w:r>
          </w:p>
        </w:tc>
        <w:tc>
          <w:tcPr>
            <w:tcW w:w="1134" w:type="dxa"/>
            <w:shd w:val="clear" w:color="000000" w:fill="D9D9D9"/>
            <w:vAlign w:val="center"/>
            <w:hideMark/>
          </w:tcPr>
          <w:p w14:paraId="715487E6"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195.000 €</w:t>
            </w:r>
          </w:p>
        </w:tc>
        <w:tc>
          <w:tcPr>
            <w:tcW w:w="1985" w:type="dxa"/>
            <w:shd w:val="clear" w:color="000000" w:fill="D9D9D9"/>
            <w:vAlign w:val="center"/>
            <w:hideMark/>
          </w:tcPr>
          <w:p w14:paraId="52EE6CBA"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2.000 €</w:t>
            </w:r>
          </w:p>
        </w:tc>
        <w:tc>
          <w:tcPr>
            <w:tcW w:w="1417" w:type="dxa"/>
            <w:shd w:val="clear" w:color="000000" w:fill="D9D9D9"/>
            <w:vAlign w:val="center"/>
            <w:hideMark/>
          </w:tcPr>
          <w:p w14:paraId="1FCE043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237.992 €</w:t>
            </w:r>
          </w:p>
        </w:tc>
      </w:tr>
      <w:tr w:rsidR="00A4063C" w:rsidRPr="00394ACF" w14:paraId="15FD6F95" w14:textId="77777777" w:rsidTr="00FE500C">
        <w:trPr>
          <w:cantSplit/>
          <w:trHeight w:val="420"/>
          <w:jc w:val="center"/>
        </w:trPr>
        <w:tc>
          <w:tcPr>
            <w:tcW w:w="1051" w:type="dxa"/>
            <w:shd w:val="clear" w:color="auto" w:fill="auto"/>
            <w:vAlign w:val="center"/>
            <w:hideMark/>
          </w:tcPr>
          <w:p w14:paraId="4D85A7A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04.1045.001</w:t>
            </w:r>
          </w:p>
        </w:tc>
        <w:tc>
          <w:tcPr>
            <w:tcW w:w="2346" w:type="dxa"/>
            <w:shd w:val="clear" w:color="auto" w:fill="auto"/>
            <w:vAlign w:val="center"/>
            <w:hideMark/>
          </w:tcPr>
          <w:p w14:paraId="1B7E16C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ΣΧΕΔΙΑΣΜΟΣ ΚΑΙ ΥΛΟΠΟΙΗΣΗ ΠΟΛΙΤΙΚΩΝ ΤΟΥΡΙΣΤΙΚΗΣ ΑΝΑΠΤΥΞΗΣ</w:t>
            </w:r>
          </w:p>
        </w:tc>
        <w:tc>
          <w:tcPr>
            <w:tcW w:w="1134" w:type="dxa"/>
            <w:shd w:val="clear" w:color="auto" w:fill="auto"/>
            <w:vAlign w:val="center"/>
            <w:hideMark/>
          </w:tcPr>
          <w:p w14:paraId="4F3D7B7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17.989 €</w:t>
            </w:r>
          </w:p>
        </w:tc>
        <w:tc>
          <w:tcPr>
            <w:tcW w:w="1134" w:type="dxa"/>
            <w:shd w:val="clear" w:color="auto" w:fill="auto"/>
            <w:vAlign w:val="center"/>
            <w:hideMark/>
          </w:tcPr>
          <w:p w14:paraId="04B702B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74.500 €</w:t>
            </w:r>
          </w:p>
        </w:tc>
        <w:tc>
          <w:tcPr>
            <w:tcW w:w="1985" w:type="dxa"/>
            <w:shd w:val="clear" w:color="auto" w:fill="auto"/>
            <w:vAlign w:val="center"/>
            <w:hideMark/>
          </w:tcPr>
          <w:p w14:paraId="7BEEEE1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1.600 €</w:t>
            </w:r>
          </w:p>
        </w:tc>
        <w:tc>
          <w:tcPr>
            <w:tcW w:w="1417" w:type="dxa"/>
            <w:shd w:val="clear" w:color="auto" w:fill="auto"/>
            <w:vAlign w:val="center"/>
            <w:hideMark/>
          </w:tcPr>
          <w:p w14:paraId="183074C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94.089 €</w:t>
            </w:r>
          </w:p>
        </w:tc>
      </w:tr>
      <w:tr w:rsidR="00A4063C" w:rsidRPr="00394ACF" w14:paraId="21352A90" w14:textId="77777777" w:rsidTr="00FE500C">
        <w:trPr>
          <w:cantSplit/>
          <w:trHeight w:val="210"/>
          <w:jc w:val="center"/>
        </w:trPr>
        <w:tc>
          <w:tcPr>
            <w:tcW w:w="1051" w:type="dxa"/>
            <w:shd w:val="clear" w:color="auto" w:fill="auto"/>
            <w:vAlign w:val="center"/>
            <w:hideMark/>
          </w:tcPr>
          <w:p w14:paraId="36AE66D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04.1045.002</w:t>
            </w:r>
          </w:p>
        </w:tc>
        <w:tc>
          <w:tcPr>
            <w:tcW w:w="2346" w:type="dxa"/>
            <w:shd w:val="clear" w:color="auto" w:fill="auto"/>
            <w:vAlign w:val="center"/>
            <w:hideMark/>
          </w:tcPr>
          <w:p w14:paraId="5BAB48E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ΤΟΥΡΙΣΤΙΚΕΣ ΕΠΕΝΔΥΣΕΙΣ</w:t>
            </w:r>
          </w:p>
        </w:tc>
        <w:tc>
          <w:tcPr>
            <w:tcW w:w="1134" w:type="dxa"/>
            <w:shd w:val="clear" w:color="auto" w:fill="auto"/>
            <w:vAlign w:val="center"/>
            <w:hideMark/>
          </w:tcPr>
          <w:p w14:paraId="55188BC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8.046 €</w:t>
            </w:r>
          </w:p>
        </w:tc>
        <w:tc>
          <w:tcPr>
            <w:tcW w:w="1134" w:type="dxa"/>
            <w:shd w:val="clear" w:color="auto" w:fill="auto"/>
            <w:vAlign w:val="center"/>
            <w:hideMark/>
          </w:tcPr>
          <w:p w14:paraId="29B629A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101.300 €</w:t>
            </w:r>
          </w:p>
        </w:tc>
        <w:tc>
          <w:tcPr>
            <w:tcW w:w="1985" w:type="dxa"/>
            <w:shd w:val="clear" w:color="auto" w:fill="auto"/>
            <w:vAlign w:val="center"/>
            <w:hideMark/>
          </w:tcPr>
          <w:p w14:paraId="4C69C56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400 €</w:t>
            </w:r>
          </w:p>
        </w:tc>
        <w:tc>
          <w:tcPr>
            <w:tcW w:w="1417" w:type="dxa"/>
            <w:shd w:val="clear" w:color="auto" w:fill="auto"/>
            <w:vAlign w:val="center"/>
            <w:hideMark/>
          </w:tcPr>
          <w:p w14:paraId="10C6444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109.746 €</w:t>
            </w:r>
          </w:p>
        </w:tc>
      </w:tr>
      <w:tr w:rsidR="00A4063C" w:rsidRPr="00394ACF" w14:paraId="1BB6A0AE" w14:textId="77777777" w:rsidTr="00FE500C">
        <w:trPr>
          <w:cantSplit/>
          <w:trHeight w:val="420"/>
          <w:jc w:val="center"/>
        </w:trPr>
        <w:tc>
          <w:tcPr>
            <w:tcW w:w="1051" w:type="dxa"/>
            <w:shd w:val="clear" w:color="auto" w:fill="auto"/>
            <w:vAlign w:val="center"/>
            <w:hideMark/>
          </w:tcPr>
          <w:p w14:paraId="0FAE8B9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04.1045.003</w:t>
            </w:r>
          </w:p>
        </w:tc>
        <w:tc>
          <w:tcPr>
            <w:tcW w:w="2346" w:type="dxa"/>
            <w:shd w:val="clear" w:color="auto" w:fill="auto"/>
            <w:vAlign w:val="center"/>
            <w:hideMark/>
          </w:tcPr>
          <w:p w14:paraId="362DD8F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ΥΠΟΥΡΓΕΙΟΥ ΤΟΥΡΙΣΜΟΥ</w:t>
            </w:r>
          </w:p>
        </w:tc>
        <w:tc>
          <w:tcPr>
            <w:tcW w:w="1134" w:type="dxa"/>
            <w:shd w:val="clear" w:color="auto" w:fill="auto"/>
            <w:vAlign w:val="center"/>
            <w:hideMark/>
          </w:tcPr>
          <w:p w14:paraId="17E8CBD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9.035 €</w:t>
            </w:r>
          </w:p>
        </w:tc>
        <w:tc>
          <w:tcPr>
            <w:tcW w:w="1134" w:type="dxa"/>
            <w:shd w:val="clear" w:color="auto" w:fill="auto"/>
            <w:vAlign w:val="center"/>
            <w:hideMark/>
          </w:tcPr>
          <w:p w14:paraId="58E1416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5497437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A0422C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9.035 €</w:t>
            </w:r>
          </w:p>
        </w:tc>
      </w:tr>
      <w:tr w:rsidR="00A4063C" w:rsidRPr="00394ACF" w14:paraId="1CEF9251" w14:textId="77777777" w:rsidTr="00FE500C">
        <w:trPr>
          <w:cantSplit/>
          <w:trHeight w:val="210"/>
          <w:jc w:val="center"/>
        </w:trPr>
        <w:tc>
          <w:tcPr>
            <w:tcW w:w="1051" w:type="dxa"/>
            <w:shd w:val="clear" w:color="auto" w:fill="auto"/>
            <w:vAlign w:val="center"/>
            <w:hideMark/>
          </w:tcPr>
          <w:p w14:paraId="483F072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09.1045.001</w:t>
            </w:r>
          </w:p>
        </w:tc>
        <w:tc>
          <w:tcPr>
            <w:tcW w:w="2346" w:type="dxa"/>
            <w:shd w:val="clear" w:color="auto" w:fill="auto"/>
            <w:vAlign w:val="center"/>
            <w:hideMark/>
          </w:tcPr>
          <w:p w14:paraId="3501679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ΤΟΥΡΙΣΤΙΚΗ ΕΚΠΑΙΔΕΥΣΗ ΚΑΙ ΚΑΤΑΡΤΙΣΗ</w:t>
            </w:r>
          </w:p>
        </w:tc>
        <w:tc>
          <w:tcPr>
            <w:tcW w:w="1134" w:type="dxa"/>
            <w:shd w:val="clear" w:color="auto" w:fill="auto"/>
            <w:vAlign w:val="center"/>
            <w:hideMark/>
          </w:tcPr>
          <w:p w14:paraId="11F0B7B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5.923 €</w:t>
            </w:r>
          </w:p>
        </w:tc>
        <w:tc>
          <w:tcPr>
            <w:tcW w:w="1134" w:type="dxa"/>
            <w:shd w:val="clear" w:color="auto" w:fill="auto"/>
            <w:vAlign w:val="center"/>
            <w:hideMark/>
          </w:tcPr>
          <w:p w14:paraId="5AC4E4D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19.200 €</w:t>
            </w:r>
          </w:p>
        </w:tc>
        <w:tc>
          <w:tcPr>
            <w:tcW w:w="1985" w:type="dxa"/>
            <w:shd w:val="clear" w:color="auto" w:fill="auto"/>
            <w:vAlign w:val="center"/>
            <w:hideMark/>
          </w:tcPr>
          <w:p w14:paraId="4E8BBB2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6197F06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25.123 €</w:t>
            </w:r>
          </w:p>
        </w:tc>
      </w:tr>
      <w:tr w:rsidR="00A4063C" w:rsidRPr="00394ACF" w14:paraId="569A3861" w14:textId="77777777" w:rsidTr="00FE500C">
        <w:trPr>
          <w:cantSplit/>
          <w:trHeight w:val="210"/>
          <w:jc w:val="center"/>
        </w:trPr>
        <w:tc>
          <w:tcPr>
            <w:tcW w:w="1051" w:type="dxa"/>
            <w:shd w:val="clear" w:color="000000" w:fill="D9D9D9"/>
            <w:vAlign w:val="center"/>
            <w:hideMark/>
          </w:tcPr>
          <w:p w14:paraId="2DCCE58C"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1053</w:t>
            </w:r>
          </w:p>
        </w:tc>
        <w:tc>
          <w:tcPr>
            <w:tcW w:w="2346" w:type="dxa"/>
            <w:shd w:val="clear" w:color="000000" w:fill="D9D9D9"/>
            <w:vAlign w:val="center"/>
            <w:hideMark/>
          </w:tcPr>
          <w:p w14:paraId="288F0793"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ΨΗΦΙΑΚΗΣ ΔΙΑΚΥΒΕΡΝΗΣΗΣ</w:t>
            </w:r>
          </w:p>
        </w:tc>
        <w:tc>
          <w:tcPr>
            <w:tcW w:w="1134" w:type="dxa"/>
            <w:shd w:val="clear" w:color="000000" w:fill="D9D9D9"/>
            <w:vAlign w:val="center"/>
            <w:hideMark/>
          </w:tcPr>
          <w:p w14:paraId="12225278"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154.403 €</w:t>
            </w:r>
          </w:p>
        </w:tc>
        <w:tc>
          <w:tcPr>
            <w:tcW w:w="1134" w:type="dxa"/>
            <w:shd w:val="clear" w:color="000000" w:fill="D9D9D9"/>
            <w:vAlign w:val="center"/>
            <w:hideMark/>
          </w:tcPr>
          <w:p w14:paraId="49C284A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1.130.000 €</w:t>
            </w:r>
          </w:p>
        </w:tc>
        <w:tc>
          <w:tcPr>
            <w:tcW w:w="1985" w:type="dxa"/>
            <w:shd w:val="clear" w:color="000000" w:fill="D9D9D9"/>
            <w:vAlign w:val="center"/>
            <w:hideMark/>
          </w:tcPr>
          <w:p w14:paraId="4669052A"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107.000 €</w:t>
            </w:r>
          </w:p>
        </w:tc>
        <w:tc>
          <w:tcPr>
            <w:tcW w:w="1417" w:type="dxa"/>
            <w:shd w:val="clear" w:color="000000" w:fill="D9D9D9"/>
            <w:vAlign w:val="center"/>
            <w:hideMark/>
          </w:tcPr>
          <w:p w14:paraId="45F8030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1.391.403 €</w:t>
            </w:r>
          </w:p>
        </w:tc>
      </w:tr>
      <w:tr w:rsidR="00A4063C" w:rsidRPr="00394ACF" w14:paraId="39BAC48A" w14:textId="77777777" w:rsidTr="00FE500C">
        <w:trPr>
          <w:cantSplit/>
          <w:trHeight w:val="210"/>
          <w:jc w:val="center"/>
        </w:trPr>
        <w:tc>
          <w:tcPr>
            <w:tcW w:w="1051" w:type="dxa"/>
            <w:shd w:val="clear" w:color="auto" w:fill="auto"/>
            <w:vAlign w:val="center"/>
            <w:hideMark/>
          </w:tcPr>
          <w:p w14:paraId="7571CA9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03.1053.001</w:t>
            </w:r>
          </w:p>
        </w:tc>
        <w:tc>
          <w:tcPr>
            <w:tcW w:w="2346" w:type="dxa"/>
            <w:shd w:val="clear" w:color="auto" w:fill="auto"/>
            <w:vAlign w:val="center"/>
            <w:hideMark/>
          </w:tcPr>
          <w:p w14:paraId="2975C52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ΚΥΒΕΡΝΟΑΣΦΑΛΕΙΑ</w:t>
            </w:r>
          </w:p>
        </w:tc>
        <w:tc>
          <w:tcPr>
            <w:tcW w:w="1134" w:type="dxa"/>
            <w:shd w:val="clear" w:color="auto" w:fill="auto"/>
            <w:vAlign w:val="center"/>
            <w:hideMark/>
          </w:tcPr>
          <w:p w14:paraId="2619D30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134" w:type="dxa"/>
            <w:shd w:val="clear" w:color="auto" w:fill="auto"/>
            <w:vAlign w:val="center"/>
            <w:hideMark/>
          </w:tcPr>
          <w:p w14:paraId="47C13CD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47.179 €</w:t>
            </w:r>
          </w:p>
        </w:tc>
        <w:tc>
          <w:tcPr>
            <w:tcW w:w="1985" w:type="dxa"/>
            <w:shd w:val="clear" w:color="auto" w:fill="auto"/>
            <w:vAlign w:val="center"/>
            <w:hideMark/>
          </w:tcPr>
          <w:p w14:paraId="5B47A54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2.964 €</w:t>
            </w:r>
          </w:p>
        </w:tc>
        <w:tc>
          <w:tcPr>
            <w:tcW w:w="1417" w:type="dxa"/>
            <w:shd w:val="clear" w:color="auto" w:fill="auto"/>
            <w:vAlign w:val="center"/>
            <w:hideMark/>
          </w:tcPr>
          <w:p w14:paraId="669D405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50.143 €</w:t>
            </w:r>
          </w:p>
        </w:tc>
      </w:tr>
      <w:tr w:rsidR="00A4063C" w:rsidRPr="00394ACF" w14:paraId="67CB8C6D" w14:textId="77777777" w:rsidTr="00FE500C">
        <w:trPr>
          <w:cantSplit/>
          <w:trHeight w:val="420"/>
          <w:jc w:val="center"/>
        </w:trPr>
        <w:tc>
          <w:tcPr>
            <w:tcW w:w="1051" w:type="dxa"/>
            <w:shd w:val="clear" w:color="auto" w:fill="auto"/>
            <w:vAlign w:val="center"/>
            <w:hideMark/>
          </w:tcPr>
          <w:p w14:paraId="4D12C80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04.1053.001</w:t>
            </w:r>
          </w:p>
        </w:tc>
        <w:tc>
          <w:tcPr>
            <w:tcW w:w="2346" w:type="dxa"/>
            <w:shd w:val="clear" w:color="auto" w:fill="auto"/>
            <w:vAlign w:val="center"/>
            <w:hideMark/>
          </w:tcPr>
          <w:p w14:paraId="6490DC4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ΨΗΦΙΑΚΗΣ ΔΙΑΚΥΒΕΡΝΗΣΗΣ</w:t>
            </w:r>
          </w:p>
        </w:tc>
        <w:tc>
          <w:tcPr>
            <w:tcW w:w="1134" w:type="dxa"/>
            <w:shd w:val="clear" w:color="auto" w:fill="auto"/>
            <w:vAlign w:val="center"/>
            <w:hideMark/>
          </w:tcPr>
          <w:p w14:paraId="246090C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26.640 €</w:t>
            </w:r>
          </w:p>
        </w:tc>
        <w:tc>
          <w:tcPr>
            <w:tcW w:w="1134" w:type="dxa"/>
            <w:shd w:val="clear" w:color="auto" w:fill="auto"/>
            <w:vAlign w:val="center"/>
            <w:hideMark/>
          </w:tcPr>
          <w:p w14:paraId="279EE01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33.245 €</w:t>
            </w:r>
          </w:p>
        </w:tc>
        <w:tc>
          <w:tcPr>
            <w:tcW w:w="1985" w:type="dxa"/>
            <w:shd w:val="clear" w:color="auto" w:fill="auto"/>
            <w:vAlign w:val="center"/>
            <w:hideMark/>
          </w:tcPr>
          <w:p w14:paraId="1508666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1.466 €</w:t>
            </w:r>
          </w:p>
        </w:tc>
        <w:tc>
          <w:tcPr>
            <w:tcW w:w="1417" w:type="dxa"/>
            <w:shd w:val="clear" w:color="auto" w:fill="auto"/>
            <w:vAlign w:val="center"/>
            <w:hideMark/>
          </w:tcPr>
          <w:p w14:paraId="7E4CEA7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61.351 €</w:t>
            </w:r>
          </w:p>
        </w:tc>
      </w:tr>
      <w:tr w:rsidR="00A4063C" w:rsidRPr="00394ACF" w14:paraId="398272CB" w14:textId="77777777" w:rsidTr="00FE500C">
        <w:trPr>
          <w:cantSplit/>
          <w:trHeight w:val="420"/>
          <w:jc w:val="center"/>
        </w:trPr>
        <w:tc>
          <w:tcPr>
            <w:tcW w:w="1051" w:type="dxa"/>
            <w:shd w:val="clear" w:color="auto" w:fill="auto"/>
            <w:vAlign w:val="center"/>
            <w:hideMark/>
          </w:tcPr>
          <w:p w14:paraId="06D7309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04.1053.002</w:t>
            </w:r>
          </w:p>
        </w:tc>
        <w:tc>
          <w:tcPr>
            <w:tcW w:w="2346" w:type="dxa"/>
            <w:shd w:val="clear" w:color="auto" w:fill="auto"/>
            <w:vAlign w:val="center"/>
            <w:hideMark/>
          </w:tcPr>
          <w:p w14:paraId="0870593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ΨΗΦΙΑΚΟΣ ΜΕΤΑΣΧΗΜΑΤΙΣΜΟΣ ΚΑΙ ΜΕΤΑΡΡΥΘΜΙΣΗ ΔΗΜΟΣΙΟΥ ΤΟΜΕΑ</w:t>
            </w:r>
          </w:p>
        </w:tc>
        <w:tc>
          <w:tcPr>
            <w:tcW w:w="1134" w:type="dxa"/>
            <w:shd w:val="clear" w:color="auto" w:fill="auto"/>
            <w:vAlign w:val="center"/>
            <w:hideMark/>
          </w:tcPr>
          <w:p w14:paraId="591B619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12.169 €</w:t>
            </w:r>
          </w:p>
        </w:tc>
        <w:tc>
          <w:tcPr>
            <w:tcW w:w="1134" w:type="dxa"/>
            <w:shd w:val="clear" w:color="auto" w:fill="auto"/>
            <w:vAlign w:val="center"/>
            <w:hideMark/>
          </w:tcPr>
          <w:p w14:paraId="0A7B595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616.906 €</w:t>
            </w:r>
          </w:p>
        </w:tc>
        <w:tc>
          <w:tcPr>
            <w:tcW w:w="1985" w:type="dxa"/>
            <w:shd w:val="clear" w:color="auto" w:fill="auto"/>
            <w:vAlign w:val="center"/>
            <w:hideMark/>
          </w:tcPr>
          <w:p w14:paraId="391FFC2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21.036 €</w:t>
            </w:r>
          </w:p>
        </w:tc>
        <w:tc>
          <w:tcPr>
            <w:tcW w:w="1417" w:type="dxa"/>
            <w:shd w:val="clear" w:color="auto" w:fill="auto"/>
            <w:vAlign w:val="center"/>
            <w:hideMark/>
          </w:tcPr>
          <w:p w14:paraId="1B196D4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650.111 €</w:t>
            </w:r>
          </w:p>
        </w:tc>
      </w:tr>
      <w:tr w:rsidR="00A4063C" w:rsidRPr="00394ACF" w14:paraId="25817E86" w14:textId="77777777" w:rsidTr="00FE500C">
        <w:trPr>
          <w:cantSplit/>
          <w:trHeight w:val="420"/>
          <w:jc w:val="center"/>
        </w:trPr>
        <w:tc>
          <w:tcPr>
            <w:tcW w:w="1051" w:type="dxa"/>
            <w:shd w:val="clear" w:color="auto" w:fill="auto"/>
            <w:vAlign w:val="center"/>
            <w:hideMark/>
          </w:tcPr>
          <w:p w14:paraId="5C7AB77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04.1053.003</w:t>
            </w:r>
          </w:p>
        </w:tc>
        <w:tc>
          <w:tcPr>
            <w:tcW w:w="2346" w:type="dxa"/>
            <w:shd w:val="clear" w:color="auto" w:fill="auto"/>
            <w:vAlign w:val="center"/>
            <w:hideMark/>
          </w:tcPr>
          <w:p w14:paraId="6ADCB19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ΗΛΕΚΤΡΟΝΙΚΗ ΔΙΑΚΥΒΕΡΝΗΣΗ ΚΑΙ ΔΙΑΛΕΙΤΟΥΡΓΙΚΟΤΗΤΑ</w:t>
            </w:r>
          </w:p>
        </w:tc>
        <w:tc>
          <w:tcPr>
            <w:tcW w:w="1134" w:type="dxa"/>
            <w:shd w:val="clear" w:color="auto" w:fill="auto"/>
            <w:vAlign w:val="center"/>
            <w:hideMark/>
          </w:tcPr>
          <w:p w14:paraId="2F95962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5.018 €</w:t>
            </w:r>
          </w:p>
        </w:tc>
        <w:tc>
          <w:tcPr>
            <w:tcW w:w="1134" w:type="dxa"/>
            <w:shd w:val="clear" w:color="auto" w:fill="auto"/>
            <w:vAlign w:val="center"/>
            <w:hideMark/>
          </w:tcPr>
          <w:p w14:paraId="18AEBEF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56.463 €</w:t>
            </w:r>
          </w:p>
        </w:tc>
        <w:tc>
          <w:tcPr>
            <w:tcW w:w="1985" w:type="dxa"/>
            <w:shd w:val="clear" w:color="auto" w:fill="auto"/>
            <w:vAlign w:val="center"/>
            <w:hideMark/>
          </w:tcPr>
          <w:p w14:paraId="02E117A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2.632 €</w:t>
            </w:r>
          </w:p>
        </w:tc>
        <w:tc>
          <w:tcPr>
            <w:tcW w:w="1417" w:type="dxa"/>
            <w:shd w:val="clear" w:color="auto" w:fill="auto"/>
            <w:vAlign w:val="center"/>
            <w:hideMark/>
          </w:tcPr>
          <w:p w14:paraId="1054EFD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64.113 €</w:t>
            </w:r>
          </w:p>
        </w:tc>
      </w:tr>
      <w:tr w:rsidR="00A4063C" w:rsidRPr="00394ACF" w14:paraId="0E0D882A" w14:textId="77777777" w:rsidTr="00FE500C">
        <w:trPr>
          <w:cantSplit/>
          <w:trHeight w:val="630"/>
          <w:jc w:val="center"/>
        </w:trPr>
        <w:tc>
          <w:tcPr>
            <w:tcW w:w="1051" w:type="dxa"/>
            <w:shd w:val="clear" w:color="auto" w:fill="auto"/>
            <w:vAlign w:val="center"/>
            <w:hideMark/>
          </w:tcPr>
          <w:p w14:paraId="73DF916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04.1053.004</w:t>
            </w:r>
          </w:p>
        </w:tc>
        <w:tc>
          <w:tcPr>
            <w:tcW w:w="2346" w:type="dxa"/>
            <w:shd w:val="clear" w:color="auto" w:fill="auto"/>
            <w:vAlign w:val="center"/>
            <w:hideMark/>
          </w:tcPr>
          <w:p w14:paraId="62D900A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ΤΕΧΝΟΛΟΓΙΕΣ ΠΛΗΡΟΦΟΡΙΚΗΣ, ΕΠΙΚΟΙΝΩΝΙΩΝ(ΤΠΕ) ΚΑΙ ΥΠΟΔΟΜΩΝ ΠΛΗΡΟΦΟΡΙΚΗΣ ΣΤΗ ΔΗΜΟΣΙΑ ΔΙΟΙΚΗΣΗ</w:t>
            </w:r>
          </w:p>
        </w:tc>
        <w:tc>
          <w:tcPr>
            <w:tcW w:w="1134" w:type="dxa"/>
            <w:shd w:val="clear" w:color="auto" w:fill="auto"/>
            <w:vAlign w:val="center"/>
            <w:hideMark/>
          </w:tcPr>
          <w:p w14:paraId="39FA7BA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69.337 €</w:t>
            </w:r>
          </w:p>
        </w:tc>
        <w:tc>
          <w:tcPr>
            <w:tcW w:w="1134" w:type="dxa"/>
            <w:shd w:val="clear" w:color="auto" w:fill="auto"/>
            <w:vAlign w:val="center"/>
            <w:hideMark/>
          </w:tcPr>
          <w:p w14:paraId="59669AF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343.949 €</w:t>
            </w:r>
          </w:p>
        </w:tc>
        <w:tc>
          <w:tcPr>
            <w:tcW w:w="1985" w:type="dxa"/>
            <w:shd w:val="clear" w:color="auto" w:fill="auto"/>
            <w:vAlign w:val="center"/>
            <w:hideMark/>
          </w:tcPr>
          <w:p w14:paraId="50540C1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49.413 €</w:t>
            </w:r>
          </w:p>
        </w:tc>
        <w:tc>
          <w:tcPr>
            <w:tcW w:w="1417" w:type="dxa"/>
            <w:shd w:val="clear" w:color="auto" w:fill="auto"/>
            <w:vAlign w:val="center"/>
            <w:hideMark/>
          </w:tcPr>
          <w:p w14:paraId="43617D3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462.699 €</w:t>
            </w:r>
          </w:p>
        </w:tc>
      </w:tr>
      <w:tr w:rsidR="00A4063C" w:rsidRPr="00394ACF" w14:paraId="611328FC" w14:textId="77777777" w:rsidTr="00FE500C">
        <w:trPr>
          <w:cantSplit/>
          <w:trHeight w:val="210"/>
          <w:jc w:val="center"/>
        </w:trPr>
        <w:tc>
          <w:tcPr>
            <w:tcW w:w="1051" w:type="dxa"/>
            <w:shd w:val="clear" w:color="auto" w:fill="auto"/>
            <w:vAlign w:val="center"/>
            <w:hideMark/>
          </w:tcPr>
          <w:p w14:paraId="382D7D4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04.1053.005</w:t>
            </w:r>
          </w:p>
        </w:tc>
        <w:tc>
          <w:tcPr>
            <w:tcW w:w="2346" w:type="dxa"/>
            <w:shd w:val="clear" w:color="auto" w:fill="auto"/>
            <w:vAlign w:val="center"/>
            <w:hideMark/>
          </w:tcPr>
          <w:p w14:paraId="442C450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ΤΗΛΕΠΙΚΟΙΝΩΝΙΕΣ-ΤΑΧΥΔΡΟΜΙΚΕΣ ΥΠΗΡΕΣΙΕΣ</w:t>
            </w:r>
          </w:p>
        </w:tc>
        <w:tc>
          <w:tcPr>
            <w:tcW w:w="1134" w:type="dxa"/>
            <w:shd w:val="clear" w:color="auto" w:fill="auto"/>
            <w:vAlign w:val="center"/>
            <w:hideMark/>
          </w:tcPr>
          <w:p w14:paraId="7161839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19.153 €</w:t>
            </w:r>
          </w:p>
        </w:tc>
        <w:tc>
          <w:tcPr>
            <w:tcW w:w="1134" w:type="dxa"/>
            <w:shd w:val="clear" w:color="auto" w:fill="auto"/>
            <w:vAlign w:val="center"/>
            <w:hideMark/>
          </w:tcPr>
          <w:p w14:paraId="45016A4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26.538 €</w:t>
            </w:r>
          </w:p>
        </w:tc>
        <w:tc>
          <w:tcPr>
            <w:tcW w:w="1985" w:type="dxa"/>
            <w:shd w:val="clear" w:color="auto" w:fill="auto"/>
            <w:vAlign w:val="center"/>
            <w:hideMark/>
          </w:tcPr>
          <w:p w14:paraId="62580C5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27.820 €</w:t>
            </w:r>
          </w:p>
        </w:tc>
        <w:tc>
          <w:tcPr>
            <w:tcW w:w="1417" w:type="dxa"/>
            <w:shd w:val="clear" w:color="auto" w:fill="auto"/>
            <w:vAlign w:val="center"/>
            <w:hideMark/>
          </w:tcPr>
          <w:p w14:paraId="66DDABC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73.511 €</w:t>
            </w:r>
          </w:p>
        </w:tc>
      </w:tr>
      <w:tr w:rsidR="00A4063C" w:rsidRPr="00394ACF" w14:paraId="6EC3576A" w14:textId="77777777" w:rsidTr="00FE500C">
        <w:trPr>
          <w:cantSplit/>
          <w:trHeight w:val="210"/>
          <w:jc w:val="center"/>
        </w:trPr>
        <w:tc>
          <w:tcPr>
            <w:tcW w:w="1051" w:type="dxa"/>
            <w:shd w:val="clear" w:color="auto" w:fill="auto"/>
            <w:vAlign w:val="center"/>
            <w:hideMark/>
          </w:tcPr>
          <w:p w14:paraId="371840E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04.1053.006</w:t>
            </w:r>
          </w:p>
        </w:tc>
        <w:tc>
          <w:tcPr>
            <w:tcW w:w="2346" w:type="dxa"/>
            <w:shd w:val="clear" w:color="auto" w:fill="auto"/>
            <w:vAlign w:val="center"/>
            <w:hideMark/>
          </w:tcPr>
          <w:p w14:paraId="387E092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ΔΙΑΣΤΗΜΙΚΗ ΣΤΡΑΤΗΓΙΚΗ</w:t>
            </w:r>
          </w:p>
        </w:tc>
        <w:tc>
          <w:tcPr>
            <w:tcW w:w="1134" w:type="dxa"/>
            <w:shd w:val="clear" w:color="auto" w:fill="auto"/>
            <w:vAlign w:val="center"/>
            <w:hideMark/>
          </w:tcPr>
          <w:p w14:paraId="5632CC7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22.086 €</w:t>
            </w:r>
          </w:p>
        </w:tc>
        <w:tc>
          <w:tcPr>
            <w:tcW w:w="1134" w:type="dxa"/>
            <w:shd w:val="clear" w:color="auto" w:fill="auto"/>
            <w:vAlign w:val="center"/>
            <w:hideMark/>
          </w:tcPr>
          <w:p w14:paraId="75DB48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5.486 €</w:t>
            </w:r>
          </w:p>
        </w:tc>
        <w:tc>
          <w:tcPr>
            <w:tcW w:w="1985" w:type="dxa"/>
            <w:shd w:val="clear" w:color="auto" w:fill="auto"/>
            <w:vAlign w:val="center"/>
            <w:hideMark/>
          </w:tcPr>
          <w:p w14:paraId="788A69F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1.134 €</w:t>
            </w:r>
          </w:p>
        </w:tc>
        <w:tc>
          <w:tcPr>
            <w:tcW w:w="1417" w:type="dxa"/>
            <w:shd w:val="clear" w:color="auto" w:fill="auto"/>
            <w:vAlign w:val="center"/>
            <w:hideMark/>
          </w:tcPr>
          <w:p w14:paraId="710F307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28.706 €</w:t>
            </w:r>
          </w:p>
        </w:tc>
      </w:tr>
      <w:tr w:rsidR="00A4063C" w:rsidRPr="00394ACF" w14:paraId="5681B96A" w14:textId="77777777" w:rsidTr="00FE500C">
        <w:trPr>
          <w:cantSplit/>
          <w:trHeight w:val="420"/>
          <w:jc w:val="center"/>
        </w:trPr>
        <w:tc>
          <w:tcPr>
            <w:tcW w:w="1051" w:type="dxa"/>
            <w:shd w:val="clear" w:color="auto" w:fill="auto"/>
            <w:vAlign w:val="center"/>
            <w:hideMark/>
          </w:tcPr>
          <w:p w14:paraId="56FD660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04.1053.007</w:t>
            </w:r>
          </w:p>
        </w:tc>
        <w:tc>
          <w:tcPr>
            <w:tcW w:w="2346" w:type="dxa"/>
            <w:shd w:val="clear" w:color="auto" w:fill="auto"/>
            <w:vAlign w:val="center"/>
            <w:hideMark/>
          </w:tcPr>
          <w:p w14:paraId="524029B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ΡΥΘΜΙΣΗ ΘΕΜΑΤΩΝ ΗΛΕΚΤΡΟΝΙΚΩΝ ΕΠΙΚΟΙΝΩΝΙΩΝ ΚΑΙ ΤΑΧΥΔΡΟΜΙΚΩΝ ΥΠΗΡΕΣΙΩΝ - ΕΕΤΤ</w:t>
            </w:r>
          </w:p>
        </w:tc>
        <w:tc>
          <w:tcPr>
            <w:tcW w:w="1134" w:type="dxa"/>
            <w:shd w:val="clear" w:color="auto" w:fill="auto"/>
            <w:vAlign w:val="center"/>
            <w:hideMark/>
          </w:tcPr>
          <w:p w14:paraId="028DC93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134" w:type="dxa"/>
            <w:shd w:val="clear" w:color="auto" w:fill="auto"/>
            <w:vAlign w:val="center"/>
            <w:hideMark/>
          </w:tcPr>
          <w:p w14:paraId="146C49F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234 €</w:t>
            </w:r>
          </w:p>
        </w:tc>
        <w:tc>
          <w:tcPr>
            <w:tcW w:w="1985" w:type="dxa"/>
            <w:shd w:val="clear" w:color="auto" w:fill="auto"/>
            <w:vAlign w:val="center"/>
            <w:hideMark/>
          </w:tcPr>
          <w:p w14:paraId="195EA1E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535 €</w:t>
            </w:r>
          </w:p>
        </w:tc>
        <w:tc>
          <w:tcPr>
            <w:tcW w:w="1417" w:type="dxa"/>
            <w:shd w:val="clear" w:color="auto" w:fill="auto"/>
            <w:vAlign w:val="center"/>
            <w:hideMark/>
          </w:tcPr>
          <w:p w14:paraId="5E75566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769 €</w:t>
            </w:r>
          </w:p>
        </w:tc>
      </w:tr>
      <w:tr w:rsidR="00A4063C" w:rsidRPr="00394ACF" w14:paraId="620907C4" w14:textId="77777777" w:rsidTr="00FE500C">
        <w:trPr>
          <w:cantSplit/>
          <w:trHeight w:val="210"/>
          <w:jc w:val="center"/>
        </w:trPr>
        <w:tc>
          <w:tcPr>
            <w:tcW w:w="1051" w:type="dxa"/>
            <w:shd w:val="clear" w:color="000000" w:fill="D9D9D9"/>
            <w:vAlign w:val="center"/>
            <w:hideMark/>
          </w:tcPr>
          <w:p w14:paraId="49B2F039"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1055</w:t>
            </w:r>
          </w:p>
        </w:tc>
        <w:tc>
          <w:tcPr>
            <w:tcW w:w="2346" w:type="dxa"/>
            <w:shd w:val="clear" w:color="000000" w:fill="D9D9D9"/>
            <w:vAlign w:val="center"/>
            <w:hideMark/>
          </w:tcPr>
          <w:p w14:paraId="70B696F1"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ΜΕΤΑΝΑΣΤΕΥΣΗΣ ΚΑΙ ΑΣΥΛΟΥ</w:t>
            </w:r>
          </w:p>
        </w:tc>
        <w:tc>
          <w:tcPr>
            <w:tcW w:w="1134" w:type="dxa"/>
            <w:shd w:val="clear" w:color="000000" w:fill="D9D9D9"/>
            <w:vAlign w:val="center"/>
            <w:hideMark/>
          </w:tcPr>
          <w:p w14:paraId="27C98C65"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156.133 €</w:t>
            </w:r>
          </w:p>
        </w:tc>
        <w:tc>
          <w:tcPr>
            <w:tcW w:w="1134" w:type="dxa"/>
            <w:shd w:val="clear" w:color="000000" w:fill="D9D9D9"/>
            <w:vAlign w:val="center"/>
            <w:hideMark/>
          </w:tcPr>
          <w:p w14:paraId="7A1BC772"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45.000 €</w:t>
            </w:r>
          </w:p>
        </w:tc>
        <w:tc>
          <w:tcPr>
            <w:tcW w:w="1985" w:type="dxa"/>
            <w:shd w:val="clear" w:color="000000" w:fill="D9D9D9"/>
            <w:vAlign w:val="center"/>
            <w:hideMark/>
          </w:tcPr>
          <w:p w14:paraId="16BF4891"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335.000 €</w:t>
            </w:r>
          </w:p>
        </w:tc>
        <w:tc>
          <w:tcPr>
            <w:tcW w:w="1417" w:type="dxa"/>
            <w:shd w:val="clear" w:color="000000" w:fill="D9D9D9"/>
            <w:vAlign w:val="center"/>
            <w:hideMark/>
          </w:tcPr>
          <w:p w14:paraId="434FA8BC"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536.133 €</w:t>
            </w:r>
          </w:p>
        </w:tc>
      </w:tr>
      <w:tr w:rsidR="00A4063C" w:rsidRPr="00394ACF" w14:paraId="7056B8CF" w14:textId="77777777" w:rsidTr="00FE500C">
        <w:trPr>
          <w:cantSplit/>
          <w:trHeight w:val="420"/>
          <w:jc w:val="center"/>
        </w:trPr>
        <w:tc>
          <w:tcPr>
            <w:tcW w:w="1051" w:type="dxa"/>
            <w:shd w:val="clear" w:color="auto" w:fill="auto"/>
            <w:vAlign w:val="center"/>
            <w:hideMark/>
          </w:tcPr>
          <w:p w14:paraId="0F7BD16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01.1055.001</w:t>
            </w:r>
          </w:p>
        </w:tc>
        <w:tc>
          <w:tcPr>
            <w:tcW w:w="2346" w:type="dxa"/>
            <w:shd w:val="clear" w:color="auto" w:fill="auto"/>
            <w:vAlign w:val="center"/>
            <w:hideMark/>
          </w:tcPr>
          <w:p w14:paraId="1C1C54A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ΜΕΤΑΝΑΣΤΕΥΣΗΣ ΚΑΙ ΑΣΥΛΟΥ</w:t>
            </w:r>
          </w:p>
        </w:tc>
        <w:tc>
          <w:tcPr>
            <w:tcW w:w="1134" w:type="dxa"/>
            <w:shd w:val="clear" w:color="auto" w:fill="auto"/>
            <w:vAlign w:val="center"/>
            <w:hideMark/>
          </w:tcPr>
          <w:p w14:paraId="05E8390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57.846 €</w:t>
            </w:r>
          </w:p>
        </w:tc>
        <w:tc>
          <w:tcPr>
            <w:tcW w:w="1134" w:type="dxa"/>
            <w:shd w:val="clear" w:color="auto" w:fill="auto"/>
            <w:vAlign w:val="center"/>
            <w:hideMark/>
          </w:tcPr>
          <w:p w14:paraId="38E16BE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15.674 €</w:t>
            </w:r>
          </w:p>
        </w:tc>
        <w:tc>
          <w:tcPr>
            <w:tcW w:w="1985" w:type="dxa"/>
            <w:shd w:val="clear" w:color="auto" w:fill="auto"/>
            <w:vAlign w:val="center"/>
            <w:hideMark/>
          </w:tcPr>
          <w:p w14:paraId="3AF5885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25.390 €</w:t>
            </w:r>
          </w:p>
        </w:tc>
        <w:tc>
          <w:tcPr>
            <w:tcW w:w="1417" w:type="dxa"/>
            <w:shd w:val="clear" w:color="auto" w:fill="auto"/>
            <w:vAlign w:val="center"/>
            <w:hideMark/>
          </w:tcPr>
          <w:p w14:paraId="787D0C8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98.910 €</w:t>
            </w:r>
          </w:p>
        </w:tc>
      </w:tr>
      <w:tr w:rsidR="00A4063C" w:rsidRPr="00394ACF" w14:paraId="0D671114" w14:textId="77777777" w:rsidTr="00FE500C">
        <w:trPr>
          <w:cantSplit/>
          <w:trHeight w:val="210"/>
          <w:jc w:val="center"/>
        </w:trPr>
        <w:tc>
          <w:tcPr>
            <w:tcW w:w="1051" w:type="dxa"/>
            <w:shd w:val="clear" w:color="auto" w:fill="auto"/>
            <w:vAlign w:val="center"/>
            <w:hideMark/>
          </w:tcPr>
          <w:p w14:paraId="49FCE3B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01.1055.002</w:t>
            </w:r>
          </w:p>
        </w:tc>
        <w:tc>
          <w:tcPr>
            <w:tcW w:w="2346" w:type="dxa"/>
            <w:shd w:val="clear" w:color="auto" w:fill="auto"/>
            <w:vAlign w:val="center"/>
            <w:hideMark/>
          </w:tcPr>
          <w:p w14:paraId="05B7FF4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ΑΣΥΛΟΥ</w:t>
            </w:r>
          </w:p>
        </w:tc>
        <w:tc>
          <w:tcPr>
            <w:tcW w:w="1134" w:type="dxa"/>
            <w:shd w:val="clear" w:color="auto" w:fill="auto"/>
            <w:vAlign w:val="center"/>
            <w:hideMark/>
          </w:tcPr>
          <w:p w14:paraId="7ECA0C6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45.640 €</w:t>
            </w:r>
          </w:p>
        </w:tc>
        <w:tc>
          <w:tcPr>
            <w:tcW w:w="1134" w:type="dxa"/>
            <w:shd w:val="clear" w:color="auto" w:fill="auto"/>
            <w:vAlign w:val="center"/>
            <w:hideMark/>
          </w:tcPr>
          <w:p w14:paraId="284BC18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7D4C7C0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23.735 €</w:t>
            </w:r>
          </w:p>
        </w:tc>
        <w:tc>
          <w:tcPr>
            <w:tcW w:w="1417" w:type="dxa"/>
            <w:shd w:val="clear" w:color="auto" w:fill="auto"/>
            <w:vAlign w:val="center"/>
            <w:hideMark/>
          </w:tcPr>
          <w:p w14:paraId="7A403CB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69.376 €</w:t>
            </w:r>
          </w:p>
        </w:tc>
      </w:tr>
      <w:tr w:rsidR="00A4063C" w:rsidRPr="00394ACF" w14:paraId="213C5ED7" w14:textId="77777777" w:rsidTr="00FE500C">
        <w:trPr>
          <w:cantSplit/>
          <w:trHeight w:val="210"/>
          <w:jc w:val="center"/>
        </w:trPr>
        <w:tc>
          <w:tcPr>
            <w:tcW w:w="1051" w:type="dxa"/>
            <w:shd w:val="clear" w:color="auto" w:fill="auto"/>
            <w:vAlign w:val="center"/>
            <w:hideMark/>
          </w:tcPr>
          <w:p w14:paraId="4606EDD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01.1055.003</w:t>
            </w:r>
          </w:p>
        </w:tc>
        <w:tc>
          <w:tcPr>
            <w:tcW w:w="2346" w:type="dxa"/>
            <w:shd w:val="clear" w:color="auto" w:fill="auto"/>
            <w:vAlign w:val="center"/>
            <w:hideMark/>
          </w:tcPr>
          <w:p w14:paraId="12DEB56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ΝΟΜΙΜΗ ΜΕΤΑΝΑΣΤΕΥΣΗ</w:t>
            </w:r>
          </w:p>
        </w:tc>
        <w:tc>
          <w:tcPr>
            <w:tcW w:w="1134" w:type="dxa"/>
            <w:shd w:val="clear" w:color="auto" w:fill="auto"/>
            <w:vAlign w:val="center"/>
            <w:hideMark/>
          </w:tcPr>
          <w:p w14:paraId="04E1428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10.706 €</w:t>
            </w:r>
          </w:p>
        </w:tc>
        <w:tc>
          <w:tcPr>
            <w:tcW w:w="1134" w:type="dxa"/>
            <w:shd w:val="clear" w:color="auto" w:fill="auto"/>
            <w:vAlign w:val="center"/>
            <w:hideMark/>
          </w:tcPr>
          <w:p w14:paraId="50C0F06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17.827 €</w:t>
            </w:r>
          </w:p>
        </w:tc>
        <w:tc>
          <w:tcPr>
            <w:tcW w:w="1985" w:type="dxa"/>
            <w:shd w:val="clear" w:color="auto" w:fill="auto"/>
            <w:vAlign w:val="center"/>
            <w:hideMark/>
          </w:tcPr>
          <w:p w14:paraId="14D4943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12.696 €</w:t>
            </w:r>
          </w:p>
        </w:tc>
        <w:tc>
          <w:tcPr>
            <w:tcW w:w="1417" w:type="dxa"/>
            <w:shd w:val="clear" w:color="auto" w:fill="auto"/>
            <w:vAlign w:val="center"/>
            <w:hideMark/>
          </w:tcPr>
          <w:p w14:paraId="3A45C25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41.229 €</w:t>
            </w:r>
          </w:p>
        </w:tc>
      </w:tr>
      <w:tr w:rsidR="00A4063C" w:rsidRPr="00394ACF" w14:paraId="33565D75" w14:textId="77777777" w:rsidTr="00FE500C">
        <w:trPr>
          <w:cantSplit/>
          <w:trHeight w:val="210"/>
          <w:jc w:val="center"/>
        </w:trPr>
        <w:tc>
          <w:tcPr>
            <w:tcW w:w="1051" w:type="dxa"/>
            <w:shd w:val="clear" w:color="auto" w:fill="auto"/>
            <w:vAlign w:val="center"/>
            <w:hideMark/>
          </w:tcPr>
          <w:p w14:paraId="240F278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01.1055.004</w:t>
            </w:r>
          </w:p>
        </w:tc>
        <w:tc>
          <w:tcPr>
            <w:tcW w:w="2346" w:type="dxa"/>
            <w:shd w:val="clear" w:color="auto" w:fill="auto"/>
            <w:vAlign w:val="center"/>
            <w:hideMark/>
          </w:tcPr>
          <w:p w14:paraId="746C8CE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ΥΠΟΔΟΧΗ - ΤΑΥΤΟΠΟΙΗΣΗ ΠΡΟΣΦΥΓΙΚΩΝ ΡΟΩΝ</w:t>
            </w:r>
          </w:p>
        </w:tc>
        <w:tc>
          <w:tcPr>
            <w:tcW w:w="1134" w:type="dxa"/>
            <w:shd w:val="clear" w:color="auto" w:fill="auto"/>
            <w:vAlign w:val="center"/>
            <w:hideMark/>
          </w:tcPr>
          <w:p w14:paraId="03668DD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41.941 €</w:t>
            </w:r>
          </w:p>
        </w:tc>
        <w:tc>
          <w:tcPr>
            <w:tcW w:w="1134" w:type="dxa"/>
            <w:shd w:val="clear" w:color="auto" w:fill="auto"/>
            <w:vAlign w:val="center"/>
            <w:hideMark/>
          </w:tcPr>
          <w:p w14:paraId="105BC71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11.500 €</w:t>
            </w:r>
          </w:p>
        </w:tc>
        <w:tc>
          <w:tcPr>
            <w:tcW w:w="1985" w:type="dxa"/>
            <w:shd w:val="clear" w:color="auto" w:fill="auto"/>
            <w:vAlign w:val="center"/>
            <w:hideMark/>
          </w:tcPr>
          <w:p w14:paraId="2BF0DB3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273.178 €</w:t>
            </w:r>
          </w:p>
        </w:tc>
        <w:tc>
          <w:tcPr>
            <w:tcW w:w="1417" w:type="dxa"/>
            <w:shd w:val="clear" w:color="auto" w:fill="auto"/>
            <w:vAlign w:val="center"/>
            <w:hideMark/>
          </w:tcPr>
          <w:p w14:paraId="52160F5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326.619 €</w:t>
            </w:r>
          </w:p>
        </w:tc>
      </w:tr>
      <w:tr w:rsidR="00A4063C" w:rsidRPr="00394ACF" w14:paraId="2D9A2390" w14:textId="77777777" w:rsidTr="00FE500C">
        <w:trPr>
          <w:cantSplit/>
          <w:trHeight w:val="210"/>
          <w:jc w:val="center"/>
        </w:trPr>
        <w:tc>
          <w:tcPr>
            <w:tcW w:w="1051" w:type="dxa"/>
            <w:shd w:val="clear" w:color="000000" w:fill="D9D9D9"/>
            <w:vAlign w:val="center"/>
            <w:hideMark/>
          </w:tcPr>
          <w:p w14:paraId="134C32D7"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1057</w:t>
            </w:r>
          </w:p>
        </w:tc>
        <w:tc>
          <w:tcPr>
            <w:tcW w:w="2346" w:type="dxa"/>
            <w:shd w:val="clear" w:color="000000" w:fill="D9D9D9"/>
            <w:vAlign w:val="center"/>
            <w:hideMark/>
          </w:tcPr>
          <w:p w14:paraId="6D4713B5"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ΠΡΟΣΤΑΣΙΑΣ ΤΟΥ ΠΟΛΙΤΗ</w:t>
            </w:r>
          </w:p>
        </w:tc>
        <w:tc>
          <w:tcPr>
            <w:tcW w:w="1134" w:type="dxa"/>
            <w:shd w:val="clear" w:color="000000" w:fill="D9D9D9"/>
            <w:vAlign w:val="center"/>
            <w:hideMark/>
          </w:tcPr>
          <w:p w14:paraId="5ACBEA08"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2.513.285 €</w:t>
            </w:r>
          </w:p>
        </w:tc>
        <w:tc>
          <w:tcPr>
            <w:tcW w:w="1134" w:type="dxa"/>
            <w:shd w:val="clear" w:color="000000" w:fill="D9D9D9"/>
            <w:vAlign w:val="center"/>
            <w:hideMark/>
          </w:tcPr>
          <w:p w14:paraId="5BDE28A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10.000 €</w:t>
            </w:r>
          </w:p>
        </w:tc>
        <w:tc>
          <w:tcPr>
            <w:tcW w:w="1985" w:type="dxa"/>
            <w:shd w:val="clear" w:color="000000" w:fill="D9D9D9"/>
            <w:vAlign w:val="center"/>
            <w:hideMark/>
          </w:tcPr>
          <w:p w14:paraId="74CB1A4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80.000 €</w:t>
            </w:r>
          </w:p>
        </w:tc>
        <w:tc>
          <w:tcPr>
            <w:tcW w:w="1417" w:type="dxa"/>
            <w:shd w:val="clear" w:color="000000" w:fill="D9D9D9"/>
            <w:vAlign w:val="center"/>
            <w:hideMark/>
          </w:tcPr>
          <w:p w14:paraId="2EBD4202"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2.603.285 €</w:t>
            </w:r>
          </w:p>
        </w:tc>
      </w:tr>
      <w:tr w:rsidR="00A4063C" w:rsidRPr="00394ACF" w14:paraId="63949D39" w14:textId="77777777" w:rsidTr="00FE500C">
        <w:trPr>
          <w:cantSplit/>
          <w:trHeight w:val="420"/>
          <w:jc w:val="center"/>
        </w:trPr>
        <w:tc>
          <w:tcPr>
            <w:tcW w:w="1051" w:type="dxa"/>
            <w:shd w:val="clear" w:color="auto" w:fill="auto"/>
            <w:vAlign w:val="center"/>
            <w:hideMark/>
          </w:tcPr>
          <w:p w14:paraId="0D53272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01.1057.001</w:t>
            </w:r>
          </w:p>
        </w:tc>
        <w:tc>
          <w:tcPr>
            <w:tcW w:w="2346" w:type="dxa"/>
            <w:shd w:val="clear" w:color="auto" w:fill="auto"/>
            <w:vAlign w:val="center"/>
            <w:hideMark/>
          </w:tcPr>
          <w:p w14:paraId="4A12B75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ΑΣΦΑΛΕΙΑ ΣΥΝΟΡΩΝ - ΔΙΑΧΕΙΡΙΣΗ ΜΕΤΑΝΑΣΤΕΥΤΙΚΩΝ ΡΟΩΝ</w:t>
            </w:r>
          </w:p>
        </w:tc>
        <w:tc>
          <w:tcPr>
            <w:tcW w:w="1134" w:type="dxa"/>
            <w:shd w:val="clear" w:color="auto" w:fill="auto"/>
            <w:vAlign w:val="center"/>
            <w:hideMark/>
          </w:tcPr>
          <w:p w14:paraId="4B10AE8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36.610 €</w:t>
            </w:r>
          </w:p>
        </w:tc>
        <w:tc>
          <w:tcPr>
            <w:tcW w:w="1134" w:type="dxa"/>
            <w:shd w:val="clear" w:color="auto" w:fill="auto"/>
            <w:vAlign w:val="center"/>
            <w:hideMark/>
          </w:tcPr>
          <w:p w14:paraId="5A04E2D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087F0B8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74.172 €</w:t>
            </w:r>
          </w:p>
        </w:tc>
        <w:tc>
          <w:tcPr>
            <w:tcW w:w="1417" w:type="dxa"/>
            <w:shd w:val="clear" w:color="auto" w:fill="auto"/>
            <w:vAlign w:val="center"/>
            <w:hideMark/>
          </w:tcPr>
          <w:p w14:paraId="0CE90C9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110.782 €</w:t>
            </w:r>
          </w:p>
        </w:tc>
      </w:tr>
      <w:tr w:rsidR="00A4063C" w:rsidRPr="00394ACF" w14:paraId="6A6F9FFC" w14:textId="77777777" w:rsidTr="00FE500C">
        <w:trPr>
          <w:cantSplit/>
          <w:trHeight w:val="420"/>
          <w:jc w:val="center"/>
        </w:trPr>
        <w:tc>
          <w:tcPr>
            <w:tcW w:w="1051" w:type="dxa"/>
            <w:shd w:val="clear" w:color="auto" w:fill="auto"/>
            <w:vAlign w:val="center"/>
            <w:hideMark/>
          </w:tcPr>
          <w:p w14:paraId="57607F8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lastRenderedPageBreak/>
              <w:t>03.1057.001</w:t>
            </w:r>
          </w:p>
        </w:tc>
        <w:tc>
          <w:tcPr>
            <w:tcW w:w="2346" w:type="dxa"/>
            <w:shd w:val="clear" w:color="auto" w:fill="auto"/>
            <w:vAlign w:val="center"/>
            <w:hideMark/>
          </w:tcPr>
          <w:p w14:paraId="2C09467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ΥΠΟΥΡΓΕΙΟΥ ΠΡΟΣΤΑΣΙΑΣ ΤΟΥ ΠΟΛΙΤΗ</w:t>
            </w:r>
          </w:p>
        </w:tc>
        <w:tc>
          <w:tcPr>
            <w:tcW w:w="1134" w:type="dxa"/>
            <w:shd w:val="clear" w:color="auto" w:fill="auto"/>
            <w:vAlign w:val="center"/>
            <w:hideMark/>
          </w:tcPr>
          <w:p w14:paraId="7AE2318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28.566 €</w:t>
            </w:r>
          </w:p>
        </w:tc>
        <w:tc>
          <w:tcPr>
            <w:tcW w:w="1134" w:type="dxa"/>
            <w:shd w:val="clear" w:color="auto" w:fill="auto"/>
            <w:vAlign w:val="center"/>
            <w:hideMark/>
          </w:tcPr>
          <w:p w14:paraId="5293EFF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106AFA8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731AE92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28.566 €</w:t>
            </w:r>
          </w:p>
        </w:tc>
      </w:tr>
      <w:tr w:rsidR="00A4063C" w:rsidRPr="00394ACF" w14:paraId="54A499D3" w14:textId="77777777" w:rsidTr="00FE500C">
        <w:trPr>
          <w:cantSplit/>
          <w:trHeight w:val="210"/>
          <w:jc w:val="center"/>
        </w:trPr>
        <w:tc>
          <w:tcPr>
            <w:tcW w:w="1051" w:type="dxa"/>
            <w:shd w:val="clear" w:color="auto" w:fill="auto"/>
            <w:vAlign w:val="center"/>
            <w:hideMark/>
          </w:tcPr>
          <w:p w14:paraId="57597B8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03.1057.002</w:t>
            </w:r>
          </w:p>
        </w:tc>
        <w:tc>
          <w:tcPr>
            <w:tcW w:w="2346" w:type="dxa"/>
            <w:shd w:val="clear" w:color="auto" w:fill="auto"/>
            <w:vAlign w:val="center"/>
            <w:hideMark/>
          </w:tcPr>
          <w:p w14:paraId="1EE418D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ΑΣΤΥΝΟΜΙΚΕΣ ΥΠΗΡΕΣΙΕΣ</w:t>
            </w:r>
          </w:p>
        </w:tc>
        <w:tc>
          <w:tcPr>
            <w:tcW w:w="1134" w:type="dxa"/>
            <w:shd w:val="clear" w:color="auto" w:fill="auto"/>
            <w:vAlign w:val="center"/>
            <w:hideMark/>
          </w:tcPr>
          <w:p w14:paraId="2F990E0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2.197.059 €</w:t>
            </w:r>
          </w:p>
        </w:tc>
        <w:tc>
          <w:tcPr>
            <w:tcW w:w="1134" w:type="dxa"/>
            <w:shd w:val="clear" w:color="auto" w:fill="auto"/>
            <w:vAlign w:val="center"/>
            <w:hideMark/>
          </w:tcPr>
          <w:p w14:paraId="1DBBDEF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9.186 €</w:t>
            </w:r>
          </w:p>
        </w:tc>
        <w:tc>
          <w:tcPr>
            <w:tcW w:w="1985" w:type="dxa"/>
            <w:shd w:val="clear" w:color="auto" w:fill="auto"/>
            <w:vAlign w:val="center"/>
            <w:hideMark/>
          </w:tcPr>
          <w:p w14:paraId="4B64601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3.696 €</w:t>
            </w:r>
          </w:p>
        </w:tc>
        <w:tc>
          <w:tcPr>
            <w:tcW w:w="1417" w:type="dxa"/>
            <w:shd w:val="clear" w:color="auto" w:fill="auto"/>
            <w:vAlign w:val="center"/>
            <w:hideMark/>
          </w:tcPr>
          <w:p w14:paraId="64C780C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2.209.941 €</w:t>
            </w:r>
          </w:p>
        </w:tc>
      </w:tr>
      <w:tr w:rsidR="00A4063C" w:rsidRPr="00394ACF" w14:paraId="39B0F16F" w14:textId="77777777" w:rsidTr="00FE500C">
        <w:trPr>
          <w:cantSplit/>
          <w:trHeight w:val="210"/>
          <w:jc w:val="center"/>
        </w:trPr>
        <w:tc>
          <w:tcPr>
            <w:tcW w:w="1051" w:type="dxa"/>
            <w:shd w:val="clear" w:color="auto" w:fill="auto"/>
            <w:vAlign w:val="center"/>
            <w:hideMark/>
          </w:tcPr>
          <w:p w14:paraId="49AE28B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03.1057.003</w:t>
            </w:r>
          </w:p>
        </w:tc>
        <w:tc>
          <w:tcPr>
            <w:tcW w:w="2346" w:type="dxa"/>
            <w:shd w:val="clear" w:color="auto" w:fill="auto"/>
            <w:vAlign w:val="center"/>
            <w:hideMark/>
          </w:tcPr>
          <w:p w14:paraId="395BDD8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ΑΝΤΕΓΚΛΗΜΑΤΙΚΗ ΠΟΛΙΤΙΚΗ/ΣΩΦΡΟΝΙΣΜΟΣ</w:t>
            </w:r>
          </w:p>
        </w:tc>
        <w:tc>
          <w:tcPr>
            <w:tcW w:w="1134" w:type="dxa"/>
            <w:shd w:val="clear" w:color="auto" w:fill="auto"/>
            <w:vAlign w:val="center"/>
            <w:hideMark/>
          </w:tcPr>
          <w:p w14:paraId="144D511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192.449 €</w:t>
            </w:r>
          </w:p>
        </w:tc>
        <w:tc>
          <w:tcPr>
            <w:tcW w:w="1134" w:type="dxa"/>
            <w:shd w:val="clear" w:color="auto" w:fill="auto"/>
            <w:vAlign w:val="center"/>
            <w:hideMark/>
          </w:tcPr>
          <w:p w14:paraId="752DA8A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814 €</w:t>
            </w:r>
          </w:p>
        </w:tc>
        <w:tc>
          <w:tcPr>
            <w:tcW w:w="1985" w:type="dxa"/>
            <w:shd w:val="clear" w:color="auto" w:fill="auto"/>
            <w:vAlign w:val="center"/>
            <w:hideMark/>
          </w:tcPr>
          <w:p w14:paraId="73AC678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1.000 €</w:t>
            </w:r>
          </w:p>
        </w:tc>
        <w:tc>
          <w:tcPr>
            <w:tcW w:w="1417" w:type="dxa"/>
            <w:shd w:val="clear" w:color="auto" w:fill="auto"/>
            <w:vAlign w:val="center"/>
            <w:hideMark/>
          </w:tcPr>
          <w:p w14:paraId="380BD9D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194.263 €</w:t>
            </w:r>
          </w:p>
        </w:tc>
      </w:tr>
      <w:tr w:rsidR="00A4063C" w:rsidRPr="00394ACF" w14:paraId="744A5E7D" w14:textId="77777777" w:rsidTr="00FE500C">
        <w:trPr>
          <w:cantSplit/>
          <w:trHeight w:val="210"/>
          <w:jc w:val="center"/>
        </w:trPr>
        <w:tc>
          <w:tcPr>
            <w:tcW w:w="1051" w:type="dxa"/>
            <w:shd w:val="clear" w:color="auto" w:fill="auto"/>
            <w:vAlign w:val="center"/>
            <w:hideMark/>
          </w:tcPr>
          <w:p w14:paraId="542B117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09.1057.001</w:t>
            </w:r>
          </w:p>
        </w:tc>
        <w:tc>
          <w:tcPr>
            <w:tcW w:w="2346" w:type="dxa"/>
            <w:shd w:val="clear" w:color="auto" w:fill="auto"/>
            <w:vAlign w:val="center"/>
            <w:hideMark/>
          </w:tcPr>
          <w:p w14:paraId="134A739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ΕΚΠΑΙΔΕΥΣΗ ΕΛΛΗΝΙΚΗΣ ΑΣΤΥΝΟΜΙΑΣ</w:t>
            </w:r>
          </w:p>
        </w:tc>
        <w:tc>
          <w:tcPr>
            <w:tcW w:w="1134" w:type="dxa"/>
            <w:shd w:val="clear" w:color="auto" w:fill="auto"/>
            <w:vAlign w:val="center"/>
            <w:hideMark/>
          </w:tcPr>
          <w:p w14:paraId="2A40AAB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58.601 €</w:t>
            </w:r>
          </w:p>
        </w:tc>
        <w:tc>
          <w:tcPr>
            <w:tcW w:w="1134" w:type="dxa"/>
            <w:shd w:val="clear" w:color="auto" w:fill="auto"/>
            <w:vAlign w:val="center"/>
            <w:hideMark/>
          </w:tcPr>
          <w:p w14:paraId="0DE1FFE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322411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1.132 €</w:t>
            </w:r>
          </w:p>
        </w:tc>
        <w:tc>
          <w:tcPr>
            <w:tcW w:w="1417" w:type="dxa"/>
            <w:shd w:val="clear" w:color="auto" w:fill="auto"/>
            <w:vAlign w:val="center"/>
            <w:hideMark/>
          </w:tcPr>
          <w:p w14:paraId="2CD14B8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59.733 €</w:t>
            </w:r>
          </w:p>
        </w:tc>
      </w:tr>
      <w:tr w:rsidR="00A4063C" w:rsidRPr="00394ACF" w14:paraId="0B4ED920" w14:textId="77777777" w:rsidTr="00FE500C">
        <w:trPr>
          <w:cantSplit/>
          <w:trHeight w:val="420"/>
          <w:jc w:val="center"/>
        </w:trPr>
        <w:tc>
          <w:tcPr>
            <w:tcW w:w="1051" w:type="dxa"/>
            <w:shd w:val="clear" w:color="000000" w:fill="D9D9D9"/>
            <w:vAlign w:val="center"/>
            <w:hideMark/>
          </w:tcPr>
          <w:p w14:paraId="6417DE50"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1060</w:t>
            </w:r>
          </w:p>
        </w:tc>
        <w:tc>
          <w:tcPr>
            <w:tcW w:w="2346" w:type="dxa"/>
            <w:shd w:val="clear" w:color="000000" w:fill="D9D9D9"/>
            <w:vAlign w:val="center"/>
            <w:hideMark/>
          </w:tcPr>
          <w:p w14:paraId="02B89B7A"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ΥΠΟΥΡΓΕΙΟ ΚΛΙΜΑΤΙΚΗΣ ΚΡΙΣΗΣ ΚΑΙ ΠΟΛΙΤΙΚΗΣ ΠΡΟΣΤΑΣΙΑΣ</w:t>
            </w:r>
          </w:p>
        </w:tc>
        <w:tc>
          <w:tcPr>
            <w:tcW w:w="1134" w:type="dxa"/>
            <w:shd w:val="clear" w:color="000000" w:fill="D9D9D9"/>
            <w:vAlign w:val="center"/>
            <w:hideMark/>
          </w:tcPr>
          <w:p w14:paraId="7F3146D2"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856.115 €</w:t>
            </w:r>
          </w:p>
        </w:tc>
        <w:tc>
          <w:tcPr>
            <w:tcW w:w="1134" w:type="dxa"/>
            <w:shd w:val="clear" w:color="000000" w:fill="D9D9D9"/>
            <w:vAlign w:val="center"/>
            <w:hideMark/>
          </w:tcPr>
          <w:p w14:paraId="2076ECA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440.000 €</w:t>
            </w:r>
          </w:p>
        </w:tc>
        <w:tc>
          <w:tcPr>
            <w:tcW w:w="1985" w:type="dxa"/>
            <w:shd w:val="clear" w:color="000000" w:fill="D9D9D9"/>
            <w:vAlign w:val="center"/>
            <w:hideMark/>
          </w:tcPr>
          <w:p w14:paraId="0D610DD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142.000 €</w:t>
            </w:r>
          </w:p>
        </w:tc>
        <w:tc>
          <w:tcPr>
            <w:tcW w:w="1417" w:type="dxa"/>
            <w:shd w:val="clear" w:color="000000" w:fill="D9D9D9"/>
            <w:vAlign w:val="center"/>
            <w:hideMark/>
          </w:tcPr>
          <w:p w14:paraId="5F5CEF22"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1.438.115 €</w:t>
            </w:r>
          </w:p>
        </w:tc>
      </w:tr>
      <w:tr w:rsidR="00A4063C" w:rsidRPr="00394ACF" w14:paraId="0CAAFE58" w14:textId="77777777" w:rsidTr="00FE500C">
        <w:trPr>
          <w:cantSplit/>
          <w:trHeight w:val="630"/>
          <w:jc w:val="center"/>
        </w:trPr>
        <w:tc>
          <w:tcPr>
            <w:tcW w:w="1051" w:type="dxa"/>
            <w:shd w:val="clear" w:color="auto" w:fill="auto"/>
            <w:vAlign w:val="center"/>
            <w:hideMark/>
          </w:tcPr>
          <w:p w14:paraId="6AEC5812"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03.1060.001</w:t>
            </w:r>
          </w:p>
        </w:tc>
        <w:tc>
          <w:tcPr>
            <w:tcW w:w="2346" w:type="dxa"/>
            <w:shd w:val="clear" w:color="auto" w:fill="auto"/>
            <w:vAlign w:val="center"/>
            <w:hideMark/>
          </w:tcPr>
          <w:p w14:paraId="07FB944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ΚΑΙ ΕΠΕΝΔΥΣΕΙΣ ΥΠΟΥΡΓΕΙΟΥ ΚΛΙΜΑΤΙΚΗΣ ΚΡΙΣΗΣ ΚΑΙ ΠΟΛΙΤΙΚΗΣ ΠΡΟΣΤΑΣΙΑΣ</w:t>
            </w:r>
          </w:p>
        </w:tc>
        <w:tc>
          <w:tcPr>
            <w:tcW w:w="1134" w:type="dxa"/>
            <w:shd w:val="clear" w:color="auto" w:fill="auto"/>
            <w:vAlign w:val="center"/>
            <w:hideMark/>
          </w:tcPr>
          <w:p w14:paraId="5973B39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5.726 €</w:t>
            </w:r>
          </w:p>
        </w:tc>
        <w:tc>
          <w:tcPr>
            <w:tcW w:w="1134" w:type="dxa"/>
            <w:shd w:val="clear" w:color="auto" w:fill="auto"/>
            <w:vAlign w:val="center"/>
            <w:hideMark/>
          </w:tcPr>
          <w:p w14:paraId="46BCAAB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1.537 €</w:t>
            </w:r>
          </w:p>
        </w:tc>
        <w:tc>
          <w:tcPr>
            <w:tcW w:w="1985" w:type="dxa"/>
            <w:shd w:val="clear" w:color="auto" w:fill="auto"/>
            <w:vAlign w:val="center"/>
            <w:hideMark/>
          </w:tcPr>
          <w:p w14:paraId="4EEE6E5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28 €</w:t>
            </w:r>
          </w:p>
        </w:tc>
        <w:tc>
          <w:tcPr>
            <w:tcW w:w="1417" w:type="dxa"/>
            <w:shd w:val="clear" w:color="auto" w:fill="auto"/>
            <w:vAlign w:val="center"/>
            <w:hideMark/>
          </w:tcPr>
          <w:p w14:paraId="2C0D135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7.291 €</w:t>
            </w:r>
          </w:p>
        </w:tc>
      </w:tr>
      <w:tr w:rsidR="00A4063C" w:rsidRPr="00394ACF" w14:paraId="2FB4F44D" w14:textId="77777777" w:rsidTr="00FE500C">
        <w:trPr>
          <w:cantSplit/>
          <w:trHeight w:val="210"/>
          <w:jc w:val="center"/>
        </w:trPr>
        <w:tc>
          <w:tcPr>
            <w:tcW w:w="1051" w:type="dxa"/>
            <w:shd w:val="clear" w:color="auto" w:fill="auto"/>
            <w:vAlign w:val="center"/>
            <w:hideMark/>
          </w:tcPr>
          <w:p w14:paraId="16EC295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03.1060.002</w:t>
            </w:r>
          </w:p>
        </w:tc>
        <w:tc>
          <w:tcPr>
            <w:tcW w:w="2346" w:type="dxa"/>
            <w:shd w:val="clear" w:color="auto" w:fill="auto"/>
            <w:vAlign w:val="center"/>
            <w:hideMark/>
          </w:tcPr>
          <w:p w14:paraId="7CFBEC3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ΠΟΛΙΤΙΚΗ ΠΡΟΣΤΑΣΙΑ</w:t>
            </w:r>
          </w:p>
        </w:tc>
        <w:tc>
          <w:tcPr>
            <w:tcW w:w="1134" w:type="dxa"/>
            <w:shd w:val="clear" w:color="auto" w:fill="auto"/>
            <w:vAlign w:val="center"/>
            <w:hideMark/>
          </w:tcPr>
          <w:p w14:paraId="67A1D77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17.745 €</w:t>
            </w:r>
          </w:p>
        </w:tc>
        <w:tc>
          <w:tcPr>
            <w:tcW w:w="1134" w:type="dxa"/>
            <w:shd w:val="clear" w:color="auto" w:fill="auto"/>
            <w:vAlign w:val="center"/>
            <w:hideMark/>
          </w:tcPr>
          <w:p w14:paraId="46D4CAA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93.515 €</w:t>
            </w:r>
          </w:p>
        </w:tc>
        <w:tc>
          <w:tcPr>
            <w:tcW w:w="1985" w:type="dxa"/>
            <w:shd w:val="clear" w:color="auto" w:fill="auto"/>
            <w:vAlign w:val="center"/>
            <w:hideMark/>
          </w:tcPr>
          <w:p w14:paraId="6C6E2B6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83.851 €</w:t>
            </w:r>
          </w:p>
        </w:tc>
        <w:tc>
          <w:tcPr>
            <w:tcW w:w="1417" w:type="dxa"/>
            <w:shd w:val="clear" w:color="auto" w:fill="auto"/>
            <w:vAlign w:val="center"/>
            <w:hideMark/>
          </w:tcPr>
          <w:p w14:paraId="5983C8A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195.111 €</w:t>
            </w:r>
          </w:p>
        </w:tc>
      </w:tr>
      <w:tr w:rsidR="00A4063C" w:rsidRPr="00394ACF" w14:paraId="64D6642B" w14:textId="77777777" w:rsidTr="00FE500C">
        <w:trPr>
          <w:cantSplit/>
          <w:trHeight w:val="420"/>
          <w:jc w:val="center"/>
        </w:trPr>
        <w:tc>
          <w:tcPr>
            <w:tcW w:w="1051" w:type="dxa"/>
            <w:shd w:val="clear" w:color="auto" w:fill="auto"/>
            <w:vAlign w:val="center"/>
            <w:hideMark/>
          </w:tcPr>
          <w:p w14:paraId="4C0CF4B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03.1060.003</w:t>
            </w:r>
          </w:p>
        </w:tc>
        <w:tc>
          <w:tcPr>
            <w:tcW w:w="2346" w:type="dxa"/>
            <w:shd w:val="clear" w:color="auto" w:fill="auto"/>
            <w:vAlign w:val="center"/>
            <w:hideMark/>
          </w:tcPr>
          <w:p w14:paraId="2814893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ΠΥΡΟΣΒΕΣΤΙΚΕΣ ΥΠΗΡΕΣΙΕΣ ΚΑΙ ΑΝΤΙΜΕΤΩΠΙΣΗ ΚΑΤΑΣΤΡΟΦΩΝ</w:t>
            </w:r>
          </w:p>
        </w:tc>
        <w:tc>
          <w:tcPr>
            <w:tcW w:w="1134" w:type="dxa"/>
            <w:shd w:val="clear" w:color="auto" w:fill="auto"/>
            <w:vAlign w:val="center"/>
            <w:hideMark/>
          </w:tcPr>
          <w:p w14:paraId="36E0C51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813.599 €</w:t>
            </w:r>
          </w:p>
        </w:tc>
        <w:tc>
          <w:tcPr>
            <w:tcW w:w="1134" w:type="dxa"/>
            <w:shd w:val="clear" w:color="auto" w:fill="auto"/>
            <w:vAlign w:val="center"/>
            <w:hideMark/>
          </w:tcPr>
          <w:p w14:paraId="67F4FEF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203.702 €</w:t>
            </w:r>
          </w:p>
        </w:tc>
        <w:tc>
          <w:tcPr>
            <w:tcW w:w="1985" w:type="dxa"/>
            <w:shd w:val="clear" w:color="auto" w:fill="auto"/>
            <w:vAlign w:val="center"/>
            <w:hideMark/>
          </w:tcPr>
          <w:p w14:paraId="3CE5D86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54.187 €</w:t>
            </w:r>
          </w:p>
        </w:tc>
        <w:tc>
          <w:tcPr>
            <w:tcW w:w="1417" w:type="dxa"/>
            <w:shd w:val="clear" w:color="auto" w:fill="auto"/>
            <w:vAlign w:val="center"/>
            <w:hideMark/>
          </w:tcPr>
          <w:p w14:paraId="58AC4B6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1.071.488 €</w:t>
            </w:r>
          </w:p>
        </w:tc>
      </w:tr>
      <w:tr w:rsidR="00A4063C" w:rsidRPr="00394ACF" w14:paraId="48384221" w14:textId="77777777" w:rsidTr="00FE500C">
        <w:trPr>
          <w:cantSplit/>
          <w:trHeight w:val="210"/>
          <w:jc w:val="center"/>
        </w:trPr>
        <w:tc>
          <w:tcPr>
            <w:tcW w:w="1051" w:type="dxa"/>
            <w:shd w:val="clear" w:color="auto" w:fill="auto"/>
            <w:vAlign w:val="center"/>
            <w:hideMark/>
          </w:tcPr>
          <w:p w14:paraId="0FCDC21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09.1060.001</w:t>
            </w:r>
          </w:p>
        </w:tc>
        <w:tc>
          <w:tcPr>
            <w:tcW w:w="2346" w:type="dxa"/>
            <w:shd w:val="clear" w:color="auto" w:fill="auto"/>
            <w:vAlign w:val="center"/>
            <w:hideMark/>
          </w:tcPr>
          <w:p w14:paraId="639B47C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ΕΚΠΑΙΔΕΥΣΗ ΠΥΡΟΣΒΕΣΤΙΚΟΥ ΣΩΜΑΤΟΣ</w:t>
            </w:r>
          </w:p>
        </w:tc>
        <w:tc>
          <w:tcPr>
            <w:tcW w:w="1134" w:type="dxa"/>
            <w:shd w:val="clear" w:color="auto" w:fill="auto"/>
            <w:vAlign w:val="center"/>
            <w:hideMark/>
          </w:tcPr>
          <w:p w14:paraId="571DF80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8.288 €</w:t>
            </w:r>
          </w:p>
        </w:tc>
        <w:tc>
          <w:tcPr>
            <w:tcW w:w="1134" w:type="dxa"/>
            <w:shd w:val="clear" w:color="auto" w:fill="auto"/>
            <w:vAlign w:val="center"/>
            <w:hideMark/>
          </w:tcPr>
          <w:p w14:paraId="33C0469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3.686 €</w:t>
            </w:r>
          </w:p>
        </w:tc>
        <w:tc>
          <w:tcPr>
            <w:tcW w:w="1985" w:type="dxa"/>
            <w:shd w:val="clear" w:color="auto" w:fill="auto"/>
            <w:vAlign w:val="center"/>
            <w:hideMark/>
          </w:tcPr>
          <w:p w14:paraId="7260A48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3.933 €</w:t>
            </w:r>
          </w:p>
        </w:tc>
        <w:tc>
          <w:tcPr>
            <w:tcW w:w="1417" w:type="dxa"/>
            <w:shd w:val="clear" w:color="auto" w:fill="auto"/>
            <w:vAlign w:val="center"/>
            <w:hideMark/>
          </w:tcPr>
          <w:p w14:paraId="0093FC0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15.907 €</w:t>
            </w:r>
          </w:p>
        </w:tc>
      </w:tr>
      <w:tr w:rsidR="00A4063C" w:rsidRPr="00394ACF" w14:paraId="068CC7A8" w14:textId="77777777" w:rsidTr="00FE500C">
        <w:trPr>
          <w:cantSplit/>
          <w:trHeight w:val="420"/>
          <w:jc w:val="center"/>
        </w:trPr>
        <w:tc>
          <w:tcPr>
            <w:tcW w:w="1051" w:type="dxa"/>
            <w:shd w:val="clear" w:color="auto" w:fill="auto"/>
            <w:vAlign w:val="center"/>
            <w:hideMark/>
          </w:tcPr>
          <w:p w14:paraId="314DBE9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10.1060.001</w:t>
            </w:r>
          </w:p>
        </w:tc>
        <w:tc>
          <w:tcPr>
            <w:tcW w:w="2346" w:type="dxa"/>
            <w:shd w:val="clear" w:color="auto" w:fill="auto"/>
            <w:vAlign w:val="center"/>
            <w:hideMark/>
          </w:tcPr>
          <w:p w14:paraId="0E945FB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ΑΝΤΙΜΕΤΩΠΙΣΗ ΕΠΙΠΤΩΣΕΩΝ ΦΥΣΙΚΩΝ ΚΑΤΑΣΤΡΟΦΩΝ ΚΑΙ ΚΡΑΤΙΚΗ ΑΡΩΓΗ</w:t>
            </w:r>
          </w:p>
        </w:tc>
        <w:tc>
          <w:tcPr>
            <w:tcW w:w="1134" w:type="dxa"/>
            <w:shd w:val="clear" w:color="auto" w:fill="auto"/>
            <w:vAlign w:val="center"/>
            <w:hideMark/>
          </w:tcPr>
          <w:p w14:paraId="6D28112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10.757 €</w:t>
            </w:r>
          </w:p>
        </w:tc>
        <w:tc>
          <w:tcPr>
            <w:tcW w:w="1134" w:type="dxa"/>
            <w:shd w:val="clear" w:color="auto" w:fill="auto"/>
            <w:vAlign w:val="center"/>
            <w:hideMark/>
          </w:tcPr>
          <w:p w14:paraId="35269E5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137.561 €</w:t>
            </w:r>
          </w:p>
        </w:tc>
        <w:tc>
          <w:tcPr>
            <w:tcW w:w="1985" w:type="dxa"/>
            <w:shd w:val="clear" w:color="auto" w:fill="auto"/>
            <w:vAlign w:val="center"/>
            <w:hideMark/>
          </w:tcPr>
          <w:p w14:paraId="2595710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711D27C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148.318 €</w:t>
            </w:r>
          </w:p>
        </w:tc>
      </w:tr>
      <w:tr w:rsidR="00A4063C" w:rsidRPr="00394ACF" w14:paraId="3B6F67FA" w14:textId="77777777" w:rsidTr="00FE500C">
        <w:trPr>
          <w:cantSplit/>
          <w:trHeight w:val="210"/>
          <w:jc w:val="center"/>
        </w:trPr>
        <w:tc>
          <w:tcPr>
            <w:tcW w:w="1051" w:type="dxa"/>
            <w:shd w:val="clear" w:color="000000" w:fill="D9D9D9"/>
            <w:vAlign w:val="center"/>
            <w:hideMark/>
          </w:tcPr>
          <w:p w14:paraId="61D425F6"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1901</w:t>
            </w:r>
          </w:p>
        </w:tc>
        <w:tc>
          <w:tcPr>
            <w:tcW w:w="2346" w:type="dxa"/>
            <w:shd w:val="clear" w:color="000000" w:fill="D9D9D9"/>
            <w:vAlign w:val="center"/>
            <w:hideMark/>
          </w:tcPr>
          <w:p w14:paraId="22C13578"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ΑΠΟΚΕΝΤΡΩΜΕΝΗ ΔΙΟΙΚΗΣΗ ΑΤΤΙΚΗΣ</w:t>
            </w:r>
          </w:p>
        </w:tc>
        <w:tc>
          <w:tcPr>
            <w:tcW w:w="1134" w:type="dxa"/>
            <w:shd w:val="clear" w:color="000000" w:fill="D9D9D9"/>
            <w:vAlign w:val="center"/>
            <w:hideMark/>
          </w:tcPr>
          <w:p w14:paraId="692D1408"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14.380 €</w:t>
            </w:r>
          </w:p>
        </w:tc>
        <w:tc>
          <w:tcPr>
            <w:tcW w:w="1134" w:type="dxa"/>
            <w:shd w:val="clear" w:color="000000" w:fill="D9D9D9"/>
            <w:vAlign w:val="center"/>
            <w:hideMark/>
          </w:tcPr>
          <w:p w14:paraId="01667623"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shd w:val="clear" w:color="000000" w:fill="D9D9D9"/>
            <w:vAlign w:val="center"/>
            <w:hideMark/>
          </w:tcPr>
          <w:p w14:paraId="52CEE086"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417" w:type="dxa"/>
            <w:shd w:val="clear" w:color="000000" w:fill="D9D9D9"/>
            <w:vAlign w:val="center"/>
            <w:hideMark/>
          </w:tcPr>
          <w:p w14:paraId="65885D47"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14.380 €</w:t>
            </w:r>
          </w:p>
        </w:tc>
      </w:tr>
      <w:tr w:rsidR="00A4063C" w:rsidRPr="00394ACF" w14:paraId="4E1C8D7A" w14:textId="77777777" w:rsidTr="00FE500C">
        <w:trPr>
          <w:cantSplit/>
          <w:trHeight w:val="210"/>
          <w:jc w:val="center"/>
        </w:trPr>
        <w:tc>
          <w:tcPr>
            <w:tcW w:w="1051" w:type="dxa"/>
            <w:shd w:val="clear" w:color="auto" w:fill="auto"/>
            <w:vAlign w:val="center"/>
            <w:hideMark/>
          </w:tcPr>
          <w:p w14:paraId="3BF4ACF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01.1901.001</w:t>
            </w:r>
          </w:p>
        </w:tc>
        <w:tc>
          <w:tcPr>
            <w:tcW w:w="2346" w:type="dxa"/>
            <w:shd w:val="clear" w:color="auto" w:fill="auto"/>
            <w:vAlign w:val="center"/>
            <w:hideMark/>
          </w:tcPr>
          <w:p w14:paraId="349CAD6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Α.Δ.Α.</w:t>
            </w:r>
          </w:p>
        </w:tc>
        <w:tc>
          <w:tcPr>
            <w:tcW w:w="1134" w:type="dxa"/>
            <w:shd w:val="clear" w:color="auto" w:fill="auto"/>
            <w:vAlign w:val="center"/>
            <w:hideMark/>
          </w:tcPr>
          <w:p w14:paraId="79B596F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7.130 €</w:t>
            </w:r>
          </w:p>
        </w:tc>
        <w:tc>
          <w:tcPr>
            <w:tcW w:w="1134" w:type="dxa"/>
            <w:shd w:val="clear" w:color="auto" w:fill="auto"/>
            <w:vAlign w:val="center"/>
            <w:hideMark/>
          </w:tcPr>
          <w:p w14:paraId="466E862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191D9E5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205092C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7.130 €</w:t>
            </w:r>
          </w:p>
        </w:tc>
      </w:tr>
      <w:tr w:rsidR="00A4063C" w:rsidRPr="00394ACF" w14:paraId="0065F133" w14:textId="77777777" w:rsidTr="00FE500C">
        <w:trPr>
          <w:cantSplit/>
          <w:trHeight w:val="420"/>
          <w:jc w:val="center"/>
        </w:trPr>
        <w:tc>
          <w:tcPr>
            <w:tcW w:w="1051" w:type="dxa"/>
            <w:shd w:val="clear" w:color="auto" w:fill="auto"/>
            <w:vAlign w:val="center"/>
            <w:hideMark/>
          </w:tcPr>
          <w:p w14:paraId="386C545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01.1901.002</w:t>
            </w:r>
          </w:p>
        </w:tc>
        <w:tc>
          <w:tcPr>
            <w:tcW w:w="2346" w:type="dxa"/>
            <w:shd w:val="clear" w:color="auto" w:fill="auto"/>
            <w:vAlign w:val="center"/>
            <w:hideMark/>
          </w:tcPr>
          <w:p w14:paraId="2EEC715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ΘΕΜΑΤΩΝ ΑΛΛΟΔΑΠΩΝ ΚΑΙ ΑΣΤΙΚΗΣ ΚΑΤΑΣΤΑΣΗΣ Α.Δ.Α.</w:t>
            </w:r>
          </w:p>
        </w:tc>
        <w:tc>
          <w:tcPr>
            <w:tcW w:w="1134" w:type="dxa"/>
            <w:shd w:val="clear" w:color="auto" w:fill="auto"/>
            <w:vAlign w:val="center"/>
            <w:hideMark/>
          </w:tcPr>
          <w:p w14:paraId="3FC4C10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4.379 €</w:t>
            </w:r>
          </w:p>
        </w:tc>
        <w:tc>
          <w:tcPr>
            <w:tcW w:w="1134" w:type="dxa"/>
            <w:shd w:val="clear" w:color="auto" w:fill="auto"/>
            <w:vAlign w:val="center"/>
            <w:hideMark/>
          </w:tcPr>
          <w:p w14:paraId="7A2D88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3FEBAB9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F22AD7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4.379 €</w:t>
            </w:r>
          </w:p>
        </w:tc>
      </w:tr>
      <w:tr w:rsidR="00A4063C" w:rsidRPr="00394ACF" w14:paraId="79CC1ED7" w14:textId="77777777" w:rsidTr="00FE500C">
        <w:trPr>
          <w:cantSplit/>
          <w:trHeight w:val="210"/>
          <w:jc w:val="center"/>
        </w:trPr>
        <w:tc>
          <w:tcPr>
            <w:tcW w:w="1051" w:type="dxa"/>
            <w:shd w:val="clear" w:color="auto" w:fill="auto"/>
            <w:vAlign w:val="center"/>
            <w:hideMark/>
          </w:tcPr>
          <w:p w14:paraId="61E2D6C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05.1901.001</w:t>
            </w:r>
          </w:p>
        </w:tc>
        <w:tc>
          <w:tcPr>
            <w:tcW w:w="2346" w:type="dxa"/>
            <w:shd w:val="clear" w:color="auto" w:fill="auto"/>
            <w:vAlign w:val="center"/>
            <w:hideMark/>
          </w:tcPr>
          <w:p w14:paraId="5656019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ΦΥΣΙΚΟ ΚΑΙ ΑΣΤΙΚΟ ΠΕΡΙΒΑΛΛΟΝ Α.Δ.Α.</w:t>
            </w:r>
          </w:p>
        </w:tc>
        <w:tc>
          <w:tcPr>
            <w:tcW w:w="1134" w:type="dxa"/>
            <w:shd w:val="clear" w:color="auto" w:fill="auto"/>
            <w:vAlign w:val="center"/>
            <w:hideMark/>
          </w:tcPr>
          <w:p w14:paraId="3C888ED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2.872 €</w:t>
            </w:r>
          </w:p>
        </w:tc>
        <w:tc>
          <w:tcPr>
            <w:tcW w:w="1134" w:type="dxa"/>
            <w:shd w:val="clear" w:color="auto" w:fill="auto"/>
            <w:vAlign w:val="center"/>
            <w:hideMark/>
          </w:tcPr>
          <w:p w14:paraId="5DDBDD4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56C43E6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19B31A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2.872 €</w:t>
            </w:r>
          </w:p>
        </w:tc>
      </w:tr>
      <w:tr w:rsidR="00A4063C" w:rsidRPr="00394ACF" w14:paraId="607BEF5E" w14:textId="77777777" w:rsidTr="00FE500C">
        <w:trPr>
          <w:cantSplit/>
          <w:trHeight w:val="420"/>
          <w:jc w:val="center"/>
        </w:trPr>
        <w:tc>
          <w:tcPr>
            <w:tcW w:w="1051" w:type="dxa"/>
            <w:shd w:val="clear" w:color="000000" w:fill="D9D9D9"/>
            <w:vAlign w:val="center"/>
            <w:hideMark/>
          </w:tcPr>
          <w:p w14:paraId="26C81C23"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1902</w:t>
            </w:r>
          </w:p>
        </w:tc>
        <w:tc>
          <w:tcPr>
            <w:tcW w:w="2346" w:type="dxa"/>
            <w:shd w:val="clear" w:color="000000" w:fill="D9D9D9"/>
            <w:vAlign w:val="center"/>
            <w:hideMark/>
          </w:tcPr>
          <w:p w14:paraId="65EC3245"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ΑΠΟΚΕΝΤΡΩΜΕΝΗ ΔΙΟΙΚΗΣΗ ΘΕΣΣΑΛΙΑΣ - ΣΤΕΡΕΑΣ ΕΛΛΑΔΑΣ</w:t>
            </w:r>
          </w:p>
        </w:tc>
        <w:tc>
          <w:tcPr>
            <w:tcW w:w="1134" w:type="dxa"/>
            <w:shd w:val="clear" w:color="000000" w:fill="D9D9D9"/>
            <w:vAlign w:val="center"/>
            <w:hideMark/>
          </w:tcPr>
          <w:p w14:paraId="31516CD1"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11.142 €</w:t>
            </w:r>
          </w:p>
        </w:tc>
        <w:tc>
          <w:tcPr>
            <w:tcW w:w="1134" w:type="dxa"/>
            <w:shd w:val="clear" w:color="000000" w:fill="D9D9D9"/>
            <w:vAlign w:val="center"/>
            <w:hideMark/>
          </w:tcPr>
          <w:p w14:paraId="1BC8490C"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shd w:val="clear" w:color="000000" w:fill="D9D9D9"/>
            <w:vAlign w:val="center"/>
            <w:hideMark/>
          </w:tcPr>
          <w:p w14:paraId="6DA710E5"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417" w:type="dxa"/>
            <w:shd w:val="clear" w:color="000000" w:fill="D9D9D9"/>
            <w:vAlign w:val="center"/>
            <w:hideMark/>
          </w:tcPr>
          <w:p w14:paraId="3D402298"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11.142 €</w:t>
            </w:r>
          </w:p>
        </w:tc>
      </w:tr>
      <w:tr w:rsidR="00A4063C" w:rsidRPr="00394ACF" w14:paraId="378806A2" w14:textId="77777777" w:rsidTr="00FE500C">
        <w:trPr>
          <w:cantSplit/>
          <w:trHeight w:val="210"/>
          <w:jc w:val="center"/>
        </w:trPr>
        <w:tc>
          <w:tcPr>
            <w:tcW w:w="1051" w:type="dxa"/>
            <w:shd w:val="clear" w:color="auto" w:fill="auto"/>
            <w:vAlign w:val="center"/>
            <w:hideMark/>
          </w:tcPr>
          <w:p w14:paraId="0D9AD44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01.1902.001</w:t>
            </w:r>
          </w:p>
        </w:tc>
        <w:tc>
          <w:tcPr>
            <w:tcW w:w="2346" w:type="dxa"/>
            <w:shd w:val="clear" w:color="auto" w:fill="auto"/>
            <w:vAlign w:val="center"/>
            <w:hideMark/>
          </w:tcPr>
          <w:p w14:paraId="07CF37B6"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Α.Δ.Θ.Σ.Ε.</w:t>
            </w:r>
          </w:p>
        </w:tc>
        <w:tc>
          <w:tcPr>
            <w:tcW w:w="1134" w:type="dxa"/>
            <w:shd w:val="clear" w:color="auto" w:fill="auto"/>
            <w:vAlign w:val="center"/>
            <w:hideMark/>
          </w:tcPr>
          <w:p w14:paraId="3398FB4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5.690 €</w:t>
            </w:r>
          </w:p>
        </w:tc>
        <w:tc>
          <w:tcPr>
            <w:tcW w:w="1134" w:type="dxa"/>
            <w:shd w:val="clear" w:color="auto" w:fill="auto"/>
            <w:vAlign w:val="center"/>
            <w:hideMark/>
          </w:tcPr>
          <w:p w14:paraId="0EEC116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1163A07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3610A49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5.690 €</w:t>
            </w:r>
          </w:p>
        </w:tc>
      </w:tr>
      <w:tr w:rsidR="00A4063C" w:rsidRPr="00394ACF" w14:paraId="3AB9797F" w14:textId="77777777" w:rsidTr="00FE500C">
        <w:trPr>
          <w:cantSplit/>
          <w:trHeight w:val="420"/>
          <w:jc w:val="center"/>
        </w:trPr>
        <w:tc>
          <w:tcPr>
            <w:tcW w:w="1051" w:type="dxa"/>
            <w:shd w:val="clear" w:color="auto" w:fill="auto"/>
            <w:vAlign w:val="center"/>
            <w:hideMark/>
          </w:tcPr>
          <w:p w14:paraId="7873486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01.1902.002</w:t>
            </w:r>
          </w:p>
        </w:tc>
        <w:tc>
          <w:tcPr>
            <w:tcW w:w="2346" w:type="dxa"/>
            <w:shd w:val="clear" w:color="auto" w:fill="auto"/>
            <w:vAlign w:val="center"/>
            <w:hideMark/>
          </w:tcPr>
          <w:p w14:paraId="79AD38D5"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ΘΕΜΑΤΩΝ ΑΛΛΟΔΑΠΩΝ ΚΑΙ ΑΣΤΙΚΗΣ ΚΑΤΑΣΤΑΣΗΣ Α.Δ.Θ.Σ.Ε.</w:t>
            </w:r>
          </w:p>
        </w:tc>
        <w:tc>
          <w:tcPr>
            <w:tcW w:w="1134" w:type="dxa"/>
            <w:shd w:val="clear" w:color="auto" w:fill="auto"/>
            <w:vAlign w:val="center"/>
            <w:hideMark/>
          </w:tcPr>
          <w:p w14:paraId="056A442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2.886 €</w:t>
            </w:r>
          </w:p>
        </w:tc>
        <w:tc>
          <w:tcPr>
            <w:tcW w:w="1134" w:type="dxa"/>
            <w:shd w:val="clear" w:color="auto" w:fill="auto"/>
            <w:vAlign w:val="center"/>
            <w:hideMark/>
          </w:tcPr>
          <w:p w14:paraId="58C67BD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5189CCD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2E84E10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2.886 €</w:t>
            </w:r>
          </w:p>
        </w:tc>
      </w:tr>
      <w:tr w:rsidR="00A4063C" w:rsidRPr="00394ACF" w14:paraId="7D9CE92A" w14:textId="77777777" w:rsidTr="00FE500C">
        <w:trPr>
          <w:cantSplit/>
          <w:trHeight w:val="210"/>
          <w:jc w:val="center"/>
        </w:trPr>
        <w:tc>
          <w:tcPr>
            <w:tcW w:w="1051" w:type="dxa"/>
            <w:shd w:val="clear" w:color="auto" w:fill="auto"/>
            <w:vAlign w:val="center"/>
            <w:hideMark/>
          </w:tcPr>
          <w:p w14:paraId="7876E09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05.1902.001</w:t>
            </w:r>
          </w:p>
        </w:tc>
        <w:tc>
          <w:tcPr>
            <w:tcW w:w="2346" w:type="dxa"/>
            <w:shd w:val="clear" w:color="auto" w:fill="auto"/>
            <w:vAlign w:val="center"/>
            <w:hideMark/>
          </w:tcPr>
          <w:p w14:paraId="0391F5F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ΦΥΣΙΚΟ ΚΑΙ ΑΣΤΙΚΟ ΠΕΡΙΒΑΛΛΟΝ Α.Δ.Θ.Σ.Ε.</w:t>
            </w:r>
          </w:p>
        </w:tc>
        <w:tc>
          <w:tcPr>
            <w:tcW w:w="1134" w:type="dxa"/>
            <w:shd w:val="clear" w:color="auto" w:fill="auto"/>
            <w:vAlign w:val="center"/>
            <w:hideMark/>
          </w:tcPr>
          <w:p w14:paraId="1194DB5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2.566 €</w:t>
            </w:r>
          </w:p>
        </w:tc>
        <w:tc>
          <w:tcPr>
            <w:tcW w:w="1134" w:type="dxa"/>
            <w:shd w:val="clear" w:color="auto" w:fill="auto"/>
            <w:vAlign w:val="center"/>
            <w:hideMark/>
          </w:tcPr>
          <w:p w14:paraId="16AE982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4310E9D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7AE6A6E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2.566 €</w:t>
            </w:r>
          </w:p>
        </w:tc>
      </w:tr>
      <w:tr w:rsidR="00A4063C" w:rsidRPr="00394ACF" w14:paraId="5A1EA9C3" w14:textId="77777777" w:rsidTr="00FE500C">
        <w:trPr>
          <w:cantSplit/>
          <w:trHeight w:val="420"/>
          <w:jc w:val="center"/>
        </w:trPr>
        <w:tc>
          <w:tcPr>
            <w:tcW w:w="1051" w:type="dxa"/>
            <w:shd w:val="clear" w:color="000000" w:fill="D9D9D9"/>
            <w:vAlign w:val="center"/>
            <w:hideMark/>
          </w:tcPr>
          <w:p w14:paraId="07A9F1F6"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1903</w:t>
            </w:r>
          </w:p>
        </w:tc>
        <w:tc>
          <w:tcPr>
            <w:tcW w:w="2346" w:type="dxa"/>
            <w:shd w:val="clear" w:color="000000" w:fill="D9D9D9"/>
            <w:vAlign w:val="center"/>
            <w:hideMark/>
          </w:tcPr>
          <w:p w14:paraId="1DB42E08"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ΑΠΟΚΕΝΤΡΩΜΕΝΗ ΔΙΟΙΚΗΣΗ ΗΠΕΙΡΟΥ - ΔΥΤΙΚΗΣ ΜΑΚΕΔΟΝΙΑΣ</w:t>
            </w:r>
          </w:p>
        </w:tc>
        <w:tc>
          <w:tcPr>
            <w:tcW w:w="1134" w:type="dxa"/>
            <w:shd w:val="clear" w:color="000000" w:fill="D9D9D9"/>
            <w:vAlign w:val="center"/>
            <w:hideMark/>
          </w:tcPr>
          <w:p w14:paraId="24569D35"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10.981 €</w:t>
            </w:r>
          </w:p>
        </w:tc>
        <w:tc>
          <w:tcPr>
            <w:tcW w:w="1134" w:type="dxa"/>
            <w:shd w:val="clear" w:color="000000" w:fill="D9D9D9"/>
            <w:vAlign w:val="center"/>
            <w:hideMark/>
          </w:tcPr>
          <w:p w14:paraId="29D9CBDA"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shd w:val="clear" w:color="000000" w:fill="D9D9D9"/>
            <w:vAlign w:val="center"/>
            <w:hideMark/>
          </w:tcPr>
          <w:p w14:paraId="236E3C9E"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417" w:type="dxa"/>
            <w:shd w:val="clear" w:color="000000" w:fill="D9D9D9"/>
            <w:vAlign w:val="center"/>
            <w:hideMark/>
          </w:tcPr>
          <w:p w14:paraId="57184BBE"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10.981 €</w:t>
            </w:r>
          </w:p>
        </w:tc>
      </w:tr>
      <w:tr w:rsidR="00A4063C" w:rsidRPr="00394ACF" w14:paraId="097DD202" w14:textId="77777777" w:rsidTr="00FE500C">
        <w:trPr>
          <w:cantSplit/>
          <w:trHeight w:val="210"/>
          <w:jc w:val="center"/>
        </w:trPr>
        <w:tc>
          <w:tcPr>
            <w:tcW w:w="1051" w:type="dxa"/>
            <w:shd w:val="clear" w:color="auto" w:fill="auto"/>
            <w:vAlign w:val="center"/>
            <w:hideMark/>
          </w:tcPr>
          <w:p w14:paraId="656393B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01.1903.001</w:t>
            </w:r>
          </w:p>
        </w:tc>
        <w:tc>
          <w:tcPr>
            <w:tcW w:w="2346" w:type="dxa"/>
            <w:shd w:val="clear" w:color="auto" w:fill="auto"/>
            <w:vAlign w:val="center"/>
            <w:hideMark/>
          </w:tcPr>
          <w:p w14:paraId="38262F8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Α.Δ.Η.Δ.Μ.</w:t>
            </w:r>
          </w:p>
        </w:tc>
        <w:tc>
          <w:tcPr>
            <w:tcW w:w="1134" w:type="dxa"/>
            <w:shd w:val="clear" w:color="auto" w:fill="auto"/>
            <w:vAlign w:val="center"/>
            <w:hideMark/>
          </w:tcPr>
          <w:p w14:paraId="2BF9AD9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5.421 €</w:t>
            </w:r>
          </w:p>
        </w:tc>
        <w:tc>
          <w:tcPr>
            <w:tcW w:w="1134" w:type="dxa"/>
            <w:shd w:val="clear" w:color="auto" w:fill="auto"/>
            <w:vAlign w:val="center"/>
            <w:hideMark/>
          </w:tcPr>
          <w:p w14:paraId="2485ADD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376AA9C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11FF481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5.421 €</w:t>
            </w:r>
          </w:p>
        </w:tc>
      </w:tr>
      <w:tr w:rsidR="00A4063C" w:rsidRPr="00394ACF" w14:paraId="0BBFD73C" w14:textId="77777777" w:rsidTr="00FE500C">
        <w:trPr>
          <w:cantSplit/>
          <w:trHeight w:val="420"/>
          <w:jc w:val="center"/>
        </w:trPr>
        <w:tc>
          <w:tcPr>
            <w:tcW w:w="1051" w:type="dxa"/>
            <w:shd w:val="clear" w:color="auto" w:fill="auto"/>
            <w:vAlign w:val="center"/>
            <w:hideMark/>
          </w:tcPr>
          <w:p w14:paraId="3AEE51E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01.1903.002</w:t>
            </w:r>
          </w:p>
        </w:tc>
        <w:tc>
          <w:tcPr>
            <w:tcW w:w="2346" w:type="dxa"/>
            <w:shd w:val="clear" w:color="auto" w:fill="auto"/>
            <w:vAlign w:val="center"/>
            <w:hideMark/>
          </w:tcPr>
          <w:p w14:paraId="63C9913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ΘΕΜΑΤΩΝ ΑΛΛΟΔΑΠΩΝ ΚΑΙ ΑΣΤΙΚΗΣ ΚΑΤΑΣΤΑΣΗΣ Α.Δ.Η.Δ.Μ.</w:t>
            </w:r>
          </w:p>
        </w:tc>
        <w:tc>
          <w:tcPr>
            <w:tcW w:w="1134" w:type="dxa"/>
            <w:shd w:val="clear" w:color="auto" w:fill="auto"/>
            <w:vAlign w:val="center"/>
            <w:hideMark/>
          </w:tcPr>
          <w:p w14:paraId="46D5CE7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1.660 €</w:t>
            </w:r>
          </w:p>
        </w:tc>
        <w:tc>
          <w:tcPr>
            <w:tcW w:w="1134" w:type="dxa"/>
            <w:shd w:val="clear" w:color="auto" w:fill="auto"/>
            <w:vAlign w:val="center"/>
            <w:hideMark/>
          </w:tcPr>
          <w:p w14:paraId="135D938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07F0762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2EF1C28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1.660 €</w:t>
            </w:r>
          </w:p>
        </w:tc>
      </w:tr>
      <w:tr w:rsidR="00A4063C" w:rsidRPr="00394ACF" w14:paraId="3C0B59B2" w14:textId="77777777" w:rsidTr="00FE500C">
        <w:trPr>
          <w:cantSplit/>
          <w:trHeight w:val="210"/>
          <w:jc w:val="center"/>
        </w:trPr>
        <w:tc>
          <w:tcPr>
            <w:tcW w:w="1051" w:type="dxa"/>
            <w:shd w:val="clear" w:color="auto" w:fill="auto"/>
            <w:vAlign w:val="center"/>
            <w:hideMark/>
          </w:tcPr>
          <w:p w14:paraId="59B0E2C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05.1903.001</w:t>
            </w:r>
          </w:p>
        </w:tc>
        <w:tc>
          <w:tcPr>
            <w:tcW w:w="2346" w:type="dxa"/>
            <w:shd w:val="clear" w:color="auto" w:fill="auto"/>
            <w:vAlign w:val="center"/>
            <w:hideMark/>
          </w:tcPr>
          <w:p w14:paraId="71F7C44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ΦΥΣΙΚΟ ΚΑΙ ΑΣΤΙΚΟ ΠΕΡΙΒΑΛΛΟΝ Α.Δ.Η.Δ.Μ.</w:t>
            </w:r>
          </w:p>
        </w:tc>
        <w:tc>
          <w:tcPr>
            <w:tcW w:w="1134" w:type="dxa"/>
            <w:shd w:val="clear" w:color="auto" w:fill="auto"/>
            <w:vAlign w:val="center"/>
            <w:hideMark/>
          </w:tcPr>
          <w:p w14:paraId="4932B50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3.900 €</w:t>
            </w:r>
          </w:p>
        </w:tc>
        <w:tc>
          <w:tcPr>
            <w:tcW w:w="1134" w:type="dxa"/>
            <w:shd w:val="clear" w:color="auto" w:fill="auto"/>
            <w:vAlign w:val="center"/>
            <w:hideMark/>
          </w:tcPr>
          <w:p w14:paraId="3957E5D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7C1A806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1FBD4BA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3.900 €</w:t>
            </w:r>
          </w:p>
        </w:tc>
      </w:tr>
      <w:tr w:rsidR="00A4063C" w:rsidRPr="00394ACF" w14:paraId="06009C15" w14:textId="77777777" w:rsidTr="00FE500C">
        <w:trPr>
          <w:cantSplit/>
          <w:trHeight w:val="420"/>
          <w:jc w:val="center"/>
        </w:trPr>
        <w:tc>
          <w:tcPr>
            <w:tcW w:w="1051" w:type="dxa"/>
            <w:shd w:val="clear" w:color="000000" w:fill="D9D9D9"/>
            <w:vAlign w:val="center"/>
            <w:hideMark/>
          </w:tcPr>
          <w:p w14:paraId="1A7CE552"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1904</w:t>
            </w:r>
          </w:p>
        </w:tc>
        <w:tc>
          <w:tcPr>
            <w:tcW w:w="2346" w:type="dxa"/>
            <w:shd w:val="clear" w:color="000000" w:fill="D9D9D9"/>
            <w:vAlign w:val="center"/>
            <w:hideMark/>
          </w:tcPr>
          <w:p w14:paraId="44764498"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ΑΠΟΚΕΝΤΡΩΜΕΝΗ ΔΙΟΙΚΗΣΗ ΠΕΛΟΠΟΝΝΗΣΟΥ - ΔΥΤΙΚΗΣ ΕΛΛΑΔΑΣ ΚΑΙ ΙΟΝΙΟΥ</w:t>
            </w:r>
          </w:p>
        </w:tc>
        <w:tc>
          <w:tcPr>
            <w:tcW w:w="1134" w:type="dxa"/>
            <w:shd w:val="clear" w:color="000000" w:fill="D9D9D9"/>
            <w:vAlign w:val="center"/>
            <w:hideMark/>
          </w:tcPr>
          <w:p w14:paraId="083251D7"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15.556 €</w:t>
            </w:r>
          </w:p>
        </w:tc>
        <w:tc>
          <w:tcPr>
            <w:tcW w:w="1134" w:type="dxa"/>
            <w:shd w:val="clear" w:color="000000" w:fill="D9D9D9"/>
            <w:vAlign w:val="center"/>
            <w:hideMark/>
          </w:tcPr>
          <w:p w14:paraId="0D7A57A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shd w:val="clear" w:color="000000" w:fill="D9D9D9"/>
            <w:vAlign w:val="center"/>
            <w:hideMark/>
          </w:tcPr>
          <w:p w14:paraId="29829F5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417" w:type="dxa"/>
            <w:shd w:val="clear" w:color="000000" w:fill="D9D9D9"/>
            <w:vAlign w:val="center"/>
            <w:hideMark/>
          </w:tcPr>
          <w:p w14:paraId="1328242D"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15.556 €</w:t>
            </w:r>
          </w:p>
        </w:tc>
      </w:tr>
      <w:tr w:rsidR="00A4063C" w:rsidRPr="00394ACF" w14:paraId="4AF6E2E0" w14:textId="77777777" w:rsidTr="00FE500C">
        <w:trPr>
          <w:cantSplit/>
          <w:trHeight w:val="210"/>
          <w:jc w:val="center"/>
        </w:trPr>
        <w:tc>
          <w:tcPr>
            <w:tcW w:w="1051" w:type="dxa"/>
            <w:shd w:val="clear" w:color="auto" w:fill="auto"/>
            <w:vAlign w:val="center"/>
            <w:hideMark/>
          </w:tcPr>
          <w:p w14:paraId="60707AE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01.1904.001</w:t>
            </w:r>
          </w:p>
        </w:tc>
        <w:tc>
          <w:tcPr>
            <w:tcW w:w="2346" w:type="dxa"/>
            <w:shd w:val="clear" w:color="auto" w:fill="auto"/>
            <w:vAlign w:val="center"/>
            <w:hideMark/>
          </w:tcPr>
          <w:p w14:paraId="56284011"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Α.Δ.Π.Δ.Ε. &amp; Ι.</w:t>
            </w:r>
          </w:p>
        </w:tc>
        <w:tc>
          <w:tcPr>
            <w:tcW w:w="1134" w:type="dxa"/>
            <w:shd w:val="clear" w:color="auto" w:fill="auto"/>
            <w:vAlign w:val="center"/>
            <w:hideMark/>
          </w:tcPr>
          <w:p w14:paraId="612EBCF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7.875 €</w:t>
            </w:r>
          </w:p>
        </w:tc>
        <w:tc>
          <w:tcPr>
            <w:tcW w:w="1134" w:type="dxa"/>
            <w:shd w:val="clear" w:color="auto" w:fill="auto"/>
            <w:vAlign w:val="center"/>
            <w:hideMark/>
          </w:tcPr>
          <w:p w14:paraId="5913518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552C6C8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244D77B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7.875 €</w:t>
            </w:r>
          </w:p>
        </w:tc>
      </w:tr>
      <w:tr w:rsidR="00A4063C" w:rsidRPr="00394ACF" w14:paraId="256B6862" w14:textId="77777777" w:rsidTr="00FE500C">
        <w:trPr>
          <w:cantSplit/>
          <w:trHeight w:val="420"/>
          <w:jc w:val="center"/>
        </w:trPr>
        <w:tc>
          <w:tcPr>
            <w:tcW w:w="1051" w:type="dxa"/>
            <w:shd w:val="clear" w:color="auto" w:fill="auto"/>
            <w:vAlign w:val="center"/>
            <w:hideMark/>
          </w:tcPr>
          <w:p w14:paraId="7C6A9013"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lastRenderedPageBreak/>
              <w:t>01.1904.002</w:t>
            </w:r>
          </w:p>
        </w:tc>
        <w:tc>
          <w:tcPr>
            <w:tcW w:w="2346" w:type="dxa"/>
            <w:shd w:val="clear" w:color="auto" w:fill="auto"/>
            <w:vAlign w:val="center"/>
            <w:hideMark/>
          </w:tcPr>
          <w:p w14:paraId="1F262DE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ΘΕΜΑΤΩΝ ΑΛΛΟΔΑΠΩΝ ΚΑΙ ΑΣΤΙΚΗΣ ΚΑΤΑΣΤΑΣΗΣ Α.Δ.Π.Δ.Ε. &amp; Ι.</w:t>
            </w:r>
          </w:p>
        </w:tc>
        <w:tc>
          <w:tcPr>
            <w:tcW w:w="1134" w:type="dxa"/>
            <w:shd w:val="clear" w:color="auto" w:fill="auto"/>
            <w:vAlign w:val="center"/>
            <w:hideMark/>
          </w:tcPr>
          <w:p w14:paraId="16BBBA4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2.836 €</w:t>
            </w:r>
          </w:p>
        </w:tc>
        <w:tc>
          <w:tcPr>
            <w:tcW w:w="1134" w:type="dxa"/>
            <w:shd w:val="clear" w:color="auto" w:fill="auto"/>
            <w:vAlign w:val="center"/>
            <w:hideMark/>
          </w:tcPr>
          <w:p w14:paraId="3AE61A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28A497F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D67E28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2.836 €</w:t>
            </w:r>
          </w:p>
        </w:tc>
      </w:tr>
      <w:tr w:rsidR="00A4063C" w:rsidRPr="00394ACF" w14:paraId="1B4FFA37" w14:textId="77777777" w:rsidTr="00FE500C">
        <w:trPr>
          <w:cantSplit/>
          <w:trHeight w:val="210"/>
          <w:jc w:val="center"/>
        </w:trPr>
        <w:tc>
          <w:tcPr>
            <w:tcW w:w="1051" w:type="dxa"/>
            <w:shd w:val="clear" w:color="auto" w:fill="auto"/>
            <w:vAlign w:val="center"/>
            <w:hideMark/>
          </w:tcPr>
          <w:p w14:paraId="249048A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05.1904.001</w:t>
            </w:r>
          </w:p>
        </w:tc>
        <w:tc>
          <w:tcPr>
            <w:tcW w:w="2346" w:type="dxa"/>
            <w:shd w:val="clear" w:color="auto" w:fill="auto"/>
            <w:vAlign w:val="center"/>
            <w:hideMark/>
          </w:tcPr>
          <w:p w14:paraId="4E40DCD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ΦΥΣΙΚΟ ΚΑΙ ΑΣΤΙΚΟ ΠΕΡΙΒΑΛΛΟΝ Α.Δ.Π.Δ.Ε. &amp; Ι.</w:t>
            </w:r>
          </w:p>
        </w:tc>
        <w:tc>
          <w:tcPr>
            <w:tcW w:w="1134" w:type="dxa"/>
            <w:shd w:val="clear" w:color="auto" w:fill="auto"/>
            <w:vAlign w:val="center"/>
            <w:hideMark/>
          </w:tcPr>
          <w:p w14:paraId="2965866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4.845 €</w:t>
            </w:r>
          </w:p>
        </w:tc>
        <w:tc>
          <w:tcPr>
            <w:tcW w:w="1134" w:type="dxa"/>
            <w:shd w:val="clear" w:color="auto" w:fill="auto"/>
            <w:vAlign w:val="center"/>
            <w:hideMark/>
          </w:tcPr>
          <w:p w14:paraId="36E1731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0208D4C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27D7C291"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4.845 €</w:t>
            </w:r>
          </w:p>
        </w:tc>
      </w:tr>
      <w:tr w:rsidR="00A4063C" w:rsidRPr="00394ACF" w14:paraId="56467B7E" w14:textId="77777777" w:rsidTr="00FE500C">
        <w:trPr>
          <w:cantSplit/>
          <w:trHeight w:val="210"/>
          <w:jc w:val="center"/>
        </w:trPr>
        <w:tc>
          <w:tcPr>
            <w:tcW w:w="1051" w:type="dxa"/>
            <w:shd w:val="clear" w:color="000000" w:fill="D9D9D9"/>
            <w:vAlign w:val="center"/>
            <w:hideMark/>
          </w:tcPr>
          <w:p w14:paraId="663EC9AC"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1905</w:t>
            </w:r>
          </w:p>
        </w:tc>
        <w:tc>
          <w:tcPr>
            <w:tcW w:w="2346" w:type="dxa"/>
            <w:shd w:val="clear" w:color="000000" w:fill="D9D9D9"/>
            <w:vAlign w:val="center"/>
            <w:hideMark/>
          </w:tcPr>
          <w:p w14:paraId="11CBC672"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ΑΠΟΚΕΝΤΡΩΜΕΝΗ ΔΙΟΙΚΗΣΗ ΑΙΓΑΙΟΥ</w:t>
            </w:r>
          </w:p>
        </w:tc>
        <w:tc>
          <w:tcPr>
            <w:tcW w:w="1134" w:type="dxa"/>
            <w:shd w:val="clear" w:color="000000" w:fill="D9D9D9"/>
            <w:vAlign w:val="center"/>
            <w:hideMark/>
          </w:tcPr>
          <w:p w14:paraId="5188B9A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7.149 €</w:t>
            </w:r>
          </w:p>
        </w:tc>
        <w:tc>
          <w:tcPr>
            <w:tcW w:w="1134" w:type="dxa"/>
            <w:shd w:val="clear" w:color="000000" w:fill="D9D9D9"/>
            <w:vAlign w:val="center"/>
            <w:hideMark/>
          </w:tcPr>
          <w:p w14:paraId="054775B8"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shd w:val="clear" w:color="000000" w:fill="D9D9D9"/>
            <w:vAlign w:val="center"/>
            <w:hideMark/>
          </w:tcPr>
          <w:p w14:paraId="217BC7D9"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417" w:type="dxa"/>
            <w:shd w:val="clear" w:color="000000" w:fill="D9D9D9"/>
            <w:vAlign w:val="center"/>
            <w:hideMark/>
          </w:tcPr>
          <w:p w14:paraId="24AE858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7.149 €</w:t>
            </w:r>
          </w:p>
        </w:tc>
      </w:tr>
      <w:tr w:rsidR="00A4063C" w:rsidRPr="00394ACF" w14:paraId="50EFEF0B" w14:textId="77777777" w:rsidTr="00FE500C">
        <w:trPr>
          <w:cantSplit/>
          <w:trHeight w:val="210"/>
          <w:jc w:val="center"/>
        </w:trPr>
        <w:tc>
          <w:tcPr>
            <w:tcW w:w="1051" w:type="dxa"/>
            <w:shd w:val="clear" w:color="auto" w:fill="auto"/>
            <w:vAlign w:val="center"/>
            <w:hideMark/>
          </w:tcPr>
          <w:p w14:paraId="68FC619E"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01.1905.001</w:t>
            </w:r>
          </w:p>
        </w:tc>
        <w:tc>
          <w:tcPr>
            <w:tcW w:w="2346" w:type="dxa"/>
            <w:shd w:val="clear" w:color="auto" w:fill="auto"/>
            <w:vAlign w:val="center"/>
            <w:hideMark/>
          </w:tcPr>
          <w:p w14:paraId="3539EA3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Α.Δ.ΑΙΓ.</w:t>
            </w:r>
          </w:p>
        </w:tc>
        <w:tc>
          <w:tcPr>
            <w:tcW w:w="1134" w:type="dxa"/>
            <w:shd w:val="clear" w:color="auto" w:fill="auto"/>
            <w:vAlign w:val="center"/>
            <w:hideMark/>
          </w:tcPr>
          <w:p w14:paraId="09DB884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3.873 €</w:t>
            </w:r>
          </w:p>
        </w:tc>
        <w:tc>
          <w:tcPr>
            <w:tcW w:w="1134" w:type="dxa"/>
            <w:shd w:val="clear" w:color="auto" w:fill="auto"/>
            <w:vAlign w:val="center"/>
            <w:hideMark/>
          </w:tcPr>
          <w:p w14:paraId="4607605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24078F9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511C979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3.873 €</w:t>
            </w:r>
          </w:p>
        </w:tc>
      </w:tr>
      <w:tr w:rsidR="00A4063C" w:rsidRPr="00394ACF" w14:paraId="52EEF68A" w14:textId="77777777" w:rsidTr="00FE500C">
        <w:trPr>
          <w:cantSplit/>
          <w:trHeight w:val="420"/>
          <w:jc w:val="center"/>
        </w:trPr>
        <w:tc>
          <w:tcPr>
            <w:tcW w:w="1051" w:type="dxa"/>
            <w:shd w:val="clear" w:color="auto" w:fill="auto"/>
            <w:vAlign w:val="center"/>
            <w:hideMark/>
          </w:tcPr>
          <w:p w14:paraId="1FB2508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01.1905.002</w:t>
            </w:r>
          </w:p>
        </w:tc>
        <w:tc>
          <w:tcPr>
            <w:tcW w:w="2346" w:type="dxa"/>
            <w:shd w:val="clear" w:color="auto" w:fill="auto"/>
            <w:vAlign w:val="center"/>
            <w:hideMark/>
          </w:tcPr>
          <w:p w14:paraId="16C7916D"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ΘΕΜΑΤΩΝ ΑΛΛΟΔΑΠΩΝ ΚΑΙ ΑΣΤΙΚΗΣ ΚΑΤΑΣΤΑΣΗΣ Α.Δ.ΑΙΓ.</w:t>
            </w:r>
          </w:p>
        </w:tc>
        <w:tc>
          <w:tcPr>
            <w:tcW w:w="1134" w:type="dxa"/>
            <w:shd w:val="clear" w:color="auto" w:fill="auto"/>
            <w:vAlign w:val="center"/>
            <w:hideMark/>
          </w:tcPr>
          <w:p w14:paraId="0122C24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1.296 €</w:t>
            </w:r>
          </w:p>
        </w:tc>
        <w:tc>
          <w:tcPr>
            <w:tcW w:w="1134" w:type="dxa"/>
            <w:shd w:val="clear" w:color="auto" w:fill="auto"/>
            <w:vAlign w:val="center"/>
            <w:hideMark/>
          </w:tcPr>
          <w:p w14:paraId="2D84537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4883F4F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0959BE8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1.296 €</w:t>
            </w:r>
          </w:p>
        </w:tc>
      </w:tr>
      <w:tr w:rsidR="00A4063C" w:rsidRPr="00394ACF" w14:paraId="5F29641C" w14:textId="77777777" w:rsidTr="00FE500C">
        <w:trPr>
          <w:cantSplit/>
          <w:trHeight w:val="210"/>
          <w:jc w:val="center"/>
        </w:trPr>
        <w:tc>
          <w:tcPr>
            <w:tcW w:w="1051" w:type="dxa"/>
            <w:shd w:val="clear" w:color="auto" w:fill="auto"/>
            <w:vAlign w:val="center"/>
            <w:hideMark/>
          </w:tcPr>
          <w:p w14:paraId="3475007F"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05.1905.001</w:t>
            </w:r>
          </w:p>
        </w:tc>
        <w:tc>
          <w:tcPr>
            <w:tcW w:w="2346" w:type="dxa"/>
            <w:shd w:val="clear" w:color="auto" w:fill="auto"/>
            <w:vAlign w:val="center"/>
            <w:hideMark/>
          </w:tcPr>
          <w:p w14:paraId="07A0E55A"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ΦΥΣΙΚΟ ΚΑΙ ΑΣΤΙΚΟ ΠΕΡΙΒΑΛΛΟΝ Α.Δ.ΑΙΓ.</w:t>
            </w:r>
          </w:p>
        </w:tc>
        <w:tc>
          <w:tcPr>
            <w:tcW w:w="1134" w:type="dxa"/>
            <w:shd w:val="clear" w:color="auto" w:fill="auto"/>
            <w:vAlign w:val="center"/>
            <w:hideMark/>
          </w:tcPr>
          <w:p w14:paraId="428B5FA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1.980 €</w:t>
            </w:r>
          </w:p>
        </w:tc>
        <w:tc>
          <w:tcPr>
            <w:tcW w:w="1134" w:type="dxa"/>
            <w:shd w:val="clear" w:color="auto" w:fill="auto"/>
            <w:vAlign w:val="center"/>
            <w:hideMark/>
          </w:tcPr>
          <w:p w14:paraId="77E2293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3A550E9C"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6C1E3D7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1.980 €</w:t>
            </w:r>
          </w:p>
        </w:tc>
      </w:tr>
      <w:tr w:rsidR="00A4063C" w:rsidRPr="00394ACF" w14:paraId="2F68EE50" w14:textId="77777777" w:rsidTr="00FE500C">
        <w:trPr>
          <w:cantSplit/>
          <w:trHeight w:val="210"/>
          <w:jc w:val="center"/>
        </w:trPr>
        <w:tc>
          <w:tcPr>
            <w:tcW w:w="1051" w:type="dxa"/>
            <w:shd w:val="clear" w:color="000000" w:fill="D9D9D9"/>
            <w:vAlign w:val="center"/>
            <w:hideMark/>
          </w:tcPr>
          <w:p w14:paraId="51F26A80"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1906</w:t>
            </w:r>
          </w:p>
        </w:tc>
        <w:tc>
          <w:tcPr>
            <w:tcW w:w="2346" w:type="dxa"/>
            <w:shd w:val="clear" w:color="000000" w:fill="D9D9D9"/>
            <w:vAlign w:val="center"/>
            <w:hideMark/>
          </w:tcPr>
          <w:p w14:paraId="5BEC92A8"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ΑΠΟΚΕΝΤΡΩΜΕΝΗ ΔΙΟΙΚΗΣΗ ΚΡΗΤΗΣ</w:t>
            </w:r>
          </w:p>
        </w:tc>
        <w:tc>
          <w:tcPr>
            <w:tcW w:w="1134" w:type="dxa"/>
            <w:shd w:val="clear" w:color="000000" w:fill="D9D9D9"/>
            <w:vAlign w:val="center"/>
            <w:hideMark/>
          </w:tcPr>
          <w:p w14:paraId="1DC30EED"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7.311 €</w:t>
            </w:r>
          </w:p>
        </w:tc>
        <w:tc>
          <w:tcPr>
            <w:tcW w:w="1134" w:type="dxa"/>
            <w:shd w:val="clear" w:color="000000" w:fill="D9D9D9"/>
            <w:vAlign w:val="center"/>
            <w:hideMark/>
          </w:tcPr>
          <w:p w14:paraId="5F20500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shd w:val="clear" w:color="000000" w:fill="D9D9D9"/>
            <w:vAlign w:val="center"/>
            <w:hideMark/>
          </w:tcPr>
          <w:p w14:paraId="75ABADCE"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417" w:type="dxa"/>
            <w:shd w:val="clear" w:color="000000" w:fill="D9D9D9"/>
            <w:vAlign w:val="center"/>
            <w:hideMark/>
          </w:tcPr>
          <w:p w14:paraId="5637A2AF"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7.311 €</w:t>
            </w:r>
          </w:p>
        </w:tc>
      </w:tr>
      <w:tr w:rsidR="00A4063C" w:rsidRPr="00394ACF" w14:paraId="528B7841" w14:textId="77777777" w:rsidTr="00FE500C">
        <w:trPr>
          <w:cantSplit/>
          <w:trHeight w:val="210"/>
          <w:jc w:val="center"/>
        </w:trPr>
        <w:tc>
          <w:tcPr>
            <w:tcW w:w="1051" w:type="dxa"/>
            <w:shd w:val="clear" w:color="auto" w:fill="auto"/>
            <w:vAlign w:val="center"/>
            <w:hideMark/>
          </w:tcPr>
          <w:p w14:paraId="678B4BA0"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01.1906.001</w:t>
            </w:r>
          </w:p>
        </w:tc>
        <w:tc>
          <w:tcPr>
            <w:tcW w:w="2346" w:type="dxa"/>
            <w:shd w:val="clear" w:color="auto" w:fill="auto"/>
            <w:vAlign w:val="center"/>
            <w:hideMark/>
          </w:tcPr>
          <w:p w14:paraId="65E12DC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Α.Δ.Κ.</w:t>
            </w:r>
          </w:p>
        </w:tc>
        <w:tc>
          <w:tcPr>
            <w:tcW w:w="1134" w:type="dxa"/>
            <w:shd w:val="clear" w:color="auto" w:fill="auto"/>
            <w:vAlign w:val="center"/>
            <w:hideMark/>
          </w:tcPr>
          <w:p w14:paraId="0AA6711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3.702 €</w:t>
            </w:r>
          </w:p>
        </w:tc>
        <w:tc>
          <w:tcPr>
            <w:tcW w:w="1134" w:type="dxa"/>
            <w:shd w:val="clear" w:color="auto" w:fill="auto"/>
            <w:vAlign w:val="center"/>
            <w:hideMark/>
          </w:tcPr>
          <w:p w14:paraId="2E4DE0A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7CB0BB0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23035974"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3.702 €</w:t>
            </w:r>
          </w:p>
        </w:tc>
      </w:tr>
      <w:tr w:rsidR="00A4063C" w:rsidRPr="00394ACF" w14:paraId="0DB20844" w14:textId="77777777" w:rsidTr="00FE500C">
        <w:trPr>
          <w:cantSplit/>
          <w:trHeight w:val="420"/>
          <w:jc w:val="center"/>
        </w:trPr>
        <w:tc>
          <w:tcPr>
            <w:tcW w:w="1051" w:type="dxa"/>
            <w:shd w:val="clear" w:color="auto" w:fill="auto"/>
            <w:vAlign w:val="center"/>
            <w:hideMark/>
          </w:tcPr>
          <w:p w14:paraId="4B91298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01.1906.002</w:t>
            </w:r>
          </w:p>
        </w:tc>
        <w:tc>
          <w:tcPr>
            <w:tcW w:w="2346" w:type="dxa"/>
            <w:shd w:val="clear" w:color="auto" w:fill="auto"/>
            <w:vAlign w:val="center"/>
            <w:hideMark/>
          </w:tcPr>
          <w:p w14:paraId="1AF33108"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ΘΕΜΑΤΩΝ ΑΛΛΟΔΑΠΩΝ ΚΑΙ ΑΣΤΙΚΗΣ ΚΑΤΑΣΤΑΣΗΣ Α.Δ.Κ.</w:t>
            </w:r>
          </w:p>
        </w:tc>
        <w:tc>
          <w:tcPr>
            <w:tcW w:w="1134" w:type="dxa"/>
            <w:shd w:val="clear" w:color="auto" w:fill="auto"/>
            <w:vAlign w:val="center"/>
            <w:hideMark/>
          </w:tcPr>
          <w:p w14:paraId="7EACC59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1.664 €</w:t>
            </w:r>
          </w:p>
        </w:tc>
        <w:tc>
          <w:tcPr>
            <w:tcW w:w="1134" w:type="dxa"/>
            <w:shd w:val="clear" w:color="auto" w:fill="auto"/>
            <w:vAlign w:val="center"/>
            <w:hideMark/>
          </w:tcPr>
          <w:p w14:paraId="452508D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38D14253"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4EEA4DA8"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1.664 €</w:t>
            </w:r>
          </w:p>
        </w:tc>
      </w:tr>
      <w:tr w:rsidR="00A4063C" w:rsidRPr="00394ACF" w14:paraId="390AAC40" w14:textId="77777777" w:rsidTr="00FE500C">
        <w:trPr>
          <w:cantSplit/>
          <w:trHeight w:val="210"/>
          <w:jc w:val="center"/>
        </w:trPr>
        <w:tc>
          <w:tcPr>
            <w:tcW w:w="1051" w:type="dxa"/>
            <w:shd w:val="clear" w:color="auto" w:fill="auto"/>
            <w:vAlign w:val="center"/>
            <w:hideMark/>
          </w:tcPr>
          <w:p w14:paraId="01F3D13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05.1906.001</w:t>
            </w:r>
          </w:p>
        </w:tc>
        <w:tc>
          <w:tcPr>
            <w:tcW w:w="2346" w:type="dxa"/>
            <w:shd w:val="clear" w:color="auto" w:fill="auto"/>
            <w:vAlign w:val="center"/>
            <w:hideMark/>
          </w:tcPr>
          <w:p w14:paraId="01AD69B9"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ΦΥΣΙΚΟ ΚΑΙ ΑΣΤΙΚΟ ΠΕΡΙΒΑΛΛΟΝ Α.Δ.Κ.</w:t>
            </w:r>
          </w:p>
        </w:tc>
        <w:tc>
          <w:tcPr>
            <w:tcW w:w="1134" w:type="dxa"/>
            <w:shd w:val="clear" w:color="auto" w:fill="auto"/>
            <w:vAlign w:val="center"/>
            <w:hideMark/>
          </w:tcPr>
          <w:p w14:paraId="74BD89A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1.945 €</w:t>
            </w:r>
          </w:p>
        </w:tc>
        <w:tc>
          <w:tcPr>
            <w:tcW w:w="1134" w:type="dxa"/>
            <w:shd w:val="clear" w:color="auto" w:fill="auto"/>
            <w:vAlign w:val="center"/>
            <w:hideMark/>
          </w:tcPr>
          <w:p w14:paraId="26573D16"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7BCF2A6A"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559B11E7"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1.945 €</w:t>
            </w:r>
          </w:p>
        </w:tc>
      </w:tr>
      <w:tr w:rsidR="00A4063C" w:rsidRPr="00394ACF" w14:paraId="040D8587" w14:textId="77777777" w:rsidTr="00FE500C">
        <w:trPr>
          <w:cantSplit/>
          <w:trHeight w:val="420"/>
          <w:jc w:val="center"/>
        </w:trPr>
        <w:tc>
          <w:tcPr>
            <w:tcW w:w="1051" w:type="dxa"/>
            <w:shd w:val="clear" w:color="000000" w:fill="D9D9D9"/>
            <w:vAlign w:val="center"/>
            <w:hideMark/>
          </w:tcPr>
          <w:p w14:paraId="697EEB37"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1907</w:t>
            </w:r>
          </w:p>
        </w:tc>
        <w:tc>
          <w:tcPr>
            <w:tcW w:w="2346" w:type="dxa"/>
            <w:shd w:val="clear" w:color="000000" w:fill="D9D9D9"/>
            <w:vAlign w:val="center"/>
            <w:hideMark/>
          </w:tcPr>
          <w:p w14:paraId="45128043" w14:textId="77777777" w:rsidR="00A4063C" w:rsidRPr="003573AF" w:rsidRDefault="00A4063C" w:rsidP="00A4063C">
            <w:pPr>
              <w:spacing w:after="0" w:line="276" w:lineRule="auto"/>
              <w:jc w:val="left"/>
              <w:rPr>
                <w:rFonts w:cs="Arial"/>
                <w:b/>
                <w:color w:val="000000"/>
                <w:sz w:val="15"/>
                <w:szCs w:val="15"/>
              </w:rPr>
            </w:pPr>
            <w:r w:rsidRPr="003573AF">
              <w:rPr>
                <w:rFonts w:cs="Arial"/>
                <w:b/>
                <w:color w:val="000000"/>
                <w:sz w:val="15"/>
                <w:szCs w:val="15"/>
              </w:rPr>
              <w:t>ΑΠΟΚΕΝΤΡΩΜΕΝΗ ΔΙΟΙΚΗΣΗ ΜΑΚΕΔΟΝΙΑΣ - ΘΡΑΚΗΣ</w:t>
            </w:r>
          </w:p>
        </w:tc>
        <w:tc>
          <w:tcPr>
            <w:tcW w:w="1134" w:type="dxa"/>
            <w:shd w:val="clear" w:color="000000" w:fill="D9D9D9"/>
            <w:vAlign w:val="center"/>
            <w:hideMark/>
          </w:tcPr>
          <w:p w14:paraId="71CF57AA"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19.640 €</w:t>
            </w:r>
          </w:p>
        </w:tc>
        <w:tc>
          <w:tcPr>
            <w:tcW w:w="1134" w:type="dxa"/>
            <w:shd w:val="clear" w:color="000000" w:fill="D9D9D9"/>
            <w:vAlign w:val="center"/>
            <w:hideMark/>
          </w:tcPr>
          <w:p w14:paraId="3A62FFFB"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985" w:type="dxa"/>
            <w:shd w:val="clear" w:color="000000" w:fill="D9D9D9"/>
            <w:vAlign w:val="center"/>
            <w:hideMark/>
          </w:tcPr>
          <w:p w14:paraId="03031754"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0 €</w:t>
            </w:r>
          </w:p>
        </w:tc>
        <w:tc>
          <w:tcPr>
            <w:tcW w:w="1417" w:type="dxa"/>
            <w:shd w:val="clear" w:color="000000" w:fill="D9D9D9"/>
            <w:vAlign w:val="center"/>
            <w:hideMark/>
          </w:tcPr>
          <w:p w14:paraId="28A2AE82" w14:textId="77777777" w:rsidR="00A4063C" w:rsidRPr="003573AF" w:rsidRDefault="00A4063C" w:rsidP="00A4063C">
            <w:pPr>
              <w:spacing w:after="0" w:line="276" w:lineRule="auto"/>
              <w:jc w:val="right"/>
              <w:rPr>
                <w:rFonts w:cs="Arial"/>
                <w:b/>
                <w:color w:val="000000"/>
                <w:sz w:val="15"/>
                <w:szCs w:val="15"/>
              </w:rPr>
            </w:pPr>
            <w:r w:rsidRPr="003573AF">
              <w:rPr>
                <w:rFonts w:cs="Arial"/>
                <w:b/>
                <w:color w:val="000000"/>
                <w:sz w:val="15"/>
                <w:szCs w:val="15"/>
              </w:rPr>
              <w:t>19.640 €</w:t>
            </w:r>
          </w:p>
        </w:tc>
      </w:tr>
      <w:tr w:rsidR="00A4063C" w:rsidRPr="00394ACF" w14:paraId="05D427DC" w14:textId="77777777" w:rsidTr="00FE500C">
        <w:trPr>
          <w:cantSplit/>
          <w:trHeight w:val="210"/>
          <w:jc w:val="center"/>
        </w:trPr>
        <w:tc>
          <w:tcPr>
            <w:tcW w:w="1051" w:type="dxa"/>
            <w:shd w:val="clear" w:color="auto" w:fill="auto"/>
            <w:vAlign w:val="center"/>
            <w:hideMark/>
          </w:tcPr>
          <w:p w14:paraId="15C83D6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01.1907.001</w:t>
            </w:r>
          </w:p>
        </w:tc>
        <w:tc>
          <w:tcPr>
            <w:tcW w:w="2346" w:type="dxa"/>
            <w:shd w:val="clear" w:color="auto" w:fill="auto"/>
            <w:vAlign w:val="center"/>
            <w:hideMark/>
          </w:tcPr>
          <w:p w14:paraId="3DE9269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ΕΠΙΤΕΛΙΚΟΣ ΣΥΝΤΟΝΙΣΜΟΣ Α.Δ.Μ.Θ.</w:t>
            </w:r>
          </w:p>
        </w:tc>
        <w:tc>
          <w:tcPr>
            <w:tcW w:w="1134" w:type="dxa"/>
            <w:shd w:val="clear" w:color="auto" w:fill="auto"/>
            <w:vAlign w:val="center"/>
            <w:hideMark/>
          </w:tcPr>
          <w:p w14:paraId="347B085D"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9.313 €</w:t>
            </w:r>
          </w:p>
        </w:tc>
        <w:tc>
          <w:tcPr>
            <w:tcW w:w="1134" w:type="dxa"/>
            <w:shd w:val="clear" w:color="auto" w:fill="auto"/>
            <w:vAlign w:val="center"/>
            <w:hideMark/>
          </w:tcPr>
          <w:p w14:paraId="6EFC9B8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6BE71EF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1C9B1DD5"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9.313 €</w:t>
            </w:r>
          </w:p>
        </w:tc>
      </w:tr>
      <w:tr w:rsidR="00A4063C" w:rsidRPr="00394ACF" w14:paraId="4D24075F" w14:textId="77777777" w:rsidTr="00FE500C">
        <w:trPr>
          <w:cantSplit/>
          <w:trHeight w:val="420"/>
          <w:jc w:val="center"/>
        </w:trPr>
        <w:tc>
          <w:tcPr>
            <w:tcW w:w="1051" w:type="dxa"/>
            <w:shd w:val="clear" w:color="auto" w:fill="auto"/>
            <w:vAlign w:val="center"/>
            <w:hideMark/>
          </w:tcPr>
          <w:p w14:paraId="3709CE3B"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01.1907.002</w:t>
            </w:r>
          </w:p>
        </w:tc>
        <w:tc>
          <w:tcPr>
            <w:tcW w:w="2346" w:type="dxa"/>
            <w:shd w:val="clear" w:color="auto" w:fill="auto"/>
            <w:vAlign w:val="center"/>
            <w:hideMark/>
          </w:tcPr>
          <w:p w14:paraId="0E3986D4"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ΔΙΑΧΕΙΡΙΣΗ ΘΕΜΑΤΩΝ ΑΛΛΟΔΑΠΩΝ ΚΑΙ ΑΣΤΙΚΗΣ ΚΑΤΑΣΤΑΣΗΣ Α.Δ.Μ.Θ.</w:t>
            </w:r>
          </w:p>
        </w:tc>
        <w:tc>
          <w:tcPr>
            <w:tcW w:w="1134" w:type="dxa"/>
            <w:shd w:val="clear" w:color="auto" w:fill="auto"/>
            <w:vAlign w:val="center"/>
            <w:hideMark/>
          </w:tcPr>
          <w:p w14:paraId="4FF61AE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4.327 €</w:t>
            </w:r>
          </w:p>
        </w:tc>
        <w:tc>
          <w:tcPr>
            <w:tcW w:w="1134" w:type="dxa"/>
            <w:shd w:val="clear" w:color="auto" w:fill="auto"/>
            <w:vAlign w:val="center"/>
            <w:hideMark/>
          </w:tcPr>
          <w:p w14:paraId="2F71F57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shd w:val="clear" w:color="auto" w:fill="auto"/>
            <w:vAlign w:val="center"/>
            <w:hideMark/>
          </w:tcPr>
          <w:p w14:paraId="41E3AEC0"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shd w:val="clear" w:color="auto" w:fill="auto"/>
            <w:vAlign w:val="center"/>
            <w:hideMark/>
          </w:tcPr>
          <w:p w14:paraId="56B3DCA2"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4.327 €</w:t>
            </w:r>
          </w:p>
        </w:tc>
      </w:tr>
      <w:tr w:rsidR="00A4063C" w:rsidRPr="00394ACF" w14:paraId="3B389020" w14:textId="77777777" w:rsidTr="004A1C98">
        <w:trPr>
          <w:cantSplit/>
          <w:trHeight w:val="210"/>
          <w:jc w:val="center"/>
        </w:trPr>
        <w:tc>
          <w:tcPr>
            <w:tcW w:w="1051" w:type="dxa"/>
            <w:tcBorders>
              <w:bottom w:val="single" w:sz="2" w:space="0" w:color="A6A6A6" w:themeColor="background1" w:themeShade="A6"/>
            </w:tcBorders>
            <w:shd w:val="clear" w:color="auto" w:fill="auto"/>
            <w:vAlign w:val="center"/>
            <w:hideMark/>
          </w:tcPr>
          <w:p w14:paraId="7A3B9D27"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05.1907.001</w:t>
            </w:r>
          </w:p>
        </w:tc>
        <w:tc>
          <w:tcPr>
            <w:tcW w:w="2346" w:type="dxa"/>
            <w:tcBorders>
              <w:bottom w:val="single" w:sz="2" w:space="0" w:color="A6A6A6" w:themeColor="background1" w:themeShade="A6"/>
            </w:tcBorders>
            <w:shd w:val="clear" w:color="auto" w:fill="auto"/>
            <w:vAlign w:val="center"/>
            <w:hideMark/>
          </w:tcPr>
          <w:p w14:paraId="5C08D29C" w14:textId="77777777" w:rsidR="00A4063C" w:rsidRPr="00394ACF" w:rsidRDefault="00A4063C" w:rsidP="00A4063C">
            <w:pPr>
              <w:spacing w:after="0" w:line="276" w:lineRule="auto"/>
              <w:jc w:val="left"/>
              <w:rPr>
                <w:rFonts w:cs="Arial"/>
                <w:color w:val="000000"/>
                <w:sz w:val="15"/>
                <w:szCs w:val="15"/>
              </w:rPr>
            </w:pPr>
            <w:r w:rsidRPr="00394ACF">
              <w:rPr>
                <w:rFonts w:cs="Arial"/>
                <w:color w:val="000000"/>
                <w:sz w:val="15"/>
                <w:szCs w:val="15"/>
              </w:rPr>
              <w:t>ΦΥΣΙΚΟ ΚΑΙ ΑΣΤΙΚΟ ΠΕΡΙΒΑΛΛΟΝ Α.Δ.Μ.Θ.</w:t>
            </w:r>
          </w:p>
        </w:tc>
        <w:tc>
          <w:tcPr>
            <w:tcW w:w="1134" w:type="dxa"/>
            <w:tcBorders>
              <w:bottom w:val="single" w:sz="2" w:space="0" w:color="A6A6A6" w:themeColor="background1" w:themeShade="A6"/>
            </w:tcBorders>
            <w:shd w:val="clear" w:color="auto" w:fill="auto"/>
            <w:vAlign w:val="center"/>
            <w:hideMark/>
          </w:tcPr>
          <w:p w14:paraId="598484CF"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6.000 €</w:t>
            </w:r>
          </w:p>
        </w:tc>
        <w:tc>
          <w:tcPr>
            <w:tcW w:w="1134" w:type="dxa"/>
            <w:tcBorders>
              <w:bottom w:val="single" w:sz="2" w:space="0" w:color="A6A6A6" w:themeColor="background1" w:themeShade="A6"/>
            </w:tcBorders>
            <w:shd w:val="clear" w:color="auto" w:fill="auto"/>
            <w:vAlign w:val="center"/>
            <w:hideMark/>
          </w:tcPr>
          <w:p w14:paraId="4BE7E6BE"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985" w:type="dxa"/>
            <w:tcBorders>
              <w:bottom w:val="single" w:sz="2" w:space="0" w:color="A6A6A6" w:themeColor="background1" w:themeShade="A6"/>
            </w:tcBorders>
            <w:shd w:val="clear" w:color="auto" w:fill="auto"/>
            <w:vAlign w:val="center"/>
            <w:hideMark/>
          </w:tcPr>
          <w:p w14:paraId="1A8BF64B"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0 €</w:t>
            </w:r>
          </w:p>
        </w:tc>
        <w:tc>
          <w:tcPr>
            <w:tcW w:w="1417" w:type="dxa"/>
            <w:tcBorders>
              <w:bottom w:val="single" w:sz="2" w:space="0" w:color="A6A6A6" w:themeColor="background1" w:themeShade="A6"/>
            </w:tcBorders>
            <w:shd w:val="clear" w:color="auto" w:fill="auto"/>
            <w:vAlign w:val="center"/>
            <w:hideMark/>
          </w:tcPr>
          <w:p w14:paraId="06746AF9" w14:textId="77777777" w:rsidR="00A4063C" w:rsidRPr="00394ACF" w:rsidRDefault="00A4063C" w:rsidP="00A4063C">
            <w:pPr>
              <w:spacing w:after="0" w:line="276" w:lineRule="auto"/>
              <w:jc w:val="right"/>
              <w:rPr>
                <w:rFonts w:cs="Arial"/>
                <w:color w:val="000000"/>
                <w:sz w:val="15"/>
                <w:szCs w:val="15"/>
              </w:rPr>
            </w:pPr>
            <w:r w:rsidRPr="00394ACF">
              <w:rPr>
                <w:rFonts w:cs="Arial"/>
                <w:color w:val="000000"/>
                <w:sz w:val="15"/>
                <w:szCs w:val="15"/>
              </w:rPr>
              <w:t>6.000 €</w:t>
            </w:r>
          </w:p>
        </w:tc>
      </w:tr>
      <w:tr w:rsidR="00A4063C" w:rsidRPr="00394ACF" w14:paraId="3DD069A8" w14:textId="77777777" w:rsidTr="004A1C98">
        <w:trPr>
          <w:cantSplit/>
          <w:trHeight w:val="493"/>
          <w:jc w:val="center"/>
        </w:trPr>
        <w:tc>
          <w:tcPr>
            <w:tcW w:w="9067" w:type="dxa"/>
            <w:gridSpan w:val="6"/>
            <w:tcBorders>
              <w:top w:val="single" w:sz="2" w:space="0" w:color="A6A6A6" w:themeColor="background1" w:themeShade="A6"/>
              <w:left w:val="nil"/>
              <w:bottom w:val="nil"/>
              <w:right w:val="nil"/>
            </w:tcBorders>
            <w:shd w:val="clear" w:color="auto" w:fill="auto"/>
            <w:hideMark/>
          </w:tcPr>
          <w:p w14:paraId="583E8E9E" w14:textId="77777777" w:rsidR="00A4063C" w:rsidRDefault="00A4063C" w:rsidP="00A4063C">
            <w:pPr>
              <w:tabs>
                <w:tab w:val="left" w:pos="227"/>
              </w:tabs>
              <w:spacing w:before="60" w:after="0" w:line="276" w:lineRule="auto"/>
              <w:ind w:left="227" w:hanging="227"/>
              <w:rPr>
                <w:rFonts w:cs="Arial"/>
                <w:i/>
                <w:iCs/>
                <w:color w:val="000000"/>
                <w:sz w:val="16"/>
                <w:szCs w:val="16"/>
              </w:rPr>
            </w:pPr>
            <w:r w:rsidRPr="00394ACF">
              <w:rPr>
                <w:rFonts w:cs="Arial"/>
                <w:i/>
                <w:iCs/>
                <w:color w:val="000000"/>
                <w:sz w:val="16"/>
                <w:szCs w:val="16"/>
              </w:rPr>
              <w:t>Σημειώσεις:</w:t>
            </w:r>
          </w:p>
          <w:p w14:paraId="65E587EC" w14:textId="6A5A8BA3" w:rsidR="00A4063C" w:rsidRDefault="00A4063C" w:rsidP="00E72A48">
            <w:pPr>
              <w:tabs>
                <w:tab w:val="left" w:pos="227"/>
              </w:tabs>
              <w:spacing w:before="60" w:after="0" w:line="276" w:lineRule="auto"/>
              <w:ind w:left="227" w:hanging="227"/>
              <w:rPr>
                <w:rFonts w:cs="Arial"/>
                <w:i/>
                <w:iCs/>
                <w:color w:val="000000"/>
                <w:sz w:val="16"/>
                <w:szCs w:val="16"/>
              </w:rPr>
            </w:pPr>
            <w:r w:rsidRPr="00394ACF">
              <w:rPr>
                <w:rFonts w:cs="Arial"/>
                <w:i/>
                <w:iCs/>
                <w:color w:val="000000"/>
                <w:sz w:val="16"/>
                <w:szCs w:val="16"/>
              </w:rPr>
              <w:t>1</w:t>
            </w:r>
            <w:r w:rsidR="00880486">
              <w:rPr>
                <w:rFonts w:cs="Arial"/>
                <w:i/>
                <w:iCs/>
                <w:color w:val="000000"/>
                <w:sz w:val="16"/>
                <w:szCs w:val="16"/>
              </w:rPr>
              <w:t>.</w:t>
            </w:r>
            <w:r>
              <w:rPr>
                <w:rFonts w:cs="Arial"/>
                <w:i/>
                <w:iCs/>
                <w:color w:val="000000"/>
                <w:sz w:val="16"/>
                <w:szCs w:val="16"/>
              </w:rPr>
              <w:tab/>
            </w:r>
            <w:r w:rsidRPr="00394ACF">
              <w:rPr>
                <w:rFonts w:cs="Arial"/>
                <w:i/>
                <w:iCs/>
                <w:color w:val="000000"/>
                <w:sz w:val="16"/>
                <w:szCs w:val="16"/>
              </w:rPr>
              <w:t>Στον πίνακα δεν περιλαμβάνονται χρηματοοικονομικές συναλλαγές.</w:t>
            </w:r>
          </w:p>
          <w:p w14:paraId="03FDE1E9" w14:textId="2EABE4A0" w:rsidR="00A4063C" w:rsidRPr="00394ACF" w:rsidRDefault="00A4063C" w:rsidP="00A4063C">
            <w:pPr>
              <w:tabs>
                <w:tab w:val="left" w:pos="227"/>
              </w:tabs>
              <w:spacing w:before="60" w:after="0" w:line="276" w:lineRule="auto"/>
              <w:ind w:left="227" w:hanging="227"/>
              <w:rPr>
                <w:rFonts w:cs="Arial"/>
                <w:i/>
                <w:iCs/>
                <w:color w:val="000000"/>
                <w:sz w:val="16"/>
                <w:szCs w:val="16"/>
              </w:rPr>
            </w:pPr>
            <w:r w:rsidRPr="00394ACF">
              <w:rPr>
                <w:rFonts w:cs="Arial"/>
                <w:i/>
                <w:iCs/>
                <w:color w:val="000000"/>
                <w:sz w:val="16"/>
                <w:szCs w:val="16"/>
              </w:rPr>
              <w:t>2</w:t>
            </w:r>
            <w:r w:rsidR="00880486">
              <w:rPr>
                <w:rFonts w:cs="Arial"/>
                <w:i/>
                <w:iCs/>
                <w:color w:val="000000"/>
                <w:sz w:val="16"/>
                <w:szCs w:val="16"/>
              </w:rPr>
              <w:t>.</w:t>
            </w:r>
            <w:r>
              <w:rPr>
                <w:rFonts w:cs="Arial"/>
                <w:i/>
                <w:iCs/>
                <w:color w:val="000000"/>
                <w:sz w:val="16"/>
                <w:szCs w:val="16"/>
              </w:rPr>
              <w:tab/>
            </w:r>
            <w:r w:rsidRPr="00394ACF">
              <w:rPr>
                <w:rFonts w:cs="Arial"/>
                <w:i/>
                <w:iCs/>
                <w:color w:val="000000"/>
                <w:sz w:val="16"/>
                <w:szCs w:val="16"/>
              </w:rPr>
              <w:t>Στο εθνικό σκέλος του προϋπολογισμού δημοσίων επενδύσεων συμπεριλαμβάνονται και οι δαπάνες του ΤΑΑ.</w:t>
            </w:r>
          </w:p>
        </w:tc>
      </w:tr>
    </w:tbl>
    <w:p w14:paraId="5A6A7083" w14:textId="4481ED68" w:rsidR="006F3A28" w:rsidRDefault="006F3A28" w:rsidP="00CB118C">
      <w:pPr>
        <w:spacing w:before="240" w:after="240"/>
      </w:pPr>
      <w:r w:rsidRPr="00CB118C">
        <w:t xml:space="preserve">Η συνολική προϋπολογιζόμενη δαπάνη σε επίπεδο ενοποιημένης Γενικής Κυβέρνησης ανά Τομέα Πολιτικής και Πρόγραμμα έχει </w:t>
      </w:r>
      <w:r w:rsidRPr="00154C13">
        <w:t xml:space="preserve">ως ακολούθως </w:t>
      </w:r>
      <w:r w:rsidR="0092020C" w:rsidRPr="00154C13">
        <w:t>(</w:t>
      </w:r>
      <w:r w:rsidR="0092020C" w:rsidRPr="00154C13">
        <w:fldChar w:fldCharType="begin"/>
      </w:r>
      <w:r w:rsidR="0092020C" w:rsidRPr="00154C13">
        <w:instrText xml:space="preserve"> REF _Ref214440785 \h  \* MERGEFORMAT </w:instrText>
      </w:r>
      <w:r w:rsidR="0092020C" w:rsidRPr="00154C13">
        <w:fldChar w:fldCharType="separate"/>
      </w:r>
      <w:r w:rsidR="00E15678" w:rsidRPr="00E15678">
        <w:t>Πίνακας 2.8</w:t>
      </w:r>
      <w:r w:rsidR="0092020C" w:rsidRPr="00154C13">
        <w:fldChar w:fldCharType="end"/>
      </w:r>
      <w:r w:rsidR="0092020C" w:rsidRPr="00154C13">
        <w:t>.).</w:t>
      </w:r>
    </w:p>
    <w:p w14:paraId="0E366FE6" w14:textId="09F5E821" w:rsidR="00443976" w:rsidRDefault="00443976">
      <w:pPr>
        <w:spacing w:after="0" w:line="240" w:lineRule="auto"/>
        <w:jc w:val="left"/>
        <w:rPr>
          <w:highlight w:val="yellow"/>
        </w:rPr>
      </w:pPr>
      <w:r>
        <w:rPr>
          <w:highlight w:val="yellow"/>
        </w:rPr>
        <w:br w:type="page"/>
      </w:r>
    </w:p>
    <w:tbl>
      <w:tblPr>
        <w:tblW w:w="9072"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1051"/>
        <w:gridCol w:w="2112"/>
        <w:gridCol w:w="1752"/>
        <w:gridCol w:w="1152"/>
        <w:gridCol w:w="1306"/>
        <w:gridCol w:w="1699"/>
      </w:tblGrid>
      <w:tr w:rsidR="00E72A48" w:rsidRPr="00E72A48" w14:paraId="69F0B4CA" w14:textId="77777777" w:rsidTr="0007734A">
        <w:trPr>
          <w:cantSplit/>
          <w:trHeight w:val="225"/>
          <w:tblHeader/>
          <w:jc w:val="center"/>
        </w:trPr>
        <w:tc>
          <w:tcPr>
            <w:tcW w:w="9072" w:type="dxa"/>
            <w:gridSpan w:val="6"/>
            <w:tcBorders>
              <w:top w:val="single" w:sz="2" w:space="0" w:color="A6A6A6" w:themeColor="background1" w:themeShade="A6"/>
              <w:bottom w:val="single" w:sz="2" w:space="0" w:color="A6A6A6" w:themeColor="background1" w:themeShade="A6"/>
            </w:tcBorders>
            <w:shd w:val="clear" w:color="000000" w:fill="E0E6EE"/>
            <w:vAlign w:val="center"/>
            <w:hideMark/>
          </w:tcPr>
          <w:p w14:paraId="1702D504" w14:textId="0D59CE5D" w:rsidR="00E72A48" w:rsidRDefault="00E72A48" w:rsidP="00025781">
            <w:pPr>
              <w:pStyle w:val="afe"/>
              <w:spacing w:after="0" w:line="276" w:lineRule="auto"/>
              <w:jc w:val="center"/>
              <w:rPr>
                <w:sz w:val="18"/>
                <w:szCs w:val="18"/>
              </w:rPr>
            </w:pPr>
            <w:bookmarkStart w:id="229" w:name="_Ref214440785"/>
            <w:bookmarkStart w:id="230" w:name="_Toc214473826"/>
            <w:bookmarkStart w:id="231" w:name="_Toc214372336"/>
            <w:r w:rsidRPr="00E72A48">
              <w:rPr>
                <w:sz w:val="18"/>
                <w:szCs w:val="18"/>
              </w:rPr>
              <w:lastRenderedPageBreak/>
              <w:t>Πίνακας 2.</w:t>
            </w:r>
            <w:r w:rsidRPr="00E72A48">
              <w:rPr>
                <w:sz w:val="18"/>
                <w:szCs w:val="18"/>
              </w:rPr>
              <w:fldChar w:fldCharType="begin"/>
            </w:r>
            <w:r w:rsidRPr="00E72A48">
              <w:rPr>
                <w:sz w:val="18"/>
                <w:szCs w:val="18"/>
              </w:rPr>
              <w:instrText xml:space="preserve"> SEQ Πίνακας_2. \* ARABIC </w:instrText>
            </w:r>
            <w:r w:rsidRPr="00E72A48">
              <w:rPr>
                <w:sz w:val="18"/>
                <w:szCs w:val="18"/>
              </w:rPr>
              <w:fldChar w:fldCharType="separate"/>
            </w:r>
            <w:r w:rsidR="00E15678">
              <w:rPr>
                <w:noProof/>
                <w:sz w:val="18"/>
                <w:szCs w:val="18"/>
              </w:rPr>
              <w:t>8</w:t>
            </w:r>
            <w:r w:rsidRPr="00E72A48">
              <w:rPr>
                <w:sz w:val="18"/>
                <w:szCs w:val="18"/>
              </w:rPr>
              <w:fldChar w:fldCharType="end"/>
            </w:r>
            <w:bookmarkEnd w:id="229"/>
            <w:r w:rsidRPr="00E72A48">
              <w:rPr>
                <w:sz w:val="18"/>
                <w:szCs w:val="18"/>
              </w:rPr>
              <w:t>.: Προϋπολογιζόμενη δαπάνη Γενικής Κυβέρνησης έτους 2026 ανά Πρόγραμμα</w:t>
            </w:r>
            <w:bookmarkEnd w:id="230"/>
          </w:p>
          <w:p w14:paraId="79090423" w14:textId="33171163" w:rsidR="00E72A48" w:rsidRPr="00E72A48" w:rsidRDefault="00E72A48" w:rsidP="00025781">
            <w:pPr>
              <w:pStyle w:val="afe"/>
              <w:spacing w:after="0" w:line="276" w:lineRule="auto"/>
              <w:jc w:val="center"/>
              <w:rPr>
                <w:rFonts w:cs="Arial"/>
                <w:bCs w:val="0"/>
                <w:color w:val="000000"/>
                <w:sz w:val="18"/>
                <w:szCs w:val="18"/>
              </w:rPr>
            </w:pPr>
            <w:r w:rsidRPr="00E72A48">
              <w:rPr>
                <w:sz w:val="18"/>
                <w:szCs w:val="18"/>
              </w:rPr>
              <w:t>(σε χιλιάδες ευρώ)</w:t>
            </w:r>
            <w:bookmarkEnd w:id="231"/>
          </w:p>
        </w:tc>
      </w:tr>
      <w:tr w:rsidR="00E72A48" w:rsidRPr="00EF606E" w14:paraId="0D4CB53A" w14:textId="77777777" w:rsidTr="0007734A">
        <w:trPr>
          <w:cantSplit/>
          <w:trHeight w:val="225"/>
          <w:tblHeader/>
          <w:jc w:val="center"/>
        </w:trPr>
        <w:tc>
          <w:tcPr>
            <w:tcW w:w="1051" w:type="dxa"/>
            <w:vMerge w:val="restart"/>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E0E6EE"/>
            <w:vAlign w:val="center"/>
            <w:hideMark/>
          </w:tcPr>
          <w:p w14:paraId="52548FCF" w14:textId="77777777" w:rsidR="00E72A48" w:rsidRPr="00EF606E" w:rsidRDefault="00E72A48" w:rsidP="00E72A48">
            <w:pPr>
              <w:spacing w:after="0" w:line="276" w:lineRule="auto"/>
              <w:jc w:val="center"/>
              <w:rPr>
                <w:rFonts w:cs="Arial"/>
                <w:b/>
                <w:bCs/>
                <w:color w:val="000000"/>
                <w:sz w:val="16"/>
                <w:szCs w:val="16"/>
              </w:rPr>
            </w:pPr>
            <w:r w:rsidRPr="00EF606E">
              <w:rPr>
                <w:rFonts w:cs="Arial"/>
                <w:b/>
                <w:bCs/>
                <w:color w:val="000000"/>
                <w:sz w:val="16"/>
                <w:szCs w:val="16"/>
              </w:rPr>
              <w:t>Κωδ.</w:t>
            </w:r>
          </w:p>
        </w:tc>
        <w:tc>
          <w:tcPr>
            <w:tcW w:w="2112"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0E6EE"/>
            <w:vAlign w:val="center"/>
            <w:hideMark/>
          </w:tcPr>
          <w:p w14:paraId="111DDDA8" w14:textId="77777777" w:rsidR="00E72A48" w:rsidRPr="00EF606E" w:rsidRDefault="00E72A48" w:rsidP="00E72A48">
            <w:pPr>
              <w:spacing w:after="0" w:line="276" w:lineRule="auto"/>
              <w:jc w:val="center"/>
              <w:rPr>
                <w:rFonts w:cs="Arial"/>
                <w:b/>
                <w:bCs/>
                <w:color w:val="000000"/>
                <w:sz w:val="16"/>
                <w:szCs w:val="16"/>
              </w:rPr>
            </w:pPr>
            <w:r w:rsidRPr="00EF606E">
              <w:rPr>
                <w:rFonts w:cs="Arial"/>
                <w:b/>
                <w:bCs/>
                <w:color w:val="000000"/>
                <w:sz w:val="16"/>
                <w:szCs w:val="16"/>
              </w:rPr>
              <w:t>ΤΟΜΕΑΣ ΠΟΛΙΤΙΚΗΣ / ΠΡΟΓΡΑΜΜΑ</w:t>
            </w:r>
          </w:p>
        </w:tc>
        <w:tc>
          <w:tcPr>
            <w:tcW w:w="1752"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0E6EE"/>
            <w:vAlign w:val="center"/>
            <w:hideMark/>
          </w:tcPr>
          <w:p w14:paraId="41CD2742" w14:textId="77777777" w:rsidR="00E72A48" w:rsidRPr="00EF606E" w:rsidRDefault="00E72A48" w:rsidP="00E72A48">
            <w:pPr>
              <w:spacing w:after="0" w:line="276" w:lineRule="auto"/>
              <w:jc w:val="center"/>
              <w:rPr>
                <w:rFonts w:cs="Arial"/>
                <w:b/>
                <w:bCs/>
                <w:color w:val="000000"/>
                <w:sz w:val="16"/>
                <w:szCs w:val="16"/>
              </w:rPr>
            </w:pPr>
            <w:r w:rsidRPr="00EF606E">
              <w:rPr>
                <w:rFonts w:cs="Arial"/>
                <w:b/>
                <w:bCs/>
                <w:color w:val="000000"/>
                <w:sz w:val="16"/>
                <w:szCs w:val="16"/>
              </w:rPr>
              <w:t>ΦΟΡΕΑΣ</w:t>
            </w:r>
          </w:p>
        </w:tc>
        <w:tc>
          <w:tcPr>
            <w:tcW w:w="4157" w:type="dxa"/>
            <w:gridSpan w:val="3"/>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000000" w:fill="E0E6EE"/>
            <w:vAlign w:val="center"/>
            <w:hideMark/>
          </w:tcPr>
          <w:p w14:paraId="7667F5C6" w14:textId="77777777" w:rsidR="00E72A48" w:rsidRPr="00EF606E" w:rsidRDefault="00E72A48" w:rsidP="00E72A48">
            <w:pPr>
              <w:spacing w:after="0" w:line="276" w:lineRule="auto"/>
              <w:jc w:val="center"/>
              <w:rPr>
                <w:rFonts w:cs="Arial"/>
                <w:b/>
                <w:bCs/>
                <w:color w:val="000000"/>
                <w:sz w:val="16"/>
                <w:szCs w:val="16"/>
              </w:rPr>
            </w:pPr>
            <w:r w:rsidRPr="00EF606E">
              <w:rPr>
                <w:rFonts w:cs="Arial"/>
                <w:b/>
                <w:bCs/>
                <w:color w:val="000000"/>
                <w:sz w:val="16"/>
                <w:szCs w:val="16"/>
              </w:rPr>
              <w:t>ΠΡΟΫΠΟΛΟΓΙΣΜΟΣ</w:t>
            </w:r>
          </w:p>
        </w:tc>
      </w:tr>
      <w:tr w:rsidR="00E72A48" w:rsidRPr="00EF606E" w14:paraId="4359930B" w14:textId="77777777" w:rsidTr="0007734A">
        <w:trPr>
          <w:cantSplit/>
          <w:trHeight w:val="450"/>
          <w:tblHeader/>
          <w:jc w:val="center"/>
        </w:trPr>
        <w:tc>
          <w:tcPr>
            <w:tcW w:w="1051" w:type="dxa"/>
            <w:vMerge/>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52D13521" w14:textId="77777777" w:rsidR="00E72A48" w:rsidRPr="00EF606E" w:rsidRDefault="00E72A48" w:rsidP="00E72A48">
            <w:pPr>
              <w:spacing w:after="0" w:line="276" w:lineRule="auto"/>
              <w:jc w:val="left"/>
              <w:rPr>
                <w:rFonts w:cs="Arial"/>
                <w:b/>
                <w:bCs/>
                <w:color w:val="000000"/>
                <w:sz w:val="16"/>
                <w:szCs w:val="16"/>
              </w:rPr>
            </w:pPr>
          </w:p>
        </w:tc>
        <w:tc>
          <w:tcPr>
            <w:tcW w:w="2112" w:type="dxa"/>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0E6EE"/>
            <w:vAlign w:val="center"/>
            <w:hideMark/>
          </w:tcPr>
          <w:p w14:paraId="3EF022A2" w14:textId="77777777" w:rsidR="00E72A48" w:rsidRPr="00EF606E" w:rsidRDefault="00E72A48" w:rsidP="00E72A48">
            <w:pPr>
              <w:spacing w:after="0" w:line="276" w:lineRule="auto"/>
              <w:jc w:val="left"/>
              <w:rPr>
                <w:rFonts w:cs="Arial"/>
                <w:b/>
                <w:bCs/>
                <w:color w:val="000000"/>
                <w:sz w:val="16"/>
                <w:szCs w:val="16"/>
              </w:rPr>
            </w:pPr>
          </w:p>
        </w:tc>
        <w:tc>
          <w:tcPr>
            <w:tcW w:w="1752" w:type="dxa"/>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E0E6EE"/>
            <w:vAlign w:val="center"/>
            <w:hideMark/>
          </w:tcPr>
          <w:p w14:paraId="1D6D6D0E" w14:textId="77777777" w:rsidR="00E72A48" w:rsidRPr="00EF606E" w:rsidRDefault="00E72A48" w:rsidP="00E72A48">
            <w:pPr>
              <w:spacing w:after="0" w:line="276" w:lineRule="auto"/>
              <w:jc w:val="left"/>
              <w:rPr>
                <w:rFonts w:cs="Arial"/>
                <w:b/>
                <w:bCs/>
                <w:color w:val="000000"/>
                <w:sz w:val="16"/>
                <w:szCs w:val="16"/>
              </w:rPr>
            </w:pPr>
          </w:p>
        </w:tc>
        <w:tc>
          <w:tcPr>
            <w:tcW w:w="115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E0E6EE"/>
            <w:vAlign w:val="center"/>
            <w:hideMark/>
          </w:tcPr>
          <w:p w14:paraId="09FD8183" w14:textId="77777777" w:rsidR="00E72A48" w:rsidRPr="00EF606E" w:rsidRDefault="00E72A48" w:rsidP="00E72A48">
            <w:pPr>
              <w:spacing w:after="0" w:line="276" w:lineRule="auto"/>
              <w:jc w:val="center"/>
              <w:rPr>
                <w:rFonts w:cs="Arial"/>
                <w:b/>
                <w:bCs/>
                <w:color w:val="000000"/>
                <w:sz w:val="16"/>
                <w:szCs w:val="16"/>
              </w:rPr>
            </w:pPr>
            <w:r w:rsidRPr="00EF606E">
              <w:rPr>
                <w:rFonts w:cs="Arial"/>
                <w:b/>
                <w:bCs/>
                <w:color w:val="000000"/>
                <w:sz w:val="16"/>
                <w:szCs w:val="16"/>
              </w:rPr>
              <w:t>ΚΕΝΤΡΙΚΗ ΔΙΟΙΚΗΣΗ</w:t>
            </w:r>
          </w:p>
        </w:tc>
        <w:tc>
          <w:tcPr>
            <w:tcW w:w="130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E0E6EE"/>
            <w:vAlign w:val="center"/>
            <w:hideMark/>
          </w:tcPr>
          <w:p w14:paraId="5D5E46BF" w14:textId="77777777" w:rsidR="00E72A48" w:rsidRPr="00EF606E" w:rsidRDefault="00E72A48" w:rsidP="00E72A48">
            <w:pPr>
              <w:spacing w:after="0" w:line="276" w:lineRule="auto"/>
              <w:jc w:val="center"/>
              <w:rPr>
                <w:rFonts w:cs="Arial"/>
                <w:b/>
                <w:bCs/>
                <w:color w:val="000000"/>
                <w:sz w:val="16"/>
                <w:szCs w:val="16"/>
              </w:rPr>
            </w:pPr>
            <w:r w:rsidRPr="00EF606E">
              <w:rPr>
                <w:rFonts w:cs="Arial"/>
                <w:b/>
                <w:bCs/>
                <w:color w:val="000000"/>
                <w:sz w:val="16"/>
                <w:szCs w:val="16"/>
              </w:rPr>
              <w:t>ΛΟΙΠΟΙ ΦΟΡΕΙΣ ΓΕΝΙΚΗΣ ΚΥΒΕΡΝΗΣΗΣ</w:t>
            </w:r>
          </w:p>
        </w:tc>
        <w:tc>
          <w:tcPr>
            <w:tcW w:w="1699"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000000" w:fill="E0E6EE"/>
            <w:vAlign w:val="center"/>
            <w:hideMark/>
          </w:tcPr>
          <w:p w14:paraId="04CCE428" w14:textId="77777777" w:rsidR="00E72A48" w:rsidRPr="00EF606E" w:rsidRDefault="00E72A48" w:rsidP="00E72A48">
            <w:pPr>
              <w:spacing w:after="0" w:line="276" w:lineRule="auto"/>
              <w:jc w:val="center"/>
              <w:rPr>
                <w:rFonts w:cs="Arial"/>
                <w:b/>
                <w:bCs/>
                <w:color w:val="000000"/>
                <w:sz w:val="16"/>
                <w:szCs w:val="16"/>
              </w:rPr>
            </w:pPr>
            <w:r w:rsidRPr="00EF606E">
              <w:rPr>
                <w:rFonts w:cs="Arial"/>
                <w:b/>
                <w:bCs/>
                <w:color w:val="000000"/>
                <w:sz w:val="16"/>
                <w:szCs w:val="16"/>
              </w:rPr>
              <w:t>ΣΥΝΟΛΟ</w:t>
            </w:r>
          </w:p>
        </w:tc>
      </w:tr>
      <w:tr w:rsidR="00E72A48" w:rsidRPr="00EF606E" w14:paraId="584A5230" w14:textId="77777777" w:rsidTr="0007734A">
        <w:trPr>
          <w:cantSplit/>
          <w:trHeight w:val="195"/>
          <w:jc w:val="center"/>
        </w:trPr>
        <w:tc>
          <w:tcPr>
            <w:tcW w:w="1051" w:type="dxa"/>
            <w:tcBorders>
              <w:top w:val="single" w:sz="2" w:space="0" w:color="A6A6A6" w:themeColor="background1" w:themeShade="A6"/>
            </w:tcBorders>
            <w:shd w:val="clear" w:color="000000" w:fill="D9D9D9"/>
            <w:vAlign w:val="bottom"/>
            <w:hideMark/>
          </w:tcPr>
          <w:p w14:paraId="5E6AF5E5"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01</w:t>
            </w:r>
          </w:p>
        </w:tc>
        <w:tc>
          <w:tcPr>
            <w:tcW w:w="2112" w:type="dxa"/>
            <w:tcBorders>
              <w:top w:val="single" w:sz="2" w:space="0" w:color="A6A6A6" w:themeColor="background1" w:themeShade="A6"/>
            </w:tcBorders>
            <w:shd w:val="clear" w:color="000000" w:fill="D9D9D9"/>
            <w:vAlign w:val="bottom"/>
            <w:hideMark/>
          </w:tcPr>
          <w:p w14:paraId="4868376B"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ΟΡΙΖΟΝΤΙΕΣ/ ΕΙΔΙΚΕΣ ΛΕΙΤΟΥΡΓΙΕΣ ΤΟΥ ΚΡΑΤΟΥΣ</w:t>
            </w:r>
          </w:p>
        </w:tc>
        <w:tc>
          <w:tcPr>
            <w:tcW w:w="1752" w:type="dxa"/>
            <w:tcBorders>
              <w:top w:val="single" w:sz="2" w:space="0" w:color="A6A6A6" w:themeColor="background1" w:themeShade="A6"/>
            </w:tcBorders>
            <w:shd w:val="clear" w:color="000000" w:fill="D9D9D9"/>
            <w:vAlign w:val="bottom"/>
            <w:hideMark/>
          </w:tcPr>
          <w:p w14:paraId="6122ECEB"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tcBorders>
              <w:top w:val="single" w:sz="2" w:space="0" w:color="A6A6A6" w:themeColor="background1" w:themeShade="A6"/>
            </w:tcBorders>
            <w:shd w:val="clear" w:color="000000" w:fill="D9D9D9"/>
            <w:vAlign w:val="bottom"/>
            <w:hideMark/>
          </w:tcPr>
          <w:p w14:paraId="13E7E68A"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16.571.357 €</w:t>
            </w:r>
          </w:p>
        </w:tc>
        <w:tc>
          <w:tcPr>
            <w:tcW w:w="1306" w:type="dxa"/>
            <w:tcBorders>
              <w:top w:val="single" w:sz="2" w:space="0" w:color="A6A6A6" w:themeColor="background1" w:themeShade="A6"/>
            </w:tcBorders>
            <w:shd w:val="clear" w:color="000000" w:fill="D9D9D9"/>
            <w:vAlign w:val="bottom"/>
            <w:hideMark/>
          </w:tcPr>
          <w:p w14:paraId="4283F694"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496.888 €</w:t>
            </w:r>
          </w:p>
        </w:tc>
        <w:tc>
          <w:tcPr>
            <w:tcW w:w="1699" w:type="dxa"/>
            <w:tcBorders>
              <w:top w:val="single" w:sz="2" w:space="0" w:color="A6A6A6" w:themeColor="background1" w:themeShade="A6"/>
            </w:tcBorders>
            <w:shd w:val="clear" w:color="000000" w:fill="D9D9D9"/>
            <w:vAlign w:val="bottom"/>
            <w:hideMark/>
          </w:tcPr>
          <w:p w14:paraId="5B975951"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17.068.245 €</w:t>
            </w:r>
          </w:p>
        </w:tc>
      </w:tr>
      <w:tr w:rsidR="00E72A48" w:rsidRPr="00EF606E" w14:paraId="425C3C10" w14:textId="77777777" w:rsidTr="0007734A">
        <w:trPr>
          <w:cantSplit/>
          <w:trHeight w:val="420"/>
          <w:jc w:val="center"/>
        </w:trPr>
        <w:tc>
          <w:tcPr>
            <w:tcW w:w="1051" w:type="dxa"/>
            <w:shd w:val="clear" w:color="auto" w:fill="auto"/>
            <w:vAlign w:val="center"/>
            <w:hideMark/>
          </w:tcPr>
          <w:p w14:paraId="363FEC8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01.1001.001</w:t>
            </w:r>
          </w:p>
        </w:tc>
        <w:tc>
          <w:tcPr>
            <w:tcW w:w="2112" w:type="dxa"/>
            <w:shd w:val="clear" w:color="auto" w:fill="auto"/>
            <w:vAlign w:val="center"/>
            <w:hideMark/>
          </w:tcPr>
          <w:p w14:paraId="4D60EE6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ΔΙΟΙΚΗΤΙΚΗ ΚΑΙ ΕΠΙΤΕΛΙΚΗ ΥΠΟΣΤΗΡΙΞΗ ΤΗΣ ΠΡΟΕΔΡΙΑΣ ΤΗΣ ΔΗΜΟΚΡΑΤΙΑΣ</w:t>
            </w:r>
          </w:p>
        </w:tc>
        <w:tc>
          <w:tcPr>
            <w:tcW w:w="1752" w:type="dxa"/>
            <w:shd w:val="clear" w:color="auto" w:fill="auto"/>
            <w:vAlign w:val="center"/>
            <w:hideMark/>
          </w:tcPr>
          <w:p w14:paraId="1AA5A6B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ΠΡΟΕΔΡΙΑ ΤΗΣ ΔΗΜΟΚΡΑΤΙΑΣ</w:t>
            </w:r>
          </w:p>
        </w:tc>
        <w:tc>
          <w:tcPr>
            <w:tcW w:w="1152" w:type="dxa"/>
            <w:shd w:val="clear" w:color="auto" w:fill="auto"/>
            <w:vAlign w:val="center"/>
            <w:hideMark/>
          </w:tcPr>
          <w:p w14:paraId="5FF9FCD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4.951 €</w:t>
            </w:r>
          </w:p>
        </w:tc>
        <w:tc>
          <w:tcPr>
            <w:tcW w:w="1306" w:type="dxa"/>
            <w:shd w:val="clear" w:color="auto" w:fill="auto"/>
            <w:vAlign w:val="center"/>
            <w:hideMark/>
          </w:tcPr>
          <w:p w14:paraId="1465CB0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202B90B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4.951 €</w:t>
            </w:r>
          </w:p>
        </w:tc>
      </w:tr>
      <w:tr w:rsidR="00E72A48" w:rsidRPr="00EF606E" w14:paraId="5B8F63ED" w14:textId="77777777" w:rsidTr="0007734A">
        <w:trPr>
          <w:cantSplit/>
          <w:trHeight w:val="210"/>
          <w:jc w:val="center"/>
        </w:trPr>
        <w:tc>
          <w:tcPr>
            <w:tcW w:w="1051" w:type="dxa"/>
            <w:shd w:val="clear" w:color="auto" w:fill="auto"/>
            <w:vAlign w:val="center"/>
            <w:hideMark/>
          </w:tcPr>
          <w:p w14:paraId="6778FB6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01.1003.001</w:t>
            </w:r>
          </w:p>
        </w:tc>
        <w:tc>
          <w:tcPr>
            <w:tcW w:w="2112" w:type="dxa"/>
            <w:shd w:val="clear" w:color="auto" w:fill="auto"/>
            <w:vAlign w:val="center"/>
            <w:hideMark/>
          </w:tcPr>
          <w:p w14:paraId="2751136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ΚΟΙΝΟΒΟΥΛΕΥΤΙΚΟ ΕΡΓΟ</w:t>
            </w:r>
          </w:p>
        </w:tc>
        <w:tc>
          <w:tcPr>
            <w:tcW w:w="1752" w:type="dxa"/>
            <w:shd w:val="clear" w:color="auto" w:fill="auto"/>
            <w:vAlign w:val="center"/>
            <w:hideMark/>
          </w:tcPr>
          <w:p w14:paraId="6C623BB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ΒΟΥΛΗ ΤΩΝ ΕΛΛΗΝΩΝ</w:t>
            </w:r>
          </w:p>
        </w:tc>
        <w:tc>
          <w:tcPr>
            <w:tcW w:w="1152" w:type="dxa"/>
            <w:shd w:val="clear" w:color="auto" w:fill="auto"/>
            <w:vAlign w:val="center"/>
            <w:hideMark/>
          </w:tcPr>
          <w:p w14:paraId="0F99F1D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186.630 €</w:t>
            </w:r>
          </w:p>
        </w:tc>
        <w:tc>
          <w:tcPr>
            <w:tcW w:w="1306" w:type="dxa"/>
            <w:shd w:val="clear" w:color="auto" w:fill="auto"/>
            <w:vAlign w:val="center"/>
            <w:hideMark/>
          </w:tcPr>
          <w:p w14:paraId="1FE0740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00D08BC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186.630 €</w:t>
            </w:r>
          </w:p>
        </w:tc>
      </w:tr>
      <w:tr w:rsidR="00E72A48" w:rsidRPr="00EF606E" w14:paraId="13863598" w14:textId="77777777" w:rsidTr="0007734A">
        <w:trPr>
          <w:cantSplit/>
          <w:trHeight w:val="420"/>
          <w:jc w:val="center"/>
        </w:trPr>
        <w:tc>
          <w:tcPr>
            <w:tcW w:w="1051" w:type="dxa"/>
            <w:shd w:val="clear" w:color="auto" w:fill="auto"/>
            <w:vAlign w:val="center"/>
            <w:hideMark/>
          </w:tcPr>
          <w:p w14:paraId="26F966F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01.1004.001</w:t>
            </w:r>
          </w:p>
        </w:tc>
        <w:tc>
          <w:tcPr>
            <w:tcW w:w="2112" w:type="dxa"/>
            <w:shd w:val="clear" w:color="auto" w:fill="auto"/>
            <w:vAlign w:val="center"/>
            <w:hideMark/>
          </w:tcPr>
          <w:p w14:paraId="48F1192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ΠΡΟΕΔΡΙΑΣ ΤΗΣ ΚΥΒΕΡΝΗΣΗΣ</w:t>
            </w:r>
          </w:p>
        </w:tc>
        <w:tc>
          <w:tcPr>
            <w:tcW w:w="1752" w:type="dxa"/>
            <w:shd w:val="clear" w:color="auto" w:fill="auto"/>
            <w:vAlign w:val="center"/>
            <w:hideMark/>
          </w:tcPr>
          <w:p w14:paraId="645EE92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ΠΡΟΕΔΡΙΑ ΤΗΣ ΚΥΒΕΡΝΗΣΗΣ</w:t>
            </w:r>
          </w:p>
        </w:tc>
        <w:tc>
          <w:tcPr>
            <w:tcW w:w="1152" w:type="dxa"/>
            <w:shd w:val="clear" w:color="auto" w:fill="auto"/>
            <w:vAlign w:val="center"/>
            <w:hideMark/>
          </w:tcPr>
          <w:p w14:paraId="28242E6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11.066 €</w:t>
            </w:r>
          </w:p>
        </w:tc>
        <w:tc>
          <w:tcPr>
            <w:tcW w:w="1306" w:type="dxa"/>
            <w:shd w:val="clear" w:color="auto" w:fill="auto"/>
            <w:vAlign w:val="center"/>
            <w:hideMark/>
          </w:tcPr>
          <w:p w14:paraId="0F15E59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56158B1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11.066 €</w:t>
            </w:r>
          </w:p>
        </w:tc>
      </w:tr>
      <w:tr w:rsidR="00E72A48" w:rsidRPr="00EF606E" w14:paraId="33917551" w14:textId="77777777" w:rsidTr="0007734A">
        <w:trPr>
          <w:cantSplit/>
          <w:trHeight w:val="210"/>
          <w:jc w:val="center"/>
        </w:trPr>
        <w:tc>
          <w:tcPr>
            <w:tcW w:w="1051" w:type="dxa"/>
            <w:shd w:val="clear" w:color="auto" w:fill="auto"/>
            <w:vAlign w:val="center"/>
            <w:hideMark/>
          </w:tcPr>
          <w:p w14:paraId="1EC2D73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01.1004.002</w:t>
            </w:r>
          </w:p>
        </w:tc>
        <w:tc>
          <w:tcPr>
            <w:tcW w:w="2112" w:type="dxa"/>
            <w:shd w:val="clear" w:color="auto" w:fill="auto"/>
            <w:vAlign w:val="center"/>
            <w:hideMark/>
          </w:tcPr>
          <w:p w14:paraId="33C65DE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ΣΥΝΤΟΝΙΣΜΟΣ ΚΥΒΕΡΝΗΤΙΚΟΥ ΕΡΓΟΥ</w:t>
            </w:r>
          </w:p>
        </w:tc>
        <w:tc>
          <w:tcPr>
            <w:tcW w:w="1752" w:type="dxa"/>
            <w:shd w:val="clear" w:color="auto" w:fill="auto"/>
            <w:vAlign w:val="center"/>
            <w:hideMark/>
          </w:tcPr>
          <w:p w14:paraId="5C0C238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ΠΡΟΕΔΡΙΑ ΤΗΣ ΚΥΒΕΡΝΗΣΗΣ</w:t>
            </w:r>
          </w:p>
        </w:tc>
        <w:tc>
          <w:tcPr>
            <w:tcW w:w="1152" w:type="dxa"/>
            <w:shd w:val="clear" w:color="auto" w:fill="auto"/>
            <w:vAlign w:val="center"/>
            <w:hideMark/>
          </w:tcPr>
          <w:p w14:paraId="58BAF07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5.013 €</w:t>
            </w:r>
          </w:p>
        </w:tc>
        <w:tc>
          <w:tcPr>
            <w:tcW w:w="1306" w:type="dxa"/>
            <w:shd w:val="clear" w:color="auto" w:fill="auto"/>
            <w:vAlign w:val="center"/>
            <w:hideMark/>
          </w:tcPr>
          <w:p w14:paraId="16A8E97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69105B7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5.013 €</w:t>
            </w:r>
          </w:p>
        </w:tc>
      </w:tr>
      <w:tr w:rsidR="00E72A48" w:rsidRPr="00EF606E" w14:paraId="52591D49" w14:textId="77777777" w:rsidTr="0007734A">
        <w:trPr>
          <w:cantSplit/>
          <w:trHeight w:val="420"/>
          <w:jc w:val="center"/>
        </w:trPr>
        <w:tc>
          <w:tcPr>
            <w:tcW w:w="1051" w:type="dxa"/>
            <w:shd w:val="clear" w:color="auto" w:fill="auto"/>
            <w:vAlign w:val="center"/>
            <w:hideMark/>
          </w:tcPr>
          <w:p w14:paraId="6E4E67C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01.1004.003</w:t>
            </w:r>
          </w:p>
        </w:tc>
        <w:tc>
          <w:tcPr>
            <w:tcW w:w="2112" w:type="dxa"/>
            <w:shd w:val="clear" w:color="auto" w:fill="auto"/>
            <w:vAlign w:val="center"/>
            <w:hideMark/>
          </w:tcPr>
          <w:p w14:paraId="50F06F2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ΣΥΝΟΧΗ ΚΑΙ ΣΥΝΤΟΝΙΣΜΟΣ ΝΟΜΟΠΑΡΑΣΚΕΥΑΣΤΙΚΗΣ ΔΙΑΔΙΚΑΣΙΑΣ</w:t>
            </w:r>
          </w:p>
        </w:tc>
        <w:tc>
          <w:tcPr>
            <w:tcW w:w="1752" w:type="dxa"/>
            <w:shd w:val="clear" w:color="auto" w:fill="auto"/>
            <w:vAlign w:val="center"/>
            <w:hideMark/>
          </w:tcPr>
          <w:p w14:paraId="32E5CD3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ΠΡΟΕΔΡΙΑ ΤΗΣ ΚΥΒΕΡΝΗΣΗΣ</w:t>
            </w:r>
          </w:p>
        </w:tc>
        <w:tc>
          <w:tcPr>
            <w:tcW w:w="1152" w:type="dxa"/>
            <w:shd w:val="clear" w:color="auto" w:fill="auto"/>
            <w:vAlign w:val="center"/>
            <w:hideMark/>
          </w:tcPr>
          <w:p w14:paraId="34FE95D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11.728 €</w:t>
            </w:r>
          </w:p>
        </w:tc>
        <w:tc>
          <w:tcPr>
            <w:tcW w:w="1306" w:type="dxa"/>
            <w:shd w:val="clear" w:color="auto" w:fill="auto"/>
            <w:vAlign w:val="center"/>
            <w:hideMark/>
          </w:tcPr>
          <w:p w14:paraId="25C7314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65BB026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11.728 €</w:t>
            </w:r>
          </w:p>
        </w:tc>
      </w:tr>
      <w:tr w:rsidR="00E72A48" w:rsidRPr="00EF606E" w14:paraId="07ED9C25" w14:textId="77777777" w:rsidTr="0007734A">
        <w:trPr>
          <w:cantSplit/>
          <w:trHeight w:val="420"/>
          <w:jc w:val="center"/>
        </w:trPr>
        <w:tc>
          <w:tcPr>
            <w:tcW w:w="1051" w:type="dxa"/>
            <w:shd w:val="clear" w:color="auto" w:fill="auto"/>
            <w:vAlign w:val="center"/>
            <w:hideMark/>
          </w:tcPr>
          <w:p w14:paraId="3FC565D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01.1004.004</w:t>
            </w:r>
          </w:p>
        </w:tc>
        <w:tc>
          <w:tcPr>
            <w:tcW w:w="2112" w:type="dxa"/>
            <w:shd w:val="clear" w:color="auto" w:fill="auto"/>
            <w:vAlign w:val="center"/>
            <w:hideMark/>
          </w:tcPr>
          <w:p w14:paraId="12E1C22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ΣΥΝΤΟΝΙΣΜΟΣ ΚΥΒΕΡΝΗΤΙΚΩΝ ΔΡΑΣΕΩΝ ΣΕ ΘΕΜΑΤΑ ΕΘΝΙΚΗΣ ΑΣΦΑΛΕΙΑΣ</w:t>
            </w:r>
          </w:p>
        </w:tc>
        <w:tc>
          <w:tcPr>
            <w:tcW w:w="1752" w:type="dxa"/>
            <w:shd w:val="clear" w:color="auto" w:fill="auto"/>
            <w:vAlign w:val="center"/>
            <w:hideMark/>
          </w:tcPr>
          <w:p w14:paraId="79E2171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ΠΡΟΕΔΡΙΑ ΤΗΣ ΚΥΒΕΡΝΗΣΗΣ</w:t>
            </w:r>
          </w:p>
        </w:tc>
        <w:tc>
          <w:tcPr>
            <w:tcW w:w="1152" w:type="dxa"/>
            <w:shd w:val="clear" w:color="auto" w:fill="auto"/>
            <w:vAlign w:val="center"/>
            <w:hideMark/>
          </w:tcPr>
          <w:p w14:paraId="719D1E7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215 €</w:t>
            </w:r>
          </w:p>
        </w:tc>
        <w:tc>
          <w:tcPr>
            <w:tcW w:w="1306" w:type="dxa"/>
            <w:shd w:val="clear" w:color="auto" w:fill="auto"/>
            <w:vAlign w:val="center"/>
            <w:hideMark/>
          </w:tcPr>
          <w:p w14:paraId="33A72D0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2F771F0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215 €</w:t>
            </w:r>
          </w:p>
        </w:tc>
      </w:tr>
      <w:tr w:rsidR="00E72A48" w:rsidRPr="00EF606E" w14:paraId="0C5F5C2E" w14:textId="77777777" w:rsidTr="0007734A">
        <w:trPr>
          <w:cantSplit/>
          <w:trHeight w:val="420"/>
          <w:jc w:val="center"/>
        </w:trPr>
        <w:tc>
          <w:tcPr>
            <w:tcW w:w="1051" w:type="dxa"/>
            <w:shd w:val="clear" w:color="auto" w:fill="auto"/>
            <w:vAlign w:val="center"/>
            <w:hideMark/>
          </w:tcPr>
          <w:p w14:paraId="418BFA0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01.1007.001</w:t>
            </w:r>
          </w:p>
        </w:tc>
        <w:tc>
          <w:tcPr>
            <w:tcW w:w="2112" w:type="dxa"/>
            <w:shd w:val="clear" w:color="auto" w:fill="auto"/>
            <w:vAlign w:val="center"/>
            <w:hideMark/>
          </w:tcPr>
          <w:p w14:paraId="3204B0E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ΕΣΩΤΕΡΙΚΩΝ</w:t>
            </w:r>
          </w:p>
        </w:tc>
        <w:tc>
          <w:tcPr>
            <w:tcW w:w="1752" w:type="dxa"/>
            <w:shd w:val="clear" w:color="auto" w:fill="auto"/>
            <w:vAlign w:val="center"/>
            <w:hideMark/>
          </w:tcPr>
          <w:p w14:paraId="79040C4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shd w:val="clear" w:color="auto" w:fill="auto"/>
            <w:vAlign w:val="center"/>
            <w:hideMark/>
          </w:tcPr>
          <w:p w14:paraId="2B58B32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47.121 €</w:t>
            </w:r>
          </w:p>
        </w:tc>
        <w:tc>
          <w:tcPr>
            <w:tcW w:w="1306" w:type="dxa"/>
            <w:shd w:val="clear" w:color="auto" w:fill="auto"/>
            <w:vAlign w:val="center"/>
            <w:hideMark/>
          </w:tcPr>
          <w:p w14:paraId="04DD963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12.724 €</w:t>
            </w:r>
          </w:p>
        </w:tc>
        <w:tc>
          <w:tcPr>
            <w:tcW w:w="1699" w:type="dxa"/>
            <w:shd w:val="clear" w:color="auto" w:fill="auto"/>
            <w:vAlign w:val="center"/>
            <w:hideMark/>
          </w:tcPr>
          <w:p w14:paraId="43D98F6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59.846 €</w:t>
            </w:r>
          </w:p>
        </w:tc>
      </w:tr>
      <w:tr w:rsidR="00E72A48" w:rsidRPr="00EF606E" w14:paraId="5C6E3E23" w14:textId="77777777" w:rsidTr="0007734A">
        <w:trPr>
          <w:cantSplit/>
          <w:trHeight w:val="420"/>
          <w:jc w:val="center"/>
        </w:trPr>
        <w:tc>
          <w:tcPr>
            <w:tcW w:w="1051" w:type="dxa"/>
            <w:shd w:val="clear" w:color="auto" w:fill="auto"/>
            <w:vAlign w:val="center"/>
            <w:hideMark/>
          </w:tcPr>
          <w:p w14:paraId="41600A8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01.1007.002</w:t>
            </w:r>
          </w:p>
        </w:tc>
        <w:tc>
          <w:tcPr>
            <w:tcW w:w="2112" w:type="dxa"/>
            <w:shd w:val="clear" w:color="auto" w:fill="auto"/>
            <w:vAlign w:val="center"/>
            <w:hideMark/>
          </w:tcPr>
          <w:p w14:paraId="1C81CC1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ΣΧΕΔΙΑΣΜΟΣ ΚΑΙ ΥΛΟΠΟΙΗΣΗ ΠΟΛΙΤΙΚΩΝ ΙΘΑΓΕΝΕΙΑΣ</w:t>
            </w:r>
          </w:p>
        </w:tc>
        <w:tc>
          <w:tcPr>
            <w:tcW w:w="1752" w:type="dxa"/>
            <w:shd w:val="clear" w:color="auto" w:fill="auto"/>
            <w:vAlign w:val="center"/>
            <w:hideMark/>
          </w:tcPr>
          <w:p w14:paraId="3A806F4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shd w:val="clear" w:color="auto" w:fill="auto"/>
            <w:vAlign w:val="center"/>
            <w:hideMark/>
          </w:tcPr>
          <w:p w14:paraId="6C3971C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6.474 €</w:t>
            </w:r>
          </w:p>
        </w:tc>
        <w:tc>
          <w:tcPr>
            <w:tcW w:w="1306" w:type="dxa"/>
            <w:shd w:val="clear" w:color="auto" w:fill="auto"/>
            <w:vAlign w:val="center"/>
            <w:hideMark/>
          </w:tcPr>
          <w:p w14:paraId="72CE8C3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78E74C7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6.474 €</w:t>
            </w:r>
          </w:p>
        </w:tc>
      </w:tr>
      <w:tr w:rsidR="00E72A48" w:rsidRPr="00EF606E" w14:paraId="39C9E696" w14:textId="77777777" w:rsidTr="0007734A">
        <w:trPr>
          <w:cantSplit/>
          <w:trHeight w:val="420"/>
          <w:jc w:val="center"/>
        </w:trPr>
        <w:tc>
          <w:tcPr>
            <w:tcW w:w="1051" w:type="dxa"/>
            <w:shd w:val="clear" w:color="auto" w:fill="auto"/>
            <w:vAlign w:val="center"/>
            <w:hideMark/>
          </w:tcPr>
          <w:p w14:paraId="0C529FC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01.1007.003</w:t>
            </w:r>
          </w:p>
        </w:tc>
        <w:tc>
          <w:tcPr>
            <w:tcW w:w="2112" w:type="dxa"/>
            <w:shd w:val="clear" w:color="auto" w:fill="auto"/>
            <w:vAlign w:val="center"/>
            <w:hideMark/>
          </w:tcPr>
          <w:p w14:paraId="58C77D3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ΑΝΘΡΩΠΙΝΟ ΔΥΝΑΜΙΚΟ ΔΗΜΟΣΙΟΥ ΤΟΜΕΑ ΚΑΙ ΕΚΣΥ</w:t>
            </w:r>
            <w:r>
              <w:rPr>
                <w:rFonts w:cs="Arial"/>
                <w:color w:val="000000"/>
                <w:sz w:val="15"/>
                <w:szCs w:val="15"/>
              </w:rPr>
              <w:t>Γ</w:t>
            </w:r>
            <w:r w:rsidRPr="00EF606E">
              <w:rPr>
                <w:rFonts w:cs="Arial"/>
                <w:color w:val="000000"/>
                <w:sz w:val="15"/>
                <w:szCs w:val="15"/>
              </w:rPr>
              <w:t>ΧΡΟΝΙΣΜΟΣ ΔΗΜΟΣΙΩΝ ΟΡΓΑΝΩΣΕΩΝ</w:t>
            </w:r>
          </w:p>
        </w:tc>
        <w:tc>
          <w:tcPr>
            <w:tcW w:w="1752" w:type="dxa"/>
            <w:shd w:val="clear" w:color="auto" w:fill="auto"/>
            <w:vAlign w:val="center"/>
            <w:hideMark/>
          </w:tcPr>
          <w:p w14:paraId="781A7E9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shd w:val="clear" w:color="auto" w:fill="auto"/>
            <w:vAlign w:val="center"/>
            <w:hideMark/>
          </w:tcPr>
          <w:p w14:paraId="2B78479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23.884 €</w:t>
            </w:r>
          </w:p>
        </w:tc>
        <w:tc>
          <w:tcPr>
            <w:tcW w:w="1306" w:type="dxa"/>
            <w:shd w:val="clear" w:color="auto" w:fill="auto"/>
            <w:vAlign w:val="center"/>
            <w:hideMark/>
          </w:tcPr>
          <w:p w14:paraId="4060588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4B3134F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23.884 €</w:t>
            </w:r>
          </w:p>
        </w:tc>
      </w:tr>
      <w:tr w:rsidR="00E72A48" w:rsidRPr="00EF606E" w14:paraId="5D78CC65" w14:textId="77777777" w:rsidTr="0007734A">
        <w:trPr>
          <w:cantSplit/>
          <w:trHeight w:val="210"/>
          <w:jc w:val="center"/>
        </w:trPr>
        <w:tc>
          <w:tcPr>
            <w:tcW w:w="1051" w:type="dxa"/>
            <w:shd w:val="clear" w:color="auto" w:fill="auto"/>
            <w:vAlign w:val="center"/>
            <w:hideMark/>
          </w:tcPr>
          <w:p w14:paraId="119FCFD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01.1007.004</w:t>
            </w:r>
          </w:p>
        </w:tc>
        <w:tc>
          <w:tcPr>
            <w:tcW w:w="2112" w:type="dxa"/>
            <w:shd w:val="clear" w:color="auto" w:fill="auto"/>
            <w:vAlign w:val="center"/>
            <w:hideMark/>
          </w:tcPr>
          <w:p w14:paraId="3AF4A87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ΕΠΙΛΟΓΗ ΠΡΟΣΩΠΙΚΟΥ ΣΤΟ ΔΗΜΟΣΙΟ ΤΟΜΕΑ</w:t>
            </w:r>
          </w:p>
        </w:tc>
        <w:tc>
          <w:tcPr>
            <w:tcW w:w="1752" w:type="dxa"/>
            <w:shd w:val="clear" w:color="auto" w:fill="auto"/>
            <w:vAlign w:val="center"/>
            <w:hideMark/>
          </w:tcPr>
          <w:p w14:paraId="56F0D79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shd w:val="clear" w:color="auto" w:fill="auto"/>
            <w:vAlign w:val="center"/>
            <w:hideMark/>
          </w:tcPr>
          <w:p w14:paraId="708CAD2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18.048 €</w:t>
            </w:r>
          </w:p>
        </w:tc>
        <w:tc>
          <w:tcPr>
            <w:tcW w:w="1306" w:type="dxa"/>
            <w:shd w:val="clear" w:color="auto" w:fill="auto"/>
            <w:vAlign w:val="center"/>
            <w:hideMark/>
          </w:tcPr>
          <w:p w14:paraId="5FDC7CF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28B25BC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18.048 €</w:t>
            </w:r>
          </w:p>
        </w:tc>
      </w:tr>
      <w:tr w:rsidR="00E72A48" w:rsidRPr="00EF606E" w14:paraId="4ED27FC1" w14:textId="77777777" w:rsidTr="0007734A">
        <w:trPr>
          <w:cantSplit/>
          <w:trHeight w:val="420"/>
          <w:jc w:val="center"/>
        </w:trPr>
        <w:tc>
          <w:tcPr>
            <w:tcW w:w="1051" w:type="dxa"/>
            <w:shd w:val="clear" w:color="auto" w:fill="auto"/>
            <w:vAlign w:val="center"/>
            <w:hideMark/>
          </w:tcPr>
          <w:p w14:paraId="7E46215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01.1007.005</w:t>
            </w:r>
          </w:p>
        </w:tc>
        <w:tc>
          <w:tcPr>
            <w:tcW w:w="2112" w:type="dxa"/>
            <w:shd w:val="clear" w:color="auto" w:fill="auto"/>
            <w:vAlign w:val="center"/>
            <w:hideMark/>
          </w:tcPr>
          <w:p w14:paraId="637B1BD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ΑΝΑΠΤΥΞΗ ΚΑΙ ΕΝΔΥΝΑΜΩΣΗ ΑΝΘΡΩΠΙΝΟΥ ΔΥΝΑΜΙΚΟΥ ΔΗΜΟΣΙΟΥ ΤΟΜΕΑ</w:t>
            </w:r>
          </w:p>
        </w:tc>
        <w:tc>
          <w:tcPr>
            <w:tcW w:w="1752" w:type="dxa"/>
            <w:shd w:val="clear" w:color="auto" w:fill="auto"/>
            <w:vAlign w:val="center"/>
            <w:hideMark/>
          </w:tcPr>
          <w:p w14:paraId="04E706C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shd w:val="clear" w:color="auto" w:fill="auto"/>
            <w:vAlign w:val="center"/>
            <w:hideMark/>
          </w:tcPr>
          <w:p w14:paraId="2DFAEE2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2.575 €</w:t>
            </w:r>
          </w:p>
        </w:tc>
        <w:tc>
          <w:tcPr>
            <w:tcW w:w="1306" w:type="dxa"/>
            <w:shd w:val="clear" w:color="auto" w:fill="auto"/>
            <w:vAlign w:val="center"/>
            <w:hideMark/>
          </w:tcPr>
          <w:p w14:paraId="0E90534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24.560 €</w:t>
            </w:r>
          </w:p>
        </w:tc>
        <w:tc>
          <w:tcPr>
            <w:tcW w:w="1699" w:type="dxa"/>
            <w:shd w:val="clear" w:color="auto" w:fill="auto"/>
            <w:vAlign w:val="center"/>
            <w:hideMark/>
          </w:tcPr>
          <w:p w14:paraId="51D761D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27.136 €</w:t>
            </w:r>
          </w:p>
        </w:tc>
      </w:tr>
      <w:tr w:rsidR="00E72A48" w:rsidRPr="00EF606E" w14:paraId="6F3107CF" w14:textId="77777777" w:rsidTr="0007734A">
        <w:trPr>
          <w:cantSplit/>
          <w:trHeight w:val="210"/>
          <w:jc w:val="center"/>
        </w:trPr>
        <w:tc>
          <w:tcPr>
            <w:tcW w:w="1051" w:type="dxa"/>
            <w:shd w:val="clear" w:color="auto" w:fill="auto"/>
            <w:vAlign w:val="center"/>
            <w:hideMark/>
          </w:tcPr>
          <w:p w14:paraId="7C7BDD7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01.1007.006</w:t>
            </w:r>
          </w:p>
        </w:tc>
        <w:tc>
          <w:tcPr>
            <w:tcW w:w="2112" w:type="dxa"/>
            <w:shd w:val="clear" w:color="auto" w:fill="auto"/>
            <w:vAlign w:val="center"/>
            <w:hideMark/>
          </w:tcPr>
          <w:p w14:paraId="36ECDE1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ΔΙΑΦΑΝΕΙΑ ΚΑΙ ΣΧΕΣΕΙΣ ΜΕ ΤΟΝ ΠΟΛΙΤΗ</w:t>
            </w:r>
          </w:p>
        </w:tc>
        <w:tc>
          <w:tcPr>
            <w:tcW w:w="1752" w:type="dxa"/>
            <w:shd w:val="clear" w:color="auto" w:fill="auto"/>
            <w:vAlign w:val="center"/>
            <w:hideMark/>
          </w:tcPr>
          <w:p w14:paraId="38114F4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shd w:val="clear" w:color="auto" w:fill="auto"/>
            <w:vAlign w:val="center"/>
            <w:hideMark/>
          </w:tcPr>
          <w:p w14:paraId="0B1A593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8.289 €</w:t>
            </w:r>
          </w:p>
        </w:tc>
        <w:tc>
          <w:tcPr>
            <w:tcW w:w="1306" w:type="dxa"/>
            <w:shd w:val="clear" w:color="auto" w:fill="auto"/>
            <w:vAlign w:val="center"/>
            <w:hideMark/>
          </w:tcPr>
          <w:p w14:paraId="0CDD5C5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232C226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8.289 €</w:t>
            </w:r>
          </w:p>
        </w:tc>
      </w:tr>
      <w:tr w:rsidR="00E72A48" w:rsidRPr="00EF606E" w14:paraId="18C4B863" w14:textId="77777777" w:rsidTr="0007734A">
        <w:trPr>
          <w:cantSplit/>
          <w:trHeight w:val="210"/>
          <w:jc w:val="center"/>
        </w:trPr>
        <w:tc>
          <w:tcPr>
            <w:tcW w:w="1051" w:type="dxa"/>
            <w:shd w:val="clear" w:color="auto" w:fill="auto"/>
            <w:vAlign w:val="center"/>
            <w:hideMark/>
          </w:tcPr>
          <w:p w14:paraId="47057F1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01.1007.007</w:t>
            </w:r>
          </w:p>
        </w:tc>
        <w:tc>
          <w:tcPr>
            <w:tcW w:w="2112" w:type="dxa"/>
            <w:shd w:val="clear" w:color="auto" w:fill="auto"/>
            <w:vAlign w:val="center"/>
            <w:hideMark/>
          </w:tcPr>
          <w:p w14:paraId="38E98EF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ΕΛΕΓΧΟΣ ΑΚΕΡΑΙΟΤΗΤΑ ΚΑΙ ΔΗΜΟΣΙΑ ΛΟΓΟΔΟΣΙΑ</w:t>
            </w:r>
          </w:p>
        </w:tc>
        <w:tc>
          <w:tcPr>
            <w:tcW w:w="1752" w:type="dxa"/>
            <w:shd w:val="clear" w:color="auto" w:fill="auto"/>
            <w:vAlign w:val="center"/>
            <w:hideMark/>
          </w:tcPr>
          <w:p w14:paraId="731E6C0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shd w:val="clear" w:color="auto" w:fill="auto"/>
            <w:vAlign w:val="center"/>
            <w:hideMark/>
          </w:tcPr>
          <w:p w14:paraId="712226C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11.256 €</w:t>
            </w:r>
          </w:p>
        </w:tc>
        <w:tc>
          <w:tcPr>
            <w:tcW w:w="1306" w:type="dxa"/>
            <w:shd w:val="clear" w:color="auto" w:fill="auto"/>
            <w:vAlign w:val="center"/>
            <w:hideMark/>
          </w:tcPr>
          <w:p w14:paraId="46364DA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2C4CC8E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11.256 €</w:t>
            </w:r>
          </w:p>
        </w:tc>
      </w:tr>
      <w:tr w:rsidR="00E72A48" w:rsidRPr="00EF606E" w14:paraId="1E8E9AAF" w14:textId="77777777" w:rsidTr="0007734A">
        <w:trPr>
          <w:cantSplit/>
          <w:trHeight w:val="210"/>
          <w:jc w:val="center"/>
        </w:trPr>
        <w:tc>
          <w:tcPr>
            <w:tcW w:w="1051" w:type="dxa"/>
            <w:shd w:val="clear" w:color="auto" w:fill="auto"/>
            <w:vAlign w:val="center"/>
            <w:hideMark/>
          </w:tcPr>
          <w:p w14:paraId="4DE27FB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01.1007.008</w:t>
            </w:r>
          </w:p>
        </w:tc>
        <w:tc>
          <w:tcPr>
            <w:tcW w:w="2112" w:type="dxa"/>
            <w:shd w:val="clear" w:color="auto" w:fill="auto"/>
            <w:vAlign w:val="center"/>
            <w:hideMark/>
          </w:tcPr>
          <w:p w14:paraId="054A497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ΕΚΛΟΓΕΣ-ΠΟΛΙΤΙΚΑ ΚΟΜΜΑΤΑ</w:t>
            </w:r>
          </w:p>
        </w:tc>
        <w:tc>
          <w:tcPr>
            <w:tcW w:w="1752" w:type="dxa"/>
            <w:shd w:val="clear" w:color="auto" w:fill="auto"/>
            <w:vAlign w:val="center"/>
            <w:hideMark/>
          </w:tcPr>
          <w:p w14:paraId="0DF1976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shd w:val="clear" w:color="auto" w:fill="auto"/>
            <w:vAlign w:val="center"/>
            <w:hideMark/>
          </w:tcPr>
          <w:p w14:paraId="084AFCB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44.374 €</w:t>
            </w:r>
          </w:p>
        </w:tc>
        <w:tc>
          <w:tcPr>
            <w:tcW w:w="1306" w:type="dxa"/>
            <w:shd w:val="clear" w:color="auto" w:fill="auto"/>
            <w:vAlign w:val="center"/>
            <w:hideMark/>
          </w:tcPr>
          <w:p w14:paraId="3FCE340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64AEBCD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44.374 €</w:t>
            </w:r>
          </w:p>
        </w:tc>
      </w:tr>
      <w:tr w:rsidR="00E72A48" w:rsidRPr="00EF606E" w14:paraId="41B6E30E" w14:textId="77777777" w:rsidTr="0007734A">
        <w:trPr>
          <w:cantSplit/>
          <w:trHeight w:val="420"/>
          <w:jc w:val="center"/>
        </w:trPr>
        <w:tc>
          <w:tcPr>
            <w:tcW w:w="1051" w:type="dxa"/>
            <w:shd w:val="clear" w:color="auto" w:fill="auto"/>
            <w:vAlign w:val="center"/>
            <w:hideMark/>
          </w:tcPr>
          <w:p w14:paraId="5FD0EF9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01.1007.009</w:t>
            </w:r>
          </w:p>
        </w:tc>
        <w:tc>
          <w:tcPr>
            <w:tcW w:w="2112" w:type="dxa"/>
            <w:shd w:val="clear" w:color="auto" w:fill="auto"/>
            <w:vAlign w:val="center"/>
            <w:hideMark/>
          </w:tcPr>
          <w:p w14:paraId="6D850AD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ΨΗΦΙΟΠΟΙΗΣΗ ΚΑΙ ΑΠΛΟΥΣΤΕΥΣΗ ΔΙΑΔΙΚΑΣΙΩΝ-ΑΝΑΒΑΘΜΙΣΗ ΕΞΥΠΗΡΕΤΗΣΗΣ ΠΟΛΙΤΩΝ ΑΠΟ ΤΑ ΚΕΠ</w:t>
            </w:r>
          </w:p>
        </w:tc>
        <w:tc>
          <w:tcPr>
            <w:tcW w:w="1752" w:type="dxa"/>
            <w:shd w:val="clear" w:color="auto" w:fill="auto"/>
            <w:vAlign w:val="center"/>
            <w:hideMark/>
          </w:tcPr>
          <w:p w14:paraId="23FCB0E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shd w:val="clear" w:color="auto" w:fill="auto"/>
            <w:vAlign w:val="center"/>
            <w:hideMark/>
          </w:tcPr>
          <w:p w14:paraId="301BFBD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40.395 €</w:t>
            </w:r>
          </w:p>
        </w:tc>
        <w:tc>
          <w:tcPr>
            <w:tcW w:w="1306" w:type="dxa"/>
            <w:shd w:val="clear" w:color="auto" w:fill="auto"/>
            <w:vAlign w:val="center"/>
            <w:hideMark/>
          </w:tcPr>
          <w:p w14:paraId="3C984F9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3A32962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40.395 €</w:t>
            </w:r>
          </w:p>
        </w:tc>
      </w:tr>
      <w:tr w:rsidR="00E72A48" w:rsidRPr="00EF606E" w14:paraId="78E503B1" w14:textId="77777777" w:rsidTr="0007734A">
        <w:trPr>
          <w:cantSplit/>
          <w:trHeight w:val="420"/>
          <w:jc w:val="center"/>
        </w:trPr>
        <w:tc>
          <w:tcPr>
            <w:tcW w:w="1051" w:type="dxa"/>
            <w:shd w:val="clear" w:color="auto" w:fill="auto"/>
            <w:vAlign w:val="center"/>
            <w:hideMark/>
          </w:tcPr>
          <w:p w14:paraId="2031733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01.1009.001</w:t>
            </w:r>
          </w:p>
        </w:tc>
        <w:tc>
          <w:tcPr>
            <w:tcW w:w="2112" w:type="dxa"/>
            <w:shd w:val="clear" w:color="auto" w:fill="auto"/>
            <w:vAlign w:val="center"/>
            <w:hideMark/>
          </w:tcPr>
          <w:p w14:paraId="241DEAB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ΕΞΩΤΕΡΙΚΩΝ</w:t>
            </w:r>
          </w:p>
        </w:tc>
        <w:tc>
          <w:tcPr>
            <w:tcW w:w="1752" w:type="dxa"/>
            <w:shd w:val="clear" w:color="auto" w:fill="auto"/>
            <w:vAlign w:val="center"/>
            <w:hideMark/>
          </w:tcPr>
          <w:p w14:paraId="2AC2FB6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ΕΞΩΤΕΡΙΚΩΝ</w:t>
            </w:r>
          </w:p>
        </w:tc>
        <w:tc>
          <w:tcPr>
            <w:tcW w:w="1152" w:type="dxa"/>
            <w:shd w:val="clear" w:color="auto" w:fill="auto"/>
            <w:vAlign w:val="center"/>
            <w:hideMark/>
          </w:tcPr>
          <w:p w14:paraId="15334E6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24.590 €</w:t>
            </w:r>
          </w:p>
        </w:tc>
        <w:tc>
          <w:tcPr>
            <w:tcW w:w="1306" w:type="dxa"/>
            <w:shd w:val="clear" w:color="auto" w:fill="auto"/>
            <w:vAlign w:val="center"/>
            <w:hideMark/>
          </w:tcPr>
          <w:p w14:paraId="6C5275F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13 €</w:t>
            </w:r>
          </w:p>
        </w:tc>
        <w:tc>
          <w:tcPr>
            <w:tcW w:w="1699" w:type="dxa"/>
            <w:shd w:val="clear" w:color="auto" w:fill="auto"/>
            <w:vAlign w:val="center"/>
            <w:hideMark/>
          </w:tcPr>
          <w:p w14:paraId="328379D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24.603 €</w:t>
            </w:r>
          </w:p>
        </w:tc>
      </w:tr>
      <w:tr w:rsidR="00E72A48" w:rsidRPr="00EF606E" w14:paraId="0CE2C923" w14:textId="77777777" w:rsidTr="0007734A">
        <w:trPr>
          <w:cantSplit/>
          <w:trHeight w:val="210"/>
          <w:jc w:val="center"/>
        </w:trPr>
        <w:tc>
          <w:tcPr>
            <w:tcW w:w="1051" w:type="dxa"/>
            <w:shd w:val="clear" w:color="auto" w:fill="auto"/>
            <w:vAlign w:val="center"/>
            <w:hideMark/>
          </w:tcPr>
          <w:p w14:paraId="04CB830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01.1009.002</w:t>
            </w:r>
          </w:p>
        </w:tc>
        <w:tc>
          <w:tcPr>
            <w:tcW w:w="2112" w:type="dxa"/>
            <w:shd w:val="clear" w:color="auto" w:fill="auto"/>
            <w:vAlign w:val="center"/>
            <w:hideMark/>
          </w:tcPr>
          <w:p w14:paraId="0E6F7D5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ΔΙΕΘΝΕΙΣ ΟΙΚΟΝΟΜΙΚΕΣ ΚΑΙ ΕΜΠΟΡΙΚΕΣ ΣΧΕΣΕΙΣ</w:t>
            </w:r>
          </w:p>
        </w:tc>
        <w:tc>
          <w:tcPr>
            <w:tcW w:w="1752" w:type="dxa"/>
            <w:shd w:val="clear" w:color="auto" w:fill="auto"/>
            <w:vAlign w:val="center"/>
            <w:hideMark/>
          </w:tcPr>
          <w:p w14:paraId="6628307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ΕΞΩΤΕΡΙΚΩΝ</w:t>
            </w:r>
          </w:p>
        </w:tc>
        <w:tc>
          <w:tcPr>
            <w:tcW w:w="1152" w:type="dxa"/>
            <w:shd w:val="clear" w:color="auto" w:fill="auto"/>
            <w:vAlign w:val="center"/>
            <w:hideMark/>
          </w:tcPr>
          <w:p w14:paraId="2ED9535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53.747 €</w:t>
            </w:r>
          </w:p>
        </w:tc>
        <w:tc>
          <w:tcPr>
            <w:tcW w:w="1306" w:type="dxa"/>
            <w:shd w:val="clear" w:color="auto" w:fill="auto"/>
            <w:vAlign w:val="center"/>
            <w:hideMark/>
          </w:tcPr>
          <w:p w14:paraId="625E732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27.469 €</w:t>
            </w:r>
          </w:p>
        </w:tc>
        <w:tc>
          <w:tcPr>
            <w:tcW w:w="1699" w:type="dxa"/>
            <w:shd w:val="clear" w:color="auto" w:fill="auto"/>
            <w:vAlign w:val="center"/>
            <w:hideMark/>
          </w:tcPr>
          <w:p w14:paraId="5C74EE3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81.215 €</w:t>
            </w:r>
          </w:p>
        </w:tc>
      </w:tr>
      <w:tr w:rsidR="00E72A48" w:rsidRPr="00EF606E" w14:paraId="00A27A7E" w14:textId="77777777" w:rsidTr="0007734A">
        <w:trPr>
          <w:cantSplit/>
          <w:trHeight w:val="420"/>
          <w:jc w:val="center"/>
        </w:trPr>
        <w:tc>
          <w:tcPr>
            <w:tcW w:w="1051" w:type="dxa"/>
            <w:shd w:val="clear" w:color="auto" w:fill="auto"/>
            <w:vAlign w:val="center"/>
            <w:hideMark/>
          </w:tcPr>
          <w:p w14:paraId="734AF67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lastRenderedPageBreak/>
              <w:t>01.1009.003</w:t>
            </w:r>
          </w:p>
        </w:tc>
        <w:tc>
          <w:tcPr>
            <w:tcW w:w="2112" w:type="dxa"/>
            <w:shd w:val="clear" w:color="auto" w:fill="auto"/>
            <w:vAlign w:val="center"/>
            <w:hideMark/>
          </w:tcPr>
          <w:p w14:paraId="1DDD25C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ΔΙΠΛΩΜΑΤΙΚΕΣ ΑΡΧΕΣ-ΠΡΟΩΘΗΣΗ ΕΛΛΗΝΙΚΩΝ ΣΥΜΦΕΡΟΝΤΩΝ</w:t>
            </w:r>
          </w:p>
        </w:tc>
        <w:tc>
          <w:tcPr>
            <w:tcW w:w="1752" w:type="dxa"/>
            <w:shd w:val="clear" w:color="auto" w:fill="auto"/>
            <w:vAlign w:val="center"/>
            <w:hideMark/>
          </w:tcPr>
          <w:p w14:paraId="47FEAC7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ΕΞΩΤΕΡΙΚΩΝ</w:t>
            </w:r>
          </w:p>
        </w:tc>
        <w:tc>
          <w:tcPr>
            <w:tcW w:w="1152" w:type="dxa"/>
            <w:shd w:val="clear" w:color="auto" w:fill="auto"/>
            <w:vAlign w:val="center"/>
            <w:hideMark/>
          </w:tcPr>
          <w:p w14:paraId="102A358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363.216 €</w:t>
            </w:r>
          </w:p>
        </w:tc>
        <w:tc>
          <w:tcPr>
            <w:tcW w:w="1306" w:type="dxa"/>
            <w:shd w:val="clear" w:color="auto" w:fill="auto"/>
            <w:vAlign w:val="center"/>
            <w:hideMark/>
          </w:tcPr>
          <w:p w14:paraId="3E546B0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239 €</w:t>
            </w:r>
          </w:p>
        </w:tc>
        <w:tc>
          <w:tcPr>
            <w:tcW w:w="1699" w:type="dxa"/>
            <w:shd w:val="clear" w:color="auto" w:fill="auto"/>
            <w:vAlign w:val="center"/>
            <w:hideMark/>
          </w:tcPr>
          <w:p w14:paraId="479A2C4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363.455 €</w:t>
            </w:r>
          </w:p>
        </w:tc>
      </w:tr>
      <w:tr w:rsidR="00E72A48" w:rsidRPr="00EF606E" w14:paraId="23749096" w14:textId="77777777" w:rsidTr="0007734A">
        <w:trPr>
          <w:cantSplit/>
          <w:trHeight w:val="210"/>
          <w:jc w:val="center"/>
        </w:trPr>
        <w:tc>
          <w:tcPr>
            <w:tcW w:w="1051" w:type="dxa"/>
            <w:shd w:val="clear" w:color="auto" w:fill="auto"/>
            <w:vAlign w:val="center"/>
            <w:hideMark/>
          </w:tcPr>
          <w:p w14:paraId="7441D23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01.1009.004</w:t>
            </w:r>
          </w:p>
        </w:tc>
        <w:tc>
          <w:tcPr>
            <w:tcW w:w="2112" w:type="dxa"/>
            <w:shd w:val="clear" w:color="auto" w:fill="auto"/>
            <w:vAlign w:val="center"/>
            <w:hideMark/>
          </w:tcPr>
          <w:p w14:paraId="1C29984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ΑΠΟΔΗΜΟΣ ΕΛΛΗΝΙΣΜΟΣ</w:t>
            </w:r>
          </w:p>
        </w:tc>
        <w:tc>
          <w:tcPr>
            <w:tcW w:w="1752" w:type="dxa"/>
            <w:shd w:val="clear" w:color="auto" w:fill="auto"/>
            <w:vAlign w:val="center"/>
            <w:hideMark/>
          </w:tcPr>
          <w:p w14:paraId="02C32E7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ΕΞΩΤΕΡΙΚΩΝ</w:t>
            </w:r>
          </w:p>
        </w:tc>
        <w:tc>
          <w:tcPr>
            <w:tcW w:w="1152" w:type="dxa"/>
            <w:shd w:val="clear" w:color="auto" w:fill="auto"/>
            <w:vAlign w:val="center"/>
            <w:hideMark/>
          </w:tcPr>
          <w:p w14:paraId="14DA42D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21.677 €</w:t>
            </w:r>
          </w:p>
        </w:tc>
        <w:tc>
          <w:tcPr>
            <w:tcW w:w="1306" w:type="dxa"/>
            <w:shd w:val="clear" w:color="auto" w:fill="auto"/>
            <w:vAlign w:val="center"/>
            <w:hideMark/>
          </w:tcPr>
          <w:p w14:paraId="1442905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58A740F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21.677 €</w:t>
            </w:r>
          </w:p>
        </w:tc>
      </w:tr>
      <w:tr w:rsidR="00E72A48" w:rsidRPr="00EF606E" w14:paraId="55948558" w14:textId="77777777" w:rsidTr="0007734A">
        <w:trPr>
          <w:cantSplit/>
          <w:trHeight w:val="630"/>
          <w:jc w:val="center"/>
        </w:trPr>
        <w:tc>
          <w:tcPr>
            <w:tcW w:w="1051" w:type="dxa"/>
            <w:shd w:val="clear" w:color="auto" w:fill="auto"/>
            <w:vAlign w:val="center"/>
            <w:hideMark/>
          </w:tcPr>
          <w:p w14:paraId="49DB953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01.1024.001</w:t>
            </w:r>
          </w:p>
        </w:tc>
        <w:tc>
          <w:tcPr>
            <w:tcW w:w="2112" w:type="dxa"/>
            <w:shd w:val="clear" w:color="auto" w:fill="auto"/>
            <w:vAlign w:val="center"/>
            <w:hideMark/>
          </w:tcPr>
          <w:p w14:paraId="07F77CA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ΕΘΝΙΚΗΣ ΟΙΚΟΝΟΜΙΑΣ ΚΑΙ ΟΙΚΟΝΟΜΙΚΩΝ</w:t>
            </w:r>
          </w:p>
        </w:tc>
        <w:tc>
          <w:tcPr>
            <w:tcW w:w="1752" w:type="dxa"/>
            <w:shd w:val="clear" w:color="auto" w:fill="auto"/>
            <w:vAlign w:val="center"/>
            <w:hideMark/>
          </w:tcPr>
          <w:p w14:paraId="3C76C6B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33B1904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36.449 €</w:t>
            </w:r>
          </w:p>
        </w:tc>
        <w:tc>
          <w:tcPr>
            <w:tcW w:w="1306" w:type="dxa"/>
            <w:shd w:val="clear" w:color="auto" w:fill="auto"/>
            <w:vAlign w:val="center"/>
            <w:hideMark/>
          </w:tcPr>
          <w:p w14:paraId="3DF9BA8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3076B89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36.449 €</w:t>
            </w:r>
          </w:p>
        </w:tc>
      </w:tr>
      <w:tr w:rsidR="00E72A48" w:rsidRPr="00EF606E" w14:paraId="35048407" w14:textId="77777777" w:rsidTr="0007734A">
        <w:trPr>
          <w:cantSplit/>
          <w:trHeight w:val="420"/>
          <w:jc w:val="center"/>
        </w:trPr>
        <w:tc>
          <w:tcPr>
            <w:tcW w:w="1051" w:type="dxa"/>
            <w:shd w:val="clear" w:color="auto" w:fill="auto"/>
            <w:vAlign w:val="center"/>
            <w:hideMark/>
          </w:tcPr>
          <w:p w14:paraId="3DCC70E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01.1024.002</w:t>
            </w:r>
          </w:p>
        </w:tc>
        <w:tc>
          <w:tcPr>
            <w:tcW w:w="2112" w:type="dxa"/>
            <w:shd w:val="clear" w:color="auto" w:fill="auto"/>
            <w:vAlign w:val="center"/>
            <w:hideMark/>
          </w:tcPr>
          <w:p w14:paraId="671482B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ΟΙΚΟΝΟΜΙΚΗ ΠΟΛΙΤΙΚΗ</w:t>
            </w:r>
          </w:p>
        </w:tc>
        <w:tc>
          <w:tcPr>
            <w:tcW w:w="1752" w:type="dxa"/>
            <w:shd w:val="clear" w:color="auto" w:fill="auto"/>
            <w:vAlign w:val="center"/>
            <w:hideMark/>
          </w:tcPr>
          <w:p w14:paraId="18E7B22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0BAA257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598.945 €</w:t>
            </w:r>
          </w:p>
        </w:tc>
        <w:tc>
          <w:tcPr>
            <w:tcW w:w="1306" w:type="dxa"/>
            <w:shd w:val="clear" w:color="auto" w:fill="auto"/>
            <w:vAlign w:val="center"/>
            <w:hideMark/>
          </w:tcPr>
          <w:p w14:paraId="196BE88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248.619 €</w:t>
            </w:r>
          </w:p>
        </w:tc>
        <w:tc>
          <w:tcPr>
            <w:tcW w:w="1699" w:type="dxa"/>
            <w:shd w:val="clear" w:color="auto" w:fill="auto"/>
            <w:vAlign w:val="center"/>
            <w:hideMark/>
          </w:tcPr>
          <w:p w14:paraId="5BC5240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847.564 €</w:t>
            </w:r>
          </w:p>
        </w:tc>
      </w:tr>
      <w:tr w:rsidR="00E72A48" w:rsidRPr="00EF606E" w14:paraId="73502176" w14:textId="77777777" w:rsidTr="0007734A">
        <w:trPr>
          <w:cantSplit/>
          <w:trHeight w:val="420"/>
          <w:jc w:val="center"/>
        </w:trPr>
        <w:tc>
          <w:tcPr>
            <w:tcW w:w="1051" w:type="dxa"/>
            <w:shd w:val="clear" w:color="auto" w:fill="auto"/>
            <w:vAlign w:val="center"/>
            <w:hideMark/>
          </w:tcPr>
          <w:p w14:paraId="0949C5B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01.1024.003</w:t>
            </w:r>
          </w:p>
        </w:tc>
        <w:tc>
          <w:tcPr>
            <w:tcW w:w="2112" w:type="dxa"/>
            <w:shd w:val="clear" w:color="auto" w:fill="auto"/>
            <w:vAlign w:val="center"/>
            <w:hideMark/>
          </w:tcPr>
          <w:p w14:paraId="6E3256F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ΔΗΜΟΣΙΑΣ ΠΕΡΙΟΥΣΙΑΣ</w:t>
            </w:r>
          </w:p>
        </w:tc>
        <w:tc>
          <w:tcPr>
            <w:tcW w:w="1752" w:type="dxa"/>
            <w:shd w:val="clear" w:color="auto" w:fill="auto"/>
            <w:vAlign w:val="center"/>
            <w:hideMark/>
          </w:tcPr>
          <w:p w14:paraId="1C3F340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3FBA97A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35.029 €</w:t>
            </w:r>
          </w:p>
        </w:tc>
        <w:tc>
          <w:tcPr>
            <w:tcW w:w="1306" w:type="dxa"/>
            <w:shd w:val="clear" w:color="auto" w:fill="auto"/>
            <w:vAlign w:val="center"/>
            <w:hideMark/>
          </w:tcPr>
          <w:p w14:paraId="7457B4B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119.720 €</w:t>
            </w:r>
          </w:p>
        </w:tc>
        <w:tc>
          <w:tcPr>
            <w:tcW w:w="1699" w:type="dxa"/>
            <w:shd w:val="clear" w:color="auto" w:fill="auto"/>
            <w:vAlign w:val="center"/>
            <w:hideMark/>
          </w:tcPr>
          <w:p w14:paraId="63BD617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154.749 €</w:t>
            </w:r>
          </w:p>
        </w:tc>
      </w:tr>
      <w:tr w:rsidR="00E72A48" w:rsidRPr="00EF606E" w14:paraId="6EA71E9F" w14:textId="77777777" w:rsidTr="0007734A">
        <w:trPr>
          <w:cantSplit/>
          <w:trHeight w:val="420"/>
          <w:jc w:val="center"/>
        </w:trPr>
        <w:tc>
          <w:tcPr>
            <w:tcW w:w="1051" w:type="dxa"/>
            <w:shd w:val="clear" w:color="auto" w:fill="auto"/>
            <w:vAlign w:val="center"/>
            <w:hideMark/>
          </w:tcPr>
          <w:p w14:paraId="64209DE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01.1024.004</w:t>
            </w:r>
          </w:p>
        </w:tc>
        <w:tc>
          <w:tcPr>
            <w:tcW w:w="2112" w:type="dxa"/>
            <w:shd w:val="clear" w:color="auto" w:fill="auto"/>
            <w:vAlign w:val="center"/>
            <w:hideMark/>
          </w:tcPr>
          <w:p w14:paraId="5256B8C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ΓΕΝΙΚΕΣ ΚΡΑΤΙΚΕΣ ΔΑΠΑΝΕΣ ΚΑΙ ΔΗΜΟΣΙΟΝΟΜΙΚΗ ΠΟΛΙΤΙΚΗ</w:t>
            </w:r>
          </w:p>
        </w:tc>
        <w:tc>
          <w:tcPr>
            <w:tcW w:w="1752" w:type="dxa"/>
            <w:shd w:val="clear" w:color="auto" w:fill="auto"/>
            <w:vAlign w:val="center"/>
            <w:hideMark/>
          </w:tcPr>
          <w:p w14:paraId="63FC836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694A456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13.554.859 €</w:t>
            </w:r>
          </w:p>
        </w:tc>
        <w:tc>
          <w:tcPr>
            <w:tcW w:w="1306" w:type="dxa"/>
            <w:shd w:val="clear" w:color="auto" w:fill="auto"/>
            <w:vAlign w:val="center"/>
            <w:hideMark/>
          </w:tcPr>
          <w:p w14:paraId="6155A70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2.926 €</w:t>
            </w:r>
          </w:p>
        </w:tc>
        <w:tc>
          <w:tcPr>
            <w:tcW w:w="1699" w:type="dxa"/>
            <w:shd w:val="clear" w:color="auto" w:fill="auto"/>
            <w:vAlign w:val="center"/>
            <w:hideMark/>
          </w:tcPr>
          <w:p w14:paraId="2DF6C31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13.557.785 €</w:t>
            </w:r>
          </w:p>
        </w:tc>
      </w:tr>
      <w:tr w:rsidR="00E72A48" w:rsidRPr="00EF606E" w14:paraId="022C8D2F" w14:textId="77777777" w:rsidTr="0007734A">
        <w:trPr>
          <w:cantSplit/>
          <w:trHeight w:val="420"/>
          <w:jc w:val="center"/>
        </w:trPr>
        <w:tc>
          <w:tcPr>
            <w:tcW w:w="1051" w:type="dxa"/>
            <w:shd w:val="clear" w:color="auto" w:fill="auto"/>
            <w:vAlign w:val="center"/>
            <w:hideMark/>
          </w:tcPr>
          <w:p w14:paraId="1C4EAEB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01.1024.005</w:t>
            </w:r>
          </w:p>
        </w:tc>
        <w:tc>
          <w:tcPr>
            <w:tcW w:w="2112" w:type="dxa"/>
            <w:shd w:val="clear" w:color="auto" w:fill="auto"/>
            <w:vAlign w:val="center"/>
            <w:hideMark/>
          </w:tcPr>
          <w:p w14:paraId="1191DDE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ΣΤΑΤΙΣΤΙΚΑ ΔΕΔΟΜΕΝΑ ΚΑΙ ΕΡΕΥΝΕΣ ΕΛΣΤΑΤ</w:t>
            </w:r>
          </w:p>
        </w:tc>
        <w:tc>
          <w:tcPr>
            <w:tcW w:w="1752" w:type="dxa"/>
            <w:shd w:val="clear" w:color="auto" w:fill="auto"/>
            <w:vAlign w:val="center"/>
            <w:hideMark/>
          </w:tcPr>
          <w:p w14:paraId="23F9BF1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3F2440E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shd w:val="clear" w:color="auto" w:fill="auto"/>
            <w:vAlign w:val="center"/>
            <w:hideMark/>
          </w:tcPr>
          <w:p w14:paraId="6CDAA13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40.754 €</w:t>
            </w:r>
          </w:p>
        </w:tc>
        <w:tc>
          <w:tcPr>
            <w:tcW w:w="1699" w:type="dxa"/>
            <w:shd w:val="clear" w:color="auto" w:fill="auto"/>
            <w:vAlign w:val="center"/>
            <w:hideMark/>
          </w:tcPr>
          <w:p w14:paraId="1A67261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40.754 €</w:t>
            </w:r>
          </w:p>
        </w:tc>
      </w:tr>
      <w:tr w:rsidR="00E72A48" w:rsidRPr="00EF606E" w14:paraId="46556A03" w14:textId="77777777" w:rsidTr="0007734A">
        <w:trPr>
          <w:cantSplit/>
          <w:trHeight w:val="420"/>
          <w:jc w:val="center"/>
        </w:trPr>
        <w:tc>
          <w:tcPr>
            <w:tcW w:w="1051" w:type="dxa"/>
            <w:shd w:val="clear" w:color="auto" w:fill="auto"/>
            <w:vAlign w:val="center"/>
            <w:hideMark/>
          </w:tcPr>
          <w:p w14:paraId="0230F53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01.1024.006</w:t>
            </w:r>
          </w:p>
        </w:tc>
        <w:tc>
          <w:tcPr>
            <w:tcW w:w="2112" w:type="dxa"/>
            <w:shd w:val="clear" w:color="auto" w:fill="auto"/>
            <w:vAlign w:val="center"/>
            <w:hideMark/>
          </w:tcPr>
          <w:p w14:paraId="2B3C91E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ΜΕΤΑΝΑΣΤΕΥΤΙΚΗ ΠΟΛΙΤΙΚΗ</w:t>
            </w:r>
          </w:p>
        </w:tc>
        <w:tc>
          <w:tcPr>
            <w:tcW w:w="1752" w:type="dxa"/>
            <w:shd w:val="clear" w:color="auto" w:fill="auto"/>
            <w:vAlign w:val="center"/>
            <w:hideMark/>
          </w:tcPr>
          <w:p w14:paraId="4DB647F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64F3CD5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180.000 €</w:t>
            </w:r>
          </w:p>
        </w:tc>
        <w:tc>
          <w:tcPr>
            <w:tcW w:w="1306" w:type="dxa"/>
            <w:shd w:val="clear" w:color="auto" w:fill="auto"/>
            <w:vAlign w:val="center"/>
            <w:hideMark/>
          </w:tcPr>
          <w:p w14:paraId="781A1B3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1C92C9D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180.000 €</w:t>
            </w:r>
          </w:p>
        </w:tc>
      </w:tr>
      <w:tr w:rsidR="00E72A48" w:rsidRPr="00EF606E" w14:paraId="200B0480" w14:textId="77777777" w:rsidTr="0007734A">
        <w:trPr>
          <w:cantSplit/>
          <w:trHeight w:val="420"/>
          <w:jc w:val="center"/>
        </w:trPr>
        <w:tc>
          <w:tcPr>
            <w:tcW w:w="1051" w:type="dxa"/>
            <w:shd w:val="clear" w:color="auto" w:fill="auto"/>
            <w:vAlign w:val="center"/>
            <w:hideMark/>
          </w:tcPr>
          <w:p w14:paraId="55D0BE1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01.1024.007</w:t>
            </w:r>
          </w:p>
        </w:tc>
        <w:tc>
          <w:tcPr>
            <w:tcW w:w="2112" w:type="dxa"/>
            <w:shd w:val="clear" w:color="auto" w:fill="auto"/>
            <w:vAlign w:val="center"/>
            <w:hideMark/>
          </w:tcPr>
          <w:p w14:paraId="44188F3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ΝΟΜΙΚΗ ΥΠΟΣΤΗΡΙΞΗ ΤΟΥ ΚΡΑΤΟΥΣ</w:t>
            </w:r>
          </w:p>
        </w:tc>
        <w:tc>
          <w:tcPr>
            <w:tcW w:w="1752" w:type="dxa"/>
            <w:shd w:val="clear" w:color="auto" w:fill="auto"/>
            <w:vAlign w:val="center"/>
            <w:hideMark/>
          </w:tcPr>
          <w:p w14:paraId="7D3BAA5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7502B8A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43.750 €</w:t>
            </w:r>
          </w:p>
        </w:tc>
        <w:tc>
          <w:tcPr>
            <w:tcW w:w="1306" w:type="dxa"/>
            <w:shd w:val="clear" w:color="auto" w:fill="auto"/>
            <w:vAlign w:val="center"/>
            <w:hideMark/>
          </w:tcPr>
          <w:p w14:paraId="0471B70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1988615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43.750 €</w:t>
            </w:r>
          </w:p>
        </w:tc>
      </w:tr>
      <w:tr w:rsidR="00E72A48" w:rsidRPr="00EF606E" w14:paraId="7898CA88" w14:textId="77777777" w:rsidTr="0007734A">
        <w:trPr>
          <w:cantSplit/>
          <w:trHeight w:val="420"/>
          <w:jc w:val="center"/>
        </w:trPr>
        <w:tc>
          <w:tcPr>
            <w:tcW w:w="1051" w:type="dxa"/>
            <w:shd w:val="clear" w:color="auto" w:fill="auto"/>
            <w:vAlign w:val="center"/>
            <w:hideMark/>
          </w:tcPr>
          <w:p w14:paraId="61B8575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01.1024.008</w:t>
            </w:r>
          </w:p>
        </w:tc>
        <w:tc>
          <w:tcPr>
            <w:tcW w:w="2112" w:type="dxa"/>
            <w:shd w:val="clear" w:color="auto" w:fill="auto"/>
            <w:vAlign w:val="center"/>
            <w:hideMark/>
          </w:tcPr>
          <w:p w14:paraId="77FAE72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ΔΗΜΟΣΙΩΝ ΕΣΟΔΩΝ</w:t>
            </w:r>
          </w:p>
        </w:tc>
        <w:tc>
          <w:tcPr>
            <w:tcW w:w="1752" w:type="dxa"/>
            <w:shd w:val="clear" w:color="auto" w:fill="auto"/>
            <w:vAlign w:val="center"/>
            <w:hideMark/>
          </w:tcPr>
          <w:p w14:paraId="6F83123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125DDD3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72.014 €</w:t>
            </w:r>
          </w:p>
        </w:tc>
        <w:tc>
          <w:tcPr>
            <w:tcW w:w="1306" w:type="dxa"/>
            <w:shd w:val="clear" w:color="auto" w:fill="auto"/>
            <w:vAlign w:val="center"/>
            <w:hideMark/>
          </w:tcPr>
          <w:p w14:paraId="35FC1A6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238D238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72.014 €</w:t>
            </w:r>
          </w:p>
        </w:tc>
      </w:tr>
      <w:tr w:rsidR="00E72A48" w:rsidRPr="00EF606E" w14:paraId="2F8FE639" w14:textId="77777777" w:rsidTr="0007734A">
        <w:trPr>
          <w:cantSplit/>
          <w:trHeight w:val="420"/>
          <w:jc w:val="center"/>
        </w:trPr>
        <w:tc>
          <w:tcPr>
            <w:tcW w:w="1051" w:type="dxa"/>
            <w:shd w:val="clear" w:color="auto" w:fill="auto"/>
            <w:vAlign w:val="center"/>
            <w:hideMark/>
          </w:tcPr>
          <w:p w14:paraId="189EB11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01.1024.009</w:t>
            </w:r>
          </w:p>
        </w:tc>
        <w:tc>
          <w:tcPr>
            <w:tcW w:w="2112" w:type="dxa"/>
            <w:shd w:val="clear" w:color="auto" w:fill="auto"/>
            <w:vAlign w:val="center"/>
            <w:hideMark/>
          </w:tcPr>
          <w:p w14:paraId="1AFD094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ΦΟΡΟΛΟΓΙΚΕΣ ΥΠΗΡΕΣΙΕΣ</w:t>
            </w:r>
          </w:p>
        </w:tc>
        <w:tc>
          <w:tcPr>
            <w:tcW w:w="1752" w:type="dxa"/>
            <w:shd w:val="clear" w:color="auto" w:fill="auto"/>
            <w:vAlign w:val="center"/>
            <w:hideMark/>
          </w:tcPr>
          <w:p w14:paraId="785A235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350B8B9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337.648 €</w:t>
            </w:r>
          </w:p>
        </w:tc>
        <w:tc>
          <w:tcPr>
            <w:tcW w:w="1306" w:type="dxa"/>
            <w:shd w:val="clear" w:color="auto" w:fill="auto"/>
            <w:vAlign w:val="center"/>
            <w:hideMark/>
          </w:tcPr>
          <w:p w14:paraId="16F5F8F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755DEE6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337.648 €</w:t>
            </w:r>
          </w:p>
        </w:tc>
      </w:tr>
      <w:tr w:rsidR="00E72A48" w:rsidRPr="00EF606E" w14:paraId="42AF1BDC" w14:textId="77777777" w:rsidTr="0007734A">
        <w:trPr>
          <w:cantSplit/>
          <w:trHeight w:val="420"/>
          <w:jc w:val="center"/>
        </w:trPr>
        <w:tc>
          <w:tcPr>
            <w:tcW w:w="1051" w:type="dxa"/>
            <w:shd w:val="clear" w:color="auto" w:fill="auto"/>
            <w:vAlign w:val="center"/>
            <w:hideMark/>
          </w:tcPr>
          <w:p w14:paraId="3E7FD57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01.1024.010</w:t>
            </w:r>
          </w:p>
        </w:tc>
        <w:tc>
          <w:tcPr>
            <w:tcW w:w="2112" w:type="dxa"/>
            <w:shd w:val="clear" w:color="auto" w:fill="auto"/>
            <w:vAlign w:val="center"/>
            <w:hideMark/>
          </w:tcPr>
          <w:p w14:paraId="492D68B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ΤΕΛΩΝΕΙΑΚΕΣ ΥΠΗΡΕΣΙΕΣ</w:t>
            </w:r>
          </w:p>
        </w:tc>
        <w:tc>
          <w:tcPr>
            <w:tcW w:w="1752" w:type="dxa"/>
            <w:shd w:val="clear" w:color="auto" w:fill="auto"/>
            <w:vAlign w:val="center"/>
            <w:hideMark/>
          </w:tcPr>
          <w:p w14:paraId="6E16DB3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7DE4C9A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148.257 €</w:t>
            </w:r>
          </w:p>
        </w:tc>
        <w:tc>
          <w:tcPr>
            <w:tcW w:w="1306" w:type="dxa"/>
            <w:shd w:val="clear" w:color="auto" w:fill="auto"/>
            <w:vAlign w:val="center"/>
            <w:hideMark/>
          </w:tcPr>
          <w:p w14:paraId="4D193BD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5C18E8F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148.257 €</w:t>
            </w:r>
          </w:p>
        </w:tc>
      </w:tr>
      <w:tr w:rsidR="00E72A48" w:rsidRPr="00EF606E" w14:paraId="01169EA1" w14:textId="77777777" w:rsidTr="0007734A">
        <w:trPr>
          <w:cantSplit/>
          <w:trHeight w:val="420"/>
          <w:jc w:val="center"/>
        </w:trPr>
        <w:tc>
          <w:tcPr>
            <w:tcW w:w="1051" w:type="dxa"/>
            <w:shd w:val="clear" w:color="auto" w:fill="auto"/>
            <w:vAlign w:val="center"/>
            <w:hideMark/>
          </w:tcPr>
          <w:p w14:paraId="52CC9A9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01.1024.011</w:t>
            </w:r>
          </w:p>
        </w:tc>
        <w:tc>
          <w:tcPr>
            <w:tcW w:w="2112" w:type="dxa"/>
            <w:shd w:val="clear" w:color="auto" w:fill="auto"/>
            <w:vAlign w:val="center"/>
            <w:hideMark/>
          </w:tcPr>
          <w:p w14:paraId="0E54751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ΥΠΗΡΕΣΙΕΣ ΓΕΝΙΚΟΥ ΧΗΜΕΙΟΥ ΤΟΥ ΚΡΑΤΟΥΣ</w:t>
            </w:r>
          </w:p>
        </w:tc>
        <w:tc>
          <w:tcPr>
            <w:tcW w:w="1752" w:type="dxa"/>
            <w:shd w:val="clear" w:color="auto" w:fill="auto"/>
            <w:vAlign w:val="center"/>
            <w:hideMark/>
          </w:tcPr>
          <w:p w14:paraId="591DD1F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680C06C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17.422 €</w:t>
            </w:r>
          </w:p>
        </w:tc>
        <w:tc>
          <w:tcPr>
            <w:tcW w:w="1306" w:type="dxa"/>
            <w:shd w:val="clear" w:color="auto" w:fill="auto"/>
            <w:vAlign w:val="center"/>
            <w:hideMark/>
          </w:tcPr>
          <w:p w14:paraId="306D06A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14.980 €</w:t>
            </w:r>
          </w:p>
        </w:tc>
        <w:tc>
          <w:tcPr>
            <w:tcW w:w="1699" w:type="dxa"/>
            <w:shd w:val="clear" w:color="auto" w:fill="auto"/>
            <w:vAlign w:val="center"/>
            <w:hideMark/>
          </w:tcPr>
          <w:p w14:paraId="61A48F3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32.402 €</w:t>
            </w:r>
          </w:p>
        </w:tc>
      </w:tr>
      <w:tr w:rsidR="00E72A48" w:rsidRPr="00EF606E" w14:paraId="29E03147" w14:textId="77777777" w:rsidTr="0007734A">
        <w:trPr>
          <w:cantSplit/>
          <w:trHeight w:val="420"/>
          <w:jc w:val="center"/>
        </w:trPr>
        <w:tc>
          <w:tcPr>
            <w:tcW w:w="1051" w:type="dxa"/>
            <w:shd w:val="clear" w:color="auto" w:fill="auto"/>
            <w:vAlign w:val="center"/>
            <w:hideMark/>
          </w:tcPr>
          <w:p w14:paraId="5BD026B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01.1024.012</w:t>
            </w:r>
          </w:p>
        </w:tc>
        <w:tc>
          <w:tcPr>
            <w:tcW w:w="2112" w:type="dxa"/>
            <w:shd w:val="clear" w:color="auto" w:fill="auto"/>
            <w:vAlign w:val="center"/>
            <w:hideMark/>
          </w:tcPr>
          <w:p w14:paraId="5B69CBA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ΑΡΧΗ ΚΑΤΑΠΟΛΕΜΗΣΗΣ ΤΗΣ ΝΟΜΙΜΟΠΟΙΗΣΗΣ ΕΣΟΔΩΝ ΑΠΟ ΕΓΚΛΗΜΑΤΙΚΕΣ ΔΡΑΣΤΗΡΙΟΤΗΤΕΣ</w:t>
            </w:r>
          </w:p>
        </w:tc>
        <w:tc>
          <w:tcPr>
            <w:tcW w:w="1752" w:type="dxa"/>
            <w:shd w:val="clear" w:color="auto" w:fill="auto"/>
            <w:vAlign w:val="center"/>
            <w:hideMark/>
          </w:tcPr>
          <w:p w14:paraId="04B6286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5B379D8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2.986 €</w:t>
            </w:r>
          </w:p>
        </w:tc>
        <w:tc>
          <w:tcPr>
            <w:tcW w:w="1306" w:type="dxa"/>
            <w:shd w:val="clear" w:color="auto" w:fill="auto"/>
            <w:vAlign w:val="center"/>
            <w:hideMark/>
          </w:tcPr>
          <w:p w14:paraId="7FA315C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2E87C6B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2.986 €</w:t>
            </w:r>
          </w:p>
        </w:tc>
      </w:tr>
      <w:tr w:rsidR="00E72A48" w:rsidRPr="00EF606E" w14:paraId="42639C6C" w14:textId="77777777" w:rsidTr="0007734A">
        <w:trPr>
          <w:cantSplit/>
          <w:trHeight w:val="420"/>
          <w:jc w:val="center"/>
        </w:trPr>
        <w:tc>
          <w:tcPr>
            <w:tcW w:w="1051" w:type="dxa"/>
            <w:shd w:val="clear" w:color="auto" w:fill="auto"/>
            <w:vAlign w:val="center"/>
            <w:hideMark/>
          </w:tcPr>
          <w:p w14:paraId="18CF4AD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01.1024.013</w:t>
            </w:r>
          </w:p>
        </w:tc>
        <w:tc>
          <w:tcPr>
            <w:tcW w:w="2112" w:type="dxa"/>
            <w:shd w:val="clear" w:color="auto" w:fill="auto"/>
            <w:vAlign w:val="center"/>
            <w:hideMark/>
          </w:tcPr>
          <w:p w14:paraId="63779A2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ΕΛΛΗΝΙΚΟ ΔΗΜΟΣΙΟΝΟΜΙΚΟ ΣΥΜΒΟΥΛΙΟ</w:t>
            </w:r>
          </w:p>
        </w:tc>
        <w:tc>
          <w:tcPr>
            <w:tcW w:w="1752" w:type="dxa"/>
            <w:shd w:val="clear" w:color="auto" w:fill="auto"/>
            <w:vAlign w:val="center"/>
            <w:hideMark/>
          </w:tcPr>
          <w:p w14:paraId="7E60FDB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69F3315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shd w:val="clear" w:color="auto" w:fill="auto"/>
            <w:vAlign w:val="center"/>
            <w:hideMark/>
          </w:tcPr>
          <w:p w14:paraId="31B9F12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2.250 €</w:t>
            </w:r>
          </w:p>
        </w:tc>
        <w:tc>
          <w:tcPr>
            <w:tcW w:w="1699" w:type="dxa"/>
            <w:shd w:val="clear" w:color="auto" w:fill="auto"/>
            <w:vAlign w:val="center"/>
            <w:hideMark/>
          </w:tcPr>
          <w:p w14:paraId="4564AD9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2.250 €</w:t>
            </w:r>
          </w:p>
        </w:tc>
      </w:tr>
      <w:tr w:rsidR="00E72A48" w:rsidRPr="00EF606E" w14:paraId="61BCED58" w14:textId="77777777" w:rsidTr="0007734A">
        <w:trPr>
          <w:cantSplit/>
          <w:trHeight w:val="420"/>
          <w:jc w:val="center"/>
        </w:trPr>
        <w:tc>
          <w:tcPr>
            <w:tcW w:w="1051" w:type="dxa"/>
            <w:shd w:val="clear" w:color="auto" w:fill="auto"/>
            <w:vAlign w:val="center"/>
            <w:hideMark/>
          </w:tcPr>
          <w:p w14:paraId="0274A1A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lastRenderedPageBreak/>
              <w:t>01.1024.014</w:t>
            </w:r>
          </w:p>
        </w:tc>
        <w:tc>
          <w:tcPr>
            <w:tcW w:w="2112" w:type="dxa"/>
            <w:shd w:val="clear" w:color="auto" w:fill="auto"/>
            <w:vAlign w:val="center"/>
            <w:hideMark/>
          </w:tcPr>
          <w:p w14:paraId="4F6AED1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ΑΝΤΙΜΕΤΩΠΙΣΗ ΟΙΚΟΝΟΜΙΚΟΥ ΕΓΚΛΗΜΑΤΟΣ</w:t>
            </w:r>
          </w:p>
        </w:tc>
        <w:tc>
          <w:tcPr>
            <w:tcW w:w="1752" w:type="dxa"/>
            <w:shd w:val="clear" w:color="auto" w:fill="auto"/>
            <w:vAlign w:val="center"/>
            <w:hideMark/>
          </w:tcPr>
          <w:p w14:paraId="54159E1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5C5F8F7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12.813 €</w:t>
            </w:r>
          </w:p>
        </w:tc>
        <w:tc>
          <w:tcPr>
            <w:tcW w:w="1306" w:type="dxa"/>
            <w:shd w:val="clear" w:color="auto" w:fill="auto"/>
            <w:vAlign w:val="center"/>
            <w:hideMark/>
          </w:tcPr>
          <w:p w14:paraId="590F5BE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3D46D74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12.813 €</w:t>
            </w:r>
          </w:p>
        </w:tc>
      </w:tr>
      <w:tr w:rsidR="00E72A48" w:rsidRPr="00EF606E" w14:paraId="5D9D8A8E" w14:textId="77777777" w:rsidTr="0007734A">
        <w:trPr>
          <w:cantSplit/>
          <w:trHeight w:val="420"/>
          <w:jc w:val="center"/>
        </w:trPr>
        <w:tc>
          <w:tcPr>
            <w:tcW w:w="1051" w:type="dxa"/>
            <w:shd w:val="clear" w:color="auto" w:fill="auto"/>
            <w:vAlign w:val="center"/>
            <w:hideMark/>
          </w:tcPr>
          <w:p w14:paraId="27EA382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01.1055.001</w:t>
            </w:r>
          </w:p>
        </w:tc>
        <w:tc>
          <w:tcPr>
            <w:tcW w:w="2112" w:type="dxa"/>
            <w:shd w:val="clear" w:color="auto" w:fill="auto"/>
            <w:vAlign w:val="center"/>
            <w:hideMark/>
          </w:tcPr>
          <w:p w14:paraId="5F796C0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ΜΕΤΑΝΑΣΤΕΥΣΗΣ ΚΑΙ ΑΣΥΛΟΥ</w:t>
            </w:r>
          </w:p>
        </w:tc>
        <w:tc>
          <w:tcPr>
            <w:tcW w:w="1752" w:type="dxa"/>
            <w:shd w:val="clear" w:color="auto" w:fill="auto"/>
            <w:vAlign w:val="center"/>
            <w:hideMark/>
          </w:tcPr>
          <w:p w14:paraId="5031973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ΜΕΤΑΝΑΣΤΕΥΣΗΣ ΚΑΙ ΑΣΥΛΟΥ</w:t>
            </w:r>
          </w:p>
        </w:tc>
        <w:tc>
          <w:tcPr>
            <w:tcW w:w="1152" w:type="dxa"/>
            <w:shd w:val="clear" w:color="auto" w:fill="auto"/>
            <w:vAlign w:val="center"/>
            <w:hideMark/>
          </w:tcPr>
          <w:p w14:paraId="1983EB6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48.854 €</w:t>
            </w:r>
          </w:p>
        </w:tc>
        <w:tc>
          <w:tcPr>
            <w:tcW w:w="1306" w:type="dxa"/>
            <w:shd w:val="clear" w:color="auto" w:fill="auto"/>
            <w:vAlign w:val="center"/>
            <w:hideMark/>
          </w:tcPr>
          <w:p w14:paraId="74EBC6D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1438AEF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48.854 €</w:t>
            </w:r>
          </w:p>
        </w:tc>
      </w:tr>
      <w:tr w:rsidR="00E72A48" w:rsidRPr="00EF606E" w14:paraId="4FBA57A4" w14:textId="77777777" w:rsidTr="0007734A">
        <w:trPr>
          <w:cantSplit/>
          <w:trHeight w:val="210"/>
          <w:jc w:val="center"/>
        </w:trPr>
        <w:tc>
          <w:tcPr>
            <w:tcW w:w="1051" w:type="dxa"/>
            <w:shd w:val="clear" w:color="auto" w:fill="auto"/>
            <w:vAlign w:val="center"/>
            <w:hideMark/>
          </w:tcPr>
          <w:p w14:paraId="7FD94C5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01.1055.002</w:t>
            </w:r>
          </w:p>
        </w:tc>
        <w:tc>
          <w:tcPr>
            <w:tcW w:w="2112" w:type="dxa"/>
            <w:shd w:val="clear" w:color="auto" w:fill="auto"/>
            <w:vAlign w:val="center"/>
            <w:hideMark/>
          </w:tcPr>
          <w:p w14:paraId="4E528EE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ΑΣΥΛΟΥ</w:t>
            </w:r>
          </w:p>
        </w:tc>
        <w:tc>
          <w:tcPr>
            <w:tcW w:w="1752" w:type="dxa"/>
            <w:shd w:val="clear" w:color="auto" w:fill="auto"/>
            <w:vAlign w:val="center"/>
            <w:hideMark/>
          </w:tcPr>
          <w:p w14:paraId="50402F8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ΜΕΤΑΝΑΣΤΕΥΣΗΣ ΚΑΙ ΑΣΥΛΟΥ</w:t>
            </w:r>
          </w:p>
        </w:tc>
        <w:tc>
          <w:tcPr>
            <w:tcW w:w="1152" w:type="dxa"/>
            <w:shd w:val="clear" w:color="auto" w:fill="auto"/>
            <w:vAlign w:val="center"/>
            <w:hideMark/>
          </w:tcPr>
          <w:p w14:paraId="496BDCB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69.376 €</w:t>
            </w:r>
          </w:p>
        </w:tc>
        <w:tc>
          <w:tcPr>
            <w:tcW w:w="1306" w:type="dxa"/>
            <w:shd w:val="clear" w:color="auto" w:fill="auto"/>
            <w:vAlign w:val="center"/>
            <w:hideMark/>
          </w:tcPr>
          <w:p w14:paraId="49FFBC7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72EED6F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69.376 €</w:t>
            </w:r>
          </w:p>
        </w:tc>
      </w:tr>
      <w:tr w:rsidR="00E72A48" w:rsidRPr="00EF606E" w14:paraId="44F23387" w14:textId="77777777" w:rsidTr="0007734A">
        <w:trPr>
          <w:cantSplit/>
          <w:trHeight w:val="210"/>
          <w:jc w:val="center"/>
        </w:trPr>
        <w:tc>
          <w:tcPr>
            <w:tcW w:w="1051" w:type="dxa"/>
            <w:shd w:val="clear" w:color="auto" w:fill="auto"/>
            <w:vAlign w:val="center"/>
            <w:hideMark/>
          </w:tcPr>
          <w:p w14:paraId="3AC0FD2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01.1055.003</w:t>
            </w:r>
          </w:p>
        </w:tc>
        <w:tc>
          <w:tcPr>
            <w:tcW w:w="2112" w:type="dxa"/>
            <w:shd w:val="clear" w:color="auto" w:fill="auto"/>
            <w:vAlign w:val="center"/>
            <w:hideMark/>
          </w:tcPr>
          <w:p w14:paraId="18BD95F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ΝΟΜΙΜΗ ΜΕΤΑΝΑΣΤΕΥΣΗ</w:t>
            </w:r>
          </w:p>
        </w:tc>
        <w:tc>
          <w:tcPr>
            <w:tcW w:w="1752" w:type="dxa"/>
            <w:shd w:val="clear" w:color="auto" w:fill="auto"/>
            <w:vAlign w:val="center"/>
            <w:hideMark/>
          </w:tcPr>
          <w:p w14:paraId="3C2E1C4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ΜΕΤΑΝΑΣΤΕΥΣΗΣ ΚΑΙ ΑΣΥΛΟΥ</w:t>
            </w:r>
          </w:p>
        </w:tc>
        <w:tc>
          <w:tcPr>
            <w:tcW w:w="1152" w:type="dxa"/>
            <w:shd w:val="clear" w:color="auto" w:fill="auto"/>
            <w:vAlign w:val="center"/>
            <w:hideMark/>
          </w:tcPr>
          <w:p w14:paraId="4FFFFF4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40.301 €</w:t>
            </w:r>
          </w:p>
        </w:tc>
        <w:tc>
          <w:tcPr>
            <w:tcW w:w="1306" w:type="dxa"/>
            <w:shd w:val="clear" w:color="auto" w:fill="auto"/>
            <w:vAlign w:val="center"/>
            <w:hideMark/>
          </w:tcPr>
          <w:p w14:paraId="2AF109B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7C0E201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40.301 €</w:t>
            </w:r>
          </w:p>
        </w:tc>
      </w:tr>
      <w:tr w:rsidR="00E72A48" w:rsidRPr="00EF606E" w14:paraId="620BCA74" w14:textId="77777777" w:rsidTr="0007734A">
        <w:trPr>
          <w:cantSplit/>
          <w:trHeight w:val="210"/>
          <w:jc w:val="center"/>
        </w:trPr>
        <w:tc>
          <w:tcPr>
            <w:tcW w:w="1051" w:type="dxa"/>
            <w:shd w:val="clear" w:color="auto" w:fill="auto"/>
            <w:vAlign w:val="center"/>
            <w:hideMark/>
          </w:tcPr>
          <w:p w14:paraId="1AAF90C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01.1055.004</w:t>
            </w:r>
          </w:p>
        </w:tc>
        <w:tc>
          <w:tcPr>
            <w:tcW w:w="2112" w:type="dxa"/>
            <w:shd w:val="clear" w:color="auto" w:fill="auto"/>
            <w:vAlign w:val="center"/>
            <w:hideMark/>
          </w:tcPr>
          <w:p w14:paraId="5C5291E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ΥΠΟΔΟΧΗ - ΤΑΥΤΟΠΟΙΗΣΗ ΠΡΟΣΦΥΓΙΚΩΝ ΡΟΩΝ</w:t>
            </w:r>
          </w:p>
        </w:tc>
        <w:tc>
          <w:tcPr>
            <w:tcW w:w="1752" w:type="dxa"/>
            <w:shd w:val="clear" w:color="auto" w:fill="auto"/>
            <w:vAlign w:val="center"/>
            <w:hideMark/>
          </w:tcPr>
          <w:p w14:paraId="66B4938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ΜΕΤΑΝΑΣΤΕΥΣΗΣ ΚΑΙ ΑΣΥΛΟΥ</w:t>
            </w:r>
          </w:p>
        </w:tc>
        <w:tc>
          <w:tcPr>
            <w:tcW w:w="1152" w:type="dxa"/>
            <w:shd w:val="clear" w:color="auto" w:fill="auto"/>
            <w:vAlign w:val="center"/>
            <w:hideMark/>
          </w:tcPr>
          <w:p w14:paraId="388B790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316.119 €</w:t>
            </w:r>
          </w:p>
        </w:tc>
        <w:tc>
          <w:tcPr>
            <w:tcW w:w="1306" w:type="dxa"/>
            <w:shd w:val="clear" w:color="auto" w:fill="auto"/>
            <w:vAlign w:val="center"/>
            <w:hideMark/>
          </w:tcPr>
          <w:p w14:paraId="59ADFD9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02E68F1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316.119 €</w:t>
            </w:r>
          </w:p>
        </w:tc>
      </w:tr>
      <w:tr w:rsidR="00E72A48" w:rsidRPr="00EF606E" w14:paraId="55EF4F54" w14:textId="77777777" w:rsidTr="0007734A">
        <w:trPr>
          <w:cantSplit/>
          <w:trHeight w:val="420"/>
          <w:jc w:val="center"/>
        </w:trPr>
        <w:tc>
          <w:tcPr>
            <w:tcW w:w="1051" w:type="dxa"/>
            <w:shd w:val="clear" w:color="auto" w:fill="auto"/>
            <w:vAlign w:val="center"/>
            <w:hideMark/>
          </w:tcPr>
          <w:p w14:paraId="7962BC5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01.1057.001</w:t>
            </w:r>
          </w:p>
        </w:tc>
        <w:tc>
          <w:tcPr>
            <w:tcW w:w="2112" w:type="dxa"/>
            <w:shd w:val="clear" w:color="auto" w:fill="auto"/>
            <w:vAlign w:val="center"/>
            <w:hideMark/>
          </w:tcPr>
          <w:p w14:paraId="5BDFBA7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ΑΣΦΑΛΕΙΑ ΣΥΝΟΡΩΝ - ΔΙΑΧΕΙΡΙΣΗ ΜΕΤΑΝΑΣΤΕΥΤΙΚΩΝ ΡΟΩΝ</w:t>
            </w:r>
          </w:p>
        </w:tc>
        <w:tc>
          <w:tcPr>
            <w:tcW w:w="1752" w:type="dxa"/>
            <w:shd w:val="clear" w:color="auto" w:fill="auto"/>
            <w:vAlign w:val="center"/>
            <w:hideMark/>
          </w:tcPr>
          <w:p w14:paraId="3101E41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ΠΡΟΣΤΑΣΙΑΣ ΤΟΥ ΠΟΛΙΤΗ</w:t>
            </w:r>
          </w:p>
        </w:tc>
        <w:tc>
          <w:tcPr>
            <w:tcW w:w="1152" w:type="dxa"/>
            <w:shd w:val="clear" w:color="auto" w:fill="auto"/>
            <w:vAlign w:val="center"/>
            <w:hideMark/>
          </w:tcPr>
          <w:p w14:paraId="309907C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109.234 €</w:t>
            </w:r>
          </w:p>
        </w:tc>
        <w:tc>
          <w:tcPr>
            <w:tcW w:w="1306" w:type="dxa"/>
            <w:shd w:val="clear" w:color="auto" w:fill="auto"/>
            <w:vAlign w:val="center"/>
            <w:hideMark/>
          </w:tcPr>
          <w:p w14:paraId="79CD001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2.634 €</w:t>
            </w:r>
          </w:p>
        </w:tc>
        <w:tc>
          <w:tcPr>
            <w:tcW w:w="1699" w:type="dxa"/>
            <w:shd w:val="clear" w:color="auto" w:fill="auto"/>
            <w:vAlign w:val="center"/>
            <w:hideMark/>
          </w:tcPr>
          <w:p w14:paraId="48894A2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111.868 €</w:t>
            </w:r>
          </w:p>
        </w:tc>
      </w:tr>
      <w:tr w:rsidR="00E72A48" w:rsidRPr="00EF606E" w14:paraId="5E43A354" w14:textId="77777777" w:rsidTr="0007734A">
        <w:trPr>
          <w:cantSplit/>
          <w:trHeight w:val="210"/>
          <w:jc w:val="center"/>
        </w:trPr>
        <w:tc>
          <w:tcPr>
            <w:tcW w:w="1051" w:type="dxa"/>
            <w:shd w:val="clear" w:color="auto" w:fill="auto"/>
            <w:vAlign w:val="center"/>
            <w:hideMark/>
          </w:tcPr>
          <w:p w14:paraId="58C31F1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01.1901.001</w:t>
            </w:r>
          </w:p>
        </w:tc>
        <w:tc>
          <w:tcPr>
            <w:tcW w:w="2112" w:type="dxa"/>
            <w:shd w:val="clear" w:color="auto" w:fill="auto"/>
            <w:vAlign w:val="center"/>
            <w:hideMark/>
          </w:tcPr>
          <w:p w14:paraId="508C531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Α.Δ.Α.</w:t>
            </w:r>
          </w:p>
        </w:tc>
        <w:tc>
          <w:tcPr>
            <w:tcW w:w="1752" w:type="dxa"/>
            <w:shd w:val="clear" w:color="auto" w:fill="auto"/>
            <w:vAlign w:val="center"/>
            <w:hideMark/>
          </w:tcPr>
          <w:p w14:paraId="325CEA8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ΑΤΤΙΚΗΣ</w:t>
            </w:r>
          </w:p>
        </w:tc>
        <w:tc>
          <w:tcPr>
            <w:tcW w:w="1152" w:type="dxa"/>
            <w:shd w:val="clear" w:color="auto" w:fill="auto"/>
            <w:vAlign w:val="center"/>
            <w:hideMark/>
          </w:tcPr>
          <w:p w14:paraId="319F28D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7.130 €</w:t>
            </w:r>
          </w:p>
        </w:tc>
        <w:tc>
          <w:tcPr>
            <w:tcW w:w="1306" w:type="dxa"/>
            <w:shd w:val="clear" w:color="auto" w:fill="auto"/>
            <w:vAlign w:val="center"/>
            <w:hideMark/>
          </w:tcPr>
          <w:p w14:paraId="41EDD4F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5C0F9E9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7.130 €</w:t>
            </w:r>
          </w:p>
        </w:tc>
      </w:tr>
      <w:tr w:rsidR="00E72A48" w:rsidRPr="00EF606E" w14:paraId="3FB251FC" w14:textId="77777777" w:rsidTr="0007734A">
        <w:trPr>
          <w:cantSplit/>
          <w:trHeight w:val="420"/>
          <w:jc w:val="center"/>
        </w:trPr>
        <w:tc>
          <w:tcPr>
            <w:tcW w:w="1051" w:type="dxa"/>
            <w:shd w:val="clear" w:color="auto" w:fill="auto"/>
            <w:vAlign w:val="center"/>
            <w:hideMark/>
          </w:tcPr>
          <w:p w14:paraId="63DDA84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01.1901.002</w:t>
            </w:r>
          </w:p>
        </w:tc>
        <w:tc>
          <w:tcPr>
            <w:tcW w:w="2112" w:type="dxa"/>
            <w:shd w:val="clear" w:color="auto" w:fill="auto"/>
            <w:vAlign w:val="center"/>
            <w:hideMark/>
          </w:tcPr>
          <w:p w14:paraId="498C9E2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ΘΕΜΑΤΩΝ ΑΛΛΟΔΑΠΩΝ ΚΑΙ ΑΣΤΙΚΗΣ ΚΑΤΑΣΤΑΣΗΣ Α.Δ.Α.</w:t>
            </w:r>
          </w:p>
        </w:tc>
        <w:tc>
          <w:tcPr>
            <w:tcW w:w="1752" w:type="dxa"/>
            <w:shd w:val="clear" w:color="auto" w:fill="auto"/>
            <w:vAlign w:val="center"/>
            <w:hideMark/>
          </w:tcPr>
          <w:p w14:paraId="329D190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ΑΤΤΙΚΗΣ</w:t>
            </w:r>
          </w:p>
        </w:tc>
        <w:tc>
          <w:tcPr>
            <w:tcW w:w="1152" w:type="dxa"/>
            <w:shd w:val="clear" w:color="auto" w:fill="auto"/>
            <w:vAlign w:val="center"/>
            <w:hideMark/>
          </w:tcPr>
          <w:p w14:paraId="4FD55AC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4.379 €</w:t>
            </w:r>
          </w:p>
        </w:tc>
        <w:tc>
          <w:tcPr>
            <w:tcW w:w="1306" w:type="dxa"/>
            <w:shd w:val="clear" w:color="auto" w:fill="auto"/>
            <w:vAlign w:val="center"/>
            <w:hideMark/>
          </w:tcPr>
          <w:p w14:paraId="4709A56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581BDB2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4.379 €</w:t>
            </w:r>
          </w:p>
        </w:tc>
      </w:tr>
      <w:tr w:rsidR="00E72A48" w:rsidRPr="00EF606E" w14:paraId="625F57DF" w14:textId="77777777" w:rsidTr="0007734A">
        <w:trPr>
          <w:cantSplit/>
          <w:trHeight w:val="420"/>
          <w:jc w:val="center"/>
        </w:trPr>
        <w:tc>
          <w:tcPr>
            <w:tcW w:w="1051" w:type="dxa"/>
            <w:shd w:val="clear" w:color="auto" w:fill="auto"/>
            <w:vAlign w:val="center"/>
            <w:hideMark/>
          </w:tcPr>
          <w:p w14:paraId="370017F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01.1902.001</w:t>
            </w:r>
          </w:p>
        </w:tc>
        <w:tc>
          <w:tcPr>
            <w:tcW w:w="2112" w:type="dxa"/>
            <w:shd w:val="clear" w:color="auto" w:fill="auto"/>
            <w:vAlign w:val="center"/>
            <w:hideMark/>
          </w:tcPr>
          <w:p w14:paraId="19A3923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Α.Δ.Θ.Σ.Ε.</w:t>
            </w:r>
          </w:p>
        </w:tc>
        <w:tc>
          <w:tcPr>
            <w:tcW w:w="1752" w:type="dxa"/>
            <w:shd w:val="clear" w:color="auto" w:fill="auto"/>
            <w:vAlign w:val="center"/>
            <w:hideMark/>
          </w:tcPr>
          <w:p w14:paraId="332DA9D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ΘΕΣΣΑΛΙΑΣ - ΣΤΕΡΕΑΣ ΕΛΛΑΔΑΣ</w:t>
            </w:r>
          </w:p>
        </w:tc>
        <w:tc>
          <w:tcPr>
            <w:tcW w:w="1152" w:type="dxa"/>
            <w:shd w:val="clear" w:color="auto" w:fill="auto"/>
            <w:vAlign w:val="center"/>
            <w:hideMark/>
          </w:tcPr>
          <w:p w14:paraId="79D87C3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5.690 €</w:t>
            </w:r>
          </w:p>
        </w:tc>
        <w:tc>
          <w:tcPr>
            <w:tcW w:w="1306" w:type="dxa"/>
            <w:shd w:val="clear" w:color="auto" w:fill="auto"/>
            <w:vAlign w:val="center"/>
            <w:hideMark/>
          </w:tcPr>
          <w:p w14:paraId="0122E45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329D94B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5.690 €</w:t>
            </w:r>
          </w:p>
        </w:tc>
      </w:tr>
      <w:tr w:rsidR="00E72A48" w:rsidRPr="00EF606E" w14:paraId="746FCCB4" w14:textId="77777777" w:rsidTr="0007734A">
        <w:trPr>
          <w:cantSplit/>
          <w:trHeight w:val="420"/>
          <w:jc w:val="center"/>
        </w:trPr>
        <w:tc>
          <w:tcPr>
            <w:tcW w:w="1051" w:type="dxa"/>
            <w:shd w:val="clear" w:color="auto" w:fill="auto"/>
            <w:vAlign w:val="center"/>
            <w:hideMark/>
          </w:tcPr>
          <w:p w14:paraId="7EBAE31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01.1902.002</w:t>
            </w:r>
          </w:p>
        </w:tc>
        <w:tc>
          <w:tcPr>
            <w:tcW w:w="2112" w:type="dxa"/>
            <w:shd w:val="clear" w:color="auto" w:fill="auto"/>
            <w:vAlign w:val="center"/>
            <w:hideMark/>
          </w:tcPr>
          <w:p w14:paraId="62A78A4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ΘΕΜΑΤΩΝ ΑΛΛΟΔΑΠΩΝ ΚΑΙ ΑΣΤΙΚΗΣ ΚΑΤΑΣΤΑΣΗΣ Α.Δ.Θ.Σ.Ε.</w:t>
            </w:r>
          </w:p>
        </w:tc>
        <w:tc>
          <w:tcPr>
            <w:tcW w:w="1752" w:type="dxa"/>
            <w:shd w:val="clear" w:color="auto" w:fill="auto"/>
            <w:vAlign w:val="center"/>
            <w:hideMark/>
          </w:tcPr>
          <w:p w14:paraId="5070AF3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ΘΕΣΣΑΛΙΑΣ - ΣΤΕΡΕΑΣ ΕΛΛΑΔΑΣ</w:t>
            </w:r>
          </w:p>
        </w:tc>
        <w:tc>
          <w:tcPr>
            <w:tcW w:w="1152" w:type="dxa"/>
            <w:shd w:val="clear" w:color="auto" w:fill="auto"/>
            <w:vAlign w:val="center"/>
            <w:hideMark/>
          </w:tcPr>
          <w:p w14:paraId="0DFEC0A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2.886 €</w:t>
            </w:r>
          </w:p>
        </w:tc>
        <w:tc>
          <w:tcPr>
            <w:tcW w:w="1306" w:type="dxa"/>
            <w:shd w:val="clear" w:color="auto" w:fill="auto"/>
            <w:vAlign w:val="center"/>
            <w:hideMark/>
          </w:tcPr>
          <w:p w14:paraId="0130865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3D9E13F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2.886 €</w:t>
            </w:r>
          </w:p>
        </w:tc>
      </w:tr>
      <w:tr w:rsidR="00E72A48" w:rsidRPr="00EF606E" w14:paraId="259A76C7" w14:textId="77777777" w:rsidTr="0007734A">
        <w:trPr>
          <w:cantSplit/>
          <w:trHeight w:val="420"/>
          <w:jc w:val="center"/>
        </w:trPr>
        <w:tc>
          <w:tcPr>
            <w:tcW w:w="1051" w:type="dxa"/>
            <w:shd w:val="clear" w:color="auto" w:fill="auto"/>
            <w:vAlign w:val="center"/>
            <w:hideMark/>
          </w:tcPr>
          <w:p w14:paraId="000D1DF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01.1903.001</w:t>
            </w:r>
          </w:p>
        </w:tc>
        <w:tc>
          <w:tcPr>
            <w:tcW w:w="2112" w:type="dxa"/>
            <w:shd w:val="clear" w:color="auto" w:fill="auto"/>
            <w:vAlign w:val="center"/>
            <w:hideMark/>
          </w:tcPr>
          <w:p w14:paraId="12442B7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Α.Δ.Η.Δ.Μ.</w:t>
            </w:r>
          </w:p>
        </w:tc>
        <w:tc>
          <w:tcPr>
            <w:tcW w:w="1752" w:type="dxa"/>
            <w:shd w:val="clear" w:color="auto" w:fill="auto"/>
            <w:vAlign w:val="center"/>
            <w:hideMark/>
          </w:tcPr>
          <w:p w14:paraId="5C44ECD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ΗΠΕΙΡΟΥ - ΔΥΤΙΚΗΣ ΜΑΚΕΔΟΝΙΑΣ</w:t>
            </w:r>
          </w:p>
        </w:tc>
        <w:tc>
          <w:tcPr>
            <w:tcW w:w="1152" w:type="dxa"/>
            <w:shd w:val="clear" w:color="auto" w:fill="auto"/>
            <w:vAlign w:val="center"/>
            <w:hideMark/>
          </w:tcPr>
          <w:p w14:paraId="5B3EF5D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5.421 €</w:t>
            </w:r>
          </w:p>
        </w:tc>
        <w:tc>
          <w:tcPr>
            <w:tcW w:w="1306" w:type="dxa"/>
            <w:shd w:val="clear" w:color="auto" w:fill="auto"/>
            <w:vAlign w:val="center"/>
            <w:hideMark/>
          </w:tcPr>
          <w:p w14:paraId="196981B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7FA2DA3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5.421 €</w:t>
            </w:r>
          </w:p>
        </w:tc>
      </w:tr>
      <w:tr w:rsidR="00E72A48" w:rsidRPr="00EF606E" w14:paraId="7F3213A5" w14:textId="77777777" w:rsidTr="0007734A">
        <w:trPr>
          <w:cantSplit/>
          <w:trHeight w:val="420"/>
          <w:jc w:val="center"/>
        </w:trPr>
        <w:tc>
          <w:tcPr>
            <w:tcW w:w="1051" w:type="dxa"/>
            <w:shd w:val="clear" w:color="auto" w:fill="auto"/>
            <w:vAlign w:val="center"/>
            <w:hideMark/>
          </w:tcPr>
          <w:p w14:paraId="31CB817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01.1903.002</w:t>
            </w:r>
          </w:p>
        </w:tc>
        <w:tc>
          <w:tcPr>
            <w:tcW w:w="2112" w:type="dxa"/>
            <w:shd w:val="clear" w:color="auto" w:fill="auto"/>
            <w:vAlign w:val="center"/>
            <w:hideMark/>
          </w:tcPr>
          <w:p w14:paraId="67319B0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ΘΕΜΑΤΩΝ ΑΛΛΟΔΑΠΩΝ ΚΑΙ ΑΣΤΙΚΗΣ ΚΑΤΑΣΤΑΣΗΣ Α.Δ.Η.Δ.Μ.</w:t>
            </w:r>
          </w:p>
        </w:tc>
        <w:tc>
          <w:tcPr>
            <w:tcW w:w="1752" w:type="dxa"/>
            <w:shd w:val="clear" w:color="auto" w:fill="auto"/>
            <w:vAlign w:val="center"/>
            <w:hideMark/>
          </w:tcPr>
          <w:p w14:paraId="7515204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ΗΠΕΙΡΟΥ - ΔΥΤΙΚΗΣ ΜΑΚΕΔΟΝΙΑΣ</w:t>
            </w:r>
          </w:p>
        </w:tc>
        <w:tc>
          <w:tcPr>
            <w:tcW w:w="1152" w:type="dxa"/>
            <w:shd w:val="clear" w:color="auto" w:fill="auto"/>
            <w:vAlign w:val="center"/>
            <w:hideMark/>
          </w:tcPr>
          <w:p w14:paraId="468326B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1.660 €</w:t>
            </w:r>
          </w:p>
        </w:tc>
        <w:tc>
          <w:tcPr>
            <w:tcW w:w="1306" w:type="dxa"/>
            <w:shd w:val="clear" w:color="auto" w:fill="auto"/>
            <w:vAlign w:val="center"/>
            <w:hideMark/>
          </w:tcPr>
          <w:p w14:paraId="30722BA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27017D5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1.660 €</w:t>
            </w:r>
          </w:p>
        </w:tc>
      </w:tr>
      <w:tr w:rsidR="00E72A48" w:rsidRPr="00EF606E" w14:paraId="093D9D0C" w14:textId="77777777" w:rsidTr="0007734A">
        <w:trPr>
          <w:cantSplit/>
          <w:trHeight w:val="420"/>
          <w:jc w:val="center"/>
        </w:trPr>
        <w:tc>
          <w:tcPr>
            <w:tcW w:w="1051" w:type="dxa"/>
            <w:shd w:val="clear" w:color="auto" w:fill="auto"/>
            <w:vAlign w:val="center"/>
            <w:hideMark/>
          </w:tcPr>
          <w:p w14:paraId="3F28A51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01.1904.001</w:t>
            </w:r>
          </w:p>
        </w:tc>
        <w:tc>
          <w:tcPr>
            <w:tcW w:w="2112" w:type="dxa"/>
            <w:shd w:val="clear" w:color="auto" w:fill="auto"/>
            <w:vAlign w:val="center"/>
            <w:hideMark/>
          </w:tcPr>
          <w:p w14:paraId="1553334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Α.Δ.Π.Δ.Ε. &amp; Ι.</w:t>
            </w:r>
          </w:p>
        </w:tc>
        <w:tc>
          <w:tcPr>
            <w:tcW w:w="1752" w:type="dxa"/>
            <w:shd w:val="clear" w:color="auto" w:fill="auto"/>
            <w:vAlign w:val="center"/>
            <w:hideMark/>
          </w:tcPr>
          <w:p w14:paraId="33E2502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ΠΕΛΟΠΟΝΝΗΣΟΥ - ΔΥΤΙΚΗΣ ΕΛΛΑΔΑΣ ΚΑΙ ΙΟΝΙΟΥ</w:t>
            </w:r>
          </w:p>
        </w:tc>
        <w:tc>
          <w:tcPr>
            <w:tcW w:w="1152" w:type="dxa"/>
            <w:shd w:val="clear" w:color="auto" w:fill="auto"/>
            <w:vAlign w:val="center"/>
            <w:hideMark/>
          </w:tcPr>
          <w:p w14:paraId="0C28E41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7.875 €</w:t>
            </w:r>
          </w:p>
        </w:tc>
        <w:tc>
          <w:tcPr>
            <w:tcW w:w="1306" w:type="dxa"/>
            <w:shd w:val="clear" w:color="auto" w:fill="auto"/>
            <w:vAlign w:val="center"/>
            <w:hideMark/>
          </w:tcPr>
          <w:p w14:paraId="17C2577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15A22A4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7.875 €</w:t>
            </w:r>
          </w:p>
        </w:tc>
      </w:tr>
      <w:tr w:rsidR="00E72A48" w:rsidRPr="00EF606E" w14:paraId="0F4C3FAC" w14:textId="77777777" w:rsidTr="0007734A">
        <w:trPr>
          <w:cantSplit/>
          <w:trHeight w:val="420"/>
          <w:jc w:val="center"/>
        </w:trPr>
        <w:tc>
          <w:tcPr>
            <w:tcW w:w="1051" w:type="dxa"/>
            <w:shd w:val="clear" w:color="auto" w:fill="auto"/>
            <w:vAlign w:val="center"/>
            <w:hideMark/>
          </w:tcPr>
          <w:p w14:paraId="1BBE9D5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01.1904.002</w:t>
            </w:r>
          </w:p>
        </w:tc>
        <w:tc>
          <w:tcPr>
            <w:tcW w:w="2112" w:type="dxa"/>
            <w:shd w:val="clear" w:color="auto" w:fill="auto"/>
            <w:vAlign w:val="center"/>
            <w:hideMark/>
          </w:tcPr>
          <w:p w14:paraId="7AA7E7F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ΘΕΜΑΤΩΝ ΑΛΛΟΔΑΠΩΝ ΚΑΙ ΑΣΤΙΚΗΣ ΚΑΤΑΣΤΑΣΗΣ Α.Δ.Π.Δ.Ε. &amp; Ι.</w:t>
            </w:r>
          </w:p>
        </w:tc>
        <w:tc>
          <w:tcPr>
            <w:tcW w:w="1752" w:type="dxa"/>
            <w:shd w:val="clear" w:color="auto" w:fill="auto"/>
            <w:vAlign w:val="center"/>
            <w:hideMark/>
          </w:tcPr>
          <w:p w14:paraId="167B50F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ΠΕΛΟΠΟΝΝΗΣΟΥ - ΔΥΤΙΚΗΣ ΕΛΛΑΔΑΣ ΚΑΙ ΙΟΝΙΟΥ</w:t>
            </w:r>
          </w:p>
        </w:tc>
        <w:tc>
          <w:tcPr>
            <w:tcW w:w="1152" w:type="dxa"/>
            <w:shd w:val="clear" w:color="auto" w:fill="auto"/>
            <w:vAlign w:val="center"/>
            <w:hideMark/>
          </w:tcPr>
          <w:p w14:paraId="13DCEF6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2.836 €</w:t>
            </w:r>
          </w:p>
        </w:tc>
        <w:tc>
          <w:tcPr>
            <w:tcW w:w="1306" w:type="dxa"/>
            <w:shd w:val="clear" w:color="auto" w:fill="auto"/>
            <w:vAlign w:val="center"/>
            <w:hideMark/>
          </w:tcPr>
          <w:p w14:paraId="1DD9826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3C6BD16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2.836 €</w:t>
            </w:r>
          </w:p>
        </w:tc>
      </w:tr>
      <w:tr w:rsidR="00E72A48" w:rsidRPr="00EF606E" w14:paraId="400DFBD4" w14:textId="77777777" w:rsidTr="0007734A">
        <w:trPr>
          <w:cantSplit/>
          <w:trHeight w:val="210"/>
          <w:jc w:val="center"/>
        </w:trPr>
        <w:tc>
          <w:tcPr>
            <w:tcW w:w="1051" w:type="dxa"/>
            <w:shd w:val="clear" w:color="auto" w:fill="auto"/>
            <w:vAlign w:val="center"/>
            <w:hideMark/>
          </w:tcPr>
          <w:p w14:paraId="7B335D4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01.1905.001</w:t>
            </w:r>
          </w:p>
        </w:tc>
        <w:tc>
          <w:tcPr>
            <w:tcW w:w="2112" w:type="dxa"/>
            <w:shd w:val="clear" w:color="auto" w:fill="auto"/>
            <w:vAlign w:val="center"/>
            <w:hideMark/>
          </w:tcPr>
          <w:p w14:paraId="7C8D9A8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Α.Δ.ΑΙΓ.</w:t>
            </w:r>
          </w:p>
        </w:tc>
        <w:tc>
          <w:tcPr>
            <w:tcW w:w="1752" w:type="dxa"/>
            <w:shd w:val="clear" w:color="auto" w:fill="auto"/>
            <w:vAlign w:val="center"/>
            <w:hideMark/>
          </w:tcPr>
          <w:p w14:paraId="5F6DCFB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ΑΙΓΑΙΟΥ</w:t>
            </w:r>
          </w:p>
        </w:tc>
        <w:tc>
          <w:tcPr>
            <w:tcW w:w="1152" w:type="dxa"/>
            <w:shd w:val="clear" w:color="auto" w:fill="auto"/>
            <w:vAlign w:val="center"/>
            <w:hideMark/>
          </w:tcPr>
          <w:p w14:paraId="12C73D0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3.873 €</w:t>
            </w:r>
          </w:p>
        </w:tc>
        <w:tc>
          <w:tcPr>
            <w:tcW w:w="1306" w:type="dxa"/>
            <w:shd w:val="clear" w:color="auto" w:fill="auto"/>
            <w:vAlign w:val="center"/>
            <w:hideMark/>
          </w:tcPr>
          <w:p w14:paraId="007D3EA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5FD9C2A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3.873 €</w:t>
            </w:r>
          </w:p>
        </w:tc>
      </w:tr>
      <w:tr w:rsidR="00E72A48" w:rsidRPr="00EF606E" w14:paraId="2D2006B7" w14:textId="77777777" w:rsidTr="0007734A">
        <w:trPr>
          <w:cantSplit/>
          <w:trHeight w:val="420"/>
          <w:jc w:val="center"/>
        </w:trPr>
        <w:tc>
          <w:tcPr>
            <w:tcW w:w="1051" w:type="dxa"/>
            <w:shd w:val="clear" w:color="auto" w:fill="auto"/>
            <w:vAlign w:val="center"/>
            <w:hideMark/>
          </w:tcPr>
          <w:p w14:paraId="7382D3E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01.1905.002</w:t>
            </w:r>
          </w:p>
        </w:tc>
        <w:tc>
          <w:tcPr>
            <w:tcW w:w="2112" w:type="dxa"/>
            <w:shd w:val="clear" w:color="auto" w:fill="auto"/>
            <w:vAlign w:val="center"/>
            <w:hideMark/>
          </w:tcPr>
          <w:p w14:paraId="7D08F1C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ΘΕΜΑΤΩΝ ΑΛΛΟΔΑΠΩΝ ΚΑΙ ΑΣΤΙΚΗΣ ΚΑΤΑΣΤΑΣΗΣ Α.Δ.ΑΙΓ.</w:t>
            </w:r>
          </w:p>
        </w:tc>
        <w:tc>
          <w:tcPr>
            <w:tcW w:w="1752" w:type="dxa"/>
            <w:shd w:val="clear" w:color="auto" w:fill="auto"/>
            <w:vAlign w:val="center"/>
            <w:hideMark/>
          </w:tcPr>
          <w:p w14:paraId="5B2F5E0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ΑΙΓΑΙΟΥ</w:t>
            </w:r>
          </w:p>
        </w:tc>
        <w:tc>
          <w:tcPr>
            <w:tcW w:w="1152" w:type="dxa"/>
            <w:shd w:val="clear" w:color="auto" w:fill="auto"/>
            <w:vAlign w:val="center"/>
            <w:hideMark/>
          </w:tcPr>
          <w:p w14:paraId="4337993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1.296 €</w:t>
            </w:r>
          </w:p>
        </w:tc>
        <w:tc>
          <w:tcPr>
            <w:tcW w:w="1306" w:type="dxa"/>
            <w:shd w:val="clear" w:color="auto" w:fill="auto"/>
            <w:vAlign w:val="center"/>
            <w:hideMark/>
          </w:tcPr>
          <w:p w14:paraId="46FEEA2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3C69424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1.296 €</w:t>
            </w:r>
          </w:p>
        </w:tc>
      </w:tr>
      <w:tr w:rsidR="00E72A48" w:rsidRPr="00EF606E" w14:paraId="29208E5A" w14:textId="77777777" w:rsidTr="0007734A">
        <w:trPr>
          <w:cantSplit/>
          <w:trHeight w:val="210"/>
          <w:jc w:val="center"/>
        </w:trPr>
        <w:tc>
          <w:tcPr>
            <w:tcW w:w="1051" w:type="dxa"/>
            <w:shd w:val="clear" w:color="auto" w:fill="auto"/>
            <w:vAlign w:val="center"/>
            <w:hideMark/>
          </w:tcPr>
          <w:p w14:paraId="40AE766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01.1906.001</w:t>
            </w:r>
          </w:p>
        </w:tc>
        <w:tc>
          <w:tcPr>
            <w:tcW w:w="2112" w:type="dxa"/>
            <w:shd w:val="clear" w:color="auto" w:fill="auto"/>
            <w:vAlign w:val="center"/>
            <w:hideMark/>
          </w:tcPr>
          <w:p w14:paraId="0001BBD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Α.Δ.Κ.</w:t>
            </w:r>
          </w:p>
        </w:tc>
        <w:tc>
          <w:tcPr>
            <w:tcW w:w="1752" w:type="dxa"/>
            <w:shd w:val="clear" w:color="auto" w:fill="auto"/>
            <w:vAlign w:val="center"/>
            <w:hideMark/>
          </w:tcPr>
          <w:p w14:paraId="5D90003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ΚΡΗΤΗΣ</w:t>
            </w:r>
          </w:p>
        </w:tc>
        <w:tc>
          <w:tcPr>
            <w:tcW w:w="1152" w:type="dxa"/>
            <w:shd w:val="clear" w:color="auto" w:fill="auto"/>
            <w:vAlign w:val="center"/>
            <w:hideMark/>
          </w:tcPr>
          <w:p w14:paraId="786456E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3.702 €</w:t>
            </w:r>
          </w:p>
        </w:tc>
        <w:tc>
          <w:tcPr>
            <w:tcW w:w="1306" w:type="dxa"/>
            <w:shd w:val="clear" w:color="auto" w:fill="auto"/>
            <w:vAlign w:val="center"/>
            <w:hideMark/>
          </w:tcPr>
          <w:p w14:paraId="3C65DFD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2B48F66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3.702 €</w:t>
            </w:r>
          </w:p>
        </w:tc>
      </w:tr>
      <w:tr w:rsidR="00E72A48" w:rsidRPr="00EF606E" w14:paraId="12C0E31C" w14:textId="77777777" w:rsidTr="0007734A">
        <w:trPr>
          <w:cantSplit/>
          <w:trHeight w:val="420"/>
          <w:jc w:val="center"/>
        </w:trPr>
        <w:tc>
          <w:tcPr>
            <w:tcW w:w="1051" w:type="dxa"/>
            <w:shd w:val="clear" w:color="auto" w:fill="auto"/>
            <w:vAlign w:val="center"/>
            <w:hideMark/>
          </w:tcPr>
          <w:p w14:paraId="6101E57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lastRenderedPageBreak/>
              <w:t>01.1906.002</w:t>
            </w:r>
          </w:p>
        </w:tc>
        <w:tc>
          <w:tcPr>
            <w:tcW w:w="2112" w:type="dxa"/>
            <w:shd w:val="clear" w:color="auto" w:fill="auto"/>
            <w:vAlign w:val="center"/>
            <w:hideMark/>
          </w:tcPr>
          <w:p w14:paraId="20CDE19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ΘΕΜΑΤΩΝ ΑΛΛΟΔΑΠΩΝ ΚΑΙ ΑΣΤΙΚΗΣ ΚΑΤΑΣΤΑΣΗΣ Α.Δ.Κ.</w:t>
            </w:r>
          </w:p>
        </w:tc>
        <w:tc>
          <w:tcPr>
            <w:tcW w:w="1752" w:type="dxa"/>
            <w:shd w:val="clear" w:color="auto" w:fill="auto"/>
            <w:vAlign w:val="center"/>
            <w:hideMark/>
          </w:tcPr>
          <w:p w14:paraId="155487B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ΚΡΗΤΗΣ</w:t>
            </w:r>
          </w:p>
        </w:tc>
        <w:tc>
          <w:tcPr>
            <w:tcW w:w="1152" w:type="dxa"/>
            <w:shd w:val="clear" w:color="auto" w:fill="auto"/>
            <w:vAlign w:val="center"/>
            <w:hideMark/>
          </w:tcPr>
          <w:p w14:paraId="66E76F3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1.664 €</w:t>
            </w:r>
          </w:p>
        </w:tc>
        <w:tc>
          <w:tcPr>
            <w:tcW w:w="1306" w:type="dxa"/>
            <w:shd w:val="clear" w:color="auto" w:fill="auto"/>
            <w:vAlign w:val="center"/>
            <w:hideMark/>
          </w:tcPr>
          <w:p w14:paraId="57A274D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0E69FAA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1.664 €</w:t>
            </w:r>
          </w:p>
        </w:tc>
      </w:tr>
      <w:tr w:rsidR="00E72A48" w:rsidRPr="00EF606E" w14:paraId="2371F4BD" w14:textId="77777777" w:rsidTr="0007734A">
        <w:trPr>
          <w:cantSplit/>
          <w:trHeight w:val="420"/>
          <w:jc w:val="center"/>
        </w:trPr>
        <w:tc>
          <w:tcPr>
            <w:tcW w:w="1051" w:type="dxa"/>
            <w:shd w:val="clear" w:color="auto" w:fill="auto"/>
            <w:vAlign w:val="center"/>
            <w:hideMark/>
          </w:tcPr>
          <w:p w14:paraId="0CD55CE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01.1907.001</w:t>
            </w:r>
          </w:p>
        </w:tc>
        <w:tc>
          <w:tcPr>
            <w:tcW w:w="2112" w:type="dxa"/>
            <w:shd w:val="clear" w:color="auto" w:fill="auto"/>
            <w:vAlign w:val="center"/>
            <w:hideMark/>
          </w:tcPr>
          <w:p w14:paraId="7058BD9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Α.Δ.Μ.Θ.</w:t>
            </w:r>
          </w:p>
        </w:tc>
        <w:tc>
          <w:tcPr>
            <w:tcW w:w="1752" w:type="dxa"/>
            <w:shd w:val="clear" w:color="auto" w:fill="auto"/>
            <w:vAlign w:val="center"/>
            <w:hideMark/>
          </w:tcPr>
          <w:p w14:paraId="176E16E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ΜΑΚΕΔΟΝΙΑΣ - ΘΡΑΚΗΣ</w:t>
            </w:r>
          </w:p>
        </w:tc>
        <w:tc>
          <w:tcPr>
            <w:tcW w:w="1152" w:type="dxa"/>
            <w:shd w:val="clear" w:color="auto" w:fill="auto"/>
            <w:vAlign w:val="center"/>
            <w:hideMark/>
          </w:tcPr>
          <w:p w14:paraId="7570AB7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9.313 €</w:t>
            </w:r>
          </w:p>
        </w:tc>
        <w:tc>
          <w:tcPr>
            <w:tcW w:w="1306" w:type="dxa"/>
            <w:shd w:val="clear" w:color="auto" w:fill="auto"/>
            <w:vAlign w:val="center"/>
            <w:hideMark/>
          </w:tcPr>
          <w:p w14:paraId="7E6E425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66F36B8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9.313 €</w:t>
            </w:r>
          </w:p>
        </w:tc>
      </w:tr>
      <w:tr w:rsidR="00E72A48" w:rsidRPr="00EF606E" w14:paraId="5E5E7957" w14:textId="77777777" w:rsidTr="0007734A">
        <w:trPr>
          <w:cantSplit/>
          <w:trHeight w:val="420"/>
          <w:jc w:val="center"/>
        </w:trPr>
        <w:tc>
          <w:tcPr>
            <w:tcW w:w="1051" w:type="dxa"/>
            <w:shd w:val="clear" w:color="auto" w:fill="auto"/>
            <w:vAlign w:val="center"/>
            <w:hideMark/>
          </w:tcPr>
          <w:p w14:paraId="65C6BB7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01.1907.002</w:t>
            </w:r>
          </w:p>
        </w:tc>
        <w:tc>
          <w:tcPr>
            <w:tcW w:w="2112" w:type="dxa"/>
            <w:shd w:val="clear" w:color="auto" w:fill="auto"/>
            <w:vAlign w:val="center"/>
            <w:hideMark/>
          </w:tcPr>
          <w:p w14:paraId="1411D48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ΘΕΜΑΤΩΝ ΑΛΛΟΔΑΠΩΝ ΚΑΙ ΑΣΤΙΚΗΣ ΚΑΤΑΣΤΑΣΗΣ Α.Δ.Μ.Θ.</w:t>
            </w:r>
          </w:p>
        </w:tc>
        <w:tc>
          <w:tcPr>
            <w:tcW w:w="1752" w:type="dxa"/>
            <w:shd w:val="clear" w:color="auto" w:fill="auto"/>
            <w:vAlign w:val="center"/>
            <w:hideMark/>
          </w:tcPr>
          <w:p w14:paraId="0B12861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ΜΑΚΕΔΟΝΙΑΣ - ΘΡΑΚΗΣ</w:t>
            </w:r>
          </w:p>
        </w:tc>
        <w:tc>
          <w:tcPr>
            <w:tcW w:w="1152" w:type="dxa"/>
            <w:shd w:val="clear" w:color="auto" w:fill="auto"/>
            <w:vAlign w:val="center"/>
            <w:hideMark/>
          </w:tcPr>
          <w:p w14:paraId="60AF451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4.327 €</w:t>
            </w:r>
          </w:p>
        </w:tc>
        <w:tc>
          <w:tcPr>
            <w:tcW w:w="1306" w:type="dxa"/>
            <w:shd w:val="clear" w:color="auto" w:fill="auto"/>
            <w:vAlign w:val="center"/>
            <w:hideMark/>
          </w:tcPr>
          <w:p w14:paraId="3EFBA08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56498AC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4.327 €</w:t>
            </w:r>
          </w:p>
        </w:tc>
      </w:tr>
      <w:tr w:rsidR="00E72A48" w:rsidRPr="00EF606E" w14:paraId="0B755DB1" w14:textId="77777777" w:rsidTr="0007734A">
        <w:trPr>
          <w:cantSplit/>
          <w:trHeight w:val="195"/>
          <w:jc w:val="center"/>
        </w:trPr>
        <w:tc>
          <w:tcPr>
            <w:tcW w:w="1051" w:type="dxa"/>
            <w:shd w:val="clear" w:color="000000" w:fill="D9D9D9"/>
            <w:vAlign w:val="center"/>
            <w:hideMark/>
          </w:tcPr>
          <w:p w14:paraId="6961F883"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02</w:t>
            </w:r>
          </w:p>
        </w:tc>
        <w:tc>
          <w:tcPr>
            <w:tcW w:w="2112" w:type="dxa"/>
            <w:shd w:val="clear" w:color="000000" w:fill="D9D9D9"/>
            <w:vAlign w:val="center"/>
            <w:hideMark/>
          </w:tcPr>
          <w:p w14:paraId="6E87A7BB"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ΑΜΥΝΑ</w:t>
            </w:r>
          </w:p>
        </w:tc>
        <w:tc>
          <w:tcPr>
            <w:tcW w:w="1752" w:type="dxa"/>
            <w:shd w:val="clear" w:color="000000" w:fill="D9D9D9"/>
            <w:vAlign w:val="center"/>
            <w:hideMark/>
          </w:tcPr>
          <w:p w14:paraId="653AB195"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17BB9CB0"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5.550.452 €</w:t>
            </w:r>
          </w:p>
        </w:tc>
        <w:tc>
          <w:tcPr>
            <w:tcW w:w="1306" w:type="dxa"/>
            <w:shd w:val="clear" w:color="000000" w:fill="D9D9D9"/>
            <w:vAlign w:val="center"/>
            <w:hideMark/>
          </w:tcPr>
          <w:p w14:paraId="1376D392"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261.837 €</w:t>
            </w:r>
          </w:p>
        </w:tc>
        <w:tc>
          <w:tcPr>
            <w:tcW w:w="1699" w:type="dxa"/>
            <w:shd w:val="clear" w:color="000000" w:fill="D9D9D9"/>
            <w:vAlign w:val="center"/>
            <w:hideMark/>
          </w:tcPr>
          <w:p w14:paraId="509F5464"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5.812.289 €</w:t>
            </w:r>
          </w:p>
        </w:tc>
      </w:tr>
      <w:tr w:rsidR="00E72A48" w:rsidRPr="00EF606E" w14:paraId="41C49752" w14:textId="77777777" w:rsidTr="0007734A">
        <w:trPr>
          <w:cantSplit/>
          <w:trHeight w:val="420"/>
          <w:jc w:val="center"/>
        </w:trPr>
        <w:tc>
          <w:tcPr>
            <w:tcW w:w="1051" w:type="dxa"/>
            <w:shd w:val="clear" w:color="auto" w:fill="auto"/>
            <w:vAlign w:val="center"/>
            <w:hideMark/>
          </w:tcPr>
          <w:p w14:paraId="30980F3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02.1011.001</w:t>
            </w:r>
          </w:p>
        </w:tc>
        <w:tc>
          <w:tcPr>
            <w:tcW w:w="2112" w:type="dxa"/>
            <w:shd w:val="clear" w:color="auto" w:fill="auto"/>
            <w:vAlign w:val="center"/>
            <w:hideMark/>
          </w:tcPr>
          <w:p w14:paraId="548C887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ΑΠΟΤΡΟΠΗ ΕΞΩΤΕΡΙΚΩΝ ΑΠΕΙΛΩΝ - ΕΓΓΥΗΣΗ ΤΗΣ ΑΣΦΑΛΕΙΑΣ ΚΑΙ ΤΗΣ ΑΜΥΝΑΣ ΤΗΣ ΧΩΡΑΣ</w:t>
            </w:r>
          </w:p>
        </w:tc>
        <w:tc>
          <w:tcPr>
            <w:tcW w:w="1752" w:type="dxa"/>
            <w:shd w:val="clear" w:color="auto" w:fill="auto"/>
            <w:vAlign w:val="center"/>
            <w:hideMark/>
          </w:tcPr>
          <w:p w14:paraId="2E5D4FF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shd w:val="clear" w:color="auto" w:fill="auto"/>
            <w:vAlign w:val="center"/>
            <w:hideMark/>
          </w:tcPr>
          <w:p w14:paraId="4CD1C32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5.375.222 €</w:t>
            </w:r>
          </w:p>
        </w:tc>
        <w:tc>
          <w:tcPr>
            <w:tcW w:w="1306" w:type="dxa"/>
            <w:shd w:val="clear" w:color="auto" w:fill="auto"/>
            <w:vAlign w:val="center"/>
            <w:hideMark/>
          </w:tcPr>
          <w:p w14:paraId="26384B6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100.283 €</w:t>
            </w:r>
          </w:p>
        </w:tc>
        <w:tc>
          <w:tcPr>
            <w:tcW w:w="1699" w:type="dxa"/>
            <w:shd w:val="clear" w:color="auto" w:fill="auto"/>
            <w:vAlign w:val="center"/>
            <w:hideMark/>
          </w:tcPr>
          <w:p w14:paraId="58B20DB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5.475.505 €</w:t>
            </w:r>
          </w:p>
        </w:tc>
      </w:tr>
      <w:tr w:rsidR="00E72A48" w:rsidRPr="00EF606E" w14:paraId="4A2C45C1" w14:textId="77777777" w:rsidTr="0007734A">
        <w:trPr>
          <w:cantSplit/>
          <w:trHeight w:val="210"/>
          <w:jc w:val="center"/>
        </w:trPr>
        <w:tc>
          <w:tcPr>
            <w:tcW w:w="1051" w:type="dxa"/>
            <w:shd w:val="clear" w:color="auto" w:fill="auto"/>
            <w:vAlign w:val="center"/>
            <w:hideMark/>
          </w:tcPr>
          <w:p w14:paraId="2DEDF1F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02.1011.002</w:t>
            </w:r>
          </w:p>
        </w:tc>
        <w:tc>
          <w:tcPr>
            <w:tcW w:w="2112" w:type="dxa"/>
            <w:shd w:val="clear" w:color="auto" w:fill="auto"/>
            <w:vAlign w:val="center"/>
            <w:hideMark/>
          </w:tcPr>
          <w:p w14:paraId="1C686E0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ΔΙΕΘΝΕΙΣ ΣΧΕΣΕΙΣ/ΔΡΑΣΕΙΣ ΥΠΕΘΑ ΣΤΟ ΕΞΩΤΕΡΙΚΟ</w:t>
            </w:r>
          </w:p>
        </w:tc>
        <w:tc>
          <w:tcPr>
            <w:tcW w:w="1752" w:type="dxa"/>
            <w:shd w:val="clear" w:color="auto" w:fill="auto"/>
            <w:vAlign w:val="center"/>
            <w:hideMark/>
          </w:tcPr>
          <w:p w14:paraId="6D516EC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shd w:val="clear" w:color="auto" w:fill="auto"/>
            <w:vAlign w:val="center"/>
            <w:hideMark/>
          </w:tcPr>
          <w:p w14:paraId="68130A7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128.421 €</w:t>
            </w:r>
          </w:p>
        </w:tc>
        <w:tc>
          <w:tcPr>
            <w:tcW w:w="1306" w:type="dxa"/>
            <w:shd w:val="clear" w:color="auto" w:fill="auto"/>
            <w:vAlign w:val="center"/>
            <w:hideMark/>
          </w:tcPr>
          <w:p w14:paraId="3D85C9D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509DA0B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128.421 €</w:t>
            </w:r>
          </w:p>
        </w:tc>
      </w:tr>
      <w:tr w:rsidR="00E72A48" w:rsidRPr="00EF606E" w14:paraId="77AB28D3" w14:textId="77777777" w:rsidTr="0007734A">
        <w:trPr>
          <w:cantSplit/>
          <w:trHeight w:val="630"/>
          <w:jc w:val="center"/>
        </w:trPr>
        <w:tc>
          <w:tcPr>
            <w:tcW w:w="1051" w:type="dxa"/>
            <w:shd w:val="clear" w:color="auto" w:fill="auto"/>
            <w:vAlign w:val="center"/>
            <w:hideMark/>
          </w:tcPr>
          <w:p w14:paraId="1F7CE7D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02.1011.003</w:t>
            </w:r>
          </w:p>
        </w:tc>
        <w:tc>
          <w:tcPr>
            <w:tcW w:w="2112" w:type="dxa"/>
            <w:shd w:val="clear" w:color="auto" w:fill="auto"/>
            <w:vAlign w:val="center"/>
            <w:hideMark/>
          </w:tcPr>
          <w:p w14:paraId="15D5E33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ΣΥΛΛΟΓΗ – ΕΠΕΞΕΡΓΑΣΙΑ – ΕΚΜΕΤΑΛΛΕΥΣΗ ΠΛΗΡΟΦΟΡΙΩΝ ΕΠ΄ ΩΦΕΛΕΙΑ ΤΗΣ ΕΘΝΙΚΗΣ ΑΣΦΑΛΕΙΑΣ</w:t>
            </w:r>
          </w:p>
        </w:tc>
        <w:tc>
          <w:tcPr>
            <w:tcW w:w="1752" w:type="dxa"/>
            <w:shd w:val="clear" w:color="auto" w:fill="auto"/>
            <w:vAlign w:val="center"/>
            <w:hideMark/>
          </w:tcPr>
          <w:p w14:paraId="497A87D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shd w:val="clear" w:color="auto" w:fill="auto"/>
            <w:vAlign w:val="center"/>
            <w:hideMark/>
          </w:tcPr>
          <w:p w14:paraId="7CBA8BF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36.945 €</w:t>
            </w:r>
          </w:p>
        </w:tc>
        <w:tc>
          <w:tcPr>
            <w:tcW w:w="1306" w:type="dxa"/>
            <w:shd w:val="clear" w:color="auto" w:fill="auto"/>
            <w:vAlign w:val="center"/>
            <w:hideMark/>
          </w:tcPr>
          <w:p w14:paraId="1B9941E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6182F2D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36.945 €</w:t>
            </w:r>
          </w:p>
        </w:tc>
      </w:tr>
      <w:tr w:rsidR="00E72A48" w:rsidRPr="00EF606E" w14:paraId="1A6B3D79" w14:textId="77777777" w:rsidTr="0007734A">
        <w:trPr>
          <w:cantSplit/>
          <w:trHeight w:val="420"/>
          <w:jc w:val="center"/>
        </w:trPr>
        <w:tc>
          <w:tcPr>
            <w:tcW w:w="1051" w:type="dxa"/>
            <w:shd w:val="clear" w:color="auto" w:fill="auto"/>
            <w:vAlign w:val="center"/>
            <w:hideMark/>
          </w:tcPr>
          <w:p w14:paraId="7C4A171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02.1011.004</w:t>
            </w:r>
          </w:p>
        </w:tc>
        <w:tc>
          <w:tcPr>
            <w:tcW w:w="2112" w:type="dxa"/>
            <w:shd w:val="clear" w:color="auto" w:fill="auto"/>
            <w:vAlign w:val="center"/>
            <w:hideMark/>
          </w:tcPr>
          <w:p w14:paraId="4165CC7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ΕΘΝΙΚΗΣ ΑΜΥΝΑΣ</w:t>
            </w:r>
          </w:p>
        </w:tc>
        <w:tc>
          <w:tcPr>
            <w:tcW w:w="1752" w:type="dxa"/>
            <w:shd w:val="clear" w:color="auto" w:fill="auto"/>
            <w:vAlign w:val="center"/>
            <w:hideMark/>
          </w:tcPr>
          <w:p w14:paraId="7961C0B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shd w:val="clear" w:color="auto" w:fill="auto"/>
            <w:vAlign w:val="center"/>
            <w:hideMark/>
          </w:tcPr>
          <w:p w14:paraId="362B950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9.864 €</w:t>
            </w:r>
          </w:p>
        </w:tc>
        <w:tc>
          <w:tcPr>
            <w:tcW w:w="1306" w:type="dxa"/>
            <w:shd w:val="clear" w:color="auto" w:fill="auto"/>
            <w:vAlign w:val="center"/>
            <w:hideMark/>
          </w:tcPr>
          <w:p w14:paraId="4102331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2.436 €</w:t>
            </w:r>
          </w:p>
        </w:tc>
        <w:tc>
          <w:tcPr>
            <w:tcW w:w="1699" w:type="dxa"/>
            <w:shd w:val="clear" w:color="auto" w:fill="auto"/>
            <w:vAlign w:val="center"/>
            <w:hideMark/>
          </w:tcPr>
          <w:p w14:paraId="0C6F06F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12.300 €</w:t>
            </w:r>
          </w:p>
        </w:tc>
      </w:tr>
      <w:tr w:rsidR="00E72A48" w:rsidRPr="00EF606E" w14:paraId="73F3F755" w14:textId="77777777" w:rsidTr="0007734A">
        <w:trPr>
          <w:cantSplit/>
          <w:trHeight w:val="420"/>
          <w:jc w:val="center"/>
        </w:trPr>
        <w:tc>
          <w:tcPr>
            <w:tcW w:w="1051" w:type="dxa"/>
            <w:shd w:val="clear" w:color="auto" w:fill="auto"/>
            <w:vAlign w:val="center"/>
            <w:hideMark/>
          </w:tcPr>
          <w:p w14:paraId="1F221B9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02.1024.001</w:t>
            </w:r>
          </w:p>
        </w:tc>
        <w:tc>
          <w:tcPr>
            <w:tcW w:w="2112" w:type="dxa"/>
            <w:shd w:val="clear" w:color="auto" w:fill="auto"/>
            <w:vAlign w:val="center"/>
            <w:hideMark/>
          </w:tcPr>
          <w:p w14:paraId="7A88E7A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ΑΜΥΝΤΙΚΕΣ ΚΑΤΑΣΚΕΥΕΣ</w:t>
            </w:r>
          </w:p>
        </w:tc>
        <w:tc>
          <w:tcPr>
            <w:tcW w:w="1752" w:type="dxa"/>
            <w:shd w:val="clear" w:color="auto" w:fill="auto"/>
            <w:vAlign w:val="center"/>
            <w:hideMark/>
          </w:tcPr>
          <w:p w14:paraId="712D2C7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6D10CAC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shd w:val="clear" w:color="auto" w:fill="auto"/>
            <w:vAlign w:val="center"/>
            <w:hideMark/>
          </w:tcPr>
          <w:p w14:paraId="3840B2A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159.117 €</w:t>
            </w:r>
          </w:p>
        </w:tc>
        <w:tc>
          <w:tcPr>
            <w:tcW w:w="1699" w:type="dxa"/>
            <w:shd w:val="clear" w:color="auto" w:fill="auto"/>
            <w:vAlign w:val="center"/>
            <w:hideMark/>
          </w:tcPr>
          <w:p w14:paraId="2513641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159.117 €</w:t>
            </w:r>
          </w:p>
        </w:tc>
      </w:tr>
      <w:tr w:rsidR="00E72A48" w:rsidRPr="00EF606E" w14:paraId="75996F59" w14:textId="77777777" w:rsidTr="0007734A">
        <w:trPr>
          <w:cantSplit/>
          <w:trHeight w:val="390"/>
          <w:jc w:val="center"/>
        </w:trPr>
        <w:tc>
          <w:tcPr>
            <w:tcW w:w="1051" w:type="dxa"/>
            <w:shd w:val="clear" w:color="000000" w:fill="D9D9D9"/>
            <w:vAlign w:val="center"/>
            <w:hideMark/>
          </w:tcPr>
          <w:p w14:paraId="7164796D"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03</w:t>
            </w:r>
          </w:p>
        </w:tc>
        <w:tc>
          <w:tcPr>
            <w:tcW w:w="2112" w:type="dxa"/>
            <w:shd w:val="clear" w:color="000000" w:fill="D9D9D9"/>
            <w:vAlign w:val="center"/>
            <w:hideMark/>
          </w:tcPr>
          <w:p w14:paraId="36934D0C"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ΑΣΦΑΛΕΙΑ ΚΑΙ ΠΡΟΣΤΑΣΙΑ ΤΩΝ ΔΙΚΑΙΩΜΑΤΩΝ ΤΟΥ ΠΟΛΙΤΗ</w:t>
            </w:r>
          </w:p>
        </w:tc>
        <w:tc>
          <w:tcPr>
            <w:tcW w:w="1752" w:type="dxa"/>
            <w:shd w:val="clear" w:color="000000" w:fill="D9D9D9"/>
            <w:vAlign w:val="center"/>
            <w:hideMark/>
          </w:tcPr>
          <w:p w14:paraId="4BFFA857"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29E9E96C"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4.704.561 €</w:t>
            </w:r>
          </w:p>
        </w:tc>
        <w:tc>
          <w:tcPr>
            <w:tcW w:w="1306" w:type="dxa"/>
            <w:shd w:val="clear" w:color="000000" w:fill="D9D9D9"/>
            <w:vAlign w:val="center"/>
            <w:hideMark/>
          </w:tcPr>
          <w:p w14:paraId="0DACA995"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218.228 €</w:t>
            </w:r>
          </w:p>
        </w:tc>
        <w:tc>
          <w:tcPr>
            <w:tcW w:w="1699" w:type="dxa"/>
            <w:shd w:val="clear" w:color="000000" w:fill="D9D9D9"/>
            <w:vAlign w:val="center"/>
            <w:hideMark/>
          </w:tcPr>
          <w:p w14:paraId="33F26856"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4.922.789 €</w:t>
            </w:r>
          </w:p>
        </w:tc>
      </w:tr>
      <w:tr w:rsidR="00E72A48" w:rsidRPr="00EF606E" w14:paraId="42C9CBB7" w14:textId="77777777" w:rsidTr="0007734A">
        <w:trPr>
          <w:cantSplit/>
          <w:trHeight w:val="420"/>
          <w:jc w:val="center"/>
        </w:trPr>
        <w:tc>
          <w:tcPr>
            <w:tcW w:w="1051" w:type="dxa"/>
            <w:shd w:val="clear" w:color="auto" w:fill="auto"/>
            <w:vAlign w:val="center"/>
            <w:hideMark/>
          </w:tcPr>
          <w:p w14:paraId="1A51ADC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03.1011.001</w:t>
            </w:r>
          </w:p>
        </w:tc>
        <w:tc>
          <w:tcPr>
            <w:tcW w:w="2112" w:type="dxa"/>
            <w:shd w:val="clear" w:color="auto" w:fill="auto"/>
            <w:vAlign w:val="center"/>
            <w:hideMark/>
          </w:tcPr>
          <w:p w14:paraId="4A85971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ΣΥΝΕΙΣΦΟΡΑ ΕΝΟΠΛΩΝ ΔΥΝΑΜΕΩΝ ΣΤΟΝ ΤΟΜΕΑ ΤΗΣ ΠΟΛΙΤΙΚΗΣ ΠΡΟΣΤΑΣΙΑΣ</w:t>
            </w:r>
          </w:p>
        </w:tc>
        <w:tc>
          <w:tcPr>
            <w:tcW w:w="1752" w:type="dxa"/>
            <w:shd w:val="clear" w:color="auto" w:fill="auto"/>
            <w:vAlign w:val="center"/>
            <w:hideMark/>
          </w:tcPr>
          <w:p w14:paraId="0201623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shd w:val="clear" w:color="auto" w:fill="auto"/>
            <w:vAlign w:val="center"/>
            <w:hideMark/>
          </w:tcPr>
          <w:p w14:paraId="0A216ED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135.261 €</w:t>
            </w:r>
          </w:p>
        </w:tc>
        <w:tc>
          <w:tcPr>
            <w:tcW w:w="1306" w:type="dxa"/>
            <w:shd w:val="clear" w:color="auto" w:fill="auto"/>
            <w:vAlign w:val="center"/>
            <w:hideMark/>
          </w:tcPr>
          <w:p w14:paraId="3FA5CA9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5659817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135.261 €</w:t>
            </w:r>
          </w:p>
        </w:tc>
      </w:tr>
      <w:tr w:rsidR="00E72A48" w:rsidRPr="00EF606E" w14:paraId="75D4D2D7" w14:textId="77777777" w:rsidTr="0007734A">
        <w:trPr>
          <w:cantSplit/>
          <w:trHeight w:val="210"/>
          <w:jc w:val="center"/>
        </w:trPr>
        <w:tc>
          <w:tcPr>
            <w:tcW w:w="1051" w:type="dxa"/>
            <w:shd w:val="clear" w:color="auto" w:fill="auto"/>
            <w:vAlign w:val="center"/>
            <w:hideMark/>
          </w:tcPr>
          <w:p w14:paraId="5298F88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03.1017.001</w:t>
            </w:r>
          </w:p>
        </w:tc>
        <w:tc>
          <w:tcPr>
            <w:tcW w:w="2112" w:type="dxa"/>
            <w:shd w:val="clear" w:color="auto" w:fill="auto"/>
            <w:vAlign w:val="center"/>
            <w:hideMark/>
          </w:tcPr>
          <w:p w14:paraId="5182629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ΑΠΟΝΟΜΗ ΔΙΚΑΙΟΣΥΝΗΣ</w:t>
            </w:r>
          </w:p>
        </w:tc>
        <w:tc>
          <w:tcPr>
            <w:tcW w:w="1752" w:type="dxa"/>
            <w:shd w:val="clear" w:color="auto" w:fill="auto"/>
            <w:vAlign w:val="center"/>
            <w:hideMark/>
          </w:tcPr>
          <w:p w14:paraId="120C88F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shd w:val="clear" w:color="auto" w:fill="auto"/>
            <w:vAlign w:val="center"/>
            <w:hideMark/>
          </w:tcPr>
          <w:p w14:paraId="05EED38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569.798 €</w:t>
            </w:r>
          </w:p>
        </w:tc>
        <w:tc>
          <w:tcPr>
            <w:tcW w:w="1306" w:type="dxa"/>
            <w:shd w:val="clear" w:color="auto" w:fill="auto"/>
            <w:vAlign w:val="center"/>
            <w:hideMark/>
          </w:tcPr>
          <w:p w14:paraId="3635C88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90.740 €</w:t>
            </w:r>
          </w:p>
        </w:tc>
        <w:tc>
          <w:tcPr>
            <w:tcW w:w="1699" w:type="dxa"/>
            <w:shd w:val="clear" w:color="auto" w:fill="auto"/>
            <w:vAlign w:val="center"/>
            <w:hideMark/>
          </w:tcPr>
          <w:p w14:paraId="485B68E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660.538 €</w:t>
            </w:r>
          </w:p>
        </w:tc>
      </w:tr>
      <w:tr w:rsidR="00E72A48" w:rsidRPr="00EF606E" w14:paraId="4C87D782" w14:textId="77777777" w:rsidTr="0007734A">
        <w:trPr>
          <w:cantSplit/>
          <w:trHeight w:val="210"/>
          <w:jc w:val="center"/>
        </w:trPr>
        <w:tc>
          <w:tcPr>
            <w:tcW w:w="1051" w:type="dxa"/>
            <w:shd w:val="clear" w:color="auto" w:fill="auto"/>
            <w:vAlign w:val="center"/>
            <w:hideMark/>
          </w:tcPr>
          <w:p w14:paraId="00A9694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03.1017.002</w:t>
            </w:r>
          </w:p>
        </w:tc>
        <w:tc>
          <w:tcPr>
            <w:tcW w:w="2112" w:type="dxa"/>
            <w:shd w:val="clear" w:color="auto" w:fill="auto"/>
            <w:vAlign w:val="center"/>
            <w:hideMark/>
          </w:tcPr>
          <w:p w14:paraId="7E38CDA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ΠΡΟΑΣΠΙΣΗ ΑΝΘΡΩΠΙΝΗΣ ΑΣΦΑΛΕΙΑΣ</w:t>
            </w:r>
          </w:p>
        </w:tc>
        <w:tc>
          <w:tcPr>
            <w:tcW w:w="1752" w:type="dxa"/>
            <w:shd w:val="clear" w:color="auto" w:fill="auto"/>
            <w:vAlign w:val="center"/>
            <w:hideMark/>
          </w:tcPr>
          <w:p w14:paraId="6435E84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shd w:val="clear" w:color="auto" w:fill="auto"/>
            <w:vAlign w:val="center"/>
            <w:hideMark/>
          </w:tcPr>
          <w:p w14:paraId="031D50D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48.560 €</w:t>
            </w:r>
          </w:p>
        </w:tc>
        <w:tc>
          <w:tcPr>
            <w:tcW w:w="1306" w:type="dxa"/>
            <w:shd w:val="clear" w:color="auto" w:fill="auto"/>
            <w:vAlign w:val="center"/>
            <w:hideMark/>
          </w:tcPr>
          <w:p w14:paraId="16B3793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13.130 €</w:t>
            </w:r>
          </w:p>
        </w:tc>
        <w:tc>
          <w:tcPr>
            <w:tcW w:w="1699" w:type="dxa"/>
            <w:shd w:val="clear" w:color="auto" w:fill="auto"/>
            <w:vAlign w:val="center"/>
            <w:hideMark/>
          </w:tcPr>
          <w:p w14:paraId="7E3EDBE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61.690 €</w:t>
            </w:r>
          </w:p>
        </w:tc>
      </w:tr>
      <w:tr w:rsidR="00E72A48" w:rsidRPr="00EF606E" w14:paraId="1AC91D1D" w14:textId="77777777" w:rsidTr="0007734A">
        <w:trPr>
          <w:cantSplit/>
          <w:trHeight w:val="210"/>
          <w:jc w:val="center"/>
        </w:trPr>
        <w:tc>
          <w:tcPr>
            <w:tcW w:w="1051" w:type="dxa"/>
            <w:shd w:val="clear" w:color="auto" w:fill="auto"/>
            <w:vAlign w:val="center"/>
            <w:hideMark/>
          </w:tcPr>
          <w:p w14:paraId="126369E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03.1017.003</w:t>
            </w:r>
          </w:p>
        </w:tc>
        <w:tc>
          <w:tcPr>
            <w:tcW w:w="2112" w:type="dxa"/>
            <w:shd w:val="clear" w:color="auto" w:fill="auto"/>
            <w:vAlign w:val="center"/>
            <w:hideMark/>
          </w:tcPr>
          <w:p w14:paraId="0AE3587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ΨΗΦΙΑΚΗ ΔΙΚΑΙΟΣΥΝΗ</w:t>
            </w:r>
          </w:p>
        </w:tc>
        <w:tc>
          <w:tcPr>
            <w:tcW w:w="1752" w:type="dxa"/>
            <w:shd w:val="clear" w:color="auto" w:fill="auto"/>
            <w:vAlign w:val="center"/>
            <w:hideMark/>
          </w:tcPr>
          <w:p w14:paraId="4EC52C3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shd w:val="clear" w:color="auto" w:fill="auto"/>
            <w:vAlign w:val="center"/>
            <w:hideMark/>
          </w:tcPr>
          <w:p w14:paraId="7D3D034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7.278 €</w:t>
            </w:r>
          </w:p>
        </w:tc>
        <w:tc>
          <w:tcPr>
            <w:tcW w:w="1306" w:type="dxa"/>
            <w:shd w:val="clear" w:color="auto" w:fill="auto"/>
            <w:vAlign w:val="center"/>
            <w:hideMark/>
          </w:tcPr>
          <w:p w14:paraId="28B4A75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3583C27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7.278 €</w:t>
            </w:r>
          </w:p>
        </w:tc>
      </w:tr>
      <w:tr w:rsidR="00E72A48" w:rsidRPr="00EF606E" w14:paraId="3677246E" w14:textId="77777777" w:rsidTr="0007734A">
        <w:trPr>
          <w:cantSplit/>
          <w:trHeight w:val="210"/>
          <w:jc w:val="center"/>
        </w:trPr>
        <w:tc>
          <w:tcPr>
            <w:tcW w:w="1051" w:type="dxa"/>
            <w:shd w:val="clear" w:color="auto" w:fill="auto"/>
            <w:vAlign w:val="center"/>
            <w:hideMark/>
          </w:tcPr>
          <w:p w14:paraId="306EA3F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03.1017.005</w:t>
            </w:r>
          </w:p>
        </w:tc>
        <w:tc>
          <w:tcPr>
            <w:tcW w:w="2112" w:type="dxa"/>
            <w:shd w:val="clear" w:color="auto" w:fill="auto"/>
            <w:vAlign w:val="center"/>
            <w:hideMark/>
          </w:tcPr>
          <w:p w14:paraId="1F964BE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ΠΡΟΣΤΑΣΙΑ ΑΝΗΛΙΚΩΝ</w:t>
            </w:r>
          </w:p>
        </w:tc>
        <w:tc>
          <w:tcPr>
            <w:tcW w:w="1752" w:type="dxa"/>
            <w:shd w:val="clear" w:color="auto" w:fill="auto"/>
            <w:vAlign w:val="center"/>
            <w:hideMark/>
          </w:tcPr>
          <w:p w14:paraId="63EA7D5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shd w:val="clear" w:color="auto" w:fill="auto"/>
            <w:vAlign w:val="center"/>
            <w:hideMark/>
          </w:tcPr>
          <w:p w14:paraId="35D8253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7.123 €</w:t>
            </w:r>
          </w:p>
        </w:tc>
        <w:tc>
          <w:tcPr>
            <w:tcW w:w="1306" w:type="dxa"/>
            <w:shd w:val="clear" w:color="auto" w:fill="auto"/>
            <w:vAlign w:val="center"/>
            <w:hideMark/>
          </w:tcPr>
          <w:p w14:paraId="40186CF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1.480 €</w:t>
            </w:r>
          </w:p>
        </w:tc>
        <w:tc>
          <w:tcPr>
            <w:tcW w:w="1699" w:type="dxa"/>
            <w:shd w:val="clear" w:color="auto" w:fill="auto"/>
            <w:vAlign w:val="center"/>
            <w:hideMark/>
          </w:tcPr>
          <w:p w14:paraId="0418621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8.603 €</w:t>
            </w:r>
          </w:p>
        </w:tc>
      </w:tr>
      <w:tr w:rsidR="00E72A48" w:rsidRPr="00EF606E" w14:paraId="3076B25D" w14:textId="77777777" w:rsidTr="0007734A">
        <w:trPr>
          <w:cantSplit/>
          <w:trHeight w:val="420"/>
          <w:jc w:val="center"/>
        </w:trPr>
        <w:tc>
          <w:tcPr>
            <w:tcW w:w="1051" w:type="dxa"/>
            <w:shd w:val="clear" w:color="auto" w:fill="auto"/>
            <w:vAlign w:val="center"/>
            <w:hideMark/>
          </w:tcPr>
          <w:p w14:paraId="13BD6C4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03.1017.006</w:t>
            </w:r>
          </w:p>
        </w:tc>
        <w:tc>
          <w:tcPr>
            <w:tcW w:w="2112" w:type="dxa"/>
            <w:shd w:val="clear" w:color="auto" w:fill="auto"/>
            <w:vAlign w:val="center"/>
            <w:hideMark/>
          </w:tcPr>
          <w:p w14:paraId="64EF8AE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ΔΙΚΑΙΟΣΥΝΗΣ</w:t>
            </w:r>
          </w:p>
        </w:tc>
        <w:tc>
          <w:tcPr>
            <w:tcW w:w="1752" w:type="dxa"/>
            <w:shd w:val="clear" w:color="auto" w:fill="auto"/>
            <w:vAlign w:val="center"/>
            <w:hideMark/>
          </w:tcPr>
          <w:p w14:paraId="54AF9E3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shd w:val="clear" w:color="auto" w:fill="auto"/>
            <w:vAlign w:val="center"/>
            <w:hideMark/>
          </w:tcPr>
          <w:p w14:paraId="7055CB4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5.629 €</w:t>
            </w:r>
          </w:p>
        </w:tc>
        <w:tc>
          <w:tcPr>
            <w:tcW w:w="1306" w:type="dxa"/>
            <w:shd w:val="clear" w:color="auto" w:fill="auto"/>
            <w:vAlign w:val="center"/>
            <w:hideMark/>
          </w:tcPr>
          <w:p w14:paraId="2664ED3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899 €</w:t>
            </w:r>
          </w:p>
        </w:tc>
        <w:tc>
          <w:tcPr>
            <w:tcW w:w="1699" w:type="dxa"/>
            <w:shd w:val="clear" w:color="auto" w:fill="auto"/>
            <w:vAlign w:val="center"/>
            <w:hideMark/>
          </w:tcPr>
          <w:p w14:paraId="08EE13B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6.529 €</w:t>
            </w:r>
          </w:p>
        </w:tc>
      </w:tr>
      <w:tr w:rsidR="00E72A48" w:rsidRPr="00EF606E" w14:paraId="1AC4901B" w14:textId="77777777" w:rsidTr="0007734A">
        <w:trPr>
          <w:cantSplit/>
          <w:trHeight w:val="210"/>
          <w:jc w:val="center"/>
        </w:trPr>
        <w:tc>
          <w:tcPr>
            <w:tcW w:w="1051" w:type="dxa"/>
            <w:shd w:val="clear" w:color="auto" w:fill="auto"/>
            <w:vAlign w:val="center"/>
            <w:hideMark/>
          </w:tcPr>
          <w:p w14:paraId="54A568A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03.1017.007</w:t>
            </w:r>
          </w:p>
        </w:tc>
        <w:tc>
          <w:tcPr>
            <w:tcW w:w="2112" w:type="dxa"/>
            <w:shd w:val="clear" w:color="auto" w:fill="auto"/>
            <w:vAlign w:val="center"/>
            <w:hideMark/>
          </w:tcPr>
          <w:p w14:paraId="68ADE5A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ΠΡΟΣΤΑΣΙΑ ΠΡΟΣΩΠΙΚΩΝ ΔΕΔΟΜΕΝΩΝ</w:t>
            </w:r>
          </w:p>
        </w:tc>
        <w:tc>
          <w:tcPr>
            <w:tcW w:w="1752" w:type="dxa"/>
            <w:shd w:val="clear" w:color="auto" w:fill="auto"/>
            <w:vAlign w:val="center"/>
            <w:hideMark/>
          </w:tcPr>
          <w:p w14:paraId="7251117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shd w:val="clear" w:color="auto" w:fill="auto"/>
            <w:vAlign w:val="center"/>
            <w:hideMark/>
          </w:tcPr>
          <w:p w14:paraId="2B17C01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2.817 €</w:t>
            </w:r>
          </w:p>
        </w:tc>
        <w:tc>
          <w:tcPr>
            <w:tcW w:w="1306" w:type="dxa"/>
            <w:shd w:val="clear" w:color="auto" w:fill="auto"/>
            <w:vAlign w:val="center"/>
            <w:hideMark/>
          </w:tcPr>
          <w:p w14:paraId="4932409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27E5178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2.817 €</w:t>
            </w:r>
          </w:p>
        </w:tc>
      </w:tr>
      <w:tr w:rsidR="00E72A48" w:rsidRPr="00EF606E" w14:paraId="59B90C68" w14:textId="77777777" w:rsidTr="0007734A">
        <w:trPr>
          <w:cantSplit/>
          <w:trHeight w:val="420"/>
          <w:jc w:val="center"/>
        </w:trPr>
        <w:tc>
          <w:tcPr>
            <w:tcW w:w="1051" w:type="dxa"/>
            <w:shd w:val="clear" w:color="auto" w:fill="auto"/>
            <w:vAlign w:val="center"/>
            <w:hideMark/>
          </w:tcPr>
          <w:p w14:paraId="01D90B2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03.1017.008</w:t>
            </w:r>
          </w:p>
        </w:tc>
        <w:tc>
          <w:tcPr>
            <w:tcW w:w="2112" w:type="dxa"/>
            <w:shd w:val="clear" w:color="auto" w:fill="auto"/>
            <w:vAlign w:val="center"/>
            <w:hideMark/>
          </w:tcPr>
          <w:p w14:paraId="7E8E1C4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ΠΡΟΣΤΑΣΙΑ ΤΟΥ ΔΙKAIΩΜΑΤΟΣ ΣΤΟ ΑΠΟΡΡΗΤΟ ΤΩΝ ΕΠΙΚΟΙΝΩΝΙΩΝ</w:t>
            </w:r>
          </w:p>
        </w:tc>
        <w:tc>
          <w:tcPr>
            <w:tcW w:w="1752" w:type="dxa"/>
            <w:shd w:val="clear" w:color="auto" w:fill="auto"/>
            <w:vAlign w:val="center"/>
            <w:hideMark/>
          </w:tcPr>
          <w:p w14:paraId="2CE0B23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shd w:val="clear" w:color="auto" w:fill="auto"/>
            <w:vAlign w:val="center"/>
            <w:hideMark/>
          </w:tcPr>
          <w:p w14:paraId="43216BF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2.526 €</w:t>
            </w:r>
          </w:p>
        </w:tc>
        <w:tc>
          <w:tcPr>
            <w:tcW w:w="1306" w:type="dxa"/>
            <w:shd w:val="clear" w:color="auto" w:fill="auto"/>
            <w:vAlign w:val="center"/>
            <w:hideMark/>
          </w:tcPr>
          <w:p w14:paraId="74373B2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05E5BE1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2.526 €</w:t>
            </w:r>
          </w:p>
        </w:tc>
      </w:tr>
      <w:tr w:rsidR="00E72A48" w:rsidRPr="00EF606E" w14:paraId="72595BDA" w14:textId="77777777" w:rsidTr="0007734A">
        <w:trPr>
          <w:cantSplit/>
          <w:trHeight w:val="420"/>
          <w:jc w:val="center"/>
        </w:trPr>
        <w:tc>
          <w:tcPr>
            <w:tcW w:w="1051" w:type="dxa"/>
            <w:shd w:val="clear" w:color="auto" w:fill="auto"/>
            <w:vAlign w:val="center"/>
            <w:hideMark/>
          </w:tcPr>
          <w:p w14:paraId="2B1DCC2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lastRenderedPageBreak/>
              <w:t>03.1017.009</w:t>
            </w:r>
          </w:p>
        </w:tc>
        <w:tc>
          <w:tcPr>
            <w:tcW w:w="2112" w:type="dxa"/>
            <w:shd w:val="clear" w:color="auto" w:fill="auto"/>
            <w:vAlign w:val="center"/>
            <w:hideMark/>
          </w:tcPr>
          <w:p w14:paraId="312D838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ΖΗΤΗΜΑΤΑ ΔΗΜΟΣΙΩΝ ΣΥΜΒΑΣΕΩΝ ΚΑΙ ΠΡΟΔΙΚΑΣΤΙΚΩΝ ΠΡΟΣΦΥΓΩΝ</w:t>
            </w:r>
          </w:p>
        </w:tc>
        <w:tc>
          <w:tcPr>
            <w:tcW w:w="1752" w:type="dxa"/>
            <w:shd w:val="clear" w:color="auto" w:fill="auto"/>
            <w:vAlign w:val="center"/>
            <w:hideMark/>
          </w:tcPr>
          <w:p w14:paraId="3A1BB4F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shd w:val="clear" w:color="auto" w:fill="auto"/>
            <w:vAlign w:val="center"/>
            <w:hideMark/>
          </w:tcPr>
          <w:p w14:paraId="53F99F2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shd w:val="clear" w:color="auto" w:fill="auto"/>
            <w:vAlign w:val="center"/>
            <w:hideMark/>
          </w:tcPr>
          <w:p w14:paraId="2A5A681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9.776 €</w:t>
            </w:r>
          </w:p>
        </w:tc>
        <w:tc>
          <w:tcPr>
            <w:tcW w:w="1699" w:type="dxa"/>
            <w:shd w:val="clear" w:color="auto" w:fill="auto"/>
            <w:vAlign w:val="center"/>
            <w:hideMark/>
          </w:tcPr>
          <w:p w14:paraId="69580F8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9.776 €</w:t>
            </w:r>
          </w:p>
        </w:tc>
      </w:tr>
      <w:tr w:rsidR="00E72A48" w:rsidRPr="00EF606E" w14:paraId="74C2434F" w14:textId="77777777" w:rsidTr="0007734A">
        <w:trPr>
          <w:cantSplit/>
          <w:trHeight w:val="420"/>
          <w:jc w:val="center"/>
        </w:trPr>
        <w:tc>
          <w:tcPr>
            <w:tcW w:w="1051" w:type="dxa"/>
            <w:shd w:val="clear" w:color="auto" w:fill="auto"/>
            <w:vAlign w:val="center"/>
            <w:hideMark/>
          </w:tcPr>
          <w:p w14:paraId="6925ACE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03.1017.010</w:t>
            </w:r>
          </w:p>
        </w:tc>
        <w:tc>
          <w:tcPr>
            <w:tcW w:w="2112" w:type="dxa"/>
            <w:shd w:val="clear" w:color="auto" w:fill="auto"/>
            <w:vAlign w:val="center"/>
            <w:hideMark/>
          </w:tcPr>
          <w:p w14:paraId="6567441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ΕΠΙΛΥΣΗ ΔΙΑΦΟΡΩΝ ΜΕΣΩ ΤΟΥ ΘΕΣΜΟΥ ΤΗΣ ΔΙΑΜΕΣΟΛΑΒΗΣΗΣ</w:t>
            </w:r>
          </w:p>
        </w:tc>
        <w:tc>
          <w:tcPr>
            <w:tcW w:w="1752" w:type="dxa"/>
            <w:shd w:val="clear" w:color="auto" w:fill="auto"/>
            <w:vAlign w:val="center"/>
            <w:hideMark/>
          </w:tcPr>
          <w:p w14:paraId="45ABA08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ΔΙΚΑΙΟΣΥΝΗΣ</w:t>
            </w:r>
          </w:p>
        </w:tc>
        <w:tc>
          <w:tcPr>
            <w:tcW w:w="1152" w:type="dxa"/>
            <w:shd w:val="clear" w:color="auto" w:fill="auto"/>
            <w:vAlign w:val="center"/>
            <w:hideMark/>
          </w:tcPr>
          <w:p w14:paraId="643994F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4.608 €</w:t>
            </w:r>
          </w:p>
        </w:tc>
        <w:tc>
          <w:tcPr>
            <w:tcW w:w="1306" w:type="dxa"/>
            <w:shd w:val="clear" w:color="auto" w:fill="auto"/>
            <w:vAlign w:val="center"/>
            <w:hideMark/>
          </w:tcPr>
          <w:p w14:paraId="101567C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203A39A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4.608 €</w:t>
            </w:r>
          </w:p>
        </w:tc>
      </w:tr>
      <w:tr w:rsidR="00E72A48" w:rsidRPr="00EF606E" w14:paraId="2F43D155" w14:textId="77777777" w:rsidTr="0007734A">
        <w:trPr>
          <w:cantSplit/>
          <w:trHeight w:val="420"/>
          <w:jc w:val="center"/>
        </w:trPr>
        <w:tc>
          <w:tcPr>
            <w:tcW w:w="1051" w:type="dxa"/>
            <w:shd w:val="clear" w:color="auto" w:fill="auto"/>
            <w:vAlign w:val="center"/>
            <w:hideMark/>
          </w:tcPr>
          <w:p w14:paraId="5B9D1BC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03.1024.001</w:t>
            </w:r>
          </w:p>
        </w:tc>
        <w:tc>
          <w:tcPr>
            <w:tcW w:w="2112" w:type="dxa"/>
            <w:shd w:val="clear" w:color="auto" w:fill="auto"/>
            <w:vAlign w:val="center"/>
            <w:hideMark/>
          </w:tcPr>
          <w:p w14:paraId="353F27F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ΕΘΝΙΚΗ ΕΠΙΤΡΟΠΗ ΓΙΑ ΤΑ ΔΙΚΑΙΩΜΑΤΑ ΤΟΥ ΑΝΘΡΩΠΟΥ</w:t>
            </w:r>
          </w:p>
        </w:tc>
        <w:tc>
          <w:tcPr>
            <w:tcW w:w="1752" w:type="dxa"/>
            <w:shd w:val="clear" w:color="auto" w:fill="auto"/>
            <w:vAlign w:val="center"/>
            <w:hideMark/>
          </w:tcPr>
          <w:p w14:paraId="52ECE89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65A331E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shd w:val="clear" w:color="auto" w:fill="auto"/>
            <w:vAlign w:val="center"/>
            <w:hideMark/>
          </w:tcPr>
          <w:p w14:paraId="40BF723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1.156 €</w:t>
            </w:r>
          </w:p>
        </w:tc>
        <w:tc>
          <w:tcPr>
            <w:tcW w:w="1699" w:type="dxa"/>
            <w:shd w:val="clear" w:color="auto" w:fill="auto"/>
            <w:vAlign w:val="center"/>
            <w:hideMark/>
          </w:tcPr>
          <w:p w14:paraId="0B8CAFE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1.156 €</w:t>
            </w:r>
          </w:p>
        </w:tc>
      </w:tr>
      <w:tr w:rsidR="00E72A48" w:rsidRPr="00EF606E" w14:paraId="7EC963FA" w14:textId="77777777" w:rsidTr="0007734A">
        <w:trPr>
          <w:cantSplit/>
          <w:trHeight w:val="420"/>
          <w:jc w:val="center"/>
        </w:trPr>
        <w:tc>
          <w:tcPr>
            <w:tcW w:w="1051" w:type="dxa"/>
            <w:shd w:val="clear" w:color="auto" w:fill="auto"/>
            <w:vAlign w:val="center"/>
            <w:hideMark/>
          </w:tcPr>
          <w:p w14:paraId="57C2831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03.1041.001</w:t>
            </w:r>
          </w:p>
        </w:tc>
        <w:tc>
          <w:tcPr>
            <w:tcW w:w="2112" w:type="dxa"/>
            <w:shd w:val="clear" w:color="auto" w:fill="auto"/>
            <w:vAlign w:val="center"/>
            <w:hideMark/>
          </w:tcPr>
          <w:p w14:paraId="5C2CFC8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ΘΑΛΑΣΣΙΩΝ ΣΥΝΟΡΩΝ</w:t>
            </w:r>
          </w:p>
        </w:tc>
        <w:tc>
          <w:tcPr>
            <w:tcW w:w="1752" w:type="dxa"/>
            <w:shd w:val="clear" w:color="auto" w:fill="auto"/>
            <w:vAlign w:val="center"/>
            <w:hideMark/>
          </w:tcPr>
          <w:p w14:paraId="44E1813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shd w:val="clear" w:color="auto" w:fill="auto"/>
            <w:vAlign w:val="center"/>
            <w:hideMark/>
          </w:tcPr>
          <w:p w14:paraId="1A270C9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51.618 €</w:t>
            </w:r>
          </w:p>
        </w:tc>
        <w:tc>
          <w:tcPr>
            <w:tcW w:w="1306" w:type="dxa"/>
            <w:shd w:val="clear" w:color="auto" w:fill="auto"/>
            <w:vAlign w:val="center"/>
            <w:hideMark/>
          </w:tcPr>
          <w:p w14:paraId="671A24F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7108EF1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51.618 €</w:t>
            </w:r>
          </w:p>
        </w:tc>
      </w:tr>
      <w:tr w:rsidR="00E72A48" w:rsidRPr="00EF606E" w14:paraId="59C704CB" w14:textId="77777777" w:rsidTr="0007734A">
        <w:trPr>
          <w:cantSplit/>
          <w:trHeight w:val="630"/>
          <w:jc w:val="center"/>
        </w:trPr>
        <w:tc>
          <w:tcPr>
            <w:tcW w:w="1051" w:type="dxa"/>
            <w:shd w:val="clear" w:color="auto" w:fill="auto"/>
            <w:vAlign w:val="center"/>
            <w:hideMark/>
          </w:tcPr>
          <w:p w14:paraId="0F0D5C3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03.1041.002</w:t>
            </w:r>
          </w:p>
        </w:tc>
        <w:tc>
          <w:tcPr>
            <w:tcW w:w="2112" w:type="dxa"/>
            <w:shd w:val="clear" w:color="auto" w:fill="auto"/>
            <w:vAlign w:val="center"/>
            <w:hideMark/>
          </w:tcPr>
          <w:p w14:paraId="0E968CB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ΥΠΗΡΕΣΙΕΣ ΑΣΦΑΛΕΙΑΣ ΚΑΙ ΑΣΤΥΝΟΜΕΥΣΗΣ ΘΑΛΑΣΣΙΟΥ ΧΩΡΟΥ, ΛΙΜΕΝΩΝ- ΕΡΕΥΝΑΣ ΚΑΙ ΔΙΑΣΩΣΗΣ</w:t>
            </w:r>
          </w:p>
        </w:tc>
        <w:tc>
          <w:tcPr>
            <w:tcW w:w="1752" w:type="dxa"/>
            <w:shd w:val="clear" w:color="auto" w:fill="auto"/>
            <w:vAlign w:val="center"/>
            <w:hideMark/>
          </w:tcPr>
          <w:p w14:paraId="40A0CB7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shd w:val="clear" w:color="auto" w:fill="auto"/>
            <w:vAlign w:val="center"/>
            <w:hideMark/>
          </w:tcPr>
          <w:p w14:paraId="73AAEB5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253.420 €</w:t>
            </w:r>
          </w:p>
        </w:tc>
        <w:tc>
          <w:tcPr>
            <w:tcW w:w="1306" w:type="dxa"/>
            <w:shd w:val="clear" w:color="auto" w:fill="auto"/>
            <w:vAlign w:val="center"/>
            <w:hideMark/>
          </w:tcPr>
          <w:p w14:paraId="7F13A1F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2F39DC5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253.420 €</w:t>
            </w:r>
          </w:p>
        </w:tc>
      </w:tr>
      <w:tr w:rsidR="00E72A48" w:rsidRPr="00EF606E" w14:paraId="4FDC5102" w14:textId="77777777" w:rsidTr="0007734A">
        <w:trPr>
          <w:cantSplit/>
          <w:trHeight w:val="210"/>
          <w:jc w:val="center"/>
        </w:trPr>
        <w:tc>
          <w:tcPr>
            <w:tcW w:w="1051" w:type="dxa"/>
            <w:shd w:val="clear" w:color="auto" w:fill="auto"/>
            <w:vAlign w:val="center"/>
            <w:hideMark/>
          </w:tcPr>
          <w:p w14:paraId="430FBE0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03.1053.001</w:t>
            </w:r>
          </w:p>
        </w:tc>
        <w:tc>
          <w:tcPr>
            <w:tcW w:w="2112" w:type="dxa"/>
            <w:shd w:val="clear" w:color="auto" w:fill="auto"/>
            <w:vAlign w:val="center"/>
            <w:hideMark/>
          </w:tcPr>
          <w:p w14:paraId="4DF9198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ΚΥΒΕΡΝΟΑΣΦΑΛΕΙΑ</w:t>
            </w:r>
          </w:p>
        </w:tc>
        <w:tc>
          <w:tcPr>
            <w:tcW w:w="1752" w:type="dxa"/>
            <w:shd w:val="clear" w:color="auto" w:fill="auto"/>
            <w:vAlign w:val="center"/>
            <w:hideMark/>
          </w:tcPr>
          <w:p w14:paraId="6855693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ΨΗΦΙΑΚΗΣ ΔΙΑΚΥΒΕΡΝΗΣΗΣ</w:t>
            </w:r>
          </w:p>
        </w:tc>
        <w:tc>
          <w:tcPr>
            <w:tcW w:w="1152" w:type="dxa"/>
            <w:shd w:val="clear" w:color="auto" w:fill="auto"/>
            <w:vAlign w:val="center"/>
            <w:hideMark/>
          </w:tcPr>
          <w:p w14:paraId="2FB1877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8.027 €</w:t>
            </w:r>
          </w:p>
        </w:tc>
        <w:tc>
          <w:tcPr>
            <w:tcW w:w="1306" w:type="dxa"/>
            <w:shd w:val="clear" w:color="auto" w:fill="auto"/>
            <w:vAlign w:val="center"/>
            <w:hideMark/>
          </w:tcPr>
          <w:p w14:paraId="48A7CEE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90.159 €</w:t>
            </w:r>
          </w:p>
        </w:tc>
        <w:tc>
          <w:tcPr>
            <w:tcW w:w="1699" w:type="dxa"/>
            <w:shd w:val="clear" w:color="auto" w:fill="auto"/>
            <w:vAlign w:val="center"/>
            <w:hideMark/>
          </w:tcPr>
          <w:p w14:paraId="68BA585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98.185 €</w:t>
            </w:r>
          </w:p>
        </w:tc>
      </w:tr>
      <w:tr w:rsidR="00E72A48" w:rsidRPr="00EF606E" w14:paraId="45C4301B" w14:textId="77777777" w:rsidTr="0007734A">
        <w:trPr>
          <w:cantSplit/>
          <w:trHeight w:val="420"/>
          <w:jc w:val="center"/>
        </w:trPr>
        <w:tc>
          <w:tcPr>
            <w:tcW w:w="1051" w:type="dxa"/>
            <w:shd w:val="clear" w:color="auto" w:fill="auto"/>
            <w:vAlign w:val="center"/>
            <w:hideMark/>
          </w:tcPr>
          <w:p w14:paraId="521C8B2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03.1057.001</w:t>
            </w:r>
          </w:p>
        </w:tc>
        <w:tc>
          <w:tcPr>
            <w:tcW w:w="2112" w:type="dxa"/>
            <w:shd w:val="clear" w:color="auto" w:fill="auto"/>
            <w:vAlign w:val="center"/>
            <w:hideMark/>
          </w:tcPr>
          <w:p w14:paraId="2C1401D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ΥΠΟΥΡΓΕΙΟΥ ΠΡΟΣΤΑΣΙΑΣ ΤΟΥ ΠΟΛΙΤΗ</w:t>
            </w:r>
          </w:p>
        </w:tc>
        <w:tc>
          <w:tcPr>
            <w:tcW w:w="1752" w:type="dxa"/>
            <w:shd w:val="clear" w:color="auto" w:fill="auto"/>
            <w:vAlign w:val="center"/>
            <w:hideMark/>
          </w:tcPr>
          <w:p w14:paraId="169722F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ΠΡΟΣΤΑΣΙΑΣ ΤΟΥ ΠΟΛΙΤΗ</w:t>
            </w:r>
          </w:p>
        </w:tc>
        <w:tc>
          <w:tcPr>
            <w:tcW w:w="1152" w:type="dxa"/>
            <w:shd w:val="clear" w:color="auto" w:fill="auto"/>
            <w:vAlign w:val="center"/>
            <w:hideMark/>
          </w:tcPr>
          <w:p w14:paraId="3F254EB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28.566 €</w:t>
            </w:r>
          </w:p>
        </w:tc>
        <w:tc>
          <w:tcPr>
            <w:tcW w:w="1306" w:type="dxa"/>
            <w:shd w:val="clear" w:color="auto" w:fill="auto"/>
            <w:vAlign w:val="center"/>
            <w:hideMark/>
          </w:tcPr>
          <w:p w14:paraId="1549E5C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4EFFC8B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28.566 €</w:t>
            </w:r>
          </w:p>
        </w:tc>
      </w:tr>
      <w:tr w:rsidR="00E72A48" w:rsidRPr="00EF606E" w14:paraId="44511AB1" w14:textId="77777777" w:rsidTr="0007734A">
        <w:trPr>
          <w:cantSplit/>
          <w:trHeight w:val="210"/>
          <w:jc w:val="center"/>
        </w:trPr>
        <w:tc>
          <w:tcPr>
            <w:tcW w:w="1051" w:type="dxa"/>
            <w:shd w:val="clear" w:color="auto" w:fill="auto"/>
            <w:vAlign w:val="center"/>
            <w:hideMark/>
          </w:tcPr>
          <w:p w14:paraId="12765FE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03.1057.002</w:t>
            </w:r>
          </w:p>
        </w:tc>
        <w:tc>
          <w:tcPr>
            <w:tcW w:w="2112" w:type="dxa"/>
            <w:shd w:val="clear" w:color="auto" w:fill="auto"/>
            <w:vAlign w:val="center"/>
            <w:hideMark/>
          </w:tcPr>
          <w:p w14:paraId="624A614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ΑΣΤΥΝΟΜΙΚΕΣ ΥΠΗΡΕΣΙΕΣ</w:t>
            </w:r>
          </w:p>
        </w:tc>
        <w:tc>
          <w:tcPr>
            <w:tcW w:w="1752" w:type="dxa"/>
            <w:shd w:val="clear" w:color="auto" w:fill="auto"/>
            <w:vAlign w:val="center"/>
            <w:hideMark/>
          </w:tcPr>
          <w:p w14:paraId="5A82053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ΠΡΟΣΤΑΣΙΑΣ ΤΟΥ ΠΟΛΙΤΗ</w:t>
            </w:r>
          </w:p>
        </w:tc>
        <w:tc>
          <w:tcPr>
            <w:tcW w:w="1152" w:type="dxa"/>
            <w:shd w:val="clear" w:color="auto" w:fill="auto"/>
            <w:vAlign w:val="center"/>
            <w:hideMark/>
          </w:tcPr>
          <w:p w14:paraId="490F839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2.207.420 €</w:t>
            </w:r>
          </w:p>
        </w:tc>
        <w:tc>
          <w:tcPr>
            <w:tcW w:w="1306" w:type="dxa"/>
            <w:shd w:val="clear" w:color="auto" w:fill="auto"/>
            <w:vAlign w:val="center"/>
            <w:hideMark/>
          </w:tcPr>
          <w:p w14:paraId="733946C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6.994 €</w:t>
            </w:r>
          </w:p>
        </w:tc>
        <w:tc>
          <w:tcPr>
            <w:tcW w:w="1699" w:type="dxa"/>
            <w:shd w:val="clear" w:color="auto" w:fill="auto"/>
            <w:vAlign w:val="center"/>
            <w:hideMark/>
          </w:tcPr>
          <w:p w14:paraId="775CF5D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2.214.414 €</w:t>
            </w:r>
          </w:p>
        </w:tc>
      </w:tr>
      <w:tr w:rsidR="00E72A48" w:rsidRPr="00EF606E" w14:paraId="61C75D41" w14:textId="77777777" w:rsidTr="0007734A">
        <w:trPr>
          <w:cantSplit/>
          <w:trHeight w:val="210"/>
          <w:jc w:val="center"/>
        </w:trPr>
        <w:tc>
          <w:tcPr>
            <w:tcW w:w="1051" w:type="dxa"/>
            <w:shd w:val="clear" w:color="auto" w:fill="auto"/>
            <w:vAlign w:val="center"/>
            <w:hideMark/>
          </w:tcPr>
          <w:p w14:paraId="7679D86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03.1057.003</w:t>
            </w:r>
          </w:p>
        </w:tc>
        <w:tc>
          <w:tcPr>
            <w:tcW w:w="2112" w:type="dxa"/>
            <w:shd w:val="clear" w:color="auto" w:fill="auto"/>
            <w:vAlign w:val="center"/>
            <w:hideMark/>
          </w:tcPr>
          <w:p w14:paraId="3B70F5E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ΑΝΤΕΓΚΛΗΜΑΤΙΚΗ ΠΟΛΙΤΙΚΗ/ΣΩΦΡΟΝΙΣΜΟΣ</w:t>
            </w:r>
          </w:p>
        </w:tc>
        <w:tc>
          <w:tcPr>
            <w:tcW w:w="1752" w:type="dxa"/>
            <w:shd w:val="clear" w:color="auto" w:fill="auto"/>
            <w:vAlign w:val="center"/>
            <w:hideMark/>
          </w:tcPr>
          <w:p w14:paraId="7795DE1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ΠΡΟΣΤΑΣΙΑΣ ΤΟΥ ΠΟΛΙΤΗ</w:t>
            </w:r>
          </w:p>
        </w:tc>
        <w:tc>
          <w:tcPr>
            <w:tcW w:w="1152" w:type="dxa"/>
            <w:shd w:val="clear" w:color="auto" w:fill="auto"/>
            <w:vAlign w:val="center"/>
            <w:hideMark/>
          </w:tcPr>
          <w:p w14:paraId="4B76871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188.423 €</w:t>
            </w:r>
          </w:p>
        </w:tc>
        <w:tc>
          <w:tcPr>
            <w:tcW w:w="1306" w:type="dxa"/>
            <w:shd w:val="clear" w:color="auto" w:fill="auto"/>
            <w:vAlign w:val="center"/>
            <w:hideMark/>
          </w:tcPr>
          <w:p w14:paraId="1D28D90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728 €</w:t>
            </w:r>
          </w:p>
        </w:tc>
        <w:tc>
          <w:tcPr>
            <w:tcW w:w="1699" w:type="dxa"/>
            <w:shd w:val="clear" w:color="auto" w:fill="auto"/>
            <w:vAlign w:val="center"/>
            <w:hideMark/>
          </w:tcPr>
          <w:p w14:paraId="431A449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189.151 €</w:t>
            </w:r>
          </w:p>
        </w:tc>
      </w:tr>
      <w:tr w:rsidR="00E72A48" w:rsidRPr="00EF606E" w14:paraId="4A22F164" w14:textId="77777777" w:rsidTr="0007734A">
        <w:trPr>
          <w:cantSplit/>
          <w:trHeight w:val="630"/>
          <w:jc w:val="center"/>
        </w:trPr>
        <w:tc>
          <w:tcPr>
            <w:tcW w:w="1051" w:type="dxa"/>
            <w:shd w:val="clear" w:color="auto" w:fill="auto"/>
            <w:vAlign w:val="center"/>
            <w:hideMark/>
          </w:tcPr>
          <w:p w14:paraId="38516A1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03.1060.001</w:t>
            </w:r>
          </w:p>
        </w:tc>
        <w:tc>
          <w:tcPr>
            <w:tcW w:w="2112" w:type="dxa"/>
            <w:shd w:val="clear" w:color="auto" w:fill="auto"/>
            <w:vAlign w:val="center"/>
            <w:hideMark/>
          </w:tcPr>
          <w:p w14:paraId="2660E32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ΚΛΙΜΑΤΙΚΗΣ ΚΡΙΣΗΣ ΚΑΙ ΠΟΛΙΤΙΚΗΣ ΠΡΟΣΤΑΣΙΑΣ</w:t>
            </w:r>
          </w:p>
        </w:tc>
        <w:tc>
          <w:tcPr>
            <w:tcW w:w="1752" w:type="dxa"/>
            <w:shd w:val="clear" w:color="auto" w:fill="auto"/>
            <w:vAlign w:val="center"/>
            <w:hideMark/>
          </w:tcPr>
          <w:p w14:paraId="6DF647D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ΚΛΙΜΑΤΙΚΗΣ ΚΡΙΣΗΣ ΚΑΙ ΠΟΛΙΤΙΚΗΣ ΠΡΟΣΤΑΣΙΑΣ</w:t>
            </w:r>
          </w:p>
        </w:tc>
        <w:tc>
          <w:tcPr>
            <w:tcW w:w="1152" w:type="dxa"/>
            <w:shd w:val="clear" w:color="auto" w:fill="auto"/>
            <w:vAlign w:val="center"/>
            <w:hideMark/>
          </w:tcPr>
          <w:p w14:paraId="1C2F280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7.533 €</w:t>
            </w:r>
          </w:p>
        </w:tc>
        <w:tc>
          <w:tcPr>
            <w:tcW w:w="1306" w:type="dxa"/>
            <w:shd w:val="clear" w:color="auto" w:fill="auto"/>
            <w:vAlign w:val="center"/>
            <w:hideMark/>
          </w:tcPr>
          <w:p w14:paraId="581F401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41EA073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7.533 €</w:t>
            </w:r>
          </w:p>
        </w:tc>
      </w:tr>
      <w:tr w:rsidR="00E72A48" w:rsidRPr="00EF606E" w14:paraId="281BCCCD" w14:textId="77777777" w:rsidTr="0007734A">
        <w:trPr>
          <w:cantSplit/>
          <w:trHeight w:val="420"/>
          <w:jc w:val="center"/>
        </w:trPr>
        <w:tc>
          <w:tcPr>
            <w:tcW w:w="1051" w:type="dxa"/>
            <w:shd w:val="clear" w:color="auto" w:fill="auto"/>
            <w:vAlign w:val="center"/>
            <w:hideMark/>
          </w:tcPr>
          <w:p w14:paraId="3993563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03.1060.002</w:t>
            </w:r>
          </w:p>
        </w:tc>
        <w:tc>
          <w:tcPr>
            <w:tcW w:w="2112" w:type="dxa"/>
            <w:shd w:val="clear" w:color="auto" w:fill="auto"/>
            <w:vAlign w:val="center"/>
            <w:hideMark/>
          </w:tcPr>
          <w:p w14:paraId="645EF0A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ΠΟΛΙΤΙΚΗ ΠΡΟΣΤΑΣΙΑ</w:t>
            </w:r>
          </w:p>
        </w:tc>
        <w:tc>
          <w:tcPr>
            <w:tcW w:w="1752" w:type="dxa"/>
            <w:shd w:val="clear" w:color="auto" w:fill="auto"/>
            <w:vAlign w:val="center"/>
            <w:hideMark/>
          </w:tcPr>
          <w:p w14:paraId="2943998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ΚΛΙΜΑΤΙΚΗΣ ΚΡΙΣΗΣ ΚΑΙ ΠΟΛΙΤΙΚΗΣ ΠΡΟΣΤΑΣΙΑΣ</w:t>
            </w:r>
          </w:p>
        </w:tc>
        <w:tc>
          <w:tcPr>
            <w:tcW w:w="1152" w:type="dxa"/>
            <w:shd w:val="clear" w:color="auto" w:fill="auto"/>
            <w:vAlign w:val="center"/>
            <w:hideMark/>
          </w:tcPr>
          <w:p w14:paraId="2166905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206.773 €</w:t>
            </w:r>
          </w:p>
        </w:tc>
        <w:tc>
          <w:tcPr>
            <w:tcW w:w="1306" w:type="dxa"/>
            <w:shd w:val="clear" w:color="auto" w:fill="auto"/>
            <w:vAlign w:val="center"/>
            <w:hideMark/>
          </w:tcPr>
          <w:p w14:paraId="76BD06F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3.166 €</w:t>
            </w:r>
          </w:p>
        </w:tc>
        <w:tc>
          <w:tcPr>
            <w:tcW w:w="1699" w:type="dxa"/>
            <w:shd w:val="clear" w:color="auto" w:fill="auto"/>
            <w:vAlign w:val="center"/>
            <w:hideMark/>
          </w:tcPr>
          <w:p w14:paraId="4CC1210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209.939 €</w:t>
            </w:r>
          </w:p>
        </w:tc>
      </w:tr>
      <w:tr w:rsidR="00E72A48" w:rsidRPr="00EF606E" w14:paraId="4BD0A259" w14:textId="77777777" w:rsidTr="0007734A">
        <w:trPr>
          <w:cantSplit/>
          <w:trHeight w:val="420"/>
          <w:jc w:val="center"/>
        </w:trPr>
        <w:tc>
          <w:tcPr>
            <w:tcW w:w="1051" w:type="dxa"/>
            <w:shd w:val="clear" w:color="auto" w:fill="auto"/>
            <w:vAlign w:val="center"/>
            <w:hideMark/>
          </w:tcPr>
          <w:p w14:paraId="4D8C991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03.1060.003</w:t>
            </w:r>
          </w:p>
        </w:tc>
        <w:tc>
          <w:tcPr>
            <w:tcW w:w="2112" w:type="dxa"/>
            <w:shd w:val="clear" w:color="auto" w:fill="auto"/>
            <w:vAlign w:val="center"/>
            <w:hideMark/>
          </w:tcPr>
          <w:p w14:paraId="25DA895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ΠΥΡΟΣΒΕΣΤΙΚΕΣ ΥΠΗΡΕΣΙΕΣ ΚΑΙ ΑΝΤΙΜΕΤΩΠΙΣΗ ΚΑΤΑΣΤΡΟΦΩΝ</w:t>
            </w:r>
          </w:p>
        </w:tc>
        <w:tc>
          <w:tcPr>
            <w:tcW w:w="1752" w:type="dxa"/>
            <w:shd w:val="clear" w:color="auto" w:fill="auto"/>
            <w:vAlign w:val="center"/>
            <w:hideMark/>
          </w:tcPr>
          <w:p w14:paraId="4BD36AA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ΚΛΙΜΑΤΙΚΗΣ ΚΡΙΣΗΣ ΚΑΙ ΠΟΛΙΤΙΚΗΣ ΠΡΟΣΤΑΣΙΑΣ</w:t>
            </w:r>
          </w:p>
        </w:tc>
        <w:tc>
          <w:tcPr>
            <w:tcW w:w="1152" w:type="dxa"/>
            <w:shd w:val="clear" w:color="auto" w:fill="auto"/>
            <w:vAlign w:val="center"/>
            <w:hideMark/>
          </w:tcPr>
          <w:p w14:paraId="08AE79C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969.181 €</w:t>
            </w:r>
          </w:p>
        </w:tc>
        <w:tc>
          <w:tcPr>
            <w:tcW w:w="1306" w:type="dxa"/>
            <w:shd w:val="clear" w:color="auto" w:fill="auto"/>
            <w:vAlign w:val="center"/>
            <w:hideMark/>
          </w:tcPr>
          <w:p w14:paraId="2882B89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39F01E8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969.181 €</w:t>
            </w:r>
          </w:p>
        </w:tc>
      </w:tr>
      <w:tr w:rsidR="00E72A48" w:rsidRPr="00EF606E" w14:paraId="11D306DE" w14:textId="77777777" w:rsidTr="0007734A">
        <w:trPr>
          <w:cantSplit/>
          <w:trHeight w:val="195"/>
          <w:jc w:val="center"/>
        </w:trPr>
        <w:tc>
          <w:tcPr>
            <w:tcW w:w="1051" w:type="dxa"/>
            <w:shd w:val="clear" w:color="000000" w:fill="D9D9D9"/>
            <w:vAlign w:val="center"/>
            <w:hideMark/>
          </w:tcPr>
          <w:p w14:paraId="1DF100BC"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04</w:t>
            </w:r>
          </w:p>
        </w:tc>
        <w:tc>
          <w:tcPr>
            <w:tcW w:w="2112" w:type="dxa"/>
            <w:shd w:val="clear" w:color="000000" w:fill="D9D9D9"/>
            <w:vAlign w:val="center"/>
            <w:hideMark/>
          </w:tcPr>
          <w:p w14:paraId="41B5DBF4"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ΟΙΚΟΝΟΜΙΚΗ ΔΡΑΣΤΗΡΙΟΤΗΤΑ ΚΑΙ ΑΝΑΠΤΥΞΗ</w:t>
            </w:r>
          </w:p>
        </w:tc>
        <w:tc>
          <w:tcPr>
            <w:tcW w:w="1752" w:type="dxa"/>
            <w:shd w:val="clear" w:color="000000" w:fill="D9D9D9"/>
            <w:vAlign w:val="center"/>
            <w:hideMark/>
          </w:tcPr>
          <w:p w14:paraId="78C3E732"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0E8954EA"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2.259.307 €</w:t>
            </w:r>
          </w:p>
        </w:tc>
        <w:tc>
          <w:tcPr>
            <w:tcW w:w="1306" w:type="dxa"/>
            <w:shd w:val="clear" w:color="000000" w:fill="D9D9D9"/>
            <w:vAlign w:val="center"/>
            <w:hideMark/>
          </w:tcPr>
          <w:p w14:paraId="458B5047"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2.589.152 €</w:t>
            </w:r>
          </w:p>
        </w:tc>
        <w:tc>
          <w:tcPr>
            <w:tcW w:w="1699" w:type="dxa"/>
            <w:shd w:val="clear" w:color="000000" w:fill="D9D9D9"/>
            <w:vAlign w:val="center"/>
            <w:hideMark/>
          </w:tcPr>
          <w:p w14:paraId="0C938146"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4.848.459 €</w:t>
            </w:r>
          </w:p>
        </w:tc>
      </w:tr>
      <w:tr w:rsidR="00E72A48" w:rsidRPr="00EF606E" w14:paraId="7DC96AA9" w14:textId="77777777" w:rsidTr="0007734A">
        <w:trPr>
          <w:cantSplit/>
          <w:trHeight w:val="630"/>
          <w:jc w:val="center"/>
        </w:trPr>
        <w:tc>
          <w:tcPr>
            <w:tcW w:w="1051" w:type="dxa"/>
            <w:shd w:val="clear" w:color="auto" w:fill="auto"/>
            <w:vAlign w:val="center"/>
            <w:hideMark/>
          </w:tcPr>
          <w:p w14:paraId="67BB1B1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04.1024.001</w:t>
            </w:r>
          </w:p>
        </w:tc>
        <w:tc>
          <w:tcPr>
            <w:tcW w:w="2112" w:type="dxa"/>
            <w:shd w:val="clear" w:color="auto" w:fill="auto"/>
            <w:vAlign w:val="center"/>
            <w:hideMark/>
          </w:tcPr>
          <w:p w14:paraId="100BDE5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ΣΧΕΔΙΑΣΜΟΣ, ΠΡΟΓΡΑΜΜΑΤΙΣΜΟΣ, ΕΚΤΕΛΕΣΗ ΚΑΙ ΠΑΡΑΚΟΛΟΥΘΗΣΗ ΤΟΥ ΠΡΟΓΡΑΜΜΑΤΟΣ ΔΗΜΟΣΙΩΝ ΕΠΕΝΔΥΣΕΩΝ</w:t>
            </w:r>
          </w:p>
        </w:tc>
        <w:tc>
          <w:tcPr>
            <w:tcW w:w="1752" w:type="dxa"/>
            <w:shd w:val="clear" w:color="auto" w:fill="auto"/>
            <w:vAlign w:val="center"/>
            <w:hideMark/>
          </w:tcPr>
          <w:p w14:paraId="325C4E1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1A2BEC6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498.185 €</w:t>
            </w:r>
          </w:p>
        </w:tc>
        <w:tc>
          <w:tcPr>
            <w:tcW w:w="1306" w:type="dxa"/>
            <w:shd w:val="clear" w:color="auto" w:fill="auto"/>
            <w:vAlign w:val="center"/>
            <w:hideMark/>
          </w:tcPr>
          <w:p w14:paraId="2219A39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287.674 €</w:t>
            </w:r>
          </w:p>
        </w:tc>
        <w:tc>
          <w:tcPr>
            <w:tcW w:w="1699" w:type="dxa"/>
            <w:shd w:val="clear" w:color="auto" w:fill="auto"/>
            <w:vAlign w:val="center"/>
            <w:hideMark/>
          </w:tcPr>
          <w:p w14:paraId="4CA5556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785.859 €</w:t>
            </w:r>
          </w:p>
        </w:tc>
      </w:tr>
      <w:tr w:rsidR="00E72A48" w:rsidRPr="00EF606E" w14:paraId="4E69D118" w14:textId="77777777" w:rsidTr="0007734A">
        <w:trPr>
          <w:cantSplit/>
          <w:trHeight w:val="420"/>
          <w:jc w:val="center"/>
        </w:trPr>
        <w:tc>
          <w:tcPr>
            <w:tcW w:w="1051" w:type="dxa"/>
            <w:shd w:val="clear" w:color="auto" w:fill="auto"/>
            <w:vAlign w:val="center"/>
            <w:hideMark/>
          </w:tcPr>
          <w:p w14:paraId="330DE25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04.1031.001</w:t>
            </w:r>
          </w:p>
        </w:tc>
        <w:tc>
          <w:tcPr>
            <w:tcW w:w="2112" w:type="dxa"/>
            <w:shd w:val="clear" w:color="auto" w:fill="auto"/>
            <w:vAlign w:val="center"/>
            <w:hideMark/>
          </w:tcPr>
          <w:p w14:paraId="36B0CA5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ΡΥΘΜΙΣΗ, ΕΛΕΓΧΟΣ ΚΑΙ ΕΠΟΠΤΕΙΑ ΑΓΟΡΩΝ ΑΠΟΒΛΗΤΩΝ, ΕΝΕΡΓΕΙΑΣ ΚΑΙ ΥΔΑΤΩΝ</w:t>
            </w:r>
          </w:p>
        </w:tc>
        <w:tc>
          <w:tcPr>
            <w:tcW w:w="1752" w:type="dxa"/>
            <w:shd w:val="clear" w:color="auto" w:fill="auto"/>
            <w:vAlign w:val="center"/>
            <w:hideMark/>
          </w:tcPr>
          <w:p w14:paraId="374F684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ΠΕΡΙΒΑΛΛΟΝΤΟΣ ΚΑΙ ΕΝΕΡΓΕΙΑΣ</w:t>
            </w:r>
          </w:p>
        </w:tc>
        <w:tc>
          <w:tcPr>
            <w:tcW w:w="1152" w:type="dxa"/>
            <w:shd w:val="clear" w:color="auto" w:fill="auto"/>
            <w:vAlign w:val="center"/>
            <w:hideMark/>
          </w:tcPr>
          <w:p w14:paraId="7C609BF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shd w:val="clear" w:color="auto" w:fill="auto"/>
            <w:vAlign w:val="center"/>
            <w:hideMark/>
          </w:tcPr>
          <w:p w14:paraId="214B948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16.338 €</w:t>
            </w:r>
          </w:p>
        </w:tc>
        <w:tc>
          <w:tcPr>
            <w:tcW w:w="1699" w:type="dxa"/>
            <w:shd w:val="clear" w:color="auto" w:fill="auto"/>
            <w:vAlign w:val="center"/>
            <w:hideMark/>
          </w:tcPr>
          <w:p w14:paraId="6B8E554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16.338 €</w:t>
            </w:r>
          </w:p>
        </w:tc>
      </w:tr>
      <w:tr w:rsidR="00E72A48" w:rsidRPr="00EF606E" w14:paraId="79A8C376" w14:textId="77777777" w:rsidTr="0007734A">
        <w:trPr>
          <w:cantSplit/>
          <w:trHeight w:val="210"/>
          <w:jc w:val="center"/>
        </w:trPr>
        <w:tc>
          <w:tcPr>
            <w:tcW w:w="1051" w:type="dxa"/>
            <w:shd w:val="clear" w:color="auto" w:fill="auto"/>
            <w:vAlign w:val="center"/>
            <w:hideMark/>
          </w:tcPr>
          <w:p w14:paraId="4C8752F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04.1036.001</w:t>
            </w:r>
          </w:p>
        </w:tc>
        <w:tc>
          <w:tcPr>
            <w:tcW w:w="2112" w:type="dxa"/>
            <w:shd w:val="clear" w:color="auto" w:fill="auto"/>
            <w:vAlign w:val="center"/>
            <w:hideMark/>
          </w:tcPr>
          <w:p w14:paraId="7E86D85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ΠΡΟΣΤΑΣΙΑ ΤΩΝ ΚΑΤΑΝΑΛΩΤΩΝ</w:t>
            </w:r>
          </w:p>
        </w:tc>
        <w:tc>
          <w:tcPr>
            <w:tcW w:w="1752" w:type="dxa"/>
            <w:shd w:val="clear" w:color="auto" w:fill="auto"/>
            <w:vAlign w:val="center"/>
            <w:hideMark/>
          </w:tcPr>
          <w:p w14:paraId="1626A98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shd w:val="clear" w:color="auto" w:fill="auto"/>
            <w:vAlign w:val="center"/>
            <w:hideMark/>
          </w:tcPr>
          <w:p w14:paraId="64422F6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14.783 €</w:t>
            </w:r>
          </w:p>
        </w:tc>
        <w:tc>
          <w:tcPr>
            <w:tcW w:w="1306" w:type="dxa"/>
            <w:shd w:val="clear" w:color="auto" w:fill="auto"/>
            <w:vAlign w:val="center"/>
            <w:hideMark/>
          </w:tcPr>
          <w:p w14:paraId="5A21655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4E38F20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14.783 €</w:t>
            </w:r>
          </w:p>
        </w:tc>
      </w:tr>
      <w:tr w:rsidR="00E72A48" w:rsidRPr="00EF606E" w14:paraId="0315E33A" w14:textId="77777777" w:rsidTr="0007734A">
        <w:trPr>
          <w:cantSplit/>
          <w:trHeight w:val="420"/>
          <w:jc w:val="center"/>
        </w:trPr>
        <w:tc>
          <w:tcPr>
            <w:tcW w:w="1051" w:type="dxa"/>
            <w:shd w:val="clear" w:color="auto" w:fill="auto"/>
            <w:vAlign w:val="center"/>
            <w:hideMark/>
          </w:tcPr>
          <w:p w14:paraId="5A5F816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lastRenderedPageBreak/>
              <w:t>04.1036.002</w:t>
            </w:r>
          </w:p>
        </w:tc>
        <w:tc>
          <w:tcPr>
            <w:tcW w:w="2112" w:type="dxa"/>
            <w:shd w:val="clear" w:color="auto" w:fill="auto"/>
            <w:vAlign w:val="center"/>
            <w:hideMark/>
          </w:tcPr>
          <w:p w14:paraId="1CF4FA4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ΕΡΕΥΝΑ ΚΑΙ ΑΝΑΠΤΥΞΗ ΣΕ ΕΡΕΥΝΗΤΙΚΑ ΚΕΝΤΡΑ ΚΑΙ ΕΠΙΧΕΙΡΗΣΕΙΣ</w:t>
            </w:r>
          </w:p>
        </w:tc>
        <w:tc>
          <w:tcPr>
            <w:tcW w:w="1752" w:type="dxa"/>
            <w:shd w:val="clear" w:color="auto" w:fill="auto"/>
            <w:vAlign w:val="center"/>
            <w:hideMark/>
          </w:tcPr>
          <w:p w14:paraId="7D3355A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shd w:val="clear" w:color="auto" w:fill="auto"/>
            <w:vAlign w:val="center"/>
            <w:hideMark/>
          </w:tcPr>
          <w:p w14:paraId="3569E74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106.616 €</w:t>
            </w:r>
          </w:p>
        </w:tc>
        <w:tc>
          <w:tcPr>
            <w:tcW w:w="1306" w:type="dxa"/>
            <w:shd w:val="clear" w:color="auto" w:fill="auto"/>
            <w:vAlign w:val="center"/>
            <w:hideMark/>
          </w:tcPr>
          <w:p w14:paraId="3ADA28C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494.881 €</w:t>
            </w:r>
          </w:p>
        </w:tc>
        <w:tc>
          <w:tcPr>
            <w:tcW w:w="1699" w:type="dxa"/>
            <w:shd w:val="clear" w:color="auto" w:fill="auto"/>
            <w:vAlign w:val="center"/>
            <w:hideMark/>
          </w:tcPr>
          <w:p w14:paraId="5E5BCEB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601.496 €</w:t>
            </w:r>
          </w:p>
        </w:tc>
      </w:tr>
      <w:tr w:rsidR="00E72A48" w:rsidRPr="00EF606E" w14:paraId="3EB75D02" w14:textId="77777777" w:rsidTr="0007734A">
        <w:trPr>
          <w:cantSplit/>
          <w:trHeight w:val="210"/>
          <w:jc w:val="center"/>
        </w:trPr>
        <w:tc>
          <w:tcPr>
            <w:tcW w:w="1051" w:type="dxa"/>
            <w:shd w:val="clear" w:color="auto" w:fill="auto"/>
            <w:vAlign w:val="center"/>
            <w:hideMark/>
          </w:tcPr>
          <w:p w14:paraId="79BAEA0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04.1036.003</w:t>
            </w:r>
          </w:p>
        </w:tc>
        <w:tc>
          <w:tcPr>
            <w:tcW w:w="2112" w:type="dxa"/>
            <w:shd w:val="clear" w:color="auto" w:fill="auto"/>
            <w:vAlign w:val="center"/>
            <w:hideMark/>
          </w:tcPr>
          <w:p w14:paraId="12B0229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ΕΛΛΗΝΙΚΗ ΒΙΟΜΗΧΑΝΙΑ</w:t>
            </w:r>
          </w:p>
        </w:tc>
        <w:tc>
          <w:tcPr>
            <w:tcW w:w="1752" w:type="dxa"/>
            <w:shd w:val="clear" w:color="auto" w:fill="auto"/>
            <w:vAlign w:val="center"/>
            <w:hideMark/>
          </w:tcPr>
          <w:p w14:paraId="0A2B35B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shd w:val="clear" w:color="auto" w:fill="auto"/>
            <w:vAlign w:val="center"/>
            <w:hideMark/>
          </w:tcPr>
          <w:p w14:paraId="36B7D4C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181.225 €</w:t>
            </w:r>
          </w:p>
        </w:tc>
        <w:tc>
          <w:tcPr>
            <w:tcW w:w="1306" w:type="dxa"/>
            <w:shd w:val="clear" w:color="auto" w:fill="auto"/>
            <w:vAlign w:val="center"/>
            <w:hideMark/>
          </w:tcPr>
          <w:p w14:paraId="456A3AA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8.430 €</w:t>
            </w:r>
          </w:p>
        </w:tc>
        <w:tc>
          <w:tcPr>
            <w:tcW w:w="1699" w:type="dxa"/>
            <w:shd w:val="clear" w:color="auto" w:fill="auto"/>
            <w:vAlign w:val="center"/>
            <w:hideMark/>
          </w:tcPr>
          <w:p w14:paraId="1758A4C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189.655 €</w:t>
            </w:r>
          </w:p>
        </w:tc>
      </w:tr>
      <w:tr w:rsidR="00E72A48" w:rsidRPr="00EF606E" w14:paraId="067C1BD6" w14:textId="77777777" w:rsidTr="0007734A">
        <w:trPr>
          <w:cantSplit/>
          <w:trHeight w:val="210"/>
          <w:jc w:val="center"/>
        </w:trPr>
        <w:tc>
          <w:tcPr>
            <w:tcW w:w="1051" w:type="dxa"/>
            <w:shd w:val="clear" w:color="auto" w:fill="auto"/>
            <w:vAlign w:val="center"/>
            <w:hideMark/>
          </w:tcPr>
          <w:p w14:paraId="1B77FE5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04.1036.004</w:t>
            </w:r>
          </w:p>
        </w:tc>
        <w:tc>
          <w:tcPr>
            <w:tcW w:w="2112" w:type="dxa"/>
            <w:shd w:val="clear" w:color="auto" w:fill="auto"/>
            <w:vAlign w:val="center"/>
            <w:hideMark/>
          </w:tcPr>
          <w:p w14:paraId="6564A5D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ΠΡΟΣΕΛΚΥΣΗ ΙΔΙΩΤΙΚΩΝ ΕΠΕΝΔΥΣΕΩΝ</w:t>
            </w:r>
          </w:p>
        </w:tc>
        <w:tc>
          <w:tcPr>
            <w:tcW w:w="1752" w:type="dxa"/>
            <w:shd w:val="clear" w:color="auto" w:fill="auto"/>
            <w:vAlign w:val="center"/>
            <w:hideMark/>
          </w:tcPr>
          <w:p w14:paraId="613C2F2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shd w:val="clear" w:color="auto" w:fill="auto"/>
            <w:vAlign w:val="center"/>
            <w:hideMark/>
          </w:tcPr>
          <w:p w14:paraId="5CEAE96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254.510 €</w:t>
            </w:r>
          </w:p>
        </w:tc>
        <w:tc>
          <w:tcPr>
            <w:tcW w:w="1306" w:type="dxa"/>
            <w:shd w:val="clear" w:color="auto" w:fill="auto"/>
            <w:vAlign w:val="center"/>
            <w:hideMark/>
          </w:tcPr>
          <w:p w14:paraId="3B07F6C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3B92B6D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254.510 €</w:t>
            </w:r>
          </w:p>
        </w:tc>
      </w:tr>
      <w:tr w:rsidR="00E72A48" w:rsidRPr="00EF606E" w14:paraId="49A8F4D3" w14:textId="77777777" w:rsidTr="0007734A">
        <w:trPr>
          <w:cantSplit/>
          <w:trHeight w:val="420"/>
          <w:jc w:val="center"/>
        </w:trPr>
        <w:tc>
          <w:tcPr>
            <w:tcW w:w="1051" w:type="dxa"/>
            <w:shd w:val="clear" w:color="auto" w:fill="auto"/>
            <w:vAlign w:val="center"/>
            <w:hideMark/>
          </w:tcPr>
          <w:p w14:paraId="6244A52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04.1036.005</w:t>
            </w:r>
          </w:p>
        </w:tc>
        <w:tc>
          <w:tcPr>
            <w:tcW w:w="2112" w:type="dxa"/>
            <w:shd w:val="clear" w:color="auto" w:fill="auto"/>
            <w:vAlign w:val="center"/>
            <w:hideMark/>
          </w:tcPr>
          <w:p w14:paraId="7E809CC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ΕΠΙΧΕΙΡΗΜΑΤΙΚΟ ΠΕΡΙΒΑΛΛΟΝ ΣΤΟΝ ΤΟΜΕΑ ΤΟΥ ΕΜΠΟΡΙΟΥ</w:t>
            </w:r>
          </w:p>
        </w:tc>
        <w:tc>
          <w:tcPr>
            <w:tcW w:w="1752" w:type="dxa"/>
            <w:shd w:val="clear" w:color="auto" w:fill="auto"/>
            <w:vAlign w:val="center"/>
            <w:hideMark/>
          </w:tcPr>
          <w:p w14:paraId="270BC02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shd w:val="clear" w:color="auto" w:fill="auto"/>
            <w:vAlign w:val="center"/>
            <w:hideMark/>
          </w:tcPr>
          <w:p w14:paraId="08D6AE9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20.958 €</w:t>
            </w:r>
          </w:p>
        </w:tc>
        <w:tc>
          <w:tcPr>
            <w:tcW w:w="1306" w:type="dxa"/>
            <w:shd w:val="clear" w:color="auto" w:fill="auto"/>
            <w:vAlign w:val="center"/>
            <w:hideMark/>
          </w:tcPr>
          <w:p w14:paraId="2EF4D9A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024FC79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20.958 €</w:t>
            </w:r>
          </w:p>
        </w:tc>
      </w:tr>
      <w:tr w:rsidR="00E72A48" w:rsidRPr="00EF606E" w14:paraId="1B942729" w14:textId="77777777" w:rsidTr="0007734A">
        <w:trPr>
          <w:cantSplit/>
          <w:trHeight w:val="420"/>
          <w:jc w:val="center"/>
        </w:trPr>
        <w:tc>
          <w:tcPr>
            <w:tcW w:w="1051" w:type="dxa"/>
            <w:shd w:val="clear" w:color="auto" w:fill="auto"/>
            <w:vAlign w:val="center"/>
            <w:hideMark/>
          </w:tcPr>
          <w:p w14:paraId="71C51DF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04.1036.006</w:t>
            </w:r>
          </w:p>
        </w:tc>
        <w:tc>
          <w:tcPr>
            <w:tcW w:w="2112" w:type="dxa"/>
            <w:shd w:val="clear" w:color="auto" w:fill="auto"/>
            <w:vAlign w:val="center"/>
            <w:hideMark/>
          </w:tcPr>
          <w:p w14:paraId="321C73D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ΚΕΝΤΡΙΚΕΣ ΔΙΑΔΙΚΑΣΙΕΣ ΑΝΑΘΕΣΗΣ ΔΗΜΟΣΙΩΝ ΣΥΜΒΑΣΕΩΝ</w:t>
            </w:r>
          </w:p>
        </w:tc>
        <w:tc>
          <w:tcPr>
            <w:tcW w:w="1752" w:type="dxa"/>
            <w:shd w:val="clear" w:color="auto" w:fill="auto"/>
            <w:vAlign w:val="center"/>
            <w:hideMark/>
          </w:tcPr>
          <w:p w14:paraId="0895AFF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shd w:val="clear" w:color="auto" w:fill="auto"/>
            <w:vAlign w:val="center"/>
            <w:hideMark/>
          </w:tcPr>
          <w:p w14:paraId="718D5A6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11.584 €</w:t>
            </w:r>
          </w:p>
        </w:tc>
        <w:tc>
          <w:tcPr>
            <w:tcW w:w="1306" w:type="dxa"/>
            <w:shd w:val="clear" w:color="auto" w:fill="auto"/>
            <w:vAlign w:val="center"/>
            <w:hideMark/>
          </w:tcPr>
          <w:p w14:paraId="56D2AF1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6B93AE5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11.584 €</w:t>
            </w:r>
          </w:p>
        </w:tc>
      </w:tr>
      <w:tr w:rsidR="00E72A48" w:rsidRPr="00EF606E" w14:paraId="6A4E8EFE" w14:textId="77777777" w:rsidTr="0007734A">
        <w:trPr>
          <w:cantSplit/>
          <w:trHeight w:val="420"/>
          <w:jc w:val="center"/>
        </w:trPr>
        <w:tc>
          <w:tcPr>
            <w:tcW w:w="1051" w:type="dxa"/>
            <w:shd w:val="clear" w:color="auto" w:fill="auto"/>
            <w:vAlign w:val="center"/>
            <w:hideMark/>
          </w:tcPr>
          <w:p w14:paraId="1DAF049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04.1036.007</w:t>
            </w:r>
          </w:p>
        </w:tc>
        <w:tc>
          <w:tcPr>
            <w:tcW w:w="2112" w:type="dxa"/>
            <w:shd w:val="clear" w:color="auto" w:fill="auto"/>
            <w:vAlign w:val="center"/>
            <w:hideMark/>
          </w:tcPr>
          <w:p w14:paraId="5E4F231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ΑΝΑΠΤΥΞΗΣ</w:t>
            </w:r>
          </w:p>
        </w:tc>
        <w:tc>
          <w:tcPr>
            <w:tcW w:w="1752" w:type="dxa"/>
            <w:shd w:val="clear" w:color="auto" w:fill="auto"/>
            <w:vAlign w:val="center"/>
            <w:hideMark/>
          </w:tcPr>
          <w:p w14:paraId="1D02F3B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shd w:val="clear" w:color="auto" w:fill="auto"/>
            <w:vAlign w:val="center"/>
            <w:hideMark/>
          </w:tcPr>
          <w:p w14:paraId="154C87B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9.280 €</w:t>
            </w:r>
          </w:p>
        </w:tc>
        <w:tc>
          <w:tcPr>
            <w:tcW w:w="1306" w:type="dxa"/>
            <w:shd w:val="clear" w:color="auto" w:fill="auto"/>
            <w:vAlign w:val="center"/>
            <w:hideMark/>
          </w:tcPr>
          <w:p w14:paraId="33FEBE2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4ED2067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9.280 €</w:t>
            </w:r>
          </w:p>
        </w:tc>
      </w:tr>
      <w:tr w:rsidR="00E72A48" w:rsidRPr="00EF606E" w14:paraId="546BA46A" w14:textId="77777777" w:rsidTr="0007734A">
        <w:trPr>
          <w:cantSplit/>
          <w:trHeight w:val="420"/>
          <w:jc w:val="center"/>
        </w:trPr>
        <w:tc>
          <w:tcPr>
            <w:tcW w:w="1051" w:type="dxa"/>
            <w:shd w:val="clear" w:color="auto" w:fill="auto"/>
            <w:vAlign w:val="center"/>
            <w:hideMark/>
          </w:tcPr>
          <w:p w14:paraId="62D093F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04.1036.008</w:t>
            </w:r>
          </w:p>
        </w:tc>
        <w:tc>
          <w:tcPr>
            <w:tcW w:w="2112" w:type="dxa"/>
            <w:shd w:val="clear" w:color="auto" w:fill="auto"/>
            <w:vAlign w:val="center"/>
            <w:hideMark/>
          </w:tcPr>
          <w:p w14:paraId="76C967E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ΔΙΑΜΕΣΟΛΑΒΗΣΗ ΓΙΑ ΤΗΝ ΕΞΩΔΙΚΑΣΤΙΚΗ ΕΠΙΛΥΣΗ ΚΑΤΑΝΑΛΩΤΙΚΩΝ ΔΙΑΦΟΡΩΝ</w:t>
            </w:r>
          </w:p>
        </w:tc>
        <w:tc>
          <w:tcPr>
            <w:tcW w:w="1752" w:type="dxa"/>
            <w:shd w:val="clear" w:color="auto" w:fill="auto"/>
            <w:vAlign w:val="center"/>
            <w:hideMark/>
          </w:tcPr>
          <w:p w14:paraId="27A529A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shd w:val="clear" w:color="auto" w:fill="auto"/>
            <w:vAlign w:val="center"/>
            <w:hideMark/>
          </w:tcPr>
          <w:p w14:paraId="063C6A0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2.309 €</w:t>
            </w:r>
          </w:p>
        </w:tc>
        <w:tc>
          <w:tcPr>
            <w:tcW w:w="1306" w:type="dxa"/>
            <w:shd w:val="clear" w:color="auto" w:fill="auto"/>
            <w:vAlign w:val="center"/>
            <w:hideMark/>
          </w:tcPr>
          <w:p w14:paraId="56BD41E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3595F1D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2.309 €</w:t>
            </w:r>
          </w:p>
        </w:tc>
      </w:tr>
      <w:tr w:rsidR="00E72A48" w:rsidRPr="00EF606E" w14:paraId="1F4934A5" w14:textId="77777777" w:rsidTr="0007734A">
        <w:trPr>
          <w:cantSplit/>
          <w:trHeight w:val="210"/>
          <w:jc w:val="center"/>
        </w:trPr>
        <w:tc>
          <w:tcPr>
            <w:tcW w:w="1051" w:type="dxa"/>
            <w:shd w:val="clear" w:color="auto" w:fill="auto"/>
            <w:vAlign w:val="center"/>
            <w:hideMark/>
          </w:tcPr>
          <w:p w14:paraId="408F522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04.1036.009</w:t>
            </w:r>
          </w:p>
        </w:tc>
        <w:tc>
          <w:tcPr>
            <w:tcW w:w="2112" w:type="dxa"/>
            <w:shd w:val="clear" w:color="auto" w:fill="auto"/>
            <w:vAlign w:val="center"/>
            <w:hideMark/>
          </w:tcPr>
          <w:p w14:paraId="554F34E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ΠΡΟΣΤΑΣΙΑ ΤΟΥ ΕΛΕΥΘΕΡΟΥ ΑΝΤΑΓΩΝΙΣΜΟΥ</w:t>
            </w:r>
          </w:p>
        </w:tc>
        <w:tc>
          <w:tcPr>
            <w:tcW w:w="1752" w:type="dxa"/>
            <w:shd w:val="clear" w:color="auto" w:fill="auto"/>
            <w:vAlign w:val="center"/>
            <w:hideMark/>
          </w:tcPr>
          <w:p w14:paraId="5AAD452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ΑΝΑΠΤΥΞΗΣ</w:t>
            </w:r>
          </w:p>
        </w:tc>
        <w:tc>
          <w:tcPr>
            <w:tcW w:w="1152" w:type="dxa"/>
            <w:shd w:val="clear" w:color="auto" w:fill="auto"/>
            <w:vAlign w:val="center"/>
            <w:hideMark/>
          </w:tcPr>
          <w:p w14:paraId="4441DA3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shd w:val="clear" w:color="auto" w:fill="auto"/>
            <w:vAlign w:val="center"/>
            <w:hideMark/>
          </w:tcPr>
          <w:p w14:paraId="2D5CE73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10.059 €</w:t>
            </w:r>
          </w:p>
        </w:tc>
        <w:tc>
          <w:tcPr>
            <w:tcW w:w="1699" w:type="dxa"/>
            <w:shd w:val="clear" w:color="auto" w:fill="auto"/>
            <w:vAlign w:val="center"/>
            <w:hideMark/>
          </w:tcPr>
          <w:p w14:paraId="601EF92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10.059 €</w:t>
            </w:r>
          </w:p>
        </w:tc>
      </w:tr>
      <w:tr w:rsidR="00E72A48" w:rsidRPr="00EF606E" w14:paraId="34B78EFB" w14:textId="77777777" w:rsidTr="0007734A">
        <w:trPr>
          <w:cantSplit/>
          <w:trHeight w:val="420"/>
          <w:jc w:val="center"/>
        </w:trPr>
        <w:tc>
          <w:tcPr>
            <w:tcW w:w="1051" w:type="dxa"/>
            <w:shd w:val="clear" w:color="auto" w:fill="auto"/>
            <w:vAlign w:val="center"/>
            <w:hideMark/>
          </w:tcPr>
          <w:p w14:paraId="567571D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04.1041.001</w:t>
            </w:r>
          </w:p>
        </w:tc>
        <w:tc>
          <w:tcPr>
            <w:tcW w:w="2112" w:type="dxa"/>
            <w:shd w:val="clear" w:color="auto" w:fill="auto"/>
            <w:vAlign w:val="center"/>
            <w:hideMark/>
          </w:tcPr>
          <w:p w14:paraId="729DEF8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ΝΑΥΤΙΛΙΑΣ ΚΑΙ ΝΗΣΙΩΤΙΚΗΣ ΠΟΛΙΤΙΚΗΣ</w:t>
            </w:r>
          </w:p>
        </w:tc>
        <w:tc>
          <w:tcPr>
            <w:tcW w:w="1752" w:type="dxa"/>
            <w:shd w:val="clear" w:color="auto" w:fill="auto"/>
            <w:vAlign w:val="center"/>
            <w:hideMark/>
          </w:tcPr>
          <w:p w14:paraId="2FFB938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shd w:val="clear" w:color="auto" w:fill="auto"/>
            <w:vAlign w:val="center"/>
            <w:hideMark/>
          </w:tcPr>
          <w:p w14:paraId="615812A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62.698 €</w:t>
            </w:r>
          </w:p>
        </w:tc>
        <w:tc>
          <w:tcPr>
            <w:tcW w:w="1306" w:type="dxa"/>
            <w:shd w:val="clear" w:color="auto" w:fill="auto"/>
            <w:vAlign w:val="center"/>
            <w:hideMark/>
          </w:tcPr>
          <w:p w14:paraId="0ACFDA9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6300E75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62.698 €</w:t>
            </w:r>
          </w:p>
        </w:tc>
      </w:tr>
      <w:tr w:rsidR="00E72A48" w:rsidRPr="00EF606E" w14:paraId="007817EB" w14:textId="77777777" w:rsidTr="0007734A">
        <w:trPr>
          <w:cantSplit/>
          <w:trHeight w:val="420"/>
          <w:jc w:val="center"/>
        </w:trPr>
        <w:tc>
          <w:tcPr>
            <w:tcW w:w="1051" w:type="dxa"/>
            <w:shd w:val="clear" w:color="auto" w:fill="auto"/>
            <w:vAlign w:val="center"/>
            <w:hideMark/>
          </w:tcPr>
          <w:p w14:paraId="00F50AA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04.1041.002</w:t>
            </w:r>
          </w:p>
        </w:tc>
        <w:tc>
          <w:tcPr>
            <w:tcW w:w="2112" w:type="dxa"/>
            <w:shd w:val="clear" w:color="auto" w:fill="auto"/>
            <w:vAlign w:val="center"/>
            <w:hideMark/>
          </w:tcPr>
          <w:p w14:paraId="53A574F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ΝΑΥΤΙΛΙΑΚΗ ΠΟΛΙΤΙΚΗ ΚΑΙ ΕΛΕΓΧΟΣ ΠΛΟΙΩΝ</w:t>
            </w:r>
          </w:p>
        </w:tc>
        <w:tc>
          <w:tcPr>
            <w:tcW w:w="1752" w:type="dxa"/>
            <w:shd w:val="clear" w:color="auto" w:fill="auto"/>
            <w:vAlign w:val="center"/>
            <w:hideMark/>
          </w:tcPr>
          <w:p w14:paraId="0D85F81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shd w:val="clear" w:color="auto" w:fill="auto"/>
            <w:vAlign w:val="center"/>
            <w:hideMark/>
          </w:tcPr>
          <w:p w14:paraId="678B31B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214.035 €</w:t>
            </w:r>
          </w:p>
        </w:tc>
        <w:tc>
          <w:tcPr>
            <w:tcW w:w="1306" w:type="dxa"/>
            <w:shd w:val="clear" w:color="auto" w:fill="auto"/>
            <w:vAlign w:val="center"/>
            <w:hideMark/>
          </w:tcPr>
          <w:p w14:paraId="61FE3B0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712A57D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214.035 €</w:t>
            </w:r>
          </w:p>
        </w:tc>
      </w:tr>
      <w:tr w:rsidR="00E72A48" w:rsidRPr="00EF606E" w14:paraId="5CAB4EC1" w14:textId="77777777" w:rsidTr="0007734A">
        <w:trPr>
          <w:cantSplit/>
          <w:trHeight w:val="420"/>
          <w:jc w:val="center"/>
        </w:trPr>
        <w:tc>
          <w:tcPr>
            <w:tcW w:w="1051" w:type="dxa"/>
            <w:shd w:val="clear" w:color="auto" w:fill="auto"/>
            <w:vAlign w:val="center"/>
            <w:hideMark/>
          </w:tcPr>
          <w:p w14:paraId="1A3A32F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04.1041.003</w:t>
            </w:r>
          </w:p>
        </w:tc>
        <w:tc>
          <w:tcPr>
            <w:tcW w:w="2112" w:type="dxa"/>
            <w:shd w:val="clear" w:color="auto" w:fill="auto"/>
            <w:vAlign w:val="center"/>
            <w:hideMark/>
          </w:tcPr>
          <w:p w14:paraId="45C2081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ΟΛΟΚΛΗΡΩΜΕΝΗ ΘΑΛΑΣΣΙΑ ΠΟΛΙΤΙΚΗ ΣΤΟ ΝΗΣΙΩΤΙΚΟ ΧΩΡΟ</w:t>
            </w:r>
          </w:p>
        </w:tc>
        <w:tc>
          <w:tcPr>
            <w:tcW w:w="1752" w:type="dxa"/>
            <w:shd w:val="clear" w:color="auto" w:fill="auto"/>
            <w:vAlign w:val="center"/>
            <w:hideMark/>
          </w:tcPr>
          <w:p w14:paraId="3FBD684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shd w:val="clear" w:color="auto" w:fill="auto"/>
            <w:vAlign w:val="center"/>
            <w:hideMark/>
          </w:tcPr>
          <w:p w14:paraId="605769E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63.097 €</w:t>
            </w:r>
          </w:p>
        </w:tc>
        <w:tc>
          <w:tcPr>
            <w:tcW w:w="1306" w:type="dxa"/>
            <w:shd w:val="clear" w:color="auto" w:fill="auto"/>
            <w:vAlign w:val="center"/>
            <w:hideMark/>
          </w:tcPr>
          <w:p w14:paraId="1487910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2FD36A8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63.097 €</w:t>
            </w:r>
          </w:p>
        </w:tc>
      </w:tr>
      <w:tr w:rsidR="00E72A48" w:rsidRPr="00EF606E" w14:paraId="320B3701" w14:textId="77777777" w:rsidTr="0007734A">
        <w:trPr>
          <w:cantSplit/>
          <w:trHeight w:val="420"/>
          <w:jc w:val="center"/>
        </w:trPr>
        <w:tc>
          <w:tcPr>
            <w:tcW w:w="1051" w:type="dxa"/>
            <w:shd w:val="clear" w:color="auto" w:fill="auto"/>
            <w:vAlign w:val="center"/>
            <w:hideMark/>
          </w:tcPr>
          <w:p w14:paraId="32F9306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04.1041.004</w:t>
            </w:r>
          </w:p>
        </w:tc>
        <w:tc>
          <w:tcPr>
            <w:tcW w:w="2112" w:type="dxa"/>
            <w:shd w:val="clear" w:color="auto" w:fill="auto"/>
            <w:vAlign w:val="center"/>
            <w:hideMark/>
          </w:tcPr>
          <w:p w14:paraId="1CC2EE0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ΛΙΜΕΝΙΚΗ ΠΟΛΙΤΙΚΗ - ΥΠΟΔΟΜΕΣ - ΘΑΛΑΣΣΙΟΣ ΤΟΥΡΙΣΜΟΣ</w:t>
            </w:r>
          </w:p>
        </w:tc>
        <w:tc>
          <w:tcPr>
            <w:tcW w:w="1752" w:type="dxa"/>
            <w:shd w:val="clear" w:color="auto" w:fill="auto"/>
            <w:vAlign w:val="center"/>
            <w:hideMark/>
          </w:tcPr>
          <w:p w14:paraId="7D318F9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shd w:val="clear" w:color="auto" w:fill="auto"/>
            <w:vAlign w:val="center"/>
            <w:hideMark/>
          </w:tcPr>
          <w:p w14:paraId="715EEEB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46.172 €</w:t>
            </w:r>
          </w:p>
        </w:tc>
        <w:tc>
          <w:tcPr>
            <w:tcW w:w="1306" w:type="dxa"/>
            <w:shd w:val="clear" w:color="auto" w:fill="auto"/>
            <w:vAlign w:val="center"/>
            <w:hideMark/>
          </w:tcPr>
          <w:p w14:paraId="61F8F8B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72.910 €</w:t>
            </w:r>
          </w:p>
        </w:tc>
        <w:tc>
          <w:tcPr>
            <w:tcW w:w="1699" w:type="dxa"/>
            <w:shd w:val="clear" w:color="auto" w:fill="auto"/>
            <w:vAlign w:val="center"/>
            <w:hideMark/>
          </w:tcPr>
          <w:p w14:paraId="276A3F4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119.082 €</w:t>
            </w:r>
          </w:p>
        </w:tc>
      </w:tr>
      <w:tr w:rsidR="00E72A48" w:rsidRPr="00EF606E" w14:paraId="5A59A4A2" w14:textId="77777777" w:rsidTr="0007734A">
        <w:trPr>
          <w:cantSplit/>
          <w:trHeight w:val="420"/>
          <w:jc w:val="center"/>
        </w:trPr>
        <w:tc>
          <w:tcPr>
            <w:tcW w:w="1051" w:type="dxa"/>
            <w:shd w:val="clear" w:color="auto" w:fill="auto"/>
            <w:vAlign w:val="center"/>
            <w:hideMark/>
          </w:tcPr>
          <w:p w14:paraId="7349E68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04.1041.005</w:t>
            </w:r>
          </w:p>
        </w:tc>
        <w:tc>
          <w:tcPr>
            <w:tcW w:w="2112" w:type="dxa"/>
            <w:shd w:val="clear" w:color="auto" w:fill="auto"/>
            <w:vAlign w:val="center"/>
            <w:hideMark/>
          </w:tcPr>
          <w:p w14:paraId="751D6F4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ΡΥΘΜΙΣΤΙΚΗ ΑΡΧΗ ΛΙΜΕΝΩΝ</w:t>
            </w:r>
          </w:p>
        </w:tc>
        <w:tc>
          <w:tcPr>
            <w:tcW w:w="1752" w:type="dxa"/>
            <w:shd w:val="clear" w:color="auto" w:fill="auto"/>
            <w:vAlign w:val="center"/>
            <w:hideMark/>
          </w:tcPr>
          <w:p w14:paraId="0542030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shd w:val="clear" w:color="auto" w:fill="auto"/>
            <w:vAlign w:val="center"/>
            <w:hideMark/>
          </w:tcPr>
          <w:p w14:paraId="507B0B7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shd w:val="clear" w:color="auto" w:fill="auto"/>
            <w:vAlign w:val="center"/>
            <w:hideMark/>
          </w:tcPr>
          <w:p w14:paraId="1B73D1F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1.375 €</w:t>
            </w:r>
          </w:p>
        </w:tc>
        <w:tc>
          <w:tcPr>
            <w:tcW w:w="1699" w:type="dxa"/>
            <w:shd w:val="clear" w:color="auto" w:fill="auto"/>
            <w:vAlign w:val="center"/>
            <w:hideMark/>
          </w:tcPr>
          <w:p w14:paraId="454A9C4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1.375 €</w:t>
            </w:r>
          </w:p>
        </w:tc>
      </w:tr>
      <w:tr w:rsidR="00E72A48" w:rsidRPr="00EF606E" w14:paraId="6ACAEB63" w14:textId="77777777" w:rsidTr="0007734A">
        <w:trPr>
          <w:cantSplit/>
          <w:trHeight w:val="420"/>
          <w:jc w:val="center"/>
        </w:trPr>
        <w:tc>
          <w:tcPr>
            <w:tcW w:w="1051" w:type="dxa"/>
            <w:shd w:val="clear" w:color="auto" w:fill="auto"/>
            <w:vAlign w:val="center"/>
            <w:hideMark/>
          </w:tcPr>
          <w:p w14:paraId="3C0DC31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04.1045.001</w:t>
            </w:r>
          </w:p>
        </w:tc>
        <w:tc>
          <w:tcPr>
            <w:tcW w:w="2112" w:type="dxa"/>
            <w:shd w:val="clear" w:color="auto" w:fill="auto"/>
            <w:vAlign w:val="center"/>
            <w:hideMark/>
          </w:tcPr>
          <w:p w14:paraId="7701A32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ΣΧΕΔΙΑΣΜΟΣ ΚΑΙ ΥΛΟΠΟΙΗΣΗ ΠΟΛΙΤΙΚΩΝ ΤΟΥΡΙΣΤΙΚΗΣ ΑΝΑΠΤΥΞΗΣ</w:t>
            </w:r>
          </w:p>
        </w:tc>
        <w:tc>
          <w:tcPr>
            <w:tcW w:w="1752" w:type="dxa"/>
            <w:shd w:val="clear" w:color="auto" w:fill="auto"/>
            <w:vAlign w:val="center"/>
            <w:hideMark/>
          </w:tcPr>
          <w:p w14:paraId="14DC83D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ΤΟΥΡΙΣΜΟΥ</w:t>
            </w:r>
          </w:p>
        </w:tc>
        <w:tc>
          <w:tcPr>
            <w:tcW w:w="1152" w:type="dxa"/>
            <w:shd w:val="clear" w:color="auto" w:fill="auto"/>
            <w:vAlign w:val="center"/>
            <w:hideMark/>
          </w:tcPr>
          <w:p w14:paraId="6ABB321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64.695 €</w:t>
            </w:r>
          </w:p>
        </w:tc>
        <w:tc>
          <w:tcPr>
            <w:tcW w:w="1306" w:type="dxa"/>
            <w:shd w:val="clear" w:color="auto" w:fill="auto"/>
            <w:vAlign w:val="center"/>
            <w:hideMark/>
          </w:tcPr>
          <w:p w14:paraId="2A7C70E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36.710 €</w:t>
            </w:r>
          </w:p>
        </w:tc>
        <w:tc>
          <w:tcPr>
            <w:tcW w:w="1699" w:type="dxa"/>
            <w:shd w:val="clear" w:color="auto" w:fill="auto"/>
            <w:vAlign w:val="center"/>
            <w:hideMark/>
          </w:tcPr>
          <w:p w14:paraId="0304D0C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101.405 €</w:t>
            </w:r>
          </w:p>
        </w:tc>
      </w:tr>
      <w:tr w:rsidR="00E72A48" w:rsidRPr="00EF606E" w14:paraId="2AF0C99D" w14:textId="77777777" w:rsidTr="0007734A">
        <w:trPr>
          <w:cantSplit/>
          <w:trHeight w:val="210"/>
          <w:jc w:val="center"/>
        </w:trPr>
        <w:tc>
          <w:tcPr>
            <w:tcW w:w="1051" w:type="dxa"/>
            <w:shd w:val="clear" w:color="auto" w:fill="auto"/>
            <w:vAlign w:val="center"/>
            <w:hideMark/>
          </w:tcPr>
          <w:p w14:paraId="05B5278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04.1045.002</w:t>
            </w:r>
          </w:p>
        </w:tc>
        <w:tc>
          <w:tcPr>
            <w:tcW w:w="2112" w:type="dxa"/>
            <w:shd w:val="clear" w:color="auto" w:fill="auto"/>
            <w:vAlign w:val="center"/>
            <w:hideMark/>
          </w:tcPr>
          <w:p w14:paraId="11BA72D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ΤΟΥΡΙΣΤΙΚΕΣ ΕΠΕΝΔΥΣΕΙΣ</w:t>
            </w:r>
          </w:p>
        </w:tc>
        <w:tc>
          <w:tcPr>
            <w:tcW w:w="1752" w:type="dxa"/>
            <w:shd w:val="clear" w:color="auto" w:fill="auto"/>
            <w:vAlign w:val="center"/>
            <w:hideMark/>
          </w:tcPr>
          <w:p w14:paraId="38D43AD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ΤΟΥΡΙΣΜΟΥ</w:t>
            </w:r>
          </w:p>
        </w:tc>
        <w:tc>
          <w:tcPr>
            <w:tcW w:w="1152" w:type="dxa"/>
            <w:shd w:val="clear" w:color="auto" w:fill="auto"/>
            <w:vAlign w:val="center"/>
            <w:hideMark/>
          </w:tcPr>
          <w:p w14:paraId="40E1D4F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125.235 €</w:t>
            </w:r>
          </w:p>
        </w:tc>
        <w:tc>
          <w:tcPr>
            <w:tcW w:w="1306" w:type="dxa"/>
            <w:shd w:val="clear" w:color="auto" w:fill="auto"/>
            <w:vAlign w:val="center"/>
            <w:hideMark/>
          </w:tcPr>
          <w:p w14:paraId="32B414E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4192771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125.235 €</w:t>
            </w:r>
          </w:p>
        </w:tc>
      </w:tr>
      <w:tr w:rsidR="00E72A48" w:rsidRPr="00EF606E" w14:paraId="11CA4AA0" w14:textId="77777777" w:rsidTr="0007734A">
        <w:trPr>
          <w:cantSplit/>
          <w:trHeight w:val="420"/>
          <w:jc w:val="center"/>
        </w:trPr>
        <w:tc>
          <w:tcPr>
            <w:tcW w:w="1051" w:type="dxa"/>
            <w:shd w:val="clear" w:color="auto" w:fill="auto"/>
            <w:vAlign w:val="center"/>
            <w:hideMark/>
          </w:tcPr>
          <w:p w14:paraId="72734E5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04.1045.003</w:t>
            </w:r>
          </w:p>
        </w:tc>
        <w:tc>
          <w:tcPr>
            <w:tcW w:w="2112" w:type="dxa"/>
            <w:shd w:val="clear" w:color="auto" w:fill="auto"/>
            <w:vAlign w:val="center"/>
            <w:hideMark/>
          </w:tcPr>
          <w:p w14:paraId="4C917CA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ΥΠΟΥΡΓΕΙΟΥ ΤΟΥΡΙΣΜΟΥ</w:t>
            </w:r>
          </w:p>
        </w:tc>
        <w:tc>
          <w:tcPr>
            <w:tcW w:w="1752" w:type="dxa"/>
            <w:shd w:val="clear" w:color="auto" w:fill="auto"/>
            <w:vAlign w:val="center"/>
            <w:hideMark/>
          </w:tcPr>
          <w:p w14:paraId="0468081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ΤΟΥΡΙΣΜΟΥ</w:t>
            </w:r>
          </w:p>
        </w:tc>
        <w:tc>
          <w:tcPr>
            <w:tcW w:w="1152" w:type="dxa"/>
            <w:shd w:val="clear" w:color="auto" w:fill="auto"/>
            <w:vAlign w:val="center"/>
            <w:hideMark/>
          </w:tcPr>
          <w:p w14:paraId="260AD94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9.035 €</w:t>
            </w:r>
          </w:p>
        </w:tc>
        <w:tc>
          <w:tcPr>
            <w:tcW w:w="1306" w:type="dxa"/>
            <w:shd w:val="clear" w:color="auto" w:fill="auto"/>
            <w:vAlign w:val="center"/>
            <w:hideMark/>
          </w:tcPr>
          <w:p w14:paraId="093F70B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61D3B4C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9.035 €</w:t>
            </w:r>
          </w:p>
        </w:tc>
      </w:tr>
      <w:tr w:rsidR="00E72A48" w:rsidRPr="00EF606E" w14:paraId="172A6CE6" w14:textId="77777777" w:rsidTr="0007734A">
        <w:trPr>
          <w:cantSplit/>
          <w:trHeight w:val="420"/>
          <w:jc w:val="center"/>
        </w:trPr>
        <w:tc>
          <w:tcPr>
            <w:tcW w:w="1051" w:type="dxa"/>
            <w:shd w:val="clear" w:color="auto" w:fill="auto"/>
            <w:vAlign w:val="center"/>
            <w:hideMark/>
          </w:tcPr>
          <w:p w14:paraId="189D8EE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04.1053.001</w:t>
            </w:r>
          </w:p>
        </w:tc>
        <w:tc>
          <w:tcPr>
            <w:tcW w:w="2112" w:type="dxa"/>
            <w:shd w:val="clear" w:color="auto" w:fill="auto"/>
            <w:vAlign w:val="center"/>
            <w:hideMark/>
          </w:tcPr>
          <w:p w14:paraId="6F80F9C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ΨΗΦΙΑΚΗΣ ΔΙΑΚΥΒΕΡΝΗΣΗΣ</w:t>
            </w:r>
          </w:p>
        </w:tc>
        <w:tc>
          <w:tcPr>
            <w:tcW w:w="1752" w:type="dxa"/>
            <w:shd w:val="clear" w:color="auto" w:fill="auto"/>
            <w:vAlign w:val="center"/>
            <w:hideMark/>
          </w:tcPr>
          <w:p w14:paraId="41FB45C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ΨΗΦΙΑΚΗΣ ΔΙΑΚΥΒΕΡΝΗΣΗΣ</w:t>
            </w:r>
          </w:p>
        </w:tc>
        <w:tc>
          <w:tcPr>
            <w:tcW w:w="1152" w:type="dxa"/>
            <w:shd w:val="clear" w:color="auto" w:fill="auto"/>
            <w:vAlign w:val="center"/>
            <w:hideMark/>
          </w:tcPr>
          <w:p w14:paraId="5FB087C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62.110 €</w:t>
            </w:r>
          </w:p>
        </w:tc>
        <w:tc>
          <w:tcPr>
            <w:tcW w:w="1306" w:type="dxa"/>
            <w:shd w:val="clear" w:color="auto" w:fill="auto"/>
            <w:vAlign w:val="center"/>
            <w:hideMark/>
          </w:tcPr>
          <w:p w14:paraId="1255EF1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05C2A46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62.110 €</w:t>
            </w:r>
          </w:p>
        </w:tc>
      </w:tr>
      <w:tr w:rsidR="00E72A48" w:rsidRPr="00EF606E" w14:paraId="730B7747" w14:textId="77777777" w:rsidTr="0007734A">
        <w:trPr>
          <w:cantSplit/>
          <w:trHeight w:val="420"/>
          <w:jc w:val="center"/>
        </w:trPr>
        <w:tc>
          <w:tcPr>
            <w:tcW w:w="1051" w:type="dxa"/>
            <w:shd w:val="clear" w:color="auto" w:fill="auto"/>
            <w:vAlign w:val="center"/>
            <w:hideMark/>
          </w:tcPr>
          <w:p w14:paraId="51A066B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lastRenderedPageBreak/>
              <w:t>04.1053.002</w:t>
            </w:r>
          </w:p>
        </w:tc>
        <w:tc>
          <w:tcPr>
            <w:tcW w:w="2112" w:type="dxa"/>
            <w:shd w:val="clear" w:color="auto" w:fill="auto"/>
            <w:vAlign w:val="center"/>
            <w:hideMark/>
          </w:tcPr>
          <w:p w14:paraId="1191F01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ΨΗΦΙΑΚΟΣ ΜΕΤΑΣΧΗΜΑΤΙΣΜΟΣ ΚΑΙ ΜΕΤΑΡΡΥΘΜΙΣΗ ΔΗΜΟΣΙΟΥ ΤΟΜΕΑ</w:t>
            </w:r>
          </w:p>
        </w:tc>
        <w:tc>
          <w:tcPr>
            <w:tcW w:w="1752" w:type="dxa"/>
            <w:shd w:val="clear" w:color="auto" w:fill="auto"/>
            <w:vAlign w:val="center"/>
            <w:hideMark/>
          </w:tcPr>
          <w:p w14:paraId="26B4B29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ΨΗΦΙΑΚΗΣ ΔΙΑΚΥΒΕΡΝΗΣΗΣ</w:t>
            </w:r>
          </w:p>
        </w:tc>
        <w:tc>
          <w:tcPr>
            <w:tcW w:w="1152" w:type="dxa"/>
            <w:shd w:val="clear" w:color="auto" w:fill="auto"/>
            <w:vAlign w:val="center"/>
            <w:hideMark/>
          </w:tcPr>
          <w:p w14:paraId="7D343DF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303.964 €</w:t>
            </w:r>
          </w:p>
        </w:tc>
        <w:tc>
          <w:tcPr>
            <w:tcW w:w="1306" w:type="dxa"/>
            <w:shd w:val="clear" w:color="auto" w:fill="auto"/>
            <w:vAlign w:val="center"/>
            <w:hideMark/>
          </w:tcPr>
          <w:p w14:paraId="583946C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881.188 €</w:t>
            </w:r>
          </w:p>
        </w:tc>
        <w:tc>
          <w:tcPr>
            <w:tcW w:w="1699" w:type="dxa"/>
            <w:shd w:val="clear" w:color="auto" w:fill="auto"/>
            <w:vAlign w:val="center"/>
            <w:hideMark/>
          </w:tcPr>
          <w:p w14:paraId="285C2BD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1.185.153 €</w:t>
            </w:r>
          </w:p>
        </w:tc>
      </w:tr>
      <w:tr w:rsidR="00E72A48" w:rsidRPr="00EF606E" w14:paraId="38E6A19E" w14:textId="77777777" w:rsidTr="0007734A">
        <w:trPr>
          <w:cantSplit/>
          <w:trHeight w:val="420"/>
          <w:jc w:val="center"/>
        </w:trPr>
        <w:tc>
          <w:tcPr>
            <w:tcW w:w="1051" w:type="dxa"/>
            <w:shd w:val="clear" w:color="auto" w:fill="auto"/>
            <w:vAlign w:val="center"/>
            <w:hideMark/>
          </w:tcPr>
          <w:p w14:paraId="19EBCF4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04.1053.003</w:t>
            </w:r>
          </w:p>
        </w:tc>
        <w:tc>
          <w:tcPr>
            <w:tcW w:w="2112" w:type="dxa"/>
            <w:shd w:val="clear" w:color="auto" w:fill="auto"/>
            <w:vAlign w:val="center"/>
            <w:hideMark/>
          </w:tcPr>
          <w:p w14:paraId="067B098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ΗΛΕΚΤΡΟΝΙΚΗ ΔΙΑΚΥΒΕΡΝΗΣΗ ΚΑΙ ΔΙΑΛΕΙΤΟΥΡΓΙΚΟΤΗΤΑ</w:t>
            </w:r>
          </w:p>
        </w:tc>
        <w:tc>
          <w:tcPr>
            <w:tcW w:w="1752" w:type="dxa"/>
            <w:shd w:val="clear" w:color="auto" w:fill="auto"/>
            <w:vAlign w:val="center"/>
            <w:hideMark/>
          </w:tcPr>
          <w:p w14:paraId="3929E8E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ΨΗΦΙΑΚΗΣ ΔΙΑΚΥΒΕΡΝΗΣΗΣ</w:t>
            </w:r>
          </w:p>
        </w:tc>
        <w:tc>
          <w:tcPr>
            <w:tcW w:w="1152" w:type="dxa"/>
            <w:shd w:val="clear" w:color="auto" w:fill="auto"/>
            <w:vAlign w:val="center"/>
            <w:hideMark/>
          </w:tcPr>
          <w:p w14:paraId="17D96DE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23.342 €</w:t>
            </w:r>
          </w:p>
        </w:tc>
        <w:tc>
          <w:tcPr>
            <w:tcW w:w="1306" w:type="dxa"/>
            <w:shd w:val="clear" w:color="auto" w:fill="auto"/>
            <w:vAlign w:val="center"/>
            <w:hideMark/>
          </w:tcPr>
          <w:p w14:paraId="0B599A9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79.244 €</w:t>
            </w:r>
          </w:p>
        </w:tc>
        <w:tc>
          <w:tcPr>
            <w:tcW w:w="1699" w:type="dxa"/>
            <w:shd w:val="clear" w:color="auto" w:fill="auto"/>
            <w:vAlign w:val="center"/>
            <w:hideMark/>
          </w:tcPr>
          <w:p w14:paraId="078CA01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102.586 €</w:t>
            </w:r>
          </w:p>
        </w:tc>
      </w:tr>
      <w:tr w:rsidR="00E72A48" w:rsidRPr="00EF606E" w14:paraId="3E6747EE" w14:textId="77777777" w:rsidTr="0007734A">
        <w:trPr>
          <w:cantSplit/>
          <w:trHeight w:val="630"/>
          <w:jc w:val="center"/>
        </w:trPr>
        <w:tc>
          <w:tcPr>
            <w:tcW w:w="1051" w:type="dxa"/>
            <w:shd w:val="clear" w:color="auto" w:fill="auto"/>
            <w:vAlign w:val="center"/>
            <w:hideMark/>
          </w:tcPr>
          <w:p w14:paraId="02D30FA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04.1053.004</w:t>
            </w:r>
          </w:p>
        </w:tc>
        <w:tc>
          <w:tcPr>
            <w:tcW w:w="2112" w:type="dxa"/>
            <w:shd w:val="clear" w:color="auto" w:fill="auto"/>
            <w:vAlign w:val="center"/>
            <w:hideMark/>
          </w:tcPr>
          <w:p w14:paraId="760B562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ΤΕΧΝΟΛΟΓΙΕΣ ΠΛΗΡΟΦΟΡΙΚΗΣ, ΕΠΙΚΟΙΝΩΝΙΩΝ(ΤΠΕ) ΚΑΙ ΥΠΟΔΟΜΩΝ ΠΛΗΡΟΦΟΡΙΚΗΣ ΣΤΗ ΔΗΜΟΣΙΑ ΔΙΟΙΚΗΣΗ</w:t>
            </w:r>
          </w:p>
        </w:tc>
        <w:tc>
          <w:tcPr>
            <w:tcW w:w="1752" w:type="dxa"/>
            <w:shd w:val="clear" w:color="auto" w:fill="auto"/>
            <w:vAlign w:val="center"/>
            <w:hideMark/>
          </w:tcPr>
          <w:p w14:paraId="2BF5C92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ΨΗΦΙΑΚΗΣ ΔΙΑΚΥΒΕΡΝΗΣΗΣ</w:t>
            </w:r>
          </w:p>
        </w:tc>
        <w:tc>
          <w:tcPr>
            <w:tcW w:w="1152" w:type="dxa"/>
            <w:shd w:val="clear" w:color="auto" w:fill="auto"/>
            <w:vAlign w:val="center"/>
            <w:hideMark/>
          </w:tcPr>
          <w:p w14:paraId="0F32AE9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81.379 €</w:t>
            </w:r>
          </w:p>
        </w:tc>
        <w:tc>
          <w:tcPr>
            <w:tcW w:w="1306" w:type="dxa"/>
            <w:shd w:val="clear" w:color="auto" w:fill="auto"/>
            <w:vAlign w:val="center"/>
            <w:hideMark/>
          </w:tcPr>
          <w:p w14:paraId="2661A7E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673.171 €</w:t>
            </w:r>
          </w:p>
        </w:tc>
        <w:tc>
          <w:tcPr>
            <w:tcW w:w="1699" w:type="dxa"/>
            <w:shd w:val="clear" w:color="auto" w:fill="auto"/>
            <w:vAlign w:val="center"/>
            <w:hideMark/>
          </w:tcPr>
          <w:p w14:paraId="0B7263B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754.550 €</w:t>
            </w:r>
          </w:p>
        </w:tc>
      </w:tr>
      <w:tr w:rsidR="00E72A48" w:rsidRPr="00EF606E" w14:paraId="2CE0501F" w14:textId="77777777" w:rsidTr="0007734A">
        <w:trPr>
          <w:cantSplit/>
          <w:trHeight w:val="210"/>
          <w:jc w:val="center"/>
        </w:trPr>
        <w:tc>
          <w:tcPr>
            <w:tcW w:w="1051" w:type="dxa"/>
            <w:shd w:val="clear" w:color="auto" w:fill="auto"/>
            <w:vAlign w:val="center"/>
            <w:hideMark/>
          </w:tcPr>
          <w:p w14:paraId="1B3F4C0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04.1053.005</w:t>
            </w:r>
          </w:p>
        </w:tc>
        <w:tc>
          <w:tcPr>
            <w:tcW w:w="2112" w:type="dxa"/>
            <w:shd w:val="clear" w:color="auto" w:fill="auto"/>
            <w:vAlign w:val="center"/>
            <w:hideMark/>
          </w:tcPr>
          <w:p w14:paraId="6653945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ΤΗΛΕΠΙΚΟΙΝΩΝΙΕΣ-ΤΑΧΥΔΡΟΜΙΚΕΣ ΥΠΗΡΕΣΙΕΣ</w:t>
            </w:r>
          </w:p>
        </w:tc>
        <w:tc>
          <w:tcPr>
            <w:tcW w:w="1752" w:type="dxa"/>
            <w:shd w:val="clear" w:color="auto" w:fill="auto"/>
            <w:vAlign w:val="center"/>
            <w:hideMark/>
          </w:tcPr>
          <w:p w14:paraId="2F6E762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ΨΗΦΙΑΚΗΣ ΔΙΑΚΥΒΕΡΝΗΣΗΣ</w:t>
            </w:r>
          </w:p>
        </w:tc>
        <w:tc>
          <w:tcPr>
            <w:tcW w:w="1152" w:type="dxa"/>
            <w:shd w:val="clear" w:color="auto" w:fill="auto"/>
            <w:vAlign w:val="center"/>
            <w:hideMark/>
          </w:tcPr>
          <w:p w14:paraId="3BB7272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75.996 €</w:t>
            </w:r>
          </w:p>
        </w:tc>
        <w:tc>
          <w:tcPr>
            <w:tcW w:w="1306" w:type="dxa"/>
            <w:shd w:val="clear" w:color="auto" w:fill="auto"/>
            <w:vAlign w:val="center"/>
            <w:hideMark/>
          </w:tcPr>
          <w:p w14:paraId="7C67035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16F76B6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75.996 €</w:t>
            </w:r>
          </w:p>
        </w:tc>
      </w:tr>
      <w:tr w:rsidR="00E72A48" w:rsidRPr="00EF606E" w14:paraId="52999DCD" w14:textId="77777777" w:rsidTr="0007734A">
        <w:trPr>
          <w:cantSplit/>
          <w:trHeight w:val="210"/>
          <w:jc w:val="center"/>
        </w:trPr>
        <w:tc>
          <w:tcPr>
            <w:tcW w:w="1051" w:type="dxa"/>
            <w:shd w:val="clear" w:color="auto" w:fill="auto"/>
            <w:vAlign w:val="center"/>
            <w:hideMark/>
          </w:tcPr>
          <w:p w14:paraId="346E78D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04.1053.006</w:t>
            </w:r>
          </w:p>
        </w:tc>
        <w:tc>
          <w:tcPr>
            <w:tcW w:w="2112" w:type="dxa"/>
            <w:shd w:val="clear" w:color="auto" w:fill="auto"/>
            <w:vAlign w:val="center"/>
            <w:hideMark/>
          </w:tcPr>
          <w:p w14:paraId="0D1EF08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ΔΙΑΣΤΗΜΙΚΗ ΣΤΡΑΤΗΓΙΚΗ</w:t>
            </w:r>
          </w:p>
        </w:tc>
        <w:tc>
          <w:tcPr>
            <w:tcW w:w="1752" w:type="dxa"/>
            <w:shd w:val="clear" w:color="auto" w:fill="auto"/>
            <w:vAlign w:val="center"/>
            <w:hideMark/>
          </w:tcPr>
          <w:p w14:paraId="76FE40C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ΨΗΦΙΑΚΗΣ ΔΙΑΚΥΒΕΡΝΗΣΗΣ</w:t>
            </w:r>
          </w:p>
        </w:tc>
        <w:tc>
          <w:tcPr>
            <w:tcW w:w="1152" w:type="dxa"/>
            <w:shd w:val="clear" w:color="auto" w:fill="auto"/>
            <w:vAlign w:val="center"/>
            <w:hideMark/>
          </w:tcPr>
          <w:p w14:paraId="13074AE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27.906 €</w:t>
            </w:r>
          </w:p>
        </w:tc>
        <w:tc>
          <w:tcPr>
            <w:tcW w:w="1306" w:type="dxa"/>
            <w:shd w:val="clear" w:color="auto" w:fill="auto"/>
            <w:vAlign w:val="center"/>
            <w:hideMark/>
          </w:tcPr>
          <w:p w14:paraId="19D0BC6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2.499 €</w:t>
            </w:r>
          </w:p>
        </w:tc>
        <w:tc>
          <w:tcPr>
            <w:tcW w:w="1699" w:type="dxa"/>
            <w:shd w:val="clear" w:color="auto" w:fill="auto"/>
            <w:vAlign w:val="center"/>
            <w:hideMark/>
          </w:tcPr>
          <w:p w14:paraId="77D8C8B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30.405 €</w:t>
            </w:r>
          </w:p>
        </w:tc>
      </w:tr>
      <w:tr w:rsidR="00E72A48" w:rsidRPr="00EF606E" w14:paraId="4983C232" w14:textId="77777777" w:rsidTr="0007734A">
        <w:trPr>
          <w:cantSplit/>
          <w:trHeight w:val="420"/>
          <w:jc w:val="center"/>
        </w:trPr>
        <w:tc>
          <w:tcPr>
            <w:tcW w:w="1051" w:type="dxa"/>
            <w:shd w:val="clear" w:color="auto" w:fill="auto"/>
            <w:vAlign w:val="center"/>
            <w:hideMark/>
          </w:tcPr>
          <w:p w14:paraId="6A47A2A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04.1053.007</w:t>
            </w:r>
          </w:p>
        </w:tc>
        <w:tc>
          <w:tcPr>
            <w:tcW w:w="2112" w:type="dxa"/>
            <w:shd w:val="clear" w:color="auto" w:fill="auto"/>
            <w:vAlign w:val="center"/>
            <w:hideMark/>
          </w:tcPr>
          <w:p w14:paraId="5937D10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ΡΥΘΜΙΣΗ ΘΕΜΑΤΩΝ ΗΛΕΚΤΡΟΝΙΚΩΝ ΕΠΙΚΟΙΝΩΝΙΩΝ ΚΑΙ ΤΑΧΥΔΡΟΜΙΚΩΝ ΥΠΗΡΕΣΙΩΝ - ΕΕΤΤ</w:t>
            </w:r>
          </w:p>
        </w:tc>
        <w:tc>
          <w:tcPr>
            <w:tcW w:w="1752" w:type="dxa"/>
            <w:shd w:val="clear" w:color="auto" w:fill="auto"/>
            <w:vAlign w:val="center"/>
            <w:hideMark/>
          </w:tcPr>
          <w:p w14:paraId="4D5C17F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ΨΗΦΙΑΚΗΣ ΔΙΑΚΥΒΕΡΝΗΣΗΣ</w:t>
            </w:r>
          </w:p>
        </w:tc>
        <w:tc>
          <w:tcPr>
            <w:tcW w:w="1152" w:type="dxa"/>
            <w:shd w:val="clear" w:color="auto" w:fill="auto"/>
            <w:vAlign w:val="center"/>
            <w:hideMark/>
          </w:tcPr>
          <w:p w14:paraId="6110780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194 €</w:t>
            </w:r>
          </w:p>
        </w:tc>
        <w:tc>
          <w:tcPr>
            <w:tcW w:w="1306" w:type="dxa"/>
            <w:shd w:val="clear" w:color="auto" w:fill="auto"/>
            <w:vAlign w:val="center"/>
            <w:hideMark/>
          </w:tcPr>
          <w:p w14:paraId="4FD9BD2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24.673 €</w:t>
            </w:r>
          </w:p>
        </w:tc>
        <w:tc>
          <w:tcPr>
            <w:tcW w:w="1699" w:type="dxa"/>
            <w:shd w:val="clear" w:color="auto" w:fill="auto"/>
            <w:vAlign w:val="center"/>
            <w:hideMark/>
          </w:tcPr>
          <w:p w14:paraId="6F3B1AE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24.867 €</w:t>
            </w:r>
          </w:p>
        </w:tc>
      </w:tr>
      <w:tr w:rsidR="00E72A48" w:rsidRPr="00EF606E" w14:paraId="34A55114" w14:textId="77777777" w:rsidTr="0007734A">
        <w:trPr>
          <w:cantSplit/>
          <w:trHeight w:val="195"/>
          <w:jc w:val="center"/>
        </w:trPr>
        <w:tc>
          <w:tcPr>
            <w:tcW w:w="1051" w:type="dxa"/>
            <w:shd w:val="clear" w:color="000000" w:fill="D9D9D9"/>
            <w:vAlign w:val="center"/>
            <w:hideMark/>
          </w:tcPr>
          <w:p w14:paraId="5EBDCD81"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05</w:t>
            </w:r>
          </w:p>
        </w:tc>
        <w:tc>
          <w:tcPr>
            <w:tcW w:w="2112" w:type="dxa"/>
            <w:shd w:val="clear" w:color="000000" w:fill="D9D9D9"/>
            <w:vAlign w:val="center"/>
            <w:hideMark/>
          </w:tcPr>
          <w:p w14:paraId="3281C9CC"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ΠΕΡΙΒΑΛΛΟΝΤΙΚΗ ΠΡΟΣΤΑΣΙΑ ΚΑΙ ΧΩΡΟΤΑΞΙΑ</w:t>
            </w:r>
          </w:p>
        </w:tc>
        <w:tc>
          <w:tcPr>
            <w:tcW w:w="1752" w:type="dxa"/>
            <w:shd w:val="clear" w:color="000000" w:fill="D9D9D9"/>
            <w:vAlign w:val="center"/>
            <w:hideMark/>
          </w:tcPr>
          <w:p w14:paraId="38275B38"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58E35174"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3.415.883 €</w:t>
            </w:r>
          </w:p>
        </w:tc>
        <w:tc>
          <w:tcPr>
            <w:tcW w:w="1306" w:type="dxa"/>
            <w:shd w:val="clear" w:color="000000" w:fill="D9D9D9"/>
            <w:vAlign w:val="center"/>
            <w:hideMark/>
          </w:tcPr>
          <w:p w14:paraId="23B8AE60"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2.962.786 €</w:t>
            </w:r>
          </w:p>
        </w:tc>
        <w:tc>
          <w:tcPr>
            <w:tcW w:w="1699" w:type="dxa"/>
            <w:shd w:val="clear" w:color="000000" w:fill="D9D9D9"/>
            <w:vAlign w:val="center"/>
            <w:hideMark/>
          </w:tcPr>
          <w:p w14:paraId="7F066D8A"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6.378.669 €</w:t>
            </w:r>
          </w:p>
        </w:tc>
      </w:tr>
      <w:tr w:rsidR="00E72A48" w:rsidRPr="00EF606E" w14:paraId="1319F567" w14:textId="77777777" w:rsidTr="0007734A">
        <w:trPr>
          <w:cantSplit/>
          <w:trHeight w:val="420"/>
          <w:jc w:val="center"/>
        </w:trPr>
        <w:tc>
          <w:tcPr>
            <w:tcW w:w="1051" w:type="dxa"/>
            <w:shd w:val="clear" w:color="auto" w:fill="auto"/>
            <w:vAlign w:val="center"/>
            <w:hideMark/>
          </w:tcPr>
          <w:p w14:paraId="45242F2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05.1011.001</w:t>
            </w:r>
          </w:p>
        </w:tc>
        <w:tc>
          <w:tcPr>
            <w:tcW w:w="2112" w:type="dxa"/>
            <w:shd w:val="clear" w:color="auto" w:fill="auto"/>
            <w:vAlign w:val="center"/>
            <w:hideMark/>
          </w:tcPr>
          <w:p w14:paraId="1832B30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ΣΥΝΕΙΣΦΟΡΑ ΕΝΟΠΛΩΝ ΔΥΝΑΜΕΩΝ ΣΤΟ ΠΕΡΙΒΑΛΛΟΝ</w:t>
            </w:r>
          </w:p>
        </w:tc>
        <w:tc>
          <w:tcPr>
            <w:tcW w:w="1752" w:type="dxa"/>
            <w:shd w:val="clear" w:color="auto" w:fill="auto"/>
            <w:vAlign w:val="center"/>
            <w:hideMark/>
          </w:tcPr>
          <w:p w14:paraId="6C0BF48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shd w:val="clear" w:color="auto" w:fill="auto"/>
            <w:vAlign w:val="center"/>
            <w:hideMark/>
          </w:tcPr>
          <w:p w14:paraId="21B0D41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24.608 €</w:t>
            </w:r>
          </w:p>
        </w:tc>
        <w:tc>
          <w:tcPr>
            <w:tcW w:w="1306" w:type="dxa"/>
            <w:shd w:val="clear" w:color="auto" w:fill="auto"/>
            <w:vAlign w:val="center"/>
            <w:hideMark/>
          </w:tcPr>
          <w:p w14:paraId="17C4F8F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7A90765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24.608 €</w:t>
            </w:r>
          </w:p>
        </w:tc>
      </w:tr>
      <w:tr w:rsidR="00E72A48" w:rsidRPr="00EF606E" w14:paraId="1A6933DF" w14:textId="77777777" w:rsidTr="0007734A">
        <w:trPr>
          <w:cantSplit/>
          <w:trHeight w:val="420"/>
          <w:jc w:val="center"/>
        </w:trPr>
        <w:tc>
          <w:tcPr>
            <w:tcW w:w="1051" w:type="dxa"/>
            <w:shd w:val="clear" w:color="auto" w:fill="auto"/>
            <w:vAlign w:val="center"/>
            <w:hideMark/>
          </w:tcPr>
          <w:p w14:paraId="65E830A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05.1031.001</w:t>
            </w:r>
          </w:p>
        </w:tc>
        <w:tc>
          <w:tcPr>
            <w:tcW w:w="2112" w:type="dxa"/>
            <w:shd w:val="clear" w:color="auto" w:fill="auto"/>
            <w:vAlign w:val="center"/>
            <w:hideMark/>
          </w:tcPr>
          <w:p w14:paraId="179E83E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ΠΕΡΙΒΑΛΛΟΝΤΟΣ ΚΑΙ ΕΝΕΡΓΕΙΑΣ</w:t>
            </w:r>
          </w:p>
        </w:tc>
        <w:tc>
          <w:tcPr>
            <w:tcW w:w="1752" w:type="dxa"/>
            <w:shd w:val="clear" w:color="auto" w:fill="auto"/>
            <w:vAlign w:val="center"/>
            <w:hideMark/>
          </w:tcPr>
          <w:p w14:paraId="37361E1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ΠΕΡΙΒΑΛΛΟΝΤΟΣ ΚΑΙ ΕΝΕΡΓΕΙΑΣ</w:t>
            </w:r>
          </w:p>
        </w:tc>
        <w:tc>
          <w:tcPr>
            <w:tcW w:w="1152" w:type="dxa"/>
            <w:shd w:val="clear" w:color="auto" w:fill="auto"/>
            <w:vAlign w:val="center"/>
            <w:hideMark/>
          </w:tcPr>
          <w:p w14:paraId="322D198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15.881 €</w:t>
            </w:r>
          </w:p>
        </w:tc>
        <w:tc>
          <w:tcPr>
            <w:tcW w:w="1306" w:type="dxa"/>
            <w:shd w:val="clear" w:color="auto" w:fill="auto"/>
            <w:vAlign w:val="center"/>
            <w:hideMark/>
          </w:tcPr>
          <w:p w14:paraId="0739C46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4E2FCA1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15.881 €</w:t>
            </w:r>
          </w:p>
        </w:tc>
      </w:tr>
      <w:tr w:rsidR="00E72A48" w:rsidRPr="00EF606E" w14:paraId="0284F454" w14:textId="77777777" w:rsidTr="0007734A">
        <w:trPr>
          <w:cantSplit/>
          <w:trHeight w:val="420"/>
          <w:jc w:val="center"/>
        </w:trPr>
        <w:tc>
          <w:tcPr>
            <w:tcW w:w="1051" w:type="dxa"/>
            <w:shd w:val="clear" w:color="auto" w:fill="auto"/>
            <w:vAlign w:val="center"/>
            <w:hideMark/>
          </w:tcPr>
          <w:p w14:paraId="50F79F1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05.1031.002</w:t>
            </w:r>
          </w:p>
        </w:tc>
        <w:tc>
          <w:tcPr>
            <w:tcW w:w="2112" w:type="dxa"/>
            <w:shd w:val="clear" w:color="auto" w:fill="auto"/>
            <w:vAlign w:val="center"/>
            <w:hideMark/>
          </w:tcPr>
          <w:p w14:paraId="46A0291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ΠΡΟΣΤΑΣΙΑ ΦΥΣΙΚΟΥ ΠΕΡΙΒΑΛΛΟΝΤΟΣ ΚΑΙ ΥΔΑΤΩΝ ΒΑΣΕΙ ΒΙΩΣΙΜΗΣ ΑΝΑΠΤΥΞΗΣ</w:t>
            </w:r>
          </w:p>
        </w:tc>
        <w:tc>
          <w:tcPr>
            <w:tcW w:w="1752" w:type="dxa"/>
            <w:shd w:val="clear" w:color="auto" w:fill="auto"/>
            <w:vAlign w:val="center"/>
            <w:hideMark/>
          </w:tcPr>
          <w:p w14:paraId="09549C5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ΠΕΡΙΒΑΛΛΟΝΤΟΣ ΚΑΙ ΕΝΕΡΓΕΙΑΣ</w:t>
            </w:r>
          </w:p>
        </w:tc>
        <w:tc>
          <w:tcPr>
            <w:tcW w:w="1152" w:type="dxa"/>
            <w:shd w:val="clear" w:color="auto" w:fill="auto"/>
            <w:vAlign w:val="center"/>
            <w:hideMark/>
          </w:tcPr>
          <w:p w14:paraId="0DFD7DC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1.015.878 €</w:t>
            </w:r>
          </w:p>
        </w:tc>
        <w:tc>
          <w:tcPr>
            <w:tcW w:w="1306" w:type="dxa"/>
            <w:shd w:val="clear" w:color="auto" w:fill="auto"/>
            <w:vAlign w:val="center"/>
            <w:hideMark/>
          </w:tcPr>
          <w:p w14:paraId="50D0326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274.123 €</w:t>
            </w:r>
          </w:p>
        </w:tc>
        <w:tc>
          <w:tcPr>
            <w:tcW w:w="1699" w:type="dxa"/>
            <w:shd w:val="clear" w:color="auto" w:fill="auto"/>
            <w:vAlign w:val="center"/>
            <w:hideMark/>
          </w:tcPr>
          <w:p w14:paraId="5E29BEA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1.290.002 €</w:t>
            </w:r>
          </w:p>
        </w:tc>
      </w:tr>
      <w:tr w:rsidR="00E72A48" w:rsidRPr="00EF606E" w14:paraId="2045E273" w14:textId="77777777" w:rsidTr="0007734A">
        <w:trPr>
          <w:cantSplit/>
          <w:trHeight w:val="420"/>
          <w:jc w:val="center"/>
        </w:trPr>
        <w:tc>
          <w:tcPr>
            <w:tcW w:w="1051" w:type="dxa"/>
            <w:shd w:val="clear" w:color="auto" w:fill="auto"/>
            <w:vAlign w:val="center"/>
            <w:hideMark/>
          </w:tcPr>
          <w:p w14:paraId="419DE93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05.1031.003</w:t>
            </w:r>
          </w:p>
        </w:tc>
        <w:tc>
          <w:tcPr>
            <w:tcW w:w="2112" w:type="dxa"/>
            <w:shd w:val="clear" w:color="auto" w:fill="auto"/>
            <w:vAlign w:val="center"/>
            <w:hideMark/>
          </w:tcPr>
          <w:p w14:paraId="6208033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ΧΩΡΟΤΑΞΙΚΟΣ ΣΧΕΔΙΑΣΜΟΣ ΚΑΙ ΑΣΤΙΚΟ ΠΕΡΙΒΑΛΛΟΝ</w:t>
            </w:r>
          </w:p>
        </w:tc>
        <w:tc>
          <w:tcPr>
            <w:tcW w:w="1752" w:type="dxa"/>
            <w:shd w:val="clear" w:color="auto" w:fill="auto"/>
            <w:vAlign w:val="center"/>
            <w:hideMark/>
          </w:tcPr>
          <w:p w14:paraId="68708D4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ΠΕΡΙΒΑΛΛΟΝΤΟΣ ΚΑΙ ΕΝΕΡΓΕΙΑΣ</w:t>
            </w:r>
          </w:p>
        </w:tc>
        <w:tc>
          <w:tcPr>
            <w:tcW w:w="1152" w:type="dxa"/>
            <w:shd w:val="clear" w:color="auto" w:fill="auto"/>
            <w:vAlign w:val="center"/>
            <w:hideMark/>
          </w:tcPr>
          <w:p w14:paraId="40E9BCE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892.202 €</w:t>
            </w:r>
          </w:p>
        </w:tc>
        <w:tc>
          <w:tcPr>
            <w:tcW w:w="1306" w:type="dxa"/>
            <w:shd w:val="clear" w:color="auto" w:fill="auto"/>
            <w:vAlign w:val="center"/>
            <w:hideMark/>
          </w:tcPr>
          <w:p w14:paraId="61FFF1E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55.150 €</w:t>
            </w:r>
          </w:p>
        </w:tc>
        <w:tc>
          <w:tcPr>
            <w:tcW w:w="1699" w:type="dxa"/>
            <w:shd w:val="clear" w:color="auto" w:fill="auto"/>
            <w:vAlign w:val="center"/>
            <w:hideMark/>
          </w:tcPr>
          <w:p w14:paraId="32EF456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947.352 €</w:t>
            </w:r>
          </w:p>
        </w:tc>
      </w:tr>
      <w:tr w:rsidR="00E72A48" w:rsidRPr="00EF606E" w14:paraId="14F32AFC" w14:textId="77777777" w:rsidTr="0007734A">
        <w:trPr>
          <w:cantSplit/>
          <w:trHeight w:val="210"/>
          <w:jc w:val="center"/>
        </w:trPr>
        <w:tc>
          <w:tcPr>
            <w:tcW w:w="1051" w:type="dxa"/>
            <w:shd w:val="clear" w:color="auto" w:fill="auto"/>
            <w:vAlign w:val="center"/>
            <w:hideMark/>
          </w:tcPr>
          <w:p w14:paraId="340D167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05.1031.004</w:t>
            </w:r>
          </w:p>
        </w:tc>
        <w:tc>
          <w:tcPr>
            <w:tcW w:w="2112" w:type="dxa"/>
            <w:shd w:val="clear" w:color="auto" w:fill="auto"/>
            <w:vAlign w:val="center"/>
            <w:hideMark/>
          </w:tcPr>
          <w:p w14:paraId="7522BD8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ΕΝΕΡΓΕΙΑΣ ΚΑΙ ΟΡΥΚΤΩΝ ΠΡΩΤΩΝ ΥΛΩΝ</w:t>
            </w:r>
          </w:p>
        </w:tc>
        <w:tc>
          <w:tcPr>
            <w:tcW w:w="1752" w:type="dxa"/>
            <w:shd w:val="clear" w:color="auto" w:fill="auto"/>
            <w:vAlign w:val="center"/>
            <w:hideMark/>
          </w:tcPr>
          <w:p w14:paraId="50CD9AA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ΠΕΡΙΒΑΛΛΟΝΤΟΣ ΚΑΙ ΕΝΕΡΓΕΙΑΣ</w:t>
            </w:r>
          </w:p>
        </w:tc>
        <w:tc>
          <w:tcPr>
            <w:tcW w:w="1152" w:type="dxa"/>
            <w:shd w:val="clear" w:color="auto" w:fill="auto"/>
            <w:vAlign w:val="center"/>
            <w:hideMark/>
          </w:tcPr>
          <w:p w14:paraId="7AB355A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1.443.206 €</w:t>
            </w:r>
          </w:p>
        </w:tc>
        <w:tc>
          <w:tcPr>
            <w:tcW w:w="1306" w:type="dxa"/>
            <w:shd w:val="clear" w:color="auto" w:fill="auto"/>
            <w:vAlign w:val="center"/>
            <w:hideMark/>
          </w:tcPr>
          <w:p w14:paraId="4CE8F49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2.633.513 €</w:t>
            </w:r>
          </w:p>
        </w:tc>
        <w:tc>
          <w:tcPr>
            <w:tcW w:w="1699" w:type="dxa"/>
            <w:shd w:val="clear" w:color="auto" w:fill="auto"/>
            <w:vAlign w:val="center"/>
            <w:hideMark/>
          </w:tcPr>
          <w:p w14:paraId="1FFBAB9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4.076.719 €</w:t>
            </w:r>
          </w:p>
        </w:tc>
      </w:tr>
      <w:tr w:rsidR="00E72A48" w:rsidRPr="00EF606E" w14:paraId="51FF78E7" w14:textId="77777777" w:rsidTr="0007734A">
        <w:trPr>
          <w:cantSplit/>
          <w:trHeight w:val="210"/>
          <w:jc w:val="center"/>
        </w:trPr>
        <w:tc>
          <w:tcPr>
            <w:tcW w:w="1051" w:type="dxa"/>
            <w:shd w:val="clear" w:color="auto" w:fill="auto"/>
            <w:vAlign w:val="center"/>
            <w:hideMark/>
          </w:tcPr>
          <w:p w14:paraId="4FC4B89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05.1901.001</w:t>
            </w:r>
          </w:p>
        </w:tc>
        <w:tc>
          <w:tcPr>
            <w:tcW w:w="2112" w:type="dxa"/>
            <w:shd w:val="clear" w:color="auto" w:fill="auto"/>
            <w:vAlign w:val="center"/>
            <w:hideMark/>
          </w:tcPr>
          <w:p w14:paraId="48E9ADA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ΦΥΣΙΚΟ ΚΑΙ ΑΣΤΙΚΟ ΠΕΡΙΒΑΛΛΟΝ Α.Δ.Α.</w:t>
            </w:r>
          </w:p>
        </w:tc>
        <w:tc>
          <w:tcPr>
            <w:tcW w:w="1752" w:type="dxa"/>
            <w:shd w:val="clear" w:color="auto" w:fill="auto"/>
            <w:vAlign w:val="center"/>
            <w:hideMark/>
          </w:tcPr>
          <w:p w14:paraId="47B6C53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ΑΤΤΙΚΗΣ</w:t>
            </w:r>
          </w:p>
        </w:tc>
        <w:tc>
          <w:tcPr>
            <w:tcW w:w="1152" w:type="dxa"/>
            <w:shd w:val="clear" w:color="auto" w:fill="auto"/>
            <w:vAlign w:val="center"/>
            <w:hideMark/>
          </w:tcPr>
          <w:p w14:paraId="49B9A78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2.872 €</w:t>
            </w:r>
          </w:p>
        </w:tc>
        <w:tc>
          <w:tcPr>
            <w:tcW w:w="1306" w:type="dxa"/>
            <w:shd w:val="clear" w:color="auto" w:fill="auto"/>
            <w:vAlign w:val="center"/>
            <w:hideMark/>
          </w:tcPr>
          <w:p w14:paraId="725BBA6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440A161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2.872 €</w:t>
            </w:r>
          </w:p>
        </w:tc>
      </w:tr>
      <w:tr w:rsidR="00E72A48" w:rsidRPr="00EF606E" w14:paraId="3712A2D9" w14:textId="77777777" w:rsidTr="0007734A">
        <w:trPr>
          <w:cantSplit/>
          <w:trHeight w:val="420"/>
          <w:jc w:val="center"/>
        </w:trPr>
        <w:tc>
          <w:tcPr>
            <w:tcW w:w="1051" w:type="dxa"/>
            <w:shd w:val="clear" w:color="auto" w:fill="auto"/>
            <w:vAlign w:val="center"/>
            <w:hideMark/>
          </w:tcPr>
          <w:p w14:paraId="50CE275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05.1902.001</w:t>
            </w:r>
          </w:p>
        </w:tc>
        <w:tc>
          <w:tcPr>
            <w:tcW w:w="2112" w:type="dxa"/>
            <w:shd w:val="clear" w:color="auto" w:fill="auto"/>
            <w:vAlign w:val="center"/>
            <w:hideMark/>
          </w:tcPr>
          <w:p w14:paraId="0FC8CE6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ΦΥΣΙΚΟ ΚΑΙ ΑΣΤΙΚΟ ΠΕΡΙΒΑΛΛΟΝ Α.Δ.Θ.Σ.Ε.</w:t>
            </w:r>
          </w:p>
        </w:tc>
        <w:tc>
          <w:tcPr>
            <w:tcW w:w="1752" w:type="dxa"/>
            <w:shd w:val="clear" w:color="auto" w:fill="auto"/>
            <w:vAlign w:val="center"/>
            <w:hideMark/>
          </w:tcPr>
          <w:p w14:paraId="25A371C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ΘΕΣΣΑΛΙΑΣ - ΣΤΕΡΕΑΣ ΕΛΛΑΔΑΣ</w:t>
            </w:r>
          </w:p>
        </w:tc>
        <w:tc>
          <w:tcPr>
            <w:tcW w:w="1152" w:type="dxa"/>
            <w:shd w:val="clear" w:color="auto" w:fill="auto"/>
            <w:vAlign w:val="center"/>
            <w:hideMark/>
          </w:tcPr>
          <w:p w14:paraId="0A4FCA4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2.566 €</w:t>
            </w:r>
          </w:p>
        </w:tc>
        <w:tc>
          <w:tcPr>
            <w:tcW w:w="1306" w:type="dxa"/>
            <w:shd w:val="clear" w:color="auto" w:fill="auto"/>
            <w:vAlign w:val="center"/>
            <w:hideMark/>
          </w:tcPr>
          <w:p w14:paraId="320F3B5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0D63572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2.566 €</w:t>
            </w:r>
          </w:p>
        </w:tc>
      </w:tr>
      <w:tr w:rsidR="00E72A48" w:rsidRPr="00EF606E" w14:paraId="463A1834" w14:textId="77777777" w:rsidTr="0007734A">
        <w:trPr>
          <w:cantSplit/>
          <w:trHeight w:val="420"/>
          <w:jc w:val="center"/>
        </w:trPr>
        <w:tc>
          <w:tcPr>
            <w:tcW w:w="1051" w:type="dxa"/>
            <w:shd w:val="clear" w:color="auto" w:fill="auto"/>
            <w:vAlign w:val="center"/>
            <w:hideMark/>
          </w:tcPr>
          <w:p w14:paraId="60FE1D1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05.1903.001</w:t>
            </w:r>
          </w:p>
        </w:tc>
        <w:tc>
          <w:tcPr>
            <w:tcW w:w="2112" w:type="dxa"/>
            <w:shd w:val="clear" w:color="auto" w:fill="auto"/>
            <w:vAlign w:val="center"/>
            <w:hideMark/>
          </w:tcPr>
          <w:p w14:paraId="0FAF1FC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ΦΥΣΙΚΟ ΚΑΙ ΑΣΤΙΚΟ ΠΕΡΙΒΑΛΛΟΝ Α.Δ.Η.Δ.Μ.</w:t>
            </w:r>
          </w:p>
        </w:tc>
        <w:tc>
          <w:tcPr>
            <w:tcW w:w="1752" w:type="dxa"/>
            <w:shd w:val="clear" w:color="auto" w:fill="auto"/>
            <w:vAlign w:val="center"/>
            <w:hideMark/>
          </w:tcPr>
          <w:p w14:paraId="4C61D02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ΗΠΕΙΡΟΥ - ΔΥΤΙΚΗΣ ΜΑΚΕΔΟΝΙΑΣ</w:t>
            </w:r>
          </w:p>
        </w:tc>
        <w:tc>
          <w:tcPr>
            <w:tcW w:w="1152" w:type="dxa"/>
            <w:shd w:val="clear" w:color="auto" w:fill="auto"/>
            <w:vAlign w:val="center"/>
            <w:hideMark/>
          </w:tcPr>
          <w:p w14:paraId="5F7B6C5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3.900 €</w:t>
            </w:r>
          </w:p>
        </w:tc>
        <w:tc>
          <w:tcPr>
            <w:tcW w:w="1306" w:type="dxa"/>
            <w:shd w:val="clear" w:color="auto" w:fill="auto"/>
            <w:vAlign w:val="center"/>
            <w:hideMark/>
          </w:tcPr>
          <w:p w14:paraId="1CF82F5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783C8EA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3.900 €</w:t>
            </w:r>
          </w:p>
        </w:tc>
      </w:tr>
      <w:tr w:rsidR="00E72A48" w:rsidRPr="00EF606E" w14:paraId="27BDC490" w14:textId="77777777" w:rsidTr="0007734A">
        <w:trPr>
          <w:cantSplit/>
          <w:trHeight w:val="420"/>
          <w:jc w:val="center"/>
        </w:trPr>
        <w:tc>
          <w:tcPr>
            <w:tcW w:w="1051" w:type="dxa"/>
            <w:shd w:val="clear" w:color="auto" w:fill="auto"/>
            <w:vAlign w:val="center"/>
            <w:hideMark/>
          </w:tcPr>
          <w:p w14:paraId="3DBF53E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05.1904.001</w:t>
            </w:r>
          </w:p>
        </w:tc>
        <w:tc>
          <w:tcPr>
            <w:tcW w:w="2112" w:type="dxa"/>
            <w:shd w:val="clear" w:color="auto" w:fill="auto"/>
            <w:vAlign w:val="center"/>
            <w:hideMark/>
          </w:tcPr>
          <w:p w14:paraId="700212D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ΦΥΣΙΚΟ ΚΑΙ ΑΣΤΙΚΟ ΠΕΡΙΒΑΛΛΟΝ Α.Δ.Π.Δ.Ε. &amp; Ι.</w:t>
            </w:r>
          </w:p>
        </w:tc>
        <w:tc>
          <w:tcPr>
            <w:tcW w:w="1752" w:type="dxa"/>
            <w:shd w:val="clear" w:color="auto" w:fill="auto"/>
            <w:vAlign w:val="center"/>
            <w:hideMark/>
          </w:tcPr>
          <w:p w14:paraId="1A9A9B9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ΠΕΛΟΠΟΝΝΗΣΟΥ - ΔΥΤΙΚΗΣ ΕΛΛΑΔΑΣ ΚΑΙ ΙΟΝΙΟΥ</w:t>
            </w:r>
          </w:p>
        </w:tc>
        <w:tc>
          <w:tcPr>
            <w:tcW w:w="1152" w:type="dxa"/>
            <w:shd w:val="clear" w:color="auto" w:fill="auto"/>
            <w:vAlign w:val="center"/>
            <w:hideMark/>
          </w:tcPr>
          <w:p w14:paraId="38502B6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4.845 €</w:t>
            </w:r>
          </w:p>
        </w:tc>
        <w:tc>
          <w:tcPr>
            <w:tcW w:w="1306" w:type="dxa"/>
            <w:shd w:val="clear" w:color="auto" w:fill="auto"/>
            <w:vAlign w:val="center"/>
            <w:hideMark/>
          </w:tcPr>
          <w:p w14:paraId="769DDAB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20DBB50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4.845 €</w:t>
            </w:r>
          </w:p>
        </w:tc>
      </w:tr>
      <w:tr w:rsidR="00E72A48" w:rsidRPr="00EF606E" w14:paraId="2A1E07C7" w14:textId="77777777" w:rsidTr="0007734A">
        <w:trPr>
          <w:cantSplit/>
          <w:trHeight w:val="210"/>
          <w:jc w:val="center"/>
        </w:trPr>
        <w:tc>
          <w:tcPr>
            <w:tcW w:w="1051" w:type="dxa"/>
            <w:shd w:val="clear" w:color="auto" w:fill="auto"/>
            <w:vAlign w:val="center"/>
            <w:hideMark/>
          </w:tcPr>
          <w:p w14:paraId="362A800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05.1905.001</w:t>
            </w:r>
          </w:p>
        </w:tc>
        <w:tc>
          <w:tcPr>
            <w:tcW w:w="2112" w:type="dxa"/>
            <w:shd w:val="clear" w:color="auto" w:fill="auto"/>
            <w:vAlign w:val="center"/>
            <w:hideMark/>
          </w:tcPr>
          <w:p w14:paraId="177F9EB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ΦΥΣΙΚΟ ΚΑΙ ΑΣΤΙΚΟ ΠΕΡΙΒΑΛΛΟΝ Α.Δ.ΑΙΓ.</w:t>
            </w:r>
          </w:p>
        </w:tc>
        <w:tc>
          <w:tcPr>
            <w:tcW w:w="1752" w:type="dxa"/>
            <w:shd w:val="clear" w:color="auto" w:fill="auto"/>
            <w:vAlign w:val="center"/>
            <w:hideMark/>
          </w:tcPr>
          <w:p w14:paraId="15F7743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ΑΙΓΑΙΟΥ</w:t>
            </w:r>
          </w:p>
        </w:tc>
        <w:tc>
          <w:tcPr>
            <w:tcW w:w="1152" w:type="dxa"/>
            <w:shd w:val="clear" w:color="auto" w:fill="auto"/>
            <w:vAlign w:val="center"/>
            <w:hideMark/>
          </w:tcPr>
          <w:p w14:paraId="5133521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1.980 €</w:t>
            </w:r>
          </w:p>
        </w:tc>
        <w:tc>
          <w:tcPr>
            <w:tcW w:w="1306" w:type="dxa"/>
            <w:shd w:val="clear" w:color="auto" w:fill="auto"/>
            <w:vAlign w:val="center"/>
            <w:hideMark/>
          </w:tcPr>
          <w:p w14:paraId="38E198A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41A9CCA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1.980 €</w:t>
            </w:r>
          </w:p>
        </w:tc>
      </w:tr>
      <w:tr w:rsidR="00E72A48" w:rsidRPr="00EF606E" w14:paraId="0F344690" w14:textId="77777777" w:rsidTr="0007734A">
        <w:trPr>
          <w:cantSplit/>
          <w:trHeight w:val="210"/>
          <w:jc w:val="center"/>
        </w:trPr>
        <w:tc>
          <w:tcPr>
            <w:tcW w:w="1051" w:type="dxa"/>
            <w:shd w:val="clear" w:color="auto" w:fill="auto"/>
            <w:vAlign w:val="center"/>
            <w:hideMark/>
          </w:tcPr>
          <w:p w14:paraId="5D1D2B9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lastRenderedPageBreak/>
              <w:t>05.1906.001</w:t>
            </w:r>
          </w:p>
        </w:tc>
        <w:tc>
          <w:tcPr>
            <w:tcW w:w="2112" w:type="dxa"/>
            <w:shd w:val="clear" w:color="auto" w:fill="auto"/>
            <w:vAlign w:val="center"/>
            <w:hideMark/>
          </w:tcPr>
          <w:p w14:paraId="431E38F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ΦΥΣΙΚΟ ΚΑΙ ΑΣΤΙΚΟ ΠΕΡΙΒΑΛΛΟΝ Α.Δ.Κ.</w:t>
            </w:r>
          </w:p>
        </w:tc>
        <w:tc>
          <w:tcPr>
            <w:tcW w:w="1752" w:type="dxa"/>
            <w:shd w:val="clear" w:color="auto" w:fill="auto"/>
            <w:vAlign w:val="center"/>
            <w:hideMark/>
          </w:tcPr>
          <w:p w14:paraId="797B3D6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ΚΡΗΤΗΣ</w:t>
            </w:r>
          </w:p>
        </w:tc>
        <w:tc>
          <w:tcPr>
            <w:tcW w:w="1152" w:type="dxa"/>
            <w:shd w:val="clear" w:color="auto" w:fill="auto"/>
            <w:vAlign w:val="center"/>
            <w:hideMark/>
          </w:tcPr>
          <w:p w14:paraId="07EFA00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1.945 €</w:t>
            </w:r>
          </w:p>
        </w:tc>
        <w:tc>
          <w:tcPr>
            <w:tcW w:w="1306" w:type="dxa"/>
            <w:shd w:val="clear" w:color="auto" w:fill="auto"/>
            <w:vAlign w:val="center"/>
            <w:hideMark/>
          </w:tcPr>
          <w:p w14:paraId="0EDB70C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138277A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1.945 €</w:t>
            </w:r>
          </w:p>
        </w:tc>
      </w:tr>
      <w:tr w:rsidR="00E72A48" w:rsidRPr="00EF606E" w14:paraId="43C2D59C" w14:textId="77777777" w:rsidTr="0007734A">
        <w:trPr>
          <w:cantSplit/>
          <w:trHeight w:val="420"/>
          <w:jc w:val="center"/>
        </w:trPr>
        <w:tc>
          <w:tcPr>
            <w:tcW w:w="1051" w:type="dxa"/>
            <w:shd w:val="clear" w:color="auto" w:fill="auto"/>
            <w:vAlign w:val="center"/>
            <w:hideMark/>
          </w:tcPr>
          <w:p w14:paraId="6383CB7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05.1907.001</w:t>
            </w:r>
          </w:p>
        </w:tc>
        <w:tc>
          <w:tcPr>
            <w:tcW w:w="2112" w:type="dxa"/>
            <w:shd w:val="clear" w:color="auto" w:fill="auto"/>
            <w:vAlign w:val="center"/>
            <w:hideMark/>
          </w:tcPr>
          <w:p w14:paraId="522092A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ΦΥΣΙΚΟ ΚΑΙ ΑΣΤΙΚΟ ΠΕΡΙΒΑΛΛΟΝ Α.Δ.Μ.Θ.</w:t>
            </w:r>
          </w:p>
        </w:tc>
        <w:tc>
          <w:tcPr>
            <w:tcW w:w="1752" w:type="dxa"/>
            <w:shd w:val="clear" w:color="auto" w:fill="auto"/>
            <w:vAlign w:val="center"/>
            <w:hideMark/>
          </w:tcPr>
          <w:p w14:paraId="46A7F4E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ΑΠΟΚΕΝΤΡΩΜΕΝΗ ΔΙΟΙΚΗΣΗ ΜΑΚΕΔΟΝΙΑΣ - ΘΡΑΚΗΣ</w:t>
            </w:r>
          </w:p>
        </w:tc>
        <w:tc>
          <w:tcPr>
            <w:tcW w:w="1152" w:type="dxa"/>
            <w:shd w:val="clear" w:color="auto" w:fill="auto"/>
            <w:vAlign w:val="center"/>
            <w:hideMark/>
          </w:tcPr>
          <w:p w14:paraId="346A232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6.000 €</w:t>
            </w:r>
          </w:p>
        </w:tc>
        <w:tc>
          <w:tcPr>
            <w:tcW w:w="1306" w:type="dxa"/>
            <w:shd w:val="clear" w:color="auto" w:fill="auto"/>
            <w:vAlign w:val="center"/>
            <w:hideMark/>
          </w:tcPr>
          <w:p w14:paraId="66D3204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4C8920F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6.000 €</w:t>
            </w:r>
          </w:p>
        </w:tc>
      </w:tr>
      <w:tr w:rsidR="00E72A48" w:rsidRPr="00EF606E" w14:paraId="1D973908" w14:textId="77777777" w:rsidTr="0007734A">
        <w:trPr>
          <w:cantSplit/>
          <w:trHeight w:val="195"/>
          <w:jc w:val="center"/>
        </w:trPr>
        <w:tc>
          <w:tcPr>
            <w:tcW w:w="1051" w:type="dxa"/>
            <w:shd w:val="clear" w:color="000000" w:fill="D9D9D9"/>
            <w:vAlign w:val="center"/>
            <w:hideMark/>
          </w:tcPr>
          <w:p w14:paraId="2489A3C1"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06</w:t>
            </w:r>
          </w:p>
        </w:tc>
        <w:tc>
          <w:tcPr>
            <w:tcW w:w="2112" w:type="dxa"/>
            <w:shd w:val="clear" w:color="000000" w:fill="D9D9D9"/>
            <w:vAlign w:val="center"/>
            <w:hideMark/>
          </w:tcPr>
          <w:p w14:paraId="4F5BF409"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ΥΠΟΔΟΜΕΣ - ΜΕΤΑΦΟΡΕΣ</w:t>
            </w:r>
          </w:p>
        </w:tc>
        <w:tc>
          <w:tcPr>
            <w:tcW w:w="1752" w:type="dxa"/>
            <w:shd w:val="clear" w:color="000000" w:fill="D9D9D9"/>
            <w:vAlign w:val="center"/>
            <w:hideMark/>
          </w:tcPr>
          <w:p w14:paraId="15ADDDB5"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4A1F1376"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1.134.286 €</w:t>
            </w:r>
          </w:p>
        </w:tc>
        <w:tc>
          <w:tcPr>
            <w:tcW w:w="1306" w:type="dxa"/>
            <w:shd w:val="clear" w:color="000000" w:fill="D9D9D9"/>
            <w:vAlign w:val="center"/>
            <w:hideMark/>
          </w:tcPr>
          <w:p w14:paraId="253A843D"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2.453.562 €</w:t>
            </w:r>
          </w:p>
        </w:tc>
        <w:tc>
          <w:tcPr>
            <w:tcW w:w="1699" w:type="dxa"/>
            <w:shd w:val="clear" w:color="000000" w:fill="D9D9D9"/>
            <w:vAlign w:val="center"/>
            <w:hideMark/>
          </w:tcPr>
          <w:p w14:paraId="50EFE0FD"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3.587.848 €</w:t>
            </w:r>
          </w:p>
        </w:tc>
      </w:tr>
      <w:tr w:rsidR="00E72A48" w:rsidRPr="00EF606E" w14:paraId="50C23251" w14:textId="77777777" w:rsidTr="0007734A">
        <w:trPr>
          <w:cantSplit/>
          <w:trHeight w:val="210"/>
          <w:jc w:val="center"/>
        </w:trPr>
        <w:tc>
          <w:tcPr>
            <w:tcW w:w="1051" w:type="dxa"/>
            <w:shd w:val="clear" w:color="auto" w:fill="auto"/>
            <w:vAlign w:val="center"/>
            <w:hideMark/>
          </w:tcPr>
          <w:p w14:paraId="4D73A9B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06.1039.001</w:t>
            </w:r>
          </w:p>
        </w:tc>
        <w:tc>
          <w:tcPr>
            <w:tcW w:w="2112" w:type="dxa"/>
            <w:shd w:val="clear" w:color="auto" w:fill="auto"/>
            <w:vAlign w:val="center"/>
            <w:hideMark/>
          </w:tcPr>
          <w:p w14:paraId="6941D79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ΑΠΟΔΟΤΙΚΗ ΚΑΙ ΒΙΩΣΙΜΗ ΔΙΑΧΕΙΡΙΣΗ ΠΟΡΩΝ</w:t>
            </w:r>
          </w:p>
        </w:tc>
        <w:tc>
          <w:tcPr>
            <w:tcW w:w="1752" w:type="dxa"/>
            <w:shd w:val="clear" w:color="auto" w:fill="auto"/>
            <w:vAlign w:val="center"/>
            <w:hideMark/>
          </w:tcPr>
          <w:p w14:paraId="1DF7E7F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shd w:val="clear" w:color="auto" w:fill="auto"/>
            <w:vAlign w:val="center"/>
            <w:hideMark/>
          </w:tcPr>
          <w:p w14:paraId="4A89AB3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90.732 €</w:t>
            </w:r>
          </w:p>
        </w:tc>
        <w:tc>
          <w:tcPr>
            <w:tcW w:w="1306" w:type="dxa"/>
            <w:shd w:val="clear" w:color="auto" w:fill="auto"/>
            <w:vAlign w:val="center"/>
            <w:hideMark/>
          </w:tcPr>
          <w:p w14:paraId="1E7B473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27.913 €</w:t>
            </w:r>
          </w:p>
        </w:tc>
        <w:tc>
          <w:tcPr>
            <w:tcW w:w="1699" w:type="dxa"/>
            <w:shd w:val="clear" w:color="auto" w:fill="auto"/>
            <w:vAlign w:val="center"/>
            <w:hideMark/>
          </w:tcPr>
          <w:p w14:paraId="7A66B1D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118.645 €</w:t>
            </w:r>
          </w:p>
        </w:tc>
      </w:tr>
      <w:tr w:rsidR="00E72A48" w:rsidRPr="00EF606E" w14:paraId="04D90D48" w14:textId="77777777" w:rsidTr="0007734A">
        <w:trPr>
          <w:cantSplit/>
          <w:trHeight w:val="210"/>
          <w:jc w:val="center"/>
        </w:trPr>
        <w:tc>
          <w:tcPr>
            <w:tcW w:w="1051" w:type="dxa"/>
            <w:shd w:val="clear" w:color="auto" w:fill="auto"/>
            <w:vAlign w:val="center"/>
            <w:hideMark/>
          </w:tcPr>
          <w:p w14:paraId="45112EC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06.1039.002</w:t>
            </w:r>
          </w:p>
        </w:tc>
        <w:tc>
          <w:tcPr>
            <w:tcW w:w="2112" w:type="dxa"/>
            <w:shd w:val="clear" w:color="auto" w:fill="auto"/>
            <w:vAlign w:val="center"/>
            <w:hideMark/>
          </w:tcPr>
          <w:p w14:paraId="3F3BA07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ΑΣΦΑΛΕΙΣ ΚΑΙ ΠΟΙΟΤΙΚΕΣ ΥΠΟΔΟΜΕΣ ΜΕΤΑΦΟΡΩΝ</w:t>
            </w:r>
          </w:p>
        </w:tc>
        <w:tc>
          <w:tcPr>
            <w:tcW w:w="1752" w:type="dxa"/>
            <w:shd w:val="clear" w:color="auto" w:fill="auto"/>
            <w:vAlign w:val="center"/>
            <w:hideMark/>
          </w:tcPr>
          <w:p w14:paraId="6D86F25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shd w:val="clear" w:color="auto" w:fill="auto"/>
            <w:vAlign w:val="center"/>
            <w:hideMark/>
          </w:tcPr>
          <w:p w14:paraId="6D0B743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603.154 €</w:t>
            </w:r>
          </w:p>
        </w:tc>
        <w:tc>
          <w:tcPr>
            <w:tcW w:w="1306" w:type="dxa"/>
            <w:shd w:val="clear" w:color="auto" w:fill="auto"/>
            <w:vAlign w:val="center"/>
            <w:hideMark/>
          </w:tcPr>
          <w:p w14:paraId="6B75DA1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980.090 €</w:t>
            </w:r>
          </w:p>
        </w:tc>
        <w:tc>
          <w:tcPr>
            <w:tcW w:w="1699" w:type="dxa"/>
            <w:shd w:val="clear" w:color="auto" w:fill="auto"/>
            <w:vAlign w:val="center"/>
            <w:hideMark/>
          </w:tcPr>
          <w:p w14:paraId="233D61A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1.583.244 €</w:t>
            </w:r>
          </w:p>
        </w:tc>
      </w:tr>
      <w:tr w:rsidR="00E72A48" w:rsidRPr="00EF606E" w14:paraId="47B74100" w14:textId="77777777" w:rsidTr="0007734A">
        <w:trPr>
          <w:cantSplit/>
          <w:trHeight w:val="420"/>
          <w:jc w:val="center"/>
        </w:trPr>
        <w:tc>
          <w:tcPr>
            <w:tcW w:w="1051" w:type="dxa"/>
            <w:shd w:val="clear" w:color="auto" w:fill="auto"/>
            <w:vAlign w:val="center"/>
            <w:hideMark/>
          </w:tcPr>
          <w:p w14:paraId="15DF380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06.1039.003</w:t>
            </w:r>
          </w:p>
        </w:tc>
        <w:tc>
          <w:tcPr>
            <w:tcW w:w="2112" w:type="dxa"/>
            <w:shd w:val="clear" w:color="auto" w:fill="auto"/>
            <w:vAlign w:val="center"/>
            <w:hideMark/>
          </w:tcPr>
          <w:p w14:paraId="2F76541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ΑΣΦΑΛΕΙΣ, ΒΙΩΣΙΜΕΣ ΚΑΙ ΕΝΕΡΓΕΙΑΚΑ ΑΠΟΔΟΤΙΚΕΣ ΚΤΙΡΙΑΚΕΣ ΥΠΟΔΟΜΕΣ</w:t>
            </w:r>
          </w:p>
        </w:tc>
        <w:tc>
          <w:tcPr>
            <w:tcW w:w="1752" w:type="dxa"/>
            <w:shd w:val="clear" w:color="auto" w:fill="auto"/>
            <w:vAlign w:val="center"/>
            <w:hideMark/>
          </w:tcPr>
          <w:p w14:paraId="6983E7F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shd w:val="clear" w:color="auto" w:fill="auto"/>
            <w:vAlign w:val="center"/>
            <w:hideMark/>
          </w:tcPr>
          <w:p w14:paraId="0467D09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1.579 €</w:t>
            </w:r>
          </w:p>
        </w:tc>
        <w:tc>
          <w:tcPr>
            <w:tcW w:w="1306" w:type="dxa"/>
            <w:shd w:val="clear" w:color="auto" w:fill="auto"/>
            <w:vAlign w:val="center"/>
            <w:hideMark/>
          </w:tcPr>
          <w:p w14:paraId="1DBB12F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147.718 €</w:t>
            </w:r>
          </w:p>
        </w:tc>
        <w:tc>
          <w:tcPr>
            <w:tcW w:w="1699" w:type="dxa"/>
            <w:shd w:val="clear" w:color="auto" w:fill="auto"/>
            <w:vAlign w:val="center"/>
            <w:hideMark/>
          </w:tcPr>
          <w:p w14:paraId="2CD3783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149.298 €</w:t>
            </w:r>
          </w:p>
        </w:tc>
      </w:tr>
      <w:tr w:rsidR="00E72A48" w:rsidRPr="00EF606E" w14:paraId="40461875" w14:textId="77777777" w:rsidTr="0007734A">
        <w:trPr>
          <w:cantSplit/>
          <w:trHeight w:val="210"/>
          <w:jc w:val="center"/>
        </w:trPr>
        <w:tc>
          <w:tcPr>
            <w:tcW w:w="1051" w:type="dxa"/>
            <w:shd w:val="clear" w:color="auto" w:fill="auto"/>
            <w:vAlign w:val="center"/>
            <w:hideMark/>
          </w:tcPr>
          <w:p w14:paraId="5C457C3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06.1039.004</w:t>
            </w:r>
          </w:p>
        </w:tc>
        <w:tc>
          <w:tcPr>
            <w:tcW w:w="2112" w:type="dxa"/>
            <w:shd w:val="clear" w:color="auto" w:fill="auto"/>
            <w:vAlign w:val="center"/>
            <w:hideMark/>
          </w:tcPr>
          <w:p w14:paraId="70BBDE7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ΒΙΩΣΙΜΗ ΑΣΤΙΚΗ ΚΙΝΗΤΙΚΟΤΗΤΑ</w:t>
            </w:r>
          </w:p>
        </w:tc>
        <w:tc>
          <w:tcPr>
            <w:tcW w:w="1752" w:type="dxa"/>
            <w:shd w:val="clear" w:color="auto" w:fill="auto"/>
            <w:vAlign w:val="center"/>
            <w:hideMark/>
          </w:tcPr>
          <w:p w14:paraId="72525EC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shd w:val="clear" w:color="auto" w:fill="auto"/>
            <w:vAlign w:val="center"/>
            <w:hideMark/>
          </w:tcPr>
          <w:p w14:paraId="5D0C147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5 €</w:t>
            </w:r>
          </w:p>
        </w:tc>
        <w:tc>
          <w:tcPr>
            <w:tcW w:w="1306" w:type="dxa"/>
            <w:shd w:val="clear" w:color="auto" w:fill="auto"/>
            <w:vAlign w:val="center"/>
            <w:hideMark/>
          </w:tcPr>
          <w:p w14:paraId="337A47B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378.780 €</w:t>
            </w:r>
          </w:p>
        </w:tc>
        <w:tc>
          <w:tcPr>
            <w:tcW w:w="1699" w:type="dxa"/>
            <w:shd w:val="clear" w:color="auto" w:fill="auto"/>
            <w:vAlign w:val="center"/>
            <w:hideMark/>
          </w:tcPr>
          <w:p w14:paraId="751EF91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378.785 €</w:t>
            </w:r>
          </w:p>
        </w:tc>
      </w:tr>
      <w:tr w:rsidR="00E72A48" w:rsidRPr="00EF606E" w14:paraId="3D8C05FC" w14:textId="77777777" w:rsidTr="0007734A">
        <w:trPr>
          <w:cantSplit/>
          <w:trHeight w:val="420"/>
          <w:jc w:val="center"/>
        </w:trPr>
        <w:tc>
          <w:tcPr>
            <w:tcW w:w="1051" w:type="dxa"/>
            <w:shd w:val="clear" w:color="auto" w:fill="auto"/>
            <w:vAlign w:val="center"/>
            <w:hideMark/>
          </w:tcPr>
          <w:p w14:paraId="5C25102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06.1039.005</w:t>
            </w:r>
          </w:p>
        </w:tc>
        <w:tc>
          <w:tcPr>
            <w:tcW w:w="2112" w:type="dxa"/>
            <w:shd w:val="clear" w:color="auto" w:fill="auto"/>
            <w:vAlign w:val="center"/>
            <w:hideMark/>
          </w:tcPr>
          <w:p w14:paraId="14E9853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ΥΠΟΔΟΜΩΝ ΚΑΙ ΜΕΤΑΦΟΡΩΝ</w:t>
            </w:r>
          </w:p>
        </w:tc>
        <w:tc>
          <w:tcPr>
            <w:tcW w:w="1752" w:type="dxa"/>
            <w:shd w:val="clear" w:color="auto" w:fill="auto"/>
            <w:vAlign w:val="center"/>
            <w:hideMark/>
          </w:tcPr>
          <w:p w14:paraId="5DA8F2D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shd w:val="clear" w:color="auto" w:fill="auto"/>
            <w:vAlign w:val="center"/>
            <w:hideMark/>
          </w:tcPr>
          <w:p w14:paraId="3578E3B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58.681 €</w:t>
            </w:r>
          </w:p>
        </w:tc>
        <w:tc>
          <w:tcPr>
            <w:tcW w:w="1306" w:type="dxa"/>
            <w:shd w:val="clear" w:color="auto" w:fill="auto"/>
            <w:vAlign w:val="center"/>
            <w:hideMark/>
          </w:tcPr>
          <w:p w14:paraId="79C5CE5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348A6D3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58.681 €</w:t>
            </w:r>
          </w:p>
        </w:tc>
      </w:tr>
      <w:tr w:rsidR="00E72A48" w:rsidRPr="00EF606E" w14:paraId="586F63F5" w14:textId="77777777" w:rsidTr="0007734A">
        <w:trPr>
          <w:cantSplit/>
          <w:trHeight w:val="420"/>
          <w:jc w:val="center"/>
        </w:trPr>
        <w:tc>
          <w:tcPr>
            <w:tcW w:w="1051" w:type="dxa"/>
            <w:shd w:val="clear" w:color="auto" w:fill="auto"/>
            <w:vAlign w:val="center"/>
            <w:hideMark/>
          </w:tcPr>
          <w:p w14:paraId="3FCE60D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06.1039.006</w:t>
            </w:r>
          </w:p>
        </w:tc>
        <w:tc>
          <w:tcPr>
            <w:tcW w:w="2112" w:type="dxa"/>
            <w:shd w:val="clear" w:color="auto" w:fill="auto"/>
            <w:vAlign w:val="center"/>
            <w:hideMark/>
          </w:tcPr>
          <w:p w14:paraId="6B65550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ΠΟΙΟΤΗΤΑ, ΑΣΦΑΛΕΙΑ ΚΑΙ ΟΙΚΟΝΟΜΙΚΗ ΠΡΟΣΙΤΟΤΗΤΑ ΜΕΤΑΦΟΡΩΝ</w:t>
            </w:r>
          </w:p>
        </w:tc>
        <w:tc>
          <w:tcPr>
            <w:tcW w:w="1752" w:type="dxa"/>
            <w:shd w:val="clear" w:color="auto" w:fill="auto"/>
            <w:vAlign w:val="center"/>
            <w:hideMark/>
          </w:tcPr>
          <w:p w14:paraId="297C716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shd w:val="clear" w:color="auto" w:fill="auto"/>
            <w:vAlign w:val="center"/>
            <w:hideMark/>
          </w:tcPr>
          <w:p w14:paraId="261706D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181.964 €</w:t>
            </w:r>
          </w:p>
        </w:tc>
        <w:tc>
          <w:tcPr>
            <w:tcW w:w="1306" w:type="dxa"/>
            <w:shd w:val="clear" w:color="auto" w:fill="auto"/>
            <w:vAlign w:val="center"/>
            <w:hideMark/>
          </w:tcPr>
          <w:p w14:paraId="5C6DFCB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880.272 €</w:t>
            </w:r>
          </w:p>
        </w:tc>
        <w:tc>
          <w:tcPr>
            <w:tcW w:w="1699" w:type="dxa"/>
            <w:shd w:val="clear" w:color="auto" w:fill="auto"/>
            <w:vAlign w:val="center"/>
            <w:hideMark/>
          </w:tcPr>
          <w:p w14:paraId="02858C9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1.062.236 €</w:t>
            </w:r>
          </w:p>
        </w:tc>
      </w:tr>
      <w:tr w:rsidR="00E72A48" w:rsidRPr="00EF606E" w14:paraId="0A4C03AD" w14:textId="77777777" w:rsidTr="0007734A">
        <w:trPr>
          <w:cantSplit/>
          <w:trHeight w:val="420"/>
          <w:jc w:val="center"/>
        </w:trPr>
        <w:tc>
          <w:tcPr>
            <w:tcW w:w="1051" w:type="dxa"/>
            <w:shd w:val="clear" w:color="auto" w:fill="auto"/>
            <w:vAlign w:val="center"/>
            <w:hideMark/>
          </w:tcPr>
          <w:p w14:paraId="445A857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06.1039.007</w:t>
            </w:r>
          </w:p>
        </w:tc>
        <w:tc>
          <w:tcPr>
            <w:tcW w:w="2112" w:type="dxa"/>
            <w:shd w:val="clear" w:color="auto" w:fill="auto"/>
            <w:vAlign w:val="center"/>
            <w:hideMark/>
          </w:tcPr>
          <w:p w14:paraId="5FBE564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ΚΑΙ ΛΕΙΤΟΥΡΓΙΑ ΥΠΗΡΕΣΙΑΣ ΠΟΛΙΤΙΚΗΣ ΑΕΡΟΠΟΡΙΑΣ</w:t>
            </w:r>
          </w:p>
        </w:tc>
        <w:tc>
          <w:tcPr>
            <w:tcW w:w="1752" w:type="dxa"/>
            <w:shd w:val="clear" w:color="auto" w:fill="auto"/>
            <w:vAlign w:val="center"/>
            <w:hideMark/>
          </w:tcPr>
          <w:p w14:paraId="2400E94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shd w:val="clear" w:color="auto" w:fill="auto"/>
            <w:vAlign w:val="center"/>
            <w:hideMark/>
          </w:tcPr>
          <w:p w14:paraId="520198C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194.724 €</w:t>
            </w:r>
          </w:p>
        </w:tc>
        <w:tc>
          <w:tcPr>
            <w:tcW w:w="1306" w:type="dxa"/>
            <w:shd w:val="clear" w:color="auto" w:fill="auto"/>
            <w:vAlign w:val="center"/>
            <w:hideMark/>
          </w:tcPr>
          <w:p w14:paraId="224E607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33D8414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194.724 €</w:t>
            </w:r>
          </w:p>
        </w:tc>
      </w:tr>
      <w:tr w:rsidR="00E72A48" w:rsidRPr="00EF606E" w14:paraId="238669DB" w14:textId="77777777" w:rsidTr="0007734A">
        <w:trPr>
          <w:cantSplit/>
          <w:trHeight w:val="210"/>
          <w:jc w:val="center"/>
        </w:trPr>
        <w:tc>
          <w:tcPr>
            <w:tcW w:w="1051" w:type="dxa"/>
            <w:shd w:val="clear" w:color="auto" w:fill="auto"/>
            <w:vAlign w:val="center"/>
            <w:hideMark/>
          </w:tcPr>
          <w:p w14:paraId="2135CC0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06.1039.008</w:t>
            </w:r>
          </w:p>
        </w:tc>
        <w:tc>
          <w:tcPr>
            <w:tcW w:w="2112" w:type="dxa"/>
            <w:shd w:val="clear" w:color="auto" w:fill="auto"/>
            <w:vAlign w:val="center"/>
            <w:hideMark/>
          </w:tcPr>
          <w:p w14:paraId="27E0192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ΡΥΘΜΙΣΤΙΚΗ ΑΡΧΗ ΣΙΔΗΡΟΔΡΟΜΩΝ</w:t>
            </w:r>
          </w:p>
        </w:tc>
        <w:tc>
          <w:tcPr>
            <w:tcW w:w="1752" w:type="dxa"/>
            <w:shd w:val="clear" w:color="auto" w:fill="auto"/>
            <w:vAlign w:val="center"/>
            <w:hideMark/>
          </w:tcPr>
          <w:p w14:paraId="5B30EDD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shd w:val="clear" w:color="auto" w:fill="auto"/>
            <w:vAlign w:val="center"/>
            <w:hideMark/>
          </w:tcPr>
          <w:p w14:paraId="7F22202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3.447 €</w:t>
            </w:r>
          </w:p>
        </w:tc>
        <w:tc>
          <w:tcPr>
            <w:tcW w:w="1306" w:type="dxa"/>
            <w:shd w:val="clear" w:color="auto" w:fill="auto"/>
            <w:vAlign w:val="center"/>
            <w:hideMark/>
          </w:tcPr>
          <w:p w14:paraId="5B39904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4A61C31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3.447 €</w:t>
            </w:r>
          </w:p>
        </w:tc>
      </w:tr>
      <w:tr w:rsidR="00E72A48" w:rsidRPr="00EF606E" w14:paraId="428B78FE" w14:textId="77777777" w:rsidTr="0007734A">
        <w:trPr>
          <w:cantSplit/>
          <w:trHeight w:val="420"/>
          <w:jc w:val="center"/>
        </w:trPr>
        <w:tc>
          <w:tcPr>
            <w:tcW w:w="1051" w:type="dxa"/>
            <w:shd w:val="clear" w:color="auto" w:fill="auto"/>
            <w:vAlign w:val="center"/>
            <w:hideMark/>
          </w:tcPr>
          <w:p w14:paraId="7697ACE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06.1039.009</w:t>
            </w:r>
          </w:p>
        </w:tc>
        <w:tc>
          <w:tcPr>
            <w:tcW w:w="2112" w:type="dxa"/>
            <w:shd w:val="clear" w:color="auto" w:fill="auto"/>
            <w:vAlign w:val="center"/>
            <w:hideMark/>
          </w:tcPr>
          <w:p w14:paraId="33D0280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ΔΙΑΧΕΙΡΙΣΗ ΚΑΙ ΛΕΙΤΟΥΡΓΙΑ ΤΗΣ ΑΡΧΗΣ ΠΟΛΙΤΙΚΗΣ ΑΕΡΟΠΟΡΙΑΣ</w:t>
            </w:r>
          </w:p>
        </w:tc>
        <w:tc>
          <w:tcPr>
            <w:tcW w:w="1752" w:type="dxa"/>
            <w:shd w:val="clear" w:color="auto" w:fill="auto"/>
            <w:vAlign w:val="center"/>
            <w:hideMark/>
          </w:tcPr>
          <w:p w14:paraId="539C6AC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shd w:val="clear" w:color="auto" w:fill="auto"/>
            <w:vAlign w:val="center"/>
            <w:hideMark/>
          </w:tcPr>
          <w:p w14:paraId="32B97D7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shd w:val="clear" w:color="auto" w:fill="auto"/>
            <w:vAlign w:val="center"/>
            <w:hideMark/>
          </w:tcPr>
          <w:p w14:paraId="110FB71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38.788 €</w:t>
            </w:r>
          </w:p>
        </w:tc>
        <w:tc>
          <w:tcPr>
            <w:tcW w:w="1699" w:type="dxa"/>
            <w:shd w:val="clear" w:color="auto" w:fill="auto"/>
            <w:vAlign w:val="center"/>
            <w:hideMark/>
          </w:tcPr>
          <w:p w14:paraId="22EEE9C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38.788 €</w:t>
            </w:r>
          </w:p>
        </w:tc>
      </w:tr>
      <w:tr w:rsidR="00E72A48" w:rsidRPr="00EF606E" w14:paraId="539B85CE" w14:textId="77777777" w:rsidTr="0007734A">
        <w:trPr>
          <w:cantSplit/>
          <w:trHeight w:val="195"/>
          <w:jc w:val="center"/>
        </w:trPr>
        <w:tc>
          <w:tcPr>
            <w:tcW w:w="1051" w:type="dxa"/>
            <w:shd w:val="clear" w:color="000000" w:fill="D9D9D9"/>
            <w:vAlign w:val="center"/>
            <w:hideMark/>
          </w:tcPr>
          <w:p w14:paraId="7BAD9238"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07</w:t>
            </w:r>
          </w:p>
        </w:tc>
        <w:tc>
          <w:tcPr>
            <w:tcW w:w="2112" w:type="dxa"/>
            <w:shd w:val="clear" w:color="000000" w:fill="D9D9D9"/>
            <w:vAlign w:val="center"/>
            <w:hideMark/>
          </w:tcPr>
          <w:p w14:paraId="4CCF6867"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ΥΓΕΙΑ</w:t>
            </w:r>
          </w:p>
        </w:tc>
        <w:tc>
          <w:tcPr>
            <w:tcW w:w="1752" w:type="dxa"/>
            <w:shd w:val="clear" w:color="000000" w:fill="D9D9D9"/>
            <w:vAlign w:val="center"/>
            <w:hideMark/>
          </w:tcPr>
          <w:p w14:paraId="4BE50D36"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2D38A9A2"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2.790.246 €</w:t>
            </w:r>
          </w:p>
        </w:tc>
        <w:tc>
          <w:tcPr>
            <w:tcW w:w="1306" w:type="dxa"/>
            <w:shd w:val="clear" w:color="000000" w:fill="D9D9D9"/>
            <w:vAlign w:val="center"/>
            <w:hideMark/>
          </w:tcPr>
          <w:p w14:paraId="71D07D98"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11.571.696 €</w:t>
            </w:r>
          </w:p>
        </w:tc>
        <w:tc>
          <w:tcPr>
            <w:tcW w:w="1699" w:type="dxa"/>
            <w:shd w:val="clear" w:color="000000" w:fill="D9D9D9"/>
            <w:vAlign w:val="center"/>
            <w:hideMark/>
          </w:tcPr>
          <w:p w14:paraId="666F36F0"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14.361.943 €</w:t>
            </w:r>
          </w:p>
        </w:tc>
      </w:tr>
      <w:tr w:rsidR="00E72A48" w:rsidRPr="00EF606E" w14:paraId="7210CA9A" w14:textId="77777777" w:rsidTr="0007734A">
        <w:trPr>
          <w:cantSplit/>
          <w:trHeight w:val="420"/>
          <w:jc w:val="center"/>
        </w:trPr>
        <w:tc>
          <w:tcPr>
            <w:tcW w:w="1051" w:type="dxa"/>
            <w:shd w:val="clear" w:color="auto" w:fill="auto"/>
            <w:vAlign w:val="center"/>
            <w:hideMark/>
          </w:tcPr>
          <w:p w14:paraId="106909E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07.1011.001</w:t>
            </w:r>
          </w:p>
        </w:tc>
        <w:tc>
          <w:tcPr>
            <w:tcW w:w="2112" w:type="dxa"/>
            <w:shd w:val="clear" w:color="auto" w:fill="auto"/>
            <w:vAlign w:val="center"/>
            <w:hideMark/>
          </w:tcPr>
          <w:p w14:paraId="28ADA32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ΠΑΡΟΧΗ ΥΓΕΙΟΝΟΜΙΚΗΣ ΠΕΡΙΘΑΛΨΗΣ ΕΝΟΠΛΩΝ ΔΥΝΑΜΕΩΝ</w:t>
            </w:r>
          </w:p>
        </w:tc>
        <w:tc>
          <w:tcPr>
            <w:tcW w:w="1752" w:type="dxa"/>
            <w:shd w:val="clear" w:color="auto" w:fill="auto"/>
            <w:vAlign w:val="center"/>
            <w:hideMark/>
          </w:tcPr>
          <w:p w14:paraId="28581C6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shd w:val="clear" w:color="auto" w:fill="auto"/>
            <w:vAlign w:val="center"/>
            <w:hideMark/>
          </w:tcPr>
          <w:p w14:paraId="5745849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326.994 €</w:t>
            </w:r>
          </w:p>
        </w:tc>
        <w:tc>
          <w:tcPr>
            <w:tcW w:w="1306" w:type="dxa"/>
            <w:shd w:val="clear" w:color="auto" w:fill="auto"/>
            <w:vAlign w:val="center"/>
            <w:hideMark/>
          </w:tcPr>
          <w:p w14:paraId="20FC560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50.880 €</w:t>
            </w:r>
          </w:p>
        </w:tc>
        <w:tc>
          <w:tcPr>
            <w:tcW w:w="1699" w:type="dxa"/>
            <w:shd w:val="clear" w:color="auto" w:fill="auto"/>
            <w:vAlign w:val="center"/>
            <w:hideMark/>
          </w:tcPr>
          <w:p w14:paraId="0B7DBEE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377.874 €</w:t>
            </w:r>
          </w:p>
        </w:tc>
      </w:tr>
      <w:tr w:rsidR="00E72A48" w:rsidRPr="00EF606E" w14:paraId="4DC52C7E" w14:textId="77777777" w:rsidTr="0007734A">
        <w:trPr>
          <w:cantSplit/>
          <w:trHeight w:val="420"/>
          <w:jc w:val="center"/>
        </w:trPr>
        <w:tc>
          <w:tcPr>
            <w:tcW w:w="1051" w:type="dxa"/>
            <w:shd w:val="clear" w:color="auto" w:fill="auto"/>
            <w:vAlign w:val="center"/>
            <w:hideMark/>
          </w:tcPr>
          <w:p w14:paraId="0939625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07.1015.001</w:t>
            </w:r>
          </w:p>
        </w:tc>
        <w:tc>
          <w:tcPr>
            <w:tcW w:w="2112" w:type="dxa"/>
            <w:shd w:val="clear" w:color="auto" w:fill="auto"/>
            <w:vAlign w:val="center"/>
            <w:hideMark/>
          </w:tcPr>
          <w:p w14:paraId="797F83B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ΕΠΕΝΔΥΣΕΙΣ ΚΑΙ ΔΙΑΜΟΡΦΩΣΗ ΠΟΛΙΤΙΚΩΝ ΥΠΟΥΡΓΕΙΟΥ ΥΓΕΙΑΣ</w:t>
            </w:r>
          </w:p>
        </w:tc>
        <w:tc>
          <w:tcPr>
            <w:tcW w:w="1752" w:type="dxa"/>
            <w:shd w:val="clear" w:color="auto" w:fill="auto"/>
            <w:vAlign w:val="center"/>
            <w:hideMark/>
          </w:tcPr>
          <w:p w14:paraId="2BEC0B7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ΥΓΕΙΑΣ</w:t>
            </w:r>
          </w:p>
        </w:tc>
        <w:tc>
          <w:tcPr>
            <w:tcW w:w="1152" w:type="dxa"/>
            <w:shd w:val="clear" w:color="auto" w:fill="auto"/>
            <w:vAlign w:val="center"/>
            <w:hideMark/>
          </w:tcPr>
          <w:p w14:paraId="197FEED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125.496 €</w:t>
            </w:r>
          </w:p>
        </w:tc>
        <w:tc>
          <w:tcPr>
            <w:tcW w:w="1306" w:type="dxa"/>
            <w:shd w:val="clear" w:color="auto" w:fill="auto"/>
            <w:vAlign w:val="center"/>
            <w:hideMark/>
          </w:tcPr>
          <w:p w14:paraId="5BFB044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66.677 €</w:t>
            </w:r>
          </w:p>
        </w:tc>
        <w:tc>
          <w:tcPr>
            <w:tcW w:w="1699" w:type="dxa"/>
            <w:shd w:val="clear" w:color="auto" w:fill="auto"/>
            <w:vAlign w:val="center"/>
            <w:hideMark/>
          </w:tcPr>
          <w:p w14:paraId="47DEEA0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192.174 €</w:t>
            </w:r>
          </w:p>
        </w:tc>
      </w:tr>
      <w:tr w:rsidR="00E72A48" w:rsidRPr="00EF606E" w14:paraId="68767E8B" w14:textId="77777777" w:rsidTr="0007734A">
        <w:trPr>
          <w:cantSplit/>
          <w:trHeight w:val="210"/>
          <w:jc w:val="center"/>
        </w:trPr>
        <w:tc>
          <w:tcPr>
            <w:tcW w:w="1051" w:type="dxa"/>
            <w:shd w:val="clear" w:color="auto" w:fill="auto"/>
            <w:vAlign w:val="center"/>
            <w:hideMark/>
          </w:tcPr>
          <w:p w14:paraId="2048B3B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07.1015.002</w:t>
            </w:r>
          </w:p>
        </w:tc>
        <w:tc>
          <w:tcPr>
            <w:tcW w:w="2112" w:type="dxa"/>
            <w:shd w:val="clear" w:color="auto" w:fill="auto"/>
            <w:vAlign w:val="center"/>
            <w:hideMark/>
          </w:tcPr>
          <w:p w14:paraId="20235A6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ΕΠΕΙΓΟΥΣΑ ΠΡΟΝΟΣΟΚΟΜΕΙΑΚΗ ΦΡΟΝΤΙΔΑ</w:t>
            </w:r>
          </w:p>
        </w:tc>
        <w:tc>
          <w:tcPr>
            <w:tcW w:w="1752" w:type="dxa"/>
            <w:shd w:val="clear" w:color="auto" w:fill="auto"/>
            <w:vAlign w:val="center"/>
            <w:hideMark/>
          </w:tcPr>
          <w:p w14:paraId="07511DD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ΥΓΕΙΑΣ</w:t>
            </w:r>
          </w:p>
        </w:tc>
        <w:tc>
          <w:tcPr>
            <w:tcW w:w="1152" w:type="dxa"/>
            <w:shd w:val="clear" w:color="auto" w:fill="auto"/>
            <w:vAlign w:val="center"/>
            <w:hideMark/>
          </w:tcPr>
          <w:p w14:paraId="4DF22F1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144.113 €</w:t>
            </w:r>
          </w:p>
        </w:tc>
        <w:tc>
          <w:tcPr>
            <w:tcW w:w="1306" w:type="dxa"/>
            <w:shd w:val="clear" w:color="auto" w:fill="auto"/>
            <w:vAlign w:val="center"/>
            <w:hideMark/>
          </w:tcPr>
          <w:p w14:paraId="5F06A1A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144.268 €</w:t>
            </w:r>
          </w:p>
        </w:tc>
        <w:tc>
          <w:tcPr>
            <w:tcW w:w="1699" w:type="dxa"/>
            <w:shd w:val="clear" w:color="auto" w:fill="auto"/>
            <w:vAlign w:val="center"/>
            <w:hideMark/>
          </w:tcPr>
          <w:p w14:paraId="1C75A63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288.381 €</w:t>
            </w:r>
          </w:p>
        </w:tc>
      </w:tr>
      <w:tr w:rsidR="00E72A48" w:rsidRPr="00EF606E" w14:paraId="48DFDEA9" w14:textId="77777777" w:rsidTr="0007734A">
        <w:trPr>
          <w:cantSplit/>
          <w:trHeight w:val="420"/>
          <w:jc w:val="center"/>
        </w:trPr>
        <w:tc>
          <w:tcPr>
            <w:tcW w:w="1051" w:type="dxa"/>
            <w:shd w:val="clear" w:color="auto" w:fill="auto"/>
            <w:vAlign w:val="center"/>
            <w:hideMark/>
          </w:tcPr>
          <w:p w14:paraId="24E1904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07.1015.003</w:t>
            </w:r>
          </w:p>
        </w:tc>
        <w:tc>
          <w:tcPr>
            <w:tcW w:w="2112" w:type="dxa"/>
            <w:shd w:val="clear" w:color="auto" w:fill="auto"/>
            <w:vAlign w:val="center"/>
            <w:hideMark/>
          </w:tcPr>
          <w:p w14:paraId="7C6908A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ΠΑΡΟΧΗ ΥΠΗΡΕΣΙΩΝ ΠΡΩΤΟΒΑΘΜΙΑΣ ΦΡΟΝΤΙΔΑΣ ΥΓΕΙΑΣ</w:t>
            </w:r>
          </w:p>
        </w:tc>
        <w:tc>
          <w:tcPr>
            <w:tcW w:w="1752" w:type="dxa"/>
            <w:shd w:val="clear" w:color="auto" w:fill="auto"/>
            <w:vAlign w:val="center"/>
            <w:hideMark/>
          </w:tcPr>
          <w:p w14:paraId="647EAB9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ΥΓΕΙΑΣ</w:t>
            </w:r>
          </w:p>
        </w:tc>
        <w:tc>
          <w:tcPr>
            <w:tcW w:w="1152" w:type="dxa"/>
            <w:shd w:val="clear" w:color="auto" w:fill="auto"/>
            <w:vAlign w:val="center"/>
            <w:hideMark/>
          </w:tcPr>
          <w:p w14:paraId="6A8A8D0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465.365 €</w:t>
            </w:r>
          </w:p>
        </w:tc>
        <w:tc>
          <w:tcPr>
            <w:tcW w:w="1306" w:type="dxa"/>
            <w:shd w:val="clear" w:color="auto" w:fill="auto"/>
            <w:vAlign w:val="center"/>
            <w:hideMark/>
          </w:tcPr>
          <w:p w14:paraId="60526F4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1.747.993 €</w:t>
            </w:r>
          </w:p>
        </w:tc>
        <w:tc>
          <w:tcPr>
            <w:tcW w:w="1699" w:type="dxa"/>
            <w:shd w:val="clear" w:color="auto" w:fill="auto"/>
            <w:vAlign w:val="center"/>
            <w:hideMark/>
          </w:tcPr>
          <w:p w14:paraId="5584208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2.213.358 €</w:t>
            </w:r>
          </w:p>
        </w:tc>
      </w:tr>
      <w:tr w:rsidR="00E72A48" w:rsidRPr="00EF606E" w14:paraId="07208ECC" w14:textId="77777777" w:rsidTr="0007734A">
        <w:trPr>
          <w:cantSplit/>
          <w:trHeight w:val="210"/>
          <w:jc w:val="center"/>
        </w:trPr>
        <w:tc>
          <w:tcPr>
            <w:tcW w:w="1051" w:type="dxa"/>
            <w:shd w:val="clear" w:color="auto" w:fill="auto"/>
            <w:vAlign w:val="center"/>
            <w:hideMark/>
          </w:tcPr>
          <w:p w14:paraId="4F6DE58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07.1015.004</w:t>
            </w:r>
          </w:p>
        </w:tc>
        <w:tc>
          <w:tcPr>
            <w:tcW w:w="2112" w:type="dxa"/>
            <w:shd w:val="clear" w:color="auto" w:fill="auto"/>
            <w:vAlign w:val="center"/>
            <w:hideMark/>
          </w:tcPr>
          <w:p w14:paraId="460AD6E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ΝΟΣΟΚΟΜΕΙΑΚΗ ΠΕΡΙΘΑΛΨΗ</w:t>
            </w:r>
          </w:p>
        </w:tc>
        <w:tc>
          <w:tcPr>
            <w:tcW w:w="1752" w:type="dxa"/>
            <w:shd w:val="clear" w:color="auto" w:fill="auto"/>
            <w:vAlign w:val="center"/>
            <w:hideMark/>
          </w:tcPr>
          <w:p w14:paraId="28E3A04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ΥΓΕΙΑΣ</w:t>
            </w:r>
          </w:p>
        </w:tc>
        <w:tc>
          <w:tcPr>
            <w:tcW w:w="1152" w:type="dxa"/>
            <w:shd w:val="clear" w:color="auto" w:fill="auto"/>
            <w:vAlign w:val="center"/>
            <w:hideMark/>
          </w:tcPr>
          <w:p w14:paraId="3F89AD3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1.192.307 €</w:t>
            </w:r>
          </w:p>
        </w:tc>
        <w:tc>
          <w:tcPr>
            <w:tcW w:w="1306" w:type="dxa"/>
            <w:shd w:val="clear" w:color="auto" w:fill="auto"/>
            <w:vAlign w:val="center"/>
            <w:hideMark/>
          </w:tcPr>
          <w:p w14:paraId="1FC82CB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9.464.875 €</w:t>
            </w:r>
          </w:p>
        </w:tc>
        <w:tc>
          <w:tcPr>
            <w:tcW w:w="1699" w:type="dxa"/>
            <w:shd w:val="clear" w:color="auto" w:fill="auto"/>
            <w:vAlign w:val="center"/>
            <w:hideMark/>
          </w:tcPr>
          <w:p w14:paraId="5D6858B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10.657.182 €</w:t>
            </w:r>
          </w:p>
        </w:tc>
      </w:tr>
      <w:tr w:rsidR="00E72A48" w:rsidRPr="00EF606E" w14:paraId="1C2CAFF4" w14:textId="77777777" w:rsidTr="0007734A">
        <w:trPr>
          <w:cantSplit/>
          <w:trHeight w:val="210"/>
          <w:jc w:val="center"/>
        </w:trPr>
        <w:tc>
          <w:tcPr>
            <w:tcW w:w="1051" w:type="dxa"/>
            <w:shd w:val="clear" w:color="auto" w:fill="auto"/>
            <w:vAlign w:val="center"/>
            <w:hideMark/>
          </w:tcPr>
          <w:p w14:paraId="0712D69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07.1015.005</w:t>
            </w:r>
          </w:p>
        </w:tc>
        <w:tc>
          <w:tcPr>
            <w:tcW w:w="2112" w:type="dxa"/>
            <w:shd w:val="clear" w:color="auto" w:fill="auto"/>
            <w:vAlign w:val="center"/>
            <w:hideMark/>
          </w:tcPr>
          <w:p w14:paraId="78BE43D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ΠΡΟΛΗΨΗ ΚΑΙ ΠΡΟΣΤΑΣΙΑ ΤΗΣ ΔΗΜΟΣΙΑΣ ΥΓΕΙΑΣ</w:t>
            </w:r>
          </w:p>
        </w:tc>
        <w:tc>
          <w:tcPr>
            <w:tcW w:w="1752" w:type="dxa"/>
            <w:shd w:val="clear" w:color="auto" w:fill="auto"/>
            <w:vAlign w:val="center"/>
            <w:hideMark/>
          </w:tcPr>
          <w:p w14:paraId="363CFCF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ΥΓΕΙΑΣ</w:t>
            </w:r>
          </w:p>
        </w:tc>
        <w:tc>
          <w:tcPr>
            <w:tcW w:w="1152" w:type="dxa"/>
            <w:shd w:val="clear" w:color="auto" w:fill="auto"/>
            <w:vAlign w:val="center"/>
            <w:hideMark/>
          </w:tcPr>
          <w:p w14:paraId="5CC1B81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455.755 €</w:t>
            </w:r>
          </w:p>
        </w:tc>
        <w:tc>
          <w:tcPr>
            <w:tcW w:w="1306" w:type="dxa"/>
            <w:shd w:val="clear" w:color="auto" w:fill="auto"/>
            <w:vAlign w:val="center"/>
            <w:hideMark/>
          </w:tcPr>
          <w:p w14:paraId="0EC0502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48.935 €</w:t>
            </w:r>
          </w:p>
        </w:tc>
        <w:tc>
          <w:tcPr>
            <w:tcW w:w="1699" w:type="dxa"/>
            <w:shd w:val="clear" w:color="auto" w:fill="auto"/>
            <w:vAlign w:val="center"/>
            <w:hideMark/>
          </w:tcPr>
          <w:p w14:paraId="02D0B7E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504.690 €</w:t>
            </w:r>
          </w:p>
        </w:tc>
      </w:tr>
      <w:tr w:rsidR="00E72A48" w:rsidRPr="00EF606E" w14:paraId="50E759E5" w14:textId="77777777" w:rsidTr="0007734A">
        <w:trPr>
          <w:cantSplit/>
          <w:trHeight w:val="210"/>
          <w:jc w:val="center"/>
        </w:trPr>
        <w:tc>
          <w:tcPr>
            <w:tcW w:w="1051" w:type="dxa"/>
            <w:shd w:val="clear" w:color="auto" w:fill="auto"/>
            <w:vAlign w:val="center"/>
            <w:hideMark/>
          </w:tcPr>
          <w:p w14:paraId="7966E79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07.1015.006</w:t>
            </w:r>
          </w:p>
        </w:tc>
        <w:tc>
          <w:tcPr>
            <w:tcW w:w="2112" w:type="dxa"/>
            <w:shd w:val="clear" w:color="auto" w:fill="auto"/>
            <w:vAlign w:val="center"/>
            <w:hideMark/>
          </w:tcPr>
          <w:p w14:paraId="7BCFE61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ΕΝΙΣΧΥΣΗ ΝΠΙΔ ΨΥΧΙΚΗΣ ΥΓΕΙΑΣ</w:t>
            </w:r>
          </w:p>
        </w:tc>
        <w:tc>
          <w:tcPr>
            <w:tcW w:w="1752" w:type="dxa"/>
            <w:shd w:val="clear" w:color="auto" w:fill="auto"/>
            <w:vAlign w:val="center"/>
            <w:hideMark/>
          </w:tcPr>
          <w:p w14:paraId="71BC11B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ΥΓΕΙΑΣ</w:t>
            </w:r>
          </w:p>
        </w:tc>
        <w:tc>
          <w:tcPr>
            <w:tcW w:w="1152" w:type="dxa"/>
            <w:shd w:val="clear" w:color="auto" w:fill="auto"/>
            <w:vAlign w:val="center"/>
            <w:hideMark/>
          </w:tcPr>
          <w:p w14:paraId="5701A82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68.312 €</w:t>
            </w:r>
          </w:p>
        </w:tc>
        <w:tc>
          <w:tcPr>
            <w:tcW w:w="1306" w:type="dxa"/>
            <w:shd w:val="clear" w:color="auto" w:fill="auto"/>
            <w:vAlign w:val="center"/>
            <w:hideMark/>
          </w:tcPr>
          <w:p w14:paraId="759D8D7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9.537 €</w:t>
            </w:r>
          </w:p>
        </w:tc>
        <w:tc>
          <w:tcPr>
            <w:tcW w:w="1699" w:type="dxa"/>
            <w:shd w:val="clear" w:color="auto" w:fill="auto"/>
            <w:vAlign w:val="center"/>
            <w:hideMark/>
          </w:tcPr>
          <w:p w14:paraId="3848837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77.849 €</w:t>
            </w:r>
          </w:p>
        </w:tc>
      </w:tr>
      <w:tr w:rsidR="00E72A48" w:rsidRPr="00EF606E" w14:paraId="649C68C3" w14:textId="77777777" w:rsidTr="0007734A">
        <w:trPr>
          <w:cantSplit/>
          <w:trHeight w:val="420"/>
          <w:jc w:val="center"/>
        </w:trPr>
        <w:tc>
          <w:tcPr>
            <w:tcW w:w="1051" w:type="dxa"/>
            <w:shd w:val="clear" w:color="auto" w:fill="auto"/>
            <w:vAlign w:val="center"/>
            <w:hideMark/>
          </w:tcPr>
          <w:p w14:paraId="567089D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lastRenderedPageBreak/>
              <w:t>07.1020.001</w:t>
            </w:r>
          </w:p>
        </w:tc>
        <w:tc>
          <w:tcPr>
            <w:tcW w:w="2112" w:type="dxa"/>
            <w:shd w:val="clear" w:color="auto" w:fill="auto"/>
            <w:vAlign w:val="center"/>
            <w:hideMark/>
          </w:tcPr>
          <w:p w14:paraId="366513A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ΠΑΝΕΠΙΣΤΗΜΙΑΚΑ ΝΟΣΟΚΟΜΕΙΑ</w:t>
            </w:r>
          </w:p>
        </w:tc>
        <w:tc>
          <w:tcPr>
            <w:tcW w:w="1752" w:type="dxa"/>
            <w:shd w:val="clear" w:color="auto" w:fill="auto"/>
            <w:vAlign w:val="center"/>
            <w:hideMark/>
          </w:tcPr>
          <w:p w14:paraId="5EAF2AD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shd w:val="clear" w:color="auto" w:fill="auto"/>
            <w:vAlign w:val="center"/>
            <w:hideMark/>
          </w:tcPr>
          <w:p w14:paraId="010B065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11.904 €</w:t>
            </w:r>
          </w:p>
        </w:tc>
        <w:tc>
          <w:tcPr>
            <w:tcW w:w="1306" w:type="dxa"/>
            <w:shd w:val="clear" w:color="auto" w:fill="auto"/>
            <w:vAlign w:val="center"/>
            <w:hideMark/>
          </w:tcPr>
          <w:p w14:paraId="1EFE429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38.531 €</w:t>
            </w:r>
          </w:p>
        </w:tc>
        <w:tc>
          <w:tcPr>
            <w:tcW w:w="1699" w:type="dxa"/>
            <w:shd w:val="clear" w:color="auto" w:fill="auto"/>
            <w:vAlign w:val="center"/>
            <w:hideMark/>
          </w:tcPr>
          <w:p w14:paraId="1B4C992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50.435 €</w:t>
            </w:r>
          </w:p>
        </w:tc>
      </w:tr>
      <w:tr w:rsidR="00E72A48" w:rsidRPr="00EF606E" w14:paraId="22F48DE2" w14:textId="77777777" w:rsidTr="0007734A">
        <w:trPr>
          <w:cantSplit/>
          <w:trHeight w:val="195"/>
          <w:jc w:val="center"/>
        </w:trPr>
        <w:tc>
          <w:tcPr>
            <w:tcW w:w="1051" w:type="dxa"/>
            <w:shd w:val="clear" w:color="000000" w:fill="D9D9D9"/>
            <w:vAlign w:val="center"/>
            <w:hideMark/>
          </w:tcPr>
          <w:p w14:paraId="5F6BDF23"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08</w:t>
            </w:r>
          </w:p>
        </w:tc>
        <w:tc>
          <w:tcPr>
            <w:tcW w:w="2112" w:type="dxa"/>
            <w:shd w:val="clear" w:color="000000" w:fill="D9D9D9"/>
            <w:vAlign w:val="center"/>
            <w:hideMark/>
          </w:tcPr>
          <w:p w14:paraId="485C1F3A"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ΠΟΛΙΤΙΣΜΟΣ- ΘΡΗΣΚΕΙΑ- ΑΘΛΗΤΙΣΜΟΣ</w:t>
            </w:r>
          </w:p>
        </w:tc>
        <w:tc>
          <w:tcPr>
            <w:tcW w:w="1752" w:type="dxa"/>
            <w:shd w:val="clear" w:color="000000" w:fill="D9D9D9"/>
            <w:vAlign w:val="center"/>
            <w:hideMark/>
          </w:tcPr>
          <w:p w14:paraId="1126C1ED"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16EA4A03"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900.693 €</w:t>
            </w:r>
          </w:p>
        </w:tc>
        <w:tc>
          <w:tcPr>
            <w:tcW w:w="1306" w:type="dxa"/>
            <w:shd w:val="clear" w:color="000000" w:fill="D9D9D9"/>
            <w:vAlign w:val="center"/>
            <w:hideMark/>
          </w:tcPr>
          <w:p w14:paraId="35260F4F"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852.786 €</w:t>
            </w:r>
          </w:p>
        </w:tc>
        <w:tc>
          <w:tcPr>
            <w:tcW w:w="1699" w:type="dxa"/>
            <w:shd w:val="clear" w:color="000000" w:fill="D9D9D9"/>
            <w:vAlign w:val="center"/>
            <w:hideMark/>
          </w:tcPr>
          <w:p w14:paraId="102628B6"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1.753.479 €</w:t>
            </w:r>
          </w:p>
        </w:tc>
      </w:tr>
      <w:tr w:rsidR="00E72A48" w:rsidRPr="00EF606E" w14:paraId="66077E43" w14:textId="77777777" w:rsidTr="0007734A">
        <w:trPr>
          <w:cantSplit/>
          <w:trHeight w:val="210"/>
          <w:jc w:val="center"/>
        </w:trPr>
        <w:tc>
          <w:tcPr>
            <w:tcW w:w="1051" w:type="dxa"/>
            <w:shd w:val="clear" w:color="auto" w:fill="auto"/>
            <w:vAlign w:val="center"/>
            <w:hideMark/>
          </w:tcPr>
          <w:p w14:paraId="1AF3E0A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08.1004.001</w:t>
            </w:r>
          </w:p>
        </w:tc>
        <w:tc>
          <w:tcPr>
            <w:tcW w:w="2112" w:type="dxa"/>
            <w:shd w:val="clear" w:color="auto" w:fill="auto"/>
            <w:vAlign w:val="center"/>
            <w:hideMark/>
          </w:tcPr>
          <w:p w14:paraId="18FF5B4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ΕΠΙΚΟΙΝΩΝΙΑ ΚΑΙ ΕΝΗΜΕΡΩΣΗ</w:t>
            </w:r>
          </w:p>
        </w:tc>
        <w:tc>
          <w:tcPr>
            <w:tcW w:w="1752" w:type="dxa"/>
            <w:shd w:val="clear" w:color="auto" w:fill="auto"/>
            <w:vAlign w:val="center"/>
            <w:hideMark/>
          </w:tcPr>
          <w:p w14:paraId="175DE4D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ΠΡΟΕΔΡΙΑ ΤΗΣ ΚΥΒΕΡΝΗΣΗΣ</w:t>
            </w:r>
          </w:p>
        </w:tc>
        <w:tc>
          <w:tcPr>
            <w:tcW w:w="1152" w:type="dxa"/>
            <w:shd w:val="clear" w:color="auto" w:fill="auto"/>
            <w:vAlign w:val="center"/>
            <w:hideMark/>
          </w:tcPr>
          <w:p w14:paraId="08203C5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8.284 €</w:t>
            </w:r>
          </w:p>
        </w:tc>
        <w:tc>
          <w:tcPr>
            <w:tcW w:w="1306" w:type="dxa"/>
            <w:shd w:val="clear" w:color="auto" w:fill="auto"/>
            <w:vAlign w:val="center"/>
            <w:hideMark/>
          </w:tcPr>
          <w:p w14:paraId="57B66B6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252.060 €</w:t>
            </w:r>
          </w:p>
        </w:tc>
        <w:tc>
          <w:tcPr>
            <w:tcW w:w="1699" w:type="dxa"/>
            <w:shd w:val="clear" w:color="auto" w:fill="auto"/>
            <w:vAlign w:val="center"/>
            <w:hideMark/>
          </w:tcPr>
          <w:p w14:paraId="0C42496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260.343 €</w:t>
            </w:r>
          </w:p>
        </w:tc>
      </w:tr>
      <w:tr w:rsidR="00E72A48" w:rsidRPr="00EF606E" w14:paraId="5FC1311C" w14:textId="77777777" w:rsidTr="0007734A">
        <w:trPr>
          <w:cantSplit/>
          <w:trHeight w:val="420"/>
          <w:jc w:val="center"/>
        </w:trPr>
        <w:tc>
          <w:tcPr>
            <w:tcW w:w="1051" w:type="dxa"/>
            <w:shd w:val="clear" w:color="auto" w:fill="auto"/>
            <w:vAlign w:val="center"/>
            <w:hideMark/>
          </w:tcPr>
          <w:p w14:paraId="4883BBD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08.1020.001</w:t>
            </w:r>
          </w:p>
        </w:tc>
        <w:tc>
          <w:tcPr>
            <w:tcW w:w="2112" w:type="dxa"/>
            <w:shd w:val="clear" w:color="auto" w:fill="auto"/>
            <w:vAlign w:val="center"/>
            <w:hideMark/>
          </w:tcPr>
          <w:p w14:paraId="00CAD9D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ΘΡΗΣΚΕΙΑ</w:t>
            </w:r>
          </w:p>
        </w:tc>
        <w:tc>
          <w:tcPr>
            <w:tcW w:w="1752" w:type="dxa"/>
            <w:shd w:val="clear" w:color="auto" w:fill="auto"/>
            <w:vAlign w:val="center"/>
            <w:hideMark/>
          </w:tcPr>
          <w:p w14:paraId="0114BF3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shd w:val="clear" w:color="auto" w:fill="auto"/>
            <w:vAlign w:val="center"/>
            <w:hideMark/>
          </w:tcPr>
          <w:p w14:paraId="13F76E5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228.845 €</w:t>
            </w:r>
          </w:p>
        </w:tc>
        <w:tc>
          <w:tcPr>
            <w:tcW w:w="1306" w:type="dxa"/>
            <w:shd w:val="clear" w:color="auto" w:fill="auto"/>
            <w:vAlign w:val="center"/>
            <w:hideMark/>
          </w:tcPr>
          <w:p w14:paraId="165156D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497D1CA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228.845 €</w:t>
            </w:r>
          </w:p>
        </w:tc>
      </w:tr>
      <w:tr w:rsidR="00E72A48" w:rsidRPr="00EF606E" w14:paraId="18816B02" w14:textId="77777777" w:rsidTr="0007734A">
        <w:trPr>
          <w:cantSplit/>
          <w:trHeight w:val="420"/>
          <w:jc w:val="center"/>
        </w:trPr>
        <w:tc>
          <w:tcPr>
            <w:tcW w:w="1051" w:type="dxa"/>
            <w:shd w:val="clear" w:color="auto" w:fill="auto"/>
            <w:vAlign w:val="center"/>
            <w:hideMark/>
          </w:tcPr>
          <w:p w14:paraId="1185D9B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08.1020.002</w:t>
            </w:r>
          </w:p>
        </w:tc>
        <w:tc>
          <w:tcPr>
            <w:tcW w:w="2112" w:type="dxa"/>
            <w:shd w:val="clear" w:color="auto" w:fill="auto"/>
            <w:vAlign w:val="center"/>
            <w:hideMark/>
          </w:tcPr>
          <w:p w14:paraId="56FCF89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ΣΧΟΛΙΚΟΣ/ ΠΑΝΕΠΙΣΤΗΜΙΑΚΟΣ ΑΘΛΗΤΙΣΜΟΣ</w:t>
            </w:r>
          </w:p>
        </w:tc>
        <w:tc>
          <w:tcPr>
            <w:tcW w:w="1752" w:type="dxa"/>
            <w:shd w:val="clear" w:color="auto" w:fill="auto"/>
            <w:vAlign w:val="center"/>
            <w:hideMark/>
          </w:tcPr>
          <w:p w14:paraId="41D9E03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shd w:val="clear" w:color="auto" w:fill="auto"/>
            <w:vAlign w:val="center"/>
            <w:hideMark/>
          </w:tcPr>
          <w:p w14:paraId="5E7CA27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3.119 €</w:t>
            </w:r>
          </w:p>
        </w:tc>
        <w:tc>
          <w:tcPr>
            <w:tcW w:w="1306" w:type="dxa"/>
            <w:shd w:val="clear" w:color="auto" w:fill="auto"/>
            <w:vAlign w:val="center"/>
            <w:hideMark/>
          </w:tcPr>
          <w:p w14:paraId="6E72417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151 €</w:t>
            </w:r>
          </w:p>
        </w:tc>
        <w:tc>
          <w:tcPr>
            <w:tcW w:w="1699" w:type="dxa"/>
            <w:shd w:val="clear" w:color="auto" w:fill="auto"/>
            <w:vAlign w:val="center"/>
            <w:hideMark/>
          </w:tcPr>
          <w:p w14:paraId="30466AF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3.270 €</w:t>
            </w:r>
          </w:p>
        </w:tc>
      </w:tr>
      <w:tr w:rsidR="00E72A48" w:rsidRPr="00EF606E" w14:paraId="3B490D1D" w14:textId="77777777" w:rsidTr="0007734A">
        <w:trPr>
          <w:cantSplit/>
          <w:trHeight w:val="420"/>
          <w:jc w:val="center"/>
        </w:trPr>
        <w:tc>
          <w:tcPr>
            <w:tcW w:w="1051" w:type="dxa"/>
            <w:shd w:val="clear" w:color="auto" w:fill="auto"/>
            <w:vAlign w:val="center"/>
            <w:hideMark/>
          </w:tcPr>
          <w:p w14:paraId="37F2DBD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08.1020.003</w:t>
            </w:r>
          </w:p>
        </w:tc>
        <w:tc>
          <w:tcPr>
            <w:tcW w:w="2112" w:type="dxa"/>
            <w:shd w:val="clear" w:color="auto" w:fill="auto"/>
            <w:vAlign w:val="center"/>
            <w:hideMark/>
          </w:tcPr>
          <w:p w14:paraId="7AE8456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ΔΗΜΟΣΙΕΣ ΒΙΒΛΙΟΘΗΚΕΣ/ ΓΕΝΙΚΑ ΑΡΧΕΙΑ</w:t>
            </w:r>
          </w:p>
        </w:tc>
        <w:tc>
          <w:tcPr>
            <w:tcW w:w="1752" w:type="dxa"/>
            <w:shd w:val="clear" w:color="auto" w:fill="auto"/>
            <w:vAlign w:val="center"/>
            <w:hideMark/>
          </w:tcPr>
          <w:p w14:paraId="3BBA939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shd w:val="clear" w:color="auto" w:fill="auto"/>
            <w:vAlign w:val="center"/>
            <w:hideMark/>
          </w:tcPr>
          <w:p w14:paraId="7FBE1E7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19.445 €</w:t>
            </w:r>
          </w:p>
        </w:tc>
        <w:tc>
          <w:tcPr>
            <w:tcW w:w="1306" w:type="dxa"/>
            <w:shd w:val="clear" w:color="auto" w:fill="auto"/>
            <w:vAlign w:val="center"/>
            <w:hideMark/>
          </w:tcPr>
          <w:p w14:paraId="3BA4988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11.124 €</w:t>
            </w:r>
          </w:p>
        </w:tc>
        <w:tc>
          <w:tcPr>
            <w:tcW w:w="1699" w:type="dxa"/>
            <w:shd w:val="clear" w:color="auto" w:fill="auto"/>
            <w:vAlign w:val="center"/>
            <w:hideMark/>
          </w:tcPr>
          <w:p w14:paraId="347D058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30.569 €</w:t>
            </w:r>
          </w:p>
        </w:tc>
      </w:tr>
      <w:tr w:rsidR="00E72A48" w:rsidRPr="00EF606E" w14:paraId="67CB9C68" w14:textId="77777777" w:rsidTr="0007734A">
        <w:trPr>
          <w:cantSplit/>
          <w:trHeight w:val="420"/>
          <w:jc w:val="center"/>
        </w:trPr>
        <w:tc>
          <w:tcPr>
            <w:tcW w:w="1051" w:type="dxa"/>
            <w:shd w:val="clear" w:color="auto" w:fill="auto"/>
            <w:vAlign w:val="center"/>
            <w:hideMark/>
          </w:tcPr>
          <w:p w14:paraId="7C88F6E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08.1020.004</w:t>
            </w:r>
          </w:p>
        </w:tc>
        <w:tc>
          <w:tcPr>
            <w:tcW w:w="2112" w:type="dxa"/>
            <w:shd w:val="clear" w:color="auto" w:fill="auto"/>
            <w:vAlign w:val="center"/>
            <w:hideMark/>
          </w:tcPr>
          <w:p w14:paraId="2D753FA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ΕΡΑΣΙΤΕΧΝΙΚΟΣ ΚΑΙ ΕΠΑΓΓΕΛΜΑΤΙΚΟΣ ΑΘΛΗΤΙΣΜΟΣ</w:t>
            </w:r>
          </w:p>
        </w:tc>
        <w:tc>
          <w:tcPr>
            <w:tcW w:w="1752" w:type="dxa"/>
            <w:shd w:val="clear" w:color="auto" w:fill="auto"/>
            <w:vAlign w:val="center"/>
            <w:hideMark/>
          </w:tcPr>
          <w:p w14:paraId="0616EE6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shd w:val="clear" w:color="auto" w:fill="auto"/>
            <w:vAlign w:val="center"/>
            <w:hideMark/>
          </w:tcPr>
          <w:p w14:paraId="38C513B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33.182 €</w:t>
            </w:r>
          </w:p>
        </w:tc>
        <w:tc>
          <w:tcPr>
            <w:tcW w:w="1306" w:type="dxa"/>
            <w:shd w:val="clear" w:color="auto" w:fill="auto"/>
            <w:vAlign w:val="center"/>
            <w:hideMark/>
          </w:tcPr>
          <w:p w14:paraId="7B91A6E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68.396 €</w:t>
            </w:r>
          </w:p>
        </w:tc>
        <w:tc>
          <w:tcPr>
            <w:tcW w:w="1699" w:type="dxa"/>
            <w:shd w:val="clear" w:color="auto" w:fill="auto"/>
            <w:vAlign w:val="center"/>
            <w:hideMark/>
          </w:tcPr>
          <w:p w14:paraId="1DBC9C7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101.578 €</w:t>
            </w:r>
          </w:p>
        </w:tc>
      </w:tr>
      <w:tr w:rsidR="00E72A48" w:rsidRPr="00EF606E" w14:paraId="371E38D4" w14:textId="77777777" w:rsidTr="0007734A">
        <w:trPr>
          <w:cantSplit/>
          <w:trHeight w:val="420"/>
          <w:jc w:val="center"/>
        </w:trPr>
        <w:tc>
          <w:tcPr>
            <w:tcW w:w="1051" w:type="dxa"/>
            <w:shd w:val="clear" w:color="auto" w:fill="auto"/>
            <w:vAlign w:val="center"/>
            <w:hideMark/>
          </w:tcPr>
          <w:p w14:paraId="093C227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08.1020.005</w:t>
            </w:r>
          </w:p>
        </w:tc>
        <w:tc>
          <w:tcPr>
            <w:tcW w:w="2112" w:type="dxa"/>
            <w:shd w:val="clear" w:color="auto" w:fill="auto"/>
            <w:vAlign w:val="center"/>
            <w:hideMark/>
          </w:tcPr>
          <w:p w14:paraId="630208A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ΑΘΛΗΣΗ ΓΙΑ ΟΛΟΥΣ, ΑΝΑΨΥΧΗ, ΑΘΛΟΤΟΥΡΙΣΜΟΣ, ΕΠΙΣΤΗΜΟΝΙΚΗ ΥΠΟΣΤΗΡΙΞΗ ΚΑΙ ΔΙΕΘΝΕΙΣ ΣΧΕΣΕΙΣ</w:t>
            </w:r>
          </w:p>
        </w:tc>
        <w:tc>
          <w:tcPr>
            <w:tcW w:w="1752" w:type="dxa"/>
            <w:shd w:val="clear" w:color="auto" w:fill="auto"/>
            <w:vAlign w:val="center"/>
            <w:hideMark/>
          </w:tcPr>
          <w:p w14:paraId="601343C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shd w:val="clear" w:color="auto" w:fill="auto"/>
            <w:vAlign w:val="center"/>
            <w:hideMark/>
          </w:tcPr>
          <w:p w14:paraId="5E1B802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27.182 €</w:t>
            </w:r>
          </w:p>
        </w:tc>
        <w:tc>
          <w:tcPr>
            <w:tcW w:w="1306" w:type="dxa"/>
            <w:shd w:val="clear" w:color="auto" w:fill="auto"/>
            <w:vAlign w:val="center"/>
            <w:hideMark/>
          </w:tcPr>
          <w:p w14:paraId="6010631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24.962 €</w:t>
            </w:r>
          </w:p>
        </w:tc>
        <w:tc>
          <w:tcPr>
            <w:tcW w:w="1699" w:type="dxa"/>
            <w:shd w:val="clear" w:color="auto" w:fill="auto"/>
            <w:vAlign w:val="center"/>
            <w:hideMark/>
          </w:tcPr>
          <w:p w14:paraId="6FB613B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52.144 €</w:t>
            </w:r>
          </w:p>
        </w:tc>
      </w:tr>
      <w:tr w:rsidR="00E72A48" w:rsidRPr="00EF606E" w14:paraId="7E40D523" w14:textId="77777777" w:rsidTr="0007734A">
        <w:trPr>
          <w:cantSplit/>
          <w:trHeight w:val="420"/>
          <w:jc w:val="center"/>
        </w:trPr>
        <w:tc>
          <w:tcPr>
            <w:tcW w:w="1051" w:type="dxa"/>
            <w:shd w:val="clear" w:color="auto" w:fill="auto"/>
            <w:vAlign w:val="center"/>
            <w:hideMark/>
          </w:tcPr>
          <w:p w14:paraId="1D76FA7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08.1020.006</w:t>
            </w:r>
          </w:p>
        </w:tc>
        <w:tc>
          <w:tcPr>
            <w:tcW w:w="2112" w:type="dxa"/>
            <w:shd w:val="clear" w:color="auto" w:fill="auto"/>
            <w:vAlign w:val="center"/>
            <w:hideMark/>
          </w:tcPr>
          <w:p w14:paraId="7872FB0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ΕΡΓΑ ΥΠΟΔΟΜΩΝ ΑΘΛΗΤΙΣΜΟΥ</w:t>
            </w:r>
          </w:p>
        </w:tc>
        <w:tc>
          <w:tcPr>
            <w:tcW w:w="1752" w:type="dxa"/>
            <w:shd w:val="clear" w:color="auto" w:fill="auto"/>
            <w:vAlign w:val="center"/>
            <w:hideMark/>
          </w:tcPr>
          <w:p w14:paraId="6E14E89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shd w:val="clear" w:color="auto" w:fill="auto"/>
            <w:vAlign w:val="center"/>
            <w:hideMark/>
          </w:tcPr>
          <w:p w14:paraId="332B2FB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63.991 €</w:t>
            </w:r>
          </w:p>
        </w:tc>
        <w:tc>
          <w:tcPr>
            <w:tcW w:w="1306" w:type="dxa"/>
            <w:shd w:val="clear" w:color="auto" w:fill="auto"/>
            <w:vAlign w:val="center"/>
            <w:hideMark/>
          </w:tcPr>
          <w:p w14:paraId="1AD1362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4.914 €</w:t>
            </w:r>
          </w:p>
        </w:tc>
        <w:tc>
          <w:tcPr>
            <w:tcW w:w="1699" w:type="dxa"/>
            <w:shd w:val="clear" w:color="auto" w:fill="auto"/>
            <w:vAlign w:val="center"/>
            <w:hideMark/>
          </w:tcPr>
          <w:p w14:paraId="6717270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68.905 €</w:t>
            </w:r>
          </w:p>
        </w:tc>
      </w:tr>
      <w:tr w:rsidR="00E72A48" w:rsidRPr="00EF606E" w14:paraId="00354816" w14:textId="77777777" w:rsidTr="0007734A">
        <w:trPr>
          <w:cantSplit/>
          <w:trHeight w:val="420"/>
          <w:jc w:val="center"/>
        </w:trPr>
        <w:tc>
          <w:tcPr>
            <w:tcW w:w="1051" w:type="dxa"/>
            <w:shd w:val="clear" w:color="auto" w:fill="auto"/>
            <w:vAlign w:val="center"/>
            <w:hideMark/>
          </w:tcPr>
          <w:p w14:paraId="183D964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08.1022.001</w:t>
            </w:r>
          </w:p>
        </w:tc>
        <w:tc>
          <w:tcPr>
            <w:tcW w:w="2112" w:type="dxa"/>
            <w:shd w:val="clear" w:color="auto" w:fill="auto"/>
            <w:vAlign w:val="center"/>
            <w:hideMark/>
          </w:tcPr>
          <w:p w14:paraId="0DB9FCE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ΠΟΛΙΤΙΣΜΟΥ</w:t>
            </w:r>
          </w:p>
        </w:tc>
        <w:tc>
          <w:tcPr>
            <w:tcW w:w="1752" w:type="dxa"/>
            <w:shd w:val="clear" w:color="auto" w:fill="auto"/>
            <w:vAlign w:val="center"/>
            <w:hideMark/>
          </w:tcPr>
          <w:p w14:paraId="3326FF3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ΠΟΛΙΤΙΣΜΟΥ</w:t>
            </w:r>
          </w:p>
        </w:tc>
        <w:tc>
          <w:tcPr>
            <w:tcW w:w="1152" w:type="dxa"/>
            <w:shd w:val="clear" w:color="auto" w:fill="auto"/>
            <w:vAlign w:val="center"/>
            <w:hideMark/>
          </w:tcPr>
          <w:p w14:paraId="7A1A5CD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114.366 €</w:t>
            </w:r>
          </w:p>
        </w:tc>
        <w:tc>
          <w:tcPr>
            <w:tcW w:w="1306" w:type="dxa"/>
            <w:shd w:val="clear" w:color="auto" w:fill="auto"/>
            <w:vAlign w:val="center"/>
            <w:hideMark/>
          </w:tcPr>
          <w:p w14:paraId="6067845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25.297 €</w:t>
            </w:r>
          </w:p>
        </w:tc>
        <w:tc>
          <w:tcPr>
            <w:tcW w:w="1699" w:type="dxa"/>
            <w:shd w:val="clear" w:color="auto" w:fill="auto"/>
            <w:vAlign w:val="center"/>
            <w:hideMark/>
          </w:tcPr>
          <w:p w14:paraId="7E4D8D5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139.664 €</w:t>
            </w:r>
          </w:p>
        </w:tc>
      </w:tr>
      <w:tr w:rsidR="00E72A48" w:rsidRPr="00EF606E" w14:paraId="40905C09" w14:textId="77777777" w:rsidTr="0007734A">
        <w:trPr>
          <w:cantSplit/>
          <w:trHeight w:val="420"/>
          <w:jc w:val="center"/>
        </w:trPr>
        <w:tc>
          <w:tcPr>
            <w:tcW w:w="1051" w:type="dxa"/>
            <w:shd w:val="clear" w:color="auto" w:fill="auto"/>
            <w:vAlign w:val="center"/>
            <w:hideMark/>
          </w:tcPr>
          <w:p w14:paraId="171B2E1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08.1022.002</w:t>
            </w:r>
          </w:p>
        </w:tc>
        <w:tc>
          <w:tcPr>
            <w:tcW w:w="2112" w:type="dxa"/>
            <w:shd w:val="clear" w:color="auto" w:fill="auto"/>
            <w:vAlign w:val="center"/>
            <w:hideMark/>
          </w:tcPr>
          <w:p w14:paraId="08C2ECE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ΑΡΧΑΙΟΛΟΓΙΚΑ ΜΟΥΣΕΙΑ - ΑΡΧΑΙΟΛΟΓΙΚΟΙ ΧΩΡΟΙ-ΜΝΗΜΕΙΑ-ΚΤΙΡΙΑ</w:t>
            </w:r>
          </w:p>
        </w:tc>
        <w:tc>
          <w:tcPr>
            <w:tcW w:w="1752" w:type="dxa"/>
            <w:shd w:val="clear" w:color="auto" w:fill="auto"/>
            <w:vAlign w:val="center"/>
            <w:hideMark/>
          </w:tcPr>
          <w:p w14:paraId="390696D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ΠΟΛΙΤΙΣΜΟΥ</w:t>
            </w:r>
          </w:p>
        </w:tc>
        <w:tc>
          <w:tcPr>
            <w:tcW w:w="1152" w:type="dxa"/>
            <w:shd w:val="clear" w:color="auto" w:fill="auto"/>
            <w:vAlign w:val="center"/>
            <w:hideMark/>
          </w:tcPr>
          <w:p w14:paraId="4CD581F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361.266 €</w:t>
            </w:r>
          </w:p>
        </w:tc>
        <w:tc>
          <w:tcPr>
            <w:tcW w:w="1306" w:type="dxa"/>
            <w:shd w:val="clear" w:color="auto" w:fill="auto"/>
            <w:vAlign w:val="center"/>
            <w:hideMark/>
          </w:tcPr>
          <w:p w14:paraId="35E8A8B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153.247 €</w:t>
            </w:r>
          </w:p>
        </w:tc>
        <w:tc>
          <w:tcPr>
            <w:tcW w:w="1699" w:type="dxa"/>
            <w:shd w:val="clear" w:color="auto" w:fill="auto"/>
            <w:vAlign w:val="center"/>
            <w:hideMark/>
          </w:tcPr>
          <w:p w14:paraId="399C69B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514.513 €</w:t>
            </w:r>
          </w:p>
        </w:tc>
      </w:tr>
      <w:tr w:rsidR="00E72A48" w:rsidRPr="00EF606E" w14:paraId="3B56A464" w14:textId="77777777" w:rsidTr="0007734A">
        <w:trPr>
          <w:cantSplit/>
          <w:trHeight w:val="420"/>
          <w:jc w:val="center"/>
        </w:trPr>
        <w:tc>
          <w:tcPr>
            <w:tcW w:w="1051" w:type="dxa"/>
            <w:shd w:val="clear" w:color="auto" w:fill="auto"/>
            <w:vAlign w:val="center"/>
            <w:hideMark/>
          </w:tcPr>
          <w:p w14:paraId="7D2794D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08.1022.003</w:t>
            </w:r>
          </w:p>
        </w:tc>
        <w:tc>
          <w:tcPr>
            <w:tcW w:w="2112" w:type="dxa"/>
            <w:shd w:val="clear" w:color="auto" w:fill="auto"/>
            <w:vAlign w:val="center"/>
            <w:hideMark/>
          </w:tcPr>
          <w:p w14:paraId="7285F88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ΤΕΧΝΕΣ ΚΑΙ ΓΡΑΜΜΑΤΑ - ΚΑΛΛΙΤΕΧΝΙΚΗ ΕΚΠΑΙΔΕΥΣΗ ΚΑΙ ΛΟΙΠΕΣ ΠΟΛΙΤΙΣΤΙΚΕΣ ΔΡΑΣΕΙΣ</w:t>
            </w:r>
          </w:p>
        </w:tc>
        <w:tc>
          <w:tcPr>
            <w:tcW w:w="1752" w:type="dxa"/>
            <w:shd w:val="clear" w:color="auto" w:fill="auto"/>
            <w:vAlign w:val="center"/>
            <w:hideMark/>
          </w:tcPr>
          <w:p w14:paraId="189D7AE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ΠΟΛΙΤΙΣΜΟΥ</w:t>
            </w:r>
          </w:p>
        </w:tc>
        <w:tc>
          <w:tcPr>
            <w:tcW w:w="1152" w:type="dxa"/>
            <w:shd w:val="clear" w:color="auto" w:fill="auto"/>
            <w:vAlign w:val="center"/>
            <w:hideMark/>
          </w:tcPr>
          <w:p w14:paraId="6C812B5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31.524 €</w:t>
            </w:r>
          </w:p>
        </w:tc>
        <w:tc>
          <w:tcPr>
            <w:tcW w:w="1306" w:type="dxa"/>
            <w:shd w:val="clear" w:color="auto" w:fill="auto"/>
            <w:vAlign w:val="center"/>
            <w:hideMark/>
          </w:tcPr>
          <w:p w14:paraId="326780C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206.932 €</w:t>
            </w:r>
          </w:p>
        </w:tc>
        <w:tc>
          <w:tcPr>
            <w:tcW w:w="1699" w:type="dxa"/>
            <w:shd w:val="clear" w:color="auto" w:fill="auto"/>
            <w:vAlign w:val="center"/>
            <w:hideMark/>
          </w:tcPr>
          <w:p w14:paraId="47C3BDD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238.456 €</w:t>
            </w:r>
          </w:p>
        </w:tc>
      </w:tr>
      <w:tr w:rsidR="00E72A48" w:rsidRPr="00EF606E" w14:paraId="5D6528AC" w14:textId="77777777" w:rsidTr="0007734A">
        <w:trPr>
          <w:cantSplit/>
          <w:trHeight w:val="210"/>
          <w:jc w:val="center"/>
        </w:trPr>
        <w:tc>
          <w:tcPr>
            <w:tcW w:w="1051" w:type="dxa"/>
            <w:shd w:val="clear" w:color="auto" w:fill="auto"/>
            <w:vAlign w:val="center"/>
            <w:hideMark/>
          </w:tcPr>
          <w:p w14:paraId="05ED6E8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08.1022.004</w:t>
            </w:r>
          </w:p>
        </w:tc>
        <w:tc>
          <w:tcPr>
            <w:tcW w:w="2112" w:type="dxa"/>
            <w:shd w:val="clear" w:color="auto" w:fill="auto"/>
            <w:vAlign w:val="center"/>
            <w:hideMark/>
          </w:tcPr>
          <w:p w14:paraId="00B57DC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ΟΠΤΙΚΟΑΚΟΥΣΤΙΚΗ ΠΑΡΑΓΩΓΗ</w:t>
            </w:r>
          </w:p>
        </w:tc>
        <w:tc>
          <w:tcPr>
            <w:tcW w:w="1752" w:type="dxa"/>
            <w:shd w:val="clear" w:color="auto" w:fill="auto"/>
            <w:vAlign w:val="center"/>
            <w:hideMark/>
          </w:tcPr>
          <w:p w14:paraId="4DA7A54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ΠΟΛΙΤΙΣΜΟΥ</w:t>
            </w:r>
          </w:p>
        </w:tc>
        <w:tc>
          <w:tcPr>
            <w:tcW w:w="1152" w:type="dxa"/>
            <w:shd w:val="clear" w:color="auto" w:fill="auto"/>
            <w:vAlign w:val="center"/>
            <w:hideMark/>
          </w:tcPr>
          <w:p w14:paraId="337D123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shd w:val="clear" w:color="auto" w:fill="auto"/>
            <w:vAlign w:val="center"/>
            <w:hideMark/>
          </w:tcPr>
          <w:p w14:paraId="60301FA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83.361 €</w:t>
            </w:r>
          </w:p>
        </w:tc>
        <w:tc>
          <w:tcPr>
            <w:tcW w:w="1699" w:type="dxa"/>
            <w:shd w:val="clear" w:color="auto" w:fill="auto"/>
            <w:vAlign w:val="center"/>
            <w:hideMark/>
          </w:tcPr>
          <w:p w14:paraId="313BC79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83.361 €</w:t>
            </w:r>
          </w:p>
        </w:tc>
      </w:tr>
      <w:tr w:rsidR="00E72A48" w:rsidRPr="00EF606E" w14:paraId="4B19A294" w14:textId="77777777" w:rsidTr="0007734A">
        <w:trPr>
          <w:cantSplit/>
          <w:trHeight w:val="420"/>
          <w:jc w:val="center"/>
        </w:trPr>
        <w:tc>
          <w:tcPr>
            <w:tcW w:w="1051" w:type="dxa"/>
            <w:shd w:val="clear" w:color="auto" w:fill="auto"/>
            <w:vAlign w:val="center"/>
            <w:hideMark/>
          </w:tcPr>
          <w:p w14:paraId="0CD6448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08.1024.001</w:t>
            </w:r>
          </w:p>
        </w:tc>
        <w:tc>
          <w:tcPr>
            <w:tcW w:w="2112" w:type="dxa"/>
            <w:shd w:val="clear" w:color="auto" w:fill="auto"/>
            <w:vAlign w:val="center"/>
            <w:hideMark/>
          </w:tcPr>
          <w:p w14:paraId="130E993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ΡΥΘΜΙΣΗ ΘΕΜΑΤΩΝ ΣΤΟΥΣ ΤΟΜΕΙΣ ΤΟΥ ΠΟΛΙΤΙΣΜΟΥ ΚΑΙ ΤΗΣ ΘΡΗΣΚΕΙΑΣ</w:t>
            </w:r>
          </w:p>
        </w:tc>
        <w:tc>
          <w:tcPr>
            <w:tcW w:w="1752" w:type="dxa"/>
            <w:shd w:val="clear" w:color="auto" w:fill="auto"/>
            <w:vAlign w:val="center"/>
            <w:hideMark/>
          </w:tcPr>
          <w:p w14:paraId="321803E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5E5BA97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7.112 €</w:t>
            </w:r>
          </w:p>
        </w:tc>
        <w:tc>
          <w:tcPr>
            <w:tcW w:w="1306" w:type="dxa"/>
            <w:shd w:val="clear" w:color="auto" w:fill="auto"/>
            <w:vAlign w:val="center"/>
            <w:hideMark/>
          </w:tcPr>
          <w:p w14:paraId="7D80F23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2.632 €</w:t>
            </w:r>
          </w:p>
        </w:tc>
        <w:tc>
          <w:tcPr>
            <w:tcW w:w="1699" w:type="dxa"/>
            <w:shd w:val="clear" w:color="auto" w:fill="auto"/>
            <w:vAlign w:val="center"/>
            <w:hideMark/>
          </w:tcPr>
          <w:p w14:paraId="56D882A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9.744 €</w:t>
            </w:r>
          </w:p>
        </w:tc>
      </w:tr>
      <w:tr w:rsidR="00E72A48" w:rsidRPr="00EF606E" w14:paraId="4C602480" w14:textId="77777777" w:rsidTr="0007734A">
        <w:trPr>
          <w:cantSplit/>
          <w:trHeight w:val="420"/>
          <w:jc w:val="center"/>
        </w:trPr>
        <w:tc>
          <w:tcPr>
            <w:tcW w:w="1051" w:type="dxa"/>
            <w:shd w:val="clear" w:color="auto" w:fill="auto"/>
            <w:vAlign w:val="center"/>
            <w:hideMark/>
          </w:tcPr>
          <w:p w14:paraId="317ED40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08.1024.002</w:t>
            </w:r>
          </w:p>
        </w:tc>
        <w:tc>
          <w:tcPr>
            <w:tcW w:w="2112" w:type="dxa"/>
            <w:shd w:val="clear" w:color="auto" w:fill="auto"/>
            <w:vAlign w:val="center"/>
            <w:hideMark/>
          </w:tcPr>
          <w:p w14:paraId="6999806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ΕΘΝΙΚΟ ΣΥΜΒΟΥΛΙΟ ΡΑΔΙΟΤΗΛΕΟΡΑΣΗΣ</w:t>
            </w:r>
          </w:p>
        </w:tc>
        <w:tc>
          <w:tcPr>
            <w:tcW w:w="1752" w:type="dxa"/>
            <w:shd w:val="clear" w:color="auto" w:fill="auto"/>
            <w:vAlign w:val="center"/>
            <w:hideMark/>
          </w:tcPr>
          <w:p w14:paraId="40DF405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4FB506E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2.378 €</w:t>
            </w:r>
          </w:p>
        </w:tc>
        <w:tc>
          <w:tcPr>
            <w:tcW w:w="1306" w:type="dxa"/>
            <w:shd w:val="clear" w:color="auto" w:fill="auto"/>
            <w:vAlign w:val="center"/>
            <w:hideMark/>
          </w:tcPr>
          <w:p w14:paraId="6ED7957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5F8D576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2.378 €</w:t>
            </w:r>
          </w:p>
        </w:tc>
      </w:tr>
      <w:tr w:rsidR="00E72A48" w:rsidRPr="00EF606E" w14:paraId="44DE462A" w14:textId="77777777" w:rsidTr="0007734A">
        <w:trPr>
          <w:cantSplit/>
          <w:trHeight w:val="420"/>
          <w:jc w:val="center"/>
        </w:trPr>
        <w:tc>
          <w:tcPr>
            <w:tcW w:w="1051" w:type="dxa"/>
            <w:shd w:val="clear" w:color="auto" w:fill="auto"/>
            <w:vAlign w:val="center"/>
            <w:hideMark/>
          </w:tcPr>
          <w:p w14:paraId="1F6520E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08.1024.003</w:t>
            </w:r>
          </w:p>
        </w:tc>
        <w:tc>
          <w:tcPr>
            <w:tcW w:w="2112" w:type="dxa"/>
            <w:shd w:val="clear" w:color="auto" w:fill="auto"/>
            <w:vAlign w:val="center"/>
            <w:hideMark/>
          </w:tcPr>
          <w:p w14:paraId="05AC5F6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ΕΠΙΤΡΟΠΗ ΕΠΟΠΤΕΙΑΣ ΚΑΙ ΕΛΕΓΧΟΥ ΠΑΙΓΝΙΩΝ</w:t>
            </w:r>
          </w:p>
        </w:tc>
        <w:tc>
          <w:tcPr>
            <w:tcW w:w="1752" w:type="dxa"/>
            <w:shd w:val="clear" w:color="auto" w:fill="auto"/>
            <w:vAlign w:val="center"/>
            <w:hideMark/>
          </w:tcPr>
          <w:p w14:paraId="40D4438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2A2EDDA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shd w:val="clear" w:color="auto" w:fill="auto"/>
            <w:vAlign w:val="center"/>
            <w:hideMark/>
          </w:tcPr>
          <w:p w14:paraId="62FAC43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19.710 €</w:t>
            </w:r>
          </w:p>
        </w:tc>
        <w:tc>
          <w:tcPr>
            <w:tcW w:w="1699" w:type="dxa"/>
            <w:shd w:val="clear" w:color="auto" w:fill="auto"/>
            <w:vAlign w:val="center"/>
            <w:hideMark/>
          </w:tcPr>
          <w:p w14:paraId="494706D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19.710 €</w:t>
            </w:r>
          </w:p>
        </w:tc>
      </w:tr>
      <w:tr w:rsidR="00E72A48" w:rsidRPr="00EF606E" w14:paraId="0388FEA9" w14:textId="77777777" w:rsidTr="0007734A">
        <w:trPr>
          <w:cantSplit/>
          <w:trHeight w:val="195"/>
          <w:jc w:val="center"/>
        </w:trPr>
        <w:tc>
          <w:tcPr>
            <w:tcW w:w="1051" w:type="dxa"/>
            <w:shd w:val="clear" w:color="000000" w:fill="D9D9D9"/>
            <w:vAlign w:val="center"/>
            <w:hideMark/>
          </w:tcPr>
          <w:p w14:paraId="1E368DDB"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09</w:t>
            </w:r>
          </w:p>
        </w:tc>
        <w:tc>
          <w:tcPr>
            <w:tcW w:w="2112" w:type="dxa"/>
            <w:shd w:val="clear" w:color="000000" w:fill="D9D9D9"/>
            <w:vAlign w:val="center"/>
            <w:hideMark/>
          </w:tcPr>
          <w:p w14:paraId="2DECC0CF"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ΕΚΠΑΙΔΕΥΣΗ</w:t>
            </w:r>
          </w:p>
        </w:tc>
        <w:tc>
          <w:tcPr>
            <w:tcW w:w="1752" w:type="dxa"/>
            <w:shd w:val="clear" w:color="000000" w:fill="D9D9D9"/>
            <w:vAlign w:val="center"/>
            <w:hideMark/>
          </w:tcPr>
          <w:p w14:paraId="6EAD8C27"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12E6B4E6"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5.748.409 €</w:t>
            </w:r>
          </w:p>
        </w:tc>
        <w:tc>
          <w:tcPr>
            <w:tcW w:w="1306" w:type="dxa"/>
            <w:shd w:val="clear" w:color="000000" w:fill="D9D9D9"/>
            <w:vAlign w:val="center"/>
            <w:hideMark/>
          </w:tcPr>
          <w:p w14:paraId="37B6916E"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1.730.685 €</w:t>
            </w:r>
          </w:p>
        </w:tc>
        <w:tc>
          <w:tcPr>
            <w:tcW w:w="1699" w:type="dxa"/>
            <w:shd w:val="clear" w:color="000000" w:fill="D9D9D9"/>
            <w:vAlign w:val="center"/>
            <w:hideMark/>
          </w:tcPr>
          <w:p w14:paraId="71F5F370"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7.479.094 €</w:t>
            </w:r>
          </w:p>
        </w:tc>
      </w:tr>
      <w:tr w:rsidR="00E72A48" w:rsidRPr="00EF606E" w14:paraId="71153AF2" w14:textId="77777777" w:rsidTr="0007734A">
        <w:trPr>
          <w:cantSplit/>
          <w:trHeight w:val="420"/>
          <w:jc w:val="center"/>
        </w:trPr>
        <w:tc>
          <w:tcPr>
            <w:tcW w:w="1051" w:type="dxa"/>
            <w:shd w:val="clear" w:color="auto" w:fill="auto"/>
            <w:vAlign w:val="center"/>
            <w:hideMark/>
          </w:tcPr>
          <w:p w14:paraId="399E4D5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lastRenderedPageBreak/>
              <w:t>09.1009.001</w:t>
            </w:r>
          </w:p>
        </w:tc>
        <w:tc>
          <w:tcPr>
            <w:tcW w:w="2112" w:type="dxa"/>
            <w:shd w:val="clear" w:color="auto" w:fill="auto"/>
            <w:vAlign w:val="center"/>
            <w:hideMark/>
          </w:tcPr>
          <w:p w14:paraId="090917E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ΕΛΛΗΝΙΚΗ ΔΙΠΛΩΜΑΤΙΚΗ ΑΚΑΔΗΜΙΑ-ΕΚΠΑΙΔΕΥΣΗ ΚΑΙ ΑΝΑΠΤΥΞΗ ΑΝΘΡΩΠΙΝΩΝ ΠΟΡΩΝ</w:t>
            </w:r>
          </w:p>
        </w:tc>
        <w:tc>
          <w:tcPr>
            <w:tcW w:w="1752" w:type="dxa"/>
            <w:shd w:val="clear" w:color="auto" w:fill="auto"/>
            <w:vAlign w:val="center"/>
            <w:hideMark/>
          </w:tcPr>
          <w:p w14:paraId="3CE7064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ΕΞΩΤΕΡΙΚΩΝ</w:t>
            </w:r>
          </w:p>
        </w:tc>
        <w:tc>
          <w:tcPr>
            <w:tcW w:w="1152" w:type="dxa"/>
            <w:shd w:val="clear" w:color="auto" w:fill="auto"/>
            <w:vAlign w:val="center"/>
            <w:hideMark/>
          </w:tcPr>
          <w:p w14:paraId="05E9D52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2.071 €</w:t>
            </w:r>
          </w:p>
        </w:tc>
        <w:tc>
          <w:tcPr>
            <w:tcW w:w="1306" w:type="dxa"/>
            <w:shd w:val="clear" w:color="auto" w:fill="auto"/>
            <w:vAlign w:val="center"/>
            <w:hideMark/>
          </w:tcPr>
          <w:p w14:paraId="76A3D5F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065474E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2.071 €</w:t>
            </w:r>
          </w:p>
        </w:tc>
      </w:tr>
      <w:tr w:rsidR="00E72A48" w:rsidRPr="00EF606E" w14:paraId="7C769F7B" w14:textId="77777777" w:rsidTr="0007734A">
        <w:trPr>
          <w:cantSplit/>
          <w:trHeight w:val="210"/>
          <w:jc w:val="center"/>
        </w:trPr>
        <w:tc>
          <w:tcPr>
            <w:tcW w:w="1051" w:type="dxa"/>
            <w:shd w:val="clear" w:color="auto" w:fill="auto"/>
            <w:vAlign w:val="center"/>
            <w:hideMark/>
          </w:tcPr>
          <w:p w14:paraId="56835A3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09.1011.001</w:t>
            </w:r>
          </w:p>
        </w:tc>
        <w:tc>
          <w:tcPr>
            <w:tcW w:w="2112" w:type="dxa"/>
            <w:shd w:val="clear" w:color="auto" w:fill="auto"/>
            <w:vAlign w:val="center"/>
            <w:hideMark/>
          </w:tcPr>
          <w:p w14:paraId="0829A79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ΕΚΠΑΙΔΕΥΣΗ ΠΡΟΣΩΠΙΚΟΥ ΕΝΟΠΛΩΝ ΔΥΝΑΜΕΩΝ</w:t>
            </w:r>
          </w:p>
        </w:tc>
        <w:tc>
          <w:tcPr>
            <w:tcW w:w="1752" w:type="dxa"/>
            <w:shd w:val="clear" w:color="auto" w:fill="auto"/>
            <w:vAlign w:val="center"/>
            <w:hideMark/>
          </w:tcPr>
          <w:p w14:paraId="410FD02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shd w:val="clear" w:color="auto" w:fill="auto"/>
            <w:vAlign w:val="center"/>
            <w:hideMark/>
          </w:tcPr>
          <w:p w14:paraId="16B1691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91.962 €</w:t>
            </w:r>
          </w:p>
        </w:tc>
        <w:tc>
          <w:tcPr>
            <w:tcW w:w="1306" w:type="dxa"/>
            <w:shd w:val="clear" w:color="auto" w:fill="auto"/>
            <w:vAlign w:val="center"/>
            <w:hideMark/>
          </w:tcPr>
          <w:p w14:paraId="2F1A94E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29CEC55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91.962 €</w:t>
            </w:r>
          </w:p>
        </w:tc>
      </w:tr>
      <w:tr w:rsidR="00E72A48" w:rsidRPr="00EF606E" w14:paraId="49E9DB23" w14:textId="77777777" w:rsidTr="0007734A">
        <w:trPr>
          <w:cantSplit/>
          <w:trHeight w:val="420"/>
          <w:jc w:val="center"/>
        </w:trPr>
        <w:tc>
          <w:tcPr>
            <w:tcW w:w="1051" w:type="dxa"/>
            <w:shd w:val="clear" w:color="auto" w:fill="auto"/>
            <w:vAlign w:val="center"/>
            <w:hideMark/>
          </w:tcPr>
          <w:p w14:paraId="6DD126F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09.1020.001</w:t>
            </w:r>
          </w:p>
        </w:tc>
        <w:tc>
          <w:tcPr>
            <w:tcW w:w="2112" w:type="dxa"/>
            <w:shd w:val="clear" w:color="auto" w:fill="auto"/>
            <w:vAlign w:val="center"/>
            <w:hideMark/>
          </w:tcPr>
          <w:p w14:paraId="0BCFF61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ΠΡΩΤΟΒΑΘΜΙΑ/ ΔΕΥΤΕΡΟΒΑΘΜΙΑ ΕΚΠΑΙΔΕΥΣΗ</w:t>
            </w:r>
          </w:p>
        </w:tc>
        <w:tc>
          <w:tcPr>
            <w:tcW w:w="1752" w:type="dxa"/>
            <w:shd w:val="clear" w:color="auto" w:fill="auto"/>
            <w:vAlign w:val="center"/>
            <w:hideMark/>
          </w:tcPr>
          <w:p w14:paraId="4420CB0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shd w:val="clear" w:color="auto" w:fill="auto"/>
            <w:vAlign w:val="center"/>
            <w:hideMark/>
          </w:tcPr>
          <w:p w14:paraId="3919193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4.008.782 €</w:t>
            </w:r>
          </w:p>
        </w:tc>
        <w:tc>
          <w:tcPr>
            <w:tcW w:w="1306" w:type="dxa"/>
            <w:shd w:val="clear" w:color="auto" w:fill="auto"/>
            <w:vAlign w:val="center"/>
            <w:hideMark/>
          </w:tcPr>
          <w:p w14:paraId="12E8443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121.336 €</w:t>
            </w:r>
          </w:p>
        </w:tc>
        <w:tc>
          <w:tcPr>
            <w:tcW w:w="1699" w:type="dxa"/>
            <w:shd w:val="clear" w:color="auto" w:fill="auto"/>
            <w:vAlign w:val="center"/>
            <w:hideMark/>
          </w:tcPr>
          <w:p w14:paraId="738ED76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4.130.118 €</w:t>
            </w:r>
          </w:p>
        </w:tc>
      </w:tr>
      <w:tr w:rsidR="00E72A48" w:rsidRPr="00EF606E" w14:paraId="37AE377A" w14:textId="77777777" w:rsidTr="0007734A">
        <w:trPr>
          <w:cantSplit/>
          <w:trHeight w:val="420"/>
          <w:jc w:val="center"/>
        </w:trPr>
        <w:tc>
          <w:tcPr>
            <w:tcW w:w="1051" w:type="dxa"/>
            <w:shd w:val="clear" w:color="auto" w:fill="auto"/>
            <w:vAlign w:val="center"/>
            <w:hideMark/>
          </w:tcPr>
          <w:p w14:paraId="2B88B66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09.1020.002</w:t>
            </w:r>
          </w:p>
        </w:tc>
        <w:tc>
          <w:tcPr>
            <w:tcW w:w="2112" w:type="dxa"/>
            <w:shd w:val="clear" w:color="auto" w:fill="auto"/>
            <w:vAlign w:val="center"/>
            <w:hideMark/>
          </w:tcPr>
          <w:p w14:paraId="36C9EAA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ΤΡΙΤΟΒΑΘΜΙΑ ΕΚΠΑΙΔΕΥΣΗ</w:t>
            </w:r>
          </w:p>
        </w:tc>
        <w:tc>
          <w:tcPr>
            <w:tcW w:w="1752" w:type="dxa"/>
            <w:shd w:val="clear" w:color="auto" w:fill="auto"/>
            <w:vAlign w:val="center"/>
            <w:hideMark/>
          </w:tcPr>
          <w:p w14:paraId="7B3BD7B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shd w:val="clear" w:color="auto" w:fill="auto"/>
            <w:vAlign w:val="center"/>
            <w:hideMark/>
          </w:tcPr>
          <w:p w14:paraId="41CF798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921.136 €</w:t>
            </w:r>
          </w:p>
        </w:tc>
        <w:tc>
          <w:tcPr>
            <w:tcW w:w="1306" w:type="dxa"/>
            <w:shd w:val="clear" w:color="auto" w:fill="auto"/>
            <w:vAlign w:val="center"/>
            <w:hideMark/>
          </w:tcPr>
          <w:p w14:paraId="4F75CED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1.425.534 €</w:t>
            </w:r>
          </w:p>
        </w:tc>
        <w:tc>
          <w:tcPr>
            <w:tcW w:w="1699" w:type="dxa"/>
            <w:shd w:val="clear" w:color="auto" w:fill="auto"/>
            <w:vAlign w:val="center"/>
            <w:hideMark/>
          </w:tcPr>
          <w:p w14:paraId="758CDAA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2.346.670 €</w:t>
            </w:r>
          </w:p>
        </w:tc>
      </w:tr>
      <w:tr w:rsidR="00E72A48" w:rsidRPr="00EF606E" w14:paraId="56A501C3" w14:textId="77777777" w:rsidTr="0007734A">
        <w:trPr>
          <w:cantSplit/>
          <w:trHeight w:val="420"/>
          <w:jc w:val="center"/>
        </w:trPr>
        <w:tc>
          <w:tcPr>
            <w:tcW w:w="1051" w:type="dxa"/>
            <w:shd w:val="clear" w:color="auto" w:fill="auto"/>
            <w:vAlign w:val="center"/>
            <w:hideMark/>
          </w:tcPr>
          <w:p w14:paraId="31931D4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09.1020.003</w:t>
            </w:r>
          </w:p>
        </w:tc>
        <w:tc>
          <w:tcPr>
            <w:tcW w:w="2112" w:type="dxa"/>
            <w:shd w:val="clear" w:color="auto" w:fill="auto"/>
            <w:vAlign w:val="center"/>
            <w:hideMark/>
          </w:tcPr>
          <w:p w14:paraId="73D83F4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ΕΠΑΓΓΕΛΜΑΤΙΚΗ ΕΚΠΑΙΔΕΥΣΗ ΚΑΙ ΔΙΑ ΒΙΟΥ ΜΑΘΗΣΗ</w:t>
            </w:r>
          </w:p>
        </w:tc>
        <w:tc>
          <w:tcPr>
            <w:tcW w:w="1752" w:type="dxa"/>
            <w:shd w:val="clear" w:color="auto" w:fill="auto"/>
            <w:vAlign w:val="center"/>
            <w:hideMark/>
          </w:tcPr>
          <w:p w14:paraId="4A018AD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shd w:val="clear" w:color="auto" w:fill="auto"/>
            <w:vAlign w:val="center"/>
            <w:hideMark/>
          </w:tcPr>
          <w:p w14:paraId="383875E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346.145 €</w:t>
            </w:r>
          </w:p>
        </w:tc>
        <w:tc>
          <w:tcPr>
            <w:tcW w:w="1306" w:type="dxa"/>
            <w:shd w:val="clear" w:color="auto" w:fill="auto"/>
            <w:vAlign w:val="center"/>
            <w:hideMark/>
          </w:tcPr>
          <w:p w14:paraId="690F2AC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183.300 €</w:t>
            </w:r>
          </w:p>
        </w:tc>
        <w:tc>
          <w:tcPr>
            <w:tcW w:w="1699" w:type="dxa"/>
            <w:shd w:val="clear" w:color="auto" w:fill="auto"/>
            <w:vAlign w:val="center"/>
            <w:hideMark/>
          </w:tcPr>
          <w:p w14:paraId="05E8FFA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529.445 €</w:t>
            </w:r>
          </w:p>
        </w:tc>
      </w:tr>
      <w:tr w:rsidR="00E72A48" w:rsidRPr="00EF606E" w14:paraId="5B31447F" w14:textId="77777777" w:rsidTr="0007734A">
        <w:trPr>
          <w:cantSplit/>
          <w:trHeight w:val="420"/>
          <w:jc w:val="center"/>
        </w:trPr>
        <w:tc>
          <w:tcPr>
            <w:tcW w:w="1051" w:type="dxa"/>
            <w:shd w:val="clear" w:color="auto" w:fill="auto"/>
            <w:vAlign w:val="center"/>
            <w:hideMark/>
          </w:tcPr>
          <w:p w14:paraId="134169F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09.1020.004</w:t>
            </w:r>
          </w:p>
        </w:tc>
        <w:tc>
          <w:tcPr>
            <w:tcW w:w="2112" w:type="dxa"/>
            <w:shd w:val="clear" w:color="auto" w:fill="auto"/>
            <w:vAlign w:val="center"/>
            <w:hideMark/>
          </w:tcPr>
          <w:p w14:paraId="4F8BC1B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ΕΚΠΑΙΔΕΥΣΗ ΕΛΛΗΝΟΠΑΙΔΩΝ ΕΞΩΤΕΡΙΚΟΥ</w:t>
            </w:r>
          </w:p>
        </w:tc>
        <w:tc>
          <w:tcPr>
            <w:tcW w:w="1752" w:type="dxa"/>
            <w:shd w:val="clear" w:color="auto" w:fill="auto"/>
            <w:vAlign w:val="center"/>
            <w:hideMark/>
          </w:tcPr>
          <w:p w14:paraId="3F9342C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shd w:val="clear" w:color="auto" w:fill="auto"/>
            <w:vAlign w:val="center"/>
            <w:hideMark/>
          </w:tcPr>
          <w:p w14:paraId="0F768A9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19.082 €</w:t>
            </w:r>
          </w:p>
        </w:tc>
        <w:tc>
          <w:tcPr>
            <w:tcW w:w="1306" w:type="dxa"/>
            <w:shd w:val="clear" w:color="auto" w:fill="auto"/>
            <w:vAlign w:val="center"/>
            <w:hideMark/>
          </w:tcPr>
          <w:p w14:paraId="51AF8DB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56DC443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19.082 €</w:t>
            </w:r>
          </w:p>
        </w:tc>
      </w:tr>
      <w:tr w:rsidR="00E72A48" w:rsidRPr="00EF606E" w14:paraId="3555C895" w14:textId="77777777" w:rsidTr="0007734A">
        <w:trPr>
          <w:cantSplit/>
          <w:trHeight w:val="420"/>
          <w:jc w:val="center"/>
        </w:trPr>
        <w:tc>
          <w:tcPr>
            <w:tcW w:w="1051" w:type="dxa"/>
            <w:shd w:val="clear" w:color="auto" w:fill="auto"/>
            <w:vAlign w:val="center"/>
            <w:hideMark/>
          </w:tcPr>
          <w:p w14:paraId="0C1DB28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09.1020.005</w:t>
            </w:r>
          </w:p>
        </w:tc>
        <w:tc>
          <w:tcPr>
            <w:tcW w:w="2112" w:type="dxa"/>
            <w:shd w:val="clear" w:color="auto" w:fill="auto"/>
            <w:vAlign w:val="center"/>
            <w:hideMark/>
          </w:tcPr>
          <w:p w14:paraId="6A56983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ΘΡΗΣΚΕΥΤΙΚΗ ΕΚΠΑΙΔΕΥΣΗ</w:t>
            </w:r>
          </w:p>
        </w:tc>
        <w:tc>
          <w:tcPr>
            <w:tcW w:w="1752" w:type="dxa"/>
            <w:shd w:val="clear" w:color="auto" w:fill="auto"/>
            <w:vAlign w:val="center"/>
            <w:hideMark/>
          </w:tcPr>
          <w:p w14:paraId="171A788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shd w:val="clear" w:color="auto" w:fill="auto"/>
            <w:vAlign w:val="center"/>
            <w:hideMark/>
          </w:tcPr>
          <w:p w14:paraId="6D8DD6B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6.907 €</w:t>
            </w:r>
          </w:p>
        </w:tc>
        <w:tc>
          <w:tcPr>
            <w:tcW w:w="1306" w:type="dxa"/>
            <w:shd w:val="clear" w:color="auto" w:fill="auto"/>
            <w:vAlign w:val="center"/>
            <w:hideMark/>
          </w:tcPr>
          <w:p w14:paraId="7573DD6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474 €</w:t>
            </w:r>
          </w:p>
        </w:tc>
        <w:tc>
          <w:tcPr>
            <w:tcW w:w="1699" w:type="dxa"/>
            <w:shd w:val="clear" w:color="auto" w:fill="auto"/>
            <w:vAlign w:val="center"/>
            <w:hideMark/>
          </w:tcPr>
          <w:p w14:paraId="7900F8C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7.380 €</w:t>
            </w:r>
          </w:p>
        </w:tc>
      </w:tr>
      <w:tr w:rsidR="00E72A48" w:rsidRPr="00EF606E" w14:paraId="11577B10" w14:textId="77777777" w:rsidTr="0007734A">
        <w:trPr>
          <w:cantSplit/>
          <w:trHeight w:val="630"/>
          <w:jc w:val="center"/>
        </w:trPr>
        <w:tc>
          <w:tcPr>
            <w:tcW w:w="1051" w:type="dxa"/>
            <w:shd w:val="clear" w:color="auto" w:fill="auto"/>
            <w:vAlign w:val="center"/>
            <w:hideMark/>
          </w:tcPr>
          <w:p w14:paraId="36FCDC9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09.1020.006</w:t>
            </w:r>
          </w:p>
        </w:tc>
        <w:tc>
          <w:tcPr>
            <w:tcW w:w="2112" w:type="dxa"/>
            <w:shd w:val="clear" w:color="auto" w:fill="auto"/>
            <w:vAlign w:val="center"/>
            <w:hideMark/>
          </w:tcPr>
          <w:p w14:paraId="1DA6516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ΠΑΙΔΕΙΑΣ, ΘΡΗΣΚΕΥΜΑΤΩΝ ΚΑΙ ΑΘΛΗΤΙΣΜΟΥ</w:t>
            </w:r>
          </w:p>
        </w:tc>
        <w:tc>
          <w:tcPr>
            <w:tcW w:w="1752" w:type="dxa"/>
            <w:shd w:val="clear" w:color="auto" w:fill="auto"/>
            <w:vAlign w:val="center"/>
            <w:hideMark/>
          </w:tcPr>
          <w:p w14:paraId="108D0AF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shd w:val="clear" w:color="auto" w:fill="auto"/>
            <w:vAlign w:val="center"/>
            <w:hideMark/>
          </w:tcPr>
          <w:p w14:paraId="0DEABB4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187.833 €</w:t>
            </w:r>
          </w:p>
        </w:tc>
        <w:tc>
          <w:tcPr>
            <w:tcW w:w="1306" w:type="dxa"/>
            <w:shd w:val="clear" w:color="auto" w:fill="auto"/>
            <w:vAlign w:val="center"/>
            <w:hideMark/>
          </w:tcPr>
          <w:p w14:paraId="011FCEA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42 €</w:t>
            </w:r>
          </w:p>
        </w:tc>
        <w:tc>
          <w:tcPr>
            <w:tcW w:w="1699" w:type="dxa"/>
            <w:shd w:val="clear" w:color="auto" w:fill="auto"/>
            <w:vAlign w:val="center"/>
            <w:hideMark/>
          </w:tcPr>
          <w:p w14:paraId="3C472B5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187.875 €</w:t>
            </w:r>
          </w:p>
        </w:tc>
      </w:tr>
      <w:tr w:rsidR="00E72A48" w:rsidRPr="00EF606E" w14:paraId="5FDC253F" w14:textId="77777777" w:rsidTr="0007734A">
        <w:trPr>
          <w:cantSplit/>
          <w:trHeight w:val="420"/>
          <w:jc w:val="center"/>
        </w:trPr>
        <w:tc>
          <w:tcPr>
            <w:tcW w:w="1051" w:type="dxa"/>
            <w:shd w:val="clear" w:color="auto" w:fill="auto"/>
            <w:vAlign w:val="center"/>
            <w:hideMark/>
          </w:tcPr>
          <w:p w14:paraId="6418BF7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09.1020.007</w:t>
            </w:r>
          </w:p>
        </w:tc>
        <w:tc>
          <w:tcPr>
            <w:tcW w:w="2112" w:type="dxa"/>
            <w:shd w:val="clear" w:color="auto" w:fill="auto"/>
            <w:vAlign w:val="center"/>
            <w:hideMark/>
          </w:tcPr>
          <w:p w14:paraId="24755FD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ΔΙΑΣΦΑΛΙΣΗ ΤΗΣ ΠΟΙΟΤΗΤΑΣ ΣΤΗΝ ΠΡΩΤΟΒΑΘΜΙΑ ΚΑΙ ΔΕΥΤΕΡΟΒΑΘΜΙΑ ΕΚΠΑΙΔΕΥΣΗ</w:t>
            </w:r>
          </w:p>
        </w:tc>
        <w:tc>
          <w:tcPr>
            <w:tcW w:w="1752" w:type="dxa"/>
            <w:shd w:val="clear" w:color="auto" w:fill="auto"/>
            <w:vAlign w:val="center"/>
            <w:hideMark/>
          </w:tcPr>
          <w:p w14:paraId="45E9A1E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shd w:val="clear" w:color="auto" w:fill="auto"/>
            <w:vAlign w:val="center"/>
            <w:hideMark/>
          </w:tcPr>
          <w:p w14:paraId="2EF3FD1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77 €</w:t>
            </w:r>
          </w:p>
        </w:tc>
        <w:tc>
          <w:tcPr>
            <w:tcW w:w="1306" w:type="dxa"/>
            <w:shd w:val="clear" w:color="auto" w:fill="auto"/>
            <w:vAlign w:val="center"/>
            <w:hideMark/>
          </w:tcPr>
          <w:p w14:paraId="6142539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488CE28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77 €</w:t>
            </w:r>
          </w:p>
        </w:tc>
      </w:tr>
      <w:tr w:rsidR="00E72A48" w:rsidRPr="00EF606E" w14:paraId="0EB7BF1D" w14:textId="77777777" w:rsidTr="0007734A">
        <w:trPr>
          <w:cantSplit/>
          <w:trHeight w:val="420"/>
          <w:jc w:val="center"/>
        </w:trPr>
        <w:tc>
          <w:tcPr>
            <w:tcW w:w="1051" w:type="dxa"/>
            <w:shd w:val="clear" w:color="auto" w:fill="auto"/>
            <w:vAlign w:val="center"/>
            <w:hideMark/>
          </w:tcPr>
          <w:p w14:paraId="1B8DBC8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09.1020.008</w:t>
            </w:r>
          </w:p>
        </w:tc>
        <w:tc>
          <w:tcPr>
            <w:tcW w:w="2112" w:type="dxa"/>
            <w:shd w:val="clear" w:color="auto" w:fill="auto"/>
            <w:vAlign w:val="center"/>
            <w:hideMark/>
          </w:tcPr>
          <w:p w14:paraId="27873ED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ΕΘΝΙΚΗ ΑΡΧΗ ΑΝΩΤΑΤΗΣ ΕΚΠΑΙΔΕΥΣΗΣ</w:t>
            </w:r>
          </w:p>
        </w:tc>
        <w:tc>
          <w:tcPr>
            <w:tcW w:w="1752" w:type="dxa"/>
            <w:shd w:val="clear" w:color="auto" w:fill="auto"/>
            <w:vAlign w:val="center"/>
            <w:hideMark/>
          </w:tcPr>
          <w:p w14:paraId="0A81D0B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shd w:val="clear" w:color="auto" w:fill="auto"/>
            <w:vAlign w:val="center"/>
            <w:hideMark/>
          </w:tcPr>
          <w:p w14:paraId="3130A87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6.667 €</w:t>
            </w:r>
          </w:p>
        </w:tc>
        <w:tc>
          <w:tcPr>
            <w:tcW w:w="1306" w:type="dxa"/>
            <w:shd w:val="clear" w:color="auto" w:fill="auto"/>
            <w:vAlign w:val="center"/>
            <w:hideMark/>
          </w:tcPr>
          <w:p w14:paraId="32BBA89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6440382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6.667 €</w:t>
            </w:r>
          </w:p>
        </w:tc>
      </w:tr>
      <w:tr w:rsidR="00E72A48" w:rsidRPr="00EF606E" w14:paraId="0D0A40B7" w14:textId="77777777" w:rsidTr="0007734A">
        <w:trPr>
          <w:cantSplit/>
          <w:trHeight w:val="420"/>
          <w:jc w:val="center"/>
        </w:trPr>
        <w:tc>
          <w:tcPr>
            <w:tcW w:w="1051" w:type="dxa"/>
            <w:shd w:val="clear" w:color="auto" w:fill="auto"/>
            <w:vAlign w:val="center"/>
            <w:hideMark/>
          </w:tcPr>
          <w:p w14:paraId="3A2B67D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09.1020.009</w:t>
            </w:r>
          </w:p>
        </w:tc>
        <w:tc>
          <w:tcPr>
            <w:tcW w:w="2112" w:type="dxa"/>
            <w:shd w:val="clear" w:color="auto" w:fill="auto"/>
            <w:vAlign w:val="center"/>
            <w:hideMark/>
          </w:tcPr>
          <w:p w14:paraId="2E3AA42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ΕΘΝΙΚΟΣ ΟΡΓΑΝΙΣΜΟΣ ΕΞΕΤΑΣΕΩΝ</w:t>
            </w:r>
          </w:p>
        </w:tc>
        <w:tc>
          <w:tcPr>
            <w:tcW w:w="1752" w:type="dxa"/>
            <w:shd w:val="clear" w:color="auto" w:fill="auto"/>
            <w:vAlign w:val="center"/>
            <w:hideMark/>
          </w:tcPr>
          <w:p w14:paraId="1AB937B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ΠΑΙΔΕΙΑΣ, ΘΡΗΣΚΕΥΜΑΤΩΝ ΚΑΙ ΑΘΛΗΤΙΣΜΟΥ</w:t>
            </w:r>
          </w:p>
        </w:tc>
        <w:tc>
          <w:tcPr>
            <w:tcW w:w="1152" w:type="dxa"/>
            <w:shd w:val="clear" w:color="auto" w:fill="auto"/>
            <w:vAlign w:val="center"/>
            <w:hideMark/>
          </w:tcPr>
          <w:p w14:paraId="4E9BAB3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89 €</w:t>
            </w:r>
          </w:p>
        </w:tc>
        <w:tc>
          <w:tcPr>
            <w:tcW w:w="1306" w:type="dxa"/>
            <w:shd w:val="clear" w:color="auto" w:fill="auto"/>
            <w:vAlign w:val="center"/>
            <w:hideMark/>
          </w:tcPr>
          <w:p w14:paraId="450361B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2DC8D7C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89 €</w:t>
            </w:r>
          </w:p>
        </w:tc>
      </w:tr>
      <w:tr w:rsidR="00E72A48" w:rsidRPr="00EF606E" w14:paraId="4504D1A1" w14:textId="77777777" w:rsidTr="0007734A">
        <w:trPr>
          <w:cantSplit/>
          <w:trHeight w:val="420"/>
          <w:jc w:val="center"/>
        </w:trPr>
        <w:tc>
          <w:tcPr>
            <w:tcW w:w="1051" w:type="dxa"/>
            <w:shd w:val="clear" w:color="auto" w:fill="auto"/>
            <w:vAlign w:val="center"/>
            <w:hideMark/>
          </w:tcPr>
          <w:p w14:paraId="5D615D0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09.1024.001</w:t>
            </w:r>
          </w:p>
        </w:tc>
        <w:tc>
          <w:tcPr>
            <w:tcW w:w="2112" w:type="dxa"/>
            <w:shd w:val="clear" w:color="auto" w:fill="auto"/>
            <w:vAlign w:val="center"/>
            <w:hideMark/>
          </w:tcPr>
          <w:p w14:paraId="7B3AF0B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ΦΟΡΟΛΟΓΙΚΗ ΚΑΙ ΤΕΛΩΝΕΙΑΚΗ ΕΚΠΑΙΔΕΥΣΗ</w:t>
            </w:r>
          </w:p>
        </w:tc>
        <w:tc>
          <w:tcPr>
            <w:tcW w:w="1752" w:type="dxa"/>
            <w:shd w:val="clear" w:color="auto" w:fill="auto"/>
            <w:vAlign w:val="center"/>
            <w:hideMark/>
          </w:tcPr>
          <w:p w14:paraId="1F31A38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4E5A4BA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17.879 €</w:t>
            </w:r>
          </w:p>
        </w:tc>
        <w:tc>
          <w:tcPr>
            <w:tcW w:w="1306" w:type="dxa"/>
            <w:shd w:val="clear" w:color="auto" w:fill="auto"/>
            <w:vAlign w:val="center"/>
            <w:hideMark/>
          </w:tcPr>
          <w:p w14:paraId="7914291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1578594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17.879 €</w:t>
            </w:r>
          </w:p>
        </w:tc>
      </w:tr>
      <w:tr w:rsidR="00E72A48" w:rsidRPr="00EF606E" w14:paraId="5E638C73" w14:textId="77777777" w:rsidTr="0007734A">
        <w:trPr>
          <w:cantSplit/>
          <w:trHeight w:val="420"/>
          <w:jc w:val="center"/>
        </w:trPr>
        <w:tc>
          <w:tcPr>
            <w:tcW w:w="1051" w:type="dxa"/>
            <w:shd w:val="clear" w:color="auto" w:fill="auto"/>
            <w:vAlign w:val="center"/>
            <w:hideMark/>
          </w:tcPr>
          <w:p w14:paraId="64EADE1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09.1041.001</w:t>
            </w:r>
          </w:p>
        </w:tc>
        <w:tc>
          <w:tcPr>
            <w:tcW w:w="2112" w:type="dxa"/>
            <w:shd w:val="clear" w:color="auto" w:fill="auto"/>
            <w:vAlign w:val="center"/>
            <w:hideMark/>
          </w:tcPr>
          <w:p w14:paraId="2157C31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ΕΚΠΑΙΔΕΥΣΗ ΝΑΥΤΙΚΩΝ</w:t>
            </w:r>
          </w:p>
        </w:tc>
        <w:tc>
          <w:tcPr>
            <w:tcW w:w="1752" w:type="dxa"/>
            <w:shd w:val="clear" w:color="auto" w:fill="auto"/>
            <w:vAlign w:val="center"/>
            <w:hideMark/>
          </w:tcPr>
          <w:p w14:paraId="3EE4514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shd w:val="clear" w:color="auto" w:fill="auto"/>
            <w:vAlign w:val="center"/>
            <w:hideMark/>
          </w:tcPr>
          <w:p w14:paraId="580ED74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35.481 €</w:t>
            </w:r>
          </w:p>
        </w:tc>
        <w:tc>
          <w:tcPr>
            <w:tcW w:w="1306" w:type="dxa"/>
            <w:shd w:val="clear" w:color="auto" w:fill="auto"/>
            <w:vAlign w:val="center"/>
            <w:hideMark/>
          </w:tcPr>
          <w:p w14:paraId="4C667BE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12ABA84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35.481 €</w:t>
            </w:r>
          </w:p>
        </w:tc>
      </w:tr>
      <w:tr w:rsidR="00E72A48" w:rsidRPr="00EF606E" w14:paraId="4335E9E6" w14:textId="77777777" w:rsidTr="0007734A">
        <w:trPr>
          <w:cantSplit/>
          <w:trHeight w:val="210"/>
          <w:jc w:val="center"/>
        </w:trPr>
        <w:tc>
          <w:tcPr>
            <w:tcW w:w="1051" w:type="dxa"/>
            <w:shd w:val="clear" w:color="auto" w:fill="auto"/>
            <w:vAlign w:val="center"/>
            <w:hideMark/>
          </w:tcPr>
          <w:p w14:paraId="2C0FFDC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09.1045.001</w:t>
            </w:r>
          </w:p>
        </w:tc>
        <w:tc>
          <w:tcPr>
            <w:tcW w:w="2112" w:type="dxa"/>
            <w:shd w:val="clear" w:color="auto" w:fill="auto"/>
            <w:vAlign w:val="center"/>
            <w:hideMark/>
          </w:tcPr>
          <w:p w14:paraId="7C86B71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ΤΟΥΡΙΣΤΙΚΗ ΕΚΠΑΙΔΕΥΣΗ ΚΑΙ ΚΑΤΑΡΤΙΣΗ</w:t>
            </w:r>
          </w:p>
        </w:tc>
        <w:tc>
          <w:tcPr>
            <w:tcW w:w="1752" w:type="dxa"/>
            <w:shd w:val="clear" w:color="auto" w:fill="auto"/>
            <w:vAlign w:val="center"/>
            <w:hideMark/>
          </w:tcPr>
          <w:p w14:paraId="572BEA3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ΤΟΥΡΙΣΜΟΥ</w:t>
            </w:r>
          </w:p>
        </w:tc>
        <w:tc>
          <w:tcPr>
            <w:tcW w:w="1152" w:type="dxa"/>
            <w:shd w:val="clear" w:color="auto" w:fill="auto"/>
            <w:vAlign w:val="center"/>
            <w:hideMark/>
          </w:tcPr>
          <w:p w14:paraId="4AC5249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28.142 €</w:t>
            </w:r>
          </w:p>
        </w:tc>
        <w:tc>
          <w:tcPr>
            <w:tcW w:w="1306" w:type="dxa"/>
            <w:shd w:val="clear" w:color="auto" w:fill="auto"/>
            <w:vAlign w:val="center"/>
            <w:hideMark/>
          </w:tcPr>
          <w:p w14:paraId="081A4C5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73EF6D0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28.142 €</w:t>
            </w:r>
          </w:p>
        </w:tc>
      </w:tr>
      <w:tr w:rsidR="00E72A48" w:rsidRPr="00EF606E" w14:paraId="21DB990F" w14:textId="77777777" w:rsidTr="0007734A">
        <w:trPr>
          <w:cantSplit/>
          <w:trHeight w:val="210"/>
          <w:jc w:val="center"/>
        </w:trPr>
        <w:tc>
          <w:tcPr>
            <w:tcW w:w="1051" w:type="dxa"/>
            <w:shd w:val="clear" w:color="auto" w:fill="auto"/>
            <w:vAlign w:val="center"/>
            <w:hideMark/>
          </w:tcPr>
          <w:p w14:paraId="065B064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09.1057.001</w:t>
            </w:r>
          </w:p>
        </w:tc>
        <w:tc>
          <w:tcPr>
            <w:tcW w:w="2112" w:type="dxa"/>
            <w:shd w:val="clear" w:color="auto" w:fill="auto"/>
            <w:vAlign w:val="center"/>
            <w:hideMark/>
          </w:tcPr>
          <w:p w14:paraId="6D0CB6F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ΕΚΠΑΙΔΕΥΣΗ ΕΛΛΗΝΙΚΗΣ ΑΣΤΥΝΟΜΙΑΣ</w:t>
            </w:r>
          </w:p>
        </w:tc>
        <w:tc>
          <w:tcPr>
            <w:tcW w:w="1752" w:type="dxa"/>
            <w:shd w:val="clear" w:color="auto" w:fill="auto"/>
            <w:vAlign w:val="center"/>
            <w:hideMark/>
          </w:tcPr>
          <w:p w14:paraId="1BD343F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ΠΡΟΣΤΑΣΙΑΣ ΤΟΥ ΠΟΛΙΤΗ</w:t>
            </w:r>
          </w:p>
        </w:tc>
        <w:tc>
          <w:tcPr>
            <w:tcW w:w="1152" w:type="dxa"/>
            <w:shd w:val="clear" w:color="auto" w:fill="auto"/>
            <w:vAlign w:val="center"/>
            <w:hideMark/>
          </w:tcPr>
          <w:p w14:paraId="12E45EA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59.733 €</w:t>
            </w:r>
          </w:p>
        </w:tc>
        <w:tc>
          <w:tcPr>
            <w:tcW w:w="1306" w:type="dxa"/>
            <w:shd w:val="clear" w:color="auto" w:fill="auto"/>
            <w:vAlign w:val="center"/>
            <w:hideMark/>
          </w:tcPr>
          <w:p w14:paraId="5E0F544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0D200E9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59.733 €</w:t>
            </w:r>
          </w:p>
        </w:tc>
      </w:tr>
      <w:tr w:rsidR="00E72A48" w:rsidRPr="00EF606E" w14:paraId="73D2D65A" w14:textId="77777777" w:rsidTr="0007734A">
        <w:trPr>
          <w:cantSplit/>
          <w:trHeight w:val="420"/>
          <w:jc w:val="center"/>
        </w:trPr>
        <w:tc>
          <w:tcPr>
            <w:tcW w:w="1051" w:type="dxa"/>
            <w:shd w:val="clear" w:color="auto" w:fill="auto"/>
            <w:vAlign w:val="center"/>
            <w:hideMark/>
          </w:tcPr>
          <w:p w14:paraId="008B99C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09.1060.001</w:t>
            </w:r>
          </w:p>
        </w:tc>
        <w:tc>
          <w:tcPr>
            <w:tcW w:w="2112" w:type="dxa"/>
            <w:shd w:val="clear" w:color="auto" w:fill="auto"/>
            <w:vAlign w:val="center"/>
            <w:hideMark/>
          </w:tcPr>
          <w:p w14:paraId="069681F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ΕΚΠΑΙΔΕΥΣΗ ΠΥΡΟΣΒΕΣΤΙΚΟΥ ΣΩΜΑΤΟΣ</w:t>
            </w:r>
          </w:p>
        </w:tc>
        <w:tc>
          <w:tcPr>
            <w:tcW w:w="1752" w:type="dxa"/>
            <w:shd w:val="clear" w:color="auto" w:fill="auto"/>
            <w:vAlign w:val="center"/>
            <w:hideMark/>
          </w:tcPr>
          <w:p w14:paraId="5705B0E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ΚΛΙΜΑΤΙΚΗΣ ΚΡΙΣΗΣ ΚΑΙ ΠΟΛΙΤΙΚΗΣ ΠΡΟΣΤΑΣΙΑΣ</w:t>
            </w:r>
          </w:p>
        </w:tc>
        <w:tc>
          <w:tcPr>
            <w:tcW w:w="1152" w:type="dxa"/>
            <w:shd w:val="clear" w:color="auto" w:fill="auto"/>
            <w:vAlign w:val="center"/>
            <w:hideMark/>
          </w:tcPr>
          <w:p w14:paraId="1061A6F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16.423 €</w:t>
            </w:r>
          </w:p>
        </w:tc>
        <w:tc>
          <w:tcPr>
            <w:tcW w:w="1306" w:type="dxa"/>
            <w:shd w:val="clear" w:color="auto" w:fill="auto"/>
            <w:vAlign w:val="center"/>
            <w:hideMark/>
          </w:tcPr>
          <w:p w14:paraId="0D4FEA3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4DD808B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16.423 €</w:t>
            </w:r>
          </w:p>
        </w:tc>
      </w:tr>
      <w:tr w:rsidR="00E72A48" w:rsidRPr="00EF606E" w14:paraId="79D8EF8E" w14:textId="77777777" w:rsidTr="0007734A">
        <w:trPr>
          <w:cantSplit/>
          <w:trHeight w:val="195"/>
          <w:jc w:val="center"/>
        </w:trPr>
        <w:tc>
          <w:tcPr>
            <w:tcW w:w="1051" w:type="dxa"/>
            <w:shd w:val="clear" w:color="000000" w:fill="D9D9D9"/>
            <w:vAlign w:val="center"/>
            <w:hideMark/>
          </w:tcPr>
          <w:p w14:paraId="7A762949"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lastRenderedPageBreak/>
              <w:t>10</w:t>
            </w:r>
          </w:p>
        </w:tc>
        <w:tc>
          <w:tcPr>
            <w:tcW w:w="2112" w:type="dxa"/>
            <w:shd w:val="clear" w:color="000000" w:fill="D9D9D9"/>
            <w:vAlign w:val="center"/>
            <w:hideMark/>
          </w:tcPr>
          <w:p w14:paraId="221AD99F"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ΚΟΙΝΩΝΙΚΗ ΠΡΟΣΤΑΣΙΑ</w:t>
            </w:r>
          </w:p>
        </w:tc>
        <w:tc>
          <w:tcPr>
            <w:tcW w:w="1752" w:type="dxa"/>
            <w:shd w:val="clear" w:color="000000" w:fill="D9D9D9"/>
            <w:vAlign w:val="center"/>
            <w:hideMark/>
          </w:tcPr>
          <w:p w14:paraId="7B1B653A"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65075250"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2.300.452 €</w:t>
            </w:r>
          </w:p>
        </w:tc>
        <w:tc>
          <w:tcPr>
            <w:tcW w:w="1306" w:type="dxa"/>
            <w:shd w:val="clear" w:color="000000" w:fill="D9D9D9"/>
            <w:vAlign w:val="center"/>
            <w:hideMark/>
          </w:tcPr>
          <w:p w14:paraId="64EDA4CC"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44.779.270 €</w:t>
            </w:r>
          </w:p>
        </w:tc>
        <w:tc>
          <w:tcPr>
            <w:tcW w:w="1699" w:type="dxa"/>
            <w:shd w:val="clear" w:color="000000" w:fill="D9D9D9"/>
            <w:vAlign w:val="center"/>
            <w:hideMark/>
          </w:tcPr>
          <w:p w14:paraId="0BD808DE"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47.079.721 €</w:t>
            </w:r>
          </w:p>
        </w:tc>
      </w:tr>
      <w:tr w:rsidR="00E72A48" w:rsidRPr="00EF606E" w14:paraId="5C819630" w14:textId="77777777" w:rsidTr="0007734A">
        <w:trPr>
          <w:cantSplit/>
          <w:trHeight w:val="210"/>
          <w:jc w:val="center"/>
        </w:trPr>
        <w:tc>
          <w:tcPr>
            <w:tcW w:w="1051" w:type="dxa"/>
            <w:shd w:val="clear" w:color="auto" w:fill="auto"/>
            <w:vAlign w:val="center"/>
            <w:hideMark/>
          </w:tcPr>
          <w:p w14:paraId="126B22A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10.1011.001</w:t>
            </w:r>
          </w:p>
        </w:tc>
        <w:tc>
          <w:tcPr>
            <w:tcW w:w="2112" w:type="dxa"/>
            <w:shd w:val="clear" w:color="auto" w:fill="auto"/>
            <w:vAlign w:val="center"/>
            <w:hideMark/>
          </w:tcPr>
          <w:p w14:paraId="331D5B7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ΚΟΙΝΩΝΙΚΗ ΜΕΡΙΜΝΑ ΠΡΟΣΩΠΙΚΟΥ</w:t>
            </w:r>
          </w:p>
        </w:tc>
        <w:tc>
          <w:tcPr>
            <w:tcW w:w="1752" w:type="dxa"/>
            <w:shd w:val="clear" w:color="auto" w:fill="auto"/>
            <w:vAlign w:val="center"/>
            <w:hideMark/>
          </w:tcPr>
          <w:p w14:paraId="084B260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ΑΜΥΝΑΣ</w:t>
            </w:r>
          </w:p>
        </w:tc>
        <w:tc>
          <w:tcPr>
            <w:tcW w:w="1152" w:type="dxa"/>
            <w:shd w:val="clear" w:color="auto" w:fill="auto"/>
            <w:vAlign w:val="center"/>
            <w:hideMark/>
          </w:tcPr>
          <w:p w14:paraId="45FD76D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33.435 €</w:t>
            </w:r>
          </w:p>
        </w:tc>
        <w:tc>
          <w:tcPr>
            <w:tcW w:w="1306" w:type="dxa"/>
            <w:shd w:val="clear" w:color="auto" w:fill="auto"/>
            <w:vAlign w:val="center"/>
            <w:hideMark/>
          </w:tcPr>
          <w:p w14:paraId="27C4C95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659.148 €</w:t>
            </w:r>
          </w:p>
        </w:tc>
        <w:tc>
          <w:tcPr>
            <w:tcW w:w="1699" w:type="dxa"/>
            <w:shd w:val="clear" w:color="auto" w:fill="auto"/>
            <w:vAlign w:val="center"/>
            <w:hideMark/>
          </w:tcPr>
          <w:p w14:paraId="436D8B3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692.583 €</w:t>
            </w:r>
          </w:p>
        </w:tc>
      </w:tr>
      <w:tr w:rsidR="00E72A48" w:rsidRPr="00EF606E" w14:paraId="0B7BB4E1" w14:textId="77777777" w:rsidTr="0007734A">
        <w:trPr>
          <w:cantSplit/>
          <w:trHeight w:val="210"/>
          <w:jc w:val="center"/>
        </w:trPr>
        <w:tc>
          <w:tcPr>
            <w:tcW w:w="1051" w:type="dxa"/>
            <w:shd w:val="clear" w:color="auto" w:fill="auto"/>
            <w:vAlign w:val="center"/>
            <w:hideMark/>
          </w:tcPr>
          <w:p w14:paraId="726BA2E6"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10.1015.001</w:t>
            </w:r>
          </w:p>
        </w:tc>
        <w:tc>
          <w:tcPr>
            <w:tcW w:w="2112" w:type="dxa"/>
            <w:shd w:val="clear" w:color="auto" w:fill="auto"/>
            <w:vAlign w:val="center"/>
            <w:hideMark/>
          </w:tcPr>
          <w:p w14:paraId="26554E3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ΑΝΤΙΜΕΤΩΠΙΣΗ ΤΩΝ ΕΞΑΡΤΗΣΕΩΝ</w:t>
            </w:r>
          </w:p>
        </w:tc>
        <w:tc>
          <w:tcPr>
            <w:tcW w:w="1752" w:type="dxa"/>
            <w:shd w:val="clear" w:color="auto" w:fill="auto"/>
            <w:vAlign w:val="center"/>
            <w:hideMark/>
          </w:tcPr>
          <w:p w14:paraId="31A7373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ΥΓΕΙΑΣ</w:t>
            </w:r>
          </w:p>
        </w:tc>
        <w:tc>
          <w:tcPr>
            <w:tcW w:w="1152" w:type="dxa"/>
            <w:shd w:val="clear" w:color="auto" w:fill="auto"/>
            <w:vAlign w:val="center"/>
            <w:hideMark/>
          </w:tcPr>
          <w:p w14:paraId="76FE875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43.263 €</w:t>
            </w:r>
          </w:p>
        </w:tc>
        <w:tc>
          <w:tcPr>
            <w:tcW w:w="1306" w:type="dxa"/>
            <w:shd w:val="clear" w:color="auto" w:fill="auto"/>
            <w:vAlign w:val="center"/>
            <w:hideMark/>
          </w:tcPr>
          <w:p w14:paraId="1D9AAAD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103.095 €</w:t>
            </w:r>
          </w:p>
        </w:tc>
        <w:tc>
          <w:tcPr>
            <w:tcW w:w="1699" w:type="dxa"/>
            <w:shd w:val="clear" w:color="auto" w:fill="auto"/>
            <w:vAlign w:val="center"/>
            <w:hideMark/>
          </w:tcPr>
          <w:p w14:paraId="519991D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146.358 €</w:t>
            </w:r>
          </w:p>
        </w:tc>
      </w:tr>
      <w:tr w:rsidR="00E72A48" w:rsidRPr="00EF606E" w14:paraId="2D04967B" w14:textId="77777777" w:rsidTr="0007734A">
        <w:trPr>
          <w:cantSplit/>
          <w:trHeight w:val="420"/>
          <w:jc w:val="center"/>
        </w:trPr>
        <w:tc>
          <w:tcPr>
            <w:tcW w:w="1051" w:type="dxa"/>
            <w:shd w:val="clear" w:color="auto" w:fill="auto"/>
            <w:vAlign w:val="center"/>
            <w:hideMark/>
          </w:tcPr>
          <w:p w14:paraId="23D6C6D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10.1024.001</w:t>
            </w:r>
          </w:p>
        </w:tc>
        <w:tc>
          <w:tcPr>
            <w:tcW w:w="2112" w:type="dxa"/>
            <w:shd w:val="clear" w:color="auto" w:fill="auto"/>
            <w:vAlign w:val="center"/>
            <w:hideMark/>
          </w:tcPr>
          <w:p w14:paraId="0196512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ΔΡΑΣΕΙΣ ΚΟΙΝΩΝΙΚΗΣ ΠΡΟΣΤΑΣΙΑΣ</w:t>
            </w:r>
          </w:p>
        </w:tc>
        <w:tc>
          <w:tcPr>
            <w:tcW w:w="1752" w:type="dxa"/>
            <w:shd w:val="clear" w:color="auto" w:fill="auto"/>
            <w:vAlign w:val="center"/>
            <w:hideMark/>
          </w:tcPr>
          <w:p w14:paraId="7EB3864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ΕΘΝΙΚΗΣ ΟΙΚΟΝΟΜΙΑΣ ΚΑΙ ΟΙΚΟΝΟΜΙΚΩΝ</w:t>
            </w:r>
          </w:p>
        </w:tc>
        <w:tc>
          <w:tcPr>
            <w:tcW w:w="1152" w:type="dxa"/>
            <w:shd w:val="clear" w:color="auto" w:fill="auto"/>
            <w:vAlign w:val="center"/>
            <w:hideMark/>
          </w:tcPr>
          <w:p w14:paraId="483428F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784.724 €</w:t>
            </w:r>
          </w:p>
        </w:tc>
        <w:tc>
          <w:tcPr>
            <w:tcW w:w="1306" w:type="dxa"/>
            <w:shd w:val="clear" w:color="auto" w:fill="auto"/>
            <w:vAlign w:val="center"/>
            <w:hideMark/>
          </w:tcPr>
          <w:p w14:paraId="14146DD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6EC5957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784.724 €</w:t>
            </w:r>
          </w:p>
        </w:tc>
      </w:tr>
      <w:tr w:rsidR="00E72A48" w:rsidRPr="00EF606E" w14:paraId="08AF396B" w14:textId="77777777" w:rsidTr="0007734A">
        <w:trPr>
          <w:cantSplit/>
          <w:trHeight w:val="630"/>
          <w:jc w:val="center"/>
        </w:trPr>
        <w:tc>
          <w:tcPr>
            <w:tcW w:w="1051" w:type="dxa"/>
            <w:shd w:val="clear" w:color="auto" w:fill="auto"/>
            <w:vAlign w:val="center"/>
            <w:hideMark/>
          </w:tcPr>
          <w:p w14:paraId="240DBDD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10.1032.001</w:t>
            </w:r>
          </w:p>
        </w:tc>
        <w:tc>
          <w:tcPr>
            <w:tcW w:w="2112" w:type="dxa"/>
            <w:shd w:val="clear" w:color="auto" w:fill="auto"/>
            <w:vAlign w:val="center"/>
            <w:hideMark/>
          </w:tcPr>
          <w:p w14:paraId="3E38635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ΕΠΕΝΔΥΣΕΙΣ ΚΑΙ ΔΙΑΜΟΡΦΩΣΗ ΠΟΛΙΤΙΚΩΝ ΥΠΟΥΡΓΕΙΟΥ ΕΡΓΑΣΙΑΣ ΚΑΙ ΚΟΙΝΩΝΙΚΗΣ ΑΣΦΑΛΙΣΗΣ</w:t>
            </w:r>
          </w:p>
        </w:tc>
        <w:tc>
          <w:tcPr>
            <w:tcW w:w="1752" w:type="dxa"/>
            <w:shd w:val="clear" w:color="auto" w:fill="auto"/>
            <w:vAlign w:val="center"/>
            <w:hideMark/>
          </w:tcPr>
          <w:p w14:paraId="14485EC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ΕΡΓΑΣΙΑΣ ΚΑΙ ΚΟΙΝΩΝΙΚΗΣ ΑΣΦΑΛΙΣΗΣ</w:t>
            </w:r>
          </w:p>
        </w:tc>
        <w:tc>
          <w:tcPr>
            <w:tcW w:w="1152" w:type="dxa"/>
            <w:shd w:val="clear" w:color="auto" w:fill="auto"/>
            <w:vAlign w:val="center"/>
            <w:hideMark/>
          </w:tcPr>
          <w:p w14:paraId="376874B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53.063 €</w:t>
            </w:r>
          </w:p>
        </w:tc>
        <w:tc>
          <w:tcPr>
            <w:tcW w:w="1306" w:type="dxa"/>
            <w:shd w:val="clear" w:color="auto" w:fill="auto"/>
            <w:vAlign w:val="center"/>
            <w:hideMark/>
          </w:tcPr>
          <w:p w14:paraId="3D51B54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02A4D5E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53.063 €</w:t>
            </w:r>
          </w:p>
        </w:tc>
      </w:tr>
      <w:tr w:rsidR="00E72A48" w:rsidRPr="00EF606E" w14:paraId="2DD50F5E" w14:textId="77777777" w:rsidTr="0007734A">
        <w:trPr>
          <w:cantSplit/>
          <w:trHeight w:val="420"/>
          <w:jc w:val="center"/>
        </w:trPr>
        <w:tc>
          <w:tcPr>
            <w:tcW w:w="1051" w:type="dxa"/>
            <w:shd w:val="clear" w:color="auto" w:fill="auto"/>
            <w:vAlign w:val="center"/>
            <w:hideMark/>
          </w:tcPr>
          <w:p w14:paraId="453A755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10.1032.002</w:t>
            </w:r>
          </w:p>
        </w:tc>
        <w:tc>
          <w:tcPr>
            <w:tcW w:w="2112" w:type="dxa"/>
            <w:shd w:val="clear" w:color="auto" w:fill="auto"/>
            <w:vAlign w:val="center"/>
            <w:hideMark/>
          </w:tcPr>
          <w:p w14:paraId="6EB3A52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ΠΟΛΙΤΙΚΕΣ ΚΟΙΝΩΝΙΚΗΣ ΑΣΦΑΛΙΣΗΣ</w:t>
            </w:r>
          </w:p>
        </w:tc>
        <w:tc>
          <w:tcPr>
            <w:tcW w:w="1752" w:type="dxa"/>
            <w:shd w:val="clear" w:color="auto" w:fill="auto"/>
            <w:vAlign w:val="center"/>
            <w:hideMark/>
          </w:tcPr>
          <w:p w14:paraId="7CD3493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ΕΡΓΑΣΙΑΣ ΚΑΙ ΚΟΙΝΩΝΙΚΗΣ ΑΣΦΑΛΙΣΗΣ</w:t>
            </w:r>
          </w:p>
        </w:tc>
        <w:tc>
          <w:tcPr>
            <w:tcW w:w="1152" w:type="dxa"/>
            <w:shd w:val="clear" w:color="auto" w:fill="auto"/>
            <w:vAlign w:val="center"/>
            <w:hideMark/>
          </w:tcPr>
          <w:p w14:paraId="50ADB06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67.844 €</w:t>
            </w:r>
          </w:p>
        </w:tc>
        <w:tc>
          <w:tcPr>
            <w:tcW w:w="1306" w:type="dxa"/>
            <w:shd w:val="clear" w:color="auto" w:fill="auto"/>
            <w:vAlign w:val="center"/>
            <w:hideMark/>
          </w:tcPr>
          <w:p w14:paraId="32555A6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37.107.645 €</w:t>
            </w:r>
          </w:p>
        </w:tc>
        <w:tc>
          <w:tcPr>
            <w:tcW w:w="1699" w:type="dxa"/>
            <w:shd w:val="clear" w:color="auto" w:fill="auto"/>
            <w:vAlign w:val="center"/>
            <w:hideMark/>
          </w:tcPr>
          <w:p w14:paraId="0F78F17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37.175.489 €</w:t>
            </w:r>
          </w:p>
        </w:tc>
      </w:tr>
      <w:tr w:rsidR="00E72A48" w:rsidRPr="00EF606E" w14:paraId="5E8F8408" w14:textId="77777777" w:rsidTr="0007734A">
        <w:trPr>
          <w:cantSplit/>
          <w:trHeight w:val="420"/>
          <w:jc w:val="center"/>
        </w:trPr>
        <w:tc>
          <w:tcPr>
            <w:tcW w:w="1051" w:type="dxa"/>
            <w:shd w:val="clear" w:color="auto" w:fill="auto"/>
            <w:vAlign w:val="center"/>
            <w:hideMark/>
          </w:tcPr>
          <w:p w14:paraId="61BB638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10.1032.003</w:t>
            </w:r>
          </w:p>
        </w:tc>
        <w:tc>
          <w:tcPr>
            <w:tcW w:w="2112" w:type="dxa"/>
            <w:shd w:val="clear" w:color="auto" w:fill="auto"/>
            <w:vAlign w:val="center"/>
            <w:hideMark/>
          </w:tcPr>
          <w:p w14:paraId="6CE574AD"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ΠΟΛΙΤΙΚΕΣ ΣΤΗΡΙΞΗΣ ΤΗΣ ΕΡΓΑΣΙΑΣ</w:t>
            </w:r>
          </w:p>
        </w:tc>
        <w:tc>
          <w:tcPr>
            <w:tcW w:w="1752" w:type="dxa"/>
            <w:shd w:val="clear" w:color="auto" w:fill="auto"/>
            <w:vAlign w:val="center"/>
            <w:hideMark/>
          </w:tcPr>
          <w:p w14:paraId="39B9F3C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ΕΡΓΑΣΙΑΣ ΚΑΙ ΚΟΙΝΩΝΙΚΗΣ ΑΣΦΑΛΙΣΗΣ</w:t>
            </w:r>
          </w:p>
        </w:tc>
        <w:tc>
          <w:tcPr>
            <w:tcW w:w="1152" w:type="dxa"/>
            <w:shd w:val="clear" w:color="auto" w:fill="auto"/>
            <w:vAlign w:val="center"/>
            <w:hideMark/>
          </w:tcPr>
          <w:p w14:paraId="2DC903F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160.678 €</w:t>
            </w:r>
          </w:p>
        </w:tc>
        <w:tc>
          <w:tcPr>
            <w:tcW w:w="1306" w:type="dxa"/>
            <w:shd w:val="clear" w:color="auto" w:fill="auto"/>
            <w:vAlign w:val="center"/>
            <w:hideMark/>
          </w:tcPr>
          <w:p w14:paraId="13A9CDD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3.424.000 €</w:t>
            </w:r>
          </w:p>
        </w:tc>
        <w:tc>
          <w:tcPr>
            <w:tcW w:w="1699" w:type="dxa"/>
            <w:shd w:val="clear" w:color="auto" w:fill="auto"/>
            <w:vAlign w:val="center"/>
            <w:hideMark/>
          </w:tcPr>
          <w:p w14:paraId="744A399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3.584.678 €</w:t>
            </w:r>
          </w:p>
        </w:tc>
      </w:tr>
      <w:tr w:rsidR="00E72A48" w:rsidRPr="00EF606E" w14:paraId="38337E54" w14:textId="77777777" w:rsidTr="0007734A">
        <w:trPr>
          <w:cantSplit/>
          <w:trHeight w:val="420"/>
          <w:jc w:val="center"/>
        </w:trPr>
        <w:tc>
          <w:tcPr>
            <w:tcW w:w="1051" w:type="dxa"/>
            <w:shd w:val="clear" w:color="auto" w:fill="auto"/>
            <w:vAlign w:val="center"/>
            <w:hideMark/>
          </w:tcPr>
          <w:p w14:paraId="42C9199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10.1032.004</w:t>
            </w:r>
          </w:p>
        </w:tc>
        <w:tc>
          <w:tcPr>
            <w:tcW w:w="2112" w:type="dxa"/>
            <w:shd w:val="clear" w:color="auto" w:fill="auto"/>
            <w:vAlign w:val="center"/>
            <w:hideMark/>
          </w:tcPr>
          <w:p w14:paraId="37E8C62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ΕΛΕΓΧΟΣ ΤΗΣ ΑΓΟΡΑΣ ΕΡΓΑΣΙΑΣ</w:t>
            </w:r>
          </w:p>
        </w:tc>
        <w:tc>
          <w:tcPr>
            <w:tcW w:w="1752" w:type="dxa"/>
            <w:shd w:val="clear" w:color="auto" w:fill="auto"/>
            <w:vAlign w:val="center"/>
            <w:hideMark/>
          </w:tcPr>
          <w:p w14:paraId="7805798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ΕΡΓΑΣΙΑΣ ΚΑΙ ΚΟΙΝΩΝΙΚΗΣ ΑΣΦΑΛΙΣΗΣ</w:t>
            </w:r>
          </w:p>
        </w:tc>
        <w:tc>
          <w:tcPr>
            <w:tcW w:w="1152" w:type="dxa"/>
            <w:shd w:val="clear" w:color="auto" w:fill="auto"/>
            <w:vAlign w:val="center"/>
            <w:hideMark/>
          </w:tcPr>
          <w:p w14:paraId="05147AA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32.841 €</w:t>
            </w:r>
          </w:p>
        </w:tc>
        <w:tc>
          <w:tcPr>
            <w:tcW w:w="1306" w:type="dxa"/>
            <w:shd w:val="clear" w:color="auto" w:fill="auto"/>
            <w:vAlign w:val="center"/>
            <w:hideMark/>
          </w:tcPr>
          <w:p w14:paraId="7DB2122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336EAEC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32.841 €</w:t>
            </w:r>
          </w:p>
        </w:tc>
      </w:tr>
      <w:tr w:rsidR="00E72A48" w:rsidRPr="00EF606E" w14:paraId="6E703A5C" w14:textId="77777777" w:rsidTr="0007734A">
        <w:trPr>
          <w:cantSplit/>
          <w:trHeight w:val="420"/>
          <w:jc w:val="center"/>
        </w:trPr>
        <w:tc>
          <w:tcPr>
            <w:tcW w:w="1051" w:type="dxa"/>
            <w:shd w:val="clear" w:color="auto" w:fill="auto"/>
            <w:vAlign w:val="center"/>
            <w:hideMark/>
          </w:tcPr>
          <w:p w14:paraId="2A82304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10.1032.005</w:t>
            </w:r>
          </w:p>
        </w:tc>
        <w:tc>
          <w:tcPr>
            <w:tcW w:w="2112" w:type="dxa"/>
            <w:shd w:val="clear" w:color="auto" w:fill="auto"/>
            <w:vAlign w:val="center"/>
            <w:hideMark/>
          </w:tcPr>
          <w:p w14:paraId="5F833D3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ΣΤΑΤΙΣΤΙΚΑ ΔΕΔΟΜΕΝΑ ΚΑΙ ΕΡΕΥΝΕΣ ΕΑΑ</w:t>
            </w:r>
          </w:p>
        </w:tc>
        <w:tc>
          <w:tcPr>
            <w:tcW w:w="1752" w:type="dxa"/>
            <w:shd w:val="clear" w:color="auto" w:fill="auto"/>
            <w:vAlign w:val="center"/>
            <w:hideMark/>
          </w:tcPr>
          <w:p w14:paraId="48CFE82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ΕΡΓΑΣΙΑΣ ΚΑΙ ΚΟΙΝΩΝΙΚΗΣ ΑΣΦΑΛΙΣΗΣ</w:t>
            </w:r>
          </w:p>
        </w:tc>
        <w:tc>
          <w:tcPr>
            <w:tcW w:w="1152" w:type="dxa"/>
            <w:shd w:val="clear" w:color="auto" w:fill="auto"/>
            <w:vAlign w:val="center"/>
            <w:hideMark/>
          </w:tcPr>
          <w:p w14:paraId="6B0B02F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shd w:val="clear" w:color="auto" w:fill="auto"/>
            <w:vAlign w:val="center"/>
            <w:hideMark/>
          </w:tcPr>
          <w:p w14:paraId="207D271B"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488 €</w:t>
            </w:r>
          </w:p>
        </w:tc>
        <w:tc>
          <w:tcPr>
            <w:tcW w:w="1699" w:type="dxa"/>
            <w:shd w:val="clear" w:color="auto" w:fill="auto"/>
            <w:vAlign w:val="center"/>
            <w:hideMark/>
          </w:tcPr>
          <w:p w14:paraId="7C51EFF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488 €</w:t>
            </w:r>
          </w:p>
        </w:tc>
      </w:tr>
      <w:tr w:rsidR="00E72A48" w:rsidRPr="00EF606E" w14:paraId="7FC1B02E" w14:textId="77777777" w:rsidTr="0007734A">
        <w:trPr>
          <w:cantSplit/>
          <w:trHeight w:val="630"/>
          <w:jc w:val="center"/>
        </w:trPr>
        <w:tc>
          <w:tcPr>
            <w:tcW w:w="1051" w:type="dxa"/>
            <w:shd w:val="clear" w:color="auto" w:fill="auto"/>
            <w:vAlign w:val="center"/>
            <w:hideMark/>
          </w:tcPr>
          <w:p w14:paraId="627BD50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10.1034.001</w:t>
            </w:r>
          </w:p>
        </w:tc>
        <w:tc>
          <w:tcPr>
            <w:tcW w:w="2112" w:type="dxa"/>
            <w:shd w:val="clear" w:color="auto" w:fill="auto"/>
            <w:vAlign w:val="center"/>
            <w:hideMark/>
          </w:tcPr>
          <w:p w14:paraId="43A8664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ΕΠΕΝΔΥΣΕΙΣ ΚΑΙ ΔΙΑΜΟΡΦΩΣΗ ΠΟΛΙΤΙΚΩΝ ΥΠΟΥΡΓΕΙΟΥ ΚΟΙΝΩΝΙΚΗΣ ΣΥΝΟΧΗΣ ΚΑΙ ΟΙΚΟΓΕΝΕΙΑΣ</w:t>
            </w:r>
          </w:p>
        </w:tc>
        <w:tc>
          <w:tcPr>
            <w:tcW w:w="1752" w:type="dxa"/>
            <w:shd w:val="clear" w:color="auto" w:fill="auto"/>
            <w:vAlign w:val="center"/>
            <w:hideMark/>
          </w:tcPr>
          <w:p w14:paraId="2E6796F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ΚΟΙΝΩΝΙΚΗΣ ΣΥΝΟΧΗΣ ΚΑΙ ΟΙΚΟΓΕΝΕΙΑΣ</w:t>
            </w:r>
          </w:p>
        </w:tc>
        <w:tc>
          <w:tcPr>
            <w:tcW w:w="1152" w:type="dxa"/>
            <w:shd w:val="clear" w:color="auto" w:fill="auto"/>
            <w:vAlign w:val="center"/>
            <w:hideMark/>
          </w:tcPr>
          <w:p w14:paraId="57185DC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69.266 €</w:t>
            </w:r>
          </w:p>
        </w:tc>
        <w:tc>
          <w:tcPr>
            <w:tcW w:w="1306" w:type="dxa"/>
            <w:shd w:val="clear" w:color="auto" w:fill="auto"/>
            <w:vAlign w:val="center"/>
            <w:hideMark/>
          </w:tcPr>
          <w:p w14:paraId="5CD2440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09899FB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69.266 €</w:t>
            </w:r>
          </w:p>
        </w:tc>
      </w:tr>
      <w:tr w:rsidR="00E72A48" w:rsidRPr="00EF606E" w14:paraId="7369CDCA" w14:textId="77777777" w:rsidTr="0007734A">
        <w:trPr>
          <w:cantSplit/>
          <w:trHeight w:val="420"/>
          <w:jc w:val="center"/>
        </w:trPr>
        <w:tc>
          <w:tcPr>
            <w:tcW w:w="1051" w:type="dxa"/>
            <w:shd w:val="clear" w:color="auto" w:fill="auto"/>
            <w:vAlign w:val="center"/>
            <w:hideMark/>
          </w:tcPr>
          <w:p w14:paraId="4490E07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10.1034.002</w:t>
            </w:r>
          </w:p>
        </w:tc>
        <w:tc>
          <w:tcPr>
            <w:tcW w:w="2112" w:type="dxa"/>
            <w:shd w:val="clear" w:color="auto" w:fill="auto"/>
            <w:vAlign w:val="center"/>
            <w:hideMark/>
          </w:tcPr>
          <w:p w14:paraId="04FF92D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ΠΟΛΙΤΙΚΕΣ ΚΟΙΝΩΝΙΚΗΣ ΑΛΛΗΛΕΓΓΥΗΣ ΚΑΙ ΚΑΤΑΠΟΛΕΜΗΣΗΣ ΤΗΣ ΦΤΩΧΕΙΑΣ</w:t>
            </w:r>
          </w:p>
        </w:tc>
        <w:tc>
          <w:tcPr>
            <w:tcW w:w="1752" w:type="dxa"/>
            <w:shd w:val="clear" w:color="auto" w:fill="auto"/>
            <w:vAlign w:val="center"/>
            <w:hideMark/>
          </w:tcPr>
          <w:p w14:paraId="5BB10DA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ΚΟΙΝΩΝΙΚΗΣ ΣΥΝΟΧΗΣ ΚΑΙ ΟΙΚΟΓΕΝΕΙΑΣ</w:t>
            </w:r>
          </w:p>
        </w:tc>
        <w:tc>
          <w:tcPr>
            <w:tcW w:w="1152" w:type="dxa"/>
            <w:shd w:val="clear" w:color="auto" w:fill="auto"/>
            <w:vAlign w:val="center"/>
            <w:hideMark/>
          </w:tcPr>
          <w:p w14:paraId="3264DD4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267.955 €</w:t>
            </w:r>
          </w:p>
        </w:tc>
        <w:tc>
          <w:tcPr>
            <w:tcW w:w="1306" w:type="dxa"/>
            <w:shd w:val="clear" w:color="auto" w:fill="auto"/>
            <w:vAlign w:val="center"/>
            <w:hideMark/>
          </w:tcPr>
          <w:p w14:paraId="628A26C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3.325.015 €</w:t>
            </w:r>
          </w:p>
        </w:tc>
        <w:tc>
          <w:tcPr>
            <w:tcW w:w="1699" w:type="dxa"/>
            <w:shd w:val="clear" w:color="auto" w:fill="auto"/>
            <w:vAlign w:val="center"/>
            <w:hideMark/>
          </w:tcPr>
          <w:p w14:paraId="68FE009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3.592.970 €</w:t>
            </w:r>
          </w:p>
        </w:tc>
      </w:tr>
      <w:tr w:rsidR="00E72A48" w:rsidRPr="00EF606E" w14:paraId="2CC28AA3" w14:textId="77777777" w:rsidTr="0007734A">
        <w:trPr>
          <w:cantSplit/>
          <w:trHeight w:val="420"/>
          <w:jc w:val="center"/>
        </w:trPr>
        <w:tc>
          <w:tcPr>
            <w:tcW w:w="1051" w:type="dxa"/>
            <w:shd w:val="clear" w:color="auto" w:fill="auto"/>
            <w:vAlign w:val="center"/>
            <w:hideMark/>
          </w:tcPr>
          <w:p w14:paraId="3D08A0E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10.1034.003</w:t>
            </w:r>
          </w:p>
        </w:tc>
        <w:tc>
          <w:tcPr>
            <w:tcW w:w="2112" w:type="dxa"/>
            <w:shd w:val="clear" w:color="auto" w:fill="auto"/>
            <w:vAlign w:val="center"/>
            <w:hideMark/>
          </w:tcPr>
          <w:p w14:paraId="0F12057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ΠΟΛΙΤΙΚΕΣ ΓΙΑ ΤΗΝ ΙΣΟΤΗΤΑ ΤΩΝ ΦΥΛΩΝ ΚΑΙ ΤΑ ΑΝΘΡΩΠΙΝΑ ΔΙΚΑΙΩΜΑΤΑ</w:t>
            </w:r>
          </w:p>
        </w:tc>
        <w:tc>
          <w:tcPr>
            <w:tcW w:w="1752" w:type="dxa"/>
            <w:shd w:val="clear" w:color="auto" w:fill="auto"/>
            <w:vAlign w:val="center"/>
            <w:hideMark/>
          </w:tcPr>
          <w:p w14:paraId="416801D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ΚΟΙΝΩΝΙΚΗΣ ΣΥΝΟΧΗΣ ΚΑΙ ΟΙΚΟΓΕΝΕΙΑΣ</w:t>
            </w:r>
          </w:p>
        </w:tc>
        <w:tc>
          <w:tcPr>
            <w:tcW w:w="1152" w:type="dxa"/>
            <w:shd w:val="clear" w:color="auto" w:fill="auto"/>
            <w:vAlign w:val="center"/>
            <w:hideMark/>
          </w:tcPr>
          <w:p w14:paraId="4E1A7E2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3.266 €</w:t>
            </w:r>
          </w:p>
        </w:tc>
        <w:tc>
          <w:tcPr>
            <w:tcW w:w="1306" w:type="dxa"/>
            <w:shd w:val="clear" w:color="auto" w:fill="auto"/>
            <w:vAlign w:val="center"/>
            <w:hideMark/>
          </w:tcPr>
          <w:p w14:paraId="69656B3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689 €</w:t>
            </w:r>
          </w:p>
        </w:tc>
        <w:tc>
          <w:tcPr>
            <w:tcW w:w="1699" w:type="dxa"/>
            <w:shd w:val="clear" w:color="auto" w:fill="auto"/>
            <w:vAlign w:val="center"/>
            <w:hideMark/>
          </w:tcPr>
          <w:p w14:paraId="72CFE64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3.955 €</w:t>
            </w:r>
          </w:p>
        </w:tc>
      </w:tr>
      <w:tr w:rsidR="00E72A48" w:rsidRPr="00EF606E" w14:paraId="1D6590AB" w14:textId="77777777" w:rsidTr="0007734A">
        <w:trPr>
          <w:cantSplit/>
          <w:trHeight w:val="420"/>
          <w:jc w:val="center"/>
        </w:trPr>
        <w:tc>
          <w:tcPr>
            <w:tcW w:w="1051" w:type="dxa"/>
            <w:shd w:val="clear" w:color="auto" w:fill="auto"/>
            <w:vAlign w:val="center"/>
            <w:hideMark/>
          </w:tcPr>
          <w:p w14:paraId="3E4D5C7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10.1039.001</w:t>
            </w:r>
          </w:p>
        </w:tc>
        <w:tc>
          <w:tcPr>
            <w:tcW w:w="2112" w:type="dxa"/>
            <w:shd w:val="clear" w:color="auto" w:fill="auto"/>
            <w:vAlign w:val="center"/>
            <w:hideMark/>
          </w:tcPr>
          <w:p w14:paraId="38E1257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ΠΡΟΛΗΨΗ ΚΑΙ ΑΝΤΙΜΕΤΩΠΙΣΗ ΕΠΙΠΤΩΣΕΩΝ ΦΥΣΙΚΩΝ ΚΑΤΑΣΤΡΟΦΩΝ</w:t>
            </w:r>
          </w:p>
        </w:tc>
        <w:tc>
          <w:tcPr>
            <w:tcW w:w="1752" w:type="dxa"/>
            <w:shd w:val="clear" w:color="auto" w:fill="auto"/>
            <w:vAlign w:val="center"/>
            <w:hideMark/>
          </w:tcPr>
          <w:p w14:paraId="3067E13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ΥΠΟΔΟΜΩΝ ΚΑΙ ΜΕΤΑΦΟΡΩΝ</w:t>
            </w:r>
          </w:p>
        </w:tc>
        <w:tc>
          <w:tcPr>
            <w:tcW w:w="1152" w:type="dxa"/>
            <w:shd w:val="clear" w:color="auto" w:fill="auto"/>
            <w:vAlign w:val="center"/>
            <w:hideMark/>
          </w:tcPr>
          <w:p w14:paraId="1C3896D0"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637.299 €</w:t>
            </w:r>
          </w:p>
        </w:tc>
        <w:tc>
          <w:tcPr>
            <w:tcW w:w="1306" w:type="dxa"/>
            <w:shd w:val="clear" w:color="auto" w:fill="auto"/>
            <w:vAlign w:val="center"/>
            <w:hideMark/>
          </w:tcPr>
          <w:p w14:paraId="41FE5F2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569496A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637.299 €</w:t>
            </w:r>
          </w:p>
        </w:tc>
      </w:tr>
      <w:tr w:rsidR="00E72A48" w:rsidRPr="00EF606E" w14:paraId="49CE79C3" w14:textId="77777777" w:rsidTr="0007734A">
        <w:trPr>
          <w:cantSplit/>
          <w:trHeight w:val="420"/>
          <w:jc w:val="center"/>
        </w:trPr>
        <w:tc>
          <w:tcPr>
            <w:tcW w:w="1051" w:type="dxa"/>
            <w:shd w:val="clear" w:color="auto" w:fill="auto"/>
            <w:vAlign w:val="center"/>
            <w:hideMark/>
          </w:tcPr>
          <w:p w14:paraId="5C6BA27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10.1041.001</w:t>
            </w:r>
          </w:p>
        </w:tc>
        <w:tc>
          <w:tcPr>
            <w:tcW w:w="2112" w:type="dxa"/>
            <w:shd w:val="clear" w:color="auto" w:fill="auto"/>
            <w:vAlign w:val="center"/>
            <w:hideMark/>
          </w:tcPr>
          <w:p w14:paraId="2844D832"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ΚΟΙΝΩΝΙΚΗ ΠΡΟΣΤΑΣΙΑ ΛΙΜΕΝΙΚΩΝ ΚΑΙ ΝΑΥΤΙΚΩΝ</w:t>
            </w:r>
          </w:p>
        </w:tc>
        <w:tc>
          <w:tcPr>
            <w:tcW w:w="1752" w:type="dxa"/>
            <w:shd w:val="clear" w:color="auto" w:fill="auto"/>
            <w:vAlign w:val="center"/>
            <w:hideMark/>
          </w:tcPr>
          <w:p w14:paraId="7426C0A4"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ΝΑΥΤΙΛΙΑΣ ΚΑΙ ΝΗΣΙΩΤΙΚΗΣ ΠΟΛΙΤΙΚΗΣ</w:t>
            </w:r>
          </w:p>
        </w:tc>
        <w:tc>
          <w:tcPr>
            <w:tcW w:w="1152" w:type="dxa"/>
            <w:shd w:val="clear" w:color="auto" w:fill="auto"/>
            <w:vAlign w:val="center"/>
            <w:hideMark/>
          </w:tcPr>
          <w:p w14:paraId="0DB9428D"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shd w:val="clear" w:color="auto" w:fill="auto"/>
            <w:vAlign w:val="center"/>
            <w:hideMark/>
          </w:tcPr>
          <w:p w14:paraId="173ACF2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34.964 €</w:t>
            </w:r>
          </w:p>
        </w:tc>
        <w:tc>
          <w:tcPr>
            <w:tcW w:w="1699" w:type="dxa"/>
            <w:shd w:val="clear" w:color="auto" w:fill="auto"/>
            <w:vAlign w:val="center"/>
            <w:hideMark/>
          </w:tcPr>
          <w:p w14:paraId="4629B9E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34.964 €</w:t>
            </w:r>
          </w:p>
        </w:tc>
      </w:tr>
      <w:tr w:rsidR="00E72A48" w:rsidRPr="00EF606E" w14:paraId="0AA754EF" w14:textId="77777777" w:rsidTr="0007734A">
        <w:trPr>
          <w:cantSplit/>
          <w:trHeight w:val="420"/>
          <w:jc w:val="center"/>
        </w:trPr>
        <w:tc>
          <w:tcPr>
            <w:tcW w:w="1051" w:type="dxa"/>
            <w:shd w:val="clear" w:color="auto" w:fill="auto"/>
            <w:vAlign w:val="center"/>
            <w:hideMark/>
          </w:tcPr>
          <w:p w14:paraId="1121FE5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10.1057.001</w:t>
            </w:r>
          </w:p>
        </w:tc>
        <w:tc>
          <w:tcPr>
            <w:tcW w:w="2112" w:type="dxa"/>
            <w:shd w:val="clear" w:color="auto" w:fill="auto"/>
            <w:vAlign w:val="center"/>
            <w:hideMark/>
          </w:tcPr>
          <w:p w14:paraId="6026200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ΕΦΑΠΑΞ ΒΟΗΘΗΜΑΤΑ ΚΑΙ ΛΟΙΠΕΣ ΠΑΡΟΧΕΣ ΠΡΟΝΟΙΑΣ</w:t>
            </w:r>
          </w:p>
        </w:tc>
        <w:tc>
          <w:tcPr>
            <w:tcW w:w="1752" w:type="dxa"/>
            <w:shd w:val="clear" w:color="auto" w:fill="auto"/>
            <w:vAlign w:val="center"/>
            <w:hideMark/>
          </w:tcPr>
          <w:p w14:paraId="31A85629"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ΠΡΟΣΤΑΣΙΑΣ ΤΟΥ ΠΟΛΙΤΗ</w:t>
            </w:r>
          </w:p>
        </w:tc>
        <w:tc>
          <w:tcPr>
            <w:tcW w:w="1152" w:type="dxa"/>
            <w:shd w:val="clear" w:color="auto" w:fill="auto"/>
            <w:vAlign w:val="center"/>
            <w:hideMark/>
          </w:tcPr>
          <w:p w14:paraId="21FE28A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306" w:type="dxa"/>
            <w:shd w:val="clear" w:color="auto" w:fill="auto"/>
            <w:vAlign w:val="center"/>
            <w:hideMark/>
          </w:tcPr>
          <w:p w14:paraId="2E6A6CA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124.224 €</w:t>
            </w:r>
          </w:p>
        </w:tc>
        <w:tc>
          <w:tcPr>
            <w:tcW w:w="1699" w:type="dxa"/>
            <w:shd w:val="clear" w:color="auto" w:fill="auto"/>
            <w:vAlign w:val="center"/>
            <w:hideMark/>
          </w:tcPr>
          <w:p w14:paraId="43D62DC9"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124.224 €</w:t>
            </w:r>
          </w:p>
        </w:tc>
      </w:tr>
      <w:tr w:rsidR="00E72A48" w:rsidRPr="00EF606E" w14:paraId="0B725A2D" w14:textId="77777777" w:rsidTr="0007734A">
        <w:trPr>
          <w:cantSplit/>
          <w:trHeight w:val="420"/>
          <w:jc w:val="center"/>
        </w:trPr>
        <w:tc>
          <w:tcPr>
            <w:tcW w:w="1051" w:type="dxa"/>
            <w:shd w:val="clear" w:color="auto" w:fill="auto"/>
            <w:vAlign w:val="center"/>
            <w:hideMark/>
          </w:tcPr>
          <w:p w14:paraId="5072114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10.1060.001</w:t>
            </w:r>
          </w:p>
        </w:tc>
        <w:tc>
          <w:tcPr>
            <w:tcW w:w="2112" w:type="dxa"/>
            <w:shd w:val="clear" w:color="auto" w:fill="auto"/>
            <w:vAlign w:val="center"/>
            <w:hideMark/>
          </w:tcPr>
          <w:p w14:paraId="430E342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ΑΝΤΙΜΕΤΩΠΙΣΗ ΕΠΙΠΤΩΣΕΩΝ ΦΥΣΙΚΩΝ ΚΑΤΑΣΤΡΟΦΩΝ ΚΑΙ ΚΡΑΤΙΚΗ ΑΡΩΓΗ</w:t>
            </w:r>
          </w:p>
        </w:tc>
        <w:tc>
          <w:tcPr>
            <w:tcW w:w="1752" w:type="dxa"/>
            <w:shd w:val="clear" w:color="auto" w:fill="auto"/>
            <w:vAlign w:val="center"/>
            <w:hideMark/>
          </w:tcPr>
          <w:p w14:paraId="12F28D3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ΚΛΙΜΑΤΙΚΗΣ ΚΡΙΣΗΣ ΚΑΙ ΠΟΛΙΤΙΚΗΣ ΠΡΟΣΤΑΣΙΑΣ</w:t>
            </w:r>
          </w:p>
        </w:tc>
        <w:tc>
          <w:tcPr>
            <w:tcW w:w="1152" w:type="dxa"/>
            <w:shd w:val="clear" w:color="auto" w:fill="auto"/>
            <w:vAlign w:val="center"/>
            <w:hideMark/>
          </w:tcPr>
          <w:p w14:paraId="7E20256F"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146.818 €</w:t>
            </w:r>
          </w:p>
        </w:tc>
        <w:tc>
          <w:tcPr>
            <w:tcW w:w="1306" w:type="dxa"/>
            <w:shd w:val="clear" w:color="auto" w:fill="auto"/>
            <w:vAlign w:val="center"/>
            <w:hideMark/>
          </w:tcPr>
          <w:p w14:paraId="324904D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364B8D23"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146.818 €</w:t>
            </w:r>
          </w:p>
        </w:tc>
      </w:tr>
      <w:tr w:rsidR="00E72A48" w:rsidRPr="00EF606E" w14:paraId="4E865E36" w14:textId="77777777" w:rsidTr="0007734A">
        <w:trPr>
          <w:cantSplit/>
          <w:trHeight w:val="195"/>
          <w:jc w:val="center"/>
        </w:trPr>
        <w:tc>
          <w:tcPr>
            <w:tcW w:w="1051" w:type="dxa"/>
            <w:shd w:val="clear" w:color="000000" w:fill="D9D9D9"/>
            <w:vAlign w:val="center"/>
            <w:hideMark/>
          </w:tcPr>
          <w:p w14:paraId="3CFA1763"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11</w:t>
            </w:r>
          </w:p>
        </w:tc>
        <w:tc>
          <w:tcPr>
            <w:tcW w:w="2112" w:type="dxa"/>
            <w:shd w:val="clear" w:color="000000" w:fill="D9D9D9"/>
            <w:vAlign w:val="center"/>
            <w:hideMark/>
          </w:tcPr>
          <w:p w14:paraId="615FFCCA"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ΑΓΡΟΤΙΚΗ ΑΝΑΠΤΥΞΗ</w:t>
            </w:r>
          </w:p>
        </w:tc>
        <w:tc>
          <w:tcPr>
            <w:tcW w:w="1752" w:type="dxa"/>
            <w:shd w:val="clear" w:color="000000" w:fill="D9D9D9"/>
            <w:vAlign w:val="center"/>
            <w:hideMark/>
          </w:tcPr>
          <w:p w14:paraId="3A71CAB1"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3A79C510"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1.275.264 €</w:t>
            </w:r>
          </w:p>
        </w:tc>
        <w:tc>
          <w:tcPr>
            <w:tcW w:w="1306" w:type="dxa"/>
            <w:shd w:val="clear" w:color="000000" w:fill="D9D9D9"/>
            <w:vAlign w:val="center"/>
            <w:hideMark/>
          </w:tcPr>
          <w:p w14:paraId="6C89CBB4"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540.223 €</w:t>
            </w:r>
          </w:p>
        </w:tc>
        <w:tc>
          <w:tcPr>
            <w:tcW w:w="1699" w:type="dxa"/>
            <w:shd w:val="clear" w:color="000000" w:fill="D9D9D9"/>
            <w:vAlign w:val="center"/>
            <w:hideMark/>
          </w:tcPr>
          <w:p w14:paraId="7D58B0DF"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1.815.487 €</w:t>
            </w:r>
          </w:p>
        </w:tc>
      </w:tr>
      <w:tr w:rsidR="00E72A48" w:rsidRPr="00EF606E" w14:paraId="6123727F" w14:textId="77777777" w:rsidTr="0007734A">
        <w:trPr>
          <w:cantSplit/>
          <w:trHeight w:val="420"/>
          <w:jc w:val="center"/>
        </w:trPr>
        <w:tc>
          <w:tcPr>
            <w:tcW w:w="1051" w:type="dxa"/>
            <w:shd w:val="clear" w:color="auto" w:fill="auto"/>
            <w:vAlign w:val="center"/>
            <w:hideMark/>
          </w:tcPr>
          <w:p w14:paraId="13D9198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lastRenderedPageBreak/>
              <w:t>11.1029.001</w:t>
            </w:r>
          </w:p>
        </w:tc>
        <w:tc>
          <w:tcPr>
            <w:tcW w:w="2112" w:type="dxa"/>
            <w:shd w:val="clear" w:color="auto" w:fill="auto"/>
            <w:vAlign w:val="center"/>
            <w:hideMark/>
          </w:tcPr>
          <w:p w14:paraId="0AB6318F"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ΒΙΩΣΙΜΗ ΑΓΡΟΤΙΚΗ ΑΝΑΠΤΥΞΗ</w:t>
            </w:r>
          </w:p>
        </w:tc>
        <w:tc>
          <w:tcPr>
            <w:tcW w:w="1752" w:type="dxa"/>
            <w:shd w:val="clear" w:color="auto" w:fill="auto"/>
            <w:vAlign w:val="center"/>
            <w:hideMark/>
          </w:tcPr>
          <w:p w14:paraId="0A97EDA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ΑΓΡΟΤΙΚΗΣ ΑΝΑΠΤΥΞΗΣ ΚΑΙ ΤΡΟΦΙΜΩΝ</w:t>
            </w:r>
          </w:p>
        </w:tc>
        <w:tc>
          <w:tcPr>
            <w:tcW w:w="1152" w:type="dxa"/>
            <w:shd w:val="clear" w:color="auto" w:fill="auto"/>
            <w:vAlign w:val="center"/>
            <w:hideMark/>
          </w:tcPr>
          <w:p w14:paraId="0185DE9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1.050.095 €</w:t>
            </w:r>
          </w:p>
        </w:tc>
        <w:tc>
          <w:tcPr>
            <w:tcW w:w="1306" w:type="dxa"/>
            <w:shd w:val="clear" w:color="auto" w:fill="auto"/>
            <w:vAlign w:val="center"/>
            <w:hideMark/>
          </w:tcPr>
          <w:p w14:paraId="07B8168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207.720 €</w:t>
            </w:r>
          </w:p>
        </w:tc>
        <w:tc>
          <w:tcPr>
            <w:tcW w:w="1699" w:type="dxa"/>
            <w:shd w:val="clear" w:color="auto" w:fill="auto"/>
            <w:vAlign w:val="center"/>
            <w:hideMark/>
          </w:tcPr>
          <w:p w14:paraId="3C45E9B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1.257.814 €</w:t>
            </w:r>
          </w:p>
        </w:tc>
      </w:tr>
      <w:tr w:rsidR="00E72A48" w:rsidRPr="00EF606E" w14:paraId="63CE72C7" w14:textId="77777777" w:rsidTr="0007734A">
        <w:trPr>
          <w:cantSplit/>
          <w:trHeight w:val="420"/>
          <w:jc w:val="center"/>
        </w:trPr>
        <w:tc>
          <w:tcPr>
            <w:tcW w:w="1051" w:type="dxa"/>
            <w:shd w:val="clear" w:color="auto" w:fill="auto"/>
            <w:vAlign w:val="center"/>
            <w:hideMark/>
          </w:tcPr>
          <w:p w14:paraId="27EC5B0A"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11.1029.002</w:t>
            </w:r>
          </w:p>
        </w:tc>
        <w:tc>
          <w:tcPr>
            <w:tcW w:w="2112" w:type="dxa"/>
            <w:shd w:val="clear" w:color="auto" w:fill="auto"/>
            <w:vAlign w:val="center"/>
            <w:hideMark/>
          </w:tcPr>
          <w:p w14:paraId="316D4D8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ΦΥΤΙΚΗ ΚΑΙ ΖΩΙΚΗ ΠΑΡΑΓΩΓΗ</w:t>
            </w:r>
          </w:p>
        </w:tc>
        <w:tc>
          <w:tcPr>
            <w:tcW w:w="1752" w:type="dxa"/>
            <w:shd w:val="clear" w:color="auto" w:fill="auto"/>
            <w:vAlign w:val="center"/>
            <w:hideMark/>
          </w:tcPr>
          <w:p w14:paraId="4942EA3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ΑΓΡΟΤΙΚΗΣ ΑΝΑΠΤΥΞΗΣ ΚΑΙ ΤΡΟΦΙΜΩΝ</w:t>
            </w:r>
          </w:p>
        </w:tc>
        <w:tc>
          <w:tcPr>
            <w:tcW w:w="1152" w:type="dxa"/>
            <w:shd w:val="clear" w:color="auto" w:fill="auto"/>
            <w:vAlign w:val="center"/>
            <w:hideMark/>
          </w:tcPr>
          <w:p w14:paraId="271F003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55.439 €</w:t>
            </w:r>
          </w:p>
        </w:tc>
        <w:tc>
          <w:tcPr>
            <w:tcW w:w="1306" w:type="dxa"/>
            <w:shd w:val="clear" w:color="auto" w:fill="auto"/>
            <w:vAlign w:val="center"/>
            <w:hideMark/>
          </w:tcPr>
          <w:p w14:paraId="6B5904F7"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307.792 €</w:t>
            </w:r>
          </w:p>
        </w:tc>
        <w:tc>
          <w:tcPr>
            <w:tcW w:w="1699" w:type="dxa"/>
            <w:shd w:val="clear" w:color="auto" w:fill="auto"/>
            <w:vAlign w:val="center"/>
            <w:hideMark/>
          </w:tcPr>
          <w:p w14:paraId="51206BA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363.231 €</w:t>
            </w:r>
          </w:p>
        </w:tc>
      </w:tr>
      <w:tr w:rsidR="00E72A48" w:rsidRPr="00EF606E" w14:paraId="1FCF7E10" w14:textId="77777777" w:rsidTr="0007734A">
        <w:trPr>
          <w:cantSplit/>
          <w:trHeight w:val="420"/>
          <w:jc w:val="center"/>
        </w:trPr>
        <w:tc>
          <w:tcPr>
            <w:tcW w:w="1051" w:type="dxa"/>
            <w:shd w:val="clear" w:color="auto" w:fill="auto"/>
            <w:vAlign w:val="center"/>
            <w:hideMark/>
          </w:tcPr>
          <w:p w14:paraId="02163455"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11.1029.003</w:t>
            </w:r>
          </w:p>
        </w:tc>
        <w:tc>
          <w:tcPr>
            <w:tcW w:w="2112" w:type="dxa"/>
            <w:shd w:val="clear" w:color="auto" w:fill="auto"/>
            <w:vAlign w:val="center"/>
            <w:hideMark/>
          </w:tcPr>
          <w:p w14:paraId="28E253E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ΚΤΗΝΙΑΤΡΙΚΗ</w:t>
            </w:r>
          </w:p>
        </w:tc>
        <w:tc>
          <w:tcPr>
            <w:tcW w:w="1752" w:type="dxa"/>
            <w:shd w:val="clear" w:color="auto" w:fill="auto"/>
            <w:vAlign w:val="center"/>
            <w:hideMark/>
          </w:tcPr>
          <w:p w14:paraId="0DB9B983"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ΑΓΡΟΤΙΚΗΣ ΑΝΑΠΤΥΞΗΣ ΚΑΙ ΤΡΟΦΙΜΩΝ</w:t>
            </w:r>
          </w:p>
        </w:tc>
        <w:tc>
          <w:tcPr>
            <w:tcW w:w="1152" w:type="dxa"/>
            <w:shd w:val="clear" w:color="auto" w:fill="auto"/>
            <w:vAlign w:val="center"/>
            <w:hideMark/>
          </w:tcPr>
          <w:p w14:paraId="290E92FC"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20.046 €</w:t>
            </w:r>
          </w:p>
        </w:tc>
        <w:tc>
          <w:tcPr>
            <w:tcW w:w="1306" w:type="dxa"/>
            <w:shd w:val="clear" w:color="auto" w:fill="auto"/>
            <w:vAlign w:val="center"/>
            <w:hideMark/>
          </w:tcPr>
          <w:p w14:paraId="2F29907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3.842 €</w:t>
            </w:r>
          </w:p>
        </w:tc>
        <w:tc>
          <w:tcPr>
            <w:tcW w:w="1699" w:type="dxa"/>
            <w:shd w:val="clear" w:color="auto" w:fill="auto"/>
            <w:vAlign w:val="center"/>
            <w:hideMark/>
          </w:tcPr>
          <w:p w14:paraId="6897BA3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23.888 €</w:t>
            </w:r>
          </w:p>
        </w:tc>
      </w:tr>
      <w:tr w:rsidR="00E72A48" w:rsidRPr="00EF606E" w14:paraId="613F45E8" w14:textId="77777777" w:rsidTr="0007734A">
        <w:trPr>
          <w:cantSplit/>
          <w:trHeight w:val="420"/>
          <w:jc w:val="center"/>
        </w:trPr>
        <w:tc>
          <w:tcPr>
            <w:tcW w:w="1051" w:type="dxa"/>
            <w:shd w:val="clear" w:color="auto" w:fill="auto"/>
            <w:vAlign w:val="center"/>
            <w:hideMark/>
          </w:tcPr>
          <w:p w14:paraId="7623FA7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11.1029.004</w:t>
            </w:r>
          </w:p>
        </w:tc>
        <w:tc>
          <w:tcPr>
            <w:tcW w:w="2112" w:type="dxa"/>
            <w:shd w:val="clear" w:color="auto" w:fill="auto"/>
            <w:vAlign w:val="center"/>
            <w:hideMark/>
          </w:tcPr>
          <w:p w14:paraId="5D4D5C9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ΑΛΙΕΙΑ</w:t>
            </w:r>
          </w:p>
        </w:tc>
        <w:tc>
          <w:tcPr>
            <w:tcW w:w="1752" w:type="dxa"/>
            <w:shd w:val="clear" w:color="auto" w:fill="auto"/>
            <w:vAlign w:val="center"/>
            <w:hideMark/>
          </w:tcPr>
          <w:p w14:paraId="7BE6A65C"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ΑΓΡΟΤΙΚΗΣ ΑΝΑΠΤΥΞΗΣ ΚΑΙ ΤΡΟΦΙΜΩΝ</w:t>
            </w:r>
          </w:p>
        </w:tc>
        <w:tc>
          <w:tcPr>
            <w:tcW w:w="1152" w:type="dxa"/>
            <w:shd w:val="clear" w:color="auto" w:fill="auto"/>
            <w:vAlign w:val="center"/>
            <w:hideMark/>
          </w:tcPr>
          <w:p w14:paraId="5A890185"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81.614 €</w:t>
            </w:r>
          </w:p>
        </w:tc>
        <w:tc>
          <w:tcPr>
            <w:tcW w:w="1306" w:type="dxa"/>
            <w:shd w:val="clear" w:color="auto" w:fill="auto"/>
            <w:vAlign w:val="center"/>
            <w:hideMark/>
          </w:tcPr>
          <w:p w14:paraId="550C2CF2"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249 €</w:t>
            </w:r>
          </w:p>
        </w:tc>
        <w:tc>
          <w:tcPr>
            <w:tcW w:w="1699" w:type="dxa"/>
            <w:shd w:val="clear" w:color="auto" w:fill="auto"/>
            <w:vAlign w:val="center"/>
            <w:hideMark/>
          </w:tcPr>
          <w:p w14:paraId="4F2533C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81.864 €</w:t>
            </w:r>
          </w:p>
        </w:tc>
      </w:tr>
      <w:tr w:rsidR="00E72A48" w:rsidRPr="00EF606E" w14:paraId="5B1F4AA6" w14:textId="77777777" w:rsidTr="0007734A">
        <w:trPr>
          <w:cantSplit/>
          <w:trHeight w:val="420"/>
          <w:jc w:val="center"/>
        </w:trPr>
        <w:tc>
          <w:tcPr>
            <w:tcW w:w="1051" w:type="dxa"/>
            <w:shd w:val="clear" w:color="auto" w:fill="auto"/>
            <w:vAlign w:val="center"/>
            <w:hideMark/>
          </w:tcPr>
          <w:p w14:paraId="5369CA78"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11.1029.005</w:t>
            </w:r>
          </w:p>
        </w:tc>
        <w:tc>
          <w:tcPr>
            <w:tcW w:w="2112" w:type="dxa"/>
            <w:shd w:val="clear" w:color="auto" w:fill="auto"/>
            <w:vAlign w:val="center"/>
            <w:hideMark/>
          </w:tcPr>
          <w:p w14:paraId="1C893AB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ΤΡΟΦΙΜΑ</w:t>
            </w:r>
          </w:p>
        </w:tc>
        <w:tc>
          <w:tcPr>
            <w:tcW w:w="1752" w:type="dxa"/>
            <w:shd w:val="clear" w:color="auto" w:fill="auto"/>
            <w:vAlign w:val="center"/>
            <w:hideMark/>
          </w:tcPr>
          <w:p w14:paraId="579EE94E"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ΑΓΡΟΤΙΚΗΣ ΑΝΑΠΤΥΞΗΣ ΚΑΙ ΤΡΟΦΙΜΩΝ</w:t>
            </w:r>
          </w:p>
        </w:tc>
        <w:tc>
          <w:tcPr>
            <w:tcW w:w="1152" w:type="dxa"/>
            <w:shd w:val="clear" w:color="auto" w:fill="auto"/>
            <w:vAlign w:val="center"/>
            <w:hideMark/>
          </w:tcPr>
          <w:p w14:paraId="0669393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16.298 €</w:t>
            </w:r>
          </w:p>
        </w:tc>
        <w:tc>
          <w:tcPr>
            <w:tcW w:w="1306" w:type="dxa"/>
            <w:shd w:val="clear" w:color="auto" w:fill="auto"/>
            <w:vAlign w:val="center"/>
            <w:hideMark/>
          </w:tcPr>
          <w:p w14:paraId="0DC4D1B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20.620 €</w:t>
            </w:r>
          </w:p>
        </w:tc>
        <w:tc>
          <w:tcPr>
            <w:tcW w:w="1699" w:type="dxa"/>
            <w:shd w:val="clear" w:color="auto" w:fill="auto"/>
            <w:vAlign w:val="center"/>
            <w:hideMark/>
          </w:tcPr>
          <w:p w14:paraId="52AD3D8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36.918 €</w:t>
            </w:r>
          </w:p>
        </w:tc>
      </w:tr>
      <w:tr w:rsidR="00E72A48" w:rsidRPr="00EF606E" w14:paraId="0B7A0210" w14:textId="77777777" w:rsidTr="0007734A">
        <w:trPr>
          <w:cantSplit/>
          <w:trHeight w:val="630"/>
          <w:jc w:val="center"/>
        </w:trPr>
        <w:tc>
          <w:tcPr>
            <w:tcW w:w="1051" w:type="dxa"/>
            <w:shd w:val="clear" w:color="auto" w:fill="auto"/>
            <w:vAlign w:val="center"/>
            <w:hideMark/>
          </w:tcPr>
          <w:p w14:paraId="5A7FA8E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11.1029.006</w:t>
            </w:r>
          </w:p>
        </w:tc>
        <w:tc>
          <w:tcPr>
            <w:tcW w:w="2112" w:type="dxa"/>
            <w:shd w:val="clear" w:color="auto" w:fill="auto"/>
            <w:vAlign w:val="center"/>
            <w:hideMark/>
          </w:tcPr>
          <w:p w14:paraId="6E7EB320"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ΕΠΙΤΕΛΙΚΟΣ ΣΥΝΤΟΝΙΣΜΟΣ ΚΑΙ ΕΠΕΝΔΥΣΕΙΣ ΥΠΟΥΡΓΕΙΟΥ ΑΓΡΟΤΙΚΗΣ ΑΝΑΠΤΥΞΗΣ ΚΑΙ ΤΡΟΦΙΜΩΝ</w:t>
            </w:r>
          </w:p>
        </w:tc>
        <w:tc>
          <w:tcPr>
            <w:tcW w:w="1752" w:type="dxa"/>
            <w:shd w:val="clear" w:color="auto" w:fill="auto"/>
            <w:vAlign w:val="center"/>
            <w:hideMark/>
          </w:tcPr>
          <w:p w14:paraId="0DAAC85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ΑΓΡΟΤΙΚΗΣ ΑΝΑΠΤΥΞΗΣ ΚΑΙ ΤΡΟΦΙΜΩΝ</w:t>
            </w:r>
          </w:p>
        </w:tc>
        <w:tc>
          <w:tcPr>
            <w:tcW w:w="1152" w:type="dxa"/>
            <w:shd w:val="clear" w:color="auto" w:fill="auto"/>
            <w:vAlign w:val="center"/>
            <w:hideMark/>
          </w:tcPr>
          <w:p w14:paraId="6BD472DE"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51.773 €</w:t>
            </w:r>
          </w:p>
        </w:tc>
        <w:tc>
          <w:tcPr>
            <w:tcW w:w="1306" w:type="dxa"/>
            <w:shd w:val="clear" w:color="auto" w:fill="auto"/>
            <w:vAlign w:val="center"/>
            <w:hideMark/>
          </w:tcPr>
          <w:p w14:paraId="50479081"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0 €</w:t>
            </w:r>
          </w:p>
        </w:tc>
        <w:tc>
          <w:tcPr>
            <w:tcW w:w="1699" w:type="dxa"/>
            <w:shd w:val="clear" w:color="auto" w:fill="auto"/>
            <w:vAlign w:val="center"/>
            <w:hideMark/>
          </w:tcPr>
          <w:p w14:paraId="647F8764"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51.773 €</w:t>
            </w:r>
          </w:p>
        </w:tc>
      </w:tr>
      <w:tr w:rsidR="00E72A48" w:rsidRPr="00EF606E" w14:paraId="17CD742E" w14:textId="77777777" w:rsidTr="0007734A">
        <w:trPr>
          <w:cantSplit/>
          <w:trHeight w:val="195"/>
          <w:jc w:val="center"/>
        </w:trPr>
        <w:tc>
          <w:tcPr>
            <w:tcW w:w="1051" w:type="dxa"/>
            <w:shd w:val="clear" w:color="000000" w:fill="D9D9D9"/>
            <w:vAlign w:val="center"/>
            <w:hideMark/>
          </w:tcPr>
          <w:p w14:paraId="62ADE784"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12</w:t>
            </w:r>
          </w:p>
        </w:tc>
        <w:tc>
          <w:tcPr>
            <w:tcW w:w="2112" w:type="dxa"/>
            <w:shd w:val="clear" w:color="000000" w:fill="D9D9D9"/>
            <w:vAlign w:val="center"/>
            <w:hideMark/>
          </w:tcPr>
          <w:p w14:paraId="4497ACA3"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ΤΟΠΙΚΗ ΔΙΑΚΥΒΕΡΝΗΣΗ</w:t>
            </w:r>
          </w:p>
        </w:tc>
        <w:tc>
          <w:tcPr>
            <w:tcW w:w="1752" w:type="dxa"/>
            <w:shd w:val="clear" w:color="000000" w:fill="D9D9D9"/>
            <w:vAlign w:val="center"/>
            <w:hideMark/>
          </w:tcPr>
          <w:p w14:paraId="09C6C275" w14:textId="77777777" w:rsidR="00E72A48" w:rsidRPr="00EF606E" w:rsidRDefault="00E72A48" w:rsidP="00E72A48">
            <w:pPr>
              <w:spacing w:after="0" w:line="276" w:lineRule="auto"/>
              <w:jc w:val="left"/>
              <w:rPr>
                <w:rFonts w:cs="Arial"/>
                <w:b/>
                <w:bCs/>
                <w:color w:val="000000"/>
                <w:sz w:val="15"/>
                <w:szCs w:val="15"/>
              </w:rPr>
            </w:pPr>
            <w:r w:rsidRPr="00EF606E">
              <w:rPr>
                <w:rFonts w:cs="Arial"/>
                <w:b/>
                <w:bCs/>
                <w:color w:val="000000"/>
                <w:sz w:val="15"/>
                <w:szCs w:val="15"/>
              </w:rPr>
              <w:t> </w:t>
            </w:r>
          </w:p>
        </w:tc>
        <w:tc>
          <w:tcPr>
            <w:tcW w:w="1152" w:type="dxa"/>
            <w:shd w:val="clear" w:color="000000" w:fill="D9D9D9"/>
            <w:vAlign w:val="center"/>
            <w:hideMark/>
          </w:tcPr>
          <w:p w14:paraId="291EC2CB"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19.797 €</w:t>
            </w:r>
          </w:p>
        </w:tc>
        <w:tc>
          <w:tcPr>
            <w:tcW w:w="1306" w:type="dxa"/>
            <w:shd w:val="clear" w:color="000000" w:fill="D9D9D9"/>
            <w:vAlign w:val="center"/>
            <w:hideMark/>
          </w:tcPr>
          <w:p w14:paraId="1C23B9BE"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9.731.000 €</w:t>
            </w:r>
          </w:p>
        </w:tc>
        <w:tc>
          <w:tcPr>
            <w:tcW w:w="1699" w:type="dxa"/>
            <w:shd w:val="clear" w:color="000000" w:fill="D9D9D9"/>
            <w:vAlign w:val="center"/>
            <w:hideMark/>
          </w:tcPr>
          <w:p w14:paraId="21997941" w14:textId="77777777" w:rsidR="00E72A48" w:rsidRPr="00EF606E" w:rsidRDefault="00E72A48" w:rsidP="00E72A48">
            <w:pPr>
              <w:spacing w:after="0" w:line="276" w:lineRule="auto"/>
              <w:jc w:val="right"/>
              <w:rPr>
                <w:rFonts w:cs="Arial"/>
                <w:b/>
                <w:bCs/>
                <w:color w:val="000000"/>
                <w:sz w:val="15"/>
                <w:szCs w:val="15"/>
              </w:rPr>
            </w:pPr>
            <w:r w:rsidRPr="00EF606E">
              <w:rPr>
                <w:rFonts w:cs="Arial"/>
                <w:b/>
                <w:bCs/>
                <w:color w:val="000000"/>
                <w:sz w:val="15"/>
                <w:szCs w:val="15"/>
              </w:rPr>
              <w:t>9.750.797 €</w:t>
            </w:r>
          </w:p>
        </w:tc>
      </w:tr>
      <w:tr w:rsidR="00E72A48" w:rsidRPr="00EF606E" w14:paraId="0A4DA3D7" w14:textId="77777777" w:rsidTr="0007734A">
        <w:trPr>
          <w:cantSplit/>
          <w:trHeight w:val="210"/>
          <w:jc w:val="center"/>
        </w:trPr>
        <w:tc>
          <w:tcPr>
            <w:tcW w:w="1051" w:type="dxa"/>
            <w:tcBorders>
              <w:bottom w:val="single" w:sz="2" w:space="0" w:color="A6A6A6" w:themeColor="background1" w:themeShade="A6"/>
            </w:tcBorders>
            <w:shd w:val="clear" w:color="auto" w:fill="auto"/>
            <w:vAlign w:val="center"/>
            <w:hideMark/>
          </w:tcPr>
          <w:p w14:paraId="3FEEB9B7"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12.1007.001</w:t>
            </w:r>
          </w:p>
        </w:tc>
        <w:tc>
          <w:tcPr>
            <w:tcW w:w="2112" w:type="dxa"/>
            <w:tcBorders>
              <w:bottom w:val="single" w:sz="2" w:space="0" w:color="A6A6A6" w:themeColor="background1" w:themeShade="A6"/>
            </w:tcBorders>
            <w:shd w:val="clear" w:color="auto" w:fill="auto"/>
            <w:vAlign w:val="center"/>
            <w:hideMark/>
          </w:tcPr>
          <w:p w14:paraId="44577361"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ΕΝΙΣΧΥΣΗ ΤΟΠΙΚΗΣ ΑΝΑΠΤΥΞΗΣ</w:t>
            </w:r>
          </w:p>
        </w:tc>
        <w:tc>
          <w:tcPr>
            <w:tcW w:w="1752" w:type="dxa"/>
            <w:tcBorders>
              <w:bottom w:val="single" w:sz="2" w:space="0" w:color="A6A6A6" w:themeColor="background1" w:themeShade="A6"/>
            </w:tcBorders>
            <w:shd w:val="clear" w:color="auto" w:fill="auto"/>
            <w:vAlign w:val="center"/>
            <w:hideMark/>
          </w:tcPr>
          <w:p w14:paraId="69F2182B" w14:textId="77777777" w:rsidR="00E72A48" w:rsidRPr="00EF606E" w:rsidRDefault="00E72A48" w:rsidP="00E72A48">
            <w:pPr>
              <w:spacing w:after="0" w:line="276" w:lineRule="auto"/>
              <w:jc w:val="left"/>
              <w:rPr>
                <w:rFonts w:cs="Arial"/>
                <w:color w:val="000000"/>
                <w:sz w:val="15"/>
                <w:szCs w:val="15"/>
              </w:rPr>
            </w:pPr>
            <w:r w:rsidRPr="00EF606E">
              <w:rPr>
                <w:rFonts w:cs="Arial"/>
                <w:color w:val="000000"/>
                <w:sz w:val="15"/>
                <w:szCs w:val="15"/>
              </w:rPr>
              <w:t>ΥΠΟΥΡΓΕΙΟ ΕΣΩΤΕΡΙΚΩΝ</w:t>
            </w:r>
          </w:p>
        </w:tc>
        <w:tc>
          <w:tcPr>
            <w:tcW w:w="1152" w:type="dxa"/>
            <w:tcBorders>
              <w:bottom w:val="single" w:sz="2" w:space="0" w:color="A6A6A6" w:themeColor="background1" w:themeShade="A6"/>
            </w:tcBorders>
            <w:shd w:val="clear" w:color="auto" w:fill="auto"/>
            <w:vAlign w:val="center"/>
            <w:hideMark/>
          </w:tcPr>
          <w:p w14:paraId="079611DA"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19.797 €</w:t>
            </w:r>
          </w:p>
        </w:tc>
        <w:tc>
          <w:tcPr>
            <w:tcW w:w="1306" w:type="dxa"/>
            <w:tcBorders>
              <w:bottom w:val="single" w:sz="2" w:space="0" w:color="A6A6A6" w:themeColor="background1" w:themeShade="A6"/>
            </w:tcBorders>
            <w:shd w:val="clear" w:color="auto" w:fill="auto"/>
            <w:vAlign w:val="center"/>
            <w:hideMark/>
          </w:tcPr>
          <w:p w14:paraId="23377EB6"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9.731.000 €</w:t>
            </w:r>
          </w:p>
        </w:tc>
        <w:tc>
          <w:tcPr>
            <w:tcW w:w="1699" w:type="dxa"/>
            <w:tcBorders>
              <w:bottom w:val="single" w:sz="2" w:space="0" w:color="A6A6A6" w:themeColor="background1" w:themeShade="A6"/>
            </w:tcBorders>
            <w:shd w:val="clear" w:color="auto" w:fill="auto"/>
            <w:vAlign w:val="center"/>
            <w:hideMark/>
          </w:tcPr>
          <w:p w14:paraId="2304CD88" w14:textId="77777777" w:rsidR="00E72A48" w:rsidRPr="00EF606E" w:rsidRDefault="00E72A48" w:rsidP="00E72A48">
            <w:pPr>
              <w:spacing w:after="0" w:line="276" w:lineRule="auto"/>
              <w:jc w:val="right"/>
              <w:rPr>
                <w:rFonts w:cs="Arial"/>
                <w:color w:val="000000"/>
                <w:sz w:val="15"/>
                <w:szCs w:val="15"/>
              </w:rPr>
            </w:pPr>
            <w:r w:rsidRPr="00EF606E">
              <w:rPr>
                <w:rFonts w:cs="Arial"/>
                <w:color w:val="000000"/>
                <w:sz w:val="15"/>
                <w:szCs w:val="15"/>
              </w:rPr>
              <w:t>9.750.797 €</w:t>
            </w:r>
          </w:p>
        </w:tc>
      </w:tr>
      <w:tr w:rsidR="00E72A48" w:rsidRPr="00EF606E" w14:paraId="70275C6C" w14:textId="77777777" w:rsidTr="0007734A">
        <w:trPr>
          <w:cantSplit/>
          <w:trHeight w:val="705"/>
          <w:jc w:val="center"/>
        </w:trPr>
        <w:tc>
          <w:tcPr>
            <w:tcW w:w="9072" w:type="dxa"/>
            <w:gridSpan w:val="6"/>
            <w:tcBorders>
              <w:top w:val="single" w:sz="2" w:space="0" w:color="A6A6A6" w:themeColor="background1" w:themeShade="A6"/>
              <w:left w:val="nil"/>
              <w:bottom w:val="nil"/>
              <w:right w:val="nil"/>
            </w:tcBorders>
            <w:shd w:val="clear" w:color="auto" w:fill="auto"/>
            <w:hideMark/>
          </w:tcPr>
          <w:p w14:paraId="1C291A0D" w14:textId="77777777" w:rsidR="0092020C" w:rsidRDefault="00E72A48" w:rsidP="00E72A48">
            <w:pPr>
              <w:tabs>
                <w:tab w:val="left" w:pos="227"/>
              </w:tabs>
              <w:spacing w:before="60" w:after="0" w:line="276" w:lineRule="auto"/>
              <w:ind w:left="227" w:hanging="227"/>
              <w:rPr>
                <w:rFonts w:cs="Arial"/>
                <w:i/>
                <w:iCs/>
                <w:color w:val="000000"/>
                <w:sz w:val="16"/>
                <w:szCs w:val="16"/>
              </w:rPr>
            </w:pPr>
            <w:r w:rsidRPr="00EF606E">
              <w:rPr>
                <w:rFonts w:cs="Arial"/>
                <w:i/>
                <w:iCs/>
                <w:color w:val="000000"/>
                <w:sz w:val="16"/>
                <w:szCs w:val="16"/>
              </w:rPr>
              <w:t>Σημειώσεις:</w:t>
            </w:r>
          </w:p>
          <w:p w14:paraId="429F0EE5" w14:textId="77777777" w:rsidR="0092020C" w:rsidRDefault="00E72A48" w:rsidP="0092020C">
            <w:pPr>
              <w:tabs>
                <w:tab w:val="left" w:pos="227"/>
              </w:tabs>
              <w:spacing w:before="60" w:after="0" w:line="276" w:lineRule="auto"/>
              <w:ind w:left="227" w:hanging="227"/>
              <w:rPr>
                <w:rFonts w:cs="Arial"/>
                <w:i/>
                <w:iCs/>
                <w:color w:val="000000"/>
                <w:sz w:val="16"/>
                <w:szCs w:val="16"/>
              </w:rPr>
            </w:pPr>
            <w:r w:rsidRPr="00EF606E">
              <w:rPr>
                <w:rFonts w:cs="Arial"/>
                <w:i/>
                <w:iCs/>
                <w:color w:val="000000"/>
                <w:sz w:val="16"/>
                <w:szCs w:val="16"/>
              </w:rPr>
              <w:t>1.</w:t>
            </w:r>
            <w:r>
              <w:rPr>
                <w:rFonts w:cs="Arial"/>
                <w:i/>
                <w:iCs/>
                <w:color w:val="000000"/>
                <w:sz w:val="16"/>
                <w:szCs w:val="16"/>
              </w:rPr>
              <w:tab/>
            </w:r>
            <w:r w:rsidRPr="00EF606E">
              <w:rPr>
                <w:rFonts w:cs="Arial"/>
                <w:i/>
                <w:iCs/>
                <w:color w:val="000000"/>
                <w:sz w:val="16"/>
                <w:szCs w:val="16"/>
              </w:rPr>
              <w:t>Στον πίνακα δεν περιλαμβάνονται χρηματοοικονομικές συναλλαγές</w:t>
            </w:r>
            <w:r>
              <w:rPr>
                <w:rFonts w:cs="Arial"/>
                <w:i/>
                <w:iCs/>
                <w:color w:val="000000"/>
                <w:sz w:val="16"/>
                <w:szCs w:val="16"/>
              </w:rPr>
              <w:t xml:space="preserve"> και τεκμαρτές δαπάνες.</w:t>
            </w:r>
          </w:p>
          <w:p w14:paraId="5F9322E1" w14:textId="51C30B8D" w:rsidR="00E72A48" w:rsidRDefault="00E72A48" w:rsidP="0092020C">
            <w:pPr>
              <w:tabs>
                <w:tab w:val="left" w:pos="227"/>
              </w:tabs>
              <w:spacing w:before="60" w:after="0" w:line="276" w:lineRule="auto"/>
              <w:ind w:left="227" w:hanging="227"/>
              <w:rPr>
                <w:rFonts w:cs="Arial"/>
                <w:i/>
                <w:iCs/>
                <w:color w:val="000000"/>
                <w:sz w:val="16"/>
                <w:szCs w:val="16"/>
              </w:rPr>
            </w:pPr>
            <w:r w:rsidRPr="00EF606E">
              <w:rPr>
                <w:rFonts w:cs="Arial"/>
                <w:i/>
                <w:iCs/>
                <w:color w:val="000000"/>
                <w:sz w:val="16"/>
                <w:szCs w:val="16"/>
              </w:rPr>
              <w:t>2.</w:t>
            </w:r>
            <w:r w:rsidR="0092020C">
              <w:rPr>
                <w:rFonts w:cs="Arial"/>
                <w:i/>
                <w:iCs/>
                <w:color w:val="000000"/>
                <w:sz w:val="16"/>
                <w:szCs w:val="16"/>
              </w:rPr>
              <w:tab/>
            </w:r>
            <w:r w:rsidRPr="00EF606E">
              <w:rPr>
                <w:rFonts w:cs="Arial"/>
                <w:i/>
                <w:iCs/>
                <w:color w:val="000000"/>
                <w:sz w:val="16"/>
                <w:szCs w:val="16"/>
              </w:rPr>
              <w:t>Οι αμυντικές δαπάνες υπολογίζονται στη βάση των φυσικών παραλαβών.</w:t>
            </w:r>
          </w:p>
          <w:p w14:paraId="2AADFF49" w14:textId="06586DB6" w:rsidR="00E72A48" w:rsidRPr="00EF606E" w:rsidRDefault="00E72A48" w:rsidP="0092020C">
            <w:pPr>
              <w:tabs>
                <w:tab w:val="left" w:pos="227"/>
              </w:tabs>
              <w:spacing w:before="60" w:after="0" w:line="276" w:lineRule="auto"/>
              <w:ind w:left="227" w:hanging="227"/>
              <w:rPr>
                <w:rFonts w:cs="Arial"/>
                <w:i/>
                <w:iCs/>
                <w:color w:val="000000"/>
                <w:sz w:val="16"/>
                <w:szCs w:val="16"/>
              </w:rPr>
            </w:pPr>
            <w:r>
              <w:rPr>
                <w:rFonts w:cs="Arial"/>
                <w:i/>
                <w:iCs/>
                <w:color w:val="000000"/>
                <w:sz w:val="16"/>
                <w:szCs w:val="16"/>
              </w:rPr>
              <w:t>3.</w:t>
            </w:r>
            <w:r w:rsidR="0092020C">
              <w:rPr>
                <w:rFonts w:cs="Arial"/>
                <w:i/>
                <w:iCs/>
                <w:color w:val="000000"/>
                <w:sz w:val="16"/>
                <w:szCs w:val="16"/>
              </w:rPr>
              <w:tab/>
            </w:r>
            <w:r w:rsidRPr="00821CCF">
              <w:rPr>
                <w:rFonts w:cs="Arial"/>
                <w:i/>
                <w:iCs/>
                <w:color w:val="000000"/>
                <w:sz w:val="16"/>
                <w:szCs w:val="16"/>
              </w:rPr>
              <w:t>Περιλαμβάνονται και προϋπολογιζόμενες δαπάνες του ΤΑΑ χρηματοδοτούμενες από εισροές προηγούμενων ετών</w:t>
            </w:r>
            <w:r>
              <w:rPr>
                <w:rFonts w:cs="Arial"/>
                <w:i/>
                <w:iCs/>
                <w:color w:val="000000"/>
                <w:sz w:val="16"/>
                <w:szCs w:val="16"/>
              </w:rPr>
              <w:t>.</w:t>
            </w:r>
          </w:p>
        </w:tc>
      </w:tr>
    </w:tbl>
    <w:p w14:paraId="2EC8FF8E" w14:textId="3D146DA2" w:rsidR="0092020C" w:rsidRDefault="0092020C" w:rsidP="0092020C">
      <w:pPr>
        <w:spacing w:before="240"/>
      </w:pPr>
      <w:r>
        <w:t>Κάθε Πρόγραμμα που περιλαμβάνεται στους ανωτέρω πίνακες συνοδεύεται από το Ετήσιο Σχέδιο Προγράμματος (ΕΣΠ)</w:t>
      </w:r>
      <w:r w:rsidR="00417257">
        <w:t>,</w:t>
      </w:r>
      <w:r>
        <w:t xml:space="preserve"> στο οποίο αποτυπώνονται πληροφορίες για το ανθρώπινο δυναμικό, τη στοχοθεσία και τους δείκτες αξιολόγησης για το Πρόγραμμα.</w:t>
      </w:r>
    </w:p>
    <w:p w14:paraId="4D101AE0" w14:textId="53BEC561" w:rsidR="009A132F" w:rsidRDefault="0092020C" w:rsidP="00D15175">
      <w:r>
        <w:t>Τα ΕΣΠ όλων των φορέων περιλαμβάνονται στην ειδική έκδοση «Προϋπολογισμός Επιδόσεων 2026»</w:t>
      </w:r>
      <w:r w:rsidR="00417257">
        <w:t>,</w:t>
      </w:r>
      <w:r>
        <w:t xml:space="preserve"> που συνοδεύει την παρούσα.</w:t>
      </w:r>
    </w:p>
    <w:p w14:paraId="1676D28F" w14:textId="36DBD95A" w:rsidR="008C002B" w:rsidRPr="001D2955" w:rsidRDefault="008C002B" w:rsidP="001D2955">
      <w:pPr>
        <w:pStyle w:val="4"/>
      </w:pPr>
      <w:bookmarkStart w:id="232" w:name="_Toc151401114"/>
      <w:bookmarkStart w:id="233" w:name="_Toc151401115"/>
      <w:bookmarkStart w:id="234" w:name="_Toc151401116"/>
      <w:bookmarkStart w:id="235" w:name="_Toc151401117"/>
      <w:bookmarkStart w:id="236" w:name="_Toc151401118"/>
      <w:bookmarkStart w:id="237" w:name="_Toc214473739"/>
      <w:bookmarkEnd w:id="232"/>
      <w:bookmarkEnd w:id="233"/>
      <w:bookmarkEnd w:id="234"/>
      <w:bookmarkEnd w:id="235"/>
      <w:bookmarkEnd w:id="236"/>
      <w:r w:rsidRPr="001D2955">
        <w:t>Ανάπτυξη λειτουργικής ταξινόμησης του προϋπολογισμού</w:t>
      </w:r>
      <w:bookmarkEnd w:id="237"/>
    </w:p>
    <w:p w14:paraId="26E0D1FD" w14:textId="30C0AE87" w:rsidR="00F51D9A" w:rsidRDefault="00F51D9A" w:rsidP="00F51D9A">
      <w:r>
        <w:t>Για την υποστήριξη των διεθνών αναφορών και δεσμεύσεων της χώρας το Γ</w:t>
      </w:r>
      <w:r w:rsidR="00417257">
        <w:t>ΛΚ</w:t>
      </w:r>
      <w:r>
        <w:t>, συμπληρωματικά προς τη νέα ταξινόμηση βάσει Προγραμμάτων</w:t>
      </w:r>
      <w:r w:rsidR="00417257">
        <w:t>,</w:t>
      </w:r>
      <w:r>
        <w:t xml:space="preserve"> αναπτύσσει και τη λειτουργική ταξινόμηση του προϋπολογισμού σε επίπεδο ενοποιημένης Γενικής Κυβέρνησης, σύμφωνα με το διεθνές πρότυπο Ταξινόμησης των Κρατικών Λειτουργιών (Classification of the Functions of Government/CoFoG).</w:t>
      </w:r>
    </w:p>
    <w:p w14:paraId="19E49A80" w14:textId="6AAD20DD" w:rsidR="00F51D9A" w:rsidRDefault="00F51D9A" w:rsidP="00F51D9A">
      <w:r>
        <w:t>Η αναφορά αυτή αναπτύσσεται σε δεύτερο βαθμό ανάλυσης του προτύπου CoFoG και η παραγωγή της βασίζεται στην πληροφόρηση του αναλυτικότερου επιπέδου της ταξινόμησης βάσει Προγραμμάτων. Μετά την ανάπτυξη νέων Προγραμμάτων προϋπολογισμού επιδόσεων για το σύνολο των ΑΔΑ αλλά και την ανάπτυξη νέων Προγραμμάτων άλλων φορέων για το 2026, η ανάλυση αυτή επικαιροποιήθηκε σε συνεργασία με την ΕΛΣΤΑΤ.</w:t>
      </w:r>
      <w:r w:rsidR="0095510F">
        <w:t xml:space="preserve"> </w:t>
      </w:r>
      <w:r w:rsidR="002F3BFE" w:rsidRPr="002F3BFE">
        <w:t>Επισημαίνεται ότι στον πίνακα που ακολουθεί οι προβλέψεις δεν περιλαμβάνουν χρηματοοικονομικές συναλλαγές και τεκμαρτές δαπάνες</w:t>
      </w:r>
      <w:r w:rsidR="0095510F">
        <w:t>.</w:t>
      </w:r>
    </w:p>
    <w:p w14:paraId="2048B9CD" w14:textId="31E0A814" w:rsidR="00766BC3" w:rsidRDefault="00F51D9A" w:rsidP="000E412F">
      <w:pPr>
        <w:spacing w:after="240"/>
      </w:pPr>
      <w:r w:rsidRPr="00154C13">
        <w:lastRenderedPageBreak/>
        <w:t>Παρακάτω (</w:t>
      </w:r>
      <w:r w:rsidR="00666DA9" w:rsidRPr="00154C13">
        <w:fldChar w:fldCharType="begin"/>
      </w:r>
      <w:r w:rsidR="00666DA9" w:rsidRPr="00154C13">
        <w:instrText xml:space="preserve"> REF _Ref214440972 \h  \* MERGEFORMAT </w:instrText>
      </w:r>
      <w:r w:rsidR="00666DA9" w:rsidRPr="00154C13">
        <w:fldChar w:fldCharType="separate"/>
      </w:r>
      <w:r w:rsidR="00E15678" w:rsidRPr="00E15678">
        <w:t>Πίνακας 2.9</w:t>
      </w:r>
      <w:r w:rsidR="00666DA9" w:rsidRPr="00154C13">
        <w:fldChar w:fldCharType="end"/>
      </w:r>
      <w:r w:rsidR="00666DA9" w:rsidRPr="00154C13">
        <w:t>.</w:t>
      </w:r>
      <w:r w:rsidRPr="00154C13">
        <w:t>)</w:t>
      </w:r>
      <w:r w:rsidRPr="00154C13">
        <w:rPr>
          <w:szCs w:val="20"/>
        </w:rPr>
        <w:t xml:space="preserve"> παρουσιάζεται</w:t>
      </w:r>
      <w:r>
        <w:t xml:space="preserve"> η λειτουργική ταξινόμηση του προϋπολογισμού έτους 202</w:t>
      </w:r>
      <w:r w:rsidRPr="001B7B2B">
        <w:t>6</w:t>
      </w:r>
      <w:r>
        <w:t xml:space="preserve"> σε πρώτο και δεύτερο επίπεδο ανάλυσης.</w:t>
      </w:r>
    </w:p>
    <w:tbl>
      <w:tblPr>
        <w:tblW w:w="5000" w:type="pct"/>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6234"/>
        <w:gridCol w:w="2830"/>
      </w:tblGrid>
      <w:tr w:rsidR="00666DA9" w:rsidRPr="00666DA9" w14:paraId="52A3ACB7" w14:textId="77777777" w:rsidTr="00B819DB">
        <w:trPr>
          <w:cantSplit/>
          <w:trHeight w:val="375"/>
          <w:tblHeader/>
          <w:jc w:val="center"/>
        </w:trPr>
        <w:tc>
          <w:tcPr>
            <w:tcW w:w="5000" w:type="pct"/>
            <w:gridSpan w:val="2"/>
            <w:shd w:val="clear" w:color="auto" w:fill="D5DCE4"/>
            <w:noWrap/>
            <w:vAlign w:val="center"/>
            <w:hideMark/>
          </w:tcPr>
          <w:p w14:paraId="03DCDB50" w14:textId="09B76B5F" w:rsidR="0053607E" w:rsidRDefault="00666DA9" w:rsidP="0053607E">
            <w:pPr>
              <w:pStyle w:val="afe"/>
              <w:spacing w:after="0"/>
              <w:jc w:val="center"/>
              <w:rPr>
                <w:sz w:val="18"/>
                <w:szCs w:val="18"/>
              </w:rPr>
            </w:pPr>
            <w:bookmarkStart w:id="238" w:name="_Ref214440972"/>
            <w:bookmarkStart w:id="239" w:name="_Toc214473827"/>
            <w:bookmarkStart w:id="240" w:name="_Toc214372337"/>
            <w:r w:rsidRPr="00666DA9">
              <w:rPr>
                <w:sz w:val="18"/>
                <w:szCs w:val="18"/>
              </w:rPr>
              <w:t>Πίνακας 2.</w:t>
            </w:r>
            <w:r w:rsidRPr="00666DA9">
              <w:rPr>
                <w:sz w:val="18"/>
                <w:szCs w:val="18"/>
              </w:rPr>
              <w:fldChar w:fldCharType="begin"/>
            </w:r>
            <w:r w:rsidRPr="00666DA9">
              <w:rPr>
                <w:sz w:val="18"/>
                <w:szCs w:val="18"/>
              </w:rPr>
              <w:instrText xml:space="preserve"> SEQ Πίνακας_2. \* ARABIC </w:instrText>
            </w:r>
            <w:r w:rsidRPr="00666DA9">
              <w:rPr>
                <w:sz w:val="18"/>
                <w:szCs w:val="18"/>
              </w:rPr>
              <w:fldChar w:fldCharType="separate"/>
            </w:r>
            <w:r w:rsidR="00E15678">
              <w:rPr>
                <w:noProof/>
                <w:sz w:val="18"/>
                <w:szCs w:val="18"/>
              </w:rPr>
              <w:t>9</w:t>
            </w:r>
            <w:r w:rsidRPr="00666DA9">
              <w:rPr>
                <w:sz w:val="18"/>
                <w:szCs w:val="18"/>
              </w:rPr>
              <w:fldChar w:fldCharType="end"/>
            </w:r>
            <w:bookmarkEnd w:id="238"/>
            <w:r w:rsidRPr="00666DA9">
              <w:rPr>
                <w:sz w:val="18"/>
                <w:szCs w:val="18"/>
              </w:rPr>
              <w:t>.: Λειτουργική ταξινόμηση προϋπολογισμού Γενικής Κυβέρνησης</w:t>
            </w:r>
            <w:bookmarkEnd w:id="239"/>
          </w:p>
          <w:p w14:paraId="09A67A04" w14:textId="6B6459FB" w:rsidR="00666DA9" w:rsidRPr="00666DA9" w:rsidRDefault="00666DA9" w:rsidP="0053607E">
            <w:pPr>
              <w:pStyle w:val="afe"/>
              <w:spacing w:after="0"/>
              <w:jc w:val="center"/>
              <w:rPr>
                <w:rFonts w:cs="Arial"/>
                <w:bCs w:val="0"/>
                <w:color w:val="000000"/>
                <w:sz w:val="18"/>
                <w:szCs w:val="18"/>
              </w:rPr>
            </w:pPr>
            <w:r w:rsidRPr="00666DA9">
              <w:rPr>
                <w:sz w:val="18"/>
                <w:szCs w:val="18"/>
              </w:rPr>
              <w:t>(σε χιλιάδες ευρώ)</w:t>
            </w:r>
            <w:bookmarkEnd w:id="240"/>
          </w:p>
        </w:tc>
      </w:tr>
      <w:tr w:rsidR="00666DA9" w:rsidRPr="0046313D" w14:paraId="4C8CEBA2" w14:textId="77777777" w:rsidTr="00B819DB">
        <w:trPr>
          <w:cantSplit/>
          <w:trHeight w:val="225"/>
          <w:tblHeader/>
          <w:jc w:val="center"/>
        </w:trPr>
        <w:tc>
          <w:tcPr>
            <w:tcW w:w="3439" w:type="pct"/>
            <w:shd w:val="clear" w:color="E5E5E5" w:fill="D9D9D9"/>
            <w:vAlign w:val="center"/>
            <w:hideMark/>
          </w:tcPr>
          <w:p w14:paraId="6C25CA56" w14:textId="743B9CC4" w:rsidR="00666DA9" w:rsidRPr="004A1C98" w:rsidRDefault="00666DA9" w:rsidP="00CC53AA">
            <w:pPr>
              <w:spacing w:after="0" w:line="240" w:lineRule="auto"/>
              <w:jc w:val="center"/>
              <w:rPr>
                <w:rFonts w:cs="Arial"/>
                <w:b/>
                <w:bCs/>
                <w:color w:val="000000"/>
                <w:sz w:val="16"/>
                <w:szCs w:val="16"/>
                <w:lang w:val="en-US"/>
              </w:rPr>
            </w:pPr>
            <w:r w:rsidRPr="0046313D">
              <w:rPr>
                <w:rFonts w:cs="Arial"/>
                <w:b/>
                <w:bCs/>
                <w:color w:val="000000"/>
                <w:sz w:val="16"/>
                <w:szCs w:val="16"/>
              </w:rPr>
              <w:t xml:space="preserve">Λειτουργία βάσει </w:t>
            </w:r>
            <w:r w:rsidR="004A1C98">
              <w:rPr>
                <w:rFonts w:cs="Arial"/>
                <w:b/>
                <w:bCs/>
                <w:color w:val="000000"/>
                <w:sz w:val="16"/>
                <w:szCs w:val="16"/>
                <w:lang w:val="en-US"/>
              </w:rPr>
              <w:t>C</w:t>
            </w:r>
            <w:r w:rsidRPr="0046313D">
              <w:rPr>
                <w:rFonts w:cs="Arial"/>
                <w:b/>
                <w:bCs/>
                <w:color w:val="000000"/>
                <w:sz w:val="16"/>
                <w:szCs w:val="16"/>
              </w:rPr>
              <w:t>o</w:t>
            </w:r>
            <w:r w:rsidR="004A1C98">
              <w:rPr>
                <w:rFonts w:cs="Arial"/>
                <w:b/>
                <w:bCs/>
                <w:color w:val="000000"/>
                <w:sz w:val="16"/>
                <w:szCs w:val="16"/>
                <w:lang w:val="en-US"/>
              </w:rPr>
              <w:t>F</w:t>
            </w:r>
            <w:r w:rsidRPr="0046313D">
              <w:rPr>
                <w:rFonts w:cs="Arial"/>
                <w:b/>
                <w:bCs/>
                <w:color w:val="000000"/>
                <w:sz w:val="16"/>
                <w:szCs w:val="16"/>
              </w:rPr>
              <w:t>o</w:t>
            </w:r>
            <w:r w:rsidR="004A1C98">
              <w:rPr>
                <w:rFonts w:cs="Arial"/>
                <w:b/>
                <w:bCs/>
                <w:color w:val="000000"/>
                <w:sz w:val="16"/>
                <w:szCs w:val="16"/>
                <w:lang w:val="en-US"/>
              </w:rPr>
              <w:t>G</w:t>
            </w:r>
          </w:p>
        </w:tc>
        <w:tc>
          <w:tcPr>
            <w:tcW w:w="1561" w:type="pct"/>
            <w:shd w:val="clear" w:color="E5E5E5" w:fill="D9D9D9"/>
            <w:vAlign w:val="center"/>
            <w:hideMark/>
          </w:tcPr>
          <w:p w14:paraId="00D027A1" w14:textId="34F748BD" w:rsidR="00666DA9" w:rsidRPr="0046313D" w:rsidRDefault="00666DA9" w:rsidP="00CC53AA">
            <w:pPr>
              <w:spacing w:after="0" w:line="240" w:lineRule="auto"/>
              <w:jc w:val="center"/>
              <w:rPr>
                <w:rFonts w:cs="Arial"/>
                <w:b/>
                <w:bCs/>
                <w:color w:val="000000"/>
                <w:sz w:val="16"/>
                <w:szCs w:val="16"/>
              </w:rPr>
            </w:pPr>
            <w:r w:rsidRPr="0046313D">
              <w:rPr>
                <w:rFonts w:cs="Arial"/>
                <w:b/>
                <w:bCs/>
                <w:color w:val="000000"/>
                <w:sz w:val="16"/>
                <w:szCs w:val="16"/>
              </w:rPr>
              <w:t xml:space="preserve">Προϋπολογισμός ΓΚ 2026 </w:t>
            </w:r>
          </w:p>
        </w:tc>
      </w:tr>
      <w:tr w:rsidR="00666DA9" w:rsidRPr="0046313D" w14:paraId="64832652" w14:textId="77777777" w:rsidTr="00B819DB">
        <w:trPr>
          <w:cantSplit/>
          <w:trHeight w:val="225"/>
          <w:jc w:val="center"/>
        </w:trPr>
        <w:tc>
          <w:tcPr>
            <w:tcW w:w="3439" w:type="pct"/>
            <w:shd w:val="clear" w:color="E5E5E5" w:fill="D9D9D9"/>
            <w:vAlign w:val="center"/>
            <w:hideMark/>
          </w:tcPr>
          <w:p w14:paraId="55387CC5"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Γενικές δημόσιες υπηρεσίες</w:t>
            </w:r>
          </w:p>
        </w:tc>
        <w:tc>
          <w:tcPr>
            <w:tcW w:w="1561" w:type="pct"/>
            <w:shd w:val="clear" w:color="E5E5E5" w:fill="D9D9D9"/>
            <w:noWrap/>
            <w:vAlign w:val="center"/>
            <w:hideMark/>
          </w:tcPr>
          <w:p w14:paraId="73176B7A"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26.251.667 €</w:t>
            </w:r>
          </w:p>
        </w:tc>
      </w:tr>
      <w:tr w:rsidR="00666DA9" w:rsidRPr="0046313D" w14:paraId="589117DD" w14:textId="77777777" w:rsidTr="00B819DB">
        <w:trPr>
          <w:cantSplit/>
          <w:trHeight w:val="450"/>
          <w:jc w:val="center"/>
        </w:trPr>
        <w:tc>
          <w:tcPr>
            <w:tcW w:w="3439" w:type="pct"/>
            <w:shd w:val="clear" w:color="auto" w:fill="auto"/>
            <w:vAlign w:val="center"/>
            <w:hideMark/>
          </w:tcPr>
          <w:p w14:paraId="16621380"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01.01 Εκτελεστικά και νομοθετικά όργανα, οικονομικά και δημοσιονομικά θέματα, εξωτερικά θέματα</w:t>
            </w:r>
          </w:p>
        </w:tc>
        <w:tc>
          <w:tcPr>
            <w:tcW w:w="1561" w:type="pct"/>
            <w:shd w:val="clear" w:color="auto" w:fill="auto"/>
            <w:noWrap/>
            <w:vAlign w:val="center"/>
            <w:hideMark/>
          </w:tcPr>
          <w:p w14:paraId="4B92C4B4"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8.190.865 €</w:t>
            </w:r>
          </w:p>
        </w:tc>
      </w:tr>
      <w:tr w:rsidR="00666DA9" w:rsidRPr="0046313D" w14:paraId="747704C4" w14:textId="77777777" w:rsidTr="00B819DB">
        <w:trPr>
          <w:cantSplit/>
          <w:trHeight w:val="225"/>
          <w:jc w:val="center"/>
        </w:trPr>
        <w:tc>
          <w:tcPr>
            <w:tcW w:w="3439" w:type="pct"/>
            <w:shd w:val="clear" w:color="auto" w:fill="auto"/>
            <w:vAlign w:val="center"/>
            <w:hideMark/>
          </w:tcPr>
          <w:p w14:paraId="514D5765"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01.03 Γενικές υπηρεσίες</w:t>
            </w:r>
          </w:p>
        </w:tc>
        <w:tc>
          <w:tcPr>
            <w:tcW w:w="1561" w:type="pct"/>
            <w:shd w:val="clear" w:color="auto" w:fill="auto"/>
            <w:noWrap/>
            <w:vAlign w:val="center"/>
            <w:hideMark/>
          </w:tcPr>
          <w:p w14:paraId="1F1E9CED"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10.292.608 €</w:t>
            </w:r>
          </w:p>
        </w:tc>
      </w:tr>
      <w:tr w:rsidR="00666DA9" w:rsidRPr="0046313D" w14:paraId="29852F2B" w14:textId="77777777" w:rsidTr="00B819DB">
        <w:trPr>
          <w:cantSplit/>
          <w:trHeight w:val="225"/>
          <w:jc w:val="center"/>
        </w:trPr>
        <w:tc>
          <w:tcPr>
            <w:tcW w:w="3439" w:type="pct"/>
            <w:shd w:val="clear" w:color="auto" w:fill="auto"/>
            <w:vAlign w:val="center"/>
            <w:hideMark/>
          </w:tcPr>
          <w:p w14:paraId="14FEB6C9"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01.06 Λοιπές γενικές δημόσιες υπηρεσίες</w:t>
            </w:r>
          </w:p>
        </w:tc>
        <w:tc>
          <w:tcPr>
            <w:tcW w:w="1561" w:type="pct"/>
            <w:shd w:val="clear" w:color="auto" w:fill="auto"/>
            <w:noWrap/>
            <w:vAlign w:val="center"/>
            <w:hideMark/>
          </w:tcPr>
          <w:p w14:paraId="0AB6FFEF"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284.875 €</w:t>
            </w:r>
          </w:p>
        </w:tc>
      </w:tr>
      <w:tr w:rsidR="00666DA9" w:rsidRPr="0046313D" w14:paraId="073F0D8C" w14:textId="77777777" w:rsidTr="00B819DB">
        <w:trPr>
          <w:cantSplit/>
          <w:trHeight w:val="225"/>
          <w:jc w:val="center"/>
        </w:trPr>
        <w:tc>
          <w:tcPr>
            <w:tcW w:w="3439" w:type="pct"/>
            <w:shd w:val="clear" w:color="auto" w:fill="auto"/>
            <w:vAlign w:val="center"/>
            <w:hideMark/>
          </w:tcPr>
          <w:p w14:paraId="756F5910"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01.07 Συναλλαγές δημόσιου χρέους</w:t>
            </w:r>
          </w:p>
        </w:tc>
        <w:tc>
          <w:tcPr>
            <w:tcW w:w="1561" w:type="pct"/>
            <w:shd w:val="clear" w:color="auto" w:fill="auto"/>
            <w:noWrap/>
            <w:vAlign w:val="center"/>
            <w:hideMark/>
          </w:tcPr>
          <w:p w14:paraId="4BB8AFDA"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7.483.319 €</w:t>
            </w:r>
          </w:p>
        </w:tc>
      </w:tr>
      <w:tr w:rsidR="00666DA9" w:rsidRPr="0046313D" w14:paraId="32DEDF64" w14:textId="77777777" w:rsidTr="00B819DB">
        <w:trPr>
          <w:cantSplit/>
          <w:trHeight w:val="225"/>
          <w:jc w:val="center"/>
        </w:trPr>
        <w:tc>
          <w:tcPr>
            <w:tcW w:w="3439" w:type="pct"/>
            <w:shd w:val="clear" w:color="000000" w:fill="D9D9D9"/>
            <w:vAlign w:val="center"/>
            <w:hideMark/>
          </w:tcPr>
          <w:p w14:paraId="18F7750D"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Άμυνα</w:t>
            </w:r>
          </w:p>
        </w:tc>
        <w:tc>
          <w:tcPr>
            <w:tcW w:w="1561" w:type="pct"/>
            <w:shd w:val="clear" w:color="000000" w:fill="D9D9D9"/>
            <w:noWrap/>
            <w:vAlign w:val="center"/>
            <w:hideMark/>
          </w:tcPr>
          <w:p w14:paraId="6852283F"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5.812.289 €</w:t>
            </w:r>
          </w:p>
        </w:tc>
      </w:tr>
      <w:tr w:rsidR="00666DA9" w:rsidRPr="0046313D" w14:paraId="7DD79B7F" w14:textId="77777777" w:rsidTr="00B819DB">
        <w:trPr>
          <w:cantSplit/>
          <w:trHeight w:val="225"/>
          <w:jc w:val="center"/>
        </w:trPr>
        <w:tc>
          <w:tcPr>
            <w:tcW w:w="3439" w:type="pct"/>
            <w:shd w:val="clear" w:color="auto" w:fill="auto"/>
            <w:vAlign w:val="center"/>
            <w:hideMark/>
          </w:tcPr>
          <w:p w14:paraId="2B2CC563"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02.01 Στρατιωτική άμυνα</w:t>
            </w:r>
          </w:p>
        </w:tc>
        <w:tc>
          <w:tcPr>
            <w:tcW w:w="1561" w:type="pct"/>
            <w:shd w:val="clear" w:color="auto" w:fill="auto"/>
            <w:noWrap/>
            <w:vAlign w:val="center"/>
            <w:hideMark/>
          </w:tcPr>
          <w:p w14:paraId="6F9D3A6F"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5.731.757 €</w:t>
            </w:r>
          </w:p>
        </w:tc>
      </w:tr>
      <w:tr w:rsidR="00666DA9" w:rsidRPr="0046313D" w14:paraId="106AE047" w14:textId="77777777" w:rsidTr="00B819DB">
        <w:trPr>
          <w:cantSplit/>
          <w:trHeight w:val="225"/>
          <w:jc w:val="center"/>
        </w:trPr>
        <w:tc>
          <w:tcPr>
            <w:tcW w:w="3439" w:type="pct"/>
            <w:shd w:val="clear" w:color="auto" w:fill="auto"/>
            <w:vAlign w:val="center"/>
            <w:hideMark/>
          </w:tcPr>
          <w:p w14:paraId="53755BFC"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02.03 Ξένη στρατιωτική ενίσχυση</w:t>
            </w:r>
          </w:p>
        </w:tc>
        <w:tc>
          <w:tcPr>
            <w:tcW w:w="1561" w:type="pct"/>
            <w:shd w:val="clear" w:color="auto" w:fill="auto"/>
            <w:noWrap/>
            <w:vAlign w:val="center"/>
            <w:hideMark/>
          </w:tcPr>
          <w:p w14:paraId="5856AE55"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68.232 €</w:t>
            </w:r>
          </w:p>
        </w:tc>
      </w:tr>
      <w:tr w:rsidR="00666DA9" w:rsidRPr="0046313D" w14:paraId="50A8C044" w14:textId="77777777" w:rsidTr="00B819DB">
        <w:trPr>
          <w:cantSplit/>
          <w:trHeight w:val="225"/>
          <w:jc w:val="center"/>
        </w:trPr>
        <w:tc>
          <w:tcPr>
            <w:tcW w:w="3439" w:type="pct"/>
            <w:shd w:val="clear" w:color="auto" w:fill="auto"/>
            <w:vAlign w:val="center"/>
            <w:hideMark/>
          </w:tcPr>
          <w:p w14:paraId="6F2ABEC2"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02.05 Άμυνα (λοιπά)</w:t>
            </w:r>
          </w:p>
        </w:tc>
        <w:tc>
          <w:tcPr>
            <w:tcW w:w="1561" w:type="pct"/>
            <w:shd w:val="clear" w:color="auto" w:fill="auto"/>
            <w:noWrap/>
            <w:vAlign w:val="center"/>
            <w:hideMark/>
          </w:tcPr>
          <w:p w14:paraId="55E516CE"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12.300 €</w:t>
            </w:r>
          </w:p>
        </w:tc>
      </w:tr>
      <w:tr w:rsidR="00666DA9" w:rsidRPr="0046313D" w14:paraId="0AEF0F03" w14:textId="77777777" w:rsidTr="00B819DB">
        <w:trPr>
          <w:cantSplit/>
          <w:trHeight w:val="225"/>
          <w:jc w:val="center"/>
        </w:trPr>
        <w:tc>
          <w:tcPr>
            <w:tcW w:w="3439" w:type="pct"/>
            <w:shd w:val="clear" w:color="000000" w:fill="D9D9D9"/>
            <w:vAlign w:val="center"/>
            <w:hideMark/>
          </w:tcPr>
          <w:p w14:paraId="74E4CBF6"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Δημόσια τάξη και ασφάλεια</w:t>
            </w:r>
          </w:p>
        </w:tc>
        <w:tc>
          <w:tcPr>
            <w:tcW w:w="1561" w:type="pct"/>
            <w:shd w:val="clear" w:color="000000" w:fill="D9D9D9"/>
            <w:noWrap/>
            <w:vAlign w:val="center"/>
            <w:hideMark/>
          </w:tcPr>
          <w:p w14:paraId="0871A5B7"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5.203.345 €</w:t>
            </w:r>
          </w:p>
        </w:tc>
      </w:tr>
      <w:tr w:rsidR="00666DA9" w:rsidRPr="0046313D" w14:paraId="7246D31C" w14:textId="77777777" w:rsidTr="00B819DB">
        <w:trPr>
          <w:cantSplit/>
          <w:trHeight w:val="225"/>
          <w:jc w:val="center"/>
        </w:trPr>
        <w:tc>
          <w:tcPr>
            <w:tcW w:w="3439" w:type="pct"/>
            <w:shd w:val="clear" w:color="auto" w:fill="auto"/>
            <w:vAlign w:val="center"/>
            <w:hideMark/>
          </w:tcPr>
          <w:p w14:paraId="101F9C0B"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03.01 Αστυνομικές υπηρεσίες</w:t>
            </w:r>
          </w:p>
        </w:tc>
        <w:tc>
          <w:tcPr>
            <w:tcW w:w="1561" w:type="pct"/>
            <w:shd w:val="clear" w:color="auto" w:fill="auto"/>
            <w:noWrap/>
            <w:vAlign w:val="center"/>
            <w:hideMark/>
          </w:tcPr>
          <w:p w14:paraId="27B1FD15"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2.734.183 €</w:t>
            </w:r>
          </w:p>
        </w:tc>
      </w:tr>
      <w:tr w:rsidR="00666DA9" w:rsidRPr="0046313D" w14:paraId="06231C08" w14:textId="77777777" w:rsidTr="00B819DB">
        <w:trPr>
          <w:cantSplit/>
          <w:trHeight w:val="225"/>
          <w:jc w:val="center"/>
        </w:trPr>
        <w:tc>
          <w:tcPr>
            <w:tcW w:w="3439" w:type="pct"/>
            <w:shd w:val="clear" w:color="auto" w:fill="auto"/>
            <w:vAlign w:val="center"/>
            <w:hideMark/>
          </w:tcPr>
          <w:p w14:paraId="221DDA20"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03.02 Υπηρεσίες πυροπροστασίας</w:t>
            </w:r>
          </w:p>
        </w:tc>
        <w:tc>
          <w:tcPr>
            <w:tcW w:w="1561" w:type="pct"/>
            <w:shd w:val="clear" w:color="auto" w:fill="auto"/>
            <w:noWrap/>
            <w:vAlign w:val="center"/>
            <w:hideMark/>
          </w:tcPr>
          <w:p w14:paraId="6E45C853"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1.104.442 €</w:t>
            </w:r>
          </w:p>
        </w:tc>
      </w:tr>
      <w:tr w:rsidR="00666DA9" w:rsidRPr="0046313D" w14:paraId="58802750" w14:textId="77777777" w:rsidTr="00B819DB">
        <w:trPr>
          <w:cantSplit/>
          <w:trHeight w:val="225"/>
          <w:jc w:val="center"/>
        </w:trPr>
        <w:tc>
          <w:tcPr>
            <w:tcW w:w="3439" w:type="pct"/>
            <w:shd w:val="clear" w:color="auto" w:fill="auto"/>
            <w:vAlign w:val="center"/>
            <w:hideMark/>
          </w:tcPr>
          <w:p w14:paraId="0BF70666"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03.03 Δικαστήρια</w:t>
            </w:r>
          </w:p>
        </w:tc>
        <w:tc>
          <w:tcPr>
            <w:tcW w:w="1561" w:type="pct"/>
            <w:shd w:val="clear" w:color="auto" w:fill="auto"/>
            <w:noWrap/>
            <w:vAlign w:val="center"/>
            <w:hideMark/>
          </w:tcPr>
          <w:p w14:paraId="1EBD1FF8"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732.170 €</w:t>
            </w:r>
          </w:p>
        </w:tc>
      </w:tr>
      <w:tr w:rsidR="00666DA9" w:rsidRPr="0046313D" w14:paraId="034A20B4" w14:textId="77777777" w:rsidTr="00B819DB">
        <w:trPr>
          <w:cantSplit/>
          <w:trHeight w:val="225"/>
          <w:jc w:val="center"/>
        </w:trPr>
        <w:tc>
          <w:tcPr>
            <w:tcW w:w="3439" w:type="pct"/>
            <w:shd w:val="clear" w:color="auto" w:fill="auto"/>
            <w:vAlign w:val="center"/>
            <w:hideMark/>
          </w:tcPr>
          <w:p w14:paraId="47710712"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03.04 Φυλακές</w:t>
            </w:r>
          </w:p>
        </w:tc>
        <w:tc>
          <w:tcPr>
            <w:tcW w:w="1561" w:type="pct"/>
            <w:shd w:val="clear" w:color="auto" w:fill="auto"/>
            <w:noWrap/>
            <w:vAlign w:val="center"/>
            <w:hideMark/>
          </w:tcPr>
          <w:p w14:paraId="562923AA"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189.151 €</w:t>
            </w:r>
          </w:p>
        </w:tc>
      </w:tr>
      <w:tr w:rsidR="00666DA9" w:rsidRPr="0046313D" w14:paraId="73F27B68" w14:textId="77777777" w:rsidTr="00B819DB">
        <w:trPr>
          <w:cantSplit/>
          <w:trHeight w:val="225"/>
          <w:jc w:val="center"/>
        </w:trPr>
        <w:tc>
          <w:tcPr>
            <w:tcW w:w="3439" w:type="pct"/>
            <w:shd w:val="clear" w:color="auto" w:fill="auto"/>
            <w:vAlign w:val="center"/>
            <w:hideMark/>
          </w:tcPr>
          <w:p w14:paraId="4DD55B1A"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03.05 Ε&amp;Α στον τομέα της δημόσιας τάξης και ασφάλειας</w:t>
            </w:r>
          </w:p>
        </w:tc>
        <w:tc>
          <w:tcPr>
            <w:tcW w:w="1561" w:type="pct"/>
            <w:shd w:val="clear" w:color="auto" w:fill="auto"/>
            <w:noWrap/>
            <w:vAlign w:val="center"/>
            <w:hideMark/>
          </w:tcPr>
          <w:p w14:paraId="0D14D9C1"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6.814 €</w:t>
            </w:r>
          </w:p>
        </w:tc>
      </w:tr>
      <w:tr w:rsidR="00666DA9" w:rsidRPr="0046313D" w14:paraId="5D97DCDF" w14:textId="77777777" w:rsidTr="00B819DB">
        <w:trPr>
          <w:cantSplit/>
          <w:trHeight w:val="225"/>
          <w:jc w:val="center"/>
        </w:trPr>
        <w:tc>
          <w:tcPr>
            <w:tcW w:w="3439" w:type="pct"/>
            <w:shd w:val="clear" w:color="auto" w:fill="auto"/>
            <w:vAlign w:val="center"/>
            <w:hideMark/>
          </w:tcPr>
          <w:p w14:paraId="38752AC2"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03.06 Δημόσια τάξη και ασφάλεια (λοιπά)</w:t>
            </w:r>
          </w:p>
        </w:tc>
        <w:tc>
          <w:tcPr>
            <w:tcW w:w="1561" w:type="pct"/>
            <w:shd w:val="clear" w:color="auto" w:fill="auto"/>
            <w:noWrap/>
            <w:vAlign w:val="center"/>
            <w:hideMark/>
          </w:tcPr>
          <w:p w14:paraId="01F63690"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436.586 €</w:t>
            </w:r>
          </w:p>
        </w:tc>
      </w:tr>
      <w:tr w:rsidR="00666DA9" w:rsidRPr="0046313D" w14:paraId="2E21B8B7" w14:textId="77777777" w:rsidTr="00B819DB">
        <w:trPr>
          <w:cantSplit/>
          <w:trHeight w:val="225"/>
          <w:jc w:val="center"/>
        </w:trPr>
        <w:tc>
          <w:tcPr>
            <w:tcW w:w="3439" w:type="pct"/>
            <w:shd w:val="clear" w:color="000000" w:fill="D9D9D9"/>
            <w:vAlign w:val="center"/>
            <w:hideMark/>
          </w:tcPr>
          <w:p w14:paraId="26013773"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Οικονομικά θέματα</w:t>
            </w:r>
          </w:p>
        </w:tc>
        <w:tc>
          <w:tcPr>
            <w:tcW w:w="1561" w:type="pct"/>
            <w:shd w:val="clear" w:color="000000" w:fill="D9D9D9"/>
            <w:noWrap/>
            <w:vAlign w:val="center"/>
            <w:hideMark/>
          </w:tcPr>
          <w:p w14:paraId="17B8F87E"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15.015.312 €</w:t>
            </w:r>
          </w:p>
        </w:tc>
      </w:tr>
      <w:tr w:rsidR="00666DA9" w:rsidRPr="0046313D" w14:paraId="508B8CDF" w14:textId="77777777" w:rsidTr="00B819DB">
        <w:trPr>
          <w:cantSplit/>
          <w:trHeight w:val="225"/>
          <w:jc w:val="center"/>
        </w:trPr>
        <w:tc>
          <w:tcPr>
            <w:tcW w:w="3439" w:type="pct"/>
            <w:shd w:val="clear" w:color="auto" w:fill="auto"/>
            <w:vAlign w:val="center"/>
            <w:hideMark/>
          </w:tcPr>
          <w:p w14:paraId="5EB80E22"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04.01 Γενικά οικονομικά, εμπορικά και εργασιακά θέματα</w:t>
            </w:r>
          </w:p>
        </w:tc>
        <w:tc>
          <w:tcPr>
            <w:tcW w:w="1561" w:type="pct"/>
            <w:shd w:val="clear" w:color="auto" w:fill="auto"/>
            <w:noWrap/>
            <w:vAlign w:val="center"/>
            <w:hideMark/>
          </w:tcPr>
          <w:p w14:paraId="56031D65"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3.531.934 €</w:t>
            </w:r>
          </w:p>
        </w:tc>
      </w:tr>
      <w:tr w:rsidR="00666DA9" w:rsidRPr="0046313D" w14:paraId="1B87CB21" w14:textId="77777777" w:rsidTr="00B819DB">
        <w:trPr>
          <w:cantSplit/>
          <w:trHeight w:val="225"/>
          <w:jc w:val="center"/>
        </w:trPr>
        <w:tc>
          <w:tcPr>
            <w:tcW w:w="3439" w:type="pct"/>
            <w:shd w:val="clear" w:color="auto" w:fill="auto"/>
            <w:vAlign w:val="center"/>
            <w:hideMark/>
          </w:tcPr>
          <w:p w14:paraId="14A83768"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04.02 Γεωργία, δασονομία, αλιεία και κυνήγι</w:t>
            </w:r>
          </w:p>
        </w:tc>
        <w:tc>
          <w:tcPr>
            <w:tcW w:w="1561" w:type="pct"/>
            <w:shd w:val="clear" w:color="auto" w:fill="auto"/>
            <w:noWrap/>
            <w:vAlign w:val="center"/>
            <w:hideMark/>
          </w:tcPr>
          <w:p w14:paraId="146255F1"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1.459.404 €</w:t>
            </w:r>
          </w:p>
        </w:tc>
      </w:tr>
      <w:tr w:rsidR="00666DA9" w:rsidRPr="0046313D" w14:paraId="438B21AA" w14:textId="77777777" w:rsidTr="00B819DB">
        <w:trPr>
          <w:cantSplit/>
          <w:trHeight w:val="225"/>
          <w:jc w:val="center"/>
        </w:trPr>
        <w:tc>
          <w:tcPr>
            <w:tcW w:w="3439" w:type="pct"/>
            <w:shd w:val="clear" w:color="auto" w:fill="auto"/>
            <w:vAlign w:val="center"/>
            <w:hideMark/>
          </w:tcPr>
          <w:p w14:paraId="43887CE4"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04.03 Καύσιμα και ενέργεια</w:t>
            </w:r>
          </w:p>
        </w:tc>
        <w:tc>
          <w:tcPr>
            <w:tcW w:w="1561" w:type="pct"/>
            <w:shd w:val="clear" w:color="auto" w:fill="auto"/>
            <w:noWrap/>
            <w:vAlign w:val="center"/>
            <w:hideMark/>
          </w:tcPr>
          <w:p w14:paraId="662C10BD"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4.093.057 €</w:t>
            </w:r>
          </w:p>
        </w:tc>
      </w:tr>
      <w:tr w:rsidR="00666DA9" w:rsidRPr="0046313D" w14:paraId="3E838EAC" w14:textId="77777777" w:rsidTr="00B819DB">
        <w:trPr>
          <w:cantSplit/>
          <w:trHeight w:val="225"/>
          <w:jc w:val="center"/>
        </w:trPr>
        <w:tc>
          <w:tcPr>
            <w:tcW w:w="3439" w:type="pct"/>
            <w:shd w:val="clear" w:color="auto" w:fill="auto"/>
            <w:vAlign w:val="center"/>
            <w:hideMark/>
          </w:tcPr>
          <w:p w14:paraId="4B974C07"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04.04 Μεταλλεία, βιομηχανία και κατασκευές</w:t>
            </w:r>
          </w:p>
        </w:tc>
        <w:tc>
          <w:tcPr>
            <w:tcW w:w="1561" w:type="pct"/>
            <w:shd w:val="clear" w:color="auto" w:fill="auto"/>
            <w:noWrap/>
            <w:vAlign w:val="center"/>
            <w:hideMark/>
          </w:tcPr>
          <w:p w14:paraId="064C7726"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194.976 €</w:t>
            </w:r>
          </w:p>
        </w:tc>
      </w:tr>
      <w:tr w:rsidR="00666DA9" w:rsidRPr="0046313D" w14:paraId="5841FD5B" w14:textId="77777777" w:rsidTr="00B819DB">
        <w:trPr>
          <w:cantSplit/>
          <w:trHeight w:val="225"/>
          <w:jc w:val="center"/>
        </w:trPr>
        <w:tc>
          <w:tcPr>
            <w:tcW w:w="3439" w:type="pct"/>
            <w:shd w:val="clear" w:color="auto" w:fill="auto"/>
            <w:vAlign w:val="center"/>
            <w:hideMark/>
          </w:tcPr>
          <w:p w14:paraId="58053A38"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04.05 Μεταφορές</w:t>
            </w:r>
          </w:p>
        </w:tc>
        <w:tc>
          <w:tcPr>
            <w:tcW w:w="1561" w:type="pct"/>
            <w:shd w:val="clear" w:color="auto" w:fill="auto"/>
            <w:noWrap/>
            <w:vAlign w:val="center"/>
            <w:hideMark/>
          </w:tcPr>
          <w:p w14:paraId="5B975919"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3.681.480 €</w:t>
            </w:r>
          </w:p>
        </w:tc>
      </w:tr>
      <w:tr w:rsidR="00666DA9" w:rsidRPr="0046313D" w14:paraId="6243CB0D" w14:textId="77777777" w:rsidTr="00B819DB">
        <w:trPr>
          <w:cantSplit/>
          <w:trHeight w:val="225"/>
          <w:jc w:val="center"/>
        </w:trPr>
        <w:tc>
          <w:tcPr>
            <w:tcW w:w="3439" w:type="pct"/>
            <w:shd w:val="clear" w:color="auto" w:fill="auto"/>
            <w:vAlign w:val="center"/>
            <w:hideMark/>
          </w:tcPr>
          <w:p w14:paraId="76A16DC3"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04.06 Επικοινωνίες</w:t>
            </w:r>
          </w:p>
        </w:tc>
        <w:tc>
          <w:tcPr>
            <w:tcW w:w="1561" w:type="pct"/>
            <w:shd w:val="clear" w:color="auto" w:fill="auto"/>
            <w:noWrap/>
            <w:vAlign w:val="center"/>
            <w:hideMark/>
          </w:tcPr>
          <w:p w14:paraId="29FCCCA6"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855.412 €</w:t>
            </w:r>
          </w:p>
        </w:tc>
      </w:tr>
      <w:tr w:rsidR="00666DA9" w:rsidRPr="0046313D" w14:paraId="152DF451" w14:textId="77777777" w:rsidTr="00B819DB">
        <w:trPr>
          <w:cantSplit/>
          <w:trHeight w:val="225"/>
          <w:jc w:val="center"/>
        </w:trPr>
        <w:tc>
          <w:tcPr>
            <w:tcW w:w="3439" w:type="pct"/>
            <w:shd w:val="clear" w:color="auto" w:fill="auto"/>
            <w:vAlign w:val="center"/>
            <w:hideMark/>
          </w:tcPr>
          <w:p w14:paraId="5DD1AE41"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04.07 Λοιποί οικονομικοί κλάδοι</w:t>
            </w:r>
          </w:p>
        </w:tc>
        <w:tc>
          <w:tcPr>
            <w:tcW w:w="1561" w:type="pct"/>
            <w:shd w:val="clear" w:color="auto" w:fill="auto"/>
            <w:noWrap/>
            <w:vAlign w:val="center"/>
            <w:hideMark/>
          </w:tcPr>
          <w:p w14:paraId="5016C91B"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284.320 €</w:t>
            </w:r>
          </w:p>
        </w:tc>
      </w:tr>
      <w:tr w:rsidR="00666DA9" w:rsidRPr="0046313D" w14:paraId="77AAEAFF" w14:textId="77777777" w:rsidTr="00B819DB">
        <w:trPr>
          <w:cantSplit/>
          <w:trHeight w:val="225"/>
          <w:jc w:val="center"/>
        </w:trPr>
        <w:tc>
          <w:tcPr>
            <w:tcW w:w="3439" w:type="pct"/>
            <w:shd w:val="clear" w:color="auto" w:fill="auto"/>
            <w:vAlign w:val="center"/>
            <w:hideMark/>
          </w:tcPr>
          <w:p w14:paraId="1F02834C"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04.08 Ε&amp;Α στον τομέα των οικονομικών θεμάτων</w:t>
            </w:r>
          </w:p>
        </w:tc>
        <w:tc>
          <w:tcPr>
            <w:tcW w:w="1561" w:type="pct"/>
            <w:shd w:val="clear" w:color="auto" w:fill="auto"/>
            <w:noWrap/>
            <w:vAlign w:val="center"/>
            <w:hideMark/>
          </w:tcPr>
          <w:p w14:paraId="3E73B31B"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679.467 €</w:t>
            </w:r>
          </w:p>
        </w:tc>
      </w:tr>
      <w:tr w:rsidR="00666DA9" w:rsidRPr="0046313D" w14:paraId="41A8A675" w14:textId="77777777" w:rsidTr="00B819DB">
        <w:trPr>
          <w:cantSplit/>
          <w:trHeight w:val="225"/>
          <w:jc w:val="center"/>
        </w:trPr>
        <w:tc>
          <w:tcPr>
            <w:tcW w:w="3439" w:type="pct"/>
            <w:shd w:val="clear" w:color="auto" w:fill="auto"/>
            <w:vAlign w:val="center"/>
            <w:hideMark/>
          </w:tcPr>
          <w:p w14:paraId="730630D2"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04.09 Οικονομικά θέματα (λοιπά)</w:t>
            </w:r>
          </w:p>
        </w:tc>
        <w:tc>
          <w:tcPr>
            <w:tcW w:w="1561" w:type="pct"/>
            <w:shd w:val="clear" w:color="auto" w:fill="auto"/>
            <w:noWrap/>
            <w:vAlign w:val="center"/>
            <w:hideMark/>
          </w:tcPr>
          <w:p w14:paraId="4F8BCF9D"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235.262 €</w:t>
            </w:r>
          </w:p>
        </w:tc>
      </w:tr>
      <w:tr w:rsidR="00666DA9" w:rsidRPr="0046313D" w14:paraId="658CD156" w14:textId="77777777" w:rsidTr="00B819DB">
        <w:trPr>
          <w:cantSplit/>
          <w:trHeight w:val="225"/>
          <w:jc w:val="center"/>
        </w:trPr>
        <w:tc>
          <w:tcPr>
            <w:tcW w:w="3439" w:type="pct"/>
            <w:shd w:val="clear" w:color="000000" w:fill="D9D9D9"/>
            <w:vAlign w:val="center"/>
            <w:hideMark/>
          </w:tcPr>
          <w:p w14:paraId="7E06A9F8" w14:textId="7E365A0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Περιβαλλοντική προστασία</w:t>
            </w:r>
          </w:p>
        </w:tc>
        <w:tc>
          <w:tcPr>
            <w:tcW w:w="1561" w:type="pct"/>
            <w:shd w:val="clear" w:color="000000" w:fill="D9D9D9"/>
            <w:noWrap/>
            <w:vAlign w:val="center"/>
            <w:hideMark/>
          </w:tcPr>
          <w:p w14:paraId="60B39CA2"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1.717.711 €</w:t>
            </w:r>
          </w:p>
        </w:tc>
      </w:tr>
      <w:tr w:rsidR="00666DA9" w:rsidRPr="0046313D" w14:paraId="2035EFA2" w14:textId="77777777" w:rsidTr="00B819DB">
        <w:trPr>
          <w:cantSplit/>
          <w:trHeight w:val="225"/>
          <w:jc w:val="center"/>
        </w:trPr>
        <w:tc>
          <w:tcPr>
            <w:tcW w:w="3439" w:type="pct"/>
            <w:shd w:val="clear" w:color="auto" w:fill="auto"/>
            <w:vAlign w:val="center"/>
            <w:hideMark/>
          </w:tcPr>
          <w:p w14:paraId="6647ABF4"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05.01 Διαχείριση των αποβλήτων</w:t>
            </w:r>
          </w:p>
        </w:tc>
        <w:tc>
          <w:tcPr>
            <w:tcW w:w="1561" w:type="pct"/>
            <w:shd w:val="clear" w:color="auto" w:fill="auto"/>
            <w:noWrap/>
            <w:vAlign w:val="center"/>
            <w:hideMark/>
          </w:tcPr>
          <w:p w14:paraId="669C9611"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306.619 €</w:t>
            </w:r>
          </w:p>
        </w:tc>
      </w:tr>
      <w:tr w:rsidR="00666DA9" w:rsidRPr="0046313D" w14:paraId="2FDE5F1C" w14:textId="77777777" w:rsidTr="00B819DB">
        <w:trPr>
          <w:cantSplit/>
          <w:trHeight w:val="225"/>
          <w:jc w:val="center"/>
        </w:trPr>
        <w:tc>
          <w:tcPr>
            <w:tcW w:w="3439" w:type="pct"/>
            <w:shd w:val="clear" w:color="auto" w:fill="auto"/>
            <w:vAlign w:val="center"/>
            <w:hideMark/>
          </w:tcPr>
          <w:p w14:paraId="5036CB14"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05.02 Διαχείριση υγρών αποβλήτων</w:t>
            </w:r>
          </w:p>
        </w:tc>
        <w:tc>
          <w:tcPr>
            <w:tcW w:w="1561" w:type="pct"/>
            <w:shd w:val="clear" w:color="auto" w:fill="auto"/>
            <w:noWrap/>
            <w:vAlign w:val="center"/>
            <w:hideMark/>
          </w:tcPr>
          <w:p w14:paraId="6119A511"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5.008 €</w:t>
            </w:r>
          </w:p>
        </w:tc>
      </w:tr>
      <w:tr w:rsidR="00666DA9" w:rsidRPr="0046313D" w14:paraId="45FDE494" w14:textId="77777777" w:rsidTr="00B819DB">
        <w:trPr>
          <w:cantSplit/>
          <w:trHeight w:val="225"/>
          <w:jc w:val="center"/>
        </w:trPr>
        <w:tc>
          <w:tcPr>
            <w:tcW w:w="3439" w:type="pct"/>
            <w:shd w:val="clear" w:color="auto" w:fill="auto"/>
            <w:vAlign w:val="center"/>
            <w:hideMark/>
          </w:tcPr>
          <w:p w14:paraId="00F37829"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05.03 Αντιμετώπιση της ρύπανσης</w:t>
            </w:r>
          </w:p>
        </w:tc>
        <w:tc>
          <w:tcPr>
            <w:tcW w:w="1561" w:type="pct"/>
            <w:shd w:val="clear" w:color="auto" w:fill="auto"/>
            <w:noWrap/>
            <w:vAlign w:val="center"/>
            <w:hideMark/>
          </w:tcPr>
          <w:p w14:paraId="17557F35"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863.619 €</w:t>
            </w:r>
          </w:p>
        </w:tc>
      </w:tr>
      <w:tr w:rsidR="00666DA9" w:rsidRPr="0046313D" w14:paraId="704BC678" w14:textId="77777777" w:rsidTr="00B819DB">
        <w:trPr>
          <w:cantSplit/>
          <w:trHeight w:val="225"/>
          <w:jc w:val="center"/>
        </w:trPr>
        <w:tc>
          <w:tcPr>
            <w:tcW w:w="3439" w:type="pct"/>
            <w:shd w:val="clear" w:color="auto" w:fill="auto"/>
            <w:vAlign w:val="center"/>
            <w:hideMark/>
          </w:tcPr>
          <w:p w14:paraId="3836DC51"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05.04 Προστασία της βιοποικιλότητας και του τοπίου</w:t>
            </w:r>
          </w:p>
        </w:tc>
        <w:tc>
          <w:tcPr>
            <w:tcW w:w="1561" w:type="pct"/>
            <w:shd w:val="clear" w:color="auto" w:fill="auto"/>
            <w:noWrap/>
            <w:vAlign w:val="center"/>
            <w:hideMark/>
          </w:tcPr>
          <w:p w14:paraId="2BAEE9CA"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526.585 €</w:t>
            </w:r>
          </w:p>
        </w:tc>
      </w:tr>
      <w:tr w:rsidR="00666DA9" w:rsidRPr="0046313D" w14:paraId="02E0FECD" w14:textId="77777777" w:rsidTr="00B819DB">
        <w:trPr>
          <w:cantSplit/>
          <w:trHeight w:val="225"/>
          <w:jc w:val="center"/>
        </w:trPr>
        <w:tc>
          <w:tcPr>
            <w:tcW w:w="3439" w:type="pct"/>
            <w:shd w:val="clear" w:color="auto" w:fill="auto"/>
            <w:vAlign w:val="center"/>
            <w:hideMark/>
          </w:tcPr>
          <w:p w14:paraId="2609CC80" w14:textId="0628CC29"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05.06 Περιβαλλοντική προστασία (λοιπά)</w:t>
            </w:r>
          </w:p>
        </w:tc>
        <w:tc>
          <w:tcPr>
            <w:tcW w:w="1561" w:type="pct"/>
            <w:shd w:val="clear" w:color="auto" w:fill="auto"/>
            <w:noWrap/>
            <w:vAlign w:val="center"/>
            <w:hideMark/>
          </w:tcPr>
          <w:p w14:paraId="60F71B59"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15.881 €</w:t>
            </w:r>
          </w:p>
        </w:tc>
      </w:tr>
      <w:tr w:rsidR="00666DA9" w:rsidRPr="0046313D" w14:paraId="7CB31D70" w14:textId="77777777" w:rsidTr="00B819DB">
        <w:trPr>
          <w:cantSplit/>
          <w:trHeight w:val="225"/>
          <w:jc w:val="center"/>
        </w:trPr>
        <w:tc>
          <w:tcPr>
            <w:tcW w:w="3439" w:type="pct"/>
            <w:shd w:val="clear" w:color="000000" w:fill="D9D9D9"/>
            <w:vAlign w:val="center"/>
            <w:hideMark/>
          </w:tcPr>
          <w:p w14:paraId="0C9BAD4E"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Οικιστική και κοινωνική μέριμνα</w:t>
            </w:r>
          </w:p>
        </w:tc>
        <w:tc>
          <w:tcPr>
            <w:tcW w:w="1561" w:type="pct"/>
            <w:shd w:val="clear" w:color="000000" w:fill="D9D9D9"/>
            <w:noWrap/>
            <w:vAlign w:val="center"/>
            <w:hideMark/>
          </w:tcPr>
          <w:p w14:paraId="4B5450F8"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1.086.560 €</w:t>
            </w:r>
          </w:p>
        </w:tc>
      </w:tr>
      <w:tr w:rsidR="00666DA9" w:rsidRPr="0046313D" w14:paraId="78570F3A" w14:textId="77777777" w:rsidTr="00B819DB">
        <w:trPr>
          <w:cantSplit/>
          <w:trHeight w:val="225"/>
          <w:jc w:val="center"/>
        </w:trPr>
        <w:tc>
          <w:tcPr>
            <w:tcW w:w="3439" w:type="pct"/>
            <w:shd w:val="clear" w:color="auto" w:fill="auto"/>
            <w:vAlign w:val="center"/>
            <w:hideMark/>
          </w:tcPr>
          <w:p w14:paraId="7E7D3D0E"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06.03 Ύδρευση</w:t>
            </w:r>
          </w:p>
        </w:tc>
        <w:tc>
          <w:tcPr>
            <w:tcW w:w="1561" w:type="pct"/>
            <w:shd w:val="clear" w:color="auto" w:fill="auto"/>
            <w:noWrap/>
            <w:vAlign w:val="center"/>
            <w:hideMark/>
          </w:tcPr>
          <w:p w14:paraId="259C4D88"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122.094 €</w:t>
            </w:r>
          </w:p>
        </w:tc>
      </w:tr>
      <w:tr w:rsidR="00666DA9" w:rsidRPr="0046313D" w14:paraId="775CB4A9" w14:textId="77777777" w:rsidTr="00B819DB">
        <w:trPr>
          <w:cantSplit/>
          <w:trHeight w:val="225"/>
          <w:jc w:val="center"/>
        </w:trPr>
        <w:tc>
          <w:tcPr>
            <w:tcW w:w="3439" w:type="pct"/>
            <w:shd w:val="clear" w:color="auto" w:fill="auto"/>
            <w:vAlign w:val="center"/>
            <w:hideMark/>
          </w:tcPr>
          <w:p w14:paraId="3EF02672"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06.06 Στεγαστική και κοινοτική μέριμνα (λοιπά)</w:t>
            </w:r>
          </w:p>
        </w:tc>
        <w:tc>
          <w:tcPr>
            <w:tcW w:w="1561" w:type="pct"/>
            <w:shd w:val="clear" w:color="auto" w:fill="auto"/>
            <w:noWrap/>
            <w:vAlign w:val="center"/>
            <w:hideMark/>
          </w:tcPr>
          <w:p w14:paraId="1DFFBF5A"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964.467 €</w:t>
            </w:r>
          </w:p>
        </w:tc>
      </w:tr>
      <w:tr w:rsidR="00666DA9" w:rsidRPr="0046313D" w14:paraId="1D7D65F8" w14:textId="77777777" w:rsidTr="00B819DB">
        <w:trPr>
          <w:cantSplit/>
          <w:trHeight w:val="225"/>
          <w:jc w:val="center"/>
        </w:trPr>
        <w:tc>
          <w:tcPr>
            <w:tcW w:w="3439" w:type="pct"/>
            <w:shd w:val="clear" w:color="000000" w:fill="D9D9D9"/>
            <w:vAlign w:val="center"/>
            <w:hideMark/>
          </w:tcPr>
          <w:p w14:paraId="3A8BB6D9"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Υγεία</w:t>
            </w:r>
          </w:p>
        </w:tc>
        <w:tc>
          <w:tcPr>
            <w:tcW w:w="1561" w:type="pct"/>
            <w:shd w:val="clear" w:color="000000" w:fill="D9D9D9"/>
            <w:noWrap/>
            <w:vAlign w:val="center"/>
            <w:hideMark/>
          </w:tcPr>
          <w:p w14:paraId="1CF27BA0"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14.387.105 €</w:t>
            </w:r>
          </w:p>
        </w:tc>
      </w:tr>
      <w:tr w:rsidR="00666DA9" w:rsidRPr="0046313D" w14:paraId="0129841C" w14:textId="77777777" w:rsidTr="00B819DB">
        <w:trPr>
          <w:cantSplit/>
          <w:trHeight w:val="225"/>
          <w:jc w:val="center"/>
        </w:trPr>
        <w:tc>
          <w:tcPr>
            <w:tcW w:w="3439" w:type="pct"/>
            <w:shd w:val="clear" w:color="auto" w:fill="auto"/>
            <w:vAlign w:val="center"/>
            <w:hideMark/>
          </w:tcPr>
          <w:p w14:paraId="6EBDA173"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07.01 Ιατρικά προϊόντα, συσκευές και εξοπλισμός</w:t>
            </w:r>
          </w:p>
        </w:tc>
        <w:tc>
          <w:tcPr>
            <w:tcW w:w="1561" w:type="pct"/>
            <w:shd w:val="clear" w:color="auto" w:fill="auto"/>
            <w:noWrap/>
            <w:vAlign w:val="center"/>
            <w:hideMark/>
          </w:tcPr>
          <w:p w14:paraId="7BE7A81E"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2.612 €</w:t>
            </w:r>
          </w:p>
        </w:tc>
      </w:tr>
      <w:tr w:rsidR="00666DA9" w:rsidRPr="0046313D" w14:paraId="4A511C64" w14:textId="77777777" w:rsidTr="00B819DB">
        <w:trPr>
          <w:cantSplit/>
          <w:trHeight w:val="225"/>
          <w:jc w:val="center"/>
        </w:trPr>
        <w:tc>
          <w:tcPr>
            <w:tcW w:w="3439" w:type="pct"/>
            <w:shd w:val="clear" w:color="auto" w:fill="auto"/>
            <w:vAlign w:val="center"/>
            <w:hideMark/>
          </w:tcPr>
          <w:p w14:paraId="30BDC75E"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07.02 Εξωνοσοκομειακές υπηρεσίες</w:t>
            </w:r>
          </w:p>
        </w:tc>
        <w:tc>
          <w:tcPr>
            <w:tcW w:w="1561" w:type="pct"/>
            <w:shd w:val="clear" w:color="auto" w:fill="auto"/>
            <w:noWrap/>
            <w:vAlign w:val="center"/>
            <w:hideMark/>
          </w:tcPr>
          <w:p w14:paraId="7B962688"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2.582.163 €</w:t>
            </w:r>
          </w:p>
        </w:tc>
      </w:tr>
      <w:tr w:rsidR="00666DA9" w:rsidRPr="0046313D" w14:paraId="5BFC4C79" w14:textId="77777777" w:rsidTr="00B819DB">
        <w:trPr>
          <w:cantSplit/>
          <w:trHeight w:val="225"/>
          <w:jc w:val="center"/>
        </w:trPr>
        <w:tc>
          <w:tcPr>
            <w:tcW w:w="3439" w:type="pct"/>
            <w:shd w:val="clear" w:color="auto" w:fill="auto"/>
            <w:vAlign w:val="center"/>
            <w:hideMark/>
          </w:tcPr>
          <w:p w14:paraId="24BAF6A1"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07.03 Υπηρεσίες νοσοκομείων</w:t>
            </w:r>
          </w:p>
        </w:tc>
        <w:tc>
          <w:tcPr>
            <w:tcW w:w="1561" w:type="pct"/>
            <w:shd w:val="clear" w:color="auto" w:fill="auto"/>
            <w:noWrap/>
            <w:vAlign w:val="center"/>
            <w:hideMark/>
          </w:tcPr>
          <w:p w14:paraId="33945136"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11.099.507 €</w:t>
            </w:r>
          </w:p>
        </w:tc>
      </w:tr>
      <w:tr w:rsidR="00666DA9" w:rsidRPr="0046313D" w14:paraId="0ACA4B4D" w14:textId="77777777" w:rsidTr="00B819DB">
        <w:trPr>
          <w:cantSplit/>
          <w:trHeight w:val="225"/>
          <w:jc w:val="center"/>
        </w:trPr>
        <w:tc>
          <w:tcPr>
            <w:tcW w:w="3439" w:type="pct"/>
            <w:shd w:val="clear" w:color="auto" w:fill="auto"/>
            <w:vAlign w:val="center"/>
            <w:hideMark/>
          </w:tcPr>
          <w:p w14:paraId="790E9F36"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07.04 Υπηρεσίες δημόσιας υγείας</w:t>
            </w:r>
          </w:p>
        </w:tc>
        <w:tc>
          <w:tcPr>
            <w:tcW w:w="1561" w:type="pct"/>
            <w:shd w:val="clear" w:color="auto" w:fill="auto"/>
            <w:noWrap/>
            <w:vAlign w:val="center"/>
            <w:hideMark/>
          </w:tcPr>
          <w:p w14:paraId="40FED1FA"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504.690 €</w:t>
            </w:r>
          </w:p>
        </w:tc>
      </w:tr>
      <w:tr w:rsidR="00666DA9" w:rsidRPr="0046313D" w14:paraId="22D87CCE" w14:textId="77777777" w:rsidTr="00B819DB">
        <w:trPr>
          <w:cantSplit/>
          <w:trHeight w:val="225"/>
          <w:jc w:val="center"/>
        </w:trPr>
        <w:tc>
          <w:tcPr>
            <w:tcW w:w="3439" w:type="pct"/>
            <w:shd w:val="clear" w:color="auto" w:fill="auto"/>
            <w:vAlign w:val="center"/>
            <w:hideMark/>
          </w:tcPr>
          <w:p w14:paraId="0DB77688"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07.06 Υγεία (λοιπά)</w:t>
            </w:r>
          </w:p>
        </w:tc>
        <w:tc>
          <w:tcPr>
            <w:tcW w:w="1561" w:type="pct"/>
            <w:shd w:val="clear" w:color="auto" w:fill="auto"/>
            <w:noWrap/>
            <w:vAlign w:val="center"/>
            <w:hideMark/>
          </w:tcPr>
          <w:p w14:paraId="524B03AA"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198.132 €</w:t>
            </w:r>
          </w:p>
        </w:tc>
      </w:tr>
      <w:tr w:rsidR="00666DA9" w:rsidRPr="0046313D" w14:paraId="4139F9DC" w14:textId="77777777" w:rsidTr="00B819DB">
        <w:trPr>
          <w:cantSplit/>
          <w:trHeight w:val="225"/>
          <w:jc w:val="center"/>
        </w:trPr>
        <w:tc>
          <w:tcPr>
            <w:tcW w:w="3439" w:type="pct"/>
            <w:shd w:val="clear" w:color="000000" w:fill="D9D9D9"/>
            <w:vAlign w:val="center"/>
            <w:hideMark/>
          </w:tcPr>
          <w:p w14:paraId="6638C1D3"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Αναψυχή, πολιτισμός και θρησκεία</w:t>
            </w:r>
          </w:p>
        </w:tc>
        <w:tc>
          <w:tcPr>
            <w:tcW w:w="1561" w:type="pct"/>
            <w:shd w:val="clear" w:color="000000" w:fill="D9D9D9"/>
            <w:noWrap/>
            <w:vAlign w:val="center"/>
            <w:hideMark/>
          </w:tcPr>
          <w:p w14:paraId="2A70B76F"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1.795.097 €</w:t>
            </w:r>
          </w:p>
        </w:tc>
      </w:tr>
      <w:tr w:rsidR="00666DA9" w:rsidRPr="0046313D" w14:paraId="0BC126B9" w14:textId="77777777" w:rsidTr="00B819DB">
        <w:trPr>
          <w:cantSplit/>
          <w:trHeight w:val="225"/>
          <w:jc w:val="center"/>
        </w:trPr>
        <w:tc>
          <w:tcPr>
            <w:tcW w:w="3439" w:type="pct"/>
            <w:shd w:val="clear" w:color="auto" w:fill="auto"/>
            <w:vAlign w:val="center"/>
            <w:hideMark/>
          </w:tcPr>
          <w:p w14:paraId="68335346"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 xml:space="preserve">08.01 Υπηρεσίες αναψυχής και αθλητικές υπηρεσίες </w:t>
            </w:r>
          </w:p>
        </w:tc>
        <w:tc>
          <w:tcPr>
            <w:tcW w:w="1561" w:type="pct"/>
            <w:shd w:val="clear" w:color="auto" w:fill="auto"/>
            <w:noWrap/>
            <w:vAlign w:val="center"/>
            <w:hideMark/>
          </w:tcPr>
          <w:p w14:paraId="140E82EB"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225.896 €</w:t>
            </w:r>
          </w:p>
        </w:tc>
      </w:tr>
      <w:tr w:rsidR="00666DA9" w:rsidRPr="0046313D" w14:paraId="530B50E8" w14:textId="77777777" w:rsidTr="00B819DB">
        <w:trPr>
          <w:cantSplit/>
          <w:trHeight w:val="225"/>
          <w:jc w:val="center"/>
        </w:trPr>
        <w:tc>
          <w:tcPr>
            <w:tcW w:w="3439" w:type="pct"/>
            <w:shd w:val="clear" w:color="auto" w:fill="auto"/>
            <w:vAlign w:val="center"/>
            <w:hideMark/>
          </w:tcPr>
          <w:p w14:paraId="0BF74746"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08.02 Πολιτιστικές υπηρεσίες</w:t>
            </w:r>
          </w:p>
        </w:tc>
        <w:tc>
          <w:tcPr>
            <w:tcW w:w="1561" w:type="pct"/>
            <w:shd w:val="clear" w:color="auto" w:fill="auto"/>
            <w:noWrap/>
            <w:vAlign w:val="center"/>
            <w:hideMark/>
          </w:tcPr>
          <w:p w14:paraId="28760785"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784.324 €</w:t>
            </w:r>
          </w:p>
        </w:tc>
      </w:tr>
      <w:tr w:rsidR="00666DA9" w:rsidRPr="0046313D" w14:paraId="5563B55F" w14:textId="77777777" w:rsidTr="00B819DB">
        <w:trPr>
          <w:cantSplit/>
          <w:trHeight w:val="225"/>
          <w:jc w:val="center"/>
        </w:trPr>
        <w:tc>
          <w:tcPr>
            <w:tcW w:w="3439" w:type="pct"/>
            <w:shd w:val="clear" w:color="auto" w:fill="auto"/>
            <w:vAlign w:val="center"/>
            <w:hideMark/>
          </w:tcPr>
          <w:p w14:paraId="742BBB14"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08.03 Ραδιοτηλεόραση και τύπος</w:t>
            </w:r>
          </w:p>
        </w:tc>
        <w:tc>
          <w:tcPr>
            <w:tcW w:w="1561" w:type="pct"/>
            <w:shd w:val="clear" w:color="auto" w:fill="auto"/>
            <w:noWrap/>
            <w:vAlign w:val="center"/>
            <w:hideMark/>
          </w:tcPr>
          <w:p w14:paraId="4CB4F68F"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346.082 €</w:t>
            </w:r>
          </w:p>
        </w:tc>
      </w:tr>
      <w:tr w:rsidR="00666DA9" w:rsidRPr="0046313D" w14:paraId="262472CC" w14:textId="77777777" w:rsidTr="00B819DB">
        <w:trPr>
          <w:cantSplit/>
          <w:trHeight w:val="225"/>
          <w:jc w:val="center"/>
        </w:trPr>
        <w:tc>
          <w:tcPr>
            <w:tcW w:w="3439" w:type="pct"/>
            <w:shd w:val="clear" w:color="auto" w:fill="auto"/>
            <w:vAlign w:val="center"/>
            <w:hideMark/>
          </w:tcPr>
          <w:p w14:paraId="6D31ED27"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08.04 Θρησκευτικές και λοιπές κοινοτικές υπηρεσίες</w:t>
            </w:r>
          </w:p>
        </w:tc>
        <w:tc>
          <w:tcPr>
            <w:tcW w:w="1561" w:type="pct"/>
            <w:shd w:val="clear" w:color="auto" w:fill="auto"/>
            <w:noWrap/>
            <w:vAlign w:val="center"/>
            <w:hideMark/>
          </w:tcPr>
          <w:p w14:paraId="2F63E3BC"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279.420 €</w:t>
            </w:r>
          </w:p>
        </w:tc>
      </w:tr>
      <w:tr w:rsidR="00666DA9" w:rsidRPr="0046313D" w14:paraId="175CC94E" w14:textId="77777777" w:rsidTr="00B819DB">
        <w:trPr>
          <w:cantSplit/>
          <w:trHeight w:val="225"/>
          <w:jc w:val="center"/>
        </w:trPr>
        <w:tc>
          <w:tcPr>
            <w:tcW w:w="3439" w:type="pct"/>
            <w:shd w:val="clear" w:color="auto" w:fill="auto"/>
            <w:vAlign w:val="center"/>
            <w:hideMark/>
          </w:tcPr>
          <w:p w14:paraId="5F54CB3B"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08.06 Αναψυχή, πολιτισμός και θρησκεία (λοιπά)</w:t>
            </w:r>
          </w:p>
        </w:tc>
        <w:tc>
          <w:tcPr>
            <w:tcW w:w="1561" w:type="pct"/>
            <w:shd w:val="clear" w:color="auto" w:fill="auto"/>
            <w:noWrap/>
            <w:vAlign w:val="center"/>
            <w:hideMark/>
          </w:tcPr>
          <w:p w14:paraId="53058F71"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159.374 €</w:t>
            </w:r>
          </w:p>
        </w:tc>
      </w:tr>
      <w:tr w:rsidR="00666DA9" w:rsidRPr="0046313D" w14:paraId="190F1B5A" w14:textId="77777777" w:rsidTr="00B819DB">
        <w:trPr>
          <w:cantSplit/>
          <w:trHeight w:val="225"/>
          <w:jc w:val="center"/>
        </w:trPr>
        <w:tc>
          <w:tcPr>
            <w:tcW w:w="3439" w:type="pct"/>
            <w:shd w:val="clear" w:color="000000" w:fill="D9D9D9"/>
            <w:vAlign w:val="center"/>
            <w:hideMark/>
          </w:tcPr>
          <w:p w14:paraId="5DA37459"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Εκπαίδευση</w:t>
            </w:r>
          </w:p>
        </w:tc>
        <w:tc>
          <w:tcPr>
            <w:tcW w:w="1561" w:type="pct"/>
            <w:shd w:val="clear" w:color="000000" w:fill="D9D9D9"/>
            <w:noWrap/>
            <w:vAlign w:val="center"/>
            <w:hideMark/>
          </w:tcPr>
          <w:p w14:paraId="62B37151"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7.680.658 €</w:t>
            </w:r>
          </w:p>
        </w:tc>
      </w:tr>
      <w:tr w:rsidR="00666DA9" w:rsidRPr="0046313D" w14:paraId="2980FD3C" w14:textId="77777777" w:rsidTr="00B819DB">
        <w:trPr>
          <w:cantSplit/>
          <w:trHeight w:val="225"/>
          <w:jc w:val="center"/>
        </w:trPr>
        <w:tc>
          <w:tcPr>
            <w:tcW w:w="3439" w:type="pct"/>
            <w:shd w:val="clear" w:color="auto" w:fill="auto"/>
            <w:vAlign w:val="center"/>
            <w:hideMark/>
          </w:tcPr>
          <w:p w14:paraId="739906E3"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09.01 Προσχολική και πρωτοβάθμια εκπαίδευση</w:t>
            </w:r>
          </w:p>
        </w:tc>
        <w:tc>
          <w:tcPr>
            <w:tcW w:w="1561" w:type="pct"/>
            <w:shd w:val="clear" w:color="auto" w:fill="auto"/>
            <w:noWrap/>
            <w:vAlign w:val="center"/>
            <w:hideMark/>
          </w:tcPr>
          <w:p w14:paraId="50AA1F56"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2.083.550 €</w:t>
            </w:r>
          </w:p>
        </w:tc>
      </w:tr>
      <w:tr w:rsidR="00666DA9" w:rsidRPr="0046313D" w14:paraId="7DBDBC4D" w14:textId="77777777" w:rsidTr="00B819DB">
        <w:trPr>
          <w:cantSplit/>
          <w:trHeight w:val="225"/>
          <w:jc w:val="center"/>
        </w:trPr>
        <w:tc>
          <w:tcPr>
            <w:tcW w:w="3439" w:type="pct"/>
            <w:shd w:val="clear" w:color="auto" w:fill="auto"/>
            <w:vAlign w:val="center"/>
            <w:hideMark/>
          </w:tcPr>
          <w:p w14:paraId="547FBC37"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09.02 Δευτεροβάθμια εκπαίδευση</w:t>
            </w:r>
          </w:p>
        </w:tc>
        <w:tc>
          <w:tcPr>
            <w:tcW w:w="1561" w:type="pct"/>
            <w:shd w:val="clear" w:color="auto" w:fill="auto"/>
            <w:noWrap/>
            <w:vAlign w:val="center"/>
            <w:hideMark/>
          </w:tcPr>
          <w:p w14:paraId="43646684"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2.046.568 €</w:t>
            </w:r>
          </w:p>
        </w:tc>
      </w:tr>
      <w:tr w:rsidR="00666DA9" w:rsidRPr="0046313D" w14:paraId="0B547460" w14:textId="77777777" w:rsidTr="00B819DB">
        <w:trPr>
          <w:cantSplit/>
          <w:trHeight w:val="225"/>
          <w:jc w:val="center"/>
        </w:trPr>
        <w:tc>
          <w:tcPr>
            <w:tcW w:w="3439" w:type="pct"/>
            <w:shd w:val="clear" w:color="auto" w:fill="auto"/>
            <w:vAlign w:val="center"/>
            <w:hideMark/>
          </w:tcPr>
          <w:p w14:paraId="72EDDAD1"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09.03 Μεταδευτεροβάθμια, μη τριτοβάθμια εκπαίδευση</w:t>
            </w:r>
          </w:p>
        </w:tc>
        <w:tc>
          <w:tcPr>
            <w:tcW w:w="1561" w:type="pct"/>
            <w:shd w:val="clear" w:color="auto" w:fill="auto"/>
            <w:noWrap/>
            <w:vAlign w:val="center"/>
            <w:hideMark/>
          </w:tcPr>
          <w:p w14:paraId="29F08614"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408.753 €</w:t>
            </w:r>
          </w:p>
        </w:tc>
      </w:tr>
      <w:tr w:rsidR="00666DA9" w:rsidRPr="0046313D" w14:paraId="7F1BA46F" w14:textId="77777777" w:rsidTr="00B819DB">
        <w:trPr>
          <w:cantSplit/>
          <w:trHeight w:val="225"/>
          <w:jc w:val="center"/>
        </w:trPr>
        <w:tc>
          <w:tcPr>
            <w:tcW w:w="3439" w:type="pct"/>
            <w:shd w:val="clear" w:color="auto" w:fill="auto"/>
            <w:vAlign w:val="center"/>
            <w:hideMark/>
          </w:tcPr>
          <w:p w14:paraId="420148D0"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09.04 Τριτοβάθμια εκπαίδευση</w:t>
            </w:r>
          </w:p>
        </w:tc>
        <w:tc>
          <w:tcPr>
            <w:tcW w:w="1561" w:type="pct"/>
            <w:shd w:val="clear" w:color="auto" w:fill="auto"/>
            <w:noWrap/>
            <w:vAlign w:val="center"/>
            <w:hideMark/>
          </w:tcPr>
          <w:p w14:paraId="46532768"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2.456.780 €</w:t>
            </w:r>
          </w:p>
        </w:tc>
      </w:tr>
      <w:tr w:rsidR="00666DA9" w:rsidRPr="0046313D" w14:paraId="77A06323" w14:textId="77777777" w:rsidTr="00B819DB">
        <w:trPr>
          <w:cantSplit/>
          <w:trHeight w:val="225"/>
          <w:jc w:val="center"/>
        </w:trPr>
        <w:tc>
          <w:tcPr>
            <w:tcW w:w="3439" w:type="pct"/>
            <w:shd w:val="clear" w:color="auto" w:fill="auto"/>
            <w:vAlign w:val="center"/>
            <w:hideMark/>
          </w:tcPr>
          <w:p w14:paraId="6280267D"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09.05 Εκπαίδευση μη προσδιοριζόμενη από το επίπεδο</w:t>
            </w:r>
          </w:p>
        </w:tc>
        <w:tc>
          <w:tcPr>
            <w:tcW w:w="1561" w:type="pct"/>
            <w:shd w:val="clear" w:color="auto" w:fill="auto"/>
            <w:noWrap/>
            <w:vAlign w:val="center"/>
            <w:hideMark/>
          </w:tcPr>
          <w:p w14:paraId="69518677"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239.372 €</w:t>
            </w:r>
          </w:p>
        </w:tc>
      </w:tr>
      <w:tr w:rsidR="00666DA9" w:rsidRPr="0046313D" w14:paraId="0E035D40" w14:textId="77777777" w:rsidTr="00B819DB">
        <w:trPr>
          <w:cantSplit/>
          <w:trHeight w:val="225"/>
          <w:jc w:val="center"/>
        </w:trPr>
        <w:tc>
          <w:tcPr>
            <w:tcW w:w="3439" w:type="pct"/>
            <w:shd w:val="clear" w:color="auto" w:fill="auto"/>
            <w:vAlign w:val="center"/>
            <w:hideMark/>
          </w:tcPr>
          <w:p w14:paraId="5F0822BC"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09.08 Εκπαίδευση (λοιπά)</w:t>
            </w:r>
          </w:p>
        </w:tc>
        <w:tc>
          <w:tcPr>
            <w:tcW w:w="1561" w:type="pct"/>
            <w:shd w:val="clear" w:color="auto" w:fill="auto"/>
            <w:noWrap/>
            <w:vAlign w:val="center"/>
            <w:hideMark/>
          </w:tcPr>
          <w:p w14:paraId="56296B39"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445.634 €</w:t>
            </w:r>
          </w:p>
        </w:tc>
      </w:tr>
      <w:tr w:rsidR="00666DA9" w:rsidRPr="0046313D" w14:paraId="50A662E2" w14:textId="77777777" w:rsidTr="00B819DB">
        <w:trPr>
          <w:cantSplit/>
          <w:trHeight w:val="225"/>
          <w:jc w:val="center"/>
        </w:trPr>
        <w:tc>
          <w:tcPr>
            <w:tcW w:w="3439" w:type="pct"/>
            <w:shd w:val="clear" w:color="000000" w:fill="D9D9D9"/>
            <w:vAlign w:val="center"/>
            <w:hideMark/>
          </w:tcPr>
          <w:p w14:paraId="321D172C" w14:textId="77777777" w:rsidR="00666DA9" w:rsidRPr="0046313D" w:rsidRDefault="00666DA9" w:rsidP="00CC53AA">
            <w:pPr>
              <w:spacing w:after="0" w:line="240" w:lineRule="auto"/>
              <w:jc w:val="left"/>
              <w:rPr>
                <w:rFonts w:cs="Arial"/>
                <w:b/>
                <w:bCs/>
                <w:color w:val="000000"/>
                <w:sz w:val="16"/>
                <w:szCs w:val="16"/>
              </w:rPr>
            </w:pPr>
            <w:r w:rsidRPr="0046313D">
              <w:rPr>
                <w:rFonts w:cs="Arial"/>
                <w:b/>
                <w:bCs/>
                <w:color w:val="000000"/>
                <w:sz w:val="16"/>
                <w:szCs w:val="16"/>
              </w:rPr>
              <w:t>Κοινωνική προστασία</w:t>
            </w:r>
          </w:p>
        </w:tc>
        <w:tc>
          <w:tcPr>
            <w:tcW w:w="1561" w:type="pct"/>
            <w:shd w:val="clear" w:color="000000" w:fill="D9D9D9"/>
            <w:noWrap/>
            <w:vAlign w:val="center"/>
            <w:hideMark/>
          </w:tcPr>
          <w:p w14:paraId="210ED24C" w14:textId="77777777" w:rsidR="00666DA9" w:rsidRPr="0046313D" w:rsidRDefault="00666DA9" w:rsidP="00CC53AA">
            <w:pPr>
              <w:spacing w:after="0" w:line="240" w:lineRule="auto"/>
              <w:jc w:val="right"/>
              <w:rPr>
                <w:rFonts w:cs="Arial"/>
                <w:b/>
                <w:bCs/>
                <w:color w:val="000000"/>
                <w:sz w:val="16"/>
                <w:szCs w:val="16"/>
              </w:rPr>
            </w:pPr>
            <w:r w:rsidRPr="0046313D">
              <w:rPr>
                <w:rFonts w:cs="Arial"/>
                <w:b/>
                <w:bCs/>
                <w:color w:val="000000"/>
                <w:sz w:val="16"/>
                <w:szCs w:val="16"/>
              </w:rPr>
              <w:t>45.909.075 €</w:t>
            </w:r>
          </w:p>
        </w:tc>
      </w:tr>
      <w:tr w:rsidR="00666DA9" w:rsidRPr="0046313D" w14:paraId="418FD5E5" w14:textId="77777777" w:rsidTr="00B819DB">
        <w:trPr>
          <w:cantSplit/>
          <w:trHeight w:val="225"/>
          <w:jc w:val="center"/>
        </w:trPr>
        <w:tc>
          <w:tcPr>
            <w:tcW w:w="3439" w:type="pct"/>
            <w:shd w:val="clear" w:color="auto" w:fill="auto"/>
            <w:vAlign w:val="center"/>
            <w:hideMark/>
          </w:tcPr>
          <w:p w14:paraId="1A2C5790"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lastRenderedPageBreak/>
              <w:t>10.01 Ασθένεια και αναπηρία</w:t>
            </w:r>
          </w:p>
        </w:tc>
        <w:tc>
          <w:tcPr>
            <w:tcW w:w="1561" w:type="pct"/>
            <w:shd w:val="clear" w:color="auto" w:fill="auto"/>
            <w:noWrap/>
            <w:vAlign w:val="center"/>
            <w:hideMark/>
          </w:tcPr>
          <w:p w14:paraId="3227F286"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3.583.688 €</w:t>
            </w:r>
          </w:p>
        </w:tc>
      </w:tr>
      <w:tr w:rsidR="00666DA9" w:rsidRPr="0046313D" w14:paraId="3D54671A" w14:textId="77777777" w:rsidTr="00B819DB">
        <w:trPr>
          <w:cantSplit/>
          <w:trHeight w:val="225"/>
          <w:jc w:val="center"/>
        </w:trPr>
        <w:tc>
          <w:tcPr>
            <w:tcW w:w="3439" w:type="pct"/>
            <w:shd w:val="clear" w:color="auto" w:fill="auto"/>
            <w:vAlign w:val="center"/>
            <w:hideMark/>
          </w:tcPr>
          <w:p w14:paraId="460D9C84"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10.02 Γηρατειά</w:t>
            </w:r>
          </w:p>
        </w:tc>
        <w:tc>
          <w:tcPr>
            <w:tcW w:w="1561" w:type="pct"/>
            <w:shd w:val="clear" w:color="auto" w:fill="auto"/>
            <w:noWrap/>
            <w:vAlign w:val="center"/>
            <w:hideMark/>
          </w:tcPr>
          <w:p w14:paraId="133A4421"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28.475.284 €</w:t>
            </w:r>
          </w:p>
        </w:tc>
      </w:tr>
      <w:tr w:rsidR="00666DA9" w:rsidRPr="0046313D" w14:paraId="180DF7D5" w14:textId="77777777" w:rsidTr="00B819DB">
        <w:trPr>
          <w:cantSplit/>
          <w:trHeight w:val="225"/>
          <w:jc w:val="center"/>
        </w:trPr>
        <w:tc>
          <w:tcPr>
            <w:tcW w:w="3439" w:type="pct"/>
            <w:shd w:val="clear" w:color="auto" w:fill="auto"/>
            <w:vAlign w:val="center"/>
            <w:hideMark/>
          </w:tcPr>
          <w:p w14:paraId="6A04245D"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10.03 Κληρονόμοι</w:t>
            </w:r>
          </w:p>
        </w:tc>
        <w:tc>
          <w:tcPr>
            <w:tcW w:w="1561" w:type="pct"/>
            <w:shd w:val="clear" w:color="auto" w:fill="auto"/>
            <w:noWrap/>
            <w:vAlign w:val="center"/>
            <w:hideMark/>
          </w:tcPr>
          <w:p w14:paraId="3BF3EE69"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5.903.959 €</w:t>
            </w:r>
          </w:p>
        </w:tc>
      </w:tr>
      <w:tr w:rsidR="00666DA9" w:rsidRPr="0046313D" w14:paraId="015410FB" w14:textId="77777777" w:rsidTr="00B819DB">
        <w:trPr>
          <w:cantSplit/>
          <w:trHeight w:val="225"/>
          <w:jc w:val="center"/>
        </w:trPr>
        <w:tc>
          <w:tcPr>
            <w:tcW w:w="3439" w:type="pct"/>
            <w:shd w:val="clear" w:color="auto" w:fill="auto"/>
            <w:vAlign w:val="center"/>
            <w:hideMark/>
          </w:tcPr>
          <w:p w14:paraId="6AE95701"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10.04 Οικογένεια και παιδιά</w:t>
            </w:r>
          </w:p>
        </w:tc>
        <w:tc>
          <w:tcPr>
            <w:tcW w:w="1561" w:type="pct"/>
            <w:shd w:val="clear" w:color="auto" w:fill="auto"/>
            <w:noWrap/>
            <w:vAlign w:val="center"/>
            <w:hideMark/>
          </w:tcPr>
          <w:p w14:paraId="14BBBD26"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1.191.405 €</w:t>
            </w:r>
          </w:p>
        </w:tc>
      </w:tr>
      <w:tr w:rsidR="00666DA9" w:rsidRPr="0046313D" w14:paraId="240D15CF" w14:textId="77777777" w:rsidTr="00B819DB">
        <w:trPr>
          <w:cantSplit/>
          <w:trHeight w:val="225"/>
          <w:jc w:val="center"/>
        </w:trPr>
        <w:tc>
          <w:tcPr>
            <w:tcW w:w="3439" w:type="pct"/>
            <w:shd w:val="clear" w:color="auto" w:fill="auto"/>
            <w:vAlign w:val="center"/>
            <w:hideMark/>
          </w:tcPr>
          <w:p w14:paraId="111C2D2D"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10.05 Ανεργία</w:t>
            </w:r>
          </w:p>
        </w:tc>
        <w:tc>
          <w:tcPr>
            <w:tcW w:w="1561" w:type="pct"/>
            <w:shd w:val="clear" w:color="auto" w:fill="auto"/>
            <w:noWrap/>
            <w:vAlign w:val="center"/>
            <w:hideMark/>
          </w:tcPr>
          <w:p w14:paraId="00FDCF79"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2.705.560 €</w:t>
            </w:r>
          </w:p>
        </w:tc>
      </w:tr>
      <w:tr w:rsidR="00666DA9" w:rsidRPr="0046313D" w14:paraId="6EF1461C" w14:textId="77777777" w:rsidTr="00B819DB">
        <w:trPr>
          <w:cantSplit/>
          <w:trHeight w:val="225"/>
          <w:jc w:val="center"/>
        </w:trPr>
        <w:tc>
          <w:tcPr>
            <w:tcW w:w="3439" w:type="pct"/>
            <w:shd w:val="clear" w:color="auto" w:fill="auto"/>
            <w:vAlign w:val="center"/>
            <w:hideMark/>
          </w:tcPr>
          <w:p w14:paraId="250A74EA"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10.06 Στέγαση</w:t>
            </w:r>
          </w:p>
        </w:tc>
        <w:tc>
          <w:tcPr>
            <w:tcW w:w="1561" w:type="pct"/>
            <w:shd w:val="clear" w:color="auto" w:fill="auto"/>
            <w:noWrap/>
            <w:vAlign w:val="center"/>
            <w:hideMark/>
          </w:tcPr>
          <w:p w14:paraId="1D340003"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373.455 €</w:t>
            </w:r>
          </w:p>
        </w:tc>
      </w:tr>
      <w:tr w:rsidR="00666DA9" w:rsidRPr="0046313D" w14:paraId="690A09AA" w14:textId="77777777" w:rsidTr="00B819DB">
        <w:trPr>
          <w:cantSplit/>
          <w:trHeight w:val="225"/>
          <w:jc w:val="center"/>
        </w:trPr>
        <w:tc>
          <w:tcPr>
            <w:tcW w:w="3439" w:type="pct"/>
            <w:shd w:val="clear" w:color="auto" w:fill="auto"/>
            <w:vAlign w:val="center"/>
            <w:hideMark/>
          </w:tcPr>
          <w:p w14:paraId="391B83E7"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10.07 Κοινωνικός αποκλεισμός (λοιπά)</w:t>
            </w:r>
          </w:p>
        </w:tc>
        <w:tc>
          <w:tcPr>
            <w:tcW w:w="1561" w:type="pct"/>
            <w:shd w:val="clear" w:color="auto" w:fill="auto"/>
            <w:noWrap/>
            <w:vAlign w:val="center"/>
            <w:hideMark/>
          </w:tcPr>
          <w:p w14:paraId="6FA005C3"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1.809.632 €</w:t>
            </w:r>
          </w:p>
        </w:tc>
      </w:tr>
      <w:tr w:rsidR="00666DA9" w:rsidRPr="0046313D" w14:paraId="52584895" w14:textId="77777777" w:rsidTr="009A790B">
        <w:trPr>
          <w:cantSplit/>
          <w:trHeight w:val="225"/>
          <w:jc w:val="center"/>
        </w:trPr>
        <w:tc>
          <w:tcPr>
            <w:tcW w:w="3439" w:type="pct"/>
            <w:tcBorders>
              <w:bottom w:val="single" w:sz="2" w:space="0" w:color="A6A6A6" w:themeColor="background1" w:themeShade="A6"/>
            </w:tcBorders>
            <w:shd w:val="clear" w:color="auto" w:fill="auto"/>
            <w:vAlign w:val="center"/>
            <w:hideMark/>
          </w:tcPr>
          <w:p w14:paraId="4121BA77" w14:textId="77777777" w:rsidR="00666DA9" w:rsidRPr="0046313D" w:rsidRDefault="00666DA9" w:rsidP="00CC53AA">
            <w:pPr>
              <w:spacing w:after="0" w:line="240" w:lineRule="auto"/>
              <w:jc w:val="left"/>
              <w:rPr>
                <w:rFonts w:cs="Arial"/>
                <w:color w:val="000000"/>
                <w:sz w:val="16"/>
                <w:szCs w:val="16"/>
              </w:rPr>
            </w:pPr>
            <w:r w:rsidRPr="0046313D">
              <w:rPr>
                <w:rFonts w:cs="Arial"/>
                <w:color w:val="000000"/>
                <w:sz w:val="16"/>
                <w:szCs w:val="16"/>
              </w:rPr>
              <w:t>10.09 Κοινωνική προστασία (λοιπά)</w:t>
            </w:r>
          </w:p>
        </w:tc>
        <w:tc>
          <w:tcPr>
            <w:tcW w:w="1561" w:type="pct"/>
            <w:tcBorders>
              <w:bottom w:val="single" w:sz="2" w:space="0" w:color="A6A6A6" w:themeColor="background1" w:themeShade="A6"/>
            </w:tcBorders>
            <w:shd w:val="clear" w:color="auto" w:fill="auto"/>
            <w:noWrap/>
            <w:vAlign w:val="center"/>
            <w:hideMark/>
          </w:tcPr>
          <w:p w14:paraId="45FB3CCC" w14:textId="77777777" w:rsidR="00666DA9" w:rsidRPr="0046313D" w:rsidRDefault="00666DA9" w:rsidP="00CC53AA">
            <w:pPr>
              <w:spacing w:after="0" w:line="240" w:lineRule="auto"/>
              <w:jc w:val="right"/>
              <w:rPr>
                <w:rFonts w:cs="Arial"/>
                <w:color w:val="000000"/>
                <w:sz w:val="16"/>
                <w:szCs w:val="16"/>
              </w:rPr>
            </w:pPr>
            <w:r w:rsidRPr="0046313D">
              <w:rPr>
                <w:rFonts w:cs="Arial"/>
                <w:color w:val="000000"/>
                <w:sz w:val="16"/>
                <w:szCs w:val="16"/>
              </w:rPr>
              <w:t>1.866.092 €</w:t>
            </w:r>
          </w:p>
        </w:tc>
      </w:tr>
      <w:tr w:rsidR="00B819DB" w:rsidRPr="0046313D" w14:paraId="3CC3B565" w14:textId="77777777" w:rsidTr="009A790B">
        <w:trPr>
          <w:cantSplit/>
          <w:trHeight w:val="361"/>
          <w:jc w:val="center"/>
        </w:trPr>
        <w:tc>
          <w:tcPr>
            <w:tcW w:w="3439" w:type="pct"/>
            <w:tcBorders>
              <w:top w:val="single" w:sz="2" w:space="0" w:color="A6A6A6" w:themeColor="background1" w:themeShade="A6"/>
              <w:bottom w:val="single" w:sz="2" w:space="0" w:color="A6A6A6" w:themeColor="background1" w:themeShade="A6"/>
            </w:tcBorders>
            <w:shd w:val="clear" w:color="auto" w:fill="D5DCE4"/>
            <w:vAlign w:val="center"/>
          </w:tcPr>
          <w:p w14:paraId="3B8703BB" w14:textId="00BA72F2" w:rsidR="00B819DB" w:rsidRPr="00E50009" w:rsidRDefault="00B819DB" w:rsidP="00CC53AA">
            <w:pPr>
              <w:spacing w:after="0" w:line="240" w:lineRule="auto"/>
              <w:jc w:val="left"/>
              <w:rPr>
                <w:rFonts w:cs="Arial"/>
                <w:b/>
                <w:iCs/>
                <w:color w:val="000000"/>
                <w:sz w:val="16"/>
                <w:szCs w:val="16"/>
                <w:lang w:val="en-US"/>
              </w:rPr>
            </w:pPr>
            <w:r w:rsidRPr="00E50009">
              <w:rPr>
                <w:rFonts w:cs="Arial"/>
                <w:b/>
                <w:iCs/>
                <w:color w:val="000000"/>
                <w:sz w:val="16"/>
                <w:szCs w:val="16"/>
              </w:rPr>
              <w:t>ΓΕΝΙΚΟ ΣΥΝΟΛΟ</w:t>
            </w:r>
          </w:p>
        </w:tc>
        <w:tc>
          <w:tcPr>
            <w:tcW w:w="1561" w:type="pct"/>
            <w:tcBorders>
              <w:top w:val="single" w:sz="2" w:space="0" w:color="A6A6A6" w:themeColor="background1" w:themeShade="A6"/>
              <w:bottom w:val="single" w:sz="2" w:space="0" w:color="A6A6A6" w:themeColor="background1" w:themeShade="A6"/>
            </w:tcBorders>
            <w:shd w:val="clear" w:color="auto" w:fill="D5DCE4"/>
            <w:vAlign w:val="center"/>
          </w:tcPr>
          <w:p w14:paraId="1FE55A3E" w14:textId="420CDEEA" w:rsidR="00B819DB" w:rsidRPr="00951A9C" w:rsidRDefault="00951A9C" w:rsidP="00951A9C">
            <w:pPr>
              <w:spacing w:after="0" w:line="240" w:lineRule="auto"/>
              <w:jc w:val="right"/>
              <w:rPr>
                <w:rFonts w:cs="Arial"/>
                <w:b/>
                <w:iCs/>
                <w:color w:val="000000"/>
                <w:sz w:val="16"/>
                <w:szCs w:val="16"/>
              </w:rPr>
            </w:pPr>
            <w:r>
              <w:rPr>
                <w:rFonts w:cs="Arial"/>
                <w:b/>
                <w:iCs/>
                <w:color w:val="000000"/>
                <w:sz w:val="16"/>
                <w:szCs w:val="16"/>
                <w:lang w:val="en-US"/>
              </w:rPr>
              <w:t>124.858.819</w:t>
            </w:r>
            <w:r>
              <w:rPr>
                <w:rFonts w:cs="Arial"/>
                <w:b/>
                <w:iCs/>
                <w:color w:val="000000"/>
                <w:sz w:val="16"/>
                <w:szCs w:val="16"/>
              </w:rPr>
              <w:t xml:space="preserve"> </w:t>
            </w:r>
            <w:r>
              <w:rPr>
                <w:rFonts w:cs="Arial"/>
                <w:b/>
                <w:iCs/>
                <w:color w:val="000000"/>
                <w:sz w:val="16"/>
                <w:szCs w:val="16"/>
                <w:lang w:val="en-US"/>
              </w:rPr>
              <w:t>€</w:t>
            </w:r>
          </w:p>
        </w:tc>
      </w:tr>
      <w:tr w:rsidR="00666DA9" w:rsidRPr="0046313D" w14:paraId="64F63A33" w14:textId="77777777" w:rsidTr="00B819DB">
        <w:trPr>
          <w:cantSplit/>
          <w:trHeight w:val="564"/>
          <w:jc w:val="center"/>
        </w:trPr>
        <w:tc>
          <w:tcPr>
            <w:tcW w:w="5000" w:type="pct"/>
            <w:gridSpan w:val="2"/>
            <w:tcBorders>
              <w:top w:val="single" w:sz="2" w:space="0" w:color="A6A6A6" w:themeColor="background1" w:themeShade="A6"/>
              <w:left w:val="nil"/>
              <w:bottom w:val="nil"/>
              <w:right w:val="nil"/>
            </w:tcBorders>
            <w:shd w:val="clear" w:color="auto" w:fill="auto"/>
            <w:hideMark/>
          </w:tcPr>
          <w:p w14:paraId="0ADCAF15" w14:textId="11FEF446" w:rsidR="00351B9A" w:rsidRDefault="00A313FB" w:rsidP="00A52880">
            <w:pPr>
              <w:tabs>
                <w:tab w:val="left" w:pos="227"/>
              </w:tabs>
              <w:spacing w:before="60" w:after="0" w:line="276" w:lineRule="auto"/>
              <w:ind w:left="227" w:hanging="227"/>
              <w:rPr>
                <w:rFonts w:cs="Arial"/>
                <w:i/>
                <w:iCs/>
                <w:color w:val="000000"/>
                <w:sz w:val="16"/>
                <w:szCs w:val="16"/>
              </w:rPr>
            </w:pPr>
            <w:r>
              <w:rPr>
                <w:rFonts w:cs="Arial"/>
                <w:i/>
                <w:iCs/>
                <w:color w:val="000000"/>
                <w:sz w:val="16"/>
                <w:szCs w:val="16"/>
              </w:rPr>
              <w:t>Σ</w:t>
            </w:r>
            <w:r w:rsidR="00666DA9" w:rsidRPr="0046313D">
              <w:rPr>
                <w:rFonts w:cs="Arial"/>
                <w:i/>
                <w:iCs/>
                <w:color w:val="000000"/>
                <w:sz w:val="16"/>
                <w:szCs w:val="16"/>
              </w:rPr>
              <w:t>ημειώσεις:</w:t>
            </w:r>
          </w:p>
          <w:p w14:paraId="554A291E" w14:textId="77777777" w:rsidR="00351B9A" w:rsidRDefault="00666DA9" w:rsidP="00A52880">
            <w:pPr>
              <w:tabs>
                <w:tab w:val="left" w:pos="227"/>
              </w:tabs>
              <w:spacing w:before="60" w:after="0" w:line="276" w:lineRule="auto"/>
              <w:ind w:left="227" w:hanging="227"/>
              <w:rPr>
                <w:rFonts w:cs="Arial"/>
                <w:i/>
                <w:iCs/>
                <w:color w:val="000000"/>
                <w:sz w:val="16"/>
                <w:szCs w:val="16"/>
              </w:rPr>
            </w:pPr>
            <w:r w:rsidRPr="0046313D">
              <w:rPr>
                <w:rFonts w:cs="Arial"/>
                <w:i/>
                <w:iCs/>
                <w:color w:val="000000"/>
                <w:sz w:val="16"/>
                <w:szCs w:val="16"/>
              </w:rPr>
              <w:t>1.</w:t>
            </w:r>
            <w:r w:rsidR="00351B9A">
              <w:rPr>
                <w:rFonts w:cs="Arial"/>
                <w:i/>
                <w:iCs/>
                <w:color w:val="000000"/>
                <w:sz w:val="16"/>
                <w:szCs w:val="16"/>
              </w:rPr>
              <w:tab/>
            </w:r>
            <w:r w:rsidRPr="0046313D">
              <w:rPr>
                <w:rFonts w:cs="Arial"/>
                <w:i/>
                <w:iCs/>
                <w:color w:val="000000"/>
                <w:sz w:val="16"/>
                <w:szCs w:val="16"/>
              </w:rPr>
              <w:t>Στον πίνακα δεν περιλαμβάνονται χρηματοοικονομικές συναλλαγές</w:t>
            </w:r>
            <w:r>
              <w:t xml:space="preserve"> </w:t>
            </w:r>
            <w:r w:rsidRPr="00821CCF">
              <w:rPr>
                <w:rFonts w:cs="Arial"/>
                <w:i/>
                <w:iCs/>
                <w:color w:val="000000"/>
                <w:sz w:val="16"/>
                <w:szCs w:val="16"/>
              </w:rPr>
              <w:t>και τεκμαρτές δαπάνες.</w:t>
            </w:r>
          </w:p>
          <w:p w14:paraId="3B12B85C" w14:textId="09C31EF9" w:rsidR="00666DA9" w:rsidRDefault="00666DA9" w:rsidP="00A52880">
            <w:pPr>
              <w:tabs>
                <w:tab w:val="left" w:pos="227"/>
              </w:tabs>
              <w:spacing w:before="60" w:after="0" w:line="276" w:lineRule="auto"/>
              <w:ind w:left="227" w:hanging="227"/>
              <w:rPr>
                <w:rFonts w:cs="Arial"/>
                <w:i/>
                <w:iCs/>
                <w:color w:val="000000"/>
                <w:sz w:val="16"/>
                <w:szCs w:val="16"/>
              </w:rPr>
            </w:pPr>
            <w:r w:rsidRPr="0046313D">
              <w:rPr>
                <w:rFonts w:cs="Arial"/>
                <w:i/>
                <w:iCs/>
                <w:color w:val="000000"/>
                <w:sz w:val="16"/>
                <w:szCs w:val="16"/>
              </w:rPr>
              <w:t>2.</w:t>
            </w:r>
            <w:r w:rsidR="00351B9A">
              <w:rPr>
                <w:rFonts w:cs="Arial"/>
                <w:i/>
                <w:iCs/>
                <w:color w:val="000000"/>
                <w:sz w:val="16"/>
                <w:szCs w:val="16"/>
              </w:rPr>
              <w:tab/>
            </w:r>
            <w:r w:rsidRPr="0046313D">
              <w:rPr>
                <w:rFonts w:cs="Arial"/>
                <w:i/>
                <w:iCs/>
                <w:color w:val="000000"/>
                <w:sz w:val="16"/>
                <w:szCs w:val="16"/>
              </w:rPr>
              <w:t>Οι αμυντικές δαπάνες υπολογίζονται στη βάση των φυσικών παραλαβών.</w:t>
            </w:r>
          </w:p>
          <w:p w14:paraId="58378500" w14:textId="257060EA" w:rsidR="00666DA9" w:rsidRPr="0046313D" w:rsidRDefault="00666DA9" w:rsidP="00351B9A">
            <w:pPr>
              <w:tabs>
                <w:tab w:val="left" w:pos="227"/>
              </w:tabs>
              <w:spacing w:before="60" w:after="0" w:line="276" w:lineRule="auto"/>
              <w:ind w:left="227" w:hanging="227"/>
              <w:rPr>
                <w:rFonts w:cs="Arial"/>
                <w:i/>
                <w:iCs/>
                <w:color w:val="000000"/>
                <w:sz w:val="16"/>
                <w:szCs w:val="16"/>
              </w:rPr>
            </w:pPr>
            <w:r>
              <w:rPr>
                <w:rFonts w:cs="Arial"/>
                <w:i/>
                <w:iCs/>
                <w:color w:val="000000"/>
                <w:sz w:val="16"/>
                <w:szCs w:val="16"/>
              </w:rPr>
              <w:t>3.</w:t>
            </w:r>
            <w:r w:rsidR="00351B9A">
              <w:rPr>
                <w:rFonts w:cs="Arial"/>
                <w:i/>
                <w:iCs/>
                <w:color w:val="000000"/>
                <w:sz w:val="16"/>
                <w:szCs w:val="16"/>
              </w:rPr>
              <w:tab/>
            </w:r>
            <w:r w:rsidRPr="00821CCF">
              <w:rPr>
                <w:rFonts w:cs="Arial"/>
                <w:i/>
                <w:iCs/>
                <w:color w:val="000000"/>
                <w:sz w:val="16"/>
                <w:szCs w:val="16"/>
              </w:rPr>
              <w:t>Περιλαμβάνονται και προϋπολογιζόμενες δαπάνες του ΤΑΑ χρηματοδοτούμενες από εισροές προηγούμενων ετών.</w:t>
            </w:r>
          </w:p>
        </w:tc>
      </w:tr>
    </w:tbl>
    <w:p w14:paraId="6E8CA5D6" w14:textId="77777777" w:rsidR="008C002B" w:rsidRPr="001D2955" w:rsidRDefault="008C002B" w:rsidP="001D2955">
      <w:pPr>
        <w:pStyle w:val="4"/>
      </w:pPr>
      <w:bookmarkStart w:id="241" w:name="_Toc118106819"/>
      <w:bookmarkStart w:id="242" w:name="_Toc214473740"/>
      <w:r w:rsidRPr="001D2955">
        <w:t>Ενσωμάτωση της περιβαλλοντικής διάστασης στον προϋπολογισμό (Green Budgeting)</w:t>
      </w:r>
      <w:bookmarkEnd w:id="241"/>
      <w:bookmarkEnd w:id="242"/>
    </w:p>
    <w:p w14:paraId="3C70DE14" w14:textId="0A6D0277" w:rsidR="00A313FB" w:rsidRDefault="00A313FB" w:rsidP="00A313FB">
      <w:r>
        <w:t>Σε συνέχεια της προόδου που συντελέστηκε τα προηγούμενα έτη για την αποτύπωση της περιβαλλοντικής διάστασης στον προϋπολογισμό και οδήγησε στο να συγκαταλέγεται η Ελλάδα μεταξύ των πλέον προχωρημένων χωρών σε ευρωπαϊκό επίπεδο, στον προϋπολογισμό του 2026 ολοκληρώνεται η παρουσίαση της περιβαλλοντικής διάστασης των προγραμμάτων των φορέων</w:t>
      </w:r>
      <w:r w:rsidR="00274E77">
        <w:t xml:space="preserve"> της</w:t>
      </w:r>
      <w:r>
        <w:t xml:space="preserve"> </w:t>
      </w:r>
      <w:r w:rsidR="00274E77">
        <w:t>Κ</w:t>
      </w:r>
      <w:r>
        <w:t xml:space="preserve">εντρικής </w:t>
      </w:r>
      <w:r w:rsidR="00274E77">
        <w:t>Δ</w:t>
      </w:r>
      <w:r>
        <w:t>ιοίκησης, με την προσθήκη και της αξιολόγησης του αντ</w:t>
      </w:r>
      <w:r w:rsidR="00274E77">
        <w:t>ί</w:t>
      </w:r>
      <w:r>
        <w:t>κτ</w:t>
      </w:r>
      <w:r w:rsidR="00274E77">
        <w:t>υ</w:t>
      </w:r>
      <w:r>
        <w:t>που των Προγραμμάτων των ΑΔΑ που ανήκουν στην Κεντρική Διοίκηση.</w:t>
      </w:r>
    </w:p>
    <w:p w14:paraId="51047A89" w14:textId="0C9AD3CF" w:rsidR="00A313FB" w:rsidRDefault="00A313FB" w:rsidP="00A313FB">
      <w:r>
        <w:t xml:space="preserve">Για τα Προγράμματα των Υπουργείων και </w:t>
      </w:r>
      <w:r w:rsidR="00274E77">
        <w:t xml:space="preserve">των </w:t>
      </w:r>
      <w:r>
        <w:t xml:space="preserve">λοιπών φορέων </w:t>
      </w:r>
      <w:r w:rsidR="00274E77">
        <w:t xml:space="preserve">της </w:t>
      </w:r>
      <w:r>
        <w:t xml:space="preserve">Κεντρικής Διοίκησης που είχαν ήδη αξιολογηθεί ως προς την επίδρασή τους, η αποτύπωση αυτή επανεξετάστηκε από το ΓΛΚ σε συνεργασία με το Υπουργείο Περιβάλλοντος και Ενέργειας και επικαιροποιήθηκε όπου απαιτούνταν, στη βάση πληροφορίας που παρασχέθηκε από τους φορείς για τις δραστηριότητες και τα έργα που αναμένεται να υλοποιηθούν </w:t>
      </w:r>
      <w:r w:rsidR="00274E77">
        <w:t xml:space="preserve">εντός </w:t>
      </w:r>
      <w:r>
        <w:t>το</w:t>
      </w:r>
      <w:r w:rsidR="00274E77">
        <w:t>υ</w:t>
      </w:r>
      <w:r>
        <w:t xml:space="preserve"> 2026.</w:t>
      </w:r>
    </w:p>
    <w:p w14:paraId="33DDA85F" w14:textId="1633DCD1" w:rsidR="00A313FB" w:rsidRDefault="00A313FB" w:rsidP="00A313FB">
      <w:r>
        <w:t xml:space="preserve">Μέσα στο 2026 βασική στόχευση είναι η ολοκλήρωση της μεθοδολογίας για την αξιολόγηση και </w:t>
      </w:r>
      <w:r w:rsidR="00274E77">
        <w:t xml:space="preserve">την </w:t>
      </w:r>
      <w:r>
        <w:t>παρουσίαση της περιβαλλοντικής επίδρασης των διαφόρων κατηγοριών εσόδων και φορολογικών δαπανών.</w:t>
      </w:r>
    </w:p>
    <w:p w14:paraId="59910CBE" w14:textId="0B13FC55" w:rsidR="00A313FB" w:rsidRDefault="00A313FB" w:rsidP="00A313FB">
      <w:r>
        <w:t>Προς αυτή την κατεύθυνση η Διεύθυνση Αξιολόγησης Δράσεων Γενικής Κυβέρνησης συνεργάζεται με τη Διεύθυνση Φορολογικής Πολιτικής αλλά και</w:t>
      </w:r>
      <w:r w:rsidR="00274E77">
        <w:t xml:space="preserve"> με</w:t>
      </w:r>
      <w:r>
        <w:t xml:space="preserve"> το Υπουργείο Περιβάλλοντος και Ενέργειας.</w:t>
      </w:r>
    </w:p>
    <w:p w14:paraId="2CA2B2C3" w14:textId="77777777" w:rsidR="00A313FB" w:rsidRDefault="00A313FB" w:rsidP="00A313FB">
      <w:r>
        <w:t>Τα επόμενα βήματα μέσα στο 2026 περιλαμβάνουν:</w:t>
      </w:r>
    </w:p>
    <w:p w14:paraId="78B09F3B" w14:textId="33C02932" w:rsidR="00A313FB" w:rsidRDefault="00274E77" w:rsidP="00A3206D">
      <w:pPr>
        <w:numPr>
          <w:ilvl w:val="0"/>
          <w:numId w:val="1"/>
        </w:numPr>
        <w:spacing w:before="120" w:after="60"/>
        <w:ind w:left="568" w:hanging="284"/>
      </w:pPr>
      <w:r>
        <w:t>π</w:t>
      </w:r>
      <w:r w:rsidR="00A313FB">
        <w:t>ροσδιορισμό των διαφορετικών κατηγοριών εσόδων και φορολογικών δαπανών που θα ταξινομηθούν ως προς την περιβαλλοντική διάσταση,</w:t>
      </w:r>
    </w:p>
    <w:p w14:paraId="2AD983B6" w14:textId="1196A696" w:rsidR="00A313FB" w:rsidRDefault="00274E77" w:rsidP="00A3206D">
      <w:pPr>
        <w:numPr>
          <w:ilvl w:val="0"/>
          <w:numId w:val="1"/>
        </w:numPr>
        <w:spacing w:before="60" w:after="60"/>
        <w:ind w:left="568" w:hanging="284"/>
      </w:pPr>
      <w:r>
        <w:t>α</w:t>
      </w:r>
      <w:r w:rsidR="00A313FB">
        <w:t>ξιολόγηση των φόρων που κατευθύνονται σε περιβαλλοντικά φιλικές δαπάνες, λαμβ</w:t>
      </w:r>
      <w:r>
        <w:t xml:space="preserve">ανομένης </w:t>
      </w:r>
      <w:r w:rsidR="00A313FB">
        <w:t>υπόψη και τη</w:t>
      </w:r>
      <w:r>
        <w:t>ς</w:t>
      </w:r>
      <w:r w:rsidR="00A313FB">
        <w:t xml:space="preserve"> ταξινόμηση</w:t>
      </w:r>
      <w:r>
        <w:t>ς</w:t>
      </w:r>
      <w:r w:rsidR="00A313FB">
        <w:t xml:space="preserve"> των αντίστοιχων δαπανών,</w:t>
      </w:r>
    </w:p>
    <w:p w14:paraId="759E9888" w14:textId="0F02CC26" w:rsidR="00A313FB" w:rsidRDefault="00274E77" w:rsidP="00A3206D">
      <w:pPr>
        <w:numPr>
          <w:ilvl w:val="0"/>
          <w:numId w:val="1"/>
        </w:numPr>
        <w:spacing w:before="60" w:after="60"/>
        <w:ind w:left="568" w:hanging="284"/>
      </w:pPr>
      <w:r>
        <w:t>δ</w:t>
      </w:r>
      <w:r w:rsidR="00A313FB">
        <w:t xml:space="preserve">ιερεύνηση της δυνατότητας και του τρόπου αξιολόγησης των λοιπών περιβαλλοντικών οικονομικών επιβαρύνσεων, </w:t>
      </w:r>
      <w:r>
        <w:t>των Ειδικών Φόρων Κατανάλωσης (</w:t>
      </w:r>
      <w:r w:rsidR="00A313FB">
        <w:t>ΕΦΚ</w:t>
      </w:r>
      <w:r>
        <w:t>)</w:t>
      </w:r>
      <w:r w:rsidR="00A313FB">
        <w:t xml:space="preserve">, </w:t>
      </w:r>
      <w:r>
        <w:t xml:space="preserve">των </w:t>
      </w:r>
      <w:r w:rsidR="00A313FB">
        <w:t>τελών και</w:t>
      </w:r>
      <w:r>
        <w:t xml:space="preserve"> των</w:t>
      </w:r>
      <w:r w:rsidR="00A313FB">
        <w:t xml:space="preserve"> φορολογικών δαπανών ως προς την επίδρασή τους στους περιβαλλοντικούς στόχους και διάκριση ανά υποκατηγορία (πρόστιμο, παροχή κινήτρου κ.λπ.)</w:t>
      </w:r>
      <w:r>
        <w:t>,</w:t>
      </w:r>
    </w:p>
    <w:p w14:paraId="604E9B2E" w14:textId="7BCF2B00" w:rsidR="00A313FB" w:rsidRDefault="00274E77" w:rsidP="00A3206D">
      <w:pPr>
        <w:numPr>
          <w:ilvl w:val="0"/>
          <w:numId w:val="1"/>
        </w:numPr>
        <w:spacing w:before="60" w:after="60"/>
        <w:ind w:left="568" w:hanging="284"/>
      </w:pPr>
      <w:r>
        <w:t>δ</w:t>
      </w:r>
      <w:r w:rsidR="00A313FB">
        <w:t>ιερεύνηση της δυνατότητας και του τρόπου ταξινόμησης λοιπών φόρων που δεν συσχετίζονται απαραίτητα με περιβαλλοντικά φιλικές δαπάνες</w:t>
      </w:r>
      <w:r w:rsidR="00FE0E41">
        <w:t xml:space="preserve"> και</w:t>
      </w:r>
    </w:p>
    <w:p w14:paraId="42A424A1" w14:textId="1AF3171B" w:rsidR="00A313FB" w:rsidRDefault="00FE0E41" w:rsidP="00A3206D">
      <w:pPr>
        <w:numPr>
          <w:ilvl w:val="0"/>
          <w:numId w:val="1"/>
        </w:numPr>
        <w:spacing w:before="60"/>
        <w:ind w:left="568" w:hanging="284"/>
      </w:pPr>
      <w:r>
        <w:t>ε</w:t>
      </w:r>
      <w:r w:rsidR="00A313FB">
        <w:t>ξέταση και επιλογή κατάλληλων περιβαλλοντικών δεικτών.</w:t>
      </w:r>
    </w:p>
    <w:p w14:paraId="508EAFE8" w14:textId="4CA07251" w:rsidR="00A313FB" w:rsidRDefault="00A313FB" w:rsidP="00A313FB">
      <w:r>
        <w:lastRenderedPageBreak/>
        <w:t xml:space="preserve">Με την ολοκλήρωση των ανωτέρω ενεργειών θα επιτευχθεί η αποτύπωση του περιβαλλοντικού αποτυπώματος και για τα δύο σκέλη του κρατικού </w:t>
      </w:r>
      <w:r w:rsidR="00EC424E">
        <w:t>π</w:t>
      </w:r>
      <w:r>
        <w:t>ροϋπολογισμού</w:t>
      </w:r>
      <w:r w:rsidR="00A3206D">
        <w:t xml:space="preserve"> </w:t>
      </w:r>
      <w:r>
        <w:t>(έσοδα,</w:t>
      </w:r>
      <w:r w:rsidR="00A3206D">
        <w:t xml:space="preserve"> </w:t>
      </w:r>
      <w:r>
        <w:t>έξοδα), η οποία θα ενισχύει τη δυνατότητα λήψης αποφάσεων άσκησης δημοσιονομικής πολιτικής με κριτήριο και τη βιώσιμη και περιβαλλοντικά φιλική ανάπτυξη.</w:t>
      </w:r>
    </w:p>
    <w:p w14:paraId="335A3776" w14:textId="7882AB88" w:rsidR="00A313FB" w:rsidRDefault="00A313FB" w:rsidP="00A313FB">
      <w:r w:rsidRPr="00154C13">
        <w:t>Ακολούθως (</w:t>
      </w:r>
      <w:r w:rsidR="00C91F10" w:rsidRPr="00154C13">
        <w:fldChar w:fldCharType="begin"/>
      </w:r>
      <w:r w:rsidR="00C91F10" w:rsidRPr="00154C13">
        <w:instrText xml:space="preserve"> REF _Ref214443580 \h  \* MERGEFORMAT </w:instrText>
      </w:r>
      <w:r w:rsidR="00C91F10" w:rsidRPr="00154C13">
        <w:fldChar w:fldCharType="separate"/>
      </w:r>
      <w:r w:rsidR="00E15678" w:rsidRPr="00E15678">
        <w:t>Πίνακας 2.10</w:t>
      </w:r>
      <w:r w:rsidR="00C91F10" w:rsidRPr="00154C13">
        <w:fldChar w:fldCharType="end"/>
      </w:r>
      <w:r w:rsidRPr="00154C13">
        <w:t>.) παρουσιάζεται</w:t>
      </w:r>
      <w:r>
        <w:t xml:space="preserve"> η περιβαλλοντική κατηγοριοποίηση (green tagging) όλων των Προγραμμάτων στα οποία δραστηριοποιούνται οι φορείς που ανήκουν στην Κεντρική Διοίκηση. Η παρουσίαση του περιβαλλοντικού αποτυπώματος των δραστηριοτήτων που αναμένεται να χρηματοδοτηθούν από τον προϋπολογισμό έτους 2026 γίνεται στη βάση της αξιολόγησής τους ως προς τη θετική, αρνητική, ουδέτερη ή μικτή επίδρασή τους σε κάθε έναν από τους έξι περιβαλλοντικούς στόχους βιώσιμων δραστηριοτήτων της ΕΕ και συγκεκριμένα: α) στη μείωση των επιπτώσεων της κλιματικής αλλαγής, β) στην προσαρμογή στην κλιματική αλλαγή, γ) στη βιώσιμη χρήση και προστασία των υδάτινων και των θαλάσσιων πόρων, δ) στη μετάβαση σε κυκλική οικονομία, ε) στην πρόληψη και τον έλεγχο της ρύπανσης και στ) στην προστασία και την αποκατάσταση της βιοποικιλότητας και των οικοσυστημάτων.</w:t>
      </w:r>
    </w:p>
    <w:p w14:paraId="0E9F3C79" w14:textId="5E608981" w:rsidR="00D15175" w:rsidRDefault="00A313FB" w:rsidP="000E412F">
      <w:pPr>
        <w:spacing w:after="240"/>
      </w:pPr>
      <w:r>
        <w:t>Η αναλυτική τεκμηρίωση των χαρακτηρισμών για κάθε Πρόγραμμα περιλαμβάνεται στην ειδική έκδοση «Προϋπολογισμός Επιδόσεων 2026» που συνοδεύει την παρούσα.</w:t>
      </w:r>
    </w:p>
    <w:tbl>
      <w:tblPr>
        <w:tblW w:w="5082" w:type="pct"/>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ayout w:type="fixed"/>
        <w:tblLook w:val="04A0" w:firstRow="1" w:lastRow="0" w:firstColumn="1" w:lastColumn="0" w:noHBand="0" w:noVBand="1"/>
      </w:tblPr>
      <w:tblGrid>
        <w:gridCol w:w="996"/>
        <w:gridCol w:w="2452"/>
        <w:gridCol w:w="1579"/>
        <w:gridCol w:w="636"/>
        <w:gridCol w:w="566"/>
        <w:gridCol w:w="575"/>
        <w:gridCol w:w="708"/>
        <w:gridCol w:w="566"/>
        <w:gridCol w:w="604"/>
        <w:gridCol w:w="531"/>
      </w:tblGrid>
      <w:tr w:rsidR="00A3206D" w:rsidRPr="009E0067" w14:paraId="2E79987C" w14:textId="77777777" w:rsidTr="0053607E">
        <w:trPr>
          <w:trHeight w:val="454"/>
          <w:tblHeader/>
          <w:jc w:val="center"/>
        </w:trPr>
        <w:tc>
          <w:tcPr>
            <w:tcW w:w="5000" w:type="pct"/>
            <w:gridSpan w:val="10"/>
            <w:tcBorders>
              <w:top w:val="single" w:sz="2" w:space="0" w:color="A6A6A6" w:themeColor="background1" w:themeShade="A6"/>
              <w:bottom w:val="single" w:sz="2" w:space="0" w:color="A6A6A6" w:themeColor="background1" w:themeShade="A6"/>
            </w:tcBorders>
            <w:shd w:val="clear" w:color="000000" w:fill="DCE6F1"/>
            <w:noWrap/>
            <w:vAlign w:val="center"/>
            <w:hideMark/>
          </w:tcPr>
          <w:p w14:paraId="2CFE2FB9" w14:textId="2D3AF4A2" w:rsidR="00A3206D" w:rsidRPr="009E0067" w:rsidRDefault="009E0067" w:rsidP="00FE500C">
            <w:pPr>
              <w:pStyle w:val="afe"/>
              <w:spacing w:after="0" w:line="276" w:lineRule="auto"/>
              <w:jc w:val="center"/>
              <w:rPr>
                <w:rFonts w:cs="Arial"/>
                <w:bCs w:val="0"/>
                <w:color w:val="000000"/>
                <w:sz w:val="18"/>
                <w:szCs w:val="18"/>
              </w:rPr>
            </w:pPr>
            <w:bookmarkStart w:id="243" w:name="_Ref214443580"/>
            <w:bookmarkStart w:id="244" w:name="_Toc214372338"/>
            <w:bookmarkStart w:id="245" w:name="_Toc214473828"/>
            <w:r w:rsidRPr="009E0067">
              <w:rPr>
                <w:sz w:val="18"/>
                <w:szCs w:val="18"/>
              </w:rPr>
              <w:t>Πίνακας 2.</w:t>
            </w:r>
            <w:r w:rsidRPr="009E0067">
              <w:rPr>
                <w:sz w:val="18"/>
                <w:szCs w:val="18"/>
              </w:rPr>
              <w:fldChar w:fldCharType="begin"/>
            </w:r>
            <w:r w:rsidRPr="009E0067">
              <w:rPr>
                <w:sz w:val="18"/>
                <w:szCs w:val="18"/>
              </w:rPr>
              <w:instrText xml:space="preserve"> SEQ Πίνακας_2. \* ARABIC </w:instrText>
            </w:r>
            <w:r w:rsidRPr="009E0067">
              <w:rPr>
                <w:sz w:val="18"/>
                <w:szCs w:val="18"/>
              </w:rPr>
              <w:fldChar w:fldCharType="separate"/>
            </w:r>
            <w:r w:rsidR="00E15678">
              <w:rPr>
                <w:noProof/>
                <w:sz w:val="18"/>
                <w:szCs w:val="18"/>
              </w:rPr>
              <w:t>10</w:t>
            </w:r>
            <w:r w:rsidRPr="009E0067">
              <w:rPr>
                <w:sz w:val="18"/>
                <w:szCs w:val="18"/>
              </w:rPr>
              <w:fldChar w:fldCharType="end"/>
            </w:r>
            <w:bookmarkEnd w:id="243"/>
            <w:r w:rsidRPr="009E0067">
              <w:rPr>
                <w:sz w:val="18"/>
                <w:szCs w:val="18"/>
              </w:rPr>
              <w:t>.:</w:t>
            </w:r>
            <w:r w:rsidR="00A3206D" w:rsidRPr="009E0067">
              <w:rPr>
                <w:sz w:val="18"/>
                <w:szCs w:val="18"/>
              </w:rPr>
              <w:t xml:space="preserve"> Κατηγοριοποίηση ως προς την περιβαλλοντική διάσταση</w:t>
            </w:r>
            <w:bookmarkEnd w:id="244"/>
            <w:bookmarkEnd w:id="245"/>
          </w:p>
        </w:tc>
      </w:tr>
      <w:tr w:rsidR="00A3206D" w:rsidRPr="0084637C" w14:paraId="71C6300C" w14:textId="77777777" w:rsidTr="000E412F">
        <w:trPr>
          <w:trHeight w:val="225"/>
          <w:tblHeader/>
          <w:jc w:val="center"/>
        </w:trPr>
        <w:tc>
          <w:tcPr>
            <w:tcW w:w="541" w:type="pct"/>
            <w:vMerge w:val="restart"/>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vAlign w:val="center"/>
            <w:hideMark/>
          </w:tcPr>
          <w:p w14:paraId="09DBA37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Κωδ.</w:t>
            </w:r>
          </w:p>
        </w:tc>
        <w:tc>
          <w:tcPr>
            <w:tcW w:w="1331" w:type="pct"/>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vAlign w:val="center"/>
            <w:hideMark/>
          </w:tcPr>
          <w:p w14:paraId="4A19EA1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ΦΟΡΕΙΣ / ΠΡΟΓΡΑΜΜΑΤΑ</w:t>
            </w:r>
          </w:p>
        </w:tc>
        <w:tc>
          <w:tcPr>
            <w:tcW w:w="85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vAlign w:val="center"/>
            <w:hideMark/>
          </w:tcPr>
          <w:p w14:paraId="5F36252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Προϋπολογισμός σε ευρώ</w:t>
            </w:r>
          </w:p>
        </w:tc>
        <w:tc>
          <w:tcPr>
            <w:tcW w:w="2272" w:type="pct"/>
            <w:gridSpan w:val="7"/>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000000" w:fill="DCE6F1"/>
            <w:vAlign w:val="center"/>
            <w:hideMark/>
          </w:tcPr>
          <w:p w14:paraId="3B3B6CB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Περιβαλλοντικοί Στόχοι</w:t>
            </w:r>
          </w:p>
        </w:tc>
      </w:tr>
      <w:tr w:rsidR="00A3206D" w:rsidRPr="0084637C" w14:paraId="3F6558D8" w14:textId="77777777" w:rsidTr="0053607E">
        <w:trPr>
          <w:trHeight w:val="2110"/>
          <w:tblHeader/>
          <w:jc w:val="center"/>
        </w:trPr>
        <w:tc>
          <w:tcPr>
            <w:tcW w:w="541" w:type="pct"/>
            <w:vMerge/>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5B2E2376" w14:textId="77777777" w:rsidR="00A3206D" w:rsidRPr="0084637C" w:rsidRDefault="00A3206D" w:rsidP="009E0067">
            <w:pPr>
              <w:spacing w:after="0" w:line="276" w:lineRule="auto"/>
              <w:jc w:val="left"/>
              <w:rPr>
                <w:rFonts w:cs="Arial"/>
                <w:b/>
                <w:bCs/>
                <w:color w:val="000000"/>
                <w:sz w:val="16"/>
                <w:szCs w:val="16"/>
              </w:rPr>
            </w:pPr>
          </w:p>
        </w:tc>
        <w:tc>
          <w:tcPr>
            <w:tcW w:w="1331" w:type="pct"/>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14133D50" w14:textId="77777777" w:rsidR="00A3206D" w:rsidRPr="0084637C" w:rsidRDefault="00A3206D" w:rsidP="009E0067">
            <w:pPr>
              <w:spacing w:after="0" w:line="276" w:lineRule="auto"/>
              <w:jc w:val="left"/>
              <w:rPr>
                <w:rFonts w:cs="Arial"/>
                <w:b/>
                <w:bCs/>
                <w:color w:val="000000"/>
                <w:sz w:val="16"/>
                <w:szCs w:val="16"/>
              </w:rPr>
            </w:pPr>
          </w:p>
        </w:tc>
        <w:tc>
          <w:tcPr>
            <w:tcW w:w="85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vAlign w:val="center"/>
            <w:hideMark/>
          </w:tcPr>
          <w:p w14:paraId="4123D89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Σύνολο</w:t>
            </w:r>
          </w:p>
        </w:tc>
        <w:tc>
          <w:tcPr>
            <w:tcW w:w="345"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textDirection w:val="btLr"/>
            <w:vAlign w:val="center"/>
            <w:hideMark/>
          </w:tcPr>
          <w:p w14:paraId="1737F67D" w14:textId="77777777" w:rsidR="00A3206D" w:rsidRPr="005F3CE7" w:rsidRDefault="00A3206D" w:rsidP="009E0067">
            <w:pPr>
              <w:spacing w:after="0" w:line="276" w:lineRule="auto"/>
              <w:jc w:val="center"/>
              <w:rPr>
                <w:rFonts w:cs="Arial"/>
                <w:b/>
                <w:bCs/>
                <w:color w:val="000000"/>
                <w:sz w:val="13"/>
                <w:szCs w:val="13"/>
              </w:rPr>
            </w:pPr>
            <w:r w:rsidRPr="005F3CE7">
              <w:rPr>
                <w:rFonts w:cs="Arial"/>
                <w:b/>
                <w:bCs/>
                <w:color w:val="000000"/>
                <w:sz w:val="13"/>
                <w:szCs w:val="13"/>
              </w:rPr>
              <w:t>Μείωση των επιπτώσεων της κλιματικής αλλαγής</w:t>
            </w:r>
          </w:p>
        </w:tc>
        <w:tc>
          <w:tcPr>
            <w:tcW w:w="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textDirection w:val="btLr"/>
            <w:vAlign w:val="center"/>
            <w:hideMark/>
          </w:tcPr>
          <w:p w14:paraId="58F7DBA5" w14:textId="77777777" w:rsidR="00A3206D" w:rsidRPr="005F3CE7" w:rsidRDefault="00A3206D" w:rsidP="009E0067">
            <w:pPr>
              <w:spacing w:after="0" w:line="276" w:lineRule="auto"/>
              <w:jc w:val="center"/>
              <w:rPr>
                <w:rFonts w:cs="Arial"/>
                <w:b/>
                <w:bCs/>
                <w:color w:val="000000"/>
                <w:sz w:val="13"/>
                <w:szCs w:val="13"/>
              </w:rPr>
            </w:pPr>
            <w:r w:rsidRPr="005F3CE7">
              <w:rPr>
                <w:rFonts w:cs="Arial"/>
                <w:b/>
                <w:bCs/>
                <w:color w:val="000000"/>
                <w:sz w:val="13"/>
                <w:szCs w:val="13"/>
              </w:rPr>
              <w:t>Προσαρμογή στην κλιματική αλλαγή</w:t>
            </w:r>
          </w:p>
        </w:tc>
        <w:tc>
          <w:tcPr>
            <w:tcW w:w="312"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textDirection w:val="btLr"/>
            <w:hideMark/>
          </w:tcPr>
          <w:p w14:paraId="37B238A9" w14:textId="77777777" w:rsidR="00A3206D" w:rsidRPr="005F3CE7" w:rsidRDefault="00A3206D" w:rsidP="009E0067">
            <w:pPr>
              <w:spacing w:after="0" w:line="276" w:lineRule="auto"/>
              <w:jc w:val="center"/>
              <w:rPr>
                <w:rFonts w:cs="Arial"/>
                <w:b/>
                <w:bCs/>
                <w:color w:val="000000"/>
                <w:sz w:val="13"/>
                <w:szCs w:val="13"/>
              </w:rPr>
            </w:pPr>
            <w:r w:rsidRPr="005F3CE7">
              <w:rPr>
                <w:rFonts w:cs="Arial"/>
                <w:b/>
                <w:bCs/>
                <w:color w:val="000000"/>
                <w:sz w:val="13"/>
                <w:szCs w:val="13"/>
              </w:rPr>
              <w:t>Βιώσιμη χρήση και προστασία των υδάτινων και των θαλάσσιων πόρων</w:t>
            </w:r>
          </w:p>
        </w:tc>
        <w:tc>
          <w:tcPr>
            <w:tcW w:w="384"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textDirection w:val="btLr"/>
            <w:vAlign w:val="center"/>
            <w:hideMark/>
          </w:tcPr>
          <w:p w14:paraId="4B347E91" w14:textId="77777777" w:rsidR="00A3206D" w:rsidRPr="005F3CE7" w:rsidRDefault="00A3206D" w:rsidP="009E0067">
            <w:pPr>
              <w:spacing w:after="0" w:line="276" w:lineRule="auto"/>
              <w:jc w:val="center"/>
              <w:rPr>
                <w:rFonts w:cs="Arial"/>
                <w:b/>
                <w:bCs/>
                <w:color w:val="000000"/>
                <w:sz w:val="13"/>
                <w:szCs w:val="13"/>
              </w:rPr>
            </w:pPr>
            <w:r w:rsidRPr="005F3CE7">
              <w:rPr>
                <w:rFonts w:cs="Arial"/>
                <w:b/>
                <w:bCs/>
                <w:color w:val="000000"/>
                <w:sz w:val="13"/>
                <w:szCs w:val="13"/>
              </w:rPr>
              <w:t>Μετάβαση σε μια κυκλική οικονομία</w:t>
            </w:r>
          </w:p>
        </w:tc>
        <w:tc>
          <w:tcPr>
            <w:tcW w:w="307"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textDirection w:val="btLr"/>
            <w:vAlign w:val="center"/>
            <w:hideMark/>
          </w:tcPr>
          <w:p w14:paraId="37E84BFB" w14:textId="77777777" w:rsidR="00A3206D" w:rsidRPr="005F3CE7" w:rsidRDefault="00A3206D" w:rsidP="009E0067">
            <w:pPr>
              <w:spacing w:after="0" w:line="276" w:lineRule="auto"/>
              <w:jc w:val="center"/>
              <w:rPr>
                <w:rFonts w:cs="Arial"/>
                <w:b/>
                <w:bCs/>
                <w:color w:val="000000"/>
                <w:sz w:val="13"/>
                <w:szCs w:val="13"/>
              </w:rPr>
            </w:pPr>
            <w:r w:rsidRPr="005F3CE7">
              <w:rPr>
                <w:rFonts w:cs="Arial"/>
                <w:b/>
                <w:bCs/>
                <w:color w:val="000000"/>
                <w:sz w:val="13"/>
                <w:szCs w:val="13"/>
              </w:rPr>
              <w:t>Πρόληψη και έλεγχος της ρύπανσης</w:t>
            </w:r>
          </w:p>
        </w:tc>
        <w:tc>
          <w:tcPr>
            <w:tcW w:w="328" w:type="pc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CE6F1"/>
            <w:textDirection w:val="btLr"/>
            <w:vAlign w:val="center"/>
            <w:hideMark/>
          </w:tcPr>
          <w:p w14:paraId="65B7A4B6" w14:textId="77777777" w:rsidR="00A3206D" w:rsidRPr="005F3CE7" w:rsidRDefault="00A3206D" w:rsidP="009E0067">
            <w:pPr>
              <w:spacing w:after="0" w:line="276" w:lineRule="auto"/>
              <w:jc w:val="center"/>
              <w:rPr>
                <w:rFonts w:cs="Arial"/>
                <w:b/>
                <w:bCs/>
                <w:color w:val="000000"/>
                <w:sz w:val="13"/>
                <w:szCs w:val="13"/>
              </w:rPr>
            </w:pPr>
            <w:r w:rsidRPr="005F3CE7">
              <w:rPr>
                <w:rFonts w:cs="Arial"/>
                <w:b/>
                <w:bCs/>
                <w:color w:val="000000"/>
                <w:sz w:val="13"/>
                <w:szCs w:val="13"/>
              </w:rPr>
              <w:t>Προστασία και αποκατάσταση της βιοποικιλότητας και των οικοσυστημάτων</w:t>
            </w:r>
          </w:p>
        </w:tc>
        <w:tc>
          <w:tcPr>
            <w:tcW w:w="288" w:type="pct"/>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000000" w:fill="DCE6F1"/>
            <w:textDirection w:val="btLr"/>
            <w:vAlign w:val="center"/>
            <w:hideMark/>
          </w:tcPr>
          <w:p w14:paraId="5136D3BA" w14:textId="77777777" w:rsidR="00A3206D" w:rsidRPr="005F3CE7" w:rsidRDefault="00A3206D" w:rsidP="009E0067">
            <w:pPr>
              <w:spacing w:after="0" w:line="276" w:lineRule="auto"/>
              <w:jc w:val="center"/>
              <w:rPr>
                <w:rFonts w:cs="Arial"/>
                <w:b/>
                <w:bCs/>
                <w:color w:val="000000"/>
                <w:sz w:val="13"/>
                <w:szCs w:val="13"/>
              </w:rPr>
            </w:pPr>
            <w:r w:rsidRPr="005F3CE7">
              <w:rPr>
                <w:rFonts w:cs="Arial"/>
                <w:b/>
                <w:bCs/>
                <w:color w:val="000000"/>
                <w:sz w:val="13"/>
                <w:szCs w:val="13"/>
              </w:rPr>
              <w:t>Συνολική Αποτίμηση</w:t>
            </w:r>
          </w:p>
        </w:tc>
      </w:tr>
      <w:tr w:rsidR="00A3206D" w:rsidRPr="0084637C" w14:paraId="5FF01525" w14:textId="77777777" w:rsidTr="00C91F10">
        <w:trPr>
          <w:trHeight w:val="225"/>
          <w:jc w:val="center"/>
        </w:trPr>
        <w:tc>
          <w:tcPr>
            <w:tcW w:w="541" w:type="pct"/>
            <w:tcBorders>
              <w:top w:val="single" w:sz="2" w:space="0" w:color="A6A6A6" w:themeColor="background1" w:themeShade="A6"/>
            </w:tcBorders>
            <w:shd w:val="clear" w:color="000000" w:fill="D9D9D9"/>
            <w:vAlign w:val="bottom"/>
            <w:hideMark/>
          </w:tcPr>
          <w:p w14:paraId="2E0E1AE1"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1001</w:t>
            </w:r>
          </w:p>
        </w:tc>
        <w:tc>
          <w:tcPr>
            <w:tcW w:w="1331" w:type="pct"/>
            <w:tcBorders>
              <w:top w:val="single" w:sz="2" w:space="0" w:color="A6A6A6" w:themeColor="background1" w:themeShade="A6"/>
            </w:tcBorders>
            <w:shd w:val="clear" w:color="000000" w:fill="D9D9D9"/>
            <w:vAlign w:val="bottom"/>
            <w:hideMark/>
          </w:tcPr>
          <w:p w14:paraId="6E29FD5B"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ΠΡΟΕΔΡΙΑ ΤΗΣ ΔΗΜΟΚΡΑΤΙΑΣ</w:t>
            </w:r>
          </w:p>
        </w:tc>
        <w:tc>
          <w:tcPr>
            <w:tcW w:w="857" w:type="pct"/>
            <w:tcBorders>
              <w:top w:val="single" w:sz="2" w:space="0" w:color="A6A6A6" w:themeColor="background1" w:themeShade="A6"/>
            </w:tcBorders>
            <w:shd w:val="clear" w:color="000000" w:fill="D9D9D9"/>
            <w:vAlign w:val="bottom"/>
            <w:hideMark/>
          </w:tcPr>
          <w:p w14:paraId="5BE9812C"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4.951.000,00 €</w:t>
            </w:r>
          </w:p>
        </w:tc>
        <w:tc>
          <w:tcPr>
            <w:tcW w:w="345" w:type="pct"/>
            <w:tcBorders>
              <w:top w:val="single" w:sz="2" w:space="0" w:color="A6A6A6" w:themeColor="background1" w:themeShade="A6"/>
            </w:tcBorders>
            <w:shd w:val="clear" w:color="000000" w:fill="D9D9D9"/>
            <w:vAlign w:val="bottom"/>
            <w:hideMark/>
          </w:tcPr>
          <w:p w14:paraId="280D4B3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tcBorders>
              <w:top w:val="single" w:sz="2" w:space="0" w:color="A6A6A6" w:themeColor="background1" w:themeShade="A6"/>
            </w:tcBorders>
            <w:shd w:val="clear" w:color="000000" w:fill="D9D9D9"/>
            <w:vAlign w:val="bottom"/>
            <w:hideMark/>
          </w:tcPr>
          <w:p w14:paraId="210BCC8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tcBorders>
              <w:top w:val="single" w:sz="2" w:space="0" w:color="A6A6A6" w:themeColor="background1" w:themeShade="A6"/>
            </w:tcBorders>
            <w:shd w:val="clear" w:color="000000" w:fill="D9D9D9"/>
            <w:vAlign w:val="bottom"/>
            <w:hideMark/>
          </w:tcPr>
          <w:p w14:paraId="5CB25CC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tcBorders>
              <w:top w:val="single" w:sz="2" w:space="0" w:color="A6A6A6" w:themeColor="background1" w:themeShade="A6"/>
            </w:tcBorders>
            <w:shd w:val="clear" w:color="000000" w:fill="D9D9D9"/>
            <w:vAlign w:val="bottom"/>
            <w:hideMark/>
          </w:tcPr>
          <w:p w14:paraId="419E93F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tcBorders>
              <w:top w:val="single" w:sz="2" w:space="0" w:color="A6A6A6" w:themeColor="background1" w:themeShade="A6"/>
            </w:tcBorders>
            <w:shd w:val="clear" w:color="000000" w:fill="D9D9D9"/>
            <w:vAlign w:val="bottom"/>
            <w:hideMark/>
          </w:tcPr>
          <w:p w14:paraId="7BA02C3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tcBorders>
              <w:top w:val="single" w:sz="2" w:space="0" w:color="A6A6A6" w:themeColor="background1" w:themeShade="A6"/>
            </w:tcBorders>
            <w:shd w:val="clear" w:color="000000" w:fill="D9D9D9"/>
            <w:vAlign w:val="bottom"/>
            <w:hideMark/>
          </w:tcPr>
          <w:p w14:paraId="4ACE56D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tcBorders>
              <w:top w:val="single" w:sz="2" w:space="0" w:color="A6A6A6" w:themeColor="background1" w:themeShade="A6"/>
            </w:tcBorders>
            <w:shd w:val="clear" w:color="000000" w:fill="D9D9D9"/>
            <w:vAlign w:val="bottom"/>
            <w:hideMark/>
          </w:tcPr>
          <w:p w14:paraId="68E6239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3BEC6ED3" w14:textId="77777777" w:rsidTr="00C91F10">
        <w:trPr>
          <w:trHeight w:val="450"/>
          <w:jc w:val="center"/>
        </w:trPr>
        <w:tc>
          <w:tcPr>
            <w:tcW w:w="541" w:type="pct"/>
            <w:shd w:val="clear" w:color="auto" w:fill="auto"/>
            <w:vAlign w:val="center"/>
            <w:hideMark/>
          </w:tcPr>
          <w:p w14:paraId="18681C9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01.1001.001</w:t>
            </w:r>
          </w:p>
        </w:tc>
        <w:tc>
          <w:tcPr>
            <w:tcW w:w="1331" w:type="pct"/>
            <w:shd w:val="clear" w:color="auto" w:fill="auto"/>
            <w:vAlign w:val="center"/>
            <w:hideMark/>
          </w:tcPr>
          <w:p w14:paraId="6D1E634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ΔΙΟΙΚΗΤΙΚΗ ΚΑΙ ΕΠΙΤΕΛΙΚΗ ΥΠΟΣΤΗΡΙΞΗ ΤΗΣ ΠΡΟΕΔΡΙΑΣ ΤΗΣ ΔΗΜΟΚΡΑΤΙΑΣ</w:t>
            </w:r>
          </w:p>
        </w:tc>
        <w:tc>
          <w:tcPr>
            <w:tcW w:w="857" w:type="pct"/>
            <w:shd w:val="clear" w:color="auto" w:fill="auto"/>
            <w:vAlign w:val="center"/>
            <w:hideMark/>
          </w:tcPr>
          <w:p w14:paraId="41D3E6D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4.951.000,00 €</w:t>
            </w:r>
          </w:p>
        </w:tc>
        <w:tc>
          <w:tcPr>
            <w:tcW w:w="345" w:type="pct"/>
            <w:shd w:val="clear" w:color="000000" w:fill="B7DEE8"/>
            <w:vAlign w:val="center"/>
            <w:hideMark/>
          </w:tcPr>
          <w:p w14:paraId="794AF78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C05FB4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C86F1D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FF7E33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3D5DF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EEDDAD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5F17A4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43EB3BA7" w14:textId="77777777" w:rsidTr="00C91F10">
        <w:trPr>
          <w:trHeight w:val="225"/>
          <w:jc w:val="center"/>
        </w:trPr>
        <w:tc>
          <w:tcPr>
            <w:tcW w:w="541" w:type="pct"/>
            <w:shd w:val="clear" w:color="000000" w:fill="D9D9D9"/>
            <w:vAlign w:val="center"/>
            <w:hideMark/>
          </w:tcPr>
          <w:p w14:paraId="7864729C"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1003</w:t>
            </w:r>
          </w:p>
        </w:tc>
        <w:tc>
          <w:tcPr>
            <w:tcW w:w="1331" w:type="pct"/>
            <w:shd w:val="clear" w:color="000000" w:fill="D9D9D9"/>
            <w:vAlign w:val="center"/>
            <w:hideMark/>
          </w:tcPr>
          <w:p w14:paraId="408DC255"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ΒΟΥΛΗ ΤΩΝ ΕΛΛΗΝΩΝ</w:t>
            </w:r>
          </w:p>
        </w:tc>
        <w:tc>
          <w:tcPr>
            <w:tcW w:w="857" w:type="pct"/>
            <w:shd w:val="clear" w:color="000000" w:fill="D9D9D9"/>
            <w:vAlign w:val="center"/>
            <w:hideMark/>
          </w:tcPr>
          <w:p w14:paraId="196513DE"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186.900.000,00 €</w:t>
            </w:r>
          </w:p>
        </w:tc>
        <w:tc>
          <w:tcPr>
            <w:tcW w:w="345" w:type="pct"/>
            <w:shd w:val="clear" w:color="000000" w:fill="D9D9D9"/>
            <w:vAlign w:val="bottom"/>
            <w:hideMark/>
          </w:tcPr>
          <w:p w14:paraId="55B7EF1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0C5BE4C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D9D9D9"/>
            <w:vAlign w:val="bottom"/>
            <w:hideMark/>
          </w:tcPr>
          <w:p w14:paraId="3C6377B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D9D9D9"/>
            <w:vAlign w:val="bottom"/>
            <w:hideMark/>
          </w:tcPr>
          <w:p w14:paraId="4EF4526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0E0A896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D9D9D9"/>
            <w:vAlign w:val="bottom"/>
            <w:hideMark/>
          </w:tcPr>
          <w:p w14:paraId="4546B0B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D9D9D9"/>
            <w:vAlign w:val="bottom"/>
            <w:hideMark/>
          </w:tcPr>
          <w:p w14:paraId="43F5B34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04B801D3" w14:textId="77777777" w:rsidTr="00C91F10">
        <w:trPr>
          <w:trHeight w:val="225"/>
          <w:jc w:val="center"/>
        </w:trPr>
        <w:tc>
          <w:tcPr>
            <w:tcW w:w="541" w:type="pct"/>
            <w:shd w:val="clear" w:color="auto" w:fill="auto"/>
            <w:vAlign w:val="center"/>
            <w:hideMark/>
          </w:tcPr>
          <w:p w14:paraId="325C4A7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01.1003.001</w:t>
            </w:r>
          </w:p>
        </w:tc>
        <w:tc>
          <w:tcPr>
            <w:tcW w:w="1331" w:type="pct"/>
            <w:shd w:val="clear" w:color="auto" w:fill="auto"/>
            <w:vAlign w:val="center"/>
            <w:hideMark/>
          </w:tcPr>
          <w:p w14:paraId="19A2689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ΚΟΙΝΟΒΟΥΛΕΥΤΙΚΟ ΕΡΓΟ</w:t>
            </w:r>
          </w:p>
        </w:tc>
        <w:tc>
          <w:tcPr>
            <w:tcW w:w="857" w:type="pct"/>
            <w:shd w:val="clear" w:color="auto" w:fill="auto"/>
            <w:vAlign w:val="center"/>
            <w:hideMark/>
          </w:tcPr>
          <w:p w14:paraId="06923D4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186.900.000,00 €</w:t>
            </w:r>
          </w:p>
        </w:tc>
        <w:tc>
          <w:tcPr>
            <w:tcW w:w="345" w:type="pct"/>
            <w:shd w:val="clear" w:color="000000" w:fill="C4D79B"/>
            <w:vAlign w:val="center"/>
            <w:hideMark/>
          </w:tcPr>
          <w:p w14:paraId="33455B8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6D6281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60CD859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478C21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5F18F3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7F1050B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2FF5D34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2F8B558" w14:textId="77777777" w:rsidTr="00C91F10">
        <w:trPr>
          <w:trHeight w:val="225"/>
          <w:jc w:val="center"/>
        </w:trPr>
        <w:tc>
          <w:tcPr>
            <w:tcW w:w="541" w:type="pct"/>
            <w:shd w:val="clear" w:color="000000" w:fill="D9D9D9"/>
            <w:vAlign w:val="center"/>
            <w:hideMark/>
          </w:tcPr>
          <w:p w14:paraId="222AAEC1"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1004</w:t>
            </w:r>
          </w:p>
        </w:tc>
        <w:tc>
          <w:tcPr>
            <w:tcW w:w="1331" w:type="pct"/>
            <w:shd w:val="clear" w:color="000000" w:fill="D9D9D9"/>
            <w:vAlign w:val="center"/>
            <w:hideMark/>
          </w:tcPr>
          <w:p w14:paraId="5A7EF74E"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ΠΡΟΕΔΡΙΑ ΤΗΣ ΚΥΒΕΡΝΗΣΗΣ</w:t>
            </w:r>
          </w:p>
        </w:tc>
        <w:tc>
          <w:tcPr>
            <w:tcW w:w="857" w:type="pct"/>
            <w:shd w:val="clear" w:color="000000" w:fill="D9D9D9"/>
            <w:vAlign w:val="center"/>
            <w:hideMark/>
          </w:tcPr>
          <w:p w14:paraId="53E25954"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45.905.000,00 €</w:t>
            </w:r>
          </w:p>
        </w:tc>
        <w:tc>
          <w:tcPr>
            <w:tcW w:w="345" w:type="pct"/>
            <w:shd w:val="clear" w:color="000000" w:fill="D9D9D9"/>
            <w:vAlign w:val="bottom"/>
            <w:hideMark/>
          </w:tcPr>
          <w:p w14:paraId="2D89DE3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1D1F5AC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D9D9D9"/>
            <w:vAlign w:val="bottom"/>
            <w:hideMark/>
          </w:tcPr>
          <w:p w14:paraId="56EB040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D9D9D9"/>
            <w:vAlign w:val="bottom"/>
            <w:hideMark/>
          </w:tcPr>
          <w:p w14:paraId="110631B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35AD598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D9D9D9"/>
            <w:vAlign w:val="bottom"/>
            <w:hideMark/>
          </w:tcPr>
          <w:p w14:paraId="564F433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D9D9D9"/>
            <w:vAlign w:val="bottom"/>
            <w:hideMark/>
          </w:tcPr>
          <w:p w14:paraId="39D1716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1BED7F52" w14:textId="77777777" w:rsidTr="00C91F10">
        <w:trPr>
          <w:trHeight w:val="450"/>
          <w:jc w:val="center"/>
        </w:trPr>
        <w:tc>
          <w:tcPr>
            <w:tcW w:w="541" w:type="pct"/>
            <w:shd w:val="clear" w:color="auto" w:fill="auto"/>
            <w:vAlign w:val="center"/>
            <w:hideMark/>
          </w:tcPr>
          <w:p w14:paraId="0A51AF8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01.1004.001</w:t>
            </w:r>
          </w:p>
        </w:tc>
        <w:tc>
          <w:tcPr>
            <w:tcW w:w="1331" w:type="pct"/>
            <w:shd w:val="clear" w:color="auto" w:fill="auto"/>
            <w:vAlign w:val="center"/>
            <w:hideMark/>
          </w:tcPr>
          <w:p w14:paraId="7AC7E7F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ΠΡΟΕΔΡΙΑΣ ΤΗΣ ΚΥΒΕΡΝΗΣΗΣ</w:t>
            </w:r>
          </w:p>
        </w:tc>
        <w:tc>
          <w:tcPr>
            <w:tcW w:w="857" w:type="pct"/>
            <w:shd w:val="clear" w:color="auto" w:fill="auto"/>
            <w:vAlign w:val="center"/>
            <w:hideMark/>
          </w:tcPr>
          <w:p w14:paraId="621A0C3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11.065.660,00 €</w:t>
            </w:r>
          </w:p>
        </w:tc>
        <w:tc>
          <w:tcPr>
            <w:tcW w:w="345" w:type="pct"/>
            <w:shd w:val="clear" w:color="000000" w:fill="C4D79B"/>
            <w:vAlign w:val="center"/>
            <w:hideMark/>
          </w:tcPr>
          <w:p w14:paraId="1C52DFE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264D04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6096029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5EE1E7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B12A8B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25E07D2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02F26B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624EDA4" w14:textId="77777777" w:rsidTr="00C91F10">
        <w:trPr>
          <w:trHeight w:val="225"/>
          <w:jc w:val="center"/>
        </w:trPr>
        <w:tc>
          <w:tcPr>
            <w:tcW w:w="541" w:type="pct"/>
            <w:shd w:val="clear" w:color="auto" w:fill="auto"/>
            <w:vAlign w:val="center"/>
            <w:hideMark/>
          </w:tcPr>
          <w:p w14:paraId="013A26C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01.1004.002</w:t>
            </w:r>
          </w:p>
        </w:tc>
        <w:tc>
          <w:tcPr>
            <w:tcW w:w="1331" w:type="pct"/>
            <w:shd w:val="clear" w:color="auto" w:fill="auto"/>
            <w:vAlign w:val="center"/>
            <w:hideMark/>
          </w:tcPr>
          <w:p w14:paraId="2EEEB72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ΣΥΝΤΟΝΙΣΜΟΣ ΚΥΒΕΡΝΗΤΙΚΟΥ ΕΡΓΟΥ</w:t>
            </w:r>
          </w:p>
        </w:tc>
        <w:tc>
          <w:tcPr>
            <w:tcW w:w="857" w:type="pct"/>
            <w:shd w:val="clear" w:color="auto" w:fill="auto"/>
            <w:vAlign w:val="center"/>
            <w:hideMark/>
          </w:tcPr>
          <w:p w14:paraId="16F412C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5.012.950,00 €</w:t>
            </w:r>
          </w:p>
        </w:tc>
        <w:tc>
          <w:tcPr>
            <w:tcW w:w="345" w:type="pct"/>
            <w:shd w:val="clear" w:color="000000" w:fill="B7DEE8"/>
            <w:vAlign w:val="center"/>
            <w:hideMark/>
          </w:tcPr>
          <w:p w14:paraId="2C804A1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0A66F7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C0EFF0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65AD3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570265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A7CDA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42DE530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46B92F4D" w14:textId="77777777" w:rsidTr="00C91F10">
        <w:trPr>
          <w:trHeight w:val="450"/>
          <w:jc w:val="center"/>
        </w:trPr>
        <w:tc>
          <w:tcPr>
            <w:tcW w:w="541" w:type="pct"/>
            <w:shd w:val="clear" w:color="auto" w:fill="auto"/>
            <w:vAlign w:val="center"/>
            <w:hideMark/>
          </w:tcPr>
          <w:p w14:paraId="31BD973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01.1004.003</w:t>
            </w:r>
          </w:p>
        </w:tc>
        <w:tc>
          <w:tcPr>
            <w:tcW w:w="1331" w:type="pct"/>
            <w:shd w:val="clear" w:color="auto" w:fill="auto"/>
            <w:vAlign w:val="center"/>
            <w:hideMark/>
          </w:tcPr>
          <w:p w14:paraId="515E6B9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ΣΥΝΟΧΗ ΚΑΙ ΣΥΝΤΟΝΙΣΜΟΣ ΝΟΜΟΠΑΡΑΣΚΕΥΑΣΤΙΚΗΣ ΔΙΑΔΙΚΑΣΙΑΣ</w:t>
            </w:r>
          </w:p>
        </w:tc>
        <w:tc>
          <w:tcPr>
            <w:tcW w:w="857" w:type="pct"/>
            <w:shd w:val="clear" w:color="auto" w:fill="auto"/>
            <w:vAlign w:val="center"/>
            <w:hideMark/>
          </w:tcPr>
          <w:p w14:paraId="2E51BD6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11.727.800,00 €</w:t>
            </w:r>
          </w:p>
        </w:tc>
        <w:tc>
          <w:tcPr>
            <w:tcW w:w="345" w:type="pct"/>
            <w:shd w:val="clear" w:color="000000" w:fill="C4D79B"/>
            <w:vAlign w:val="center"/>
            <w:hideMark/>
          </w:tcPr>
          <w:p w14:paraId="10DBA11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54C08BB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9BC851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504B3B4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712E880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2125884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7EAD34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4C5951F" w14:textId="77777777" w:rsidTr="00C91F10">
        <w:trPr>
          <w:trHeight w:val="450"/>
          <w:jc w:val="center"/>
        </w:trPr>
        <w:tc>
          <w:tcPr>
            <w:tcW w:w="541" w:type="pct"/>
            <w:shd w:val="clear" w:color="auto" w:fill="auto"/>
            <w:vAlign w:val="center"/>
            <w:hideMark/>
          </w:tcPr>
          <w:p w14:paraId="4958804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01.1004.004</w:t>
            </w:r>
          </w:p>
        </w:tc>
        <w:tc>
          <w:tcPr>
            <w:tcW w:w="1331" w:type="pct"/>
            <w:shd w:val="clear" w:color="auto" w:fill="auto"/>
            <w:vAlign w:val="center"/>
            <w:hideMark/>
          </w:tcPr>
          <w:p w14:paraId="633D0AF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ΣΥΝΤΟΝΙΣΜΟΣ ΚΥΒΕΡΝΗΤΙΚΩΝ ΔΡΑΣΕΩΝ ΣΕ ΘΕΜΑΤΑ ΕΘΝΙΚΗΣ ΑΣΦΑΛΕΙΑΣ</w:t>
            </w:r>
          </w:p>
        </w:tc>
        <w:tc>
          <w:tcPr>
            <w:tcW w:w="857" w:type="pct"/>
            <w:shd w:val="clear" w:color="auto" w:fill="auto"/>
            <w:vAlign w:val="center"/>
            <w:hideMark/>
          </w:tcPr>
          <w:p w14:paraId="37D9846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215.000,00 €</w:t>
            </w:r>
          </w:p>
        </w:tc>
        <w:tc>
          <w:tcPr>
            <w:tcW w:w="345" w:type="pct"/>
            <w:shd w:val="clear" w:color="000000" w:fill="B7DEE8"/>
            <w:vAlign w:val="center"/>
            <w:hideMark/>
          </w:tcPr>
          <w:p w14:paraId="2EB9873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E84FF0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F37A1C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446360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49338D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EF8F7A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040E60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529AA7A3" w14:textId="77777777" w:rsidTr="00C91F10">
        <w:trPr>
          <w:trHeight w:val="225"/>
          <w:jc w:val="center"/>
        </w:trPr>
        <w:tc>
          <w:tcPr>
            <w:tcW w:w="541" w:type="pct"/>
            <w:shd w:val="clear" w:color="auto" w:fill="auto"/>
            <w:vAlign w:val="center"/>
            <w:hideMark/>
          </w:tcPr>
          <w:p w14:paraId="5AF6CCC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08.1004.001</w:t>
            </w:r>
          </w:p>
        </w:tc>
        <w:tc>
          <w:tcPr>
            <w:tcW w:w="1331" w:type="pct"/>
            <w:shd w:val="clear" w:color="auto" w:fill="auto"/>
            <w:vAlign w:val="center"/>
            <w:hideMark/>
          </w:tcPr>
          <w:p w14:paraId="491A0A1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ΕΠΙΚΟΙΝΩΝΙΑ ΚΑΙ ΕΝΗΜΕΡΩΣΗ</w:t>
            </w:r>
          </w:p>
        </w:tc>
        <w:tc>
          <w:tcPr>
            <w:tcW w:w="857" w:type="pct"/>
            <w:shd w:val="clear" w:color="auto" w:fill="auto"/>
            <w:vAlign w:val="center"/>
            <w:hideMark/>
          </w:tcPr>
          <w:p w14:paraId="0702D9F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17.883.590,00 €</w:t>
            </w:r>
          </w:p>
        </w:tc>
        <w:tc>
          <w:tcPr>
            <w:tcW w:w="345" w:type="pct"/>
            <w:shd w:val="clear" w:color="000000" w:fill="B7DEE8"/>
            <w:vAlign w:val="center"/>
            <w:hideMark/>
          </w:tcPr>
          <w:p w14:paraId="1371CED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019320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1A1E0A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A3569C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5E26ABD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C4D79B"/>
            <w:vAlign w:val="center"/>
            <w:hideMark/>
          </w:tcPr>
          <w:p w14:paraId="0C9C113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5A4CE28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3ABF68D" w14:textId="77777777" w:rsidTr="00C91F10">
        <w:trPr>
          <w:trHeight w:val="225"/>
          <w:jc w:val="center"/>
        </w:trPr>
        <w:tc>
          <w:tcPr>
            <w:tcW w:w="541" w:type="pct"/>
            <w:shd w:val="clear" w:color="000000" w:fill="D9D9D9"/>
            <w:vAlign w:val="center"/>
            <w:hideMark/>
          </w:tcPr>
          <w:p w14:paraId="121DEF36"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1007</w:t>
            </w:r>
          </w:p>
        </w:tc>
        <w:tc>
          <w:tcPr>
            <w:tcW w:w="1331" w:type="pct"/>
            <w:shd w:val="clear" w:color="000000" w:fill="D9D9D9"/>
            <w:vAlign w:val="center"/>
            <w:hideMark/>
          </w:tcPr>
          <w:p w14:paraId="216E99AD"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ΕΣΩΤΕΡΙΚΩΝ</w:t>
            </w:r>
          </w:p>
        </w:tc>
        <w:tc>
          <w:tcPr>
            <w:tcW w:w="857" w:type="pct"/>
            <w:shd w:val="clear" w:color="000000" w:fill="D9D9D9"/>
            <w:vAlign w:val="center"/>
            <w:hideMark/>
          </w:tcPr>
          <w:p w14:paraId="2B0A3806"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4.163.668.000,00 €</w:t>
            </w:r>
          </w:p>
        </w:tc>
        <w:tc>
          <w:tcPr>
            <w:tcW w:w="345" w:type="pct"/>
            <w:shd w:val="clear" w:color="000000" w:fill="D9D9D9"/>
            <w:vAlign w:val="bottom"/>
            <w:hideMark/>
          </w:tcPr>
          <w:p w14:paraId="4213FE2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140A961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D9D9D9"/>
            <w:vAlign w:val="bottom"/>
            <w:hideMark/>
          </w:tcPr>
          <w:p w14:paraId="752D658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D9D9D9"/>
            <w:vAlign w:val="bottom"/>
            <w:hideMark/>
          </w:tcPr>
          <w:p w14:paraId="699C85B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34C3AF8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D9D9D9"/>
            <w:vAlign w:val="bottom"/>
            <w:hideMark/>
          </w:tcPr>
          <w:p w14:paraId="523292C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D9D9D9"/>
            <w:vAlign w:val="bottom"/>
            <w:hideMark/>
          </w:tcPr>
          <w:p w14:paraId="7935E55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5C954D29" w14:textId="77777777" w:rsidTr="00C91F10">
        <w:trPr>
          <w:trHeight w:val="450"/>
          <w:jc w:val="center"/>
        </w:trPr>
        <w:tc>
          <w:tcPr>
            <w:tcW w:w="541" w:type="pct"/>
            <w:shd w:val="clear" w:color="auto" w:fill="auto"/>
            <w:vAlign w:val="center"/>
            <w:hideMark/>
          </w:tcPr>
          <w:p w14:paraId="171E3EB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01.1007.001</w:t>
            </w:r>
          </w:p>
        </w:tc>
        <w:tc>
          <w:tcPr>
            <w:tcW w:w="1331" w:type="pct"/>
            <w:shd w:val="clear" w:color="auto" w:fill="auto"/>
            <w:vAlign w:val="center"/>
            <w:hideMark/>
          </w:tcPr>
          <w:p w14:paraId="7E57BA0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ΕΣΩΤΕΡΙΚΩΝ</w:t>
            </w:r>
          </w:p>
        </w:tc>
        <w:tc>
          <w:tcPr>
            <w:tcW w:w="857" w:type="pct"/>
            <w:shd w:val="clear" w:color="auto" w:fill="auto"/>
            <w:vAlign w:val="center"/>
            <w:hideMark/>
          </w:tcPr>
          <w:p w14:paraId="0687B0E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48.751.499,80 €</w:t>
            </w:r>
          </w:p>
        </w:tc>
        <w:tc>
          <w:tcPr>
            <w:tcW w:w="345" w:type="pct"/>
            <w:shd w:val="clear" w:color="000000" w:fill="B7DEE8"/>
            <w:vAlign w:val="center"/>
            <w:hideMark/>
          </w:tcPr>
          <w:p w14:paraId="1E9B319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2CB32B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86693A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23AD4A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5FC7E2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280918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595CEA4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3B8A7BF0" w14:textId="77777777" w:rsidTr="00C91F10">
        <w:trPr>
          <w:trHeight w:val="450"/>
          <w:jc w:val="center"/>
        </w:trPr>
        <w:tc>
          <w:tcPr>
            <w:tcW w:w="541" w:type="pct"/>
            <w:shd w:val="clear" w:color="auto" w:fill="auto"/>
            <w:vAlign w:val="center"/>
            <w:hideMark/>
          </w:tcPr>
          <w:p w14:paraId="66BDF8C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01.1007.002</w:t>
            </w:r>
          </w:p>
        </w:tc>
        <w:tc>
          <w:tcPr>
            <w:tcW w:w="1331" w:type="pct"/>
            <w:shd w:val="clear" w:color="auto" w:fill="auto"/>
            <w:vAlign w:val="center"/>
            <w:hideMark/>
          </w:tcPr>
          <w:p w14:paraId="20FDF72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ΣΧΕΔΙΑΣΜΟΣ ΚΑΙ ΥΛΟΠΟΙΗΣΗ ΠΟΛΙΤΙΚΩΝ ΙΘΑΓΕΝΕΙΑΣ</w:t>
            </w:r>
          </w:p>
        </w:tc>
        <w:tc>
          <w:tcPr>
            <w:tcW w:w="857" w:type="pct"/>
            <w:shd w:val="clear" w:color="auto" w:fill="auto"/>
            <w:vAlign w:val="center"/>
            <w:hideMark/>
          </w:tcPr>
          <w:p w14:paraId="49FFA5F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17.920.600,00 €</w:t>
            </w:r>
          </w:p>
        </w:tc>
        <w:tc>
          <w:tcPr>
            <w:tcW w:w="345" w:type="pct"/>
            <w:shd w:val="clear" w:color="000000" w:fill="B7DEE8"/>
            <w:vAlign w:val="center"/>
            <w:hideMark/>
          </w:tcPr>
          <w:p w14:paraId="6F8E551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263FA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08806D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D7A5BA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A1A62A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147130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EB1F17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655D3DE" w14:textId="77777777" w:rsidTr="00C91F10">
        <w:trPr>
          <w:trHeight w:val="450"/>
          <w:jc w:val="center"/>
        </w:trPr>
        <w:tc>
          <w:tcPr>
            <w:tcW w:w="541" w:type="pct"/>
            <w:shd w:val="clear" w:color="auto" w:fill="auto"/>
            <w:vAlign w:val="center"/>
            <w:hideMark/>
          </w:tcPr>
          <w:p w14:paraId="4AC1881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01.1007.003</w:t>
            </w:r>
          </w:p>
        </w:tc>
        <w:tc>
          <w:tcPr>
            <w:tcW w:w="1331" w:type="pct"/>
            <w:shd w:val="clear" w:color="auto" w:fill="auto"/>
            <w:vAlign w:val="center"/>
            <w:hideMark/>
          </w:tcPr>
          <w:p w14:paraId="7D8FD03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ΑΝΘΡΩΠΙΝΟ ΔΥΝΑΜΙΚΟ ΔΗΜΟΣΙΟΥ ΤΟΜΕΑ ΚΑΙ ΕΚΣΥΧΡΟΝΙΣΜΟΣ ΔΗΜΟΣΙΩΝ ΟΡΓΑΝΩΣΕΩΝ</w:t>
            </w:r>
          </w:p>
        </w:tc>
        <w:tc>
          <w:tcPr>
            <w:tcW w:w="857" w:type="pct"/>
            <w:shd w:val="clear" w:color="auto" w:fill="auto"/>
            <w:vAlign w:val="center"/>
            <w:hideMark/>
          </w:tcPr>
          <w:p w14:paraId="1134E99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22.626.485,10 €</w:t>
            </w:r>
          </w:p>
        </w:tc>
        <w:tc>
          <w:tcPr>
            <w:tcW w:w="345" w:type="pct"/>
            <w:shd w:val="clear" w:color="000000" w:fill="B7DEE8"/>
            <w:vAlign w:val="center"/>
            <w:hideMark/>
          </w:tcPr>
          <w:p w14:paraId="35F109B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B0E612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1B1434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86E99E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61281F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0F11AF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348CBDB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3468DB93" w14:textId="77777777" w:rsidTr="00C91F10">
        <w:trPr>
          <w:trHeight w:val="225"/>
          <w:jc w:val="center"/>
        </w:trPr>
        <w:tc>
          <w:tcPr>
            <w:tcW w:w="541" w:type="pct"/>
            <w:shd w:val="clear" w:color="auto" w:fill="auto"/>
            <w:vAlign w:val="center"/>
            <w:hideMark/>
          </w:tcPr>
          <w:p w14:paraId="75ADB7B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01.1007.004</w:t>
            </w:r>
          </w:p>
        </w:tc>
        <w:tc>
          <w:tcPr>
            <w:tcW w:w="1331" w:type="pct"/>
            <w:shd w:val="clear" w:color="auto" w:fill="auto"/>
            <w:vAlign w:val="center"/>
            <w:hideMark/>
          </w:tcPr>
          <w:p w14:paraId="246D35E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ΕΠΙΛΟΓΗ ΠΡΟΣΩΠΙΚΟΥ ΣΤΟ ΔΗΜΟΣΙΟ ΤΟΜΕΑ</w:t>
            </w:r>
          </w:p>
        </w:tc>
        <w:tc>
          <w:tcPr>
            <w:tcW w:w="857" w:type="pct"/>
            <w:shd w:val="clear" w:color="auto" w:fill="auto"/>
            <w:vAlign w:val="center"/>
            <w:hideMark/>
          </w:tcPr>
          <w:p w14:paraId="0CB8C94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20.406.800,00 €</w:t>
            </w:r>
          </w:p>
        </w:tc>
        <w:tc>
          <w:tcPr>
            <w:tcW w:w="345" w:type="pct"/>
            <w:shd w:val="clear" w:color="000000" w:fill="B7DEE8"/>
            <w:vAlign w:val="center"/>
            <w:hideMark/>
          </w:tcPr>
          <w:p w14:paraId="280ED97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CB9DCA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1521F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68973C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22B2FA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DCEC5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07D5D1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011CF49A" w14:textId="77777777" w:rsidTr="00C91F10">
        <w:trPr>
          <w:trHeight w:val="450"/>
          <w:jc w:val="center"/>
        </w:trPr>
        <w:tc>
          <w:tcPr>
            <w:tcW w:w="541" w:type="pct"/>
            <w:shd w:val="clear" w:color="auto" w:fill="auto"/>
            <w:vAlign w:val="center"/>
            <w:hideMark/>
          </w:tcPr>
          <w:p w14:paraId="35BC744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lastRenderedPageBreak/>
              <w:t>01.1007.005</w:t>
            </w:r>
          </w:p>
        </w:tc>
        <w:tc>
          <w:tcPr>
            <w:tcW w:w="1331" w:type="pct"/>
            <w:shd w:val="clear" w:color="auto" w:fill="auto"/>
            <w:vAlign w:val="center"/>
            <w:hideMark/>
          </w:tcPr>
          <w:p w14:paraId="19C6053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ΑΝΑΠΤΥΞΗ ΚΑΙ ΕΝΔΥΝΑΜΩΣΗ ΑΝΘΡΩΠΙΝΟΥ ΔΥΝΑΜΙΚΟΥ ΔΗΜΟΣΙΟΥ ΤΟΜΕΑ</w:t>
            </w:r>
          </w:p>
        </w:tc>
        <w:tc>
          <w:tcPr>
            <w:tcW w:w="857" w:type="pct"/>
            <w:shd w:val="clear" w:color="auto" w:fill="auto"/>
            <w:vAlign w:val="center"/>
            <w:hideMark/>
          </w:tcPr>
          <w:p w14:paraId="5CC2C9A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19.896.508,50 €</w:t>
            </w:r>
          </w:p>
        </w:tc>
        <w:tc>
          <w:tcPr>
            <w:tcW w:w="345" w:type="pct"/>
            <w:shd w:val="clear" w:color="000000" w:fill="C4D79B"/>
            <w:vAlign w:val="center"/>
            <w:hideMark/>
          </w:tcPr>
          <w:p w14:paraId="37BEC7C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D02513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4CF3835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3502E6A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B56FE5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6368247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D4D149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AB69884" w14:textId="77777777" w:rsidTr="00C91F10">
        <w:trPr>
          <w:trHeight w:val="225"/>
          <w:jc w:val="center"/>
        </w:trPr>
        <w:tc>
          <w:tcPr>
            <w:tcW w:w="541" w:type="pct"/>
            <w:shd w:val="clear" w:color="auto" w:fill="auto"/>
            <w:vAlign w:val="center"/>
            <w:hideMark/>
          </w:tcPr>
          <w:p w14:paraId="4EE06D7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01.1007.006</w:t>
            </w:r>
          </w:p>
        </w:tc>
        <w:tc>
          <w:tcPr>
            <w:tcW w:w="1331" w:type="pct"/>
            <w:shd w:val="clear" w:color="auto" w:fill="auto"/>
            <w:vAlign w:val="center"/>
            <w:hideMark/>
          </w:tcPr>
          <w:p w14:paraId="12D37C6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ΔΙΑΦΑΝΕΙΑ ΚΑΙ ΣΧΕΣΕΙΣ ΜΕ ΤΟΝ ΠΟΛΙΤΗ</w:t>
            </w:r>
          </w:p>
        </w:tc>
        <w:tc>
          <w:tcPr>
            <w:tcW w:w="857" w:type="pct"/>
            <w:shd w:val="clear" w:color="auto" w:fill="auto"/>
            <w:vAlign w:val="center"/>
            <w:hideMark/>
          </w:tcPr>
          <w:p w14:paraId="5658D72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8.289.000,00 €</w:t>
            </w:r>
          </w:p>
        </w:tc>
        <w:tc>
          <w:tcPr>
            <w:tcW w:w="345" w:type="pct"/>
            <w:shd w:val="clear" w:color="000000" w:fill="B7DEE8"/>
            <w:vAlign w:val="center"/>
            <w:hideMark/>
          </w:tcPr>
          <w:p w14:paraId="2943F66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F50761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CCFB5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772416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5448AE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190878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50ABD27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725BE1E5" w14:textId="77777777" w:rsidTr="00C91F10">
        <w:trPr>
          <w:trHeight w:val="450"/>
          <w:jc w:val="center"/>
        </w:trPr>
        <w:tc>
          <w:tcPr>
            <w:tcW w:w="541" w:type="pct"/>
            <w:shd w:val="clear" w:color="auto" w:fill="auto"/>
            <w:vAlign w:val="center"/>
            <w:hideMark/>
          </w:tcPr>
          <w:p w14:paraId="7A05E60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01.1007.007</w:t>
            </w:r>
          </w:p>
        </w:tc>
        <w:tc>
          <w:tcPr>
            <w:tcW w:w="1331" w:type="pct"/>
            <w:shd w:val="clear" w:color="auto" w:fill="auto"/>
            <w:vAlign w:val="center"/>
            <w:hideMark/>
          </w:tcPr>
          <w:p w14:paraId="4F559D5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ΕΛΕΓΧΟΣ ΑΚΕΡΑΙΟΤΗΤΑ ΚΑΙ ΔΗΜΟΣΙΑ ΛΟΓΟΔΟΣΙΑ</w:t>
            </w:r>
          </w:p>
        </w:tc>
        <w:tc>
          <w:tcPr>
            <w:tcW w:w="857" w:type="pct"/>
            <w:shd w:val="clear" w:color="auto" w:fill="auto"/>
            <w:vAlign w:val="center"/>
            <w:hideMark/>
          </w:tcPr>
          <w:p w14:paraId="2281D88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12.452.800,00 €</w:t>
            </w:r>
          </w:p>
        </w:tc>
        <w:tc>
          <w:tcPr>
            <w:tcW w:w="345" w:type="pct"/>
            <w:shd w:val="clear" w:color="000000" w:fill="C4D79B"/>
            <w:vAlign w:val="center"/>
            <w:hideMark/>
          </w:tcPr>
          <w:p w14:paraId="6A5C05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74B557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501A93E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6A86D9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6820D6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664A164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4346133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19105958" w14:textId="77777777" w:rsidTr="00C91F10">
        <w:trPr>
          <w:trHeight w:val="225"/>
          <w:jc w:val="center"/>
        </w:trPr>
        <w:tc>
          <w:tcPr>
            <w:tcW w:w="541" w:type="pct"/>
            <w:shd w:val="clear" w:color="auto" w:fill="auto"/>
            <w:vAlign w:val="center"/>
            <w:hideMark/>
          </w:tcPr>
          <w:p w14:paraId="49F601E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01.1007.008</w:t>
            </w:r>
          </w:p>
        </w:tc>
        <w:tc>
          <w:tcPr>
            <w:tcW w:w="1331" w:type="pct"/>
            <w:shd w:val="clear" w:color="auto" w:fill="auto"/>
            <w:vAlign w:val="center"/>
            <w:hideMark/>
          </w:tcPr>
          <w:p w14:paraId="7DB2FFF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ΕΚΛΟΓΕΣ-ΠΟΛΙΤΙΚΑ ΚΟΜΜΑΤΑ</w:t>
            </w:r>
          </w:p>
        </w:tc>
        <w:tc>
          <w:tcPr>
            <w:tcW w:w="857" w:type="pct"/>
            <w:shd w:val="clear" w:color="auto" w:fill="auto"/>
            <w:vAlign w:val="center"/>
            <w:hideMark/>
          </w:tcPr>
          <w:p w14:paraId="5712576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44.373.944,00 €</w:t>
            </w:r>
          </w:p>
        </w:tc>
        <w:tc>
          <w:tcPr>
            <w:tcW w:w="345" w:type="pct"/>
            <w:shd w:val="clear" w:color="000000" w:fill="B7DEE8"/>
            <w:vAlign w:val="center"/>
            <w:hideMark/>
          </w:tcPr>
          <w:p w14:paraId="75B119D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639F34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836A31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31A867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BA53B0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CD747E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9EF36A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57314DA" w14:textId="77777777" w:rsidTr="00C91F10">
        <w:trPr>
          <w:trHeight w:val="675"/>
          <w:jc w:val="center"/>
        </w:trPr>
        <w:tc>
          <w:tcPr>
            <w:tcW w:w="541" w:type="pct"/>
            <w:shd w:val="clear" w:color="auto" w:fill="auto"/>
            <w:vAlign w:val="center"/>
            <w:hideMark/>
          </w:tcPr>
          <w:p w14:paraId="2340530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01.1007.009</w:t>
            </w:r>
          </w:p>
        </w:tc>
        <w:tc>
          <w:tcPr>
            <w:tcW w:w="1331" w:type="pct"/>
            <w:shd w:val="clear" w:color="auto" w:fill="auto"/>
            <w:vAlign w:val="center"/>
            <w:hideMark/>
          </w:tcPr>
          <w:p w14:paraId="75BEB12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ΨΗΦΙΟΠΟΙΗΣΗ ΚΑΙ ΑΠΛΟΥΣΤΕΥΣΗ ΔΙΑΔΙΚΑΣΙΩΝ-ΑΝΑΒΑΘΜΙΣΗ ΕΞΥΠΗΡΕΤΗΣΗΣ ΠΟΛΙΤΩΝ ΑΠΟ ΤΑ ΚΕΠ</w:t>
            </w:r>
          </w:p>
        </w:tc>
        <w:tc>
          <w:tcPr>
            <w:tcW w:w="857" w:type="pct"/>
            <w:shd w:val="clear" w:color="auto" w:fill="auto"/>
            <w:vAlign w:val="center"/>
            <w:hideMark/>
          </w:tcPr>
          <w:p w14:paraId="2F9FDF9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36.778.362,60 €</w:t>
            </w:r>
          </w:p>
        </w:tc>
        <w:tc>
          <w:tcPr>
            <w:tcW w:w="345" w:type="pct"/>
            <w:shd w:val="clear" w:color="000000" w:fill="C4D79B"/>
            <w:vAlign w:val="center"/>
            <w:hideMark/>
          </w:tcPr>
          <w:p w14:paraId="23509DD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6C2E9C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E8EB65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3F5A23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215CC87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7F831E5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6430211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F14E4E5" w14:textId="77777777" w:rsidTr="00C91F10">
        <w:trPr>
          <w:trHeight w:val="225"/>
          <w:jc w:val="center"/>
        </w:trPr>
        <w:tc>
          <w:tcPr>
            <w:tcW w:w="541" w:type="pct"/>
            <w:shd w:val="clear" w:color="auto" w:fill="auto"/>
            <w:vAlign w:val="center"/>
            <w:hideMark/>
          </w:tcPr>
          <w:p w14:paraId="4AF3B55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12.1007.001</w:t>
            </w:r>
          </w:p>
        </w:tc>
        <w:tc>
          <w:tcPr>
            <w:tcW w:w="1331" w:type="pct"/>
            <w:shd w:val="clear" w:color="auto" w:fill="auto"/>
            <w:vAlign w:val="center"/>
            <w:hideMark/>
          </w:tcPr>
          <w:p w14:paraId="028031F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ΕΝΙΣΧΥΣΗ ΤΟΠΙΚΗΣ ΑΝΑΠΤΥΞΗΣ</w:t>
            </w:r>
          </w:p>
        </w:tc>
        <w:tc>
          <w:tcPr>
            <w:tcW w:w="857" w:type="pct"/>
            <w:shd w:val="clear" w:color="auto" w:fill="auto"/>
            <w:vAlign w:val="center"/>
            <w:hideMark/>
          </w:tcPr>
          <w:p w14:paraId="0B0940B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3.932.172.000,00 €</w:t>
            </w:r>
          </w:p>
        </w:tc>
        <w:tc>
          <w:tcPr>
            <w:tcW w:w="345" w:type="pct"/>
            <w:shd w:val="clear" w:color="000000" w:fill="C4D79B"/>
            <w:vAlign w:val="center"/>
            <w:hideMark/>
          </w:tcPr>
          <w:p w14:paraId="7D03CB7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15A0E2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58310E4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6CFE8C9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7C6571C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5ACA93D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28959F8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ECB1D51" w14:textId="77777777" w:rsidTr="00C91F10">
        <w:trPr>
          <w:trHeight w:val="225"/>
          <w:jc w:val="center"/>
        </w:trPr>
        <w:tc>
          <w:tcPr>
            <w:tcW w:w="541" w:type="pct"/>
            <w:shd w:val="clear" w:color="000000" w:fill="D9D9D9"/>
            <w:vAlign w:val="center"/>
            <w:hideMark/>
          </w:tcPr>
          <w:p w14:paraId="2F9DCE2E"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1009</w:t>
            </w:r>
          </w:p>
        </w:tc>
        <w:tc>
          <w:tcPr>
            <w:tcW w:w="1331" w:type="pct"/>
            <w:shd w:val="clear" w:color="000000" w:fill="D9D9D9"/>
            <w:vAlign w:val="center"/>
            <w:hideMark/>
          </w:tcPr>
          <w:p w14:paraId="53FB7BE6"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ΕΞΩΤΕΡΙΚΩΝ</w:t>
            </w:r>
          </w:p>
        </w:tc>
        <w:tc>
          <w:tcPr>
            <w:tcW w:w="857" w:type="pct"/>
            <w:shd w:val="clear" w:color="000000" w:fill="D9D9D9"/>
            <w:vAlign w:val="center"/>
            <w:hideMark/>
          </w:tcPr>
          <w:p w14:paraId="71CD0171"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483.237.000,00 €</w:t>
            </w:r>
          </w:p>
        </w:tc>
        <w:tc>
          <w:tcPr>
            <w:tcW w:w="345" w:type="pct"/>
            <w:shd w:val="clear" w:color="000000" w:fill="D9D9D9"/>
            <w:vAlign w:val="bottom"/>
            <w:hideMark/>
          </w:tcPr>
          <w:p w14:paraId="60BD328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554937A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D9D9D9"/>
            <w:vAlign w:val="bottom"/>
            <w:hideMark/>
          </w:tcPr>
          <w:p w14:paraId="74E8886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D9D9D9"/>
            <w:vAlign w:val="bottom"/>
            <w:hideMark/>
          </w:tcPr>
          <w:p w14:paraId="17C60B5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23AD274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D9D9D9"/>
            <w:vAlign w:val="bottom"/>
            <w:hideMark/>
          </w:tcPr>
          <w:p w14:paraId="44C8842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D9D9D9"/>
            <w:vAlign w:val="bottom"/>
            <w:hideMark/>
          </w:tcPr>
          <w:p w14:paraId="5B823F8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6229946A" w14:textId="77777777" w:rsidTr="00C91F10">
        <w:trPr>
          <w:trHeight w:val="450"/>
          <w:jc w:val="center"/>
        </w:trPr>
        <w:tc>
          <w:tcPr>
            <w:tcW w:w="541" w:type="pct"/>
            <w:shd w:val="clear" w:color="auto" w:fill="auto"/>
            <w:vAlign w:val="center"/>
            <w:hideMark/>
          </w:tcPr>
          <w:p w14:paraId="4130840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01.1009.001</w:t>
            </w:r>
          </w:p>
        </w:tc>
        <w:tc>
          <w:tcPr>
            <w:tcW w:w="1331" w:type="pct"/>
            <w:shd w:val="clear" w:color="auto" w:fill="auto"/>
            <w:vAlign w:val="center"/>
            <w:hideMark/>
          </w:tcPr>
          <w:p w14:paraId="7D45744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ΕΞΩΤΕΡΙΚΩΝ</w:t>
            </w:r>
          </w:p>
        </w:tc>
        <w:tc>
          <w:tcPr>
            <w:tcW w:w="857" w:type="pct"/>
            <w:shd w:val="clear" w:color="auto" w:fill="auto"/>
            <w:vAlign w:val="center"/>
            <w:hideMark/>
          </w:tcPr>
          <w:p w14:paraId="6C89C38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24.601.920,00 €</w:t>
            </w:r>
          </w:p>
        </w:tc>
        <w:tc>
          <w:tcPr>
            <w:tcW w:w="345" w:type="pct"/>
            <w:shd w:val="clear" w:color="000000" w:fill="C4D79B"/>
            <w:vAlign w:val="center"/>
            <w:hideMark/>
          </w:tcPr>
          <w:p w14:paraId="7C1F94E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2A0EB1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267A49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6D227A3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EB77AC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FED11C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4D107E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A2AD929" w14:textId="77777777" w:rsidTr="00C91F10">
        <w:trPr>
          <w:trHeight w:val="225"/>
          <w:jc w:val="center"/>
        </w:trPr>
        <w:tc>
          <w:tcPr>
            <w:tcW w:w="541" w:type="pct"/>
            <w:shd w:val="clear" w:color="auto" w:fill="auto"/>
            <w:vAlign w:val="center"/>
            <w:hideMark/>
          </w:tcPr>
          <w:p w14:paraId="702FA2B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01.1009.002</w:t>
            </w:r>
          </w:p>
        </w:tc>
        <w:tc>
          <w:tcPr>
            <w:tcW w:w="1331" w:type="pct"/>
            <w:shd w:val="clear" w:color="auto" w:fill="auto"/>
            <w:vAlign w:val="center"/>
            <w:hideMark/>
          </w:tcPr>
          <w:p w14:paraId="6E830CA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ΔΙΕΘΝΕΙΣ ΟΙΚΟΝΟΜΙΚΕΣ ΚΑΙ ΕΜΠΟΡΙΚΕΣ ΣΧΕΣΕΙΣ</w:t>
            </w:r>
          </w:p>
        </w:tc>
        <w:tc>
          <w:tcPr>
            <w:tcW w:w="857" w:type="pct"/>
            <w:shd w:val="clear" w:color="auto" w:fill="auto"/>
            <w:vAlign w:val="center"/>
            <w:hideMark/>
          </w:tcPr>
          <w:p w14:paraId="3488E3A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71.279.850,00 €</w:t>
            </w:r>
          </w:p>
        </w:tc>
        <w:tc>
          <w:tcPr>
            <w:tcW w:w="345" w:type="pct"/>
            <w:shd w:val="clear" w:color="000000" w:fill="B7DEE8"/>
            <w:vAlign w:val="center"/>
            <w:hideMark/>
          </w:tcPr>
          <w:p w14:paraId="0291F25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40B56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201D38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B1DA66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B85C9F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6A2991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46D811A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512A65C0" w14:textId="77777777" w:rsidTr="00C91F10">
        <w:trPr>
          <w:trHeight w:val="450"/>
          <w:jc w:val="center"/>
        </w:trPr>
        <w:tc>
          <w:tcPr>
            <w:tcW w:w="541" w:type="pct"/>
            <w:shd w:val="clear" w:color="auto" w:fill="auto"/>
            <w:vAlign w:val="center"/>
            <w:hideMark/>
          </w:tcPr>
          <w:p w14:paraId="08D9E66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01.1009.003</w:t>
            </w:r>
          </w:p>
        </w:tc>
        <w:tc>
          <w:tcPr>
            <w:tcW w:w="1331" w:type="pct"/>
            <w:shd w:val="clear" w:color="auto" w:fill="auto"/>
            <w:vAlign w:val="center"/>
            <w:hideMark/>
          </w:tcPr>
          <w:p w14:paraId="2A6864C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ΔΙΠΛΩΜΑΤΙΚΕΣ ΑΡΧΕΣ-ΠΡΟΩΘΗΣΗ ΕΛΛΗΝΙΚΩΝ ΣΥΜΦΕΡΟΝΤΩΝ</w:t>
            </w:r>
          </w:p>
        </w:tc>
        <w:tc>
          <w:tcPr>
            <w:tcW w:w="857" w:type="pct"/>
            <w:shd w:val="clear" w:color="auto" w:fill="auto"/>
            <w:vAlign w:val="center"/>
            <w:hideMark/>
          </w:tcPr>
          <w:p w14:paraId="01EE964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363.434.540,00 €</w:t>
            </w:r>
          </w:p>
        </w:tc>
        <w:tc>
          <w:tcPr>
            <w:tcW w:w="345" w:type="pct"/>
            <w:shd w:val="clear" w:color="000000" w:fill="B7DEE8"/>
            <w:vAlign w:val="center"/>
            <w:hideMark/>
          </w:tcPr>
          <w:p w14:paraId="390740C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64C4A1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7C234C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106ED45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6D5BE1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0EB3F9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BF2802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8DF15B8" w14:textId="77777777" w:rsidTr="00C91F10">
        <w:trPr>
          <w:trHeight w:val="419"/>
          <w:jc w:val="center"/>
        </w:trPr>
        <w:tc>
          <w:tcPr>
            <w:tcW w:w="541" w:type="pct"/>
            <w:shd w:val="clear" w:color="auto" w:fill="auto"/>
            <w:vAlign w:val="center"/>
            <w:hideMark/>
          </w:tcPr>
          <w:p w14:paraId="628E690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01.1009.004</w:t>
            </w:r>
          </w:p>
        </w:tc>
        <w:tc>
          <w:tcPr>
            <w:tcW w:w="1331" w:type="pct"/>
            <w:shd w:val="clear" w:color="auto" w:fill="auto"/>
            <w:vAlign w:val="center"/>
            <w:hideMark/>
          </w:tcPr>
          <w:p w14:paraId="0C5F985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ΑΠΟΔΗΜΟΣ ΕΛΛΗΝΙΣΜΟΣ</w:t>
            </w:r>
          </w:p>
        </w:tc>
        <w:tc>
          <w:tcPr>
            <w:tcW w:w="857" w:type="pct"/>
            <w:shd w:val="clear" w:color="auto" w:fill="auto"/>
            <w:vAlign w:val="center"/>
            <w:hideMark/>
          </w:tcPr>
          <w:p w14:paraId="4A6526C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21.849.860,00 €</w:t>
            </w:r>
          </w:p>
        </w:tc>
        <w:tc>
          <w:tcPr>
            <w:tcW w:w="345" w:type="pct"/>
            <w:shd w:val="clear" w:color="000000" w:fill="B7DEE8"/>
            <w:vAlign w:val="center"/>
            <w:hideMark/>
          </w:tcPr>
          <w:p w14:paraId="258DE8A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0231D4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E26A84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C13495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AF197C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1595D5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C5F236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79294FC6" w14:textId="77777777" w:rsidTr="00C91F10">
        <w:trPr>
          <w:trHeight w:val="675"/>
          <w:jc w:val="center"/>
        </w:trPr>
        <w:tc>
          <w:tcPr>
            <w:tcW w:w="541" w:type="pct"/>
            <w:shd w:val="clear" w:color="auto" w:fill="auto"/>
            <w:vAlign w:val="center"/>
            <w:hideMark/>
          </w:tcPr>
          <w:p w14:paraId="4150F6E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09.1009.001</w:t>
            </w:r>
          </w:p>
        </w:tc>
        <w:tc>
          <w:tcPr>
            <w:tcW w:w="1331" w:type="pct"/>
            <w:shd w:val="clear" w:color="auto" w:fill="auto"/>
            <w:vAlign w:val="center"/>
            <w:hideMark/>
          </w:tcPr>
          <w:p w14:paraId="5A1CEB8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ΕΛΛΗΝΙΚΗ ΔΙΠΛΩΜΑΤΙΚΗ ΑΚΑΔΗΜΙΑ-ΕΚΠΑΙΔΕΥΣΗ ΚΑΙ ΑΝΑΠΤΥΞΗ ΑΝΘΡΩΠΙΝΩΝ ΠΟΡΩΝ</w:t>
            </w:r>
          </w:p>
        </w:tc>
        <w:tc>
          <w:tcPr>
            <w:tcW w:w="857" w:type="pct"/>
            <w:shd w:val="clear" w:color="auto" w:fill="auto"/>
            <w:vAlign w:val="center"/>
            <w:hideMark/>
          </w:tcPr>
          <w:p w14:paraId="2285BF8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2.070.830,00 €</w:t>
            </w:r>
          </w:p>
        </w:tc>
        <w:tc>
          <w:tcPr>
            <w:tcW w:w="345" w:type="pct"/>
            <w:shd w:val="clear" w:color="000000" w:fill="B7DEE8"/>
            <w:vAlign w:val="center"/>
            <w:hideMark/>
          </w:tcPr>
          <w:p w14:paraId="0010FA6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662236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DF4B07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F226D0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6BD1D9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0256D0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46D51F9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524D3B7D" w14:textId="77777777" w:rsidTr="00C91F10">
        <w:trPr>
          <w:trHeight w:val="225"/>
          <w:jc w:val="center"/>
        </w:trPr>
        <w:tc>
          <w:tcPr>
            <w:tcW w:w="541" w:type="pct"/>
            <w:shd w:val="clear" w:color="000000" w:fill="D9D9D9"/>
            <w:vAlign w:val="center"/>
            <w:hideMark/>
          </w:tcPr>
          <w:p w14:paraId="40E6450F"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1011</w:t>
            </w:r>
          </w:p>
        </w:tc>
        <w:tc>
          <w:tcPr>
            <w:tcW w:w="1331" w:type="pct"/>
            <w:shd w:val="clear" w:color="000000" w:fill="D9D9D9"/>
            <w:vAlign w:val="center"/>
            <w:hideMark/>
          </w:tcPr>
          <w:p w14:paraId="5CF41A1A"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ΕΘΝΙΚΗΣ ΑΜΥΝΑΣ</w:t>
            </w:r>
          </w:p>
        </w:tc>
        <w:tc>
          <w:tcPr>
            <w:tcW w:w="857" w:type="pct"/>
            <w:shd w:val="clear" w:color="000000" w:fill="D9D9D9"/>
            <w:vAlign w:val="center"/>
            <w:hideMark/>
          </w:tcPr>
          <w:p w14:paraId="1B9A467E"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7.063.272.000,00 €</w:t>
            </w:r>
          </w:p>
        </w:tc>
        <w:tc>
          <w:tcPr>
            <w:tcW w:w="345" w:type="pct"/>
            <w:shd w:val="clear" w:color="000000" w:fill="D9D9D9"/>
            <w:vAlign w:val="bottom"/>
            <w:hideMark/>
          </w:tcPr>
          <w:p w14:paraId="088F0A9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7296333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D9D9D9"/>
            <w:vAlign w:val="bottom"/>
            <w:hideMark/>
          </w:tcPr>
          <w:p w14:paraId="0738E36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D9D9D9"/>
            <w:vAlign w:val="bottom"/>
            <w:hideMark/>
          </w:tcPr>
          <w:p w14:paraId="2C78FFC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38FA07F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D9D9D9"/>
            <w:vAlign w:val="bottom"/>
            <w:hideMark/>
          </w:tcPr>
          <w:p w14:paraId="6B10FDF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D9D9D9"/>
            <w:vAlign w:val="bottom"/>
            <w:hideMark/>
          </w:tcPr>
          <w:p w14:paraId="05EC38D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11C53720" w14:textId="77777777" w:rsidTr="00C91F10">
        <w:trPr>
          <w:trHeight w:val="450"/>
          <w:jc w:val="center"/>
        </w:trPr>
        <w:tc>
          <w:tcPr>
            <w:tcW w:w="541" w:type="pct"/>
            <w:shd w:val="clear" w:color="auto" w:fill="auto"/>
            <w:vAlign w:val="center"/>
            <w:hideMark/>
          </w:tcPr>
          <w:p w14:paraId="77F00AC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02.1011.001</w:t>
            </w:r>
          </w:p>
        </w:tc>
        <w:tc>
          <w:tcPr>
            <w:tcW w:w="1331" w:type="pct"/>
            <w:shd w:val="clear" w:color="auto" w:fill="auto"/>
            <w:vAlign w:val="center"/>
            <w:hideMark/>
          </w:tcPr>
          <w:p w14:paraId="4ED9F1A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ΑΠΟΤΡΟΠΗ ΕΞΩΤΕΡΙΚΩΝ ΑΠΕΙΛΩΝ - ΕΓΓΥΗΣΗ ΤΗΣ ΑΣΦΑΛΕΙΑΣ ΚΑΙ ΤΗΣ ΑΜΥΝΑΣ ΤΗΣ ΧΩΡΑΣ</w:t>
            </w:r>
          </w:p>
        </w:tc>
        <w:tc>
          <w:tcPr>
            <w:tcW w:w="857" w:type="pct"/>
            <w:shd w:val="clear" w:color="auto" w:fill="auto"/>
            <w:vAlign w:val="center"/>
            <w:hideMark/>
          </w:tcPr>
          <w:p w14:paraId="1A191FB0"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6.275.222.033,38 €</w:t>
            </w:r>
          </w:p>
        </w:tc>
        <w:tc>
          <w:tcPr>
            <w:tcW w:w="345" w:type="pct"/>
            <w:shd w:val="clear" w:color="000000" w:fill="FDE9D9"/>
            <w:vAlign w:val="center"/>
            <w:hideMark/>
          </w:tcPr>
          <w:p w14:paraId="50E1725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73ED21F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6B3BF15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75A5977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6CB00D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3909FCF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4F3A7C7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3D38C62E" w14:textId="77777777" w:rsidTr="00C91F10">
        <w:trPr>
          <w:trHeight w:val="450"/>
          <w:jc w:val="center"/>
        </w:trPr>
        <w:tc>
          <w:tcPr>
            <w:tcW w:w="541" w:type="pct"/>
            <w:shd w:val="clear" w:color="auto" w:fill="auto"/>
            <w:vAlign w:val="center"/>
            <w:hideMark/>
          </w:tcPr>
          <w:p w14:paraId="55E076F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02.1011.002</w:t>
            </w:r>
          </w:p>
        </w:tc>
        <w:tc>
          <w:tcPr>
            <w:tcW w:w="1331" w:type="pct"/>
            <w:shd w:val="clear" w:color="auto" w:fill="auto"/>
            <w:vAlign w:val="center"/>
            <w:hideMark/>
          </w:tcPr>
          <w:p w14:paraId="1F404E8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ΔΙΕΘΝΕΙΣ ΣΧΕΣΕΙΣ/ΔΡΑΣΕΙΣ ΥΠΕΘΑ ΣΤΟ ΕΞΩΤΕΡΙΚΟ</w:t>
            </w:r>
          </w:p>
        </w:tc>
        <w:tc>
          <w:tcPr>
            <w:tcW w:w="857" w:type="pct"/>
            <w:shd w:val="clear" w:color="auto" w:fill="auto"/>
            <w:vAlign w:val="center"/>
            <w:hideMark/>
          </w:tcPr>
          <w:p w14:paraId="01123DE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128.421.052,09 €</w:t>
            </w:r>
          </w:p>
        </w:tc>
        <w:tc>
          <w:tcPr>
            <w:tcW w:w="345" w:type="pct"/>
            <w:shd w:val="clear" w:color="000000" w:fill="B7DEE8"/>
            <w:vAlign w:val="center"/>
            <w:hideMark/>
          </w:tcPr>
          <w:p w14:paraId="33DCC5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7951E6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EBD288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9C7CA6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0ACE73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42E6D2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341FA63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66F4B0B" w14:textId="77777777" w:rsidTr="00C91F10">
        <w:trPr>
          <w:trHeight w:val="675"/>
          <w:jc w:val="center"/>
        </w:trPr>
        <w:tc>
          <w:tcPr>
            <w:tcW w:w="541" w:type="pct"/>
            <w:shd w:val="clear" w:color="auto" w:fill="auto"/>
            <w:vAlign w:val="center"/>
            <w:hideMark/>
          </w:tcPr>
          <w:p w14:paraId="461794A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02.1011.003</w:t>
            </w:r>
          </w:p>
        </w:tc>
        <w:tc>
          <w:tcPr>
            <w:tcW w:w="1331" w:type="pct"/>
            <w:shd w:val="clear" w:color="auto" w:fill="auto"/>
            <w:vAlign w:val="center"/>
            <w:hideMark/>
          </w:tcPr>
          <w:p w14:paraId="11AE782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ΣΥΛΛΟΓΗ – ΕΠΕΞΕΡΓΑΣΙΑ – ΕΚΜΕΤΑΛΛΕΥΣΗ ΠΛΗΡΟΦΟΡΙΩΝ ΕΠ΄ ΩΦΕΛΕΙΑ ΤΗΣ ΕΘΝΙΚΗΣ ΑΣΦΑΛΕΙΑΣ</w:t>
            </w:r>
          </w:p>
        </w:tc>
        <w:tc>
          <w:tcPr>
            <w:tcW w:w="857" w:type="pct"/>
            <w:shd w:val="clear" w:color="auto" w:fill="auto"/>
            <w:vAlign w:val="center"/>
            <w:hideMark/>
          </w:tcPr>
          <w:p w14:paraId="6D442D7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36.945.000,00 €</w:t>
            </w:r>
          </w:p>
        </w:tc>
        <w:tc>
          <w:tcPr>
            <w:tcW w:w="345" w:type="pct"/>
            <w:shd w:val="clear" w:color="000000" w:fill="C4D79B"/>
            <w:vAlign w:val="center"/>
            <w:hideMark/>
          </w:tcPr>
          <w:p w14:paraId="6B90D1A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DC88A2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0169C05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1044A8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2CAB179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AB51AA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50CB685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643069C" w14:textId="77777777" w:rsidTr="00C91F10">
        <w:trPr>
          <w:trHeight w:val="450"/>
          <w:jc w:val="center"/>
        </w:trPr>
        <w:tc>
          <w:tcPr>
            <w:tcW w:w="541" w:type="pct"/>
            <w:shd w:val="clear" w:color="auto" w:fill="auto"/>
            <w:vAlign w:val="center"/>
            <w:hideMark/>
          </w:tcPr>
          <w:p w14:paraId="169EB2A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02.1011.004</w:t>
            </w:r>
          </w:p>
        </w:tc>
        <w:tc>
          <w:tcPr>
            <w:tcW w:w="1331" w:type="pct"/>
            <w:shd w:val="clear" w:color="auto" w:fill="auto"/>
            <w:vAlign w:val="center"/>
            <w:hideMark/>
          </w:tcPr>
          <w:p w14:paraId="61375E7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ΕΘΝΙΚΗΣ ΑΜΥΝΑΣ</w:t>
            </w:r>
          </w:p>
        </w:tc>
        <w:tc>
          <w:tcPr>
            <w:tcW w:w="857" w:type="pct"/>
            <w:shd w:val="clear" w:color="auto" w:fill="auto"/>
            <w:vAlign w:val="center"/>
            <w:hideMark/>
          </w:tcPr>
          <w:p w14:paraId="2430F4B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10.423.858,14 €</w:t>
            </w:r>
          </w:p>
        </w:tc>
        <w:tc>
          <w:tcPr>
            <w:tcW w:w="345" w:type="pct"/>
            <w:shd w:val="clear" w:color="000000" w:fill="B7DEE8"/>
            <w:vAlign w:val="center"/>
            <w:hideMark/>
          </w:tcPr>
          <w:p w14:paraId="052914B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40D144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4CF2F5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B5931F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7DEC47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82507F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FAF61A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6568F2A" w14:textId="77777777" w:rsidTr="00C91F10">
        <w:trPr>
          <w:trHeight w:val="450"/>
          <w:jc w:val="center"/>
        </w:trPr>
        <w:tc>
          <w:tcPr>
            <w:tcW w:w="541" w:type="pct"/>
            <w:shd w:val="clear" w:color="auto" w:fill="auto"/>
            <w:vAlign w:val="center"/>
            <w:hideMark/>
          </w:tcPr>
          <w:p w14:paraId="7461639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03.1011.001</w:t>
            </w:r>
          </w:p>
        </w:tc>
        <w:tc>
          <w:tcPr>
            <w:tcW w:w="1331" w:type="pct"/>
            <w:shd w:val="clear" w:color="auto" w:fill="auto"/>
            <w:vAlign w:val="center"/>
            <w:hideMark/>
          </w:tcPr>
          <w:p w14:paraId="573583C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ΣΥΝΕΙΣΦΟΡΑ ΕΝΟΠΛΩΝ ΔΥΝΑΜΕΩΝ ΣΤΟΝ ΤΟΜΕΑ ΤΗΣ ΠΟΛΙΤΙΚΗΣ ΠΡΟΣΤΑΣΙΑΣ</w:t>
            </w:r>
          </w:p>
        </w:tc>
        <w:tc>
          <w:tcPr>
            <w:tcW w:w="857" w:type="pct"/>
            <w:shd w:val="clear" w:color="auto" w:fill="auto"/>
            <w:vAlign w:val="center"/>
            <w:hideMark/>
          </w:tcPr>
          <w:p w14:paraId="3B0E05F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135.261.279,98 €</w:t>
            </w:r>
          </w:p>
        </w:tc>
        <w:tc>
          <w:tcPr>
            <w:tcW w:w="345" w:type="pct"/>
            <w:shd w:val="clear" w:color="000000" w:fill="B7DEE8"/>
            <w:vAlign w:val="center"/>
            <w:hideMark/>
          </w:tcPr>
          <w:p w14:paraId="2406F0C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394FD04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45F6AA7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2F622D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7A3983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3A13C82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3F26D4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0776536" w14:textId="77777777" w:rsidTr="00C91F10">
        <w:trPr>
          <w:trHeight w:val="450"/>
          <w:jc w:val="center"/>
        </w:trPr>
        <w:tc>
          <w:tcPr>
            <w:tcW w:w="541" w:type="pct"/>
            <w:shd w:val="clear" w:color="auto" w:fill="auto"/>
            <w:vAlign w:val="center"/>
            <w:hideMark/>
          </w:tcPr>
          <w:p w14:paraId="61BF005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05.1011.001</w:t>
            </w:r>
          </w:p>
        </w:tc>
        <w:tc>
          <w:tcPr>
            <w:tcW w:w="1331" w:type="pct"/>
            <w:shd w:val="clear" w:color="auto" w:fill="auto"/>
            <w:vAlign w:val="center"/>
            <w:hideMark/>
          </w:tcPr>
          <w:p w14:paraId="777D11B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ΣΥΝΕΙΣΦΟΡΑ ΕΝΟΠΛΩΝ ΔΥΝΑΜΕΩΝ ΣΤΟ ΠΕΡΙΒΑΛΛΟΝ</w:t>
            </w:r>
          </w:p>
        </w:tc>
        <w:tc>
          <w:tcPr>
            <w:tcW w:w="857" w:type="pct"/>
            <w:shd w:val="clear" w:color="auto" w:fill="auto"/>
            <w:vAlign w:val="center"/>
            <w:hideMark/>
          </w:tcPr>
          <w:p w14:paraId="141ECE2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24.607.572,70 €</w:t>
            </w:r>
          </w:p>
        </w:tc>
        <w:tc>
          <w:tcPr>
            <w:tcW w:w="345" w:type="pct"/>
            <w:shd w:val="clear" w:color="000000" w:fill="C4D79B"/>
            <w:vAlign w:val="center"/>
            <w:hideMark/>
          </w:tcPr>
          <w:p w14:paraId="7CD7EBC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027E5A2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4454C6F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361817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EB0A89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6A418EE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7015695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004F962" w14:textId="77777777" w:rsidTr="00C91F10">
        <w:trPr>
          <w:trHeight w:val="450"/>
          <w:jc w:val="center"/>
        </w:trPr>
        <w:tc>
          <w:tcPr>
            <w:tcW w:w="541" w:type="pct"/>
            <w:shd w:val="clear" w:color="auto" w:fill="auto"/>
            <w:vAlign w:val="center"/>
            <w:hideMark/>
          </w:tcPr>
          <w:p w14:paraId="7F726F0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07.1011.001</w:t>
            </w:r>
          </w:p>
        </w:tc>
        <w:tc>
          <w:tcPr>
            <w:tcW w:w="1331" w:type="pct"/>
            <w:shd w:val="clear" w:color="auto" w:fill="auto"/>
            <w:vAlign w:val="center"/>
            <w:hideMark/>
          </w:tcPr>
          <w:p w14:paraId="641B4CE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ΠΑΡΟΧΗ ΥΓΕΙΟΝΟΜΙΚΗΣ ΠΕΡΙΘΑΛΨΗΣ ΕΝΟΠΛΩΝ ΔΥΝΑΜΕΩΝ</w:t>
            </w:r>
          </w:p>
        </w:tc>
        <w:tc>
          <w:tcPr>
            <w:tcW w:w="857" w:type="pct"/>
            <w:shd w:val="clear" w:color="auto" w:fill="auto"/>
            <w:vAlign w:val="center"/>
            <w:hideMark/>
          </w:tcPr>
          <w:p w14:paraId="0661C64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326.994.372,10 €</w:t>
            </w:r>
          </w:p>
        </w:tc>
        <w:tc>
          <w:tcPr>
            <w:tcW w:w="345" w:type="pct"/>
            <w:shd w:val="clear" w:color="000000" w:fill="B7DEE8"/>
            <w:vAlign w:val="center"/>
            <w:hideMark/>
          </w:tcPr>
          <w:p w14:paraId="700090D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0C2973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4313CC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FF67A6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DC2E43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38BAC6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70650F3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97B3FA6" w14:textId="77777777" w:rsidTr="00C91F10">
        <w:trPr>
          <w:trHeight w:val="450"/>
          <w:jc w:val="center"/>
        </w:trPr>
        <w:tc>
          <w:tcPr>
            <w:tcW w:w="541" w:type="pct"/>
            <w:shd w:val="clear" w:color="auto" w:fill="auto"/>
            <w:vAlign w:val="center"/>
            <w:hideMark/>
          </w:tcPr>
          <w:p w14:paraId="09E0072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09.1011.001</w:t>
            </w:r>
          </w:p>
        </w:tc>
        <w:tc>
          <w:tcPr>
            <w:tcW w:w="1331" w:type="pct"/>
            <w:shd w:val="clear" w:color="auto" w:fill="auto"/>
            <w:vAlign w:val="center"/>
            <w:hideMark/>
          </w:tcPr>
          <w:p w14:paraId="727E77C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ΕΚΠΑΙΔΕΥΣΗ ΠΡΟΣΩΠΙΚΟΥ ΕΝΟΠΛΩΝ ΔΥΝΑΜΕΩΝ</w:t>
            </w:r>
          </w:p>
        </w:tc>
        <w:tc>
          <w:tcPr>
            <w:tcW w:w="857" w:type="pct"/>
            <w:shd w:val="clear" w:color="auto" w:fill="auto"/>
            <w:vAlign w:val="center"/>
            <w:hideMark/>
          </w:tcPr>
          <w:p w14:paraId="78C69BC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91.962.228,60 €</w:t>
            </w:r>
          </w:p>
        </w:tc>
        <w:tc>
          <w:tcPr>
            <w:tcW w:w="345" w:type="pct"/>
            <w:shd w:val="clear" w:color="000000" w:fill="B7DEE8"/>
            <w:vAlign w:val="center"/>
            <w:hideMark/>
          </w:tcPr>
          <w:p w14:paraId="76533D5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26626C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3EA5BD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0D2F05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75B4F9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50A063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0C9E219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490C1C99" w14:textId="77777777" w:rsidTr="00C91F10">
        <w:trPr>
          <w:trHeight w:val="225"/>
          <w:jc w:val="center"/>
        </w:trPr>
        <w:tc>
          <w:tcPr>
            <w:tcW w:w="541" w:type="pct"/>
            <w:shd w:val="clear" w:color="auto" w:fill="auto"/>
            <w:vAlign w:val="center"/>
            <w:hideMark/>
          </w:tcPr>
          <w:p w14:paraId="78459A1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10.1011.001</w:t>
            </w:r>
          </w:p>
        </w:tc>
        <w:tc>
          <w:tcPr>
            <w:tcW w:w="1331" w:type="pct"/>
            <w:shd w:val="clear" w:color="auto" w:fill="auto"/>
            <w:vAlign w:val="center"/>
            <w:hideMark/>
          </w:tcPr>
          <w:p w14:paraId="21348B6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ΚΟΙΝΩΝΙΚΗ ΜΕΡΙΜΝΑ ΠΡΟΣΩΠΙΚΟΥ</w:t>
            </w:r>
          </w:p>
        </w:tc>
        <w:tc>
          <w:tcPr>
            <w:tcW w:w="857" w:type="pct"/>
            <w:shd w:val="clear" w:color="auto" w:fill="auto"/>
            <w:vAlign w:val="center"/>
            <w:hideMark/>
          </w:tcPr>
          <w:p w14:paraId="77D54A7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33.434.603,00 €</w:t>
            </w:r>
          </w:p>
        </w:tc>
        <w:tc>
          <w:tcPr>
            <w:tcW w:w="345" w:type="pct"/>
            <w:shd w:val="clear" w:color="000000" w:fill="C4D79B"/>
            <w:vAlign w:val="center"/>
            <w:hideMark/>
          </w:tcPr>
          <w:p w14:paraId="4C973CE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10768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7447354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AD481E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75880D9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7F7DA31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11E63F0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669A99E" w14:textId="77777777" w:rsidTr="00C91F10">
        <w:trPr>
          <w:trHeight w:val="225"/>
          <w:jc w:val="center"/>
        </w:trPr>
        <w:tc>
          <w:tcPr>
            <w:tcW w:w="541" w:type="pct"/>
            <w:shd w:val="clear" w:color="000000" w:fill="D9D9D9"/>
            <w:vAlign w:val="center"/>
            <w:hideMark/>
          </w:tcPr>
          <w:p w14:paraId="70B1F07F"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1015</w:t>
            </w:r>
          </w:p>
        </w:tc>
        <w:tc>
          <w:tcPr>
            <w:tcW w:w="1331" w:type="pct"/>
            <w:shd w:val="clear" w:color="000000" w:fill="D9D9D9"/>
            <w:vAlign w:val="center"/>
            <w:hideMark/>
          </w:tcPr>
          <w:p w14:paraId="75642CF2"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ΥΓΕΙΑΣ</w:t>
            </w:r>
          </w:p>
        </w:tc>
        <w:tc>
          <w:tcPr>
            <w:tcW w:w="857" w:type="pct"/>
            <w:shd w:val="clear" w:color="000000" w:fill="D9D9D9"/>
            <w:vAlign w:val="center"/>
            <w:hideMark/>
          </w:tcPr>
          <w:p w14:paraId="1F1D4703"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7.841.945.000,00 €</w:t>
            </w:r>
          </w:p>
        </w:tc>
        <w:tc>
          <w:tcPr>
            <w:tcW w:w="345" w:type="pct"/>
            <w:shd w:val="clear" w:color="000000" w:fill="D9D9D9"/>
            <w:vAlign w:val="bottom"/>
            <w:hideMark/>
          </w:tcPr>
          <w:p w14:paraId="413A04B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69D4F83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D9D9D9"/>
            <w:vAlign w:val="bottom"/>
            <w:hideMark/>
          </w:tcPr>
          <w:p w14:paraId="2A4428B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D9D9D9"/>
            <w:vAlign w:val="bottom"/>
            <w:hideMark/>
          </w:tcPr>
          <w:p w14:paraId="13DB6F5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644B3B8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D9D9D9"/>
            <w:vAlign w:val="bottom"/>
            <w:hideMark/>
          </w:tcPr>
          <w:p w14:paraId="3537FC4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D9D9D9"/>
            <w:vAlign w:val="bottom"/>
            <w:hideMark/>
          </w:tcPr>
          <w:p w14:paraId="3FD696F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17E19CF1" w14:textId="77777777" w:rsidTr="00C91F10">
        <w:trPr>
          <w:trHeight w:val="450"/>
          <w:jc w:val="center"/>
        </w:trPr>
        <w:tc>
          <w:tcPr>
            <w:tcW w:w="541" w:type="pct"/>
            <w:shd w:val="clear" w:color="auto" w:fill="auto"/>
            <w:vAlign w:val="center"/>
            <w:hideMark/>
          </w:tcPr>
          <w:p w14:paraId="3E9CD4D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lastRenderedPageBreak/>
              <w:t>07.1015.001</w:t>
            </w:r>
          </w:p>
        </w:tc>
        <w:tc>
          <w:tcPr>
            <w:tcW w:w="1331" w:type="pct"/>
            <w:shd w:val="clear" w:color="auto" w:fill="auto"/>
            <w:vAlign w:val="center"/>
            <w:hideMark/>
          </w:tcPr>
          <w:p w14:paraId="219EDA2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ΕΠΕΝΔΥΣΕΙΣ ΚΑΙ ΔΙΑΜΟΡΦΩΣΗ ΠΟΛΙΤΙΚΩΝ ΥΠΟΥΡΓΕΙΟΥ ΥΓΕΙΑΣ</w:t>
            </w:r>
          </w:p>
        </w:tc>
        <w:tc>
          <w:tcPr>
            <w:tcW w:w="857" w:type="pct"/>
            <w:shd w:val="clear" w:color="auto" w:fill="auto"/>
            <w:vAlign w:val="center"/>
            <w:hideMark/>
          </w:tcPr>
          <w:p w14:paraId="662503E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151.083.929,80 €</w:t>
            </w:r>
          </w:p>
        </w:tc>
        <w:tc>
          <w:tcPr>
            <w:tcW w:w="345" w:type="pct"/>
            <w:shd w:val="clear" w:color="000000" w:fill="C4D79B"/>
            <w:vAlign w:val="center"/>
            <w:hideMark/>
          </w:tcPr>
          <w:p w14:paraId="3512C18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2B973C6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3F3EA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1F7E7A0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521BA16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090BBDD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27FB22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EC40073" w14:textId="77777777" w:rsidTr="00C91F10">
        <w:trPr>
          <w:trHeight w:val="225"/>
          <w:jc w:val="center"/>
        </w:trPr>
        <w:tc>
          <w:tcPr>
            <w:tcW w:w="541" w:type="pct"/>
            <w:shd w:val="clear" w:color="auto" w:fill="auto"/>
            <w:vAlign w:val="center"/>
            <w:hideMark/>
          </w:tcPr>
          <w:p w14:paraId="454E942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07.1015.002</w:t>
            </w:r>
          </w:p>
        </w:tc>
        <w:tc>
          <w:tcPr>
            <w:tcW w:w="1331" w:type="pct"/>
            <w:shd w:val="clear" w:color="auto" w:fill="auto"/>
            <w:vAlign w:val="center"/>
            <w:hideMark/>
          </w:tcPr>
          <w:p w14:paraId="72977F4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ΕΠΕΙΓΟΥΣΑ ΠΡΟΝΟΣΟΚΟΜΕΙΑΚΗ ΦΡΟΝΤΙΔΑ</w:t>
            </w:r>
          </w:p>
        </w:tc>
        <w:tc>
          <w:tcPr>
            <w:tcW w:w="857" w:type="pct"/>
            <w:shd w:val="clear" w:color="auto" w:fill="auto"/>
            <w:vAlign w:val="center"/>
            <w:hideMark/>
          </w:tcPr>
          <w:p w14:paraId="38F9B29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234.941.397,60 €</w:t>
            </w:r>
          </w:p>
        </w:tc>
        <w:tc>
          <w:tcPr>
            <w:tcW w:w="345" w:type="pct"/>
            <w:shd w:val="clear" w:color="000000" w:fill="B7DEE8"/>
            <w:vAlign w:val="center"/>
            <w:hideMark/>
          </w:tcPr>
          <w:p w14:paraId="5E44F38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63FE72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C946E5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55A7E1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BA2FFF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0742332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1B1D84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3704ED5" w14:textId="77777777" w:rsidTr="00C91F10">
        <w:trPr>
          <w:trHeight w:val="450"/>
          <w:jc w:val="center"/>
        </w:trPr>
        <w:tc>
          <w:tcPr>
            <w:tcW w:w="541" w:type="pct"/>
            <w:shd w:val="clear" w:color="auto" w:fill="auto"/>
            <w:vAlign w:val="center"/>
            <w:hideMark/>
          </w:tcPr>
          <w:p w14:paraId="70522CF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07.1015.003</w:t>
            </w:r>
          </w:p>
        </w:tc>
        <w:tc>
          <w:tcPr>
            <w:tcW w:w="1331" w:type="pct"/>
            <w:shd w:val="clear" w:color="auto" w:fill="auto"/>
            <w:vAlign w:val="center"/>
            <w:hideMark/>
          </w:tcPr>
          <w:p w14:paraId="1B94F7C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ΠΑΡΟΧΗ ΥΠΗΡΕΣΙΩΝ ΠΡΩΤΟΒΑΘΜΙΑΣ ΦΡΟΝΤΙΔΑΣ ΥΓΕΙΑΣ</w:t>
            </w:r>
          </w:p>
        </w:tc>
        <w:tc>
          <w:tcPr>
            <w:tcW w:w="857" w:type="pct"/>
            <w:shd w:val="clear" w:color="auto" w:fill="auto"/>
            <w:vAlign w:val="center"/>
            <w:hideMark/>
          </w:tcPr>
          <w:p w14:paraId="3CF319C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766.395.000,00 €</w:t>
            </w:r>
          </w:p>
        </w:tc>
        <w:tc>
          <w:tcPr>
            <w:tcW w:w="345" w:type="pct"/>
            <w:shd w:val="clear" w:color="000000" w:fill="B7DEE8"/>
            <w:vAlign w:val="center"/>
            <w:hideMark/>
          </w:tcPr>
          <w:p w14:paraId="553020B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263BBE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72CB2A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8CECF2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0ED787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1322AC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CA079E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DEC8611" w14:textId="77777777" w:rsidTr="00C91F10">
        <w:trPr>
          <w:trHeight w:val="225"/>
          <w:jc w:val="center"/>
        </w:trPr>
        <w:tc>
          <w:tcPr>
            <w:tcW w:w="541" w:type="pct"/>
            <w:shd w:val="clear" w:color="auto" w:fill="auto"/>
            <w:vAlign w:val="center"/>
            <w:hideMark/>
          </w:tcPr>
          <w:p w14:paraId="268D0DA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07.1015.004</w:t>
            </w:r>
          </w:p>
        </w:tc>
        <w:tc>
          <w:tcPr>
            <w:tcW w:w="1331" w:type="pct"/>
            <w:shd w:val="clear" w:color="auto" w:fill="auto"/>
            <w:vAlign w:val="center"/>
            <w:hideMark/>
          </w:tcPr>
          <w:p w14:paraId="0C51BC6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ΝΟΣΟΚΟΜΕΙΑΚΗ ΠΕΡΙΘΑΛΨΗ</w:t>
            </w:r>
          </w:p>
        </w:tc>
        <w:tc>
          <w:tcPr>
            <w:tcW w:w="857" w:type="pct"/>
            <w:shd w:val="clear" w:color="auto" w:fill="auto"/>
            <w:vAlign w:val="center"/>
            <w:hideMark/>
          </w:tcPr>
          <w:p w14:paraId="36B665A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5.929.696.869,20 €</w:t>
            </w:r>
          </w:p>
        </w:tc>
        <w:tc>
          <w:tcPr>
            <w:tcW w:w="345" w:type="pct"/>
            <w:shd w:val="clear" w:color="000000" w:fill="C4D79B"/>
            <w:vAlign w:val="center"/>
            <w:hideMark/>
          </w:tcPr>
          <w:p w14:paraId="0E65CE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72C2C9A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5BDF9C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42454D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10D74DC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2ED0132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7F7A9D2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E625F39" w14:textId="77777777" w:rsidTr="00C91F10">
        <w:trPr>
          <w:trHeight w:val="450"/>
          <w:jc w:val="center"/>
        </w:trPr>
        <w:tc>
          <w:tcPr>
            <w:tcW w:w="541" w:type="pct"/>
            <w:shd w:val="clear" w:color="auto" w:fill="auto"/>
            <w:vAlign w:val="center"/>
            <w:hideMark/>
          </w:tcPr>
          <w:p w14:paraId="15DFEF0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07.1015.005</w:t>
            </w:r>
          </w:p>
        </w:tc>
        <w:tc>
          <w:tcPr>
            <w:tcW w:w="1331" w:type="pct"/>
            <w:shd w:val="clear" w:color="auto" w:fill="auto"/>
            <w:vAlign w:val="center"/>
            <w:hideMark/>
          </w:tcPr>
          <w:p w14:paraId="4AE0AF0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ΠΡΟΛΗΨΗ ΚΑΙ ΠΡΟΣΤΑΣΙΑ ΤΗΣ ΔΗΜΟΣΙΑΣ ΥΓΕΙΑΣ</w:t>
            </w:r>
          </w:p>
        </w:tc>
        <w:tc>
          <w:tcPr>
            <w:tcW w:w="857" w:type="pct"/>
            <w:shd w:val="clear" w:color="auto" w:fill="auto"/>
            <w:vAlign w:val="center"/>
            <w:hideMark/>
          </w:tcPr>
          <w:p w14:paraId="28A6E20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564.151.721,40 €</w:t>
            </w:r>
          </w:p>
        </w:tc>
        <w:tc>
          <w:tcPr>
            <w:tcW w:w="345" w:type="pct"/>
            <w:shd w:val="clear" w:color="000000" w:fill="B7DEE8"/>
            <w:vAlign w:val="center"/>
            <w:hideMark/>
          </w:tcPr>
          <w:p w14:paraId="2539FB8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3C72A9A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15E450E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301705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93F5DB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EFB4AF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7977A78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C575380" w14:textId="77777777" w:rsidTr="00C91F10">
        <w:trPr>
          <w:trHeight w:val="225"/>
          <w:jc w:val="center"/>
        </w:trPr>
        <w:tc>
          <w:tcPr>
            <w:tcW w:w="541" w:type="pct"/>
            <w:shd w:val="clear" w:color="auto" w:fill="auto"/>
            <w:vAlign w:val="center"/>
            <w:hideMark/>
          </w:tcPr>
          <w:p w14:paraId="1EEBF9A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07.1015.006</w:t>
            </w:r>
          </w:p>
        </w:tc>
        <w:tc>
          <w:tcPr>
            <w:tcW w:w="1331" w:type="pct"/>
            <w:shd w:val="clear" w:color="auto" w:fill="auto"/>
            <w:vAlign w:val="center"/>
            <w:hideMark/>
          </w:tcPr>
          <w:p w14:paraId="5DD6584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ΕΝΙΣΧΥΣΗ ΝΠΙΔ ΨΥΧΙΚΗΣ ΥΓΕΙΑΣ</w:t>
            </w:r>
          </w:p>
        </w:tc>
        <w:tc>
          <w:tcPr>
            <w:tcW w:w="857" w:type="pct"/>
            <w:shd w:val="clear" w:color="auto" w:fill="auto"/>
            <w:vAlign w:val="center"/>
            <w:hideMark/>
          </w:tcPr>
          <w:p w14:paraId="0306AF3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67.816.803,40 €</w:t>
            </w:r>
          </w:p>
        </w:tc>
        <w:tc>
          <w:tcPr>
            <w:tcW w:w="345" w:type="pct"/>
            <w:shd w:val="clear" w:color="000000" w:fill="B7DEE8"/>
            <w:vAlign w:val="center"/>
            <w:hideMark/>
          </w:tcPr>
          <w:p w14:paraId="327C5C4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7ED937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0404F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E30C57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01593D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6D699B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1D3FB2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568BBB6D" w14:textId="77777777" w:rsidTr="00C91F10">
        <w:trPr>
          <w:trHeight w:val="225"/>
          <w:jc w:val="center"/>
        </w:trPr>
        <w:tc>
          <w:tcPr>
            <w:tcW w:w="541" w:type="pct"/>
            <w:shd w:val="clear" w:color="auto" w:fill="auto"/>
            <w:vAlign w:val="center"/>
            <w:hideMark/>
          </w:tcPr>
          <w:p w14:paraId="0D2B15C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10.1015.001</w:t>
            </w:r>
          </w:p>
        </w:tc>
        <w:tc>
          <w:tcPr>
            <w:tcW w:w="1331" w:type="pct"/>
            <w:shd w:val="clear" w:color="auto" w:fill="auto"/>
            <w:vAlign w:val="center"/>
            <w:hideMark/>
          </w:tcPr>
          <w:p w14:paraId="48EFBA6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ΑΝΤΙΜΕΤΩΠΙΣΗ ΤΩΝ ΕΞΑΡΤΗΣΕΩΝ</w:t>
            </w:r>
          </w:p>
        </w:tc>
        <w:tc>
          <w:tcPr>
            <w:tcW w:w="857" w:type="pct"/>
            <w:shd w:val="clear" w:color="auto" w:fill="auto"/>
            <w:vAlign w:val="center"/>
            <w:hideMark/>
          </w:tcPr>
          <w:p w14:paraId="2FCDE67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127.859.278,60 €</w:t>
            </w:r>
          </w:p>
        </w:tc>
        <w:tc>
          <w:tcPr>
            <w:tcW w:w="345" w:type="pct"/>
            <w:shd w:val="clear" w:color="000000" w:fill="B7DEE8"/>
            <w:vAlign w:val="center"/>
            <w:hideMark/>
          </w:tcPr>
          <w:p w14:paraId="090F4B2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AC314E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9058D7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510631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0B591C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30A5D91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585BC0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7877E7DF" w14:textId="77777777" w:rsidTr="00C91F10">
        <w:trPr>
          <w:trHeight w:val="225"/>
          <w:jc w:val="center"/>
        </w:trPr>
        <w:tc>
          <w:tcPr>
            <w:tcW w:w="541" w:type="pct"/>
            <w:shd w:val="clear" w:color="000000" w:fill="D9D9D9"/>
            <w:vAlign w:val="center"/>
            <w:hideMark/>
          </w:tcPr>
          <w:p w14:paraId="49A21EBC"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1017</w:t>
            </w:r>
          </w:p>
        </w:tc>
        <w:tc>
          <w:tcPr>
            <w:tcW w:w="1331" w:type="pct"/>
            <w:shd w:val="clear" w:color="000000" w:fill="D9D9D9"/>
            <w:vAlign w:val="center"/>
            <w:hideMark/>
          </w:tcPr>
          <w:p w14:paraId="6B81FFD7"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ΔΙΚΑΙΟΣΥΝΗΣ</w:t>
            </w:r>
          </w:p>
        </w:tc>
        <w:tc>
          <w:tcPr>
            <w:tcW w:w="857" w:type="pct"/>
            <w:shd w:val="clear" w:color="000000" w:fill="D9D9D9"/>
            <w:vAlign w:val="center"/>
            <w:hideMark/>
          </w:tcPr>
          <w:p w14:paraId="7540CA5F"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679.577.000,00 €</w:t>
            </w:r>
          </w:p>
        </w:tc>
        <w:tc>
          <w:tcPr>
            <w:tcW w:w="345" w:type="pct"/>
            <w:shd w:val="clear" w:color="000000" w:fill="D9D9D9"/>
            <w:vAlign w:val="bottom"/>
            <w:hideMark/>
          </w:tcPr>
          <w:p w14:paraId="51A094A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1874758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D9D9D9"/>
            <w:vAlign w:val="bottom"/>
            <w:hideMark/>
          </w:tcPr>
          <w:p w14:paraId="46CEB81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D9D9D9"/>
            <w:vAlign w:val="bottom"/>
            <w:hideMark/>
          </w:tcPr>
          <w:p w14:paraId="0378BBE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D9D9D9"/>
            <w:vAlign w:val="bottom"/>
            <w:hideMark/>
          </w:tcPr>
          <w:p w14:paraId="49CD17D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D9D9D9"/>
            <w:vAlign w:val="bottom"/>
            <w:hideMark/>
          </w:tcPr>
          <w:p w14:paraId="5C191A5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D9D9D9"/>
            <w:vAlign w:val="bottom"/>
            <w:hideMark/>
          </w:tcPr>
          <w:p w14:paraId="4A13E65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5D39B56D" w14:textId="77777777" w:rsidTr="00C91F10">
        <w:trPr>
          <w:trHeight w:val="225"/>
          <w:jc w:val="center"/>
        </w:trPr>
        <w:tc>
          <w:tcPr>
            <w:tcW w:w="541" w:type="pct"/>
            <w:shd w:val="clear" w:color="auto" w:fill="auto"/>
            <w:vAlign w:val="center"/>
            <w:hideMark/>
          </w:tcPr>
          <w:p w14:paraId="2B07618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03.1017.001</w:t>
            </w:r>
          </w:p>
        </w:tc>
        <w:tc>
          <w:tcPr>
            <w:tcW w:w="1331" w:type="pct"/>
            <w:shd w:val="clear" w:color="auto" w:fill="auto"/>
            <w:vAlign w:val="center"/>
            <w:hideMark/>
          </w:tcPr>
          <w:p w14:paraId="55355A4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ΑΠΟΝΟΜΗ ΔΙΚΑΙΟΣΥΝΗΣ</w:t>
            </w:r>
          </w:p>
        </w:tc>
        <w:tc>
          <w:tcPr>
            <w:tcW w:w="857" w:type="pct"/>
            <w:shd w:val="clear" w:color="auto" w:fill="auto"/>
            <w:vAlign w:val="center"/>
            <w:hideMark/>
          </w:tcPr>
          <w:p w14:paraId="7AD50E4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595.882.004,20 €</w:t>
            </w:r>
          </w:p>
        </w:tc>
        <w:tc>
          <w:tcPr>
            <w:tcW w:w="345" w:type="pct"/>
            <w:shd w:val="clear" w:color="000000" w:fill="C4D79B"/>
            <w:vAlign w:val="center"/>
            <w:hideMark/>
          </w:tcPr>
          <w:p w14:paraId="5A92051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ED97BC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686F2F6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C7A6AA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F5A08D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4C1121B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4846BFD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059A964" w14:textId="77777777" w:rsidTr="00C91F10">
        <w:trPr>
          <w:trHeight w:val="225"/>
          <w:jc w:val="center"/>
        </w:trPr>
        <w:tc>
          <w:tcPr>
            <w:tcW w:w="541" w:type="pct"/>
            <w:shd w:val="clear" w:color="auto" w:fill="auto"/>
            <w:vAlign w:val="center"/>
            <w:hideMark/>
          </w:tcPr>
          <w:p w14:paraId="09F2042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03.1017.002</w:t>
            </w:r>
          </w:p>
        </w:tc>
        <w:tc>
          <w:tcPr>
            <w:tcW w:w="1331" w:type="pct"/>
            <w:shd w:val="clear" w:color="auto" w:fill="auto"/>
            <w:vAlign w:val="center"/>
            <w:hideMark/>
          </w:tcPr>
          <w:p w14:paraId="2495C85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ΠΡΟΑΣΠΙΣΗ ΑΝΘΡΩΠΙΝΗΣ ΑΣΦΑΛΕΙΑΣ</w:t>
            </w:r>
          </w:p>
        </w:tc>
        <w:tc>
          <w:tcPr>
            <w:tcW w:w="857" w:type="pct"/>
            <w:shd w:val="clear" w:color="auto" w:fill="auto"/>
            <w:vAlign w:val="center"/>
            <w:hideMark/>
          </w:tcPr>
          <w:p w14:paraId="2133CE0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52.335.143,60 €</w:t>
            </w:r>
          </w:p>
        </w:tc>
        <w:tc>
          <w:tcPr>
            <w:tcW w:w="345" w:type="pct"/>
            <w:shd w:val="clear" w:color="000000" w:fill="B7DEE8"/>
            <w:vAlign w:val="center"/>
            <w:hideMark/>
          </w:tcPr>
          <w:p w14:paraId="5B74D31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BD3EC2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C18891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44FEBC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9161D5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00718FB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FA24C6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73FC80BB" w14:textId="77777777" w:rsidTr="00C91F10">
        <w:trPr>
          <w:trHeight w:val="225"/>
          <w:jc w:val="center"/>
        </w:trPr>
        <w:tc>
          <w:tcPr>
            <w:tcW w:w="541" w:type="pct"/>
            <w:shd w:val="clear" w:color="auto" w:fill="auto"/>
            <w:vAlign w:val="center"/>
            <w:hideMark/>
          </w:tcPr>
          <w:p w14:paraId="7AC4397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03.1017.003</w:t>
            </w:r>
          </w:p>
        </w:tc>
        <w:tc>
          <w:tcPr>
            <w:tcW w:w="1331" w:type="pct"/>
            <w:shd w:val="clear" w:color="auto" w:fill="auto"/>
            <w:vAlign w:val="center"/>
            <w:hideMark/>
          </w:tcPr>
          <w:p w14:paraId="54DE053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ΨΗΦΙΑΚΗ ΔΙΚΑΙΟΣΥΝΗ</w:t>
            </w:r>
          </w:p>
        </w:tc>
        <w:tc>
          <w:tcPr>
            <w:tcW w:w="857" w:type="pct"/>
            <w:shd w:val="clear" w:color="auto" w:fill="auto"/>
            <w:vAlign w:val="center"/>
            <w:hideMark/>
          </w:tcPr>
          <w:p w14:paraId="647A722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7.278.329,20 €</w:t>
            </w:r>
          </w:p>
        </w:tc>
        <w:tc>
          <w:tcPr>
            <w:tcW w:w="345" w:type="pct"/>
            <w:shd w:val="clear" w:color="000000" w:fill="C4D79B"/>
            <w:vAlign w:val="center"/>
            <w:hideMark/>
          </w:tcPr>
          <w:p w14:paraId="48795ED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733730F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75D968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C6447A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3E1DBB9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15B3701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1FE01E7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E26B3D0" w14:textId="77777777" w:rsidTr="00C91F10">
        <w:trPr>
          <w:trHeight w:val="225"/>
          <w:jc w:val="center"/>
        </w:trPr>
        <w:tc>
          <w:tcPr>
            <w:tcW w:w="541" w:type="pct"/>
            <w:shd w:val="clear" w:color="auto" w:fill="auto"/>
            <w:vAlign w:val="center"/>
            <w:hideMark/>
          </w:tcPr>
          <w:p w14:paraId="38E3822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03.1017.005</w:t>
            </w:r>
          </w:p>
        </w:tc>
        <w:tc>
          <w:tcPr>
            <w:tcW w:w="1331" w:type="pct"/>
            <w:shd w:val="clear" w:color="auto" w:fill="auto"/>
            <w:vAlign w:val="center"/>
            <w:hideMark/>
          </w:tcPr>
          <w:p w14:paraId="0B05656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ΠΡΟΣΤΑΣΙΑ ΑΝΗΛΙΚΩΝ</w:t>
            </w:r>
          </w:p>
        </w:tc>
        <w:tc>
          <w:tcPr>
            <w:tcW w:w="857" w:type="pct"/>
            <w:shd w:val="clear" w:color="auto" w:fill="auto"/>
            <w:vAlign w:val="center"/>
            <w:hideMark/>
          </w:tcPr>
          <w:p w14:paraId="690F88E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8.382.523,00 €</w:t>
            </w:r>
          </w:p>
        </w:tc>
        <w:tc>
          <w:tcPr>
            <w:tcW w:w="345" w:type="pct"/>
            <w:shd w:val="clear" w:color="000000" w:fill="B7DEE8"/>
            <w:vAlign w:val="center"/>
            <w:hideMark/>
          </w:tcPr>
          <w:p w14:paraId="14036B5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238F01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D60AC1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0B74F4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369AEA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85E6F0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79D5122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314AAE84" w14:textId="77777777" w:rsidTr="00C91F10">
        <w:trPr>
          <w:trHeight w:val="450"/>
          <w:jc w:val="center"/>
        </w:trPr>
        <w:tc>
          <w:tcPr>
            <w:tcW w:w="541" w:type="pct"/>
            <w:shd w:val="clear" w:color="auto" w:fill="auto"/>
            <w:vAlign w:val="center"/>
            <w:hideMark/>
          </w:tcPr>
          <w:p w14:paraId="2DCD3BC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03.1017.006</w:t>
            </w:r>
          </w:p>
        </w:tc>
        <w:tc>
          <w:tcPr>
            <w:tcW w:w="1331" w:type="pct"/>
            <w:shd w:val="clear" w:color="auto" w:fill="auto"/>
            <w:vAlign w:val="center"/>
            <w:hideMark/>
          </w:tcPr>
          <w:p w14:paraId="357A4B6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ΔΙΚΑΙΟΣΥΝΗΣ</w:t>
            </w:r>
          </w:p>
        </w:tc>
        <w:tc>
          <w:tcPr>
            <w:tcW w:w="857" w:type="pct"/>
            <w:shd w:val="clear" w:color="auto" w:fill="auto"/>
            <w:vAlign w:val="center"/>
            <w:hideMark/>
          </w:tcPr>
          <w:p w14:paraId="2FAC9F8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6.346.000,00 €</w:t>
            </w:r>
          </w:p>
        </w:tc>
        <w:tc>
          <w:tcPr>
            <w:tcW w:w="345" w:type="pct"/>
            <w:shd w:val="clear" w:color="000000" w:fill="C4D79B"/>
            <w:vAlign w:val="center"/>
            <w:hideMark/>
          </w:tcPr>
          <w:p w14:paraId="0C705BA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4D78E13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164189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81092D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5EDDA26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77AC76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E453D3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576A1F13" w14:textId="77777777" w:rsidTr="00C91F10">
        <w:trPr>
          <w:trHeight w:val="225"/>
          <w:jc w:val="center"/>
        </w:trPr>
        <w:tc>
          <w:tcPr>
            <w:tcW w:w="541" w:type="pct"/>
            <w:shd w:val="clear" w:color="auto" w:fill="auto"/>
            <w:vAlign w:val="center"/>
            <w:hideMark/>
          </w:tcPr>
          <w:p w14:paraId="1915CCA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03.1017.007</w:t>
            </w:r>
          </w:p>
        </w:tc>
        <w:tc>
          <w:tcPr>
            <w:tcW w:w="1331" w:type="pct"/>
            <w:shd w:val="clear" w:color="auto" w:fill="auto"/>
            <w:vAlign w:val="center"/>
            <w:hideMark/>
          </w:tcPr>
          <w:p w14:paraId="74580BA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ΠΡΟΣΤΑΣΙΑ ΠΡΟΣΩΠΙΚΩΝ ΔΕΔΟΜΕΝΩΝ</w:t>
            </w:r>
          </w:p>
        </w:tc>
        <w:tc>
          <w:tcPr>
            <w:tcW w:w="857" w:type="pct"/>
            <w:shd w:val="clear" w:color="auto" w:fill="auto"/>
            <w:vAlign w:val="center"/>
            <w:hideMark/>
          </w:tcPr>
          <w:p w14:paraId="70C5388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2.817.000,00 €</w:t>
            </w:r>
          </w:p>
        </w:tc>
        <w:tc>
          <w:tcPr>
            <w:tcW w:w="345" w:type="pct"/>
            <w:shd w:val="clear" w:color="000000" w:fill="B7DEE8"/>
            <w:vAlign w:val="center"/>
            <w:hideMark/>
          </w:tcPr>
          <w:p w14:paraId="59175C5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03ECE8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485BEC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9F39E1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204F07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289AE5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6F31B4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72E6B9C" w14:textId="77777777" w:rsidTr="00C91F10">
        <w:trPr>
          <w:trHeight w:val="450"/>
          <w:jc w:val="center"/>
        </w:trPr>
        <w:tc>
          <w:tcPr>
            <w:tcW w:w="541" w:type="pct"/>
            <w:shd w:val="clear" w:color="auto" w:fill="auto"/>
            <w:vAlign w:val="center"/>
            <w:hideMark/>
          </w:tcPr>
          <w:p w14:paraId="1D37032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03.1017.008</w:t>
            </w:r>
          </w:p>
        </w:tc>
        <w:tc>
          <w:tcPr>
            <w:tcW w:w="1331" w:type="pct"/>
            <w:shd w:val="clear" w:color="auto" w:fill="auto"/>
            <w:vAlign w:val="center"/>
            <w:hideMark/>
          </w:tcPr>
          <w:p w14:paraId="6280D48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ΠΡΟΣΤΑΣΙΑ ΤΟΥ ΔΙKAIΩΜΑΤΟΣ ΣΤΟ ΑΠΟΡΡΗΤΟ ΤΩΝ ΕΠΙΚΟΙΝΩΝΙΩΝ</w:t>
            </w:r>
          </w:p>
        </w:tc>
        <w:tc>
          <w:tcPr>
            <w:tcW w:w="857" w:type="pct"/>
            <w:shd w:val="clear" w:color="auto" w:fill="auto"/>
            <w:vAlign w:val="center"/>
            <w:hideMark/>
          </w:tcPr>
          <w:p w14:paraId="0366CF7C"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2.526.000,00 €</w:t>
            </w:r>
          </w:p>
        </w:tc>
        <w:tc>
          <w:tcPr>
            <w:tcW w:w="345" w:type="pct"/>
            <w:shd w:val="clear" w:color="000000" w:fill="B7DEE8"/>
            <w:vAlign w:val="center"/>
            <w:hideMark/>
          </w:tcPr>
          <w:p w14:paraId="1A328C9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048F7D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A59C62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113C37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E3DE13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6F64EB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52371BB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603940DD" w14:textId="77777777" w:rsidTr="00C91F10">
        <w:trPr>
          <w:trHeight w:val="450"/>
          <w:jc w:val="center"/>
        </w:trPr>
        <w:tc>
          <w:tcPr>
            <w:tcW w:w="541" w:type="pct"/>
            <w:shd w:val="clear" w:color="auto" w:fill="auto"/>
            <w:vAlign w:val="center"/>
            <w:hideMark/>
          </w:tcPr>
          <w:p w14:paraId="3AE3016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03.1017.010</w:t>
            </w:r>
          </w:p>
        </w:tc>
        <w:tc>
          <w:tcPr>
            <w:tcW w:w="1331" w:type="pct"/>
            <w:shd w:val="clear" w:color="auto" w:fill="auto"/>
            <w:vAlign w:val="center"/>
            <w:hideMark/>
          </w:tcPr>
          <w:p w14:paraId="31B8F1E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ΕΠΙΛΥΣΗ ΔΙΑΦΟΡΩΝ ΜΕΣΩ ΤΟΥ ΘΕΣΜΟΥ ΤΗΣ ΔΙΑΜΕΣΟΛΑΒΗΣΗΣ</w:t>
            </w:r>
          </w:p>
        </w:tc>
        <w:tc>
          <w:tcPr>
            <w:tcW w:w="857" w:type="pct"/>
            <w:shd w:val="clear" w:color="auto" w:fill="auto"/>
            <w:vAlign w:val="center"/>
            <w:hideMark/>
          </w:tcPr>
          <w:p w14:paraId="1F251AF0"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4.010.000,00 €</w:t>
            </w:r>
          </w:p>
        </w:tc>
        <w:tc>
          <w:tcPr>
            <w:tcW w:w="345" w:type="pct"/>
            <w:shd w:val="clear" w:color="000000" w:fill="B7DEE8"/>
            <w:vAlign w:val="center"/>
            <w:hideMark/>
          </w:tcPr>
          <w:p w14:paraId="6D8731D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690F2D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1C09F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5B3244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4827AA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CA9070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B7E882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335B9232" w14:textId="77777777" w:rsidTr="00C91F10">
        <w:trPr>
          <w:trHeight w:val="450"/>
          <w:jc w:val="center"/>
        </w:trPr>
        <w:tc>
          <w:tcPr>
            <w:tcW w:w="541" w:type="pct"/>
            <w:shd w:val="clear" w:color="000000" w:fill="BEBEBE"/>
            <w:vAlign w:val="center"/>
            <w:hideMark/>
          </w:tcPr>
          <w:p w14:paraId="0F7A4730"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1020</w:t>
            </w:r>
          </w:p>
        </w:tc>
        <w:tc>
          <w:tcPr>
            <w:tcW w:w="1331" w:type="pct"/>
            <w:shd w:val="clear" w:color="000000" w:fill="BEBEBE"/>
            <w:vAlign w:val="center"/>
            <w:hideMark/>
          </w:tcPr>
          <w:p w14:paraId="6109BB4D"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ΠΑΙΔΕΙΑΣ, ΘΡΗΣΚΕΥΜΑΤΩΝ ΚΑΙ ΑΘΛΗΤΙΣΜΟΥ</w:t>
            </w:r>
          </w:p>
        </w:tc>
        <w:tc>
          <w:tcPr>
            <w:tcW w:w="857" w:type="pct"/>
            <w:shd w:val="clear" w:color="000000" w:fill="BEBEBE"/>
            <w:vAlign w:val="center"/>
            <w:hideMark/>
          </w:tcPr>
          <w:p w14:paraId="4D636206"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6.763.933.000,00 €</w:t>
            </w:r>
          </w:p>
        </w:tc>
        <w:tc>
          <w:tcPr>
            <w:tcW w:w="345" w:type="pct"/>
            <w:shd w:val="clear" w:color="000000" w:fill="BEBEBE"/>
            <w:vAlign w:val="bottom"/>
            <w:hideMark/>
          </w:tcPr>
          <w:p w14:paraId="78B44CF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37FA19F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10C3F2D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4847626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75976D9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4D537DE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171247D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00453B1D" w14:textId="77777777" w:rsidTr="00C91F10">
        <w:trPr>
          <w:trHeight w:val="225"/>
          <w:jc w:val="center"/>
        </w:trPr>
        <w:tc>
          <w:tcPr>
            <w:tcW w:w="541" w:type="pct"/>
            <w:shd w:val="clear" w:color="auto" w:fill="auto"/>
            <w:vAlign w:val="center"/>
            <w:hideMark/>
          </w:tcPr>
          <w:p w14:paraId="5B0468B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07.1020.001</w:t>
            </w:r>
          </w:p>
        </w:tc>
        <w:tc>
          <w:tcPr>
            <w:tcW w:w="1331" w:type="pct"/>
            <w:shd w:val="clear" w:color="auto" w:fill="auto"/>
            <w:vAlign w:val="center"/>
            <w:hideMark/>
          </w:tcPr>
          <w:p w14:paraId="5333466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ΠΑΝΕΠΙΣΤΗΜΙΑΚΑ ΝΟΣΟΚΟΜΕΙΑ</w:t>
            </w:r>
          </w:p>
        </w:tc>
        <w:tc>
          <w:tcPr>
            <w:tcW w:w="857" w:type="pct"/>
            <w:shd w:val="clear" w:color="auto" w:fill="auto"/>
            <w:vAlign w:val="center"/>
            <w:hideMark/>
          </w:tcPr>
          <w:p w14:paraId="712076D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23.385.469,88 €</w:t>
            </w:r>
          </w:p>
        </w:tc>
        <w:tc>
          <w:tcPr>
            <w:tcW w:w="345" w:type="pct"/>
            <w:shd w:val="clear" w:color="000000" w:fill="FDE9D9"/>
            <w:vAlign w:val="center"/>
            <w:hideMark/>
          </w:tcPr>
          <w:p w14:paraId="057B1FD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5F826FD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2A0AB14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773ECC0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3F25F1F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2DC0B79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55502FC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45DE2A20" w14:textId="77777777" w:rsidTr="00C91F10">
        <w:trPr>
          <w:trHeight w:val="225"/>
          <w:jc w:val="center"/>
        </w:trPr>
        <w:tc>
          <w:tcPr>
            <w:tcW w:w="541" w:type="pct"/>
            <w:shd w:val="clear" w:color="auto" w:fill="auto"/>
            <w:vAlign w:val="center"/>
            <w:hideMark/>
          </w:tcPr>
          <w:p w14:paraId="7AF970E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08.1020.001</w:t>
            </w:r>
          </w:p>
        </w:tc>
        <w:tc>
          <w:tcPr>
            <w:tcW w:w="1331" w:type="pct"/>
            <w:shd w:val="clear" w:color="auto" w:fill="auto"/>
            <w:vAlign w:val="center"/>
            <w:hideMark/>
          </w:tcPr>
          <w:p w14:paraId="4E6CE53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ΘΡΗΣΚΕΙΑ</w:t>
            </w:r>
          </w:p>
        </w:tc>
        <w:tc>
          <w:tcPr>
            <w:tcW w:w="857" w:type="pct"/>
            <w:shd w:val="clear" w:color="auto" w:fill="auto"/>
            <w:vAlign w:val="center"/>
            <w:hideMark/>
          </w:tcPr>
          <w:p w14:paraId="42A2907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228.845.036,20 €</w:t>
            </w:r>
          </w:p>
        </w:tc>
        <w:tc>
          <w:tcPr>
            <w:tcW w:w="345" w:type="pct"/>
            <w:shd w:val="clear" w:color="000000" w:fill="B7DEE8"/>
            <w:vAlign w:val="center"/>
            <w:hideMark/>
          </w:tcPr>
          <w:p w14:paraId="718C765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4A4333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A4E39A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60564C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7F7DBD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ABAA89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45E38E7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05571B71" w14:textId="77777777" w:rsidTr="00C91F10">
        <w:trPr>
          <w:trHeight w:val="225"/>
          <w:jc w:val="center"/>
        </w:trPr>
        <w:tc>
          <w:tcPr>
            <w:tcW w:w="541" w:type="pct"/>
            <w:shd w:val="clear" w:color="auto" w:fill="auto"/>
            <w:vAlign w:val="center"/>
            <w:hideMark/>
          </w:tcPr>
          <w:p w14:paraId="7702E9D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08.1020.002</w:t>
            </w:r>
          </w:p>
        </w:tc>
        <w:tc>
          <w:tcPr>
            <w:tcW w:w="1331" w:type="pct"/>
            <w:shd w:val="clear" w:color="auto" w:fill="auto"/>
            <w:vAlign w:val="center"/>
            <w:hideMark/>
          </w:tcPr>
          <w:p w14:paraId="45D28DC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ΣΧΟΛΙΚΟΣ/ ΠΑΝΕΠΙΣΤΗΜΙΑΚΟΣ ΑΘΛΗΤΙΣΜΟΣ</w:t>
            </w:r>
          </w:p>
        </w:tc>
        <w:tc>
          <w:tcPr>
            <w:tcW w:w="857" w:type="pct"/>
            <w:shd w:val="clear" w:color="auto" w:fill="auto"/>
            <w:vAlign w:val="center"/>
            <w:hideMark/>
          </w:tcPr>
          <w:p w14:paraId="399560F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3.216.843,18 €</w:t>
            </w:r>
          </w:p>
        </w:tc>
        <w:tc>
          <w:tcPr>
            <w:tcW w:w="345" w:type="pct"/>
            <w:shd w:val="clear" w:color="000000" w:fill="B7DEE8"/>
            <w:vAlign w:val="center"/>
            <w:hideMark/>
          </w:tcPr>
          <w:p w14:paraId="32B57F2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7DBE77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4A4A9F9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BD9068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FDD068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D4FF81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FEDEAD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452AB925" w14:textId="77777777" w:rsidTr="00C91F10">
        <w:trPr>
          <w:trHeight w:val="225"/>
          <w:jc w:val="center"/>
        </w:trPr>
        <w:tc>
          <w:tcPr>
            <w:tcW w:w="541" w:type="pct"/>
            <w:shd w:val="clear" w:color="auto" w:fill="auto"/>
            <w:vAlign w:val="center"/>
            <w:hideMark/>
          </w:tcPr>
          <w:p w14:paraId="79C46FA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08.1020.003</w:t>
            </w:r>
          </w:p>
        </w:tc>
        <w:tc>
          <w:tcPr>
            <w:tcW w:w="1331" w:type="pct"/>
            <w:shd w:val="clear" w:color="auto" w:fill="auto"/>
            <w:vAlign w:val="center"/>
            <w:hideMark/>
          </w:tcPr>
          <w:p w14:paraId="7FFC3CF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ΔΗΜΟΣΙΕΣ ΒΙΒΛΙΟΘΗΚΕΣ/ ΓΕΝΙΚΑ ΑΡΧΕΙΑ</w:t>
            </w:r>
          </w:p>
        </w:tc>
        <w:tc>
          <w:tcPr>
            <w:tcW w:w="857" w:type="pct"/>
            <w:shd w:val="clear" w:color="auto" w:fill="auto"/>
            <w:vAlign w:val="center"/>
            <w:hideMark/>
          </w:tcPr>
          <w:p w14:paraId="0ABB03A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30.763.305,20 €</w:t>
            </w:r>
          </w:p>
        </w:tc>
        <w:tc>
          <w:tcPr>
            <w:tcW w:w="345" w:type="pct"/>
            <w:shd w:val="clear" w:color="000000" w:fill="FDE9D9"/>
            <w:vAlign w:val="center"/>
            <w:hideMark/>
          </w:tcPr>
          <w:p w14:paraId="4388F61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7856907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2BF0646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4049323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53183D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63FE0E5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2478B0F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17A5DCA6" w14:textId="77777777" w:rsidTr="00C91F10">
        <w:trPr>
          <w:trHeight w:val="450"/>
          <w:jc w:val="center"/>
        </w:trPr>
        <w:tc>
          <w:tcPr>
            <w:tcW w:w="541" w:type="pct"/>
            <w:shd w:val="clear" w:color="auto" w:fill="auto"/>
            <w:vAlign w:val="center"/>
            <w:hideMark/>
          </w:tcPr>
          <w:p w14:paraId="130D951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08.1020.004</w:t>
            </w:r>
          </w:p>
        </w:tc>
        <w:tc>
          <w:tcPr>
            <w:tcW w:w="1331" w:type="pct"/>
            <w:shd w:val="clear" w:color="auto" w:fill="auto"/>
            <w:vAlign w:val="center"/>
            <w:hideMark/>
          </w:tcPr>
          <w:p w14:paraId="0B1E36C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ΕΡΑΣΙΤΕΧΝΙΚΟΣ ΚΑΙ ΕΠΑΓΓΕΛΜΑΤΙΚΟΣ ΑΘΛΗΤΙΣΜΟΣ</w:t>
            </w:r>
          </w:p>
        </w:tc>
        <w:tc>
          <w:tcPr>
            <w:tcW w:w="857" w:type="pct"/>
            <w:shd w:val="clear" w:color="auto" w:fill="auto"/>
            <w:vAlign w:val="center"/>
            <w:hideMark/>
          </w:tcPr>
          <w:p w14:paraId="21274CF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93.182.200,20 €</w:t>
            </w:r>
          </w:p>
        </w:tc>
        <w:tc>
          <w:tcPr>
            <w:tcW w:w="345" w:type="pct"/>
            <w:shd w:val="clear" w:color="000000" w:fill="B7DEE8"/>
            <w:vAlign w:val="center"/>
            <w:hideMark/>
          </w:tcPr>
          <w:p w14:paraId="7BBFE10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B282F0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FA0A14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70578E5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9FD456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345C3C2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517BDBA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87BB8AA" w14:textId="77777777" w:rsidTr="00C91F10">
        <w:trPr>
          <w:trHeight w:val="675"/>
          <w:jc w:val="center"/>
        </w:trPr>
        <w:tc>
          <w:tcPr>
            <w:tcW w:w="541" w:type="pct"/>
            <w:shd w:val="clear" w:color="auto" w:fill="auto"/>
            <w:vAlign w:val="center"/>
            <w:hideMark/>
          </w:tcPr>
          <w:p w14:paraId="510E9D6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08.1020.005</w:t>
            </w:r>
          </w:p>
        </w:tc>
        <w:tc>
          <w:tcPr>
            <w:tcW w:w="1331" w:type="pct"/>
            <w:shd w:val="clear" w:color="auto" w:fill="auto"/>
            <w:vAlign w:val="center"/>
            <w:hideMark/>
          </w:tcPr>
          <w:p w14:paraId="38B85A3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ΑΘΛΗΣΗ ΓΙΑ ΟΛΟΥΣ, ΑΝΑΨΥΧΗ, ΑΘΛΟΤΟΥΡΙΣΜΟΣ, ΕΠΙΣΤΗΜΟΝΙΚΗ ΥΠΟΣΤΗΡΙΞΗ ΚΑΙ ΔΙΕΘΝΕΙΣ ΣΧΕΣΕΙΣ</w:t>
            </w:r>
          </w:p>
        </w:tc>
        <w:tc>
          <w:tcPr>
            <w:tcW w:w="857" w:type="pct"/>
            <w:shd w:val="clear" w:color="auto" w:fill="auto"/>
            <w:vAlign w:val="center"/>
            <w:hideMark/>
          </w:tcPr>
          <w:p w14:paraId="136AEBB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48.954.270,00 €</w:t>
            </w:r>
          </w:p>
        </w:tc>
        <w:tc>
          <w:tcPr>
            <w:tcW w:w="345" w:type="pct"/>
            <w:shd w:val="clear" w:color="000000" w:fill="B7DEE8"/>
            <w:vAlign w:val="center"/>
            <w:hideMark/>
          </w:tcPr>
          <w:p w14:paraId="07E1BA9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9C067B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5585D3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09FC7FD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36C2114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E1EDD3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111A495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F26C584" w14:textId="77777777" w:rsidTr="00C91F10">
        <w:trPr>
          <w:trHeight w:val="225"/>
          <w:jc w:val="center"/>
        </w:trPr>
        <w:tc>
          <w:tcPr>
            <w:tcW w:w="541" w:type="pct"/>
            <w:shd w:val="clear" w:color="auto" w:fill="auto"/>
            <w:vAlign w:val="center"/>
            <w:hideMark/>
          </w:tcPr>
          <w:p w14:paraId="7D681E7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08.1020.006</w:t>
            </w:r>
          </w:p>
        </w:tc>
        <w:tc>
          <w:tcPr>
            <w:tcW w:w="1331" w:type="pct"/>
            <w:shd w:val="clear" w:color="auto" w:fill="auto"/>
            <w:vAlign w:val="center"/>
            <w:hideMark/>
          </w:tcPr>
          <w:p w14:paraId="1E6654E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ΕΡΓΑ ΥΠΟΔΟΜΩΝ ΑΘΛΗΤΙΣΜΟΥ</w:t>
            </w:r>
          </w:p>
        </w:tc>
        <w:tc>
          <w:tcPr>
            <w:tcW w:w="857" w:type="pct"/>
            <w:shd w:val="clear" w:color="auto" w:fill="auto"/>
            <w:vAlign w:val="center"/>
            <w:hideMark/>
          </w:tcPr>
          <w:p w14:paraId="56D35A3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65.256.394,50 €</w:t>
            </w:r>
          </w:p>
        </w:tc>
        <w:tc>
          <w:tcPr>
            <w:tcW w:w="345" w:type="pct"/>
            <w:shd w:val="clear" w:color="000000" w:fill="C4D79B"/>
            <w:vAlign w:val="center"/>
            <w:hideMark/>
          </w:tcPr>
          <w:p w14:paraId="0538A9F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9DDA5E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733413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045A168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F1F056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41ED10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1D46C60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4CA05C1" w14:textId="77777777" w:rsidTr="00C91F10">
        <w:trPr>
          <w:trHeight w:val="225"/>
          <w:jc w:val="center"/>
        </w:trPr>
        <w:tc>
          <w:tcPr>
            <w:tcW w:w="541" w:type="pct"/>
            <w:shd w:val="clear" w:color="auto" w:fill="auto"/>
            <w:vAlign w:val="center"/>
            <w:hideMark/>
          </w:tcPr>
          <w:p w14:paraId="4D7438C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09.1020.001</w:t>
            </w:r>
          </w:p>
        </w:tc>
        <w:tc>
          <w:tcPr>
            <w:tcW w:w="1331" w:type="pct"/>
            <w:shd w:val="clear" w:color="auto" w:fill="auto"/>
            <w:vAlign w:val="center"/>
            <w:hideMark/>
          </w:tcPr>
          <w:p w14:paraId="7EB35D1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ΠΡΩΤΟΒΑΘΜΙΑ/ ΔΕΥΤΕΡΟΒΑΘΜΙΑ ΕΚΠΑΙΔΕΥΣΗ</w:t>
            </w:r>
          </w:p>
        </w:tc>
        <w:tc>
          <w:tcPr>
            <w:tcW w:w="857" w:type="pct"/>
            <w:shd w:val="clear" w:color="auto" w:fill="auto"/>
            <w:vAlign w:val="center"/>
            <w:hideMark/>
          </w:tcPr>
          <w:p w14:paraId="4206648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4.105.158.935,93 €</w:t>
            </w:r>
          </w:p>
        </w:tc>
        <w:tc>
          <w:tcPr>
            <w:tcW w:w="345" w:type="pct"/>
            <w:shd w:val="clear" w:color="000000" w:fill="B7DEE8"/>
            <w:vAlign w:val="center"/>
            <w:hideMark/>
          </w:tcPr>
          <w:p w14:paraId="0A4AE1D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5C7A0D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67161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6B04AB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42EBE2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0417AB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B0DA04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A759DC2" w14:textId="77777777" w:rsidTr="00C91F10">
        <w:trPr>
          <w:trHeight w:val="225"/>
          <w:jc w:val="center"/>
        </w:trPr>
        <w:tc>
          <w:tcPr>
            <w:tcW w:w="541" w:type="pct"/>
            <w:shd w:val="clear" w:color="auto" w:fill="auto"/>
            <w:vAlign w:val="center"/>
            <w:hideMark/>
          </w:tcPr>
          <w:p w14:paraId="154B87A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09.1020.002</w:t>
            </w:r>
          </w:p>
        </w:tc>
        <w:tc>
          <w:tcPr>
            <w:tcW w:w="1331" w:type="pct"/>
            <w:shd w:val="clear" w:color="auto" w:fill="auto"/>
            <w:vAlign w:val="center"/>
            <w:hideMark/>
          </w:tcPr>
          <w:p w14:paraId="0DA07AB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ΤΡΙΤΟΒΑΘΜΙΑ ΕΚΠΑΙΔΕΥΣΗ</w:t>
            </w:r>
          </w:p>
        </w:tc>
        <w:tc>
          <w:tcPr>
            <w:tcW w:w="857" w:type="pct"/>
            <w:shd w:val="clear" w:color="auto" w:fill="auto"/>
            <w:vAlign w:val="center"/>
            <w:hideMark/>
          </w:tcPr>
          <w:p w14:paraId="608FD4C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1.457.580.950,52 €</w:t>
            </w:r>
          </w:p>
        </w:tc>
        <w:tc>
          <w:tcPr>
            <w:tcW w:w="345" w:type="pct"/>
            <w:shd w:val="clear" w:color="000000" w:fill="FDE9D9"/>
            <w:vAlign w:val="center"/>
            <w:hideMark/>
          </w:tcPr>
          <w:p w14:paraId="08E1E50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5D1B18A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738C93F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7315E69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2A3B0F2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36C2551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5846429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0CE798AF" w14:textId="77777777" w:rsidTr="00C91F10">
        <w:trPr>
          <w:trHeight w:val="450"/>
          <w:jc w:val="center"/>
        </w:trPr>
        <w:tc>
          <w:tcPr>
            <w:tcW w:w="541" w:type="pct"/>
            <w:shd w:val="clear" w:color="auto" w:fill="auto"/>
            <w:vAlign w:val="center"/>
            <w:hideMark/>
          </w:tcPr>
          <w:p w14:paraId="2D31DB7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09.1020.003</w:t>
            </w:r>
          </w:p>
        </w:tc>
        <w:tc>
          <w:tcPr>
            <w:tcW w:w="1331" w:type="pct"/>
            <w:shd w:val="clear" w:color="auto" w:fill="auto"/>
            <w:vAlign w:val="center"/>
            <w:hideMark/>
          </w:tcPr>
          <w:p w14:paraId="6CBD42B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ΕΠΑΓΓΕΛΜΑΤΙΚΗ ΕΚΠΑΙΔΕΥΣΗ ΚΑΙ ΔΙΑ ΒΙΟΥ ΜΑΘΗΣΗ</w:t>
            </w:r>
          </w:p>
        </w:tc>
        <w:tc>
          <w:tcPr>
            <w:tcW w:w="857" w:type="pct"/>
            <w:shd w:val="clear" w:color="auto" w:fill="auto"/>
            <w:vAlign w:val="center"/>
            <w:hideMark/>
          </w:tcPr>
          <w:p w14:paraId="33B5423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486.068.053,84 €</w:t>
            </w:r>
          </w:p>
        </w:tc>
        <w:tc>
          <w:tcPr>
            <w:tcW w:w="345" w:type="pct"/>
            <w:shd w:val="clear" w:color="000000" w:fill="FDE9D9"/>
            <w:vAlign w:val="center"/>
            <w:hideMark/>
          </w:tcPr>
          <w:p w14:paraId="4BB9383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1BAEEE8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2101624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4D23D7D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731D419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4469B41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262FA55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435687C1" w14:textId="77777777" w:rsidTr="00C91F10">
        <w:trPr>
          <w:trHeight w:val="225"/>
          <w:jc w:val="center"/>
        </w:trPr>
        <w:tc>
          <w:tcPr>
            <w:tcW w:w="541" w:type="pct"/>
            <w:shd w:val="clear" w:color="auto" w:fill="auto"/>
            <w:vAlign w:val="center"/>
            <w:hideMark/>
          </w:tcPr>
          <w:p w14:paraId="2BD9386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09.1020.004</w:t>
            </w:r>
          </w:p>
        </w:tc>
        <w:tc>
          <w:tcPr>
            <w:tcW w:w="1331" w:type="pct"/>
            <w:shd w:val="clear" w:color="auto" w:fill="auto"/>
            <w:vAlign w:val="center"/>
            <w:hideMark/>
          </w:tcPr>
          <w:p w14:paraId="4754D40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ΕΚΠΑΙΔΕΥΣΗ ΕΛΛΗΝΟΠΑΙΔΩΝ ΕΞΩΤΕΡΙΚΟΥ</w:t>
            </w:r>
          </w:p>
        </w:tc>
        <w:tc>
          <w:tcPr>
            <w:tcW w:w="857" w:type="pct"/>
            <w:shd w:val="clear" w:color="auto" w:fill="auto"/>
            <w:vAlign w:val="center"/>
            <w:hideMark/>
          </w:tcPr>
          <w:p w14:paraId="1C56F4E0"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19.082.456,00 €</w:t>
            </w:r>
          </w:p>
        </w:tc>
        <w:tc>
          <w:tcPr>
            <w:tcW w:w="345" w:type="pct"/>
            <w:shd w:val="clear" w:color="000000" w:fill="FDE9D9"/>
            <w:vAlign w:val="center"/>
            <w:hideMark/>
          </w:tcPr>
          <w:p w14:paraId="4EFCF12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58BCD68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5F7E3BE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08CCDE5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367B80A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3B02A17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6EF836A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152CB52F" w14:textId="77777777" w:rsidTr="00C91F10">
        <w:trPr>
          <w:trHeight w:val="225"/>
          <w:jc w:val="center"/>
        </w:trPr>
        <w:tc>
          <w:tcPr>
            <w:tcW w:w="541" w:type="pct"/>
            <w:shd w:val="clear" w:color="auto" w:fill="auto"/>
            <w:vAlign w:val="center"/>
            <w:hideMark/>
          </w:tcPr>
          <w:p w14:paraId="69A2C92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09.1020.005</w:t>
            </w:r>
          </w:p>
        </w:tc>
        <w:tc>
          <w:tcPr>
            <w:tcW w:w="1331" w:type="pct"/>
            <w:shd w:val="clear" w:color="auto" w:fill="auto"/>
            <w:vAlign w:val="center"/>
            <w:hideMark/>
          </w:tcPr>
          <w:p w14:paraId="250BFFC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ΘΡΗΣΚΕΥΤΙΚΗ ΕΚΠΑΙΔΕΥΣΗ</w:t>
            </w:r>
          </w:p>
        </w:tc>
        <w:tc>
          <w:tcPr>
            <w:tcW w:w="857" w:type="pct"/>
            <w:shd w:val="clear" w:color="auto" w:fill="auto"/>
            <w:vAlign w:val="center"/>
            <w:hideMark/>
          </w:tcPr>
          <w:p w14:paraId="585FBBD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7.294.689,40 €</w:t>
            </w:r>
          </w:p>
        </w:tc>
        <w:tc>
          <w:tcPr>
            <w:tcW w:w="345" w:type="pct"/>
            <w:shd w:val="clear" w:color="000000" w:fill="FDE9D9"/>
            <w:vAlign w:val="center"/>
            <w:hideMark/>
          </w:tcPr>
          <w:p w14:paraId="6BB55B4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277B938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4AD768B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44D87FE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40AEC74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0C21031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698101B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20A15112" w14:textId="77777777" w:rsidTr="00C91F10">
        <w:trPr>
          <w:trHeight w:val="675"/>
          <w:jc w:val="center"/>
        </w:trPr>
        <w:tc>
          <w:tcPr>
            <w:tcW w:w="541" w:type="pct"/>
            <w:shd w:val="clear" w:color="auto" w:fill="auto"/>
            <w:vAlign w:val="center"/>
            <w:hideMark/>
          </w:tcPr>
          <w:p w14:paraId="6F2F99C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lastRenderedPageBreak/>
              <w:t>09.1020.006</w:t>
            </w:r>
          </w:p>
        </w:tc>
        <w:tc>
          <w:tcPr>
            <w:tcW w:w="1331" w:type="pct"/>
            <w:shd w:val="clear" w:color="auto" w:fill="auto"/>
            <w:vAlign w:val="center"/>
            <w:hideMark/>
          </w:tcPr>
          <w:p w14:paraId="102B28A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ΠΑΙΔΕΙΑΣ, ΘΡΗΣΚΕΥΜΑΤΩΝ ΚΑΙ ΑΘΛΗΤΙΣΜΟΥ</w:t>
            </w:r>
          </w:p>
        </w:tc>
        <w:tc>
          <w:tcPr>
            <w:tcW w:w="857" w:type="pct"/>
            <w:shd w:val="clear" w:color="auto" w:fill="auto"/>
            <w:vAlign w:val="center"/>
            <w:hideMark/>
          </w:tcPr>
          <w:p w14:paraId="62C29150"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188.311.395,15 €</w:t>
            </w:r>
          </w:p>
        </w:tc>
        <w:tc>
          <w:tcPr>
            <w:tcW w:w="345" w:type="pct"/>
            <w:shd w:val="clear" w:color="000000" w:fill="C4D79B"/>
            <w:vAlign w:val="center"/>
            <w:hideMark/>
          </w:tcPr>
          <w:p w14:paraId="5D4D885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02739EF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8A60FC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5B8C31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1C20A91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2C0299A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7ACCDF5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2B4EC50" w14:textId="77777777" w:rsidTr="00C91F10">
        <w:trPr>
          <w:trHeight w:val="675"/>
          <w:jc w:val="center"/>
        </w:trPr>
        <w:tc>
          <w:tcPr>
            <w:tcW w:w="541" w:type="pct"/>
            <w:shd w:val="clear" w:color="auto" w:fill="auto"/>
            <w:vAlign w:val="center"/>
            <w:hideMark/>
          </w:tcPr>
          <w:p w14:paraId="67AFDD3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09.1020.007</w:t>
            </w:r>
          </w:p>
        </w:tc>
        <w:tc>
          <w:tcPr>
            <w:tcW w:w="1331" w:type="pct"/>
            <w:shd w:val="clear" w:color="auto" w:fill="auto"/>
            <w:vAlign w:val="center"/>
            <w:hideMark/>
          </w:tcPr>
          <w:p w14:paraId="60C6008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ΔΙΑΣΦΑΛΙΣΗ ΤΗΣ ΠΟΙΟΤΗΤΑΣ ΣΤΗΝ ΠΡΩΤΟΒΑΘΜΙΑ ΚΑΙ ΔΕΥΤΕΡΟΒΑΘΜΙΑ ΕΚΠΑΙΔΕΥΣΗ</w:t>
            </w:r>
          </w:p>
        </w:tc>
        <w:tc>
          <w:tcPr>
            <w:tcW w:w="857" w:type="pct"/>
            <w:shd w:val="clear" w:color="auto" w:fill="auto"/>
            <w:vAlign w:val="center"/>
            <w:hideMark/>
          </w:tcPr>
          <w:p w14:paraId="270F702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77.000,00 €</w:t>
            </w:r>
          </w:p>
        </w:tc>
        <w:tc>
          <w:tcPr>
            <w:tcW w:w="345" w:type="pct"/>
            <w:shd w:val="clear" w:color="000000" w:fill="B7DEE8"/>
            <w:vAlign w:val="center"/>
            <w:hideMark/>
          </w:tcPr>
          <w:p w14:paraId="164E164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CB89B2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124CAF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B8BF8A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3CE964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767EE7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79335E4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AE15686" w14:textId="77777777" w:rsidTr="00C91F10">
        <w:trPr>
          <w:trHeight w:val="225"/>
          <w:jc w:val="center"/>
        </w:trPr>
        <w:tc>
          <w:tcPr>
            <w:tcW w:w="541" w:type="pct"/>
            <w:shd w:val="clear" w:color="auto" w:fill="auto"/>
            <w:vAlign w:val="center"/>
            <w:hideMark/>
          </w:tcPr>
          <w:p w14:paraId="31DA922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09.1020.008</w:t>
            </w:r>
          </w:p>
        </w:tc>
        <w:tc>
          <w:tcPr>
            <w:tcW w:w="1331" w:type="pct"/>
            <w:shd w:val="clear" w:color="auto" w:fill="auto"/>
            <w:vAlign w:val="center"/>
            <w:hideMark/>
          </w:tcPr>
          <w:p w14:paraId="2925BAE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ΕΘΝΙΚΗ ΑΡΧΗ ΑΝΩΤΑΤΗΣ ΕΚΠΑΙΔΕΥΣΗΣ</w:t>
            </w:r>
          </w:p>
        </w:tc>
        <w:tc>
          <w:tcPr>
            <w:tcW w:w="857" w:type="pct"/>
            <w:shd w:val="clear" w:color="auto" w:fill="auto"/>
            <w:vAlign w:val="center"/>
            <w:hideMark/>
          </w:tcPr>
          <w:p w14:paraId="277F4C5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6.667.000,00 €</w:t>
            </w:r>
          </w:p>
        </w:tc>
        <w:tc>
          <w:tcPr>
            <w:tcW w:w="345" w:type="pct"/>
            <w:shd w:val="clear" w:color="000000" w:fill="B7DEE8"/>
            <w:vAlign w:val="center"/>
            <w:hideMark/>
          </w:tcPr>
          <w:p w14:paraId="59A0701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AF8C4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49AFBC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8BA8F4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816C21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C2215B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52A83AB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5C74A531" w14:textId="77777777" w:rsidTr="00C91F10">
        <w:trPr>
          <w:trHeight w:val="225"/>
          <w:jc w:val="center"/>
        </w:trPr>
        <w:tc>
          <w:tcPr>
            <w:tcW w:w="541" w:type="pct"/>
            <w:shd w:val="clear" w:color="auto" w:fill="auto"/>
            <w:vAlign w:val="center"/>
            <w:hideMark/>
          </w:tcPr>
          <w:p w14:paraId="51C1169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09.1020.009</w:t>
            </w:r>
          </w:p>
        </w:tc>
        <w:tc>
          <w:tcPr>
            <w:tcW w:w="1331" w:type="pct"/>
            <w:shd w:val="clear" w:color="auto" w:fill="auto"/>
            <w:vAlign w:val="center"/>
            <w:hideMark/>
          </w:tcPr>
          <w:p w14:paraId="778B81E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ΕΘΝΙΚΟΣ ΟΡΓΑΝΙΣΜΟΣ ΕΞΕΤΑΣΕΩΝ</w:t>
            </w:r>
          </w:p>
        </w:tc>
        <w:tc>
          <w:tcPr>
            <w:tcW w:w="857" w:type="pct"/>
            <w:shd w:val="clear" w:color="auto" w:fill="auto"/>
            <w:vAlign w:val="center"/>
            <w:hideMark/>
          </w:tcPr>
          <w:p w14:paraId="3E02805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89.000,00 €</w:t>
            </w:r>
          </w:p>
        </w:tc>
        <w:tc>
          <w:tcPr>
            <w:tcW w:w="345" w:type="pct"/>
            <w:shd w:val="clear" w:color="000000" w:fill="B7DEE8"/>
            <w:vAlign w:val="center"/>
            <w:hideMark/>
          </w:tcPr>
          <w:p w14:paraId="010236C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CFCAB2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43F448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A358F7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3CCC10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117429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461F15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3A006894" w14:textId="77777777" w:rsidTr="00C91F10">
        <w:trPr>
          <w:trHeight w:val="225"/>
          <w:jc w:val="center"/>
        </w:trPr>
        <w:tc>
          <w:tcPr>
            <w:tcW w:w="541" w:type="pct"/>
            <w:shd w:val="clear" w:color="000000" w:fill="BEBEBE"/>
            <w:vAlign w:val="center"/>
            <w:hideMark/>
          </w:tcPr>
          <w:p w14:paraId="01F23C0B"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1022</w:t>
            </w:r>
          </w:p>
        </w:tc>
        <w:tc>
          <w:tcPr>
            <w:tcW w:w="1331" w:type="pct"/>
            <w:shd w:val="clear" w:color="000000" w:fill="BEBEBE"/>
            <w:vAlign w:val="center"/>
            <w:hideMark/>
          </w:tcPr>
          <w:p w14:paraId="44F63369"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ΠΟΛΙΤΙΣΜΟΥ</w:t>
            </w:r>
          </w:p>
        </w:tc>
        <w:tc>
          <w:tcPr>
            <w:tcW w:w="857" w:type="pct"/>
            <w:shd w:val="clear" w:color="000000" w:fill="BEBEBE"/>
            <w:vAlign w:val="center"/>
            <w:hideMark/>
          </w:tcPr>
          <w:p w14:paraId="341F0C94"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653.109.000,00 €</w:t>
            </w:r>
          </w:p>
        </w:tc>
        <w:tc>
          <w:tcPr>
            <w:tcW w:w="345" w:type="pct"/>
            <w:shd w:val="clear" w:color="000000" w:fill="BEBEBE"/>
            <w:vAlign w:val="bottom"/>
            <w:hideMark/>
          </w:tcPr>
          <w:p w14:paraId="2632548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73E23CF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494A0C8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38D04CD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2A21E41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7137774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77E8D35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4270F16E" w14:textId="77777777" w:rsidTr="00C91F10">
        <w:trPr>
          <w:trHeight w:val="450"/>
          <w:jc w:val="center"/>
        </w:trPr>
        <w:tc>
          <w:tcPr>
            <w:tcW w:w="541" w:type="pct"/>
            <w:shd w:val="clear" w:color="auto" w:fill="auto"/>
            <w:vAlign w:val="center"/>
            <w:hideMark/>
          </w:tcPr>
          <w:p w14:paraId="3CB8C39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08.1022.001</w:t>
            </w:r>
          </w:p>
        </w:tc>
        <w:tc>
          <w:tcPr>
            <w:tcW w:w="1331" w:type="pct"/>
            <w:shd w:val="clear" w:color="auto" w:fill="auto"/>
            <w:vAlign w:val="center"/>
            <w:hideMark/>
          </w:tcPr>
          <w:p w14:paraId="173553A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ΠΟΛΙΤΙΣΜΟΥ</w:t>
            </w:r>
          </w:p>
        </w:tc>
        <w:tc>
          <w:tcPr>
            <w:tcW w:w="857" w:type="pct"/>
            <w:shd w:val="clear" w:color="auto" w:fill="auto"/>
            <w:vAlign w:val="center"/>
            <w:hideMark/>
          </w:tcPr>
          <w:p w14:paraId="73D7CE10"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105.599.800,00 €</w:t>
            </w:r>
          </w:p>
        </w:tc>
        <w:tc>
          <w:tcPr>
            <w:tcW w:w="345" w:type="pct"/>
            <w:shd w:val="clear" w:color="000000" w:fill="C4D79B"/>
            <w:vAlign w:val="center"/>
            <w:hideMark/>
          </w:tcPr>
          <w:p w14:paraId="3909413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33168E3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35A2A7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51C25A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13DDF66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45437D4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4928EF4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474EB05" w14:textId="77777777" w:rsidTr="00C91F10">
        <w:trPr>
          <w:trHeight w:val="450"/>
          <w:jc w:val="center"/>
        </w:trPr>
        <w:tc>
          <w:tcPr>
            <w:tcW w:w="541" w:type="pct"/>
            <w:shd w:val="clear" w:color="auto" w:fill="auto"/>
            <w:vAlign w:val="center"/>
            <w:hideMark/>
          </w:tcPr>
          <w:p w14:paraId="01EAD2F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08.1022.002</w:t>
            </w:r>
          </w:p>
        </w:tc>
        <w:tc>
          <w:tcPr>
            <w:tcW w:w="1331" w:type="pct"/>
            <w:shd w:val="clear" w:color="auto" w:fill="auto"/>
            <w:vAlign w:val="center"/>
            <w:hideMark/>
          </w:tcPr>
          <w:p w14:paraId="28AD1F6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ΑΡΧΑΙΟΛΟΓΙΚΑ ΜΟΥΣΕΙΑ - ΑΡΧΑΙΟΛΟΓΙΚΟΙ ΧΩΡΟΙ-ΜΝΗΜΕΙΑ-ΚΤΙΡΙΑ</w:t>
            </w:r>
          </w:p>
        </w:tc>
        <w:tc>
          <w:tcPr>
            <w:tcW w:w="857" w:type="pct"/>
            <w:shd w:val="clear" w:color="auto" w:fill="auto"/>
            <w:vAlign w:val="center"/>
            <w:hideMark/>
          </w:tcPr>
          <w:p w14:paraId="149BB1E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374.154.570,00 €</w:t>
            </w:r>
          </w:p>
        </w:tc>
        <w:tc>
          <w:tcPr>
            <w:tcW w:w="345" w:type="pct"/>
            <w:shd w:val="clear" w:color="000000" w:fill="C4D79B"/>
            <w:vAlign w:val="center"/>
            <w:hideMark/>
          </w:tcPr>
          <w:p w14:paraId="3404CDD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758E88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68DC4FF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6F48BE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EA8CAB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C76344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1DC0B1E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A70DFA6" w14:textId="77777777" w:rsidTr="00C91F10">
        <w:trPr>
          <w:trHeight w:val="450"/>
          <w:jc w:val="center"/>
        </w:trPr>
        <w:tc>
          <w:tcPr>
            <w:tcW w:w="541" w:type="pct"/>
            <w:shd w:val="clear" w:color="auto" w:fill="auto"/>
            <w:vAlign w:val="center"/>
            <w:hideMark/>
          </w:tcPr>
          <w:p w14:paraId="1468CFF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08.1022.003</w:t>
            </w:r>
          </w:p>
        </w:tc>
        <w:tc>
          <w:tcPr>
            <w:tcW w:w="1331" w:type="pct"/>
            <w:shd w:val="clear" w:color="auto" w:fill="auto"/>
            <w:vAlign w:val="center"/>
            <w:hideMark/>
          </w:tcPr>
          <w:p w14:paraId="13FF3CE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ΤΕΧΝΕΣ ΚΑΙ ΓΡΑΜΜΑΤΑ - ΚΑΛΛΙΤΕΧΝΙΚΗ ΕΚΠΑΙΔΕΥΣΗ ΚΑΙ ΛΟΙΠΕΣ ΠΟΛΙΤΙΣΤΙΚΕΣ ΔΡΑΣΕΙΣ</w:t>
            </w:r>
          </w:p>
        </w:tc>
        <w:tc>
          <w:tcPr>
            <w:tcW w:w="857" w:type="pct"/>
            <w:shd w:val="clear" w:color="auto" w:fill="auto"/>
            <w:vAlign w:val="center"/>
            <w:hideMark/>
          </w:tcPr>
          <w:p w14:paraId="41D1362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104.840.608,42 €</w:t>
            </w:r>
          </w:p>
        </w:tc>
        <w:tc>
          <w:tcPr>
            <w:tcW w:w="345" w:type="pct"/>
            <w:shd w:val="clear" w:color="000000" w:fill="B7DEE8"/>
            <w:vAlign w:val="center"/>
            <w:hideMark/>
          </w:tcPr>
          <w:p w14:paraId="121738C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FEA167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26D9E5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2603CC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108A21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33F39A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5B947C4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63974610" w14:textId="77777777" w:rsidTr="00C91F10">
        <w:trPr>
          <w:trHeight w:val="225"/>
          <w:jc w:val="center"/>
        </w:trPr>
        <w:tc>
          <w:tcPr>
            <w:tcW w:w="541" w:type="pct"/>
            <w:shd w:val="clear" w:color="auto" w:fill="auto"/>
            <w:vAlign w:val="center"/>
            <w:hideMark/>
          </w:tcPr>
          <w:p w14:paraId="0740C91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08.1022.004</w:t>
            </w:r>
          </w:p>
        </w:tc>
        <w:tc>
          <w:tcPr>
            <w:tcW w:w="1331" w:type="pct"/>
            <w:shd w:val="clear" w:color="auto" w:fill="auto"/>
            <w:vAlign w:val="center"/>
            <w:hideMark/>
          </w:tcPr>
          <w:p w14:paraId="5B6E118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ΟΠΤΙΚΟΑΚΟΥΣΤΙΚΗ ΠΑΡΑΓΩΓΗ</w:t>
            </w:r>
          </w:p>
        </w:tc>
        <w:tc>
          <w:tcPr>
            <w:tcW w:w="857" w:type="pct"/>
            <w:shd w:val="clear" w:color="auto" w:fill="auto"/>
            <w:vAlign w:val="center"/>
            <w:hideMark/>
          </w:tcPr>
          <w:p w14:paraId="28A4248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68.514.021,58 €</w:t>
            </w:r>
          </w:p>
        </w:tc>
        <w:tc>
          <w:tcPr>
            <w:tcW w:w="345" w:type="pct"/>
            <w:shd w:val="clear" w:color="000000" w:fill="B7DEE8"/>
            <w:vAlign w:val="center"/>
            <w:hideMark/>
          </w:tcPr>
          <w:p w14:paraId="3C1AA59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54E609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ADBCA6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CEFE96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ADA833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BE8AA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7E3A75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2E6E199" w14:textId="77777777" w:rsidTr="00C91F10">
        <w:trPr>
          <w:trHeight w:val="450"/>
          <w:jc w:val="center"/>
        </w:trPr>
        <w:tc>
          <w:tcPr>
            <w:tcW w:w="541" w:type="pct"/>
            <w:shd w:val="clear" w:color="000000" w:fill="BEBEBE"/>
            <w:vAlign w:val="center"/>
            <w:hideMark/>
          </w:tcPr>
          <w:p w14:paraId="3D67BA04"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1024</w:t>
            </w:r>
          </w:p>
        </w:tc>
        <w:tc>
          <w:tcPr>
            <w:tcW w:w="1331" w:type="pct"/>
            <w:shd w:val="clear" w:color="000000" w:fill="BEBEBE"/>
            <w:vAlign w:val="center"/>
            <w:hideMark/>
          </w:tcPr>
          <w:p w14:paraId="4F57FC00"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ΕΘΝΙΚΗΣ ΟΙΚΟΝΟΜΙΑΣ ΚΑΙ ΟΙΚΟΝΟΜΙΚΩΝ</w:t>
            </w:r>
          </w:p>
        </w:tc>
        <w:tc>
          <w:tcPr>
            <w:tcW w:w="857" w:type="pct"/>
            <w:shd w:val="clear" w:color="000000" w:fill="BEBEBE"/>
            <w:vAlign w:val="center"/>
            <w:hideMark/>
          </w:tcPr>
          <w:p w14:paraId="7D6B6FF3"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1.717.408.920.000,00 €</w:t>
            </w:r>
          </w:p>
        </w:tc>
        <w:tc>
          <w:tcPr>
            <w:tcW w:w="345" w:type="pct"/>
            <w:shd w:val="clear" w:color="000000" w:fill="BEBEBE"/>
            <w:vAlign w:val="bottom"/>
            <w:hideMark/>
          </w:tcPr>
          <w:p w14:paraId="1DB2C95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6EE214F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724C5C0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7673F0E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58EEB9B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5956B66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6EA09E5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6F57E264" w14:textId="77777777" w:rsidTr="00C91F10">
        <w:trPr>
          <w:trHeight w:val="675"/>
          <w:jc w:val="center"/>
        </w:trPr>
        <w:tc>
          <w:tcPr>
            <w:tcW w:w="541" w:type="pct"/>
            <w:shd w:val="clear" w:color="auto" w:fill="auto"/>
            <w:vAlign w:val="center"/>
            <w:hideMark/>
          </w:tcPr>
          <w:p w14:paraId="0E695F6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01.1024.001</w:t>
            </w:r>
          </w:p>
        </w:tc>
        <w:tc>
          <w:tcPr>
            <w:tcW w:w="1331" w:type="pct"/>
            <w:shd w:val="clear" w:color="auto" w:fill="auto"/>
            <w:vAlign w:val="center"/>
            <w:hideMark/>
          </w:tcPr>
          <w:p w14:paraId="7B7DF4C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ΕΘΝΙΚΗΣ ΟΙΚΟΝΟΜΙΑΣ ΚΑΙ ΟΙΚΟΝΟΜΙΚΩΝ</w:t>
            </w:r>
          </w:p>
        </w:tc>
        <w:tc>
          <w:tcPr>
            <w:tcW w:w="857" w:type="pct"/>
            <w:shd w:val="clear" w:color="auto" w:fill="auto"/>
            <w:vAlign w:val="center"/>
            <w:hideMark/>
          </w:tcPr>
          <w:p w14:paraId="2A24EBA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36.417.039,72 €</w:t>
            </w:r>
          </w:p>
        </w:tc>
        <w:tc>
          <w:tcPr>
            <w:tcW w:w="345" w:type="pct"/>
            <w:shd w:val="clear" w:color="000000" w:fill="C4D79B"/>
            <w:vAlign w:val="center"/>
            <w:hideMark/>
          </w:tcPr>
          <w:p w14:paraId="65726D9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71E4267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8A42B1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D163AC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8D9657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5717690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8249AE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1594BAC3" w14:textId="77777777" w:rsidTr="00C91F10">
        <w:trPr>
          <w:trHeight w:val="225"/>
          <w:jc w:val="center"/>
        </w:trPr>
        <w:tc>
          <w:tcPr>
            <w:tcW w:w="541" w:type="pct"/>
            <w:shd w:val="clear" w:color="auto" w:fill="auto"/>
            <w:vAlign w:val="center"/>
            <w:hideMark/>
          </w:tcPr>
          <w:p w14:paraId="1994F8F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01.1024.002</w:t>
            </w:r>
          </w:p>
        </w:tc>
        <w:tc>
          <w:tcPr>
            <w:tcW w:w="1331" w:type="pct"/>
            <w:shd w:val="clear" w:color="auto" w:fill="auto"/>
            <w:vAlign w:val="center"/>
            <w:hideMark/>
          </w:tcPr>
          <w:p w14:paraId="031EC42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ΟΙΚΟΝΟΜΙΚΗ ΠΟΛΙΤΙΚΗ</w:t>
            </w:r>
          </w:p>
        </w:tc>
        <w:tc>
          <w:tcPr>
            <w:tcW w:w="857" w:type="pct"/>
            <w:shd w:val="clear" w:color="auto" w:fill="auto"/>
            <w:vAlign w:val="center"/>
            <w:hideMark/>
          </w:tcPr>
          <w:p w14:paraId="4E5842D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7.384.642.016,62 €</w:t>
            </w:r>
          </w:p>
        </w:tc>
        <w:tc>
          <w:tcPr>
            <w:tcW w:w="345" w:type="pct"/>
            <w:shd w:val="clear" w:color="000000" w:fill="FDE9D9"/>
            <w:vAlign w:val="center"/>
            <w:hideMark/>
          </w:tcPr>
          <w:p w14:paraId="2B092C2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19F033F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2F06ED2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37C53AF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24735C3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78A4641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55A0D19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267BC5D3" w14:textId="77777777" w:rsidTr="00C91F10">
        <w:trPr>
          <w:trHeight w:val="225"/>
          <w:jc w:val="center"/>
        </w:trPr>
        <w:tc>
          <w:tcPr>
            <w:tcW w:w="541" w:type="pct"/>
            <w:shd w:val="clear" w:color="auto" w:fill="auto"/>
            <w:vAlign w:val="center"/>
            <w:hideMark/>
          </w:tcPr>
          <w:p w14:paraId="05CD93D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01.1024.003</w:t>
            </w:r>
          </w:p>
        </w:tc>
        <w:tc>
          <w:tcPr>
            <w:tcW w:w="1331" w:type="pct"/>
            <w:shd w:val="clear" w:color="auto" w:fill="auto"/>
            <w:vAlign w:val="center"/>
            <w:hideMark/>
          </w:tcPr>
          <w:p w14:paraId="3AACB5F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ΔΗΜΟΣΙΑΣ ΠΕΡΙΟΥΣΙΑΣ</w:t>
            </w:r>
          </w:p>
        </w:tc>
        <w:tc>
          <w:tcPr>
            <w:tcW w:w="857" w:type="pct"/>
            <w:shd w:val="clear" w:color="auto" w:fill="auto"/>
            <w:vAlign w:val="center"/>
            <w:hideMark/>
          </w:tcPr>
          <w:p w14:paraId="0ECE3E1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1.616.192.815,34 €</w:t>
            </w:r>
          </w:p>
        </w:tc>
        <w:tc>
          <w:tcPr>
            <w:tcW w:w="345" w:type="pct"/>
            <w:shd w:val="clear" w:color="000000" w:fill="FDE9D9"/>
            <w:vAlign w:val="center"/>
            <w:hideMark/>
          </w:tcPr>
          <w:p w14:paraId="1930E56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03DC78B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3C10642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5BDE9A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05D965F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002A2D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6D1A56A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26560B6C" w14:textId="77777777" w:rsidTr="00C91F10">
        <w:trPr>
          <w:trHeight w:val="450"/>
          <w:jc w:val="center"/>
        </w:trPr>
        <w:tc>
          <w:tcPr>
            <w:tcW w:w="541" w:type="pct"/>
            <w:shd w:val="clear" w:color="auto" w:fill="auto"/>
            <w:vAlign w:val="center"/>
            <w:hideMark/>
          </w:tcPr>
          <w:p w14:paraId="7561007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01.1024.004</w:t>
            </w:r>
          </w:p>
        </w:tc>
        <w:tc>
          <w:tcPr>
            <w:tcW w:w="1331" w:type="pct"/>
            <w:shd w:val="clear" w:color="auto" w:fill="auto"/>
            <w:vAlign w:val="center"/>
            <w:hideMark/>
          </w:tcPr>
          <w:p w14:paraId="255D07F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ΓΕΝΙΚΕΣ ΚΡΑΤΙΚΕΣ ΔΑΠΑΝΕΣ ΚΑΙ ΔΗΜΟΣΙΟΝΟΜΙΚΗ ΠΟΛΙΤΙΚΗ</w:t>
            </w:r>
          </w:p>
        </w:tc>
        <w:tc>
          <w:tcPr>
            <w:tcW w:w="857" w:type="pct"/>
            <w:shd w:val="clear" w:color="auto" w:fill="auto"/>
            <w:vAlign w:val="center"/>
            <w:hideMark/>
          </w:tcPr>
          <w:p w14:paraId="7D07641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1.704.114.515.683,90 €</w:t>
            </w:r>
          </w:p>
        </w:tc>
        <w:tc>
          <w:tcPr>
            <w:tcW w:w="345" w:type="pct"/>
            <w:shd w:val="clear" w:color="000000" w:fill="FDE9D9"/>
            <w:vAlign w:val="center"/>
            <w:hideMark/>
          </w:tcPr>
          <w:p w14:paraId="1F97027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7F46A03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537D4A0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088DC5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41E5ADE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234E57C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0F896E3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38661E8D" w14:textId="77777777" w:rsidTr="00C91F10">
        <w:trPr>
          <w:trHeight w:val="225"/>
          <w:jc w:val="center"/>
        </w:trPr>
        <w:tc>
          <w:tcPr>
            <w:tcW w:w="541" w:type="pct"/>
            <w:shd w:val="clear" w:color="auto" w:fill="auto"/>
            <w:vAlign w:val="center"/>
            <w:hideMark/>
          </w:tcPr>
          <w:p w14:paraId="4E01071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01.1024.005</w:t>
            </w:r>
          </w:p>
        </w:tc>
        <w:tc>
          <w:tcPr>
            <w:tcW w:w="1331" w:type="pct"/>
            <w:shd w:val="clear" w:color="auto" w:fill="auto"/>
            <w:vAlign w:val="center"/>
            <w:hideMark/>
          </w:tcPr>
          <w:p w14:paraId="187A344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ΣΤΑΤΙΣΤΙΚΑ ΔΕΔΟΜΕΝΑ ΚΑΙ ΕΡΕΥΝΕΣ ΕΛΣΤΑΤ</w:t>
            </w:r>
          </w:p>
        </w:tc>
        <w:tc>
          <w:tcPr>
            <w:tcW w:w="857" w:type="pct"/>
            <w:shd w:val="clear" w:color="auto" w:fill="auto"/>
            <w:vAlign w:val="center"/>
            <w:hideMark/>
          </w:tcPr>
          <w:p w14:paraId="23338A3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39.000.031,99 €</w:t>
            </w:r>
          </w:p>
        </w:tc>
        <w:tc>
          <w:tcPr>
            <w:tcW w:w="345" w:type="pct"/>
            <w:shd w:val="clear" w:color="000000" w:fill="B7DEE8"/>
            <w:vAlign w:val="center"/>
            <w:hideMark/>
          </w:tcPr>
          <w:p w14:paraId="0B4A295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7209B6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8F6FCC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64D801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637EBF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3A64350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31522BC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4BD0557D" w14:textId="77777777" w:rsidTr="00C91F10">
        <w:trPr>
          <w:trHeight w:val="225"/>
          <w:jc w:val="center"/>
        </w:trPr>
        <w:tc>
          <w:tcPr>
            <w:tcW w:w="541" w:type="pct"/>
            <w:shd w:val="clear" w:color="auto" w:fill="auto"/>
            <w:vAlign w:val="center"/>
            <w:hideMark/>
          </w:tcPr>
          <w:p w14:paraId="40AED5F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01.1024.006</w:t>
            </w:r>
          </w:p>
        </w:tc>
        <w:tc>
          <w:tcPr>
            <w:tcW w:w="1331" w:type="pct"/>
            <w:shd w:val="clear" w:color="auto" w:fill="auto"/>
            <w:vAlign w:val="center"/>
            <w:hideMark/>
          </w:tcPr>
          <w:p w14:paraId="0E5387A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ΜΕΤΑΝΑΣΤΕΥΤΙΚΗ ΠΟΛΙΤΙΚΗ</w:t>
            </w:r>
          </w:p>
        </w:tc>
        <w:tc>
          <w:tcPr>
            <w:tcW w:w="857" w:type="pct"/>
            <w:shd w:val="clear" w:color="auto" w:fill="auto"/>
            <w:vAlign w:val="center"/>
            <w:hideMark/>
          </w:tcPr>
          <w:p w14:paraId="3586DA9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180.000.000,00 €</w:t>
            </w:r>
          </w:p>
        </w:tc>
        <w:tc>
          <w:tcPr>
            <w:tcW w:w="345" w:type="pct"/>
            <w:shd w:val="clear" w:color="000000" w:fill="FDE9D9"/>
            <w:vAlign w:val="center"/>
            <w:hideMark/>
          </w:tcPr>
          <w:p w14:paraId="117DC2E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20AAFA2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5A4B62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1914EBF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52AC9B1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42C6F56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65C1832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031A8D86" w14:textId="77777777" w:rsidTr="00C91F10">
        <w:trPr>
          <w:trHeight w:val="225"/>
          <w:jc w:val="center"/>
        </w:trPr>
        <w:tc>
          <w:tcPr>
            <w:tcW w:w="541" w:type="pct"/>
            <w:shd w:val="clear" w:color="auto" w:fill="auto"/>
            <w:vAlign w:val="center"/>
            <w:hideMark/>
          </w:tcPr>
          <w:p w14:paraId="126C87B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01.1024.007</w:t>
            </w:r>
          </w:p>
        </w:tc>
        <w:tc>
          <w:tcPr>
            <w:tcW w:w="1331" w:type="pct"/>
            <w:shd w:val="clear" w:color="auto" w:fill="auto"/>
            <w:vAlign w:val="center"/>
            <w:hideMark/>
          </w:tcPr>
          <w:p w14:paraId="689F08C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ΝΟΜΙΚΗ ΥΠΟΣΤΗΡΙΞΗ ΤΟΥ ΚΡΑΤΟΥΣ</w:t>
            </w:r>
          </w:p>
        </w:tc>
        <w:tc>
          <w:tcPr>
            <w:tcW w:w="857" w:type="pct"/>
            <w:shd w:val="clear" w:color="auto" w:fill="auto"/>
            <w:vAlign w:val="center"/>
            <w:hideMark/>
          </w:tcPr>
          <w:p w14:paraId="382105A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43.750.000,00 €</w:t>
            </w:r>
          </w:p>
        </w:tc>
        <w:tc>
          <w:tcPr>
            <w:tcW w:w="345" w:type="pct"/>
            <w:shd w:val="clear" w:color="000000" w:fill="B7DEE8"/>
            <w:vAlign w:val="center"/>
            <w:hideMark/>
          </w:tcPr>
          <w:p w14:paraId="65E28A1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ED89DE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72F537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DA178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69803B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0D4499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3B172CB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76CC0FEF" w14:textId="77777777" w:rsidTr="00C91F10">
        <w:trPr>
          <w:trHeight w:val="225"/>
          <w:jc w:val="center"/>
        </w:trPr>
        <w:tc>
          <w:tcPr>
            <w:tcW w:w="541" w:type="pct"/>
            <w:shd w:val="clear" w:color="auto" w:fill="auto"/>
            <w:vAlign w:val="center"/>
            <w:hideMark/>
          </w:tcPr>
          <w:p w14:paraId="2CB3ED8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01.1024.008</w:t>
            </w:r>
          </w:p>
        </w:tc>
        <w:tc>
          <w:tcPr>
            <w:tcW w:w="1331" w:type="pct"/>
            <w:shd w:val="clear" w:color="auto" w:fill="auto"/>
            <w:vAlign w:val="center"/>
            <w:hideMark/>
          </w:tcPr>
          <w:p w14:paraId="0DAC0F1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ΔΗΜΟΣΙΩΝ ΕΣΟΔΩΝ</w:t>
            </w:r>
          </w:p>
        </w:tc>
        <w:tc>
          <w:tcPr>
            <w:tcW w:w="857" w:type="pct"/>
            <w:shd w:val="clear" w:color="auto" w:fill="auto"/>
            <w:vAlign w:val="center"/>
            <w:hideMark/>
          </w:tcPr>
          <w:p w14:paraId="1CCBB4E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71.141.743,05 €</w:t>
            </w:r>
          </w:p>
        </w:tc>
        <w:tc>
          <w:tcPr>
            <w:tcW w:w="345" w:type="pct"/>
            <w:shd w:val="clear" w:color="000000" w:fill="C4D79B"/>
            <w:vAlign w:val="center"/>
            <w:hideMark/>
          </w:tcPr>
          <w:p w14:paraId="4DE8E48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7A94EA1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3DE61BC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3FC5430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DA9BFF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4436E8D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990104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573FD0A" w14:textId="77777777" w:rsidTr="00C91F10">
        <w:trPr>
          <w:trHeight w:val="225"/>
          <w:jc w:val="center"/>
        </w:trPr>
        <w:tc>
          <w:tcPr>
            <w:tcW w:w="541" w:type="pct"/>
            <w:shd w:val="clear" w:color="auto" w:fill="auto"/>
            <w:vAlign w:val="center"/>
            <w:hideMark/>
          </w:tcPr>
          <w:p w14:paraId="0D8C35D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01.1024.009</w:t>
            </w:r>
          </w:p>
        </w:tc>
        <w:tc>
          <w:tcPr>
            <w:tcW w:w="1331" w:type="pct"/>
            <w:shd w:val="clear" w:color="auto" w:fill="auto"/>
            <w:vAlign w:val="center"/>
            <w:hideMark/>
          </w:tcPr>
          <w:p w14:paraId="56FB4AC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ΦΟΡΟΛΟΓΙΚΕΣ ΥΠΗΡΕΣΙΕΣ</w:t>
            </w:r>
          </w:p>
        </w:tc>
        <w:tc>
          <w:tcPr>
            <w:tcW w:w="857" w:type="pct"/>
            <w:shd w:val="clear" w:color="auto" w:fill="auto"/>
            <w:vAlign w:val="center"/>
            <w:hideMark/>
          </w:tcPr>
          <w:p w14:paraId="0171B3C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333.581.608,34 €</w:t>
            </w:r>
          </w:p>
        </w:tc>
        <w:tc>
          <w:tcPr>
            <w:tcW w:w="345" w:type="pct"/>
            <w:shd w:val="clear" w:color="000000" w:fill="C4D79B"/>
            <w:vAlign w:val="center"/>
            <w:hideMark/>
          </w:tcPr>
          <w:p w14:paraId="020AA53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D70491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07B0686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15A22AB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94E36A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1894768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1293A6D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8DC13E7" w14:textId="77777777" w:rsidTr="00C91F10">
        <w:trPr>
          <w:trHeight w:val="225"/>
          <w:jc w:val="center"/>
        </w:trPr>
        <w:tc>
          <w:tcPr>
            <w:tcW w:w="541" w:type="pct"/>
            <w:shd w:val="clear" w:color="auto" w:fill="auto"/>
            <w:vAlign w:val="center"/>
            <w:hideMark/>
          </w:tcPr>
          <w:p w14:paraId="0DBF434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01.1024.010</w:t>
            </w:r>
          </w:p>
        </w:tc>
        <w:tc>
          <w:tcPr>
            <w:tcW w:w="1331" w:type="pct"/>
            <w:shd w:val="clear" w:color="auto" w:fill="auto"/>
            <w:vAlign w:val="center"/>
            <w:hideMark/>
          </w:tcPr>
          <w:p w14:paraId="7D858C3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ΤΕΛΩΝΕΙΑΚΕΣ ΥΠΗΡΕΣΙΕΣ</w:t>
            </w:r>
          </w:p>
        </w:tc>
        <w:tc>
          <w:tcPr>
            <w:tcW w:w="857" w:type="pct"/>
            <w:shd w:val="clear" w:color="auto" w:fill="auto"/>
            <w:vAlign w:val="center"/>
            <w:hideMark/>
          </w:tcPr>
          <w:p w14:paraId="07609FA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144.900.665,36 €</w:t>
            </w:r>
          </w:p>
        </w:tc>
        <w:tc>
          <w:tcPr>
            <w:tcW w:w="345" w:type="pct"/>
            <w:shd w:val="clear" w:color="000000" w:fill="C4D79B"/>
            <w:vAlign w:val="center"/>
            <w:hideMark/>
          </w:tcPr>
          <w:p w14:paraId="20DA823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79C1838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0FE03B0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84417D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753465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0BEF43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8AABB3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36B6917" w14:textId="77777777" w:rsidTr="00C91F10">
        <w:trPr>
          <w:trHeight w:val="225"/>
          <w:jc w:val="center"/>
        </w:trPr>
        <w:tc>
          <w:tcPr>
            <w:tcW w:w="541" w:type="pct"/>
            <w:shd w:val="clear" w:color="auto" w:fill="auto"/>
            <w:vAlign w:val="center"/>
            <w:hideMark/>
          </w:tcPr>
          <w:p w14:paraId="6DF45B3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01.1024.011</w:t>
            </w:r>
          </w:p>
        </w:tc>
        <w:tc>
          <w:tcPr>
            <w:tcW w:w="1331" w:type="pct"/>
            <w:shd w:val="clear" w:color="auto" w:fill="auto"/>
            <w:vAlign w:val="center"/>
            <w:hideMark/>
          </w:tcPr>
          <w:p w14:paraId="525CF03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ΥΠΗΡΕΣΙΕΣ ΓΕΝΙΚΟΥ ΧΗΜΕΙΟΥ ΤΟΥ ΚΡΑΤΟΥΣ</w:t>
            </w:r>
          </w:p>
        </w:tc>
        <w:tc>
          <w:tcPr>
            <w:tcW w:w="857" w:type="pct"/>
            <w:shd w:val="clear" w:color="auto" w:fill="auto"/>
            <w:vAlign w:val="center"/>
            <w:hideMark/>
          </w:tcPr>
          <w:p w14:paraId="5278BC6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17.382.729,57 €</w:t>
            </w:r>
          </w:p>
        </w:tc>
        <w:tc>
          <w:tcPr>
            <w:tcW w:w="345" w:type="pct"/>
            <w:shd w:val="clear" w:color="000000" w:fill="C4D79B"/>
            <w:vAlign w:val="center"/>
            <w:hideMark/>
          </w:tcPr>
          <w:p w14:paraId="7CE0CBB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6F498A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00902E4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364C592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A05BEB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972F7C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A978F9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135F444A" w14:textId="77777777" w:rsidTr="00C91F10">
        <w:trPr>
          <w:trHeight w:val="450"/>
          <w:jc w:val="center"/>
        </w:trPr>
        <w:tc>
          <w:tcPr>
            <w:tcW w:w="541" w:type="pct"/>
            <w:shd w:val="clear" w:color="auto" w:fill="auto"/>
            <w:vAlign w:val="center"/>
            <w:hideMark/>
          </w:tcPr>
          <w:p w14:paraId="7AAB992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01.1024.012</w:t>
            </w:r>
          </w:p>
        </w:tc>
        <w:tc>
          <w:tcPr>
            <w:tcW w:w="1331" w:type="pct"/>
            <w:shd w:val="clear" w:color="auto" w:fill="auto"/>
            <w:vAlign w:val="center"/>
            <w:hideMark/>
          </w:tcPr>
          <w:p w14:paraId="241E77E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ΑΡΧΗ ΚΑΤΑΠΟΛΕΜΗΣΗΣ ΤΗΣ ΝΟΜΙΜΟΠΟΙΗΣΗΣ ΕΣΟΔΩΝ ΑΠΟ ΕΓΚΛΗΜΑΤΙΚΕΣ ΔΡΑΣΤΗΡΙΟΤΗΤΕΣ</w:t>
            </w:r>
          </w:p>
        </w:tc>
        <w:tc>
          <w:tcPr>
            <w:tcW w:w="857" w:type="pct"/>
            <w:shd w:val="clear" w:color="auto" w:fill="auto"/>
            <w:vAlign w:val="center"/>
            <w:hideMark/>
          </w:tcPr>
          <w:p w14:paraId="3FEACEE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2.986.000,00 €</w:t>
            </w:r>
          </w:p>
        </w:tc>
        <w:tc>
          <w:tcPr>
            <w:tcW w:w="345" w:type="pct"/>
            <w:shd w:val="clear" w:color="000000" w:fill="B7DEE8"/>
            <w:vAlign w:val="center"/>
            <w:hideMark/>
          </w:tcPr>
          <w:p w14:paraId="2E115D8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B3DA81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76615A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2589FD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CF82F6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840574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3760B07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0EF5AF88" w14:textId="77777777" w:rsidTr="00C91F10">
        <w:trPr>
          <w:trHeight w:val="225"/>
          <w:jc w:val="center"/>
        </w:trPr>
        <w:tc>
          <w:tcPr>
            <w:tcW w:w="541" w:type="pct"/>
            <w:shd w:val="clear" w:color="auto" w:fill="auto"/>
            <w:vAlign w:val="center"/>
            <w:hideMark/>
          </w:tcPr>
          <w:p w14:paraId="48CB8A0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01.1024.013</w:t>
            </w:r>
          </w:p>
        </w:tc>
        <w:tc>
          <w:tcPr>
            <w:tcW w:w="1331" w:type="pct"/>
            <w:shd w:val="clear" w:color="auto" w:fill="auto"/>
            <w:vAlign w:val="center"/>
            <w:hideMark/>
          </w:tcPr>
          <w:p w14:paraId="437BCCE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ΕΛΛΗΝΙΚΟ ΔΗΜΟΣΙΟΝΟΜΙΚΟ ΣΥΜΒΟΥΛΙΟ</w:t>
            </w:r>
          </w:p>
        </w:tc>
        <w:tc>
          <w:tcPr>
            <w:tcW w:w="857" w:type="pct"/>
            <w:shd w:val="clear" w:color="auto" w:fill="auto"/>
            <w:vAlign w:val="center"/>
            <w:hideMark/>
          </w:tcPr>
          <w:p w14:paraId="7F71360C"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1.114.322,29 €</w:t>
            </w:r>
          </w:p>
        </w:tc>
        <w:tc>
          <w:tcPr>
            <w:tcW w:w="345" w:type="pct"/>
            <w:shd w:val="clear" w:color="000000" w:fill="B7DEE8"/>
            <w:vAlign w:val="center"/>
            <w:hideMark/>
          </w:tcPr>
          <w:p w14:paraId="3533730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1D0B96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F64459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14CE375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62D4EF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33AE4B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56641C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3962A932" w14:textId="77777777" w:rsidTr="00C91F10">
        <w:trPr>
          <w:trHeight w:val="225"/>
          <w:jc w:val="center"/>
        </w:trPr>
        <w:tc>
          <w:tcPr>
            <w:tcW w:w="541" w:type="pct"/>
            <w:shd w:val="clear" w:color="auto" w:fill="auto"/>
            <w:vAlign w:val="center"/>
            <w:hideMark/>
          </w:tcPr>
          <w:p w14:paraId="025BB82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01.1024.014</w:t>
            </w:r>
          </w:p>
        </w:tc>
        <w:tc>
          <w:tcPr>
            <w:tcW w:w="1331" w:type="pct"/>
            <w:shd w:val="clear" w:color="auto" w:fill="auto"/>
            <w:vAlign w:val="center"/>
            <w:hideMark/>
          </w:tcPr>
          <w:p w14:paraId="13B41EB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ΑΝΤΙΜΕΤΩΠΙΣΗ ΟΙΚΟΝΟΜΙΚΟΥ ΕΓΚΛΗΜΑΤΟΣ</w:t>
            </w:r>
          </w:p>
        </w:tc>
        <w:tc>
          <w:tcPr>
            <w:tcW w:w="857" w:type="pct"/>
            <w:shd w:val="clear" w:color="auto" w:fill="auto"/>
            <w:vAlign w:val="center"/>
            <w:hideMark/>
          </w:tcPr>
          <w:p w14:paraId="000AF99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12.813.432,78 €</w:t>
            </w:r>
          </w:p>
        </w:tc>
        <w:tc>
          <w:tcPr>
            <w:tcW w:w="345" w:type="pct"/>
            <w:shd w:val="clear" w:color="000000" w:fill="B7DEE8"/>
            <w:vAlign w:val="center"/>
            <w:hideMark/>
          </w:tcPr>
          <w:p w14:paraId="4016260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CBD539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63C19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ABE458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07ED3B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C8CF4D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5698A79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00E240CF" w14:textId="77777777" w:rsidTr="00C91F10">
        <w:trPr>
          <w:trHeight w:val="450"/>
          <w:jc w:val="center"/>
        </w:trPr>
        <w:tc>
          <w:tcPr>
            <w:tcW w:w="541" w:type="pct"/>
            <w:shd w:val="clear" w:color="auto" w:fill="auto"/>
            <w:vAlign w:val="center"/>
            <w:hideMark/>
          </w:tcPr>
          <w:p w14:paraId="1901AC5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03.1024.001</w:t>
            </w:r>
          </w:p>
        </w:tc>
        <w:tc>
          <w:tcPr>
            <w:tcW w:w="1331" w:type="pct"/>
            <w:shd w:val="clear" w:color="auto" w:fill="auto"/>
            <w:vAlign w:val="center"/>
            <w:hideMark/>
          </w:tcPr>
          <w:p w14:paraId="703E7DB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ΕΘΝΙΚΗ ΕΠΙΤΡΟΠΗ ΓΙΑ ΤΑ ΔΙΚΑΙΩΜΑΤΑ ΤΟΥ ΑΝΘΡΩΠΟΥ</w:t>
            </w:r>
          </w:p>
        </w:tc>
        <w:tc>
          <w:tcPr>
            <w:tcW w:w="857" w:type="pct"/>
            <w:shd w:val="clear" w:color="auto" w:fill="auto"/>
            <w:vAlign w:val="center"/>
            <w:hideMark/>
          </w:tcPr>
          <w:p w14:paraId="286ADBE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762.849,78 €</w:t>
            </w:r>
          </w:p>
        </w:tc>
        <w:tc>
          <w:tcPr>
            <w:tcW w:w="345" w:type="pct"/>
            <w:shd w:val="clear" w:color="000000" w:fill="B7DEE8"/>
            <w:vAlign w:val="center"/>
            <w:hideMark/>
          </w:tcPr>
          <w:p w14:paraId="268427A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6F31F7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80B0F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B61FB4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8F0DFE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BCB75D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774A4C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BCBDB28" w14:textId="77777777" w:rsidTr="00C91F10">
        <w:trPr>
          <w:trHeight w:val="675"/>
          <w:jc w:val="center"/>
        </w:trPr>
        <w:tc>
          <w:tcPr>
            <w:tcW w:w="541" w:type="pct"/>
            <w:shd w:val="clear" w:color="auto" w:fill="auto"/>
            <w:vAlign w:val="center"/>
            <w:hideMark/>
          </w:tcPr>
          <w:p w14:paraId="02DD08D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lastRenderedPageBreak/>
              <w:t>04.1024.001</w:t>
            </w:r>
          </w:p>
        </w:tc>
        <w:tc>
          <w:tcPr>
            <w:tcW w:w="1331" w:type="pct"/>
            <w:shd w:val="clear" w:color="auto" w:fill="auto"/>
            <w:vAlign w:val="center"/>
            <w:hideMark/>
          </w:tcPr>
          <w:p w14:paraId="74A9BA9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ΣΧΕΔΙΑΣΜΟΣ, ΠΡΟΓΡΑΜΜΑΤΙΣΜΟΣ, ΕΚΤΕΛΕΣΗ ΚΑΙ ΠΑΡΑΚΟΛΟΥΘΗΣΗ ΤΟΥ ΠΡΟΓΡΑΜΜΑΤΟΣ ΔΗΜΟΣΙΩΝ ΕΠΕΝΔΥΣΕΩΝ</w:t>
            </w:r>
          </w:p>
        </w:tc>
        <w:tc>
          <w:tcPr>
            <w:tcW w:w="857" w:type="pct"/>
            <w:shd w:val="clear" w:color="auto" w:fill="auto"/>
            <w:vAlign w:val="center"/>
            <w:hideMark/>
          </w:tcPr>
          <w:p w14:paraId="2E67E99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2.585.871.665,97 €</w:t>
            </w:r>
          </w:p>
        </w:tc>
        <w:tc>
          <w:tcPr>
            <w:tcW w:w="345" w:type="pct"/>
            <w:shd w:val="clear" w:color="000000" w:fill="C4D79B"/>
            <w:vAlign w:val="center"/>
            <w:hideMark/>
          </w:tcPr>
          <w:p w14:paraId="63790FF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6661C7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065FFC9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B6A1F7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147218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40DE227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4DC203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5582358" w14:textId="77777777" w:rsidTr="00C91F10">
        <w:trPr>
          <w:trHeight w:val="450"/>
          <w:jc w:val="center"/>
        </w:trPr>
        <w:tc>
          <w:tcPr>
            <w:tcW w:w="541" w:type="pct"/>
            <w:shd w:val="clear" w:color="auto" w:fill="auto"/>
            <w:vAlign w:val="center"/>
            <w:hideMark/>
          </w:tcPr>
          <w:p w14:paraId="46A361D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08.1024.001</w:t>
            </w:r>
          </w:p>
        </w:tc>
        <w:tc>
          <w:tcPr>
            <w:tcW w:w="1331" w:type="pct"/>
            <w:shd w:val="clear" w:color="auto" w:fill="auto"/>
            <w:vAlign w:val="center"/>
            <w:hideMark/>
          </w:tcPr>
          <w:p w14:paraId="04ECC2C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ΡΥΘΜΙΣΗ ΘΕΜΑΤΩΝ ΣΤΟΥΣ ΤΟΜΕΙΣ ΤΟΥ ΠΟΛΙΤΙΣΜΟΥ ΚΑΙ ΤΗΣ ΘΡΗΣΚΕΙΑΣ</w:t>
            </w:r>
          </w:p>
        </w:tc>
        <w:tc>
          <w:tcPr>
            <w:tcW w:w="857" w:type="pct"/>
            <w:shd w:val="clear" w:color="auto" w:fill="auto"/>
            <w:vAlign w:val="center"/>
            <w:hideMark/>
          </w:tcPr>
          <w:p w14:paraId="09F83D8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18.585.183,19 €</w:t>
            </w:r>
          </w:p>
        </w:tc>
        <w:tc>
          <w:tcPr>
            <w:tcW w:w="345" w:type="pct"/>
            <w:shd w:val="clear" w:color="000000" w:fill="B7DEE8"/>
            <w:vAlign w:val="center"/>
            <w:hideMark/>
          </w:tcPr>
          <w:p w14:paraId="135E497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334AAF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68F14E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A20C51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635FCE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033822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73141AE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CB3AAA2" w14:textId="77777777" w:rsidTr="00C91F10">
        <w:trPr>
          <w:trHeight w:val="225"/>
          <w:jc w:val="center"/>
        </w:trPr>
        <w:tc>
          <w:tcPr>
            <w:tcW w:w="541" w:type="pct"/>
            <w:shd w:val="clear" w:color="auto" w:fill="auto"/>
            <w:vAlign w:val="center"/>
            <w:hideMark/>
          </w:tcPr>
          <w:p w14:paraId="0150DFA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08.1024.002</w:t>
            </w:r>
          </w:p>
        </w:tc>
        <w:tc>
          <w:tcPr>
            <w:tcW w:w="1331" w:type="pct"/>
            <w:shd w:val="clear" w:color="auto" w:fill="auto"/>
            <w:vAlign w:val="center"/>
            <w:hideMark/>
          </w:tcPr>
          <w:p w14:paraId="16A1E19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ΕΘΝΙΚΟ ΣΥΜΒΟΥΛΙΟ ΡΑΔΙΟΤΗΛΕΟΡΑΣΗΣ</w:t>
            </w:r>
          </w:p>
        </w:tc>
        <w:tc>
          <w:tcPr>
            <w:tcW w:w="857" w:type="pct"/>
            <w:shd w:val="clear" w:color="auto" w:fill="auto"/>
            <w:vAlign w:val="center"/>
            <w:hideMark/>
          </w:tcPr>
          <w:p w14:paraId="5B582D5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2.378.000,00 €</w:t>
            </w:r>
          </w:p>
        </w:tc>
        <w:tc>
          <w:tcPr>
            <w:tcW w:w="345" w:type="pct"/>
            <w:shd w:val="clear" w:color="000000" w:fill="B7DEE8"/>
            <w:vAlign w:val="center"/>
            <w:hideMark/>
          </w:tcPr>
          <w:p w14:paraId="60D0D6A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6C8D8D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233346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16D2E4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49526B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8FC35C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1EA78C0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41998C9B" w14:textId="77777777" w:rsidTr="00C91F10">
        <w:trPr>
          <w:trHeight w:val="225"/>
          <w:jc w:val="center"/>
        </w:trPr>
        <w:tc>
          <w:tcPr>
            <w:tcW w:w="541" w:type="pct"/>
            <w:shd w:val="clear" w:color="auto" w:fill="auto"/>
            <w:vAlign w:val="center"/>
            <w:hideMark/>
          </w:tcPr>
          <w:p w14:paraId="33A5C44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08.1024.003</w:t>
            </w:r>
          </w:p>
        </w:tc>
        <w:tc>
          <w:tcPr>
            <w:tcW w:w="1331" w:type="pct"/>
            <w:shd w:val="clear" w:color="auto" w:fill="auto"/>
            <w:vAlign w:val="center"/>
            <w:hideMark/>
          </w:tcPr>
          <w:p w14:paraId="7967667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ΕΠΙΤΡΟΠΗ ΕΠΟΠΤΕΙΑΣ ΚΑΙ ΕΛΕΓΧΟΥ ΠΑΙΓΝΙΩΝ</w:t>
            </w:r>
          </w:p>
        </w:tc>
        <w:tc>
          <w:tcPr>
            <w:tcW w:w="857" w:type="pct"/>
            <w:shd w:val="clear" w:color="auto" w:fill="auto"/>
            <w:vAlign w:val="center"/>
            <w:hideMark/>
          </w:tcPr>
          <w:p w14:paraId="0ED3473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281.051,06 €</w:t>
            </w:r>
          </w:p>
        </w:tc>
        <w:tc>
          <w:tcPr>
            <w:tcW w:w="345" w:type="pct"/>
            <w:shd w:val="clear" w:color="000000" w:fill="B7DEE8"/>
            <w:vAlign w:val="center"/>
            <w:hideMark/>
          </w:tcPr>
          <w:p w14:paraId="5A60BEC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C84E84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1CF1CB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18E8D0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4C4FD8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43E7EB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C90946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72BADE23" w14:textId="77777777" w:rsidTr="00C91F10">
        <w:trPr>
          <w:trHeight w:val="225"/>
          <w:jc w:val="center"/>
        </w:trPr>
        <w:tc>
          <w:tcPr>
            <w:tcW w:w="541" w:type="pct"/>
            <w:shd w:val="clear" w:color="auto" w:fill="auto"/>
            <w:vAlign w:val="center"/>
            <w:hideMark/>
          </w:tcPr>
          <w:p w14:paraId="3AB3ECB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09.1024.001</w:t>
            </w:r>
          </w:p>
        </w:tc>
        <w:tc>
          <w:tcPr>
            <w:tcW w:w="1331" w:type="pct"/>
            <w:shd w:val="clear" w:color="auto" w:fill="auto"/>
            <w:vAlign w:val="center"/>
            <w:hideMark/>
          </w:tcPr>
          <w:p w14:paraId="238C796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ΦΟΡΟΛΟΓΙΚΗ ΚΑΙ ΤΕΛΩΝΕΙΑΚΗ ΕΚΠΑΙΔΕΥΣΗ</w:t>
            </w:r>
          </w:p>
        </w:tc>
        <w:tc>
          <w:tcPr>
            <w:tcW w:w="857" w:type="pct"/>
            <w:shd w:val="clear" w:color="auto" w:fill="auto"/>
            <w:vAlign w:val="center"/>
            <w:hideMark/>
          </w:tcPr>
          <w:p w14:paraId="5F1B21B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17.878.820,90 €</w:t>
            </w:r>
          </w:p>
        </w:tc>
        <w:tc>
          <w:tcPr>
            <w:tcW w:w="345" w:type="pct"/>
            <w:shd w:val="clear" w:color="000000" w:fill="C4D79B"/>
            <w:vAlign w:val="center"/>
            <w:hideMark/>
          </w:tcPr>
          <w:p w14:paraId="2EEA330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9B3F4B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37C12A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0887D4D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DFD880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6259919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134695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35FA438" w14:textId="77777777" w:rsidTr="00C91F10">
        <w:trPr>
          <w:trHeight w:val="225"/>
          <w:jc w:val="center"/>
        </w:trPr>
        <w:tc>
          <w:tcPr>
            <w:tcW w:w="541" w:type="pct"/>
            <w:shd w:val="clear" w:color="auto" w:fill="auto"/>
            <w:vAlign w:val="center"/>
            <w:hideMark/>
          </w:tcPr>
          <w:p w14:paraId="05E8DE4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10.1024.001</w:t>
            </w:r>
          </w:p>
        </w:tc>
        <w:tc>
          <w:tcPr>
            <w:tcW w:w="1331" w:type="pct"/>
            <w:shd w:val="clear" w:color="auto" w:fill="auto"/>
            <w:vAlign w:val="center"/>
            <w:hideMark/>
          </w:tcPr>
          <w:p w14:paraId="51A308B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ΔΡΑΣΕΙΣ ΚΟΙΝΩΝΙΚΗΣ ΠΡΟΣΤΑΣΙΑΣ</w:t>
            </w:r>
          </w:p>
        </w:tc>
        <w:tc>
          <w:tcPr>
            <w:tcW w:w="857" w:type="pct"/>
            <w:shd w:val="clear" w:color="auto" w:fill="auto"/>
            <w:vAlign w:val="center"/>
            <w:hideMark/>
          </w:tcPr>
          <w:p w14:paraId="7691B7D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784.724.340,15 €</w:t>
            </w:r>
          </w:p>
        </w:tc>
        <w:tc>
          <w:tcPr>
            <w:tcW w:w="345" w:type="pct"/>
            <w:shd w:val="clear" w:color="000000" w:fill="E6B8B7"/>
            <w:vAlign w:val="center"/>
            <w:hideMark/>
          </w:tcPr>
          <w:p w14:paraId="4F473DE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307" w:type="pct"/>
            <w:shd w:val="clear" w:color="000000" w:fill="B7DEE8"/>
            <w:vAlign w:val="center"/>
            <w:hideMark/>
          </w:tcPr>
          <w:p w14:paraId="7B1F803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285C28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083752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E6B8B7"/>
            <w:vAlign w:val="center"/>
            <w:hideMark/>
          </w:tcPr>
          <w:p w14:paraId="2E322C0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328" w:type="pct"/>
            <w:shd w:val="clear" w:color="000000" w:fill="B7DEE8"/>
            <w:vAlign w:val="center"/>
            <w:hideMark/>
          </w:tcPr>
          <w:p w14:paraId="55D0686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E6B8B7"/>
            <w:vAlign w:val="center"/>
            <w:hideMark/>
          </w:tcPr>
          <w:p w14:paraId="374313E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Α</w:t>
            </w:r>
          </w:p>
        </w:tc>
      </w:tr>
      <w:tr w:rsidR="00A3206D" w:rsidRPr="0084637C" w14:paraId="0C21D448" w14:textId="77777777" w:rsidTr="00C91F10">
        <w:trPr>
          <w:trHeight w:val="450"/>
          <w:jc w:val="center"/>
        </w:trPr>
        <w:tc>
          <w:tcPr>
            <w:tcW w:w="541" w:type="pct"/>
            <w:shd w:val="clear" w:color="000000" w:fill="BEBEBE"/>
            <w:vAlign w:val="center"/>
            <w:hideMark/>
          </w:tcPr>
          <w:p w14:paraId="272BB244"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1029</w:t>
            </w:r>
          </w:p>
        </w:tc>
        <w:tc>
          <w:tcPr>
            <w:tcW w:w="1331" w:type="pct"/>
            <w:shd w:val="clear" w:color="000000" w:fill="BEBEBE"/>
            <w:vAlign w:val="center"/>
            <w:hideMark/>
          </w:tcPr>
          <w:p w14:paraId="52629DD7"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ΑΓΡΟΤΙΚΗΣ ΑΝΑΠΤΥΞΗΣ ΚΑΙ ΤΡΟΦΙΜΩΝ</w:t>
            </w:r>
          </w:p>
        </w:tc>
        <w:tc>
          <w:tcPr>
            <w:tcW w:w="857" w:type="pct"/>
            <w:shd w:val="clear" w:color="000000" w:fill="BEBEBE"/>
            <w:vAlign w:val="center"/>
            <w:hideMark/>
          </w:tcPr>
          <w:p w14:paraId="2C4E115B"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1.503.877.000,00 €</w:t>
            </w:r>
          </w:p>
        </w:tc>
        <w:tc>
          <w:tcPr>
            <w:tcW w:w="345" w:type="pct"/>
            <w:shd w:val="clear" w:color="000000" w:fill="BEBEBE"/>
            <w:vAlign w:val="bottom"/>
            <w:hideMark/>
          </w:tcPr>
          <w:p w14:paraId="49FC982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7A656CE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200EB86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6FC3FD0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4CCF2B0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42B2364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49D85AD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6499BA91" w14:textId="77777777" w:rsidTr="00C91F10">
        <w:trPr>
          <w:trHeight w:val="225"/>
          <w:jc w:val="center"/>
        </w:trPr>
        <w:tc>
          <w:tcPr>
            <w:tcW w:w="541" w:type="pct"/>
            <w:shd w:val="clear" w:color="auto" w:fill="auto"/>
            <w:vAlign w:val="center"/>
            <w:hideMark/>
          </w:tcPr>
          <w:p w14:paraId="08D9906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11.1029.001</w:t>
            </w:r>
          </w:p>
        </w:tc>
        <w:tc>
          <w:tcPr>
            <w:tcW w:w="1331" w:type="pct"/>
            <w:shd w:val="clear" w:color="auto" w:fill="auto"/>
            <w:vAlign w:val="center"/>
            <w:hideMark/>
          </w:tcPr>
          <w:p w14:paraId="1D853C0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ΒΙΩΣΙΜΗ ΑΓΡΟΤΙΚΗ ΑΝΑΠΤΥΞΗ</w:t>
            </w:r>
          </w:p>
        </w:tc>
        <w:tc>
          <w:tcPr>
            <w:tcW w:w="857" w:type="pct"/>
            <w:shd w:val="clear" w:color="auto" w:fill="auto"/>
            <w:vAlign w:val="center"/>
            <w:hideMark/>
          </w:tcPr>
          <w:p w14:paraId="1B5D6B8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1.192.342.623,60 €</w:t>
            </w:r>
          </w:p>
        </w:tc>
        <w:tc>
          <w:tcPr>
            <w:tcW w:w="345" w:type="pct"/>
            <w:shd w:val="clear" w:color="000000" w:fill="C4D79B"/>
            <w:vAlign w:val="center"/>
            <w:hideMark/>
          </w:tcPr>
          <w:p w14:paraId="69F30BB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C150DA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3EB96C8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6A862F7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8D8DF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7304D17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1AE52A7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3A704F6" w14:textId="77777777" w:rsidTr="00C91F10">
        <w:trPr>
          <w:trHeight w:val="371"/>
          <w:jc w:val="center"/>
        </w:trPr>
        <w:tc>
          <w:tcPr>
            <w:tcW w:w="541" w:type="pct"/>
            <w:shd w:val="clear" w:color="auto" w:fill="auto"/>
            <w:vAlign w:val="center"/>
            <w:hideMark/>
          </w:tcPr>
          <w:p w14:paraId="7897292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11.1029.002</w:t>
            </w:r>
          </w:p>
        </w:tc>
        <w:tc>
          <w:tcPr>
            <w:tcW w:w="1331" w:type="pct"/>
            <w:shd w:val="clear" w:color="auto" w:fill="auto"/>
            <w:vAlign w:val="center"/>
            <w:hideMark/>
          </w:tcPr>
          <w:p w14:paraId="5A12031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ΦΥΤΙΚΗ ΚΑΙ ΖΩΙΚΗ ΠΑΡΑΓΩΓΗ</w:t>
            </w:r>
          </w:p>
        </w:tc>
        <w:tc>
          <w:tcPr>
            <w:tcW w:w="857" w:type="pct"/>
            <w:shd w:val="clear" w:color="auto" w:fill="auto"/>
            <w:vAlign w:val="center"/>
            <w:hideMark/>
          </w:tcPr>
          <w:p w14:paraId="000DB8C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101.361.720,40 €</w:t>
            </w:r>
          </w:p>
        </w:tc>
        <w:tc>
          <w:tcPr>
            <w:tcW w:w="345" w:type="pct"/>
            <w:shd w:val="clear" w:color="000000" w:fill="C4D79B"/>
            <w:vAlign w:val="center"/>
            <w:hideMark/>
          </w:tcPr>
          <w:p w14:paraId="2975F32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CFDB84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1C9310C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50F7506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AD3418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55868D6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25EC41D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A518D5A" w14:textId="77777777" w:rsidTr="00C91F10">
        <w:trPr>
          <w:trHeight w:val="275"/>
          <w:jc w:val="center"/>
        </w:trPr>
        <w:tc>
          <w:tcPr>
            <w:tcW w:w="541" w:type="pct"/>
            <w:shd w:val="clear" w:color="auto" w:fill="auto"/>
            <w:vAlign w:val="center"/>
            <w:hideMark/>
          </w:tcPr>
          <w:p w14:paraId="6976371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11.1029.003</w:t>
            </w:r>
          </w:p>
        </w:tc>
        <w:tc>
          <w:tcPr>
            <w:tcW w:w="1331" w:type="pct"/>
            <w:shd w:val="clear" w:color="auto" w:fill="auto"/>
            <w:vAlign w:val="center"/>
            <w:hideMark/>
          </w:tcPr>
          <w:p w14:paraId="772D6D8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ΚΤΗΝΙΑΤΡΙΚΗ</w:t>
            </w:r>
          </w:p>
        </w:tc>
        <w:tc>
          <w:tcPr>
            <w:tcW w:w="857" w:type="pct"/>
            <w:shd w:val="clear" w:color="auto" w:fill="auto"/>
            <w:vAlign w:val="center"/>
            <w:hideMark/>
          </w:tcPr>
          <w:p w14:paraId="24CF1ED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30.580.464,70 €</w:t>
            </w:r>
          </w:p>
        </w:tc>
        <w:tc>
          <w:tcPr>
            <w:tcW w:w="345" w:type="pct"/>
            <w:shd w:val="clear" w:color="000000" w:fill="C4D79B"/>
            <w:vAlign w:val="center"/>
            <w:hideMark/>
          </w:tcPr>
          <w:p w14:paraId="38DF1FC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2D40BC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7BD4F1B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3349CF3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19EA99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2EDC424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52E7310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8C1A036" w14:textId="77777777" w:rsidTr="00C91F10">
        <w:trPr>
          <w:trHeight w:val="225"/>
          <w:jc w:val="center"/>
        </w:trPr>
        <w:tc>
          <w:tcPr>
            <w:tcW w:w="541" w:type="pct"/>
            <w:shd w:val="clear" w:color="auto" w:fill="auto"/>
            <w:vAlign w:val="center"/>
            <w:hideMark/>
          </w:tcPr>
          <w:p w14:paraId="75A8701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11.1029.004</w:t>
            </w:r>
          </w:p>
        </w:tc>
        <w:tc>
          <w:tcPr>
            <w:tcW w:w="1331" w:type="pct"/>
            <w:shd w:val="clear" w:color="auto" w:fill="auto"/>
            <w:vAlign w:val="center"/>
            <w:hideMark/>
          </w:tcPr>
          <w:p w14:paraId="59E002C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ΑΛΙΕΙΑ</w:t>
            </w:r>
          </w:p>
        </w:tc>
        <w:tc>
          <w:tcPr>
            <w:tcW w:w="857" w:type="pct"/>
            <w:shd w:val="clear" w:color="auto" w:fill="auto"/>
            <w:vAlign w:val="center"/>
            <w:hideMark/>
          </w:tcPr>
          <w:p w14:paraId="01D6AA8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101.738.933,20 €</w:t>
            </w:r>
          </w:p>
        </w:tc>
        <w:tc>
          <w:tcPr>
            <w:tcW w:w="345" w:type="pct"/>
            <w:shd w:val="clear" w:color="000000" w:fill="B7DEE8"/>
            <w:vAlign w:val="center"/>
            <w:hideMark/>
          </w:tcPr>
          <w:p w14:paraId="23583BD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AFD195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AC2658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EBE42C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415092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60E4D2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3DB1CAE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0C55C1E2" w14:textId="77777777" w:rsidTr="00C91F10">
        <w:trPr>
          <w:trHeight w:val="381"/>
          <w:jc w:val="center"/>
        </w:trPr>
        <w:tc>
          <w:tcPr>
            <w:tcW w:w="541" w:type="pct"/>
            <w:shd w:val="clear" w:color="auto" w:fill="auto"/>
            <w:vAlign w:val="center"/>
            <w:hideMark/>
          </w:tcPr>
          <w:p w14:paraId="672C1C7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11.1029.005</w:t>
            </w:r>
          </w:p>
        </w:tc>
        <w:tc>
          <w:tcPr>
            <w:tcW w:w="1331" w:type="pct"/>
            <w:shd w:val="clear" w:color="auto" w:fill="auto"/>
            <w:vAlign w:val="center"/>
            <w:hideMark/>
          </w:tcPr>
          <w:p w14:paraId="224D142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ΤΡΟΦΙΜΑ</w:t>
            </w:r>
          </w:p>
        </w:tc>
        <w:tc>
          <w:tcPr>
            <w:tcW w:w="857" w:type="pct"/>
            <w:shd w:val="clear" w:color="auto" w:fill="auto"/>
            <w:vAlign w:val="center"/>
            <w:hideMark/>
          </w:tcPr>
          <w:p w14:paraId="020B70A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27.958.161,00 €</w:t>
            </w:r>
          </w:p>
        </w:tc>
        <w:tc>
          <w:tcPr>
            <w:tcW w:w="345" w:type="pct"/>
            <w:shd w:val="clear" w:color="000000" w:fill="C4D79B"/>
            <w:vAlign w:val="center"/>
            <w:hideMark/>
          </w:tcPr>
          <w:p w14:paraId="0BEE08B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5D04D7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63388C8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0B753F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C181DF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3441A7C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55CF49F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A67D404" w14:textId="77777777" w:rsidTr="00C91F10">
        <w:trPr>
          <w:trHeight w:val="675"/>
          <w:jc w:val="center"/>
        </w:trPr>
        <w:tc>
          <w:tcPr>
            <w:tcW w:w="541" w:type="pct"/>
            <w:shd w:val="clear" w:color="auto" w:fill="auto"/>
            <w:vAlign w:val="center"/>
            <w:hideMark/>
          </w:tcPr>
          <w:p w14:paraId="50FBA83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11.1029.006</w:t>
            </w:r>
          </w:p>
        </w:tc>
        <w:tc>
          <w:tcPr>
            <w:tcW w:w="1331" w:type="pct"/>
            <w:shd w:val="clear" w:color="auto" w:fill="auto"/>
            <w:vAlign w:val="center"/>
            <w:hideMark/>
          </w:tcPr>
          <w:p w14:paraId="6170E06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ΑΓΡΟΤΙΚΗΣ ΑΝΑΠΤΥΞΗΣ ΚΑΙ ΤΡΟΦΙΜΩΝ</w:t>
            </w:r>
          </w:p>
        </w:tc>
        <w:tc>
          <w:tcPr>
            <w:tcW w:w="857" w:type="pct"/>
            <w:shd w:val="clear" w:color="auto" w:fill="auto"/>
            <w:vAlign w:val="center"/>
            <w:hideMark/>
          </w:tcPr>
          <w:p w14:paraId="425EBA5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49.895.097,10 €</w:t>
            </w:r>
          </w:p>
        </w:tc>
        <w:tc>
          <w:tcPr>
            <w:tcW w:w="345" w:type="pct"/>
            <w:shd w:val="clear" w:color="000000" w:fill="B7DEE8"/>
            <w:vAlign w:val="center"/>
            <w:hideMark/>
          </w:tcPr>
          <w:p w14:paraId="4720A34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A23DF2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D350CF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73F879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B40C11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3E3C22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40B8E8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BC3CF33" w14:textId="77777777" w:rsidTr="00C91F10">
        <w:trPr>
          <w:trHeight w:val="225"/>
          <w:jc w:val="center"/>
        </w:trPr>
        <w:tc>
          <w:tcPr>
            <w:tcW w:w="541" w:type="pct"/>
            <w:shd w:val="clear" w:color="000000" w:fill="BEBEBE"/>
            <w:vAlign w:val="center"/>
            <w:hideMark/>
          </w:tcPr>
          <w:p w14:paraId="2C3D8AC6"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1031</w:t>
            </w:r>
          </w:p>
        </w:tc>
        <w:tc>
          <w:tcPr>
            <w:tcW w:w="1331" w:type="pct"/>
            <w:shd w:val="clear" w:color="000000" w:fill="BEBEBE"/>
            <w:vAlign w:val="center"/>
            <w:hideMark/>
          </w:tcPr>
          <w:p w14:paraId="5001A84B"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ΠΕΡΙΒΑΛΛΟΝΤΟΣ ΚΑΙ ΕΝΕΡΓΕΙΑΣ</w:t>
            </w:r>
          </w:p>
        </w:tc>
        <w:tc>
          <w:tcPr>
            <w:tcW w:w="857" w:type="pct"/>
            <w:shd w:val="clear" w:color="000000" w:fill="BEBEBE"/>
            <w:vAlign w:val="center"/>
            <w:hideMark/>
          </w:tcPr>
          <w:p w14:paraId="6AA22155"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3.133.452.000,00 €</w:t>
            </w:r>
          </w:p>
        </w:tc>
        <w:tc>
          <w:tcPr>
            <w:tcW w:w="345" w:type="pct"/>
            <w:shd w:val="clear" w:color="000000" w:fill="BEBEBE"/>
            <w:vAlign w:val="bottom"/>
            <w:hideMark/>
          </w:tcPr>
          <w:p w14:paraId="68E59CC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4BBC9BD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1DB46D1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2DCAC6B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5736BB9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69C6760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7DAAC7E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2F90A71E" w14:textId="77777777" w:rsidTr="00C91F10">
        <w:trPr>
          <w:trHeight w:val="450"/>
          <w:jc w:val="center"/>
        </w:trPr>
        <w:tc>
          <w:tcPr>
            <w:tcW w:w="541" w:type="pct"/>
            <w:shd w:val="clear" w:color="auto" w:fill="auto"/>
            <w:vAlign w:val="center"/>
            <w:hideMark/>
          </w:tcPr>
          <w:p w14:paraId="41F088C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05.1031.001</w:t>
            </w:r>
          </w:p>
        </w:tc>
        <w:tc>
          <w:tcPr>
            <w:tcW w:w="1331" w:type="pct"/>
            <w:shd w:val="clear" w:color="auto" w:fill="auto"/>
            <w:vAlign w:val="center"/>
            <w:hideMark/>
          </w:tcPr>
          <w:p w14:paraId="43BB3AE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ΠΕΡΙΒΑΛΛΟΝΤΟΣ ΚΑΙ ΕΝΕΡΓΕΙΑΣ</w:t>
            </w:r>
          </w:p>
        </w:tc>
        <w:tc>
          <w:tcPr>
            <w:tcW w:w="857" w:type="pct"/>
            <w:shd w:val="clear" w:color="auto" w:fill="auto"/>
            <w:vAlign w:val="center"/>
            <w:hideMark/>
          </w:tcPr>
          <w:p w14:paraId="00D004F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16.014.940,00 €</w:t>
            </w:r>
          </w:p>
        </w:tc>
        <w:tc>
          <w:tcPr>
            <w:tcW w:w="345" w:type="pct"/>
            <w:shd w:val="clear" w:color="000000" w:fill="C4D79B"/>
            <w:vAlign w:val="center"/>
            <w:hideMark/>
          </w:tcPr>
          <w:p w14:paraId="475A548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F69F47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4ED3953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260FB30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352C8F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59F3730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6B90DD8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573173E1" w14:textId="77777777" w:rsidTr="00C91F10">
        <w:trPr>
          <w:trHeight w:val="450"/>
          <w:jc w:val="center"/>
        </w:trPr>
        <w:tc>
          <w:tcPr>
            <w:tcW w:w="541" w:type="pct"/>
            <w:shd w:val="clear" w:color="auto" w:fill="auto"/>
            <w:vAlign w:val="center"/>
            <w:hideMark/>
          </w:tcPr>
          <w:p w14:paraId="5B68009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05.1031.002</w:t>
            </w:r>
          </w:p>
        </w:tc>
        <w:tc>
          <w:tcPr>
            <w:tcW w:w="1331" w:type="pct"/>
            <w:shd w:val="clear" w:color="auto" w:fill="auto"/>
            <w:vAlign w:val="center"/>
            <w:hideMark/>
          </w:tcPr>
          <w:p w14:paraId="3FEB80C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ΠΡΟΣΤΑΣΙΑ ΦΥΣΙΚΟΥ ΠΕΡΙΒΑΛΛΟΝΤΟΣ ΚΑΙ ΥΔΑΤΩΝ ΒΑΣΕΙ ΒΙΩΣΙΜΗΣ ΑΝΑΠΤΥΞΗΣ</w:t>
            </w:r>
          </w:p>
        </w:tc>
        <w:tc>
          <w:tcPr>
            <w:tcW w:w="857" w:type="pct"/>
            <w:shd w:val="clear" w:color="auto" w:fill="auto"/>
            <w:vAlign w:val="center"/>
            <w:hideMark/>
          </w:tcPr>
          <w:p w14:paraId="48B7A5DC"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924.297.966,00 €</w:t>
            </w:r>
          </w:p>
        </w:tc>
        <w:tc>
          <w:tcPr>
            <w:tcW w:w="345" w:type="pct"/>
            <w:shd w:val="clear" w:color="000000" w:fill="C4D79B"/>
            <w:vAlign w:val="center"/>
            <w:hideMark/>
          </w:tcPr>
          <w:p w14:paraId="4862CDC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117D118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06153CE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77CE6F3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58D702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5E13E2E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3BF593B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82218F7" w14:textId="77777777" w:rsidTr="00C91F10">
        <w:trPr>
          <w:trHeight w:val="450"/>
          <w:jc w:val="center"/>
        </w:trPr>
        <w:tc>
          <w:tcPr>
            <w:tcW w:w="541" w:type="pct"/>
            <w:shd w:val="clear" w:color="auto" w:fill="auto"/>
            <w:vAlign w:val="center"/>
            <w:hideMark/>
          </w:tcPr>
          <w:p w14:paraId="1F375DC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05.1031.003</w:t>
            </w:r>
          </w:p>
        </w:tc>
        <w:tc>
          <w:tcPr>
            <w:tcW w:w="1331" w:type="pct"/>
            <w:shd w:val="clear" w:color="auto" w:fill="auto"/>
            <w:vAlign w:val="center"/>
            <w:hideMark/>
          </w:tcPr>
          <w:p w14:paraId="2A144E8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ΧΩΡΟΤΑΞΙΚΟΣ ΣΧΕΔΙΑΣΜΟΣ ΚΑΙ ΑΣΤΙΚΟ ΠΕΡΙΒΑΛΛΟΝ</w:t>
            </w:r>
          </w:p>
        </w:tc>
        <w:tc>
          <w:tcPr>
            <w:tcW w:w="857" w:type="pct"/>
            <w:shd w:val="clear" w:color="auto" w:fill="auto"/>
            <w:vAlign w:val="center"/>
            <w:hideMark/>
          </w:tcPr>
          <w:p w14:paraId="6814E78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784.371.404,00 €</w:t>
            </w:r>
          </w:p>
        </w:tc>
        <w:tc>
          <w:tcPr>
            <w:tcW w:w="345" w:type="pct"/>
            <w:shd w:val="clear" w:color="000000" w:fill="C4D79B"/>
            <w:vAlign w:val="center"/>
            <w:hideMark/>
          </w:tcPr>
          <w:p w14:paraId="050334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70137F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34CDAE9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B7DEE8"/>
            <w:vAlign w:val="center"/>
            <w:hideMark/>
          </w:tcPr>
          <w:p w14:paraId="51AEB95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3709B93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0B14498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245691B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914FB3D" w14:textId="77777777" w:rsidTr="00C91F10">
        <w:trPr>
          <w:trHeight w:val="450"/>
          <w:jc w:val="center"/>
        </w:trPr>
        <w:tc>
          <w:tcPr>
            <w:tcW w:w="541" w:type="pct"/>
            <w:shd w:val="clear" w:color="auto" w:fill="auto"/>
            <w:vAlign w:val="center"/>
            <w:hideMark/>
          </w:tcPr>
          <w:p w14:paraId="3F2487A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05.1031.004</w:t>
            </w:r>
          </w:p>
        </w:tc>
        <w:tc>
          <w:tcPr>
            <w:tcW w:w="1331" w:type="pct"/>
            <w:shd w:val="clear" w:color="auto" w:fill="auto"/>
            <w:vAlign w:val="center"/>
            <w:hideMark/>
          </w:tcPr>
          <w:p w14:paraId="77742BC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ΕΝΕΡΓΕΙΑΣ ΚΑΙ ΟΡΥΚΤΩΝ ΠΡΩΤΩΝ ΥΛΩΝ</w:t>
            </w:r>
          </w:p>
        </w:tc>
        <w:tc>
          <w:tcPr>
            <w:tcW w:w="857" w:type="pct"/>
            <w:shd w:val="clear" w:color="auto" w:fill="auto"/>
            <w:vAlign w:val="center"/>
            <w:hideMark/>
          </w:tcPr>
          <w:p w14:paraId="3EBFD6D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1.408.767.690,00 €</w:t>
            </w:r>
          </w:p>
        </w:tc>
        <w:tc>
          <w:tcPr>
            <w:tcW w:w="345" w:type="pct"/>
            <w:shd w:val="clear" w:color="000000" w:fill="FCD5B4"/>
            <w:vAlign w:val="center"/>
            <w:hideMark/>
          </w:tcPr>
          <w:p w14:paraId="60A1F1C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307" w:type="pct"/>
            <w:shd w:val="clear" w:color="000000" w:fill="C4D79B"/>
            <w:vAlign w:val="center"/>
            <w:hideMark/>
          </w:tcPr>
          <w:p w14:paraId="3FC68E2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3F47727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2FEF6F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FCD5B4"/>
            <w:vAlign w:val="center"/>
            <w:hideMark/>
          </w:tcPr>
          <w:p w14:paraId="7A55B40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328" w:type="pct"/>
            <w:shd w:val="clear" w:color="000000" w:fill="E6B8B7"/>
            <w:vAlign w:val="center"/>
            <w:hideMark/>
          </w:tcPr>
          <w:p w14:paraId="44E951C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288" w:type="pct"/>
            <w:shd w:val="clear" w:color="000000" w:fill="FCD5B4"/>
            <w:vAlign w:val="center"/>
            <w:hideMark/>
          </w:tcPr>
          <w:p w14:paraId="45F23CD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w:t>
            </w:r>
          </w:p>
        </w:tc>
      </w:tr>
      <w:tr w:rsidR="00A3206D" w:rsidRPr="0084637C" w14:paraId="76A17CDA" w14:textId="77777777" w:rsidTr="00C91F10">
        <w:trPr>
          <w:trHeight w:val="450"/>
          <w:jc w:val="center"/>
        </w:trPr>
        <w:tc>
          <w:tcPr>
            <w:tcW w:w="541" w:type="pct"/>
            <w:shd w:val="clear" w:color="000000" w:fill="BEBEBE"/>
            <w:vAlign w:val="center"/>
            <w:hideMark/>
          </w:tcPr>
          <w:p w14:paraId="34F74C05"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1032</w:t>
            </w:r>
          </w:p>
        </w:tc>
        <w:tc>
          <w:tcPr>
            <w:tcW w:w="1331" w:type="pct"/>
            <w:shd w:val="clear" w:color="000000" w:fill="BEBEBE"/>
            <w:vAlign w:val="center"/>
            <w:hideMark/>
          </w:tcPr>
          <w:p w14:paraId="0E2C3536"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ΕΡΓΑΣΙΑΣ ΚΑΙ ΚΟΙΝΩΝΙΚΗΣ ΑΣΦΑΛΙΣΗΣ</w:t>
            </w:r>
          </w:p>
        </w:tc>
        <w:tc>
          <w:tcPr>
            <w:tcW w:w="857" w:type="pct"/>
            <w:shd w:val="clear" w:color="000000" w:fill="BEBEBE"/>
            <w:vAlign w:val="center"/>
            <w:hideMark/>
          </w:tcPr>
          <w:p w14:paraId="5102007A"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19.101.078.000,00 €</w:t>
            </w:r>
          </w:p>
        </w:tc>
        <w:tc>
          <w:tcPr>
            <w:tcW w:w="345" w:type="pct"/>
            <w:shd w:val="clear" w:color="000000" w:fill="BEBEBE"/>
            <w:vAlign w:val="bottom"/>
            <w:hideMark/>
          </w:tcPr>
          <w:p w14:paraId="54D93A6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2CA3A6A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1D3DA8A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617B701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578844B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21C15EA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1258E04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28178D97" w14:textId="77777777" w:rsidTr="00C91F10">
        <w:trPr>
          <w:trHeight w:val="675"/>
          <w:jc w:val="center"/>
        </w:trPr>
        <w:tc>
          <w:tcPr>
            <w:tcW w:w="541" w:type="pct"/>
            <w:shd w:val="clear" w:color="auto" w:fill="auto"/>
            <w:vAlign w:val="center"/>
            <w:hideMark/>
          </w:tcPr>
          <w:p w14:paraId="2C3FAEB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10.1032.001</w:t>
            </w:r>
          </w:p>
        </w:tc>
        <w:tc>
          <w:tcPr>
            <w:tcW w:w="1331" w:type="pct"/>
            <w:shd w:val="clear" w:color="auto" w:fill="auto"/>
            <w:vAlign w:val="center"/>
            <w:hideMark/>
          </w:tcPr>
          <w:p w14:paraId="221E24C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ΕΠΕΝΔΥΣΕΙΣ ΚΑΙ ΔΙΑΜΟΡΦΩΣΗ ΠΟΛΙΤΙΚΩΝ ΥΠΟΥΡΓΕΙΟΥ ΕΡΓΑΣΙΑΣ ΚΑΙ ΚΟΙΝΩΝΙΚΗΣ ΑΣΦΑΛΙΣΗΣ</w:t>
            </w:r>
          </w:p>
        </w:tc>
        <w:tc>
          <w:tcPr>
            <w:tcW w:w="857" w:type="pct"/>
            <w:shd w:val="clear" w:color="auto" w:fill="auto"/>
            <w:vAlign w:val="center"/>
            <w:hideMark/>
          </w:tcPr>
          <w:p w14:paraId="7976BE8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49.270.160,00 €</w:t>
            </w:r>
          </w:p>
        </w:tc>
        <w:tc>
          <w:tcPr>
            <w:tcW w:w="345" w:type="pct"/>
            <w:shd w:val="clear" w:color="000000" w:fill="B7DEE8"/>
            <w:vAlign w:val="center"/>
            <w:hideMark/>
          </w:tcPr>
          <w:p w14:paraId="5B7792F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54DCC7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4A90C8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4526C1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909680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68E98F5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32BF30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09328A1C" w14:textId="77777777" w:rsidTr="00C91F10">
        <w:trPr>
          <w:trHeight w:val="447"/>
          <w:jc w:val="center"/>
        </w:trPr>
        <w:tc>
          <w:tcPr>
            <w:tcW w:w="541" w:type="pct"/>
            <w:shd w:val="clear" w:color="auto" w:fill="auto"/>
            <w:vAlign w:val="center"/>
            <w:hideMark/>
          </w:tcPr>
          <w:p w14:paraId="2A9FB43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10.1032.002</w:t>
            </w:r>
          </w:p>
        </w:tc>
        <w:tc>
          <w:tcPr>
            <w:tcW w:w="1331" w:type="pct"/>
            <w:shd w:val="clear" w:color="auto" w:fill="auto"/>
            <w:vAlign w:val="center"/>
            <w:hideMark/>
          </w:tcPr>
          <w:p w14:paraId="4BD1A46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ΠΟΛΙΤΙΚΕΣ ΚΟΙΝΩΝΙΚΗΣ ΑΣΦΑΛΙΣΗΣ</w:t>
            </w:r>
          </w:p>
        </w:tc>
        <w:tc>
          <w:tcPr>
            <w:tcW w:w="857" w:type="pct"/>
            <w:shd w:val="clear" w:color="auto" w:fill="auto"/>
            <w:vAlign w:val="center"/>
            <w:hideMark/>
          </w:tcPr>
          <w:p w14:paraId="449DF2D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17.005.622.995,08 €</w:t>
            </w:r>
          </w:p>
        </w:tc>
        <w:tc>
          <w:tcPr>
            <w:tcW w:w="345" w:type="pct"/>
            <w:shd w:val="clear" w:color="000000" w:fill="B7DEE8"/>
            <w:vAlign w:val="center"/>
            <w:hideMark/>
          </w:tcPr>
          <w:p w14:paraId="7A7AFF7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BA8849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AF3DD4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87D357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678676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3423A01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55C1DC7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40BFCA9" w14:textId="77777777" w:rsidTr="00C91F10">
        <w:trPr>
          <w:trHeight w:val="225"/>
          <w:jc w:val="center"/>
        </w:trPr>
        <w:tc>
          <w:tcPr>
            <w:tcW w:w="541" w:type="pct"/>
            <w:shd w:val="clear" w:color="auto" w:fill="auto"/>
            <w:vAlign w:val="center"/>
            <w:hideMark/>
          </w:tcPr>
          <w:p w14:paraId="72E90A5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10.1032.003</w:t>
            </w:r>
          </w:p>
        </w:tc>
        <w:tc>
          <w:tcPr>
            <w:tcW w:w="1331" w:type="pct"/>
            <w:shd w:val="clear" w:color="auto" w:fill="auto"/>
            <w:vAlign w:val="center"/>
            <w:hideMark/>
          </w:tcPr>
          <w:p w14:paraId="713EB85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ΠΟΛΙΤΙΚΕΣ ΣΤΗΡΙΞΗΣ ΤΗΣ ΕΡΓΑΣΙΑΣ</w:t>
            </w:r>
          </w:p>
        </w:tc>
        <w:tc>
          <w:tcPr>
            <w:tcW w:w="857" w:type="pct"/>
            <w:shd w:val="clear" w:color="auto" w:fill="auto"/>
            <w:vAlign w:val="center"/>
            <w:hideMark/>
          </w:tcPr>
          <w:p w14:paraId="0E32006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2.013.141.640,00 €</w:t>
            </w:r>
          </w:p>
        </w:tc>
        <w:tc>
          <w:tcPr>
            <w:tcW w:w="345" w:type="pct"/>
            <w:shd w:val="clear" w:color="000000" w:fill="C4D79B"/>
            <w:vAlign w:val="center"/>
            <w:hideMark/>
          </w:tcPr>
          <w:p w14:paraId="2F4718F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5595542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CCA649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5B82ABF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F0BB67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F62B7C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49307BD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12E8391A" w14:textId="77777777" w:rsidTr="00C91F10">
        <w:trPr>
          <w:trHeight w:val="499"/>
          <w:jc w:val="center"/>
        </w:trPr>
        <w:tc>
          <w:tcPr>
            <w:tcW w:w="541" w:type="pct"/>
            <w:shd w:val="clear" w:color="auto" w:fill="auto"/>
            <w:vAlign w:val="center"/>
            <w:hideMark/>
          </w:tcPr>
          <w:p w14:paraId="3AE8CE8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10.1032.004</w:t>
            </w:r>
          </w:p>
        </w:tc>
        <w:tc>
          <w:tcPr>
            <w:tcW w:w="1331" w:type="pct"/>
            <w:shd w:val="clear" w:color="auto" w:fill="auto"/>
            <w:vAlign w:val="center"/>
            <w:hideMark/>
          </w:tcPr>
          <w:p w14:paraId="10475FB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ΕΛΕΓΧΟΣ ΤΗΣ ΑΓΟΡΑΣ ΕΡΓΑΣΙΑΣ</w:t>
            </w:r>
          </w:p>
        </w:tc>
        <w:tc>
          <w:tcPr>
            <w:tcW w:w="857" w:type="pct"/>
            <w:shd w:val="clear" w:color="auto" w:fill="auto"/>
            <w:vAlign w:val="center"/>
            <w:hideMark/>
          </w:tcPr>
          <w:p w14:paraId="1D30C1E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32.841.000,00 €</w:t>
            </w:r>
          </w:p>
        </w:tc>
        <w:tc>
          <w:tcPr>
            <w:tcW w:w="345" w:type="pct"/>
            <w:shd w:val="clear" w:color="000000" w:fill="B7DEE8"/>
            <w:vAlign w:val="center"/>
            <w:hideMark/>
          </w:tcPr>
          <w:p w14:paraId="728CB35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AC9997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4311BB0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1A41EAD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DDB236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0AE921F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CC8155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2CBF5C9" w14:textId="77777777" w:rsidTr="00C91F10">
        <w:trPr>
          <w:trHeight w:val="225"/>
          <w:jc w:val="center"/>
        </w:trPr>
        <w:tc>
          <w:tcPr>
            <w:tcW w:w="541" w:type="pct"/>
            <w:shd w:val="clear" w:color="auto" w:fill="auto"/>
            <w:vAlign w:val="center"/>
            <w:hideMark/>
          </w:tcPr>
          <w:p w14:paraId="71E3434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lastRenderedPageBreak/>
              <w:t>10.1032.005</w:t>
            </w:r>
          </w:p>
        </w:tc>
        <w:tc>
          <w:tcPr>
            <w:tcW w:w="1331" w:type="pct"/>
            <w:shd w:val="clear" w:color="auto" w:fill="auto"/>
            <w:vAlign w:val="center"/>
            <w:hideMark/>
          </w:tcPr>
          <w:p w14:paraId="3698FAC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ΣΤΑΤΙΣΤΙΚΑ ΔΕΔΟΜΕΝΑ ΚΑΙ ΕΡΕΥΝΕΣ ΕΑΑ</w:t>
            </w:r>
          </w:p>
        </w:tc>
        <w:tc>
          <w:tcPr>
            <w:tcW w:w="857" w:type="pct"/>
            <w:shd w:val="clear" w:color="auto" w:fill="auto"/>
            <w:vAlign w:val="center"/>
            <w:hideMark/>
          </w:tcPr>
          <w:p w14:paraId="25D93AB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202.204,92 €</w:t>
            </w:r>
          </w:p>
        </w:tc>
        <w:tc>
          <w:tcPr>
            <w:tcW w:w="345" w:type="pct"/>
            <w:shd w:val="clear" w:color="000000" w:fill="FDE9D9"/>
            <w:vAlign w:val="center"/>
            <w:hideMark/>
          </w:tcPr>
          <w:p w14:paraId="19ADA46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358969F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73B34BC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406ECE5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75EF7AC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7F454E6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20DE7F7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47C7CEF2" w14:textId="77777777" w:rsidTr="00C91F10">
        <w:trPr>
          <w:trHeight w:val="450"/>
          <w:jc w:val="center"/>
        </w:trPr>
        <w:tc>
          <w:tcPr>
            <w:tcW w:w="541" w:type="pct"/>
            <w:shd w:val="clear" w:color="000000" w:fill="BEBEBE"/>
            <w:vAlign w:val="center"/>
            <w:hideMark/>
          </w:tcPr>
          <w:p w14:paraId="35A0CA6E"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1034</w:t>
            </w:r>
          </w:p>
        </w:tc>
        <w:tc>
          <w:tcPr>
            <w:tcW w:w="1331" w:type="pct"/>
            <w:shd w:val="clear" w:color="000000" w:fill="BEBEBE"/>
            <w:vAlign w:val="center"/>
            <w:hideMark/>
          </w:tcPr>
          <w:p w14:paraId="7482B074"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ΚΟΙΝΩΝΙΚΗΣ ΣΥΝΟΧΗΣ ΚΑΙ ΟΙΚΟΓΕΝΕΙΑΣ</w:t>
            </w:r>
          </w:p>
        </w:tc>
        <w:tc>
          <w:tcPr>
            <w:tcW w:w="857" w:type="pct"/>
            <w:shd w:val="clear" w:color="000000" w:fill="BEBEBE"/>
            <w:vAlign w:val="center"/>
            <w:hideMark/>
          </w:tcPr>
          <w:p w14:paraId="54B851D1"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3.803.316.000,00 €</w:t>
            </w:r>
          </w:p>
        </w:tc>
        <w:tc>
          <w:tcPr>
            <w:tcW w:w="345" w:type="pct"/>
            <w:shd w:val="clear" w:color="000000" w:fill="BEBEBE"/>
            <w:vAlign w:val="bottom"/>
            <w:hideMark/>
          </w:tcPr>
          <w:p w14:paraId="3E27AC8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131346B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658D65E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7C8B0CF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7D7CFC2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3EE151D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650D3C1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3CF8E4A5" w14:textId="77777777" w:rsidTr="00C91F10">
        <w:trPr>
          <w:trHeight w:val="675"/>
          <w:jc w:val="center"/>
        </w:trPr>
        <w:tc>
          <w:tcPr>
            <w:tcW w:w="541" w:type="pct"/>
            <w:shd w:val="clear" w:color="auto" w:fill="auto"/>
            <w:vAlign w:val="center"/>
            <w:hideMark/>
          </w:tcPr>
          <w:p w14:paraId="575AEC6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10.1034.001</w:t>
            </w:r>
          </w:p>
        </w:tc>
        <w:tc>
          <w:tcPr>
            <w:tcW w:w="1331" w:type="pct"/>
            <w:shd w:val="clear" w:color="auto" w:fill="auto"/>
            <w:vAlign w:val="center"/>
            <w:hideMark/>
          </w:tcPr>
          <w:p w14:paraId="562C517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ΕΠΕΝΔΥΣΕΙΣ ΚΑΙ ΔΙΑΜΟΡΦΩΣΗ ΠΟΛΙΤΙΚΩΝ ΥΠΟΥΡΓΕΙΟΥ ΚΟΙΝΩΝΙΚΗΣ ΣΥΝΟΧΗΣ ΚΑΙ ΟΙΚΟΓΕΝΕΙΑΣ</w:t>
            </w:r>
          </w:p>
        </w:tc>
        <w:tc>
          <w:tcPr>
            <w:tcW w:w="857" w:type="pct"/>
            <w:shd w:val="clear" w:color="auto" w:fill="auto"/>
            <w:vAlign w:val="center"/>
            <w:hideMark/>
          </w:tcPr>
          <w:p w14:paraId="7D3DE31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75.656.592,00 €</w:t>
            </w:r>
          </w:p>
        </w:tc>
        <w:tc>
          <w:tcPr>
            <w:tcW w:w="345" w:type="pct"/>
            <w:shd w:val="clear" w:color="000000" w:fill="B7DEE8"/>
            <w:vAlign w:val="center"/>
            <w:hideMark/>
          </w:tcPr>
          <w:p w14:paraId="4A3F128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0B5844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E9F7D9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7A1EAE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9BCE8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F43530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4D43B6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4CE883F5" w14:textId="77777777" w:rsidTr="00C91F10">
        <w:trPr>
          <w:trHeight w:val="450"/>
          <w:jc w:val="center"/>
        </w:trPr>
        <w:tc>
          <w:tcPr>
            <w:tcW w:w="541" w:type="pct"/>
            <w:shd w:val="clear" w:color="auto" w:fill="auto"/>
            <w:vAlign w:val="center"/>
            <w:hideMark/>
          </w:tcPr>
          <w:p w14:paraId="3368672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10.1034.002</w:t>
            </w:r>
          </w:p>
        </w:tc>
        <w:tc>
          <w:tcPr>
            <w:tcW w:w="1331" w:type="pct"/>
            <w:shd w:val="clear" w:color="auto" w:fill="auto"/>
            <w:vAlign w:val="center"/>
            <w:hideMark/>
          </w:tcPr>
          <w:p w14:paraId="474B365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ΠΟΛΙΤΙΚΕΣ ΚΟΙΝΩΝΙΚΗΣ ΑΛΛΗΛΕΓΓΥΗΣ ΚΑΙ ΚΑΤΑΠΟΛΕΜΗΣΗΣ ΤΗΣ ΦΤΩΧΕΙΑΣ</w:t>
            </w:r>
          </w:p>
        </w:tc>
        <w:tc>
          <w:tcPr>
            <w:tcW w:w="857" w:type="pct"/>
            <w:shd w:val="clear" w:color="auto" w:fill="auto"/>
            <w:vAlign w:val="center"/>
            <w:hideMark/>
          </w:tcPr>
          <w:p w14:paraId="2B7161C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3.723.720.408,00 €</w:t>
            </w:r>
          </w:p>
        </w:tc>
        <w:tc>
          <w:tcPr>
            <w:tcW w:w="345" w:type="pct"/>
            <w:shd w:val="clear" w:color="000000" w:fill="B7DEE8"/>
            <w:vAlign w:val="center"/>
            <w:hideMark/>
          </w:tcPr>
          <w:p w14:paraId="37C100E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24BC60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FF8D1E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7799A98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5D0A186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6758133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8E539D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D71F3C1" w14:textId="77777777" w:rsidTr="00C91F10">
        <w:trPr>
          <w:trHeight w:val="450"/>
          <w:jc w:val="center"/>
        </w:trPr>
        <w:tc>
          <w:tcPr>
            <w:tcW w:w="541" w:type="pct"/>
            <w:shd w:val="clear" w:color="auto" w:fill="auto"/>
            <w:vAlign w:val="center"/>
            <w:hideMark/>
          </w:tcPr>
          <w:p w14:paraId="0F1B373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10.1034.003</w:t>
            </w:r>
          </w:p>
        </w:tc>
        <w:tc>
          <w:tcPr>
            <w:tcW w:w="1331" w:type="pct"/>
            <w:shd w:val="clear" w:color="auto" w:fill="auto"/>
            <w:vAlign w:val="center"/>
            <w:hideMark/>
          </w:tcPr>
          <w:p w14:paraId="2221A0A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ΠΟΛΙΤΙΚΕΣ ΓΙΑ ΤΗΝ ΙΣΟΤΗΤΑ ΤΩΝ ΦΥΛΩΝ ΚΑΙ ΤΑ ΑΝΘΡΩΠΙΝΑ ΔΙΚΑΙΩΜΑΤΑ</w:t>
            </w:r>
          </w:p>
        </w:tc>
        <w:tc>
          <w:tcPr>
            <w:tcW w:w="857" w:type="pct"/>
            <w:shd w:val="clear" w:color="auto" w:fill="auto"/>
            <w:vAlign w:val="center"/>
            <w:hideMark/>
          </w:tcPr>
          <w:p w14:paraId="7F1C190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3.939.000,00 €</w:t>
            </w:r>
          </w:p>
        </w:tc>
        <w:tc>
          <w:tcPr>
            <w:tcW w:w="345" w:type="pct"/>
            <w:shd w:val="clear" w:color="000000" w:fill="B7DEE8"/>
            <w:vAlign w:val="center"/>
            <w:hideMark/>
          </w:tcPr>
          <w:p w14:paraId="73F9FC6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85434C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178EBB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6F895C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9964D7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66263F6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45AE0E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4D56EEE2" w14:textId="77777777" w:rsidTr="00C91F10">
        <w:trPr>
          <w:trHeight w:val="225"/>
          <w:jc w:val="center"/>
        </w:trPr>
        <w:tc>
          <w:tcPr>
            <w:tcW w:w="541" w:type="pct"/>
            <w:shd w:val="clear" w:color="000000" w:fill="BEBEBE"/>
            <w:vAlign w:val="center"/>
            <w:hideMark/>
          </w:tcPr>
          <w:p w14:paraId="67A0E8AF"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1036</w:t>
            </w:r>
          </w:p>
        </w:tc>
        <w:tc>
          <w:tcPr>
            <w:tcW w:w="1331" w:type="pct"/>
            <w:shd w:val="clear" w:color="000000" w:fill="BEBEBE"/>
            <w:vAlign w:val="center"/>
            <w:hideMark/>
          </w:tcPr>
          <w:p w14:paraId="230B7CE9"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ΑΝΑΠΤΥΞΗΣ</w:t>
            </w:r>
          </w:p>
        </w:tc>
        <w:tc>
          <w:tcPr>
            <w:tcW w:w="857" w:type="pct"/>
            <w:shd w:val="clear" w:color="000000" w:fill="BEBEBE"/>
            <w:vAlign w:val="center"/>
            <w:hideMark/>
          </w:tcPr>
          <w:p w14:paraId="0AC3A960"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798.476.000,00 €</w:t>
            </w:r>
          </w:p>
        </w:tc>
        <w:tc>
          <w:tcPr>
            <w:tcW w:w="345" w:type="pct"/>
            <w:shd w:val="clear" w:color="000000" w:fill="BEBEBE"/>
            <w:vAlign w:val="bottom"/>
            <w:hideMark/>
          </w:tcPr>
          <w:p w14:paraId="0F457A3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776EDF4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7379A42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1C9C417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31885A7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5703076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2A3EFC0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0E77AC2D" w14:textId="77777777" w:rsidTr="00C91F10">
        <w:trPr>
          <w:trHeight w:val="225"/>
          <w:jc w:val="center"/>
        </w:trPr>
        <w:tc>
          <w:tcPr>
            <w:tcW w:w="541" w:type="pct"/>
            <w:shd w:val="clear" w:color="auto" w:fill="auto"/>
            <w:vAlign w:val="center"/>
            <w:hideMark/>
          </w:tcPr>
          <w:p w14:paraId="1B172E3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04.1036.001</w:t>
            </w:r>
          </w:p>
        </w:tc>
        <w:tc>
          <w:tcPr>
            <w:tcW w:w="1331" w:type="pct"/>
            <w:shd w:val="clear" w:color="auto" w:fill="auto"/>
            <w:vAlign w:val="center"/>
            <w:hideMark/>
          </w:tcPr>
          <w:p w14:paraId="6355C7B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ΠΡΟΣΤΑΣΙΑ ΤΩΝ ΚΑΤΑΝΑΛΩΤΩΝ</w:t>
            </w:r>
          </w:p>
        </w:tc>
        <w:tc>
          <w:tcPr>
            <w:tcW w:w="857" w:type="pct"/>
            <w:shd w:val="clear" w:color="auto" w:fill="auto"/>
            <w:vAlign w:val="center"/>
            <w:hideMark/>
          </w:tcPr>
          <w:p w14:paraId="6CDB33A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14.772.560,24 €</w:t>
            </w:r>
          </w:p>
        </w:tc>
        <w:tc>
          <w:tcPr>
            <w:tcW w:w="345" w:type="pct"/>
            <w:shd w:val="clear" w:color="000000" w:fill="C4D79B"/>
            <w:vAlign w:val="center"/>
            <w:hideMark/>
          </w:tcPr>
          <w:p w14:paraId="3059AA1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7AE024E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3F584B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7CF255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77C8C49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6C2B6C1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58DF6D7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57A93DB6" w14:textId="77777777" w:rsidTr="00C91F10">
        <w:trPr>
          <w:trHeight w:val="450"/>
          <w:jc w:val="center"/>
        </w:trPr>
        <w:tc>
          <w:tcPr>
            <w:tcW w:w="541" w:type="pct"/>
            <w:shd w:val="clear" w:color="auto" w:fill="auto"/>
            <w:vAlign w:val="center"/>
            <w:hideMark/>
          </w:tcPr>
          <w:p w14:paraId="2014FF6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04.1036.002</w:t>
            </w:r>
          </w:p>
        </w:tc>
        <w:tc>
          <w:tcPr>
            <w:tcW w:w="1331" w:type="pct"/>
            <w:shd w:val="clear" w:color="auto" w:fill="auto"/>
            <w:vAlign w:val="center"/>
            <w:hideMark/>
          </w:tcPr>
          <w:p w14:paraId="60980AE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ΕΡΕΥΝΑ ΚΑΙ ΑΝΑΠΤΥΞΗ ΣΕ ΕΡΕΥΝΗΤΙΚΑ ΚΕΝΤΡΑ ΚΑΙ ΕΠΙΧΕΙΡΗΣΕΙΣ</w:t>
            </w:r>
          </w:p>
        </w:tc>
        <w:tc>
          <w:tcPr>
            <w:tcW w:w="857" w:type="pct"/>
            <w:shd w:val="clear" w:color="auto" w:fill="auto"/>
            <w:vAlign w:val="center"/>
            <w:hideMark/>
          </w:tcPr>
          <w:p w14:paraId="43E842D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308.956.040,00 €</w:t>
            </w:r>
          </w:p>
        </w:tc>
        <w:tc>
          <w:tcPr>
            <w:tcW w:w="345" w:type="pct"/>
            <w:shd w:val="clear" w:color="000000" w:fill="C4D79B"/>
            <w:vAlign w:val="center"/>
            <w:hideMark/>
          </w:tcPr>
          <w:p w14:paraId="4059585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EA010A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1DAC805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7DC5162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CEF89A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5C8050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41A4504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5102959" w14:textId="77777777" w:rsidTr="00C91F10">
        <w:trPr>
          <w:trHeight w:val="225"/>
          <w:jc w:val="center"/>
        </w:trPr>
        <w:tc>
          <w:tcPr>
            <w:tcW w:w="541" w:type="pct"/>
            <w:shd w:val="clear" w:color="auto" w:fill="auto"/>
            <w:vAlign w:val="center"/>
            <w:hideMark/>
          </w:tcPr>
          <w:p w14:paraId="12B1619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04.1036.003</w:t>
            </w:r>
          </w:p>
        </w:tc>
        <w:tc>
          <w:tcPr>
            <w:tcW w:w="1331" w:type="pct"/>
            <w:shd w:val="clear" w:color="auto" w:fill="auto"/>
            <w:vAlign w:val="center"/>
            <w:hideMark/>
          </w:tcPr>
          <w:p w14:paraId="39FA662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ΕΛΛΗΝΙΚΗ ΒΙΟΜΗΧΑΝΙΑ</w:t>
            </w:r>
          </w:p>
        </w:tc>
        <w:tc>
          <w:tcPr>
            <w:tcW w:w="857" w:type="pct"/>
            <w:shd w:val="clear" w:color="auto" w:fill="auto"/>
            <w:vAlign w:val="center"/>
            <w:hideMark/>
          </w:tcPr>
          <w:p w14:paraId="562CCC4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160.416.000,00 €</w:t>
            </w:r>
          </w:p>
        </w:tc>
        <w:tc>
          <w:tcPr>
            <w:tcW w:w="345" w:type="pct"/>
            <w:shd w:val="clear" w:color="000000" w:fill="C4D79B"/>
            <w:vAlign w:val="center"/>
            <w:hideMark/>
          </w:tcPr>
          <w:p w14:paraId="0FA5231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D403A1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3402680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5B5E2AF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6A4003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1CA8B1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0EC134B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2105A93" w14:textId="77777777" w:rsidTr="00C91F10">
        <w:trPr>
          <w:trHeight w:val="225"/>
          <w:jc w:val="center"/>
        </w:trPr>
        <w:tc>
          <w:tcPr>
            <w:tcW w:w="541" w:type="pct"/>
            <w:shd w:val="clear" w:color="auto" w:fill="auto"/>
            <w:vAlign w:val="center"/>
            <w:hideMark/>
          </w:tcPr>
          <w:p w14:paraId="780EFF2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04.1036.004</w:t>
            </w:r>
          </w:p>
        </w:tc>
        <w:tc>
          <w:tcPr>
            <w:tcW w:w="1331" w:type="pct"/>
            <w:shd w:val="clear" w:color="auto" w:fill="auto"/>
            <w:vAlign w:val="center"/>
            <w:hideMark/>
          </w:tcPr>
          <w:p w14:paraId="725EF0A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ΠΡΟΣΕΛΚΥΣΗ ΙΔΙΩΤΙΚΩΝ ΕΠΕΝΔΥΣΕΩΝ</w:t>
            </w:r>
          </w:p>
        </w:tc>
        <w:tc>
          <w:tcPr>
            <w:tcW w:w="857" w:type="pct"/>
            <w:shd w:val="clear" w:color="auto" w:fill="auto"/>
            <w:vAlign w:val="center"/>
            <w:hideMark/>
          </w:tcPr>
          <w:p w14:paraId="3F440C9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251.829.000,00 €</w:t>
            </w:r>
          </w:p>
        </w:tc>
        <w:tc>
          <w:tcPr>
            <w:tcW w:w="345" w:type="pct"/>
            <w:shd w:val="clear" w:color="000000" w:fill="C4D79B"/>
            <w:vAlign w:val="center"/>
            <w:hideMark/>
          </w:tcPr>
          <w:p w14:paraId="30A2E9E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74F4D50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6F9C722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5FD37C6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F589DF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15AFD93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162C71A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807E628" w14:textId="77777777" w:rsidTr="00C91F10">
        <w:trPr>
          <w:trHeight w:val="546"/>
          <w:jc w:val="center"/>
        </w:trPr>
        <w:tc>
          <w:tcPr>
            <w:tcW w:w="541" w:type="pct"/>
            <w:shd w:val="clear" w:color="auto" w:fill="auto"/>
            <w:vAlign w:val="center"/>
            <w:hideMark/>
          </w:tcPr>
          <w:p w14:paraId="086F838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04.1036.005</w:t>
            </w:r>
          </w:p>
        </w:tc>
        <w:tc>
          <w:tcPr>
            <w:tcW w:w="1331" w:type="pct"/>
            <w:shd w:val="clear" w:color="auto" w:fill="auto"/>
            <w:vAlign w:val="center"/>
            <w:hideMark/>
          </w:tcPr>
          <w:p w14:paraId="3914DE5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ΕΠΙΧΕΙΡΗΜΑΤΙΚΟ ΠΕΡΙΒΑΛΛΟΝ ΣΤΟΝ ΤΟΜΕΑ ΤΟΥ ΕΜΠΟΡΙΟΥ</w:t>
            </w:r>
          </w:p>
        </w:tc>
        <w:tc>
          <w:tcPr>
            <w:tcW w:w="857" w:type="pct"/>
            <w:shd w:val="clear" w:color="auto" w:fill="auto"/>
            <w:vAlign w:val="center"/>
            <w:hideMark/>
          </w:tcPr>
          <w:p w14:paraId="70A3118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20.944.950,30 €</w:t>
            </w:r>
          </w:p>
        </w:tc>
        <w:tc>
          <w:tcPr>
            <w:tcW w:w="345" w:type="pct"/>
            <w:shd w:val="clear" w:color="000000" w:fill="B7DEE8"/>
            <w:vAlign w:val="center"/>
            <w:hideMark/>
          </w:tcPr>
          <w:p w14:paraId="3AE3C13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E78CAF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B0FAAC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317FCA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A442A0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40DDB9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42AED40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DC76AA5" w14:textId="77777777" w:rsidTr="00C91F10">
        <w:trPr>
          <w:trHeight w:val="450"/>
          <w:jc w:val="center"/>
        </w:trPr>
        <w:tc>
          <w:tcPr>
            <w:tcW w:w="541" w:type="pct"/>
            <w:shd w:val="clear" w:color="auto" w:fill="auto"/>
            <w:vAlign w:val="center"/>
            <w:hideMark/>
          </w:tcPr>
          <w:p w14:paraId="7215646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04.1036.006</w:t>
            </w:r>
          </w:p>
        </w:tc>
        <w:tc>
          <w:tcPr>
            <w:tcW w:w="1331" w:type="pct"/>
            <w:shd w:val="clear" w:color="auto" w:fill="auto"/>
            <w:vAlign w:val="center"/>
            <w:hideMark/>
          </w:tcPr>
          <w:p w14:paraId="39BA5F8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ΚΕΝΤΡΙΚΕΣ ΔΙΑΔΙΚΑΣΙΕΣ ΑΝΑΘΕΣΗΣ ΔΗΜΟΣΙΩΝ ΣΥΜΒΑΣΕΩΝ</w:t>
            </w:r>
          </w:p>
        </w:tc>
        <w:tc>
          <w:tcPr>
            <w:tcW w:w="857" w:type="pct"/>
            <w:shd w:val="clear" w:color="auto" w:fill="auto"/>
            <w:vAlign w:val="center"/>
            <w:hideMark/>
          </w:tcPr>
          <w:p w14:paraId="3DF04F4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12.186.689,46 €</w:t>
            </w:r>
          </w:p>
        </w:tc>
        <w:tc>
          <w:tcPr>
            <w:tcW w:w="345" w:type="pct"/>
            <w:shd w:val="clear" w:color="000000" w:fill="B7DEE8"/>
            <w:vAlign w:val="center"/>
            <w:hideMark/>
          </w:tcPr>
          <w:p w14:paraId="471F4E2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7073B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B88B36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1656B38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731543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C4D79B"/>
            <w:vAlign w:val="center"/>
            <w:hideMark/>
          </w:tcPr>
          <w:p w14:paraId="5A77F76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475BF4B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ECE65A4" w14:textId="77777777" w:rsidTr="00C91F10">
        <w:trPr>
          <w:trHeight w:val="450"/>
          <w:jc w:val="center"/>
        </w:trPr>
        <w:tc>
          <w:tcPr>
            <w:tcW w:w="541" w:type="pct"/>
            <w:shd w:val="clear" w:color="auto" w:fill="auto"/>
            <w:vAlign w:val="center"/>
            <w:hideMark/>
          </w:tcPr>
          <w:p w14:paraId="5652F9D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04.1036.007</w:t>
            </w:r>
          </w:p>
        </w:tc>
        <w:tc>
          <w:tcPr>
            <w:tcW w:w="1331" w:type="pct"/>
            <w:shd w:val="clear" w:color="auto" w:fill="auto"/>
            <w:vAlign w:val="center"/>
            <w:hideMark/>
          </w:tcPr>
          <w:p w14:paraId="48473B9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ΑΝΑΠΤΥΞΗΣ</w:t>
            </w:r>
          </w:p>
        </w:tc>
        <w:tc>
          <w:tcPr>
            <w:tcW w:w="857" w:type="pct"/>
            <w:shd w:val="clear" w:color="auto" w:fill="auto"/>
            <w:vAlign w:val="center"/>
            <w:hideMark/>
          </w:tcPr>
          <w:p w14:paraId="6FC505A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27.061.760,00 €</w:t>
            </w:r>
          </w:p>
        </w:tc>
        <w:tc>
          <w:tcPr>
            <w:tcW w:w="345" w:type="pct"/>
            <w:shd w:val="clear" w:color="000000" w:fill="C4D79B"/>
            <w:vAlign w:val="center"/>
            <w:hideMark/>
          </w:tcPr>
          <w:p w14:paraId="74780CD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C92C26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6539630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597F8E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1235749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27C68C3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6FCE44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21EB21B" w14:textId="77777777" w:rsidTr="00C91F10">
        <w:trPr>
          <w:trHeight w:val="450"/>
          <w:jc w:val="center"/>
        </w:trPr>
        <w:tc>
          <w:tcPr>
            <w:tcW w:w="541" w:type="pct"/>
            <w:shd w:val="clear" w:color="auto" w:fill="auto"/>
            <w:vAlign w:val="center"/>
            <w:hideMark/>
          </w:tcPr>
          <w:p w14:paraId="3F1E02F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04.1036.008</w:t>
            </w:r>
          </w:p>
        </w:tc>
        <w:tc>
          <w:tcPr>
            <w:tcW w:w="1331" w:type="pct"/>
            <w:shd w:val="clear" w:color="auto" w:fill="auto"/>
            <w:vAlign w:val="center"/>
            <w:hideMark/>
          </w:tcPr>
          <w:p w14:paraId="7D65AFD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ΔΙΑΜΕΣΟΛΑΒΗΣΗ ΓΙΑ ΤΗΝ ΕΞΩΔΙΚΑΣΤΙΚΗ ΕΠΙΛΥΣΗ ΚΑΤΑΝΑΛΩΤΙΚΩΝ ΔΙΑΦΟΡΩΝ</w:t>
            </w:r>
          </w:p>
        </w:tc>
        <w:tc>
          <w:tcPr>
            <w:tcW w:w="857" w:type="pct"/>
            <w:shd w:val="clear" w:color="auto" w:fill="auto"/>
            <w:vAlign w:val="center"/>
            <w:hideMark/>
          </w:tcPr>
          <w:p w14:paraId="411909E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2.309.000,00 €</w:t>
            </w:r>
          </w:p>
        </w:tc>
        <w:tc>
          <w:tcPr>
            <w:tcW w:w="345" w:type="pct"/>
            <w:shd w:val="clear" w:color="000000" w:fill="B7DEE8"/>
            <w:vAlign w:val="center"/>
            <w:hideMark/>
          </w:tcPr>
          <w:p w14:paraId="789DC18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71727D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E6174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6BB9481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3E10227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0C07871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17D6AFB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5294AC3D" w14:textId="77777777" w:rsidTr="00C91F10">
        <w:trPr>
          <w:trHeight w:val="225"/>
          <w:jc w:val="center"/>
        </w:trPr>
        <w:tc>
          <w:tcPr>
            <w:tcW w:w="541" w:type="pct"/>
            <w:shd w:val="clear" w:color="000000" w:fill="BEBEBE"/>
            <w:vAlign w:val="center"/>
            <w:hideMark/>
          </w:tcPr>
          <w:p w14:paraId="0EA36E02"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1039</w:t>
            </w:r>
          </w:p>
        </w:tc>
        <w:tc>
          <w:tcPr>
            <w:tcW w:w="1331" w:type="pct"/>
            <w:shd w:val="clear" w:color="000000" w:fill="BEBEBE"/>
            <w:vAlign w:val="center"/>
            <w:hideMark/>
          </w:tcPr>
          <w:p w14:paraId="2EBFFF0C"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ΥΠΟΔΟΜΩΝ ΚΑΙ ΜΕΤΑΦΟΡΩΝ</w:t>
            </w:r>
          </w:p>
        </w:tc>
        <w:tc>
          <w:tcPr>
            <w:tcW w:w="857" w:type="pct"/>
            <w:shd w:val="clear" w:color="000000" w:fill="BEBEBE"/>
            <w:vAlign w:val="center"/>
            <w:hideMark/>
          </w:tcPr>
          <w:p w14:paraId="16A82B4E"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3.391.756.000,00 €</w:t>
            </w:r>
          </w:p>
        </w:tc>
        <w:tc>
          <w:tcPr>
            <w:tcW w:w="345" w:type="pct"/>
            <w:shd w:val="clear" w:color="000000" w:fill="BEBEBE"/>
            <w:vAlign w:val="bottom"/>
            <w:hideMark/>
          </w:tcPr>
          <w:p w14:paraId="4C920EC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1A4EA28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55BE80B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085BEA1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4930E58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73E3209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6B66674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2D752560" w14:textId="77777777" w:rsidTr="00C91F10">
        <w:trPr>
          <w:trHeight w:val="225"/>
          <w:jc w:val="center"/>
        </w:trPr>
        <w:tc>
          <w:tcPr>
            <w:tcW w:w="541" w:type="pct"/>
            <w:shd w:val="clear" w:color="auto" w:fill="auto"/>
            <w:vAlign w:val="center"/>
            <w:hideMark/>
          </w:tcPr>
          <w:p w14:paraId="2CA088D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06.1039.001</w:t>
            </w:r>
          </w:p>
        </w:tc>
        <w:tc>
          <w:tcPr>
            <w:tcW w:w="1331" w:type="pct"/>
            <w:shd w:val="clear" w:color="auto" w:fill="auto"/>
            <w:vAlign w:val="center"/>
            <w:hideMark/>
          </w:tcPr>
          <w:p w14:paraId="25AE4A1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ΑΠΟΔΟΤΙΚΗ ΚΑΙ ΒΙΩΣΙΜΗ ΔΙΑΧΕΙΡΙΣΗ ΠΟΡΩΝ</w:t>
            </w:r>
          </w:p>
        </w:tc>
        <w:tc>
          <w:tcPr>
            <w:tcW w:w="857" w:type="pct"/>
            <w:shd w:val="clear" w:color="auto" w:fill="auto"/>
            <w:vAlign w:val="center"/>
            <w:hideMark/>
          </w:tcPr>
          <w:p w14:paraId="2A5C3D3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97.365.034,40 €</w:t>
            </w:r>
          </w:p>
        </w:tc>
        <w:tc>
          <w:tcPr>
            <w:tcW w:w="345" w:type="pct"/>
            <w:shd w:val="clear" w:color="000000" w:fill="B7DEE8"/>
            <w:vAlign w:val="center"/>
            <w:hideMark/>
          </w:tcPr>
          <w:p w14:paraId="2FA5A5C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00D47BC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729CA67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B7DEE8"/>
            <w:vAlign w:val="center"/>
            <w:hideMark/>
          </w:tcPr>
          <w:p w14:paraId="7EAB90D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6DFF9C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FCD5B4"/>
            <w:vAlign w:val="center"/>
            <w:hideMark/>
          </w:tcPr>
          <w:p w14:paraId="297EC66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288" w:type="pct"/>
            <w:shd w:val="clear" w:color="000000" w:fill="FCD5B4"/>
            <w:vAlign w:val="center"/>
            <w:hideMark/>
          </w:tcPr>
          <w:p w14:paraId="7F8F09B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w:t>
            </w:r>
          </w:p>
        </w:tc>
      </w:tr>
      <w:tr w:rsidR="00A3206D" w:rsidRPr="0084637C" w14:paraId="786FB8E7" w14:textId="77777777" w:rsidTr="00C91F10">
        <w:trPr>
          <w:trHeight w:val="450"/>
          <w:jc w:val="center"/>
        </w:trPr>
        <w:tc>
          <w:tcPr>
            <w:tcW w:w="541" w:type="pct"/>
            <w:shd w:val="clear" w:color="auto" w:fill="auto"/>
            <w:vAlign w:val="center"/>
            <w:hideMark/>
          </w:tcPr>
          <w:p w14:paraId="022790A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06.1039.002</w:t>
            </w:r>
          </w:p>
        </w:tc>
        <w:tc>
          <w:tcPr>
            <w:tcW w:w="1331" w:type="pct"/>
            <w:shd w:val="clear" w:color="auto" w:fill="auto"/>
            <w:vAlign w:val="center"/>
            <w:hideMark/>
          </w:tcPr>
          <w:p w14:paraId="42E4C95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ΑΣΦΑΛΕΙΣ ΚΑΙ ΠΟΙΟΤΙΚΕΣ ΥΠΟΔΟΜΕΣ ΜΕΤΑΦΟΡΩΝ</w:t>
            </w:r>
          </w:p>
        </w:tc>
        <w:tc>
          <w:tcPr>
            <w:tcW w:w="857" w:type="pct"/>
            <w:shd w:val="clear" w:color="auto" w:fill="auto"/>
            <w:vAlign w:val="center"/>
            <w:hideMark/>
          </w:tcPr>
          <w:p w14:paraId="5E0C8EF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1.264.693.700,60 €</w:t>
            </w:r>
          </w:p>
        </w:tc>
        <w:tc>
          <w:tcPr>
            <w:tcW w:w="345" w:type="pct"/>
            <w:shd w:val="clear" w:color="000000" w:fill="FCD5B4"/>
            <w:vAlign w:val="center"/>
            <w:hideMark/>
          </w:tcPr>
          <w:p w14:paraId="22D6208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307" w:type="pct"/>
            <w:shd w:val="clear" w:color="000000" w:fill="C4D79B"/>
            <w:vAlign w:val="center"/>
            <w:hideMark/>
          </w:tcPr>
          <w:p w14:paraId="0BA9CF3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0C7FC02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1BFBA17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FCD5B4"/>
            <w:vAlign w:val="center"/>
            <w:hideMark/>
          </w:tcPr>
          <w:p w14:paraId="1F6D168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328" w:type="pct"/>
            <w:shd w:val="clear" w:color="000000" w:fill="FCD5B4"/>
            <w:vAlign w:val="center"/>
            <w:hideMark/>
          </w:tcPr>
          <w:p w14:paraId="37065F3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288" w:type="pct"/>
            <w:shd w:val="clear" w:color="000000" w:fill="FCD5B4"/>
            <w:vAlign w:val="center"/>
            <w:hideMark/>
          </w:tcPr>
          <w:p w14:paraId="0A8055F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w:t>
            </w:r>
          </w:p>
        </w:tc>
      </w:tr>
      <w:tr w:rsidR="00A3206D" w:rsidRPr="0084637C" w14:paraId="71A31B7F" w14:textId="77777777" w:rsidTr="00C91F10">
        <w:trPr>
          <w:trHeight w:val="450"/>
          <w:jc w:val="center"/>
        </w:trPr>
        <w:tc>
          <w:tcPr>
            <w:tcW w:w="541" w:type="pct"/>
            <w:shd w:val="clear" w:color="auto" w:fill="auto"/>
            <w:vAlign w:val="center"/>
            <w:hideMark/>
          </w:tcPr>
          <w:p w14:paraId="711568A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06.1039.003</w:t>
            </w:r>
          </w:p>
        </w:tc>
        <w:tc>
          <w:tcPr>
            <w:tcW w:w="1331" w:type="pct"/>
            <w:shd w:val="clear" w:color="auto" w:fill="auto"/>
            <w:vAlign w:val="center"/>
            <w:hideMark/>
          </w:tcPr>
          <w:p w14:paraId="5D5BEC4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ΑΣΦΑΛΕΙΣ, ΒΙΩΣΙΜΕΣ ΚΑΙ ΕΝΕΡΓΕΙΑΚΑ ΑΠΟΔΟΤΙΚΕΣ ΚΤΙΡΙΑΚΕΣ ΥΠΟΔΟΜΕΣ</w:t>
            </w:r>
          </w:p>
        </w:tc>
        <w:tc>
          <w:tcPr>
            <w:tcW w:w="857" w:type="pct"/>
            <w:shd w:val="clear" w:color="auto" w:fill="auto"/>
            <w:vAlign w:val="center"/>
            <w:hideMark/>
          </w:tcPr>
          <w:p w14:paraId="2A8499D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95.565.229,10 €</w:t>
            </w:r>
          </w:p>
        </w:tc>
        <w:tc>
          <w:tcPr>
            <w:tcW w:w="345" w:type="pct"/>
            <w:shd w:val="clear" w:color="000000" w:fill="C4D79B"/>
            <w:vAlign w:val="center"/>
            <w:hideMark/>
          </w:tcPr>
          <w:p w14:paraId="3C0EA77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193B82A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1B11301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D6FBFB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31BDBD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1ECE0F8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6236F6B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86A1A21" w14:textId="77777777" w:rsidTr="00C91F10">
        <w:trPr>
          <w:trHeight w:val="225"/>
          <w:jc w:val="center"/>
        </w:trPr>
        <w:tc>
          <w:tcPr>
            <w:tcW w:w="541" w:type="pct"/>
            <w:shd w:val="clear" w:color="auto" w:fill="auto"/>
            <w:vAlign w:val="center"/>
            <w:hideMark/>
          </w:tcPr>
          <w:p w14:paraId="1962DB9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06.1039.004</w:t>
            </w:r>
          </w:p>
        </w:tc>
        <w:tc>
          <w:tcPr>
            <w:tcW w:w="1331" w:type="pct"/>
            <w:shd w:val="clear" w:color="auto" w:fill="auto"/>
            <w:vAlign w:val="center"/>
            <w:hideMark/>
          </w:tcPr>
          <w:p w14:paraId="008FCEE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ΒΙΩΣΙΜΗ ΑΣΤΙΚΗ ΚΙΝΗΤΙΚΟΤΗΤΑ</w:t>
            </w:r>
          </w:p>
        </w:tc>
        <w:tc>
          <w:tcPr>
            <w:tcW w:w="857" w:type="pct"/>
            <w:shd w:val="clear" w:color="auto" w:fill="auto"/>
            <w:vAlign w:val="center"/>
            <w:hideMark/>
          </w:tcPr>
          <w:p w14:paraId="28016EF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350.711.690,50 €</w:t>
            </w:r>
          </w:p>
        </w:tc>
        <w:tc>
          <w:tcPr>
            <w:tcW w:w="345" w:type="pct"/>
            <w:shd w:val="clear" w:color="000000" w:fill="C4D79B"/>
            <w:vAlign w:val="center"/>
            <w:hideMark/>
          </w:tcPr>
          <w:p w14:paraId="5A0A43D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6DA1D4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08A1565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07996D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39C135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559EBFA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462B5BB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11EAD8F" w14:textId="77777777" w:rsidTr="00C91F10">
        <w:trPr>
          <w:trHeight w:val="615"/>
          <w:jc w:val="center"/>
        </w:trPr>
        <w:tc>
          <w:tcPr>
            <w:tcW w:w="541" w:type="pct"/>
            <w:shd w:val="clear" w:color="auto" w:fill="auto"/>
            <w:vAlign w:val="center"/>
            <w:hideMark/>
          </w:tcPr>
          <w:p w14:paraId="697922A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06.1039.005</w:t>
            </w:r>
          </w:p>
        </w:tc>
        <w:tc>
          <w:tcPr>
            <w:tcW w:w="1331" w:type="pct"/>
            <w:shd w:val="clear" w:color="auto" w:fill="auto"/>
            <w:vAlign w:val="center"/>
            <w:hideMark/>
          </w:tcPr>
          <w:p w14:paraId="67324EA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ΥΠΟΔΟΜΩΝ ΚΑΙ ΜΕΤΑΦΟΡΩΝ</w:t>
            </w:r>
          </w:p>
        </w:tc>
        <w:tc>
          <w:tcPr>
            <w:tcW w:w="857" w:type="pct"/>
            <w:shd w:val="clear" w:color="auto" w:fill="auto"/>
            <w:vAlign w:val="center"/>
            <w:hideMark/>
          </w:tcPr>
          <w:p w14:paraId="0FFF760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56.544.861,00 €</w:t>
            </w:r>
          </w:p>
        </w:tc>
        <w:tc>
          <w:tcPr>
            <w:tcW w:w="345" w:type="pct"/>
            <w:shd w:val="clear" w:color="000000" w:fill="C4D79B"/>
            <w:vAlign w:val="center"/>
            <w:hideMark/>
          </w:tcPr>
          <w:p w14:paraId="565F572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229EB1D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D19033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39DD9E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59BC78B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2E6FAE2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D78749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229E302" w14:textId="77777777" w:rsidTr="00C91F10">
        <w:trPr>
          <w:trHeight w:val="450"/>
          <w:jc w:val="center"/>
        </w:trPr>
        <w:tc>
          <w:tcPr>
            <w:tcW w:w="541" w:type="pct"/>
            <w:shd w:val="clear" w:color="auto" w:fill="auto"/>
            <w:vAlign w:val="center"/>
            <w:hideMark/>
          </w:tcPr>
          <w:p w14:paraId="70F530D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06.1039.006</w:t>
            </w:r>
          </w:p>
        </w:tc>
        <w:tc>
          <w:tcPr>
            <w:tcW w:w="1331" w:type="pct"/>
            <w:shd w:val="clear" w:color="auto" w:fill="auto"/>
            <w:vAlign w:val="center"/>
            <w:hideMark/>
          </w:tcPr>
          <w:p w14:paraId="095EDB6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ΠΟΙΟΤΗΤΑ, ΑΣΦΑΛΕΙΑ ΚΑΙ ΟΙΚΟΝΟΜΙΚΗ ΠΡΟΣΙΤΟΤΗΤΑ ΜΕΤΑΦΟΡΩΝ</w:t>
            </w:r>
          </w:p>
        </w:tc>
        <w:tc>
          <w:tcPr>
            <w:tcW w:w="857" w:type="pct"/>
            <w:shd w:val="clear" w:color="auto" w:fill="auto"/>
            <w:vAlign w:val="center"/>
            <w:hideMark/>
          </w:tcPr>
          <w:p w14:paraId="1712F21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729.693.133,60 €</w:t>
            </w:r>
          </w:p>
        </w:tc>
        <w:tc>
          <w:tcPr>
            <w:tcW w:w="345" w:type="pct"/>
            <w:shd w:val="clear" w:color="000000" w:fill="C4D79B"/>
            <w:vAlign w:val="center"/>
            <w:hideMark/>
          </w:tcPr>
          <w:p w14:paraId="4CDDBAF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7159629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D2795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2B1FD0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144C18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05C0EC3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5532350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7A4A0E3" w14:textId="77777777" w:rsidTr="00C91F10">
        <w:trPr>
          <w:trHeight w:val="450"/>
          <w:jc w:val="center"/>
        </w:trPr>
        <w:tc>
          <w:tcPr>
            <w:tcW w:w="541" w:type="pct"/>
            <w:shd w:val="clear" w:color="auto" w:fill="auto"/>
            <w:vAlign w:val="center"/>
            <w:hideMark/>
          </w:tcPr>
          <w:p w14:paraId="1BF6687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06.1039.007</w:t>
            </w:r>
          </w:p>
        </w:tc>
        <w:tc>
          <w:tcPr>
            <w:tcW w:w="1331" w:type="pct"/>
            <w:shd w:val="clear" w:color="auto" w:fill="auto"/>
            <w:vAlign w:val="center"/>
            <w:hideMark/>
          </w:tcPr>
          <w:p w14:paraId="5711910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ΚΑΙ ΛΕΙΤΟΥΡΓΙΑ ΥΠΗΡΕΣΙΑΣ ΠΟΛΙΤΙΚΗΣ ΑΕΡΟΠΟΡΙΑΣ</w:t>
            </w:r>
          </w:p>
        </w:tc>
        <w:tc>
          <w:tcPr>
            <w:tcW w:w="857" w:type="pct"/>
            <w:shd w:val="clear" w:color="auto" w:fill="auto"/>
            <w:vAlign w:val="center"/>
            <w:hideMark/>
          </w:tcPr>
          <w:p w14:paraId="57F6233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194.724.000,00 €</w:t>
            </w:r>
          </w:p>
        </w:tc>
        <w:tc>
          <w:tcPr>
            <w:tcW w:w="345" w:type="pct"/>
            <w:shd w:val="clear" w:color="000000" w:fill="B7DEE8"/>
            <w:vAlign w:val="center"/>
            <w:hideMark/>
          </w:tcPr>
          <w:p w14:paraId="18B2EFF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3ACCCE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73D31D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1AD542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1832B1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019356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32216EC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617E5E6F" w14:textId="77777777" w:rsidTr="00C91F10">
        <w:trPr>
          <w:trHeight w:val="564"/>
          <w:jc w:val="center"/>
        </w:trPr>
        <w:tc>
          <w:tcPr>
            <w:tcW w:w="541" w:type="pct"/>
            <w:shd w:val="clear" w:color="auto" w:fill="auto"/>
            <w:vAlign w:val="center"/>
            <w:hideMark/>
          </w:tcPr>
          <w:p w14:paraId="11BD0C5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06.1039.008</w:t>
            </w:r>
          </w:p>
        </w:tc>
        <w:tc>
          <w:tcPr>
            <w:tcW w:w="1331" w:type="pct"/>
            <w:shd w:val="clear" w:color="auto" w:fill="auto"/>
            <w:vAlign w:val="center"/>
            <w:hideMark/>
          </w:tcPr>
          <w:p w14:paraId="1C8E4FD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ΡΥΘΜΙΣΤΙΚΗ ΑΡΧΗ ΣΙΔΗΡΟΔΡΟΜΩΝ</w:t>
            </w:r>
          </w:p>
        </w:tc>
        <w:tc>
          <w:tcPr>
            <w:tcW w:w="857" w:type="pct"/>
            <w:shd w:val="clear" w:color="auto" w:fill="auto"/>
            <w:vAlign w:val="center"/>
            <w:hideMark/>
          </w:tcPr>
          <w:p w14:paraId="1A9927AC"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3.447.000,00 €</w:t>
            </w:r>
          </w:p>
        </w:tc>
        <w:tc>
          <w:tcPr>
            <w:tcW w:w="345" w:type="pct"/>
            <w:shd w:val="clear" w:color="000000" w:fill="B7DEE8"/>
            <w:vAlign w:val="center"/>
            <w:hideMark/>
          </w:tcPr>
          <w:p w14:paraId="0093B90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E2EA06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DCB8AB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495A63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C1638A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B87A8F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3E691CB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0E91FD2E" w14:textId="77777777" w:rsidTr="00C91F10">
        <w:trPr>
          <w:trHeight w:val="450"/>
          <w:jc w:val="center"/>
        </w:trPr>
        <w:tc>
          <w:tcPr>
            <w:tcW w:w="541" w:type="pct"/>
            <w:shd w:val="clear" w:color="auto" w:fill="auto"/>
            <w:vAlign w:val="center"/>
            <w:hideMark/>
          </w:tcPr>
          <w:p w14:paraId="47F9A1A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lastRenderedPageBreak/>
              <w:t>10.1039.001</w:t>
            </w:r>
          </w:p>
        </w:tc>
        <w:tc>
          <w:tcPr>
            <w:tcW w:w="1331" w:type="pct"/>
            <w:shd w:val="clear" w:color="auto" w:fill="auto"/>
            <w:vAlign w:val="center"/>
            <w:hideMark/>
          </w:tcPr>
          <w:p w14:paraId="4EBAD7D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ΠΡΟΛΗΨΗ ΚΑΙ ΑΝΤΙΜΕΤΩΠΙΣΗ ΕΠΙΠΤΩΣΕΩΝ ΦΥΣΙΚΩΝ ΚΑΤΑΣΤΡΟΦΩΝ</w:t>
            </w:r>
          </w:p>
        </w:tc>
        <w:tc>
          <w:tcPr>
            <w:tcW w:w="857" w:type="pct"/>
            <w:shd w:val="clear" w:color="auto" w:fill="auto"/>
            <w:vAlign w:val="center"/>
            <w:hideMark/>
          </w:tcPr>
          <w:p w14:paraId="70F6FC9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599.011.350,80 €</w:t>
            </w:r>
          </w:p>
        </w:tc>
        <w:tc>
          <w:tcPr>
            <w:tcW w:w="345" w:type="pct"/>
            <w:shd w:val="clear" w:color="000000" w:fill="B7DEE8"/>
            <w:vAlign w:val="center"/>
            <w:hideMark/>
          </w:tcPr>
          <w:p w14:paraId="4E46050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6F3AB57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3A50F96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F7D272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F5406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58DBFA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49FD1EC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516D9D47" w14:textId="77777777" w:rsidTr="00C91F10">
        <w:trPr>
          <w:trHeight w:val="450"/>
          <w:jc w:val="center"/>
        </w:trPr>
        <w:tc>
          <w:tcPr>
            <w:tcW w:w="541" w:type="pct"/>
            <w:shd w:val="clear" w:color="000000" w:fill="BEBEBE"/>
            <w:vAlign w:val="center"/>
            <w:hideMark/>
          </w:tcPr>
          <w:p w14:paraId="11AA7520"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1041</w:t>
            </w:r>
          </w:p>
        </w:tc>
        <w:tc>
          <w:tcPr>
            <w:tcW w:w="1331" w:type="pct"/>
            <w:shd w:val="clear" w:color="000000" w:fill="BEBEBE"/>
            <w:vAlign w:val="center"/>
            <w:hideMark/>
          </w:tcPr>
          <w:p w14:paraId="535C14EE"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ΝΑΥΤΙΛΙΑΣ ΚΑΙ ΝΗΣΙΩΤΙΚΗΣ ΠΟΛΙΤΙΚΗΣ</w:t>
            </w:r>
          </w:p>
        </w:tc>
        <w:tc>
          <w:tcPr>
            <w:tcW w:w="857" w:type="pct"/>
            <w:shd w:val="clear" w:color="000000" w:fill="BEBEBE"/>
            <w:vAlign w:val="center"/>
            <w:hideMark/>
          </w:tcPr>
          <w:p w14:paraId="0E9BD32B"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756.593.000,00 €</w:t>
            </w:r>
          </w:p>
        </w:tc>
        <w:tc>
          <w:tcPr>
            <w:tcW w:w="345" w:type="pct"/>
            <w:shd w:val="clear" w:color="000000" w:fill="BEBEBE"/>
            <w:vAlign w:val="bottom"/>
            <w:hideMark/>
          </w:tcPr>
          <w:p w14:paraId="0B00D0E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395AA47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6564BA8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6453CD1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7DEED5B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4E89FE2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1EE850B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10053F66" w14:textId="77777777" w:rsidTr="00C91F10">
        <w:trPr>
          <w:trHeight w:val="225"/>
          <w:jc w:val="center"/>
        </w:trPr>
        <w:tc>
          <w:tcPr>
            <w:tcW w:w="541" w:type="pct"/>
            <w:shd w:val="clear" w:color="auto" w:fill="auto"/>
            <w:vAlign w:val="center"/>
            <w:hideMark/>
          </w:tcPr>
          <w:p w14:paraId="75377EF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03.1041.001</w:t>
            </w:r>
          </w:p>
        </w:tc>
        <w:tc>
          <w:tcPr>
            <w:tcW w:w="1331" w:type="pct"/>
            <w:shd w:val="clear" w:color="auto" w:fill="auto"/>
            <w:vAlign w:val="center"/>
            <w:hideMark/>
          </w:tcPr>
          <w:p w14:paraId="6D0F93B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ΘΑΛΑΣΣΙΩΝ ΣΥΝΟΡΩΝ</w:t>
            </w:r>
          </w:p>
        </w:tc>
        <w:tc>
          <w:tcPr>
            <w:tcW w:w="857" w:type="pct"/>
            <w:shd w:val="clear" w:color="auto" w:fill="auto"/>
            <w:vAlign w:val="center"/>
            <w:hideMark/>
          </w:tcPr>
          <w:p w14:paraId="09A2AB3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51.618.000,00 €</w:t>
            </w:r>
          </w:p>
        </w:tc>
        <w:tc>
          <w:tcPr>
            <w:tcW w:w="345" w:type="pct"/>
            <w:shd w:val="clear" w:color="000000" w:fill="B7DEE8"/>
            <w:vAlign w:val="center"/>
            <w:hideMark/>
          </w:tcPr>
          <w:p w14:paraId="408F782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B01773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246526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ED48E8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B6C27E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F43D3D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822899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60BAD53D" w14:textId="77777777" w:rsidTr="00C91F10">
        <w:trPr>
          <w:trHeight w:val="675"/>
          <w:jc w:val="center"/>
        </w:trPr>
        <w:tc>
          <w:tcPr>
            <w:tcW w:w="541" w:type="pct"/>
            <w:shd w:val="clear" w:color="auto" w:fill="auto"/>
            <w:vAlign w:val="center"/>
            <w:hideMark/>
          </w:tcPr>
          <w:p w14:paraId="345DE1D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03.1041.002</w:t>
            </w:r>
          </w:p>
        </w:tc>
        <w:tc>
          <w:tcPr>
            <w:tcW w:w="1331" w:type="pct"/>
            <w:shd w:val="clear" w:color="auto" w:fill="auto"/>
            <w:vAlign w:val="center"/>
            <w:hideMark/>
          </w:tcPr>
          <w:p w14:paraId="10AE521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ΥΠΗΡΕΣΙΕΣ ΑΣΦΑΛΕΙΑΣ ΚΑΙ ΑΣΤΥΝΟΜΕΥΣΗΣ ΘΑΛΑΣΣΙΟΥ ΧΩΡΟΥ, ΛΙΜΕΝΩΝ- ΕΡΕΥΝΑΣ ΚΑΙ ΔΙΑΣΩΣΗΣ</w:t>
            </w:r>
          </w:p>
        </w:tc>
        <w:tc>
          <w:tcPr>
            <w:tcW w:w="857" w:type="pct"/>
            <w:shd w:val="clear" w:color="auto" w:fill="auto"/>
            <w:vAlign w:val="center"/>
            <w:hideMark/>
          </w:tcPr>
          <w:p w14:paraId="0A8F494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253.419.580,00 €</w:t>
            </w:r>
          </w:p>
        </w:tc>
        <w:tc>
          <w:tcPr>
            <w:tcW w:w="345" w:type="pct"/>
            <w:shd w:val="clear" w:color="000000" w:fill="C4D79B"/>
            <w:vAlign w:val="center"/>
            <w:hideMark/>
          </w:tcPr>
          <w:p w14:paraId="35FA8F8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861992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033DE00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7C7A15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0846C2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33703B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6095751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2E2596E" w14:textId="77777777" w:rsidTr="00C91F10">
        <w:trPr>
          <w:trHeight w:val="675"/>
          <w:jc w:val="center"/>
        </w:trPr>
        <w:tc>
          <w:tcPr>
            <w:tcW w:w="541" w:type="pct"/>
            <w:shd w:val="clear" w:color="auto" w:fill="auto"/>
            <w:vAlign w:val="center"/>
            <w:hideMark/>
          </w:tcPr>
          <w:p w14:paraId="7A93811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04.1041.001</w:t>
            </w:r>
          </w:p>
        </w:tc>
        <w:tc>
          <w:tcPr>
            <w:tcW w:w="1331" w:type="pct"/>
            <w:shd w:val="clear" w:color="auto" w:fill="auto"/>
            <w:vAlign w:val="center"/>
            <w:hideMark/>
          </w:tcPr>
          <w:p w14:paraId="07CC39D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ΝΑΥΤΙΛΙΑΣ ΚΑΙ ΝΗΣΙΩΤΙΚΗΣ ΠΟΛΙΤΙΚΗΣ</w:t>
            </w:r>
          </w:p>
        </w:tc>
        <w:tc>
          <w:tcPr>
            <w:tcW w:w="857" w:type="pct"/>
            <w:shd w:val="clear" w:color="auto" w:fill="auto"/>
            <w:vAlign w:val="center"/>
            <w:hideMark/>
          </w:tcPr>
          <w:p w14:paraId="40D3583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62.545.670,00 €</w:t>
            </w:r>
          </w:p>
        </w:tc>
        <w:tc>
          <w:tcPr>
            <w:tcW w:w="345" w:type="pct"/>
            <w:shd w:val="clear" w:color="000000" w:fill="B7DEE8"/>
            <w:vAlign w:val="center"/>
            <w:hideMark/>
          </w:tcPr>
          <w:p w14:paraId="06EB82B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40310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49C22A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4E9ACE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39A935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C12B1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433D0E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16E70493" w14:textId="77777777" w:rsidTr="00C91F10">
        <w:trPr>
          <w:trHeight w:val="225"/>
          <w:jc w:val="center"/>
        </w:trPr>
        <w:tc>
          <w:tcPr>
            <w:tcW w:w="541" w:type="pct"/>
            <w:shd w:val="clear" w:color="auto" w:fill="auto"/>
            <w:vAlign w:val="center"/>
            <w:hideMark/>
          </w:tcPr>
          <w:p w14:paraId="308DA22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04.1041.002</w:t>
            </w:r>
          </w:p>
        </w:tc>
        <w:tc>
          <w:tcPr>
            <w:tcW w:w="1331" w:type="pct"/>
            <w:shd w:val="clear" w:color="auto" w:fill="auto"/>
            <w:vAlign w:val="center"/>
            <w:hideMark/>
          </w:tcPr>
          <w:p w14:paraId="4493BB0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ΝΑΥΤΙΛΙΑΚΗ ΠΟΛΙΤΙΚΗ ΚΑΙ ΕΛΕΓΧΟΣ ΠΛΟΙΩΝ</w:t>
            </w:r>
          </w:p>
        </w:tc>
        <w:tc>
          <w:tcPr>
            <w:tcW w:w="857" w:type="pct"/>
            <w:shd w:val="clear" w:color="auto" w:fill="auto"/>
            <w:vAlign w:val="center"/>
            <w:hideMark/>
          </w:tcPr>
          <w:p w14:paraId="727A6F6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213.847.890,00 €</w:t>
            </w:r>
          </w:p>
        </w:tc>
        <w:tc>
          <w:tcPr>
            <w:tcW w:w="345" w:type="pct"/>
            <w:shd w:val="clear" w:color="000000" w:fill="E6B8B7"/>
            <w:vAlign w:val="center"/>
            <w:hideMark/>
          </w:tcPr>
          <w:p w14:paraId="5E10B24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307" w:type="pct"/>
            <w:shd w:val="clear" w:color="000000" w:fill="E6B8B7"/>
            <w:vAlign w:val="center"/>
            <w:hideMark/>
          </w:tcPr>
          <w:p w14:paraId="41947BB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312" w:type="pct"/>
            <w:shd w:val="clear" w:color="000000" w:fill="E6B8B7"/>
            <w:vAlign w:val="center"/>
            <w:hideMark/>
          </w:tcPr>
          <w:p w14:paraId="785A726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384" w:type="pct"/>
            <w:shd w:val="clear" w:color="000000" w:fill="E6B8B7"/>
            <w:vAlign w:val="center"/>
            <w:hideMark/>
          </w:tcPr>
          <w:p w14:paraId="40E45E6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307" w:type="pct"/>
            <w:shd w:val="clear" w:color="000000" w:fill="E6B8B7"/>
            <w:vAlign w:val="center"/>
            <w:hideMark/>
          </w:tcPr>
          <w:p w14:paraId="140615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328" w:type="pct"/>
            <w:shd w:val="clear" w:color="000000" w:fill="B7DEE8"/>
            <w:vAlign w:val="center"/>
            <w:hideMark/>
          </w:tcPr>
          <w:p w14:paraId="486DA3D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E6B8B7"/>
            <w:vAlign w:val="center"/>
            <w:hideMark/>
          </w:tcPr>
          <w:p w14:paraId="313344E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Α</w:t>
            </w:r>
          </w:p>
        </w:tc>
      </w:tr>
      <w:tr w:rsidR="00A3206D" w:rsidRPr="0084637C" w14:paraId="11E53A33" w14:textId="77777777" w:rsidTr="00C91F10">
        <w:trPr>
          <w:trHeight w:val="450"/>
          <w:jc w:val="center"/>
        </w:trPr>
        <w:tc>
          <w:tcPr>
            <w:tcW w:w="541" w:type="pct"/>
            <w:shd w:val="clear" w:color="auto" w:fill="auto"/>
            <w:vAlign w:val="center"/>
            <w:hideMark/>
          </w:tcPr>
          <w:p w14:paraId="37A726C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04.1041.003</w:t>
            </w:r>
          </w:p>
        </w:tc>
        <w:tc>
          <w:tcPr>
            <w:tcW w:w="1331" w:type="pct"/>
            <w:shd w:val="clear" w:color="auto" w:fill="auto"/>
            <w:vAlign w:val="center"/>
            <w:hideMark/>
          </w:tcPr>
          <w:p w14:paraId="2287CD6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ΟΛΟΚΛΗΡΩΜΕΝΗ ΘΑΛΑΣΣΙΑ ΠΟΛΙΤΙΚΗ ΣΤΟ ΝΗΣΙΩΤΙΚΟ ΧΩΡΟ</w:t>
            </w:r>
          </w:p>
        </w:tc>
        <w:tc>
          <w:tcPr>
            <w:tcW w:w="857" w:type="pct"/>
            <w:shd w:val="clear" w:color="auto" w:fill="auto"/>
            <w:vAlign w:val="center"/>
            <w:hideMark/>
          </w:tcPr>
          <w:p w14:paraId="4EDECC5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68.095.000,00 €</w:t>
            </w:r>
          </w:p>
        </w:tc>
        <w:tc>
          <w:tcPr>
            <w:tcW w:w="345" w:type="pct"/>
            <w:shd w:val="clear" w:color="000000" w:fill="C4D79B"/>
            <w:vAlign w:val="center"/>
            <w:hideMark/>
          </w:tcPr>
          <w:p w14:paraId="5452181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C733F8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1C595D6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B615B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FCD5B4"/>
            <w:vAlign w:val="center"/>
            <w:hideMark/>
          </w:tcPr>
          <w:p w14:paraId="510740E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328" w:type="pct"/>
            <w:shd w:val="clear" w:color="000000" w:fill="B7DEE8"/>
            <w:vAlign w:val="center"/>
            <w:hideMark/>
          </w:tcPr>
          <w:p w14:paraId="1E51F9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FCD5B4"/>
            <w:vAlign w:val="center"/>
            <w:hideMark/>
          </w:tcPr>
          <w:p w14:paraId="49DF2D9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w:t>
            </w:r>
          </w:p>
        </w:tc>
      </w:tr>
      <w:tr w:rsidR="00A3206D" w:rsidRPr="0084637C" w14:paraId="286DE379" w14:textId="77777777" w:rsidTr="00C91F10">
        <w:trPr>
          <w:trHeight w:val="450"/>
          <w:jc w:val="center"/>
        </w:trPr>
        <w:tc>
          <w:tcPr>
            <w:tcW w:w="541" w:type="pct"/>
            <w:shd w:val="clear" w:color="auto" w:fill="auto"/>
            <w:vAlign w:val="center"/>
            <w:hideMark/>
          </w:tcPr>
          <w:p w14:paraId="21F6746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04.1041.004</w:t>
            </w:r>
          </w:p>
        </w:tc>
        <w:tc>
          <w:tcPr>
            <w:tcW w:w="1331" w:type="pct"/>
            <w:shd w:val="clear" w:color="auto" w:fill="auto"/>
            <w:vAlign w:val="center"/>
            <w:hideMark/>
          </w:tcPr>
          <w:p w14:paraId="06DD081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ΛΙΜΕΝΙΚΗ ΠΟΛΙΤΙΚΗ - ΥΠΟΔΟΜΕΣ - ΘΑΛΑΣΣΙΟΣ ΤΟΥΡΙΣΜΟΣ</w:t>
            </w:r>
          </w:p>
        </w:tc>
        <w:tc>
          <w:tcPr>
            <w:tcW w:w="857" w:type="pct"/>
            <w:shd w:val="clear" w:color="auto" w:fill="auto"/>
            <w:vAlign w:val="center"/>
            <w:hideMark/>
          </w:tcPr>
          <w:p w14:paraId="688B037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71.586.230,00 €</w:t>
            </w:r>
          </w:p>
        </w:tc>
        <w:tc>
          <w:tcPr>
            <w:tcW w:w="345" w:type="pct"/>
            <w:shd w:val="clear" w:color="000000" w:fill="C4D79B"/>
            <w:vAlign w:val="center"/>
            <w:hideMark/>
          </w:tcPr>
          <w:p w14:paraId="3810A1C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711C30C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618927E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65CD87E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18E2F2A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558476D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55D0057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0F43B38" w14:textId="77777777" w:rsidTr="00C91F10">
        <w:trPr>
          <w:trHeight w:val="225"/>
          <w:jc w:val="center"/>
        </w:trPr>
        <w:tc>
          <w:tcPr>
            <w:tcW w:w="541" w:type="pct"/>
            <w:shd w:val="clear" w:color="auto" w:fill="auto"/>
            <w:vAlign w:val="center"/>
            <w:hideMark/>
          </w:tcPr>
          <w:p w14:paraId="1ABC528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09.1041.001</w:t>
            </w:r>
          </w:p>
        </w:tc>
        <w:tc>
          <w:tcPr>
            <w:tcW w:w="1331" w:type="pct"/>
            <w:shd w:val="clear" w:color="auto" w:fill="auto"/>
            <w:vAlign w:val="center"/>
            <w:hideMark/>
          </w:tcPr>
          <w:p w14:paraId="45B5E58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ΕΚΠΑΙΔΕΥΣΗ ΝΑΥΤΙΚΩΝ</w:t>
            </w:r>
          </w:p>
        </w:tc>
        <w:tc>
          <w:tcPr>
            <w:tcW w:w="857" w:type="pct"/>
            <w:shd w:val="clear" w:color="auto" w:fill="auto"/>
            <w:vAlign w:val="center"/>
            <w:hideMark/>
          </w:tcPr>
          <w:p w14:paraId="6E33042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35.480.630,00 €</w:t>
            </w:r>
          </w:p>
        </w:tc>
        <w:tc>
          <w:tcPr>
            <w:tcW w:w="345" w:type="pct"/>
            <w:shd w:val="clear" w:color="000000" w:fill="B7DEE8"/>
            <w:vAlign w:val="center"/>
            <w:hideMark/>
          </w:tcPr>
          <w:p w14:paraId="3633D23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D13834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C4D79B"/>
            <w:vAlign w:val="center"/>
            <w:hideMark/>
          </w:tcPr>
          <w:p w14:paraId="70A0470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B7DEE8"/>
            <w:vAlign w:val="center"/>
            <w:hideMark/>
          </w:tcPr>
          <w:p w14:paraId="4FD2E5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8BABA8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E93EB1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6BAEEE2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07597F7" w14:textId="77777777" w:rsidTr="00C91F10">
        <w:trPr>
          <w:trHeight w:val="225"/>
          <w:jc w:val="center"/>
        </w:trPr>
        <w:tc>
          <w:tcPr>
            <w:tcW w:w="541" w:type="pct"/>
            <w:shd w:val="clear" w:color="000000" w:fill="BEBEBE"/>
            <w:vAlign w:val="center"/>
            <w:hideMark/>
          </w:tcPr>
          <w:p w14:paraId="2490AB63"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1045</w:t>
            </w:r>
          </w:p>
        </w:tc>
        <w:tc>
          <w:tcPr>
            <w:tcW w:w="1331" w:type="pct"/>
            <w:shd w:val="clear" w:color="000000" w:fill="BEBEBE"/>
            <w:vAlign w:val="center"/>
            <w:hideMark/>
          </w:tcPr>
          <w:p w14:paraId="5D0BB8D9"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ΤΟΥΡΙΣΜΟΥ</w:t>
            </w:r>
          </w:p>
        </w:tc>
        <w:tc>
          <w:tcPr>
            <w:tcW w:w="857" w:type="pct"/>
            <w:shd w:val="clear" w:color="000000" w:fill="BEBEBE"/>
            <w:vAlign w:val="center"/>
            <w:hideMark/>
          </w:tcPr>
          <w:p w14:paraId="25BF4C67"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237.992.000,00 €</w:t>
            </w:r>
          </w:p>
        </w:tc>
        <w:tc>
          <w:tcPr>
            <w:tcW w:w="345" w:type="pct"/>
            <w:shd w:val="clear" w:color="000000" w:fill="BEBEBE"/>
            <w:vAlign w:val="bottom"/>
            <w:hideMark/>
          </w:tcPr>
          <w:p w14:paraId="36E2D0A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366B6A3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51D687C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2E231E2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1447AD1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1CC8CBD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5E40A13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7EAA632E" w14:textId="77777777" w:rsidTr="00C91F10">
        <w:trPr>
          <w:trHeight w:val="450"/>
          <w:jc w:val="center"/>
        </w:trPr>
        <w:tc>
          <w:tcPr>
            <w:tcW w:w="541" w:type="pct"/>
            <w:shd w:val="clear" w:color="auto" w:fill="auto"/>
            <w:vAlign w:val="center"/>
            <w:hideMark/>
          </w:tcPr>
          <w:p w14:paraId="6A53C88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04.1045.001</w:t>
            </w:r>
          </w:p>
        </w:tc>
        <w:tc>
          <w:tcPr>
            <w:tcW w:w="1331" w:type="pct"/>
            <w:shd w:val="clear" w:color="auto" w:fill="auto"/>
            <w:vAlign w:val="center"/>
            <w:hideMark/>
          </w:tcPr>
          <w:p w14:paraId="2B40CF2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ΣΧΕΔΙΑΣΜΟΣ ΚΑΙ ΥΛΟΠΟΙΗΣΗ ΠΟΛΙΤΙΚΩΝ ΤΟΥΡΙΣΤΙΚΗΣ ΑΝΑΠΤΥΞΗΣ</w:t>
            </w:r>
          </w:p>
        </w:tc>
        <w:tc>
          <w:tcPr>
            <w:tcW w:w="857" w:type="pct"/>
            <w:shd w:val="clear" w:color="auto" w:fill="auto"/>
            <w:vAlign w:val="center"/>
            <w:hideMark/>
          </w:tcPr>
          <w:p w14:paraId="70585C3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94.088.620,00 €</w:t>
            </w:r>
          </w:p>
        </w:tc>
        <w:tc>
          <w:tcPr>
            <w:tcW w:w="345" w:type="pct"/>
            <w:shd w:val="clear" w:color="000000" w:fill="B7DEE8"/>
            <w:vAlign w:val="center"/>
            <w:hideMark/>
          </w:tcPr>
          <w:p w14:paraId="08D6A1A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D03ED9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C4D79B"/>
            <w:vAlign w:val="center"/>
            <w:hideMark/>
          </w:tcPr>
          <w:p w14:paraId="0ABD971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B7DEE8"/>
            <w:vAlign w:val="center"/>
            <w:hideMark/>
          </w:tcPr>
          <w:p w14:paraId="265AF94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B1A903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51B128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4AA3882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51C16C9" w14:textId="77777777" w:rsidTr="00C91F10">
        <w:trPr>
          <w:trHeight w:val="225"/>
          <w:jc w:val="center"/>
        </w:trPr>
        <w:tc>
          <w:tcPr>
            <w:tcW w:w="541" w:type="pct"/>
            <w:shd w:val="clear" w:color="auto" w:fill="auto"/>
            <w:vAlign w:val="center"/>
            <w:hideMark/>
          </w:tcPr>
          <w:p w14:paraId="69ABCBF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04.1045.002</w:t>
            </w:r>
          </w:p>
        </w:tc>
        <w:tc>
          <w:tcPr>
            <w:tcW w:w="1331" w:type="pct"/>
            <w:shd w:val="clear" w:color="auto" w:fill="auto"/>
            <w:vAlign w:val="center"/>
            <w:hideMark/>
          </w:tcPr>
          <w:p w14:paraId="7EBC2D5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ΤΟΥΡΙΣΤΙΚΕΣ ΕΠΕΝΔΥΣΕΙΣ</w:t>
            </w:r>
          </w:p>
        </w:tc>
        <w:tc>
          <w:tcPr>
            <w:tcW w:w="857" w:type="pct"/>
            <w:shd w:val="clear" w:color="auto" w:fill="auto"/>
            <w:vAlign w:val="center"/>
            <w:hideMark/>
          </w:tcPr>
          <w:p w14:paraId="14259EA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109.745.500,00 €</w:t>
            </w:r>
          </w:p>
        </w:tc>
        <w:tc>
          <w:tcPr>
            <w:tcW w:w="345" w:type="pct"/>
            <w:shd w:val="clear" w:color="000000" w:fill="B7DEE8"/>
            <w:vAlign w:val="center"/>
            <w:hideMark/>
          </w:tcPr>
          <w:p w14:paraId="02436FE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70292D4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76BB3C1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7FCFE6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FB9346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F1C0B9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1F668B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C798F63" w14:textId="77777777" w:rsidTr="00C91F10">
        <w:trPr>
          <w:trHeight w:val="450"/>
          <w:jc w:val="center"/>
        </w:trPr>
        <w:tc>
          <w:tcPr>
            <w:tcW w:w="541" w:type="pct"/>
            <w:shd w:val="clear" w:color="auto" w:fill="auto"/>
            <w:vAlign w:val="center"/>
            <w:hideMark/>
          </w:tcPr>
          <w:p w14:paraId="01A302D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04.1045.003</w:t>
            </w:r>
          </w:p>
        </w:tc>
        <w:tc>
          <w:tcPr>
            <w:tcW w:w="1331" w:type="pct"/>
            <w:shd w:val="clear" w:color="auto" w:fill="auto"/>
            <w:vAlign w:val="center"/>
            <w:hideMark/>
          </w:tcPr>
          <w:p w14:paraId="65B129E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ΥΠΟΥΡΓΕΙΟΥ ΤΟΥΡΙΣΜΟΥ</w:t>
            </w:r>
          </w:p>
        </w:tc>
        <w:tc>
          <w:tcPr>
            <w:tcW w:w="857" w:type="pct"/>
            <w:shd w:val="clear" w:color="auto" w:fill="auto"/>
            <w:vAlign w:val="center"/>
            <w:hideMark/>
          </w:tcPr>
          <w:p w14:paraId="58A1726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9.034.760,00 €</w:t>
            </w:r>
          </w:p>
        </w:tc>
        <w:tc>
          <w:tcPr>
            <w:tcW w:w="345" w:type="pct"/>
            <w:shd w:val="clear" w:color="000000" w:fill="B7DEE8"/>
            <w:vAlign w:val="center"/>
            <w:hideMark/>
          </w:tcPr>
          <w:p w14:paraId="44AF163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BF4F1D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4EED6F4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05D227B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A4B8C0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C4D79B"/>
            <w:vAlign w:val="center"/>
            <w:hideMark/>
          </w:tcPr>
          <w:p w14:paraId="6F47A08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29E5B5B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54CFB334" w14:textId="77777777" w:rsidTr="00C91F10">
        <w:trPr>
          <w:trHeight w:val="225"/>
          <w:jc w:val="center"/>
        </w:trPr>
        <w:tc>
          <w:tcPr>
            <w:tcW w:w="541" w:type="pct"/>
            <w:shd w:val="clear" w:color="auto" w:fill="auto"/>
            <w:vAlign w:val="center"/>
            <w:hideMark/>
          </w:tcPr>
          <w:p w14:paraId="0E7EBB9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09.1045.001</w:t>
            </w:r>
          </w:p>
        </w:tc>
        <w:tc>
          <w:tcPr>
            <w:tcW w:w="1331" w:type="pct"/>
            <w:shd w:val="clear" w:color="auto" w:fill="auto"/>
            <w:vAlign w:val="center"/>
            <w:hideMark/>
          </w:tcPr>
          <w:p w14:paraId="2EEFFFD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ΤΟΥΡΙΣΤΙΚΗ ΕΚΠΑΙΔΕΥΣΗ ΚΑΙ ΚΑΤΑΡΤΙΣΗ</w:t>
            </w:r>
          </w:p>
        </w:tc>
        <w:tc>
          <w:tcPr>
            <w:tcW w:w="857" w:type="pct"/>
            <w:shd w:val="clear" w:color="auto" w:fill="auto"/>
            <w:vAlign w:val="center"/>
            <w:hideMark/>
          </w:tcPr>
          <w:p w14:paraId="4837202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25.123.120,00 €</w:t>
            </w:r>
          </w:p>
        </w:tc>
        <w:tc>
          <w:tcPr>
            <w:tcW w:w="345" w:type="pct"/>
            <w:shd w:val="clear" w:color="000000" w:fill="B7DEE8"/>
            <w:vAlign w:val="center"/>
            <w:hideMark/>
          </w:tcPr>
          <w:p w14:paraId="05D9E08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287326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67A626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C1F474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6FF302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06E770F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77E6301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61E0846F" w14:textId="77777777" w:rsidTr="00C91F10">
        <w:trPr>
          <w:trHeight w:val="225"/>
          <w:jc w:val="center"/>
        </w:trPr>
        <w:tc>
          <w:tcPr>
            <w:tcW w:w="541" w:type="pct"/>
            <w:shd w:val="clear" w:color="000000" w:fill="BEBEBE"/>
            <w:vAlign w:val="center"/>
            <w:hideMark/>
          </w:tcPr>
          <w:p w14:paraId="3F1AAB6E"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1053</w:t>
            </w:r>
          </w:p>
        </w:tc>
        <w:tc>
          <w:tcPr>
            <w:tcW w:w="1331" w:type="pct"/>
            <w:shd w:val="clear" w:color="000000" w:fill="BEBEBE"/>
            <w:vAlign w:val="center"/>
            <w:hideMark/>
          </w:tcPr>
          <w:p w14:paraId="7D2F771F"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ΨΗΦΙΑΚΗΣ ΔΙΑΚΥΒΕΡΝΗΣΗΣ</w:t>
            </w:r>
          </w:p>
        </w:tc>
        <w:tc>
          <w:tcPr>
            <w:tcW w:w="857" w:type="pct"/>
            <w:shd w:val="clear" w:color="000000" w:fill="BEBEBE"/>
            <w:vAlign w:val="center"/>
            <w:hideMark/>
          </w:tcPr>
          <w:p w14:paraId="20F9CA23"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1.391.403.000,00 €</w:t>
            </w:r>
          </w:p>
        </w:tc>
        <w:tc>
          <w:tcPr>
            <w:tcW w:w="345" w:type="pct"/>
            <w:shd w:val="clear" w:color="000000" w:fill="BEBEBE"/>
            <w:vAlign w:val="bottom"/>
            <w:hideMark/>
          </w:tcPr>
          <w:p w14:paraId="29CC6D8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229241C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5FF1A36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54160D1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6D011C6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5EAC38B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1009C53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59A3218A" w14:textId="77777777" w:rsidTr="00C91F10">
        <w:trPr>
          <w:trHeight w:val="225"/>
          <w:jc w:val="center"/>
        </w:trPr>
        <w:tc>
          <w:tcPr>
            <w:tcW w:w="541" w:type="pct"/>
            <w:shd w:val="clear" w:color="auto" w:fill="auto"/>
            <w:vAlign w:val="center"/>
            <w:hideMark/>
          </w:tcPr>
          <w:p w14:paraId="7D4576E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03.1053.001</w:t>
            </w:r>
          </w:p>
        </w:tc>
        <w:tc>
          <w:tcPr>
            <w:tcW w:w="1331" w:type="pct"/>
            <w:shd w:val="clear" w:color="auto" w:fill="auto"/>
            <w:vAlign w:val="center"/>
            <w:hideMark/>
          </w:tcPr>
          <w:p w14:paraId="6CEF814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ΚΥΒΕΡΝΟΑΣΦΑΛΕΙΑ</w:t>
            </w:r>
          </w:p>
        </w:tc>
        <w:tc>
          <w:tcPr>
            <w:tcW w:w="857" w:type="pct"/>
            <w:shd w:val="clear" w:color="auto" w:fill="auto"/>
            <w:vAlign w:val="center"/>
            <w:hideMark/>
          </w:tcPr>
          <w:p w14:paraId="3B3FDA0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50.142.900,00 €</w:t>
            </w:r>
          </w:p>
        </w:tc>
        <w:tc>
          <w:tcPr>
            <w:tcW w:w="345" w:type="pct"/>
            <w:shd w:val="clear" w:color="000000" w:fill="B7DEE8"/>
            <w:vAlign w:val="center"/>
            <w:hideMark/>
          </w:tcPr>
          <w:p w14:paraId="1B9B6EB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4F45E1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DC9935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926FA7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762F94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3B02CB8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7547AC1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690EA004" w14:textId="77777777" w:rsidTr="00C91F10">
        <w:trPr>
          <w:trHeight w:val="450"/>
          <w:jc w:val="center"/>
        </w:trPr>
        <w:tc>
          <w:tcPr>
            <w:tcW w:w="541" w:type="pct"/>
            <w:shd w:val="clear" w:color="auto" w:fill="auto"/>
            <w:vAlign w:val="center"/>
            <w:hideMark/>
          </w:tcPr>
          <w:p w14:paraId="624A83C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04.1053.001</w:t>
            </w:r>
          </w:p>
        </w:tc>
        <w:tc>
          <w:tcPr>
            <w:tcW w:w="1331" w:type="pct"/>
            <w:shd w:val="clear" w:color="auto" w:fill="auto"/>
            <w:vAlign w:val="center"/>
            <w:hideMark/>
          </w:tcPr>
          <w:p w14:paraId="5FAE183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ΨΗΦΙΑΚΗΣ ΔΙΑΚΥΒΕΡΝΗΣΗΣ</w:t>
            </w:r>
          </w:p>
        </w:tc>
        <w:tc>
          <w:tcPr>
            <w:tcW w:w="857" w:type="pct"/>
            <w:shd w:val="clear" w:color="auto" w:fill="auto"/>
            <w:vAlign w:val="center"/>
            <w:hideMark/>
          </w:tcPr>
          <w:p w14:paraId="34E32B2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61.350.900,00 €</w:t>
            </w:r>
          </w:p>
        </w:tc>
        <w:tc>
          <w:tcPr>
            <w:tcW w:w="345" w:type="pct"/>
            <w:shd w:val="clear" w:color="000000" w:fill="C4D79B"/>
            <w:vAlign w:val="center"/>
            <w:hideMark/>
          </w:tcPr>
          <w:p w14:paraId="09FA593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43D971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9D9BD0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135521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159B1E1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7ADD204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102B52A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C94AE6D" w14:textId="77777777" w:rsidTr="00C91F10">
        <w:trPr>
          <w:trHeight w:val="450"/>
          <w:jc w:val="center"/>
        </w:trPr>
        <w:tc>
          <w:tcPr>
            <w:tcW w:w="541" w:type="pct"/>
            <w:shd w:val="clear" w:color="auto" w:fill="auto"/>
            <w:vAlign w:val="center"/>
            <w:hideMark/>
          </w:tcPr>
          <w:p w14:paraId="711DA10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04.1053.002</w:t>
            </w:r>
          </w:p>
        </w:tc>
        <w:tc>
          <w:tcPr>
            <w:tcW w:w="1331" w:type="pct"/>
            <w:shd w:val="clear" w:color="auto" w:fill="auto"/>
            <w:vAlign w:val="center"/>
            <w:hideMark/>
          </w:tcPr>
          <w:p w14:paraId="18B67E4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ΨΗΦΙΑΚΟΣ ΜΕΤΑΣΧΗΜΑΤΙΣΜΟΣ ΚΑΙ ΜΕΤΑΡΡΥΘΜΙΣΗ ΔΗΜΟΣΙΟΥ ΤΟΜΕΑ</w:t>
            </w:r>
          </w:p>
        </w:tc>
        <w:tc>
          <w:tcPr>
            <w:tcW w:w="857" w:type="pct"/>
            <w:shd w:val="clear" w:color="auto" w:fill="auto"/>
            <w:vAlign w:val="center"/>
            <w:hideMark/>
          </w:tcPr>
          <w:p w14:paraId="2C1643D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650.111.150,00 €</w:t>
            </w:r>
          </w:p>
        </w:tc>
        <w:tc>
          <w:tcPr>
            <w:tcW w:w="345" w:type="pct"/>
            <w:shd w:val="clear" w:color="000000" w:fill="C4D79B"/>
            <w:vAlign w:val="center"/>
            <w:hideMark/>
          </w:tcPr>
          <w:p w14:paraId="6D34E90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21DD1A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A4889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BD36E1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932B14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38C803F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6C4C779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9ED0953" w14:textId="77777777" w:rsidTr="00C91F10">
        <w:trPr>
          <w:trHeight w:val="450"/>
          <w:jc w:val="center"/>
        </w:trPr>
        <w:tc>
          <w:tcPr>
            <w:tcW w:w="541" w:type="pct"/>
            <w:shd w:val="clear" w:color="auto" w:fill="auto"/>
            <w:vAlign w:val="center"/>
            <w:hideMark/>
          </w:tcPr>
          <w:p w14:paraId="7EF46C0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04.1053.003</w:t>
            </w:r>
          </w:p>
        </w:tc>
        <w:tc>
          <w:tcPr>
            <w:tcW w:w="1331" w:type="pct"/>
            <w:shd w:val="clear" w:color="auto" w:fill="auto"/>
            <w:vAlign w:val="center"/>
            <w:hideMark/>
          </w:tcPr>
          <w:p w14:paraId="01E13FF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ΗΛΕΚΤΡΟΝΙΚΗ ΔΙΑΚΥΒΕΡΝΗΣΗ ΚΑΙ ΔΙΑΛΕΙΤΟΥΡΓΙΚΟΤΗΤΑ</w:t>
            </w:r>
          </w:p>
        </w:tc>
        <w:tc>
          <w:tcPr>
            <w:tcW w:w="857" w:type="pct"/>
            <w:shd w:val="clear" w:color="auto" w:fill="auto"/>
            <w:vAlign w:val="center"/>
            <w:hideMark/>
          </w:tcPr>
          <w:p w14:paraId="39604857"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64.113.317,80 €</w:t>
            </w:r>
          </w:p>
        </w:tc>
        <w:tc>
          <w:tcPr>
            <w:tcW w:w="345" w:type="pct"/>
            <w:shd w:val="clear" w:color="000000" w:fill="C4D79B"/>
            <w:vAlign w:val="center"/>
            <w:hideMark/>
          </w:tcPr>
          <w:p w14:paraId="3DC4086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2482226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F6E362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220A8F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29FE34E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183FD4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63CE3C5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B47BAD3" w14:textId="77777777" w:rsidTr="00C91F10">
        <w:trPr>
          <w:trHeight w:val="675"/>
          <w:jc w:val="center"/>
        </w:trPr>
        <w:tc>
          <w:tcPr>
            <w:tcW w:w="541" w:type="pct"/>
            <w:shd w:val="clear" w:color="auto" w:fill="auto"/>
            <w:vAlign w:val="center"/>
            <w:hideMark/>
          </w:tcPr>
          <w:p w14:paraId="158BB8C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04.1053.004</w:t>
            </w:r>
          </w:p>
        </w:tc>
        <w:tc>
          <w:tcPr>
            <w:tcW w:w="1331" w:type="pct"/>
            <w:shd w:val="clear" w:color="auto" w:fill="auto"/>
            <w:vAlign w:val="center"/>
            <w:hideMark/>
          </w:tcPr>
          <w:p w14:paraId="2C3D6FD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ΤΕΧΝΟΛΟΓΙΕΣ ΠΛΗΡΟΦΟΡΙΚΗΣ, ΕΠΙΚΟΙΝΩΝΙΩΝ(ΤΠΕ) ΚΑΙ ΥΠΟΔΟΜΩΝ ΠΛΗΡΟΦΟΡΙΚΗΣ ΣΤΗ ΔΗΜΟΣΙΑ ΔΙΟΙΚΗΣΗ</w:t>
            </w:r>
          </w:p>
        </w:tc>
        <w:tc>
          <w:tcPr>
            <w:tcW w:w="857" w:type="pct"/>
            <w:shd w:val="clear" w:color="auto" w:fill="auto"/>
            <w:vAlign w:val="center"/>
            <w:hideMark/>
          </w:tcPr>
          <w:p w14:paraId="4BF9072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462.698.532,20 €</w:t>
            </w:r>
          </w:p>
        </w:tc>
        <w:tc>
          <w:tcPr>
            <w:tcW w:w="345" w:type="pct"/>
            <w:shd w:val="clear" w:color="000000" w:fill="C4D79B"/>
            <w:vAlign w:val="center"/>
            <w:hideMark/>
          </w:tcPr>
          <w:p w14:paraId="2B94B19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026DFE2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0BC8B5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C39782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73C30C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1CC30AB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17F4A0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DBA00BC" w14:textId="77777777" w:rsidTr="00C91F10">
        <w:trPr>
          <w:trHeight w:val="225"/>
          <w:jc w:val="center"/>
        </w:trPr>
        <w:tc>
          <w:tcPr>
            <w:tcW w:w="541" w:type="pct"/>
            <w:shd w:val="clear" w:color="auto" w:fill="auto"/>
            <w:vAlign w:val="center"/>
            <w:hideMark/>
          </w:tcPr>
          <w:p w14:paraId="59D6E0A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04.1053.005</w:t>
            </w:r>
          </w:p>
        </w:tc>
        <w:tc>
          <w:tcPr>
            <w:tcW w:w="1331" w:type="pct"/>
            <w:shd w:val="clear" w:color="auto" w:fill="auto"/>
            <w:vAlign w:val="center"/>
            <w:hideMark/>
          </w:tcPr>
          <w:p w14:paraId="2376691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ΤΗΛΕΠΙΚΟΙΝΩΝΙΕΣ-ΤΑΧΥΔΡΟΜΙΚΕΣ ΥΠΗΡΕΣΙΕΣ</w:t>
            </w:r>
          </w:p>
        </w:tc>
        <w:tc>
          <w:tcPr>
            <w:tcW w:w="857" w:type="pct"/>
            <w:shd w:val="clear" w:color="auto" w:fill="auto"/>
            <w:vAlign w:val="center"/>
            <w:hideMark/>
          </w:tcPr>
          <w:p w14:paraId="10AB3CE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73.510.882,00 €</w:t>
            </w:r>
          </w:p>
        </w:tc>
        <w:tc>
          <w:tcPr>
            <w:tcW w:w="345" w:type="pct"/>
            <w:shd w:val="clear" w:color="000000" w:fill="FCD5B4"/>
            <w:vAlign w:val="center"/>
            <w:hideMark/>
          </w:tcPr>
          <w:p w14:paraId="144D1D3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307" w:type="pct"/>
            <w:shd w:val="clear" w:color="000000" w:fill="B7DEE8"/>
            <w:vAlign w:val="center"/>
            <w:hideMark/>
          </w:tcPr>
          <w:p w14:paraId="6D6603D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E6B8B7"/>
            <w:vAlign w:val="center"/>
            <w:hideMark/>
          </w:tcPr>
          <w:p w14:paraId="7DAE58E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Α</w:t>
            </w:r>
          </w:p>
        </w:tc>
        <w:tc>
          <w:tcPr>
            <w:tcW w:w="384" w:type="pct"/>
            <w:shd w:val="clear" w:color="000000" w:fill="FCD5B4"/>
            <w:vAlign w:val="center"/>
            <w:hideMark/>
          </w:tcPr>
          <w:p w14:paraId="24954AE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307" w:type="pct"/>
            <w:shd w:val="clear" w:color="000000" w:fill="FCD5B4"/>
            <w:vAlign w:val="center"/>
            <w:hideMark/>
          </w:tcPr>
          <w:p w14:paraId="0E66F6D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328" w:type="pct"/>
            <w:shd w:val="clear" w:color="000000" w:fill="FCD5B4"/>
            <w:vAlign w:val="center"/>
            <w:hideMark/>
          </w:tcPr>
          <w:p w14:paraId="1F18E3D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w:t>
            </w:r>
          </w:p>
        </w:tc>
        <w:tc>
          <w:tcPr>
            <w:tcW w:w="288" w:type="pct"/>
            <w:shd w:val="clear" w:color="000000" w:fill="FCD5B4"/>
            <w:vAlign w:val="center"/>
            <w:hideMark/>
          </w:tcPr>
          <w:p w14:paraId="18EA408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w:t>
            </w:r>
          </w:p>
        </w:tc>
      </w:tr>
      <w:tr w:rsidR="00A3206D" w:rsidRPr="0084637C" w14:paraId="617E3BA9" w14:textId="77777777" w:rsidTr="00C91F10">
        <w:trPr>
          <w:trHeight w:val="225"/>
          <w:jc w:val="center"/>
        </w:trPr>
        <w:tc>
          <w:tcPr>
            <w:tcW w:w="541" w:type="pct"/>
            <w:shd w:val="clear" w:color="auto" w:fill="auto"/>
            <w:vAlign w:val="center"/>
            <w:hideMark/>
          </w:tcPr>
          <w:p w14:paraId="13BB250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04.1053.006</w:t>
            </w:r>
          </w:p>
        </w:tc>
        <w:tc>
          <w:tcPr>
            <w:tcW w:w="1331" w:type="pct"/>
            <w:shd w:val="clear" w:color="auto" w:fill="auto"/>
            <w:vAlign w:val="center"/>
            <w:hideMark/>
          </w:tcPr>
          <w:p w14:paraId="0D87892F"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ΔΙΑΣΤΗΜΙΚΗ ΣΤΡΑΤΗΓΙΚΗ</w:t>
            </w:r>
          </w:p>
        </w:tc>
        <w:tc>
          <w:tcPr>
            <w:tcW w:w="857" w:type="pct"/>
            <w:shd w:val="clear" w:color="auto" w:fill="auto"/>
            <w:vAlign w:val="center"/>
            <w:hideMark/>
          </w:tcPr>
          <w:p w14:paraId="23A6802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28.706.318,00 €</w:t>
            </w:r>
          </w:p>
        </w:tc>
        <w:tc>
          <w:tcPr>
            <w:tcW w:w="345" w:type="pct"/>
            <w:shd w:val="clear" w:color="000000" w:fill="FDE9D9"/>
            <w:vAlign w:val="center"/>
            <w:hideMark/>
          </w:tcPr>
          <w:p w14:paraId="45902FB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4783528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1400DC3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000D943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23FB87C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0393AA1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52F0231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33D13BB1" w14:textId="77777777" w:rsidTr="00C91F10">
        <w:trPr>
          <w:trHeight w:val="675"/>
          <w:jc w:val="center"/>
        </w:trPr>
        <w:tc>
          <w:tcPr>
            <w:tcW w:w="541" w:type="pct"/>
            <w:shd w:val="clear" w:color="auto" w:fill="auto"/>
            <w:vAlign w:val="center"/>
            <w:hideMark/>
          </w:tcPr>
          <w:p w14:paraId="42C39F3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04.1053.007</w:t>
            </w:r>
          </w:p>
        </w:tc>
        <w:tc>
          <w:tcPr>
            <w:tcW w:w="1331" w:type="pct"/>
            <w:shd w:val="clear" w:color="auto" w:fill="auto"/>
            <w:vAlign w:val="center"/>
            <w:hideMark/>
          </w:tcPr>
          <w:p w14:paraId="65C0764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ΡΥΘΜΙΣΗ ΘΕΜΑΤΩΝ ΗΛΕΚΤΡΟΝΙΚΩΝ ΕΠΙΚΟΙΝΩΝΙΩΝ ΚΑΙ ΤΑΧΥΔΡΟΜΙΚΩΝ ΥΠΗΡΕΣΙΩΝ - ΕΕΤΤ</w:t>
            </w:r>
          </w:p>
        </w:tc>
        <w:tc>
          <w:tcPr>
            <w:tcW w:w="857" w:type="pct"/>
            <w:shd w:val="clear" w:color="auto" w:fill="auto"/>
            <w:vAlign w:val="center"/>
            <w:hideMark/>
          </w:tcPr>
          <w:p w14:paraId="23870F9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769.000,00 €</w:t>
            </w:r>
          </w:p>
        </w:tc>
        <w:tc>
          <w:tcPr>
            <w:tcW w:w="345" w:type="pct"/>
            <w:shd w:val="clear" w:color="000000" w:fill="FDE9D9"/>
            <w:vAlign w:val="center"/>
            <w:hideMark/>
          </w:tcPr>
          <w:p w14:paraId="0F6EB0E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2484A67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12" w:type="pct"/>
            <w:shd w:val="clear" w:color="000000" w:fill="FDE9D9"/>
            <w:vAlign w:val="center"/>
            <w:hideMark/>
          </w:tcPr>
          <w:p w14:paraId="0FF21CD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84" w:type="pct"/>
            <w:shd w:val="clear" w:color="000000" w:fill="FDE9D9"/>
            <w:vAlign w:val="center"/>
            <w:hideMark/>
          </w:tcPr>
          <w:p w14:paraId="5648104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07" w:type="pct"/>
            <w:shd w:val="clear" w:color="000000" w:fill="FDE9D9"/>
            <w:vAlign w:val="center"/>
            <w:hideMark/>
          </w:tcPr>
          <w:p w14:paraId="25A5874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328" w:type="pct"/>
            <w:shd w:val="clear" w:color="000000" w:fill="FDE9D9"/>
            <w:vAlign w:val="center"/>
            <w:hideMark/>
          </w:tcPr>
          <w:p w14:paraId="5A428E1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ΜΠ</w:t>
            </w:r>
          </w:p>
        </w:tc>
        <w:tc>
          <w:tcPr>
            <w:tcW w:w="288" w:type="pct"/>
            <w:shd w:val="clear" w:color="000000" w:fill="FDE9D9"/>
            <w:vAlign w:val="center"/>
            <w:hideMark/>
          </w:tcPr>
          <w:p w14:paraId="465130F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ΜΠ</w:t>
            </w:r>
          </w:p>
        </w:tc>
      </w:tr>
      <w:tr w:rsidR="00A3206D" w:rsidRPr="0084637C" w14:paraId="77CCB775" w14:textId="77777777" w:rsidTr="00C91F10">
        <w:trPr>
          <w:trHeight w:val="225"/>
          <w:jc w:val="center"/>
        </w:trPr>
        <w:tc>
          <w:tcPr>
            <w:tcW w:w="541" w:type="pct"/>
            <w:shd w:val="clear" w:color="000000" w:fill="BEBEBE"/>
            <w:vAlign w:val="center"/>
            <w:hideMark/>
          </w:tcPr>
          <w:p w14:paraId="7CEBD0B6"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1055</w:t>
            </w:r>
          </w:p>
        </w:tc>
        <w:tc>
          <w:tcPr>
            <w:tcW w:w="1331" w:type="pct"/>
            <w:shd w:val="clear" w:color="000000" w:fill="BEBEBE"/>
            <w:vAlign w:val="center"/>
            <w:hideMark/>
          </w:tcPr>
          <w:p w14:paraId="7DB2C708"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ΜΕΤΑΝΑΣΤΕΥΣΗΣ ΚΑΙ ΑΣΥΛΟΥ</w:t>
            </w:r>
          </w:p>
        </w:tc>
        <w:tc>
          <w:tcPr>
            <w:tcW w:w="857" w:type="pct"/>
            <w:shd w:val="clear" w:color="000000" w:fill="BEBEBE"/>
            <w:vAlign w:val="center"/>
            <w:hideMark/>
          </w:tcPr>
          <w:p w14:paraId="4E8A73EB"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536.133.000,00 €</w:t>
            </w:r>
          </w:p>
        </w:tc>
        <w:tc>
          <w:tcPr>
            <w:tcW w:w="345" w:type="pct"/>
            <w:shd w:val="clear" w:color="000000" w:fill="BEBEBE"/>
            <w:vAlign w:val="bottom"/>
            <w:hideMark/>
          </w:tcPr>
          <w:p w14:paraId="308DDB8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4D2ADB9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0037607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677C6D9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2B84910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17BC554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2F1FF37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5D263E73" w14:textId="77777777" w:rsidTr="00C91F10">
        <w:trPr>
          <w:trHeight w:val="450"/>
          <w:jc w:val="center"/>
        </w:trPr>
        <w:tc>
          <w:tcPr>
            <w:tcW w:w="541" w:type="pct"/>
            <w:shd w:val="clear" w:color="auto" w:fill="auto"/>
            <w:vAlign w:val="center"/>
            <w:hideMark/>
          </w:tcPr>
          <w:p w14:paraId="03A6F46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lastRenderedPageBreak/>
              <w:t>01.1055.001</w:t>
            </w:r>
          </w:p>
        </w:tc>
        <w:tc>
          <w:tcPr>
            <w:tcW w:w="1331" w:type="pct"/>
            <w:shd w:val="clear" w:color="auto" w:fill="auto"/>
            <w:vAlign w:val="center"/>
            <w:hideMark/>
          </w:tcPr>
          <w:p w14:paraId="36FBA2E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ΜΕΤΑΝΑΣΤΕΥΣΗΣ ΚΑΙ ΑΣΥΛΟΥ</w:t>
            </w:r>
          </w:p>
        </w:tc>
        <w:tc>
          <w:tcPr>
            <w:tcW w:w="857" w:type="pct"/>
            <w:shd w:val="clear" w:color="auto" w:fill="auto"/>
            <w:vAlign w:val="center"/>
            <w:hideMark/>
          </w:tcPr>
          <w:p w14:paraId="6EA4952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98.909.707,00 €</w:t>
            </w:r>
          </w:p>
        </w:tc>
        <w:tc>
          <w:tcPr>
            <w:tcW w:w="345" w:type="pct"/>
            <w:shd w:val="clear" w:color="000000" w:fill="C4D79B"/>
            <w:vAlign w:val="center"/>
            <w:hideMark/>
          </w:tcPr>
          <w:p w14:paraId="3AFB36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526CD97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4DFB5E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0552023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362B9A4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41CB36C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C01D3C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3C191B3" w14:textId="77777777" w:rsidTr="00C91F10">
        <w:trPr>
          <w:trHeight w:val="225"/>
          <w:jc w:val="center"/>
        </w:trPr>
        <w:tc>
          <w:tcPr>
            <w:tcW w:w="541" w:type="pct"/>
            <w:shd w:val="clear" w:color="auto" w:fill="auto"/>
            <w:vAlign w:val="center"/>
            <w:hideMark/>
          </w:tcPr>
          <w:p w14:paraId="1F36B4B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01.1055.002</w:t>
            </w:r>
          </w:p>
        </w:tc>
        <w:tc>
          <w:tcPr>
            <w:tcW w:w="1331" w:type="pct"/>
            <w:shd w:val="clear" w:color="auto" w:fill="auto"/>
            <w:vAlign w:val="center"/>
            <w:hideMark/>
          </w:tcPr>
          <w:p w14:paraId="10BFC2C0"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ΑΣΥΛΟΥ</w:t>
            </w:r>
          </w:p>
        </w:tc>
        <w:tc>
          <w:tcPr>
            <w:tcW w:w="857" w:type="pct"/>
            <w:shd w:val="clear" w:color="auto" w:fill="auto"/>
            <w:vAlign w:val="center"/>
            <w:hideMark/>
          </w:tcPr>
          <w:p w14:paraId="279EF34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69.375.567,00 €</w:t>
            </w:r>
          </w:p>
        </w:tc>
        <w:tc>
          <w:tcPr>
            <w:tcW w:w="345" w:type="pct"/>
            <w:shd w:val="clear" w:color="000000" w:fill="B7DEE8"/>
            <w:vAlign w:val="center"/>
            <w:hideMark/>
          </w:tcPr>
          <w:p w14:paraId="17E8A99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3BFC14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E679BE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67D60E6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9F3FC9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02EA91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5918B41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3A0EB865" w14:textId="77777777" w:rsidTr="00C91F10">
        <w:trPr>
          <w:trHeight w:val="225"/>
          <w:jc w:val="center"/>
        </w:trPr>
        <w:tc>
          <w:tcPr>
            <w:tcW w:w="541" w:type="pct"/>
            <w:shd w:val="clear" w:color="auto" w:fill="auto"/>
            <w:vAlign w:val="center"/>
            <w:hideMark/>
          </w:tcPr>
          <w:p w14:paraId="53FF547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01.1055.003</w:t>
            </w:r>
          </w:p>
        </w:tc>
        <w:tc>
          <w:tcPr>
            <w:tcW w:w="1331" w:type="pct"/>
            <w:shd w:val="clear" w:color="auto" w:fill="auto"/>
            <w:vAlign w:val="center"/>
            <w:hideMark/>
          </w:tcPr>
          <w:p w14:paraId="055874A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ΝΟΜΙΜΗ ΜΕΤΑΝΑΣΤΕΥΣΗ</w:t>
            </w:r>
          </w:p>
        </w:tc>
        <w:tc>
          <w:tcPr>
            <w:tcW w:w="857" w:type="pct"/>
            <w:shd w:val="clear" w:color="auto" w:fill="auto"/>
            <w:vAlign w:val="center"/>
            <w:hideMark/>
          </w:tcPr>
          <w:p w14:paraId="2D7F3A0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41.228.726,00 €</w:t>
            </w:r>
          </w:p>
        </w:tc>
        <w:tc>
          <w:tcPr>
            <w:tcW w:w="345" w:type="pct"/>
            <w:shd w:val="clear" w:color="000000" w:fill="B7DEE8"/>
            <w:vAlign w:val="center"/>
            <w:hideMark/>
          </w:tcPr>
          <w:p w14:paraId="04E2DE5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E786C6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CE25E4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34723C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B356C2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B82F7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A6183E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5893B4E3" w14:textId="77777777" w:rsidTr="00C91F10">
        <w:trPr>
          <w:trHeight w:val="450"/>
          <w:jc w:val="center"/>
        </w:trPr>
        <w:tc>
          <w:tcPr>
            <w:tcW w:w="541" w:type="pct"/>
            <w:shd w:val="clear" w:color="auto" w:fill="auto"/>
            <w:vAlign w:val="center"/>
            <w:hideMark/>
          </w:tcPr>
          <w:p w14:paraId="61C4D55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01.1055.004</w:t>
            </w:r>
          </w:p>
        </w:tc>
        <w:tc>
          <w:tcPr>
            <w:tcW w:w="1331" w:type="pct"/>
            <w:shd w:val="clear" w:color="auto" w:fill="auto"/>
            <w:vAlign w:val="center"/>
            <w:hideMark/>
          </w:tcPr>
          <w:p w14:paraId="5739D5A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ΥΠΟΔΟΧΗ - ΤΑΥΤΟΠΟΙΗΣΗ ΠΡΟΣΦΥΓΙΚΩΝ ΡΟΩΝ</w:t>
            </w:r>
          </w:p>
        </w:tc>
        <w:tc>
          <w:tcPr>
            <w:tcW w:w="857" w:type="pct"/>
            <w:shd w:val="clear" w:color="auto" w:fill="auto"/>
            <w:vAlign w:val="center"/>
            <w:hideMark/>
          </w:tcPr>
          <w:p w14:paraId="60C6607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326.619.000,00 €</w:t>
            </w:r>
          </w:p>
        </w:tc>
        <w:tc>
          <w:tcPr>
            <w:tcW w:w="345" w:type="pct"/>
            <w:shd w:val="clear" w:color="000000" w:fill="B7DEE8"/>
            <w:vAlign w:val="center"/>
            <w:hideMark/>
          </w:tcPr>
          <w:p w14:paraId="356F14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171CAC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C4D79B"/>
            <w:vAlign w:val="center"/>
            <w:hideMark/>
          </w:tcPr>
          <w:p w14:paraId="057D76E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B7DEE8"/>
            <w:vAlign w:val="center"/>
            <w:hideMark/>
          </w:tcPr>
          <w:p w14:paraId="39468B3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62580E3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67261BE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C09A1D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E42202B" w14:textId="77777777" w:rsidTr="00C91F10">
        <w:trPr>
          <w:trHeight w:val="225"/>
          <w:jc w:val="center"/>
        </w:trPr>
        <w:tc>
          <w:tcPr>
            <w:tcW w:w="541" w:type="pct"/>
            <w:shd w:val="clear" w:color="000000" w:fill="BEBEBE"/>
            <w:vAlign w:val="center"/>
            <w:hideMark/>
          </w:tcPr>
          <w:p w14:paraId="358F503E"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1057</w:t>
            </w:r>
          </w:p>
        </w:tc>
        <w:tc>
          <w:tcPr>
            <w:tcW w:w="1331" w:type="pct"/>
            <w:shd w:val="clear" w:color="000000" w:fill="BEBEBE"/>
            <w:vAlign w:val="center"/>
            <w:hideMark/>
          </w:tcPr>
          <w:p w14:paraId="560623F4"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ΠΡΟΣΤΑΣΙΑΣ ΤΟΥ ΠΟΛΙΤΗ</w:t>
            </w:r>
          </w:p>
        </w:tc>
        <w:tc>
          <w:tcPr>
            <w:tcW w:w="857" w:type="pct"/>
            <w:shd w:val="clear" w:color="000000" w:fill="BEBEBE"/>
            <w:vAlign w:val="center"/>
            <w:hideMark/>
          </w:tcPr>
          <w:p w14:paraId="449E21C8"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2.603.285.000,00 €</w:t>
            </w:r>
          </w:p>
        </w:tc>
        <w:tc>
          <w:tcPr>
            <w:tcW w:w="345" w:type="pct"/>
            <w:shd w:val="clear" w:color="000000" w:fill="BEBEBE"/>
            <w:vAlign w:val="bottom"/>
            <w:hideMark/>
          </w:tcPr>
          <w:p w14:paraId="0182BCD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0F934D0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20FE3BD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54498A1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24438FA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4EEABC0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1E3D3C6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7944E740" w14:textId="77777777" w:rsidTr="00C91F10">
        <w:trPr>
          <w:trHeight w:val="450"/>
          <w:jc w:val="center"/>
        </w:trPr>
        <w:tc>
          <w:tcPr>
            <w:tcW w:w="541" w:type="pct"/>
            <w:shd w:val="clear" w:color="auto" w:fill="auto"/>
            <w:vAlign w:val="center"/>
            <w:hideMark/>
          </w:tcPr>
          <w:p w14:paraId="39D8DDA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01.1057.001</w:t>
            </w:r>
          </w:p>
        </w:tc>
        <w:tc>
          <w:tcPr>
            <w:tcW w:w="1331" w:type="pct"/>
            <w:shd w:val="clear" w:color="auto" w:fill="auto"/>
            <w:vAlign w:val="center"/>
            <w:hideMark/>
          </w:tcPr>
          <w:p w14:paraId="4FBCF75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ΑΣΦΑΛΕΙΑ ΣΥΝΟΡΩΝ - ΔΙΑΧΕΙΡΙΣΗ ΜΕΤΑΝΑΣΤΕΥΤΙΚΩΝ ΡΟΩΝ</w:t>
            </w:r>
          </w:p>
        </w:tc>
        <w:tc>
          <w:tcPr>
            <w:tcW w:w="857" w:type="pct"/>
            <w:shd w:val="clear" w:color="auto" w:fill="auto"/>
            <w:vAlign w:val="center"/>
            <w:hideMark/>
          </w:tcPr>
          <w:p w14:paraId="1F696EA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110.782.265,00 €</w:t>
            </w:r>
          </w:p>
        </w:tc>
        <w:tc>
          <w:tcPr>
            <w:tcW w:w="345" w:type="pct"/>
            <w:shd w:val="clear" w:color="000000" w:fill="B7DEE8"/>
            <w:vAlign w:val="center"/>
            <w:hideMark/>
          </w:tcPr>
          <w:p w14:paraId="2AC65F9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74E382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ECC827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76B5CA5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7209E3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9633ED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6F6E65D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08204610" w14:textId="77777777" w:rsidTr="00C91F10">
        <w:trPr>
          <w:trHeight w:val="450"/>
          <w:jc w:val="center"/>
        </w:trPr>
        <w:tc>
          <w:tcPr>
            <w:tcW w:w="541" w:type="pct"/>
            <w:shd w:val="clear" w:color="auto" w:fill="auto"/>
            <w:vAlign w:val="center"/>
            <w:hideMark/>
          </w:tcPr>
          <w:p w14:paraId="63688AD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03.1057.001</w:t>
            </w:r>
          </w:p>
        </w:tc>
        <w:tc>
          <w:tcPr>
            <w:tcW w:w="1331" w:type="pct"/>
            <w:shd w:val="clear" w:color="auto" w:fill="auto"/>
            <w:vAlign w:val="center"/>
            <w:hideMark/>
          </w:tcPr>
          <w:p w14:paraId="3CA35F6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ΥΠΟΥΡΓΕΙΟΥ ΠΡΟΣΤΑΣΙΑΣ ΤΟΥ ΠΟΛΙΤΗ</w:t>
            </w:r>
          </w:p>
        </w:tc>
        <w:tc>
          <w:tcPr>
            <w:tcW w:w="857" w:type="pct"/>
            <w:shd w:val="clear" w:color="auto" w:fill="auto"/>
            <w:vAlign w:val="center"/>
            <w:hideMark/>
          </w:tcPr>
          <w:p w14:paraId="628FD193"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28.566.000,00 €</w:t>
            </w:r>
          </w:p>
        </w:tc>
        <w:tc>
          <w:tcPr>
            <w:tcW w:w="345" w:type="pct"/>
            <w:shd w:val="clear" w:color="000000" w:fill="C4D79B"/>
            <w:vAlign w:val="center"/>
            <w:hideMark/>
          </w:tcPr>
          <w:p w14:paraId="4267E87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74E04E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7720074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2C459C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61B5149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7AE4A56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0AA162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F5865D4" w14:textId="77777777" w:rsidTr="00C91F10">
        <w:trPr>
          <w:trHeight w:val="225"/>
          <w:jc w:val="center"/>
        </w:trPr>
        <w:tc>
          <w:tcPr>
            <w:tcW w:w="541" w:type="pct"/>
            <w:shd w:val="clear" w:color="auto" w:fill="auto"/>
            <w:vAlign w:val="center"/>
            <w:hideMark/>
          </w:tcPr>
          <w:p w14:paraId="592C854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03.1057.002</w:t>
            </w:r>
          </w:p>
        </w:tc>
        <w:tc>
          <w:tcPr>
            <w:tcW w:w="1331" w:type="pct"/>
            <w:shd w:val="clear" w:color="auto" w:fill="auto"/>
            <w:vAlign w:val="center"/>
            <w:hideMark/>
          </w:tcPr>
          <w:p w14:paraId="1C01570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ΑΣΤΥΝΟΜΙΚΕΣ ΥΠΗΡΕΣΙΕΣ</w:t>
            </w:r>
          </w:p>
        </w:tc>
        <w:tc>
          <w:tcPr>
            <w:tcW w:w="857" w:type="pct"/>
            <w:shd w:val="clear" w:color="auto" w:fill="auto"/>
            <w:vAlign w:val="center"/>
            <w:hideMark/>
          </w:tcPr>
          <w:p w14:paraId="7A753CE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2.209.941.051,10 €</w:t>
            </w:r>
          </w:p>
        </w:tc>
        <w:tc>
          <w:tcPr>
            <w:tcW w:w="345" w:type="pct"/>
            <w:shd w:val="clear" w:color="000000" w:fill="C4D79B"/>
            <w:vAlign w:val="center"/>
            <w:hideMark/>
          </w:tcPr>
          <w:p w14:paraId="7EAF3A9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2366D13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A755DF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3A3641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6E4299A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0C0D34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71B6DD6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00BD1C2" w14:textId="77777777" w:rsidTr="00C91F10">
        <w:trPr>
          <w:trHeight w:val="225"/>
          <w:jc w:val="center"/>
        </w:trPr>
        <w:tc>
          <w:tcPr>
            <w:tcW w:w="541" w:type="pct"/>
            <w:shd w:val="clear" w:color="auto" w:fill="auto"/>
            <w:vAlign w:val="center"/>
            <w:hideMark/>
          </w:tcPr>
          <w:p w14:paraId="4D472C7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03.1057.003</w:t>
            </w:r>
          </w:p>
        </w:tc>
        <w:tc>
          <w:tcPr>
            <w:tcW w:w="1331" w:type="pct"/>
            <w:shd w:val="clear" w:color="auto" w:fill="auto"/>
            <w:vAlign w:val="center"/>
            <w:hideMark/>
          </w:tcPr>
          <w:p w14:paraId="3E82934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ΑΝΤΕΓΚΛΗΜΑΤΙΚΗ ΠΟΛΙΤΙΚΗ/ΣΩΦΡΟΝΙΣΜΟΣ</w:t>
            </w:r>
          </w:p>
        </w:tc>
        <w:tc>
          <w:tcPr>
            <w:tcW w:w="857" w:type="pct"/>
            <w:shd w:val="clear" w:color="auto" w:fill="auto"/>
            <w:vAlign w:val="center"/>
            <w:hideMark/>
          </w:tcPr>
          <w:p w14:paraId="3258B26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194.263.000,00 €</w:t>
            </w:r>
          </w:p>
        </w:tc>
        <w:tc>
          <w:tcPr>
            <w:tcW w:w="345" w:type="pct"/>
            <w:shd w:val="clear" w:color="000000" w:fill="C4D79B"/>
            <w:vAlign w:val="center"/>
            <w:hideMark/>
          </w:tcPr>
          <w:p w14:paraId="0FC2032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2100875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C545AE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3B307BB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4E077BA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1020149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9C25A3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84EA055" w14:textId="77777777" w:rsidTr="00C91F10">
        <w:trPr>
          <w:trHeight w:val="225"/>
          <w:jc w:val="center"/>
        </w:trPr>
        <w:tc>
          <w:tcPr>
            <w:tcW w:w="541" w:type="pct"/>
            <w:shd w:val="clear" w:color="auto" w:fill="auto"/>
            <w:vAlign w:val="center"/>
            <w:hideMark/>
          </w:tcPr>
          <w:p w14:paraId="107B014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09.1057.001</w:t>
            </w:r>
          </w:p>
        </w:tc>
        <w:tc>
          <w:tcPr>
            <w:tcW w:w="1331" w:type="pct"/>
            <w:shd w:val="clear" w:color="auto" w:fill="auto"/>
            <w:vAlign w:val="center"/>
            <w:hideMark/>
          </w:tcPr>
          <w:p w14:paraId="59EBE52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ΕΚΠΑΙΔΕΥΣΗ ΕΛΛΗΝΙΚΗΣ ΑΣΤΥΝΟΜΙΑΣ</w:t>
            </w:r>
          </w:p>
        </w:tc>
        <w:tc>
          <w:tcPr>
            <w:tcW w:w="857" w:type="pct"/>
            <w:shd w:val="clear" w:color="auto" w:fill="auto"/>
            <w:vAlign w:val="center"/>
            <w:hideMark/>
          </w:tcPr>
          <w:p w14:paraId="49C3723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59.732.683,90 €</w:t>
            </w:r>
          </w:p>
        </w:tc>
        <w:tc>
          <w:tcPr>
            <w:tcW w:w="345" w:type="pct"/>
            <w:shd w:val="clear" w:color="000000" w:fill="B7DEE8"/>
            <w:vAlign w:val="center"/>
            <w:hideMark/>
          </w:tcPr>
          <w:p w14:paraId="6A00BE4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398FB88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59A5EE2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4DAD237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637081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083D3A9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FFE429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6FCBFD91" w14:textId="77777777" w:rsidTr="00C91F10">
        <w:trPr>
          <w:trHeight w:val="450"/>
          <w:jc w:val="center"/>
        </w:trPr>
        <w:tc>
          <w:tcPr>
            <w:tcW w:w="541" w:type="pct"/>
            <w:shd w:val="clear" w:color="000000" w:fill="BEBEBE"/>
            <w:vAlign w:val="center"/>
            <w:hideMark/>
          </w:tcPr>
          <w:p w14:paraId="0B69BD2A"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1060</w:t>
            </w:r>
          </w:p>
        </w:tc>
        <w:tc>
          <w:tcPr>
            <w:tcW w:w="1331" w:type="pct"/>
            <w:shd w:val="clear" w:color="000000" w:fill="BEBEBE"/>
            <w:vAlign w:val="center"/>
            <w:hideMark/>
          </w:tcPr>
          <w:p w14:paraId="728AB764"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ΥΠΟΥΡΓΕΙΟ ΚΛΙΜΑΤΙΚΗΣ ΚΡΙΣΗΣ ΚΑΙ ΠΟΛΙΤΙΚΗΣ ΠΡΟΣΤΑΣΙΑΣ</w:t>
            </w:r>
          </w:p>
        </w:tc>
        <w:tc>
          <w:tcPr>
            <w:tcW w:w="857" w:type="pct"/>
            <w:shd w:val="clear" w:color="000000" w:fill="BEBEBE"/>
            <w:vAlign w:val="center"/>
            <w:hideMark/>
          </w:tcPr>
          <w:p w14:paraId="4EAA6DF0"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1.438.115.000,00 €</w:t>
            </w:r>
          </w:p>
        </w:tc>
        <w:tc>
          <w:tcPr>
            <w:tcW w:w="345" w:type="pct"/>
            <w:shd w:val="clear" w:color="000000" w:fill="BEBEBE"/>
            <w:vAlign w:val="bottom"/>
            <w:hideMark/>
          </w:tcPr>
          <w:p w14:paraId="7B487EB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2731BC8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3A1A215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177DFD7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5770B50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19DE041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754EEC4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517D05C1" w14:textId="77777777" w:rsidTr="00C91F10">
        <w:trPr>
          <w:trHeight w:val="675"/>
          <w:jc w:val="center"/>
        </w:trPr>
        <w:tc>
          <w:tcPr>
            <w:tcW w:w="541" w:type="pct"/>
            <w:shd w:val="clear" w:color="auto" w:fill="auto"/>
            <w:vAlign w:val="center"/>
            <w:hideMark/>
          </w:tcPr>
          <w:p w14:paraId="7FCB9B7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03.1060.001</w:t>
            </w:r>
          </w:p>
        </w:tc>
        <w:tc>
          <w:tcPr>
            <w:tcW w:w="1331" w:type="pct"/>
            <w:shd w:val="clear" w:color="auto" w:fill="auto"/>
            <w:vAlign w:val="center"/>
            <w:hideMark/>
          </w:tcPr>
          <w:p w14:paraId="4118CEF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ΚΑΙ ΕΠΕΝΔΥΣΕΙΣ ΥΠΟΥΡΓΕΙΟΥ ΚΛΙΜΑΤΙΚΗΣ ΚΡΙΣΗΣ ΚΑΙ ΠΟΛΙΤΙΚΗΣ ΠΡΟΣΤΑΣΙΑΣ</w:t>
            </w:r>
          </w:p>
        </w:tc>
        <w:tc>
          <w:tcPr>
            <w:tcW w:w="857" w:type="pct"/>
            <w:shd w:val="clear" w:color="auto" w:fill="auto"/>
            <w:vAlign w:val="center"/>
            <w:hideMark/>
          </w:tcPr>
          <w:p w14:paraId="6FC8E1B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7.291.400,00 €</w:t>
            </w:r>
          </w:p>
        </w:tc>
        <w:tc>
          <w:tcPr>
            <w:tcW w:w="345" w:type="pct"/>
            <w:shd w:val="clear" w:color="000000" w:fill="B7DEE8"/>
            <w:vAlign w:val="center"/>
            <w:hideMark/>
          </w:tcPr>
          <w:p w14:paraId="08886A0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459214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A5F8A1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5E41B62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9F4C9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5EEA132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54EE353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67143FF5" w14:textId="77777777" w:rsidTr="00C91F10">
        <w:trPr>
          <w:trHeight w:val="225"/>
          <w:jc w:val="center"/>
        </w:trPr>
        <w:tc>
          <w:tcPr>
            <w:tcW w:w="541" w:type="pct"/>
            <w:shd w:val="clear" w:color="auto" w:fill="auto"/>
            <w:vAlign w:val="center"/>
            <w:hideMark/>
          </w:tcPr>
          <w:p w14:paraId="4452977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03.1060.002</w:t>
            </w:r>
          </w:p>
        </w:tc>
        <w:tc>
          <w:tcPr>
            <w:tcW w:w="1331" w:type="pct"/>
            <w:shd w:val="clear" w:color="auto" w:fill="auto"/>
            <w:vAlign w:val="center"/>
            <w:hideMark/>
          </w:tcPr>
          <w:p w14:paraId="2F89FF6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ΠΟΛΙΤΙΚΗ ΠΡΟΣΤΑΣΙΑ</w:t>
            </w:r>
          </w:p>
        </w:tc>
        <w:tc>
          <w:tcPr>
            <w:tcW w:w="857" w:type="pct"/>
            <w:shd w:val="clear" w:color="auto" w:fill="auto"/>
            <w:vAlign w:val="center"/>
            <w:hideMark/>
          </w:tcPr>
          <w:p w14:paraId="5C181BA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195.111.057,00 €</w:t>
            </w:r>
          </w:p>
        </w:tc>
        <w:tc>
          <w:tcPr>
            <w:tcW w:w="345" w:type="pct"/>
            <w:shd w:val="clear" w:color="000000" w:fill="C4D79B"/>
            <w:vAlign w:val="center"/>
            <w:hideMark/>
          </w:tcPr>
          <w:p w14:paraId="23EAFFC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9639B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4D50B93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2CDF472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0CB995E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46B7DC7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1691812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96AA6EC" w14:textId="77777777" w:rsidTr="00C91F10">
        <w:trPr>
          <w:trHeight w:val="450"/>
          <w:jc w:val="center"/>
        </w:trPr>
        <w:tc>
          <w:tcPr>
            <w:tcW w:w="541" w:type="pct"/>
            <w:shd w:val="clear" w:color="auto" w:fill="auto"/>
            <w:vAlign w:val="center"/>
            <w:hideMark/>
          </w:tcPr>
          <w:p w14:paraId="0EE679D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03.1060.003</w:t>
            </w:r>
          </w:p>
        </w:tc>
        <w:tc>
          <w:tcPr>
            <w:tcW w:w="1331" w:type="pct"/>
            <w:shd w:val="clear" w:color="auto" w:fill="auto"/>
            <w:vAlign w:val="center"/>
            <w:hideMark/>
          </w:tcPr>
          <w:p w14:paraId="3ADCECC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ΠΥΡΟΣΒΕΣΤΙΚΕΣ ΥΠΗΡΕΣΙΕΣ ΚΑΙ ΑΝΤΙΜΕΤΩΠΙΣΗ ΚΑΤΑΣΤΡΟΦΩΝ</w:t>
            </w:r>
          </w:p>
        </w:tc>
        <w:tc>
          <w:tcPr>
            <w:tcW w:w="857" w:type="pct"/>
            <w:shd w:val="clear" w:color="auto" w:fill="auto"/>
            <w:vAlign w:val="center"/>
            <w:hideMark/>
          </w:tcPr>
          <w:p w14:paraId="487510B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1.071.487.721,00 €</w:t>
            </w:r>
          </w:p>
        </w:tc>
        <w:tc>
          <w:tcPr>
            <w:tcW w:w="345" w:type="pct"/>
            <w:shd w:val="clear" w:color="000000" w:fill="C4D79B"/>
            <w:vAlign w:val="center"/>
            <w:hideMark/>
          </w:tcPr>
          <w:p w14:paraId="4E0F4F0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C58179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1A8CBC7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B7DEE8"/>
            <w:vAlign w:val="center"/>
            <w:hideMark/>
          </w:tcPr>
          <w:p w14:paraId="2427E4B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297D5FF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49D7AF1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72650B2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6264B3B" w14:textId="77777777" w:rsidTr="00C91F10">
        <w:trPr>
          <w:trHeight w:val="225"/>
          <w:jc w:val="center"/>
        </w:trPr>
        <w:tc>
          <w:tcPr>
            <w:tcW w:w="541" w:type="pct"/>
            <w:shd w:val="clear" w:color="auto" w:fill="auto"/>
            <w:vAlign w:val="center"/>
            <w:hideMark/>
          </w:tcPr>
          <w:p w14:paraId="7B92830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09.1060.001</w:t>
            </w:r>
          </w:p>
        </w:tc>
        <w:tc>
          <w:tcPr>
            <w:tcW w:w="1331" w:type="pct"/>
            <w:shd w:val="clear" w:color="auto" w:fill="auto"/>
            <w:vAlign w:val="center"/>
            <w:hideMark/>
          </w:tcPr>
          <w:p w14:paraId="3EB96E7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ΕΚΠΑΙΔΕΥΣΗ ΠΥΡΟΣΒΕΣΤΙΚΟΥ ΣΩΜΑΤΟΣ</w:t>
            </w:r>
          </w:p>
        </w:tc>
        <w:tc>
          <w:tcPr>
            <w:tcW w:w="857" w:type="pct"/>
            <w:shd w:val="clear" w:color="auto" w:fill="auto"/>
            <w:vAlign w:val="center"/>
            <w:hideMark/>
          </w:tcPr>
          <w:p w14:paraId="6ACFE402"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15.907.197,00 €</w:t>
            </w:r>
          </w:p>
        </w:tc>
        <w:tc>
          <w:tcPr>
            <w:tcW w:w="345" w:type="pct"/>
            <w:shd w:val="clear" w:color="000000" w:fill="C4D79B"/>
            <w:vAlign w:val="center"/>
            <w:hideMark/>
          </w:tcPr>
          <w:p w14:paraId="446B089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934E65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5D746F0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B7DEE8"/>
            <w:vAlign w:val="center"/>
            <w:hideMark/>
          </w:tcPr>
          <w:p w14:paraId="56D3D22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1731287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53EAF7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7825331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DFA53C5" w14:textId="77777777" w:rsidTr="00C91F10">
        <w:trPr>
          <w:trHeight w:val="450"/>
          <w:jc w:val="center"/>
        </w:trPr>
        <w:tc>
          <w:tcPr>
            <w:tcW w:w="541" w:type="pct"/>
            <w:shd w:val="clear" w:color="auto" w:fill="auto"/>
            <w:vAlign w:val="center"/>
            <w:hideMark/>
          </w:tcPr>
          <w:p w14:paraId="4620E7B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10.1060.001</w:t>
            </w:r>
          </w:p>
        </w:tc>
        <w:tc>
          <w:tcPr>
            <w:tcW w:w="1331" w:type="pct"/>
            <w:shd w:val="clear" w:color="auto" w:fill="auto"/>
            <w:vAlign w:val="center"/>
            <w:hideMark/>
          </w:tcPr>
          <w:p w14:paraId="7766CDD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ΑΝΤΙΜΕΤΩΠΙΣΗ ΕΠΙΠΤΩΣΕΩΝ ΦΥΣΙΚΩΝ ΚΑΤΑΣΤΡΟΦΩΝ ΚΑΙ ΚΡΑΤΙΚΗ ΑΡΩΓΗ</w:t>
            </w:r>
          </w:p>
        </w:tc>
        <w:tc>
          <w:tcPr>
            <w:tcW w:w="857" w:type="pct"/>
            <w:shd w:val="clear" w:color="auto" w:fill="auto"/>
            <w:vAlign w:val="center"/>
            <w:hideMark/>
          </w:tcPr>
          <w:p w14:paraId="3DF3BA4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148.317.625,00 €</w:t>
            </w:r>
          </w:p>
        </w:tc>
        <w:tc>
          <w:tcPr>
            <w:tcW w:w="345" w:type="pct"/>
            <w:shd w:val="clear" w:color="000000" w:fill="C4D79B"/>
            <w:vAlign w:val="center"/>
            <w:hideMark/>
          </w:tcPr>
          <w:p w14:paraId="4A3EE5E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A0799A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409E6C5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B7DEE8"/>
            <w:vAlign w:val="center"/>
            <w:hideMark/>
          </w:tcPr>
          <w:p w14:paraId="18B01DA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C4D79B"/>
            <w:vAlign w:val="center"/>
            <w:hideMark/>
          </w:tcPr>
          <w:p w14:paraId="376F534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44DADE6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1B92E8D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F33E517" w14:textId="77777777" w:rsidTr="00C91F10">
        <w:trPr>
          <w:trHeight w:val="225"/>
          <w:jc w:val="center"/>
        </w:trPr>
        <w:tc>
          <w:tcPr>
            <w:tcW w:w="541" w:type="pct"/>
            <w:shd w:val="clear" w:color="000000" w:fill="BEBEBE"/>
            <w:vAlign w:val="center"/>
            <w:hideMark/>
          </w:tcPr>
          <w:p w14:paraId="376C8F19"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1901</w:t>
            </w:r>
          </w:p>
        </w:tc>
        <w:tc>
          <w:tcPr>
            <w:tcW w:w="1331" w:type="pct"/>
            <w:shd w:val="clear" w:color="000000" w:fill="BEBEBE"/>
            <w:vAlign w:val="center"/>
            <w:hideMark/>
          </w:tcPr>
          <w:p w14:paraId="5ABA8686"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ΑΠΟΚΕΝΤΡΩΜΕΝΗ ΔΙΟΙΚΗΣΗ ΑΤΤΙΚΗΣ</w:t>
            </w:r>
          </w:p>
        </w:tc>
        <w:tc>
          <w:tcPr>
            <w:tcW w:w="857" w:type="pct"/>
            <w:shd w:val="clear" w:color="000000" w:fill="BEBEBE"/>
            <w:vAlign w:val="center"/>
            <w:hideMark/>
          </w:tcPr>
          <w:p w14:paraId="40C7B7B8"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14.380.000,00 €</w:t>
            </w:r>
          </w:p>
        </w:tc>
        <w:tc>
          <w:tcPr>
            <w:tcW w:w="345" w:type="pct"/>
            <w:shd w:val="clear" w:color="000000" w:fill="BEBEBE"/>
            <w:vAlign w:val="bottom"/>
            <w:hideMark/>
          </w:tcPr>
          <w:p w14:paraId="48DFDD0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4F2FC89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772FEBC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0475FD3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3D80675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0208990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1EE4163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06822D84" w14:textId="77777777" w:rsidTr="00C91F10">
        <w:trPr>
          <w:trHeight w:val="225"/>
          <w:jc w:val="center"/>
        </w:trPr>
        <w:tc>
          <w:tcPr>
            <w:tcW w:w="541" w:type="pct"/>
            <w:shd w:val="clear" w:color="auto" w:fill="auto"/>
            <w:vAlign w:val="center"/>
            <w:hideMark/>
          </w:tcPr>
          <w:p w14:paraId="74E86FE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01.1901.001</w:t>
            </w:r>
          </w:p>
        </w:tc>
        <w:tc>
          <w:tcPr>
            <w:tcW w:w="1331" w:type="pct"/>
            <w:shd w:val="clear" w:color="auto" w:fill="auto"/>
            <w:vAlign w:val="center"/>
            <w:hideMark/>
          </w:tcPr>
          <w:p w14:paraId="141AEFB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Α.Δ.Α.</w:t>
            </w:r>
          </w:p>
        </w:tc>
        <w:tc>
          <w:tcPr>
            <w:tcW w:w="857" w:type="pct"/>
            <w:shd w:val="clear" w:color="auto" w:fill="auto"/>
            <w:vAlign w:val="center"/>
            <w:hideMark/>
          </w:tcPr>
          <w:p w14:paraId="686B8C8F"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7.129.500,00 €</w:t>
            </w:r>
          </w:p>
        </w:tc>
        <w:tc>
          <w:tcPr>
            <w:tcW w:w="345" w:type="pct"/>
            <w:shd w:val="clear" w:color="000000" w:fill="C4D79B"/>
            <w:vAlign w:val="center"/>
            <w:hideMark/>
          </w:tcPr>
          <w:p w14:paraId="00FC299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4D3241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31CA21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4C81E99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EEC603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3D34D81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F5261E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3D44C84" w14:textId="77777777" w:rsidTr="00C91F10">
        <w:trPr>
          <w:trHeight w:val="450"/>
          <w:jc w:val="center"/>
        </w:trPr>
        <w:tc>
          <w:tcPr>
            <w:tcW w:w="541" w:type="pct"/>
            <w:shd w:val="clear" w:color="auto" w:fill="auto"/>
            <w:vAlign w:val="center"/>
            <w:hideMark/>
          </w:tcPr>
          <w:p w14:paraId="4B18D19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01.1901.002</w:t>
            </w:r>
          </w:p>
        </w:tc>
        <w:tc>
          <w:tcPr>
            <w:tcW w:w="1331" w:type="pct"/>
            <w:shd w:val="clear" w:color="auto" w:fill="auto"/>
            <w:vAlign w:val="center"/>
            <w:hideMark/>
          </w:tcPr>
          <w:p w14:paraId="122D168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ΘΕΜΑΤΩΝ ΑΛΛΟΔΑΠΩΝ ΚΑΙ ΑΣΤΙΚΗΣ ΚΑΤΑΣΤΑΣΗΣ Α.Δ.Α.</w:t>
            </w:r>
          </w:p>
        </w:tc>
        <w:tc>
          <w:tcPr>
            <w:tcW w:w="857" w:type="pct"/>
            <w:shd w:val="clear" w:color="auto" w:fill="auto"/>
            <w:vAlign w:val="center"/>
            <w:hideMark/>
          </w:tcPr>
          <w:p w14:paraId="66C6D56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4.378.500,00 €</w:t>
            </w:r>
          </w:p>
        </w:tc>
        <w:tc>
          <w:tcPr>
            <w:tcW w:w="345" w:type="pct"/>
            <w:shd w:val="clear" w:color="000000" w:fill="B7DEE8"/>
            <w:vAlign w:val="center"/>
            <w:hideMark/>
          </w:tcPr>
          <w:p w14:paraId="74F56A0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05F206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0EF787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6DED80F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4B7A4B3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2DA5619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C9CBB9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C527AB6" w14:textId="77777777" w:rsidTr="00C91F10">
        <w:trPr>
          <w:trHeight w:val="225"/>
          <w:jc w:val="center"/>
        </w:trPr>
        <w:tc>
          <w:tcPr>
            <w:tcW w:w="541" w:type="pct"/>
            <w:shd w:val="clear" w:color="auto" w:fill="auto"/>
            <w:vAlign w:val="center"/>
            <w:hideMark/>
          </w:tcPr>
          <w:p w14:paraId="62884F8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05.1901.001</w:t>
            </w:r>
          </w:p>
        </w:tc>
        <w:tc>
          <w:tcPr>
            <w:tcW w:w="1331" w:type="pct"/>
            <w:shd w:val="clear" w:color="auto" w:fill="auto"/>
            <w:vAlign w:val="center"/>
            <w:hideMark/>
          </w:tcPr>
          <w:p w14:paraId="2260A7C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ΦΥΣΙΚΟ ΚΑΙ ΑΣΤΙΚΟ ΠΕΡΙΒΑΛΛΟΝ Α.Δ.Α.</w:t>
            </w:r>
          </w:p>
        </w:tc>
        <w:tc>
          <w:tcPr>
            <w:tcW w:w="857" w:type="pct"/>
            <w:shd w:val="clear" w:color="auto" w:fill="auto"/>
            <w:vAlign w:val="center"/>
            <w:hideMark/>
          </w:tcPr>
          <w:p w14:paraId="7110F858"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2.872.000,00 €</w:t>
            </w:r>
          </w:p>
        </w:tc>
        <w:tc>
          <w:tcPr>
            <w:tcW w:w="345" w:type="pct"/>
            <w:shd w:val="clear" w:color="000000" w:fill="C4D79B"/>
            <w:vAlign w:val="center"/>
            <w:hideMark/>
          </w:tcPr>
          <w:p w14:paraId="3314489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C32D0F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34870EA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3C494F9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37E4B0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7F117E8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5D30986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10E88D30" w14:textId="77777777" w:rsidTr="00C91F10">
        <w:trPr>
          <w:trHeight w:val="450"/>
          <w:jc w:val="center"/>
        </w:trPr>
        <w:tc>
          <w:tcPr>
            <w:tcW w:w="541" w:type="pct"/>
            <w:shd w:val="clear" w:color="000000" w:fill="BEBEBE"/>
            <w:vAlign w:val="center"/>
            <w:hideMark/>
          </w:tcPr>
          <w:p w14:paraId="733A57CE"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1902</w:t>
            </w:r>
          </w:p>
        </w:tc>
        <w:tc>
          <w:tcPr>
            <w:tcW w:w="1331" w:type="pct"/>
            <w:shd w:val="clear" w:color="000000" w:fill="BEBEBE"/>
            <w:vAlign w:val="center"/>
            <w:hideMark/>
          </w:tcPr>
          <w:p w14:paraId="204762D0"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ΑΠΟΚΕΝΤΡΩΜΕΝΗ ΔΙΟΙΚΗΣΗ ΘΕΣΣΑΛΙΑΣ - ΣΤΕΡΕΑΣ ΕΛΛΑΔΑΣ</w:t>
            </w:r>
          </w:p>
        </w:tc>
        <w:tc>
          <w:tcPr>
            <w:tcW w:w="857" w:type="pct"/>
            <w:shd w:val="clear" w:color="000000" w:fill="BEBEBE"/>
            <w:vAlign w:val="center"/>
            <w:hideMark/>
          </w:tcPr>
          <w:p w14:paraId="6DA68B78"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11.142.000,00 €</w:t>
            </w:r>
          </w:p>
        </w:tc>
        <w:tc>
          <w:tcPr>
            <w:tcW w:w="345" w:type="pct"/>
            <w:shd w:val="clear" w:color="000000" w:fill="BEBEBE"/>
            <w:vAlign w:val="bottom"/>
            <w:hideMark/>
          </w:tcPr>
          <w:p w14:paraId="2941667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4D05B8D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6F907AA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14BF1AA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026DA65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4392801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6648C63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6162D84E" w14:textId="77777777" w:rsidTr="00C91F10">
        <w:trPr>
          <w:trHeight w:val="225"/>
          <w:jc w:val="center"/>
        </w:trPr>
        <w:tc>
          <w:tcPr>
            <w:tcW w:w="541" w:type="pct"/>
            <w:shd w:val="clear" w:color="auto" w:fill="auto"/>
            <w:vAlign w:val="center"/>
            <w:hideMark/>
          </w:tcPr>
          <w:p w14:paraId="447D2B2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01.1902.001</w:t>
            </w:r>
          </w:p>
        </w:tc>
        <w:tc>
          <w:tcPr>
            <w:tcW w:w="1331" w:type="pct"/>
            <w:shd w:val="clear" w:color="auto" w:fill="auto"/>
            <w:vAlign w:val="center"/>
            <w:hideMark/>
          </w:tcPr>
          <w:p w14:paraId="10EE34C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Α.Δ.Θ.Σ.Ε.</w:t>
            </w:r>
          </w:p>
        </w:tc>
        <w:tc>
          <w:tcPr>
            <w:tcW w:w="857" w:type="pct"/>
            <w:shd w:val="clear" w:color="auto" w:fill="auto"/>
            <w:vAlign w:val="center"/>
            <w:hideMark/>
          </w:tcPr>
          <w:p w14:paraId="1D6C0240"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5.689.690,00 €</w:t>
            </w:r>
          </w:p>
        </w:tc>
        <w:tc>
          <w:tcPr>
            <w:tcW w:w="345" w:type="pct"/>
            <w:shd w:val="clear" w:color="000000" w:fill="C4D79B"/>
            <w:vAlign w:val="center"/>
            <w:hideMark/>
          </w:tcPr>
          <w:p w14:paraId="539F150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18F7C90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4E8C11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043EF7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945672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2692A6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630C13D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FC21177" w14:textId="77777777" w:rsidTr="00C91F10">
        <w:trPr>
          <w:trHeight w:val="450"/>
          <w:jc w:val="center"/>
        </w:trPr>
        <w:tc>
          <w:tcPr>
            <w:tcW w:w="541" w:type="pct"/>
            <w:shd w:val="clear" w:color="auto" w:fill="auto"/>
            <w:vAlign w:val="center"/>
            <w:hideMark/>
          </w:tcPr>
          <w:p w14:paraId="28110C1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01.1902.002</w:t>
            </w:r>
          </w:p>
        </w:tc>
        <w:tc>
          <w:tcPr>
            <w:tcW w:w="1331" w:type="pct"/>
            <w:shd w:val="clear" w:color="auto" w:fill="auto"/>
            <w:vAlign w:val="center"/>
            <w:hideMark/>
          </w:tcPr>
          <w:p w14:paraId="3108B8F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ΘΕΜΑΤΩΝ ΑΛΛΟΔΑΠΩΝ ΚΑΙ ΑΣΤΙΚΗΣ ΚΑΤΑΣΤΑΣΗΣ Α.Δ.Θ.Σ.Ε.</w:t>
            </w:r>
          </w:p>
        </w:tc>
        <w:tc>
          <w:tcPr>
            <w:tcW w:w="857" w:type="pct"/>
            <w:shd w:val="clear" w:color="auto" w:fill="auto"/>
            <w:vAlign w:val="center"/>
            <w:hideMark/>
          </w:tcPr>
          <w:p w14:paraId="36AC14C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2.886.310,00 €</w:t>
            </w:r>
          </w:p>
        </w:tc>
        <w:tc>
          <w:tcPr>
            <w:tcW w:w="345" w:type="pct"/>
            <w:shd w:val="clear" w:color="000000" w:fill="B7DEE8"/>
            <w:vAlign w:val="center"/>
            <w:hideMark/>
          </w:tcPr>
          <w:p w14:paraId="02A5C94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D263D2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2F04845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5B54FA0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6608E03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D8F947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83FB9A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66FCE02" w14:textId="77777777" w:rsidTr="00C91F10">
        <w:trPr>
          <w:trHeight w:val="225"/>
          <w:jc w:val="center"/>
        </w:trPr>
        <w:tc>
          <w:tcPr>
            <w:tcW w:w="541" w:type="pct"/>
            <w:shd w:val="clear" w:color="auto" w:fill="auto"/>
            <w:vAlign w:val="center"/>
            <w:hideMark/>
          </w:tcPr>
          <w:p w14:paraId="2324B4E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05.1902.001</w:t>
            </w:r>
          </w:p>
        </w:tc>
        <w:tc>
          <w:tcPr>
            <w:tcW w:w="1331" w:type="pct"/>
            <w:shd w:val="clear" w:color="auto" w:fill="auto"/>
            <w:vAlign w:val="center"/>
            <w:hideMark/>
          </w:tcPr>
          <w:p w14:paraId="523C13D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ΦΥΣΙΚΟ ΚΑΙ ΑΣΤΙΚΟ ΠΕΡΙΒΑΛΛΟΝ Α.Δ.Θ.Σ.Ε.</w:t>
            </w:r>
          </w:p>
        </w:tc>
        <w:tc>
          <w:tcPr>
            <w:tcW w:w="857" w:type="pct"/>
            <w:shd w:val="clear" w:color="auto" w:fill="auto"/>
            <w:vAlign w:val="center"/>
            <w:hideMark/>
          </w:tcPr>
          <w:p w14:paraId="65D24C30"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2.566.000,00 €</w:t>
            </w:r>
          </w:p>
        </w:tc>
        <w:tc>
          <w:tcPr>
            <w:tcW w:w="345" w:type="pct"/>
            <w:shd w:val="clear" w:color="000000" w:fill="C4D79B"/>
            <w:vAlign w:val="center"/>
            <w:hideMark/>
          </w:tcPr>
          <w:p w14:paraId="4FC1BDE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69F396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356A399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4730953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2DD9821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0C60E37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7C03BCD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843F569" w14:textId="77777777" w:rsidTr="00C91F10">
        <w:trPr>
          <w:trHeight w:val="450"/>
          <w:jc w:val="center"/>
        </w:trPr>
        <w:tc>
          <w:tcPr>
            <w:tcW w:w="541" w:type="pct"/>
            <w:shd w:val="clear" w:color="000000" w:fill="BEBEBE"/>
            <w:vAlign w:val="center"/>
            <w:hideMark/>
          </w:tcPr>
          <w:p w14:paraId="7A3EF72B"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1903</w:t>
            </w:r>
          </w:p>
        </w:tc>
        <w:tc>
          <w:tcPr>
            <w:tcW w:w="1331" w:type="pct"/>
            <w:shd w:val="clear" w:color="000000" w:fill="BEBEBE"/>
            <w:vAlign w:val="center"/>
            <w:hideMark/>
          </w:tcPr>
          <w:p w14:paraId="5C9D21A8"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ΑΠΟΚΕΝΤΡΩΜΕΝΗ ΔΙΟΙΚΗΣΗ ΗΠΕΙΡΟΥ - ΔΥΤΙΚΗΣ ΜΑΚΕΔΟΝΙΑΣ</w:t>
            </w:r>
          </w:p>
        </w:tc>
        <w:tc>
          <w:tcPr>
            <w:tcW w:w="857" w:type="pct"/>
            <w:shd w:val="clear" w:color="000000" w:fill="BEBEBE"/>
            <w:vAlign w:val="center"/>
            <w:hideMark/>
          </w:tcPr>
          <w:p w14:paraId="13211FBF"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10.981.000,00 €</w:t>
            </w:r>
          </w:p>
        </w:tc>
        <w:tc>
          <w:tcPr>
            <w:tcW w:w="345" w:type="pct"/>
            <w:shd w:val="clear" w:color="000000" w:fill="BEBEBE"/>
            <w:vAlign w:val="bottom"/>
            <w:hideMark/>
          </w:tcPr>
          <w:p w14:paraId="78CBA39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374F194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708A127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7BF305E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3535F18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718022C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5BC24E5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5F069F48" w14:textId="77777777" w:rsidTr="00C91F10">
        <w:trPr>
          <w:trHeight w:val="225"/>
          <w:jc w:val="center"/>
        </w:trPr>
        <w:tc>
          <w:tcPr>
            <w:tcW w:w="541" w:type="pct"/>
            <w:shd w:val="clear" w:color="auto" w:fill="auto"/>
            <w:vAlign w:val="center"/>
            <w:hideMark/>
          </w:tcPr>
          <w:p w14:paraId="722A9183"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lastRenderedPageBreak/>
              <w:t>01.1903.001</w:t>
            </w:r>
          </w:p>
        </w:tc>
        <w:tc>
          <w:tcPr>
            <w:tcW w:w="1331" w:type="pct"/>
            <w:shd w:val="clear" w:color="auto" w:fill="auto"/>
            <w:vAlign w:val="center"/>
            <w:hideMark/>
          </w:tcPr>
          <w:p w14:paraId="661D3CA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Α.Δ.Η.Δ.Μ.</w:t>
            </w:r>
          </w:p>
        </w:tc>
        <w:tc>
          <w:tcPr>
            <w:tcW w:w="857" w:type="pct"/>
            <w:shd w:val="clear" w:color="auto" w:fill="auto"/>
            <w:vAlign w:val="center"/>
            <w:hideMark/>
          </w:tcPr>
          <w:p w14:paraId="0AACF2CB"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5.421.170,00 €</w:t>
            </w:r>
          </w:p>
        </w:tc>
        <w:tc>
          <w:tcPr>
            <w:tcW w:w="345" w:type="pct"/>
            <w:shd w:val="clear" w:color="000000" w:fill="B7DEE8"/>
            <w:vAlign w:val="center"/>
            <w:hideMark/>
          </w:tcPr>
          <w:p w14:paraId="27EB0F9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FC1F66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4F16085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B7DEE8"/>
            <w:vAlign w:val="center"/>
            <w:hideMark/>
          </w:tcPr>
          <w:p w14:paraId="1B4A931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16FA075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10F8659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B7DEE8"/>
            <w:vAlign w:val="center"/>
            <w:hideMark/>
          </w:tcPr>
          <w:p w14:paraId="245EAC5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Ο</w:t>
            </w:r>
          </w:p>
        </w:tc>
      </w:tr>
      <w:tr w:rsidR="00A3206D" w:rsidRPr="0084637C" w14:paraId="29309724" w14:textId="77777777" w:rsidTr="00C91F10">
        <w:trPr>
          <w:trHeight w:val="450"/>
          <w:jc w:val="center"/>
        </w:trPr>
        <w:tc>
          <w:tcPr>
            <w:tcW w:w="541" w:type="pct"/>
            <w:shd w:val="clear" w:color="auto" w:fill="auto"/>
            <w:vAlign w:val="center"/>
            <w:hideMark/>
          </w:tcPr>
          <w:p w14:paraId="1C197BE7"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01.1903.002</w:t>
            </w:r>
          </w:p>
        </w:tc>
        <w:tc>
          <w:tcPr>
            <w:tcW w:w="1331" w:type="pct"/>
            <w:shd w:val="clear" w:color="auto" w:fill="auto"/>
            <w:vAlign w:val="center"/>
            <w:hideMark/>
          </w:tcPr>
          <w:p w14:paraId="18B3123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ΘΕΜΑΤΩΝ ΑΛΛΟΔΑΠΩΝ ΚΑΙ ΑΣΤΙΚΗΣ ΚΑΤΑΣΤΑΣΗΣ Α.Δ.Η.Δ.Μ.</w:t>
            </w:r>
          </w:p>
        </w:tc>
        <w:tc>
          <w:tcPr>
            <w:tcW w:w="857" w:type="pct"/>
            <w:shd w:val="clear" w:color="auto" w:fill="auto"/>
            <w:vAlign w:val="center"/>
            <w:hideMark/>
          </w:tcPr>
          <w:p w14:paraId="28CF1596"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1.659.830,00 €</w:t>
            </w:r>
          </w:p>
        </w:tc>
        <w:tc>
          <w:tcPr>
            <w:tcW w:w="345" w:type="pct"/>
            <w:shd w:val="clear" w:color="000000" w:fill="B7DEE8"/>
            <w:vAlign w:val="center"/>
            <w:hideMark/>
          </w:tcPr>
          <w:p w14:paraId="2B7BDF2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A2CB5D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0487DF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6815B23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2363C6D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5D1246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36DDFD5"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1E99CA2" w14:textId="77777777" w:rsidTr="00C91F10">
        <w:trPr>
          <w:trHeight w:val="225"/>
          <w:jc w:val="center"/>
        </w:trPr>
        <w:tc>
          <w:tcPr>
            <w:tcW w:w="541" w:type="pct"/>
            <w:shd w:val="clear" w:color="auto" w:fill="auto"/>
            <w:vAlign w:val="center"/>
            <w:hideMark/>
          </w:tcPr>
          <w:p w14:paraId="482312B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05.1903.001</w:t>
            </w:r>
          </w:p>
        </w:tc>
        <w:tc>
          <w:tcPr>
            <w:tcW w:w="1331" w:type="pct"/>
            <w:shd w:val="clear" w:color="auto" w:fill="auto"/>
            <w:vAlign w:val="center"/>
            <w:hideMark/>
          </w:tcPr>
          <w:p w14:paraId="04922A76"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ΦΥΣΙΚΟ ΚΑΙ ΑΣΤΙΚΟ ΠΕΡΙΒΑΛΛΟΝ Α.Δ.Η.Δ.Μ.</w:t>
            </w:r>
          </w:p>
        </w:tc>
        <w:tc>
          <w:tcPr>
            <w:tcW w:w="857" w:type="pct"/>
            <w:shd w:val="clear" w:color="auto" w:fill="auto"/>
            <w:vAlign w:val="center"/>
            <w:hideMark/>
          </w:tcPr>
          <w:p w14:paraId="7673AFE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3.900.000,00 €</w:t>
            </w:r>
          </w:p>
        </w:tc>
        <w:tc>
          <w:tcPr>
            <w:tcW w:w="345" w:type="pct"/>
            <w:shd w:val="clear" w:color="000000" w:fill="C4D79B"/>
            <w:vAlign w:val="center"/>
            <w:hideMark/>
          </w:tcPr>
          <w:p w14:paraId="4F2F41B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62F9412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0F44708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4F9E715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C6FFA1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3ED92CA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2C91D6C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C546E62" w14:textId="77777777" w:rsidTr="00C91F10">
        <w:trPr>
          <w:trHeight w:val="450"/>
          <w:jc w:val="center"/>
        </w:trPr>
        <w:tc>
          <w:tcPr>
            <w:tcW w:w="541" w:type="pct"/>
            <w:shd w:val="clear" w:color="000000" w:fill="BEBEBE"/>
            <w:vAlign w:val="center"/>
            <w:hideMark/>
          </w:tcPr>
          <w:p w14:paraId="2A2AD4DC"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1904</w:t>
            </w:r>
          </w:p>
        </w:tc>
        <w:tc>
          <w:tcPr>
            <w:tcW w:w="1331" w:type="pct"/>
            <w:shd w:val="clear" w:color="000000" w:fill="BEBEBE"/>
            <w:vAlign w:val="center"/>
            <w:hideMark/>
          </w:tcPr>
          <w:p w14:paraId="4834C5E0"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ΑΠΟΚΕΝΤΡΩΜΕΝΗ ΔΙΟΙΚΗΣΗ ΠΕΛΟΠΟΝΝΗΣΟΥ - ΔΥΤΙΚΗΣ ΕΛΛΑΔΑΣ ΚΑΙ ΙΟΝΙΟΥ</w:t>
            </w:r>
          </w:p>
        </w:tc>
        <w:tc>
          <w:tcPr>
            <w:tcW w:w="857" w:type="pct"/>
            <w:shd w:val="clear" w:color="000000" w:fill="BEBEBE"/>
            <w:vAlign w:val="center"/>
            <w:hideMark/>
          </w:tcPr>
          <w:p w14:paraId="2B9806EE"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15.556.000,00 €</w:t>
            </w:r>
          </w:p>
        </w:tc>
        <w:tc>
          <w:tcPr>
            <w:tcW w:w="345" w:type="pct"/>
            <w:shd w:val="clear" w:color="000000" w:fill="BEBEBE"/>
            <w:vAlign w:val="bottom"/>
            <w:hideMark/>
          </w:tcPr>
          <w:p w14:paraId="024EA92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1EBC556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3A25EDA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5C1BBD5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2F3CAFD8"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4632AC2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21029D2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362AD22E" w14:textId="77777777" w:rsidTr="00C91F10">
        <w:trPr>
          <w:trHeight w:val="225"/>
          <w:jc w:val="center"/>
        </w:trPr>
        <w:tc>
          <w:tcPr>
            <w:tcW w:w="541" w:type="pct"/>
            <w:shd w:val="clear" w:color="auto" w:fill="auto"/>
            <w:vAlign w:val="center"/>
            <w:hideMark/>
          </w:tcPr>
          <w:p w14:paraId="4E1B97CB"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01.1904.001</w:t>
            </w:r>
          </w:p>
        </w:tc>
        <w:tc>
          <w:tcPr>
            <w:tcW w:w="1331" w:type="pct"/>
            <w:shd w:val="clear" w:color="auto" w:fill="auto"/>
            <w:vAlign w:val="center"/>
            <w:hideMark/>
          </w:tcPr>
          <w:p w14:paraId="139B19B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Α.Δ.Π.Δ.Ε. &amp; Ι.</w:t>
            </w:r>
          </w:p>
        </w:tc>
        <w:tc>
          <w:tcPr>
            <w:tcW w:w="857" w:type="pct"/>
            <w:shd w:val="clear" w:color="auto" w:fill="auto"/>
            <w:vAlign w:val="center"/>
            <w:hideMark/>
          </w:tcPr>
          <w:p w14:paraId="40357810"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7.875.076,00 €</w:t>
            </w:r>
          </w:p>
        </w:tc>
        <w:tc>
          <w:tcPr>
            <w:tcW w:w="345" w:type="pct"/>
            <w:shd w:val="clear" w:color="000000" w:fill="C4D79B"/>
            <w:vAlign w:val="center"/>
            <w:hideMark/>
          </w:tcPr>
          <w:p w14:paraId="5E4BD2B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1DDF3BE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B7DEE8"/>
            <w:vAlign w:val="center"/>
            <w:hideMark/>
          </w:tcPr>
          <w:p w14:paraId="1808DD3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71B3C7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AEC08A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2C15FEC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62DC3D5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3504FA19" w14:textId="77777777" w:rsidTr="00C91F10">
        <w:trPr>
          <w:trHeight w:val="450"/>
          <w:jc w:val="center"/>
        </w:trPr>
        <w:tc>
          <w:tcPr>
            <w:tcW w:w="541" w:type="pct"/>
            <w:shd w:val="clear" w:color="auto" w:fill="auto"/>
            <w:vAlign w:val="center"/>
            <w:hideMark/>
          </w:tcPr>
          <w:p w14:paraId="23CE0DC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01.1904.002</w:t>
            </w:r>
          </w:p>
        </w:tc>
        <w:tc>
          <w:tcPr>
            <w:tcW w:w="1331" w:type="pct"/>
            <w:shd w:val="clear" w:color="auto" w:fill="auto"/>
            <w:vAlign w:val="center"/>
            <w:hideMark/>
          </w:tcPr>
          <w:p w14:paraId="32F411D8"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ΘΕΜΑΤΩΝ ΑΛΛΟΔΑΠΩΝ ΚΑΙ ΑΣΤΙΚΗΣ ΚΑΤΑΣΤΑΣΗΣ Α.Δ.Π.Δ.Ε. &amp; Ι.</w:t>
            </w:r>
          </w:p>
        </w:tc>
        <w:tc>
          <w:tcPr>
            <w:tcW w:w="857" w:type="pct"/>
            <w:shd w:val="clear" w:color="auto" w:fill="auto"/>
            <w:vAlign w:val="center"/>
            <w:hideMark/>
          </w:tcPr>
          <w:p w14:paraId="585D50E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2.835.924,00 €</w:t>
            </w:r>
          </w:p>
        </w:tc>
        <w:tc>
          <w:tcPr>
            <w:tcW w:w="345" w:type="pct"/>
            <w:shd w:val="clear" w:color="000000" w:fill="B7DEE8"/>
            <w:vAlign w:val="center"/>
            <w:hideMark/>
          </w:tcPr>
          <w:p w14:paraId="0EF67C8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2114E8A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A2DB6F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06D1F8D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4043AC9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7F40F2F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79B522C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E09B64C" w14:textId="77777777" w:rsidTr="00C91F10">
        <w:trPr>
          <w:trHeight w:val="225"/>
          <w:jc w:val="center"/>
        </w:trPr>
        <w:tc>
          <w:tcPr>
            <w:tcW w:w="541" w:type="pct"/>
            <w:shd w:val="clear" w:color="auto" w:fill="auto"/>
            <w:vAlign w:val="center"/>
            <w:hideMark/>
          </w:tcPr>
          <w:p w14:paraId="1AFB730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05.1904.001</w:t>
            </w:r>
          </w:p>
        </w:tc>
        <w:tc>
          <w:tcPr>
            <w:tcW w:w="1331" w:type="pct"/>
            <w:shd w:val="clear" w:color="auto" w:fill="auto"/>
            <w:vAlign w:val="center"/>
            <w:hideMark/>
          </w:tcPr>
          <w:p w14:paraId="3B782371"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ΦΥΣΙΚΟ ΚΑΙ ΑΣΤΙΚΟ ΠΕΡΙΒΑΛΛΟΝ Α.Δ.Π.Δ.Ε. &amp; Ι.</w:t>
            </w:r>
          </w:p>
        </w:tc>
        <w:tc>
          <w:tcPr>
            <w:tcW w:w="857" w:type="pct"/>
            <w:shd w:val="clear" w:color="auto" w:fill="auto"/>
            <w:vAlign w:val="center"/>
            <w:hideMark/>
          </w:tcPr>
          <w:p w14:paraId="0AF4685E"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4.845.000,00 €</w:t>
            </w:r>
          </w:p>
        </w:tc>
        <w:tc>
          <w:tcPr>
            <w:tcW w:w="345" w:type="pct"/>
            <w:shd w:val="clear" w:color="000000" w:fill="C4D79B"/>
            <w:vAlign w:val="center"/>
            <w:hideMark/>
          </w:tcPr>
          <w:p w14:paraId="5D54881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EF6693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1E2F7B6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1E9D49F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132BBA7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0F9D150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183BED4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066640A1" w14:textId="77777777" w:rsidTr="00C91F10">
        <w:trPr>
          <w:trHeight w:val="225"/>
          <w:jc w:val="center"/>
        </w:trPr>
        <w:tc>
          <w:tcPr>
            <w:tcW w:w="541" w:type="pct"/>
            <w:shd w:val="clear" w:color="000000" w:fill="BEBEBE"/>
            <w:vAlign w:val="center"/>
            <w:hideMark/>
          </w:tcPr>
          <w:p w14:paraId="65A359B9"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1905</w:t>
            </w:r>
          </w:p>
        </w:tc>
        <w:tc>
          <w:tcPr>
            <w:tcW w:w="1331" w:type="pct"/>
            <w:shd w:val="clear" w:color="000000" w:fill="BEBEBE"/>
            <w:vAlign w:val="center"/>
            <w:hideMark/>
          </w:tcPr>
          <w:p w14:paraId="46B5FF6C"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ΑΠΟΚΕΝΤΡΩΜΕΝΗ ΔΙΟΙΚΗΣΗ ΑΙΓΑΙΟΥ</w:t>
            </w:r>
          </w:p>
        </w:tc>
        <w:tc>
          <w:tcPr>
            <w:tcW w:w="857" w:type="pct"/>
            <w:shd w:val="clear" w:color="000000" w:fill="BEBEBE"/>
            <w:vAlign w:val="center"/>
            <w:hideMark/>
          </w:tcPr>
          <w:p w14:paraId="4F14BDAE"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7.149.000,00 €</w:t>
            </w:r>
          </w:p>
        </w:tc>
        <w:tc>
          <w:tcPr>
            <w:tcW w:w="345" w:type="pct"/>
            <w:shd w:val="clear" w:color="000000" w:fill="BEBEBE"/>
            <w:vAlign w:val="bottom"/>
            <w:hideMark/>
          </w:tcPr>
          <w:p w14:paraId="69BDA82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2BE9E31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46BA0F9F"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6AF622E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7FA6A19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3692AA7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33A2C4D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6F31C814" w14:textId="77777777" w:rsidTr="00C91F10">
        <w:trPr>
          <w:trHeight w:val="225"/>
          <w:jc w:val="center"/>
        </w:trPr>
        <w:tc>
          <w:tcPr>
            <w:tcW w:w="541" w:type="pct"/>
            <w:shd w:val="clear" w:color="auto" w:fill="auto"/>
            <w:vAlign w:val="center"/>
            <w:hideMark/>
          </w:tcPr>
          <w:p w14:paraId="1BCA0FC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01.1905.001</w:t>
            </w:r>
          </w:p>
        </w:tc>
        <w:tc>
          <w:tcPr>
            <w:tcW w:w="1331" w:type="pct"/>
            <w:shd w:val="clear" w:color="auto" w:fill="auto"/>
            <w:vAlign w:val="center"/>
            <w:hideMark/>
          </w:tcPr>
          <w:p w14:paraId="31CBC3A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Α.Δ.ΑΙΓ.</w:t>
            </w:r>
          </w:p>
        </w:tc>
        <w:tc>
          <w:tcPr>
            <w:tcW w:w="857" w:type="pct"/>
            <w:shd w:val="clear" w:color="auto" w:fill="auto"/>
            <w:vAlign w:val="center"/>
            <w:hideMark/>
          </w:tcPr>
          <w:p w14:paraId="711D6AE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3.872.622,50 €</w:t>
            </w:r>
          </w:p>
        </w:tc>
        <w:tc>
          <w:tcPr>
            <w:tcW w:w="345" w:type="pct"/>
            <w:shd w:val="clear" w:color="000000" w:fill="C4D79B"/>
            <w:vAlign w:val="center"/>
            <w:hideMark/>
          </w:tcPr>
          <w:p w14:paraId="109C0C1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4D87DFB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09D31E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5990A2B7"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1CBF360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6E8955F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5B36B8D"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5E5CE478" w14:textId="77777777" w:rsidTr="00C91F10">
        <w:trPr>
          <w:trHeight w:val="450"/>
          <w:jc w:val="center"/>
        </w:trPr>
        <w:tc>
          <w:tcPr>
            <w:tcW w:w="541" w:type="pct"/>
            <w:shd w:val="clear" w:color="auto" w:fill="auto"/>
            <w:vAlign w:val="center"/>
            <w:hideMark/>
          </w:tcPr>
          <w:p w14:paraId="63D5888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01.1905.002</w:t>
            </w:r>
          </w:p>
        </w:tc>
        <w:tc>
          <w:tcPr>
            <w:tcW w:w="1331" w:type="pct"/>
            <w:shd w:val="clear" w:color="auto" w:fill="auto"/>
            <w:vAlign w:val="center"/>
            <w:hideMark/>
          </w:tcPr>
          <w:p w14:paraId="11E34DD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ΘΕΜΑΤΩΝ ΑΛΛΟΔΑΠΩΝ ΚΑΙ ΑΣΤΙΚΗΣ ΚΑΤΑΣΤΑΣΗΣ Α.Δ.ΑΙΓ.</w:t>
            </w:r>
          </w:p>
        </w:tc>
        <w:tc>
          <w:tcPr>
            <w:tcW w:w="857" w:type="pct"/>
            <w:shd w:val="clear" w:color="auto" w:fill="auto"/>
            <w:vAlign w:val="center"/>
            <w:hideMark/>
          </w:tcPr>
          <w:p w14:paraId="582D8CFD"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1.296.377,50 €</w:t>
            </w:r>
          </w:p>
        </w:tc>
        <w:tc>
          <w:tcPr>
            <w:tcW w:w="345" w:type="pct"/>
            <w:shd w:val="clear" w:color="000000" w:fill="B7DEE8"/>
            <w:vAlign w:val="center"/>
            <w:hideMark/>
          </w:tcPr>
          <w:p w14:paraId="6686B0F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58407CA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CFBDD7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56C68F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4B04795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05AEF63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2429458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6FAA3140" w14:textId="77777777" w:rsidTr="00C91F10">
        <w:trPr>
          <w:trHeight w:val="225"/>
          <w:jc w:val="center"/>
        </w:trPr>
        <w:tc>
          <w:tcPr>
            <w:tcW w:w="541" w:type="pct"/>
            <w:shd w:val="clear" w:color="auto" w:fill="auto"/>
            <w:vAlign w:val="center"/>
            <w:hideMark/>
          </w:tcPr>
          <w:p w14:paraId="2CB5B1A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05.1905.001</w:t>
            </w:r>
          </w:p>
        </w:tc>
        <w:tc>
          <w:tcPr>
            <w:tcW w:w="1331" w:type="pct"/>
            <w:shd w:val="clear" w:color="auto" w:fill="auto"/>
            <w:vAlign w:val="center"/>
            <w:hideMark/>
          </w:tcPr>
          <w:p w14:paraId="516E0AC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ΦΥΣΙΚΟ ΚΑΙ ΑΣΤΙΚΟ ΠΕΡΙΒΑΛΛΟΝ Α.Δ.ΑΙΓ.</w:t>
            </w:r>
          </w:p>
        </w:tc>
        <w:tc>
          <w:tcPr>
            <w:tcW w:w="857" w:type="pct"/>
            <w:shd w:val="clear" w:color="auto" w:fill="auto"/>
            <w:vAlign w:val="center"/>
            <w:hideMark/>
          </w:tcPr>
          <w:p w14:paraId="05A00801"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1.980.000,00 €</w:t>
            </w:r>
          </w:p>
        </w:tc>
        <w:tc>
          <w:tcPr>
            <w:tcW w:w="345" w:type="pct"/>
            <w:shd w:val="clear" w:color="000000" w:fill="C4D79B"/>
            <w:vAlign w:val="center"/>
            <w:hideMark/>
          </w:tcPr>
          <w:p w14:paraId="675FB91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E4BD5E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1E5A147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00D0551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535CA20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23C1B8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59E2DFA2"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52BBA09" w14:textId="77777777" w:rsidTr="00C91F10">
        <w:trPr>
          <w:trHeight w:val="225"/>
          <w:jc w:val="center"/>
        </w:trPr>
        <w:tc>
          <w:tcPr>
            <w:tcW w:w="541" w:type="pct"/>
            <w:shd w:val="clear" w:color="000000" w:fill="BEBEBE"/>
            <w:vAlign w:val="center"/>
            <w:hideMark/>
          </w:tcPr>
          <w:p w14:paraId="6F305790"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1906</w:t>
            </w:r>
          </w:p>
        </w:tc>
        <w:tc>
          <w:tcPr>
            <w:tcW w:w="1331" w:type="pct"/>
            <w:shd w:val="clear" w:color="000000" w:fill="BEBEBE"/>
            <w:vAlign w:val="center"/>
            <w:hideMark/>
          </w:tcPr>
          <w:p w14:paraId="2C9C1E22"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ΑΠΟΚΕΝΤΡΩΜΕΝΗ ΔΙΟΙΚΗΣΗ ΚΡΗΤΗΣ</w:t>
            </w:r>
          </w:p>
        </w:tc>
        <w:tc>
          <w:tcPr>
            <w:tcW w:w="857" w:type="pct"/>
            <w:shd w:val="clear" w:color="000000" w:fill="BEBEBE"/>
            <w:vAlign w:val="center"/>
            <w:hideMark/>
          </w:tcPr>
          <w:p w14:paraId="7C3CCAB3"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7.311.000,00 €</w:t>
            </w:r>
          </w:p>
        </w:tc>
        <w:tc>
          <w:tcPr>
            <w:tcW w:w="345" w:type="pct"/>
            <w:shd w:val="clear" w:color="000000" w:fill="BEBEBE"/>
            <w:vAlign w:val="bottom"/>
            <w:hideMark/>
          </w:tcPr>
          <w:p w14:paraId="433938C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0543042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770417CC"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7311EB1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1173ABB1"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1D8E67E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7B3541D6"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69674E49" w14:textId="77777777" w:rsidTr="00C91F10">
        <w:trPr>
          <w:trHeight w:val="225"/>
          <w:jc w:val="center"/>
        </w:trPr>
        <w:tc>
          <w:tcPr>
            <w:tcW w:w="541" w:type="pct"/>
            <w:shd w:val="clear" w:color="auto" w:fill="auto"/>
            <w:vAlign w:val="center"/>
            <w:hideMark/>
          </w:tcPr>
          <w:p w14:paraId="398CB88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01.1906.001</w:t>
            </w:r>
          </w:p>
        </w:tc>
        <w:tc>
          <w:tcPr>
            <w:tcW w:w="1331" w:type="pct"/>
            <w:shd w:val="clear" w:color="auto" w:fill="auto"/>
            <w:vAlign w:val="center"/>
            <w:hideMark/>
          </w:tcPr>
          <w:p w14:paraId="668FAA92"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Α.Δ.Κ.</w:t>
            </w:r>
          </w:p>
        </w:tc>
        <w:tc>
          <w:tcPr>
            <w:tcW w:w="857" w:type="pct"/>
            <w:shd w:val="clear" w:color="auto" w:fill="auto"/>
            <w:vAlign w:val="center"/>
            <w:hideMark/>
          </w:tcPr>
          <w:p w14:paraId="308F7E3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3.702.060,00 €</w:t>
            </w:r>
          </w:p>
        </w:tc>
        <w:tc>
          <w:tcPr>
            <w:tcW w:w="345" w:type="pct"/>
            <w:shd w:val="clear" w:color="000000" w:fill="C4D79B"/>
            <w:vAlign w:val="center"/>
            <w:hideMark/>
          </w:tcPr>
          <w:p w14:paraId="0BEA531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3782289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175B17A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1CA6EE0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B06819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53A78CFF"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5DD9037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51A5A4BF" w14:textId="77777777" w:rsidTr="00C91F10">
        <w:trPr>
          <w:trHeight w:val="450"/>
          <w:jc w:val="center"/>
        </w:trPr>
        <w:tc>
          <w:tcPr>
            <w:tcW w:w="541" w:type="pct"/>
            <w:shd w:val="clear" w:color="auto" w:fill="auto"/>
            <w:vAlign w:val="center"/>
            <w:hideMark/>
          </w:tcPr>
          <w:p w14:paraId="3B33471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01.1906.002</w:t>
            </w:r>
          </w:p>
        </w:tc>
        <w:tc>
          <w:tcPr>
            <w:tcW w:w="1331" w:type="pct"/>
            <w:shd w:val="clear" w:color="auto" w:fill="auto"/>
            <w:vAlign w:val="center"/>
            <w:hideMark/>
          </w:tcPr>
          <w:p w14:paraId="393B583C"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ΘΕΜΑΤΩΝ ΑΛΛΟΔΑΠΩΝ ΚΑΙ ΑΣΤΙΚΗΣ ΚΑΤΑΣΤΑΣΗΣ Α.Δ.Κ.</w:t>
            </w:r>
          </w:p>
        </w:tc>
        <w:tc>
          <w:tcPr>
            <w:tcW w:w="857" w:type="pct"/>
            <w:shd w:val="clear" w:color="auto" w:fill="auto"/>
            <w:vAlign w:val="center"/>
            <w:hideMark/>
          </w:tcPr>
          <w:p w14:paraId="34B4BA9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1.663.620,00 €</w:t>
            </w:r>
          </w:p>
        </w:tc>
        <w:tc>
          <w:tcPr>
            <w:tcW w:w="345" w:type="pct"/>
            <w:shd w:val="clear" w:color="000000" w:fill="B7DEE8"/>
            <w:vAlign w:val="center"/>
            <w:hideMark/>
          </w:tcPr>
          <w:p w14:paraId="1466B63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4369AF9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488198C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2ED0011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7CC6723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6417D3C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0123B36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2D070CD6" w14:textId="77777777" w:rsidTr="00C91F10">
        <w:trPr>
          <w:trHeight w:val="225"/>
          <w:jc w:val="center"/>
        </w:trPr>
        <w:tc>
          <w:tcPr>
            <w:tcW w:w="541" w:type="pct"/>
            <w:shd w:val="clear" w:color="auto" w:fill="auto"/>
            <w:vAlign w:val="center"/>
            <w:hideMark/>
          </w:tcPr>
          <w:p w14:paraId="5AAE0DA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05.1906.001</w:t>
            </w:r>
          </w:p>
        </w:tc>
        <w:tc>
          <w:tcPr>
            <w:tcW w:w="1331" w:type="pct"/>
            <w:shd w:val="clear" w:color="auto" w:fill="auto"/>
            <w:vAlign w:val="center"/>
            <w:hideMark/>
          </w:tcPr>
          <w:p w14:paraId="624F866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ΦΥΣΙΚΟ ΚΑΙ ΑΣΤΙΚΟ ΠΕΡΙΒΑΛΛΟΝ Α.Δ.Κ.</w:t>
            </w:r>
          </w:p>
        </w:tc>
        <w:tc>
          <w:tcPr>
            <w:tcW w:w="857" w:type="pct"/>
            <w:shd w:val="clear" w:color="auto" w:fill="auto"/>
            <w:vAlign w:val="center"/>
            <w:hideMark/>
          </w:tcPr>
          <w:p w14:paraId="1FE508F9"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1.945.320,00 €</w:t>
            </w:r>
          </w:p>
        </w:tc>
        <w:tc>
          <w:tcPr>
            <w:tcW w:w="345" w:type="pct"/>
            <w:shd w:val="clear" w:color="000000" w:fill="C4D79B"/>
            <w:vAlign w:val="center"/>
            <w:hideMark/>
          </w:tcPr>
          <w:p w14:paraId="3095F83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4606C4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0227149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304DF08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9110E56"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5E5FD8ED"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1E11D437"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184299E" w14:textId="77777777" w:rsidTr="00C91F10">
        <w:trPr>
          <w:trHeight w:val="450"/>
          <w:jc w:val="center"/>
        </w:trPr>
        <w:tc>
          <w:tcPr>
            <w:tcW w:w="541" w:type="pct"/>
            <w:shd w:val="clear" w:color="000000" w:fill="BEBEBE"/>
            <w:vAlign w:val="center"/>
            <w:hideMark/>
          </w:tcPr>
          <w:p w14:paraId="028432D5"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1907</w:t>
            </w:r>
          </w:p>
        </w:tc>
        <w:tc>
          <w:tcPr>
            <w:tcW w:w="1331" w:type="pct"/>
            <w:shd w:val="clear" w:color="000000" w:fill="BEBEBE"/>
            <w:vAlign w:val="center"/>
            <w:hideMark/>
          </w:tcPr>
          <w:p w14:paraId="249EB4A0" w14:textId="77777777" w:rsidR="00A3206D" w:rsidRPr="00D82B67" w:rsidRDefault="00A3206D" w:rsidP="009E0067">
            <w:pPr>
              <w:spacing w:after="0" w:line="276" w:lineRule="auto"/>
              <w:jc w:val="left"/>
              <w:rPr>
                <w:rFonts w:cs="Arial"/>
                <w:b/>
                <w:bCs/>
                <w:color w:val="000000"/>
                <w:sz w:val="14"/>
                <w:szCs w:val="14"/>
              </w:rPr>
            </w:pPr>
            <w:r w:rsidRPr="00D82B67">
              <w:rPr>
                <w:rFonts w:cs="Arial"/>
                <w:b/>
                <w:bCs/>
                <w:color w:val="000000"/>
                <w:sz w:val="14"/>
                <w:szCs w:val="14"/>
              </w:rPr>
              <w:t>ΑΠΟΚΕΝΤΡΩΜΕΝΗ ΔΙΟΙΚΗΣΗ ΜΑΚΕΔΟΝΙΑΣ - ΘΡΑΚΗΣ</w:t>
            </w:r>
          </w:p>
        </w:tc>
        <w:tc>
          <w:tcPr>
            <w:tcW w:w="857" w:type="pct"/>
            <w:shd w:val="clear" w:color="000000" w:fill="BEBEBE"/>
            <w:vAlign w:val="center"/>
            <w:hideMark/>
          </w:tcPr>
          <w:p w14:paraId="77842E26" w14:textId="77777777" w:rsidR="00A3206D" w:rsidRPr="00D82B67" w:rsidRDefault="00A3206D" w:rsidP="009E0067">
            <w:pPr>
              <w:spacing w:after="0" w:line="276" w:lineRule="auto"/>
              <w:jc w:val="right"/>
              <w:rPr>
                <w:rFonts w:cs="Arial"/>
                <w:b/>
                <w:bCs/>
                <w:color w:val="000000"/>
                <w:sz w:val="14"/>
                <w:szCs w:val="14"/>
              </w:rPr>
            </w:pPr>
            <w:r w:rsidRPr="00D82B67">
              <w:rPr>
                <w:rFonts w:cs="Arial"/>
                <w:b/>
                <w:bCs/>
                <w:color w:val="000000"/>
                <w:sz w:val="14"/>
                <w:szCs w:val="14"/>
              </w:rPr>
              <w:t>19.640.000,00 €</w:t>
            </w:r>
          </w:p>
        </w:tc>
        <w:tc>
          <w:tcPr>
            <w:tcW w:w="345" w:type="pct"/>
            <w:shd w:val="clear" w:color="000000" w:fill="BEBEBE"/>
            <w:vAlign w:val="bottom"/>
            <w:hideMark/>
          </w:tcPr>
          <w:p w14:paraId="24EB5859"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73A9219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12" w:type="pct"/>
            <w:shd w:val="clear" w:color="000000" w:fill="BEBEBE"/>
            <w:vAlign w:val="bottom"/>
            <w:hideMark/>
          </w:tcPr>
          <w:p w14:paraId="3A79FD0A"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84" w:type="pct"/>
            <w:shd w:val="clear" w:color="000000" w:fill="BEBEBE"/>
            <w:vAlign w:val="bottom"/>
            <w:hideMark/>
          </w:tcPr>
          <w:p w14:paraId="74ED2D30"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07" w:type="pct"/>
            <w:shd w:val="clear" w:color="000000" w:fill="BEBEBE"/>
            <w:vAlign w:val="bottom"/>
            <w:hideMark/>
          </w:tcPr>
          <w:p w14:paraId="49EB925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328" w:type="pct"/>
            <w:shd w:val="clear" w:color="000000" w:fill="BEBEBE"/>
            <w:vAlign w:val="bottom"/>
            <w:hideMark/>
          </w:tcPr>
          <w:p w14:paraId="6D5A9A14"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c>
          <w:tcPr>
            <w:tcW w:w="288" w:type="pct"/>
            <w:shd w:val="clear" w:color="000000" w:fill="BEBEBE"/>
            <w:vAlign w:val="bottom"/>
            <w:hideMark/>
          </w:tcPr>
          <w:p w14:paraId="47D5D61E"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 </w:t>
            </w:r>
          </w:p>
        </w:tc>
      </w:tr>
      <w:tr w:rsidR="00A3206D" w:rsidRPr="0084637C" w14:paraId="5B6FDE5E" w14:textId="77777777" w:rsidTr="00C91F10">
        <w:trPr>
          <w:trHeight w:val="225"/>
          <w:jc w:val="center"/>
        </w:trPr>
        <w:tc>
          <w:tcPr>
            <w:tcW w:w="541" w:type="pct"/>
            <w:shd w:val="clear" w:color="auto" w:fill="auto"/>
            <w:vAlign w:val="center"/>
            <w:hideMark/>
          </w:tcPr>
          <w:p w14:paraId="763D81BD"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01.1907.001</w:t>
            </w:r>
          </w:p>
        </w:tc>
        <w:tc>
          <w:tcPr>
            <w:tcW w:w="1331" w:type="pct"/>
            <w:shd w:val="clear" w:color="auto" w:fill="auto"/>
            <w:vAlign w:val="center"/>
            <w:hideMark/>
          </w:tcPr>
          <w:p w14:paraId="30A72CDE"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ΕΠΙΤΕΛΙΚΟΣ ΣΥΝΤΟΝΙΣΜΟΣ Α.Δ.Μ.Θ.</w:t>
            </w:r>
          </w:p>
        </w:tc>
        <w:tc>
          <w:tcPr>
            <w:tcW w:w="857" w:type="pct"/>
            <w:shd w:val="clear" w:color="auto" w:fill="auto"/>
            <w:vAlign w:val="center"/>
            <w:hideMark/>
          </w:tcPr>
          <w:p w14:paraId="18710835"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9.313.160,00 €</w:t>
            </w:r>
          </w:p>
        </w:tc>
        <w:tc>
          <w:tcPr>
            <w:tcW w:w="345" w:type="pct"/>
            <w:shd w:val="clear" w:color="000000" w:fill="C4D79B"/>
            <w:vAlign w:val="center"/>
            <w:hideMark/>
          </w:tcPr>
          <w:p w14:paraId="43549EA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2056B4B3"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395EF69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0B25F3B8"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4A03818E"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B7DEE8"/>
            <w:vAlign w:val="center"/>
            <w:hideMark/>
          </w:tcPr>
          <w:p w14:paraId="038E08C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7AF31B6B"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7CB6865D" w14:textId="77777777" w:rsidTr="00C91F10">
        <w:trPr>
          <w:trHeight w:val="450"/>
          <w:jc w:val="center"/>
        </w:trPr>
        <w:tc>
          <w:tcPr>
            <w:tcW w:w="541" w:type="pct"/>
            <w:shd w:val="clear" w:color="auto" w:fill="auto"/>
            <w:vAlign w:val="center"/>
            <w:hideMark/>
          </w:tcPr>
          <w:p w14:paraId="6DB297C9"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01.1907.002</w:t>
            </w:r>
          </w:p>
        </w:tc>
        <w:tc>
          <w:tcPr>
            <w:tcW w:w="1331" w:type="pct"/>
            <w:shd w:val="clear" w:color="auto" w:fill="auto"/>
            <w:vAlign w:val="center"/>
            <w:hideMark/>
          </w:tcPr>
          <w:p w14:paraId="7775D97A"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ΔΙΑΧΕΙΡΙΣΗ ΘΕΜΑΤΩΝ ΑΛΛΟΔΑΠΩΝ ΚΑΙ ΑΣΤΙΚΗΣ ΚΑΤΑΣΤΑΣΗΣ Α.Δ.Μ.Θ.</w:t>
            </w:r>
          </w:p>
        </w:tc>
        <w:tc>
          <w:tcPr>
            <w:tcW w:w="857" w:type="pct"/>
            <w:shd w:val="clear" w:color="auto" w:fill="auto"/>
            <w:vAlign w:val="center"/>
            <w:hideMark/>
          </w:tcPr>
          <w:p w14:paraId="7F25070A"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4.326.840,00 €</w:t>
            </w:r>
          </w:p>
        </w:tc>
        <w:tc>
          <w:tcPr>
            <w:tcW w:w="345" w:type="pct"/>
            <w:shd w:val="clear" w:color="000000" w:fill="B7DEE8"/>
            <w:vAlign w:val="center"/>
            <w:hideMark/>
          </w:tcPr>
          <w:p w14:paraId="4A8C1639"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07" w:type="pct"/>
            <w:shd w:val="clear" w:color="000000" w:fill="B7DEE8"/>
            <w:vAlign w:val="center"/>
            <w:hideMark/>
          </w:tcPr>
          <w:p w14:paraId="7B3D71D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12" w:type="pct"/>
            <w:shd w:val="clear" w:color="000000" w:fill="B7DEE8"/>
            <w:vAlign w:val="center"/>
            <w:hideMark/>
          </w:tcPr>
          <w:p w14:paraId="7F44CC2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84" w:type="pct"/>
            <w:shd w:val="clear" w:color="000000" w:fill="C4D79B"/>
            <w:vAlign w:val="center"/>
            <w:hideMark/>
          </w:tcPr>
          <w:p w14:paraId="0D58AAA5"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B7DEE8"/>
            <w:vAlign w:val="center"/>
            <w:hideMark/>
          </w:tcPr>
          <w:p w14:paraId="1D973184"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328" w:type="pct"/>
            <w:shd w:val="clear" w:color="000000" w:fill="B7DEE8"/>
            <w:vAlign w:val="center"/>
            <w:hideMark/>
          </w:tcPr>
          <w:p w14:paraId="4C5369EC"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Ο</w:t>
            </w:r>
          </w:p>
        </w:tc>
        <w:tc>
          <w:tcPr>
            <w:tcW w:w="288" w:type="pct"/>
            <w:shd w:val="clear" w:color="000000" w:fill="C4D79B"/>
            <w:vAlign w:val="center"/>
            <w:hideMark/>
          </w:tcPr>
          <w:p w14:paraId="37135BD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r w:rsidR="00A3206D" w:rsidRPr="0084637C" w14:paraId="455FBB0D" w14:textId="77777777" w:rsidTr="00C91F10">
        <w:trPr>
          <w:trHeight w:val="225"/>
          <w:jc w:val="center"/>
        </w:trPr>
        <w:tc>
          <w:tcPr>
            <w:tcW w:w="541" w:type="pct"/>
            <w:shd w:val="clear" w:color="auto" w:fill="auto"/>
            <w:vAlign w:val="center"/>
            <w:hideMark/>
          </w:tcPr>
          <w:p w14:paraId="014DA064"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05.1907.001</w:t>
            </w:r>
          </w:p>
        </w:tc>
        <w:tc>
          <w:tcPr>
            <w:tcW w:w="1331" w:type="pct"/>
            <w:shd w:val="clear" w:color="auto" w:fill="auto"/>
            <w:vAlign w:val="center"/>
            <w:hideMark/>
          </w:tcPr>
          <w:p w14:paraId="1A0EC085" w14:textId="77777777" w:rsidR="00A3206D" w:rsidRPr="00D82B67" w:rsidRDefault="00A3206D" w:rsidP="009E0067">
            <w:pPr>
              <w:spacing w:after="0" w:line="276" w:lineRule="auto"/>
              <w:jc w:val="left"/>
              <w:rPr>
                <w:rFonts w:cs="Arial"/>
                <w:color w:val="000000"/>
                <w:sz w:val="14"/>
                <w:szCs w:val="14"/>
              </w:rPr>
            </w:pPr>
            <w:r w:rsidRPr="00D82B67">
              <w:rPr>
                <w:rFonts w:cs="Arial"/>
                <w:color w:val="000000"/>
                <w:sz w:val="14"/>
                <w:szCs w:val="14"/>
              </w:rPr>
              <w:t>ΦΥΣΙΚΟ ΚΑΙ ΑΣΤΙΚΟ ΠΕΡΙΒΑΛΛΟΝ Α.Δ.Μ.Θ.</w:t>
            </w:r>
          </w:p>
        </w:tc>
        <w:tc>
          <w:tcPr>
            <w:tcW w:w="857" w:type="pct"/>
            <w:shd w:val="clear" w:color="auto" w:fill="auto"/>
            <w:vAlign w:val="center"/>
            <w:hideMark/>
          </w:tcPr>
          <w:p w14:paraId="42FC7DE4" w14:textId="77777777" w:rsidR="00A3206D" w:rsidRPr="00D82B67" w:rsidRDefault="00A3206D" w:rsidP="009E0067">
            <w:pPr>
              <w:spacing w:after="0" w:line="276" w:lineRule="auto"/>
              <w:jc w:val="right"/>
              <w:rPr>
                <w:rFonts w:cs="Arial"/>
                <w:color w:val="000000"/>
                <w:sz w:val="14"/>
                <w:szCs w:val="14"/>
              </w:rPr>
            </w:pPr>
            <w:r w:rsidRPr="00D82B67">
              <w:rPr>
                <w:rFonts w:cs="Arial"/>
                <w:color w:val="000000"/>
                <w:sz w:val="14"/>
                <w:szCs w:val="14"/>
              </w:rPr>
              <w:t>6.000.000,00 €</w:t>
            </w:r>
          </w:p>
        </w:tc>
        <w:tc>
          <w:tcPr>
            <w:tcW w:w="345" w:type="pct"/>
            <w:shd w:val="clear" w:color="000000" w:fill="C4D79B"/>
            <w:vAlign w:val="center"/>
            <w:hideMark/>
          </w:tcPr>
          <w:p w14:paraId="6B76756B"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3A838D72"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12" w:type="pct"/>
            <w:shd w:val="clear" w:color="000000" w:fill="C4D79B"/>
            <w:vAlign w:val="center"/>
            <w:hideMark/>
          </w:tcPr>
          <w:p w14:paraId="63D626C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84" w:type="pct"/>
            <w:shd w:val="clear" w:color="000000" w:fill="C4D79B"/>
            <w:vAlign w:val="center"/>
            <w:hideMark/>
          </w:tcPr>
          <w:p w14:paraId="299999E0"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07" w:type="pct"/>
            <w:shd w:val="clear" w:color="000000" w:fill="C4D79B"/>
            <w:vAlign w:val="center"/>
            <w:hideMark/>
          </w:tcPr>
          <w:p w14:paraId="04B0DF1A"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328" w:type="pct"/>
            <w:shd w:val="clear" w:color="000000" w:fill="C4D79B"/>
            <w:vAlign w:val="center"/>
            <w:hideMark/>
          </w:tcPr>
          <w:p w14:paraId="106B88D1" w14:textId="77777777" w:rsidR="00A3206D" w:rsidRPr="0084637C" w:rsidRDefault="00A3206D" w:rsidP="009E0067">
            <w:pPr>
              <w:spacing w:after="0" w:line="276" w:lineRule="auto"/>
              <w:jc w:val="center"/>
              <w:rPr>
                <w:rFonts w:cs="Arial"/>
                <w:color w:val="000000"/>
                <w:sz w:val="16"/>
                <w:szCs w:val="16"/>
              </w:rPr>
            </w:pPr>
            <w:r w:rsidRPr="0084637C">
              <w:rPr>
                <w:rFonts w:cs="Arial"/>
                <w:color w:val="000000"/>
                <w:sz w:val="16"/>
                <w:szCs w:val="16"/>
              </w:rPr>
              <w:t>Θ</w:t>
            </w:r>
          </w:p>
        </w:tc>
        <w:tc>
          <w:tcPr>
            <w:tcW w:w="288" w:type="pct"/>
            <w:shd w:val="clear" w:color="000000" w:fill="C4D79B"/>
            <w:vAlign w:val="center"/>
            <w:hideMark/>
          </w:tcPr>
          <w:p w14:paraId="086C7F63" w14:textId="77777777" w:rsidR="00A3206D" w:rsidRPr="0084637C" w:rsidRDefault="00A3206D" w:rsidP="009E0067">
            <w:pPr>
              <w:spacing w:after="0" w:line="276" w:lineRule="auto"/>
              <w:jc w:val="center"/>
              <w:rPr>
                <w:rFonts w:cs="Arial"/>
                <w:b/>
                <w:bCs/>
                <w:color w:val="000000"/>
                <w:sz w:val="16"/>
                <w:szCs w:val="16"/>
              </w:rPr>
            </w:pPr>
            <w:r w:rsidRPr="0084637C">
              <w:rPr>
                <w:rFonts w:cs="Arial"/>
                <w:b/>
                <w:bCs/>
                <w:color w:val="000000"/>
                <w:sz w:val="16"/>
                <w:szCs w:val="16"/>
              </w:rPr>
              <w:t>Θ</w:t>
            </w:r>
          </w:p>
        </w:tc>
      </w:tr>
    </w:tbl>
    <w:p w14:paraId="62E02BD0" w14:textId="1D987DB1" w:rsidR="00665CC4" w:rsidRDefault="00665CC4" w:rsidP="00073FDD">
      <w:pPr>
        <w:rPr>
          <w:highlight w:val="yellow"/>
        </w:rPr>
      </w:pPr>
    </w:p>
    <w:p w14:paraId="7E1AC2B1" w14:textId="77777777" w:rsidR="00350CAC" w:rsidRDefault="00350CAC" w:rsidP="00073FDD">
      <w:pPr>
        <w:rPr>
          <w:highlight w:val="yellow"/>
        </w:rPr>
      </w:pPr>
    </w:p>
    <w:p w14:paraId="5DB9F273" w14:textId="77777777" w:rsidR="00472D1E" w:rsidRDefault="00472D1E" w:rsidP="00472D1E">
      <w:pPr>
        <w:sectPr w:rsidR="00472D1E" w:rsidSect="008E7E86">
          <w:headerReference w:type="even" r:id="rId101"/>
          <w:headerReference w:type="default" r:id="rId102"/>
          <w:footerReference w:type="even" r:id="rId103"/>
          <w:footerReference w:type="default" r:id="rId104"/>
          <w:footnotePr>
            <w:numRestart w:val="eachSect"/>
          </w:footnotePr>
          <w:pgSz w:w="11906" w:h="16838" w:code="9"/>
          <w:pgMar w:top="1310" w:right="1418" w:bottom="1310" w:left="1418" w:header="652" w:footer="652" w:gutter="0"/>
          <w:cols w:space="708"/>
          <w:docGrid w:linePitch="360"/>
        </w:sectPr>
      </w:pPr>
      <w:bookmarkStart w:id="246" w:name="_Toc114142023"/>
      <w:bookmarkStart w:id="247" w:name="_Toc114142277"/>
      <w:bookmarkStart w:id="248" w:name="_Toc114142360"/>
      <w:bookmarkStart w:id="249" w:name="_Toc114142409"/>
      <w:bookmarkStart w:id="250" w:name="_Toc114149866"/>
      <w:bookmarkStart w:id="251" w:name="_Toc114219154"/>
      <w:bookmarkStart w:id="252" w:name="_Toc114219330"/>
      <w:bookmarkStart w:id="253" w:name="_Toc114219379"/>
      <w:bookmarkStart w:id="254" w:name="_Toc114219847"/>
      <w:bookmarkStart w:id="255" w:name="_Toc114234840"/>
      <w:bookmarkStart w:id="256" w:name="_Toc114489510"/>
      <w:bookmarkStart w:id="257" w:name="_Toc114489588"/>
      <w:bookmarkStart w:id="258" w:name="_Toc114489675"/>
      <w:bookmarkStart w:id="259" w:name="_Toc115338145"/>
      <w:bookmarkStart w:id="260" w:name="_Toc115358122"/>
      <w:bookmarkStart w:id="261" w:name="_Toc115424350"/>
      <w:bookmarkStart w:id="262" w:name="_Toc115435217"/>
      <w:bookmarkStart w:id="263" w:name="_Toc115437951"/>
      <w:bookmarkStart w:id="264" w:name="_Toc115526128"/>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419706E2" w14:textId="6F381138" w:rsidR="00472D1E" w:rsidRDefault="00472D1E" w:rsidP="0032045E">
      <w:pPr>
        <w:pStyle w:val="1"/>
        <w:tabs>
          <w:tab w:val="clear" w:pos="8932"/>
        </w:tabs>
        <w:ind w:left="0"/>
      </w:pPr>
      <w:bookmarkStart w:id="265" w:name="_Toc214473741"/>
      <w:bookmarkEnd w:id="265"/>
    </w:p>
    <w:p w14:paraId="59EFF586" w14:textId="51950FCE" w:rsidR="00F4129D" w:rsidRPr="00601726" w:rsidRDefault="00601726" w:rsidP="00601726">
      <w:pPr>
        <w:pStyle w:val="2"/>
      </w:pPr>
      <w:bookmarkStart w:id="266" w:name="_Toc214473742"/>
      <w:r>
        <w:t>ΠΡΟΫΠΟΛΟΓΙΣΜΟΣ ΓΕΝΙΚΗΣ ΚΥΒΕΡΝΗΣΗΣ</w:t>
      </w:r>
      <w:bookmarkEnd w:id="266"/>
    </w:p>
    <w:p w14:paraId="6CF80D5A" w14:textId="176DF827" w:rsidR="00F4129D" w:rsidRDefault="00601726" w:rsidP="00300BBF">
      <w:pPr>
        <w:pStyle w:val="3"/>
      </w:pPr>
      <w:bookmarkStart w:id="267" w:name="_Toc116042530"/>
      <w:bookmarkStart w:id="268" w:name="_Toc116042633"/>
      <w:bookmarkStart w:id="269" w:name="_Toc116044145"/>
      <w:bookmarkStart w:id="270" w:name="_Toc116044247"/>
      <w:bookmarkStart w:id="271" w:name="_Toc118990966"/>
      <w:bookmarkStart w:id="272" w:name="_Toc119082258"/>
      <w:bookmarkStart w:id="273" w:name="_Toc119607151"/>
      <w:bookmarkStart w:id="274" w:name="_Toc119607444"/>
      <w:bookmarkStart w:id="275" w:name="_Toc119777959"/>
      <w:bookmarkStart w:id="276" w:name="_Toc119778065"/>
      <w:bookmarkStart w:id="277" w:name="_Toc150175849"/>
      <w:bookmarkStart w:id="278" w:name="_Toc150177142"/>
      <w:bookmarkStart w:id="279" w:name="_Toc150516203"/>
      <w:bookmarkStart w:id="280" w:name="_Toc150516344"/>
      <w:bookmarkStart w:id="281" w:name="_Toc150853404"/>
      <w:bookmarkStart w:id="282" w:name="_Toc150853512"/>
      <w:bookmarkStart w:id="283" w:name="_Toc151100768"/>
      <w:bookmarkStart w:id="284" w:name="_Toc151401123"/>
      <w:bookmarkStart w:id="285" w:name="_Toc214473743"/>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t>Βασικά μεγέθη προϋπολογισμού Γενικής Κυβέρνησης 202</w:t>
      </w:r>
      <w:r w:rsidR="000F51C8" w:rsidRPr="000F51C8">
        <w:t>5</w:t>
      </w:r>
      <w:bookmarkEnd w:id="285"/>
    </w:p>
    <w:p w14:paraId="2F7C847C" w14:textId="77777777" w:rsidR="00F66650" w:rsidRPr="00D1257B" w:rsidRDefault="00F66650" w:rsidP="00F66650">
      <w:r w:rsidRPr="00D1257B">
        <w:t xml:space="preserve">Το πρωτογενές αποτέλεσμα της Γενικής Κυβέρνησης το 2024, σύμφωνα με τη μεθοδολογία του Ευρωπαϊκού </w:t>
      </w:r>
      <w:r w:rsidRPr="00A053B7">
        <w:t>Συστήματος Λογαριασμών (European System of Accounts - ESA), διαμορφώθηκε σε πλεόνασμα ύψους 11.143 εκατ. ευρώ ή 4,7% του</w:t>
      </w:r>
      <w:r w:rsidRPr="00D1257B">
        <w:t xml:space="preserve"> ΑΕΠ, </w:t>
      </w:r>
      <w:r>
        <w:t xml:space="preserve">σημαντικά </w:t>
      </w:r>
      <w:r w:rsidRPr="00D1257B">
        <w:t xml:space="preserve">υψηλότερο </w:t>
      </w:r>
      <w:r>
        <w:t xml:space="preserve">της περιόδου 2020 - </w:t>
      </w:r>
      <w:r w:rsidRPr="00D1257B">
        <w:t>2023</w:t>
      </w:r>
      <w:r>
        <w:t xml:space="preserve">, η οποία </w:t>
      </w:r>
      <w:r w:rsidRPr="00D1257B">
        <w:t xml:space="preserve">επηρεάστηκε έντονα από την </w:t>
      </w:r>
      <w:r>
        <w:t xml:space="preserve">πανδημία </w:t>
      </w:r>
      <w:r w:rsidRPr="0032094E">
        <w:rPr>
          <w:lang w:val="en-US"/>
        </w:rPr>
        <w:t>Covid</w:t>
      </w:r>
      <w:r w:rsidRPr="00477D95">
        <w:t xml:space="preserve">-19, </w:t>
      </w:r>
      <w:r>
        <w:t xml:space="preserve">την κλιματική κρίση </w:t>
      </w:r>
      <w:r w:rsidRPr="00D1257B">
        <w:t>καθώς και από την ενεργειακή κρίση εξαιτίας του πολέμου Ρωσίας - Ουκρανίας.</w:t>
      </w:r>
    </w:p>
    <w:p w14:paraId="56F35BEB" w14:textId="77777777" w:rsidR="00F66650" w:rsidRPr="00D1257B" w:rsidRDefault="00F66650" w:rsidP="00F66650">
      <w:pPr>
        <w:rPr>
          <w:rFonts w:eastAsia="Calibri"/>
        </w:rPr>
      </w:pPr>
      <w:r w:rsidRPr="00D1257B">
        <w:t>Το πρωτογενές αποτέλεσμα της Γενικής Κυβέρνησης του έτους 2025, με βάση τη μεθοδολογία ESA, είχε προβλεφθεί στην εισηγητική έκθεση του προϋπολογισμού 2025 ότι θα διαμορφωθεί σε πλεόνασμα ύψους 5.967 εκατ. ευρώ ή 2,4% του ΑΕΠ</w:t>
      </w:r>
      <w:r>
        <w:t>, ενώ στην Ετήσια Έκθεση Προόδου 2025 για το Μεσοπρόθεσμο Δημοσιονομικό - Διαρθρωτικό Σχέδιο (ΜΔΣ) που υποβλήθηκε τον Απρίλιο 2025 και λαμβανομένων υπόψη των απολογιστικών στοιχείων της καλύτερης εκτέλεσης του προϋπολογισμού 2024, η εκτίμηση του πρωτογενούς αποτελέσματος για το έτος 2025 αναθεωρήθηκε σε 3,2</w:t>
      </w:r>
      <w:r w:rsidRPr="00D1257B">
        <w:t>% του ΑΕΠ.</w:t>
      </w:r>
      <w:r>
        <w:t xml:space="preserve"> </w:t>
      </w:r>
      <w:r w:rsidRPr="00D1257B">
        <w:t xml:space="preserve">Σύμφωνα με τα τελευταία στοιχεία της εκτέλεσης του προϋπολογισμού, το πρωτογενές αποτέλεσμα της Γενικής Κυβέρνησης εκτιμάται ότι θα διαμορφωθεί σε πλεόνασμα </w:t>
      </w:r>
      <w:r w:rsidRPr="00A053B7">
        <w:t>ύψους 9.150 εκατ. ευρώ ή 3,7%</w:t>
      </w:r>
      <w:r w:rsidRPr="00D1257B">
        <w:t xml:space="preserve"> του ΑΕΠ.</w:t>
      </w:r>
    </w:p>
    <w:p w14:paraId="511A1C2A" w14:textId="6DC3FBAE" w:rsidR="00F66650" w:rsidRPr="00D1257B" w:rsidRDefault="00F66650" w:rsidP="00F66650">
      <w:r w:rsidRPr="00D1257B">
        <w:t xml:space="preserve">Σε σχέση με τις προβλέψεις του προϋπολογισμού 2025 παρατηρείται αύξηση τόσο των καθαρών εσόδων του κρατικού προϋπολογισμού (κατά </w:t>
      </w:r>
      <w:r w:rsidRPr="00445271">
        <w:t>2,</w:t>
      </w:r>
      <w:r>
        <w:t>5</w:t>
      </w:r>
      <w:r w:rsidRPr="00D1257B">
        <w:t xml:space="preserve"> δισ. ευρώ) όσο και των δαπανών (</w:t>
      </w:r>
      <w:r w:rsidRPr="00445271">
        <w:t>κατά 1,0</w:t>
      </w:r>
      <w:r w:rsidRPr="00D1257B">
        <w:t xml:space="preserve"> δισ. ευρώ)</w:t>
      </w:r>
      <w:r>
        <w:t xml:space="preserve">, δεδομένου ότι περιλαμβάνονται επιπλέον δαπάνες για την ενίσχυση του διαθέσιμου εισοδήματος και </w:t>
      </w:r>
      <w:r w:rsidRPr="00A053B7">
        <w:t>των επενδύσεων. Το συνολικό ισοζύγιο της Γενικής Κυβέρνησης εκτιμάται ότι θα διαμορφωθεί σε πλεόνασμα 0,6% του ΑΕΠ, βελτιωμένο έναντι της πρόβλεψης για έλλειμμα 0,6%, η οποία είχε περιληφθεί στην εισηγητική έκθεση του προϋπολογισμού 2025.</w:t>
      </w:r>
    </w:p>
    <w:p w14:paraId="71B75045" w14:textId="5CD522BF" w:rsidR="00F66650" w:rsidRPr="00D1257B" w:rsidRDefault="00F66650" w:rsidP="00F66650">
      <w:r w:rsidRPr="00D1257B">
        <w:t>Επισημαίνεται ότι το έτος 2025 συνεχίστηκε η επιβεβαίωση της διεθν</w:t>
      </w:r>
      <w:r>
        <w:t>ού</w:t>
      </w:r>
      <w:r w:rsidRPr="00D1257B">
        <w:t>ς εμπιστοσύνης στην οικονομία της χώρας, με την αν</w:t>
      </w:r>
      <w:r>
        <w:t xml:space="preserve">αβάθμιση των προοπτικών της </w:t>
      </w:r>
      <w:r w:rsidRPr="00D1257B">
        <w:t xml:space="preserve">από </w:t>
      </w:r>
      <w:r w:rsidR="00C3205D">
        <w:t>τους τέσσερις μεγαλύτερους οίκους αξιολόγησης</w:t>
      </w:r>
      <w:r w:rsidRPr="00D1257B">
        <w:t xml:space="preserve"> (Standard &amp; Poor's, Moody's, Fitch Ratings και DBRS Morningstar).</w:t>
      </w:r>
    </w:p>
    <w:p w14:paraId="5BBD04DA" w14:textId="252C3892" w:rsidR="00335599" w:rsidRPr="00154C13" w:rsidRDefault="002F425E" w:rsidP="00B001AE">
      <w:pPr>
        <w:spacing w:after="240"/>
      </w:pPr>
      <w:r>
        <w:t xml:space="preserve">Το </w:t>
      </w:r>
      <w:r w:rsidR="00F66650" w:rsidRPr="00D1257B">
        <w:t xml:space="preserve">ισοζύγιο και το πρωτογενές αποτέλεσμα της Γενικής Κυβέρνησης </w:t>
      </w:r>
      <w:r w:rsidR="00F66650">
        <w:t xml:space="preserve">κατά </w:t>
      </w:r>
      <w:r w:rsidR="00F66650" w:rsidRPr="00D1257B">
        <w:t>ESA, με ανάλυση ανά κατηγορία εσόδων και δαπανών για την Κεντρική Διοίκηση, τα νομικά πρόσωπα, τα νοσοκομεία και τους λοιπούς υποτομείς των Οργανισμών Τοπικής Αυτοδιοίκησης (ΟΤΑ) και των Οργανισμών Κοινωνικής Ασφάλισης (ΟΚΑ)</w:t>
      </w:r>
      <w:r>
        <w:t xml:space="preserve">, αποτυπώνονται </w:t>
      </w:r>
      <w:r w:rsidRPr="00154C13">
        <w:t>παρακάτω (</w:t>
      </w:r>
      <w:r w:rsidRPr="00154C13">
        <w:fldChar w:fldCharType="begin"/>
      </w:r>
      <w:r w:rsidRPr="00154C13">
        <w:instrText xml:space="preserve"> REF _Ref214107035 \h  \* MERGEFORMAT </w:instrText>
      </w:r>
      <w:r w:rsidRPr="00154C13">
        <w:fldChar w:fldCharType="separate"/>
      </w:r>
      <w:r w:rsidR="00E15678" w:rsidRPr="00E15678">
        <w:t>Πίνακας 3.2</w:t>
      </w:r>
      <w:r w:rsidRPr="00154C13">
        <w:fldChar w:fldCharType="end"/>
      </w:r>
      <w:r w:rsidRPr="00154C13">
        <w:t xml:space="preserve">.) </w:t>
      </w:r>
      <w:r w:rsidR="00B001AE" w:rsidRPr="00154C13">
        <w:t xml:space="preserve">Τέλος, </w:t>
      </w:r>
      <w:r w:rsidR="00B001AE" w:rsidRPr="00154C13">
        <w:rPr>
          <w:szCs w:val="20"/>
        </w:rPr>
        <w:t xml:space="preserve">ο </w:t>
      </w:r>
      <w:r w:rsidR="00B001AE" w:rsidRPr="00154C13">
        <w:fldChar w:fldCharType="begin"/>
      </w:r>
      <w:r w:rsidR="00B001AE" w:rsidRPr="00154C13">
        <w:instrText xml:space="preserve"> REF _Ref214106842 \h  \* MERGEFORMAT </w:instrText>
      </w:r>
      <w:r w:rsidR="00B001AE" w:rsidRPr="00154C13">
        <w:fldChar w:fldCharType="separate"/>
      </w:r>
      <w:r w:rsidR="00E15678" w:rsidRPr="00E15678">
        <w:t>Πίνακας 3.1</w:t>
      </w:r>
      <w:r w:rsidR="00B001AE" w:rsidRPr="00154C13">
        <w:fldChar w:fldCharType="end"/>
      </w:r>
      <w:r w:rsidR="00B001AE" w:rsidRPr="00154C13">
        <w:t>.</w:t>
      </w:r>
      <w:r w:rsidR="00B001AE" w:rsidRPr="00154C13">
        <w:rPr>
          <w:szCs w:val="20"/>
        </w:rPr>
        <w:t xml:space="preserve"> </w:t>
      </w:r>
      <w:r w:rsidR="00A55780" w:rsidRPr="00154C13">
        <w:rPr>
          <w:szCs w:val="20"/>
        </w:rPr>
        <w:t>παρουσιάζει</w:t>
      </w:r>
      <w:r w:rsidR="00B001AE" w:rsidRPr="00154C13">
        <w:t xml:space="preserve"> συνοπτικά τα κυριότερα στοιχεία που περιέχει ο</w:t>
      </w:r>
      <w:r w:rsidR="00B001AE" w:rsidRPr="00154C13">
        <w:rPr>
          <w:szCs w:val="20"/>
        </w:rPr>
        <w:t xml:space="preserve"> </w:t>
      </w:r>
      <w:r w:rsidR="00B001AE" w:rsidRPr="00154C13">
        <w:fldChar w:fldCharType="begin"/>
      </w:r>
      <w:r w:rsidR="00B001AE" w:rsidRPr="00154C13">
        <w:instrText xml:space="preserve"> REF _Ref214107035 \h  \* MERGEFORMAT </w:instrText>
      </w:r>
      <w:r w:rsidR="00B001AE" w:rsidRPr="00154C13">
        <w:fldChar w:fldCharType="separate"/>
      </w:r>
      <w:r w:rsidR="00E15678" w:rsidRPr="00E15678">
        <w:t>Πίνακας 3.2</w:t>
      </w:r>
      <w:r w:rsidR="00B001AE" w:rsidRPr="00154C13">
        <w:fldChar w:fldCharType="end"/>
      </w:r>
      <w:r w:rsidR="00B001AE" w:rsidRPr="00154C13">
        <w:t>.</w:t>
      </w:r>
    </w:p>
    <w:p w14:paraId="22791288" w14:textId="77777777" w:rsidR="00335599" w:rsidRDefault="00335599">
      <w:pPr>
        <w:spacing w:after="0" w:line="240" w:lineRule="auto"/>
        <w:jc w:val="left"/>
        <w:rPr>
          <w:highlight w:val="cyan"/>
        </w:rPr>
      </w:pPr>
      <w:r>
        <w:rPr>
          <w:highlight w:val="cyan"/>
        </w:rPr>
        <w:br w:type="page"/>
      </w:r>
    </w:p>
    <w:tbl>
      <w:tblPr>
        <w:tblW w:w="8460"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400"/>
        <w:gridCol w:w="4275"/>
        <w:gridCol w:w="1465"/>
        <w:gridCol w:w="1160"/>
        <w:gridCol w:w="1160"/>
      </w:tblGrid>
      <w:tr w:rsidR="00E367A2" w:rsidRPr="00E367A2" w14:paraId="1A936008" w14:textId="77777777" w:rsidTr="00256353">
        <w:trPr>
          <w:cantSplit/>
          <w:trHeight w:val="510"/>
          <w:jc w:val="center"/>
        </w:trPr>
        <w:tc>
          <w:tcPr>
            <w:tcW w:w="8460" w:type="dxa"/>
            <w:gridSpan w:val="5"/>
            <w:shd w:val="clear" w:color="000000" w:fill="D5DCE4"/>
            <w:vAlign w:val="center"/>
            <w:hideMark/>
          </w:tcPr>
          <w:p w14:paraId="6858326D" w14:textId="1BECD1B3" w:rsidR="00E367A2" w:rsidRPr="00E367A2" w:rsidRDefault="000431B4" w:rsidP="00256353">
            <w:pPr>
              <w:spacing w:after="0" w:line="276" w:lineRule="auto"/>
              <w:jc w:val="center"/>
              <w:rPr>
                <w:rFonts w:cs="Arial"/>
                <w:b/>
                <w:bCs/>
                <w:color w:val="000000"/>
                <w:sz w:val="18"/>
                <w:szCs w:val="18"/>
              </w:rPr>
            </w:pPr>
            <w:bookmarkStart w:id="286" w:name="_Ref214106842"/>
            <w:bookmarkStart w:id="287" w:name="RANGE!A1:E16"/>
            <w:bookmarkStart w:id="288" w:name="_Toc214474039"/>
            <w:r w:rsidRPr="000431B4">
              <w:rPr>
                <w:b/>
                <w:sz w:val="18"/>
                <w:szCs w:val="18"/>
              </w:rPr>
              <w:lastRenderedPageBreak/>
              <w:t>Πίνακας 3.</w:t>
            </w:r>
            <w:r w:rsidRPr="000431B4">
              <w:rPr>
                <w:b/>
                <w:sz w:val="18"/>
                <w:szCs w:val="18"/>
              </w:rPr>
              <w:fldChar w:fldCharType="begin"/>
            </w:r>
            <w:r w:rsidRPr="000431B4">
              <w:rPr>
                <w:b/>
                <w:sz w:val="18"/>
                <w:szCs w:val="18"/>
              </w:rPr>
              <w:instrText xml:space="preserve"> SEQ Πίνακας_3. \* ARABIC </w:instrText>
            </w:r>
            <w:r w:rsidRPr="000431B4">
              <w:rPr>
                <w:b/>
                <w:sz w:val="18"/>
                <w:szCs w:val="18"/>
              </w:rPr>
              <w:fldChar w:fldCharType="separate"/>
            </w:r>
            <w:r w:rsidR="00E15678">
              <w:rPr>
                <w:b/>
                <w:noProof/>
                <w:sz w:val="18"/>
                <w:szCs w:val="18"/>
              </w:rPr>
              <w:t>1</w:t>
            </w:r>
            <w:r w:rsidRPr="000431B4">
              <w:rPr>
                <w:b/>
                <w:sz w:val="18"/>
                <w:szCs w:val="18"/>
              </w:rPr>
              <w:fldChar w:fldCharType="end"/>
            </w:r>
            <w:bookmarkEnd w:id="286"/>
            <w:r w:rsidRPr="000431B4">
              <w:rPr>
                <w:rFonts w:cs="Arial"/>
                <w:b/>
                <w:bCs/>
                <w:color w:val="000000"/>
                <w:sz w:val="18"/>
                <w:szCs w:val="18"/>
              </w:rPr>
              <w:t xml:space="preserve">.: </w:t>
            </w:r>
            <w:r w:rsidR="00E367A2" w:rsidRPr="00E367A2">
              <w:rPr>
                <w:rFonts w:cs="Arial"/>
                <w:b/>
                <w:bCs/>
                <w:color w:val="000000"/>
                <w:sz w:val="18"/>
                <w:szCs w:val="18"/>
              </w:rPr>
              <w:t xml:space="preserve">Αποτελέσματα Γενικής Κυβέρνησης περιόδου 2024 </w:t>
            </w:r>
            <w:r w:rsidR="00E367A2" w:rsidRPr="000431B4">
              <w:rPr>
                <w:rFonts w:cs="Arial"/>
                <w:b/>
                <w:bCs/>
                <w:color w:val="000000"/>
                <w:sz w:val="18"/>
                <w:szCs w:val="18"/>
              </w:rPr>
              <w:t>-</w:t>
            </w:r>
            <w:r w:rsidR="00E367A2" w:rsidRPr="00E367A2">
              <w:rPr>
                <w:rFonts w:cs="Arial"/>
                <w:b/>
                <w:bCs/>
                <w:color w:val="000000"/>
                <w:sz w:val="18"/>
                <w:szCs w:val="18"/>
              </w:rPr>
              <w:t xml:space="preserve"> 2026</w:t>
            </w:r>
            <w:r w:rsidR="00E367A2" w:rsidRPr="00E367A2">
              <w:rPr>
                <w:rFonts w:cs="Arial"/>
                <w:b/>
                <w:bCs/>
                <w:color w:val="000000"/>
                <w:sz w:val="18"/>
                <w:szCs w:val="18"/>
              </w:rPr>
              <w:br/>
              <w:t>(σε εκατ. ευρώ)</w:t>
            </w:r>
            <w:bookmarkEnd w:id="287"/>
            <w:bookmarkEnd w:id="288"/>
          </w:p>
        </w:tc>
      </w:tr>
      <w:tr w:rsidR="00E367A2" w:rsidRPr="00E367A2" w14:paraId="4ABB0175" w14:textId="77777777" w:rsidTr="00EE3542">
        <w:trPr>
          <w:cantSplit/>
          <w:jc w:val="center"/>
        </w:trPr>
        <w:tc>
          <w:tcPr>
            <w:tcW w:w="4675" w:type="dxa"/>
            <w:gridSpan w:val="2"/>
            <w:vMerge w:val="restart"/>
            <w:shd w:val="clear" w:color="auto" w:fill="F2F2F2" w:themeFill="background1" w:themeFillShade="F2"/>
            <w:vAlign w:val="center"/>
            <w:hideMark/>
          </w:tcPr>
          <w:p w14:paraId="22D7E3FB"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Γενική Κυβέρνηση κατά ESA ανά υποτομέα</w:t>
            </w:r>
          </w:p>
        </w:tc>
        <w:tc>
          <w:tcPr>
            <w:tcW w:w="1465" w:type="dxa"/>
            <w:shd w:val="clear" w:color="auto" w:fill="F2F2F2" w:themeFill="background1" w:themeFillShade="F2"/>
            <w:vAlign w:val="center"/>
            <w:hideMark/>
          </w:tcPr>
          <w:p w14:paraId="4F51DC30"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2024</w:t>
            </w:r>
          </w:p>
        </w:tc>
        <w:tc>
          <w:tcPr>
            <w:tcW w:w="1160" w:type="dxa"/>
            <w:shd w:val="clear" w:color="auto" w:fill="F2F2F2" w:themeFill="background1" w:themeFillShade="F2"/>
            <w:vAlign w:val="center"/>
            <w:hideMark/>
          </w:tcPr>
          <w:p w14:paraId="12790CA2"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2025</w:t>
            </w:r>
          </w:p>
        </w:tc>
        <w:tc>
          <w:tcPr>
            <w:tcW w:w="1160" w:type="dxa"/>
            <w:shd w:val="clear" w:color="auto" w:fill="F2F2F2" w:themeFill="background1" w:themeFillShade="F2"/>
            <w:vAlign w:val="center"/>
            <w:hideMark/>
          </w:tcPr>
          <w:p w14:paraId="48E66B9B"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2026</w:t>
            </w:r>
          </w:p>
        </w:tc>
      </w:tr>
      <w:tr w:rsidR="00E367A2" w:rsidRPr="00E367A2" w14:paraId="48915A9D" w14:textId="77777777" w:rsidTr="00EE3542">
        <w:trPr>
          <w:cantSplit/>
          <w:jc w:val="center"/>
        </w:trPr>
        <w:tc>
          <w:tcPr>
            <w:tcW w:w="4675" w:type="dxa"/>
            <w:gridSpan w:val="2"/>
            <w:vMerge/>
            <w:tcBorders>
              <w:bottom w:val="single" w:sz="2" w:space="0" w:color="A6A6A6" w:themeColor="background1" w:themeShade="A6"/>
            </w:tcBorders>
            <w:shd w:val="clear" w:color="auto" w:fill="F2F2F2" w:themeFill="background1" w:themeFillShade="F2"/>
            <w:vAlign w:val="center"/>
            <w:hideMark/>
          </w:tcPr>
          <w:p w14:paraId="0333D1C8" w14:textId="77777777" w:rsidR="00E367A2" w:rsidRPr="00E367A2" w:rsidRDefault="00E367A2" w:rsidP="00F83D04">
            <w:pPr>
              <w:spacing w:after="0" w:line="276" w:lineRule="auto"/>
              <w:jc w:val="left"/>
              <w:rPr>
                <w:rFonts w:cs="Arial"/>
                <w:b/>
                <w:bCs/>
                <w:color w:val="000000"/>
                <w:sz w:val="16"/>
                <w:szCs w:val="16"/>
              </w:rPr>
            </w:pPr>
          </w:p>
        </w:tc>
        <w:tc>
          <w:tcPr>
            <w:tcW w:w="1465" w:type="dxa"/>
            <w:tcBorders>
              <w:bottom w:val="single" w:sz="2" w:space="0" w:color="A6A6A6" w:themeColor="background1" w:themeShade="A6"/>
            </w:tcBorders>
            <w:shd w:val="clear" w:color="auto" w:fill="F2F2F2" w:themeFill="background1" w:themeFillShade="F2"/>
            <w:vAlign w:val="center"/>
            <w:hideMark/>
          </w:tcPr>
          <w:p w14:paraId="760384D3"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ΔΥΕ Οκτωβρίου 2025</w:t>
            </w:r>
          </w:p>
        </w:tc>
        <w:tc>
          <w:tcPr>
            <w:tcW w:w="1160" w:type="dxa"/>
            <w:tcBorders>
              <w:bottom w:val="single" w:sz="2" w:space="0" w:color="A6A6A6" w:themeColor="background1" w:themeShade="A6"/>
            </w:tcBorders>
            <w:shd w:val="clear" w:color="auto" w:fill="F2F2F2" w:themeFill="background1" w:themeFillShade="F2"/>
            <w:vAlign w:val="center"/>
            <w:hideMark/>
          </w:tcPr>
          <w:p w14:paraId="000B8214"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Εκτίμηση</w:t>
            </w:r>
          </w:p>
        </w:tc>
        <w:tc>
          <w:tcPr>
            <w:tcW w:w="1160" w:type="dxa"/>
            <w:tcBorders>
              <w:bottom w:val="single" w:sz="2" w:space="0" w:color="A6A6A6" w:themeColor="background1" w:themeShade="A6"/>
            </w:tcBorders>
            <w:shd w:val="clear" w:color="auto" w:fill="F2F2F2" w:themeFill="background1" w:themeFillShade="F2"/>
            <w:vAlign w:val="center"/>
            <w:hideMark/>
          </w:tcPr>
          <w:p w14:paraId="5489E134"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Πρόβλεψη</w:t>
            </w:r>
          </w:p>
        </w:tc>
      </w:tr>
      <w:tr w:rsidR="00E367A2" w:rsidRPr="00E367A2" w14:paraId="7794C5CE" w14:textId="77777777" w:rsidTr="00EE3542">
        <w:trPr>
          <w:cantSplit/>
          <w:jc w:val="center"/>
        </w:trPr>
        <w:tc>
          <w:tcPr>
            <w:tcW w:w="400" w:type="dxa"/>
            <w:tcBorders>
              <w:top w:val="single" w:sz="2" w:space="0" w:color="A6A6A6" w:themeColor="background1" w:themeShade="A6"/>
              <w:bottom w:val="nil"/>
            </w:tcBorders>
            <w:shd w:val="clear" w:color="auto" w:fill="auto"/>
            <w:hideMark/>
          </w:tcPr>
          <w:p w14:paraId="0B4E0E88"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1.</w:t>
            </w:r>
          </w:p>
        </w:tc>
        <w:tc>
          <w:tcPr>
            <w:tcW w:w="4275" w:type="dxa"/>
            <w:tcBorders>
              <w:top w:val="single" w:sz="2" w:space="0" w:color="A6A6A6" w:themeColor="background1" w:themeShade="A6"/>
              <w:bottom w:val="nil"/>
            </w:tcBorders>
            <w:shd w:val="clear" w:color="auto" w:fill="auto"/>
            <w:hideMark/>
          </w:tcPr>
          <w:p w14:paraId="4C90348C" w14:textId="35CDC8A2" w:rsidR="00E367A2" w:rsidRPr="00E367A2" w:rsidRDefault="00E367A2" w:rsidP="00F83D04">
            <w:pPr>
              <w:spacing w:after="0" w:line="276" w:lineRule="auto"/>
              <w:jc w:val="left"/>
              <w:rPr>
                <w:rFonts w:cs="Arial"/>
                <w:color w:val="000000"/>
                <w:sz w:val="16"/>
                <w:szCs w:val="16"/>
              </w:rPr>
            </w:pPr>
            <w:r w:rsidRPr="00E367A2">
              <w:rPr>
                <w:rFonts w:cs="Arial"/>
                <w:color w:val="000000"/>
                <w:sz w:val="16"/>
                <w:szCs w:val="16"/>
              </w:rPr>
              <w:t xml:space="preserve">Ισοζύγιο </w:t>
            </w:r>
            <w:r w:rsidR="000431B4">
              <w:rPr>
                <w:rFonts w:cs="Arial"/>
                <w:color w:val="000000"/>
                <w:sz w:val="16"/>
                <w:szCs w:val="16"/>
              </w:rPr>
              <w:t>κ</w:t>
            </w:r>
            <w:r w:rsidRPr="00E367A2">
              <w:rPr>
                <w:rFonts w:cs="Arial"/>
                <w:color w:val="000000"/>
                <w:sz w:val="16"/>
                <w:szCs w:val="16"/>
              </w:rPr>
              <w:t xml:space="preserve">ρατικού </w:t>
            </w:r>
            <w:r w:rsidR="000431B4">
              <w:rPr>
                <w:rFonts w:cs="Arial"/>
                <w:color w:val="000000"/>
                <w:sz w:val="16"/>
                <w:szCs w:val="16"/>
              </w:rPr>
              <w:t>π</w:t>
            </w:r>
            <w:r w:rsidRPr="00E367A2">
              <w:rPr>
                <w:rFonts w:cs="Arial"/>
                <w:color w:val="000000"/>
                <w:sz w:val="16"/>
                <w:szCs w:val="16"/>
              </w:rPr>
              <w:t>ροϋπολογισμού</w:t>
            </w:r>
            <w:r w:rsidRPr="00E367A2">
              <w:rPr>
                <w:rFonts w:cs="Arial"/>
                <w:color w:val="000000"/>
                <w:sz w:val="16"/>
                <w:szCs w:val="16"/>
              </w:rPr>
              <w:br/>
              <w:t>(Προεδρία της Δημοκρατίας, Προεδρία της Κυβέρνησης, Βουλή, Υπουργεία, Περιφερειακές Υπηρεσίες Υπουργείων και Αποκεντρωμένες Διοικήσεις)</w:t>
            </w:r>
          </w:p>
        </w:tc>
        <w:tc>
          <w:tcPr>
            <w:tcW w:w="1465" w:type="dxa"/>
            <w:tcBorders>
              <w:top w:val="single" w:sz="2" w:space="0" w:color="A6A6A6" w:themeColor="background1" w:themeShade="A6"/>
              <w:bottom w:val="nil"/>
            </w:tcBorders>
            <w:shd w:val="clear" w:color="auto" w:fill="auto"/>
            <w:hideMark/>
          </w:tcPr>
          <w:p w14:paraId="533CC117"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-2.741</w:t>
            </w:r>
          </w:p>
        </w:tc>
        <w:tc>
          <w:tcPr>
            <w:tcW w:w="1160" w:type="dxa"/>
            <w:tcBorders>
              <w:top w:val="single" w:sz="2" w:space="0" w:color="A6A6A6" w:themeColor="background1" w:themeShade="A6"/>
              <w:bottom w:val="nil"/>
            </w:tcBorders>
            <w:shd w:val="clear" w:color="auto" w:fill="auto"/>
            <w:hideMark/>
          </w:tcPr>
          <w:p w14:paraId="5CC86E37"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-4.459</w:t>
            </w:r>
          </w:p>
        </w:tc>
        <w:tc>
          <w:tcPr>
            <w:tcW w:w="1160" w:type="dxa"/>
            <w:tcBorders>
              <w:top w:val="single" w:sz="2" w:space="0" w:color="A6A6A6" w:themeColor="background1" w:themeShade="A6"/>
              <w:bottom w:val="nil"/>
            </w:tcBorders>
            <w:shd w:val="clear" w:color="auto" w:fill="auto"/>
            <w:hideMark/>
          </w:tcPr>
          <w:p w14:paraId="10390C2D"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-6.810</w:t>
            </w:r>
          </w:p>
        </w:tc>
      </w:tr>
      <w:tr w:rsidR="00E367A2" w:rsidRPr="00E367A2" w14:paraId="682A18B1" w14:textId="77777777" w:rsidTr="00EE3542">
        <w:trPr>
          <w:cantSplit/>
          <w:jc w:val="center"/>
        </w:trPr>
        <w:tc>
          <w:tcPr>
            <w:tcW w:w="400" w:type="dxa"/>
            <w:tcBorders>
              <w:top w:val="nil"/>
            </w:tcBorders>
            <w:shd w:val="clear" w:color="auto" w:fill="auto"/>
            <w:hideMark/>
          </w:tcPr>
          <w:p w14:paraId="2175572A"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2.</w:t>
            </w:r>
          </w:p>
        </w:tc>
        <w:tc>
          <w:tcPr>
            <w:tcW w:w="4275" w:type="dxa"/>
            <w:tcBorders>
              <w:top w:val="nil"/>
            </w:tcBorders>
            <w:shd w:val="clear" w:color="auto" w:fill="auto"/>
            <w:hideMark/>
          </w:tcPr>
          <w:p w14:paraId="2D9DAC51" w14:textId="77777777" w:rsidR="00E367A2" w:rsidRPr="00E367A2" w:rsidRDefault="00E367A2" w:rsidP="00F83D04">
            <w:pPr>
              <w:spacing w:after="0" w:line="276" w:lineRule="auto"/>
              <w:jc w:val="left"/>
              <w:rPr>
                <w:rFonts w:cs="Arial"/>
                <w:color w:val="000000"/>
                <w:sz w:val="16"/>
                <w:szCs w:val="16"/>
              </w:rPr>
            </w:pPr>
            <w:r w:rsidRPr="00E367A2">
              <w:rPr>
                <w:rFonts w:cs="Arial"/>
                <w:color w:val="000000"/>
                <w:sz w:val="16"/>
                <w:szCs w:val="16"/>
              </w:rPr>
              <w:t>Ισοζύγιο Κεντρικής Κυβέρνησης</w:t>
            </w:r>
            <w:r w:rsidRPr="00E367A2">
              <w:rPr>
                <w:rFonts w:cs="Arial"/>
                <w:color w:val="000000"/>
                <w:sz w:val="16"/>
                <w:szCs w:val="16"/>
              </w:rPr>
              <w:br/>
              <w:t>(Κράτος, ΝΠ εντός της Γενικής Κυβέρνησης και νοσοκομεία)</w:t>
            </w:r>
          </w:p>
        </w:tc>
        <w:tc>
          <w:tcPr>
            <w:tcW w:w="1465" w:type="dxa"/>
            <w:tcBorders>
              <w:top w:val="nil"/>
            </w:tcBorders>
            <w:shd w:val="clear" w:color="auto" w:fill="auto"/>
            <w:hideMark/>
          </w:tcPr>
          <w:p w14:paraId="14E872E6"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1.830</w:t>
            </w:r>
          </w:p>
        </w:tc>
        <w:tc>
          <w:tcPr>
            <w:tcW w:w="1160" w:type="dxa"/>
            <w:tcBorders>
              <w:top w:val="nil"/>
            </w:tcBorders>
            <w:shd w:val="clear" w:color="auto" w:fill="auto"/>
            <w:hideMark/>
          </w:tcPr>
          <w:p w14:paraId="348CA25E"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-590</w:t>
            </w:r>
          </w:p>
        </w:tc>
        <w:tc>
          <w:tcPr>
            <w:tcW w:w="1160" w:type="dxa"/>
            <w:tcBorders>
              <w:top w:val="nil"/>
            </w:tcBorders>
            <w:shd w:val="clear" w:color="auto" w:fill="auto"/>
            <w:hideMark/>
          </w:tcPr>
          <w:p w14:paraId="123DCE90"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-2.397</w:t>
            </w:r>
          </w:p>
        </w:tc>
      </w:tr>
      <w:tr w:rsidR="00E367A2" w:rsidRPr="00E367A2" w14:paraId="5095E657" w14:textId="77777777" w:rsidTr="00EE3542">
        <w:trPr>
          <w:cantSplit/>
          <w:jc w:val="center"/>
        </w:trPr>
        <w:tc>
          <w:tcPr>
            <w:tcW w:w="400" w:type="dxa"/>
            <w:shd w:val="clear" w:color="auto" w:fill="auto"/>
            <w:hideMark/>
          </w:tcPr>
          <w:p w14:paraId="320228DA"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3.</w:t>
            </w:r>
          </w:p>
        </w:tc>
        <w:tc>
          <w:tcPr>
            <w:tcW w:w="4275" w:type="dxa"/>
            <w:shd w:val="clear" w:color="auto" w:fill="auto"/>
            <w:hideMark/>
          </w:tcPr>
          <w:p w14:paraId="17E5F1EA" w14:textId="77777777" w:rsidR="00E367A2" w:rsidRPr="00E367A2" w:rsidRDefault="00E367A2" w:rsidP="00F83D04">
            <w:pPr>
              <w:spacing w:after="0" w:line="276" w:lineRule="auto"/>
              <w:jc w:val="left"/>
              <w:rPr>
                <w:rFonts w:cs="Arial"/>
                <w:color w:val="000000"/>
                <w:sz w:val="16"/>
                <w:szCs w:val="16"/>
              </w:rPr>
            </w:pPr>
            <w:r w:rsidRPr="00E367A2">
              <w:rPr>
                <w:rFonts w:cs="Arial"/>
                <w:color w:val="000000"/>
                <w:sz w:val="16"/>
                <w:szCs w:val="16"/>
              </w:rPr>
              <w:t>Ισοζύγιο Οργανισμών Τοπικής Αυτοδιοίκησης (ΟΤΑ)</w:t>
            </w:r>
          </w:p>
        </w:tc>
        <w:tc>
          <w:tcPr>
            <w:tcW w:w="1465" w:type="dxa"/>
            <w:shd w:val="clear" w:color="auto" w:fill="auto"/>
            <w:hideMark/>
          </w:tcPr>
          <w:p w14:paraId="6B7E52C1"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31</w:t>
            </w:r>
          </w:p>
        </w:tc>
        <w:tc>
          <w:tcPr>
            <w:tcW w:w="1160" w:type="dxa"/>
            <w:shd w:val="clear" w:color="auto" w:fill="auto"/>
            <w:hideMark/>
          </w:tcPr>
          <w:p w14:paraId="6839B185"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67</w:t>
            </w:r>
          </w:p>
        </w:tc>
        <w:tc>
          <w:tcPr>
            <w:tcW w:w="1160" w:type="dxa"/>
            <w:shd w:val="clear" w:color="auto" w:fill="auto"/>
            <w:hideMark/>
          </w:tcPr>
          <w:p w14:paraId="085C1B74"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106</w:t>
            </w:r>
          </w:p>
        </w:tc>
      </w:tr>
      <w:tr w:rsidR="00E367A2" w:rsidRPr="00E367A2" w14:paraId="1129FF3B" w14:textId="77777777" w:rsidTr="00EE3542">
        <w:trPr>
          <w:cantSplit/>
          <w:jc w:val="center"/>
        </w:trPr>
        <w:tc>
          <w:tcPr>
            <w:tcW w:w="400" w:type="dxa"/>
            <w:shd w:val="clear" w:color="auto" w:fill="auto"/>
            <w:hideMark/>
          </w:tcPr>
          <w:p w14:paraId="21B27019"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4.</w:t>
            </w:r>
          </w:p>
        </w:tc>
        <w:tc>
          <w:tcPr>
            <w:tcW w:w="4275" w:type="dxa"/>
            <w:shd w:val="clear" w:color="auto" w:fill="auto"/>
            <w:hideMark/>
          </w:tcPr>
          <w:p w14:paraId="5583366A" w14:textId="77777777" w:rsidR="00E367A2" w:rsidRPr="00E367A2" w:rsidRDefault="00E367A2" w:rsidP="00F83D04">
            <w:pPr>
              <w:spacing w:after="0" w:line="276" w:lineRule="auto"/>
              <w:jc w:val="left"/>
              <w:rPr>
                <w:rFonts w:cs="Arial"/>
                <w:color w:val="000000"/>
                <w:sz w:val="16"/>
                <w:szCs w:val="16"/>
              </w:rPr>
            </w:pPr>
            <w:r w:rsidRPr="00E367A2">
              <w:rPr>
                <w:rFonts w:cs="Arial"/>
                <w:color w:val="000000"/>
                <w:sz w:val="16"/>
                <w:szCs w:val="16"/>
              </w:rPr>
              <w:t>Ισοζύγιο Οργανισμών Κοινωνικής Ασφάλισης (ΟΚΑ)</w:t>
            </w:r>
          </w:p>
        </w:tc>
        <w:tc>
          <w:tcPr>
            <w:tcW w:w="1465" w:type="dxa"/>
            <w:shd w:val="clear" w:color="auto" w:fill="auto"/>
            <w:hideMark/>
          </w:tcPr>
          <w:p w14:paraId="25CB575A"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1.049</w:t>
            </w:r>
          </w:p>
        </w:tc>
        <w:tc>
          <w:tcPr>
            <w:tcW w:w="1160" w:type="dxa"/>
            <w:shd w:val="clear" w:color="auto" w:fill="auto"/>
            <w:hideMark/>
          </w:tcPr>
          <w:p w14:paraId="04E2DF2E"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1.996</w:t>
            </w:r>
          </w:p>
        </w:tc>
        <w:tc>
          <w:tcPr>
            <w:tcW w:w="1160" w:type="dxa"/>
            <w:shd w:val="clear" w:color="auto" w:fill="auto"/>
            <w:hideMark/>
          </w:tcPr>
          <w:p w14:paraId="0E98A621"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1.790</w:t>
            </w:r>
          </w:p>
        </w:tc>
      </w:tr>
      <w:tr w:rsidR="00E367A2" w:rsidRPr="00E367A2" w14:paraId="3B49571E" w14:textId="77777777" w:rsidTr="00EE3542">
        <w:trPr>
          <w:cantSplit/>
          <w:jc w:val="center"/>
        </w:trPr>
        <w:tc>
          <w:tcPr>
            <w:tcW w:w="400" w:type="dxa"/>
            <w:shd w:val="clear" w:color="000000" w:fill="D5DCE4"/>
            <w:hideMark/>
          </w:tcPr>
          <w:p w14:paraId="1331399A"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5.</w:t>
            </w:r>
          </w:p>
        </w:tc>
        <w:tc>
          <w:tcPr>
            <w:tcW w:w="4275" w:type="dxa"/>
            <w:shd w:val="clear" w:color="000000" w:fill="D5DCE4"/>
            <w:hideMark/>
          </w:tcPr>
          <w:p w14:paraId="5CDF5417" w14:textId="77777777" w:rsidR="000431B4" w:rsidRDefault="00E367A2" w:rsidP="00F83D04">
            <w:pPr>
              <w:spacing w:after="0" w:line="276" w:lineRule="auto"/>
              <w:jc w:val="left"/>
              <w:rPr>
                <w:rFonts w:cs="Arial"/>
                <w:b/>
                <w:bCs/>
                <w:color w:val="000000"/>
                <w:sz w:val="16"/>
                <w:szCs w:val="16"/>
              </w:rPr>
            </w:pPr>
            <w:r w:rsidRPr="00E367A2">
              <w:rPr>
                <w:rFonts w:cs="Arial"/>
                <w:b/>
                <w:bCs/>
                <w:color w:val="000000"/>
                <w:sz w:val="16"/>
                <w:szCs w:val="16"/>
              </w:rPr>
              <w:t>Ισοζύγιο Γενικής Κυβέρνησης</w:t>
            </w:r>
          </w:p>
          <w:p w14:paraId="627B8124" w14:textId="498DB82C" w:rsidR="00E367A2" w:rsidRPr="00E367A2" w:rsidRDefault="00E367A2" w:rsidP="00F83D04">
            <w:pPr>
              <w:spacing w:after="0" w:line="276" w:lineRule="auto"/>
              <w:jc w:val="left"/>
              <w:rPr>
                <w:rFonts w:cs="Arial"/>
                <w:b/>
                <w:bCs/>
                <w:color w:val="000000"/>
                <w:sz w:val="16"/>
                <w:szCs w:val="16"/>
              </w:rPr>
            </w:pPr>
            <w:r w:rsidRPr="00E367A2">
              <w:rPr>
                <w:rFonts w:cs="Arial"/>
                <w:b/>
                <w:bCs/>
                <w:color w:val="000000"/>
                <w:sz w:val="16"/>
                <w:szCs w:val="16"/>
              </w:rPr>
              <w:t>σύμφωνα με τη μεθοδολογία ESA (2+3+4)</w:t>
            </w:r>
          </w:p>
        </w:tc>
        <w:tc>
          <w:tcPr>
            <w:tcW w:w="1465" w:type="dxa"/>
            <w:shd w:val="clear" w:color="000000" w:fill="D5DCE4"/>
            <w:hideMark/>
          </w:tcPr>
          <w:p w14:paraId="371624C2"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2.910</w:t>
            </w:r>
          </w:p>
        </w:tc>
        <w:tc>
          <w:tcPr>
            <w:tcW w:w="1160" w:type="dxa"/>
            <w:shd w:val="clear" w:color="000000" w:fill="D5DCE4"/>
            <w:hideMark/>
          </w:tcPr>
          <w:p w14:paraId="678D08C8"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1.473</w:t>
            </w:r>
          </w:p>
        </w:tc>
        <w:tc>
          <w:tcPr>
            <w:tcW w:w="1160" w:type="dxa"/>
            <w:shd w:val="clear" w:color="000000" w:fill="D5DCE4"/>
            <w:hideMark/>
          </w:tcPr>
          <w:p w14:paraId="2896C67C"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-501</w:t>
            </w:r>
          </w:p>
        </w:tc>
      </w:tr>
      <w:tr w:rsidR="00E367A2" w:rsidRPr="00E367A2" w14:paraId="3226BE86" w14:textId="77777777" w:rsidTr="00EE3542">
        <w:trPr>
          <w:cantSplit/>
          <w:jc w:val="center"/>
        </w:trPr>
        <w:tc>
          <w:tcPr>
            <w:tcW w:w="400" w:type="dxa"/>
            <w:shd w:val="clear" w:color="auto" w:fill="auto"/>
            <w:hideMark/>
          </w:tcPr>
          <w:p w14:paraId="079FEC19" w14:textId="6F134529" w:rsidR="00E367A2" w:rsidRPr="00E367A2" w:rsidRDefault="00E367A2" w:rsidP="00F83D04">
            <w:pPr>
              <w:spacing w:after="0" w:line="276" w:lineRule="auto"/>
              <w:jc w:val="center"/>
              <w:rPr>
                <w:rFonts w:cs="Arial"/>
                <w:color w:val="000000"/>
                <w:sz w:val="16"/>
                <w:szCs w:val="16"/>
              </w:rPr>
            </w:pPr>
          </w:p>
        </w:tc>
        <w:tc>
          <w:tcPr>
            <w:tcW w:w="4275" w:type="dxa"/>
            <w:shd w:val="clear" w:color="auto" w:fill="auto"/>
            <w:hideMark/>
          </w:tcPr>
          <w:p w14:paraId="1D313887" w14:textId="77777777" w:rsidR="00E367A2" w:rsidRPr="00E367A2" w:rsidRDefault="00E367A2" w:rsidP="00F83D04">
            <w:pPr>
              <w:spacing w:after="0" w:line="276" w:lineRule="auto"/>
              <w:jc w:val="left"/>
              <w:rPr>
                <w:rFonts w:cs="Arial"/>
                <w:i/>
                <w:iCs/>
                <w:color w:val="000000"/>
                <w:sz w:val="16"/>
                <w:szCs w:val="16"/>
              </w:rPr>
            </w:pPr>
            <w:r w:rsidRPr="00E367A2">
              <w:rPr>
                <w:rFonts w:cs="Arial"/>
                <w:i/>
                <w:iCs/>
                <w:color w:val="000000"/>
                <w:sz w:val="16"/>
                <w:szCs w:val="16"/>
              </w:rPr>
              <w:t>% του ΑΕΠ</w:t>
            </w:r>
          </w:p>
        </w:tc>
        <w:tc>
          <w:tcPr>
            <w:tcW w:w="1465" w:type="dxa"/>
            <w:shd w:val="clear" w:color="auto" w:fill="auto"/>
            <w:hideMark/>
          </w:tcPr>
          <w:p w14:paraId="0452446D"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1,2%</w:t>
            </w:r>
          </w:p>
        </w:tc>
        <w:tc>
          <w:tcPr>
            <w:tcW w:w="1160" w:type="dxa"/>
            <w:shd w:val="clear" w:color="auto" w:fill="auto"/>
            <w:hideMark/>
          </w:tcPr>
          <w:p w14:paraId="6317B19C"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0,6%</w:t>
            </w:r>
          </w:p>
        </w:tc>
        <w:tc>
          <w:tcPr>
            <w:tcW w:w="1160" w:type="dxa"/>
            <w:shd w:val="clear" w:color="auto" w:fill="auto"/>
            <w:hideMark/>
          </w:tcPr>
          <w:p w14:paraId="1F05875D"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-0,2%</w:t>
            </w:r>
          </w:p>
        </w:tc>
      </w:tr>
      <w:tr w:rsidR="00E367A2" w:rsidRPr="00E367A2" w14:paraId="40965E62" w14:textId="77777777" w:rsidTr="00EE3542">
        <w:trPr>
          <w:cantSplit/>
          <w:jc w:val="center"/>
        </w:trPr>
        <w:tc>
          <w:tcPr>
            <w:tcW w:w="400" w:type="dxa"/>
            <w:shd w:val="clear" w:color="auto" w:fill="auto"/>
            <w:hideMark/>
          </w:tcPr>
          <w:p w14:paraId="1367D5F3"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6.</w:t>
            </w:r>
          </w:p>
        </w:tc>
        <w:tc>
          <w:tcPr>
            <w:tcW w:w="4275" w:type="dxa"/>
            <w:shd w:val="clear" w:color="auto" w:fill="auto"/>
            <w:hideMark/>
          </w:tcPr>
          <w:p w14:paraId="118798C2" w14:textId="77777777" w:rsidR="00E367A2" w:rsidRPr="00E367A2" w:rsidRDefault="00E367A2" w:rsidP="00F83D04">
            <w:pPr>
              <w:spacing w:after="0" w:line="276" w:lineRule="auto"/>
              <w:jc w:val="left"/>
              <w:rPr>
                <w:rFonts w:cs="Arial"/>
                <w:color w:val="000000"/>
                <w:sz w:val="16"/>
                <w:szCs w:val="16"/>
              </w:rPr>
            </w:pPr>
            <w:r w:rsidRPr="00E367A2">
              <w:rPr>
                <w:rFonts w:cs="Arial"/>
                <w:color w:val="000000"/>
                <w:sz w:val="16"/>
                <w:szCs w:val="16"/>
              </w:rPr>
              <w:t>Ενοποιημένοι τόκοι Γενικής Κυβέρνησης</w:t>
            </w:r>
          </w:p>
        </w:tc>
        <w:tc>
          <w:tcPr>
            <w:tcW w:w="1465" w:type="dxa"/>
            <w:shd w:val="clear" w:color="auto" w:fill="auto"/>
            <w:hideMark/>
          </w:tcPr>
          <w:p w14:paraId="19FBF6E9"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8.234</w:t>
            </w:r>
          </w:p>
        </w:tc>
        <w:tc>
          <w:tcPr>
            <w:tcW w:w="1160" w:type="dxa"/>
            <w:shd w:val="clear" w:color="auto" w:fill="auto"/>
            <w:hideMark/>
          </w:tcPr>
          <w:p w14:paraId="723C1777"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7.677</w:t>
            </w:r>
          </w:p>
        </w:tc>
        <w:tc>
          <w:tcPr>
            <w:tcW w:w="1160" w:type="dxa"/>
            <w:shd w:val="clear" w:color="auto" w:fill="auto"/>
            <w:hideMark/>
          </w:tcPr>
          <w:p w14:paraId="065D33BC" w14:textId="77777777" w:rsidR="00E367A2" w:rsidRPr="00E367A2" w:rsidRDefault="00E367A2" w:rsidP="00F83D04">
            <w:pPr>
              <w:spacing w:after="0" w:line="276" w:lineRule="auto"/>
              <w:jc w:val="right"/>
              <w:rPr>
                <w:rFonts w:cs="Arial"/>
                <w:color w:val="000000"/>
                <w:sz w:val="16"/>
                <w:szCs w:val="16"/>
              </w:rPr>
            </w:pPr>
            <w:r w:rsidRPr="00E367A2">
              <w:rPr>
                <w:rFonts w:cs="Arial"/>
                <w:color w:val="000000"/>
                <w:sz w:val="16"/>
                <w:szCs w:val="16"/>
              </w:rPr>
              <w:t>7.713</w:t>
            </w:r>
          </w:p>
        </w:tc>
      </w:tr>
      <w:tr w:rsidR="00E367A2" w:rsidRPr="00E367A2" w14:paraId="01CDE049" w14:textId="77777777" w:rsidTr="00EE3542">
        <w:trPr>
          <w:cantSplit/>
          <w:jc w:val="center"/>
        </w:trPr>
        <w:tc>
          <w:tcPr>
            <w:tcW w:w="400" w:type="dxa"/>
            <w:shd w:val="clear" w:color="auto" w:fill="auto"/>
            <w:hideMark/>
          </w:tcPr>
          <w:p w14:paraId="63AF9A16" w14:textId="51512CA8" w:rsidR="00E367A2" w:rsidRPr="00E367A2" w:rsidRDefault="00E367A2" w:rsidP="00F83D04">
            <w:pPr>
              <w:spacing w:after="0" w:line="276" w:lineRule="auto"/>
              <w:jc w:val="center"/>
              <w:rPr>
                <w:rFonts w:cs="Arial"/>
                <w:color w:val="000000"/>
                <w:sz w:val="16"/>
                <w:szCs w:val="16"/>
              </w:rPr>
            </w:pPr>
          </w:p>
        </w:tc>
        <w:tc>
          <w:tcPr>
            <w:tcW w:w="4275" w:type="dxa"/>
            <w:shd w:val="clear" w:color="auto" w:fill="auto"/>
            <w:hideMark/>
          </w:tcPr>
          <w:p w14:paraId="62B71894" w14:textId="77777777" w:rsidR="00E367A2" w:rsidRPr="00E367A2" w:rsidRDefault="00E367A2" w:rsidP="00F83D04">
            <w:pPr>
              <w:spacing w:after="0" w:line="276" w:lineRule="auto"/>
              <w:jc w:val="left"/>
              <w:rPr>
                <w:rFonts w:cs="Arial"/>
                <w:i/>
                <w:iCs/>
                <w:color w:val="000000"/>
                <w:sz w:val="16"/>
                <w:szCs w:val="16"/>
              </w:rPr>
            </w:pPr>
            <w:r w:rsidRPr="00E367A2">
              <w:rPr>
                <w:rFonts w:cs="Arial"/>
                <w:i/>
                <w:iCs/>
                <w:color w:val="000000"/>
                <w:sz w:val="16"/>
                <w:szCs w:val="16"/>
              </w:rPr>
              <w:t>% του ΑΕΠ</w:t>
            </w:r>
          </w:p>
        </w:tc>
        <w:tc>
          <w:tcPr>
            <w:tcW w:w="1465" w:type="dxa"/>
            <w:shd w:val="clear" w:color="auto" w:fill="auto"/>
            <w:hideMark/>
          </w:tcPr>
          <w:p w14:paraId="2536D6C2"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3,5%</w:t>
            </w:r>
          </w:p>
        </w:tc>
        <w:tc>
          <w:tcPr>
            <w:tcW w:w="1160" w:type="dxa"/>
            <w:shd w:val="clear" w:color="auto" w:fill="auto"/>
            <w:hideMark/>
          </w:tcPr>
          <w:p w14:paraId="43D9A705"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3,1%</w:t>
            </w:r>
          </w:p>
        </w:tc>
        <w:tc>
          <w:tcPr>
            <w:tcW w:w="1160" w:type="dxa"/>
            <w:shd w:val="clear" w:color="auto" w:fill="auto"/>
            <w:hideMark/>
          </w:tcPr>
          <w:p w14:paraId="0FE93CCB"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3,0%</w:t>
            </w:r>
          </w:p>
        </w:tc>
      </w:tr>
      <w:tr w:rsidR="00E367A2" w:rsidRPr="00E367A2" w14:paraId="799F5266" w14:textId="77777777" w:rsidTr="00EE3542">
        <w:trPr>
          <w:cantSplit/>
          <w:jc w:val="center"/>
        </w:trPr>
        <w:tc>
          <w:tcPr>
            <w:tcW w:w="400" w:type="dxa"/>
            <w:shd w:val="clear" w:color="000000" w:fill="D5DCE4"/>
            <w:hideMark/>
          </w:tcPr>
          <w:p w14:paraId="52220E42"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7.</w:t>
            </w:r>
          </w:p>
        </w:tc>
        <w:tc>
          <w:tcPr>
            <w:tcW w:w="4275" w:type="dxa"/>
            <w:shd w:val="clear" w:color="000000" w:fill="D5DCE4"/>
            <w:hideMark/>
          </w:tcPr>
          <w:p w14:paraId="7F89ED97" w14:textId="77777777" w:rsidR="00E367A2" w:rsidRPr="00E367A2" w:rsidRDefault="00E367A2" w:rsidP="00F83D04">
            <w:pPr>
              <w:spacing w:after="0" w:line="276" w:lineRule="auto"/>
              <w:jc w:val="left"/>
              <w:rPr>
                <w:rFonts w:cs="Arial"/>
                <w:b/>
                <w:bCs/>
                <w:color w:val="000000"/>
                <w:sz w:val="16"/>
                <w:szCs w:val="16"/>
              </w:rPr>
            </w:pPr>
            <w:r w:rsidRPr="00E367A2">
              <w:rPr>
                <w:rFonts w:cs="Arial"/>
                <w:b/>
                <w:bCs/>
                <w:color w:val="000000"/>
                <w:sz w:val="16"/>
                <w:szCs w:val="16"/>
              </w:rPr>
              <w:t>Πρωτογενές αποτέλεσμα Γενικής Κυβέρνησης σύμφωνα με τη μεθοδολογία ESA (5+6)</w:t>
            </w:r>
          </w:p>
        </w:tc>
        <w:tc>
          <w:tcPr>
            <w:tcW w:w="1465" w:type="dxa"/>
            <w:shd w:val="clear" w:color="000000" w:fill="D5DCE4"/>
            <w:hideMark/>
          </w:tcPr>
          <w:p w14:paraId="696CB51C"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11.143</w:t>
            </w:r>
          </w:p>
        </w:tc>
        <w:tc>
          <w:tcPr>
            <w:tcW w:w="1160" w:type="dxa"/>
            <w:shd w:val="clear" w:color="000000" w:fill="D5DCE4"/>
            <w:hideMark/>
          </w:tcPr>
          <w:p w14:paraId="0A6CEBBC"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9.150</w:t>
            </w:r>
          </w:p>
        </w:tc>
        <w:tc>
          <w:tcPr>
            <w:tcW w:w="1160" w:type="dxa"/>
            <w:shd w:val="clear" w:color="000000" w:fill="D5DCE4"/>
            <w:hideMark/>
          </w:tcPr>
          <w:p w14:paraId="0F9C48BE"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7.211</w:t>
            </w:r>
          </w:p>
        </w:tc>
      </w:tr>
      <w:tr w:rsidR="00E367A2" w:rsidRPr="00E367A2" w14:paraId="701C8D32" w14:textId="77777777" w:rsidTr="00EE3542">
        <w:trPr>
          <w:cantSplit/>
          <w:jc w:val="center"/>
        </w:trPr>
        <w:tc>
          <w:tcPr>
            <w:tcW w:w="400" w:type="dxa"/>
            <w:shd w:val="clear" w:color="auto" w:fill="auto"/>
            <w:hideMark/>
          </w:tcPr>
          <w:p w14:paraId="702907CA" w14:textId="322AFF20" w:rsidR="00E367A2" w:rsidRPr="00E367A2" w:rsidRDefault="00E367A2" w:rsidP="00F83D04">
            <w:pPr>
              <w:spacing w:after="0" w:line="276" w:lineRule="auto"/>
              <w:jc w:val="center"/>
              <w:rPr>
                <w:rFonts w:cs="Arial"/>
                <w:color w:val="000000"/>
                <w:sz w:val="16"/>
                <w:szCs w:val="16"/>
              </w:rPr>
            </w:pPr>
          </w:p>
        </w:tc>
        <w:tc>
          <w:tcPr>
            <w:tcW w:w="4275" w:type="dxa"/>
            <w:shd w:val="clear" w:color="auto" w:fill="auto"/>
            <w:hideMark/>
          </w:tcPr>
          <w:p w14:paraId="711CD095" w14:textId="77777777" w:rsidR="00E367A2" w:rsidRPr="00E367A2" w:rsidRDefault="00E367A2" w:rsidP="00F83D04">
            <w:pPr>
              <w:spacing w:after="0" w:line="276" w:lineRule="auto"/>
              <w:jc w:val="left"/>
              <w:rPr>
                <w:rFonts w:cs="Arial"/>
                <w:i/>
                <w:iCs/>
                <w:color w:val="000000"/>
                <w:sz w:val="16"/>
                <w:szCs w:val="16"/>
              </w:rPr>
            </w:pPr>
            <w:r w:rsidRPr="00E367A2">
              <w:rPr>
                <w:rFonts w:cs="Arial"/>
                <w:i/>
                <w:iCs/>
                <w:color w:val="000000"/>
                <w:sz w:val="16"/>
                <w:szCs w:val="16"/>
              </w:rPr>
              <w:t>% του ΑΕΠ</w:t>
            </w:r>
          </w:p>
        </w:tc>
        <w:tc>
          <w:tcPr>
            <w:tcW w:w="1465" w:type="dxa"/>
            <w:shd w:val="clear" w:color="auto" w:fill="auto"/>
            <w:hideMark/>
          </w:tcPr>
          <w:p w14:paraId="797ADC3C"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4,7%</w:t>
            </w:r>
          </w:p>
        </w:tc>
        <w:tc>
          <w:tcPr>
            <w:tcW w:w="1160" w:type="dxa"/>
            <w:shd w:val="clear" w:color="auto" w:fill="auto"/>
            <w:hideMark/>
          </w:tcPr>
          <w:p w14:paraId="795FF097"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3,7%</w:t>
            </w:r>
          </w:p>
        </w:tc>
        <w:tc>
          <w:tcPr>
            <w:tcW w:w="1160" w:type="dxa"/>
            <w:shd w:val="clear" w:color="auto" w:fill="auto"/>
            <w:hideMark/>
          </w:tcPr>
          <w:p w14:paraId="709DC85D"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2,8%</w:t>
            </w:r>
          </w:p>
        </w:tc>
      </w:tr>
      <w:tr w:rsidR="00E367A2" w:rsidRPr="00E367A2" w14:paraId="7FE773FC" w14:textId="77777777" w:rsidTr="00EE3542">
        <w:trPr>
          <w:cantSplit/>
          <w:jc w:val="center"/>
        </w:trPr>
        <w:tc>
          <w:tcPr>
            <w:tcW w:w="400" w:type="dxa"/>
            <w:shd w:val="clear" w:color="000000" w:fill="D5DCE4"/>
            <w:hideMark/>
          </w:tcPr>
          <w:p w14:paraId="1261A948" w14:textId="77777777" w:rsidR="00E367A2" w:rsidRPr="00E367A2" w:rsidRDefault="00E367A2" w:rsidP="00F83D04">
            <w:pPr>
              <w:spacing w:after="0" w:line="276" w:lineRule="auto"/>
              <w:jc w:val="center"/>
              <w:rPr>
                <w:rFonts w:cs="Arial"/>
                <w:b/>
                <w:bCs/>
                <w:color w:val="000000"/>
                <w:sz w:val="16"/>
                <w:szCs w:val="16"/>
              </w:rPr>
            </w:pPr>
            <w:r w:rsidRPr="00E367A2">
              <w:rPr>
                <w:rFonts w:cs="Arial"/>
                <w:b/>
                <w:bCs/>
                <w:color w:val="000000"/>
                <w:sz w:val="16"/>
                <w:szCs w:val="16"/>
              </w:rPr>
              <w:t>8.</w:t>
            </w:r>
          </w:p>
        </w:tc>
        <w:tc>
          <w:tcPr>
            <w:tcW w:w="4275" w:type="dxa"/>
            <w:shd w:val="clear" w:color="000000" w:fill="D5DCE4"/>
            <w:hideMark/>
          </w:tcPr>
          <w:p w14:paraId="47A7FB35" w14:textId="77777777" w:rsidR="00E367A2" w:rsidRPr="00E367A2" w:rsidRDefault="00E367A2" w:rsidP="00F83D04">
            <w:pPr>
              <w:spacing w:after="0" w:line="276" w:lineRule="auto"/>
              <w:jc w:val="left"/>
              <w:rPr>
                <w:rFonts w:cs="Arial"/>
                <w:b/>
                <w:bCs/>
                <w:color w:val="000000"/>
                <w:sz w:val="16"/>
                <w:szCs w:val="16"/>
              </w:rPr>
            </w:pPr>
            <w:r w:rsidRPr="00E367A2">
              <w:rPr>
                <w:rFonts w:cs="Arial"/>
                <w:b/>
                <w:bCs/>
                <w:color w:val="000000"/>
                <w:sz w:val="16"/>
                <w:szCs w:val="16"/>
              </w:rPr>
              <w:t xml:space="preserve">Ενοποιημένο Χρέος Γενικής Κυβέρνησης </w:t>
            </w:r>
          </w:p>
        </w:tc>
        <w:tc>
          <w:tcPr>
            <w:tcW w:w="1465" w:type="dxa"/>
            <w:shd w:val="clear" w:color="000000" w:fill="D5DCE4"/>
            <w:hideMark/>
          </w:tcPr>
          <w:p w14:paraId="125D081C"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364.965</w:t>
            </w:r>
          </w:p>
        </w:tc>
        <w:tc>
          <w:tcPr>
            <w:tcW w:w="1160" w:type="dxa"/>
            <w:shd w:val="clear" w:color="000000" w:fill="D5DCE4"/>
            <w:hideMark/>
          </w:tcPr>
          <w:p w14:paraId="160CC436"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362.800</w:t>
            </w:r>
          </w:p>
        </w:tc>
        <w:tc>
          <w:tcPr>
            <w:tcW w:w="1160" w:type="dxa"/>
            <w:shd w:val="clear" w:color="000000" w:fill="D5DCE4"/>
            <w:hideMark/>
          </w:tcPr>
          <w:p w14:paraId="02CFFB47" w14:textId="53204772"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359.</w:t>
            </w:r>
            <w:r w:rsidR="00775F74">
              <w:rPr>
                <w:rFonts w:cs="Arial"/>
                <w:b/>
                <w:bCs/>
                <w:color w:val="000000"/>
                <w:sz w:val="16"/>
                <w:szCs w:val="16"/>
                <w:lang w:val="en-US"/>
              </w:rPr>
              <w:t>3</w:t>
            </w:r>
            <w:r w:rsidRPr="00E367A2">
              <w:rPr>
                <w:rFonts w:cs="Arial"/>
                <w:b/>
                <w:bCs/>
                <w:color w:val="000000"/>
                <w:sz w:val="16"/>
                <w:szCs w:val="16"/>
              </w:rPr>
              <w:t>00</w:t>
            </w:r>
          </w:p>
        </w:tc>
      </w:tr>
      <w:tr w:rsidR="00E367A2" w:rsidRPr="00E367A2" w14:paraId="31687D3A" w14:textId="77777777" w:rsidTr="00EE3542">
        <w:trPr>
          <w:cantSplit/>
          <w:jc w:val="center"/>
        </w:trPr>
        <w:tc>
          <w:tcPr>
            <w:tcW w:w="400" w:type="dxa"/>
            <w:shd w:val="clear" w:color="auto" w:fill="auto"/>
            <w:hideMark/>
          </w:tcPr>
          <w:p w14:paraId="6D59764B" w14:textId="368A3D27" w:rsidR="00E367A2" w:rsidRPr="00E367A2" w:rsidRDefault="00E367A2" w:rsidP="00F83D04">
            <w:pPr>
              <w:spacing w:after="0" w:line="276" w:lineRule="auto"/>
              <w:jc w:val="center"/>
              <w:rPr>
                <w:rFonts w:cs="Arial"/>
                <w:color w:val="000000"/>
                <w:sz w:val="16"/>
                <w:szCs w:val="16"/>
              </w:rPr>
            </w:pPr>
          </w:p>
        </w:tc>
        <w:tc>
          <w:tcPr>
            <w:tcW w:w="4275" w:type="dxa"/>
            <w:shd w:val="clear" w:color="auto" w:fill="auto"/>
            <w:hideMark/>
          </w:tcPr>
          <w:p w14:paraId="1C1C13CF" w14:textId="77777777" w:rsidR="00E367A2" w:rsidRPr="00E367A2" w:rsidRDefault="00E367A2" w:rsidP="00F83D04">
            <w:pPr>
              <w:spacing w:after="0" w:line="276" w:lineRule="auto"/>
              <w:jc w:val="left"/>
              <w:rPr>
                <w:rFonts w:cs="Arial"/>
                <w:i/>
                <w:iCs/>
                <w:color w:val="000000"/>
                <w:sz w:val="16"/>
                <w:szCs w:val="16"/>
              </w:rPr>
            </w:pPr>
            <w:r w:rsidRPr="00E367A2">
              <w:rPr>
                <w:rFonts w:cs="Arial"/>
                <w:i/>
                <w:iCs/>
                <w:color w:val="000000"/>
                <w:sz w:val="16"/>
                <w:szCs w:val="16"/>
              </w:rPr>
              <w:t>% του ΑΕΠ</w:t>
            </w:r>
          </w:p>
        </w:tc>
        <w:tc>
          <w:tcPr>
            <w:tcW w:w="1465" w:type="dxa"/>
            <w:shd w:val="clear" w:color="auto" w:fill="auto"/>
            <w:hideMark/>
          </w:tcPr>
          <w:p w14:paraId="7C30A9B6"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154,2%</w:t>
            </w:r>
          </w:p>
        </w:tc>
        <w:tc>
          <w:tcPr>
            <w:tcW w:w="1160" w:type="dxa"/>
            <w:shd w:val="clear" w:color="auto" w:fill="auto"/>
            <w:hideMark/>
          </w:tcPr>
          <w:p w14:paraId="71EBB030" w14:textId="77777777"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145,9%</w:t>
            </w:r>
          </w:p>
        </w:tc>
        <w:tc>
          <w:tcPr>
            <w:tcW w:w="1160" w:type="dxa"/>
            <w:shd w:val="clear" w:color="auto" w:fill="auto"/>
            <w:hideMark/>
          </w:tcPr>
          <w:p w14:paraId="79D3120D" w14:textId="15AA9FDA" w:rsidR="00E367A2" w:rsidRPr="00E367A2" w:rsidRDefault="00E367A2" w:rsidP="00F83D04">
            <w:pPr>
              <w:spacing w:after="0" w:line="276" w:lineRule="auto"/>
              <w:jc w:val="right"/>
              <w:rPr>
                <w:rFonts w:cs="Arial"/>
                <w:i/>
                <w:iCs/>
                <w:color w:val="000000"/>
                <w:sz w:val="16"/>
                <w:szCs w:val="16"/>
              </w:rPr>
            </w:pPr>
            <w:r w:rsidRPr="00E367A2">
              <w:rPr>
                <w:rFonts w:cs="Arial"/>
                <w:i/>
                <w:iCs/>
                <w:color w:val="000000"/>
                <w:sz w:val="16"/>
                <w:szCs w:val="16"/>
              </w:rPr>
              <w:t>138,</w:t>
            </w:r>
            <w:r w:rsidR="00775F74">
              <w:rPr>
                <w:rFonts w:cs="Arial"/>
                <w:i/>
                <w:iCs/>
                <w:color w:val="000000"/>
                <w:sz w:val="16"/>
                <w:szCs w:val="16"/>
                <w:lang w:val="en-US"/>
              </w:rPr>
              <w:t>2</w:t>
            </w:r>
            <w:r w:rsidRPr="00E367A2">
              <w:rPr>
                <w:rFonts w:cs="Arial"/>
                <w:i/>
                <w:iCs/>
                <w:color w:val="000000"/>
                <w:sz w:val="16"/>
                <w:szCs w:val="16"/>
              </w:rPr>
              <w:t>%</w:t>
            </w:r>
          </w:p>
        </w:tc>
      </w:tr>
      <w:tr w:rsidR="00E367A2" w:rsidRPr="00E367A2" w14:paraId="5C620EFD" w14:textId="77777777" w:rsidTr="00EE3542">
        <w:trPr>
          <w:cantSplit/>
          <w:jc w:val="center"/>
        </w:trPr>
        <w:tc>
          <w:tcPr>
            <w:tcW w:w="400" w:type="dxa"/>
            <w:shd w:val="clear" w:color="000000" w:fill="D5DCE4"/>
            <w:hideMark/>
          </w:tcPr>
          <w:p w14:paraId="1098E155" w14:textId="7058C26E" w:rsidR="00E367A2" w:rsidRPr="00E367A2" w:rsidRDefault="00E367A2" w:rsidP="00F83D04">
            <w:pPr>
              <w:spacing w:after="0" w:line="276" w:lineRule="auto"/>
              <w:jc w:val="center"/>
              <w:rPr>
                <w:rFonts w:cs="Arial"/>
                <w:color w:val="000000"/>
                <w:sz w:val="16"/>
                <w:szCs w:val="16"/>
              </w:rPr>
            </w:pPr>
          </w:p>
        </w:tc>
        <w:tc>
          <w:tcPr>
            <w:tcW w:w="4275" w:type="dxa"/>
            <w:shd w:val="clear" w:color="000000" w:fill="D5DCE4"/>
            <w:hideMark/>
          </w:tcPr>
          <w:p w14:paraId="54092363" w14:textId="77777777" w:rsidR="00E367A2" w:rsidRPr="00E367A2" w:rsidRDefault="00E367A2" w:rsidP="00F83D04">
            <w:pPr>
              <w:spacing w:after="0" w:line="276" w:lineRule="auto"/>
              <w:jc w:val="left"/>
              <w:rPr>
                <w:rFonts w:cs="Arial"/>
                <w:b/>
                <w:bCs/>
                <w:color w:val="000000"/>
                <w:sz w:val="16"/>
                <w:szCs w:val="16"/>
              </w:rPr>
            </w:pPr>
            <w:r w:rsidRPr="00E367A2">
              <w:rPr>
                <w:rFonts w:cs="Arial"/>
                <w:b/>
                <w:bCs/>
                <w:color w:val="000000"/>
                <w:sz w:val="16"/>
                <w:szCs w:val="16"/>
              </w:rPr>
              <w:t>ΑΕΠ</w:t>
            </w:r>
          </w:p>
        </w:tc>
        <w:tc>
          <w:tcPr>
            <w:tcW w:w="1465" w:type="dxa"/>
            <w:shd w:val="clear" w:color="000000" w:fill="D5DCE4"/>
            <w:hideMark/>
          </w:tcPr>
          <w:p w14:paraId="7D9F7EED"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236.736</w:t>
            </w:r>
          </w:p>
        </w:tc>
        <w:tc>
          <w:tcPr>
            <w:tcW w:w="1160" w:type="dxa"/>
            <w:shd w:val="clear" w:color="000000" w:fill="D5DCE4"/>
            <w:hideMark/>
          </w:tcPr>
          <w:p w14:paraId="6AD554DD"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248.697</w:t>
            </w:r>
          </w:p>
        </w:tc>
        <w:tc>
          <w:tcPr>
            <w:tcW w:w="1160" w:type="dxa"/>
            <w:shd w:val="clear" w:color="000000" w:fill="D5DCE4"/>
            <w:hideMark/>
          </w:tcPr>
          <w:p w14:paraId="15258B6A" w14:textId="77777777" w:rsidR="00E367A2" w:rsidRPr="00E367A2" w:rsidRDefault="00E367A2" w:rsidP="00F83D04">
            <w:pPr>
              <w:spacing w:after="0" w:line="276" w:lineRule="auto"/>
              <w:jc w:val="right"/>
              <w:rPr>
                <w:rFonts w:cs="Arial"/>
                <w:b/>
                <w:bCs/>
                <w:color w:val="000000"/>
                <w:sz w:val="16"/>
                <w:szCs w:val="16"/>
              </w:rPr>
            </w:pPr>
            <w:r w:rsidRPr="00E367A2">
              <w:rPr>
                <w:rFonts w:cs="Arial"/>
                <w:b/>
                <w:bCs/>
                <w:color w:val="000000"/>
                <w:sz w:val="16"/>
                <w:szCs w:val="16"/>
              </w:rPr>
              <w:t>260.035</w:t>
            </w:r>
          </w:p>
        </w:tc>
      </w:tr>
    </w:tbl>
    <w:p w14:paraId="1A8C1A79" w14:textId="2AA268E7" w:rsidR="001E584C" w:rsidRDefault="001E584C">
      <w:pPr>
        <w:spacing w:after="0" w:line="240" w:lineRule="auto"/>
        <w:jc w:val="left"/>
        <w:rPr>
          <w:highlight w:val="yellow"/>
        </w:rPr>
      </w:pPr>
    </w:p>
    <w:p w14:paraId="339F1C9E" w14:textId="77777777" w:rsidR="00A4484E" w:rsidRDefault="00A4484E">
      <w:pPr>
        <w:spacing w:after="0" w:line="240" w:lineRule="auto"/>
        <w:jc w:val="left"/>
        <w:rPr>
          <w:highlight w:val="yellow"/>
        </w:rPr>
      </w:pPr>
    </w:p>
    <w:tbl>
      <w:tblPr>
        <w:tblW w:w="10358"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ayout w:type="fixed"/>
        <w:tblLook w:val="04A0" w:firstRow="1" w:lastRow="0" w:firstColumn="1" w:lastColumn="0" w:noHBand="0" w:noVBand="1"/>
      </w:tblPr>
      <w:tblGrid>
        <w:gridCol w:w="6093"/>
        <w:gridCol w:w="1115"/>
        <w:gridCol w:w="1177"/>
        <w:gridCol w:w="920"/>
        <w:gridCol w:w="1053"/>
      </w:tblGrid>
      <w:tr w:rsidR="00D60513" w:rsidRPr="00293EFF" w14:paraId="53D9C7C0" w14:textId="77777777" w:rsidTr="00256353">
        <w:trPr>
          <w:cantSplit/>
          <w:trHeight w:val="510"/>
          <w:tblHeader/>
          <w:jc w:val="center"/>
        </w:trPr>
        <w:tc>
          <w:tcPr>
            <w:tcW w:w="10358" w:type="dxa"/>
            <w:gridSpan w:val="5"/>
            <w:tcBorders>
              <w:top w:val="single" w:sz="2" w:space="0" w:color="A6A6A6" w:themeColor="background1" w:themeShade="A6"/>
              <w:bottom w:val="single" w:sz="2" w:space="0" w:color="A6A6A6" w:themeColor="background1" w:themeShade="A6"/>
            </w:tcBorders>
            <w:shd w:val="clear" w:color="auto" w:fill="D5DCE4"/>
            <w:vAlign w:val="center"/>
            <w:hideMark/>
          </w:tcPr>
          <w:p w14:paraId="35039C30" w14:textId="59ECA81E" w:rsidR="00807039" w:rsidRDefault="00EE3542" w:rsidP="00256353">
            <w:pPr>
              <w:spacing w:after="0" w:line="240" w:lineRule="auto"/>
              <w:jc w:val="center"/>
              <w:rPr>
                <w:rFonts w:cs="Arial"/>
                <w:b/>
                <w:bCs/>
                <w:sz w:val="18"/>
                <w:szCs w:val="18"/>
              </w:rPr>
            </w:pPr>
            <w:bookmarkStart w:id="289" w:name="_Ref214107035"/>
            <w:bookmarkStart w:id="290" w:name="_Toc214474040"/>
            <w:bookmarkStart w:id="291" w:name="RANGE!A1:E224"/>
            <w:r w:rsidRPr="00293EFF">
              <w:rPr>
                <w:rFonts w:cs="Arial"/>
                <w:b/>
                <w:sz w:val="18"/>
                <w:szCs w:val="18"/>
              </w:rPr>
              <w:t>Πίνακας 3.</w:t>
            </w:r>
            <w:r w:rsidRPr="00293EFF">
              <w:rPr>
                <w:rFonts w:cs="Arial"/>
                <w:b/>
                <w:sz w:val="18"/>
                <w:szCs w:val="18"/>
              </w:rPr>
              <w:fldChar w:fldCharType="begin"/>
            </w:r>
            <w:r w:rsidRPr="00293EFF">
              <w:rPr>
                <w:rFonts w:cs="Arial"/>
                <w:b/>
                <w:sz w:val="18"/>
                <w:szCs w:val="18"/>
              </w:rPr>
              <w:instrText xml:space="preserve"> SEQ Πίνακας_3. \* ARABIC </w:instrText>
            </w:r>
            <w:r w:rsidRPr="00293EFF">
              <w:rPr>
                <w:rFonts w:cs="Arial"/>
                <w:b/>
                <w:sz w:val="18"/>
                <w:szCs w:val="18"/>
              </w:rPr>
              <w:fldChar w:fldCharType="separate"/>
            </w:r>
            <w:r w:rsidR="00E15678">
              <w:rPr>
                <w:rFonts w:cs="Arial"/>
                <w:b/>
                <w:noProof/>
                <w:sz w:val="18"/>
                <w:szCs w:val="18"/>
              </w:rPr>
              <w:t>2</w:t>
            </w:r>
            <w:r w:rsidRPr="00293EFF">
              <w:rPr>
                <w:rFonts w:cs="Arial"/>
                <w:b/>
                <w:sz w:val="18"/>
                <w:szCs w:val="18"/>
              </w:rPr>
              <w:fldChar w:fldCharType="end"/>
            </w:r>
            <w:bookmarkEnd w:id="289"/>
            <w:r w:rsidRPr="00293EFF">
              <w:rPr>
                <w:rFonts w:cs="Arial"/>
                <w:b/>
                <w:sz w:val="18"/>
                <w:szCs w:val="18"/>
              </w:rPr>
              <w:t xml:space="preserve">.: </w:t>
            </w:r>
            <w:r w:rsidR="00D60513" w:rsidRPr="00293EFF">
              <w:rPr>
                <w:rFonts w:cs="Arial"/>
                <w:b/>
                <w:bCs/>
                <w:sz w:val="18"/>
                <w:szCs w:val="18"/>
              </w:rPr>
              <w:t>Ισοζύγιο Γενικής Κυβέρνησης σύμφωνα με τη μεθοδολογία European System of Accounts (ESA)</w:t>
            </w:r>
            <w:bookmarkEnd w:id="290"/>
          </w:p>
          <w:p w14:paraId="3765B4E7" w14:textId="67A2E8B2" w:rsidR="00D60513" w:rsidRPr="00293EFF" w:rsidRDefault="00D60513" w:rsidP="00256353">
            <w:pPr>
              <w:spacing w:after="0" w:line="240" w:lineRule="auto"/>
              <w:jc w:val="center"/>
              <w:rPr>
                <w:rFonts w:cs="Arial"/>
                <w:b/>
                <w:bCs/>
                <w:sz w:val="18"/>
                <w:szCs w:val="18"/>
              </w:rPr>
            </w:pPr>
            <w:r w:rsidRPr="00293EFF">
              <w:rPr>
                <w:rFonts w:cs="Arial"/>
                <w:b/>
                <w:bCs/>
                <w:sz w:val="18"/>
                <w:szCs w:val="18"/>
              </w:rPr>
              <w:t>(σε εκατ. ευρώ)</w:t>
            </w:r>
            <w:bookmarkEnd w:id="291"/>
          </w:p>
        </w:tc>
      </w:tr>
      <w:tr w:rsidR="00191E14" w:rsidRPr="00191E14" w14:paraId="18A31797" w14:textId="77777777" w:rsidTr="005660DE">
        <w:trPr>
          <w:cantSplit/>
          <w:trHeight w:val="162"/>
          <w:tblHeader/>
          <w:jc w:val="center"/>
        </w:trPr>
        <w:tc>
          <w:tcPr>
            <w:tcW w:w="6093" w:type="dxa"/>
            <w:vMerge w:val="restart"/>
            <w:tcBorders>
              <w:top w:val="single" w:sz="2" w:space="0" w:color="A6A6A6" w:themeColor="background1" w:themeShade="A6"/>
            </w:tcBorders>
            <w:shd w:val="clear" w:color="auto" w:fill="F2F2F2" w:themeFill="background1" w:themeFillShade="F2"/>
            <w:vAlign w:val="center"/>
            <w:hideMark/>
          </w:tcPr>
          <w:p w14:paraId="64D0F5AD" w14:textId="2EFDE006" w:rsidR="00EB6241" w:rsidRPr="00191E14" w:rsidRDefault="00EB6241" w:rsidP="00A4484E">
            <w:pPr>
              <w:spacing w:after="0" w:line="240" w:lineRule="auto"/>
              <w:jc w:val="left"/>
              <w:rPr>
                <w:rFonts w:cs="Arial"/>
                <w:color w:val="000000"/>
                <w:sz w:val="15"/>
                <w:szCs w:val="15"/>
              </w:rPr>
            </w:pPr>
          </w:p>
        </w:tc>
        <w:tc>
          <w:tcPr>
            <w:tcW w:w="1115" w:type="dxa"/>
            <w:tcBorders>
              <w:top w:val="single" w:sz="2" w:space="0" w:color="A6A6A6" w:themeColor="background1" w:themeShade="A6"/>
            </w:tcBorders>
            <w:shd w:val="clear" w:color="auto" w:fill="F2F2F2" w:themeFill="background1" w:themeFillShade="F2"/>
            <w:vAlign w:val="center"/>
            <w:hideMark/>
          </w:tcPr>
          <w:p w14:paraId="3F6DE163" w14:textId="77777777" w:rsidR="00EB6241" w:rsidRPr="00191E14" w:rsidRDefault="00EB6241" w:rsidP="00A4484E">
            <w:pPr>
              <w:spacing w:after="0" w:line="240" w:lineRule="auto"/>
              <w:jc w:val="center"/>
              <w:rPr>
                <w:rFonts w:cs="Arial"/>
                <w:b/>
                <w:bCs/>
                <w:color w:val="000000"/>
                <w:sz w:val="15"/>
                <w:szCs w:val="15"/>
              </w:rPr>
            </w:pPr>
            <w:r w:rsidRPr="00191E14">
              <w:rPr>
                <w:rFonts w:cs="Arial"/>
                <w:b/>
                <w:bCs/>
                <w:color w:val="000000"/>
                <w:sz w:val="15"/>
                <w:szCs w:val="15"/>
              </w:rPr>
              <w:t>2024</w:t>
            </w:r>
          </w:p>
        </w:tc>
        <w:tc>
          <w:tcPr>
            <w:tcW w:w="2097" w:type="dxa"/>
            <w:gridSpan w:val="2"/>
            <w:tcBorders>
              <w:top w:val="single" w:sz="2" w:space="0" w:color="A6A6A6" w:themeColor="background1" w:themeShade="A6"/>
            </w:tcBorders>
            <w:shd w:val="clear" w:color="auto" w:fill="F2F2F2" w:themeFill="background1" w:themeFillShade="F2"/>
            <w:vAlign w:val="center"/>
            <w:hideMark/>
          </w:tcPr>
          <w:p w14:paraId="756C703F" w14:textId="77777777" w:rsidR="00EB6241" w:rsidRPr="00191E14" w:rsidRDefault="00EB6241" w:rsidP="00A4484E">
            <w:pPr>
              <w:spacing w:after="0" w:line="240" w:lineRule="auto"/>
              <w:jc w:val="center"/>
              <w:rPr>
                <w:rFonts w:cs="Arial"/>
                <w:b/>
                <w:bCs/>
                <w:color w:val="000000"/>
                <w:sz w:val="15"/>
                <w:szCs w:val="15"/>
              </w:rPr>
            </w:pPr>
            <w:r w:rsidRPr="00191E14">
              <w:rPr>
                <w:rFonts w:cs="Arial"/>
                <w:b/>
                <w:bCs/>
                <w:color w:val="000000"/>
                <w:sz w:val="15"/>
                <w:szCs w:val="15"/>
              </w:rPr>
              <w:t>2025</w:t>
            </w:r>
          </w:p>
        </w:tc>
        <w:tc>
          <w:tcPr>
            <w:tcW w:w="1053" w:type="dxa"/>
            <w:tcBorders>
              <w:top w:val="single" w:sz="2" w:space="0" w:color="A6A6A6" w:themeColor="background1" w:themeShade="A6"/>
            </w:tcBorders>
            <w:shd w:val="clear" w:color="auto" w:fill="F2F2F2" w:themeFill="background1" w:themeFillShade="F2"/>
            <w:vAlign w:val="center"/>
            <w:hideMark/>
          </w:tcPr>
          <w:p w14:paraId="5C1B268F" w14:textId="77777777" w:rsidR="00EB6241" w:rsidRPr="00191E14" w:rsidRDefault="00EB6241" w:rsidP="00A4484E">
            <w:pPr>
              <w:spacing w:after="0" w:line="240" w:lineRule="auto"/>
              <w:jc w:val="center"/>
              <w:rPr>
                <w:rFonts w:cs="Arial"/>
                <w:b/>
                <w:bCs/>
                <w:color w:val="000000"/>
                <w:sz w:val="15"/>
                <w:szCs w:val="15"/>
              </w:rPr>
            </w:pPr>
            <w:r w:rsidRPr="00191E14">
              <w:rPr>
                <w:rFonts w:cs="Arial"/>
                <w:b/>
                <w:bCs/>
                <w:color w:val="000000"/>
                <w:sz w:val="15"/>
                <w:szCs w:val="15"/>
              </w:rPr>
              <w:t>2026</w:t>
            </w:r>
          </w:p>
        </w:tc>
      </w:tr>
      <w:tr w:rsidR="00191E14" w:rsidRPr="00191E14" w14:paraId="695B2C8C" w14:textId="77777777" w:rsidTr="005660DE">
        <w:trPr>
          <w:cantSplit/>
          <w:trHeight w:val="162"/>
          <w:tblHeader/>
          <w:jc w:val="center"/>
        </w:trPr>
        <w:tc>
          <w:tcPr>
            <w:tcW w:w="6093" w:type="dxa"/>
            <w:vMerge/>
            <w:tcBorders>
              <w:bottom w:val="single" w:sz="2" w:space="0" w:color="A6A6A6" w:themeColor="background1" w:themeShade="A6"/>
            </w:tcBorders>
            <w:shd w:val="clear" w:color="auto" w:fill="F2F2F2" w:themeFill="background1" w:themeFillShade="F2"/>
            <w:vAlign w:val="center"/>
            <w:hideMark/>
          </w:tcPr>
          <w:p w14:paraId="43CCB4F3" w14:textId="6E3CC7E3" w:rsidR="00EB6241" w:rsidRPr="00191E14" w:rsidRDefault="00EB6241" w:rsidP="00A4484E">
            <w:pPr>
              <w:spacing w:after="0" w:line="240" w:lineRule="auto"/>
              <w:jc w:val="left"/>
              <w:rPr>
                <w:rFonts w:cs="Arial"/>
                <w:color w:val="000000"/>
                <w:sz w:val="15"/>
                <w:szCs w:val="15"/>
              </w:rPr>
            </w:pPr>
          </w:p>
        </w:tc>
        <w:tc>
          <w:tcPr>
            <w:tcW w:w="1115" w:type="dxa"/>
            <w:tcBorders>
              <w:bottom w:val="single" w:sz="2" w:space="0" w:color="A6A6A6" w:themeColor="background1" w:themeShade="A6"/>
            </w:tcBorders>
            <w:shd w:val="clear" w:color="auto" w:fill="F2F2F2" w:themeFill="background1" w:themeFillShade="F2"/>
            <w:vAlign w:val="center"/>
            <w:hideMark/>
          </w:tcPr>
          <w:p w14:paraId="1F46B7DB" w14:textId="1DC258A9" w:rsidR="00EB6241" w:rsidRPr="00191E14" w:rsidRDefault="00EB6241" w:rsidP="00A4484E">
            <w:pPr>
              <w:spacing w:after="0" w:line="240" w:lineRule="auto"/>
              <w:jc w:val="center"/>
              <w:rPr>
                <w:rFonts w:cs="Arial"/>
                <w:b/>
                <w:bCs/>
                <w:color w:val="000000"/>
                <w:sz w:val="15"/>
                <w:szCs w:val="15"/>
              </w:rPr>
            </w:pPr>
            <w:r w:rsidRPr="00191E14">
              <w:rPr>
                <w:rFonts w:cs="Arial"/>
                <w:b/>
                <w:bCs/>
                <w:color w:val="000000"/>
                <w:sz w:val="15"/>
                <w:szCs w:val="15"/>
              </w:rPr>
              <w:t>ΔΥΕ Οκτωβρίου 2025</w:t>
            </w:r>
            <w:r w:rsidRPr="004B2956">
              <w:rPr>
                <w:rFonts w:cs="Arial"/>
                <w:b/>
                <w:bCs/>
                <w:color w:val="000000"/>
                <w:sz w:val="15"/>
                <w:szCs w:val="15"/>
                <w:vertAlign w:val="superscript"/>
              </w:rPr>
              <w:t>4</w:t>
            </w:r>
          </w:p>
        </w:tc>
        <w:tc>
          <w:tcPr>
            <w:tcW w:w="1177" w:type="dxa"/>
            <w:tcBorders>
              <w:bottom w:val="single" w:sz="2" w:space="0" w:color="A6A6A6" w:themeColor="background1" w:themeShade="A6"/>
            </w:tcBorders>
            <w:shd w:val="clear" w:color="auto" w:fill="F2F2F2" w:themeFill="background1" w:themeFillShade="F2"/>
            <w:vAlign w:val="center"/>
            <w:hideMark/>
          </w:tcPr>
          <w:p w14:paraId="7707FD69" w14:textId="064A547E" w:rsidR="00EB6241" w:rsidRPr="00191E14" w:rsidRDefault="00EB6241" w:rsidP="00A4484E">
            <w:pPr>
              <w:spacing w:after="0" w:line="240" w:lineRule="auto"/>
              <w:jc w:val="center"/>
              <w:rPr>
                <w:rFonts w:cs="Arial"/>
                <w:b/>
                <w:bCs/>
                <w:color w:val="000000"/>
                <w:sz w:val="15"/>
                <w:szCs w:val="15"/>
              </w:rPr>
            </w:pPr>
            <w:r w:rsidRPr="00191E14">
              <w:rPr>
                <w:rFonts w:cs="Arial"/>
                <w:b/>
                <w:bCs/>
                <w:color w:val="000000"/>
                <w:sz w:val="15"/>
                <w:szCs w:val="15"/>
              </w:rPr>
              <w:t>Προϋπ/σμ</w:t>
            </w:r>
            <w:r w:rsidR="00816D02">
              <w:rPr>
                <w:rFonts w:cs="Arial"/>
                <w:b/>
                <w:bCs/>
                <w:color w:val="000000"/>
                <w:sz w:val="15"/>
                <w:szCs w:val="15"/>
              </w:rPr>
              <w:t>ό</w:t>
            </w:r>
            <w:r w:rsidRPr="00191E14">
              <w:rPr>
                <w:rFonts w:cs="Arial"/>
                <w:b/>
                <w:bCs/>
                <w:color w:val="000000"/>
                <w:sz w:val="15"/>
                <w:szCs w:val="15"/>
              </w:rPr>
              <w:t>ς</w:t>
            </w:r>
          </w:p>
        </w:tc>
        <w:tc>
          <w:tcPr>
            <w:tcW w:w="920" w:type="dxa"/>
            <w:tcBorders>
              <w:bottom w:val="single" w:sz="2" w:space="0" w:color="A6A6A6" w:themeColor="background1" w:themeShade="A6"/>
            </w:tcBorders>
            <w:shd w:val="clear" w:color="auto" w:fill="F2F2F2" w:themeFill="background1" w:themeFillShade="F2"/>
            <w:vAlign w:val="center"/>
            <w:hideMark/>
          </w:tcPr>
          <w:p w14:paraId="08918F79" w14:textId="6C7854D6" w:rsidR="00EB6241" w:rsidRPr="00191E14" w:rsidRDefault="00EB6241" w:rsidP="00A4484E">
            <w:pPr>
              <w:spacing w:after="0" w:line="240" w:lineRule="auto"/>
              <w:jc w:val="center"/>
              <w:rPr>
                <w:rFonts w:cs="Arial"/>
                <w:b/>
                <w:bCs/>
                <w:color w:val="000000"/>
                <w:sz w:val="15"/>
                <w:szCs w:val="15"/>
              </w:rPr>
            </w:pPr>
            <w:r w:rsidRPr="00191E14">
              <w:rPr>
                <w:rFonts w:cs="Arial"/>
                <w:b/>
                <w:bCs/>
                <w:color w:val="000000"/>
                <w:sz w:val="15"/>
                <w:szCs w:val="15"/>
              </w:rPr>
              <w:t>Εκτίμηση</w:t>
            </w:r>
          </w:p>
        </w:tc>
        <w:tc>
          <w:tcPr>
            <w:tcW w:w="1053" w:type="dxa"/>
            <w:tcBorders>
              <w:bottom w:val="single" w:sz="2" w:space="0" w:color="A6A6A6" w:themeColor="background1" w:themeShade="A6"/>
            </w:tcBorders>
            <w:shd w:val="clear" w:color="auto" w:fill="F2F2F2" w:themeFill="background1" w:themeFillShade="F2"/>
            <w:vAlign w:val="center"/>
            <w:hideMark/>
          </w:tcPr>
          <w:p w14:paraId="5339BED7" w14:textId="77777777" w:rsidR="00EB6241" w:rsidRPr="00191E14" w:rsidRDefault="00EB6241" w:rsidP="00A4484E">
            <w:pPr>
              <w:spacing w:after="0" w:line="240" w:lineRule="auto"/>
              <w:jc w:val="center"/>
              <w:rPr>
                <w:rFonts w:cs="Arial"/>
                <w:b/>
                <w:bCs/>
                <w:color w:val="000000"/>
                <w:sz w:val="15"/>
                <w:szCs w:val="15"/>
              </w:rPr>
            </w:pPr>
            <w:r w:rsidRPr="00191E14">
              <w:rPr>
                <w:rFonts w:cs="Arial"/>
                <w:b/>
                <w:bCs/>
                <w:color w:val="000000"/>
                <w:sz w:val="15"/>
                <w:szCs w:val="15"/>
              </w:rPr>
              <w:t>Πρόβλεψη</w:t>
            </w:r>
          </w:p>
        </w:tc>
      </w:tr>
      <w:tr w:rsidR="00BB202B" w:rsidRPr="00191E14" w14:paraId="3B7ECFB9" w14:textId="77777777" w:rsidTr="005660DE">
        <w:trPr>
          <w:cantSplit/>
          <w:trHeight w:val="162"/>
          <w:jc w:val="center"/>
        </w:trPr>
        <w:tc>
          <w:tcPr>
            <w:tcW w:w="6093" w:type="dxa"/>
            <w:tcBorders>
              <w:top w:val="single" w:sz="2" w:space="0" w:color="A6A6A6" w:themeColor="background1" w:themeShade="A6"/>
              <w:bottom w:val="nil"/>
            </w:tcBorders>
            <w:shd w:val="clear" w:color="auto" w:fill="D5DCE4"/>
            <w:vAlign w:val="center"/>
            <w:hideMark/>
          </w:tcPr>
          <w:p w14:paraId="77A3941C" w14:textId="06E30451"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I.</w:t>
            </w:r>
            <w:r w:rsidR="008B4376" w:rsidRPr="00191E14">
              <w:rPr>
                <w:rFonts w:cs="Arial"/>
                <w:b/>
                <w:bCs/>
                <w:sz w:val="15"/>
                <w:szCs w:val="15"/>
              </w:rPr>
              <w:tab/>
            </w:r>
            <w:r w:rsidRPr="00191E14">
              <w:rPr>
                <w:rFonts w:cs="Arial"/>
                <w:b/>
                <w:bCs/>
                <w:sz w:val="15"/>
                <w:szCs w:val="15"/>
              </w:rPr>
              <w:t>Καθαρά έσοδα κρατικού προϋπολογισμού κατά ESA (α+β+γ+δ+ε+στ-ζ)</w:t>
            </w:r>
          </w:p>
        </w:tc>
        <w:tc>
          <w:tcPr>
            <w:tcW w:w="1115" w:type="dxa"/>
            <w:tcBorders>
              <w:top w:val="single" w:sz="2" w:space="0" w:color="A6A6A6" w:themeColor="background1" w:themeShade="A6"/>
              <w:bottom w:val="nil"/>
            </w:tcBorders>
            <w:shd w:val="clear" w:color="auto" w:fill="D5DCE4"/>
            <w:vAlign w:val="center"/>
            <w:hideMark/>
          </w:tcPr>
          <w:p w14:paraId="5975DE1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72.180</w:t>
            </w:r>
          </w:p>
        </w:tc>
        <w:tc>
          <w:tcPr>
            <w:tcW w:w="1177" w:type="dxa"/>
            <w:tcBorders>
              <w:top w:val="single" w:sz="2" w:space="0" w:color="A6A6A6" w:themeColor="background1" w:themeShade="A6"/>
              <w:bottom w:val="nil"/>
            </w:tcBorders>
            <w:shd w:val="clear" w:color="auto" w:fill="D5DCE4"/>
            <w:vAlign w:val="center"/>
            <w:hideMark/>
          </w:tcPr>
          <w:p w14:paraId="19D63C87"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74.573</w:t>
            </w:r>
          </w:p>
        </w:tc>
        <w:tc>
          <w:tcPr>
            <w:tcW w:w="920" w:type="dxa"/>
            <w:tcBorders>
              <w:top w:val="single" w:sz="2" w:space="0" w:color="A6A6A6" w:themeColor="background1" w:themeShade="A6"/>
              <w:bottom w:val="nil"/>
            </w:tcBorders>
            <w:shd w:val="clear" w:color="auto" w:fill="D5DCE4"/>
            <w:vAlign w:val="center"/>
            <w:hideMark/>
          </w:tcPr>
          <w:p w14:paraId="4ADCB98B"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77.034</w:t>
            </w:r>
          </w:p>
        </w:tc>
        <w:tc>
          <w:tcPr>
            <w:tcW w:w="1053" w:type="dxa"/>
            <w:tcBorders>
              <w:top w:val="single" w:sz="2" w:space="0" w:color="A6A6A6" w:themeColor="background1" w:themeShade="A6"/>
              <w:bottom w:val="nil"/>
            </w:tcBorders>
            <w:shd w:val="clear" w:color="auto" w:fill="D5DCE4"/>
            <w:vAlign w:val="center"/>
            <w:hideMark/>
          </w:tcPr>
          <w:p w14:paraId="10C6F3A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79.983</w:t>
            </w:r>
          </w:p>
        </w:tc>
      </w:tr>
      <w:tr w:rsidR="008B4376" w:rsidRPr="00191E14" w14:paraId="76C19EC5" w14:textId="77777777" w:rsidTr="005660DE">
        <w:trPr>
          <w:cantSplit/>
          <w:trHeight w:val="171"/>
          <w:jc w:val="center"/>
        </w:trPr>
        <w:tc>
          <w:tcPr>
            <w:tcW w:w="6093" w:type="dxa"/>
            <w:tcBorders>
              <w:top w:val="nil"/>
            </w:tcBorders>
            <w:shd w:val="clear" w:color="auto" w:fill="auto"/>
            <w:vAlign w:val="center"/>
            <w:hideMark/>
          </w:tcPr>
          <w:p w14:paraId="0AF3B591" w14:textId="2A122435"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α.</w:t>
            </w:r>
            <w:r w:rsidR="008B4376" w:rsidRPr="00191E14">
              <w:rPr>
                <w:rFonts w:cs="Arial"/>
                <w:b/>
                <w:bCs/>
                <w:sz w:val="15"/>
                <w:szCs w:val="15"/>
              </w:rPr>
              <w:tab/>
            </w:r>
            <w:r w:rsidRPr="00191E14">
              <w:rPr>
                <w:rFonts w:cs="Arial"/>
                <w:b/>
                <w:bCs/>
                <w:sz w:val="15"/>
                <w:szCs w:val="15"/>
              </w:rPr>
              <w:t>Φόροι (1+2+3+4+5+6+7)</w:t>
            </w:r>
          </w:p>
        </w:tc>
        <w:tc>
          <w:tcPr>
            <w:tcW w:w="1115" w:type="dxa"/>
            <w:tcBorders>
              <w:top w:val="nil"/>
            </w:tcBorders>
            <w:shd w:val="clear" w:color="auto" w:fill="auto"/>
            <w:vAlign w:val="center"/>
            <w:hideMark/>
          </w:tcPr>
          <w:p w14:paraId="4289287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68.309</w:t>
            </w:r>
          </w:p>
        </w:tc>
        <w:tc>
          <w:tcPr>
            <w:tcW w:w="1177" w:type="dxa"/>
            <w:tcBorders>
              <w:top w:val="nil"/>
            </w:tcBorders>
            <w:shd w:val="clear" w:color="auto" w:fill="auto"/>
            <w:vAlign w:val="center"/>
            <w:hideMark/>
          </w:tcPr>
          <w:p w14:paraId="22E2E85A"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69.203</w:t>
            </w:r>
          </w:p>
        </w:tc>
        <w:tc>
          <w:tcPr>
            <w:tcW w:w="920" w:type="dxa"/>
            <w:tcBorders>
              <w:top w:val="nil"/>
            </w:tcBorders>
            <w:shd w:val="clear" w:color="auto" w:fill="auto"/>
            <w:vAlign w:val="center"/>
            <w:hideMark/>
          </w:tcPr>
          <w:p w14:paraId="75F88D3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71.146</w:t>
            </w:r>
          </w:p>
        </w:tc>
        <w:tc>
          <w:tcPr>
            <w:tcW w:w="1053" w:type="dxa"/>
            <w:tcBorders>
              <w:top w:val="nil"/>
            </w:tcBorders>
            <w:shd w:val="clear" w:color="auto" w:fill="auto"/>
            <w:vAlign w:val="center"/>
            <w:hideMark/>
          </w:tcPr>
          <w:p w14:paraId="5B4EBD50"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73.645</w:t>
            </w:r>
          </w:p>
        </w:tc>
      </w:tr>
      <w:tr w:rsidR="008B4376" w:rsidRPr="00191E14" w14:paraId="299A7462" w14:textId="77777777" w:rsidTr="005660DE">
        <w:trPr>
          <w:cantSplit/>
          <w:trHeight w:val="171"/>
          <w:jc w:val="center"/>
        </w:trPr>
        <w:tc>
          <w:tcPr>
            <w:tcW w:w="6093" w:type="dxa"/>
            <w:shd w:val="clear" w:color="auto" w:fill="auto"/>
            <w:vAlign w:val="center"/>
            <w:hideMark/>
          </w:tcPr>
          <w:p w14:paraId="7CF4DD4E" w14:textId="66B39066" w:rsidR="00D60513" w:rsidRPr="00191E14" w:rsidRDefault="00D60513" w:rsidP="00A4484E">
            <w:pPr>
              <w:tabs>
                <w:tab w:val="left" w:pos="340"/>
                <w:tab w:val="left" w:pos="530"/>
              </w:tabs>
              <w:spacing w:after="0" w:line="240" w:lineRule="auto"/>
              <w:jc w:val="left"/>
              <w:rPr>
                <w:rFonts w:cs="Arial"/>
                <w:sz w:val="15"/>
                <w:szCs w:val="15"/>
              </w:rPr>
            </w:pPr>
            <w:r w:rsidRPr="00191E14">
              <w:rPr>
                <w:rFonts w:cs="Arial"/>
                <w:sz w:val="15"/>
                <w:szCs w:val="15"/>
              </w:rPr>
              <w:t>1.</w:t>
            </w:r>
            <w:r w:rsidR="008D0D8E" w:rsidRPr="00191E14">
              <w:rPr>
                <w:rFonts w:cs="Arial"/>
                <w:sz w:val="15"/>
                <w:szCs w:val="15"/>
              </w:rPr>
              <w:tab/>
            </w:r>
            <w:r w:rsidRPr="00191E14">
              <w:rPr>
                <w:rFonts w:cs="Arial"/>
                <w:sz w:val="15"/>
                <w:szCs w:val="15"/>
              </w:rPr>
              <w:t>Φόροι επί αγαθών και υπηρεσιών</w:t>
            </w:r>
          </w:p>
        </w:tc>
        <w:tc>
          <w:tcPr>
            <w:tcW w:w="1115" w:type="dxa"/>
            <w:shd w:val="clear" w:color="auto" w:fill="auto"/>
            <w:vAlign w:val="center"/>
            <w:hideMark/>
          </w:tcPr>
          <w:p w14:paraId="58DAEF59" w14:textId="77777777" w:rsidR="00D60513" w:rsidRPr="00191E14" w:rsidRDefault="00D60513" w:rsidP="00A4484E">
            <w:pPr>
              <w:spacing w:after="0" w:line="240" w:lineRule="auto"/>
              <w:jc w:val="right"/>
              <w:rPr>
                <w:rFonts w:cs="Arial"/>
                <w:sz w:val="15"/>
                <w:szCs w:val="15"/>
              </w:rPr>
            </w:pPr>
            <w:r w:rsidRPr="00191E14">
              <w:rPr>
                <w:rFonts w:cs="Arial"/>
                <w:sz w:val="15"/>
                <w:szCs w:val="15"/>
              </w:rPr>
              <w:t>36.919</w:t>
            </w:r>
          </w:p>
        </w:tc>
        <w:tc>
          <w:tcPr>
            <w:tcW w:w="1177" w:type="dxa"/>
            <w:shd w:val="clear" w:color="auto" w:fill="auto"/>
            <w:vAlign w:val="center"/>
            <w:hideMark/>
          </w:tcPr>
          <w:p w14:paraId="621D0677" w14:textId="77777777" w:rsidR="00D60513" w:rsidRPr="00191E14" w:rsidRDefault="00D60513" w:rsidP="00A4484E">
            <w:pPr>
              <w:spacing w:after="0" w:line="240" w:lineRule="auto"/>
              <w:jc w:val="right"/>
              <w:rPr>
                <w:rFonts w:cs="Arial"/>
                <w:sz w:val="15"/>
                <w:szCs w:val="15"/>
              </w:rPr>
            </w:pPr>
            <w:r w:rsidRPr="00191E14">
              <w:rPr>
                <w:rFonts w:cs="Arial"/>
                <w:sz w:val="15"/>
                <w:szCs w:val="15"/>
              </w:rPr>
              <w:t>38.019</w:t>
            </w:r>
          </w:p>
        </w:tc>
        <w:tc>
          <w:tcPr>
            <w:tcW w:w="920" w:type="dxa"/>
            <w:shd w:val="clear" w:color="auto" w:fill="auto"/>
            <w:vAlign w:val="center"/>
            <w:hideMark/>
          </w:tcPr>
          <w:p w14:paraId="0E8DFAF8" w14:textId="77777777" w:rsidR="00D60513" w:rsidRPr="00191E14" w:rsidRDefault="00D60513" w:rsidP="00A4484E">
            <w:pPr>
              <w:spacing w:after="0" w:line="240" w:lineRule="auto"/>
              <w:jc w:val="right"/>
              <w:rPr>
                <w:rFonts w:cs="Arial"/>
                <w:sz w:val="15"/>
                <w:szCs w:val="15"/>
              </w:rPr>
            </w:pPr>
            <w:r w:rsidRPr="00191E14">
              <w:rPr>
                <w:rFonts w:cs="Arial"/>
                <w:sz w:val="15"/>
                <w:szCs w:val="15"/>
              </w:rPr>
              <w:t>39.214</w:t>
            </w:r>
          </w:p>
        </w:tc>
        <w:tc>
          <w:tcPr>
            <w:tcW w:w="1053" w:type="dxa"/>
            <w:shd w:val="clear" w:color="auto" w:fill="auto"/>
            <w:vAlign w:val="center"/>
            <w:hideMark/>
          </w:tcPr>
          <w:p w14:paraId="77E1B99B" w14:textId="77777777" w:rsidR="00D60513" w:rsidRPr="00191E14" w:rsidRDefault="00D60513" w:rsidP="00A4484E">
            <w:pPr>
              <w:spacing w:after="0" w:line="240" w:lineRule="auto"/>
              <w:jc w:val="right"/>
              <w:rPr>
                <w:rFonts w:cs="Arial"/>
                <w:sz w:val="15"/>
                <w:szCs w:val="15"/>
              </w:rPr>
            </w:pPr>
            <w:r w:rsidRPr="00191E14">
              <w:rPr>
                <w:rFonts w:cs="Arial"/>
                <w:sz w:val="15"/>
                <w:szCs w:val="15"/>
              </w:rPr>
              <w:t>40.872</w:t>
            </w:r>
          </w:p>
        </w:tc>
      </w:tr>
      <w:tr w:rsidR="008B4376" w:rsidRPr="00191E14" w14:paraId="49D62614" w14:textId="77777777" w:rsidTr="005660DE">
        <w:trPr>
          <w:cantSplit/>
          <w:trHeight w:val="162"/>
          <w:jc w:val="center"/>
        </w:trPr>
        <w:tc>
          <w:tcPr>
            <w:tcW w:w="6093" w:type="dxa"/>
            <w:shd w:val="clear" w:color="auto" w:fill="auto"/>
            <w:vAlign w:val="center"/>
            <w:hideMark/>
          </w:tcPr>
          <w:p w14:paraId="256F9DDC" w14:textId="4B4D70C8" w:rsidR="00D60513" w:rsidRPr="008B4CBE" w:rsidRDefault="00901B56" w:rsidP="000E27D3">
            <w:pPr>
              <w:tabs>
                <w:tab w:val="left" w:pos="340"/>
                <w:tab w:val="left" w:pos="530"/>
              </w:tabs>
              <w:spacing w:after="0" w:line="240" w:lineRule="auto"/>
              <w:jc w:val="left"/>
              <w:rPr>
                <w:rFonts w:cs="Arial"/>
                <w:sz w:val="15"/>
                <w:szCs w:val="15"/>
              </w:rPr>
            </w:pPr>
            <w:r>
              <w:rPr>
                <w:rFonts w:cs="Arial"/>
                <w:sz w:val="15"/>
                <w:szCs w:val="15"/>
              </w:rPr>
              <w:tab/>
            </w:r>
            <w:r w:rsidR="00D60513" w:rsidRPr="008B4CBE">
              <w:rPr>
                <w:rFonts w:cs="Arial"/>
                <w:sz w:val="15"/>
                <w:szCs w:val="15"/>
              </w:rPr>
              <w:t>εκ των οποίων:</w:t>
            </w:r>
            <w:r>
              <w:rPr>
                <w:rFonts w:cs="Arial"/>
                <w:sz w:val="15"/>
                <w:szCs w:val="15"/>
              </w:rPr>
              <w:tab/>
            </w:r>
            <w:r w:rsidR="00D60513" w:rsidRPr="008B4CBE">
              <w:rPr>
                <w:rFonts w:cs="Arial"/>
                <w:sz w:val="15"/>
                <w:szCs w:val="15"/>
              </w:rPr>
              <w:t>Φόροι προστιθέμενης αξίας</w:t>
            </w:r>
          </w:p>
        </w:tc>
        <w:tc>
          <w:tcPr>
            <w:tcW w:w="1115" w:type="dxa"/>
            <w:shd w:val="clear" w:color="auto" w:fill="auto"/>
            <w:vAlign w:val="center"/>
            <w:hideMark/>
          </w:tcPr>
          <w:p w14:paraId="4607B49F" w14:textId="77777777" w:rsidR="00D60513" w:rsidRPr="00191E14" w:rsidRDefault="00D60513" w:rsidP="00A4484E">
            <w:pPr>
              <w:spacing w:after="0" w:line="240" w:lineRule="auto"/>
              <w:jc w:val="right"/>
              <w:rPr>
                <w:rFonts w:cs="Arial"/>
                <w:sz w:val="15"/>
                <w:szCs w:val="15"/>
              </w:rPr>
            </w:pPr>
            <w:r w:rsidRPr="00191E14">
              <w:rPr>
                <w:rFonts w:cs="Arial"/>
                <w:sz w:val="15"/>
                <w:szCs w:val="15"/>
              </w:rPr>
              <w:t>25.683</w:t>
            </w:r>
          </w:p>
        </w:tc>
        <w:tc>
          <w:tcPr>
            <w:tcW w:w="1177" w:type="dxa"/>
            <w:shd w:val="clear" w:color="auto" w:fill="auto"/>
            <w:vAlign w:val="center"/>
            <w:hideMark/>
          </w:tcPr>
          <w:p w14:paraId="30A91E57" w14:textId="77777777" w:rsidR="00D60513" w:rsidRPr="00191E14" w:rsidRDefault="00D60513" w:rsidP="00A4484E">
            <w:pPr>
              <w:spacing w:after="0" w:line="240" w:lineRule="auto"/>
              <w:jc w:val="right"/>
              <w:rPr>
                <w:rFonts w:cs="Arial"/>
                <w:sz w:val="15"/>
                <w:szCs w:val="15"/>
              </w:rPr>
            </w:pPr>
            <w:r w:rsidRPr="00191E14">
              <w:rPr>
                <w:rFonts w:cs="Arial"/>
                <w:sz w:val="15"/>
                <w:szCs w:val="15"/>
              </w:rPr>
              <w:t>26.673</w:t>
            </w:r>
          </w:p>
        </w:tc>
        <w:tc>
          <w:tcPr>
            <w:tcW w:w="920" w:type="dxa"/>
            <w:shd w:val="clear" w:color="auto" w:fill="auto"/>
            <w:vAlign w:val="center"/>
            <w:hideMark/>
          </w:tcPr>
          <w:p w14:paraId="62FDBCA1" w14:textId="77777777" w:rsidR="00D60513" w:rsidRPr="00191E14" w:rsidRDefault="00D60513" w:rsidP="00A4484E">
            <w:pPr>
              <w:spacing w:after="0" w:line="240" w:lineRule="auto"/>
              <w:jc w:val="right"/>
              <w:rPr>
                <w:rFonts w:cs="Arial"/>
                <w:sz w:val="15"/>
                <w:szCs w:val="15"/>
              </w:rPr>
            </w:pPr>
            <w:r w:rsidRPr="00191E14">
              <w:rPr>
                <w:rFonts w:cs="Arial"/>
                <w:sz w:val="15"/>
                <w:szCs w:val="15"/>
              </w:rPr>
              <w:t>27.625</w:t>
            </w:r>
          </w:p>
        </w:tc>
        <w:tc>
          <w:tcPr>
            <w:tcW w:w="1053" w:type="dxa"/>
            <w:shd w:val="clear" w:color="auto" w:fill="auto"/>
            <w:vAlign w:val="center"/>
            <w:hideMark/>
          </w:tcPr>
          <w:p w14:paraId="3B3A6234" w14:textId="77777777" w:rsidR="00D60513" w:rsidRPr="00191E14" w:rsidRDefault="00D60513" w:rsidP="00A4484E">
            <w:pPr>
              <w:spacing w:after="0" w:line="240" w:lineRule="auto"/>
              <w:jc w:val="right"/>
              <w:rPr>
                <w:rFonts w:cs="Arial"/>
                <w:sz w:val="15"/>
                <w:szCs w:val="15"/>
              </w:rPr>
            </w:pPr>
            <w:r w:rsidRPr="00191E14">
              <w:rPr>
                <w:rFonts w:cs="Arial"/>
                <w:sz w:val="15"/>
                <w:szCs w:val="15"/>
              </w:rPr>
              <w:t>29.229</w:t>
            </w:r>
          </w:p>
        </w:tc>
      </w:tr>
      <w:tr w:rsidR="008B4376" w:rsidRPr="00191E14" w14:paraId="623325B0" w14:textId="77777777" w:rsidTr="005660DE">
        <w:trPr>
          <w:cantSplit/>
          <w:trHeight w:val="171"/>
          <w:jc w:val="center"/>
        </w:trPr>
        <w:tc>
          <w:tcPr>
            <w:tcW w:w="6093" w:type="dxa"/>
            <w:shd w:val="clear" w:color="auto" w:fill="auto"/>
            <w:vAlign w:val="center"/>
            <w:hideMark/>
          </w:tcPr>
          <w:p w14:paraId="377FA828" w14:textId="63F75715" w:rsidR="00D60513" w:rsidRPr="008B4CBE" w:rsidRDefault="00901B56" w:rsidP="000E27D3">
            <w:pPr>
              <w:tabs>
                <w:tab w:val="left" w:pos="340"/>
                <w:tab w:val="left" w:pos="530"/>
              </w:tabs>
              <w:spacing w:after="0" w:line="240" w:lineRule="auto"/>
              <w:jc w:val="left"/>
              <w:rPr>
                <w:rFonts w:cs="Arial"/>
                <w:sz w:val="15"/>
                <w:szCs w:val="15"/>
              </w:rPr>
            </w:pPr>
            <w:r>
              <w:rPr>
                <w:rFonts w:cs="Arial"/>
                <w:sz w:val="15"/>
                <w:szCs w:val="15"/>
              </w:rPr>
              <w:tab/>
            </w:r>
            <w:r>
              <w:rPr>
                <w:rFonts w:cs="Arial"/>
                <w:sz w:val="15"/>
                <w:szCs w:val="15"/>
              </w:rPr>
              <w:tab/>
            </w:r>
            <w:r w:rsidR="000E27D3">
              <w:rPr>
                <w:rFonts w:cs="Arial"/>
                <w:sz w:val="15"/>
                <w:szCs w:val="15"/>
              </w:rPr>
              <w:tab/>
            </w:r>
            <w:r w:rsidR="000E27D3">
              <w:rPr>
                <w:rFonts w:cs="Arial"/>
                <w:sz w:val="15"/>
                <w:szCs w:val="15"/>
              </w:rPr>
              <w:tab/>
            </w:r>
            <w:r w:rsidR="00D60513" w:rsidRPr="008B4CBE">
              <w:rPr>
                <w:rFonts w:cs="Arial"/>
                <w:sz w:val="15"/>
                <w:szCs w:val="15"/>
              </w:rPr>
              <w:t>Ειδικοί φόροι κατανάλωσης</w:t>
            </w:r>
          </w:p>
        </w:tc>
        <w:tc>
          <w:tcPr>
            <w:tcW w:w="1115" w:type="dxa"/>
            <w:shd w:val="clear" w:color="auto" w:fill="auto"/>
            <w:vAlign w:val="center"/>
            <w:hideMark/>
          </w:tcPr>
          <w:p w14:paraId="3762C6AC" w14:textId="77777777" w:rsidR="00D60513" w:rsidRPr="00191E14" w:rsidRDefault="00D60513" w:rsidP="00A4484E">
            <w:pPr>
              <w:spacing w:after="0" w:line="240" w:lineRule="auto"/>
              <w:jc w:val="right"/>
              <w:rPr>
                <w:rFonts w:cs="Arial"/>
                <w:sz w:val="15"/>
                <w:szCs w:val="15"/>
              </w:rPr>
            </w:pPr>
            <w:r w:rsidRPr="00191E14">
              <w:rPr>
                <w:rFonts w:cs="Arial"/>
                <w:sz w:val="15"/>
                <w:szCs w:val="15"/>
              </w:rPr>
              <w:t>7.258</w:t>
            </w:r>
          </w:p>
        </w:tc>
        <w:tc>
          <w:tcPr>
            <w:tcW w:w="1177" w:type="dxa"/>
            <w:shd w:val="clear" w:color="auto" w:fill="auto"/>
            <w:vAlign w:val="center"/>
            <w:hideMark/>
          </w:tcPr>
          <w:p w14:paraId="636C7A8A" w14:textId="77777777" w:rsidR="00D60513" w:rsidRPr="00191E14" w:rsidRDefault="00D60513" w:rsidP="00A4484E">
            <w:pPr>
              <w:spacing w:after="0" w:line="240" w:lineRule="auto"/>
              <w:jc w:val="right"/>
              <w:rPr>
                <w:rFonts w:cs="Arial"/>
                <w:sz w:val="15"/>
                <w:szCs w:val="15"/>
              </w:rPr>
            </w:pPr>
            <w:r w:rsidRPr="00191E14">
              <w:rPr>
                <w:rFonts w:cs="Arial"/>
                <w:sz w:val="15"/>
                <w:szCs w:val="15"/>
              </w:rPr>
              <w:t>7.276</w:t>
            </w:r>
          </w:p>
        </w:tc>
        <w:tc>
          <w:tcPr>
            <w:tcW w:w="920" w:type="dxa"/>
            <w:shd w:val="clear" w:color="auto" w:fill="auto"/>
            <w:vAlign w:val="center"/>
            <w:hideMark/>
          </w:tcPr>
          <w:p w14:paraId="53A5F9F7" w14:textId="77777777" w:rsidR="00D60513" w:rsidRPr="00191E14" w:rsidRDefault="00D60513" w:rsidP="00A4484E">
            <w:pPr>
              <w:spacing w:after="0" w:line="240" w:lineRule="auto"/>
              <w:jc w:val="right"/>
              <w:rPr>
                <w:rFonts w:cs="Arial"/>
                <w:sz w:val="15"/>
                <w:szCs w:val="15"/>
              </w:rPr>
            </w:pPr>
            <w:r w:rsidRPr="00191E14">
              <w:rPr>
                <w:rFonts w:cs="Arial"/>
                <w:sz w:val="15"/>
                <w:szCs w:val="15"/>
              </w:rPr>
              <w:t>7.407</w:t>
            </w:r>
          </w:p>
        </w:tc>
        <w:tc>
          <w:tcPr>
            <w:tcW w:w="1053" w:type="dxa"/>
            <w:shd w:val="clear" w:color="auto" w:fill="auto"/>
            <w:vAlign w:val="center"/>
            <w:hideMark/>
          </w:tcPr>
          <w:p w14:paraId="21735FE9" w14:textId="77777777" w:rsidR="00D60513" w:rsidRPr="00191E14" w:rsidRDefault="00D60513" w:rsidP="00A4484E">
            <w:pPr>
              <w:spacing w:after="0" w:line="240" w:lineRule="auto"/>
              <w:jc w:val="right"/>
              <w:rPr>
                <w:rFonts w:cs="Arial"/>
                <w:sz w:val="15"/>
                <w:szCs w:val="15"/>
              </w:rPr>
            </w:pPr>
            <w:r w:rsidRPr="00191E14">
              <w:rPr>
                <w:rFonts w:cs="Arial"/>
                <w:sz w:val="15"/>
                <w:szCs w:val="15"/>
              </w:rPr>
              <w:t>7.460</w:t>
            </w:r>
          </w:p>
        </w:tc>
      </w:tr>
      <w:tr w:rsidR="008B4376" w:rsidRPr="00191E14" w14:paraId="0AC73DB3" w14:textId="77777777" w:rsidTr="005660DE">
        <w:trPr>
          <w:cantSplit/>
          <w:trHeight w:val="171"/>
          <w:jc w:val="center"/>
        </w:trPr>
        <w:tc>
          <w:tcPr>
            <w:tcW w:w="6093" w:type="dxa"/>
            <w:shd w:val="clear" w:color="auto" w:fill="auto"/>
            <w:vAlign w:val="center"/>
            <w:hideMark/>
          </w:tcPr>
          <w:p w14:paraId="5F39CC0B" w14:textId="5E188070" w:rsidR="00D60513" w:rsidRPr="00191E14" w:rsidRDefault="00D60513" w:rsidP="00A4484E">
            <w:pPr>
              <w:tabs>
                <w:tab w:val="left" w:pos="340"/>
                <w:tab w:val="left" w:pos="530"/>
              </w:tabs>
              <w:spacing w:after="0" w:line="240" w:lineRule="auto"/>
              <w:jc w:val="left"/>
              <w:rPr>
                <w:rFonts w:cs="Arial"/>
                <w:sz w:val="15"/>
                <w:szCs w:val="15"/>
              </w:rPr>
            </w:pPr>
            <w:r w:rsidRPr="00191E14">
              <w:rPr>
                <w:rFonts w:cs="Arial"/>
                <w:sz w:val="15"/>
                <w:szCs w:val="15"/>
              </w:rPr>
              <w:t>2.</w:t>
            </w:r>
            <w:r w:rsidR="008D0D8E" w:rsidRPr="00191E14">
              <w:rPr>
                <w:rFonts w:cs="Arial"/>
                <w:sz w:val="15"/>
                <w:szCs w:val="15"/>
              </w:rPr>
              <w:tab/>
            </w:r>
            <w:r w:rsidRPr="00191E14">
              <w:rPr>
                <w:rFonts w:cs="Arial"/>
                <w:sz w:val="15"/>
                <w:szCs w:val="15"/>
              </w:rPr>
              <w:t>Φόροι και δασμοί επί εισαγωγών</w:t>
            </w:r>
          </w:p>
        </w:tc>
        <w:tc>
          <w:tcPr>
            <w:tcW w:w="1115" w:type="dxa"/>
            <w:shd w:val="clear" w:color="auto" w:fill="auto"/>
            <w:vAlign w:val="center"/>
            <w:hideMark/>
          </w:tcPr>
          <w:p w14:paraId="4755AC8B" w14:textId="77777777" w:rsidR="00D60513" w:rsidRPr="00191E14" w:rsidRDefault="00D60513" w:rsidP="00A4484E">
            <w:pPr>
              <w:spacing w:after="0" w:line="240" w:lineRule="auto"/>
              <w:jc w:val="right"/>
              <w:rPr>
                <w:rFonts w:cs="Arial"/>
                <w:sz w:val="15"/>
                <w:szCs w:val="15"/>
              </w:rPr>
            </w:pPr>
            <w:r w:rsidRPr="00191E14">
              <w:rPr>
                <w:rFonts w:cs="Arial"/>
                <w:sz w:val="15"/>
                <w:szCs w:val="15"/>
              </w:rPr>
              <w:t>366</w:t>
            </w:r>
          </w:p>
        </w:tc>
        <w:tc>
          <w:tcPr>
            <w:tcW w:w="1177" w:type="dxa"/>
            <w:shd w:val="clear" w:color="auto" w:fill="auto"/>
            <w:vAlign w:val="center"/>
            <w:hideMark/>
          </w:tcPr>
          <w:p w14:paraId="3CC93593" w14:textId="77777777" w:rsidR="00D60513" w:rsidRPr="00191E14" w:rsidRDefault="00D60513" w:rsidP="00A4484E">
            <w:pPr>
              <w:spacing w:after="0" w:line="240" w:lineRule="auto"/>
              <w:jc w:val="right"/>
              <w:rPr>
                <w:rFonts w:cs="Arial"/>
                <w:sz w:val="15"/>
                <w:szCs w:val="15"/>
              </w:rPr>
            </w:pPr>
            <w:r w:rsidRPr="00191E14">
              <w:rPr>
                <w:rFonts w:cs="Arial"/>
                <w:sz w:val="15"/>
                <w:szCs w:val="15"/>
              </w:rPr>
              <w:t>362</w:t>
            </w:r>
          </w:p>
        </w:tc>
        <w:tc>
          <w:tcPr>
            <w:tcW w:w="920" w:type="dxa"/>
            <w:shd w:val="clear" w:color="auto" w:fill="auto"/>
            <w:vAlign w:val="center"/>
            <w:hideMark/>
          </w:tcPr>
          <w:p w14:paraId="0E192385" w14:textId="77777777" w:rsidR="00D60513" w:rsidRPr="00191E14" w:rsidRDefault="00D60513" w:rsidP="00A4484E">
            <w:pPr>
              <w:spacing w:after="0" w:line="240" w:lineRule="auto"/>
              <w:jc w:val="right"/>
              <w:rPr>
                <w:rFonts w:cs="Arial"/>
                <w:sz w:val="15"/>
                <w:szCs w:val="15"/>
              </w:rPr>
            </w:pPr>
            <w:r w:rsidRPr="00191E14">
              <w:rPr>
                <w:rFonts w:cs="Arial"/>
                <w:sz w:val="15"/>
                <w:szCs w:val="15"/>
              </w:rPr>
              <w:t>405</w:t>
            </w:r>
          </w:p>
        </w:tc>
        <w:tc>
          <w:tcPr>
            <w:tcW w:w="1053" w:type="dxa"/>
            <w:shd w:val="clear" w:color="auto" w:fill="auto"/>
            <w:vAlign w:val="center"/>
            <w:hideMark/>
          </w:tcPr>
          <w:p w14:paraId="757453FE" w14:textId="77777777" w:rsidR="00D60513" w:rsidRPr="00191E14" w:rsidRDefault="00D60513" w:rsidP="00A4484E">
            <w:pPr>
              <w:spacing w:after="0" w:line="240" w:lineRule="auto"/>
              <w:jc w:val="right"/>
              <w:rPr>
                <w:rFonts w:cs="Arial"/>
                <w:sz w:val="15"/>
                <w:szCs w:val="15"/>
              </w:rPr>
            </w:pPr>
            <w:r w:rsidRPr="00191E14">
              <w:rPr>
                <w:rFonts w:cs="Arial"/>
                <w:sz w:val="15"/>
                <w:szCs w:val="15"/>
              </w:rPr>
              <w:t>432</w:t>
            </w:r>
          </w:p>
        </w:tc>
      </w:tr>
      <w:tr w:rsidR="008B4376" w:rsidRPr="00191E14" w14:paraId="194365CC" w14:textId="77777777" w:rsidTr="005660DE">
        <w:trPr>
          <w:cantSplit/>
          <w:trHeight w:val="162"/>
          <w:jc w:val="center"/>
        </w:trPr>
        <w:tc>
          <w:tcPr>
            <w:tcW w:w="6093" w:type="dxa"/>
            <w:shd w:val="clear" w:color="auto" w:fill="auto"/>
            <w:vAlign w:val="center"/>
            <w:hideMark/>
          </w:tcPr>
          <w:p w14:paraId="1896AA69" w14:textId="6D043448" w:rsidR="00D60513" w:rsidRPr="00191E14" w:rsidRDefault="00D60513" w:rsidP="00A4484E">
            <w:pPr>
              <w:tabs>
                <w:tab w:val="left" w:pos="340"/>
                <w:tab w:val="left" w:pos="530"/>
              </w:tabs>
              <w:spacing w:after="0" w:line="240" w:lineRule="auto"/>
              <w:jc w:val="left"/>
              <w:rPr>
                <w:rFonts w:cs="Arial"/>
                <w:sz w:val="15"/>
                <w:szCs w:val="15"/>
              </w:rPr>
            </w:pPr>
            <w:r w:rsidRPr="00191E14">
              <w:rPr>
                <w:rFonts w:cs="Arial"/>
                <w:sz w:val="15"/>
                <w:szCs w:val="15"/>
              </w:rPr>
              <w:t>3.</w:t>
            </w:r>
            <w:r w:rsidR="008D0D8E" w:rsidRPr="00191E14">
              <w:rPr>
                <w:rFonts w:cs="Arial"/>
                <w:sz w:val="15"/>
                <w:szCs w:val="15"/>
              </w:rPr>
              <w:tab/>
            </w:r>
            <w:r w:rsidRPr="00191E14">
              <w:rPr>
                <w:rFonts w:cs="Arial"/>
                <w:sz w:val="15"/>
                <w:szCs w:val="15"/>
              </w:rPr>
              <w:t>Τακτικοί φόροι ακίνητης περιουσίας</w:t>
            </w:r>
          </w:p>
        </w:tc>
        <w:tc>
          <w:tcPr>
            <w:tcW w:w="1115" w:type="dxa"/>
            <w:shd w:val="clear" w:color="auto" w:fill="auto"/>
            <w:vAlign w:val="center"/>
            <w:hideMark/>
          </w:tcPr>
          <w:p w14:paraId="67144254" w14:textId="77777777" w:rsidR="00D60513" w:rsidRPr="00191E14" w:rsidRDefault="00D60513" w:rsidP="00A4484E">
            <w:pPr>
              <w:spacing w:after="0" w:line="240" w:lineRule="auto"/>
              <w:jc w:val="right"/>
              <w:rPr>
                <w:rFonts w:cs="Arial"/>
                <w:sz w:val="15"/>
                <w:szCs w:val="15"/>
              </w:rPr>
            </w:pPr>
            <w:r w:rsidRPr="00191E14">
              <w:rPr>
                <w:rFonts w:cs="Arial"/>
                <w:sz w:val="15"/>
                <w:szCs w:val="15"/>
              </w:rPr>
              <w:t>2.430</w:t>
            </w:r>
          </w:p>
        </w:tc>
        <w:tc>
          <w:tcPr>
            <w:tcW w:w="1177" w:type="dxa"/>
            <w:shd w:val="clear" w:color="auto" w:fill="auto"/>
            <w:vAlign w:val="center"/>
            <w:hideMark/>
          </w:tcPr>
          <w:p w14:paraId="0F417599" w14:textId="77777777" w:rsidR="00D60513" w:rsidRPr="00191E14" w:rsidRDefault="00D60513" w:rsidP="00A4484E">
            <w:pPr>
              <w:spacing w:after="0" w:line="240" w:lineRule="auto"/>
              <w:jc w:val="right"/>
              <w:rPr>
                <w:rFonts w:cs="Arial"/>
                <w:sz w:val="15"/>
                <w:szCs w:val="15"/>
              </w:rPr>
            </w:pPr>
            <w:r w:rsidRPr="00191E14">
              <w:rPr>
                <w:rFonts w:cs="Arial"/>
                <w:sz w:val="15"/>
                <w:szCs w:val="15"/>
              </w:rPr>
              <w:t>2.394</w:t>
            </w:r>
          </w:p>
        </w:tc>
        <w:tc>
          <w:tcPr>
            <w:tcW w:w="920" w:type="dxa"/>
            <w:shd w:val="clear" w:color="auto" w:fill="auto"/>
            <w:vAlign w:val="center"/>
            <w:hideMark/>
          </w:tcPr>
          <w:p w14:paraId="5D492355" w14:textId="77777777" w:rsidR="00D60513" w:rsidRPr="00191E14" w:rsidRDefault="00D60513" w:rsidP="00A4484E">
            <w:pPr>
              <w:spacing w:after="0" w:line="240" w:lineRule="auto"/>
              <w:jc w:val="right"/>
              <w:rPr>
                <w:rFonts w:cs="Arial"/>
                <w:sz w:val="15"/>
                <w:szCs w:val="15"/>
              </w:rPr>
            </w:pPr>
            <w:r w:rsidRPr="00191E14">
              <w:rPr>
                <w:rFonts w:cs="Arial"/>
                <w:sz w:val="15"/>
                <w:szCs w:val="15"/>
              </w:rPr>
              <w:t>2.411</w:t>
            </w:r>
          </w:p>
        </w:tc>
        <w:tc>
          <w:tcPr>
            <w:tcW w:w="1053" w:type="dxa"/>
            <w:shd w:val="clear" w:color="auto" w:fill="auto"/>
            <w:vAlign w:val="center"/>
            <w:hideMark/>
          </w:tcPr>
          <w:p w14:paraId="59DD48EC" w14:textId="77777777" w:rsidR="00D60513" w:rsidRPr="00191E14" w:rsidRDefault="00D60513" w:rsidP="00A4484E">
            <w:pPr>
              <w:spacing w:after="0" w:line="240" w:lineRule="auto"/>
              <w:jc w:val="right"/>
              <w:rPr>
                <w:rFonts w:cs="Arial"/>
                <w:sz w:val="15"/>
                <w:szCs w:val="15"/>
              </w:rPr>
            </w:pPr>
            <w:r w:rsidRPr="00191E14">
              <w:rPr>
                <w:rFonts w:cs="Arial"/>
                <w:sz w:val="15"/>
                <w:szCs w:val="15"/>
              </w:rPr>
              <w:t>2.328</w:t>
            </w:r>
          </w:p>
        </w:tc>
      </w:tr>
      <w:tr w:rsidR="008B4376" w:rsidRPr="00191E14" w14:paraId="14281A6D" w14:textId="77777777" w:rsidTr="005660DE">
        <w:trPr>
          <w:cantSplit/>
          <w:trHeight w:val="171"/>
          <w:jc w:val="center"/>
        </w:trPr>
        <w:tc>
          <w:tcPr>
            <w:tcW w:w="6093" w:type="dxa"/>
            <w:shd w:val="clear" w:color="auto" w:fill="auto"/>
            <w:vAlign w:val="center"/>
            <w:hideMark/>
          </w:tcPr>
          <w:p w14:paraId="49A4F157" w14:textId="5556A810" w:rsidR="00D60513" w:rsidRPr="00191E14" w:rsidRDefault="00D60513" w:rsidP="00A4484E">
            <w:pPr>
              <w:tabs>
                <w:tab w:val="left" w:pos="340"/>
                <w:tab w:val="left" w:pos="530"/>
              </w:tabs>
              <w:spacing w:after="0" w:line="240" w:lineRule="auto"/>
              <w:jc w:val="left"/>
              <w:rPr>
                <w:rFonts w:cs="Arial"/>
                <w:sz w:val="15"/>
                <w:szCs w:val="15"/>
              </w:rPr>
            </w:pPr>
            <w:r w:rsidRPr="00191E14">
              <w:rPr>
                <w:rFonts w:cs="Arial"/>
                <w:sz w:val="15"/>
                <w:szCs w:val="15"/>
              </w:rPr>
              <w:t>4.</w:t>
            </w:r>
            <w:r w:rsidR="008D0D8E" w:rsidRPr="00191E14">
              <w:rPr>
                <w:rFonts w:cs="Arial"/>
                <w:sz w:val="15"/>
                <w:szCs w:val="15"/>
              </w:rPr>
              <w:tab/>
            </w:r>
            <w:r w:rsidRPr="00191E14">
              <w:rPr>
                <w:rFonts w:cs="Arial"/>
                <w:sz w:val="15"/>
                <w:szCs w:val="15"/>
              </w:rPr>
              <w:t>Λοιποί φόροι επί παραγωγής</w:t>
            </w:r>
          </w:p>
        </w:tc>
        <w:tc>
          <w:tcPr>
            <w:tcW w:w="1115" w:type="dxa"/>
            <w:shd w:val="clear" w:color="auto" w:fill="auto"/>
            <w:vAlign w:val="center"/>
            <w:hideMark/>
          </w:tcPr>
          <w:p w14:paraId="57CB7337" w14:textId="77777777" w:rsidR="00D60513" w:rsidRPr="00191E14" w:rsidRDefault="00D60513" w:rsidP="00A4484E">
            <w:pPr>
              <w:spacing w:after="0" w:line="240" w:lineRule="auto"/>
              <w:jc w:val="right"/>
              <w:rPr>
                <w:rFonts w:cs="Arial"/>
                <w:sz w:val="15"/>
                <w:szCs w:val="15"/>
              </w:rPr>
            </w:pPr>
            <w:r w:rsidRPr="00191E14">
              <w:rPr>
                <w:rFonts w:cs="Arial"/>
                <w:sz w:val="15"/>
                <w:szCs w:val="15"/>
              </w:rPr>
              <w:t>643</w:t>
            </w:r>
          </w:p>
        </w:tc>
        <w:tc>
          <w:tcPr>
            <w:tcW w:w="1177" w:type="dxa"/>
            <w:shd w:val="clear" w:color="auto" w:fill="auto"/>
            <w:vAlign w:val="center"/>
            <w:hideMark/>
          </w:tcPr>
          <w:p w14:paraId="330FF24D" w14:textId="77777777" w:rsidR="00D60513" w:rsidRPr="00191E14" w:rsidRDefault="00D60513" w:rsidP="00A4484E">
            <w:pPr>
              <w:spacing w:after="0" w:line="240" w:lineRule="auto"/>
              <w:jc w:val="right"/>
              <w:rPr>
                <w:rFonts w:cs="Arial"/>
                <w:sz w:val="15"/>
                <w:szCs w:val="15"/>
              </w:rPr>
            </w:pPr>
            <w:r w:rsidRPr="00191E14">
              <w:rPr>
                <w:rFonts w:cs="Arial"/>
                <w:sz w:val="15"/>
                <w:szCs w:val="15"/>
              </w:rPr>
              <w:t>460</w:t>
            </w:r>
          </w:p>
        </w:tc>
        <w:tc>
          <w:tcPr>
            <w:tcW w:w="920" w:type="dxa"/>
            <w:shd w:val="clear" w:color="auto" w:fill="auto"/>
            <w:vAlign w:val="center"/>
            <w:hideMark/>
          </w:tcPr>
          <w:p w14:paraId="05CF4E57" w14:textId="77777777" w:rsidR="00D60513" w:rsidRPr="00191E14" w:rsidRDefault="00D60513" w:rsidP="00A4484E">
            <w:pPr>
              <w:spacing w:after="0" w:line="240" w:lineRule="auto"/>
              <w:jc w:val="right"/>
              <w:rPr>
                <w:rFonts w:cs="Arial"/>
                <w:sz w:val="15"/>
                <w:szCs w:val="15"/>
              </w:rPr>
            </w:pPr>
            <w:r w:rsidRPr="00191E14">
              <w:rPr>
                <w:rFonts w:cs="Arial"/>
                <w:sz w:val="15"/>
                <w:szCs w:val="15"/>
              </w:rPr>
              <w:t>506</w:t>
            </w:r>
          </w:p>
        </w:tc>
        <w:tc>
          <w:tcPr>
            <w:tcW w:w="1053" w:type="dxa"/>
            <w:shd w:val="clear" w:color="auto" w:fill="auto"/>
            <w:vAlign w:val="center"/>
            <w:hideMark/>
          </w:tcPr>
          <w:p w14:paraId="7CFD1553" w14:textId="77777777" w:rsidR="00D60513" w:rsidRPr="00191E14" w:rsidRDefault="00D60513" w:rsidP="00A4484E">
            <w:pPr>
              <w:spacing w:after="0" w:line="240" w:lineRule="auto"/>
              <w:jc w:val="right"/>
              <w:rPr>
                <w:rFonts w:cs="Arial"/>
                <w:sz w:val="15"/>
                <w:szCs w:val="15"/>
              </w:rPr>
            </w:pPr>
            <w:r w:rsidRPr="00191E14">
              <w:rPr>
                <w:rFonts w:cs="Arial"/>
                <w:sz w:val="15"/>
                <w:szCs w:val="15"/>
              </w:rPr>
              <w:t>661</w:t>
            </w:r>
          </w:p>
        </w:tc>
      </w:tr>
      <w:tr w:rsidR="008B4376" w:rsidRPr="00191E14" w14:paraId="66EC7CD2" w14:textId="77777777" w:rsidTr="005660DE">
        <w:trPr>
          <w:cantSplit/>
          <w:trHeight w:val="171"/>
          <w:jc w:val="center"/>
        </w:trPr>
        <w:tc>
          <w:tcPr>
            <w:tcW w:w="6093" w:type="dxa"/>
            <w:shd w:val="clear" w:color="auto" w:fill="auto"/>
            <w:vAlign w:val="center"/>
            <w:hideMark/>
          </w:tcPr>
          <w:p w14:paraId="618A7215" w14:textId="787A5C07" w:rsidR="00D60513" w:rsidRPr="00191E14" w:rsidRDefault="00D60513" w:rsidP="00A4484E">
            <w:pPr>
              <w:tabs>
                <w:tab w:val="left" w:pos="340"/>
                <w:tab w:val="left" w:pos="530"/>
              </w:tabs>
              <w:spacing w:after="0" w:line="240" w:lineRule="auto"/>
              <w:jc w:val="left"/>
              <w:rPr>
                <w:rFonts w:cs="Arial"/>
                <w:sz w:val="15"/>
                <w:szCs w:val="15"/>
              </w:rPr>
            </w:pPr>
            <w:r w:rsidRPr="00191E14">
              <w:rPr>
                <w:rFonts w:cs="Arial"/>
                <w:sz w:val="15"/>
                <w:szCs w:val="15"/>
              </w:rPr>
              <w:t>5.</w:t>
            </w:r>
            <w:r w:rsidR="008D0D8E" w:rsidRPr="00191E14">
              <w:rPr>
                <w:rFonts w:cs="Arial"/>
                <w:sz w:val="15"/>
                <w:szCs w:val="15"/>
              </w:rPr>
              <w:tab/>
            </w:r>
            <w:r w:rsidRPr="00191E14">
              <w:rPr>
                <w:rFonts w:cs="Arial"/>
                <w:sz w:val="15"/>
                <w:szCs w:val="15"/>
              </w:rPr>
              <w:t>Φόρος εισοδήματος</w:t>
            </w:r>
          </w:p>
        </w:tc>
        <w:tc>
          <w:tcPr>
            <w:tcW w:w="1115" w:type="dxa"/>
            <w:shd w:val="clear" w:color="auto" w:fill="auto"/>
            <w:vAlign w:val="center"/>
            <w:hideMark/>
          </w:tcPr>
          <w:p w14:paraId="17476919" w14:textId="77777777" w:rsidR="00D60513" w:rsidRPr="00191E14" w:rsidRDefault="00D60513" w:rsidP="00A4484E">
            <w:pPr>
              <w:spacing w:after="0" w:line="240" w:lineRule="auto"/>
              <w:jc w:val="right"/>
              <w:rPr>
                <w:rFonts w:cs="Arial"/>
                <w:sz w:val="15"/>
                <w:szCs w:val="15"/>
              </w:rPr>
            </w:pPr>
            <w:r w:rsidRPr="00191E14">
              <w:rPr>
                <w:rFonts w:cs="Arial"/>
                <w:sz w:val="15"/>
                <w:szCs w:val="15"/>
              </w:rPr>
              <w:t>24.723</w:t>
            </w:r>
          </w:p>
        </w:tc>
        <w:tc>
          <w:tcPr>
            <w:tcW w:w="1177" w:type="dxa"/>
            <w:shd w:val="clear" w:color="auto" w:fill="auto"/>
            <w:vAlign w:val="center"/>
            <w:hideMark/>
          </w:tcPr>
          <w:p w14:paraId="299792EA" w14:textId="77777777" w:rsidR="00D60513" w:rsidRPr="00191E14" w:rsidRDefault="00D60513" w:rsidP="00A4484E">
            <w:pPr>
              <w:spacing w:after="0" w:line="240" w:lineRule="auto"/>
              <w:jc w:val="right"/>
              <w:rPr>
                <w:rFonts w:cs="Arial"/>
                <w:sz w:val="15"/>
                <w:szCs w:val="15"/>
              </w:rPr>
            </w:pPr>
            <w:r w:rsidRPr="00191E14">
              <w:rPr>
                <w:rFonts w:cs="Arial"/>
                <w:sz w:val="15"/>
                <w:szCs w:val="15"/>
              </w:rPr>
              <w:t>25.212</w:t>
            </w:r>
          </w:p>
        </w:tc>
        <w:tc>
          <w:tcPr>
            <w:tcW w:w="920" w:type="dxa"/>
            <w:shd w:val="clear" w:color="auto" w:fill="auto"/>
            <w:vAlign w:val="center"/>
            <w:hideMark/>
          </w:tcPr>
          <w:p w14:paraId="36EBE2A4" w14:textId="77777777" w:rsidR="00D60513" w:rsidRPr="00191E14" w:rsidRDefault="00D60513" w:rsidP="00A4484E">
            <w:pPr>
              <w:spacing w:after="0" w:line="240" w:lineRule="auto"/>
              <w:jc w:val="right"/>
              <w:rPr>
                <w:rFonts w:cs="Arial"/>
                <w:sz w:val="15"/>
                <w:szCs w:val="15"/>
              </w:rPr>
            </w:pPr>
            <w:r w:rsidRPr="00191E14">
              <w:rPr>
                <w:rFonts w:cs="Arial"/>
                <w:sz w:val="15"/>
                <w:szCs w:val="15"/>
              </w:rPr>
              <w:t>26.067</w:t>
            </w:r>
          </w:p>
        </w:tc>
        <w:tc>
          <w:tcPr>
            <w:tcW w:w="1053" w:type="dxa"/>
            <w:shd w:val="clear" w:color="auto" w:fill="auto"/>
            <w:vAlign w:val="center"/>
            <w:hideMark/>
          </w:tcPr>
          <w:p w14:paraId="126279EF" w14:textId="77777777" w:rsidR="00D60513" w:rsidRPr="00191E14" w:rsidRDefault="00D60513" w:rsidP="00A4484E">
            <w:pPr>
              <w:spacing w:after="0" w:line="240" w:lineRule="auto"/>
              <w:jc w:val="right"/>
              <w:rPr>
                <w:rFonts w:cs="Arial"/>
                <w:sz w:val="15"/>
                <w:szCs w:val="15"/>
              </w:rPr>
            </w:pPr>
            <w:r w:rsidRPr="00191E14">
              <w:rPr>
                <w:rFonts w:cs="Arial"/>
                <w:sz w:val="15"/>
                <w:szCs w:val="15"/>
              </w:rPr>
              <w:t>26.757</w:t>
            </w:r>
          </w:p>
        </w:tc>
      </w:tr>
      <w:tr w:rsidR="008B4376" w:rsidRPr="00191E14" w14:paraId="439021EA" w14:textId="77777777" w:rsidTr="005660DE">
        <w:trPr>
          <w:cantSplit/>
          <w:trHeight w:val="171"/>
          <w:jc w:val="center"/>
        </w:trPr>
        <w:tc>
          <w:tcPr>
            <w:tcW w:w="6093" w:type="dxa"/>
            <w:shd w:val="clear" w:color="auto" w:fill="auto"/>
            <w:vAlign w:val="center"/>
            <w:hideMark/>
          </w:tcPr>
          <w:p w14:paraId="197D6A92" w14:textId="04A44BA6" w:rsidR="00D60513" w:rsidRPr="00191E14" w:rsidRDefault="00901B56" w:rsidP="00501D6B">
            <w:pPr>
              <w:tabs>
                <w:tab w:val="left" w:pos="340"/>
                <w:tab w:val="left" w:pos="530"/>
              </w:tabs>
              <w:spacing w:after="0" w:line="240" w:lineRule="auto"/>
              <w:jc w:val="left"/>
              <w:rPr>
                <w:rFonts w:cs="Arial"/>
                <w:sz w:val="15"/>
                <w:szCs w:val="15"/>
              </w:rPr>
            </w:pPr>
            <w:r>
              <w:rPr>
                <w:rFonts w:cs="Arial"/>
                <w:sz w:val="15"/>
                <w:szCs w:val="15"/>
              </w:rPr>
              <w:tab/>
            </w:r>
            <w:r w:rsidR="00D60513" w:rsidRPr="00191E14">
              <w:rPr>
                <w:rFonts w:cs="Arial"/>
                <w:sz w:val="15"/>
                <w:szCs w:val="15"/>
              </w:rPr>
              <w:t>εκ των οποίων:</w:t>
            </w:r>
            <w:r>
              <w:rPr>
                <w:rFonts w:cs="Arial"/>
                <w:sz w:val="15"/>
                <w:szCs w:val="15"/>
              </w:rPr>
              <w:tab/>
            </w:r>
            <w:r w:rsidR="00D60513" w:rsidRPr="00191E14">
              <w:rPr>
                <w:rFonts w:cs="Arial"/>
                <w:sz w:val="15"/>
                <w:szCs w:val="15"/>
              </w:rPr>
              <w:t>Φόρος εισοδήματος πληρωτέος από Φυσικά Πρόσωπα (ΦΠ)</w:t>
            </w:r>
          </w:p>
        </w:tc>
        <w:tc>
          <w:tcPr>
            <w:tcW w:w="1115" w:type="dxa"/>
            <w:shd w:val="clear" w:color="auto" w:fill="auto"/>
            <w:vAlign w:val="center"/>
            <w:hideMark/>
          </w:tcPr>
          <w:p w14:paraId="7B6E1430" w14:textId="77777777" w:rsidR="00D60513" w:rsidRPr="00191E14" w:rsidRDefault="00D60513" w:rsidP="00A4484E">
            <w:pPr>
              <w:spacing w:after="0" w:line="240" w:lineRule="auto"/>
              <w:jc w:val="right"/>
              <w:rPr>
                <w:rFonts w:cs="Arial"/>
                <w:sz w:val="15"/>
                <w:szCs w:val="15"/>
              </w:rPr>
            </w:pPr>
            <w:r w:rsidRPr="00191E14">
              <w:rPr>
                <w:rFonts w:cs="Arial"/>
                <w:sz w:val="15"/>
                <w:szCs w:val="15"/>
              </w:rPr>
              <w:t>14.563</w:t>
            </w:r>
          </w:p>
        </w:tc>
        <w:tc>
          <w:tcPr>
            <w:tcW w:w="1177" w:type="dxa"/>
            <w:shd w:val="clear" w:color="auto" w:fill="auto"/>
            <w:vAlign w:val="center"/>
            <w:hideMark/>
          </w:tcPr>
          <w:p w14:paraId="49097BA2" w14:textId="77777777" w:rsidR="00D60513" w:rsidRPr="00191E14" w:rsidRDefault="00D60513" w:rsidP="00A4484E">
            <w:pPr>
              <w:spacing w:after="0" w:line="240" w:lineRule="auto"/>
              <w:jc w:val="right"/>
              <w:rPr>
                <w:rFonts w:cs="Arial"/>
                <w:sz w:val="15"/>
                <w:szCs w:val="15"/>
              </w:rPr>
            </w:pPr>
            <w:r w:rsidRPr="00191E14">
              <w:rPr>
                <w:rFonts w:cs="Arial"/>
                <w:sz w:val="15"/>
                <w:szCs w:val="15"/>
              </w:rPr>
              <w:t>15.244</w:t>
            </w:r>
          </w:p>
        </w:tc>
        <w:tc>
          <w:tcPr>
            <w:tcW w:w="920" w:type="dxa"/>
            <w:shd w:val="clear" w:color="auto" w:fill="auto"/>
            <w:vAlign w:val="center"/>
            <w:hideMark/>
          </w:tcPr>
          <w:p w14:paraId="0BD8DBFB" w14:textId="77777777" w:rsidR="00D60513" w:rsidRPr="00191E14" w:rsidRDefault="00D60513" w:rsidP="00A4484E">
            <w:pPr>
              <w:spacing w:after="0" w:line="240" w:lineRule="auto"/>
              <w:jc w:val="right"/>
              <w:rPr>
                <w:rFonts w:cs="Arial"/>
                <w:sz w:val="15"/>
                <w:szCs w:val="15"/>
              </w:rPr>
            </w:pPr>
            <w:r w:rsidRPr="00191E14">
              <w:rPr>
                <w:rFonts w:cs="Arial"/>
                <w:sz w:val="15"/>
                <w:szCs w:val="15"/>
              </w:rPr>
              <w:t>15.889</w:t>
            </w:r>
          </w:p>
        </w:tc>
        <w:tc>
          <w:tcPr>
            <w:tcW w:w="1053" w:type="dxa"/>
            <w:shd w:val="clear" w:color="auto" w:fill="auto"/>
            <w:vAlign w:val="center"/>
            <w:hideMark/>
          </w:tcPr>
          <w:p w14:paraId="197BF5C4" w14:textId="77777777" w:rsidR="00D60513" w:rsidRPr="00191E14" w:rsidRDefault="00D60513" w:rsidP="00A4484E">
            <w:pPr>
              <w:spacing w:after="0" w:line="240" w:lineRule="auto"/>
              <w:jc w:val="right"/>
              <w:rPr>
                <w:rFonts w:cs="Arial"/>
                <w:sz w:val="15"/>
                <w:szCs w:val="15"/>
              </w:rPr>
            </w:pPr>
            <w:r w:rsidRPr="00191E14">
              <w:rPr>
                <w:rFonts w:cs="Arial"/>
                <w:sz w:val="15"/>
                <w:szCs w:val="15"/>
              </w:rPr>
              <w:t>15.815</w:t>
            </w:r>
          </w:p>
        </w:tc>
      </w:tr>
      <w:tr w:rsidR="008B4376" w:rsidRPr="00191E14" w14:paraId="0FAEF196" w14:textId="77777777" w:rsidTr="005660DE">
        <w:trPr>
          <w:cantSplit/>
          <w:trHeight w:val="162"/>
          <w:jc w:val="center"/>
        </w:trPr>
        <w:tc>
          <w:tcPr>
            <w:tcW w:w="6093" w:type="dxa"/>
            <w:shd w:val="clear" w:color="auto" w:fill="auto"/>
            <w:vAlign w:val="center"/>
            <w:hideMark/>
          </w:tcPr>
          <w:p w14:paraId="0B71F350" w14:textId="48E8B307" w:rsidR="00D60513" w:rsidRPr="00191E14" w:rsidRDefault="00901B56" w:rsidP="00501D6B">
            <w:pPr>
              <w:tabs>
                <w:tab w:val="left" w:pos="340"/>
                <w:tab w:val="left" w:pos="530"/>
              </w:tabs>
              <w:spacing w:after="0" w:line="240" w:lineRule="auto"/>
              <w:jc w:val="left"/>
              <w:rPr>
                <w:rFonts w:cs="Arial"/>
                <w:sz w:val="15"/>
                <w:szCs w:val="15"/>
              </w:rPr>
            </w:pPr>
            <w:r>
              <w:rPr>
                <w:rFonts w:cs="Arial"/>
                <w:sz w:val="15"/>
                <w:szCs w:val="15"/>
              </w:rPr>
              <w:tab/>
            </w:r>
            <w:r>
              <w:rPr>
                <w:rFonts w:cs="Arial"/>
                <w:sz w:val="15"/>
                <w:szCs w:val="15"/>
              </w:rPr>
              <w:tab/>
            </w:r>
            <w:r>
              <w:rPr>
                <w:rFonts w:cs="Arial"/>
                <w:sz w:val="15"/>
                <w:szCs w:val="15"/>
              </w:rPr>
              <w:tab/>
            </w:r>
            <w:r w:rsidR="00501D6B">
              <w:rPr>
                <w:rFonts w:cs="Arial"/>
                <w:sz w:val="15"/>
                <w:szCs w:val="15"/>
              </w:rPr>
              <w:tab/>
            </w:r>
            <w:r w:rsidR="00D60513" w:rsidRPr="00191E14">
              <w:rPr>
                <w:rFonts w:cs="Arial"/>
                <w:sz w:val="15"/>
                <w:szCs w:val="15"/>
              </w:rPr>
              <w:t>Φόρος εισοδήματος πληρωτέος από εταιρείες (ΝΠ)</w:t>
            </w:r>
          </w:p>
        </w:tc>
        <w:tc>
          <w:tcPr>
            <w:tcW w:w="1115" w:type="dxa"/>
            <w:shd w:val="clear" w:color="auto" w:fill="auto"/>
            <w:vAlign w:val="center"/>
            <w:hideMark/>
          </w:tcPr>
          <w:p w14:paraId="2D900DB8" w14:textId="77777777" w:rsidR="00D60513" w:rsidRPr="00191E14" w:rsidRDefault="00D60513" w:rsidP="00A4484E">
            <w:pPr>
              <w:spacing w:after="0" w:line="240" w:lineRule="auto"/>
              <w:jc w:val="right"/>
              <w:rPr>
                <w:rFonts w:cs="Arial"/>
                <w:sz w:val="15"/>
                <w:szCs w:val="15"/>
              </w:rPr>
            </w:pPr>
            <w:r w:rsidRPr="00191E14">
              <w:rPr>
                <w:rFonts w:cs="Arial"/>
                <w:sz w:val="15"/>
                <w:szCs w:val="15"/>
              </w:rPr>
              <w:t>7.984</w:t>
            </w:r>
          </w:p>
        </w:tc>
        <w:tc>
          <w:tcPr>
            <w:tcW w:w="1177" w:type="dxa"/>
            <w:shd w:val="clear" w:color="auto" w:fill="auto"/>
            <w:vAlign w:val="center"/>
            <w:hideMark/>
          </w:tcPr>
          <w:p w14:paraId="0A6B1487" w14:textId="77777777" w:rsidR="00D60513" w:rsidRPr="00191E14" w:rsidRDefault="00D60513" w:rsidP="00A4484E">
            <w:pPr>
              <w:spacing w:after="0" w:line="240" w:lineRule="auto"/>
              <w:jc w:val="right"/>
              <w:rPr>
                <w:rFonts w:cs="Arial"/>
                <w:sz w:val="15"/>
                <w:szCs w:val="15"/>
              </w:rPr>
            </w:pPr>
            <w:r w:rsidRPr="00191E14">
              <w:rPr>
                <w:rFonts w:cs="Arial"/>
                <w:sz w:val="15"/>
                <w:szCs w:val="15"/>
              </w:rPr>
              <w:t>7.972</w:t>
            </w:r>
          </w:p>
        </w:tc>
        <w:tc>
          <w:tcPr>
            <w:tcW w:w="920" w:type="dxa"/>
            <w:shd w:val="clear" w:color="auto" w:fill="auto"/>
            <w:vAlign w:val="center"/>
            <w:hideMark/>
          </w:tcPr>
          <w:p w14:paraId="48FF39DD" w14:textId="77777777" w:rsidR="00D60513" w:rsidRPr="00191E14" w:rsidRDefault="00D60513" w:rsidP="00A4484E">
            <w:pPr>
              <w:spacing w:after="0" w:line="240" w:lineRule="auto"/>
              <w:jc w:val="right"/>
              <w:rPr>
                <w:rFonts w:cs="Arial"/>
                <w:sz w:val="15"/>
                <w:szCs w:val="15"/>
              </w:rPr>
            </w:pPr>
            <w:r w:rsidRPr="00191E14">
              <w:rPr>
                <w:rFonts w:cs="Arial"/>
                <w:sz w:val="15"/>
                <w:szCs w:val="15"/>
              </w:rPr>
              <w:t>7.788</w:t>
            </w:r>
          </w:p>
        </w:tc>
        <w:tc>
          <w:tcPr>
            <w:tcW w:w="1053" w:type="dxa"/>
            <w:shd w:val="clear" w:color="auto" w:fill="auto"/>
            <w:vAlign w:val="center"/>
            <w:hideMark/>
          </w:tcPr>
          <w:p w14:paraId="025B9D52" w14:textId="77777777" w:rsidR="00D60513" w:rsidRPr="00191E14" w:rsidRDefault="00D60513" w:rsidP="00A4484E">
            <w:pPr>
              <w:spacing w:after="0" w:line="240" w:lineRule="auto"/>
              <w:jc w:val="right"/>
              <w:rPr>
                <w:rFonts w:cs="Arial"/>
                <w:sz w:val="15"/>
                <w:szCs w:val="15"/>
              </w:rPr>
            </w:pPr>
            <w:r w:rsidRPr="00191E14">
              <w:rPr>
                <w:rFonts w:cs="Arial"/>
                <w:sz w:val="15"/>
                <w:szCs w:val="15"/>
              </w:rPr>
              <w:t>8.576</w:t>
            </w:r>
          </w:p>
        </w:tc>
      </w:tr>
      <w:tr w:rsidR="008B4376" w:rsidRPr="00191E14" w14:paraId="091F6A6F" w14:textId="77777777" w:rsidTr="005660DE">
        <w:trPr>
          <w:cantSplit/>
          <w:trHeight w:val="171"/>
          <w:jc w:val="center"/>
        </w:trPr>
        <w:tc>
          <w:tcPr>
            <w:tcW w:w="6093" w:type="dxa"/>
            <w:shd w:val="clear" w:color="auto" w:fill="auto"/>
            <w:vAlign w:val="center"/>
            <w:hideMark/>
          </w:tcPr>
          <w:p w14:paraId="4576D412" w14:textId="1C4B10C2" w:rsidR="00D60513" w:rsidRPr="00191E14" w:rsidRDefault="00D60513" w:rsidP="00A4484E">
            <w:pPr>
              <w:tabs>
                <w:tab w:val="left" w:pos="340"/>
                <w:tab w:val="left" w:pos="530"/>
              </w:tabs>
              <w:spacing w:after="0" w:line="240" w:lineRule="auto"/>
              <w:jc w:val="left"/>
              <w:rPr>
                <w:rFonts w:cs="Arial"/>
                <w:sz w:val="15"/>
                <w:szCs w:val="15"/>
              </w:rPr>
            </w:pPr>
            <w:r w:rsidRPr="00191E14">
              <w:rPr>
                <w:rFonts w:cs="Arial"/>
                <w:sz w:val="15"/>
                <w:szCs w:val="15"/>
              </w:rPr>
              <w:t>6.</w:t>
            </w:r>
            <w:r w:rsidR="008D0D8E" w:rsidRPr="00191E14">
              <w:rPr>
                <w:rFonts w:cs="Arial"/>
                <w:sz w:val="15"/>
                <w:szCs w:val="15"/>
              </w:rPr>
              <w:tab/>
            </w:r>
            <w:r w:rsidRPr="00191E14">
              <w:rPr>
                <w:rFonts w:cs="Arial"/>
                <w:sz w:val="15"/>
                <w:szCs w:val="15"/>
              </w:rPr>
              <w:t>Φόροι κεφαλαίου</w:t>
            </w:r>
          </w:p>
        </w:tc>
        <w:tc>
          <w:tcPr>
            <w:tcW w:w="1115" w:type="dxa"/>
            <w:shd w:val="clear" w:color="auto" w:fill="auto"/>
            <w:vAlign w:val="center"/>
            <w:hideMark/>
          </w:tcPr>
          <w:p w14:paraId="7AB29971" w14:textId="77777777" w:rsidR="00D60513" w:rsidRPr="00191E14" w:rsidRDefault="00D60513" w:rsidP="00A4484E">
            <w:pPr>
              <w:spacing w:after="0" w:line="240" w:lineRule="auto"/>
              <w:jc w:val="right"/>
              <w:rPr>
                <w:rFonts w:cs="Arial"/>
                <w:sz w:val="15"/>
                <w:szCs w:val="15"/>
              </w:rPr>
            </w:pPr>
            <w:r w:rsidRPr="00191E14">
              <w:rPr>
                <w:rFonts w:cs="Arial"/>
                <w:sz w:val="15"/>
                <w:szCs w:val="15"/>
              </w:rPr>
              <w:t>239</w:t>
            </w:r>
          </w:p>
        </w:tc>
        <w:tc>
          <w:tcPr>
            <w:tcW w:w="1177" w:type="dxa"/>
            <w:shd w:val="clear" w:color="auto" w:fill="auto"/>
            <w:vAlign w:val="center"/>
            <w:hideMark/>
          </w:tcPr>
          <w:p w14:paraId="30B57B43" w14:textId="77777777" w:rsidR="00D60513" w:rsidRPr="00191E14" w:rsidRDefault="00D60513" w:rsidP="00A4484E">
            <w:pPr>
              <w:spacing w:after="0" w:line="240" w:lineRule="auto"/>
              <w:jc w:val="right"/>
              <w:rPr>
                <w:rFonts w:cs="Arial"/>
                <w:sz w:val="15"/>
                <w:szCs w:val="15"/>
              </w:rPr>
            </w:pPr>
            <w:r w:rsidRPr="00191E14">
              <w:rPr>
                <w:rFonts w:cs="Arial"/>
                <w:sz w:val="15"/>
                <w:szCs w:val="15"/>
              </w:rPr>
              <w:t>235</w:t>
            </w:r>
          </w:p>
        </w:tc>
        <w:tc>
          <w:tcPr>
            <w:tcW w:w="920" w:type="dxa"/>
            <w:shd w:val="clear" w:color="auto" w:fill="auto"/>
            <w:vAlign w:val="center"/>
            <w:hideMark/>
          </w:tcPr>
          <w:p w14:paraId="3D4692E1" w14:textId="77777777" w:rsidR="00D60513" w:rsidRPr="00191E14" w:rsidRDefault="00D60513" w:rsidP="00A4484E">
            <w:pPr>
              <w:spacing w:after="0" w:line="240" w:lineRule="auto"/>
              <w:jc w:val="right"/>
              <w:rPr>
                <w:rFonts w:cs="Arial"/>
                <w:sz w:val="15"/>
                <w:szCs w:val="15"/>
              </w:rPr>
            </w:pPr>
            <w:r w:rsidRPr="00191E14">
              <w:rPr>
                <w:rFonts w:cs="Arial"/>
                <w:sz w:val="15"/>
                <w:szCs w:val="15"/>
              </w:rPr>
              <w:t>250</w:t>
            </w:r>
          </w:p>
        </w:tc>
        <w:tc>
          <w:tcPr>
            <w:tcW w:w="1053" w:type="dxa"/>
            <w:shd w:val="clear" w:color="auto" w:fill="auto"/>
            <w:vAlign w:val="center"/>
            <w:hideMark/>
          </w:tcPr>
          <w:p w14:paraId="577D9DE6" w14:textId="77777777" w:rsidR="00D60513" w:rsidRPr="00191E14" w:rsidRDefault="00D60513" w:rsidP="00A4484E">
            <w:pPr>
              <w:spacing w:after="0" w:line="240" w:lineRule="auto"/>
              <w:jc w:val="right"/>
              <w:rPr>
                <w:rFonts w:cs="Arial"/>
                <w:sz w:val="15"/>
                <w:szCs w:val="15"/>
              </w:rPr>
            </w:pPr>
            <w:r w:rsidRPr="00191E14">
              <w:rPr>
                <w:rFonts w:cs="Arial"/>
                <w:sz w:val="15"/>
                <w:szCs w:val="15"/>
              </w:rPr>
              <w:t>250</w:t>
            </w:r>
          </w:p>
        </w:tc>
      </w:tr>
      <w:tr w:rsidR="008B4376" w:rsidRPr="00191E14" w14:paraId="5F2698AA" w14:textId="77777777" w:rsidTr="005660DE">
        <w:trPr>
          <w:cantSplit/>
          <w:trHeight w:val="171"/>
          <w:jc w:val="center"/>
        </w:trPr>
        <w:tc>
          <w:tcPr>
            <w:tcW w:w="6093" w:type="dxa"/>
            <w:shd w:val="clear" w:color="auto" w:fill="auto"/>
            <w:vAlign w:val="center"/>
            <w:hideMark/>
          </w:tcPr>
          <w:p w14:paraId="1542CAB1" w14:textId="06CEA731" w:rsidR="00D60513" w:rsidRPr="00191E14" w:rsidRDefault="00D60513" w:rsidP="00A4484E">
            <w:pPr>
              <w:tabs>
                <w:tab w:val="left" w:pos="340"/>
                <w:tab w:val="left" w:pos="530"/>
              </w:tabs>
              <w:spacing w:after="0" w:line="240" w:lineRule="auto"/>
              <w:jc w:val="left"/>
              <w:rPr>
                <w:rFonts w:cs="Arial"/>
                <w:sz w:val="15"/>
                <w:szCs w:val="15"/>
              </w:rPr>
            </w:pPr>
            <w:r w:rsidRPr="00191E14">
              <w:rPr>
                <w:rFonts w:cs="Arial"/>
                <w:sz w:val="15"/>
                <w:szCs w:val="15"/>
              </w:rPr>
              <w:t>7.</w:t>
            </w:r>
            <w:r w:rsidR="008D0D8E" w:rsidRPr="00191E14">
              <w:rPr>
                <w:rFonts w:cs="Arial"/>
                <w:sz w:val="15"/>
                <w:szCs w:val="15"/>
              </w:rPr>
              <w:tab/>
            </w:r>
            <w:r w:rsidRPr="00191E14">
              <w:rPr>
                <w:rFonts w:cs="Arial"/>
                <w:sz w:val="15"/>
                <w:szCs w:val="15"/>
              </w:rPr>
              <w:t>Λοιποί τρέχοντες φόροι</w:t>
            </w:r>
          </w:p>
        </w:tc>
        <w:tc>
          <w:tcPr>
            <w:tcW w:w="1115" w:type="dxa"/>
            <w:shd w:val="clear" w:color="auto" w:fill="auto"/>
            <w:vAlign w:val="center"/>
            <w:hideMark/>
          </w:tcPr>
          <w:p w14:paraId="3E669BC7" w14:textId="77777777" w:rsidR="00D60513" w:rsidRPr="00191E14" w:rsidRDefault="00D60513" w:rsidP="00A4484E">
            <w:pPr>
              <w:spacing w:after="0" w:line="240" w:lineRule="auto"/>
              <w:jc w:val="right"/>
              <w:rPr>
                <w:rFonts w:cs="Arial"/>
                <w:sz w:val="15"/>
                <w:szCs w:val="15"/>
              </w:rPr>
            </w:pPr>
            <w:r w:rsidRPr="00191E14">
              <w:rPr>
                <w:rFonts w:cs="Arial"/>
                <w:sz w:val="15"/>
                <w:szCs w:val="15"/>
              </w:rPr>
              <w:t>2.989</w:t>
            </w:r>
          </w:p>
        </w:tc>
        <w:tc>
          <w:tcPr>
            <w:tcW w:w="1177" w:type="dxa"/>
            <w:shd w:val="clear" w:color="auto" w:fill="auto"/>
            <w:vAlign w:val="center"/>
            <w:hideMark/>
          </w:tcPr>
          <w:p w14:paraId="0172F2F8" w14:textId="77777777" w:rsidR="00D60513" w:rsidRPr="00191E14" w:rsidRDefault="00D60513" w:rsidP="00A4484E">
            <w:pPr>
              <w:spacing w:after="0" w:line="240" w:lineRule="auto"/>
              <w:jc w:val="right"/>
              <w:rPr>
                <w:rFonts w:cs="Arial"/>
                <w:sz w:val="15"/>
                <w:szCs w:val="15"/>
              </w:rPr>
            </w:pPr>
            <w:r w:rsidRPr="00191E14">
              <w:rPr>
                <w:rFonts w:cs="Arial"/>
                <w:sz w:val="15"/>
                <w:szCs w:val="15"/>
              </w:rPr>
              <w:t>2.523</w:t>
            </w:r>
          </w:p>
        </w:tc>
        <w:tc>
          <w:tcPr>
            <w:tcW w:w="920" w:type="dxa"/>
            <w:shd w:val="clear" w:color="auto" w:fill="auto"/>
            <w:vAlign w:val="center"/>
            <w:hideMark/>
          </w:tcPr>
          <w:p w14:paraId="31DFC71F" w14:textId="77777777" w:rsidR="00D60513" w:rsidRPr="00191E14" w:rsidRDefault="00D60513" w:rsidP="00A4484E">
            <w:pPr>
              <w:spacing w:after="0" w:line="240" w:lineRule="auto"/>
              <w:jc w:val="right"/>
              <w:rPr>
                <w:rFonts w:cs="Arial"/>
                <w:sz w:val="15"/>
                <w:szCs w:val="15"/>
              </w:rPr>
            </w:pPr>
            <w:r w:rsidRPr="00191E14">
              <w:rPr>
                <w:rFonts w:cs="Arial"/>
                <w:sz w:val="15"/>
                <w:szCs w:val="15"/>
              </w:rPr>
              <w:t>2.292</w:t>
            </w:r>
          </w:p>
        </w:tc>
        <w:tc>
          <w:tcPr>
            <w:tcW w:w="1053" w:type="dxa"/>
            <w:shd w:val="clear" w:color="auto" w:fill="auto"/>
            <w:vAlign w:val="center"/>
            <w:hideMark/>
          </w:tcPr>
          <w:p w14:paraId="70E6BE7C" w14:textId="77777777" w:rsidR="00D60513" w:rsidRPr="00191E14" w:rsidRDefault="00D60513" w:rsidP="00A4484E">
            <w:pPr>
              <w:spacing w:after="0" w:line="240" w:lineRule="auto"/>
              <w:jc w:val="right"/>
              <w:rPr>
                <w:rFonts w:cs="Arial"/>
                <w:sz w:val="15"/>
                <w:szCs w:val="15"/>
              </w:rPr>
            </w:pPr>
            <w:r w:rsidRPr="00191E14">
              <w:rPr>
                <w:rFonts w:cs="Arial"/>
                <w:sz w:val="15"/>
                <w:szCs w:val="15"/>
              </w:rPr>
              <w:t>2.345</w:t>
            </w:r>
          </w:p>
        </w:tc>
      </w:tr>
      <w:tr w:rsidR="008B4376" w:rsidRPr="00191E14" w14:paraId="5349B087" w14:textId="77777777" w:rsidTr="005660DE">
        <w:trPr>
          <w:cantSplit/>
          <w:trHeight w:val="171"/>
          <w:jc w:val="center"/>
        </w:trPr>
        <w:tc>
          <w:tcPr>
            <w:tcW w:w="6093" w:type="dxa"/>
            <w:shd w:val="clear" w:color="auto" w:fill="auto"/>
            <w:vAlign w:val="center"/>
            <w:hideMark/>
          </w:tcPr>
          <w:p w14:paraId="66BB8C7E" w14:textId="524C3323"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β.</w:t>
            </w:r>
            <w:r w:rsidR="008B4376" w:rsidRPr="00191E14">
              <w:rPr>
                <w:rFonts w:cs="Arial"/>
                <w:b/>
                <w:bCs/>
                <w:sz w:val="15"/>
                <w:szCs w:val="15"/>
              </w:rPr>
              <w:tab/>
            </w:r>
            <w:r w:rsidRPr="00191E14">
              <w:rPr>
                <w:rFonts w:cs="Arial"/>
                <w:b/>
                <w:bCs/>
                <w:sz w:val="15"/>
                <w:szCs w:val="15"/>
              </w:rPr>
              <w:t>Κοινωνικές εισφορές</w:t>
            </w:r>
          </w:p>
        </w:tc>
        <w:tc>
          <w:tcPr>
            <w:tcW w:w="1115" w:type="dxa"/>
            <w:shd w:val="clear" w:color="auto" w:fill="auto"/>
            <w:vAlign w:val="center"/>
            <w:hideMark/>
          </w:tcPr>
          <w:p w14:paraId="4409BCB4"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61</w:t>
            </w:r>
          </w:p>
        </w:tc>
        <w:tc>
          <w:tcPr>
            <w:tcW w:w="1177" w:type="dxa"/>
            <w:shd w:val="clear" w:color="auto" w:fill="auto"/>
            <w:vAlign w:val="center"/>
            <w:hideMark/>
          </w:tcPr>
          <w:p w14:paraId="449913B1"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60</w:t>
            </w:r>
          </w:p>
        </w:tc>
        <w:tc>
          <w:tcPr>
            <w:tcW w:w="920" w:type="dxa"/>
            <w:shd w:val="clear" w:color="auto" w:fill="auto"/>
            <w:vAlign w:val="center"/>
            <w:hideMark/>
          </w:tcPr>
          <w:p w14:paraId="3F954006"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61</w:t>
            </w:r>
          </w:p>
        </w:tc>
        <w:tc>
          <w:tcPr>
            <w:tcW w:w="1053" w:type="dxa"/>
            <w:shd w:val="clear" w:color="auto" w:fill="auto"/>
            <w:vAlign w:val="center"/>
            <w:hideMark/>
          </w:tcPr>
          <w:p w14:paraId="5BC5EE09"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61</w:t>
            </w:r>
          </w:p>
        </w:tc>
      </w:tr>
      <w:tr w:rsidR="008B4376" w:rsidRPr="00191E14" w14:paraId="5A46E508" w14:textId="77777777" w:rsidTr="005660DE">
        <w:trPr>
          <w:cantSplit/>
          <w:trHeight w:val="162"/>
          <w:jc w:val="center"/>
        </w:trPr>
        <w:tc>
          <w:tcPr>
            <w:tcW w:w="6093" w:type="dxa"/>
            <w:shd w:val="clear" w:color="auto" w:fill="auto"/>
            <w:vAlign w:val="center"/>
            <w:hideMark/>
          </w:tcPr>
          <w:p w14:paraId="4D05FC0A" w14:textId="50529BCF"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γ.</w:t>
            </w:r>
            <w:r w:rsidR="008B4376" w:rsidRPr="00191E14">
              <w:rPr>
                <w:rFonts w:cs="Arial"/>
                <w:b/>
                <w:bCs/>
                <w:sz w:val="15"/>
                <w:szCs w:val="15"/>
              </w:rPr>
              <w:tab/>
            </w:r>
            <w:r w:rsidRPr="00191E14">
              <w:rPr>
                <w:rFonts w:cs="Arial"/>
                <w:b/>
                <w:bCs/>
                <w:sz w:val="15"/>
                <w:szCs w:val="15"/>
              </w:rPr>
              <w:t>Μεταβιβάσεις</w:t>
            </w:r>
          </w:p>
        </w:tc>
        <w:tc>
          <w:tcPr>
            <w:tcW w:w="1115" w:type="dxa"/>
            <w:shd w:val="clear" w:color="auto" w:fill="auto"/>
            <w:vAlign w:val="center"/>
            <w:hideMark/>
          </w:tcPr>
          <w:p w14:paraId="79A2F308"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7.282</w:t>
            </w:r>
          </w:p>
        </w:tc>
        <w:tc>
          <w:tcPr>
            <w:tcW w:w="1177" w:type="dxa"/>
            <w:shd w:val="clear" w:color="auto" w:fill="auto"/>
            <w:vAlign w:val="center"/>
            <w:hideMark/>
          </w:tcPr>
          <w:p w14:paraId="7B526D38"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8.794</w:t>
            </w:r>
          </w:p>
        </w:tc>
        <w:tc>
          <w:tcPr>
            <w:tcW w:w="920" w:type="dxa"/>
            <w:shd w:val="clear" w:color="auto" w:fill="auto"/>
            <w:vAlign w:val="center"/>
            <w:hideMark/>
          </w:tcPr>
          <w:p w14:paraId="2434EC2A"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9.307</w:t>
            </w:r>
          </w:p>
        </w:tc>
        <w:tc>
          <w:tcPr>
            <w:tcW w:w="1053" w:type="dxa"/>
            <w:shd w:val="clear" w:color="auto" w:fill="auto"/>
            <w:vAlign w:val="center"/>
            <w:hideMark/>
          </w:tcPr>
          <w:p w14:paraId="1D54D39D"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10.930</w:t>
            </w:r>
          </w:p>
        </w:tc>
      </w:tr>
      <w:tr w:rsidR="008B4376" w:rsidRPr="00191E14" w14:paraId="39D7C54C" w14:textId="77777777" w:rsidTr="005660DE">
        <w:trPr>
          <w:cantSplit/>
          <w:trHeight w:val="171"/>
          <w:jc w:val="center"/>
        </w:trPr>
        <w:tc>
          <w:tcPr>
            <w:tcW w:w="6093" w:type="dxa"/>
            <w:shd w:val="clear" w:color="auto" w:fill="auto"/>
            <w:vAlign w:val="center"/>
            <w:hideMark/>
          </w:tcPr>
          <w:p w14:paraId="6CCD4A2E" w14:textId="0C3022BA"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δ.</w:t>
            </w:r>
            <w:r w:rsidR="008B4376" w:rsidRPr="00191E14">
              <w:rPr>
                <w:rFonts w:cs="Arial"/>
                <w:b/>
                <w:bCs/>
                <w:sz w:val="15"/>
                <w:szCs w:val="15"/>
              </w:rPr>
              <w:tab/>
            </w:r>
            <w:r w:rsidRPr="00191E14">
              <w:rPr>
                <w:rFonts w:cs="Arial"/>
                <w:b/>
                <w:bCs/>
                <w:sz w:val="15"/>
                <w:szCs w:val="15"/>
              </w:rPr>
              <w:t>Πωλήσεις αγαθών και υπηρεσιών</w:t>
            </w:r>
          </w:p>
        </w:tc>
        <w:tc>
          <w:tcPr>
            <w:tcW w:w="1115" w:type="dxa"/>
            <w:shd w:val="clear" w:color="auto" w:fill="auto"/>
            <w:vAlign w:val="center"/>
            <w:hideMark/>
          </w:tcPr>
          <w:p w14:paraId="1AA3C498"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894</w:t>
            </w:r>
          </w:p>
        </w:tc>
        <w:tc>
          <w:tcPr>
            <w:tcW w:w="1177" w:type="dxa"/>
            <w:shd w:val="clear" w:color="auto" w:fill="auto"/>
            <w:vAlign w:val="center"/>
            <w:hideMark/>
          </w:tcPr>
          <w:p w14:paraId="17B9B4B1"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965</w:t>
            </w:r>
          </w:p>
        </w:tc>
        <w:tc>
          <w:tcPr>
            <w:tcW w:w="920" w:type="dxa"/>
            <w:shd w:val="clear" w:color="auto" w:fill="auto"/>
            <w:vAlign w:val="center"/>
            <w:hideMark/>
          </w:tcPr>
          <w:p w14:paraId="4A55A9FD"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1.211</w:t>
            </w:r>
          </w:p>
        </w:tc>
        <w:tc>
          <w:tcPr>
            <w:tcW w:w="1053" w:type="dxa"/>
            <w:shd w:val="clear" w:color="auto" w:fill="auto"/>
            <w:vAlign w:val="center"/>
            <w:hideMark/>
          </w:tcPr>
          <w:p w14:paraId="536737E2"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1.061</w:t>
            </w:r>
          </w:p>
        </w:tc>
      </w:tr>
      <w:tr w:rsidR="008B4376" w:rsidRPr="00191E14" w14:paraId="6158379F" w14:textId="77777777" w:rsidTr="005660DE">
        <w:trPr>
          <w:cantSplit/>
          <w:trHeight w:val="171"/>
          <w:jc w:val="center"/>
        </w:trPr>
        <w:tc>
          <w:tcPr>
            <w:tcW w:w="6093" w:type="dxa"/>
            <w:shd w:val="clear" w:color="auto" w:fill="auto"/>
            <w:vAlign w:val="center"/>
            <w:hideMark/>
          </w:tcPr>
          <w:p w14:paraId="25B8D98A" w14:textId="2DB0FAD6"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ε.</w:t>
            </w:r>
            <w:r w:rsidR="008B4376" w:rsidRPr="00191E14">
              <w:rPr>
                <w:rFonts w:cs="Arial"/>
                <w:b/>
                <w:bCs/>
                <w:sz w:val="15"/>
                <w:szCs w:val="15"/>
              </w:rPr>
              <w:tab/>
            </w:r>
            <w:r w:rsidRPr="00191E14">
              <w:rPr>
                <w:rFonts w:cs="Arial"/>
                <w:b/>
                <w:bCs/>
                <w:sz w:val="15"/>
                <w:szCs w:val="15"/>
              </w:rPr>
              <w:t>Λοιπά τρέχοντα έσοδα</w:t>
            </w:r>
          </w:p>
        </w:tc>
        <w:tc>
          <w:tcPr>
            <w:tcW w:w="1115" w:type="dxa"/>
            <w:shd w:val="clear" w:color="auto" w:fill="auto"/>
            <w:vAlign w:val="center"/>
            <w:hideMark/>
          </w:tcPr>
          <w:p w14:paraId="3F7E504F"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3.793</w:t>
            </w:r>
          </w:p>
        </w:tc>
        <w:tc>
          <w:tcPr>
            <w:tcW w:w="1177" w:type="dxa"/>
            <w:shd w:val="clear" w:color="auto" w:fill="auto"/>
            <w:vAlign w:val="center"/>
            <w:hideMark/>
          </w:tcPr>
          <w:p w14:paraId="6BDBC3FC"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3.043</w:t>
            </w:r>
          </w:p>
        </w:tc>
        <w:tc>
          <w:tcPr>
            <w:tcW w:w="920" w:type="dxa"/>
            <w:shd w:val="clear" w:color="auto" w:fill="auto"/>
            <w:vAlign w:val="center"/>
            <w:hideMark/>
          </w:tcPr>
          <w:p w14:paraId="68FA79DA"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2.962</w:t>
            </w:r>
          </w:p>
        </w:tc>
        <w:tc>
          <w:tcPr>
            <w:tcW w:w="1053" w:type="dxa"/>
            <w:shd w:val="clear" w:color="auto" w:fill="auto"/>
            <w:vAlign w:val="center"/>
            <w:hideMark/>
          </w:tcPr>
          <w:p w14:paraId="6C21A232"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2.274</w:t>
            </w:r>
          </w:p>
        </w:tc>
      </w:tr>
      <w:tr w:rsidR="008B4376" w:rsidRPr="00191E14" w14:paraId="3C768BBE" w14:textId="77777777" w:rsidTr="005660DE">
        <w:trPr>
          <w:cantSplit/>
          <w:trHeight w:val="162"/>
          <w:jc w:val="center"/>
        </w:trPr>
        <w:tc>
          <w:tcPr>
            <w:tcW w:w="6093" w:type="dxa"/>
            <w:shd w:val="clear" w:color="auto" w:fill="auto"/>
            <w:vAlign w:val="center"/>
            <w:hideMark/>
          </w:tcPr>
          <w:p w14:paraId="105AB87D" w14:textId="6870B74C" w:rsidR="00D60513" w:rsidRPr="00191E14" w:rsidRDefault="00901B56" w:rsidP="00501D6B">
            <w:pPr>
              <w:tabs>
                <w:tab w:val="left" w:pos="340"/>
                <w:tab w:val="left" w:pos="530"/>
              </w:tabs>
              <w:spacing w:after="0" w:line="240" w:lineRule="auto"/>
              <w:jc w:val="left"/>
              <w:rPr>
                <w:rFonts w:cs="Arial"/>
                <w:b/>
                <w:bCs/>
                <w:sz w:val="15"/>
                <w:szCs w:val="15"/>
              </w:rPr>
            </w:pPr>
            <w:r>
              <w:rPr>
                <w:rFonts w:cs="Arial"/>
                <w:sz w:val="15"/>
                <w:szCs w:val="15"/>
              </w:rPr>
              <w:tab/>
            </w:r>
            <w:r w:rsidR="00D60513" w:rsidRPr="00191E14">
              <w:rPr>
                <w:rFonts w:cs="Arial"/>
                <w:sz w:val="15"/>
                <w:szCs w:val="15"/>
              </w:rPr>
              <w:t>εκ των οποίων:</w:t>
            </w:r>
            <w:r w:rsidR="00191E14">
              <w:rPr>
                <w:rFonts w:cs="Arial"/>
                <w:sz w:val="15"/>
                <w:szCs w:val="15"/>
              </w:rPr>
              <w:tab/>
            </w:r>
            <w:r w:rsidR="00D60513" w:rsidRPr="00191E14">
              <w:rPr>
                <w:rFonts w:cs="Arial"/>
                <w:sz w:val="15"/>
                <w:szCs w:val="15"/>
              </w:rPr>
              <w:t>ε1. Επιστροφές δαπανών για τόκους</w:t>
            </w:r>
          </w:p>
        </w:tc>
        <w:tc>
          <w:tcPr>
            <w:tcW w:w="1115" w:type="dxa"/>
            <w:shd w:val="clear" w:color="auto" w:fill="auto"/>
            <w:vAlign w:val="center"/>
            <w:hideMark/>
          </w:tcPr>
          <w:p w14:paraId="03645234" w14:textId="77777777" w:rsidR="00D60513" w:rsidRPr="00191E14" w:rsidRDefault="00D60513" w:rsidP="00A4484E">
            <w:pPr>
              <w:spacing w:after="0" w:line="240" w:lineRule="auto"/>
              <w:jc w:val="right"/>
              <w:rPr>
                <w:rFonts w:cs="Arial"/>
                <w:sz w:val="15"/>
                <w:szCs w:val="15"/>
              </w:rPr>
            </w:pPr>
            <w:r w:rsidRPr="00191E14">
              <w:rPr>
                <w:rFonts w:cs="Arial"/>
                <w:sz w:val="15"/>
                <w:szCs w:val="15"/>
              </w:rPr>
              <w:t>44</w:t>
            </w:r>
          </w:p>
        </w:tc>
        <w:tc>
          <w:tcPr>
            <w:tcW w:w="1177" w:type="dxa"/>
            <w:shd w:val="clear" w:color="auto" w:fill="auto"/>
            <w:vAlign w:val="center"/>
            <w:hideMark/>
          </w:tcPr>
          <w:p w14:paraId="3AB2509C"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920" w:type="dxa"/>
            <w:shd w:val="clear" w:color="auto" w:fill="auto"/>
            <w:vAlign w:val="center"/>
            <w:hideMark/>
          </w:tcPr>
          <w:p w14:paraId="65CB4198" w14:textId="77777777" w:rsidR="00D60513" w:rsidRPr="00191E14" w:rsidRDefault="00D60513" w:rsidP="00A4484E">
            <w:pPr>
              <w:spacing w:after="0" w:line="240" w:lineRule="auto"/>
              <w:jc w:val="right"/>
              <w:rPr>
                <w:rFonts w:cs="Arial"/>
                <w:sz w:val="15"/>
                <w:szCs w:val="15"/>
              </w:rPr>
            </w:pPr>
            <w:r w:rsidRPr="00191E14">
              <w:rPr>
                <w:rFonts w:cs="Arial"/>
                <w:sz w:val="15"/>
                <w:szCs w:val="15"/>
              </w:rPr>
              <w:t>94</w:t>
            </w:r>
          </w:p>
        </w:tc>
        <w:tc>
          <w:tcPr>
            <w:tcW w:w="1053" w:type="dxa"/>
            <w:shd w:val="clear" w:color="auto" w:fill="auto"/>
            <w:vAlign w:val="center"/>
            <w:hideMark/>
          </w:tcPr>
          <w:p w14:paraId="41A044A7"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r>
      <w:tr w:rsidR="008B4376" w:rsidRPr="00E05689" w14:paraId="6B1F56DE" w14:textId="77777777" w:rsidTr="005660DE">
        <w:trPr>
          <w:cantSplit/>
          <w:trHeight w:val="171"/>
          <w:jc w:val="center"/>
        </w:trPr>
        <w:tc>
          <w:tcPr>
            <w:tcW w:w="6093" w:type="dxa"/>
            <w:shd w:val="clear" w:color="auto" w:fill="auto"/>
            <w:vAlign w:val="center"/>
            <w:hideMark/>
          </w:tcPr>
          <w:p w14:paraId="2ADBC008" w14:textId="7143799C" w:rsidR="00D60513" w:rsidRPr="00E05689" w:rsidRDefault="00D60513" w:rsidP="00A4484E">
            <w:pPr>
              <w:tabs>
                <w:tab w:val="left" w:pos="340"/>
              </w:tabs>
              <w:spacing w:after="0" w:line="240" w:lineRule="auto"/>
              <w:jc w:val="left"/>
              <w:rPr>
                <w:rFonts w:cs="Arial"/>
                <w:b/>
                <w:bCs/>
                <w:sz w:val="15"/>
                <w:szCs w:val="15"/>
              </w:rPr>
            </w:pPr>
            <w:r w:rsidRPr="00E05689">
              <w:rPr>
                <w:rFonts w:cs="Arial"/>
                <w:b/>
                <w:bCs/>
                <w:sz w:val="15"/>
                <w:szCs w:val="15"/>
              </w:rPr>
              <w:t>στ.</w:t>
            </w:r>
            <w:r w:rsidR="008B4376" w:rsidRPr="00E05689">
              <w:rPr>
                <w:rFonts w:cs="Arial"/>
                <w:b/>
                <w:bCs/>
                <w:sz w:val="15"/>
                <w:szCs w:val="15"/>
              </w:rPr>
              <w:tab/>
            </w:r>
            <w:r w:rsidRPr="00E05689">
              <w:rPr>
                <w:rFonts w:cs="Arial"/>
                <w:b/>
                <w:bCs/>
                <w:sz w:val="15"/>
                <w:szCs w:val="15"/>
              </w:rPr>
              <w:t>Πωλήσεις παγίων περιουσιακών στοιχείων</w:t>
            </w:r>
          </w:p>
        </w:tc>
        <w:tc>
          <w:tcPr>
            <w:tcW w:w="1115" w:type="dxa"/>
            <w:shd w:val="clear" w:color="auto" w:fill="auto"/>
            <w:vAlign w:val="center"/>
            <w:hideMark/>
          </w:tcPr>
          <w:p w14:paraId="4B62BBBC"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29</w:t>
            </w:r>
          </w:p>
        </w:tc>
        <w:tc>
          <w:tcPr>
            <w:tcW w:w="1177" w:type="dxa"/>
            <w:shd w:val="clear" w:color="auto" w:fill="auto"/>
            <w:vAlign w:val="center"/>
            <w:hideMark/>
          </w:tcPr>
          <w:p w14:paraId="25C90A6B"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37</w:t>
            </w:r>
          </w:p>
        </w:tc>
        <w:tc>
          <w:tcPr>
            <w:tcW w:w="920" w:type="dxa"/>
            <w:shd w:val="clear" w:color="auto" w:fill="auto"/>
            <w:vAlign w:val="center"/>
            <w:hideMark/>
          </w:tcPr>
          <w:p w14:paraId="2CA16CA9"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36</w:t>
            </w:r>
          </w:p>
        </w:tc>
        <w:tc>
          <w:tcPr>
            <w:tcW w:w="1053" w:type="dxa"/>
            <w:shd w:val="clear" w:color="auto" w:fill="auto"/>
            <w:vAlign w:val="center"/>
            <w:hideMark/>
          </w:tcPr>
          <w:p w14:paraId="47D2554D"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51</w:t>
            </w:r>
          </w:p>
        </w:tc>
      </w:tr>
      <w:tr w:rsidR="008B4376" w:rsidRPr="00E05689" w14:paraId="6F065D05" w14:textId="77777777" w:rsidTr="005660DE">
        <w:trPr>
          <w:cantSplit/>
          <w:trHeight w:val="171"/>
          <w:jc w:val="center"/>
        </w:trPr>
        <w:tc>
          <w:tcPr>
            <w:tcW w:w="6093" w:type="dxa"/>
            <w:shd w:val="clear" w:color="auto" w:fill="auto"/>
            <w:vAlign w:val="center"/>
            <w:hideMark/>
          </w:tcPr>
          <w:p w14:paraId="2C547211" w14:textId="0CB2F016" w:rsidR="00D60513" w:rsidRPr="00E05689" w:rsidRDefault="00D60513" w:rsidP="00A4484E">
            <w:pPr>
              <w:tabs>
                <w:tab w:val="left" w:pos="340"/>
              </w:tabs>
              <w:spacing w:after="0" w:line="240" w:lineRule="auto"/>
              <w:jc w:val="left"/>
              <w:rPr>
                <w:rFonts w:cs="Arial"/>
                <w:b/>
                <w:bCs/>
                <w:sz w:val="15"/>
                <w:szCs w:val="15"/>
              </w:rPr>
            </w:pPr>
            <w:r w:rsidRPr="00E05689">
              <w:rPr>
                <w:rFonts w:cs="Arial"/>
                <w:b/>
                <w:bCs/>
                <w:sz w:val="15"/>
                <w:szCs w:val="15"/>
              </w:rPr>
              <w:t>ζ.</w:t>
            </w:r>
            <w:r w:rsidR="008B4376" w:rsidRPr="00E05689">
              <w:rPr>
                <w:rFonts w:cs="Arial"/>
                <w:b/>
                <w:bCs/>
                <w:sz w:val="15"/>
                <w:szCs w:val="15"/>
              </w:rPr>
              <w:tab/>
            </w:r>
            <w:r w:rsidRPr="00E05689">
              <w:rPr>
                <w:rFonts w:cs="Arial"/>
                <w:b/>
                <w:bCs/>
                <w:sz w:val="15"/>
                <w:szCs w:val="15"/>
              </w:rPr>
              <w:t>Επιστροφές εσόδων</w:t>
            </w:r>
          </w:p>
        </w:tc>
        <w:tc>
          <w:tcPr>
            <w:tcW w:w="1115" w:type="dxa"/>
            <w:shd w:val="clear" w:color="auto" w:fill="auto"/>
            <w:vAlign w:val="center"/>
            <w:hideMark/>
          </w:tcPr>
          <w:p w14:paraId="3EA8D3E9"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8.188</w:t>
            </w:r>
          </w:p>
        </w:tc>
        <w:tc>
          <w:tcPr>
            <w:tcW w:w="1177" w:type="dxa"/>
            <w:shd w:val="clear" w:color="auto" w:fill="auto"/>
            <w:vAlign w:val="center"/>
            <w:hideMark/>
          </w:tcPr>
          <w:p w14:paraId="6DD67466"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7.529</w:t>
            </w:r>
          </w:p>
        </w:tc>
        <w:tc>
          <w:tcPr>
            <w:tcW w:w="920" w:type="dxa"/>
            <w:shd w:val="clear" w:color="auto" w:fill="auto"/>
            <w:vAlign w:val="center"/>
            <w:hideMark/>
          </w:tcPr>
          <w:p w14:paraId="573C5654"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7.689</w:t>
            </w:r>
          </w:p>
        </w:tc>
        <w:tc>
          <w:tcPr>
            <w:tcW w:w="1053" w:type="dxa"/>
            <w:shd w:val="clear" w:color="auto" w:fill="auto"/>
            <w:vAlign w:val="center"/>
            <w:hideMark/>
          </w:tcPr>
          <w:p w14:paraId="40C8B64C" w14:textId="77777777" w:rsidR="00D60513" w:rsidRPr="00E05689" w:rsidRDefault="00D60513" w:rsidP="00A4484E">
            <w:pPr>
              <w:spacing w:after="0" w:line="240" w:lineRule="auto"/>
              <w:jc w:val="right"/>
              <w:rPr>
                <w:rFonts w:cs="Arial"/>
                <w:b/>
                <w:sz w:val="15"/>
                <w:szCs w:val="15"/>
              </w:rPr>
            </w:pPr>
            <w:r w:rsidRPr="00E05689">
              <w:rPr>
                <w:rFonts w:cs="Arial"/>
                <w:b/>
                <w:sz w:val="15"/>
                <w:szCs w:val="15"/>
              </w:rPr>
              <w:t>8.038</w:t>
            </w:r>
          </w:p>
        </w:tc>
      </w:tr>
      <w:tr w:rsidR="008B4376" w:rsidRPr="00191E14" w14:paraId="3D046304" w14:textId="77777777" w:rsidTr="005660DE">
        <w:trPr>
          <w:cantSplit/>
          <w:trHeight w:val="171"/>
          <w:jc w:val="center"/>
        </w:trPr>
        <w:tc>
          <w:tcPr>
            <w:tcW w:w="6093" w:type="dxa"/>
            <w:shd w:val="clear" w:color="auto" w:fill="auto"/>
            <w:vAlign w:val="center"/>
            <w:hideMark/>
          </w:tcPr>
          <w:p w14:paraId="0450156F" w14:textId="77777777" w:rsidR="00D60513" w:rsidRPr="00191E14" w:rsidRDefault="00D60513" w:rsidP="00A4484E">
            <w:pPr>
              <w:spacing w:after="0" w:line="240" w:lineRule="auto"/>
              <w:jc w:val="left"/>
              <w:rPr>
                <w:rFonts w:cs="Arial"/>
                <w:sz w:val="15"/>
                <w:szCs w:val="15"/>
              </w:rPr>
            </w:pPr>
            <w:r w:rsidRPr="00191E14">
              <w:rPr>
                <w:rFonts w:cs="Arial"/>
                <w:sz w:val="15"/>
                <w:szCs w:val="15"/>
              </w:rPr>
              <w:t>Πληροφοριακά στοιχεία:</w:t>
            </w:r>
          </w:p>
        </w:tc>
        <w:tc>
          <w:tcPr>
            <w:tcW w:w="1115" w:type="dxa"/>
            <w:shd w:val="clear" w:color="auto" w:fill="auto"/>
            <w:vAlign w:val="center"/>
            <w:hideMark/>
          </w:tcPr>
          <w:p w14:paraId="0F52E62B" w14:textId="77777777" w:rsidR="00D60513" w:rsidRPr="00191E14" w:rsidRDefault="00D60513" w:rsidP="00A4484E">
            <w:pPr>
              <w:spacing w:after="0" w:line="240" w:lineRule="auto"/>
              <w:jc w:val="right"/>
              <w:rPr>
                <w:rFonts w:cs="Arial"/>
                <w:sz w:val="15"/>
                <w:szCs w:val="15"/>
              </w:rPr>
            </w:pPr>
          </w:p>
        </w:tc>
        <w:tc>
          <w:tcPr>
            <w:tcW w:w="1177" w:type="dxa"/>
            <w:shd w:val="clear" w:color="auto" w:fill="auto"/>
            <w:vAlign w:val="center"/>
            <w:hideMark/>
          </w:tcPr>
          <w:p w14:paraId="7A54C4DA" w14:textId="77777777" w:rsidR="00D60513" w:rsidRPr="00191E14" w:rsidRDefault="00D60513" w:rsidP="00A4484E">
            <w:pPr>
              <w:spacing w:after="0" w:line="240" w:lineRule="auto"/>
              <w:jc w:val="right"/>
              <w:rPr>
                <w:rFonts w:cs="Arial"/>
                <w:sz w:val="15"/>
                <w:szCs w:val="15"/>
              </w:rPr>
            </w:pPr>
          </w:p>
        </w:tc>
        <w:tc>
          <w:tcPr>
            <w:tcW w:w="920" w:type="dxa"/>
            <w:shd w:val="clear" w:color="auto" w:fill="auto"/>
            <w:vAlign w:val="center"/>
            <w:hideMark/>
          </w:tcPr>
          <w:p w14:paraId="2110D91B" w14:textId="77777777" w:rsidR="00D60513" w:rsidRPr="00191E14" w:rsidRDefault="00D60513" w:rsidP="00A4484E">
            <w:pPr>
              <w:spacing w:after="0" w:line="240" w:lineRule="auto"/>
              <w:jc w:val="right"/>
              <w:rPr>
                <w:rFonts w:cs="Arial"/>
                <w:sz w:val="15"/>
                <w:szCs w:val="15"/>
              </w:rPr>
            </w:pPr>
          </w:p>
        </w:tc>
        <w:tc>
          <w:tcPr>
            <w:tcW w:w="1053" w:type="dxa"/>
            <w:shd w:val="clear" w:color="auto" w:fill="auto"/>
            <w:vAlign w:val="center"/>
            <w:hideMark/>
          </w:tcPr>
          <w:p w14:paraId="1E65A8AB" w14:textId="77777777" w:rsidR="00D60513" w:rsidRPr="00191E14" w:rsidRDefault="00D60513" w:rsidP="00A4484E">
            <w:pPr>
              <w:spacing w:after="0" w:line="240" w:lineRule="auto"/>
              <w:jc w:val="right"/>
              <w:rPr>
                <w:rFonts w:cs="Arial"/>
                <w:sz w:val="15"/>
                <w:szCs w:val="15"/>
              </w:rPr>
            </w:pPr>
          </w:p>
        </w:tc>
      </w:tr>
      <w:tr w:rsidR="008B4376" w:rsidRPr="00B06ED8" w14:paraId="3576035F" w14:textId="77777777" w:rsidTr="005660DE">
        <w:trPr>
          <w:cantSplit/>
          <w:trHeight w:val="162"/>
          <w:jc w:val="center"/>
        </w:trPr>
        <w:tc>
          <w:tcPr>
            <w:tcW w:w="6093" w:type="dxa"/>
            <w:shd w:val="clear" w:color="auto" w:fill="auto"/>
            <w:vAlign w:val="center"/>
            <w:hideMark/>
          </w:tcPr>
          <w:p w14:paraId="6C576173" w14:textId="524695C2" w:rsidR="00D60513" w:rsidRPr="00B06ED8" w:rsidRDefault="003E3063" w:rsidP="00A4484E">
            <w:pPr>
              <w:spacing w:after="0" w:line="240" w:lineRule="auto"/>
              <w:jc w:val="left"/>
              <w:rPr>
                <w:rFonts w:cs="Arial"/>
                <w:i/>
                <w:iCs/>
                <w:sz w:val="15"/>
                <w:szCs w:val="15"/>
              </w:rPr>
            </w:pPr>
            <w:r w:rsidRPr="00B06ED8">
              <w:rPr>
                <w:rFonts w:cs="Arial"/>
                <w:i/>
                <w:iCs/>
                <w:sz w:val="15"/>
                <w:szCs w:val="15"/>
              </w:rPr>
              <w:t>Προϋπολογισμός δημοσίων επενδύσεων</w:t>
            </w:r>
            <w:r w:rsidR="00D60513" w:rsidRPr="00B06ED8">
              <w:rPr>
                <w:rFonts w:cs="Arial"/>
                <w:i/>
                <w:iCs/>
                <w:sz w:val="15"/>
                <w:szCs w:val="15"/>
                <w:vertAlign w:val="superscript"/>
              </w:rPr>
              <w:t>1</w:t>
            </w:r>
          </w:p>
        </w:tc>
        <w:tc>
          <w:tcPr>
            <w:tcW w:w="1115" w:type="dxa"/>
            <w:shd w:val="clear" w:color="auto" w:fill="auto"/>
            <w:vAlign w:val="center"/>
            <w:hideMark/>
          </w:tcPr>
          <w:p w14:paraId="6F42602D" w14:textId="77777777" w:rsidR="00D60513" w:rsidRPr="00B06ED8" w:rsidRDefault="00D60513" w:rsidP="00A4484E">
            <w:pPr>
              <w:spacing w:after="0" w:line="240" w:lineRule="auto"/>
              <w:jc w:val="right"/>
              <w:rPr>
                <w:rFonts w:cs="Arial"/>
                <w:i/>
                <w:iCs/>
                <w:sz w:val="15"/>
                <w:szCs w:val="15"/>
              </w:rPr>
            </w:pPr>
            <w:r w:rsidRPr="00B06ED8">
              <w:rPr>
                <w:rFonts w:cs="Arial"/>
                <w:i/>
                <w:iCs/>
                <w:sz w:val="15"/>
                <w:szCs w:val="15"/>
              </w:rPr>
              <w:t>3.547</w:t>
            </w:r>
          </w:p>
        </w:tc>
        <w:tc>
          <w:tcPr>
            <w:tcW w:w="1177" w:type="dxa"/>
            <w:shd w:val="clear" w:color="auto" w:fill="auto"/>
            <w:vAlign w:val="center"/>
            <w:hideMark/>
          </w:tcPr>
          <w:p w14:paraId="607091A9" w14:textId="77777777" w:rsidR="00D60513" w:rsidRPr="00B06ED8" w:rsidRDefault="00D60513" w:rsidP="00A4484E">
            <w:pPr>
              <w:spacing w:after="0" w:line="240" w:lineRule="auto"/>
              <w:jc w:val="right"/>
              <w:rPr>
                <w:rFonts w:cs="Arial"/>
                <w:i/>
                <w:iCs/>
                <w:sz w:val="15"/>
                <w:szCs w:val="15"/>
              </w:rPr>
            </w:pPr>
            <w:r w:rsidRPr="00B06ED8">
              <w:rPr>
                <w:rFonts w:cs="Arial"/>
                <w:i/>
                <w:iCs/>
                <w:sz w:val="15"/>
                <w:szCs w:val="15"/>
              </w:rPr>
              <w:t>4.300</w:t>
            </w:r>
          </w:p>
        </w:tc>
        <w:tc>
          <w:tcPr>
            <w:tcW w:w="920" w:type="dxa"/>
            <w:shd w:val="clear" w:color="auto" w:fill="auto"/>
            <w:vAlign w:val="center"/>
            <w:hideMark/>
          </w:tcPr>
          <w:p w14:paraId="5990EF36" w14:textId="77777777" w:rsidR="00D60513" w:rsidRPr="00B06ED8" w:rsidRDefault="00D60513" w:rsidP="00A4484E">
            <w:pPr>
              <w:spacing w:after="0" w:line="240" w:lineRule="auto"/>
              <w:jc w:val="right"/>
              <w:rPr>
                <w:rFonts w:cs="Arial"/>
                <w:i/>
                <w:iCs/>
                <w:sz w:val="15"/>
                <w:szCs w:val="15"/>
              </w:rPr>
            </w:pPr>
            <w:r w:rsidRPr="00B06ED8">
              <w:rPr>
                <w:rFonts w:cs="Arial"/>
                <w:i/>
                <w:iCs/>
                <w:sz w:val="15"/>
                <w:szCs w:val="15"/>
              </w:rPr>
              <w:t>4.300</w:t>
            </w:r>
          </w:p>
        </w:tc>
        <w:tc>
          <w:tcPr>
            <w:tcW w:w="1053" w:type="dxa"/>
            <w:shd w:val="clear" w:color="auto" w:fill="auto"/>
            <w:vAlign w:val="center"/>
            <w:hideMark/>
          </w:tcPr>
          <w:p w14:paraId="2835DD42" w14:textId="77777777" w:rsidR="00D60513" w:rsidRPr="00B06ED8" w:rsidRDefault="00D60513" w:rsidP="00A4484E">
            <w:pPr>
              <w:spacing w:after="0" w:line="240" w:lineRule="auto"/>
              <w:jc w:val="right"/>
              <w:rPr>
                <w:rFonts w:cs="Arial"/>
                <w:i/>
                <w:iCs/>
                <w:sz w:val="15"/>
                <w:szCs w:val="15"/>
              </w:rPr>
            </w:pPr>
            <w:r w:rsidRPr="00B06ED8">
              <w:rPr>
                <w:rFonts w:cs="Arial"/>
                <w:i/>
                <w:iCs/>
                <w:sz w:val="15"/>
                <w:szCs w:val="15"/>
              </w:rPr>
              <w:t>4.350</w:t>
            </w:r>
          </w:p>
        </w:tc>
      </w:tr>
      <w:tr w:rsidR="008B4376" w:rsidRPr="00191E14" w14:paraId="42BDFB8D" w14:textId="77777777" w:rsidTr="005660DE">
        <w:trPr>
          <w:cantSplit/>
          <w:trHeight w:val="171"/>
          <w:jc w:val="center"/>
        </w:trPr>
        <w:tc>
          <w:tcPr>
            <w:tcW w:w="6093" w:type="dxa"/>
            <w:shd w:val="clear" w:color="auto" w:fill="auto"/>
            <w:vAlign w:val="center"/>
            <w:hideMark/>
          </w:tcPr>
          <w:p w14:paraId="0B6C178D" w14:textId="735C086C" w:rsidR="00D60513" w:rsidRPr="00191E14" w:rsidRDefault="00D60513" w:rsidP="00A4484E">
            <w:pPr>
              <w:spacing w:after="0" w:line="240" w:lineRule="auto"/>
              <w:jc w:val="left"/>
              <w:rPr>
                <w:rFonts w:cs="Arial"/>
                <w:i/>
                <w:iCs/>
                <w:sz w:val="15"/>
                <w:szCs w:val="15"/>
              </w:rPr>
            </w:pPr>
            <w:r w:rsidRPr="00191E14">
              <w:rPr>
                <w:rFonts w:cs="Arial"/>
                <w:i/>
                <w:iCs/>
                <w:sz w:val="15"/>
                <w:szCs w:val="15"/>
              </w:rPr>
              <w:t>Τ</w:t>
            </w:r>
            <w:r w:rsidR="008B4CBE">
              <w:rPr>
                <w:rFonts w:cs="Arial"/>
                <w:i/>
                <w:iCs/>
                <w:sz w:val="15"/>
                <w:szCs w:val="15"/>
              </w:rPr>
              <w:t>ΑΑ</w:t>
            </w:r>
            <w:r w:rsidRPr="00901B56">
              <w:rPr>
                <w:rFonts w:cs="Arial"/>
                <w:i/>
                <w:iCs/>
                <w:sz w:val="15"/>
                <w:szCs w:val="15"/>
                <w:vertAlign w:val="superscript"/>
              </w:rPr>
              <w:t>2</w:t>
            </w:r>
          </w:p>
        </w:tc>
        <w:tc>
          <w:tcPr>
            <w:tcW w:w="1115" w:type="dxa"/>
            <w:shd w:val="clear" w:color="auto" w:fill="auto"/>
            <w:vAlign w:val="center"/>
            <w:hideMark/>
          </w:tcPr>
          <w:p w14:paraId="4CD02D00" w14:textId="77777777" w:rsidR="00D60513" w:rsidRPr="00191E14" w:rsidRDefault="00D60513" w:rsidP="00A4484E">
            <w:pPr>
              <w:spacing w:after="0" w:line="240" w:lineRule="auto"/>
              <w:jc w:val="right"/>
              <w:rPr>
                <w:rFonts w:cs="Arial"/>
                <w:i/>
                <w:iCs/>
                <w:sz w:val="15"/>
                <w:szCs w:val="15"/>
              </w:rPr>
            </w:pPr>
            <w:r w:rsidRPr="00191E14">
              <w:rPr>
                <w:rFonts w:cs="Arial"/>
                <w:i/>
                <w:iCs/>
                <w:sz w:val="15"/>
                <w:szCs w:val="15"/>
              </w:rPr>
              <w:t>3.145</w:t>
            </w:r>
          </w:p>
        </w:tc>
        <w:tc>
          <w:tcPr>
            <w:tcW w:w="1177" w:type="dxa"/>
            <w:shd w:val="clear" w:color="auto" w:fill="auto"/>
            <w:vAlign w:val="center"/>
            <w:hideMark/>
          </w:tcPr>
          <w:p w14:paraId="695B3C5A" w14:textId="77777777" w:rsidR="00D60513" w:rsidRPr="00191E14" w:rsidRDefault="00D60513" w:rsidP="00A4484E">
            <w:pPr>
              <w:spacing w:after="0" w:line="240" w:lineRule="auto"/>
              <w:jc w:val="right"/>
              <w:rPr>
                <w:rFonts w:cs="Arial"/>
                <w:i/>
                <w:iCs/>
                <w:sz w:val="15"/>
                <w:szCs w:val="15"/>
              </w:rPr>
            </w:pPr>
            <w:r w:rsidRPr="00191E14">
              <w:rPr>
                <w:rFonts w:cs="Arial"/>
                <w:i/>
                <w:iCs/>
                <w:sz w:val="15"/>
                <w:szCs w:val="15"/>
              </w:rPr>
              <w:t>4.237</w:t>
            </w:r>
          </w:p>
        </w:tc>
        <w:tc>
          <w:tcPr>
            <w:tcW w:w="920" w:type="dxa"/>
            <w:shd w:val="clear" w:color="auto" w:fill="auto"/>
            <w:vAlign w:val="center"/>
            <w:hideMark/>
          </w:tcPr>
          <w:p w14:paraId="6C27435A" w14:textId="77777777" w:rsidR="00D60513" w:rsidRPr="00191E14" w:rsidRDefault="00D60513" w:rsidP="00A4484E">
            <w:pPr>
              <w:spacing w:after="0" w:line="240" w:lineRule="auto"/>
              <w:jc w:val="right"/>
              <w:rPr>
                <w:rFonts w:cs="Arial"/>
                <w:i/>
                <w:iCs/>
                <w:sz w:val="15"/>
                <w:szCs w:val="15"/>
              </w:rPr>
            </w:pPr>
            <w:r w:rsidRPr="00191E14">
              <w:rPr>
                <w:rFonts w:cs="Arial"/>
                <w:i/>
                <w:iCs/>
                <w:sz w:val="15"/>
                <w:szCs w:val="15"/>
              </w:rPr>
              <w:t>4.293</w:t>
            </w:r>
          </w:p>
        </w:tc>
        <w:tc>
          <w:tcPr>
            <w:tcW w:w="1053" w:type="dxa"/>
            <w:shd w:val="clear" w:color="auto" w:fill="auto"/>
            <w:vAlign w:val="center"/>
            <w:hideMark/>
          </w:tcPr>
          <w:p w14:paraId="394FBACC" w14:textId="77777777" w:rsidR="00D60513" w:rsidRPr="00191E14" w:rsidRDefault="00D60513" w:rsidP="00A4484E">
            <w:pPr>
              <w:spacing w:after="0" w:line="240" w:lineRule="auto"/>
              <w:jc w:val="right"/>
              <w:rPr>
                <w:rFonts w:cs="Arial"/>
                <w:i/>
                <w:iCs/>
                <w:sz w:val="15"/>
                <w:szCs w:val="15"/>
              </w:rPr>
            </w:pPr>
            <w:r w:rsidRPr="00191E14">
              <w:rPr>
                <w:rFonts w:cs="Arial"/>
                <w:i/>
                <w:iCs/>
                <w:sz w:val="15"/>
                <w:szCs w:val="15"/>
              </w:rPr>
              <w:t>5.950</w:t>
            </w:r>
          </w:p>
        </w:tc>
      </w:tr>
      <w:tr w:rsidR="00BB202B" w:rsidRPr="00191E14" w14:paraId="584D04F2" w14:textId="77777777" w:rsidTr="005660DE">
        <w:trPr>
          <w:cantSplit/>
          <w:trHeight w:val="171"/>
          <w:jc w:val="center"/>
        </w:trPr>
        <w:tc>
          <w:tcPr>
            <w:tcW w:w="6093" w:type="dxa"/>
            <w:shd w:val="clear" w:color="auto" w:fill="D5DCE4"/>
            <w:vAlign w:val="center"/>
            <w:hideMark/>
          </w:tcPr>
          <w:p w14:paraId="776E61DF" w14:textId="0AF96C74"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II.</w:t>
            </w:r>
            <w:r w:rsidR="008B4376" w:rsidRPr="00191E14">
              <w:rPr>
                <w:rFonts w:cs="Arial"/>
                <w:b/>
                <w:bCs/>
                <w:sz w:val="15"/>
                <w:szCs w:val="15"/>
              </w:rPr>
              <w:tab/>
            </w:r>
            <w:r w:rsidRPr="00191E14">
              <w:rPr>
                <w:rFonts w:cs="Arial"/>
                <w:b/>
                <w:bCs/>
                <w:sz w:val="15"/>
                <w:szCs w:val="15"/>
              </w:rPr>
              <w:t>Δαπάνες κρατικού προϋπολογισμού κατά ESA (α+β+γ+δ+ε+στ+ζ+η+θ+ι)</w:t>
            </w:r>
            <w:r w:rsidRPr="004B2956">
              <w:rPr>
                <w:rFonts w:cs="Arial"/>
                <w:b/>
                <w:bCs/>
                <w:sz w:val="15"/>
                <w:szCs w:val="15"/>
                <w:vertAlign w:val="superscript"/>
              </w:rPr>
              <w:t>3</w:t>
            </w:r>
          </w:p>
        </w:tc>
        <w:tc>
          <w:tcPr>
            <w:tcW w:w="1115" w:type="dxa"/>
            <w:shd w:val="clear" w:color="auto" w:fill="D5DCE4"/>
            <w:vAlign w:val="center"/>
            <w:hideMark/>
          </w:tcPr>
          <w:p w14:paraId="60ADA89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74.921</w:t>
            </w:r>
          </w:p>
        </w:tc>
        <w:tc>
          <w:tcPr>
            <w:tcW w:w="1177" w:type="dxa"/>
            <w:shd w:val="clear" w:color="auto" w:fill="D5DCE4"/>
            <w:vAlign w:val="center"/>
            <w:hideMark/>
          </w:tcPr>
          <w:p w14:paraId="0129770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80.502</w:t>
            </w:r>
          </w:p>
        </w:tc>
        <w:tc>
          <w:tcPr>
            <w:tcW w:w="920" w:type="dxa"/>
            <w:shd w:val="clear" w:color="auto" w:fill="D5DCE4"/>
            <w:vAlign w:val="center"/>
            <w:hideMark/>
          </w:tcPr>
          <w:p w14:paraId="2EC74C8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81.493</w:t>
            </w:r>
          </w:p>
        </w:tc>
        <w:tc>
          <w:tcPr>
            <w:tcW w:w="1053" w:type="dxa"/>
            <w:shd w:val="clear" w:color="auto" w:fill="D5DCE4"/>
            <w:vAlign w:val="center"/>
            <w:hideMark/>
          </w:tcPr>
          <w:p w14:paraId="2ECF0DB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86.793</w:t>
            </w:r>
          </w:p>
        </w:tc>
      </w:tr>
      <w:tr w:rsidR="008B4376" w:rsidRPr="00191E14" w14:paraId="0EBD2896" w14:textId="77777777" w:rsidTr="005660DE">
        <w:trPr>
          <w:cantSplit/>
          <w:trHeight w:val="162"/>
          <w:jc w:val="center"/>
        </w:trPr>
        <w:tc>
          <w:tcPr>
            <w:tcW w:w="6093" w:type="dxa"/>
            <w:shd w:val="clear" w:color="auto" w:fill="auto"/>
            <w:vAlign w:val="center"/>
            <w:hideMark/>
          </w:tcPr>
          <w:p w14:paraId="1DC39E9B" w14:textId="01194C93"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α.</w:t>
            </w:r>
            <w:r w:rsidR="008B4376" w:rsidRPr="00191E14">
              <w:rPr>
                <w:rFonts w:cs="Arial"/>
                <w:b/>
                <w:bCs/>
                <w:sz w:val="15"/>
                <w:szCs w:val="15"/>
              </w:rPr>
              <w:tab/>
            </w:r>
            <w:r w:rsidRPr="00191E14">
              <w:rPr>
                <w:rFonts w:cs="Arial"/>
                <w:b/>
                <w:bCs/>
                <w:sz w:val="15"/>
                <w:szCs w:val="15"/>
              </w:rPr>
              <w:t xml:space="preserve">Παροχές σε </w:t>
            </w:r>
            <w:r w:rsidR="00FC6F60">
              <w:rPr>
                <w:rFonts w:cs="Arial"/>
                <w:b/>
                <w:bCs/>
                <w:sz w:val="15"/>
                <w:szCs w:val="15"/>
              </w:rPr>
              <w:t>ε</w:t>
            </w:r>
            <w:r w:rsidRPr="00191E14">
              <w:rPr>
                <w:rFonts w:cs="Arial"/>
                <w:b/>
                <w:bCs/>
                <w:sz w:val="15"/>
                <w:szCs w:val="15"/>
              </w:rPr>
              <w:t>ργαζόμενους</w:t>
            </w:r>
          </w:p>
        </w:tc>
        <w:tc>
          <w:tcPr>
            <w:tcW w:w="1115" w:type="dxa"/>
            <w:shd w:val="clear" w:color="auto" w:fill="auto"/>
            <w:vAlign w:val="center"/>
            <w:hideMark/>
          </w:tcPr>
          <w:p w14:paraId="74A864A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14.870</w:t>
            </w:r>
          </w:p>
        </w:tc>
        <w:tc>
          <w:tcPr>
            <w:tcW w:w="1177" w:type="dxa"/>
            <w:shd w:val="clear" w:color="auto" w:fill="auto"/>
            <w:vAlign w:val="center"/>
            <w:hideMark/>
          </w:tcPr>
          <w:p w14:paraId="7B29DA97"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14.790</w:t>
            </w:r>
          </w:p>
        </w:tc>
        <w:tc>
          <w:tcPr>
            <w:tcW w:w="920" w:type="dxa"/>
            <w:shd w:val="clear" w:color="auto" w:fill="auto"/>
            <w:vAlign w:val="center"/>
            <w:hideMark/>
          </w:tcPr>
          <w:p w14:paraId="0FB3CC2B"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15.395</w:t>
            </w:r>
          </w:p>
        </w:tc>
        <w:tc>
          <w:tcPr>
            <w:tcW w:w="1053" w:type="dxa"/>
            <w:shd w:val="clear" w:color="auto" w:fill="auto"/>
            <w:vAlign w:val="center"/>
            <w:hideMark/>
          </w:tcPr>
          <w:p w14:paraId="7FAC4417"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15.589</w:t>
            </w:r>
          </w:p>
        </w:tc>
      </w:tr>
      <w:tr w:rsidR="008B4376" w:rsidRPr="00191E14" w14:paraId="53E7C645" w14:textId="77777777" w:rsidTr="005660DE">
        <w:trPr>
          <w:cantSplit/>
          <w:trHeight w:val="171"/>
          <w:jc w:val="center"/>
        </w:trPr>
        <w:tc>
          <w:tcPr>
            <w:tcW w:w="6093" w:type="dxa"/>
            <w:shd w:val="clear" w:color="auto" w:fill="auto"/>
            <w:vAlign w:val="center"/>
            <w:hideMark/>
          </w:tcPr>
          <w:p w14:paraId="09CAAA48" w14:textId="429B5AA0"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β.</w:t>
            </w:r>
            <w:r w:rsidR="008B4376" w:rsidRPr="00191E14">
              <w:rPr>
                <w:rFonts w:cs="Arial"/>
                <w:b/>
                <w:bCs/>
                <w:sz w:val="15"/>
                <w:szCs w:val="15"/>
              </w:rPr>
              <w:tab/>
            </w:r>
            <w:r w:rsidRPr="00191E14">
              <w:rPr>
                <w:rFonts w:cs="Arial"/>
                <w:b/>
                <w:bCs/>
                <w:sz w:val="15"/>
                <w:szCs w:val="15"/>
              </w:rPr>
              <w:t xml:space="preserve">Κοινωνικές </w:t>
            </w:r>
            <w:r w:rsidR="00FC6F60">
              <w:rPr>
                <w:rFonts w:cs="Arial"/>
                <w:b/>
                <w:bCs/>
                <w:sz w:val="15"/>
                <w:szCs w:val="15"/>
              </w:rPr>
              <w:t>π</w:t>
            </w:r>
            <w:r w:rsidRPr="00191E14">
              <w:rPr>
                <w:rFonts w:cs="Arial"/>
                <w:b/>
                <w:bCs/>
                <w:sz w:val="15"/>
                <w:szCs w:val="15"/>
              </w:rPr>
              <w:t>αροχές</w:t>
            </w:r>
          </w:p>
        </w:tc>
        <w:tc>
          <w:tcPr>
            <w:tcW w:w="1115" w:type="dxa"/>
            <w:shd w:val="clear" w:color="auto" w:fill="auto"/>
            <w:vAlign w:val="center"/>
            <w:hideMark/>
          </w:tcPr>
          <w:p w14:paraId="3EF350F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340</w:t>
            </w:r>
          </w:p>
        </w:tc>
        <w:tc>
          <w:tcPr>
            <w:tcW w:w="1177" w:type="dxa"/>
            <w:shd w:val="clear" w:color="auto" w:fill="auto"/>
            <w:vAlign w:val="center"/>
            <w:hideMark/>
          </w:tcPr>
          <w:p w14:paraId="1774FDA7"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425</w:t>
            </w:r>
          </w:p>
        </w:tc>
        <w:tc>
          <w:tcPr>
            <w:tcW w:w="920" w:type="dxa"/>
            <w:shd w:val="clear" w:color="auto" w:fill="auto"/>
            <w:vAlign w:val="center"/>
            <w:hideMark/>
          </w:tcPr>
          <w:p w14:paraId="7E33A9C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568</w:t>
            </w:r>
          </w:p>
        </w:tc>
        <w:tc>
          <w:tcPr>
            <w:tcW w:w="1053" w:type="dxa"/>
            <w:shd w:val="clear" w:color="auto" w:fill="auto"/>
            <w:vAlign w:val="center"/>
            <w:hideMark/>
          </w:tcPr>
          <w:p w14:paraId="1F06689B"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628</w:t>
            </w:r>
          </w:p>
        </w:tc>
      </w:tr>
      <w:tr w:rsidR="008B4376" w:rsidRPr="00191E14" w14:paraId="07B58B10" w14:textId="77777777" w:rsidTr="005660DE">
        <w:trPr>
          <w:cantSplit/>
          <w:trHeight w:val="171"/>
          <w:jc w:val="center"/>
        </w:trPr>
        <w:tc>
          <w:tcPr>
            <w:tcW w:w="6093" w:type="dxa"/>
            <w:shd w:val="clear" w:color="auto" w:fill="auto"/>
            <w:vAlign w:val="center"/>
            <w:hideMark/>
          </w:tcPr>
          <w:p w14:paraId="7DAE153C" w14:textId="5CF080F2"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γ.</w:t>
            </w:r>
            <w:r w:rsidR="008B4376" w:rsidRPr="00191E14">
              <w:rPr>
                <w:rFonts w:cs="Arial"/>
                <w:b/>
                <w:bCs/>
                <w:sz w:val="15"/>
                <w:szCs w:val="15"/>
              </w:rPr>
              <w:tab/>
            </w:r>
            <w:r w:rsidRPr="00191E14">
              <w:rPr>
                <w:rFonts w:cs="Arial"/>
                <w:b/>
                <w:bCs/>
                <w:sz w:val="15"/>
                <w:szCs w:val="15"/>
              </w:rPr>
              <w:t>Μεταβιβάσεις</w:t>
            </w:r>
          </w:p>
        </w:tc>
        <w:tc>
          <w:tcPr>
            <w:tcW w:w="1115" w:type="dxa"/>
            <w:shd w:val="clear" w:color="auto" w:fill="auto"/>
            <w:vAlign w:val="center"/>
            <w:hideMark/>
          </w:tcPr>
          <w:p w14:paraId="1A71ACA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32.299</w:t>
            </w:r>
          </w:p>
        </w:tc>
        <w:tc>
          <w:tcPr>
            <w:tcW w:w="1177" w:type="dxa"/>
            <w:shd w:val="clear" w:color="auto" w:fill="auto"/>
            <w:vAlign w:val="center"/>
            <w:hideMark/>
          </w:tcPr>
          <w:p w14:paraId="15F8BD3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34.436</w:t>
            </w:r>
          </w:p>
        </w:tc>
        <w:tc>
          <w:tcPr>
            <w:tcW w:w="920" w:type="dxa"/>
            <w:shd w:val="clear" w:color="auto" w:fill="auto"/>
            <w:vAlign w:val="center"/>
            <w:hideMark/>
          </w:tcPr>
          <w:p w14:paraId="027F8BD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34.863</w:t>
            </w:r>
          </w:p>
        </w:tc>
        <w:tc>
          <w:tcPr>
            <w:tcW w:w="1053" w:type="dxa"/>
            <w:shd w:val="clear" w:color="auto" w:fill="auto"/>
            <w:vAlign w:val="center"/>
            <w:hideMark/>
          </w:tcPr>
          <w:p w14:paraId="7224C56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35.567</w:t>
            </w:r>
          </w:p>
        </w:tc>
      </w:tr>
      <w:tr w:rsidR="008B4376" w:rsidRPr="00191E14" w14:paraId="02D67E82" w14:textId="77777777" w:rsidTr="005660DE">
        <w:trPr>
          <w:cantSplit/>
          <w:trHeight w:val="171"/>
          <w:jc w:val="center"/>
        </w:trPr>
        <w:tc>
          <w:tcPr>
            <w:tcW w:w="6093" w:type="dxa"/>
            <w:shd w:val="clear" w:color="auto" w:fill="auto"/>
            <w:vAlign w:val="center"/>
            <w:hideMark/>
          </w:tcPr>
          <w:p w14:paraId="5AA4A76C" w14:textId="375CE065"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δ.</w:t>
            </w:r>
            <w:r w:rsidR="008B4376" w:rsidRPr="00191E14">
              <w:rPr>
                <w:rFonts w:cs="Arial"/>
                <w:b/>
                <w:bCs/>
                <w:sz w:val="15"/>
                <w:szCs w:val="15"/>
              </w:rPr>
              <w:tab/>
            </w:r>
            <w:r w:rsidRPr="00191E14">
              <w:rPr>
                <w:rFonts w:cs="Arial"/>
                <w:b/>
                <w:bCs/>
                <w:sz w:val="15"/>
                <w:szCs w:val="15"/>
              </w:rPr>
              <w:t>Αγορές αγαθών και υπηρεσιών</w:t>
            </w:r>
          </w:p>
        </w:tc>
        <w:tc>
          <w:tcPr>
            <w:tcW w:w="1115" w:type="dxa"/>
            <w:shd w:val="clear" w:color="auto" w:fill="auto"/>
            <w:vAlign w:val="center"/>
            <w:hideMark/>
          </w:tcPr>
          <w:p w14:paraId="79B7C66D"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2.201</w:t>
            </w:r>
          </w:p>
        </w:tc>
        <w:tc>
          <w:tcPr>
            <w:tcW w:w="1177" w:type="dxa"/>
            <w:shd w:val="clear" w:color="auto" w:fill="auto"/>
            <w:vAlign w:val="center"/>
            <w:hideMark/>
          </w:tcPr>
          <w:p w14:paraId="1A444EE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1.910</w:t>
            </w:r>
          </w:p>
        </w:tc>
        <w:tc>
          <w:tcPr>
            <w:tcW w:w="920" w:type="dxa"/>
            <w:shd w:val="clear" w:color="auto" w:fill="auto"/>
            <w:vAlign w:val="center"/>
            <w:hideMark/>
          </w:tcPr>
          <w:p w14:paraId="49934E1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2.351</w:t>
            </w:r>
          </w:p>
        </w:tc>
        <w:tc>
          <w:tcPr>
            <w:tcW w:w="1053" w:type="dxa"/>
            <w:shd w:val="clear" w:color="auto" w:fill="auto"/>
            <w:vAlign w:val="center"/>
            <w:hideMark/>
          </w:tcPr>
          <w:p w14:paraId="33273985"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2.258</w:t>
            </w:r>
          </w:p>
        </w:tc>
      </w:tr>
      <w:tr w:rsidR="008B4376" w:rsidRPr="00191E14" w14:paraId="3A37722F" w14:textId="77777777" w:rsidTr="005660DE">
        <w:trPr>
          <w:cantSplit/>
          <w:trHeight w:val="162"/>
          <w:jc w:val="center"/>
        </w:trPr>
        <w:tc>
          <w:tcPr>
            <w:tcW w:w="6093" w:type="dxa"/>
            <w:shd w:val="clear" w:color="auto" w:fill="auto"/>
            <w:vAlign w:val="center"/>
            <w:hideMark/>
          </w:tcPr>
          <w:p w14:paraId="79BFF6DF" w14:textId="118F9A89"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ε.</w:t>
            </w:r>
            <w:r w:rsidR="008B4376" w:rsidRPr="00191E14">
              <w:rPr>
                <w:rFonts w:cs="Arial"/>
                <w:b/>
                <w:bCs/>
                <w:sz w:val="15"/>
                <w:szCs w:val="15"/>
              </w:rPr>
              <w:tab/>
            </w:r>
            <w:r w:rsidRPr="00191E14">
              <w:rPr>
                <w:rFonts w:cs="Arial"/>
                <w:b/>
                <w:bCs/>
                <w:sz w:val="15"/>
                <w:szCs w:val="15"/>
              </w:rPr>
              <w:t>Επιδοτήσεις</w:t>
            </w:r>
          </w:p>
        </w:tc>
        <w:tc>
          <w:tcPr>
            <w:tcW w:w="1115" w:type="dxa"/>
            <w:shd w:val="clear" w:color="auto" w:fill="auto"/>
            <w:vAlign w:val="center"/>
            <w:hideMark/>
          </w:tcPr>
          <w:p w14:paraId="546ECB50"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73</w:t>
            </w:r>
          </w:p>
        </w:tc>
        <w:tc>
          <w:tcPr>
            <w:tcW w:w="1177" w:type="dxa"/>
            <w:shd w:val="clear" w:color="auto" w:fill="auto"/>
            <w:vAlign w:val="center"/>
            <w:hideMark/>
          </w:tcPr>
          <w:p w14:paraId="397AA80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81</w:t>
            </w:r>
          </w:p>
        </w:tc>
        <w:tc>
          <w:tcPr>
            <w:tcW w:w="920" w:type="dxa"/>
            <w:shd w:val="clear" w:color="auto" w:fill="auto"/>
            <w:vAlign w:val="center"/>
            <w:hideMark/>
          </w:tcPr>
          <w:p w14:paraId="318D314B"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138</w:t>
            </w:r>
          </w:p>
        </w:tc>
        <w:tc>
          <w:tcPr>
            <w:tcW w:w="1053" w:type="dxa"/>
            <w:shd w:val="clear" w:color="auto" w:fill="auto"/>
            <w:vAlign w:val="center"/>
            <w:hideMark/>
          </w:tcPr>
          <w:p w14:paraId="10A8E3CA"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80</w:t>
            </w:r>
          </w:p>
        </w:tc>
      </w:tr>
      <w:tr w:rsidR="008B4376" w:rsidRPr="00191E14" w14:paraId="3AEEF985" w14:textId="77777777" w:rsidTr="005660DE">
        <w:trPr>
          <w:cantSplit/>
          <w:trHeight w:val="171"/>
          <w:jc w:val="center"/>
        </w:trPr>
        <w:tc>
          <w:tcPr>
            <w:tcW w:w="6093" w:type="dxa"/>
            <w:shd w:val="clear" w:color="auto" w:fill="auto"/>
            <w:vAlign w:val="center"/>
            <w:hideMark/>
          </w:tcPr>
          <w:p w14:paraId="7C243895" w14:textId="583701BE"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στ.</w:t>
            </w:r>
            <w:r w:rsidR="008B4376" w:rsidRPr="00191E14">
              <w:rPr>
                <w:rFonts w:cs="Arial"/>
                <w:b/>
                <w:bCs/>
                <w:sz w:val="15"/>
                <w:szCs w:val="15"/>
              </w:rPr>
              <w:tab/>
            </w:r>
            <w:r w:rsidRPr="00191E14">
              <w:rPr>
                <w:rFonts w:cs="Arial"/>
                <w:b/>
                <w:bCs/>
                <w:sz w:val="15"/>
                <w:szCs w:val="15"/>
              </w:rPr>
              <w:t>Τόκοι</w:t>
            </w:r>
          </w:p>
        </w:tc>
        <w:tc>
          <w:tcPr>
            <w:tcW w:w="1115" w:type="dxa"/>
            <w:shd w:val="clear" w:color="auto" w:fill="auto"/>
            <w:vAlign w:val="center"/>
            <w:hideMark/>
          </w:tcPr>
          <w:p w14:paraId="149B9F3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10.203</w:t>
            </w:r>
          </w:p>
        </w:tc>
        <w:tc>
          <w:tcPr>
            <w:tcW w:w="1177" w:type="dxa"/>
            <w:shd w:val="clear" w:color="auto" w:fill="auto"/>
            <w:vAlign w:val="center"/>
            <w:hideMark/>
          </w:tcPr>
          <w:p w14:paraId="3138012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9.400</w:t>
            </w:r>
          </w:p>
        </w:tc>
        <w:tc>
          <w:tcPr>
            <w:tcW w:w="920" w:type="dxa"/>
            <w:shd w:val="clear" w:color="auto" w:fill="auto"/>
            <w:vAlign w:val="center"/>
            <w:hideMark/>
          </w:tcPr>
          <w:p w14:paraId="4C9239B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9.828</w:t>
            </w:r>
          </w:p>
        </w:tc>
        <w:tc>
          <w:tcPr>
            <w:tcW w:w="1053" w:type="dxa"/>
            <w:shd w:val="clear" w:color="auto" w:fill="auto"/>
            <w:vAlign w:val="center"/>
            <w:hideMark/>
          </w:tcPr>
          <w:p w14:paraId="20BE2DC7"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9.815</w:t>
            </w:r>
          </w:p>
        </w:tc>
      </w:tr>
      <w:tr w:rsidR="008B4376" w:rsidRPr="00191E14" w14:paraId="65087107" w14:textId="77777777" w:rsidTr="005660DE">
        <w:trPr>
          <w:cantSplit/>
          <w:trHeight w:val="171"/>
          <w:jc w:val="center"/>
        </w:trPr>
        <w:tc>
          <w:tcPr>
            <w:tcW w:w="6093" w:type="dxa"/>
            <w:shd w:val="clear" w:color="auto" w:fill="auto"/>
            <w:vAlign w:val="center"/>
            <w:hideMark/>
          </w:tcPr>
          <w:p w14:paraId="7CE72F11" w14:textId="1E620914"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ζ.</w:t>
            </w:r>
            <w:r w:rsidR="008B4376" w:rsidRPr="00191E14">
              <w:rPr>
                <w:rFonts w:cs="Arial"/>
                <w:b/>
                <w:bCs/>
                <w:sz w:val="15"/>
                <w:szCs w:val="15"/>
              </w:rPr>
              <w:tab/>
            </w:r>
            <w:r w:rsidRPr="00191E14">
              <w:rPr>
                <w:rFonts w:cs="Arial"/>
                <w:b/>
                <w:bCs/>
                <w:sz w:val="15"/>
                <w:szCs w:val="15"/>
              </w:rPr>
              <w:t xml:space="preserve">Λοιπές </w:t>
            </w:r>
            <w:r w:rsidR="00FC6F60">
              <w:rPr>
                <w:rFonts w:cs="Arial"/>
                <w:b/>
                <w:bCs/>
                <w:sz w:val="15"/>
                <w:szCs w:val="15"/>
              </w:rPr>
              <w:t>δ</w:t>
            </w:r>
            <w:r w:rsidRPr="00191E14">
              <w:rPr>
                <w:rFonts w:cs="Arial"/>
                <w:b/>
                <w:bCs/>
                <w:sz w:val="15"/>
                <w:szCs w:val="15"/>
              </w:rPr>
              <w:t>απάνες</w:t>
            </w:r>
          </w:p>
        </w:tc>
        <w:tc>
          <w:tcPr>
            <w:tcW w:w="1115" w:type="dxa"/>
            <w:shd w:val="clear" w:color="auto" w:fill="auto"/>
            <w:vAlign w:val="center"/>
            <w:hideMark/>
          </w:tcPr>
          <w:p w14:paraId="4C05918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117</w:t>
            </w:r>
          </w:p>
        </w:tc>
        <w:tc>
          <w:tcPr>
            <w:tcW w:w="1177" w:type="dxa"/>
            <w:shd w:val="clear" w:color="auto" w:fill="auto"/>
            <w:vAlign w:val="center"/>
            <w:hideMark/>
          </w:tcPr>
          <w:p w14:paraId="0CAC55FD"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102</w:t>
            </w:r>
          </w:p>
        </w:tc>
        <w:tc>
          <w:tcPr>
            <w:tcW w:w="920" w:type="dxa"/>
            <w:shd w:val="clear" w:color="auto" w:fill="auto"/>
            <w:vAlign w:val="center"/>
            <w:hideMark/>
          </w:tcPr>
          <w:p w14:paraId="4A6B870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118</w:t>
            </w:r>
          </w:p>
        </w:tc>
        <w:tc>
          <w:tcPr>
            <w:tcW w:w="1053" w:type="dxa"/>
            <w:shd w:val="clear" w:color="auto" w:fill="auto"/>
            <w:vAlign w:val="center"/>
            <w:hideMark/>
          </w:tcPr>
          <w:p w14:paraId="1A26FEC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101</w:t>
            </w:r>
          </w:p>
        </w:tc>
      </w:tr>
      <w:tr w:rsidR="008B4376" w:rsidRPr="00191E14" w14:paraId="4D6F0370" w14:textId="77777777" w:rsidTr="005660DE">
        <w:trPr>
          <w:cantSplit/>
          <w:trHeight w:val="171"/>
          <w:jc w:val="center"/>
        </w:trPr>
        <w:tc>
          <w:tcPr>
            <w:tcW w:w="6093" w:type="dxa"/>
            <w:shd w:val="clear" w:color="auto" w:fill="auto"/>
            <w:vAlign w:val="center"/>
            <w:hideMark/>
          </w:tcPr>
          <w:p w14:paraId="0FE512DB" w14:textId="3202FAD1"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η.</w:t>
            </w:r>
            <w:r w:rsidR="008B4376" w:rsidRPr="00191E14">
              <w:rPr>
                <w:rFonts w:cs="Arial"/>
                <w:b/>
                <w:bCs/>
                <w:sz w:val="15"/>
                <w:szCs w:val="15"/>
              </w:rPr>
              <w:tab/>
            </w:r>
            <w:r w:rsidRPr="00191E14">
              <w:rPr>
                <w:rFonts w:cs="Arial"/>
                <w:b/>
                <w:bCs/>
                <w:sz w:val="15"/>
                <w:szCs w:val="15"/>
              </w:rPr>
              <w:t>Πιστώσεις υπό κατανομή</w:t>
            </w:r>
          </w:p>
        </w:tc>
        <w:tc>
          <w:tcPr>
            <w:tcW w:w="1115" w:type="dxa"/>
            <w:shd w:val="clear" w:color="auto" w:fill="auto"/>
            <w:vAlign w:val="center"/>
            <w:hideMark/>
          </w:tcPr>
          <w:p w14:paraId="621111F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13.438</w:t>
            </w:r>
          </w:p>
        </w:tc>
        <w:tc>
          <w:tcPr>
            <w:tcW w:w="1177" w:type="dxa"/>
            <w:shd w:val="clear" w:color="auto" w:fill="auto"/>
            <w:vAlign w:val="center"/>
            <w:hideMark/>
          </w:tcPr>
          <w:p w14:paraId="43EAB8E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17.602</w:t>
            </w:r>
          </w:p>
        </w:tc>
        <w:tc>
          <w:tcPr>
            <w:tcW w:w="920" w:type="dxa"/>
            <w:shd w:val="clear" w:color="auto" w:fill="auto"/>
            <w:vAlign w:val="center"/>
            <w:hideMark/>
          </w:tcPr>
          <w:p w14:paraId="1EC421AE"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16.365</w:t>
            </w:r>
          </w:p>
        </w:tc>
        <w:tc>
          <w:tcPr>
            <w:tcW w:w="1053" w:type="dxa"/>
            <w:shd w:val="clear" w:color="auto" w:fill="auto"/>
            <w:vAlign w:val="center"/>
            <w:hideMark/>
          </w:tcPr>
          <w:p w14:paraId="654CC6A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20.299</w:t>
            </w:r>
          </w:p>
        </w:tc>
      </w:tr>
      <w:tr w:rsidR="008B4376" w:rsidRPr="00191E14" w14:paraId="1C128FC5" w14:textId="77777777" w:rsidTr="005660DE">
        <w:trPr>
          <w:cantSplit/>
          <w:trHeight w:val="162"/>
          <w:jc w:val="center"/>
        </w:trPr>
        <w:tc>
          <w:tcPr>
            <w:tcW w:w="6093" w:type="dxa"/>
            <w:shd w:val="clear" w:color="auto" w:fill="auto"/>
            <w:vAlign w:val="center"/>
            <w:hideMark/>
          </w:tcPr>
          <w:p w14:paraId="36E3ADB0" w14:textId="5446CAD9"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θ.</w:t>
            </w:r>
            <w:r w:rsidR="008B4376" w:rsidRPr="00191E14">
              <w:rPr>
                <w:rFonts w:cs="Arial"/>
                <w:b/>
                <w:bCs/>
                <w:sz w:val="15"/>
                <w:szCs w:val="15"/>
              </w:rPr>
              <w:tab/>
            </w:r>
            <w:r w:rsidRPr="00191E14">
              <w:rPr>
                <w:rFonts w:cs="Arial"/>
                <w:b/>
                <w:bCs/>
                <w:sz w:val="15"/>
                <w:szCs w:val="15"/>
              </w:rPr>
              <w:t>Αγορές παγίων περιουσιακών στοιχείων</w:t>
            </w:r>
          </w:p>
        </w:tc>
        <w:tc>
          <w:tcPr>
            <w:tcW w:w="1115" w:type="dxa"/>
            <w:shd w:val="clear" w:color="auto" w:fill="auto"/>
            <w:vAlign w:val="center"/>
            <w:hideMark/>
          </w:tcPr>
          <w:p w14:paraId="578B162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1.380</w:t>
            </w:r>
          </w:p>
        </w:tc>
        <w:tc>
          <w:tcPr>
            <w:tcW w:w="1177" w:type="dxa"/>
            <w:shd w:val="clear" w:color="auto" w:fill="auto"/>
            <w:vAlign w:val="center"/>
            <w:hideMark/>
          </w:tcPr>
          <w:p w14:paraId="0DDD882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1.757</w:t>
            </w:r>
          </w:p>
        </w:tc>
        <w:tc>
          <w:tcPr>
            <w:tcW w:w="920" w:type="dxa"/>
            <w:shd w:val="clear" w:color="auto" w:fill="auto"/>
            <w:vAlign w:val="center"/>
            <w:hideMark/>
          </w:tcPr>
          <w:p w14:paraId="06BCD33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1.868</w:t>
            </w:r>
          </w:p>
        </w:tc>
        <w:tc>
          <w:tcPr>
            <w:tcW w:w="1053" w:type="dxa"/>
            <w:shd w:val="clear" w:color="auto" w:fill="auto"/>
            <w:vAlign w:val="center"/>
            <w:hideMark/>
          </w:tcPr>
          <w:p w14:paraId="14FF2A9D"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2.456</w:t>
            </w:r>
          </w:p>
        </w:tc>
      </w:tr>
      <w:tr w:rsidR="008B4376" w:rsidRPr="00191E14" w14:paraId="12AF88BD" w14:textId="77777777" w:rsidTr="005660DE">
        <w:trPr>
          <w:cantSplit/>
          <w:trHeight w:val="171"/>
          <w:jc w:val="center"/>
        </w:trPr>
        <w:tc>
          <w:tcPr>
            <w:tcW w:w="6093" w:type="dxa"/>
            <w:shd w:val="clear" w:color="auto" w:fill="auto"/>
            <w:vAlign w:val="center"/>
            <w:hideMark/>
          </w:tcPr>
          <w:p w14:paraId="0F223E07" w14:textId="6B0C904D"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ι.</w:t>
            </w:r>
            <w:r w:rsidR="008B4376" w:rsidRPr="00191E14">
              <w:rPr>
                <w:rFonts w:cs="Arial"/>
                <w:b/>
                <w:bCs/>
                <w:sz w:val="15"/>
                <w:szCs w:val="15"/>
              </w:rPr>
              <w:tab/>
            </w:r>
            <w:r w:rsidRPr="00191E14">
              <w:rPr>
                <w:rFonts w:cs="Arial"/>
                <w:b/>
                <w:bCs/>
                <w:sz w:val="15"/>
                <w:szCs w:val="15"/>
              </w:rPr>
              <w:t>Τιμαλφή</w:t>
            </w:r>
          </w:p>
        </w:tc>
        <w:tc>
          <w:tcPr>
            <w:tcW w:w="1115" w:type="dxa"/>
            <w:shd w:val="clear" w:color="auto" w:fill="auto"/>
            <w:vAlign w:val="center"/>
            <w:hideMark/>
          </w:tcPr>
          <w:p w14:paraId="2FB254A2"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0</w:t>
            </w:r>
          </w:p>
        </w:tc>
        <w:tc>
          <w:tcPr>
            <w:tcW w:w="1177" w:type="dxa"/>
            <w:shd w:val="clear" w:color="auto" w:fill="auto"/>
            <w:vAlign w:val="center"/>
            <w:hideMark/>
          </w:tcPr>
          <w:p w14:paraId="67658645"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0</w:t>
            </w:r>
          </w:p>
        </w:tc>
        <w:tc>
          <w:tcPr>
            <w:tcW w:w="920" w:type="dxa"/>
            <w:shd w:val="clear" w:color="auto" w:fill="auto"/>
            <w:vAlign w:val="center"/>
            <w:hideMark/>
          </w:tcPr>
          <w:p w14:paraId="3CDCE07B"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0</w:t>
            </w:r>
          </w:p>
        </w:tc>
        <w:tc>
          <w:tcPr>
            <w:tcW w:w="1053" w:type="dxa"/>
            <w:shd w:val="clear" w:color="auto" w:fill="auto"/>
            <w:vAlign w:val="center"/>
            <w:hideMark/>
          </w:tcPr>
          <w:p w14:paraId="009C993E"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0</w:t>
            </w:r>
          </w:p>
        </w:tc>
      </w:tr>
      <w:tr w:rsidR="008B4376" w:rsidRPr="00191E14" w14:paraId="2C652A41" w14:textId="77777777" w:rsidTr="005660DE">
        <w:trPr>
          <w:cantSplit/>
          <w:trHeight w:val="171"/>
          <w:jc w:val="center"/>
        </w:trPr>
        <w:tc>
          <w:tcPr>
            <w:tcW w:w="6093" w:type="dxa"/>
            <w:shd w:val="clear" w:color="auto" w:fill="auto"/>
            <w:vAlign w:val="center"/>
            <w:hideMark/>
          </w:tcPr>
          <w:p w14:paraId="51F51BA2" w14:textId="77777777" w:rsidR="00D60513" w:rsidRPr="00191E14" w:rsidRDefault="00D60513" w:rsidP="00A4484E">
            <w:pPr>
              <w:spacing w:after="0" w:line="240" w:lineRule="auto"/>
              <w:jc w:val="left"/>
              <w:rPr>
                <w:rFonts w:cs="Arial"/>
                <w:sz w:val="15"/>
                <w:szCs w:val="15"/>
              </w:rPr>
            </w:pPr>
            <w:r w:rsidRPr="00191E14">
              <w:rPr>
                <w:rFonts w:cs="Arial"/>
                <w:sz w:val="15"/>
                <w:szCs w:val="15"/>
              </w:rPr>
              <w:t>Πληροφοριακά στοιχεία:</w:t>
            </w:r>
          </w:p>
        </w:tc>
        <w:tc>
          <w:tcPr>
            <w:tcW w:w="1115" w:type="dxa"/>
            <w:shd w:val="clear" w:color="auto" w:fill="auto"/>
            <w:vAlign w:val="center"/>
            <w:hideMark/>
          </w:tcPr>
          <w:p w14:paraId="4332002D" w14:textId="77777777" w:rsidR="00D60513" w:rsidRPr="00191E14" w:rsidRDefault="00D60513" w:rsidP="00A4484E">
            <w:pPr>
              <w:spacing w:after="0" w:line="240" w:lineRule="auto"/>
              <w:jc w:val="right"/>
              <w:rPr>
                <w:rFonts w:cs="Arial"/>
                <w:sz w:val="15"/>
                <w:szCs w:val="15"/>
              </w:rPr>
            </w:pPr>
          </w:p>
        </w:tc>
        <w:tc>
          <w:tcPr>
            <w:tcW w:w="1177" w:type="dxa"/>
            <w:shd w:val="clear" w:color="auto" w:fill="auto"/>
            <w:vAlign w:val="center"/>
            <w:hideMark/>
          </w:tcPr>
          <w:p w14:paraId="703D8E85" w14:textId="77777777" w:rsidR="00D60513" w:rsidRPr="00191E14" w:rsidRDefault="00D60513" w:rsidP="00A4484E">
            <w:pPr>
              <w:spacing w:after="0" w:line="240" w:lineRule="auto"/>
              <w:jc w:val="right"/>
              <w:rPr>
                <w:rFonts w:cs="Arial"/>
                <w:sz w:val="15"/>
                <w:szCs w:val="15"/>
              </w:rPr>
            </w:pPr>
          </w:p>
        </w:tc>
        <w:tc>
          <w:tcPr>
            <w:tcW w:w="920" w:type="dxa"/>
            <w:shd w:val="clear" w:color="auto" w:fill="auto"/>
            <w:vAlign w:val="center"/>
            <w:hideMark/>
          </w:tcPr>
          <w:p w14:paraId="04916BCC" w14:textId="77777777" w:rsidR="00D60513" w:rsidRPr="00191E14" w:rsidRDefault="00D60513" w:rsidP="00A4484E">
            <w:pPr>
              <w:spacing w:after="0" w:line="240" w:lineRule="auto"/>
              <w:jc w:val="right"/>
              <w:rPr>
                <w:rFonts w:cs="Arial"/>
                <w:sz w:val="15"/>
                <w:szCs w:val="15"/>
              </w:rPr>
            </w:pPr>
          </w:p>
        </w:tc>
        <w:tc>
          <w:tcPr>
            <w:tcW w:w="1053" w:type="dxa"/>
            <w:shd w:val="clear" w:color="auto" w:fill="auto"/>
            <w:vAlign w:val="center"/>
            <w:hideMark/>
          </w:tcPr>
          <w:p w14:paraId="59E11EBD" w14:textId="77777777" w:rsidR="00D60513" w:rsidRPr="00191E14" w:rsidRDefault="00D60513" w:rsidP="00A4484E">
            <w:pPr>
              <w:spacing w:after="0" w:line="240" w:lineRule="auto"/>
              <w:jc w:val="right"/>
              <w:rPr>
                <w:rFonts w:cs="Arial"/>
                <w:sz w:val="15"/>
                <w:szCs w:val="15"/>
              </w:rPr>
            </w:pPr>
          </w:p>
        </w:tc>
      </w:tr>
      <w:tr w:rsidR="008B4376" w:rsidRPr="00B06ED8" w14:paraId="25EBC7B6" w14:textId="77777777" w:rsidTr="005660DE">
        <w:trPr>
          <w:cantSplit/>
          <w:trHeight w:val="162"/>
          <w:jc w:val="center"/>
        </w:trPr>
        <w:tc>
          <w:tcPr>
            <w:tcW w:w="6093" w:type="dxa"/>
            <w:shd w:val="clear" w:color="auto" w:fill="auto"/>
            <w:vAlign w:val="center"/>
            <w:hideMark/>
          </w:tcPr>
          <w:p w14:paraId="4012C12D" w14:textId="2E3EC983" w:rsidR="00D60513" w:rsidRPr="00C76161" w:rsidRDefault="003E3063" w:rsidP="00A4484E">
            <w:pPr>
              <w:spacing w:after="0" w:line="240" w:lineRule="auto"/>
              <w:jc w:val="left"/>
              <w:rPr>
                <w:rFonts w:cs="Arial"/>
                <w:i/>
                <w:iCs/>
                <w:sz w:val="15"/>
                <w:szCs w:val="15"/>
                <w:highlight w:val="yellow"/>
              </w:rPr>
            </w:pPr>
            <w:r w:rsidRPr="00666BF6">
              <w:rPr>
                <w:rFonts w:cs="Arial"/>
                <w:i/>
                <w:iCs/>
                <w:sz w:val="15"/>
                <w:szCs w:val="15"/>
              </w:rPr>
              <w:t>Προϋπολογισμός δημοσίων επενδύσεων</w:t>
            </w:r>
            <w:r w:rsidR="00901B56" w:rsidRPr="00666BF6">
              <w:rPr>
                <w:rFonts w:cs="Arial"/>
                <w:i/>
                <w:iCs/>
                <w:sz w:val="15"/>
                <w:szCs w:val="15"/>
              </w:rPr>
              <w:t xml:space="preserve"> εκτός ΤΑΑ</w:t>
            </w:r>
            <w:r w:rsidR="00D60513" w:rsidRPr="00666BF6">
              <w:rPr>
                <w:rFonts w:cs="Arial"/>
                <w:i/>
                <w:iCs/>
                <w:sz w:val="15"/>
                <w:szCs w:val="15"/>
                <w:vertAlign w:val="superscript"/>
              </w:rPr>
              <w:t>1</w:t>
            </w:r>
          </w:p>
        </w:tc>
        <w:tc>
          <w:tcPr>
            <w:tcW w:w="1115" w:type="dxa"/>
            <w:shd w:val="clear" w:color="auto" w:fill="auto"/>
            <w:vAlign w:val="center"/>
            <w:hideMark/>
          </w:tcPr>
          <w:p w14:paraId="2A89B2B7" w14:textId="77777777" w:rsidR="00D60513" w:rsidRPr="00B06ED8" w:rsidRDefault="00D60513" w:rsidP="00A4484E">
            <w:pPr>
              <w:spacing w:after="0" w:line="240" w:lineRule="auto"/>
              <w:jc w:val="right"/>
              <w:rPr>
                <w:rFonts w:cs="Arial"/>
                <w:i/>
                <w:iCs/>
                <w:sz w:val="15"/>
                <w:szCs w:val="15"/>
              </w:rPr>
            </w:pPr>
            <w:r w:rsidRPr="00B06ED8">
              <w:rPr>
                <w:rFonts w:cs="Arial"/>
                <w:i/>
                <w:iCs/>
                <w:sz w:val="15"/>
                <w:szCs w:val="15"/>
              </w:rPr>
              <w:t>9.914</w:t>
            </w:r>
          </w:p>
        </w:tc>
        <w:tc>
          <w:tcPr>
            <w:tcW w:w="1177" w:type="dxa"/>
            <w:shd w:val="clear" w:color="auto" w:fill="auto"/>
            <w:vAlign w:val="center"/>
            <w:hideMark/>
          </w:tcPr>
          <w:p w14:paraId="7F99E860" w14:textId="77777777" w:rsidR="00D60513" w:rsidRPr="00B06ED8" w:rsidRDefault="00D60513" w:rsidP="00A4484E">
            <w:pPr>
              <w:spacing w:after="0" w:line="240" w:lineRule="auto"/>
              <w:jc w:val="right"/>
              <w:rPr>
                <w:rFonts w:cs="Arial"/>
                <w:i/>
                <w:iCs/>
                <w:sz w:val="15"/>
                <w:szCs w:val="15"/>
              </w:rPr>
            </w:pPr>
            <w:r w:rsidRPr="00B06ED8">
              <w:rPr>
                <w:rFonts w:cs="Arial"/>
                <w:i/>
                <w:iCs/>
                <w:sz w:val="15"/>
                <w:szCs w:val="15"/>
              </w:rPr>
              <w:t>9.200</w:t>
            </w:r>
          </w:p>
        </w:tc>
        <w:tc>
          <w:tcPr>
            <w:tcW w:w="920" w:type="dxa"/>
            <w:shd w:val="clear" w:color="auto" w:fill="auto"/>
            <w:vAlign w:val="center"/>
            <w:hideMark/>
          </w:tcPr>
          <w:p w14:paraId="4E74992B" w14:textId="77777777" w:rsidR="00D60513" w:rsidRPr="00B06ED8" w:rsidRDefault="00D60513" w:rsidP="00A4484E">
            <w:pPr>
              <w:spacing w:after="0" w:line="240" w:lineRule="auto"/>
              <w:jc w:val="right"/>
              <w:rPr>
                <w:rFonts w:cs="Arial"/>
                <w:i/>
                <w:iCs/>
                <w:sz w:val="15"/>
                <w:szCs w:val="15"/>
              </w:rPr>
            </w:pPr>
            <w:r w:rsidRPr="00B06ED8">
              <w:rPr>
                <w:rFonts w:cs="Arial"/>
                <w:i/>
                <w:iCs/>
                <w:sz w:val="15"/>
                <w:szCs w:val="15"/>
              </w:rPr>
              <w:t>9.700</w:t>
            </w:r>
          </w:p>
        </w:tc>
        <w:tc>
          <w:tcPr>
            <w:tcW w:w="1053" w:type="dxa"/>
            <w:shd w:val="clear" w:color="auto" w:fill="auto"/>
            <w:vAlign w:val="center"/>
            <w:hideMark/>
          </w:tcPr>
          <w:p w14:paraId="6A24EED8" w14:textId="77777777" w:rsidR="00D60513" w:rsidRPr="00B06ED8" w:rsidRDefault="00D60513" w:rsidP="00A4484E">
            <w:pPr>
              <w:spacing w:after="0" w:line="240" w:lineRule="auto"/>
              <w:jc w:val="right"/>
              <w:rPr>
                <w:rFonts w:cs="Arial"/>
                <w:i/>
                <w:iCs/>
                <w:sz w:val="15"/>
                <w:szCs w:val="15"/>
              </w:rPr>
            </w:pPr>
            <w:r w:rsidRPr="00B06ED8">
              <w:rPr>
                <w:rFonts w:cs="Arial"/>
                <w:i/>
                <w:iCs/>
                <w:sz w:val="15"/>
                <w:szCs w:val="15"/>
              </w:rPr>
              <w:t>9.500</w:t>
            </w:r>
          </w:p>
        </w:tc>
      </w:tr>
      <w:tr w:rsidR="008B4376" w:rsidRPr="00191E14" w14:paraId="5D027210" w14:textId="77777777" w:rsidTr="005660DE">
        <w:trPr>
          <w:cantSplit/>
          <w:trHeight w:val="171"/>
          <w:jc w:val="center"/>
        </w:trPr>
        <w:tc>
          <w:tcPr>
            <w:tcW w:w="6093" w:type="dxa"/>
            <w:shd w:val="clear" w:color="auto" w:fill="auto"/>
            <w:vAlign w:val="center"/>
            <w:hideMark/>
          </w:tcPr>
          <w:p w14:paraId="61595287" w14:textId="46B69731" w:rsidR="00D60513" w:rsidRPr="00191E14" w:rsidRDefault="00D60513" w:rsidP="00A4484E">
            <w:pPr>
              <w:spacing w:after="0" w:line="240" w:lineRule="auto"/>
              <w:jc w:val="left"/>
              <w:rPr>
                <w:rFonts w:cs="Arial"/>
                <w:i/>
                <w:iCs/>
                <w:sz w:val="15"/>
                <w:szCs w:val="15"/>
              </w:rPr>
            </w:pPr>
            <w:r w:rsidRPr="00191E14">
              <w:rPr>
                <w:rFonts w:cs="Arial"/>
                <w:i/>
                <w:iCs/>
                <w:sz w:val="15"/>
                <w:szCs w:val="15"/>
              </w:rPr>
              <w:t>Τ</w:t>
            </w:r>
            <w:r w:rsidR="00CD2D47">
              <w:rPr>
                <w:rFonts w:cs="Arial"/>
                <w:i/>
                <w:iCs/>
                <w:sz w:val="15"/>
                <w:szCs w:val="15"/>
              </w:rPr>
              <w:t>ΑΑ</w:t>
            </w:r>
            <w:r w:rsidRPr="00901B56">
              <w:rPr>
                <w:rFonts w:cs="Arial"/>
                <w:i/>
                <w:iCs/>
                <w:sz w:val="15"/>
                <w:szCs w:val="15"/>
                <w:vertAlign w:val="superscript"/>
              </w:rPr>
              <w:t>2</w:t>
            </w:r>
          </w:p>
        </w:tc>
        <w:tc>
          <w:tcPr>
            <w:tcW w:w="1115" w:type="dxa"/>
            <w:shd w:val="clear" w:color="auto" w:fill="auto"/>
            <w:vAlign w:val="center"/>
            <w:hideMark/>
          </w:tcPr>
          <w:p w14:paraId="3ABFF4D6" w14:textId="77777777" w:rsidR="00D60513" w:rsidRPr="00191E14" w:rsidRDefault="00D60513" w:rsidP="00A4484E">
            <w:pPr>
              <w:spacing w:after="0" w:line="240" w:lineRule="auto"/>
              <w:jc w:val="right"/>
              <w:rPr>
                <w:rFonts w:cs="Arial"/>
                <w:i/>
                <w:iCs/>
                <w:sz w:val="15"/>
                <w:szCs w:val="15"/>
              </w:rPr>
            </w:pPr>
            <w:r w:rsidRPr="00191E14">
              <w:rPr>
                <w:rFonts w:cs="Arial"/>
                <w:i/>
                <w:iCs/>
                <w:sz w:val="15"/>
                <w:szCs w:val="15"/>
              </w:rPr>
              <w:t>3.401</w:t>
            </w:r>
          </w:p>
        </w:tc>
        <w:tc>
          <w:tcPr>
            <w:tcW w:w="1177" w:type="dxa"/>
            <w:shd w:val="clear" w:color="auto" w:fill="auto"/>
            <w:vAlign w:val="center"/>
            <w:hideMark/>
          </w:tcPr>
          <w:p w14:paraId="71208FE1" w14:textId="77777777" w:rsidR="00D60513" w:rsidRPr="00191E14" w:rsidRDefault="00D60513" w:rsidP="00A4484E">
            <w:pPr>
              <w:spacing w:after="0" w:line="240" w:lineRule="auto"/>
              <w:jc w:val="right"/>
              <w:rPr>
                <w:rFonts w:cs="Arial"/>
                <w:i/>
                <w:iCs/>
                <w:sz w:val="15"/>
                <w:szCs w:val="15"/>
              </w:rPr>
            </w:pPr>
            <w:r w:rsidRPr="00191E14">
              <w:rPr>
                <w:rFonts w:cs="Arial"/>
                <w:i/>
                <w:iCs/>
                <w:sz w:val="15"/>
                <w:szCs w:val="15"/>
              </w:rPr>
              <w:t>4.900</w:t>
            </w:r>
          </w:p>
        </w:tc>
        <w:tc>
          <w:tcPr>
            <w:tcW w:w="920" w:type="dxa"/>
            <w:shd w:val="clear" w:color="auto" w:fill="auto"/>
            <w:vAlign w:val="center"/>
            <w:hideMark/>
          </w:tcPr>
          <w:p w14:paraId="093C984A" w14:textId="77777777" w:rsidR="00D60513" w:rsidRPr="00191E14" w:rsidRDefault="00D60513" w:rsidP="00A4484E">
            <w:pPr>
              <w:spacing w:after="0" w:line="240" w:lineRule="auto"/>
              <w:jc w:val="right"/>
              <w:rPr>
                <w:rFonts w:cs="Arial"/>
                <w:i/>
                <w:iCs/>
                <w:sz w:val="15"/>
                <w:szCs w:val="15"/>
              </w:rPr>
            </w:pPr>
            <w:r w:rsidRPr="00191E14">
              <w:rPr>
                <w:rFonts w:cs="Arial"/>
                <w:i/>
                <w:iCs/>
                <w:sz w:val="15"/>
                <w:szCs w:val="15"/>
              </w:rPr>
              <w:t>4.900</w:t>
            </w:r>
          </w:p>
        </w:tc>
        <w:tc>
          <w:tcPr>
            <w:tcW w:w="1053" w:type="dxa"/>
            <w:shd w:val="clear" w:color="auto" w:fill="auto"/>
            <w:vAlign w:val="center"/>
            <w:hideMark/>
          </w:tcPr>
          <w:p w14:paraId="74AAF192" w14:textId="77777777" w:rsidR="00D60513" w:rsidRPr="00191E14" w:rsidRDefault="00D60513" w:rsidP="00A4484E">
            <w:pPr>
              <w:spacing w:after="0" w:line="240" w:lineRule="auto"/>
              <w:jc w:val="right"/>
              <w:rPr>
                <w:rFonts w:cs="Arial"/>
                <w:i/>
                <w:iCs/>
                <w:sz w:val="15"/>
                <w:szCs w:val="15"/>
              </w:rPr>
            </w:pPr>
            <w:r w:rsidRPr="00191E14">
              <w:rPr>
                <w:rFonts w:cs="Arial"/>
                <w:i/>
                <w:iCs/>
                <w:sz w:val="15"/>
                <w:szCs w:val="15"/>
              </w:rPr>
              <w:t>7.192</w:t>
            </w:r>
          </w:p>
        </w:tc>
      </w:tr>
      <w:tr w:rsidR="00BB202B" w:rsidRPr="00191E14" w14:paraId="4FA109BD" w14:textId="77777777" w:rsidTr="005660DE">
        <w:trPr>
          <w:cantSplit/>
          <w:trHeight w:val="171"/>
          <w:jc w:val="center"/>
        </w:trPr>
        <w:tc>
          <w:tcPr>
            <w:tcW w:w="6093" w:type="dxa"/>
            <w:tcBorders>
              <w:bottom w:val="nil"/>
            </w:tcBorders>
            <w:shd w:val="clear" w:color="auto" w:fill="D5DCE4"/>
            <w:vAlign w:val="center"/>
            <w:hideMark/>
          </w:tcPr>
          <w:p w14:paraId="32714DE1" w14:textId="1E2F4BF0"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III.</w:t>
            </w:r>
            <w:r w:rsidR="008B4376" w:rsidRPr="00191E14">
              <w:rPr>
                <w:rFonts w:cs="Arial"/>
                <w:b/>
                <w:bCs/>
                <w:sz w:val="15"/>
                <w:szCs w:val="15"/>
              </w:rPr>
              <w:tab/>
            </w:r>
            <w:r w:rsidRPr="00191E14">
              <w:rPr>
                <w:rFonts w:cs="Arial"/>
                <w:b/>
                <w:bCs/>
                <w:sz w:val="15"/>
                <w:szCs w:val="15"/>
              </w:rPr>
              <w:t>Ισοζύγιο κρατικού προϋπολογισμού κατά ESA (Ι-ΙI)</w:t>
            </w:r>
          </w:p>
        </w:tc>
        <w:tc>
          <w:tcPr>
            <w:tcW w:w="1115" w:type="dxa"/>
            <w:tcBorders>
              <w:bottom w:val="nil"/>
            </w:tcBorders>
            <w:shd w:val="clear" w:color="auto" w:fill="D5DCE4"/>
            <w:vAlign w:val="center"/>
            <w:hideMark/>
          </w:tcPr>
          <w:p w14:paraId="3FC58B07"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-2.741</w:t>
            </w:r>
          </w:p>
        </w:tc>
        <w:tc>
          <w:tcPr>
            <w:tcW w:w="1177" w:type="dxa"/>
            <w:tcBorders>
              <w:bottom w:val="nil"/>
            </w:tcBorders>
            <w:shd w:val="clear" w:color="auto" w:fill="D5DCE4"/>
            <w:vAlign w:val="center"/>
            <w:hideMark/>
          </w:tcPr>
          <w:p w14:paraId="187360AA"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-5.930</w:t>
            </w:r>
          </w:p>
        </w:tc>
        <w:tc>
          <w:tcPr>
            <w:tcW w:w="920" w:type="dxa"/>
            <w:tcBorders>
              <w:bottom w:val="nil"/>
            </w:tcBorders>
            <w:shd w:val="clear" w:color="auto" w:fill="D5DCE4"/>
            <w:vAlign w:val="center"/>
            <w:hideMark/>
          </w:tcPr>
          <w:p w14:paraId="1D501A6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-4.459</w:t>
            </w:r>
          </w:p>
        </w:tc>
        <w:tc>
          <w:tcPr>
            <w:tcW w:w="1053" w:type="dxa"/>
            <w:tcBorders>
              <w:bottom w:val="nil"/>
            </w:tcBorders>
            <w:shd w:val="clear" w:color="auto" w:fill="D5DCE4"/>
            <w:vAlign w:val="center"/>
            <w:hideMark/>
          </w:tcPr>
          <w:p w14:paraId="251271B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-6.810</w:t>
            </w:r>
          </w:p>
        </w:tc>
      </w:tr>
      <w:tr w:rsidR="00BB202B" w:rsidRPr="00191E14" w14:paraId="099403C8" w14:textId="77777777" w:rsidTr="005660DE">
        <w:trPr>
          <w:cantSplit/>
          <w:trHeight w:val="171"/>
          <w:jc w:val="center"/>
        </w:trPr>
        <w:tc>
          <w:tcPr>
            <w:tcW w:w="6093" w:type="dxa"/>
            <w:tcBorders>
              <w:top w:val="nil"/>
              <w:bottom w:val="nil"/>
            </w:tcBorders>
            <w:shd w:val="clear" w:color="auto" w:fill="F2F2F2" w:themeFill="background1" w:themeFillShade="F2"/>
            <w:vAlign w:val="center"/>
            <w:hideMark/>
          </w:tcPr>
          <w:p w14:paraId="6FFF8175" w14:textId="029B7E9C" w:rsidR="00D60513" w:rsidRPr="00191E14" w:rsidRDefault="00C90A43" w:rsidP="00C90A43">
            <w:pPr>
              <w:tabs>
                <w:tab w:val="left" w:pos="340"/>
              </w:tabs>
              <w:spacing w:after="0" w:line="240" w:lineRule="auto"/>
              <w:jc w:val="left"/>
              <w:rPr>
                <w:rFonts w:cs="Arial"/>
                <w:b/>
                <w:bCs/>
                <w:sz w:val="15"/>
                <w:szCs w:val="15"/>
              </w:rPr>
            </w:pPr>
            <w:r>
              <w:rPr>
                <w:rFonts w:cs="Arial"/>
                <w:b/>
                <w:bCs/>
                <w:sz w:val="15"/>
                <w:szCs w:val="15"/>
              </w:rPr>
              <w:tab/>
            </w:r>
            <w:r w:rsidR="00D60513" w:rsidRPr="00191E14">
              <w:rPr>
                <w:rFonts w:cs="Arial"/>
                <w:b/>
                <w:bCs/>
                <w:sz w:val="15"/>
                <w:szCs w:val="15"/>
              </w:rPr>
              <w:t>% ΑΕΠ</w:t>
            </w:r>
          </w:p>
        </w:tc>
        <w:tc>
          <w:tcPr>
            <w:tcW w:w="1115" w:type="dxa"/>
            <w:tcBorders>
              <w:top w:val="nil"/>
              <w:bottom w:val="nil"/>
            </w:tcBorders>
            <w:shd w:val="clear" w:color="auto" w:fill="F2F2F2" w:themeFill="background1" w:themeFillShade="F2"/>
            <w:vAlign w:val="center"/>
            <w:hideMark/>
          </w:tcPr>
          <w:p w14:paraId="381651A0"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-1,2%</w:t>
            </w:r>
          </w:p>
        </w:tc>
        <w:tc>
          <w:tcPr>
            <w:tcW w:w="1177" w:type="dxa"/>
            <w:tcBorders>
              <w:top w:val="nil"/>
              <w:bottom w:val="nil"/>
            </w:tcBorders>
            <w:shd w:val="clear" w:color="auto" w:fill="F2F2F2" w:themeFill="background1" w:themeFillShade="F2"/>
            <w:vAlign w:val="center"/>
            <w:hideMark/>
          </w:tcPr>
          <w:p w14:paraId="4B46452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-2,4%</w:t>
            </w:r>
          </w:p>
        </w:tc>
        <w:tc>
          <w:tcPr>
            <w:tcW w:w="920" w:type="dxa"/>
            <w:tcBorders>
              <w:top w:val="nil"/>
              <w:bottom w:val="nil"/>
            </w:tcBorders>
            <w:shd w:val="clear" w:color="auto" w:fill="F2F2F2" w:themeFill="background1" w:themeFillShade="F2"/>
            <w:vAlign w:val="center"/>
            <w:hideMark/>
          </w:tcPr>
          <w:p w14:paraId="61D80E2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-1,8%</w:t>
            </w:r>
          </w:p>
        </w:tc>
        <w:tc>
          <w:tcPr>
            <w:tcW w:w="1053" w:type="dxa"/>
            <w:tcBorders>
              <w:top w:val="nil"/>
              <w:bottom w:val="nil"/>
            </w:tcBorders>
            <w:shd w:val="clear" w:color="auto" w:fill="F2F2F2" w:themeFill="background1" w:themeFillShade="F2"/>
            <w:vAlign w:val="center"/>
            <w:hideMark/>
          </w:tcPr>
          <w:p w14:paraId="38A413A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-2,6%</w:t>
            </w:r>
          </w:p>
        </w:tc>
      </w:tr>
      <w:tr w:rsidR="00BB202B" w:rsidRPr="00191E14" w14:paraId="00F06FE9" w14:textId="77777777" w:rsidTr="005660DE">
        <w:trPr>
          <w:cantSplit/>
          <w:trHeight w:val="162"/>
          <w:jc w:val="center"/>
        </w:trPr>
        <w:tc>
          <w:tcPr>
            <w:tcW w:w="6093" w:type="dxa"/>
            <w:tcBorders>
              <w:top w:val="nil"/>
              <w:bottom w:val="nil"/>
            </w:tcBorders>
            <w:shd w:val="clear" w:color="auto" w:fill="D5DCE4"/>
            <w:vAlign w:val="center"/>
            <w:hideMark/>
          </w:tcPr>
          <w:p w14:paraId="0E61D604" w14:textId="0649E415"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IV.</w:t>
            </w:r>
            <w:r w:rsidR="00191E14">
              <w:rPr>
                <w:rFonts w:cs="Arial"/>
                <w:b/>
                <w:bCs/>
                <w:sz w:val="15"/>
                <w:szCs w:val="15"/>
              </w:rPr>
              <w:tab/>
            </w:r>
            <w:r w:rsidRPr="00191E14">
              <w:rPr>
                <w:rFonts w:cs="Arial"/>
                <w:b/>
                <w:bCs/>
                <w:sz w:val="15"/>
                <w:szCs w:val="15"/>
              </w:rPr>
              <w:t>Πρωτογενές αποτέλεσμα κρατικού προϋπολογισμού κατά ESA (III+II.στ-I.ε1)</w:t>
            </w:r>
          </w:p>
        </w:tc>
        <w:tc>
          <w:tcPr>
            <w:tcW w:w="1115" w:type="dxa"/>
            <w:tcBorders>
              <w:top w:val="nil"/>
              <w:bottom w:val="nil"/>
            </w:tcBorders>
            <w:shd w:val="clear" w:color="auto" w:fill="D5DCE4"/>
            <w:vAlign w:val="center"/>
            <w:hideMark/>
          </w:tcPr>
          <w:p w14:paraId="5A5C206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7.418</w:t>
            </w:r>
          </w:p>
        </w:tc>
        <w:tc>
          <w:tcPr>
            <w:tcW w:w="1177" w:type="dxa"/>
            <w:tcBorders>
              <w:top w:val="nil"/>
              <w:bottom w:val="nil"/>
            </w:tcBorders>
            <w:shd w:val="clear" w:color="auto" w:fill="D5DCE4"/>
            <w:vAlign w:val="center"/>
            <w:hideMark/>
          </w:tcPr>
          <w:p w14:paraId="1B551905"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3.470</w:t>
            </w:r>
          </w:p>
        </w:tc>
        <w:tc>
          <w:tcPr>
            <w:tcW w:w="920" w:type="dxa"/>
            <w:tcBorders>
              <w:top w:val="nil"/>
              <w:bottom w:val="nil"/>
            </w:tcBorders>
            <w:shd w:val="clear" w:color="auto" w:fill="D5DCE4"/>
            <w:vAlign w:val="center"/>
            <w:hideMark/>
          </w:tcPr>
          <w:p w14:paraId="2AAD8E5D"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5.275</w:t>
            </w:r>
          </w:p>
        </w:tc>
        <w:tc>
          <w:tcPr>
            <w:tcW w:w="1053" w:type="dxa"/>
            <w:tcBorders>
              <w:top w:val="nil"/>
              <w:bottom w:val="nil"/>
            </w:tcBorders>
            <w:shd w:val="clear" w:color="auto" w:fill="D5DCE4"/>
            <w:vAlign w:val="center"/>
            <w:hideMark/>
          </w:tcPr>
          <w:p w14:paraId="5F3B4C7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3.005</w:t>
            </w:r>
          </w:p>
        </w:tc>
      </w:tr>
      <w:tr w:rsidR="00BB202B" w:rsidRPr="00191E14" w14:paraId="16E52069" w14:textId="77777777" w:rsidTr="005660DE">
        <w:trPr>
          <w:cantSplit/>
          <w:trHeight w:val="171"/>
          <w:jc w:val="center"/>
        </w:trPr>
        <w:tc>
          <w:tcPr>
            <w:tcW w:w="6093" w:type="dxa"/>
            <w:tcBorders>
              <w:top w:val="nil"/>
              <w:bottom w:val="single" w:sz="2" w:space="0" w:color="A6A6A6" w:themeColor="background1" w:themeShade="A6"/>
            </w:tcBorders>
            <w:shd w:val="clear" w:color="auto" w:fill="F2F2F2" w:themeFill="background1" w:themeFillShade="F2"/>
            <w:vAlign w:val="center"/>
            <w:hideMark/>
          </w:tcPr>
          <w:p w14:paraId="2301DD7E" w14:textId="4ECC25FC" w:rsidR="00D60513" w:rsidRPr="00191E14" w:rsidRDefault="00C90A43" w:rsidP="00C90A43">
            <w:pPr>
              <w:tabs>
                <w:tab w:val="left" w:pos="340"/>
              </w:tabs>
              <w:spacing w:after="0" w:line="240" w:lineRule="auto"/>
              <w:jc w:val="left"/>
              <w:rPr>
                <w:rFonts w:cs="Arial"/>
                <w:b/>
                <w:bCs/>
                <w:sz w:val="15"/>
                <w:szCs w:val="15"/>
              </w:rPr>
            </w:pPr>
            <w:r>
              <w:rPr>
                <w:rFonts w:cs="Arial"/>
                <w:b/>
                <w:bCs/>
                <w:sz w:val="15"/>
                <w:szCs w:val="15"/>
              </w:rPr>
              <w:tab/>
            </w:r>
            <w:r w:rsidR="00D60513" w:rsidRPr="00191E14">
              <w:rPr>
                <w:rFonts w:cs="Arial"/>
                <w:b/>
                <w:bCs/>
                <w:sz w:val="15"/>
                <w:szCs w:val="15"/>
              </w:rPr>
              <w:t>% ΑΕΠ</w:t>
            </w:r>
          </w:p>
        </w:tc>
        <w:tc>
          <w:tcPr>
            <w:tcW w:w="1115" w:type="dxa"/>
            <w:tcBorders>
              <w:top w:val="nil"/>
              <w:bottom w:val="single" w:sz="2" w:space="0" w:color="A6A6A6" w:themeColor="background1" w:themeShade="A6"/>
            </w:tcBorders>
            <w:shd w:val="clear" w:color="auto" w:fill="F2F2F2" w:themeFill="background1" w:themeFillShade="F2"/>
            <w:vAlign w:val="center"/>
            <w:hideMark/>
          </w:tcPr>
          <w:p w14:paraId="199AE5D2"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3,1%</w:t>
            </w:r>
          </w:p>
        </w:tc>
        <w:tc>
          <w:tcPr>
            <w:tcW w:w="1177" w:type="dxa"/>
            <w:tcBorders>
              <w:top w:val="nil"/>
              <w:bottom w:val="single" w:sz="2" w:space="0" w:color="A6A6A6" w:themeColor="background1" w:themeShade="A6"/>
            </w:tcBorders>
            <w:shd w:val="clear" w:color="auto" w:fill="F2F2F2" w:themeFill="background1" w:themeFillShade="F2"/>
            <w:vAlign w:val="center"/>
            <w:hideMark/>
          </w:tcPr>
          <w:p w14:paraId="666F6D5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1,4%</w:t>
            </w:r>
          </w:p>
        </w:tc>
        <w:tc>
          <w:tcPr>
            <w:tcW w:w="920" w:type="dxa"/>
            <w:tcBorders>
              <w:top w:val="nil"/>
              <w:bottom w:val="single" w:sz="2" w:space="0" w:color="A6A6A6" w:themeColor="background1" w:themeShade="A6"/>
            </w:tcBorders>
            <w:shd w:val="clear" w:color="auto" w:fill="F2F2F2" w:themeFill="background1" w:themeFillShade="F2"/>
            <w:vAlign w:val="center"/>
            <w:hideMark/>
          </w:tcPr>
          <w:p w14:paraId="5BC3503A"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2,1%</w:t>
            </w:r>
          </w:p>
        </w:tc>
        <w:tc>
          <w:tcPr>
            <w:tcW w:w="1053" w:type="dxa"/>
            <w:tcBorders>
              <w:top w:val="nil"/>
              <w:bottom w:val="single" w:sz="2" w:space="0" w:color="A6A6A6" w:themeColor="background1" w:themeShade="A6"/>
            </w:tcBorders>
            <w:shd w:val="clear" w:color="auto" w:fill="F2F2F2" w:themeFill="background1" w:themeFillShade="F2"/>
            <w:vAlign w:val="center"/>
            <w:hideMark/>
          </w:tcPr>
          <w:p w14:paraId="6EE9B582"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1,2%</w:t>
            </w:r>
          </w:p>
        </w:tc>
      </w:tr>
      <w:tr w:rsidR="00BB202B" w:rsidRPr="00191E14" w14:paraId="4C4B5B0E" w14:textId="77777777" w:rsidTr="005660DE">
        <w:trPr>
          <w:cantSplit/>
          <w:trHeight w:val="171"/>
          <w:jc w:val="center"/>
        </w:trPr>
        <w:tc>
          <w:tcPr>
            <w:tcW w:w="6093" w:type="dxa"/>
            <w:tcBorders>
              <w:top w:val="nil"/>
              <w:bottom w:val="nil"/>
            </w:tcBorders>
            <w:shd w:val="clear" w:color="auto" w:fill="D5DCE4"/>
            <w:vAlign w:val="center"/>
            <w:hideMark/>
          </w:tcPr>
          <w:p w14:paraId="7C21E6FE" w14:textId="7B762FAF"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lastRenderedPageBreak/>
              <w:t>V.</w:t>
            </w:r>
            <w:r w:rsidR="008B4376" w:rsidRPr="00191E14">
              <w:rPr>
                <w:rFonts w:cs="Arial"/>
                <w:b/>
                <w:bCs/>
                <w:sz w:val="15"/>
                <w:szCs w:val="15"/>
              </w:rPr>
              <w:tab/>
            </w:r>
            <w:r w:rsidRPr="00191E14">
              <w:rPr>
                <w:rFonts w:cs="Arial"/>
                <w:b/>
                <w:bCs/>
                <w:sz w:val="15"/>
                <w:szCs w:val="15"/>
              </w:rPr>
              <w:t>Ισοζύγιο νομικών προσώπων κατά ESA</w:t>
            </w:r>
          </w:p>
        </w:tc>
        <w:tc>
          <w:tcPr>
            <w:tcW w:w="1115" w:type="dxa"/>
            <w:tcBorders>
              <w:top w:val="nil"/>
              <w:bottom w:val="nil"/>
            </w:tcBorders>
            <w:shd w:val="clear" w:color="auto" w:fill="D5DCE4"/>
            <w:vAlign w:val="center"/>
            <w:hideMark/>
          </w:tcPr>
          <w:p w14:paraId="3BA79470"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4.599</w:t>
            </w:r>
          </w:p>
        </w:tc>
        <w:tc>
          <w:tcPr>
            <w:tcW w:w="1177" w:type="dxa"/>
            <w:tcBorders>
              <w:top w:val="nil"/>
              <w:bottom w:val="nil"/>
            </w:tcBorders>
            <w:shd w:val="clear" w:color="auto" w:fill="D5DCE4"/>
            <w:vAlign w:val="center"/>
            <w:hideMark/>
          </w:tcPr>
          <w:p w14:paraId="26F6516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3.535</w:t>
            </w:r>
          </w:p>
        </w:tc>
        <w:tc>
          <w:tcPr>
            <w:tcW w:w="920" w:type="dxa"/>
            <w:tcBorders>
              <w:top w:val="nil"/>
              <w:bottom w:val="nil"/>
            </w:tcBorders>
            <w:shd w:val="clear" w:color="auto" w:fill="D5DCE4"/>
            <w:vAlign w:val="center"/>
            <w:hideMark/>
          </w:tcPr>
          <w:p w14:paraId="529D7F2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3.611</w:t>
            </w:r>
          </w:p>
        </w:tc>
        <w:tc>
          <w:tcPr>
            <w:tcW w:w="1053" w:type="dxa"/>
            <w:tcBorders>
              <w:top w:val="nil"/>
              <w:bottom w:val="nil"/>
            </w:tcBorders>
            <w:shd w:val="clear" w:color="auto" w:fill="D5DCE4"/>
            <w:vAlign w:val="center"/>
            <w:hideMark/>
          </w:tcPr>
          <w:p w14:paraId="7F2512B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3.932</w:t>
            </w:r>
          </w:p>
        </w:tc>
      </w:tr>
      <w:tr w:rsidR="008B4376" w:rsidRPr="00191E14" w14:paraId="2C79D0C7" w14:textId="77777777" w:rsidTr="005660DE">
        <w:trPr>
          <w:cantSplit/>
          <w:trHeight w:val="162"/>
          <w:jc w:val="center"/>
        </w:trPr>
        <w:tc>
          <w:tcPr>
            <w:tcW w:w="6093" w:type="dxa"/>
            <w:tcBorders>
              <w:top w:val="nil"/>
            </w:tcBorders>
            <w:shd w:val="clear" w:color="auto" w:fill="auto"/>
            <w:vAlign w:val="center"/>
            <w:hideMark/>
          </w:tcPr>
          <w:p w14:paraId="01F11603" w14:textId="17810790" w:rsidR="00D60513" w:rsidRPr="00191E14" w:rsidRDefault="00D60513" w:rsidP="00A4484E">
            <w:pPr>
              <w:spacing w:after="0" w:line="240" w:lineRule="auto"/>
              <w:jc w:val="left"/>
              <w:rPr>
                <w:rFonts w:cs="Arial"/>
                <w:b/>
                <w:bCs/>
                <w:sz w:val="15"/>
                <w:szCs w:val="15"/>
              </w:rPr>
            </w:pPr>
            <w:r w:rsidRPr="00191E14">
              <w:rPr>
                <w:rFonts w:cs="Arial"/>
                <w:b/>
                <w:bCs/>
                <w:sz w:val="15"/>
                <w:szCs w:val="15"/>
              </w:rPr>
              <w:t>Έσοδα</w:t>
            </w:r>
          </w:p>
        </w:tc>
        <w:tc>
          <w:tcPr>
            <w:tcW w:w="1115" w:type="dxa"/>
            <w:tcBorders>
              <w:top w:val="nil"/>
            </w:tcBorders>
            <w:shd w:val="clear" w:color="auto" w:fill="auto"/>
            <w:vAlign w:val="center"/>
            <w:hideMark/>
          </w:tcPr>
          <w:p w14:paraId="18E6101D"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15.791</w:t>
            </w:r>
          </w:p>
        </w:tc>
        <w:tc>
          <w:tcPr>
            <w:tcW w:w="1177" w:type="dxa"/>
            <w:tcBorders>
              <w:top w:val="nil"/>
            </w:tcBorders>
            <w:shd w:val="clear" w:color="auto" w:fill="auto"/>
            <w:vAlign w:val="center"/>
            <w:hideMark/>
          </w:tcPr>
          <w:p w14:paraId="4D04E3A8"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15.233</w:t>
            </w:r>
          </w:p>
        </w:tc>
        <w:tc>
          <w:tcPr>
            <w:tcW w:w="920" w:type="dxa"/>
            <w:tcBorders>
              <w:top w:val="nil"/>
            </w:tcBorders>
            <w:shd w:val="clear" w:color="auto" w:fill="auto"/>
            <w:vAlign w:val="center"/>
            <w:hideMark/>
          </w:tcPr>
          <w:p w14:paraId="4F9E7A9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16.025</w:t>
            </w:r>
          </w:p>
        </w:tc>
        <w:tc>
          <w:tcPr>
            <w:tcW w:w="1053" w:type="dxa"/>
            <w:tcBorders>
              <w:top w:val="nil"/>
            </w:tcBorders>
            <w:shd w:val="clear" w:color="auto" w:fill="auto"/>
            <w:vAlign w:val="center"/>
            <w:hideMark/>
          </w:tcPr>
          <w:p w14:paraId="0DD12B6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16.937</w:t>
            </w:r>
          </w:p>
        </w:tc>
      </w:tr>
      <w:tr w:rsidR="008B4376" w:rsidRPr="00191E14" w14:paraId="4E7B9691" w14:textId="77777777" w:rsidTr="005660DE">
        <w:trPr>
          <w:cantSplit/>
          <w:trHeight w:val="171"/>
          <w:jc w:val="center"/>
        </w:trPr>
        <w:tc>
          <w:tcPr>
            <w:tcW w:w="6093" w:type="dxa"/>
            <w:shd w:val="clear" w:color="auto" w:fill="auto"/>
            <w:vAlign w:val="center"/>
            <w:hideMark/>
          </w:tcPr>
          <w:p w14:paraId="584B2008" w14:textId="7D8624CA" w:rsidR="00D60513" w:rsidRPr="00191E14" w:rsidRDefault="00D60513" w:rsidP="00A4484E">
            <w:pPr>
              <w:spacing w:after="0" w:line="240" w:lineRule="auto"/>
              <w:jc w:val="left"/>
              <w:rPr>
                <w:rFonts w:cs="Arial"/>
                <w:sz w:val="15"/>
                <w:szCs w:val="15"/>
              </w:rPr>
            </w:pPr>
            <w:r w:rsidRPr="00191E14">
              <w:rPr>
                <w:rFonts w:cs="Arial"/>
                <w:sz w:val="15"/>
                <w:szCs w:val="15"/>
              </w:rPr>
              <w:t xml:space="preserve">Τρέχουσες </w:t>
            </w:r>
            <w:r w:rsidR="00CD2D47">
              <w:rPr>
                <w:rFonts w:cs="Arial"/>
                <w:sz w:val="15"/>
                <w:szCs w:val="15"/>
              </w:rPr>
              <w:t>και</w:t>
            </w:r>
            <w:r w:rsidRPr="00191E14">
              <w:rPr>
                <w:rFonts w:cs="Arial"/>
                <w:sz w:val="15"/>
                <w:szCs w:val="15"/>
              </w:rPr>
              <w:t xml:space="preserve"> λοιπές κεφαλαιακές μεταβιβάσεις</w:t>
            </w:r>
          </w:p>
        </w:tc>
        <w:tc>
          <w:tcPr>
            <w:tcW w:w="1115" w:type="dxa"/>
            <w:shd w:val="clear" w:color="auto" w:fill="auto"/>
            <w:vAlign w:val="center"/>
            <w:hideMark/>
          </w:tcPr>
          <w:p w14:paraId="5518C685" w14:textId="77777777" w:rsidR="00D60513" w:rsidRPr="00191E14" w:rsidRDefault="00D60513" w:rsidP="00A4484E">
            <w:pPr>
              <w:spacing w:after="0" w:line="240" w:lineRule="auto"/>
              <w:jc w:val="right"/>
              <w:rPr>
                <w:rFonts w:cs="Arial"/>
                <w:sz w:val="15"/>
                <w:szCs w:val="15"/>
              </w:rPr>
            </w:pPr>
            <w:r w:rsidRPr="00191E14">
              <w:rPr>
                <w:rFonts w:cs="Arial"/>
                <w:sz w:val="15"/>
                <w:szCs w:val="15"/>
              </w:rPr>
              <w:t>5.887</w:t>
            </w:r>
          </w:p>
        </w:tc>
        <w:tc>
          <w:tcPr>
            <w:tcW w:w="1177" w:type="dxa"/>
            <w:shd w:val="clear" w:color="auto" w:fill="auto"/>
            <w:vAlign w:val="center"/>
            <w:hideMark/>
          </w:tcPr>
          <w:p w14:paraId="3284C092" w14:textId="77777777" w:rsidR="00D60513" w:rsidRPr="00191E14" w:rsidRDefault="00D60513" w:rsidP="00A4484E">
            <w:pPr>
              <w:spacing w:after="0" w:line="240" w:lineRule="auto"/>
              <w:jc w:val="right"/>
              <w:rPr>
                <w:rFonts w:cs="Arial"/>
                <w:sz w:val="15"/>
                <w:szCs w:val="15"/>
              </w:rPr>
            </w:pPr>
            <w:r w:rsidRPr="00191E14">
              <w:rPr>
                <w:rFonts w:cs="Arial"/>
                <w:sz w:val="15"/>
                <w:szCs w:val="15"/>
              </w:rPr>
              <w:t>6.343</w:t>
            </w:r>
          </w:p>
        </w:tc>
        <w:tc>
          <w:tcPr>
            <w:tcW w:w="920" w:type="dxa"/>
            <w:shd w:val="clear" w:color="auto" w:fill="auto"/>
            <w:vAlign w:val="center"/>
            <w:hideMark/>
          </w:tcPr>
          <w:p w14:paraId="29DC7C3A" w14:textId="77777777" w:rsidR="00D60513" w:rsidRPr="00191E14" w:rsidRDefault="00D60513" w:rsidP="00A4484E">
            <w:pPr>
              <w:spacing w:after="0" w:line="240" w:lineRule="auto"/>
              <w:jc w:val="right"/>
              <w:rPr>
                <w:rFonts w:cs="Arial"/>
                <w:sz w:val="15"/>
                <w:szCs w:val="15"/>
              </w:rPr>
            </w:pPr>
            <w:r w:rsidRPr="00191E14">
              <w:rPr>
                <w:rFonts w:cs="Arial"/>
                <w:sz w:val="15"/>
                <w:szCs w:val="15"/>
              </w:rPr>
              <w:t>6.349</w:t>
            </w:r>
          </w:p>
        </w:tc>
        <w:tc>
          <w:tcPr>
            <w:tcW w:w="1053" w:type="dxa"/>
            <w:shd w:val="clear" w:color="auto" w:fill="auto"/>
            <w:vAlign w:val="center"/>
            <w:hideMark/>
          </w:tcPr>
          <w:p w14:paraId="0A969916" w14:textId="77777777" w:rsidR="00D60513" w:rsidRPr="00191E14" w:rsidRDefault="00D60513" w:rsidP="00A4484E">
            <w:pPr>
              <w:spacing w:after="0" w:line="240" w:lineRule="auto"/>
              <w:jc w:val="right"/>
              <w:rPr>
                <w:rFonts w:cs="Arial"/>
                <w:sz w:val="15"/>
                <w:szCs w:val="15"/>
              </w:rPr>
            </w:pPr>
            <w:r w:rsidRPr="00191E14">
              <w:rPr>
                <w:rFonts w:cs="Arial"/>
                <w:sz w:val="15"/>
                <w:szCs w:val="15"/>
              </w:rPr>
              <w:t>7.069</w:t>
            </w:r>
          </w:p>
        </w:tc>
      </w:tr>
      <w:tr w:rsidR="008B4376" w:rsidRPr="00191E14" w14:paraId="7A6F5C7D" w14:textId="77777777" w:rsidTr="005660DE">
        <w:trPr>
          <w:cantSplit/>
          <w:trHeight w:val="171"/>
          <w:jc w:val="center"/>
        </w:trPr>
        <w:tc>
          <w:tcPr>
            <w:tcW w:w="6093" w:type="dxa"/>
            <w:shd w:val="clear" w:color="auto" w:fill="auto"/>
            <w:vAlign w:val="center"/>
            <w:hideMark/>
          </w:tcPr>
          <w:p w14:paraId="764C0DA4" w14:textId="77777777" w:rsidR="00D60513" w:rsidRPr="00191E14" w:rsidRDefault="00D60513" w:rsidP="00A4484E">
            <w:pPr>
              <w:spacing w:after="0" w:line="240" w:lineRule="auto"/>
              <w:jc w:val="left"/>
              <w:rPr>
                <w:rFonts w:cs="Arial"/>
                <w:sz w:val="15"/>
                <w:szCs w:val="15"/>
              </w:rPr>
            </w:pPr>
            <w:r w:rsidRPr="00191E14">
              <w:rPr>
                <w:rFonts w:cs="Arial"/>
                <w:sz w:val="15"/>
                <w:szCs w:val="15"/>
              </w:rPr>
              <w:t>Τόκοι πιστωτικοί</w:t>
            </w:r>
          </w:p>
        </w:tc>
        <w:tc>
          <w:tcPr>
            <w:tcW w:w="1115" w:type="dxa"/>
            <w:shd w:val="clear" w:color="auto" w:fill="auto"/>
            <w:vAlign w:val="center"/>
            <w:hideMark/>
          </w:tcPr>
          <w:p w14:paraId="5EB44C08" w14:textId="77777777" w:rsidR="00D60513" w:rsidRPr="00191E14" w:rsidRDefault="00D60513" w:rsidP="00A4484E">
            <w:pPr>
              <w:spacing w:after="0" w:line="240" w:lineRule="auto"/>
              <w:jc w:val="right"/>
              <w:rPr>
                <w:rFonts w:cs="Arial"/>
                <w:sz w:val="15"/>
                <w:szCs w:val="15"/>
              </w:rPr>
            </w:pPr>
            <w:r w:rsidRPr="00191E14">
              <w:rPr>
                <w:rFonts w:cs="Arial"/>
                <w:sz w:val="15"/>
                <w:szCs w:val="15"/>
              </w:rPr>
              <w:t>1.721</w:t>
            </w:r>
          </w:p>
        </w:tc>
        <w:tc>
          <w:tcPr>
            <w:tcW w:w="1177" w:type="dxa"/>
            <w:shd w:val="clear" w:color="auto" w:fill="auto"/>
            <w:vAlign w:val="center"/>
            <w:hideMark/>
          </w:tcPr>
          <w:p w14:paraId="45D5A7B2" w14:textId="77777777" w:rsidR="00D60513" w:rsidRPr="00191E14" w:rsidRDefault="00D60513" w:rsidP="00A4484E">
            <w:pPr>
              <w:spacing w:after="0" w:line="240" w:lineRule="auto"/>
              <w:jc w:val="right"/>
              <w:rPr>
                <w:rFonts w:cs="Arial"/>
                <w:sz w:val="15"/>
                <w:szCs w:val="15"/>
              </w:rPr>
            </w:pPr>
            <w:r w:rsidRPr="00191E14">
              <w:rPr>
                <w:rFonts w:cs="Arial"/>
                <w:sz w:val="15"/>
                <w:szCs w:val="15"/>
              </w:rPr>
              <w:t>1.431</w:t>
            </w:r>
          </w:p>
        </w:tc>
        <w:tc>
          <w:tcPr>
            <w:tcW w:w="920" w:type="dxa"/>
            <w:shd w:val="clear" w:color="auto" w:fill="auto"/>
            <w:vAlign w:val="center"/>
            <w:hideMark/>
          </w:tcPr>
          <w:p w14:paraId="308F3ADF" w14:textId="77777777" w:rsidR="00D60513" w:rsidRPr="00191E14" w:rsidRDefault="00D60513" w:rsidP="00A4484E">
            <w:pPr>
              <w:spacing w:after="0" w:line="240" w:lineRule="auto"/>
              <w:jc w:val="right"/>
              <w:rPr>
                <w:rFonts w:cs="Arial"/>
                <w:sz w:val="15"/>
                <w:szCs w:val="15"/>
              </w:rPr>
            </w:pPr>
            <w:r w:rsidRPr="00191E14">
              <w:rPr>
                <w:rFonts w:cs="Arial"/>
                <w:sz w:val="15"/>
                <w:szCs w:val="15"/>
              </w:rPr>
              <w:t>1.625</w:t>
            </w:r>
          </w:p>
        </w:tc>
        <w:tc>
          <w:tcPr>
            <w:tcW w:w="1053" w:type="dxa"/>
            <w:shd w:val="clear" w:color="auto" w:fill="auto"/>
            <w:vAlign w:val="center"/>
            <w:hideMark/>
          </w:tcPr>
          <w:p w14:paraId="01D24360" w14:textId="77777777" w:rsidR="00D60513" w:rsidRPr="00191E14" w:rsidRDefault="00D60513" w:rsidP="00A4484E">
            <w:pPr>
              <w:spacing w:after="0" w:line="240" w:lineRule="auto"/>
              <w:jc w:val="right"/>
              <w:rPr>
                <w:rFonts w:cs="Arial"/>
                <w:sz w:val="15"/>
                <w:szCs w:val="15"/>
              </w:rPr>
            </w:pPr>
            <w:r w:rsidRPr="00191E14">
              <w:rPr>
                <w:rFonts w:cs="Arial"/>
                <w:sz w:val="15"/>
                <w:szCs w:val="15"/>
              </w:rPr>
              <w:t>1.625</w:t>
            </w:r>
          </w:p>
        </w:tc>
      </w:tr>
      <w:tr w:rsidR="008B4376" w:rsidRPr="00191E14" w14:paraId="76F5398F" w14:textId="77777777" w:rsidTr="005660DE">
        <w:trPr>
          <w:cantSplit/>
          <w:trHeight w:val="171"/>
          <w:jc w:val="center"/>
        </w:trPr>
        <w:tc>
          <w:tcPr>
            <w:tcW w:w="6093" w:type="dxa"/>
            <w:shd w:val="clear" w:color="auto" w:fill="auto"/>
            <w:vAlign w:val="center"/>
            <w:hideMark/>
          </w:tcPr>
          <w:p w14:paraId="1D3C2478" w14:textId="77777777" w:rsidR="00D60513" w:rsidRPr="00191E14" w:rsidRDefault="00D60513" w:rsidP="00A4484E">
            <w:pPr>
              <w:spacing w:after="0" w:line="240" w:lineRule="auto"/>
              <w:jc w:val="left"/>
              <w:rPr>
                <w:rFonts w:cs="Arial"/>
                <w:sz w:val="15"/>
                <w:szCs w:val="15"/>
              </w:rPr>
            </w:pPr>
            <w:r w:rsidRPr="00191E14">
              <w:rPr>
                <w:rFonts w:cs="Arial"/>
                <w:sz w:val="15"/>
                <w:szCs w:val="15"/>
              </w:rPr>
              <w:t>Φόροι</w:t>
            </w:r>
          </w:p>
        </w:tc>
        <w:tc>
          <w:tcPr>
            <w:tcW w:w="1115" w:type="dxa"/>
            <w:shd w:val="clear" w:color="auto" w:fill="auto"/>
            <w:vAlign w:val="center"/>
            <w:hideMark/>
          </w:tcPr>
          <w:p w14:paraId="274FE025" w14:textId="77777777" w:rsidR="00D60513" w:rsidRPr="00191E14" w:rsidRDefault="00D60513" w:rsidP="00A4484E">
            <w:pPr>
              <w:spacing w:after="0" w:line="240" w:lineRule="auto"/>
              <w:jc w:val="right"/>
              <w:rPr>
                <w:rFonts w:cs="Arial"/>
                <w:sz w:val="15"/>
                <w:szCs w:val="15"/>
              </w:rPr>
            </w:pPr>
            <w:r w:rsidRPr="00191E14">
              <w:rPr>
                <w:rFonts w:cs="Arial"/>
                <w:sz w:val="15"/>
                <w:szCs w:val="15"/>
              </w:rPr>
              <w:t>3.616</w:t>
            </w:r>
          </w:p>
        </w:tc>
        <w:tc>
          <w:tcPr>
            <w:tcW w:w="1177" w:type="dxa"/>
            <w:shd w:val="clear" w:color="auto" w:fill="auto"/>
            <w:vAlign w:val="center"/>
            <w:hideMark/>
          </w:tcPr>
          <w:p w14:paraId="3E56A908" w14:textId="77777777" w:rsidR="00D60513" w:rsidRPr="00191E14" w:rsidRDefault="00D60513" w:rsidP="00A4484E">
            <w:pPr>
              <w:spacing w:after="0" w:line="240" w:lineRule="auto"/>
              <w:jc w:val="right"/>
              <w:rPr>
                <w:rFonts w:cs="Arial"/>
                <w:sz w:val="15"/>
                <w:szCs w:val="15"/>
              </w:rPr>
            </w:pPr>
            <w:r w:rsidRPr="00191E14">
              <w:rPr>
                <w:rFonts w:cs="Arial"/>
                <w:sz w:val="15"/>
                <w:szCs w:val="15"/>
              </w:rPr>
              <w:t>3.147</w:t>
            </w:r>
          </w:p>
        </w:tc>
        <w:tc>
          <w:tcPr>
            <w:tcW w:w="920" w:type="dxa"/>
            <w:shd w:val="clear" w:color="auto" w:fill="auto"/>
            <w:vAlign w:val="center"/>
            <w:hideMark/>
          </w:tcPr>
          <w:p w14:paraId="1D9F7D96" w14:textId="77777777" w:rsidR="00D60513" w:rsidRPr="00191E14" w:rsidRDefault="00D60513" w:rsidP="00A4484E">
            <w:pPr>
              <w:spacing w:after="0" w:line="240" w:lineRule="auto"/>
              <w:jc w:val="right"/>
              <w:rPr>
                <w:rFonts w:cs="Arial"/>
                <w:sz w:val="15"/>
                <w:szCs w:val="15"/>
              </w:rPr>
            </w:pPr>
            <w:r w:rsidRPr="00191E14">
              <w:rPr>
                <w:rFonts w:cs="Arial"/>
                <w:sz w:val="15"/>
                <w:szCs w:val="15"/>
              </w:rPr>
              <w:t>3.338</w:t>
            </w:r>
          </w:p>
        </w:tc>
        <w:tc>
          <w:tcPr>
            <w:tcW w:w="1053" w:type="dxa"/>
            <w:shd w:val="clear" w:color="auto" w:fill="auto"/>
            <w:vAlign w:val="center"/>
            <w:hideMark/>
          </w:tcPr>
          <w:p w14:paraId="0AA1A9A1" w14:textId="77777777" w:rsidR="00D60513" w:rsidRPr="00191E14" w:rsidRDefault="00D60513" w:rsidP="00A4484E">
            <w:pPr>
              <w:spacing w:after="0" w:line="240" w:lineRule="auto"/>
              <w:jc w:val="right"/>
              <w:rPr>
                <w:rFonts w:cs="Arial"/>
                <w:sz w:val="15"/>
                <w:szCs w:val="15"/>
              </w:rPr>
            </w:pPr>
            <w:r w:rsidRPr="00191E14">
              <w:rPr>
                <w:rFonts w:cs="Arial"/>
                <w:sz w:val="15"/>
                <w:szCs w:val="15"/>
              </w:rPr>
              <w:t>3.457</w:t>
            </w:r>
          </w:p>
        </w:tc>
      </w:tr>
      <w:tr w:rsidR="008B4376" w:rsidRPr="00191E14" w14:paraId="5A48F857" w14:textId="77777777" w:rsidTr="005660DE">
        <w:trPr>
          <w:cantSplit/>
          <w:trHeight w:val="162"/>
          <w:jc w:val="center"/>
        </w:trPr>
        <w:tc>
          <w:tcPr>
            <w:tcW w:w="6093" w:type="dxa"/>
            <w:shd w:val="clear" w:color="auto" w:fill="auto"/>
            <w:vAlign w:val="center"/>
            <w:hideMark/>
          </w:tcPr>
          <w:p w14:paraId="38AE2C5E" w14:textId="77777777" w:rsidR="00D60513" w:rsidRPr="00191E14" w:rsidRDefault="00D60513" w:rsidP="00A4484E">
            <w:pPr>
              <w:spacing w:after="0" w:line="240" w:lineRule="auto"/>
              <w:jc w:val="left"/>
              <w:rPr>
                <w:rFonts w:cs="Arial"/>
                <w:sz w:val="15"/>
                <w:szCs w:val="15"/>
              </w:rPr>
            </w:pPr>
            <w:r w:rsidRPr="00191E14">
              <w:rPr>
                <w:rFonts w:cs="Arial"/>
                <w:sz w:val="15"/>
                <w:szCs w:val="15"/>
              </w:rPr>
              <w:t>Αντικριζόμενα έσοδα (καθαρά)</w:t>
            </w:r>
          </w:p>
        </w:tc>
        <w:tc>
          <w:tcPr>
            <w:tcW w:w="1115" w:type="dxa"/>
            <w:shd w:val="clear" w:color="auto" w:fill="auto"/>
            <w:vAlign w:val="center"/>
            <w:hideMark/>
          </w:tcPr>
          <w:p w14:paraId="0CE8F116"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1177" w:type="dxa"/>
            <w:shd w:val="clear" w:color="auto" w:fill="auto"/>
            <w:vAlign w:val="center"/>
            <w:hideMark/>
          </w:tcPr>
          <w:p w14:paraId="5F7591C9"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920" w:type="dxa"/>
            <w:shd w:val="clear" w:color="auto" w:fill="auto"/>
            <w:vAlign w:val="center"/>
            <w:hideMark/>
          </w:tcPr>
          <w:p w14:paraId="3C66C016"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1053" w:type="dxa"/>
            <w:shd w:val="clear" w:color="auto" w:fill="auto"/>
            <w:vAlign w:val="center"/>
            <w:hideMark/>
          </w:tcPr>
          <w:p w14:paraId="4CE3CD54"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r>
      <w:tr w:rsidR="008B4376" w:rsidRPr="00191E14" w14:paraId="2308E107" w14:textId="77777777" w:rsidTr="005660DE">
        <w:trPr>
          <w:cantSplit/>
          <w:trHeight w:val="171"/>
          <w:jc w:val="center"/>
        </w:trPr>
        <w:tc>
          <w:tcPr>
            <w:tcW w:w="6093" w:type="dxa"/>
            <w:shd w:val="clear" w:color="auto" w:fill="auto"/>
            <w:vAlign w:val="center"/>
            <w:hideMark/>
          </w:tcPr>
          <w:p w14:paraId="3C6BFFDE"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Λοιπά έσοδα</w:t>
            </w:r>
          </w:p>
        </w:tc>
        <w:tc>
          <w:tcPr>
            <w:tcW w:w="1115" w:type="dxa"/>
            <w:shd w:val="clear" w:color="auto" w:fill="auto"/>
            <w:vAlign w:val="center"/>
            <w:hideMark/>
          </w:tcPr>
          <w:p w14:paraId="1643AE75" w14:textId="77777777" w:rsidR="00D60513" w:rsidRPr="00191E14" w:rsidRDefault="00D60513" w:rsidP="00A4484E">
            <w:pPr>
              <w:spacing w:after="0" w:line="240" w:lineRule="auto"/>
              <w:jc w:val="right"/>
              <w:rPr>
                <w:rFonts w:cs="Arial"/>
                <w:sz w:val="15"/>
                <w:szCs w:val="15"/>
              </w:rPr>
            </w:pPr>
            <w:r w:rsidRPr="00191E14">
              <w:rPr>
                <w:rFonts w:cs="Arial"/>
                <w:sz w:val="15"/>
                <w:szCs w:val="15"/>
              </w:rPr>
              <w:t>4.568</w:t>
            </w:r>
          </w:p>
        </w:tc>
        <w:tc>
          <w:tcPr>
            <w:tcW w:w="1177" w:type="dxa"/>
            <w:shd w:val="clear" w:color="auto" w:fill="auto"/>
            <w:vAlign w:val="center"/>
            <w:hideMark/>
          </w:tcPr>
          <w:p w14:paraId="3D888AEE" w14:textId="77777777" w:rsidR="00D60513" w:rsidRPr="00191E14" w:rsidRDefault="00D60513" w:rsidP="00A4484E">
            <w:pPr>
              <w:spacing w:after="0" w:line="240" w:lineRule="auto"/>
              <w:jc w:val="right"/>
              <w:rPr>
                <w:rFonts w:cs="Arial"/>
                <w:sz w:val="15"/>
                <w:szCs w:val="15"/>
              </w:rPr>
            </w:pPr>
            <w:r w:rsidRPr="00191E14">
              <w:rPr>
                <w:rFonts w:cs="Arial"/>
                <w:sz w:val="15"/>
                <w:szCs w:val="15"/>
              </w:rPr>
              <w:t>4.312</w:t>
            </w:r>
          </w:p>
        </w:tc>
        <w:tc>
          <w:tcPr>
            <w:tcW w:w="920" w:type="dxa"/>
            <w:shd w:val="clear" w:color="auto" w:fill="auto"/>
            <w:vAlign w:val="center"/>
            <w:hideMark/>
          </w:tcPr>
          <w:p w14:paraId="3A46B0CA" w14:textId="77777777" w:rsidR="00D60513" w:rsidRPr="00191E14" w:rsidRDefault="00D60513" w:rsidP="00A4484E">
            <w:pPr>
              <w:spacing w:after="0" w:line="240" w:lineRule="auto"/>
              <w:jc w:val="right"/>
              <w:rPr>
                <w:rFonts w:cs="Arial"/>
                <w:sz w:val="15"/>
                <w:szCs w:val="15"/>
              </w:rPr>
            </w:pPr>
            <w:r w:rsidRPr="00191E14">
              <w:rPr>
                <w:rFonts w:cs="Arial"/>
                <w:sz w:val="15"/>
                <w:szCs w:val="15"/>
              </w:rPr>
              <w:t>4.713</w:t>
            </w:r>
          </w:p>
        </w:tc>
        <w:tc>
          <w:tcPr>
            <w:tcW w:w="1053" w:type="dxa"/>
            <w:shd w:val="clear" w:color="auto" w:fill="auto"/>
            <w:vAlign w:val="center"/>
            <w:hideMark/>
          </w:tcPr>
          <w:p w14:paraId="44F9178A" w14:textId="77777777" w:rsidR="00D60513" w:rsidRPr="00191E14" w:rsidRDefault="00D60513" w:rsidP="00A4484E">
            <w:pPr>
              <w:spacing w:after="0" w:line="240" w:lineRule="auto"/>
              <w:jc w:val="right"/>
              <w:rPr>
                <w:rFonts w:cs="Arial"/>
                <w:sz w:val="15"/>
                <w:szCs w:val="15"/>
              </w:rPr>
            </w:pPr>
            <w:r w:rsidRPr="00191E14">
              <w:rPr>
                <w:rFonts w:cs="Arial"/>
                <w:sz w:val="15"/>
                <w:szCs w:val="15"/>
              </w:rPr>
              <w:t>4.786</w:t>
            </w:r>
          </w:p>
        </w:tc>
      </w:tr>
      <w:tr w:rsidR="008B4376" w:rsidRPr="00191E14" w14:paraId="275CFE8C" w14:textId="77777777" w:rsidTr="005660DE">
        <w:trPr>
          <w:cantSplit/>
          <w:trHeight w:val="171"/>
          <w:jc w:val="center"/>
        </w:trPr>
        <w:tc>
          <w:tcPr>
            <w:tcW w:w="6093" w:type="dxa"/>
            <w:shd w:val="clear" w:color="auto" w:fill="auto"/>
            <w:vAlign w:val="center"/>
            <w:hideMark/>
          </w:tcPr>
          <w:p w14:paraId="26AD7F7E" w14:textId="77777777" w:rsidR="00D60513" w:rsidRPr="00191E14" w:rsidRDefault="00D60513" w:rsidP="00A4484E">
            <w:pPr>
              <w:spacing w:after="0" w:line="240" w:lineRule="auto"/>
              <w:jc w:val="left"/>
              <w:rPr>
                <w:rFonts w:cs="Arial"/>
                <w:b/>
                <w:bCs/>
                <w:sz w:val="15"/>
                <w:szCs w:val="15"/>
              </w:rPr>
            </w:pPr>
            <w:r w:rsidRPr="00191E14">
              <w:rPr>
                <w:rFonts w:cs="Arial"/>
                <w:b/>
                <w:bCs/>
                <w:sz w:val="15"/>
                <w:szCs w:val="15"/>
              </w:rPr>
              <w:t>Έξοδα</w:t>
            </w:r>
          </w:p>
        </w:tc>
        <w:tc>
          <w:tcPr>
            <w:tcW w:w="1115" w:type="dxa"/>
            <w:shd w:val="clear" w:color="auto" w:fill="auto"/>
            <w:vAlign w:val="center"/>
            <w:hideMark/>
          </w:tcPr>
          <w:p w14:paraId="6900D638"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11.193</w:t>
            </w:r>
          </w:p>
        </w:tc>
        <w:tc>
          <w:tcPr>
            <w:tcW w:w="1177" w:type="dxa"/>
            <w:shd w:val="clear" w:color="auto" w:fill="auto"/>
            <w:vAlign w:val="center"/>
            <w:hideMark/>
          </w:tcPr>
          <w:p w14:paraId="60270D3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11.698</w:t>
            </w:r>
          </w:p>
        </w:tc>
        <w:tc>
          <w:tcPr>
            <w:tcW w:w="920" w:type="dxa"/>
            <w:shd w:val="clear" w:color="auto" w:fill="auto"/>
            <w:vAlign w:val="center"/>
            <w:hideMark/>
          </w:tcPr>
          <w:p w14:paraId="5531EB6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12.414</w:t>
            </w:r>
          </w:p>
        </w:tc>
        <w:tc>
          <w:tcPr>
            <w:tcW w:w="1053" w:type="dxa"/>
            <w:shd w:val="clear" w:color="auto" w:fill="auto"/>
            <w:vAlign w:val="center"/>
            <w:hideMark/>
          </w:tcPr>
          <w:p w14:paraId="772025F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13.005</w:t>
            </w:r>
          </w:p>
        </w:tc>
      </w:tr>
      <w:tr w:rsidR="008B4376" w:rsidRPr="00191E14" w14:paraId="4B74F286" w14:textId="77777777" w:rsidTr="005660DE">
        <w:trPr>
          <w:cantSplit/>
          <w:trHeight w:val="162"/>
          <w:jc w:val="center"/>
        </w:trPr>
        <w:tc>
          <w:tcPr>
            <w:tcW w:w="6093" w:type="dxa"/>
            <w:shd w:val="clear" w:color="auto" w:fill="auto"/>
            <w:vAlign w:val="center"/>
            <w:hideMark/>
          </w:tcPr>
          <w:p w14:paraId="359E12E8" w14:textId="04A306DD" w:rsidR="00D60513" w:rsidRPr="00191E14" w:rsidRDefault="00191E14" w:rsidP="00A4484E">
            <w:pPr>
              <w:spacing w:after="0" w:line="240" w:lineRule="auto"/>
              <w:jc w:val="left"/>
              <w:rPr>
                <w:rFonts w:cs="Arial"/>
                <w:sz w:val="15"/>
                <w:szCs w:val="15"/>
              </w:rPr>
            </w:pPr>
            <w:r w:rsidRPr="00191E14">
              <w:rPr>
                <w:rFonts w:cs="Arial"/>
                <w:sz w:val="15"/>
                <w:szCs w:val="15"/>
              </w:rPr>
              <w:t>Παροχές</w:t>
            </w:r>
            <w:r w:rsidR="00D60513" w:rsidRPr="00191E14">
              <w:rPr>
                <w:rFonts w:cs="Arial"/>
                <w:sz w:val="15"/>
                <w:szCs w:val="15"/>
              </w:rPr>
              <w:t xml:space="preserve"> σε </w:t>
            </w:r>
            <w:r>
              <w:rPr>
                <w:rFonts w:cs="Arial"/>
                <w:sz w:val="15"/>
                <w:szCs w:val="15"/>
              </w:rPr>
              <w:t>ε</w:t>
            </w:r>
            <w:r w:rsidRPr="00191E14">
              <w:rPr>
                <w:rFonts w:cs="Arial"/>
                <w:sz w:val="15"/>
                <w:szCs w:val="15"/>
              </w:rPr>
              <w:t>ργαζομένους</w:t>
            </w:r>
          </w:p>
        </w:tc>
        <w:tc>
          <w:tcPr>
            <w:tcW w:w="1115" w:type="dxa"/>
            <w:shd w:val="clear" w:color="auto" w:fill="auto"/>
            <w:vAlign w:val="center"/>
            <w:hideMark/>
          </w:tcPr>
          <w:p w14:paraId="0C482427" w14:textId="77777777" w:rsidR="00D60513" w:rsidRPr="00191E14" w:rsidRDefault="00D60513" w:rsidP="00A4484E">
            <w:pPr>
              <w:spacing w:after="0" w:line="240" w:lineRule="auto"/>
              <w:jc w:val="right"/>
              <w:rPr>
                <w:rFonts w:cs="Arial"/>
                <w:sz w:val="15"/>
                <w:szCs w:val="15"/>
              </w:rPr>
            </w:pPr>
            <w:r w:rsidRPr="00191E14">
              <w:rPr>
                <w:rFonts w:cs="Arial"/>
                <w:sz w:val="15"/>
                <w:szCs w:val="15"/>
              </w:rPr>
              <w:t>1.533</w:t>
            </w:r>
          </w:p>
        </w:tc>
        <w:tc>
          <w:tcPr>
            <w:tcW w:w="1177" w:type="dxa"/>
            <w:shd w:val="clear" w:color="auto" w:fill="auto"/>
            <w:vAlign w:val="center"/>
            <w:hideMark/>
          </w:tcPr>
          <w:p w14:paraId="469FA5CA" w14:textId="77777777" w:rsidR="00D60513" w:rsidRPr="00191E14" w:rsidRDefault="00D60513" w:rsidP="00A4484E">
            <w:pPr>
              <w:spacing w:after="0" w:line="240" w:lineRule="auto"/>
              <w:jc w:val="right"/>
              <w:rPr>
                <w:rFonts w:cs="Arial"/>
                <w:sz w:val="15"/>
                <w:szCs w:val="15"/>
              </w:rPr>
            </w:pPr>
            <w:r w:rsidRPr="00191E14">
              <w:rPr>
                <w:rFonts w:cs="Arial"/>
                <w:sz w:val="15"/>
                <w:szCs w:val="15"/>
              </w:rPr>
              <w:t>1.518</w:t>
            </w:r>
          </w:p>
        </w:tc>
        <w:tc>
          <w:tcPr>
            <w:tcW w:w="920" w:type="dxa"/>
            <w:shd w:val="clear" w:color="auto" w:fill="auto"/>
            <w:vAlign w:val="center"/>
            <w:hideMark/>
          </w:tcPr>
          <w:p w14:paraId="75A80401" w14:textId="77777777" w:rsidR="00D60513" w:rsidRPr="00191E14" w:rsidRDefault="00D60513" w:rsidP="00A4484E">
            <w:pPr>
              <w:spacing w:after="0" w:line="240" w:lineRule="auto"/>
              <w:jc w:val="right"/>
              <w:rPr>
                <w:rFonts w:cs="Arial"/>
                <w:sz w:val="15"/>
                <w:szCs w:val="15"/>
              </w:rPr>
            </w:pPr>
            <w:r w:rsidRPr="00191E14">
              <w:rPr>
                <w:rFonts w:cs="Arial"/>
                <w:sz w:val="15"/>
                <w:szCs w:val="15"/>
              </w:rPr>
              <w:t>1.608</w:t>
            </w:r>
          </w:p>
        </w:tc>
        <w:tc>
          <w:tcPr>
            <w:tcW w:w="1053" w:type="dxa"/>
            <w:shd w:val="clear" w:color="auto" w:fill="auto"/>
            <w:vAlign w:val="center"/>
            <w:hideMark/>
          </w:tcPr>
          <w:p w14:paraId="49AEA175" w14:textId="77777777" w:rsidR="00D60513" w:rsidRPr="00191E14" w:rsidRDefault="00D60513" w:rsidP="00A4484E">
            <w:pPr>
              <w:spacing w:after="0" w:line="240" w:lineRule="auto"/>
              <w:jc w:val="right"/>
              <w:rPr>
                <w:rFonts w:cs="Arial"/>
                <w:sz w:val="15"/>
                <w:szCs w:val="15"/>
              </w:rPr>
            </w:pPr>
            <w:r w:rsidRPr="00191E14">
              <w:rPr>
                <w:rFonts w:cs="Arial"/>
                <w:sz w:val="15"/>
                <w:szCs w:val="15"/>
              </w:rPr>
              <w:t>1.642</w:t>
            </w:r>
          </w:p>
        </w:tc>
      </w:tr>
      <w:tr w:rsidR="008B4376" w:rsidRPr="00191E14" w14:paraId="3D2C7F61" w14:textId="77777777" w:rsidTr="005660DE">
        <w:trPr>
          <w:cantSplit/>
          <w:trHeight w:val="171"/>
          <w:jc w:val="center"/>
        </w:trPr>
        <w:tc>
          <w:tcPr>
            <w:tcW w:w="6093" w:type="dxa"/>
            <w:shd w:val="clear" w:color="auto" w:fill="auto"/>
            <w:vAlign w:val="center"/>
            <w:hideMark/>
          </w:tcPr>
          <w:p w14:paraId="6088E388" w14:textId="77777777" w:rsidR="00D60513" w:rsidRPr="00191E14" w:rsidRDefault="00D60513" w:rsidP="00A4484E">
            <w:pPr>
              <w:spacing w:after="0" w:line="240" w:lineRule="auto"/>
              <w:jc w:val="left"/>
              <w:rPr>
                <w:rFonts w:cs="Arial"/>
                <w:sz w:val="15"/>
                <w:szCs w:val="15"/>
              </w:rPr>
            </w:pPr>
            <w:r w:rsidRPr="00191E14">
              <w:rPr>
                <w:rFonts w:cs="Arial"/>
                <w:sz w:val="15"/>
                <w:szCs w:val="15"/>
              </w:rPr>
              <w:t>Τόκοι χρεωστικοί</w:t>
            </w:r>
          </w:p>
        </w:tc>
        <w:tc>
          <w:tcPr>
            <w:tcW w:w="1115" w:type="dxa"/>
            <w:shd w:val="clear" w:color="auto" w:fill="auto"/>
            <w:vAlign w:val="center"/>
            <w:hideMark/>
          </w:tcPr>
          <w:p w14:paraId="7E8DC4F9" w14:textId="77777777" w:rsidR="00D60513" w:rsidRPr="00191E14" w:rsidRDefault="00D60513" w:rsidP="00A4484E">
            <w:pPr>
              <w:spacing w:after="0" w:line="240" w:lineRule="auto"/>
              <w:jc w:val="right"/>
              <w:rPr>
                <w:rFonts w:cs="Arial"/>
                <w:sz w:val="15"/>
                <w:szCs w:val="15"/>
              </w:rPr>
            </w:pPr>
            <w:r w:rsidRPr="00191E14">
              <w:rPr>
                <w:rFonts w:cs="Arial"/>
                <w:sz w:val="15"/>
                <w:szCs w:val="15"/>
              </w:rPr>
              <w:t>388</w:t>
            </w:r>
          </w:p>
        </w:tc>
        <w:tc>
          <w:tcPr>
            <w:tcW w:w="1177" w:type="dxa"/>
            <w:shd w:val="clear" w:color="auto" w:fill="auto"/>
            <w:vAlign w:val="center"/>
            <w:hideMark/>
          </w:tcPr>
          <w:p w14:paraId="1FCA8C3B" w14:textId="77777777" w:rsidR="00D60513" w:rsidRPr="00191E14" w:rsidRDefault="00D60513" w:rsidP="00A4484E">
            <w:pPr>
              <w:spacing w:after="0" w:line="240" w:lineRule="auto"/>
              <w:jc w:val="right"/>
              <w:rPr>
                <w:rFonts w:cs="Arial"/>
                <w:sz w:val="15"/>
                <w:szCs w:val="15"/>
              </w:rPr>
            </w:pPr>
            <w:r w:rsidRPr="00191E14">
              <w:rPr>
                <w:rFonts w:cs="Arial"/>
                <w:sz w:val="15"/>
                <w:szCs w:val="15"/>
              </w:rPr>
              <w:t>396</w:t>
            </w:r>
          </w:p>
        </w:tc>
        <w:tc>
          <w:tcPr>
            <w:tcW w:w="920" w:type="dxa"/>
            <w:shd w:val="clear" w:color="auto" w:fill="auto"/>
            <w:vAlign w:val="center"/>
            <w:hideMark/>
          </w:tcPr>
          <w:p w14:paraId="38726C01" w14:textId="77777777" w:rsidR="00D60513" w:rsidRPr="00191E14" w:rsidRDefault="00D60513" w:rsidP="00A4484E">
            <w:pPr>
              <w:spacing w:after="0" w:line="240" w:lineRule="auto"/>
              <w:jc w:val="right"/>
              <w:rPr>
                <w:rFonts w:cs="Arial"/>
                <w:sz w:val="15"/>
                <w:szCs w:val="15"/>
              </w:rPr>
            </w:pPr>
            <w:r w:rsidRPr="00191E14">
              <w:rPr>
                <w:rFonts w:cs="Arial"/>
                <w:sz w:val="15"/>
                <w:szCs w:val="15"/>
              </w:rPr>
              <w:t>388</w:t>
            </w:r>
          </w:p>
        </w:tc>
        <w:tc>
          <w:tcPr>
            <w:tcW w:w="1053" w:type="dxa"/>
            <w:shd w:val="clear" w:color="auto" w:fill="auto"/>
            <w:vAlign w:val="center"/>
            <w:hideMark/>
          </w:tcPr>
          <w:p w14:paraId="18A64186" w14:textId="77777777" w:rsidR="00D60513" w:rsidRPr="00191E14" w:rsidRDefault="00D60513" w:rsidP="00A4484E">
            <w:pPr>
              <w:spacing w:after="0" w:line="240" w:lineRule="auto"/>
              <w:jc w:val="right"/>
              <w:rPr>
                <w:rFonts w:cs="Arial"/>
                <w:sz w:val="15"/>
                <w:szCs w:val="15"/>
              </w:rPr>
            </w:pPr>
            <w:r w:rsidRPr="00191E14">
              <w:rPr>
                <w:rFonts w:cs="Arial"/>
                <w:sz w:val="15"/>
                <w:szCs w:val="15"/>
              </w:rPr>
              <w:t>397</w:t>
            </w:r>
          </w:p>
        </w:tc>
      </w:tr>
      <w:tr w:rsidR="008B4376" w:rsidRPr="00191E14" w14:paraId="6ED22F3A" w14:textId="77777777" w:rsidTr="005660DE">
        <w:trPr>
          <w:cantSplit/>
          <w:trHeight w:val="171"/>
          <w:jc w:val="center"/>
        </w:trPr>
        <w:tc>
          <w:tcPr>
            <w:tcW w:w="6093" w:type="dxa"/>
            <w:shd w:val="clear" w:color="auto" w:fill="auto"/>
            <w:vAlign w:val="center"/>
            <w:hideMark/>
          </w:tcPr>
          <w:p w14:paraId="6F1F93F0"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Λοιπά έξοδα</w:t>
            </w:r>
          </w:p>
        </w:tc>
        <w:tc>
          <w:tcPr>
            <w:tcW w:w="1115" w:type="dxa"/>
            <w:shd w:val="clear" w:color="auto" w:fill="auto"/>
            <w:vAlign w:val="center"/>
            <w:hideMark/>
          </w:tcPr>
          <w:p w14:paraId="297B4704" w14:textId="77777777" w:rsidR="00D60513" w:rsidRPr="00191E14" w:rsidRDefault="00D60513" w:rsidP="00A4484E">
            <w:pPr>
              <w:spacing w:after="0" w:line="240" w:lineRule="auto"/>
              <w:jc w:val="right"/>
              <w:rPr>
                <w:rFonts w:cs="Arial"/>
                <w:sz w:val="15"/>
                <w:szCs w:val="15"/>
              </w:rPr>
            </w:pPr>
            <w:r w:rsidRPr="00191E14">
              <w:rPr>
                <w:rFonts w:cs="Arial"/>
                <w:sz w:val="15"/>
                <w:szCs w:val="15"/>
              </w:rPr>
              <w:t>3.351</w:t>
            </w:r>
          </w:p>
        </w:tc>
        <w:tc>
          <w:tcPr>
            <w:tcW w:w="1177" w:type="dxa"/>
            <w:shd w:val="clear" w:color="auto" w:fill="auto"/>
            <w:vAlign w:val="center"/>
            <w:hideMark/>
          </w:tcPr>
          <w:p w14:paraId="79601C6C" w14:textId="77777777" w:rsidR="00D60513" w:rsidRPr="00191E14" w:rsidRDefault="00D60513" w:rsidP="00A4484E">
            <w:pPr>
              <w:spacing w:after="0" w:line="240" w:lineRule="auto"/>
              <w:jc w:val="right"/>
              <w:rPr>
                <w:rFonts w:cs="Arial"/>
                <w:sz w:val="15"/>
                <w:szCs w:val="15"/>
              </w:rPr>
            </w:pPr>
            <w:r w:rsidRPr="00191E14">
              <w:rPr>
                <w:rFonts w:cs="Arial"/>
                <w:sz w:val="15"/>
                <w:szCs w:val="15"/>
              </w:rPr>
              <w:t>3.815</w:t>
            </w:r>
          </w:p>
        </w:tc>
        <w:tc>
          <w:tcPr>
            <w:tcW w:w="920" w:type="dxa"/>
            <w:shd w:val="clear" w:color="auto" w:fill="auto"/>
            <w:vAlign w:val="center"/>
            <w:hideMark/>
          </w:tcPr>
          <w:p w14:paraId="772F4F5F" w14:textId="77777777" w:rsidR="00D60513" w:rsidRPr="00191E14" w:rsidRDefault="00D60513" w:rsidP="00A4484E">
            <w:pPr>
              <w:spacing w:after="0" w:line="240" w:lineRule="auto"/>
              <w:jc w:val="right"/>
              <w:rPr>
                <w:rFonts w:cs="Arial"/>
                <w:sz w:val="15"/>
                <w:szCs w:val="15"/>
              </w:rPr>
            </w:pPr>
            <w:r w:rsidRPr="00191E14">
              <w:rPr>
                <w:rFonts w:cs="Arial"/>
                <w:sz w:val="15"/>
                <w:szCs w:val="15"/>
              </w:rPr>
              <w:t>4.152</w:t>
            </w:r>
          </w:p>
        </w:tc>
        <w:tc>
          <w:tcPr>
            <w:tcW w:w="1053" w:type="dxa"/>
            <w:shd w:val="clear" w:color="auto" w:fill="auto"/>
            <w:vAlign w:val="center"/>
            <w:hideMark/>
          </w:tcPr>
          <w:p w14:paraId="6D04DE54" w14:textId="77777777" w:rsidR="00D60513" w:rsidRPr="00191E14" w:rsidRDefault="00D60513" w:rsidP="00A4484E">
            <w:pPr>
              <w:spacing w:after="0" w:line="240" w:lineRule="auto"/>
              <w:jc w:val="right"/>
              <w:rPr>
                <w:rFonts w:cs="Arial"/>
                <w:sz w:val="15"/>
                <w:szCs w:val="15"/>
              </w:rPr>
            </w:pPr>
            <w:r w:rsidRPr="00191E14">
              <w:rPr>
                <w:rFonts w:cs="Arial"/>
                <w:sz w:val="15"/>
                <w:szCs w:val="15"/>
              </w:rPr>
              <w:t>4.825</w:t>
            </w:r>
          </w:p>
        </w:tc>
      </w:tr>
      <w:tr w:rsidR="008B4376" w:rsidRPr="00191E14" w14:paraId="1C454879" w14:textId="77777777" w:rsidTr="005660DE">
        <w:trPr>
          <w:cantSplit/>
          <w:trHeight w:val="171"/>
          <w:jc w:val="center"/>
        </w:trPr>
        <w:tc>
          <w:tcPr>
            <w:tcW w:w="6093" w:type="dxa"/>
            <w:shd w:val="clear" w:color="auto" w:fill="auto"/>
            <w:vAlign w:val="center"/>
            <w:hideMark/>
          </w:tcPr>
          <w:p w14:paraId="106AC7DF" w14:textId="77777777" w:rsidR="00D60513" w:rsidRPr="00191E14" w:rsidRDefault="00D60513" w:rsidP="00A4484E">
            <w:pPr>
              <w:spacing w:after="0" w:line="240" w:lineRule="auto"/>
              <w:jc w:val="left"/>
              <w:rPr>
                <w:rFonts w:cs="Arial"/>
                <w:sz w:val="15"/>
                <w:szCs w:val="15"/>
              </w:rPr>
            </w:pPr>
            <w:r w:rsidRPr="00191E14">
              <w:rPr>
                <w:rFonts w:cs="Arial"/>
                <w:sz w:val="15"/>
                <w:szCs w:val="15"/>
              </w:rPr>
              <w:t>Επενδυτικές δαπάνες</w:t>
            </w:r>
          </w:p>
        </w:tc>
        <w:tc>
          <w:tcPr>
            <w:tcW w:w="1115" w:type="dxa"/>
            <w:shd w:val="clear" w:color="auto" w:fill="auto"/>
            <w:vAlign w:val="center"/>
            <w:hideMark/>
          </w:tcPr>
          <w:p w14:paraId="6B827CF7" w14:textId="77777777" w:rsidR="00D60513" w:rsidRPr="00191E14" w:rsidRDefault="00D60513" w:rsidP="00A4484E">
            <w:pPr>
              <w:spacing w:after="0" w:line="240" w:lineRule="auto"/>
              <w:jc w:val="right"/>
              <w:rPr>
                <w:rFonts w:cs="Arial"/>
                <w:sz w:val="15"/>
                <w:szCs w:val="15"/>
              </w:rPr>
            </w:pPr>
            <w:r w:rsidRPr="00191E14">
              <w:rPr>
                <w:rFonts w:cs="Arial"/>
                <w:sz w:val="15"/>
                <w:szCs w:val="15"/>
              </w:rPr>
              <w:t>1.564</w:t>
            </w:r>
          </w:p>
        </w:tc>
        <w:tc>
          <w:tcPr>
            <w:tcW w:w="1177" w:type="dxa"/>
            <w:shd w:val="clear" w:color="auto" w:fill="auto"/>
            <w:vAlign w:val="center"/>
            <w:hideMark/>
          </w:tcPr>
          <w:p w14:paraId="08011076" w14:textId="77777777" w:rsidR="00D60513" w:rsidRPr="00191E14" w:rsidRDefault="00D60513" w:rsidP="00A4484E">
            <w:pPr>
              <w:spacing w:after="0" w:line="240" w:lineRule="auto"/>
              <w:jc w:val="right"/>
              <w:rPr>
                <w:rFonts w:cs="Arial"/>
                <w:sz w:val="15"/>
                <w:szCs w:val="15"/>
              </w:rPr>
            </w:pPr>
            <w:r w:rsidRPr="00191E14">
              <w:rPr>
                <w:rFonts w:cs="Arial"/>
                <w:sz w:val="15"/>
                <w:szCs w:val="15"/>
              </w:rPr>
              <w:t>2.571</w:t>
            </w:r>
          </w:p>
        </w:tc>
        <w:tc>
          <w:tcPr>
            <w:tcW w:w="920" w:type="dxa"/>
            <w:shd w:val="clear" w:color="auto" w:fill="auto"/>
            <w:vAlign w:val="center"/>
            <w:hideMark/>
          </w:tcPr>
          <w:p w14:paraId="2BE134BE" w14:textId="77777777" w:rsidR="00D60513" w:rsidRPr="00191E14" w:rsidRDefault="00D60513" w:rsidP="00A4484E">
            <w:pPr>
              <w:spacing w:after="0" w:line="240" w:lineRule="auto"/>
              <w:jc w:val="right"/>
              <w:rPr>
                <w:rFonts w:cs="Arial"/>
                <w:sz w:val="15"/>
                <w:szCs w:val="15"/>
              </w:rPr>
            </w:pPr>
            <w:r w:rsidRPr="00191E14">
              <w:rPr>
                <w:rFonts w:cs="Arial"/>
                <w:sz w:val="15"/>
                <w:szCs w:val="15"/>
              </w:rPr>
              <w:t>2.083</w:t>
            </w:r>
          </w:p>
        </w:tc>
        <w:tc>
          <w:tcPr>
            <w:tcW w:w="1053" w:type="dxa"/>
            <w:shd w:val="clear" w:color="auto" w:fill="auto"/>
            <w:vAlign w:val="center"/>
            <w:hideMark/>
          </w:tcPr>
          <w:p w14:paraId="79B12780" w14:textId="77777777" w:rsidR="00D60513" w:rsidRPr="00191E14" w:rsidRDefault="00D60513" w:rsidP="00A4484E">
            <w:pPr>
              <w:spacing w:after="0" w:line="240" w:lineRule="auto"/>
              <w:jc w:val="right"/>
              <w:rPr>
                <w:rFonts w:cs="Arial"/>
                <w:sz w:val="15"/>
                <w:szCs w:val="15"/>
              </w:rPr>
            </w:pPr>
            <w:r w:rsidRPr="00191E14">
              <w:rPr>
                <w:rFonts w:cs="Arial"/>
                <w:sz w:val="15"/>
                <w:szCs w:val="15"/>
              </w:rPr>
              <w:t>2.513</w:t>
            </w:r>
          </w:p>
        </w:tc>
      </w:tr>
      <w:tr w:rsidR="008B4376" w:rsidRPr="00191E14" w14:paraId="05C0AA35" w14:textId="77777777" w:rsidTr="005660DE">
        <w:trPr>
          <w:cantSplit/>
          <w:trHeight w:val="162"/>
          <w:jc w:val="center"/>
        </w:trPr>
        <w:tc>
          <w:tcPr>
            <w:tcW w:w="6093" w:type="dxa"/>
            <w:shd w:val="clear" w:color="auto" w:fill="auto"/>
            <w:vAlign w:val="center"/>
            <w:hideMark/>
          </w:tcPr>
          <w:p w14:paraId="28F9FDE2"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Λοιπές μεταβιβάσεις</w:t>
            </w:r>
          </w:p>
        </w:tc>
        <w:tc>
          <w:tcPr>
            <w:tcW w:w="1115" w:type="dxa"/>
            <w:shd w:val="clear" w:color="auto" w:fill="auto"/>
            <w:vAlign w:val="center"/>
            <w:hideMark/>
          </w:tcPr>
          <w:p w14:paraId="198D9C39" w14:textId="77777777" w:rsidR="00D60513" w:rsidRPr="00191E14" w:rsidRDefault="00D60513" w:rsidP="00A4484E">
            <w:pPr>
              <w:spacing w:after="0" w:line="240" w:lineRule="auto"/>
              <w:jc w:val="right"/>
              <w:rPr>
                <w:rFonts w:cs="Arial"/>
                <w:sz w:val="15"/>
                <w:szCs w:val="15"/>
              </w:rPr>
            </w:pPr>
            <w:r w:rsidRPr="00191E14">
              <w:rPr>
                <w:rFonts w:cs="Arial"/>
                <w:sz w:val="15"/>
                <w:szCs w:val="15"/>
              </w:rPr>
              <w:t>1.379</w:t>
            </w:r>
          </w:p>
        </w:tc>
        <w:tc>
          <w:tcPr>
            <w:tcW w:w="1177" w:type="dxa"/>
            <w:shd w:val="clear" w:color="auto" w:fill="auto"/>
            <w:vAlign w:val="center"/>
            <w:hideMark/>
          </w:tcPr>
          <w:p w14:paraId="68AEF75E" w14:textId="77777777" w:rsidR="00D60513" w:rsidRPr="00191E14" w:rsidRDefault="00D60513" w:rsidP="00A4484E">
            <w:pPr>
              <w:spacing w:after="0" w:line="240" w:lineRule="auto"/>
              <w:jc w:val="right"/>
              <w:rPr>
                <w:rFonts w:cs="Arial"/>
                <w:sz w:val="15"/>
                <w:szCs w:val="15"/>
              </w:rPr>
            </w:pPr>
            <w:r w:rsidRPr="00191E14">
              <w:rPr>
                <w:rFonts w:cs="Arial"/>
                <w:sz w:val="15"/>
                <w:szCs w:val="15"/>
              </w:rPr>
              <w:t>685</w:t>
            </w:r>
          </w:p>
        </w:tc>
        <w:tc>
          <w:tcPr>
            <w:tcW w:w="920" w:type="dxa"/>
            <w:shd w:val="clear" w:color="auto" w:fill="auto"/>
            <w:vAlign w:val="center"/>
            <w:hideMark/>
          </w:tcPr>
          <w:p w14:paraId="1B54C7FD" w14:textId="77777777" w:rsidR="00D60513" w:rsidRPr="00191E14" w:rsidRDefault="00D60513" w:rsidP="00A4484E">
            <w:pPr>
              <w:spacing w:after="0" w:line="240" w:lineRule="auto"/>
              <w:jc w:val="right"/>
              <w:rPr>
                <w:rFonts w:cs="Arial"/>
                <w:sz w:val="15"/>
                <w:szCs w:val="15"/>
              </w:rPr>
            </w:pPr>
            <w:r w:rsidRPr="00191E14">
              <w:rPr>
                <w:rFonts w:cs="Arial"/>
                <w:sz w:val="15"/>
                <w:szCs w:val="15"/>
              </w:rPr>
              <w:t>1.240</w:t>
            </w:r>
          </w:p>
        </w:tc>
        <w:tc>
          <w:tcPr>
            <w:tcW w:w="1053" w:type="dxa"/>
            <w:shd w:val="clear" w:color="auto" w:fill="auto"/>
            <w:vAlign w:val="center"/>
            <w:hideMark/>
          </w:tcPr>
          <w:p w14:paraId="1E88EB89" w14:textId="77777777" w:rsidR="00D60513" w:rsidRPr="00191E14" w:rsidRDefault="00D60513" w:rsidP="00A4484E">
            <w:pPr>
              <w:spacing w:after="0" w:line="240" w:lineRule="auto"/>
              <w:jc w:val="right"/>
              <w:rPr>
                <w:rFonts w:cs="Arial"/>
                <w:sz w:val="15"/>
                <w:szCs w:val="15"/>
              </w:rPr>
            </w:pPr>
            <w:r w:rsidRPr="00191E14">
              <w:rPr>
                <w:rFonts w:cs="Arial"/>
                <w:sz w:val="15"/>
                <w:szCs w:val="15"/>
              </w:rPr>
              <w:t>819</w:t>
            </w:r>
          </w:p>
        </w:tc>
      </w:tr>
      <w:tr w:rsidR="008B4376" w:rsidRPr="00191E14" w14:paraId="77F4294B" w14:textId="77777777" w:rsidTr="005660DE">
        <w:trPr>
          <w:cantSplit/>
          <w:trHeight w:val="171"/>
          <w:jc w:val="center"/>
        </w:trPr>
        <w:tc>
          <w:tcPr>
            <w:tcW w:w="6093" w:type="dxa"/>
            <w:shd w:val="clear" w:color="auto" w:fill="auto"/>
            <w:vAlign w:val="center"/>
            <w:hideMark/>
          </w:tcPr>
          <w:p w14:paraId="4B4E7903" w14:textId="77777777" w:rsidR="00D60513" w:rsidRPr="00191E14" w:rsidRDefault="00D60513" w:rsidP="00A4484E">
            <w:pPr>
              <w:spacing w:after="0" w:line="240" w:lineRule="auto"/>
              <w:jc w:val="left"/>
              <w:rPr>
                <w:rFonts w:cs="Arial"/>
                <w:sz w:val="15"/>
                <w:szCs w:val="15"/>
              </w:rPr>
            </w:pPr>
            <w:r w:rsidRPr="00191E14">
              <w:rPr>
                <w:rFonts w:cs="Arial"/>
                <w:sz w:val="15"/>
                <w:szCs w:val="15"/>
              </w:rPr>
              <w:t>Επιδοτήσεις</w:t>
            </w:r>
          </w:p>
        </w:tc>
        <w:tc>
          <w:tcPr>
            <w:tcW w:w="1115" w:type="dxa"/>
            <w:shd w:val="clear" w:color="auto" w:fill="auto"/>
            <w:vAlign w:val="center"/>
            <w:hideMark/>
          </w:tcPr>
          <w:p w14:paraId="1C85460D" w14:textId="77777777" w:rsidR="00D60513" w:rsidRPr="00191E14" w:rsidRDefault="00D60513" w:rsidP="00A4484E">
            <w:pPr>
              <w:spacing w:after="0" w:line="240" w:lineRule="auto"/>
              <w:jc w:val="right"/>
              <w:rPr>
                <w:rFonts w:cs="Arial"/>
                <w:sz w:val="15"/>
                <w:szCs w:val="15"/>
              </w:rPr>
            </w:pPr>
            <w:r w:rsidRPr="00191E14">
              <w:rPr>
                <w:rFonts w:cs="Arial"/>
                <w:sz w:val="15"/>
                <w:szCs w:val="15"/>
              </w:rPr>
              <w:t>2.978</w:t>
            </w:r>
          </w:p>
        </w:tc>
        <w:tc>
          <w:tcPr>
            <w:tcW w:w="1177" w:type="dxa"/>
            <w:shd w:val="clear" w:color="auto" w:fill="auto"/>
            <w:vAlign w:val="center"/>
            <w:hideMark/>
          </w:tcPr>
          <w:p w14:paraId="3FDD3205" w14:textId="77777777" w:rsidR="00D60513" w:rsidRPr="00191E14" w:rsidRDefault="00D60513" w:rsidP="00A4484E">
            <w:pPr>
              <w:spacing w:after="0" w:line="240" w:lineRule="auto"/>
              <w:jc w:val="right"/>
              <w:rPr>
                <w:rFonts w:cs="Arial"/>
                <w:sz w:val="15"/>
                <w:szCs w:val="15"/>
              </w:rPr>
            </w:pPr>
            <w:r w:rsidRPr="00191E14">
              <w:rPr>
                <w:rFonts w:cs="Arial"/>
                <w:sz w:val="15"/>
                <w:szCs w:val="15"/>
              </w:rPr>
              <w:t>2.713</w:t>
            </w:r>
          </w:p>
        </w:tc>
        <w:tc>
          <w:tcPr>
            <w:tcW w:w="920" w:type="dxa"/>
            <w:shd w:val="clear" w:color="auto" w:fill="auto"/>
            <w:vAlign w:val="center"/>
            <w:hideMark/>
          </w:tcPr>
          <w:p w14:paraId="23D4C6BB" w14:textId="77777777" w:rsidR="00D60513" w:rsidRPr="00191E14" w:rsidRDefault="00D60513" w:rsidP="00A4484E">
            <w:pPr>
              <w:spacing w:after="0" w:line="240" w:lineRule="auto"/>
              <w:jc w:val="right"/>
              <w:rPr>
                <w:rFonts w:cs="Arial"/>
                <w:sz w:val="15"/>
                <w:szCs w:val="15"/>
              </w:rPr>
            </w:pPr>
            <w:r w:rsidRPr="00191E14">
              <w:rPr>
                <w:rFonts w:cs="Arial"/>
                <w:sz w:val="15"/>
                <w:szCs w:val="15"/>
              </w:rPr>
              <w:t>2.944</w:t>
            </w:r>
          </w:p>
        </w:tc>
        <w:tc>
          <w:tcPr>
            <w:tcW w:w="1053" w:type="dxa"/>
            <w:shd w:val="clear" w:color="auto" w:fill="auto"/>
            <w:vAlign w:val="center"/>
            <w:hideMark/>
          </w:tcPr>
          <w:p w14:paraId="34D8B067" w14:textId="77777777" w:rsidR="00D60513" w:rsidRPr="00191E14" w:rsidRDefault="00D60513" w:rsidP="00A4484E">
            <w:pPr>
              <w:spacing w:after="0" w:line="240" w:lineRule="auto"/>
              <w:jc w:val="right"/>
              <w:rPr>
                <w:rFonts w:cs="Arial"/>
                <w:sz w:val="15"/>
                <w:szCs w:val="15"/>
              </w:rPr>
            </w:pPr>
            <w:r w:rsidRPr="00191E14">
              <w:rPr>
                <w:rFonts w:cs="Arial"/>
                <w:sz w:val="15"/>
                <w:szCs w:val="15"/>
              </w:rPr>
              <w:t>2.809</w:t>
            </w:r>
          </w:p>
        </w:tc>
      </w:tr>
      <w:tr w:rsidR="00BB202B" w:rsidRPr="00191E14" w14:paraId="13B7AE52" w14:textId="77777777" w:rsidTr="005660DE">
        <w:trPr>
          <w:cantSplit/>
          <w:trHeight w:val="171"/>
          <w:jc w:val="center"/>
        </w:trPr>
        <w:tc>
          <w:tcPr>
            <w:tcW w:w="6093" w:type="dxa"/>
            <w:shd w:val="clear" w:color="auto" w:fill="D5DCE4"/>
            <w:vAlign w:val="center"/>
            <w:hideMark/>
          </w:tcPr>
          <w:p w14:paraId="1CA0777A" w14:textId="198E83B4"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VΙ.</w:t>
            </w:r>
            <w:r w:rsidR="008B4376" w:rsidRPr="00191E14">
              <w:rPr>
                <w:rFonts w:cs="Arial"/>
                <w:b/>
                <w:bCs/>
                <w:sz w:val="15"/>
                <w:szCs w:val="15"/>
              </w:rPr>
              <w:tab/>
            </w:r>
            <w:r w:rsidRPr="00191E14">
              <w:rPr>
                <w:rFonts w:cs="Arial"/>
                <w:b/>
                <w:bCs/>
                <w:sz w:val="15"/>
                <w:szCs w:val="15"/>
              </w:rPr>
              <w:t xml:space="preserve">Ισοζύγιο </w:t>
            </w:r>
            <w:r w:rsidR="00E005BD">
              <w:rPr>
                <w:rFonts w:cs="Arial"/>
                <w:b/>
                <w:bCs/>
                <w:sz w:val="15"/>
                <w:szCs w:val="15"/>
              </w:rPr>
              <w:t>ν</w:t>
            </w:r>
            <w:r w:rsidRPr="00191E14">
              <w:rPr>
                <w:rFonts w:cs="Arial"/>
                <w:b/>
                <w:bCs/>
                <w:sz w:val="15"/>
                <w:szCs w:val="15"/>
              </w:rPr>
              <w:t>οσοκομείων - ΠΦΥ κατά ESA</w:t>
            </w:r>
          </w:p>
        </w:tc>
        <w:tc>
          <w:tcPr>
            <w:tcW w:w="1115" w:type="dxa"/>
            <w:shd w:val="clear" w:color="auto" w:fill="D5DCE4"/>
            <w:vAlign w:val="center"/>
            <w:hideMark/>
          </w:tcPr>
          <w:p w14:paraId="5314470E"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-27</w:t>
            </w:r>
          </w:p>
        </w:tc>
        <w:tc>
          <w:tcPr>
            <w:tcW w:w="1177" w:type="dxa"/>
            <w:shd w:val="clear" w:color="auto" w:fill="D5DCE4"/>
            <w:vAlign w:val="center"/>
            <w:hideMark/>
          </w:tcPr>
          <w:p w14:paraId="4BF6C5B8"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273</w:t>
            </w:r>
          </w:p>
        </w:tc>
        <w:tc>
          <w:tcPr>
            <w:tcW w:w="920" w:type="dxa"/>
            <w:shd w:val="clear" w:color="auto" w:fill="D5DCE4"/>
            <w:vAlign w:val="center"/>
            <w:hideMark/>
          </w:tcPr>
          <w:p w14:paraId="550BF152"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257</w:t>
            </w:r>
          </w:p>
        </w:tc>
        <w:tc>
          <w:tcPr>
            <w:tcW w:w="1053" w:type="dxa"/>
            <w:shd w:val="clear" w:color="auto" w:fill="D5DCE4"/>
            <w:vAlign w:val="center"/>
            <w:hideMark/>
          </w:tcPr>
          <w:p w14:paraId="4635A99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481</w:t>
            </w:r>
          </w:p>
        </w:tc>
      </w:tr>
      <w:tr w:rsidR="008B4376" w:rsidRPr="00191E14" w14:paraId="3797DAD8" w14:textId="77777777" w:rsidTr="005660DE">
        <w:trPr>
          <w:cantSplit/>
          <w:trHeight w:val="171"/>
          <w:jc w:val="center"/>
        </w:trPr>
        <w:tc>
          <w:tcPr>
            <w:tcW w:w="6093" w:type="dxa"/>
            <w:shd w:val="clear" w:color="auto" w:fill="auto"/>
            <w:vAlign w:val="center"/>
            <w:hideMark/>
          </w:tcPr>
          <w:p w14:paraId="08A73691" w14:textId="1E3E46EE" w:rsidR="00D60513" w:rsidRPr="00191E14" w:rsidRDefault="00D60513" w:rsidP="00A4484E">
            <w:pPr>
              <w:spacing w:after="0" w:line="240" w:lineRule="auto"/>
              <w:jc w:val="left"/>
              <w:rPr>
                <w:rFonts w:cs="Arial"/>
                <w:b/>
                <w:bCs/>
                <w:sz w:val="15"/>
                <w:szCs w:val="15"/>
              </w:rPr>
            </w:pPr>
            <w:r w:rsidRPr="00191E14">
              <w:rPr>
                <w:rFonts w:cs="Arial"/>
                <w:b/>
                <w:bCs/>
                <w:sz w:val="15"/>
                <w:szCs w:val="15"/>
              </w:rPr>
              <w:t>Έσοδα</w:t>
            </w:r>
          </w:p>
        </w:tc>
        <w:tc>
          <w:tcPr>
            <w:tcW w:w="1115" w:type="dxa"/>
            <w:shd w:val="clear" w:color="auto" w:fill="auto"/>
            <w:vAlign w:val="center"/>
            <w:hideMark/>
          </w:tcPr>
          <w:p w14:paraId="11E503B0"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3.900</w:t>
            </w:r>
          </w:p>
        </w:tc>
        <w:tc>
          <w:tcPr>
            <w:tcW w:w="1177" w:type="dxa"/>
            <w:shd w:val="clear" w:color="auto" w:fill="auto"/>
            <w:vAlign w:val="center"/>
            <w:hideMark/>
          </w:tcPr>
          <w:p w14:paraId="19CB3475"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4.254</w:t>
            </w:r>
          </w:p>
        </w:tc>
        <w:tc>
          <w:tcPr>
            <w:tcW w:w="920" w:type="dxa"/>
            <w:shd w:val="clear" w:color="auto" w:fill="auto"/>
            <w:vAlign w:val="center"/>
            <w:hideMark/>
          </w:tcPr>
          <w:p w14:paraId="23A824DA"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4.588</w:t>
            </w:r>
          </w:p>
        </w:tc>
        <w:tc>
          <w:tcPr>
            <w:tcW w:w="1053" w:type="dxa"/>
            <w:shd w:val="clear" w:color="auto" w:fill="auto"/>
            <w:vAlign w:val="center"/>
            <w:hideMark/>
          </w:tcPr>
          <w:p w14:paraId="049A897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4.799</w:t>
            </w:r>
          </w:p>
        </w:tc>
      </w:tr>
      <w:tr w:rsidR="008B4376" w:rsidRPr="00191E14" w14:paraId="689C0223" w14:textId="77777777" w:rsidTr="005660DE">
        <w:trPr>
          <w:cantSplit/>
          <w:trHeight w:val="162"/>
          <w:jc w:val="center"/>
        </w:trPr>
        <w:tc>
          <w:tcPr>
            <w:tcW w:w="6093" w:type="dxa"/>
            <w:shd w:val="clear" w:color="auto" w:fill="auto"/>
            <w:vAlign w:val="center"/>
            <w:hideMark/>
          </w:tcPr>
          <w:p w14:paraId="57B350AE" w14:textId="7677E482" w:rsidR="00D60513" w:rsidRPr="00191E14" w:rsidRDefault="00D60513" w:rsidP="00A4484E">
            <w:pPr>
              <w:spacing w:after="0" w:line="240" w:lineRule="auto"/>
              <w:jc w:val="left"/>
              <w:rPr>
                <w:rFonts w:cs="Arial"/>
                <w:sz w:val="15"/>
                <w:szCs w:val="15"/>
              </w:rPr>
            </w:pPr>
            <w:r w:rsidRPr="00191E14">
              <w:rPr>
                <w:rFonts w:cs="Arial"/>
                <w:sz w:val="15"/>
                <w:szCs w:val="15"/>
              </w:rPr>
              <w:t xml:space="preserve">Τρέχουσες </w:t>
            </w:r>
            <w:r w:rsidR="00191E14">
              <w:rPr>
                <w:rFonts w:cs="Arial"/>
                <w:sz w:val="15"/>
                <w:szCs w:val="15"/>
              </w:rPr>
              <w:t>και</w:t>
            </w:r>
            <w:r w:rsidRPr="00191E14">
              <w:rPr>
                <w:rFonts w:cs="Arial"/>
                <w:sz w:val="15"/>
                <w:szCs w:val="15"/>
              </w:rPr>
              <w:t xml:space="preserve"> λοιπές κεφαλαιακές μεταβιβάσεις</w:t>
            </w:r>
          </w:p>
        </w:tc>
        <w:tc>
          <w:tcPr>
            <w:tcW w:w="1115" w:type="dxa"/>
            <w:shd w:val="clear" w:color="auto" w:fill="auto"/>
            <w:vAlign w:val="center"/>
            <w:hideMark/>
          </w:tcPr>
          <w:p w14:paraId="152B169A" w14:textId="77777777" w:rsidR="00D60513" w:rsidRPr="00191E14" w:rsidRDefault="00D60513" w:rsidP="00A4484E">
            <w:pPr>
              <w:spacing w:after="0" w:line="240" w:lineRule="auto"/>
              <w:jc w:val="right"/>
              <w:rPr>
                <w:rFonts w:cs="Arial"/>
                <w:sz w:val="15"/>
                <w:szCs w:val="15"/>
              </w:rPr>
            </w:pPr>
            <w:r w:rsidRPr="00191E14">
              <w:rPr>
                <w:rFonts w:cs="Arial"/>
                <w:sz w:val="15"/>
                <w:szCs w:val="15"/>
              </w:rPr>
              <w:t>2.854</w:t>
            </w:r>
          </w:p>
        </w:tc>
        <w:tc>
          <w:tcPr>
            <w:tcW w:w="1177" w:type="dxa"/>
            <w:shd w:val="clear" w:color="auto" w:fill="auto"/>
            <w:vAlign w:val="center"/>
            <w:hideMark/>
          </w:tcPr>
          <w:p w14:paraId="310EE14C" w14:textId="77777777" w:rsidR="00D60513" w:rsidRPr="00191E14" w:rsidRDefault="00D60513" w:rsidP="00A4484E">
            <w:pPr>
              <w:spacing w:after="0" w:line="240" w:lineRule="auto"/>
              <w:jc w:val="right"/>
              <w:rPr>
                <w:rFonts w:cs="Arial"/>
                <w:sz w:val="15"/>
                <w:szCs w:val="15"/>
              </w:rPr>
            </w:pPr>
            <w:r w:rsidRPr="00191E14">
              <w:rPr>
                <w:rFonts w:cs="Arial"/>
                <w:sz w:val="15"/>
                <w:szCs w:val="15"/>
              </w:rPr>
              <w:t>3.191</w:t>
            </w:r>
          </w:p>
        </w:tc>
        <w:tc>
          <w:tcPr>
            <w:tcW w:w="920" w:type="dxa"/>
            <w:shd w:val="clear" w:color="auto" w:fill="auto"/>
            <w:vAlign w:val="center"/>
            <w:hideMark/>
          </w:tcPr>
          <w:p w14:paraId="22E5E1CD" w14:textId="77777777" w:rsidR="00D60513" w:rsidRPr="00191E14" w:rsidRDefault="00D60513" w:rsidP="00A4484E">
            <w:pPr>
              <w:spacing w:after="0" w:line="240" w:lineRule="auto"/>
              <w:jc w:val="right"/>
              <w:rPr>
                <w:rFonts w:cs="Arial"/>
                <w:sz w:val="15"/>
                <w:szCs w:val="15"/>
              </w:rPr>
            </w:pPr>
            <w:r w:rsidRPr="00191E14">
              <w:rPr>
                <w:rFonts w:cs="Arial"/>
                <w:sz w:val="15"/>
                <w:szCs w:val="15"/>
              </w:rPr>
              <w:t>2.576</w:t>
            </w:r>
          </w:p>
        </w:tc>
        <w:tc>
          <w:tcPr>
            <w:tcW w:w="1053" w:type="dxa"/>
            <w:shd w:val="clear" w:color="auto" w:fill="auto"/>
            <w:vAlign w:val="center"/>
            <w:hideMark/>
          </w:tcPr>
          <w:p w14:paraId="681429FF" w14:textId="77777777" w:rsidR="00D60513" w:rsidRPr="00191E14" w:rsidRDefault="00D60513" w:rsidP="00A4484E">
            <w:pPr>
              <w:spacing w:after="0" w:line="240" w:lineRule="auto"/>
              <w:jc w:val="right"/>
              <w:rPr>
                <w:rFonts w:cs="Arial"/>
                <w:sz w:val="15"/>
                <w:szCs w:val="15"/>
              </w:rPr>
            </w:pPr>
            <w:r w:rsidRPr="00191E14">
              <w:rPr>
                <w:rFonts w:cs="Arial"/>
                <w:sz w:val="15"/>
                <w:szCs w:val="15"/>
              </w:rPr>
              <w:t>2.783</w:t>
            </w:r>
          </w:p>
        </w:tc>
      </w:tr>
      <w:tr w:rsidR="008B4376" w:rsidRPr="00191E14" w14:paraId="09DF4507" w14:textId="77777777" w:rsidTr="005660DE">
        <w:trPr>
          <w:cantSplit/>
          <w:trHeight w:val="171"/>
          <w:jc w:val="center"/>
        </w:trPr>
        <w:tc>
          <w:tcPr>
            <w:tcW w:w="6093" w:type="dxa"/>
            <w:shd w:val="clear" w:color="auto" w:fill="auto"/>
            <w:vAlign w:val="center"/>
            <w:hideMark/>
          </w:tcPr>
          <w:p w14:paraId="440AE523" w14:textId="77777777" w:rsidR="00D60513" w:rsidRPr="00191E14" w:rsidRDefault="00D60513" w:rsidP="00A4484E">
            <w:pPr>
              <w:spacing w:after="0" w:line="240" w:lineRule="auto"/>
              <w:jc w:val="left"/>
              <w:rPr>
                <w:rFonts w:cs="Arial"/>
                <w:sz w:val="15"/>
                <w:szCs w:val="15"/>
              </w:rPr>
            </w:pPr>
            <w:r w:rsidRPr="00191E14">
              <w:rPr>
                <w:rFonts w:cs="Arial"/>
                <w:sz w:val="15"/>
                <w:szCs w:val="15"/>
              </w:rPr>
              <w:t>Μεταβιβάσεις από ΕΟΠΥΥ</w:t>
            </w:r>
          </w:p>
        </w:tc>
        <w:tc>
          <w:tcPr>
            <w:tcW w:w="1115" w:type="dxa"/>
            <w:shd w:val="clear" w:color="auto" w:fill="auto"/>
            <w:vAlign w:val="center"/>
            <w:hideMark/>
          </w:tcPr>
          <w:p w14:paraId="7105432F" w14:textId="77777777" w:rsidR="00D60513" w:rsidRPr="00191E14" w:rsidRDefault="00D60513" w:rsidP="00A4484E">
            <w:pPr>
              <w:spacing w:after="0" w:line="240" w:lineRule="auto"/>
              <w:jc w:val="right"/>
              <w:rPr>
                <w:rFonts w:cs="Arial"/>
                <w:sz w:val="15"/>
                <w:szCs w:val="15"/>
              </w:rPr>
            </w:pPr>
            <w:r w:rsidRPr="00191E14">
              <w:rPr>
                <w:rFonts w:cs="Arial"/>
                <w:sz w:val="15"/>
                <w:szCs w:val="15"/>
              </w:rPr>
              <w:t>891</w:t>
            </w:r>
          </w:p>
        </w:tc>
        <w:tc>
          <w:tcPr>
            <w:tcW w:w="1177" w:type="dxa"/>
            <w:shd w:val="clear" w:color="auto" w:fill="auto"/>
            <w:vAlign w:val="center"/>
            <w:hideMark/>
          </w:tcPr>
          <w:p w14:paraId="71EF493F" w14:textId="77777777" w:rsidR="00D60513" w:rsidRPr="00191E14" w:rsidRDefault="00D60513" w:rsidP="00A4484E">
            <w:pPr>
              <w:spacing w:after="0" w:line="240" w:lineRule="auto"/>
              <w:jc w:val="right"/>
              <w:rPr>
                <w:rFonts w:cs="Arial"/>
                <w:sz w:val="15"/>
                <w:szCs w:val="15"/>
              </w:rPr>
            </w:pPr>
            <w:r w:rsidRPr="00191E14">
              <w:rPr>
                <w:rFonts w:cs="Arial"/>
                <w:sz w:val="15"/>
                <w:szCs w:val="15"/>
              </w:rPr>
              <w:t>911</w:t>
            </w:r>
          </w:p>
        </w:tc>
        <w:tc>
          <w:tcPr>
            <w:tcW w:w="920" w:type="dxa"/>
            <w:shd w:val="clear" w:color="auto" w:fill="auto"/>
            <w:vAlign w:val="center"/>
            <w:hideMark/>
          </w:tcPr>
          <w:p w14:paraId="03D9FABD" w14:textId="77777777" w:rsidR="00D60513" w:rsidRPr="00191E14" w:rsidRDefault="00D60513" w:rsidP="00A4484E">
            <w:pPr>
              <w:spacing w:after="0" w:line="240" w:lineRule="auto"/>
              <w:jc w:val="right"/>
              <w:rPr>
                <w:rFonts w:cs="Arial"/>
                <w:sz w:val="15"/>
                <w:szCs w:val="15"/>
              </w:rPr>
            </w:pPr>
            <w:r w:rsidRPr="00191E14">
              <w:rPr>
                <w:rFonts w:cs="Arial"/>
                <w:sz w:val="15"/>
                <w:szCs w:val="15"/>
              </w:rPr>
              <w:t>1.823</w:t>
            </w:r>
          </w:p>
        </w:tc>
        <w:tc>
          <w:tcPr>
            <w:tcW w:w="1053" w:type="dxa"/>
            <w:shd w:val="clear" w:color="auto" w:fill="auto"/>
            <w:vAlign w:val="center"/>
            <w:hideMark/>
          </w:tcPr>
          <w:p w14:paraId="5C74DA15" w14:textId="77777777" w:rsidR="00D60513" w:rsidRPr="00191E14" w:rsidRDefault="00D60513" w:rsidP="00A4484E">
            <w:pPr>
              <w:spacing w:after="0" w:line="240" w:lineRule="auto"/>
              <w:jc w:val="right"/>
              <w:rPr>
                <w:rFonts w:cs="Arial"/>
                <w:sz w:val="15"/>
                <w:szCs w:val="15"/>
              </w:rPr>
            </w:pPr>
            <w:r w:rsidRPr="00191E14">
              <w:rPr>
                <w:rFonts w:cs="Arial"/>
                <w:sz w:val="15"/>
                <w:szCs w:val="15"/>
              </w:rPr>
              <w:t>1.824</w:t>
            </w:r>
          </w:p>
        </w:tc>
      </w:tr>
      <w:tr w:rsidR="008B4376" w:rsidRPr="00191E14" w14:paraId="4A504547" w14:textId="77777777" w:rsidTr="005660DE">
        <w:trPr>
          <w:cantSplit/>
          <w:trHeight w:val="171"/>
          <w:jc w:val="center"/>
        </w:trPr>
        <w:tc>
          <w:tcPr>
            <w:tcW w:w="6093" w:type="dxa"/>
            <w:shd w:val="clear" w:color="auto" w:fill="auto"/>
            <w:vAlign w:val="center"/>
            <w:hideMark/>
          </w:tcPr>
          <w:p w14:paraId="5567D883" w14:textId="77777777" w:rsidR="00D60513" w:rsidRPr="00191E14" w:rsidRDefault="00D60513" w:rsidP="00A4484E">
            <w:pPr>
              <w:spacing w:after="0" w:line="240" w:lineRule="auto"/>
              <w:jc w:val="left"/>
              <w:rPr>
                <w:rFonts w:cs="Arial"/>
                <w:sz w:val="15"/>
                <w:szCs w:val="15"/>
              </w:rPr>
            </w:pPr>
            <w:r w:rsidRPr="00191E14">
              <w:rPr>
                <w:rFonts w:cs="Arial"/>
                <w:sz w:val="15"/>
                <w:szCs w:val="15"/>
              </w:rPr>
              <w:t>Αντικριζόμενα έσοδα (καθαρά)</w:t>
            </w:r>
          </w:p>
        </w:tc>
        <w:tc>
          <w:tcPr>
            <w:tcW w:w="1115" w:type="dxa"/>
            <w:shd w:val="clear" w:color="auto" w:fill="auto"/>
            <w:vAlign w:val="center"/>
            <w:hideMark/>
          </w:tcPr>
          <w:p w14:paraId="0BE9F18F" w14:textId="77777777" w:rsidR="00D60513" w:rsidRPr="00191E14" w:rsidRDefault="00D60513" w:rsidP="00A4484E">
            <w:pPr>
              <w:spacing w:after="0" w:line="240" w:lineRule="auto"/>
              <w:jc w:val="right"/>
              <w:rPr>
                <w:rFonts w:cs="Arial"/>
                <w:sz w:val="15"/>
                <w:szCs w:val="15"/>
              </w:rPr>
            </w:pPr>
            <w:r w:rsidRPr="00191E14">
              <w:rPr>
                <w:rFonts w:cs="Arial"/>
                <w:sz w:val="15"/>
                <w:szCs w:val="15"/>
              </w:rPr>
              <w:t>-27</w:t>
            </w:r>
          </w:p>
        </w:tc>
        <w:tc>
          <w:tcPr>
            <w:tcW w:w="1177" w:type="dxa"/>
            <w:shd w:val="clear" w:color="auto" w:fill="auto"/>
            <w:vAlign w:val="center"/>
            <w:hideMark/>
          </w:tcPr>
          <w:p w14:paraId="28E4B7DE"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920" w:type="dxa"/>
            <w:shd w:val="clear" w:color="auto" w:fill="auto"/>
            <w:vAlign w:val="center"/>
            <w:hideMark/>
          </w:tcPr>
          <w:p w14:paraId="696E8CF9"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1053" w:type="dxa"/>
            <w:shd w:val="clear" w:color="auto" w:fill="auto"/>
            <w:vAlign w:val="center"/>
            <w:hideMark/>
          </w:tcPr>
          <w:p w14:paraId="512317AE"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r>
      <w:tr w:rsidR="008B4376" w:rsidRPr="00191E14" w14:paraId="28F5DBCD" w14:textId="77777777" w:rsidTr="005660DE">
        <w:trPr>
          <w:cantSplit/>
          <w:trHeight w:val="162"/>
          <w:jc w:val="center"/>
        </w:trPr>
        <w:tc>
          <w:tcPr>
            <w:tcW w:w="6093" w:type="dxa"/>
            <w:shd w:val="clear" w:color="auto" w:fill="auto"/>
            <w:vAlign w:val="center"/>
            <w:hideMark/>
          </w:tcPr>
          <w:p w14:paraId="047E912F"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Λοιπά έσοδα</w:t>
            </w:r>
          </w:p>
        </w:tc>
        <w:tc>
          <w:tcPr>
            <w:tcW w:w="1115" w:type="dxa"/>
            <w:shd w:val="clear" w:color="auto" w:fill="auto"/>
            <w:vAlign w:val="center"/>
            <w:hideMark/>
          </w:tcPr>
          <w:p w14:paraId="06946A21" w14:textId="77777777" w:rsidR="00D60513" w:rsidRPr="00191E14" w:rsidRDefault="00D60513" w:rsidP="00A4484E">
            <w:pPr>
              <w:spacing w:after="0" w:line="240" w:lineRule="auto"/>
              <w:jc w:val="right"/>
              <w:rPr>
                <w:rFonts w:cs="Arial"/>
                <w:sz w:val="15"/>
                <w:szCs w:val="15"/>
              </w:rPr>
            </w:pPr>
            <w:r w:rsidRPr="00191E14">
              <w:rPr>
                <w:rFonts w:cs="Arial"/>
                <w:sz w:val="15"/>
                <w:szCs w:val="15"/>
              </w:rPr>
              <w:t>181</w:t>
            </w:r>
          </w:p>
        </w:tc>
        <w:tc>
          <w:tcPr>
            <w:tcW w:w="1177" w:type="dxa"/>
            <w:shd w:val="clear" w:color="auto" w:fill="auto"/>
            <w:vAlign w:val="center"/>
            <w:hideMark/>
          </w:tcPr>
          <w:p w14:paraId="06B8345B" w14:textId="77777777" w:rsidR="00D60513" w:rsidRPr="00191E14" w:rsidRDefault="00D60513" w:rsidP="00A4484E">
            <w:pPr>
              <w:spacing w:after="0" w:line="240" w:lineRule="auto"/>
              <w:jc w:val="right"/>
              <w:rPr>
                <w:rFonts w:cs="Arial"/>
                <w:sz w:val="15"/>
                <w:szCs w:val="15"/>
              </w:rPr>
            </w:pPr>
            <w:r w:rsidRPr="00191E14">
              <w:rPr>
                <w:rFonts w:cs="Arial"/>
                <w:sz w:val="15"/>
                <w:szCs w:val="15"/>
              </w:rPr>
              <w:t>152</w:t>
            </w:r>
          </w:p>
        </w:tc>
        <w:tc>
          <w:tcPr>
            <w:tcW w:w="920" w:type="dxa"/>
            <w:shd w:val="clear" w:color="auto" w:fill="auto"/>
            <w:vAlign w:val="center"/>
            <w:hideMark/>
          </w:tcPr>
          <w:p w14:paraId="63BD3BA8" w14:textId="77777777" w:rsidR="00D60513" w:rsidRPr="00191E14" w:rsidRDefault="00D60513" w:rsidP="00A4484E">
            <w:pPr>
              <w:spacing w:after="0" w:line="240" w:lineRule="auto"/>
              <w:jc w:val="right"/>
              <w:rPr>
                <w:rFonts w:cs="Arial"/>
                <w:sz w:val="15"/>
                <w:szCs w:val="15"/>
              </w:rPr>
            </w:pPr>
            <w:r w:rsidRPr="00191E14">
              <w:rPr>
                <w:rFonts w:cs="Arial"/>
                <w:sz w:val="15"/>
                <w:szCs w:val="15"/>
              </w:rPr>
              <w:t>188</w:t>
            </w:r>
          </w:p>
        </w:tc>
        <w:tc>
          <w:tcPr>
            <w:tcW w:w="1053" w:type="dxa"/>
            <w:shd w:val="clear" w:color="auto" w:fill="auto"/>
            <w:vAlign w:val="center"/>
            <w:hideMark/>
          </w:tcPr>
          <w:p w14:paraId="6DA68980" w14:textId="77777777" w:rsidR="00D60513" w:rsidRPr="00191E14" w:rsidRDefault="00D60513" w:rsidP="00A4484E">
            <w:pPr>
              <w:spacing w:after="0" w:line="240" w:lineRule="auto"/>
              <w:jc w:val="right"/>
              <w:rPr>
                <w:rFonts w:cs="Arial"/>
                <w:sz w:val="15"/>
                <w:szCs w:val="15"/>
              </w:rPr>
            </w:pPr>
            <w:r w:rsidRPr="00191E14">
              <w:rPr>
                <w:rFonts w:cs="Arial"/>
                <w:sz w:val="15"/>
                <w:szCs w:val="15"/>
              </w:rPr>
              <w:t>193</w:t>
            </w:r>
          </w:p>
        </w:tc>
      </w:tr>
      <w:tr w:rsidR="008B4376" w:rsidRPr="00191E14" w14:paraId="37D5F01E" w14:textId="77777777" w:rsidTr="005660DE">
        <w:trPr>
          <w:cantSplit/>
          <w:trHeight w:val="171"/>
          <w:jc w:val="center"/>
        </w:trPr>
        <w:tc>
          <w:tcPr>
            <w:tcW w:w="6093" w:type="dxa"/>
            <w:shd w:val="clear" w:color="auto" w:fill="auto"/>
            <w:vAlign w:val="center"/>
            <w:hideMark/>
          </w:tcPr>
          <w:p w14:paraId="7AFE1B50" w14:textId="77777777" w:rsidR="00D60513" w:rsidRPr="00191E14" w:rsidRDefault="00D60513" w:rsidP="00A4484E">
            <w:pPr>
              <w:spacing w:after="0" w:line="240" w:lineRule="auto"/>
              <w:jc w:val="left"/>
              <w:rPr>
                <w:rFonts w:cs="Arial"/>
                <w:b/>
                <w:bCs/>
                <w:sz w:val="15"/>
                <w:szCs w:val="15"/>
              </w:rPr>
            </w:pPr>
            <w:r w:rsidRPr="00191E14">
              <w:rPr>
                <w:rFonts w:cs="Arial"/>
                <w:b/>
                <w:bCs/>
                <w:sz w:val="15"/>
                <w:szCs w:val="15"/>
              </w:rPr>
              <w:t>Έξοδα</w:t>
            </w:r>
          </w:p>
        </w:tc>
        <w:tc>
          <w:tcPr>
            <w:tcW w:w="1115" w:type="dxa"/>
            <w:shd w:val="clear" w:color="auto" w:fill="auto"/>
            <w:vAlign w:val="center"/>
            <w:hideMark/>
          </w:tcPr>
          <w:p w14:paraId="016AD61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3.927</w:t>
            </w:r>
          </w:p>
        </w:tc>
        <w:tc>
          <w:tcPr>
            <w:tcW w:w="1177" w:type="dxa"/>
            <w:shd w:val="clear" w:color="auto" w:fill="auto"/>
            <w:vAlign w:val="center"/>
            <w:hideMark/>
          </w:tcPr>
          <w:p w14:paraId="7AA3AD9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3.981</w:t>
            </w:r>
          </w:p>
        </w:tc>
        <w:tc>
          <w:tcPr>
            <w:tcW w:w="920" w:type="dxa"/>
            <w:shd w:val="clear" w:color="auto" w:fill="auto"/>
            <w:vAlign w:val="center"/>
            <w:hideMark/>
          </w:tcPr>
          <w:p w14:paraId="744711AE"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4.330</w:t>
            </w:r>
          </w:p>
        </w:tc>
        <w:tc>
          <w:tcPr>
            <w:tcW w:w="1053" w:type="dxa"/>
            <w:shd w:val="clear" w:color="auto" w:fill="auto"/>
            <w:vAlign w:val="center"/>
            <w:hideMark/>
          </w:tcPr>
          <w:p w14:paraId="657E42C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4.318</w:t>
            </w:r>
          </w:p>
        </w:tc>
      </w:tr>
      <w:tr w:rsidR="008B4376" w:rsidRPr="00191E14" w14:paraId="2F3689CC" w14:textId="77777777" w:rsidTr="005660DE">
        <w:trPr>
          <w:cantSplit/>
          <w:trHeight w:val="171"/>
          <w:jc w:val="center"/>
        </w:trPr>
        <w:tc>
          <w:tcPr>
            <w:tcW w:w="6093" w:type="dxa"/>
            <w:shd w:val="clear" w:color="auto" w:fill="auto"/>
            <w:vAlign w:val="center"/>
            <w:hideMark/>
          </w:tcPr>
          <w:p w14:paraId="25697E79" w14:textId="68D920C7" w:rsidR="00D60513" w:rsidRPr="00191E14" w:rsidRDefault="00D60513" w:rsidP="00A4484E">
            <w:pPr>
              <w:spacing w:after="0" w:line="240" w:lineRule="auto"/>
              <w:jc w:val="left"/>
              <w:rPr>
                <w:rFonts w:cs="Arial"/>
                <w:sz w:val="15"/>
                <w:szCs w:val="15"/>
              </w:rPr>
            </w:pPr>
            <w:r w:rsidRPr="00191E14">
              <w:rPr>
                <w:rFonts w:cs="Arial"/>
                <w:sz w:val="15"/>
                <w:szCs w:val="15"/>
              </w:rPr>
              <w:t xml:space="preserve">Παροχές σε </w:t>
            </w:r>
            <w:r w:rsidR="00191E14">
              <w:rPr>
                <w:rFonts w:cs="Arial"/>
                <w:sz w:val="15"/>
                <w:szCs w:val="15"/>
              </w:rPr>
              <w:t>ε</w:t>
            </w:r>
            <w:r w:rsidRPr="00191E14">
              <w:rPr>
                <w:rFonts w:cs="Arial"/>
                <w:sz w:val="15"/>
                <w:szCs w:val="15"/>
              </w:rPr>
              <w:t>ργαζόμενους</w:t>
            </w:r>
          </w:p>
        </w:tc>
        <w:tc>
          <w:tcPr>
            <w:tcW w:w="1115" w:type="dxa"/>
            <w:shd w:val="clear" w:color="auto" w:fill="auto"/>
            <w:vAlign w:val="center"/>
            <w:hideMark/>
          </w:tcPr>
          <w:p w14:paraId="5B25BE0C" w14:textId="77777777" w:rsidR="00D60513" w:rsidRPr="00191E14" w:rsidRDefault="00D60513" w:rsidP="00A4484E">
            <w:pPr>
              <w:spacing w:after="0" w:line="240" w:lineRule="auto"/>
              <w:jc w:val="right"/>
              <w:rPr>
                <w:rFonts w:cs="Arial"/>
                <w:sz w:val="15"/>
                <w:szCs w:val="15"/>
              </w:rPr>
            </w:pPr>
            <w:r w:rsidRPr="00191E14">
              <w:rPr>
                <w:rFonts w:cs="Arial"/>
                <w:sz w:val="15"/>
                <w:szCs w:val="15"/>
              </w:rPr>
              <w:t>834</w:t>
            </w:r>
          </w:p>
        </w:tc>
        <w:tc>
          <w:tcPr>
            <w:tcW w:w="1177" w:type="dxa"/>
            <w:shd w:val="clear" w:color="auto" w:fill="auto"/>
            <w:vAlign w:val="center"/>
            <w:hideMark/>
          </w:tcPr>
          <w:p w14:paraId="51F8C73F" w14:textId="77777777" w:rsidR="00D60513" w:rsidRPr="00191E14" w:rsidRDefault="00D60513" w:rsidP="00A4484E">
            <w:pPr>
              <w:spacing w:after="0" w:line="240" w:lineRule="auto"/>
              <w:jc w:val="right"/>
              <w:rPr>
                <w:rFonts w:cs="Arial"/>
                <w:sz w:val="15"/>
                <w:szCs w:val="15"/>
              </w:rPr>
            </w:pPr>
            <w:r w:rsidRPr="00191E14">
              <w:rPr>
                <w:rFonts w:cs="Arial"/>
                <w:sz w:val="15"/>
                <w:szCs w:val="15"/>
              </w:rPr>
              <w:t>898</w:t>
            </w:r>
          </w:p>
        </w:tc>
        <w:tc>
          <w:tcPr>
            <w:tcW w:w="920" w:type="dxa"/>
            <w:shd w:val="clear" w:color="auto" w:fill="auto"/>
            <w:vAlign w:val="center"/>
            <w:hideMark/>
          </w:tcPr>
          <w:p w14:paraId="5000A383" w14:textId="77777777" w:rsidR="00D60513" w:rsidRPr="00191E14" w:rsidRDefault="00D60513" w:rsidP="00A4484E">
            <w:pPr>
              <w:spacing w:after="0" w:line="240" w:lineRule="auto"/>
              <w:jc w:val="right"/>
              <w:rPr>
                <w:rFonts w:cs="Arial"/>
                <w:sz w:val="15"/>
                <w:szCs w:val="15"/>
              </w:rPr>
            </w:pPr>
            <w:r w:rsidRPr="00191E14">
              <w:rPr>
                <w:rFonts w:cs="Arial"/>
                <w:sz w:val="15"/>
                <w:szCs w:val="15"/>
              </w:rPr>
              <w:t>825</w:t>
            </w:r>
          </w:p>
        </w:tc>
        <w:tc>
          <w:tcPr>
            <w:tcW w:w="1053" w:type="dxa"/>
            <w:shd w:val="clear" w:color="auto" w:fill="auto"/>
            <w:vAlign w:val="center"/>
            <w:hideMark/>
          </w:tcPr>
          <w:p w14:paraId="438DBA72" w14:textId="77777777" w:rsidR="00D60513" w:rsidRPr="00191E14" w:rsidRDefault="00D60513" w:rsidP="00A4484E">
            <w:pPr>
              <w:spacing w:after="0" w:line="240" w:lineRule="auto"/>
              <w:jc w:val="right"/>
              <w:rPr>
                <w:rFonts w:cs="Arial"/>
                <w:sz w:val="15"/>
                <w:szCs w:val="15"/>
              </w:rPr>
            </w:pPr>
            <w:r w:rsidRPr="00191E14">
              <w:rPr>
                <w:rFonts w:cs="Arial"/>
                <w:sz w:val="15"/>
                <w:szCs w:val="15"/>
              </w:rPr>
              <w:t>801</w:t>
            </w:r>
          </w:p>
        </w:tc>
      </w:tr>
      <w:tr w:rsidR="008B4376" w:rsidRPr="00191E14" w14:paraId="2FB9DD22" w14:textId="77777777" w:rsidTr="005660DE">
        <w:trPr>
          <w:cantSplit/>
          <w:trHeight w:val="171"/>
          <w:jc w:val="center"/>
        </w:trPr>
        <w:tc>
          <w:tcPr>
            <w:tcW w:w="6093" w:type="dxa"/>
            <w:shd w:val="clear" w:color="auto" w:fill="auto"/>
            <w:vAlign w:val="center"/>
            <w:hideMark/>
          </w:tcPr>
          <w:p w14:paraId="5A511D8A" w14:textId="77777777" w:rsidR="00D60513" w:rsidRPr="00191E14" w:rsidRDefault="00D60513" w:rsidP="00A4484E">
            <w:pPr>
              <w:spacing w:after="0" w:line="240" w:lineRule="auto"/>
              <w:jc w:val="left"/>
              <w:rPr>
                <w:rFonts w:cs="Arial"/>
                <w:sz w:val="15"/>
                <w:szCs w:val="15"/>
              </w:rPr>
            </w:pPr>
            <w:r w:rsidRPr="00191E14">
              <w:rPr>
                <w:rFonts w:cs="Arial"/>
                <w:sz w:val="15"/>
                <w:szCs w:val="15"/>
              </w:rPr>
              <w:t>Τόκοι χρεωστικοί</w:t>
            </w:r>
          </w:p>
        </w:tc>
        <w:tc>
          <w:tcPr>
            <w:tcW w:w="1115" w:type="dxa"/>
            <w:shd w:val="clear" w:color="auto" w:fill="auto"/>
            <w:vAlign w:val="center"/>
            <w:hideMark/>
          </w:tcPr>
          <w:p w14:paraId="74E72D71"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1177" w:type="dxa"/>
            <w:shd w:val="clear" w:color="auto" w:fill="auto"/>
            <w:vAlign w:val="center"/>
            <w:hideMark/>
          </w:tcPr>
          <w:p w14:paraId="63C740FC"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920" w:type="dxa"/>
            <w:shd w:val="clear" w:color="auto" w:fill="auto"/>
            <w:vAlign w:val="center"/>
            <w:hideMark/>
          </w:tcPr>
          <w:p w14:paraId="6E14E3FA"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1053" w:type="dxa"/>
            <w:shd w:val="clear" w:color="auto" w:fill="auto"/>
            <w:vAlign w:val="center"/>
            <w:hideMark/>
          </w:tcPr>
          <w:p w14:paraId="327AE542"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r>
      <w:tr w:rsidR="008B4376" w:rsidRPr="00191E14" w14:paraId="0E790635" w14:textId="77777777" w:rsidTr="005660DE">
        <w:trPr>
          <w:cantSplit/>
          <w:trHeight w:val="162"/>
          <w:jc w:val="center"/>
        </w:trPr>
        <w:tc>
          <w:tcPr>
            <w:tcW w:w="6093" w:type="dxa"/>
            <w:shd w:val="clear" w:color="auto" w:fill="auto"/>
            <w:vAlign w:val="center"/>
            <w:hideMark/>
          </w:tcPr>
          <w:p w14:paraId="0865381F"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Λοιπά έξοδα</w:t>
            </w:r>
          </w:p>
        </w:tc>
        <w:tc>
          <w:tcPr>
            <w:tcW w:w="1115" w:type="dxa"/>
            <w:shd w:val="clear" w:color="auto" w:fill="auto"/>
            <w:vAlign w:val="center"/>
            <w:hideMark/>
          </w:tcPr>
          <w:p w14:paraId="2E26BDC7" w14:textId="77777777" w:rsidR="00D60513" w:rsidRPr="00191E14" w:rsidRDefault="00D60513" w:rsidP="00A4484E">
            <w:pPr>
              <w:spacing w:after="0" w:line="240" w:lineRule="auto"/>
              <w:jc w:val="right"/>
              <w:rPr>
                <w:rFonts w:cs="Arial"/>
                <w:sz w:val="15"/>
                <w:szCs w:val="15"/>
              </w:rPr>
            </w:pPr>
            <w:r w:rsidRPr="00191E14">
              <w:rPr>
                <w:rFonts w:cs="Arial"/>
                <w:sz w:val="15"/>
                <w:szCs w:val="15"/>
              </w:rPr>
              <w:t>2.935</w:t>
            </w:r>
          </w:p>
        </w:tc>
        <w:tc>
          <w:tcPr>
            <w:tcW w:w="1177" w:type="dxa"/>
            <w:shd w:val="clear" w:color="auto" w:fill="auto"/>
            <w:vAlign w:val="center"/>
            <w:hideMark/>
          </w:tcPr>
          <w:p w14:paraId="1F4B3DD5" w14:textId="77777777" w:rsidR="00D60513" w:rsidRPr="00191E14" w:rsidRDefault="00D60513" w:rsidP="00A4484E">
            <w:pPr>
              <w:spacing w:after="0" w:line="240" w:lineRule="auto"/>
              <w:jc w:val="right"/>
              <w:rPr>
                <w:rFonts w:cs="Arial"/>
                <w:sz w:val="15"/>
                <w:szCs w:val="15"/>
              </w:rPr>
            </w:pPr>
            <w:r w:rsidRPr="00191E14">
              <w:rPr>
                <w:rFonts w:cs="Arial"/>
                <w:sz w:val="15"/>
                <w:szCs w:val="15"/>
              </w:rPr>
              <w:t>2.784</w:t>
            </w:r>
          </w:p>
        </w:tc>
        <w:tc>
          <w:tcPr>
            <w:tcW w:w="920" w:type="dxa"/>
            <w:shd w:val="clear" w:color="auto" w:fill="auto"/>
            <w:vAlign w:val="center"/>
            <w:hideMark/>
          </w:tcPr>
          <w:p w14:paraId="248FD33F" w14:textId="77777777" w:rsidR="00D60513" w:rsidRPr="00191E14" w:rsidRDefault="00D60513" w:rsidP="00A4484E">
            <w:pPr>
              <w:spacing w:after="0" w:line="240" w:lineRule="auto"/>
              <w:jc w:val="right"/>
              <w:rPr>
                <w:rFonts w:cs="Arial"/>
                <w:sz w:val="15"/>
                <w:szCs w:val="15"/>
              </w:rPr>
            </w:pPr>
            <w:r w:rsidRPr="00191E14">
              <w:rPr>
                <w:rFonts w:cs="Arial"/>
                <w:sz w:val="15"/>
                <w:szCs w:val="15"/>
              </w:rPr>
              <w:t>3.218</w:t>
            </w:r>
          </w:p>
        </w:tc>
        <w:tc>
          <w:tcPr>
            <w:tcW w:w="1053" w:type="dxa"/>
            <w:shd w:val="clear" w:color="auto" w:fill="auto"/>
            <w:vAlign w:val="center"/>
            <w:hideMark/>
          </w:tcPr>
          <w:p w14:paraId="3CA7DA93" w14:textId="77777777" w:rsidR="00D60513" w:rsidRPr="00191E14" w:rsidRDefault="00D60513" w:rsidP="00A4484E">
            <w:pPr>
              <w:spacing w:after="0" w:line="240" w:lineRule="auto"/>
              <w:jc w:val="right"/>
              <w:rPr>
                <w:rFonts w:cs="Arial"/>
                <w:sz w:val="15"/>
                <w:szCs w:val="15"/>
              </w:rPr>
            </w:pPr>
            <w:r w:rsidRPr="00191E14">
              <w:rPr>
                <w:rFonts w:cs="Arial"/>
                <w:sz w:val="15"/>
                <w:szCs w:val="15"/>
              </w:rPr>
              <w:t>3.154</w:t>
            </w:r>
          </w:p>
        </w:tc>
      </w:tr>
      <w:tr w:rsidR="008B4376" w:rsidRPr="00191E14" w14:paraId="3463AE6D" w14:textId="77777777" w:rsidTr="005660DE">
        <w:trPr>
          <w:cantSplit/>
          <w:trHeight w:val="171"/>
          <w:jc w:val="center"/>
        </w:trPr>
        <w:tc>
          <w:tcPr>
            <w:tcW w:w="6093" w:type="dxa"/>
            <w:shd w:val="clear" w:color="auto" w:fill="auto"/>
            <w:vAlign w:val="center"/>
            <w:hideMark/>
          </w:tcPr>
          <w:p w14:paraId="53EFD9B2" w14:textId="77777777" w:rsidR="00D60513" w:rsidRPr="00191E14" w:rsidRDefault="00D60513" w:rsidP="00A4484E">
            <w:pPr>
              <w:spacing w:after="0" w:line="240" w:lineRule="auto"/>
              <w:jc w:val="left"/>
              <w:rPr>
                <w:rFonts w:cs="Arial"/>
                <w:sz w:val="15"/>
                <w:szCs w:val="15"/>
              </w:rPr>
            </w:pPr>
            <w:r w:rsidRPr="00191E14">
              <w:rPr>
                <w:rFonts w:cs="Arial"/>
                <w:sz w:val="15"/>
                <w:szCs w:val="15"/>
              </w:rPr>
              <w:t>Επενδυτικές δαπάνες</w:t>
            </w:r>
          </w:p>
        </w:tc>
        <w:tc>
          <w:tcPr>
            <w:tcW w:w="1115" w:type="dxa"/>
            <w:shd w:val="clear" w:color="auto" w:fill="auto"/>
            <w:vAlign w:val="center"/>
            <w:hideMark/>
          </w:tcPr>
          <w:p w14:paraId="337F7594" w14:textId="77777777" w:rsidR="00D60513" w:rsidRPr="00191E14" w:rsidRDefault="00D60513" w:rsidP="00A4484E">
            <w:pPr>
              <w:spacing w:after="0" w:line="240" w:lineRule="auto"/>
              <w:jc w:val="right"/>
              <w:rPr>
                <w:rFonts w:cs="Arial"/>
                <w:sz w:val="15"/>
                <w:szCs w:val="15"/>
              </w:rPr>
            </w:pPr>
            <w:r w:rsidRPr="00191E14">
              <w:rPr>
                <w:rFonts w:cs="Arial"/>
                <w:sz w:val="15"/>
                <w:szCs w:val="15"/>
              </w:rPr>
              <w:t>158</w:t>
            </w:r>
          </w:p>
        </w:tc>
        <w:tc>
          <w:tcPr>
            <w:tcW w:w="1177" w:type="dxa"/>
            <w:shd w:val="clear" w:color="auto" w:fill="auto"/>
            <w:vAlign w:val="center"/>
            <w:hideMark/>
          </w:tcPr>
          <w:p w14:paraId="3BCE8888" w14:textId="77777777" w:rsidR="00D60513" w:rsidRPr="00191E14" w:rsidRDefault="00D60513" w:rsidP="00A4484E">
            <w:pPr>
              <w:spacing w:after="0" w:line="240" w:lineRule="auto"/>
              <w:jc w:val="right"/>
              <w:rPr>
                <w:rFonts w:cs="Arial"/>
                <w:sz w:val="15"/>
                <w:szCs w:val="15"/>
              </w:rPr>
            </w:pPr>
            <w:r w:rsidRPr="00191E14">
              <w:rPr>
                <w:rFonts w:cs="Arial"/>
                <w:sz w:val="15"/>
                <w:szCs w:val="15"/>
              </w:rPr>
              <w:t>299</w:t>
            </w:r>
          </w:p>
        </w:tc>
        <w:tc>
          <w:tcPr>
            <w:tcW w:w="920" w:type="dxa"/>
            <w:shd w:val="clear" w:color="auto" w:fill="auto"/>
            <w:vAlign w:val="center"/>
            <w:hideMark/>
          </w:tcPr>
          <w:p w14:paraId="7D58941B" w14:textId="77777777" w:rsidR="00D60513" w:rsidRPr="00191E14" w:rsidRDefault="00D60513" w:rsidP="00A4484E">
            <w:pPr>
              <w:spacing w:after="0" w:line="240" w:lineRule="auto"/>
              <w:jc w:val="right"/>
              <w:rPr>
                <w:rFonts w:cs="Arial"/>
                <w:sz w:val="15"/>
                <w:szCs w:val="15"/>
              </w:rPr>
            </w:pPr>
            <w:r w:rsidRPr="00191E14">
              <w:rPr>
                <w:rFonts w:cs="Arial"/>
                <w:sz w:val="15"/>
                <w:szCs w:val="15"/>
              </w:rPr>
              <w:t>288</w:t>
            </w:r>
          </w:p>
        </w:tc>
        <w:tc>
          <w:tcPr>
            <w:tcW w:w="1053" w:type="dxa"/>
            <w:shd w:val="clear" w:color="auto" w:fill="auto"/>
            <w:vAlign w:val="center"/>
            <w:hideMark/>
          </w:tcPr>
          <w:p w14:paraId="4A36D3AF" w14:textId="77777777" w:rsidR="00D60513" w:rsidRPr="00191E14" w:rsidRDefault="00D60513" w:rsidP="00A4484E">
            <w:pPr>
              <w:spacing w:after="0" w:line="240" w:lineRule="auto"/>
              <w:jc w:val="right"/>
              <w:rPr>
                <w:rFonts w:cs="Arial"/>
                <w:sz w:val="15"/>
                <w:szCs w:val="15"/>
              </w:rPr>
            </w:pPr>
            <w:r w:rsidRPr="00191E14">
              <w:rPr>
                <w:rFonts w:cs="Arial"/>
                <w:sz w:val="15"/>
                <w:szCs w:val="15"/>
              </w:rPr>
              <w:t>363</w:t>
            </w:r>
          </w:p>
        </w:tc>
      </w:tr>
      <w:tr w:rsidR="00BB202B" w:rsidRPr="00191E14" w14:paraId="2C154F06" w14:textId="77777777" w:rsidTr="005660DE">
        <w:trPr>
          <w:cantSplit/>
          <w:trHeight w:val="171"/>
          <w:jc w:val="center"/>
        </w:trPr>
        <w:tc>
          <w:tcPr>
            <w:tcW w:w="6093" w:type="dxa"/>
            <w:shd w:val="clear" w:color="auto" w:fill="D5DCE4"/>
            <w:vAlign w:val="center"/>
            <w:hideMark/>
          </w:tcPr>
          <w:p w14:paraId="3879F1C6" w14:textId="306145D0"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VΙΙ.</w:t>
            </w:r>
            <w:r w:rsidR="008B4376" w:rsidRPr="00191E14">
              <w:rPr>
                <w:rFonts w:cs="Arial"/>
                <w:b/>
                <w:bCs/>
                <w:sz w:val="15"/>
                <w:szCs w:val="15"/>
              </w:rPr>
              <w:tab/>
            </w:r>
            <w:r w:rsidRPr="00191E14">
              <w:rPr>
                <w:rFonts w:cs="Arial"/>
                <w:b/>
                <w:bCs/>
                <w:sz w:val="15"/>
                <w:szCs w:val="15"/>
              </w:rPr>
              <w:t>Ισοζύγιο Κεντρικής Κυβέρνησης κατά ESA (ΙII+V+VΙ)</w:t>
            </w:r>
          </w:p>
        </w:tc>
        <w:tc>
          <w:tcPr>
            <w:tcW w:w="1115" w:type="dxa"/>
            <w:shd w:val="clear" w:color="auto" w:fill="D5DCE4"/>
            <w:vAlign w:val="center"/>
            <w:hideMark/>
          </w:tcPr>
          <w:p w14:paraId="393D1458"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1.830</w:t>
            </w:r>
          </w:p>
        </w:tc>
        <w:tc>
          <w:tcPr>
            <w:tcW w:w="1177" w:type="dxa"/>
            <w:shd w:val="clear" w:color="auto" w:fill="D5DCE4"/>
            <w:vAlign w:val="center"/>
            <w:hideMark/>
          </w:tcPr>
          <w:p w14:paraId="77423E85"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-2.121</w:t>
            </w:r>
          </w:p>
        </w:tc>
        <w:tc>
          <w:tcPr>
            <w:tcW w:w="920" w:type="dxa"/>
            <w:shd w:val="clear" w:color="auto" w:fill="D5DCE4"/>
            <w:vAlign w:val="center"/>
            <w:hideMark/>
          </w:tcPr>
          <w:p w14:paraId="43656A4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-590</w:t>
            </w:r>
          </w:p>
        </w:tc>
        <w:tc>
          <w:tcPr>
            <w:tcW w:w="1053" w:type="dxa"/>
            <w:shd w:val="clear" w:color="auto" w:fill="D5DCE4"/>
            <w:vAlign w:val="center"/>
            <w:hideMark/>
          </w:tcPr>
          <w:p w14:paraId="24AA15D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-2.397</w:t>
            </w:r>
          </w:p>
        </w:tc>
      </w:tr>
      <w:tr w:rsidR="00BB202B" w:rsidRPr="00191E14" w14:paraId="1F80E11D" w14:textId="77777777" w:rsidTr="005660DE">
        <w:trPr>
          <w:cantSplit/>
          <w:trHeight w:val="162"/>
          <w:jc w:val="center"/>
        </w:trPr>
        <w:tc>
          <w:tcPr>
            <w:tcW w:w="6093" w:type="dxa"/>
            <w:shd w:val="clear" w:color="auto" w:fill="D5DCE4"/>
            <w:vAlign w:val="center"/>
            <w:hideMark/>
          </w:tcPr>
          <w:p w14:paraId="56679015" w14:textId="3961324D"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VIII.</w:t>
            </w:r>
            <w:r w:rsidR="008B4376" w:rsidRPr="00191E14">
              <w:rPr>
                <w:rFonts w:cs="Arial"/>
                <w:b/>
                <w:bCs/>
                <w:sz w:val="15"/>
                <w:szCs w:val="15"/>
              </w:rPr>
              <w:tab/>
            </w:r>
            <w:r w:rsidRPr="00191E14">
              <w:rPr>
                <w:rFonts w:cs="Arial"/>
                <w:b/>
                <w:bCs/>
                <w:sz w:val="15"/>
                <w:szCs w:val="15"/>
              </w:rPr>
              <w:t>Ισοζύγιο OΤΑ κατά ESA</w:t>
            </w:r>
          </w:p>
        </w:tc>
        <w:tc>
          <w:tcPr>
            <w:tcW w:w="1115" w:type="dxa"/>
            <w:shd w:val="clear" w:color="auto" w:fill="D5DCE4"/>
            <w:vAlign w:val="center"/>
            <w:hideMark/>
          </w:tcPr>
          <w:p w14:paraId="5E0F4B7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31</w:t>
            </w:r>
          </w:p>
        </w:tc>
        <w:tc>
          <w:tcPr>
            <w:tcW w:w="1177" w:type="dxa"/>
            <w:shd w:val="clear" w:color="auto" w:fill="D5DCE4"/>
            <w:vAlign w:val="center"/>
            <w:hideMark/>
          </w:tcPr>
          <w:p w14:paraId="0BD02720"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-300</w:t>
            </w:r>
          </w:p>
        </w:tc>
        <w:tc>
          <w:tcPr>
            <w:tcW w:w="920" w:type="dxa"/>
            <w:shd w:val="clear" w:color="auto" w:fill="D5DCE4"/>
            <w:vAlign w:val="center"/>
            <w:hideMark/>
          </w:tcPr>
          <w:p w14:paraId="4B799DE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67</w:t>
            </w:r>
          </w:p>
        </w:tc>
        <w:tc>
          <w:tcPr>
            <w:tcW w:w="1053" w:type="dxa"/>
            <w:shd w:val="clear" w:color="auto" w:fill="D5DCE4"/>
            <w:vAlign w:val="center"/>
            <w:hideMark/>
          </w:tcPr>
          <w:p w14:paraId="13AAEE3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106</w:t>
            </w:r>
          </w:p>
        </w:tc>
      </w:tr>
      <w:tr w:rsidR="008B4376" w:rsidRPr="00191E14" w14:paraId="52F85DBB" w14:textId="77777777" w:rsidTr="005660DE">
        <w:trPr>
          <w:cantSplit/>
          <w:trHeight w:val="171"/>
          <w:jc w:val="center"/>
        </w:trPr>
        <w:tc>
          <w:tcPr>
            <w:tcW w:w="6093" w:type="dxa"/>
            <w:shd w:val="clear" w:color="auto" w:fill="auto"/>
            <w:vAlign w:val="center"/>
            <w:hideMark/>
          </w:tcPr>
          <w:p w14:paraId="2E48CD0F" w14:textId="77777777" w:rsidR="00D60513" w:rsidRPr="00191E14" w:rsidRDefault="00D60513" w:rsidP="00A4484E">
            <w:pPr>
              <w:spacing w:after="0" w:line="240" w:lineRule="auto"/>
              <w:jc w:val="left"/>
              <w:rPr>
                <w:rFonts w:cs="Arial"/>
                <w:b/>
                <w:bCs/>
                <w:sz w:val="15"/>
                <w:szCs w:val="15"/>
              </w:rPr>
            </w:pPr>
            <w:r w:rsidRPr="00191E14">
              <w:rPr>
                <w:rFonts w:cs="Arial"/>
                <w:b/>
                <w:bCs/>
                <w:sz w:val="15"/>
                <w:szCs w:val="15"/>
              </w:rPr>
              <w:t>Έσοδα</w:t>
            </w:r>
          </w:p>
        </w:tc>
        <w:tc>
          <w:tcPr>
            <w:tcW w:w="1115" w:type="dxa"/>
            <w:shd w:val="clear" w:color="auto" w:fill="auto"/>
            <w:vAlign w:val="center"/>
            <w:hideMark/>
          </w:tcPr>
          <w:p w14:paraId="39EF82C7"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9.183</w:t>
            </w:r>
          </w:p>
        </w:tc>
        <w:tc>
          <w:tcPr>
            <w:tcW w:w="1177" w:type="dxa"/>
            <w:shd w:val="clear" w:color="auto" w:fill="auto"/>
            <w:vAlign w:val="center"/>
            <w:hideMark/>
          </w:tcPr>
          <w:p w14:paraId="3478ED5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9.217</w:t>
            </w:r>
          </w:p>
        </w:tc>
        <w:tc>
          <w:tcPr>
            <w:tcW w:w="920" w:type="dxa"/>
            <w:shd w:val="clear" w:color="auto" w:fill="auto"/>
            <w:vAlign w:val="center"/>
            <w:hideMark/>
          </w:tcPr>
          <w:p w14:paraId="1E356B9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9.586</w:t>
            </w:r>
          </w:p>
        </w:tc>
        <w:tc>
          <w:tcPr>
            <w:tcW w:w="1053" w:type="dxa"/>
            <w:shd w:val="clear" w:color="auto" w:fill="auto"/>
            <w:vAlign w:val="center"/>
            <w:hideMark/>
          </w:tcPr>
          <w:p w14:paraId="026E0D1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9.888</w:t>
            </w:r>
          </w:p>
        </w:tc>
      </w:tr>
      <w:tr w:rsidR="008B4376" w:rsidRPr="00191E14" w14:paraId="0A0FD734" w14:textId="77777777" w:rsidTr="005660DE">
        <w:trPr>
          <w:cantSplit/>
          <w:trHeight w:val="171"/>
          <w:jc w:val="center"/>
        </w:trPr>
        <w:tc>
          <w:tcPr>
            <w:tcW w:w="6093" w:type="dxa"/>
            <w:shd w:val="clear" w:color="auto" w:fill="auto"/>
            <w:vAlign w:val="center"/>
            <w:hideMark/>
          </w:tcPr>
          <w:p w14:paraId="1D30A1E2" w14:textId="7DAE5C5A" w:rsidR="00D60513" w:rsidRPr="00191E14" w:rsidRDefault="00D60513" w:rsidP="00A4484E">
            <w:pPr>
              <w:spacing w:after="0" w:line="240" w:lineRule="auto"/>
              <w:jc w:val="left"/>
              <w:rPr>
                <w:rFonts w:cs="Arial"/>
                <w:sz w:val="15"/>
                <w:szCs w:val="15"/>
              </w:rPr>
            </w:pPr>
            <w:r w:rsidRPr="00191E14">
              <w:rPr>
                <w:rFonts w:cs="Arial"/>
                <w:sz w:val="15"/>
                <w:szCs w:val="15"/>
              </w:rPr>
              <w:t xml:space="preserve">Τρέχουσες </w:t>
            </w:r>
            <w:r w:rsidR="00191E14">
              <w:rPr>
                <w:rFonts w:cs="Arial"/>
                <w:sz w:val="15"/>
                <w:szCs w:val="15"/>
              </w:rPr>
              <w:t>και</w:t>
            </w:r>
            <w:r w:rsidRPr="00191E14">
              <w:rPr>
                <w:rFonts w:cs="Arial"/>
                <w:sz w:val="15"/>
                <w:szCs w:val="15"/>
              </w:rPr>
              <w:t xml:space="preserve"> λοιπές κεφαλαιακές μεταβιβάσεις</w:t>
            </w:r>
          </w:p>
        </w:tc>
        <w:tc>
          <w:tcPr>
            <w:tcW w:w="1115" w:type="dxa"/>
            <w:shd w:val="clear" w:color="auto" w:fill="auto"/>
            <w:vAlign w:val="center"/>
            <w:hideMark/>
          </w:tcPr>
          <w:p w14:paraId="6DBF2880" w14:textId="77777777" w:rsidR="00D60513" w:rsidRPr="00191E14" w:rsidRDefault="00D60513" w:rsidP="00A4484E">
            <w:pPr>
              <w:spacing w:after="0" w:line="240" w:lineRule="auto"/>
              <w:jc w:val="right"/>
              <w:rPr>
                <w:rFonts w:cs="Arial"/>
                <w:sz w:val="15"/>
                <w:szCs w:val="15"/>
              </w:rPr>
            </w:pPr>
            <w:r w:rsidRPr="00191E14">
              <w:rPr>
                <w:rFonts w:cs="Arial"/>
                <w:sz w:val="15"/>
                <w:szCs w:val="15"/>
              </w:rPr>
              <w:t>5.990</w:t>
            </w:r>
          </w:p>
        </w:tc>
        <w:tc>
          <w:tcPr>
            <w:tcW w:w="1177" w:type="dxa"/>
            <w:shd w:val="clear" w:color="auto" w:fill="auto"/>
            <w:vAlign w:val="center"/>
            <w:hideMark/>
          </w:tcPr>
          <w:p w14:paraId="5981A8B1" w14:textId="77777777" w:rsidR="00D60513" w:rsidRPr="00191E14" w:rsidRDefault="00D60513" w:rsidP="00A4484E">
            <w:pPr>
              <w:spacing w:after="0" w:line="240" w:lineRule="auto"/>
              <w:jc w:val="right"/>
              <w:rPr>
                <w:rFonts w:cs="Arial"/>
                <w:sz w:val="15"/>
                <w:szCs w:val="15"/>
              </w:rPr>
            </w:pPr>
            <w:r w:rsidRPr="00191E14">
              <w:rPr>
                <w:rFonts w:cs="Arial"/>
                <w:sz w:val="15"/>
                <w:szCs w:val="15"/>
              </w:rPr>
              <w:t>6.015</w:t>
            </w:r>
          </w:p>
        </w:tc>
        <w:tc>
          <w:tcPr>
            <w:tcW w:w="920" w:type="dxa"/>
            <w:shd w:val="clear" w:color="auto" w:fill="auto"/>
            <w:vAlign w:val="center"/>
            <w:hideMark/>
          </w:tcPr>
          <w:p w14:paraId="5E31613F" w14:textId="77777777" w:rsidR="00D60513" w:rsidRPr="00191E14" w:rsidRDefault="00D60513" w:rsidP="00A4484E">
            <w:pPr>
              <w:spacing w:after="0" w:line="240" w:lineRule="auto"/>
              <w:jc w:val="right"/>
              <w:rPr>
                <w:rFonts w:cs="Arial"/>
                <w:sz w:val="15"/>
                <w:szCs w:val="15"/>
              </w:rPr>
            </w:pPr>
            <w:r w:rsidRPr="00191E14">
              <w:rPr>
                <w:rFonts w:cs="Arial"/>
                <w:sz w:val="15"/>
                <w:szCs w:val="15"/>
              </w:rPr>
              <w:t>6.183</w:t>
            </w:r>
          </w:p>
        </w:tc>
        <w:tc>
          <w:tcPr>
            <w:tcW w:w="1053" w:type="dxa"/>
            <w:shd w:val="clear" w:color="auto" w:fill="auto"/>
            <w:vAlign w:val="center"/>
            <w:hideMark/>
          </w:tcPr>
          <w:p w14:paraId="276C8AA6" w14:textId="77777777" w:rsidR="00D60513" w:rsidRPr="00191E14" w:rsidRDefault="00D60513" w:rsidP="00A4484E">
            <w:pPr>
              <w:spacing w:after="0" w:line="240" w:lineRule="auto"/>
              <w:jc w:val="right"/>
              <w:rPr>
                <w:rFonts w:cs="Arial"/>
                <w:sz w:val="15"/>
                <w:szCs w:val="15"/>
              </w:rPr>
            </w:pPr>
            <w:r w:rsidRPr="00191E14">
              <w:rPr>
                <w:rFonts w:cs="Arial"/>
                <w:sz w:val="15"/>
                <w:szCs w:val="15"/>
              </w:rPr>
              <w:t>6.353</w:t>
            </w:r>
          </w:p>
        </w:tc>
      </w:tr>
      <w:tr w:rsidR="008B4376" w:rsidRPr="00191E14" w14:paraId="06A9E173" w14:textId="77777777" w:rsidTr="005660DE">
        <w:trPr>
          <w:cantSplit/>
          <w:trHeight w:val="171"/>
          <w:jc w:val="center"/>
        </w:trPr>
        <w:tc>
          <w:tcPr>
            <w:tcW w:w="6093" w:type="dxa"/>
            <w:shd w:val="clear" w:color="auto" w:fill="auto"/>
            <w:vAlign w:val="center"/>
            <w:hideMark/>
          </w:tcPr>
          <w:p w14:paraId="1CBF91A7" w14:textId="77777777" w:rsidR="00D60513" w:rsidRPr="00191E14" w:rsidRDefault="00D60513" w:rsidP="00A4484E">
            <w:pPr>
              <w:spacing w:after="0" w:line="240" w:lineRule="auto"/>
              <w:jc w:val="left"/>
              <w:rPr>
                <w:rFonts w:cs="Arial"/>
                <w:sz w:val="15"/>
                <w:szCs w:val="15"/>
              </w:rPr>
            </w:pPr>
            <w:r w:rsidRPr="00191E14">
              <w:rPr>
                <w:rFonts w:cs="Arial"/>
                <w:sz w:val="15"/>
                <w:szCs w:val="15"/>
              </w:rPr>
              <w:t>Τόκοι πιστωτικοί</w:t>
            </w:r>
          </w:p>
        </w:tc>
        <w:tc>
          <w:tcPr>
            <w:tcW w:w="1115" w:type="dxa"/>
            <w:shd w:val="clear" w:color="auto" w:fill="auto"/>
            <w:vAlign w:val="center"/>
            <w:hideMark/>
          </w:tcPr>
          <w:p w14:paraId="7C436A23" w14:textId="77777777" w:rsidR="00D60513" w:rsidRPr="00191E14" w:rsidRDefault="00D60513" w:rsidP="00A4484E">
            <w:pPr>
              <w:spacing w:after="0" w:line="240" w:lineRule="auto"/>
              <w:jc w:val="right"/>
              <w:rPr>
                <w:rFonts w:cs="Arial"/>
                <w:sz w:val="15"/>
                <w:szCs w:val="15"/>
              </w:rPr>
            </w:pPr>
            <w:r w:rsidRPr="00191E14">
              <w:rPr>
                <w:rFonts w:cs="Arial"/>
                <w:sz w:val="15"/>
                <w:szCs w:val="15"/>
              </w:rPr>
              <w:t>82</w:t>
            </w:r>
          </w:p>
        </w:tc>
        <w:tc>
          <w:tcPr>
            <w:tcW w:w="1177" w:type="dxa"/>
            <w:shd w:val="clear" w:color="auto" w:fill="auto"/>
            <w:vAlign w:val="center"/>
            <w:hideMark/>
          </w:tcPr>
          <w:p w14:paraId="414BC2F1" w14:textId="77777777" w:rsidR="00D60513" w:rsidRPr="00191E14" w:rsidRDefault="00D60513" w:rsidP="00A4484E">
            <w:pPr>
              <w:spacing w:after="0" w:line="240" w:lineRule="auto"/>
              <w:jc w:val="right"/>
              <w:rPr>
                <w:rFonts w:cs="Arial"/>
                <w:sz w:val="15"/>
                <w:szCs w:val="15"/>
              </w:rPr>
            </w:pPr>
            <w:r w:rsidRPr="00191E14">
              <w:rPr>
                <w:rFonts w:cs="Arial"/>
                <w:sz w:val="15"/>
                <w:szCs w:val="15"/>
              </w:rPr>
              <w:t>76</w:t>
            </w:r>
          </w:p>
        </w:tc>
        <w:tc>
          <w:tcPr>
            <w:tcW w:w="920" w:type="dxa"/>
            <w:shd w:val="clear" w:color="auto" w:fill="auto"/>
            <w:vAlign w:val="center"/>
            <w:hideMark/>
          </w:tcPr>
          <w:p w14:paraId="128265B4" w14:textId="77777777" w:rsidR="00D60513" w:rsidRPr="00191E14" w:rsidRDefault="00D60513" w:rsidP="00A4484E">
            <w:pPr>
              <w:spacing w:after="0" w:line="240" w:lineRule="auto"/>
              <w:jc w:val="right"/>
              <w:rPr>
                <w:rFonts w:cs="Arial"/>
                <w:sz w:val="15"/>
                <w:szCs w:val="15"/>
              </w:rPr>
            </w:pPr>
            <w:r w:rsidRPr="00191E14">
              <w:rPr>
                <w:rFonts w:cs="Arial"/>
                <w:sz w:val="15"/>
                <w:szCs w:val="15"/>
              </w:rPr>
              <w:t>81</w:t>
            </w:r>
          </w:p>
        </w:tc>
        <w:tc>
          <w:tcPr>
            <w:tcW w:w="1053" w:type="dxa"/>
            <w:shd w:val="clear" w:color="auto" w:fill="auto"/>
            <w:vAlign w:val="center"/>
            <w:hideMark/>
          </w:tcPr>
          <w:p w14:paraId="2F846F2D" w14:textId="77777777" w:rsidR="00D60513" w:rsidRPr="00191E14" w:rsidRDefault="00D60513" w:rsidP="00A4484E">
            <w:pPr>
              <w:spacing w:after="0" w:line="240" w:lineRule="auto"/>
              <w:jc w:val="right"/>
              <w:rPr>
                <w:rFonts w:cs="Arial"/>
                <w:sz w:val="15"/>
                <w:szCs w:val="15"/>
              </w:rPr>
            </w:pPr>
            <w:r w:rsidRPr="00191E14">
              <w:rPr>
                <w:rFonts w:cs="Arial"/>
                <w:sz w:val="15"/>
                <w:szCs w:val="15"/>
              </w:rPr>
              <w:t>81</w:t>
            </w:r>
          </w:p>
        </w:tc>
      </w:tr>
      <w:tr w:rsidR="008B4376" w:rsidRPr="00191E14" w14:paraId="2D753FA3" w14:textId="77777777" w:rsidTr="005660DE">
        <w:trPr>
          <w:cantSplit/>
          <w:trHeight w:val="162"/>
          <w:jc w:val="center"/>
        </w:trPr>
        <w:tc>
          <w:tcPr>
            <w:tcW w:w="6093" w:type="dxa"/>
            <w:shd w:val="clear" w:color="auto" w:fill="auto"/>
            <w:vAlign w:val="center"/>
            <w:hideMark/>
          </w:tcPr>
          <w:p w14:paraId="3E3AB2EC" w14:textId="77777777" w:rsidR="00D60513" w:rsidRPr="00191E14" w:rsidRDefault="00D60513" w:rsidP="00A4484E">
            <w:pPr>
              <w:spacing w:after="0" w:line="240" w:lineRule="auto"/>
              <w:jc w:val="left"/>
              <w:rPr>
                <w:rFonts w:cs="Arial"/>
                <w:sz w:val="15"/>
                <w:szCs w:val="15"/>
              </w:rPr>
            </w:pPr>
            <w:r w:rsidRPr="00191E14">
              <w:rPr>
                <w:rFonts w:cs="Arial"/>
                <w:sz w:val="15"/>
                <w:szCs w:val="15"/>
              </w:rPr>
              <w:t>Αντικριζόμενα έσοδα (καθαρά)</w:t>
            </w:r>
          </w:p>
        </w:tc>
        <w:tc>
          <w:tcPr>
            <w:tcW w:w="1115" w:type="dxa"/>
            <w:shd w:val="clear" w:color="auto" w:fill="auto"/>
            <w:vAlign w:val="center"/>
            <w:hideMark/>
          </w:tcPr>
          <w:p w14:paraId="6CEEDFC6"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1177" w:type="dxa"/>
            <w:shd w:val="clear" w:color="auto" w:fill="auto"/>
            <w:vAlign w:val="center"/>
            <w:hideMark/>
          </w:tcPr>
          <w:p w14:paraId="230B992E" w14:textId="77777777" w:rsidR="00D60513" w:rsidRPr="00191E14" w:rsidRDefault="00D60513" w:rsidP="00A4484E">
            <w:pPr>
              <w:spacing w:after="0" w:line="240" w:lineRule="auto"/>
              <w:jc w:val="right"/>
              <w:rPr>
                <w:rFonts w:cs="Arial"/>
                <w:sz w:val="15"/>
                <w:szCs w:val="15"/>
              </w:rPr>
            </w:pPr>
            <w:r w:rsidRPr="00191E14">
              <w:rPr>
                <w:rFonts w:cs="Arial"/>
                <w:sz w:val="15"/>
                <w:szCs w:val="15"/>
              </w:rPr>
              <w:t>-18</w:t>
            </w:r>
          </w:p>
        </w:tc>
        <w:tc>
          <w:tcPr>
            <w:tcW w:w="920" w:type="dxa"/>
            <w:shd w:val="clear" w:color="auto" w:fill="auto"/>
            <w:vAlign w:val="center"/>
            <w:hideMark/>
          </w:tcPr>
          <w:p w14:paraId="0F004312"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1053" w:type="dxa"/>
            <w:shd w:val="clear" w:color="auto" w:fill="auto"/>
            <w:vAlign w:val="center"/>
            <w:hideMark/>
          </w:tcPr>
          <w:p w14:paraId="1819B659"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r>
      <w:tr w:rsidR="008B4376" w:rsidRPr="00191E14" w14:paraId="52EDCC94" w14:textId="77777777" w:rsidTr="005660DE">
        <w:trPr>
          <w:cantSplit/>
          <w:trHeight w:val="171"/>
          <w:jc w:val="center"/>
        </w:trPr>
        <w:tc>
          <w:tcPr>
            <w:tcW w:w="6093" w:type="dxa"/>
            <w:shd w:val="clear" w:color="auto" w:fill="auto"/>
            <w:vAlign w:val="center"/>
            <w:hideMark/>
          </w:tcPr>
          <w:p w14:paraId="061718C0" w14:textId="6F5BD8F7" w:rsidR="00D60513" w:rsidRPr="00191E14" w:rsidRDefault="00191E14" w:rsidP="00A4484E">
            <w:pPr>
              <w:spacing w:after="0" w:line="240" w:lineRule="auto"/>
              <w:jc w:val="left"/>
              <w:rPr>
                <w:rFonts w:cs="Arial"/>
                <w:sz w:val="15"/>
                <w:szCs w:val="15"/>
              </w:rPr>
            </w:pPr>
            <w:r w:rsidRPr="00191E14">
              <w:rPr>
                <w:rFonts w:cs="Arial"/>
                <w:sz w:val="15"/>
                <w:szCs w:val="15"/>
              </w:rPr>
              <w:t>Φόροι</w:t>
            </w:r>
          </w:p>
        </w:tc>
        <w:tc>
          <w:tcPr>
            <w:tcW w:w="1115" w:type="dxa"/>
            <w:shd w:val="clear" w:color="auto" w:fill="auto"/>
            <w:vAlign w:val="center"/>
            <w:hideMark/>
          </w:tcPr>
          <w:p w14:paraId="3F1D2AA2" w14:textId="77777777" w:rsidR="00D60513" w:rsidRPr="00191E14" w:rsidRDefault="00D60513" w:rsidP="00A4484E">
            <w:pPr>
              <w:spacing w:after="0" w:line="240" w:lineRule="auto"/>
              <w:jc w:val="right"/>
              <w:rPr>
                <w:rFonts w:cs="Arial"/>
                <w:sz w:val="15"/>
                <w:szCs w:val="15"/>
              </w:rPr>
            </w:pPr>
            <w:r w:rsidRPr="00191E14">
              <w:rPr>
                <w:rFonts w:cs="Arial"/>
                <w:sz w:val="15"/>
                <w:szCs w:val="15"/>
              </w:rPr>
              <w:t>2.019</w:t>
            </w:r>
          </w:p>
        </w:tc>
        <w:tc>
          <w:tcPr>
            <w:tcW w:w="1177" w:type="dxa"/>
            <w:shd w:val="clear" w:color="auto" w:fill="auto"/>
            <w:vAlign w:val="center"/>
            <w:hideMark/>
          </w:tcPr>
          <w:p w14:paraId="5CF95B1F" w14:textId="77777777" w:rsidR="00D60513" w:rsidRPr="00191E14" w:rsidRDefault="00D60513" w:rsidP="00A4484E">
            <w:pPr>
              <w:spacing w:after="0" w:line="240" w:lineRule="auto"/>
              <w:jc w:val="right"/>
              <w:rPr>
                <w:rFonts w:cs="Arial"/>
                <w:sz w:val="15"/>
                <w:szCs w:val="15"/>
              </w:rPr>
            </w:pPr>
            <w:r w:rsidRPr="00191E14">
              <w:rPr>
                <w:rFonts w:cs="Arial"/>
                <w:sz w:val="15"/>
                <w:szCs w:val="15"/>
              </w:rPr>
              <w:t>2.130</w:t>
            </w:r>
          </w:p>
        </w:tc>
        <w:tc>
          <w:tcPr>
            <w:tcW w:w="920" w:type="dxa"/>
            <w:shd w:val="clear" w:color="auto" w:fill="auto"/>
            <w:vAlign w:val="center"/>
            <w:hideMark/>
          </w:tcPr>
          <w:p w14:paraId="65299F08" w14:textId="77777777" w:rsidR="00D60513" w:rsidRPr="00191E14" w:rsidRDefault="00D60513" w:rsidP="00A4484E">
            <w:pPr>
              <w:spacing w:after="0" w:line="240" w:lineRule="auto"/>
              <w:jc w:val="right"/>
              <w:rPr>
                <w:rFonts w:cs="Arial"/>
                <w:sz w:val="15"/>
                <w:szCs w:val="15"/>
              </w:rPr>
            </w:pPr>
            <w:r w:rsidRPr="00191E14">
              <w:rPr>
                <w:rFonts w:cs="Arial"/>
                <w:sz w:val="15"/>
                <w:szCs w:val="15"/>
              </w:rPr>
              <w:t>2.156</w:t>
            </w:r>
          </w:p>
        </w:tc>
        <w:tc>
          <w:tcPr>
            <w:tcW w:w="1053" w:type="dxa"/>
            <w:shd w:val="clear" w:color="auto" w:fill="auto"/>
            <w:vAlign w:val="center"/>
            <w:hideMark/>
          </w:tcPr>
          <w:p w14:paraId="08C6EFE5" w14:textId="77777777" w:rsidR="00D60513" w:rsidRPr="00191E14" w:rsidRDefault="00D60513" w:rsidP="00A4484E">
            <w:pPr>
              <w:spacing w:after="0" w:line="240" w:lineRule="auto"/>
              <w:jc w:val="right"/>
              <w:rPr>
                <w:rFonts w:cs="Arial"/>
                <w:sz w:val="15"/>
                <w:szCs w:val="15"/>
              </w:rPr>
            </w:pPr>
            <w:r w:rsidRPr="00191E14">
              <w:rPr>
                <w:rFonts w:cs="Arial"/>
                <w:sz w:val="15"/>
                <w:szCs w:val="15"/>
              </w:rPr>
              <w:t>2.261</w:t>
            </w:r>
          </w:p>
        </w:tc>
      </w:tr>
      <w:tr w:rsidR="008B4376" w:rsidRPr="00191E14" w14:paraId="2C1FF116" w14:textId="77777777" w:rsidTr="005660DE">
        <w:trPr>
          <w:cantSplit/>
          <w:trHeight w:val="171"/>
          <w:jc w:val="center"/>
        </w:trPr>
        <w:tc>
          <w:tcPr>
            <w:tcW w:w="6093" w:type="dxa"/>
            <w:shd w:val="clear" w:color="auto" w:fill="auto"/>
            <w:vAlign w:val="center"/>
            <w:hideMark/>
          </w:tcPr>
          <w:p w14:paraId="07CE1FF0"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Λοιπά έσοδα</w:t>
            </w:r>
          </w:p>
        </w:tc>
        <w:tc>
          <w:tcPr>
            <w:tcW w:w="1115" w:type="dxa"/>
            <w:shd w:val="clear" w:color="auto" w:fill="auto"/>
            <w:vAlign w:val="center"/>
            <w:hideMark/>
          </w:tcPr>
          <w:p w14:paraId="09ABE952" w14:textId="77777777" w:rsidR="00D60513" w:rsidRPr="00191E14" w:rsidRDefault="00D60513" w:rsidP="00A4484E">
            <w:pPr>
              <w:spacing w:after="0" w:line="240" w:lineRule="auto"/>
              <w:jc w:val="right"/>
              <w:rPr>
                <w:rFonts w:cs="Arial"/>
                <w:sz w:val="15"/>
                <w:szCs w:val="15"/>
              </w:rPr>
            </w:pPr>
            <w:r w:rsidRPr="00191E14">
              <w:rPr>
                <w:rFonts w:cs="Arial"/>
                <w:sz w:val="15"/>
                <w:szCs w:val="15"/>
              </w:rPr>
              <w:t>1.092</w:t>
            </w:r>
          </w:p>
        </w:tc>
        <w:tc>
          <w:tcPr>
            <w:tcW w:w="1177" w:type="dxa"/>
            <w:shd w:val="clear" w:color="auto" w:fill="auto"/>
            <w:vAlign w:val="center"/>
            <w:hideMark/>
          </w:tcPr>
          <w:p w14:paraId="2322ABEF" w14:textId="77777777" w:rsidR="00D60513" w:rsidRPr="00191E14" w:rsidRDefault="00D60513" w:rsidP="00A4484E">
            <w:pPr>
              <w:spacing w:after="0" w:line="240" w:lineRule="auto"/>
              <w:jc w:val="right"/>
              <w:rPr>
                <w:rFonts w:cs="Arial"/>
                <w:sz w:val="15"/>
                <w:szCs w:val="15"/>
              </w:rPr>
            </w:pPr>
            <w:r w:rsidRPr="00191E14">
              <w:rPr>
                <w:rFonts w:cs="Arial"/>
                <w:sz w:val="15"/>
                <w:szCs w:val="15"/>
              </w:rPr>
              <w:t>1.015</w:t>
            </w:r>
          </w:p>
        </w:tc>
        <w:tc>
          <w:tcPr>
            <w:tcW w:w="920" w:type="dxa"/>
            <w:shd w:val="clear" w:color="auto" w:fill="auto"/>
            <w:vAlign w:val="center"/>
            <w:hideMark/>
          </w:tcPr>
          <w:p w14:paraId="042AABB2" w14:textId="77777777" w:rsidR="00D60513" w:rsidRPr="00191E14" w:rsidRDefault="00D60513" w:rsidP="00A4484E">
            <w:pPr>
              <w:spacing w:after="0" w:line="240" w:lineRule="auto"/>
              <w:jc w:val="right"/>
              <w:rPr>
                <w:rFonts w:cs="Arial"/>
                <w:sz w:val="15"/>
                <w:szCs w:val="15"/>
              </w:rPr>
            </w:pPr>
            <w:r w:rsidRPr="00191E14">
              <w:rPr>
                <w:rFonts w:cs="Arial"/>
                <w:sz w:val="15"/>
                <w:szCs w:val="15"/>
              </w:rPr>
              <w:t>1.166</w:t>
            </w:r>
          </w:p>
        </w:tc>
        <w:tc>
          <w:tcPr>
            <w:tcW w:w="1053" w:type="dxa"/>
            <w:shd w:val="clear" w:color="auto" w:fill="auto"/>
            <w:vAlign w:val="center"/>
            <w:hideMark/>
          </w:tcPr>
          <w:p w14:paraId="74098428" w14:textId="77777777" w:rsidR="00D60513" w:rsidRPr="00191E14" w:rsidRDefault="00D60513" w:rsidP="00A4484E">
            <w:pPr>
              <w:spacing w:after="0" w:line="240" w:lineRule="auto"/>
              <w:jc w:val="right"/>
              <w:rPr>
                <w:rFonts w:cs="Arial"/>
                <w:sz w:val="15"/>
                <w:szCs w:val="15"/>
              </w:rPr>
            </w:pPr>
            <w:r w:rsidRPr="00191E14">
              <w:rPr>
                <w:rFonts w:cs="Arial"/>
                <w:sz w:val="15"/>
                <w:szCs w:val="15"/>
              </w:rPr>
              <w:t>1.192</w:t>
            </w:r>
          </w:p>
        </w:tc>
      </w:tr>
      <w:tr w:rsidR="008B4376" w:rsidRPr="00191E14" w14:paraId="10743C1E" w14:textId="77777777" w:rsidTr="005660DE">
        <w:trPr>
          <w:cantSplit/>
          <w:trHeight w:val="171"/>
          <w:jc w:val="center"/>
        </w:trPr>
        <w:tc>
          <w:tcPr>
            <w:tcW w:w="6093" w:type="dxa"/>
            <w:shd w:val="clear" w:color="auto" w:fill="auto"/>
            <w:vAlign w:val="center"/>
            <w:hideMark/>
          </w:tcPr>
          <w:p w14:paraId="6070AAE3" w14:textId="77777777" w:rsidR="00D60513" w:rsidRPr="00191E14" w:rsidRDefault="00D60513" w:rsidP="00A4484E">
            <w:pPr>
              <w:spacing w:after="0" w:line="240" w:lineRule="auto"/>
              <w:jc w:val="left"/>
              <w:rPr>
                <w:rFonts w:cs="Arial"/>
                <w:b/>
                <w:bCs/>
                <w:sz w:val="15"/>
                <w:szCs w:val="15"/>
              </w:rPr>
            </w:pPr>
            <w:r w:rsidRPr="00191E14">
              <w:rPr>
                <w:rFonts w:cs="Arial"/>
                <w:b/>
                <w:bCs/>
                <w:sz w:val="15"/>
                <w:szCs w:val="15"/>
              </w:rPr>
              <w:t>Έξοδα</w:t>
            </w:r>
          </w:p>
        </w:tc>
        <w:tc>
          <w:tcPr>
            <w:tcW w:w="1115" w:type="dxa"/>
            <w:shd w:val="clear" w:color="auto" w:fill="auto"/>
            <w:vAlign w:val="center"/>
            <w:hideMark/>
          </w:tcPr>
          <w:p w14:paraId="5D58B4C2"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9.153</w:t>
            </w:r>
          </w:p>
        </w:tc>
        <w:tc>
          <w:tcPr>
            <w:tcW w:w="1177" w:type="dxa"/>
            <w:shd w:val="clear" w:color="auto" w:fill="auto"/>
            <w:vAlign w:val="center"/>
            <w:hideMark/>
          </w:tcPr>
          <w:p w14:paraId="2F1B5EB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9.517</w:t>
            </w:r>
          </w:p>
        </w:tc>
        <w:tc>
          <w:tcPr>
            <w:tcW w:w="920" w:type="dxa"/>
            <w:shd w:val="clear" w:color="auto" w:fill="auto"/>
            <w:vAlign w:val="center"/>
            <w:hideMark/>
          </w:tcPr>
          <w:p w14:paraId="480CEC4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9.519</w:t>
            </w:r>
          </w:p>
        </w:tc>
        <w:tc>
          <w:tcPr>
            <w:tcW w:w="1053" w:type="dxa"/>
            <w:shd w:val="clear" w:color="auto" w:fill="auto"/>
            <w:vAlign w:val="center"/>
            <w:hideMark/>
          </w:tcPr>
          <w:p w14:paraId="32D0D47B"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9.782</w:t>
            </w:r>
          </w:p>
        </w:tc>
      </w:tr>
      <w:tr w:rsidR="008B4376" w:rsidRPr="00191E14" w14:paraId="727F6965" w14:textId="77777777" w:rsidTr="005660DE">
        <w:trPr>
          <w:cantSplit/>
          <w:trHeight w:val="162"/>
          <w:jc w:val="center"/>
        </w:trPr>
        <w:tc>
          <w:tcPr>
            <w:tcW w:w="6093" w:type="dxa"/>
            <w:shd w:val="clear" w:color="auto" w:fill="auto"/>
            <w:vAlign w:val="center"/>
            <w:hideMark/>
          </w:tcPr>
          <w:p w14:paraId="5632FEAC" w14:textId="4ED26C9A" w:rsidR="00D60513" w:rsidRPr="00191E14" w:rsidRDefault="00D60513" w:rsidP="00A4484E">
            <w:pPr>
              <w:spacing w:after="0" w:line="240" w:lineRule="auto"/>
              <w:jc w:val="left"/>
              <w:rPr>
                <w:rFonts w:cs="Arial"/>
                <w:sz w:val="15"/>
                <w:szCs w:val="15"/>
              </w:rPr>
            </w:pPr>
            <w:r w:rsidRPr="00191E14">
              <w:rPr>
                <w:rFonts w:cs="Arial"/>
                <w:sz w:val="15"/>
                <w:szCs w:val="15"/>
              </w:rPr>
              <w:t xml:space="preserve">Παροχές σε </w:t>
            </w:r>
            <w:r w:rsidR="00191E14">
              <w:rPr>
                <w:rFonts w:cs="Arial"/>
                <w:sz w:val="15"/>
                <w:szCs w:val="15"/>
              </w:rPr>
              <w:t>ε</w:t>
            </w:r>
            <w:r w:rsidRPr="00191E14">
              <w:rPr>
                <w:rFonts w:cs="Arial"/>
                <w:sz w:val="15"/>
                <w:szCs w:val="15"/>
              </w:rPr>
              <w:t>ργαζόμενους</w:t>
            </w:r>
          </w:p>
        </w:tc>
        <w:tc>
          <w:tcPr>
            <w:tcW w:w="1115" w:type="dxa"/>
            <w:shd w:val="clear" w:color="auto" w:fill="auto"/>
            <w:vAlign w:val="center"/>
            <w:hideMark/>
          </w:tcPr>
          <w:p w14:paraId="7D60FA07" w14:textId="77777777" w:rsidR="00D60513" w:rsidRPr="00191E14" w:rsidRDefault="00D60513" w:rsidP="00A4484E">
            <w:pPr>
              <w:spacing w:after="0" w:line="240" w:lineRule="auto"/>
              <w:jc w:val="right"/>
              <w:rPr>
                <w:rFonts w:cs="Arial"/>
                <w:sz w:val="15"/>
                <w:szCs w:val="15"/>
              </w:rPr>
            </w:pPr>
            <w:r w:rsidRPr="00191E14">
              <w:rPr>
                <w:rFonts w:cs="Arial"/>
                <w:sz w:val="15"/>
                <w:szCs w:val="15"/>
              </w:rPr>
              <w:t>3.001</w:t>
            </w:r>
          </w:p>
        </w:tc>
        <w:tc>
          <w:tcPr>
            <w:tcW w:w="1177" w:type="dxa"/>
            <w:shd w:val="clear" w:color="auto" w:fill="auto"/>
            <w:vAlign w:val="center"/>
            <w:hideMark/>
          </w:tcPr>
          <w:p w14:paraId="0C64CDD1" w14:textId="77777777" w:rsidR="00D60513" w:rsidRPr="00191E14" w:rsidRDefault="00D60513" w:rsidP="00A4484E">
            <w:pPr>
              <w:spacing w:after="0" w:line="240" w:lineRule="auto"/>
              <w:jc w:val="right"/>
              <w:rPr>
                <w:rFonts w:cs="Arial"/>
                <w:sz w:val="15"/>
                <w:szCs w:val="15"/>
              </w:rPr>
            </w:pPr>
            <w:r w:rsidRPr="00191E14">
              <w:rPr>
                <w:rFonts w:cs="Arial"/>
                <w:sz w:val="15"/>
                <w:szCs w:val="15"/>
              </w:rPr>
              <w:t>3.128</w:t>
            </w:r>
          </w:p>
        </w:tc>
        <w:tc>
          <w:tcPr>
            <w:tcW w:w="920" w:type="dxa"/>
            <w:shd w:val="clear" w:color="auto" w:fill="auto"/>
            <w:vAlign w:val="center"/>
            <w:hideMark/>
          </w:tcPr>
          <w:p w14:paraId="1238745D" w14:textId="77777777" w:rsidR="00D60513" w:rsidRPr="00191E14" w:rsidRDefault="00D60513" w:rsidP="00A4484E">
            <w:pPr>
              <w:spacing w:after="0" w:line="240" w:lineRule="auto"/>
              <w:jc w:val="right"/>
              <w:rPr>
                <w:rFonts w:cs="Arial"/>
                <w:sz w:val="15"/>
                <w:szCs w:val="15"/>
              </w:rPr>
            </w:pPr>
            <w:r w:rsidRPr="00191E14">
              <w:rPr>
                <w:rFonts w:cs="Arial"/>
                <w:sz w:val="15"/>
                <w:szCs w:val="15"/>
              </w:rPr>
              <w:t>3.124</w:t>
            </w:r>
          </w:p>
        </w:tc>
        <w:tc>
          <w:tcPr>
            <w:tcW w:w="1053" w:type="dxa"/>
            <w:shd w:val="clear" w:color="auto" w:fill="auto"/>
            <w:vAlign w:val="center"/>
            <w:hideMark/>
          </w:tcPr>
          <w:p w14:paraId="1AD4D86C" w14:textId="77777777" w:rsidR="00D60513" w:rsidRPr="00191E14" w:rsidRDefault="00D60513" w:rsidP="00A4484E">
            <w:pPr>
              <w:spacing w:after="0" w:line="240" w:lineRule="auto"/>
              <w:jc w:val="right"/>
              <w:rPr>
                <w:rFonts w:cs="Arial"/>
                <w:sz w:val="15"/>
                <w:szCs w:val="15"/>
              </w:rPr>
            </w:pPr>
            <w:r w:rsidRPr="00191E14">
              <w:rPr>
                <w:rFonts w:cs="Arial"/>
                <w:sz w:val="15"/>
                <w:szCs w:val="15"/>
              </w:rPr>
              <w:t>3.216</w:t>
            </w:r>
          </w:p>
        </w:tc>
      </w:tr>
      <w:tr w:rsidR="008B4376" w:rsidRPr="00191E14" w14:paraId="223664D0" w14:textId="77777777" w:rsidTr="005660DE">
        <w:trPr>
          <w:cantSplit/>
          <w:trHeight w:val="171"/>
          <w:jc w:val="center"/>
        </w:trPr>
        <w:tc>
          <w:tcPr>
            <w:tcW w:w="6093" w:type="dxa"/>
            <w:shd w:val="clear" w:color="auto" w:fill="auto"/>
            <w:vAlign w:val="center"/>
            <w:hideMark/>
          </w:tcPr>
          <w:p w14:paraId="1CFB3072" w14:textId="77777777" w:rsidR="00D60513" w:rsidRPr="00191E14" w:rsidRDefault="00D60513" w:rsidP="00A4484E">
            <w:pPr>
              <w:spacing w:after="0" w:line="240" w:lineRule="auto"/>
              <w:jc w:val="left"/>
              <w:rPr>
                <w:rFonts w:cs="Arial"/>
                <w:sz w:val="15"/>
                <w:szCs w:val="15"/>
              </w:rPr>
            </w:pPr>
            <w:r w:rsidRPr="00191E14">
              <w:rPr>
                <w:rFonts w:cs="Arial"/>
                <w:sz w:val="15"/>
                <w:szCs w:val="15"/>
              </w:rPr>
              <w:t>Τόκοι χρεωστικοί</w:t>
            </w:r>
          </w:p>
        </w:tc>
        <w:tc>
          <w:tcPr>
            <w:tcW w:w="1115" w:type="dxa"/>
            <w:shd w:val="clear" w:color="auto" w:fill="auto"/>
            <w:vAlign w:val="center"/>
            <w:hideMark/>
          </w:tcPr>
          <w:p w14:paraId="6B7E367D" w14:textId="77777777" w:rsidR="00D60513" w:rsidRPr="00191E14" w:rsidRDefault="00D60513" w:rsidP="00A4484E">
            <w:pPr>
              <w:spacing w:after="0" w:line="240" w:lineRule="auto"/>
              <w:jc w:val="right"/>
              <w:rPr>
                <w:rFonts w:cs="Arial"/>
                <w:sz w:val="15"/>
                <w:szCs w:val="15"/>
              </w:rPr>
            </w:pPr>
            <w:r w:rsidRPr="00191E14">
              <w:rPr>
                <w:rFonts w:cs="Arial"/>
                <w:sz w:val="15"/>
                <w:szCs w:val="15"/>
              </w:rPr>
              <w:t>60</w:t>
            </w:r>
          </w:p>
        </w:tc>
        <w:tc>
          <w:tcPr>
            <w:tcW w:w="1177" w:type="dxa"/>
            <w:shd w:val="clear" w:color="auto" w:fill="auto"/>
            <w:vAlign w:val="center"/>
            <w:hideMark/>
          </w:tcPr>
          <w:p w14:paraId="63FD58A3" w14:textId="77777777" w:rsidR="00D60513" w:rsidRPr="00191E14" w:rsidRDefault="00D60513" w:rsidP="00A4484E">
            <w:pPr>
              <w:spacing w:after="0" w:line="240" w:lineRule="auto"/>
              <w:jc w:val="right"/>
              <w:rPr>
                <w:rFonts w:cs="Arial"/>
                <w:sz w:val="15"/>
                <w:szCs w:val="15"/>
              </w:rPr>
            </w:pPr>
            <w:r w:rsidRPr="00191E14">
              <w:rPr>
                <w:rFonts w:cs="Arial"/>
                <w:sz w:val="15"/>
                <w:szCs w:val="15"/>
              </w:rPr>
              <w:t>45</w:t>
            </w:r>
          </w:p>
        </w:tc>
        <w:tc>
          <w:tcPr>
            <w:tcW w:w="920" w:type="dxa"/>
            <w:shd w:val="clear" w:color="auto" w:fill="auto"/>
            <w:vAlign w:val="center"/>
            <w:hideMark/>
          </w:tcPr>
          <w:p w14:paraId="093E4F8B" w14:textId="77777777" w:rsidR="00D60513" w:rsidRPr="00191E14" w:rsidRDefault="00D60513" w:rsidP="00A4484E">
            <w:pPr>
              <w:spacing w:after="0" w:line="240" w:lineRule="auto"/>
              <w:jc w:val="right"/>
              <w:rPr>
                <w:rFonts w:cs="Arial"/>
                <w:sz w:val="15"/>
                <w:szCs w:val="15"/>
              </w:rPr>
            </w:pPr>
            <w:r w:rsidRPr="00191E14">
              <w:rPr>
                <w:rFonts w:cs="Arial"/>
                <w:sz w:val="15"/>
                <w:szCs w:val="15"/>
              </w:rPr>
              <w:t>55</w:t>
            </w:r>
          </w:p>
        </w:tc>
        <w:tc>
          <w:tcPr>
            <w:tcW w:w="1053" w:type="dxa"/>
            <w:shd w:val="clear" w:color="auto" w:fill="auto"/>
            <w:vAlign w:val="center"/>
            <w:hideMark/>
          </w:tcPr>
          <w:p w14:paraId="367E314F" w14:textId="77777777" w:rsidR="00D60513" w:rsidRPr="00191E14" w:rsidRDefault="00D60513" w:rsidP="00A4484E">
            <w:pPr>
              <w:spacing w:after="0" w:line="240" w:lineRule="auto"/>
              <w:jc w:val="right"/>
              <w:rPr>
                <w:rFonts w:cs="Arial"/>
                <w:sz w:val="15"/>
                <w:szCs w:val="15"/>
              </w:rPr>
            </w:pPr>
            <w:r w:rsidRPr="00191E14">
              <w:rPr>
                <w:rFonts w:cs="Arial"/>
                <w:sz w:val="15"/>
                <w:szCs w:val="15"/>
              </w:rPr>
              <w:t>50</w:t>
            </w:r>
          </w:p>
        </w:tc>
      </w:tr>
      <w:tr w:rsidR="008B4376" w:rsidRPr="00191E14" w14:paraId="5117B7C0" w14:textId="77777777" w:rsidTr="005660DE">
        <w:trPr>
          <w:cantSplit/>
          <w:trHeight w:val="171"/>
          <w:jc w:val="center"/>
        </w:trPr>
        <w:tc>
          <w:tcPr>
            <w:tcW w:w="6093" w:type="dxa"/>
            <w:shd w:val="clear" w:color="auto" w:fill="auto"/>
            <w:vAlign w:val="center"/>
            <w:hideMark/>
          </w:tcPr>
          <w:p w14:paraId="1BC6537C" w14:textId="77777777" w:rsidR="00D60513" w:rsidRPr="00191E14" w:rsidRDefault="00D60513" w:rsidP="00A4484E">
            <w:pPr>
              <w:spacing w:after="0" w:line="240" w:lineRule="auto"/>
              <w:jc w:val="left"/>
              <w:rPr>
                <w:rFonts w:cs="Arial"/>
                <w:sz w:val="15"/>
                <w:szCs w:val="15"/>
              </w:rPr>
            </w:pPr>
            <w:r w:rsidRPr="00191E14">
              <w:rPr>
                <w:rFonts w:cs="Arial"/>
                <w:sz w:val="15"/>
                <w:szCs w:val="15"/>
              </w:rPr>
              <w:t>Κοινωνικές παροχές</w:t>
            </w:r>
          </w:p>
        </w:tc>
        <w:tc>
          <w:tcPr>
            <w:tcW w:w="1115" w:type="dxa"/>
            <w:shd w:val="clear" w:color="auto" w:fill="auto"/>
            <w:vAlign w:val="center"/>
            <w:hideMark/>
          </w:tcPr>
          <w:p w14:paraId="227D804F" w14:textId="77777777" w:rsidR="00D60513" w:rsidRPr="00191E14" w:rsidRDefault="00D60513" w:rsidP="00A4484E">
            <w:pPr>
              <w:spacing w:after="0" w:line="240" w:lineRule="auto"/>
              <w:jc w:val="right"/>
              <w:rPr>
                <w:rFonts w:cs="Arial"/>
                <w:sz w:val="15"/>
                <w:szCs w:val="15"/>
              </w:rPr>
            </w:pPr>
            <w:r w:rsidRPr="00191E14">
              <w:rPr>
                <w:rFonts w:cs="Arial"/>
                <w:sz w:val="15"/>
                <w:szCs w:val="15"/>
              </w:rPr>
              <w:t>221</w:t>
            </w:r>
          </w:p>
        </w:tc>
        <w:tc>
          <w:tcPr>
            <w:tcW w:w="1177" w:type="dxa"/>
            <w:shd w:val="clear" w:color="auto" w:fill="auto"/>
            <w:vAlign w:val="center"/>
            <w:hideMark/>
          </w:tcPr>
          <w:p w14:paraId="43B01C62" w14:textId="77777777" w:rsidR="00D60513" w:rsidRPr="00191E14" w:rsidRDefault="00D60513" w:rsidP="00A4484E">
            <w:pPr>
              <w:spacing w:after="0" w:line="240" w:lineRule="auto"/>
              <w:jc w:val="right"/>
              <w:rPr>
                <w:rFonts w:cs="Arial"/>
                <w:sz w:val="15"/>
                <w:szCs w:val="15"/>
              </w:rPr>
            </w:pPr>
            <w:r w:rsidRPr="00191E14">
              <w:rPr>
                <w:rFonts w:cs="Arial"/>
                <w:sz w:val="15"/>
                <w:szCs w:val="15"/>
              </w:rPr>
              <w:t>230</w:t>
            </w:r>
          </w:p>
        </w:tc>
        <w:tc>
          <w:tcPr>
            <w:tcW w:w="920" w:type="dxa"/>
            <w:shd w:val="clear" w:color="auto" w:fill="auto"/>
            <w:vAlign w:val="center"/>
            <w:hideMark/>
          </w:tcPr>
          <w:p w14:paraId="563DB298" w14:textId="77777777" w:rsidR="00D60513" w:rsidRPr="00191E14" w:rsidRDefault="00D60513" w:rsidP="00A4484E">
            <w:pPr>
              <w:spacing w:after="0" w:line="240" w:lineRule="auto"/>
              <w:jc w:val="right"/>
              <w:rPr>
                <w:rFonts w:cs="Arial"/>
                <w:sz w:val="15"/>
                <w:szCs w:val="15"/>
              </w:rPr>
            </w:pPr>
            <w:r w:rsidRPr="00191E14">
              <w:rPr>
                <w:rFonts w:cs="Arial"/>
                <w:sz w:val="15"/>
                <w:szCs w:val="15"/>
              </w:rPr>
              <w:t>230</w:t>
            </w:r>
          </w:p>
        </w:tc>
        <w:tc>
          <w:tcPr>
            <w:tcW w:w="1053" w:type="dxa"/>
            <w:shd w:val="clear" w:color="auto" w:fill="auto"/>
            <w:vAlign w:val="center"/>
            <w:hideMark/>
          </w:tcPr>
          <w:p w14:paraId="17F946A4" w14:textId="77777777" w:rsidR="00D60513" w:rsidRPr="00191E14" w:rsidRDefault="00D60513" w:rsidP="00A4484E">
            <w:pPr>
              <w:spacing w:after="0" w:line="240" w:lineRule="auto"/>
              <w:jc w:val="right"/>
              <w:rPr>
                <w:rFonts w:cs="Arial"/>
                <w:sz w:val="15"/>
                <w:szCs w:val="15"/>
              </w:rPr>
            </w:pPr>
            <w:r w:rsidRPr="00191E14">
              <w:rPr>
                <w:rFonts w:cs="Arial"/>
                <w:sz w:val="15"/>
                <w:szCs w:val="15"/>
              </w:rPr>
              <w:t>260</w:t>
            </w:r>
          </w:p>
        </w:tc>
      </w:tr>
      <w:tr w:rsidR="008B4376" w:rsidRPr="00191E14" w14:paraId="61701C2C" w14:textId="77777777" w:rsidTr="005660DE">
        <w:trPr>
          <w:cantSplit/>
          <w:trHeight w:val="162"/>
          <w:jc w:val="center"/>
        </w:trPr>
        <w:tc>
          <w:tcPr>
            <w:tcW w:w="6093" w:type="dxa"/>
            <w:shd w:val="clear" w:color="auto" w:fill="auto"/>
            <w:vAlign w:val="center"/>
            <w:hideMark/>
          </w:tcPr>
          <w:p w14:paraId="15F1271B"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Λοιπά έξοδα</w:t>
            </w:r>
          </w:p>
        </w:tc>
        <w:tc>
          <w:tcPr>
            <w:tcW w:w="1115" w:type="dxa"/>
            <w:shd w:val="clear" w:color="auto" w:fill="auto"/>
            <w:vAlign w:val="center"/>
            <w:hideMark/>
          </w:tcPr>
          <w:p w14:paraId="5F75EEEE" w14:textId="77777777" w:rsidR="00D60513" w:rsidRPr="00191E14" w:rsidRDefault="00D60513" w:rsidP="00A4484E">
            <w:pPr>
              <w:spacing w:after="0" w:line="240" w:lineRule="auto"/>
              <w:jc w:val="right"/>
              <w:rPr>
                <w:rFonts w:cs="Arial"/>
                <w:sz w:val="15"/>
                <w:szCs w:val="15"/>
              </w:rPr>
            </w:pPr>
            <w:r w:rsidRPr="00191E14">
              <w:rPr>
                <w:rFonts w:cs="Arial"/>
                <w:sz w:val="15"/>
                <w:szCs w:val="15"/>
              </w:rPr>
              <w:t>2.751</w:t>
            </w:r>
          </w:p>
        </w:tc>
        <w:tc>
          <w:tcPr>
            <w:tcW w:w="1177" w:type="dxa"/>
            <w:shd w:val="clear" w:color="auto" w:fill="auto"/>
            <w:vAlign w:val="center"/>
            <w:hideMark/>
          </w:tcPr>
          <w:p w14:paraId="4A5BFC2C" w14:textId="77777777" w:rsidR="00D60513" w:rsidRPr="00191E14" w:rsidRDefault="00D60513" w:rsidP="00A4484E">
            <w:pPr>
              <w:spacing w:after="0" w:line="240" w:lineRule="auto"/>
              <w:jc w:val="right"/>
              <w:rPr>
                <w:rFonts w:cs="Arial"/>
                <w:sz w:val="15"/>
                <w:szCs w:val="15"/>
              </w:rPr>
            </w:pPr>
            <w:r w:rsidRPr="00191E14">
              <w:rPr>
                <w:rFonts w:cs="Arial"/>
                <w:sz w:val="15"/>
                <w:szCs w:val="15"/>
              </w:rPr>
              <w:t>2.925</w:t>
            </w:r>
          </w:p>
        </w:tc>
        <w:tc>
          <w:tcPr>
            <w:tcW w:w="920" w:type="dxa"/>
            <w:shd w:val="clear" w:color="auto" w:fill="auto"/>
            <w:vAlign w:val="center"/>
            <w:hideMark/>
          </w:tcPr>
          <w:p w14:paraId="45E60A69" w14:textId="77777777" w:rsidR="00D60513" w:rsidRPr="00191E14" w:rsidRDefault="00D60513" w:rsidP="00A4484E">
            <w:pPr>
              <w:spacing w:after="0" w:line="240" w:lineRule="auto"/>
              <w:jc w:val="right"/>
              <w:rPr>
                <w:rFonts w:cs="Arial"/>
                <w:sz w:val="15"/>
                <w:szCs w:val="15"/>
              </w:rPr>
            </w:pPr>
            <w:r w:rsidRPr="00191E14">
              <w:rPr>
                <w:rFonts w:cs="Arial"/>
                <w:sz w:val="15"/>
                <w:szCs w:val="15"/>
              </w:rPr>
              <w:t>2.996</w:t>
            </w:r>
          </w:p>
        </w:tc>
        <w:tc>
          <w:tcPr>
            <w:tcW w:w="1053" w:type="dxa"/>
            <w:shd w:val="clear" w:color="auto" w:fill="auto"/>
            <w:vAlign w:val="center"/>
            <w:hideMark/>
          </w:tcPr>
          <w:p w14:paraId="252A4399" w14:textId="77777777" w:rsidR="00D60513" w:rsidRPr="00191E14" w:rsidRDefault="00D60513" w:rsidP="00A4484E">
            <w:pPr>
              <w:spacing w:after="0" w:line="240" w:lineRule="auto"/>
              <w:jc w:val="right"/>
              <w:rPr>
                <w:rFonts w:cs="Arial"/>
                <w:sz w:val="15"/>
                <w:szCs w:val="15"/>
              </w:rPr>
            </w:pPr>
            <w:r w:rsidRPr="00191E14">
              <w:rPr>
                <w:rFonts w:cs="Arial"/>
                <w:sz w:val="15"/>
                <w:szCs w:val="15"/>
              </w:rPr>
              <w:t>3.063</w:t>
            </w:r>
          </w:p>
        </w:tc>
      </w:tr>
      <w:tr w:rsidR="008B4376" w:rsidRPr="00191E14" w14:paraId="16B80FF1" w14:textId="77777777" w:rsidTr="005660DE">
        <w:trPr>
          <w:cantSplit/>
          <w:trHeight w:val="171"/>
          <w:jc w:val="center"/>
        </w:trPr>
        <w:tc>
          <w:tcPr>
            <w:tcW w:w="6093" w:type="dxa"/>
            <w:shd w:val="clear" w:color="auto" w:fill="auto"/>
            <w:vAlign w:val="center"/>
            <w:hideMark/>
          </w:tcPr>
          <w:p w14:paraId="24F5AACA" w14:textId="77777777" w:rsidR="00D60513" w:rsidRPr="00191E14" w:rsidRDefault="00D60513" w:rsidP="00A4484E">
            <w:pPr>
              <w:spacing w:after="0" w:line="240" w:lineRule="auto"/>
              <w:jc w:val="left"/>
              <w:rPr>
                <w:rFonts w:cs="Arial"/>
                <w:sz w:val="15"/>
                <w:szCs w:val="15"/>
              </w:rPr>
            </w:pPr>
            <w:r w:rsidRPr="00191E14">
              <w:rPr>
                <w:rFonts w:cs="Arial"/>
                <w:sz w:val="15"/>
                <w:szCs w:val="15"/>
              </w:rPr>
              <w:t>Επενδυτικές δαπάνες</w:t>
            </w:r>
          </w:p>
        </w:tc>
        <w:tc>
          <w:tcPr>
            <w:tcW w:w="1115" w:type="dxa"/>
            <w:shd w:val="clear" w:color="auto" w:fill="auto"/>
            <w:vAlign w:val="center"/>
            <w:hideMark/>
          </w:tcPr>
          <w:p w14:paraId="7FA5C2F2" w14:textId="77777777" w:rsidR="00D60513" w:rsidRPr="00191E14" w:rsidRDefault="00D60513" w:rsidP="00A4484E">
            <w:pPr>
              <w:spacing w:after="0" w:line="240" w:lineRule="auto"/>
              <w:jc w:val="right"/>
              <w:rPr>
                <w:rFonts w:cs="Arial"/>
                <w:sz w:val="15"/>
                <w:szCs w:val="15"/>
              </w:rPr>
            </w:pPr>
            <w:r w:rsidRPr="00191E14">
              <w:rPr>
                <w:rFonts w:cs="Arial"/>
                <w:sz w:val="15"/>
                <w:szCs w:val="15"/>
              </w:rPr>
              <w:t>3.120</w:t>
            </w:r>
          </w:p>
        </w:tc>
        <w:tc>
          <w:tcPr>
            <w:tcW w:w="1177" w:type="dxa"/>
            <w:shd w:val="clear" w:color="auto" w:fill="auto"/>
            <w:vAlign w:val="center"/>
            <w:hideMark/>
          </w:tcPr>
          <w:p w14:paraId="1534CDA1" w14:textId="77777777" w:rsidR="00D60513" w:rsidRPr="00191E14" w:rsidRDefault="00D60513" w:rsidP="00A4484E">
            <w:pPr>
              <w:spacing w:after="0" w:line="240" w:lineRule="auto"/>
              <w:jc w:val="right"/>
              <w:rPr>
                <w:rFonts w:cs="Arial"/>
                <w:sz w:val="15"/>
                <w:szCs w:val="15"/>
              </w:rPr>
            </w:pPr>
            <w:r w:rsidRPr="00191E14">
              <w:rPr>
                <w:rFonts w:cs="Arial"/>
                <w:sz w:val="15"/>
                <w:szCs w:val="15"/>
              </w:rPr>
              <w:t>3.189</w:t>
            </w:r>
          </w:p>
        </w:tc>
        <w:tc>
          <w:tcPr>
            <w:tcW w:w="920" w:type="dxa"/>
            <w:shd w:val="clear" w:color="auto" w:fill="auto"/>
            <w:vAlign w:val="center"/>
            <w:hideMark/>
          </w:tcPr>
          <w:p w14:paraId="25C15BF4" w14:textId="77777777" w:rsidR="00D60513" w:rsidRPr="00191E14" w:rsidRDefault="00D60513" w:rsidP="00A4484E">
            <w:pPr>
              <w:spacing w:after="0" w:line="240" w:lineRule="auto"/>
              <w:jc w:val="right"/>
              <w:rPr>
                <w:rFonts w:cs="Arial"/>
                <w:sz w:val="15"/>
                <w:szCs w:val="15"/>
              </w:rPr>
            </w:pPr>
            <w:r w:rsidRPr="00191E14">
              <w:rPr>
                <w:rFonts w:cs="Arial"/>
                <w:sz w:val="15"/>
                <w:szCs w:val="15"/>
              </w:rPr>
              <w:t>3.115</w:t>
            </w:r>
          </w:p>
        </w:tc>
        <w:tc>
          <w:tcPr>
            <w:tcW w:w="1053" w:type="dxa"/>
            <w:shd w:val="clear" w:color="auto" w:fill="auto"/>
            <w:vAlign w:val="center"/>
            <w:hideMark/>
          </w:tcPr>
          <w:p w14:paraId="05F1578A" w14:textId="77777777" w:rsidR="00D60513" w:rsidRPr="00191E14" w:rsidRDefault="00D60513" w:rsidP="00A4484E">
            <w:pPr>
              <w:spacing w:after="0" w:line="240" w:lineRule="auto"/>
              <w:jc w:val="right"/>
              <w:rPr>
                <w:rFonts w:cs="Arial"/>
                <w:sz w:val="15"/>
                <w:szCs w:val="15"/>
              </w:rPr>
            </w:pPr>
            <w:r w:rsidRPr="00191E14">
              <w:rPr>
                <w:rFonts w:cs="Arial"/>
                <w:sz w:val="15"/>
                <w:szCs w:val="15"/>
              </w:rPr>
              <w:t>3.193</w:t>
            </w:r>
          </w:p>
        </w:tc>
      </w:tr>
      <w:tr w:rsidR="00BB202B" w:rsidRPr="00191E14" w14:paraId="7C5AC2F3" w14:textId="77777777" w:rsidTr="005660DE">
        <w:trPr>
          <w:cantSplit/>
          <w:trHeight w:val="171"/>
          <w:jc w:val="center"/>
        </w:trPr>
        <w:tc>
          <w:tcPr>
            <w:tcW w:w="6093" w:type="dxa"/>
            <w:shd w:val="clear" w:color="auto" w:fill="D5DCE4"/>
            <w:vAlign w:val="center"/>
            <w:hideMark/>
          </w:tcPr>
          <w:p w14:paraId="6DC8505C" w14:textId="6B25F1EE"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IΧ.</w:t>
            </w:r>
            <w:r w:rsidR="00BB202B" w:rsidRPr="00191E14">
              <w:rPr>
                <w:rFonts w:cs="Arial"/>
                <w:b/>
                <w:bCs/>
                <w:sz w:val="15"/>
                <w:szCs w:val="15"/>
              </w:rPr>
              <w:tab/>
            </w:r>
            <w:r w:rsidRPr="00191E14">
              <w:rPr>
                <w:rFonts w:cs="Arial"/>
                <w:b/>
                <w:bCs/>
                <w:sz w:val="15"/>
                <w:szCs w:val="15"/>
              </w:rPr>
              <w:t>Ισοζύγιο OKA κατά ESA</w:t>
            </w:r>
            <w:r w:rsidRPr="00901B56">
              <w:rPr>
                <w:rFonts w:cs="Arial"/>
                <w:b/>
                <w:bCs/>
                <w:sz w:val="15"/>
                <w:szCs w:val="15"/>
                <w:vertAlign w:val="superscript"/>
              </w:rPr>
              <w:t>5</w:t>
            </w:r>
          </w:p>
        </w:tc>
        <w:tc>
          <w:tcPr>
            <w:tcW w:w="1115" w:type="dxa"/>
            <w:shd w:val="clear" w:color="auto" w:fill="D5DCE4"/>
            <w:vAlign w:val="center"/>
            <w:hideMark/>
          </w:tcPr>
          <w:p w14:paraId="38BFDA8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1.049</w:t>
            </w:r>
          </w:p>
        </w:tc>
        <w:tc>
          <w:tcPr>
            <w:tcW w:w="1177" w:type="dxa"/>
            <w:shd w:val="clear" w:color="auto" w:fill="D5DCE4"/>
            <w:vAlign w:val="center"/>
            <w:hideMark/>
          </w:tcPr>
          <w:p w14:paraId="332F1F52"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999</w:t>
            </w:r>
          </w:p>
        </w:tc>
        <w:tc>
          <w:tcPr>
            <w:tcW w:w="920" w:type="dxa"/>
            <w:shd w:val="clear" w:color="auto" w:fill="D5DCE4"/>
            <w:vAlign w:val="center"/>
            <w:hideMark/>
          </w:tcPr>
          <w:p w14:paraId="31D1620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1.996</w:t>
            </w:r>
          </w:p>
        </w:tc>
        <w:tc>
          <w:tcPr>
            <w:tcW w:w="1053" w:type="dxa"/>
            <w:shd w:val="clear" w:color="auto" w:fill="D5DCE4"/>
            <w:vAlign w:val="center"/>
            <w:hideMark/>
          </w:tcPr>
          <w:p w14:paraId="48ABA80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1.790</w:t>
            </w:r>
          </w:p>
        </w:tc>
      </w:tr>
      <w:tr w:rsidR="008B4376" w:rsidRPr="00191E14" w14:paraId="56CB3D61" w14:textId="77777777" w:rsidTr="005660DE">
        <w:trPr>
          <w:cantSplit/>
          <w:trHeight w:val="171"/>
          <w:jc w:val="center"/>
        </w:trPr>
        <w:tc>
          <w:tcPr>
            <w:tcW w:w="6093" w:type="dxa"/>
            <w:shd w:val="clear" w:color="auto" w:fill="auto"/>
            <w:vAlign w:val="center"/>
            <w:hideMark/>
          </w:tcPr>
          <w:p w14:paraId="40F5E860" w14:textId="77777777" w:rsidR="00D60513" w:rsidRPr="00191E14" w:rsidRDefault="00D60513" w:rsidP="00A4484E">
            <w:pPr>
              <w:spacing w:after="0" w:line="240" w:lineRule="auto"/>
              <w:jc w:val="left"/>
              <w:rPr>
                <w:rFonts w:cs="Arial"/>
                <w:b/>
                <w:bCs/>
                <w:sz w:val="15"/>
                <w:szCs w:val="15"/>
              </w:rPr>
            </w:pPr>
            <w:r w:rsidRPr="00191E14">
              <w:rPr>
                <w:rFonts w:cs="Arial"/>
                <w:b/>
                <w:bCs/>
                <w:sz w:val="15"/>
                <w:szCs w:val="15"/>
              </w:rPr>
              <w:t>Έσοδα</w:t>
            </w:r>
          </w:p>
        </w:tc>
        <w:tc>
          <w:tcPr>
            <w:tcW w:w="1115" w:type="dxa"/>
            <w:shd w:val="clear" w:color="auto" w:fill="auto"/>
            <w:vAlign w:val="center"/>
            <w:hideMark/>
          </w:tcPr>
          <w:p w14:paraId="34E08DB5"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49.800</w:t>
            </w:r>
          </w:p>
        </w:tc>
        <w:tc>
          <w:tcPr>
            <w:tcW w:w="1177" w:type="dxa"/>
            <w:shd w:val="clear" w:color="auto" w:fill="auto"/>
            <w:vAlign w:val="center"/>
            <w:hideMark/>
          </w:tcPr>
          <w:p w14:paraId="25A922A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52.166</w:t>
            </w:r>
          </w:p>
        </w:tc>
        <w:tc>
          <w:tcPr>
            <w:tcW w:w="920" w:type="dxa"/>
            <w:shd w:val="clear" w:color="auto" w:fill="auto"/>
            <w:vAlign w:val="center"/>
            <w:hideMark/>
          </w:tcPr>
          <w:p w14:paraId="64A27E6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54.148</w:t>
            </w:r>
          </w:p>
        </w:tc>
        <w:tc>
          <w:tcPr>
            <w:tcW w:w="1053" w:type="dxa"/>
            <w:shd w:val="clear" w:color="auto" w:fill="auto"/>
            <w:vAlign w:val="center"/>
            <w:hideMark/>
          </w:tcPr>
          <w:p w14:paraId="48D96382"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55.500</w:t>
            </w:r>
          </w:p>
        </w:tc>
      </w:tr>
      <w:tr w:rsidR="008B4376" w:rsidRPr="00191E14" w14:paraId="286D27A2" w14:textId="77777777" w:rsidTr="005660DE">
        <w:trPr>
          <w:cantSplit/>
          <w:trHeight w:val="162"/>
          <w:jc w:val="center"/>
        </w:trPr>
        <w:tc>
          <w:tcPr>
            <w:tcW w:w="6093" w:type="dxa"/>
            <w:shd w:val="clear" w:color="auto" w:fill="auto"/>
            <w:vAlign w:val="center"/>
            <w:hideMark/>
          </w:tcPr>
          <w:p w14:paraId="4DFE9332" w14:textId="6D4FF539" w:rsidR="00D60513" w:rsidRPr="00191E14" w:rsidRDefault="00D60513" w:rsidP="00A4484E">
            <w:pPr>
              <w:spacing w:after="0" w:line="240" w:lineRule="auto"/>
              <w:jc w:val="left"/>
              <w:rPr>
                <w:rFonts w:cs="Arial"/>
                <w:sz w:val="15"/>
                <w:szCs w:val="15"/>
              </w:rPr>
            </w:pPr>
            <w:r w:rsidRPr="00191E14">
              <w:rPr>
                <w:rFonts w:cs="Arial"/>
                <w:sz w:val="15"/>
                <w:szCs w:val="15"/>
              </w:rPr>
              <w:t xml:space="preserve">Τρέχουσες </w:t>
            </w:r>
            <w:r w:rsidR="00191E14">
              <w:rPr>
                <w:rFonts w:cs="Arial"/>
                <w:sz w:val="15"/>
                <w:szCs w:val="15"/>
              </w:rPr>
              <w:t>και</w:t>
            </w:r>
            <w:r w:rsidRPr="00191E14">
              <w:rPr>
                <w:rFonts w:cs="Arial"/>
                <w:sz w:val="15"/>
                <w:szCs w:val="15"/>
              </w:rPr>
              <w:t xml:space="preserve"> λοιπές κεφαλαιακές μεταβιβάσεις</w:t>
            </w:r>
          </w:p>
        </w:tc>
        <w:tc>
          <w:tcPr>
            <w:tcW w:w="1115" w:type="dxa"/>
            <w:shd w:val="clear" w:color="auto" w:fill="auto"/>
            <w:vAlign w:val="center"/>
            <w:hideMark/>
          </w:tcPr>
          <w:p w14:paraId="3A61C0A7" w14:textId="77777777" w:rsidR="00D60513" w:rsidRPr="00191E14" w:rsidRDefault="00D60513" w:rsidP="00A4484E">
            <w:pPr>
              <w:spacing w:after="0" w:line="240" w:lineRule="auto"/>
              <w:jc w:val="right"/>
              <w:rPr>
                <w:rFonts w:cs="Arial"/>
                <w:sz w:val="15"/>
                <w:szCs w:val="15"/>
              </w:rPr>
            </w:pPr>
            <w:r w:rsidRPr="00191E14">
              <w:rPr>
                <w:rFonts w:cs="Arial"/>
                <w:sz w:val="15"/>
                <w:szCs w:val="15"/>
              </w:rPr>
              <w:t>19.712</w:t>
            </w:r>
          </w:p>
        </w:tc>
        <w:tc>
          <w:tcPr>
            <w:tcW w:w="1177" w:type="dxa"/>
            <w:shd w:val="clear" w:color="auto" w:fill="auto"/>
            <w:vAlign w:val="center"/>
            <w:hideMark/>
          </w:tcPr>
          <w:p w14:paraId="53289830" w14:textId="77777777" w:rsidR="00D60513" w:rsidRPr="00191E14" w:rsidRDefault="00D60513" w:rsidP="00A4484E">
            <w:pPr>
              <w:spacing w:after="0" w:line="240" w:lineRule="auto"/>
              <w:jc w:val="right"/>
              <w:rPr>
                <w:rFonts w:cs="Arial"/>
                <w:sz w:val="15"/>
                <w:szCs w:val="15"/>
              </w:rPr>
            </w:pPr>
            <w:r w:rsidRPr="00191E14">
              <w:rPr>
                <w:rFonts w:cs="Arial"/>
                <w:sz w:val="15"/>
                <w:szCs w:val="15"/>
              </w:rPr>
              <w:t>22.894</w:t>
            </w:r>
          </w:p>
        </w:tc>
        <w:tc>
          <w:tcPr>
            <w:tcW w:w="920" w:type="dxa"/>
            <w:shd w:val="clear" w:color="auto" w:fill="auto"/>
            <w:vAlign w:val="center"/>
            <w:hideMark/>
          </w:tcPr>
          <w:p w14:paraId="57635B41" w14:textId="77777777" w:rsidR="00D60513" w:rsidRPr="00191E14" w:rsidRDefault="00D60513" w:rsidP="00A4484E">
            <w:pPr>
              <w:spacing w:after="0" w:line="240" w:lineRule="auto"/>
              <w:jc w:val="right"/>
              <w:rPr>
                <w:rFonts w:cs="Arial"/>
                <w:sz w:val="15"/>
                <w:szCs w:val="15"/>
              </w:rPr>
            </w:pPr>
            <w:r w:rsidRPr="00191E14">
              <w:rPr>
                <w:rFonts w:cs="Arial"/>
                <w:sz w:val="15"/>
                <w:szCs w:val="15"/>
              </w:rPr>
              <w:t>23.351</w:t>
            </w:r>
          </w:p>
        </w:tc>
        <w:tc>
          <w:tcPr>
            <w:tcW w:w="1053" w:type="dxa"/>
            <w:shd w:val="clear" w:color="auto" w:fill="auto"/>
            <w:vAlign w:val="center"/>
            <w:hideMark/>
          </w:tcPr>
          <w:p w14:paraId="19B0A315" w14:textId="77777777" w:rsidR="00D60513" w:rsidRPr="00191E14" w:rsidRDefault="00D60513" w:rsidP="00A4484E">
            <w:pPr>
              <w:spacing w:after="0" w:line="240" w:lineRule="auto"/>
              <w:jc w:val="right"/>
              <w:rPr>
                <w:rFonts w:cs="Arial"/>
                <w:sz w:val="15"/>
                <w:szCs w:val="15"/>
              </w:rPr>
            </w:pPr>
            <w:r w:rsidRPr="00191E14">
              <w:rPr>
                <w:rFonts w:cs="Arial"/>
                <w:sz w:val="15"/>
                <w:szCs w:val="15"/>
              </w:rPr>
              <w:t>23.611</w:t>
            </w:r>
          </w:p>
        </w:tc>
      </w:tr>
      <w:tr w:rsidR="008B4376" w:rsidRPr="00191E14" w14:paraId="18568B96" w14:textId="77777777" w:rsidTr="005660DE">
        <w:trPr>
          <w:cantSplit/>
          <w:trHeight w:val="171"/>
          <w:jc w:val="center"/>
        </w:trPr>
        <w:tc>
          <w:tcPr>
            <w:tcW w:w="6093" w:type="dxa"/>
            <w:shd w:val="clear" w:color="auto" w:fill="auto"/>
            <w:vAlign w:val="center"/>
            <w:hideMark/>
          </w:tcPr>
          <w:p w14:paraId="7E9644DE" w14:textId="77777777" w:rsidR="00D60513" w:rsidRPr="00191E14" w:rsidRDefault="00D60513" w:rsidP="00A4484E">
            <w:pPr>
              <w:spacing w:after="0" w:line="240" w:lineRule="auto"/>
              <w:jc w:val="left"/>
              <w:rPr>
                <w:rFonts w:cs="Arial"/>
                <w:sz w:val="15"/>
                <w:szCs w:val="15"/>
              </w:rPr>
            </w:pPr>
            <w:r w:rsidRPr="00191E14">
              <w:rPr>
                <w:rFonts w:cs="Arial"/>
                <w:sz w:val="15"/>
                <w:szCs w:val="15"/>
              </w:rPr>
              <w:t>Αποδόσεις περιουσίας</w:t>
            </w:r>
          </w:p>
        </w:tc>
        <w:tc>
          <w:tcPr>
            <w:tcW w:w="1115" w:type="dxa"/>
            <w:shd w:val="clear" w:color="auto" w:fill="auto"/>
            <w:vAlign w:val="center"/>
            <w:hideMark/>
          </w:tcPr>
          <w:p w14:paraId="65DD02BD" w14:textId="77777777" w:rsidR="00D60513" w:rsidRPr="00191E14" w:rsidRDefault="00D60513" w:rsidP="00A4484E">
            <w:pPr>
              <w:spacing w:after="0" w:line="240" w:lineRule="auto"/>
              <w:jc w:val="right"/>
              <w:rPr>
                <w:rFonts w:cs="Arial"/>
                <w:sz w:val="15"/>
                <w:szCs w:val="15"/>
              </w:rPr>
            </w:pPr>
            <w:r w:rsidRPr="00191E14">
              <w:rPr>
                <w:rFonts w:cs="Arial"/>
                <w:sz w:val="15"/>
                <w:szCs w:val="15"/>
              </w:rPr>
              <w:t>1.275</w:t>
            </w:r>
          </w:p>
        </w:tc>
        <w:tc>
          <w:tcPr>
            <w:tcW w:w="1177" w:type="dxa"/>
            <w:shd w:val="clear" w:color="auto" w:fill="auto"/>
            <w:vAlign w:val="center"/>
            <w:hideMark/>
          </w:tcPr>
          <w:p w14:paraId="6ABF03DE" w14:textId="77777777" w:rsidR="00D60513" w:rsidRPr="00191E14" w:rsidRDefault="00D60513" w:rsidP="00A4484E">
            <w:pPr>
              <w:spacing w:after="0" w:line="240" w:lineRule="auto"/>
              <w:jc w:val="right"/>
              <w:rPr>
                <w:rFonts w:cs="Arial"/>
                <w:sz w:val="15"/>
                <w:szCs w:val="15"/>
              </w:rPr>
            </w:pPr>
            <w:r w:rsidRPr="00191E14">
              <w:rPr>
                <w:rFonts w:cs="Arial"/>
                <w:sz w:val="15"/>
                <w:szCs w:val="15"/>
              </w:rPr>
              <w:t>860</w:t>
            </w:r>
          </w:p>
        </w:tc>
        <w:tc>
          <w:tcPr>
            <w:tcW w:w="920" w:type="dxa"/>
            <w:shd w:val="clear" w:color="auto" w:fill="auto"/>
            <w:vAlign w:val="center"/>
            <w:hideMark/>
          </w:tcPr>
          <w:p w14:paraId="3D045B7A" w14:textId="77777777" w:rsidR="00D60513" w:rsidRPr="00191E14" w:rsidRDefault="00D60513" w:rsidP="00A4484E">
            <w:pPr>
              <w:spacing w:after="0" w:line="240" w:lineRule="auto"/>
              <w:jc w:val="right"/>
              <w:rPr>
                <w:rFonts w:cs="Arial"/>
                <w:sz w:val="15"/>
                <w:szCs w:val="15"/>
              </w:rPr>
            </w:pPr>
            <w:r w:rsidRPr="00191E14">
              <w:rPr>
                <w:rFonts w:cs="Arial"/>
                <w:sz w:val="15"/>
                <w:szCs w:val="15"/>
              </w:rPr>
              <w:t>1.236</w:t>
            </w:r>
          </w:p>
        </w:tc>
        <w:tc>
          <w:tcPr>
            <w:tcW w:w="1053" w:type="dxa"/>
            <w:shd w:val="clear" w:color="auto" w:fill="auto"/>
            <w:vAlign w:val="center"/>
            <w:hideMark/>
          </w:tcPr>
          <w:p w14:paraId="6B362C83" w14:textId="77777777" w:rsidR="00D60513" w:rsidRPr="00191E14" w:rsidRDefault="00D60513" w:rsidP="00A4484E">
            <w:pPr>
              <w:spacing w:after="0" w:line="240" w:lineRule="auto"/>
              <w:jc w:val="right"/>
              <w:rPr>
                <w:rFonts w:cs="Arial"/>
                <w:sz w:val="15"/>
                <w:szCs w:val="15"/>
              </w:rPr>
            </w:pPr>
            <w:r w:rsidRPr="00191E14">
              <w:rPr>
                <w:rFonts w:cs="Arial"/>
                <w:sz w:val="15"/>
                <w:szCs w:val="15"/>
              </w:rPr>
              <w:t>1.293</w:t>
            </w:r>
          </w:p>
        </w:tc>
      </w:tr>
      <w:tr w:rsidR="008B4376" w:rsidRPr="00191E14" w14:paraId="5641FB89" w14:textId="77777777" w:rsidTr="005660DE">
        <w:trPr>
          <w:cantSplit/>
          <w:trHeight w:val="171"/>
          <w:jc w:val="center"/>
        </w:trPr>
        <w:tc>
          <w:tcPr>
            <w:tcW w:w="6093" w:type="dxa"/>
            <w:shd w:val="clear" w:color="auto" w:fill="auto"/>
            <w:vAlign w:val="center"/>
            <w:hideMark/>
          </w:tcPr>
          <w:p w14:paraId="4B35C5D8" w14:textId="77777777" w:rsidR="00D60513" w:rsidRPr="00191E14" w:rsidRDefault="00D60513" w:rsidP="00A4484E">
            <w:pPr>
              <w:spacing w:after="0" w:line="240" w:lineRule="auto"/>
              <w:jc w:val="left"/>
              <w:rPr>
                <w:rFonts w:cs="Arial"/>
                <w:sz w:val="15"/>
                <w:szCs w:val="15"/>
              </w:rPr>
            </w:pPr>
            <w:r w:rsidRPr="00191E14">
              <w:rPr>
                <w:rFonts w:cs="Arial"/>
                <w:sz w:val="15"/>
                <w:szCs w:val="15"/>
              </w:rPr>
              <w:t>Ασφαλιστικές εισφορές (πραγματικές)</w:t>
            </w:r>
          </w:p>
        </w:tc>
        <w:tc>
          <w:tcPr>
            <w:tcW w:w="1115" w:type="dxa"/>
            <w:shd w:val="clear" w:color="auto" w:fill="auto"/>
            <w:vAlign w:val="center"/>
            <w:hideMark/>
          </w:tcPr>
          <w:p w14:paraId="68F3CCD4" w14:textId="77777777" w:rsidR="00D60513" w:rsidRPr="00191E14" w:rsidRDefault="00D60513" w:rsidP="00A4484E">
            <w:pPr>
              <w:spacing w:after="0" w:line="240" w:lineRule="auto"/>
              <w:jc w:val="right"/>
              <w:rPr>
                <w:rFonts w:cs="Arial"/>
                <w:sz w:val="15"/>
                <w:szCs w:val="15"/>
              </w:rPr>
            </w:pPr>
            <w:r w:rsidRPr="00191E14">
              <w:rPr>
                <w:rFonts w:cs="Arial"/>
                <w:sz w:val="15"/>
                <w:szCs w:val="15"/>
              </w:rPr>
              <w:t>27.728</w:t>
            </w:r>
          </w:p>
        </w:tc>
        <w:tc>
          <w:tcPr>
            <w:tcW w:w="1177" w:type="dxa"/>
            <w:shd w:val="clear" w:color="auto" w:fill="auto"/>
            <w:vAlign w:val="center"/>
            <w:hideMark/>
          </w:tcPr>
          <w:p w14:paraId="6C05C74A" w14:textId="77777777" w:rsidR="00D60513" w:rsidRPr="00191E14" w:rsidRDefault="00D60513" w:rsidP="00A4484E">
            <w:pPr>
              <w:spacing w:after="0" w:line="240" w:lineRule="auto"/>
              <w:jc w:val="right"/>
              <w:rPr>
                <w:rFonts w:cs="Arial"/>
                <w:sz w:val="15"/>
                <w:szCs w:val="15"/>
              </w:rPr>
            </w:pPr>
            <w:r w:rsidRPr="00191E14">
              <w:rPr>
                <w:rFonts w:cs="Arial"/>
                <w:sz w:val="15"/>
                <w:szCs w:val="15"/>
              </w:rPr>
              <w:t>27.382</w:t>
            </w:r>
          </w:p>
        </w:tc>
        <w:tc>
          <w:tcPr>
            <w:tcW w:w="920" w:type="dxa"/>
            <w:shd w:val="clear" w:color="auto" w:fill="auto"/>
            <w:vAlign w:val="center"/>
            <w:hideMark/>
          </w:tcPr>
          <w:p w14:paraId="34BB5FC3" w14:textId="77777777" w:rsidR="00D60513" w:rsidRPr="00191E14" w:rsidRDefault="00D60513" w:rsidP="00A4484E">
            <w:pPr>
              <w:spacing w:after="0" w:line="240" w:lineRule="auto"/>
              <w:jc w:val="right"/>
              <w:rPr>
                <w:rFonts w:cs="Arial"/>
                <w:sz w:val="15"/>
                <w:szCs w:val="15"/>
              </w:rPr>
            </w:pPr>
            <w:r w:rsidRPr="00191E14">
              <w:rPr>
                <w:rFonts w:cs="Arial"/>
                <w:sz w:val="15"/>
                <w:szCs w:val="15"/>
              </w:rPr>
              <w:t>28.379</w:t>
            </w:r>
          </w:p>
        </w:tc>
        <w:tc>
          <w:tcPr>
            <w:tcW w:w="1053" w:type="dxa"/>
            <w:shd w:val="clear" w:color="auto" w:fill="auto"/>
            <w:vAlign w:val="center"/>
            <w:hideMark/>
          </w:tcPr>
          <w:p w14:paraId="13559BAD" w14:textId="77777777" w:rsidR="00D60513" w:rsidRPr="00191E14" w:rsidRDefault="00D60513" w:rsidP="00A4484E">
            <w:pPr>
              <w:spacing w:after="0" w:line="240" w:lineRule="auto"/>
              <w:jc w:val="right"/>
              <w:rPr>
                <w:rFonts w:cs="Arial"/>
                <w:sz w:val="15"/>
                <w:szCs w:val="15"/>
              </w:rPr>
            </w:pPr>
            <w:r w:rsidRPr="00191E14">
              <w:rPr>
                <w:rFonts w:cs="Arial"/>
                <w:sz w:val="15"/>
                <w:szCs w:val="15"/>
              </w:rPr>
              <w:t>29.547</w:t>
            </w:r>
          </w:p>
        </w:tc>
      </w:tr>
      <w:tr w:rsidR="008B4376" w:rsidRPr="00191E14" w14:paraId="030C3088" w14:textId="77777777" w:rsidTr="005660DE">
        <w:trPr>
          <w:cantSplit/>
          <w:trHeight w:val="162"/>
          <w:jc w:val="center"/>
        </w:trPr>
        <w:tc>
          <w:tcPr>
            <w:tcW w:w="6093" w:type="dxa"/>
            <w:shd w:val="clear" w:color="auto" w:fill="auto"/>
            <w:vAlign w:val="center"/>
            <w:hideMark/>
          </w:tcPr>
          <w:p w14:paraId="3C5B9FBF" w14:textId="77777777" w:rsidR="00D60513" w:rsidRPr="00191E14" w:rsidRDefault="00D60513" w:rsidP="00A4484E">
            <w:pPr>
              <w:spacing w:after="0" w:line="240" w:lineRule="auto"/>
              <w:jc w:val="left"/>
              <w:rPr>
                <w:rFonts w:cs="Arial"/>
                <w:sz w:val="15"/>
                <w:szCs w:val="15"/>
              </w:rPr>
            </w:pPr>
            <w:r w:rsidRPr="00191E14">
              <w:rPr>
                <w:rFonts w:cs="Arial"/>
                <w:sz w:val="15"/>
                <w:szCs w:val="15"/>
              </w:rPr>
              <w:t>Κοινωνικοί πόροι</w:t>
            </w:r>
          </w:p>
        </w:tc>
        <w:tc>
          <w:tcPr>
            <w:tcW w:w="1115" w:type="dxa"/>
            <w:shd w:val="clear" w:color="auto" w:fill="auto"/>
            <w:vAlign w:val="center"/>
            <w:hideMark/>
          </w:tcPr>
          <w:p w14:paraId="220C2839" w14:textId="77777777" w:rsidR="00D60513" w:rsidRPr="00191E14" w:rsidRDefault="00D60513" w:rsidP="00A4484E">
            <w:pPr>
              <w:spacing w:after="0" w:line="240" w:lineRule="auto"/>
              <w:jc w:val="right"/>
              <w:rPr>
                <w:rFonts w:cs="Arial"/>
                <w:sz w:val="15"/>
                <w:szCs w:val="15"/>
              </w:rPr>
            </w:pPr>
            <w:r w:rsidRPr="00191E14">
              <w:rPr>
                <w:rFonts w:cs="Arial"/>
                <w:sz w:val="15"/>
                <w:szCs w:val="15"/>
              </w:rPr>
              <w:t>765</w:t>
            </w:r>
          </w:p>
        </w:tc>
        <w:tc>
          <w:tcPr>
            <w:tcW w:w="1177" w:type="dxa"/>
            <w:shd w:val="clear" w:color="auto" w:fill="auto"/>
            <w:vAlign w:val="center"/>
            <w:hideMark/>
          </w:tcPr>
          <w:p w14:paraId="476FD146" w14:textId="77777777" w:rsidR="00D60513" w:rsidRPr="00191E14" w:rsidRDefault="00D60513" w:rsidP="00A4484E">
            <w:pPr>
              <w:spacing w:after="0" w:line="240" w:lineRule="auto"/>
              <w:jc w:val="right"/>
              <w:rPr>
                <w:rFonts w:cs="Arial"/>
                <w:sz w:val="15"/>
                <w:szCs w:val="15"/>
              </w:rPr>
            </w:pPr>
            <w:r w:rsidRPr="00191E14">
              <w:rPr>
                <w:rFonts w:cs="Arial"/>
                <w:sz w:val="15"/>
                <w:szCs w:val="15"/>
              </w:rPr>
              <w:t>717</w:t>
            </w:r>
          </w:p>
        </w:tc>
        <w:tc>
          <w:tcPr>
            <w:tcW w:w="920" w:type="dxa"/>
            <w:shd w:val="clear" w:color="auto" w:fill="auto"/>
            <w:vAlign w:val="center"/>
            <w:hideMark/>
          </w:tcPr>
          <w:p w14:paraId="27BC379C" w14:textId="77777777" w:rsidR="00D60513" w:rsidRPr="00191E14" w:rsidRDefault="00D60513" w:rsidP="00A4484E">
            <w:pPr>
              <w:spacing w:after="0" w:line="240" w:lineRule="auto"/>
              <w:jc w:val="right"/>
              <w:rPr>
                <w:rFonts w:cs="Arial"/>
                <w:sz w:val="15"/>
                <w:szCs w:val="15"/>
              </w:rPr>
            </w:pPr>
            <w:r w:rsidRPr="00191E14">
              <w:rPr>
                <w:rFonts w:cs="Arial"/>
                <w:sz w:val="15"/>
                <w:szCs w:val="15"/>
              </w:rPr>
              <w:t>764</w:t>
            </w:r>
          </w:p>
        </w:tc>
        <w:tc>
          <w:tcPr>
            <w:tcW w:w="1053" w:type="dxa"/>
            <w:shd w:val="clear" w:color="auto" w:fill="auto"/>
            <w:vAlign w:val="center"/>
            <w:hideMark/>
          </w:tcPr>
          <w:p w14:paraId="7AAE1297" w14:textId="77777777" w:rsidR="00D60513" w:rsidRPr="00191E14" w:rsidRDefault="00D60513" w:rsidP="00A4484E">
            <w:pPr>
              <w:spacing w:after="0" w:line="240" w:lineRule="auto"/>
              <w:jc w:val="right"/>
              <w:rPr>
                <w:rFonts w:cs="Arial"/>
                <w:sz w:val="15"/>
                <w:szCs w:val="15"/>
              </w:rPr>
            </w:pPr>
            <w:r w:rsidRPr="00191E14">
              <w:rPr>
                <w:rFonts w:cs="Arial"/>
                <w:sz w:val="15"/>
                <w:szCs w:val="15"/>
              </w:rPr>
              <w:t>783</w:t>
            </w:r>
          </w:p>
        </w:tc>
      </w:tr>
      <w:tr w:rsidR="008B4376" w:rsidRPr="00191E14" w14:paraId="7898A97B" w14:textId="77777777" w:rsidTr="005660DE">
        <w:trPr>
          <w:cantSplit/>
          <w:trHeight w:val="171"/>
          <w:jc w:val="center"/>
        </w:trPr>
        <w:tc>
          <w:tcPr>
            <w:tcW w:w="6093" w:type="dxa"/>
            <w:shd w:val="clear" w:color="auto" w:fill="auto"/>
            <w:vAlign w:val="center"/>
            <w:hideMark/>
          </w:tcPr>
          <w:p w14:paraId="05AE86AF" w14:textId="77777777" w:rsidR="00D60513" w:rsidRPr="00191E14" w:rsidRDefault="00D60513" w:rsidP="00A4484E">
            <w:pPr>
              <w:spacing w:after="0" w:line="240" w:lineRule="auto"/>
              <w:jc w:val="left"/>
              <w:rPr>
                <w:rFonts w:cs="Arial"/>
                <w:sz w:val="15"/>
                <w:szCs w:val="15"/>
              </w:rPr>
            </w:pPr>
            <w:r w:rsidRPr="00191E14">
              <w:rPr>
                <w:rFonts w:cs="Arial"/>
                <w:sz w:val="15"/>
                <w:szCs w:val="15"/>
              </w:rPr>
              <w:t>Αντικριζόμενα έσοδα (καθαρά)</w:t>
            </w:r>
          </w:p>
        </w:tc>
        <w:tc>
          <w:tcPr>
            <w:tcW w:w="1115" w:type="dxa"/>
            <w:shd w:val="clear" w:color="auto" w:fill="auto"/>
            <w:vAlign w:val="center"/>
            <w:hideMark/>
          </w:tcPr>
          <w:p w14:paraId="1371A0AD" w14:textId="77777777" w:rsidR="00D60513" w:rsidRPr="00191E14" w:rsidRDefault="00D60513" w:rsidP="00A4484E">
            <w:pPr>
              <w:spacing w:after="0" w:line="240" w:lineRule="auto"/>
              <w:jc w:val="right"/>
              <w:rPr>
                <w:rFonts w:cs="Arial"/>
                <w:sz w:val="15"/>
                <w:szCs w:val="15"/>
              </w:rPr>
            </w:pPr>
            <w:r w:rsidRPr="00191E14">
              <w:rPr>
                <w:rFonts w:cs="Arial"/>
                <w:sz w:val="15"/>
                <w:szCs w:val="15"/>
              </w:rPr>
              <w:t>29</w:t>
            </w:r>
          </w:p>
        </w:tc>
        <w:tc>
          <w:tcPr>
            <w:tcW w:w="1177" w:type="dxa"/>
            <w:shd w:val="clear" w:color="auto" w:fill="auto"/>
            <w:vAlign w:val="center"/>
            <w:hideMark/>
          </w:tcPr>
          <w:p w14:paraId="092DC0B1"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920" w:type="dxa"/>
            <w:shd w:val="clear" w:color="auto" w:fill="auto"/>
            <w:vAlign w:val="center"/>
            <w:hideMark/>
          </w:tcPr>
          <w:p w14:paraId="3B460534"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c>
          <w:tcPr>
            <w:tcW w:w="1053" w:type="dxa"/>
            <w:shd w:val="clear" w:color="auto" w:fill="auto"/>
            <w:vAlign w:val="center"/>
            <w:hideMark/>
          </w:tcPr>
          <w:p w14:paraId="0842753F" w14:textId="77777777" w:rsidR="00D60513" w:rsidRPr="00191E14" w:rsidRDefault="00D60513" w:rsidP="00A4484E">
            <w:pPr>
              <w:spacing w:after="0" w:line="240" w:lineRule="auto"/>
              <w:jc w:val="right"/>
              <w:rPr>
                <w:rFonts w:cs="Arial"/>
                <w:sz w:val="15"/>
                <w:szCs w:val="15"/>
              </w:rPr>
            </w:pPr>
            <w:r w:rsidRPr="00191E14">
              <w:rPr>
                <w:rFonts w:cs="Arial"/>
                <w:sz w:val="15"/>
                <w:szCs w:val="15"/>
              </w:rPr>
              <w:t>0</w:t>
            </w:r>
          </w:p>
        </w:tc>
      </w:tr>
      <w:tr w:rsidR="008B4376" w:rsidRPr="00191E14" w14:paraId="767DDE57" w14:textId="77777777" w:rsidTr="005660DE">
        <w:trPr>
          <w:cantSplit/>
          <w:trHeight w:val="171"/>
          <w:jc w:val="center"/>
        </w:trPr>
        <w:tc>
          <w:tcPr>
            <w:tcW w:w="6093" w:type="dxa"/>
            <w:shd w:val="clear" w:color="auto" w:fill="auto"/>
            <w:vAlign w:val="center"/>
            <w:hideMark/>
          </w:tcPr>
          <w:p w14:paraId="13AACB59"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Λοιπά έσοδα</w:t>
            </w:r>
          </w:p>
        </w:tc>
        <w:tc>
          <w:tcPr>
            <w:tcW w:w="1115" w:type="dxa"/>
            <w:shd w:val="clear" w:color="auto" w:fill="auto"/>
            <w:vAlign w:val="center"/>
            <w:hideMark/>
          </w:tcPr>
          <w:p w14:paraId="1A47CBF5" w14:textId="77777777" w:rsidR="00D60513" w:rsidRPr="00191E14" w:rsidRDefault="00D60513" w:rsidP="00A4484E">
            <w:pPr>
              <w:spacing w:after="0" w:line="240" w:lineRule="auto"/>
              <w:jc w:val="right"/>
              <w:rPr>
                <w:rFonts w:cs="Arial"/>
                <w:sz w:val="15"/>
                <w:szCs w:val="15"/>
              </w:rPr>
            </w:pPr>
            <w:r w:rsidRPr="00191E14">
              <w:rPr>
                <w:rFonts w:cs="Arial"/>
                <w:sz w:val="15"/>
                <w:szCs w:val="15"/>
              </w:rPr>
              <w:t>291</w:t>
            </w:r>
          </w:p>
        </w:tc>
        <w:tc>
          <w:tcPr>
            <w:tcW w:w="1177" w:type="dxa"/>
            <w:shd w:val="clear" w:color="auto" w:fill="auto"/>
            <w:vAlign w:val="center"/>
            <w:hideMark/>
          </w:tcPr>
          <w:p w14:paraId="4F683970" w14:textId="77777777" w:rsidR="00D60513" w:rsidRPr="00191E14" w:rsidRDefault="00D60513" w:rsidP="00A4484E">
            <w:pPr>
              <w:spacing w:after="0" w:line="240" w:lineRule="auto"/>
              <w:jc w:val="right"/>
              <w:rPr>
                <w:rFonts w:cs="Arial"/>
                <w:sz w:val="15"/>
                <w:szCs w:val="15"/>
              </w:rPr>
            </w:pPr>
            <w:r w:rsidRPr="00191E14">
              <w:rPr>
                <w:rFonts w:cs="Arial"/>
                <w:sz w:val="15"/>
                <w:szCs w:val="15"/>
              </w:rPr>
              <w:t>312</w:t>
            </w:r>
          </w:p>
        </w:tc>
        <w:tc>
          <w:tcPr>
            <w:tcW w:w="920" w:type="dxa"/>
            <w:shd w:val="clear" w:color="auto" w:fill="auto"/>
            <w:vAlign w:val="center"/>
            <w:hideMark/>
          </w:tcPr>
          <w:p w14:paraId="6C7069CE" w14:textId="77777777" w:rsidR="00D60513" w:rsidRPr="00191E14" w:rsidRDefault="00D60513" w:rsidP="00A4484E">
            <w:pPr>
              <w:spacing w:after="0" w:line="240" w:lineRule="auto"/>
              <w:jc w:val="right"/>
              <w:rPr>
                <w:rFonts w:cs="Arial"/>
                <w:sz w:val="15"/>
                <w:szCs w:val="15"/>
              </w:rPr>
            </w:pPr>
            <w:r w:rsidRPr="00191E14">
              <w:rPr>
                <w:rFonts w:cs="Arial"/>
                <w:sz w:val="15"/>
                <w:szCs w:val="15"/>
              </w:rPr>
              <w:t>418</w:t>
            </w:r>
          </w:p>
        </w:tc>
        <w:tc>
          <w:tcPr>
            <w:tcW w:w="1053" w:type="dxa"/>
            <w:shd w:val="clear" w:color="auto" w:fill="auto"/>
            <w:vAlign w:val="center"/>
            <w:hideMark/>
          </w:tcPr>
          <w:p w14:paraId="2F980829" w14:textId="77777777" w:rsidR="00D60513" w:rsidRPr="00191E14" w:rsidRDefault="00D60513" w:rsidP="00A4484E">
            <w:pPr>
              <w:spacing w:after="0" w:line="240" w:lineRule="auto"/>
              <w:jc w:val="right"/>
              <w:rPr>
                <w:rFonts w:cs="Arial"/>
                <w:sz w:val="15"/>
                <w:szCs w:val="15"/>
              </w:rPr>
            </w:pPr>
            <w:r w:rsidRPr="00191E14">
              <w:rPr>
                <w:rFonts w:cs="Arial"/>
                <w:sz w:val="15"/>
                <w:szCs w:val="15"/>
              </w:rPr>
              <w:t>266</w:t>
            </w:r>
          </w:p>
        </w:tc>
      </w:tr>
      <w:tr w:rsidR="008B4376" w:rsidRPr="00191E14" w14:paraId="6D70EE0B" w14:textId="77777777" w:rsidTr="005660DE">
        <w:trPr>
          <w:cantSplit/>
          <w:trHeight w:val="171"/>
          <w:jc w:val="center"/>
        </w:trPr>
        <w:tc>
          <w:tcPr>
            <w:tcW w:w="6093" w:type="dxa"/>
            <w:shd w:val="clear" w:color="auto" w:fill="auto"/>
            <w:vAlign w:val="center"/>
            <w:hideMark/>
          </w:tcPr>
          <w:p w14:paraId="55C79A74" w14:textId="77777777" w:rsidR="00D60513" w:rsidRPr="00191E14" w:rsidRDefault="00D60513" w:rsidP="00A4484E">
            <w:pPr>
              <w:spacing w:after="0" w:line="240" w:lineRule="auto"/>
              <w:jc w:val="left"/>
              <w:rPr>
                <w:rFonts w:cs="Arial"/>
                <w:b/>
                <w:bCs/>
                <w:sz w:val="15"/>
                <w:szCs w:val="15"/>
              </w:rPr>
            </w:pPr>
            <w:r w:rsidRPr="00191E14">
              <w:rPr>
                <w:rFonts w:cs="Arial"/>
                <w:b/>
                <w:bCs/>
                <w:sz w:val="15"/>
                <w:szCs w:val="15"/>
              </w:rPr>
              <w:t>Έξοδα</w:t>
            </w:r>
          </w:p>
        </w:tc>
        <w:tc>
          <w:tcPr>
            <w:tcW w:w="1115" w:type="dxa"/>
            <w:shd w:val="clear" w:color="auto" w:fill="auto"/>
            <w:vAlign w:val="center"/>
            <w:hideMark/>
          </w:tcPr>
          <w:p w14:paraId="657D2EE0"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48.751</w:t>
            </w:r>
          </w:p>
        </w:tc>
        <w:tc>
          <w:tcPr>
            <w:tcW w:w="1177" w:type="dxa"/>
            <w:shd w:val="clear" w:color="auto" w:fill="auto"/>
            <w:vAlign w:val="center"/>
            <w:hideMark/>
          </w:tcPr>
          <w:p w14:paraId="0E7C464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51.167</w:t>
            </w:r>
          </w:p>
        </w:tc>
        <w:tc>
          <w:tcPr>
            <w:tcW w:w="920" w:type="dxa"/>
            <w:shd w:val="clear" w:color="auto" w:fill="auto"/>
            <w:vAlign w:val="center"/>
            <w:hideMark/>
          </w:tcPr>
          <w:p w14:paraId="50A1ECA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52.152</w:t>
            </w:r>
          </w:p>
        </w:tc>
        <w:tc>
          <w:tcPr>
            <w:tcW w:w="1053" w:type="dxa"/>
            <w:shd w:val="clear" w:color="auto" w:fill="auto"/>
            <w:vAlign w:val="center"/>
            <w:hideMark/>
          </w:tcPr>
          <w:p w14:paraId="6EFFFBE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53.710</w:t>
            </w:r>
          </w:p>
        </w:tc>
      </w:tr>
      <w:tr w:rsidR="008B4376" w:rsidRPr="00191E14" w14:paraId="0BA761CA" w14:textId="77777777" w:rsidTr="005660DE">
        <w:trPr>
          <w:cantSplit/>
          <w:trHeight w:val="162"/>
          <w:jc w:val="center"/>
        </w:trPr>
        <w:tc>
          <w:tcPr>
            <w:tcW w:w="6093" w:type="dxa"/>
            <w:shd w:val="clear" w:color="auto" w:fill="auto"/>
            <w:vAlign w:val="center"/>
            <w:hideMark/>
          </w:tcPr>
          <w:p w14:paraId="2068FD55" w14:textId="16F3E2E3" w:rsidR="00D60513" w:rsidRPr="00191E14" w:rsidRDefault="007672A0" w:rsidP="00A4484E">
            <w:pPr>
              <w:spacing w:after="0" w:line="240" w:lineRule="auto"/>
              <w:jc w:val="left"/>
              <w:rPr>
                <w:rFonts w:cs="Arial"/>
                <w:sz w:val="15"/>
                <w:szCs w:val="15"/>
              </w:rPr>
            </w:pPr>
            <w:r w:rsidRPr="00191E14">
              <w:rPr>
                <w:rFonts w:cs="Arial"/>
                <w:sz w:val="15"/>
                <w:szCs w:val="15"/>
              </w:rPr>
              <w:t>Παροχές</w:t>
            </w:r>
            <w:r w:rsidR="00D60513" w:rsidRPr="00191E14">
              <w:rPr>
                <w:rFonts w:cs="Arial"/>
                <w:sz w:val="15"/>
                <w:szCs w:val="15"/>
              </w:rPr>
              <w:t xml:space="preserve"> σε </w:t>
            </w:r>
            <w:r w:rsidR="00191E14">
              <w:rPr>
                <w:rFonts w:cs="Arial"/>
                <w:sz w:val="15"/>
                <w:szCs w:val="15"/>
              </w:rPr>
              <w:t>ε</w:t>
            </w:r>
            <w:r w:rsidR="00D60513" w:rsidRPr="00191E14">
              <w:rPr>
                <w:rFonts w:cs="Arial"/>
                <w:sz w:val="15"/>
                <w:szCs w:val="15"/>
              </w:rPr>
              <w:t>ργαζ</w:t>
            </w:r>
            <w:r w:rsidR="00191E14">
              <w:rPr>
                <w:rFonts w:cs="Arial"/>
                <w:sz w:val="15"/>
                <w:szCs w:val="15"/>
              </w:rPr>
              <w:t>ό</w:t>
            </w:r>
            <w:r w:rsidR="00D60513" w:rsidRPr="00191E14">
              <w:rPr>
                <w:rFonts w:cs="Arial"/>
                <w:sz w:val="15"/>
                <w:szCs w:val="15"/>
              </w:rPr>
              <w:t>μενους</w:t>
            </w:r>
          </w:p>
        </w:tc>
        <w:tc>
          <w:tcPr>
            <w:tcW w:w="1115" w:type="dxa"/>
            <w:shd w:val="clear" w:color="auto" w:fill="auto"/>
            <w:vAlign w:val="center"/>
            <w:hideMark/>
          </w:tcPr>
          <w:p w14:paraId="76CB578E" w14:textId="77777777" w:rsidR="00D60513" w:rsidRPr="00191E14" w:rsidRDefault="00D60513" w:rsidP="00A4484E">
            <w:pPr>
              <w:spacing w:after="0" w:line="240" w:lineRule="auto"/>
              <w:jc w:val="right"/>
              <w:rPr>
                <w:rFonts w:cs="Arial"/>
                <w:sz w:val="15"/>
                <w:szCs w:val="15"/>
              </w:rPr>
            </w:pPr>
            <w:r w:rsidRPr="00191E14">
              <w:rPr>
                <w:rFonts w:cs="Arial"/>
                <w:sz w:val="15"/>
                <w:szCs w:val="15"/>
              </w:rPr>
              <w:t>384</w:t>
            </w:r>
          </w:p>
        </w:tc>
        <w:tc>
          <w:tcPr>
            <w:tcW w:w="1177" w:type="dxa"/>
            <w:shd w:val="clear" w:color="auto" w:fill="auto"/>
            <w:vAlign w:val="center"/>
            <w:hideMark/>
          </w:tcPr>
          <w:p w14:paraId="71EACCD5" w14:textId="77777777" w:rsidR="00D60513" w:rsidRPr="00191E14" w:rsidRDefault="00D60513" w:rsidP="00A4484E">
            <w:pPr>
              <w:spacing w:after="0" w:line="240" w:lineRule="auto"/>
              <w:jc w:val="right"/>
              <w:rPr>
                <w:rFonts w:cs="Arial"/>
                <w:sz w:val="15"/>
                <w:szCs w:val="15"/>
              </w:rPr>
            </w:pPr>
            <w:r w:rsidRPr="00191E14">
              <w:rPr>
                <w:rFonts w:cs="Arial"/>
                <w:sz w:val="15"/>
                <w:szCs w:val="15"/>
              </w:rPr>
              <w:t>395</w:t>
            </w:r>
          </w:p>
        </w:tc>
        <w:tc>
          <w:tcPr>
            <w:tcW w:w="920" w:type="dxa"/>
            <w:shd w:val="clear" w:color="auto" w:fill="auto"/>
            <w:vAlign w:val="center"/>
            <w:hideMark/>
          </w:tcPr>
          <w:p w14:paraId="57C0F719" w14:textId="77777777" w:rsidR="00D60513" w:rsidRPr="00191E14" w:rsidRDefault="00D60513" w:rsidP="00A4484E">
            <w:pPr>
              <w:spacing w:after="0" w:line="240" w:lineRule="auto"/>
              <w:jc w:val="right"/>
              <w:rPr>
                <w:rFonts w:cs="Arial"/>
                <w:sz w:val="15"/>
                <w:szCs w:val="15"/>
              </w:rPr>
            </w:pPr>
            <w:r w:rsidRPr="00191E14">
              <w:rPr>
                <w:rFonts w:cs="Arial"/>
                <w:sz w:val="15"/>
                <w:szCs w:val="15"/>
              </w:rPr>
              <w:t>382</w:t>
            </w:r>
          </w:p>
        </w:tc>
        <w:tc>
          <w:tcPr>
            <w:tcW w:w="1053" w:type="dxa"/>
            <w:shd w:val="clear" w:color="auto" w:fill="auto"/>
            <w:vAlign w:val="center"/>
            <w:hideMark/>
          </w:tcPr>
          <w:p w14:paraId="20D44D54" w14:textId="77777777" w:rsidR="00D60513" w:rsidRPr="00191E14" w:rsidRDefault="00D60513" w:rsidP="00A4484E">
            <w:pPr>
              <w:spacing w:after="0" w:line="240" w:lineRule="auto"/>
              <w:jc w:val="right"/>
              <w:rPr>
                <w:rFonts w:cs="Arial"/>
                <w:sz w:val="15"/>
                <w:szCs w:val="15"/>
              </w:rPr>
            </w:pPr>
            <w:r w:rsidRPr="00191E14">
              <w:rPr>
                <w:rFonts w:cs="Arial"/>
                <w:sz w:val="15"/>
                <w:szCs w:val="15"/>
              </w:rPr>
              <w:t>407</w:t>
            </w:r>
          </w:p>
        </w:tc>
      </w:tr>
      <w:tr w:rsidR="008B4376" w:rsidRPr="00191E14" w14:paraId="7423DC6B" w14:textId="77777777" w:rsidTr="005660DE">
        <w:trPr>
          <w:cantSplit/>
          <w:trHeight w:val="171"/>
          <w:jc w:val="center"/>
        </w:trPr>
        <w:tc>
          <w:tcPr>
            <w:tcW w:w="6093" w:type="dxa"/>
            <w:shd w:val="clear" w:color="auto" w:fill="auto"/>
            <w:vAlign w:val="center"/>
            <w:hideMark/>
          </w:tcPr>
          <w:p w14:paraId="2F5F46CB" w14:textId="5633E184" w:rsidR="00D60513" w:rsidRPr="00191E14" w:rsidRDefault="00D60513" w:rsidP="00A4484E">
            <w:pPr>
              <w:spacing w:after="0" w:line="240" w:lineRule="auto"/>
              <w:jc w:val="left"/>
              <w:rPr>
                <w:rFonts w:cs="Arial"/>
                <w:sz w:val="15"/>
                <w:szCs w:val="15"/>
              </w:rPr>
            </w:pPr>
            <w:r w:rsidRPr="00191E14">
              <w:rPr>
                <w:rFonts w:cs="Arial"/>
                <w:sz w:val="15"/>
                <w:szCs w:val="15"/>
              </w:rPr>
              <w:t>Κοινωνικές παροχές</w:t>
            </w:r>
          </w:p>
        </w:tc>
        <w:tc>
          <w:tcPr>
            <w:tcW w:w="1115" w:type="dxa"/>
            <w:shd w:val="clear" w:color="auto" w:fill="auto"/>
            <w:vAlign w:val="center"/>
            <w:hideMark/>
          </w:tcPr>
          <w:p w14:paraId="752BAD5D" w14:textId="77777777" w:rsidR="00D60513" w:rsidRPr="00191E14" w:rsidRDefault="00D60513" w:rsidP="00A4484E">
            <w:pPr>
              <w:spacing w:after="0" w:line="240" w:lineRule="auto"/>
              <w:jc w:val="right"/>
              <w:rPr>
                <w:rFonts w:cs="Arial"/>
                <w:sz w:val="15"/>
                <w:szCs w:val="15"/>
              </w:rPr>
            </w:pPr>
            <w:r w:rsidRPr="00191E14">
              <w:rPr>
                <w:rFonts w:cs="Arial"/>
                <w:sz w:val="15"/>
                <w:szCs w:val="15"/>
              </w:rPr>
              <w:t>40.410</w:t>
            </w:r>
          </w:p>
        </w:tc>
        <w:tc>
          <w:tcPr>
            <w:tcW w:w="1177" w:type="dxa"/>
            <w:shd w:val="clear" w:color="auto" w:fill="auto"/>
            <w:vAlign w:val="center"/>
            <w:hideMark/>
          </w:tcPr>
          <w:p w14:paraId="27A6BDE6" w14:textId="77777777" w:rsidR="00D60513" w:rsidRPr="00191E14" w:rsidRDefault="00D60513" w:rsidP="00A4484E">
            <w:pPr>
              <w:spacing w:after="0" w:line="240" w:lineRule="auto"/>
              <w:jc w:val="right"/>
              <w:rPr>
                <w:rFonts w:cs="Arial"/>
                <w:sz w:val="15"/>
                <w:szCs w:val="15"/>
              </w:rPr>
            </w:pPr>
            <w:r w:rsidRPr="00191E14">
              <w:rPr>
                <w:rFonts w:cs="Arial"/>
                <w:sz w:val="15"/>
                <w:szCs w:val="15"/>
              </w:rPr>
              <w:t>42.129</w:t>
            </w:r>
          </w:p>
        </w:tc>
        <w:tc>
          <w:tcPr>
            <w:tcW w:w="920" w:type="dxa"/>
            <w:shd w:val="clear" w:color="auto" w:fill="auto"/>
            <w:vAlign w:val="center"/>
            <w:hideMark/>
          </w:tcPr>
          <w:p w14:paraId="42CFF6CC" w14:textId="77777777" w:rsidR="00D60513" w:rsidRPr="00191E14" w:rsidRDefault="00D60513" w:rsidP="00A4484E">
            <w:pPr>
              <w:spacing w:after="0" w:line="240" w:lineRule="auto"/>
              <w:jc w:val="right"/>
              <w:rPr>
                <w:rFonts w:cs="Arial"/>
                <w:sz w:val="15"/>
                <w:szCs w:val="15"/>
              </w:rPr>
            </w:pPr>
            <w:r w:rsidRPr="00191E14">
              <w:rPr>
                <w:rFonts w:cs="Arial"/>
                <w:sz w:val="15"/>
                <w:szCs w:val="15"/>
              </w:rPr>
              <w:t>42.042</w:t>
            </w:r>
          </w:p>
        </w:tc>
        <w:tc>
          <w:tcPr>
            <w:tcW w:w="1053" w:type="dxa"/>
            <w:shd w:val="clear" w:color="auto" w:fill="auto"/>
            <w:vAlign w:val="center"/>
            <w:hideMark/>
          </w:tcPr>
          <w:p w14:paraId="3F3BCC92" w14:textId="77777777" w:rsidR="00D60513" w:rsidRPr="00191E14" w:rsidRDefault="00D60513" w:rsidP="00A4484E">
            <w:pPr>
              <w:spacing w:after="0" w:line="240" w:lineRule="auto"/>
              <w:jc w:val="right"/>
              <w:rPr>
                <w:rFonts w:cs="Arial"/>
                <w:sz w:val="15"/>
                <w:szCs w:val="15"/>
              </w:rPr>
            </w:pPr>
            <w:r w:rsidRPr="00191E14">
              <w:rPr>
                <w:rFonts w:cs="Arial"/>
                <w:sz w:val="15"/>
                <w:szCs w:val="15"/>
              </w:rPr>
              <w:t>43.500</w:t>
            </w:r>
          </w:p>
        </w:tc>
      </w:tr>
      <w:tr w:rsidR="008B4376" w:rsidRPr="00191E14" w14:paraId="24CE5FA6" w14:textId="77777777" w:rsidTr="005660DE">
        <w:trPr>
          <w:cantSplit/>
          <w:trHeight w:val="171"/>
          <w:jc w:val="center"/>
        </w:trPr>
        <w:tc>
          <w:tcPr>
            <w:tcW w:w="6093" w:type="dxa"/>
            <w:shd w:val="clear" w:color="auto" w:fill="auto"/>
            <w:vAlign w:val="center"/>
            <w:hideMark/>
          </w:tcPr>
          <w:p w14:paraId="1ECBFDD8" w14:textId="68F6EB05" w:rsidR="00D60513" w:rsidRPr="00191E14" w:rsidRDefault="00D60513" w:rsidP="00A4484E">
            <w:pPr>
              <w:tabs>
                <w:tab w:val="left" w:pos="284"/>
              </w:tabs>
              <w:spacing w:after="0" w:line="240" w:lineRule="auto"/>
              <w:jc w:val="left"/>
              <w:rPr>
                <w:rFonts w:cs="Arial"/>
                <w:sz w:val="15"/>
                <w:szCs w:val="15"/>
              </w:rPr>
            </w:pPr>
            <w:r w:rsidRPr="00191E14">
              <w:rPr>
                <w:rFonts w:cs="Arial"/>
                <w:sz w:val="15"/>
                <w:szCs w:val="15"/>
              </w:rPr>
              <w:t>εκ των οποίων</w:t>
            </w:r>
            <w:r w:rsidR="00B0567B">
              <w:rPr>
                <w:rFonts w:cs="Arial"/>
                <w:sz w:val="15"/>
                <w:szCs w:val="15"/>
              </w:rPr>
              <w:t>:</w:t>
            </w:r>
            <w:r w:rsidRPr="00191E14">
              <w:rPr>
                <w:rFonts w:cs="Arial"/>
                <w:sz w:val="15"/>
                <w:szCs w:val="15"/>
              </w:rPr>
              <w:t xml:space="preserve"> συντάξεις</w:t>
            </w:r>
          </w:p>
        </w:tc>
        <w:tc>
          <w:tcPr>
            <w:tcW w:w="1115" w:type="dxa"/>
            <w:shd w:val="clear" w:color="auto" w:fill="auto"/>
            <w:vAlign w:val="center"/>
            <w:hideMark/>
          </w:tcPr>
          <w:p w14:paraId="12D5FC72" w14:textId="77777777" w:rsidR="00D60513" w:rsidRPr="00191E14" w:rsidRDefault="00D60513" w:rsidP="00A4484E">
            <w:pPr>
              <w:spacing w:after="0" w:line="240" w:lineRule="auto"/>
              <w:jc w:val="right"/>
              <w:rPr>
                <w:rFonts w:cs="Arial"/>
                <w:sz w:val="15"/>
                <w:szCs w:val="15"/>
              </w:rPr>
            </w:pPr>
            <w:r w:rsidRPr="00191E14">
              <w:rPr>
                <w:rFonts w:cs="Arial"/>
                <w:sz w:val="15"/>
                <w:szCs w:val="15"/>
              </w:rPr>
              <w:t>33.343</w:t>
            </w:r>
          </w:p>
        </w:tc>
        <w:tc>
          <w:tcPr>
            <w:tcW w:w="1177" w:type="dxa"/>
            <w:shd w:val="clear" w:color="auto" w:fill="auto"/>
            <w:vAlign w:val="center"/>
            <w:hideMark/>
          </w:tcPr>
          <w:p w14:paraId="36426500" w14:textId="77777777" w:rsidR="00D60513" w:rsidRPr="00191E14" w:rsidRDefault="00D60513" w:rsidP="00A4484E">
            <w:pPr>
              <w:spacing w:after="0" w:line="240" w:lineRule="auto"/>
              <w:jc w:val="right"/>
              <w:rPr>
                <w:rFonts w:cs="Arial"/>
                <w:sz w:val="15"/>
                <w:szCs w:val="15"/>
              </w:rPr>
            </w:pPr>
            <w:r w:rsidRPr="00191E14">
              <w:rPr>
                <w:rFonts w:cs="Arial"/>
                <w:sz w:val="15"/>
                <w:szCs w:val="15"/>
              </w:rPr>
              <w:t>34.567</w:t>
            </w:r>
          </w:p>
        </w:tc>
        <w:tc>
          <w:tcPr>
            <w:tcW w:w="920" w:type="dxa"/>
            <w:shd w:val="clear" w:color="auto" w:fill="auto"/>
            <w:vAlign w:val="center"/>
            <w:hideMark/>
          </w:tcPr>
          <w:p w14:paraId="2C2984B2" w14:textId="77777777" w:rsidR="00D60513" w:rsidRPr="00191E14" w:rsidRDefault="00D60513" w:rsidP="00A4484E">
            <w:pPr>
              <w:spacing w:after="0" w:line="240" w:lineRule="auto"/>
              <w:jc w:val="right"/>
              <w:rPr>
                <w:rFonts w:cs="Arial"/>
                <w:sz w:val="15"/>
                <w:szCs w:val="15"/>
              </w:rPr>
            </w:pPr>
            <w:r w:rsidRPr="00191E14">
              <w:rPr>
                <w:rFonts w:cs="Arial"/>
                <w:sz w:val="15"/>
                <w:szCs w:val="15"/>
              </w:rPr>
              <w:t>34.316</w:t>
            </w:r>
          </w:p>
        </w:tc>
        <w:tc>
          <w:tcPr>
            <w:tcW w:w="1053" w:type="dxa"/>
            <w:shd w:val="clear" w:color="auto" w:fill="auto"/>
            <w:vAlign w:val="center"/>
            <w:hideMark/>
          </w:tcPr>
          <w:p w14:paraId="4FD47662" w14:textId="77777777" w:rsidR="00D60513" w:rsidRPr="00191E14" w:rsidRDefault="00D60513" w:rsidP="00A4484E">
            <w:pPr>
              <w:spacing w:after="0" w:line="240" w:lineRule="auto"/>
              <w:jc w:val="right"/>
              <w:rPr>
                <w:rFonts w:cs="Arial"/>
                <w:sz w:val="15"/>
                <w:szCs w:val="15"/>
              </w:rPr>
            </w:pPr>
            <w:r w:rsidRPr="00191E14">
              <w:rPr>
                <w:rFonts w:cs="Arial"/>
                <w:sz w:val="15"/>
                <w:szCs w:val="15"/>
              </w:rPr>
              <w:t>35.660</w:t>
            </w:r>
          </w:p>
        </w:tc>
      </w:tr>
      <w:tr w:rsidR="008B4376" w:rsidRPr="00191E14" w14:paraId="414DE238" w14:textId="77777777" w:rsidTr="005660DE">
        <w:trPr>
          <w:cantSplit/>
          <w:trHeight w:val="171"/>
          <w:jc w:val="center"/>
        </w:trPr>
        <w:tc>
          <w:tcPr>
            <w:tcW w:w="6093" w:type="dxa"/>
            <w:shd w:val="clear" w:color="auto" w:fill="auto"/>
            <w:vAlign w:val="center"/>
            <w:hideMark/>
          </w:tcPr>
          <w:p w14:paraId="1C38392D" w14:textId="77777777" w:rsidR="00D60513" w:rsidRPr="00191E14" w:rsidRDefault="00D60513" w:rsidP="00A4484E">
            <w:pPr>
              <w:spacing w:after="0" w:line="240" w:lineRule="auto"/>
              <w:jc w:val="left"/>
              <w:rPr>
                <w:rFonts w:cs="Arial"/>
                <w:sz w:val="15"/>
                <w:szCs w:val="15"/>
              </w:rPr>
            </w:pPr>
            <w:r w:rsidRPr="00191E14">
              <w:rPr>
                <w:rFonts w:cs="Arial"/>
                <w:sz w:val="15"/>
                <w:szCs w:val="15"/>
              </w:rPr>
              <w:t>Κοινωνικές παροχές σε είδος</w:t>
            </w:r>
          </w:p>
        </w:tc>
        <w:tc>
          <w:tcPr>
            <w:tcW w:w="1115" w:type="dxa"/>
            <w:shd w:val="clear" w:color="auto" w:fill="auto"/>
            <w:vAlign w:val="center"/>
            <w:hideMark/>
          </w:tcPr>
          <w:p w14:paraId="33F62CF8" w14:textId="77777777" w:rsidR="00D60513" w:rsidRPr="00191E14" w:rsidRDefault="00D60513" w:rsidP="00A4484E">
            <w:pPr>
              <w:spacing w:after="0" w:line="240" w:lineRule="auto"/>
              <w:jc w:val="right"/>
              <w:rPr>
                <w:rFonts w:cs="Arial"/>
                <w:sz w:val="15"/>
                <w:szCs w:val="15"/>
              </w:rPr>
            </w:pPr>
            <w:r w:rsidRPr="00191E14">
              <w:rPr>
                <w:rFonts w:cs="Arial"/>
                <w:sz w:val="15"/>
                <w:szCs w:val="15"/>
              </w:rPr>
              <w:t>5.145</w:t>
            </w:r>
          </w:p>
        </w:tc>
        <w:tc>
          <w:tcPr>
            <w:tcW w:w="1177" w:type="dxa"/>
            <w:shd w:val="clear" w:color="auto" w:fill="auto"/>
            <w:vAlign w:val="center"/>
            <w:hideMark/>
          </w:tcPr>
          <w:p w14:paraId="0627F3B9" w14:textId="77777777" w:rsidR="00D60513" w:rsidRPr="00191E14" w:rsidRDefault="00D60513" w:rsidP="00A4484E">
            <w:pPr>
              <w:spacing w:after="0" w:line="240" w:lineRule="auto"/>
              <w:jc w:val="right"/>
              <w:rPr>
                <w:rFonts w:cs="Arial"/>
                <w:sz w:val="15"/>
                <w:szCs w:val="15"/>
              </w:rPr>
            </w:pPr>
            <w:r w:rsidRPr="00191E14">
              <w:rPr>
                <w:rFonts w:cs="Arial"/>
                <w:sz w:val="15"/>
                <w:szCs w:val="15"/>
              </w:rPr>
              <w:t>5.468</w:t>
            </w:r>
          </w:p>
        </w:tc>
        <w:tc>
          <w:tcPr>
            <w:tcW w:w="920" w:type="dxa"/>
            <w:shd w:val="clear" w:color="auto" w:fill="auto"/>
            <w:vAlign w:val="center"/>
            <w:hideMark/>
          </w:tcPr>
          <w:p w14:paraId="45BDBA93" w14:textId="77777777" w:rsidR="00D60513" w:rsidRPr="00191E14" w:rsidRDefault="00D60513" w:rsidP="00A4484E">
            <w:pPr>
              <w:spacing w:after="0" w:line="240" w:lineRule="auto"/>
              <w:jc w:val="right"/>
              <w:rPr>
                <w:rFonts w:cs="Arial"/>
                <w:sz w:val="15"/>
                <w:szCs w:val="15"/>
              </w:rPr>
            </w:pPr>
            <w:r w:rsidRPr="00191E14">
              <w:rPr>
                <w:rFonts w:cs="Arial"/>
                <w:sz w:val="15"/>
                <w:szCs w:val="15"/>
              </w:rPr>
              <w:t>5.508</w:t>
            </w:r>
          </w:p>
        </w:tc>
        <w:tc>
          <w:tcPr>
            <w:tcW w:w="1053" w:type="dxa"/>
            <w:shd w:val="clear" w:color="auto" w:fill="auto"/>
            <w:vAlign w:val="center"/>
            <w:hideMark/>
          </w:tcPr>
          <w:p w14:paraId="1AAB865A" w14:textId="77777777" w:rsidR="00D60513" w:rsidRPr="00191E14" w:rsidRDefault="00D60513" w:rsidP="00A4484E">
            <w:pPr>
              <w:spacing w:after="0" w:line="240" w:lineRule="auto"/>
              <w:jc w:val="right"/>
              <w:rPr>
                <w:rFonts w:cs="Arial"/>
                <w:sz w:val="15"/>
                <w:szCs w:val="15"/>
              </w:rPr>
            </w:pPr>
            <w:r w:rsidRPr="00191E14">
              <w:rPr>
                <w:rFonts w:cs="Arial"/>
                <w:sz w:val="15"/>
                <w:szCs w:val="15"/>
              </w:rPr>
              <w:t>5.758</w:t>
            </w:r>
          </w:p>
        </w:tc>
      </w:tr>
      <w:tr w:rsidR="008B4376" w:rsidRPr="00191E14" w14:paraId="20BAD6AB" w14:textId="77777777" w:rsidTr="005660DE">
        <w:trPr>
          <w:cantSplit/>
          <w:trHeight w:val="162"/>
          <w:jc w:val="center"/>
        </w:trPr>
        <w:tc>
          <w:tcPr>
            <w:tcW w:w="6093" w:type="dxa"/>
            <w:shd w:val="clear" w:color="auto" w:fill="auto"/>
            <w:vAlign w:val="center"/>
            <w:hideMark/>
          </w:tcPr>
          <w:p w14:paraId="63EC48AC" w14:textId="77777777" w:rsidR="00D60513" w:rsidRPr="00191E14" w:rsidRDefault="00D60513" w:rsidP="00A4484E">
            <w:pPr>
              <w:spacing w:after="0" w:line="240" w:lineRule="auto"/>
              <w:jc w:val="left"/>
              <w:rPr>
                <w:rFonts w:cs="Arial"/>
                <w:sz w:val="15"/>
                <w:szCs w:val="15"/>
              </w:rPr>
            </w:pPr>
            <w:r w:rsidRPr="00191E14">
              <w:rPr>
                <w:rFonts w:cs="Arial"/>
                <w:sz w:val="15"/>
                <w:szCs w:val="15"/>
              </w:rPr>
              <w:t>Λοιπά έξοδα</w:t>
            </w:r>
          </w:p>
        </w:tc>
        <w:tc>
          <w:tcPr>
            <w:tcW w:w="1115" w:type="dxa"/>
            <w:shd w:val="clear" w:color="auto" w:fill="auto"/>
            <w:vAlign w:val="center"/>
            <w:hideMark/>
          </w:tcPr>
          <w:p w14:paraId="7AACCF83" w14:textId="77777777" w:rsidR="00D60513" w:rsidRPr="00191E14" w:rsidRDefault="00D60513" w:rsidP="00A4484E">
            <w:pPr>
              <w:spacing w:after="0" w:line="240" w:lineRule="auto"/>
              <w:jc w:val="right"/>
              <w:rPr>
                <w:rFonts w:cs="Arial"/>
                <w:sz w:val="15"/>
                <w:szCs w:val="15"/>
              </w:rPr>
            </w:pPr>
            <w:r w:rsidRPr="00191E14">
              <w:rPr>
                <w:rFonts w:cs="Arial"/>
                <w:sz w:val="15"/>
                <w:szCs w:val="15"/>
              </w:rPr>
              <w:t>635</w:t>
            </w:r>
          </w:p>
        </w:tc>
        <w:tc>
          <w:tcPr>
            <w:tcW w:w="1177" w:type="dxa"/>
            <w:shd w:val="clear" w:color="auto" w:fill="auto"/>
            <w:vAlign w:val="center"/>
            <w:hideMark/>
          </w:tcPr>
          <w:p w14:paraId="52A1DD68" w14:textId="77777777" w:rsidR="00D60513" w:rsidRPr="00191E14" w:rsidRDefault="00D60513" w:rsidP="00A4484E">
            <w:pPr>
              <w:spacing w:after="0" w:line="240" w:lineRule="auto"/>
              <w:jc w:val="right"/>
              <w:rPr>
                <w:rFonts w:cs="Arial"/>
                <w:sz w:val="15"/>
                <w:szCs w:val="15"/>
              </w:rPr>
            </w:pPr>
            <w:r w:rsidRPr="00191E14">
              <w:rPr>
                <w:rFonts w:cs="Arial"/>
                <w:sz w:val="15"/>
                <w:szCs w:val="15"/>
              </w:rPr>
              <w:t>658</w:t>
            </w:r>
          </w:p>
        </w:tc>
        <w:tc>
          <w:tcPr>
            <w:tcW w:w="920" w:type="dxa"/>
            <w:shd w:val="clear" w:color="auto" w:fill="auto"/>
            <w:vAlign w:val="center"/>
            <w:hideMark/>
          </w:tcPr>
          <w:p w14:paraId="26B7D2B2" w14:textId="77777777" w:rsidR="00D60513" w:rsidRPr="00191E14" w:rsidRDefault="00D60513" w:rsidP="00A4484E">
            <w:pPr>
              <w:spacing w:after="0" w:line="240" w:lineRule="auto"/>
              <w:jc w:val="right"/>
              <w:rPr>
                <w:rFonts w:cs="Arial"/>
                <w:sz w:val="15"/>
                <w:szCs w:val="15"/>
              </w:rPr>
            </w:pPr>
            <w:r w:rsidRPr="00191E14">
              <w:rPr>
                <w:rFonts w:cs="Arial"/>
                <w:sz w:val="15"/>
                <w:szCs w:val="15"/>
              </w:rPr>
              <w:t>733</w:t>
            </w:r>
          </w:p>
        </w:tc>
        <w:tc>
          <w:tcPr>
            <w:tcW w:w="1053" w:type="dxa"/>
            <w:shd w:val="clear" w:color="auto" w:fill="auto"/>
            <w:vAlign w:val="center"/>
            <w:hideMark/>
          </w:tcPr>
          <w:p w14:paraId="751AD06D" w14:textId="77777777" w:rsidR="00D60513" w:rsidRPr="00191E14" w:rsidRDefault="00D60513" w:rsidP="00A4484E">
            <w:pPr>
              <w:spacing w:after="0" w:line="240" w:lineRule="auto"/>
              <w:jc w:val="right"/>
              <w:rPr>
                <w:rFonts w:cs="Arial"/>
                <w:sz w:val="15"/>
                <w:szCs w:val="15"/>
              </w:rPr>
            </w:pPr>
            <w:r w:rsidRPr="00191E14">
              <w:rPr>
                <w:rFonts w:cs="Arial"/>
                <w:sz w:val="15"/>
                <w:szCs w:val="15"/>
              </w:rPr>
              <w:t>795</w:t>
            </w:r>
          </w:p>
        </w:tc>
      </w:tr>
      <w:tr w:rsidR="008B4376" w:rsidRPr="00191E14" w14:paraId="109816DD" w14:textId="77777777" w:rsidTr="005660DE">
        <w:trPr>
          <w:cantSplit/>
          <w:trHeight w:val="171"/>
          <w:jc w:val="center"/>
        </w:trPr>
        <w:tc>
          <w:tcPr>
            <w:tcW w:w="6093" w:type="dxa"/>
            <w:shd w:val="clear" w:color="auto" w:fill="auto"/>
            <w:vAlign w:val="center"/>
            <w:hideMark/>
          </w:tcPr>
          <w:p w14:paraId="3ACA1558" w14:textId="77777777" w:rsidR="00D60513" w:rsidRPr="00191E14" w:rsidRDefault="00D60513" w:rsidP="00A4484E">
            <w:pPr>
              <w:spacing w:after="0" w:line="240" w:lineRule="auto"/>
              <w:jc w:val="left"/>
              <w:rPr>
                <w:rFonts w:cs="Arial"/>
                <w:sz w:val="15"/>
                <w:szCs w:val="15"/>
              </w:rPr>
            </w:pPr>
            <w:r w:rsidRPr="00191E14">
              <w:rPr>
                <w:rFonts w:cs="Arial"/>
                <w:sz w:val="15"/>
                <w:szCs w:val="15"/>
              </w:rPr>
              <w:t>Επενδυτικές δαπάνες</w:t>
            </w:r>
          </w:p>
        </w:tc>
        <w:tc>
          <w:tcPr>
            <w:tcW w:w="1115" w:type="dxa"/>
            <w:shd w:val="clear" w:color="auto" w:fill="auto"/>
            <w:vAlign w:val="center"/>
            <w:hideMark/>
          </w:tcPr>
          <w:p w14:paraId="75A1A5C9" w14:textId="77777777" w:rsidR="00D60513" w:rsidRPr="00191E14" w:rsidRDefault="00D60513" w:rsidP="00A4484E">
            <w:pPr>
              <w:spacing w:after="0" w:line="240" w:lineRule="auto"/>
              <w:jc w:val="right"/>
              <w:rPr>
                <w:rFonts w:cs="Arial"/>
                <w:sz w:val="15"/>
                <w:szCs w:val="15"/>
              </w:rPr>
            </w:pPr>
            <w:r w:rsidRPr="00191E14">
              <w:rPr>
                <w:rFonts w:cs="Arial"/>
                <w:sz w:val="15"/>
                <w:szCs w:val="15"/>
              </w:rPr>
              <w:t>39</w:t>
            </w:r>
          </w:p>
        </w:tc>
        <w:tc>
          <w:tcPr>
            <w:tcW w:w="1177" w:type="dxa"/>
            <w:shd w:val="clear" w:color="auto" w:fill="auto"/>
            <w:vAlign w:val="center"/>
            <w:hideMark/>
          </w:tcPr>
          <w:p w14:paraId="55620189" w14:textId="77777777" w:rsidR="00D60513" w:rsidRPr="00191E14" w:rsidRDefault="00D60513" w:rsidP="00A4484E">
            <w:pPr>
              <w:spacing w:after="0" w:line="240" w:lineRule="auto"/>
              <w:jc w:val="right"/>
              <w:rPr>
                <w:rFonts w:cs="Arial"/>
                <w:sz w:val="15"/>
                <w:szCs w:val="15"/>
              </w:rPr>
            </w:pPr>
            <w:r w:rsidRPr="00191E14">
              <w:rPr>
                <w:rFonts w:cs="Arial"/>
                <w:sz w:val="15"/>
                <w:szCs w:val="15"/>
              </w:rPr>
              <w:t>69</w:t>
            </w:r>
          </w:p>
        </w:tc>
        <w:tc>
          <w:tcPr>
            <w:tcW w:w="920" w:type="dxa"/>
            <w:shd w:val="clear" w:color="auto" w:fill="auto"/>
            <w:vAlign w:val="center"/>
            <w:hideMark/>
          </w:tcPr>
          <w:p w14:paraId="2BE1C5CE" w14:textId="77777777" w:rsidR="00D60513" w:rsidRPr="00191E14" w:rsidRDefault="00D60513" w:rsidP="00A4484E">
            <w:pPr>
              <w:spacing w:after="0" w:line="240" w:lineRule="auto"/>
              <w:jc w:val="right"/>
              <w:rPr>
                <w:rFonts w:cs="Arial"/>
                <w:sz w:val="15"/>
                <w:szCs w:val="15"/>
              </w:rPr>
            </w:pPr>
            <w:r w:rsidRPr="00191E14">
              <w:rPr>
                <w:rFonts w:cs="Arial"/>
                <w:sz w:val="15"/>
                <w:szCs w:val="15"/>
              </w:rPr>
              <w:t>46</w:t>
            </w:r>
          </w:p>
        </w:tc>
        <w:tc>
          <w:tcPr>
            <w:tcW w:w="1053" w:type="dxa"/>
            <w:shd w:val="clear" w:color="auto" w:fill="auto"/>
            <w:vAlign w:val="center"/>
            <w:hideMark/>
          </w:tcPr>
          <w:p w14:paraId="0F6E2BEF" w14:textId="77777777" w:rsidR="00D60513" w:rsidRPr="00191E14" w:rsidRDefault="00D60513" w:rsidP="00A4484E">
            <w:pPr>
              <w:spacing w:after="0" w:line="240" w:lineRule="auto"/>
              <w:jc w:val="right"/>
              <w:rPr>
                <w:rFonts w:cs="Arial"/>
                <w:sz w:val="15"/>
                <w:szCs w:val="15"/>
              </w:rPr>
            </w:pPr>
            <w:r w:rsidRPr="00191E14">
              <w:rPr>
                <w:rFonts w:cs="Arial"/>
                <w:sz w:val="15"/>
                <w:szCs w:val="15"/>
              </w:rPr>
              <w:t>23</w:t>
            </w:r>
          </w:p>
        </w:tc>
      </w:tr>
      <w:tr w:rsidR="008B4376" w:rsidRPr="00191E14" w14:paraId="4AE97120" w14:textId="77777777" w:rsidTr="005660DE">
        <w:trPr>
          <w:cantSplit/>
          <w:trHeight w:val="171"/>
          <w:jc w:val="center"/>
        </w:trPr>
        <w:tc>
          <w:tcPr>
            <w:tcW w:w="6093" w:type="dxa"/>
            <w:shd w:val="clear" w:color="auto" w:fill="auto"/>
            <w:vAlign w:val="center"/>
            <w:hideMark/>
          </w:tcPr>
          <w:p w14:paraId="35B1E81D" w14:textId="77777777" w:rsidR="00D60513" w:rsidRPr="00191E14" w:rsidRDefault="00D60513" w:rsidP="00A4484E">
            <w:pPr>
              <w:spacing w:after="0" w:line="240" w:lineRule="auto"/>
              <w:jc w:val="left"/>
              <w:rPr>
                <w:rFonts w:cs="Arial"/>
                <w:sz w:val="15"/>
                <w:szCs w:val="15"/>
              </w:rPr>
            </w:pPr>
            <w:r w:rsidRPr="00191E14">
              <w:rPr>
                <w:rFonts w:cs="Arial"/>
                <w:sz w:val="15"/>
                <w:szCs w:val="15"/>
              </w:rPr>
              <w:t>Μεταβιβάσεις</w:t>
            </w:r>
          </w:p>
        </w:tc>
        <w:tc>
          <w:tcPr>
            <w:tcW w:w="1115" w:type="dxa"/>
            <w:shd w:val="clear" w:color="auto" w:fill="auto"/>
            <w:vAlign w:val="center"/>
            <w:hideMark/>
          </w:tcPr>
          <w:p w14:paraId="0522737C" w14:textId="77777777" w:rsidR="00D60513" w:rsidRPr="00191E14" w:rsidRDefault="00D60513" w:rsidP="00A4484E">
            <w:pPr>
              <w:spacing w:after="0" w:line="240" w:lineRule="auto"/>
              <w:jc w:val="right"/>
              <w:rPr>
                <w:rFonts w:cs="Arial"/>
                <w:sz w:val="15"/>
                <w:szCs w:val="15"/>
              </w:rPr>
            </w:pPr>
            <w:r w:rsidRPr="00191E14">
              <w:rPr>
                <w:rFonts w:cs="Arial"/>
                <w:sz w:val="15"/>
                <w:szCs w:val="15"/>
              </w:rPr>
              <w:t>1.522</w:t>
            </w:r>
          </w:p>
        </w:tc>
        <w:tc>
          <w:tcPr>
            <w:tcW w:w="1177" w:type="dxa"/>
            <w:shd w:val="clear" w:color="auto" w:fill="auto"/>
            <w:vAlign w:val="center"/>
            <w:hideMark/>
          </w:tcPr>
          <w:p w14:paraId="15B51273" w14:textId="77777777" w:rsidR="00D60513" w:rsidRPr="00191E14" w:rsidRDefault="00D60513" w:rsidP="00A4484E">
            <w:pPr>
              <w:spacing w:after="0" w:line="240" w:lineRule="auto"/>
              <w:jc w:val="right"/>
              <w:rPr>
                <w:rFonts w:cs="Arial"/>
                <w:sz w:val="15"/>
                <w:szCs w:val="15"/>
              </w:rPr>
            </w:pPr>
            <w:r w:rsidRPr="00191E14">
              <w:rPr>
                <w:rFonts w:cs="Arial"/>
                <w:sz w:val="15"/>
                <w:szCs w:val="15"/>
              </w:rPr>
              <w:t>1.733</w:t>
            </w:r>
          </w:p>
        </w:tc>
        <w:tc>
          <w:tcPr>
            <w:tcW w:w="920" w:type="dxa"/>
            <w:shd w:val="clear" w:color="auto" w:fill="auto"/>
            <w:vAlign w:val="center"/>
            <w:hideMark/>
          </w:tcPr>
          <w:p w14:paraId="5E91744E" w14:textId="77777777" w:rsidR="00D60513" w:rsidRPr="00191E14" w:rsidRDefault="00D60513" w:rsidP="00A4484E">
            <w:pPr>
              <w:spacing w:after="0" w:line="240" w:lineRule="auto"/>
              <w:jc w:val="right"/>
              <w:rPr>
                <w:rFonts w:cs="Arial"/>
                <w:sz w:val="15"/>
                <w:szCs w:val="15"/>
              </w:rPr>
            </w:pPr>
            <w:r w:rsidRPr="00191E14">
              <w:rPr>
                <w:rFonts w:cs="Arial"/>
                <w:sz w:val="15"/>
                <w:szCs w:val="15"/>
              </w:rPr>
              <w:t>2.645</w:t>
            </w:r>
          </w:p>
        </w:tc>
        <w:tc>
          <w:tcPr>
            <w:tcW w:w="1053" w:type="dxa"/>
            <w:shd w:val="clear" w:color="auto" w:fill="auto"/>
            <w:vAlign w:val="center"/>
            <w:hideMark/>
          </w:tcPr>
          <w:p w14:paraId="0D27CCD3" w14:textId="77777777" w:rsidR="00D60513" w:rsidRPr="00191E14" w:rsidRDefault="00D60513" w:rsidP="00A4484E">
            <w:pPr>
              <w:spacing w:after="0" w:line="240" w:lineRule="auto"/>
              <w:jc w:val="right"/>
              <w:rPr>
                <w:rFonts w:cs="Arial"/>
                <w:sz w:val="15"/>
                <w:szCs w:val="15"/>
              </w:rPr>
            </w:pPr>
            <w:r w:rsidRPr="00191E14">
              <w:rPr>
                <w:rFonts w:cs="Arial"/>
                <w:sz w:val="15"/>
                <w:szCs w:val="15"/>
              </w:rPr>
              <w:t>2.625</w:t>
            </w:r>
          </w:p>
        </w:tc>
      </w:tr>
      <w:tr w:rsidR="008B4376" w:rsidRPr="00191E14" w14:paraId="67C8EFD9" w14:textId="77777777" w:rsidTr="005660DE">
        <w:trPr>
          <w:cantSplit/>
          <w:trHeight w:val="162"/>
          <w:jc w:val="center"/>
        </w:trPr>
        <w:tc>
          <w:tcPr>
            <w:tcW w:w="6093" w:type="dxa"/>
            <w:shd w:val="clear" w:color="auto" w:fill="auto"/>
            <w:vAlign w:val="center"/>
            <w:hideMark/>
          </w:tcPr>
          <w:p w14:paraId="78A5B47C" w14:textId="77777777" w:rsidR="00D60513" w:rsidRPr="00191E14" w:rsidRDefault="00D60513" w:rsidP="00A4484E">
            <w:pPr>
              <w:spacing w:after="0" w:line="240" w:lineRule="auto"/>
              <w:jc w:val="left"/>
              <w:rPr>
                <w:rFonts w:cs="Arial"/>
                <w:sz w:val="15"/>
                <w:szCs w:val="15"/>
              </w:rPr>
            </w:pPr>
            <w:r w:rsidRPr="00191E14">
              <w:rPr>
                <w:rFonts w:cs="Arial"/>
                <w:sz w:val="15"/>
                <w:szCs w:val="15"/>
              </w:rPr>
              <w:t>Επιδοτήσεις</w:t>
            </w:r>
          </w:p>
        </w:tc>
        <w:tc>
          <w:tcPr>
            <w:tcW w:w="1115" w:type="dxa"/>
            <w:shd w:val="clear" w:color="auto" w:fill="auto"/>
            <w:vAlign w:val="center"/>
            <w:hideMark/>
          </w:tcPr>
          <w:p w14:paraId="0809ED6A" w14:textId="77777777" w:rsidR="00D60513" w:rsidRPr="00191E14" w:rsidRDefault="00D60513" w:rsidP="00A4484E">
            <w:pPr>
              <w:spacing w:after="0" w:line="240" w:lineRule="auto"/>
              <w:jc w:val="right"/>
              <w:rPr>
                <w:rFonts w:cs="Arial"/>
                <w:sz w:val="15"/>
                <w:szCs w:val="15"/>
              </w:rPr>
            </w:pPr>
            <w:r w:rsidRPr="00191E14">
              <w:rPr>
                <w:rFonts w:cs="Arial"/>
                <w:sz w:val="15"/>
                <w:szCs w:val="15"/>
              </w:rPr>
              <w:t>615</w:t>
            </w:r>
          </w:p>
        </w:tc>
        <w:tc>
          <w:tcPr>
            <w:tcW w:w="1177" w:type="dxa"/>
            <w:shd w:val="clear" w:color="auto" w:fill="auto"/>
            <w:vAlign w:val="center"/>
            <w:hideMark/>
          </w:tcPr>
          <w:p w14:paraId="7FE5B26D" w14:textId="77777777" w:rsidR="00D60513" w:rsidRPr="00191E14" w:rsidRDefault="00D60513" w:rsidP="00A4484E">
            <w:pPr>
              <w:spacing w:after="0" w:line="240" w:lineRule="auto"/>
              <w:jc w:val="right"/>
              <w:rPr>
                <w:rFonts w:cs="Arial"/>
                <w:sz w:val="15"/>
                <w:szCs w:val="15"/>
              </w:rPr>
            </w:pPr>
            <w:r w:rsidRPr="00191E14">
              <w:rPr>
                <w:rFonts w:cs="Arial"/>
                <w:sz w:val="15"/>
                <w:szCs w:val="15"/>
              </w:rPr>
              <w:t>715</w:t>
            </w:r>
          </w:p>
        </w:tc>
        <w:tc>
          <w:tcPr>
            <w:tcW w:w="920" w:type="dxa"/>
            <w:shd w:val="clear" w:color="auto" w:fill="auto"/>
            <w:vAlign w:val="center"/>
            <w:hideMark/>
          </w:tcPr>
          <w:p w14:paraId="29FB0545" w14:textId="77777777" w:rsidR="00D60513" w:rsidRPr="00191E14" w:rsidRDefault="00D60513" w:rsidP="00A4484E">
            <w:pPr>
              <w:spacing w:after="0" w:line="240" w:lineRule="auto"/>
              <w:jc w:val="right"/>
              <w:rPr>
                <w:rFonts w:cs="Arial"/>
                <w:sz w:val="15"/>
                <w:szCs w:val="15"/>
              </w:rPr>
            </w:pPr>
            <w:r w:rsidRPr="00191E14">
              <w:rPr>
                <w:rFonts w:cs="Arial"/>
                <w:sz w:val="15"/>
                <w:szCs w:val="15"/>
              </w:rPr>
              <w:t>796</w:t>
            </w:r>
          </w:p>
        </w:tc>
        <w:tc>
          <w:tcPr>
            <w:tcW w:w="1053" w:type="dxa"/>
            <w:shd w:val="clear" w:color="auto" w:fill="auto"/>
            <w:vAlign w:val="center"/>
            <w:hideMark/>
          </w:tcPr>
          <w:p w14:paraId="1E0603B5" w14:textId="77777777" w:rsidR="00D60513" w:rsidRPr="00191E14" w:rsidRDefault="00D60513" w:rsidP="00A4484E">
            <w:pPr>
              <w:spacing w:after="0" w:line="240" w:lineRule="auto"/>
              <w:jc w:val="right"/>
              <w:rPr>
                <w:rFonts w:cs="Arial"/>
                <w:sz w:val="15"/>
                <w:szCs w:val="15"/>
              </w:rPr>
            </w:pPr>
            <w:r w:rsidRPr="00191E14">
              <w:rPr>
                <w:rFonts w:cs="Arial"/>
                <w:sz w:val="15"/>
                <w:szCs w:val="15"/>
              </w:rPr>
              <w:t>601</w:t>
            </w:r>
          </w:p>
        </w:tc>
      </w:tr>
      <w:tr w:rsidR="00BB202B" w:rsidRPr="00191E14" w14:paraId="284D4422" w14:textId="77777777" w:rsidTr="005660DE">
        <w:trPr>
          <w:cantSplit/>
          <w:trHeight w:val="171"/>
          <w:jc w:val="center"/>
        </w:trPr>
        <w:tc>
          <w:tcPr>
            <w:tcW w:w="6093" w:type="dxa"/>
            <w:shd w:val="clear" w:color="auto" w:fill="D5DCE4"/>
            <w:vAlign w:val="center"/>
            <w:hideMark/>
          </w:tcPr>
          <w:p w14:paraId="6BCB427A" w14:textId="47321001"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Χ.</w:t>
            </w:r>
            <w:r w:rsidR="00BB202B" w:rsidRPr="00191E14">
              <w:rPr>
                <w:rFonts w:cs="Arial"/>
                <w:b/>
                <w:bCs/>
                <w:sz w:val="15"/>
                <w:szCs w:val="15"/>
              </w:rPr>
              <w:tab/>
            </w:r>
            <w:r w:rsidRPr="00191E14">
              <w:rPr>
                <w:rFonts w:cs="Arial"/>
                <w:b/>
                <w:bCs/>
                <w:sz w:val="15"/>
                <w:szCs w:val="15"/>
              </w:rPr>
              <w:t>Ισοζύγιο Γενικής Κυβέρνησης κατά ESA (VΙΙ+VIII+IX)</w:t>
            </w:r>
          </w:p>
        </w:tc>
        <w:tc>
          <w:tcPr>
            <w:tcW w:w="1115" w:type="dxa"/>
            <w:shd w:val="clear" w:color="auto" w:fill="D5DCE4"/>
            <w:vAlign w:val="center"/>
            <w:hideMark/>
          </w:tcPr>
          <w:p w14:paraId="6FC22E5D"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2.910</w:t>
            </w:r>
          </w:p>
        </w:tc>
        <w:tc>
          <w:tcPr>
            <w:tcW w:w="1177" w:type="dxa"/>
            <w:shd w:val="clear" w:color="auto" w:fill="D5DCE4"/>
            <w:vAlign w:val="center"/>
            <w:hideMark/>
          </w:tcPr>
          <w:p w14:paraId="0779A34B"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-1.423</w:t>
            </w:r>
          </w:p>
        </w:tc>
        <w:tc>
          <w:tcPr>
            <w:tcW w:w="920" w:type="dxa"/>
            <w:shd w:val="clear" w:color="auto" w:fill="D5DCE4"/>
            <w:vAlign w:val="center"/>
            <w:hideMark/>
          </w:tcPr>
          <w:p w14:paraId="607A3150"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1.473</w:t>
            </w:r>
          </w:p>
        </w:tc>
        <w:tc>
          <w:tcPr>
            <w:tcW w:w="1053" w:type="dxa"/>
            <w:shd w:val="clear" w:color="auto" w:fill="D5DCE4"/>
            <w:vAlign w:val="center"/>
            <w:hideMark/>
          </w:tcPr>
          <w:p w14:paraId="4AC2A55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-501</w:t>
            </w:r>
          </w:p>
        </w:tc>
      </w:tr>
      <w:tr w:rsidR="00CD2D47" w:rsidRPr="00191E14" w14:paraId="1125BDE6" w14:textId="77777777" w:rsidTr="005660DE">
        <w:trPr>
          <w:cantSplit/>
          <w:trHeight w:val="171"/>
          <w:jc w:val="center"/>
        </w:trPr>
        <w:tc>
          <w:tcPr>
            <w:tcW w:w="6093" w:type="dxa"/>
            <w:shd w:val="clear" w:color="auto" w:fill="F2F2F2" w:themeFill="background1" w:themeFillShade="F2"/>
            <w:vAlign w:val="center"/>
            <w:hideMark/>
          </w:tcPr>
          <w:p w14:paraId="373BA42B" w14:textId="40DD5B5E" w:rsidR="00D60513" w:rsidRPr="00191E14" w:rsidRDefault="00C429B9" w:rsidP="00C429B9">
            <w:pPr>
              <w:tabs>
                <w:tab w:val="left" w:pos="340"/>
              </w:tabs>
              <w:spacing w:after="0" w:line="240" w:lineRule="auto"/>
              <w:jc w:val="left"/>
              <w:rPr>
                <w:rFonts w:cs="Arial"/>
                <w:b/>
                <w:bCs/>
                <w:sz w:val="15"/>
                <w:szCs w:val="15"/>
              </w:rPr>
            </w:pPr>
            <w:r>
              <w:rPr>
                <w:rFonts w:cs="Arial"/>
                <w:b/>
                <w:bCs/>
                <w:sz w:val="15"/>
                <w:szCs w:val="15"/>
              </w:rPr>
              <w:tab/>
            </w:r>
            <w:r w:rsidR="00D60513" w:rsidRPr="00191E14">
              <w:rPr>
                <w:rFonts w:cs="Arial"/>
                <w:b/>
                <w:bCs/>
                <w:sz w:val="15"/>
                <w:szCs w:val="15"/>
              </w:rPr>
              <w:t>% ΑΕΠ</w:t>
            </w:r>
          </w:p>
        </w:tc>
        <w:tc>
          <w:tcPr>
            <w:tcW w:w="1115" w:type="dxa"/>
            <w:shd w:val="clear" w:color="auto" w:fill="F2F2F2" w:themeFill="background1" w:themeFillShade="F2"/>
            <w:vAlign w:val="center"/>
            <w:hideMark/>
          </w:tcPr>
          <w:p w14:paraId="0615DAF8"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1,2%</w:t>
            </w:r>
          </w:p>
        </w:tc>
        <w:tc>
          <w:tcPr>
            <w:tcW w:w="1177" w:type="dxa"/>
            <w:shd w:val="clear" w:color="auto" w:fill="F2F2F2" w:themeFill="background1" w:themeFillShade="F2"/>
            <w:vAlign w:val="center"/>
            <w:hideMark/>
          </w:tcPr>
          <w:p w14:paraId="0F7E0B4D"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-0,6%</w:t>
            </w:r>
          </w:p>
        </w:tc>
        <w:tc>
          <w:tcPr>
            <w:tcW w:w="920" w:type="dxa"/>
            <w:shd w:val="clear" w:color="auto" w:fill="F2F2F2" w:themeFill="background1" w:themeFillShade="F2"/>
            <w:vAlign w:val="center"/>
            <w:hideMark/>
          </w:tcPr>
          <w:p w14:paraId="71844D14"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0,6%</w:t>
            </w:r>
          </w:p>
        </w:tc>
        <w:tc>
          <w:tcPr>
            <w:tcW w:w="1053" w:type="dxa"/>
            <w:shd w:val="clear" w:color="auto" w:fill="F2F2F2" w:themeFill="background1" w:themeFillShade="F2"/>
            <w:vAlign w:val="center"/>
            <w:hideMark/>
          </w:tcPr>
          <w:p w14:paraId="7B8DFCB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-0,2%</w:t>
            </w:r>
          </w:p>
        </w:tc>
      </w:tr>
      <w:tr w:rsidR="00BB202B" w:rsidRPr="00191E14" w14:paraId="45BEFB41" w14:textId="77777777" w:rsidTr="005660DE">
        <w:trPr>
          <w:cantSplit/>
          <w:trHeight w:val="171"/>
          <w:jc w:val="center"/>
        </w:trPr>
        <w:tc>
          <w:tcPr>
            <w:tcW w:w="6093" w:type="dxa"/>
            <w:shd w:val="clear" w:color="auto" w:fill="D5DCE4"/>
            <w:vAlign w:val="center"/>
            <w:hideMark/>
          </w:tcPr>
          <w:p w14:paraId="6FF2CEEF" w14:textId="6087AFA5"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ΧΙ.</w:t>
            </w:r>
            <w:r w:rsidR="00BB202B" w:rsidRPr="00191E14">
              <w:rPr>
                <w:rFonts w:cs="Arial"/>
                <w:b/>
                <w:bCs/>
                <w:sz w:val="15"/>
                <w:szCs w:val="15"/>
              </w:rPr>
              <w:tab/>
            </w:r>
            <w:r w:rsidRPr="00191E14">
              <w:rPr>
                <w:rFonts w:cs="Arial"/>
                <w:b/>
                <w:bCs/>
                <w:sz w:val="15"/>
                <w:szCs w:val="15"/>
              </w:rPr>
              <w:t xml:space="preserve">Ενοποιημένοι </w:t>
            </w:r>
            <w:r w:rsidR="00E005BD">
              <w:rPr>
                <w:rFonts w:cs="Arial"/>
                <w:b/>
                <w:bCs/>
                <w:sz w:val="15"/>
                <w:szCs w:val="15"/>
              </w:rPr>
              <w:t>τ</w:t>
            </w:r>
            <w:r w:rsidRPr="00191E14">
              <w:rPr>
                <w:rFonts w:cs="Arial"/>
                <w:b/>
                <w:bCs/>
                <w:sz w:val="15"/>
                <w:szCs w:val="15"/>
              </w:rPr>
              <w:t>όκοι Γενικής Κυβέρνησης</w:t>
            </w:r>
          </w:p>
        </w:tc>
        <w:tc>
          <w:tcPr>
            <w:tcW w:w="1115" w:type="dxa"/>
            <w:shd w:val="clear" w:color="auto" w:fill="D5DCE4"/>
            <w:vAlign w:val="center"/>
            <w:hideMark/>
          </w:tcPr>
          <w:p w14:paraId="50F9915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8.234</w:t>
            </w:r>
          </w:p>
        </w:tc>
        <w:tc>
          <w:tcPr>
            <w:tcW w:w="1177" w:type="dxa"/>
            <w:shd w:val="clear" w:color="auto" w:fill="D5DCE4"/>
            <w:vAlign w:val="center"/>
            <w:hideMark/>
          </w:tcPr>
          <w:p w14:paraId="114ACEBE"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7.390</w:t>
            </w:r>
          </w:p>
        </w:tc>
        <w:tc>
          <w:tcPr>
            <w:tcW w:w="920" w:type="dxa"/>
            <w:shd w:val="clear" w:color="auto" w:fill="D5DCE4"/>
            <w:vAlign w:val="center"/>
            <w:hideMark/>
          </w:tcPr>
          <w:p w14:paraId="7DEA11B5"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7.677</w:t>
            </w:r>
          </w:p>
        </w:tc>
        <w:tc>
          <w:tcPr>
            <w:tcW w:w="1053" w:type="dxa"/>
            <w:shd w:val="clear" w:color="auto" w:fill="D5DCE4"/>
            <w:vAlign w:val="center"/>
            <w:hideMark/>
          </w:tcPr>
          <w:p w14:paraId="17B63FE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7.713</w:t>
            </w:r>
          </w:p>
        </w:tc>
      </w:tr>
      <w:tr w:rsidR="00CD2D47" w:rsidRPr="00191E14" w14:paraId="3B91500A" w14:textId="77777777" w:rsidTr="005660DE">
        <w:trPr>
          <w:cantSplit/>
          <w:trHeight w:val="162"/>
          <w:jc w:val="center"/>
        </w:trPr>
        <w:tc>
          <w:tcPr>
            <w:tcW w:w="6093" w:type="dxa"/>
            <w:shd w:val="clear" w:color="auto" w:fill="F2F2F2" w:themeFill="background1" w:themeFillShade="F2"/>
            <w:vAlign w:val="center"/>
            <w:hideMark/>
          </w:tcPr>
          <w:p w14:paraId="4AB9C122" w14:textId="07A29332" w:rsidR="00D60513" w:rsidRPr="00191E14" w:rsidRDefault="00B36DB2" w:rsidP="00B36DB2">
            <w:pPr>
              <w:tabs>
                <w:tab w:val="left" w:pos="340"/>
              </w:tabs>
              <w:spacing w:after="0" w:line="240" w:lineRule="auto"/>
              <w:jc w:val="left"/>
              <w:rPr>
                <w:rFonts w:cs="Arial"/>
                <w:b/>
                <w:bCs/>
                <w:sz w:val="15"/>
                <w:szCs w:val="15"/>
              </w:rPr>
            </w:pPr>
            <w:r>
              <w:rPr>
                <w:rFonts w:cs="Arial"/>
                <w:b/>
                <w:bCs/>
                <w:sz w:val="15"/>
                <w:szCs w:val="15"/>
              </w:rPr>
              <w:tab/>
            </w:r>
            <w:r w:rsidR="00D60513" w:rsidRPr="00191E14">
              <w:rPr>
                <w:rFonts w:cs="Arial"/>
                <w:b/>
                <w:bCs/>
                <w:sz w:val="15"/>
                <w:szCs w:val="15"/>
              </w:rPr>
              <w:t>% ΑΕΠ</w:t>
            </w:r>
          </w:p>
        </w:tc>
        <w:tc>
          <w:tcPr>
            <w:tcW w:w="1115" w:type="dxa"/>
            <w:shd w:val="clear" w:color="auto" w:fill="F2F2F2" w:themeFill="background1" w:themeFillShade="F2"/>
            <w:vAlign w:val="center"/>
            <w:hideMark/>
          </w:tcPr>
          <w:p w14:paraId="53330AFE"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3,5%</w:t>
            </w:r>
          </w:p>
        </w:tc>
        <w:tc>
          <w:tcPr>
            <w:tcW w:w="1177" w:type="dxa"/>
            <w:shd w:val="clear" w:color="auto" w:fill="F2F2F2" w:themeFill="background1" w:themeFillShade="F2"/>
            <w:vAlign w:val="center"/>
            <w:hideMark/>
          </w:tcPr>
          <w:p w14:paraId="6839A3B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3,0%</w:t>
            </w:r>
          </w:p>
        </w:tc>
        <w:tc>
          <w:tcPr>
            <w:tcW w:w="920" w:type="dxa"/>
            <w:shd w:val="clear" w:color="auto" w:fill="F2F2F2" w:themeFill="background1" w:themeFillShade="F2"/>
            <w:vAlign w:val="center"/>
            <w:hideMark/>
          </w:tcPr>
          <w:p w14:paraId="064A7D7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3,1%</w:t>
            </w:r>
          </w:p>
        </w:tc>
        <w:tc>
          <w:tcPr>
            <w:tcW w:w="1053" w:type="dxa"/>
            <w:shd w:val="clear" w:color="auto" w:fill="F2F2F2" w:themeFill="background1" w:themeFillShade="F2"/>
            <w:vAlign w:val="center"/>
            <w:hideMark/>
          </w:tcPr>
          <w:p w14:paraId="72BC4433"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3,0%</w:t>
            </w:r>
          </w:p>
        </w:tc>
      </w:tr>
      <w:tr w:rsidR="00BB202B" w:rsidRPr="00191E14" w14:paraId="22DEBF3B" w14:textId="77777777" w:rsidTr="005660DE">
        <w:trPr>
          <w:cantSplit/>
          <w:trHeight w:val="171"/>
          <w:jc w:val="center"/>
        </w:trPr>
        <w:tc>
          <w:tcPr>
            <w:tcW w:w="6093" w:type="dxa"/>
            <w:shd w:val="clear" w:color="auto" w:fill="D5DCE4"/>
            <w:vAlign w:val="center"/>
            <w:hideMark/>
          </w:tcPr>
          <w:p w14:paraId="5FB88ED2" w14:textId="315F5380" w:rsidR="00D60513" w:rsidRPr="00191E14" w:rsidRDefault="00D60513" w:rsidP="00A4484E">
            <w:pPr>
              <w:tabs>
                <w:tab w:val="left" w:pos="340"/>
              </w:tabs>
              <w:spacing w:after="0" w:line="240" w:lineRule="auto"/>
              <w:jc w:val="left"/>
              <w:rPr>
                <w:rFonts w:cs="Arial"/>
                <w:b/>
                <w:bCs/>
                <w:sz w:val="15"/>
                <w:szCs w:val="15"/>
              </w:rPr>
            </w:pPr>
            <w:r w:rsidRPr="00191E14">
              <w:rPr>
                <w:rFonts w:cs="Arial"/>
                <w:b/>
                <w:bCs/>
                <w:sz w:val="15"/>
                <w:szCs w:val="15"/>
              </w:rPr>
              <w:t>ΧΙΙ.</w:t>
            </w:r>
            <w:r w:rsidR="00BB202B" w:rsidRPr="00191E14">
              <w:rPr>
                <w:rFonts w:cs="Arial"/>
                <w:b/>
                <w:bCs/>
                <w:sz w:val="15"/>
                <w:szCs w:val="15"/>
              </w:rPr>
              <w:tab/>
            </w:r>
            <w:r w:rsidRPr="00191E14">
              <w:rPr>
                <w:rFonts w:cs="Arial"/>
                <w:b/>
                <w:bCs/>
                <w:sz w:val="15"/>
                <w:szCs w:val="15"/>
              </w:rPr>
              <w:t>Πρωτογενές αποτέλεσμα Γενικής Κυβέρνησης κατά ESA (Χ+ΧΙ)</w:t>
            </w:r>
          </w:p>
        </w:tc>
        <w:tc>
          <w:tcPr>
            <w:tcW w:w="1115" w:type="dxa"/>
            <w:shd w:val="clear" w:color="auto" w:fill="D5DCE4"/>
            <w:vAlign w:val="center"/>
            <w:hideMark/>
          </w:tcPr>
          <w:p w14:paraId="464BE668"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11.143</w:t>
            </w:r>
          </w:p>
        </w:tc>
        <w:tc>
          <w:tcPr>
            <w:tcW w:w="1177" w:type="dxa"/>
            <w:shd w:val="clear" w:color="auto" w:fill="D5DCE4"/>
            <w:vAlign w:val="center"/>
            <w:hideMark/>
          </w:tcPr>
          <w:p w14:paraId="68D2EEA2"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5.967</w:t>
            </w:r>
          </w:p>
        </w:tc>
        <w:tc>
          <w:tcPr>
            <w:tcW w:w="920" w:type="dxa"/>
            <w:shd w:val="clear" w:color="auto" w:fill="D5DCE4"/>
            <w:vAlign w:val="center"/>
            <w:hideMark/>
          </w:tcPr>
          <w:p w14:paraId="7F19A84C"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9.150</w:t>
            </w:r>
          </w:p>
        </w:tc>
        <w:tc>
          <w:tcPr>
            <w:tcW w:w="1053" w:type="dxa"/>
            <w:shd w:val="clear" w:color="auto" w:fill="D5DCE4"/>
            <w:vAlign w:val="center"/>
            <w:hideMark/>
          </w:tcPr>
          <w:p w14:paraId="165A5795"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7.211</w:t>
            </w:r>
          </w:p>
        </w:tc>
      </w:tr>
      <w:tr w:rsidR="00CD2D47" w:rsidRPr="00191E14" w14:paraId="7BB9682A" w14:textId="77777777" w:rsidTr="005660DE">
        <w:trPr>
          <w:cantSplit/>
          <w:trHeight w:val="171"/>
          <w:jc w:val="center"/>
        </w:trPr>
        <w:tc>
          <w:tcPr>
            <w:tcW w:w="6093" w:type="dxa"/>
            <w:shd w:val="clear" w:color="auto" w:fill="F2F2F2" w:themeFill="background1" w:themeFillShade="F2"/>
            <w:vAlign w:val="center"/>
            <w:hideMark/>
          </w:tcPr>
          <w:p w14:paraId="565AF494" w14:textId="37B933C6" w:rsidR="00D60513" w:rsidRPr="00191E14" w:rsidRDefault="00B36DB2" w:rsidP="00B36DB2">
            <w:pPr>
              <w:tabs>
                <w:tab w:val="left" w:pos="340"/>
              </w:tabs>
              <w:spacing w:after="0" w:line="240" w:lineRule="auto"/>
              <w:jc w:val="left"/>
              <w:rPr>
                <w:rFonts w:cs="Arial"/>
                <w:b/>
                <w:bCs/>
                <w:sz w:val="15"/>
                <w:szCs w:val="15"/>
              </w:rPr>
            </w:pPr>
            <w:r>
              <w:rPr>
                <w:rFonts w:cs="Arial"/>
                <w:b/>
                <w:bCs/>
                <w:sz w:val="15"/>
                <w:szCs w:val="15"/>
              </w:rPr>
              <w:tab/>
            </w:r>
            <w:r w:rsidR="00D60513" w:rsidRPr="00191E14">
              <w:rPr>
                <w:rFonts w:cs="Arial"/>
                <w:b/>
                <w:bCs/>
                <w:sz w:val="15"/>
                <w:szCs w:val="15"/>
              </w:rPr>
              <w:t>% ΑΕΠ</w:t>
            </w:r>
          </w:p>
        </w:tc>
        <w:tc>
          <w:tcPr>
            <w:tcW w:w="1115" w:type="dxa"/>
            <w:shd w:val="clear" w:color="auto" w:fill="F2F2F2" w:themeFill="background1" w:themeFillShade="F2"/>
            <w:vAlign w:val="center"/>
            <w:hideMark/>
          </w:tcPr>
          <w:p w14:paraId="7A65A9CE"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4,7%</w:t>
            </w:r>
          </w:p>
        </w:tc>
        <w:tc>
          <w:tcPr>
            <w:tcW w:w="1177" w:type="dxa"/>
            <w:shd w:val="clear" w:color="auto" w:fill="F2F2F2" w:themeFill="background1" w:themeFillShade="F2"/>
            <w:vAlign w:val="center"/>
            <w:hideMark/>
          </w:tcPr>
          <w:p w14:paraId="29302E16"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2,4%</w:t>
            </w:r>
          </w:p>
        </w:tc>
        <w:tc>
          <w:tcPr>
            <w:tcW w:w="920" w:type="dxa"/>
            <w:shd w:val="clear" w:color="auto" w:fill="F2F2F2" w:themeFill="background1" w:themeFillShade="F2"/>
            <w:vAlign w:val="center"/>
            <w:hideMark/>
          </w:tcPr>
          <w:p w14:paraId="3864CB5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3,7%</w:t>
            </w:r>
          </w:p>
        </w:tc>
        <w:tc>
          <w:tcPr>
            <w:tcW w:w="1053" w:type="dxa"/>
            <w:shd w:val="clear" w:color="auto" w:fill="F2F2F2" w:themeFill="background1" w:themeFillShade="F2"/>
            <w:vAlign w:val="center"/>
            <w:hideMark/>
          </w:tcPr>
          <w:p w14:paraId="0DD9E88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2,8%</w:t>
            </w:r>
          </w:p>
        </w:tc>
      </w:tr>
      <w:tr w:rsidR="00CD2D47" w:rsidRPr="00191E14" w14:paraId="472F21BB" w14:textId="77777777" w:rsidTr="005660DE">
        <w:trPr>
          <w:cantSplit/>
          <w:trHeight w:val="162"/>
          <w:jc w:val="center"/>
        </w:trPr>
        <w:tc>
          <w:tcPr>
            <w:tcW w:w="6093" w:type="dxa"/>
            <w:tcBorders>
              <w:bottom w:val="single" w:sz="2" w:space="0" w:color="A6A6A6" w:themeColor="background1" w:themeShade="A6"/>
            </w:tcBorders>
            <w:shd w:val="clear" w:color="auto" w:fill="D5DCE4"/>
            <w:vAlign w:val="center"/>
            <w:hideMark/>
          </w:tcPr>
          <w:p w14:paraId="12DE0228" w14:textId="289FF68E" w:rsidR="00D60513" w:rsidRPr="00191E14" w:rsidRDefault="00B36DB2" w:rsidP="00B36DB2">
            <w:pPr>
              <w:tabs>
                <w:tab w:val="left" w:pos="340"/>
              </w:tabs>
              <w:spacing w:after="0" w:line="240" w:lineRule="auto"/>
              <w:jc w:val="left"/>
              <w:rPr>
                <w:rFonts w:cs="Arial"/>
                <w:b/>
                <w:bCs/>
                <w:sz w:val="15"/>
                <w:szCs w:val="15"/>
              </w:rPr>
            </w:pPr>
            <w:r>
              <w:rPr>
                <w:rFonts w:cs="Arial"/>
                <w:b/>
                <w:bCs/>
                <w:sz w:val="15"/>
                <w:szCs w:val="15"/>
              </w:rPr>
              <w:tab/>
            </w:r>
            <w:r w:rsidR="00D60513" w:rsidRPr="00191E14">
              <w:rPr>
                <w:rFonts w:cs="Arial"/>
                <w:b/>
                <w:bCs/>
                <w:sz w:val="15"/>
                <w:szCs w:val="15"/>
              </w:rPr>
              <w:t>ΑΕΠ</w:t>
            </w:r>
          </w:p>
        </w:tc>
        <w:tc>
          <w:tcPr>
            <w:tcW w:w="1115" w:type="dxa"/>
            <w:tcBorders>
              <w:bottom w:val="single" w:sz="2" w:space="0" w:color="A6A6A6" w:themeColor="background1" w:themeShade="A6"/>
            </w:tcBorders>
            <w:shd w:val="clear" w:color="auto" w:fill="D5DCE4"/>
            <w:vAlign w:val="center"/>
            <w:hideMark/>
          </w:tcPr>
          <w:p w14:paraId="6A056569"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236.736</w:t>
            </w:r>
          </w:p>
        </w:tc>
        <w:tc>
          <w:tcPr>
            <w:tcW w:w="1177" w:type="dxa"/>
            <w:tcBorders>
              <w:bottom w:val="single" w:sz="2" w:space="0" w:color="A6A6A6" w:themeColor="background1" w:themeShade="A6"/>
            </w:tcBorders>
            <w:shd w:val="clear" w:color="auto" w:fill="D5DCE4"/>
            <w:vAlign w:val="center"/>
            <w:hideMark/>
          </w:tcPr>
          <w:p w14:paraId="6C1065C7"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247.514</w:t>
            </w:r>
          </w:p>
        </w:tc>
        <w:tc>
          <w:tcPr>
            <w:tcW w:w="920" w:type="dxa"/>
            <w:tcBorders>
              <w:bottom w:val="single" w:sz="2" w:space="0" w:color="A6A6A6" w:themeColor="background1" w:themeShade="A6"/>
            </w:tcBorders>
            <w:shd w:val="clear" w:color="auto" w:fill="D5DCE4"/>
            <w:vAlign w:val="center"/>
            <w:hideMark/>
          </w:tcPr>
          <w:p w14:paraId="4C1D6E11"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248.697</w:t>
            </w:r>
          </w:p>
        </w:tc>
        <w:tc>
          <w:tcPr>
            <w:tcW w:w="1053" w:type="dxa"/>
            <w:tcBorders>
              <w:bottom w:val="single" w:sz="2" w:space="0" w:color="A6A6A6" w:themeColor="background1" w:themeShade="A6"/>
            </w:tcBorders>
            <w:shd w:val="clear" w:color="auto" w:fill="D5DCE4"/>
            <w:vAlign w:val="center"/>
            <w:hideMark/>
          </w:tcPr>
          <w:p w14:paraId="201455DF" w14:textId="77777777" w:rsidR="00D60513" w:rsidRPr="00191E14" w:rsidRDefault="00D60513" w:rsidP="00A4484E">
            <w:pPr>
              <w:spacing w:after="0" w:line="240" w:lineRule="auto"/>
              <w:jc w:val="right"/>
              <w:rPr>
                <w:rFonts w:cs="Arial"/>
                <w:b/>
                <w:bCs/>
                <w:sz w:val="15"/>
                <w:szCs w:val="15"/>
              </w:rPr>
            </w:pPr>
            <w:r w:rsidRPr="00191E14">
              <w:rPr>
                <w:rFonts w:cs="Arial"/>
                <w:b/>
                <w:bCs/>
                <w:sz w:val="15"/>
                <w:szCs w:val="15"/>
              </w:rPr>
              <w:t>260.035</w:t>
            </w:r>
          </w:p>
        </w:tc>
      </w:tr>
      <w:tr w:rsidR="00D60513" w:rsidRPr="00191E14" w14:paraId="5E42A975" w14:textId="77777777" w:rsidTr="005660DE">
        <w:trPr>
          <w:cantSplit/>
          <w:trHeight w:val="1496"/>
          <w:jc w:val="center"/>
        </w:trPr>
        <w:tc>
          <w:tcPr>
            <w:tcW w:w="10358" w:type="dxa"/>
            <w:gridSpan w:val="5"/>
            <w:tcBorders>
              <w:top w:val="single" w:sz="2" w:space="0" w:color="A6A6A6" w:themeColor="background1" w:themeShade="A6"/>
              <w:left w:val="nil"/>
              <w:bottom w:val="nil"/>
              <w:right w:val="nil"/>
            </w:tcBorders>
            <w:shd w:val="clear" w:color="auto" w:fill="auto"/>
            <w:vAlign w:val="center"/>
            <w:hideMark/>
          </w:tcPr>
          <w:p w14:paraId="753650B7" w14:textId="2D092DB7" w:rsidR="00D60513" w:rsidRDefault="00D60513" w:rsidP="0095485D">
            <w:pPr>
              <w:tabs>
                <w:tab w:val="left" w:pos="113"/>
              </w:tabs>
              <w:spacing w:before="60" w:after="0" w:line="276" w:lineRule="auto"/>
              <w:ind w:left="113" w:hanging="113"/>
              <w:rPr>
                <w:rFonts w:cs="Arial"/>
                <w:sz w:val="15"/>
                <w:szCs w:val="15"/>
              </w:rPr>
            </w:pPr>
            <w:r w:rsidRPr="004B2956">
              <w:rPr>
                <w:rFonts w:cs="Arial"/>
                <w:sz w:val="15"/>
                <w:szCs w:val="15"/>
                <w:vertAlign w:val="superscript"/>
              </w:rPr>
              <w:t>1</w:t>
            </w:r>
            <w:r w:rsidR="000E27D3" w:rsidRPr="000E27D3">
              <w:rPr>
                <w:rFonts w:cs="Arial"/>
                <w:sz w:val="15"/>
                <w:szCs w:val="15"/>
                <w:vertAlign w:val="superscript"/>
              </w:rPr>
              <w:tab/>
            </w:r>
            <w:r w:rsidRPr="00191E14">
              <w:rPr>
                <w:rFonts w:cs="Arial"/>
                <w:sz w:val="15"/>
                <w:szCs w:val="15"/>
              </w:rPr>
              <w:t xml:space="preserve">Τα έσοδα του </w:t>
            </w:r>
            <w:r w:rsidR="00D54B28">
              <w:rPr>
                <w:rFonts w:cs="Arial"/>
                <w:sz w:val="15"/>
                <w:szCs w:val="15"/>
              </w:rPr>
              <w:t xml:space="preserve">προϋπολογισμού δημοσίων επενδύσεων </w:t>
            </w:r>
            <w:r w:rsidRPr="00191E14">
              <w:rPr>
                <w:rFonts w:cs="Arial"/>
                <w:sz w:val="15"/>
                <w:szCs w:val="15"/>
              </w:rPr>
              <w:t xml:space="preserve">περιέχονται στις μεταβιβάσεις και στα λοιπά τρέχοντα έσοδα </w:t>
            </w:r>
            <w:r w:rsidR="00A9523D">
              <w:rPr>
                <w:rFonts w:cs="Arial"/>
                <w:sz w:val="15"/>
                <w:szCs w:val="15"/>
              </w:rPr>
              <w:t xml:space="preserve">και για λόγους </w:t>
            </w:r>
            <w:r w:rsidR="00A9523D" w:rsidRPr="00B06ED8">
              <w:rPr>
                <w:rFonts w:cs="Arial"/>
                <w:sz w:val="15"/>
                <w:szCs w:val="15"/>
              </w:rPr>
              <w:t>συγκρισιμότητας οι</w:t>
            </w:r>
            <w:r w:rsidR="00901B56">
              <w:rPr>
                <w:rFonts w:cs="Arial"/>
                <w:sz w:val="15"/>
                <w:szCs w:val="15"/>
              </w:rPr>
              <w:t xml:space="preserve"> </w:t>
            </w:r>
            <w:r w:rsidRPr="00191E14">
              <w:rPr>
                <w:rFonts w:cs="Arial"/>
                <w:sz w:val="15"/>
                <w:szCs w:val="15"/>
              </w:rPr>
              <w:t xml:space="preserve">δαπάνες </w:t>
            </w:r>
            <w:r w:rsidR="00901B56">
              <w:rPr>
                <w:rFonts w:cs="Arial"/>
                <w:sz w:val="15"/>
                <w:szCs w:val="15"/>
              </w:rPr>
              <w:t>π</w:t>
            </w:r>
            <w:r w:rsidRPr="00191E14">
              <w:rPr>
                <w:rFonts w:cs="Arial"/>
                <w:sz w:val="15"/>
                <w:szCs w:val="15"/>
              </w:rPr>
              <w:t>εριέχονται στις πιστώσεις υπό κατανομή.</w:t>
            </w:r>
          </w:p>
          <w:p w14:paraId="496AD922" w14:textId="438DB5E4" w:rsidR="00453C78" w:rsidRPr="000E27D3" w:rsidRDefault="00453C78" w:rsidP="0095485D">
            <w:pPr>
              <w:tabs>
                <w:tab w:val="left" w:pos="113"/>
              </w:tabs>
              <w:spacing w:before="60" w:after="0" w:line="276" w:lineRule="auto"/>
              <w:ind w:left="113" w:hanging="113"/>
              <w:rPr>
                <w:rFonts w:cs="Arial"/>
                <w:sz w:val="15"/>
                <w:szCs w:val="15"/>
              </w:rPr>
            </w:pPr>
            <w:r w:rsidRPr="004B2956">
              <w:rPr>
                <w:rFonts w:cs="Arial"/>
                <w:sz w:val="15"/>
                <w:szCs w:val="15"/>
                <w:vertAlign w:val="superscript"/>
              </w:rPr>
              <w:t>2</w:t>
            </w:r>
            <w:r w:rsidR="0093125F">
              <w:rPr>
                <w:rFonts w:cs="Arial"/>
                <w:sz w:val="15"/>
                <w:szCs w:val="15"/>
              </w:rPr>
              <w:tab/>
            </w:r>
            <w:r w:rsidRPr="00191E14">
              <w:rPr>
                <w:rFonts w:cs="Arial"/>
                <w:sz w:val="15"/>
                <w:szCs w:val="15"/>
              </w:rPr>
              <w:t xml:space="preserve">Τα έσοδα </w:t>
            </w:r>
            <w:r w:rsidRPr="000E27D3">
              <w:rPr>
                <w:rFonts w:cs="Arial"/>
                <w:sz w:val="15"/>
                <w:szCs w:val="15"/>
              </w:rPr>
              <w:t>του ΤΑΑ περιέχονται στις μεταβιβάσεις</w:t>
            </w:r>
            <w:r w:rsidR="00A9523D">
              <w:rPr>
                <w:rFonts w:cs="Arial"/>
                <w:sz w:val="15"/>
                <w:szCs w:val="15"/>
              </w:rPr>
              <w:t xml:space="preserve"> και για λόγους συγκρισιμότητας οι </w:t>
            </w:r>
            <w:r w:rsidRPr="000E27D3">
              <w:rPr>
                <w:rFonts w:cs="Arial"/>
                <w:sz w:val="15"/>
                <w:szCs w:val="15"/>
              </w:rPr>
              <w:t>δαπάνες περιέχονται στις πιστώσεις υπό κατανομή.</w:t>
            </w:r>
          </w:p>
          <w:p w14:paraId="06BE6A13" w14:textId="2317D86E" w:rsidR="00453C78" w:rsidRPr="000E27D3" w:rsidRDefault="00453C78" w:rsidP="0095485D">
            <w:pPr>
              <w:tabs>
                <w:tab w:val="left" w:pos="113"/>
              </w:tabs>
              <w:spacing w:before="60" w:after="0" w:line="276" w:lineRule="auto"/>
              <w:ind w:left="113" w:hanging="113"/>
              <w:rPr>
                <w:rFonts w:cs="Arial"/>
                <w:sz w:val="15"/>
                <w:szCs w:val="15"/>
              </w:rPr>
            </w:pPr>
            <w:r w:rsidRPr="000E27D3">
              <w:rPr>
                <w:rFonts w:cs="Arial"/>
                <w:sz w:val="15"/>
                <w:szCs w:val="15"/>
                <w:vertAlign w:val="superscript"/>
              </w:rPr>
              <w:t>3</w:t>
            </w:r>
            <w:r w:rsidR="000E27D3">
              <w:rPr>
                <w:rFonts w:cs="Arial"/>
                <w:sz w:val="15"/>
                <w:szCs w:val="15"/>
              </w:rPr>
              <w:tab/>
            </w:r>
            <w:r w:rsidRPr="000E27D3">
              <w:rPr>
                <w:rFonts w:cs="Arial"/>
                <w:sz w:val="15"/>
                <w:szCs w:val="15"/>
              </w:rPr>
              <w:t>Οι δαπάνες της Κεντρικής Διοίκησης αναλύονται σύμφωνα με τις μείζονες κατηγορίες του π.δ. 54/2018 (Α' 103).</w:t>
            </w:r>
          </w:p>
          <w:p w14:paraId="33E215B2" w14:textId="6FD501D7" w:rsidR="00453C78" w:rsidRPr="000E27D3" w:rsidRDefault="00453C78" w:rsidP="0095485D">
            <w:pPr>
              <w:tabs>
                <w:tab w:val="left" w:pos="113"/>
              </w:tabs>
              <w:spacing w:before="60" w:after="0" w:line="276" w:lineRule="auto"/>
              <w:ind w:left="113" w:hanging="113"/>
              <w:rPr>
                <w:rFonts w:cs="Arial"/>
                <w:sz w:val="15"/>
                <w:szCs w:val="15"/>
              </w:rPr>
            </w:pPr>
            <w:r w:rsidRPr="000E27D3">
              <w:rPr>
                <w:rFonts w:cs="Arial"/>
                <w:sz w:val="15"/>
                <w:szCs w:val="15"/>
                <w:vertAlign w:val="superscript"/>
              </w:rPr>
              <w:t>4</w:t>
            </w:r>
            <w:r w:rsidR="000E27D3" w:rsidRPr="000E27D3">
              <w:rPr>
                <w:rFonts w:cs="Arial"/>
                <w:sz w:val="15"/>
                <w:szCs w:val="15"/>
                <w:vertAlign w:val="superscript"/>
              </w:rPr>
              <w:tab/>
            </w:r>
            <w:r w:rsidR="00ED43D6" w:rsidRPr="00521B97">
              <w:rPr>
                <w:rFonts w:cs="Arial"/>
                <w:sz w:val="15"/>
                <w:szCs w:val="15"/>
              </w:rPr>
              <w:t>Ενδεχόμενες</w:t>
            </w:r>
            <w:r w:rsidRPr="00521B97">
              <w:rPr>
                <w:rFonts w:cs="Arial"/>
                <w:sz w:val="15"/>
                <w:szCs w:val="15"/>
              </w:rPr>
              <w:t xml:space="preserve"> διαφορές</w:t>
            </w:r>
            <w:r w:rsidRPr="000E27D3">
              <w:rPr>
                <w:rFonts w:cs="Arial"/>
                <w:sz w:val="15"/>
                <w:szCs w:val="15"/>
              </w:rPr>
              <w:t xml:space="preserve"> των στοιχείων του πίνακα με τη ΔΥΕ Οκτωβρίου οφείλονται σε στρογγυλοποιήσεις.</w:t>
            </w:r>
          </w:p>
          <w:p w14:paraId="01601643" w14:textId="36D16F2F" w:rsidR="00453C78" w:rsidRPr="00191E14" w:rsidRDefault="00453C78" w:rsidP="0095485D">
            <w:pPr>
              <w:tabs>
                <w:tab w:val="left" w:pos="113"/>
              </w:tabs>
              <w:spacing w:before="60" w:after="0" w:line="276" w:lineRule="auto"/>
              <w:ind w:left="113" w:hanging="113"/>
              <w:rPr>
                <w:rFonts w:cs="Arial"/>
                <w:sz w:val="15"/>
                <w:szCs w:val="15"/>
              </w:rPr>
            </w:pPr>
            <w:r w:rsidRPr="000E27D3">
              <w:rPr>
                <w:rFonts w:cs="Arial"/>
                <w:sz w:val="15"/>
                <w:szCs w:val="15"/>
                <w:vertAlign w:val="superscript"/>
              </w:rPr>
              <w:t>5</w:t>
            </w:r>
            <w:r w:rsidR="000E27D3">
              <w:rPr>
                <w:rFonts w:cs="Arial"/>
                <w:sz w:val="15"/>
                <w:szCs w:val="15"/>
              </w:rPr>
              <w:tab/>
            </w:r>
            <w:r w:rsidRPr="000E27D3">
              <w:rPr>
                <w:rFonts w:cs="Arial"/>
                <w:sz w:val="15"/>
                <w:szCs w:val="15"/>
              </w:rPr>
              <w:t>Στα έσοδα από τρέχουσες και λοιπές κεφαλαιακές μεταβιβάσεις στη στήλη του προϋπολογισμού 2025 περιλαμβάνεται και ποσό ύψους 579 εκατ. ευρώ</w:t>
            </w:r>
            <w:r w:rsidR="009E6DB3">
              <w:rPr>
                <w:rFonts w:cs="Arial"/>
                <w:sz w:val="15"/>
                <w:szCs w:val="15"/>
              </w:rPr>
              <w:t>,</w:t>
            </w:r>
            <w:r w:rsidRPr="000E27D3">
              <w:rPr>
                <w:rFonts w:cs="Arial"/>
                <w:sz w:val="15"/>
                <w:szCs w:val="15"/>
              </w:rPr>
              <w:t xml:space="preserve"> που αφορά στην αντιπαροχή του άρθρου 34 του ν.2773/1999</w:t>
            </w:r>
            <w:r w:rsidR="00ED43D6">
              <w:rPr>
                <w:rFonts w:cs="Arial"/>
                <w:sz w:val="15"/>
                <w:szCs w:val="15"/>
              </w:rPr>
              <w:t xml:space="preserve"> (Α’ 286)</w:t>
            </w:r>
            <w:r w:rsidRPr="000E27D3">
              <w:rPr>
                <w:rFonts w:cs="Arial"/>
                <w:sz w:val="15"/>
                <w:szCs w:val="15"/>
              </w:rPr>
              <w:t>.</w:t>
            </w:r>
          </w:p>
        </w:tc>
      </w:tr>
    </w:tbl>
    <w:p w14:paraId="258EAB42" w14:textId="152EBC89" w:rsidR="00D60513" w:rsidRDefault="00D60513">
      <w:pPr>
        <w:spacing w:after="0" w:line="240" w:lineRule="auto"/>
        <w:jc w:val="left"/>
        <w:rPr>
          <w:highlight w:val="yellow"/>
        </w:rPr>
      </w:pPr>
      <w:r>
        <w:rPr>
          <w:highlight w:val="yellow"/>
        </w:rPr>
        <w:br w:type="page"/>
      </w:r>
    </w:p>
    <w:p w14:paraId="792022EC" w14:textId="0C2D755B" w:rsidR="00601726" w:rsidRDefault="00601726" w:rsidP="00300BBF">
      <w:pPr>
        <w:pStyle w:val="4"/>
      </w:pPr>
      <w:bookmarkStart w:id="292" w:name="_Toc214473744"/>
      <w:bookmarkStart w:id="293" w:name="_Hlk119400076"/>
      <w:r>
        <w:lastRenderedPageBreak/>
        <w:t>Κρατικός προϋπολογισμός 202</w:t>
      </w:r>
      <w:r w:rsidR="006E2D8E">
        <w:rPr>
          <w:lang w:val="en-US"/>
        </w:rPr>
        <w:t>5</w:t>
      </w:r>
      <w:bookmarkEnd w:id="292"/>
    </w:p>
    <w:p w14:paraId="01F2E82E" w14:textId="7D69AC7B" w:rsidR="00BC0AF5" w:rsidRPr="0094416A" w:rsidRDefault="00B001AE" w:rsidP="00681FAE">
      <w:pPr>
        <w:rPr>
          <w:highlight w:val="yellow"/>
          <w:lang w:eastAsia="en-US"/>
        </w:rPr>
      </w:pPr>
      <w:r w:rsidRPr="00980F2C">
        <w:rPr>
          <w:lang w:eastAsia="en-US"/>
        </w:rPr>
        <w:t xml:space="preserve">Το ισοζύγιο του κρατικού προϋπολογισμού κατά </w:t>
      </w:r>
      <w:r w:rsidRPr="00980F2C">
        <w:rPr>
          <w:lang w:val="en-US" w:eastAsia="en-US"/>
        </w:rPr>
        <w:t>ESA</w:t>
      </w:r>
      <w:r w:rsidRPr="00980F2C">
        <w:rPr>
          <w:lang w:eastAsia="en-US"/>
        </w:rPr>
        <w:t xml:space="preserve"> για το έτος 202</w:t>
      </w:r>
      <w:r>
        <w:rPr>
          <w:lang w:eastAsia="en-US"/>
        </w:rPr>
        <w:t>5</w:t>
      </w:r>
      <w:r w:rsidRPr="00980F2C">
        <w:rPr>
          <w:lang w:eastAsia="en-US"/>
        </w:rPr>
        <w:t xml:space="preserve"> εκτιμάται ότι θα διαμορφωθεί σε </w:t>
      </w:r>
      <w:r w:rsidRPr="009C47FB">
        <w:rPr>
          <w:lang w:eastAsia="en-US"/>
        </w:rPr>
        <w:t xml:space="preserve">έλλειμμα </w:t>
      </w:r>
      <w:r w:rsidR="002F425E">
        <w:rPr>
          <w:lang w:eastAsia="en-US"/>
        </w:rPr>
        <w:t xml:space="preserve">ύψους </w:t>
      </w:r>
      <w:r w:rsidRPr="009C47FB">
        <w:rPr>
          <w:lang w:eastAsia="en-US"/>
        </w:rPr>
        <w:t>4.459</w:t>
      </w:r>
      <w:r w:rsidRPr="00980F2C">
        <w:rPr>
          <w:lang w:eastAsia="en-US"/>
        </w:rPr>
        <w:t xml:space="preserve"> εκατ. ευρώ έναντι στόχου ελλείμματος </w:t>
      </w:r>
      <w:r w:rsidRPr="009C47FB">
        <w:rPr>
          <w:lang w:eastAsia="en-US"/>
        </w:rPr>
        <w:t>5.930</w:t>
      </w:r>
      <w:r w:rsidRPr="00980F2C">
        <w:rPr>
          <w:lang w:eastAsia="en-US"/>
        </w:rPr>
        <w:t xml:space="preserve"> εκατ. ευρώ στην εισηγητική έκθεση του προϋπολογισμού 202</w:t>
      </w:r>
      <w:r>
        <w:rPr>
          <w:lang w:eastAsia="en-US"/>
        </w:rPr>
        <w:t>5</w:t>
      </w:r>
      <w:r w:rsidRPr="00980F2C">
        <w:rPr>
          <w:lang w:eastAsia="en-US"/>
        </w:rPr>
        <w:t xml:space="preserve">. Επίσης, το πρωτογενές αποτέλεσμα του κρατικού προϋπολογισμού κατά </w:t>
      </w:r>
      <w:r w:rsidRPr="00980F2C">
        <w:rPr>
          <w:lang w:val="en-US" w:eastAsia="en-US"/>
        </w:rPr>
        <w:t>ESA</w:t>
      </w:r>
      <w:r w:rsidRPr="00980F2C">
        <w:rPr>
          <w:lang w:eastAsia="en-US"/>
        </w:rPr>
        <w:t xml:space="preserve"> εκτιμάται σε </w:t>
      </w:r>
      <w:r w:rsidRPr="009C47FB">
        <w:rPr>
          <w:lang w:eastAsia="en-US"/>
        </w:rPr>
        <w:t xml:space="preserve">πλεόνασμα </w:t>
      </w:r>
      <w:r w:rsidR="00D76C35">
        <w:rPr>
          <w:lang w:eastAsia="en-US"/>
        </w:rPr>
        <w:t xml:space="preserve">ύψους </w:t>
      </w:r>
      <w:r w:rsidRPr="009C47FB">
        <w:rPr>
          <w:lang w:eastAsia="en-US"/>
        </w:rPr>
        <w:t>5.275 εκατ. ευρώ έναντι στόχου για πλεόνασμα ύψους 3.470 εκατ</w:t>
      </w:r>
      <w:r w:rsidRPr="00980F2C">
        <w:rPr>
          <w:lang w:eastAsia="en-US"/>
        </w:rPr>
        <w:t>.</w:t>
      </w:r>
    </w:p>
    <w:p w14:paraId="5BE7F84B" w14:textId="77777777" w:rsidR="005F0AA0" w:rsidRDefault="005F0AA0" w:rsidP="00300BBF">
      <w:pPr>
        <w:pStyle w:val="5"/>
        <w:rPr>
          <w:lang w:eastAsia="en-US"/>
        </w:rPr>
      </w:pPr>
      <w:bookmarkStart w:id="294" w:name="_Toc214473745"/>
      <w:r>
        <w:rPr>
          <w:lang w:eastAsia="en-US"/>
        </w:rPr>
        <w:t>Έσοδα σε δημοσιονομική βάση</w:t>
      </w:r>
      <w:bookmarkEnd w:id="294"/>
    </w:p>
    <w:p w14:paraId="6D2D4257" w14:textId="160BCDD3" w:rsidR="00AB24CD" w:rsidRPr="0094416A" w:rsidRDefault="00EA1B06" w:rsidP="00617E89">
      <w:pPr>
        <w:rPr>
          <w:highlight w:val="yellow"/>
        </w:rPr>
      </w:pPr>
      <w:r w:rsidRPr="00732C87">
        <w:t xml:space="preserve">Τα καθαρά έσοδα του κρατικού προϋπολογισμού σε δημοσιονομική βάση, μετά την αφαίρεση των επιστροφών φόρων, εκτιμάται ότι θα διαμορφωθούν σε </w:t>
      </w:r>
      <w:r>
        <w:t>77.034</w:t>
      </w:r>
      <w:r w:rsidRPr="00732C87">
        <w:t xml:space="preserve"> εκατ. ευρώ, παρουσιάζοντας αύξηση κατά 2.</w:t>
      </w:r>
      <w:r>
        <w:t>462</w:t>
      </w:r>
      <w:r w:rsidRPr="00732C87">
        <w:t xml:space="preserve"> εκατ. ευρώ ή </w:t>
      </w:r>
      <w:r w:rsidRPr="001F7D95">
        <w:t>3</w:t>
      </w:r>
      <w:r w:rsidRPr="00732C87">
        <w:t>,</w:t>
      </w:r>
      <w:r>
        <w:t>3</w:t>
      </w:r>
      <w:r w:rsidRPr="00732C87">
        <w:t>% έναντι του στόχου του προϋπολογισμού 202</w:t>
      </w:r>
      <w:r>
        <w:t>5</w:t>
      </w:r>
      <w:r w:rsidRPr="00732C87">
        <w:t>. Αναλυτικότερα:</w:t>
      </w:r>
    </w:p>
    <w:p w14:paraId="7C56EF6D" w14:textId="77777777" w:rsidR="00AB24CD" w:rsidRPr="00256D2D" w:rsidRDefault="00AB24CD" w:rsidP="00AB24CD">
      <w:pPr>
        <w:spacing w:before="240"/>
        <w:rPr>
          <w:rFonts w:cs="Arial"/>
          <w:b/>
          <w:szCs w:val="22"/>
        </w:rPr>
      </w:pPr>
      <w:r w:rsidRPr="00256D2D">
        <w:rPr>
          <w:rFonts w:cs="Arial"/>
          <w:b/>
          <w:szCs w:val="22"/>
        </w:rPr>
        <w:t>Φόροι</w:t>
      </w:r>
    </w:p>
    <w:p w14:paraId="63128ADB" w14:textId="10CA7143" w:rsidR="00B02F7D" w:rsidRPr="0094416A" w:rsidRDefault="00617E89" w:rsidP="00617E89">
      <w:pPr>
        <w:rPr>
          <w:highlight w:val="yellow"/>
        </w:rPr>
      </w:pPr>
      <w:r w:rsidRPr="00732C87">
        <w:t xml:space="preserve">Τα έσοδα από φόρους αναμένεται να ανέλθουν στο ύψος των </w:t>
      </w:r>
      <w:r>
        <w:t>71.146</w:t>
      </w:r>
      <w:r w:rsidRPr="00732C87">
        <w:t xml:space="preserve"> εκατ. ευρώ, αυξημένα κατά </w:t>
      </w:r>
      <w:r>
        <w:t>1.943</w:t>
      </w:r>
      <w:r w:rsidRPr="00732C87">
        <w:t xml:space="preserve"> εκατ. ευρώ ή </w:t>
      </w:r>
      <w:r>
        <w:t>2</w:t>
      </w:r>
      <w:r w:rsidRPr="00732C87">
        <w:t>,</w:t>
      </w:r>
      <w:r>
        <w:t>8</w:t>
      </w:r>
      <w:r w:rsidRPr="00732C87">
        <w:t>% έναντι του στόχου του προϋπολογισμού 202</w:t>
      </w:r>
      <w:r>
        <w:t>5</w:t>
      </w:r>
      <w:r w:rsidRPr="00732C87">
        <w:t>. Η αύξηση αυτή οφείλεται κυρίως: (α) στ</w:t>
      </w:r>
      <w:r>
        <w:t xml:space="preserve">ον περιορισμό </w:t>
      </w:r>
      <w:r w:rsidRPr="00732C87">
        <w:t>της φοροδιαφυγής σε συνδυασμό με την αύξηση των ηλεκτρονικών συναλλαγών</w:t>
      </w:r>
      <w:r w:rsidR="00035810">
        <w:t>,</w:t>
      </w:r>
      <w:r w:rsidRPr="00732C87">
        <w:t xml:space="preserve"> </w:t>
      </w:r>
      <w:r>
        <w:t xml:space="preserve">που επηρεάζει κυρίως τα έσοδα από τον </w:t>
      </w:r>
      <w:r w:rsidRPr="00732C87">
        <w:t>Φ</w:t>
      </w:r>
      <w:r>
        <w:t>ΠΑ (αύξηση κατά 952 εκατ. ευρώ σε σχέση με τον προϋπολογισμό)</w:t>
      </w:r>
      <w:r w:rsidRPr="00570ACB">
        <w:t xml:space="preserve"> και</w:t>
      </w:r>
      <w:r w:rsidRPr="00732C87">
        <w:t xml:space="preserve"> (β) στην αύξηση των αμοιβών, </w:t>
      </w:r>
      <w:r w:rsidR="00035810">
        <w:t>η οποία</w:t>
      </w:r>
      <w:r w:rsidRPr="00732C87">
        <w:t xml:space="preserve"> επηρεάζει κυρίως τα έσοδα από τον φόρο εισοδήματος φυσικών προσώπων (αύξηση </w:t>
      </w:r>
      <w:r w:rsidRPr="006566C3">
        <w:t xml:space="preserve">κατά </w:t>
      </w:r>
      <w:r>
        <w:t>645 εκατ.</w:t>
      </w:r>
      <w:r w:rsidRPr="006566C3">
        <w:t xml:space="preserve"> ευρώ σε σχέση με τον προϋπολογισμό). Σημειώνεται ότι </w:t>
      </w:r>
      <w:r>
        <w:t xml:space="preserve">σε σχέση με τις προβλέψεις του προϋπολογισμού παρατηρείται σημαντική αύξηση των αμοιβών εξαρτημένης εργασίας, η οποία εκτιμάται σε 6,3% το 2025 έναντι 3,4%, που ήταν η σχετική πρόβλεψη. Επιπλέον, η πραγματική ιδιωτική κατανάλωση αναμένεται να αυξηθεί το 2025 κατά 1,9% έναντι 1,6%, που ήταν η πρόβλεψη του προϋπολογισμού, ενώ οι τουριστικές εισπράξεις σημείωσαν σημαντική άνοδο κατά 12,0% το οκτάμηνο του 2025 έναντι του 2024, με αποτέλεσμα να επηρεάζονται θετικά τα φορολογικά έσοδα. </w:t>
      </w:r>
      <w:r w:rsidRPr="00732C87">
        <w:t>Πιο συγκεκριμένα:</w:t>
      </w:r>
    </w:p>
    <w:p w14:paraId="6B99BB16" w14:textId="77777777" w:rsidR="00AB24CD" w:rsidRPr="005019B6" w:rsidRDefault="00AB24CD" w:rsidP="006566C3">
      <w:pPr>
        <w:spacing w:before="120" w:line="240" w:lineRule="auto"/>
        <w:ind w:left="284"/>
        <w:rPr>
          <w:rFonts w:eastAsia="Calibri" w:cs="Arial"/>
          <w:b/>
          <w:i/>
          <w:szCs w:val="20"/>
        </w:rPr>
      </w:pPr>
      <w:r w:rsidRPr="005019B6">
        <w:rPr>
          <w:rFonts w:eastAsia="Calibri" w:cs="Arial"/>
          <w:b/>
          <w:i/>
          <w:szCs w:val="20"/>
        </w:rPr>
        <w:t>Φόροι επί αγαθών και υπηρεσιών</w:t>
      </w:r>
    </w:p>
    <w:p w14:paraId="0E9A2ADF" w14:textId="0116AC00" w:rsidR="005019B6" w:rsidRPr="0094416A" w:rsidRDefault="00617E89" w:rsidP="00B02F7D">
      <w:pPr>
        <w:spacing w:before="120"/>
        <w:ind w:left="284"/>
        <w:rPr>
          <w:highlight w:val="yellow"/>
        </w:rPr>
      </w:pPr>
      <w:r w:rsidRPr="00732C87">
        <w:t xml:space="preserve">Στην κατηγορία αυτή περιλαμβάνονται κυρίως ο ΦΠΑ, οι Ειδικοί Φόροι Κατανάλωσης (ΕΦΚ), </w:t>
      </w:r>
      <w:r>
        <w:t xml:space="preserve">το ψηφιακό τέλος συναλλαγής </w:t>
      </w:r>
      <w:r w:rsidRPr="00732C87">
        <w:t xml:space="preserve">και οι φόροι επί χρηματοοικονομικών και κεφαλαιακών συναλλαγών. Οι φόροι επί αγαθών και υπηρεσιών εκτιμάται ότι θα διαμορφωθούν στο ύψος των </w:t>
      </w:r>
      <w:r w:rsidRPr="001F7D95">
        <w:t>39.</w:t>
      </w:r>
      <w:r>
        <w:t>214</w:t>
      </w:r>
      <w:r w:rsidRPr="00732C87">
        <w:t xml:space="preserve"> εκατ. ευρώ, αυξημένοι κατά </w:t>
      </w:r>
      <w:r w:rsidRPr="001F7D95">
        <w:t>1.</w:t>
      </w:r>
      <w:r>
        <w:t>195</w:t>
      </w:r>
      <w:r w:rsidRPr="00732C87">
        <w:t xml:space="preserve"> εκατ. ευρώ ή </w:t>
      </w:r>
      <w:r>
        <w:t>3</w:t>
      </w:r>
      <w:r w:rsidRPr="00732C87">
        <w:t>,</w:t>
      </w:r>
      <w:r>
        <w:t>1</w:t>
      </w:r>
      <w:r w:rsidRPr="00732C87">
        <w:t xml:space="preserve">% έναντι του στόχου του </w:t>
      </w:r>
      <w:r w:rsidRPr="006566C3">
        <w:t>προϋπολογισμού 202</w:t>
      </w:r>
      <w:r>
        <w:t>5</w:t>
      </w:r>
      <w:r w:rsidRPr="006566C3">
        <w:t xml:space="preserve">. Ειδικότερα, τα έσοδα από τον ΦΠΑ αναμένεται να ανέλθουν στο ποσό των </w:t>
      </w:r>
      <w:r>
        <w:t>27.625</w:t>
      </w:r>
      <w:r w:rsidRPr="006566C3">
        <w:t xml:space="preserve"> εκατ. ευρώ, αυξημένα</w:t>
      </w:r>
      <w:r w:rsidRPr="00732C87">
        <w:t xml:space="preserve"> κατά </w:t>
      </w:r>
      <w:r>
        <w:t>952</w:t>
      </w:r>
      <w:r w:rsidRPr="00732C87">
        <w:t xml:space="preserve"> εκατ. ευρώ από τον στόχο, ενώ τα έσοδα από τους ΕΦΚ εκτιμώνται στο ποσό των 7.</w:t>
      </w:r>
      <w:r>
        <w:t>407</w:t>
      </w:r>
      <w:r w:rsidRPr="00732C87">
        <w:t xml:space="preserve"> εκατ. ευρώ, αυξημένα κατά 1</w:t>
      </w:r>
      <w:r>
        <w:t>32</w:t>
      </w:r>
      <w:r w:rsidRPr="00732C87">
        <w:t xml:space="preserve"> εκατ. ευρώ έναντι του στόχου.</w:t>
      </w:r>
    </w:p>
    <w:p w14:paraId="55F49992" w14:textId="6D3A769F" w:rsidR="00AB24CD" w:rsidRPr="005019B6" w:rsidRDefault="00AB24CD" w:rsidP="006566C3">
      <w:pPr>
        <w:spacing w:before="120" w:line="240" w:lineRule="auto"/>
        <w:ind w:left="284"/>
        <w:rPr>
          <w:rFonts w:eastAsia="Calibri" w:cs="Arial"/>
          <w:b/>
          <w:i/>
          <w:szCs w:val="20"/>
        </w:rPr>
      </w:pPr>
      <w:r w:rsidRPr="005019B6">
        <w:rPr>
          <w:rFonts w:eastAsia="Calibri" w:cs="Arial"/>
          <w:b/>
          <w:i/>
          <w:szCs w:val="20"/>
        </w:rPr>
        <w:t>Φόροι και δασμοί επί εισαγωγών</w:t>
      </w:r>
    </w:p>
    <w:p w14:paraId="06E0469C" w14:textId="188732CA" w:rsidR="005019B6" w:rsidRPr="0094416A" w:rsidRDefault="00617E89" w:rsidP="00B02F7D">
      <w:pPr>
        <w:spacing w:before="120"/>
        <w:ind w:left="284"/>
        <w:rPr>
          <w:highlight w:val="yellow"/>
        </w:rPr>
      </w:pPr>
      <w:r w:rsidRPr="00732C87">
        <w:t xml:space="preserve">Στην κατηγορία αυτή περιλαμβάνονται κυρίως οι δασμοί και τα λοιπά τέλη που επιβάλλονται στις εισαγωγές από κράτη μη μέλη της ΕΕ με βάση το κοινό τελωνειακό δασμολόγιο. Εκτιμώνται έσοδα </w:t>
      </w:r>
      <w:r>
        <w:t>405</w:t>
      </w:r>
      <w:r w:rsidRPr="00732C87">
        <w:t xml:space="preserve"> εκατ. ευρώ, </w:t>
      </w:r>
      <w:r>
        <w:t>αυξη</w:t>
      </w:r>
      <w:r w:rsidRPr="00732C87">
        <w:t xml:space="preserve">μένα κατά </w:t>
      </w:r>
      <w:r>
        <w:t>43</w:t>
      </w:r>
      <w:r w:rsidRPr="00732C87">
        <w:t xml:space="preserve"> εκατ. ευρώ έναντι του στόχου του προϋπολογισμού 202</w:t>
      </w:r>
      <w:r>
        <w:t>5</w:t>
      </w:r>
      <w:r w:rsidRPr="00732C87">
        <w:t>.</w:t>
      </w:r>
    </w:p>
    <w:p w14:paraId="577D5B81" w14:textId="77777777" w:rsidR="00AB24CD" w:rsidRPr="005019B6" w:rsidRDefault="00AB24CD" w:rsidP="006566C3">
      <w:pPr>
        <w:spacing w:before="120" w:line="240" w:lineRule="auto"/>
        <w:ind w:left="284"/>
        <w:rPr>
          <w:rFonts w:eastAsia="Calibri" w:cs="Arial"/>
          <w:b/>
          <w:i/>
          <w:szCs w:val="20"/>
        </w:rPr>
      </w:pPr>
      <w:r w:rsidRPr="005019B6">
        <w:rPr>
          <w:rFonts w:eastAsia="Calibri" w:cs="Arial"/>
          <w:b/>
          <w:i/>
          <w:szCs w:val="20"/>
        </w:rPr>
        <w:t>Τακτικοί φόροι ακίνητης περιουσίας</w:t>
      </w:r>
    </w:p>
    <w:p w14:paraId="7F2C46C4" w14:textId="4CCAD462" w:rsidR="00AB24CD" w:rsidRPr="00F61F17" w:rsidRDefault="00617E89" w:rsidP="00617E89">
      <w:pPr>
        <w:ind w:left="284"/>
      </w:pPr>
      <w:r w:rsidRPr="00F61F17">
        <w:t xml:space="preserve">Οι τακτικοί φόροι ακίνητης περιουσίας, </w:t>
      </w:r>
      <w:r>
        <w:t>οι οποίοι</w:t>
      </w:r>
      <w:r w:rsidRPr="00F61F17">
        <w:t xml:space="preserve"> περιλαμβάνουν κυρίως τον </w:t>
      </w:r>
      <w:r w:rsidRPr="00732C87">
        <w:t>ΕΝΦΙΑ</w:t>
      </w:r>
      <w:r>
        <w:t>,</w:t>
      </w:r>
      <w:r w:rsidRPr="00B02F7D">
        <w:t xml:space="preserve"> αναμένεται να διαμορφωθούν στο ύψος των 2.4</w:t>
      </w:r>
      <w:r>
        <w:t>11</w:t>
      </w:r>
      <w:r w:rsidRPr="00B02F7D">
        <w:t xml:space="preserve"> εκατ. ευρώ, </w:t>
      </w:r>
      <w:r>
        <w:t>παρουσιάζοντας αύξηση κατά 18</w:t>
      </w:r>
      <w:r w:rsidRPr="00F61F17">
        <w:t xml:space="preserve"> εκατ. ευρώ έναντι του στόχου του προϋπολογισμού 202</w:t>
      </w:r>
      <w:r>
        <w:t>5. Η εν λόγω αύξηση οφείλεται κυρίως στη μικρή αύξηση (κατά 0,3%) στο ποσοστό εισπραξιμότητας του ΕΝΦΙΑ.</w:t>
      </w:r>
    </w:p>
    <w:p w14:paraId="60A3C46A" w14:textId="7584FC4B" w:rsidR="00AB24CD" w:rsidRPr="005019B6" w:rsidRDefault="00AB24CD" w:rsidP="00617E89">
      <w:pPr>
        <w:spacing w:before="120" w:line="240" w:lineRule="auto"/>
        <w:ind w:left="284"/>
        <w:rPr>
          <w:rFonts w:eastAsia="Calibri" w:cs="Arial"/>
          <w:b/>
          <w:i/>
          <w:szCs w:val="20"/>
        </w:rPr>
      </w:pPr>
      <w:r w:rsidRPr="005019B6">
        <w:rPr>
          <w:rFonts w:eastAsia="Calibri" w:cs="Arial"/>
          <w:b/>
          <w:i/>
          <w:szCs w:val="20"/>
        </w:rPr>
        <w:t>Λοιποί φόροι επί παραγωγής</w:t>
      </w:r>
    </w:p>
    <w:p w14:paraId="3F269450" w14:textId="003D6A7C" w:rsidR="005019B6" w:rsidRPr="0094416A" w:rsidRDefault="00617E89" w:rsidP="00617E89">
      <w:pPr>
        <w:spacing w:before="120"/>
        <w:ind w:left="284"/>
        <w:rPr>
          <w:highlight w:val="yellow"/>
        </w:rPr>
      </w:pPr>
      <w:r w:rsidRPr="00F61F17">
        <w:t xml:space="preserve">Τα έσοδα της κατηγορίας αυτής προέρχονται </w:t>
      </w:r>
      <w:r>
        <w:t xml:space="preserve">κυρίως </w:t>
      </w:r>
      <w:r w:rsidRPr="00F61F17">
        <w:t>από το τέλος επιτηδεύματος</w:t>
      </w:r>
      <w:r>
        <w:t xml:space="preserve"> καθώς και από λοιπές επιχειρηματικές και επαγγελματικές άδειες</w:t>
      </w:r>
      <w:r w:rsidRPr="00F61F17">
        <w:t xml:space="preserve">. Οι λοιποί φόροι </w:t>
      </w:r>
      <w:r>
        <w:t xml:space="preserve">επί </w:t>
      </w:r>
      <w:r w:rsidRPr="00F61F17">
        <w:t xml:space="preserve">παραγωγής εκτιμάται ότι θα </w:t>
      </w:r>
      <w:r w:rsidRPr="00F61F17">
        <w:lastRenderedPageBreak/>
        <w:t xml:space="preserve">διαμορφωθούν σε </w:t>
      </w:r>
      <w:r>
        <w:t>506</w:t>
      </w:r>
      <w:r w:rsidRPr="00F61F17">
        <w:t xml:space="preserve"> εκατ. ευρώ, αυξημένοι κατά </w:t>
      </w:r>
      <w:r>
        <w:t>46</w:t>
      </w:r>
      <w:r w:rsidRPr="00F61F17">
        <w:t xml:space="preserve"> εκατ. ευρώ έναντι του στόχου</w:t>
      </w:r>
      <w:r w:rsidRPr="000F76C1">
        <w:t xml:space="preserve"> </w:t>
      </w:r>
      <w:r>
        <w:t>του προϋπολογισμού 202</w:t>
      </w:r>
      <w:r w:rsidRPr="005B3689">
        <w:t>5</w:t>
      </w:r>
      <w:r w:rsidRPr="001F7D95">
        <w:t>.</w:t>
      </w:r>
    </w:p>
    <w:p w14:paraId="3CAFD886" w14:textId="77777777" w:rsidR="00AB24CD" w:rsidRPr="005019B6" w:rsidRDefault="00AB24CD" w:rsidP="006566C3">
      <w:pPr>
        <w:spacing w:before="120" w:line="240" w:lineRule="auto"/>
        <w:ind w:left="284"/>
        <w:rPr>
          <w:rFonts w:eastAsia="Calibri" w:cs="Arial"/>
          <w:b/>
          <w:i/>
          <w:szCs w:val="20"/>
        </w:rPr>
      </w:pPr>
      <w:r w:rsidRPr="005019B6">
        <w:rPr>
          <w:rFonts w:eastAsia="Calibri" w:cs="Arial"/>
          <w:b/>
          <w:i/>
          <w:szCs w:val="20"/>
        </w:rPr>
        <w:t>Φόρος εισοδήματος</w:t>
      </w:r>
    </w:p>
    <w:p w14:paraId="72638E54" w14:textId="5FD70D27" w:rsidR="00617E89" w:rsidRPr="00544591" w:rsidRDefault="00617E89" w:rsidP="00617E89">
      <w:pPr>
        <w:spacing w:before="120"/>
        <w:ind w:left="284"/>
        <w:rPr>
          <w:highlight w:val="yellow"/>
        </w:rPr>
      </w:pPr>
      <w:r w:rsidRPr="00732C87">
        <w:t xml:space="preserve">Το ύψος του φόρου εισοδήματος (φυσικών προσώπων, νομικών προσώπων και λοιπών κατηγοριών) αναμένεται να διαμορφωθεί στο ποσό των </w:t>
      </w:r>
      <w:r>
        <w:t>26.067</w:t>
      </w:r>
      <w:r w:rsidRPr="00732C87">
        <w:t xml:space="preserve"> εκατ. ευρώ, παρουσιάζοντας αύξηση κατά </w:t>
      </w:r>
      <w:r>
        <w:t>855</w:t>
      </w:r>
      <w:r w:rsidRPr="00732C87">
        <w:t xml:space="preserve"> εκατ. ευρώ ή </w:t>
      </w:r>
      <w:r>
        <w:t>3</w:t>
      </w:r>
      <w:r w:rsidRPr="00732C87">
        <w:t>,</w:t>
      </w:r>
      <w:r>
        <w:t>4</w:t>
      </w:r>
      <w:r w:rsidRPr="00732C87">
        <w:t>% έναντι του στόχου του προϋπολογισμού 202</w:t>
      </w:r>
      <w:r>
        <w:t>5</w:t>
      </w:r>
      <w:r w:rsidRPr="00732C87">
        <w:t xml:space="preserve">. Ειδικότερα, εκτιμάται ότι τα έσοδα από τον φόρο εισοδήματος φυσικών προσώπων θα ανέλθουν σε </w:t>
      </w:r>
      <w:r>
        <w:t>15.889</w:t>
      </w:r>
      <w:r w:rsidRPr="00732C87">
        <w:t xml:space="preserve"> εκατ. ευρώ, αυξημένα κατά </w:t>
      </w:r>
      <w:r>
        <w:t>645</w:t>
      </w:r>
      <w:r w:rsidRPr="00732C87">
        <w:t xml:space="preserve"> εκατ. ευρώ από τον στόχο</w:t>
      </w:r>
      <w:r>
        <w:t xml:space="preserve"> ή 4,2%</w:t>
      </w:r>
      <w:r w:rsidRPr="00732C87">
        <w:t>, κυρίως λόγω της αύξησης των μισθών και των συντάξεων καθώς και της μείωσης της ανεργίας. Τα έσοδα από τον φόρο εισοδήματος νομικών προσώπων εκτιμώνται στο ποσό των 7.</w:t>
      </w:r>
      <w:r>
        <w:t>788</w:t>
      </w:r>
      <w:r w:rsidRPr="00732C87">
        <w:t xml:space="preserve"> εκατ. ευρώ, </w:t>
      </w:r>
      <w:r>
        <w:t>μειωμένα</w:t>
      </w:r>
      <w:r w:rsidRPr="00732C87">
        <w:t xml:space="preserve"> κατά </w:t>
      </w:r>
      <w:r w:rsidRPr="001F7D95">
        <w:t>1</w:t>
      </w:r>
      <w:r>
        <w:t>83</w:t>
      </w:r>
      <w:r w:rsidRPr="00732C87">
        <w:t xml:space="preserve"> εκατ. ευρώ από τον στόχο ή </w:t>
      </w:r>
      <w:r w:rsidRPr="001F7D95">
        <w:t>2</w:t>
      </w:r>
      <w:r>
        <w:t>,3</w:t>
      </w:r>
      <w:r w:rsidRPr="00732C87">
        <w:t>%</w:t>
      </w:r>
      <w:r>
        <w:t>, λόγω</w:t>
      </w:r>
      <w:r w:rsidR="002F5591">
        <w:t xml:space="preserve"> του</w:t>
      </w:r>
      <w:r>
        <w:t xml:space="preserve"> χαμηλότερου ρυθμού αύξησης των κερδών των επιχειρήσεων κατά το φορολογικό έτος 2024, τα οποία δηλώθηκαν στο τρέχον έτος.</w:t>
      </w:r>
    </w:p>
    <w:p w14:paraId="769B3486" w14:textId="77777777" w:rsidR="00AB24CD" w:rsidRPr="005019B6" w:rsidRDefault="00AB24CD" w:rsidP="006566C3">
      <w:pPr>
        <w:spacing w:before="120" w:line="240" w:lineRule="auto"/>
        <w:ind w:left="284"/>
        <w:rPr>
          <w:rFonts w:eastAsia="Calibri" w:cs="Arial"/>
          <w:b/>
          <w:i/>
          <w:szCs w:val="20"/>
        </w:rPr>
      </w:pPr>
      <w:r w:rsidRPr="005019B6">
        <w:rPr>
          <w:rFonts w:eastAsia="Calibri" w:cs="Arial"/>
          <w:b/>
          <w:i/>
          <w:szCs w:val="20"/>
        </w:rPr>
        <w:t>Φόροι κεφαλαίου</w:t>
      </w:r>
    </w:p>
    <w:p w14:paraId="7A1DF5B0" w14:textId="0350670F" w:rsidR="00F61F17" w:rsidRPr="00617E89" w:rsidRDefault="00617E89" w:rsidP="00F61F17">
      <w:pPr>
        <w:spacing w:before="120"/>
        <w:ind w:left="284"/>
      </w:pPr>
      <w:r w:rsidRPr="00732C87">
        <w:t xml:space="preserve">Στην κατηγορία αυτή περιλαμβάνονται οι φόροι και τα τέλη κληρονομιών, δωρεών, γονικών και λοιπών παροχών. Εκτιμώνται έσοδα </w:t>
      </w:r>
      <w:r>
        <w:t xml:space="preserve">ύψους </w:t>
      </w:r>
      <w:r w:rsidRPr="00732C87">
        <w:t>2</w:t>
      </w:r>
      <w:r>
        <w:t>50</w:t>
      </w:r>
      <w:r w:rsidRPr="00732C87">
        <w:t xml:space="preserve"> εκατ. ευρώ, </w:t>
      </w:r>
      <w:r>
        <w:t>αυξη</w:t>
      </w:r>
      <w:r w:rsidRPr="00732C87">
        <w:t xml:space="preserve">μένα κατά </w:t>
      </w:r>
      <w:r>
        <w:t>16</w:t>
      </w:r>
      <w:r w:rsidRPr="00732C87">
        <w:t xml:space="preserve"> εκατ. ευρώ έναντι του στόχου του προϋπολογισμού 202</w:t>
      </w:r>
      <w:r>
        <w:t>5</w:t>
      </w:r>
      <w:r w:rsidRPr="00732C87">
        <w:t>.</w:t>
      </w:r>
    </w:p>
    <w:p w14:paraId="606AC7D9" w14:textId="77777777" w:rsidR="00AB24CD" w:rsidRPr="005019B6" w:rsidRDefault="00AB24CD" w:rsidP="006566C3">
      <w:pPr>
        <w:spacing w:before="120" w:line="240" w:lineRule="auto"/>
        <w:ind w:left="284"/>
        <w:rPr>
          <w:rFonts w:eastAsia="Calibri" w:cs="Arial"/>
          <w:b/>
          <w:i/>
          <w:szCs w:val="20"/>
        </w:rPr>
      </w:pPr>
      <w:r w:rsidRPr="005019B6">
        <w:rPr>
          <w:rFonts w:eastAsia="Calibri" w:cs="Arial"/>
          <w:b/>
          <w:i/>
          <w:szCs w:val="20"/>
        </w:rPr>
        <w:t>Λοιποί τρέχοντες φόροι</w:t>
      </w:r>
    </w:p>
    <w:p w14:paraId="00FA2EEF" w14:textId="72C691F7" w:rsidR="005019B6" w:rsidRPr="00617E89" w:rsidRDefault="00617E89" w:rsidP="00F61F17">
      <w:pPr>
        <w:spacing w:before="120"/>
        <w:ind w:left="284"/>
        <w:rPr>
          <w:highlight w:val="yellow"/>
        </w:rPr>
      </w:pPr>
      <w:r w:rsidRPr="00732C87">
        <w:t>Η κατηγορία αυτή περιλαμβάνει κυρίως τα τέλη κυκλοφορίας οχημάτων και τα διάφορα μη ταξινομημένα φορολογικά έσοδα. Τα έσοδα από τους λοιπούς τρέχοντες φόρους αναμένεται να ανέλθουν στο ποσό των 2.</w:t>
      </w:r>
      <w:r>
        <w:t>292</w:t>
      </w:r>
      <w:r w:rsidRPr="00732C87">
        <w:t xml:space="preserve"> εκατ. ευρώ, </w:t>
      </w:r>
      <w:r>
        <w:t>μειω</w:t>
      </w:r>
      <w:r w:rsidRPr="00732C87">
        <w:t xml:space="preserve">μένα κατά </w:t>
      </w:r>
      <w:r>
        <w:t>230</w:t>
      </w:r>
      <w:r w:rsidRPr="00732C87">
        <w:t xml:space="preserve"> εκατ. ευρώ έναντι του στόχου</w:t>
      </w:r>
      <w:r>
        <w:t xml:space="preserve"> του προϋπολογισμού 2025, κυρίως λόγω της εκτιμώμενης μείωσης κατά 180 εκατ. ευρώ των εσόδων που καταχωρίζονται στα μη ταξινομημένα φορολογικά έσοδα</w:t>
      </w:r>
      <w:r w:rsidRPr="00617E89">
        <w:t>.</w:t>
      </w:r>
    </w:p>
    <w:p w14:paraId="395111E8" w14:textId="77777777" w:rsidR="00AB24CD" w:rsidRPr="007208B4" w:rsidRDefault="00AB24CD" w:rsidP="00AB24CD">
      <w:pPr>
        <w:spacing w:before="240"/>
        <w:rPr>
          <w:rFonts w:cs="Arial"/>
          <w:b/>
        </w:rPr>
      </w:pPr>
      <w:r w:rsidRPr="007208B4">
        <w:rPr>
          <w:rFonts w:cs="Arial"/>
          <w:b/>
          <w:szCs w:val="22"/>
        </w:rPr>
        <w:t>Κοινωνικές</w:t>
      </w:r>
      <w:r w:rsidRPr="007208B4">
        <w:rPr>
          <w:rFonts w:cs="Arial"/>
          <w:b/>
        </w:rPr>
        <w:t xml:space="preserve"> εισφορές</w:t>
      </w:r>
    </w:p>
    <w:p w14:paraId="214EF063" w14:textId="476C2EFF" w:rsidR="00F61F17" w:rsidRPr="0094416A" w:rsidRDefault="00617E89" w:rsidP="00617E89">
      <w:pPr>
        <w:rPr>
          <w:highlight w:val="yellow"/>
        </w:rPr>
      </w:pPr>
      <w:r w:rsidRPr="00732C87">
        <w:t xml:space="preserve">Η κατηγορία αυτή περιλαμβάνει κυρίως τις εισφορές των εργαζόμενων για παροχές υγείας από το Δημόσιο. Εκτιμώνται έσοδα </w:t>
      </w:r>
      <w:r>
        <w:t>61</w:t>
      </w:r>
      <w:r w:rsidRPr="00732C87">
        <w:t xml:space="preserve"> εκατ. ευρώ, </w:t>
      </w:r>
      <w:r>
        <w:t>χωρίς ιδιαίτερη απόκλιση από τον στόχο.</w:t>
      </w:r>
    </w:p>
    <w:p w14:paraId="13FA0D79" w14:textId="77777777" w:rsidR="00AB24CD" w:rsidRPr="005019B6" w:rsidRDefault="00AB24CD" w:rsidP="00AB24CD">
      <w:pPr>
        <w:spacing w:before="240"/>
        <w:rPr>
          <w:rFonts w:cs="Arial"/>
          <w:b/>
        </w:rPr>
      </w:pPr>
      <w:r w:rsidRPr="002B0101">
        <w:rPr>
          <w:rFonts w:cs="Arial"/>
          <w:b/>
          <w:szCs w:val="22"/>
        </w:rPr>
        <w:t>Μεταβιβάσεις</w:t>
      </w:r>
    </w:p>
    <w:p w14:paraId="6BBC41A8" w14:textId="77777777" w:rsidR="00617E89" w:rsidRPr="00732C87" w:rsidRDefault="00617E89" w:rsidP="00617E89">
      <w:pPr>
        <w:spacing w:before="120"/>
        <w:rPr>
          <w:highlight w:val="yellow"/>
        </w:rPr>
      </w:pPr>
      <w:r w:rsidRPr="00732C87">
        <w:t>Σε αυτή την κατηγορία περιλαμβάνονται κυρίως τα έσοδα από:</w:t>
      </w:r>
    </w:p>
    <w:p w14:paraId="1C49B2EA" w14:textId="77777777" w:rsidR="00617E89" w:rsidRPr="00A27A37" w:rsidRDefault="00617E89" w:rsidP="00617E89">
      <w:pPr>
        <w:numPr>
          <w:ilvl w:val="0"/>
          <w:numId w:val="1"/>
        </w:numPr>
        <w:spacing w:before="120" w:after="60"/>
        <w:ind w:left="568" w:hanging="284"/>
        <w:rPr>
          <w:rFonts w:cs="Arial"/>
        </w:rPr>
      </w:pPr>
      <w:r w:rsidRPr="00A27A37">
        <w:rPr>
          <w:rFonts w:cs="Arial"/>
        </w:rPr>
        <w:t>το συγχρηματοδοτούμενο σκέλος του προϋπολογισμού δημοσίων επενδύσεων, τα οποία αναμένεται να ανέλθουν σε 4.125 εκατ. ευρώ, προσαρμοσμένα κατά ESA, καθώς και από μέρος του εθνικού σκέλους του προϋπολογισμού δημοσίων επενδύσεων, ύψους 48 εκατ. ευρώ και</w:t>
      </w:r>
    </w:p>
    <w:p w14:paraId="526176F3" w14:textId="77777777" w:rsidR="00617E89" w:rsidRPr="00A27A37" w:rsidRDefault="00617E89" w:rsidP="00617E89">
      <w:pPr>
        <w:numPr>
          <w:ilvl w:val="0"/>
          <w:numId w:val="1"/>
        </w:numPr>
        <w:spacing w:before="60"/>
        <w:ind w:left="568" w:hanging="284"/>
        <w:rPr>
          <w:rFonts w:cs="Arial"/>
        </w:rPr>
      </w:pPr>
      <w:r w:rsidRPr="00A27A37">
        <w:rPr>
          <w:rFonts w:cs="Arial"/>
        </w:rPr>
        <w:t>το ΤΑΑ, ύψους 4.293 εκατ. ευρώ, προσαρμοσμένα κατά ESA (δαπάνες μείον έσοδα από ΦΠΑ).</w:t>
      </w:r>
    </w:p>
    <w:p w14:paraId="1970E1D3" w14:textId="7532A80B" w:rsidR="00F61F17" w:rsidRPr="00A27A37" w:rsidRDefault="00617E89" w:rsidP="00D645FC">
      <w:pPr>
        <w:spacing w:before="120"/>
        <w:rPr>
          <w:rFonts w:cs="Arial"/>
          <w:b/>
          <w:szCs w:val="22"/>
          <w:highlight w:val="yellow"/>
        </w:rPr>
      </w:pPr>
      <w:r w:rsidRPr="00732C87">
        <w:t xml:space="preserve">Το σύνολο των εσόδων από μεταβιβάσεις αναμένεται να ανέλθει στο ποσό των </w:t>
      </w:r>
      <w:r>
        <w:t>9.307</w:t>
      </w:r>
      <w:r w:rsidRPr="00732C87">
        <w:t xml:space="preserve"> εκατ. ευρώ, </w:t>
      </w:r>
      <w:r>
        <w:t>αυξημένο</w:t>
      </w:r>
      <w:r w:rsidRPr="00732C87">
        <w:t xml:space="preserve"> κατά </w:t>
      </w:r>
      <w:r>
        <w:t>513</w:t>
      </w:r>
      <w:r w:rsidRPr="00732C87">
        <w:t xml:space="preserve"> εκατ. ευρώ έναντι του στόχου του προϋπολογισμού 202</w:t>
      </w:r>
      <w:r>
        <w:t>5</w:t>
      </w:r>
      <w:r w:rsidRPr="00732C87">
        <w:t>.</w:t>
      </w:r>
    </w:p>
    <w:p w14:paraId="51EB1859" w14:textId="77777777" w:rsidR="00AB24CD" w:rsidRPr="0094416A" w:rsidRDefault="00AB24CD" w:rsidP="00AB24CD">
      <w:pPr>
        <w:spacing w:before="240"/>
        <w:rPr>
          <w:rFonts w:cs="Arial"/>
          <w:b/>
        </w:rPr>
      </w:pPr>
      <w:r w:rsidRPr="0094416A">
        <w:rPr>
          <w:rFonts w:cs="Arial"/>
          <w:b/>
        </w:rPr>
        <w:t xml:space="preserve">Πωλήσεις </w:t>
      </w:r>
      <w:r w:rsidRPr="0094416A">
        <w:rPr>
          <w:rFonts w:cs="Arial"/>
          <w:b/>
          <w:szCs w:val="22"/>
        </w:rPr>
        <w:t>αγαθών</w:t>
      </w:r>
      <w:r w:rsidRPr="0094416A">
        <w:rPr>
          <w:rFonts w:cs="Arial"/>
          <w:b/>
        </w:rPr>
        <w:t xml:space="preserve"> και υπηρεσιών</w:t>
      </w:r>
    </w:p>
    <w:p w14:paraId="149D9FF2" w14:textId="5EFF3595" w:rsidR="005019B6" w:rsidRPr="0094416A" w:rsidRDefault="001C6E62" w:rsidP="001C6E62">
      <w:pPr>
        <w:rPr>
          <w:highlight w:val="yellow"/>
        </w:rPr>
      </w:pPr>
      <w:r w:rsidRPr="00732C87">
        <w:t xml:space="preserve">Η κατηγορία αυτή περιλαμβάνει κυρίως τα έσοδα από παράβολα, μισθώματα κτηρίων και υποδομών καθώς και από προμήθειες λόγω παροχής εγγύησης του Ελληνικού Δημοσίου. Οι πωλήσεις αγαθών και υπηρεσιών αναμένεται να διαμορφωθούν στο ύψος των </w:t>
      </w:r>
      <w:r>
        <w:t>1.211</w:t>
      </w:r>
      <w:r w:rsidRPr="00732C87">
        <w:t xml:space="preserve"> εκατ. ευρώ, </w:t>
      </w:r>
      <w:r>
        <w:t>αυξη</w:t>
      </w:r>
      <w:r w:rsidRPr="00732C87">
        <w:t xml:space="preserve">μένες κατά </w:t>
      </w:r>
      <w:r>
        <w:t>247</w:t>
      </w:r>
      <w:r w:rsidRPr="00732C87">
        <w:t xml:space="preserve"> εκατ. ευρώ έναντι του στόχου του προϋπολογισμού 202</w:t>
      </w:r>
      <w:r>
        <w:t>5</w:t>
      </w:r>
      <w:r w:rsidRPr="00732C87">
        <w:t>.</w:t>
      </w:r>
    </w:p>
    <w:p w14:paraId="23C2121A" w14:textId="04674768" w:rsidR="00AB24CD" w:rsidRPr="007208B4" w:rsidRDefault="00AB24CD" w:rsidP="00AB24CD">
      <w:pPr>
        <w:spacing w:before="240"/>
        <w:rPr>
          <w:rFonts w:cs="Arial"/>
          <w:b/>
        </w:rPr>
      </w:pPr>
      <w:r w:rsidRPr="007208B4">
        <w:rPr>
          <w:rFonts w:cs="Arial"/>
          <w:b/>
        </w:rPr>
        <w:t xml:space="preserve">Λοιπά </w:t>
      </w:r>
      <w:r w:rsidRPr="007208B4">
        <w:rPr>
          <w:rFonts w:cs="Arial"/>
          <w:b/>
          <w:szCs w:val="22"/>
        </w:rPr>
        <w:t>τρέχοντα</w:t>
      </w:r>
      <w:r w:rsidRPr="007208B4">
        <w:rPr>
          <w:rFonts w:cs="Arial"/>
          <w:b/>
        </w:rPr>
        <w:t xml:space="preserve"> έσοδα</w:t>
      </w:r>
    </w:p>
    <w:p w14:paraId="673D40BE" w14:textId="59F404DC" w:rsidR="00AB24CD" w:rsidRPr="001C6E62" w:rsidRDefault="001C6E62" w:rsidP="001C6E62">
      <w:r w:rsidRPr="00732C87">
        <w:t xml:space="preserve">Η κατηγορία αυτή περιλαμβάνει διάφορες κατηγορίες εσόδων, με κυριότερες τους τόκους καταθέσεων του Ελληνικού Δημοσίου, τα μερίσματα από τη συμμετοχή του Ελληνικού Δημοσίου στο μετοχικό </w:t>
      </w:r>
      <w:r w:rsidRPr="00732C87">
        <w:lastRenderedPageBreak/>
        <w:t>κεφάλαιο διαφόρων εταιρειών, τους τόκους από ομόλογα που κατέχει το Ελληνικ</w:t>
      </w:r>
      <w:r>
        <w:t>ό</w:t>
      </w:r>
      <w:r w:rsidRPr="00732C87">
        <w:t xml:space="preserve"> Δημ</w:t>
      </w:r>
      <w:r>
        <w:t>όσιο</w:t>
      </w:r>
      <w:r w:rsidRPr="00732C87">
        <w:t xml:space="preserve">, τις διάφορες κατηγορίες προστίμων και προσαυξήσεων, το μεγαλύτερο ποσοστό των εσόδων του εθνικού σκέλους </w:t>
      </w:r>
      <w:r w:rsidRPr="002B0101">
        <w:t>του προϋπολογισμού δημοσίων επενδύσεων</w:t>
      </w:r>
      <w:r>
        <w:t>,</w:t>
      </w:r>
      <w:r w:rsidRPr="002B0101">
        <w:t xml:space="preserve"> το οποίο προέρχεται κυρίως από επιστροφές ποσών</w:t>
      </w:r>
      <w:r w:rsidRPr="00732C87">
        <w:t xml:space="preserve"> από Νομικά Πρόσωπα Δημοσίου Δικαίου (ΝΠΔΔ) για εκτέλεση έργων επενδύσεων καθώς και τις επιστροφές ιδίων πόρων από την ΕΕ. Τα λοιπά τρέχοντα έσοδα αναμένεται να διαμορφωθούν σε </w:t>
      </w:r>
      <w:r w:rsidRPr="00BD0D46">
        <w:t>2.9</w:t>
      </w:r>
      <w:r>
        <w:t>62</w:t>
      </w:r>
      <w:r w:rsidRPr="00732C87">
        <w:t xml:space="preserve"> εκατ. ευρώ, </w:t>
      </w:r>
      <w:r>
        <w:t>μειω</w:t>
      </w:r>
      <w:r w:rsidRPr="00732C87">
        <w:t xml:space="preserve">μένα κατά </w:t>
      </w:r>
      <w:r>
        <w:t>81</w:t>
      </w:r>
      <w:r w:rsidRPr="00732C87">
        <w:t xml:space="preserve"> εκατ. ευρώ έναντι του στόχου του προϋπολογισμού 202</w:t>
      </w:r>
      <w:r>
        <w:t>5.</w:t>
      </w:r>
    </w:p>
    <w:p w14:paraId="33E995F0" w14:textId="77777777" w:rsidR="00AB24CD" w:rsidRPr="007208B4" w:rsidRDefault="00AB24CD" w:rsidP="00AB24CD">
      <w:pPr>
        <w:spacing w:before="240"/>
        <w:rPr>
          <w:rFonts w:cs="Arial"/>
          <w:b/>
        </w:rPr>
      </w:pPr>
      <w:r w:rsidRPr="007208B4">
        <w:rPr>
          <w:rFonts w:cs="Arial"/>
          <w:b/>
        </w:rPr>
        <w:t>Πωλήσεις παγίων περιουσιακών στοιχείων</w:t>
      </w:r>
    </w:p>
    <w:p w14:paraId="23637E94" w14:textId="2B593B5C" w:rsidR="007208B4" w:rsidRPr="0094416A" w:rsidRDefault="001C6E62" w:rsidP="001C6E62">
      <w:pPr>
        <w:rPr>
          <w:highlight w:val="yellow"/>
        </w:rPr>
      </w:pPr>
      <w:r w:rsidRPr="00732C87">
        <w:t>Η κατηγορία αυτή αφορά κυρίως σε έσοδα από την αξιοποίηση της ακίνητης περιουσίας του Ελληνικού Δημοσίου, μέσω της διαδικασίας αποκρατικοποιήσεων από τ</w:t>
      </w:r>
      <w:r>
        <w:t>ην Ελληνική Εταιρεία</w:t>
      </w:r>
      <w:r w:rsidRPr="00732C87">
        <w:t xml:space="preserve"> </w:t>
      </w:r>
      <w:r>
        <w:t>Συμμετοχών και</w:t>
      </w:r>
      <w:r w:rsidRPr="00732C87">
        <w:t xml:space="preserve"> Περιουσίας (</w:t>
      </w:r>
      <w:r>
        <w:t>ΕΕΣΥΠ</w:t>
      </w:r>
      <w:r w:rsidRPr="00732C87">
        <w:t>). Εκτιμώνται έσοδα ύψους 3</w:t>
      </w:r>
      <w:r>
        <w:t>6</w:t>
      </w:r>
      <w:r w:rsidRPr="00732C87">
        <w:t xml:space="preserve"> εκατ. ευρώ, </w:t>
      </w:r>
      <w:r>
        <w:t>χωρίς ιδιαίτερη απόκλιση από</w:t>
      </w:r>
      <w:r w:rsidRPr="00732C87">
        <w:t xml:space="preserve"> τον στόχο του προϋπολογισμού 202</w:t>
      </w:r>
      <w:r>
        <w:t>5</w:t>
      </w:r>
      <w:r w:rsidRPr="00732C87">
        <w:t>.</w:t>
      </w:r>
    </w:p>
    <w:p w14:paraId="16CFFAEA" w14:textId="3410CDA6" w:rsidR="00AB24CD" w:rsidRPr="007208B4" w:rsidRDefault="00AB24CD" w:rsidP="00AB24CD">
      <w:pPr>
        <w:spacing w:before="240"/>
        <w:rPr>
          <w:rFonts w:cs="Arial"/>
          <w:b/>
        </w:rPr>
      </w:pPr>
      <w:r w:rsidRPr="007208B4">
        <w:rPr>
          <w:rFonts w:cs="Arial"/>
          <w:b/>
        </w:rPr>
        <w:t xml:space="preserve">Επιστροφές </w:t>
      </w:r>
      <w:r w:rsidR="002F3CD4">
        <w:rPr>
          <w:rFonts w:cs="Arial"/>
          <w:b/>
        </w:rPr>
        <w:t>εσόδων</w:t>
      </w:r>
    </w:p>
    <w:p w14:paraId="66AA2065" w14:textId="7E5073AF" w:rsidR="007208B4" w:rsidRPr="001C6E62" w:rsidRDefault="001C6E62" w:rsidP="001C6E62">
      <w:r w:rsidRPr="00732C87">
        <w:t>Οι επιστροφές αχρεωστήτως εισπραχθέντων εσόδων εκτιμάται ότι θα διαμορφωθούν σε 7.</w:t>
      </w:r>
      <w:r>
        <w:t>689</w:t>
      </w:r>
      <w:r w:rsidRPr="00732C87">
        <w:t xml:space="preserve"> εκατ. ευρώ, αυξημένες κατά </w:t>
      </w:r>
      <w:r>
        <w:t>161</w:t>
      </w:r>
      <w:r w:rsidRPr="00732C87">
        <w:t xml:space="preserve"> εκατ. ευρώ έναντι του στόχου του προϋπολογισμού 202</w:t>
      </w:r>
      <w:r>
        <w:t>5</w:t>
      </w:r>
      <w:r w:rsidRPr="00732C87">
        <w:t>.</w:t>
      </w:r>
    </w:p>
    <w:p w14:paraId="0DFE9E41" w14:textId="77777777" w:rsidR="00AB24CD" w:rsidRPr="00B02B17" w:rsidRDefault="00AB24CD" w:rsidP="00AB24CD">
      <w:pPr>
        <w:spacing w:before="240"/>
        <w:rPr>
          <w:rFonts w:cs="Arial"/>
          <w:b/>
        </w:rPr>
      </w:pPr>
      <w:r w:rsidRPr="00B02B17">
        <w:rPr>
          <w:rFonts w:cs="Arial"/>
          <w:b/>
        </w:rPr>
        <w:t>Πληροφοριακά στοιχεία</w:t>
      </w:r>
    </w:p>
    <w:p w14:paraId="2BEBFCD8" w14:textId="77777777" w:rsidR="00B432CE" w:rsidRPr="007379B9" w:rsidRDefault="00B432CE" w:rsidP="00B432CE">
      <w:pPr>
        <w:rPr>
          <w:rFonts w:cs="Arial"/>
          <w:b/>
          <w:i/>
          <w:szCs w:val="20"/>
        </w:rPr>
      </w:pPr>
      <w:r w:rsidRPr="007379B9">
        <w:rPr>
          <w:rFonts w:cs="Arial"/>
          <w:b/>
          <w:i/>
          <w:szCs w:val="20"/>
        </w:rPr>
        <w:t>Έσοδα Προϋπολογισμού Δημοσίων Επενδύσεων</w:t>
      </w:r>
    </w:p>
    <w:p w14:paraId="3547ECA4" w14:textId="1EDEB478" w:rsidR="007208B4" w:rsidRPr="00777FD3" w:rsidRDefault="00777FD3" w:rsidP="00777FD3">
      <w:bookmarkStart w:id="295" w:name="_Hlk115277916"/>
      <w:r>
        <w:t>Τα έσοδα του προϋπολογισμού δημοσίων επενδύσεων π</w:t>
      </w:r>
      <w:r w:rsidRPr="00E86B05">
        <w:t>εριλαμβάνονται στις κατηγορίες «Μεταβιβάσεις» και «Λοιπά τρέχοντα έσοδα»</w:t>
      </w:r>
      <w:r>
        <w:t xml:space="preserve"> και </w:t>
      </w:r>
      <w:r w:rsidRPr="00E86B05">
        <w:t>αναμένεται να ανέλθουν</w:t>
      </w:r>
      <w:r>
        <w:t xml:space="preserve">, προσαρμοσμένα κατά </w:t>
      </w:r>
      <w:r>
        <w:rPr>
          <w:lang w:val="en-US"/>
        </w:rPr>
        <w:t>ESA</w:t>
      </w:r>
      <w:r w:rsidRPr="00EE7DCB">
        <w:t>,</w:t>
      </w:r>
      <w:r w:rsidRPr="00E86B05">
        <w:t xml:space="preserve"> στο ποσό των </w:t>
      </w:r>
      <w:r>
        <w:t>4.300</w:t>
      </w:r>
      <w:r w:rsidRPr="00E86B05">
        <w:t xml:space="preserve"> εκατ. ευρώ, </w:t>
      </w:r>
      <w:r>
        <w:t>χωρίς απόκλιση από τον στόχο</w:t>
      </w:r>
      <w:r w:rsidRPr="00E86B05">
        <w:t xml:space="preserve"> του προϋπολογισμού 202</w:t>
      </w:r>
      <w:r>
        <w:t>5</w:t>
      </w:r>
      <w:r w:rsidRPr="00E86B05">
        <w:t>.</w:t>
      </w:r>
    </w:p>
    <w:p w14:paraId="096E1E89" w14:textId="2604BD50" w:rsidR="00AB24CD" w:rsidRPr="00B02B17" w:rsidRDefault="00AB24CD" w:rsidP="006566C3">
      <w:pPr>
        <w:spacing w:before="120"/>
        <w:rPr>
          <w:rFonts w:cs="Arial"/>
          <w:b/>
          <w:i/>
          <w:szCs w:val="20"/>
        </w:rPr>
      </w:pPr>
      <w:r w:rsidRPr="00B02B17">
        <w:rPr>
          <w:rFonts w:cs="Arial"/>
          <w:b/>
          <w:i/>
          <w:szCs w:val="20"/>
        </w:rPr>
        <w:t>Έσοδα Τ</w:t>
      </w:r>
      <w:r w:rsidR="00EE7DCB">
        <w:rPr>
          <w:rFonts w:cs="Arial"/>
          <w:b/>
          <w:i/>
          <w:szCs w:val="20"/>
        </w:rPr>
        <w:t>ΑΑ</w:t>
      </w:r>
    </w:p>
    <w:bookmarkEnd w:id="295"/>
    <w:p w14:paraId="0921B957" w14:textId="535D0597" w:rsidR="007208B4" w:rsidRPr="00B432CE" w:rsidRDefault="00B432CE" w:rsidP="00D645FC">
      <w:pPr>
        <w:spacing w:before="120"/>
      </w:pPr>
      <w:r w:rsidRPr="00E86B05">
        <w:t xml:space="preserve">Τα έσοδα του ΤΑΑ περιλαμβάνονται στην κατηγορία «Μεταβιβάσεις» και αναμένεται να ανέλθουν, προσαρμοσμένα κατά ESA, στο ποσό των </w:t>
      </w:r>
      <w:r>
        <w:t>4.293</w:t>
      </w:r>
      <w:r w:rsidRPr="00E86B05">
        <w:t xml:space="preserve"> εκατ. ευρώ</w:t>
      </w:r>
      <w:r>
        <w:t>, αυξημένα κατά 56</w:t>
      </w:r>
      <w:r w:rsidRPr="00F35DE9">
        <w:t xml:space="preserve"> </w:t>
      </w:r>
      <w:r>
        <w:t>εκατ. ευρώ από τον στόχο του προϋπολογισμού 2025</w:t>
      </w:r>
      <w:r w:rsidRPr="00E86B05">
        <w:t>.</w:t>
      </w:r>
    </w:p>
    <w:p w14:paraId="7B5DD5DB" w14:textId="77777777" w:rsidR="005F0AA0" w:rsidRPr="005F0AA0" w:rsidRDefault="005F0AA0" w:rsidP="00300BBF">
      <w:pPr>
        <w:pStyle w:val="5"/>
        <w:rPr>
          <w:lang w:eastAsia="en-US"/>
        </w:rPr>
      </w:pPr>
      <w:bookmarkStart w:id="296" w:name="_Toc214473746"/>
      <w:r>
        <w:rPr>
          <w:lang w:eastAsia="en-US"/>
        </w:rPr>
        <w:t>Δαπάνες σε δημοσιονομική βάση</w:t>
      </w:r>
      <w:bookmarkEnd w:id="296"/>
    </w:p>
    <w:p w14:paraId="3290FD19" w14:textId="3618DA28" w:rsidR="002B0101" w:rsidRPr="0094416A" w:rsidRDefault="00B001AE" w:rsidP="00B001AE">
      <w:pPr>
        <w:rPr>
          <w:highlight w:val="yellow"/>
        </w:rPr>
      </w:pPr>
      <w:r w:rsidRPr="006530AF">
        <w:t>Οι συνολικές δαπάνες του κρατικού προϋπολογισμού για το έτος 202</w:t>
      </w:r>
      <w:r w:rsidRPr="004C3B1A">
        <w:t>5</w:t>
      </w:r>
      <w:r w:rsidRPr="006530AF">
        <w:t xml:space="preserve"> εκτιμάται ότι θα διαμορφωθούν σε </w:t>
      </w:r>
      <w:r w:rsidRPr="004C3B1A">
        <w:t>81</w:t>
      </w:r>
      <w:r w:rsidRPr="006530AF">
        <w:t>.</w:t>
      </w:r>
      <w:r>
        <w:t>493</w:t>
      </w:r>
      <w:r w:rsidRPr="006530AF">
        <w:t xml:space="preserve"> εκατ. ευρώ, αυξημένες κατά </w:t>
      </w:r>
      <w:r>
        <w:t>991</w:t>
      </w:r>
      <w:r w:rsidRPr="006530AF">
        <w:t xml:space="preserve"> εκατ. ευρώ σε σχέση με τον στόχο του προϋπολογισμού. Η αύξηση αυτή, όπως προκύπτει από την ανάλυση των δαπανών κατά μείζονα κατηγορία, οφείλεται </w:t>
      </w:r>
      <w:r w:rsidRPr="004B09E0">
        <w:t xml:space="preserve">κατά κύριο λόγο στην αύξηση των </w:t>
      </w:r>
      <w:r w:rsidRPr="00D930AD">
        <w:t>δαπανών του εθνικού σκέλους του προϋπολογισμού</w:t>
      </w:r>
      <w:r>
        <w:t xml:space="preserve"> δημοσίων επενδύσεων και των τόκων καθώς και στη δημοσιονομική παρέμβαση της επιστροφής ενός ενοικίου κατά τον μήνα Νοέμβριο</w:t>
      </w:r>
      <w:r w:rsidRPr="009C6066">
        <w:t>. Η διαφοροποίηση</w:t>
      </w:r>
      <w:r>
        <w:t xml:space="preserve"> στις λοιπές κατηγορίες δαπανών οφείλεται κυρίως σε ανακατανομή πιστώσεων μεταξύ των μειζόνων κατηγοριών του προϋπολογισμού.</w:t>
      </w:r>
    </w:p>
    <w:p w14:paraId="555D990A" w14:textId="5DC35F0C" w:rsidR="00824F89" w:rsidRPr="00BC0AF5" w:rsidRDefault="00824F89" w:rsidP="002B0101">
      <w:pPr>
        <w:spacing w:before="240"/>
        <w:rPr>
          <w:rFonts w:cs="Arial"/>
          <w:b/>
          <w:szCs w:val="22"/>
        </w:rPr>
      </w:pPr>
      <w:r w:rsidRPr="00BC0AF5">
        <w:rPr>
          <w:rFonts w:cs="Arial"/>
          <w:b/>
          <w:szCs w:val="22"/>
        </w:rPr>
        <w:t>Παροχές σε εργαζόμενους</w:t>
      </w:r>
    </w:p>
    <w:p w14:paraId="79FACCC5" w14:textId="77777777" w:rsidR="00B001AE" w:rsidRPr="006530AF" w:rsidRDefault="00B001AE" w:rsidP="00B001AE">
      <w:r w:rsidRPr="006530AF">
        <w:t>Στην κατηγορία αυτή περιλαμβάνονται οι τακτικές αποδοχές, οι πρόσθετες αποδοχές, οι παροχές σε είδος, οι παροχές κληρωτών και οι αντίστοιχες εργοδοτικές εισφορές αιρετών, οργάνων διοίκησης, τακτικών υπαλλήλων καθώς και των υπαλλήλων με σχέση εργασίας ορισμένου χρόνου.</w:t>
      </w:r>
    </w:p>
    <w:p w14:paraId="258E99D4" w14:textId="77777777" w:rsidR="00B001AE" w:rsidRPr="006530AF" w:rsidRDefault="00B001AE" w:rsidP="00B001AE">
      <w:r w:rsidRPr="006530AF">
        <w:t>Για το 202</w:t>
      </w:r>
      <w:r>
        <w:t>5</w:t>
      </w:r>
      <w:r w:rsidRPr="006530AF">
        <w:t xml:space="preserve"> οι δαπάνες της ανωτέρω κατηγορίας εκτιμάται ότι θα ανέλθουν σε 1</w:t>
      </w:r>
      <w:r>
        <w:t>5</w:t>
      </w:r>
      <w:r w:rsidRPr="006530AF">
        <w:t>.</w:t>
      </w:r>
      <w:r>
        <w:t>395</w:t>
      </w:r>
      <w:r w:rsidRPr="006530AF">
        <w:t xml:space="preserve"> εκατ. ευρώ, αυξημένες κατά </w:t>
      </w:r>
      <w:r>
        <w:t>605</w:t>
      </w:r>
      <w:r w:rsidRPr="006530AF">
        <w:t xml:space="preserve"> εκατ. ευρώ έναντι του στόχου του προϋπολογισμού.</w:t>
      </w:r>
    </w:p>
    <w:p w14:paraId="6AB02205" w14:textId="77777777" w:rsidR="00B001AE" w:rsidRDefault="00B001AE" w:rsidP="00B001AE">
      <w:r w:rsidRPr="006530AF">
        <w:t>Η αύξηση αυτή οφείλεται κυρίως στις εκτιμώμενες δαπάνες για:</w:t>
      </w:r>
    </w:p>
    <w:p w14:paraId="02160904" w14:textId="30A2CBDC" w:rsidR="00B001AE" w:rsidRPr="00B562DB" w:rsidRDefault="00B001AE" w:rsidP="00B001AE">
      <w:pPr>
        <w:numPr>
          <w:ilvl w:val="0"/>
          <w:numId w:val="1"/>
        </w:numPr>
        <w:spacing w:before="120" w:after="60"/>
        <w:ind w:left="568" w:hanging="284"/>
        <w:rPr>
          <w:rFonts w:cs="Arial"/>
          <w:szCs w:val="20"/>
        </w:rPr>
      </w:pPr>
      <w:r w:rsidRPr="00B562DB">
        <w:rPr>
          <w:rFonts w:cs="Arial"/>
          <w:szCs w:val="20"/>
        </w:rPr>
        <w:lastRenderedPageBreak/>
        <w:t>τον διορισμό 10.000 μ</w:t>
      </w:r>
      <w:r w:rsidR="008D3BB1">
        <w:rPr>
          <w:rFonts w:cs="Arial"/>
          <w:szCs w:val="20"/>
        </w:rPr>
        <w:t>ό</w:t>
      </w:r>
      <w:r w:rsidRPr="00B562DB">
        <w:rPr>
          <w:rFonts w:cs="Arial"/>
          <w:szCs w:val="20"/>
        </w:rPr>
        <w:t>ν</w:t>
      </w:r>
      <w:r w:rsidR="008D3BB1">
        <w:rPr>
          <w:rFonts w:cs="Arial"/>
          <w:szCs w:val="20"/>
        </w:rPr>
        <w:t>ι</w:t>
      </w:r>
      <w:r w:rsidRPr="00B562DB">
        <w:rPr>
          <w:rFonts w:cs="Arial"/>
          <w:szCs w:val="20"/>
        </w:rPr>
        <w:t xml:space="preserve">μων εκπαιδευτικών Πρωτοβάθμιας και Δευτεροβάθμιας Εκπαίδευσης από τον Σεπτέμβριο 2025, εκ των οποίων οι 5.296 </w:t>
      </w:r>
      <w:r w:rsidR="00525469">
        <w:rPr>
          <w:rFonts w:cs="Arial"/>
          <w:szCs w:val="20"/>
        </w:rPr>
        <w:t>αφορούν σε αναπληρωτές εκπαιδευτικούς οι οποίοι καταλαμβάνουν θέσεις μόνιμου προσωπικού</w:t>
      </w:r>
      <w:r w:rsidRPr="00B562DB">
        <w:rPr>
          <w:rFonts w:cs="Arial"/>
          <w:szCs w:val="20"/>
        </w:rPr>
        <w:t>,</w:t>
      </w:r>
    </w:p>
    <w:p w14:paraId="226480D9" w14:textId="77777777" w:rsidR="00B001AE" w:rsidRPr="00B562DB" w:rsidRDefault="00B001AE" w:rsidP="00B001AE">
      <w:pPr>
        <w:numPr>
          <w:ilvl w:val="0"/>
          <w:numId w:val="1"/>
        </w:numPr>
        <w:spacing w:before="60" w:after="60"/>
        <w:ind w:left="568" w:hanging="284"/>
        <w:rPr>
          <w:rFonts w:cs="Arial"/>
          <w:szCs w:val="20"/>
        </w:rPr>
      </w:pPr>
      <w:r w:rsidRPr="00B562DB">
        <w:rPr>
          <w:rFonts w:cs="Arial"/>
          <w:szCs w:val="20"/>
        </w:rPr>
        <w:t>την ενσωμάτωση υλοποιηθέντων διορισμών στους προϋπολογισμούς των Υπουργείων, για τους οποίους η σχετική πρόβλεψη της δαπάνης είχε ενσωματωθεί στις πιστώσεις υπό κατανομή του κρατικού προϋπολογισμού έτους 2025,</w:t>
      </w:r>
    </w:p>
    <w:p w14:paraId="04AFC6A0" w14:textId="11523427" w:rsidR="00B001AE" w:rsidRPr="00327384" w:rsidRDefault="00B001AE" w:rsidP="00B001AE">
      <w:pPr>
        <w:numPr>
          <w:ilvl w:val="0"/>
          <w:numId w:val="1"/>
        </w:numPr>
        <w:spacing w:before="60" w:after="60"/>
        <w:ind w:left="568" w:hanging="284"/>
        <w:rPr>
          <w:rFonts w:cs="Arial"/>
          <w:szCs w:val="20"/>
        </w:rPr>
      </w:pPr>
      <w:r w:rsidRPr="00327384">
        <w:rPr>
          <w:rFonts w:cs="Arial"/>
          <w:szCs w:val="20"/>
        </w:rPr>
        <w:t xml:space="preserve">τις αυξήσεις από τον Οκτώβριο 2025 των μισθολογίων του ένστολου προσωπικού των </w:t>
      </w:r>
      <w:r w:rsidR="002F5591" w:rsidRPr="00327384">
        <w:rPr>
          <w:rFonts w:cs="Arial"/>
          <w:szCs w:val="20"/>
        </w:rPr>
        <w:t>Ε</w:t>
      </w:r>
      <w:r w:rsidRPr="00327384">
        <w:rPr>
          <w:rFonts w:cs="Arial"/>
          <w:szCs w:val="20"/>
        </w:rPr>
        <w:t xml:space="preserve">νόπλων </w:t>
      </w:r>
      <w:r w:rsidR="002F5591" w:rsidRPr="00327384">
        <w:rPr>
          <w:rFonts w:cs="Arial"/>
          <w:szCs w:val="20"/>
        </w:rPr>
        <w:t>Δ</w:t>
      </w:r>
      <w:r w:rsidRPr="00327384">
        <w:rPr>
          <w:rFonts w:cs="Arial"/>
          <w:szCs w:val="20"/>
        </w:rPr>
        <w:t xml:space="preserve">υνάμεων, της </w:t>
      </w:r>
      <w:r w:rsidR="002F5591" w:rsidRPr="00327384">
        <w:rPr>
          <w:rFonts w:cs="Arial"/>
          <w:szCs w:val="20"/>
        </w:rPr>
        <w:t>Ελληνικής Αστυνομίας (ΕΛΑΣ)</w:t>
      </w:r>
      <w:r w:rsidRPr="00327384">
        <w:rPr>
          <w:rFonts w:cs="Arial"/>
          <w:szCs w:val="20"/>
        </w:rPr>
        <w:t>, τ</w:t>
      </w:r>
      <w:r w:rsidR="002F5591" w:rsidRPr="00327384">
        <w:rPr>
          <w:rFonts w:cs="Arial"/>
          <w:szCs w:val="20"/>
        </w:rPr>
        <w:t xml:space="preserve">ου Πυροσβεστικού Σώματος (ΠΣ) </w:t>
      </w:r>
      <w:r w:rsidRPr="00327384">
        <w:rPr>
          <w:rFonts w:cs="Arial"/>
          <w:szCs w:val="20"/>
        </w:rPr>
        <w:t xml:space="preserve">και του </w:t>
      </w:r>
      <w:r w:rsidR="002F5591" w:rsidRPr="00327384">
        <w:rPr>
          <w:rFonts w:cs="Arial"/>
          <w:szCs w:val="20"/>
        </w:rPr>
        <w:t>Λιμενικού Σώματος - Ελληνικής Ακτοφυλακής (ΛΣ - ΕΛΑΚΤ)</w:t>
      </w:r>
      <w:r w:rsidRPr="00327384">
        <w:rPr>
          <w:rFonts w:cs="Arial"/>
          <w:szCs w:val="20"/>
        </w:rPr>
        <w:t xml:space="preserve"> </w:t>
      </w:r>
      <w:r w:rsidR="006D2E42" w:rsidRPr="00327384">
        <w:rPr>
          <w:rFonts w:cs="Arial"/>
          <w:szCs w:val="20"/>
        </w:rPr>
        <w:t xml:space="preserve">σε βάρος των τακτικών </w:t>
      </w:r>
      <w:r w:rsidRPr="00327384">
        <w:rPr>
          <w:rFonts w:cs="Arial"/>
          <w:szCs w:val="20"/>
        </w:rPr>
        <w:t>προϋπολογισμ</w:t>
      </w:r>
      <w:r w:rsidR="006D2E42" w:rsidRPr="00327384">
        <w:rPr>
          <w:rFonts w:cs="Arial"/>
          <w:szCs w:val="20"/>
        </w:rPr>
        <w:t>ών</w:t>
      </w:r>
      <w:r w:rsidRPr="00327384">
        <w:rPr>
          <w:rFonts w:cs="Arial"/>
          <w:szCs w:val="20"/>
        </w:rPr>
        <w:t xml:space="preserve"> των οικείων </w:t>
      </w:r>
      <w:r w:rsidR="00327384" w:rsidRPr="00327384">
        <w:rPr>
          <w:rFonts w:cs="Arial"/>
          <w:szCs w:val="20"/>
        </w:rPr>
        <w:t>Υ</w:t>
      </w:r>
      <w:r w:rsidRPr="00327384">
        <w:rPr>
          <w:rFonts w:cs="Arial"/>
          <w:szCs w:val="20"/>
        </w:rPr>
        <w:t>πουργείων,</w:t>
      </w:r>
    </w:p>
    <w:p w14:paraId="66639EAC" w14:textId="58691189" w:rsidR="00B001AE" w:rsidRPr="00B562DB" w:rsidRDefault="00B001AE" w:rsidP="00232A7C">
      <w:pPr>
        <w:numPr>
          <w:ilvl w:val="0"/>
          <w:numId w:val="1"/>
        </w:numPr>
        <w:spacing w:before="60" w:after="60"/>
        <w:ind w:left="568" w:hanging="284"/>
        <w:rPr>
          <w:rFonts w:cs="Arial"/>
          <w:szCs w:val="20"/>
        </w:rPr>
      </w:pPr>
      <w:r w:rsidRPr="00B562DB">
        <w:rPr>
          <w:rFonts w:cs="Arial"/>
          <w:szCs w:val="20"/>
        </w:rPr>
        <w:t xml:space="preserve">την ενσωμάτωση </w:t>
      </w:r>
      <w:r w:rsidR="00327384">
        <w:rPr>
          <w:rFonts w:cs="Arial"/>
          <w:szCs w:val="20"/>
        </w:rPr>
        <w:t xml:space="preserve">της δαπάνης μισθοδοσίας </w:t>
      </w:r>
      <w:r w:rsidRPr="00B562DB">
        <w:rPr>
          <w:rFonts w:cs="Arial"/>
          <w:szCs w:val="20"/>
        </w:rPr>
        <w:t>περίπου 5.</w:t>
      </w:r>
      <w:r>
        <w:rPr>
          <w:rFonts w:cs="Arial"/>
          <w:szCs w:val="20"/>
        </w:rPr>
        <w:t>8</w:t>
      </w:r>
      <w:r w:rsidRPr="00B562DB">
        <w:rPr>
          <w:rFonts w:cs="Arial"/>
          <w:szCs w:val="20"/>
        </w:rPr>
        <w:t>00 αναπληρωτών εκπαιδευτικών τον Σεπτέμβριο 2025 στον τακτικό προϋπολογισμό του Υπουργείου Παιδείας, Θρησκευμάτων και Αθλητισμού</w:t>
      </w:r>
      <w:r w:rsidR="00327384">
        <w:rPr>
          <w:rFonts w:cs="Arial"/>
          <w:szCs w:val="20"/>
        </w:rPr>
        <w:t xml:space="preserve">, η οποία μέχρι τότε καλυπτόταν </w:t>
      </w:r>
      <w:r>
        <w:rPr>
          <w:rFonts w:cs="Arial"/>
          <w:szCs w:val="20"/>
        </w:rPr>
        <w:t>από το</w:t>
      </w:r>
      <w:r w:rsidR="00327384">
        <w:rPr>
          <w:rFonts w:cs="Arial"/>
          <w:szCs w:val="20"/>
        </w:rPr>
        <w:t>ν</w:t>
      </w:r>
      <w:r>
        <w:rPr>
          <w:rFonts w:cs="Arial"/>
          <w:szCs w:val="20"/>
        </w:rPr>
        <w:t xml:space="preserve"> </w:t>
      </w:r>
      <w:r w:rsidR="00327384">
        <w:rPr>
          <w:rFonts w:cs="Arial"/>
          <w:szCs w:val="20"/>
        </w:rPr>
        <w:t>προϋπολογισμό δημοσίων επενδύσεων</w:t>
      </w:r>
      <w:r w:rsidR="002F425E">
        <w:rPr>
          <w:rFonts w:cs="Arial"/>
          <w:szCs w:val="20"/>
        </w:rPr>
        <w:t xml:space="preserve"> και</w:t>
      </w:r>
    </w:p>
    <w:p w14:paraId="2FC95167" w14:textId="3A0CCDCD" w:rsidR="00BC0AF5" w:rsidRPr="00232A7C" w:rsidRDefault="00B001AE" w:rsidP="00232A7C">
      <w:pPr>
        <w:numPr>
          <w:ilvl w:val="0"/>
          <w:numId w:val="1"/>
        </w:numPr>
        <w:spacing w:before="60"/>
        <w:ind w:left="568" w:hanging="284"/>
        <w:rPr>
          <w:rFonts w:cs="Arial"/>
          <w:szCs w:val="20"/>
        </w:rPr>
      </w:pPr>
      <w:r w:rsidRPr="00B562DB">
        <w:rPr>
          <w:rFonts w:cs="Arial"/>
          <w:szCs w:val="20"/>
        </w:rPr>
        <w:t xml:space="preserve">την ενσωμάτωση των αυξήσεων </w:t>
      </w:r>
      <w:r w:rsidR="002F425E">
        <w:rPr>
          <w:rFonts w:cs="Arial"/>
          <w:szCs w:val="20"/>
        </w:rPr>
        <w:t xml:space="preserve">από </w:t>
      </w:r>
      <w:r w:rsidR="004E7A74">
        <w:rPr>
          <w:rFonts w:cs="Arial"/>
          <w:szCs w:val="20"/>
        </w:rPr>
        <w:t>την 0</w:t>
      </w:r>
      <w:r w:rsidR="002F425E">
        <w:rPr>
          <w:rFonts w:cs="Arial"/>
          <w:szCs w:val="20"/>
        </w:rPr>
        <w:t xml:space="preserve">1η.4.2025 </w:t>
      </w:r>
      <w:r w:rsidRPr="00B562DB">
        <w:rPr>
          <w:rFonts w:cs="Arial"/>
          <w:szCs w:val="20"/>
        </w:rPr>
        <w:t xml:space="preserve">των μισθών των υπαλλήλων </w:t>
      </w:r>
      <w:r w:rsidR="004E7A74">
        <w:rPr>
          <w:rFonts w:cs="Arial"/>
          <w:szCs w:val="20"/>
        </w:rPr>
        <w:t xml:space="preserve">των </w:t>
      </w:r>
      <w:r w:rsidR="002F425E">
        <w:rPr>
          <w:rFonts w:cs="Arial"/>
          <w:szCs w:val="20"/>
        </w:rPr>
        <w:t xml:space="preserve">φορέων της </w:t>
      </w:r>
      <w:r w:rsidR="004E7A74">
        <w:rPr>
          <w:rFonts w:cs="Arial"/>
          <w:szCs w:val="20"/>
        </w:rPr>
        <w:t>Κεντρικής Διοίκησης</w:t>
      </w:r>
      <w:r w:rsidRPr="00B562DB">
        <w:rPr>
          <w:rFonts w:cs="Arial"/>
          <w:szCs w:val="20"/>
        </w:rPr>
        <w:t>.</w:t>
      </w:r>
    </w:p>
    <w:p w14:paraId="2F13A02E" w14:textId="453C5653" w:rsidR="00824F89" w:rsidRPr="00BC0AF5" w:rsidRDefault="00824F89" w:rsidP="00824F89">
      <w:pPr>
        <w:spacing w:before="240"/>
        <w:rPr>
          <w:rFonts w:cs="Arial"/>
          <w:b/>
          <w:szCs w:val="22"/>
        </w:rPr>
      </w:pPr>
      <w:r w:rsidRPr="00BC0AF5">
        <w:rPr>
          <w:rFonts w:cs="Arial"/>
          <w:b/>
          <w:szCs w:val="22"/>
        </w:rPr>
        <w:t>Κοινωνικές Παροχές</w:t>
      </w:r>
    </w:p>
    <w:p w14:paraId="426FFAC0" w14:textId="7B02DA48" w:rsidR="00232A7C" w:rsidRPr="00544591" w:rsidRDefault="00232A7C" w:rsidP="00232A7C">
      <w:pPr>
        <w:rPr>
          <w:highlight w:val="yellow"/>
        </w:rPr>
      </w:pPr>
      <w:r w:rsidRPr="006530AF">
        <w:t>Οι δαπάνες της κατηγορίας αυτής περιλαμβάνουν, μεταξύ άλλων, το επίδομα θέρμανσης, τις συντάξεις που καταβάλλονται απευθείας από το κράτος (άρθρο 4 παρ.3 του ν.4387/2016, Α’ 85) καθώς και τις λοιπές παροχές κοινωνικής πρόνοιας σε είδος και σε χρήμα</w:t>
      </w:r>
      <w:r>
        <w:t xml:space="preserve">. Το ύψος των εν λόγω δαπανών </w:t>
      </w:r>
      <w:r w:rsidRPr="006530AF">
        <w:t>εκτιμάται ότι θα διαμορφωθ</w:t>
      </w:r>
      <w:r>
        <w:t>εί στο ποσό των</w:t>
      </w:r>
      <w:r w:rsidRPr="006530AF">
        <w:t xml:space="preserve"> </w:t>
      </w:r>
      <w:r>
        <w:t>568</w:t>
      </w:r>
      <w:r w:rsidRPr="006530AF">
        <w:t xml:space="preserve"> εκατ. ευρώ, </w:t>
      </w:r>
      <w:r>
        <w:t>αυξημένο</w:t>
      </w:r>
      <w:r w:rsidRPr="006530AF">
        <w:t xml:space="preserve"> κατά </w:t>
      </w:r>
      <w:r>
        <w:t>143</w:t>
      </w:r>
      <w:r w:rsidRPr="006530AF">
        <w:t xml:space="preserve"> εκατ. ευρώ έναντι του στόχου του προϋπολογισμού</w:t>
      </w:r>
      <w:r w:rsidR="00936370">
        <w:t>,</w:t>
      </w:r>
      <w:r w:rsidRPr="006530AF">
        <w:t xml:space="preserve"> κυρίως λόγω</w:t>
      </w:r>
      <w:r>
        <w:t xml:space="preserve"> </w:t>
      </w:r>
      <w:r w:rsidR="00327384">
        <w:t xml:space="preserve">της </w:t>
      </w:r>
      <w:r>
        <w:t>υλοποίησης από τον Νοέμβριο 2025 της δημοσιονομικής παρέμβασης που αφορά στην επιστροφή ενός ενοικίου κατ’ έτος σε δικαιούχους βάσει κριτηρίων, εκτιμώμενου ύψους 230 εκατ. ευρώ</w:t>
      </w:r>
      <w:r w:rsidRPr="006530AF">
        <w:t>.</w:t>
      </w:r>
    </w:p>
    <w:p w14:paraId="32BCFC63" w14:textId="36C874D0" w:rsidR="00824F89" w:rsidRPr="00BC0AF5" w:rsidRDefault="00824F89" w:rsidP="00824F89">
      <w:pPr>
        <w:spacing w:before="240"/>
        <w:rPr>
          <w:rFonts w:cs="Arial"/>
          <w:b/>
          <w:szCs w:val="22"/>
        </w:rPr>
      </w:pPr>
      <w:bookmarkStart w:id="297" w:name="_Hlk115424686"/>
      <w:r w:rsidRPr="00BC0AF5">
        <w:rPr>
          <w:rFonts w:cs="Arial"/>
          <w:b/>
          <w:szCs w:val="22"/>
        </w:rPr>
        <w:t>Μεταβιβάσεις</w:t>
      </w:r>
    </w:p>
    <w:p w14:paraId="523E2A2F" w14:textId="68636E0C" w:rsidR="00232A7C" w:rsidRDefault="00232A7C" w:rsidP="00232A7C">
      <w:r>
        <w:t xml:space="preserve">Οι μεταβιβαστικές πληρωμές περιλαμβάνουν επιχορηγήσεις και αποδόσεις σε υποτομείς της Γενικής Κυβέρνησης, όπως τους ΟΤΑ και τους ΟΚΑ, τα νοσοκομεία, τις δομές Πρωτοβάθμιας Φροντίδας Υγείας (ΠΦΥ) καθώς και σε λοιπούς φορείς εντός και εκτός Γενικής Κυβέρνησης, </w:t>
      </w:r>
      <w:r w:rsidR="0017476A">
        <w:t>σε διεθνείς οργανισμούς</w:t>
      </w:r>
      <w:r>
        <w:t xml:space="preserve"> και την ΕΕ. Επίσης, στην εν λόγω μείζονα κατηγορία περιλαμβάνονται οι επιχορηγήσεις για επενδύσεις, οι καταπτώσεις εγγυήσεων, οι αναλήψεις χρεών φορέων της Γενικής Κυβέρνησης καθώς και οι αποζημιώσεις λόγω δικαστικών αποφάσεων.</w:t>
      </w:r>
    </w:p>
    <w:p w14:paraId="79082B6F" w14:textId="5FCA0BD7" w:rsidR="00824F89" w:rsidRPr="0094416A" w:rsidRDefault="00232A7C" w:rsidP="00232A7C">
      <w:pPr>
        <w:rPr>
          <w:highlight w:val="yellow"/>
        </w:rPr>
      </w:pPr>
      <w:r>
        <w:t>Οι συνολικές μεταβιβαστικές πληρωμές εκτιμάται ότι θα διαμορφωθούν σε 34.</w:t>
      </w:r>
      <w:r w:rsidRPr="00512536">
        <w:t>8</w:t>
      </w:r>
      <w:r>
        <w:t xml:space="preserve">63 εκατ. ευρώ, αυξημένες κατά 427 εκατ. ευρώ έναντι του στόχου του προϋπολογισμού. Η κατηγορία αυτή ενισχύθηκε από το αποθεματικό με </w:t>
      </w:r>
      <w:r w:rsidRPr="00512536">
        <w:t>61</w:t>
      </w:r>
      <w:r>
        <w:t xml:space="preserve">6 εκατ. ευρώ για την εξυπηρέτηση δαπανών επιχορηγήσεων προς τα νομικά πρόσωπα, τα νοσοκομεία και τους ΟΤΑ με σκοπό την κάλυψη των λειτουργικών τους αναγκών, για τις αποδόσεις προς την ΕΕ και </w:t>
      </w:r>
      <w:r w:rsidR="008D3BB1">
        <w:t xml:space="preserve">την </w:t>
      </w:r>
      <w:r>
        <w:t xml:space="preserve">εξόφληση επιδικασθέντων ποσών με τελεσίδικες δικαστικές αποφάσεις </w:t>
      </w:r>
      <w:r w:rsidR="008D3BB1">
        <w:t xml:space="preserve">καθώς </w:t>
      </w:r>
      <w:r>
        <w:t xml:space="preserve">και για την πραγματοποίηση λοιπών κεφαλαιακών μεταβιβάσεων. Αξιοσημείωτες είναι τόσο η αναμενόμενη υποεκτέλεση μεταβιβαστικών πληρωμών προς τον </w:t>
      </w:r>
      <w:r w:rsidRPr="003D2322">
        <w:t>Ηλεκτρονικ</w:t>
      </w:r>
      <w:r>
        <w:t>ό</w:t>
      </w:r>
      <w:r w:rsidRPr="003D2322">
        <w:t xml:space="preserve"> Εθνικ</w:t>
      </w:r>
      <w:r>
        <w:t>ό</w:t>
      </w:r>
      <w:r w:rsidRPr="003D2322">
        <w:t xml:space="preserve"> Φορέα Κοινωνικής Ασφάλισης</w:t>
      </w:r>
      <w:r w:rsidRPr="00E9521D">
        <w:t xml:space="preserve"> </w:t>
      </w:r>
      <w:r>
        <w:t>(</w:t>
      </w:r>
      <w:r>
        <w:rPr>
          <w:lang w:val="en-US"/>
        </w:rPr>
        <w:t>e</w:t>
      </w:r>
      <w:r w:rsidRPr="00CF2C6D">
        <w:t>-</w:t>
      </w:r>
      <w:r>
        <w:t>ΕΦΚΑ</w:t>
      </w:r>
      <w:r w:rsidRPr="006A3D29">
        <w:t>) κατά 513 εκατ</w:t>
      </w:r>
      <w:r>
        <w:t xml:space="preserve">. ευρώ, λόγω των αυξημένων εσόδων από ασφαλιστικές εισφορές και της επάρκειάς τους για την κάλυψη των υποχρεώσεών του, όσο και η μετακύλιση στο έτος 2026 της υποχρέωσης του έτους 2025 για μακροοικονομική χρηματοδοτική συνδρομή </w:t>
      </w:r>
      <w:r w:rsidRPr="00C11D38">
        <w:t>(</w:t>
      </w:r>
      <w:r>
        <w:rPr>
          <w:lang w:val="en-US"/>
        </w:rPr>
        <w:t>Macro</w:t>
      </w:r>
      <w:r w:rsidRPr="00C11D38">
        <w:t>-</w:t>
      </w:r>
      <w:r>
        <w:rPr>
          <w:lang w:val="en-US"/>
        </w:rPr>
        <w:t>Financial</w:t>
      </w:r>
      <w:r w:rsidRPr="00C11D38">
        <w:t xml:space="preserve"> </w:t>
      </w:r>
      <w:r>
        <w:rPr>
          <w:lang w:val="en-US"/>
        </w:rPr>
        <w:t>Assistance</w:t>
      </w:r>
      <w:r w:rsidRPr="00C11D38">
        <w:t xml:space="preserve"> - </w:t>
      </w:r>
      <w:r>
        <w:rPr>
          <w:lang w:val="en-US"/>
        </w:rPr>
        <w:t>MFA</w:t>
      </w:r>
      <w:r w:rsidRPr="00C11D38">
        <w:t xml:space="preserve">) </w:t>
      </w:r>
      <w:r>
        <w:t>προς την Ουκρανία ύψους 45 εκατ. ευρώ.</w:t>
      </w:r>
    </w:p>
    <w:bookmarkEnd w:id="297"/>
    <w:p w14:paraId="49772C8C" w14:textId="77777777" w:rsidR="00824F89" w:rsidRPr="008D3DF7" w:rsidRDefault="00824F89" w:rsidP="00824F89">
      <w:pPr>
        <w:spacing w:before="240"/>
        <w:rPr>
          <w:rFonts w:cs="Arial"/>
          <w:b/>
          <w:szCs w:val="22"/>
        </w:rPr>
      </w:pPr>
      <w:r w:rsidRPr="00BC0AF5">
        <w:rPr>
          <w:rFonts w:cs="Arial"/>
          <w:b/>
          <w:szCs w:val="22"/>
        </w:rPr>
        <w:t>Αγορές αγαθών και υπηρεσιών</w:t>
      </w:r>
    </w:p>
    <w:p w14:paraId="6D67DB5B" w14:textId="77777777" w:rsidR="00232A7C" w:rsidRDefault="00232A7C" w:rsidP="00232A7C">
      <w:r>
        <w:t>Στην κατηγορία αυτή περιλαμβάνονται δαπάνες καταναλωτικού χαρακτήρα. Οι σχετικές δαπάνες για το έτος 2025 εκτιμάται ότι θα ανέλθουν σε 2.</w:t>
      </w:r>
      <w:r w:rsidRPr="00512536">
        <w:t>35</w:t>
      </w:r>
      <w:r>
        <w:t xml:space="preserve">1 εκατ. ευρώ, αυξημένες κατά </w:t>
      </w:r>
      <w:r w:rsidRPr="00512536">
        <w:t>44</w:t>
      </w:r>
      <w:r>
        <w:t xml:space="preserve">2 εκατ. ευρώ έναντι του </w:t>
      </w:r>
      <w:r>
        <w:lastRenderedPageBreak/>
        <w:t xml:space="preserve">στόχου του προϋπολογισμού ύψους 1.910 εκατ. ευρώ, κυρίως λόγω της κάλυψης </w:t>
      </w:r>
      <w:r w:rsidRPr="006530AF">
        <w:t xml:space="preserve">των λειτουργικών δαπανών των </w:t>
      </w:r>
      <w:r>
        <w:t>Υ</w:t>
      </w:r>
      <w:r w:rsidRPr="006530AF">
        <w:t>πουργείων</w:t>
      </w:r>
      <w:r w:rsidRPr="0056467A">
        <w:t xml:space="preserve"> </w:t>
      </w:r>
      <w:r w:rsidRPr="006530AF">
        <w:t xml:space="preserve">μέσω </w:t>
      </w:r>
      <w:r>
        <w:t xml:space="preserve">ενίσχυσης των </w:t>
      </w:r>
      <w:r w:rsidRPr="006530AF">
        <w:t>πιστώσε</w:t>
      </w:r>
      <w:r>
        <w:t>ώ</w:t>
      </w:r>
      <w:r w:rsidRPr="006530AF">
        <w:t>ν</w:t>
      </w:r>
      <w:r>
        <w:t xml:space="preserve"> τους, ύψους:</w:t>
      </w:r>
    </w:p>
    <w:p w14:paraId="44571B2F" w14:textId="0DC4CE56" w:rsidR="00232A7C" w:rsidRDefault="00232A7C" w:rsidP="00232A7C">
      <w:pPr>
        <w:numPr>
          <w:ilvl w:val="0"/>
          <w:numId w:val="1"/>
        </w:numPr>
        <w:spacing w:before="120" w:after="60"/>
        <w:ind w:left="568" w:hanging="284"/>
      </w:pPr>
      <w:r w:rsidRPr="002218A2">
        <w:t>50</w:t>
      </w:r>
      <w:r w:rsidRPr="006530AF">
        <w:t xml:space="preserve"> εκατ. ευρώ</w:t>
      </w:r>
      <w:r>
        <w:t xml:space="preserve"> από το </w:t>
      </w:r>
      <w:r w:rsidRPr="006530AF">
        <w:t>αποθεματικ</w:t>
      </w:r>
      <w:r>
        <w:t>ό</w:t>
      </w:r>
      <w:r w:rsidRPr="006530AF">
        <w:t xml:space="preserve"> </w:t>
      </w:r>
      <w:r>
        <w:t xml:space="preserve">της </w:t>
      </w:r>
      <w:r w:rsidRPr="006530AF">
        <w:t>παρ.1</w:t>
      </w:r>
      <w:r>
        <w:t xml:space="preserve"> του </w:t>
      </w:r>
      <w:r w:rsidRPr="006530AF">
        <w:t>άρθρο</w:t>
      </w:r>
      <w:r>
        <w:t>υ</w:t>
      </w:r>
      <w:r w:rsidRPr="006530AF">
        <w:t xml:space="preserve"> 59 του ν.4270/2014, εκ των οποίων ποσό ύψους </w:t>
      </w:r>
      <w:r>
        <w:t>20</w:t>
      </w:r>
      <w:r w:rsidRPr="006530AF">
        <w:t xml:space="preserve"> εκατ. ευρώ αφορά σ</w:t>
      </w:r>
      <w:r w:rsidRPr="00A05771">
        <w:t>το πρόσθετο κόστος του πτητικού έργου σαράντα εννέα (49) συνολικά εναέριων μέσων δασοπυρόσβεσης</w:t>
      </w:r>
      <w:r w:rsidRPr="002218A2">
        <w:t>,</w:t>
      </w:r>
      <w:r>
        <w:t xml:space="preserve"> ποσό ύψους 11 εκατ. ευρώ αφορά σε δαπάνες </w:t>
      </w:r>
      <w:r w:rsidRPr="00A05771">
        <w:t xml:space="preserve">εκτός έδρας μετακινούμενου πυροσβεστικού προσωπικού </w:t>
      </w:r>
      <w:r>
        <w:t xml:space="preserve">με σκοπό την κάλυψη </w:t>
      </w:r>
      <w:r w:rsidR="00525469">
        <w:t>ε</w:t>
      </w:r>
      <w:r w:rsidRPr="00A05771">
        <w:t>ξ</w:t>
      </w:r>
      <w:r w:rsidR="00525469">
        <w:t>ό</w:t>
      </w:r>
      <w:r w:rsidRPr="00A05771">
        <w:t>δ</w:t>
      </w:r>
      <w:r w:rsidR="00525469">
        <w:t>ων</w:t>
      </w:r>
      <w:r w:rsidRPr="00A05771">
        <w:t xml:space="preserve"> κίνησης και διανυκτέρευσης προσωπικού για την τρέχουσα αντιπυρική περίοδο</w:t>
      </w:r>
      <w:r>
        <w:t xml:space="preserve"> και</w:t>
      </w:r>
      <w:r w:rsidRPr="002218A2">
        <w:t xml:space="preserve"> </w:t>
      </w:r>
      <w:r w:rsidR="004671B1">
        <w:t xml:space="preserve">ποσό ύψους </w:t>
      </w:r>
      <w:r w:rsidRPr="002218A2">
        <w:t xml:space="preserve">13 </w:t>
      </w:r>
      <w:r>
        <w:t>εκατ. ευρώ αφορά σε</w:t>
      </w:r>
      <w:r w:rsidRPr="002218A2">
        <w:t xml:space="preserve"> </w:t>
      </w:r>
      <w:r>
        <w:t>λοιπές δαπάνες</w:t>
      </w:r>
      <w:r w:rsidR="00525469">
        <w:t xml:space="preserve"> της</w:t>
      </w:r>
      <w:r>
        <w:t xml:space="preserve"> αντιπυρικής περιόδου</w:t>
      </w:r>
      <w:r w:rsidR="004671B1">
        <w:t xml:space="preserve"> και</w:t>
      </w:r>
    </w:p>
    <w:p w14:paraId="5CBAB975" w14:textId="521FA622" w:rsidR="00232A7C" w:rsidRDefault="00232A7C" w:rsidP="00232A7C">
      <w:pPr>
        <w:numPr>
          <w:ilvl w:val="0"/>
          <w:numId w:val="1"/>
        </w:numPr>
        <w:spacing w:before="60"/>
        <w:ind w:left="568" w:hanging="284"/>
      </w:pPr>
      <w:r>
        <w:t>247</w:t>
      </w:r>
      <w:r w:rsidRPr="006530AF">
        <w:t xml:space="preserve"> εκατ. ευρώ</w:t>
      </w:r>
      <w:r>
        <w:t xml:space="preserve"> από το </w:t>
      </w:r>
      <w:r w:rsidRPr="006530AF">
        <w:t>ειδικ</w:t>
      </w:r>
      <w:r>
        <w:t>ό</w:t>
      </w:r>
      <w:r w:rsidRPr="006530AF">
        <w:t xml:space="preserve"> αποθεματικ</w:t>
      </w:r>
      <w:r>
        <w:t>ό</w:t>
      </w:r>
      <w:r w:rsidRPr="006530AF">
        <w:t xml:space="preserve"> </w:t>
      </w:r>
      <w:r>
        <w:t xml:space="preserve">της </w:t>
      </w:r>
      <w:r w:rsidRPr="006530AF">
        <w:t>παρ.8</w:t>
      </w:r>
      <w:r>
        <w:t xml:space="preserve"> του</w:t>
      </w:r>
      <w:r w:rsidRPr="006530AF">
        <w:t xml:space="preserve"> άρθρο</w:t>
      </w:r>
      <w:r>
        <w:t>υ</w:t>
      </w:r>
      <w:r w:rsidRPr="006530AF">
        <w:t xml:space="preserve"> 59 του ν.4270/2014,</w:t>
      </w:r>
      <w:r>
        <w:t xml:space="preserve"> </w:t>
      </w:r>
      <w:r w:rsidRPr="006530AF">
        <w:t>εκ των οποίων</w:t>
      </w:r>
      <w:r>
        <w:t xml:space="preserve"> ποσό ύψους:</w:t>
      </w:r>
      <w:r w:rsidRPr="006530AF">
        <w:t xml:space="preserve"> </w:t>
      </w:r>
      <w:r>
        <w:t>(α) 41</w:t>
      </w:r>
      <w:r w:rsidRPr="006530AF">
        <w:t xml:space="preserve"> εκατ. ευρώ αφορά στην προμήθεια αντιικών θεραπειών, </w:t>
      </w:r>
      <w:r>
        <w:t>(β) 34</w:t>
      </w:r>
      <w:r w:rsidRPr="006530AF">
        <w:t xml:space="preserve"> εκατ. ευρώ </w:t>
      </w:r>
      <w:r>
        <w:t>αποσκοπεί</w:t>
      </w:r>
      <w:r w:rsidRPr="006530AF">
        <w:t xml:space="preserve"> στην κάλυψη των αναγκών των επιτελείων του Υπουργείου Εθνικής Άμυνας για </w:t>
      </w:r>
      <w:r w:rsidR="004671B1">
        <w:t xml:space="preserve">την </w:t>
      </w:r>
      <w:r w:rsidRPr="006530AF">
        <w:t>αγορ</w:t>
      </w:r>
      <w:r>
        <w:t>ά</w:t>
      </w:r>
      <w:r w:rsidRPr="006530AF">
        <w:t xml:space="preserve"> καυσίμων κίνησης</w:t>
      </w:r>
      <w:r>
        <w:t>, (γ) 57 εκατ. ευρώ αφορά σ</w:t>
      </w:r>
      <w:r w:rsidRPr="00A857B4">
        <w:t xml:space="preserve">την </w:t>
      </w:r>
      <w:r w:rsidR="00485E14">
        <w:t>κάλυψη</w:t>
      </w:r>
      <w:r w:rsidRPr="00A857B4">
        <w:t xml:space="preserve"> εξόδων κίνησης, ημερήσιας αποζημίωσης, διανυκτέρευσης και εγκατάστασης αστυνομικού προσωπικού</w:t>
      </w:r>
      <w:r>
        <w:t>,</w:t>
      </w:r>
      <w:r w:rsidRPr="00A857B4">
        <w:t xml:space="preserve"> προκειμένου να καλυφθούν οι επιχειρησιακές ανάγκες</w:t>
      </w:r>
      <w:r>
        <w:t xml:space="preserve">, (δ) 14 εκατ. ευρώ προορίζεται για την </w:t>
      </w:r>
      <w:r w:rsidRPr="00A857B4">
        <w:t>κάλυψη εξόδων ηλεκτρικού ρεύματος,</w:t>
      </w:r>
      <w:r w:rsidR="004671B1">
        <w:t xml:space="preserve"> </w:t>
      </w:r>
      <w:r w:rsidRPr="00A857B4">
        <w:t>ύδρευσης και άρδευσης</w:t>
      </w:r>
      <w:r>
        <w:t xml:space="preserve"> καθώς και </w:t>
      </w:r>
      <w:r w:rsidRPr="00A857B4">
        <w:t>τηλεφωνίας</w:t>
      </w:r>
      <w:r>
        <w:t xml:space="preserve"> των</w:t>
      </w:r>
      <w:r w:rsidRPr="00A857B4">
        <w:t xml:space="preserve"> σωφρονιστικών ιδρυμάτων</w:t>
      </w:r>
      <w:r>
        <w:t xml:space="preserve"> και (ε) 13 εκατ. ευρώ αφορά σ</w:t>
      </w:r>
      <w:r w:rsidRPr="00985AA5">
        <w:t xml:space="preserve">την αναβάθμιση των δυνατοτήτων πρόληψης και αντιμετώπισης πυρκαγιών από τις </w:t>
      </w:r>
      <w:r>
        <w:t>μ</w:t>
      </w:r>
      <w:r w:rsidRPr="00985AA5">
        <w:t>ονάδες των Ενόπλων Δυνάμεων</w:t>
      </w:r>
      <w:r w:rsidRPr="006530AF">
        <w:t>.</w:t>
      </w:r>
    </w:p>
    <w:p w14:paraId="266E948D" w14:textId="76622C02" w:rsidR="00BC0AF5" w:rsidRPr="0094416A" w:rsidRDefault="00232A7C" w:rsidP="00232A7C">
      <w:pPr>
        <w:rPr>
          <w:highlight w:val="yellow"/>
        </w:rPr>
      </w:pPr>
      <w:r>
        <w:t xml:space="preserve">Επιπρόσθετα, οι εκτιμώμενες αυξημένες δαπάνες καλύπτονται από έσοδα προερχόμενα κυρίως από το </w:t>
      </w:r>
      <w:r>
        <w:rPr>
          <w:lang w:val="en-US"/>
        </w:rPr>
        <w:t>Eurocontrol</w:t>
      </w:r>
      <w:r w:rsidRPr="00985AA5">
        <w:t xml:space="preserve"> (</w:t>
      </w:r>
      <w:r>
        <w:t>Υπουργείο Υποδομών και Μεταφορών), από το ΝΑΤΟ (Υπουργείο Εθνικής Άμυνας) και από τον Εθνικό Οργανισμό Παροχής Υπηρεσιών Υγείας (ΕΟΠΥΥ) για την κάλυψη των αναγκών των στρατιωτικών νοσοκομείων.</w:t>
      </w:r>
    </w:p>
    <w:p w14:paraId="7B6C4088" w14:textId="016635B6" w:rsidR="00824F89" w:rsidRPr="00BC0AF5" w:rsidRDefault="00824F89" w:rsidP="00824F89">
      <w:pPr>
        <w:spacing w:before="240"/>
        <w:rPr>
          <w:rFonts w:cs="Arial"/>
          <w:b/>
          <w:szCs w:val="22"/>
        </w:rPr>
      </w:pPr>
      <w:r w:rsidRPr="00BC0AF5">
        <w:rPr>
          <w:rFonts w:cs="Arial"/>
          <w:b/>
          <w:szCs w:val="22"/>
        </w:rPr>
        <w:t>Επιδοτήσεις</w:t>
      </w:r>
    </w:p>
    <w:p w14:paraId="081A4965" w14:textId="06085782" w:rsidR="00232A7C" w:rsidRPr="00544591" w:rsidRDefault="00232A7C" w:rsidP="00232A7C">
      <w:pPr>
        <w:rPr>
          <w:highlight w:val="yellow"/>
        </w:rPr>
      </w:pPr>
      <w:r w:rsidRPr="00401E61">
        <w:t xml:space="preserve">Στην κατηγορία αυτή περιλαμβάνονται κυρίως οι επιδοτήσεις προς την </w:t>
      </w:r>
      <w:r>
        <w:rPr>
          <w:lang w:val="en-US"/>
        </w:rPr>
        <w:t>Hellenic</w:t>
      </w:r>
      <w:r w:rsidRPr="00D00CBB">
        <w:t xml:space="preserve"> </w:t>
      </w:r>
      <w:r>
        <w:rPr>
          <w:lang w:val="en-US"/>
        </w:rPr>
        <w:t>Train</w:t>
      </w:r>
      <w:r w:rsidRPr="00D00CBB">
        <w:t xml:space="preserve"> (</w:t>
      </w:r>
      <w:r>
        <w:t xml:space="preserve">πρώην </w:t>
      </w:r>
      <w:r w:rsidRPr="00401E61">
        <w:t>ΤΡΑΙΝΟΣΕ ΑΕ</w:t>
      </w:r>
      <w:r>
        <w:t>)</w:t>
      </w:r>
      <w:r w:rsidRPr="00401E61">
        <w:t xml:space="preserve"> και προς τα Ελληνικά Ταχυδρομεία (ΕΛΤΑ) για την καθολική ταχυδρομική υπηρεσία. Η συνολική εκτιμώμενη δαπάνη για την κατηγορία </w:t>
      </w:r>
      <w:r w:rsidR="00555796" w:rsidRPr="00401E61">
        <w:t xml:space="preserve">αυτή </w:t>
      </w:r>
      <w:r w:rsidRPr="00401E61">
        <w:t xml:space="preserve">ανέρχεται σε </w:t>
      </w:r>
      <w:r>
        <w:t>138</w:t>
      </w:r>
      <w:r w:rsidRPr="00401E61">
        <w:t xml:space="preserve"> εκατ. ευρώ, </w:t>
      </w:r>
      <w:r>
        <w:t>υπερβαίνοντας τον</w:t>
      </w:r>
      <w:r w:rsidRPr="00401E61">
        <w:t xml:space="preserve"> στόχο του προϋπολογισμού</w:t>
      </w:r>
      <w:r>
        <w:t xml:space="preserve"> κατά 57 </w:t>
      </w:r>
      <w:r w:rsidRPr="00401E61">
        <w:t>εκατ. ευρώ</w:t>
      </w:r>
      <w:r w:rsidR="0039237E">
        <w:t>.</w:t>
      </w:r>
    </w:p>
    <w:p w14:paraId="7BB548C3" w14:textId="77777777" w:rsidR="00824F89" w:rsidRPr="00BC0AF5" w:rsidRDefault="00824F89" w:rsidP="00824F89">
      <w:pPr>
        <w:spacing w:before="240"/>
        <w:rPr>
          <w:rFonts w:cs="Arial"/>
          <w:b/>
          <w:szCs w:val="22"/>
        </w:rPr>
      </w:pPr>
      <w:r w:rsidRPr="00BC0AF5">
        <w:rPr>
          <w:rFonts w:cs="Arial"/>
          <w:b/>
          <w:szCs w:val="22"/>
        </w:rPr>
        <w:t>Τόκοι (σε ακαθάριστη βάση)</w:t>
      </w:r>
    </w:p>
    <w:p w14:paraId="51C7BA99" w14:textId="3690E633" w:rsidR="00BC0AF5" w:rsidRPr="0094416A" w:rsidRDefault="00232A7C" w:rsidP="00232A7C">
      <w:pPr>
        <w:rPr>
          <w:highlight w:val="yellow"/>
        </w:rPr>
      </w:pPr>
      <w:r w:rsidRPr="006455C4">
        <w:t>Η εκτίμηση για τις δαπάνες τόκων σε ακαθάριστη δημοσιονομική βάση ανέρχεται σε 9.</w:t>
      </w:r>
      <w:r>
        <w:t>828</w:t>
      </w:r>
      <w:r w:rsidRPr="006455C4">
        <w:t xml:space="preserve"> εκατ. ευρώ, αυξημένη κατά </w:t>
      </w:r>
      <w:r>
        <w:t>428</w:t>
      </w:r>
      <w:r w:rsidRPr="006455C4">
        <w:t xml:space="preserve"> εκατ. ευρώ σε σχέση με τον στόχο του προϋπολογισμού.</w:t>
      </w:r>
    </w:p>
    <w:p w14:paraId="6EA35CDF" w14:textId="77777777" w:rsidR="00824F89" w:rsidRPr="00BC0AF5" w:rsidRDefault="00824F89" w:rsidP="00824F89">
      <w:pPr>
        <w:spacing w:before="240"/>
        <w:rPr>
          <w:rFonts w:cs="Arial"/>
          <w:b/>
          <w:szCs w:val="22"/>
        </w:rPr>
      </w:pPr>
      <w:r w:rsidRPr="00BC0AF5">
        <w:rPr>
          <w:rFonts w:cs="Arial"/>
          <w:b/>
          <w:szCs w:val="22"/>
        </w:rPr>
        <w:t>Λοιπές δαπάνες</w:t>
      </w:r>
    </w:p>
    <w:p w14:paraId="6D308598" w14:textId="7D5E31C6" w:rsidR="00BC0AF5" w:rsidRPr="0094416A" w:rsidRDefault="00232A7C" w:rsidP="00232A7C">
      <w:pPr>
        <w:rPr>
          <w:highlight w:val="yellow"/>
        </w:rPr>
      </w:pPr>
      <w:r w:rsidRPr="006455C4">
        <w:t xml:space="preserve">Οι λοιπές δαπάνες περιλαμβάνουν κυρίως τη δαπάνη για τις επιστροφές στην ΕΕ από ανεκτέλεστα προγράμματα καθώς και τη δαπάνη για τα πρόστιμα προς την ΕΕ. Η εκτιμώμενη δαπάνη ανέρχεται σε </w:t>
      </w:r>
      <w:r>
        <w:t>118</w:t>
      </w:r>
      <w:r w:rsidRPr="006455C4">
        <w:t xml:space="preserve"> εκατ. ευρώ, αυξημένη κατά </w:t>
      </w:r>
      <w:r>
        <w:t>16</w:t>
      </w:r>
      <w:r w:rsidRPr="006455C4">
        <w:t xml:space="preserve"> εκατ. ευρώ </w:t>
      </w:r>
      <w:r>
        <w:t xml:space="preserve">έναντι του </w:t>
      </w:r>
      <w:r w:rsidRPr="006455C4">
        <w:t>στόχο</w:t>
      </w:r>
      <w:r>
        <w:t>υ</w:t>
      </w:r>
      <w:r w:rsidRPr="006455C4">
        <w:t xml:space="preserve"> του προϋπολογισμού.</w:t>
      </w:r>
    </w:p>
    <w:p w14:paraId="799C0666" w14:textId="77777777" w:rsidR="00824F89" w:rsidRPr="00BC0AF5" w:rsidRDefault="00824F89" w:rsidP="00824F89">
      <w:pPr>
        <w:spacing w:before="240"/>
        <w:rPr>
          <w:rFonts w:cs="Arial"/>
          <w:b/>
          <w:szCs w:val="22"/>
        </w:rPr>
      </w:pPr>
      <w:r w:rsidRPr="00BC0AF5">
        <w:rPr>
          <w:rFonts w:cs="Arial"/>
          <w:b/>
          <w:szCs w:val="22"/>
        </w:rPr>
        <w:t>Πιστώσεις υπό κατανομή</w:t>
      </w:r>
    </w:p>
    <w:p w14:paraId="6510E834" w14:textId="77777777" w:rsidR="00232A7C" w:rsidRDefault="00232A7C" w:rsidP="00232A7C">
      <w:r>
        <w:t xml:space="preserve">Στην κατηγορία αυτή περιλαμβάνονται κυρίως προβλέψεις για δαπάνες του προϋπολογισμού δημοσίων επενδύσεων και των αποθεματικών του κρατικού προϋπολογισμού (παρ.1 και 8 του άρθρου 59 του ν.4270/2014), με το συνολικό ποσό να εκτιμάται </w:t>
      </w:r>
      <w:r w:rsidRPr="00945571">
        <w:t>σε 16.</w:t>
      </w:r>
      <w:r>
        <w:t>365</w:t>
      </w:r>
      <w:r w:rsidRPr="00945571">
        <w:t xml:space="preserve"> εκατ.</w:t>
      </w:r>
      <w:r>
        <w:t xml:space="preserve"> ευρώ. Η εν λόγω μείζονα κατηγορία περιλαμβάνει κυρίως ποσά για:</w:t>
      </w:r>
    </w:p>
    <w:p w14:paraId="54A8F7AB" w14:textId="2F4C0F85" w:rsidR="00232A7C" w:rsidRDefault="00232A7C" w:rsidP="00232A7C">
      <w:pPr>
        <w:numPr>
          <w:ilvl w:val="0"/>
          <w:numId w:val="1"/>
        </w:numPr>
        <w:spacing w:before="120" w:after="60"/>
        <w:ind w:left="568" w:hanging="284"/>
      </w:pPr>
      <w:r>
        <w:t>δαπάνες του εθνικού και του συγχρηματοδοτούμενου σκέλους του προϋπολογισμού δημοσίων επενδύσεων, ύψους 9.700 εκατ. ευρώ, οι οποίες παρουσιάζονται αυξημένες σε σχέση με τον στόχο του προϋπολογισμού κατά 500 εκατ. ευρώ</w:t>
      </w:r>
      <w:r w:rsidR="00FC33CE">
        <w:t xml:space="preserve"> στο εθνικό σκέλος του προϋπολογισμού δημοσίων επενδύσεων</w:t>
      </w:r>
      <w:r>
        <w:t>, κατόπιν της ψήφισης του συμπληρωματικού προϋπολογισμού (άρθρο 86 του ν.5217/2025, Α’ 120),</w:t>
      </w:r>
    </w:p>
    <w:p w14:paraId="713240B9" w14:textId="77777777" w:rsidR="00232A7C" w:rsidRDefault="00232A7C" w:rsidP="00232A7C">
      <w:pPr>
        <w:numPr>
          <w:ilvl w:val="0"/>
          <w:numId w:val="1"/>
        </w:numPr>
        <w:spacing w:before="60" w:after="60"/>
        <w:ind w:left="568" w:hanging="284"/>
      </w:pPr>
      <w:r>
        <w:lastRenderedPageBreak/>
        <w:t>δαπάνες του επιχορηγούμενου σκέλους του ΤΑΑ, ύψους 4.900 εκατ. ευρώ,</w:t>
      </w:r>
    </w:p>
    <w:p w14:paraId="2FE9DEBC" w14:textId="77777777" w:rsidR="00232A7C" w:rsidRPr="006455C4" w:rsidRDefault="00232A7C" w:rsidP="00232A7C">
      <w:pPr>
        <w:numPr>
          <w:ilvl w:val="0"/>
          <w:numId w:val="1"/>
        </w:numPr>
        <w:spacing w:before="60" w:after="60"/>
        <w:ind w:left="568" w:hanging="284"/>
      </w:pPr>
      <w:r>
        <w:t>δαπάνες</w:t>
      </w:r>
      <w:r w:rsidRPr="006455C4">
        <w:t xml:space="preserve"> για νέες προσλήψεις προσωπικού του οποίου η μισθοδοσία καλύπτεται από τον τακτικό προϋπολογισμό </w:t>
      </w:r>
      <w:r>
        <w:t xml:space="preserve">καθώς </w:t>
      </w:r>
      <w:r w:rsidRPr="006455C4">
        <w:t>και</w:t>
      </w:r>
      <w:r>
        <w:t xml:space="preserve"> για</w:t>
      </w:r>
      <w:r w:rsidRPr="006455C4">
        <w:t xml:space="preserve"> λοιπές μισθολογικές δαπάνες, συνολικού ύψους </w:t>
      </w:r>
      <w:r>
        <w:t>166</w:t>
      </w:r>
      <w:r w:rsidRPr="006455C4">
        <w:t xml:space="preserve"> εκατ. ευρώ</w:t>
      </w:r>
      <w:r>
        <w:t>,</w:t>
      </w:r>
    </w:p>
    <w:p w14:paraId="3A12B0EF" w14:textId="13FC2581" w:rsidR="00232A7C" w:rsidRDefault="00232A7C" w:rsidP="00232A7C">
      <w:pPr>
        <w:numPr>
          <w:ilvl w:val="0"/>
          <w:numId w:val="1"/>
        </w:numPr>
        <w:spacing w:before="60" w:after="60"/>
        <w:ind w:left="568" w:hanging="284"/>
      </w:pPr>
      <w:r w:rsidRPr="00A169A0">
        <w:t xml:space="preserve">δαπάνες </w:t>
      </w:r>
      <w:r w:rsidRPr="006455C4">
        <w:t xml:space="preserve">ύψους </w:t>
      </w:r>
      <w:r>
        <w:t>156</w:t>
      </w:r>
      <w:r w:rsidRPr="006455C4">
        <w:t xml:space="preserve"> εκατ. ευρώ για τη διαχείριση των μεταναστευτικών ροών προς εξυπηρέτηση μελλοντικών σχετικών αναγκών των αρμόδιων με τις μεταναστευτικές ροές </w:t>
      </w:r>
      <w:r>
        <w:t>Υ</w:t>
      </w:r>
      <w:r w:rsidRPr="006455C4">
        <w:t>πουργείων</w:t>
      </w:r>
      <w:r>
        <w:t>,</w:t>
      </w:r>
    </w:p>
    <w:p w14:paraId="7A1A841B" w14:textId="781EC91F" w:rsidR="00232A7C" w:rsidRPr="006455C4" w:rsidRDefault="00232A7C" w:rsidP="00232A7C">
      <w:pPr>
        <w:numPr>
          <w:ilvl w:val="0"/>
          <w:numId w:val="1"/>
        </w:numPr>
        <w:spacing w:before="60"/>
        <w:ind w:left="568" w:hanging="284"/>
      </w:pPr>
      <w:r>
        <w:t>λοιπές δαπάνες κοινωνικής ασφάλισης</w:t>
      </w:r>
      <w:r w:rsidR="00485E14">
        <w:t>, υγειονομικής περίθαλψης</w:t>
      </w:r>
      <w:r>
        <w:t xml:space="preserve"> και κοινωνικής προστασίας, </w:t>
      </w:r>
      <w:r w:rsidRPr="006455C4">
        <w:t>ύψους</w:t>
      </w:r>
      <w:r>
        <w:t xml:space="preserve"> 297 εκατ. ευρώ και</w:t>
      </w:r>
    </w:p>
    <w:p w14:paraId="664B045B" w14:textId="77777777" w:rsidR="00232A7C" w:rsidRDefault="00232A7C" w:rsidP="00232A7C">
      <w:pPr>
        <w:numPr>
          <w:ilvl w:val="0"/>
          <w:numId w:val="1"/>
        </w:numPr>
        <w:spacing w:before="60" w:after="60"/>
        <w:ind w:left="568" w:hanging="284"/>
      </w:pPr>
      <w:r>
        <w:t>ανάγκες των Υπουργείων, ύψους 460 εκατ. ευρώ.</w:t>
      </w:r>
    </w:p>
    <w:p w14:paraId="66F2FD55" w14:textId="3B0E9113" w:rsidR="00232A7C" w:rsidRPr="006455C4" w:rsidRDefault="00232A7C" w:rsidP="00232A7C">
      <w:pPr>
        <w:spacing w:before="120"/>
      </w:pPr>
      <w:r w:rsidRPr="006455C4">
        <w:t>Τέλος, τονίζεται ότι οι πιστώσεις από τ</w:t>
      </w:r>
      <w:r>
        <w:t>ο</w:t>
      </w:r>
      <w:r w:rsidRPr="006455C4">
        <w:t xml:space="preserve"> αποθεματικ</w:t>
      </w:r>
      <w:r>
        <w:t>ό</w:t>
      </w:r>
      <w:r w:rsidRPr="006455C4">
        <w:t xml:space="preserve"> του </w:t>
      </w:r>
      <w:r>
        <w:t>κ</w:t>
      </w:r>
      <w:r w:rsidRPr="006455C4">
        <w:t xml:space="preserve">ρατικού </w:t>
      </w:r>
      <w:r>
        <w:t>π</w:t>
      </w:r>
      <w:r w:rsidRPr="006455C4">
        <w:t>ροϋπολογισμού</w:t>
      </w:r>
      <w:r w:rsidRPr="00F366A4">
        <w:t xml:space="preserve"> (</w:t>
      </w:r>
      <w:r>
        <w:t>παρ.1 και παρ.8 του ν.4270/2014)</w:t>
      </w:r>
      <w:r w:rsidRPr="006455C4">
        <w:t xml:space="preserve"> κατανέμονται κατά τη διάρκεια του έτους προς </w:t>
      </w:r>
      <w:r>
        <w:t>κάλυψη</w:t>
      </w:r>
      <w:r w:rsidRPr="006455C4">
        <w:t xml:space="preserve"> </w:t>
      </w:r>
      <w:r>
        <w:t>εκτάκτων</w:t>
      </w:r>
      <w:r w:rsidRPr="006455C4">
        <w:t xml:space="preserve"> δαπανών. Μέχρι τ</w:t>
      </w:r>
      <w:r w:rsidR="00FC33CE">
        <w:t>ο</w:t>
      </w:r>
      <w:r w:rsidRPr="006455C4">
        <w:t xml:space="preserve"> </w:t>
      </w:r>
      <w:r>
        <w:t>τέλ</w:t>
      </w:r>
      <w:r w:rsidR="00FC33CE">
        <w:t>ος</w:t>
      </w:r>
      <w:r w:rsidRPr="006455C4">
        <w:t xml:space="preserve"> </w:t>
      </w:r>
      <w:r>
        <w:t>Σεπτεμβρίου</w:t>
      </w:r>
      <w:r w:rsidRPr="006455C4">
        <w:t xml:space="preserve"> 202</w:t>
      </w:r>
      <w:r>
        <w:t>5</w:t>
      </w:r>
      <w:r w:rsidRPr="006455C4">
        <w:t xml:space="preserve"> είχαν διατεθεί </w:t>
      </w:r>
      <w:r>
        <w:t>1.094</w:t>
      </w:r>
      <w:r w:rsidRPr="006455C4">
        <w:t xml:space="preserve"> εκατ. ευρώ, προκειμένου να αντιμετωπισ</w:t>
      </w:r>
      <w:r>
        <w:t>τ</w:t>
      </w:r>
      <w:r w:rsidRPr="006455C4">
        <w:t>ούν δαπάνες κυρίως για την:</w:t>
      </w:r>
    </w:p>
    <w:p w14:paraId="12EDA3C3" w14:textId="77777777" w:rsidR="00232A7C" w:rsidRPr="006455C4" w:rsidRDefault="00232A7C" w:rsidP="00232A7C">
      <w:pPr>
        <w:numPr>
          <w:ilvl w:val="0"/>
          <w:numId w:val="1"/>
        </w:numPr>
        <w:spacing w:before="120" w:after="60"/>
        <w:ind w:left="568" w:hanging="284"/>
      </w:pPr>
      <w:r w:rsidRPr="006455C4">
        <w:t>εκτέλεση τελεσίδικων και αμετάκλητων δικαστικών αποφάσεων,</w:t>
      </w:r>
    </w:p>
    <w:p w14:paraId="41B0294F" w14:textId="77777777" w:rsidR="00232A7C" w:rsidRDefault="00232A7C" w:rsidP="00232A7C">
      <w:pPr>
        <w:numPr>
          <w:ilvl w:val="0"/>
          <w:numId w:val="1"/>
        </w:numPr>
        <w:spacing w:before="60" w:after="60"/>
        <w:ind w:left="568" w:hanging="284"/>
      </w:pPr>
      <w:r w:rsidRPr="006455C4">
        <w:t xml:space="preserve">αντιμετώπιση φυσικών καταστροφών και </w:t>
      </w:r>
      <w:r>
        <w:t xml:space="preserve">την </w:t>
      </w:r>
      <w:r w:rsidRPr="006455C4">
        <w:t>ενίσχυση των πληγέντων,</w:t>
      </w:r>
    </w:p>
    <w:p w14:paraId="1E2DA1C1" w14:textId="754FAD19" w:rsidR="00232A7C" w:rsidRDefault="00232A7C" w:rsidP="00232A7C">
      <w:pPr>
        <w:numPr>
          <w:ilvl w:val="0"/>
          <w:numId w:val="1"/>
        </w:numPr>
        <w:spacing w:before="60" w:after="60"/>
        <w:ind w:left="568" w:hanging="284"/>
      </w:pPr>
      <w:r>
        <w:t>ενίσχυση των Κεντρικών Αυτοτελών Πόρων (ΚΑΠ)</w:t>
      </w:r>
      <w:r w:rsidR="00936370">
        <w:t xml:space="preserve"> των ΟΤΑ</w:t>
      </w:r>
      <w:r>
        <w:t>,</w:t>
      </w:r>
    </w:p>
    <w:p w14:paraId="57A32BB9" w14:textId="77777777" w:rsidR="00232A7C" w:rsidRPr="006455C4" w:rsidRDefault="00232A7C" w:rsidP="00232A7C">
      <w:pPr>
        <w:numPr>
          <w:ilvl w:val="0"/>
          <w:numId w:val="1"/>
        </w:numPr>
        <w:spacing w:before="60" w:after="60"/>
        <w:ind w:left="568" w:hanging="284"/>
      </w:pPr>
      <w:r>
        <w:t xml:space="preserve">ενίσχυση της </w:t>
      </w:r>
      <w:r w:rsidRPr="00926E00">
        <w:t>Εθνική</w:t>
      </w:r>
      <w:r>
        <w:t>ς</w:t>
      </w:r>
      <w:r w:rsidRPr="00926E00">
        <w:t xml:space="preserve"> Κεντρική</w:t>
      </w:r>
      <w:r>
        <w:t>ς</w:t>
      </w:r>
      <w:r w:rsidRPr="00926E00">
        <w:t xml:space="preserve"> Αρχή</w:t>
      </w:r>
      <w:r>
        <w:t>ς</w:t>
      </w:r>
      <w:r w:rsidRPr="00926E00">
        <w:t xml:space="preserve"> Προμηθειών Υγείας</w:t>
      </w:r>
      <w:r>
        <w:t xml:space="preserve"> (ΕΚΑΠΥ) και του Εθνικού Κέντρου Άμεσης Βοήθειας (ΕΚΑΒ),</w:t>
      </w:r>
    </w:p>
    <w:p w14:paraId="29D14468" w14:textId="77777777" w:rsidR="00232A7C" w:rsidRPr="006455C4" w:rsidRDefault="00232A7C" w:rsidP="00232A7C">
      <w:pPr>
        <w:numPr>
          <w:ilvl w:val="0"/>
          <w:numId w:val="1"/>
        </w:numPr>
        <w:spacing w:before="60" w:after="60"/>
        <w:ind w:left="568" w:hanging="284"/>
      </w:pPr>
      <w:r w:rsidRPr="006455C4">
        <w:t>κάλυψη δαπανών αεροπυρόσβεσης,</w:t>
      </w:r>
    </w:p>
    <w:p w14:paraId="5C3A0858" w14:textId="77777777" w:rsidR="00232A7C" w:rsidRPr="006455C4" w:rsidRDefault="00232A7C" w:rsidP="00232A7C">
      <w:pPr>
        <w:numPr>
          <w:ilvl w:val="0"/>
          <w:numId w:val="1"/>
        </w:numPr>
        <w:spacing w:before="60" w:after="60"/>
        <w:ind w:left="568" w:hanging="284"/>
      </w:pPr>
      <w:r w:rsidRPr="006455C4">
        <w:t xml:space="preserve">προμήθεια </w:t>
      </w:r>
      <w:r>
        <w:t>φαρμακευτικού</w:t>
      </w:r>
      <w:r w:rsidRPr="006455C4">
        <w:t xml:space="preserve"> υλικού,</w:t>
      </w:r>
    </w:p>
    <w:p w14:paraId="395F0B82" w14:textId="15A783DC" w:rsidR="00232A7C" w:rsidRDefault="00232A7C" w:rsidP="00232A7C">
      <w:pPr>
        <w:numPr>
          <w:ilvl w:val="0"/>
          <w:numId w:val="1"/>
        </w:numPr>
        <w:spacing w:before="60" w:after="60"/>
        <w:ind w:left="568" w:hanging="284"/>
      </w:pPr>
      <w:r w:rsidRPr="006455C4">
        <w:t>κάλυψη δαπανών αναγκαστικής απαλλοτρίωσης ακινήτου για το Κυβερνητικό Πάρκο στον χώρο του πρώην εργοστασίου της ΠΥΡΚΑΛ</w:t>
      </w:r>
      <w:r w:rsidR="004E61DC">
        <w:t xml:space="preserve"> και</w:t>
      </w:r>
    </w:p>
    <w:p w14:paraId="2EAF1BE6" w14:textId="77777777" w:rsidR="00232A7C" w:rsidRPr="006455C4" w:rsidRDefault="00232A7C" w:rsidP="00232A7C">
      <w:pPr>
        <w:numPr>
          <w:ilvl w:val="0"/>
          <w:numId w:val="1"/>
        </w:numPr>
        <w:spacing w:before="60"/>
        <w:ind w:left="568" w:hanging="284"/>
      </w:pPr>
      <w:r w:rsidRPr="006455C4">
        <w:t>κάλυψη πρόσθετων</w:t>
      </w:r>
      <w:r>
        <w:t>,</w:t>
      </w:r>
      <w:r w:rsidRPr="006455C4">
        <w:t xml:space="preserve"> </w:t>
      </w:r>
      <w:r>
        <w:t>ε</w:t>
      </w:r>
      <w:r w:rsidRPr="006455C4">
        <w:t>κτ</w:t>
      </w:r>
      <w:r>
        <w:t>ά</w:t>
      </w:r>
      <w:r w:rsidRPr="006455C4">
        <w:t>κτων</w:t>
      </w:r>
      <w:r>
        <w:t>,</w:t>
      </w:r>
      <w:r w:rsidRPr="006455C4">
        <w:t xml:space="preserve"> </w:t>
      </w:r>
      <w:r>
        <w:t>λειτουργικών</w:t>
      </w:r>
      <w:r w:rsidRPr="006455C4">
        <w:t xml:space="preserve"> δαπανών των φορέων της Κεντρικής Διοίκησης.</w:t>
      </w:r>
    </w:p>
    <w:p w14:paraId="3D93746F" w14:textId="43360E0E" w:rsidR="00824F89" w:rsidRPr="00BC0AF5" w:rsidRDefault="00824F89" w:rsidP="00824F89">
      <w:pPr>
        <w:spacing w:before="240"/>
        <w:rPr>
          <w:rFonts w:cs="Arial"/>
          <w:b/>
          <w:szCs w:val="22"/>
        </w:rPr>
      </w:pPr>
      <w:r w:rsidRPr="00BC0AF5">
        <w:rPr>
          <w:rFonts w:cs="Arial"/>
          <w:b/>
          <w:szCs w:val="22"/>
        </w:rPr>
        <w:t>Αγορές παγίων περιουσιακών στοιχείων</w:t>
      </w:r>
    </w:p>
    <w:p w14:paraId="0E966489" w14:textId="0AD916C3" w:rsidR="00232A7C" w:rsidRDefault="00232A7C" w:rsidP="00232A7C">
      <w:r w:rsidRPr="00D66A71">
        <w:t>Στην κατηγορία αυτή περιλαμβάνονται οι αγορές π</w:t>
      </w:r>
      <w:r w:rsidR="00495EBD">
        <w:t>α</w:t>
      </w:r>
      <w:r w:rsidRPr="00D66A71">
        <w:t>γ</w:t>
      </w:r>
      <w:r w:rsidR="00495EBD">
        <w:t>ί</w:t>
      </w:r>
      <w:r w:rsidRPr="00D66A71">
        <w:t>ου εξοπλισμού των φορέων της Κεντρικής Διοίκησης και οι φυσικές παραλαβές οπλικών συστημάτων. Οι συνολικές δαπάνες εκτιμώνται σε 1.</w:t>
      </w:r>
      <w:r>
        <w:t>868</w:t>
      </w:r>
      <w:r w:rsidRPr="00D66A71">
        <w:t xml:space="preserve"> εκατ. ευρώ</w:t>
      </w:r>
      <w:r w:rsidR="00031B36">
        <w:t>. Τ</w:t>
      </w:r>
      <w:r>
        <w:t xml:space="preserve">ο μεγαλύτερο μέρος </w:t>
      </w:r>
      <w:r w:rsidR="00FC33CE">
        <w:t xml:space="preserve">των </w:t>
      </w:r>
      <w:r w:rsidR="00031B36">
        <w:t>δαπανών</w:t>
      </w:r>
      <w:r>
        <w:t xml:space="preserve"> αφορά στις </w:t>
      </w:r>
      <w:r w:rsidRPr="00D66A71">
        <w:t>φυσικές παραλαβές των οπλικών συστημάτων του Υπουργείου Εθνικής Άμυνας</w:t>
      </w:r>
      <w:r>
        <w:t>, οι οποίες ανέρχονται σε 1.700 εκατ. ευρώ</w:t>
      </w:r>
      <w:r w:rsidRPr="00D66A71">
        <w:t>.</w:t>
      </w:r>
    </w:p>
    <w:p w14:paraId="158FE8F6" w14:textId="0B627059" w:rsidR="00BB51AA" w:rsidRDefault="00BB51AA" w:rsidP="002F7CA6">
      <w:pPr>
        <w:tabs>
          <w:tab w:val="left" w:pos="3090"/>
        </w:tabs>
        <w:spacing w:before="240"/>
        <w:rPr>
          <w:rFonts w:cs="Arial"/>
          <w:b/>
        </w:rPr>
      </w:pPr>
      <w:r w:rsidRPr="00010CA3">
        <w:rPr>
          <w:rFonts w:cs="Arial"/>
          <w:b/>
        </w:rPr>
        <w:t>Πληροφοριακά Στοιχεία:</w:t>
      </w:r>
    </w:p>
    <w:p w14:paraId="4EFAAB49" w14:textId="77777777" w:rsidR="00827410" w:rsidRPr="008D7670" w:rsidRDefault="00827410" w:rsidP="00827410">
      <w:pPr>
        <w:rPr>
          <w:rFonts w:cs="Arial"/>
          <w:b/>
          <w:i/>
          <w:szCs w:val="20"/>
        </w:rPr>
      </w:pPr>
      <w:r w:rsidRPr="008D7670">
        <w:rPr>
          <w:rFonts w:cs="Arial"/>
          <w:b/>
          <w:i/>
          <w:szCs w:val="20"/>
        </w:rPr>
        <w:t xml:space="preserve">Δαπάνες </w:t>
      </w:r>
      <w:r w:rsidRPr="008D7670">
        <w:rPr>
          <w:rFonts w:cs="Arial"/>
          <w:b/>
          <w:i/>
        </w:rPr>
        <w:t>Προϋπολογισμού Δημοσίων Επενδύσεων</w:t>
      </w:r>
      <w:r w:rsidRPr="008D7670">
        <w:rPr>
          <w:rFonts w:cs="Arial"/>
          <w:b/>
          <w:i/>
          <w:szCs w:val="20"/>
        </w:rPr>
        <w:t xml:space="preserve"> εκτός ΤΑΑ</w:t>
      </w:r>
    </w:p>
    <w:bookmarkEnd w:id="293"/>
    <w:p w14:paraId="6C305986" w14:textId="73778B53" w:rsidR="00010CA3" w:rsidRPr="00264E1E" w:rsidRDefault="00264E1E" w:rsidP="00D14894">
      <w:r>
        <w:t>Οι δ</w:t>
      </w:r>
      <w:r w:rsidRPr="00B6735A">
        <w:t xml:space="preserve">απάνες </w:t>
      </w:r>
      <w:r>
        <w:t>του π</w:t>
      </w:r>
      <w:r w:rsidRPr="00B6735A">
        <w:rPr>
          <w:rFonts w:cs="Arial"/>
        </w:rPr>
        <w:t xml:space="preserve">ροϋπολογισμού </w:t>
      </w:r>
      <w:r>
        <w:rPr>
          <w:rFonts w:cs="Arial"/>
        </w:rPr>
        <w:t>δ</w:t>
      </w:r>
      <w:r w:rsidRPr="00B6735A">
        <w:rPr>
          <w:rFonts w:cs="Arial"/>
        </w:rPr>
        <w:t xml:space="preserve">ημοσίων </w:t>
      </w:r>
      <w:r>
        <w:rPr>
          <w:rFonts w:cs="Arial"/>
        </w:rPr>
        <w:t>ε</w:t>
      </w:r>
      <w:r w:rsidRPr="00B6735A">
        <w:rPr>
          <w:rFonts w:cs="Arial"/>
        </w:rPr>
        <w:t>πενδύσεων</w:t>
      </w:r>
      <w:r>
        <w:rPr>
          <w:rFonts w:cs="Arial"/>
        </w:rPr>
        <w:t xml:space="preserve"> 2025,</w:t>
      </w:r>
      <w:r>
        <w:t xml:space="preserve"> </w:t>
      </w:r>
      <w:r w:rsidR="008D7670">
        <w:t>εξαιρουμένων</w:t>
      </w:r>
      <w:r>
        <w:t xml:space="preserve"> αυτών που χρηματοδοτούνται με πόρους του ΤΑΑ, θα </w:t>
      </w:r>
      <w:r w:rsidRPr="008D7670">
        <w:t>ανέλθουν σε 9.700 εκατ. ευρώ, εκ των οποίων ποσό ύψους 6.450 εκατ. ευρώ αφορά σε έργα που συγχρηματοδοτούνται από την ΕΕ και ποσό ύψους 3.250 εκατ. ευρώ αφορά σε έργα που χρηματοδοτούνται αμιγώς από εθνικούς πόρους. Σημειώνεται ότι στις αυξημένες δαπάνες</w:t>
      </w:r>
      <w:r>
        <w:t>, ιδίως του εθνικού σκέλους, συμπεριλαμβάνονται</w:t>
      </w:r>
      <w:r w:rsidR="008D7670">
        <w:t xml:space="preserve"> </w:t>
      </w:r>
      <w:r>
        <w:t xml:space="preserve">δαπάνες </w:t>
      </w:r>
      <w:r w:rsidR="008D7670">
        <w:t>που αφορούν, μεταξύ άλλων, σ</w:t>
      </w:r>
      <w:r>
        <w:t xml:space="preserve">την ταχεία αποπληρωμή συνεχιζόμενων από προηγούμενα έτη έργων υποδομών της επικράτειας, </w:t>
      </w:r>
      <w:r w:rsidR="00ED3F24">
        <w:t>σ</w:t>
      </w:r>
      <w:r>
        <w:t xml:space="preserve">την υλοποίηση </w:t>
      </w:r>
      <w:r w:rsidRPr="008775F3">
        <w:t xml:space="preserve">δράσεων </w:t>
      </w:r>
      <w:r>
        <w:t xml:space="preserve">και </w:t>
      </w:r>
      <w:r w:rsidRPr="008775F3">
        <w:t>πρωτοβουλιών κοινωνικού χαρακτήρα</w:t>
      </w:r>
      <w:r>
        <w:t>, όπως η</w:t>
      </w:r>
      <w:r w:rsidRPr="008775F3">
        <w:t xml:space="preserve"> αντιμετώπιση του δημογραφικού προβλήματος κ</w:t>
      </w:r>
      <w:r>
        <w:t>.</w:t>
      </w:r>
      <w:r w:rsidRPr="008775F3">
        <w:t>λπ</w:t>
      </w:r>
      <w:r>
        <w:t>.</w:t>
      </w:r>
    </w:p>
    <w:p w14:paraId="64DFB9AB" w14:textId="09BB6ACE" w:rsidR="001B37D9" w:rsidRPr="00010CA3" w:rsidRDefault="001B37D9" w:rsidP="00BB51AA">
      <w:pPr>
        <w:rPr>
          <w:rFonts w:cs="Arial"/>
          <w:b/>
          <w:i/>
          <w:szCs w:val="20"/>
        </w:rPr>
      </w:pPr>
      <w:r w:rsidRPr="00010CA3">
        <w:rPr>
          <w:rFonts w:cs="Arial"/>
          <w:b/>
          <w:i/>
          <w:szCs w:val="20"/>
        </w:rPr>
        <w:t>Δαπάνες Τ</w:t>
      </w:r>
      <w:r w:rsidR="00DC437A">
        <w:rPr>
          <w:rFonts w:cs="Arial"/>
          <w:b/>
          <w:i/>
          <w:szCs w:val="20"/>
        </w:rPr>
        <w:t>ΑΑ</w:t>
      </w:r>
    </w:p>
    <w:p w14:paraId="75E2C596" w14:textId="2F71C22E" w:rsidR="001B37D9" w:rsidRPr="00264E1E" w:rsidRDefault="00264E1E" w:rsidP="001B37D9">
      <w:r>
        <w:t xml:space="preserve">Οι δαπάνες που χρηματοδοτούνται από το σκέλος των επιχορηγήσεων του ΤΑΑ για το 2025 εκτιμώνται </w:t>
      </w:r>
      <w:r w:rsidRPr="008D7670">
        <w:t>σε 4.900 εκατ. ευρώ και αφορούν σε δράσεις που εντάσσονται στους βασικούς πυλώνες του</w:t>
      </w:r>
      <w:r>
        <w:t xml:space="preserve"> Εθνικού Σχεδίου Ανάκαμψης και Ανθεκτικότητας (Ελλάδα 2.0).</w:t>
      </w:r>
    </w:p>
    <w:p w14:paraId="17C2FDFC" w14:textId="54815856" w:rsidR="00601726" w:rsidRDefault="001B7E83" w:rsidP="00300BBF">
      <w:pPr>
        <w:pStyle w:val="4"/>
      </w:pPr>
      <w:bookmarkStart w:id="298" w:name="_Toc214473747"/>
      <w:r>
        <w:lastRenderedPageBreak/>
        <w:t>Νομικά Πρόσωπα</w:t>
      </w:r>
      <w:r w:rsidR="006843EF">
        <w:t xml:space="preserve"> Κεντρικής Κυβέρνησης</w:t>
      </w:r>
      <w:bookmarkEnd w:id="298"/>
    </w:p>
    <w:p w14:paraId="2E967501" w14:textId="4C93C02C" w:rsidR="00570E3B" w:rsidRPr="00B42562" w:rsidRDefault="00AB68B3" w:rsidP="00570E3B">
      <w:r w:rsidRPr="00FA0773">
        <w:t>Το δημοσιονομικό αποτέλεσμα του συνόλου των νομικών προσώπων της Κεντρικής Κυβέρνησης, πλην των νοσοκομείων και της ΠΦΥ</w:t>
      </w:r>
      <w:r w:rsidR="003671FB" w:rsidRPr="00FA0773">
        <w:t>,</w:t>
      </w:r>
      <w:r w:rsidRPr="00FA0773">
        <w:t xml:space="preserve"> για το έτος 202</w:t>
      </w:r>
      <w:r w:rsidR="000347DD" w:rsidRPr="00FA0773">
        <w:t>5</w:t>
      </w:r>
      <w:r w:rsidR="003671FB" w:rsidRPr="00FA0773">
        <w:t xml:space="preserve"> </w:t>
      </w:r>
      <w:r w:rsidR="00B61E09" w:rsidRPr="00FA0773">
        <w:t>εκτιμάται ότι θα</w:t>
      </w:r>
      <w:r w:rsidRPr="00FA0773">
        <w:t xml:space="preserve"> διαμορφωθεί σ</w:t>
      </w:r>
      <w:r w:rsidR="0034225D" w:rsidRPr="00FA0773">
        <w:t>ε</w:t>
      </w:r>
      <w:r w:rsidRPr="00FA0773">
        <w:t xml:space="preserve"> </w:t>
      </w:r>
      <w:r w:rsidR="000347DD" w:rsidRPr="00FA0773">
        <w:t>3</w:t>
      </w:r>
      <w:r w:rsidRPr="00FA0773">
        <w:t>.</w:t>
      </w:r>
      <w:r w:rsidR="000347DD" w:rsidRPr="00FA0773">
        <w:t>611</w:t>
      </w:r>
      <w:r w:rsidRPr="00FA0773">
        <w:t xml:space="preserve"> εκατ. ευρώ, </w:t>
      </w:r>
      <w:r w:rsidR="007E606F" w:rsidRPr="00FA0773">
        <w:t>αυξημένο</w:t>
      </w:r>
      <w:r w:rsidR="00B42562" w:rsidRPr="00FA0773">
        <w:t xml:space="preserve"> </w:t>
      </w:r>
      <w:r w:rsidRPr="00FA0773">
        <w:t xml:space="preserve">κατά </w:t>
      </w:r>
      <w:r w:rsidR="00B42562" w:rsidRPr="00FA0773">
        <w:t>7</w:t>
      </w:r>
      <w:r w:rsidR="007E606F" w:rsidRPr="00FA0773">
        <w:t>6</w:t>
      </w:r>
      <w:r w:rsidRPr="00FA0773">
        <w:t xml:space="preserve"> εκατ. ευρώ σε σχέση με τις προβλέψεις οικονομικού έτους 202</w:t>
      </w:r>
      <w:r w:rsidR="007E606F" w:rsidRPr="00FA0773">
        <w:t>5</w:t>
      </w:r>
      <w:r w:rsidRPr="00FA0773">
        <w:t>.</w:t>
      </w:r>
    </w:p>
    <w:p w14:paraId="5D1373A4" w14:textId="65C35B5C" w:rsidR="005F0AA0" w:rsidRPr="00DE204C" w:rsidRDefault="001B7E83" w:rsidP="00300BBF">
      <w:pPr>
        <w:pStyle w:val="4"/>
      </w:pPr>
      <w:bookmarkStart w:id="299" w:name="_Toc214473748"/>
      <w:r w:rsidRPr="00DE204C">
        <w:t xml:space="preserve">Νοσοκομεία </w:t>
      </w:r>
      <w:r w:rsidR="00AE64D4">
        <w:t>-</w:t>
      </w:r>
      <w:r w:rsidRPr="00DE204C">
        <w:t xml:space="preserve"> Πρωτοβάθμια Φροντίδα Υγεία</w:t>
      </w:r>
      <w:r w:rsidR="009506B7">
        <w:t>ς</w:t>
      </w:r>
      <w:bookmarkEnd w:id="299"/>
    </w:p>
    <w:p w14:paraId="45D3C4A4" w14:textId="6992B639" w:rsidR="00D276FA" w:rsidRDefault="00D276FA" w:rsidP="00D276FA">
      <w:pPr>
        <w:spacing w:before="120"/>
        <w:rPr>
          <w:rFonts w:cs="Arial"/>
          <w:szCs w:val="22"/>
        </w:rPr>
      </w:pPr>
      <w:r>
        <w:rPr>
          <w:rFonts w:cs="Arial"/>
          <w:szCs w:val="22"/>
        </w:rPr>
        <w:t xml:space="preserve">Το δημοσιονομικό αποτέλεσμα των νοσοκομείων και της ΠΦΥ εκτιμάται ότι θα διαμορφωθεί σε πλεόνασμα ύψους 257 εκατ. ευρώ, </w:t>
      </w:r>
      <w:r w:rsidR="00936370">
        <w:rPr>
          <w:rFonts w:cs="Arial"/>
          <w:szCs w:val="22"/>
        </w:rPr>
        <w:t xml:space="preserve">ελαφρώς μειωμένο </w:t>
      </w:r>
      <w:r>
        <w:rPr>
          <w:rFonts w:cs="Arial"/>
          <w:szCs w:val="22"/>
        </w:rPr>
        <w:t>σε σχέση με τον στόχο του προϋπολογισμού κατά 16 εκατ. ευρώ.</w:t>
      </w:r>
    </w:p>
    <w:p w14:paraId="682B980D" w14:textId="0FA4B50F" w:rsidR="00D276FA" w:rsidRDefault="00D276FA" w:rsidP="00D276FA">
      <w:pPr>
        <w:spacing w:before="120"/>
        <w:rPr>
          <w:rFonts w:cs="Arial"/>
          <w:szCs w:val="22"/>
        </w:rPr>
      </w:pPr>
      <w:r>
        <w:rPr>
          <w:rFonts w:cs="Arial"/>
          <w:szCs w:val="22"/>
        </w:rPr>
        <w:t>Τα συνολικά έσοδα εκτιμάται ότι θα ανέλθουν σε 4.588 εκατ. ευρώ, παρουσιάζοντας αύξηση κατά 334 εκατ. ευρώ.</w:t>
      </w:r>
    </w:p>
    <w:p w14:paraId="7859FDFD" w14:textId="77777777" w:rsidR="00485E14" w:rsidRDefault="00485E14" w:rsidP="00485E14">
      <w:pPr>
        <w:spacing w:before="120"/>
      </w:pPr>
      <w:r>
        <w:rPr>
          <w:rFonts w:cs="Arial"/>
          <w:szCs w:val="22"/>
        </w:rPr>
        <w:t>Οι μεταβιβάσεις από τον κρατικό προϋπολογισμό εκτιμάται ότι θα αυξηθούν κατά 297 εκατ. ευρώ, κυρίως για την αποπληρωμή ληξιπρόθεσμων υποχρεώσεων παρελθόντων ετών και για την αποπληρωμή υποχρεώσεων που απορρέουν από δικαστικές αποφάσεις.</w:t>
      </w:r>
    </w:p>
    <w:p w14:paraId="6B7507B5" w14:textId="424A355E" w:rsidR="00D276FA" w:rsidRDefault="00D276FA" w:rsidP="00D276FA">
      <w:pPr>
        <w:spacing w:before="120"/>
      </w:pPr>
      <w:r>
        <w:rPr>
          <w:rFonts w:cs="Arial"/>
          <w:szCs w:val="22"/>
        </w:rPr>
        <w:t xml:space="preserve">Στα έσοδα αποτυπώνεται η αλλαγή του τρόπου χρηματοδότησης των νοσοκομείων μέσω της εφαρμογής του συστήματος </w:t>
      </w:r>
      <w:r>
        <w:t xml:space="preserve">DRG (Diagnosis Related Groups </w:t>
      </w:r>
      <w:r w:rsidR="00F91BAD">
        <w:t>-</w:t>
      </w:r>
      <w:r>
        <w:t xml:space="preserve"> Σύστημα Διαγνωστικά Ομοιογενών Ομάδων), που </w:t>
      </w:r>
      <w:r w:rsidR="00F91BAD">
        <w:t>αποσκοπεί στη</w:t>
      </w:r>
      <w:r>
        <w:t xml:space="preserve"> δίκαιη κατανομή των διαθέσιμων πόρων. Ειδικότερα, με βάση το νέο σύστημα, η χρηματοδότηση των νοσοκομειακών μονάδων συνδέεται με το παραγόμενο έργο και διενεργείται μέσω του ασφαλιστικού συστήματος (ΕΟΠΥΥ). Για τον </w:t>
      </w:r>
      <w:r w:rsidR="00A03C94">
        <w:t xml:space="preserve">εν λόγω </w:t>
      </w:r>
      <w:r>
        <w:t>σκοπό ο ΕΟΠΥΥ εκτιμάται ότι θα ενισχυθεί με επιχορήγηση ύψους 912 εκατ. ευρώ, με ισόποση μείωση των εγγεγραμμένων πιστώσεων του τακτικού προϋπολογισμού του Υπουργείου Υγείας για την επιχορήγηση των νοσοκομείων</w:t>
      </w:r>
      <w:r w:rsidR="00161D1B" w:rsidRPr="00161D1B">
        <w:t>.</w:t>
      </w:r>
    </w:p>
    <w:p w14:paraId="6810D158" w14:textId="3DF5971C" w:rsidR="00D276FA" w:rsidRDefault="00D276FA" w:rsidP="00D276FA">
      <w:pPr>
        <w:spacing w:before="120"/>
        <w:rPr>
          <w:rFonts w:cs="Arial"/>
          <w:szCs w:val="22"/>
        </w:rPr>
      </w:pPr>
      <w:r>
        <w:t xml:space="preserve">Ωστόσο, </w:t>
      </w:r>
      <w:r>
        <w:rPr>
          <w:rFonts w:cs="Arial"/>
          <w:szCs w:val="22"/>
        </w:rPr>
        <w:t>η εκτιμώμενη επιδείνωση του δημοσιονομικού αποτελέσματος οφείλεται στο σκέλος των εξόδων, τα οποία εκτιμάται ότι θα είναι αυξημένα κατά 349 εκατ. ευρώ.</w:t>
      </w:r>
    </w:p>
    <w:p w14:paraId="1DACCB3D" w14:textId="293A966B" w:rsidR="00C025AE" w:rsidRPr="0094416A" w:rsidRDefault="00D276FA" w:rsidP="00C025AE">
      <w:pPr>
        <w:rPr>
          <w:highlight w:val="yellow"/>
        </w:rPr>
      </w:pPr>
      <w:r>
        <w:rPr>
          <w:rFonts w:cs="Arial"/>
          <w:szCs w:val="22"/>
        </w:rPr>
        <w:t xml:space="preserve">Η φαρμακευτική δαπάνη, οι δαπάνες προμήθειας υγειονομικού και λοιπού υλικού, η δαπάνη για παρεχόμενες υπηρεσίες καθώς και οι λειτουργικές δαπάνες εκτιμάται ότι θα παρουσιάσουν αύξηση κατά 434 εκατ. ευρώ περίπου. Ειδικότερα, η δαπάνη φαρμακευτικών σκευασμάτων, η προμήθεια των οποίων διενεργείται πλέον μέσω της ΕΚΑΠΥ, θα είναι αυξημένη κυρίως εξαιτίας των ακριβότερων καινοτόμων θεραπειών για την αντιμετώπιση σοβαρών </w:t>
      </w:r>
      <w:r w:rsidR="00485E14">
        <w:rPr>
          <w:rFonts w:cs="Arial"/>
          <w:szCs w:val="22"/>
        </w:rPr>
        <w:t>νοσημάτων</w:t>
      </w:r>
      <w:r>
        <w:rPr>
          <w:rFonts w:cs="Arial"/>
          <w:szCs w:val="22"/>
        </w:rPr>
        <w:t>. Παράλληλα, η αύξηση στις δαπάνες προμήθειας υγειονομικού και λοιπού υλικού καθώς και στη δαπάνη για παρεχόμενες υπηρεσίες αποδίδεται κυρίως στον αυξημένο αριθμό των διενεργούμενων χειρουργικών επεμβάσεων καθώς και στην παρατηρούμενη αύξηση των προληπτικών εξετάσεων λόγω των προγραμμάτων προληπτικής ιατρικής που χρηματοδοτούνται από το ΤΑΑ</w:t>
      </w:r>
      <w:r w:rsidR="00F91BAD">
        <w:rPr>
          <w:rFonts w:cs="Arial"/>
          <w:szCs w:val="22"/>
        </w:rPr>
        <w:t xml:space="preserve">, με </w:t>
      </w:r>
      <w:r w:rsidR="00C54571">
        <w:rPr>
          <w:rFonts w:cs="Arial"/>
          <w:szCs w:val="22"/>
        </w:rPr>
        <w:t>αποτέλεσμα</w:t>
      </w:r>
      <w:r w:rsidR="00F91BAD">
        <w:rPr>
          <w:rFonts w:cs="Arial"/>
          <w:szCs w:val="22"/>
        </w:rPr>
        <w:t xml:space="preserve"> </w:t>
      </w:r>
      <w:r>
        <w:rPr>
          <w:rFonts w:cs="Arial"/>
          <w:szCs w:val="22"/>
        </w:rPr>
        <w:t>την αύξηση των ευρημάτων που απαιτούν περαιτέρω διερεύνηση και νοσηλεία.</w:t>
      </w:r>
    </w:p>
    <w:p w14:paraId="2612CA1C" w14:textId="7E7BEE04" w:rsidR="005F0AA0" w:rsidRPr="008012AD" w:rsidRDefault="001B7E83" w:rsidP="00300BBF">
      <w:pPr>
        <w:pStyle w:val="4"/>
      </w:pPr>
      <w:bookmarkStart w:id="300" w:name="_Toc214473749"/>
      <w:r w:rsidRPr="008012AD">
        <w:t>Οργανισμοί Τοπικής Αυτοδιοίκησης</w:t>
      </w:r>
      <w:bookmarkEnd w:id="300"/>
    </w:p>
    <w:p w14:paraId="19FF768D" w14:textId="324E5F6B" w:rsidR="00950EC6" w:rsidRDefault="00AA5B68" w:rsidP="008012AD">
      <w:r w:rsidRPr="00044707">
        <w:t xml:space="preserve">Το ισοζύγιο κατά ESA των ΟΤΑ εκτιμάται ότι θα διαμορφωθεί σε πλεόνασμα ύψους 67 εκατ. ευρώ έναντι προβλεπόμενου ελλείμματος </w:t>
      </w:r>
      <w:r w:rsidR="00401861">
        <w:t xml:space="preserve">ύψους </w:t>
      </w:r>
      <w:r w:rsidRPr="00044707">
        <w:t>300 εκατ. ευρώ. Η εκτιμώμενη βελτίωση του δημοσιονομικού αποτελέσματος κατά 367 εκατ. ευρώ οφείλεται κυρίως στις αυξημένες</w:t>
      </w:r>
      <w:r w:rsidR="00401861">
        <w:t>,</w:t>
      </w:r>
      <w:r w:rsidRPr="00044707">
        <w:t xml:space="preserve"> σε σχέση με τις προβλέψεις</w:t>
      </w:r>
      <w:r w:rsidR="00401861">
        <w:t xml:space="preserve">, </w:t>
      </w:r>
      <w:r w:rsidRPr="00044707">
        <w:t>τρέχουσες μεταβιβάσεις του κρατικού προϋπολογισμού καθώς και στα αυξημένα ίδια έσοδα</w:t>
      </w:r>
      <w:r>
        <w:t>.</w:t>
      </w:r>
    </w:p>
    <w:p w14:paraId="660806BA" w14:textId="0177C78B" w:rsidR="00E05EC7" w:rsidRDefault="00E05EC7" w:rsidP="00E05EC7">
      <w:r>
        <w:t>Ειδικότερα,</w:t>
      </w:r>
      <w:r w:rsidRPr="000558A5">
        <w:t xml:space="preserve"> </w:t>
      </w:r>
      <w:r>
        <w:t>οι</w:t>
      </w:r>
      <w:r w:rsidRPr="000558A5">
        <w:t xml:space="preserve"> </w:t>
      </w:r>
      <w:r>
        <w:t>εκτιμήσεις</w:t>
      </w:r>
      <w:r w:rsidRPr="00954A2C">
        <w:t xml:space="preserve"> </w:t>
      </w:r>
      <w:r w:rsidR="00936370">
        <w:t xml:space="preserve">του </w:t>
      </w:r>
      <w:r w:rsidRPr="00954A2C">
        <w:t xml:space="preserve">2025 </w:t>
      </w:r>
      <w:r w:rsidR="00936370">
        <w:t xml:space="preserve">για τις </w:t>
      </w:r>
      <w:r>
        <w:t>μεταβιβάσε</w:t>
      </w:r>
      <w:r w:rsidR="00936370">
        <w:t>ις</w:t>
      </w:r>
      <w:r>
        <w:t xml:space="preserve"> από τον κρατικό προϋπολογισμό ανέρχονται σ</w:t>
      </w:r>
      <w:r w:rsidR="0061393A">
        <w:t>ε</w:t>
      </w:r>
      <w:r>
        <w:t xml:space="preserve"> 6.183 εκατ. ευρώ, αυξημένες κατά 168 εκατ. ευρώ έναντι του προϋπολογισμού</w:t>
      </w:r>
      <w:r w:rsidR="0061393A">
        <w:t>,</w:t>
      </w:r>
      <w:r>
        <w:t xml:space="preserve"> κυρίως λόγω</w:t>
      </w:r>
      <w:bookmarkStart w:id="301" w:name="_Hlk182228757"/>
      <w:r>
        <w:t xml:space="preserve"> </w:t>
      </w:r>
      <w:r w:rsidR="0061393A">
        <w:t xml:space="preserve">της </w:t>
      </w:r>
      <w:r>
        <w:t xml:space="preserve">ενίσχυσής τους </w:t>
      </w:r>
      <w:r w:rsidRPr="00044707">
        <w:t>από τον τακτικό προϋπολογισμό</w:t>
      </w:r>
      <w:r>
        <w:t xml:space="preserve"> του Υπουργείου Εσωτερικών</w:t>
      </w:r>
      <w:r w:rsidRPr="00044707">
        <w:t xml:space="preserve"> </w:t>
      </w:r>
      <w:r>
        <w:t>με το ποσό των</w:t>
      </w:r>
      <w:r w:rsidRPr="00044707">
        <w:t xml:space="preserve"> 131 εκατ. ευρώ</w:t>
      </w:r>
      <w:bookmarkEnd w:id="301"/>
      <w:r w:rsidRPr="00044707">
        <w:t>,</w:t>
      </w:r>
      <w:r>
        <w:t xml:space="preserve"> στο οποίο ενσωματών</w:t>
      </w:r>
      <w:r w:rsidR="00A03C94">
        <w:t>ον</w:t>
      </w:r>
      <w:r>
        <w:t xml:space="preserve">ται η </w:t>
      </w:r>
      <w:r w:rsidRPr="00044707">
        <w:t>αύξηση των Κ</w:t>
      </w:r>
      <w:r w:rsidR="00986288">
        <w:t>ΑΠ</w:t>
      </w:r>
      <w:r w:rsidRPr="00044707">
        <w:t xml:space="preserve"> κατά 70 εκατ. ευρώ</w:t>
      </w:r>
      <w:r w:rsidR="007F7B5F">
        <w:t>,</w:t>
      </w:r>
      <w:r>
        <w:t xml:space="preserve"> σε μόνιμη βάση</w:t>
      </w:r>
      <w:r w:rsidR="007F7B5F">
        <w:t>,</w:t>
      </w:r>
      <w:r w:rsidRPr="00044707">
        <w:t xml:space="preserve"> για την </w:t>
      </w:r>
      <w:r w:rsidRPr="00044707">
        <w:lastRenderedPageBreak/>
        <w:t>κάλυψη λειτουργικών αναγκών</w:t>
      </w:r>
      <w:r>
        <w:t xml:space="preserve">, η επιχορήγηση </w:t>
      </w:r>
      <w:r w:rsidR="0061393A">
        <w:t>Δ</w:t>
      </w:r>
      <w:r>
        <w:t xml:space="preserve">ήμων με </w:t>
      </w:r>
      <w:r w:rsidRPr="00290890">
        <w:t xml:space="preserve">το ποσό των 13 εκατ. ευρώ για την </w:t>
      </w:r>
      <w:r>
        <w:rPr>
          <w:rFonts w:eastAsia="Calibri" w:cs="Arial"/>
          <w:szCs w:val="20"/>
        </w:rPr>
        <w:t>αντιμετώπιση</w:t>
      </w:r>
      <w:r w:rsidRPr="00290890">
        <w:rPr>
          <w:rFonts w:eastAsia="Calibri" w:cs="Arial"/>
          <w:szCs w:val="20"/>
        </w:rPr>
        <w:t xml:space="preserve"> συγκεκριμένων αναγκών</w:t>
      </w:r>
      <w:r>
        <w:rPr>
          <w:rFonts w:eastAsia="Calibri" w:cs="Arial"/>
          <w:szCs w:val="20"/>
        </w:rPr>
        <w:t xml:space="preserve"> (άρθρο 115 ν.5225/</w:t>
      </w:r>
      <w:r w:rsidR="0061393A">
        <w:rPr>
          <w:rFonts w:eastAsia="Calibri" w:cs="Arial"/>
          <w:szCs w:val="20"/>
        </w:rPr>
        <w:t>20</w:t>
      </w:r>
      <w:r>
        <w:rPr>
          <w:rFonts w:eastAsia="Calibri" w:cs="Arial"/>
          <w:szCs w:val="20"/>
        </w:rPr>
        <w:t>25</w:t>
      </w:r>
      <w:r w:rsidR="00C8121C">
        <w:rPr>
          <w:rFonts w:eastAsia="Calibri" w:cs="Arial"/>
          <w:szCs w:val="20"/>
        </w:rPr>
        <w:t>, Α’ 152</w:t>
      </w:r>
      <w:r>
        <w:rPr>
          <w:rFonts w:eastAsia="Calibri" w:cs="Arial"/>
          <w:szCs w:val="20"/>
        </w:rPr>
        <w:t>)</w:t>
      </w:r>
      <w:r w:rsidRPr="00290890">
        <w:rPr>
          <w:rFonts w:eastAsia="Calibri" w:cs="Arial"/>
          <w:szCs w:val="20"/>
        </w:rPr>
        <w:t xml:space="preserve"> καθώς και </w:t>
      </w:r>
      <w:r>
        <w:rPr>
          <w:rFonts w:eastAsia="Calibri" w:cs="Arial"/>
          <w:szCs w:val="20"/>
        </w:rPr>
        <w:t>η</w:t>
      </w:r>
      <w:r w:rsidRPr="00290890">
        <w:rPr>
          <w:rFonts w:eastAsia="Calibri" w:cs="Arial"/>
          <w:szCs w:val="20"/>
        </w:rPr>
        <w:t xml:space="preserve"> επιχορήγηση του </w:t>
      </w:r>
      <w:r w:rsidRPr="00290890">
        <w:t>νομικού προσώπου Ενιαίος Διαβαθμικός Σύνδεσμος Νομού Αττικής (ΕΔΣΝΑ) με το ποσό των 48 εκατ. ευρώ για την εξόφληση εκκρεμών και ληξιπρόθεσμων υποχρεώσεων</w:t>
      </w:r>
      <w:r>
        <w:t xml:space="preserve"> </w:t>
      </w:r>
      <w:r w:rsidR="0061393A">
        <w:t xml:space="preserve">προς τρίτους </w:t>
      </w:r>
      <w:r>
        <w:t>(παρ.4</w:t>
      </w:r>
      <w:r w:rsidR="005015D8">
        <w:t xml:space="preserve"> του</w:t>
      </w:r>
      <w:r>
        <w:t xml:space="preserve"> άρθρου 235 του ν.5193/</w:t>
      </w:r>
      <w:r w:rsidR="0061393A">
        <w:t>20</w:t>
      </w:r>
      <w:r>
        <w:t>25</w:t>
      </w:r>
      <w:r w:rsidR="00C8121C">
        <w:t>, Α’ 56</w:t>
      </w:r>
      <w:r>
        <w:t>).</w:t>
      </w:r>
    </w:p>
    <w:p w14:paraId="5CF6E90E" w14:textId="30AD2B03" w:rsidR="00E05EC7" w:rsidRPr="00044707" w:rsidRDefault="00E05EC7" w:rsidP="00E05EC7">
      <w:r>
        <w:t>Στην επίτευξη του δημοσιονομικού αποτελέσματος σημαντική είναι η συμβολή της αύξηση</w:t>
      </w:r>
      <w:r w:rsidR="007F7B5F">
        <w:t>ς</w:t>
      </w:r>
      <w:r>
        <w:t xml:space="preserve"> των ιδίων εσόδων κατά 177 εκατ. ευρώ έναντι του προϋπολογισμού.</w:t>
      </w:r>
    </w:p>
    <w:p w14:paraId="70510D20" w14:textId="3E220680" w:rsidR="005F0AA0" w:rsidRPr="002E0BA1" w:rsidRDefault="001B7E83" w:rsidP="00300BBF">
      <w:pPr>
        <w:pStyle w:val="4"/>
      </w:pPr>
      <w:bookmarkStart w:id="302" w:name="_Toc214473750"/>
      <w:r w:rsidRPr="002E0BA1">
        <w:t>Οργανισμοί Κοινωνικής Ασφάλισης</w:t>
      </w:r>
      <w:bookmarkEnd w:id="302"/>
    </w:p>
    <w:p w14:paraId="43FF94B2" w14:textId="77777777" w:rsidR="004052FC" w:rsidRDefault="004052FC" w:rsidP="004052FC">
      <w:r>
        <w:t>Το δημοσιονομικό αποτέλεσμα του υποτομέα των ΟΚΑ (Ασφαλιστικά Ταμεία, Δημόσια Υπηρεσία Απασχόλησης - ΔΥΠΑ, Εθνικός Οργανισμός Παροχής Υπηρεσιών Υγείας - ΕΟΠΥΥ, Οργανισμός Προνοιακών Επιδομάτων και Κοινωνικής Αλληλεγγύης - ΟΠΕΚΑ και Ναυτικό Απομαχικό Ταμείο - ΝΑΤ) για το 202</w:t>
      </w:r>
      <w:r w:rsidRPr="00E43ED6">
        <w:t>5</w:t>
      </w:r>
      <w:r>
        <w:t xml:space="preserve"> εκτιμάται ότι θα παρουσιάσει βελτίωση κατά 99</w:t>
      </w:r>
      <w:r w:rsidRPr="005F0061">
        <w:t>7</w:t>
      </w:r>
      <w:r>
        <w:t xml:space="preserve"> εκατ. ευρώ σε σχέση με τον στόχο του προϋπολογισμού και αναμένεται να διαμορφωθεί σε πλεόνασμα ύψους 1.996 εκατ. ευρώ.</w:t>
      </w:r>
    </w:p>
    <w:p w14:paraId="3EF84ED9" w14:textId="10F94AE3" w:rsidR="004052FC" w:rsidRDefault="004052FC" w:rsidP="004052FC">
      <w:r>
        <w:t xml:space="preserve">Τα συνολικά έσοδα εκτιμάται ότι θα ανέλθουν στο ποσό των </w:t>
      </w:r>
      <w:r w:rsidRPr="00F3141F">
        <w:t>54.</w:t>
      </w:r>
      <w:r>
        <w:t>148 εκατ. ευρώ, αυξημένα κατά 1.982 εκατ. ευρώ σε σχέση με τον στόχο.</w:t>
      </w:r>
    </w:p>
    <w:p w14:paraId="56F5C108" w14:textId="06DB01BA" w:rsidR="004052FC" w:rsidRDefault="004052FC" w:rsidP="004052FC">
      <w:r>
        <w:t>Η μεταβολή αυτή οφείλεται κυρίως στα έσοδα από ασφαλιστικές εισφορές, τα οποία αυξήθηκαν κατά 99</w:t>
      </w:r>
      <w:r w:rsidRPr="005F0061">
        <w:t>7</w:t>
      </w:r>
      <w:r>
        <w:t xml:space="preserve"> εκατ. ευρώ. Η εξέλιξη αυτή αποδίδεται στην αύξηση των μισθών και της απασχόλησης, ως αποτέλεσμα του ρυθμού ανάπτυξης της οικονομίας, στην εφαρμογή της Ψηφιακής Κάρτας Εργασίας και στις μισθολογικές αυξήσεις στον ιδιωτικό και τον δημόσιο τομέα.</w:t>
      </w:r>
    </w:p>
    <w:p w14:paraId="2CFB46D2" w14:textId="2A23893D" w:rsidR="004052FC" w:rsidRDefault="004052FC" w:rsidP="004052FC">
      <w:pPr>
        <w:rPr>
          <w:rFonts w:cs="Arial"/>
          <w:color w:val="001D35"/>
          <w:shd w:val="clear" w:color="auto" w:fill="FFFFFF"/>
        </w:rPr>
      </w:pPr>
      <w:r>
        <w:t xml:space="preserve">Παράλληλα, αυξημένες κατά 457 εκατ. ευρώ εμφανίζονται και οι τρέχουσες και </w:t>
      </w:r>
      <w:r w:rsidR="00332DBA">
        <w:t xml:space="preserve">οι </w:t>
      </w:r>
      <w:r>
        <w:t>λοιπές κεφαλαιακές μεταβιβάσεις κυρίως λόγω των αυξημένων εσόδων της ΔΥΠΑ από το</w:t>
      </w:r>
      <w:r w:rsidR="00B72D43">
        <w:t>ν</w:t>
      </w:r>
      <w:r>
        <w:t xml:space="preserve"> </w:t>
      </w:r>
      <w:r w:rsidR="00B72D43">
        <w:t>προϋπολογισμό δημοσίων επενδύσεων</w:t>
      </w:r>
      <w:r>
        <w:t xml:space="preserve"> και ιδίως από το ΤΑΑ για την υλοποίηση έργων, όπως </w:t>
      </w:r>
      <w:r w:rsidR="00B72D43">
        <w:t>ενδεικτικά</w:t>
      </w:r>
      <w:r w:rsidR="00CD2E69">
        <w:t>,</w:t>
      </w:r>
      <w:r>
        <w:t xml:space="preserve"> </w:t>
      </w:r>
      <w:r w:rsidRPr="0020368D">
        <w:rPr>
          <w:rFonts w:cs="Arial"/>
          <w:color w:val="001D35"/>
          <w:shd w:val="clear" w:color="auto" w:fill="FFFFFF"/>
        </w:rPr>
        <w:t>προγράμματα επιδοτούμενης επιμόρφωσης για εργαζόμενους και ανέργους</w:t>
      </w:r>
      <w:r w:rsidR="00CD2E69">
        <w:rPr>
          <w:rFonts w:cs="Arial"/>
          <w:color w:val="001D35"/>
          <w:shd w:val="clear" w:color="auto" w:fill="FFFFFF"/>
        </w:rPr>
        <w:t xml:space="preserve"> κ.λπ.</w:t>
      </w:r>
    </w:p>
    <w:p w14:paraId="3ED8A3E1" w14:textId="3054B0B8" w:rsidR="004052FC" w:rsidRDefault="004052FC" w:rsidP="004052FC">
      <w:r>
        <w:t>Ομοίως, εκτιμάται ότι τα έσοδα από την απόδοση περιουσίας θα παρουσιάσουν αύξηση κατά 375 εκατ. ευρώ κυρίως λόγω των αυξημένων αποδόσεων (έσοδα από τόκους) του Κοινού Κεφαλαίου που τηρείται στην ΤτΕ.</w:t>
      </w:r>
    </w:p>
    <w:p w14:paraId="1813D46B" w14:textId="6A5660C0" w:rsidR="004052FC" w:rsidRPr="00C441F9" w:rsidRDefault="004052FC" w:rsidP="004052FC">
      <w:r>
        <w:t xml:space="preserve">Τέλος, επισημαίνεται ότι η αύξηση των λοιπών εσόδων κατά 106 εκατ. ευρώ αποδίδεται κατά κύριο λόγο στην αναταξινόμηση των εσόδων, σύμφωνα με το </w:t>
      </w:r>
      <w:r w:rsidR="00CD2E69">
        <w:t xml:space="preserve">π.δ. </w:t>
      </w:r>
      <w:r>
        <w:t>54/2018, από προσαυξήσεις και πρόστιμα στα λοιπά έσοδα και όχι στα έσοδα από ασφαλιστικές εισφορές.</w:t>
      </w:r>
    </w:p>
    <w:p w14:paraId="4BC8D301" w14:textId="77777777" w:rsidR="004052FC" w:rsidRDefault="004052FC" w:rsidP="004052FC">
      <w:pPr>
        <w:spacing w:before="120"/>
        <w:rPr>
          <w:lang w:val="x-none"/>
        </w:rPr>
      </w:pPr>
      <w:r>
        <w:rPr>
          <w:lang w:val="x-none"/>
        </w:rPr>
        <w:t xml:space="preserve">Αντίστοιχα, οι δαπάνες εκτιμάται ότι θα αυξηθούν κατά </w:t>
      </w:r>
      <w:r>
        <w:t>985</w:t>
      </w:r>
      <w:r>
        <w:rPr>
          <w:lang w:val="x-none"/>
        </w:rPr>
        <w:t xml:space="preserve"> εκατ. ευρώ έναντι του στόχου του προϋπολογισμού και θα ανέλθουν σε </w:t>
      </w:r>
      <w:r w:rsidRPr="00A10C74">
        <w:t>52.</w:t>
      </w:r>
      <w:r>
        <w:t>152</w:t>
      </w:r>
      <w:r>
        <w:rPr>
          <w:lang w:val="x-none"/>
        </w:rPr>
        <w:t xml:space="preserve"> εκατ. ευρώ. Η ανωτέρω μεταβολή οφείλεται κυρίως:</w:t>
      </w:r>
    </w:p>
    <w:p w14:paraId="7253A7CD" w14:textId="6129E5EA" w:rsidR="004052FC" w:rsidRDefault="004052FC" w:rsidP="004052FC">
      <w:pPr>
        <w:spacing w:before="120" w:after="60"/>
      </w:pPr>
      <w:r>
        <w:t xml:space="preserve">(α) στην αύξηση κατά 912 εκατ. ευρώ των μεταβιβάσεων του ΕΟΠΥΥ προς τα νοσοκομεία στο πλαίσιο της εφαρμογής του συστήματος DRG, που </w:t>
      </w:r>
      <w:r w:rsidR="00B514CC">
        <w:t>αποβλέπει σ</w:t>
      </w:r>
      <w:r>
        <w:t>τη δίκαιη κατανομή των διαθέσιμων πόρων με βάση το παραγόμενο έργο των νοσοκομειακών μονάδων,</w:t>
      </w:r>
    </w:p>
    <w:p w14:paraId="0E594688" w14:textId="0950471C" w:rsidR="004052FC" w:rsidRPr="0059292F" w:rsidRDefault="004052FC" w:rsidP="004052FC">
      <w:pPr>
        <w:spacing w:before="60" w:after="60"/>
      </w:pPr>
      <w:r>
        <w:t xml:space="preserve">(β) στην καταβολή της κοινωνικής ενίσχυσης ύψους 250 ευρώ σε χαμηλοσυνταξιούχους, σε ανασφάλιστους υπερήλικες και σε δικαιούχους αναπηρικών επιδομάτων από τον </w:t>
      </w:r>
      <w:r>
        <w:rPr>
          <w:lang w:val="en-US"/>
        </w:rPr>
        <w:t>e</w:t>
      </w:r>
      <w:r w:rsidRPr="0059292F">
        <w:t>-</w:t>
      </w:r>
      <w:r>
        <w:t>ΕΦΚΑ και τον ΟΠΕΚΑ και</w:t>
      </w:r>
    </w:p>
    <w:p w14:paraId="11F387FB" w14:textId="4CF22D31" w:rsidR="004052FC" w:rsidRDefault="004052FC" w:rsidP="004052FC">
      <w:pPr>
        <w:spacing w:before="60"/>
      </w:pPr>
      <w:r>
        <w:t>(γ) στην επανεκτίμηση του ύψους της δαπάνης των συντάξεων καθώς και των κοινωνικών και προνοιακών παροχών</w:t>
      </w:r>
      <w:r w:rsidR="00123E68">
        <w:t>,</w:t>
      </w:r>
      <w:r>
        <w:t xml:space="preserve"> βάσει απολογιστικών στοιχείων εκτέλεσης του προϋπολογισμού τρέχοντος έτους.</w:t>
      </w:r>
    </w:p>
    <w:p w14:paraId="1557C6D1" w14:textId="48659EF9" w:rsidR="001B7E83" w:rsidRDefault="001B7E83" w:rsidP="00300BBF">
      <w:pPr>
        <w:pStyle w:val="3"/>
      </w:pPr>
      <w:bookmarkStart w:id="303" w:name="_Toc214473751"/>
      <w:r w:rsidRPr="000E6C1F">
        <w:lastRenderedPageBreak/>
        <w:t>Βασικά μεγέθη προϋπολογισμού Γενικής Κυβέρνησης 202</w:t>
      </w:r>
      <w:r w:rsidR="006E2D8E" w:rsidRPr="006E2D8E">
        <w:t>6</w:t>
      </w:r>
      <w:bookmarkEnd w:id="303"/>
    </w:p>
    <w:p w14:paraId="085D2271" w14:textId="77777777" w:rsidR="00F64456" w:rsidRPr="00D1257B" w:rsidRDefault="00F64456" w:rsidP="00F64456">
      <w:r w:rsidRPr="00D1257B">
        <w:t>Ο σχεδιασμός για το έτος 2026 περιλαμβάνει την εισαγωγή πλήθους παρεμβάσεων, οι οποίες στοχεύουν, μεταξύ άλλων, στη φορολογική μεταρρύθμιση για το δημογραφικό</w:t>
      </w:r>
      <w:r>
        <w:t>, τους νέους</w:t>
      </w:r>
      <w:r w:rsidRPr="00D1257B">
        <w:t xml:space="preserve"> και τη μεσαία τάξη, στις αυξήσεις των αποδοχών των συνταξιούχων και των</w:t>
      </w:r>
      <w:r>
        <w:t xml:space="preserve"> δημόσιων</w:t>
      </w:r>
      <w:r w:rsidRPr="00D1257B">
        <w:t xml:space="preserve"> υπαλλήλων, σ</w:t>
      </w:r>
      <w:r>
        <w:t xml:space="preserve">την αντιμετώπιση του </w:t>
      </w:r>
      <w:r w:rsidRPr="00D1257B">
        <w:t>στεγαστικού προβλήματος και στην ενίσχυση των επενδύσεων.</w:t>
      </w:r>
    </w:p>
    <w:p w14:paraId="77FEEB97" w14:textId="77777777" w:rsidR="00F64456" w:rsidRPr="00D1257B" w:rsidRDefault="00F64456" w:rsidP="00F64456">
      <w:r w:rsidRPr="00D1257B">
        <w:t>Οι παρεμβάσεις οι οποίες θα υλοποιηθούν το 2026 με σκοπό την ενίσχυση των εισοδημάτων και τη μείωση των φορολογικών βαρών, περιλαμβάνουν, μεταξύ άλλων:</w:t>
      </w:r>
    </w:p>
    <w:p w14:paraId="09A0F5F2" w14:textId="77777777" w:rsidR="00F64456" w:rsidRPr="00D1257B" w:rsidRDefault="00F64456" w:rsidP="00F64456">
      <w:pPr>
        <w:numPr>
          <w:ilvl w:val="0"/>
          <w:numId w:val="12"/>
        </w:numPr>
        <w:spacing w:before="120" w:after="60"/>
        <w:ind w:left="568" w:hanging="284"/>
      </w:pPr>
      <w:r>
        <w:t>διαρθρωτική α</w:t>
      </w:r>
      <w:r w:rsidRPr="00D1257B">
        <w:t>ναμόρφωση της κλίμακας φόρου εισοδήματος για μισθωτούς, συνταξιούχους, αγρότες και ελεύθερους επαγγελματίες</w:t>
      </w:r>
      <w:r>
        <w:t>,</w:t>
      </w:r>
    </w:p>
    <w:p w14:paraId="7F080294" w14:textId="77777777" w:rsidR="00F64456" w:rsidRPr="00D1257B" w:rsidRDefault="00F64456" w:rsidP="00F64456">
      <w:pPr>
        <w:numPr>
          <w:ilvl w:val="0"/>
          <w:numId w:val="12"/>
        </w:numPr>
        <w:spacing w:before="60" w:after="60"/>
        <w:ind w:left="568" w:hanging="284"/>
      </w:pPr>
      <w:r w:rsidRPr="005A6781">
        <w:t>μη συμψηφισμό του 50% της αύξησης των συντάξεων με την προσωπική διαφορά των συνταξιούχων,</w:t>
      </w:r>
    </w:p>
    <w:p w14:paraId="7157D469" w14:textId="77777777" w:rsidR="00F64456" w:rsidRPr="00D1257B" w:rsidRDefault="00F64456" w:rsidP="00F64456">
      <w:pPr>
        <w:numPr>
          <w:ilvl w:val="0"/>
          <w:numId w:val="12"/>
        </w:numPr>
        <w:spacing w:before="60" w:after="60"/>
        <w:ind w:left="568" w:hanging="284"/>
      </w:pPr>
      <w:r>
        <w:t>π</w:t>
      </w:r>
      <w:r w:rsidRPr="00D1257B">
        <w:t xml:space="preserve">αρέμβαση στα ειδικά μισθολόγια των </w:t>
      </w:r>
      <w:r>
        <w:t>Ε</w:t>
      </w:r>
      <w:r w:rsidRPr="00D1257B">
        <w:t xml:space="preserve">νόπλων </w:t>
      </w:r>
      <w:r>
        <w:t>Δ</w:t>
      </w:r>
      <w:r w:rsidRPr="00D1257B">
        <w:t xml:space="preserve">υνάμεων και των </w:t>
      </w:r>
      <w:r>
        <w:t>Σ</w:t>
      </w:r>
      <w:r w:rsidRPr="00D1257B">
        <w:t xml:space="preserve">ωμάτων </w:t>
      </w:r>
      <w:r>
        <w:t>Α</w:t>
      </w:r>
      <w:r w:rsidRPr="00D1257B">
        <w:t>σφαλείας καθώς και σε λοιπές κατηγορίες υπαλλήλων</w:t>
      </w:r>
      <w:r>
        <w:t>,</w:t>
      </w:r>
    </w:p>
    <w:p w14:paraId="517CA8AB" w14:textId="5ABAAEC9" w:rsidR="00F64456" w:rsidRPr="009A6ADB" w:rsidRDefault="00F64456" w:rsidP="00F64456">
      <w:pPr>
        <w:numPr>
          <w:ilvl w:val="0"/>
          <w:numId w:val="12"/>
        </w:numPr>
        <w:spacing w:before="60" w:after="60"/>
        <w:ind w:left="568" w:hanging="284"/>
      </w:pPr>
      <w:r w:rsidRPr="009A6ADB">
        <w:t>σταδιακή κατάργηση του ΕΝΦΙΑ για κύριες κατοικίες σε οικισμούς εκτός Αττικής με πληθυσμό έως 1.500 κατοίκους, εξαιρουμένων των νησιών</w:t>
      </w:r>
      <w:r w:rsidR="00CE3CBA">
        <w:t>,</w:t>
      </w:r>
      <w:r w:rsidR="00AD1D6C" w:rsidRPr="009A6ADB">
        <w:t xml:space="preserve"> καθώς και κατάργησή του σε οικισμούς με πληθυσμό έως 1.700 κατοίκους της Περιφερειακής Ενότητας Έβρου, της Περιφέρειας Δυτικής Μακεδονίας και των Δήμων Μακεδονίας, Θράκης και Ηπείρου </w:t>
      </w:r>
      <w:r w:rsidR="009A6ADB" w:rsidRPr="009A6ADB">
        <w:t xml:space="preserve">που εφάπτονται </w:t>
      </w:r>
      <w:r w:rsidR="00B15960">
        <w:t xml:space="preserve">με </w:t>
      </w:r>
      <w:r w:rsidR="00AD1D6C" w:rsidRPr="009A6ADB">
        <w:t>τα σύνορα της χώρας,</w:t>
      </w:r>
    </w:p>
    <w:p w14:paraId="365F90F2" w14:textId="77777777" w:rsidR="00F64456" w:rsidRPr="00D1257B" w:rsidRDefault="00F64456" w:rsidP="00F64456">
      <w:pPr>
        <w:numPr>
          <w:ilvl w:val="0"/>
          <w:numId w:val="12"/>
        </w:numPr>
        <w:spacing w:before="60" w:after="60"/>
        <w:ind w:left="568" w:hanging="284"/>
      </w:pPr>
      <w:r>
        <w:t>μ</w:t>
      </w:r>
      <w:r w:rsidRPr="00D1257B">
        <w:t xml:space="preserve">είωση κατά 30% του ΦΠΑ σε νησιά </w:t>
      </w:r>
      <w:r>
        <w:t xml:space="preserve">της περιφέρειας </w:t>
      </w:r>
      <w:r w:rsidRPr="00D1257B">
        <w:t>Β</w:t>
      </w:r>
      <w:r>
        <w:t>ο</w:t>
      </w:r>
      <w:r w:rsidRPr="00D1257B">
        <w:t>ρε</w:t>
      </w:r>
      <w:r>
        <w:t>ί</w:t>
      </w:r>
      <w:r w:rsidRPr="00D1257B">
        <w:t xml:space="preserve">ου Αιγαίου, </w:t>
      </w:r>
      <w:r>
        <w:t xml:space="preserve">του νομού </w:t>
      </w:r>
      <w:r w:rsidRPr="00D1257B">
        <w:t>Έβρου</w:t>
      </w:r>
      <w:r>
        <w:t xml:space="preserve"> (Σαμοθράκη)</w:t>
      </w:r>
      <w:r w:rsidRPr="00D1257B">
        <w:t xml:space="preserve"> και </w:t>
      </w:r>
      <w:r>
        <w:t xml:space="preserve">του νομού </w:t>
      </w:r>
      <w:r w:rsidRPr="00D1257B">
        <w:t>Δωδεκανήσων με πληθυσμό έως 20.000 κατοίκους</w:t>
      </w:r>
      <w:r>
        <w:t>,</w:t>
      </w:r>
    </w:p>
    <w:p w14:paraId="0B48722D" w14:textId="5F86D8F5" w:rsidR="00F64456" w:rsidRPr="00D1257B" w:rsidRDefault="00F64456" w:rsidP="00F64456">
      <w:pPr>
        <w:numPr>
          <w:ilvl w:val="0"/>
          <w:numId w:val="12"/>
        </w:numPr>
        <w:spacing w:before="60" w:after="60"/>
        <w:ind w:left="568" w:hanging="284"/>
      </w:pPr>
      <w:r>
        <w:t>ε</w:t>
      </w:r>
      <w:r w:rsidRPr="00D1257B">
        <w:t>ισαγωγή ενδιάμεσου συντελεστή 25% στο</w:t>
      </w:r>
      <w:r w:rsidR="00AD1D6C">
        <w:t>ν</w:t>
      </w:r>
      <w:r w:rsidRPr="00D1257B">
        <w:t xml:space="preserve"> φόρο εισοδήματος από ακίνητα</w:t>
      </w:r>
      <w:r>
        <w:t>,</w:t>
      </w:r>
    </w:p>
    <w:p w14:paraId="7550EF27" w14:textId="77777777" w:rsidR="00F64456" w:rsidRPr="00D1257B" w:rsidRDefault="00F64456" w:rsidP="00F64456">
      <w:pPr>
        <w:numPr>
          <w:ilvl w:val="0"/>
          <w:numId w:val="12"/>
        </w:numPr>
        <w:spacing w:before="60" w:after="60"/>
        <w:ind w:left="568" w:hanging="284"/>
      </w:pPr>
      <w:r>
        <w:t>μ</w:t>
      </w:r>
      <w:r w:rsidRPr="00D1257B">
        <w:t>είωση των τεκμηρίων διαβίωσης</w:t>
      </w:r>
      <w:r>
        <w:t>,</w:t>
      </w:r>
    </w:p>
    <w:p w14:paraId="3CF39DF5" w14:textId="77777777" w:rsidR="00F64456" w:rsidRPr="00D1257B" w:rsidRDefault="00F64456" w:rsidP="00F64456">
      <w:pPr>
        <w:numPr>
          <w:ilvl w:val="0"/>
          <w:numId w:val="12"/>
        </w:numPr>
        <w:spacing w:before="60" w:after="60"/>
        <w:ind w:left="568" w:hanging="284"/>
      </w:pPr>
      <w:r>
        <w:t>π</w:t>
      </w:r>
      <w:r w:rsidRPr="00D1257B">
        <w:t>εραιτέρω αύξηση του κατώτατου μισθού στον ιδιωτικό τομέα</w:t>
      </w:r>
      <w:r>
        <w:t xml:space="preserve"> και</w:t>
      </w:r>
    </w:p>
    <w:p w14:paraId="68FFA455" w14:textId="77777777" w:rsidR="00F64456" w:rsidRPr="00D1257B" w:rsidRDefault="00F64456" w:rsidP="00F64456">
      <w:pPr>
        <w:numPr>
          <w:ilvl w:val="0"/>
          <w:numId w:val="12"/>
        </w:numPr>
        <w:spacing w:before="60"/>
        <w:ind w:left="568" w:hanging="284"/>
      </w:pPr>
      <w:r>
        <w:t>ο</w:t>
      </w:r>
      <w:r w:rsidRPr="00D1257B">
        <w:t>ριζόντια αύξηση των μισθών των δημ</w:t>
      </w:r>
      <w:r>
        <w:t>ό</w:t>
      </w:r>
      <w:r w:rsidRPr="00D1257B">
        <w:t>σ</w:t>
      </w:r>
      <w:r>
        <w:t>ι</w:t>
      </w:r>
      <w:r w:rsidRPr="00D1257B">
        <w:t>ων υπαλλήλων τον Απρίλιο 2026.</w:t>
      </w:r>
    </w:p>
    <w:p w14:paraId="32503309" w14:textId="77777777" w:rsidR="00F64456" w:rsidRPr="00D1257B" w:rsidRDefault="00F64456" w:rsidP="00855762">
      <w:r w:rsidRPr="00D1257B">
        <w:t xml:space="preserve">Επίσης, ορισμένες από τις νέες παρεμβάσεις για την αντιμετώπιση </w:t>
      </w:r>
      <w:r>
        <w:t>του</w:t>
      </w:r>
      <w:r w:rsidRPr="00D1257B">
        <w:t xml:space="preserve"> στεγαστικ</w:t>
      </w:r>
      <w:r>
        <w:t xml:space="preserve">ού προβλήματος </w:t>
      </w:r>
      <w:r w:rsidRPr="00D1257B">
        <w:t>περιλαμβάνουν:</w:t>
      </w:r>
    </w:p>
    <w:p w14:paraId="49C2B829" w14:textId="77777777" w:rsidR="00F64456" w:rsidRPr="00D1257B" w:rsidRDefault="00F64456" w:rsidP="00F64456">
      <w:pPr>
        <w:numPr>
          <w:ilvl w:val="0"/>
          <w:numId w:val="12"/>
        </w:numPr>
        <w:spacing w:before="120" w:after="60"/>
        <w:ind w:left="568" w:hanging="284"/>
      </w:pPr>
      <w:r>
        <w:t>ε</w:t>
      </w:r>
      <w:r w:rsidRPr="00D1257B">
        <w:t>πιστροφή ενός ενοικίου ετησίως σε δικαιούχους ενοικιαστές (κύριας και φοιτητικής κατοικίας)</w:t>
      </w:r>
      <w:r>
        <w:t>,</w:t>
      </w:r>
    </w:p>
    <w:p w14:paraId="4E1FD935" w14:textId="77777777" w:rsidR="00F64456" w:rsidRPr="00D1257B" w:rsidRDefault="00F64456" w:rsidP="00F64456">
      <w:pPr>
        <w:numPr>
          <w:ilvl w:val="0"/>
          <w:numId w:val="12"/>
        </w:numPr>
        <w:spacing w:before="60" w:after="60"/>
        <w:ind w:left="568" w:hanging="284"/>
      </w:pPr>
      <w:r>
        <w:t>ε</w:t>
      </w:r>
      <w:r w:rsidRPr="00D1257B">
        <w:t>πέκταση και για το 2026 της φοροαπαλλαγή</w:t>
      </w:r>
      <w:r>
        <w:t xml:space="preserve">ς διάρκειας τριών ετών </w:t>
      </w:r>
      <w:r w:rsidRPr="00D1257B">
        <w:t>για κενά ακίνητα που θα</w:t>
      </w:r>
      <w:r>
        <w:t xml:space="preserve"> </w:t>
      </w:r>
      <w:r w:rsidRPr="00D1257B">
        <w:t>διατεθούν σε μακροχρόνια μίσθωση</w:t>
      </w:r>
      <w:r>
        <w:t>,</w:t>
      </w:r>
    </w:p>
    <w:p w14:paraId="36DC97B4" w14:textId="77777777" w:rsidR="00F64456" w:rsidRPr="00D1257B" w:rsidRDefault="00F64456" w:rsidP="00F64456">
      <w:pPr>
        <w:numPr>
          <w:ilvl w:val="0"/>
          <w:numId w:val="12"/>
        </w:numPr>
        <w:spacing w:before="60" w:after="60"/>
        <w:ind w:left="568" w:hanging="284"/>
      </w:pPr>
      <w:r>
        <w:t>α</w:t>
      </w:r>
      <w:r w:rsidRPr="00D1257B">
        <w:t>ναστολή του ΦΠΑ στις νέες οικοδομές μέχρι το τέλος του 2026</w:t>
      </w:r>
      <w:r>
        <w:t>,</w:t>
      </w:r>
    </w:p>
    <w:p w14:paraId="47B498E0" w14:textId="77777777" w:rsidR="00F64456" w:rsidRPr="00D1257B" w:rsidRDefault="00F64456" w:rsidP="00F64456">
      <w:pPr>
        <w:numPr>
          <w:ilvl w:val="0"/>
          <w:numId w:val="12"/>
        </w:numPr>
        <w:spacing w:before="60" w:after="60"/>
        <w:ind w:left="568" w:hanging="284"/>
      </w:pPr>
      <w:r>
        <w:t>π</w:t>
      </w:r>
      <w:r w:rsidRPr="00D1257B">
        <w:t>αράταση της μείωσης του φόρου εισοδήματος για δαπάνες αναβάθμισης κτ</w:t>
      </w:r>
      <w:r>
        <w:t>η</w:t>
      </w:r>
      <w:r w:rsidRPr="00D1257B">
        <w:t>ρίων</w:t>
      </w:r>
      <w:r>
        <w:t>,</w:t>
      </w:r>
    </w:p>
    <w:p w14:paraId="7659A3F6" w14:textId="77777777" w:rsidR="00F64456" w:rsidRPr="00D1257B" w:rsidRDefault="00F64456" w:rsidP="00F64456">
      <w:pPr>
        <w:numPr>
          <w:ilvl w:val="0"/>
          <w:numId w:val="12"/>
        </w:numPr>
        <w:spacing w:before="60" w:after="60"/>
        <w:ind w:left="568" w:hanging="284"/>
      </w:pPr>
      <w:r>
        <w:t>ε</w:t>
      </w:r>
      <w:r w:rsidRPr="00D1257B">
        <w:t>πέκταση και για το 2026 του περιορισμού λειτουργίας νέων βραχυχρόνιων μισθώσεων σε τρία δημοτικά διαμερίσματα της Αθήνας</w:t>
      </w:r>
      <w:r>
        <w:t xml:space="preserve"> και</w:t>
      </w:r>
    </w:p>
    <w:p w14:paraId="67F4055B" w14:textId="4C94C8ED" w:rsidR="00F64456" w:rsidRPr="00D1257B" w:rsidRDefault="00F64456" w:rsidP="00F64456">
      <w:pPr>
        <w:numPr>
          <w:ilvl w:val="0"/>
          <w:numId w:val="12"/>
        </w:numPr>
        <w:spacing w:before="60"/>
        <w:ind w:left="568" w:hanging="284"/>
      </w:pPr>
      <w:r>
        <w:t>θ</w:t>
      </w:r>
      <w:r w:rsidRPr="00D1257B">
        <w:t xml:space="preserve">εσμοθέτηση νέου πλαισίου </w:t>
      </w:r>
      <w:r>
        <w:t xml:space="preserve">κοινωνικής αντιπαροχής </w:t>
      </w:r>
      <w:r w:rsidRPr="00D1257B">
        <w:t>για την αξιοποίηση της δημόσιας ακίνητης περιουσίας με στόχο την εξασφάλιση κοινωνικής μίσθωσης σε ευάλωτες ομάδες.</w:t>
      </w:r>
    </w:p>
    <w:p w14:paraId="177E70F8" w14:textId="76D7F1D2" w:rsidR="00F64456" w:rsidRPr="00F64456" w:rsidRDefault="00F64456" w:rsidP="00855762">
      <w:r w:rsidRPr="00D1257B">
        <w:t xml:space="preserve">Οι συνολικές δημοσιονομικές παρεμβάσεις αποτυπώνονται </w:t>
      </w:r>
      <w:r w:rsidRPr="00154C13">
        <w:t xml:space="preserve">αναλυτικά στην </w:t>
      </w:r>
      <w:hyperlink w:anchor="_Δημοσιονομικές_παρεμβάσεις_2023_1" w:history="1">
        <w:r w:rsidRPr="00154C13">
          <w:t>ενότητα 3.9.</w:t>
        </w:r>
      </w:hyperlink>
    </w:p>
    <w:p w14:paraId="68C085B3" w14:textId="77777777" w:rsidR="00F64456" w:rsidRDefault="00F64456" w:rsidP="00855762">
      <w:r w:rsidRPr="00D1257B">
        <w:t>Σύμφωνα με τις προβλέψεις για το έτος 2026, το πρωτογενές αποτέλεσμα της Γενικής Κυβέρνησης</w:t>
      </w:r>
      <w:r>
        <w:t xml:space="preserve">, </w:t>
      </w:r>
      <w:r w:rsidRPr="00D1257B">
        <w:t>σε δημοσιονομική βάση</w:t>
      </w:r>
      <w:r>
        <w:t>,</w:t>
      </w:r>
      <w:r w:rsidRPr="00D1257B">
        <w:t xml:space="preserve"> προβλέπεται να διαμορφωθεί σε πλεόνασμα </w:t>
      </w:r>
      <w:r w:rsidRPr="00901643">
        <w:t xml:space="preserve">ύψους </w:t>
      </w:r>
      <w:r w:rsidRPr="00A623B7">
        <w:t>7.211</w:t>
      </w:r>
      <w:r w:rsidRPr="00901643">
        <w:t xml:space="preserve"> εκατ. ευρώ ή </w:t>
      </w:r>
      <w:r w:rsidRPr="00A507C0">
        <w:t>2,8</w:t>
      </w:r>
      <w:r w:rsidRPr="00D1257B">
        <w:t>% του ΑΕΠ.</w:t>
      </w:r>
    </w:p>
    <w:p w14:paraId="7ACA26F8" w14:textId="226A1AE9" w:rsidR="00123E68" w:rsidRPr="00094CC4" w:rsidRDefault="00123E68" w:rsidP="00123E68">
      <w:r w:rsidRPr="00FA1946">
        <w:t>Οι καθαρές εθνικά χρηματοδοτούμενες πρωτογενείς δαπάνες της Γενικής Κυβέρνησης, σύμφωνα με τον ορισμό του νέου ευρωπαϊκού πλαισίου οικονομικής διακυβέρνησης και του ΜΔΣ,</w:t>
      </w:r>
      <w:r>
        <w:t xml:space="preserve"> </w:t>
      </w:r>
      <w:r w:rsidRPr="00094CC4">
        <w:t xml:space="preserve">αναμένεται να </w:t>
      </w:r>
      <w:r w:rsidRPr="00094CC4">
        <w:lastRenderedPageBreak/>
        <w:t xml:space="preserve">αυξηθούν ετησίως με ρυθμό 4,4% και 5,7% </w:t>
      </w:r>
      <w:r>
        <w:t xml:space="preserve">για τα έτη 2025 και 2026 </w:t>
      </w:r>
      <w:r w:rsidRPr="00094CC4">
        <w:t xml:space="preserve">αντίστοιχα, </w:t>
      </w:r>
      <w:r w:rsidRPr="00A96403">
        <w:t>με τη σωρευτική αύξηση των ετών 2024</w:t>
      </w:r>
      <w:r>
        <w:t xml:space="preserve"> </w:t>
      </w:r>
      <w:r w:rsidRPr="00A96403">
        <w:t>-</w:t>
      </w:r>
      <w:r>
        <w:t xml:space="preserve"> </w:t>
      </w:r>
      <w:r w:rsidRPr="00A96403">
        <w:t>2026 να εκτιμάται σε 10 δισ. ευρώ</w:t>
      </w:r>
      <w:r w:rsidRPr="007D704B">
        <w:t xml:space="preserve"> </w:t>
      </w:r>
      <w:r w:rsidRPr="00A96403">
        <w:t>περίπου</w:t>
      </w:r>
      <w:r>
        <w:t>,</w:t>
      </w:r>
      <w:r w:rsidRPr="00A96403">
        <w:t xml:space="preserve"> </w:t>
      </w:r>
      <w:r>
        <w:t xml:space="preserve">που </w:t>
      </w:r>
      <w:r w:rsidRPr="00A96403">
        <w:t>αντιστοιχεί στο όριο που τίθεται από το ΜΔΣ</w:t>
      </w:r>
      <w:r>
        <w:t>. Υπενθυμίζεται ότι τ</w:t>
      </w:r>
      <w:r w:rsidRPr="00094CC4">
        <w:t>ο 2024 ο ετήσιος ρυθμός αύξησης των καθαρών δαπανών υπολογί</w:t>
      </w:r>
      <w:r>
        <w:t>στηκε</w:t>
      </w:r>
      <w:r w:rsidRPr="00094CC4">
        <w:t xml:space="preserve"> σε -0,2%, με όριο +2,6% λόγω </w:t>
      </w:r>
      <w:r>
        <w:t xml:space="preserve">της </w:t>
      </w:r>
      <w:r w:rsidRPr="00094CC4">
        <w:t xml:space="preserve">χαμηλότερης από την αναμενόμενη συνολικής δαπάνης της </w:t>
      </w:r>
      <w:r>
        <w:t>Γ</w:t>
      </w:r>
      <w:r w:rsidRPr="00094CC4">
        <w:t xml:space="preserve">ενικής </w:t>
      </w:r>
      <w:r>
        <w:t>Κ</w:t>
      </w:r>
      <w:r w:rsidRPr="00094CC4">
        <w:t>υβέρνησης, αλλά κυρίως λόγω της απόδοσης των μέτρων για την αντιμετώπιση της φοροδιαφυγής και της εισφοροδιαφυγής.</w:t>
      </w:r>
    </w:p>
    <w:p w14:paraId="5BF70A71" w14:textId="0F46F0EE" w:rsidR="00F64456" w:rsidRPr="00123E68" w:rsidRDefault="00123E68" w:rsidP="00F64456">
      <w:r w:rsidRPr="00FA1946">
        <w:t>Σημειώνεται ότι κατόπιν ενεργοποίησης της εθνικής ρήτρας διαφυγής για τις αμυντικές δαπάνες, η μεταβολή των αμυντικών δαπανών, ως ποσοστό του ΑΕΠ, κατά την περίοδο 2025 - 2028 σε σχέση με το έτος 2024 λαμβάνεται υπόψη από την Ευρωπαϊκή Επιτροπή σε περίπτωση υπέρβασης του ορίου δαπανών.</w:t>
      </w:r>
      <w:r>
        <w:t xml:space="preserve"> </w:t>
      </w:r>
      <w:r w:rsidRPr="00A96403">
        <w:t xml:space="preserve">Σε όρους λειτουργικής ταξινόμησης των δαπανών (ορισμός </w:t>
      </w:r>
      <w:r w:rsidRPr="00A96403">
        <w:rPr>
          <w:lang w:val="en-US"/>
        </w:rPr>
        <w:t>C</w:t>
      </w:r>
      <w:r>
        <w:rPr>
          <w:lang w:val="en-US"/>
        </w:rPr>
        <w:t>o</w:t>
      </w:r>
      <w:r w:rsidRPr="00A96403">
        <w:rPr>
          <w:lang w:val="en-US"/>
        </w:rPr>
        <w:t>F</w:t>
      </w:r>
      <w:r>
        <w:rPr>
          <w:lang w:val="en-US"/>
        </w:rPr>
        <w:t>o</w:t>
      </w:r>
      <w:r w:rsidRPr="00A96403">
        <w:rPr>
          <w:lang w:val="en-US"/>
        </w:rPr>
        <w:t>G</w:t>
      </w:r>
      <w:r w:rsidRPr="00E52D04">
        <w:t xml:space="preserve"> - </w:t>
      </w:r>
      <w:r w:rsidRPr="004B4564">
        <w:rPr>
          <w:lang w:val="en-US"/>
        </w:rPr>
        <w:t>Classification</w:t>
      </w:r>
      <w:r w:rsidRPr="004B4564">
        <w:t xml:space="preserve"> </w:t>
      </w:r>
      <w:r w:rsidRPr="004B4564">
        <w:rPr>
          <w:lang w:val="en-US"/>
        </w:rPr>
        <w:t>of</w:t>
      </w:r>
      <w:r w:rsidRPr="004B4564">
        <w:t xml:space="preserve"> </w:t>
      </w:r>
      <w:r w:rsidRPr="004B4564">
        <w:rPr>
          <w:lang w:val="en-US"/>
        </w:rPr>
        <w:t>the</w:t>
      </w:r>
      <w:r w:rsidRPr="004B4564">
        <w:t xml:space="preserve"> </w:t>
      </w:r>
      <w:r w:rsidRPr="004B4564">
        <w:rPr>
          <w:lang w:val="en-US"/>
        </w:rPr>
        <w:t>Functions</w:t>
      </w:r>
      <w:r w:rsidRPr="004B4564">
        <w:t xml:space="preserve"> </w:t>
      </w:r>
      <w:r w:rsidRPr="004B4564">
        <w:rPr>
          <w:lang w:val="en-US"/>
        </w:rPr>
        <w:t>of</w:t>
      </w:r>
      <w:r w:rsidRPr="004B4564">
        <w:t xml:space="preserve"> </w:t>
      </w:r>
      <w:r w:rsidRPr="004B4564">
        <w:rPr>
          <w:lang w:val="en-US"/>
        </w:rPr>
        <w:t>Government</w:t>
      </w:r>
      <w:r w:rsidRPr="00E52D04">
        <w:t xml:space="preserve">, </w:t>
      </w:r>
      <w:r w:rsidRPr="00A96403">
        <w:rPr>
          <w:lang w:val="en-US"/>
        </w:rPr>
        <w:t>Eurostat</w:t>
      </w:r>
      <w:r w:rsidRPr="00A96403">
        <w:t xml:space="preserve">) οι αμυντικές δαπάνες </w:t>
      </w:r>
      <w:r>
        <w:t xml:space="preserve">για το έτος 2026 </w:t>
      </w:r>
      <w:r w:rsidRPr="00A96403">
        <w:t>εκτιμώνται περίπου 0,3% του ΑΕΠ υψηλότερες σε σχέση με το 2024.</w:t>
      </w:r>
    </w:p>
    <w:p w14:paraId="4123ADB4" w14:textId="2EE27AF0" w:rsidR="001B7E83" w:rsidRDefault="001B7E83" w:rsidP="00300BBF">
      <w:pPr>
        <w:pStyle w:val="4"/>
      </w:pPr>
      <w:bookmarkStart w:id="304" w:name="_Toc214473752"/>
      <w:r>
        <w:t>Κρατικό</w:t>
      </w:r>
      <w:r w:rsidR="00FD46BC">
        <w:t>ς</w:t>
      </w:r>
      <w:r>
        <w:t xml:space="preserve"> προϋπολογισμός 202</w:t>
      </w:r>
      <w:r w:rsidR="006E2D8E">
        <w:rPr>
          <w:lang w:val="en-US"/>
        </w:rPr>
        <w:t>6</w:t>
      </w:r>
      <w:bookmarkEnd w:id="304"/>
    </w:p>
    <w:p w14:paraId="702F013C" w14:textId="2DD368D9" w:rsidR="000414B5" w:rsidRPr="00E27F45" w:rsidRDefault="00EE3E93" w:rsidP="00855762">
      <w:pPr>
        <w:rPr>
          <w:b/>
        </w:rPr>
      </w:pPr>
      <w:r w:rsidRPr="00A127DD">
        <w:t xml:space="preserve">Το </w:t>
      </w:r>
      <w:r w:rsidRPr="00436155">
        <w:t xml:space="preserve">ισοζύγιο του κρατικού προϋπολογισμού κατά ESA για το έτος 2026 προβλέπεται ότι θα διαμορφωθεί σε έλλειμμα </w:t>
      </w:r>
      <w:r w:rsidR="00401861">
        <w:t xml:space="preserve">ύψους </w:t>
      </w:r>
      <w:r w:rsidRPr="00436155">
        <w:t>6.810 εκατ. ευρώ (</w:t>
      </w:r>
      <w:r w:rsidR="00D87121">
        <w:t>-</w:t>
      </w:r>
      <w:r w:rsidRPr="00436155">
        <w:t>2,6</w:t>
      </w:r>
      <w:r w:rsidRPr="00733216">
        <w:t>% του ΑΕΠ),</w:t>
      </w:r>
      <w:r w:rsidRPr="00A127DD">
        <w:t xml:space="preserve"> ενώ το πρωτογενές αποτέλεσμα του κρατικού προϋπολογισμού κατά ESA εκτιμάται σε </w:t>
      </w:r>
      <w:r w:rsidRPr="00255A59">
        <w:t xml:space="preserve">πλεόνασμα </w:t>
      </w:r>
      <w:r w:rsidRPr="00436155">
        <w:t>ύψους 3.005 εκατ. ευρώ (1,2% του</w:t>
      </w:r>
      <w:r w:rsidRPr="00A127DD">
        <w:t xml:space="preserve"> ΑΕΠ).</w:t>
      </w:r>
    </w:p>
    <w:p w14:paraId="71DD169E" w14:textId="77777777" w:rsidR="001B7E83" w:rsidRDefault="001B7E83" w:rsidP="00300BBF">
      <w:pPr>
        <w:pStyle w:val="5"/>
        <w:rPr>
          <w:lang w:eastAsia="en-US"/>
        </w:rPr>
      </w:pPr>
      <w:bookmarkStart w:id="305" w:name="_Toc214473753"/>
      <w:r>
        <w:rPr>
          <w:lang w:eastAsia="en-US"/>
        </w:rPr>
        <w:t>Έσοδα σε δημοσιονομική βάση</w:t>
      </w:r>
      <w:bookmarkEnd w:id="305"/>
    </w:p>
    <w:p w14:paraId="4565C489" w14:textId="65BC85D1" w:rsidR="008C5BB0" w:rsidRPr="0094416A" w:rsidRDefault="0046567A" w:rsidP="0046567A">
      <w:pPr>
        <w:rPr>
          <w:highlight w:val="yellow"/>
        </w:rPr>
      </w:pPr>
      <w:r w:rsidRPr="00901C38">
        <w:t xml:space="preserve">Τα καθαρά έσοδα του κρατικού προϋπολογισμού σε δημοσιονομική βάση, μετά την αφαίρεση των επιστροφών φόρων, προβλέπεται να διαμορφωθούν στο ποσό των </w:t>
      </w:r>
      <w:r>
        <w:t>79.983</w:t>
      </w:r>
      <w:r w:rsidRPr="00901C38">
        <w:t xml:space="preserve"> εκατ. ευρώ, αυξημένα κατά </w:t>
      </w:r>
      <w:r>
        <w:t>2.949</w:t>
      </w:r>
      <w:r w:rsidRPr="00901C38">
        <w:t xml:space="preserve"> εκατ. ευρώ ή </w:t>
      </w:r>
      <w:r w:rsidRPr="000B0B0F">
        <w:t>3</w:t>
      </w:r>
      <w:r w:rsidRPr="00901C38">
        <w:t>,</w:t>
      </w:r>
      <w:r>
        <w:t>8</w:t>
      </w:r>
      <w:r w:rsidRPr="00901C38">
        <w:t>% έναντι της εκτίμησης του 202</w:t>
      </w:r>
      <w:r>
        <w:t>5</w:t>
      </w:r>
      <w:r w:rsidRPr="00901C38">
        <w:t>. Ειδικότερα:</w:t>
      </w:r>
    </w:p>
    <w:p w14:paraId="5C28C110" w14:textId="4F0F955B" w:rsidR="0039587A" w:rsidRPr="00C31351" w:rsidRDefault="0039587A" w:rsidP="009C4987">
      <w:pPr>
        <w:spacing w:before="240"/>
        <w:rPr>
          <w:rFonts w:cs="Arial"/>
          <w:b/>
        </w:rPr>
      </w:pPr>
      <w:r w:rsidRPr="00C31351">
        <w:rPr>
          <w:rFonts w:cs="Arial"/>
          <w:b/>
        </w:rPr>
        <w:t>Φόροι</w:t>
      </w:r>
    </w:p>
    <w:p w14:paraId="116AF8AC" w14:textId="4DDFF526" w:rsidR="00C31351" w:rsidRPr="0094416A" w:rsidRDefault="0046567A" w:rsidP="00604151">
      <w:pPr>
        <w:rPr>
          <w:highlight w:val="yellow"/>
        </w:rPr>
      </w:pPr>
      <w:r w:rsidRPr="00901C38">
        <w:t xml:space="preserve">Τα έσοδα από φόρους αναμένεται να ανέλθουν στο ύψος των </w:t>
      </w:r>
      <w:r>
        <w:t>73.645</w:t>
      </w:r>
      <w:r w:rsidRPr="00901C38">
        <w:t xml:space="preserve"> εκατ. ευρώ, αυξημένα κατά 2.</w:t>
      </w:r>
      <w:r>
        <w:t>498</w:t>
      </w:r>
      <w:r w:rsidRPr="00901C38">
        <w:t xml:space="preserve"> εκατ. ευρώ ή 3,</w:t>
      </w:r>
      <w:r>
        <w:t>5</w:t>
      </w:r>
      <w:r w:rsidRPr="00901C38">
        <w:t>% έναντι του 202</w:t>
      </w:r>
      <w:r>
        <w:t>5</w:t>
      </w:r>
      <w:r w:rsidRPr="00901C38">
        <w:t>, κυρίως λόγω της προβλεπόμενης μεγέθυνσης της οικονομίας, όπως αντικατοπτρίζεται στις μακροοικονομικές προβλέψεις. Πιο συγκεκριμένα:</w:t>
      </w:r>
    </w:p>
    <w:p w14:paraId="26AE2B83" w14:textId="4FD29302" w:rsidR="0039587A" w:rsidRPr="00C31351" w:rsidRDefault="0039587A" w:rsidP="009B21AC">
      <w:pPr>
        <w:spacing w:before="120" w:line="240" w:lineRule="auto"/>
        <w:ind w:left="284"/>
        <w:rPr>
          <w:rFonts w:eastAsia="Calibri" w:cs="Arial"/>
          <w:b/>
          <w:i/>
          <w:szCs w:val="20"/>
        </w:rPr>
      </w:pPr>
      <w:r w:rsidRPr="00C31351">
        <w:rPr>
          <w:rFonts w:eastAsia="Calibri" w:cs="Arial"/>
          <w:b/>
          <w:i/>
          <w:szCs w:val="20"/>
        </w:rPr>
        <w:t>Φόροι επί αγαθών και υπηρεσιών</w:t>
      </w:r>
    </w:p>
    <w:p w14:paraId="2A07289B" w14:textId="77777777" w:rsidR="00604151" w:rsidRPr="008C5BB0" w:rsidRDefault="00604151" w:rsidP="00604151">
      <w:pPr>
        <w:spacing w:before="120"/>
        <w:ind w:left="284" w:right="-2"/>
        <w:rPr>
          <w:rFonts w:cs="Arial"/>
        </w:rPr>
      </w:pPr>
      <w:r w:rsidRPr="008C5BB0">
        <w:rPr>
          <w:rFonts w:cs="Arial"/>
        </w:rPr>
        <w:t xml:space="preserve">Τα έσοδα από φόρους επί αγαθών και υπηρεσιών προβλέπεται να ανέλθουν στο ποσό των </w:t>
      </w:r>
      <w:r>
        <w:rPr>
          <w:rFonts w:cs="Arial"/>
        </w:rPr>
        <w:t>40.8</w:t>
      </w:r>
      <w:r w:rsidRPr="000B0B0F">
        <w:rPr>
          <w:rFonts w:cs="Arial"/>
        </w:rPr>
        <w:t>72</w:t>
      </w:r>
      <w:r w:rsidRPr="008C5BB0">
        <w:rPr>
          <w:rFonts w:cs="Arial"/>
        </w:rPr>
        <w:t xml:space="preserve"> εκατ. ευρώ, αυξημένα κατά 1.</w:t>
      </w:r>
      <w:r w:rsidRPr="000B0B0F">
        <w:rPr>
          <w:rFonts w:cs="Arial"/>
        </w:rPr>
        <w:t>658</w:t>
      </w:r>
      <w:r w:rsidRPr="008C5BB0">
        <w:rPr>
          <w:rFonts w:cs="Arial"/>
        </w:rPr>
        <w:t xml:space="preserve"> εκατ. ευρώ ή 4,</w:t>
      </w:r>
      <w:r w:rsidRPr="000B0B0F">
        <w:rPr>
          <w:rFonts w:cs="Arial"/>
        </w:rPr>
        <w:t>2</w:t>
      </w:r>
      <w:r w:rsidRPr="008C5BB0">
        <w:rPr>
          <w:rFonts w:cs="Arial"/>
        </w:rPr>
        <w:t>% έναντι του 202</w:t>
      </w:r>
      <w:r>
        <w:rPr>
          <w:rFonts w:cs="Arial"/>
        </w:rPr>
        <w:t>5</w:t>
      </w:r>
      <w:r w:rsidRPr="008C5BB0">
        <w:rPr>
          <w:rFonts w:cs="Arial"/>
        </w:rPr>
        <w:t>. Ειδικότερα:</w:t>
      </w:r>
    </w:p>
    <w:p w14:paraId="6FAD890A" w14:textId="77777777" w:rsidR="00604151" w:rsidRPr="00604151" w:rsidRDefault="00604151" w:rsidP="00604151">
      <w:pPr>
        <w:numPr>
          <w:ilvl w:val="0"/>
          <w:numId w:val="1"/>
        </w:numPr>
        <w:spacing w:before="120" w:after="60"/>
        <w:ind w:left="568" w:hanging="284"/>
        <w:rPr>
          <w:rFonts w:cs="Arial"/>
        </w:rPr>
      </w:pPr>
      <w:r w:rsidRPr="00604151">
        <w:rPr>
          <w:rFonts w:cs="Arial"/>
        </w:rPr>
        <w:t>τα έσοδα από τον ΦΠΑ αναμένεται να ανέλθουν στο ποσό των 29.229 εκατ. ευρώ, αυξημένα κατά 1.603 εκατ. ευρώ έναντι του 2025 και</w:t>
      </w:r>
    </w:p>
    <w:p w14:paraId="4F83E868" w14:textId="07144C0A" w:rsidR="008C5BB0" w:rsidRPr="00604151" w:rsidRDefault="00604151" w:rsidP="00604151">
      <w:pPr>
        <w:numPr>
          <w:ilvl w:val="0"/>
          <w:numId w:val="1"/>
        </w:numPr>
        <w:spacing w:before="60"/>
        <w:ind w:left="568" w:hanging="284"/>
        <w:rPr>
          <w:rFonts w:cs="Arial"/>
        </w:rPr>
      </w:pPr>
      <w:r w:rsidRPr="00604151">
        <w:rPr>
          <w:rFonts w:cs="Arial"/>
        </w:rPr>
        <w:t xml:space="preserve">τα έσοδα από τους ΕΦΚ προβλέπονται στο ποσό των 7.460 εκατ. ευρώ, αυξημένα κατά 53 εκατ. ευρώ έναντι </w:t>
      </w:r>
      <w:r w:rsidR="00D87121">
        <w:rPr>
          <w:rFonts w:cs="Arial"/>
        </w:rPr>
        <w:t xml:space="preserve">της εκτίμησης του </w:t>
      </w:r>
      <w:r w:rsidRPr="00604151">
        <w:rPr>
          <w:rFonts w:cs="Arial"/>
        </w:rPr>
        <w:t>2025.</w:t>
      </w:r>
    </w:p>
    <w:p w14:paraId="7637A4A6" w14:textId="77777777" w:rsidR="0039587A" w:rsidRPr="00C31351" w:rsidRDefault="0039587A" w:rsidP="00F639AC">
      <w:pPr>
        <w:spacing w:before="120" w:line="240" w:lineRule="auto"/>
        <w:ind w:left="284"/>
        <w:rPr>
          <w:rFonts w:eastAsia="Calibri" w:cs="Arial"/>
          <w:b/>
          <w:i/>
          <w:szCs w:val="20"/>
        </w:rPr>
      </w:pPr>
      <w:r w:rsidRPr="00C31351">
        <w:rPr>
          <w:rFonts w:eastAsia="Calibri" w:cs="Arial"/>
          <w:b/>
          <w:i/>
          <w:szCs w:val="20"/>
        </w:rPr>
        <w:t>Φόροι και δασμοί επί εισαγωγών</w:t>
      </w:r>
    </w:p>
    <w:p w14:paraId="3936C1BD" w14:textId="5F04F5BB" w:rsidR="00C31351" w:rsidRPr="00032315" w:rsidRDefault="00032315" w:rsidP="00795A6C">
      <w:pPr>
        <w:spacing w:before="120"/>
        <w:ind w:left="284" w:right="-2"/>
        <w:rPr>
          <w:rFonts w:cs="Arial"/>
        </w:rPr>
      </w:pPr>
      <w:r w:rsidRPr="008C5BB0">
        <w:rPr>
          <w:rFonts w:cs="Arial"/>
        </w:rPr>
        <w:t xml:space="preserve">Από </w:t>
      </w:r>
      <w:r>
        <w:rPr>
          <w:rFonts w:cs="Arial"/>
        </w:rPr>
        <w:t xml:space="preserve">τους </w:t>
      </w:r>
      <w:r w:rsidRPr="008C5BB0">
        <w:rPr>
          <w:rFonts w:cs="Arial"/>
        </w:rPr>
        <w:t xml:space="preserve">φόρους και </w:t>
      </w:r>
      <w:r>
        <w:rPr>
          <w:rFonts w:cs="Arial"/>
        </w:rPr>
        <w:t xml:space="preserve">τους </w:t>
      </w:r>
      <w:r w:rsidRPr="008C5BB0">
        <w:rPr>
          <w:rFonts w:cs="Arial"/>
        </w:rPr>
        <w:t xml:space="preserve">δασμούς επί εισαγωγών προβλέπονται έσοδα ύψους </w:t>
      </w:r>
      <w:r>
        <w:rPr>
          <w:rFonts w:cs="Arial"/>
        </w:rPr>
        <w:t>4</w:t>
      </w:r>
      <w:r w:rsidRPr="000B0B0F">
        <w:rPr>
          <w:rFonts w:cs="Arial"/>
        </w:rPr>
        <w:t>32</w:t>
      </w:r>
      <w:r w:rsidRPr="008C5BB0">
        <w:rPr>
          <w:rFonts w:cs="Arial"/>
        </w:rPr>
        <w:t xml:space="preserve"> εκατ. ευρώ, αυξημένα κατά </w:t>
      </w:r>
      <w:r>
        <w:rPr>
          <w:rFonts w:cs="Arial"/>
        </w:rPr>
        <w:t>27</w:t>
      </w:r>
      <w:r w:rsidRPr="008C5BB0">
        <w:rPr>
          <w:rFonts w:cs="Arial"/>
        </w:rPr>
        <w:t xml:space="preserve"> εκατ. ευρώ έναντι του 202</w:t>
      </w:r>
      <w:r>
        <w:rPr>
          <w:rFonts w:cs="Arial"/>
        </w:rPr>
        <w:t>5</w:t>
      </w:r>
      <w:r w:rsidRPr="008C5BB0">
        <w:rPr>
          <w:rFonts w:cs="Arial"/>
        </w:rPr>
        <w:t>.</w:t>
      </w:r>
    </w:p>
    <w:p w14:paraId="5500FDC6" w14:textId="77777777" w:rsidR="0039587A" w:rsidRPr="0094416A" w:rsidRDefault="0039587A" w:rsidP="009B21AC">
      <w:pPr>
        <w:spacing w:before="120" w:line="240" w:lineRule="auto"/>
        <w:ind w:left="284"/>
        <w:rPr>
          <w:rFonts w:eastAsia="Calibri" w:cs="Arial"/>
          <w:b/>
          <w:i/>
          <w:szCs w:val="20"/>
        </w:rPr>
      </w:pPr>
      <w:r w:rsidRPr="0094416A">
        <w:rPr>
          <w:rFonts w:eastAsia="Calibri" w:cs="Arial"/>
          <w:b/>
          <w:i/>
          <w:szCs w:val="20"/>
        </w:rPr>
        <w:t>Τακτικοί φόροι ακίνητης περιουσίας</w:t>
      </w:r>
    </w:p>
    <w:p w14:paraId="6DC3FD69" w14:textId="7070BE89" w:rsidR="00C31351" w:rsidRPr="0094416A" w:rsidRDefault="00032315" w:rsidP="00795A6C">
      <w:pPr>
        <w:spacing w:before="120"/>
        <w:ind w:left="284" w:right="-2"/>
        <w:rPr>
          <w:rFonts w:cs="Arial"/>
          <w:highlight w:val="yellow"/>
        </w:rPr>
      </w:pPr>
      <w:r w:rsidRPr="008C5BB0">
        <w:rPr>
          <w:rFonts w:cs="Arial"/>
        </w:rPr>
        <w:t>Τα έσοδα από τους τακτικούς φόρους ακίνητης περιουσίας αναμένεται να ανέλθουν στο ποσό των 2.3</w:t>
      </w:r>
      <w:r>
        <w:rPr>
          <w:rFonts w:cs="Arial"/>
        </w:rPr>
        <w:t>28</w:t>
      </w:r>
      <w:r w:rsidRPr="008C5BB0">
        <w:rPr>
          <w:rFonts w:cs="Arial"/>
        </w:rPr>
        <w:t xml:space="preserve"> εκατ. ευρώ, μειωμένα κατά </w:t>
      </w:r>
      <w:r>
        <w:rPr>
          <w:rFonts w:cs="Arial"/>
        </w:rPr>
        <w:t>83</w:t>
      </w:r>
      <w:r w:rsidRPr="008C5BB0">
        <w:rPr>
          <w:rFonts w:cs="Arial"/>
        </w:rPr>
        <w:t xml:space="preserve"> εκατ. ευρώ έναντι του 202</w:t>
      </w:r>
      <w:r>
        <w:rPr>
          <w:rFonts w:cs="Arial"/>
        </w:rPr>
        <w:t>5. Μέρος της μεταβολής προκύπτει</w:t>
      </w:r>
      <w:r w:rsidRPr="008C5BB0">
        <w:rPr>
          <w:rFonts w:cs="Arial"/>
        </w:rPr>
        <w:t xml:space="preserve"> </w:t>
      </w:r>
      <w:r>
        <w:rPr>
          <w:rFonts w:cs="Arial"/>
        </w:rPr>
        <w:t xml:space="preserve">από </w:t>
      </w:r>
      <w:r w:rsidRPr="008C5BB0">
        <w:rPr>
          <w:rFonts w:cs="Arial"/>
        </w:rPr>
        <w:t xml:space="preserve">τη μείωση του ΕΝΦΙΑ κατά </w:t>
      </w:r>
      <w:r>
        <w:rPr>
          <w:rFonts w:cs="Arial"/>
        </w:rPr>
        <w:t>5</w:t>
      </w:r>
      <w:r w:rsidRPr="008C5BB0">
        <w:rPr>
          <w:rFonts w:cs="Arial"/>
        </w:rPr>
        <w:t>0%</w:t>
      </w:r>
      <w:r>
        <w:rPr>
          <w:rFonts w:cs="Arial"/>
        </w:rPr>
        <w:t xml:space="preserve"> </w:t>
      </w:r>
      <w:r w:rsidRPr="00ED2223">
        <w:rPr>
          <w:rFonts w:cs="Arial"/>
        </w:rPr>
        <w:t>για κύριες κατοικίες σε οικισμούς με πληθυσμό έως 1.500 κατοίκους</w:t>
      </w:r>
      <w:r>
        <w:rPr>
          <w:rFonts w:cs="Arial"/>
        </w:rPr>
        <w:t xml:space="preserve"> (και </w:t>
      </w:r>
      <w:r w:rsidR="004A0E23">
        <w:rPr>
          <w:rFonts w:cs="Arial"/>
        </w:rPr>
        <w:t xml:space="preserve">την </w:t>
      </w:r>
      <w:r>
        <w:rPr>
          <w:rFonts w:cs="Arial"/>
        </w:rPr>
        <w:t>κατάργησή του το έτος 2027).</w:t>
      </w:r>
    </w:p>
    <w:p w14:paraId="066E5BC8" w14:textId="1480671D" w:rsidR="0039587A" w:rsidRPr="00C31351" w:rsidRDefault="0039587A" w:rsidP="006907B1">
      <w:pPr>
        <w:keepNext/>
        <w:spacing w:before="120" w:line="240" w:lineRule="auto"/>
        <w:ind w:left="284"/>
        <w:rPr>
          <w:rFonts w:eastAsia="Calibri" w:cs="Arial"/>
          <w:b/>
          <w:i/>
          <w:szCs w:val="20"/>
        </w:rPr>
      </w:pPr>
      <w:r w:rsidRPr="00C31351">
        <w:rPr>
          <w:rFonts w:eastAsia="Calibri" w:cs="Arial"/>
          <w:b/>
          <w:i/>
          <w:szCs w:val="20"/>
        </w:rPr>
        <w:lastRenderedPageBreak/>
        <w:t>Λοιποί φόροι επί παραγωγής</w:t>
      </w:r>
    </w:p>
    <w:p w14:paraId="597C7757" w14:textId="304A783E" w:rsidR="00C31351" w:rsidRPr="0094416A" w:rsidRDefault="00032315" w:rsidP="00795A6C">
      <w:pPr>
        <w:spacing w:before="120"/>
        <w:ind w:left="284" w:right="-2"/>
        <w:rPr>
          <w:rFonts w:cs="Arial"/>
          <w:highlight w:val="yellow"/>
        </w:rPr>
      </w:pPr>
      <w:r w:rsidRPr="00D04D8C">
        <w:rPr>
          <w:rFonts w:cs="Arial"/>
        </w:rPr>
        <w:t xml:space="preserve">Από τους λοιπούς φόρους επί παραγωγής προβλέπονται έσοδα ύψους </w:t>
      </w:r>
      <w:r>
        <w:rPr>
          <w:rFonts w:cs="Arial"/>
        </w:rPr>
        <w:t>6</w:t>
      </w:r>
      <w:r w:rsidRPr="000B0B0F">
        <w:rPr>
          <w:rFonts w:cs="Arial"/>
        </w:rPr>
        <w:t>61</w:t>
      </w:r>
      <w:r w:rsidRPr="00D04D8C">
        <w:rPr>
          <w:rFonts w:cs="Arial"/>
        </w:rPr>
        <w:t xml:space="preserve"> εκατ. ευρώ, </w:t>
      </w:r>
      <w:r>
        <w:rPr>
          <w:rFonts w:cs="Arial"/>
        </w:rPr>
        <w:t>αυξη</w:t>
      </w:r>
      <w:r w:rsidRPr="00D04D8C">
        <w:rPr>
          <w:rFonts w:cs="Arial"/>
        </w:rPr>
        <w:t xml:space="preserve">μένα κατά </w:t>
      </w:r>
      <w:r>
        <w:rPr>
          <w:rFonts w:cs="Arial"/>
        </w:rPr>
        <w:t>1</w:t>
      </w:r>
      <w:r w:rsidRPr="000B0B0F">
        <w:rPr>
          <w:rFonts w:cs="Arial"/>
        </w:rPr>
        <w:t>55</w:t>
      </w:r>
      <w:r w:rsidRPr="00D04D8C">
        <w:rPr>
          <w:rFonts w:cs="Arial"/>
        </w:rPr>
        <w:t xml:space="preserve"> εκατ. ευρώ έναντι της εκτίμησης του 202</w:t>
      </w:r>
      <w:r>
        <w:rPr>
          <w:rFonts w:cs="Arial"/>
        </w:rPr>
        <w:t>5</w:t>
      </w:r>
      <w:r w:rsidRPr="00D04D8C">
        <w:rPr>
          <w:rFonts w:cs="Arial"/>
        </w:rPr>
        <w:t xml:space="preserve">, κυρίως λόγω της </w:t>
      </w:r>
      <w:r>
        <w:rPr>
          <w:rFonts w:cs="Arial"/>
        </w:rPr>
        <w:t>πρόβλεψης για είσπραξη ποσού ύψους 200 εκατ. ευρώ από τη συμμετοχή του Ελληνικού Δημοσίου στα κέρδη της ΤτΕ.</w:t>
      </w:r>
    </w:p>
    <w:p w14:paraId="3CBA98D2" w14:textId="77777777" w:rsidR="0039587A" w:rsidRPr="00C31351" w:rsidRDefault="0039587A" w:rsidP="00D645FC">
      <w:pPr>
        <w:spacing w:before="120" w:line="240" w:lineRule="auto"/>
        <w:ind w:left="284"/>
        <w:rPr>
          <w:rFonts w:eastAsia="Calibri" w:cs="Arial"/>
          <w:b/>
          <w:i/>
          <w:szCs w:val="20"/>
        </w:rPr>
      </w:pPr>
      <w:r w:rsidRPr="00C31351">
        <w:rPr>
          <w:rFonts w:eastAsia="Calibri" w:cs="Arial"/>
          <w:b/>
          <w:i/>
          <w:szCs w:val="20"/>
        </w:rPr>
        <w:t>Φόρος εισοδήματος</w:t>
      </w:r>
    </w:p>
    <w:p w14:paraId="1CAC2112" w14:textId="77777777" w:rsidR="00032315" w:rsidRPr="00D04D8C" w:rsidRDefault="00032315" w:rsidP="00032315">
      <w:pPr>
        <w:spacing w:before="120"/>
        <w:ind w:left="284" w:right="-2"/>
        <w:rPr>
          <w:rFonts w:cs="Arial"/>
        </w:rPr>
      </w:pPr>
      <w:r w:rsidRPr="00D04D8C">
        <w:rPr>
          <w:rFonts w:cs="Arial"/>
        </w:rPr>
        <w:t xml:space="preserve">Τα έσοδα από τον φόρο εισοδήματος αναμένεται να ανέλθουν στο ποσό των </w:t>
      </w:r>
      <w:r>
        <w:rPr>
          <w:rFonts w:cs="Arial"/>
        </w:rPr>
        <w:t>26.757</w:t>
      </w:r>
      <w:r w:rsidRPr="00D04D8C">
        <w:rPr>
          <w:rFonts w:cs="Arial"/>
        </w:rPr>
        <w:t xml:space="preserve"> εκατ. ευρώ, αυξημένα κατά </w:t>
      </w:r>
      <w:r>
        <w:rPr>
          <w:rFonts w:cs="Arial"/>
        </w:rPr>
        <w:t>690</w:t>
      </w:r>
      <w:r w:rsidRPr="00D04D8C">
        <w:rPr>
          <w:rFonts w:cs="Arial"/>
        </w:rPr>
        <w:t xml:space="preserve"> εκατ. ευρώ ή </w:t>
      </w:r>
      <w:r>
        <w:rPr>
          <w:rFonts w:cs="Arial"/>
        </w:rPr>
        <w:t>2</w:t>
      </w:r>
      <w:r w:rsidRPr="00D04D8C">
        <w:rPr>
          <w:rFonts w:cs="Arial"/>
        </w:rPr>
        <w:t>,</w:t>
      </w:r>
      <w:r>
        <w:rPr>
          <w:rFonts w:cs="Arial"/>
        </w:rPr>
        <w:t>6</w:t>
      </w:r>
      <w:r w:rsidRPr="00D04D8C">
        <w:rPr>
          <w:rFonts w:cs="Arial"/>
        </w:rPr>
        <w:t>% έναντι του 202</w:t>
      </w:r>
      <w:r>
        <w:rPr>
          <w:rFonts w:cs="Arial"/>
        </w:rPr>
        <w:t>5</w:t>
      </w:r>
      <w:r w:rsidRPr="00D04D8C">
        <w:rPr>
          <w:rFonts w:cs="Arial"/>
        </w:rPr>
        <w:t>. Ειδικότερα:</w:t>
      </w:r>
    </w:p>
    <w:p w14:paraId="127D705B" w14:textId="743E8A3E" w:rsidR="00032315" w:rsidRPr="00032315" w:rsidRDefault="00032315" w:rsidP="00032315">
      <w:pPr>
        <w:numPr>
          <w:ilvl w:val="0"/>
          <w:numId w:val="1"/>
        </w:numPr>
        <w:spacing w:before="120" w:after="60"/>
        <w:ind w:left="568" w:hanging="284"/>
        <w:rPr>
          <w:rFonts w:cs="Arial"/>
        </w:rPr>
      </w:pPr>
      <w:r w:rsidRPr="00032315">
        <w:rPr>
          <w:rFonts w:cs="Arial"/>
        </w:rPr>
        <w:t xml:space="preserve">ο φόρος εισοδήματος φυσικών προσώπων προβλέπεται να διαμορφωθεί στο ποσό των 15.815 εκατ. ευρώ, μειωμένος κατά 75 εκατ. ευρώ έναντι </w:t>
      </w:r>
      <w:r w:rsidR="00D87121">
        <w:rPr>
          <w:rFonts w:cs="Arial"/>
        </w:rPr>
        <w:t xml:space="preserve">της εκτίμησης </w:t>
      </w:r>
      <w:r w:rsidRPr="00032315">
        <w:rPr>
          <w:rFonts w:cs="Arial"/>
        </w:rPr>
        <w:t>του 2025, ως απόρροια των νέων παρεμβάσεων και κυρίως της αναμόρφωσης της κλίμακας φορολογίας εισοδήματος, με εκτιμώμενη απώλεια εσόδων ύψους 1.218 εκατ. ευρώ και παρά την προβλεπόμενη αύξηση των αμοιβών εξαρτημένης εργασίας, των συντάξεων και της αναμενόμενης νέας αύξησης του κατώτατου μισθού και</w:t>
      </w:r>
    </w:p>
    <w:p w14:paraId="43B6938F" w14:textId="7FBCF99A" w:rsidR="00C31351" w:rsidRPr="00032315" w:rsidRDefault="00032315" w:rsidP="00032315">
      <w:pPr>
        <w:numPr>
          <w:ilvl w:val="0"/>
          <w:numId w:val="1"/>
        </w:numPr>
        <w:spacing w:before="60"/>
        <w:ind w:left="568" w:hanging="284"/>
        <w:rPr>
          <w:rFonts w:cs="Arial"/>
        </w:rPr>
      </w:pPr>
      <w:r w:rsidRPr="00032315">
        <w:rPr>
          <w:rFonts w:cs="Arial"/>
        </w:rPr>
        <w:t>ο φόρος εισοδήματος νομικών προσώπων προβλέπεται να ανέλθει στο ποσό των 8.576 εκατ. ευρώ, αυξημένος κατά 788 εκατ. ευρώ έναντι του 2025, λόγω των εκτιμώμενων αυξημένων αποτελεσμάτων των επιχειρήσεων κατά το τρέχον φορολογικό έτος, τα οποία θα δηλωθούν το έτος 2026.</w:t>
      </w:r>
    </w:p>
    <w:p w14:paraId="78903F2F" w14:textId="77777777" w:rsidR="0039587A" w:rsidRPr="00C31351" w:rsidRDefault="0039587A" w:rsidP="00D645FC">
      <w:pPr>
        <w:spacing w:before="120" w:line="240" w:lineRule="auto"/>
        <w:ind w:left="284"/>
        <w:rPr>
          <w:rFonts w:eastAsia="Calibri" w:cs="Arial"/>
          <w:b/>
          <w:i/>
          <w:szCs w:val="20"/>
        </w:rPr>
      </w:pPr>
      <w:r w:rsidRPr="00C31351">
        <w:rPr>
          <w:rFonts w:eastAsia="Calibri" w:cs="Arial"/>
          <w:b/>
          <w:i/>
          <w:szCs w:val="20"/>
        </w:rPr>
        <w:t>Φόροι κεφαλαίου</w:t>
      </w:r>
    </w:p>
    <w:p w14:paraId="21DB142D" w14:textId="04FA8052" w:rsidR="00D04D8C" w:rsidRPr="00032315" w:rsidRDefault="00032315" w:rsidP="00A45CA5">
      <w:pPr>
        <w:spacing w:before="120"/>
        <w:ind w:left="284" w:right="-2"/>
        <w:rPr>
          <w:rFonts w:cs="Arial"/>
        </w:rPr>
      </w:pPr>
      <w:r w:rsidRPr="00D04D8C">
        <w:rPr>
          <w:rFonts w:cs="Arial"/>
        </w:rPr>
        <w:t xml:space="preserve">Οι φόροι κεφαλαίου προβλέπεται να ανέλθουν σε </w:t>
      </w:r>
      <w:r>
        <w:rPr>
          <w:rFonts w:cs="Arial"/>
        </w:rPr>
        <w:t>250</w:t>
      </w:r>
      <w:r w:rsidRPr="00D04D8C">
        <w:rPr>
          <w:rFonts w:cs="Arial"/>
        </w:rPr>
        <w:t xml:space="preserve"> εκατ. ευρώ, </w:t>
      </w:r>
      <w:r>
        <w:rPr>
          <w:rFonts w:cs="Arial"/>
        </w:rPr>
        <w:t>χωρίς να παρουσιάζουν μεταβολή έναντι το</w:t>
      </w:r>
      <w:r w:rsidRPr="00D04D8C">
        <w:rPr>
          <w:rFonts w:cs="Arial"/>
        </w:rPr>
        <w:t>υ 202</w:t>
      </w:r>
      <w:r>
        <w:rPr>
          <w:rFonts w:cs="Arial"/>
        </w:rPr>
        <w:t>5</w:t>
      </w:r>
      <w:r w:rsidRPr="00032315">
        <w:rPr>
          <w:rFonts w:cs="Arial"/>
        </w:rPr>
        <w:t>.</w:t>
      </w:r>
    </w:p>
    <w:p w14:paraId="0FFD3733" w14:textId="77777777" w:rsidR="0039587A" w:rsidRPr="00C31351" w:rsidRDefault="0039587A" w:rsidP="00D645FC">
      <w:pPr>
        <w:spacing w:before="120" w:line="240" w:lineRule="auto"/>
        <w:ind w:left="284"/>
        <w:rPr>
          <w:rFonts w:eastAsia="Calibri" w:cs="Arial"/>
          <w:b/>
          <w:i/>
          <w:szCs w:val="20"/>
        </w:rPr>
      </w:pPr>
      <w:r w:rsidRPr="00C31351">
        <w:rPr>
          <w:rFonts w:eastAsia="Calibri" w:cs="Arial"/>
          <w:b/>
          <w:i/>
          <w:szCs w:val="20"/>
        </w:rPr>
        <w:t>Λοιποί τρέχοντες φόροι</w:t>
      </w:r>
    </w:p>
    <w:p w14:paraId="5B75C8A6" w14:textId="6E1D2324" w:rsidR="00C31351" w:rsidRPr="0094416A" w:rsidRDefault="00032315" w:rsidP="00795A6C">
      <w:pPr>
        <w:spacing w:before="120"/>
        <w:ind w:left="284"/>
        <w:rPr>
          <w:rFonts w:cs="Arial"/>
          <w:highlight w:val="yellow"/>
        </w:rPr>
      </w:pPr>
      <w:r w:rsidRPr="00901C38">
        <w:t xml:space="preserve">Τα έσοδα από τους λοιπούς τρέχοντες φόρους </w:t>
      </w:r>
      <w:r>
        <w:t>αναμένεται</w:t>
      </w:r>
      <w:r w:rsidRPr="00901C38">
        <w:t xml:space="preserve"> να ανέλθουν στο ποσό των 2.</w:t>
      </w:r>
      <w:r>
        <w:t>345</w:t>
      </w:r>
      <w:r w:rsidRPr="00901C38">
        <w:t xml:space="preserve"> εκατ. ευρώ, αυξημένα κατά </w:t>
      </w:r>
      <w:r>
        <w:t>52</w:t>
      </w:r>
      <w:r w:rsidRPr="00901C38">
        <w:t xml:space="preserve"> εκατ. ευρώ έναντι του 202</w:t>
      </w:r>
      <w:r>
        <w:t>5</w:t>
      </w:r>
      <w:r w:rsidRPr="00901C38">
        <w:t>.</w:t>
      </w:r>
    </w:p>
    <w:p w14:paraId="02199A71" w14:textId="509F7613" w:rsidR="0039587A" w:rsidRPr="00C31351" w:rsidRDefault="0039587A" w:rsidP="009C4987">
      <w:pPr>
        <w:spacing w:before="240"/>
        <w:rPr>
          <w:rFonts w:cs="Arial"/>
          <w:b/>
        </w:rPr>
      </w:pPr>
      <w:r w:rsidRPr="00C31351">
        <w:rPr>
          <w:rFonts w:cs="Arial"/>
          <w:b/>
        </w:rPr>
        <w:t>Κοινωνικές εισφορές</w:t>
      </w:r>
    </w:p>
    <w:p w14:paraId="108194B7" w14:textId="5296C398" w:rsidR="00C31351" w:rsidRPr="000E13F3" w:rsidRDefault="000E13F3" w:rsidP="00795A6C">
      <w:pPr>
        <w:spacing w:before="120"/>
        <w:rPr>
          <w:highlight w:val="yellow"/>
        </w:rPr>
      </w:pPr>
      <w:r w:rsidRPr="00901C38">
        <w:t xml:space="preserve">Τα έσοδα από κοινωνικές εισφορές προβλέπεται να διαμορφωθούν στο ποσό των </w:t>
      </w:r>
      <w:r>
        <w:t>61</w:t>
      </w:r>
      <w:r w:rsidRPr="00901C38">
        <w:t xml:space="preserve"> εκατ. ευρώ, χωρίς να παρουσιάζουν μεταβολή έναντι του 202</w:t>
      </w:r>
      <w:r>
        <w:t>5</w:t>
      </w:r>
      <w:r w:rsidRPr="00901C38">
        <w:t>.</w:t>
      </w:r>
    </w:p>
    <w:p w14:paraId="4B5E5A60" w14:textId="77777777" w:rsidR="0039587A" w:rsidRPr="00C31351" w:rsidRDefault="0039587A" w:rsidP="0039587A">
      <w:pPr>
        <w:spacing w:before="240"/>
        <w:rPr>
          <w:rFonts w:cs="Arial"/>
          <w:b/>
        </w:rPr>
      </w:pPr>
      <w:r w:rsidRPr="00C31351">
        <w:rPr>
          <w:rFonts w:cs="Arial"/>
          <w:b/>
        </w:rPr>
        <w:t>Μεταβιβάσεις</w:t>
      </w:r>
    </w:p>
    <w:p w14:paraId="0EDD7F15" w14:textId="637364E1" w:rsidR="00C31351" w:rsidRPr="00D04D8C" w:rsidRDefault="000E13F3" w:rsidP="00795A6C">
      <w:pPr>
        <w:spacing w:before="120"/>
      </w:pPr>
      <w:r w:rsidRPr="00901C38">
        <w:t xml:space="preserve">Τα έσοδα από μεταβιβάσεις αναμένεται να ανέλθουν στο ποσό των </w:t>
      </w:r>
      <w:r>
        <w:t>10.930</w:t>
      </w:r>
      <w:r w:rsidRPr="00901C38">
        <w:t xml:space="preserve"> εκατ. ευρώ, αυξημένα κατά </w:t>
      </w:r>
      <w:r>
        <w:t>1.623</w:t>
      </w:r>
      <w:r w:rsidRPr="00901C38">
        <w:t xml:space="preserve"> εκατ. ευρώ έναντι του 202</w:t>
      </w:r>
      <w:r>
        <w:t>5</w:t>
      </w:r>
      <w:r w:rsidRPr="00901C38">
        <w:t>, κυρίως λόγω της αύξησης</w:t>
      </w:r>
      <w:r w:rsidRPr="00622762">
        <w:t xml:space="preserve"> </w:t>
      </w:r>
      <w:r w:rsidRPr="00901C38">
        <w:t xml:space="preserve">των εσόδων </w:t>
      </w:r>
      <w:r>
        <w:t xml:space="preserve">από το ΤΑΑ κατά 1.657 εκατ. ευρώ, </w:t>
      </w:r>
      <w:r w:rsidRPr="00901C38">
        <w:t>μετά την προσαρμογή κατά ESA.</w:t>
      </w:r>
    </w:p>
    <w:p w14:paraId="7D8B00DF" w14:textId="61C99EC9" w:rsidR="0039587A" w:rsidRPr="00C31351" w:rsidRDefault="0039587A" w:rsidP="0039587A">
      <w:pPr>
        <w:spacing w:before="240"/>
        <w:rPr>
          <w:rFonts w:cs="Arial"/>
          <w:b/>
        </w:rPr>
      </w:pPr>
      <w:r w:rsidRPr="00C31351">
        <w:rPr>
          <w:rFonts w:cs="Arial"/>
          <w:b/>
        </w:rPr>
        <w:t>Πωλήσεις αγαθών και υπηρεσιών</w:t>
      </w:r>
    </w:p>
    <w:p w14:paraId="0F94AE0C" w14:textId="2FAADF2E" w:rsidR="00D04D8C" w:rsidRPr="000E13F3" w:rsidRDefault="000E13F3" w:rsidP="000E13F3">
      <w:pPr>
        <w:spacing w:before="120"/>
        <w:rPr>
          <w:rFonts w:cs="Arial"/>
        </w:rPr>
      </w:pPr>
      <w:r w:rsidRPr="00901C38">
        <w:rPr>
          <w:rFonts w:cs="Arial"/>
        </w:rPr>
        <w:t xml:space="preserve">Από τις πωλήσεις αγαθών και υπηρεσιών προβλέπονται έσοδα ύψους </w:t>
      </w:r>
      <w:r>
        <w:rPr>
          <w:rFonts w:cs="Arial"/>
        </w:rPr>
        <w:t>1.061</w:t>
      </w:r>
      <w:r w:rsidRPr="00901C38">
        <w:rPr>
          <w:rFonts w:cs="Arial"/>
        </w:rPr>
        <w:t xml:space="preserve"> εκατ. ευρώ, </w:t>
      </w:r>
      <w:r>
        <w:rPr>
          <w:rFonts w:cs="Arial"/>
        </w:rPr>
        <w:t>μειω</w:t>
      </w:r>
      <w:r w:rsidRPr="00901C38">
        <w:rPr>
          <w:rFonts w:cs="Arial"/>
        </w:rPr>
        <w:t xml:space="preserve">μένα κατά </w:t>
      </w:r>
      <w:r>
        <w:rPr>
          <w:rFonts w:cs="Arial"/>
        </w:rPr>
        <w:t>151</w:t>
      </w:r>
      <w:r w:rsidRPr="00901C38">
        <w:rPr>
          <w:rFonts w:cs="Arial"/>
        </w:rPr>
        <w:t xml:space="preserve"> εκατ. ευρώ έναντι του 202</w:t>
      </w:r>
      <w:r>
        <w:rPr>
          <w:rFonts w:cs="Arial"/>
        </w:rPr>
        <w:t>5.</w:t>
      </w:r>
    </w:p>
    <w:p w14:paraId="0116C0F6" w14:textId="77777777" w:rsidR="0039587A" w:rsidRPr="0030560A" w:rsidRDefault="0039587A" w:rsidP="0039587A">
      <w:pPr>
        <w:spacing w:before="240"/>
        <w:rPr>
          <w:rFonts w:cs="Arial"/>
          <w:b/>
        </w:rPr>
      </w:pPr>
      <w:r w:rsidRPr="0030560A">
        <w:rPr>
          <w:rFonts w:cs="Arial"/>
          <w:b/>
        </w:rPr>
        <w:t>Λοιπά τρέχοντα έσοδα</w:t>
      </w:r>
    </w:p>
    <w:p w14:paraId="37CB7C20" w14:textId="7DC64110" w:rsidR="00C31351" w:rsidRPr="008C295F" w:rsidRDefault="000E13F3" w:rsidP="00D645FC">
      <w:pPr>
        <w:spacing w:before="120"/>
      </w:pPr>
      <w:r w:rsidRPr="008C295F">
        <w:t xml:space="preserve">Τα λοιπά τρέχοντα έσοδα προβλέπεται να διαμορφωθούν στο ποσό των </w:t>
      </w:r>
      <w:r>
        <w:t>2.274</w:t>
      </w:r>
      <w:r w:rsidRPr="008C295F">
        <w:t xml:space="preserve"> εκατ. ευρώ, μειωμένα κατά </w:t>
      </w:r>
      <w:r>
        <w:t>688</w:t>
      </w:r>
      <w:r w:rsidRPr="008C295F">
        <w:t xml:space="preserve"> εκατ. ευρώ έναντι του 202</w:t>
      </w:r>
      <w:r>
        <w:t>5</w:t>
      </w:r>
      <w:r w:rsidRPr="008C295F">
        <w:t xml:space="preserve">, κυρίως </w:t>
      </w:r>
      <w:r w:rsidR="004A0E23">
        <w:t>λόγω</w:t>
      </w:r>
      <w:r w:rsidRPr="008C295F">
        <w:t xml:space="preserve"> της μείωσης των εσόδων από </w:t>
      </w:r>
      <w:r>
        <w:t xml:space="preserve">τα </w:t>
      </w:r>
      <w:r w:rsidRPr="008C295F">
        <w:t>μερίσματα</w:t>
      </w:r>
      <w:r>
        <w:t xml:space="preserve"> των</w:t>
      </w:r>
      <w:r w:rsidRPr="008C295F">
        <w:t xml:space="preserve"> φορέων του Δημοσίου κατά </w:t>
      </w:r>
      <w:r w:rsidR="0012165C">
        <w:t>7</w:t>
      </w:r>
      <w:r>
        <w:t xml:space="preserve">6 </w:t>
      </w:r>
      <w:r w:rsidRPr="008C295F">
        <w:t xml:space="preserve">εκατ. ευρώ, της </w:t>
      </w:r>
      <w:r>
        <w:t>αρνητικής επίδρασης</w:t>
      </w:r>
      <w:r w:rsidRPr="008C295F">
        <w:t xml:space="preserve"> των προκαταβολών από τα ευρωπαϊκά προγράμματα κατά </w:t>
      </w:r>
      <w:r>
        <w:t>305</w:t>
      </w:r>
      <w:r w:rsidRPr="008C295F">
        <w:t xml:space="preserve"> εκατ. ευρώ</w:t>
      </w:r>
      <w:r>
        <w:t xml:space="preserve">, των μειωμένων επιστροφών από ΝΠΔΔ για εκτέλεση έργων επενδύσεων κατά 82 εκατ. ευρώ καθώς </w:t>
      </w:r>
      <w:r w:rsidRPr="008C295F">
        <w:t>και λόγω των μειωμένων τόκων καταθέσεων</w:t>
      </w:r>
      <w:r>
        <w:t xml:space="preserve"> που εισπράττει το Ελληνικό Δημόσιο</w:t>
      </w:r>
      <w:r w:rsidRPr="008C295F">
        <w:t xml:space="preserve"> κατά </w:t>
      </w:r>
      <w:r>
        <w:t>194</w:t>
      </w:r>
      <w:r w:rsidRPr="008C295F">
        <w:t xml:space="preserve"> εκατ. ευρώ.</w:t>
      </w:r>
    </w:p>
    <w:p w14:paraId="3C4855DE" w14:textId="77777777" w:rsidR="0039587A" w:rsidRPr="009C4987" w:rsidRDefault="0039587A" w:rsidP="009C4987">
      <w:pPr>
        <w:spacing w:before="240"/>
        <w:rPr>
          <w:rFonts w:cs="Arial"/>
          <w:b/>
        </w:rPr>
      </w:pPr>
      <w:r w:rsidRPr="009C4987">
        <w:rPr>
          <w:rFonts w:cs="Arial"/>
          <w:b/>
        </w:rPr>
        <w:lastRenderedPageBreak/>
        <w:t>Πωλήσεις παγίων περιουσιακών στοιχείων</w:t>
      </w:r>
    </w:p>
    <w:p w14:paraId="30D254E0" w14:textId="660968E9" w:rsidR="009C4987" w:rsidRPr="0094416A" w:rsidRDefault="000E13F3" w:rsidP="000E13F3">
      <w:pPr>
        <w:spacing w:before="120"/>
        <w:rPr>
          <w:highlight w:val="yellow"/>
        </w:rPr>
      </w:pPr>
      <w:r>
        <w:t>Τα έσοδα από τις πωλήσεις παγίων περιουσιακών στοιχείων προβλέπεται να διαμορφωθούν σε 51</w:t>
      </w:r>
      <w:r w:rsidRPr="00901C38">
        <w:t xml:space="preserve"> εκατ. ευρώ, </w:t>
      </w:r>
      <w:r>
        <w:t>αυξημένα κατά 16 εκατ. ευρώ έναντι</w:t>
      </w:r>
      <w:r w:rsidRPr="00901C38">
        <w:t xml:space="preserve"> του 202</w:t>
      </w:r>
      <w:r>
        <w:t>5</w:t>
      </w:r>
      <w:r w:rsidRPr="00901C38">
        <w:t>.</w:t>
      </w:r>
    </w:p>
    <w:p w14:paraId="7BCBB9F7" w14:textId="2DF636C7" w:rsidR="0039587A" w:rsidRPr="009C4987" w:rsidRDefault="0039587A" w:rsidP="0039587A">
      <w:pPr>
        <w:spacing w:before="240"/>
        <w:rPr>
          <w:rFonts w:cs="Arial"/>
          <w:b/>
        </w:rPr>
      </w:pPr>
      <w:r w:rsidRPr="009C4987">
        <w:rPr>
          <w:rFonts w:cs="Arial"/>
          <w:b/>
        </w:rPr>
        <w:t xml:space="preserve">Επιστροφές </w:t>
      </w:r>
      <w:r w:rsidR="008C295F">
        <w:rPr>
          <w:rFonts w:cs="Arial"/>
          <w:b/>
        </w:rPr>
        <w:t>εσόδων</w:t>
      </w:r>
    </w:p>
    <w:p w14:paraId="74F7EC9E" w14:textId="4456BC19" w:rsidR="009C4987" w:rsidRPr="0094416A" w:rsidRDefault="000E13F3" w:rsidP="00795A6C">
      <w:pPr>
        <w:spacing w:before="120"/>
        <w:rPr>
          <w:highlight w:val="yellow"/>
        </w:rPr>
      </w:pPr>
      <w:r w:rsidRPr="00901C38">
        <w:t xml:space="preserve">Οι επιστροφές αχρεωστήτως εισπραχθέντων εσόδων προβλέπεται να διαμορφωθούν στο ποσό των </w:t>
      </w:r>
      <w:r>
        <w:t>8.038</w:t>
      </w:r>
      <w:r w:rsidRPr="00901C38">
        <w:t xml:space="preserve"> εκατ. ευρώ, αυξημένες κατά </w:t>
      </w:r>
      <w:r>
        <w:t>349</w:t>
      </w:r>
      <w:r w:rsidRPr="00901C38">
        <w:t xml:space="preserve"> εκατ. ευρώ έναντι του 202</w:t>
      </w:r>
      <w:r>
        <w:t>5</w:t>
      </w:r>
      <w:r w:rsidRPr="00901C38">
        <w:t>.</w:t>
      </w:r>
    </w:p>
    <w:p w14:paraId="082673B8" w14:textId="408538A4" w:rsidR="0039587A" w:rsidRPr="0030560A" w:rsidRDefault="0039587A" w:rsidP="0039587A">
      <w:pPr>
        <w:spacing w:before="240"/>
        <w:rPr>
          <w:rFonts w:cs="Arial"/>
          <w:b/>
        </w:rPr>
      </w:pPr>
      <w:r w:rsidRPr="0030560A">
        <w:rPr>
          <w:rFonts w:cs="Arial"/>
          <w:b/>
        </w:rPr>
        <w:t>Πληροφοριακά στοιχεία</w:t>
      </w:r>
    </w:p>
    <w:p w14:paraId="1500C749" w14:textId="77777777" w:rsidR="00FD0FF8" w:rsidRPr="00EC38CA" w:rsidRDefault="00FD0FF8" w:rsidP="00FD0FF8">
      <w:pPr>
        <w:spacing w:before="120"/>
        <w:rPr>
          <w:rFonts w:cs="Arial"/>
          <w:b/>
          <w:i/>
          <w:szCs w:val="20"/>
        </w:rPr>
      </w:pPr>
      <w:r w:rsidRPr="00EC38CA">
        <w:rPr>
          <w:rFonts w:cs="Arial"/>
          <w:b/>
          <w:i/>
          <w:szCs w:val="20"/>
        </w:rPr>
        <w:t xml:space="preserve">Έσοδα </w:t>
      </w:r>
      <w:r>
        <w:rPr>
          <w:rFonts w:cs="Arial"/>
          <w:b/>
          <w:i/>
          <w:szCs w:val="20"/>
        </w:rPr>
        <w:t>Π</w:t>
      </w:r>
      <w:r w:rsidRPr="00F20763">
        <w:rPr>
          <w:rFonts w:cs="Arial"/>
          <w:b/>
          <w:i/>
          <w:szCs w:val="20"/>
        </w:rPr>
        <w:t xml:space="preserve">ροϋπολογισμού </w:t>
      </w:r>
      <w:r>
        <w:rPr>
          <w:rFonts w:cs="Arial"/>
          <w:b/>
          <w:i/>
          <w:szCs w:val="20"/>
        </w:rPr>
        <w:t>Δ</w:t>
      </w:r>
      <w:r w:rsidRPr="00F20763">
        <w:rPr>
          <w:rFonts w:cs="Arial"/>
          <w:b/>
          <w:i/>
          <w:szCs w:val="20"/>
        </w:rPr>
        <w:t xml:space="preserve">ημοσίων </w:t>
      </w:r>
      <w:r>
        <w:rPr>
          <w:rFonts w:cs="Arial"/>
          <w:b/>
          <w:i/>
          <w:szCs w:val="20"/>
        </w:rPr>
        <w:t>Ε</w:t>
      </w:r>
      <w:r w:rsidRPr="00F20763">
        <w:rPr>
          <w:rFonts w:cs="Arial"/>
          <w:b/>
          <w:i/>
          <w:szCs w:val="20"/>
        </w:rPr>
        <w:t>πενδύσεων</w:t>
      </w:r>
    </w:p>
    <w:p w14:paraId="5937B6A9" w14:textId="7D47FCE7" w:rsidR="009C4987" w:rsidRPr="00FD0FF8" w:rsidRDefault="00FD0FF8" w:rsidP="00D645FC">
      <w:pPr>
        <w:spacing w:before="120"/>
        <w:rPr>
          <w:szCs w:val="20"/>
        </w:rPr>
      </w:pPr>
      <w:r>
        <w:rPr>
          <w:szCs w:val="20"/>
        </w:rPr>
        <w:t xml:space="preserve">Τα έσοδα από τον </w:t>
      </w:r>
      <w:r>
        <w:t xml:space="preserve">προϋπολογισμό δημοσίων επενδύσεων </w:t>
      </w:r>
      <w:r w:rsidRPr="00901C38">
        <w:rPr>
          <w:szCs w:val="20"/>
        </w:rPr>
        <w:t xml:space="preserve">περιλαμβάνονται </w:t>
      </w:r>
      <w:r>
        <w:rPr>
          <w:szCs w:val="20"/>
        </w:rPr>
        <w:t>σ</w:t>
      </w:r>
      <w:r w:rsidRPr="00901C38">
        <w:rPr>
          <w:szCs w:val="20"/>
        </w:rPr>
        <w:t>τις κατηγορίες «Μεταβιβάσεις» και «Λοιπά τρέχοντα έσοδα»</w:t>
      </w:r>
      <w:r>
        <w:rPr>
          <w:szCs w:val="20"/>
        </w:rPr>
        <w:t xml:space="preserve"> και αναμένεται να ανέλθουν,</w:t>
      </w:r>
      <w:r w:rsidRPr="00901C38">
        <w:rPr>
          <w:szCs w:val="20"/>
        </w:rPr>
        <w:t xml:space="preserve"> προσαρμοσμένα κατά ESA</w:t>
      </w:r>
      <w:r>
        <w:rPr>
          <w:szCs w:val="20"/>
        </w:rPr>
        <w:t>, στο</w:t>
      </w:r>
      <w:r w:rsidRPr="00901C38">
        <w:rPr>
          <w:szCs w:val="20"/>
        </w:rPr>
        <w:t xml:space="preserve"> ύψος</w:t>
      </w:r>
      <w:r>
        <w:rPr>
          <w:szCs w:val="20"/>
        </w:rPr>
        <w:t xml:space="preserve"> των</w:t>
      </w:r>
      <w:r w:rsidRPr="00901C38">
        <w:rPr>
          <w:szCs w:val="20"/>
        </w:rPr>
        <w:t xml:space="preserve"> 4.3</w:t>
      </w:r>
      <w:r>
        <w:rPr>
          <w:szCs w:val="20"/>
        </w:rPr>
        <w:t>5</w:t>
      </w:r>
      <w:r w:rsidRPr="00901C38">
        <w:rPr>
          <w:szCs w:val="20"/>
        </w:rPr>
        <w:t xml:space="preserve">0 εκατ. ευρώ, </w:t>
      </w:r>
      <w:r>
        <w:rPr>
          <w:szCs w:val="20"/>
        </w:rPr>
        <w:t xml:space="preserve">παρουσιάζοντας αύξηση </w:t>
      </w:r>
      <w:r w:rsidRPr="00901C38">
        <w:rPr>
          <w:szCs w:val="20"/>
        </w:rPr>
        <w:t xml:space="preserve">κατά </w:t>
      </w:r>
      <w:r>
        <w:rPr>
          <w:szCs w:val="20"/>
        </w:rPr>
        <w:t>50</w:t>
      </w:r>
      <w:r w:rsidRPr="00901C38">
        <w:rPr>
          <w:szCs w:val="20"/>
        </w:rPr>
        <w:t xml:space="preserve"> εκατ. ευρώ έναντι του 202</w:t>
      </w:r>
      <w:r>
        <w:rPr>
          <w:szCs w:val="20"/>
        </w:rPr>
        <w:t>5</w:t>
      </w:r>
      <w:r w:rsidRPr="00901C38">
        <w:rPr>
          <w:szCs w:val="20"/>
        </w:rPr>
        <w:t>.</w:t>
      </w:r>
    </w:p>
    <w:p w14:paraId="3A10E5DE" w14:textId="2241A62C" w:rsidR="0039587A" w:rsidRPr="0030560A" w:rsidRDefault="0039587A" w:rsidP="00D645FC">
      <w:pPr>
        <w:spacing w:before="120"/>
        <w:rPr>
          <w:rFonts w:cs="Arial"/>
          <w:b/>
          <w:i/>
          <w:szCs w:val="20"/>
        </w:rPr>
      </w:pPr>
      <w:r w:rsidRPr="0030560A">
        <w:rPr>
          <w:rFonts w:cs="Arial"/>
          <w:b/>
          <w:i/>
          <w:szCs w:val="20"/>
        </w:rPr>
        <w:t>Έσοδα Τ</w:t>
      </w:r>
      <w:r w:rsidR="0006342D">
        <w:rPr>
          <w:rFonts w:cs="Arial"/>
          <w:b/>
          <w:i/>
          <w:szCs w:val="20"/>
        </w:rPr>
        <w:t>ΑΑ</w:t>
      </w:r>
    </w:p>
    <w:p w14:paraId="1EBA808F" w14:textId="39C8E7F0" w:rsidR="009C4987" w:rsidRPr="009C4987" w:rsidRDefault="000E13F3" w:rsidP="00D645FC">
      <w:pPr>
        <w:spacing w:before="120"/>
      </w:pPr>
      <w:bookmarkStart w:id="306" w:name="_Hlk119400134"/>
      <w:r w:rsidRPr="00901C38">
        <w:t xml:space="preserve">Στην κατηγορία «Μεταβιβάσεις» περιλαμβάνονται έσοδα από το ΤΑΑ, προσαρμοσμένα κατά ESA, ύψους </w:t>
      </w:r>
      <w:r>
        <w:t>5.950</w:t>
      </w:r>
      <w:r w:rsidRPr="00901C38">
        <w:t xml:space="preserve"> εκατ. ευρώ, αυξημένα κατά 1.</w:t>
      </w:r>
      <w:r>
        <w:t>657</w:t>
      </w:r>
      <w:r w:rsidRPr="00901C38">
        <w:t xml:space="preserve"> εκατ. ευρώ έναντι του 202</w:t>
      </w:r>
      <w:r>
        <w:t>5</w:t>
      </w:r>
      <w:r w:rsidRPr="00901C38">
        <w:t>.</w:t>
      </w:r>
    </w:p>
    <w:p w14:paraId="3B116978" w14:textId="77777777" w:rsidR="001B7E83" w:rsidRPr="00824F89" w:rsidRDefault="001B7E83" w:rsidP="00300BBF">
      <w:pPr>
        <w:pStyle w:val="5"/>
        <w:rPr>
          <w:lang w:eastAsia="en-US"/>
        </w:rPr>
      </w:pPr>
      <w:bookmarkStart w:id="307" w:name="_Toc214473754"/>
      <w:r w:rsidRPr="00824F89">
        <w:rPr>
          <w:lang w:eastAsia="en-US"/>
        </w:rPr>
        <w:t>Δαπάνες σε δημοσιονομική βάση</w:t>
      </w:r>
      <w:bookmarkEnd w:id="307"/>
    </w:p>
    <w:p w14:paraId="6C9BE16E" w14:textId="0013F709" w:rsidR="000414B5" w:rsidRPr="0094416A" w:rsidRDefault="00EE3E93" w:rsidP="00855762">
      <w:pPr>
        <w:rPr>
          <w:highlight w:val="yellow"/>
        </w:rPr>
      </w:pPr>
      <w:bookmarkStart w:id="308" w:name="_Toc114142030"/>
      <w:r w:rsidRPr="000B119A">
        <w:t>Οι συνολικές δαπάνες του κρατικού προϋπολογισμού για το έτος 202</w:t>
      </w:r>
      <w:r>
        <w:t>6</w:t>
      </w:r>
      <w:r w:rsidRPr="000B119A">
        <w:t xml:space="preserve"> προβλέπεται ότι θα διαμορφωθούν σε 8</w:t>
      </w:r>
      <w:r>
        <w:t>6</w:t>
      </w:r>
      <w:r w:rsidRPr="000B119A">
        <w:t>.</w:t>
      </w:r>
      <w:r>
        <w:t>793</w:t>
      </w:r>
      <w:r w:rsidRPr="000B119A">
        <w:t xml:space="preserve"> εκατ. ευρώ, αυξημένες κατά </w:t>
      </w:r>
      <w:r>
        <w:t>5</w:t>
      </w:r>
      <w:r w:rsidRPr="000B119A">
        <w:t>.</w:t>
      </w:r>
      <w:r>
        <w:t>301</w:t>
      </w:r>
      <w:r w:rsidRPr="000B119A">
        <w:t xml:space="preserve"> εκατ. ευρώ</w:t>
      </w:r>
      <w:r w:rsidR="00D87121">
        <w:t xml:space="preserve"> ή 6,5%</w:t>
      </w:r>
      <w:r w:rsidRPr="000B119A">
        <w:t xml:space="preserve"> σε </w:t>
      </w:r>
      <w:r w:rsidR="004A0E23">
        <w:t>σύγκριση</w:t>
      </w:r>
      <w:r w:rsidRPr="000B119A">
        <w:t xml:space="preserve"> με την αντίστοιχη εκτίμηση έτους 202</w:t>
      </w:r>
      <w:r>
        <w:t xml:space="preserve">5. Η εν λόγω αύξηση οφείλεται </w:t>
      </w:r>
      <w:r w:rsidRPr="000B119A">
        <w:t>κυρίως</w:t>
      </w:r>
      <w:r>
        <w:t xml:space="preserve"> σ</w:t>
      </w:r>
      <w:r w:rsidRPr="000B119A">
        <w:t>τη</w:t>
      </w:r>
      <w:r>
        <w:t>ν</w:t>
      </w:r>
      <w:r w:rsidRPr="000B119A">
        <w:t xml:space="preserve"> επιτάχυνση των έργων που χρηματοδοτούνται από το ΤΑΑ</w:t>
      </w:r>
      <w:r>
        <w:t xml:space="preserve"> λόγω </w:t>
      </w:r>
      <w:r w:rsidR="004A0E23">
        <w:t xml:space="preserve">της </w:t>
      </w:r>
      <w:r>
        <w:t>λήξης του προγράμματος</w:t>
      </w:r>
      <w:r w:rsidRPr="000B119A">
        <w:t xml:space="preserve">, </w:t>
      </w:r>
      <w:r>
        <w:t xml:space="preserve">στην εφαρμογή των παρεμβάσεων που ανακοινώθηκαν στη ΔΕΘ και στις </w:t>
      </w:r>
      <w:r w:rsidRPr="000B119A">
        <w:t>αυξημέν</w:t>
      </w:r>
      <w:r>
        <w:t>ες</w:t>
      </w:r>
      <w:r w:rsidRPr="000B119A">
        <w:t xml:space="preserve"> φυσικ</w:t>
      </w:r>
      <w:r>
        <w:t xml:space="preserve">ές </w:t>
      </w:r>
      <w:r w:rsidRPr="000B119A">
        <w:t>παραλαβ</w:t>
      </w:r>
      <w:r>
        <w:t>ές</w:t>
      </w:r>
      <w:r w:rsidRPr="000B119A">
        <w:t xml:space="preserve"> των οπλικών συστημάτων του Υπουργείου Εθνικής Άμυνας</w:t>
      </w:r>
      <w:r>
        <w:t>.</w:t>
      </w:r>
    </w:p>
    <w:p w14:paraId="2C2248AC" w14:textId="19DE2829" w:rsidR="00824F89" w:rsidRPr="000414B5" w:rsidRDefault="00824F89" w:rsidP="00824F89">
      <w:pPr>
        <w:spacing w:before="240"/>
        <w:rPr>
          <w:rFonts w:cs="Arial"/>
          <w:b/>
          <w:szCs w:val="22"/>
        </w:rPr>
      </w:pPr>
      <w:r w:rsidRPr="000414B5">
        <w:rPr>
          <w:rFonts w:cs="Arial"/>
          <w:b/>
          <w:szCs w:val="22"/>
        </w:rPr>
        <w:t>Παροχές σε εργαζόμενους</w:t>
      </w:r>
    </w:p>
    <w:p w14:paraId="708E7481" w14:textId="1FBE6034" w:rsidR="000414B5" w:rsidRPr="00855762" w:rsidRDefault="00855762" w:rsidP="00824F89">
      <w:pPr>
        <w:rPr>
          <w:rFonts w:cs="Arial"/>
          <w:szCs w:val="22"/>
        </w:rPr>
      </w:pPr>
      <w:r>
        <w:t>Οι δαπάνες της κατηγορίας αυτής προβλέπεται να ανέλθουν στο ποσό των 15.</w:t>
      </w:r>
      <w:r w:rsidRPr="00B562DB">
        <w:t>589</w:t>
      </w:r>
      <w:r>
        <w:t xml:space="preserve"> εκατ. ευρώ, αυξημένες κατά </w:t>
      </w:r>
      <w:r w:rsidRPr="00B562DB">
        <w:t>194</w:t>
      </w:r>
      <w:r>
        <w:t xml:space="preserve"> εκατ. ευρώ </w:t>
      </w:r>
      <w:r w:rsidR="00CA448F">
        <w:t xml:space="preserve">έναντι της </w:t>
      </w:r>
      <w:r>
        <w:t>εκτίμηση</w:t>
      </w:r>
      <w:r w:rsidR="00CA448F">
        <w:t>ς</w:t>
      </w:r>
      <w:r>
        <w:t xml:space="preserve"> έτους 2025,</w:t>
      </w:r>
      <w:r w:rsidRPr="00406774">
        <w:rPr>
          <w:szCs w:val="20"/>
        </w:rPr>
        <w:t xml:space="preserve"> </w:t>
      </w:r>
      <w:r w:rsidRPr="00005143">
        <w:rPr>
          <w:szCs w:val="20"/>
        </w:rPr>
        <w:t>λαμβανομένων υπόψη των αποχωρήσεων και χωρίς ωστόσο</w:t>
      </w:r>
      <w:r>
        <w:t xml:space="preserve"> να συνυπολογίζονται οι δαπάνες των νέων προσλήψεων, των προβλεπόμενων αυξήσεων των μισθών από τον Απρίλιο 2026 καθώς και</w:t>
      </w:r>
      <w:r w:rsidR="0039237E">
        <w:t xml:space="preserve"> των</w:t>
      </w:r>
      <w:r>
        <w:t xml:space="preserve"> λοιπ</w:t>
      </w:r>
      <w:r w:rsidR="0039237E">
        <w:t>ών</w:t>
      </w:r>
      <w:r>
        <w:t xml:space="preserve"> μισθολογικ</w:t>
      </w:r>
      <w:r w:rsidR="0039237E">
        <w:t>ών</w:t>
      </w:r>
      <w:r>
        <w:t xml:space="preserve"> δαπ</w:t>
      </w:r>
      <w:r w:rsidR="0039237E">
        <w:t>ανών</w:t>
      </w:r>
      <w:r>
        <w:t>, οι οποίες περιλαμβάνονται σε υπό κατανομή πιστώσεις, με συνολικό προβλεπόμενο ύψος 806 εκατ. ευρώ. Επισημαίνεται ότι κατά την κατάρτιση του προϋπολογισμού οι δαπάνες για νέες προσλήψεις προβλέπονται αρχικά στην κατηγορία «Πιστώσεις υπό κατανομή» και διατίθενται σταδιακά στους φορείς της Κεντρικής Διοίκησης κατά την εκτέλεση του προϋπολογισμού για την κάλυψη των δαπανών των παροχών των εργαζ</w:t>
      </w:r>
      <w:r w:rsidR="0039237E">
        <w:t>ό</w:t>
      </w:r>
      <w:r>
        <w:t>μ</w:t>
      </w:r>
      <w:r w:rsidR="0039237E">
        <w:t>ε</w:t>
      </w:r>
      <w:r>
        <w:t xml:space="preserve">νων, με βάση την υλοποίηση των προσλήψεων σε αυτούς. Επίσης, στις συνολικές προβλέψεις </w:t>
      </w:r>
      <w:r w:rsidR="0012165C">
        <w:t xml:space="preserve">του έτους 2026 </w:t>
      </w:r>
      <w:r>
        <w:t>περιλαμβάν</w:t>
      </w:r>
      <w:r w:rsidR="00CA448F">
        <w:t>ονται</w:t>
      </w:r>
      <w:r>
        <w:t xml:space="preserve"> η αναμόρφωση του ειδικού μισθολογίου των ενστόλων υπαλλήλων καθώς και η αναμόρφωση των αποδοχών των υπαλλήλων της εξωτερικής υπηρεσίας του Υπουργείου Εξωτερικών</w:t>
      </w:r>
      <w:r w:rsidR="0039237E">
        <w:t>.</w:t>
      </w:r>
    </w:p>
    <w:p w14:paraId="5F282A06" w14:textId="3C8F17F2" w:rsidR="00824F89" w:rsidRPr="00CA448F" w:rsidRDefault="00824F89" w:rsidP="00824F89">
      <w:pPr>
        <w:spacing w:before="240"/>
        <w:rPr>
          <w:rFonts w:cs="Arial"/>
          <w:b/>
          <w:szCs w:val="22"/>
        </w:rPr>
      </w:pPr>
      <w:r w:rsidRPr="00CA448F">
        <w:rPr>
          <w:rFonts w:cs="Arial"/>
          <w:b/>
          <w:szCs w:val="22"/>
        </w:rPr>
        <w:t>Κοινωνικές Παροχές</w:t>
      </w:r>
    </w:p>
    <w:p w14:paraId="365F2370" w14:textId="567A39EE" w:rsidR="000414B5" w:rsidRPr="00CA448F" w:rsidRDefault="00855762" w:rsidP="00855762">
      <w:r w:rsidRPr="00CA448F">
        <w:t>Οι δαπάνες της κατηγορίας αυτής προβλέπεται ότι θα ανέλθουν σε 628 εκατ. ευρώ, αυξημένες κατά 60 εκατ. ευρώ σε σχέση με το 2025.</w:t>
      </w:r>
    </w:p>
    <w:p w14:paraId="3152FABC" w14:textId="363E7BA0" w:rsidR="00824F89" w:rsidRPr="000414B5" w:rsidRDefault="00824F89" w:rsidP="006907B1">
      <w:pPr>
        <w:keepNext/>
        <w:spacing w:before="240"/>
        <w:rPr>
          <w:rFonts w:cs="Arial"/>
          <w:b/>
          <w:szCs w:val="22"/>
        </w:rPr>
      </w:pPr>
      <w:r w:rsidRPr="000414B5">
        <w:rPr>
          <w:rFonts w:cs="Arial"/>
          <w:b/>
          <w:szCs w:val="22"/>
        </w:rPr>
        <w:lastRenderedPageBreak/>
        <w:t>Μεταβιβάσεις</w:t>
      </w:r>
    </w:p>
    <w:p w14:paraId="3672AB6C" w14:textId="0A8DBBB1" w:rsidR="000414B5" w:rsidRPr="0094416A" w:rsidRDefault="00855762" w:rsidP="00824F89">
      <w:pPr>
        <w:rPr>
          <w:highlight w:val="yellow"/>
        </w:rPr>
      </w:pPr>
      <w:r w:rsidRPr="000B119A">
        <w:t>Οι δαπάνες για τις μεταβιβάσεις σε φορείς εντός και εκτός Γενικής Κυβέρνησης προβλέπεται ότι θα διαμορφωθούν στ</w:t>
      </w:r>
      <w:r>
        <w:t>ο ποσό των</w:t>
      </w:r>
      <w:r w:rsidRPr="000B119A">
        <w:t xml:space="preserve"> 3</w:t>
      </w:r>
      <w:r>
        <w:t>5</w:t>
      </w:r>
      <w:r w:rsidRPr="000B119A">
        <w:t>.</w:t>
      </w:r>
      <w:r>
        <w:t>567</w:t>
      </w:r>
      <w:r w:rsidRPr="000B119A">
        <w:t xml:space="preserve"> εκατ. ευρώ, αυξημένες κατά </w:t>
      </w:r>
      <w:r>
        <w:t>704</w:t>
      </w:r>
      <w:r w:rsidRPr="000B119A">
        <w:t xml:space="preserve"> εκατ. ευρώ έναντι της εκτίμησης του 202</w:t>
      </w:r>
      <w:r>
        <w:t>5</w:t>
      </w:r>
      <w:r w:rsidRPr="000B119A">
        <w:t xml:space="preserve">, εξαιτίας </w:t>
      </w:r>
      <w:r>
        <w:t xml:space="preserve">κυρίως </w:t>
      </w:r>
      <w:r w:rsidRPr="000B119A">
        <w:t xml:space="preserve">των αυξημένων προβλέψεων </w:t>
      </w:r>
      <w:r>
        <w:t>αποδόσεων προς την ΕΕ κατά 430 εκατ. ευρώ.</w:t>
      </w:r>
      <w:r w:rsidRPr="000B119A">
        <w:t xml:space="preserve"> Αναλυτικότερα,</w:t>
      </w:r>
      <w:r>
        <w:t xml:space="preserve"> στην εν λόγω μείζονα κατηγορία </w:t>
      </w:r>
      <w:r w:rsidRPr="000B119A">
        <w:t>οι συνολικές προβλέψεις μεταβιβάσεων προς τα νοσοκομεία</w:t>
      </w:r>
      <w:r>
        <w:t>, την Π</w:t>
      </w:r>
      <w:r w:rsidR="00CA448F">
        <w:t>ΦΥ</w:t>
      </w:r>
      <w:r>
        <w:t xml:space="preserve"> και την ΕΚΑΠΥ</w:t>
      </w:r>
      <w:r w:rsidRPr="000B119A">
        <w:t xml:space="preserve"> </w:t>
      </w:r>
      <w:r w:rsidRPr="006A3D29">
        <w:t>ανέρχονται σε 2.388 εκατ</w:t>
      </w:r>
      <w:r w:rsidRPr="005C40C6">
        <w:t>. ευρώ, προς τους ΟΤΑ σε 3.</w:t>
      </w:r>
      <w:r>
        <w:t>602</w:t>
      </w:r>
      <w:r w:rsidRPr="005C40C6">
        <w:t xml:space="preserve"> εκατ. ευρώ, προς τους ΟΚΑ σε 2</w:t>
      </w:r>
      <w:r>
        <w:t>2</w:t>
      </w:r>
      <w:r w:rsidRPr="005C40C6">
        <w:t>.</w:t>
      </w:r>
      <w:r>
        <w:t>407</w:t>
      </w:r>
      <w:r w:rsidRPr="005C40C6">
        <w:t xml:space="preserve"> εκατ. ευρώ και </w:t>
      </w:r>
      <w:r>
        <w:t xml:space="preserve">οι αποδόσεις </w:t>
      </w:r>
      <w:r w:rsidRPr="005C40C6">
        <w:t xml:space="preserve">προς την ΕΕ </w:t>
      </w:r>
      <w:r>
        <w:t xml:space="preserve">ανέρχονται </w:t>
      </w:r>
      <w:r w:rsidRPr="005C40C6">
        <w:t>σε 2.</w:t>
      </w:r>
      <w:r>
        <w:t>949</w:t>
      </w:r>
      <w:r w:rsidRPr="005C40C6">
        <w:t xml:space="preserve"> εκατ. ευρώ</w:t>
      </w:r>
      <w:r>
        <w:t>.</w:t>
      </w:r>
    </w:p>
    <w:p w14:paraId="0FA74A25" w14:textId="77777777" w:rsidR="00824F89" w:rsidRPr="000414B5" w:rsidRDefault="00824F89" w:rsidP="00855762">
      <w:pPr>
        <w:spacing w:before="240"/>
        <w:rPr>
          <w:rFonts w:cs="Arial"/>
          <w:b/>
          <w:szCs w:val="22"/>
        </w:rPr>
      </w:pPr>
      <w:r w:rsidRPr="000414B5">
        <w:rPr>
          <w:rFonts w:cs="Arial"/>
          <w:b/>
          <w:szCs w:val="22"/>
        </w:rPr>
        <w:t>Αγορές αγαθών και υπηρεσιών</w:t>
      </w:r>
    </w:p>
    <w:p w14:paraId="4A46811D" w14:textId="2733C7BC" w:rsidR="00855762" w:rsidRPr="00544591" w:rsidRDefault="00855762" w:rsidP="00855762">
      <w:pPr>
        <w:rPr>
          <w:highlight w:val="yellow"/>
        </w:rPr>
      </w:pPr>
      <w:r w:rsidRPr="00502B28">
        <w:t xml:space="preserve">Η προβλεπόμενη δαπάνη ανέρχεται σε </w:t>
      </w:r>
      <w:r>
        <w:t>2</w:t>
      </w:r>
      <w:r w:rsidRPr="00502B28">
        <w:t>.</w:t>
      </w:r>
      <w:r>
        <w:t>258</w:t>
      </w:r>
      <w:r w:rsidRPr="00502B28">
        <w:t xml:space="preserve"> εκατ. ευρώ, μειωμένη κατά </w:t>
      </w:r>
      <w:r>
        <w:t>93</w:t>
      </w:r>
      <w:r w:rsidRPr="00502B28">
        <w:t xml:space="preserve"> εκατ. ευρώ </w:t>
      </w:r>
      <w:r w:rsidR="002A5475">
        <w:t>έναντι</w:t>
      </w:r>
      <w:r w:rsidRPr="00502B28">
        <w:t xml:space="preserve"> τη</w:t>
      </w:r>
      <w:r w:rsidR="002A5475">
        <w:t>ς</w:t>
      </w:r>
      <w:r w:rsidRPr="00502B28">
        <w:t xml:space="preserve"> αντίστοιχη</w:t>
      </w:r>
      <w:r w:rsidR="002A5475">
        <w:t>ς</w:t>
      </w:r>
      <w:r w:rsidRPr="00502B28">
        <w:t xml:space="preserve"> εκτίμηση</w:t>
      </w:r>
      <w:r w:rsidR="002A5475">
        <w:t>ς</w:t>
      </w:r>
      <w:r w:rsidRPr="00502B28">
        <w:t xml:space="preserve"> </w:t>
      </w:r>
      <w:r>
        <w:t xml:space="preserve">έτους </w:t>
      </w:r>
      <w:r w:rsidRPr="00502B28">
        <w:t>202</w:t>
      </w:r>
      <w:r>
        <w:t>5</w:t>
      </w:r>
      <w:r w:rsidRPr="00502B28">
        <w:t>. Η μείωση αυτή οφείλεται κυρίως στο γεγονός ότι η αντίστοιχη εκτίμηση του έτους 202</w:t>
      </w:r>
      <w:r>
        <w:t>5</w:t>
      </w:r>
      <w:r w:rsidRPr="00502B28">
        <w:t xml:space="preserve"> ενσωματώνει δαπάνες που </w:t>
      </w:r>
      <w:r w:rsidR="00D87121" w:rsidRPr="00D87121">
        <w:t xml:space="preserve">χρηματοδοτήθηκαν </w:t>
      </w:r>
      <w:r>
        <w:t>στην πορεία του έτους</w:t>
      </w:r>
      <w:r w:rsidRPr="00502B28">
        <w:t xml:space="preserve"> από το αποθεματικό του </w:t>
      </w:r>
      <w:r>
        <w:t>κ</w:t>
      </w:r>
      <w:r w:rsidRPr="00502B28">
        <w:t xml:space="preserve">ρατικού </w:t>
      </w:r>
      <w:r>
        <w:t>π</w:t>
      </w:r>
      <w:r w:rsidRPr="00502B28">
        <w:t>ροϋπολογισμού.</w:t>
      </w:r>
    </w:p>
    <w:p w14:paraId="2825075D" w14:textId="77777777" w:rsidR="00824F89" w:rsidRPr="000414B5" w:rsidRDefault="00824F89" w:rsidP="00824F89">
      <w:pPr>
        <w:spacing w:before="240"/>
        <w:rPr>
          <w:rFonts w:cs="Arial"/>
          <w:b/>
          <w:szCs w:val="22"/>
        </w:rPr>
      </w:pPr>
      <w:r w:rsidRPr="000414B5">
        <w:rPr>
          <w:rFonts w:cs="Arial"/>
          <w:b/>
          <w:szCs w:val="22"/>
        </w:rPr>
        <w:t>Επιδοτήσεις</w:t>
      </w:r>
    </w:p>
    <w:p w14:paraId="64E6BE1D" w14:textId="063C231D" w:rsidR="000414B5" w:rsidRPr="00521B97" w:rsidRDefault="00855762" w:rsidP="00855762">
      <w:pPr>
        <w:rPr>
          <w:rFonts w:cs="Arial"/>
          <w:szCs w:val="22"/>
        </w:rPr>
      </w:pPr>
      <w:r w:rsidRPr="00142FCD">
        <w:t>Η δαπάνη προβλέπεται να ανέλθει στ</w:t>
      </w:r>
      <w:r>
        <w:t>ο ποσό των</w:t>
      </w:r>
      <w:r w:rsidRPr="00142FCD">
        <w:t xml:space="preserve"> </w:t>
      </w:r>
      <w:r>
        <w:t>80</w:t>
      </w:r>
      <w:r w:rsidRPr="00142FCD">
        <w:t xml:space="preserve"> εκατ. ευρώ, </w:t>
      </w:r>
      <w:r>
        <w:t>μειωμένη</w:t>
      </w:r>
      <w:r w:rsidRPr="00142FCD">
        <w:t xml:space="preserve"> κατά </w:t>
      </w:r>
      <w:r>
        <w:t>57</w:t>
      </w:r>
      <w:r w:rsidRPr="00142FCD">
        <w:t xml:space="preserve"> εκατ. ευρώ σε </w:t>
      </w:r>
      <w:r w:rsidR="002A5475">
        <w:t>σύγκριση</w:t>
      </w:r>
      <w:r w:rsidRPr="00142FCD">
        <w:t xml:space="preserve"> με το 202</w:t>
      </w:r>
      <w:r>
        <w:t>5</w:t>
      </w:r>
      <w:r w:rsidRPr="00142FCD">
        <w:t>.</w:t>
      </w:r>
      <w:r>
        <w:t xml:space="preserve"> Περιλαμβάνονται κυρίως οι επιδοτήσεις </w:t>
      </w:r>
      <w:r w:rsidRPr="00401E61">
        <w:t xml:space="preserve">προς την </w:t>
      </w:r>
      <w:r>
        <w:rPr>
          <w:lang w:val="en-US"/>
        </w:rPr>
        <w:t>Hellenic</w:t>
      </w:r>
      <w:r w:rsidRPr="00D00CBB">
        <w:t xml:space="preserve"> </w:t>
      </w:r>
      <w:r>
        <w:rPr>
          <w:lang w:val="en-US"/>
        </w:rPr>
        <w:t>Train</w:t>
      </w:r>
      <w:r w:rsidRPr="00D00CBB">
        <w:t xml:space="preserve"> (</w:t>
      </w:r>
      <w:r>
        <w:t xml:space="preserve">πρώην </w:t>
      </w:r>
      <w:r w:rsidRPr="00401E61">
        <w:t>ΤΡΑΙΝΟΣΕ ΑΕ</w:t>
      </w:r>
      <w:r w:rsidRPr="004E61DC">
        <w:t>) και προς τα ΕΛΤΑ για την καθολική ταχυδρομική υπηρεσία.</w:t>
      </w:r>
    </w:p>
    <w:p w14:paraId="7F9A8AD3" w14:textId="77777777" w:rsidR="00824F89" w:rsidRPr="000414B5" w:rsidRDefault="00824F89" w:rsidP="00824F89">
      <w:pPr>
        <w:spacing w:before="240"/>
        <w:rPr>
          <w:rFonts w:cs="Arial"/>
          <w:b/>
          <w:szCs w:val="22"/>
        </w:rPr>
      </w:pPr>
      <w:r w:rsidRPr="000414B5">
        <w:rPr>
          <w:rFonts w:cs="Arial"/>
          <w:b/>
          <w:szCs w:val="22"/>
        </w:rPr>
        <w:t>Τόκοι (σε ακαθάριστη βάση)</w:t>
      </w:r>
    </w:p>
    <w:p w14:paraId="55BE8414" w14:textId="5418F70F" w:rsidR="000414B5" w:rsidRPr="0094416A" w:rsidRDefault="00855762" w:rsidP="00855762">
      <w:pPr>
        <w:rPr>
          <w:highlight w:val="yellow"/>
        </w:rPr>
      </w:pPr>
      <w:r w:rsidRPr="00142FCD">
        <w:t>Η πρόβλεψη για τις δαπάνες τόκων σε ακαθάριστη δημοσιονομική βάση ανέρχεται σε 9.</w:t>
      </w:r>
      <w:r>
        <w:t>815</w:t>
      </w:r>
      <w:r w:rsidRPr="00142FCD">
        <w:t xml:space="preserve"> εκατ. ευρώ, </w:t>
      </w:r>
      <w:r w:rsidR="0084006A">
        <w:t xml:space="preserve">οριακά </w:t>
      </w:r>
      <w:r w:rsidRPr="00142FCD">
        <w:t xml:space="preserve">μειωμένη κατά </w:t>
      </w:r>
      <w:r>
        <w:t>13</w:t>
      </w:r>
      <w:r w:rsidRPr="00142FCD">
        <w:t xml:space="preserve"> εκατ. ευρώ σε σχέση με την εκτίμηση έτους 202</w:t>
      </w:r>
      <w:r>
        <w:t>5</w:t>
      </w:r>
      <w:r w:rsidRPr="00142FCD">
        <w:t>.</w:t>
      </w:r>
    </w:p>
    <w:p w14:paraId="54D66859" w14:textId="77777777" w:rsidR="00824F89" w:rsidRPr="000414B5" w:rsidRDefault="00824F89" w:rsidP="00824F89">
      <w:pPr>
        <w:spacing w:before="240"/>
        <w:rPr>
          <w:rFonts w:cs="Arial"/>
          <w:b/>
          <w:szCs w:val="22"/>
        </w:rPr>
      </w:pPr>
      <w:r w:rsidRPr="000414B5">
        <w:rPr>
          <w:rFonts w:cs="Arial"/>
          <w:b/>
          <w:szCs w:val="22"/>
        </w:rPr>
        <w:t>Λοιπές δαπάνες</w:t>
      </w:r>
    </w:p>
    <w:p w14:paraId="26F09298" w14:textId="4CB45D1B" w:rsidR="000414B5" w:rsidRPr="0094416A" w:rsidRDefault="00855762" w:rsidP="00855762">
      <w:pPr>
        <w:rPr>
          <w:highlight w:val="yellow"/>
        </w:rPr>
      </w:pPr>
      <w:r w:rsidRPr="00142FCD">
        <w:t>Στην κατηγορία αυτή η προβλεπόμενη δαπάνη ανέρχεται σε 101 εκατ. ευρώ</w:t>
      </w:r>
      <w:r>
        <w:t xml:space="preserve">, μειωμένη κατά 16 εκατ. ευρώ </w:t>
      </w:r>
      <w:r w:rsidR="002A5475">
        <w:t>έναντι της</w:t>
      </w:r>
      <w:r>
        <w:t xml:space="preserve"> αντίστοιχη</w:t>
      </w:r>
      <w:r w:rsidR="002A5475">
        <w:t>ς</w:t>
      </w:r>
      <w:r>
        <w:t xml:space="preserve"> εκτίμηση</w:t>
      </w:r>
      <w:r w:rsidR="002A5475">
        <w:t>ς</w:t>
      </w:r>
      <w:r>
        <w:t xml:space="preserve"> του 2025</w:t>
      </w:r>
      <w:r w:rsidRPr="00457653">
        <w:t xml:space="preserve"> </w:t>
      </w:r>
      <w:r>
        <w:t>και περιλαμβάνει</w:t>
      </w:r>
      <w:r w:rsidRPr="006455C4">
        <w:t xml:space="preserve"> κυρίως τη δαπάνη για τις επιστροφές στην ΕΕ</w:t>
      </w:r>
      <w:r w:rsidRPr="00142FCD">
        <w:t>.</w:t>
      </w:r>
    </w:p>
    <w:p w14:paraId="54CB2DAF" w14:textId="77777777" w:rsidR="00824F89" w:rsidRPr="000414B5" w:rsidRDefault="00824F89" w:rsidP="00824F89">
      <w:pPr>
        <w:spacing w:before="240"/>
        <w:rPr>
          <w:rFonts w:cs="Arial"/>
          <w:b/>
          <w:szCs w:val="22"/>
        </w:rPr>
      </w:pPr>
      <w:r w:rsidRPr="000414B5">
        <w:rPr>
          <w:rFonts w:cs="Arial"/>
          <w:b/>
          <w:szCs w:val="22"/>
        </w:rPr>
        <w:t>Πιστώσεις υπό κατανομή</w:t>
      </w:r>
    </w:p>
    <w:p w14:paraId="4C858685" w14:textId="77777777" w:rsidR="00855762" w:rsidRPr="00105626" w:rsidRDefault="00855762" w:rsidP="00855762">
      <w:bookmarkStart w:id="309" w:name="_Toc114142037"/>
      <w:r>
        <w:t>Η πρόβλεψη για το σύνολο της κατηγορίας αυτής ανέρχεται στο ποσό των 20.299 εκατ. ευρώ. Στην κατηγορία αυτή περιλαμβάνονται κυρίως προβλέψεις πιστώσεων ύψους:</w:t>
      </w:r>
    </w:p>
    <w:p w14:paraId="39867CD3" w14:textId="77777777" w:rsidR="00855762" w:rsidRDefault="00855762" w:rsidP="00855762">
      <w:pPr>
        <w:numPr>
          <w:ilvl w:val="0"/>
          <w:numId w:val="1"/>
        </w:numPr>
        <w:spacing w:before="120" w:after="60"/>
        <w:ind w:left="568" w:hanging="284"/>
      </w:pPr>
      <w:r w:rsidRPr="006228F8">
        <w:t>9.</w:t>
      </w:r>
      <w:r>
        <w:t>5</w:t>
      </w:r>
      <w:r w:rsidRPr="006228F8">
        <w:t>00 εκατ. ευρώ</w:t>
      </w:r>
      <w:r w:rsidRPr="00105626">
        <w:t xml:space="preserve"> </w:t>
      </w:r>
      <w:r>
        <w:t>του προϋπολογισμού δημοσίων επενδύσεων</w:t>
      </w:r>
      <w:r w:rsidRPr="006228F8">
        <w:t xml:space="preserve">, εκ των οποίων </w:t>
      </w:r>
      <w:r>
        <w:t>3.300</w:t>
      </w:r>
      <w:r w:rsidRPr="006228F8">
        <w:t xml:space="preserve"> εκατ. ευρώ αφορούν στο εθνικό σκέλος και </w:t>
      </w:r>
      <w:r>
        <w:t>6.</w:t>
      </w:r>
      <w:r w:rsidRPr="00F67263">
        <w:t>20</w:t>
      </w:r>
      <w:r>
        <w:t xml:space="preserve">0 </w:t>
      </w:r>
      <w:r w:rsidRPr="006228F8">
        <w:t>εκατ. ευρώ αφορούν στο συγχρηματοδοτούμενο σκέλος</w:t>
      </w:r>
      <w:r>
        <w:t>,</w:t>
      </w:r>
    </w:p>
    <w:p w14:paraId="776F82B1" w14:textId="77777777" w:rsidR="00855762" w:rsidRDefault="00855762" w:rsidP="00855762">
      <w:pPr>
        <w:numPr>
          <w:ilvl w:val="0"/>
          <w:numId w:val="1"/>
        </w:numPr>
        <w:spacing w:before="60" w:after="60"/>
        <w:ind w:left="568" w:hanging="284"/>
      </w:pPr>
      <w:r w:rsidRPr="00286451">
        <w:t>7.19</w:t>
      </w:r>
      <w:r w:rsidRPr="00945571">
        <w:t>2</w:t>
      </w:r>
      <w:r w:rsidRPr="00286451">
        <w:t xml:space="preserve"> εκατ. ευρώ για έργα του ΤΑΑ</w:t>
      </w:r>
      <w:r>
        <w:t>,</w:t>
      </w:r>
    </w:p>
    <w:p w14:paraId="0BF5AA8D" w14:textId="7F5FA48A" w:rsidR="00855762" w:rsidRPr="008E640D" w:rsidRDefault="00855762" w:rsidP="00855762">
      <w:pPr>
        <w:numPr>
          <w:ilvl w:val="0"/>
          <w:numId w:val="1"/>
        </w:numPr>
        <w:spacing w:before="60" w:after="60"/>
        <w:ind w:left="568" w:hanging="284"/>
      </w:pPr>
      <w:r>
        <w:t>806</w:t>
      </w:r>
      <w:r w:rsidRPr="008E640D">
        <w:t xml:space="preserve"> εκατ. ευρώ για δαπάνες πλήρωσης θέσεων προσωπικού και για λοιπές δαπάνες αποδοχών, συμπεριλαμβανομένων και των πιστώσεων λόγω </w:t>
      </w:r>
      <w:r w:rsidR="002A5475">
        <w:t xml:space="preserve">της </w:t>
      </w:r>
      <w:r w:rsidRPr="008E640D">
        <w:t>αύξησης των μισθών των δημ</w:t>
      </w:r>
      <w:r>
        <w:t>όσιων</w:t>
      </w:r>
      <w:r w:rsidRPr="008E640D">
        <w:t xml:space="preserve"> υπαλλήλων,</w:t>
      </w:r>
    </w:p>
    <w:p w14:paraId="6A9CAC93" w14:textId="77777777" w:rsidR="00855762" w:rsidRPr="008E640D" w:rsidRDefault="00855762" w:rsidP="00855762">
      <w:pPr>
        <w:numPr>
          <w:ilvl w:val="0"/>
          <w:numId w:val="1"/>
        </w:numPr>
        <w:spacing w:before="60" w:after="60"/>
        <w:ind w:left="568" w:hanging="284"/>
      </w:pPr>
      <w:r w:rsidRPr="008E640D">
        <w:t>850 και 400 εκατ. ευρώ για τ</w:t>
      </w:r>
      <w:r>
        <w:t>ο</w:t>
      </w:r>
      <w:r w:rsidRPr="008E640D">
        <w:t xml:space="preserve"> αποθεματικ</w:t>
      </w:r>
      <w:r>
        <w:t>ό</w:t>
      </w:r>
      <w:r w:rsidRPr="008E640D">
        <w:t xml:space="preserve"> </w:t>
      </w:r>
      <w:r>
        <w:t>(</w:t>
      </w:r>
      <w:r w:rsidRPr="008E640D">
        <w:t>παρ.1 και 8 του άρθρου 59 του ν.4270/2014</w:t>
      </w:r>
      <w:r>
        <w:t xml:space="preserve">, αντίστοιχα) με σκοπό την </w:t>
      </w:r>
      <w:r w:rsidRPr="008E640D">
        <w:t>αντιμετώπιση απρόβλεπτων και επειγουσών δαπανών,</w:t>
      </w:r>
    </w:p>
    <w:p w14:paraId="17957CF0" w14:textId="77777777" w:rsidR="00855762" w:rsidRPr="008E640D" w:rsidRDefault="00855762" w:rsidP="00855762">
      <w:pPr>
        <w:numPr>
          <w:ilvl w:val="0"/>
          <w:numId w:val="1"/>
        </w:numPr>
        <w:spacing w:before="60" w:after="60"/>
        <w:ind w:left="568" w:hanging="284"/>
      </w:pPr>
      <w:r>
        <w:t>300</w:t>
      </w:r>
      <w:r w:rsidRPr="008E640D">
        <w:t xml:space="preserve"> εκατ. ευρώ για την κάλυψη </w:t>
      </w:r>
      <w:r>
        <w:t xml:space="preserve">διαφόρων </w:t>
      </w:r>
      <w:r w:rsidRPr="008E640D">
        <w:t xml:space="preserve">αναγκών των </w:t>
      </w:r>
      <w:r>
        <w:t xml:space="preserve">Υπουργείων και των </w:t>
      </w:r>
      <w:r w:rsidRPr="008E640D">
        <w:t>φορέων της Γενικής Κυβέρνησης,</w:t>
      </w:r>
    </w:p>
    <w:p w14:paraId="5CE6CE7D" w14:textId="2BCA3E17" w:rsidR="00855762" w:rsidRPr="008E640D" w:rsidRDefault="00855762" w:rsidP="00855762">
      <w:pPr>
        <w:numPr>
          <w:ilvl w:val="0"/>
          <w:numId w:val="1"/>
        </w:numPr>
        <w:spacing w:before="60" w:after="60"/>
        <w:ind w:left="568" w:hanging="284"/>
      </w:pPr>
      <w:r>
        <w:t>575 εκατ. ευρώ για λοιπές δαπάνες κοινωνικής ασφάλισης</w:t>
      </w:r>
      <w:r w:rsidR="0012165C">
        <w:t>, υγειονομικής περίθαλψης</w:t>
      </w:r>
      <w:r>
        <w:t xml:space="preserve"> και κοινωνικής προστασίας </w:t>
      </w:r>
      <w:r w:rsidRPr="008E640D">
        <w:t>και</w:t>
      </w:r>
    </w:p>
    <w:p w14:paraId="27B61BB0" w14:textId="1660889A" w:rsidR="000414B5" w:rsidRPr="00303E4D" w:rsidRDefault="00855762" w:rsidP="00303E4D">
      <w:pPr>
        <w:numPr>
          <w:ilvl w:val="0"/>
          <w:numId w:val="1"/>
        </w:numPr>
        <w:spacing w:before="60"/>
        <w:ind w:left="568" w:hanging="284"/>
      </w:pPr>
      <w:r w:rsidRPr="008E640D">
        <w:t>180 εκατ. ευρώ για την αντιμετώπιση των μεταναστευτικών ροών.</w:t>
      </w:r>
    </w:p>
    <w:bookmarkEnd w:id="309"/>
    <w:p w14:paraId="698BEB83" w14:textId="77777777" w:rsidR="00824F89" w:rsidRPr="000414B5" w:rsidRDefault="00824F89" w:rsidP="00824F89">
      <w:pPr>
        <w:spacing w:before="240"/>
        <w:rPr>
          <w:rFonts w:cs="Arial"/>
          <w:b/>
          <w:szCs w:val="22"/>
        </w:rPr>
      </w:pPr>
      <w:r w:rsidRPr="000414B5">
        <w:rPr>
          <w:rFonts w:cs="Arial"/>
          <w:b/>
          <w:szCs w:val="22"/>
        </w:rPr>
        <w:lastRenderedPageBreak/>
        <w:t>Αγορές παγίων περιουσιακών στοιχείων</w:t>
      </w:r>
    </w:p>
    <w:bookmarkEnd w:id="308"/>
    <w:p w14:paraId="14F8B27D" w14:textId="366F9B5A" w:rsidR="00303E4D" w:rsidRDefault="00303E4D" w:rsidP="00303E4D">
      <w:pPr>
        <w:rPr>
          <w:rFonts w:cs="Arial"/>
        </w:rPr>
      </w:pPr>
      <w:r w:rsidRPr="00502B28">
        <w:rPr>
          <w:rFonts w:cs="Arial"/>
        </w:rPr>
        <w:t>Η προβλεπόμενη δαπάνη αναμένεται να ανέλθει στ</w:t>
      </w:r>
      <w:r>
        <w:rPr>
          <w:rFonts w:cs="Arial"/>
        </w:rPr>
        <w:t>ο ποσό των 2</w:t>
      </w:r>
      <w:r w:rsidRPr="00502B28">
        <w:rPr>
          <w:rFonts w:cs="Arial"/>
        </w:rPr>
        <w:t>.</w:t>
      </w:r>
      <w:r>
        <w:rPr>
          <w:rFonts w:cs="Arial"/>
        </w:rPr>
        <w:t>456</w:t>
      </w:r>
      <w:r w:rsidRPr="00502B28">
        <w:rPr>
          <w:rFonts w:cs="Arial"/>
        </w:rPr>
        <w:t xml:space="preserve"> εκατ. ευρώ, αυξημένη κατά </w:t>
      </w:r>
      <w:r>
        <w:rPr>
          <w:rFonts w:cs="Arial"/>
        </w:rPr>
        <w:t>587</w:t>
      </w:r>
      <w:r w:rsidRPr="00502B28">
        <w:rPr>
          <w:rFonts w:cs="Arial"/>
        </w:rPr>
        <w:t xml:space="preserve"> εκατ. ευρώ σε σχέση με </w:t>
      </w:r>
      <w:r w:rsidR="0084006A">
        <w:rPr>
          <w:rFonts w:cs="Arial"/>
        </w:rPr>
        <w:t xml:space="preserve">την εκτίμηση </w:t>
      </w:r>
      <w:r w:rsidRPr="00502B28">
        <w:rPr>
          <w:rFonts w:cs="Arial"/>
        </w:rPr>
        <w:t>το</w:t>
      </w:r>
      <w:r w:rsidR="0084006A">
        <w:rPr>
          <w:rFonts w:cs="Arial"/>
        </w:rPr>
        <w:t>υ</w:t>
      </w:r>
      <w:r w:rsidRPr="00502B28">
        <w:rPr>
          <w:rFonts w:cs="Arial"/>
        </w:rPr>
        <w:t xml:space="preserve"> 202</w:t>
      </w:r>
      <w:r>
        <w:rPr>
          <w:rFonts w:cs="Arial"/>
        </w:rPr>
        <w:t>5</w:t>
      </w:r>
      <w:r w:rsidRPr="00502B28">
        <w:rPr>
          <w:rFonts w:cs="Arial"/>
        </w:rPr>
        <w:t>, κυρίως λόγω των αυξημένων φυσικών παραλαβών οπλικών συστημάτων του Υπουργείου Εθνικής Άμυνας.</w:t>
      </w:r>
    </w:p>
    <w:p w14:paraId="4A6C49C7" w14:textId="77777777" w:rsidR="00494595" w:rsidRPr="00AC5443" w:rsidRDefault="00494595" w:rsidP="00494595">
      <w:pPr>
        <w:spacing w:before="240"/>
        <w:rPr>
          <w:rFonts w:cs="Arial"/>
          <w:b/>
        </w:rPr>
      </w:pPr>
      <w:r w:rsidRPr="00AC5443">
        <w:rPr>
          <w:rFonts w:cs="Arial"/>
          <w:b/>
        </w:rPr>
        <w:t>Πληροφοριακά Στοιχεία:</w:t>
      </w:r>
    </w:p>
    <w:p w14:paraId="611A9826" w14:textId="77777777" w:rsidR="00B11B72" w:rsidRPr="00AC5443" w:rsidRDefault="00B11B72" w:rsidP="00B11B72">
      <w:pPr>
        <w:spacing w:before="240"/>
        <w:rPr>
          <w:rFonts w:cs="Arial"/>
          <w:b/>
          <w:i/>
          <w:szCs w:val="22"/>
        </w:rPr>
      </w:pPr>
      <w:r w:rsidRPr="00AC5443">
        <w:rPr>
          <w:rFonts w:cs="Arial"/>
          <w:b/>
          <w:i/>
          <w:szCs w:val="22"/>
        </w:rPr>
        <w:t xml:space="preserve">Δαπάνες </w:t>
      </w:r>
      <w:r w:rsidRPr="001170FB">
        <w:rPr>
          <w:rFonts w:cs="Arial"/>
          <w:b/>
          <w:szCs w:val="22"/>
        </w:rPr>
        <w:t>Προϋπολογισμού Δημοσίων Επενδύσεων</w:t>
      </w:r>
      <w:r>
        <w:rPr>
          <w:rFonts w:cs="Arial"/>
          <w:b/>
          <w:i/>
          <w:szCs w:val="22"/>
        </w:rPr>
        <w:t xml:space="preserve"> εκτός ΤΑΑ</w:t>
      </w:r>
    </w:p>
    <w:bookmarkEnd w:id="306"/>
    <w:p w14:paraId="6C6B00AD" w14:textId="39B188B7" w:rsidR="00B11B72" w:rsidRPr="00414168" w:rsidRDefault="00B11B72" w:rsidP="00B11B72">
      <w:r w:rsidRPr="008C3412">
        <w:t>Για το έτος 2026 διατίθενται πόροι ύψους 9.500 εκατ. ευρώ, με κατανομή της συνολικής δαπάνης μεταξύ των έργων που θα συγχρηματοδοτηθούν από πόρους της ΕΕ, ύψους 6.200 εκατ. ευρώ και εκείνων που θα χρηματοδοτηθούν αποκλειστικά από εθνικούς πόρους, ύψους 3.300 εκατ. ευρώ. Το σύνολο των δαπανών που προβλέπεται να χρηματοδοτηθούν από τον προϋπολογισμό δημοσίων επενδύσεων περιλαμβάν</w:t>
      </w:r>
      <w:r w:rsidR="008C3412" w:rsidRPr="008C3412">
        <w:t>εται</w:t>
      </w:r>
      <w:r w:rsidRPr="008C3412">
        <w:t xml:space="preserve"> στις πιστώσεις υπό κατανομή.</w:t>
      </w:r>
    </w:p>
    <w:p w14:paraId="5D8D11DC" w14:textId="03DAB172" w:rsidR="001B37D9" w:rsidRPr="00AC5443" w:rsidRDefault="001B37D9" w:rsidP="00B11B72">
      <w:pPr>
        <w:rPr>
          <w:rFonts w:cs="Arial"/>
          <w:b/>
          <w:i/>
          <w:szCs w:val="22"/>
        </w:rPr>
      </w:pPr>
      <w:r w:rsidRPr="00AC5443">
        <w:rPr>
          <w:rFonts w:cs="Arial"/>
          <w:b/>
          <w:i/>
          <w:szCs w:val="22"/>
        </w:rPr>
        <w:t>Δαπάνες Τ</w:t>
      </w:r>
      <w:r w:rsidR="0006342D">
        <w:rPr>
          <w:rFonts w:cs="Arial"/>
          <w:b/>
          <w:i/>
          <w:szCs w:val="22"/>
        </w:rPr>
        <w:t>ΑΑ</w:t>
      </w:r>
    </w:p>
    <w:p w14:paraId="60F25FE1" w14:textId="740EF573" w:rsidR="00AC5443" w:rsidRPr="00B11B72" w:rsidRDefault="00B11B72" w:rsidP="00B11B72">
      <w:r w:rsidRPr="008C3412">
        <w:t>Το όριο των δαπανών για την υλοποίηση δράσεων που χρηματοδοτούνται από το σκέλος των επιχορηγήσεων του ΤΑΑ ανέρχεται σε 7.192 εκατ. ευρώ για το 2026, πέραν του ορίου δαπανών που αφορά στο εθνικό και το συγχρηματοδοτούμενο σκέλος του προϋπολογισμού δημοσίων επενδύσεων.</w:t>
      </w:r>
    </w:p>
    <w:p w14:paraId="15209718" w14:textId="763429DD" w:rsidR="001B7E83" w:rsidRPr="00570E3B" w:rsidRDefault="001B7E83" w:rsidP="00300BBF">
      <w:pPr>
        <w:pStyle w:val="4"/>
      </w:pPr>
      <w:bookmarkStart w:id="310" w:name="_Toc214473755"/>
      <w:r w:rsidRPr="00570E3B">
        <w:t>Νομικά Πρόσωπα</w:t>
      </w:r>
      <w:r w:rsidR="00C56474">
        <w:t xml:space="preserve"> Κεντρικής Κυβέρνησης</w:t>
      </w:r>
      <w:bookmarkEnd w:id="310"/>
    </w:p>
    <w:p w14:paraId="1A27E203" w14:textId="5ADCDF20" w:rsidR="00C41B43" w:rsidRPr="0062459C" w:rsidRDefault="00C41B43" w:rsidP="00570E3B">
      <w:r w:rsidRPr="0062459C">
        <w:t>Το δημοσιονομικό αποτέλεσμα του συνόλου των νομικών προσώπων της Κεντρικής Κυβέρνησης, πλην των νοσοκομείων και της ΠΦΥ</w:t>
      </w:r>
      <w:r w:rsidR="00D96274" w:rsidRPr="0062459C">
        <w:t>,</w:t>
      </w:r>
      <w:r w:rsidRPr="0062459C">
        <w:t xml:space="preserve"> για το έτος 202</w:t>
      </w:r>
      <w:r w:rsidR="007E606F" w:rsidRPr="0062459C">
        <w:t>6</w:t>
      </w:r>
      <w:r w:rsidRPr="0062459C">
        <w:t xml:space="preserve"> αναμένεται να διαμορφωθεί σ</w:t>
      </w:r>
      <w:r w:rsidR="0034225D" w:rsidRPr="0062459C">
        <w:t>ε</w:t>
      </w:r>
      <w:r w:rsidRPr="0062459C">
        <w:t xml:space="preserve"> </w:t>
      </w:r>
      <w:r w:rsidR="001044F7" w:rsidRPr="0062459C">
        <w:t xml:space="preserve">πλεόνασμα ύψους </w:t>
      </w:r>
      <w:r w:rsidR="00B42562" w:rsidRPr="0062459C">
        <w:t>3</w:t>
      </w:r>
      <w:r w:rsidRPr="0062459C">
        <w:t>.</w:t>
      </w:r>
      <w:r w:rsidR="000C722B" w:rsidRPr="0062459C">
        <w:t>932</w:t>
      </w:r>
      <w:r w:rsidRPr="0062459C">
        <w:t xml:space="preserve"> εκατ. ευρώ, </w:t>
      </w:r>
      <w:r w:rsidR="00951611" w:rsidRPr="0062459C">
        <w:t>βελτιωμένο</w:t>
      </w:r>
      <w:r w:rsidRPr="0062459C">
        <w:t xml:space="preserve"> κατά </w:t>
      </w:r>
      <w:r w:rsidR="000C722B" w:rsidRPr="0062459C">
        <w:t>321</w:t>
      </w:r>
      <w:r w:rsidRPr="0062459C">
        <w:t xml:space="preserve"> εκατ. ευρώ σε σχέση με τις εκτιμήσεις οικονομικού έτους 202</w:t>
      </w:r>
      <w:r w:rsidR="000C722B" w:rsidRPr="0062459C">
        <w:t>5</w:t>
      </w:r>
      <w:r w:rsidRPr="0062459C">
        <w:t>.</w:t>
      </w:r>
    </w:p>
    <w:p w14:paraId="2C08A770" w14:textId="4B702A72" w:rsidR="001B7E83" w:rsidRPr="00D24EA6" w:rsidRDefault="001B7E83" w:rsidP="00300BBF">
      <w:pPr>
        <w:pStyle w:val="4"/>
      </w:pPr>
      <w:bookmarkStart w:id="311" w:name="_Toc214473756"/>
      <w:r w:rsidRPr="00D24EA6">
        <w:t xml:space="preserve">Νοσοκομεία </w:t>
      </w:r>
      <w:r w:rsidR="007D6E02">
        <w:t>-</w:t>
      </w:r>
      <w:r w:rsidRPr="00D24EA6">
        <w:t xml:space="preserve"> Πρωτοβάθμια Φροντίδα Υγείας</w:t>
      </w:r>
      <w:bookmarkEnd w:id="311"/>
    </w:p>
    <w:p w14:paraId="79473C4C" w14:textId="12B9D659" w:rsidR="007D6E02" w:rsidRPr="003F57B3" w:rsidRDefault="003F57B3" w:rsidP="00DE204C">
      <w:r>
        <w:t xml:space="preserve">Το δημοσιονομικό αποτέλεσμα των νοσοκομείων και της ΠΦΥ προβλέπεται ότι θα διαμορφωθεί σε πλεόνασμα ύψους 481 εκατ. ευρώ, παρουσιάζοντας βελτίωση κατά 224 εκατ. ευρώ σε σχέση με το αντίστοιχο εκτιμώμενο μέγεθος για το 2025, όπως περιγράφεται αναλυτικότερα </w:t>
      </w:r>
      <w:r w:rsidRPr="00154C13">
        <w:t xml:space="preserve">στην ενότητα </w:t>
      </w:r>
      <w:r w:rsidRPr="00154C13">
        <w:fldChar w:fldCharType="begin"/>
      </w:r>
      <w:r w:rsidRPr="00154C13">
        <w:instrText xml:space="preserve"> REF _Ref182910365 \r \h  \* MERGEFORMAT </w:instrText>
      </w:r>
      <w:r w:rsidRPr="00154C13">
        <w:fldChar w:fldCharType="separate"/>
      </w:r>
      <w:r w:rsidR="00E15678">
        <w:t>3.5</w:t>
      </w:r>
      <w:r w:rsidRPr="00154C13">
        <w:fldChar w:fldCharType="end"/>
      </w:r>
      <w:r w:rsidRPr="00154C13">
        <w:t>.</w:t>
      </w:r>
    </w:p>
    <w:p w14:paraId="694F0DFD" w14:textId="2B1CAED4" w:rsidR="001B7E83" w:rsidRPr="008012AD" w:rsidRDefault="001B7E83" w:rsidP="00300BBF">
      <w:pPr>
        <w:pStyle w:val="4"/>
      </w:pPr>
      <w:bookmarkStart w:id="312" w:name="_Toc214473757"/>
      <w:r w:rsidRPr="008012AD">
        <w:t>Οργανισμοί Τοπικής Αυτοδιοίκησης</w:t>
      </w:r>
      <w:bookmarkEnd w:id="312"/>
    </w:p>
    <w:p w14:paraId="5377C405" w14:textId="26E87144" w:rsidR="00150F14" w:rsidRPr="00824C1A" w:rsidRDefault="00150F14" w:rsidP="00150F14">
      <w:bookmarkStart w:id="313" w:name="_Hlk182228340"/>
      <w:r w:rsidRPr="00824C1A">
        <w:t xml:space="preserve">Το έτος 2026 το ισοζύγιο κατά ESA των ΟΤΑ προβλέπεται να διαμορφωθεί σε πλεόνασμα ύψους 106 εκατ. ευρώ, αυξημένο κατά 39 εκατ. ευρώ σε σχέση με τις εκτιμήσεις του 2025. Οι τρέχουσες και </w:t>
      </w:r>
      <w:r w:rsidR="00AF56E5">
        <w:t xml:space="preserve">οι </w:t>
      </w:r>
      <w:r w:rsidRPr="00824C1A">
        <w:t>κεφαλαιακές μεταβιβάσεις είναι αυξημένες</w:t>
      </w:r>
      <w:r w:rsidR="00AF56E5">
        <w:t>,</w:t>
      </w:r>
      <w:r w:rsidRPr="00824C1A">
        <w:t xml:space="preserve"> διότι αφενός, ενσωματώνουν αυξήσεις ύψους 148 εκατ. ευρώ σε μόνιμη βάση</w:t>
      </w:r>
      <w:r>
        <w:t xml:space="preserve"> από τον τακτικό προϋπολογισμό του Υπουργείου Εσωτερικών</w:t>
      </w:r>
      <w:r w:rsidRPr="00824C1A">
        <w:t xml:space="preserve"> και αφετέρου, οι μεταβιβαζόμενοι πόροι από </w:t>
      </w:r>
      <w:r w:rsidRPr="009A6ADB">
        <w:t>το</w:t>
      </w:r>
      <w:r w:rsidR="00AF56E5" w:rsidRPr="009A6ADB">
        <w:t>ν προϋπολογισμό δημοσίων επενδύσεων και</w:t>
      </w:r>
      <w:r w:rsidR="00AF56E5">
        <w:t xml:space="preserve"> το ΤΑ</w:t>
      </w:r>
      <w:r w:rsidRPr="00824C1A">
        <w:t>Α παρουσιάζουν ανοδική πορεία. Θετική επίδραση εμφανίζουν και τα ίδια έσοδα των ΟΤΑ.</w:t>
      </w:r>
    </w:p>
    <w:p w14:paraId="5370554B" w14:textId="141B80C3" w:rsidR="00BA4D24" w:rsidRPr="00150F14" w:rsidRDefault="00150F14" w:rsidP="00793528">
      <w:pPr>
        <w:rPr>
          <w:highlight w:val="yellow"/>
        </w:rPr>
      </w:pPr>
      <w:r w:rsidRPr="00824C1A">
        <w:t>Οι επενδυτικές δαπάνες προβλέπονται αυξημένες έναντι των εκτιμήσεων του 2025, ενώ τα λοιπά έξοδα αναμένεται να αυξηθούν βάσει των μακροοικονομικών μεγεθών. Επιπλέον</w:t>
      </w:r>
      <w:r w:rsidR="00AF56E5">
        <w:t>,</w:t>
      </w:r>
      <w:r w:rsidRPr="00824C1A">
        <w:t xml:space="preserve"> οι δαπάνες για παροχές σε εργαζόμενους προβλέπεται να παρουσιάσουν αύξηση κατά 92 εκατ. ευρώ σε σχέση με τις εκτιμήσεις του 2025 κυρίως λόγω </w:t>
      </w:r>
      <w:r w:rsidR="00AF56E5">
        <w:t xml:space="preserve">της </w:t>
      </w:r>
      <w:r w:rsidRPr="00824C1A">
        <w:t>αύξησης του μισθολογικού κόστους του προσωπικού των ΟΤΑ, ως αποτέλεσμα της μισθολογικής πολιτικής</w:t>
      </w:r>
      <w:r>
        <w:t>.</w:t>
      </w:r>
      <w:bookmarkEnd w:id="313"/>
    </w:p>
    <w:p w14:paraId="492D2A42" w14:textId="291923D8" w:rsidR="001B7E83" w:rsidRPr="00360F64" w:rsidRDefault="001B7E83" w:rsidP="00300BBF">
      <w:pPr>
        <w:pStyle w:val="4"/>
      </w:pPr>
      <w:bookmarkStart w:id="314" w:name="_Toc214473758"/>
      <w:r w:rsidRPr="00360F64">
        <w:lastRenderedPageBreak/>
        <w:t>Οργανισμοί Κοινωνικής Ασφάλισης</w:t>
      </w:r>
      <w:bookmarkEnd w:id="314"/>
    </w:p>
    <w:p w14:paraId="6C1BE3AA" w14:textId="77777777" w:rsidR="004052FC" w:rsidRDefault="004052FC" w:rsidP="00913DF0">
      <w:r>
        <w:t>Το δημοσιονομικό αποτέλεσμα του υποτομέα των ΟΚΑ προβλέπεται να διαμορφωθεί σε πλεόνασμα ύψους 1.790 εκατ. ευρώ, παρουσιάζοντας μείωση κατά 206 εκατ. ευρώ σε σχέση με το αντίστοιχο εκτιμώμενο μέγεθος για το 2025.</w:t>
      </w:r>
    </w:p>
    <w:p w14:paraId="04F9E593" w14:textId="77777777" w:rsidR="004052FC" w:rsidRDefault="004052FC" w:rsidP="00913DF0">
      <w:r>
        <w:t>Πιο συγκεκριμένα, τα έσοδα αναμένεται να ανέλθουν σε 55.500 εκατ. ευρώ, αυξημένα κατά 1.352 εκατ. ευρώ σε σχέση με το 2025.</w:t>
      </w:r>
    </w:p>
    <w:p w14:paraId="01E8F2C7" w14:textId="458E1026" w:rsidR="004052FC" w:rsidRPr="004C4691" w:rsidRDefault="004052FC" w:rsidP="00913DF0">
      <w:r>
        <w:t>Ειδικότερα, προβλέπεται αύξηση των εσόδων από ασφαλιστικές εισφορές κατά 1.167 εκατ. ευρώ. Η εν λόγω μεταβολή ενσωματώνει κατά κύριο λόγο την αναμενόμενη αύξηση των εσόδων από ασφαλιστικές εισφορές που αποδίδεται:</w:t>
      </w:r>
    </w:p>
    <w:p w14:paraId="60B65C83" w14:textId="760E50C7" w:rsidR="004052FC" w:rsidRDefault="004052FC" w:rsidP="004052FC">
      <w:pPr>
        <w:numPr>
          <w:ilvl w:val="0"/>
          <w:numId w:val="1"/>
        </w:numPr>
        <w:spacing w:before="120" w:after="60"/>
        <w:ind w:left="568" w:hanging="284"/>
      </w:pPr>
      <w:r>
        <w:t>στην αύξηση των μισθών και της απασχόλησης</w:t>
      </w:r>
      <w:r w:rsidR="00D006B3">
        <w:t>,</w:t>
      </w:r>
      <w:r>
        <w:t xml:space="preserve"> ως αποτέλεσμα του ρυθμού ανάπτυξης της οικονομίας,</w:t>
      </w:r>
    </w:p>
    <w:p w14:paraId="4F07EB7A" w14:textId="11B2F181" w:rsidR="004052FC" w:rsidRDefault="004052FC" w:rsidP="00913DF0">
      <w:pPr>
        <w:numPr>
          <w:ilvl w:val="0"/>
          <w:numId w:val="1"/>
        </w:numPr>
        <w:spacing w:before="60" w:after="60"/>
        <w:ind w:left="568" w:hanging="284"/>
      </w:pPr>
      <w:r>
        <w:t>στην περαιτέρω αύξηση του κατώτατου μισθού,</w:t>
      </w:r>
    </w:p>
    <w:p w14:paraId="7DE188A6" w14:textId="77777777" w:rsidR="004052FC" w:rsidRDefault="004052FC" w:rsidP="004052FC">
      <w:pPr>
        <w:numPr>
          <w:ilvl w:val="0"/>
          <w:numId w:val="1"/>
        </w:numPr>
        <w:spacing w:before="60" w:after="60"/>
        <w:ind w:left="568" w:hanging="284"/>
      </w:pPr>
      <w:r>
        <w:t>στην εφαρμογή της Ψηφιακής Κάρτας Εργασίας και</w:t>
      </w:r>
    </w:p>
    <w:p w14:paraId="504446A2" w14:textId="77777777" w:rsidR="004052FC" w:rsidRDefault="004052FC" w:rsidP="00913DF0">
      <w:pPr>
        <w:numPr>
          <w:ilvl w:val="0"/>
          <w:numId w:val="1"/>
        </w:numPr>
        <w:spacing w:before="60"/>
        <w:ind w:left="568" w:hanging="284"/>
      </w:pPr>
      <w:r>
        <w:t>στις μισθολογικές αυξήσεις στον δημόσιο τομέα.</w:t>
      </w:r>
    </w:p>
    <w:p w14:paraId="66569848" w14:textId="18E79DA9" w:rsidR="004052FC" w:rsidRDefault="004052FC" w:rsidP="00913DF0">
      <w:r>
        <w:t>Επιπρόσθετα, αύξηση κατά 260 εκατ. ευρώ προβλέπεται να παρουσιάσουν τα έσοδα των ΟΚΑ από τρέχουσες και λοιπές κεφαλαιακές μεταβιβάσεις. Η ανωτέρω μεταβολή ενσωματώνει κυρίως την αύξηση των μεταβιβάσεων από τον τακτικό προϋπολογισμό για τη χρηματοδότηση του ασφαλιστικού συστήματος και ειδικότερα για την κάλυψη των παροχών κύριας σύνταξης.</w:t>
      </w:r>
    </w:p>
    <w:p w14:paraId="231CDD6C" w14:textId="0CD23C8F" w:rsidR="004052FC" w:rsidRDefault="004052FC" w:rsidP="00913DF0">
      <w:r>
        <w:t>Αντίστοιχα, οι δαπάνες των ΟΚΑ προβλέπεται να είναι αυξημένες κατά 1.558 εκατ. ευρώ σε σχέση με το 2025 και να ανέλθουν σε 53.710 εκατ. ευρώ. Η μεταβολή αυτή οφείλεται κατά κύριο λόγο στην αύξηση κατά 1.458 εκατ. ευρώ των κοινωνικών παροχών, η οποία αποτυπώνει την προβλεπόμενη αύξηση κατά 1.344 εκατ. ευρώ της συνταξιοδοτικής δαπάνης.</w:t>
      </w:r>
    </w:p>
    <w:p w14:paraId="256734DA" w14:textId="7869FF1B" w:rsidR="004052FC" w:rsidRPr="003E6E09" w:rsidRDefault="004052FC" w:rsidP="00913DF0">
      <w:pPr>
        <w:rPr>
          <w:highlight w:val="yellow"/>
        </w:rPr>
      </w:pPr>
      <w:r>
        <w:t>Ειδικότερα, η δαπάνη των κύριων συντάξεων εκτιμάται ότι θα παρουσιάσει αύξηση εξαιτίας κυρίως:</w:t>
      </w:r>
    </w:p>
    <w:p w14:paraId="1773B370" w14:textId="622EA5C6" w:rsidR="004052FC" w:rsidRDefault="004052FC" w:rsidP="002F1DED">
      <w:pPr>
        <w:numPr>
          <w:ilvl w:val="0"/>
          <w:numId w:val="1"/>
        </w:numPr>
        <w:spacing w:before="60" w:after="60"/>
        <w:ind w:left="568" w:hanging="284"/>
      </w:pPr>
      <w:r>
        <w:t>της αναπροσαρμογής των συντάξεων με βάση τον συντελεστή που προκύπτει από τον μέσο όρο του ετήσιου ποσοστού μεταβολής του ΑΕΠ και του ποσοστού μεταβολής του μέσου ετήσιου γενικού δείκτη τιμών καταναλωτή του προηγούμενου έτους (άρθρο 14 παρ.4 του ν.4387/2016), η οποία προβλέπεται να ανέλθει σε 629 εκατ. ευρώ περίπου</w:t>
      </w:r>
      <w:r w:rsidRPr="009812E6">
        <w:t>,</w:t>
      </w:r>
      <w:r w:rsidR="004E61DC">
        <w:t xml:space="preserve"> λαμβανομένου υπόψη και </w:t>
      </w:r>
      <w:r>
        <w:t>του μη συμψηφισμού του 50% της αύξησης των συντάξεων με την προσωπική διαφορά και</w:t>
      </w:r>
    </w:p>
    <w:p w14:paraId="4CB77EE4" w14:textId="48F2B653" w:rsidR="004052FC" w:rsidRDefault="004052FC" w:rsidP="004052FC">
      <w:pPr>
        <w:numPr>
          <w:ilvl w:val="0"/>
          <w:numId w:val="1"/>
        </w:numPr>
        <w:spacing w:before="60"/>
        <w:ind w:left="568" w:hanging="284"/>
      </w:pPr>
      <w:r>
        <w:t>της προβλεπόμενης αύξησης του ρυθμού απονομής νέων συντάξεων</w:t>
      </w:r>
      <w:r w:rsidR="000C3595">
        <w:t>.</w:t>
      </w:r>
    </w:p>
    <w:p w14:paraId="368BDB4D" w14:textId="59A53A16" w:rsidR="004052FC" w:rsidRDefault="004052FC" w:rsidP="00913DF0">
      <w:r>
        <w:t>Η δαπάνη για τις επικουρικές συντάξεις προβλέπεται αυξημένη σε σχέση με το 2025, καθ</w:t>
      </w:r>
      <w:r w:rsidR="000C3595">
        <w:t>’</w:t>
      </w:r>
      <w:r>
        <w:t xml:space="preserve"> όσον αναμένεται να εντατικοποιηθούν εντός του 2026 οι εκκαθαρίσεις που αφορούν σε περιπτώσεις διαδοχικής ασφάλισης και να καταβληθούν τα σχετικά αναδρομικά ποσά στους δικαιούχους.</w:t>
      </w:r>
    </w:p>
    <w:p w14:paraId="4C2EDC9A" w14:textId="0A0905B8" w:rsidR="00EB6FFC" w:rsidRPr="006E7FA2" w:rsidRDefault="004052FC" w:rsidP="00EB6FFC">
      <w:r>
        <w:t xml:space="preserve">Επιπρόσθετα, προβλέπεται αύξηση κατά 251 εκατ. ευρώ των κοινωνικών παροχών σε είδος </w:t>
      </w:r>
      <w:r w:rsidRPr="00DC2B4D">
        <w:t>(φαρμακευτική δαπάνη, δαπάνη παρ</w:t>
      </w:r>
      <w:r w:rsidR="00DC2B4D">
        <w:t>ο</w:t>
      </w:r>
      <w:r w:rsidR="000C3595" w:rsidRPr="00DC2B4D">
        <w:t>χ</w:t>
      </w:r>
      <w:r w:rsidR="00DC2B4D">
        <w:t>ώ</w:t>
      </w:r>
      <w:r w:rsidR="000C3595" w:rsidRPr="00DC2B4D">
        <w:t xml:space="preserve">ν </w:t>
      </w:r>
      <w:r w:rsidRPr="00DC2B4D">
        <w:t>υγείας) του ΕΟΠΥΥ</w:t>
      </w:r>
      <w:r>
        <w:t xml:space="preserve">, ενσωματώνοντας μέρος από την </w:t>
      </w:r>
      <w:r w:rsidRPr="00D94198">
        <w:t>αύξηση του ορίου φαρμακευτικής δαπάνης κατά 100 εκατ.</w:t>
      </w:r>
      <w:r>
        <w:t xml:space="preserve"> ευρώ</w:t>
      </w:r>
      <w:r w:rsidRPr="00D94198">
        <w:t xml:space="preserve"> ετησίως </w:t>
      </w:r>
      <w:r>
        <w:t>από το 2026 και μετά</w:t>
      </w:r>
      <w:r w:rsidRPr="00D94198">
        <w:t xml:space="preserve"> καθώς και την αύξηση κατά 35 εκατ. ευρώ του ορίου υγειονομικής δαπάνης </w:t>
      </w:r>
      <w:r w:rsidR="000C3595">
        <w:t xml:space="preserve">των </w:t>
      </w:r>
      <w:r w:rsidRPr="00D94198">
        <w:t xml:space="preserve">διαγνωστικών </w:t>
      </w:r>
      <w:r>
        <w:t xml:space="preserve">εργαστηρίων </w:t>
      </w:r>
      <w:r w:rsidRPr="00D94198">
        <w:t xml:space="preserve">και </w:t>
      </w:r>
      <w:r w:rsidR="000C3595">
        <w:t xml:space="preserve">των </w:t>
      </w:r>
      <w:r w:rsidRPr="00D94198">
        <w:t>ιδιωτικών κλινικών</w:t>
      </w:r>
      <w:r>
        <w:rPr>
          <w:rFonts w:ascii="Calibri" w:hAnsi="Calibri" w:cs="Calibri"/>
          <w:sz w:val="22"/>
          <w:szCs w:val="22"/>
        </w:rPr>
        <w:t>.</w:t>
      </w:r>
    </w:p>
    <w:p w14:paraId="582AB5E8" w14:textId="77777777" w:rsidR="001B7E83" w:rsidRPr="00033C64" w:rsidRDefault="00FD46BC" w:rsidP="00300BBF">
      <w:pPr>
        <w:pStyle w:val="3"/>
      </w:pPr>
      <w:bookmarkStart w:id="315" w:name="_Toc214473759"/>
      <w:r w:rsidRPr="00033C64">
        <w:t>Κρατικός προϋπολογισμός σε ταμειακή βάση</w:t>
      </w:r>
      <w:bookmarkEnd w:id="315"/>
    </w:p>
    <w:p w14:paraId="79917020" w14:textId="160A3E40" w:rsidR="00FD46BC" w:rsidRPr="007F38DC" w:rsidRDefault="00FD46BC" w:rsidP="007E15E1">
      <w:pPr>
        <w:spacing w:after="240"/>
        <w:rPr>
          <w:szCs w:val="20"/>
        </w:rPr>
      </w:pPr>
      <w:r w:rsidRPr="007F38DC">
        <w:rPr>
          <w:szCs w:val="20"/>
        </w:rPr>
        <w:t xml:space="preserve">Στους </w:t>
      </w:r>
      <w:r w:rsidR="00C93A57" w:rsidRPr="007F38DC">
        <w:rPr>
          <w:szCs w:val="20"/>
        </w:rPr>
        <w:t xml:space="preserve">παρακάτω </w:t>
      </w:r>
      <w:r w:rsidRPr="007F38DC">
        <w:rPr>
          <w:szCs w:val="20"/>
        </w:rPr>
        <w:t xml:space="preserve">πίνακες παρουσιάζονται τα καθαρά έσοδα και οι δαπάνες του κρατικού προϋπολογισμού κατά μείζονα κατηγορία σε ταμειακή </w:t>
      </w:r>
      <w:r w:rsidRPr="00154C13">
        <w:rPr>
          <w:szCs w:val="20"/>
        </w:rPr>
        <w:t>βάση</w:t>
      </w:r>
      <w:r w:rsidR="00C93A57" w:rsidRPr="00154C13">
        <w:rPr>
          <w:szCs w:val="20"/>
        </w:rPr>
        <w:t xml:space="preserve"> (</w:t>
      </w:r>
      <w:r w:rsidR="00C93A57" w:rsidRPr="00154C13">
        <w:rPr>
          <w:szCs w:val="20"/>
        </w:rPr>
        <w:fldChar w:fldCharType="begin"/>
      </w:r>
      <w:r w:rsidR="00C93A57" w:rsidRPr="00154C13">
        <w:rPr>
          <w:szCs w:val="20"/>
        </w:rPr>
        <w:instrText xml:space="preserve"> REF _Ref119513144 \h  \* MERGEFORMAT </w:instrText>
      </w:r>
      <w:r w:rsidR="00C93A57" w:rsidRPr="00154C13">
        <w:rPr>
          <w:szCs w:val="20"/>
        </w:rPr>
      </w:r>
      <w:r w:rsidR="00C93A57" w:rsidRPr="00154C13">
        <w:rPr>
          <w:szCs w:val="20"/>
        </w:rPr>
        <w:fldChar w:fldCharType="separate"/>
      </w:r>
      <w:r w:rsidR="00E15678" w:rsidRPr="00E15678">
        <w:rPr>
          <w:szCs w:val="20"/>
        </w:rPr>
        <w:t>Πίνακας 3.3</w:t>
      </w:r>
      <w:r w:rsidR="00C93A57" w:rsidRPr="00154C13">
        <w:rPr>
          <w:szCs w:val="20"/>
        </w:rPr>
        <w:fldChar w:fldCharType="end"/>
      </w:r>
      <w:r w:rsidR="000451A5" w:rsidRPr="00154C13">
        <w:rPr>
          <w:szCs w:val="20"/>
        </w:rPr>
        <w:t>.</w:t>
      </w:r>
      <w:r w:rsidR="00C93A57" w:rsidRPr="00154C13">
        <w:rPr>
          <w:szCs w:val="20"/>
        </w:rPr>
        <w:t xml:space="preserve">, </w:t>
      </w:r>
      <w:r w:rsidR="00A828EA" w:rsidRPr="00154C13">
        <w:fldChar w:fldCharType="begin"/>
      </w:r>
      <w:r w:rsidR="00A828EA" w:rsidRPr="00154C13">
        <w:instrText xml:space="preserve"> REF _Ref214049737 \h  \* MERGEFORMAT </w:instrText>
      </w:r>
      <w:r w:rsidR="00A828EA" w:rsidRPr="00154C13">
        <w:fldChar w:fldCharType="separate"/>
      </w:r>
      <w:r w:rsidR="00E15678" w:rsidRPr="00E15678">
        <w:t>Πίνακας 3.4</w:t>
      </w:r>
      <w:r w:rsidR="00A828EA" w:rsidRPr="00154C13">
        <w:fldChar w:fldCharType="end"/>
      </w:r>
      <w:r w:rsidR="00A828EA" w:rsidRPr="00154C13">
        <w:t>.</w:t>
      </w:r>
      <w:r w:rsidR="00C93A57" w:rsidRPr="00154C13">
        <w:t>)</w:t>
      </w:r>
      <w:r w:rsidRPr="00154C13">
        <w:t>.</w:t>
      </w:r>
    </w:p>
    <w:tbl>
      <w:tblPr>
        <w:tblW w:w="9526"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458"/>
        <w:gridCol w:w="1241"/>
        <w:gridCol w:w="1139"/>
        <w:gridCol w:w="13"/>
        <w:gridCol w:w="1423"/>
        <w:gridCol w:w="1039"/>
        <w:gridCol w:w="1074"/>
        <w:gridCol w:w="1152"/>
        <w:gridCol w:w="1007"/>
        <w:gridCol w:w="980"/>
      </w:tblGrid>
      <w:tr w:rsidR="006978D9" w:rsidRPr="008555B4" w14:paraId="66D76CAB" w14:textId="77777777" w:rsidTr="005611F1">
        <w:trPr>
          <w:cantSplit/>
          <w:trHeight w:val="510"/>
          <w:tblHeader/>
          <w:jc w:val="center"/>
        </w:trPr>
        <w:tc>
          <w:tcPr>
            <w:tcW w:w="9526" w:type="dxa"/>
            <w:gridSpan w:val="10"/>
            <w:tcBorders>
              <w:top w:val="single" w:sz="2" w:space="0" w:color="A6A6A6" w:themeColor="background1" w:themeShade="A6"/>
              <w:bottom w:val="single" w:sz="2" w:space="0" w:color="A6A6A6" w:themeColor="background1" w:themeShade="A6"/>
            </w:tcBorders>
            <w:shd w:val="clear" w:color="000000" w:fill="D5DCE4"/>
            <w:vAlign w:val="center"/>
            <w:hideMark/>
          </w:tcPr>
          <w:p w14:paraId="2A5EA065" w14:textId="2DE1EFC5" w:rsidR="003413BC" w:rsidRDefault="00C93A57" w:rsidP="00410C08">
            <w:pPr>
              <w:spacing w:after="0" w:line="276" w:lineRule="auto"/>
              <w:jc w:val="center"/>
              <w:rPr>
                <w:rFonts w:cs="Arial"/>
                <w:b/>
                <w:bCs/>
                <w:color w:val="000000"/>
                <w:sz w:val="18"/>
                <w:szCs w:val="16"/>
              </w:rPr>
            </w:pPr>
            <w:bookmarkStart w:id="316" w:name="_Ref119513144"/>
            <w:bookmarkStart w:id="317" w:name="_Toc214474041"/>
            <w:r w:rsidRPr="008555B4">
              <w:rPr>
                <w:rFonts w:cs="Arial"/>
                <w:b/>
                <w:sz w:val="18"/>
                <w:szCs w:val="16"/>
              </w:rPr>
              <w:lastRenderedPageBreak/>
              <w:t>Πίνακας 3.</w:t>
            </w:r>
            <w:r w:rsidRPr="008555B4">
              <w:rPr>
                <w:rFonts w:cs="Arial"/>
                <w:b/>
                <w:sz w:val="18"/>
                <w:szCs w:val="16"/>
              </w:rPr>
              <w:fldChar w:fldCharType="begin"/>
            </w:r>
            <w:r w:rsidRPr="008555B4">
              <w:rPr>
                <w:rFonts w:cs="Arial"/>
                <w:b/>
                <w:sz w:val="18"/>
                <w:szCs w:val="16"/>
              </w:rPr>
              <w:instrText xml:space="preserve"> SEQ Πίνακας_3. \* ARABIC </w:instrText>
            </w:r>
            <w:r w:rsidRPr="008555B4">
              <w:rPr>
                <w:rFonts w:cs="Arial"/>
                <w:b/>
                <w:sz w:val="18"/>
                <w:szCs w:val="16"/>
              </w:rPr>
              <w:fldChar w:fldCharType="separate"/>
            </w:r>
            <w:r w:rsidR="00E15678">
              <w:rPr>
                <w:rFonts w:cs="Arial"/>
                <w:b/>
                <w:noProof/>
                <w:sz w:val="18"/>
                <w:szCs w:val="16"/>
              </w:rPr>
              <w:t>3</w:t>
            </w:r>
            <w:r w:rsidRPr="008555B4">
              <w:rPr>
                <w:rFonts w:cs="Arial"/>
                <w:b/>
                <w:sz w:val="18"/>
                <w:szCs w:val="16"/>
              </w:rPr>
              <w:fldChar w:fldCharType="end"/>
            </w:r>
            <w:bookmarkEnd w:id="316"/>
            <w:r w:rsidR="006978D9" w:rsidRPr="008555B4">
              <w:rPr>
                <w:rFonts w:cs="Arial"/>
                <w:b/>
                <w:bCs/>
                <w:color w:val="000000"/>
                <w:sz w:val="18"/>
                <w:szCs w:val="16"/>
              </w:rPr>
              <w:t xml:space="preserve">.: Καθαρά έσοδα </w:t>
            </w:r>
            <w:r w:rsidR="006242E1" w:rsidRPr="008555B4">
              <w:rPr>
                <w:rFonts w:cs="Arial"/>
                <w:b/>
                <w:bCs/>
                <w:color w:val="000000"/>
                <w:sz w:val="18"/>
                <w:szCs w:val="16"/>
              </w:rPr>
              <w:t>κ</w:t>
            </w:r>
            <w:r w:rsidR="006978D9" w:rsidRPr="008555B4">
              <w:rPr>
                <w:rFonts w:cs="Arial"/>
                <w:b/>
                <w:bCs/>
                <w:color w:val="000000"/>
                <w:sz w:val="18"/>
                <w:szCs w:val="16"/>
              </w:rPr>
              <w:t xml:space="preserve">ρατικού </w:t>
            </w:r>
            <w:r w:rsidR="006242E1" w:rsidRPr="008555B4">
              <w:rPr>
                <w:rFonts w:cs="Arial"/>
                <w:b/>
                <w:bCs/>
                <w:color w:val="000000"/>
                <w:sz w:val="18"/>
                <w:szCs w:val="16"/>
              </w:rPr>
              <w:t>π</w:t>
            </w:r>
            <w:r w:rsidR="006978D9" w:rsidRPr="008555B4">
              <w:rPr>
                <w:rFonts w:cs="Arial"/>
                <w:b/>
                <w:bCs/>
                <w:color w:val="000000"/>
                <w:sz w:val="18"/>
                <w:szCs w:val="16"/>
              </w:rPr>
              <w:t>ροϋπολογισμού κατά μείζονα κατηγορία</w:t>
            </w:r>
            <w:r w:rsidR="003413BC">
              <w:rPr>
                <w:rFonts w:cs="Arial"/>
                <w:b/>
                <w:bCs/>
                <w:color w:val="000000"/>
                <w:sz w:val="18"/>
                <w:szCs w:val="16"/>
              </w:rPr>
              <w:t xml:space="preserve"> </w:t>
            </w:r>
            <w:r w:rsidR="006978D9" w:rsidRPr="008555B4">
              <w:rPr>
                <w:rFonts w:cs="Arial"/>
                <w:b/>
                <w:bCs/>
                <w:color w:val="000000"/>
                <w:sz w:val="18"/>
                <w:szCs w:val="16"/>
              </w:rPr>
              <w:t>σε ταμειακή βάση</w:t>
            </w:r>
            <w:bookmarkEnd w:id="317"/>
          </w:p>
          <w:p w14:paraId="078DD2AA" w14:textId="48F64269" w:rsidR="006978D9" w:rsidRPr="008555B4" w:rsidRDefault="006978D9" w:rsidP="00410C08">
            <w:pPr>
              <w:spacing w:after="0" w:line="276" w:lineRule="auto"/>
              <w:jc w:val="center"/>
              <w:rPr>
                <w:rFonts w:cs="Arial"/>
                <w:b/>
                <w:bCs/>
                <w:color w:val="000000"/>
                <w:sz w:val="18"/>
                <w:szCs w:val="16"/>
              </w:rPr>
            </w:pPr>
            <w:r w:rsidRPr="008555B4">
              <w:rPr>
                <w:rFonts w:cs="Arial"/>
                <w:b/>
                <w:bCs/>
                <w:color w:val="000000"/>
                <w:sz w:val="18"/>
                <w:szCs w:val="16"/>
              </w:rPr>
              <w:t>(σε εκατ. ευρώ)</w:t>
            </w:r>
          </w:p>
        </w:tc>
      </w:tr>
      <w:tr w:rsidR="00D95BB1" w:rsidRPr="008555B4" w14:paraId="3B717012" w14:textId="77777777" w:rsidTr="005611F1">
        <w:trPr>
          <w:cantSplit/>
          <w:trHeight w:val="231"/>
          <w:tblHeader/>
          <w:jc w:val="center"/>
        </w:trPr>
        <w:tc>
          <w:tcPr>
            <w:tcW w:w="458" w:type="dxa"/>
            <w:vMerge w:val="restart"/>
            <w:shd w:val="clear" w:color="auto" w:fill="F2F2F2" w:themeFill="background1" w:themeFillShade="F2"/>
            <w:noWrap/>
            <w:vAlign w:val="center"/>
            <w:hideMark/>
          </w:tcPr>
          <w:p w14:paraId="7170BCB3" w14:textId="77777777" w:rsidR="006978D9" w:rsidRPr="008555B4" w:rsidRDefault="006978D9" w:rsidP="00410C08">
            <w:pPr>
              <w:spacing w:after="0" w:line="276" w:lineRule="auto"/>
              <w:jc w:val="center"/>
              <w:rPr>
                <w:rFonts w:cs="Arial"/>
                <w:b/>
                <w:bCs/>
                <w:color w:val="000000"/>
                <w:sz w:val="16"/>
                <w:szCs w:val="16"/>
              </w:rPr>
            </w:pPr>
            <w:r w:rsidRPr="008555B4">
              <w:rPr>
                <w:rFonts w:cs="Arial"/>
                <w:b/>
                <w:bCs/>
                <w:color w:val="000000"/>
                <w:sz w:val="16"/>
                <w:szCs w:val="16"/>
              </w:rPr>
              <w:t>α/α</w:t>
            </w:r>
          </w:p>
        </w:tc>
        <w:tc>
          <w:tcPr>
            <w:tcW w:w="1241" w:type="dxa"/>
            <w:vMerge w:val="restart"/>
            <w:shd w:val="clear" w:color="auto" w:fill="F2F2F2" w:themeFill="background1" w:themeFillShade="F2"/>
            <w:vAlign w:val="center"/>
            <w:hideMark/>
          </w:tcPr>
          <w:p w14:paraId="0D042467" w14:textId="77777777" w:rsidR="006978D9" w:rsidRPr="008555B4" w:rsidRDefault="006978D9" w:rsidP="00410C08">
            <w:pPr>
              <w:spacing w:after="0" w:line="276" w:lineRule="auto"/>
              <w:ind w:right="145"/>
              <w:jc w:val="center"/>
              <w:rPr>
                <w:rFonts w:cs="Arial"/>
                <w:b/>
                <w:bCs/>
                <w:color w:val="000000"/>
                <w:sz w:val="16"/>
                <w:szCs w:val="16"/>
              </w:rPr>
            </w:pPr>
            <w:r w:rsidRPr="008555B4">
              <w:rPr>
                <w:rFonts w:cs="Arial"/>
                <w:b/>
                <w:bCs/>
                <w:color w:val="000000"/>
                <w:sz w:val="16"/>
                <w:szCs w:val="16"/>
              </w:rPr>
              <w:t>Μείζονες Κατηγορίες</w:t>
            </w:r>
          </w:p>
        </w:tc>
        <w:tc>
          <w:tcPr>
            <w:tcW w:w="2575" w:type="dxa"/>
            <w:gridSpan w:val="3"/>
            <w:vMerge w:val="restart"/>
            <w:shd w:val="clear" w:color="auto" w:fill="F2F2F2" w:themeFill="background1" w:themeFillShade="F2"/>
            <w:vAlign w:val="center"/>
            <w:hideMark/>
          </w:tcPr>
          <w:p w14:paraId="72F5432E" w14:textId="77777777" w:rsidR="006978D9" w:rsidRPr="008555B4" w:rsidRDefault="006978D9" w:rsidP="00410C08">
            <w:pPr>
              <w:spacing w:after="0" w:line="276" w:lineRule="auto"/>
              <w:jc w:val="center"/>
              <w:rPr>
                <w:rFonts w:cs="Arial"/>
                <w:b/>
                <w:bCs/>
                <w:color w:val="000000"/>
                <w:sz w:val="16"/>
                <w:szCs w:val="16"/>
              </w:rPr>
            </w:pPr>
            <w:r w:rsidRPr="008555B4">
              <w:rPr>
                <w:rFonts w:cs="Arial"/>
                <w:b/>
                <w:bCs/>
                <w:color w:val="000000"/>
                <w:sz w:val="16"/>
                <w:szCs w:val="16"/>
              </w:rPr>
              <w:t>Περιγραφή</w:t>
            </w:r>
          </w:p>
        </w:tc>
        <w:tc>
          <w:tcPr>
            <w:tcW w:w="1039" w:type="dxa"/>
            <w:shd w:val="clear" w:color="auto" w:fill="F2F2F2" w:themeFill="background1" w:themeFillShade="F2"/>
            <w:noWrap/>
            <w:vAlign w:val="center"/>
          </w:tcPr>
          <w:p w14:paraId="461F2BA7" w14:textId="50057322" w:rsidR="006978D9" w:rsidRPr="008555B4" w:rsidRDefault="00801546" w:rsidP="00410C08">
            <w:pPr>
              <w:spacing w:after="0" w:line="276" w:lineRule="auto"/>
              <w:jc w:val="center"/>
              <w:rPr>
                <w:rFonts w:cs="Arial"/>
                <w:b/>
                <w:bCs/>
                <w:color w:val="000000"/>
                <w:sz w:val="16"/>
                <w:szCs w:val="16"/>
              </w:rPr>
            </w:pPr>
            <w:r w:rsidRPr="008555B4">
              <w:rPr>
                <w:rFonts w:cs="Arial"/>
                <w:b/>
                <w:bCs/>
                <w:color w:val="000000"/>
                <w:sz w:val="16"/>
                <w:szCs w:val="16"/>
              </w:rPr>
              <w:t>202</w:t>
            </w:r>
            <w:r w:rsidR="00950D8B" w:rsidRPr="008555B4">
              <w:rPr>
                <w:rFonts w:cs="Arial"/>
                <w:b/>
                <w:bCs/>
                <w:color w:val="000000"/>
                <w:sz w:val="16"/>
                <w:szCs w:val="16"/>
              </w:rPr>
              <w:t>4</w:t>
            </w:r>
          </w:p>
        </w:tc>
        <w:tc>
          <w:tcPr>
            <w:tcW w:w="1074" w:type="dxa"/>
            <w:shd w:val="clear" w:color="auto" w:fill="F2F2F2" w:themeFill="background1" w:themeFillShade="F2"/>
            <w:noWrap/>
            <w:vAlign w:val="center"/>
          </w:tcPr>
          <w:p w14:paraId="34DA8DE5" w14:textId="4276D5AE" w:rsidR="006978D9" w:rsidRPr="008555B4" w:rsidRDefault="00515083" w:rsidP="00410C08">
            <w:pPr>
              <w:spacing w:after="0" w:line="276" w:lineRule="auto"/>
              <w:jc w:val="center"/>
              <w:rPr>
                <w:rFonts w:cs="Arial"/>
                <w:b/>
                <w:bCs/>
                <w:color w:val="000000"/>
                <w:sz w:val="16"/>
                <w:szCs w:val="16"/>
              </w:rPr>
            </w:pPr>
            <w:r w:rsidRPr="008555B4">
              <w:rPr>
                <w:rFonts w:cs="Arial"/>
                <w:b/>
                <w:bCs/>
                <w:color w:val="000000"/>
                <w:sz w:val="16"/>
                <w:szCs w:val="16"/>
              </w:rPr>
              <w:t>202</w:t>
            </w:r>
            <w:r w:rsidR="00950D8B" w:rsidRPr="008555B4">
              <w:rPr>
                <w:rFonts w:cs="Arial"/>
                <w:b/>
                <w:bCs/>
                <w:color w:val="000000"/>
                <w:sz w:val="16"/>
                <w:szCs w:val="16"/>
              </w:rPr>
              <w:t>5</w:t>
            </w:r>
          </w:p>
        </w:tc>
        <w:tc>
          <w:tcPr>
            <w:tcW w:w="1152" w:type="dxa"/>
            <w:shd w:val="clear" w:color="auto" w:fill="F2F2F2" w:themeFill="background1" w:themeFillShade="F2"/>
            <w:noWrap/>
            <w:vAlign w:val="center"/>
          </w:tcPr>
          <w:p w14:paraId="3F825711" w14:textId="13232F17" w:rsidR="006978D9" w:rsidRPr="008555B4" w:rsidRDefault="00515083" w:rsidP="00410C08">
            <w:pPr>
              <w:spacing w:after="0" w:line="276" w:lineRule="auto"/>
              <w:jc w:val="center"/>
              <w:rPr>
                <w:rFonts w:cs="Arial"/>
                <w:b/>
                <w:bCs/>
                <w:color w:val="000000"/>
                <w:sz w:val="16"/>
                <w:szCs w:val="16"/>
              </w:rPr>
            </w:pPr>
            <w:r w:rsidRPr="008555B4">
              <w:rPr>
                <w:rFonts w:cs="Arial"/>
                <w:b/>
                <w:bCs/>
                <w:color w:val="000000"/>
                <w:sz w:val="16"/>
                <w:szCs w:val="16"/>
              </w:rPr>
              <w:t>202</w:t>
            </w:r>
            <w:r w:rsidR="00950D8B" w:rsidRPr="008555B4">
              <w:rPr>
                <w:rFonts w:cs="Arial"/>
                <w:b/>
                <w:bCs/>
                <w:color w:val="000000"/>
                <w:sz w:val="16"/>
                <w:szCs w:val="16"/>
              </w:rPr>
              <w:t>6</w:t>
            </w:r>
          </w:p>
        </w:tc>
        <w:tc>
          <w:tcPr>
            <w:tcW w:w="1987" w:type="dxa"/>
            <w:gridSpan w:val="2"/>
            <w:shd w:val="clear" w:color="auto" w:fill="F2F2F2" w:themeFill="background1" w:themeFillShade="F2"/>
            <w:noWrap/>
            <w:vAlign w:val="center"/>
            <w:hideMark/>
          </w:tcPr>
          <w:p w14:paraId="06530EF5" w14:textId="77777777" w:rsidR="006978D9" w:rsidRPr="008555B4" w:rsidRDefault="006978D9" w:rsidP="00410C08">
            <w:pPr>
              <w:spacing w:after="0" w:line="276" w:lineRule="auto"/>
              <w:jc w:val="center"/>
              <w:rPr>
                <w:rFonts w:cs="Arial"/>
                <w:b/>
                <w:bCs/>
                <w:color w:val="000000"/>
                <w:sz w:val="16"/>
                <w:szCs w:val="16"/>
              </w:rPr>
            </w:pPr>
            <w:r w:rsidRPr="008555B4">
              <w:rPr>
                <w:rFonts w:cs="Arial"/>
                <w:b/>
                <w:bCs/>
                <w:color w:val="000000"/>
                <w:sz w:val="16"/>
                <w:szCs w:val="16"/>
              </w:rPr>
              <w:t>Μεταβολή %</w:t>
            </w:r>
          </w:p>
        </w:tc>
      </w:tr>
      <w:tr w:rsidR="007C116B" w:rsidRPr="008555B4" w14:paraId="24D85AF2" w14:textId="77777777" w:rsidTr="005611F1">
        <w:trPr>
          <w:cantSplit/>
          <w:trHeight w:val="462"/>
          <w:tblHeader/>
          <w:jc w:val="center"/>
        </w:trPr>
        <w:tc>
          <w:tcPr>
            <w:tcW w:w="458" w:type="dxa"/>
            <w:vMerge/>
            <w:tcBorders>
              <w:bottom w:val="single" w:sz="2" w:space="0" w:color="A6A6A6" w:themeColor="background1" w:themeShade="A6"/>
            </w:tcBorders>
            <w:shd w:val="clear" w:color="auto" w:fill="F2F2F2" w:themeFill="background1" w:themeFillShade="F2"/>
            <w:vAlign w:val="center"/>
            <w:hideMark/>
          </w:tcPr>
          <w:p w14:paraId="09E53CAE" w14:textId="77777777" w:rsidR="007C116B" w:rsidRPr="008555B4" w:rsidRDefault="007C116B" w:rsidP="00410C08">
            <w:pPr>
              <w:spacing w:after="0" w:line="276" w:lineRule="auto"/>
              <w:jc w:val="left"/>
              <w:rPr>
                <w:rFonts w:cs="Arial"/>
                <w:b/>
                <w:bCs/>
                <w:color w:val="000000"/>
                <w:sz w:val="16"/>
                <w:szCs w:val="16"/>
              </w:rPr>
            </w:pPr>
          </w:p>
        </w:tc>
        <w:tc>
          <w:tcPr>
            <w:tcW w:w="1241" w:type="dxa"/>
            <w:vMerge/>
            <w:tcBorders>
              <w:bottom w:val="single" w:sz="2" w:space="0" w:color="A6A6A6" w:themeColor="background1" w:themeShade="A6"/>
            </w:tcBorders>
            <w:shd w:val="clear" w:color="auto" w:fill="F2F2F2" w:themeFill="background1" w:themeFillShade="F2"/>
            <w:vAlign w:val="center"/>
            <w:hideMark/>
          </w:tcPr>
          <w:p w14:paraId="3A55A665" w14:textId="77777777" w:rsidR="007C116B" w:rsidRPr="008555B4" w:rsidRDefault="007C116B" w:rsidP="00410C08">
            <w:pPr>
              <w:spacing w:after="0" w:line="276" w:lineRule="auto"/>
              <w:jc w:val="left"/>
              <w:rPr>
                <w:rFonts w:cs="Arial"/>
                <w:b/>
                <w:bCs/>
                <w:color w:val="000000"/>
                <w:sz w:val="16"/>
                <w:szCs w:val="16"/>
              </w:rPr>
            </w:pPr>
          </w:p>
        </w:tc>
        <w:tc>
          <w:tcPr>
            <w:tcW w:w="2575" w:type="dxa"/>
            <w:gridSpan w:val="3"/>
            <w:vMerge/>
            <w:tcBorders>
              <w:bottom w:val="single" w:sz="2" w:space="0" w:color="A6A6A6" w:themeColor="background1" w:themeShade="A6"/>
            </w:tcBorders>
            <w:shd w:val="clear" w:color="auto" w:fill="F2F2F2" w:themeFill="background1" w:themeFillShade="F2"/>
            <w:vAlign w:val="center"/>
            <w:hideMark/>
          </w:tcPr>
          <w:p w14:paraId="02DD399A" w14:textId="77777777" w:rsidR="007C116B" w:rsidRPr="008555B4" w:rsidRDefault="007C116B" w:rsidP="00410C08">
            <w:pPr>
              <w:spacing w:after="0" w:line="276" w:lineRule="auto"/>
              <w:jc w:val="left"/>
              <w:rPr>
                <w:rFonts w:cs="Arial"/>
                <w:b/>
                <w:bCs/>
                <w:color w:val="000000"/>
                <w:sz w:val="16"/>
                <w:szCs w:val="16"/>
              </w:rPr>
            </w:pPr>
          </w:p>
        </w:tc>
        <w:tc>
          <w:tcPr>
            <w:tcW w:w="1039" w:type="dxa"/>
            <w:tcBorders>
              <w:bottom w:val="single" w:sz="2" w:space="0" w:color="A6A6A6" w:themeColor="background1" w:themeShade="A6"/>
            </w:tcBorders>
            <w:shd w:val="clear" w:color="auto" w:fill="F2F2F2" w:themeFill="background1" w:themeFillShade="F2"/>
            <w:vAlign w:val="center"/>
            <w:hideMark/>
          </w:tcPr>
          <w:p w14:paraId="6E15C626" w14:textId="77777777" w:rsidR="007C116B" w:rsidRPr="008555B4" w:rsidRDefault="007C116B" w:rsidP="00410C08">
            <w:pPr>
              <w:spacing w:after="0" w:line="276" w:lineRule="auto"/>
              <w:jc w:val="center"/>
              <w:rPr>
                <w:rFonts w:cs="Arial"/>
                <w:b/>
                <w:bCs/>
                <w:color w:val="000000"/>
                <w:sz w:val="16"/>
                <w:szCs w:val="16"/>
              </w:rPr>
            </w:pPr>
            <w:r w:rsidRPr="008555B4">
              <w:rPr>
                <w:rFonts w:cs="Arial"/>
                <w:b/>
                <w:bCs/>
                <w:color w:val="000000"/>
                <w:sz w:val="16"/>
                <w:szCs w:val="16"/>
              </w:rPr>
              <w:t>Πραγματο-</w:t>
            </w:r>
          </w:p>
          <w:p w14:paraId="7BF7724D" w14:textId="545F89E7" w:rsidR="007C116B" w:rsidRPr="008555B4" w:rsidRDefault="007C116B" w:rsidP="00410C08">
            <w:pPr>
              <w:spacing w:after="0" w:line="276" w:lineRule="auto"/>
              <w:jc w:val="center"/>
              <w:rPr>
                <w:rFonts w:cs="Arial"/>
                <w:b/>
                <w:bCs/>
                <w:color w:val="000000"/>
                <w:sz w:val="16"/>
                <w:szCs w:val="16"/>
              </w:rPr>
            </w:pPr>
            <w:r w:rsidRPr="008555B4">
              <w:rPr>
                <w:rFonts w:cs="Arial"/>
                <w:b/>
                <w:bCs/>
                <w:color w:val="000000"/>
                <w:sz w:val="16"/>
                <w:szCs w:val="16"/>
              </w:rPr>
              <w:t>ποιήσεις</w:t>
            </w:r>
          </w:p>
        </w:tc>
        <w:tc>
          <w:tcPr>
            <w:tcW w:w="1074" w:type="dxa"/>
            <w:tcBorders>
              <w:bottom w:val="single" w:sz="2" w:space="0" w:color="A6A6A6" w:themeColor="background1" w:themeShade="A6"/>
            </w:tcBorders>
            <w:shd w:val="clear" w:color="auto" w:fill="F2F2F2" w:themeFill="background1" w:themeFillShade="F2"/>
            <w:noWrap/>
            <w:vAlign w:val="center"/>
            <w:hideMark/>
          </w:tcPr>
          <w:p w14:paraId="5EE8FE5E" w14:textId="77777777" w:rsidR="007C116B" w:rsidRPr="008555B4" w:rsidRDefault="007C116B" w:rsidP="00410C08">
            <w:pPr>
              <w:spacing w:after="0" w:line="276" w:lineRule="auto"/>
              <w:jc w:val="center"/>
              <w:rPr>
                <w:rFonts w:cs="Arial"/>
                <w:b/>
                <w:bCs/>
                <w:color w:val="000000"/>
                <w:sz w:val="16"/>
                <w:szCs w:val="16"/>
              </w:rPr>
            </w:pPr>
            <w:r w:rsidRPr="008555B4">
              <w:rPr>
                <w:rFonts w:cs="Arial"/>
                <w:b/>
                <w:bCs/>
                <w:color w:val="000000"/>
                <w:sz w:val="16"/>
                <w:szCs w:val="16"/>
              </w:rPr>
              <w:t>Εκτιμήσεις</w:t>
            </w:r>
          </w:p>
        </w:tc>
        <w:tc>
          <w:tcPr>
            <w:tcW w:w="1152" w:type="dxa"/>
            <w:tcBorders>
              <w:bottom w:val="single" w:sz="2" w:space="0" w:color="A6A6A6" w:themeColor="background1" w:themeShade="A6"/>
            </w:tcBorders>
            <w:shd w:val="clear" w:color="auto" w:fill="F2F2F2" w:themeFill="background1" w:themeFillShade="F2"/>
            <w:noWrap/>
            <w:vAlign w:val="center"/>
            <w:hideMark/>
          </w:tcPr>
          <w:p w14:paraId="2B733970" w14:textId="77777777" w:rsidR="007C116B" w:rsidRPr="008555B4" w:rsidRDefault="007C116B" w:rsidP="00410C08">
            <w:pPr>
              <w:spacing w:after="0" w:line="276" w:lineRule="auto"/>
              <w:jc w:val="center"/>
              <w:rPr>
                <w:rFonts w:cs="Arial"/>
                <w:b/>
                <w:bCs/>
                <w:color w:val="000000"/>
                <w:sz w:val="16"/>
                <w:szCs w:val="16"/>
              </w:rPr>
            </w:pPr>
            <w:r w:rsidRPr="008555B4">
              <w:rPr>
                <w:rFonts w:cs="Arial"/>
                <w:b/>
                <w:bCs/>
                <w:color w:val="000000"/>
                <w:sz w:val="16"/>
                <w:szCs w:val="16"/>
              </w:rPr>
              <w:t>Προβλέψεις</w:t>
            </w:r>
          </w:p>
        </w:tc>
        <w:tc>
          <w:tcPr>
            <w:tcW w:w="1007" w:type="dxa"/>
            <w:tcBorders>
              <w:bottom w:val="single" w:sz="2" w:space="0" w:color="A6A6A6" w:themeColor="background1" w:themeShade="A6"/>
            </w:tcBorders>
            <w:shd w:val="clear" w:color="auto" w:fill="F2F2F2" w:themeFill="background1" w:themeFillShade="F2"/>
            <w:noWrap/>
            <w:vAlign w:val="center"/>
            <w:hideMark/>
          </w:tcPr>
          <w:p w14:paraId="7E6F36A1" w14:textId="7611F202" w:rsidR="007C116B" w:rsidRPr="008555B4" w:rsidRDefault="007C116B" w:rsidP="00410C08">
            <w:pPr>
              <w:spacing w:after="0" w:line="276" w:lineRule="auto"/>
              <w:jc w:val="center"/>
              <w:rPr>
                <w:rFonts w:cs="Arial"/>
                <w:b/>
                <w:bCs/>
                <w:color w:val="000000"/>
                <w:sz w:val="16"/>
                <w:szCs w:val="16"/>
              </w:rPr>
            </w:pPr>
            <w:r w:rsidRPr="008555B4">
              <w:rPr>
                <w:rFonts w:cs="Arial"/>
                <w:b/>
                <w:bCs/>
                <w:color w:val="000000"/>
                <w:sz w:val="16"/>
                <w:szCs w:val="16"/>
              </w:rPr>
              <w:t>202</w:t>
            </w:r>
            <w:r w:rsidR="00950D8B" w:rsidRPr="008555B4">
              <w:rPr>
                <w:rFonts w:cs="Arial"/>
                <w:b/>
                <w:bCs/>
                <w:color w:val="000000"/>
                <w:sz w:val="16"/>
                <w:szCs w:val="16"/>
              </w:rPr>
              <w:t>5</w:t>
            </w:r>
            <w:r w:rsidRPr="008555B4">
              <w:rPr>
                <w:rFonts w:cs="Arial"/>
                <w:b/>
                <w:bCs/>
                <w:color w:val="000000"/>
                <w:sz w:val="16"/>
                <w:szCs w:val="16"/>
              </w:rPr>
              <w:t>/202</w:t>
            </w:r>
            <w:r w:rsidR="00950D8B" w:rsidRPr="008555B4">
              <w:rPr>
                <w:rFonts w:cs="Arial"/>
                <w:b/>
                <w:bCs/>
                <w:color w:val="000000"/>
                <w:sz w:val="16"/>
                <w:szCs w:val="16"/>
              </w:rPr>
              <w:t>4</w:t>
            </w:r>
          </w:p>
        </w:tc>
        <w:tc>
          <w:tcPr>
            <w:tcW w:w="980" w:type="dxa"/>
            <w:tcBorders>
              <w:bottom w:val="single" w:sz="2" w:space="0" w:color="A6A6A6" w:themeColor="background1" w:themeShade="A6"/>
            </w:tcBorders>
            <w:shd w:val="clear" w:color="auto" w:fill="F2F2F2" w:themeFill="background1" w:themeFillShade="F2"/>
            <w:noWrap/>
            <w:vAlign w:val="center"/>
            <w:hideMark/>
          </w:tcPr>
          <w:p w14:paraId="0B8FC07E" w14:textId="7701C6D8" w:rsidR="007C116B" w:rsidRPr="008555B4" w:rsidRDefault="007C116B" w:rsidP="00410C08">
            <w:pPr>
              <w:spacing w:after="0" w:line="276" w:lineRule="auto"/>
              <w:jc w:val="center"/>
              <w:rPr>
                <w:rFonts w:cs="Arial"/>
                <w:b/>
                <w:bCs/>
                <w:color w:val="000000"/>
                <w:sz w:val="16"/>
                <w:szCs w:val="16"/>
              </w:rPr>
            </w:pPr>
            <w:r w:rsidRPr="008555B4">
              <w:rPr>
                <w:rFonts w:cs="Arial"/>
                <w:b/>
                <w:bCs/>
                <w:color w:val="000000"/>
                <w:sz w:val="16"/>
                <w:szCs w:val="16"/>
              </w:rPr>
              <w:t>202</w:t>
            </w:r>
            <w:r w:rsidR="00950D8B" w:rsidRPr="008555B4">
              <w:rPr>
                <w:rFonts w:cs="Arial"/>
                <w:b/>
                <w:bCs/>
                <w:color w:val="000000"/>
                <w:sz w:val="16"/>
                <w:szCs w:val="16"/>
              </w:rPr>
              <w:t>6</w:t>
            </w:r>
            <w:r w:rsidRPr="008555B4">
              <w:rPr>
                <w:rFonts w:cs="Arial"/>
                <w:b/>
                <w:bCs/>
                <w:color w:val="000000"/>
                <w:sz w:val="16"/>
                <w:szCs w:val="16"/>
              </w:rPr>
              <w:t>/202</w:t>
            </w:r>
            <w:r w:rsidR="00950D8B" w:rsidRPr="008555B4">
              <w:rPr>
                <w:rFonts w:cs="Arial"/>
                <w:b/>
                <w:bCs/>
                <w:color w:val="000000"/>
                <w:sz w:val="16"/>
                <w:szCs w:val="16"/>
              </w:rPr>
              <w:t>5</w:t>
            </w:r>
          </w:p>
        </w:tc>
      </w:tr>
      <w:tr w:rsidR="00950D8B" w:rsidRPr="008555B4" w14:paraId="4318B113" w14:textId="77777777" w:rsidTr="005611F1">
        <w:trPr>
          <w:cantSplit/>
          <w:trHeight w:val="231"/>
          <w:tblHeader/>
          <w:jc w:val="center"/>
        </w:trPr>
        <w:tc>
          <w:tcPr>
            <w:tcW w:w="458" w:type="dxa"/>
            <w:tcBorders>
              <w:top w:val="single" w:sz="2" w:space="0" w:color="A6A6A6" w:themeColor="background1" w:themeShade="A6"/>
              <w:bottom w:val="nil"/>
            </w:tcBorders>
            <w:shd w:val="clear" w:color="auto" w:fill="auto"/>
            <w:noWrap/>
            <w:vAlign w:val="center"/>
            <w:hideMark/>
          </w:tcPr>
          <w:p w14:paraId="60CA1D4A"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w:t>
            </w:r>
          </w:p>
        </w:tc>
        <w:tc>
          <w:tcPr>
            <w:tcW w:w="1241" w:type="dxa"/>
            <w:tcBorders>
              <w:top w:val="single" w:sz="2" w:space="0" w:color="A6A6A6" w:themeColor="background1" w:themeShade="A6"/>
              <w:bottom w:val="nil"/>
            </w:tcBorders>
            <w:shd w:val="clear" w:color="auto" w:fill="auto"/>
            <w:noWrap/>
            <w:vAlign w:val="center"/>
            <w:hideMark/>
          </w:tcPr>
          <w:p w14:paraId="44D28F87"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11</w:t>
            </w:r>
          </w:p>
        </w:tc>
        <w:tc>
          <w:tcPr>
            <w:tcW w:w="2575" w:type="dxa"/>
            <w:gridSpan w:val="3"/>
            <w:tcBorders>
              <w:top w:val="single" w:sz="2" w:space="0" w:color="A6A6A6" w:themeColor="background1" w:themeShade="A6"/>
              <w:bottom w:val="nil"/>
            </w:tcBorders>
            <w:shd w:val="clear" w:color="auto" w:fill="auto"/>
            <w:vAlign w:val="center"/>
            <w:hideMark/>
          </w:tcPr>
          <w:p w14:paraId="5CD8FA3E" w14:textId="24D80882"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Φόροι</w:t>
            </w:r>
          </w:p>
        </w:tc>
        <w:tc>
          <w:tcPr>
            <w:tcW w:w="1039" w:type="dxa"/>
            <w:tcBorders>
              <w:top w:val="single" w:sz="2" w:space="0" w:color="A6A6A6" w:themeColor="background1" w:themeShade="A6"/>
              <w:bottom w:val="nil"/>
            </w:tcBorders>
            <w:shd w:val="clear" w:color="auto" w:fill="auto"/>
            <w:vAlign w:val="center"/>
          </w:tcPr>
          <w:p w14:paraId="0B051250" w14:textId="1A6F080F"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60.907</w:t>
            </w:r>
          </w:p>
        </w:tc>
        <w:tc>
          <w:tcPr>
            <w:tcW w:w="1074" w:type="dxa"/>
            <w:tcBorders>
              <w:top w:val="single" w:sz="2" w:space="0" w:color="A6A6A6" w:themeColor="background1" w:themeShade="A6"/>
              <w:bottom w:val="nil"/>
            </w:tcBorders>
            <w:shd w:val="clear" w:color="auto" w:fill="auto"/>
            <w:vAlign w:val="center"/>
          </w:tcPr>
          <w:p w14:paraId="5C9C4F38" w14:textId="3094EAD0"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63.196</w:t>
            </w:r>
          </w:p>
        </w:tc>
        <w:tc>
          <w:tcPr>
            <w:tcW w:w="1152" w:type="dxa"/>
            <w:tcBorders>
              <w:top w:val="single" w:sz="2" w:space="0" w:color="A6A6A6" w:themeColor="background1" w:themeShade="A6"/>
              <w:bottom w:val="nil"/>
            </w:tcBorders>
            <w:shd w:val="clear" w:color="auto" w:fill="auto"/>
            <w:vAlign w:val="center"/>
          </w:tcPr>
          <w:p w14:paraId="7397EE1C" w14:textId="5C00EC5A"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65.586</w:t>
            </w:r>
          </w:p>
        </w:tc>
        <w:tc>
          <w:tcPr>
            <w:tcW w:w="1007" w:type="dxa"/>
            <w:tcBorders>
              <w:top w:val="single" w:sz="2" w:space="0" w:color="A6A6A6" w:themeColor="background1" w:themeShade="A6"/>
              <w:bottom w:val="nil"/>
            </w:tcBorders>
            <w:shd w:val="clear" w:color="auto" w:fill="auto"/>
            <w:vAlign w:val="center"/>
          </w:tcPr>
          <w:p w14:paraId="26968F0D" w14:textId="2A781AC7"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3,8%</w:t>
            </w:r>
          </w:p>
        </w:tc>
        <w:tc>
          <w:tcPr>
            <w:tcW w:w="980" w:type="dxa"/>
            <w:tcBorders>
              <w:top w:val="single" w:sz="2" w:space="0" w:color="A6A6A6" w:themeColor="background1" w:themeShade="A6"/>
              <w:bottom w:val="nil"/>
            </w:tcBorders>
            <w:shd w:val="clear" w:color="auto" w:fill="auto"/>
            <w:vAlign w:val="center"/>
          </w:tcPr>
          <w:p w14:paraId="78FAA855" w14:textId="5CA81537"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3,8%</w:t>
            </w:r>
          </w:p>
        </w:tc>
      </w:tr>
      <w:tr w:rsidR="00950D8B" w:rsidRPr="008555B4" w14:paraId="113098C8" w14:textId="77777777" w:rsidTr="005611F1">
        <w:trPr>
          <w:cantSplit/>
          <w:trHeight w:val="231"/>
          <w:tblHeader/>
          <w:jc w:val="center"/>
        </w:trPr>
        <w:tc>
          <w:tcPr>
            <w:tcW w:w="458" w:type="dxa"/>
            <w:tcBorders>
              <w:top w:val="nil"/>
            </w:tcBorders>
            <w:shd w:val="clear" w:color="auto" w:fill="auto"/>
            <w:noWrap/>
            <w:vAlign w:val="center"/>
            <w:hideMark/>
          </w:tcPr>
          <w:p w14:paraId="254E0AD5"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2</w:t>
            </w:r>
          </w:p>
        </w:tc>
        <w:tc>
          <w:tcPr>
            <w:tcW w:w="1241" w:type="dxa"/>
            <w:tcBorders>
              <w:top w:val="nil"/>
            </w:tcBorders>
            <w:shd w:val="clear" w:color="auto" w:fill="auto"/>
            <w:noWrap/>
            <w:vAlign w:val="center"/>
            <w:hideMark/>
          </w:tcPr>
          <w:p w14:paraId="3E025A8E"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12</w:t>
            </w:r>
          </w:p>
        </w:tc>
        <w:tc>
          <w:tcPr>
            <w:tcW w:w="2575" w:type="dxa"/>
            <w:gridSpan w:val="3"/>
            <w:tcBorders>
              <w:top w:val="nil"/>
            </w:tcBorders>
            <w:shd w:val="clear" w:color="auto" w:fill="auto"/>
            <w:vAlign w:val="center"/>
            <w:hideMark/>
          </w:tcPr>
          <w:p w14:paraId="7B58D6DE" w14:textId="77777777"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Κοινωνικές εισφορές</w:t>
            </w:r>
          </w:p>
        </w:tc>
        <w:tc>
          <w:tcPr>
            <w:tcW w:w="1039" w:type="dxa"/>
            <w:tcBorders>
              <w:top w:val="nil"/>
            </w:tcBorders>
            <w:shd w:val="clear" w:color="auto" w:fill="auto"/>
            <w:vAlign w:val="center"/>
          </w:tcPr>
          <w:p w14:paraId="1A380853" w14:textId="3742BF6A"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61</w:t>
            </w:r>
          </w:p>
        </w:tc>
        <w:tc>
          <w:tcPr>
            <w:tcW w:w="1074" w:type="dxa"/>
            <w:tcBorders>
              <w:top w:val="nil"/>
            </w:tcBorders>
            <w:shd w:val="clear" w:color="auto" w:fill="auto"/>
            <w:vAlign w:val="center"/>
          </w:tcPr>
          <w:p w14:paraId="72A40D6C" w14:textId="16B6169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60</w:t>
            </w:r>
          </w:p>
        </w:tc>
        <w:tc>
          <w:tcPr>
            <w:tcW w:w="1152" w:type="dxa"/>
            <w:tcBorders>
              <w:top w:val="nil"/>
            </w:tcBorders>
            <w:shd w:val="clear" w:color="auto" w:fill="auto"/>
            <w:vAlign w:val="center"/>
          </w:tcPr>
          <w:p w14:paraId="1AA3EE0F" w14:textId="628D1A22"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60</w:t>
            </w:r>
          </w:p>
        </w:tc>
        <w:tc>
          <w:tcPr>
            <w:tcW w:w="1007" w:type="dxa"/>
            <w:tcBorders>
              <w:top w:val="nil"/>
            </w:tcBorders>
            <w:shd w:val="clear" w:color="auto" w:fill="auto"/>
            <w:vAlign w:val="center"/>
          </w:tcPr>
          <w:p w14:paraId="1DF078D0" w14:textId="5A30798B"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-0,9%</w:t>
            </w:r>
          </w:p>
        </w:tc>
        <w:tc>
          <w:tcPr>
            <w:tcW w:w="980" w:type="dxa"/>
            <w:tcBorders>
              <w:top w:val="nil"/>
            </w:tcBorders>
            <w:shd w:val="clear" w:color="auto" w:fill="auto"/>
            <w:vAlign w:val="center"/>
          </w:tcPr>
          <w:p w14:paraId="2D57825B" w14:textId="10B3B89E"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-0,5%</w:t>
            </w:r>
          </w:p>
        </w:tc>
      </w:tr>
      <w:tr w:rsidR="00950D8B" w:rsidRPr="008555B4" w14:paraId="6EC0DB9B" w14:textId="77777777" w:rsidTr="005611F1">
        <w:trPr>
          <w:cantSplit/>
          <w:trHeight w:val="231"/>
          <w:tblHeader/>
          <w:jc w:val="center"/>
        </w:trPr>
        <w:tc>
          <w:tcPr>
            <w:tcW w:w="458" w:type="dxa"/>
            <w:shd w:val="clear" w:color="auto" w:fill="auto"/>
            <w:noWrap/>
            <w:vAlign w:val="center"/>
            <w:hideMark/>
          </w:tcPr>
          <w:p w14:paraId="1061DB38"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3</w:t>
            </w:r>
          </w:p>
        </w:tc>
        <w:tc>
          <w:tcPr>
            <w:tcW w:w="1241" w:type="dxa"/>
            <w:shd w:val="clear" w:color="auto" w:fill="auto"/>
            <w:noWrap/>
            <w:vAlign w:val="center"/>
            <w:hideMark/>
          </w:tcPr>
          <w:p w14:paraId="1523AD6B"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13</w:t>
            </w:r>
          </w:p>
        </w:tc>
        <w:tc>
          <w:tcPr>
            <w:tcW w:w="2575" w:type="dxa"/>
            <w:gridSpan w:val="3"/>
            <w:shd w:val="clear" w:color="auto" w:fill="auto"/>
            <w:vAlign w:val="center"/>
            <w:hideMark/>
          </w:tcPr>
          <w:p w14:paraId="14C08C95" w14:textId="77777777"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Μεταβιβάσεις</w:t>
            </w:r>
          </w:p>
        </w:tc>
        <w:tc>
          <w:tcPr>
            <w:tcW w:w="1039" w:type="dxa"/>
            <w:shd w:val="clear" w:color="auto" w:fill="auto"/>
            <w:vAlign w:val="center"/>
          </w:tcPr>
          <w:p w14:paraId="39DDF823" w14:textId="59BE472F"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5.738</w:t>
            </w:r>
          </w:p>
        </w:tc>
        <w:tc>
          <w:tcPr>
            <w:tcW w:w="1074" w:type="dxa"/>
            <w:shd w:val="clear" w:color="auto" w:fill="auto"/>
            <w:vAlign w:val="center"/>
          </w:tcPr>
          <w:p w14:paraId="13851F8C" w14:textId="73BDC258"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8.292</w:t>
            </w:r>
          </w:p>
        </w:tc>
        <w:tc>
          <w:tcPr>
            <w:tcW w:w="1152" w:type="dxa"/>
            <w:shd w:val="clear" w:color="auto" w:fill="auto"/>
            <w:vAlign w:val="center"/>
          </w:tcPr>
          <w:p w14:paraId="7518069D" w14:textId="51D595DD"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10.943</w:t>
            </w:r>
          </w:p>
        </w:tc>
        <w:tc>
          <w:tcPr>
            <w:tcW w:w="1007" w:type="dxa"/>
            <w:shd w:val="clear" w:color="auto" w:fill="auto"/>
            <w:vAlign w:val="center"/>
          </w:tcPr>
          <w:p w14:paraId="35C29D30" w14:textId="09E32EB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44,5%</w:t>
            </w:r>
          </w:p>
        </w:tc>
        <w:tc>
          <w:tcPr>
            <w:tcW w:w="980" w:type="dxa"/>
            <w:shd w:val="clear" w:color="auto" w:fill="auto"/>
            <w:vAlign w:val="center"/>
          </w:tcPr>
          <w:p w14:paraId="06150080" w14:textId="6B838D0C"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32,0%</w:t>
            </w:r>
          </w:p>
        </w:tc>
      </w:tr>
      <w:tr w:rsidR="00950D8B" w:rsidRPr="008555B4" w14:paraId="1056B778" w14:textId="77777777" w:rsidTr="005611F1">
        <w:trPr>
          <w:cantSplit/>
          <w:trHeight w:val="462"/>
          <w:tblHeader/>
          <w:jc w:val="center"/>
        </w:trPr>
        <w:tc>
          <w:tcPr>
            <w:tcW w:w="458" w:type="dxa"/>
            <w:shd w:val="clear" w:color="auto" w:fill="auto"/>
            <w:noWrap/>
            <w:vAlign w:val="center"/>
            <w:hideMark/>
          </w:tcPr>
          <w:p w14:paraId="77B5B07B" w14:textId="130D16FD" w:rsidR="00950D8B" w:rsidRPr="008555B4" w:rsidRDefault="00950D8B" w:rsidP="00950D8B">
            <w:pPr>
              <w:spacing w:after="0" w:line="276" w:lineRule="auto"/>
              <w:jc w:val="left"/>
              <w:rPr>
                <w:rFonts w:cs="Arial"/>
                <w:color w:val="000000"/>
                <w:sz w:val="16"/>
                <w:szCs w:val="16"/>
              </w:rPr>
            </w:pPr>
          </w:p>
        </w:tc>
        <w:tc>
          <w:tcPr>
            <w:tcW w:w="1241" w:type="dxa"/>
            <w:shd w:val="clear" w:color="auto" w:fill="auto"/>
            <w:noWrap/>
            <w:vAlign w:val="center"/>
            <w:hideMark/>
          </w:tcPr>
          <w:p w14:paraId="10406389" w14:textId="77777777" w:rsidR="00950D8B" w:rsidRPr="008555B4" w:rsidRDefault="00950D8B" w:rsidP="00950D8B">
            <w:pPr>
              <w:spacing w:after="0" w:line="276" w:lineRule="auto"/>
              <w:jc w:val="left"/>
              <w:rPr>
                <w:rFonts w:cs="Arial"/>
                <w:color w:val="000000"/>
                <w:sz w:val="16"/>
                <w:szCs w:val="16"/>
              </w:rPr>
            </w:pPr>
          </w:p>
        </w:tc>
        <w:tc>
          <w:tcPr>
            <w:tcW w:w="1152" w:type="dxa"/>
            <w:gridSpan w:val="2"/>
            <w:shd w:val="clear" w:color="auto" w:fill="F2F2F2" w:themeFill="background1" w:themeFillShade="F2"/>
            <w:vAlign w:val="center"/>
            <w:hideMark/>
          </w:tcPr>
          <w:p w14:paraId="11373432" w14:textId="77777777" w:rsidR="00950D8B" w:rsidRPr="008555B4" w:rsidRDefault="00950D8B" w:rsidP="00950D8B">
            <w:pPr>
              <w:spacing w:after="0" w:line="276" w:lineRule="auto"/>
              <w:ind w:right="-112"/>
              <w:jc w:val="left"/>
              <w:rPr>
                <w:rFonts w:cs="Arial"/>
                <w:i/>
                <w:iCs/>
                <w:color w:val="000000"/>
                <w:sz w:val="16"/>
                <w:szCs w:val="16"/>
              </w:rPr>
            </w:pPr>
            <w:r w:rsidRPr="008555B4">
              <w:rPr>
                <w:rFonts w:cs="Arial"/>
                <w:i/>
                <w:iCs/>
                <w:color w:val="000000"/>
                <w:sz w:val="16"/>
                <w:szCs w:val="16"/>
              </w:rPr>
              <w:t xml:space="preserve">εκ των οποίων: </w:t>
            </w:r>
          </w:p>
        </w:tc>
        <w:tc>
          <w:tcPr>
            <w:tcW w:w="1423" w:type="dxa"/>
            <w:shd w:val="clear" w:color="auto" w:fill="F2F2F2" w:themeFill="background1" w:themeFillShade="F2"/>
            <w:vAlign w:val="center"/>
          </w:tcPr>
          <w:p w14:paraId="0DDA2933" w14:textId="1C146222" w:rsidR="00950D8B" w:rsidRPr="008555B4" w:rsidRDefault="007E0F62" w:rsidP="00950D8B">
            <w:pPr>
              <w:spacing w:after="0" w:line="276" w:lineRule="auto"/>
              <w:jc w:val="left"/>
              <w:rPr>
                <w:rFonts w:cs="Arial"/>
                <w:i/>
                <w:iCs/>
                <w:color w:val="000000"/>
                <w:sz w:val="16"/>
                <w:szCs w:val="16"/>
                <w:highlight w:val="yellow"/>
              </w:rPr>
            </w:pPr>
            <w:r w:rsidRPr="009A6ADB">
              <w:rPr>
                <w:rFonts w:cs="Arial"/>
                <w:i/>
                <w:iCs/>
                <w:color w:val="000000"/>
                <w:sz w:val="16"/>
                <w:szCs w:val="16"/>
              </w:rPr>
              <w:t>προϋπολογισμός δημοσίων επενδύσεων</w:t>
            </w:r>
          </w:p>
        </w:tc>
        <w:tc>
          <w:tcPr>
            <w:tcW w:w="1039" w:type="dxa"/>
            <w:shd w:val="clear" w:color="auto" w:fill="F2F2F2" w:themeFill="background1" w:themeFillShade="F2"/>
            <w:vAlign w:val="center"/>
          </w:tcPr>
          <w:p w14:paraId="056B4480" w14:textId="030E7DE1" w:rsidR="00950D8B" w:rsidRPr="008555B4" w:rsidRDefault="00950D8B" w:rsidP="00950D8B">
            <w:pPr>
              <w:spacing w:after="0" w:line="276" w:lineRule="auto"/>
              <w:jc w:val="right"/>
              <w:rPr>
                <w:rFonts w:cs="Arial"/>
                <w:i/>
                <w:iCs/>
                <w:color w:val="000000"/>
                <w:sz w:val="16"/>
                <w:szCs w:val="16"/>
              </w:rPr>
            </w:pPr>
            <w:r w:rsidRPr="008555B4">
              <w:rPr>
                <w:rFonts w:cs="Arial"/>
                <w:i/>
                <w:iCs/>
                <w:color w:val="000000"/>
                <w:sz w:val="16"/>
                <w:szCs w:val="16"/>
              </w:rPr>
              <w:t>3.958</w:t>
            </w:r>
          </w:p>
        </w:tc>
        <w:tc>
          <w:tcPr>
            <w:tcW w:w="1074" w:type="dxa"/>
            <w:shd w:val="clear" w:color="auto" w:fill="F2F2F2" w:themeFill="background1" w:themeFillShade="F2"/>
            <w:vAlign w:val="center"/>
          </w:tcPr>
          <w:p w14:paraId="7F2F9419" w14:textId="5DFFC826" w:rsidR="00950D8B" w:rsidRPr="008555B4" w:rsidRDefault="00950D8B" w:rsidP="00950D8B">
            <w:pPr>
              <w:spacing w:after="0" w:line="276" w:lineRule="auto"/>
              <w:jc w:val="right"/>
              <w:rPr>
                <w:rFonts w:cs="Arial"/>
                <w:i/>
                <w:iCs/>
                <w:color w:val="000000"/>
                <w:sz w:val="16"/>
                <w:szCs w:val="16"/>
              </w:rPr>
            </w:pPr>
            <w:r w:rsidRPr="008555B4">
              <w:rPr>
                <w:rFonts w:cs="Arial"/>
                <w:color w:val="000000"/>
                <w:sz w:val="16"/>
                <w:szCs w:val="16"/>
              </w:rPr>
              <w:t>3.964</w:t>
            </w:r>
          </w:p>
        </w:tc>
        <w:tc>
          <w:tcPr>
            <w:tcW w:w="1152" w:type="dxa"/>
            <w:shd w:val="clear" w:color="auto" w:fill="F2F2F2" w:themeFill="background1" w:themeFillShade="F2"/>
            <w:vAlign w:val="center"/>
          </w:tcPr>
          <w:p w14:paraId="5F518CB9" w14:textId="38AE487A" w:rsidR="00950D8B" w:rsidRPr="008555B4" w:rsidRDefault="00950D8B" w:rsidP="00950D8B">
            <w:pPr>
              <w:spacing w:after="0" w:line="276" w:lineRule="auto"/>
              <w:jc w:val="right"/>
              <w:rPr>
                <w:rFonts w:cs="Arial"/>
                <w:i/>
                <w:iCs/>
                <w:color w:val="000000"/>
                <w:sz w:val="16"/>
                <w:szCs w:val="16"/>
              </w:rPr>
            </w:pPr>
            <w:r w:rsidRPr="008555B4">
              <w:rPr>
                <w:rFonts w:cs="Arial"/>
                <w:i/>
                <w:iCs/>
                <w:color w:val="000000"/>
                <w:sz w:val="16"/>
                <w:szCs w:val="16"/>
              </w:rPr>
              <w:t>4.375</w:t>
            </w:r>
          </w:p>
        </w:tc>
        <w:tc>
          <w:tcPr>
            <w:tcW w:w="1007" w:type="dxa"/>
            <w:shd w:val="clear" w:color="auto" w:fill="F2F2F2" w:themeFill="background1" w:themeFillShade="F2"/>
            <w:vAlign w:val="center"/>
          </w:tcPr>
          <w:p w14:paraId="569088F8" w14:textId="111F45AB"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0,2%</w:t>
            </w:r>
          </w:p>
        </w:tc>
        <w:tc>
          <w:tcPr>
            <w:tcW w:w="980" w:type="dxa"/>
            <w:shd w:val="clear" w:color="auto" w:fill="F2F2F2" w:themeFill="background1" w:themeFillShade="F2"/>
            <w:vAlign w:val="center"/>
          </w:tcPr>
          <w:p w14:paraId="01E3844A" w14:textId="77C06053"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10,4%</w:t>
            </w:r>
          </w:p>
        </w:tc>
      </w:tr>
      <w:tr w:rsidR="00950D8B" w:rsidRPr="008555B4" w14:paraId="6348CFC0" w14:textId="77777777" w:rsidTr="005611F1">
        <w:trPr>
          <w:cantSplit/>
          <w:trHeight w:val="242"/>
          <w:tblHeader/>
          <w:jc w:val="center"/>
        </w:trPr>
        <w:tc>
          <w:tcPr>
            <w:tcW w:w="458" w:type="dxa"/>
            <w:shd w:val="clear" w:color="auto" w:fill="auto"/>
            <w:noWrap/>
            <w:vAlign w:val="center"/>
            <w:hideMark/>
          </w:tcPr>
          <w:p w14:paraId="69C92CFE" w14:textId="78379C22" w:rsidR="00950D8B" w:rsidRPr="008555B4" w:rsidRDefault="00950D8B" w:rsidP="00950D8B">
            <w:pPr>
              <w:spacing w:after="0" w:line="276" w:lineRule="auto"/>
              <w:jc w:val="left"/>
              <w:rPr>
                <w:rFonts w:cs="Arial"/>
                <w:color w:val="000000"/>
                <w:sz w:val="16"/>
                <w:szCs w:val="16"/>
              </w:rPr>
            </w:pPr>
          </w:p>
        </w:tc>
        <w:tc>
          <w:tcPr>
            <w:tcW w:w="1241" w:type="dxa"/>
            <w:shd w:val="clear" w:color="auto" w:fill="auto"/>
            <w:noWrap/>
            <w:vAlign w:val="center"/>
            <w:hideMark/>
          </w:tcPr>
          <w:p w14:paraId="65CFF82B" w14:textId="77777777" w:rsidR="00950D8B" w:rsidRPr="008555B4" w:rsidRDefault="00950D8B" w:rsidP="00950D8B">
            <w:pPr>
              <w:spacing w:after="0" w:line="276" w:lineRule="auto"/>
              <w:jc w:val="left"/>
              <w:rPr>
                <w:rFonts w:cs="Arial"/>
                <w:color w:val="000000"/>
                <w:sz w:val="16"/>
                <w:szCs w:val="16"/>
              </w:rPr>
            </w:pPr>
          </w:p>
        </w:tc>
        <w:tc>
          <w:tcPr>
            <w:tcW w:w="1152" w:type="dxa"/>
            <w:gridSpan w:val="2"/>
            <w:shd w:val="clear" w:color="auto" w:fill="F2F2F2" w:themeFill="background1" w:themeFillShade="F2"/>
            <w:vAlign w:val="center"/>
            <w:hideMark/>
          </w:tcPr>
          <w:p w14:paraId="76707909" w14:textId="77777777" w:rsidR="00950D8B" w:rsidRPr="008555B4" w:rsidRDefault="00950D8B" w:rsidP="00950D8B">
            <w:pPr>
              <w:spacing w:after="0" w:line="276" w:lineRule="auto"/>
              <w:jc w:val="left"/>
              <w:rPr>
                <w:rFonts w:cs="Arial"/>
                <w:i/>
                <w:iCs/>
                <w:color w:val="000000"/>
                <w:sz w:val="16"/>
                <w:szCs w:val="16"/>
              </w:rPr>
            </w:pPr>
          </w:p>
        </w:tc>
        <w:tc>
          <w:tcPr>
            <w:tcW w:w="1423" w:type="dxa"/>
            <w:shd w:val="clear" w:color="auto" w:fill="F2F2F2" w:themeFill="background1" w:themeFillShade="F2"/>
            <w:vAlign w:val="center"/>
          </w:tcPr>
          <w:p w14:paraId="53E0524B" w14:textId="77777777" w:rsidR="00950D8B" w:rsidRPr="008555B4" w:rsidRDefault="00950D8B" w:rsidP="00950D8B">
            <w:pPr>
              <w:spacing w:after="0" w:line="276" w:lineRule="auto"/>
              <w:jc w:val="left"/>
              <w:rPr>
                <w:rFonts w:cs="Arial"/>
                <w:i/>
                <w:iCs/>
                <w:color w:val="000000"/>
                <w:sz w:val="16"/>
                <w:szCs w:val="16"/>
                <w:highlight w:val="yellow"/>
              </w:rPr>
            </w:pPr>
            <w:r w:rsidRPr="007E0F62">
              <w:rPr>
                <w:rFonts w:cs="Arial"/>
                <w:i/>
                <w:iCs/>
                <w:color w:val="000000"/>
                <w:sz w:val="16"/>
                <w:szCs w:val="16"/>
              </w:rPr>
              <w:t>ΤΑΑ</w:t>
            </w:r>
          </w:p>
        </w:tc>
        <w:tc>
          <w:tcPr>
            <w:tcW w:w="1039" w:type="dxa"/>
            <w:shd w:val="clear" w:color="auto" w:fill="F2F2F2" w:themeFill="background1" w:themeFillShade="F2"/>
            <w:vAlign w:val="center"/>
          </w:tcPr>
          <w:p w14:paraId="5FC1E32E" w14:textId="59B00376" w:rsidR="00950D8B" w:rsidRPr="008555B4" w:rsidRDefault="00950D8B" w:rsidP="00950D8B">
            <w:pPr>
              <w:spacing w:after="0" w:line="276" w:lineRule="auto"/>
              <w:jc w:val="right"/>
              <w:rPr>
                <w:rFonts w:cs="Arial"/>
                <w:i/>
                <w:iCs/>
                <w:color w:val="000000"/>
                <w:sz w:val="16"/>
                <w:szCs w:val="16"/>
              </w:rPr>
            </w:pPr>
            <w:r w:rsidRPr="008555B4">
              <w:rPr>
                <w:rFonts w:cs="Arial"/>
                <w:i/>
                <w:iCs/>
                <w:color w:val="000000"/>
                <w:sz w:val="16"/>
                <w:szCs w:val="16"/>
              </w:rPr>
              <w:t>1.157</w:t>
            </w:r>
          </w:p>
        </w:tc>
        <w:tc>
          <w:tcPr>
            <w:tcW w:w="1074" w:type="dxa"/>
            <w:shd w:val="clear" w:color="auto" w:fill="F2F2F2" w:themeFill="background1" w:themeFillShade="F2"/>
            <w:vAlign w:val="center"/>
          </w:tcPr>
          <w:p w14:paraId="2C35570B" w14:textId="50819FDB" w:rsidR="00950D8B" w:rsidRPr="008555B4" w:rsidRDefault="00950D8B" w:rsidP="00950D8B">
            <w:pPr>
              <w:spacing w:after="0" w:line="276" w:lineRule="auto"/>
              <w:jc w:val="right"/>
              <w:rPr>
                <w:rFonts w:cs="Arial"/>
                <w:i/>
                <w:iCs/>
                <w:color w:val="000000"/>
                <w:sz w:val="16"/>
                <w:szCs w:val="16"/>
              </w:rPr>
            </w:pPr>
            <w:r w:rsidRPr="008555B4">
              <w:rPr>
                <w:rFonts w:cs="Arial"/>
                <w:color w:val="000000"/>
                <w:sz w:val="16"/>
                <w:szCs w:val="16"/>
              </w:rPr>
              <w:t>3.455</w:t>
            </w:r>
          </w:p>
        </w:tc>
        <w:tc>
          <w:tcPr>
            <w:tcW w:w="1152" w:type="dxa"/>
            <w:shd w:val="clear" w:color="auto" w:fill="F2F2F2" w:themeFill="background1" w:themeFillShade="F2"/>
            <w:vAlign w:val="center"/>
          </w:tcPr>
          <w:p w14:paraId="15591A17" w14:textId="17DE742B" w:rsidR="00950D8B" w:rsidRPr="008555B4" w:rsidRDefault="00950D8B" w:rsidP="00950D8B">
            <w:pPr>
              <w:spacing w:after="0" w:line="276" w:lineRule="auto"/>
              <w:jc w:val="right"/>
              <w:rPr>
                <w:rFonts w:cs="Arial"/>
                <w:i/>
                <w:iCs/>
                <w:color w:val="000000"/>
                <w:sz w:val="16"/>
                <w:szCs w:val="16"/>
              </w:rPr>
            </w:pPr>
            <w:r w:rsidRPr="008555B4">
              <w:rPr>
                <w:rFonts w:cs="Arial"/>
                <w:i/>
                <w:iCs/>
                <w:color w:val="000000"/>
                <w:sz w:val="16"/>
                <w:szCs w:val="16"/>
              </w:rPr>
              <w:t>6.175</w:t>
            </w:r>
          </w:p>
        </w:tc>
        <w:tc>
          <w:tcPr>
            <w:tcW w:w="1007" w:type="dxa"/>
            <w:shd w:val="clear" w:color="auto" w:fill="F2F2F2" w:themeFill="background1" w:themeFillShade="F2"/>
            <w:vAlign w:val="center"/>
          </w:tcPr>
          <w:p w14:paraId="164A96B6" w14:textId="4C1B66C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198,5%</w:t>
            </w:r>
          </w:p>
        </w:tc>
        <w:tc>
          <w:tcPr>
            <w:tcW w:w="980" w:type="dxa"/>
            <w:shd w:val="clear" w:color="auto" w:fill="F2F2F2" w:themeFill="background1" w:themeFillShade="F2"/>
            <w:vAlign w:val="center"/>
          </w:tcPr>
          <w:p w14:paraId="468479FE" w14:textId="5242628A"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78,8%</w:t>
            </w:r>
          </w:p>
        </w:tc>
      </w:tr>
      <w:tr w:rsidR="00950D8B" w:rsidRPr="008555B4" w14:paraId="1728C061" w14:textId="77777777" w:rsidTr="005611F1">
        <w:trPr>
          <w:cantSplit/>
          <w:trHeight w:val="462"/>
          <w:tblHeader/>
          <w:jc w:val="center"/>
        </w:trPr>
        <w:tc>
          <w:tcPr>
            <w:tcW w:w="458" w:type="dxa"/>
            <w:shd w:val="clear" w:color="auto" w:fill="auto"/>
            <w:noWrap/>
            <w:vAlign w:val="center"/>
            <w:hideMark/>
          </w:tcPr>
          <w:p w14:paraId="7B56E7B7"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4</w:t>
            </w:r>
          </w:p>
        </w:tc>
        <w:tc>
          <w:tcPr>
            <w:tcW w:w="1241" w:type="dxa"/>
            <w:shd w:val="clear" w:color="auto" w:fill="auto"/>
            <w:noWrap/>
            <w:vAlign w:val="center"/>
            <w:hideMark/>
          </w:tcPr>
          <w:p w14:paraId="5004580F"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14</w:t>
            </w:r>
          </w:p>
        </w:tc>
        <w:tc>
          <w:tcPr>
            <w:tcW w:w="2575" w:type="dxa"/>
            <w:gridSpan w:val="3"/>
            <w:shd w:val="clear" w:color="auto" w:fill="auto"/>
            <w:vAlign w:val="center"/>
            <w:hideMark/>
          </w:tcPr>
          <w:p w14:paraId="51B30599" w14:textId="77777777"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Πωλήσεις αγαθών και υπηρεσιών</w:t>
            </w:r>
          </w:p>
        </w:tc>
        <w:tc>
          <w:tcPr>
            <w:tcW w:w="1039" w:type="dxa"/>
            <w:shd w:val="clear" w:color="auto" w:fill="auto"/>
            <w:vAlign w:val="center"/>
          </w:tcPr>
          <w:p w14:paraId="5BEAA9BA" w14:textId="11032860"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3.486</w:t>
            </w:r>
          </w:p>
        </w:tc>
        <w:tc>
          <w:tcPr>
            <w:tcW w:w="1074" w:type="dxa"/>
            <w:shd w:val="clear" w:color="auto" w:fill="auto"/>
            <w:vAlign w:val="center"/>
          </w:tcPr>
          <w:p w14:paraId="547E3B08" w14:textId="4130A6AB"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3.481</w:t>
            </w:r>
          </w:p>
        </w:tc>
        <w:tc>
          <w:tcPr>
            <w:tcW w:w="1152" w:type="dxa"/>
            <w:shd w:val="clear" w:color="auto" w:fill="auto"/>
            <w:vAlign w:val="center"/>
          </w:tcPr>
          <w:p w14:paraId="09AB826B" w14:textId="0276C604"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1.201</w:t>
            </w:r>
          </w:p>
        </w:tc>
        <w:tc>
          <w:tcPr>
            <w:tcW w:w="1007" w:type="dxa"/>
            <w:shd w:val="clear" w:color="auto" w:fill="auto"/>
            <w:vAlign w:val="center"/>
          </w:tcPr>
          <w:p w14:paraId="13B6F48D" w14:textId="21973D67"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-0,1%</w:t>
            </w:r>
          </w:p>
        </w:tc>
        <w:tc>
          <w:tcPr>
            <w:tcW w:w="980" w:type="dxa"/>
            <w:shd w:val="clear" w:color="auto" w:fill="auto"/>
            <w:vAlign w:val="center"/>
          </w:tcPr>
          <w:p w14:paraId="6CD0891B" w14:textId="421B69DE"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-65,5%</w:t>
            </w:r>
          </w:p>
        </w:tc>
      </w:tr>
      <w:tr w:rsidR="00950D8B" w:rsidRPr="008555B4" w14:paraId="2148BF66" w14:textId="77777777" w:rsidTr="005611F1">
        <w:trPr>
          <w:cantSplit/>
          <w:trHeight w:val="231"/>
          <w:tblHeader/>
          <w:jc w:val="center"/>
        </w:trPr>
        <w:tc>
          <w:tcPr>
            <w:tcW w:w="458" w:type="dxa"/>
            <w:shd w:val="clear" w:color="auto" w:fill="auto"/>
            <w:noWrap/>
            <w:vAlign w:val="center"/>
            <w:hideMark/>
          </w:tcPr>
          <w:p w14:paraId="11690E8D"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5</w:t>
            </w:r>
          </w:p>
        </w:tc>
        <w:tc>
          <w:tcPr>
            <w:tcW w:w="1241" w:type="dxa"/>
            <w:shd w:val="clear" w:color="auto" w:fill="auto"/>
            <w:noWrap/>
            <w:vAlign w:val="center"/>
            <w:hideMark/>
          </w:tcPr>
          <w:p w14:paraId="065FEB60"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15</w:t>
            </w:r>
          </w:p>
        </w:tc>
        <w:tc>
          <w:tcPr>
            <w:tcW w:w="2575" w:type="dxa"/>
            <w:gridSpan w:val="3"/>
            <w:shd w:val="clear" w:color="auto" w:fill="auto"/>
            <w:vAlign w:val="center"/>
            <w:hideMark/>
          </w:tcPr>
          <w:p w14:paraId="28D58589" w14:textId="77777777"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Λοιπά τρέχοντα έσοδα</w:t>
            </w:r>
          </w:p>
        </w:tc>
        <w:tc>
          <w:tcPr>
            <w:tcW w:w="1039" w:type="dxa"/>
            <w:shd w:val="clear" w:color="auto" w:fill="auto"/>
            <w:vAlign w:val="center"/>
          </w:tcPr>
          <w:p w14:paraId="2270B36F" w14:textId="30B94523"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3.930</w:t>
            </w:r>
          </w:p>
        </w:tc>
        <w:tc>
          <w:tcPr>
            <w:tcW w:w="1074" w:type="dxa"/>
            <w:shd w:val="clear" w:color="auto" w:fill="auto"/>
            <w:vAlign w:val="center"/>
          </w:tcPr>
          <w:p w14:paraId="58A07AEC" w14:textId="4E9E213C"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2.795</w:t>
            </w:r>
          </w:p>
        </w:tc>
        <w:tc>
          <w:tcPr>
            <w:tcW w:w="1152" w:type="dxa"/>
            <w:shd w:val="clear" w:color="auto" w:fill="auto"/>
            <w:vAlign w:val="center"/>
          </w:tcPr>
          <w:p w14:paraId="1F988228" w14:textId="236DEC9D"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2.407</w:t>
            </w:r>
          </w:p>
        </w:tc>
        <w:tc>
          <w:tcPr>
            <w:tcW w:w="1007" w:type="dxa"/>
            <w:shd w:val="clear" w:color="auto" w:fill="auto"/>
            <w:vAlign w:val="center"/>
          </w:tcPr>
          <w:p w14:paraId="38C60AE1" w14:textId="4B1B1981"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-28,9%</w:t>
            </w:r>
          </w:p>
        </w:tc>
        <w:tc>
          <w:tcPr>
            <w:tcW w:w="980" w:type="dxa"/>
            <w:shd w:val="clear" w:color="auto" w:fill="auto"/>
            <w:vAlign w:val="center"/>
          </w:tcPr>
          <w:p w14:paraId="209C251E" w14:textId="69AE34DD"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-13,9%</w:t>
            </w:r>
          </w:p>
        </w:tc>
      </w:tr>
      <w:tr w:rsidR="00950D8B" w:rsidRPr="008555B4" w14:paraId="22AAE2BD" w14:textId="77777777" w:rsidTr="005611F1">
        <w:trPr>
          <w:cantSplit/>
          <w:trHeight w:val="462"/>
          <w:tblHeader/>
          <w:jc w:val="center"/>
        </w:trPr>
        <w:tc>
          <w:tcPr>
            <w:tcW w:w="458" w:type="dxa"/>
            <w:shd w:val="clear" w:color="auto" w:fill="auto"/>
            <w:noWrap/>
            <w:vAlign w:val="center"/>
            <w:hideMark/>
          </w:tcPr>
          <w:p w14:paraId="7EE37B2D" w14:textId="086DB559" w:rsidR="00950D8B" w:rsidRPr="008555B4" w:rsidRDefault="00950D8B" w:rsidP="00950D8B">
            <w:pPr>
              <w:spacing w:after="0" w:line="276" w:lineRule="auto"/>
              <w:jc w:val="left"/>
              <w:rPr>
                <w:rFonts w:cs="Arial"/>
                <w:color w:val="000000"/>
                <w:sz w:val="16"/>
                <w:szCs w:val="16"/>
              </w:rPr>
            </w:pPr>
          </w:p>
        </w:tc>
        <w:tc>
          <w:tcPr>
            <w:tcW w:w="1241" w:type="dxa"/>
            <w:shd w:val="clear" w:color="auto" w:fill="auto"/>
            <w:noWrap/>
            <w:vAlign w:val="center"/>
            <w:hideMark/>
          </w:tcPr>
          <w:p w14:paraId="77F9665B" w14:textId="77777777" w:rsidR="00950D8B" w:rsidRPr="008555B4" w:rsidRDefault="00950D8B" w:rsidP="00950D8B">
            <w:pPr>
              <w:spacing w:after="0" w:line="276" w:lineRule="auto"/>
              <w:jc w:val="left"/>
              <w:rPr>
                <w:rFonts w:cs="Arial"/>
                <w:color w:val="000000"/>
                <w:sz w:val="16"/>
                <w:szCs w:val="16"/>
              </w:rPr>
            </w:pPr>
          </w:p>
        </w:tc>
        <w:tc>
          <w:tcPr>
            <w:tcW w:w="1139" w:type="dxa"/>
            <w:shd w:val="clear" w:color="auto" w:fill="F2F2F2" w:themeFill="background1" w:themeFillShade="F2"/>
            <w:vAlign w:val="center"/>
            <w:hideMark/>
          </w:tcPr>
          <w:p w14:paraId="35D89863" w14:textId="0D775144" w:rsidR="00950D8B" w:rsidRPr="008555B4" w:rsidRDefault="00950D8B" w:rsidP="00950D8B">
            <w:pPr>
              <w:spacing w:after="0" w:line="276" w:lineRule="auto"/>
              <w:jc w:val="left"/>
              <w:rPr>
                <w:rFonts w:cs="Arial"/>
                <w:i/>
                <w:iCs/>
                <w:color w:val="000000"/>
                <w:sz w:val="16"/>
                <w:szCs w:val="16"/>
              </w:rPr>
            </w:pPr>
            <w:r w:rsidRPr="008555B4">
              <w:rPr>
                <w:rFonts w:cs="Arial"/>
                <w:i/>
                <w:iCs/>
                <w:color w:val="000000"/>
                <w:sz w:val="16"/>
                <w:szCs w:val="16"/>
              </w:rPr>
              <w:t>εκ των οποίων</w:t>
            </w:r>
            <w:r w:rsidR="009402E7">
              <w:rPr>
                <w:rFonts w:cs="Arial"/>
                <w:i/>
                <w:iCs/>
                <w:color w:val="000000"/>
                <w:sz w:val="16"/>
                <w:szCs w:val="16"/>
              </w:rPr>
              <w:t>:</w:t>
            </w:r>
          </w:p>
        </w:tc>
        <w:tc>
          <w:tcPr>
            <w:tcW w:w="1436" w:type="dxa"/>
            <w:gridSpan w:val="2"/>
            <w:shd w:val="clear" w:color="auto" w:fill="F2F2F2" w:themeFill="background1" w:themeFillShade="F2"/>
            <w:vAlign w:val="center"/>
          </w:tcPr>
          <w:p w14:paraId="515AD406" w14:textId="328A7126" w:rsidR="00950D8B" w:rsidRPr="008555B4" w:rsidRDefault="007E0F62" w:rsidP="00950D8B">
            <w:pPr>
              <w:spacing w:after="0" w:line="276" w:lineRule="auto"/>
              <w:jc w:val="left"/>
              <w:rPr>
                <w:rFonts w:cs="Arial"/>
                <w:i/>
                <w:iCs/>
                <w:color w:val="000000"/>
                <w:sz w:val="16"/>
                <w:szCs w:val="16"/>
              </w:rPr>
            </w:pPr>
            <w:r w:rsidRPr="009A6ADB">
              <w:rPr>
                <w:rFonts w:cs="Arial"/>
                <w:i/>
                <w:iCs/>
                <w:color w:val="000000"/>
                <w:sz w:val="16"/>
                <w:szCs w:val="16"/>
              </w:rPr>
              <w:t>προϋπολογισμός δημοσίων επενδύσεων</w:t>
            </w:r>
          </w:p>
        </w:tc>
        <w:tc>
          <w:tcPr>
            <w:tcW w:w="1039" w:type="dxa"/>
            <w:shd w:val="clear" w:color="auto" w:fill="F2F2F2" w:themeFill="background1" w:themeFillShade="F2"/>
            <w:vAlign w:val="center"/>
          </w:tcPr>
          <w:p w14:paraId="2484BDA7" w14:textId="5BBBE166" w:rsidR="00950D8B" w:rsidRPr="008555B4" w:rsidRDefault="00950D8B" w:rsidP="00950D8B">
            <w:pPr>
              <w:spacing w:after="0" w:line="276" w:lineRule="auto"/>
              <w:jc w:val="right"/>
              <w:rPr>
                <w:rFonts w:cs="Arial"/>
                <w:i/>
                <w:iCs/>
                <w:color w:val="000000"/>
                <w:sz w:val="16"/>
                <w:szCs w:val="16"/>
              </w:rPr>
            </w:pPr>
            <w:r w:rsidRPr="008555B4">
              <w:rPr>
                <w:rFonts w:cs="Arial"/>
                <w:i/>
                <w:iCs/>
                <w:color w:val="000000"/>
                <w:sz w:val="16"/>
                <w:szCs w:val="16"/>
              </w:rPr>
              <w:t>470</w:t>
            </w:r>
          </w:p>
        </w:tc>
        <w:tc>
          <w:tcPr>
            <w:tcW w:w="1074" w:type="dxa"/>
            <w:shd w:val="clear" w:color="auto" w:fill="F2F2F2" w:themeFill="background1" w:themeFillShade="F2"/>
            <w:vAlign w:val="center"/>
          </w:tcPr>
          <w:p w14:paraId="136C707C" w14:textId="51C2F1BA" w:rsidR="00950D8B" w:rsidRPr="008555B4" w:rsidRDefault="00950D8B" w:rsidP="00950D8B">
            <w:pPr>
              <w:spacing w:after="0" w:line="276" w:lineRule="auto"/>
              <w:jc w:val="right"/>
              <w:rPr>
                <w:rFonts w:cs="Arial"/>
                <w:i/>
                <w:iCs/>
                <w:color w:val="000000"/>
                <w:sz w:val="16"/>
                <w:szCs w:val="16"/>
              </w:rPr>
            </w:pPr>
            <w:r w:rsidRPr="008555B4">
              <w:rPr>
                <w:rFonts w:cs="Arial"/>
                <w:i/>
                <w:iCs/>
                <w:color w:val="000000"/>
                <w:sz w:val="16"/>
                <w:szCs w:val="16"/>
              </w:rPr>
              <w:t>251</w:t>
            </w:r>
          </w:p>
        </w:tc>
        <w:tc>
          <w:tcPr>
            <w:tcW w:w="1152" w:type="dxa"/>
            <w:shd w:val="clear" w:color="auto" w:fill="F2F2F2" w:themeFill="background1" w:themeFillShade="F2"/>
            <w:vAlign w:val="center"/>
          </w:tcPr>
          <w:p w14:paraId="4223FD18" w14:textId="3EC04716" w:rsidR="00950D8B" w:rsidRPr="008555B4" w:rsidRDefault="00950D8B" w:rsidP="00950D8B">
            <w:pPr>
              <w:spacing w:after="0" w:line="276" w:lineRule="auto"/>
              <w:jc w:val="right"/>
              <w:rPr>
                <w:rFonts w:cs="Arial"/>
                <w:i/>
                <w:iCs/>
                <w:color w:val="000000"/>
                <w:sz w:val="16"/>
                <w:szCs w:val="16"/>
              </w:rPr>
            </w:pPr>
            <w:r w:rsidRPr="008555B4">
              <w:rPr>
                <w:rFonts w:cs="Arial"/>
                <w:i/>
                <w:iCs/>
                <w:color w:val="000000"/>
                <w:sz w:val="16"/>
                <w:szCs w:val="16"/>
              </w:rPr>
              <w:t>170</w:t>
            </w:r>
          </w:p>
        </w:tc>
        <w:tc>
          <w:tcPr>
            <w:tcW w:w="1007" w:type="dxa"/>
            <w:shd w:val="clear" w:color="auto" w:fill="F2F2F2" w:themeFill="background1" w:themeFillShade="F2"/>
            <w:vAlign w:val="center"/>
          </w:tcPr>
          <w:p w14:paraId="79B15676" w14:textId="7173DAA6"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-46,6%</w:t>
            </w:r>
          </w:p>
        </w:tc>
        <w:tc>
          <w:tcPr>
            <w:tcW w:w="980" w:type="dxa"/>
            <w:shd w:val="clear" w:color="auto" w:fill="F2F2F2" w:themeFill="background1" w:themeFillShade="F2"/>
            <w:vAlign w:val="center"/>
          </w:tcPr>
          <w:p w14:paraId="234ED76B" w14:textId="04981356"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-32,3%</w:t>
            </w:r>
          </w:p>
        </w:tc>
      </w:tr>
      <w:tr w:rsidR="00950D8B" w:rsidRPr="008555B4" w14:paraId="6A7ABB65" w14:textId="77777777" w:rsidTr="005611F1">
        <w:trPr>
          <w:cantSplit/>
          <w:trHeight w:val="473"/>
          <w:tblHeader/>
          <w:jc w:val="center"/>
        </w:trPr>
        <w:tc>
          <w:tcPr>
            <w:tcW w:w="458" w:type="dxa"/>
            <w:shd w:val="clear" w:color="auto" w:fill="auto"/>
            <w:noWrap/>
            <w:vAlign w:val="center"/>
            <w:hideMark/>
          </w:tcPr>
          <w:p w14:paraId="10C92F59"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6</w:t>
            </w:r>
          </w:p>
        </w:tc>
        <w:tc>
          <w:tcPr>
            <w:tcW w:w="1241" w:type="dxa"/>
            <w:shd w:val="clear" w:color="auto" w:fill="auto"/>
            <w:noWrap/>
            <w:vAlign w:val="center"/>
            <w:hideMark/>
          </w:tcPr>
          <w:p w14:paraId="112A3623"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31</w:t>
            </w:r>
          </w:p>
        </w:tc>
        <w:tc>
          <w:tcPr>
            <w:tcW w:w="2575" w:type="dxa"/>
            <w:gridSpan w:val="3"/>
            <w:shd w:val="clear" w:color="auto" w:fill="auto"/>
            <w:vAlign w:val="center"/>
            <w:hideMark/>
          </w:tcPr>
          <w:p w14:paraId="1B6B9729" w14:textId="4175535B"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Πωλήσεις παγίων περιουσιακών στοιχείων</w:t>
            </w:r>
          </w:p>
        </w:tc>
        <w:tc>
          <w:tcPr>
            <w:tcW w:w="1039" w:type="dxa"/>
            <w:shd w:val="clear" w:color="auto" w:fill="auto"/>
            <w:vAlign w:val="center"/>
          </w:tcPr>
          <w:p w14:paraId="0992CD73" w14:textId="1F2EA522"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40</w:t>
            </w:r>
          </w:p>
        </w:tc>
        <w:tc>
          <w:tcPr>
            <w:tcW w:w="1074" w:type="dxa"/>
            <w:shd w:val="clear" w:color="auto" w:fill="auto"/>
            <w:vAlign w:val="center"/>
          </w:tcPr>
          <w:p w14:paraId="5FE0682D" w14:textId="5B81BA21"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36</w:t>
            </w:r>
          </w:p>
        </w:tc>
        <w:tc>
          <w:tcPr>
            <w:tcW w:w="1152" w:type="dxa"/>
            <w:shd w:val="clear" w:color="auto" w:fill="auto"/>
            <w:vAlign w:val="center"/>
          </w:tcPr>
          <w:p w14:paraId="3F09776A" w14:textId="1ACE6759"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51</w:t>
            </w:r>
          </w:p>
        </w:tc>
        <w:tc>
          <w:tcPr>
            <w:tcW w:w="1007" w:type="dxa"/>
            <w:shd w:val="clear" w:color="auto" w:fill="auto"/>
            <w:vAlign w:val="center"/>
          </w:tcPr>
          <w:p w14:paraId="6936FB04" w14:textId="7B5F6F43"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-10,9%</w:t>
            </w:r>
          </w:p>
        </w:tc>
        <w:tc>
          <w:tcPr>
            <w:tcW w:w="980" w:type="dxa"/>
            <w:shd w:val="clear" w:color="auto" w:fill="auto"/>
            <w:vAlign w:val="center"/>
          </w:tcPr>
          <w:p w14:paraId="7D48BCAA" w14:textId="173C4472"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42,5%</w:t>
            </w:r>
          </w:p>
        </w:tc>
      </w:tr>
      <w:tr w:rsidR="00950D8B" w:rsidRPr="008555B4" w14:paraId="39E453F2" w14:textId="77777777" w:rsidTr="005611F1">
        <w:trPr>
          <w:cantSplit/>
          <w:trHeight w:val="231"/>
          <w:tblHeader/>
          <w:jc w:val="center"/>
        </w:trPr>
        <w:tc>
          <w:tcPr>
            <w:tcW w:w="458" w:type="dxa"/>
            <w:shd w:val="clear" w:color="000000" w:fill="D5DCE4"/>
            <w:vAlign w:val="center"/>
            <w:hideMark/>
          </w:tcPr>
          <w:p w14:paraId="0173F26E" w14:textId="77777777" w:rsidR="00950D8B" w:rsidRPr="008555B4" w:rsidRDefault="00950D8B" w:rsidP="00950D8B">
            <w:pPr>
              <w:spacing w:after="0" w:line="276" w:lineRule="auto"/>
              <w:jc w:val="center"/>
              <w:rPr>
                <w:rFonts w:cs="Arial"/>
                <w:b/>
                <w:bCs/>
                <w:color w:val="000000"/>
                <w:sz w:val="16"/>
                <w:szCs w:val="16"/>
              </w:rPr>
            </w:pPr>
            <w:r w:rsidRPr="008555B4">
              <w:rPr>
                <w:rFonts w:cs="Arial"/>
                <w:b/>
                <w:bCs/>
                <w:color w:val="000000"/>
                <w:sz w:val="16"/>
                <w:szCs w:val="16"/>
              </w:rPr>
              <w:t>Α</w:t>
            </w:r>
          </w:p>
        </w:tc>
        <w:tc>
          <w:tcPr>
            <w:tcW w:w="3816" w:type="dxa"/>
            <w:gridSpan w:val="4"/>
            <w:shd w:val="clear" w:color="000000" w:fill="D5DCE4"/>
            <w:vAlign w:val="center"/>
            <w:hideMark/>
          </w:tcPr>
          <w:p w14:paraId="5828062E" w14:textId="77777777" w:rsidR="00950D8B" w:rsidRPr="008555B4" w:rsidRDefault="00950D8B" w:rsidP="00950D8B">
            <w:pPr>
              <w:spacing w:after="0" w:line="276" w:lineRule="auto"/>
              <w:jc w:val="left"/>
              <w:rPr>
                <w:rFonts w:cs="Arial"/>
                <w:b/>
                <w:bCs/>
                <w:color w:val="000000"/>
                <w:sz w:val="16"/>
                <w:szCs w:val="16"/>
              </w:rPr>
            </w:pPr>
            <w:r w:rsidRPr="008555B4">
              <w:rPr>
                <w:rFonts w:cs="Arial"/>
                <w:b/>
                <w:bCs/>
                <w:color w:val="000000"/>
                <w:sz w:val="16"/>
                <w:szCs w:val="16"/>
              </w:rPr>
              <w:t>Έσοδα μη χρηματοοικονομικών συναλλαγών</w:t>
            </w:r>
          </w:p>
        </w:tc>
        <w:tc>
          <w:tcPr>
            <w:tcW w:w="1039" w:type="dxa"/>
            <w:shd w:val="clear" w:color="000000" w:fill="D5DCE4"/>
            <w:vAlign w:val="center"/>
          </w:tcPr>
          <w:p w14:paraId="1281F09A" w14:textId="7E43AABD"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74.162</w:t>
            </w:r>
          </w:p>
        </w:tc>
        <w:tc>
          <w:tcPr>
            <w:tcW w:w="1074" w:type="dxa"/>
            <w:shd w:val="clear" w:color="000000" w:fill="D5DCE4"/>
            <w:vAlign w:val="center"/>
          </w:tcPr>
          <w:p w14:paraId="1DF7F361" w14:textId="04FA105F"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77.861</w:t>
            </w:r>
          </w:p>
        </w:tc>
        <w:tc>
          <w:tcPr>
            <w:tcW w:w="1152" w:type="dxa"/>
            <w:shd w:val="clear" w:color="000000" w:fill="D5DCE4"/>
            <w:vAlign w:val="center"/>
          </w:tcPr>
          <w:p w14:paraId="4C4082E4" w14:textId="0852C756"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80.248</w:t>
            </w:r>
          </w:p>
        </w:tc>
        <w:tc>
          <w:tcPr>
            <w:tcW w:w="1007" w:type="dxa"/>
            <w:shd w:val="clear" w:color="000000" w:fill="D5DCE4"/>
            <w:vAlign w:val="center"/>
          </w:tcPr>
          <w:p w14:paraId="61EA3693" w14:textId="6AB5D1E8"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5,0%</w:t>
            </w:r>
          </w:p>
        </w:tc>
        <w:tc>
          <w:tcPr>
            <w:tcW w:w="980" w:type="dxa"/>
            <w:shd w:val="clear" w:color="000000" w:fill="D5DCE4"/>
            <w:vAlign w:val="center"/>
          </w:tcPr>
          <w:p w14:paraId="713C85C2" w14:textId="5C429CCD"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3,1%</w:t>
            </w:r>
          </w:p>
        </w:tc>
      </w:tr>
      <w:tr w:rsidR="00AC47ED" w:rsidRPr="008555B4" w14:paraId="1569798B" w14:textId="77777777" w:rsidTr="005611F1">
        <w:trPr>
          <w:cantSplit/>
          <w:trHeight w:val="231"/>
          <w:tblHeader/>
          <w:jc w:val="center"/>
        </w:trPr>
        <w:tc>
          <w:tcPr>
            <w:tcW w:w="458" w:type="dxa"/>
            <w:shd w:val="clear" w:color="000000" w:fill="D5DCE4"/>
            <w:vAlign w:val="center"/>
            <w:hideMark/>
          </w:tcPr>
          <w:p w14:paraId="0775371F" w14:textId="77777777" w:rsidR="00AC47ED" w:rsidRPr="008555B4" w:rsidRDefault="00AC47ED" w:rsidP="00AC47ED">
            <w:pPr>
              <w:spacing w:after="0" w:line="276" w:lineRule="auto"/>
              <w:jc w:val="center"/>
              <w:rPr>
                <w:rFonts w:cs="Arial"/>
                <w:b/>
                <w:bCs/>
                <w:color w:val="000000"/>
                <w:sz w:val="16"/>
                <w:szCs w:val="16"/>
              </w:rPr>
            </w:pPr>
            <w:r w:rsidRPr="008555B4">
              <w:rPr>
                <w:rFonts w:cs="Arial"/>
                <w:b/>
                <w:bCs/>
                <w:color w:val="000000"/>
                <w:sz w:val="16"/>
                <w:szCs w:val="16"/>
              </w:rPr>
              <w:t> </w:t>
            </w:r>
          </w:p>
        </w:tc>
        <w:tc>
          <w:tcPr>
            <w:tcW w:w="3816" w:type="dxa"/>
            <w:gridSpan w:val="4"/>
            <w:shd w:val="clear" w:color="000000" w:fill="D5DCE4"/>
            <w:vAlign w:val="center"/>
            <w:hideMark/>
          </w:tcPr>
          <w:p w14:paraId="6F99BD4E" w14:textId="50F9F809" w:rsidR="00AC47ED" w:rsidRPr="008555B4" w:rsidRDefault="00AC47ED" w:rsidP="00AC47ED">
            <w:pPr>
              <w:spacing w:after="0" w:line="276" w:lineRule="auto"/>
              <w:jc w:val="left"/>
              <w:rPr>
                <w:rFonts w:cs="Arial"/>
                <w:b/>
                <w:bCs/>
                <w:color w:val="000000"/>
                <w:sz w:val="16"/>
                <w:szCs w:val="16"/>
              </w:rPr>
            </w:pPr>
            <w:r w:rsidRPr="008555B4">
              <w:rPr>
                <w:rFonts w:cs="Arial"/>
                <w:b/>
                <w:bCs/>
                <w:color w:val="000000"/>
                <w:sz w:val="16"/>
                <w:szCs w:val="16"/>
              </w:rPr>
              <w:t>(1+2+3+4+5+6)</w:t>
            </w:r>
          </w:p>
        </w:tc>
        <w:tc>
          <w:tcPr>
            <w:tcW w:w="1039" w:type="dxa"/>
            <w:shd w:val="clear" w:color="000000" w:fill="D5DCE4"/>
            <w:vAlign w:val="center"/>
          </w:tcPr>
          <w:p w14:paraId="78005677" w14:textId="7E70C1A7" w:rsidR="00AC47ED" w:rsidRPr="008555B4" w:rsidRDefault="00AC47ED" w:rsidP="00AC47ED">
            <w:pPr>
              <w:spacing w:after="0" w:line="276" w:lineRule="auto"/>
              <w:jc w:val="right"/>
              <w:rPr>
                <w:rFonts w:cs="Arial"/>
                <w:b/>
                <w:bCs/>
                <w:color w:val="000000"/>
                <w:sz w:val="16"/>
                <w:szCs w:val="16"/>
              </w:rPr>
            </w:pPr>
          </w:p>
        </w:tc>
        <w:tc>
          <w:tcPr>
            <w:tcW w:w="1074" w:type="dxa"/>
            <w:shd w:val="clear" w:color="000000" w:fill="D5DCE4"/>
            <w:vAlign w:val="center"/>
          </w:tcPr>
          <w:p w14:paraId="4001FA42" w14:textId="61F49122" w:rsidR="00AC47ED" w:rsidRPr="008555B4" w:rsidRDefault="00AC47ED" w:rsidP="00AC47ED">
            <w:pPr>
              <w:spacing w:after="0" w:line="276" w:lineRule="auto"/>
              <w:jc w:val="right"/>
              <w:rPr>
                <w:rFonts w:cs="Arial"/>
                <w:b/>
                <w:bCs/>
                <w:color w:val="000000"/>
                <w:sz w:val="16"/>
                <w:szCs w:val="16"/>
              </w:rPr>
            </w:pPr>
          </w:p>
        </w:tc>
        <w:tc>
          <w:tcPr>
            <w:tcW w:w="1152" w:type="dxa"/>
            <w:shd w:val="clear" w:color="000000" w:fill="D5DCE4"/>
            <w:vAlign w:val="center"/>
          </w:tcPr>
          <w:p w14:paraId="26EA8687" w14:textId="7721ACF1" w:rsidR="00AC47ED" w:rsidRPr="008555B4" w:rsidRDefault="00AC47ED" w:rsidP="00AC47ED">
            <w:pPr>
              <w:spacing w:after="0" w:line="276" w:lineRule="auto"/>
              <w:jc w:val="right"/>
              <w:rPr>
                <w:rFonts w:cs="Arial"/>
                <w:b/>
                <w:bCs/>
                <w:color w:val="000000"/>
                <w:sz w:val="16"/>
                <w:szCs w:val="16"/>
              </w:rPr>
            </w:pPr>
          </w:p>
        </w:tc>
        <w:tc>
          <w:tcPr>
            <w:tcW w:w="1007" w:type="dxa"/>
            <w:shd w:val="clear" w:color="000000" w:fill="D5DCE4"/>
            <w:vAlign w:val="center"/>
          </w:tcPr>
          <w:p w14:paraId="0E37A6A3" w14:textId="12EBB23E" w:rsidR="00AC47ED" w:rsidRPr="008555B4" w:rsidRDefault="00AC47ED" w:rsidP="00757CA1">
            <w:pPr>
              <w:spacing w:after="0" w:line="276" w:lineRule="auto"/>
              <w:jc w:val="right"/>
              <w:rPr>
                <w:rFonts w:cs="Arial"/>
                <w:b/>
                <w:bCs/>
                <w:color w:val="000000"/>
                <w:sz w:val="16"/>
                <w:szCs w:val="16"/>
              </w:rPr>
            </w:pPr>
          </w:p>
        </w:tc>
        <w:tc>
          <w:tcPr>
            <w:tcW w:w="980" w:type="dxa"/>
            <w:shd w:val="clear" w:color="000000" w:fill="D5DCE4"/>
            <w:vAlign w:val="center"/>
          </w:tcPr>
          <w:p w14:paraId="08007A88" w14:textId="6666DAFB" w:rsidR="00AC47ED" w:rsidRPr="008555B4" w:rsidRDefault="00AC47ED" w:rsidP="00757CA1">
            <w:pPr>
              <w:spacing w:after="0" w:line="276" w:lineRule="auto"/>
              <w:jc w:val="right"/>
              <w:rPr>
                <w:rFonts w:cs="Arial"/>
                <w:b/>
                <w:bCs/>
                <w:color w:val="000000"/>
                <w:sz w:val="16"/>
                <w:szCs w:val="16"/>
              </w:rPr>
            </w:pPr>
          </w:p>
        </w:tc>
      </w:tr>
      <w:tr w:rsidR="00950D8B" w:rsidRPr="008555B4" w14:paraId="02F7F39D" w14:textId="77777777" w:rsidTr="005611F1">
        <w:trPr>
          <w:cantSplit/>
          <w:trHeight w:val="231"/>
          <w:tblHeader/>
          <w:jc w:val="center"/>
        </w:trPr>
        <w:tc>
          <w:tcPr>
            <w:tcW w:w="458" w:type="dxa"/>
            <w:shd w:val="clear" w:color="auto" w:fill="auto"/>
            <w:noWrap/>
            <w:vAlign w:val="center"/>
            <w:hideMark/>
          </w:tcPr>
          <w:p w14:paraId="0A687D93"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7</w:t>
            </w:r>
          </w:p>
        </w:tc>
        <w:tc>
          <w:tcPr>
            <w:tcW w:w="1241" w:type="dxa"/>
            <w:shd w:val="clear" w:color="auto" w:fill="auto"/>
            <w:noWrap/>
            <w:vAlign w:val="center"/>
            <w:hideMark/>
          </w:tcPr>
          <w:p w14:paraId="65A62D18"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43</w:t>
            </w:r>
          </w:p>
        </w:tc>
        <w:tc>
          <w:tcPr>
            <w:tcW w:w="2575" w:type="dxa"/>
            <w:gridSpan w:val="3"/>
            <w:shd w:val="clear" w:color="auto" w:fill="auto"/>
            <w:vAlign w:val="center"/>
            <w:hideMark/>
          </w:tcPr>
          <w:p w14:paraId="331CD081" w14:textId="242C5B48"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Χρεωστικοί τίτλοι</w:t>
            </w:r>
          </w:p>
        </w:tc>
        <w:tc>
          <w:tcPr>
            <w:tcW w:w="1039" w:type="dxa"/>
            <w:shd w:val="clear" w:color="auto" w:fill="auto"/>
            <w:vAlign w:val="center"/>
          </w:tcPr>
          <w:p w14:paraId="7377B615" w14:textId="7117D824"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11</w:t>
            </w:r>
          </w:p>
        </w:tc>
        <w:tc>
          <w:tcPr>
            <w:tcW w:w="1074" w:type="dxa"/>
            <w:shd w:val="clear" w:color="auto" w:fill="auto"/>
            <w:vAlign w:val="center"/>
          </w:tcPr>
          <w:p w14:paraId="52913FEF" w14:textId="3ACBC890"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1.062</w:t>
            </w:r>
          </w:p>
        </w:tc>
        <w:tc>
          <w:tcPr>
            <w:tcW w:w="1152" w:type="dxa"/>
            <w:shd w:val="clear" w:color="auto" w:fill="auto"/>
            <w:vAlign w:val="center"/>
          </w:tcPr>
          <w:p w14:paraId="294E9ADA" w14:textId="36DA18B3"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11</w:t>
            </w:r>
          </w:p>
        </w:tc>
        <w:tc>
          <w:tcPr>
            <w:tcW w:w="1007" w:type="dxa"/>
            <w:shd w:val="clear" w:color="auto" w:fill="auto"/>
            <w:vAlign w:val="center"/>
          </w:tcPr>
          <w:p w14:paraId="47976DAB" w14:textId="67F26371"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9223,7%</w:t>
            </w:r>
          </w:p>
        </w:tc>
        <w:tc>
          <w:tcPr>
            <w:tcW w:w="980" w:type="dxa"/>
            <w:shd w:val="clear" w:color="auto" w:fill="auto"/>
            <w:vAlign w:val="center"/>
          </w:tcPr>
          <w:p w14:paraId="1757161C" w14:textId="58DDCCC7"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-99,0%</w:t>
            </w:r>
          </w:p>
        </w:tc>
      </w:tr>
      <w:tr w:rsidR="00950D8B" w:rsidRPr="008555B4" w14:paraId="51A25C0B" w14:textId="77777777" w:rsidTr="005611F1">
        <w:trPr>
          <w:cantSplit/>
          <w:trHeight w:val="231"/>
          <w:tblHeader/>
          <w:jc w:val="center"/>
        </w:trPr>
        <w:tc>
          <w:tcPr>
            <w:tcW w:w="458" w:type="dxa"/>
            <w:shd w:val="clear" w:color="auto" w:fill="auto"/>
            <w:noWrap/>
            <w:vAlign w:val="center"/>
          </w:tcPr>
          <w:p w14:paraId="3F3CDE14" w14:textId="2E8F2645"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8</w:t>
            </w:r>
          </w:p>
        </w:tc>
        <w:tc>
          <w:tcPr>
            <w:tcW w:w="1241" w:type="dxa"/>
            <w:shd w:val="clear" w:color="auto" w:fill="auto"/>
            <w:noWrap/>
            <w:vAlign w:val="center"/>
          </w:tcPr>
          <w:p w14:paraId="1D207571" w14:textId="6CEF37CA"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44</w:t>
            </w:r>
          </w:p>
        </w:tc>
        <w:tc>
          <w:tcPr>
            <w:tcW w:w="2575" w:type="dxa"/>
            <w:gridSpan w:val="3"/>
            <w:shd w:val="clear" w:color="auto" w:fill="auto"/>
            <w:vAlign w:val="center"/>
          </w:tcPr>
          <w:p w14:paraId="0146312B" w14:textId="5BDD84EB"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Δάνεια</w:t>
            </w:r>
          </w:p>
        </w:tc>
        <w:tc>
          <w:tcPr>
            <w:tcW w:w="1039" w:type="dxa"/>
            <w:shd w:val="clear" w:color="auto" w:fill="auto"/>
            <w:vAlign w:val="center"/>
          </w:tcPr>
          <w:p w14:paraId="7CD8EC2D" w14:textId="5005C941"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52</w:t>
            </w:r>
          </w:p>
        </w:tc>
        <w:tc>
          <w:tcPr>
            <w:tcW w:w="1074" w:type="dxa"/>
            <w:shd w:val="clear" w:color="auto" w:fill="auto"/>
            <w:vAlign w:val="center"/>
          </w:tcPr>
          <w:p w14:paraId="28E964F9" w14:textId="0906B016"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947</w:t>
            </w:r>
          </w:p>
        </w:tc>
        <w:tc>
          <w:tcPr>
            <w:tcW w:w="1152" w:type="dxa"/>
            <w:shd w:val="clear" w:color="auto" w:fill="auto"/>
            <w:vAlign w:val="center"/>
          </w:tcPr>
          <w:p w14:paraId="1CD375C2" w14:textId="609DFDED"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5.525</w:t>
            </w:r>
          </w:p>
        </w:tc>
        <w:tc>
          <w:tcPr>
            <w:tcW w:w="1007" w:type="dxa"/>
            <w:shd w:val="clear" w:color="auto" w:fill="auto"/>
            <w:vAlign w:val="center"/>
          </w:tcPr>
          <w:p w14:paraId="77594A05" w14:textId="590A1DC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w:t>
            </w:r>
            <w:r w:rsidR="006C644B" w:rsidRPr="008555B4">
              <w:rPr>
                <w:rFonts w:cs="Arial"/>
                <w:color w:val="000000"/>
                <w:sz w:val="16"/>
                <w:szCs w:val="16"/>
              </w:rPr>
              <w:t>.</w:t>
            </w:r>
            <w:r w:rsidRPr="008555B4">
              <w:rPr>
                <w:rFonts w:cs="Arial"/>
                <w:color w:val="000000"/>
                <w:sz w:val="16"/>
                <w:szCs w:val="16"/>
              </w:rPr>
              <w:t>713,7%</w:t>
            </w:r>
          </w:p>
        </w:tc>
        <w:tc>
          <w:tcPr>
            <w:tcW w:w="980" w:type="dxa"/>
            <w:shd w:val="clear" w:color="auto" w:fill="auto"/>
            <w:vAlign w:val="center"/>
          </w:tcPr>
          <w:p w14:paraId="3779AB03" w14:textId="713EFEFD"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483,4%</w:t>
            </w:r>
          </w:p>
        </w:tc>
      </w:tr>
      <w:tr w:rsidR="00950D8B" w:rsidRPr="008555B4" w14:paraId="125A3180" w14:textId="77777777" w:rsidTr="005611F1">
        <w:trPr>
          <w:cantSplit/>
          <w:trHeight w:val="473"/>
          <w:tblHeader/>
          <w:jc w:val="center"/>
        </w:trPr>
        <w:tc>
          <w:tcPr>
            <w:tcW w:w="458" w:type="dxa"/>
            <w:shd w:val="clear" w:color="auto" w:fill="auto"/>
            <w:noWrap/>
            <w:vAlign w:val="center"/>
            <w:hideMark/>
          </w:tcPr>
          <w:p w14:paraId="7D496D6D" w14:textId="43546CA0"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9</w:t>
            </w:r>
          </w:p>
        </w:tc>
        <w:tc>
          <w:tcPr>
            <w:tcW w:w="1241" w:type="dxa"/>
            <w:shd w:val="clear" w:color="auto" w:fill="auto"/>
            <w:noWrap/>
            <w:vAlign w:val="center"/>
            <w:hideMark/>
          </w:tcPr>
          <w:p w14:paraId="04F7F2ED"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45</w:t>
            </w:r>
          </w:p>
        </w:tc>
        <w:tc>
          <w:tcPr>
            <w:tcW w:w="2575" w:type="dxa"/>
            <w:gridSpan w:val="3"/>
            <w:shd w:val="clear" w:color="auto" w:fill="auto"/>
            <w:vAlign w:val="center"/>
            <w:hideMark/>
          </w:tcPr>
          <w:p w14:paraId="372F301C" w14:textId="120D4472"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Συμμετοχικοί τίτλοι και μερίδια επενδυτικών κεφαλαίων</w:t>
            </w:r>
          </w:p>
        </w:tc>
        <w:tc>
          <w:tcPr>
            <w:tcW w:w="1039" w:type="dxa"/>
            <w:shd w:val="clear" w:color="auto" w:fill="auto"/>
            <w:vAlign w:val="center"/>
          </w:tcPr>
          <w:p w14:paraId="28557CFD" w14:textId="18C9201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899</w:t>
            </w:r>
          </w:p>
        </w:tc>
        <w:tc>
          <w:tcPr>
            <w:tcW w:w="1074" w:type="dxa"/>
            <w:shd w:val="clear" w:color="auto" w:fill="auto"/>
            <w:vAlign w:val="center"/>
          </w:tcPr>
          <w:p w14:paraId="72A8AF14" w14:textId="76E075F4"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333</w:t>
            </w:r>
          </w:p>
        </w:tc>
        <w:tc>
          <w:tcPr>
            <w:tcW w:w="1152" w:type="dxa"/>
            <w:shd w:val="clear" w:color="auto" w:fill="auto"/>
            <w:vAlign w:val="center"/>
          </w:tcPr>
          <w:p w14:paraId="4C5182CF" w14:textId="1C1A17EA"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228</w:t>
            </w:r>
          </w:p>
        </w:tc>
        <w:tc>
          <w:tcPr>
            <w:tcW w:w="1007" w:type="dxa"/>
            <w:shd w:val="clear" w:color="auto" w:fill="auto"/>
            <w:vAlign w:val="center"/>
          </w:tcPr>
          <w:p w14:paraId="6E141271" w14:textId="301432AB"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-62,9%</w:t>
            </w:r>
          </w:p>
        </w:tc>
        <w:tc>
          <w:tcPr>
            <w:tcW w:w="980" w:type="dxa"/>
            <w:shd w:val="clear" w:color="auto" w:fill="auto"/>
            <w:vAlign w:val="center"/>
          </w:tcPr>
          <w:p w14:paraId="131471B0" w14:textId="11E8889D"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-31,6%</w:t>
            </w:r>
          </w:p>
        </w:tc>
      </w:tr>
      <w:tr w:rsidR="00950D8B" w:rsidRPr="008555B4" w14:paraId="5A0E3F1F" w14:textId="77777777" w:rsidTr="005611F1">
        <w:trPr>
          <w:cantSplit/>
          <w:trHeight w:val="462"/>
          <w:tblHeader/>
          <w:jc w:val="center"/>
        </w:trPr>
        <w:tc>
          <w:tcPr>
            <w:tcW w:w="458" w:type="dxa"/>
            <w:shd w:val="clear" w:color="auto" w:fill="auto"/>
            <w:noWrap/>
            <w:vAlign w:val="center"/>
            <w:hideMark/>
          </w:tcPr>
          <w:p w14:paraId="2929B6B2" w14:textId="5B015870"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10</w:t>
            </w:r>
          </w:p>
        </w:tc>
        <w:tc>
          <w:tcPr>
            <w:tcW w:w="1241" w:type="dxa"/>
            <w:shd w:val="clear" w:color="auto" w:fill="auto"/>
            <w:noWrap/>
            <w:vAlign w:val="center"/>
            <w:hideMark/>
          </w:tcPr>
          <w:p w14:paraId="4052912C"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49</w:t>
            </w:r>
          </w:p>
        </w:tc>
        <w:tc>
          <w:tcPr>
            <w:tcW w:w="2575" w:type="dxa"/>
            <w:gridSpan w:val="3"/>
            <w:shd w:val="clear" w:color="auto" w:fill="auto"/>
            <w:vAlign w:val="center"/>
            <w:hideMark/>
          </w:tcPr>
          <w:p w14:paraId="3A981BE7" w14:textId="77777777"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Προκαταβολές και λοιπές απαιτήσεις</w:t>
            </w:r>
          </w:p>
        </w:tc>
        <w:tc>
          <w:tcPr>
            <w:tcW w:w="1039" w:type="dxa"/>
            <w:shd w:val="clear" w:color="auto" w:fill="auto"/>
            <w:vAlign w:val="center"/>
          </w:tcPr>
          <w:p w14:paraId="78733B5D" w14:textId="20CDB53F"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34</w:t>
            </w:r>
          </w:p>
        </w:tc>
        <w:tc>
          <w:tcPr>
            <w:tcW w:w="1074" w:type="dxa"/>
            <w:shd w:val="clear" w:color="auto" w:fill="auto"/>
            <w:vAlign w:val="center"/>
          </w:tcPr>
          <w:p w14:paraId="77B965CE" w14:textId="0EAEECEF"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43</w:t>
            </w:r>
          </w:p>
        </w:tc>
        <w:tc>
          <w:tcPr>
            <w:tcW w:w="1152" w:type="dxa"/>
            <w:shd w:val="clear" w:color="auto" w:fill="auto"/>
            <w:vAlign w:val="center"/>
          </w:tcPr>
          <w:p w14:paraId="1E8375F7" w14:textId="67C4456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0</w:t>
            </w:r>
          </w:p>
        </w:tc>
        <w:tc>
          <w:tcPr>
            <w:tcW w:w="1007" w:type="dxa"/>
            <w:shd w:val="clear" w:color="auto" w:fill="auto"/>
            <w:vAlign w:val="center"/>
          </w:tcPr>
          <w:p w14:paraId="34514E63" w14:textId="6FA712D9"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25,6%</w:t>
            </w:r>
          </w:p>
        </w:tc>
        <w:tc>
          <w:tcPr>
            <w:tcW w:w="980" w:type="dxa"/>
            <w:shd w:val="clear" w:color="auto" w:fill="auto"/>
            <w:vAlign w:val="center"/>
          </w:tcPr>
          <w:p w14:paraId="2E38F4A6" w14:textId="778B02E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-100,0%</w:t>
            </w:r>
          </w:p>
        </w:tc>
      </w:tr>
      <w:tr w:rsidR="00950D8B" w:rsidRPr="008555B4" w14:paraId="4676FE24" w14:textId="77777777" w:rsidTr="005611F1">
        <w:trPr>
          <w:cantSplit/>
          <w:trHeight w:val="462"/>
          <w:tblHeader/>
          <w:jc w:val="center"/>
        </w:trPr>
        <w:tc>
          <w:tcPr>
            <w:tcW w:w="458" w:type="dxa"/>
            <w:shd w:val="clear" w:color="auto" w:fill="auto"/>
            <w:noWrap/>
            <w:vAlign w:val="center"/>
            <w:hideMark/>
          </w:tcPr>
          <w:p w14:paraId="309A8F9B" w14:textId="7541BB59"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11</w:t>
            </w:r>
          </w:p>
        </w:tc>
        <w:tc>
          <w:tcPr>
            <w:tcW w:w="1241" w:type="dxa"/>
            <w:shd w:val="clear" w:color="auto" w:fill="auto"/>
            <w:noWrap/>
            <w:vAlign w:val="center"/>
            <w:hideMark/>
          </w:tcPr>
          <w:p w14:paraId="34840B6B"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52</w:t>
            </w:r>
          </w:p>
        </w:tc>
        <w:tc>
          <w:tcPr>
            <w:tcW w:w="2575" w:type="dxa"/>
            <w:gridSpan w:val="3"/>
            <w:shd w:val="clear" w:color="auto" w:fill="auto"/>
            <w:vAlign w:val="center"/>
            <w:hideMark/>
          </w:tcPr>
          <w:p w14:paraId="48B6E71B" w14:textId="54B6B17F"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Υποχρεώσεις από νόμισμα και καταθέσεις</w:t>
            </w:r>
          </w:p>
        </w:tc>
        <w:tc>
          <w:tcPr>
            <w:tcW w:w="1039" w:type="dxa"/>
            <w:shd w:val="clear" w:color="auto" w:fill="auto"/>
            <w:vAlign w:val="center"/>
          </w:tcPr>
          <w:p w14:paraId="2BCCCB7B" w14:textId="2AFAF2F8"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64</w:t>
            </w:r>
          </w:p>
        </w:tc>
        <w:tc>
          <w:tcPr>
            <w:tcW w:w="1074" w:type="dxa"/>
            <w:shd w:val="clear" w:color="auto" w:fill="auto"/>
            <w:vAlign w:val="center"/>
          </w:tcPr>
          <w:p w14:paraId="6AA6EAE6" w14:textId="7847DD98"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66</w:t>
            </w:r>
          </w:p>
        </w:tc>
        <w:tc>
          <w:tcPr>
            <w:tcW w:w="1152" w:type="dxa"/>
            <w:shd w:val="clear" w:color="auto" w:fill="auto"/>
            <w:vAlign w:val="center"/>
          </w:tcPr>
          <w:p w14:paraId="208E62C2" w14:textId="780D17B0"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63</w:t>
            </w:r>
          </w:p>
        </w:tc>
        <w:tc>
          <w:tcPr>
            <w:tcW w:w="1007" w:type="dxa"/>
            <w:shd w:val="clear" w:color="auto" w:fill="auto"/>
            <w:vAlign w:val="center"/>
          </w:tcPr>
          <w:p w14:paraId="116F60DB" w14:textId="2952A45D"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2,5%</w:t>
            </w:r>
          </w:p>
        </w:tc>
        <w:tc>
          <w:tcPr>
            <w:tcW w:w="980" w:type="dxa"/>
            <w:shd w:val="clear" w:color="auto" w:fill="auto"/>
            <w:vAlign w:val="center"/>
          </w:tcPr>
          <w:p w14:paraId="78E363C2" w14:textId="62784D23"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-4,1%</w:t>
            </w:r>
          </w:p>
        </w:tc>
      </w:tr>
      <w:tr w:rsidR="00950D8B" w:rsidRPr="008555B4" w14:paraId="3867936D" w14:textId="77777777" w:rsidTr="005611F1">
        <w:trPr>
          <w:cantSplit/>
          <w:trHeight w:val="231"/>
          <w:tblHeader/>
          <w:jc w:val="center"/>
        </w:trPr>
        <w:tc>
          <w:tcPr>
            <w:tcW w:w="458" w:type="dxa"/>
            <w:shd w:val="clear" w:color="auto" w:fill="auto"/>
            <w:noWrap/>
            <w:vAlign w:val="center"/>
          </w:tcPr>
          <w:p w14:paraId="5E007DDF" w14:textId="7A40DD95"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12</w:t>
            </w:r>
          </w:p>
        </w:tc>
        <w:tc>
          <w:tcPr>
            <w:tcW w:w="1241" w:type="dxa"/>
            <w:shd w:val="clear" w:color="auto" w:fill="auto"/>
            <w:noWrap/>
            <w:vAlign w:val="center"/>
            <w:hideMark/>
          </w:tcPr>
          <w:p w14:paraId="53E9C933"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53</w:t>
            </w:r>
          </w:p>
        </w:tc>
        <w:tc>
          <w:tcPr>
            <w:tcW w:w="2575" w:type="dxa"/>
            <w:gridSpan w:val="3"/>
            <w:shd w:val="clear" w:color="auto" w:fill="auto"/>
            <w:vAlign w:val="center"/>
            <w:hideMark/>
          </w:tcPr>
          <w:p w14:paraId="4AD886AA" w14:textId="77777777"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Χρεωστικοί τίτλοι (υποχρεώσεις)</w:t>
            </w:r>
          </w:p>
        </w:tc>
        <w:tc>
          <w:tcPr>
            <w:tcW w:w="1039" w:type="dxa"/>
            <w:shd w:val="clear" w:color="auto" w:fill="auto"/>
            <w:vAlign w:val="center"/>
          </w:tcPr>
          <w:p w14:paraId="6FB2F921" w14:textId="3C343140"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27.595</w:t>
            </w:r>
          </w:p>
        </w:tc>
        <w:tc>
          <w:tcPr>
            <w:tcW w:w="1074" w:type="dxa"/>
            <w:shd w:val="clear" w:color="auto" w:fill="auto"/>
            <w:vAlign w:val="center"/>
          </w:tcPr>
          <w:p w14:paraId="400C4ADE" w14:textId="39522F8E"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24.273</w:t>
            </w:r>
          </w:p>
        </w:tc>
        <w:tc>
          <w:tcPr>
            <w:tcW w:w="1152" w:type="dxa"/>
            <w:shd w:val="clear" w:color="auto" w:fill="auto"/>
            <w:vAlign w:val="center"/>
          </w:tcPr>
          <w:p w14:paraId="32A1056F" w14:textId="20F7231E"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23.875</w:t>
            </w:r>
          </w:p>
        </w:tc>
        <w:tc>
          <w:tcPr>
            <w:tcW w:w="1007" w:type="dxa"/>
            <w:shd w:val="clear" w:color="auto" w:fill="auto"/>
            <w:vAlign w:val="center"/>
          </w:tcPr>
          <w:p w14:paraId="665A448B" w14:textId="440B092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-12,0%</w:t>
            </w:r>
          </w:p>
        </w:tc>
        <w:tc>
          <w:tcPr>
            <w:tcW w:w="980" w:type="dxa"/>
            <w:shd w:val="clear" w:color="auto" w:fill="auto"/>
            <w:vAlign w:val="center"/>
          </w:tcPr>
          <w:p w14:paraId="300484CE" w14:textId="766AA2B6"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-1,6%</w:t>
            </w:r>
          </w:p>
        </w:tc>
      </w:tr>
      <w:tr w:rsidR="00950D8B" w:rsidRPr="008555B4" w14:paraId="051E10CF" w14:textId="77777777" w:rsidTr="005611F1">
        <w:trPr>
          <w:cantSplit/>
          <w:trHeight w:val="242"/>
          <w:tblHeader/>
          <w:jc w:val="center"/>
        </w:trPr>
        <w:tc>
          <w:tcPr>
            <w:tcW w:w="458" w:type="dxa"/>
            <w:shd w:val="clear" w:color="auto" w:fill="auto"/>
            <w:noWrap/>
            <w:vAlign w:val="center"/>
          </w:tcPr>
          <w:p w14:paraId="788F8619" w14:textId="75363D63"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13</w:t>
            </w:r>
          </w:p>
        </w:tc>
        <w:tc>
          <w:tcPr>
            <w:tcW w:w="1241" w:type="dxa"/>
            <w:shd w:val="clear" w:color="auto" w:fill="auto"/>
            <w:noWrap/>
            <w:vAlign w:val="center"/>
            <w:hideMark/>
          </w:tcPr>
          <w:p w14:paraId="3518748E"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54</w:t>
            </w:r>
          </w:p>
        </w:tc>
        <w:tc>
          <w:tcPr>
            <w:tcW w:w="2575" w:type="dxa"/>
            <w:gridSpan w:val="3"/>
            <w:shd w:val="clear" w:color="auto" w:fill="auto"/>
            <w:vAlign w:val="center"/>
            <w:hideMark/>
          </w:tcPr>
          <w:p w14:paraId="063C2EA7" w14:textId="75492494"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Δάνεια</w:t>
            </w:r>
          </w:p>
        </w:tc>
        <w:tc>
          <w:tcPr>
            <w:tcW w:w="1039" w:type="dxa"/>
            <w:shd w:val="clear" w:color="auto" w:fill="auto"/>
            <w:vAlign w:val="center"/>
          </w:tcPr>
          <w:p w14:paraId="4DD65F96" w14:textId="73F10AE3"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1.421.043</w:t>
            </w:r>
          </w:p>
        </w:tc>
        <w:tc>
          <w:tcPr>
            <w:tcW w:w="1074" w:type="dxa"/>
            <w:shd w:val="clear" w:color="auto" w:fill="auto"/>
            <w:vAlign w:val="center"/>
          </w:tcPr>
          <w:p w14:paraId="341DC9B2" w14:textId="013BA087"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1.527.772</w:t>
            </w:r>
          </w:p>
        </w:tc>
        <w:tc>
          <w:tcPr>
            <w:tcW w:w="1152" w:type="dxa"/>
            <w:shd w:val="clear" w:color="auto" w:fill="auto"/>
            <w:vAlign w:val="center"/>
          </w:tcPr>
          <w:p w14:paraId="75CF8116" w14:textId="678A0A78"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1.654.726</w:t>
            </w:r>
          </w:p>
        </w:tc>
        <w:tc>
          <w:tcPr>
            <w:tcW w:w="1007" w:type="dxa"/>
            <w:shd w:val="clear" w:color="auto" w:fill="auto"/>
            <w:vAlign w:val="center"/>
          </w:tcPr>
          <w:p w14:paraId="34981783" w14:textId="35C09CF9"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7,5%</w:t>
            </w:r>
          </w:p>
        </w:tc>
        <w:tc>
          <w:tcPr>
            <w:tcW w:w="980" w:type="dxa"/>
            <w:shd w:val="clear" w:color="auto" w:fill="auto"/>
            <w:vAlign w:val="center"/>
          </w:tcPr>
          <w:p w14:paraId="49CAD36E" w14:textId="3952D9AB"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8,3%</w:t>
            </w:r>
          </w:p>
        </w:tc>
      </w:tr>
      <w:tr w:rsidR="00950D8B" w:rsidRPr="008555B4" w14:paraId="213E412B" w14:textId="77777777" w:rsidTr="005611F1">
        <w:trPr>
          <w:cantSplit/>
          <w:trHeight w:val="231"/>
          <w:tblHeader/>
          <w:jc w:val="center"/>
        </w:trPr>
        <w:tc>
          <w:tcPr>
            <w:tcW w:w="458" w:type="dxa"/>
            <w:shd w:val="clear" w:color="auto" w:fill="auto"/>
            <w:noWrap/>
            <w:vAlign w:val="center"/>
          </w:tcPr>
          <w:p w14:paraId="6D77939D" w14:textId="28E9A518"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14</w:t>
            </w:r>
          </w:p>
        </w:tc>
        <w:tc>
          <w:tcPr>
            <w:tcW w:w="1241" w:type="dxa"/>
            <w:shd w:val="clear" w:color="auto" w:fill="auto"/>
            <w:noWrap/>
            <w:vAlign w:val="center"/>
            <w:hideMark/>
          </w:tcPr>
          <w:p w14:paraId="1F66D3A4" w14:textId="77777777" w:rsidR="00950D8B" w:rsidRPr="008555B4" w:rsidRDefault="00950D8B" w:rsidP="00950D8B">
            <w:pPr>
              <w:spacing w:after="0" w:line="276" w:lineRule="auto"/>
              <w:jc w:val="center"/>
              <w:rPr>
                <w:rFonts w:cs="Arial"/>
                <w:color w:val="000000"/>
                <w:sz w:val="16"/>
                <w:szCs w:val="16"/>
              </w:rPr>
            </w:pPr>
            <w:r w:rsidRPr="008555B4">
              <w:rPr>
                <w:rFonts w:cs="Arial"/>
                <w:color w:val="000000"/>
                <w:sz w:val="16"/>
                <w:szCs w:val="16"/>
              </w:rPr>
              <w:t>57</w:t>
            </w:r>
          </w:p>
        </w:tc>
        <w:tc>
          <w:tcPr>
            <w:tcW w:w="2575" w:type="dxa"/>
            <w:gridSpan w:val="3"/>
            <w:shd w:val="clear" w:color="auto" w:fill="auto"/>
            <w:vAlign w:val="center"/>
            <w:hideMark/>
          </w:tcPr>
          <w:p w14:paraId="46D1F9BE" w14:textId="7FC434E4" w:rsidR="00950D8B" w:rsidRPr="008555B4" w:rsidRDefault="00950D8B" w:rsidP="00950D8B">
            <w:pPr>
              <w:spacing w:after="0" w:line="276" w:lineRule="auto"/>
              <w:jc w:val="left"/>
              <w:rPr>
                <w:rFonts w:cs="Arial"/>
                <w:color w:val="000000"/>
                <w:sz w:val="16"/>
                <w:szCs w:val="16"/>
              </w:rPr>
            </w:pPr>
            <w:r w:rsidRPr="008555B4">
              <w:rPr>
                <w:rFonts w:cs="Arial"/>
                <w:color w:val="000000"/>
                <w:sz w:val="16"/>
                <w:szCs w:val="16"/>
              </w:rPr>
              <w:t>Χρηματοοικονομικά παράγωγα</w:t>
            </w:r>
          </w:p>
        </w:tc>
        <w:tc>
          <w:tcPr>
            <w:tcW w:w="1039" w:type="dxa"/>
            <w:shd w:val="clear" w:color="auto" w:fill="auto"/>
            <w:vAlign w:val="center"/>
          </w:tcPr>
          <w:p w14:paraId="0066CC96" w14:textId="3A754D76"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2.657</w:t>
            </w:r>
          </w:p>
        </w:tc>
        <w:tc>
          <w:tcPr>
            <w:tcW w:w="1074" w:type="dxa"/>
            <w:shd w:val="clear" w:color="auto" w:fill="auto"/>
            <w:vAlign w:val="center"/>
          </w:tcPr>
          <w:p w14:paraId="02C352D0" w14:textId="412987A0"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1.214</w:t>
            </w:r>
          </w:p>
        </w:tc>
        <w:tc>
          <w:tcPr>
            <w:tcW w:w="1152" w:type="dxa"/>
            <w:shd w:val="clear" w:color="auto" w:fill="auto"/>
            <w:vAlign w:val="center"/>
          </w:tcPr>
          <w:p w14:paraId="1A4CB182" w14:textId="7144E435"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959</w:t>
            </w:r>
          </w:p>
        </w:tc>
        <w:tc>
          <w:tcPr>
            <w:tcW w:w="1007" w:type="dxa"/>
            <w:shd w:val="clear" w:color="auto" w:fill="auto"/>
            <w:vAlign w:val="center"/>
          </w:tcPr>
          <w:p w14:paraId="0B429612" w14:textId="7AF3B259"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-54,3%</w:t>
            </w:r>
          </w:p>
        </w:tc>
        <w:tc>
          <w:tcPr>
            <w:tcW w:w="980" w:type="dxa"/>
            <w:shd w:val="clear" w:color="auto" w:fill="auto"/>
            <w:vAlign w:val="center"/>
          </w:tcPr>
          <w:p w14:paraId="1483D991" w14:textId="720DEC27" w:rsidR="00950D8B" w:rsidRPr="008555B4" w:rsidRDefault="00950D8B" w:rsidP="00950D8B">
            <w:pPr>
              <w:spacing w:after="0" w:line="276" w:lineRule="auto"/>
              <w:jc w:val="right"/>
              <w:rPr>
                <w:rFonts w:cs="Arial"/>
                <w:color w:val="000000"/>
                <w:sz w:val="16"/>
                <w:szCs w:val="16"/>
              </w:rPr>
            </w:pPr>
            <w:r w:rsidRPr="008555B4">
              <w:rPr>
                <w:rFonts w:cs="Arial"/>
                <w:color w:val="000000"/>
                <w:sz w:val="16"/>
                <w:szCs w:val="16"/>
              </w:rPr>
              <w:t>-21,0%</w:t>
            </w:r>
          </w:p>
        </w:tc>
      </w:tr>
      <w:tr w:rsidR="00950D8B" w:rsidRPr="008555B4" w14:paraId="576682AB" w14:textId="77777777" w:rsidTr="005611F1">
        <w:trPr>
          <w:cantSplit/>
          <w:trHeight w:val="231"/>
          <w:tblHeader/>
          <w:jc w:val="center"/>
        </w:trPr>
        <w:tc>
          <w:tcPr>
            <w:tcW w:w="458" w:type="dxa"/>
            <w:shd w:val="clear" w:color="000000" w:fill="D5DCE4"/>
            <w:vAlign w:val="center"/>
            <w:hideMark/>
          </w:tcPr>
          <w:p w14:paraId="6C56D444" w14:textId="77777777" w:rsidR="00950D8B" w:rsidRPr="008555B4" w:rsidRDefault="00950D8B" w:rsidP="00950D8B">
            <w:pPr>
              <w:spacing w:after="0" w:line="276" w:lineRule="auto"/>
              <w:jc w:val="center"/>
              <w:rPr>
                <w:rFonts w:cs="Arial"/>
                <w:b/>
                <w:bCs/>
                <w:color w:val="000000"/>
                <w:sz w:val="16"/>
                <w:szCs w:val="16"/>
              </w:rPr>
            </w:pPr>
            <w:r w:rsidRPr="008555B4">
              <w:rPr>
                <w:rFonts w:cs="Arial"/>
                <w:b/>
                <w:bCs/>
                <w:color w:val="000000"/>
                <w:sz w:val="16"/>
                <w:szCs w:val="16"/>
              </w:rPr>
              <w:t>Β</w:t>
            </w:r>
          </w:p>
        </w:tc>
        <w:tc>
          <w:tcPr>
            <w:tcW w:w="3816" w:type="dxa"/>
            <w:gridSpan w:val="4"/>
            <w:shd w:val="clear" w:color="000000" w:fill="D5DCE4"/>
            <w:vAlign w:val="center"/>
            <w:hideMark/>
          </w:tcPr>
          <w:p w14:paraId="5A1A1B64" w14:textId="77777777" w:rsidR="00950D8B" w:rsidRPr="008555B4" w:rsidRDefault="00950D8B" w:rsidP="00950D8B">
            <w:pPr>
              <w:spacing w:after="0" w:line="276" w:lineRule="auto"/>
              <w:jc w:val="left"/>
              <w:rPr>
                <w:rFonts w:cs="Arial"/>
                <w:b/>
                <w:bCs/>
                <w:color w:val="000000"/>
                <w:sz w:val="16"/>
                <w:szCs w:val="16"/>
              </w:rPr>
            </w:pPr>
            <w:r w:rsidRPr="008555B4">
              <w:rPr>
                <w:rFonts w:cs="Arial"/>
                <w:b/>
                <w:bCs/>
                <w:color w:val="000000"/>
                <w:sz w:val="16"/>
                <w:szCs w:val="16"/>
              </w:rPr>
              <w:t>Έσοδα χρηματοοικονομικών συναλλαγών</w:t>
            </w:r>
          </w:p>
        </w:tc>
        <w:tc>
          <w:tcPr>
            <w:tcW w:w="1039" w:type="dxa"/>
            <w:shd w:val="clear" w:color="000000" w:fill="D5DCE4"/>
            <w:vAlign w:val="center"/>
          </w:tcPr>
          <w:p w14:paraId="3699B61A" w14:textId="3F7B923C"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1.452.356</w:t>
            </w:r>
          </w:p>
        </w:tc>
        <w:tc>
          <w:tcPr>
            <w:tcW w:w="1074" w:type="dxa"/>
            <w:shd w:val="clear" w:color="000000" w:fill="D5DCE4"/>
            <w:vAlign w:val="center"/>
          </w:tcPr>
          <w:p w14:paraId="41EBD711" w14:textId="02A5E503"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1.555.709</w:t>
            </w:r>
          </w:p>
        </w:tc>
        <w:tc>
          <w:tcPr>
            <w:tcW w:w="1152" w:type="dxa"/>
            <w:shd w:val="clear" w:color="000000" w:fill="D5DCE4"/>
            <w:vAlign w:val="center"/>
          </w:tcPr>
          <w:p w14:paraId="0FA675EE" w14:textId="314F5611"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1.685.387</w:t>
            </w:r>
          </w:p>
        </w:tc>
        <w:tc>
          <w:tcPr>
            <w:tcW w:w="1007" w:type="dxa"/>
            <w:shd w:val="clear" w:color="000000" w:fill="D5DCE4"/>
            <w:vAlign w:val="center"/>
          </w:tcPr>
          <w:p w14:paraId="0006DB45" w14:textId="4BA5A9F0"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7,1%</w:t>
            </w:r>
          </w:p>
        </w:tc>
        <w:tc>
          <w:tcPr>
            <w:tcW w:w="980" w:type="dxa"/>
            <w:shd w:val="clear" w:color="000000" w:fill="D5DCE4"/>
            <w:vAlign w:val="center"/>
          </w:tcPr>
          <w:p w14:paraId="22169533" w14:textId="2D752BEA"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8,3%</w:t>
            </w:r>
          </w:p>
        </w:tc>
      </w:tr>
      <w:tr w:rsidR="00AC47ED" w:rsidRPr="008555B4" w14:paraId="39D0998D" w14:textId="77777777" w:rsidTr="005611F1">
        <w:trPr>
          <w:cantSplit/>
          <w:trHeight w:val="231"/>
          <w:tblHeader/>
          <w:jc w:val="center"/>
        </w:trPr>
        <w:tc>
          <w:tcPr>
            <w:tcW w:w="458" w:type="dxa"/>
            <w:shd w:val="clear" w:color="000000" w:fill="D5DCE4"/>
            <w:vAlign w:val="center"/>
            <w:hideMark/>
          </w:tcPr>
          <w:p w14:paraId="12AFC9FE" w14:textId="22077480" w:rsidR="00AC47ED" w:rsidRPr="008555B4" w:rsidRDefault="00AC47ED" w:rsidP="00AC47ED">
            <w:pPr>
              <w:spacing w:after="0" w:line="276" w:lineRule="auto"/>
              <w:jc w:val="center"/>
              <w:rPr>
                <w:rFonts w:cs="Arial"/>
                <w:b/>
                <w:bCs/>
                <w:color w:val="000000"/>
                <w:sz w:val="16"/>
                <w:szCs w:val="16"/>
              </w:rPr>
            </w:pPr>
          </w:p>
        </w:tc>
        <w:tc>
          <w:tcPr>
            <w:tcW w:w="3816" w:type="dxa"/>
            <w:gridSpan w:val="4"/>
            <w:shd w:val="clear" w:color="000000" w:fill="D5DCE4"/>
            <w:vAlign w:val="center"/>
            <w:hideMark/>
          </w:tcPr>
          <w:p w14:paraId="7CE4D004" w14:textId="347B3265" w:rsidR="00AC47ED" w:rsidRPr="008555B4" w:rsidRDefault="00AC47ED" w:rsidP="00AC47ED">
            <w:pPr>
              <w:spacing w:after="0" w:line="276" w:lineRule="auto"/>
              <w:jc w:val="left"/>
              <w:rPr>
                <w:rFonts w:cs="Arial"/>
                <w:b/>
                <w:bCs/>
                <w:color w:val="000000"/>
                <w:sz w:val="16"/>
                <w:szCs w:val="16"/>
              </w:rPr>
            </w:pPr>
            <w:r w:rsidRPr="008555B4">
              <w:rPr>
                <w:rFonts w:cs="Arial"/>
                <w:b/>
                <w:bCs/>
                <w:color w:val="000000"/>
                <w:sz w:val="16"/>
                <w:szCs w:val="16"/>
              </w:rPr>
              <w:t>(7+8+9+10+11+12+13+14)</w:t>
            </w:r>
          </w:p>
        </w:tc>
        <w:tc>
          <w:tcPr>
            <w:tcW w:w="1039" w:type="dxa"/>
            <w:shd w:val="clear" w:color="000000" w:fill="D5DCE4"/>
            <w:vAlign w:val="center"/>
          </w:tcPr>
          <w:p w14:paraId="710D12E0" w14:textId="58F9B5D0" w:rsidR="00AC47ED" w:rsidRPr="008555B4" w:rsidRDefault="00AC47ED" w:rsidP="00AC47ED">
            <w:pPr>
              <w:spacing w:after="0" w:line="276" w:lineRule="auto"/>
              <w:jc w:val="right"/>
              <w:rPr>
                <w:rFonts w:cs="Arial"/>
                <w:b/>
                <w:bCs/>
                <w:color w:val="000000"/>
                <w:sz w:val="16"/>
                <w:szCs w:val="16"/>
              </w:rPr>
            </w:pPr>
          </w:p>
        </w:tc>
        <w:tc>
          <w:tcPr>
            <w:tcW w:w="1074" w:type="dxa"/>
            <w:shd w:val="clear" w:color="000000" w:fill="D5DCE4"/>
            <w:vAlign w:val="center"/>
          </w:tcPr>
          <w:p w14:paraId="1D9A0B18" w14:textId="0238D2C0" w:rsidR="00AC47ED" w:rsidRPr="008555B4" w:rsidRDefault="00AC47ED" w:rsidP="00AC47ED">
            <w:pPr>
              <w:spacing w:after="0" w:line="276" w:lineRule="auto"/>
              <w:jc w:val="right"/>
              <w:rPr>
                <w:rFonts w:cs="Arial"/>
                <w:b/>
                <w:bCs/>
                <w:color w:val="000000"/>
                <w:sz w:val="16"/>
                <w:szCs w:val="16"/>
              </w:rPr>
            </w:pPr>
          </w:p>
        </w:tc>
        <w:tc>
          <w:tcPr>
            <w:tcW w:w="1152" w:type="dxa"/>
            <w:shd w:val="clear" w:color="000000" w:fill="D5DCE4"/>
            <w:vAlign w:val="center"/>
          </w:tcPr>
          <w:p w14:paraId="39A86AF7" w14:textId="11659CB0" w:rsidR="00AC47ED" w:rsidRPr="008555B4" w:rsidRDefault="00AC47ED" w:rsidP="00AC47ED">
            <w:pPr>
              <w:spacing w:after="0" w:line="276" w:lineRule="auto"/>
              <w:jc w:val="right"/>
              <w:rPr>
                <w:rFonts w:cs="Arial"/>
                <w:b/>
                <w:bCs/>
                <w:color w:val="000000"/>
                <w:sz w:val="16"/>
                <w:szCs w:val="16"/>
              </w:rPr>
            </w:pPr>
          </w:p>
        </w:tc>
        <w:tc>
          <w:tcPr>
            <w:tcW w:w="1007" w:type="dxa"/>
            <w:shd w:val="clear" w:color="000000" w:fill="D5DCE4"/>
            <w:vAlign w:val="center"/>
          </w:tcPr>
          <w:p w14:paraId="0D1C5801" w14:textId="141F5752" w:rsidR="00AC47ED" w:rsidRPr="008555B4" w:rsidRDefault="00AC47ED" w:rsidP="00757CA1">
            <w:pPr>
              <w:spacing w:after="0" w:line="276" w:lineRule="auto"/>
              <w:jc w:val="right"/>
              <w:rPr>
                <w:rFonts w:cs="Arial"/>
                <w:b/>
                <w:bCs/>
                <w:color w:val="000000"/>
                <w:sz w:val="16"/>
                <w:szCs w:val="16"/>
              </w:rPr>
            </w:pPr>
          </w:p>
        </w:tc>
        <w:tc>
          <w:tcPr>
            <w:tcW w:w="980" w:type="dxa"/>
            <w:shd w:val="clear" w:color="000000" w:fill="D5DCE4"/>
            <w:vAlign w:val="center"/>
          </w:tcPr>
          <w:p w14:paraId="1368E2C7" w14:textId="3EC48496" w:rsidR="00AC47ED" w:rsidRPr="008555B4" w:rsidRDefault="00AC47ED" w:rsidP="00757CA1">
            <w:pPr>
              <w:spacing w:after="0" w:line="276" w:lineRule="auto"/>
              <w:jc w:val="right"/>
              <w:rPr>
                <w:rFonts w:cs="Arial"/>
                <w:b/>
                <w:bCs/>
                <w:color w:val="000000"/>
                <w:sz w:val="16"/>
                <w:szCs w:val="16"/>
              </w:rPr>
            </w:pPr>
          </w:p>
        </w:tc>
      </w:tr>
      <w:tr w:rsidR="00950D8B" w:rsidRPr="008555B4" w14:paraId="342F11E0" w14:textId="77777777" w:rsidTr="005611F1">
        <w:trPr>
          <w:cantSplit/>
          <w:trHeight w:val="231"/>
          <w:tblHeader/>
          <w:jc w:val="center"/>
        </w:trPr>
        <w:tc>
          <w:tcPr>
            <w:tcW w:w="458" w:type="dxa"/>
            <w:shd w:val="clear" w:color="000000" w:fill="D5DCE4"/>
            <w:vAlign w:val="center"/>
            <w:hideMark/>
          </w:tcPr>
          <w:p w14:paraId="3919549D" w14:textId="77777777" w:rsidR="00950D8B" w:rsidRPr="008555B4" w:rsidRDefault="00950D8B" w:rsidP="00950D8B">
            <w:pPr>
              <w:spacing w:after="0" w:line="276" w:lineRule="auto"/>
              <w:jc w:val="center"/>
              <w:rPr>
                <w:rFonts w:cs="Arial"/>
                <w:b/>
                <w:bCs/>
                <w:color w:val="000000"/>
                <w:sz w:val="16"/>
                <w:szCs w:val="16"/>
              </w:rPr>
            </w:pPr>
            <w:r w:rsidRPr="008555B4">
              <w:rPr>
                <w:rFonts w:cs="Arial"/>
                <w:b/>
                <w:bCs/>
                <w:color w:val="000000"/>
                <w:sz w:val="16"/>
                <w:szCs w:val="16"/>
              </w:rPr>
              <w:t>Γ</w:t>
            </w:r>
          </w:p>
        </w:tc>
        <w:tc>
          <w:tcPr>
            <w:tcW w:w="3816" w:type="dxa"/>
            <w:gridSpan w:val="4"/>
            <w:shd w:val="clear" w:color="000000" w:fill="D5DCE4"/>
            <w:vAlign w:val="center"/>
            <w:hideMark/>
          </w:tcPr>
          <w:p w14:paraId="1BCFCD80" w14:textId="614C134C" w:rsidR="00950D8B" w:rsidRPr="008555B4" w:rsidRDefault="00950D8B" w:rsidP="00950D8B">
            <w:pPr>
              <w:spacing w:after="0" w:line="276" w:lineRule="auto"/>
              <w:jc w:val="left"/>
              <w:rPr>
                <w:rFonts w:cs="Arial"/>
                <w:b/>
                <w:bCs/>
                <w:color w:val="000000"/>
                <w:sz w:val="16"/>
                <w:szCs w:val="16"/>
              </w:rPr>
            </w:pPr>
            <w:r w:rsidRPr="008555B4">
              <w:rPr>
                <w:rFonts w:cs="Arial"/>
                <w:b/>
                <w:bCs/>
                <w:color w:val="000000"/>
                <w:sz w:val="16"/>
                <w:szCs w:val="16"/>
              </w:rPr>
              <w:t>Γενικό Σύνολο Εσόδων (Α + Β)</w:t>
            </w:r>
          </w:p>
        </w:tc>
        <w:tc>
          <w:tcPr>
            <w:tcW w:w="1039" w:type="dxa"/>
            <w:shd w:val="clear" w:color="000000" w:fill="D5DCE4"/>
            <w:vAlign w:val="center"/>
          </w:tcPr>
          <w:p w14:paraId="0E0B5F66" w14:textId="0A54240F"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1.526.518</w:t>
            </w:r>
          </w:p>
        </w:tc>
        <w:tc>
          <w:tcPr>
            <w:tcW w:w="1074" w:type="dxa"/>
            <w:shd w:val="clear" w:color="000000" w:fill="D5DCE4"/>
            <w:vAlign w:val="center"/>
          </w:tcPr>
          <w:p w14:paraId="655792DC" w14:textId="58F80F8A"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1.633.570</w:t>
            </w:r>
          </w:p>
        </w:tc>
        <w:tc>
          <w:tcPr>
            <w:tcW w:w="1152" w:type="dxa"/>
            <w:shd w:val="clear" w:color="000000" w:fill="D5DCE4"/>
            <w:vAlign w:val="center"/>
          </w:tcPr>
          <w:p w14:paraId="6BA9F4B6" w14:textId="3F7914E6"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1.765.635</w:t>
            </w:r>
          </w:p>
        </w:tc>
        <w:tc>
          <w:tcPr>
            <w:tcW w:w="1007" w:type="dxa"/>
            <w:shd w:val="clear" w:color="000000" w:fill="D5DCE4"/>
            <w:vAlign w:val="center"/>
          </w:tcPr>
          <w:p w14:paraId="721DCE72" w14:textId="23238762"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7,0%</w:t>
            </w:r>
          </w:p>
        </w:tc>
        <w:tc>
          <w:tcPr>
            <w:tcW w:w="980" w:type="dxa"/>
            <w:shd w:val="clear" w:color="000000" w:fill="D5DCE4"/>
            <w:vAlign w:val="center"/>
          </w:tcPr>
          <w:p w14:paraId="7C85CDA4" w14:textId="250D8D8D" w:rsidR="00950D8B" w:rsidRPr="008555B4" w:rsidRDefault="00950D8B" w:rsidP="00950D8B">
            <w:pPr>
              <w:spacing w:after="0" w:line="276" w:lineRule="auto"/>
              <w:jc w:val="right"/>
              <w:rPr>
                <w:rFonts w:cs="Arial"/>
                <w:b/>
                <w:bCs/>
                <w:color w:val="000000"/>
                <w:sz w:val="16"/>
                <w:szCs w:val="16"/>
              </w:rPr>
            </w:pPr>
            <w:r w:rsidRPr="008555B4">
              <w:rPr>
                <w:rFonts w:cs="Arial"/>
                <w:b/>
                <w:bCs/>
                <w:color w:val="000000"/>
                <w:sz w:val="16"/>
                <w:szCs w:val="16"/>
              </w:rPr>
              <w:t>8,1%</w:t>
            </w:r>
          </w:p>
        </w:tc>
      </w:tr>
    </w:tbl>
    <w:p w14:paraId="277E52D2" w14:textId="45AB239A" w:rsidR="000A6C9B" w:rsidRDefault="000A6C9B">
      <w:pPr>
        <w:spacing w:after="0" w:line="240" w:lineRule="auto"/>
        <w:jc w:val="left"/>
        <w:rPr>
          <w:sz w:val="22"/>
          <w:highlight w:val="yellow"/>
        </w:rPr>
      </w:pPr>
    </w:p>
    <w:p w14:paraId="5181A888" w14:textId="77777777" w:rsidR="000A6C9B" w:rsidRDefault="000A6C9B">
      <w:pPr>
        <w:spacing w:after="0" w:line="240" w:lineRule="auto"/>
        <w:jc w:val="left"/>
        <w:rPr>
          <w:sz w:val="22"/>
          <w:highlight w:val="yellow"/>
        </w:rPr>
      </w:pPr>
      <w:r>
        <w:rPr>
          <w:sz w:val="22"/>
          <w:highlight w:val="yellow"/>
        </w:rPr>
        <w:br w:type="page"/>
      </w:r>
    </w:p>
    <w:tbl>
      <w:tblPr>
        <w:tblW w:w="8814"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ayout w:type="fixed"/>
        <w:tblLook w:val="04A0" w:firstRow="1" w:lastRow="0" w:firstColumn="1" w:lastColumn="0" w:noHBand="0" w:noVBand="1"/>
      </w:tblPr>
      <w:tblGrid>
        <w:gridCol w:w="458"/>
        <w:gridCol w:w="890"/>
        <w:gridCol w:w="1603"/>
        <w:gridCol w:w="1659"/>
        <w:gridCol w:w="1037"/>
        <w:gridCol w:w="1112"/>
        <w:gridCol w:w="795"/>
        <w:gridCol w:w="1260"/>
      </w:tblGrid>
      <w:tr w:rsidR="005B46C1" w:rsidRPr="005B46C1" w14:paraId="4F14B37A" w14:textId="77777777" w:rsidTr="00256353">
        <w:trPr>
          <w:cantSplit/>
          <w:trHeight w:val="510"/>
          <w:jc w:val="center"/>
        </w:trPr>
        <w:tc>
          <w:tcPr>
            <w:tcW w:w="8814" w:type="dxa"/>
            <w:gridSpan w:val="8"/>
            <w:tcBorders>
              <w:top w:val="single" w:sz="2" w:space="0" w:color="A6A6A6" w:themeColor="background1" w:themeShade="A6"/>
              <w:bottom w:val="single" w:sz="2" w:space="0" w:color="A6A6A6" w:themeColor="background1" w:themeShade="A6"/>
            </w:tcBorders>
            <w:shd w:val="clear" w:color="000000" w:fill="D5DCE4"/>
            <w:vAlign w:val="center"/>
            <w:hideMark/>
          </w:tcPr>
          <w:p w14:paraId="61EFFEF4" w14:textId="4325B5D7" w:rsidR="005B46C1" w:rsidRPr="007F38DC" w:rsidRDefault="007F38DC" w:rsidP="007E04FF">
            <w:pPr>
              <w:spacing w:after="0" w:line="276" w:lineRule="auto"/>
              <w:jc w:val="center"/>
              <w:rPr>
                <w:rFonts w:cs="Arial"/>
                <w:b/>
                <w:bCs/>
                <w:color w:val="000000"/>
                <w:sz w:val="18"/>
                <w:szCs w:val="18"/>
              </w:rPr>
            </w:pPr>
            <w:bookmarkStart w:id="318" w:name="_Ref214049737"/>
            <w:bookmarkStart w:id="319" w:name="_Toc214474042"/>
            <w:r w:rsidRPr="007F38DC">
              <w:rPr>
                <w:b/>
                <w:sz w:val="18"/>
                <w:szCs w:val="18"/>
              </w:rPr>
              <w:lastRenderedPageBreak/>
              <w:t>Πίνακας 3.</w:t>
            </w:r>
            <w:r w:rsidRPr="007F38DC">
              <w:rPr>
                <w:b/>
                <w:sz w:val="18"/>
                <w:szCs w:val="18"/>
              </w:rPr>
              <w:fldChar w:fldCharType="begin"/>
            </w:r>
            <w:r w:rsidRPr="007F38DC">
              <w:rPr>
                <w:b/>
                <w:sz w:val="18"/>
                <w:szCs w:val="18"/>
              </w:rPr>
              <w:instrText xml:space="preserve"> SEQ Πίνακας_3. \* ARABIC </w:instrText>
            </w:r>
            <w:r w:rsidRPr="007F38DC">
              <w:rPr>
                <w:b/>
                <w:sz w:val="18"/>
                <w:szCs w:val="18"/>
              </w:rPr>
              <w:fldChar w:fldCharType="separate"/>
            </w:r>
            <w:r w:rsidR="00E15678">
              <w:rPr>
                <w:b/>
                <w:noProof/>
                <w:sz w:val="18"/>
                <w:szCs w:val="18"/>
              </w:rPr>
              <w:t>4</w:t>
            </w:r>
            <w:r w:rsidRPr="007F38DC">
              <w:rPr>
                <w:b/>
                <w:sz w:val="18"/>
                <w:szCs w:val="18"/>
              </w:rPr>
              <w:fldChar w:fldCharType="end"/>
            </w:r>
            <w:bookmarkEnd w:id="318"/>
            <w:r w:rsidRPr="007F38DC">
              <w:rPr>
                <w:b/>
                <w:sz w:val="18"/>
                <w:szCs w:val="18"/>
              </w:rPr>
              <w:t xml:space="preserve">.: </w:t>
            </w:r>
            <w:r w:rsidR="005B46C1" w:rsidRPr="007F38DC">
              <w:rPr>
                <w:rFonts w:cs="Arial"/>
                <w:b/>
                <w:bCs/>
                <w:color w:val="000000"/>
                <w:sz w:val="18"/>
                <w:szCs w:val="18"/>
              </w:rPr>
              <w:t>Δαπάνες κρατικού προϋπολογισμού κατά μείζονα κατηγορία σε ταμειακή βάση</w:t>
            </w:r>
            <w:r w:rsidR="005B46C1" w:rsidRPr="007F38DC">
              <w:rPr>
                <w:rFonts w:cs="Arial"/>
                <w:b/>
                <w:bCs/>
                <w:color w:val="000000"/>
                <w:sz w:val="18"/>
                <w:szCs w:val="18"/>
              </w:rPr>
              <w:br/>
              <w:t>(σε εκατ. ευρώ)</w:t>
            </w:r>
            <w:bookmarkEnd w:id="319"/>
          </w:p>
        </w:tc>
      </w:tr>
      <w:tr w:rsidR="005B46C1" w:rsidRPr="005B46C1" w14:paraId="25D860B8" w14:textId="77777777" w:rsidTr="00242D9C">
        <w:trPr>
          <w:cantSplit/>
          <w:jc w:val="center"/>
        </w:trPr>
        <w:tc>
          <w:tcPr>
            <w:tcW w:w="458" w:type="dxa"/>
            <w:vMerge w:val="restart"/>
            <w:tcBorders>
              <w:top w:val="single" w:sz="2" w:space="0" w:color="A6A6A6" w:themeColor="background1" w:themeShade="A6"/>
            </w:tcBorders>
            <w:shd w:val="clear" w:color="auto" w:fill="F2F2F2" w:themeFill="background1" w:themeFillShade="F2"/>
            <w:noWrap/>
            <w:vAlign w:val="center"/>
            <w:hideMark/>
          </w:tcPr>
          <w:p w14:paraId="68362B2E"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α/α</w:t>
            </w:r>
          </w:p>
        </w:tc>
        <w:tc>
          <w:tcPr>
            <w:tcW w:w="890" w:type="dxa"/>
            <w:vMerge w:val="restart"/>
            <w:tcBorders>
              <w:top w:val="single" w:sz="2" w:space="0" w:color="A6A6A6" w:themeColor="background1" w:themeShade="A6"/>
            </w:tcBorders>
            <w:shd w:val="clear" w:color="auto" w:fill="F2F2F2" w:themeFill="background1" w:themeFillShade="F2"/>
            <w:vAlign w:val="center"/>
            <w:hideMark/>
          </w:tcPr>
          <w:p w14:paraId="01237814"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Μείζονες</w:t>
            </w:r>
          </w:p>
        </w:tc>
        <w:tc>
          <w:tcPr>
            <w:tcW w:w="1603" w:type="dxa"/>
            <w:vMerge w:val="restart"/>
            <w:tcBorders>
              <w:top w:val="single" w:sz="2" w:space="0" w:color="A6A6A6" w:themeColor="background1" w:themeShade="A6"/>
            </w:tcBorders>
            <w:shd w:val="clear" w:color="auto" w:fill="F2F2F2" w:themeFill="background1" w:themeFillShade="F2"/>
            <w:vAlign w:val="center"/>
            <w:hideMark/>
          </w:tcPr>
          <w:p w14:paraId="48C24E1D"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Περιγραφή</w:t>
            </w:r>
          </w:p>
        </w:tc>
        <w:tc>
          <w:tcPr>
            <w:tcW w:w="1659" w:type="dxa"/>
            <w:tcBorders>
              <w:top w:val="single" w:sz="2" w:space="0" w:color="A6A6A6" w:themeColor="background1" w:themeShade="A6"/>
            </w:tcBorders>
            <w:shd w:val="clear" w:color="auto" w:fill="F2F2F2" w:themeFill="background1" w:themeFillShade="F2"/>
            <w:noWrap/>
            <w:vAlign w:val="center"/>
            <w:hideMark/>
          </w:tcPr>
          <w:p w14:paraId="613B86E0"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2024</w:t>
            </w:r>
          </w:p>
        </w:tc>
        <w:tc>
          <w:tcPr>
            <w:tcW w:w="1037" w:type="dxa"/>
            <w:tcBorders>
              <w:top w:val="single" w:sz="2" w:space="0" w:color="A6A6A6" w:themeColor="background1" w:themeShade="A6"/>
            </w:tcBorders>
            <w:shd w:val="clear" w:color="auto" w:fill="F2F2F2" w:themeFill="background1" w:themeFillShade="F2"/>
            <w:noWrap/>
            <w:vAlign w:val="center"/>
            <w:hideMark/>
          </w:tcPr>
          <w:p w14:paraId="43B22A99"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2025</w:t>
            </w:r>
          </w:p>
        </w:tc>
        <w:tc>
          <w:tcPr>
            <w:tcW w:w="1112" w:type="dxa"/>
            <w:tcBorders>
              <w:top w:val="single" w:sz="2" w:space="0" w:color="A6A6A6" w:themeColor="background1" w:themeShade="A6"/>
            </w:tcBorders>
            <w:shd w:val="clear" w:color="auto" w:fill="F2F2F2" w:themeFill="background1" w:themeFillShade="F2"/>
            <w:noWrap/>
            <w:vAlign w:val="center"/>
            <w:hideMark/>
          </w:tcPr>
          <w:p w14:paraId="251906A7"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2026</w:t>
            </w:r>
          </w:p>
        </w:tc>
        <w:tc>
          <w:tcPr>
            <w:tcW w:w="2055" w:type="dxa"/>
            <w:gridSpan w:val="2"/>
            <w:tcBorders>
              <w:top w:val="single" w:sz="2" w:space="0" w:color="A6A6A6" w:themeColor="background1" w:themeShade="A6"/>
            </w:tcBorders>
            <w:shd w:val="clear" w:color="auto" w:fill="F2F2F2" w:themeFill="background1" w:themeFillShade="F2"/>
            <w:noWrap/>
            <w:vAlign w:val="center"/>
            <w:hideMark/>
          </w:tcPr>
          <w:p w14:paraId="4C20EAB1"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Μεταβολή %</w:t>
            </w:r>
          </w:p>
        </w:tc>
      </w:tr>
      <w:tr w:rsidR="005B46C1" w:rsidRPr="005B46C1" w14:paraId="53B2A244" w14:textId="77777777" w:rsidTr="00242D9C">
        <w:trPr>
          <w:cantSplit/>
          <w:jc w:val="center"/>
        </w:trPr>
        <w:tc>
          <w:tcPr>
            <w:tcW w:w="458" w:type="dxa"/>
            <w:vMerge/>
            <w:tcBorders>
              <w:bottom w:val="single" w:sz="2" w:space="0" w:color="A6A6A6" w:themeColor="background1" w:themeShade="A6"/>
            </w:tcBorders>
            <w:shd w:val="clear" w:color="auto" w:fill="F2F2F2" w:themeFill="background1" w:themeFillShade="F2"/>
            <w:vAlign w:val="center"/>
            <w:hideMark/>
          </w:tcPr>
          <w:p w14:paraId="79033334" w14:textId="77777777" w:rsidR="005B46C1" w:rsidRPr="005B46C1" w:rsidRDefault="005B46C1" w:rsidP="007E04FF">
            <w:pPr>
              <w:spacing w:after="0" w:line="276" w:lineRule="auto"/>
              <w:jc w:val="left"/>
              <w:rPr>
                <w:rFonts w:cs="Arial"/>
                <w:b/>
                <w:bCs/>
                <w:color w:val="000000"/>
                <w:sz w:val="16"/>
                <w:szCs w:val="16"/>
              </w:rPr>
            </w:pPr>
          </w:p>
        </w:tc>
        <w:tc>
          <w:tcPr>
            <w:tcW w:w="890" w:type="dxa"/>
            <w:vMerge/>
            <w:tcBorders>
              <w:bottom w:val="single" w:sz="2" w:space="0" w:color="A6A6A6" w:themeColor="background1" w:themeShade="A6"/>
            </w:tcBorders>
            <w:shd w:val="clear" w:color="auto" w:fill="F2F2F2" w:themeFill="background1" w:themeFillShade="F2"/>
            <w:vAlign w:val="center"/>
            <w:hideMark/>
          </w:tcPr>
          <w:p w14:paraId="0AD05338" w14:textId="77777777" w:rsidR="005B46C1" w:rsidRPr="005B46C1" w:rsidRDefault="005B46C1" w:rsidP="007E04FF">
            <w:pPr>
              <w:spacing w:after="0" w:line="276" w:lineRule="auto"/>
              <w:jc w:val="center"/>
              <w:rPr>
                <w:rFonts w:cs="Arial"/>
                <w:b/>
                <w:bCs/>
                <w:color w:val="000000"/>
                <w:sz w:val="16"/>
                <w:szCs w:val="16"/>
              </w:rPr>
            </w:pPr>
          </w:p>
        </w:tc>
        <w:tc>
          <w:tcPr>
            <w:tcW w:w="1603" w:type="dxa"/>
            <w:vMerge/>
            <w:tcBorders>
              <w:bottom w:val="single" w:sz="2" w:space="0" w:color="A6A6A6" w:themeColor="background1" w:themeShade="A6"/>
            </w:tcBorders>
            <w:shd w:val="clear" w:color="auto" w:fill="F2F2F2" w:themeFill="background1" w:themeFillShade="F2"/>
            <w:vAlign w:val="center"/>
            <w:hideMark/>
          </w:tcPr>
          <w:p w14:paraId="75155299" w14:textId="77777777" w:rsidR="005B46C1" w:rsidRPr="005B46C1" w:rsidRDefault="005B46C1" w:rsidP="007E04FF">
            <w:pPr>
              <w:spacing w:after="0" w:line="276" w:lineRule="auto"/>
              <w:jc w:val="left"/>
              <w:rPr>
                <w:rFonts w:cs="Arial"/>
                <w:b/>
                <w:bCs/>
                <w:color w:val="000000"/>
                <w:sz w:val="16"/>
                <w:szCs w:val="16"/>
              </w:rPr>
            </w:pPr>
          </w:p>
        </w:tc>
        <w:tc>
          <w:tcPr>
            <w:tcW w:w="1659" w:type="dxa"/>
            <w:tcBorders>
              <w:bottom w:val="single" w:sz="2" w:space="0" w:color="A6A6A6" w:themeColor="background1" w:themeShade="A6"/>
            </w:tcBorders>
            <w:shd w:val="clear" w:color="auto" w:fill="F2F2F2" w:themeFill="background1" w:themeFillShade="F2"/>
            <w:vAlign w:val="center"/>
            <w:hideMark/>
          </w:tcPr>
          <w:p w14:paraId="4E0EADD1"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Πραγματοποιήσεις</w:t>
            </w:r>
          </w:p>
        </w:tc>
        <w:tc>
          <w:tcPr>
            <w:tcW w:w="1037" w:type="dxa"/>
            <w:tcBorders>
              <w:bottom w:val="single" w:sz="2" w:space="0" w:color="A6A6A6" w:themeColor="background1" w:themeShade="A6"/>
            </w:tcBorders>
            <w:shd w:val="clear" w:color="auto" w:fill="F2F2F2" w:themeFill="background1" w:themeFillShade="F2"/>
            <w:noWrap/>
            <w:vAlign w:val="center"/>
            <w:hideMark/>
          </w:tcPr>
          <w:p w14:paraId="242F1D0B"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Εκτιμήσεις</w:t>
            </w:r>
          </w:p>
        </w:tc>
        <w:tc>
          <w:tcPr>
            <w:tcW w:w="1112" w:type="dxa"/>
            <w:tcBorders>
              <w:bottom w:val="single" w:sz="2" w:space="0" w:color="A6A6A6" w:themeColor="background1" w:themeShade="A6"/>
            </w:tcBorders>
            <w:shd w:val="clear" w:color="auto" w:fill="F2F2F2" w:themeFill="background1" w:themeFillShade="F2"/>
            <w:noWrap/>
            <w:vAlign w:val="center"/>
            <w:hideMark/>
          </w:tcPr>
          <w:p w14:paraId="3E79FAF9"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Προβλέψεις</w:t>
            </w:r>
          </w:p>
        </w:tc>
        <w:tc>
          <w:tcPr>
            <w:tcW w:w="795" w:type="dxa"/>
            <w:tcBorders>
              <w:bottom w:val="single" w:sz="2" w:space="0" w:color="A6A6A6" w:themeColor="background1" w:themeShade="A6"/>
            </w:tcBorders>
            <w:shd w:val="clear" w:color="auto" w:fill="F2F2F2" w:themeFill="background1" w:themeFillShade="F2"/>
            <w:noWrap/>
            <w:vAlign w:val="center"/>
            <w:hideMark/>
          </w:tcPr>
          <w:p w14:paraId="689E0356"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2025/24</w:t>
            </w:r>
          </w:p>
        </w:tc>
        <w:tc>
          <w:tcPr>
            <w:tcW w:w="1260" w:type="dxa"/>
            <w:tcBorders>
              <w:bottom w:val="single" w:sz="2" w:space="0" w:color="A6A6A6" w:themeColor="background1" w:themeShade="A6"/>
            </w:tcBorders>
            <w:shd w:val="clear" w:color="auto" w:fill="F2F2F2" w:themeFill="background1" w:themeFillShade="F2"/>
            <w:noWrap/>
            <w:vAlign w:val="center"/>
            <w:hideMark/>
          </w:tcPr>
          <w:p w14:paraId="10F2F521"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2026/25</w:t>
            </w:r>
          </w:p>
        </w:tc>
      </w:tr>
      <w:tr w:rsidR="005B46C1" w:rsidRPr="005B46C1" w14:paraId="46788A29" w14:textId="77777777" w:rsidTr="000A6C9B">
        <w:trPr>
          <w:cantSplit/>
          <w:jc w:val="center"/>
        </w:trPr>
        <w:tc>
          <w:tcPr>
            <w:tcW w:w="458" w:type="dxa"/>
            <w:tcBorders>
              <w:top w:val="single" w:sz="2" w:space="0" w:color="A6A6A6" w:themeColor="background1" w:themeShade="A6"/>
              <w:bottom w:val="nil"/>
            </w:tcBorders>
            <w:shd w:val="clear" w:color="auto" w:fill="auto"/>
            <w:noWrap/>
            <w:vAlign w:val="center"/>
            <w:hideMark/>
          </w:tcPr>
          <w:p w14:paraId="0707FC26"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w:t>
            </w:r>
          </w:p>
        </w:tc>
        <w:tc>
          <w:tcPr>
            <w:tcW w:w="890" w:type="dxa"/>
            <w:tcBorders>
              <w:top w:val="single" w:sz="2" w:space="0" w:color="A6A6A6" w:themeColor="background1" w:themeShade="A6"/>
              <w:bottom w:val="nil"/>
            </w:tcBorders>
            <w:shd w:val="clear" w:color="auto" w:fill="auto"/>
            <w:noWrap/>
            <w:vAlign w:val="center"/>
            <w:hideMark/>
          </w:tcPr>
          <w:p w14:paraId="5860F16E"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21</w:t>
            </w:r>
          </w:p>
        </w:tc>
        <w:tc>
          <w:tcPr>
            <w:tcW w:w="1603" w:type="dxa"/>
            <w:tcBorders>
              <w:top w:val="single" w:sz="2" w:space="0" w:color="A6A6A6" w:themeColor="background1" w:themeShade="A6"/>
              <w:bottom w:val="nil"/>
            </w:tcBorders>
            <w:shd w:val="clear" w:color="auto" w:fill="auto"/>
            <w:vAlign w:val="center"/>
            <w:hideMark/>
          </w:tcPr>
          <w:p w14:paraId="1A1AE892" w14:textId="3626AEC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Παροχές σε εργαζ</w:t>
            </w:r>
            <w:r w:rsidR="00754F32">
              <w:rPr>
                <w:rFonts w:cs="Arial"/>
                <w:color w:val="000000"/>
                <w:sz w:val="16"/>
                <w:szCs w:val="16"/>
              </w:rPr>
              <w:t>ό</w:t>
            </w:r>
            <w:r w:rsidRPr="005B46C1">
              <w:rPr>
                <w:rFonts w:cs="Arial"/>
                <w:color w:val="000000"/>
                <w:sz w:val="16"/>
                <w:szCs w:val="16"/>
              </w:rPr>
              <w:t>μ</w:t>
            </w:r>
            <w:r w:rsidR="00754F32">
              <w:rPr>
                <w:rFonts w:cs="Arial"/>
                <w:color w:val="000000"/>
                <w:sz w:val="16"/>
                <w:szCs w:val="16"/>
              </w:rPr>
              <w:t>ε</w:t>
            </w:r>
            <w:r w:rsidRPr="005B46C1">
              <w:rPr>
                <w:rFonts w:cs="Arial"/>
                <w:color w:val="000000"/>
                <w:sz w:val="16"/>
                <w:szCs w:val="16"/>
              </w:rPr>
              <w:t>νους</w:t>
            </w:r>
          </w:p>
        </w:tc>
        <w:tc>
          <w:tcPr>
            <w:tcW w:w="1659" w:type="dxa"/>
            <w:tcBorders>
              <w:top w:val="single" w:sz="2" w:space="0" w:color="A6A6A6" w:themeColor="background1" w:themeShade="A6"/>
              <w:bottom w:val="nil"/>
            </w:tcBorders>
            <w:shd w:val="clear" w:color="auto" w:fill="auto"/>
            <w:vAlign w:val="center"/>
            <w:hideMark/>
          </w:tcPr>
          <w:p w14:paraId="1558FA30"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14.870</w:t>
            </w:r>
          </w:p>
        </w:tc>
        <w:tc>
          <w:tcPr>
            <w:tcW w:w="1037" w:type="dxa"/>
            <w:tcBorders>
              <w:top w:val="single" w:sz="2" w:space="0" w:color="A6A6A6" w:themeColor="background1" w:themeShade="A6"/>
              <w:bottom w:val="nil"/>
            </w:tcBorders>
            <w:shd w:val="clear" w:color="auto" w:fill="auto"/>
            <w:vAlign w:val="center"/>
            <w:hideMark/>
          </w:tcPr>
          <w:p w14:paraId="1182D26A"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15.484</w:t>
            </w:r>
          </w:p>
        </w:tc>
        <w:tc>
          <w:tcPr>
            <w:tcW w:w="1112" w:type="dxa"/>
            <w:tcBorders>
              <w:top w:val="single" w:sz="2" w:space="0" w:color="A6A6A6" w:themeColor="background1" w:themeShade="A6"/>
              <w:bottom w:val="nil"/>
            </w:tcBorders>
            <w:shd w:val="clear" w:color="auto" w:fill="auto"/>
            <w:vAlign w:val="center"/>
            <w:hideMark/>
          </w:tcPr>
          <w:p w14:paraId="62CEF137"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15.688</w:t>
            </w:r>
          </w:p>
        </w:tc>
        <w:tc>
          <w:tcPr>
            <w:tcW w:w="795" w:type="dxa"/>
            <w:tcBorders>
              <w:top w:val="single" w:sz="2" w:space="0" w:color="A6A6A6" w:themeColor="background1" w:themeShade="A6"/>
              <w:bottom w:val="nil"/>
            </w:tcBorders>
            <w:shd w:val="clear" w:color="auto" w:fill="auto"/>
            <w:vAlign w:val="center"/>
            <w:hideMark/>
          </w:tcPr>
          <w:p w14:paraId="3808BA79"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w:t>
            </w:r>
          </w:p>
        </w:tc>
        <w:tc>
          <w:tcPr>
            <w:tcW w:w="1260" w:type="dxa"/>
            <w:tcBorders>
              <w:top w:val="single" w:sz="2" w:space="0" w:color="A6A6A6" w:themeColor="background1" w:themeShade="A6"/>
              <w:bottom w:val="nil"/>
            </w:tcBorders>
            <w:shd w:val="clear" w:color="auto" w:fill="auto"/>
            <w:vAlign w:val="center"/>
            <w:hideMark/>
          </w:tcPr>
          <w:p w14:paraId="41E69896"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w:t>
            </w:r>
          </w:p>
        </w:tc>
      </w:tr>
      <w:tr w:rsidR="005B46C1" w:rsidRPr="005B46C1" w14:paraId="4ECE2864" w14:textId="77777777" w:rsidTr="000A6C9B">
        <w:trPr>
          <w:cantSplit/>
          <w:jc w:val="center"/>
        </w:trPr>
        <w:tc>
          <w:tcPr>
            <w:tcW w:w="458" w:type="dxa"/>
            <w:tcBorders>
              <w:top w:val="nil"/>
            </w:tcBorders>
            <w:shd w:val="clear" w:color="auto" w:fill="auto"/>
            <w:noWrap/>
            <w:vAlign w:val="center"/>
            <w:hideMark/>
          </w:tcPr>
          <w:p w14:paraId="19590E4E"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w:t>
            </w:r>
          </w:p>
        </w:tc>
        <w:tc>
          <w:tcPr>
            <w:tcW w:w="890" w:type="dxa"/>
            <w:tcBorders>
              <w:top w:val="nil"/>
            </w:tcBorders>
            <w:shd w:val="clear" w:color="auto" w:fill="auto"/>
            <w:noWrap/>
            <w:vAlign w:val="center"/>
            <w:hideMark/>
          </w:tcPr>
          <w:p w14:paraId="08867DC9"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22</w:t>
            </w:r>
          </w:p>
        </w:tc>
        <w:tc>
          <w:tcPr>
            <w:tcW w:w="1603" w:type="dxa"/>
            <w:tcBorders>
              <w:top w:val="nil"/>
            </w:tcBorders>
            <w:shd w:val="clear" w:color="auto" w:fill="auto"/>
            <w:vAlign w:val="center"/>
            <w:hideMark/>
          </w:tcPr>
          <w:p w14:paraId="2A944B62"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Κοινωνικές παροχές</w:t>
            </w:r>
          </w:p>
        </w:tc>
        <w:tc>
          <w:tcPr>
            <w:tcW w:w="1659" w:type="dxa"/>
            <w:tcBorders>
              <w:top w:val="nil"/>
            </w:tcBorders>
            <w:shd w:val="clear" w:color="auto" w:fill="auto"/>
            <w:vAlign w:val="center"/>
            <w:hideMark/>
          </w:tcPr>
          <w:p w14:paraId="161CAD65"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340</w:t>
            </w:r>
          </w:p>
        </w:tc>
        <w:tc>
          <w:tcPr>
            <w:tcW w:w="1037" w:type="dxa"/>
            <w:tcBorders>
              <w:top w:val="nil"/>
            </w:tcBorders>
            <w:shd w:val="clear" w:color="auto" w:fill="auto"/>
            <w:vAlign w:val="center"/>
            <w:hideMark/>
          </w:tcPr>
          <w:p w14:paraId="6534B76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568</w:t>
            </w:r>
          </w:p>
        </w:tc>
        <w:tc>
          <w:tcPr>
            <w:tcW w:w="1112" w:type="dxa"/>
            <w:tcBorders>
              <w:top w:val="nil"/>
            </w:tcBorders>
            <w:shd w:val="clear" w:color="auto" w:fill="auto"/>
            <w:vAlign w:val="center"/>
            <w:hideMark/>
          </w:tcPr>
          <w:p w14:paraId="326D0811"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628</w:t>
            </w:r>
          </w:p>
        </w:tc>
        <w:tc>
          <w:tcPr>
            <w:tcW w:w="795" w:type="dxa"/>
            <w:tcBorders>
              <w:top w:val="nil"/>
            </w:tcBorders>
            <w:shd w:val="clear" w:color="auto" w:fill="auto"/>
            <w:vAlign w:val="center"/>
            <w:hideMark/>
          </w:tcPr>
          <w:p w14:paraId="1BDB549C"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67%</w:t>
            </w:r>
          </w:p>
        </w:tc>
        <w:tc>
          <w:tcPr>
            <w:tcW w:w="1260" w:type="dxa"/>
            <w:tcBorders>
              <w:top w:val="nil"/>
            </w:tcBorders>
            <w:shd w:val="clear" w:color="auto" w:fill="auto"/>
            <w:vAlign w:val="center"/>
            <w:hideMark/>
          </w:tcPr>
          <w:p w14:paraId="4849B5BE"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11%</w:t>
            </w:r>
          </w:p>
        </w:tc>
      </w:tr>
      <w:tr w:rsidR="005B46C1" w:rsidRPr="005B46C1" w14:paraId="5B0ED997" w14:textId="77777777" w:rsidTr="000A6C9B">
        <w:trPr>
          <w:cantSplit/>
          <w:jc w:val="center"/>
        </w:trPr>
        <w:tc>
          <w:tcPr>
            <w:tcW w:w="458" w:type="dxa"/>
            <w:shd w:val="clear" w:color="auto" w:fill="auto"/>
            <w:noWrap/>
            <w:vAlign w:val="center"/>
            <w:hideMark/>
          </w:tcPr>
          <w:p w14:paraId="55F07385"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3</w:t>
            </w:r>
          </w:p>
        </w:tc>
        <w:tc>
          <w:tcPr>
            <w:tcW w:w="890" w:type="dxa"/>
            <w:shd w:val="clear" w:color="auto" w:fill="auto"/>
            <w:noWrap/>
            <w:vAlign w:val="center"/>
            <w:hideMark/>
          </w:tcPr>
          <w:p w14:paraId="048CA470"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23</w:t>
            </w:r>
          </w:p>
        </w:tc>
        <w:tc>
          <w:tcPr>
            <w:tcW w:w="1603" w:type="dxa"/>
            <w:shd w:val="clear" w:color="auto" w:fill="auto"/>
            <w:vAlign w:val="center"/>
            <w:hideMark/>
          </w:tcPr>
          <w:p w14:paraId="228D1E7A"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Μεταβιβάσεις</w:t>
            </w:r>
          </w:p>
        </w:tc>
        <w:tc>
          <w:tcPr>
            <w:tcW w:w="1659" w:type="dxa"/>
            <w:shd w:val="clear" w:color="auto" w:fill="auto"/>
            <w:vAlign w:val="center"/>
            <w:hideMark/>
          </w:tcPr>
          <w:p w14:paraId="1AD6F43B"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32.598</w:t>
            </w:r>
          </w:p>
        </w:tc>
        <w:tc>
          <w:tcPr>
            <w:tcW w:w="1037" w:type="dxa"/>
            <w:shd w:val="clear" w:color="auto" w:fill="auto"/>
            <w:vAlign w:val="center"/>
            <w:hideMark/>
          </w:tcPr>
          <w:p w14:paraId="436440F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35.110</w:t>
            </w:r>
          </w:p>
        </w:tc>
        <w:tc>
          <w:tcPr>
            <w:tcW w:w="1112" w:type="dxa"/>
            <w:shd w:val="clear" w:color="auto" w:fill="auto"/>
            <w:vAlign w:val="center"/>
            <w:hideMark/>
          </w:tcPr>
          <w:p w14:paraId="781D3325"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35.897</w:t>
            </w:r>
          </w:p>
        </w:tc>
        <w:tc>
          <w:tcPr>
            <w:tcW w:w="795" w:type="dxa"/>
            <w:shd w:val="clear" w:color="auto" w:fill="auto"/>
            <w:vAlign w:val="center"/>
            <w:hideMark/>
          </w:tcPr>
          <w:p w14:paraId="1340167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8%</w:t>
            </w:r>
          </w:p>
        </w:tc>
        <w:tc>
          <w:tcPr>
            <w:tcW w:w="1260" w:type="dxa"/>
            <w:shd w:val="clear" w:color="auto" w:fill="auto"/>
            <w:vAlign w:val="center"/>
            <w:hideMark/>
          </w:tcPr>
          <w:p w14:paraId="1CAAAF2C"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w:t>
            </w:r>
          </w:p>
        </w:tc>
      </w:tr>
      <w:tr w:rsidR="005B46C1" w:rsidRPr="005B46C1" w14:paraId="0B3A272F" w14:textId="77777777" w:rsidTr="000A6C9B">
        <w:trPr>
          <w:cantSplit/>
          <w:jc w:val="center"/>
        </w:trPr>
        <w:tc>
          <w:tcPr>
            <w:tcW w:w="458" w:type="dxa"/>
            <w:shd w:val="clear" w:color="auto" w:fill="auto"/>
            <w:noWrap/>
            <w:vAlign w:val="center"/>
            <w:hideMark/>
          </w:tcPr>
          <w:p w14:paraId="63BE4EF1"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4</w:t>
            </w:r>
          </w:p>
        </w:tc>
        <w:tc>
          <w:tcPr>
            <w:tcW w:w="890" w:type="dxa"/>
            <w:shd w:val="clear" w:color="auto" w:fill="auto"/>
            <w:noWrap/>
            <w:vAlign w:val="center"/>
            <w:hideMark/>
          </w:tcPr>
          <w:p w14:paraId="16E772A2"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24</w:t>
            </w:r>
          </w:p>
        </w:tc>
        <w:tc>
          <w:tcPr>
            <w:tcW w:w="1603" w:type="dxa"/>
            <w:shd w:val="clear" w:color="auto" w:fill="auto"/>
            <w:vAlign w:val="center"/>
            <w:hideMark/>
          </w:tcPr>
          <w:p w14:paraId="482566BA"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Αγορές αγαθών και υπηρεσιών</w:t>
            </w:r>
          </w:p>
        </w:tc>
        <w:tc>
          <w:tcPr>
            <w:tcW w:w="1659" w:type="dxa"/>
            <w:shd w:val="clear" w:color="auto" w:fill="auto"/>
            <w:vAlign w:val="center"/>
            <w:hideMark/>
          </w:tcPr>
          <w:p w14:paraId="5DE2B80C"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2.208</w:t>
            </w:r>
          </w:p>
        </w:tc>
        <w:tc>
          <w:tcPr>
            <w:tcW w:w="1037" w:type="dxa"/>
            <w:shd w:val="clear" w:color="auto" w:fill="auto"/>
            <w:vAlign w:val="center"/>
            <w:hideMark/>
          </w:tcPr>
          <w:p w14:paraId="5DBB9354"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2.481</w:t>
            </w:r>
          </w:p>
        </w:tc>
        <w:tc>
          <w:tcPr>
            <w:tcW w:w="1112" w:type="dxa"/>
            <w:shd w:val="clear" w:color="auto" w:fill="auto"/>
            <w:vAlign w:val="center"/>
            <w:hideMark/>
          </w:tcPr>
          <w:p w14:paraId="000FD7BC"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2.388</w:t>
            </w:r>
          </w:p>
        </w:tc>
        <w:tc>
          <w:tcPr>
            <w:tcW w:w="795" w:type="dxa"/>
            <w:shd w:val="clear" w:color="auto" w:fill="auto"/>
            <w:vAlign w:val="center"/>
            <w:hideMark/>
          </w:tcPr>
          <w:p w14:paraId="7AD3EF15"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12%</w:t>
            </w:r>
          </w:p>
        </w:tc>
        <w:tc>
          <w:tcPr>
            <w:tcW w:w="1260" w:type="dxa"/>
            <w:shd w:val="clear" w:color="auto" w:fill="auto"/>
            <w:vAlign w:val="center"/>
            <w:hideMark/>
          </w:tcPr>
          <w:p w14:paraId="2F87E3C7"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w:t>
            </w:r>
          </w:p>
        </w:tc>
      </w:tr>
      <w:tr w:rsidR="005B46C1" w:rsidRPr="005B46C1" w14:paraId="2CB0CDF3" w14:textId="77777777" w:rsidTr="000A6C9B">
        <w:trPr>
          <w:cantSplit/>
          <w:jc w:val="center"/>
        </w:trPr>
        <w:tc>
          <w:tcPr>
            <w:tcW w:w="458" w:type="dxa"/>
            <w:shd w:val="clear" w:color="auto" w:fill="auto"/>
            <w:noWrap/>
            <w:vAlign w:val="center"/>
            <w:hideMark/>
          </w:tcPr>
          <w:p w14:paraId="50FDDA0A"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5</w:t>
            </w:r>
          </w:p>
        </w:tc>
        <w:tc>
          <w:tcPr>
            <w:tcW w:w="890" w:type="dxa"/>
            <w:shd w:val="clear" w:color="auto" w:fill="auto"/>
            <w:noWrap/>
            <w:vAlign w:val="center"/>
            <w:hideMark/>
          </w:tcPr>
          <w:p w14:paraId="35A292AA"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25</w:t>
            </w:r>
          </w:p>
        </w:tc>
        <w:tc>
          <w:tcPr>
            <w:tcW w:w="1603" w:type="dxa"/>
            <w:shd w:val="clear" w:color="auto" w:fill="auto"/>
            <w:vAlign w:val="center"/>
            <w:hideMark/>
          </w:tcPr>
          <w:p w14:paraId="38E16637"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Επιδοτήσεις</w:t>
            </w:r>
          </w:p>
        </w:tc>
        <w:tc>
          <w:tcPr>
            <w:tcW w:w="1659" w:type="dxa"/>
            <w:shd w:val="clear" w:color="auto" w:fill="auto"/>
            <w:vAlign w:val="center"/>
            <w:hideMark/>
          </w:tcPr>
          <w:p w14:paraId="3A1B1962"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73</w:t>
            </w:r>
          </w:p>
        </w:tc>
        <w:tc>
          <w:tcPr>
            <w:tcW w:w="1037" w:type="dxa"/>
            <w:shd w:val="clear" w:color="auto" w:fill="auto"/>
            <w:vAlign w:val="center"/>
            <w:hideMark/>
          </w:tcPr>
          <w:p w14:paraId="3CA9906E"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138</w:t>
            </w:r>
          </w:p>
        </w:tc>
        <w:tc>
          <w:tcPr>
            <w:tcW w:w="1112" w:type="dxa"/>
            <w:shd w:val="clear" w:color="auto" w:fill="auto"/>
            <w:vAlign w:val="center"/>
            <w:hideMark/>
          </w:tcPr>
          <w:p w14:paraId="50169EE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80</w:t>
            </w:r>
          </w:p>
        </w:tc>
        <w:tc>
          <w:tcPr>
            <w:tcW w:w="795" w:type="dxa"/>
            <w:shd w:val="clear" w:color="auto" w:fill="auto"/>
            <w:vAlign w:val="center"/>
            <w:hideMark/>
          </w:tcPr>
          <w:p w14:paraId="0EDB070C"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88%</w:t>
            </w:r>
          </w:p>
        </w:tc>
        <w:tc>
          <w:tcPr>
            <w:tcW w:w="1260" w:type="dxa"/>
            <w:shd w:val="clear" w:color="auto" w:fill="auto"/>
            <w:vAlign w:val="center"/>
            <w:hideMark/>
          </w:tcPr>
          <w:p w14:paraId="03AA05E5"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-42%</w:t>
            </w:r>
          </w:p>
        </w:tc>
      </w:tr>
      <w:tr w:rsidR="005B46C1" w:rsidRPr="005B46C1" w14:paraId="1380CC14" w14:textId="77777777" w:rsidTr="000A6C9B">
        <w:trPr>
          <w:cantSplit/>
          <w:jc w:val="center"/>
        </w:trPr>
        <w:tc>
          <w:tcPr>
            <w:tcW w:w="458" w:type="dxa"/>
            <w:shd w:val="clear" w:color="auto" w:fill="auto"/>
            <w:noWrap/>
            <w:vAlign w:val="center"/>
            <w:hideMark/>
          </w:tcPr>
          <w:p w14:paraId="15D9C01E"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6</w:t>
            </w:r>
          </w:p>
        </w:tc>
        <w:tc>
          <w:tcPr>
            <w:tcW w:w="890" w:type="dxa"/>
            <w:shd w:val="clear" w:color="auto" w:fill="auto"/>
            <w:noWrap/>
            <w:vAlign w:val="center"/>
            <w:hideMark/>
          </w:tcPr>
          <w:p w14:paraId="5DABF465"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26</w:t>
            </w:r>
          </w:p>
        </w:tc>
        <w:tc>
          <w:tcPr>
            <w:tcW w:w="1603" w:type="dxa"/>
            <w:shd w:val="clear" w:color="auto" w:fill="auto"/>
            <w:vAlign w:val="center"/>
            <w:hideMark/>
          </w:tcPr>
          <w:p w14:paraId="28CBBB0F" w14:textId="13CEC19B"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Τόκοι</w:t>
            </w:r>
            <w:r w:rsidRPr="007E04FF">
              <w:rPr>
                <w:rFonts w:cs="Arial"/>
                <w:color w:val="000000"/>
                <w:sz w:val="16"/>
                <w:szCs w:val="16"/>
                <w:vertAlign w:val="superscript"/>
              </w:rPr>
              <w:t>1</w:t>
            </w:r>
          </w:p>
        </w:tc>
        <w:tc>
          <w:tcPr>
            <w:tcW w:w="1659" w:type="dxa"/>
            <w:shd w:val="clear" w:color="auto" w:fill="auto"/>
            <w:vAlign w:val="center"/>
            <w:hideMark/>
          </w:tcPr>
          <w:p w14:paraId="2AD3E54C"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8.373</w:t>
            </w:r>
          </w:p>
        </w:tc>
        <w:tc>
          <w:tcPr>
            <w:tcW w:w="1037" w:type="dxa"/>
            <w:shd w:val="clear" w:color="auto" w:fill="auto"/>
            <w:vAlign w:val="center"/>
            <w:hideMark/>
          </w:tcPr>
          <w:p w14:paraId="1E106CF4"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8.008</w:t>
            </w:r>
          </w:p>
        </w:tc>
        <w:tc>
          <w:tcPr>
            <w:tcW w:w="1112" w:type="dxa"/>
            <w:shd w:val="clear" w:color="auto" w:fill="auto"/>
            <w:vAlign w:val="center"/>
            <w:hideMark/>
          </w:tcPr>
          <w:p w14:paraId="7730860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7.917</w:t>
            </w:r>
          </w:p>
        </w:tc>
        <w:tc>
          <w:tcPr>
            <w:tcW w:w="795" w:type="dxa"/>
            <w:shd w:val="clear" w:color="auto" w:fill="auto"/>
            <w:vAlign w:val="center"/>
            <w:hideMark/>
          </w:tcPr>
          <w:p w14:paraId="1B92E65B"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w:t>
            </w:r>
          </w:p>
        </w:tc>
        <w:tc>
          <w:tcPr>
            <w:tcW w:w="1260" w:type="dxa"/>
            <w:shd w:val="clear" w:color="auto" w:fill="auto"/>
            <w:vAlign w:val="center"/>
            <w:hideMark/>
          </w:tcPr>
          <w:p w14:paraId="6D9BF7DD"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w:t>
            </w:r>
          </w:p>
        </w:tc>
      </w:tr>
      <w:tr w:rsidR="005B46C1" w:rsidRPr="005B46C1" w14:paraId="4A26998B" w14:textId="77777777" w:rsidTr="000A6C9B">
        <w:trPr>
          <w:cantSplit/>
          <w:jc w:val="center"/>
        </w:trPr>
        <w:tc>
          <w:tcPr>
            <w:tcW w:w="458" w:type="dxa"/>
            <w:shd w:val="clear" w:color="auto" w:fill="auto"/>
            <w:noWrap/>
            <w:vAlign w:val="center"/>
            <w:hideMark/>
          </w:tcPr>
          <w:p w14:paraId="4F21D93B"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7</w:t>
            </w:r>
          </w:p>
        </w:tc>
        <w:tc>
          <w:tcPr>
            <w:tcW w:w="890" w:type="dxa"/>
            <w:shd w:val="clear" w:color="auto" w:fill="auto"/>
            <w:noWrap/>
            <w:vAlign w:val="center"/>
            <w:hideMark/>
          </w:tcPr>
          <w:p w14:paraId="60978E97"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27</w:t>
            </w:r>
          </w:p>
        </w:tc>
        <w:tc>
          <w:tcPr>
            <w:tcW w:w="1603" w:type="dxa"/>
            <w:shd w:val="clear" w:color="auto" w:fill="auto"/>
            <w:vAlign w:val="center"/>
            <w:hideMark/>
          </w:tcPr>
          <w:p w14:paraId="31460EBF"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Λοιπές δαπάνες</w:t>
            </w:r>
          </w:p>
        </w:tc>
        <w:tc>
          <w:tcPr>
            <w:tcW w:w="1659" w:type="dxa"/>
            <w:shd w:val="clear" w:color="auto" w:fill="auto"/>
            <w:vAlign w:val="center"/>
            <w:hideMark/>
          </w:tcPr>
          <w:p w14:paraId="67B091B2"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117</w:t>
            </w:r>
          </w:p>
        </w:tc>
        <w:tc>
          <w:tcPr>
            <w:tcW w:w="1037" w:type="dxa"/>
            <w:shd w:val="clear" w:color="auto" w:fill="auto"/>
            <w:vAlign w:val="center"/>
            <w:hideMark/>
          </w:tcPr>
          <w:p w14:paraId="7BD25179"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118</w:t>
            </w:r>
          </w:p>
        </w:tc>
        <w:tc>
          <w:tcPr>
            <w:tcW w:w="1112" w:type="dxa"/>
            <w:shd w:val="clear" w:color="auto" w:fill="auto"/>
            <w:vAlign w:val="center"/>
            <w:hideMark/>
          </w:tcPr>
          <w:p w14:paraId="4E8C79CE"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101</w:t>
            </w:r>
          </w:p>
        </w:tc>
        <w:tc>
          <w:tcPr>
            <w:tcW w:w="795" w:type="dxa"/>
            <w:shd w:val="clear" w:color="auto" w:fill="auto"/>
            <w:vAlign w:val="center"/>
            <w:hideMark/>
          </w:tcPr>
          <w:p w14:paraId="7E29AE92"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0%</w:t>
            </w:r>
          </w:p>
        </w:tc>
        <w:tc>
          <w:tcPr>
            <w:tcW w:w="1260" w:type="dxa"/>
            <w:shd w:val="clear" w:color="auto" w:fill="auto"/>
            <w:vAlign w:val="center"/>
            <w:hideMark/>
          </w:tcPr>
          <w:p w14:paraId="201B15F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-14%</w:t>
            </w:r>
          </w:p>
        </w:tc>
      </w:tr>
      <w:tr w:rsidR="005B46C1" w:rsidRPr="005B46C1" w14:paraId="0AEE5D1E" w14:textId="77777777" w:rsidTr="000A6C9B">
        <w:trPr>
          <w:cantSplit/>
          <w:jc w:val="center"/>
        </w:trPr>
        <w:tc>
          <w:tcPr>
            <w:tcW w:w="458" w:type="dxa"/>
            <w:shd w:val="clear" w:color="auto" w:fill="auto"/>
            <w:noWrap/>
            <w:vAlign w:val="center"/>
            <w:hideMark/>
          </w:tcPr>
          <w:p w14:paraId="45DD4A27"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8</w:t>
            </w:r>
          </w:p>
        </w:tc>
        <w:tc>
          <w:tcPr>
            <w:tcW w:w="890" w:type="dxa"/>
            <w:shd w:val="clear" w:color="auto" w:fill="auto"/>
            <w:noWrap/>
            <w:vAlign w:val="center"/>
            <w:hideMark/>
          </w:tcPr>
          <w:p w14:paraId="5572A025"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29</w:t>
            </w:r>
          </w:p>
        </w:tc>
        <w:tc>
          <w:tcPr>
            <w:tcW w:w="1603" w:type="dxa"/>
            <w:shd w:val="clear" w:color="auto" w:fill="auto"/>
            <w:vAlign w:val="center"/>
            <w:hideMark/>
          </w:tcPr>
          <w:p w14:paraId="29768D73"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Πιστώσεις υπό κατανομή</w:t>
            </w:r>
          </w:p>
        </w:tc>
        <w:tc>
          <w:tcPr>
            <w:tcW w:w="1659" w:type="dxa"/>
            <w:shd w:val="clear" w:color="auto" w:fill="auto"/>
            <w:vAlign w:val="center"/>
            <w:hideMark/>
          </w:tcPr>
          <w:p w14:paraId="441D3EBB"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13.315</w:t>
            </w:r>
          </w:p>
        </w:tc>
        <w:tc>
          <w:tcPr>
            <w:tcW w:w="1037" w:type="dxa"/>
            <w:shd w:val="clear" w:color="auto" w:fill="auto"/>
            <w:vAlign w:val="center"/>
            <w:hideMark/>
          </w:tcPr>
          <w:p w14:paraId="30FC707D"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15.878</w:t>
            </w:r>
          </w:p>
        </w:tc>
        <w:tc>
          <w:tcPr>
            <w:tcW w:w="1112" w:type="dxa"/>
            <w:shd w:val="clear" w:color="auto" w:fill="auto"/>
            <w:vAlign w:val="center"/>
            <w:hideMark/>
          </w:tcPr>
          <w:p w14:paraId="5F743C1B"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19.989</w:t>
            </w:r>
          </w:p>
        </w:tc>
        <w:tc>
          <w:tcPr>
            <w:tcW w:w="795" w:type="dxa"/>
            <w:shd w:val="clear" w:color="auto" w:fill="auto"/>
            <w:vAlign w:val="center"/>
            <w:hideMark/>
          </w:tcPr>
          <w:p w14:paraId="0932C9B4"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19%</w:t>
            </w:r>
          </w:p>
        </w:tc>
        <w:tc>
          <w:tcPr>
            <w:tcW w:w="1260" w:type="dxa"/>
            <w:shd w:val="clear" w:color="auto" w:fill="auto"/>
            <w:vAlign w:val="center"/>
            <w:hideMark/>
          </w:tcPr>
          <w:p w14:paraId="7C70B576"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26%</w:t>
            </w:r>
          </w:p>
        </w:tc>
      </w:tr>
      <w:tr w:rsidR="005B46C1" w:rsidRPr="005B46C1" w14:paraId="766C37FE" w14:textId="77777777" w:rsidTr="000A6C9B">
        <w:trPr>
          <w:cantSplit/>
          <w:jc w:val="center"/>
        </w:trPr>
        <w:tc>
          <w:tcPr>
            <w:tcW w:w="458" w:type="dxa"/>
            <w:shd w:val="clear" w:color="auto" w:fill="auto"/>
            <w:noWrap/>
            <w:vAlign w:val="center"/>
            <w:hideMark/>
          </w:tcPr>
          <w:p w14:paraId="7576F514" w14:textId="00D3A291" w:rsidR="005B46C1" w:rsidRPr="005B46C1" w:rsidRDefault="005B46C1" w:rsidP="007E04FF">
            <w:pPr>
              <w:spacing w:after="0" w:line="276" w:lineRule="auto"/>
              <w:jc w:val="center"/>
              <w:rPr>
                <w:rFonts w:ascii="Calibri" w:hAnsi="Calibri" w:cs="Calibri"/>
                <w:color w:val="000000"/>
                <w:sz w:val="22"/>
                <w:szCs w:val="22"/>
              </w:rPr>
            </w:pPr>
          </w:p>
        </w:tc>
        <w:tc>
          <w:tcPr>
            <w:tcW w:w="890" w:type="dxa"/>
            <w:shd w:val="clear" w:color="auto" w:fill="auto"/>
            <w:noWrap/>
            <w:vAlign w:val="center"/>
            <w:hideMark/>
          </w:tcPr>
          <w:p w14:paraId="6FA4EE68" w14:textId="77777777" w:rsidR="005B46C1" w:rsidRPr="009A6ADB" w:rsidRDefault="005B46C1" w:rsidP="007E04FF">
            <w:pPr>
              <w:spacing w:after="0" w:line="276" w:lineRule="auto"/>
              <w:jc w:val="center"/>
              <w:rPr>
                <w:rFonts w:ascii="Calibri" w:hAnsi="Calibri" w:cs="Calibri"/>
                <w:color w:val="000000"/>
                <w:sz w:val="22"/>
                <w:szCs w:val="22"/>
              </w:rPr>
            </w:pPr>
          </w:p>
        </w:tc>
        <w:tc>
          <w:tcPr>
            <w:tcW w:w="1603" w:type="dxa"/>
            <w:shd w:val="clear" w:color="auto" w:fill="auto"/>
            <w:vAlign w:val="center"/>
            <w:hideMark/>
          </w:tcPr>
          <w:p w14:paraId="255B0C96" w14:textId="6F894714" w:rsidR="005B46C1" w:rsidRPr="009A6ADB" w:rsidRDefault="005B46C1" w:rsidP="007E04FF">
            <w:pPr>
              <w:spacing w:after="0" w:line="276" w:lineRule="auto"/>
              <w:jc w:val="left"/>
              <w:rPr>
                <w:rFonts w:cs="Arial"/>
                <w:i/>
                <w:iCs/>
                <w:color w:val="000000"/>
                <w:sz w:val="16"/>
                <w:szCs w:val="16"/>
              </w:rPr>
            </w:pPr>
            <w:r w:rsidRPr="009A6ADB">
              <w:rPr>
                <w:rFonts w:cs="Arial"/>
                <w:i/>
                <w:iCs/>
                <w:color w:val="000000"/>
                <w:sz w:val="16"/>
                <w:szCs w:val="16"/>
              </w:rPr>
              <w:t xml:space="preserve">εκ των οποίων: </w:t>
            </w:r>
            <w:r w:rsidR="007E0F62" w:rsidRPr="009A6ADB">
              <w:rPr>
                <w:rFonts w:cs="Arial"/>
                <w:i/>
                <w:iCs/>
                <w:color w:val="000000"/>
                <w:sz w:val="16"/>
                <w:szCs w:val="16"/>
              </w:rPr>
              <w:t>προϋπολογισμός δημοσίων επενδύσεων</w:t>
            </w:r>
            <w:r w:rsidRPr="009A6ADB">
              <w:rPr>
                <w:rFonts w:cs="Arial"/>
                <w:i/>
                <w:iCs/>
                <w:color w:val="000000"/>
                <w:sz w:val="16"/>
                <w:szCs w:val="16"/>
                <w:vertAlign w:val="superscript"/>
              </w:rPr>
              <w:t>2</w:t>
            </w:r>
          </w:p>
        </w:tc>
        <w:tc>
          <w:tcPr>
            <w:tcW w:w="1659" w:type="dxa"/>
            <w:shd w:val="clear" w:color="auto" w:fill="auto"/>
            <w:vAlign w:val="center"/>
            <w:hideMark/>
          </w:tcPr>
          <w:p w14:paraId="30FE9343" w14:textId="77777777" w:rsidR="005B46C1" w:rsidRPr="007E04FF" w:rsidRDefault="005B46C1" w:rsidP="007E04FF">
            <w:pPr>
              <w:spacing w:after="0" w:line="276" w:lineRule="auto"/>
              <w:jc w:val="right"/>
              <w:rPr>
                <w:rFonts w:cs="Arial"/>
                <w:i/>
                <w:iCs/>
                <w:color w:val="000000"/>
                <w:sz w:val="16"/>
                <w:szCs w:val="16"/>
              </w:rPr>
            </w:pPr>
            <w:r w:rsidRPr="007E04FF">
              <w:rPr>
                <w:rFonts w:cs="Arial"/>
                <w:i/>
                <w:iCs/>
                <w:color w:val="000000"/>
                <w:sz w:val="16"/>
                <w:szCs w:val="16"/>
              </w:rPr>
              <w:t>9.914</w:t>
            </w:r>
          </w:p>
        </w:tc>
        <w:tc>
          <w:tcPr>
            <w:tcW w:w="1037" w:type="dxa"/>
            <w:shd w:val="clear" w:color="auto" w:fill="auto"/>
            <w:vAlign w:val="center"/>
            <w:hideMark/>
          </w:tcPr>
          <w:p w14:paraId="316430BB" w14:textId="77777777" w:rsidR="005B46C1" w:rsidRPr="007E04FF" w:rsidRDefault="005B46C1" w:rsidP="007E04FF">
            <w:pPr>
              <w:spacing w:after="0" w:line="276" w:lineRule="auto"/>
              <w:jc w:val="right"/>
              <w:rPr>
                <w:rFonts w:cs="Arial"/>
                <w:i/>
                <w:iCs/>
                <w:color w:val="000000"/>
                <w:sz w:val="16"/>
                <w:szCs w:val="16"/>
              </w:rPr>
            </w:pPr>
            <w:r w:rsidRPr="007E04FF">
              <w:rPr>
                <w:rFonts w:cs="Arial"/>
                <w:i/>
                <w:iCs/>
                <w:color w:val="000000"/>
                <w:sz w:val="16"/>
                <w:szCs w:val="16"/>
              </w:rPr>
              <w:t>9.700</w:t>
            </w:r>
          </w:p>
        </w:tc>
        <w:tc>
          <w:tcPr>
            <w:tcW w:w="1112" w:type="dxa"/>
            <w:shd w:val="clear" w:color="auto" w:fill="auto"/>
            <w:vAlign w:val="center"/>
            <w:hideMark/>
          </w:tcPr>
          <w:p w14:paraId="6BAE4308" w14:textId="77777777" w:rsidR="005B46C1" w:rsidRPr="007E04FF" w:rsidRDefault="005B46C1" w:rsidP="007E04FF">
            <w:pPr>
              <w:spacing w:after="0" w:line="276" w:lineRule="auto"/>
              <w:jc w:val="right"/>
              <w:rPr>
                <w:rFonts w:cs="Arial"/>
                <w:i/>
                <w:iCs/>
                <w:color w:val="000000"/>
                <w:sz w:val="16"/>
                <w:szCs w:val="16"/>
              </w:rPr>
            </w:pPr>
            <w:r w:rsidRPr="007E04FF">
              <w:rPr>
                <w:rFonts w:cs="Arial"/>
                <w:i/>
                <w:iCs/>
                <w:color w:val="000000"/>
                <w:sz w:val="16"/>
                <w:szCs w:val="16"/>
              </w:rPr>
              <w:t>9.500</w:t>
            </w:r>
          </w:p>
        </w:tc>
        <w:tc>
          <w:tcPr>
            <w:tcW w:w="795" w:type="dxa"/>
            <w:shd w:val="clear" w:color="auto" w:fill="auto"/>
            <w:vAlign w:val="center"/>
            <w:hideMark/>
          </w:tcPr>
          <w:p w14:paraId="174E8697"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w:t>
            </w:r>
          </w:p>
        </w:tc>
        <w:tc>
          <w:tcPr>
            <w:tcW w:w="1260" w:type="dxa"/>
            <w:shd w:val="clear" w:color="auto" w:fill="auto"/>
            <w:vAlign w:val="center"/>
            <w:hideMark/>
          </w:tcPr>
          <w:p w14:paraId="3A8E0BEC"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w:t>
            </w:r>
          </w:p>
        </w:tc>
      </w:tr>
      <w:tr w:rsidR="005B46C1" w:rsidRPr="005B46C1" w14:paraId="374D1C69" w14:textId="77777777" w:rsidTr="000A6C9B">
        <w:trPr>
          <w:cantSplit/>
          <w:jc w:val="center"/>
        </w:trPr>
        <w:tc>
          <w:tcPr>
            <w:tcW w:w="458" w:type="dxa"/>
            <w:shd w:val="clear" w:color="auto" w:fill="auto"/>
            <w:noWrap/>
            <w:vAlign w:val="center"/>
            <w:hideMark/>
          </w:tcPr>
          <w:p w14:paraId="30AD149E" w14:textId="5210466D" w:rsidR="005B46C1" w:rsidRPr="005B46C1" w:rsidRDefault="005B46C1" w:rsidP="007E04FF">
            <w:pPr>
              <w:spacing w:after="0" w:line="276" w:lineRule="auto"/>
              <w:jc w:val="center"/>
              <w:rPr>
                <w:rFonts w:ascii="Calibri" w:hAnsi="Calibri" w:cs="Calibri"/>
                <w:color w:val="000000"/>
                <w:sz w:val="22"/>
                <w:szCs w:val="22"/>
              </w:rPr>
            </w:pPr>
          </w:p>
        </w:tc>
        <w:tc>
          <w:tcPr>
            <w:tcW w:w="890" w:type="dxa"/>
            <w:shd w:val="clear" w:color="auto" w:fill="auto"/>
            <w:noWrap/>
            <w:vAlign w:val="center"/>
            <w:hideMark/>
          </w:tcPr>
          <w:p w14:paraId="7AFCC949" w14:textId="77777777" w:rsidR="005B46C1" w:rsidRPr="005B46C1" w:rsidRDefault="005B46C1" w:rsidP="007E04FF">
            <w:pPr>
              <w:spacing w:after="0" w:line="276" w:lineRule="auto"/>
              <w:jc w:val="center"/>
              <w:rPr>
                <w:rFonts w:ascii="Calibri" w:hAnsi="Calibri" w:cs="Calibri"/>
                <w:color w:val="000000"/>
                <w:sz w:val="22"/>
                <w:szCs w:val="22"/>
              </w:rPr>
            </w:pPr>
          </w:p>
        </w:tc>
        <w:tc>
          <w:tcPr>
            <w:tcW w:w="1603" w:type="dxa"/>
            <w:shd w:val="clear" w:color="auto" w:fill="auto"/>
            <w:vAlign w:val="center"/>
            <w:hideMark/>
          </w:tcPr>
          <w:p w14:paraId="4EC2F832" w14:textId="2ADEB3EA" w:rsidR="005B46C1" w:rsidRPr="005B46C1" w:rsidRDefault="005B46C1" w:rsidP="007E04FF">
            <w:pPr>
              <w:spacing w:after="0" w:line="276" w:lineRule="auto"/>
              <w:jc w:val="left"/>
              <w:rPr>
                <w:rFonts w:cs="Arial"/>
                <w:i/>
                <w:iCs/>
                <w:color w:val="000000"/>
                <w:sz w:val="16"/>
                <w:szCs w:val="16"/>
              </w:rPr>
            </w:pPr>
            <w:r w:rsidRPr="005B46C1">
              <w:rPr>
                <w:rFonts w:cs="Arial"/>
                <w:i/>
                <w:iCs/>
                <w:color w:val="000000"/>
                <w:sz w:val="16"/>
                <w:szCs w:val="16"/>
              </w:rPr>
              <w:t>Τ</w:t>
            </w:r>
            <w:r w:rsidR="007E04FF">
              <w:rPr>
                <w:rFonts w:cs="Arial"/>
                <w:i/>
                <w:iCs/>
                <w:color w:val="000000"/>
                <w:sz w:val="16"/>
                <w:szCs w:val="16"/>
                <w:lang w:val="en-US"/>
              </w:rPr>
              <w:t>AA</w:t>
            </w:r>
            <w:r w:rsidRPr="007E04FF">
              <w:rPr>
                <w:rFonts w:cs="Arial"/>
                <w:i/>
                <w:iCs/>
                <w:color w:val="000000"/>
                <w:sz w:val="16"/>
                <w:szCs w:val="16"/>
                <w:vertAlign w:val="superscript"/>
              </w:rPr>
              <w:t>2</w:t>
            </w:r>
          </w:p>
        </w:tc>
        <w:tc>
          <w:tcPr>
            <w:tcW w:w="1659" w:type="dxa"/>
            <w:shd w:val="clear" w:color="auto" w:fill="auto"/>
            <w:vAlign w:val="center"/>
            <w:hideMark/>
          </w:tcPr>
          <w:p w14:paraId="28B8679D" w14:textId="77777777" w:rsidR="005B46C1" w:rsidRPr="007E04FF" w:rsidRDefault="005B46C1" w:rsidP="007E04FF">
            <w:pPr>
              <w:spacing w:after="0" w:line="276" w:lineRule="auto"/>
              <w:jc w:val="right"/>
              <w:rPr>
                <w:rFonts w:cs="Arial"/>
                <w:i/>
                <w:iCs/>
                <w:color w:val="000000"/>
                <w:sz w:val="16"/>
                <w:szCs w:val="16"/>
              </w:rPr>
            </w:pPr>
            <w:r w:rsidRPr="007E04FF">
              <w:rPr>
                <w:rFonts w:cs="Arial"/>
                <w:i/>
                <w:iCs/>
                <w:color w:val="000000"/>
                <w:sz w:val="16"/>
                <w:szCs w:val="16"/>
              </w:rPr>
              <w:t>3.401</w:t>
            </w:r>
          </w:p>
        </w:tc>
        <w:tc>
          <w:tcPr>
            <w:tcW w:w="1037" w:type="dxa"/>
            <w:shd w:val="clear" w:color="auto" w:fill="auto"/>
            <w:vAlign w:val="center"/>
            <w:hideMark/>
          </w:tcPr>
          <w:p w14:paraId="456BB685" w14:textId="77777777" w:rsidR="005B46C1" w:rsidRPr="007E04FF" w:rsidRDefault="005B46C1" w:rsidP="007E04FF">
            <w:pPr>
              <w:spacing w:after="0" w:line="276" w:lineRule="auto"/>
              <w:jc w:val="right"/>
              <w:rPr>
                <w:rFonts w:cs="Arial"/>
                <w:i/>
                <w:iCs/>
                <w:color w:val="000000"/>
                <w:sz w:val="16"/>
                <w:szCs w:val="16"/>
              </w:rPr>
            </w:pPr>
            <w:r w:rsidRPr="007E04FF">
              <w:rPr>
                <w:rFonts w:cs="Arial"/>
                <w:i/>
                <w:iCs/>
                <w:color w:val="000000"/>
                <w:sz w:val="16"/>
                <w:szCs w:val="16"/>
              </w:rPr>
              <w:t>4.900</w:t>
            </w:r>
          </w:p>
        </w:tc>
        <w:tc>
          <w:tcPr>
            <w:tcW w:w="1112" w:type="dxa"/>
            <w:shd w:val="clear" w:color="auto" w:fill="auto"/>
            <w:vAlign w:val="center"/>
            <w:hideMark/>
          </w:tcPr>
          <w:p w14:paraId="5045E6E7" w14:textId="77777777" w:rsidR="005B46C1" w:rsidRPr="007E04FF" w:rsidRDefault="005B46C1" w:rsidP="007E04FF">
            <w:pPr>
              <w:spacing w:after="0" w:line="276" w:lineRule="auto"/>
              <w:jc w:val="right"/>
              <w:rPr>
                <w:rFonts w:cs="Arial"/>
                <w:i/>
                <w:iCs/>
                <w:color w:val="000000"/>
                <w:sz w:val="16"/>
                <w:szCs w:val="16"/>
              </w:rPr>
            </w:pPr>
            <w:r w:rsidRPr="007E04FF">
              <w:rPr>
                <w:rFonts w:cs="Arial"/>
                <w:i/>
                <w:iCs/>
                <w:color w:val="000000"/>
                <w:sz w:val="16"/>
                <w:szCs w:val="16"/>
              </w:rPr>
              <w:t>7.192</w:t>
            </w:r>
          </w:p>
        </w:tc>
        <w:tc>
          <w:tcPr>
            <w:tcW w:w="795" w:type="dxa"/>
            <w:shd w:val="clear" w:color="auto" w:fill="auto"/>
            <w:vAlign w:val="center"/>
            <w:hideMark/>
          </w:tcPr>
          <w:p w14:paraId="24B81CE9"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44%</w:t>
            </w:r>
          </w:p>
        </w:tc>
        <w:tc>
          <w:tcPr>
            <w:tcW w:w="1260" w:type="dxa"/>
            <w:shd w:val="clear" w:color="auto" w:fill="auto"/>
            <w:vAlign w:val="center"/>
            <w:hideMark/>
          </w:tcPr>
          <w:p w14:paraId="4639ED30"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47%</w:t>
            </w:r>
          </w:p>
        </w:tc>
      </w:tr>
      <w:tr w:rsidR="005B46C1" w:rsidRPr="005B46C1" w14:paraId="297838D0" w14:textId="77777777" w:rsidTr="000A6C9B">
        <w:trPr>
          <w:cantSplit/>
          <w:jc w:val="center"/>
        </w:trPr>
        <w:tc>
          <w:tcPr>
            <w:tcW w:w="458" w:type="dxa"/>
            <w:shd w:val="clear" w:color="auto" w:fill="auto"/>
            <w:noWrap/>
            <w:vAlign w:val="center"/>
            <w:hideMark/>
          </w:tcPr>
          <w:p w14:paraId="2447B70C"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9</w:t>
            </w:r>
          </w:p>
        </w:tc>
        <w:tc>
          <w:tcPr>
            <w:tcW w:w="890" w:type="dxa"/>
            <w:shd w:val="clear" w:color="auto" w:fill="auto"/>
            <w:noWrap/>
            <w:vAlign w:val="center"/>
            <w:hideMark/>
          </w:tcPr>
          <w:p w14:paraId="6E460519"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31</w:t>
            </w:r>
          </w:p>
        </w:tc>
        <w:tc>
          <w:tcPr>
            <w:tcW w:w="1603" w:type="dxa"/>
            <w:shd w:val="clear" w:color="auto" w:fill="auto"/>
            <w:vAlign w:val="center"/>
            <w:hideMark/>
          </w:tcPr>
          <w:p w14:paraId="0F3E83B3"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Αγορές παγίων περιουσιακών στοιχείων</w:t>
            </w:r>
          </w:p>
        </w:tc>
        <w:tc>
          <w:tcPr>
            <w:tcW w:w="1659" w:type="dxa"/>
            <w:shd w:val="clear" w:color="auto" w:fill="auto"/>
            <w:vAlign w:val="center"/>
            <w:hideMark/>
          </w:tcPr>
          <w:p w14:paraId="6C4F27FE"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1.858</w:t>
            </w:r>
          </w:p>
        </w:tc>
        <w:tc>
          <w:tcPr>
            <w:tcW w:w="1037" w:type="dxa"/>
            <w:shd w:val="clear" w:color="auto" w:fill="auto"/>
            <w:vAlign w:val="center"/>
            <w:hideMark/>
          </w:tcPr>
          <w:p w14:paraId="33BE1D6E"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2.664</w:t>
            </w:r>
          </w:p>
        </w:tc>
        <w:tc>
          <w:tcPr>
            <w:tcW w:w="1112" w:type="dxa"/>
            <w:shd w:val="clear" w:color="auto" w:fill="auto"/>
            <w:vAlign w:val="center"/>
            <w:hideMark/>
          </w:tcPr>
          <w:p w14:paraId="1F7BDD01"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3.356</w:t>
            </w:r>
          </w:p>
        </w:tc>
        <w:tc>
          <w:tcPr>
            <w:tcW w:w="795" w:type="dxa"/>
            <w:shd w:val="clear" w:color="auto" w:fill="auto"/>
            <w:vAlign w:val="center"/>
            <w:hideMark/>
          </w:tcPr>
          <w:p w14:paraId="6DDA333F"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43%</w:t>
            </w:r>
          </w:p>
        </w:tc>
        <w:tc>
          <w:tcPr>
            <w:tcW w:w="1260" w:type="dxa"/>
            <w:shd w:val="clear" w:color="auto" w:fill="auto"/>
            <w:vAlign w:val="center"/>
            <w:hideMark/>
          </w:tcPr>
          <w:p w14:paraId="66ECE774"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26%</w:t>
            </w:r>
          </w:p>
        </w:tc>
      </w:tr>
      <w:tr w:rsidR="005B46C1" w:rsidRPr="005B46C1" w14:paraId="6DF055C0" w14:textId="77777777" w:rsidTr="000A6C9B">
        <w:trPr>
          <w:cantSplit/>
          <w:jc w:val="center"/>
        </w:trPr>
        <w:tc>
          <w:tcPr>
            <w:tcW w:w="458" w:type="dxa"/>
            <w:shd w:val="clear" w:color="auto" w:fill="auto"/>
            <w:noWrap/>
            <w:vAlign w:val="center"/>
            <w:hideMark/>
          </w:tcPr>
          <w:p w14:paraId="04285E14"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10</w:t>
            </w:r>
          </w:p>
        </w:tc>
        <w:tc>
          <w:tcPr>
            <w:tcW w:w="890" w:type="dxa"/>
            <w:shd w:val="clear" w:color="auto" w:fill="auto"/>
            <w:noWrap/>
            <w:vAlign w:val="center"/>
            <w:hideMark/>
          </w:tcPr>
          <w:p w14:paraId="1BADE8EE"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33</w:t>
            </w:r>
          </w:p>
        </w:tc>
        <w:tc>
          <w:tcPr>
            <w:tcW w:w="1603" w:type="dxa"/>
            <w:shd w:val="clear" w:color="auto" w:fill="auto"/>
            <w:vAlign w:val="center"/>
            <w:hideMark/>
          </w:tcPr>
          <w:p w14:paraId="79CDA6C2"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Αγορές τιμαλφών</w:t>
            </w:r>
          </w:p>
        </w:tc>
        <w:tc>
          <w:tcPr>
            <w:tcW w:w="1659" w:type="dxa"/>
            <w:shd w:val="clear" w:color="auto" w:fill="auto"/>
            <w:vAlign w:val="center"/>
            <w:hideMark/>
          </w:tcPr>
          <w:p w14:paraId="6183586F"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0</w:t>
            </w:r>
          </w:p>
        </w:tc>
        <w:tc>
          <w:tcPr>
            <w:tcW w:w="1037" w:type="dxa"/>
            <w:shd w:val="clear" w:color="auto" w:fill="auto"/>
            <w:vAlign w:val="center"/>
            <w:hideMark/>
          </w:tcPr>
          <w:p w14:paraId="06E49330"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0</w:t>
            </w:r>
          </w:p>
        </w:tc>
        <w:tc>
          <w:tcPr>
            <w:tcW w:w="1112" w:type="dxa"/>
            <w:shd w:val="clear" w:color="auto" w:fill="auto"/>
            <w:vAlign w:val="center"/>
            <w:hideMark/>
          </w:tcPr>
          <w:p w14:paraId="09EF4B64"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0</w:t>
            </w:r>
          </w:p>
        </w:tc>
        <w:tc>
          <w:tcPr>
            <w:tcW w:w="795" w:type="dxa"/>
            <w:shd w:val="clear" w:color="auto" w:fill="auto"/>
            <w:vAlign w:val="center"/>
            <w:hideMark/>
          </w:tcPr>
          <w:p w14:paraId="3C2C0296"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w:t>
            </w:r>
          </w:p>
        </w:tc>
        <w:tc>
          <w:tcPr>
            <w:tcW w:w="1260" w:type="dxa"/>
            <w:shd w:val="clear" w:color="auto" w:fill="auto"/>
            <w:vAlign w:val="center"/>
            <w:hideMark/>
          </w:tcPr>
          <w:p w14:paraId="7F6C045D"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5%</w:t>
            </w:r>
          </w:p>
        </w:tc>
      </w:tr>
      <w:tr w:rsidR="005B46C1" w:rsidRPr="005B46C1" w14:paraId="7DBDFE06" w14:textId="77777777" w:rsidTr="000A6C9B">
        <w:trPr>
          <w:cantSplit/>
          <w:jc w:val="center"/>
        </w:trPr>
        <w:tc>
          <w:tcPr>
            <w:tcW w:w="458" w:type="dxa"/>
            <w:shd w:val="clear" w:color="000000" w:fill="D5DCE4"/>
            <w:vAlign w:val="center"/>
            <w:hideMark/>
          </w:tcPr>
          <w:p w14:paraId="38168B3B"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Α</w:t>
            </w:r>
          </w:p>
        </w:tc>
        <w:tc>
          <w:tcPr>
            <w:tcW w:w="2493" w:type="dxa"/>
            <w:gridSpan w:val="2"/>
            <w:shd w:val="clear" w:color="000000" w:fill="D5DCE4"/>
            <w:vAlign w:val="center"/>
            <w:hideMark/>
          </w:tcPr>
          <w:p w14:paraId="53E8203D" w14:textId="77777777" w:rsidR="005B46C1" w:rsidRPr="005B46C1" w:rsidRDefault="005B46C1" w:rsidP="007E04FF">
            <w:pPr>
              <w:spacing w:after="0" w:line="276" w:lineRule="auto"/>
              <w:jc w:val="left"/>
              <w:rPr>
                <w:rFonts w:cs="Arial"/>
                <w:b/>
                <w:bCs/>
                <w:color w:val="000000"/>
                <w:sz w:val="16"/>
                <w:szCs w:val="16"/>
              </w:rPr>
            </w:pPr>
            <w:r w:rsidRPr="005B46C1">
              <w:rPr>
                <w:rFonts w:cs="Arial"/>
                <w:b/>
                <w:bCs/>
                <w:color w:val="000000"/>
                <w:sz w:val="16"/>
                <w:szCs w:val="16"/>
              </w:rPr>
              <w:t>Δαπάνες μη χρηματοοικονομικών συναλλαγών (1+2+3+4+5+6+7+8+9+10)</w:t>
            </w:r>
          </w:p>
        </w:tc>
        <w:tc>
          <w:tcPr>
            <w:tcW w:w="1659" w:type="dxa"/>
            <w:shd w:val="clear" w:color="000000" w:fill="D5DCE4"/>
            <w:vAlign w:val="center"/>
            <w:hideMark/>
          </w:tcPr>
          <w:p w14:paraId="0B299AC8"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73.752</w:t>
            </w:r>
          </w:p>
        </w:tc>
        <w:tc>
          <w:tcPr>
            <w:tcW w:w="1037" w:type="dxa"/>
            <w:shd w:val="clear" w:color="000000" w:fill="D5DCE4"/>
            <w:vAlign w:val="center"/>
            <w:hideMark/>
          </w:tcPr>
          <w:p w14:paraId="56239D3B"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80.447</w:t>
            </w:r>
          </w:p>
        </w:tc>
        <w:tc>
          <w:tcPr>
            <w:tcW w:w="1112" w:type="dxa"/>
            <w:shd w:val="clear" w:color="000000" w:fill="D5DCE4"/>
            <w:vAlign w:val="center"/>
            <w:hideMark/>
          </w:tcPr>
          <w:p w14:paraId="2F53D194"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86.046</w:t>
            </w:r>
          </w:p>
        </w:tc>
        <w:tc>
          <w:tcPr>
            <w:tcW w:w="795" w:type="dxa"/>
            <w:shd w:val="clear" w:color="000000" w:fill="D5DCE4"/>
            <w:vAlign w:val="center"/>
            <w:hideMark/>
          </w:tcPr>
          <w:p w14:paraId="3D9BD8E2"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9%</w:t>
            </w:r>
          </w:p>
        </w:tc>
        <w:tc>
          <w:tcPr>
            <w:tcW w:w="1260" w:type="dxa"/>
            <w:shd w:val="clear" w:color="000000" w:fill="D5DCE4"/>
            <w:vAlign w:val="center"/>
            <w:hideMark/>
          </w:tcPr>
          <w:p w14:paraId="1EDC1FD5"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7%</w:t>
            </w:r>
          </w:p>
        </w:tc>
      </w:tr>
      <w:tr w:rsidR="005B46C1" w:rsidRPr="005B46C1" w14:paraId="666028F8" w14:textId="77777777" w:rsidTr="000A6C9B">
        <w:trPr>
          <w:cantSplit/>
          <w:jc w:val="center"/>
        </w:trPr>
        <w:tc>
          <w:tcPr>
            <w:tcW w:w="458" w:type="dxa"/>
            <w:shd w:val="clear" w:color="auto" w:fill="auto"/>
            <w:noWrap/>
            <w:vAlign w:val="center"/>
            <w:hideMark/>
          </w:tcPr>
          <w:p w14:paraId="7CC72F9A"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11</w:t>
            </w:r>
          </w:p>
        </w:tc>
        <w:tc>
          <w:tcPr>
            <w:tcW w:w="890" w:type="dxa"/>
            <w:shd w:val="clear" w:color="auto" w:fill="auto"/>
            <w:noWrap/>
            <w:vAlign w:val="center"/>
            <w:hideMark/>
          </w:tcPr>
          <w:p w14:paraId="007A17DE"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44</w:t>
            </w:r>
          </w:p>
        </w:tc>
        <w:tc>
          <w:tcPr>
            <w:tcW w:w="1603" w:type="dxa"/>
            <w:shd w:val="clear" w:color="auto" w:fill="auto"/>
            <w:vAlign w:val="center"/>
            <w:hideMark/>
          </w:tcPr>
          <w:p w14:paraId="66F248EF" w14:textId="62E3528D"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Δάνεια</w:t>
            </w:r>
            <w:r w:rsidRPr="007E04FF">
              <w:rPr>
                <w:rFonts w:cs="Arial"/>
                <w:color w:val="000000"/>
                <w:sz w:val="16"/>
                <w:szCs w:val="16"/>
                <w:vertAlign w:val="superscript"/>
              </w:rPr>
              <w:t>3</w:t>
            </w:r>
          </w:p>
        </w:tc>
        <w:tc>
          <w:tcPr>
            <w:tcW w:w="1659" w:type="dxa"/>
            <w:shd w:val="clear" w:color="auto" w:fill="auto"/>
            <w:vAlign w:val="center"/>
            <w:hideMark/>
          </w:tcPr>
          <w:p w14:paraId="77E4D5E2"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1.541</w:t>
            </w:r>
          </w:p>
        </w:tc>
        <w:tc>
          <w:tcPr>
            <w:tcW w:w="1037" w:type="dxa"/>
            <w:shd w:val="clear" w:color="auto" w:fill="auto"/>
            <w:vAlign w:val="center"/>
            <w:hideMark/>
          </w:tcPr>
          <w:p w14:paraId="20EE3B56"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4.811</w:t>
            </w:r>
          </w:p>
        </w:tc>
        <w:tc>
          <w:tcPr>
            <w:tcW w:w="1112" w:type="dxa"/>
            <w:shd w:val="clear" w:color="auto" w:fill="auto"/>
            <w:vAlign w:val="center"/>
            <w:hideMark/>
          </w:tcPr>
          <w:p w14:paraId="6E670C02"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12.079</w:t>
            </w:r>
          </w:p>
        </w:tc>
        <w:tc>
          <w:tcPr>
            <w:tcW w:w="795" w:type="dxa"/>
            <w:shd w:val="clear" w:color="auto" w:fill="auto"/>
            <w:vAlign w:val="center"/>
            <w:hideMark/>
          </w:tcPr>
          <w:p w14:paraId="0244AAA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212%</w:t>
            </w:r>
          </w:p>
        </w:tc>
        <w:tc>
          <w:tcPr>
            <w:tcW w:w="1260" w:type="dxa"/>
            <w:shd w:val="clear" w:color="auto" w:fill="auto"/>
            <w:vAlign w:val="center"/>
            <w:hideMark/>
          </w:tcPr>
          <w:p w14:paraId="1F53A14F"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151%</w:t>
            </w:r>
          </w:p>
        </w:tc>
      </w:tr>
      <w:tr w:rsidR="005B46C1" w:rsidRPr="005B46C1" w14:paraId="4F38134E" w14:textId="77777777" w:rsidTr="000A6C9B">
        <w:trPr>
          <w:cantSplit/>
          <w:jc w:val="center"/>
        </w:trPr>
        <w:tc>
          <w:tcPr>
            <w:tcW w:w="458" w:type="dxa"/>
            <w:shd w:val="clear" w:color="auto" w:fill="auto"/>
            <w:noWrap/>
            <w:vAlign w:val="center"/>
            <w:hideMark/>
          </w:tcPr>
          <w:p w14:paraId="121097B3"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12</w:t>
            </w:r>
          </w:p>
        </w:tc>
        <w:tc>
          <w:tcPr>
            <w:tcW w:w="890" w:type="dxa"/>
            <w:shd w:val="clear" w:color="auto" w:fill="auto"/>
            <w:noWrap/>
            <w:vAlign w:val="center"/>
            <w:hideMark/>
          </w:tcPr>
          <w:p w14:paraId="21986D32"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45</w:t>
            </w:r>
          </w:p>
        </w:tc>
        <w:tc>
          <w:tcPr>
            <w:tcW w:w="1603" w:type="dxa"/>
            <w:shd w:val="clear" w:color="auto" w:fill="auto"/>
            <w:vAlign w:val="center"/>
            <w:hideMark/>
          </w:tcPr>
          <w:p w14:paraId="6FA1CF5C" w14:textId="3CA8D779"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Συμμετοχικοί τίτλοι και μερίδια επενδυτικών κεφαλαίων</w:t>
            </w:r>
          </w:p>
        </w:tc>
        <w:tc>
          <w:tcPr>
            <w:tcW w:w="1659" w:type="dxa"/>
            <w:shd w:val="clear" w:color="auto" w:fill="auto"/>
            <w:vAlign w:val="center"/>
            <w:hideMark/>
          </w:tcPr>
          <w:p w14:paraId="2D9CDF1B"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720</w:t>
            </w:r>
          </w:p>
        </w:tc>
        <w:tc>
          <w:tcPr>
            <w:tcW w:w="1037" w:type="dxa"/>
            <w:shd w:val="clear" w:color="auto" w:fill="auto"/>
            <w:vAlign w:val="center"/>
            <w:hideMark/>
          </w:tcPr>
          <w:p w14:paraId="7627CAD3"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1.859</w:t>
            </w:r>
          </w:p>
        </w:tc>
        <w:tc>
          <w:tcPr>
            <w:tcW w:w="1112" w:type="dxa"/>
            <w:shd w:val="clear" w:color="auto" w:fill="auto"/>
            <w:vAlign w:val="center"/>
            <w:hideMark/>
          </w:tcPr>
          <w:p w14:paraId="6F9CED72"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1.587</w:t>
            </w:r>
          </w:p>
        </w:tc>
        <w:tc>
          <w:tcPr>
            <w:tcW w:w="795" w:type="dxa"/>
            <w:shd w:val="clear" w:color="auto" w:fill="auto"/>
            <w:vAlign w:val="center"/>
            <w:hideMark/>
          </w:tcPr>
          <w:p w14:paraId="724E24B9"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158%</w:t>
            </w:r>
          </w:p>
        </w:tc>
        <w:tc>
          <w:tcPr>
            <w:tcW w:w="1260" w:type="dxa"/>
            <w:shd w:val="clear" w:color="auto" w:fill="auto"/>
            <w:vAlign w:val="center"/>
            <w:hideMark/>
          </w:tcPr>
          <w:p w14:paraId="3AE3C63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w:t>
            </w:r>
          </w:p>
        </w:tc>
      </w:tr>
      <w:tr w:rsidR="005B46C1" w:rsidRPr="005B46C1" w14:paraId="35FFA1DD" w14:textId="77777777" w:rsidTr="000A6C9B">
        <w:trPr>
          <w:cantSplit/>
          <w:jc w:val="center"/>
        </w:trPr>
        <w:tc>
          <w:tcPr>
            <w:tcW w:w="458" w:type="dxa"/>
            <w:shd w:val="clear" w:color="auto" w:fill="auto"/>
            <w:noWrap/>
            <w:vAlign w:val="center"/>
            <w:hideMark/>
          </w:tcPr>
          <w:p w14:paraId="354983AF"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13</w:t>
            </w:r>
          </w:p>
        </w:tc>
        <w:tc>
          <w:tcPr>
            <w:tcW w:w="890" w:type="dxa"/>
            <w:shd w:val="clear" w:color="auto" w:fill="auto"/>
            <w:noWrap/>
            <w:vAlign w:val="center"/>
            <w:hideMark/>
          </w:tcPr>
          <w:p w14:paraId="604D9D13"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49</w:t>
            </w:r>
          </w:p>
        </w:tc>
        <w:tc>
          <w:tcPr>
            <w:tcW w:w="1603" w:type="dxa"/>
            <w:shd w:val="clear" w:color="auto" w:fill="auto"/>
            <w:vAlign w:val="center"/>
            <w:hideMark/>
          </w:tcPr>
          <w:p w14:paraId="1C8FCD34"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Προκαταβολές και λοιπές απαιτήσεις</w:t>
            </w:r>
          </w:p>
        </w:tc>
        <w:tc>
          <w:tcPr>
            <w:tcW w:w="1659" w:type="dxa"/>
            <w:shd w:val="clear" w:color="auto" w:fill="auto"/>
            <w:vAlign w:val="center"/>
            <w:hideMark/>
          </w:tcPr>
          <w:p w14:paraId="53BFFB90"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34</w:t>
            </w:r>
          </w:p>
        </w:tc>
        <w:tc>
          <w:tcPr>
            <w:tcW w:w="1037" w:type="dxa"/>
            <w:shd w:val="clear" w:color="auto" w:fill="auto"/>
            <w:vAlign w:val="center"/>
            <w:hideMark/>
          </w:tcPr>
          <w:p w14:paraId="07229B95"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42</w:t>
            </w:r>
          </w:p>
        </w:tc>
        <w:tc>
          <w:tcPr>
            <w:tcW w:w="1112" w:type="dxa"/>
            <w:shd w:val="clear" w:color="auto" w:fill="auto"/>
            <w:vAlign w:val="center"/>
            <w:hideMark/>
          </w:tcPr>
          <w:p w14:paraId="55B7558E"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0</w:t>
            </w:r>
          </w:p>
        </w:tc>
        <w:tc>
          <w:tcPr>
            <w:tcW w:w="795" w:type="dxa"/>
            <w:shd w:val="clear" w:color="auto" w:fill="auto"/>
            <w:vAlign w:val="center"/>
            <w:hideMark/>
          </w:tcPr>
          <w:p w14:paraId="755A0BCA"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26%</w:t>
            </w:r>
          </w:p>
        </w:tc>
        <w:tc>
          <w:tcPr>
            <w:tcW w:w="1260" w:type="dxa"/>
            <w:shd w:val="clear" w:color="auto" w:fill="auto"/>
            <w:vAlign w:val="center"/>
            <w:hideMark/>
          </w:tcPr>
          <w:p w14:paraId="1A83311B"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-100%</w:t>
            </w:r>
          </w:p>
        </w:tc>
      </w:tr>
      <w:tr w:rsidR="005B46C1" w:rsidRPr="005B46C1" w14:paraId="5BCB31D2" w14:textId="77777777" w:rsidTr="000A6C9B">
        <w:trPr>
          <w:cantSplit/>
          <w:jc w:val="center"/>
        </w:trPr>
        <w:tc>
          <w:tcPr>
            <w:tcW w:w="458" w:type="dxa"/>
            <w:shd w:val="clear" w:color="auto" w:fill="auto"/>
            <w:noWrap/>
            <w:vAlign w:val="center"/>
            <w:hideMark/>
          </w:tcPr>
          <w:p w14:paraId="2AF178F2"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14</w:t>
            </w:r>
          </w:p>
        </w:tc>
        <w:tc>
          <w:tcPr>
            <w:tcW w:w="890" w:type="dxa"/>
            <w:shd w:val="clear" w:color="auto" w:fill="auto"/>
            <w:noWrap/>
            <w:vAlign w:val="center"/>
            <w:hideMark/>
          </w:tcPr>
          <w:p w14:paraId="0CB9B7B4"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52</w:t>
            </w:r>
          </w:p>
        </w:tc>
        <w:tc>
          <w:tcPr>
            <w:tcW w:w="1603" w:type="dxa"/>
            <w:shd w:val="clear" w:color="auto" w:fill="auto"/>
            <w:vAlign w:val="center"/>
            <w:hideMark/>
          </w:tcPr>
          <w:p w14:paraId="4BC93B6C" w14:textId="345F110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Υποχρεώσεις από νόμισμα και καταθέσεις</w:t>
            </w:r>
          </w:p>
        </w:tc>
        <w:tc>
          <w:tcPr>
            <w:tcW w:w="1659" w:type="dxa"/>
            <w:shd w:val="clear" w:color="auto" w:fill="auto"/>
            <w:vAlign w:val="center"/>
            <w:hideMark/>
          </w:tcPr>
          <w:p w14:paraId="01F97F92"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0</w:t>
            </w:r>
          </w:p>
        </w:tc>
        <w:tc>
          <w:tcPr>
            <w:tcW w:w="1037" w:type="dxa"/>
            <w:shd w:val="clear" w:color="auto" w:fill="auto"/>
            <w:vAlign w:val="center"/>
            <w:hideMark/>
          </w:tcPr>
          <w:p w14:paraId="5B9FB5A4"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0</w:t>
            </w:r>
          </w:p>
        </w:tc>
        <w:tc>
          <w:tcPr>
            <w:tcW w:w="1112" w:type="dxa"/>
            <w:shd w:val="clear" w:color="auto" w:fill="auto"/>
            <w:vAlign w:val="center"/>
            <w:hideMark/>
          </w:tcPr>
          <w:p w14:paraId="190837DD"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0</w:t>
            </w:r>
          </w:p>
        </w:tc>
        <w:tc>
          <w:tcPr>
            <w:tcW w:w="795" w:type="dxa"/>
            <w:shd w:val="clear" w:color="auto" w:fill="auto"/>
            <w:vAlign w:val="center"/>
            <w:hideMark/>
          </w:tcPr>
          <w:p w14:paraId="6B53D740"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w:t>
            </w:r>
          </w:p>
        </w:tc>
        <w:tc>
          <w:tcPr>
            <w:tcW w:w="1260" w:type="dxa"/>
            <w:shd w:val="clear" w:color="auto" w:fill="auto"/>
            <w:vAlign w:val="center"/>
            <w:hideMark/>
          </w:tcPr>
          <w:p w14:paraId="0A759469"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w:t>
            </w:r>
          </w:p>
        </w:tc>
      </w:tr>
      <w:tr w:rsidR="005B46C1" w:rsidRPr="005B46C1" w14:paraId="2076C5E8" w14:textId="77777777" w:rsidTr="00426DD1">
        <w:trPr>
          <w:cantSplit/>
          <w:jc w:val="center"/>
        </w:trPr>
        <w:tc>
          <w:tcPr>
            <w:tcW w:w="458" w:type="dxa"/>
            <w:shd w:val="clear" w:color="auto" w:fill="auto"/>
            <w:noWrap/>
            <w:vAlign w:val="center"/>
            <w:hideMark/>
          </w:tcPr>
          <w:p w14:paraId="1D432F8A"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15</w:t>
            </w:r>
          </w:p>
        </w:tc>
        <w:tc>
          <w:tcPr>
            <w:tcW w:w="890" w:type="dxa"/>
            <w:shd w:val="clear" w:color="auto" w:fill="auto"/>
            <w:noWrap/>
            <w:vAlign w:val="center"/>
            <w:hideMark/>
          </w:tcPr>
          <w:p w14:paraId="35838A57"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53</w:t>
            </w:r>
          </w:p>
        </w:tc>
        <w:tc>
          <w:tcPr>
            <w:tcW w:w="1603" w:type="dxa"/>
            <w:shd w:val="clear" w:color="auto" w:fill="auto"/>
            <w:vAlign w:val="center"/>
            <w:hideMark/>
          </w:tcPr>
          <w:p w14:paraId="125EF0D8"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Χρεωστικοί τίτλοι (υποχρεώσεις)</w:t>
            </w:r>
          </w:p>
        </w:tc>
        <w:tc>
          <w:tcPr>
            <w:tcW w:w="1659" w:type="dxa"/>
            <w:shd w:val="clear" w:color="auto" w:fill="auto"/>
            <w:vAlign w:val="center"/>
            <w:hideMark/>
          </w:tcPr>
          <w:p w14:paraId="5F4A3BA6"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24.834</w:t>
            </w:r>
          </w:p>
        </w:tc>
        <w:tc>
          <w:tcPr>
            <w:tcW w:w="1037" w:type="dxa"/>
            <w:shd w:val="clear" w:color="auto" w:fill="auto"/>
            <w:vAlign w:val="center"/>
            <w:hideMark/>
          </w:tcPr>
          <w:p w14:paraId="3DDF3D73"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20.350</w:t>
            </w:r>
          </w:p>
        </w:tc>
        <w:tc>
          <w:tcPr>
            <w:tcW w:w="1112" w:type="dxa"/>
            <w:shd w:val="clear" w:color="auto" w:fill="auto"/>
            <w:vAlign w:val="center"/>
            <w:hideMark/>
          </w:tcPr>
          <w:p w14:paraId="38453F11" w14:textId="77777777" w:rsidR="005B46C1" w:rsidRPr="00426DD1" w:rsidRDefault="005B46C1" w:rsidP="007E04FF">
            <w:pPr>
              <w:spacing w:after="0" w:line="276" w:lineRule="auto"/>
              <w:jc w:val="right"/>
              <w:rPr>
                <w:rFonts w:cs="Arial"/>
                <w:color w:val="000000"/>
                <w:sz w:val="16"/>
                <w:szCs w:val="16"/>
              </w:rPr>
            </w:pPr>
            <w:r w:rsidRPr="00426DD1">
              <w:rPr>
                <w:rFonts w:cs="Arial"/>
                <w:color w:val="000000"/>
                <w:sz w:val="16"/>
                <w:szCs w:val="16"/>
              </w:rPr>
              <w:t>24.910</w:t>
            </w:r>
          </w:p>
        </w:tc>
        <w:tc>
          <w:tcPr>
            <w:tcW w:w="795" w:type="dxa"/>
            <w:shd w:val="clear" w:color="auto" w:fill="auto"/>
            <w:vAlign w:val="center"/>
            <w:hideMark/>
          </w:tcPr>
          <w:p w14:paraId="5391444B" w14:textId="77777777" w:rsidR="005B46C1" w:rsidRPr="00426DD1" w:rsidRDefault="005B46C1" w:rsidP="007E04FF">
            <w:pPr>
              <w:spacing w:after="0" w:line="276" w:lineRule="auto"/>
              <w:jc w:val="right"/>
              <w:rPr>
                <w:rFonts w:cs="Arial"/>
                <w:color w:val="000000"/>
                <w:sz w:val="16"/>
                <w:szCs w:val="16"/>
              </w:rPr>
            </w:pPr>
            <w:r w:rsidRPr="00426DD1">
              <w:rPr>
                <w:rFonts w:cs="Arial"/>
                <w:color w:val="000000"/>
                <w:sz w:val="16"/>
                <w:szCs w:val="16"/>
              </w:rPr>
              <w:t>-18%</w:t>
            </w:r>
          </w:p>
        </w:tc>
        <w:tc>
          <w:tcPr>
            <w:tcW w:w="1260" w:type="dxa"/>
            <w:shd w:val="clear" w:color="auto" w:fill="auto"/>
            <w:vAlign w:val="center"/>
            <w:hideMark/>
          </w:tcPr>
          <w:p w14:paraId="06F5D847" w14:textId="77777777" w:rsidR="005B46C1" w:rsidRPr="00426DD1" w:rsidRDefault="005B46C1" w:rsidP="007E04FF">
            <w:pPr>
              <w:spacing w:after="0" w:line="276" w:lineRule="auto"/>
              <w:jc w:val="right"/>
              <w:rPr>
                <w:rFonts w:cs="Arial"/>
                <w:color w:val="000000"/>
                <w:sz w:val="16"/>
                <w:szCs w:val="16"/>
              </w:rPr>
            </w:pPr>
            <w:r w:rsidRPr="00426DD1">
              <w:rPr>
                <w:rFonts w:cs="Arial"/>
                <w:color w:val="000000"/>
                <w:sz w:val="16"/>
                <w:szCs w:val="16"/>
              </w:rPr>
              <w:t>22%</w:t>
            </w:r>
          </w:p>
        </w:tc>
      </w:tr>
      <w:tr w:rsidR="005B46C1" w:rsidRPr="005B46C1" w14:paraId="499989D0" w14:textId="77777777" w:rsidTr="00426DD1">
        <w:trPr>
          <w:cantSplit/>
          <w:jc w:val="center"/>
        </w:trPr>
        <w:tc>
          <w:tcPr>
            <w:tcW w:w="458" w:type="dxa"/>
            <w:shd w:val="clear" w:color="auto" w:fill="auto"/>
            <w:noWrap/>
            <w:vAlign w:val="center"/>
            <w:hideMark/>
          </w:tcPr>
          <w:p w14:paraId="07930BE8"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16</w:t>
            </w:r>
          </w:p>
        </w:tc>
        <w:tc>
          <w:tcPr>
            <w:tcW w:w="890" w:type="dxa"/>
            <w:shd w:val="clear" w:color="auto" w:fill="auto"/>
            <w:noWrap/>
            <w:vAlign w:val="center"/>
            <w:hideMark/>
          </w:tcPr>
          <w:p w14:paraId="2F3C86B8"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54</w:t>
            </w:r>
          </w:p>
        </w:tc>
        <w:tc>
          <w:tcPr>
            <w:tcW w:w="1603" w:type="dxa"/>
            <w:shd w:val="clear" w:color="auto" w:fill="auto"/>
            <w:vAlign w:val="center"/>
            <w:hideMark/>
          </w:tcPr>
          <w:p w14:paraId="4009069A" w14:textId="3835BE55"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Δάνεια</w:t>
            </w:r>
            <w:r w:rsidRPr="007E04FF">
              <w:rPr>
                <w:rFonts w:cs="Arial"/>
                <w:color w:val="000000"/>
                <w:sz w:val="16"/>
                <w:szCs w:val="16"/>
                <w:vertAlign w:val="superscript"/>
              </w:rPr>
              <w:t>4</w:t>
            </w:r>
          </w:p>
        </w:tc>
        <w:tc>
          <w:tcPr>
            <w:tcW w:w="1659" w:type="dxa"/>
            <w:shd w:val="clear" w:color="auto" w:fill="auto"/>
            <w:vAlign w:val="center"/>
            <w:hideMark/>
          </w:tcPr>
          <w:p w14:paraId="354F1FE8"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1.426.546</w:t>
            </w:r>
          </w:p>
        </w:tc>
        <w:tc>
          <w:tcPr>
            <w:tcW w:w="1037" w:type="dxa"/>
            <w:shd w:val="clear" w:color="auto" w:fill="auto"/>
            <w:vAlign w:val="center"/>
            <w:hideMark/>
          </w:tcPr>
          <w:p w14:paraId="3787D894"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1.534.800</w:t>
            </w:r>
          </w:p>
        </w:tc>
        <w:tc>
          <w:tcPr>
            <w:tcW w:w="1112" w:type="dxa"/>
            <w:shd w:val="clear" w:color="auto" w:fill="auto"/>
            <w:vAlign w:val="center"/>
            <w:hideMark/>
          </w:tcPr>
          <w:p w14:paraId="718C82AD" w14:textId="77777777" w:rsidR="005B46C1" w:rsidRPr="00426DD1" w:rsidRDefault="005B46C1" w:rsidP="007E04FF">
            <w:pPr>
              <w:spacing w:after="0" w:line="276" w:lineRule="auto"/>
              <w:jc w:val="right"/>
              <w:rPr>
                <w:rFonts w:cs="Arial"/>
                <w:color w:val="000000"/>
                <w:sz w:val="16"/>
                <w:szCs w:val="16"/>
              </w:rPr>
            </w:pPr>
            <w:r w:rsidRPr="00426DD1">
              <w:rPr>
                <w:rFonts w:cs="Arial"/>
                <w:color w:val="000000"/>
                <w:sz w:val="16"/>
                <w:szCs w:val="16"/>
              </w:rPr>
              <w:t>1.659.114</w:t>
            </w:r>
          </w:p>
        </w:tc>
        <w:tc>
          <w:tcPr>
            <w:tcW w:w="795" w:type="dxa"/>
            <w:shd w:val="clear" w:color="auto" w:fill="auto"/>
            <w:vAlign w:val="center"/>
            <w:hideMark/>
          </w:tcPr>
          <w:p w14:paraId="367E09AE" w14:textId="77777777" w:rsidR="005B46C1" w:rsidRPr="00426DD1" w:rsidRDefault="005B46C1" w:rsidP="007E04FF">
            <w:pPr>
              <w:spacing w:after="0" w:line="276" w:lineRule="auto"/>
              <w:jc w:val="right"/>
              <w:rPr>
                <w:rFonts w:cs="Arial"/>
                <w:color w:val="000000"/>
                <w:sz w:val="16"/>
                <w:szCs w:val="16"/>
              </w:rPr>
            </w:pPr>
            <w:r w:rsidRPr="00426DD1">
              <w:rPr>
                <w:rFonts w:cs="Arial"/>
                <w:color w:val="000000"/>
                <w:sz w:val="16"/>
                <w:szCs w:val="16"/>
              </w:rPr>
              <w:t>8%</w:t>
            </w:r>
          </w:p>
        </w:tc>
        <w:tc>
          <w:tcPr>
            <w:tcW w:w="1260" w:type="dxa"/>
            <w:shd w:val="clear" w:color="auto" w:fill="auto"/>
            <w:vAlign w:val="center"/>
            <w:hideMark/>
          </w:tcPr>
          <w:p w14:paraId="1C46222B" w14:textId="77777777" w:rsidR="005B46C1" w:rsidRPr="00426DD1" w:rsidRDefault="005B46C1" w:rsidP="007E04FF">
            <w:pPr>
              <w:spacing w:after="0" w:line="276" w:lineRule="auto"/>
              <w:jc w:val="right"/>
              <w:rPr>
                <w:rFonts w:cs="Arial"/>
                <w:color w:val="000000"/>
                <w:sz w:val="16"/>
                <w:szCs w:val="16"/>
              </w:rPr>
            </w:pPr>
            <w:r w:rsidRPr="00426DD1">
              <w:rPr>
                <w:rFonts w:cs="Arial"/>
                <w:color w:val="000000"/>
                <w:sz w:val="16"/>
                <w:szCs w:val="16"/>
              </w:rPr>
              <w:t>8%</w:t>
            </w:r>
          </w:p>
        </w:tc>
      </w:tr>
      <w:tr w:rsidR="005B46C1" w:rsidRPr="005B46C1" w14:paraId="33B072CF" w14:textId="77777777" w:rsidTr="000A6C9B">
        <w:trPr>
          <w:cantSplit/>
          <w:jc w:val="center"/>
        </w:trPr>
        <w:tc>
          <w:tcPr>
            <w:tcW w:w="458" w:type="dxa"/>
            <w:shd w:val="clear" w:color="auto" w:fill="auto"/>
            <w:noWrap/>
            <w:vAlign w:val="center"/>
            <w:hideMark/>
          </w:tcPr>
          <w:p w14:paraId="2248C143"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17</w:t>
            </w:r>
          </w:p>
        </w:tc>
        <w:tc>
          <w:tcPr>
            <w:tcW w:w="890" w:type="dxa"/>
            <w:shd w:val="clear" w:color="auto" w:fill="auto"/>
            <w:noWrap/>
            <w:vAlign w:val="center"/>
            <w:hideMark/>
          </w:tcPr>
          <w:p w14:paraId="5C2AF2DE" w14:textId="77777777" w:rsidR="005B46C1" w:rsidRPr="005B46C1" w:rsidRDefault="005B46C1" w:rsidP="007E04FF">
            <w:pPr>
              <w:spacing w:after="0" w:line="276" w:lineRule="auto"/>
              <w:jc w:val="center"/>
              <w:rPr>
                <w:rFonts w:cs="Arial"/>
                <w:color w:val="000000"/>
                <w:sz w:val="16"/>
                <w:szCs w:val="16"/>
              </w:rPr>
            </w:pPr>
            <w:r w:rsidRPr="005B46C1">
              <w:rPr>
                <w:rFonts w:cs="Arial"/>
                <w:color w:val="000000"/>
                <w:sz w:val="16"/>
                <w:szCs w:val="16"/>
              </w:rPr>
              <w:t>57</w:t>
            </w:r>
          </w:p>
        </w:tc>
        <w:tc>
          <w:tcPr>
            <w:tcW w:w="1603" w:type="dxa"/>
            <w:shd w:val="clear" w:color="auto" w:fill="auto"/>
            <w:vAlign w:val="center"/>
            <w:hideMark/>
          </w:tcPr>
          <w:p w14:paraId="76B40C15" w14:textId="77777777" w:rsidR="005B46C1" w:rsidRPr="005B46C1" w:rsidRDefault="005B46C1" w:rsidP="007E04FF">
            <w:pPr>
              <w:spacing w:after="0" w:line="276" w:lineRule="auto"/>
              <w:jc w:val="left"/>
              <w:rPr>
                <w:rFonts w:cs="Arial"/>
                <w:color w:val="000000"/>
                <w:sz w:val="16"/>
                <w:szCs w:val="16"/>
              </w:rPr>
            </w:pPr>
            <w:r w:rsidRPr="005B46C1">
              <w:rPr>
                <w:rFonts w:cs="Arial"/>
                <w:color w:val="000000"/>
                <w:sz w:val="16"/>
                <w:szCs w:val="16"/>
              </w:rPr>
              <w:t>Χρηματοοικονομικά παράγωγα</w:t>
            </w:r>
          </w:p>
        </w:tc>
        <w:tc>
          <w:tcPr>
            <w:tcW w:w="1659" w:type="dxa"/>
            <w:shd w:val="clear" w:color="auto" w:fill="auto"/>
            <w:vAlign w:val="center"/>
            <w:hideMark/>
          </w:tcPr>
          <w:p w14:paraId="74406EDF"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1.424</w:t>
            </w:r>
          </w:p>
        </w:tc>
        <w:tc>
          <w:tcPr>
            <w:tcW w:w="1037" w:type="dxa"/>
            <w:shd w:val="clear" w:color="auto" w:fill="auto"/>
            <w:vAlign w:val="center"/>
            <w:hideMark/>
          </w:tcPr>
          <w:p w14:paraId="66EA5AEB"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638</w:t>
            </w:r>
          </w:p>
        </w:tc>
        <w:tc>
          <w:tcPr>
            <w:tcW w:w="1112" w:type="dxa"/>
            <w:shd w:val="clear" w:color="auto" w:fill="auto"/>
            <w:vAlign w:val="center"/>
            <w:hideMark/>
          </w:tcPr>
          <w:p w14:paraId="47AED797"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342</w:t>
            </w:r>
          </w:p>
        </w:tc>
        <w:tc>
          <w:tcPr>
            <w:tcW w:w="795" w:type="dxa"/>
            <w:shd w:val="clear" w:color="auto" w:fill="auto"/>
            <w:vAlign w:val="center"/>
            <w:hideMark/>
          </w:tcPr>
          <w:p w14:paraId="19919D1D"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-55%</w:t>
            </w:r>
          </w:p>
        </w:tc>
        <w:tc>
          <w:tcPr>
            <w:tcW w:w="1260" w:type="dxa"/>
            <w:shd w:val="clear" w:color="auto" w:fill="auto"/>
            <w:vAlign w:val="center"/>
            <w:hideMark/>
          </w:tcPr>
          <w:p w14:paraId="02453289" w14:textId="77777777" w:rsidR="005B46C1" w:rsidRPr="007E04FF" w:rsidRDefault="005B46C1" w:rsidP="007E04FF">
            <w:pPr>
              <w:spacing w:after="0" w:line="276" w:lineRule="auto"/>
              <w:jc w:val="right"/>
              <w:rPr>
                <w:rFonts w:cs="Arial"/>
                <w:color w:val="000000"/>
                <w:sz w:val="16"/>
                <w:szCs w:val="16"/>
              </w:rPr>
            </w:pPr>
            <w:r w:rsidRPr="007E04FF">
              <w:rPr>
                <w:rFonts w:cs="Arial"/>
                <w:color w:val="000000"/>
                <w:sz w:val="16"/>
                <w:szCs w:val="16"/>
              </w:rPr>
              <w:t>-46%</w:t>
            </w:r>
          </w:p>
        </w:tc>
      </w:tr>
      <w:tr w:rsidR="005B46C1" w:rsidRPr="005B46C1" w14:paraId="6CDF81DE" w14:textId="77777777" w:rsidTr="00426DD1">
        <w:trPr>
          <w:cantSplit/>
          <w:jc w:val="center"/>
        </w:trPr>
        <w:tc>
          <w:tcPr>
            <w:tcW w:w="458" w:type="dxa"/>
            <w:shd w:val="clear" w:color="000000" w:fill="D5DCE4"/>
            <w:vAlign w:val="center"/>
            <w:hideMark/>
          </w:tcPr>
          <w:p w14:paraId="13313C28"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Β</w:t>
            </w:r>
          </w:p>
        </w:tc>
        <w:tc>
          <w:tcPr>
            <w:tcW w:w="2493" w:type="dxa"/>
            <w:gridSpan w:val="2"/>
            <w:shd w:val="clear" w:color="000000" w:fill="D5DCE4"/>
            <w:vAlign w:val="center"/>
            <w:hideMark/>
          </w:tcPr>
          <w:p w14:paraId="62DD838D" w14:textId="77777777" w:rsidR="005B46C1" w:rsidRPr="005B46C1" w:rsidRDefault="005B46C1" w:rsidP="007E04FF">
            <w:pPr>
              <w:spacing w:after="0" w:line="276" w:lineRule="auto"/>
              <w:jc w:val="left"/>
              <w:rPr>
                <w:rFonts w:cs="Arial"/>
                <w:b/>
                <w:bCs/>
                <w:color w:val="000000"/>
                <w:sz w:val="16"/>
                <w:szCs w:val="16"/>
              </w:rPr>
            </w:pPr>
            <w:r w:rsidRPr="005B46C1">
              <w:rPr>
                <w:rFonts w:cs="Arial"/>
                <w:b/>
                <w:bCs/>
                <w:color w:val="000000"/>
                <w:sz w:val="16"/>
                <w:szCs w:val="16"/>
              </w:rPr>
              <w:t>Δαπάνες χρηματοοικονομικών συναλλαγών</w:t>
            </w:r>
            <w:r w:rsidRPr="005B46C1">
              <w:rPr>
                <w:rFonts w:cs="Arial"/>
                <w:b/>
                <w:bCs/>
                <w:color w:val="000000"/>
                <w:sz w:val="16"/>
                <w:szCs w:val="16"/>
              </w:rPr>
              <w:br/>
              <w:t>(11+12+13+14+15+16+17)</w:t>
            </w:r>
          </w:p>
        </w:tc>
        <w:tc>
          <w:tcPr>
            <w:tcW w:w="1659" w:type="dxa"/>
            <w:shd w:val="clear" w:color="000000" w:fill="D5DCE4"/>
            <w:vAlign w:val="center"/>
            <w:hideMark/>
          </w:tcPr>
          <w:p w14:paraId="670C9AD4"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1.455.098</w:t>
            </w:r>
          </w:p>
        </w:tc>
        <w:tc>
          <w:tcPr>
            <w:tcW w:w="1037" w:type="dxa"/>
            <w:shd w:val="clear" w:color="000000" w:fill="D5DCE4"/>
            <w:vAlign w:val="center"/>
            <w:hideMark/>
          </w:tcPr>
          <w:p w14:paraId="699C925A"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1.562.499</w:t>
            </w:r>
          </w:p>
        </w:tc>
        <w:tc>
          <w:tcPr>
            <w:tcW w:w="1112" w:type="dxa"/>
            <w:shd w:val="clear" w:color="auto" w:fill="D5DCE4"/>
            <w:vAlign w:val="center"/>
            <w:hideMark/>
          </w:tcPr>
          <w:p w14:paraId="36A770A5"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1.698.032</w:t>
            </w:r>
          </w:p>
        </w:tc>
        <w:tc>
          <w:tcPr>
            <w:tcW w:w="795" w:type="dxa"/>
            <w:shd w:val="clear" w:color="000000" w:fill="D5DCE4"/>
            <w:vAlign w:val="center"/>
            <w:hideMark/>
          </w:tcPr>
          <w:p w14:paraId="50993DA3"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7%</w:t>
            </w:r>
          </w:p>
        </w:tc>
        <w:tc>
          <w:tcPr>
            <w:tcW w:w="1260" w:type="dxa"/>
            <w:shd w:val="clear" w:color="auto" w:fill="D5DCE4"/>
            <w:vAlign w:val="center"/>
            <w:hideMark/>
          </w:tcPr>
          <w:p w14:paraId="21DE6BEF"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9%</w:t>
            </w:r>
          </w:p>
        </w:tc>
      </w:tr>
      <w:tr w:rsidR="005B46C1" w:rsidRPr="005B46C1" w14:paraId="054DEDD4" w14:textId="77777777" w:rsidTr="000A6C9B">
        <w:trPr>
          <w:cantSplit/>
          <w:jc w:val="center"/>
        </w:trPr>
        <w:tc>
          <w:tcPr>
            <w:tcW w:w="458" w:type="dxa"/>
            <w:shd w:val="clear" w:color="auto" w:fill="auto"/>
            <w:vAlign w:val="center"/>
            <w:hideMark/>
          </w:tcPr>
          <w:p w14:paraId="55861DE1" w14:textId="556AB4D1" w:rsidR="005B46C1" w:rsidRPr="005B46C1" w:rsidRDefault="005B46C1" w:rsidP="007E04FF">
            <w:pPr>
              <w:spacing w:after="0" w:line="276" w:lineRule="auto"/>
              <w:jc w:val="center"/>
              <w:rPr>
                <w:rFonts w:ascii="Calibri" w:hAnsi="Calibri" w:cs="Calibri"/>
                <w:color w:val="000000"/>
                <w:sz w:val="22"/>
                <w:szCs w:val="22"/>
              </w:rPr>
            </w:pPr>
          </w:p>
        </w:tc>
        <w:tc>
          <w:tcPr>
            <w:tcW w:w="2493" w:type="dxa"/>
            <w:gridSpan w:val="2"/>
            <w:shd w:val="clear" w:color="auto" w:fill="auto"/>
            <w:vAlign w:val="bottom"/>
            <w:hideMark/>
          </w:tcPr>
          <w:p w14:paraId="153520E0" w14:textId="77777777" w:rsidR="005B46C1" w:rsidRPr="005B46C1" w:rsidRDefault="005B46C1" w:rsidP="007E04FF">
            <w:pPr>
              <w:spacing w:after="0" w:line="276" w:lineRule="auto"/>
              <w:jc w:val="left"/>
              <w:rPr>
                <w:rFonts w:ascii="Calibri" w:hAnsi="Calibri" w:cs="Calibri"/>
                <w:color w:val="000000"/>
                <w:sz w:val="22"/>
                <w:szCs w:val="22"/>
              </w:rPr>
            </w:pPr>
          </w:p>
        </w:tc>
        <w:tc>
          <w:tcPr>
            <w:tcW w:w="1659" w:type="dxa"/>
            <w:shd w:val="clear" w:color="auto" w:fill="auto"/>
            <w:vAlign w:val="center"/>
            <w:hideMark/>
          </w:tcPr>
          <w:p w14:paraId="323AE693" w14:textId="77777777" w:rsidR="005B46C1" w:rsidRPr="007E04FF" w:rsidRDefault="005B46C1" w:rsidP="007E04FF">
            <w:pPr>
              <w:spacing w:after="0" w:line="276" w:lineRule="auto"/>
              <w:jc w:val="right"/>
              <w:rPr>
                <w:rFonts w:cs="Arial"/>
                <w:sz w:val="16"/>
                <w:szCs w:val="16"/>
              </w:rPr>
            </w:pPr>
          </w:p>
        </w:tc>
        <w:tc>
          <w:tcPr>
            <w:tcW w:w="1037" w:type="dxa"/>
            <w:shd w:val="clear" w:color="auto" w:fill="auto"/>
            <w:vAlign w:val="center"/>
            <w:hideMark/>
          </w:tcPr>
          <w:p w14:paraId="18AC6DE5" w14:textId="77777777" w:rsidR="005B46C1" w:rsidRPr="007E04FF" w:rsidRDefault="005B46C1" w:rsidP="007E04FF">
            <w:pPr>
              <w:spacing w:after="0" w:line="276" w:lineRule="auto"/>
              <w:jc w:val="right"/>
              <w:rPr>
                <w:rFonts w:cs="Arial"/>
                <w:sz w:val="16"/>
                <w:szCs w:val="16"/>
              </w:rPr>
            </w:pPr>
          </w:p>
        </w:tc>
        <w:tc>
          <w:tcPr>
            <w:tcW w:w="1112" w:type="dxa"/>
            <w:shd w:val="clear" w:color="auto" w:fill="auto"/>
            <w:vAlign w:val="center"/>
            <w:hideMark/>
          </w:tcPr>
          <w:p w14:paraId="2A00B186" w14:textId="77777777" w:rsidR="005B46C1" w:rsidRPr="007E04FF" w:rsidRDefault="005B46C1" w:rsidP="007E04FF">
            <w:pPr>
              <w:spacing w:after="0" w:line="276" w:lineRule="auto"/>
              <w:jc w:val="right"/>
              <w:rPr>
                <w:rFonts w:cs="Arial"/>
                <w:sz w:val="16"/>
                <w:szCs w:val="16"/>
              </w:rPr>
            </w:pPr>
          </w:p>
        </w:tc>
        <w:tc>
          <w:tcPr>
            <w:tcW w:w="795" w:type="dxa"/>
            <w:shd w:val="clear" w:color="auto" w:fill="auto"/>
            <w:vAlign w:val="center"/>
            <w:hideMark/>
          </w:tcPr>
          <w:p w14:paraId="77A73885" w14:textId="77777777" w:rsidR="005B46C1" w:rsidRPr="007E04FF" w:rsidRDefault="005B46C1" w:rsidP="007E04FF">
            <w:pPr>
              <w:spacing w:after="0" w:line="276" w:lineRule="auto"/>
              <w:jc w:val="right"/>
              <w:rPr>
                <w:rFonts w:cs="Arial"/>
                <w:sz w:val="16"/>
                <w:szCs w:val="16"/>
              </w:rPr>
            </w:pPr>
          </w:p>
        </w:tc>
        <w:tc>
          <w:tcPr>
            <w:tcW w:w="1260" w:type="dxa"/>
            <w:shd w:val="clear" w:color="auto" w:fill="auto"/>
            <w:vAlign w:val="center"/>
            <w:hideMark/>
          </w:tcPr>
          <w:p w14:paraId="65303429" w14:textId="67055A1C" w:rsidR="005B46C1" w:rsidRPr="007E04FF" w:rsidRDefault="005B46C1" w:rsidP="007E04FF">
            <w:pPr>
              <w:spacing w:after="0" w:line="276" w:lineRule="auto"/>
              <w:jc w:val="right"/>
              <w:rPr>
                <w:rFonts w:cs="Arial"/>
                <w:color w:val="000000"/>
                <w:sz w:val="16"/>
                <w:szCs w:val="16"/>
              </w:rPr>
            </w:pPr>
          </w:p>
        </w:tc>
      </w:tr>
      <w:tr w:rsidR="005B46C1" w:rsidRPr="005B46C1" w14:paraId="04F2AA86" w14:textId="77777777" w:rsidTr="00426DD1">
        <w:trPr>
          <w:cantSplit/>
          <w:jc w:val="center"/>
        </w:trPr>
        <w:tc>
          <w:tcPr>
            <w:tcW w:w="458" w:type="dxa"/>
            <w:tcBorders>
              <w:bottom w:val="single" w:sz="2" w:space="0" w:color="A6A6A6" w:themeColor="background1" w:themeShade="A6"/>
            </w:tcBorders>
            <w:shd w:val="clear" w:color="000000" w:fill="D5DCE4"/>
            <w:vAlign w:val="center"/>
            <w:hideMark/>
          </w:tcPr>
          <w:p w14:paraId="19A984D5" w14:textId="77777777" w:rsidR="005B46C1" w:rsidRPr="005B46C1" w:rsidRDefault="005B46C1" w:rsidP="007E04FF">
            <w:pPr>
              <w:spacing w:after="0" w:line="276" w:lineRule="auto"/>
              <w:jc w:val="center"/>
              <w:rPr>
                <w:rFonts w:cs="Arial"/>
                <w:b/>
                <w:bCs/>
                <w:color w:val="000000"/>
                <w:sz w:val="16"/>
                <w:szCs w:val="16"/>
              </w:rPr>
            </w:pPr>
            <w:r w:rsidRPr="005B46C1">
              <w:rPr>
                <w:rFonts w:cs="Arial"/>
                <w:b/>
                <w:bCs/>
                <w:color w:val="000000"/>
                <w:sz w:val="16"/>
                <w:szCs w:val="16"/>
              </w:rPr>
              <w:t>Γ</w:t>
            </w:r>
          </w:p>
        </w:tc>
        <w:tc>
          <w:tcPr>
            <w:tcW w:w="2493" w:type="dxa"/>
            <w:gridSpan w:val="2"/>
            <w:tcBorders>
              <w:bottom w:val="single" w:sz="2" w:space="0" w:color="A6A6A6" w:themeColor="background1" w:themeShade="A6"/>
            </w:tcBorders>
            <w:shd w:val="clear" w:color="000000" w:fill="D5DCE4"/>
            <w:vAlign w:val="center"/>
            <w:hideMark/>
          </w:tcPr>
          <w:p w14:paraId="1759964E" w14:textId="77777777" w:rsidR="005B46C1" w:rsidRPr="005B46C1" w:rsidRDefault="005B46C1" w:rsidP="007E04FF">
            <w:pPr>
              <w:spacing w:after="0" w:line="276" w:lineRule="auto"/>
              <w:jc w:val="left"/>
              <w:rPr>
                <w:rFonts w:cs="Arial"/>
                <w:b/>
                <w:bCs/>
                <w:color w:val="000000"/>
                <w:sz w:val="16"/>
                <w:szCs w:val="16"/>
              </w:rPr>
            </w:pPr>
            <w:r w:rsidRPr="005B46C1">
              <w:rPr>
                <w:rFonts w:cs="Arial"/>
                <w:b/>
                <w:bCs/>
                <w:color w:val="000000"/>
                <w:sz w:val="16"/>
                <w:szCs w:val="16"/>
              </w:rPr>
              <w:t>Γενικό σύνολο δαπανών (Α+Β)</w:t>
            </w:r>
          </w:p>
        </w:tc>
        <w:tc>
          <w:tcPr>
            <w:tcW w:w="1659" w:type="dxa"/>
            <w:tcBorders>
              <w:bottom w:val="single" w:sz="2" w:space="0" w:color="A6A6A6" w:themeColor="background1" w:themeShade="A6"/>
            </w:tcBorders>
            <w:shd w:val="clear" w:color="000000" w:fill="D5DCE4"/>
            <w:vAlign w:val="center"/>
            <w:hideMark/>
          </w:tcPr>
          <w:p w14:paraId="62E7E748"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1.528.850</w:t>
            </w:r>
          </w:p>
        </w:tc>
        <w:tc>
          <w:tcPr>
            <w:tcW w:w="1037" w:type="dxa"/>
            <w:tcBorders>
              <w:bottom w:val="single" w:sz="2" w:space="0" w:color="A6A6A6" w:themeColor="background1" w:themeShade="A6"/>
            </w:tcBorders>
            <w:shd w:val="clear" w:color="000000" w:fill="D5DCE4"/>
            <w:vAlign w:val="center"/>
            <w:hideMark/>
          </w:tcPr>
          <w:p w14:paraId="75A090CA"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1.642.946</w:t>
            </w:r>
          </w:p>
        </w:tc>
        <w:tc>
          <w:tcPr>
            <w:tcW w:w="1112" w:type="dxa"/>
            <w:tcBorders>
              <w:bottom w:val="single" w:sz="2" w:space="0" w:color="A6A6A6" w:themeColor="background1" w:themeShade="A6"/>
            </w:tcBorders>
            <w:shd w:val="clear" w:color="auto" w:fill="D5DCE4"/>
            <w:vAlign w:val="center"/>
            <w:hideMark/>
          </w:tcPr>
          <w:p w14:paraId="2BDF9B35"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1.784.077</w:t>
            </w:r>
          </w:p>
        </w:tc>
        <w:tc>
          <w:tcPr>
            <w:tcW w:w="795" w:type="dxa"/>
            <w:tcBorders>
              <w:bottom w:val="single" w:sz="2" w:space="0" w:color="A6A6A6" w:themeColor="background1" w:themeShade="A6"/>
            </w:tcBorders>
            <w:shd w:val="clear" w:color="000000" w:fill="D5DCE4"/>
            <w:vAlign w:val="center"/>
            <w:hideMark/>
          </w:tcPr>
          <w:p w14:paraId="3C52039D"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7%</w:t>
            </w:r>
          </w:p>
        </w:tc>
        <w:tc>
          <w:tcPr>
            <w:tcW w:w="1260" w:type="dxa"/>
            <w:tcBorders>
              <w:bottom w:val="single" w:sz="2" w:space="0" w:color="A6A6A6" w:themeColor="background1" w:themeShade="A6"/>
            </w:tcBorders>
            <w:shd w:val="clear" w:color="auto" w:fill="D5DCE4"/>
            <w:vAlign w:val="center"/>
            <w:hideMark/>
          </w:tcPr>
          <w:p w14:paraId="31618331" w14:textId="77777777" w:rsidR="005B46C1" w:rsidRPr="007E04FF" w:rsidRDefault="005B46C1" w:rsidP="007E04FF">
            <w:pPr>
              <w:spacing w:after="0" w:line="276" w:lineRule="auto"/>
              <w:jc w:val="right"/>
              <w:rPr>
                <w:rFonts w:cs="Arial"/>
                <w:b/>
                <w:bCs/>
                <w:color w:val="000000"/>
                <w:sz w:val="16"/>
                <w:szCs w:val="16"/>
              </w:rPr>
            </w:pPr>
            <w:r w:rsidRPr="007E04FF">
              <w:rPr>
                <w:rFonts w:cs="Arial"/>
                <w:b/>
                <w:bCs/>
                <w:color w:val="000000"/>
                <w:sz w:val="16"/>
                <w:szCs w:val="16"/>
              </w:rPr>
              <w:t>9%</w:t>
            </w:r>
          </w:p>
        </w:tc>
      </w:tr>
      <w:tr w:rsidR="000A6C9B" w:rsidRPr="005B46C1" w14:paraId="5BDA6283" w14:textId="77777777" w:rsidTr="000A6C9B">
        <w:trPr>
          <w:cantSplit/>
          <w:jc w:val="center"/>
        </w:trPr>
        <w:tc>
          <w:tcPr>
            <w:tcW w:w="8814" w:type="dxa"/>
            <w:gridSpan w:val="8"/>
            <w:tcBorders>
              <w:top w:val="single" w:sz="2" w:space="0" w:color="A6A6A6" w:themeColor="background1" w:themeShade="A6"/>
              <w:left w:val="nil"/>
              <w:bottom w:val="nil"/>
              <w:right w:val="nil"/>
            </w:tcBorders>
            <w:shd w:val="clear" w:color="auto" w:fill="auto"/>
            <w:noWrap/>
            <w:hideMark/>
          </w:tcPr>
          <w:p w14:paraId="01DA12C3" w14:textId="36A49286" w:rsidR="000A6C9B" w:rsidRDefault="000A6C9B" w:rsidP="000A6C9B">
            <w:pPr>
              <w:tabs>
                <w:tab w:val="left" w:pos="113"/>
              </w:tabs>
              <w:spacing w:before="60" w:after="0" w:line="276" w:lineRule="auto"/>
              <w:ind w:left="113" w:hanging="113"/>
              <w:rPr>
                <w:rFonts w:ascii="Arial Narrow" w:hAnsi="Arial Narrow" w:cs="Calibri"/>
                <w:color w:val="000000"/>
                <w:sz w:val="16"/>
                <w:szCs w:val="16"/>
              </w:rPr>
            </w:pPr>
            <w:r w:rsidRPr="000A6C9B">
              <w:rPr>
                <w:rFonts w:ascii="Arial Narrow" w:hAnsi="Arial Narrow" w:cs="Calibri"/>
                <w:color w:val="000000"/>
                <w:sz w:val="16"/>
                <w:szCs w:val="16"/>
                <w:vertAlign w:val="superscript"/>
              </w:rPr>
              <w:t>1</w:t>
            </w:r>
            <w:r>
              <w:rPr>
                <w:rFonts w:ascii="Arial Narrow" w:hAnsi="Arial Narrow" w:cs="Calibri"/>
                <w:color w:val="000000"/>
                <w:sz w:val="16"/>
                <w:szCs w:val="16"/>
                <w:vertAlign w:val="superscript"/>
              </w:rPr>
              <w:tab/>
            </w:r>
            <w:r w:rsidRPr="000A6C9B">
              <w:rPr>
                <w:rFonts w:ascii="Arial Narrow" w:hAnsi="Arial Narrow" w:cs="Calibri"/>
                <w:color w:val="000000"/>
                <w:sz w:val="16"/>
                <w:szCs w:val="16"/>
              </w:rPr>
              <w:t>Τόκοι</w:t>
            </w:r>
            <w:r w:rsidRPr="005B46C1">
              <w:rPr>
                <w:rFonts w:ascii="Arial Narrow" w:hAnsi="Arial Narrow" w:cs="Calibri"/>
                <w:color w:val="000000"/>
                <w:sz w:val="16"/>
                <w:szCs w:val="16"/>
              </w:rPr>
              <w:t xml:space="preserve"> σε ακαθάριστη βάση.</w:t>
            </w:r>
          </w:p>
          <w:p w14:paraId="4B064CA7" w14:textId="723FDC46" w:rsidR="000A6C9B" w:rsidRDefault="000A6C9B" w:rsidP="000A6C9B">
            <w:pPr>
              <w:tabs>
                <w:tab w:val="left" w:pos="113"/>
              </w:tabs>
              <w:spacing w:before="60" w:after="0" w:line="276" w:lineRule="auto"/>
              <w:ind w:left="113" w:hanging="113"/>
              <w:rPr>
                <w:rFonts w:ascii="Arial Narrow" w:hAnsi="Arial Narrow" w:cs="Calibri"/>
                <w:color w:val="000000"/>
                <w:sz w:val="16"/>
                <w:szCs w:val="16"/>
              </w:rPr>
            </w:pPr>
            <w:r w:rsidRPr="000A6C9B">
              <w:rPr>
                <w:rFonts w:ascii="Calibri" w:hAnsi="Calibri" w:cs="Calibri"/>
                <w:color w:val="000000"/>
                <w:sz w:val="16"/>
                <w:szCs w:val="16"/>
                <w:vertAlign w:val="superscript"/>
              </w:rPr>
              <w:t>2</w:t>
            </w:r>
            <w:r>
              <w:rPr>
                <w:rFonts w:ascii="Calibri" w:hAnsi="Calibri" w:cs="Calibri"/>
                <w:color w:val="000000"/>
                <w:sz w:val="16"/>
                <w:szCs w:val="16"/>
                <w:vertAlign w:val="superscript"/>
              </w:rPr>
              <w:tab/>
            </w:r>
            <w:r w:rsidRPr="005B46C1">
              <w:rPr>
                <w:rFonts w:ascii="Arial Narrow" w:hAnsi="Arial Narrow" w:cs="Calibri"/>
                <w:color w:val="000000"/>
                <w:sz w:val="16"/>
                <w:szCs w:val="16"/>
              </w:rPr>
              <w:t xml:space="preserve">Οι ταμειακές δαπάνες </w:t>
            </w:r>
            <w:r w:rsidRPr="009A6ADB">
              <w:rPr>
                <w:rFonts w:ascii="Arial Narrow" w:hAnsi="Arial Narrow" w:cs="Calibri"/>
                <w:color w:val="000000"/>
                <w:sz w:val="16"/>
                <w:szCs w:val="16"/>
              </w:rPr>
              <w:t xml:space="preserve">του </w:t>
            </w:r>
            <w:r w:rsidR="007E0F62" w:rsidRPr="009A6ADB">
              <w:rPr>
                <w:rFonts w:ascii="Arial Narrow" w:hAnsi="Arial Narrow" w:cs="Calibri"/>
                <w:color w:val="000000"/>
                <w:sz w:val="16"/>
                <w:szCs w:val="16"/>
              </w:rPr>
              <w:t xml:space="preserve">προϋπολογισμού δημοσίων επενδύσεων </w:t>
            </w:r>
            <w:r w:rsidRPr="009A6ADB">
              <w:rPr>
                <w:rFonts w:ascii="Arial Narrow" w:hAnsi="Arial Narrow" w:cs="Calibri"/>
                <w:color w:val="000000"/>
                <w:sz w:val="16"/>
                <w:szCs w:val="16"/>
              </w:rPr>
              <w:t>και του</w:t>
            </w:r>
            <w:r w:rsidRPr="005B46C1">
              <w:rPr>
                <w:rFonts w:ascii="Arial Narrow" w:hAnsi="Arial Narrow" w:cs="Calibri"/>
                <w:color w:val="000000"/>
                <w:sz w:val="16"/>
                <w:szCs w:val="16"/>
              </w:rPr>
              <w:t xml:space="preserve"> ΤΑΑ της Κεντρικής Διοίκησης για το απολογιστικό έτος 2024 </w:t>
            </w:r>
            <w:r w:rsidR="009E6DB3">
              <w:rPr>
                <w:rFonts w:ascii="Arial Narrow" w:hAnsi="Arial Narrow" w:cs="Calibri"/>
                <w:color w:val="000000"/>
                <w:sz w:val="16"/>
                <w:szCs w:val="16"/>
              </w:rPr>
              <w:t>παρουσιάζονται</w:t>
            </w:r>
            <w:r w:rsidRPr="005B46C1">
              <w:rPr>
                <w:rFonts w:ascii="Arial Narrow" w:hAnsi="Arial Narrow" w:cs="Calibri"/>
                <w:color w:val="000000"/>
                <w:sz w:val="16"/>
                <w:szCs w:val="16"/>
              </w:rPr>
              <w:t xml:space="preserve"> σύμφωνα με τα στοιχεία της Διεύθυνσης Λογιστικής Γενικής Κυβέρνησης του Γενικού Λογιστηρίου του Κράτους.</w:t>
            </w:r>
          </w:p>
          <w:p w14:paraId="51F02E3A" w14:textId="30B1CF9E" w:rsidR="000A6C9B" w:rsidRDefault="000A6C9B" w:rsidP="000A6C9B">
            <w:pPr>
              <w:tabs>
                <w:tab w:val="left" w:pos="113"/>
              </w:tabs>
              <w:spacing w:before="60" w:after="0" w:line="276" w:lineRule="auto"/>
              <w:ind w:left="113" w:hanging="113"/>
              <w:rPr>
                <w:rFonts w:ascii="Arial Narrow" w:hAnsi="Arial Narrow" w:cs="Calibri"/>
                <w:color w:val="000000"/>
                <w:sz w:val="16"/>
                <w:szCs w:val="16"/>
              </w:rPr>
            </w:pPr>
            <w:r w:rsidRPr="000A6C9B">
              <w:rPr>
                <w:rFonts w:ascii="Calibri" w:hAnsi="Calibri" w:cs="Calibri"/>
                <w:color w:val="000000"/>
                <w:sz w:val="16"/>
                <w:szCs w:val="16"/>
                <w:vertAlign w:val="superscript"/>
              </w:rPr>
              <w:t>3</w:t>
            </w:r>
            <w:r>
              <w:rPr>
                <w:rFonts w:ascii="Calibri" w:hAnsi="Calibri" w:cs="Calibri"/>
                <w:color w:val="000000"/>
                <w:sz w:val="16"/>
                <w:szCs w:val="16"/>
                <w:vertAlign w:val="superscript"/>
              </w:rPr>
              <w:tab/>
            </w:r>
            <w:r w:rsidRPr="005B46C1">
              <w:rPr>
                <w:rFonts w:ascii="Arial Narrow" w:hAnsi="Arial Narrow" w:cs="Calibri"/>
                <w:color w:val="000000"/>
                <w:sz w:val="16"/>
                <w:szCs w:val="16"/>
              </w:rPr>
              <w:t>Στην κατηγορία 44 «Δάνεια» περιλαμβάνονται τα ποσά των δανείων που χορηγεί το κράτος σε χρεώστες.</w:t>
            </w:r>
          </w:p>
          <w:p w14:paraId="30CDA25C" w14:textId="519218D9" w:rsidR="000A6C9B" w:rsidRPr="005B46C1" w:rsidRDefault="000A6C9B" w:rsidP="000A6C9B">
            <w:pPr>
              <w:tabs>
                <w:tab w:val="left" w:pos="113"/>
              </w:tabs>
              <w:spacing w:before="60" w:after="0" w:line="276" w:lineRule="auto"/>
              <w:ind w:left="113" w:hanging="113"/>
              <w:rPr>
                <w:rFonts w:ascii="Arial Narrow" w:hAnsi="Arial Narrow" w:cs="Calibri"/>
                <w:color w:val="000000"/>
                <w:sz w:val="16"/>
                <w:szCs w:val="16"/>
              </w:rPr>
            </w:pPr>
            <w:r w:rsidRPr="000A6C9B">
              <w:rPr>
                <w:rFonts w:ascii="Calibri" w:hAnsi="Calibri" w:cs="Calibri"/>
                <w:color w:val="000000"/>
                <w:sz w:val="16"/>
                <w:szCs w:val="16"/>
                <w:vertAlign w:val="superscript"/>
              </w:rPr>
              <w:t>4</w:t>
            </w:r>
            <w:r>
              <w:rPr>
                <w:rFonts w:ascii="Calibri" w:hAnsi="Calibri" w:cs="Calibri"/>
                <w:color w:val="000000"/>
                <w:sz w:val="16"/>
                <w:szCs w:val="16"/>
                <w:vertAlign w:val="superscript"/>
              </w:rPr>
              <w:tab/>
            </w:r>
            <w:r w:rsidRPr="005B46C1">
              <w:rPr>
                <w:rFonts w:ascii="Arial Narrow" w:hAnsi="Arial Narrow" w:cs="Calibri"/>
                <w:color w:val="000000"/>
                <w:sz w:val="16"/>
                <w:szCs w:val="16"/>
              </w:rPr>
              <w:t>Στην κατηγορία 54 «Δάνεια» περιλαμβάνονται τα ποσά για εξοφλήσεις δανείων που έχουν χορηγηθεί στο κράτος.</w:t>
            </w:r>
          </w:p>
        </w:tc>
      </w:tr>
    </w:tbl>
    <w:p w14:paraId="42025ABD" w14:textId="6D09F8E2" w:rsidR="00FD46BC" w:rsidRPr="00E71D18" w:rsidRDefault="00FD46BC" w:rsidP="00300BBF">
      <w:pPr>
        <w:pStyle w:val="4"/>
      </w:pPr>
      <w:bookmarkStart w:id="320" w:name="_Toc214473760"/>
      <w:r w:rsidRPr="00E71D18">
        <w:t>Χρηματοδοτικές ανάγκες κρατικού προϋπολογισμού 202</w:t>
      </w:r>
      <w:r w:rsidR="000B4FF4">
        <w:t>5</w:t>
      </w:r>
      <w:bookmarkEnd w:id="320"/>
    </w:p>
    <w:p w14:paraId="74617BAF" w14:textId="1EECF147" w:rsidR="0099008E" w:rsidRDefault="00356DD4" w:rsidP="00F27E11">
      <w:pPr>
        <w:spacing w:after="240"/>
      </w:pPr>
      <w:r w:rsidRPr="00154C13">
        <w:t>Παρακάτω (</w:t>
      </w:r>
      <w:r w:rsidR="0084096F" w:rsidRPr="00154C13">
        <w:fldChar w:fldCharType="begin"/>
      </w:r>
      <w:r w:rsidR="0084096F" w:rsidRPr="00154C13">
        <w:instrText xml:space="preserve"> REF _Ref119513361 \h  \* MERGEFORMAT </w:instrText>
      </w:r>
      <w:r w:rsidR="0084096F" w:rsidRPr="00154C13">
        <w:fldChar w:fldCharType="separate"/>
      </w:r>
      <w:r w:rsidR="00E15678" w:rsidRPr="00E15678">
        <w:t>Πίνακας 3.5</w:t>
      </w:r>
      <w:r w:rsidR="0084096F" w:rsidRPr="00154C13">
        <w:fldChar w:fldCharType="end"/>
      </w:r>
      <w:r w:rsidRPr="00154C13">
        <w:t xml:space="preserve">.) </w:t>
      </w:r>
      <w:r w:rsidR="00F27E11" w:rsidRPr="00154C13">
        <w:rPr>
          <w:szCs w:val="20"/>
        </w:rPr>
        <w:t>εμφανίζ</w:t>
      </w:r>
      <w:r w:rsidR="00F27E11" w:rsidRPr="00F27E11">
        <w:rPr>
          <w:szCs w:val="20"/>
        </w:rPr>
        <w:t>ονται οι ταμειακές χρηματοδοτικές ανάγκες του κρατικού προϋπολογισμού 202</w:t>
      </w:r>
      <w:r w:rsidR="003069C0">
        <w:rPr>
          <w:szCs w:val="20"/>
        </w:rPr>
        <w:t>6</w:t>
      </w:r>
      <w:r w:rsidR="00F27E11" w:rsidRPr="00F27E11">
        <w:rPr>
          <w:szCs w:val="20"/>
        </w:rPr>
        <w:t xml:space="preserve">, οι οποίες προβλέπεται να ανέλθουν στο ποσό των 30.168 εκατ. ευρώ, ενώ ο καθαρός δανεισμός του κρατικού προϋπολογισμού προβλέπεται να διαμορφωθεί στο ποσό των 13.019 </w:t>
      </w:r>
      <w:r w:rsidR="00F27E11" w:rsidRPr="00F27E11">
        <w:rPr>
          <w:szCs w:val="20"/>
        </w:rPr>
        <w:lastRenderedPageBreak/>
        <w:t>εκατ. ευρώ. Οι χρηματοδοτικές ανάγκες θα καλυφθούν μέσω μακροπρόθεσμου δανεισμού και ανάλωσης διαθεσίμων.</w:t>
      </w:r>
    </w:p>
    <w:tbl>
      <w:tblPr>
        <w:tblW w:w="881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7244"/>
        <w:gridCol w:w="1569"/>
      </w:tblGrid>
      <w:tr w:rsidR="00EE7EDD" w:rsidRPr="00256353" w14:paraId="588624D4" w14:textId="77777777" w:rsidTr="00256353">
        <w:trPr>
          <w:cantSplit/>
          <w:trHeight w:val="510"/>
          <w:jc w:val="center"/>
        </w:trPr>
        <w:tc>
          <w:tcPr>
            <w:tcW w:w="8813"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16936BB8" w14:textId="2E658626" w:rsidR="00B21B04" w:rsidRPr="00256353" w:rsidRDefault="000451A5" w:rsidP="00256353">
            <w:pPr>
              <w:spacing w:after="0" w:line="276" w:lineRule="auto"/>
              <w:jc w:val="center"/>
              <w:rPr>
                <w:rFonts w:cs="Arial"/>
                <w:b/>
                <w:bCs/>
                <w:sz w:val="18"/>
                <w:szCs w:val="16"/>
              </w:rPr>
            </w:pPr>
            <w:bookmarkStart w:id="321" w:name="_Ref119513361"/>
            <w:bookmarkStart w:id="322" w:name="_Toc214474043"/>
            <w:r w:rsidRPr="00256353">
              <w:rPr>
                <w:rFonts w:cs="Arial"/>
                <w:b/>
                <w:sz w:val="18"/>
                <w:szCs w:val="16"/>
              </w:rPr>
              <w:t>Πίνακας 3.</w:t>
            </w:r>
            <w:r w:rsidRPr="00256353">
              <w:rPr>
                <w:rFonts w:cs="Arial"/>
                <w:b/>
                <w:sz w:val="18"/>
                <w:szCs w:val="16"/>
              </w:rPr>
              <w:fldChar w:fldCharType="begin"/>
            </w:r>
            <w:r w:rsidRPr="00256353">
              <w:rPr>
                <w:rFonts w:cs="Arial"/>
                <w:b/>
                <w:sz w:val="18"/>
                <w:szCs w:val="16"/>
              </w:rPr>
              <w:instrText xml:space="preserve"> SEQ Πίνακας_3. \* ARABIC </w:instrText>
            </w:r>
            <w:r w:rsidRPr="00256353">
              <w:rPr>
                <w:rFonts w:cs="Arial"/>
                <w:b/>
                <w:sz w:val="18"/>
                <w:szCs w:val="16"/>
              </w:rPr>
              <w:fldChar w:fldCharType="separate"/>
            </w:r>
            <w:r w:rsidR="00E15678">
              <w:rPr>
                <w:rFonts w:cs="Arial"/>
                <w:b/>
                <w:noProof/>
                <w:sz w:val="18"/>
                <w:szCs w:val="16"/>
              </w:rPr>
              <w:t>5</w:t>
            </w:r>
            <w:r w:rsidRPr="00256353">
              <w:rPr>
                <w:rFonts w:cs="Arial"/>
                <w:b/>
                <w:sz w:val="18"/>
                <w:szCs w:val="16"/>
              </w:rPr>
              <w:fldChar w:fldCharType="end"/>
            </w:r>
            <w:bookmarkEnd w:id="321"/>
            <w:r w:rsidRPr="00256353">
              <w:rPr>
                <w:rFonts w:cs="Arial"/>
                <w:b/>
                <w:sz w:val="18"/>
                <w:szCs w:val="16"/>
              </w:rPr>
              <w:t>.:</w:t>
            </w:r>
            <w:r w:rsidR="00EE7EDD" w:rsidRPr="00256353">
              <w:rPr>
                <w:rFonts w:cs="Arial"/>
                <w:b/>
                <w:bCs/>
                <w:sz w:val="18"/>
                <w:szCs w:val="16"/>
              </w:rPr>
              <w:t xml:space="preserve"> Χρηματοδοτικές ανάγκες κρατικού προϋπολογισμού 202</w:t>
            </w:r>
            <w:r w:rsidR="008D0DC8" w:rsidRPr="00256353">
              <w:rPr>
                <w:rFonts w:cs="Arial"/>
                <w:b/>
                <w:bCs/>
                <w:sz w:val="18"/>
                <w:szCs w:val="16"/>
              </w:rPr>
              <w:t>6</w:t>
            </w:r>
            <w:bookmarkEnd w:id="322"/>
          </w:p>
          <w:p w14:paraId="309829BE" w14:textId="39FDAF2E" w:rsidR="00EE7EDD" w:rsidRPr="00256353" w:rsidRDefault="00EE7EDD" w:rsidP="00256353">
            <w:pPr>
              <w:spacing w:after="0" w:line="276" w:lineRule="auto"/>
              <w:jc w:val="center"/>
              <w:rPr>
                <w:rFonts w:cs="Arial"/>
                <w:b/>
                <w:bCs/>
                <w:sz w:val="18"/>
                <w:szCs w:val="16"/>
              </w:rPr>
            </w:pPr>
            <w:r w:rsidRPr="00256353">
              <w:rPr>
                <w:rFonts w:cs="Arial"/>
                <w:b/>
                <w:bCs/>
                <w:sz w:val="18"/>
                <w:szCs w:val="16"/>
              </w:rPr>
              <w:t>(σε εκατ. ευρώ)</w:t>
            </w:r>
          </w:p>
        </w:tc>
      </w:tr>
      <w:tr w:rsidR="008D0DC8" w:rsidRPr="00256353" w14:paraId="618C6598" w14:textId="77777777" w:rsidTr="00256353">
        <w:trPr>
          <w:cantSplit/>
          <w:trHeight w:val="257"/>
          <w:jc w:val="center"/>
        </w:trPr>
        <w:tc>
          <w:tcPr>
            <w:tcW w:w="7244" w:type="dxa"/>
            <w:tcBorders>
              <w:top w:val="single" w:sz="2" w:space="0" w:color="A6A6A6" w:themeColor="background1" w:themeShade="A6"/>
              <w:left w:val="single" w:sz="2" w:space="0" w:color="A6A6A6" w:themeColor="background1" w:themeShade="A6"/>
              <w:bottom w:val="nil"/>
              <w:right w:val="nil"/>
            </w:tcBorders>
            <w:shd w:val="clear" w:color="auto" w:fill="auto"/>
            <w:vAlign w:val="center"/>
            <w:hideMark/>
          </w:tcPr>
          <w:p w14:paraId="74EC2565" w14:textId="77777777" w:rsidR="008D0DC8" w:rsidRPr="00256353" w:rsidRDefault="008D0DC8" w:rsidP="00256353">
            <w:pPr>
              <w:spacing w:after="0" w:line="276" w:lineRule="auto"/>
              <w:jc w:val="left"/>
              <w:rPr>
                <w:rFonts w:cs="Arial"/>
                <w:sz w:val="16"/>
                <w:szCs w:val="16"/>
              </w:rPr>
            </w:pPr>
            <w:r w:rsidRPr="00256353">
              <w:rPr>
                <w:rFonts w:cs="Arial"/>
                <w:sz w:val="16"/>
                <w:szCs w:val="16"/>
              </w:rPr>
              <w:t>Έλλειμμα κρατικού προϋπολογισμού επί μη χρηματοοικονομικών συναλλαγών (ταμειακό)</w:t>
            </w:r>
          </w:p>
        </w:tc>
        <w:tc>
          <w:tcPr>
            <w:tcW w:w="1569" w:type="dxa"/>
            <w:tcBorders>
              <w:top w:val="single" w:sz="2" w:space="0" w:color="A6A6A6" w:themeColor="background1" w:themeShade="A6"/>
              <w:left w:val="nil"/>
              <w:bottom w:val="nil"/>
              <w:right w:val="single" w:sz="2" w:space="0" w:color="A6A6A6" w:themeColor="background1" w:themeShade="A6"/>
            </w:tcBorders>
            <w:shd w:val="clear" w:color="auto" w:fill="auto"/>
            <w:vAlign w:val="center"/>
          </w:tcPr>
          <w:p w14:paraId="2263965E" w14:textId="11A05C56" w:rsidR="008D0DC8" w:rsidRPr="00256353" w:rsidRDefault="008D0DC8" w:rsidP="00256353">
            <w:pPr>
              <w:spacing w:after="0" w:line="276" w:lineRule="auto"/>
              <w:jc w:val="right"/>
              <w:rPr>
                <w:rFonts w:cs="Arial"/>
                <w:sz w:val="16"/>
                <w:szCs w:val="16"/>
              </w:rPr>
            </w:pPr>
            <w:r w:rsidRPr="00256353">
              <w:rPr>
                <w:rFonts w:cs="Arial"/>
                <w:color w:val="000000"/>
                <w:sz w:val="16"/>
                <w:szCs w:val="16"/>
              </w:rPr>
              <w:t>5.798</w:t>
            </w:r>
          </w:p>
        </w:tc>
      </w:tr>
      <w:tr w:rsidR="008D0DC8" w:rsidRPr="00256353" w14:paraId="05FCF2D6" w14:textId="77777777" w:rsidTr="00256353">
        <w:trPr>
          <w:cantSplit/>
          <w:trHeight w:val="257"/>
          <w:jc w:val="center"/>
        </w:trPr>
        <w:tc>
          <w:tcPr>
            <w:tcW w:w="7244" w:type="dxa"/>
            <w:tcBorders>
              <w:top w:val="nil"/>
              <w:left w:val="single" w:sz="2" w:space="0" w:color="A6A6A6" w:themeColor="background1" w:themeShade="A6"/>
              <w:bottom w:val="nil"/>
              <w:right w:val="nil"/>
            </w:tcBorders>
            <w:shd w:val="clear" w:color="auto" w:fill="auto"/>
            <w:vAlign w:val="center"/>
            <w:hideMark/>
          </w:tcPr>
          <w:p w14:paraId="62226311" w14:textId="7DF6BEB5" w:rsidR="008D0DC8" w:rsidRPr="00256353" w:rsidRDefault="008D0DC8" w:rsidP="00256353">
            <w:pPr>
              <w:spacing w:after="0" w:line="276" w:lineRule="auto"/>
              <w:jc w:val="left"/>
              <w:rPr>
                <w:rFonts w:cs="Arial"/>
                <w:sz w:val="16"/>
                <w:szCs w:val="16"/>
              </w:rPr>
            </w:pPr>
            <w:r w:rsidRPr="00256353">
              <w:rPr>
                <w:rFonts w:cs="Arial"/>
                <w:sz w:val="16"/>
                <w:szCs w:val="16"/>
              </w:rPr>
              <w:t>Αυξήσεις ΜΚ εταιρειών κ.λπ.</w:t>
            </w:r>
          </w:p>
        </w:tc>
        <w:tc>
          <w:tcPr>
            <w:tcW w:w="1569" w:type="dxa"/>
            <w:tcBorders>
              <w:top w:val="nil"/>
              <w:left w:val="nil"/>
              <w:bottom w:val="nil"/>
              <w:right w:val="single" w:sz="2" w:space="0" w:color="A6A6A6" w:themeColor="background1" w:themeShade="A6"/>
            </w:tcBorders>
            <w:shd w:val="clear" w:color="auto" w:fill="auto"/>
            <w:vAlign w:val="center"/>
          </w:tcPr>
          <w:p w14:paraId="5C3F5DC3" w14:textId="50030484" w:rsidR="008D0DC8" w:rsidRPr="00256353" w:rsidRDefault="008D0DC8" w:rsidP="00256353">
            <w:pPr>
              <w:spacing w:after="0" w:line="276" w:lineRule="auto"/>
              <w:jc w:val="right"/>
              <w:rPr>
                <w:rFonts w:cs="Arial"/>
                <w:sz w:val="16"/>
                <w:szCs w:val="16"/>
              </w:rPr>
            </w:pPr>
            <w:r w:rsidRPr="00256353">
              <w:rPr>
                <w:rFonts w:cs="Arial"/>
                <w:color w:val="000000"/>
                <w:sz w:val="16"/>
                <w:szCs w:val="16"/>
              </w:rPr>
              <w:t>1.587</w:t>
            </w:r>
          </w:p>
        </w:tc>
      </w:tr>
      <w:tr w:rsidR="008D0DC8" w:rsidRPr="00256353" w14:paraId="5ACD7ED7" w14:textId="77777777" w:rsidTr="00256353">
        <w:trPr>
          <w:cantSplit/>
          <w:trHeight w:val="257"/>
          <w:jc w:val="center"/>
        </w:trPr>
        <w:tc>
          <w:tcPr>
            <w:tcW w:w="7244" w:type="dxa"/>
            <w:tcBorders>
              <w:top w:val="nil"/>
              <w:left w:val="single" w:sz="2" w:space="0" w:color="A6A6A6" w:themeColor="background1" w:themeShade="A6"/>
              <w:bottom w:val="nil"/>
              <w:right w:val="nil"/>
            </w:tcBorders>
            <w:shd w:val="clear" w:color="auto" w:fill="auto"/>
            <w:vAlign w:val="center"/>
          </w:tcPr>
          <w:p w14:paraId="765F7FBF" w14:textId="553CA486" w:rsidR="008D0DC8" w:rsidRPr="00256353" w:rsidRDefault="008D0DC8" w:rsidP="00256353">
            <w:pPr>
              <w:spacing w:after="0" w:line="276" w:lineRule="auto"/>
              <w:jc w:val="left"/>
              <w:rPr>
                <w:rFonts w:cs="Arial"/>
                <w:sz w:val="16"/>
                <w:szCs w:val="16"/>
              </w:rPr>
            </w:pPr>
            <w:r w:rsidRPr="00256353">
              <w:rPr>
                <w:rFonts w:cs="Arial"/>
                <w:sz w:val="16"/>
                <w:szCs w:val="16"/>
              </w:rPr>
              <w:t>Πώληση μετοχών κ.λπ.</w:t>
            </w:r>
          </w:p>
        </w:tc>
        <w:tc>
          <w:tcPr>
            <w:tcW w:w="1569" w:type="dxa"/>
            <w:tcBorders>
              <w:top w:val="nil"/>
              <w:left w:val="nil"/>
              <w:bottom w:val="nil"/>
              <w:right w:val="single" w:sz="2" w:space="0" w:color="A6A6A6" w:themeColor="background1" w:themeShade="A6"/>
            </w:tcBorders>
            <w:shd w:val="clear" w:color="auto" w:fill="auto"/>
            <w:vAlign w:val="center"/>
          </w:tcPr>
          <w:p w14:paraId="48B4CA9B" w14:textId="1ED11B6A" w:rsidR="008D0DC8" w:rsidRPr="00256353" w:rsidRDefault="008D0DC8" w:rsidP="00256353">
            <w:pPr>
              <w:spacing w:after="0" w:line="276" w:lineRule="auto"/>
              <w:jc w:val="right"/>
              <w:rPr>
                <w:rFonts w:cs="Arial"/>
                <w:sz w:val="16"/>
                <w:szCs w:val="16"/>
              </w:rPr>
            </w:pPr>
            <w:r w:rsidRPr="00256353">
              <w:rPr>
                <w:rFonts w:cs="Arial"/>
                <w:color w:val="000000"/>
                <w:sz w:val="16"/>
                <w:szCs w:val="16"/>
              </w:rPr>
              <w:t>-487</w:t>
            </w:r>
          </w:p>
        </w:tc>
      </w:tr>
      <w:tr w:rsidR="008D0DC8" w:rsidRPr="00256353" w14:paraId="0D73CBF8" w14:textId="77777777" w:rsidTr="00256353">
        <w:trPr>
          <w:cantSplit/>
          <w:trHeight w:val="257"/>
          <w:jc w:val="center"/>
        </w:trPr>
        <w:tc>
          <w:tcPr>
            <w:tcW w:w="7244" w:type="dxa"/>
            <w:tcBorders>
              <w:top w:val="nil"/>
              <w:left w:val="single" w:sz="2" w:space="0" w:color="A6A6A6" w:themeColor="background1" w:themeShade="A6"/>
              <w:bottom w:val="nil"/>
              <w:right w:val="nil"/>
            </w:tcBorders>
            <w:shd w:val="clear" w:color="auto" w:fill="auto"/>
            <w:vAlign w:val="center"/>
            <w:hideMark/>
          </w:tcPr>
          <w:p w14:paraId="5D0A9EC5" w14:textId="12808F56" w:rsidR="008D0DC8" w:rsidRPr="00256353" w:rsidRDefault="008D0DC8" w:rsidP="00256353">
            <w:pPr>
              <w:spacing w:after="0" w:line="276" w:lineRule="auto"/>
              <w:jc w:val="left"/>
              <w:rPr>
                <w:rFonts w:cs="Arial"/>
                <w:sz w:val="16"/>
                <w:szCs w:val="16"/>
              </w:rPr>
            </w:pPr>
            <w:r w:rsidRPr="00256353">
              <w:rPr>
                <w:rFonts w:cs="Arial"/>
                <w:sz w:val="16"/>
                <w:szCs w:val="16"/>
              </w:rPr>
              <w:t>Χορηγήσεις δανείων από πόρους ΤΑΑ</w:t>
            </w:r>
          </w:p>
        </w:tc>
        <w:tc>
          <w:tcPr>
            <w:tcW w:w="1569" w:type="dxa"/>
            <w:tcBorders>
              <w:top w:val="nil"/>
              <w:left w:val="nil"/>
              <w:bottom w:val="nil"/>
              <w:right w:val="single" w:sz="2" w:space="0" w:color="A6A6A6" w:themeColor="background1" w:themeShade="A6"/>
            </w:tcBorders>
            <w:shd w:val="clear" w:color="auto" w:fill="auto"/>
            <w:vAlign w:val="center"/>
          </w:tcPr>
          <w:p w14:paraId="7B79DF2D" w14:textId="571574B8" w:rsidR="008D0DC8" w:rsidRPr="00256353" w:rsidRDefault="008D0DC8" w:rsidP="00256353">
            <w:pPr>
              <w:spacing w:after="0" w:line="276" w:lineRule="auto"/>
              <w:jc w:val="right"/>
              <w:rPr>
                <w:rFonts w:cs="Arial"/>
                <w:sz w:val="16"/>
                <w:szCs w:val="16"/>
              </w:rPr>
            </w:pPr>
            <w:r w:rsidRPr="00256353">
              <w:rPr>
                <w:rFonts w:cs="Arial"/>
                <w:color w:val="000000"/>
                <w:sz w:val="16"/>
                <w:szCs w:val="16"/>
              </w:rPr>
              <w:t>6.739</w:t>
            </w:r>
          </w:p>
        </w:tc>
      </w:tr>
      <w:tr w:rsidR="008D0DC8" w:rsidRPr="00256353" w14:paraId="52D98B52" w14:textId="77777777" w:rsidTr="00256353">
        <w:trPr>
          <w:cantSplit/>
          <w:trHeight w:val="257"/>
          <w:jc w:val="center"/>
        </w:trPr>
        <w:tc>
          <w:tcPr>
            <w:tcW w:w="7244" w:type="dxa"/>
            <w:tcBorders>
              <w:top w:val="nil"/>
              <w:left w:val="single" w:sz="2" w:space="0" w:color="A6A6A6" w:themeColor="background1" w:themeShade="A6"/>
              <w:bottom w:val="nil"/>
              <w:right w:val="nil"/>
            </w:tcBorders>
            <w:shd w:val="clear" w:color="auto" w:fill="auto"/>
            <w:vAlign w:val="center"/>
            <w:hideMark/>
          </w:tcPr>
          <w:p w14:paraId="2E649E12" w14:textId="77777777" w:rsidR="008D0DC8" w:rsidRPr="00256353" w:rsidRDefault="008D0DC8" w:rsidP="00256353">
            <w:pPr>
              <w:spacing w:after="0" w:line="276" w:lineRule="auto"/>
              <w:jc w:val="left"/>
              <w:rPr>
                <w:rFonts w:cs="Arial"/>
                <w:sz w:val="16"/>
                <w:szCs w:val="16"/>
              </w:rPr>
            </w:pPr>
            <w:r w:rsidRPr="00256353">
              <w:rPr>
                <w:rFonts w:cs="Arial"/>
                <w:sz w:val="16"/>
                <w:szCs w:val="16"/>
              </w:rPr>
              <w:t>Χρηματοοικονομικά παράγωγα</w:t>
            </w:r>
          </w:p>
        </w:tc>
        <w:tc>
          <w:tcPr>
            <w:tcW w:w="1569" w:type="dxa"/>
            <w:tcBorders>
              <w:top w:val="nil"/>
              <w:left w:val="nil"/>
              <w:bottom w:val="nil"/>
              <w:right w:val="single" w:sz="2" w:space="0" w:color="A6A6A6" w:themeColor="background1" w:themeShade="A6"/>
            </w:tcBorders>
            <w:shd w:val="clear" w:color="auto" w:fill="auto"/>
            <w:vAlign w:val="center"/>
          </w:tcPr>
          <w:p w14:paraId="6510DC1F" w14:textId="6D2B8E0F" w:rsidR="008D0DC8" w:rsidRPr="00256353" w:rsidRDefault="008D0DC8" w:rsidP="00256353">
            <w:pPr>
              <w:spacing w:after="0" w:line="276" w:lineRule="auto"/>
              <w:jc w:val="right"/>
              <w:rPr>
                <w:rFonts w:cs="Arial"/>
                <w:sz w:val="16"/>
                <w:szCs w:val="16"/>
              </w:rPr>
            </w:pPr>
            <w:r w:rsidRPr="00256353">
              <w:rPr>
                <w:rFonts w:cs="Arial"/>
                <w:color w:val="000000"/>
                <w:sz w:val="16"/>
                <w:szCs w:val="16"/>
              </w:rPr>
              <w:t>-618</w:t>
            </w:r>
          </w:p>
        </w:tc>
      </w:tr>
      <w:tr w:rsidR="008D0DC8" w:rsidRPr="00256353" w14:paraId="58B55A5F" w14:textId="77777777" w:rsidTr="00256353">
        <w:trPr>
          <w:cantSplit/>
          <w:trHeight w:val="270"/>
          <w:jc w:val="center"/>
        </w:trPr>
        <w:tc>
          <w:tcPr>
            <w:tcW w:w="7244" w:type="dxa"/>
            <w:tcBorders>
              <w:top w:val="nil"/>
              <w:left w:val="single" w:sz="2" w:space="0" w:color="A6A6A6" w:themeColor="background1" w:themeShade="A6"/>
              <w:bottom w:val="nil"/>
              <w:right w:val="nil"/>
            </w:tcBorders>
            <w:shd w:val="clear" w:color="auto" w:fill="F2F2F2" w:themeFill="background1" w:themeFillShade="F2"/>
            <w:vAlign w:val="center"/>
            <w:hideMark/>
          </w:tcPr>
          <w:p w14:paraId="7EC29E81" w14:textId="77777777" w:rsidR="008D0DC8" w:rsidRPr="00256353" w:rsidRDefault="008D0DC8" w:rsidP="00256353">
            <w:pPr>
              <w:spacing w:after="0" w:line="276" w:lineRule="auto"/>
              <w:jc w:val="left"/>
              <w:rPr>
                <w:rFonts w:cs="Arial"/>
                <w:b/>
                <w:bCs/>
                <w:sz w:val="16"/>
                <w:szCs w:val="16"/>
              </w:rPr>
            </w:pPr>
            <w:r w:rsidRPr="00256353">
              <w:rPr>
                <w:rFonts w:cs="Arial"/>
                <w:b/>
                <w:bCs/>
                <w:sz w:val="16"/>
                <w:szCs w:val="16"/>
              </w:rPr>
              <w:t>Καθαρός δανεισμός</w:t>
            </w:r>
          </w:p>
        </w:tc>
        <w:tc>
          <w:tcPr>
            <w:tcW w:w="1569" w:type="dxa"/>
            <w:tcBorders>
              <w:top w:val="nil"/>
              <w:left w:val="nil"/>
              <w:bottom w:val="nil"/>
              <w:right w:val="single" w:sz="2" w:space="0" w:color="A6A6A6" w:themeColor="background1" w:themeShade="A6"/>
            </w:tcBorders>
            <w:shd w:val="clear" w:color="auto" w:fill="F2F2F2" w:themeFill="background1" w:themeFillShade="F2"/>
            <w:vAlign w:val="center"/>
          </w:tcPr>
          <w:p w14:paraId="0B47B347" w14:textId="3AF5BFC6" w:rsidR="008D0DC8" w:rsidRPr="00256353" w:rsidRDefault="008D0DC8" w:rsidP="00256353">
            <w:pPr>
              <w:spacing w:after="0" w:line="276" w:lineRule="auto"/>
              <w:jc w:val="right"/>
              <w:rPr>
                <w:rFonts w:cs="Arial"/>
                <w:b/>
                <w:bCs/>
                <w:sz w:val="16"/>
                <w:szCs w:val="16"/>
              </w:rPr>
            </w:pPr>
            <w:r w:rsidRPr="00256353">
              <w:rPr>
                <w:rFonts w:cs="Arial"/>
                <w:b/>
                <w:bCs/>
                <w:color w:val="000000"/>
                <w:sz w:val="16"/>
                <w:szCs w:val="16"/>
              </w:rPr>
              <w:t>13.019</w:t>
            </w:r>
          </w:p>
        </w:tc>
      </w:tr>
      <w:tr w:rsidR="008D0DC8" w:rsidRPr="00256353" w14:paraId="06BCB068" w14:textId="77777777" w:rsidTr="00256353">
        <w:trPr>
          <w:cantSplit/>
          <w:trHeight w:val="257"/>
          <w:jc w:val="center"/>
        </w:trPr>
        <w:tc>
          <w:tcPr>
            <w:tcW w:w="7244" w:type="dxa"/>
            <w:tcBorders>
              <w:top w:val="nil"/>
              <w:left w:val="single" w:sz="2" w:space="0" w:color="A6A6A6" w:themeColor="background1" w:themeShade="A6"/>
              <w:bottom w:val="nil"/>
              <w:right w:val="nil"/>
            </w:tcBorders>
            <w:shd w:val="clear" w:color="auto" w:fill="auto"/>
            <w:vAlign w:val="center"/>
            <w:hideMark/>
          </w:tcPr>
          <w:p w14:paraId="4058D577" w14:textId="26991D13" w:rsidR="008D0DC8" w:rsidRPr="00256353" w:rsidRDefault="008D0DC8" w:rsidP="00256353">
            <w:pPr>
              <w:spacing w:after="0" w:line="276" w:lineRule="auto"/>
              <w:jc w:val="left"/>
              <w:rPr>
                <w:rFonts w:cs="Arial"/>
                <w:sz w:val="16"/>
                <w:szCs w:val="16"/>
              </w:rPr>
            </w:pPr>
            <w:r w:rsidRPr="00256353">
              <w:rPr>
                <w:rFonts w:cs="Arial"/>
                <w:sz w:val="16"/>
                <w:szCs w:val="16"/>
              </w:rPr>
              <w:t>Χρεολύσια μεσομακροπρόθεσμου χρέους</w:t>
            </w:r>
          </w:p>
        </w:tc>
        <w:tc>
          <w:tcPr>
            <w:tcW w:w="1569" w:type="dxa"/>
            <w:tcBorders>
              <w:top w:val="nil"/>
              <w:left w:val="nil"/>
              <w:bottom w:val="nil"/>
              <w:right w:val="single" w:sz="2" w:space="0" w:color="A6A6A6" w:themeColor="background1" w:themeShade="A6"/>
            </w:tcBorders>
            <w:shd w:val="clear" w:color="auto" w:fill="auto"/>
            <w:vAlign w:val="center"/>
          </w:tcPr>
          <w:p w14:paraId="2B01FFBD" w14:textId="00CADF2F" w:rsidR="008D0DC8" w:rsidRPr="00256353" w:rsidRDefault="008D0DC8" w:rsidP="00256353">
            <w:pPr>
              <w:spacing w:after="0" w:line="276" w:lineRule="auto"/>
              <w:jc w:val="right"/>
              <w:rPr>
                <w:rFonts w:cs="Arial"/>
                <w:sz w:val="16"/>
                <w:szCs w:val="16"/>
              </w:rPr>
            </w:pPr>
            <w:r w:rsidRPr="00256353">
              <w:rPr>
                <w:rFonts w:cs="Arial"/>
                <w:color w:val="000000"/>
                <w:sz w:val="16"/>
                <w:szCs w:val="16"/>
              </w:rPr>
              <w:t>17.149</w:t>
            </w:r>
          </w:p>
        </w:tc>
      </w:tr>
      <w:tr w:rsidR="008D0DC8" w:rsidRPr="00256353" w14:paraId="27C344F4" w14:textId="77777777" w:rsidTr="00256353">
        <w:trPr>
          <w:cantSplit/>
          <w:trHeight w:val="257"/>
          <w:jc w:val="center"/>
        </w:trPr>
        <w:tc>
          <w:tcPr>
            <w:tcW w:w="7244" w:type="dxa"/>
            <w:tcBorders>
              <w:top w:val="nil"/>
              <w:left w:val="single" w:sz="2" w:space="0" w:color="A6A6A6" w:themeColor="background1" w:themeShade="A6"/>
              <w:bottom w:val="nil"/>
              <w:right w:val="nil"/>
            </w:tcBorders>
            <w:shd w:val="clear" w:color="auto" w:fill="F2F2F2" w:themeFill="background1" w:themeFillShade="F2"/>
            <w:vAlign w:val="center"/>
            <w:hideMark/>
          </w:tcPr>
          <w:p w14:paraId="0FC848D8" w14:textId="7B154AAC" w:rsidR="008D0DC8" w:rsidRPr="00256353" w:rsidRDefault="008D0DC8" w:rsidP="00256353">
            <w:pPr>
              <w:spacing w:after="0" w:line="276" w:lineRule="auto"/>
              <w:jc w:val="left"/>
              <w:rPr>
                <w:rFonts w:cs="Arial"/>
                <w:b/>
                <w:bCs/>
                <w:sz w:val="16"/>
                <w:szCs w:val="16"/>
              </w:rPr>
            </w:pPr>
            <w:r w:rsidRPr="00256353">
              <w:rPr>
                <w:rFonts w:cs="Arial"/>
                <w:b/>
                <w:bCs/>
                <w:sz w:val="16"/>
                <w:szCs w:val="16"/>
              </w:rPr>
              <w:t>Μερικό σύνολο</w:t>
            </w:r>
          </w:p>
        </w:tc>
        <w:tc>
          <w:tcPr>
            <w:tcW w:w="1569" w:type="dxa"/>
            <w:tcBorders>
              <w:top w:val="nil"/>
              <w:left w:val="nil"/>
              <w:bottom w:val="nil"/>
              <w:right w:val="single" w:sz="2" w:space="0" w:color="A6A6A6" w:themeColor="background1" w:themeShade="A6"/>
            </w:tcBorders>
            <w:shd w:val="clear" w:color="auto" w:fill="F2F2F2" w:themeFill="background1" w:themeFillShade="F2"/>
            <w:vAlign w:val="center"/>
          </w:tcPr>
          <w:p w14:paraId="119F4FC0" w14:textId="01E0AFCC" w:rsidR="008D0DC8" w:rsidRPr="00256353" w:rsidRDefault="008D0DC8" w:rsidP="00256353">
            <w:pPr>
              <w:spacing w:after="0" w:line="276" w:lineRule="auto"/>
              <w:jc w:val="right"/>
              <w:rPr>
                <w:rFonts w:cs="Arial"/>
                <w:b/>
                <w:bCs/>
                <w:sz w:val="16"/>
                <w:szCs w:val="16"/>
              </w:rPr>
            </w:pPr>
            <w:r w:rsidRPr="00256353">
              <w:rPr>
                <w:rFonts w:cs="Arial"/>
                <w:b/>
                <w:bCs/>
                <w:color w:val="000000"/>
                <w:sz w:val="16"/>
                <w:szCs w:val="16"/>
              </w:rPr>
              <w:t>30.168</w:t>
            </w:r>
          </w:p>
        </w:tc>
      </w:tr>
      <w:tr w:rsidR="008D0DC8" w:rsidRPr="00256353" w14:paraId="03B7CBA6" w14:textId="77777777" w:rsidTr="00256353">
        <w:trPr>
          <w:cantSplit/>
          <w:trHeight w:val="257"/>
          <w:jc w:val="center"/>
        </w:trPr>
        <w:tc>
          <w:tcPr>
            <w:tcW w:w="7244" w:type="dxa"/>
            <w:tcBorders>
              <w:top w:val="nil"/>
              <w:left w:val="single" w:sz="2" w:space="0" w:color="A6A6A6" w:themeColor="background1" w:themeShade="A6"/>
              <w:bottom w:val="nil"/>
              <w:right w:val="nil"/>
            </w:tcBorders>
            <w:shd w:val="clear" w:color="auto" w:fill="auto"/>
            <w:vAlign w:val="center"/>
            <w:hideMark/>
          </w:tcPr>
          <w:p w14:paraId="09391411" w14:textId="3CF501A8" w:rsidR="008D0DC8" w:rsidRPr="00256353" w:rsidRDefault="008D0DC8" w:rsidP="00256353">
            <w:pPr>
              <w:spacing w:after="0" w:line="276" w:lineRule="auto"/>
              <w:jc w:val="left"/>
              <w:rPr>
                <w:rFonts w:cs="Arial"/>
                <w:sz w:val="16"/>
                <w:szCs w:val="16"/>
              </w:rPr>
            </w:pPr>
            <w:r w:rsidRPr="00256353">
              <w:rPr>
                <w:rFonts w:cs="Arial"/>
                <w:sz w:val="16"/>
                <w:szCs w:val="16"/>
              </w:rPr>
              <w:t>Πρόβλεψη εξόφλησης βραχυπρόθεσμου χρέους*</w:t>
            </w:r>
          </w:p>
        </w:tc>
        <w:tc>
          <w:tcPr>
            <w:tcW w:w="1569" w:type="dxa"/>
            <w:tcBorders>
              <w:top w:val="nil"/>
              <w:left w:val="nil"/>
              <w:bottom w:val="nil"/>
              <w:right w:val="single" w:sz="2" w:space="0" w:color="A6A6A6" w:themeColor="background1" w:themeShade="A6"/>
            </w:tcBorders>
            <w:shd w:val="clear" w:color="auto" w:fill="auto"/>
            <w:vAlign w:val="center"/>
          </w:tcPr>
          <w:p w14:paraId="6DC39854" w14:textId="23C4CE8C" w:rsidR="008D0DC8" w:rsidRPr="00256353" w:rsidRDefault="008D0DC8" w:rsidP="00256353">
            <w:pPr>
              <w:spacing w:after="0" w:line="276" w:lineRule="auto"/>
              <w:jc w:val="right"/>
              <w:rPr>
                <w:rFonts w:cs="Arial"/>
                <w:sz w:val="16"/>
                <w:szCs w:val="16"/>
              </w:rPr>
            </w:pPr>
            <w:r w:rsidRPr="00256353">
              <w:rPr>
                <w:rFonts w:cs="Arial"/>
                <w:color w:val="000000"/>
                <w:sz w:val="16"/>
                <w:szCs w:val="16"/>
              </w:rPr>
              <w:t>1.666.875</w:t>
            </w:r>
          </w:p>
        </w:tc>
      </w:tr>
      <w:tr w:rsidR="008D0DC8" w:rsidRPr="00256353" w14:paraId="594000A9" w14:textId="77777777" w:rsidTr="00256353">
        <w:trPr>
          <w:cantSplit/>
          <w:trHeight w:val="257"/>
          <w:jc w:val="center"/>
        </w:trPr>
        <w:tc>
          <w:tcPr>
            <w:tcW w:w="7244" w:type="dxa"/>
            <w:tcBorders>
              <w:top w:val="nil"/>
              <w:left w:val="single" w:sz="2" w:space="0" w:color="A6A6A6" w:themeColor="background1" w:themeShade="A6"/>
              <w:bottom w:val="nil"/>
              <w:right w:val="nil"/>
            </w:tcBorders>
            <w:shd w:val="clear" w:color="auto" w:fill="F2F2F2" w:themeFill="background1" w:themeFillShade="F2"/>
            <w:vAlign w:val="center"/>
            <w:hideMark/>
          </w:tcPr>
          <w:p w14:paraId="3D0C5FF8" w14:textId="77777777" w:rsidR="008D0DC8" w:rsidRPr="00256353" w:rsidRDefault="008D0DC8" w:rsidP="00256353">
            <w:pPr>
              <w:spacing w:after="0" w:line="276" w:lineRule="auto"/>
              <w:jc w:val="left"/>
              <w:rPr>
                <w:rFonts w:cs="Arial"/>
                <w:b/>
                <w:bCs/>
                <w:sz w:val="16"/>
                <w:szCs w:val="16"/>
              </w:rPr>
            </w:pPr>
            <w:r w:rsidRPr="00256353">
              <w:rPr>
                <w:rFonts w:cs="Arial"/>
                <w:b/>
                <w:bCs/>
                <w:sz w:val="16"/>
                <w:szCs w:val="16"/>
              </w:rPr>
              <w:t>Σύνολο χρηματοδοτικών αναγκών</w:t>
            </w:r>
          </w:p>
        </w:tc>
        <w:tc>
          <w:tcPr>
            <w:tcW w:w="1569" w:type="dxa"/>
            <w:tcBorders>
              <w:top w:val="nil"/>
              <w:left w:val="nil"/>
              <w:bottom w:val="nil"/>
              <w:right w:val="single" w:sz="2" w:space="0" w:color="A6A6A6" w:themeColor="background1" w:themeShade="A6"/>
            </w:tcBorders>
            <w:shd w:val="clear" w:color="auto" w:fill="F2F2F2" w:themeFill="background1" w:themeFillShade="F2"/>
            <w:vAlign w:val="center"/>
          </w:tcPr>
          <w:p w14:paraId="1ECA7D92" w14:textId="5034A0FE" w:rsidR="008D0DC8" w:rsidRPr="00256353" w:rsidRDefault="008D0DC8" w:rsidP="00256353">
            <w:pPr>
              <w:spacing w:after="0" w:line="276" w:lineRule="auto"/>
              <w:jc w:val="right"/>
              <w:rPr>
                <w:rFonts w:cs="Arial"/>
                <w:b/>
                <w:bCs/>
                <w:sz w:val="16"/>
                <w:szCs w:val="16"/>
              </w:rPr>
            </w:pPr>
            <w:r w:rsidRPr="00256353">
              <w:rPr>
                <w:rFonts w:cs="Arial"/>
                <w:b/>
                <w:bCs/>
                <w:color w:val="000000"/>
                <w:sz w:val="16"/>
                <w:szCs w:val="16"/>
              </w:rPr>
              <w:t>1.697.043</w:t>
            </w:r>
          </w:p>
        </w:tc>
      </w:tr>
      <w:tr w:rsidR="008D0DC8" w:rsidRPr="00256353" w14:paraId="40CD77B2" w14:textId="77777777" w:rsidTr="00256353">
        <w:trPr>
          <w:cantSplit/>
          <w:trHeight w:val="257"/>
          <w:jc w:val="center"/>
        </w:trPr>
        <w:tc>
          <w:tcPr>
            <w:tcW w:w="7244" w:type="dxa"/>
            <w:tcBorders>
              <w:top w:val="nil"/>
              <w:left w:val="single" w:sz="2" w:space="0" w:color="A6A6A6" w:themeColor="background1" w:themeShade="A6"/>
              <w:bottom w:val="nil"/>
            </w:tcBorders>
            <w:shd w:val="clear" w:color="auto" w:fill="auto"/>
            <w:noWrap/>
            <w:vAlign w:val="center"/>
            <w:hideMark/>
          </w:tcPr>
          <w:p w14:paraId="07663D32" w14:textId="047912BD" w:rsidR="008D0DC8" w:rsidRPr="00256353" w:rsidRDefault="008D0DC8" w:rsidP="00256353">
            <w:pPr>
              <w:spacing w:after="0" w:line="276" w:lineRule="auto"/>
              <w:jc w:val="left"/>
              <w:rPr>
                <w:rFonts w:cs="Arial"/>
                <w:sz w:val="16"/>
                <w:szCs w:val="16"/>
              </w:rPr>
            </w:pPr>
          </w:p>
        </w:tc>
        <w:tc>
          <w:tcPr>
            <w:tcW w:w="1569" w:type="dxa"/>
            <w:tcBorders>
              <w:top w:val="nil"/>
              <w:left w:val="nil"/>
              <w:bottom w:val="nil"/>
              <w:right w:val="single" w:sz="2" w:space="0" w:color="A6A6A6" w:themeColor="background1" w:themeShade="A6"/>
            </w:tcBorders>
            <w:shd w:val="clear" w:color="auto" w:fill="auto"/>
            <w:noWrap/>
            <w:vAlign w:val="center"/>
          </w:tcPr>
          <w:p w14:paraId="78466CEB" w14:textId="62842867" w:rsidR="008D0DC8" w:rsidRPr="00256353" w:rsidRDefault="008D0DC8" w:rsidP="00256353">
            <w:pPr>
              <w:spacing w:after="0" w:line="276" w:lineRule="auto"/>
              <w:jc w:val="right"/>
              <w:rPr>
                <w:rFonts w:cs="Arial"/>
                <w:sz w:val="16"/>
                <w:szCs w:val="16"/>
              </w:rPr>
            </w:pPr>
          </w:p>
        </w:tc>
      </w:tr>
      <w:tr w:rsidR="008D0DC8" w:rsidRPr="00256353" w14:paraId="54966467" w14:textId="77777777" w:rsidTr="00256353">
        <w:trPr>
          <w:cantSplit/>
          <w:trHeight w:val="270"/>
          <w:jc w:val="center"/>
        </w:trPr>
        <w:tc>
          <w:tcPr>
            <w:tcW w:w="7244" w:type="dxa"/>
            <w:tcBorders>
              <w:top w:val="nil"/>
              <w:left w:val="single" w:sz="2" w:space="0" w:color="A6A6A6" w:themeColor="background1" w:themeShade="A6"/>
              <w:bottom w:val="nil"/>
            </w:tcBorders>
            <w:shd w:val="clear" w:color="auto" w:fill="F2F2F2" w:themeFill="background1" w:themeFillShade="F2"/>
            <w:noWrap/>
            <w:vAlign w:val="center"/>
            <w:hideMark/>
          </w:tcPr>
          <w:p w14:paraId="2575B91D" w14:textId="77777777" w:rsidR="008D0DC8" w:rsidRPr="00256353" w:rsidRDefault="008D0DC8" w:rsidP="00256353">
            <w:pPr>
              <w:spacing w:after="0" w:line="276" w:lineRule="auto"/>
              <w:jc w:val="left"/>
              <w:rPr>
                <w:rFonts w:cs="Arial"/>
                <w:b/>
                <w:bCs/>
                <w:sz w:val="16"/>
                <w:szCs w:val="16"/>
              </w:rPr>
            </w:pPr>
            <w:r w:rsidRPr="00256353">
              <w:rPr>
                <w:rFonts w:cs="Arial"/>
                <w:b/>
                <w:bCs/>
                <w:sz w:val="16"/>
                <w:szCs w:val="16"/>
              </w:rPr>
              <w:t>Χρηματοδότηση</w:t>
            </w:r>
          </w:p>
        </w:tc>
        <w:tc>
          <w:tcPr>
            <w:tcW w:w="1569" w:type="dxa"/>
            <w:tcBorders>
              <w:top w:val="nil"/>
              <w:left w:val="nil"/>
              <w:bottom w:val="nil"/>
              <w:right w:val="single" w:sz="2" w:space="0" w:color="A6A6A6" w:themeColor="background1" w:themeShade="A6"/>
            </w:tcBorders>
            <w:shd w:val="clear" w:color="auto" w:fill="F2F2F2" w:themeFill="background1" w:themeFillShade="F2"/>
            <w:noWrap/>
            <w:vAlign w:val="center"/>
          </w:tcPr>
          <w:p w14:paraId="304B5205" w14:textId="030EEA23" w:rsidR="008D0DC8" w:rsidRPr="00256353" w:rsidRDefault="008D0DC8" w:rsidP="00256353">
            <w:pPr>
              <w:spacing w:after="0" w:line="276" w:lineRule="auto"/>
              <w:jc w:val="right"/>
              <w:rPr>
                <w:rFonts w:cs="Arial"/>
                <w:sz w:val="16"/>
                <w:szCs w:val="16"/>
              </w:rPr>
            </w:pPr>
          </w:p>
        </w:tc>
      </w:tr>
      <w:tr w:rsidR="008D0DC8" w:rsidRPr="00256353" w14:paraId="1F6B8FE9" w14:textId="77777777" w:rsidTr="00256353">
        <w:trPr>
          <w:cantSplit/>
          <w:trHeight w:val="257"/>
          <w:jc w:val="center"/>
        </w:trPr>
        <w:tc>
          <w:tcPr>
            <w:tcW w:w="7244" w:type="dxa"/>
            <w:tcBorders>
              <w:top w:val="nil"/>
              <w:left w:val="single" w:sz="2" w:space="0" w:color="A6A6A6" w:themeColor="background1" w:themeShade="A6"/>
              <w:bottom w:val="nil"/>
              <w:right w:val="nil"/>
            </w:tcBorders>
            <w:shd w:val="clear" w:color="auto" w:fill="auto"/>
            <w:noWrap/>
            <w:vAlign w:val="center"/>
            <w:hideMark/>
          </w:tcPr>
          <w:p w14:paraId="2896B469" w14:textId="742A137F" w:rsidR="008D0DC8" w:rsidRPr="00256353" w:rsidRDefault="008D0DC8" w:rsidP="00256353">
            <w:pPr>
              <w:spacing w:after="0" w:line="276" w:lineRule="auto"/>
              <w:jc w:val="left"/>
              <w:rPr>
                <w:rFonts w:cs="Arial"/>
                <w:sz w:val="16"/>
                <w:szCs w:val="16"/>
              </w:rPr>
            </w:pPr>
            <w:r w:rsidRPr="00256353">
              <w:rPr>
                <w:rFonts w:cs="Arial"/>
                <w:sz w:val="16"/>
                <w:szCs w:val="16"/>
              </w:rPr>
              <w:t>Βραχυπρόθεσμος δανεισμός*</w:t>
            </w:r>
          </w:p>
        </w:tc>
        <w:tc>
          <w:tcPr>
            <w:tcW w:w="1569" w:type="dxa"/>
            <w:tcBorders>
              <w:top w:val="nil"/>
              <w:left w:val="nil"/>
              <w:bottom w:val="nil"/>
              <w:right w:val="single" w:sz="2" w:space="0" w:color="A6A6A6" w:themeColor="background1" w:themeShade="A6"/>
            </w:tcBorders>
            <w:shd w:val="clear" w:color="auto" w:fill="auto"/>
            <w:noWrap/>
            <w:vAlign w:val="center"/>
          </w:tcPr>
          <w:p w14:paraId="3893F6B0" w14:textId="788C6A77" w:rsidR="008D0DC8" w:rsidRPr="00256353" w:rsidRDefault="008D0DC8" w:rsidP="00256353">
            <w:pPr>
              <w:spacing w:after="0" w:line="276" w:lineRule="auto"/>
              <w:jc w:val="right"/>
              <w:rPr>
                <w:rFonts w:cs="Arial"/>
                <w:sz w:val="16"/>
                <w:szCs w:val="16"/>
              </w:rPr>
            </w:pPr>
            <w:r w:rsidRPr="00256353">
              <w:rPr>
                <w:rFonts w:cs="Arial"/>
                <w:color w:val="000000"/>
                <w:sz w:val="16"/>
                <w:szCs w:val="16"/>
              </w:rPr>
              <w:t>1.665.875</w:t>
            </w:r>
          </w:p>
        </w:tc>
      </w:tr>
      <w:tr w:rsidR="008D0DC8" w:rsidRPr="00256353" w14:paraId="1492C533" w14:textId="77777777" w:rsidTr="00256353">
        <w:trPr>
          <w:cantSplit/>
          <w:trHeight w:val="257"/>
          <w:jc w:val="center"/>
        </w:trPr>
        <w:tc>
          <w:tcPr>
            <w:tcW w:w="7244" w:type="dxa"/>
            <w:tcBorders>
              <w:top w:val="nil"/>
              <w:left w:val="single" w:sz="2" w:space="0" w:color="A6A6A6" w:themeColor="background1" w:themeShade="A6"/>
              <w:bottom w:val="nil"/>
            </w:tcBorders>
            <w:shd w:val="clear" w:color="auto" w:fill="auto"/>
            <w:vAlign w:val="center"/>
            <w:hideMark/>
          </w:tcPr>
          <w:p w14:paraId="7C7CAC8A" w14:textId="2DAD36BA" w:rsidR="008D0DC8" w:rsidRPr="00961455" w:rsidRDefault="008D0DC8" w:rsidP="00256353">
            <w:pPr>
              <w:spacing w:after="0" w:line="276" w:lineRule="auto"/>
              <w:jc w:val="left"/>
              <w:rPr>
                <w:rFonts w:cs="Arial"/>
                <w:sz w:val="16"/>
                <w:szCs w:val="16"/>
              </w:rPr>
            </w:pPr>
            <w:r w:rsidRPr="00961455">
              <w:rPr>
                <w:rFonts w:cs="Arial"/>
                <w:sz w:val="16"/>
                <w:szCs w:val="16"/>
              </w:rPr>
              <w:t>Ανάλωση διαθεσίμων</w:t>
            </w:r>
          </w:p>
        </w:tc>
        <w:tc>
          <w:tcPr>
            <w:tcW w:w="1569" w:type="dxa"/>
            <w:tcBorders>
              <w:top w:val="nil"/>
              <w:left w:val="nil"/>
              <w:bottom w:val="nil"/>
              <w:right w:val="single" w:sz="2" w:space="0" w:color="A6A6A6" w:themeColor="background1" w:themeShade="A6"/>
            </w:tcBorders>
            <w:shd w:val="clear" w:color="auto" w:fill="auto"/>
            <w:noWrap/>
            <w:vAlign w:val="center"/>
          </w:tcPr>
          <w:p w14:paraId="55F43499" w14:textId="3DDD5A5B" w:rsidR="008D0DC8" w:rsidRPr="00256353" w:rsidRDefault="008D0DC8" w:rsidP="00256353">
            <w:pPr>
              <w:spacing w:after="0" w:line="276" w:lineRule="auto"/>
              <w:jc w:val="right"/>
              <w:rPr>
                <w:rFonts w:cs="Arial"/>
                <w:sz w:val="16"/>
                <w:szCs w:val="16"/>
              </w:rPr>
            </w:pPr>
            <w:r w:rsidRPr="00961455">
              <w:rPr>
                <w:rFonts w:cs="Arial"/>
                <w:color w:val="000000"/>
                <w:sz w:val="16"/>
                <w:szCs w:val="16"/>
              </w:rPr>
              <w:t>18.442</w:t>
            </w:r>
          </w:p>
        </w:tc>
      </w:tr>
      <w:tr w:rsidR="008D0DC8" w:rsidRPr="00256353" w14:paraId="1B86BA77" w14:textId="77777777" w:rsidTr="00256353">
        <w:trPr>
          <w:cantSplit/>
          <w:trHeight w:val="257"/>
          <w:jc w:val="center"/>
        </w:trPr>
        <w:tc>
          <w:tcPr>
            <w:tcW w:w="7244" w:type="dxa"/>
            <w:tcBorders>
              <w:top w:val="nil"/>
              <w:left w:val="single" w:sz="2" w:space="0" w:color="A6A6A6" w:themeColor="background1" w:themeShade="A6"/>
              <w:bottom w:val="nil"/>
            </w:tcBorders>
            <w:shd w:val="clear" w:color="auto" w:fill="auto"/>
            <w:noWrap/>
            <w:vAlign w:val="center"/>
            <w:hideMark/>
          </w:tcPr>
          <w:p w14:paraId="5DA3F36B" w14:textId="0F559015" w:rsidR="008D0DC8" w:rsidRPr="00256353" w:rsidRDefault="008D0DC8" w:rsidP="00256353">
            <w:pPr>
              <w:spacing w:after="0" w:line="276" w:lineRule="auto"/>
              <w:jc w:val="left"/>
              <w:rPr>
                <w:rFonts w:cs="Arial"/>
                <w:sz w:val="16"/>
                <w:szCs w:val="16"/>
              </w:rPr>
            </w:pPr>
            <w:r w:rsidRPr="00256353">
              <w:rPr>
                <w:rFonts w:cs="Arial"/>
                <w:sz w:val="16"/>
                <w:szCs w:val="16"/>
              </w:rPr>
              <w:t>Μακροπρόθεσμος δανεισμός</w:t>
            </w:r>
          </w:p>
        </w:tc>
        <w:tc>
          <w:tcPr>
            <w:tcW w:w="1569" w:type="dxa"/>
            <w:tcBorders>
              <w:top w:val="nil"/>
              <w:left w:val="nil"/>
              <w:bottom w:val="nil"/>
              <w:right w:val="single" w:sz="2" w:space="0" w:color="A6A6A6" w:themeColor="background1" w:themeShade="A6"/>
            </w:tcBorders>
            <w:shd w:val="clear" w:color="auto" w:fill="auto"/>
            <w:vAlign w:val="center"/>
          </w:tcPr>
          <w:p w14:paraId="75BE2B0E" w14:textId="6FE02A19" w:rsidR="008D0DC8" w:rsidRPr="00256353" w:rsidRDefault="008D0DC8" w:rsidP="00256353">
            <w:pPr>
              <w:spacing w:after="0" w:line="276" w:lineRule="auto"/>
              <w:jc w:val="right"/>
              <w:rPr>
                <w:rFonts w:cs="Arial"/>
                <w:sz w:val="16"/>
                <w:szCs w:val="16"/>
              </w:rPr>
            </w:pPr>
            <w:r w:rsidRPr="00256353">
              <w:rPr>
                <w:rFonts w:cs="Arial"/>
                <w:color w:val="000000"/>
                <w:sz w:val="16"/>
                <w:szCs w:val="16"/>
              </w:rPr>
              <w:t>12.726</w:t>
            </w:r>
          </w:p>
        </w:tc>
      </w:tr>
      <w:tr w:rsidR="008D0DC8" w:rsidRPr="00256353" w14:paraId="5C6BBAED" w14:textId="77777777" w:rsidTr="00256353">
        <w:trPr>
          <w:cantSplit/>
          <w:trHeight w:val="257"/>
          <w:jc w:val="center"/>
        </w:trPr>
        <w:tc>
          <w:tcPr>
            <w:tcW w:w="7244" w:type="dxa"/>
            <w:tcBorders>
              <w:top w:val="nil"/>
              <w:left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1AAC1CCF" w14:textId="33D08B7E" w:rsidR="008D0DC8" w:rsidRPr="00256353" w:rsidRDefault="008D0DC8" w:rsidP="00256353">
            <w:pPr>
              <w:spacing w:after="0" w:line="276" w:lineRule="auto"/>
              <w:jc w:val="left"/>
              <w:rPr>
                <w:rFonts w:cs="Arial"/>
                <w:b/>
                <w:bCs/>
                <w:sz w:val="16"/>
                <w:szCs w:val="16"/>
              </w:rPr>
            </w:pPr>
            <w:r w:rsidRPr="00256353">
              <w:rPr>
                <w:rFonts w:cs="Arial"/>
                <w:b/>
                <w:bCs/>
                <w:sz w:val="16"/>
                <w:szCs w:val="16"/>
              </w:rPr>
              <w:t>Σύνολο δανεισμού</w:t>
            </w:r>
          </w:p>
        </w:tc>
        <w:tc>
          <w:tcPr>
            <w:tcW w:w="1569" w:type="dxa"/>
            <w:tcBorders>
              <w:top w:val="nil"/>
              <w:left w:val="nil"/>
              <w:bottom w:val="single" w:sz="2" w:space="0" w:color="A6A6A6" w:themeColor="background1" w:themeShade="A6"/>
              <w:right w:val="single" w:sz="2" w:space="0" w:color="A6A6A6" w:themeColor="background1" w:themeShade="A6"/>
            </w:tcBorders>
            <w:shd w:val="clear" w:color="auto" w:fill="F2F2F2" w:themeFill="background1" w:themeFillShade="F2"/>
            <w:noWrap/>
            <w:vAlign w:val="center"/>
          </w:tcPr>
          <w:p w14:paraId="57D9DFCE" w14:textId="05BC0782" w:rsidR="008D0DC8" w:rsidRPr="00256353" w:rsidRDefault="008D0DC8" w:rsidP="00256353">
            <w:pPr>
              <w:spacing w:after="0" w:line="276" w:lineRule="auto"/>
              <w:jc w:val="right"/>
              <w:rPr>
                <w:rFonts w:cs="Arial"/>
                <w:b/>
                <w:bCs/>
                <w:sz w:val="16"/>
                <w:szCs w:val="16"/>
              </w:rPr>
            </w:pPr>
            <w:r w:rsidRPr="00256353">
              <w:rPr>
                <w:rFonts w:cs="Arial"/>
                <w:b/>
                <w:bCs/>
                <w:color w:val="000000"/>
                <w:sz w:val="16"/>
                <w:szCs w:val="16"/>
              </w:rPr>
              <w:t>1.697.043</w:t>
            </w:r>
          </w:p>
        </w:tc>
      </w:tr>
      <w:tr w:rsidR="007D6B07" w:rsidRPr="00256353" w14:paraId="084C7DCE" w14:textId="77777777" w:rsidTr="00256353">
        <w:trPr>
          <w:cantSplit/>
          <w:trHeight w:val="69"/>
          <w:jc w:val="center"/>
        </w:trPr>
        <w:tc>
          <w:tcPr>
            <w:tcW w:w="8813" w:type="dxa"/>
            <w:gridSpan w:val="2"/>
            <w:tcBorders>
              <w:top w:val="single" w:sz="2" w:space="0" w:color="A6A6A6" w:themeColor="background1" w:themeShade="A6"/>
              <w:left w:val="nil"/>
              <w:bottom w:val="nil"/>
              <w:right w:val="nil"/>
            </w:tcBorders>
            <w:shd w:val="clear" w:color="auto" w:fill="auto"/>
            <w:noWrap/>
            <w:vAlign w:val="center"/>
            <w:hideMark/>
          </w:tcPr>
          <w:p w14:paraId="2409AE59" w14:textId="77777777" w:rsidR="007D6B07" w:rsidRDefault="007D6B07" w:rsidP="00FA250D">
            <w:pPr>
              <w:tabs>
                <w:tab w:val="left" w:pos="113"/>
              </w:tabs>
              <w:spacing w:before="60" w:after="0" w:line="276" w:lineRule="auto"/>
              <w:rPr>
                <w:rFonts w:cs="Arial"/>
                <w:sz w:val="16"/>
                <w:szCs w:val="16"/>
              </w:rPr>
            </w:pPr>
            <w:r w:rsidRPr="00256353">
              <w:rPr>
                <w:rFonts w:cs="Arial"/>
                <w:sz w:val="16"/>
                <w:szCs w:val="16"/>
              </w:rPr>
              <w:t>*</w:t>
            </w:r>
            <w:r w:rsidRPr="00256353">
              <w:rPr>
                <w:rFonts w:cs="Arial"/>
                <w:sz w:val="16"/>
                <w:szCs w:val="16"/>
              </w:rPr>
              <w:tab/>
              <w:t>Υπολογίσ</w:t>
            </w:r>
            <w:r w:rsidR="00B86F5D" w:rsidRPr="00256353">
              <w:rPr>
                <w:rFonts w:cs="Arial"/>
                <w:sz w:val="16"/>
                <w:szCs w:val="16"/>
              </w:rPr>
              <w:t>τ</w:t>
            </w:r>
            <w:r w:rsidRPr="00256353">
              <w:rPr>
                <w:rFonts w:cs="Arial"/>
                <w:sz w:val="16"/>
                <w:szCs w:val="16"/>
              </w:rPr>
              <w:t>ηκε ότι θα γίνει επανέκδοση (rollover) των λήξεων του βραχυπρόθεσμου χρέους (έντοκα γραμμάτια και repos).</w:t>
            </w:r>
          </w:p>
          <w:p w14:paraId="2BEEEED0" w14:textId="58CA0B29" w:rsidR="00732ADE" w:rsidRPr="00256353" w:rsidRDefault="00732ADE" w:rsidP="00FA250D">
            <w:pPr>
              <w:tabs>
                <w:tab w:val="left" w:pos="113"/>
              </w:tabs>
              <w:spacing w:before="60" w:after="0" w:line="276" w:lineRule="auto"/>
              <w:rPr>
                <w:rFonts w:cs="Arial"/>
                <w:sz w:val="16"/>
                <w:szCs w:val="16"/>
              </w:rPr>
            </w:pPr>
            <w:r w:rsidRPr="00256353">
              <w:rPr>
                <w:rFonts w:cs="Arial"/>
                <w:sz w:val="16"/>
                <w:szCs w:val="16"/>
              </w:rPr>
              <w:t>Πηγή: ΟΔΔΗΧ - ΔΠΓΚ</w:t>
            </w:r>
          </w:p>
        </w:tc>
      </w:tr>
    </w:tbl>
    <w:p w14:paraId="4959B586" w14:textId="52772D45" w:rsidR="00B86F5D" w:rsidRPr="00731128" w:rsidRDefault="00B86F5D" w:rsidP="00B86F5D">
      <w:pPr>
        <w:pStyle w:val="4"/>
      </w:pPr>
      <w:bookmarkStart w:id="323" w:name="_Toc214473761"/>
      <w:r w:rsidRPr="00731128">
        <w:t xml:space="preserve">Μηνιαία </w:t>
      </w:r>
      <w:r>
        <w:t xml:space="preserve">ταμειακή </w:t>
      </w:r>
      <w:r w:rsidRPr="00731128">
        <w:t xml:space="preserve">κατανομή εσόδων </w:t>
      </w:r>
      <w:r>
        <w:t>-</w:t>
      </w:r>
      <w:r w:rsidRPr="00731128">
        <w:t xml:space="preserve"> δαπανών κρατικού προϋπολογισμού 202</w:t>
      </w:r>
      <w:r>
        <w:t>5 επί των μη χρηματοοικονομικών συναλλαγών</w:t>
      </w:r>
      <w:bookmarkEnd w:id="323"/>
    </w:p>
    <w:p w14:paraId="36413CF9" w14:textId="417E8D40" w:rsidR="009F6CD4" w:rsidRDefault="00B86F5D" w:rsidP="009F6CD4">
      <w:pPr>
        <w:spacing w:after="240"/>
      </w:pPr>
      <w:r w:rsidRPr="00154C13">
        <w:t xml:space="preserve">Στον παρακάτω πίνακα </w:t>
      </w:r>
      <w:r w:rsidRPr="00154C13">
        <w:rPr>
          <w:szCs w:val="20"/>
        </w:rPr>
        <w:t>(</w:t>
      </w:r>
      <w:r w:rsidRPr="00154C13">
        <w:rPr>
          <w:szCs w:val="20"/>
        </w:rPr>
        <w:fldChar w:fldCharType="begin"/>
      </w:r>
      <w:r w:rsidRPr="00154C13">
        <w:rPr>
          <w:szCs w:val="20"/>
        </w:rPr>
        <w:instrText xml:space="preserve"> REF _Ref119516449 \h  \* MERGEFORMAT </w:instrText>
      </w:r>
      <w:r w:rsidRPr="00154C13">
        <w:rPr>
          <w:szCs w:val="20"/>
        </w:rPr>
      </w:r>
      <w:r w:rsidRPr="00154C13">
        <w:rPr>
          <w:szCs w:val="20"/>
        </w:rPr>
        <w:fldChar w:fldCharType="separate"/>
      </w:r>
      <w:r w:rsidR="00E15678" w:rsidRPr="00E15678">
        <w:rPr>
          <w:szCs w:val="20"/>
        </w:rPr>
        <w:t>Πίνακας 3.6</w:t>
      </w:r>
      <w:r w:rsidRPr="00154C13">
        <w:rPr>
          <w:szCs w:val="20"/>
        </w:rPr>
        <w:fldChar w:fldCharType="end"/>
      </w:r>
      <w:r w:rsidR="002776DA" w:rsidRPr="00154C13">
        <w:rPr>
          <w:szCs w:val="20"/>
        </w:rPr>
        <w:t>.</w:t>
      </w:r>
      <w:r w:rsidRPr="00154C13">
        <w:rPr>
          <w:szCs w:val="20"/>
        </w:rPr>
        <w:t xml:space="preserve">) </w:t>
      </w:r>
      <w:r w:rsidR="009F6CD4" w:rsidRPr="00154C13">
        <w:rPr>
          <w:szCs w:val="20"/>
        </w:rPr>
        <w:t>παρατίθεται</w:t>
      </w:r>
      <w:r w:rsidR="009F6CD4" w:rsidRPr="00B86F5D">
        <w:t xml:space="preserve"> ενδεικτική μηνιαία </w:t>
      </w:r>
      <w:r w:rsidR="009F6CD4">
        <w:t xml:space="preserve">ταμειακή </w:t>
      </w:r>
      <w:r w:rsidR="009F6CD4" w:rsidRPr="00B86F5D">
        <w:t xml:space="preserve">κατανομή των εσόδων και </w:t>
      </w:r>
      <w:r w:rsidR="009F6CD4" w:rsidRPr="00B86F5D">
        <w:rPr>
          <w:szCs w:val="20"/>
        </w:rPr>
        <w:t>των δαπανών του κρατικού</w:t>
      </w:r>
      <w:r w:rsidR="009F6CD4" w:rsidRPr="00B86F5D">
        <w:t xml:space="preserve"> προϋπολογισμού για το έτος 202</w:t>
      </w:r>
      <w:r w:rsidR="009F6CD4">
        <w:t>6</w:t>
      </w:r>
      <w:r w:rsidR="009F6CD4" w:rsidRPr="00B86F5D">
        <w:t xml:space="preserve"> </w:t>
      </w:r>
      <w:r w:rsidR="009F6CD4">
        <w:t>επί των μη χρηματοοικονομικών συναλλαγών</w:t>
      </w:r>
      <w:r w:rsidR="009F6CD4" w:rsidRPr="00B86F5D">
        <w:t xml:space="preserve"> σε σωρευτική ταμειακή βάση.</w:t>
      </w:r>
    </w:p>
    <w:p w14:paraId="7BB842A4" w14:textId="77777777" w:rsidR="009F6CD4" w:rsidRDefault="009F6CD4">
      <w:pPr>
        <w:spacing w:after="0" w:line="240" w:lineRule="auto"/>
        <w:jc w:val="left"/>
      </w:pPr>
      <w:r>
        <w:br w:type="page"/>
      </w:r>
    </w:p>
    <w:tbl>
      <w:tblPr>
        <w:tblW w:w="1113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ayout w:type="fixed"/>
        <w:tblLook w:val="04A0" w:firstRow="1" w:lastRow="0" w:firstColumn="1" w:lastColumn="0" w:noHBand="0" w:noVBand="1"/>
      </w:tblPr>
      <w:tblGrid>
        <w:gridCol w:w="436"/>
        <w:gridCol w:w="2107"/>
        <w:gridCol w:w="615"/>
        <w:gridCol w:w="716"/>
        <w:gridCol w:w="716"/>
        <w:gridCol w:w="716"/>
        <w:gridCol w:w="686"/>
        <w:gridCol w:w="716"/>
        <w:gridCol w:w="716"/>
        <w:gridCol w:w="762"/>
        <w:gridCol w:w="716"/>
        <w:gridCol w:w="762"/>
        <w:gridCol w:w="716"/>
        <w:gridCol w:w="759"/>
      </w:tblGrid>
      <w:tr w:rsidR="00B86F5D" w:rsidRPr="0094416A" w14:paraId="435E4F7F" w14:textId="77777777" w:rsidTr="00154D55">
        <w:trPr>
          <w:cantSplit/>
          <w:tblHeader/>
          <w:jc w:val="center"/>
        </w:trPr>
        <w:tc>
          <w:tcPr>
            <w:tcW w:w="11139" w:type="dxa"/>
            <w:gridSpan w:val="14"/>
            <w:tcBorders>
              <w:top w:val="single" w:sz="4" w:space="0" w:color="808080" w:themeColor="background1" w:themeShade="80"/>
              <w:bottom w:val="single" w:sz="4" w:space="0" w:color="808080" w:themeColor="background1" w:themeShade="80"/>
            </w:tcBorders>
            <w:shd w:val="clear" w:color="000000" w:fill="D5DCE4"/>
            <w:vAlign w:val="center"/>
            <w:hideMark/>
          </w:tcPr>
          <w:p w14:paraId="5942E480" w14:textId="0B072E54" w:rsidR="008F4A04" w:rsidRDefault="00B86F5D" w:rsidP="008F4A04">
            <w:pPr>
              <w:spacing w:after="0" w:line="276" w:lineRule="auto"/>
              <w:jc w:val="center"/>
              <w:rPr>
                <w:rFonts w:cs="Arial"/>
                <w:b/>
                <w:bCs/>
                <w:color w:val="000000"/>
                <w:sz w:val="18"/>
                <w:szCs w:val="18"/>
              </w:rPr>
            </w:pPr>
            <w:bookmarkStart w:id="324" w:name="_Ref119516449"/>
            <w:bookmarkStart w:id="325" w:name="_Toc214474044"/>
            <w:r w:rsidRPr="00B66794">
              <w:rPr>
                <w:b/>
                <w:sz w:val="18"/>
                <w:szCs w:val="18"/>
              </w:rPr>
              <w:lastRenderedPageBreak/>
              <w:t>Πίνακας 3.</w:t>
            </w:r>
            <w:r w:rsidRPr="00B66794">
              <w:rPr>
                <w:b/>
                <w:sz w:val="18"/>
                <w:szCs w:val="18"/>
              </w:rPr>
              <w:fldChar w:fldCharType="begin"/>
            </w:r>
            <w:r w:rsidRPr="00B66794">
              <w:rPr>
                <w:b/>
                <w:sz w:val="18"/>
                <w:szCs w:val="18"/>
              </w:rPr>
              <w:instrText xml:space="preserve"> SEQ Πίνακας_3. \* ARABIC </w:instrText>
            </w:r>
            <w:r w:rsidRPr="00B66794">
              <w:rPr>
                <w:b/>
                <w:sz w:val="18"/>
                <w:szCs w:val="18"/>
              </w:rPr>
              <w:fldChar w:fldCharType="separate"/>
            </w:r>
            <w:r w:rsidR="00E15678">
              <w:rPr>
                <w:b/>
                <w:noProof/>
                <w:sz w:val="18"/>
                <w:szCs w:val="18"/>
              </w:rPr>
              <w:t>6</w:t>
            </w:r>
            <w:r w:rsidRPr="00B66794">
              <w:rPr>
                <w:b/>
                <w:sz w:val="18"/>
                <w:szCs w:val="18"/>
              </w:rPr>
              <w:fldChar w:fldCharType="end"/>
            </w:r>
            <w:bookmarkEnd w:id="324"/>
            <w:r w:rsidRPr="00B66794">
              <w:rPr>
                <w:b/>
                <w:sz w:val="18"/>
                <w:szCs w:val="18"/>
              </w:rPr>
              <w:t xml:space="preserve">.: </w:t>
            </w:r>
            <w:r w:rsidRPr="00B66794">
              <w:rPr>
                <w:rFonts w:cs="Arial"/>
                <w:b/>
                <w:bCs/>
                <w:color w:val="000000"/>
                <w:sz w:val="18"/>
                <w:szCs w:val="18"/>
              </w:rPr>
              <w:t>Μηνιαία κατανομή εσόδων - δαπανών κρατικού προϋπολογισμού έτους 202</w:t>
            </w:r>
            <w:r w:rsidR="002842FF" w:rsidRPr="002842FF">
              <w:rPr>
                <w:rFonts w:cs="Arial"/>
                <w:b/>
                <w:bCs/>
                <w:color w:val="000000"/>
                <w:sz w:val="18"/>
                <w:szCs w:val="18"/>
              </w:rPr>
              <w:t>6</w:t>
            </w:r>
            <w:r w:rsidRPr="00B66794">
              <w:rPr>
                <w:rFonts w:cs="Arial"/>
                <w:b/>
                <w:bCs/>
                <w:color w:val="000000"/>
                <w:sz w:val="18"/>
                <w:szCs w:val="18"/>
              </w:rPr>
              <w:t xml:space="preserve"> σε σωρευτική ταμειακή βάση</w:t>
            </w:r>
            <w:bookmarkEnd w:id="325"/>
          </w:p>
          <w:p w14:paraId="4E9BA037" w14:textId="247C8D3B" w:rsidR="00B86F5D" w:rsidRPr="0094416A" w:rsidRDefault="00B86F5D" w:rsidP="008F4A04">
            <w:pPr>
              <w:spacing w:after="0" w:line="276" w:lineRule="auto"/>
              <w:jc w:val="center"/>
              <w:rPr>
                <w:rFonts w:cs="Arial"/>
                <w:b/>
                <w:bCs/>
                <w:color w:val="000000"/>
                <w:sz w:val="18"/>
                <w:szCs w:val="18"/>
                <w:highlight w:val="yellow"/>
              </w:rPr>
            </w:pPr>
            <w:r w:rsidRPr="00B66794">
              <w:rPr>
                <w:rFonts w:cs="Arial"/>
                <w:b/>
                <w:bCs/>
                <w:color w:val="000000"/>
                <w:sz w:val="18"/>
                <w:szCs w:val="18"/>
              </w:rPr>
              <w:t>(σε εκατ. ευρώ)</w:t>
            </w:r>
          </w:p>
        </w:tc>
      </w:tr>
      <w:tr w:rsidR="00B86F5D" w:rsidRPr="00FC0B8F" w14:paraId="596FC93D" w14:textId="77777777" w:rsidTr="00154D55">
        <w:trPr>
          <w:cantSplit/>
          <w:tblHeader/>
          <w:jc w:val="center"/>
        </w:trPr>
        <w:tc>
          <w:tcPr>
            <w:tcW w:w="436" w:type="dxa"/>
            <w:tcBorders>
              <w:top w:val="nil"/>
              <w:bottom w:val="single" w:sz="4" w:space="0" w:color="808080" w:themeColor="background1" w:themeShade="80"/>
            </w:tcBorders>
            <w:shd w:val="clear" w:color="auto" w:fill="F2F2F2" w:themeFill="background1" w:themeFillShade="F2"/>
            <w:noWrap/>
            <w:vAlign w:val="center"/>
          </w:tcPr>
          <w:p w14:paraId="141C9C19" w14:textId="2A56BAF8" w:rsidR="00B86F5D" w:rsidRPr="00FC0B8F" w:rsidRDefault="00B86F5D" w:rsidP="00242DDF">
            <w:pPr>
              <w:spacing w:after="0" w:line="276" w:lineRule="auto"/>
              <w:jc w:val="center"/>
              <w:rPr>
                <w:rFonts w:cs="Arial"/>
                <w:b/>
                <w:bCs/>
                <w:sz w:val="14"/>
                <w:szCs w:val="14"/>
              </w:rPr>
            </w:pPr>
          </w:p>
        </w:tc>
        <w:tc>
          <w:tcPr>
            <w:tcW w:w="2107" w:type="dxa"/>
            <w:tcBorders>
              <w:top w:val="nil"/>
              <w:bottom w:val="single" w:sz="4" w:space="0" w:color="808080" w:themeColor="background1" w:themeShade="80"/>
            </w:tcBorders>
            <w:shd w:val="clear" w:color="auto" w:fill="F2F2F2" w:themeFill="background1" w:themeFillShade="F2"/>
            <w:vAlign w:val="center"/>
          </w:tcPr>
          <w:p w14:paraId="289D2035" w14:textId="18E1D28A" w:rsidR="00B86F5D" w:rsidRPr="00FC0B8F" w:rsidRDefault="00B86F5D" w:rsidP="00242DDF">
            <w:pPr>
              <w:spacing w:after="0" w:line="276" w:lineRule="auto"/>
              <w:jc w:val="left"/>
              <w:rPr>
                <w:rFonts w:cs="Arial"/>
                <w:b/>
                <w:bCs/>
                <w:sz w:val="14"/>
                <w:szCs w:val="14"/>
              </w:rPr>
            </w:pPr>
          </w:p>
        </w:tc>
        <w:tc>
          <w:tcPr>
            <w:tcW w:w="615"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2EE962C7"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Ιαν.</w:t>
            </w:r>
          </w:p>
        </w:tc>
        <w:tc>
          <w:tcPr>
            <w:tcW w:w="71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4A7F37BF"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Φεβ.</w:t>
            </w:r>
          </w:p>
        </w:tc>
        <w:tc>
          <w:tcPr>
            <w:tcW w:w="71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0D8A70DB"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Μαρ.</w:t>
            </w:r>
          </w:p>
        </w:tc>
        <w:tc>
          <w:tcPr>
            <w:tcW w:w="71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13184C91"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Απρ.</w:t>
            </w:r>
          </w:p>
        </w:tc>
        <w:tc>
          <w:tcPr>
            <w:tcW w:w="68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263E0356"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Μάιος</w:t>
            </w:r>
          </w:p>
        </w:tc>
        <w:tc>
          <w:tcPr>
            <w:tcW w:w="71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3412B79C"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Ιουν.</w:t>
            </w:r>
          </w:p>
        </w:tc>
        <w:tc>
          <w:tcPr>
            <w:tcW w:w="71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4D1AAC72"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Ιουλ.</w:t>
            </w:r>
          </w:p>
        </w:tc>
        <w:tc>
          <w:tcPr>
            <w:tcW w:w="762"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135663EA"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Αυγ.</w:t>
            </w:r>
          </w:p>
        </w:tc>
        <w:tc>
          <w:tcPr>
            <w:tcW w:w="71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7443BAF5"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Σεπ.</w:t>
            </w:r>
          </w:p>
        </w:tc>
        <w:tc>
          <w:tcPr>
            <w:tcW w:w="762"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6568369F"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Οκτ.</w:t>
            </w:r>
          </w:p>
        </w:tc>
        <w:tc>
          <w:tcPr>
            <w:tcW w:w="71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6A046812"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Νοεμ.</w:t>
            </w:r>
          </w:p>
        </w:tc>
        <w:tc>
          <w:tcPr>
            <w:tcW w:w="759"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hideMark/>
          </w:tcPr>
          <w:p w14:paraId="46197379" w14:textId="77777777" w:rsidR="00B86F5D" w:rsidRPr="00FC0B8F" w:rsidRDefault="00B86F5D" w:rsidP="00154D55">
            <w:pPr>
              <w:spacing w:after="0" w:line="276" w:lineRule="auto"/>
              <w:jc w:val="right"/>
              <w:rPr>
                <w:rFonts w:cs="Arial"/>
                <w:b/>
                <w:bCs/>
                <w:sz w:val="14"/>
                <w:szCs w:val="14"/>
              </w:rPr>
            </w:pPr>
            <w:r w:rsidRPr="00FC0B8F">
              <w:rPr>
                <w:rFonts w:cs="Arial"/>
                <w:b/>
                <w:bCs/>
                <w:sz w:val="14"/>
                <w:szCs w:val="14"/>
              </w:rPr>
              <w:t>Δεκ.</w:t>
            </w:r>
          </w:p>
        </w:tc>
      </w:tr>
      <w:tr w:rsidR="00B66794" w:rsidRPr="00D44B43" w14:paraId="60CF5736" w14:textId="77777777" w:rsidTr="00154D55">
        <w:trPr>
          <w:cantSplit/>
          <w:jc w:val="center"/>
        </w:trPr>
        <w:tc>
          <w:tcPr>
            <w:tcW w:w="436" w:type="dxa"/>
            <w:tcBorders>
              <w:top w:val="single" w:sz="4" w:space="0" w:color="808080" w:themeColor="background1" w:themeShade="80"/>
            </w:tcBorders>
            <w:shd w:val="clear" w:color="auto" w:fill="D5DCE4"/>
            <w:noWrap/>
            <w:vAlign w:val="center"/>
            <w:hideMark/>
          </w:tcPr>
          <w:p w14:paraId="308812A9" w14:textId="77777777" w:rsidR="00B66794" w:rsidRPr="00F14FC1" w:rsidRDefault="00B66794" w:rsidP="00154D55">
            <w:pPr>
              <w:spacing w:after="0" w:line="276" w:lineRule="auto"/>
              <w:jc w:val="center"/>
              <w:rPr>
                <w:rFonts w:cs="Arial"/>
                <w:b/>
                <w:bCs/>
                <w:sz w:val="15"/>
                <w:szCs w:val="15"/>
              </w:rPr>
            </w:pPr>
            <w:r w:rsidRPr="00F14FC1">
              <w:rPr>
                <w:rFonts w:cs="Arial"/>
                <w:b/>
                <w:bCs/>
                <w:sz w:val="15"/>
                <w:szCs w:val="15"/>
              </w:rPr>
              <w:t>I.</w:t>
            </w:r>
          </w:p>
        </w:tc>
        <w:tc>
          <w:tcPr>
            <w:tcW w:w="2107" w:type="dxa"/>
            <w:tcBorders>
              <w:top w:val="single" w:sz="4" w:space="0" w:color="808080" w:themeColor="background1" w:themeShade="80"/>
              <w:right w:val="nil"/>
            </w:tcBorders>
            <w:shd w:val="clear" w:color="auto" w:fill="D5DCE4"/>
            <w:vAlign w:val="center"/>
            <w:hideMark/>
          </w:tcPr>
          <w:p w14:paraId="6F40ADA4" w14:textId="77777777" w:rsidR="00B66794" w:rsidRPr="00F14FC1" w:rsidRDefault="00B66794" w:rsidP="00154D55">
            <w:pPr>
              <w:spacing w:after="0" w:line="276" w:lineRule="auto"/>
              <w:jc w:val="left"/>
              <w:rPr>
                <w:rFonts w:cs="Arial"/>
                <w:b/>
                <w:bCs/>
                <w:sz w:val="15"/>
                <w:szCs w:val="15"/>
              </w:rPr>
            </w:pPr>
            <w:r w:rsidRPr="00F14FC1">
              <w:rPr>
                <w:rFonts w:cs="Arial"/>
                <w:b/>
                <w:bCs/>
                <w:sz w:val="15"/>
                <w:szCs w:val="15"/>
              </w:rPr>
              <w:t>Έσοδα κρατικού προϋπολογισμού</w:t>
            </w:r>
          </w:p>
          <w:p w14:paraId="1F525B06" w14:textId="745A41F1" w:rsidR="00B66794" w:rsidRPr="00F14FC1" w:rsidRDefault="00B66794" w:rsidP="00154D55">
            <w:pPr>
              <w:spacing w:after="0" w:line="276" w:lineRule="auto"/>
              <w:jc w:val="left"/>
              <w:rPr>
                <w:rFonts w:cs="Arial"/>
                <w:b/>
                <w:bCs/>
                <w:sz w:val="15"/>
                <w:szCs w:val="15"/>
              </w:rPr>
            </w:pPr>
            <w:r w:rsidRPr="00F14FC1">
              <w:rPr>
                <w:rFonts w:cs="Arial"/>
                <w:b/>
                <w:bCs/>
                <w:sz w:val="15"/>
                <w:szCs w:val="15"/>
              </w:rPr>
              <w:t>(1+2+3+4+5+6-7)</w:t>
            </w:r>
          </w:p>
        </w:tc>
        <w:tc>
          <w:tcPr>
            <w:tcW w:w="615" w:type="dxa"/>
            <w:tcBorders>
              <w:top w:val="nil"/>
              <w:left w:val="nil"/>
              <w:bottom w:val="nil"/>
              <w:right w:val="nil"/>
            </w:tcBorders>
            <w:shd w:val="clear" w:color="auto" w:fill="D5DCE4"/>
            <w:vAlign w:val="center"/>
          </w:tcPr>
          <w:p w14:paraId="357AC521" w14:textId="5AF2F7B9" w:rsidR="00B66794" w:rsidRPr="006C26F8" w:rsidRDefault="00B66794" w:rsidP="00154D55">
            <w:pPr>
              <w:spacing w:after="0" w:line="276" w:lineRule="auto"/>
              <w:jc w:val="right"/>
              <w:rPr>
                <w:rFonts w:cs="Arial"/>
                <w:b/>
                <w:bCs/>
                <w:sz w:val="15"/>
                <w:szCs w:val="15"/>
              </w:rPr>
            </w:pPr>
            <w:r w:rsidRPr="006C26F8">
              <w:rPr>
                <w:rFonts w:cs="Arial"/>
                <w:b/>
                <w:bCs/>
                <w:sz w:val="15"/>
                <w:szCs w:val="15"/>
              </w:rPr>
              <w:t>6.103</w:t>
            </w:r>
          </w:p>
        </w:tc>
        <w:tc>
          <w:tcPr>
            <w:tcW w:w="716" w:type="dxa"/>
            <w:tcBorders>
              <w:top w:val="nil"/>
              <w:left w:val="nil"/>
              <w:bottom w:val="nil"/>
              <w:right w:val="nil"/>
            </w:tcBorders>
            <w:shd w:val="clear" w:color="auto" w:fill="D5DCE4"/>
            <w:vAlign w:val="center"/>
          </w:tcPr>
          <w:p w14:paraId="41E9558F" w14:textId="36165324" w:rsidR="00B66794" w:rsidRPr="006C26F8" w:rsidRDefault="00B66794" w:rsidP="00154D55">
            <w:pPr>
              <w:spacing w:after="0" w:line="276" w:lineRule="auto"/>
              <w:jc w:val="right"/>
              <w:rPr>
                <w:rFonts w:cs="Arial"/>
                <w:b/>
                <w:bCs/>
                <w:sz w:val="15"/>
                <w:szCs w:val="15"/>
              </w:rPr>
            </w:pPr>
            <w:r w:rsidRPr="006C26F8">
              <w:rPr>
                <w:rFonts w:cs="Arial"/>
                <w:b/>
                <w:bCs/>
                <w:sz w:val="15"/>
                <w:szCs w:val="15"/>
              </w:rPr>
              <w:t>12.113</w:t>
            </w:r>
          </w:p>
        </w:tc>
        <w:tc>
          <w:tcPr>
            <w:tcW w:w="716" w:type="dxa"/>
            <w:tcBorders>
              <w:top w:val="nil"/>
              <w:left w:val="nil"/>
              <w:bottom w:val="nil"/>
              <w:right w:val="nil"/>
            </w:tcBorders>
            <w:shd w:val="clear" w:color="auto" w:fill="D5DCE4"/>
            <w:vAlign w:val="center"/>
          </w:tcPr>
          <w:p w14:paraId="2F842F3C" w14:textId="11806B3D" w:rsidR="00B66794" w:rsidRPr="006C26F8" w:rsidRDefault="00B66794" w:rsidP="00154D55">
            <w:pPr>
              <w:spacing w:after="0" w:line="276" w:lineRule="auto"/>
              <w:jc w:val="right"/>
              <w:rPr>
                <w:rFonts w:cs="Arial"/>
                <w:b/>
                <w:bCs/>
                <w:sz w:val="15"/>
                <w:szCs w:val="15"/>
              </w:rPr>
            </w:pPr>
            <w:r w:rsidRPr="006C26F8">
              <w:rPr>
                <w:rFonts w:cs="Arial"/>
                <w:b/>
                <w:bCs/>
                <w:sz w:val="15"/>
                <w:szCs w:val="15"/>
              </w:rPr>
              <w:t>17.823</w:t>
            </w:r>
          </w:p>
        </w:tc>
        <w:tc>
          <w:tcPr>
            <w:tcW w:w="716" w:type="dxa"/>
            <w:tcBorders>
              <w:top w:val="nil"/>
              <w:left w:val="nil"/>
              <w:bottom w:val="nil"/>
              <w:right w:val="nil"/>
            </w:tcBorders>
            <w:shd w:val="clear" w:color="auto" w:fill="D5DCE4"/>
            <w:vAlign w:val="center"/>
          </w:tcPr>
          <w:p w14:paraId="7D14D3EE" w14:textId="069ED0DD" w:rsidR="00B66794" w:rsidRPr="006C26F8" w:rsidRDefault="00B66794" w:rsidP="00154D55">
            <w:pPr>
              <w:spacing w:after="0" w:line="276" w:lineRule="auto"/>
              <w:jc w:val="right"/>
              <w:rPr>
                <w:rFonts w:cs="Arial"/>
                <w:b/>
                <w:bCs/>
                <w:sz w:val="15"/>
                <w:szCs w:val="15"/>
              </w:rPr>
            </w:pPr>
            <w:r w:rsidRPr="006C26F8">
              <w:rPr>
                <w:rFonts w:cs="Arial"/>
                <w:b/>
                <w:bCs/>
                <w:sz w:val="15"/>
                <w:szCs w:val="15"/>
              </w:rPr>
              <w:t>23.065</w:t>
            </w:r>
          </w:p>
        </w:tc>
        <w:tc>
          <w:tcPr>
            <w:tcW w:w="686" w:type="dxa"/>
            <w:tcBorders>
              <w:top w:val="nil"/>
              <w:left w:val="nil"/>
              <w:bottom w:val="nil"/>
              <w:right w:val="nil"/>
            </w:tcBorders>
            <w:shd w:val="clear" w:color="auto" w:fill="D5DCE4"/>
            <w:vAlign w:val="center"/>
          </w:tcPr>
          <w:p w14:paraId="23134813" w14:textId="15BF6FA0" w:rsidR="00B66794" w:rsidRPr="006C26F8" w:rsidRDefault="00B66794" w:rsidP="00154D55">
            <w:pPr>
              <w:spacing w:after="0" w:line="276" w:lineRule="auto"/>
              <w:jc w:val="right"/>
              <w:rPr>
                <w:rFonts w:cs="Arial"/>
                <w:b/>
                <w:bCs/>
                <w:sz w:val="15"/>
                <w:szCs w:val="15"/>
              </w:rPr>
            </w:pPr>
            <w:r w:rsidRPr="006C26F8">
              <w:rPr>
                <w:rFonts w:cs="Arial"/>
                <w:b/>
                <w:bCs/>
                <w:sz w:val="15"/>
                <w:szCs w:val="15"/>
              </w:rPr>
              <w:t>27.687</w:t>
            </w:r>
          </w:p>
        </w:tc>
        <w:tc>
          <w:tcPr>
            <w:tcW w:w="716" w:type="dxa"/>
            <w:tcBorders>
              <w:top w:val="nil"/>
              <w:left w:val="nil"/>
              <w:bottom w:val="nil"/>
              <w:right w:val="nil"/>
            </w:tcBorders>
            <w:shd w:val="clear" w:color="auto" w:fill="D5DCE4"/>
            <w:vAlign w:val="center"/>
          </w:tcPr>
          <w:p w14:paraId="35C0C90F" w14:textId="6C2A0F96" w:rsidR="00B66794" w:rsidRPr="006C26F8" w:rsidRDefault="00B66794" w:rsidP="00154D55">
            <w:pPr>
              <w:spacing w:after="0" w:line="276" w:lineRule="auto"/>
              <w:jc w:val="right"/>
              <w:rPr>
                <w:rFonts w:cs="Arial"/>
                <w:b/>
                <w:bCs/>
                <w:sz w:val="15"/>
                <w:szCs w:val="15"/>
              </w:rPr>
            </w:pPr>
            <w:r w:rsidRPr="006C26F8">
              <w:rPr>
                <w:rFonts w:cs="Arial"/>
                <w:b/>
                <w:bCs/>
                <w:sz w:val="15"/>
                <w:szCs w:val="15"/>
              </w:rPr>
              <w:t>34.933</w:t>
            </w:r>
          </w:p>
        </w:tc>
        <w:tc>
          <w:tcPr>
            <w:tcW w:w="716" w:type="dxa"/>
            <w:tcBorders>
              <w:top w:val="nil"/>
              <w:left w:val="nil"/>
              <w:bottom w:val="nil"/>
              <w:right w:val="nil"/>
            </w:tcBorders>
            <w:shd w:val="clear" w:color="auto" w:fill="D5DCE4"/>
            <w:vAlign w:val="center"/>
          </w:tcPr>
          <w:p w14:paraId="3FEE1B37" w14:textId="24A4CBC1" w:rsidR="00B66794" w:rsidRPr="006C26F8" w:rsidRDefault="00B66794" w:rsidP="00154D55">
            <w:pPr>
              <w:spacing w:after="0" w:line="276" w:lineRule="auto"/>
              <w:jc w:val="right"/>
              <w:rPr>
                <w:rFonts w:cs="Arial"/>
                <w:b/>
                <w:bCs/>
                <w:sz w:val="15"/>
                <w:szCs w:val="15"/>
              </w:rPr>
            </w:pPr>
            <w:r w:rsidRPr="006C26F8">
              <w:rPr>
                <w:rFonts w:cs="Arial"/>
                <w:b/>
                <w:bCs/>
                <w:sz w:val="15"/>
                <w:szCs w:val="15"/>
              </w:rPr>
              <w:t>43.232</w:t>
            </w:r>
          </w:p>
        </w:tc>
        <w:tc>
          <w:tcPr>
            <w:tcW w:w="762" w:type="dxa"/>
            <w:tcBorders>
              <w:top w:val="nil"/>
              <w:left w:val="nil"/>
              <w:bottom w:val="nil"/>
              <w:right w:val="nil"/>
            </w:tcBorders>
            <w:shd w:val="clear" w:color="auto" w:fill="D5DCE4"/>
            <w:vAlign w:val="center"/>
          </w:tcPr>
          <w:p w14:paraId="2C96F3DC" w14:textId="61297212" w:rsidR="00B66794" w:rsidRPr="006C26F8" w:rsidRDefault="00B66794" w:rsidP="00154D55">
            <w:pPr>
              <w:spacing w:after="0" w:line="276" w:lineRule="auto"/>
              <w:jc w:val="right"/>
              <w:rPr>
                <w:rFonts w:cs="Arial"/>
                <w:b/>
                <w:bCs/>
                <w:sz w:val="15"/>
                <w:szCs w:val="15"/>
              </w:rPr>
            </w:pPr>
            <w:r w:rsidRPr="006C26F8">
              <w:rPr>
                <w:rFonts w:cs="Arial"/>
                <w:b/>
                <w:bCs/>
                <w:sz w:val="15"/>
                <w:szCs w:val="15"/>
              </w:rPr>
              <w:t>49.020</w:t>
            </w:r>
          </w:p>
        </w:tc>
        <w:tc>
          <w:tcPr>
            <w:tcW w:w="716" w:type="dxa"/>
            <w:tcBorders>
              <w:top w:val="nil"/>
              <w:left w:val="nil"/>
              <w:bottom w:val="nil"/>
              <w:right w:val="nil"/>
            </w:tcBorders>
            <w:shd w:val="clear" w:color="auto" w:fill="D5DCE4"/>
            <w:vAlign w:val="center"/>
          </w:tcPr>
          <w:p w14:paraId="36160176" w14:textId="0E09F6E8" w:rsidR="00B66794" w:rsidRPr="006C26F8" w:rsidRDefault="00B66794" w:rsidP="00154D55">
            <w:pPr>
              <w:spacing w:after="0" w:line="276" w:lineRule="auto"/>
              <w:jc w:val="right"/>
              <w:rPr>
                <w:rFonts w:cs="Arial"/>
                <w:b/>
                <w:bCs/>
                <w:sz w:val="15"/>
                <w:szCs w:val="15"/>
              </w:rPr>
            </w:pPr>
            <w:r w:rsidRPr="006C26F8">
              <w:rPr>
                <w:rFonts w:cs="Arial"/>
                <w:b/>
                <w:bCs/>
                <w:sz w:val="15"/>
                <w:szCs w:val="15"/>
              </w:rPr>
              <w:t>55.309</w:t>
            </w:r>
          </w:p>
        </w:tc>
        <w:tc>
          <w:tcPr>
            <w:tcW w:w="762" w:type="dxa"/>
            <w:tcBorders>
              <w:top w:val="nil"/>
              <w:left w:val="nil"/>
              <w:bottom w:val="nil"/>
              <w:right w:val="nil"/>
            </w:tcBorders>
            <w:shd w:val="clear" w:color="auto" w:fill="D5DCE4"/>
            <w:vAlign w:val="center"/>
          </w:tcPr>
          <w:p w14:paraId="0542CABC" w14:textId="2F51D802" w:rsidR="00B66794" w:rsidRPr="006C26F8" w:rsidRDefault="00B66794" w:rsidP="00154D55">
            <w:pPr>
              <w:spacing w:after="0" w:line="276" w:lineRule="auto"/>
              <w:jc w:val="right"/>
              <w:rPr>
                <w:rFonts w:cs="Arial"/>
                <w:b/>
                <w:bCs/>
                <w:sz w:val="15"/>
                <w:szCs w:val="15"/>
              </w:rPr>
            </w:pPr>
            <w:r w:rsidRPr="006C26F8">
              <w:rPr>
                <w:rFonts w:cs="Arial"/>
                <w:b/>
                <w:bCs/>
                <w:sz w:val="15"/>
                <w:szCs w:val="15"/>
              </w:rPr>
              <w:t>61.684</w:t>
            </w:r>
          </w:p>
        </w:tc>
        <w:tc>
          <w:tcPr>
            <w:tcW w:w="716" w:type="dxa"/>
            <w:tcBorders>
              <w:top w:val="nil"/>
              <w:left w:val="nil"/>
              <w:bottom w:val="nil"/>
              <w:right w:val="nil"/>
            </w:tcBorders>
            <w:shd w:val="clear" w:color="auto" w:fill="D5DCE4"/>
            <w:vAlign w:val="center"/>
          </w:tcPr>
          <w:p w14:paraId="6E6850FB" w14:textId="71D88144" w:rsidR="00B66794" w:rsidRPr="006C26F8" w:rsidRDefault="00B66794" w:rsidP="00154D55">
            <w:pPr>
              <w:spacing w:after="0" w:line="276" w:lineRule="auto"/>
              <w:jc w:val="right"/>
              <w:rPr>
                <w:rFonts w:cs="Arial"/>
                <w:b/>
                <w:bCs/>
                <w:sz w:val="15"/>
                <w:szCs w:val="15"/>
              </w:rPr>
            </w:pPr>
            <w:r w:rsidRPr="006C26F8">
              <w:rPr>
                <w:rFonts w:cs="Arial"/>
                <w:b/>
                <w:bCs/>
                <w:sz w:val="15"/>
                <w:szCs w:val="15"/>
              </w:rPr>
              <w:t>68.075</w:t>
            </w:r>
          </w:p>
        </w:tc>
        <w:tc>
          <w:tcPr>
            <w:tcW w:w="759" w:type="dxa"/>
            <w:tcBorders>
              <w:top w:val="single" w:sz="4" w:space="0" w:color="808080" w:themeColor="background1" w:themeShade="80"/>
              <w:left w:val="nil"/>
              <w:bottom w:val="nil"/>
              <w:right w:val="single" w:sz="4" w:space="0" w:color="808080" w:themeColor="background1" w:themeShade="80"/>
            </w:tcBorders>
            <w:shd w:val="clear" w:color="auto" w:fill="D5DCE4"/>
            <w:vAlign w:val="center"/>
          </w:tcPr>
          <w:p w14:paraId="32F7A059" w14:textId="19E404EB" w:rsidR="00B66794" w:rsidRPr="006C26F8" w:rsidRDefault="00B66794" w:rsidP="00154D55">
            <w:pPr>
              <w:spacing w:after="0" w:line="276" w:lineRule="auto"/>
              <w:jc w:val="right"/>
              <w:rPr>
                <w:rFonts w:cs="Arial"/>
                <w:b/>
                <w:bCs/>
                <w:sz w:val="15"/>
                <w:szCs w:val="15"/>
              </w:rPr>
            </w:pPr>
            <w:r w:rsidRPr="006C26F8">
              <w:rPr>
                <w:rFonts w:cs="Arial"/>
                <w:b/>
                <w:bCs/>
                <w:sz w:val="15"/>
                <w:szCs w:val="15"/>
              </w:rPr>
              <w:t>80.248</w:t>
            </w:r>
          </w:p>
        </w:tc>
      </w:tr>
      <w:tr w:rsidR="00B66794" w:rsidRPr="00D44B43" w14:paraId="4E5FCBA2" w14:textId="77777777" w:rsidTr="00154D55">
        <w:trPr>
          <w:cantSplit/>
          <w:jc w:val="center"/>
        </w:trPr>
        <w:tc>
          <w:tcPr>
            <w:tcW w:w="436" w:type="dxa"/>
            <w:shd w:val="clear" w:color="auto" w:fill="auto"/>
            <w:noWrap/>
            <w:vAlign w:val="center"/>
            <w:hideMark/>
          </w:tcPr>
          <w:p w14:paraId="0D51AD81" w14:textId="77777777" w:rsidR="00B66794" w:rsidRPr="00F14FC1" w:rsidRDefault="00B66794" w:rsidP="00154D55">
            <w:pPr>
              <w:spacing w:after="0" w:line="276" w:lineRule="auto"/>
              <w:jc w:val="center"/>
              <w:rPr>
                <w:rFonts w:cs="Arial"/>
                <w:sz w:val="15"/>
                <w:szCs w:val="15"/>
              </w:rPr>
            </w:pPr>
            <w:r w:rsidRPr="00F14FC1">
              <w:rPr>
                <w:rFonts w:cs="Arial"/>
                <w:sz w:val="15"/>
                <w:szCs w:val="15"/>
              </w:rPr>
              <w:t>1</w:t>
            </w:r>
          </w:p>
        </w:tc>
        <w:tc>
          <w:tcPr>
            <w:tcW w:w="2107" w:type="dxa"/>
            <w:tcBorders>
              <w:right w:val="nil"/>
            </w:tcBorders>
            <w:shd w:val="clear" w:color="auto" w:fill="auto"/>
            <w:vAlign w:val="center"/>
            <w:hideMark/>
          </w:tcPr>
          <w:p w14:paraId="1179DD25" w14:textId="77777777" w:rsidR="00B66794" w:rsidRPr="00F14FC1" w:rsidRDefault="00B66794" w:rsidP="00154D55">
            <w:pPr>
              <w:spacing w:after="0" w:line="276" w:lineRule="auto"/>
              <w:jc w:val="left"/>
              <w:rPr>
                <w:rFonts w:cs="Arial"/>
                <w:sz w:val="15"/>
                <w:szCs w:val="15"/>
              </w:rPr>
            </w:pPr>
            <w:r w:rsidRPr="00F14FC1">
              <w:rPr>
                <w:rFonts w:cs="Arial"/>
                <w:sz w:val="15"/>
                <w:szCs w:val="15"/>
              </w:rPr>
              <w:t>Φόροι</w:t>
            </w:r>
          </w:p>
        </w:tc>
        <w:tc>
          <w:tcPr>
            <w:tcW w:w="615" w:type="dxa"/>
            <w:tcBorders>
              <w:top w:val="nil"/>
              <w:left w:val="nil"/>
              <w:bottom w:val="nil"/>
              <w:right w:val="nil"/>
            </w:tcBorders>
            <w:shd w:val="clear" w:color="auto" w:fill="auto"/>
            <w:vAlign w:val="center"/>
          </w:tcPr>
          <w:p w14:paraId="0B259F86" w14:textId="414E7F5C" w:rsidR="00B66794" w:rsidRPr="006C26F8" w:rsidRDefault="00B66794" w:rsidP="00154D55">
            <w:pPr>
              <w:spacing w:after="0" w:line="276" w:lineRule="auto"/>
              <w:jc w:val="right"/>
              <w:rPr>
                <w:rFonts w:cs="Arial"/>
                <w:sz w:val="15"/>
                <w:szCs w:val="15"/>
              </w:rPr>
            </w:pPr>
            <w:r w:rsidRPr="006C26F8">
              <w:rPr>
                <w:rFonts w:cs="Arial"/>
                <w:sz w:val="15"/>
                <w:szCs w:val="15"/>
              </w:rPr>
              <w:t>6.136</w:t>
            </w:r>
          </w:p>
        </w:tc>
        <w:tc>
          <w:tcPr>
            <w:tcW w:w="716" w:type="dxa"/>
            <w:tcBorders>
              <w:top w:val="nil"/>
              <w:left w:val="nil"/>
              <w:bottom w:val="nil"/>
              <w:right w:val="nil"/>
            </w:tcBorders>
            <w:shd w:val="clear" w:color="auto" w:fill="auto"/>
            <w:vAlign w:val="center"/>
          </w:tcPr>
          <w:p w14:paraId="3D658B4E" w14:textId="7B78C3B6" w:rsidR="00B66794" w:rsidRPr="006C26F8" w:rsidRDefault="00B66794" w:rsidP="00154D55">
            <w:pPr>
              <w:spacing w:after="0" w:line="276" w:lineRule="auto"/>
              <w:jc w:val="right"/>
              <w:rPr>
                <w:rFonts w:cs="Arial"/>
                <w:sz w:val="15"/>
                <w:szCs w:val="15"/>
              </w:rPr>
            </w:pPr>
            <w:r w:rsidRPr="006C26F8">
              <w:rPr>
                <w:rFonts w:cs="Arial"/>
                <w:sz w:val="15"/>
                <w:szCs w:val="15"/>
              </w:rPr>
              <w:t>11.860</w:t>
            </w:r>
          </w:p>
        </w:tc>
        <w:tc>
          <w:tcPr>
            <w:tcW w:w="716" w:type="dxa"/>
            <w:tcBorders>
              <w:top w:val="nil"/>
              <w:left w:val="nil"/>
              <w:bottom w:val="nil"/>
              <w:right w:val="nil"/>
            </w:tcBorders>
            <w:shd w:val="clear" w:color="auto" w:fill="auto"/>
            <w:vAlign w:val="center"/>
          </w:tcPr>
          <w:p w14:paraId="7B9E0EF1" w14:textId="62F90E68" w:rsidR="00B66794" w:rsidRPr="006C26F8" w:rsidRDefault="00B66794" w:rsidP="00154D55">
            <w:pPr>
              <w:spacing w:after="0" w:line="276" w:lineRule="auto"/>
              <w:jc w:val="right"/>
              <w:rPr>
                <w:rFonts w:cs="Arial"/>
                <w:sz w:val="15"/>
                <w:szCs w:val="15"/>
              </w:rPr>
            </w:pPr>
            <w:r w:rsidRPr="006C26F8">
              <w:rPr>
                <w:rFonts w:cs="Arial"/>
                <w:sz w:val="15"/>
                <w:szCs w:val="15"/>
              </w:rPr>
              <w:t>16.874</w:t>
            </w:r>
          </w:p>
        </w:tc>
        <w:tc>
          <w:tcPr>
            <w:tcW w:w="716" w:type="dxa"/>
            <w:tcBorders>
              <w:top w:val="nil"/>
              <w:left w:val="nil"/>
              <w:bottom w:val="nil"/>
              <w:right w:val="nil"/>
            </w:tcBorders>
            <w:shd w:val="clear" w:color="auto" w:fill="auto"/>
            <w:vAlign w:val="center"/>
          </w:tcPr>
          <w:p w14:paraId="79B02B0F" w14:textId="07AA9E33" w:rsidR="00B66794" w:rsidRPr="006C26F8" w:rsidRDefault="00B66794" w:rsidP="00154D55">
            <w:pPr>
              <w:spacing w:after="0" w:line="276" w:lineRule="auto"/>
              <w:jc w:val="right"/>
              <w:rPr>
                <w:rFonts w:cs="Arial"/>
                <w:sz w:val="15"/>
                <w:szCs w:val="15"/>
              </w:rPr>
            </w:pPr>
            <w:r w:rsidRPr="006C26F8">
              <w:rPr>
                <w:rFonts w:cs="Arial"/>
                <w:sz w:val="15"/>
                <w:szCs w:val="15"/>
              </w:rPr>
              <w:t>22.340</w:t>
            </w:r>
          </w:p>
        </w:tc>
        <w:tc>
          <w:tcPr>
            <w:tcW w:w="686" w:type="dxa"/>
            <w:tcBorders>
              <w:top w:val="nil"/>
              <w:left w:val="nil"/>
              <w:bottom w:val="nil"/>
              <w:right w:val="nil"/>
            </w:tcBorders>
            <w:shd w:val="clear" w:color="auto" w:fill="auto"/>
            <w:vAlign w:val="center"/>
          </w:tcPr>
          <w:p w14:paraId="7670D3DC" w14:textId="3783CC04" w:rsidR="00B66794" w:rsidRPr="006C26F8" w:rsidRDefault="00B66794" w:rsidP="00154D55">
            <w:pPr>
              <w:spacing w:after="0" w:line="276" w:lineRule="auto"/>
              <w:jc w:val="right"/>
              <w:rPr>
                <w:rFonts w:cs="Arial"/>
                <w:sz w:val="15"/>
                <w:szCs w:val="15"/>
              </w:rPr>
            </w:pPr>
            <w:r w:rsidRPr="006C26F8">
              <w:rPr>
                <w:rFonts w:cs="Arial"/>
                <w:sz w:val="15"/>
                <w:szCs w:val="15"/>
              </w:rPr>
              <w:t>27.418</w:t>
            </w:r>
          </w:p>
        </w:tc>
        <w:tc>
          <w:tcPr>
            <w:tcW w:w="716" w:type="dxa"/>
            <w:tcBorders>
              <w:top w:val="nil"/>
              <w:left w:val="nil"/>
              <w:bottom w:val="nil"/>
              <w:right w:val="nil"/>
            </w:tcBorders>
            <w:shd w:val="clear" w:color="auto" w:fill="auto"/>
            <w:vAlign w:val="center"/>
          </w:tcPr>
          <w:p w14:paraId="617C9109" w14:textId="563685DA" w:rsidR="00B66794" w:rsidRPr="006C26F8" w:rsidRDefault="00B66794" w:rsidP="00154D55">
            <w:pPr>
              <w:spacing w:after="0" w:line="276" w:lineRule="auto"/>
              <w:jc w:val="right"/>
              <w:rPr>
                <w:rFonts w:cs="Arial"/>
                <w:sz w:val="15"/>
                <w:szCs w:val="15"/>
              </w:rPr>
            </w:pPr>
            <w:r w:rsidRPr="006C26F8">
              <w:rPr>
                <w:rFonts w:cs="Arial"/>
                <w:sz w:val="15"/>
                <w:szCs w:val="15"/>
              </w:rPr>
              <w:t>32.799</w:t>
            </w:r>
          </w:p>
        </w:tc>
        <w:tc>
          <w:tcPr>
            <w:tcW w:w="716" w:type="dxa"/>
            <w:tcBorders>
              <w:top w:val="nil"/>
              <w:left w:val="nil"/>
              <w:bottom w:val="nil"/>
              <w:right w:val="nil"/>
            </w:tcBorders>
            <w:shd w:val="clear" w:color="auto" w:fill="auto"/>
            <w:vAlign w:val="center"/>
          </w:tcPr>
          <w:p w14:paraId="02D4F8B0" w14:textId="04B9D238" w:rsidR="00B66794" w:rsidRPr="006C26F8" w:rsidRDefault="00B66794" w:rsidP="00154D55">
            <w:pPr>
              <w:spacing w:after="0" w:line="276" w:lineRule="auto"/>
              <w:jc w:val="right"/>
              <w:rPr>
                <w:rFonts w:cs="Arial"/>
                <w:sz w:val="15"/>
                <w:szCs w:val="15"/>
              </w:rPr>
            </w:pPr>
            <w:r w:rsidRPr="006C26F8">
              <w:rPr>
                <w:rFonts w:cs="Arial"/>
                <w:sz w:val="15"/>
                <w:szCs w:val="15"/>
              </w:rPr>
              <w:t>41.363</w:t>
            </w:r>
          </w:p>
        </w:tc>
        <w:tc>
          <w:tcPr>
            <w:tcW w:w="762" w:type="dxa"/>
            <w:tcBorders>
              <w:top w:val="nil"/>
              <w:left w:val="nil"/>
              <w:bottom w:val="nil"/>
              <w:right w:val="nil"/>
            </w:tcBorders>
            <w:shd w:val="clear" w:color="auto" w:fill="auto"/>
            <w:vAlign w:val="center"/>
          </w:tcPr>
          <w:p w14:paraId="3F55396D" w14:textId="67C24F89" w:rsidR="00B66794" w:rsidRPr="006C26F8" w:rsidRDefault="00B66794" w:rsidP="00154D55">
            <w:pPr>
              <w:spacing w:after="0" w:line="276" w:lineRule="auto"/>
              <w:jc w:val="right"/>
              <w:rPr>
                <w:rFonts w:cs="Arial"/>
                <w:sz w:val="15"/>
                <w:szCs w:val="15"/>
              </w:rPr>
            </w:pPr>
            <w:r w:rsidRPr="006C26F8">
              <w:rPr>
                <w:rFonts w:cs="Arial"/>
                <w:sz w:val="15"/>
                <w:szCs w:val="15"/>
              </w:rPr>
              <w:t>47.687</w:t>
            </w:r>
          </w:p>
        </w:tc>
        <w:tc>
          <w:tcPr>
            <w:tcW w:w="716" w:type="dxa"/>
            <w:tcBorders>
              <w:top w:val="nil"/>
              <w:left w:val="nil"/>
              <w:bottom w:val="nil"/>
              <w:right w:val="nil"/>
            </w:tcBorders>
            <w:shd w:val="clear" w:color="auto" w:fill="auto"/>
            <w:vAlign w:val="center"/>
          </w:tcPr>
          <w:p w14:paraId="4388DB00" w14:textId="24722685" w:rsidR="00B66794" w:rsidRPr="006C26F8" w:rsidRDefault="00B66794" w:rsidP="00154D55">
            <w:pPr>
              <w:spacing w:after="0" w:line="276" w:lineRule="auto"/>
              <w:jc w:val="right"/>
              <w:rPr>
                <w:rFonts w:cs="Arial"/>
                <w:sz w:val="15"/>
                <w:szCs w:val="15"/>
              </w:rPr>
            </w:pPr>
            <w:r w:rsidRPr="006C26F8">
              <w:rPr>
                <w:rFonts w:cs="Arial"/>
                <w:sz w:val="15"/>
                <w:szCs w:val="15"/>
              </w:rPr>
              <w:t>54.099</w:t>
            </w:r>
          </w:p>
        </w:tc>
        <w:tc>
          <w:tcPr>
            <w:tcW w:w="762" w:type="dxa"/>
            <w:tcBorders>
              <w:top w:val="nil"/>
              <w:left w:val="nil"/>
              <w:bottom w:val="nil"/>
              <w:right w:val="nil"/>
            </w:tcBorders>
            <w:shd w:val="clear" w:color="auto" w:fill="auto"/>
            <w:vAlign w:val="center"/>
          </w:tcPr>
          <w:p w14:paraId="744655A8" w14:textId="4A3C776F" w:rsidR="00B66794" w:rsidRPr="006C26F8" w:rsidRDefault="00B66794" w:rsidP="00154D55">
            <w:pPr>
              <w:spacing w:after="0" w:line="276" w:lineRule="auto"/>
              <w:jc w:val="right"/>
              <w:rPr>
                <w:rFonts w:cs="Arial"/>
                <w:sz w:val="15"/>
                <w:szCs w:val="15"/>
              </w:rPr>
            </w:pPr>
            <w:r w:rsidRPr="006C26F8">
              <w:rPr>
                <w:rFonts w:cs="Arial"/>
                <w:sz w:val="15"/>
                <w:szCs w:val="15"/>
              </w:rPr>
              <w:t>60.778</w:t>
            </w:r>
          </w:p>
        </w:tc>
        <w:tc>
          <w:tcPr>
            <w:tcW w:w="716" w:type="dxa"/>
            <w:tcBorders>
              <w:top w:val="nil"/>
              <w:left w:val="nil"/>
              <w:bottom w:val="nil"/>
              <w:right w:val="nil"/>
            </w:tcBorders>
            <w:shd w:val="clear" w:color="auto" w:fill="auto"/>
            <w:vAlign w:val="center"/>
          </w:tcPr>
          <w:p w14:paraId="4950F2E2" w14:textId="0CBEC33B" w:rsidR="00B66794" w:rsidRPr="006C26F8" w:rsidRDefault="00B66794" w:rsidP="00154D55">
            <w:pPr>
              <w:spacing w:after="0" w:line="276" w:lineRule="auto"/>
              <w:jc w:val="right"/>
              <w:rPr>
                <w:rFonts w:cs="Arial"/>
                <w:sz w:val="15"/>
                <w:szCs w:val="15"/>
              </w:rPr>
            </w:pPr>
            <w:r w:rsidRPr="006C26F8">
              <w:rPr>
                <w:rFonts w:cs="Arial"/>
                <w:sz w:val="15"/>
                <w:szCs w:val="15"/>
              </w:rPr>
              <w:t>66.516</w:t>
            </w:r>
          </w:p>
        </w:tc>
        <w:tc>
          <w:tcPr>
            <w:tcW w:w="759" w:type="dxa"/>
            <w:tcBorders>
              <w:top w:val="nil"/>
              <w:left w:val="nil"/>
              <w:bottom w:val="nil"/>
              <w:right w:val="single" w:sz="4" w:space="0" w:color="808080" w:themeColor="background1" w:themeShade="80"/>
            </w:tcBorders>
            <w:shd w:val="clear" w:color="auto" w:fill="auto"/>
            <w:vAlign w:val="center"/>
          </w:tcPr>
          <w:p w14:paraId="4182B4D3" w14:textId="0D54631D" w:rsidR="00B66794" w:rsidRPr="006C26F8" w:rsidRDefault="00B66794" w:rsidP="00154D55">
            <w:pPr>
              <w:spacing w:after="0" w:line="276" w:lineRule="auto"/>
              <w:jc w:val="right"/>
              <w:rPr>
                <w:rFonts w:cs="Arial"/>
                <w:sz w:val="15"/>
                <w:szCs w:val="15"/>
              </w:rPr>
            </w:pPr>
            <w:r w:rsidRPr="006C26F8">
              <w:rPr>
                <w:rFonts w:cs="Arial"/>
                <w:sz w:val="15"/>
                <w:szCs w:val="15"/>
              </w:rPr>
              <w:t>73.477</w:t>
            </w:r>
          </w:p>
        </w:tc>
      </w:tr>
      <w:tr w:rsidR="00B66794" w:rsidRPr="00D44B43" w14:paraId="68331E28" w14:textId="77777777" w:rsidTr="00154D55">
        <w:trPr>
          <w:cantSplit/>
          <w:jc w:val="center"/>
        </w:trPr>
        <w:tc>
          <w:tcPr>
            <w:tcW w:w="436" w:type="dxa"/>
            <w:shd w:val="clear" w:color="auto" w:fill="auto"/>
            <w:noWrap/>
            <w:vAlign w:val="center"/>
            <w:hideMark/>
          </w:tcPr>
          <w:p w14:paraId="4C13DC8B" w14:textId="77777777" w:rsidR="00B66794" w:rsidRPr="00F14FC1" w:rsidRDefault="00B66794" w:rsidP="00154D55">
            <w:pPr>
              <w:spacing w:after="0" w:line="276" w:lineRule="auto"/>
              <w:jc w:val="center"/>
              <w:rPr>
                <w:rFonts w:cs="Arial"/>
                <w:sz w:val="15"/>
                <w:szCs w:val="15"/>
              </w:rPr>
            </w:pPr>
            <w:r w:rsidRPr="00F14FC1">
              <w:rPr>
                <w:rFonts w:cs="Arial"/>
                <w:sz w:val="15"/>
                <w:szCs w:val="15"/>
              </w:rPr>
              <w:t>2</w:t>
            </w:r>
          </w:p>
        </w:tc>
        <w:tc>
          <w:tcPr>
            <w:tcW w:w="2107" w:type="dxa"/>
            <w:tcBorders>
              <w:right w:val="nil"/>
            </w:tcBorders>
            <w:shd w:val="clear" w:color="auto" w:fill="auto"/>
            <w:vAlign w:val="center"/>
            <w:hideMark/>
          </w:tcPr>
          <w:p w14:paraId="3100A068" w14:textId="77777777" w:rsidR="00B66794" w:rsidRPr="00F14FC1" w:rsidRDefault="00B66794" w:rsidP="00154D55">
            <w:pPr>
              <w:spacing w:after="0" w:line="276" w:lineRule="auto"/>
              <w:jc w:val="left"/>
              <w:rPr>
                <w:rFonts w:cs="Arial"/>
                <w:sz w:val="15"/>
                <w:szCs w:val="15"/>
              </w:rPr>
            </w:pPr>
            <w:r w:rsidRPr="00F14FC1">
              <w:rPr>
                <w:rFonts w:cs="Arial"/>
                <w:sz w:val="15"/>
                <w:szCs w:val="15"/>
              </w:rPr>
              <w:t>Κοινωνικές εισφορές</w:t>
            </w:r>
          </w:p>
        </w:tc>
        <w:tc>
          <w:tcPr>
            <w:tcW w:w="615" w:type="dxa"/>
            <w:tcBorders>
              <w:top w:val="nil"/>
              <w:left w:val="nil"/>
              <w:bottom w:val="nil"/>
              <w:right w:val="nil"/>
            </w:tcBorders>
            <w:shd w:val="clear" w:color="auto" w:fill="auto"/>
            <w:vAlign w:val="center"/>
          </w:tcPr>
          <w:p w14:paraId="00167C71" w14:textId="796AF73E" w:rsidR="00B66794" w:rsidRPr="006C26F8" w:rsidRDefault="00B66794" w:rsidP="00154D55">
            <w:pPr>
              <w:spacing w:after="0" w:line="276" w:lineRule="auto"/>
              <w:jc w:val="right"/>
              <w:rPr>
                <w:rFonts w:cs="Arial"/>
                <w:sz w:val="15"/>
                <w:szCs w:val="15"/>
              </w:rPr>
            </w:pPr>
            <w:r w:rsidRPr="006C26F8">
              <w:rPr>
                <w:rFonts w:cs="Arial"/>
                <w:sz w:val="15"/>
                <w:szCs w:val="15"/>
              </w:rPr>
              <w:t>5</w:t>
            </w:r>
          </w:p>
        </w:tc>
        <w:tc>
          <w:tcPr>
            <w:tcW w:w="716" w:type="dxa"/>
            <w:tcBorders>
              <w:top w:val="nil"/>
              <w:left w:val="nil"/>
              <w:bottom w:val="nil"/>
              <w:right w:val="nil"/>
            </w:tcBorders>
            <w:shd w:val="clear" w:color="auto" w:fill="auto"/>
            <w:vAlign w:val="center"/>
          </w:tcPr>
          <w:p w14:paraId="79B0B98A" w14:textId="179C1012" w:rsidR="00B66794" w:rsidRPr="006C26F8" w:rsidRDefault="00B66794" w:rsidP="00154D55">
            <w:pPr>
              <w:spacing w:after="0" w:line="276" w:lineRule="auto"/>
              <w:jc w:val="right"/>
              <w:rPr>
                <w:rFonts w:cs="Arial"/>
                <w:sz w:val="15"/>
                <w:szCs w:val="15"/>
              </w:rPr>
            </w:pPr>
            <w:r w:rsidRPr="006C26F8">
              <w:rPr>
                <w:rFonts w:cs="Arial"/>
                <w:sz w:val="15"/>
                <w:szCs w:val="15"/>
              </w:rPr>
              <w:t>10</w:t>
            </w:r>
          </w:p>
        </w:tc>
        <w:tc>
          <w:tcPr>
            <w:tcW w:w="716" w:type="dxa"/>
            <w:tcBorders>
              <w:top w:val="nil"/>
              <w:left w:val="nil"/>
              <w:bottom w:val="nil"/>
              <w:right w:val="nil"/>
            </w:tcBorders>
            <w:shd w:val="clear" w:color="auto" w:fill="auto"/>
            <w:vAlign w:val="center"/>
          </w:tcPr>
          <w:p w14:paraId="0BCACFB5" w14:textId="59213078" w:rsidR="00B66794" w:rsidRPr="006C26F8" w:rsidRDefault="00B66794" w:rsidP="00154D55">
            <w:pPr>
              <w:spacing w:after="0" w:line="276" w:lineRule="auto"/>
              <w:jc w:val="right"/>
              <w:rPr>
                <w:rFonts w:cs="Arial"/>
                <w:sz w:val="15"/>
                <w:szCs w:val="15"/>
              </w:rPr>
            </w:pPr>
            <w:r w:rsidRPr="006C26F8">
              <w:rPr>
                <w:rFonts w:cs="Arial"/>
                <w:sz w:val="15"/>
                <w:szCs w:val="15"/>
              </w:rPr>
              <w:t>15</w:t>
            </w:r>
          </w:p>
        </w:tc>
        <w:tc>
          <w:tcPr>
            <w:tcW w:w="716" w:type="dxa"/>
            <w:tcBorders>
              <w:top w:val="nil"/>
              <w:left w:val="nil"/>
              <w:bottom w:val="nil"/>
              <w:right w:val="nil"/>
            </w:tcBorders>
            <w:shd w:val="clear" w:color="auto" w:fill="auto"/>
            <w:vAlign w:val="center"/>
          </w:tcPr>
          <w:p w14:paraId="7E8F1B81" w14:textId="694D52B1" w:rsidR="00B66794" w:rsidRPr="006C26F8" w:rsidRDefault="00B66794" w:rsidP="00154D55">
            <w:pPr>
              <w:spacing w:after="0" w:line="276" w:lineRule="auto"/>
              <w:jc w:val="right"/>
              <w:rPr>
                <w:rFonts w:cs="Arial"/>
                <w:sz w:val="15"/>
                <w:szCs w:val="15"/>
              </w:rPr>
            </w:pPr>
            <w:r w:rsidRPr="006C26F8">
              <w:rPr>
                <w:rFonts w:cs="Arial"/>
                <w:sz w:val="15"/>
                <w:szCs w:val="15"/>
              </w:rPr>
              <w:t>20</w:t>
            </w:r>
          </w:p>
        </w:tc>
        <w:tc>
          <w:tcPr>
            <w:tcW w:w="686" w:type="dxa"/>
            <w:tcBorders>
              <w:top w:val="nil"/>
              <w:left w:val="nil"/>
              <w:bottom w:val="nil"/>
              <w:right w:val="nil"/>
            </w:tcBorders>
            <w:shd w:val="clear" w:color="auto" w:fill="auto"/>
            <w:vAlign w:val="center"/>
          </w:tcPr>
          <w:p w14:paraId="531F3260" w14:textId="566A4E1B" w:rsidR="00B66794" w:rsidRPr="006C26F8" w:rsidRDefault="00B66794" w:rsidP="00154D55">
            <w:pPr>
              <w:spacing w:after="0" w:line="276" w:lineRule="auto"/>
              <w:jc w:val="right"/>
              <w:rPr>
                <w:rFonts w:cs="Arial"/>
                <w:sz w:val="15"/>
                <w:szCs w:val="15"/>
              </w:rPr>
            </w:pPr>
            <w:r w:rsidRPr="006C26F8">
              <w:rPr>
                <w:rFonts w:cs="Arial"/>
                <w:sz w:val="15"/>
                <w:szCs w:val="15"/>
              </w:rPr>
              <w:t>25</w:t>
            </w:r>
          </w:p>
        </w:tc>
        <w:tc>
          <w:tcPr>
            <w:tcW w:w="716" w:type="dxa"/>
            <w:tcBorders>
              <w:top w:val="nil"/>
              <w:left w:val="nil"/>
              <w:bottom w:val="nil"/>
              <w:right w:val="nil"/>
            </w:tcBorders>
            <w:shd w:val="clear" w:color="auto" w:fill="auto"/>
            <w:vAlign w:val="center"/>
          </w:tcPr>
          <w:p w14:paraId="6EDC794B" w14:textId="47433AAC" w:rsidR="00B66794" w:rsidRPr="006C26F8" w:rsidRDefault="00B66794" w:rsidP="00154D55">
            <w:pPr>
              <w:spacing w:after="0" w:line="276" w:lineRule="auto"/>
              <w:jc w:val="right"/>
              <w:rPr>
                <w:rFonts w:cs="Arial"/>
                <w:sz w:val="15"/>
                <w:szCs w:val="15"/>
              </w:rPr>
            </w:pPr>
            <w:r w:rsidRPr="006C26F8">
              <w:rPr>
                <w:rFonts w:cs="Arial"/>
                <w:sz w:val="15"/>
                <w:szCs w:val="15"/>
              </w:rPr>
              <w:t>30</w:t>
            </w:r>
          </w:p>
        </w:tc>
        <w:tc>
          <w:tcPr>
            <w:tcW w:w="716" w:type="dxa"/>
            <w:tcBorders>
              <w:top w:val="nil"/>
              <w:left w:val="nil"/>
              <w:bottom w:val="nil"/>
              <w:right w:val="nil"/>
            </w:tcBorders>
            <w:shd w:val="clear" w:color="auto" w:fill="auto"/>
            <w:vAlign w:val="center"/>
          </w:tcPr>
          <w:p w14:paraId="1B262C15" w14:textId="792EC2A8" w:rsidR="00B66794" w:rsidRPr="006C26F8" w:rsidRDefault="00B66794" w:rsidP="00154D55">
            <w:pPr>
              <w:spacing w:after="0" w:line="276" w:lineRule="auto"/>
              <w:jc w:val="right"/>
              <w:rPr>
                <w:rFonts w:cs="Arial"/>
                <w:sz w:val="15"/>
                <w:szCs w:val="15"/>
              </w:rPr>
            </w:pPr>
            <w:r w:rsidRPr="006C26F8">
              <w:rPr>
                <w:rFonts w:cs="Arial"/>
                <w:sz w:val="15"/>
                <w:szCs w:val="15"/>
              </w:rPr>
              <w:t>35</w:t>
            </w:r>
          </w:p>
        </w:tc>
        <w:tc>
          <w:tcPr>
            <w:tcW w:w="762" w:type="dxa"/>
            <w:tcBorders>
              <w:top w:val="nil"/>
              <w:left w:val="nil"/>
              <w:bottom w:val="nil"/>
              <w:right w:val="nil"/>
            </w:tcBorders>
            <w:shd w:val="clear" w:color="auto" w:fill="auto"/>
            <w:vAlign w:val="center"/>
          </w:tcPr>
          <w:p w14:paraId="2275E298" w14:textId="11EE8FA2" w:rsidR="00B66794" w:rsidRPr="006C26F8" w:rsidRDefault="00B66794" w:rsidP="00154D55">
            <w:pPr>
              <w:spacing w:after="0" w:line="276" w:lineRule="auto"/>
              <w:jc w:val="right"/>
              <w:rPr>
                <w:rFonts w:cs="Arial"/>
                <w:sz w:val="15"/>
                <w:szCs w:val="15"/>
              </w:rPr>
            </w:pPr>
            <w:r w:rsidRPr="006C26F8">
              <w:rPr>
                <w:rFonts w:cs="Arial"/>
                <w:sz w:val="15"/>
                <w:szCs w:val="15"/>
              </w:rPr>
              <w:t>41</w:t>
            </w:r>
          </w:p>
        </w:tc>
        <w:tc>
          <w:tcPr>
            <w:tcW w:w="716" w:type="dxa"/>
            <w:tcBorders>
              <w:top w:val="nil"/>
              <w:left w:val="nil"/>
              <w:bottom w:val="nil"/>
              <w:right w:val="nil"/>
            </w:tcBorders>
            <w:shd w:val="clear" w:color="auto" w:fill="auto"/>
            <w:vAlign w:val="center"/>
          </w:tcPr>
          <w:p w14:paraId="1F82A734" w14:textId="08090336" w:rsidR="00B66794" w:rsidRPr="006C26F8" w:rsidRDefault="00B66794" w:rsidP="00154D55">
            <w:pPr>
              <w:spacing w:after="0" w:line="276" w:lineRule="auto"/>
              <w:jc w:val="right"/>
              <w:rPr>
                <w:rFonts w:cs="Arial"/>
                <w:sz w:val="15"/>
                <w:szCs w:val="15"/>
              </w:rPr>
            </w:pPr>
            <w:r w:rsidRPr="006C26F8">
              <w:rPr>
                <w:rFonts w:cs="Arial"/>
                <w:sz w:val="15"/>
                <w:szCs w:val="15"/>
              </w:rPr>
              <w:t>46</w:t>
            </w:r>
          </w:p>
        </w:tc>
        <w:tc>
          <w:tcPr>
            <w:tcW w:w="762" w:type="dxa"/>
            <w:tcBorders>
              <w:top w:val="nil"/>
              <w:left w:val="nil"/>
              <w:bottom w:val="nil"/>
              <w:right w:val="nil"/>
            </w:tcBorders>
            <w:shd w:val="clear" w:color="auto" w:fill="auto"/>
            <w:vAlign w:val="center"/>
          </w:tcPr>
          <w:p w14:paraId="72554264" w14:textId="5CCCDB6C" w:rsidR="00B66794" w:rsidRPr="006C26F8" w:rsidRDefault="00B66794" w:rsidP="00154D55">
            <w:pPr>
              <w:spacing w:after="0" w:line="276" w:lineRule="auto"/>
              <w:jc w:val="right"/>
              <w:rPr>
                <w:rFonts w:cs="Arial"/>
                <w:sz w:val="15"/>
                <w:szCs w:val="15"/>
              </w:rPr>
            </w:pPr>
            <w:r w:rsidRPr="006C26F8">
              <w:rPr>
                <w:rFonts w:cs="Arial"/>
                <w:sz w:val="15"/>
                <w:szCs w:val="15"/>
              </w:rPr>
              <w:t>51</w:t>
            </w:r>
          </w:p>
        </w:tc>
        <w:tc>
          <w:tcPr>
            <w:tcW w:w="716" w:type="dxa"/>
            <w:tcBorders>
              <w:top w:val="nil"/>
              <w:left w:val="nil"/>
              <w:bottom w:val="nil"/>
              <w:right w:val="nil"/>
            </w:tcBorders>
            <w:shd w:val="clear" w:color="auto" w:fill="auto"/>
            <w:vAlign w:val="center"/>
          </w:tcPr>
          <w:p w14:paraId="4BE0E1A0" w14:textId="3A0AAFE7" w:rsidR="00B66794" w:rsidRPr="006C26F8" w:rsidRDefault="00B66794" w:rsidP="00154D55">
            <w:pPr>
              <w:spacing w:after="0" w:line="276" w:lineRule="auto"/>
              <w:jc w:val="right"/>
              <w:rPr>
                <w:rFonts w:cs="Arial"/>
                <w:sz w:val="15"/>
                <w:szCs w:val="15"/>
              </w:rPr>
            </w:pPr>
            <w:r w:rsidRPr="006C26F8">
              <w:rPr>
                <w:rFonts w:cs="Arial"/>
                <w:sz w:val="15"/>
                <w:szCs w:val="15"/>
              </w:rPr>
              <w:t>56</w:t>
            </w:r>
          </w:p>
        </w:tc>
        <w:tc>
          <w:tcPr>
            <w:tcW w:w="759" w:type="dxa"/>
            <w:tcBorders>
              <w:top w:val="nil"/>
              <w:left w:val="nil"/>
              <w:bottom w:val="nil"/>
              <w:right w:val="single" w:sz="4" w:space="0" w:color="808080" w:themeColor="background1" w:themeShade="80"/>
            </w:tcBorders>
            <w:shd w:val="clear" w:color="auto" w:fill="auto"/>
            <w:vAlign w:val="center"/>
          </w:tcPr>
          <w:p w14:paraId="0D3C952A" w14:textId="470AF973" w:rsidR="00B66794" w:rsidRPr="006C26F8" w:rsidRDefault="00B66794" w:rsidP="00154D55">
            <w:pPr>
              <w:spacing w:after="0" w:line="276" w:lineRule="auto"/>
              <w:jc w:val="right"/>
              <w:rPr>
                <w:rFonts w:cs="Arial"/>
                <w:sz w:val="15"/>
                <w:szCs w:val="15"/>
              </w:rPr>
            </w:pPr>
            <w:r w:rsidRPr="006C26F8">
              <w:rPr>
                <w:rFonts w:cs="Arial"/>
                <w:sz w:val="15"/>
                <w:szCs w:val="15"/>
              </w:rPr>
              <w:t>61</w:t>
            </w:r>
          </w:p>
        </w:tc>
      </w:tr>
      <w:tr w:rsidR="00B66794" w:rsidRPr="00D44B43" w14:paraId="215F8CC6" w14:textId="77777777" w:rsidTr="00154D55">
        <w:trPr>
          <w:cantSplit/>
          <w:jc w:val="center"/>
        </w:trPr>
        <w:tc>
          <w:tcPr>
            <w:tcW w:w="436" w:type="dxa"/>
            <w:shd w:val="clear" w:color="auto" w:fill="auto"/>
            <w:noWrap/>
            <w:vAlign w:val="center"/>
            <w:hideMark/>
          </w:tcPr>
          <w:p w14:paraId="0C18E3B0" w14:textId="77777777" w:rsidR="00B66794" w:rsidRPr="00F14FC1" w:rsidRDefault="00B66794" w:rsidP="00154D55">
            <w:pPr>
              <w:spacing w:after="0" w:line="276" w:lineRule="auto"/>
              <w:jc w:val="center"/>
              <w:rPr>
                <w:rFonts w:cs="Arial"/>
                <w:sz w:val="15"/>
                <w:szCs w:val="15"/>
              </w:rPr>
            </w:pPr>
            <w:r w:rsidRPr="00F14FC1">
              <w:rPr>
                <w:rFonts w:cs="Arial"/>
                <w:sz w:val="15"/>
                <w:szCs w:val="15"/>
              </w:rPr>
              <w:t>3</w:t>
            </w:r>
          </w:p>
        </w:tc>
        <w:tc>
          <w:tcPr>
            <w:tcW w:w="2107" w:type="dxa"/>
            <w:tcBorders>
              <w:right w:val="nil"/>
            </w:tcBorders>
            <w:shd w:val="clear" w:color="auto" w:fill="auto"/>
            <w:vAlign w:val="center"/>
            <w:hideMark/>
          </w:tcPr>
          <w:p w14:paraId="31E393C8" w14:textId="77777777" w:rsidR="00B66794" w:rsidRPr="00F14FC1" w:rsidRDefault="00B66794" w:rsidP="00154D55">
            <w:pPr>
              <w:spacing w:after="0" w:line="276" w:lineRule="auto"/>
              <w:jc w:val="left"/>
              <w:rPr>
                <w:rFonts w:cs="Arial"/>
                <w:sz w:val="15"/>
                <w:szCs w:val="15"/>
              </w:rPr>
            </w:pPr>
            <w:r w:rsidRPr="00F14FC1">
              <w:rPr>
                <w:rFonts w:cs="Arial"/>
                <w:sz w:val="15"/>
                <w:szCs w:val="15"/>
              </w:rPr>
              <w:t>Μεταβιβάσεις</w:t>
            </w:r>
            <w:r w:rsidRPr="00F14FC1">
              <w:rPr>
                <w:rFonts w:cs="Arial"/>
                <w:sz w:val="15"/>
                <w:szCs w:val="15"/>
                <w:vertAlign w:val="superscript"/>
              </w:rPr>
              <w:t>1, 2</w:t>
            </w:r>
          </w:p>
        </w:tc>
        <w:tc>
          <w:tcPr>
            <w:tcW w:w="615" w:type="dxa"/>
            <w:tcBorders>
              <w:top w:val="nil"/>
              <w:left w:val="nil"/>
              <w:bottom w:val="nil"/>
              <w:right w:val="nil"/>
            </w:tcBorders>
            <w:shd w:val="clear" w:color="auto" w:fill="auto"/>
            <w:vAlign w:val="center"/>
          </w:tcPr>
          <w:p w14:paraId="02A92605" w14:textId="0B108407" w:rsidR="00B66794" w:rsidRPr="006C26F8" w:rsidRDefault="00B66794" w:rsidP="00154D55">
            <w:pPr>
              <w:spacing w:after="0" w:line="276" w:lineRule="auto"/>
              <w:jc w:val="right"/>
              <w:rPr>
                <w:rFonts w:cs="Arial"/>
                <w:sz w:val="15"/>
                <w:szCs w:val="15"/>
              </w:rPr>
            </w:pPr>
            <w:r w:rsidRPr="006C26F8">
              <w:rPr>
                <w:rFonts w:cs="Arial"/>
                <w:sz w:val="15"/>
                <w:szCs w:val="15"/>
              </w:rPr>
              <w:t>172</w:t>
            </w:r>
          </w:p>
        </w:tc>
        <w:tc>
          <w:tcPr>
            <w:tcW w:w="716" w:type="dxa"/>
            <w:tcBorders>
              <w:top w:val="nil"/>
              <w:left w:val="nil"/>
              <w:bottom w:val="nil"/>
              <w:right w:val="nil"/>
            </w:tcBorders>
            <w:shd w:val="clear" w:color="auto" w:fill="auto"/>
            <w:vAlign w:val="center"/>
          </w:tcPr>
          <w:p w14:paraId="2E24306F" w14:textId="13A5AC74" w:rsidR="00B66794" w:rsidRPr="006C26F8" w:rsidRDefault="00B66794" w:rsidP="00154D55">
            <w:pPr>
              <w:spacing w:after="0" w:line="276" w:lineRule="auto"/>
              <w:jc w:val="right"/>
              <w:rPr>
                <w:rFonts w:cs="Arial"/>
                <w:sz w:val="15"/>
                <w:szCs w:val="15"/>
              </w:rPr>
            </w:pPr>
            <w:r w:rsidRPr="006C26F8">
              <w:rPr>
                <w:rFonts w:cs="Arial"/>
                <w:sz w:val="15"/>
                <w:szCs w:val="15"/>
              </w:rPr>
              <w:t>882</w:t>
            </w:r>
          </w:p>
        </w:tc>
        <w:tc>
          <w:tcPr>
            <w:tcW w:w="716" w:type="dxa"/>
            <w:tcBorders>
              <w:top w:val="nil"/>
              <w:left w:val="nil"/>
              <w:bottom w:val="nil"/>
              <w:right w:val="nil"/>
            </w:tcBorders>
            <w:shd w:val="clear" w:color="auto" w:fill="auto"/>
            <w:vAlign w:val="center"/>
          </w:tcPr>
          <w:p w14:paraId="3D62E905" w14:textId="55D5A28D" w:rsidR="00B66794" w:rsidRPr="006C26F8" w:rsidRDefault="00B66794" w:rsidP="00154D55">
            <w:pPr>
              <w:spacing w:after="0" w:line="276" w:lineRule="auto"/>
              <w:jc w:val="right"/>
              <w:rPr>
                <w:rFonts w:cs="Arial"/>
                <w:sz w:val="15"/>
                <w:szCs w:val="15"/>
              </w:rPr>
            </w:pPr>
            <w:r w:rsidRPr="006C26F8">
              <w:rPr>
                <w:rFonts w:cs="Arial"/>
                <w:sz w:val="15"/>
                <w:szCs w:val="15"/>
              </w:rPr>
              <w:t>1.774</w:t>
            </w:r>
          </w:p>
        </w:tc>
        <w:tc>
          <w:tcPr>
            <w:tcW w:w="716" w:type="dxa"/>
            <w:tcBorders>
              <w:top w:val="nil"/>
              <w:left w:val="nil"/>
              <w:bottom w:val="nil"/>
              <w:right w:val="nil"/>
            </w:tcBorders>
            <w:shd w:val="clear" w:color="auto" w:fill="auto"/>
            <w:vAlign w:val="center"/>
          </w:tcPr>
          <w:p w14:paraId="1692355E" w14:textId="7FC9CED7" w:rsidR="00B66794" w:rsidRPr="006C26F8" w:rsidRDefault="00B66794" w:rsidP="00154D55">
            <w:pPr>
              <w:spacing w:after="0" w:line="276" w:lineRule="auto"/>
              <w:jc w:val="right"/>
              <w:rPr>
                <w:rFonts w:cs="Arial"/>
                <w:sz w:val="15"/>
                <w:szCs w:val="15"/>
              </w:rPr>
            </w:pPr>
            <w:r w:rsidRPr="006C26F8">
              <w:rPr>
                <w:rFonts w:cs="Arial"/>
                <w:sz w:val="15"/>
                <w:szCs w:val="15"/>
              </w:rPr>
              <w:t>1.922</w:t>
            </w:r>
          </w:p>
        </w:tc>
        <w:tc>
          <w:tcPr>
            <w:tcW w:w="686" w:type="dxa"/>
            <w:tcBorders>
              <w:top w:val="nil"/>
              <w:left w:val="nil"/>
              <w:bottom w:val="nil"/>
              <w:right w:val="nil"/>
            </w:tcBorders>
            <w:shd w:val="clear" w:color="auto" w:fill="auto"/>
            <w:vAlign w:val="center"/>
          </w:tcPr>
          <w:p w14:paraId="021614BE" w14:textId="7C110337" w:rsidR="00B66794" w:rsidRPr="006C26F8" w:rsidRDefault="00B66794" w:rsidP="00154D55">
            <w:pPr>
              <w:spacing w:after="0" w:line="276" w:lineRule="auto"/>
              <w:jc w:val="right"/>
              <w:rPr>
                <w:rFonts w:cs="Arial"/>
                <w:sz w:val="15"/>
                <w:szCs w:val="15"/>
              </w:rPr>
            </w:pPr>
            <w:r w:rsidRPr="006C26F8">
              <w:rPr>
                <w:rFonts w:cs="Arial"/>
                <w:sz w:val="15"/>
                <w:szCs w:val="15"/>
              </w:rPr>
              <w:t>2.014</w:t>
            </w:r>
          </w:p>
        </w:tc>
        <w:tc>
          <w:tcPr>
            <w:tcW w:w="716" w:type="dxa"/>
            <w:tcBorders>
              <w:top w:val="nil"/>
              <w:left w:val="nil"/>
              <w:bottom w:val="nil"/>
              <w:right w:val="nil"/>
            </w:tcBorders>
            <w:shd w:val="clear" w:color="auto" w:fill="auto"/>
            <w:vAlign w:val="center"/>
          </w:tcPr>
          <w:p w14:paraId="24267C57" w14:textId="33B55196" w:rsidR="00B66794" w:rsidRPr="006C26F8" w:rsidRDefault="00B66794" w:rsidP="00154D55">
            <w:pPr>
              <w:spacing w:after="0" w:line="276" w:lineRule="auto"/>
              <w:jc w:val="right"/>
              <w:rPr>
                <w:rFonts w:cs="Arial"/>
                <w:sz w:val="15"/>
                <w:szCs w:val="15"/>
              </w:rPr>
            </w:pPr>
            <w:r w:rsidRPr="006C26F8">
              <w:rPr>
                <w:rFonts w:cs="Arial"/>
                <w:sz w:val="15"/>
                <w:szCs w:val="15"/>
              </w:rPr>
              <w:t>4.019</w:t>
            </w:r>
          </w:p>
        </w:tc>
        <w:tc>
          <w:tcPr>
            <w:tcW w:w="716" w:type="dxa"/>
            <w:tcBorders>
              <w:top w:val="nil"/>
              <w:left w:val="nil"/>
              <w:bottom w:val="nil"/>
              <w:right w:val="nil"/>
            </w:tcBorders>
            <w:shd w:val="clear" w:color="auto" w:fill="auto"/>
            <w:vAlign w:val="center"/>
          </w:tcPr>
          <w:p w14:paraId="737CDBBD" w14:textId="4E07C407" w:rsidR="00B66794" w:rsidRPr="006C26F8" w:rsidRDefault="00B66794" w:rsidP="00154D55">
            <w:pPr>
              <w:spacing w:after="0" w:line="276" w:lineRule="auto"/>
              <w:jc w:val="right"/>
              <w:rPr>
                <w:rFonts w:cs="Arial"/>
                <w:sz w:val="15"/>
                <w:szCs w:val="15"/>
              </w:rPr>
            </w:pPr>
            <w:r w:rsidRPr="006C26F8">
              <w:rPr>
                <w:rFonts w:cs="Arial"/>
                <w:sz w:val="15"/>
                <w:szCs w:val="15"/>
              </w:rPr>
              <w:t>4.127</w:t>
            </w:r>
          </w:p>
        </w:tc>
        <w:tc>
          <w:tcPr>
            <w:tcW w:w="762" w:type="dxa"/>
            <w:tcBorders>
              <w:top w:val="nil"/>
              <w:left w:val="nil"/>
              <w:bottom w:val="nil"/>
              <w:right w:val="nil"/>
            </w:tcBorders>
            <w:shd w:val="clear" w:color="auto" w:fill="auto"/>
            <w:vAlign w:val="center"/>
          </w:tcPr>
          <w:p w14:paraId="1806D31B" w14:textId="1AF826E6" w:rsidR="00B66794" w:rsidRPr="006C26F8" w:rsidRDefault="00B66794" w:rsidP="00154D55">
            <w:pPr>
              <w:spacing w:after="0" w:line="276" w:lineRule="auto"/>
              <w:jc w:val="right"/>
              <w:rPr>
                <w:rFonts w:cs="Arial"/>
                <w:sz w:val="15"/>
                <w:szCs w:val="15"/>
              </w:rPr>
            </w:pPr>
            <w:r w:rsidRPr="006C26F8">
              <w:rPr>
                <w:rFonts w:cs="Arial"/>
                <w:sz w:val="15"/>
                <w:szCs w:val="15"/>
              </w:rPr>
              <w:t>4.561</w:t>
            </w:r>
          </w:p>
        </w:tc>
        <w:tc>
          <w:tcPr>
            <w:tcW w:w="716" w:type="dxa"/>
            <w:tcBorders>
              <w:top w:val="nil"/>
              <w:left w:val="nil"/>
              <w:bottom w:val="nil"/>
              <w:right w:val="nil"/>
            </w:tcBorders>
            <w:shd w:val="clear" w:color="auto" w:fill="auto"/>
            <w:vAlign w:val="center"/>
          </w:tcPr>
          <w:p w14:paraId="58DD6695" w14:textId="3CF8FDAD" w:rsidR="00B66794" w:rsidRPr="006C26F8" w:rsidRDefault="00B66794" w:rsidP="00154D55">
            <w:pPr>
              <w:spacing w:after="0" w:line="276" w:lineRule="auto"/>
              <w:jc w:val="right"/>
              <w:rPr>
                <w:rFonts w:cs="Arial"/>
                <w:sz w:val="15"/>
                <w:szCs w:val="15"/>
              </w:rPr>
            </w:pPr>
            <w:r w:rsidRPr="006C26F8">
              <w:rPr>
                <w:rFonts w:cs="Arial"/>
                <w:sz w:val="15"/>
                <w:szCs w:val="15"/>
              </w:rPr>
              <w:t>4.685</w:t>
            </w:r>
          </w:p>
        </w:tc>
        <w:tc>
          <w:tcPr>
            <w:tcW w:w="762" w:type="dxa"/>
            <w:tcBorders>
              <w:top w:val="nil"/>
              <w:left w:val="nil"/>
              <w:bottom w:val="nil"/>
              <w:right w:val="nil"/>
            </w:tcBorders>
            <w:shd w:val="clear" w:color="auto" w:fill="auto"/>
            <w:vAlign w:val="center"/>
          </w:tcPr>
          <w:p w14:paraId="40B54FAD" w14:textId="3728B190" w:rsidR="00B66794" w:rsidRPr="006C26F8" w:rsidRDefault="00B66794" w:rsidP="00154D55">
            <w:pPr>
              <w:spacing w:after="0" w:line="276" w:lineRule="auto"/>
              <w:jc w:val="right"/>
              <w:rPr>
                <w:rFonts w:cs="Arial"/>
                <w:sz w:val="15"/>
                <w:szCs w:val="15"/>
              </w:rPr>
            </w:pPr>
            <w:r w:rsidRPr="006C26F8">
              <w:rPr>
                <w:rFonts w:cs="Arial"/>
                <w:sz w:val="15"/>
                <w:szCs w:val="15"/>
              </w:rPr>
              <w:t>4.772</w:t>
            </w:r>
          </w:p>
        </w:tc>
        <w:tc>
          <w:tcPr>
            <w:tcW w:w="716" w:type="dxa"/>
            <w:tcBorders>
              <w:top w:val="nil"/>
              <w:left w:val="nil"/>
              <w:bottom w:val="nil"/>
              <w:right w:val="nil"/>
            </w:tcBorders>
            <w:shd w:val="clear" w:color="auto" w:fill="auto"/>
            <w:vAlign w:val="center"/>
          </w:tcPr>
          <w:p w14:paraId="06BE68C2" w14:textId="2F30A161" w:rsidR="00B66794" w:rsidRPr="006C26F8" w:rsidRDefault="00B66794" w:rsidP="00154D55">
            <w:pPr>
              <w:spacing w:after="0" w:line="276" w:lineRule="auto"/>
              <w:jc w:val="right"/>
              <w:rPr>
                <w:rFonts w:cs="Arial"/>
                <w:sz w:val="15"/>
                <w:szCs w:val="15"/>
              </w:rPr>
            </w:pPr>
            <w:r w:rsidRPr="006C26F8">
              <w:rPr>
                <w:rFonts w:cs="Arial"/>
                <w:sz w:val="15"/>
                <w:szCs w:val="15"/>
              </w:rPr>
              <w:t>5.525</w:t>
            </w:r>
          </w:p>
        </w:tc>
        <w:tc>
          <w:tcPr>
            <w:tcW w:w="759" w:type="dxa"/>
            <w:tcBorders>
              <w:top w:val="nil"/>
              <w:left w:val="nil"/>
              <w:bottom w:val="nil"/>
              <w:right w:val="single" w:sz="4" w:space="0" w:color="808080" w:themeColor="background1" w:themeShade="80"/>
            </w:tcBorders>
            <w:shd w:val="clear" w:color="auto" w:fill="auto"/>
            <w:vAlign w:val="center"/>
          </w:tcPr>
          <w:p w14:paraId="51C583D6" w14:textId="77ABC553" w:rsidR="00B66794" w:rsidRPr="006C26F8" w:rsidRDefault="00B66794" w:rsidP="00154D55">
            <w:pPr>
              <w:spacing w:after="0" w:line="276" w:lineRule="auto"/>
              <w:jc w:val="right"/>
              <w:rPr>
                <w:rFonts w:cs="Arial"/>
                <w:sz w:val="15"/>
                <w:szCs w:val="15"/>
              </w:rPr>
            </w:pPr>
            <w:r w:rsidRPr="006C26F8">
              <w:rPr>
                <w:rFonts w:cs="Arial"/>
                <w:sz w:val="15"/>
                <w:szCs w:val="15"/>
              </w:rPr>
              <w:t>10.943</w:t>
            </w:r>
          </w:p>
        </w:tc>
      </w:tr>
      <w:tr w:rsidR="00B66794" w:rsidRPr="00D44B43" w14:paraId="77C31588" w14:textId="77777777" w:rsidTr="00154D55">
        <w:trPr>
          <w:cantSplit/>
          <w:jc w:val="center"/>
        </w:trPr>
        <w:tc>
          <w:tcPr>
            <w:tcW w:w="436" w:type="dxa"/>
            <w:shd w:val="clear" w:color="auto" w:fill="auto"/>
            <w:noWrap/>
            <w:vAlign w:val="center"/>
            <w:hideMark/>
          </w:tcPr>
          <w:p w14:paraId="69A84E36" w14:textId="77777777" w:rsidR="00B66794" w:rsidRPr="00F14FC1" w:rsidRDefault="00B66794" w:rsidP="00154D55">
            <w:pPr>
              <w:spacing w:after="0" w:line="276" w:lineRule="auto"/>
              <w:jc w:val="center"/>
              <w:rPr>
                <w:rFonts w:cs="Arial"/>
                <w:sz w:val="15"/>
                <w:szCs w:val="15"/>
              </w:rPr>
            </w:pPr>
            <w:r w:rsidRPr="00F14FC1">
              <w:rPr>
                <w:rFonts w:cs="Arial"/>
                <w:sz w:val="15"/>
                <w:szCs w:val="15"/>
              </w:rPr>
              <w:t>4</w:t>
            </w:r>
          </w:p>
        </w:tc>
        <w:tc>
          <w:tcPr>
            <w:tcW w:w="2107" w:type="dxa"/>
            <w:tcBorders>
              <w:right w:val="nil"/>
            </w:tcBorders>
            <w:shd w:val="clear" w:color="auto" w:fill="auto"/>
            <w:vAlign w:val="center"/>
            <w:hideMark/>
          </w:tcPr>
          <w:p w14:paraId="78CD55FD" w14:textId="77777777" w:rsidR="00B66794" w:rsidRPr="00F14FC1" w:rsidRDefault="00B66794" w:rsidP="00154D55">
            <w:pPr>
              <w:spacing w:after="0" w:line="276" w:lineRule="auto"/>
              <w:jc w:val="left"/>
              <w:rPr>
                <w:rFonts w:cs="Arial"/>
                <w:sz w:val="15"/>
                <w:szCs w:val="15"/>
              </w:rPr>
            </w:pPr>
            <w:r w:rsidRPr="00F14FC1">
              <w:rPr>
                <w:rFonts w:cs="Arial"/>
                <w:sz w:val="15"/>
                <w:szCs w:val="15"/>
              </w:rPr>
              <w:t>Πωλήσεις αγαθών και υπηρεσιών</w:t>
            </w:r>
          </w:p>
        </w:tc>
        <w:tc>
          <w:tcPr>
            <w:tcW w:w="615" w:type="dxa"/>
            <w:tcBorders>
              <w:top w:val="nil"/>
              <w:left w:val="nil"/>
              <w:bottom w:val="nil"/>
              <w:right w:val="nil"/>
            </w:tcBorders>
            <w:shd w:val="clear" w:color="auto" w:fill="auto"/>
            <w:vAlign w:val="center"/>
          </w:tcPr>
          <w:p w14:paraId="7868CC15" w14:textId="13BDFF1C" w:rsidR="00B66794" w:rsidRPr="006C26F8" w:rsidRDefault="00B66794" w:rsidP="00154D55">
            <w:pPr>
              <w:spacing w:after="0" w:line="276" w:lineRule="auto"/>
              <w:jc w:val="right"/>
              <w:rPr>
                <w:rFonts w:cs="Arial"/>
                <w:sz w:val="15"/>
                <w:szCs w:val="15"/>
              </w:rPr>
            </w:pPr>
            <w:r w:rsidRPr="006C26F8">
              <w:rPr>
                <w:rFonts w:cs="Arial"/>
                <w:sz w:val="15"/>
                <w:szCs w:val="15"/>
              </w:rPr>
              <w:t>96</w:t>
            </w:r>
          </w:p>
        </w:tc>
        <w:tc>
          <w:tcPr>
            <w:tcW w:w="716" w:type="dxa"/>
            <w:tcBorders>
              <w:top w:val="nil"/>
              <w:left w:val="nil"/>
              <w:bottom w:val="nil"/>
              <w:right w:val="nil"/>
            </w:tcBorders>
            <w:shd w:val="clear" w:color="auto" w:fill="auto"/>
            <w:vAlign w:val="center"/>
          </w:tcPr>
          <w:p w14:paraId="676A4786" w14:textId="7AF095AF" w:rsidR="00B66794" w:rsidRPr="006C26F8" w:rsidRDefault="00B66794" w:rsidP="00154D55">
            <w:pPr>
              <w:spacing w:after="0" w:line="276" w:lineRule="auto"/>
              <w:jc w:val="right"/>
              <w:rPr>
                <w:rFonts w:cs="Arial"/>
                <w:sz w:val="15"/>
                <w:szCs w:val="15"/>
              </w:rPr>
            </w:pPr>
            <w:r w:rsidRPr="006C26F8">
              <w:rPr>
                <w:rFonts w:cs="Arial"/>
                <w:sz w:val="15"/>
                <w:szCs w:val="15"/>
              </w:rPr>
              <w:t>197</w:t>
            </w:r>
          </w:p>
        </w:tc>
        <w:tc>
          <w:tcPr>
            <w:tcW w:w="716" w:type="dxa"/>
            <w:tcBorders>
              <w:top w:val="nil"/>
              <w:left w:val="nil"/>
              <w:bottom w:val="nil"/>
              <w:right w:val="nil"/>
            </w:tcBorders>
            <w:shd w:val="clear" w:color="auto" w:fill="auto"/>
            <w:vAlign w:val="center"/>
          </w:tcPr>
          <w:p w14:paraId="7346D04B" w14:textId="7AAB4378" w:rsidR="00B66794" w:rsidRPr="006C26F8" w:rsidRDefault="00B66794" w:rsidP="00154D55">
            <w:pPr>
              <w:spacing w:after="0" w:line="276" w:lineRule="auto"/>
              <w:jc w:val="right"/>
              <w:rPr>
                <w:rFonts w:cs="Arial"/>
                <w:sz w:val="15"/>
                <w:szCs w:val="15"/>
              </w:rPr>
            </w:pPr>
            <w:r w:rsidRPr="006C26F8">
              <w:rPr>
                <w:rFonts w:cs="Arial"/>
                <w:sz w:val="15"/>
                <w:szCs w:val="15"/>
              </w:rPr>
              <w:t>273</w:t>
            </w:r>
          </w:p>
        </w:tc>
        <w:tc>
          <w:tcPr>
            <w:tcW w:w="716" w:type="dxa"/>
            <w:tcBorders>
              <w:top w:val="nil"/>
              <w:left w:val="nil"/>
              <w:bottom w:val="nil"/>
              <w:right w:val="nil"/>
            </w:tcBorders>
            <w:shd w:val="clear" w:color="auto" w:fill="auto"/>
            <w:vAlign w:val="center"/>
          </w:tcPr>
          <w:p w14:paraId="7EB1CDAB" w14:textId="17485E30" w:rsidR="00B66794" w:rsidRPr="006C26F8" w:rsidRDefault="00B66794" w:rsidP="00154D55">
            <w:pPr>
              <w:spacing w:after="0" w:line="276" w:lineRule="auto"/>
              <w:jc w:val="right"/>
              <w:rPr>
                <w:rFonts w:cs="Arial"/>
                <w:sz w:val="15"/>
                <w:szCs w:val="15"/>
              </w:rPr>
            </w:pPr>
            <w:r w:rsidRPr="006C26F8">
              <w:rPr>
                <w:rFonts w:cs="Arial"/>
                <w:sz w:val="15"/>
                <w:szCs w:val="15"/>
              </w:rPr>
              <w:t>420</w:t>
            </w:r>
          </w:p>
        </w:tc>
        <w:tc>
          <w:tcPr>
            <w:tcW w:w="686" w:type="dxa"/>
            <w:tcBorders>
              <w:top w:val="nil"/>
              <w:left w:val="nil"/>
              <w:bottom w:val="nil"/>
              <w:right w:val="nil"/>
            </w:tcBorders>
            <w:shd w:val="clear" w:color="auto" w:fill="auto"/>
            <w:vAlign w:val="center"/>
          </w:tcPr>
          <w:p w14:paraId="062C2637" w14:textId="4E521A33" w:rsidR="00B66794" w:rsidRPr="006C26F8" w:rsidRDefault="00B66794" w:rsidP="00154D55">
            <w:pPr>
              <w:spacing w:after="0" w:line="276" w:lineRule="auto"/>
              <w:jc w:val="right"/>
              <w:rPr>
                <w:rFonts w:cs="Arial"/>
                <w:sz w:val="15"/>
                <w:szCs w:val="15"/>
              </w:rPr>
            </w:pPr>
            <w:r w:rsidRPr="006C26F8">
              <w:rPr>
                <w:rFonts w:cs="Arial"/>
                <w:sz w:val="15"/>
                <w:szCs w:val="15"/>
              </w:rPr>
              <w:t>514</w:t>
            </w:r>
          </w:p>
        </w:tc>
        <w:tc>
          <w:tcPr>
            <w:tcW w:w="716" w:type="dxa"/>
            <w:tcBorders>
              <w:top w:val="nil"/>
              <w:left w:val="nil"/>
              <w:bottom w:val="nil"/>
              <w:right w:val="nil"/>
            </w:tcBorders>
            <w:shd w:val="clear" w:color="auto" w:fill="auto"/>
            <w:vAlign w:val="center"/>
          </w:tcPr>
          <w:p w14:paraId="66C2C0A7" w14:textId="3EC3EA4C" w:rsidR="00B66794" w:rsidRPr="006C26F8" w:rsidRDefault="00B66794" w:rsidP="00154D55">
            <w:pPr>
              <w:spacing w:after="0" w:line="276" w:lineRule="auto"/>
              <w:jc w:val="right"/>
              <w:rPr>
                <w:rFonts w:cs="Arial"/>
                <w:sz w:val="15"/>
                <w:szCs w:val="15"/>
              </w:rPr>
            </w:pPr>
            <w:r w:rsidRPr="006C26F8">
              <w:rPr>
                <w:rFonts w:cs="Arial"/>
                <w:sz w:val="15"/>
                <w:szCs w:val="15"/>
              </w:rPr>
              <w:t>634</w:t>
            </w:r>
          </w:p>
        </w:tc>
        <w:tc>
          <w:tcPr>
            <w:tcW w:w="716" w:type="dxa"/>
            <w:tcBorders>
              <w:top w:val="nil"/>
              <w:left w:val="nil"/>
              <w:bottom w:val="nil"/>
              <w:right w:val="nil"/>
            </w:tcBorders>
            <w:shd w:val="clear" w:color="auto" w:fill="auto"/>
            <w:vAlign w:val="center"/>
          </w:tcPr>
          <w:p w14:paraId="5865BB1B" w14:textId="7D00424B" w:rsidR="00B66794" w:rsidRPr="006C26F8" w:rsidRDefault="00B66794" w:rsidP="00154D55">
            <w:pPr>
              <w:spacing w:after="0" w:line="276" w:lineRule="auto"/>
              <w:jc w:val="right"/>
              <w:rPr>
                <w:rFonts w:cs="Arial"/>
                <w:sz w:val="15"/>
                <w:szCs w:val="15"/>
              </w:rPr>
            </w:pPr>
            <w:r w:rsidRPr="006C26F8">
              <w:rPr>
                <w:rFonts w:cs="Arial"/>
                <w:sz w:val="15"/>
                <w:szCs w:val="15"/>
              </w:rPr>
              <w:t>755</w:t>
            </w:r>
          </w:p>
        </w:tc>
        <w:tc>
          <w:tcPr>
            <w:tcW w:w="762" w:type="dxa"/>
            <w:tcBorders>
              <w:top w:val="nil"/>
              <w:left w:val="nil"/>
              <w:bottom w:val="nil"/>
              <w:right w:val="nil"/>
            </w:tcBorders>
            <w:shd w:val="clear" w:color="auto" w:fill="auto"/>
            <w:vAlign w:val="center"/>
          </w:tcPr>
          <w:p w14:paraId="51C7DEFD" w14:textId="0DFC2B8A" w:rsidR="00B66794" w:rsidRPr="006C26F8" w:rsidRDefault="00B66794" w:rsidP="00154D55">
            <w:pPr>
              <w:spacing w:after="0" w:line="276" w:lineRule="auto"/>
              <w:jc w:val="right"/>
              <w:rPr>
                <w:rFonts w:cs="Arial"/>
                <w:sz w:val="15"/>
                <w:szCs w:val="15"/>
              </w:rPr>
            </w:pPr>
            <w:r w:rsidRPr="006C26F8">
              <w:rPr>
                <w:rFonts w:cs="Arial"/>
                <w:sz w:val="15"/>
                <w:szCs w:val="15"/>
              </w:rPr>
              <w:t>825</w:t>
            </w:r>
          </w:p>
        </w:tc>
        <w:tc>
          <w:tcPr>
            <w:tcW w:w="716" w:type="dxa"/>
            <w:tcBorders>
              <w:top w:val="nil"/>
              <w:left w:val="nil"/>
              <w:bottom w:val="nil"/>
              <w:right w:val="nil"/>
            </w:tcBorders>
            <w:shd w:val="clear" w:color="auto" w:fill="auto"/>
            <w:vAlign w:val="center"/>
          </w:tcPr>
          <w:p w14:paraId="7BC26420" w14:textId="1E1EFD04" w:rsidR="00B66794" w:rsidRPr="006C26F8" w:rsidRDefault="00B66794" w:rsidP="00154D55">
            <w:pPr>
              <w:spacing w:after="0" w:line="276" w:lineRule="auto"/>
              <w:jc w:val="right"/>
              <w:rPr>
                <w:rFonts w:cs="Arial"/>
                <w:sz w:val="15"/>
                <w:szCs w:val="15"/>
              </w:rPr>
            </w:pPr>
            <w:r w:rsidRPr="006C26F8">
              <w:rPr>
                <w:rFonts w:cs="Arial"/>
                <w:sz w:val="15"/>
                <w:szCs w:val="15"/>
              </w:rPr>
              <w:t>885</w:t>
            </w:r>
          </w:p>
        </w:tc>
        <w:tc>
          <w:tcPr>
            <w:tcW w:w="762" w:type="dxa"/>
            <w:tcBorders>
              <w:top w:val="nil"/>
              <w:left w:val="nil"/>
              <w:bottom w:val="nil"/>
              <w:right w:val="nil"/>
            </w:tcBorders>
            <w:shd w:val="clear" w:color="auto" w:fill="auto"/>
            <w:vAlign w:val="center"/>
          </w:tcPr>
          <w:p w14:paraId="6B88261E" w14:textId="25DD388E" w:rsidR="00B66794" w:rsidRPr="006C26F8" w:rsidRDefault="00B66794" w:rsidP="00154D55">
            <w:pPr>
              <w:spacing w:after="0" w:line="276" w:lineRule="auto"/>
              <w:jc w:val="right"/>
              <w:rPr>
                <w:rFonts w:cs="Arial"/>
                <w:sz w:val="15"/>
                <w:szCs w:val="15"/>
              </w:rPr>
            </w:pPr>
            <w:r w:rsidRPr="006C26F8">
              <w:rPr>
                <w:rFonts w:cs="Arial"/>
                <w:sz w:val="15"/>
                <w:szCs w:val="15"/>
              </w:rPr>
              <w:t>1.010</w:t>
            </w:r>
          </w:p>
        </w:tc>
        <w:tc>
          <w:tcPr>
            <w:tcW w:w="716" w:type="dxa"/>
            <w:tcBorders>
              <w:top w:val="nil"/>
              <w:left w:val="nil"/>
              <w:bottom w:val="nil"/>
              <w:right w:val="nil"/>
            </w:tcBorders>
            <w:shd w:val="clear" w:color="auto" w:fill="auto"/>
            <w:vAlign w:val="center"/>
          </w:tcPr>
          <w:p w14:paraId="612B4EE6" w14:textId="32CF589C" w:rsidR="00B66794" w:rsidRPr="006C26F8" w:rsidRDefault="00B66794" w:rsidP="00154D55">
            <w:pPr>
              <w:spacing w:after="0" w:line="276" w:lineRule="auto"/>
              <w:jc w:val="right"/>
              <w:rPr>
                <w:rFonts w:cs="Arial"/>
                <w:sz w:val="15"/>
                <w:szCs w:val="15"/>
              </w:rPr>
            </w:pPr>
            <w:r w:rsidRPr="006C26F8">
              <w:rPr>
                <w:rFonts w:cs="Arial"/>
                <w:sz w:val="15"/>
                <w:szCs w:val="15"/>
              </w:rPr>
              <w:t>1.121</w:t>
            </w:r>
          </w:p>
        </w:tc>
        <w:tc>
          <w:tcPr>
            <w:tcW w:w="759" w:type="dxa"/>
            <w:tcBorders>
              <w:top w:val="nil"/>
              <w:left w:val="nil"/>
              <w:bottom w:val="nil"/>
              <w:right w:val="single" w:sz="4" w:space="0" w:color="808080" w:themeColor="background1" w:themeShade="80"/>
            </w:tcBorders>
            <w:shd w:val="clear" w:color="auto" w:fill="auto"/>
            <w:vAlign w:val="center"/>
          </w:tcPr>
          <w:p w14:paraId="557EAD16" w14:textId="578714EA" w:rsidR="00B66794" w:rsidRPr="006C26F8" w:rsidRDefault="00B66794" w:rsidP="00154D55">
            <w:pPr>
              <w:spacing w:after="0" w:line="276" w:lineRule="auto"/>
              <w:jc w:val="right"/>
              <w:rPr>
                <w:rFonts w:cs="Arial"/>
                <w:sz w:val="15"/>
                <w:szCs w:val="15"/>
              </w:rPr>
            </w:pPr>
            <w:r w:rsidRPr="006C26F8">
              <w:rPr>
                <w:rFonts w:cs="Arial"/>
                <w:sz w:val="15"/>
                <w:szCs w:val="15"/>
              </w:rPr>
              <w:t>1.213</w:t>
            </w:r>
          </w:p>
        </w:tc>
      </w:tr>
      <w:tr w:rsidR="00B66794" w:rsidRPr="00D44B43" w14:paraId="6ABB00A3" w14:textId="77777777" w:rsidTr="00154D55">
        <w:trPr>
          <w:cantSplit/>
          <w:jc w:val="center"/>
        </w:trPr>
        <w:tc>
          <w:tcPr>
            <w:tcW w:w="436" w:type="dxa"/>
            <w:shd w:val="clear" w:color="auto" w:fill="auto"/>
            <w:noWrap/>
            <w:vAlign w:val="center"/>
            <w:hideMark/>
          </w:tcPr>
          <w:p w14:paraId="121DFBDE" w14:textId="77777777" w:rsidR="00B66794" w:rsidRPr="00F14FC1" w:rsidRDefault="00B66794" w:rsidP="00154D55">
            <w:pPr>
              <w:spacing w:after="0" w:line="276" w:lineRule="auto"/>
              <w:jc w:val="center"/>
              <w:rPr>
                <w:rFonts w:cs="Arial"/>
                <w:sz w:val="15"/>
                <w:szCs w:val="15"/>
              </w:rPr>
            </w:pPr>
            <w:r w:rsidRPr="00F14FC1">
              <w:rPr>
                <w:rFonts w:cs="Arial"/>
                <w:sz w:val="15"/>
                <w:szCs w:val="15"/>
              </w:rPr>
              <w:t>5</w:t>
            </w:r>
          </w:p>
        </w:tc>
        <w:tc>
          <w:tcPr>
            <w:tcW w:w="2107" w:type="dxa"/>
            <w:tcBorders>
              <w:right w:val="nil"/>
            </w:tcBorders>
            <w:shd w:val="clear" w:color="auto" w:fill="auto"/>
            <w:vAlign w:val="center"/>
            <w:hideMark/>
          </w:tcPr>
          <w:p w14:paraId="2354380F" w14:textId="77777777" w:rsidR="00B66794" w:rsidRPr="00F14FC1" w:rsidRDefault="00B66794" w:rsidP="00154D55">
            <w:pPr>
              <w:spacing w:after="0" w:line="276" w:lineRule="auto"/>
              <w:jc w:val="left"/>
              <w:rPr>
                <w:rFonts w:cs="Arial"/>
                <w:sz w:val="15"/>
                <w:szCs w:val="15"/>
                <w:vertAlign w:val="superscript"/>
              </w:rPr>
            </w:pPr>
            <w:r w:rsidRPr="00F14FC1">
              <w:rPr>
                <w:rFonts w:cs="Arial"/>
                <w:sz w:val="15"/>
                <w:szCs w:val="15"/>
              </w:rPr>
              <w:t>Λοιπά τρέχοντα έσοδα</w:t>
            </w:r>
            <w:r w:rsidRPr="00F14FC1">
              <w:rPr>
                <w:rFonts w:cs="Arial"/>
                <w:sz w:val="15"/>
                <w:szCs w:val="15"/>
                <w:vertAlign w:val="superscript"/>
              </w:rPr>
              <w:t>1</w:t>
            </w:r>
          </w:p>
        </w:tc>
        <w:tc>
          <w:tcPr>
            <w:tcW w:w="615" w:type="dxa"/>
            <w:tcBorders>
              <w:top w:val="nil"/>
              <w:left w:val="nil"/>
              <w:bottom w:val="nil"/>
              <w:right w:val="nil"/>
            </w:tcBorders>
            <w:shd w:val="clear" w:color="auto" w:fill="auto"/>
            <w:vAlign w:val="center"/>
          </w:tcPr>
          <w:p w14:paraId="70F76B11" w14:textId="743A3058" w:rsidR="00B66794" w:rsidRPr="006C26F8" w:rsidRDefault="00B66794" w:rsidP="00154D55">
            <w:pPr>
              <w:spacing w:after="0" w:line="276" w:lineRule="auto"/>
              <w:jc w:val="right"/>
              <w:rPr>
                <w:rFonts w:cs="Arial"/>
                <w:sz w:val="15"/>
                <w:szCs w:val="15"/>
              </w:rPr>
            </w:pPr>
            <w:r w:rsidRPr="006C26F8">
              <w:rPr>
                <w:rFonts w:cs="Arial"/>
                <w:sz w:val="15"/>
                <w:szCs w:val="15"/>
              </w:rPr>
              <w:t>186</w:t>
            </w:r>
          </w:p>
        </w:tc>
        <w:tc>
          <w:tcPr>
            <w:tcW w:w="716" w:type="dxa"/>
            <w:tcBorders>
              <w:top w:val="nil"/>
              <w:left w:val="nil"/>
              <w:bottom w:val="nil"/>
              <w:right w:val="nil"/>
            </w:tcBorders>
            <w:shd w:val="clear" w:color="auto" w:fill="auto"/>
            <w:vAlign w:val="center"/>
          </w:tcPr>
          <w:p w14:paraId="5ED3604A" w14:textId="775D89EA" w:rsidR="00B66794" w:rsidRPr="006C26F8" w:rsidRDefault="00B66794" w:rsidP="00154D55">
            <w:pPr>
              <w:spacing w:after="0" w:line="276" w:lineRule="auto"/>
              <w:jc w:val="right"/>
              <w:rPr>
                <w:rFonts w:cs="Arial"/>
                <w:sz w:val="15"/>
                <w:szCs w:val="15"/>
              </w:rPr>
            </w:pPr>
            <w:r w:rsidRPr="006C26F8">
              <w:rPr>
                <w:rFonts w:cs="Arial"/>
                <w:sz w:val="15"/>
                <w:szCs w:val="15"/>
              </w:rPr>
              <w:t>333</w:t>
            </w:r>
          </w:p>
        </w:tc>
        <w:tc>
          <w:tcPr>
            <w:tcW w:w="716" w:type="dxa"/>
            <w:tcBorders>
              <w:top w:val="nil"/>
              <w:left w:val="nil"/>
              <w:bottom w:val="nil"/>
              <w:right w:val="nil"/>
            </w:tcBorders>
            <w:shd w:val="clear" w:color="auto" w:fill="auto"/>
            <w:vAlign w:val="center"/>
          </w:tcPr>
          <w:p w14:paraId="6E21CD1F" w14:textId="5A80D037" w:rsidR="00B66794" w:rsidRPr="006C26F8" w:rsidRDefault="00B66794" w:rsidP="00154D55">
            <w:pPr>
              <w:spacing w:after="0" w:line="276" w:lineRule="auto"/>
              <w:jc w:val="right"/>
              <w:rPr>
                <w:rFonts w:cs="Arial"/>
                <w:sz w:val="15"/>
                <w:szCs w:val="15"/>
              </w:rPr>
            </w:pPr>
            <w:r w:rsidRPr="006C26F8">
              <w:rPr>
                <w:rFonts w:cs="Arial"/>
                <w:sz w:val="15"/>
                <w:szCs w:val="15"/>
              </w:rPr>
              <w:t>631</w:t>
            </w:r>
          </w:p>
        </w:tc>
        <w:tc>
          <w:tcPr>
            <w:tcW w:w="716" w:type="dxa"/>
            <w:tcBorders>
              <w:top w:val="nil"/>
              <w:left w:val="nil"/>
              <w:bottom w:val="nil"/>
              <w:right w:val="nil"/>
            </w:tcBorders>
            <w:shd w:val="clear" w:color="auto" w:fill="auto"/>
            <w:vAlign w:val="center"/>
          </w:tcPr>
          <w:p w14:paraId="21C72117" w14:textId="1AC0B1B6" w:rsidR="00B66794" w:rsidRPr="006C26F8" w:rsidRDefault="00B66794" w:rsidP="00154D55">
            <w:pPr>
              <w:spacing w:after="0" w:line="276" w:lineRule="auto"/>
              <w:jc w:val="right"/>
              <w:rPr>
                <w:rFonts w:cs="Arial"/>
                <w:sz w:val="15"/>
                <w:szCs w:val="15"/>
              </w:rPr>
            </w:pPr>
            <w:r w:rsidRPr="006C26F8">
              <w:rPr>
                <w:rFonts w:cs="Arial"/>
                <w:sz w:val="15"/>
                <w:szCs w:val="15"/>
              </w:rPr>
              <w:t>758</w:t>
            </w:r>
          </w:p>
        </w:tc>
        <w:tc>
          <w:tcPr>
            <w:tcW w:w="686" w:type="dxa"/>
            <w:tcBorders>
              <w:top w:val="nil"/>
              <w:left w:val="nil"/>
              <w:bottom w:val="nil"/>
              <w:right w:val="nil"/>
            </w:tcBorders>
            <w:shd w:val="clear" w:color="auto" w:fill="auto"/>
            <w:vAlign w:val="center"/>
          </w:tcPr>
          <w:p w14:paraId="6F4D2886" w14:textId="6D6E63E3" w:rsidR="00B66794" w:rsidRPr="006C26F8" w:rsidRDefault="00B66794" w:rsidP="00154D55">
            <w:pPr>
              <w:spacing w:after="0" w:line="276" w:lineRule="auto"/>
              <w:jc w:val="right"/>
              <w:rPr>
                <w:rFonts w:cs="Arial"/>
                <w:sz w:val="15"/>
                <w:szCs w:val="15"/>
              </w:rPr>
            </w:pPr>
            <w:r w:rsidRPr="006C26F8">
              <w:rPr>
                <w:rFonts w:cs="Arial"/>
                <w:sz w:val="15"/>
                <w:szCs w:val="15"/>
              </w:rPr>
              <w:t>920</w:t>
            </w:r>
          </w:p>
        </w:tc>
        <w:tc>
          <w:tcPr>
            <w:tcW w:w="716" w:type="dxa"/>
            <w:tcBorders>
              <w:top w:val="nil"/>
              <w:left w:val="nil"/>
              <w:bottom w:val="nil"/>
              <w:right w:val="nil"/>
            </w:tcBorders>
            <w:shd w:val="clear" w:color="auto" w:fill="auto"/>
            <w:vAlign w:val="center"/>
          </w:tcPr>
          <w:p w14:paraId="7E188D38" w14:textId="3EFAF453" w:rsidR="00B66794" w:rsidRPr="006C26F8" w:rsidRDefault="00B66794" w:rsidP="00154D55">
            <w:pPr>
              <w:spacing w:after="0" w:line="276" w:lineRule="auto"/>
              <w:jc w:val="right"/>
              <w:rPr>
                <w:rFonts w:cs="Arial"/>
                <w:sz w:val="15"/>
                <w:szCs w:val="15"/>
              </w:rPr>
            </w:pPr>
            <w:r w:rsidRPr="006C26F8">
              <w:rPr>
                <w:rFonts w:cs="Arial"/>
                <w:sz w:val="15"/>
                <w:szCs w:val="15"/>
              </w:rPr>
              <w:t>1.213</w:t>
            </w:r>
          </w:p>
        </w:tc>
        <w:tc>
          <w:tcPr>
            <w:tcW w:w="716" w:type="dxa"/>
            <w:tcBorders>
              <w:top w:val="nil"/>
              <w:left w:val="nil"/>
              <w:bottom w:val="nil"/>
              <w:right w:val="nil"/>
            </w:tcBorders>
            <w:shd w:val="clear" w:color="auto" w:fill="auto"/>
            <w:vAlign w:val="center"/>
          </w:tcPr>
          <w:p w14:paraId="0EEE96F5" w14:textId="3C7BED8B" w:rsidR="00B66794" w:rsidRPr="006C26F8" w:rsidRDefault="00B66794" w:rsidP="00154D55">
            <w:pPr>
              <w:spacing w:after="0" w:line="276" w:lineRule="auto"/>
              <w:jc w:val="right"/>
              <w:rPr>
                <w:rFonts w:cs="Arial"/>
                <w:sz w:val="15"/>
                <w:szCs w:val="15"/>
              </w:rPr>
            </w:pPr>
            <w:r w:rsidRPr="006C26F8">
              <w:rPr>
                <w:rFonts w:cs="Arial"/>
                <w:sz w:val="15"/>
                <w:szCs w:val="15"/>
              </w:rPr>
              <w:t>1.412</w:t>
            </w:r>
          </w:p>
        </w:tc>
        <w:tc>
          <w:tcPr>
            <w:tcW w:w="762" w:type="dxa"/>
            <w:tcBorders>
              <w:top w:val="nil"/>
              <w:left w:val="nil"/>
              <w:bottom w:val="nil"/>
              <w:right w:val="nil"/>
            </w:tcBorders>
            <w:shd w:val="clear" w:color="auto" w:fill="auto"/>
            <w:vAlign w:val="center"/>
          </w:tcPr>
          <w:p w14:paraId="7221E0FC" w14:textId="7954BBB8" w:rsidR="00B66794" w:rsidRPr="006C26F8" w:rsidRDefault="00B66794" w:rsidP="00154D55">
            <w:pPr>
              <w:spacing w:after="0" w:line="276" w:lineRule="auto"/>
              <w:jc w:val="right"/>
              <w:rPr>
                <w:rFonts w:cs="Arial"/>
                <w:sz w:val="15"/>
                <w:szCs w:val="15"/>
              </w:rPr>
            </w:pPr>
            <w:r w:rsidRPr="006C26F8">
              <w:rPr>
                <w:rFonts w:cs="Arial"/>
                <w:sz w:val="15"/>
                <w:szCs w:val="15"/>
              </w:rPr>
              <w:t>1.549</w:t>
            </w:r>
          </w:p>
        </w:tc>
        <w:tc>
          <w:tcPr>
            <w:tcW w:w="716" w:type="dxa"/>
            <w:tcBorders>
              <w:top w:val="nil"/>
              <w:left w:val="nil"/>
              <w:bottom w:val="nil"/>
              <w:right w:val="nil"/>
            </w:tcBorders>
            <w:shd w:val="clear" w:color="auto" w:fill="auto"/>
            <w:vAlign w:val="center"/>
          </w:tcPr>
          <w:p w14:paraId="18C1154A" w14:textId="42B273F6" w:rsidR="00B66794" w:rsidRPr="006C26F8" w:rsidRDefault="00B66794" w:rsidP="00154D55">
            <w:pPr>
              <w:spacing w:after="0" w:line="276" w:lineRule="auto"/>
              <w:jc w:val="right"/>
              <w:rPr>
                <w:rFonts w:cs="Arial"/>
                <w:sz w:val="15"/>
                <w:szCs w:val="15"/>
              </w:rPr>
            </w:pPr>
            <w:r w:rsidRPr="006C26F8">
              <w:rPr>
                <w:rFonts w:cs="Arial"/>
                <w:sz w:val="15"/>
                <w:szCs w:val="15"/>
              </w:rPr>
              <w:t>1.782</w:t>
            </w:r>
          </w:p>
        </w:tc>
        <w:tc>
          <w:tcPr>
            <w:tcW w:w="762" w:type="dxa"/>
            <w:tcBorders>
              <w:top w:val="nil"/>
              <w:left w:val="nil"/>
              <w:bottom w:val="nil"/>
              <w:right w:val="nil"/>
            </w:tcBorders>
            <w:shd w:val="clear" w:color="auto" w:fill="auto"/>
            <w:vAlign w:val="center"/>
          </w:tcPr>
          <w:p w14:paraId="425A8788" w14:textId="5317706B" w:rsidR="00B66794" w:rsidRPr="006C26F8" w:rsidRDefault="00B66794" w:rsidP="00154D55">
            <w:pPr>
              <w:spacing w:after="0" w:line="276" w:lineRule="auto"/>
              <w:jc w:val="right"/>
              <w:rPr>
                <w:rFonts w:cs="Arial"/>
                <w:sz w:val="15"/>
                <w:szCs w:val="15"/>
              </w:rPr>
            </w:pPr>
            <w:r w:rsidRPr="006C26F8">
              <w:rPr>
                <w:rFonts w:cs="Arial"/>
                <w:sz w:val="15"/>
                <w:szCs w:val="15"/>
              </w:rPr>
              <w:t>1.893</w:t>
            </w:r>
          </w:p>
        </w:tc>
        <w:tc>
          <w:tcPr>
            <w:tcW w:w="716" w:type="dxa"/>
            <w:tcBorders>
              <w:top w:val="nil"/>
              <w:left w:val="nil"/>
              <w:bottom w:val="nil"/>
              <w:right w:val="nil"/>
            </w:tcBorders>
            <w:shd w:val="clear" w:color="auto" w:fill="auto"/>
            <w:vAlign w:val="center"/>
          </w:tcPr>
          <w:p w14:paraId="260E4978" w14:textId="4540A0B9" w:rsidR="00B66794" w:rsidRPr="006C26F8" w:rsidRDefault="00B66794" w:rsidP="00154D55">
            <w:pPr>
              <w:spacing w:after="0" w:line="276" w:lineRule="auto"/>
              <w:jc w:val="right"/>
              <w:rPr>
                <w:rFonts w:cs="Arial"/>
                <w:sz w:val="15"/>
                <w:szCs w:val="15"/>
              </w:rPr>
            </w:pPr>
            <w:r w:rsidRPr="006C26F8">
              <w:rPr>
                <w:rFonts w:cs="Arial"/>
                <w:sz w:val="15"/>
                <w:szCs w:val="15"/>
              </w:rPr>
              <w:t>2.142</w:t>
            </w:r>
          </w:p>
        </w:tc>
        <w:tc>
          <w:tcPr>
            <w:tcW w:w="759" w:type="dxa"/>
            <w:tcBorders>
              <w:top w:val="nil"/>
              <w:left w:val="nil"/>
              <w:bottom w:val="nil"/>
              <w:right w:val="single" w:sz="4" w:space="0" w:color="808080" w:themeColor="background1" w:themeShade="80"/>
            </w:tcBorders>
            <w:shd w:val="clear" w:color="auto" w:fill="auto"/>
            <w:vAlign w:val="center"/>
          </w:tcPr>
          <w:p w14:paraId="0D254B00" w14:textId="5B62A99B" w:rsidR="00B66794" w:rsidRPr="006C26F8" w:rsidRDefault="00B66794" w:rsidP="00154D55">
            <w:pPr>
              <w:spacing w:after="0" w:line="276" w:lineRule="auto"/>
              <w:jc w:val="right"/>
              <w:rPr>
                <w:rFonts w:cs="Arial"/>
                <w:sz w:val="15"/>
                <w:szCs w:val="15"/>
              </w:rPr>
            </w:pPr>
            <w:r w:rsidRPr="006C26F8">
              <w:rPr>
                <w:rFonts w:cs="Arial"/>
                <w:sz w:val="15"/>
                <w:szCs w:val="15"/>
              </w:rPr>
              <w:t>2.541</w:t>
            </w:r>
          </w:p>
        </w:tc>
      </w:tr>
      <w:tr w:rsidR="00B66794" w:rsidRPr="00D44B43" w14:paraId="070A3FDD" w14:textId="77777777" w:rsidTr="00154D55">
        <w:trPr>
          <w:cantSplit/>
          <w:jc w:val="center"/>
        </w:trPr>
        <w:tc>
          <w:tcPr>
            <w:tcW w:w="436" w:type="dxa"/>
            <w:shd w:val="clear" w:color="auto" w:fill="auto"/>
            <w:vAlign w:val="center"/>
            <w:hideMark/>
          </w:tcPr>
          <w:p w14:paraId="23144B8D" w14:textId="77777777" w:rsidR="00B66794" w:rsidRPr="00F14FC1" w:rsidRDefault="00B66794" w:rsidP="00154D55">
            <w:pPr>
              <w:spacing w:after="0" w:line="276" w:lineRule="auto"/>
              <w:jc w:val="center"/>
              <w:rPr>
                <w:rFonts w:cs="Arial"/>
                <w:i/>
                <w:iCs/>
                <w:sz w:val="15"/>
                <w:szCs w:val="15"/>
              </w:rPr>
            </w:pPr>
            <w:r w:rsidRPr="00F14FC1">
              <w:rPr>
                <w:rFonts w:cs="Arial"/>
                <w:i/>
                <w:iCs/>
                <w:sz w:val="15"/>
                <w:szCs w:val="15"/>
              </w:rPr>
              <w:t>5α</w:t>
            </w:r>
          </w:p>
        </w:tc>
        <w:tc>
          <w:tcPr>
            <w:tcW w:w="2107" w:type="dxa"/>
            <w:tcBorders>
              <w:right w:val="nil"/>
            </w:tcBorders>
            <w:shd w:val="clear" w:color="auto" w:fill="auto"/>
            <w:vAlign w:val="center"/>
            <w:hideMark/>
          </w:tcPr>
          <w:p w14:paraId="5CA32DFF" w14:textId="77777777" w:rsidR="00B66794" w:rsidRPr="00F14FC1" w:rsidRDefault="00B66794" w:rsidP="00154D55">
            <w:pPr>
              <w:spacing w:after="0" w:line="276" w:lineRule="auto"/>
              <w:jc w:val="left"/>
              <w:rPr>
                <w:rFonts w:cs="Arial"/>
                <w:i/>
                <w:iCs/>
                <w:sz w:val="15"/>
                <w:szCs w:val="15"/>
              </w:rPr>
            </w:pPr>
            <w:r w:rsidRPr="00F14FC1">
              <w:rPr>
                <w:rFonts w:cs="Arial"/>
                <w:i/>
                <w:iCs/>
                <w:sz w:val="15"/>
                <w:szCs w:val="15"/>
              </w:rPr>
              <w:t>εκ των οποίων: Επιστροφές δαπανών για τόκους</w:t>
            </w:r>
          </w:p>
        </w:tc>
        <w:tc>
          <w:tcPr>
            <w:tcW w:w="615" w:type="dxa"/>
            <w:tcBorders>
              <w:top w:val="nil"/>
              <w:left w:val="nil"/>
              <w:bottom w:val="nil"/>
              <w:right w:val="nil"/>
            </w:tcBorders>
            <w:shd w:val="clear" w:color="auto" w:fill="auto"/>
            <w:vAlign w:val="center"/>
          </w:tcPr>
          <w:p w14:paraId="7B287E4D" w14:textId="73117553"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5B825B0A" w14:textId="7FCEDF12"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32EB6D45" w14:textId="3E50A15C"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0CCBB35B" w14:textId="364B2EF3"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686" w:type="dxa"/>
            <w:tcBorders>
              <w:top w:val="nil"/>
              <w:left w:val="nil"/>
              <w:bottom w:val="nil"/>
              <w:right w:val="nil"/>
            </w:tcBorders>
            <w:shd w:val="clear" w:color="auto" w:fill="auto"/>
            <w:vAlign w:val="center"/>
          </w:tcPr>
          <w:p w14:paraId="7DAC61E0" w14:textId="7D54E2A9"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5933DAF0" w14:textId="3C886B0D"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3563201A" w14:textId="587F9CBA"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62" w:type="dxa"/>
            <w:tcBorders>
              <w:top w:val="nil"/>
              <w:left w:val="nil"/>
              <w:bottom w:val="nil"/>
              <w:right w:val="nil"/>
            </w:tcBorders>
            <w:shd w:val="clear" w:color="auto" w:fill="auto"/>
            <w:vAlign w:val="center"/>
          </w:tcPr>
          <w:p w14:paraId="36D3430A" w14:textId="32AC5E98"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61BF95F2" w14:textId="19B5AA96"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62" w:type="dxa"/>
            <w:tcBorders>
              <w:top w:val="nil"/>
              <w:left w:val="nil"/>
              <w:bottom w:val="nil"/>
              <w:right w:val="nil"/>
            </w:tcBorders>
            <w:shd w:val="clear" w:color="auto" w:fill="auto"/>
            <w:vAlign w:val="center"/>
          </w:tcPr>
          <w:p w14:paraId="0DE8516A" w14:textId="695E0D43"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24880396" w14:textId="582FBC33"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59" w:type="dxa"/>
            <w:tcBorders>
              <w:top w:val="nil"/>
              <w:left w:val="nil"/>
              <w:bottom w:val="nil"/>
              <w:right w:val="single" w:sz="4" w:space="0" w:color="808080" w:themeColor="background1" w:themeShade="80"/>
            </w:tcBorders>
            <w:shd w:val="clear" w:color="auto" w:fill="auto"/>
            <w:vAlign w:val="center"/>
          </w:tcPr>
          <w:p w14:paraId="10FE4E30" w14:textId="3A53C9D8" w:rsidR="00B66794" w:rsidRPr="006C26F8" w:rsidRDefault="00B66794" w:rsidP="00154D55">
            <w:pPr>
              <w:spacing w:after="0" w:line="276" w:lineRule="auto"/>
              <w:jc w:val="right"/>
              <w:rPr>
                <w:rFonts w:cs="Arial"/>
                <w:sz w:val="15"/>
                <w:szCs w:val="15"/>
              </w:rPr>
            </w:pPr>
            <w:r w:rsidRPr="006C26F8">
              <w:rPr>
                <w:rFonts w:cs="Arial"/>
                <w:sz w:val="15"/>
                <w:szCs w:val="15"/>
              </w:rPr>
              <w:t>0</w:t>
            </w:r>
          </w:p>
        </w:tc>
      </w:tr>
      <w:tr w:rsidR="00B66794" w:rsidRPr="00D44B43" w14:paraId="7DEAF8C8" w14:textId="77777777" w:rsidTr="00154D55">
        <w:trPr>
          <w:cantSplit/>
          <w:jc w:val="center"/>
        </w:trPr>
        <w:tc>
          <w:tcPr>
            <w:tcW w:w="436" w:type="dxa"/>
            <w:shd w:val="clear" w:color="auto" w:fill="auto"/>
            <w:noWrap/>
            <w:vAlign w:val="center"/>
            <w:hideMark/>
          </w:tcPr>
          <w:p w14:paraId="2F40AC25" w14:textId="77777777" w:rsidR="00B66794" w:rsidRPr="00F14FC1" w:rsidRDefault="00B66794" w:rsidP="00154D55">
            <w:pPr>
              <w:spacing w:after="0" w:line="276" w:lineRule="auto"/>
              <w:jc w:val="center"/>
              <w:rPr>
                <w:rFonts w:cs="Arial"/>
                <w:sz w:val="15"/>
                <w:szCs w:val="15"/>
              </w:rPr>
            </w:pPr>
            <w:r w:rsidRPr="00F14FC1">
              <w:rPr>
                <w:rFonts w:cs="Arial"/>
                <w:sz w:val="15"/>
                <w:szCs w:val="15"/>
              </w:rPr>
              <w:t>6</w:t>
            </w:r>
          </w:p>
        </w:tc>
        <w:tc>
          <w:tcPr>
            <w:tcW w:w="2107" w:type="dxa"/>
            <w:tcBorders>
              <w:right w:val="nil"/>
            </w:tcBorders>
            <w:shd w:val="clear" w:color="auto" w:fill="auto"/>
            <w:vAlign w:val="center"/>
            <w:hideMark/>
          </w:tcPr>
          <w:p w14:paraId="5F18DD62" w14:textId="3A7907A2" w:rsidR="00B66794" w:rsidRPr="00F14FC1" w:rsidRDefault="00B66794" w:rsidP="00154D55">
            <w:pPr>
              <w:spacing w:after="0" w:line="276" w:lineRule="auto"/>
              <w:jc w:val="left"/>
              <w:rPr>
                <w:rFonts w:cs="Arial"/>
                <w:sz w:val="15"/>
                <w:szCs w:val="15"/>
              </w:rPr>
            </w:pPr>
            <w:r w:rsidRPr="00F14FC1">
              <w:rPr>
                <w:rFonts w:cs="Arial"/>
                <w:sz w:val="15"/>
                <w:szCs w:val="15"/>
              </w:rPr>
              <w:t>Πωλήσεις π</w:t>
            </w:r>
            <w:r w:rsidR="009E6DB3">
              <w:rPr>
                <w:rFonts w:cs="Arial"/>
                <w:sz w:val="15"/>
                <w:szCs w:val="15"/>
              </w:rPr>
              <w:t>α</w:t>
            </w:r>
            <w:r w:rsidRPr="00F14FC1">
              <w:rPr>
                <w:rFonts w:cs="Arial"/>
                <w:sz w:val="15"/>
                <w:szCs w:val="15"/>
              </w:rPr>
              <w:t>γ</w:t>
            </w:r>
            <w:r w:rsidR="009E6DB3">
              <w:rPr>
                <w:rFonts w:cs="Arial"/>
                <w:sz w:val="15"/>
                <w:szCs w:val="15"/>
              </w:rPr>
              <w:t>ί</w:t>
            </w:r>
            <w:r w:rsidRPr="00F14FC1">
              <w:rPr>
                <w:rFonts w:cs="Arial"/>
                <w:sz w:val="15"/>
                <w:szCs w:val="15"/>
              </w:rPr>
              <w:t>ων περιουσιακών στοιχείων</w:t>
            </w:r>
          </w:p>
        </w:tc>
        <w:tc>
          <w:tcPr>
            <w:tcW w:w="615" w:type="dxa"/>
            <w:tcBorders>
              <w:top w:val="nil"/>
              <w:left w:val="nil"/>
              <w:bottom w:val="nil"/>
              <w:right w:val="nil"/>
            </w:tcBorders>
            <w:shd w:val="clear" w:color="auto" w:fill="auto"/>
            <w:vAlign w:val="center"/>
          </w:tcPr>
          <w:p w14:paraId="57F1DF8D" w14:textId="3B732ABA"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751A1416" w14:textId="4C3AF172"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04819777" w14:textId="0C4D6E05"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7A9C734A" w14:textId="118273DC"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686" w:type="dxa"/>
            <w:tcBorders>
              <w:top w:val="nil"/>
              <w:left w:val="nil"/>
              <w:bottom w:val="nil"/>
              <w:right w:val="nil"/>
            </w:tcBorders>
            <w:shd w:val="clear" w:color="auto" w:fill="auto"/>
            <w:vAlign w:val="center"/>
          </w:tcPr>
          <w:p w14:paraId="5EFFCD86" w14:textId="54A381AF" w:rsidR="00B66794" w:rsidRPr="006C26F8" w:rsidRDefault="00B66794"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167C8066" w14:textId="1FB2EA59" w:rsidR="00B66794" w:rsidRPr="006C26F8" w:rsidRDefault="00B66794" w:rsidP="00154D55">
            <w:pPr>
              <w:spacing w:after="0" w:line="276" w:lineRule="auto"/>
              <w:jc w:val="right"/>
              <w:rPr>
                <w:rFonts w:cs="Arial"/>
                <w:sz w:val="15"/>
                <w:szCs w:val="15"/>
              </w:rPr>
            </w:pPr>
            <w:r w:rsidRPr="006C26F8">
              <w:rPr>
                <w:rFonts w:cs="Arial"/>
                <w:sz w:val="15"/>
                <w:szCs w:val="15"/>
              </w:rPr>
              <w:t>17</w:t>
            </w:r>
          </w:p>
        </w:tc>
        <w:tc>
          <w:tcPr>
            <w:tcW w:w="716" w:type="dxa"/>
            <w:tcBorders>
              <w:top w:val="nil"/>
              <w:left w:val="nil"/>
              <w:bottom w:val="nil"/>
              <w:right w:val="nil"/>
            </w:tcBorders>
            <w:shd w:val="clear" w:color="auto" w:fill="auto"/>
            <w:vAlign w:val="center"/>
          </w:tcPr>
          <w:p w14:paraId="4156800D" w14:textId="2DD50EA8" w:rsidR="00B66794" w:rsidRPr="006C26F8" w:rsidRDefault="00B66794" w:rsidP="00154D55">
            <w:pPr>
              <w:spacing w:after="0" w:line="276" w:lineRule="auto"/>
              <w:jc w:val="right"/>
              <w:rPr>
                <w:rFonts w:cs="Arial"/>
                <w:sz w:val="15"/>
                <w:szCs w:val="15"/>
              </w:rPr>
            </w:pPr>
            <w:r w:rsidRPr="006C26F8">
              <w:rPr>
                <w:rFonts w:cs="Arial"/>
                <w:sz w:val="15"/>
                <w:szCs w:val="15"/>
              </w:rPr>
              <w:t>17</w:t>
            </w:r>
          </w:p>
        </w:tc>
        <w:tc>
          <w:tcPr>
            <w:tcW w:w="762" w:type="dxa"/>
            <w:tcBorders>
              <w:top w:val="nil"/>
              <w:left w:val="nil"/>
              <w:bottom w:val="nil"/>
              <w:right w:val="nil"/>
            </w:tcBorders>
            <w:shd w:val="clear" w:color="auto" w:fill="auto"/>
            <w:vAlign w:val="center"/>
          </w:tcPr>
          <w:p w14:paraId="2E7B5900" w14:textId="61A010F4" w:rsidR="00B66794" w:rsidRPr="006C26F8" w:rsidRDefault="00B66794" w:rsidP="00154D55">
            <w:pPr>
              <w:spacing w:after="0" w:line="276" w:lineRule="auto"/>
              <w:jc w:val="right"/>
              <w:rPr>
                <w:rFonts w:cs="Arial"/>
                <w:sz w:val="15"/>
                <w:szCs w:val="15"/>
              </w:rPr>
            </w:pPr>
            <w:r w:rsidRPr="006C26F8">
              <w:rPr>
                <w:rFonts w:cs="Arial"/>
                <w:sz w:val="15"/>
                <w:szCs w:val="15"/>
              </w:rPr>
              <w:t>17</w:t>
            </w:r>
          </w:p>
        </w:tc>
        <w:tc>
          <w:tcPr>
            <w:tcW w:w="716" w:type="dxa"/>
            <w:tcBorders>
              <w:top w:val="nil"/>
              <w:left w:val="nil"/>
              <w:bottom w:val="nil"/>
              <w:right w:val="nil"/>
            </w:tcBorders>
            <w:shd w:val="clear" w:color="auto" w:fill="auto"/>
            <w:vAlign w:val="center"/>
          </w:tcPr>
          <w:p w14:paraId="4D122C84" w14:textId="54B75D3F" w:rsidR="00B66794" w:rsidRPr="006C26F8" w:rsidRDefault="00B66794" w:rsidP="00154D55">
            <w:pPr>
              <w:spacing w:after="0" w:line="276" w:lineRule="auto"/>
              <w:jc w:val="right"/>
              <w:rPr>
                <w:rFonts w:cs="Arial"/>
                <w:sz w:val="15"/>
                <w:szCs w:val="15"/>
              </w:rPr>
            </w:pPr>
            <w:r w:rsidRPr="006C26F8">
              <w:rPr>
                <w:rFonts w:cs="Arial"/>
                <w:sz w:val="15"/>
                <w:szCs w:val="15"/>
              </w:rPr>
              <w:t>19</w:t>
            </w:r>
          </w:p>
        </w:tc>
        <w:tc>
          <w:tcPr>
            <w:tcW w:w="762" w:type="dxa"/>
            <w:tcBorders>
              <w:top w:val="nil"/>
              <w:left w:val="nil"/>
              <w:bottom w:val="nil"/>
              <w:right w:val="nil"/>
            </w:tcBorders>
            <w:shd w:val="clear" w:color="auto" w:fill="auto"/>
            <w:vAlign w:val="center"/>
          </w:tcPr>
          <w:p w14:paraId="4D42A3C9" w14:textId="1981165A" w:rsidR="00B66794" w:rsidRPr="006C26F8" w:rsidRDefault="00B66794" w:rsidP="00154D55">
            <w:pPr>
              <w:spacing w:after="0" w:line="276" w:lineRule="auto"/>
              <w:jc w:val="right"/>
              <w:rPr>
                <w:rFonts w:cs="Arial"/>
                <w:sz w:val="15"/>
                <w:szCs w:val="15"/>
              </w:rPr>
            </w:pPr>
            <w:r w:rsidRPr="006C26F8">
              <w:rPr>
                <w:rFonts w:cs="Arial"/>
                <w:sz w:val="15"/>
                <w:szCs w:val="15"/>
              </w:rPr>
              <w:t>19</w:t>
            </w:r>
          </w:p>
        </w:tc>
        <w:tc>
          <w:tcPr>
            <w:tcW w:w="716" w:type="dxa"/>
            <w:tcBorders>
              <w:top w:val="nil"/>
              <w:left w:val="nil"/>
              <w:bottom w:val="nil"/>
              <w:right w:val="nil"/>
            </w:tcBorders>
            <w:shd w:val="clear" w:color="auto" w:fill="auto"/>
            <w:vAlign w:val="center"/>
          </w:tcPr>
          <w:p w14:paraId="10923C13" w14:textId="084333B8" w:rsidR="00B66794" w:rsidRPr="006C26F8" w:rsidRDefault="00B66794" w:rsidP="00154D55">
            <w:pPr>
              <w:spacing w:after="0" w:line="276" w:lineRule="auto"/>
              <w:jc w:val="right"/>
              <w:rPr>
                <w:rFonts w:cs="Arial"/>
                <w:sz w:val="15"/>
                <w:szCs w:val="15"/>
              </w:rPr>
            </w:pPr>
            <w:r w:rsidRPr="006C26F8">
              <w:rPr>
                <w:rFonts w:cs="Arial"/>
                <w:sz w:val="15"/>
                <w:szCs w:val="15"/>
              </w:rPr>
              <w:t>19</w:t>
            </w:r>
          </w:p>
        </w:tc>
        <w:tc>
          <w:tcPr>
            <w:tcW w:w="759" w:type="dxa"/>
            <w:tcBorders>
              <w:top w:val="nil"/>
              <w:left w:val="nil"/>
              <w:bottom w:val="nil"/>
              <w:right w:val="single" w:sz="4" w:space="0" w:color="808080" w:themeColor="background1" w:themeShade="80"/>
            </w:tcBorders>
            <w:shd w:val="clear" w:color="auto" w:fill="auto"/>
            <w:vAlign w:val="center"/>
          </w:tcPr>
          <w:p w14:paraId="55176783" w14:textId="1523D617" w:rsidR="00B66794" w:rsidRPr="006C26F8" w:rsidRDefault="00B66794" w:rsidP="00154D55">
            <w:pPr>
              <w:spacing w:after="0" w:line="276" w:lineRule="auto"/>
              <w:jc w:val="right"/>
              <w:rPr>
                <w:rFonts w:cs="Arial"/>
                <w:sz w:val="15"/>
                <w:szCs w:val="15"/>
              </w:rPr>
            </w:pPr>
            <w:r w:rsidRPr="006C26F8">
              <w:rPr>
                <w:rFonts w:cs="Arial"/>
                <w:sz w:val="15"/>
                <w:szCs w:val="15"/>
              </w:rPr>
              <w:t>51</w:t>
            </w:r>
          </w:p>
        </w:tc>
      </w:tr>
      <w:tr w:rsidR="00B66794" w:rsidRPr="00D44B43" w14:paraId="19CA1A0E" w14:textId="77777777" w:rsidTr="00154D55">
        <w:trPr>
          <w:cantSplit/>
          <w:jc w:val="center"/>
        </w:trPr>
        <w:tc>
          <w:tcPr>
            <w:tcW w:w="436" w:type="dxa"/>
            <w:shd w:val="clear" w:color="auto" w:fill="auto"/>
            <w:noWrap/>
            <w:vAlign w:val="center"/>
            <w:hideMark/>
          </w:tcPr>
          <w:p w14:paraId="3A571BF3" w14:textId="77777777" w:rsidR="00B66794" w:rsidRPr="00F14FC1" w:rsidRDefault="00B66794" w:rsidP="00154D55">
            <w:pPr>
              <w:spacing w:after="0" w:line="276" w:lineRule="auto"/>
              <w:jc w:val="center"/>
              <w:rPr>
                <w:rFonts w:cs="Arial"/>
                <w:sz w:val="15"/>
                <w:szCs w:val="15"/>
              </w:rPr>
            </w:pPr>
            <w:r w:rsidRPr="00F14FC1">
              <w:rPr>
                <w:rFonts w:cs="Arial"/>
                <w:sz w:val="15"/>
                <w:szCs w:val="15"/>
              </w:rPr>
              <w:t>7</w:t>
            </w:r>
          </w:p>
        </w:tc>
        <w:tc>
          <w:tcPr>
            <w:tcW w:w="2107" w:type="dxa"/>
            <w:tcBorders>
              <w:right w:val="nil"/>
            </w:tcBorders>
            <w:shd w:val="clear" w:color="auto" w:fill="auto"/>
            <w:vAlign w:val="center"/>
            <w:hideMark/>
          </w:tcPr>
          <w:p w14:paraId="3AD80687" w14:textId="77777777" w:rsidR="00B66794" w:rsidRPr="00F14FC1" w:rsidRDefault="00B66794" w:rsidP="00154D55">
            <w:pPr>
              <w:spacing w:after="0" w:line="276" w:lineRule="auto"/>
              <w:jc w:val="left"/>
              <w:rPr>
                <w:rFonts w:cs="Arial"/>
                <w:sz w:val="15"/>
                <w:szCs w:val="15"/>
              </w:rPr>
            </w:pPr>
            <w:r w:rsidRPr="00F14FC1">
              <w:rPr>
                <w:rFonts w:cs="Arial"/>
                <w:sz w:val="15"/>
                <w:szCs w:val="15"/>
              </w:rPr>
              <w:t>Επιστροφές εσόδων</w:t>
            </w:r>
          </w:p>
        </w:tc>
        <w:tc>
          <w:tcPr>
            <w:tcW w:w="615" w:type="dxa"/>
            <w:tcBorders>
              <w:top w:val="nil"/>
              <w:left w:val="nil"/>
              <w:bottom w:val="nil"/>
              <w:right w:val="nil"/>
            </w:tcBorders>
            <w:shd w:val="clear" w:color="auto" w:fill="auto"/>
            <w:vAlign w:val="center"/>
          </w:tcPr>
          <w:p w14:paraId="0C7F4D4D" w14:textId="1AD8E555" w:rsidR="00B66794" w:rsidRPr="006C26F8" w:rsidRDefault="00B66794" w:rsidP="00154D55">
            <w:pPr>
              <w:spacing w:after="0" w:line="276" w:lineRule="auto"/>
              <w:jc w:val="right"/>
              <w:rPr>
                <w:rFonts w:cs="Arial"/>
                <w:sz w:val="15"/>
                <w:szCs w:val="15"/>
              </w:rPr>
            </w:pPr>
            <w:r w:rsidRPr="006C26F8">
              <w:rPr>
                <w:rFonts w:cs="Arial"/>
                <w:sz w:val="15"/>
                <w:szCs w:val="15"/>
              </w:rPr>
              <w:t>492</w:t>
            </w:r>
          </w:p>
        </w:tc>
        <w:tc>
          <w:tcPr>
            <w:tcW w:w="716" w:type="dxa"/>
            <w:tcBorders>
              <w:top w:val="nil"/>
              <w:left w:val="nil"/>
              <w:bottom w:val="nil"/>
              <w:right w:val="nil"/>
            </w:tcBorders>
            <w:shd w:val="clear" w:color="auto" w:fill="auto"/>
            <w:vAlign w:val="center"/>
          </w:tcPr>
          <w:p w14:paraId="0AC537CD" w14:textId="0DE2B178" w:rsidR="00B66794" w:rsidRPr="006C26F8" w:rsidRDefault="00B66794" w:rsidP="00154D55">
            <w:pPr>
              <w:spacing w:after="0" w:line="276" w:lineRule="auto"/>
              <w:jc w:val="right"/>
              <w:rPr>
                <w:rFonts w:cs="Arial"/>
                <w:sz w:val="15"/>
                <w:szCs w:val="15"/>
              </w:rPr>
            </w:pPr>
            <w:r w:rsidRPr="006C26F8">
              <w:rPr>
                <w:rFonts w:cs="Arial"/>
                <w:sz w:val="15"/>
                <w:szCs w:val="15"/>
              </w:rPr>
              <w:t>1.168</w:t>
            </w:r>
          </w:p>
        </w:tc>
        <w:tc>
          <w:tcPr>
            <w:tcW w:w="716" w:type="dxa"/>
            <w:tcBorders>
              <w:top w:val="nil"/>
              <w:left w:val="nil"/>
              <w:bottom w:val="nil"/>
              <w:right w:val="nil"/>
            </w:tcBorders>
            <w:shd w:val="clear" w:color="auto" w:fill="auto"/>
            <w:vAlign w:val="center"/>
          </w:tcPr>
          <w:p w14:paraId="4AFA691F" w14:textId="4CBEF5ED" w:rsidR="00B66794" w:rsidRPr="006C26F8" w:rsidRDefault="00B66794" w:rsidP="00154D55">
            <w:pPr>
              <w:spacing w:after="0" w:line="276" w:lineRule="auto"/>
              <w:jc w:val="right"/>
              <w:rPr>
                <w:rFonts w:cs="Arial"/>
                <w:sz w:val="15"/>
                <w:szCs w:val="15"/>
              </w:rPr>
            </w:pPr>
            <w:r w:rsidRPr="006C26F8">
              <w:rPr>
                <w:rFonts w:cs="Arial"/>
                <w:sz w:val="15"/>
                <w:szCs w:val="15"/>
              </w:rPr>
              <w:t>1.744</w:t>
            </w:r>
          </w:p>
        </w:tc>
        <w:tc>
          <w:tcPr>
            <w:tcW w:w="716" w:type="dxa"/>
            <w:tcBorders>
              <w:top w:val="nil"/>
              <w:left w:val="nil"/>
              <w:bottom w:val="nil"/>
              <w:right w:val="nil"/>
            </w:tcBorders>
            <w:shd w:val="clear" w:color="auto" w:fill="auto"/>
            <w:vAlign w:val="center"/>
          </w:tcPr>
          <w:p w14:paraId="039FA634" w14:textId="54ED5AD1" w:rsidR="00B66794" w:rsidRPr="006C26F8" w:rsidRDefault="00B66794" w:rsidP="00154D55">
            <w:pPr>
              <w:spacing w:after="0" w:line="276" w:lineRule="auto"/>
              <w:jc w:val="right"/>
              <w:rPr>
                <w:rFonts w:cs="Arial"/>
                <w:sz w:val="15"/>
                <w:szCs w:val="15"/>
              </w:rPr>
            </w:pPr>
            <w:r w:rsidRPr="006C26F8">
              <w:rPr>
                <w:rFonts w:cs="Arial"/>
                <w:sz w:val="15"/>
                <w:szCs w:val="15"/>
              </w:rPr>
              <w:t>2.395</w:t>
            </w:r>
          </w:p>
        </w:tc>
        <w:tc>
          <w:tcPr>
            <w:tcW w:w="686" w:type="dxa"/>
            <w:tcBorders>
              <w:top w:val="nil"/>
              <w:left w:val="nil"/>
              <w:bottom w:val="nil"/>
              <w:right w:val="nil"/>
            </w:tcBorders>
            <w:shd w:val="clear" w:color="auto" w:fill="auto"/>
            <w:vAlign w:val="center"/>
          </w:tcPr>
          <w:p w14:paraId="1EB7C780" w14:textId="30C1D5F9" w:rsidR="00B66794" w:rsidRPr="006C26F8" w:rsidRDefault="00B66794" w:rsidP="00154D55">
            <w:pPr>
              <w:spacing w:after="0" w:line="276" w:lineRule="auto"/>
              <w:jc w:val="right"/>
              <w:rPr>
                <w:rFonts w:cs="Arial"/>
                <w:sz w:val="15"/>
                <w:szCs w:val="15"/>
              </w:rPr>
            </w:pPr>
            <w:r w:rsidRPr="006C26F8">
              <w:rPr>
                <w:rFonts w:cs="Arial"/>
                <w:sz w:val="15"/>
                <w:szCs w:val="15"/>
              </w:rPr>
              <w:t>3.204</w:t>
            </w:r>
          </w:p>
        </w:tc>
        <w:tc>
          <w:tcPr>
            <w:tcW w:w="716" w:type="dxa"/>
            <w:tcBorders>
              <w:top w:val="nil"/>
              <w:left w:val="nil"/>
              <w:bottom w:val="nil"/>
              <w:right w:val="nil"/>
            </w:tcBorders>
            <w:shd w:val="clear" w:color="auto" w:fill="auto"/>
            <w:vAlign w:val="center"/>
          </w:tcPr>
          <w:p w14:paraId="0B6D2C3B" w14:textId="173A8754" w:rsidR="00B66794" w:rsidRPr="006C26F8" w:rsidRDefault="00B66794" w:rsidP="00154D55">
            <w:pPr>
              <w:spacing w:after="0" w:line="276" w:lineRule="auto"/>
              <w:jc w:val="right"/>
              <w:rPr>
                <w:rFonts w:cs="Arial"/>
                <w:sz w:val="15"/>
                <w:szCs w:val="15"/>
              </w:rPr>
            </w:pPr>
            <w:r w:rsidRPr="006C26F8">
              <w:rPr>
                <w:rFonts w:cs="Arial"/>
                <w:sz w:val="15"/>
                <w:szCs w:val="15"/>
              </w:rPr>
              <w:t>3.778</w:t>
            </w:r>
          </w:p>
        </w:tc>
        <w:tc>
          <w:tcPr>
            <w:tcW w:w="716" w:type="dxa"/>
            <w:tcBorders>
              <w:top w:val="nil"/>
              <w:left w:val="nil"/>
              <w:bottom w:val="nil"/>
              <w:right w:val="nil"/>
            </w:tcBorders>
            <w:shd w:val="clear" w:color="auto" w:fill="auto"/>
            <w:vAlign w:val="center"/>
          </w:tcPr>
          <w:p w14:paraId="764685C8" w14:textId="3B665B23" w:rsidR="00B66794" w:rsidRPr="006C26F8" w:rsidRDefault="00B66794" w:rsidP="00154D55">
            <w:pPr>
              <w:spacing w:after="0" w:line="276" w:lineRule="auto"/>
              <w:jc w:val="right"/>
              <w:rPr>
                <w:rFonts w:cs="Arial"/>
                <w:sz w:val="15"/>
                <w:szCs w:val="15"/>
              </w:rPr>
            </w:pPr>
            <w:r w:rsidRPr="006C26F8">
              <w:rPr>
                <w:rFonts w:cs="Arial"/>
                <w:sz w:val="15"/>
                <w:szCs w:val="15"/>
              </w:rPr>
              <w:t>4.476</w:t>
            </w:r>
          </w:p>
        </w:tc>
        <w:tc>
          <w:tcPr>
            <w:tcW w:w="762" w:type="dxa"/>
            <w:tcBorders>
              <w:top w:val="nil"/>
              <w:left w:val="nil"/>
              <w:bottom w:val="nil"/>
              <w:right w:val="nil"/>
            </w:tcBorders>
            <w:shd w:val="clear" w:color="auto" w:fill="auto"/>
            <w:vAlign w:val="center"/>
          </w:tcPr>
          <w:p w14:paraId="0A874C43" w14:textId="60C31B57" w:rsidR="00B66794" w:rsidRPr="006C26F8" w:rsidRDefault="00B66794" w:rsidP="00154D55">
            <w:pPr>
              <w:spacing w:after="0" w:line="276" w:lineRule="auto"/>
              <w:jc w:val="right"/>
              <w:rPr>
                <w:rFonts w:cs="Arial"/>
                <w:sz w:val="15"/>
                <w:szCs w:val="15"/>
              </w:rPr>
            </w:pPr>
            <w:r w:rsidRPr="006C26F8">
              <w:rPr>
                <w:rFonts w:cs="Arial"/>
                <w:sz w:val="15"/>
                <w:szCs w:val="15"/>
              </w:rPr>
              <w:t>5.659</w:t>
            </w:r>
          </w:p>
        </w:tc>
        <w:tc>
          <w:tcPr>
            <w:tcW w:w="716" w:type="dxa"/>
            <w:tcBorders>
              <w:top w:val="nil"/>
              <w:left w:val="nil"/>
              <w:bottom w:val="nil"/>
              <w:right w:val="nil"/>
            </w:tcBorders>
            <w:shd w:val="clear" w:color="auto" w:fill="auto"/>
            <w:vAlign w:val="center"/>
          </w:tcPr>
          <w:p w14:paraId="03854A89" w14:textId="37FCB957" w:rsidR="00B66794" w:rsidRPr="006C26F8" w:rsidRDefault="00B66794" w:rsidP="00154D55">
            <w:pPr>
              <w:spacing w:after="0" w:line="276" w:lineRule="auto"/>
              <w:jc w:val="right"/>
              <w:rPr>
                <w:rFonts w:cs="Arial"/>
                <w:sz w:val="15"/>
                <w:szCs w:val="15"/>
              </w:rPr>
            </w:pPr>
            <w:r w:rsidRPr="006C26F8">
              <w:rPr>
                <w:rFonts w:cs="Arial"/>
                <w:sz w:val="15"/>
                <w:szCs w:val="15"/>
              </w:rPr>
              <w:t>6.206</w:t>
            </w:r>
          </w:p>
        </w:tc>
        <w:tc>
          <w:tcPr>
            <w:tcW w:w="762" w:type="dxa"/>
            <w:tcBorders>
              <w:top w:val="nil"/>
              <w:left w:val="nil"/>
              <w:bottom w:val="nil"/>
              <w:right w:val="nil"/>
            </w:tcBorders>
            <w:shd w:val="clear" w:color="auto" w:fill="auto"/>
            <w:vAlign w:val="center"/>
          </w:tcPr>
          <w:p w14:paraId="2B8912FB" w14:textId="755F052F" w:rsidR="00B66794" w:rsidRPr="006C26F8" w:rsidRDefault="00B66794" w:rsidP="00154D55">
            <w:pPr>
              <w:spacing w:after="0" w:line="276" w:lineRule="auto"/>
              <w:jc w:val="right"/>
              <w:rPr>
                <w:rFonts w:cs="Arial"/>
                <w:sz w:val="15"/>
                <w:szCs w:val="15"/>
              </w:rPr>
            </w:pPr>
            <w:r w:rsidRPr="006C26F8">
              <w:rPr>
                <w:rFonts w:cs="Arial"/>
                <w:sz w:val="15"/>
                <w:szCs w:val="15"/>
              </w:rPr>
              <w:t>6.838</w:t>
            </w:r>
          </w:p>
        </w:tc>
        <w:tc>
          <w:tcPr>
            <w:tcW w:w="716" w:type="dxa"/>
            <w:tcBorders>
              <w:top w:val="nil"/>
              <w:left w:val="nil"/>
              <w:bottom w:val="nil"/>
              <w:right w:val="nil"/>
            </w:tcBorders>
            <w:shd w:val="clear" w:color="auto" w:fill="auto"/>
            <w:vAlign w:val="center"/>
          </w:tcPr>
          <w:p w14:paraId="44A9FD47" w14:textId="5956E052" w:rsidR="00B66794" w:rsidRPr="006C26F8" w:rsidRDefault="00B66794" w:rsidP="00154D55">
            <w:pPr>
              <w:spacing w:after="0" w:line="276" w:lineRule="auto"/>
              <w:jc w:val="right"/>
              <w:rPr>
                <w:rFonts w:cs="Arial"/>
                <w:sz w:val="15"/>
                <w:szCs w:val="15"/>
              </w:rPr>
            </w:pPr>
            <w:r w:rsidRPr="006C26F8">
              <w:rPr>
                <w:rFonts w:cs="Arial"/>
                <w:sz w:val="15"/>
                <w:szCs w:val="15"/>
              </w:rPr>
              <w:t>7.304</w:t>
            </w:r>
          </w:p>
        </w:tc>
        <w:tc>
          <w:tcPr>
            <w:tcW w:w="759" w:type="dxa"/>
            <w:tcBorders>
              <w:top w:val="nil"/>
              <w:left w:val="nil"/>
              <w:bottom w:val="nil"/>
              <w:right w:val="single" w:sz="4" w:space="0" w:color="808080" w:themeColor="background1" w:themeShade="80"/>
            </w:tcBorders>
            <w:shd w:val="clear" w:color="auto" w:fill="auto"/>
            <w:vAlign w:val="center"/>
          </w:tcPr>
          <w:p w14:paraId="48665B51" w14:textId="74E89A8E" w:rsidR="00B66794" w:rsidRPr="006C26F8" w:rsidRDefault="00B66794" w:rsidP="00154D55">
            <w:pPr>
              <w:spacing w:after="0" w:line="276" w:lineRule="auto"/>
              <w:jc w:val="right"/>
              <w:rPr>
                <w:rFonts w:cs="Arial"/>
                <w:sz w:val="15"/>
                <w:szCs w:val="15"/>
              </w:rPr>
            </w:pPr>
            <w:r w:rsidRPr="006C26F8">
              <w:rPr>
                <w:rFonts w:cs="Arial"/>
                <w:sz w:val="15"/>
                <w:szCs w:val="15"/>
              </w:rPr>
              <w:t>8.038</w:t>
            </w:r>
          </w:p>
        </w:tc>
      </w:tr>
      <w:tr w:rsidR="006C26F8" w:rsidRPr="00D44B43" w14:paraId="28A263C2" w14:textId="77777777" w:rsidTr="00154D55">
        <w:trPr>
          <w:cantSplit/>
          <w:jc w:val="center"/>
        </w:trPr>
        <w:tc>
          <w:tcPr>
            <w:tcW w:w="436" w:type="dxa"/>
            <w:shd w:val="clear" w:color="auto" w:fill="D5DCE4"/>
            <w:noWrap/>
            <w:vAlign w:val="center"/>
            <w:hideMark/>
          </w:tcPr>
          <w:p w14:paraId="79564693" w14:textId="77777777" w:rsidR="006C26F8" w:rsidRPr="00F14FC1" w:rsidRDefault="006C26F8" w:rsidP="00154D55">
            <w:pPr>
              <w:spacing w:after="0" w:line="276" w:lineRule="auto"/>
              <w:jc w:val="center"/>
              <w:rPr>
                <w:rFonts w:cs="Arial"/>
                <w:b/>
                <w:bCs/>
                <w:sz w:val="15"/>
                <w:szCs w:val="15"/>
              </w:rPr>
            </w:pPr>
            <w:r w:rsidRPr="00F14FC1">
              <w:rPr>
                <w:rFonts w:cs="Arial"/>
                <w:b/>
                <w:bCs/>
                <w:sz w:val="15"/>
                <w:szCs w:val="15"/>
              </w:rPr>
              <w:t>II.</w:t>
            </w:r>
          </w:p>
        </w:tc>
        <w:tc>
          <w:tcPr>
            <w:tcW w:w="2107" w:type="dxa"/>
            <w:tcBorders>
              <w:right w:val="nil"/>
            </w:tcBorders>
            <w:shd w:val="clear" w:color="auto" w:fill="D5DCE4"/>
            <w:vAlign w:val="center"/>
            <w:hideMark/>
          </w:tcPr>
          <w:p w14:paraId="7DDE7E25" w14:textId="77777777" w:rsidR="006C26F8" w:rsidRPr="00F14FC1" w:rsidRDefault="006C26F8" w:rsidP="00154D55">
            <w:pPr>
              <w:spacing w:after="0" w:line="276" w:lineRule="auto"/>
              <w:jc w:val="left"/>
              <w:rPr>
                <w:rFonts w:cs="Arial"/>
                <w:b/>
                <w:bCs/>
                <w:sz w:val="15"/>
                <w:szCs w:val="15"/>
              </w:rPr>
            </w:pPr>
            <w:r w:rsidRPr="00F14FC1">
              <w:rPr>
                <w:rFonts w:cs="Arial"/>
                <w:b/>
                <w:bCs/>
                <w:sz w:val="15"/>
                <w:szCs w:val="15"/>
              </w:rPr>
              <w:t>Δαπάνες κρατικού προϋπολογισμού (1+2+3+4+5+6+7+8+9+10)</w:t>
            </w:r>
          </w:p>
        </w:tc>
        <w:tc>
          <w:tcPr>
            <w:tcW w:w="615" w:type="dxa"/>
            <w:tcBorders>
              <w:top w:val="nil"/>
              <w:left w:val="nil"/>
              <w:bottom w:val="nil"/>
              <w:right w:val="nil"/>
            </w:tcBorders>
            <w:shd w:val="clear" w:color="auto" w:fill="D5DCE4"/>
            <w:vAlign w:val="center"/>
          </w:tcPr>
          <w:p w14:paraId="5B9A3E50" w14:textId="0D986E1C" w:rsidR="006C26F8" w:rsidRPr="006C26F8" w:rsidRDefault="006C26F8" w:rsidP="00154D55">
            <w:pPr>
              <w:spacing w:after="0" w:line="276" w:lineRule="auto"/>
              <w:jc w:val="right"/>
              <w:rPr>
                <w:rFonts w:cs="Arial"/>
                <w:b/>
                <w:bCs/>
                <w:sz w:val="15"/>
                <w:szCs w:val="15"/>
              </w:rPr>
            </w:pPr>
            <w:r w:rsidRPr="006C26F8">
              <w:rPr>
                <w:rFonts w:cs="Arial"/>
                <w:b/>
                <w:bCs/>
                <w:sz w:val="15"/>
                <w:szCs w:val="15"/>
              </w:rPr>
              <w:t>5.560</w:t>
            </w:r>
          </w:p>
        </w:tc>
        <w:tc>
          <w:tcPr>
            <w:tcW w:w="716" w:type="dxa"/>
            <w:tcBorders>
              <w:top w:val="nil"/>
              <w:left w:val="nil"/>
              <w:bottom w:val="nil"/>
              <w:right w:val="nil"/>
            </w:tcBorders>
            <w:shd w:val="clear" w:color="auto" w:fill="D5DCE4"/>
            <w:vAlign w:val="center"/>
          </w:tcPr>
          <w:p w14:paraId="47555A0E" w14:textId="2BC4E22B" w:rsidR="006C26F8" w:rsidRPr="006C26F8" w:rsidRDefault="006C26F8" w:rsidP="00154D55">
            <w:pPr>
              <w:spacing w:after="0" w:line="276" w:lineRule="auto"/>
              <w:jc w:val="right"/>
              <w:rPr>
                <w:rFonts w:cs="Arial"/>
                <w:b/>
                <w:bCs/>
                <w:sz w:val="15"/>
                <w:szCs w:val="15"/>
              </w:rPr>
            </w:pPr>
            <w:r w:rsidRPr="006C26F8">
              <w:rPr>
                <w:rFonts w:cs="Arial"/>
                <w:b/>
                <w:bCs/>
                <w:sz w:val="15"/>
                <w:szCs w:val="15"/>
              </w:rPr>
              <w:t>12.211</w:t>
            </w:r>
          </w:p>
        </w:tc>
        <w:tc>
          <w:tcPr>
            <w:tcW w:w="716" w:type="dxa"/>
            <w:tcBorders>
              <w:top w:val="nil"/>
              <w:left w:val="nil"/>
              <w:bottom w:val="nil"/>
              <w:right w:val="nil"/>
            </w:tcBorders>
            <w:shd w:val="clear" w:color="auto" w:fill="D5DCE4"/>
            <w:vAlign w:val="center"/>
          </w:tcPr>
          <w:p w14:paraId="306CA081" w14:textId="3B2555BA" w:rsidR="006C26F8" w:rsidRPr="006C26F8" w:rsidRDefault="006C26F8" w:rsidP="00154D55">
            <w:pPr>
              <w:spacing w:after="0" w:line="276" w:lineRule="auto"/>
              <w:jc w:val="right"/>
              <w:rPr>
                <w:rFonts w:cs="Arial"/>
                <w:b/>
                <w:bCs/>
                <w:sz w:val="15"/>
                <w:szCs w:val="15"/>
              </w:rPr>
            </w:pPr>
            <w:r w:rsidRPr="006C26F8">
              <w:rPr>
                <w:rFonts w:cs="Arial"/>
                <w:b/>
                <w:bCs/>
                <w:sz w:val="15"/>
                <w:szCs w:val="15"/>
              </w:rPr>
              <w:t>17.934</w:t>
            </w:r>
          </w:p>
        </w:tc>
        <w:tc>
          <w:tcPr>
            <w:tcW w:w="716" w:type="dxa"/>
            <w:tcBorders>
              <w:top w:val="nil"/>
              <w:left w:val="nil"/>
              <w:bottom w:val="nil"/>
              <w:right w:val="nil"/>
            </w:tcBorders>
            <w:shd w:val="clear" w:color="auto" w:fill="D5DCE4"/>
            <w:vAlign w:val="center"/>
          </w:tcPr>
          <w:p w14:paraId="52565166" w14:textId="22568CB3" w:rsidR="006C26F8" w:rsidRPr="006C26F8" w:rsidRDefault="006C26F8" w:rsidP="00154D55">
            <w:pPr>
              <w:spacing w:after="0" w:line="276" w:lineRule="auto"/>
              <w:jc w:val="right"/>
              <w:rPr>
                <w:rFonts w:cs="Arial"/>
                <w:b/>
                <w:bCs/>
                <w:sz w:val="15"/>
                <w:szCs w:val="15"/>
              </w:rPr>
            </w:pPr>
            <w:r w:rsidRPr="006C26F8">
              <w:rPr>
                <w:rFonts w:cs="Arial"/>
                <w:b/>
                <w:bCs/>
                <w:sz w:val="15"/>
                <w:szCs w:val="15"/>
              </w:rPr>
              <w:t>23.974</w:t>
            </w:r>
          </w:p>
        </w:tc>
        <w:tc>
          <w:tcPr>
            <w:tcW w:w="686" w:type="dxa"/>
            <w:tcBorders>
              <w:top w:val="nil"/>
              <w:left w:val="nil"/>
              <w:bottom w:val="nil"/>
              <w:right w:val="nil"/>
            </w:tcBorders>
            <w:shd w:val="clear" w:color="auto" w:fill="D5DCE4"/>
            <w:vAlign w:val="center"/>
          </w:tcPr>
          <w:p w14:paraId="547D9C68" w14:textId="6D60777B" w:rsidR="006C26F8" w:rsidRPr="006C26F8" w:rsidRDefault="006C26F8" w:rsidP="00154D55">
            <w:pPr>
              <w:spacing w:after="0" w:line="276" w:lineRule="auto"/>
              <w:jc w:val="right"/>
              <w:rPr>
                <w:rFonts w:cs="Arial"/>
                <w:b/>
                <w:bCs/>
                <w:sz w:val="15"/>
                <w:szCs w:val="15"/>
              </w:rPr>
            </w:pPr>
            <w:r w:rsidRPr="006C26F8">
              <w:rPr>
                <w:rFonts w:cs="Arial"/>
                <w:b/>
                <w:bCs/>
                <w:sz w:val="15"/>
                <w:szCs w:val="15"/>
              </w:rPr>
              <w:t>29.863</w:t>
            </w:r>
          </w:p>
        </w:tc>
        <w:tc>
          <w:tcPr>
            <w:tcW w:w="716" w:type="dxa"/>
            <w:tcBorders>
              <w:top w:val="nil"/>
              <w:left w:val="nil"/>
              <w:bottom w:val="nil"/>
              <w:right w:val="nil"/>
            </w:tcBorders>
            <w:shd w:val="clear" w:color="auto" w:fill="D5DCE4"/>
            <w:vAlign w:val="center"/>
          </w:tcPr>
          <w:p w14:paraId="71E62043" w14:textId="28D49C53" w:rsidR="006C26F8" w:rsidRPr="006C26F8" w:rsidRDefault="006C26F8" w:rsidP="00154D55">
            <w:pPr>
              <w:spacing w:after="0" w:line="276" w:lineRule="auto"/>
              <w:jc w:val="right"/>
              <w:rPr>
                <w:rFonts w:cs="Arial"/>
                <w:b/>
                <w:bCs/>
                <w:sz w:val="15"/>
                <w:szCs w:val="15"/>
              </w:rPr>
            </w:pPr>
            <w:r w:rsidRPr="006C26F8">
              <w:rPr>
                <w:rFonts w:cs="Arial"/>
                <w:b/>
                <w:bCs/>
                <w:sz w:val="15"/>
                <w:szCs w:val="15"/>
              </w:rPr>
              <w:t>38.068</w:t>
            </w:r>
          </w:p>
        </w:tc>
        <w:tc>
          <w:tcPr>
            <w:tcW w:w="716" w:type="dxa"/>
            <w:tcBorders>
              <w:top w:val="nil"/>
              <w:left w:val="nil"/>
              <w:bottom w:val="nil"/>
              <w:right w:val="nil"/>
            </w:tcBorders>
            <w:shd w:val="clear" w:color="auto" w:fill="D5DCE4"/>
            <w:vAlign w:val="center"/>
          </w:tcPr>
          <w:p w14:paraId="2470AC6B" w14:textId="7F7DF2B1" w:rsidR="006C26F8" w:rsidRPr="006C26F8" w:rsidRDefault="006C26F8" w:rsidP="00154D55">
            <w:pPr>
              <w:spacing w:after="0" w:line="276" w:lineRule="auto"/>
              <w:jc w:val="right"/>
              <w:rPr>
                <w:rFonts w:cs="Arial"/>
                <w:b/>
                <w:bCs/>
                <w:sz w:val="15"/>
                <w:szCs w:val="15"/>
              </w:rPr>
            </w:pPr>
            <w:r w:rsidRPr="006C26F8">
              <w:rPr>
                <w:rFonts w:cs="Arial"/>
                <w:b/>
                <w:bCs/>
                <w:sz w:val="15"/>
                <w:szCs w:val="15"/>
              </w:rPr>
              <w:t>44.556</w:t>
            </w:r>
          </w:p>
        </w:tc>
        <w:tc>
          <w:tcPr>
            <w:tcW w:w="762" w:type="dxa"/>
            <w:tcBorders>
              <w:top w:val="nil"/>
              <w:left w:val="nil"/>
              <w:bottom w:val="nil"/>
              <w:right w:val="nil"/>
            </w:tcBorders>
            <w:shd w:val="clear" w:color="auto" w:fill="D5DCE4"/>
            <w:vAlign w:val="center"/>
          </w:tcPr>
          <w:p w14:paraId="119344F0" w14:textId="1DD468A3" w:rsidR="006C26F8" w:rsidRPr="006C26F8" w:rsidRDefault="006C26F8" w:rsidP="00154D55">
            <w:pPr>
              <w:spacing w:after="0" w:line="276" w:lineRule="auto"/>
              <w:jc w:val="right"/>
              <w:rPr>
                <w:rFonts w:cs="Arial"/>
                <w:b/>
                <w:bCs/>
                <w:sz w:val="15"/>
                <w:szCs w:val="15"/>
              </w:rPr>
            </w:pPr>
            <w:r w:rsidRPr="006C26F8">
              <w:rPr>
                <w:rFonts w:cs="Arial"/>
                <w:b/>
                <w:bCs/>
                <w:sz w:val="15"/>
                <w:szCs w:val="15"/>
              </w:rPr>
              <w:t>50.630</w:t>
            </w:r>
          </w:p>
        </w:tc>
        <w:tc>
          <w:tcPr>
            <w:tcW w:w="716" w:type="dxa"/>
            <w:tcBorders>
              <w:top w:val="nil"/>
              <w:left w:val="nil"/>
              <w:bottom w:val="nil"/>
              <w:right w:val="nil"/>
            </w:tcBorders>
            <w:shd w:val="clear" w:color="auto" w:fill="D5DCE4"/>
            <w:vAlign w:val="center"/>
          </w:tcPr>
          <w:p w14:paraId="59C86A47" w14:textId="78BF0443" w:rsidR="006C26F8" w:rsidRPr="006C26F8" w:rsidRDefault="006C26F8" w:rsidP="00154D55">
            <w:pPr>
              <w:spacing w:after="0" w:line="276" w:lineRule="auto"/>
              <w:jc w:val="right"/>
              <w:rPr>
                <w:rFonts w:cs="Arial"/>
                <w:b/>
                <w:bCs/>
                <w:sz w:val="15"/>
                <w:szCs w:val="15"/>
              </w:rPr>
            </w:pPr>
            <w:r w:rsidRPr="006C26F8">
              <w:rPr>
                <w:rFonts w:cs="Arial"/>
                <w:b/>
                <w:bCs/>
                <w:sz w:val="15"/>
                <w:szCs w:val="15"/>
              </w:rPr>
              <w:t>57.206</w:t>
            </w:r>
          </w:p>
        </w:tc>
        <w:tc>
          <w:tcPr>
            <w:tcW w:w="762" w:type="dxa"/>
            <w:tcBorders>
              <w:top w:val="nil"/>
              <w:left w:val="nil"/>
              <w:bottom w:val="nil"/>
              <w:right w:val="nil"/>
            </w:tcBorders>
            <w:shd w:val="clear" w:color="auto" w:fill="D5DCE4"/>
            <w:vAlign w:val="center"/>
          </w:tcPr>
          <w:p w14:paraId="78A1FD62" w14:textId="53137061" w:rsidR="006C26F8" w:rsidRPr="006C26F8" w:rsidRDefault="006C26F8" w:rsidP="00154D55">
            <w:pPr>
              <w:spacing w:after="0" w:line="276" w:lineRule="auto"/>
              <w:jc w:val="right"/>
              <w:rPr>
                <w:rFonts w:cs="Arial"/>
                <w:b/>
                <w:bCs/>
                <w:sz w:val="15"/>
                <w:szCs w:val="15"/>
              </w:rPr>
            </w:pPr>
            <w:r w:rsidRPr="006C26F8">
              <w:rPr>
                <w:rFonts w:cs="Arial"/>
                <w:b/>
                <w:bCs/>
                <w:sz w:val="15"/>
                <w:szCs w:val="15"/>
              </w:rPr>
              <w:t>64.088</w:t>
            </w:r>
          </w:p>
        </w:tc>
        <w:tc>
          <w:tcPr>
            <w:tcW w:w="716" w:type="dxa"/>
            <w:tcBorders>
              <w:top w:val="nil"/>
              <w:left w:val="nil"/>
              <w:bottom w:val="nil"/>
              <w:right w:val="nil"/>
            </w:tcBorders>
            <w:shd w:val="clear" w:color="auto" w:fill="D5DCE4"/>
            <w:vAlign w:val="center"/>
          </w:tcPr>
          <w:p w14:paraId="79827F66" w14:textId="2BCB24C3" w:rsidR="006C26F8" w:rsidRPr="006C26F8" w:rsidRDefault="006C26F8" w:rsidP="00154D55">
            <w:pPr>
              <w:spacing w:after="0" w:line="276" w:lineRule="auto"/>
              <w:jc w:val="right"/>
              <w:rPr>
                <w:rFonts w:cs="Arial"/>
                <w:b/>
                <w:bCs/>
                <w:sz w:val="15"/>
                <w:szCs w:val="15"/>
              </w:rPr>
            </w:pPr>
            <w:r w:rsidRPr="006C26F8">
              <w:rPr>
                <w:rFonts w:cs="Arial"/>
                <w:b/>
                <w:bCs/>
                <w:sz w:val="15"/>
                <w:szCs w:val="15"/>
              </w:rPr>
              <w:t>73.134</w:t>
            </w:r>
          </w:p>
        </w:tc>
        <w:tc>
          <w:tcPr>
            <w:tcW w:w="759" w:type="dxa"/>
            <w:tcBorders>
              <w:top w:val="nil"/>
              <w:left w:val="nil"/>
              <w:bottom w:val="nil"/>
              <w:right w:val="single" w:sz="4" w:space="0" w:color="808080" w:themeColor="background1" w:themeShade="80"/>
            </w:tcBorders>
            <w:shd w:val="clear" w:color="auto" w:fill="D5DCE4"/>
            <w:vAlign w:val="center"/>
          </w:tcPr>
          <w:p w14:paraId="1E5E745A" w14:textId="2B4E196B" w:rsidR="006C26F8" w:rsidRPr="006C26F8" w:rsidRDefault="006C26F8" w:rsidP="00154D55">
            <w:pPr>
              <w:spacing w:after="0" w:line="276" w:lineRule="auto"/>
              <w:jc w:val="right"/>
              <w:rPr>
                <w:rFonts w:cs="Arial"/>
                <w:b/>
                <w:bCs/>
                <w:sz w:val="15"/>
                <w:szCs w:val="15"/>
              </w:rPr>
            </w:pPr>
            <w:r w:rsidRPr="006C26F8">
              <w:rPr>
                <w:rFonts w:cs="Arial"/>
                <w:b/>
                <w:bCs/>
                <w:sz w:val="15"/>
                <w:szCs w:val="15"/>
              </w:rPr>
              <w:t>86.046</w:t>
            </w:r>
          </w:p>
        </w:tc>
      </w:tr>
      <w:tr w:rsidR="006C26F8" w:rsidRPr="00D44B43" w14:paraId="1DDFEE65" w14:textId="77777777" w:rsidTr="00154D55">
        <w:trPr>
          <w:cantSplit/>
          <w:jc w:val="center"/>
        </w:trPr>
        <w:tc>
          <w:tcPr>
            <w:tcW w:w="436" w:type="dxa"/>
            <w:shd w:val="clear" w:color="auto" w:fill="auto"/>
            <w:noWrap/>
            <w:vAlign w:val="center"/>
            <w:hideMark/>
          </w:tcPr>
          <w:p w14:paraId="78D9D2C1" w14:textId="77777777" w:rsidR="006C26F8" w:rsidRPr="00F14FC1" w:rsidRDefault="006C26F8" w:rsidP="00154D55">
            <w:pPr>
              <w:spacing w:after="0" w:line="276" w:lineRule="auto"/>
              <w:jc w:val="center"/>
              <w:rPr>
                <w:rFonts w:cs="Arial"/>
                <w:sz w:val="15"/>
                <w:szCs w:val="15"/>
              </w:rPr>
            </w:pPr>
            <w:r w:rsidRPr="00F14FC1">
              <w:rPr>
                <w:rFonts w:cs="Arial"/>
                <w:sz w:val="15"/>
                <w:szCs w:val="15"/>
              </w:rPr>
              <w:t>1</w:t>
            </w:r>
          </w:p>
        </w:tc>
        <w:tc>
          <w:tcPr>
            <w:tcW w:w="2107" w:type="dxa"/>
            <w:tcBorders>
              <w:right w:val="nil"/>
            </w:tcBorders>
            <w:shd w:val="clear" w:color="auto" w:fill="auto"/>
            <w:vAlign w:val="center"/>
            <w:hideMark/>
          </w:tcPr>
          <w:p w14:paraId="577728AD" w14:textId="77777777" w:rsidR="006C26F8" w:rsidRPr="00F14FC1" w:rsidRDefault="006C26F8" w:rsidP="00154D55">
            <w:pPr>
              <w:spacing w:after="0" w:line="276" w:lineRule="auto"/>
              <w:jc w:val="left"/>
              <w:rPr>
                <w:rFonts w:cs="Arial"/>
                <w:sz w:val="15"/>
                <w:szCs w:val="15"/>
              </w:rPr>
            </w:pPr>
            <w:r w:rsidRPr="00F14FC1">
              <w:rPr>
                <w:rFonts w:cs="Arial"/>
                <w:sz w:val="15"/>
                <w:szCs w:val="15"/>
              </w:rPr>
              <w:t>Παροχές σε εργαζόμενους</w:t>
            </w:r>
          </w:p>
        </w:tc>
        <w:tc>
          <w:tcPr>
            <w:tcW w:w="615" w:type="dxa"/>
            <w:tcBorders>
              <w:top w:val="nil"/>
              <w:left w:val="nil"/>
              <w:bottom w:val="nil"/>
              <w:right w:val="nil"/>
            </w:tcBorders>
            <w:shd w:val="clear" w:color="auto" w:fill="auto"/>
            <w:vAlign w:val="center"/>
          </w:tcPr>
          <w:p w14:paraId="11606AB7" w14:textId="6E31E9C5" w:rsidR="006C26F8" w:rsidRPr="006C26F8" w:rsidRDefault="006C26F8" w:rsidP="00154D55">
            <w:pPr>
              <w:spacing w:after="0" w:line="276" w:lineRule="auto"/>
              <w:jc w:val="right"/>
              <w:rPr>
                <w:rFonts w:cs="Arial"/>
                <w:sz w:val="15"/>
                <w:szCs w:val="15"/>
              </w:rPr>
            </w:pPr>
            <w:r w:rsidRPr="006C26F8">
              <w:rPr>
                <w:rFonts w:cs="Arial"/>
                <w:sz w:val="15"/>
                <w:szCs w:val="15"/>
              </w:rPr>
              <w:t>1.220</w:t>
            </w:r>
          </w:p>
        </w:tc>
        <w:tc>
          <w:tcPr>
            <w:tcW w:w="716" w:type="dxa"/>
            <w:tcBorders>
              <w:top w:val="nil"/>
              <w:left w:val="nil"/>
              <w:bottom w:val="nil"/>
              <w:right w:val="nil"/>
            </w:tcBorders>
            <w:shd w:val="clear" w:color="auto" w:fill="auto"/>
            <w:vAlign w:val="center"/>
          </w:tcPr>
          <w:p w14:paraId="3AEA973E" w14:textId="0BE22AD9" w:rsidR="006C26F8" w:rsidRPr="006C26F8" w:rsidRDefault="006C26F8" w:rsidP="00154D55">
            <w:pPr>
              <w:spacing w:after="0" w:line="276" w:lineRule="auto"/>
              <w:jc w:val="right"/>
              <w:rPr>
                <w:rFonts w:cs="Arial"/>
                <w:sz w:val="15"/>
                <w:szCs w:val="15"/>
              </w:rPr>
            </w:pPr>
            <w:r w:rsidRPr="006C26F8">
              <w:rPr>
                <w:rFonts w:cs="Arial"/>
                <w:sz w:val="15"/>
                <w:szCs w:val="15"/>
              </w:rPr>
              <w:t>2.506</w:t>
            </w:r>
          </w:p>
        </w:tc>
        <w:tc>
          <w:tcPr>
            <w:tcW w:w="716" w:type="dxa"/>
            <w:tcBorders>
              <w:top w:val="nil"/>
              <w:left w:val="nil"/>
              <w:bottom w:val="nil"/>
              <w:right w:val="nil"/>
            </w:tcBorders>
            <w:shd w:val="clear" w:color="auto" w:fill="auto"/>
            <w:vAlign w:val="center"/>
          </w:tcPr>
          <w:p w14:paraId="54B8F82B" w14:textId="7E92791B" w:rsidR="006C26F8" w:rsidRPr="006C26F8" w:rsidRDefault="006C26F8" w:rsidP="00154D55">
            <w:pPr>
              <w:spacing w:after="0" w:line="276" w:lineRule="auto"/>
              <w:jc w:val="right"/>
              <w:rPr>
                <w:rFonts w:cs="Arial"/>
                <w:sz w:val="15"/>
                <w:szCs w:val="15"/>
              </w:rPr>
            </w:pPr>
            <w:r w:rsidRPr="006C26F8">
              <w:rPr>
                <w:rFonts w:cs="Arial"/>
                <w:sz w:val="15"/>
                <w:szCs w:val="15"/>
              </w:rPr>
              <w:t>3.766</w:t>
            </w:r>
          </w:p>
        </w:tc>
        <w:tc>
          <w:tcPr>
            <w:tcW w:w="716" w:type="dxa"/>
            <w:tcBorders>
              <w:top w:val="nil"/>
              <w:left w:val="nil"/>
              <w:bottom w:val="nil"/>
              <w:right w:val="nil"/>
            </w:tcBorders>
            <w:shd w:val="clear" w:color="auto" w:fill="auto"/>
            <w:vAlign w:val="center"/>
          </w:tcPr>
          <w:p w14:paraId="571570DF" w14:textId="543CFC70" w:rsidR="006C26F8" w:rsidRPr="006C26F8" w:rsidRDefault="006C26F8" w:rsidP="00154D55">
            <w:pPr>
              <w:spacing w:after="0" w:line="276" w:lineRule="auto"/>
              <w:jc w:val="right"/>
              <w:rPr>
                <w:rFonts w:cs="Arial"/>
                <w:sz w:val="15"/>
                <w:szCs w:val="15"/>
              </w:rPr>
            </w:pPr>
            <w:r w:rsidRPr="006C26F8">
              <w:rPr>
                <w:rFonts w:cs="Arial"/>
                <w:sz w:val="15"/>
                <w:szCs w:val="15"/>
              </w:rPr>
              <w:t>5.008</w:t>
            </w:r>
          </w:p>
        </w:tc>
        <w:tc>
          <w:tcPr>
            <w:tcW w:w="686" w:type="dxa"/>
            <w:tcBorders>
              <w:top w:val="nil"/>
              <w:left w:val="nil"/>
              <w:bottom w:val="nil"/>
              <w:right w:val="nil"/>
            </w:tcBorders>
            <w:shd w:val="clear" w:color="auto" w:fill="auto"/>
            <w:vAlign w:val="center"/>
          </w:tcPr>
          <w:p w14:paraId="6C980063" w14:textId="42AD49CD" w:rsidR="006C26F8" w:rsidRPr="006C26F8" w:rsidRDefault="006C26F8" w:rsidP="00154D55">
            <w:pPr>
              <w:spacing w:after="0" w:line="276" w:lineRule="auto"/>
              <w:jc w:val="right"/>
              <w:rPr>
                <w:rFonts w:cs="Arial"/>
                <w:sz w:val="15"/>
                <w:szCs w:val="15"/>
              </w:rPr>
            </w:pPr>
            <w:r w:rsidRPr="006C26F8">
              <w:rPr>
                <w:rFonts w:cs="Arial"/>
                <w:sz w:val="15"/>
                <w:szCs w:val="15"/>
              </w:rPr>
              <w:t>6.312</w:t>
            </w:r>
          </w:p>
        </w:tc>
        <w:tc>
          <w:tcPr>
            <w:tcW w:w="716" w:type="dxa"/>
            <w:tcBorders>
              <w:top w:val="nil"/>
              <w:left w:val="nil"/>
              <w:bottom w:val="nil"/>
              <w:right w:val="nil"/>
            </w:tcBorders>
            <w:shd w:val="clear" w:color="auto" w:fill="auto"/>
            <w:vAlign w:val="center"/>
          </w:tcPr>
          <w:p w14:paraId="1E53CCF4" w14:textId="0CF513A5" w:rsidR="006C26F8" w:rsidRPr="006C26F8" w:rsidRDefault="006C26F8" w:rsidP="00154D55">
            <w:pPr>
              <w:spacing w:after="0" w:line="276" w:lineRule="auto"/>
              <w:jc w:val="right"/>
              <w:rPr>
                <w:rFonts w:cs="Arial"/>
                <w:sz w:val="15"/>
                <w:szCs w:val="15"/>
              </w:rPr>
            </w:pPr>
            <w:r w:rsidRPr="006C26F8">
              <w:rPr>
                <w:rFonts w:cs="Arial"/>
                <w:sz w:val="15"/>
                <w:szCs w:val="15"/>
              </w:rPr>
              <w:t>7.579</w:t>
            </w:r>
          </w:p>
        </w:tc>
        <w:tc>
          <w:tcPr>
            <w:tcW w:w="716" w:type="dxa"/>
            <w:tcBorders>
              <w:top w:val="nil"/>
              <w:left w:val="nil"/>
              <w:bottom w:val="nil"/>
              <w:right w:val="nil"/>
            </w:tcBorders>
            <w:shd w:val="clear" w:color="auto" w:fill="auto"/>
            <w:vAlign w:val="center"/>
          </w:tcPr>
          <w:p w14:paraId="0FEA7134" w14:textId="30FF5013" w:rsidR="006C26F8" w:rsidRPr="006C26F8" w:rsidRDefault="006C26F8" w:rsidP="00154D55">
            <w:pPr>
              <w:spacing w:after="0" w:line="276" w:lineRule="auto"/>
              <w:jc w:val="right"/>
              <w:rPr>
                <w:rFonts w:cs="Arial"/>
                <w:sz w:val="15"/>
                <w:szCs w:val="15"/>
              </w:rPr>
            </w:pPr>
            <w:r w:rsidRPr="006C26F8">
              <w:rPr>
                <w:rFonts w:cs="Arial"/>
                <w:sz w:val="15"/>
                <w:szCs w:val="15"/>
              </w:rPr>
              <w:t>8.891</w:t>
            </w:r>
          </w:p>
        </w:tc>
        <w:tc>
          <w:tcPr>
            <w:tcW w:w="762" w:type="dxa"/>
            <w:tcBorders>
              <w:top w:val="nil"/>
              <w:left w:val="nil"/>
              <w:bottom w:val="nil"/>
              <w:right w:val="nil"/>
            </w:tcBorders>
            <w:shd w:val="clear" w:color="auto" w:fill="auto"/>
            <w:vAlign w:val="center"/>
          </w:tcPr>
          <w:p w14:paraId="30059316" w14:textId="4DAFA60B" w:rsidR="006C26F8" w:rsidRPr="006C26F8" w:rsidRDefault="006C26F8" w:rsidP="00154D55">
            <w:pPr>
              <w:spacing w:after="0" w:line="276" w:lineRule="auto"/>
              <w:jc w:val="right"/>
              <w:rPr>
                <w:rFonts w:cs="Arial"/>
                <w:sz w:val="15"/>
                <w:szCs w:val="15"/>
              </w:rPr>
            </w:pPr>
            <w:r w:rsidRPr="006C26F8">
              <w:rPr>
                <w:rFonts w:cs="Arial"/>
                <w:sz w:val="15"/>
                <w:szCs w:val="15"/>
              </w:rPr>
              <w:t>10.215</w:t>
            </w:r>
          </w:p>
        </w:tc>
        <w:tc>
          <w:tcPr>
            <w:tcW w:w="716" w:type="dxa"/>
            <w:tcBorders>
              <w:top w:val="nil"/>
              <w:left w:val="nil"/>
              <w:bottom w:val="nil"/>
              <w:right w:val="nil"/>
            </w:tcBorders>
            <w:shd w:val="clear" w:color="auto" w:fill="auto"/>
            <w:vAlign w:val="center"/>
          </w:tcPr>
          <w:p w14:paraId="60E8797F" w14:textId="6681D63A" w:rsidR="006C26F8" w:rsidRPr="006C26F8" w:rsidRDefault="006C26F8" w:rsidP="00154D55">
            <w:pPr>
              <w:spacing w:after="0" w:line="276" w:lineRule="auto"/>
              <w:jc w:val="right"/>
              <w:rPr>
                <w:rFonts w:cs="Arial"/>
                <w:sz w:val="15"/>
                <w:szCs w:val="15"/>
              </w:rPr>
            </w:pPr>
            <w:r w:rsidRPr="006C26F8">
              <w:rPr>
                <w:rFonts w:cs="Arial"/>
                <w:sz w:val="15"/>
                <w:szCs w:val="15"/>
              </w:rPr>
              <w:t>11.501</w:t>
            </w:r>
          </w:p>
        </w:tc>
        <w:tc>
          <w:tcPr>
            <w:tcW w:w="762" w:type="dxa"/>
            <w:tcBorders>
              <w:top w:val="nil"/>
              <w:left w:val="nil"/>
              <w:bottom w:val="nil"/>
              <w:right w:val="nil"/>
            </w:tcBorders>
            <w:shd w:val="clear" w:color="auto" w:fill="auto"/>
            <w:vAlign w:val="center"/>
          </w:tcPr>
          <w:p w14:paraId="5189FA6B" w14:textId="1E044DEF" w:rsidR="006C26F8" w:rsidRPr="006C26F8" w:rsidRDefault="006C26F8" w:rsidP="00154D55">
            <w:pPr>
              <w:spacing w:after="0" w:line="276" w:lineRule="auto"/>
              <w:jc w:val="right"/>
              <w:rPr>
                <w:rFonts w:cs="Arial"/>
                <w:sz w:val="15"/>
                <w:szCs w:val="15"/>
              </w:rPr>
            </w:pPr>
            <w:r w:rsidRPr="006C26F8">
              <w:rPr>
                <w:rFonts w:cs="Arial"/>
                <w:sz w:val="15"/>
                <w:szCs w:val="15"/>
              </w:rPr>
              <w:t>12.866</w:t>
            </w:r>
          </w:p>
        </w:tc>
        <w:tc>
          <w:tcPr>
            <w:tcW w:w="716" w:type="dxa"/>
            <w:tcBorders>
              <w:top w:val="nil"/>
              <w:left w:val="nil"/>
              <w:bottom w:val="nil"/>
              <w:right w:val="nil"/>
            </w:tcBorders>
            <w:shd w:val="clear" w:color="auto" w:fill="auto"/>
            <w:vAlign w:val="center"/>
          </w:tcPr>
          <w:p w14:paraId="3558A952" w14:textId="262E7BA7" w:rsidR="006C26F8" w:rsidRPr="006C26F8" w:rsidRDefault="006C26F8" w:rsidP="00154D55">
            <w:pPr>
              <w:spacing w:after="0" w:line="276" w:lineRule="auto"/>
              <w:jc w:val="right"/>
              <w:rPr>
                <w:rFonts w:cs="Arial"/>
                <w:sz w:val="15"/>
                <w:szCs w:val="15"/>
              </w:rPr>
            </w:pPr>
            <w:r w:rsidRPr="006C26F8">
              <w:rPr>
                <w:rFonts w:cs="Arial"/>
                <w:sz w:val="15"/>
                <w:szCs w:val="15"/>
              </w:rPr>
              <w:t>14.261</w:t>
            </w:r>
          </w:p>
        </w:tc>
        <w:tc>
          <w:tcPr>
            <w:tcW w:w="759" w:type="dxa"/>
            <w:tcBorders>
              <w:top w:val="nil"/>
              <w:left w:val="nil"/>
              <w:bottom w:val="nil"/>
              <w:right w:val="single" w:sz="4" w:space="0" w:color="808080" w:themeColor="background1" w:themeShade="80"/>
            </w:tcBorders>
            <w:shd w:val="clear" w:color="auto" w:fill="auto"/>
            <w:vAlign w:val="center"/>
          </w:tcPr>
          <w:p w14:paraId="25648F73" w14:textId="604A877D" w:rsidR="006C26F8" w:rsidRPr="006C26F8" w:rsidRDefault="006C26F8" w:rsidP="00154D55">
            <w:pPr>
              <w:spacing w:after="0" w:line="276" w:lineRule="auto"/>
              <w:jc w:val="right"/>
              <w:rPr>
                <w:rFonts w:cs="Arial"/>
                <w:sz w:val="15"/>
                <w:szCs w:val="15"/>
              </w:rPr>
            </w:pPr>
            <w:r w:rsidRPr="006C26F8">
              <w:rPr>
                <w:rFonts w:cs="Arial"/>
                <w:sz w:val="15"/>
                <w:szCs w:val="15"/>
              </w:rPr>
              <w:t>15.688</w:t>
            </w:r>
          </w:p>
        </w:tc>
      </w:tr>
      <w:tr w:rsidR="006C26F8" w:rsidRPr="00D44B43" w14:paraId="7DE049AB" w14:textId="77777777" w:rsidTr="00154D55">
        <w:trPr>
          <w:cantSplit/>
          <w:jc w:val="center"/>
        </w:trPr>
        <w:tc>
          <w:tcPr>
            <w:tcW w:w="436" w:type="dxa"/>
            <w:shd w:val="clear" w:color="auto" w:fill="auto"/>
            <w:noWrap/>
            <w:vAlign w:val="center"/>
            <w:hideMark/>
          </w:tcPr>
          <w:p w14:paraId="32C95456" w14:textId="77777777" w:rsidR="006C26F8" w:rsidRPr="00F14FC1" w:rsidRDefault="006C26F8" w:rsidP="00154D55">
            <w:pPr>
              <w:spacing w:after="0" w:line="276" w:lineRule="auto"/>
              <w:jc w:val="center"/>
              <w:rPr>
                <w:rFonts w:cs="Arial"/>
                <w:sz w:val="15"/>
                <w:szCs w:val="15"/>
              </w:rPr>
            </w:pPr>
            <w:r w:rsidRPr="00F14FC1">
              <w:rPr>
                <w:rFonts w:cs="Arial"/>
                <w:sz w:val="15"/>
                <w:szCs w:val="15"/>
              </w:rPr>
              <w:t>2</w:t>
            </w:r>
          </w:p>
        </w:tc>
        <w:tc>
          <w:tcPr>
            <w:tcW w:w="2107" w:type="dxa"/>
            <w:tcBorders>
              <w:right w:val="nil"/>
            </w:tcBorders>
            <w:shd w:val="clear" w:color="auto" w:fill="auto"/>
            <w:vAlign w:val="center"/>
            <w:hideMark/>
          </w:tcPr>
          <w:p w14:paraId="70B53132" w14:textId="77777777" w:rsidR="006C26F8" w:rsidRPr="00F14FC1" w:rsidRDefault="006C26F8" w:rsidP="00154D55">
            <w:pPr>
              <w:spacing w:after="0" w:line="276" w:lineRule="auto"/>
              <w:jc w:val="left"/>
              <w:rPr>
                <w:rFonts w:cs="Arial"/>
                <w:sz w:val="15"/>
                <w:szCs w:val="15"/>
              </w:rPr>
            </w:pPr>
            <w:r w:rsidRPr="00F14FC1">
              <w:rPr>
                <w:rFonts w:cs="Arial"/>
                <w:sz w:val="15"/>
                <w:szCs w:val="15"/>
              </w:rPr>
              <w:t>Κοινωνικές παροχές</w:t>
            </w:r>
          </w:p>
        </w:tc>
        <w:tc>
          <w:tcPr>
            <w:tcW w:w="615" w:type="dxa"/>
            <w:tcBorders>
              <w:top w:val="nil"/>
              <w:left w:val="nil"/>
              <w:bottom w:val="nil"/>
              <w:right w:val="nil"/>
            </w:tcBorders>
            <w:shd w:val="clear" w:color="auto" w:fill="auto"/>
            <w:vAlign w:val="center"/>
          </w:tcPr>
          <w:p w14:paraId="722D2FB7" w14:textId="263CADBD" w:rsidR="006C26F8" w:rsidRPr="006C26F8" w:rsidRDefault="006C26F8" w:rsidP="00154D55">
            <w:pPr>
              <w:spacing w:after="0" w:line="276" w:lineRule="auto"/>
              <w:jc w:val="right"/>
              <w:rPr>
                <w:rFonts w:cs="Arial"/>
                <w:sz w:val="15"/>
                <w:szCs w:val="15"/>
              </w:rPr>
            </w:pPr>
            <w:r w:rsidRPr="006C26F8">
              <w:rPr>
                <w:rFonts w:cs="Arial"/>
                <w:sz w:val="15"/>
                <w:szCs w:val="15"/>
              </w:rPr>
              <w:t>4</w:t>
            </w:r>
          </w:p>
        </w:tc>
        <w:tc>
          <w:tcPr>
            <w:tcW w:w="716" w:type="dxa"/>
            <w:tcBorders>
              <w:top w:val="nil"/>
              <w:left w:val="nil"/>
              <w:bottom w:val="nil"/>
              <w:right w:val="nil"/>
            </w:tcBorders>
            <w:shd w:val="clear" w:color="auto" w:fill="auto"/>
            <w:vAlign w:val="center"/>
          </w:tcPr>
          <w:p w14:paraId="4A8C76B1" w14:textId="00E1F1A6" w:rsidR="006C26F8" w:rsidRPr="006C26F8" w:rsidRDefault="006C26F8" w:rsidP="00154D55">
            <w:pPr>
              <w:spacing w:after="0" w:line="276" w:lineRule="auto"/>
              <w:jc w:val="right"/>
              <w:rPr>
                <w:rFonts w:cs="Arial"/>
                <w:sz w:val="15"/>
                <w:szCs w:val="15"/>
              </w:rPr>
            </w:pPr>
            <w:r w:rsidRPr="006C26F8">
              <w:rPr>
                <w:rFonts w:cs="Arial"/>
                <w:sz w:val="15"/>
                <w:szCs w:val="15"/>
              </w:rPr>
              <w:t>13</w:t>
            </w:r>
          </w:p>
        </w:tc>
        <w:tc>
          <w:tcPr>
            <w:tcW w:w="716" w:type="dxa"/>
            <w:tcBorders>
              <w:top w:val="nil"/>
              <w:left w:val="nil"/>
              <w:bottom w:val="nil"/>
              <w:right w:val="nil"/>
            </w:tcBorders>
            <w:shd w:val="clear" w:color="auto" w:fill="auto"/>
            <w:vAlign w:val="center"/>
          </w:tcPr>
          <w:p w14:paraId="09B23DD8" w14:textId="77001371" w:rsidR="006C26F8" w:rsidRPr="006C26F8" w:rsidRDefault="006C26F8" w:rsidP="00154D55">
            <w:pPr>
              <w:spacing w:after="0" w:line="276" w:lineRule="auto"/>
              <w:jc w:val="right"/>
              <w:rPr>
                <w:rFonts w:cs="Arial"/>
                <w:sz w:val="15"/>
                <w:szCs w:val="15"/>
              </w:rPr>
            </w:pPr>
            <w:r w:rsidRPr="006C26F8">
              <w:rPr>
                <w:rFonts w:cs="Arial"/>
                <w:sz w:val="15"/>
                <w:szCs w:val="15"/>
              </w:rPr>
              <w:t>27</w:t>
            </w:r>
          </w:p>
        </w:tc>
        <w:tc>
          <w:tcPr>
            <w:tcW w:w="716" w:type="dxa"/>
            <w:tcBorders>
              <w:top w:val="nil"/>
              <w:left w:val="nil"/>
              <w:bottom w:val="nil"/>
              <w:right w:val="nil"/>
            </w:tcBorders>
            <w:shd w:val="clear" w:color="auto" w:fill="auto"/>
            <w:vAlign w:val="center"/>
          </w:tcPr>
          <w:p w14:paraId="15FB3D45" w14:textId="58F6C159" w:rsidR="006C26F8" w:rsidRPr="006C26F8" w:rsidRDefault="006C26F8" w:rsidP="00154D55">
            <w:pPr>
              <w:spacing w:after="0" w:line="276" w:lineRule="auto"/>
              <w:jc w:val="right"/>
              <w:rPr>
                <w:rFonts w:cs="Arial"/>
                <w:sz w:val="15"/>
                <w:szCs w:val="15"/>
              </w:rPr>
            </w:pPr>
            <w:r w:rsidRPr="006C26F8">
              <w:rPr>
                <w:rFonts w:cs="Arial"/>
                <w:sz w:val="15"/>
                <w:szCs w:val="15"/>
              </w:rPr>
              <w:t>39</w:t>
            </w:r>
          </w:p>
        </w:tc>
        <w:tc>
          <w:tcPr>
            <w:tcW w:w="686" w:type="dxa"/>
            <w:tcBorders>
              <w:top w:val="nil"/>
              <w:left w:val="nil"/>
              <w:bottom w:val="nil"/>
              <w:right w:val="nil"/>
            </w:tcBorders>
            <w:shd w:val="clear" w:color="auto" w:fill="auto"/>
            <w:vAlign w:val="center"/>
          </w:tcPr>
          <w:p w14:paraId="626A4393" w14:textId="0D645CE9" w:rsidR="006C26F8" w:rsidRPr="006C26F8" w:rsidRDefault="006C26F8" w:rsidP="00154D55">
            <w:pPr>
              <w:spacing w:after="0" w:line="276" w:lineRule="auto"/>
              <w:jc w:val="right"/>
              <w:rPr>
                <w:rFonts w:cs="Arial"/>
                <w:sz w:val="15"/>
                <w:szCs w:val="15"/>
              </w:rPr>
            </w:pPr>
            <w:r w:rsidRPr="006C26F8">
              <w:rPr>
                <w:rFonts w:cs="Arial"/>
                <w:sz w:val="15"/>
                <w:szCs w:val="15"/>
              </w:rPr>
              <w:t>94</w:t>
            </w:r>
          </w:p>
        </w:tc>
        <w:tc>
          <w:tcPr>
            <w:tcW w:w="716" w:type="dxa"/>
            <w:tcBorders>
              <w:top w:val="nil"/>
              <w:left w:val="nil"/>
              <w:bottom w:val="nil"/>
              <w:right w:val="nil"/>
            </w:tcBorders>
            <w:shd w:val="clear" w:color="auto" w:fill="auto"/>
            <w:vAlign w:val="center"/>
          </w:tcPr>
          <w:p w14:paraId="21AF517F" w14:textId="5E4D077F" w:rsidR="006C26F8" w:rsidRPr="006C26F8" w:rsidRDefault="006C26F8" w:rsidP="00154D55">
            <w:pPr>
              <w:spacing w:after="0" w:line="276" w:lineRule="auto"/>
              <w:jc w:val="right"/>
              <w:rPr>
                <w:rFonts w:cs="Arial"/>
                <w:sz w:val="15"/>
                <w:szCs w:val="15"/>
              </w:rPr>
            </w:pPr>
            <w:r w:rsidRPr="006C26F8">
              <w:rPr>
                <w:rFonts w:cs="Arial"/>
                <w:sz w:val="15"/>
                <w:szCs w:val="15"/>
              </w:rPr>
              <w:t>106</w:t>
            </w:r>
          </w:p>
        </w:tc>
        <w:tc>
          <w:tcPr>
            <w:tcW w:w="716" w:type="dxa"/>
            <w:tcBorders>
              <w:top w:val="nil"/>
              <w:left w:val="nil"/>
              <w:bottom w:val="nil"/>
              <w:right w:val="nil"/>
            </w:tcBorders>
            <w:shd w:val="clear" w:color="auto" w:fill="auto"/>
            <w:vAlign w:val="center"/>
          </w:tcPr>
          <w:p w14:paraId="5DD6289C" w14:textId="4C257D76" w:rsidR="006C26F8" w:rsidRPr="006C26F8" w:rsidRDefault="006C26F8" w:rsidP="00154D55">
            <w:pPr>
              <w:spacing w:after="0" w:line="276" w:lineRule="auto"/>
              <w:jc w:val="right"/>
              <w:rPr>
                <w:rFonts w:cs="Arial"/>
                <w:sz w:val="15"/>
                <w:szCs w:val="15"/>
              </w:rPr>
            </w:pPr>
            <w:r w:rsidRPr="006C26F8">
              <w:rPr>
                <w:rFonts w:cs="Arial"/>
                <w:sz w:val="15"/>
                <w:szCs w:val="15"/>
              </w:rPr>
              <w:t>126</w:t>
            </w:r>
          </w:p>
        </w:tc>
        <w:tc>
          <w:tcPr>
            <w:tcW w:w="762" w:type="dxa"/>
            <w:tcBorders>
              <w:top w:val="nil"/>
              <w:left w:val="nil"/>
              <w:bottom w:val="nil"/>
              <w:right w:val="nil"/>
            </w:tcBorders>
            <w:shd w:val="clear" w:color="auto" w:fill="auto"/>
            <w:vAlign w:val="center"/>
          </w:tcPr>
          <w:p w14:paraId="7BE0E0B4" w14:textId="554AE80A" w:rsidR="006C26F8" w:rsidRPr="006C26F8" w:rsidRDefault="006C26F8" w:rsidP="00154D55">
            <w:pPr>
              <w:spacing w:after="0" w:line="276" w:lineRule="auto"/>
              <w:jc w:val="right"/>
              <w:rPr>
                <w:rFonts w:cs="Arial"/>
                <w:sz w:val="15"/>
                <w:szCs w:val="15"/>
              </w:rPr>
            </w:pPr>
            <w:r w:rsidRPr="006C26F8">
              <w:rPr>
                <w:rFonts w:cs="Arial"/>
                <w:sz w:val="15"/>
                <w:szCs w:val="15"/>
              </w:rPr>
              <w:t>139</w:t>
            </w:r>
          </w:p>
        </w:tc>
        <w:tc>
          <w:tcPr>
            <w:tcW w:w="716" w:type="dxa"/>
            <w:tcBorders>
              <w:top w:val="nil"/>
              <w:left w:val="nil"/>
              <w:bottom w:val="nil"/>
              <w:right w:val="nil"/>
            </w:tcBorders>
            <w:shd w:val="clear" w:color="auto" w:fill="auto"/>
            <w:vAlign w:val="center"/>
          </w:tcPr>
          <w:p w14:paraId="7D195924" w14:textId="35B4AF1C" w:rsidR="006C26F8" w:rsidRPr="006C26F8" w:rsidRDefault="006C26F8" w:rsidP="00154D55">
            <w:pPr>
              <w:spacing w:after="0" w:line="276" w:lineRule="auto"/>
              <w:jc w:val="right"/>
              <w:rPr>
                <w:rFonts w:cs="Arial"/>
                <w:sz w:val="15"/>
                <w:szCs w:val="15"/>
              </w:rPr>
            </w:pPr>
            <w:r w:rsidRPr="006C26F8">
              <w:rPr>
                <w:rFonts w:cs="Arial"/>
                <w:sz w:val="15"/>
                <w:szCs w:val="15"/>
              </w:rPr>
              <w:t>153</w:t>
            </w:r>
          </w:p>
        </w:tc>
        <w:tc>
          <w:tcPr>
            <w:tcW w:w="762" w:type="dxa"/>
            <w:tcBorders>
              <w:top w:val="nil"/>
              <w:left w:val="nil"/>
              <w:bottom w:val="nil"/>
              <w:right w:val="nil"/>
            </w:tcBorders>
            <w:shd w:val="clear" w:color="auto" w:fill="auto"/>
            <w:vAlign w:val="center"/>
          </w:tcPr>
          <w:p w14:paraId="507DAEBE" w14:textId="6FAE9917" w:rsidR="006C26F8" w:rsidRPr="006C26F8" w:rsidRDefault="006C26F8" w:rsidP="00154D55">
            <w:pPr>
              <w:spacing w:after="0" w:line="276" w:lineRule="auto"/>
              <w:jc w:val="right"/>
              <w:rPr>
                <w:rFonts w:cs="Arial"/>
                <w:sz w:val="15"/>
                <w:szCs w:val="15"/>
              </w:rPr>
            </w:pPr>
            <w:r w:rsidRPr="006C26F8">
              <w:rPr>
                <w:rFonts w:cs="Arial"/>
                <w:sz w:val="15"/>
                <w:szCs w:val="15"/>
              </w:rPr>
              <w:t>190</w:t>
            </w:r>
          </w:p>
        </w:tc>
        <w:tc>
          <w:tcPr>
            <w:tcW w:w="716" w:type="dxa"/>
            <w:tcBorders>
              <w:top w:val="nil"/>
              <w:left w:val="nil"/>
              <w:bottom w:val="nil"/>
              <w:right w:val="nil"/>
            </w:tcBorders>
            <w:shd w:val="clear" w:color="auto" w:fill="auto"/>
            <w:vAlign w:val="center"/>
          </w:tcPr>
          <w:p w14:paraId="00A581D3" w14:textId="1833F1FB" w:rsidR="006C26F8" w:rsidRPr="006C26F8" w:rsidRDefault="006C26F8" w:rsidP="00154D55">
            <w:pPr>
              <w:spacing w:after="0" w:line="276" w:lineRule="auto"/>
              <w:jc w:val="right"/>
              <w:rPr>
                <w:rFonts w:cs="Arial"/>
                <w:sz w:val="15"/>
                <w:szCs w:val="15"/>
              </w:rPr>
            </w:pPr>
            <w:r w:rsidRPr="006C26F8">
              <w:rPr>
                <w:rFonts w:cs="Arial"/>
                <w:sz w:val="15"/>
                <w:szCs w:val="15"/>
              </w:rPr>
              <w:t>223</w:t>
            </w:r>
          </w:p>
        </w:tc>
        <w:tc>
          <w:tcPr>
            <w:tcW w:w="759" w:type="dxa"/>
            <w:tcBorders>
              <w:top w:val="nil"/>
              <w:left w:val="nil"/>
              <w:bottom w:val="nil"/>
              <w:right w:val="single" w:sz="4" w:space="0" w:color="808080" w:themeColor="background1" w:themeShade="80"/>
            </w:tcBorders>
            <w:shd w:val="clear" w:color="auto" w:fill="auto"/>
            <w:vAlign w:val="center"/>
          </w:tcPr>
          <w:p w14:paraId="6872241D" w14:textId="1BD6EFF2" w:rsidR="006C26F8" w:rsidRPr="006C26F8" w:rsidRDefault="006C26F8" w:rsidP="00154D55">
            <w:pPr>
              <w:spacing w:after="0" w:line="276" w:lineRule="auto"/>
              <w:jc w:val="right"/>
              <w:rPr>
                <w:rFonts w:cs="Arial"/>
                <w:sz w:val="15"/>
                <w:szCs w:val="15"/>
              </w:rPr>
            </w:pPr>
            <w:r w:rsidRPr="006C26F8">
              <w:rPr>
                <w:rFonts w:cs="Arial"/>
                <w:sz w:val="15"/>
                <w:szCs w:val="15"/>
              </w:rPr>
              <w:t>628</w:t>
            </w:r>
          </w:p>
        </w:tc>
      </w:tr>
      <w:tr w:rsidR="006C26F8" w:rsidRPr="00D44B43" w14:paraId="335BE953" w14:textId="77777777" w:rsidTr="00154D55">
        <w:trPr>
          <w:cantSplit/>
          <w:jc w:val="center"/>
        </w:trPr>
        <w:tc>
          <w:tcPr>
            <w:tcW w:w="436" w:type="dxa"/>
            <w:shd w:val="clear" w:color="auto" w:fill="auto"/>
            <w:noWrap/>
            <w:vAlign w:val="center"/>
            <w:hideMark/>
          </w:tcPr>
          <w:p w14:paraId="20772853" w14:textId="77777777" w:rsidR="006C26F8" w:rsidRPr="00F14FC1" w:rsidRDefault="006C26F8" w:rsidP="00154D55">
            <w:pPr>
              <w:spacing w:after="0" w:line="276" w:lineRule="auto"/>
              <w:jc w:val="center"/>
              <w:rPr>
                <w:rFonts w:cs="Arial"/>
                <w:sz w:val="15"/>
                <w:szCs w:val="15"/>
              </w:rPr>
            </w:pPr>
            <w:r w:rsidRPr="00F14FC1">
              <w:rPr>
                <w:rFonts w:cs="Arial"/>
                <w:sz w:val="15"/>
                <w:szCs w:val="15"/>
              </w:rPr>
              <w:t>3</w:t>
            </w:r>
          </w:p>
        </w:tc>
        <w:tc>
          <w:tcPr>
            <w:tcW w:w="2107" w:type="dxa"/>
            <w:tcBorders>
              <w:right w:val="nil"/>
            </w:tcBorders>
            <w:shd w:val="clear" w:color="auto" w:fill="auto"/>
            <w:vAlign w:val="center"/>
            <w:hideMark/>
          </w:tcPr>
          <w:p w14:paraId="1652ADBB" w14:textId="77777777" w:rsidR="006C26F8" w:rsidRPr="00F14FC1" w:rsidRDefault="006C26F8" w:rsidP="00154D55">
            <w:pPr>
              <w:spacing w:after="0" w:line="276" w:lineRule="auto"/>
              <w:jc w:val="left"/>
              <w:rPr>
                <w:rFonts w:cs="Arial"/>
                <w:sz w:val="15"/>
                <w:szCs w:val="15"/>
              </w:rPr>
            </w:pPr>
            <w:r w:rsidRPr="00F14FC1">
              <w:rPr>
                <w:rFonts w:cs="Arial"/>
                <w:sz w:val="15"/>
                <w:szCs w:val="15"/>
              </w:rPr>
              <w:t>Μεταβιβάσεις</w:t>
            </w:r>
          </w:p>
        </w:tc>
        <w:tc>
          <w:tcPr>
            <w:tcW w:w="615" w:type="dxa"/>
            <w:tcBorders>
              <w:top w:val="nil"/>
              <w:left w:val="nil"/>
              <w:bottom w:val="nil"/>
              <w:right w:val="nil"/>
            </w:tcBorders>
            <w:shd w:val="clear" w:color="auto" w:fill="auto"/>
            <w:vAlign w:val="center"/>
          </w:tcPr>
          <w:p w14:paraId="7CDF8D89" w14:textId="1FBFCE83" w:rsidR="006C26F8" w:rsidRPr="006C26F8" w:rsidRDefault="006C26F8" w:rsidP="00154D55">
            <w:pPr>
              <w:spacing w:after="0" w:line="276" w:lineRule="auto"/>
              <w:jc w:val="right"/>
              <w:rPr>
                <w:rFonts w:cs="Arial"/>
                <w:sz w:val="15"/>
                <w:szCs w:val="15"/>
              </w:rPr>
            </w:pPr>
            <w:r w:rsidRPr="006C26F8">
              <w:rPr>
                <w:rFonts w:cs="Arial"/>
                <w:sz w:val="15"/>
                <w:szCs w:val="15"/>
              </w:rPr>
              <w:t>2.163</w:t>
            </w:r>
          </w:p>
        </w:tc>
        <w:tc>
          <w:tcPr>
            <w:tcW w:w="716" w:type="dxa"/>
            <w:tcBorders>
              <w:top w:val="nil"/>
              <w:left w:val="nil"/>
              <w:bottom w:val="nil"/>
              <w:right w:val="nil"/>
            </w:tcBorders>
            <w:shd w:val="clear" w:color="auto" w:fill="auto"/>
            <w:vAlign w:val="center"/>
          </w:tcPr>
          <w:p w14:paraId="2745C039" w14:textId="1C6248E4" w:rsidR="006C26F8" w:rsidRPr="006C26F8" w:rsidRDefault="006C26F8" w:rsidP="00154D55">
            <w:pPr>
              <w:spacing w:after="0" w:line="276" w:lineRule="auto"/>
              <w:jc w:val="right"/>
              <w:rPr>
                <w:rFonts w:cs="Arial"/>
                <w:sz w:val="15"/>
                <w:szCs w:val="15"/>
              </w:rPr>
            </w:pPr>
            <w:r w:rsidRPr="006C26F8">
              <w:rPr>
                <w:rFonts w:cs="Arial"/>
                <w:sz w:val="15"/>
                <w:szCs w:val="15"/>
              </w:rPr>
              <w:t>5.193</w:t>
            </w:r>
          </w:p>
        </w:tc>
        <w:tc>
          <w:tcPr>
            <w:tcW w:w="716" w:type="dxa"/>
            <w:tcBorders>
              <w:top w:val="nil"/>
              <w:left w:val="nil"/>
              <w:bottom w:val="nil"/>
              <w:right w:val="nil"/>
            </w:tcBorders>
            <w:shd w:val="clear" w:color="auto" w:fill="auto"/>
            <w:vAlign w:val="center"/>
          </w:tcPr>
          <w:p w14:paraId="39EC237F" w14:textId="01930961" w:rsidR="006C26F8" w:rsidRPr="006C26F8" w:rsidRDefault="006C26F8" w:rsidP="00154D55">
            <w:pPr>
              <w:spacing w:after="0" w:line="276" w:lineRule="auto"/>
              <w:jc w:val="right"/>
              <w:rPr>
                <w:rFonts w:cs="Arial"/>
                <w:sz w:val="15"/>
                <w:szCs w:val="15"/>
              </w:rPr>
            </w:pPr>
            <w:r w:rsidRPr="006C26F8">
              <w:rPr>
                <w:rFonts w:cs="Arial"/>
                <w:sz w:val="15"/>
                <w:szCs w:val="15"/>
              </w:rPr>
              <w:t>7.724</w:t>
            </w:r>
          </w:p>
        </w:tc>
        <w:tc>
          <w:tcPr>
            <w:tcW w:w="716" w:type="dxa"/>
            <w:tcBorders>
              <w:top w:val="nil"/>
              <w:left w:val="nil"/>
              <w:bottom w:val="nil"/>
              <w:right w:val="nil"/>
            </w:tcBorders>
            <w:shd w:val="clear" w:color="auto" w:fill="auto"/>
            <w:vAlign w:val="center"/>
          </w:tcPr>
          <w:p w14:paraId="331AA258" w14:textId="00DB8AB6" w:rsidR="006C26F8" w:rsidRPr="006C26F8" w:rsidRDefault="006C26F8" w:rsidP="00154D55">
            <w:pPr>
              <w:spacing w:after="0" w:line="276" w:lineRule="auto"/>
              <w:jc w:val="right"/>
              <w:rPr>
                <w:rFonts w:cs="Arial"/>
                <w:sz w:val="15"/>
                <w:szCs w:val="15"/>
              </w:rPr>
            </w:pPr>
            <w:r w:rsidRPr="006C26F8">
              <w:rPr>
                <w:rFonts w:cs="Arial"/>
                <w:sz w:val="15"/>
                <w:szCs w:val="15"/>
              </w:rPr>
              <w:t>10.582</w:t>
            </w:r>
          </w:p>
        </w:tc>
        <w:tc>
          <w:tcPr>
            <w:tcW w:w="686" w:type="dxa"/>
            <w:tcBorders>
              <w:top w:val="nil"/>
              <w:left w:val="nil"/>
              <w:bottom w:val="nil"/>
              <w:right w:val="nil"/>
            </w:tcBorders>
            <w:shd w:val="clear" w:color="auto" w:fill="auto"/>
            <w:vAlign w:val="center"/>
          </w:tcPr>
          <w:p w14:paraId="1FD2D054" w14:textId="01650BA3" w:rsidR="006C26F8" w:rsidRPr="006C26F8" w:rsidRDefault="006C26F8" w:rsidP="00154D55">
            <w:pPr>
              <w:spacing w:after="0" w:line="276" w:lineRule="auto"/>
              <w:jc w:val="right"/>
              <w:rPr>
                <w:rFonts w:cs="Arial"/>
                <w:sz w:val="15"/>
                <w:szCs w:val="15"/>
              </w:rPr>
            </w:pPr>
            <w:r w:rsidRPr="006C26F8">
              <w:rPr>
                <w:rFonts w:cs="Arial"/>
                <w:sz w:val="15"/>
                <w:szCs w:val="15"/>
              </w:rPr>
              <w:t>13.259</w:t>
            </w:r>
          </w:p>
        </w:tc>
        <w:tc>
          <w:tcPr>
            <w:tcW w:w="716" w:type="dxa"/>
            <w:tcBorders>
              <w:top w:val="nil"/>
              <w:left w:val="nil"/>
              <w:bottom w:val="nil"/>
              <w:right w:val="nil"/>
            </w:tcBorders>
            <w:shd w:val="clear" w:color="auto" w:fill="auto"/>
            <w:vAlign w:val="center"/>
          </w:tcPr>
          <w:p w14:paraId="758EEF7E" w14:textId="1C7C2EF0" w:rsidR="006C26F8" w:rsidRPr="006C26F8" w:rsidRDefault="006C26F8" w:rsidP="00154D55">
            <w:pPr>
              <w:spacing w:after="0" w:line="276" w:lineRule="auto"/>
              <w:jc w:val="right"/>
              <w:rPr>
                <w:rFonts w:cs="Arial"/>
                <w:sz w:val="15"/>
                <w:szCs w:val="15"/>
              </w:rPr>
            </w:pPr>
            <w:r w:rsidRPr="006C26F8">
              <w:rPr>
                <w:rFonts w:cs="Arial"/>
                <w:sz w:val="15"/>
                <w:szCs w:val="15"/>
              </w:rPr>
              <w:t>16.680</w:t>
            </w:r>
          </w:p>
        </w:tc>
        <w:tc>
          <w:tcPr>
            <w:tcW w:w="716" w:type="dxa"/>
            <w:tcBorders>
              <w:top w:val="nil"/>
              <w:left w:val="nil"/>
              <w:bottom w:val="nil"/>
              <w:right w:val="nil"/>
            </w:tcBorders>
            <w:shd w:val="clear" w:color="auto" w:fill="auto"/>
            <w:vAlign w:val="center"/>
          </w:tcPr>
          <w:p w14:paraId="0786B1D5" w14:textId="632179A8" w:rsidR="006C26F8" w:rsidRPr="006C26F8" w:rsidRDefault="006C26F8" w:rsidP="00154D55">
            <w:pPr>
              <w:spacing w:after="0" w:line="276" w:lineRule="auto"/>
              <w:jc w:val="right"/>
              <w:rPr>
                <w:rFonts w:cs="Arial"/>
                <w:sz w:val="15"/>
                <w:szCs w:val="15"/>
              </w:rPr>
            </w:pPr>
            <w:r w:rsidRPr="006C26F8">
              <w:rPr>
                <w:rFonts w:cs="Arial"/>
                <w:sz w:val="15"/>
                <w:szCs w:val="15"/>
              </w:rPr>
              <w:t>19.552</w:t>
            </w:r>
          </w:p>
        </w:tc>
        <w:tc>
          <w:tcPr>
            <w:tcW w:w="762" w:type="dxa"/>
            <w:tcBorders>
              <w:top w:val="nil"/>
              <w:left w:val="nil"/>
              <w:bottom w:val="nil"/>
              <w:right w:val="nil"/>
            </w:tcBorders>
            <w:shd w:val="clear" w:color="auto" w:fill="auto"/>
            <w:vAlign w:val="center"/>
          </w:tcPr>
          <w:p w14:paraId="5560F1FF" w14:textId="164520C6" w:rsidR="006C26F8" w:rsidRPr="006C26F8" w:rsidRDefault="006C26F8" w:rsidP="00154D55">
            <w:pPr>
              <w:spacing w:after="0" w:line="276" w:lineRule="auto"/>
              <w:jc w:val="right"/>
              <w:rPr>
                <w:rFonts w:cs="Arial"/>
                <w:sz w:val="15"/>
                <w:szCs w:val="15"/>
              </w:rPr>
            </w:pPr>
            <w:r w:rsidRPr="006C26F8">
              <w:rPr>
                <w:rFonts w:cs="Arial"/>
                <w:sz w:val="15"/>
                <w:szCs w:val="15"/>
              </w:rPr>
              <w:t>22.010</w:t>
            </w:r>
          </w:p>
        </w:tc>
        <w:tc>
          <w:tcPr>
            <w:tcW w:w="716" w:type="dxa"/>
            <w:tcBorders>
              <w:top w:val="nil"/>
              <w:left w:val="nil"/>
              <w:bottom w:val="nil"/>
              <w:right w:val="nil"/>
            </w:tcBorders>
            <w:shd w:val="clear" w:color="auto" w:fill="auto"/>
            <w:vAlign w:val="center"/>
          </w:tcPr>
          <w:p w14:paraId="0330B7A1" w14:textId="75071BF3" w:rsidR="006C26F8" w:rsidRPr="006C26F8" w:rsidRDefault="006C26F8" w:rsidP="00154D55">
            <w:pPr>
              <w:spacing w:after="0" w:line="276" w:lineRule="auto"/>
              <w:jc w:val="right"/>
              <w:rPr>
                <w:rFonts w:cs="Arial"/>
                <w:sz w:val="15"/>
                <w:szCs w:val="15"/>
              </w:rPr>
            </w:pPr>
            <w:r w:rsidRPr="006C26F8">
              <w:rPr>
                <w:rFonts w:cs="Arial"/>
                <w:sz w:val="15"/>
                <w:szCs w:val="15"/>
              </w:rPr>
              <w:t>24.846</w:t>
            </w:r>
          </w:p>
        </w:tc>
        <w:tc>
          <w:tcPr>
            <w:tcW w:w="762" w:type="dxa"/>
            <w:tcBorders>
              <w:top w:val="nil"/>
              <w:left w:val="nil"/>
              <w:bottom w:val="nil"/>
              <w:right w:val="nil"/>
            </w:tcBorders>
            <w:shd w:val="clear" w:color="auto" w:fill="auto"/>
            <w:vAlign w:val="center"/>
          </w:tcPr>
          <w:p w14:paraId="7F0155DB" w14:textId="2CC8392E" w:rsidR="006C26F8" w:rsidRPr="006C26F8" w:rsidRDefault="006C26F8" w:rsidP="00154D55">
            <w:pPr>
              <w:spacing w:after="0" w:line="276" w:lineRule="auto"/>
              <w:jc w:val="right"/>
              <w:rPr>
                <w:rFonts w:cs="Arial"/>
                <w:sz w:val="15"/>
                <w:szCs w:val="15"/>
              </w:rPr>
            </w:pPr>
            <w:r w:rsidRPr="006C26F8">
              <w:rPr>
                <w:rFonts w:cs="Arial"/>
                <w:sz w:val="15"/>
                <w:szCs w:val="15"/>
              </w:rPr>
              <w:t>27.659</w:t>
            </w:r>
          </w:p>
        </w:tc>
        <w:tc>
          <w:tcPr>
            <w:tcW w:w="716" w:type="dxa"/>
            <w:tcBorders>
              <w:top w:val="nil"/>
              <w:left w:val="nil"/>
              <w:bottom w:val="nil"/>
              <w:right w:val="nil"/>
            </w:tcBorders>
            <w:shd w:val="clear" w:color="auto" w:fill="auto"/>
            <w:vAlign w:val="center"/>
          </w:tcPr>
          <w:p w14:paraId="71479F81" w14:textId="184675F3" w:rsidR="006C26F8" w:rsidRPr="006C26F8" w:rsidRDefault="006C26F8" w:rsidP="00154D55">
            <w:pPr>
              <w:spacing w:after="0" w:line="276" w:lineRule="auto"/>
              <w:jc w:val="right"/>
              <w:rPr>
                <w:rFonts w:cs="Arial"/>
                <w:sz w:val="15"/>
                <w:szCs w:val="15"/>
              </w:rPr>
            </w:pPr>
            <w:r w:rsidRPr="006C26F8">
              <w:rPr>
                <w:rFonts w:cs="Arial"/>
                <w:sz w:val="15"/>
                <w:szCs w:val="15"/>
              </w:rPr>
              <w:t>32.064</w:t>
            </w:r>
          </w:p>
        </w:tc>
        <w:tc>
          <w:tcPr>
            <w:tcW w:w="759" w:type="dxa"/>
            <w:tcBorders>
              <w:top w:val="nil"/>
              <w:left w:val="nil"/>
              <w:bottom w:val="nil"/>
              <w:right w:val="single" w:sz="4" w:space="0" w:color="808080" w:themeColor="background1" w:themeShade="80"/>
            </w:tcBorders>
            <w:shd w:val="clear" w:color="auto" w:fill="auto"/>
            <w:vAlign w:val="center"/>
          </w:tcPr>
          <w:p w14:paraId="63BF0CD3" w14:textId="6227B5C1" w:rsidR="006C26F8" w:rsidRPr="006C26F8" w:rsidRDefault="006C26F8" w:rsidP="00154D55">
            <w:pPr>
              <w:spacing w:after="0" w:line="276" w:lineRule="auto"/>
              <w:jc w:val="right"/>
              <w:rPr>
                <w:rFonts w:cs="Arial"/>
                <w:sz w:val="15"/>
                <w:szCs w:val="15"/>
              </w:rPr>
            </w:pPr>
            <w:r w:rsidRPr="006C26F8">
              <w:rPr>
                <w:rFonts w:cs="Arial"/>
                <w:sz w:val="15"/>
                <w:szCs w:val="15"/>
              </w:rPr>
              <w:t>35.897</w:t>
            </w:r>
          </w:p>
        </w:tc>
      </w:tr>
      <w:tr w:rsidR="006C26F8" w:rsidRPr="00D44B43" w14:paraId="45F4EE62" w14:textId="77777777" w:rsidTr="00154D55">
        <w:trPr>
          <w:cantSplit/>
          <w:jc w:val="center"/>
        </w:trPr>
        <w:tc>
          <w:tcPr>
            <w:tcW w:w="436" w:type="dxa"/>
            <w:shd w:val="clear" w:color="auto" w:fill="auto"/>
            <w:noWrap/>
            <w:vAlign w:val="center"/>
            <w:hideMark/>
          </w:tcPr>
          <w:p w14:paraId="6812D37E" w14:textId="77777777" w:rsidR="006C26F8" w:rsidRPr="00F14FC1" w:rsidRDefault="006C26F8" w:rsidP="00154D55">
            <w:pPr>
              <w:spacing w:after="0" w:line="276" w:lineRule="auto"/>
              <w:jc w:val="center"/>
              <w:rPr>
                <w:rFonts w:cs="Arial"/>
                <w:sz w:val="15"/>
                <w:szCs w:val="15"/>
              </w:rPr>
            </w:pPr>
            <w:r w:rsidRPr="00F14FC1">
              <w:rPr>
                <w:rFonts w:cs="Arial"/>
                <w:sz w:val="15"/>
                <w:szCs w:val="15"/>
              </w:rPr>
              <w:t>4</w:t>
            </w:r>
          </w:p>
        </w:tc>
        <w:tc>
          <w:tcPr>
            <w:tcW w:w="2107" w:type="dxa"/>
            <w:tcBorders>
              <w:right w:val="nil"/>
            </w:tcBorders>
            <w:shd w:val="clear" w:color="auto" w:fill="auto"/>
            <w:vAlign w:val="center"/>
            <w:hideMark/>
          </w:tcPr>
          <w:p w14:paraId="35486769" w14:textId="77777777" w:rsidR="006C26F8" w:rsidRPr="00F14FC1" w:rsidRDefault="006C26F8" w:rsidP="00154D55">
            <w:pPr>
              <w:spacing w:after="0" w:line="276" w:lineRule="auto"/>
              <w:jc w:val="left"/>
              <w:rPr>
                <w:rFonts w:cs="Arial"/>
                <w:sz w:val="15"/>
                <w:szCs w:val="15"/>
              </w:rPr>
            </w:pPr>
            <w:r w:rsidRPr="00F14FC1">
              <w:rPr>
                <w:rFonts w:cs="Arial"/>
                <w:sz w:val="15"/>
                <w:szCs w:val="15"/>
              </w:rPr>
              <w:t>Αγορές αγαθών και υπηρεσιών</w:t>
            </w:r>
          </w:p>
        </w:tc>
        <w:tc>
          <w:tcPr>
            <w:tcW w:w="615" w:type="dxa"/>
            <w:tcBorders>
              <w:top w:val="nil"/>
              <w:left w:val="nil"/>
              <w:bottom w:val="nil"/>
              <w:right w:val="nil"/>
            </w:tcBorders>
            <w:shd w:val="clear" w:color="auto" w:fill="auto"/>
            <w:vAlign w:val="center"/>
          </w:tcPr>
          <w:p w14:paraId="35B3EA6E" w14:textId="28749C15" w:rsidR="006C26F8" w:rsidRPr="006C26F8" w:rsidRDefault="006C26F8" w:rsidP="00154D55">
            <w:pPr>
              <w:spacing w:after="0" w:line="276" w:lineRule="auto"/>
              <w:jc w:val="right"/>
              <w:rPr>
                <w:rFonts w:cs="Arial"/>
                <w:sz w:val="15"/>
                <w:szCs w:val="15"/>
              </w:rPr>
            </w:pPr>
            <w:r w:rsidRPr="006C26F8">
              <w:rPr>
                <w:rFonts w:cs="Arial"/>
                <w:sz w:val="15"/>
                <w:szCs w:val="15"/>
              </w:rPr>
              <w:t>18</w:t>
            </w:r>
          </w:p>
        </w:tc>
        <w:tc>
          <w:tcPr>
            <w:tcW w:w="716" w:type="dxa"/>
            <w:tcBorders>
              <w:top w:val="nil"/>
              <w:left w:val="nil"/>
              <w:bottom w:val="nil"/>
              <w:right w:val="nil"/>
            </w:tcBorders>
            <w:shd w:val="clear" w:color="auto" w:fill="auto"/>
            <w:vAlign w:val="center"/>
          </w:tcPr>
          <w:p w14:paraId="52355C25" w14:textId="1C94ABD8" w:rsidR="006C26F8" w:rsidRPr="006C26F8" w:rsidRDefault="006C26F8" w:rsidP="00154D55">
            <w:pPr>
              <w:spacing w:after="0" w:line="276" w:lineRule="auto"/>
              <w:jc w:val="right"/>
              <w:rPr>
                <w:rFonts w:cs="Arial"/>
                <w:sz w:val="15"/>
                <w:szCs w:val="15"/>
              </w:rPr>
            </w:pPr>
            <w:r w:rsidRPr="006C26F8">
              <w:rPr>
                <w:rFonts w:cs="Arial"/>
                <w:sz w:val="15"/>
                <w:szCs w:val="15"/>
              </w:rPr>
              <w:t>130</w:t>
            </w:r>
          </w:p>
        </w:tc>
        <w:tc>
          <w:tcPr>
            <w:tcW w:w="716" w:type="dxa"/>
            <w:tcBorders>
              <w:top w:val="nil"/>
              <w:left w:val="nil"/>
              <w:bottom w:val="nil"/>
              <w:right w:val="nil"/>
            </w:tcBorders>
            <w:shd w:val="clear" w:color="auto" w:fill="auto"/>
            <w:vAlign w:val="center"/>
          </w:tcPr>
          <w:p w14:paraId="641CDDA4" w14:textId="0E914B9F" w:rsidR="006C26F8" w:rsidRPr="006C26F8" w:rsidRDefault="006C26F8" w:rsidP="00154D55">
            <w:pPr>
              <w:spacing w:after="0" w:line="276" w:lineRule="auto"/>
              <w:jc w:val="right"/>
              <w:rPr>
                <w:rFonts w:cs="Arial"/>
                <w:sz w:val="15"/>
                <w:szCs w:val="15"/>
              </w:rPr>
            </w:pPr>
            <w:r w:rsidRPr="006C26F8">
              <w:rPr>
                <w:rFonts w:cs="Arial"/>
                <w:sz w:val="15"/>
                <w:szCs w:val="15"/>
              </w:rPr>
              <w:t>233</w:t>
            </w:r>
          </w:p>
        </w:tc>
        <w:tc>
          <w:tcPr>
            <w:tcW w:w="716" w:type="dxa"/>
            <w:tcBorders>
              <w:top w:val="nil"/>
              <w:left w:val="nil"/>
              <w:bottom w:val="nil"/>
              <w:right w:val="nil"/>
            </w:tcBorders>
            <w:shd w:val="clear" w:color="auto" w:fill="auto"/>
            <w:vAlign w:val="center"/>
          </w:tcPr>
          <w:p w14:paraId="426FD37D" w14:textId="770ED78B" w:rsidR="006C26F8" w:rsidRPr="006C26F8" w:rsidRDefault="006C26F8" w:rsidP="00154D55">
            <w:pPr>
              <w:spacing w:after="0" w:line="276" w:lineRule="auto"/>
              <w:jc w:val="right"/>
              <w:rPr>
                <w:rFonts w:cs="Arial"/>
                <w:sz w:val="15"/>
                <w:szCs w:val="15"/>
              </w:rPr>
            </w:pPr>
            <w:r w:rsidRPr="006C26F8">
              <w:rPr>
                <w:rFonts w:cs="Arial"/>
                <w:sz w:val="15"/>
                <w:szCs w:val="15"/>
              </w:rPr>
              <w:t>348</w:t>
            </w:r>
          </w:p>
        </w:tc>
        <w:tc>
          <w:tcPr>
            <w:tcW w:w="686" w:type="dxa"/>
            <w:tcBorders>
              <w:top w:val="nil"/>
              <w:left w:val="nil"/>
              <w:bottom w:val="nil"/>
              <w:right w:val="nil"/>
            </w:tcBorders>
            <w:shd w:val="clear" w:color="auto" w:fill="auto"/>
            <w:vAlign w:val="center"/>
          </w:tcPr>
          <w:p w14:paraId="5711465D" w14:textId="0F6FE5F6" w:rsidR="006C26F8" w:rsidRPr="006C26F8" w:rsidRDefault="006C26F8" w:rsidP="00154D55">
            <w:pPr>
              <w:spacing w:after="0" w:line="276" w:lineRule="auto"/>
              <w:jc w:val="right"/>
              <w:rPr>
                <w:rFonts w:cs="Arial"/>
                <w:sz w:val="15"/>
                <w:szCs w:val="15"/>
              </w:rPr>
            </w:pPr>
            <w:r w:rsidRPr="006C26F8">
              <w:rPr>
                <w:rFonts w:cs="Arial"/>
                <w:sz w:val="15"/>
                <w:szCs w:val="15"/>
              </w:rPr>
              <w:t>612</w:t>
            </w:r>
          </w:p>
        </w:tc>
        <w:tc>
          <w:tcPr>
            <w:tcW w:w="716" w:type="dxa"/>
            <w:tcBorders>
              <w:top w:val="nil"/>
              <w:left w:val="nil"/>
              <w:bottom w:val="nil"/>
              <w:right w:val="nil"/>
            </w:tcBorders>
            <w:shd w:val="clear" w:color="auto" w:fill="auto"/>
            <w:vAlign w:val="center"/>
          </w:tcPr>
          <w:p w14:paraId="4CC54376" w14:textId="52D5C896" w:rsidR="006C26F8" w:rsidRPr="006C26F8" w:rsidRDefault="006C26F8" w:rsidP="00154D55">
            <w:pPr>
              <w:spacing w:after="0" w:line="276" w:lineRule="auto"/>
              <w:jc w:val="right"/>
              <w:rPr>
                <w:rFonts w:cs="Arial"/>
                <w:sz w:val="15"/>
                <w:szCs w:val="15"/>
              </w:rPr>
            </w:pPr>
            <w:r w:rsidRPr="006C26F8">
              <w:rPr>
                <w:rFonts w:cs="Arial"/>
                <w:sz w:val="15"/>
                <w:szCs w:val="15"/>
              </w:rPr>
              <w:t>801</w:t>
            </w:r>
          </w:p>
        </w:tc>
        <w:tc>
          <w:tcPr>
            <w:tcW w:w="716" w:type="dxa"/>
            <w:tcBorders>
              <w:top w:val="nil"/>
              <w:left w:val="nil"/>
              <w:bottom w:val="nil"/>
              <w:right w:val="nil"/>
            </w:tcBorders>
            <w:shd w:val="clear" w:color="auto" w:fill="auto"/>
            <w:vAlign w:val="center"/>
          </w:tcPr>
          <w:p w14:paraId="46B9F25D" w14:textId="6E7D0180" w:rsidR="006C26F8" w:rsidRPr="006C26F8" w:rsidRDefault="006C26F8" w:rsidP="00154D55">
            <w:pPr>
              <w:spacing w:after="0" w:line="276" w:lineRule="auto"/>
              <w:jc w:val="right"/>
              <w:rPr>
                <w:rFonts w:cs="Arial"/>
                <w:sz w:val="15"/>
                <w:szCs w:val="15"/>
              </w:rPr>
            </w:pPr>
            <w:r w:rsidRPr="006C26F8">
              <w:rPr>
                <w:rFonts w:cs="Arial"/>
                <w:sz w:val="15"/>
                <w:szCs w:val="15"/>
              </w:rPr>
              <w:t>985</w:t>
            </w:r>
          </w:p>
        </w:tc>
        <w:tc>
          <w:tcPr>
            <w:tcW w:w="762" w:type="dxa"/>
            <w:tcBorders>
              <w:top w:val="nil"/>
              <w:left w:val="nil"/>
              <w:bottom w:val="nil"/>
              <w:right w:val="nil"/>
            </w:tcBorders>
            <w:shd w:val="clear" w:color="auto" w:fill="auto"/>
            <w:vAlign w:val="center"/>
          </w:tcPr>
          <w:p w14:paraId="6693B439" w14:textId="4CAF71A0" w:rsidR="006C26F8" w:rsidRPr="006C26F8" w:rsidRDefault="006C26F8" w:rsidP="00154D55">
            <w:pPr>
              <w:spacing w:after="0" w:line="276" w:lineRule="auto"/>
              <w:jc w:val="right"/>
              <w:rPr>
                <w:rFonts w:cs="Arial"/>
                <w:sz w:val="15"/>
                <w:szCs w:val="15"/>
              </w:rPr>
            </w:pPr>
            <w:r w:rsidRPr="006C26F8">
              <w:rPr>
                <w:rFonts w:cs="Arial"/>
                <w:sz w:val="15"/>
                <w:szCs w:val="15"/>
              </w:rPr>
              <w:t>1.092</w:t>
            </w:r>
          </w:p>
        </w:tc>
        <w:tc>
          <w:tcPr>
            <w:tcW w:w="716" w:type="dxa"/>
            <w:tcBorders>
              <w:top w:val="nil"/>
              <w:left w:val="nil"/>
              <w:bottom w:val="nil"/>
              <w:right w:val="nil"/>
            </w:tcBorders>
            <w:shd w:val="clear" w:color="auto" w:fill="auto"/>
            <w:vAlign w:val="center"/>
          </w:tcPr>
          <w:p w14:paraId="4B75D1C3" w14:textId="01A6F726" w:rsidR="006C26F8" w:rsidRPr="006C26F8" w:rsidRDefault="006C26F8" w:rsidP="00154D55">
            <w:pPr>
              <w:spacing w:after="0" w:line="276" w:lineRule="auto"/>
              <w:jc w:val="right"/>
              <w:rPr>
                <w:rFonts w:cs="Arial"/>
                <w:sz w:val="15"/>
                <w:szCs w:val="15"/>
              </w:rPr>
            </w:pPr>
            <w:r w:rsidRPr="006C26F8">
              <w:rPr>
                <w:rFonts w:cs="Arial"/>
                <w:sz w:val="15"/>
                <w:szCs w:val="15"/>
              </w:rPr>
              <w:t>1.267</w:t>
            </w:r>
          </w:p>
        </w:tc>
        <w:tc>
          <w:tcPr>
            <w:tcW w:w="762" w:type="dxa"/>
            <w:tcBorders>
              <w:top w:val="nil"/>
              <w:left w:val="nil"/>
              <w:bottom w:val="nil"/>
              <w:right w:val="nil"/>
            </w:tcBorders>
            <w:shd w:val="clear" w:color="auto" w:fill="auto"/>
            <w:vAlign w:val="center"/>
          </w:tcPr>
          <w:p w14:paraId="01FD04A1" w14:textId="7D640F1E" w:rsidR="006C26F8" w:rsidRPr="006C26F8" w:rsidRDefault="006C26F8" w:rsidP="00154D55">
            <w:pPr>
              <w:spacing w:after="0" w:line="276" w:lineRule="auto"/>
              <w:jc w:val="right"/>
              <w:rPr>
                <w:rFonts w:cs="Arial"/>
                <w:sz w:val="15"/>
                <w:szCs w:val="15"/>
              </w:rPr>
            </w:pPr>
            <w:r w:rsidRPr="006C26F8">
              <w:rPr>
                <w:rFonts w:cs="Arial"/>
                <w:sz w:val="15"/>
                <w:szCs w:val="15"/>
              </w:rPr>
              <w:t>1.467</w:t>
            </w:r>
          </w:p>
        </w:tc>
        <w:tc>
          <w:tcPr>
            <w:tcW w:w="716" w:type="dxa"/>
            <w:tcBorders>
              <w:top w:val="nil"/>
              <w:left w:val="nil"/>
              <w:bottom w:val="nil"/>
              <w:right w:val="nil"/>
            </w:tcBorders>
            <w:shd w:val="clear" w:color="auto" w:fill="auto"/>
            <w:vAlign w:val="center"/>
          </w:tcPr>
          <w:p w14:paraId="62A73F58" w14:textId="02A4F973" w:rsidR="006C26F8" w:rsidRPr="006C26F8" w:rsidRDefault="006C26F8" w:rsidP="00154D55">
            <w:pPr>
              <w:spacing w:after="0" w:line="276" w:lineRule="auto"/>
              <w:jc w:val="right"/>
              <w:rPr>
                <w:rFonts w:cs="Arial"/>
                <w:sz w:val="15"/>
                <w:szCs w:val="15"/>
              </w:rPr>
            </w:pPr>
            <w:r w:rsidRPr="006C26F8">
              <w:rPr>
                <w:rFonts w:cs="Arial"/>
                <w:sz w:val="15"/>
                <w:szCs w:val="15"/>
              </w:rPr>
              <w:t>1.698</w:t>
            </w:r>
          </w:p>
        </w:tc>
        <w:tc>
          <w:tcPr>
            <w:tcW w:w="759" w:type="dxa"/>
            <w:tcBorders>
              <w:top w:val="nil"/>
              <w:left w:val="nil"/>
              <w:bottom w:val="nil"/>
              <w:right w:val="single" w:sz="4" w:space="0" w:color="808080" w:themeColor="background1" w:themeShade="80"/>
            </w:tcBorders>
            <w:shd w:val="clear" w:color="auto" w:fill="auto"/>
            <w:vAlign w:val="center"/>
          </w:tcPr>
          <w:p w14:paraId="45360F47" w14:textId="0E02600F" w:rsidR="006C26F8" w:rsidRPr="006C26F8" w:rsidRDefault="006C26F8" w:rsidP="00154D55">
            <w:pPr>
              <w:spacing w:after="0" w:line="276" w:lineRule="auto"/>
              <w:jc w:val="right"/>
              <w:rPr>
                <w:rFonts w:cs="Arial"/>
                <w:sz w:val="15"/>
                <w:szCs w:val="15"/>
              </w:rPr>
            </w:pPr>
            <w:r w:rsidRPr="006C26F8">
              <w:rPr>
                <w:rFonts w:cs="Arial"/>
                <w:sz w:val="15"/>
                <w:szCs w:val="15"/>
              </w:rPr>
              <w:t>2.388</w:t>
            </w:r>
          </w:p>
        </w:tc>
      </w:tr>
      <w:tr w:rsidR="006C26F8" w:rsidRPr="00D44B43" w14:paraId="402BE533" w14:textId="77777777" w:rsidTr="00154D55">
        <w:trPr>
          <w:cantSplit/>
          <w:jc w:val="center"/>
        </w:trPr>
        <w:tc>
          <w:tcPr>
            <w:tcW w:w="436" w:type="dxa"/>
            <w:shd w:val="clear" w:color="auto" w:fill="auto"/>
            <w:noWrap/>
            <w:vAlign w:val="center"/>
            <w:hideMark/>
          </w:tcPr>
          <w:p w14:paraId="606A0C67" w14:textId="77777777" w:rsidR="006C26F8" w:rsidRPr="00F14FC1" w:rsidRDefault="006C26F8" w:rsidP="00154D55">
            <w:pPr>
              <w:spacing w:after="0" w:line="276" w:lineRule="auto"/>
              <w:jc w:val="center"/>
              <w:rPr>
                <w:rFonts w:cs="Arial"/>
                <w:sz w:val="15"/>
                <w:szCs w:val="15"/>
              </w:rPr>
            </w:pPr>
            <w:r w:rsidRPr="00F14FC1">
              <w:rPr>
                <w:rFonts w:cs="Arial"/>
                <w:sz w:val="15"/>
                <w:szCs w:val="15"/>
              </w:rPr>
              <w:t>5</w:t>
            </w:r>
          </w:p>
        </w:tc>
        <w:tc>
          <w:tcPr>
            <w:tcW w:w="2107" w:type="dxa"/>
            <w:tcBorders>
              <w:right w:val="nil"/>
            </w:tcBorders>
            <w:shd w:val="clear" w:color="auto" w:fill="auto"/>
            <w:vAlign w:val="center"/>
            <w:hideMark/>
          </w:tcPr>
          <w:p w14:paraId="5F6AAD59" w14:textId="77777777" w:rsidR="006C26F8" w:rsidRPr="00F14FC1" w:rsidRDefault="006C26F8" w:rsidP="00154D55">
            <w:pPr>
              <w:spacing w:after="0" w:line="276" w:lineRule="auto"/>
              <w:jc w:val="left"/>
              <w:rPr>
                <w:rFonts w:cs="Arial"/>
                <w:sz w:val="15"/>
                <w:szCs w:val="15"/>
              </w:rPr>
            </w:pPr>
            <w:r w:rsidRPr="00F14FC1">
              <w:rPr>
                <w:rFonts w:cs="Arial"/>
                <w:sz w:val="15"/>
                <w:szCs w:val="15"/>
              </w:rPr>
              <w:t>Επιδοτήσεις</w:t>
            </w:r>
          </w:p>
        </w:tc>
        <w:tc>
          <w:tcPr>
            <w:tcW w:w="615" w:type="dxa"/>
            <w:tcBorders>
              <w:top w:val="nil"/>
              <w:left w:val="nil"/>
              <w:bottom w:val="nil"/>
              <w:right w:val="nil"/>
            </w:tcBorders>
            <w:shd w:val="clear" w:color="auto" w:fill="auto"/>
            <w:vAlign w:val="center"/>
          </w:tcPr>
          <w:p w14:paraId="1A8918AF" w14:textId="0C2BEA88"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1884B3E3" w14:textId="0BD12E0A" w:rsidR="006C26F8" w:rsidRPr="006C26F8" w:rsidRDefault="006C26F8" w:rsidP="00154D55">
            <w:pPr>
              <w:spacing w:after="0" w:line="276" w:lineRule="auto"/>
              <w:jc w:val="right"/>
              <w:rPr>
                <w:rFonts w:cs="Arial"/>
                <w:sz w:val="15"/>
                <w:szCs w:val="15"/>
              </w:rPr>
            </w:pPr>
            <w:r w:rsidRPr="006C26F8">
              <w:rPr>
                <w:rFonts w:cs="Arial"/>
                <w:sz w:val="15"/>
                <w:szCs w:val="15"/>
              </w:rPr>
              <w:t>43</w:t>
            </w:r>
          </w:p>
        </w:tc>
        <w:tc>
          <w:tcPr>
            <w:tcW w:w="716" w:type="dxa"/>
            <w:tcBorders>
              <w:top w:val="nil"/>
              <w:left w:val="nil"/>
              <w:bottom w:val="nil"/>
              <w:right w:val="nil"/>
            </w:tcBorders>
            <w:shd w:val="clear" w:color="auto" w:fill="auto"/>
            <w:vAlign w:val="center"/>
          </w:tcPr>
          <w:p w14:paraId="35F5DBCA" w14:textId="72DFE5CF" w:rsidR="006C26F8" w:rsidRPr="006C26F8" w:rsidRDefault="006C26F8" w:rsidP="00154D55">
            <w:pPr>
              <w:spacing w:after="0" w:line="276" w:lineRule="auto"/>
              <w:jc w:val="right"/>
              <w:rPr>
                <w:rFonts w:cs="Arial"/>
                <w:sz w:val="15"/>
                <w:szCs w:val="15"/>
              </w:rPr>
            </w:pPr>
            <w:r w:rsidRPr="006C26F8">
              <w:rPr>
                <w:rFonts w:cs="Arial"/>
                <w:sz w:val="15"/>
                <w:szCs w:val="15"/>
              </w:rPr>
              <w:t>43</w:t>
            </w:r>
          </w:p>
        </w:tc>
        <w:tc>
          <w:tcPr>
            <w:tcW w:w="716" w:type="dxa"/>
            <w:tcBorders>
              <w:top w:val="nil"/>
              <w:left w:val="nil"/>
              <w:bottom w:val="nil"/>
              <w:right w:val="nil"/>
            </w:tcBorders>
            <w:shd w:val="clear" w:color="auto" w:fill="auto"/>
            <w:vAlign w:val="center"/>
          </w:tcPr>
          <w:p w14:paraId="33FDA36F" w14:textId="12802E8A" w:rsidR="006C26F8" w:rsidRPr="006C26F8" w:rsidRDefault="006C26F8" w:rsidP="00154D55">
            <w:pPr>
              <w:spacing w:after="0" w:line="276" w:lineRule="auto"/>
              <w:jc w:val="right"/>
              <w:rPr>
                <w:rFonts w:cs="Arial"/>
                <w:sz w:val="15"/>
                <w:szCs w:val="15"/>
              </w:rPr>
            </w:pPr>
            <w:r w:rsidRPr="006C26F8">
              <w:rPr>
                <w:rFonts w:cs="Arial"/>
                <w:sz w:val="15"/>
                <w:szCs w:val="15"/>
              </w:rPr>
              <w:t>43</w:t>
            </w:r>
          </w:p>
        </w:tc>
        <w:tc>
          <w:tcPr>
            <w:tcW w:w="686" w:type="dxa"/>
            <w:tcBorders>
              <w:top w:val="nil"/>
              <w:left w:val="nil"/>
              <w:bottom w:val="nil"/>
              <w:right w:val="nil"/>
            </w:tcBorders>
            <w:shd w:val="clear" w:color="auto" w:fill="auto"/>
            <w:vAlign w:val="center"/>
          </w:tcPr>
          <w:p w14:paraId="2473A501" w14:textId="5A860CD1" w:rsidR="006C26F8" w:rsidRPr="006C26F8" w:rsidRDefault="006C26F8" w:rsidP="00154D55">
            <w:pPr>
              <w:spacing w:after="0" w:line="276" w:lineRule="auto"/>
              <w:jc w:val="right"/>
              <w:rPr>
                <w:rFonts w:cs="Arial"/>
                <w:sz w:val="15"/>
                <w:szCs w:val="15"/>
              </w:rPr>
            </w:pPr>
            <w:r w:rsidRPr="006C26F8">
              <w:rPr>
                <w:rFonts w:cs="Arial"/>
                <w:sz w:val="15"/>
                <w:szCs w:val="15"/>
              </w:rPr>
              <w:t>43</w:t>
            </w:r>
          </w:p>
        </w:tc>
        <w:tc>
          <w:tcPr>
            <w:tcW w:w="716" w:type="dxa"/>
            <w:tcBorders>
              <w:top w:val="nil"/>
              <w:left w:val="nil"/>
              <w:bottom w:val="nil"/>
              <w:right w:val="nil"/>
            </w:tcBorders>
            <w:shd w:val="clear" w:color="auto" w:fill="auto"/>
            <w:vAlign w:val="center"/>
          </w:tcPr>
          <w:p w14:paraId="038DDC60" w14:textId="63A69FF7" w:rsidR="006C26F8" w:rsidRPr="006C26F8" w:rsidRDefault="006C26F8" w:rsidP="00154D55">
            <w:pPr>
              <w:spacing w:after="0" w:line="276" w:lineRule="auto"/>
              <w:jc w:val="right"/>
              <w:rPr>
                <w:rFonts w:cs="Arial"/>
                <w:sz w:val="15"/>
                <w:szCs w:val="15"/>
              </w:rPr>
            </w:pPr>
            <w:r w:rsidRPr="006C26F8">
              <w:rPr>
                <w:rFonts w:cs="Arial"/>
                <w:sz w:val="15"/>
                <w:szCs w:val="15"/>
              </w:rPr>
              <w:t>43</w:t>
            </w:r>
          </w:p>
        </w:tc>
        <w:tc>
          <w:tcPr>
            <w:tcW w:w="716" w:type="dxa"/>
            <w:tcBorders>
              <w:top w:val="nil"/>
              <w:left w:val="nil"/>
              <w:bottom w:val="nil"/>
              <w:right w:val="nil"/>
            </w:tcBorders>
            <w:shd w:val="clear" w:color="auto" w:fill="auto"/>
            <w:vAlign w:val="center"/>
          </w:tcPr>
          <w:p w14:paraId="744C0D83" w14:textId="0A53B21B" w:rsidR="006C26F8" w:rsidRPr="006C26F8" w:rsidRDefault="006C26F8" w:rsidP="00154D55">
            <w:pPr>
              <w:spacing w:after="0" w:line="276" w:lineRule="auto"/>
              <w:jc w:val="right"/>
              <w:rPr>
                <w:rFonts w:cs="Arial"/>
                <w:sz w:val="15"/>
                <w:szCs w:val="15"/>
              </w:rPr>
            </w:pPr>
            <w:r w:rsidRPr="006C26F8">
              <w:rPr>
                <w:rFonts w:cs="Arial"/>
                <w:sz w:val="15"/>
                <w:szCs w:val="15"/>
              </w:rPr>
              <w:t>43</w:t>
            </w:r>
          </w:p>
        </w:tc>
        <w:tc>
          <w:tcPr>
            <w:tcW w:w="762" w:type="dxa"/>
            <w:tcBorders>
              <w:top w:val="nil"/>
              <w:left w:val="nil"/>
              <w:bottom w:val="nil"/>
              <w:right w:val="nil"/>
            </w:tcBorders>
            <w:shd w:val="clear" w:color="auto" w:fill="auto"/>
            <w:vAlign w:val="center"/>
          </w:tcPr>
          <w:p w14:paraId="24AF5519" w14:textId="47E47473" w:rsidR="006C26F8" w:rsidRPr="006C26F8" w:rsidRDefault="006C26F8" w:rsidP="00154D55">
            <w:pPr>
              <w:spacing w:after="0" w:line="276" w:lineRule="auto"/>
              <w:jc w:val="right"/>
              <w:rPr>
                <w:rFonts w:cs="Arial"/>
                <w:sz w:val="15"/>
                <w:szCs w:val="15"/>
              </w:rPr>
            </w:pPr>
            <w:r w:rsidRPr="006C26F8">
              <w:rPr>
                <w:rFonts w:cs="Arial"/>
                <w:sz w:val="15"/>
                <w:szCs w:val="15"/>
              </w:rPr>
              <w:t>60</w:t>
            </w:r>
          </w:p>
        </w:tc>
        <w:tc>
          <w:tcPr>
            <w:tcW w:w="716" w:type="dxa"/>
            <w:tcBorders>
              <w:top w:val="nil"/>
              <w:left w:val="nil"/>
              <w:bottom w:val="nil"/>
              <w:right w:val="nil"/>
            </w:tcBorders>
            <w:shd w:val="clear" w:color="auto" w:fill="auto"/>
            <w:vAlign w:val="center"/>
          </w:tcPr>
          <w:p w14:paraId="75607952" w14:textId="225433ED" w:rsidR="006C26F8" w:rsidRPr="006C26F8" w:rsidRDefault="006C26F8" w:rsidP="00154D55">
            <w:pPr>
              <w:spacing w:after="0" w:line="276" w:lineRule="auto"/>
              <w:jc w:val="right"/>
              <w:rPr>
                <w:rFonts w:cs="Arial"/>
                <w:sz w:val="15"/>
                <w:szCs w:val="15"/>
              </w:rPr>
            </w:pPr>
            <w:r w:rsidRPr="006C26F8">
              <w:rPr>
                <w:rFonts w:cs="Arial"/>
                <w:sz w:val="15"/>
                <w:szCs w:val="15"/>
              </w:rPr>
              <w:t>61</w:t>
            </w:r>
          </w:p>
        </w:tc>
        <w:tc>
          <w:tcPr>
            <w:tcW w:w="762" w:type="dxa"/>
            <w:tcBorders>
              <w:top w:val="nil"/>
              <w:left w:val="nil"/>
              <w:bottom w:val="nil"/>
              <w:right w:val="nil"/>
            </w:tcBorders>
            <w:shd w:val="clear" w:color="auto" w:fill="auto"/>
            <w:vAlign w:val="center"/>
          </w:tcPr>
          <w:p w14:paraId="111B2572" w14:textId="1358BDE7" w:rsidR="006C26F8" w:rsidRPr="006C26F8" w:rsidRDefault="006C26F8" w:rsidP="00154D55">
            <w:pPr>
              <w:spacing w:after="0" w:line="276" w:lineRule="auto"/>
              <w:jc w:val="right"/>
              <w:rPr>
                <w:rFonts w:cs="Arial"/>
                <w:sz w:val="15"/>
                <w:szCs w:val="15"/>
              </w:rPr>
            </w:pPr>
            <w:r w:rsidRPr="006C26F8">
              <w:rPr>
                <w:rFonts w:cs="Arial"/>
                <w:sz w:val="15"/>
                <w:szCs w:val="15"/>
              </w:rPr>
              <w:t>67</w:t>
            </w:r>
          </w:p>
        </w:tc>
        <w:tc>
          <w:tcPr>
            <w:tcW w:w="716" w:type="dxa"/>
            <w:tcBorders>
              <w:top w:val="nil"/>
              <w:left w:val="nil"/>
              <w:bottom w:val="nil"/>
              <w:right w:val="nil"/>
            </w:tcBorders>
            <w:shd w:val="clear" w:color="auto" w:fill="auto"/>
            <w:vAlign w:val="center"/>
          </w:tcPr>
          <w:p w14:paraId="59783432" w14:textId="4E7A003D" w:rsidR="006C26F8" w:rsidRPr="006C26F8" w:rsidRDefault="006C26F8" w:rsidP="00154D55">
            <w:pPr>
              <w:spacing w:after="0" w:line="276" w:lineRule="auto"/>
              <w:jc w:val="right"/>
              <w:rPr>
                <w:rFonts w:cs="Arial"/>
                <w:sz w:val="15"/>
                <w:szCs w:val="15"/>
              </w:rPr>
            </w:pPr>
            <w:r w:rsidRPr="006C26F8">
              <w:rPr>
                <w:rFonts w:cs="Arial"/>
                <w:sz w:val="15"/>
                <w:szCs w:val="15"/>
              </w:rPr>
              <w:t>74</w:t>
            </w:r>
          </w:p>
        </w:tc>
        <w:tc>
          <w:tcPr>
            <w:tcW w:w="759" w:type="dxa"/>
            <w:tcBorders>
              <w:top w:val="nil"/>
              <w:left w:val="nil"/>
              <w:bottom w:val="nil"/>
              <w:right w:val="single" w:sz="4" w:space="0" w:color="808080" w:themeColor="background1" w:themeShade="80"/>
            </w:tcBorders>
            <w:shd w:val="clear" w:color="auto" w:fill="auto"/>
            <w:vAlign w:val="center"/>
          </w:tcPr>
          <w:p w14:paraId="73773B53" w14:textId="3967FC47" w:rsidR="006C26F8" w:rsidRPr="006C26F8" w:rsidRDefault="006C26F8" w:rsidP="00154D55">
            <w:pPr>
              <w:spacing w:after="0" w:line="276" w:lineRule="auto"/>
              <w:jc w:val="right"/>
              <w:rPr>
                <w:rFonts w:cs="Arial"/>
                <w:sz w:val="15"/>
                <w:szCs w:val="15"/>
              </w:rPr>
            </w:pPr>
            <w:r w:rsidRPr="006C26F8">
              <w:rPr>
                <w:rFonts w:cs="Arial"/>
                <w:sz w:val="15"/>
                <w:szCs w:val="15"/>
              </w:rPr>
              <w:t>80</w:t>
            </w:r>
          </w:p>
        </w:tc>
      </w:tr>
      <w:tr w:rsidR="006C26F8" w:rsidRPr="00D44B43" w14:paraId="7D51C7C8" w14:textId="77777777" w:rsidTr="00154D55">
        <w:trPr>
          <w:cantSplit/>
          <w:jc w:val="center"/>
        </w:trPr>
        <w:tc>
          <w:tcPr>
            <w:tcW w:w="436" w:type="dxa"/>
            <w:shd w:val="clear" w:color="auto" w:fill="auto"/>
            <w:noWrap/>
            <w:vAlign w:val="center"/>
            <w:hideMark/>
          </w:tcPr>
          <w:p w14:paraId="6F04ADB7" w14:textId="77777777" w:rsidR="006C26F8" w:rsidRPr="00F14FC1" w:rsidRDefault="006C26F8" w:rsidP="00154D55">
            <w:pPr>
              <w:spacing w:after="0" w:line="276" w:lineRule="auto"/>
              <w:jc w:val="center"/>
              <w:rPr>
                <w:rFonts w:cs="Arial"/>
                <w:sz w:val="15"/>
                <w:szCs w:val="15"/>
              </w:rPr>
            </w:pPr>
            <w:r w:rsidRPr="00F14FC1">
              <w:rPr>
                <w:rFonts w:cs="Arial"/>
                <w:sz w:val="15"/>
                <w:szCs w:val="15"/>
              </w:rPr>
              <w:t>6</w:t>
            </w:r>
          </w:p>
        </w:tc>
        <w:tc>
          <w:tcPr>
            <w:tcW w:w="2107" w:type="dxa"/>
            <w:tcBorders>
              <w:right w:val="nil"/>
            </w:tcBorders>
            <w:shd w:val="clear" w:color="auto" w:fill="auto"/>
            <w:vAlign w:val="center"/>
            <w:hideMark/>
          </w:tcPr>
          <w:p w14:paraId="21893DAB" w14:textId="5C4F96D5" w:rsidR="006C26F8" w:rsidRPr="00F14FC1" w:rsidRDefault="006C26F8" w:rsidP="00154D55">
            <w:pPr>
              <w:spacing w:after="0" w:line="276" w:lineRule="auto"/>
              <w:jc w:val="left"/>
              <w:rPr>
                <w:rFonts w:cs="Arial"/>
                <w:sz w:val="15"/>
                <w:szCs w:val="15"/>
              </w:rPr>
            </w:pPr>
            <w:r w:rsidRPr="00F14FC1">
              <w:rPr>
                <w:rFonts w:cs="Arial"/>
                <w:sz w:val="15"/>
                <w:szCs w:val="15"/>
              </w:rPr>
              <w:t>Τόκοι</w:t>
            </w:r>
          </w:p>
        </w:tc>
        <w:tc>
          <w:tcPr>
            <w:tcW w:w="615" w:type="dxa"/>
            <w:tcBorders>
              <w:top w:val="nil"/>
              <w:left w:val="nil"/>
              <w:bottom w:val="nil"/>
              <w:right w:val="nil"/>
            </w:tcBorders>
            <w:shd w:val="clear" w:color="auto" w:fill="auto"/>
            <w:vAlign w:val="center"/>
          </w:tcPr>
          <w:p w14:paraId="290F8A16" w14:textId="6545FAA5" w:rsidR="006C26F8" w:rsidRPr="006C26F8" w:rsidRDefault="006C26F8" w:rsidP="00154D55">
            <w:pPr>
              <w:spacing w:after="0" w:line="276" w:lineRule="auto"/>
              <w:jc w:val="right"/>
              <w:rPr>
                <w:rFonts w:cs="Arial"/>
                <w:sz w:val="15"/>
                <w:szCs w:val="15"/>
              </w:rPr>
            </w:pPr>
            <w:r w:rsidRPr="006C26F8">
              <w:rPr>
                <w:rFonts w:cs="Arial"/>
                <w:sz w:val="15"/>
                <w:szCs w:val="15"/>
              </w:rPr>
              <w:t>1.208</w:t>
            </w:r>
          </w:p>
        </w:tc>
        <w:tc>
          <w:tcPr>
            <w:tcW w:w="716" w:type="dxa"/>
            <w:tcBorders>
              <w:top w:val="nil"/>
              <w:left w:val="nil"/>
              <w:bottom w:val="nil"/>
              <w:right w:val="nil"/>
            </w:tcBorders>
            <w:shd w:val="clear" w:color="auto" w:fill="auto"/>
            <w:vAlign w:val="center"/>
          </w:tcPr>
          <w:p w14:paraId="543133F9" w14:textId="48AD7763" w:rsidR="006C26F8" w:rsidRPr="006C26F8" w:rsidRDefault="006C26F8" w:rsidP="00154D55">
            <w:pPr>
              <w:spacing w:after="0" w:line="276" w:lineRule="auto"/>
              <w:jc w:val="right"/>
              <w:rPr>
                <w:rFonts w:cs="Arial"/>
                <w:sz w:val="15"/>
                <w:szCs w:val="15"/>
              </w:rPr>
            </w:pPr>
            <w:r w:rsidRPr="006C26F8">
              <w:rPr>
                <w:rFonts w:cs="Arial"/>
                <w:sz w:val="15"/>
                <w:szCs w:val="15"/>
              </w:rPr>
              <w:t>2.054</w:t>
            </w:r>
          </w:p>
        </w:tc>
        <w:tc>
          <w:tcPr>
            <w:tcW w:w="716" w:type="dxa"/>
            <w:tcBorders>
              <w:top w:val="nil"/>
              <w:left w:val="nil"/>
              <w:bottom w:val="nil"/>
              <w:right w:val="nil"/>
            </w:tcBorders>
            <w:shd w:val="clear" w:color="auto" w:fill="auto"/>
            <w:vAlign w:val="center"/>
          </w:tcPr>
          <w:p w14:paraId="7EA3CA52" w14:textId="41C9FCF0" w:rsidR="006C26F8" w:rsidRPr="006C26F8" w:rsidRDefault="006C26F8" w:rsidP="00154D55">
            <w:pPr>
              <w:spacing w:after="0" w:line="276" w:lineRule="auto"/>
              <w:jc w:val="right"/>
              <w:rPr>
                <w:rFonts w:cs="Arial"/>
                <w:sz w:val="15"/>
                <w:szCs w:val="15"/>
              </w:rPr>
            </w:pPr>
            <w:r w:rsidRPr="006C26F8">
              <w:rPr>
                <w:rFonts w:cs="Arial"/>
                <w:sz w:val="15"/>
                <w:szCs w:val="15"/>
              </w:rPr>
              <w:t>2.843</w:t>
            </w:r>
          </w:p>
        </w:tc>
        <w:tc>
          <w:tcPr>
            <w:tcW w:w="716" w:type="dxa"/>
            <w:tcBorders>
              <w:top w:val="nil"/>
              <w:left w:val="nil"/>
              <w:bottom w:val="nil"/>
              <w:right w:val="nil"/>
            </w:tcBorders>
            <w:shd w:val="clear" w:color="auto" w:fill="auto"/>
            <w:vAlign w:val="center"/>
          </w:tcPr>
          <w:p w14:paraId="6C959715" w14:textId="7CF95335" w:rsidR="006C26F8" w:rsidRPr="006C26F8" w:rsidRDefault="006C26F8" w:rsidP="00154D55">
            <w:pPr>
              <w:spacing w:after="0" w:line="276" w:lineRule="auto"/>
              <w:jc w:val="right"/>
              <w:rPr>
                <w:rFonts w:cs="Arial"/>
                <w:sz w:val="15"/>
                <w:szCs w:val="15"/>
              </w:rPr>
            </w:pPr>
            <w:r w:rsidRPr="006C26F8">
              <w:rPr>
                <w:rFonts w:cs="Arial"/>
                <w:sz w:val="15"/>
                <w:szCs w:val="15"/>
              </w:rPr>
              <w:t>3.207</w:t>
            </w:r>
          </w:p>
        </w:tc>
        <w:tc>
          <w:tcPr>
            <w:tcW w:w="686" w:type="dxa"/>
            <w:tcBorders>
              <w:top w:val="nil"/>
              <w:left w:val="nil"/>
              <w:bottom w:val="nil"/>
              <w:right w:val="nil"/>
            </w:tcBorders>
            <w:shd w:val="clear" w:color="auto" w:fill="auto"/>
            <w:vAlign w:val="center"/>
          </w:tcPr>
          <w:p w14:paraId="41D20507" w14:textId="03FA1829" w:rsidR="006C26F8" w:rsidRPr="006C26F8" w:rsidRDefault="006C26F8" w:rsidP="00154D55">
            <w:pPr>
              <w:spacing w:after="0" w:line="276" w:lineRule="auto"/>
              <w:jc w:val="right"/>
              <w:rPr>
                <w:rFonts w:cs="Arial"/>
                <w:sz w:val="15"/>
                <w:szCs w:val="15"/>
              </w:rPr>
            </w:pPr>
            <w:r w:rsidRPr="006C26F8">
              <w:rPr>
                <w:rFonts w:cs="Arial"/>
                <w:sz w:val="15"/>
                <w:szCs w:val="15"/>
              </w:rPr>
              <w:t>3.419</w:t>
            </w:r>
          </w:p>
        </w:tc>
        <w:tc>
          <w:tcPr>
            <w:tcW w:w="716" w:type="dxa"/>
            <w:tcBorders>
              <w:top w:val="nil"/>
              <w:left w:val="nil"/>
              <w:bottom w:val="nil"/>
              <w:right w:val="nil"/>
            </w:tcBorders>
            <w:shd w:val="clear" w:color="auto" w:fill="auto"/>
            <w:vAlign w:val="center"/>
          </w:tcPr>
          <w:p w14:paraId="3117B5E2" w14:textId="2C7D92C5" w:rsidR="006C26F8" w:rsidRPr="006C26F8" w:rsidRDefault="006C26F8" w:rsidP="00154D55">
            <w:pPr>
              <w:spacing w:after="0" w:line="276" w:lineRule="auto"/>
              <w:jc w:val="right"/>
              <w:rPr>
                <w:rFonts w:cs="Arial"/>
                <w:sz w:val="15"/>
                <w:szCs w:val="15"/>
              </w:rPr>
            </w:pPr>
            <w:r w:rsidRPr="006C26F8">
              <w:rPr>
                <w:rFonts w:cs="Arial"/>
                <w:sz w:val="15"/>
                <w:szCs w:val="15"/>
              </w:rPr>
              <w:t>5.088</w:t>
            </w:r>
          </w:p>
        </w:tc>
        <w:tc>
          <w:tcPr>
            <w:tcW w:w="716" w:type="dxa"/>
            <w:tcBorders>
              <w:top w:val="nil"/>
              <w:left w:val="nil"/>
              <w:bottom w:val="nil"/>
              <w:right w:val="nil"/>
            </w:tcBorders>
            <w:shd w:val="clear" w:color="auto" w:fill="auto"/>
            <w:vAlign w:val="center"/>
          </w:tcPr>
          <w:p w14:paraId="75A97EDB" w14:textId="68745A0B" w:rsidR="006C26F8" w:rsidRPr="006C26F8" w:rsidRDefault="006C26F8" w:rsidP="00154D55">
            <w:pPr>
              <w:spacing w:after="0" w:line="276" w:lineRule="auto"/>
              <w:jc w:val="right"/>
              <w:rPr>
                <w:rFonts w:cs="Arial"/>
                <w:sz w:val="15"/>
                <w:szCs w:val="15"/>
              </w:rPr>
            </w:pPr>
            <w:r w:rsidRPr="006C26F8">
              <w:rPr>
                <w:rFonts w:cs="Arial"/>
                <w:sz w:val="15"/>
                <w:szCs w:val="15"/>
              </w:rPr>
              <w:t>5.740</w:t>
            </w:r>
          </w:p>
        </w:tc>
        <w:tc>
          <w:tcPr>
            <w:tcW w:w="762" w:type="dxa"/>
            <w:tcBorders>
              <w:top w:val="nil"/>
              <w:left w:val="nil"/>
              <w:bottom w:val="nil"/>
              <w:right w:val="nil"/>
            </w:tcBorders>
            <w:shd w:val="clear" w:color="auto" w:fill="auto"/>
            <w:vAlign w:val="center"/>
          </w:tcPr>
          <w:p w14:paraId="02749D03" w14:textId="52AF46F7" w:rsidR="006C26F8" w:rsidRPr="006C26F8" w:rsidRDefault="006C26F8" w:rsidP="00154D55">
            <w:pPr>
              <w:spacing w:after="0" w:line="276" w:lineRule="auto"/>
              <w:jc w:val="right"/>
              <w:rPr>
                <w:rFonts w:cs="Arial"/>
                <w:sz w:val="15"/>
                <w:szCs w:val="15"/>
              </w:rPr>
            </w:pPr>
            <w:r w:rsidRPr="006C26F8">
              <w:rPr>
                <w:rFonts w:cs="Arial"/>
                <w:sz w:val="15"/>
                <w:szCs w:val="15"/>
              </w:rPr>
              <w:t>6.600</w:t>
            </w:r>
          </w:p>
        </w:tc>
        <w:tc>
          <w:tcPr>
            <w:tcW w:w="716" w:type="dxa"/>
            <w:tcBorders>
              <w:top w:val="nil"/>
              <w:left w:val="nil"/>
              <w:bottom w:val="nil"/>
              <w:right w:val="nil"/>
            </w:tcBorders>
            <w:shd w:val="clear" w:color="auto" w:fill="auto"/>
            <w:vAlign w:val="center"/>
          </w:tcPr>
          <w:p w14:paraId="4EB81C89" w14:textId="29424BF2" w:rsidR="006C26F8" w:rsidRPr="006C26F8" w:rsidRDefault="006C26F8" w:rsidP="00154D55">
            <w:pPr>
              <w:spacing w:after="0" w:line="276" w:lineRule="auto"/>
              <w:jc w:val="right"/>
              <w:rPr>
                <w:rFonts w:cs="Arial"/>
                <w:sz w:val="15"/>
                <w:szCs w:val="15"/>
              </w:rPr>
            </w:pPr>
            <w:r w:rsidRPr="006C26F8">
              <w:rPr>
                <w:rFonts w:cs="Arial"/>
                <w:sz w:val="15"/>
                <w:szCs w:val="15"/>
              </w:rPr>
              <w:t>7.026</w:t>
            </w:r>
          </w:p>
        </w:tc>
        <w:tc>
          <w:tcPr>
            <w:tcW w:w="762" w:type="dxa"/>
            <w:tcBorders>
              <w:top w:val="nil"/>
              <w:left w:val="nil"/>
              <w:bottom w:val="nil"/>
              <w:right w:val="nil"/>
            </w:tcBorders>
            <w:shd w:val="clear" w:color="auto" w:fill="auto"/>
            <w:vAlign w:val="center"/>
          </w:tcPr>
          <w:p w14:paraId="082B8034" w14:textId="6F685110" w:rsidR="006C26F8" w:rsidRPr="006C26F8" w:rsidRDefault="006C26F8" w:rsidP="00154D55">
            <w:pPr>
              <w:spacing w:after="0" w:line="276" w:lineRule="auto"/>
              <w:jc w:val="right"/>
              <w:rPr>
                <w:rFonts w:cs="Arial"/>
                <w:sz w:val="15"/>
                <w:szCs w:val="15"/>
              </w:rPr>
            </w:pPr>
            <w:r w:rsidRPr="006C26F8">
              <w:rPr>
                <w:rFonts w:cs="Arial"/>
                <w:sz w:val="15"/>
                <w:szCs w:val="15"/>
              </w:rPr>
              <w:t>7.227</w:t>
            </w:r>
          </w:p>
        </w:tc>
        <w:tc>
          <w:tcPr>
            <w:tcW w:w="716" w:type="dxa"/>
            <w:tcBorders>
              <w:top w:val="nil"/>
              <w:left w:val="nil"/>
              <w:bottom w:val="nil"/>
              <w:right w:val="nil"/>
            </w:tcBorders>
            <w:shd w:val="clear" w:color="auto" w:fill="auto"/>
            <w:vAlign w:val="center"/>
          </w:tcPr>
          <w:p w14:paraId="07E1F980" w14:textId="0FFABDF7" w:rsidR="006C26F8" w:rsidRPr="006C26F8" w:rsidRDefault="006C26F8" w:rsidP="00154D55">
            <w:pPr>
              <w:spacing w:after="0" w:line="276" w:lineRule="auto"/>
              <w:jc w:val="right"/>
              <w:rPr>
                <w:rFonts w:cs="Arial"/>
                <w:sz w:val="15"/>
                <w:szCs w:val="15"/>
              </w:rPr>
            </w:pPr>
            <w:r w:rsidRPr="006C26F8">
              <w:rPr>
                <w:rFonts w:cs="Arial"/>
                <w:sz w:val="15"/>
                <w:szCs w:val="15"/>
              </w:rPr>
              <w:t>7.485</w:t>
            </w:r>
          </w:p>
        </w:tc>
        <w:tc>
          <w:tcPr>
            <w:tcW w:w="759" w:type="dxa"/>
            <w:tcBorders>
              <w:top w:val="nil"/>
              <w:left w:val="nil"/>
              <w:bottom w:val="nil"/>
              <w:right w:val="single" w:sz="4" w:space="0" w:color="808080" w:themeColor="background1" w:themeShade="80"/>
            </w:tcBorders>
            <w:shd w:val="clear" w:color="auto" w:fill="auto"/>
            <w:vAlign w:val="center"/>
          </w:tcPr>
          <w:p w14:paraId="032D563B" w14:textId="2156569E" w:rsidR="006C26F8" w:rsidRPr="006C26F8" w:rsidRDefault="006C26F8" w:rsidP="00154D55">
            <w:pPr>
              <w:spacing w:after="0" w:line="276" w:lineRule="auto"/>
              <w:jc w:val="right"/>
              <w:rPr>
                <w:rFonts w:cs="Arial"/>
                <w:sz w:val="15"/>
                <w:szCs w:val="15"/>
              </w:rPr>
            </w:pPr>
            <w:r w:rsidRPr="006C26F8">
              <w:rPr>
                <w:rFonts w:cs="Arial"/>
                <w:sz w:val="15"/>
                <w:szCs w:val="15"/>
              </w:rPr>
              <w:t>7.917</w:t>
            </w:r>
          </w:p>
        </w:tc>
      </w:tr>
      <w:tr w:rsidR="006C26F8" w:rsidRPr="00D44B43" w14:paraId="624F9238" w14:textId="77777777" w:rsidTr="00154D55">
        <w:trPr>
          <w:cantSplit/>
          <w:jc w:val="center"/>
        </w:trPr>
        <w:tc>
          <w:tcPr>
            <w:tcW w:w="436" w:type="dxa"/>
            <w:shd w:val="clear" w:color="auto" w:fill="auto"/>
            <w:noWrap/>
            <w:vAlign w:val="center"/>
            <w:hideMark/>
          </w:tcPr>
          <w:p w14:paraId="456A4642" w14:textId="77777777" w:rsidR="006C26F8" w:rsidRPr="00F14FC1" w:rsidRDefault="006C26F8" w:rsidP="00154D55">
            <w:pPr>
              <w:spacing w:after="0" w:line="276" w:lineRule="auto"/>
              <w:jc w:val="center"/>
              <w:rPr>
                <w:rFonts w:cs="Arial"/>
                <w:sz w:val="15"/>
                <w:szCs w:val="15"/>
              </w:rPr>
            </w:pPr>
            <w:r w:rsidRPr="00F14FC1">
              <w:rPr>
                <w:rFonts w:cs="Arial"/>
                <w:sz w:val="15"/>
                <w:szCs w:val="15"/>
              </w:rPr>
              <w:t>7</w:t>
            </w:r>
          </w:p>
        </w:tc>
        <w:tc>
          <w:tcPr>
            <w:tcW w:w="2107" w:type="dxa"/>
            <w:tcBorders>
              <w:right w:val="nil"/>
            </w:tcBorders>
            <w:shd w:val="clear" w:color="auto" w:fill="auto"/>
            <w:vAlign w:val="center"/>
            <w:hideMark/>
          </w:tcPr>
          <w:p w14:paraId="19163376" w14:textId="77777777" w:rsidR="006C26F8" w:rsidRPr="00F14FC1" w:rsidRDefault="006C26F8" w:rsidP="00154D55">
            <w:pPr>
              <w:spacing w:after="0" w:line="276" w:lineRule="auto"/>
              <w:jc w:val="left"/>
              <w:rPr>
                <w:rFonts w:cs="Arial"/>
                <w:sz w:val="15"/>
                <w:szCs w:val="15"/>
              </w:rPr>
            </w:pPr>
            <w:r w:rsidRPr="00F14FC1">
              <w:rPr>
                <w:rFonts w:cs="Arial"/>
                <w:sz w:val="15"/>
                <w:szCs w:val="15"/>
              </w:rPr>
              <w:t>Λοιπές Δαπάνες</w:t>
            </w:r>
          </w:p>
        </w:tc>
        <w:tc>
          <w:tcPr>
            <w:tcW w:w="615" w:type="dxa"/>
            <w:tcBorders>
              <w:top w:val="nil"/>
              <w:left w:val="nil"/>
              <w:bottom w:val="nil"/>
              <w:right w:val="nil"/>
            </w:tcBorders>
            <w:shd w:val="clear" w:color="auto" w:fill="auto"/>
            <w:vAlign w:val="center"/>
          </w:tcPr>
          <w:p w14:paraId="03C0F569" w14:textId="0845B37C"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1C9371D2" w14:textId="7503457B"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5F82535D" w14:textId="198D6AAF" w:rsidR="006C26F8" w:rsidRPr="006C26F8" w:rsidRDefault="006C26F8" w:rsidP="00154D55">
            <w:pPr>
              <w:spacing w:after="0" w:line="276" w:lineRule="auto"/>
              <w:jc w:val="right"/>
              <w:rPr>
                <w:rFonts w:cs="Arial"/>
                <w:sz w:val="15"/>
                <w:szCs w:val="15"/>
              </w:rPr>
            </w:pPr>
            <w:r w:rsidRPr="006C26F8">
              <w:rPr>
                <w:rFonts w:cs="Arial"/>
                <w:sz w:val="15"/>
                <w:szCs w:val="15"/>
              </w:rPr>
              <w:t>1</w:t>
            </w:r>
          </w:p>
        </w:tc>
        <w:tc>
          <w:tcPr>
            <w:tcW w:w="716" w:type="dxa"/>
            <w:tcBorders>
              <w:top w:val="nil"/>
              <w:left w:val="nil"/>
              <w:bottom w:val="nil"/>
              <w:right w:val="nil"/>
            </w:tcBorders>
            <w:shd w:val="clear" w:color="auto" w:fill="auto"/>
            <w:vAlign w:val="center"/>
          </w:tcPr>
          <w:p w14:paraId="25C4FAF7" w14:textId="61427DBC" w:rsidR="006C26F8" w:rsidRPr="006C26F8" w:rsidRDefault="006C26F8" w:rsidP="00154D55">
            <w:pPr>
              <w:spacing w:after="0" w:line="276" w:lineRule="auto"/>
              <w:jc w:val="right"/>
              <w:rPr>
                <w:rFonts w:cs="Arial"/>
                <w:sz w:val="15"/>
                <w:szCs w:val="15"/>
              </w:rPr>
            </w:pPr>
            <w:r w:rsidRPr="006C26F8">
              <w:rPr>
                <w:rFonts w:cs="Arial"/>
                <w:sz w:val="15"/>
                <w:szCs w:val="15"/>
              </w:rPr>
              <w:t>1</w:t>
            </w:r>
          </w:p>
        </w:tc>
        <w:tc>
          <w:tcPr>
            <w:tcW w:w="686" w:type="dxa"/>
            <w:tcBorders>
              <w:top w:val="nil"/>
              <w:left w:val="nil"/>
              <w:bottom w:val="nil"/>
              <w:right w:val="nil"/>
            </w:tcBorders>
            <w:shd w:val="clear" w:color="auto" w:fill="auto"/>
            <w:vAlign w:val="center"/>
          </w:tcPr>
          <w:p w14:paraId="10DCA9F4" w14:textId="4EDE7E0C" w:rsidR="006C26F8" w:rsidRPr="006C26F8" w:rsidRDefault="006C26F8" w:rsidP="00154D55">
            <w:pPr>
              <w:spacing w:after="0" w:line="276" w:lineRule="auto"/>
              <w:jc w:val="right"/>
              <w:rPr>
                <w:rFonts w:cs="Arial"/>
                <w:sz w:val="15"/>
                <w:szCs w:val="15"/>
              </w:rPr>
            </w:pPr>
            <w:r w:rsidRPr="006C26F8">
              <w:rPr>
                <w:rFonts w:cs="Arial"/>
                <w:sz w:val="15"/>
                <w:szCs w:val="15"/>
              </w:rPr>
              <w:t>1</w:t>
            </w:r>
          </w:p>
        </w:tc>
        <w:tc>
          <w:tcPr>
            <w:tcW w:w="716" w:type="dxa"/>
            <w:tcBorders>
              <w:top w:val="nil"/>
              <w:left w:val="nil"/>
              <w:bottom w:val="nil"/>
              <w:right w:val="nil"/>
            </w:tcBorders>
            <w:shd w:val="clear" w:color="auto" w:fill="auto"/>
            <w:vAlign w:val="center"/>
          </w:tcPr>
          <w:p w14:paraId="7C70AF68" w14:textId="489669A7" w:rsidR="006C26F8" w:rsidRPr="006C26F8" w:rsidRDefault="006C26F8" w:rsidP="00154D55">
            <w:pPr>
              <w:spacing w:after="0" w:line="276" w:lineRule="auto"/>
              <w:jc w:val="right"/>
              <w:rPr>
                <w:rFonts w:cs="Arial"/>
                <w:sz w:val="15"/>
                <w:szCs w:val="15"/>
              </w:rPr>
            </w:pPr>
            <w:r w:rsidRPr="006C26F8">
              <w:rPr>
                <w:rFonts w:cs="Arial"/>
                <w:sz w:val="15"/>
                <w:szCs w:val="15"/>
              </w:rPr>
              <w:t>1</w:t>
            </w:r>
          </w:p>
        </w:tc>
        <w:tc>
          <w:tcPr>
            <w:tcW w:w="716" w:type="dxa"/>
            <w:tcBorders>
              <w:top w:val="nil"/>
              <w:left w:val="nil"/>
              <w:bottom w:val="nil"/>
              <w:right w:val="nil"/>
            </w:tcBorders>
            <w:shd w:val="clear" w:color="auto" w:fill="auto"/>
            <w:vAlign w:val="center"/>
          </w:tcPr>
          <w:p w14:paraId="0A062AB6" w14:textId="4D5FF699" w:rsidR="006C26F8" w:rsidRPr="006C26F8" w:rsidRDefault="006C26F8" w:rsidP="00154D55">
            <w:pPr>
              <w:spacing w:after="0" w:line="276" w:lineRule="auto"/>
              <w:jc w:val="right"/>
              <w:rPr>
                <w:rFonts w:cs="Arial"/>
                <w:sz w:val="15"/>
                <w:szCs w:val="15"/>
              </w:rPr>
            </w:pPr>
            <w:r w:rsidRPr="006C26F8">
              <w:rPr>
                <w:rFonts w:cs="Arial"/>
                <w:sz w:val="15"/>
                <w:szCs w:val="15"/>
              </w:rPr>
              <w:t>4</w:t>
            </w:r>
          </w:p>
        </w:tc>
        <w:tc>
          <w:tcPr>
            <w:tcW w:w="762" w:type="dxa"/>
            <w:tcBorders>
              <w:top w:val="nil"/>
              <w:left w:val="nil"/>
              <w:bottom w:val="nil"/>
              <w:right w:val="nil"/>
            </w:tcBorders>
            <w:shd w:val="clear" w:color="auto" w:fill="auto"/>
            <w:vAlign w:val="center"/>
          </w:tcPr>
          <w:p w14:paraId="29A13A65" w14:textId="758417A2" w:rsidR="006C26F8" w:rsidRPr="006C26F8" w:rsidRDefault="006C26F8" w:rsidP="00154D55">
            <w:pPr>
              <w:spacing w:after="0" w:line="276" w:lineRule="auto"/>
              <w:jc w:val="right"/>
              <w:rPr>
                <w:rFonts w:cs="Arial"/>
                <w:sz w:val="15"/>
                <w:szCs w:val="15"/>
              </w:rPr>
            </w:pPr>
            <w:r w:rsidRPr="006C26F8">
              <w:rPr>
                <w:rFonts w:cs="Arial"/>
                <w:sz w:val="15"/>
                <w:szCs w:val="15"/>
              </w:rPr>
              <w:t>9</w:t>
            </w:r>
          </w:p>
        </w:tc>
        <w:tc>
          <w:tcPr>
            <w:tcW w:w="716" w:type="dxa"/>
            <w:tcBorders>
              <w:top w:val="nil"/>
              <w:left w:val="nil"/>
              <w:bottom w:val="nil"/>
              <w:right w:val="nil"/>
            </w:tcBorders>
            <w:shd w:val="clear" w:color="auto" w:fill="auto"/>
            <w:vAlign w:val="center"/>
          </w:tcPr>
          <w:p w14:paraId="294A09F6" w14:textId="678B89B3" w:rsidR="006C26F8" w:rsidRPr="006C26F8" w:rsidRDefault="006C26F8" w:rsidP="00154D55">
            <w:pPr>
              <w:spacing w:after="0" w:line="276" w:lineRule="auto"/>
              <w:jc w:val="right"/>
              <w:rPr>
                <w:rFonts w:cs="Arial"/>
                <w:sz w:val="15"/>
                <w:szCs w:val="15"/>
              </w:rPr>
            </w:pPr>
            <w:r w:rsidRPr="006C26F8">
              <w:rPr>
                <w:rFonts w:cs="Arial"/>
                <w:sz w:val="15"/>
                <w:szCs w:val="15"/>
              </w:rPr>
              <w:t>10</w:t>
            </w:r>
          </w:p>
        </w:tc>
        <w:tc>
          <w:tcPr>
            <w:tcW w:w="762" w:type="dxa"/>
            <w:tcBorders>
              <w:top w:val="nil"/>
              <w:left w:val="nil"/>
              <w:bottom w:val="nil"/>
              <w:right w:val="nil"/>
            </w:tcBorders>
            <w:shd w:val="clear" w:color="auto" w:fill="auto"/>
            <w:vAlign w:val="center"/>
          </w:tcPr>
          <w:p w14:paraId="186CF0F8" w14:textId="6F2E8EF0" w:rsidR="006C26F8" w:rsidRPr="006C26F8" w:rsidRDefault="006C26F8" w:rsidP="00154D55">
            <w:pPr>
              <w:spacing w:after="0" w:line="276" w:lineRule="auto"/>
              <w:jc w:val="right"/>
              <w:rPr>
                <w:rFonts w:cs="Arial"/>
                <w:sz w:val="15"/>
                <w:szCs w:val="15"/>
              </w:rPr>
            </w:pPr>
            <w:r w:rsidRPr="006C26F8">
              <w:rPr>
                <w:rFonts w:cs="Arial"/>
                <w:sz w:val="15"/>
                <w:szCs w:val="15"/>
              </w:rPr>
              <w:t>23</w:t>
            </w:r>
          </w:p>
        </w:tc>
        <w:tc>
          <w:tcPr>
            <w:tcW w:w="716" w:type="dxa"/>
            <w:tcBorders>
              <w:top w:val="nil"/>
              <w:left w:val="nil"/>
              <w:bottom w:val="nil"/>
              <w:right w:val="nil"/>
            </w:tcBorders>
            <w:shd w:val="clear" w:color="auto" w:fill="auto"/>
            <w:vAlign w:val="center"/>
          </w:tcPr>
          <w:p w14:paraId="26652254" w14:textId="682E7124" w:rsidR="006C26F8" w:rsidRPr="006C26F8" w:rsidRDefault="006C26F8" w:rsidP="00154D55">
            <w:pPr>
              <w:spacing w:after="0" w:line="276" w:lineRule="auto"/>
              <w:jc w:val="right"/>
              <w:rPr>
                <w:rFonts w:cs="Arial"/>
                <w:sz w:val="15"/>
                <w:szCs w:val="15"/>
              </w:rPr>
            </w:pPr>
            <w:r w:rsidRPr="006C26F8">
              <w:rPr>
                <w:rFonts w:cs="Arial"/>
                <w:sz w:val="15"/>
                <w:szCs w:val="15"/>
              </w:rPr>
              <w:t>38</w:t>
            </w:r>
          </w:p>
        </w:tc>
        <w:tc>
          <w:tcPr>
            <w:tcW w:w="759" w:type="dxa"/>
            <w:tcBorders>
              <w:top w:val="nil"/>
              <w:left w:val="nil"/>
              <w:bottom w:val="nil"/>
              <w:right w:val="single" w:sz="4" w:space="0" w:color="808080" w:themeColor="background1" w:themeShade="80"/>
            </w:tcBorders>
            <w:shd w:val="clear" w:color="auto" w:fill="auto"/>
            <w:vAlign w:val="center"/>
          </w:tcPr>
          <w:p w14:paraId="10E2A7E4" w14:textId="58B757E8" w:rsidR="006C26F8" w:rsidRPr="006C26F8" w:rsidRDefault="006C26F8" w:rsidP="00154D55">
            <w:pPr>
              <w:spacing w:after="0" w:line="276" w:lineRule="auto"/>
              <w:jc w:val="right"/>
              <w:rPr>
                <w:rFonts w:cs="Arial"/>
                <w:sz w:val="15"/>
                <w:szCs w:val="15"/>
              </w:rPr>
            </w:pPr>
            <w:r w:rsidRPr="006C26F8">
              <w:rPr>
                <w:rFonts w:cs="Arial"/>
                <w:sz w:val="15"/>
                <w:szCs w:val="15"/>
              </w:rPr>
              <w:t>101</w:t>
            </w:r>
          </w:p>
        </w:tc>
      </w:tr>
      <w:tr w:rsidR="006C26F8" w:rsidRPr="00D44B43" w14:paraId="6C5D4E6F" w14:textId="77777777" w:rsidTr="00154D55">
        <w:trPr>
          <w:cantSplit/>
          <w:jc w:val="center"/>
        </w:trPr>
        <w:tc>
          <w:tcPr>
            <w:tcW w:w="436" w:type="dxa"/>
            <w:shd w:val="clear" w:color="auto" w:fill="auto"/>
            <w:noWrap/>
            <w:vAlign w:val="center"/>
            <w:hideMark/>
          </w:tcPr>
          <w:p w14:paraId="21A9579F" w14:textId="77777777" w:rsidR="006C26F8" w:rsidRPr="00F14FC1" w:rsidRDefault="006C26F8" w:rsidP="00154D55">
            <w:pPr>
              <w:spacing w:after="0" w:line="276" w:lineRule="auto"/>
              <w:jc w:val="center"/>
              <w:rPr>
                <w:rFonts w:cs="Arial"/>
                <w:sz w:val="15"/>
                <w:szCs w:val="15"/>
              </w:rPr>
            </w:pPr>
            <w:r w:rsidRPr="00F14FC1">
              <w:rPr>
                <w:rFonts w:cs="Arial"/>
                <w:sz w:val="15"/>
                <w:szCs w:val="15"/>
              </w:rPr>
              <w:t>8</w:t>
            </w:r>
          </w:p>
        </w:tc>
        <w:tc>
          <w:tcPr>
            <w:tcW w:w="2107" w:type="dxa"/>
            <w:tcBorders>
              <w:right w:val="nil"/>
            </w:tcBorders>
            <w:shd w:val="clear" w:color="auto" w:fill="auto"/>
            <w:vAlign w:val="center"/>
            <w:hideMark/>
          </w:tcPr>
          <w:p w14:paraId="78932A1A" w14:textId="77777777" w:rsidR="006C26F8" w:rsidRPr="00F14FC1" w:rsidRDefault="006C26F8" w:rsidP="00154D55">
            <w:pPr>
              <w:spacing w:after="0" w:line="276" w:lineRule="auto"/>
              <w:jc w:val="left"/>
              <w:rPr>
                <w:rFonts w:cs="Arial"/>
                <w:sz w:val="15"/>
                <w:szCs w:val="15"/>
                <w:vertAlign w:val="superscript"/>
              </w:rPr>
            </w:pPr>
            <w:r w:rsidRPr="00F14FC1">
              <w:rPr>
                <w:rFonts w:cs="Arial"/>
                <w:sz w:val="15"/>
                <w:szCs w:val="15"/>
              </w:rPr>
              <w:t>Πιστώσεις υπό κατανομή</w:t>
            </w:r>
            <w:r w:rsidRPr="00F14FC1">
              <w:rPr>
                <w:rFonts w:cs="Arial"/>
                <w:sz w:val="15"/>
                <w:szCs w:val="15"/>
                <w:vertAlign w:val="superscript"/>
              </w:rPr>
              <w:t>1, 2</w:t>
            </w:r>
          </w:p>
        </w:tc>
        <w:tc>
          <w:tcPr>
            <w:tcW w:w="615" w:type="dxa"/>
            <w:tcBorders>
              <w:top w:val="nil"/>
              <w:left w:val="nil"/>
              <w:bottom w:val="nil"/>
              <w:right w:val="nil"/>
            </w:tcBorders>
            <w:shd w:val="clear" w:color="auto" w:fill="auto"/>
            <w:vAlign w:val="center"/>
          </w:tcPr>
          <w:p w14:paraId="40C32241" w14:textId="0CB4335B" w:rsidR="006C26F8" w:rsidRPr="006C26F8" w:rsidRDefault="006C26F8" w:rsidP="00154D55">
            <w:pPr>
              <w:spacing w:after="0" w:line="276" w:lineRule="auto"/>
              <w:jc w:val="right"/>
              <w:rPr>
                <w:rFonts w:cs="Arial"/>
                <w:sz w:val="15"/>
                <w:szCs w:val="15"/>
              </w:rPr>
            </w:pPr>
            <w:r w:rsidRPr="006C26F8">
              <w:rPr>
                <w:rFonts w:cs="Arial"/>
                <w:sz w:val="15"/>
                <w:szCs w:val="15"/>
              </w:rPr>
              <w:t>889</w:t>
            </w:r>
          </w:p>
        </w:tc>
        <w:tc>
          <w:tcPr>
            <w:tcW w:w="716" w:type="dxa"/>
            <w:tcBorders>
              <w:top w:val="nil"/>
              <w:left w:val="nil"/>
              <w:bottom w:val="nil"/>
              <w:right w:val="nil"/>
            </w:tcBorders>
            <w:shd w:val="clear" w:color="auto" w:fill="auto"/>
            <w:vAlign w:val="center"/>
          </w:tcPr>
          <w:p w14:paraId="1905E65E" w14:textId="7822D5E3" w:rsidR="006C26F8" w:rsidRPr="006C26F8" w:rsidRDefault="006C26F8" w:rsidP="00154D55">
            <w:pPr>
              <w:spacing w:after="0" w:line="276" w:lineRule="auto"/>
              <w:jc w:val="right"/>
              <w:rPr>
                <w:rFonts w:cs="Arial"/>
                <w:sz w:val="15"/>
                <w:szCs w:val="15"/>
              </w:rPr>
            </w:pPr>
            <w:r w:rsidRPr="006C26F8">
              <w:rPr>
                <w:rFonts w:cs="Arial"/>
                <w:sz w:val="15"/>
                <w:szCs w:val="15"/>
              </w:rPr>
              <w:t>2.081</w:t>
            </w:r>
          </w:p>
        </w:tc>
        <w:tc>
          <w:tcPr>
            <w:tcW w:w="716" w:type="dxa"/>
            <w:tcBorders>
              <w:top w:val="nil"/>
              <w:left w:val="nil"/>
              <w:bottom w:val="nil"/>
              <w:right w:val="nil"/>
            </w:tcBorders>
            <w:shd w:val="clear" w:color="auto" w:fill="auto"/>
            <w:vAlign w:val="center"/>
          </w:tcPr>
          <w:p w14:paraId="126353F5" w14:textId="6B746FA1" w:rsidR="006C26F8" w:rsidRPr="006C26F8" w:rsidRDefault="006C26F8" w:rsidP="00154D55">
            <w:pPr>
              <w:spacing w:after="0" w:line="276" w:lineRule="auto"/>
              <w:jc w:val="right"/>
              <w:rPr>
                <w:rFonts w:cs="Arial"/>
                <w:sz w:val="15"/>
                <w:szCs w:val="15"/>
              </w:rPr>
            </w:pPr>
            <w:r w:rsidRPr="006C26F8">
              <w:rPr>
                <w:rFonts w:cs="Arial"/>
                <w:sz w:val="15"/>
                <w:szCs w:val="15"/>
              </w:rPr>
              <w:t>2.975</w:t>
            </w:r>
          </w:p>
        </w:tc>
        <w:tc>
          <w:tcPr>
            <w:tcW w:w="716" w:type="dxa"/>
            <w:tcBorders>
              <w:top w:val="nil"/>
              <w:left w:val="nil"/>
              <w:bottom w:val="nil"/>
              <w:right w:val="nil"/>
            </w:tcBorders>
            <w:shd w:val="clear" w:color="auto" w:fill="auto"/>
            <w:vAlign w:val="center"/>
          </w:tcPr>
          <w:p w14:paraId="07988D23" w14:textId="6CEB7197" w:rsidR="006C26F8" w:rsidRPr="006C26F8" w:rsidRDefault="006C26F8" w:rsidP="00154D55">
            <w:pPr>
              <w:spacing w:after="0" w:line="276" w:lineRule="auto"/>
              <w:jc w:val="right"/>
              <w:rPr>
                <w:rFonts w:cs="Arial"/>
                <w:sz w:val="15"/>
                <w:szCs w:val="15"/>
              </w:rPr>
            </w:pPr>
            <w:r w:rsidRPr="006C26F8">
              <w:rPr>
                <w:rFonts w:cs="Arial"/>
                <w:sz w:val="15"/>
                <w:szCs w:val="15"/>
              </w:rPr>
              <w:t>4.237</w:t>
            </w:r>
          </w:p>
        </w:tc>
        <w:tc>
          <w:tcPr>
            <w:tcW w:w="686" w:type="dxa"/>
            <w:tcBorders>
              <w:top w:val="nil"/>
              <w:left w:val="nil"/>
              <w:bottom w:val="nil"/>
              <w:right w:val="nil"/>
            </w:tcBorders>
            <w:shd w:val="clear" w:color="auto" w:fill="auto"/>
            <w:vAlign w:val="center"/>
          </w:tcPr>
          <w:p w14:paraId="026B34DC" w14:textId="1F71A2AC" w:rsidR="006C26F8" w:rsidRPr="006C26F8" w:rsidRDefault="006C26F8" w:rsidP="00154D55">
            <w:pPr>
              <w:spacing w:after="0" w:line="276" w:lineRule="auto"/>
              <w:jc w:val="right"/>
              <w:rPr>
                <w:rFonts w:cs="Arial"/>
                <w:sz w:val="15"/>
                <w:szCs w:val="15"/>
              </w:rPr>
            </w:pPr>
            <w:r w:rsidRPr="006C26F8">
              <w:rPr>
                <w:rFonts w:cs="Arial"/>
                <w:sz w:val="15"/>
                <w:szCs w:val="15"/>
              </w:rPr>
              <w:t>5.476</w:t>
            </w:r>
          </w:p>
        </w:tc>
        <w:tc>
          <w:tcPr>
            <w:tcW w:w="716" w:type="dxa"/>
            <w:tcBorders>
              <w:top w:val="nil"/>
              <w:left w:val="nil"/>
              <w:bottom w:val="nil"/>
              <w:right w:val="nil"/>
            </w:tcBorders>
            <w:shd w:val="clear" w:color="auto" w:fill="auto"/>
            <w:vAlign w:val="center"/>
          </w:tcPr>
          <w:p w14:paraId="65D797CA" w14:textId="657A5ADA" w:rsidR="006C26F8" w:rsidRPr="006C26F8" w:rsidRDefault="006C26F8" w:rsidP="00154D55">
            <w:pPr>
              <w:spacing w:after="0" w:line="276" w:lineRule="auto"/>
              <w:jc w:val="right"/>
              <w:rPr>
                <w:rFonts w:cs="Arial"/>
                <w:sz w:val="15"/>
                <w:szCs w:val="15"/>
              </w:rPr>
            </w:pPr>
            <w:r w:rsidRPr="006C26F8">
              <w:rPr>
                <w:rFonts w:cs="Arial"/>
                <w:sz w:val="15"/>
                <w:szCs w:val="15"/>
              </w:rPr>
              <w:t>6.937</w:t>
            </w:r>
          </w:p>
        </w:tc>
        <w:tc>
          <w:tcPr>
            <w:tcW w:w="716" w:type="dxa"/>
            <w:tcBorders>
              <w:top w:val="nil"/>
              <w:left w:val="nil"/>
              <w:bottom w:val="nil"/>
              <w:right w:val="nil"/>
            </w:tcBorders>
            <w:shd w:val="clear" w:color="auto" w:fill="auto"/>
            <w:vAlign w:val="center"/>
          </w:tcPr>
          <w:p w14:paraId="1AE6FF3F" w14:textId="21FC4A25" w:rsidR="006C26F8" w:rsidRPr="006C26F8" w:rsidRDefault="006C26F8" w:rsidP="00154D55">
            <w:pPr>
              <w:spacing w:after="0" w:line="276" w:lineRule="auto"/>
              <w:jc w:val="right"/>
              <w:rPr>
                <w:rFonts w:cs="Arial"/>
                <w:sz w:val="15"/>
                <w:szCs w:val="15"/>
              </w:rPr>
            </w:pPr>
            <w:r w:rsidRPr="006C26F8">
              <w:rPr>
                <w:rFonts w:cs="Arial"/>
                <w:sz w:val="15"/>
                <w:szCs w:val="15"/>
              </w:rPr>
              <w:t>8.210</w:t>
            </w:r>
          </w:p>
        </w:tc>
        <w:tc>
          <w:tcPr>
            <w:tcW w:w="762" w:type="dxa"/>
            <w:tcBorders>
              <w:top w:val="nil"/>
              <w:left w:val="nil"/>
              <w:bottom w:val="nil"/>
              <w:right w:val="nil"/>
            </w:tcBorders>
            <w:shd w:val="clear" w:color="auto" w:fill="auto"/>
            <w:vAlign w:val="center"/>
          </w:tcPr>
          <w:p w14:paraId="2ADADCB8" w14:textId="66B524F6" w:rsidR="006C26F8" w:rsidRPr="006C26F8" w:rsidRDefault="006C26F8" w:rsidP="00154D55">
            <w:pPr>
              <w:spacing w:after="0" w:line="276" w:lineRule="auto"/>
              <w:jc w:val="right"/>
              <w:rPr>
                <w:rFonts w:cs="Arial"/>
                <w:sz w:val="15"/>
                <w:szCs w:val="15"/>
              </w:rPr>
            </w:pPr>
            <w:r w:rsidRPr="006C26F8">
              <w:rPr>
                <w:rFonts w:cs="Arial"/>
                <w:sz w:val="15"/>
                <w:szCs w:val="15"/>
              </w:rPr>
              <w:t>9.387</w:t>
            </w:r>
          </w:p>
        </w:tc>
        <w:tc>
          <w:tcPr>
            <w:tcW w:w="716" w:type="dxa"/>
            <w:tcBorders>
              <w:top w:val="nil"/>
              <w:left w:val="nil"/>
              <w:bottom w:val="nil"/>
              <w:right w:val="nil"/>
            </w:tcBorders>
            <w:shd w:val="clear" w:color="auto" w:fill="auto"/>
            <w:vAlign w:val="center"/>
          </w:tcPr>
          <w:p w14:paraId="2952479A" w14:textId="4E57E20F" w:rsidR="006C26F8" w:rsidRPr="006C26F8" w:rsidRDefault="006C26F8" w:rsidP="00154D55">
            <w:pPr>
              <w:spacing w:after="0" w:line="276" w:lineRule="auto"/>
              <w:jc w:val="right"/>
              <w:rPr>
                <w:rFonts w:cs="Arial"/>
                <w:sz w:val="15"/>
                <w:szCs w:val="15"/>
              </w:rPr>
            </w:pPr>
            <w:r w:rsidRPr="006C26F8">
              <w:rPr>
                <w:rFonts w:cs="Arial"/>
                <w:sz w:val="15"/>
                <w:szCs w:val="15"/>
              </w:rPr>
              <w:t>10.786</w:t>
            </w:r>
          </w:p>
        </w:tc>
        <w:tc>
          <w:tcPr>
            <w:tcW w:w="762" w:type="dxa"/>
            <w:tcBorders>
              <w:top w:val="nil"/>
              <w:left w:val="nil"/>
              <w:bottom w:val="nil"/>
              <w:right w:val="nil"/>
            </w:tcBorders>
            <w:shd w:val="clear" w:color="auto" w:fill="auto"/>
            <w:vAlign w:val="center"/>
          </w:tcPr>
          <w:p w14:paraId="5491A0BB" w14:textId="1C883A7C" w:rsidR="006C26F8" w:rsidRPr="006C26F8" w:rsidRDefault="006C26F8" w:rsidP="00154D55">
            <w:pPr>
              <w:spacing w:after="0" w:line="276" w:lineRule="auto"/>
              <w:jc w:val="right"/>
              <w:rPr>
                <w:rFonts w:cs="Arial"/>
                <w:sz w:val="15"/>
                <w:szCs w:val="15"/>
              </w:rPr>
            </w:pPr>
            <w:r w:rsidRPr="006C26F8">
              <w:rPr>
                <w:rFonts w:cs="Arial"/>
                <w:sz w:val="15"/>
                <w:szCs w:val="15"/>
              </w:rPr>
              <w:t>12.532</w:t>
            </w:r>
          </w:p>
        </w:tc>
        <w:tc>
          <w:tcPr>
            <w:tcW w:w="716" w:type="dxa"/>
            <w:tcBorders>
              <w:top w:val="nil"/>
              <w:left w:val="nil"/>
              <w:bottom w:val="nil"/>
              <w:right w:val="nil"/>
            </w:tcBorders>
            <w:shd w:val="clear" w:color="auto" w:fill="auto"/>
            <w:vAlign w:val="center"/>
          </w:tcPr>
          <w:p w14:paraId="71D01234" w14:textId="31386324" w:rsidR="006C26F8" w:rsidRPr="006C26F8" w:rsidRDefault="006C26F8" w:rsidP="00154D55">
            <w:pPr>
              <w:spacing w:after="0" w:line="276" w:lineRule="auto"/>
              <w:jc w:val="right"/>
              <w:rPr>
                <w:rFonts w:cs="Arial"/>
                <w:sz w:val="15"/>
                <w:szCs w:val="15"/>
              </w:rPr>
            </w:pPr>
            <w:r w:rsidRPr="006C26F8">
              <w:rPr>
                <w:rFonts w:cs="Arial"/>
                <w:sz w:val="15"/>
                <w:szCs w:val="15"/>
              </w:rPr>
              <w:t>14.726</w:t>
            </w:r>
          </w:p>
        </w:tc>
        <w:tc>
          <w:tcPr>
            <w:tcW w:w="759" w:type="dxa"/>
            <w:tcBorders>
              <w:top w:val="nil"/>
              <w:left w:val="nil"/>
              <w:bottom w:val="nil"/>
              <w:right w:val="single" w:sz="4" w:space="0" w:color="808080" w:themeColor="background1" w:themeShade="80"/>
            </w:tcBorders>
            <w:shd w:val="clear" w:color="auto" w:fill="auto"/>
            <w:vAlign w:val="center"/>
          </w:tcPr>
          <w:p w14:paraId="565740C9" w14:textId="5B40297A" w:rsidR="006C26F8" w:rsidRPr="006C26F8" w:rsidRDefault="006C26F8" w:rsidP="00154D55">
            <w:pPr>
              <w:spacing w:after="0" w:line="276" w:lineRule="auto"/>
              <w:jc w:val="right"/>
              <w:rPr>
                <w:rFonts w:cs="Arial"/>
                <w:sz w:val="15"/>
                <w:szCs w:val="15"/>
              </w:rPr>
            </w:pPr>
            <w:r w:rsidRPr="006C26F8">
              <w:rPr>
                <w:rFonts w:cs="Arial"/>
                <w:sz w:val="15"/>
                <w:szCs w:val="15"/>
              </w:rPr>
              <w:t>19.989</w:t>
            </w:r>
          </w:p>
        </w:tc>
      </w:tr>
      <w:tr w:rsidR="006C26F8" w:rsidRPr="00D44B43" w14:paraId="4D7BC698" w14:textId="77777777" w:rsidTr="00154D55">
        <w:trPr>
          <w:cantSplit/>
          <w:jc w:val="center"/>
        </w:trPr>
        <w:tc>
          <w:tcPr>
            <w:tcW w:w="436" w:type="dxa"/>
            <w:shd w:val="clear" w:color="auto" w:fill="auto"/>
            <w:noWrap/>
            <w:vAlign w:val="center"/>
            <w:hideMark/>
          </w:tcPr>
          <w:p w14:paraId="5296FC59" w14:textId="77777777" w:rsidR="006C26F8" w:rsidRPr="00F14FC1" w:rsidRDefault="006C26F8" w:rsidP="00154D55">
            <w:pPr>
              <w:spacing w:after="0" w:line="276" w:lineRule="auto"/>
              <w:jc w:val="center"/>
              <w:rPr>
                <w:rFonts w:cs="Arial"/>
                <w:sz w:val="15"/>
                <w:szCs w:val="15"/>
              </w:rPr>
            </w:pPr>
            <w:r w:rsidRPr="00F14FC1">
              <w:rPr>
                <w:rFonts w:cs="Arial"/>
                <w:sz w:val="15"/>
                <w:szCs w:val="15"/>
              </w:rPr>
              <w:t>9</w:t>
            </w:r>
          </w:p>
        </w:tc>
        <w:tc>
          <w:tcPr>
            <w:tcW w:w="2107" w:type="dxa"/>
            <w:tcBorders>
              <w:right w:val="nil"/>
            </w:tcBorders>
            <w:shd w:val="clear" w:color="auto" w:fill="auto"/>
            <w:vAlign w:val="center"/>
            <w:hideMark/>
          </w:tcPr>
          <w:p w14:paraId="055BBE46" w14:textId="5EEDD5FC" w:rsidR="006C26F8" w:rsidRPr="00F14FC1" w:rsidRDefault="006C26F8" w:rsidP="00154D55">
            <w:pPr>
              <w:spacing w:after="0" w:line="276" w:lineRule="auto"/>
              <w:jc w:val="left"/>
              <w:rPr>
                <w:rFonts w:cs="Arial"/>
                <w:sz w:val="15"/>
                <w:szCs w:val="15"/>
              </w:rPr>
            </w:pPr>
            <w:r w:rsidRPr="00F14FC1">
              <w:rPr>
                <w:rFonts w:cs="Arial"/>
                <w:sz w:val="15"/>
                <w:szCs w:val="15"/>
              </w:rPr>
              <w:t>Αγορές π</w:t>
            </w:r>
            <w:r w:rsidR="009E6DB3">
              <w:rPr>
                <w:rFonts w:cs="Arial"/>
                <w:sz w:val="15"/>
                <w:szCs w:val="15"/>
              </w:rPr>
              <w:t>α</w:t>
            </w:r>
            <w:r w:rsidRPr="00F14FC1">
              <w:rPr>
                <w:rFonts w:cs="Arial"/>
                <w:sz w:val="15"/>
                <w:szCs w:val="15"/>
              </w:rPr>
              <w:t>γ</w:t>
            </w:r>
            <w:r w:rsidR="009E6DB3">
              <w:rPr>
                <w:rFonts w:cs="Arial"/>
                <w:sz w:val="15"/>
                <w:szCs w:val="15"/>
              </w:rPr>
              <w:t>ί</w:t>
            </w:r>
            <w:r w:rsidRPr="00F14FC1">
              <w:rPr>
                <w:rFonts w:cs="Arial"/>
                <w:sz w:val="15"/>
                <w:szCs w:val="15"/>
              </w:rPr>
              <w:t>ων περιουσιακών στοιχείων</w:t>
            </w:r>
          </w:p>
        </w:tc>
        <w:tc>
          <w:tcPr>
            <w:tcW w:w="615" w:type="dxa"/>
            <w:tcBorders>
              <w:top w:val="nil"/>
              <w:left w:val="nil"/>
              <w:bottom w:val="nil"/>
              <w:right w:val="nil"/>
            </w:tcBorders>
            <w:shd w:val="clear" w:color="auto" w:fill="auto"/>
            <w:vAlign w:val="center"/>
          </w:tcPr>
          <w:p w14:paraId="2B9F3209" w14:textId="47841F83" w:rsidR="006C26F8" w:rsidRPr="006C26F8" w:rsidRDefault="006C26F8" w:rsidP="00154D55">
            <w:pPr>
              <w:spacing w:after="0" w:line="276" w:lineRule="auto"/>
              <w:jc w:val="right"/>
              <w:rPr>
                <w:rFonts w:cs="Arial"/>
                <w:sz w:val="15"/>
                <w:szCs w:val="15"/>
              </w:rPr>
            </w:pPr>
            <w:r w:rsidRPr="006C26F8">
              <w:rPr>
                <w:rFonts w:cs="Arial"/>
                <w:sz w:val="15"/>
                <w:szCs w:val="15"/>
              </w:rPr>
              <w:t>57</w:t>
            </w:r>
          </w:p>
        </w:tc>
        <w:tc>
          <w:tcPr>
            <w:tcW w:w="716" w:type="dxa"/>
            <w:tcBorders>
              <w:top w:val="nil"/>
              <w:left w:val="nil"/>
              <w:bottom w:val="nil"/>
              <w:right w:val="nil"/>
            </w:tcBorders>
            <w:shd w:val="clear" w:color="auto" w:fill="auto"/>
            <w:vAlign w:val="center"/>
          </w:tcPr>
          <w:p w14:paraId="154F5C5D" w14:textId="32B9B789" w:rsidR="006C26F8" w:rsidRPr="006C26F8" w:rsidRDefault="006C26F8" w:rsidP="00154D55">
            <w:pPr>
              <w:spacing w:after="0" w:line="276" w:lineRule="auto"/>
              <w:jc w:val="right"/>
              <w:rPr>
                <w:rFonts w:cs="Arial"/>
                <w:sz w:val="15"/>
                <w:szCs w:val="15"/>
              </w:rPr>
            </w:pPr>
            <w:r w:rsidRPr="006C26F8">
              <w:rPr>
                <w:rFonts w:cs="Arial"/>
                <w:sz w:val="15"/>
                <w:szCs w:val="15"/>
              </w:rPr>
              <w:t>192</w:t>
            </w:r>
          </w:p>
        </w:tc>
        <w:tc>
          <w:tcPr>
            <w:tcW w:w="716" w:type="dxa"/>
            <w:tcBorders>
              <w:top w:val="nil"/>
              <w:left w:val="nil"/>
              <w:bottom w:val="nil"/>
              <w:right w:val="nil"/>
            </w:tcBorders>
            <w:shd w:val="clear" w:color="auto" w:fill="auto"/>
            <w:vAlign w:val="center"/>
          </w:tcPr>
          <w:p w14:paraId="20970E24" w14:textId="19C2DF89" w:rsidR="006C26F8" w:rsidRPr="006C26F8" w:rsidRDefault="006C26F8" w:rsidP="00154D55">
            <w:pPr>
              <w:spacing w:after="0" w:line="276" w:lineRule="auto"/>
              <w:jc w:val="right"/>
              <w:rPr>
                <w:rFonts w:cs="Arial"/>
                <w:sz w:val="15"/>
                <w:szCs w:val="15"/>
              </w:rPr>
            </w:pPr>
            <w:r w:rsidRPr="006C26F8">
              <w:rPr>
                <w:rFonts w:cs="Arial"/>
                <w:sz w:val="15"/>
                <w:szCs w:val="15"/>
              </w:rPr>
              <w:t>324</w:t>
            </w:r>
          </w:p>
        </w:tc>
        <w:tc>
          <w:tcPr>
            <w:tcW w:w="716" w:type="dxa"/>
            <w:tcBorders>
              <w:top w:val="nil"/>
              <w:left w:val="nil"/>
              <w:bottom w:val="nil"/>
              <w:right w:val="nil"/>
            </w:tcBorders>
            <w:shd w:val="clear" w:color="auto" w:fill="auto"/>
            <w:vAlign w:val="center"/>
          </w:tcPr>
          <w:p w14:paraId="5E0630F3" w14:textId="6406394C" w:rsidR="006C26F8" w:rsidRPr="006C26F8" w:rsidRDefault="006C26F8" w:rsidP="00154D55">
            <w:pPr>
              <w:spacing w:after="0" w:line="276" w:lineRule="auto"/>
              <w:jc w:val="right"/>
              <w:rPr>
                <w:rFonts w:cs="Arial"/>
                <w:sz w:val="15"/>
                <w:szCs w:val="15"/>
              </w:rPr>
            </w:pPr>
            <w:r w:rsidRPr="006C26F8">
              <w:rPr>
                <w:rFonts w:cs="Arial"/>
                <w:sz w:val="15"/>
                <w:szCs w:val="15"/>
              </w:rPr>
              <w:t>510</w:t>
            </w:r>
          </w:p>
        </w:tc>
        <w:tc>
          <w:tcPr>
            <w:tcW w:w="686" w:type="dxa"/>
            <w:tcBorders>
              <w:top w:val="nil"/>
              <w:left w:val="nil"/>
              <w:bottom w:val="nil"/>
              <w:right w:val="nil"/>
            </w:tcBorders>
            <w:shd w:val="clear" w:color="auto" w:fill="auto"/>
            <w:vAlign w:val="center"/>
          </w:tcPr>
          <w:p w14:paraId="2E90CB1F" w14:textId="5DD11118" w:rsidR="006C26F8" w:rsidRPr="006C26F8" w:rsidRDefault="006C26F8" w:rsidP="00154D55">
            <w:pPr>
              <w:spacing w:after="0" w:line="276" w:lineRule="auto"/>
              <w:jc w:val="right"/>
              <w:rPr>
                <w:rFonts w:cs="Arial"/>
                <w:sz w:val="15"/>
                <w:szCs w:val="15"/>
              </w:rPr>
            </w:pPr>
            <w:r w:rsidRPr="006C26F8">
              <w:rPr>
                <w:rFonts w:cs="Arial"/>
                <w:sz w:val="15"/>
                <w:szCs w:val="15"/>
              </w:rPr>
              <w:t>647</w:t>
            </w:r>
          </w:p>
        </w:tc>
        <w:tc>
          <w:tcPr>
            <w:tcW w:w="716" w:type="dxa"/>
            <w:tcBorders>
              <w:top w:val="nil"/>
              <w:left w:val="nil"/>
              <w:bottom w:val="nil"/>
              <w:right w:val="nil"/>
            </w:tcBorders>
            <w:shd w:val="clear" w:color="auto" w:fill="auto"/>
            <w:vAlign w:val="center"/>
          </w:tcPr>
          <w:p w14:paraId="03CD2CDF" w14:textId="3889A28E" w:rsidR="006C26F8" w:rsidRPr="006C26F8" w:rsidRDefault="006C26F8" w:rsidP="00154D55">
            <w:pPr>
              <w:spacing w:after="0" w:line="276" w:lineRule="auto"/>
              <w:jc w:val="right"/>
              <w:rPr>
                <w:rFonts w:cs="Arial"/>
                <w:sz w:val="15"/>
                <w:szCs w:val="15"/>
              </w:rPr>
            </w:pPr>
            <w:r w:rsidRPr="006C26F8">
              <w:rPr>
                <w:rFonts w:cs="Arial"/>
                <w:sz w:val="15"/>
                <w:szCs w:val="15"/>
              </w:rPr>
              <w:t>834</w:t>
            </w:r>
          </w:p>
        </w:tc>
        <w:tc>
          <w:tcPr>
            <w:tcW w:w="716" w:type="dxa"/>
            <w:tcBorders>
              <w:top w:val="nil"/>
              <w:left w:val="nil"/>
              <w:bottom w:val="nil"/>
              <w:right w:val="nil"/>
            </w:tcBorders>
            <w:shd w:val="clear" w:color="auto" w:fill="auto"/>
            <w:vAlign w:val="center"/>
          </w:tcPr>
          <w:p w14:paraId="713F1ADC" w14:textId="132DFD73" w:rsidR="006C26F8" w:rsidRPr="006C26F8" w:rsidRDefault="006C26F8" w:rsidP="00154D55">
            <w:pPr>
              <w:spacing w:after="0" w:line="276" w:lineRule="auto"/>
              <w:jc w:val="right"/>
              <w:rPr>
                <w:rFonts w:cs="Arial"/>
                <w:sz w:val="15"/>
                <w:szCs w:val="15"/>
              </w:rPr>
            </w:pPr>
            <w:r w:rsidRPr="006C26F8">
              <w:rPr>
                <w:rFonts w:cs="Arial"/>
                <w:sz w:val="15"/>
                <w:szCs w:val="15"/>
              </w:rPr>
              <w:t>1.005</w:t>
            </w:r>
          </w:p>
        </w:tc>
        <w:tc>
          <w:tcPr>
            <w:tcW w:w="762" w:type="dxa"/>
            <w:tcBorders>
              <w:top w:val="nil"/>
              <w:left w:val="nil"/>
              <w:bottom w:val="nil"/>
              <w:right w:val="nil"/>
            </w:tcBorders>
            <w:shd w:val="clear" w:color="auto" w:fill="auto"/>
            <w:vAlign w:val="center"/>
          </w:tcPr>
          <w:p w14:paraId="1CF65E70" w14:textId="6660F2C7" w:rsidR="006C26F8" w:rsidRPr="006C26F8" w:rsidRDefault="006C26F8" w:rsidP="00154D55">
            <w:pPr>
              <w:spacing w:after="0" w:line="276" w:lineRule="auto"/>
              <w:jc w:val="right"/>
              <w:rPr>
                <w:rFonts w:cs="Arial"/>
                <w:sz w:val="15"/>
                <w:szCs w:val="15"/>
              </w:rPr>
            </w:pPr>
            <w:r w:rsidRPr="006C26F8">
              <w:rPr>
                <w:rFonts w:cs="Arial"/>
                <w:sz w:val="15"/>
                <w:szCs w:val="15"/>
              </w:rPr>
              <w:t>1.119</w:t>
            </w:r>
          </w:p>
        </w:tc>
        <w:tc>
          <w:tcPr>
            <w:tcW w:w="716" w:type="dxa"/>
            <w:tcBorders>
              <w:top w:val="nil"/>
              <w:left w:val="nil"/>
              <w:bottom w:val="nil"/>
              <w:right w:val="nil"/>
            </w:tcBorders>
            <w:shd w:val="clear" w:color="auto" w:fill="auto"/>
            <w:vAlign w:val="center"/>
          </w:tcPr>
          <w:p w14:paraId="3291B38C" w14:textId="304E9981" w:rsidR="006C26F8" w:rsidRPr="006C26F8" w:rsidRDefault="006C26F8" w:rsidP="00154D55">
            <w:pPr>
              <w:spacing w:after="0" w:line="276" w:lineRule="auto"/>
              <w:jc w:val="right"/>
              <w:rPr>
                <w:rFonts w:cs="Arial"/>
                <w:sz w:val="15"/>
                <w:szCs w:val="15"/>
              </w:rPr>
            </w:pPr>
            <w:r w:rsidRPr="006C26F8">
              <w:rPr>
                <w:rFonts w:cs="Arial"/>
                <w:sz w:val="15"/>
                <w:szCs w:val="15"/>
              </w:rPr>
              <w:t>1.558</w:t>
            </w:r>
          </w:p>
        </w:tc>
        <w:tc>
          <w:tcPr>
            <w:tcW w:w="762" w:type="dxa"/>
            <w:tcBorders>
              <w:top w:val="nil"/>
              <w:left w:val="nil"/>
              <w:bottom w:val="nil"/>
              <w:right w:val="nil"/>
            </w:tcBorders>
            <w:shd w:val="clear" w:color="auto" w:fill="auto"/>
            <w:vAlign w:val="center"/>
          </w:tcPr>
          <w:p w14:paraId="1AA1D8EE" w14:textId="5263C234" w:rsidR="006C26F8" w:rsidRPr="006C26F8" w:rsidRDefault="006C26F8" w:rsidP="00154D55">
            <w:pPr>
              <w:spacing w:after="0" w:line="276" w:lineRule="auto"/>
              <w:jc w:val="right"/>
              <w:rPr>
                <w:rFonts w:cs="Arial"/>
                <w:sz w:val="15"/>
                <w:szCs w:val="15"/>
              </w:rPr>
            </w:pPr>
            <w:r w:rsidRPr="006C26F8">
              <w:rPr>
                <w:rFonts w:cs="Arial"/>
                <w:sz w:val="15"/>
                <w:szCs w:val="15"/>
              </w:rPr>
              <w:t>2.058</w:t>
            </w:r>
          </w:p>
        </w:tc>
        <w:tc>
          <w:tcPr>
            <w:tcW w:w="716" w:type="dxa"/>
            <w:tcBorders>
              <w:top w:val="nil"/>
              <w:left w:val="nil"/>
              <w:bottom w:val="nil"/>
              <w:right w:val="nil"/>
            </w:tcBorders>
            <w:shd w:val="clear" w:color="auto" w:fill="auto"/>
            <w:vAlign w:val="center"/>
          </w:tcPr>
          <w:p w14:paraId="4E0BD87C" w14:textId="581E24A6" w:rsidR="006C26F8" w:rsidRPr="006C26F8" w:rsidRDefault="006C26F8" w:rsidP="00154D55">
            <w:pPr>
              <w:spacing w:after="0" w:line="276" w:lineRule="auto"/>
              <w:jc w:val="right"/>
              <w:rPr>
                <w:rFonts w:cs="Arial"/>
                <w:sz w:val="15"/>
                <w:szCs w:val="15"/>
              </w:rPr>
            </w:pPr>
            <w:r w:rsidRPr="006C26F8">
              <w:rPr>
                <w:rFonts w:cs="Arial"/>
                <w:sz w:val="15"/>
                <w:szCs w:val="15"/>
              </w:rPr>
              <w:t>2.565</w:t>
            </w:r>
          </w:p>
        </w:tc>
        <w:tc>
          <w:tcPr>
            <w:tcW w:w="759" w:type="dxa"/>
            <w:tcBorders>
              <w:top w:val="nil"/>
              <w:left w:val="nil"/>
              <w:bottom w:val="nil"/>
              <w:right w:val="single" w:sz="4" w:space="0" w:color="808080" w:themeColor="background1" w:themeShade="80"/>
            </w:tcBorders>
            <w:shd w:val="clear" w:color="auto" w:fill="auto"/>
            <w:vAlign w:val="center"/>
          </w:tcPr>
          <w:p w14:paraId="377CE577" w14:textId="1770D364" w:rsidR="006C26F8" w:rsidRPr="006C26F8" w:rsidRDefault="006C26F8" w:rsidP="00154D55">
            <w:pPr>
              <w:spacing w:after="0" w:line="276" w:lineRule="auto"/>
              <w:jc w:val="right"/>
              <w:rPr>
                <w:rFonts w:cs="Arial"/>
                <w:sz w:val="15"/>
                <w:szCs w:val="15"/>
              </w:rPr>
            </w:pPr>
            <w:r w:rsidRPr="006C26F8">
              <w:rPr>
                <w:rFonts w:cs="Arial"/>
                <w:sz w:val="15"/>
                <w:szCs w:val="15"/>
              </w:rPr>
              <w:t>3.356</w:t>
            </w:r>
          </w:p>
        </w:tc>
      </w:tr>
      <w:tr w:rsidR="006C26F8" w:rsidRPr="00D44B43" w14:paraId="1C4D895F" w14:textId="77777777" w:rsidTr="00154D55">
        <w:trPr>
          <w:cantSplit/>
          <w:jc w:val="center"/>
        </w:trPr>
        <w:tc>
          <w:tcPr>
            <w:tcW w:w="436" w:type="dxa"/>
            <w:shd w:val="clear" w:color="auto" w:fill="auto"/>
            <w:noWrap/>
            <w:vAlign w:val="center"/>
            <w:hideMark/>
          </w:tcPr>
          <w:p w14:paraId="207E902F" w14:textId="77777777" w:rsidR="006C26F8" w:rsidRPr="00F14FC1" w:rsidRDefault="006C26F8" w:rsidP="00154D55">
            <w:pPr>
              <w:spacing w:after="0" w:line="276" w:lineRule="auto"/>
              <w:jc w:val="center"/>
              <w:rPr>
                <w:rFonts w:cs="Arial"/>
                <w:sz w:val="15"/>
                <w:szCs w:val="15"/>
              </w:rPr>
            </w:pPr>
            <w:r w:rsidRPr="00F14FC1">
              <w:rPr>
                <w:rFonts w:cs="Arial"/>
                <w:sz w:val="15"/>
                <w:szCs w:val="15"/>
              </w:rPr>
              <w:t>10</w:t>
            </w:r>
          </w:p>
        </w:tc>
        <w:tc>
          <w:tcPr>
            <w:tcW w:w="2107" w:type="dxa"/>
            <w:tcBorders>
              <w:right w:val="nil"/>
            </w:tcBorders>
            <w:shd w:val="clear" w:color="auto" w:fill="auto"/>
            <w:vAlign w:val="center"/>
            <w:hideMark/>
          </w:tcPr>
          <w:p w14:paraId="326E222F" w14:textId="77777777" w:rsidR="006C26F8" w:rsidRPr="00F14FC1" w:rsidRDefault="006C26F8" w:rsidP="00154D55">
            <w:pPr>
              <w:spacing w:after="0" w:line="276" w:lineRule="auto"/>
              <w:jc w:val="left"/>
              <w:rPr>
                <w:rFonts w:cs="Arial"/>
                <w:sz w:val="15"/>
                <w:szCs w:val="15"/>
              </w:rPr>
            </w:pPr>
            <w:r w:rsidRPr="00F14FC1">
              <w:rPr>
                <w:rFonts w:cs="Arial"/>
                <w:sz w:val="15"/>
                <w:szCs w:val="15"/>
              </w:rPr>
              <w:t>Τιμαλφή</w:t>
            </w:r>
          </w:p>
        </w:tc>
        <w:tc>
          <w:tcPr>
            <w:tcW w:w="615" w:type="dxa"/>
            <w:tcBorders>
              <w:top w:val="nil"/>
              <w:left w:val="nil"/>
              <w:bottom w:val="nil"/>
              <w:right w:val="nil"/>
            </w:tcBorders>
            <w:shd w:val="clear" w:color="auto" w:fill="auto"/>
            <w:vAlign w:val="center"/>
          </w:tcPr>
          <w:p w14:paraId="46222703" w14:textId="5E6A6A0F"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273F71F0" w14:textId="3373AD46"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4802C17B" w14:textId="77CB1883"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2CC5557D" w14:textId="457861BC"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686" w:type="dxa"/>
            <w:tcBorders>
              <w:top w:val="nil"/>
              <w:left w:val="nil"/>
              <w:bottom w:val="nil"/>
              <w:right w:val="nil"/>
            </w:tcBorders>
            <w:shd w:val="clear" w:color="auto" w:fill="auto"/>
            <w:vAlign w:val="center"/>
          </w:tcPr>
          <w:p w14:paraId="296D7307" w14:textId="364A44C9"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66E2AC7B" w14:textId="5A3DA48A"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20FFDBD4" w14:textId="09DE33F4"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62" w:type="dxa"/>
            <w:tcBorders>
              <w:top w:val="nil"/>
              <w:left w:val="nil"/>
              <w:bottom w:val="nil"/>
              <w:right w:val="nil"/>
            </w:tcBorders>
            <w:shd w:val="clear" w:color="auto" w:fill="auto"/>
            <w:vAlign w:val="center"/>
          </w:tcPr>
          <w:p w14:paraId="12A11222" w14:textId="2C7BC7BF"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48416C15" w14:textId="23AAB564"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62" w:type="dxa"/>
            <w:tcBorders>
              <w:top w:val="nil"/>
              <w:left w:val="nil"/>
              <w:bottom w:val="nil"/>
              <w:right w:val="nil"/>
            </w:tcBorders>
            <w:shd w:val="clear" w:color="auto" w:fill="auto"/>
            <w:vAlign w:val="center"/>
          </w:tcPr>
          <w:p w14:paraId="10DC3148" w14:textId="66FD9059"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16" w:type="dxa"/>
            <w:tcBorders>
              <w:top w:val="nil"/>
              <w:left w:val="nil"/>
              <w:bottom w:val="nil"/>
              <w:right w:val="nil"/>
            </w:tcBorders>
            <w:shd w:val="clear" w:color="auto" w:fill="auto"/>
            <w:vAlign w:val="center"/>
          </w:tcPr>
          <w:p w14:paraId="6A5B4DDA" w14:textId="28978A10" w:rsidR="006C26F8" w:rsidRPr="006C26F8" w:rsidRDefault="006C26F8" w:rsidP="00154D55">
            <w:pPr>
              <w:spacing w:after="0" w:line="276" w:lineRule="auto"/>
              <w:jc w:val="right"/>
              <w:rPr>
                <w:rFonts w:cs="Arial"/>
                <w:sz w:val="15"/>
                <w:szCs w:val="15"/>
              </w:rPr>
            </w:pPr>
            <w:r w:rsidRPr="006C26F8">
              <w:rPr>
                <w:rFonts w:cs="Arial"/>
                <w:sz w:val="15"/>
                <w:szCs w:val="15"/>
              </w:rPr>
              <w:t>0</w:t>
            </w:r>
          </w:p>
        </w:tc>
        <w:tc>
          <w:tcPr>
            <w:tcW w:w="759" w:type="dxa"/>
            <w:tcBorders>
              <w:top w:val="nil"/>
              <w:left w:val="nil"/>
              <w:bottom w:val="nil"/>
              <w:right w:val="single" w:sz="4" w:space="0" w:color="808080" w:themeColor="background1" w:themeShade="80"/>
            </w:tcBorders>
            <w:shd w:val="clear" w:color="auto" w:fill="auto"/>
            <w:vAlign w:val="center"/>
          </w:tcPr>
          <w:p w14:paraId="4BC694F6" w14:textId="58985896" w:rsidR="006C26F8" w:rsidRPr="006C26F8" w:rsidRDefault="006C26F8" w:rsidP="00154D55">
            <w:pPr>
              <w:spacing w:after="0" w:line="276" w:lineRule="auto"/>
              <w:jc w:val="right"/>
              <w:rPr>
                <w:rFonts w:cs="Arial"/>
                <w:sz w:val="15"/>
                <w:szCs w:val="15"/>
              </w:rPr>
            </w:pPr>
            <w:r w:rsidRPr="006C26F8">
              <w:rPr>
                <w:rFonts w:cs="Arial"/>
                <w:sz w:val="15"/>
                <w:szCs w:val="15"/>
              </w:rPr>
              <w:t>0</w:t>
            </w:r>
          </w:p>
        </w:tc>
      </w:tr>
      <w:tr w:rsidR="006C26F8" w:rsidRPr="00D44B43" w14:paraId="73FA069C" w14:textId="77777777" w:rsidTr="00154D55">
        <w:trPr>
          <w:cantSplit/>
          <w:jc w:val="center"/>
        </w:trPr>
        <w:tc>
          <w:tcPr>
            <w:tcW w:w="436" w:type="dxa"/>
            <w:tcBorders>
              <w:bottom w:val="nil"/>
            </w:tcBorders>
            <w:shd w:val="clear" w:color="auto" w:fill="D5DCE4"/>
            <w:noWrap/>
            <w:vAlign w:val="center"/>
            <w:hideMark/>
          </w:tcPr>
          <w:p w14:paraId="659BB97B" w14:textId="77777777" w:rsidR="006C26F8" w:rsidRPr="00F14FC1" w:rsidRDefault="006C26F8" w:rsidP="00154D55">
            <w:pPr>
              <w:spacing w:after="0" w:line="276" w:lineRule="auto"/>
              <w:jc w:val="center"/>
              <w:rPr>
                <w:rFonts w:cs="Arial"/>
                <w:b/>
                <w:bCs/>
                <w:sz w:val="15"/>
                <w:szCs w:val="15"/>
              </w:rPr>
            </w:pPr>
            <w:r w:rsidRPr="00F14FC1">
              <w:rPr>
                <w:rFonts w:cs="Arial"/>
                <w:b/>
                <w:bCs/>
                <w:sz w:val="15"/>
                <w:szCs w:val="15"/>
              </w:rPr>
              <w:t>III.</w:t>
            </w:r>
          </w:p>
        </w:tc>
        <w:tc>
          <w:tcPr>
            <w:tcW w:w="2107" w:type="dxa"/>
            <w:tcBorders>
              <w:bottom w:val="nil"/>
              <w:right w:val="nil"/>
            </w:tcBorders>
            <w:shd w:val="clear" w:color="auto" w:fill="D5DCE4"/>
            <w:vAlign w:val="center"/>
            <w:hideMark/>
          </w:tcPr>
          <w:p w14:paraId="222797D3" w14:textId="44332FE4" w:rsidR="006C26F8" w:rsidRPr="00F14FC1" w:rsidRDefault="006C26F8" w:rsidP="00154D55">
            <w:pPr>
              <w:spacing w:after="0" w:line="276" w:lineRule="auto"/>
              <w:jc w:val="left"/>
              <w:rPr>
                <w:rFonts w:cs="Arial"/>
                <w:b/>
                <w:bCs/>
                <w:sz w:val="15"/>
                <w:szCs w:val="15"/>
              </w:rPr>
            </w:pPr>
            <w:r w:rsidRPr="00F14FC1">
              <w:rPr>
                <w:rFonts w:cs="Arial"/>
                <w:b/>
                <w:bCs/>
                <w:sz w:val="15"/>
                <w:szCs w:val="15"/>
              </w:rPr>
              <w:t xml:space="preserve">Ταμειακό </w:t>
            </w:r>
            <w:r w:rsidR="009E784E">
              <w:rPr>
                <w:rFonts w:cs="Arial"/>
                <w:b/>
                <w:bCs/>
                <w:sz w:val="15"/>
                <w:szCs w:val="15"/>
              </w:rPr>
              <w:t>ι</w:t>
            </w:r>
            <w:r w:rsidRPr="00F14FC1">
              <w:rPr>
                <w:rFonts w:cs="Arial"/>
                <w:b/>
                <w:bCs/>
                <w:sz w:val="15"/>
                <w:szCs w:val="15"/>
              </w:rPr>
              <w:t>σοζύγιο κρατικού προϋπολογισμού (I - II)</w:t>
            </w:r>
          </w:p>
        </w:tc>
        <w:tc>
          <w:tcPr>
            <w:tcW w:w="615" w:type="dxa"/>
            <w:tcBorders>
              <w:top w:val="nil"/>
              <w:left w:val="nil"/>
              <w:bottom w:val="nil"/>
              <w:right w:val="nil"/>
            </w:tcBorders>
            <w:shd w:val="clear" w:color="auto" w:fill="D5DCE4"/>
            <w:vAlign w:val="center"/>
          </w:tcPr>
          <w:p w14:paraId="63F841F5" w14:textId="233F8E8B" w:rsidR="006C26F8" w:rsidRPr="006C26F8" w:rsidRDefault="006C26F8" w:rsidP="00154D55">
            <w:pPr>
              <w:spacing w:after="0" w:line="276" w:lineRule="auto"/>
              <w:jc w:val="right"/>
              <w:rPr>
                <w:rFonts w:cs="Arial"/>
                <w:b/>
                <w:bCs/>
                <w:sz w:val="15"/>
                <w:szCs w:val="15"/>
              </w:rPr>
            </w:pPr>
            <w:r w:rsidRPr="006C26F8">
              <w:rPr>
                <w:rFonts w:cs="Arial"/>
                <w:b/>
                <w:bCs/>
                <w:sz w:val="15"/>
                <w:szCs w:val="15"/>
              </w:rPr>
              <w:t>543</w:t>
            </w:r>
          </w:p>
        </w:tc>
        <w:tc>
          <w:tcPr>
            <w:tcW w:w="716" w:type="dxa"/>
            <w:tcBorders>
              <w:top w:val="nil"/>
              <w:left w:val="nil"/>
              <w:bottom w:val="nil"/>
              <w:right w:val="nil"/>
            </w:tcBorders>
            <w:shd w:val="clear" w:color="auto" w:fill="D5DCE4"/>
            <w:vAlign w:val="center"/>
          </w:tcPr>
          <w:p w14:paraId="460738B5" w14:textId="584C21DE" w:rsidR="006C26F8" w:rsidRPr="006C26F8" w:rsidRDefault="006C26F8" w:rsidP="00154D55">
            <w:pPr>
              <w:spacing w:after="0" w:line="276" w:lineRule="auto"/>
              <w:jc w:val="right"/>
              <w:rPr>
                <w:rFonts w:cs="Arial"/>
                <w:b/>
                <w:bCs/>
                <w:sz w:val="15"/>
                <w:szCs w:val="15"/>
              </w:rPr>
            </w:pPr>
            <w:r w:rsidRPr="006C26F8">
              <w:rPr>
                <w:rFonts w:cs="Arial"/>
                <w:b/>
                <w:bCs/>
                <w:sz w:val="15"/>
                <w:szCs w:val="15"/>
              </w:rPr>
              <w:t>-97</w:t>
            </w:r>
          </w:p>
        </w:tc>
        <w:tc>
          <w:tcPr>
            <w:tcW w:w="716" w:type="dxa"/>
            <w:tcBorders>
              <w:top w:val="nil"/>
              <w:left w:val="nil"/>
              <w:bottom w:val="nil"/>
              <w:right w:val="nil"/>
            </w:tcBorders>
            <w:shd w:val="clear" w:color="auto" w:fill="D5DCE4"/>
            <w:vAlign w:val="center"/>
          </w:tcPr>
          <w:p w14:paraId="1E175664" w14:textId="7BBC2467" w:rsidR="006C26F8" w:rsidRPr="006C26F8" w:rsidRDefault="006C26F8" w:rsidP="00154D55">
            <w:pPr>
              <w:spacing w:after="0" w:line="276" w:lineRule="auto"/>
              <w:jc w:val="right"/>
              <w:rPr>
                <w:rFonts w:cs="Arial"/>
                <w:b/>
                <w:bCs/>
                <w:sz w:val="15"/>
                <w:szCs w:val="15"/>
              </w:rPr>
            </w:pPr>
            <w:r w:rsidRPr="006C26F8">
              <w:rPr>
                <w:rFonts w:cs="Arial"/>
                <w:b/>
                <w:bCs/>
                <w:sz w:val="15"/>
                <w:szCs w:val="15"/>
              </w:rPr>
              <w:t>-111</w:t>
            </w:r>
          </w:p>
        </w:tc>
        <w:tc>
          <w:tcPr>
            <w:tcW w:w="716" w:type="dxa"/>
            <w:tcBorders>
              <w:top w:val="nil"/>
              <w:left w:val="nil"/>
              <w:bottom w:val="nil"/>
              <w:right w:val="nil"/>
            </w:tcBorders>
            <w:shd w:val="clear" w:color="auto" w:fill="D5DCE4"/>
            <w:vAlign w:val="center"/>
          </w:tcPr>
          <w:p w14:paraId="0059FD9E" w14:textId="7BCD6CB0" w:rsidR="006C26F8" w:rsidRPr="006C26F8" w:rsidRDefault="006C26F8" w:rsidP="00154D55">
            <w:pPr>
              <w:spacing w:after="0" w:line="276" w:lineRule="auto"/>
              <w:jc w:val="right"/>
              <w:rPr>
                <w:rFonts w:cs="Arial"/>
                <w:b/>
                <w:bCs/>
                <w:sz w:val="15"/>
                <w:szCs w:val="15"/>
              </w:rPr>
            </w:pPr>
            <w:r w:rsidRPr="006C26F8">
              <w:rPr>
                <w:rFonts w:cs="Arial"/>
                <w:b/>
                <w:bCs/>
                <w:sz w:val="15"/>
                <w:szCs w:val="15"/>
              </w:rPr>
              <w:t>-909</w:t>
            </w:r>
          </w:p>
        </w:tc>
        <w:tc>
          <w:tcPr>
            <w:tcW w:w="686" w:type="dxa"/>
            <w:tcBorders>
              <w:top w:val="nil"/>
              <w:left w:val="nil"/>
              <w:bottom w:val="nil"/>
              <w:right w:val="nil"/>
            </w:tcBorders>
            <w:shd w:val="clear" w:color="auto" w:fill="D5DCE4"/>
            <w:vAlign w:val="center"/>
          </w:tcPr>
          <w:p w14:paraId="17634E39" w14:textId="12CFA416" w:rsidR="006C26F8" w:rsidRPr="006C26F8" w:rsidRDefault="006C26F8" w:rsidP="00154D55">
            <w:pPr>
              <w:spacing w:after="0" w:line="276" w:lineRule="auto"/>
              <w:jc w:val="right"/>
              <w:rPr>
                <w:rFonts w:cs="Arial"/>
                <w:b/>
                <w:bCs/>
                <w:sz w:val="15"/>
                <w:szCs w:val="15"/>
              </w:rPr>
            </w:pPr>
            <w:r w:rsidRPr="006C26F8">
              <w:rPr>
                <w:rFonts w:cs="Arial"/>
                <w:b/>
                <w:bCs/>
                <w:sz w:val="15"/>
                <w:szCs w:val="15"/>
              </w:rPr>
              <w:t>-2.176</w:t>
            </w:r>
          </w:p>
        </w:tc>
        <w:tc>
          <w:tcPr>
            <w:tcW w:w="716" w:type="dxa"/>
            <w:tcBorders>
              <w:top w:val="nil"/>
              <w:left w:val="nil"/>
              <w:bottom w:val="nil"/>
              <w:right w:val="nil"/>
            </w:tcBorders>
            <w:shd w:val="clear" w:color="auto" w:fill="D5DCE4"/>
            <w:vAlign w:val="center"/>
          </w:tcPr>
          <w:p w14:paraId="57BCA08C" w14:textId="42D6951E" w:rsidR="006C26F8" w:rsidRPr="006C26F8" w:rsidRDefault="006C26F8" w:rsidP="00154D55">
            <w:pPr>
              <w:spacing w:after="0" w:line="276" w:lineRule="auto"/>
              <w:jc w:val="right"/>
              <w:rPr>
                <w:rFonts w:cs="Arial"/>
                <w:b/>
                <w:bCs/>
                <w:sz w:val="15"/>
                <w:szCs w:val="15"/>
              </w:rPr>
            </w:pPr>
            <w:r w:rsidRPr="006C26F8">
              <w:rPr>
                <w:rFonts w:cs="Arial"/>
                <w:b/>
                <w:bCs/>
                <w:sz w:val="15"/>
                <w:szCs w:val="15"/>
              </w:rPr>
              <w:t>-3.136</w:t>
            </w:r>
          </w:p>
        </w:tc>
        <w:tc>
          <w:tcPr>
            <w:tcW w:w="716" w:type="dxa"/>
            <w:tcBorders>
              <w:top w:val="nil"/>
              <w:left w:val="nil"/>
              <w:bottom w:val="nil"/>
              <w:right w:val="nil"/>
            </w:tcBorders>
            <w:shd w:val="clear" w:color="auto" w:fill="D5DCE4"/>
            <w:vAlign w:val="center"/>
          </w:tcPr>
          <w:p w14:paraId="7A67F9C6" w14:textId="3D23716C" w:rsidR="006C26F8" w:rsidRPr="006C26F8" w:rsidRDefault="006C26F8" w:rsidP="00154D55">
            <w:pPr>
              <w:spacing w:after="0" w:line="276" w:lineRule="auto"/>
              <w:jc w:val="right"/>
              <w:rPr>
                <w:rFonts w:cs="Arial"/>
                <w:b/>
                <w:bCs/>
                <w:sz w:val="15"/>
                <w:szCs w:val="15"/>
              </w:rPr>
            </w:pPr>
            <w:r w:rsidRPr="006C26F8">
              <w:rPr>
                <w:rFonts w:cs="Arial"/>
                <w:b/>
                <w:bCs/>
                <w:sz w:val="15"/>
                <w:szCs w:val="15"/>
              </w:rPr>
              <w:t>-1.323</w:t>
            </w:r>
          </w:p>
        </w:tc>
        <w:tc>
          <w:tcPr>
            <w:tcW w:w="762" w:type="dxa"/>
            <w:tcBorders>
              <w:top w:val="nil"/>
              <w:left w:val="nil"/>
              <w:bottom w:val="nil"/>
              <w:right w:val="nil"/>
            </w:tcBorders>
            <w:shd w:val="clear" w:color="auto" w:fill="D5DCE4"/>
            <w:vAlign w:val="center"/>
          </w:tcPr>
          <w:p w14:paraId="01E607F6" w14:textId="13C307B1" w:rsidR="006C26F8" w:rsidRPr="006C26F8" w:rsidRDefault="006C26F8" w:rsidP="00154D55">
            <w:pPr>
              <w:spacing w:after="0" w:line="276" w:lineRule="auto"/>
              <w:jc w:val="right"/>
              <w:rPr>
                <w:rFonts w:cs="Arial"/>
                <w:b/>
                <w:bCs/>
                <w:sz w:val="15"/>
                <w:szCs w:val="15"/>
              </w:rPr>
            </w:pPr>
            <w:r w:rsidRPr="006C26F8">
              <w:rPr>
                <w:rFonts w:cs="Arial"/>
                <w:b/>
                <w:bCs/>
                <w:sz w:val="15"/>
                <w:szCs w:val="15"/>
              </w:rPr>
              <w:t>-1.611</w:t>
            </w:r>
          </w:p>
        </w:tc>
        <w:tc>
          <w:tcPr>
            <w:tcW w:w="716" w:type="dxa"/>
            <w:tcBorders>
              <w:top w:val="nil"/>
              <w:left w:val="nil"/>
              <w:bottom w:val="nil"/>
              <w:right w:val="nil"/>
            </w:tcBorders>
            <w:shd w:val="clear" w:color="auto" w:fill="D5DCE4"/>
            <w:vAlign w:val="center"/>
          </w:tcPr>
          <w:p w14:paraId="70CC128D" w14:textId="3C0AC168" w:rsidR="006C26F8" w:rsidRPr="006C26F8" w:rsidRDefault="006C26F8" w:rsidP="00154D55">
            <w:pPr>
              <w:spacing w:after="0" w:line="276" w:lineRule="auto"/>
              <w:jc w:val="right"/>
              <w:rPr>
                <w:rFonts w:cs="Arial"/>
                <w:b/>
                <w:bCs/>
                <w:sz w:val="15"/>
                <w:szCs w:val="15"/>
              </w:rPr>
            </w:pPr>
            <w:r w:rsidRPr="006C26F8">
              <w:rPr>
                <w:rFonts w:cs="Arial"/>
                <w:b/>
                <w:bCs/>
                <w:sz w:val="15"/>
                <w:szCs w:val="15"/>
              </w:rPr>
              <w:t>-1.897</w:t>
            </w:r>
          </w:p>
        </w:tc>
        <w:tc>
          <w:tcPr>
            <w:tcW w:w="762" w:type="dxa"/>
            <w:tcBorders>
              <w:top w:val="nil"/>
              <w:left w:val="nil"/>
              <w:bottom w:val="nil"/>
              <w:right w:val="nil"/>
            </w:tcBorders>
            <w:shd w:val="clear" w:color="auto" w:fill="D5DCE4"/>
            <w:vAlign w:val="center"/>
          </w:tcPr>
          <w:p w14:paraId="5FF08F2D" w14:textId="03AA7DCA" w:rsidR="006C26F8" w:rsidRPr="006C26F8" w:rsidRDefault="006C26F8" w:rsidP="00154D55">
            <w:pPr>
              <w:spacing w:after="0" w:line="276" w:lineRule="auto"/>
              <w:jc w:val="right"/>
              <w:rPr>
                <w:rFonts w:cs="Arial"/>
                <w:b/>
                <w:bCs/>
                <w:sz w:val="15"/>
                <w:szCs w:val="15"/>
              </w:rPr>
            </w:pPr>
            <w:r w:rsidRPr="006C26F8">
              <w:rPr>
                <w:rFonts w:cs="Arial"/>
                <w:b/>
                <w:bCs/>
                <w:sz w:val="15"/>
                <w:szCs w:val="15"/>
              </w:rPr>
              <w:t>-2.403</w:t>
            </w:r>
          </w:p>
        </w:tc>
        <w:tc>
          <w:tcPr>
            <w:tcW w:w="716" w:type="dxa"/>
            <w:tcBorders>
              <w:top w:val="nil"/>
              <w:left w:val="nil"/>
              <w:bottom w:val="nil"/>
              <w:right w:val="nil"/>
            </w:tcBorders>
            <w:shd w:val="clear" w:color="auto" w:fill="D5DCE4"/>
            <w:vAlign w:val="center"/>
          </w:tcPr>
          <w:p w14:paraId="2AB1AE1B" w14:textId="3EA85B0A" w:rsidR="006C26F8" w:rsidRPr="006C26F8" w:rsidRDefault="006C26F8" w:rsidP="00154D55">
            <w:pPr>
              <w:spacing w:after="0" w:line="276" w:lineRule="auto"/>
              <w:jc w:val="right"/>
              <w:rPr>
                <w:rFonts w:cs="Arial"/>
                <w:b/>
                <w:bCs/>
                <w:sz w:val="15"/>
                <w:szCs w:val="15"/>
              </w:rPr>
            </w:pPr>
            <w:r w:rsidRPr="006C26F8">
              <w:rPr>
                <w:rFonts w:cs="Arial"/>
                <w:b/>
                <w:bCs/>
                <w:sz w:val="15"/>
                <w:szCs w:val="15"/>
              </w:rPr>
              <w:t>-5.059</w:t>
            </w:r>
          </w:p>
        </w:tc>
        <w:tc>
          <w:tcPr>
            <w:tcW w:w="759" w:type="dxa"/>
            <w:tcBorders>
              <w:top w:val="nil"/>
              <w:left w:val="nil"/>
              <w:bottom w:val="nil"/>
              <w:right w:val="single" w:sz="4" w:space="0" w:color="808080" w:themeColor="background1" w:themeShade="80"/>
            </w:tcBorders>
            <w:shd w:val="clear" w:color="auto" w:fill="D5DCE4"/>
            <w:vAlign w:val="center"/>
          </w:tcPr>
          <w:p w14:paraId="7D7105D7" w14:textId="5BB9725C" w:rsidR="006C26F8" w:rsidRPr="006C26F8" w:rsidRDefault="006C26F8" w:rsidP="00154D55">
            <w:pPr>
              <w:spacing w:after="0" w:line="276" w:lineRule="auto"/>
              <w:jc w:val="right"/>
              <w:rPr>
                <w:rFonts w:cs="Arial"/>
                <w:b/>
                <w:bCs/>
                <w:sz w:val="15"/>
                <w:szCs w:val="15"/>
              </w:rPr>
            </w:pPr>
            <w:r w:rsidRPr="006C26F8">
              <w:rPr>
                <w:rFonts w:cs="Arial"/>
                <w:b/>
                <w:bCs/>
                <w:sz w:val="15"/>
                <w:szCs w:val="15"/>
              </w:rPr>
              <w:t>-5.797</w:t>
            </w:r>
          </w:p>
        </w:tc>
      </w:tr>
      <w:tr w:rsidR="006C26F8" w:rsidRPr="00D44B43" w14:paraId="18624268" w14:textId="77777777" w:rsidTr="00154D55">
        <w:trPr>
          <w:cantSplit/>
          <w:jc w:val="center"/>
        </w:trPr>
        <w:tc>
          <w:tcPr>
            <w:tcW w:w="436" w:type="dxa"/>
            <w:tcBorders>
              <w:top w:val="nil"/>
              <w:bottom w:val="nil"/>
            </w:tcBorders>
            <w:shd w:val="clear" w:color="auto" w:fill="D5DCE4"/>
            <w:noWrap/>
            <w:vAlign w:val="center"/>
            <w:hideMark/>
          </w:tcPr>
          <w:p w14:paraId="59DC721A" w14:textId="77777777" w:rsidR="006C26F8" w:rsidRPr="00F14FC1" w:rsidRDefault="006C26F8" w:rsidP="00154D55">
            <w:pPr>
              <w:spacing w:after="0" w:line="276" w:lineRule="auto"/>
              <w:jc w:val="center"/>
              <w:rPr>
                <w:rFonts w:cs="Arial"/>
                <w:b/>
                <w:bCs/>
                <w:sz w:val="15"/>
                <w:szCs w:val="15"/>
              </w:rPr>
            </w:pPr>
            <w:r w:rsidRPr="00F14FC1">
              <w:rPr>
                <w:rFonts w:cs="Arial"/>
                <w:b/>
                <w:bCs/>
                <w:sz w:val="15"/>
                <w:szCs w:val="15"/>
              </w:rPr>
              <w:t>IV.</w:t>
            </w:r>
          </w:p>
        </w:tc>
        <w:tc>
          <w:tcPr>
            <w:tcW w:w="2107" w:type="dxa"/>
            <w:tcBorders>
              <w:top w:val="nil"/>
              <w:bottom w:val="nil"/>
              <w:right w:val="nil"/>
            </w:tcBorders>
            <w:shd w:val="clear" w:color="auto" w:fill="D5DCE4"/>
            <w:vAlign w:val="center"/>
            <w:hideMark/>
          </w:tcPr>
          <w:p w14:paraId="79122AC8" w14:textId="1624E202" w:rsidR="006C26F8" w:rsidRPr="00F14FC1" w:rsidRDefault="006C26F8" w:rsidP="00154D55">
            <w:pPr>
              <w:spacing w:after="0" w:line="276" w:lineRule="auto"/>
              <w:jc w:val="left"/>
              <w:rPr>
                <w:rFonts w:cs="Arial"/>
                <w:b/>
                <w:bCs/>
                <w:sz w:val="15"/>
                <w:szCs w:val="15"/>
              </w:rPr>
            </w:pPr>
            <w:r w:rsidRPr="00F14FC1">
              <w:rPr>
                <w:rFonts w:cs="Arial"/>
                <w:b/>
                <w:bCs/>
                <w:sz w:val="15"/>
                <w:szCs w:val="15"/>
              </w:rPr>
              <w:t xml:space="preserve">Ταμειακό </w:t>
            </w:r>
            <w:r w:rsidR="00E005BD">
              <w:rPr>
                <w:rFonts w:cs="Arial"/>
                <w:b/>
                <w:bCs/>
                <w:sz w:val="15"/>
                <w:szCs w:val="15"/>
              </w:rPr>
              <w:t>π</w:t>
            </w:r>
            <w:r w:rsidRPr="00F14FC1">
              <w:rPr>
                <w:rFonts w:cs="Arial"/>
                <w:b/>
                <w:bCs/>
                <w:sz w:val="15"/>
                <w:szCs w:val="15"/>
              </w:rPr>
              <w:t>ρωτογενές αποτέλεσμα κρατικού προϋπολογισμού</w:t>
            </w:r>
          </w:p>
          <w:p w14:paraId="4900249B" w14:textId="77777777" w:rsidR="006C26F8" w:rsidRPr="00F14FC1" w:rsidRDefault="006C26F8" w:rsidP="00154D55">
            <w:pPr>
              <w:spacing w:after="0" w:line="276" w:lineRule="auto"/>
              <w:jc w:val="left"/>
              <w:rPr>
                <w:rFonts w:cs="Arial"/>
                <w:b/>
                <w:bCs/>
                <w:sz w:val="15"/>
                <w:szCs w:val="15"/>
              </w:rPr>
            </w:pPr>
            <w:r w:rsidRPr="00F14FC1">
              <w:rPr>
                <w:rFonts w:cs="Arial"/>
                <w:b/>
                <w:bCs/>
                <w:sz w:val="15"/>
                <w:szCs w:val="15"/>
              </w:rPr>
              <w:t>(IIΙ + II.6 - I.5α)</w:t>
            </w:r>
          </w:p>
        </w:tc>
        <w:tc>
          <w:tcPr>
            <w:tcW w:w="615" w:type="dxa"/>
            <w:tcBorders>
              <w:top w:val="nil"/>
              <w:left w:val="nil"/>
              <w:bottom w:val="nil"/>
              <w:right w:val="nil"/>
            </w:tcBorders>
            <w:shd w:val="clear" w:color="auto" w:fill="D5DCE4"/>
            <w:vAlign w:val="center"/>
          </w:tcPr>
          <w:p w14:paraId="25892228" w14:textId="394ACA88" w:rsidR="006C26F8" w:rsidRPr="006C26F8" w:rsidRDefault="006C26F8" w:rsidP="00154D55">
            <w:pPr>
              <w:spacing w:after="0" w:line="276" w:lineRule="auto"/>
              <w:jc w:val="right"/>
              <w:rPr>
                <w:rFonts w:cs="Arial"/>
                <w:b/>
                <w:bCs/>
                <w:sz w:val="15"/>
                <w:szCs w:val="15"/>
              </w:rPr>
            </w:pPr>
            <w:r w:rsidRPr="006C26F8">
              <w:rPr>
                <w:rFonts w:cs="Arial"/>
                <w:b/>
                <w:bCs/>
                <w:sz w:val="15"/>
                <w:szCs w:val="15"/>
              </w:rPr>
              <w:t>1.751</w:t>
            </w:r>
          </w:p>
        </w:tc>
        <w:tc>
          <w:tcPr>
            <w:tcW w:w="716" w:type="dxa"/>
            <w:tcBorders>
              <w:top w:val="nil"/>
              <w:left w:val="nil"/>
              <w:bottom w:val="nil"/>
              <w:right w:val="nil"/>
            </w:tcBorders>
            <w:shd w:val="clear" w:color="auto" w:fill="D5DCE4"/>
            <w:vAlign w:val="center"/>
          </w:tcPr>
          <w:p w14:paraId="18F015D3" w14:textId="0548A664" w:rsidR="006C26F8" w:rsidRPr="006C26F8" w:rsidRDefault="006C26F8" w:rsidP="00154D55">
            <w:pPr>
              <w:spacing w:after="0" w:line="276" w:lineRule="auto"/>
              <w:jc w:val="right"/>
              <w:rPr>
                <w:rFonts w:cs="Arial"/>
                <w:b/>
                <w:bCs/>
                <w:sz w:val="15"/>
                <w:szCs w:val="15"/>
              </w:rPr>
            </w:pPr>
            <w:r w:rsidRPr="006C26F8">
              <w:rPr>
                <w:rFonts w:cs="Arial"/>
                <w:b/>
                <w:bCs/>
                <w:sz w:val="15"/>
                <w:szCs w:val="15"/>
              </w:rPr>
              <w:t>1.957</w:t>
            </w:r>
          </w:p>
        </w:tc>
        <w:tc>
          <w:tcPr>
            <w:tcW w:w="716" w:type="dxa"/>
            <w:tcBorders>
              <w:top w:val="nil"/>
              <w:left w:val="nil"/>
              <w:bottom w:val="nil"/>
              <w:right w:val="nil"/>
            </w:tcBorders>
            <w:shd w:val="clear" w:color="auto" w:fill="D5DCE4"/>
            <w:vAlign w:val="center"/>
          </w:tcPr>
          <w:p w14:paraId="4D820975" w14:textId="4F23FBC8" w:rsidR="006C26F8" w:rsidRPr="006C26F8" w:rsidRDefault="006C26F8" w:rsidP="00154D55">
            <w:pPr>
              <w:spacing w:after="0" w:line="276" w:lineRule="auto"/>
              <w:jc w:val="right"/>
              <w:rPr>
                <w:rFonts w:cs="Arial"/>
                <w:b/>
                <w:bCs/>
                <w:sz w:val="15"/>
                <w:szCs w:val="15"/>
              </w:rPr>
            </w:pPr>
            <w:r w:rsidRPr="006C26F8">
              <w:rPr>
                <w:rFonts w:cs="Arial"/>
                <w:b/>
                <w:bCs/>
                <w:sz w:val="15"/>
                <w:szCs w:val="15"/>
              </w:rPr>
              <w:t>2.732</w:t>
            </w:r>
          </w:p>
        </w:tc>
        <w:tc>
          <w:tcPr>
            <w:tcW w:w="716" w:type="dxa"/>
            <w:tcBorders>
              <w:top w:val="nil"/>
              <w:left w:val="nil"/>
              <w:bottom w:val="nil"/>
              <w:right w:val="nil"/>
            </w:tcBorders>
            <w:shd w:val="clear" w:color="auto" w:fill="D5DCE4"/>
            <w:vAlign w:val="center"/>
          </w:tcPr>
          <w:p w14:paraId="10B1A420" w14:textId="327EFD00" w:rsidR="006C26F8" w:rsidRPr="006C26F8" w:rsidRDefault="006C26F8" w:rsidP="00154D55">
            <w:pPr>
              <w:spacing w:after="0" w:line="276" w:lineRule="auto"/>
              <w:jc w:val="right"/>
              <w:rPr>
                <w:rFonts w:cs="Arial"/>
                <w:b/>
                <w:bCs/>
                <w:sz w:val="15"/>
                <w:szCs w:val="15"/>
              </w:rPr>
            </w:pPr>
            <w:r w:rsidRPr="006C26F8">
              <w:rPr>
                <w:rFonts w:cs="Arial"/>
                <w:b/>
                <w:bCs/>
                <w:sz w:val="15"/>
                <w:szCs w:val="15"/>
              </w:rPr>
              <w:t>2.298</w:t>
            </w:r>
          </w:p>
        </w:tc>
        <w:tc>
          <w:tcPr>
            <w:tcW w:w="686" w:type="dxa"/>
            <w:tcBorders>
              <w:top w:val="nil"/>
              <w:left w:val="nil"/>
              <w:bottom w:val="nil"/>
              <w:right w:val="nil"/>
            </w:tcBorders>
            <w:shd w:val="clear" w:color="auto" w:fill="D5DCE4"/>
            <w:vAlign w:val="center"/>
          </w:tcPr>
          <w:p w14:paraId="09F21235" w14:textId="4CBCBE91" w:rsidR="006C26F8" w:rsidRPr="006C26F8" w:rsidRDefault="006C26F8" w:rsidP="00154D55">
            <w:pPr>
              <w:spacing w:after="0" w:line="276" w:lineRule="auto"/>
              <w:jc w:val="right"/>
              <w:rPr>
                <w:rFonts w:cs="Arial"/>
                <w:b/>
                <w:bCs/>
                <w:sz w:val="15"/>
                <w:szCs w:val="15"/>
              </w:rPr>
            </w:pPr>
            <w:r w:rsidRPr="006C26F8">
              <w:rPr>
                <w:rFonts w:cs="Arial"/>
                <w:b/>
                <w:bCs/>
                <w:sz w:val="15"/>
                <w:szCs w:val="15"/>
              </w:rPr>
              <w:t>1.243</w:t>
            </w:r>
          </w:p>
        </w:tc>
        <w:tc>
          <w:tcPr>
            <w:tcW w:w="716" w:type="dxa"/>
            <w:tcBorders>
              <w:top w:val="nil"/>
              <w:left w:val="nil"/>
              <w:bottom w:val="nil"/>
              <w:right w:val="nil"/>
            </w:tcBorders>
            <w:shd w:val="clear" w:color="auto" w:fill="D5DCE4"/>
            <w:vAlign w:val="center"/>
          </w:tcPr>
          <w:p w14:paraId="26B11FAC" w14:textId="7FE7AB25" w:rsidR="006C26F8" w:rsidRPr="006C26F8" w:rsidRDefault="006C26F8" w:rsidP="00154D55">
            <w:pPr>
              <w:spacing w:after="0" w:line="276" w:lineRule="auto"/>
              <w:jc w:val="right"/>
              <w:rPr>
                <w:rFonts w:cs="Arial"/>
                <w:b/>
                <w:bCs/>
                <w:sz w:val="15"/>
                <w:szCs w:val="15"/>
              </w:rPr>
            </w:pPr>
            <w:r w:rsidRPr="006C26F8">
              <w:rPr>
                <w:rFonts w:cs="Arial"/>
                <w:b/>
                <w:bCs/>
                <w:sz w:val="15"/>
                <w:szCs w:val="15"/>
              </w:rPr>
              <w:t>1.953</w:t>
            </w:r>
          </w:p>
        </w:tc>
        <w:tc>
          <w:tcPr>
            <w:tcW w:w="716" w:type="dxa"/>
            <w:tcBorders>
              <w:top w:val="nil"/>
              <w:left w:val="nil"/>
              <w:bottom w:val="nil"/>
              <w:right w:val="nil"/>
            </w:tcBorders>
            <w:shd w:val="clear" w:color="auto" w:fill="D5DCE4"/>
            <w:vAlign w:val="center"/>
          </w:tcPr>
          <w:p w14:paraId="7418C799" w14:textId="759DAEE9" w:rsidR="006C26F8" w:rsidRPr="006C26F8" w:rsidRDefault="006C26F8" w:rsidP="00154D55">
            <w:pPr>
              <w:spacing w:after="0" w:line="276" w:lineRule="auto"/>
              <w:jc w:val="right"/>
              <w:rPr>
                <w:rFonts w:cs="Arial"/>
                <w:b/>
                <w:bCs/>
                <w:sz w:val="15"/>
                <w:szCs w:val="15"/>
              </w:rPr>
            </w:pPr>
            <w:r w:rsidRPr="006C26F8">
              <w:rPr>
                <w:rFonts w:cs="Arial"/>
                <w:b/>
                <w:bCs/>
                <w:sz w:val="15"/>
                <w:szCs w:val="15"/>
              </w:rPr>
              <w:t>4.417</w:t>
            </w:r>
          </w:p>
        </w:tc>
        <w:tc>
          <w:tcPr>
            <w:tcW w:w="762" w:type="dxa"/>
            <w:tcBorders>
              <w:top w:val="nil"/>
              <w:left w:val="nil"/>
              <w:bottom w:val="nil"/>
              <w:right w:val="nil"/>
            </w:tcBorders>
            <w:shd w:val="clear" w:color="auto" w:fill="D5DCE4"/>
            <w:vAlign w:val="center"/>
          </w:tcPr>
          <w:p w14:paraId="75AE28AC" w14:textId="3D4C263E" w:rsidR="006C26F8" w:rsidRPr="006C26F8" w:rsidRDefault="006C26F8" w:rsidP="00154D55">
            <w:pPr>
              <w:spacing w:after="0" w:line="276" w:lineRule="auto"/>
              <w:jc w:val="right"/>
              <w:rPr>
                <w:rFonts w:cs="Arial"/>
                <w:b/>
                <w:bCs/>
                <w:sz w:val="15"/>
                <w:szCs w:val="15"/>
              </w:rPr>
            </w:pPr>
            <w:r w:rsidRPr="006C26F8">
              <w:rPr>
                <w:rFonts w:cs="Arial"/>
                <w:b/>
                <w:bCs/>
                <w:sz w:val="15"/>
                <w:szCs w:val="15"/>
              </w:rPr>
              <w:t>4.989</w:t>
            </w:r>
          </w:p>
        </w:tc>
        <w:tc>
          <w:tcPr>
            <w:tcW w:w="716" w:type="dxa"/>
            <w:tcBorders>
              <w:top w:val="nil"/>
              <w:left w:val="nil"/>
              <w:bottom w:val="nil"/>
              <w:right w:val="nil"/>
            </w:tcBorders>
            <w:shd w:val="clear" w:color="auto" w:fill="D5DCE4"/>
            <w:vAlign w:val="center"/>
          </w:tcPr>
          <w:p w14:paraId="355B447F" w14:textId="2D63ED45" w:rsidR="006C26F8" w:rsidRPr="006C26F8" w:rsidRDefault="006C26F8" w:rsidP="00154D55">
            <w:pPr>
              <w:spacing w:after="0" w:line="276" w:lineRule="auto"/>
              <w:jc w:val="right"/>
              <w:rPr>
                <w:rFonts w:cs="Arial"/>
                <w:b/>
                <w:bCs/>
                <w:sz w:val="15"/>
                <w:szCs w:val="15"/>
              </w:rPr>
            </w:pPr>
            <w:r w:rsidRPr="006C26F8">
              <w:rPr>
                <w:rFonts w:cs="Arial"/>
                <w:b/>
                <w:bCs/>
                <w:sz w:val="15"/>
                <w:szCs w:val="15"/>
              </w:rPr>
              <w:t>5.129</w:t>
            </w:r>
          </w:p>
        </w:tc>
        <w:tc>
          <w:tcPr>
            <w:tcW w:w="762" w:type="dxa"/>
            <w:tcBorders>
              <w:top w:val="nil"/>
              <w:left w:val="nil"/>
              <w:bottom w:val="nil"/>
              <w:right w:val="nil"/>
            </w:tcBorders>
            <w:shd w:val="clear" w:color="auto" w:fill="D5DCE4"/>
            <w:vAlign w:val="center"/>
          </w:tcPr>
          <w:p w14:paraId="095F9947" w14:textId="6D923440" w:rsidR="006C26F8" w:rsidRPr="006C26F8" w:rsidRDefault="006C26F8" w:rsidP="00154D55">
            <w:pPr>
              <w:spacing w:after="0" w:line="276" w:lineRule="auto"/>
              <w:jc w:val="right"/>
              <w:rPr>
                <w:rFonts w:cs="Arial"/>
                <w:b/>
                <w:bCs/>
                <w:sz w:val="15"/>
                <w:szCs w:val="15"/>
              </w:rPr>
            </w:pPr>
            <w:r w:rsidRPr="006C26F8">
              <w:rPr>
                <w:rFonts w:cs="Arial"/>
                <w:b/>
                <w:bCs/>
                <w:sz w:val="15"/>
                <w:szCs w:val="15"/>
              </w:rPr>
              <w:t>4.823</w:t>
            </w:r>
          </w:p>
        </w:tc>
        <w:tc>
          <w:tcPr>
            <w:tcW w:w="716" w:type="dxa"/>
            <w:tcBorders>
              <w:top w:val="nil"/>
              <w:left w:val="nil"/>
              <w:bottom w:val="nil"/>
              <w:right w:val="nil"/>
            </w:tcBorders>
            <w:shd w:val="clear" w:color="auto" w:fill="D5DCE4"/>
            <w:vAlign w:val="center"/>
          </w:tcPr>
          <w:p w14:paraId="3387E3CE" w14:textId="1CEB6055" w:rsidR="006C26F8" w:rsidRPr="006C26F8" w:rsidRDefault="006C26F8" w:rsidP="00154D55">
            <w:pPr>
              <w:spacing w:after="0" w:line="276" w:lineRule="auto"/>
              <w:jc w:val="right"/>
              <w:rPr>
                <w:rFonts w:cs="Arial"/>
                <w:b/>
                <w:bCs/>
                <w:sz w:val="15"/>
                <w:szCs w:val="15"/>
              </w:rPr>
            </w:pPr>
            <w:r w:rsidRPr="006C26F8">
              <w:rPr>
                <w:rFonts w:cs="Arial"/>
                <w:b/>
                <w:bCs/>
                <w:sz w:val="15"/>
                <w:szCs w:val="15"/>
              </w:rPr>
              <w:t>2.426</w:t>
            </w:r>
          </w:p>
        </w:tc>
        <w:tc>
          <w:tcPr>
            <w:tcW w:w="759" w:type="dxa"/>
            <w:tcBorders>
              <w:top w:val="nil"/>
              <w:left w:val="nil"/>
              <w:bottom w:val="nil"/>
              <w:right w:val="single" w:sz="4" w:space="0" w:color="808080" w:themeColor="background1" w:themeShade="80"/>
            </w:tcBorders>
            <w:shd w:val="clear" w:color="auto" w:fill="D5DCE4"/>
            <w:vAlign w:val="center"/>
          </w:tcPr>
          <w:p w14:paraId="7F3B1359" w14:textId="0CDB51B5" w:rsidR="006C26F8" w:rsidRPr="006C26F8" w:rsidRDefault="006C26F8" w:rsidP="00154D55">
            <w:pPr>
              <w:spacing w:after="0" w:line="276" w:lineRule="auto"/>
              <w:jc w:val="right"/>
              <w:rPr>
                <w:rFonts w:cs="Arial"/>
                <w:b/>
                <w:bCs/>
                <w:sz w:val="15"/>
                <w:szCs w:val="15"/>
              </w:rPr>
            </w:pPr>
            <w:r w:rsidRPr="006C26F8">
              <w:rPr>
                <w:rFonts w:cs="Arial"/>
                <w:b/>
                <w:bCs/>
                <w:sz w:val="15"/>
                <w:szCs w:val="15"/>
              </w:rPr>
              <w:t>2.120</w:t>
            </w:r>
          </w:p>
        </w:tc>
      </w:tr>
      <w:tr w:rsidR="006C26F8" w:rsidRPr="00D44B43" w14:paraId="400F58F5" w14:textId="77777777" w:rsidTr="00154D55">
        <w:trPr>
          <w:cantSplit/>
          <w:jc w:val="center"/>
        </w:trPr>
        <w:tc>
          <w:tcPr>
            <w:tcW w:w="2543" w:type="dxa"/>
            <w:gridSpan w:val="2"/>
            <w:tcBorders>
              <w:top w:val="nil"/>
              <w:bottom w:val="nil"/>
            </w:tcBorders>
            <w:shd w:val="clear" w:color="auto" w:fill="auto"/>
            <w:noWrap/>
            <w:vAlign w:val="center"/>
            <w:hideMark/>
          </w:tcPr>
          <w:p w14:paraId="0C9A5A0A" w14:textId="77777777" w:rsidR="006C26F8" w:rsidRPr="00F14FC1" w:rsidRDefault="006C26F8" w:rsidP="00154D55">
            <w:pPr>
              <w:spacing w:after="0" w:line="276" w:lineRule="auto"/>
              <w:jc w:val="left"/>
              <w:rPr>
                <w:rFonts w:cs="Arial"/>
                <w:b/>
                <w:bCs/>
                <w:sz w:val="15"/>
                <w:szCs w:val="15"/>
              </w:rPr>
            </w:pPr>
            <w:r w:rsidRPr="00F14FC1">
              <w:rPr>
                <w:rFonts w:cs="Arial"/>
                <w:b/>
                <w:bCs/>
                <w:sz w:val="15"/>
                <w:szCs w:val="15"/>
              </w:rPr>
              <w:t>Πληροφοριακά στοιχεία:</w:t>
            </w:r>
          </w:p>
        </w:tc>
        <w:tc>
          <w:tcPr>
            <w:tcW w:w="615" w:type="dxa"/>
            <w:tcBorders>
              <w:top w:val="nil"/>
              <w:bottom w:val="nil"/>
            </w:tcBorders>
            <w:shd w:val="clear" w:color="auto" w:fill="auto"/>
            <w:noWrap/>
            <w:vAlign w:val="center"/>
          </w:tcPr>
          <w:p w14:paraId="187CE556" w14:textId="1D9AB8C1" w:rsidR="006C26F8" w:rsidRPr="006C26F8" w:rsidRDefault="006C26F8" w:rsidP="00154D55">
            <w:pPr>
              <w:spacing w:after="0" w:line="276" w:lineRule="auto"/>
              <w:jc w:val="right"/>
              <w:rPr>
                <w:rFonts w:cs="Arial"/>
                <w:b/>
                <w:bCs/>
                <w:sz w:val="15"/>
                <w:szCs w:val="15"/>
              </w:rPr>
            </w:pPr>
          </w:p>
        </w:tc>
        <w:tc>
          <w:tcPr>
            <w:tcW w:w="716" w:type="dxa"/>
            <w:tcBorders>
              <w:top w:val="nil"/>
              <w:bottom w:val="nil"/>
            </w:tcBorders>
            <w:shd w:val="clear" w:color="auto" w:fill="auto"/>
            <w:noWrap/>
            <w:vAlign w:val="center"/>
          </w:tcPr>
          <w:p w14:paraId="0A76D476" w14:textId="350F0E0C" w:rsidR="006C26F8" w:rsidRPr="006C26F8" w:rsidRDefault="006C26F8" w:rsidP="00154D55">
            <w:pPr>
              <w:spacing w:after="0" w:line="276" w:lineRule="auto"/>
              <w:jc w:val="right"/>
              <w:rPr>
                <w:rFonts w:cs="Arial"/>
                <w:sz w:val="15"/>
                <w:szCs w:val="15"/>
              </w:rPr>
            </w:pPr>
          </w:p>
        </w:tc>
        <w:tc>
          <w:tcPr>
            <w:tcW w:w="716" w:type="dxa"/>
            <w:tcBorders>
              <w:top w:val="nil"/>
              <w:bottom w:val="nil"/>
            </w:tcBorders>
            <w:shd w:val="clear" w:color="auto" w:fill="auto"/>
            <w:noWrap/>
            <w:vAlign w:val="center"/>
          </w:tcPr>
          <w:p w14:paraId="0BC15989" w14:textId="0415028A" w:rsidR="006C26F8" w:rsidRPr="006C26F8" w:rsidRDefault="006C26F8" w:rsidP="00154D55">
            <w:pPr>
              <w:spacing w:after="0" w:line="276" w:lineRule="auto"/>
              <w:jc w:val="right"/>
              <w:rPr>
                <w:rFonts w:cs="Arial"/>
                <w:sz w:val="15"/>
                <w:szCs w:val="15"/>
              </w:rPr>
            </w:pPr>
          </w:p>
        </w:tc>
        <w:tc>
          <w:tcPr>
            <w:tcW w:w="716" w:type="dxa"/>
            <w:tcBorders>
              <w:top w:val="nil"/>
              <w:bottom w:val="nil"/>
            </w:tcBorders>
            <w:shd w:val="clear" w:color="auto" w:fill="auto"/>
            <w:noWrap/>
            <w:vAlign w:val="center"/>
          </w:tcPr>
          <w:p w14:paraId="139485C2" w14:textId="2696D924" w:rsidR="006C26F8" w:rsidRPr="006C26F8" w:rsidRDefault="006C26F8" w:rsidP="00154D55">
            <w:pPr>
              <w:spacing w:after="0" w:line="276" w:lineRule="auto"/>
              <w:jc w:val="right"/>
              <w:rPr>
                <w:rFonts w:cs="Arial"/>
                <w:sz w:val="15"/>
                <w:szCs w:val="15"/>
              </w:rPr>
            </w:pPr>
          </w:p>
        </w:tc>
        <w:tc>
          <w:tcPr>
            <w:tcW w:w="686" w:type="dxa"/>
            <w:tcBorders>
              <w:top w:val="nil"/>
              <w:bottom w:val="nil"/>
            </w:tcBorders>
            <w:shd w:val="clear" w:color="auto" w:fill="auto"/>
            <w:noWrap/>
            <w:vAlign w:val="center"/>
          </w:tcPr>
          <w:p w14:paraId="43DC24AA" w14:textId="20FD0ADF" w:rsidR="006C26F8" w:rsidRPr="006C26F8" w:rsidRDefault="006C26F8" w:rsidP="00154D55">
            <w:pPr>
              <w:spacing w:after="0" w:line="276" w:lineRule="auto"/>
              <w:jc w:val="right"/>
              <w:rPr>
                <w:rFonts w:cs="Arial"/>
                <w:sz w:val="15"/>
                <w:szCs w:val="15"/>
              </w:rPr>
            </w:pPr>
          </w:p>
        </w:tc>
        <w:tc>
          <w:tcPr>
            <w:tcW w:w="716" w:type="dxa"/>
            <w:tcBorders>
              <w:top w:val="nil"/>
              <w:bottom w:val="nil"/>
            </w:tcBorders>
            <w:shd w:val="clear" w:color="auto" w:fill="auto"/>
            <w:noWrap/>
            <w:vAlign w:val="center"/>
          </w:tcPr>
          <w:p w14:paraId="6F7768A5" w14:textId="0F1B2F94" w:rsidR="006C26F8" w:rsidRPr="006C26F8" w:rsidRDefault="006C26F8" w:rsidP="00154D55">
            <w:pPr>
              <w:spacing w:after="0" w:line="276" w:lineRule="auto"/>
              <w:jc w:val="right"/>
              <w:rPr>
                <w:rFonts w:cs="Arial"/>
                <w:sz w:val="15"/>
                <w:szCs w:val="15"/>
              </w:rPr>
            </w:pPr>
          </w:p>
        </w:tc>
        <w:tc>
          <w:tcPr>
            <w:tcW w:w="716" w:type="dxa"/>
            <w:tcBorders>
              <w:top w:val="nil"/>
              <w:bottom w:val="nil"/>
            </w:tcBorders>
            <w:shd w:val="clear" w:color="auto" w:fill="auto"/>
            <w:noWrap/>
            <w:vAlign w:val="center"/>
          </w:tcPr>
          <w:p w14:paraId="52F66871" w14:textId="344D2898" w:rsidR="006C26F8" w:rsidRPr="006C26F8" w:rsidRDefault="006C26F8" w:rsidP="00154D55">
            <w:pPr>
              <w:spacing w:after="0" w:line="276" w:lineRule="auto"/>
              <w:jc w:val="right"/>
              <w:rPr>
                <w:rFonts w:cs="Arial"/>
                <w:sz w:val="15"/>
                <w:szCs w:val="15"/>
              </w:rPr>
            </w:pPr>
          </w:p>
        </w:tc>
        <w:tc>
          <w:tcPr>
            <w:tcW w:w="762" w:type="dxa"/>
            <w:tcBorders>
              <w:top w:val="nil"/>
              <w:bottom w:val="nil"/>
            </w:tcBorders>
            <w:shd w:val="clear" w:color="auto" w:fill="auto"/>
            <w:noWrap/>
            <w:vAlign w:val="center"/>
          </w:tcPr>
          <w:p w14:paraId="5211A379" w14:textId="654572AC" w:rsidR="006C26F8" w:rsidRPr="006C26F8" w:rsidRDefault="006C26F8" w:rsidP="00154D55">
            <w:pPr>
              <w:spacing w:after="0" w:line="276" w:lineRule="auto"/>
              <w:jc w:val="right"/>
              <w:rPr>
                <w:rFonts w:cs="Arial"/>
                <w:sz w:val="15"/>
                <w:szCs w:val="15"/>
              </w:rPr>
            </w:pPr>
          </w:p>
        </w:tc>
        <w:tc>
          <w:tcPr>
            <w:tcW w:w="716" w:type="dxa"/>
            <w:tcBorders>
              <w:top w:val="nil"/>
              <w:bottom w:val="nil"/>
            </w:tcBorders>
            <w:shd w:val="clear" w:color="auto" w:fill="auto"/>
            <w:noWrap/>
            <w:vAlign w:val="center"/>
          </w:tcPr>
          <w:p w14:paraId="09B92C6E" w14:textId="3D5AF3BD" w:rsidR="006C26F8" w:rsidRPr="006C26F8" w:rsidRDefault="006C26F8" w:rsidP="00154D55">
            <w:pPr>
              <w:spacing w:after="0" w:line="276" w:lineRule="auto"/>
              <w:jc w:val="right"/>
              <w:rPr>
                <w:rFonts w:cs="Arial"/>
                <w:sz w:val="15"/>
                <w:szCs w:val="15"/>
              </w:rPr>
            </w:pPr>
          </w:p>
        </w:tc>
        <w:tc>
          <w:tcPr>
            <w:tcW w:w="762" w:type="dxa"/>
            <w:tcBorders>
              <w:top w:val="nil"/>
              <w:bottom w:val="nil"/>
            </w:tcBorders>
            <w:shd w:val="clear" w:color="auto" w:fill="auto"/>
            <w:noWrap/>
            <w:vAlign w:val="center"/>
          </w:tcPr>
          <w:p w14:paraId="1FEA38C7" w14:textId="0C4E929B" w:rsidR="006C26F8" w:rsidRPr="006C26F8" w:rsidRDefault="006C26F8" w:rsidP="00154D55">
            <w:pPr>
              <w:spacing w:after="0" w:line="276" w:lineRule="auto"/>
              <w:jc w:val="right"/>
              <w:rPr>
                <w:rFonts w:cs="Arial"/>
                <w:sz w:val="15"/>
                <w:szCs w:val="15"/>
              </w:rPr>
            </w:pPr>
          </w:p>
        </w:tc>
        <w:tc>
          <w:tcPr>
            <w:tcW w:w="716" w:type="dxa"/>
            <w:tcBorders>
              <w:top w:val="nil"/>
              <w:bottom w:val="nil"/>
            </w:tcBorders>
            <w:shd w:val="clear" w:color="auto" w:fill="auto"/>
            <w:noWrap/>
            <w:vAlign w:val="center"/>
          </w:tcPr>
          <w:p w14:paraId="7790E256" w14:textId="4ACBECF7" w:rsidR="006C26F8" w:rsidRPr="006C26F8" w:rsidRDefault="006C26F8" w:rsidP="00154D55">
            <w:pPr>
              <w:spacing w:after="0" w:line="276" w:lineRule="auto"/>
              <w:jc w:val="right"/>
              <w:rPr>
                <w:rFonts w:cs="Arial"/>
                <w:sz w:val="15"/>
                <w:szCs w:val="15"/>
              </w:rPr>
            </w:pPr>
          </w:p>
        </w:tc>
        <w:tc>
          <w:tcPr>
            <w:tcW w:w="759" w:type="dxa"/>
            <w:tcBorders>
              <w:top w:val="nil"/>
              <w:bottom w:val="nil"/>
              <w:right w:val="single" w:sz="4" w:space="0" w:color="808080" w:themeColor="background1" w:themeShade="80"/>
            </w:tcBorders>
            <w:shd w:val="clear" w:color="auto" w:fill="auto"/>
            <w:noWrap/>
            <w:vAlign w:val="center"/>
          </w:tcPr>
          <w:p w14:paraId="0C47F85A" w14:textId="071EFC91" w:rsidR="006C26F8" w:rsidRPr="006C26F8" w:rsidRDefault="006C26F8" w:rsidP="00154D55">
            <w:pPr>
              <w:spacing w:after="0" w:line="276" w:lineRule="auto"/>
              <w:jc w:val="right"/>
              <w:rPr>
                <w:rFonts w:cs="Arial"/>
                <w:sz w:val="15"/>
                <w:szCs w:val="15"/>
              </w:rPr>
            </w:pPr>
          </w:p>
        </w:tc>
      </w:tr>
      <w:tr w:rsidR="00DA60F3" w:rsidRPr="00D44B43" w14:paraId="7EDDFBD2" w14:textId="77777777" w:rsidTr="00154D55">
        <w:trPr>
          <w:cantSplit/>
          <w:jc w:val="center"/>
        </w:trPr>
        <w:tc>
          <w:tcPr>
            <w:tcW w:w="2543" w:type="dxa"/>
            <w:gridSpan w:val="2"/>
            <w:tcBorders>
              <w:top w:val="nil"/>
              <w:right w:val="nil"/>
            </w:tcBorders>
            <w:shd w:val="clear" w:color="auto" w:fill="F2F2F2" w:themeFill="background1" w:themeFillShade="F2"/>
            <w:noWrap/>
            <w:vAlign w:val="center"/>
            <w:hideMark/>
          </w:tcPr>
          <w:p w14:paraId="27D474B0" w14:textId="195591C1" w:rsidR="00DA60F3" w:rsidRPr="009F0B7C" w:rsidRDefault="00DA60F3" w:rsidP="00154D55">
            <w:pPr>
              <w:spacing w:after="0" w:line="276" w:lineRule="auto"/>
              <w:jc w:val="left"/>
              <w:rPr>
                <w:rFonts w:cs="Arial"/>
                <w:b/>
                <w:bCs/>
                <w:sz w:val="15"/>
                <w:szCs w:val="15"/>
              </w:rPr>
            </w:pPr>
            <w:r w:rsidRPr="009F0B7C">
              <w:rPr>
                <w:rFonts w:cs="Arial"/>
                <w:b/>
                <w:bCs/>
                <w:sz w:val="15"/>
                <w:szCs w:val="15"/>
              </w:rPr>
              <w:t xml:space="preserve">Έσοδα </w:t>
            </w:r>
            <w:r w:rsidR="00B25370" w:rsidRPr="009F0B7C">
              <w:rPr>
                <w:rFonts w:cs="Arial"/>
                <w:b/>
                <w:bCs/>
                <w:sz w:val="15"/>
                <w:szCs w:val="15"/>
              </w:rPr>
              <w:t>προϋπολογισμού δημοσίων επενδύσεων</w:t>
            </w:r>
          </w:p>
        </w:tc>
        <w:tc>
          <w:tcPr>
            <w:tcW w:w="615" w:type="dxa"/>
            <w:tcBorders>
              <w:top w:val="nil"/>
              <w:left w:val="nil"/>
              <w:bottom w:val="nil"/>
              <w:right w:val="nil"/>
            </w:tcBorders>
            <w:shd w:val="clear" w:color="auto" w:fill="F2F2F2" w:themeFill="background1" w:themeFillShade="F2"/>
            <w:vAlign w:val="center"/>
          </w:tcPr>
          <w:p w14:paraId="1C8D5AEF" w14:textId="144F7F16" w:rsidR="00DA60F3" w:rsidRPr="00DA60F3" w:rsidRDefault="00DA60F3" w:rsidP="00154D55">
            <w:pPr>
              <w:spacing w:after="0" w:line="276" w:lineRule="auto"/>
              <w:jc w:val="right"/>
              <w:rPr>
                <w:rFonts w:cs="Arial"/>
                <w:b/>
                <w:bCs/>
                <w:sz w:val="15"/>
                <w:szCs w:val="15"/>
              </w:rPr>
            </w:pPr>
            <w:r w:rsidRPr="00DA60F3">
              <w:rPr>
                <w:rFonts w:cs="Arial"/>
                <w:b/>
                <w:bCs/>
                <w:sz w:val="15"/>
                <w:szCs w:val="15"/>
              </w:rPr>
              <w:t>130</w:t>
            </w:r>
          </w:p>
        </w:tc>
        <w:tc>
          <w:tcPr>
            <w:tcW w:w="716" w:type="dxa"/>
            <w:tcBorders>
              <w:top w:val="nil"/>
              <w:left w:val="nil"/>
              <w:bottom w:val="nil"/>
              <w:right w:val="nil"/>
            </w:tcBorders>
            <w:shd w:val="clear" w:color="auto" w:fill="F2F2F2" w:themeFill="background1" w:themeFillShade="F2"/>
            <w:vAlign w:val="center"/>
          </w:tcPr>
          <w:p w14:paraId="75E631E0" w14:textId="356EB653" w:rsidR="00DA60F3" w:rsidRPr="00DA60F3" w:rsidRDefault="00DA60F3" w:rsidP="00154D55">
            <w:pPr>
              <w:spacing w:after="0" w:line="276" w:lineRule="auto"/>
              <w:jc w:val="right"/>
              <w:rPr>
                <w:rFonts w:cs="Arial"/>
                <w:b/>
                <w:bCs/>
                <w:sz w:val="15"/>
                <w:szCs w:val="15"/>
              </w:rPr>
            </w:pPr>
            <w:r w:rsidRPr="00DA60F3">
              <w:rPr>
                <w:rFonts w:cs="Arial"/>
                <w:b/>
                <w:bCs/>
                <w:sz w:val="15"/>
                <w:szCs w:val="15"/>
              </w:rPr>
              <w:t>835</w:t>
            </w:r>
          </w:p>
        </w:tc>
        <w:tc>
          <w:tcPr>
            <w:tcW w:w="716" w:type="dxa"/>
            <w:tcBorders>
              <w:top w:val="nil"/>
              <w:left w:val="nil"/>
              <w:bottom w:val="nil"/>
              <w:right w:val="nil"/>
            </w:tcBorders>
            <w:shd w:val="clear" w:color="auto" w:fill="F2F2F2" w:themeFill="background1" w:themeFillShade="F2"/>
            <w:vAlign w:val="center"/>
          </w:tcPr>
          <w:p w14:paraId="1B146147" w14:textId="2E07B282" w:rsidR="00DA60F3" w:rsidRPr="00DA60F3" w:rsidRDefault="00DA60F3" w:rsidP="00154D55">
            <w:pPr>
              <w:spacing w:after="0" w:line="276" w:lineRule="auto"/>
              <w:jc w:val="right"/>
              <w:rPr>
                <w:rFonts w:cs="Arial"/>
                <w:b/>
                <w:bCs/>
                <w:sz w:val="15"/>
                <w:szCs w:val="15"/>
              </w:rPr>
            </w:pPr>
            <w:r w:rsidRPr="00DA60F3">
              <w:rPr>
                <w:rFonts w:cs="Arial"/>
                <w:b/>
                <w:bCs/>
                <w:sz w:val="15"/>
                <w:szCs w:val="15"/>
              </w:rPr>
              <w:t>1.730</w:t>
            </w:r>
          </w:p>
        </w:tc>
        <w:tc>
          <w:tcPr>
            <w:tcW w:w="716" w:type="dxa"/>
            <w:tcBorders>
              <w:top w:val="nil"/>
              <w:left w:val="nil"/>
              <w:bottom w:val="nil"/>
              <w:right w:val="nil"/>
            </w:tcBorders>
            <w:shd w:val="clear" w:color="auto" w:fill="F2F2F2" w:themeFill="background1" w:themeFillShade="F2"/>
            <w:vAlign w:val="center"/>
          </w:tcPr>
          <w:p w14:paraId="77E4A0DB" w14:textId="60A21AB6" w:rsidR="00DA60F3" w:rsidRPr="00DA60F3" w:rsidRDefault="00DA60F3" w:rsidP="00154D55">
            <w:pPr>
              <w:spacing w:after="0" w:line="276" w:lineRule="auto"/>
              <w:jc w:val="right"/>
              <w:rPr>
                <w:rFonts w:cs="Arial"/>
                <w:b/>
                <w:bCs/>
                <w:sz w:val="15"/>
                <w:szCs w:val="15"/>
              </w:rPr>
            </w:pPr>
            <w:r w:rsidRPr="00DA60F3">
              <w:rPr>
                <w:rFonts w:cs="Arial"/>
                <w:b/>
                <w:bCs/>
                <w:sz w:val="15"/>
                <w:szCs w:val="15"/>
              </w:rPr>
              <w:t>1.850</w:t>
            </w:r>
          </w:p>
        </w:tc>
        <w:tc>
          <w:tcPr>
            <w:tcW w:w="686" w:type="dxa"/>
            <w:tcBorders>
              <w:top w:val="nil"/>
              <w:left w:val="nil"/>
              <w:bottom w:val="nil"/>
              <w:right w:val="nil"/>
            </w:tcBorders>
            <w:shd w:val="clear" w:color="auto" w:fill="F2F2F2" w:themeFill="background1" w:themeFillShade="F2"/>
            <w:vAlign w:val="center"/>
          </w:tcPr>
          <w:p w14:paraId="18FBD704" w14:textId="6294961E" w:rsidR="00DA60F3" w:rsidRPr="00DA60F3" w:rsidRDefault="00DA60F3" w:rsidP="00154D55">
            <w:pPr>
              <w:spacing w:after="0" w:line="276" w:lineRule="auto"/>
              <w:jc w:val="right"/>
              <w:rPr>
                <w:rFonts w:cs="Arial"/>
                <w:b/>
                <w:bCs/>
                <w:sz w:val="15"/>
                <w:szCs w:val="15"/>
              </w:rPr>
            </w:pPr>
            <w:r w:rsidRPr="00DA60F3">
              <w:rPr>
                <w:rFonts w:cs="Arial"/>
                <w:b/>
                <w:bCs/>
                <w:sz w:val="15"/>
                <w:szCs w:val="15"/>
              </w:rPr>
              <w:t>1.945</w:t>
            </w:r>
          </w:p>
        </w:tc>
        <w:tc>
          <w:tcPr>
            <w:tcW w:w="716" w:type="dxa"/>
            <w:tcBorders>
              <w:top w:val="nil"/>
              <w:left w:val="nil"/>
              <w:bottom w:val="nil"/>
              <w:right w:val="nil"/>
            </w:tcBorders>
            <w:shd w:val="clear" w:color="auto" w:fill="F2F2F2" w:themeFill="background1" w:themeFillShade="F2"/>
            <w:vAlign w:val="center"/>
          </w:tcPr>
          <w:p w14:paraId="107465D6" w14:textId="0B65EEDD" w:rsidR="00DA60F3" w:rsidRPr="00DA60F3" w:rsidRDefault="00DA60F3" w:rsidP="00154D55">
            <w:pPr>
              <w:spacing w:after="0" w:line="276" w:lineRule="auto"/>
              <w:jc w:val="right"/>
              <w:rPr>
                <w:rFonts w:cs="Arial"/>
                <w:b/>
                <w:bCs/>
                <w:sz w:val="15"/>
                <w:szCs w:val="15"/>
              </w:rPr>
            </w:pPr>
            <w:r w:rsidRPr="00DA60F3">
              <w:rPr>
                <w:rFonts w:cs="Arial"/>
                <w:b/>
                <w:bCs/>
                <w:sz w:val="15"/>
                <w:szCs w:val="15"/>
              </w:rPr>
              <w:t>2.655</w:t>
            </w:r>
          </w:p>
        </w:tc>
        <w:tc>
          <w:tcPr>
            <w:tcW w:w="716" w:type="dxa"/>
            <w:tcBorders>
              <w:top w:val="nil"/>
              <w:left w:val="nil"/>
              <w:bottom w:val="nil"/>
              <w:right w:val="nil"/>
            </w:tcBorders>
            <w:shd w:val="clear" w:color="auto" w:fill="F2F2F2" w:themeFill="background1" w:themeFillShade="F2"/>
            <w:vAlign w:val="center"/>
          </w:tcPr>
          <w:p w14:paraId="5C736AC1" w14:textId="0EEBC5FF" w:rsidR="00DA60F3" w:rsidRPr="00DA60F3" w:rsidRDefault="00DA60F3" w:rsidP="00154D55">
            <w:pPr>
              <w:spacing w:after="0" w:line="276" w:lineRule="auto"/>
              <w:jc w:val="right"/>
              <w:rPr>
                <w:rFonts w:cs="Arial"/>
                <w:b/>
                <w:bCs/>
                <w:sz w:val="15"/>
                <w:szCs w:val="15"/>
              </w:rPr>
            </w:pPr>
            <w:r w:rsidRPr="00DA60F3">
              <w:rPr>
                <w:rFonts w:cs="Arial"/>
                <w:b/>
                <w:bCs/>
                <w:sz w:val="15"/>
                <w:szCs w:val="15"/>
              </w:rPr>
              <w:t>2.710</w:t>
            </w:r>
          </w:p>
        </w:tc>
        <w:tc>
          <w:tcPr>
            <w:tcW w:w="762" w:type="dxa"/>
            <w:tcBorders>
              <w:top w:val="nil"/>
              <w:left w:val="nil"/>
              <w:bottom w:val="nil"/>
              <w:right w:val="nil"/>
            </w:tcBorders>
            <w:shd w:val="clear" w:color="auto" w:fill="F2F2F2" w:themeFill="background1" w:themeFillShade="F2"/>
            <w:vAlign w:val="center"/>
          </w:tcPr>
          <w:p w14:paraId="52D347CD" w14:textId="4E6A92BD" w:rsidR="00DA60F3" w:rsidRPr="00DA60F3" w:rsidRDefault="00DA60F3" w:rsidP="00154D55">
            <w:pPr>
              <w:spacing w:after="0" w:line="276" w:lineRule="auto"/>
              <w:jc w:val="right"/>
              <w:rPr>
                <w:rFonts w:cs="Arial"/>
                <w:b/>
                <w:bCs/>
                <w:sz w:val="15"/>
                <w:szCs w:val="15"/>
              </w:rPr>
            </w:pPr>
            <w:r w:rsidRPr="00DA60F3">
              <w:rPr>
                <w:rFonts w:cs="Arial"/>
                <w:b/>
                <w:bCs/>
                <w:sz w:val="15"/>
                <w:szCs w:val="15"/>
              </w:rPr>
              <w:t>3.120</w:t>
            </w:r>
          </w:p>
        </w:tc>
        <w:tc>
          <w:tcPr>
            <w:tcW w:w="716" w:type="dxa"/>
            <w:tcBorders>
              <w:top w:val="nil"/>
              <w:left w:val="nil"/>
              <w:bottom w:val="nil"/>
              <w:right w:val="nil"/>
            </w:tcBorders>
            <w:shd w:val="clear" w:color="auto" w:fill="F2F2F2" w:themeFill="background1" w:themeFillShade="F2"/>
            <w:vAlign w:val="center"/>
          </w:tcPr>
          <w:p w14:paraId="0E766D93" w14:textId="469FF54E" w:rsidR="00DA60F3" w:rsidRPr="00DA60F3" w:rsidRDefault="00DA60F3" w:rsidP="00154D55">
            <w:pPr>
              <w:spacing w:after="0" w:line="276" w:lineRule="auto"/>
              <w:jc w:val="right"/>
              <w:rPr>
                <w:rFonts w:cs="Arial"/>
                <w:b/>
                <w:bCs/>
                <w:sz w:val="15"/>
                <w:szCs w:val="15"/>
              </w:rPr>
            </w:pPr>
            <w:r w:rsidRPr="00DA60F3">
              <w:rPr>
                <w:rFonts w:cs="Arial"/>
                <w:b/>
                <w:bCs/>
                <w:sz w:val="15"/>
                <w:szCs w:val="15"/>
              </w:rPr>
              <w:t>3.240</w:t>
            </w:r>
          </w:p>
        </w:tc>
        <w:tc>
          <w:tcPr>
            <w:tcW w:w="762" w:type="dxa"/>
            <w:tcBorders>
              <w:top w:val="nil"/>
              <w:left w:val="nil"/>
              <w:bottom w:val="nil"/>
              <w:right w:val="nil"/>
            </w:tcBorders>
            <w:shd w:val="clear" w:color="auto" w:fill="F2F2F2" w:themeFill="background1" w:themeFillShade="F2"/>
            <w:vAlign w:val="center"/>
          </w:tcPr>
          <w:p w14:paraId="70565BAB" w14:textId="6E314C2C" w:rsidR="00DA60F3" w:rsidRPr="00DA60F3" w:rsidRDefault="00DA60F3" w:rsidP="00154D55">
            <w:pPr>
              <w:spacing w:after="0" w:line="276" w:lineRule="auto"/>
              <w:jc w:val="right"/>
              <w:rPr>
                <w:rFonts w:cs="Arial"/>
                <w:b/>
                <w:bCs/>
                <w:sz w:val="15"/>
                <w:szCs w:val="15"/>
              </w:rPr>
            </w:pPr>
            <w:r w:rsidRPr="00DA60F3">
              <w:rPr>
                <w:rFonts w:cs="Arial"/>
                <w:b/>
                <w:bCs/>
                <w:sz w:val="15"/>
                <w:szCs w:val="15"/>
              </w:rPr>
              <w:t>3.305</w:t>
            </w:r>
          </w:p>
        </w:tc>
        <w:tc>
          <w:tcPr>
            <w:tcW w:w="716" w:type="dxa"/>
            <w:tcBorders>
              <w:top w:val="nil"/>
              <w:left w:val="nil"/>
              <w:bottom w:val="nil"/>
              <w:right w:val="nil"/>
            </w:tcBorders>
            <w:shd w:val="clear" w:color="auto" w:fill="F2F2F2" w:themeFill="background1" w:themeFillShade="F2"/>
            <w:vAlign w:val="center"/>
          </w:tcPr>
          <w:p w14:paraId="3C07A2F6" w14:textId="756B0B8D" w:rsidR="00DA60F3" w:rsidRPr="00DA60F3" w:rsidRDefault="00DA60F3" w:rsidP="00154D55">
            <w:pPr>
              <w:spacing w:after="0" w:line="276" w:lineRule="auto"/>
              <w:jc w:val="right"/>
              <w:rPr>
                <w:rFonts w:cs="Arial"/>
                <w:b/>
                <w:bCs/>
                <w:sz w:val="15"/>
                <w:szCs w:val="15"/>
              </w:rPr>
            </w:pPr>
            <w:r w:rsidRPr="00DA60F3">
              <w:rPr>
                <w:rFonts w:cs="Arial"/>
                <w:b/>
                <w:bCs/>
                <w:sz w:val="15"/>
                <w:szCs w:val="15"/>
              </w:rPr>
              <w:t>4.045</w:t>
            </w:r>
          </w:p>
        </w:tc>
        <w:tc>
          <w:tcPr>
            <w:tcW w:w="759" w:type="dxa"/>
            <w:tcBorders>
              <w:top w:val="nil"/>
              <w:left w:val="nil"/>
              <w:bottom w:val="nil"/>
              <w:right w:val="single" w:sz="4" w:space="0" w:color="808080" w:themeColor="background1" w:themeShade="80"/>
            </w:tcBorders>
            <w:shd w:val="clear" w:color="auto" w:fill="F2F2F2" w:themeFill="background1" w:themeFillShade="F2"/>
            <w:vAlign w:val="center"/>
          </w:tcPr>
          <w:p w14:paraId="0C038A51" w14:textId="7340969A" w:rsidR="00DA60F3" w:rsidRPr="00DA60F3" w:rsidRDefault="00DA60F3" w:rsidP="00154D55">
            <w:pPr>
              <w:spacing w:after="0" w:line="276" w:lineRule="auto"/>
              <w:jc w:val="right"/>
              <w:rPr>
                <w:rFonts w:cs="Arial"/>
                <w:b/>
                <w:bCs/>
                <w:sz w:val="15"/>
                <w:szCs w:val="15"/>
              </w:rPr>
            </w:pPr>
            <w:r w:rsidRPr="00DA60F3">
              <w:rPr>
                <w:rFonts w:cs="Arial"/>
                <w:b/>
                <w:bCs/>
                <w:sz w:val="15"/>
                <w:szCs w:val="15"/>
              </w:rPr>
              <w:t>4.545</w:t>
            </w:r>
          </w:p>
        </w:tc>
      </w:tr>
      <w:tr w:rsidR="00DA60F3" w:rsidRPr="00D44B43" w14:paraId="172BD031" w14:textId="77777777" w:rsidTr="00154D55">
        <w:trPr>
          <w:cantSplit/>
          <w:jc w:val="center"/>
        </w:trPr>
        <w:tc>
          <w:tcPr>
            <w:tcW w:w="2543" w:type="dxa"/>
            <w:gridSpan w:val="2"/>
            <w:tcBorders>
              <w:right w:val="nil"/>
            </w:tcBorders>
            <w:shd w:val="clear" w:color="auto" w:fill="F2F2F2" w:themeFill="background1" w:themeFillShade="F2"/>
            <w:noWrap/>
            <w:vAlign w:val="center"/>
            <w:hideMark/>
          </w:tcPr>
          <w:p w14:paraId="2512A28C" w14:textId="77777777" w:rsidR="00DA60F3" w:rsidRPr="009F0B7C" w:rsidRDefault="00DA60F3" w:rsidP="00154D55">
            <w:pPr>
              <w:spacing w:after="0" w:line="276" w:lineRule="auto"/>
              <w:jc w:val="left"/>
              <w:rPr>
                <w:rFonts w:cs="Arial"/>
                <w:b/>
                <w:bCs/>
                <w:sz w:val="15"/>
                <w:szCs w:val="15"/>
                <w:vertAlign w:val="superscript"/>
              </w:rPr>
            </w:pPr>
            <w:r w:rsidRPr="009F0B7C">
              <w:rPr>
                <w:rFonts w:cs="Arial"/>
                <w:b/>
                <w:bCs/>
                <w:sz w:val="15"/>
                <w:szCs w:val="15"/>
              </w:rPr>
              <w:t>Έσοδα ΤΑΑ</w:t>
            </w:r>
            <w:r w:rsidRPr="009F0B7C">
              <w:rPr>
                <w:rFonts w:cs="Arial"/>
                <w:b/>
                <w:bCs/>
                <w:sz w:val="15"/>
                <w:szCs w:val="15"/>
                <w:vertAlign w:val="superscript"/>
              </w:rPr>
              <w:t>3</w:t>
            </w:r>
          </w:p>
        </w:tc>
        <w:tc>
          <w:tcPr>
            <w:tcW w:w="615" w:type="dxa"/>
            <w:tcBorders>
              <w:top w:val="nil"/>
              <w:left w:val="nil"/>
              <w:bottom w:val="nil"/>
              <w:right w:val="nil"/>
            </w:tcBorders>
            <w:shd w:val="clear" w:color="auto" w:fill="F2F2F2" w:themeFill="background1" w:themeFillShade="F2"/>
            <w:vAlign w:val="center"/>
          </w:tcPr>
          <w:p w14:paraId="56F2A70E" w14:textId="67B677B1" w:rsidR="00DA60F3" w:rsidRPr="00DA60F3" w:rsidRDefault="00DA60F3" w:rsidP="00154D55">
            <w:pPr>
              <w:spacing w:after="0" w:line="276" w:lineRule="auto"/>
              <w:jc w:val="right"/>
              <w:rPr>
                <w:rFonts w:cs="Arial"/>
                <w:b/>
                <w:bCs/>
                <w:sz w:val="15"/>
                <w:szCs w:val="15"/>
              </w:rPr>
            </w:pPr>
            <w:r w:rsidRPr="00DA60F3">
              <w:rPr>
                <w:rFonts w:cs="Arial"/>
                <w:b/>
                <w:bCs/>
                <w:sz w:val="15"/>
                <w:szCs w:val="15"/>
              </w:rPr>
              <w:t>0</w:t>
            </w:r>
          </w:p>
        </w:tc>
        <w:tc>
          <w:tcPr>
            <w:tcW w:w="716" w:type="dxa"/>
            <w:tcBorders>
              <w:top w:val="nil"/>
              <w:left w:val="nil"/>
              <w:bottom w:val="nil"/>
              <w:right w:val="nil"/>
            </w:tcBorders>
            <w:shd w:val="clear" w:color="auto" w:fill="F2F2F2" w:themeFill="background1" w:themeFillShade="F2"/>
            <w:vAlign w:val="center"/>
          </w:tcPr>
          <w:p w14:paraId="35FFA7E4" w14:textId="40790653" w:rsidR="00DA60F3" w:rsidRPr="00DA60F3" w:rsidRDefault="00DA60F3" w:rsidP="00154D55">
            <w:pPr>
              <w:spacing w:after="0" w:line="276" w:lineRule="auto"/>
              <w:jc w:val="right"/>
              <w:rPr>
                <w:rFonts w:cs="Arial"/>
                <w:b/>
                <w:bCs/>
                <w:sz w:val="15"/>
                <w:szCs w:val="15"/>
              </w:rPr>
            </w:pPr>
            <w:r w:rsidRPr="00DA60F3">
              <w:rPr>
                <w:rFonts w:cs="Arial"/>
                <w:b/>
                <w:bCs/>
                <w:sz w:val="15"/>
                <w:szCs w:val="15"/>
              </w:rPr>
              <w:t>0</w:t>
            </w:r>
          </w:p>
        </w:tc>
        <w:tc>
          <w:tcPr>
            <w:tcW w:w="716" w:type="dxa"/>
            <w:tcBorders>
              <w:top w:val="nil"/>
              <w:left w:val="nil"/>
              <w:bottom w:val="nil"/>
              <w:right w:val="nil"/>
            </w:tcBorders>
            <w:shd w:val="clear" w:color="auto" w:fill="F2F2F2" w:themeFill="background1" w:themeFillShade="F2"/>
            <w:vAlign w:val="center"/>
          </w:tcPr>
          <w:p w14:paraId="2BD8AD92" w14:textId="26028494" w:rsidR="00DA60F3" w:rsidRPr="00DA60F3" w:rsidRDefault="00DA60F3" w:rsidP="00154D55">
            <w:pPr>
              <w:spacing w:after="0" w:line="276" w:lineRule="auto"/>
              <w:jc w:val="right"/>
              <w:rPr>
                <w:rFonts w:cs="Arial"/>
                <w:b/>
                <w:bCs/>
                <w:sz w:val="15"/>
                <w:szCs w:val="15"/>
              </w:rPr>
            </w:pPr>
            <w:r w:rsidRPr="00DA60F3">
              <w:rPr>
                <w:rFonts w:cs="Arial"/>
                <w:b/>
                <w:bCs/>
                <w:sz w:val="15"/>
                <w:szCs w:val="15"/>
              </w:rPr>
              <w:t>0</w:t>
            </w:r>
          </w:p>
        </w:tc>
        <w:tc>
          <w:tcPr>
            <w:tcW w:w="716" w:type="dxa"/>
            <w:tcBorders>
              <w:top w:val="nil"/>
              <w:left w:val="nil"/>
              <w:bottom w:val="nil"/>
              <w:right w:val="nil"/>
            </w:tcBorders>
            <w:shd w:val="clear" w:color="auto" w:fill="F2F2F2" w:themeFill="background1" w:themeFillShade="F2"/>
            <w:vAlign w:val="center"/>
          </w:tcPr>
          <w:p w14:paraId="3287886A" w14:textId="55786778" w:rsidR="00DA60F3" w:rsidRPr="00DA60F3" w:rsidRDefault="00DA60F3" w:rsidP="00154D55">
            <w:pPr>
              <w:spacing w:after="0" w:line="276" w:lineRule="auto"/>
              <w:jc w:val="right"/>
              <w:rPr>
                <w:rFonts w:cs="Arial"/>
                <w:b/>
                <w:bCs/>
                <w:sz w:val="15"/>
                <w:szCs w:val="15"/>
              </w:rPr>
            </w:pPr>
            <w:r w:rsidRPr="00DA60F3">
              <w:rPr>
                <w:rFonts w:cs="Arial"/>
                <w:b/>
                <w:bCs/>
                <w:sz w:val="15"/>
                <w:szCs w:val="15"/>
              </w:rPr>
              <w:t>0</w:t>
            </w:r>
          </w:p>
        </w:tc>
        <w:tc>
          <w:tcPr>
            <w:tcW w:w="686" w:type="dxa"/>
            <w:tcBorders>
              <w:top w:val="nil"/>
              <w:left w:val="nil"/>
              <w:bottom w:val="nil"/>
              <w:right w:val="nil"/>
            </w:tcBorders>
            <w:shd w:val="clear" w:color="auto" w:fill="F2F2F2" w:themeFill="background1" w:themeFillShade="F2"/>
            <w:vAlign w:val="center"/>
          </w:tcPr>
          <w:p w14:paraId="14892433" w14:textId="612C77E0" w:rsidR="00DA60F3" w:rsidRPr="00DA60F3" w:rsidRDefault="00DA60F3" w:rsidP="00154D55">
            <w:pPr>
              <w:spacing w:after="0" w:line="276" w:lineRule="auto"/>
              <w:jc w:val="right"/>
              <w:rPr>
                <w:rFonts w:cs="Arial"/>
                <w:b/>
                <w:bCs/>
                <w:sz w:val="15"/>
                <w:szCs w:val="15"/>
              </w:rPr>
            </w:pPr>
            <w:r w:rsidRPr="00DA60F3">
              <w:rPr>
                <w:rFonts w:cs="Arial"/>
                <w:b/>
                <w:bCs/>
                <w:sz w:val="15"/>
                <w:szCs w:val="15"/>
              </w:rPr>
              <w:t>0</w:t>
            </w:r>
          </w:p>
        </w:tc>
        <w:tc>
          <w:tcPr>
            <w:tcW w:w="716" w:type="dxa"/>
            <w:tcBorders>
              <w:top w:val="nil"/>
              <w:left w:val="nil"/>
              <w:bottom w:val="nil"/>
              <w:right w:val="nil"/>
            </w:tcBorders>
            <w:shd w:val="clear" w:color="auto" w:fill="F2F2F2" w:themeFill="background1" w:themeFillShade="F2"/>
            <w:vAlign w:val="center"/>
          </w:tcPr>
          <w:p w14:paraId="6C3E7C43" w14:textId="48CECFAF" w:rsidR="00DA60F3" w:rsidRPr="00DA60F3" w:rsidRDefault="00DA60F3" w:rsidP="00154D55">
            <w:pPr>
              <w:spacing w:after="0" w:line="276" w:lineRule="auto"/>
              <w:jc w:val="right"/>
              <w:rPr>
                <w:rFonts w:cs="Arial"/>
                <w:b/>
                <w:bCs/>
                <w:sz w:val="15"/>
                <w:szCs w:val="15"/>
              </w:rPr>
            </w:pPr>
            <w:r w:rsidRPr="00DA60F3">
              <w:rPr>
                <w:rFonts w:cs="Arial"/>
                <w:b/>
                <w:bCs/>
                <w:sz w:val="15"/>
                <w:szCs w:val="15"/>
              </w:rPr>
              <w:t>1.258</w:t>
            </w:r>
          </w:p>
        </w:tc>
        <w:tc>
          <w:tcPr>
            <w:tcW w:w="716" w:type="dxa"/>
            <w:tcBorders>
              <w:top w:val="nil"/>
              <w:left w:val="nil"/>
              <w:bottom w:val="nil"/>
              <w:right w:val="nil"/>
            </w:tcBorders>
            <w:shd w:val="clear" w:color="auto" w:fill="F2F2F2" w:themeFill="background1" w:themeFillShade="F2"/>
            <w:vAlign w:val="center"/>
          </w:tcPr>
          <w:p w14:paraId="3431F7F9" w14:textId="118D5F94" w:rsidR="00DA60F3" w:rsidRPr="00DA60F3" w:rsidRDefault="00DA60F3" w:rsidP="00154D55">
            <w:pPr>
              <w:spacing w:after="0" w:line="276" w:lineRule="auto"/>
              <w:jc w:val="right"/>
              <w:rPr>
                <w:rFonts w:cs="Arial"/>
                <w:b/>
                <w:bCs/>
                <w:sz w:val="15"/>
                <w:szCs w:val="15"/>
              </w:rPr>
            </w:pPr>
            <w:r w:rsidRPr="00DA60F3">
              <w:rPr>
                <w:rFonts w:cs="Arial"/>
                <w:b/>
                <w:bCs/>
                <w:sz w:val="15"/>
                <w:szCs w:val="15"/>
              </w:rPr>
              <w:t>1.258</w:t>
            </w:r>
          </w:p>
        </w:tc>
        <w:tc>
          <w:tcPr>
            <w:tcW w:w="762" w:type="dxa"/>
            <w:tcBorders>
              <w:top w:val="nil"/>
              <w:left w:val="nil"/>
              <w:bottom w:val="nil"/>
              <w:right w:val="nil"/>
            </w:tcBorders>
            <w:shd w:val="clear" w:color="auto" w:fill="F2F2F2" w:themeFill="background1" w:themeFillShade="F2"/>
            <w:vAlign w:val="center"/>
          </w:tcPr>
          <w:p w14:paraId="7C02D901" w14:textId="2F107041" w:rsidR="00DA60F3" w:rsidRPr="00DA60F3" w:rsidRDefault="00DA60F3" w:rsidP="00154D55">
            <w:pPr>
              <w:spacing w:after="0" w:line="276" w:lineRule="auto"/>
              <w:jc w:val="right"/>
              <w:rPr>
                <w:rFonts w:cs="Arial"/>
                <w:b/>
                <w:bCs/>
                <w:sz w:val="15"/>
                <w:szCs w:val="15"/>
              </w:rPr>
            </w:pPr>
            <w:r w:rsidRPr="00DA60F3">
              <w:rPr>
                <w:rFonts w:cs="Arial"/>
                <w:b/>
                <w:bCs/>
                <w:sz w:val="15"/>
                <w:szCs w:val="15"/>
              </w:rPr>
              <w:t>1.258</w:t>
            </w:r>
          </w:p>
        </w:tc>
        <w:tc>
          <w:tcPr>
            <w:tcW w:w="716" w:type="dxa"/>
            <w:tcBorders>
              <w:top w:val="nil"/>
              <w:left w:val="nil"/>
              <w:bottom w:val="nil"/>
              <w:right w:val="nil"/>
            </w:tcBorders>
            <w:shd w:val="clear" w:color="auto" w:fill="F2F2F2" w:themeFill="background1" w:themeFillShade="F2"/>
            <w:vAlign w:val="center"/>
          </w:tcPr>
          <w:p w14:paraId="144BFB7E" w14:textId="7035E2C3" w:rsidR="00DA60F3" w:rsidRPr="00DA60F3" w:rsidRDefault="00DA60F3" w:rsidP="00154D55">
            <w:pPr>
              <w:spacing w:after="0" w:line="276" w:lineRule="auto"/>
              <w:jc w:val="right"/>
              <w:rPr>
                <w:rFonts w:cs="Arial"/>
                <w:b/>
                <w:bCs/>
                <w:sz w:val="15"/>
                <w:szCs w:val="15"/>
              </w:rPr>
            </w:pPr>
            <w:r w:rsidRPr="00DA60F3">
              <w:rPr>
                <w:rFonts w:cs="Arial"/>
                <w:b/>
                <w:bCs/>
                <w:sz w:val="15"/>
                <w:szCs w:val="15"/>
              </w:rPr>
              <w:t>1.258</w:t>
            </w:r>
          </w:p>
        </w:tc>
        <w:tc>
          <w:tcPr>
            <w:tcW w:w="762" w:type="dxa"/>
            <w:tcBorders>
              <w:top w:val="nil"/>
              <w:left w:val="nil"/>
              <w:bottom w:val="nil"/>
              <w:right w:val="nil"/>
            </w:tcBorders>
            <w:shd w:val="clear" w:color="auto" w:fill="F2F2F2" w:themeFill="background1" w:themeFillShade="F2"/>
            <w:vAlign w:val="center"/>
          </w:tcPr>
          <w:p w14:paraId="41FBDBA1" w14:textId="3D292892" w:rsidR="00DA60F3" w:rsidRPr="00DA60F3" w:rsidRDefault="00DA60F3" w:rsidP="00154D55">
            <w:pPr>
              <w:spacing w:after="0" w:line="276" w:lineRule="auto"/>
              <w:jc w:val="right"/>
              <w:rPr>
                <w:rFonts w:cs="Arial"/>
                <w:b/>
                <w:bCs/>
                <w:sz w:val="15"/>
                <w:szCs w:val="15"/>
              </w:rPr>
            </w:pPr>
            <w:r w:rsidRPr="00DA60F3">
              <w:rPr>
                <w:rFonts w:cs="Arial"/>
                <w:b/>
                <w:bCs/>
                <w:sz w:val="15"/>
                <w:szCs w:val="15"/>
              </w:rPr>
              <w:t>1.258</w:t>
            </w:r>
          </w:p>
        </w:tc>
        <w:tc>
          <w:tcPr>
            <w:tcW w:w="716" w:type="dxa"/>
            <w:tcBorders>
              <w:top w:val="nil"/>
              <w:left w:val="nil"/>
              <w:bottom w:val="nil"/>
              <w:right w:val="nil"/>
            </w:tcBorders>
            <w:shd w:val="clear" w:color="auto" w:fill="F2F2F2" w:themeFill="background1" w:themeFillShade="F2"/>
            <w:vAlign w:val="center"/>
          </w:tcPr>
          <w:p w14:paraId="76257492" w14:textId="602C0D4B" w:rsidR="00DA60F3" w:rsidRPr="00DA60F3" w:rsidRDefault="00DA60F3" w:rsidP="00154D55">
            <w:pPr>
              <w:spacing w:after="0" w:line="276" w:lineRule="auto"/>
              <w:jc w:val="right"/>
              <w:rPr>
                <w:rFonts w:cs="Arial"/>
                <w:b/>
                <w:bCs/>
                <w:sz w:val="15"/>
                <w:szCs w:val="15"/>
              </w:rPr>
            </w:pPr>
            <w:r w:rsidRPr="00DA60F3">
              <w:rPr>
                <w:rFonts w:cs="Arial"/>
                <w:b/>
                <w:bCs/>
                <w:sz w:val="15"/>
                <w:szCs w:val="15"/>
              </w:rPr>
              <w:t>1.258</w:t>
            </w:r>
          </w:p>
        </w:tc>
        <w:tc>
          <w:tcPr>
            <w:tcW w:w="759" w:type="dxa"/>
            <w:tcBorders>
              <w:top w:val="nil"/>
              <w:left w:val="nil"/>
              <w:bottom w:val="nil"/>
              <w:right w:val="single" w:sz="4" w:space="0" w:color="808080" w:themeColor="background1" w:themeShade="80"/>
            </w:tcBorders>
            <w:shd w:val="clear" w:color="auto" w:fill="F2F2F2" w:themeFill="background1" w:themeFillShade="F2"/>
            <w:vAlign w:val="center"/>
          </w:tcPr>
          <w:p w14:paraId="15F5F103" w14:textId="44FBC48A" w:rsidR="00DA60F3" w:rsidRPr="00DA60F3" w:rsidRDefault="00DA60F3" w:rsidP="00154D55">
            <w:pPr>
              <w:spacing w:after="0" w:line="276" w:lineRule="auto"/>
              <w:jc w:val="right"/>
              <w:rPr>
                <w:rFonts w:cs="Arial"/>
                <w:b/>
                <w:bCs/>
                <w:sz w:val="15"/>
                <w:szCs w:val="15"/>
              </w:rPr>
            </w:pPr>
            <w:r w:rsidRPr="00DA60F3">
              <w:rPr>
                <w:rFonts w:cs="Arial"/>
                <w:b/>
                <w:bCs/>
                <w:sz w:val="15"/>
                <w:szCs w:val="15"/>
              </w:rPr>
              <w:t>6.175</w:t>
            </w:r>
          </w:p>
        </w:tc>
      </w:tr>
      <w:tr w:rsidR="00DA60F3" w:rsidRPr="00D44B43" w14:paraId="159390EC" w14:textId="77777777" w:rsidTr="00154D55">
        <w:trPr>
          <w:cantSplit/>
          <w:jc w:val="center"/>
        </w:trPr>
        <w:tc>
          <w:tcPr>
            <w:tcW w:w="2543" w:type="dxa"/>
            <w:gridSpan w:val="2"/>
            <w:tcBorders>
              <w:right w:val="nil"/>
            </w:tcBorders>
            <w:shd w:val="clear" w:color="auto" w:fill="F2F2F2" w:themeFill="background1" w:themeFillShade="F2"/>
            <w:noWrap/>
            <w:vAlign w:val="center"/>
            <w:hideMark/>
          </w:tcPr>
          <w:p w14:paraId="06DEA1F3" w14:textId="30E91490" w:rsidR="00DA60F3" w:rsidRPr="009F0B7C" w:rsidRDefault="00DA60F3" w:rsidP="00154D55">
            <w:pPr>
              <w:spacing w:after="0" w:line="276" w:lineRule="auto"/>
              <w:jc w:val="left"/>
              <w:rPr>
                <w:rFonts w:cs="Arial"/>
                <w:b/>
                <w:bCs/>
                <w:sz w:val="15"/>
                <w:szCs w:val="15"/>
              </w:rPr>
            </w:pPr>
            <w:r w:rsidRPr="009F0B7C">
              <w:rPr>
                <w:rFonts w:cs="Arial"/>
                <w:b/>
                <w:bCs/>
                <w:sz w:val="15"/>
                <w:szCs w:val="15"/>
              </w:rPr>
              <w:t xml:space="preserve">Δαπάνες </w:t>
            </w:r>
            <w:r w:rsidR="00B25370" w:rsidRPr="009F0B7C">
              <w:rPr>
                <w:rFonts w:cs="Arial"/>
                <w:b/>
                <w:bCs/>
                <w:sz w:val="15"/>
                <w:szCs w:val="15"/>
              </w:rPr>
              <w:t xml:space="preserve">προϋπολογισμού δημοσίων επενδύσεων </w:t>
            </w:r>
            <w:r w:rsidRPr="009F0B7C">
              <w:rPr>
                <w:rFonts w:cs="Arial"/>
                <w:b/>
                <w:bCs/>
                <w:sz w:val="15"/>
                <w:szCs w:val="15"/>
              </w:rPr>
              <w:t>εκτός ΤΑΑ</w:t>
            </w:r>
          </w:p>
        </w:tc>
        <w:tc>
          <w:tcPr>
            <w:tcW w:w="615" w:type="dxa"/>
            <w:tcBorders>
              <w:top w:val="nil"/>
              <w:left w:val="nil"/>
              <w:bottom w:val="nil"/>
              <w:right w:val="nil"/>
            </w:tcBorders>
            <w:shd w:val="clear" w:color="auto" w:fill="F2F2F2" w:themeFill="background1" w:themeFillShade="F2"/>
            <w:vAlign w:val="center"/>
          </w:tcPr>
          <w:p w14:paraId="25F798F5" w14:textId="34CE1C83" w:rsidR="00DA60F3" w:rsidRPr="00DA60F3" w:rsidRDefault="00DA60F3" w:rsidP="00154D55">
            <w:pPr>
              <w:spacing w:after="0" w:line="276" w:lineRule="auto"/>
              <w:jc w:val="right"/>
              <w:rPr>
                <w:rFonts w:cs="Arial"/>
                <w:b/>
                <w:bCs/>
                <w:sz w:val="15"/>
                <w:szCs w:val="15"/>
              </w:rPr>
            </w:pPr>
            <w:r w:rsidRPr="00DA60F3">
              <w:rPr>
                <w:rFonts w:cs="Arial"/>
                <w:b/>
                <w:bCs/>
                <w:sz w:val="15"/>
                <w:szCs w:val="15"/>
              </w:rPr>
              <w:t>549</w:t>
            </w:r>
          </w:p>
        </w:tc>
        <w:tc>
          <w:tcPr>
            <w:tcW w:w="716" w:type="dxa"/>
            <w:tcBorders>
              <w:top w:val="nil"/>
              <w:left w:val="nil"/>
              <w:bottom w:val="nil"/>
              <w:right w:val="nil"/>
            </w:tcBorders>
            <w:shd w:val="clear" w:color="auto" w:fill="F2F2F2" w:themeFill="background1" w:themeFillShade="F2"/>
            <w:vAlign w:val="center"/>
          </w:tcPr>
          <w:p w14:paraId="26B3B2E4" w14:textId="4975DD9F" w:rsidR="00DA60F3" w:rsidRPr="00DA60F3" w:rsidRDefault="00DA60F3" w:rsidP="00154D55">
            <w:pPr>
              <w:spacing w:after="0" w:line="276" w:lineRule="auto"/>
              <w:jc w:val="right"/>
              <w:rPr>
                <w:rFonts w:cs="Arial"/>
                <w:b/>
                <w:bCs/>
                <w:sz w:val="15"/>
                <w:szCs w:val="15"/>
              </w:rPr>
            </w:pPr>
            <w:r w:rsidRPr="00DA60F3">
              <w:rPr>
                <w:rFonts w:cs="Arial"/>
                <w:b/>
                <w:bCs/>
                <w:sz w:val="15"/>
                <w:szCs w:val="15"/>
              </w:rPr>
              <w:t>1.135</w:t>
            </w:r>
          </w:p>
        </w:tc>
        <w:tc>
          <w:tcPr>
            <w:tcW w:w="716" w:type="dxa"/>
            <w:tcBorders>
              <w:top w:val="nil"/>
              <w:left w:val="nil"/>
              <w:bottom w:val="nil"/>
              <w:right w:val="nil"/>
            </w:tcBorders>
            <w:shd w:val="clear" w:color="auto" w:fill="F2F2F2" w:themeFill="background1" w:themeFillShade="F2"/>
            <w:vAlign w:val="center"/>
          </w:tcPr>
          <w:p w14:paraId="56E29E08" w14:textId="7C2ED6C1" w:rsidR="00DA60F3" w:rsidRPr="00DA60F3" w:rsidRDefault="00DA60F3" w:rsidP="00154D55">
            <w:pPr>
              <w:spacing w:after="0" w:line="276" w:lineRule="auto"/>
              <w:jc w:val="right"/>
              <w:rPr>
                <w:rFonts w:cs="Arial"/>
                <w:b/>
                <w:bCs/>
                <w:sz w:val="15"/>
                <w:szCs w:val="15"/>
              </w:rPr>
            </w:pPr>
            <w:r w:rsidRPr="00DA60F3">
              <w:rPr>
                <w:rFonts w:cs="Arial"/>
                <w:b/>
                <w:bCs/>
                <w:sz w:val="15"/>
                <w:szCs w:val="15"/>
              </w:rPr>
              <w:t>1.637</w:t>
            </w:r>
          </w:p>
        </w:tc>
        <w:tc>
          <w:tcPr>
            <w:tcW w:w="716" w:type="dxa"/>
            <w:tcBorders>
              <w:top w:val="nil"/>
              <w:left w:val="nil"/>
              <w:bottom w:val="nil"/>
              <w:right w:val="nil"/>
            </w:tcBorders>
            <w:shd w:val="clear" w:color="auto" w:fill="F2F2F2" w:themeFill="background1" w:themeFillShade="F2"/>
            <w:vAlign w:val="center"/>
          </w:tcPr>
          <w:p w14:paraId="4ED58481" w14:textId="7078FEAC" w:rsidR="00DA60F3" w:rsidRPr="00DA60F3" w:rsidRDefault="00DA60F3" w:rsidP="00154D55">
            <w:pPr>
              <w:spacing w:after="0" w:line="276" w:lineRule="auto"/>
              <w:jc w:val="right"/>
              <w:rPr>
                <w:rFonts w:cs="Arial"/>
                <w:b/>
                <w:bCs/>
                <w:sz w:val="15"/>
                <w:szCs w:val="15"/>
              </w:rPr>
            </w:pPr>
            <w:r w:rsidRPr="00DA60F3">
              <w:rPr>
                <w:rFonts w:cs="Arial"/>
                <w:b/>
                <w:bCs/>
                <w:sz w:val="15"/>
                <w:szCs w:val="15"/>
              </w:rPr>
              <w:t>2.347</w:t>
            </w:r>
          </w:p>
        </w:tc>
        <w:tc>
          <w:tcPr>
            <w:tcW w:w="686" w:type="dxa"/>
            <w:tcBorders>
              <w:top w:val="nil"/>
              <w:left w:val="nil"/>
              <w:bottom w:val="nil"/>
              <w:right w:val="nil"/>
            </w:tcBorders>
            <w:shd w:val="clear" w:color="auto" w:fill="F2F2F2" w:themeFill="background1" w:themeFillShade="F2"/>
            <w:vAlign w:val="center"/>
          </w:tcPr>
          <w:p w14:paraId="70491C68" w14:textId="5AB41550" w:rsidR="00DA60F3" w:rsidRPr="00DA60F3" w:rsidRDefault="00DA60F3" w:rsidP="00154D55">
            <w:pPr>
              <w:spacing w:after="0" w:line="276" w:lineRule="auto"/>
              <w:jc w:val="right"/>
              <w:rPr>
                <w:rFonts w:cs="Arial"/>
                <w:b/>
                <w:bCs/>
                <w:sz w:val="15"/>
                <w:szCs w:val="15"/>
              </w:rPr>
            </w:pPr>
            <w:r w:rsidRPr="00DA60F3">
              <w:rPr>
                <w:rFonts w:cs="Arial"/>
                <w:b/>
                <w:bCs/>
                <w:sz w:val="15"/>
                <w:szCs w:val="15"/>
              </w:rPr>
              <w:t>3.157</w:t>
            </w:r>
          </w:p>
        </w:tc>
        <w:tc>
          <w:tcPr>
            <w:tcW w:w="716" w:type="dxa"/>
            <w:tcBorders>
              <w:top w:val="nil"/>
              <w:left w:val="nil"/>
              <w:bottom w:val="nil"/>
              <w:right w:val="nil"/>
            </w:tcBorders>
            <w:shd w:val="clear" w:color="auto" w:fill="F2F2F2" w:themeFill="background1" w:themeFillShade="F2"/>
            <w:vAlign w:val="center"/>
          </w:tcPr>
          <w:p w14:paraId="3FD3AFED" w14:textId="78B0ACA8" w:rsidR="00DA60F3" w:rsidRPr="00DA60F3" w:rsidRDefault="00DA60F3" w:rsidP="00154D55">
            <w:pPr>
              <w:spacing w:after="0" w:line="276" w:lineRule="auto"/>
              <w:jc w:val="right"/>
              <w:rPr>
                <w:rFonts w:cs="Arial"/>
                <w:b/>
                <w:bCs/>
                <w:sz w:val="15"/>
                <w:szCs w:val="15"/>
              </w:rPr>
            </w:pPr>
            <w:r w:rsidRPr="00DA60F3">
              <w:rPr>
                <w:rFonts w:cs="Arial"/>
                <w:b/>
                <w:bCs/>
                <w:sz w:val="15"/>
                <w:szCs w:val="15"/>
              </w:rPr>
              <w:t>3.857</w:t>
            </w:r>
          </w:p>
        </w:tc>
        <w:tc>
          <w:tcPr>
            <w:tcW w:w="716" w:type="dxa"/>
            <w:tcBorders>
              <w:top w:val="nil"/>
              <w:left w:val="nil"/>
              <w:bottom w:val="nil"/>
              <w:right w:val="nil"/>
            </w:tcBorders>
            <w:shd w:val="clear" w:color="auto" w:fill="F2F2F2" w:themeFill="background1" w:themeFillShade="F2"/>
            <w:vAlign w:val="center"/>
          </w:tcPr>
          <w:p w14:paraId="3710F189" w14:textId="26A607F2" w:rsidR="00DA60F3" w:rsidRPr="00DA60F3" w:rsidRDefault="00DA60F3" w:rsidP="00154D55">
            <w:pPr>
              <w:spacing w:after="0" w:line="276" w:lineRule="auto"/>
              <w:jc w:val="right"/>
              <w:rPr>
                <w:rFonts w:cs="Arial"/>
                <w:b/>
                <w:bCs/>
                <w:sz w:val="15"/>
                <w:szCs w:val="15"/>
              </w:rPr>
            </w:pPr>
            <w:r w:rsidRPr="00DA60F3">
              <w:rPr>
                <w:rFonts w:cs="Arial"/>
                <w:b/>
                <w:bCs/>
                <w:sz w:val="15"/>
                <w:szCs w:val="15"/>
              </w:rPr>
              <w:t>4.553</w:t>
            </w:r>
          </w:p>
        </w:tc>
        <w:tc>
          <w:tcPr>
            <w:tcW w:w="762" w:type="dxa"/>
            <w:tcBorders>
              <w:top w:val="nil"/>
              <w:left w:val="nil"/>
              <w:bottom w:val="nil"/>
              <w:right w:val="nil"/>
            </w:tcBorders>
            <w:shd w:val="clear" w:color="auto" w:fill="F2F2F2" w:themeFill="background1" w:themeFillShade="F2"/>
            <w:vAlign w:val="center"/>
          </w:tcPr>
          <w:p w14:paraId="200EF7D4" w14:textId="66B6D53F" w:rsidR="00DA60F3" w:rsidRPr="00DA60F3" w:rsidRDefault="00DA60F3" w:rsidP="00154D55">
            <w:pPr>
              <w:spacing w:after="0" w:line="276" w:lineRule="auto"/>
              <w:jc w:val="right"/>
              <w:rPr>
                <w:rFonts w:cs="Arial"/>
                <w:b/>
                <w:bCs/>
                <w:sz w:val="15"/>
                <w:szCs w:val="15"/>
              </w:rPr>
            </w:pPr>
            <w:r w:rsidRPr="00DA60F3">
              <w:rPr>
                <w:rFonts w:cs="Arial"/>
                <w:b/>
                <w:bCs/>
                <w:sz w:val="15"/>
                <w:szCs w:val="15"/>
              </w:rPr>
              <w:t>5.057</w:t>
            </w:r>
          </w:p>
        </w:tc>
        <w:tc>
          <w:tcPr>
            <w:tcW w:w="716" w:type="dxa"/>
            <w:tcBorders>
              <w:top w:val="nil"/>
              <w:left w:val="nil"/>
              <w:bottom w:val="nil"/>
              <w:right w:val="nil"/>
            </w:tcBorders>
            <w:shd w:val="clear" w:color="auto" w:fill="F2F2F2" w:themeFill="background1" w:themeFillShade="F2"/>
            <w:vAlign w:val="center"/>
          </w:tcPr>
          <w:p w14:paraId="7946386F" w14:textId="4F6A54F4" w:rsidR="00DA60F3" w:rsidRPr="00DA60F3" w:rsidRDefault="00DA60F3" w:rsidP="00154D55">
            <w:pPr>
              <w:spacing w:after="0" w:line="276" w:lineRule="auto"/>
              <w:jc w:val="right"/>
              <w:rPr>
                <w:rFonts w:cs="Arial"/>
                <w:b/>
                <w:bCs/>
                <w:sz w:val="15"/>
                <w:szCs w:val="15"/>
              </w:rPr>
            </w:pPr>
            <w:r w:rsidRPr="00DA60F3">
              <w:rPr>
                <w:rFonts w:cs="Arial"/>
                <w:b/>
                <w:bCs/>
                <w:sz w:val="15"/>
                <w:szCs w:val="15"/>
              </w:rPr>
              <w:t>5.679</w:t>
            </w:r>
          </w:p>
        </w:tc>
        <w:tc>
          <w:tcPr>
            <w:tcW w:w="762" w:type="dxa"/>
            <w:tcBorders>
              <w:top w:val="nil"/>
              <w:left w:val="nil"/>
              <w:bottom w:val="nil"/>
              <w:right w:val="nil"/>
            </w:tcBorders>
            <w:shd w:val="clear" w:color="auto" w:fill="F2F2F2" w:themeFill="background1" w:themeFillShade="F2"/>
            <w:vAlign w:val="center"/>
          </w:tcPr>
          <w:p w14:paraId="15EFF1EA" w14:textId="5A290104" w:rsidR="00DA60F3" w:rsidRPr="00DA60F3" w:rsidRDefault="00DA60F3" w:rsidP="00154D55">
            <w:pPr>
              <w:spacing w:after="0" w:line="276" w:lineRule="auto"/>
              <w:jc w:val="right"/>
              <w:rPr>
                <w:rFonts w:cs="Arial"/>
                <w:b/>
                <w:bCs/>
                <w:sz w:val="15"/>
                <w:szCs w:val="15"/>
              </w:rPr>
            </w:pPr>
            <w:r w:rsidRPr="00DA60F3">
              <w:rPr>
                <w:rFonts w:cs="Arial"/>
                <w:b/>
                <w:bCs/>
                <w:sz w:val="15"/>
                <w:szCs w:val="15"/>
              </w:rPr>
              <w:t>6.492</w:t>
            </w:r>
          </w:p>
        </w:tc>
        <w:tc>
          <w:tcPr>
            <w:tcW w:w="716" w:type="dxa"/>
            <w:tcBorders>
              <w:top w:val="nil"/>
              <w:left w:val="nil"/>
              <w:bottom w:val="nil"/>
              <w:right w:val="nil"/>
            </w:tcBorders>
            <w:shd w:val="clear" w:color="auto" w:fill="F2F2F2" w:themeFill="background1" w:themeFillShade="F2"/>
            <w:vAlign w:val="center"/>
          </w:tcPr>
          <w:p w14:paraId="31204D97" w14:textId="3E7FAD76" w:rsidR="00DA60F3" w:rsidRPr="00DA60F3" w:rsidRDefault="00DA60F3" w:rsidP="00154D55">
            <w:pPr>
              <w:spacing w:after="0" w:line="276" w:lineRule="auto"/>
              <w:jc w:val="right"/>
              <w:rPr>
                <w:rFonts w:cs="Arial"/>
                <w:b/>
                <w:bCs/>
                <w:sz w:val="15"/>
                <w:szCs w:val="15"/>
              </w:rPr>
            </w:pPr>
            <w:r w:rsidRPr="00DA60F3">
              <w:rPr>
                <w:rFonts w:cs="Arial"/>
                <w:b/>
                <w:bCs/>
                <w:sz w:val="15"/>
                <w:szCs w:val="15"/>
              </w:rPr>
              <w:t>7.658</w:t>
            </w:r>
          </w:p>
        </w:tc>
        <w:tc>
          <w:tcPr>
            <w:tcW w:w="759" w:type="dxa"/>
            <w:tcBorders>
              <w:top w:val="nil"/>
              <w:left w:val="nil"/>
              <w:bottom w:val="nil"/>
              <w:right w:val="single" w:sz="4" w:space="0" w:color="808080" w:themeColor="background1" w:themeShade="80"/>
            </w:tcBorders>
            <w:shd w:val="clear" w:color="auto" w:fill="F2F2F2" w:themeFill="background1" w:themeFillShade="F2"/>
            <w:vAlign w:val="center"/>
          </w:tcPr>
          <w:p w14:paraId="3F4D5A72" w14:textId="6276104F" w:rsidR="00DA60F3" w:rsidRPr="00DA60F3" w:rsidRDefault="00DA60F3" w:rsidP="00154D55">
            <w:pPr>
              <w:spacing w:after="0" w:line="276" w:lineRule="auto"/>
              <w:jc w:val="right"/>
              <w:rPr>
                <w:rFonts w:cs="Arial"/>
                <w:b/>
                <w:bCs/>
                <w:sz w:val="15"/>
                <w:szCs w:val="15"/>
              </w:rPr>
            </w:pPr>
            <w:r w:rsidRPr="00DA60F3">
              <w:rPr>
                <w:rFonts w:cs="Arial"/>
                <w:b/>
                <w:bCs/>
                <w:sz w:val="15"/>
                <w:szCs w:val="15"/>
              </w:rPr>
              <w:t>9.500</w:t>
            </w:r>
          </w:p>
        </w:tc>
      </w:tr>
      <w:tr w:rsidR="00DA60F3" w:rsidRPr="00D44B43" w14:paraId="2DFC2EA2" w14:textId="77777777" w:rsidTr="00154D55">
        <w:trPr>
          <w:cantSplit/>
          <w:jc w:val="center"/>
        </w:trPr>
        <w:tc>
          <w:tcPr>
            <w:tcW w:w="2543" w:type="dxa"/>
            <w:gridSpan w:val="2"/>
            <w:tcBorders>
              <w:right w:val="nil"/>
            </w:tcBorders>
            <w:shd w:val="clear" w:color="auto" w:fill="F2F2F2" w:themeFill="background1" w:themeFillShade="F2"/>
            <w:noWrap/>
            <w:vAlign w:val="center"/>
            <w:hideMark/>
          </w:tcPr>
          <w:p w14:paraId="592B687A" w14:textId="77777777" w:rsidR="00DA60F3" w:rsidRPr="00F14FC1" w:rsidRDefault="00DA60F3" w:rsidP="00154D55">
            <w:pPr>
              <w:spacing w:after="0" w:line="276" w:lineRule="auto"/>
              <w:jc w:val="left"/>
              <w:rPr>
                <w:rFonts w:cs="Arial"/>
                <w:b/>
                <w:bCs/>
                <w:sz w:val="15"/>
                <w:szCs w:val="15"/>
                <w:vertAlign w:val="superscript"/>
              </w:rPr>
            </w:pPr>
            <w:r w:rsidRPr="00F14FC1">
              <w:rPr>
                <w:rFonts w:cs="Arial"/>
                <w:b/>
                <w:bCs/>
                <w:sz w:val="15"/>
                <w:szCs w:val="15"/>
              </w:rPr>
              <w:t xml:space="preserve">Δαπάνες </w:t>
            </w:r>
            <w:r>
              <w:rPr>
                <w:rFonts w:cs="Arial"/>
                <w:b/>
                <w:bCs/>
                <w:sz w:val="15"/>
                <w:szCs w:val="15"/>
              </w:rPr>
              <w:t>ΤΑΑ</w:t>
            </w:r>
            <w:r w:rsidRPr="00F14FC1">
              <w:rPr>
                <w:rFonts w:cs="Arial"/>
                <w:b/>
                <w:bCs/>
                <w:sz w:val="15"/>
                <w:szCs w:val="15"/>
                <w:vertAlign w:val="superscript"/>
              </w:rPr>
              <w:t>3</w:t>
            </w:r>
          </w:p>
        </w:tc>
        <w:tc>
          <w:tcPr>
            <w:tcW w:w="615" w:type="dxa"/>
            <w:tcBorders>
              <w:top w:val="nil"/>
              <w:left w:val="nil"/>
              <w:bottom w:val="nil"/>
              <w:right w:val="nil"/>
            </w:tcBorders>
            <w:shd w:val="clear" w:color="auto" w:fill="F2F2F2" w:themeFill="background1" w:themeFillShade="F2"/>
            <w:vAlign w:val="center"/>
          </w:tcPr>
          <w:p w14:paraId="7153F9BE" w14:textId="067F7704" w:rsidR="00DA60F3" w:rsidRPr="00DA60F3" w:rsidRDefault="00DA60F3" w:rsidP="00154D55">
            <w:pPr>
              <w:spacing w:after="0" w:line="276" w:lineRule="auto"/>
              <w:jc w:val="right"/>
              <w:rPr>
                <w:rFonts w:cs="Arial"/>
                <w:b/>
                <w:bCs/>
                <w:sz w:val="15"/>
                <w:szCs w:val="15"/>
              </w:rPr>
            </w:pPr>
            <w:r w:rsidRPr="00DA60F3">
              <w:rPr>
                <w:rFonts w:cs="Arial"/>
                <w:b/>
                <w:bCs/>
                <w:sz w:val="15"/>
                <w:szCs w:val="15"/>
              </w:rPr>
              <w:t>256</w:t>
            </w:r>
          </w:p>
        </w:tc>
        <w:tc>
          <w:tcPr>
            <w:tcW w:w="716" w:type="dxa"/>
            <w:tcBorders>
              <w:top w:val="nil"/>
              <w:left w:val="nil"/>
              <w:bottom w:val="nil"/>
              <w:right w:val="nil"/>
            </w:tcBorders>
            <w:shd w:val="clear" w:color="auto" w:fill="F2F2F2" w:themeFill="background1" w:themeFillShade="F2"/>
            <w:vAlign w:val="center"/>
          </w:tcPr>
          <w:p w14:paraId="3DA0DDAB" w14:textId="646ADC15" w:rsidR="00DA60F3" w:rsidRPr="00DA60F3" w:rsidRDefault="00DA60F3" w:rsidP="00154D55">
            <w:pPr>
              <w:spacing w:after="0" w:line="276" w:lineRule="auto"/>
              <w:jc w:val="right"/>
              <w:rPr>
                <w:rFonts w:cs="Arial"/>
                <w:b/>
                <w:bCs/>
                <w:sz w:val="15"/>
                <w:szCs w:val="15"/>
              </w:rPr>
            </w:pPr>
            <w:r w:rsidRPr="00DA60F3">
              <w:rPr>
                <w:rFonts w:cs="Arial"/>
                <w:b/>
                <w:bCs/>
                <w:sz w:val="15"/>
                <w:szCs w:val="15"/>
              </w:rPr>
              <w:t>646</w:t>
            </w:r>
          </w:p>
        </w:tc>
        <w:tc>
          <w:tcPr>
            <w:tcW w:w="716" w:type="dxa"/>
            <w:tcBorders>
              <w:top w:val="nil"/>
              <w:left w:val="nil"/>
              <w:bottom w:val="nil"/>
              <w:right w:val="nil"/>
            </w:tcBorders>
            <w:shd w:val="clear" w:color="auto" w:fill="F2F2F2" w:themeFill="background1" w:themeFillShade="F2"/>
            <w:vAlign w:val="center"/>
          </w:tcPr>
          <w:p w14:paraId="5F64B579" w14:textId="325A1267" w:rsidR="00DA60F3" w:rsidRPr="00DA60F3" w:rsidRDefault="00DA60F3" w:rsidP="00154D55">
            <w:pPr>
              <w:spacing w:after="0" w:line="276" w:lineRule="auto"/>
              <w:jc w:val="right"/>
              <w:rPr>
                <w:rFonts w:cs="Arial"/>
                <w:b/>
                <w:bCs/>
                <w:sz w:val="15"/>
                <w:szCs w:val="15"/>
              </w:rPr>
            </w:pPr>
            <w:r w:rsidRPr="00DA60F3">
              <w:rPr>
                <w:rFonts w:cs="Arial"/>
                <w:b/>
                <w:bCs/>
                <w:sz w:val="15"/>
                <w:szCs w:val="15"/>
              </w:rPr>
              <w:t>871</w:t>
            </w:r>
          </w:p>
        </w:tc>
        <w:tc>
          <w:tcPr>
            <w:tcW w:w="716" w:type="dxa"/>
            <w:tcBorders>
              <w:top w:val="nil"/>
              <w:left w:val="nil"/>
              <w:bottom w:val="nil"/>
              <w:right w:val="nil"/>
            </w:tcBorders>
            <w:shd w:val="clear" w:color="auto" w:fill="F2F2F2" w:themeFill="background1" w:themeFillShade="F2"/>
            <w:vAlign w:val="center"/>
          </w:tcPr>
          <w:p w14:paraId="3592C052" w14:textId="1A60FD3E" w:rsidR="00DA60F3" w:rsidRPr="00DA60F3" w:rsidRDefault="00DA60F3" w:rsidP="00154D55">
            <w:pPr>
              <w:spacing w:after="0" w:line="276" w:lineRule="auto"/>
              <w:jc w:val="right"/>
              <w:rPr>
                <w:rFonts w:cs="Arial"/>
                <w:b/>
                <w:bCs/>
                <w:sz w:val="15"/>
                <w:szCs w:val="15"/>
              </w:rPr>
            </w:pPr>
            <w:r w:rsidRPr="00DA60F3">
              <w:rPr>
                <w:rFonts w:cs="Arial"/>
                <w:b/>
                <w:bCs/>
                <w:sz w:val="15"/>
                <w:szCs w:val="15"/>
              </w:rPr>
              <w:t>1.184</w:t>
            </w:r>
          </w:p>
        </w:tc>
        <w:tc>
          <w:tcPr>
            <w:tcW w:w="686" w:type="dxa"/>
            <w:tcBorders>
              <w:top w:val="nil"/>
              <w:left w:val="nil"/>
              <w:bottom w:val="nil"/>
              <w:right w:val="nil"/>
            </w:tcBorders>
            <w:shd w:val="clear" w:color="auto" w:fill="F2F2F2" w:themeFill="background1" w:themeFillShade="F2"/>
            <w:vAlign w:val="center"/>
          </w:tcPr>
          <w:p w14:paraId="59E8C9B4" w14:textId="4A03F8CB" w:rsidR="00DA60F3" w:rsidRPr="00DA60F3" w:rsidRDefault="00DA60F3" w:rsidP="00154D55">
            <w:pPr>
              <w:spacing w:after="0" w:line="276" w:lineRule="auto"/>
              <w:jc w:val="right"/>
              <w:rPr>
                <w:rFonts w:cs="Arial"/>
                <w:b/>
                <w:bCs/>
                <w:sz w:val="15"/>
                <w:szCs w:val="15"/>
              </w:rPr>
            </w:pPr>
            <w:r w:rsidRPr="00DA60F3">
              <w:rPr>
                <w:rFonts w:cs="Arial"/>
                <w:b/>
                <w:bCs/>
                <w:sz w:val="15"/>
                <w:szCs w:val="15"/>
              </w:rPr>
              <w:t>1.501</w:t>
            </w:r>
          </w:p>
        </w:tc>
        <w:tc>
          <w:tcPr>
            <w:tcW w:w="716" w:type="dxa"/>
            <w:tcBorders>
              <w:top w:val="nil"/>
              <w:left w:val="nil"/>
              <w:bottom w:val="nil"/>
              <w:right w:val="nil"/>
            </w:tcBorders>
            <w:shd w:val="clear" w:color="auto" w:fill="F2F2F2" w:themeFill="background1" w:themeFillShade="F2"/>
            <w:vAlign w:val="center"/>
          </w:tcPr>
          <w:p w14:paraId="528ED5E8" w14:textId="77F624AE" w:rsidR="00DA60F3" w:rsidRPr="00DA60F3" w:rsidRDefault="00DA60F3" w:rsidP="00154D55">
            <w:pPr>
              <w:spacing w:after="0" w:line="276" w:lineRule="auto"/>
              <w:jc w:val="right"/>
              <w:rPr>
                <w:rFonts w:cs="Arial"/>
                <w:b/>
                <w:bCs/>
                <w:sz w:val="15"/>
                <w:szCs w:val="15"/>
              </w:rPr>
            </w:pPr>
            <w:r w:rsidRPr="00DA60F3">
              <w:rPr>
                <w:rFonts w:cs="Arial"/>
                <w:b/>
                <w:bCs/>
                <w:sz w:val="15"/>
                <w:szCs w:val="15"/>
              </w:rPr>
              <w:t>1.924</w:t>
            </w:r>
          </w:p>
        </w:tc>
        <w:tc>
          <w:tcPr>
            <w:tcW w:w="716" w:type="dxa"/>
            <w:tcBorders>
              <w:top w:val="nil"/>
              <w:left w:val="nil"/>
              <w:bottom w:val="nil"/>
              <w:right w:val="nil"/>
            </w:tcBorders>
            <w:shd w:val="clear" w:color="auto" w:fill="F2F2F2" w:themeFill="background1" w:themeFillShade="F2"/>
            <w:vAlign w:val="center"/>
          </w:tcPr>
          <w:p w14:paraId="4CB1051D" w14:textId="0944A747" w:rsidR="00DA60F3" w:rsidRPr="00DA60F3" w:rsidRDefault="00DA60F3" w:rsidP="00154D55">
            <w:pPr>
              <w:spacing w:after="0" w:line="276" w:lineRule="auto"/>
              <w:jc w:val="right"/>
              <w:rPr>
                <w:rFonts w:cs="Arial"/>
                <w:b/>
                <w:bCs/>
                <w:sz w:val="15"/>
                <w:szCs w:val="15"/>
              </w:rPr>
            </w:pPr>
            <w:r w:rsidRPr="00DA60F3">
              <w:rPr>
                <w:rFonts w:cs="Arial"/>
                <w:b/>
                <w:bCs/>
                <w:sz w:val="15"/>
                <w:szCs w:val="15"/>
              </w:rPr>
              <w:t>2.193</w:t>
            </w:r>
          </w:p>
        </w:tc>
        <w:tc>
          <w:tcPr>
            <w:tcW w:w="762" w:type="dxa"/>
            <w:tcBorders>
              <w:top w:val="nil"/>
              <w:left w:val="nil"/>
              <w:bottom w:val="nil"/>
              <w:right w:val="nil"/>
            </w:tcBorders>
            <w:shd w:val="clear" w:color="auto" w:fill="F2F2F2" w:themeFill="background1" w:themeFillShade="F2"/>
            <w:vAlign w:val="center"/>
          </w:tcPr>
          <w:p w14:paraId="3E1E0F97" w14:textId="77B3CDFD" w:rsidR="00DA60F3" w:rsidRPr="00DA60F3" w:rsidRDefault="00DA60F3" w:rsidP="00154D55">
            <w:pPr>
              <w:spacing w:after="0" w:line="276" w:lineRule="auto"/>
              <w:jc w:val="right"/>
              <w:rPr>
                <w:rFonts w:cs="Arial"/>
                <w:b/>
                <w:bCs/>
                <w:sz w:val="15"/>
                <w:szCs w:val="15"/>
              </w:rPr>
            </w:pPr>
            <w:r w:rsidRPr="00DA60F3">
              <w:rPr>
                <w:rFonts w:cs="Arial"/>
                <w:b/>
                <w:bCs/>
                <w:sz w:val="15"/>
                <w:szCs w:val="15"/>
              </w:rPr>
              <w:t>2.582</w:t>
            </w:r>
          </w:p>
        </w:tc>
        <w:tc>
          <w:tcPr>
            <w:tcW w:w="716" w:type="dxa"/>
            <w:tcBorders>
              <w:top w:val="nil"/>
              <w:left w:val="nil"/>
              <w:bottom w:val="nil"/>
              <w:right w:val="nil"/>
            </w:tcBorders>
            <w:shd w:val="clear" w:color="auto" w:fill="F2F2F2" w:themeFill="background1" w:themeFillShade="F2"/>
            <w:vAlign w:val="center"/>
          </w:tcPr>
          <w:p w14:paraId="2248D678" w14:textId="34FCED75" w:rsidR="00DA60F3" w:rsidRPr="00DA60F3" w:rsidRDefault="00DA60F3" w:rsidP="00154D55">
            <w:pPr>
              <w:spacing w:after="0" w:line="276" w:lineRule="auto"/>
              <w:jc w:val="right"/>
              <w:rPr>
                <w:rFonts w:cs="Arial"/>
                <w:b/>
                <w:bCs/>
                <w:sz w:val="15"/>
                <w:szCs w:val="15"/>
              </w:rPr>
            </w:pPr>
            <w:r w:rsidRPr="00DA60F3">
              <w:rPr>
                <w:rFonts w:cs="Arial"/>
                <w:b/>
                <w:bCs/>
                <w:sz w:val="15"/>
                <w:szCs w:val="15"/>
              </w:rPr>
              <w:t>3.145</w:t>
            </w:r>
          </w:p>
        </w:tc>
        <w:tc>
          <w:tcPr>
            <w:tcW w:w="762" w:type="dxa"/>
            <w:tcBorders>
              <w:top w:val="nil"/>
              <w:left w:val="nil"/>
              <w:bottom w:val="nil"/>
              <w:right w:val="nil"/>
            </w:tcBorders>
            <w:shd w:val="clear" w:color="auto" w:fill="F2F2F2" w:themeFill="background1" w:themeFillShade="F2"/>
            <w:vAlign w:val="center"/>
          </w:tcPr>
          <w:p w14:paraId="5F587F6D" w14:textId="2024D1CF" w:rsidR="00DA60F3" w:rsidRPr="00DA60F3" w:rsidRDefault="00DA60F3" w:rsidP="00154D55">
            <w:pPr>
              <w:spacing w:after="0" w:line="276" w:lineRule="auto"/>
              <w:jc w:val="right"/>
              <w:rPr>
                <w:rFonts w:cs="Arial"/>
                <w:b/>
                <w:bCs/>
                <w:sz w:val="15"/>
                <w:szCs w:val="15"/>
              </w:rPr>
            </w:pPr>
            <w:r w:rsidRPr="00DA60F3">
              <w:rPr>
                <w:rFonts w:cs="Arial"/>
                <w:b/>
                <w:bCs/>
                <w:sz w:val="15"/>
                <w:szCs w:val="15"/>
              </w:rPr>
              <w:t>3.845</w:t>
            </w:r>
          </w:p>
        </w:tc>
        <w:tc>
          <w:tcPr>
            <w:tcW w:w="716" w:type="dxa"/>
            <w:tcBorders>
              <w:top w:val="nil"/>
              <w:left w:val="nil"/>
              <w:bottom w:val="nil"/>
              <w:right w:val="nil"/>
            </w:tcBorders>
            <w:shd w:val="clear" w:color="auto" w:fill="F2F2F2" w:themeFill="background1" w:themeFillShade="F2"/>
            <w:vAlign w:val="center"/>
          </w:tcPr>
          <w:p w14:paraId="611D5D86" w14:textId="514B927E" w:rsidR="00DA60F3" w:rsidRPr="00DA60F3" w:rsidRDefault="00DA60F3" w:rsidP="00154D55">
            <w:pPr>
              <w:spacing w:after="0" w:line="276" w:lineRule="auto"/>
              <w:jc w:val="right"/>
              <w:rPr>
                <w:rFonts w:cs="Arial"/>
                <w:b/>
                <w:bCs/>
                <w:sz w:val="15"/>
                <w:szCs w:val="15"/>
              </w:rPr>
            </w:pPr>
            <w:r w:rsidRPr="00DA60F3">
              <w:rPr>
                <w:rFonts w:cs="Arial"/>
                <w:b/>
                <w:bCs/>
                <w:sz w:val="15"/>
                <w:szCs w:val="15"/>
              </w:rPr>
              <w:t>4.635</w:t>
            </w:r>
          </w:p>
        </w:tc>
        <w:tc>
          <w:tcPr>
            <w:tcW w:w="759" w:type="dxa"/>
            <w:tcBorders>
              <w:top w:val="nil"/>
              <w:left w:val="nil"/>
              <w:bottom w:val="nil"/>
              <w:right w:val="single" w:sz="4" w:space="0" w:color="808080" w:themeColor="background1" w:themeShade="80"/>
            </w:tcBorders>
            <w:shd w:val="clear" w:color="auto" w:fill="F2F2F2" w:themeFill="background1" w:themeFillShade="F2"/>
            <w:vAlign w:val="center"/>
          </w:tcPr>
          <w:p w14:paraId="3E99D138" w14:textId="3B306B51" w:rsidR="00DA60F3" w:rsidRPr="00DA60F3" w:rsidRDefault="00DA60F3" w:rsidP="00154D55">
            <w:pPr>
              <w:spacing w:after="0" w:line="276" w:lineRule="auto"/>
              <w:jc w:val="right"/>
              <w:rPr>
                <w:rFonts w:cs="Arial"/>
                <w:b/>
                <w:bCs/>
                <w:sz w:val="15"/>
                <w:szCs w:val="15"/>
              </w:rPr>
            </w:pPr>
            <w:r w:rsidRPr="00DA60F3">
              <w:rPr>
                <w:rFonts w:cs="Arial"/>
                <w:b/>
                <w:bCs/>
                <w:sz w:val="15"/>
                <w:szCs w:val="15"/>
              </w:rPr>
              <w:t>7.192</w:t>
            </w:r>
          </w:p>
        </w:tc>
      </w:tr>
      <w:tr w:rsidR="00B86F5D" w:rsidRPr="00F14FC1" w14:paraId="106C2EC0" w14:textId="77777777" w:rsidTr="00154D55">
        <w:trPr>
          <w:cantSplit/>
          <w:jc w:val="center"/>
        </w:trPr>
        <w:tc>
          <w:tcPr>
            <w:tcW w:w="11139" w:type="dxa"/>
            <w:gridSpan w:val="14"/>
            <w:tcBorders>
              <w:top w:val="single" w:sz="4" w:space="0" w:color="808080" w:themeColor="background1" w:themeShade="80"/>
              <w:left w:val="nil"/>
              <w:bottom w:val="nil"/>
              <w:right w:val="nil"/>
            </w:tcBorders>
            <w:shd w:val="clear" w:color="auto" w:fill="auto"/>
            <w:vAlign w:val="center"/>
            <w:hideMark/>
          </w:tcPr>
          <w:p w14:paraId="6F8DD81D" w14:textId="396DB899" w:rsidR="00B86F5D" w:rsidRPr="00A15B5B" w:rsidRDefault="00154D55" w:rsidP="00A15B5B">
            <w:pPr>
              <w:pStyle w:val="af0"/>
              <w:tabs>
                <w:tab w:val="left" w:pos="113"/>
              </w:tabs>
              <w:spacing w:before="60" w:after="0"/>
              <w:ind w:left="113" w:hanging="113"/>
              <w:contextualSpacing w:val="0"/>
              <w:rPr>
                <w:rFonts w:ascii="Arial" w:hAnsi="Arial" w:cs="Arial"/>
                <w:sz w:val="15"/>
                <w:szCs w:val="15"/>
              </w:rPr>
            </w:pPr>
            <w:r w:rsidRPr="00A15B5B">
              <w:rPr>
                <w:rFonts w:ascii="Arial" w:hAnsi="Arial" w:cs="Arial"/>
                <w:sz w:val="15"/>
                <w:szCs w:val="15"/>
                <w:vertAlign w:val="superscript"/>
              </w:rPr>
              <w:t>1</w:t>
            </w:r>
            <w:r w:rsidRPr="00A15B5B">
              <w:rPr>
                <w:rFonts w:ascii="Arial" w:hAnsi="Arial" w:cs="Arial"/>
                <w:sz w:val="15"/>
                <w:szCs w:val="15"/>
              </w:rPr>
              <w:tab/>
            </w:r>
            <w:r w:rsidR="00B86F5D" w:rsidRPr="00A15B5B">
              <w:rPr>
                <w:rFonts w:ascii="Arial" w:hAnsi="Arial" w:cs="Arial"/>
                <w:sz w:val="15"/>
                <w:szCs w:val="15"/>
              </w:rPr>
              <w:t xml:space="preserve">Τα έσοδα </w:t>
            </w:r>
            <w:r w:rsidR="00B86F5D" w:rsidRPr="00B25370">
              <w:rPr>
                <w:rFonts w:ascii="Arial" w:hAnsi="Arial" w:cs="Arial"/>
                <w:sz w:val="15"/>
                <w:szCs w:val="15"/>
              </w:rPr>
              <w:t xml:space="preserve">του </w:t>
            </w:r>
            <w:r w:rsidR="00B25370" w:rsidRPr="009F0B7C">
              <w:rPr>
                <w:rFonts w:ascii="Arial" w:hAnsi="Arial" w:cs="Arial"/>
                <w:sz w:val="15"/>
                <w:szCs w:val="15"/>
              </w:rPr>
              <w:t xml:space="preserve">προϋπολογισμού δημοσίων επενδύσεων </w:t>
            </w:r>
            <w:r w:rsidR="00B86F5D" w:rsidRPr="009F0B7C">
              <w:rPr>
                <w:rFonts w:ascii="Arial" w:hAnsi="Arial" w:cs="Arial"/>
                <w:sz w:val="15"/>
                <w:szCs w:val="15"/>
              </w:rPr>
              <w:t>περιέχονται στις μεταβιβάσεις και στα λοιπά τρέχοντα έσοδα, ενώ οι δαπάνες</w:t>
            </w:r>
            <w:r w:rsidR="00B25370" w:rsidRPr="009F0B7C">
              <w:rPr>
                <w:rFonts w:ascii="Arial" w:hAnsi="Arial" w:cs="Arial"/>
                <w:sz w:val="15"/>
                <w:szCs w:val="15"/>
              </w:rPr>
              <w:t xml:space="preserve"> του προϋπολογισμού δημοσίων επενδύσεων</w:t>
            </w:r>
            <w:r w:rsidR="00A57CD4">
              <w:rPr>
                <w:rFonts w:ascii="Arial" w:hAnsi="Arial" w:cs="Arial"/>
                <w:sz w:val="15"/>
                <w:szCs w:val="15"/>
              </w:rPr>
              <w:t xml:space="preserve"> και του ΤΑΑ</w:t>
            </w:r>
            <w:r w:rsidR="00B86F5D" w:rsidRPr="009F0B7C">
              <w:rPr>
                <w:rFonts w:ascii="Arial" w:hAnsi="Arial" w:cs="Arial"/>
                <w:sz w:val="15"/>
                <w:szCs w:val="15"/>
              </w:rPr>
              <w:t xml:space="preserve"> περιέχονται στις πιστώσεις υπό κατανομή.</w:t>
            </w:r>
          </w:p>
          <w:p w14:paraId="03ABD580" w14:textId="30929DFD" w:rsidR="00154D55" w:rsidRPr="00A15B5B" w:rsidRDefault="00154D55" w:rsidP="00A15B5B">
            <w:pPr>
              <w:tabs>
                <w:tab w:val="left" w:pos="113"/>
              </w:tabs>
              <w:spacing w:before="60" w:after="0" w:line="276" w:lineRule="auto"/>
              <w:rPr>
                <w:rFonts w:cs="Arial"/>
                <w:sz w:val="15"/>
                <w:szCs w:val="15"/>
              </w:rPr>
            </w:pPr>
            <w:r w:rsidRPr="00A15B5B">
              <w:rPr>
                <w:rFonts w:eastAsia="Calibri" w:cs="Arial"/>
                <w:sz w:val="15"/>
                <w:szCs w:val="15"/>
                <w:vertAlign w:val="superscript"/>
                <w:lang w:eastAsia="en-US"/>
              </w:rPr>
              <w:t>2</w:t>
            </w:r>
            <w:r w:rsidRPr="00A15B5B">
              <w:rPr>
                <w:rFonts w:eastAsia="Calibri" w:cs="Arial"/>
                <w:sz w:val="15"/>
                <w:szCs w:val="15"/>
                <w:vertAlign w:val="superscript"/>
                <w:lang w:eastAsia="en-US"/>
              </w:rPr>
              <w:tab/>
            </w:r>
            <w:r w:rsidRPr="00A15B5B">
              <w:rPr>
                <w:rFonts w:cs="Arial"/>
                <w:sz w:val="15"/>
                <w:szCs w:val="15"/>
              </w:rPr>
              <w:t>Τα έσοδα του ΤΑΑ περιέχονται στις μεταβιβάσεις, ενώ οι αντίστοιχες δαπάνες περιέχονται στις πιστώσεις υπό κατανομή.</w:t>
            </w:r>
          </w:p>
          <w:p w14:paraId="3E95B5CC" w14:textId="49251F4A" w:rsidR="00154D55" w:rsidRPr="00A15B5B" w:rsidRDefault="00154D55" w:rsidP="00A15B5B">
            <w:pPr>
              <w:tabs>
                <w:tab w:val="left" w:pos="113"/>
              </w:tabs>
              <w:spacing w:before="60" w:after="0" w:line="276" w:lineRule="auto"/>
              <w:rPr>
                <w:rFonts w:cs="Arial"/>
                <w:sz w:val="16"/>
                <w:szCs w:val="15"/>
              </w:rPr>
            </w:pPr>
            <w:r w:rsidRPr="00A15B5B">
              <w:rPr>
                <w:rFonts w:cs="Arial"/>
                <w:sz w:val="15"/>
                <w:szCs w:val="15"/>
                <w:vertAlign w:val="superscript"/>
              </w:rPr>
              <w:t>3</w:t>
            </w:r>
            <w:r w:rsidRPr="00A15B5B">
              <w:rPr>
                <w:rFonts w:eastAsia="Calibri" w:cs="Arial"/>
                <w:sz w:val="15"/>
                <w:szCs w:val="15"/>
                <w:vertAlign w:val="superscript"/>
                <w:lang w:eastAsia="en-US"/>
              </w:rPr>
              <w:tab/>
            </w:r>
            <w:r w:rsidRPr="00A15B5B">
              <w:rPr>
                <w:rFonts w:cs="Arial"/>
                <w:sz w:val="15"/>
                <w:szCs w:val="15"/>
              </w:rPr>
              <w:t>Τα έσοδα και οι δαπάνες του ΤΑΑ που περιλαμβάνονται στον πίνακα αφορούν μόνο στο επιχορηγούμενο σκέλος.</w:t>
            </w:r>
          </w:p>
        </w:tc>
      </w:tr>
    </w:tbl>
    <w:p w14:paraId="3383232D" w14:textId="7F150E24" w:rsidR="00FD46BC" w:rsidRPr="00570E3B" w:rsidRDefault="00FD46BC" w:rsidP="00300BBF">
      <w:pPr>
        <w:pStyle w:val="4"/>
      </w:pPr>
      <w:bookmarkStart w:id="326" w:name="_Toc214473762"/>
      <w:r w:rsidRPr="00570E3B">
        <w:t>Πρόσθετα πληροφοριακά στοιχεία μειζόνων κατηγοριών κρατικού προϋπολογισμού</w:t>
      </w:r>
      <w:bookmarkEnd w:id="326"/>
    </w:p>
    <w:p w14:paraId="48E94A77" w14:textId="77777777" w:rsidR="00D9228A" w:rsidRPr="00380541" w:rsidRDefault="00FD46BC" w:rsidP="00300BBF">
      <w:pPr>
        <w:pStyle w:val="5"/>
      </w:pPr>
      <w:bookmarkStart w:id="327" w:name="_Toc214473763"/>
      <w:r w:rsidRPr="00380541">
        <w:t>Έσοδα</w:t>
      </w:r>
      <w:bookmarkEnd w:id="327"/>
    </w:p>
    <w:p w14:paraId="38DA9E42" w14:textId="392EE4F7" w:rsidR="00D9228A" w:rsidRPr="00154C13" w:rsidRDefault="005F57F7" w:rsidP="00D9228A">
      <w:r w:rsidRPr="00154C13">
        <w:t>Τα καθαρά έσοδα του κρατικού προϋπολογισμού 2026 κατά μείζονα κατηγορία σε ταμειακή βάση παρουσιάζονται ανωτέρω</w:t>
      </w:r>
      <w:r w:rsidRPr="00154C13">
        <w:rPr>
          <w:szCs w:val="20"/>
        </w:rPr>
        <w:t xml:space="preserve"> </w:t>
      </w:r>
      <w:r w:rsidR="00D92091" w:rsidRPr="00154C13">
        <w:rPr>
          <w:szCs w:val="20"/>
        </w:rPr>
        <w:t>(</w:t>
      </w:r>
      <w:r w:rsidR="004D4AD6" w:rsidRPr="00154C13">
        <w:rPr>
          <w:szCs w:val="20"/>
        </w:rPr>
        <w:fldChar w:fldCharType="begin"/>
      </w:r>
      <w:r w:rsidR="004D4AD6" w:rsidRPr="00154C13">
        <w:rPr>
          <w:szCs w:val="20"/>
        </w:rPr>
        <w:instrText xml:space="preserve"> REF _Ref119513144 \h  \* MERGEFORMAT </w:instrText>
      </w:r>
      <w:r w:rsidR="004D4AD6" w:rsidRPr="00154C13">
        <w:rPr>
          <w:szCs w:val="20"/>
        </w:rPr>
      </w:r>
      <w:r w:rsidR="004D4AD6" w:rsidRPr="00154C13">
        <w:rPr>
          <w:szCs w:val="20"/>
        </w:rPr>
        <w:fldChar w:fldCharType="separate"/>
      </w:r>
      <w:r w:rsidR="00E15678" w:rsidRPr="00E15678">
        <w:rPr>
          <w:szCs w:val="20"/>
        </w:rPr>
        <w:t>Πίνακας 3.3</w:t>
      </w:r>
      <w:r w:rsidR="004D4AD6" w:rsidRPr="00154C13">
        <w:rPr>
          <w:szCs w:val="20"/>
        </w:rPr>
        <w:fldChar w:fldCharType="end"/>
      </w:r>
      <w:r w:rsidR="00455270" w:rsidRPr="00154C13">
        <w:rPr>
          <w:szCs w:val="20"/>
        </w:rPr>
        <w:t>.</w:t>
      </w:r>
      <w:r w:rsidR="00D92091" w:rsidRPr="00154C13">
        <w:rPr>
          <w:szCs w:val="20"/>
        </w:rPr>
        <w:t>)</w:t>
      </w:r>
      <w:r w:rsidR="004D4AD6" w:rsidRPr="00154C13">
        <w:rPr>
          <w:szCs w:val="20"/>
        </w:rPr>
        <w:t>.</w:t>
      </w:r>
    </w:p>
    <w:p w14:paraId="35F61A73" w14:textId="42727FCF" w:rsidR="005F0D7C" w:rsidRPr="001B1CC3" w:rsidRDefault="00142598" w:rsidP="0099008E">
      <w:pPr>
        <w:keepNext/>
        <w:tabs>
          <w:tab w:val="left" w:pos="425"/>
        </w:tabs>
        <w:spacing w:before="360" w:after="240"/>
        <w:rPr>
          <w:rFonts w:cs="Arial"/>
          <w:b/>
          <w:szCs w:val="20"/>
        </w:rPr>
      </w:pPr>
      <w:r>
        <w:rPr>
          <w:rFonts w:cs="Arial"/>
          <w:b/>
          <w:szCs w:val="20"/>
        </w:rPr>
        <w:lastRenderedPageBreak/>
        <w:t>Ι.</w:t>
      </w:r>
      <w:r>
        <w:rPr>
          <w:rFonts w:cs="Arial"/>
          <w:b/>
          <w:szCs w:val="20"/>
        </w:rPr>
        <w:tab/>
      </w:r>
      <w:r w:rsidR="005F0D7C" w:rsidRPr="001B1CC3">
        <w:rPr>
          <w:rFonts w:cs="Arial"/>
          <w:b/>
          <w:szCs w:val="20"/>
        </w:rPr>
        <w:t>Έσοδα μη χρηματοοικονομικών συναλλαγών</w:t>
      </w:r>
    </w:p>
    <w:p w14:paraId="313A6F11" w14:textId="77777777" w:rsidR="00292B88" w:rsidRDefault="00292B88" w:rsidP="00292B88">
      <w:pPr>
        <w:rPr>
          <w:lang w:eastAsia="en-US"/>
        </w:rPr>
      </w:pPr>
      <w:r>
        <w:rPr>
          <w:lang w:eastAsia="en-US"/>
        </w:rPr>
        <w:t>Τα καθαρά έσοδα των μη χρηματοοικονομικών συναλλαγών για το έτος 202</w:t>
      </w:r>
      <w:r w:rsidRPr="00874CAB">
        <w:rPr>
          <w:lang w:eastAsia="en-US"/>
        </w:rPr>
        <w:t>6</w:t>
      </w:r>
      <w:r>
        <w:rPr>
          <w:lang w:eastAsia="en-US"/>
        </w:rPr>
        <w:t xml:space="preserve"> προβλέπονται σε </w:t>
      </w:r>
      <w:r w:rsidRPr="00874CAB">
        <w:rPr>
          <w:lang w:eastAsia="en-US"/>
        </w:rPr>
        <w:t>80.</w:t>
      </w:r>
      <w:r>
        <w:rPr>
          <w:lang w:eastAsia="en-US"/>
        </w:rPr>
        <w:t xml:space="preserve">248 εκατ. ευρώ, αυξημένα κατά </w:t>
      </w:r>
      <w:r w:rsidRPr="007F0E2A">
        <w:rPr>
          <w:lang w:eastAsia="en-US"/>
        </w:rPr>
        <w:t>2.</w:t>
      </w:r>
      <w:r>
        <w:rPr>
          <w:lang w:eastAsia="en-US"/>
        </w:rPr>
        <w:t xml:space="preserve">387 εκατ. ευρώ </w:t>
      </w:r>
      <w:r w:rsidRPr="00D1534E">
        <w:rPr>
          <w:lang w:eastAsia="en-US"/>
        </w:rPr>
        <w:t>ή 3,</w:t>
      </w:r>
      <w:r>
        <w:rPr>
          <w:lang w:eastAsia="en-US"/>
        </w:rPr>
        <w:t>1</w:t>
      </w:r>
      <w:r w:rsidRPr="00D1534E">
        <w:rPr>
          <w:lang w:eastAsia="en-US"/>
        </w:rPr>
        <w:t>%</w:t>
      </w:r>
      <w:r w:rsidRPr="008867BE">
        <w:rPr>
          <w:lang w:eastAsia="en-US"/>
        </w:rPr>
        <w:t xml:space="preserve"> </w:t>
      </w:r>
      <w:r w:rsidRPr="00D1534E">
        <w:rPr>
          <w:lang w:eastAsia="en-US"/>
        </w:rPr>
        <w:t>έναντι</w:t>
      </w:r>
      <w:r>
        <w:rPr>
          <w:lang w:eastAsia="en-US"/>
        </w:rPr>
        <w:t xml:space="preserve"> των αντίστοιχων εκτιμήσεων για το έτος 202</w:t>
      </w:r>
      <w:r w:rsidRPr="00874CAB">
        <w:rPr>
          <w:lang w:eastAsia="en-US"/>
        </w:rPr>
        <w:t>5</w:t>
      </w:r>
      <w:r>
        <w:rPr>
          <w:lang w:eastAsia="en-US"/>
        </w:rPr>
        <w:t>. Ειδικότερα, οι κυριότερες μεταβολές αφορούν σε:</w:t>
      </w:r>
    </w:p>
    <w:p w14:paraId="29C39E6B" w14:textId="41720408" w:rsidR="00292B88" w:rsidRPr="000D4D0B" w:rsidRDefault="00292B88" w:rsidP="00292B88">
      <w:pPr>
        <w:numPr>
          <w:ilvl w:val="0"/>
          <w:numId w:val="1"/>
        </w:numPr>
        <w:spacing w:before="120" w:after="60"/>
        <w:ind w:left="568" w:hanging="284"/>
        <w:rPr>
          <w:lang w:eastAsia="en-US"/>
        </w:rPr>
      </w:pPr>
      <w:r w:rsidRPr="000D4D0B">
        <w:rPr>
          <w:lang w:eastAsia="en-US"/>
        </w:rPr>
        <w:t xml:space="preserve">έσοδα από φόρους, που αναμένεται να ανέλθουν στο ποσό των </w:t>
      </w:r>
      <w:r w:rsidRPr="00874CAB">
        <w:rPr>
          <w:lang w:eastAsia="en-US"/>
        </w:rPr>
        <w:t>65.</w:t>
      </w:r>
      <w:r>
        <w:rPr>
          <w:lang w:eastAsia="en-US"/>
        </w:rPr>
        <w:t>586</w:t>
      </w:r>
      <w:r w:rsidRPr="000D4D0B">
        <w:rPr>
          <w:lang w:eastAsia="en-US"/>
        </w:rPr>
        <w:t xml:space="preserve"> εκατ. ευρώ, παρουσιάζοντας αύξηση κατά 2.</w:t>
      </w:r>
      <w:r>
        <w:rPr>
          <w:lang w:eastAsia="en-US"/>
        </w:rPr>
        <w:t>390</w:t>
      </w:r>
      <w:r w:rsidRPr="000D4D0B">
        <w:rPr>
          <w:lang w:eastAsia="en-US"/>
        </w:rPr>
        <w:t xml:space="preserve"> εκατ. ευρώ κυρίως λόγω της μεγέθυνσης της οικονομίας με βάση το προβλεπόμενο μακροοικονομικό σενάριο,</w:t>
      </w:r>
    </w:p>
    <w:p w14:paraId="50A12E09" w14:textId="2569603A" w:rsidR="00292B88" w:rsidRPr="000D4D0B" w:rsidRDefault="00292B88" w:rsidP="00292B88">
      <w:pPr>
        <w:numPr>
          <w:ilvl w:val="0"/>
          <w:numId w:val="1"/>
        </w:numPr>
        <w:spacing w:before="60" w:after="60"/>
        <w:ind w:left="568" w:hanging="284"/>
        <w:rPr>
          <w:lang w:eastAsia="en-US"/>
        </w:rPr>
      </w:pPr>
      <w:r w:rsidRPr="000D4D0B">
        <w:rPr>
          <w:lang w:eastAsia="en-US"/>
        </w:rPr>
        <w:t xml:space="preserve">έσοδα από μεταβιβάσεις, τα οποία προβλέπονται σε </w:t>
      </w:r>
      <w:r w:rsidRPr="00874CAB">
        <w:rPr>
          <w:lang w:eastAsia="en-US"/>
        </w:rPr>
        <w:t>10.9</w:t>
      </w:r>
      <w:r>
        <w:rPr>
          <w:lang w:eastAsia="en-US"/>
        </w:rPr>
        <w:t>43</w:t>
      </w:r>
      <w:r w:rsidRPr="000D4D0B">
        <w:rPr>
          <w:lang w:eastAsia="en-US"/>
        </w:rPr>
        <w:t xml:space="preserve"> εκατ. ευρώ και είναι αυξημένα κατά </w:t>
      </w:r>
      <w:r w:rsidRPr="00874CAB">
        <w:rPr>
          <w:lang w:eastAsia="en-US"/>
        </w:rPr>
        <w:t>2.6</w:t>
      </w:r>
      <w:r>
        <w:rPr>
          <w:lang w:eastAsia="en-US"/>
        </w:rPr>
        <w:t>51</w:t>
      </w:r>
      <w:r w:rsidRPr="000D4D0B">
        <w:rPr>
          <w:lang w:eastAsia="en-US"/>
        </w:rPr>
        <w:t xml:space="preserve"> εκατ. ευρώ, γεγονός που οφείλεται κυρίως στα αυξημένα </w:t>
      </w:r>
      <w:r w:rsidRPr="00142598">
        <w:rPr>
          <w:lang w:eastAsia="en-US"/>
        </w:rPr>
        <w:t xml:space="preserve">έσοδα </w:t>
      </w:r>
      <w:r w:rsidRPr="000D4D0B">
        <w:rPr>
          <w:lang w:eastAsia="en-US"/>
        </w:rPr>
        <w:t xml:space="preserve">από το ΤΑΑ </w:t>
      </w:r>
      <w:r w:rsidR="0084006A">
        <w:rPr>
          <w:lang w:eastAsia="en-US"/>
        </w:rPr>
        <w:t>(</w:t>
      </w:r>
      <w:r w:rsidRPr="000D4D0B">
        <w:rPr>
          <w:lang w:eastAsia="en-US"/>
        </w:rPr>
        <w:t>κατά 2.</w:t>
      </w:r>
      <w:r w:rsidRPr="00FE5300">
        <w:rPr>
          <w:lang w:eastAsia="en-US"/>
        </w:rPr>
        <w:t>721</w:t>
      </w:r>
      <w:r w:rsidRPr="000D4D0B">
        <w:rPr>
          <w:lang w:eastAsia="en-US"/>
        </w:rPr>
        <w:t xml:space="preserve"> εκατ. ευρώ</w:t>
      </w:r>
      <w:r w:rsidR="0084006A">
        <w:rPr>
          <w:lang w:eastAsia="en-US"/>
        </w:rPr>
        <w:t>)</w:t>
      </w:r>
      <w:r w:rsidRPr="000D4D0B">
        <w:rPr>
          <w:lang w:eastAsia="en-US"/>
        </w:rPr>
        <w:t>,</w:t>
      </w:r>
    </w:p>
    <w:p w14:paraId="526FEDD4" w14:textId="63C16252" w:rsidR="00292B88" w:rsidRDefault="00292B88" w:rsidP="00292B88">
      <w:pPr>
        <w:numPr>
          <w:ilvl w:val="0"/>
          <w:numId w:val="1"/>
        </w:numPr>
        <w:spacing w:before="60" w:after="60"/>
        <w:ind w:left="568" w:hanging="284"/>
        <w:rPr>
          <w:lang w:eastAsia="en-US"/>
        </w:rPr>
      </w:pPr>
      <w:r w:rsidRPr="000D4D0B">
        <w:rPr>
          <w:lang w:eastAsia="en-US"/>
        </w:rPr>
        <w:t xml:space="preserve">έσοδα από πωλήσεις αγαθών και υπηρεσιών, τα οποία ανέρχονται σε </w:t>
      </w:r>
      <w:r w:rsidRPr="00FE5300">
        <w:rPr>
          <w:lang w:eastAsia="en-US"/>
        </w:rPr>
        <w:t>1.201</w:t>
      </w:r>
      <w:r w:rsidRPr="000D4D0B">
        <w:rPr>
          <w:lang w:eastAsia="en-US"/>
        </w:rPr>
        <w:t xml:space="preserve"> εκατ. ευρώ και </w:t>
      </w:r>
      <w:r>
        <w:rPr>
          <w:lang w:eastAsia="en-US"/>
        </w:rPr>
        <w:t>είναι μειωμένα κατά 2.280 εκατ. ευρώ. Η μείωση αυτή οφείλεται κυρίως στο γεγονός ότι στα έσοδα του 2025 περιλαμβάνονται:</w:t>
      </w:r>
    </w:p>
    <w:p w14:paraId="2B03C0B3" w14:textId="6D76584A" w:rsidR="00292B88" w:rsidRDefault="00292B88" w:rsidP="00292B88">
      <w:pPr>
        <w:spacing w:before="60" w:after="60"/>
        <w:ind w:left="568"/>
        <w:rPr>
          <w:lang w:eastAsia="en-US"/>
        </w:rPr>
      </w:pPr>
      <w:r>
        <w:rPr>
          <w:lang w:eastAsia="en-US"/>
        </w:rPr>
        <w:t>(α) ποσό ύψους 785 εκατ. ευρώ</w:t>
      </w:r>
      <w:r w:rsidR="008D18C7">
        <w:rPr>
          <w:lang w:eastAsia="en-US"/>
        </w:rPr>
        <w:t xml:space="preserve">, το οποίο </w:t>
      </w:r>
      <w:r>
        <w:rPr>
          <w:lang w:eastAsia="en-US"/>
        </w:rPr>
        <w:t xml:space="preserve">αφορά </w:t>
      </w:r>
      <w:r w:rsidR="008D18C7">
        <w:rPr>
          <w:lang w:eastAsia="en-US"/>
        </w:rPr>
        <w:t xml:space="preserve">σε </w:t>
      </w:r>
      <w:r>
        <w:rPr>
          <w:lang w:eastAsia="en-US"/>
        </w:rPr>
        <w:t>μέρος του τιμήματος από τη Σύμβαση Παραχώρησης της Αττικής Οδού για χρονική περίοδο 25 ετών (το υπόλοιπο ποσό του τιμήματος ύψους 2.456 εκατ. ευρώ είχε εισπραχθεί ήδη από το έτος 2024) και</w:t>
      </w:r>
    </w:p>
    <w:p w14:paraId="4A044EF8" w14:textId="77777777" w:rsidR="00292B88" w:rsidRPr="000D4D0B" w:rsidRDefault="00292B88" w:rsidP="00292B88">
      <w:pPr>
        <w:spacing w:before="60" w:after="60"/>
        <w:ind w:left="568"/>
        <w:rPr>
          <w:lang w:eastAsia="en-US"/>
        </w:rPr>
      </w:pPr>
      <w:r w:rsidRPr="009B5260">
        <w:rPr>
          <w:lang w:eastAsia="en-US"/>
        </w:rPr>
        <w:t>(β) ποσό ύψους 1.350 εκατ. ευρώ από την παραχώρηση του δικαιώματος χρήσης και εκμετάλλευσης του αυτοκινητόδρομου της Εγνατίας Οδού και τριών κάθετων οδικών αξόνων της για χρονική περίοδο 35 ετών και</w:t>
      </w:r>
    </w:p>
    <w:p w14:paraId="225665EC" w14:textId="28B49BA0" w:rsidR="00292B88" w:rsidRDefault="00292B88" w:rsidP="00292B88">
      <w:pPr>
        <w:numPr>
          <w:ilvl w:val="0"/>
          <w:numId w:val="1"/>
        </w:numPr>
        <w:spacing w:before="60"/>
        <w:ind w:left="568" w:hanging="284"/>
        <w:rPr>
          <w:lang w:eastAsia="en-US"/>
        </w:rPr>
      </w:pPr>
      <w:r w:rsidRPr="000D4D0B">
        <w:rPr>
          <w:lang w:eastAsia="en-US"/>
        </w:rPr>
        <w:t>λοιπά τρέχοντα έσοδα, τα οποία προβλέπονται σε 2.</w:t>
      </w:r>
      <w:r>
        <w:rPr>
          <w:lang w:eastAsia="en-US"/>
        </w:rPr>
        <w:t>407</w:t>
      </w:r>
      <w:r w:rsidRPr="000D4D0B">
        <w:rPr>
          <w:lang w:eastAsia="en-US"/>
        </w:rPr>
        <w:t xml:space="preserve"> εκατ. ευρώ και είναι μειωμένα κατά </w:t>
      </w:r>
      <w:r>
        <w:rPr>
          <w:lang w:eastAsia="en-US"/>
        </w:rPr>
        <w:t>388</w:t>
      </w:r>
      <w:r w:rsidRPr="000D4D0B">
        <w:rPr>
          <w:lang w:eastAsia="en-US"/>
        </w:rPr>
        <w:t xml:space="preserve"> εκατ. ευρώ κυρίως λόγω μειωμένων εσόδων από μερίσματα φορέων του Δημοσίου κατά </w:t>
      </w:r>
      <w:r>
        <w:rPr>
          <w:lang w:eastAsia="en-US"/>
        </w:rPr>
        <w:t>76</w:t>
      </w:r>
      <w:r w:rsidRPr="000D4D0B">
        <w:rPr>
          <w:lang w:eastAsia="en-US"/>
        </w:rPr>
        <w:t xml:space="preserve"> εκατ. ευρώ, από τόκους καταθέσεων του Δημοσίου κατά </w:t>
      </w:r>
      <w:r>
        <w:rPr>
          <w:lang w:eastAsia="en-US"/>
        </w:rPr>
        <w:t>194</w:t>
      </w:r>
      <w:r w:rsidRPr="000D4D0B">
        <w:rPr>
          <w:lang w:eastAsia="en-US"/>
        </w:rPr>
        <w:t xml:space="preserve"> εκατ. ευρώ και από το </w:t>
      </w:r>
      <w:r w:rsidRPr="00142598">
        <w:rPr>
          <w:lang w:eastAsia="en-US"/>
        </w:rPr>
        <w:t>εθνικό σκέλος του προϋπολογισμού δημοσίων επενδύσεων κατά</w:t>
      </w:r>
      <w:r w:rsidRPr="000D4D0B">
        <w:rPr>
          <w:lang w:eastAsia="en-US"/>
        </w:rPr>
        <w:t xml:space="preserve"> </w:t>
      </w:r>
      <w:r>
        <w:rPr>
          <w:lang w:eastAsia="en-US"/>
        </w:rPr>
        <w:t>8</w:t>
      </w:r>
      <w:r w:rsidR="00572D55">
        <w:rPr>
          <w:lang w:eastAsia="en-US"/>
        </w:rPr>
        <w:t>2</w:t>
      </w:r>
      <w:r w:rsidRPr="000D4D0B">
        <w:rPr>
          <w:lang w:eastAsia="en-US"/>
        </w:rPr>
        <w:t xml:space="preserve"> εκατ. ευρώ.</w:t>
      </w:r>
    </w:p>
    <w:p w14:paraId="1FEC6EC7" w14:textId="3BE076B5" w:rsidR="00142598" w:rsidRPr="00142598" w:rsidRDefault="00142598" w:rsidP="00142598">
      <w:pPr>
        <w:tabs>
          <w:tab w:val="left" w:pos="425"/>
        </w:tabs>
        <w:spacing w:before="360" w:after="240"/>
        <w:rPr>
          <w:b/>
          <w:lang w:eastAsia="en-US"/>
        </w:rPr>
      </w:pPr>
      <w:r w:rsidRPr="00142598">
        <w:rPr>
          <w:b/>
        </w:rPr>
        <w:t>ΙΙ.</w:t>
      </w:r>
      <w:r w:rsidRPr="00142598">
        <w:rPr>
          <w:b/>
        </w:rPr>
        <w:tab/>
        <w:t>Έσοδα χρηματοοικονομικών συναλλαγών</w:t>
      </w:r>
    </w:p>
    <w:p w14:paraId="34D9B59C" w14:textId="77777777" w:rsidR="00292B88" w:rsidRPr="00B86613" w:rsidRDefault="00292B88" w:rsidP="00292B88">
      <w:pPr>
        <w:rPr>
          <w:rFonts w:eastAsia="Calibri"/>
          <w:lang w:eastAsia="en-US"/>
        </w:rPr>
      </w:pPr>
      <w:r w:rsidRPr="00B86613">
        <w:rPr>
          <w:rFonts w:eastAsia="Calibri"/>
          <w:lang w:eastAsia="en-US"/>
        </w:rPr>
        <w:t>Τα καθαρά έσοδα των χρηματοοικονομικών συναλλαγών για το έτος 202</w:t>
      </w:r>
      <w:r>
        <w:rPr>
          <w:rFonts w:eastAsia="Calibri"/>
          <w:lang w:eastAsia="en-US"/>
        </w:rPr>
        <w:t>6</w:t>
      </w:r>
      <w:r w:rsidRPr="00B86613">
        <w:rPr>
          <w:rFonts w:eastAsia="Calibri"/>
          <w:lang w:eastAsia="en-US"/>
        </w:rPr>
        <w:t xml:space="preserve"> προβλέπονται σε </w:t>
      </w:r>
      <w:r w:rsidRPr="00652681">
        <w:rPr>
          <w:rFonts w:eastAsia="Calibri"/>
          <w:lang w:eastAsia="en-US"/>
        </w:rPr>
        <w:t>1.685.387 εκατ. ευρώ</w:t>
      </w:r>
      <w:r w:rsidRPr="00B86613">
        <w:rPr>
          <w:rFonts w:eastAsia="Calibri"/>
          <w:lang w:eastAsia="en-US"/>
        </w:rPr>
        <w:t xml:space="preserve">, </w:t>
      </w:r>
      <w:r>
        <w:rPr>
          <w:rFonts w:eastAsia="Calibri"/>
          <w:lang w:eastAsia="en-US"/>
        </w:rPr>
        <w:t>αυξη</w:t>
      </w:r>
      <w:r w:rsidRPr="00B86613">
        <w:rPr>
          <w:rFonts w:eastAsia="Calibri"/>
          <w:lang w:eastAsia="en-US"/>
        </w:rPr>
        <w:t xml:space="preserve">μένα </w:t>
      </w:r>
      <w:r w:rsidRPr="008867BE">
        <w:rPr>
          <w:rFonts w:eastAsia="Calibri"/>
          <w:lang w:eastAsia="en-US"/>
        </w:rPr>
        <w:t xml:space="preserve">κατά </w:t>
      </w:r>
      <w:r w:rsidRPr="00652681">
        <w:rPr>
          <w:rFonts w:eastAsia="Calibri"/>
          <w:lang w:eastAsia="en-US"/>
        </w:rPr>
        <w:t>8,3%</w:t>
      </w:r>
      <w:r>
        <w:rPr>
          <w:rFonts w:eastAsia="Calibri"/>
          <w:lang w:eastAsia="en-US"/>
        </w:rPr>
        <w:t xml:space="preserve"> </w:t>
      </w:r>
      <w:r w:rsidRPr="00B86613">
        <w:rPr>
          <w:rFonts w:eastAsia="Calibri"/>
          <w:lang w:eastAsia="en-US"/>
        </w:rPr>
        <w:t>έναντι των αντ</w:t>
      </w:r>
      <w:r>
        <w:rPr>
          <w:rFonts w:eastAsia="Calibri"/>
          <w:lang w:eastAsia="en-US"/>
        </w:rPr>
        <w:t xml:space="preserve">ίστοιχων </w:t>
      </w:r>
      <w:r w:rsidRPr="00B86613">
        <w:rPr>
          <w:rFonts w:eastAsia="Calibri"/>
          <w:lang w:eastAsia="en-US"/>
        </w:rPr>
        <w:t>εκτιμήσεων για το έτος 202</w:t>
      </w:r>
      <w:r>
        <w:rPr>
          <w:rFonts w:eastAsia="Calibri"/>
          <w:lang w:eastAsia="en-US"/>
        </w:rPr>
        <w:t>5</w:t>
      </w:r>
      <w:r w:rsidRPr="00B86613">
        <w:rPr>
          <w:rFonts w:eastAsia="Calibri"/>
          <w:lang w:eastAsia="en-US"/>
        </w:rPr>
        <w:t xml:space="preserve">, κυρίως λόγω της </w:t>
      </w:r>
      <w:r>
        <w:rPr>
          <w:rFonts w:eastAsia="Calibri"/>
          <w:lang w:eastAsia="en-US"/>
        </w:rPr>
        <w:t>αύξησης</w:t>
      </w:r>
      <w:r w:rsidRPr="00B86613">
        <w:rPr>
          <w:rFonts w:eastAsia="Calibri"/>
          <w:lang w:eastAsia="en-US"/>
        </w:rPr>
        <w:t xml:space="preserve"> </w:t>
      </w:r>
      <w:r>
        <w:rPr>
          <w:rFonts w:eastAsia="Calibri"/>
          <w:lang w:eastAsia="en-US"/>
        </w:rPr>
        <w:t xml:space="preserve">του ύψους </w:t>
      </w:r>
      <w:r w:rsidRPr="00B86613">
        <w:rPr>
          <w:rFonts w:eastAsia="Calibri"/>
          <w:lang w:eastAsia="en-US"/>
        </w:rPr>
        <w:t>των βραχυπρόθεσμων δανείων (repos). Ειδικότερα:</w:t>
      </w:r>
    </w:p>
    <w:p w14:paraId="1F18FDD6" w14:textId="3A3530F2" w:rsidR="00292B88" w:rsidRPr="00DE71AB" w:rsidRDefault="00292B88" w:rsidP="00292B88">
      <w:pPr>
        <w:numPr>
          <w:ilvl w:val="0"/>
          <w:numId w:val="1"/>
        </w:numPr>
        <w:spacing w:before="120" w:after="60"/>
        <w:ind w:left="568" w:hanging="284"/>
        <w:rPr>
          <w:rFonts w:eastAsia="Calibri"/>
          <w:lang w:eastAsia="en-US"/>
        </w:rPr>
      </w:pPr>
      <w:r w:rsidRPr="00DE71AB">
        <w:rPr>
          <w:rFonts w:eastAsia="Calibri"/>
          <w:lang w:eastAsia="en-US"/>
        </w:rPr>
        <w:t>τα έσοδα της μείζον</w:t>
      </w:r>
      <w:r w:rsidR="008D18C7">
        <w:rPr>
          <w:rFonts w:eastAsia="Calibri"/>
          <w:lang w:eastAsia="en-US"/>
        </w:rPr>
        <w:t>ο</w:t>
      </w:r>
      <w:r w:rsidRPr="00DE71AB">
        <w:rPr>
          <w:rFonts w:eastAsia="Calibri"/>
          <w:lang w:eastAsia="en-US"/>
        </w:rPr>
        <w:t>ς κατηγορίας 43 «Χρεωστικοί τίτλοι» ανέρχονται σε 11 εκατ. ευρώ και αφορούν σε εισπράξεις από χρεολύσια ομολόγων δημ</w:t>
      </w:r>
      <w:r>
        <w:rPr>
          <w:rFonts w:eastAsia="Calibri"/>
          <w:lang w:eastAsia="en-US"/>
        </w:rPr>
        <w:t>όσιων</w:t>
      </w:r>
      <w:r w:rsidRPr="00DE71AB">
        <w:rPr>
          <w:rFonts w:eastAsia="Calibri"/>
          <w:lang w:eastAsia="en-US"/>
        </w:rPr>
        <w:t xml:space="preserve"> επιχειρήσεων που κατέχει το Ε</w:t>
      </w:r>
      <w:r>
        <w:rPr>
          <w:rFonts w:eastAsia="Calibri"/>
          <w:lang w:eastAsia="en-US"/>
        </w:rPr>
        <w:t xml:space="preserve">λληνικό </w:t>
      </w:r>
      <w:r w:rsidRPr="00DE71AB">
        <w:rPr>
          <w:rFonts w:eastAsia="Calibri"/>
          <w:lang w:eastAsia="en-US"/>
        </w:rPr>
        <w:t>Δ</w:t>
      </w:r>
      <w:r>
        <w:rPr>
          <w:rFonts w:eastAsia="Calibri"/>
          <w:lang w:eastAsia="en-US"/>
        </w:rPr>
        <w:t>ημόσιο</w:t>
      </w:r>
      <w:r w:rsidRPr="00DE71AB">
        <w:rPr>
          <w:rFonts w:eastAsia="Calibri"/>
          <w:lang w:eastAsia="en-US"/>
        </w:rPr>
        <w:t>,</w:t>
      </w:r>
    </w:p>
    <w:p w14:paraId="1CCEBE41" w14:textId="4412337F" w:rsidR="00292B88" w:rsidRPr="00DE71AB" w:rsidRDefault="00292B88" w:rsidP="00292B88">
      <w:pPr>
        <w:numPr>
          <w:ilvl w:val="0"/>
          <w:numId w:val="1"/>
        </w:numPr>
        <w:spacing w:before="60" w:after="60"/>
        <w:ind w:left="568" w:hanging="284"/>
      </w:pPr>
      <w:r w:rsidRPr="00DE71AB">
        <w:t>τα έσοδα της μείζον</w:t>
      </w:r>
      <w:r w:rsidR="008D18C7">
        <w:t>ο</w:t>
      </w:r>
      <w:r w:rsidRPr="00DE71AB">
        <w:t xml:space="preserve">ς κατηγορίας 44 «Δάνεια» ανέρχονται σε </w:t>
      </w:r>
      <w:r>
        <w:t>5.525</w:t>
      </w:r>
      <w:r w:rsidRPr="00DE71AB">
        <w:t xml:space="preserve"> εκατ. ευρώ και αφορούν σε εισπράξεις </w:t>
      </w:r>
      <w:r>
        <w:t>χορηγούμενων βραχυπρόθεσμων ομολογιακών και λοιπών δανείων προς πιστωτικά ιδρύματα καθώς και</w:t>
      </w:r>
      <w:r w:rsidRPr="00DE71AB">
        <w:t xml:space="preserve"> </w:t>
      </w:r>
      <w:r>
        <w:t xml:space="preserve">σε εισπράξεις </w:t>
      </w:r>
      <w:r w:rsidRPr="00DE71AB">
        <w:t>από χρεολύσια χορηγούμενων μακροπρόθεσμων δανείων σε επιχειρήσεις από πόρους του Τ</w:t>
      </w:r>
      <w:r>
        <w:t>ΑΑ</w:t>
      </w:r>
      <w:r w:rsidRPr="00DE71AB">
        <w:t>,</w:t>
      </w:r>
    </w:p>
    <w:p w14:paraId="42659057" w14:textId="78374469" w:rsidR="00292B88" w:rsidRPr="00DE71AB" w:rsidRDefault="00292B88" w:rsidP="00292B88">
      <w:pPr>
        <w:numPr>
          <w:ilvl w:val="0"/>
          <w:numId w:val="1"/>
        </w:numPr>
        <w:spacing w:before="60" w:after="60"/>
        <w:ind w:left="568" w:hanging="284"/>
      </w:pPr>
      <w:r w:rsidRPr="00DE71AB">
        <w:t>τα έσοδα της μείζον</w:t>
      </w:r>
      <w:r w:rsidR="008D18C7">
        <w:t>ο</w:t>
      </w:r>
      <w:r w:rsidRPr="00DE71AB">
        <w:t xml:space="preserve">ς κατηγορίας 45 «Συμμετοχικοί τίτλοι και μερίδια επενδυτικών κεφαλαίων» ανέρχονται σε </w:t>
      </w:r>
      <w:r>
        <w:t>228</w:t>
      </w:r>
      <w:r w:rsidRPr="00DE71AB">
        <w:t xml:space="preserve"> εκατ. ευρώ και αφορούν σε εισπράξεις από πωλήσεις μετοχών δι</w:t>
      </w:r>
      <w:r w:rsidR="00804CAD">
        <w:t>α</w:t>
      </w:r>
      <w:r>
        <w:t>φ</w:t>
      </w:r>
      <w:r w:rsidR="00804CAD">
        <w:t>ό</w:t>
      </w:r>
      <w:r>
        <w:t xml:space="preserve">ρων </w:t>
      </w:r>
      <w:r w:rsidRPr="00DE71AB">
        <w:t xml:space="preserve">εταιρειών με μέτοχο το Δημόσιο </w:t>
      </w:r>
      <w:r>
        <w:t>ή</w:t>
      </w:r>
      <w:r w:rsidRPr="00DE71AB">
        <w:t>/και τ</w:t>
      </w:r>
      <w:r>
        <w:t>ην ΕΕΣΥΠ</w:t>
      </w:r>
      <w:r w:rsidRPr="00DE71AB">
        <w:t>,</w:t>
      </w:r>
    </w:p>
    <w:p w14:paraId="4D5F3372" w14:textId="6277A700" w:rsidR="00292B88" w:rsidRPr="00DE71AB" w:rsidRDefault="00292B88" w:rsidP="00292B88">
      <w:pPr>
        <w:numPr>
          <w:ilvl w:val="0"/>
          <w:numId w:val="1"/>
        </w:numPr>
        <w:spacing w:before="60" w:after="60"/>
        <w:ind w:left="568" w:hanging="284"/>
      </w:pPr>
      <w:r w:rsidRPr="00DE71AB">
        <w:t>τα έσοδα της μείζον</w:t>
      </w:r>
      <w:r w:rsidR="008D18C7">
        <w:t>ο</w:t>
      </w:r>
      <w:r w:rsidRPr="00DE71AB">
        <w:t xml:space="preserve">ς κατηγορίας 52 «Υποχρεώσεις από νόμισμα και καταθέσεις» ανέρχονται σε </w:t>
      </w:r>
      <w:r>
        <w:t>63</w:t>
      </w:r>
      <w:r w:rsidRPr="00DE71AB">
        <w:t xml:space="preserve"> εκατ. ευρώ και αφορούν σε έσοδα από κυκλοφορία μεταλλικών κερμάτων,</w:t>
      </w:r>
    </w:p>
    <w:p w14:paraId="58456E16" w14:textId="3953C465" w:rsidR="00292B88" w:rsidRPr="00DE71AB" w:rsidRDefault="00292B88" w:rsidP="00292B88">
      <w:pPr>
        <w:numPr>
          <w:ilvl w:val="0"/>
          <w:numId w:val="1"/>
        </w:numPr>
        <w:spacing w:before="60" w:after="60"/>
        <w:ind w:left="568" w:hanging="284"/>
      </w:pPr>
      <w:r w:rsidRPr="00DE71AB">
        <w:t>τα έσοδα της μείζον</w:t>
      </w:r>
      <w:r w:rsidR="008D18C7">
        <w:t>ο</w:t>
      </w:r>
      <w:r w:rsidRPr="00DE71AB">
        <w:t xml:space="preserve">ς κατηγορίας 53 «Χρεωστικοί τίτλοι (υποχρεώσεις)» ανέρχονται σε </w:t>
      </w:r>
      <w:r>
        <w:t>23.875</w:t>
      </w:r>
      <w:r w:rsidRPr="00DE71AB">
        <w:t xml:space="preserve"> εκατ. ευρώ, εκ των οποίων ποσό </w:t>
      </w:r>
      <w:r>
        <w:t>15.875</w:t>
      </w:r>
      <w:r w:rsidRPr="00DE71AB">
        <w:t xml:space="preserve"> εκατ. ευρώ αφορά σε εισπράξεις </w:t>
      </w:r>
      <w:r w:rsidR="00EF5F80">
        <w:t>ε</w:t>
      </w:r>
      <w:r>
        <w:t>ντ</w:t>
      </w:r>
      <w:r w:rsidR="00EF5F80">
        <w:t>ό</w:t>
      </w:r>
      <w:r>
        <w:t>κων</w:t>
      </w:r>
      <w:r w:rsidRPr="00DE71AB">
        <w:t xml:space="preserve"> γραμματίων του Ε</w:t>
      </w:r>
      <w:r>
        <w:t xml:space="preserve">λληνικού </w:t>
      </w:r>
      <w:r w:rsidRPr="00DE71AB">
        <w:t>Δ</w:t>
      </w:r>
      <w:r>
        <w:t>ημοσίου</w:t>
      </w:r>
      <w:r w:rsidRPr="00DE71AB">
        <w:t xml:space="preserve"> και ποσό 8.</w:t>
      </w:r>
      <w:r>
        <w:t>000</w:t>
      </w:r>
      <w:r w:rsidRPr="00DE71AB">
        <w:t xml:space="preserve"> εκατ. ευρώ σε εισπράξεις ομολόγων Ε</w:t>
      </w:r>
      <w:r>
        <w:t xml:space="preserve">λληνικού </w:t>
      </w:r>
      <w:r w:rsidRPr="00DE71AB">
        <w:t>Δ</w:t>
      </w:r>
      <w:r>
        <w:t>ημοσίου</w:t>
      </w:r>
      <w:r w:rsidRPr="00DE71AB">
        <w:t xml:space="preserve"> στην αγορά εσωτερικού,</w:t>
      </w:r>
    </w:p>
    <w:p w14:paraId="7A9D1B61" w14:textId="3635CFE0" w:rsidR="00292B88" w:rsidRPr="00DE71AB" w:rsidRDefault="00292B88" w:rsidP="00292B88">
      <w:pPr>
        <w:numPr>
          <w:ilvl w:val="0"/>
          <w:numId w:val="1"/>
        </w:numPr>
        <w:spacing w:before="60" w:after="60"/>
        <w:ind w:left="568" w:hanging="284"/>
      </w:pPr>
      <w:r w:rsidRPr="00DE71AB">
        <w:lastRenderedPageBreak/>
        <w:t>τα έσοδα της μείζον</w:t>
      </w:r>
      <w:r w:rsidR="008D18C7">
        <w:t>ο</w:t>
      </w:r>
      <w:r w:rsidRPr="00DE71AB">
        <w:t>ς κατηγορίας 54 «Δάνεια» ανέρχονται σε 1.</w:t>
      </w:r>
      <w:r>
        <w:t>654.726</w:t>
      </w:r>
      <w:r w:rsidRPr="00DE71AB">
        <w:t xml:space="preserve"> εκατ. ευρώ, εκ των οποίων:</w:t>
      </w:r>
    </w:p>
    <w:p w14:paraId="78304CD3" w14:textId="77777777" w:rsidR="00292B88" w:rsidRPr="00DE71AB" w:rsidRDefault="00292B88" w:rsidP="00292B88">
      <w:pPr>
        <w:spacing w:before="60" w:after="60"/>
        <w:ind w:left="568"/>
      </w:pPr>
      <w:r w:rsidRPr="00DE71AB">
        <w:t>(α) ποσό 1.</w:t>
      </w:r>
      <w:r>
        <w:t>650</w:t>
      </w:r>
      <w:r w:rsidRPr="00DE71AB">
        <w:t>.000 εκατ. ευρώ αφορά σε εισπράξεις από πώληση τίτλων με σύμφωνο επαναγοράς (repos)</w:t>
      </w:r>
      <w:r>
        <w:t>,</w:t>
      </w:r>
    </w:p>
    <w:p w14:paraId="70002CC4" w14:textId="5DA23BC5" w:rsidR="00292B88" w:rsidRDefault="00292B88" w:rsidP="00292B88">
      <w:pPr>
        <w:spacing w:before="60" w:after="60"/>
        <w:ind w:left="568"/>
      </w:pPr>
      <w:r w:rsidRPr="00DE71AB">
        <w:t xml:space="preserve">(β) ποσό ύψους </w:t>
      </w:r>
      <w:r>
        <w:t>4.326</w:t>
      </w:r>
      <w:r w:rsidRPr="00DE71AB">
        <w:t xml:space="preserve"> εκατ. ευρώ θα προέλθει από το ΤΑΑ (δανειακό σκέλος). Το σύνολο των δανειακών εσόδων από το ΤΑΑ για τα έτη 2021 - 202</w:t>
      </w:r>
      <w:r>
        <w:t>6</w:t>
      </w:r>
      <w:r w:rsidRPr="00DE71AB">
        <w:t xml:space="preserve"> προβλέπεται να ανέλθει στο ποσό των </w:t>
      </w:r>
      <w:r>
        <w:t>15.728</w:t>
      </w:r>
      <w:r w:rsidRPr="00DE71AB">
        <w:t xml:space="preserve"> εκατ. ευρώ (μέχρι το έτος 202</w:t>
      </w:r>
      <w:r>
        <w:t>5</w:t>
      </w:r>
      <w:r w:rsidRPr="00DE71AB">
        <w:t xml:space="preserve"> έχει εισπραχθεί ποσό </w:t>
      </w:r>
      <w:r>
        <w:t>11.402</w:t>
      </w:r>
      <w:r w:rsidRPr="00DE71AB">
        <w:t xml:space="preserve"> εκατ. ευρώ). Το προϊόν των δανείων αυτών διατίθεται μέσω των πιστωτικών ιδρυμάτων σε επιχειρήσεις για τη χρηματοδότηση επενδυτικών έργων καλύπτοντας έως 50% της συνολικής χρηματοδότησης, το δε υπόλοιπο 50% προέρχεται από τραπεζικό δανεισμό και από ίδια συμμετοχή</w:t>
      </w:r>
      <w:r>
        <w:t xml:space="preserve"> και</w:t>
      </w:r>
    </w:p>
    <w:p w14:paraId="51C24D9E" w14:textId="1C677308" w:rsidR="00292B88" w:rsidRPr="00966F97" w:rsidRDefault="00292B88" w:rsidP="00292B88">
      <w:pPr>
        <w:spacing w:before="60" w:after="60"/>
        <w:ind w:left="568"/>
      </w:pPr>
      <w:r>
        <w:t xml:space="preserve">(γ) ποσό ύψους 400 εκατ. ευρώ θα προέλθει από εισπράξεις από το πρόγραμμα </w:t>
      </w:r>
      <w:r>
        <w:rPr>
          <w:lang w:val="en-US"/>
        </w:rPr>
        <w:t>SAFE</w:t>
      </w:r>
      <w:r w:rsidR="00EF5F80">
        <w:t xml:space="preserve"> και</w:t>
      </w:r>
    </w:p>
    <w:p w14:paraId="4F266F54" w14:textId="174B93A9" w:rsidR="00142598" w:rsidRPr="00D0561E" w:rsidRDefault="00292B88" w:rsidP="00D0561E">
      <w:pPr>
        <w:numPr>
          <w:ilvl w:val="0"/>
          <w:numId w:val="1"/>
        </w:numPr>
        <w:spacing w:before="60"/>
        <w:ind w:left="568" w:hanging="284"/>
        <w:rPr>
          <w:rFonts w:eastAsia="Calibri"/>
          <w:lang w:eastAsia="en-US"/>
        </w:rPr>
      </w:pPr>
      <w:r w:rsidRPr="004420E6">
        <w:rPr>
          <w:rFonts w:eastAsia="Calibri"/>
          <w:lang w:eastAsia="en-US"/>
        </w:rPr>
        <w:t>τα έσοδα της μείζον</w:t>
      </w:r>
      <w:r w:rsidR="008D18C7">
        <w:rPr>
          <w:rFonts w:eastAsia="Calibri"/>
          <w:lang w:eastAsia="en-US"/>
        </w:rPr>
        <w:t>ο</w:t>
      </w:r>
      <w:r w:rsidRPr="004420E6">
        <w:rPr>
          <w:rFonts w:eastAsia="Calibri"/>
          <w:lang w:eastAsia="en-US"/>
        </w:rPr>
        <w:t xml:space="preserve">ς κατηγορίας 57 «Χρηματοοικονομικά παράγωγα» ανέρχονται στο ποσό των </w:t>
      </w:r>
      <w:r>
        <w:rPr>
          <w:rFonts w:eastAsia="Calibri"/>
          <w:lang w:eastAsia="en-US"/>
        </w:rPr>
        <w:t>959</w:t>
      </w:r>
      <w:r w:rsidRPr="004420E6">
        <w:rPr>
          <w:rFonts w:eastAsia="Calibri"/>
          <w:lang w:eastAsia="en-US"/>
        </w:rPr>
        <w:t xml:space="preserve"> εκατ. ευρώ και προέρχονται από εισπράξεις τόκων συμφωνιών ανταλλαγής κεφαλαίων (swaps).</w:t>
      </w:r>
    </w:p>
    <w:p w14:paraId="7C69846C" w14:textId="41720C8E" w:rsidR="005F0D7C" w:rsidRPr="00142598" w:rsidRDefault="00142598" w:rsidP="00142598">
      <w:pPr>
        <w:tabs>
          <w:tab w:val="left" w:pos="425"/>
        </w:tabs>
        <w:spacing w:before="360" w:after="240"/>
        <w:rPr>
          <w:b/>
        </w:rPr>
      </w:pPr>
      <w:r>
        <w:rPr>
          <w:b/>
        </w:rPr>
        <w:t>ΙΙΙ.</w:t>
      </w:r>
      <w:r>
        <w:rPr>
          <w:b/>
        </w:rPr>
        <w:tab/>
      </w:r>
      <w:r w:rsidR="001B1CC3" w:rsidRPr="00142598">
        <w:rPr>
          <w:b/>
        </w:rPr>
        <w:t>Ανάλυση ε</w:t>
      </w:r>
      <w:r w:rsidR="005F0D7C" w:rsidRPr="00142598">
        <w:rPr>
          <w:b/>
        </w:rPr>
        <w:t>σ</w:t>
      </w:r>
      <w:r w:rsidR="001B1CC3" w:rsidRPr="00142598">
        <w:rPr>
          <w:b/>
        </w:rPr>
        <w:t xml:space="preserve">όδων </w:t>
      </w:r>
      <w:r w:rsidR="00755254" w:rsidRPr="00142598">
        <w:rPr>
          <w:b/>
        </w:rPr>
        <w:t>του προϋπολογισμού δημοσίων επενδύσεων</w:t>
      </w:r>
    </w:p>
    <w:p w14:paraId="48A4EBC4" w14:textId="76557295" w:rsidR="00D0561E" w:rsidRDefault="00D0561E" w:rsidP="00583A5B">
      <w:r>
        <w:t xml:space="preserve">Τα ταμειακά έσοδα το 2026 αναμένεται να ανέλθουν στο ποσό των 4.545 εκατ. ευρώ και είναι αυξημένα κατά 330 εκατ. ευρώ έναντι </w:t>
      </w:r>
      <w:r w:rsidR="0084006A">
        <w:t xml:space="preserve">της εκτίμησης </w:t>
      </w:r>
      <w:r>
        <w:t xml:space="preserve">του 2025. Ποσό </w:t>
      </w:r>
      <w:r w:rsidRPr="004002A5">
        <w:t>4.</w:t>
      </w:r>
      <w:r>
        <w:t xml:space="preserve">345 εκατ. ευρώ αφορά στο συγχρηματοδοτούμενο σκέλος και περιλαμβάνεται στην κατηγορία «Μεταβιβάσεις» και ποσό 200 εκατ. ευρώ αφορά στο εθνικό σκέλος, εκ των οποίων ποσό </w:t>
      </w:r>
      <w:r w:rsidRPr="00966F97">
        <w:t>1</w:t>
      </w:r>
      <w:r>
        <w:t>70 εκατ. ευρώ περιλαμβάνεται στην κατηγορία «Λοιπά τρέχοντα έσοδα» και ποσό 30 εκατ. ευρώ στην κατηγορία «Μεταβιβάσεις».</w:t>
      </w:r>
    </w:p>
    <w:p w14:paraId="79F5A048" w14:textId="0197B8D4" w:rsidR="00D0561E" w:rsidRPr="000D4D0B" w:rsidRDefault="00D0561E" w:rsidP="006665F2">
      <w:pPr>
        <w:spacing w:after="240"/>
        <w:rPr>
          <w:szCs w:val="20"/>
        </w:rPr>
      </w:pPr>
      <w:r>
        <w:t xml:space="preserve">Τα έσοδα του συγχρηματοδοτούμενου σκέλους ανά ταμείο για τα έτη 2024, 2025 και 2026 με τα αντίστοιχα ποσά παρουσιάζονται </w:t>
      </w:r>
      <w:r w:rsidRPr="00154C13">
        <w:t>παρακάτω</w:t>
      </w:r>
      <w:r w:rsidRPr="00154C13">
        <w:rPr>
          <w:szCs w:val="20"/>
        </w:rPr>
        <w:t xml:space="preserve"> (</w:t>
      </w:r>
      <w:r w:rsidRPr="00154C13">
        <w:rPr>
          <w:szCs w:val="20"/>
        </w:rPr>
        <w:fldChar w:fldCharType="begin"/>
      </w:r>
      <w:r w:rsidRPr="00154C13">
        <w:rPr>
          <w:szCs w:val="20"/>
        </w:rPr>
        <w:instrText xml:space="preserve"> REF _Ref119515576 \h  \* MERGEFORMAT </w:instrText>
      </w:r>
      <w:r w:rsidRPr="00154C13">
        <w:rPr>
          <w:szCs w:val="20"/>
        </w:rPr>
      </w:r>
      <w:r w:rsidRPr="00154C13">
        <w:rPr>
          <w:szCs w:val="20"/>
        </w:rPr>
        <w:fldChar w:fldCharType="separate"/>
      </w:r>
      <w:r w:rsidR="00E15678" w:rsidRPr="00E15678">
        <w:rPr>
          <w:szCs w:val="20"/>
        </w:rPr>
        <w:t>Πίνακας 3.7</w:t>
      </w:r>
      <w:r w:rsidRPr="00154C13">
        <w:rPr>
          <w:szCs w:val="20"/>
        </w:rPr>
        <w:fldChar w:fldCharType="end"/>
      </w:r>
      <w:r w:rsidRPr="00154C13">
        <w:rPr>
          <w:szCs w:val="20"/>
        </w:rPr>
        <w:t>.).</w:t>
      </w:r>
    </w:p>
    <w:tbl>
      <w:tblPr>
        <w:tblW w:w="8947"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5093"/>
        <w:gridCol w:w="1261"/>
        <w:gridCol w:w="1311"/>
        <w:gridCol w:w="1282"/>
      </w:tblGrid>
      <w:tr w:rsidR="00A322F1" w:rsidRPr="00A15B5B" w14:paraId="3040A008" w14:textId="77777777" w:rsidTr="00A15B5B">
        <w:trPr>
          <w:cantSplit/>
          <w:trHeight w:val="397"/>
          <w:jc w:val="center"/>
        </w:trPr>
        <w:tc>
          <w:tcPr>
            <w:tcW w:w="8947"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1D466295" w14:textId="4813DBBF" w:rsidR="00A322F1" w:rsidRPr="00A15B5B" w:rsidRDefault="00410313" w:rsidP="00A15B5B">
            <w:pPr>
              <w:spacing w:after="0" w:line="276" w:lineRule="auto"/>
              <w:ind w:left="142"/>
              <w:jc w:val="center"/>
              <w:rPr>
                <w:rFonts w:cs="Arial"/>
                <w:b/>
                <w:sz w:val="18"/>
                <w:szCs w:val="16"/>
              </w:rPr>
            </w:pPr>
            <w:bookmarkStart w:id="328" w:name="_Ref119515576"/>
            <w:bookmarkStart w:id="329" w:name="_Toc214474045"/>
            <w:r w:rsidRPr="00A15B5B">
              <w:rPr>
                <w:rFonts w:cs="Arial"/>
                <w:b/>
                <w:sz w:val="18"/>
                <w:szCs w:val="16"/>
              </w:rPr>
              <w:t>Πίνακας 3.</w:t>
            </w:r>
            <w:r w:rsidRPr="00A15B5B">
              <w:rPr>
                <w:rFonts w:cs="Arial"/>
                <w:b/>
                <w:sz w:val="18"/>
                <w:szCs w:val="16"/>
              </w:rPr>
              <w:fldChar w:fldCharType="begin"/>
            </w:r>
            <w:r w:rsidRPr="00A15B5B">
              <w:rPr>
                <w:rFonts w:cs="Arial"/>
                <w:b/>
                <w:sz w:val="18"/>
                <w:szCs w:val="16"/>
              </w:rPr>
              <w:instrText xml:space="preserve"> SEQ Πίνακας_3. \* ARABIC </w:instrText>
            </w:r>
            <w:r w:rsidRPr="00A15B5B">
              <w:rPr>
                <w:rFonts w:cs="Arial"/>
                <w:b/>
                <w:sz w:val="18"/>
                <w:szCs w:val="16"/>
              </w:rPr>
              <w:fldChar w:fldCharType="separate"/>
            </w:r>
            <w:r w:rsidR="00E15678">
              <w:rPr>
                <w:rFonts w:cs="Arial"/>
                <w:b/>
                <w:noProof/>
                <w:sz w:val="18"/>
                <w:szCs w:val="16"/>
              </w:rPr>
              <w:t>7</w:t>
            </w:r>
            <w:r w:rsidRPr="00A15B5B">
              <w:rPr>
                <w:rFonts w:cs="Arial"/>
                <w:b/>
                <w:sz w:val="18"/>
                <w:szCs w:val="16"/>
              </w:rPr>
              <w:fldChar w:fldCharType="end"/>
            </w:r>
            <w:bookmarkEnd w:id="328"/>
            <w:r w:rsidRPr="00A15B5B">
              <w:rPr>
                <w:rFonts w:cs="Arial"/>
                <w:b/>
                <w:sz w:val="18"/>
                <w:szCs w:val="16"/>
              </w:rPr>
              <w:t>.:</w:t>
            </w:r>
            <w:r w:rsidRPr="00A15B5B">
              <w:rPr>
                <w:rFonts w:cs="Arial"/>
                <w:sz w:val="18"/>
                <w:szCs w:val="16"/>
              </w:rPr>
              <w:t xml:space="preserve"> </w:t>
            </w:r>
            <w:r w:rsidR="00A322F1" w:rsidRPr="00A15B5B">
              <w:rPr>
                <w:rFonts w:cs="Arial"/>
                <w:b/>
                <w:sz w:val="18"/>
                <w:szCs w:val="16"/>
              </w:rPr>
              <w:t xml:space="preserve">Έσοδα </w:t>
            </w:r>
            <w:r w:rsidR="00755254" w:rsidRPr="00A15B5B">
              <w:rPr>
                <w:rFonts w:cs="Arial"/>
                <w:b/>
                <w:sz w:val="18"/>
                <w:szCs w:val="16"/>
              </w:rPr>
              <w:t xml:space="preserve">του προϋπολογισμού δημοσίων επενδύσεων </w:t>
            </w:r>
            <w:r w:rsidR="00A322F1" w:rsidRPr="00A15B5B">
              <w:rPr>
                <w:rFonts w:cs="Arial"/>
                <w:b/>
                <w:sz w:val="18"/>
                <w:szCs w:val="16"/>
              </w:rPr>
              <w:t>(σε εκατ. ευρώ)</w:t>
            </w:r>
            <w:bookmarkEnd w:id="329"/>
          </w:p>
        </w:tc>
      </w:tr>
      <w:tr w:rsidR="00583A5B" w:rsidRPr="00A15B5B" w14:paraId="41D8C869" w14:textId="77777777" w:rsidTr="00A15B5B">
        <w:trPr>
          <w:cantSplit/>
          <w:jc w:val="center"/>
        </w:trPr>
        <w:tc>
          <w:tcPr>
            <w:tcW w:w="5093" w:type="dxa"/>
            <w:vMerge w:val="restart"/>
            <w:tcBorders>
              <w:top w:val="single" w:sz="2" w:space="0" w:color="A6A6A6" w:themeColor="background1" w:themeShade="A6"/>
              <w:left w:val="single" w:sz="2" w:space="0" w:color="A6A6A6" w:themeColor="background1" w:themeShade="A6"/>
              <w:bottom w:val="nil"/>
            </w:tcBorders>
            <w:shd w:val="clear" w:color="auto" w:fill="F2F2F2" w:themeFill="background1" w:themeFillShade="F2"/>
            <w:vAlign w:val="center"/>
            <w:hideMark/>
          </w:tcPr>
          <w:p w14:paraId="3A482BB2" w14:textId="77777777" w:rsidR="00583A5B" w:rsidRPr="00A15B5B" w:rsidRDefault="00583A5B" w:rsidP="00A15B5B">
            <w:pPr>
              <w:spacing w:after="0" w:line="276" w:lineRule="auto"/>
              <w:jc w:val="center"/>
              <w:rPr>
                <w:rFonts w:cs="Arial"/>
                <w:b/>
                <w:bCs/>
                <w:color w:val="000000"/>
                <w:sz w:val="16"/>
                <w:szCs w:val="16"/>
              </w:rPr>
            </w:pPr>
            <w:r w:rsidRPr="00A15B5B">
              <w:rPr>
                <w:rFonts w:cs="Arial"/>
                <w:b/>
                <w:bCs/>
                <w:color w:val="000000"/>
                <w:sz w:val="16"/>
                <w:szCs w:val="16"/>
              </w:rPr>
              <w:t>Πηγές εσόδων</w:t>
            </w:r>
          </w:p>
        </w:tc>
        <w:tc>
          <w:tcPr>
            <w:tcW w:w="1261" w:type="dxa"/>
            <w:tcBorders>
              <w:top w:val="single" w:sz="2" w:space="0" w:color="A6A6A6" w:themeColor="background1" w:themeShade="A6"/>
              <w:bottom w:val="nil"/>
            </w:tcBorders>
            <w:shd w:val="clear" w:color="auto" w:fill="F2F2F2" w:themeFill="background1" w:themeFillShade="F2"/>
            <w:vAlign w:val="bottom"/>
            <w:hideMark/>
          </w:tcPr>
          <w:p w14:paraId="7DC12EDE" w14:textId="6F773139" w:rsidR="00583A5B" w:rsidRPr="00A15B5B" w:rsidRDefault="00583A5B" w:rsidP="00A15B5B">
            <w:pPr>
              <w:spacing w:after="0" w:line="276" w:lineRule="auto"/>
              <w:jc w:val="center"/>
              <w:rPr>
                <w:rFonts w:cs="Arial"/>
                <w:b/>
                <w:bCs/>
                <w:color w:val="000000"/>
                <w:sz w:val="16"/>
                <w:szCs w:val="16"/>
              </w:rPr>
            </w:pPr>
            <w:r w:rsidRPr="00A15B5B">
              <w:rPr>
                <w:rFonts w:cs="Arial"/>
                <w:b/>
                <w:bCs/>
                <w:color w:val="000000"/>
                <w:sz w:val="16"/>
                <w:szCs w:val="16"/>
              </w:rPr>
              <w:t>2024</w:t>
            </w:r>
          </w:p>
        </w:tc>
        <w:tc>
          <w:tcPr>
            <w:tcW w:w="1311" w:type="dxa"/>
            <w:tcBorders>
              <w:top w:val="single" w:sz="2" w:space="0" w:color="A6A6A6" w:themeColor="background1" w:themeShade="A6"/>
              <w:bottom w:val="nil"/>
            </w:tcBorders>
            <w:shd w:val="clear" w:color="auto" w:fill="F2F2F2" w:themeFill="background1" w:themeFillShade="F2"/>
            <w:vAlign w:val="bottom"/>
            <w:hideMark/>
          </w:tcPr>
          <w:p w14:paraId="772FE75E" w14:textId="33A3C109" w:rsidR="00583A5B" w:rsidRPr="00A15B5B" w:rsidRDefault="00583A5B" w:rsidP="00A15B5B">
            <w:pPr>
              <w:spacing w:after="0" w:line="276" w:lineRule="auto"/>
              <w:jc w:val="center"/>
              <w:rPr>
                <w:rFonts w:cs="Arial"/>
                <w:b/>
                <w:bCs/>
                <w:sz w:val="16"/>
                <w:szCs w:val="16"/>
              </w:rPr>
            </w:pPr>
            <w:r w:rsidRPr="00A15B5B">
              <w:rPr>
                <w:rFonts w:cs="Arial"/>
                <w:b/>
                <w:bCs/>
                <w:sz w:val="16"/>
                <w:szCs w:val="16"/>
              </w:rPr>
              <w:t>2025</w:t>
            </w:r>
          </w:p>
        </w:tc>
        <w:tc>
          <w:tcPr>
            <w:tcW w:w="1282" w:type="dxa"/>
            <w:tcBorders>
              <w:top w:val="single" w:sz="2" w:space="0" w:color="A6A6A6" w:themeColor="background1" w:themeShade="A6"/>
              <w:bottom w:val="nil"/>
              <w:right w:val="single" w:sz="2" w:space="0" w:color="A6A6A6" w:themeColor="background1" w:themeShade="A6"/>
            </w:tcBorders>
            <w:shd w:val="clear" w:color="auto" w:fill="F2F2F2" w:themeFill="background1" w:themeFillShade="F2"/>
            <w:vAlign w:val="bottom"/>
            <w:hideMark/>
          </w:tcPr>
          <w:p w14:paraId="03CBF092" w14:textId="797983BF" w:rsidR="00583A5B" w:rsidRPr="00A15B5B" w:rsidRDefault="00583A5B" w:rsidP="00A15B5B">
            <w:pPr>
              <w:spacing w:after="0" w:line="276" w:lineRule="auto"/>
              <w:jc w:val="center"/>
              <w:rPr>
                <w:rFonts w:cs="Arial"/>
                <w:b/>
                <w:bCs/>
                <w:color w:val="000000"/>
                <w:sz w:val="16"/>
                <w:szCs w:val="16"/>
              </w:rPr>
            </w:pPr>
            <w:r w:rsidRPr="00A15B5B">
              <w:rPr>
                <w:rFonts w:cs="Arial"/>
                <w:b/>
                <w:bCs/>
                <w:color w:val="000000"/>
                <w:sz w:val="16"/>
                <w:szCs w:val="16"/>
              </w:rPr>
              <w:t>2026</w:t>
            </w:r>
          </w:p>
        </w:tc>
      </w:tr>
      <w:tr w:rsidR="00A322F1" w:rsidRPr="00A15B5B" w14:paraId="4DD86A58" w14:textId="77777777" w:rsidTr="00A15B5B">
        <w:trPr>
          <w:cantSplit/>
          <w:jc w:val="center"/>
        </w:trPr>
        <w:tc>
          <w:tcPr>
            <w:tcW w:w="5093" w:type="dxa"/>
            <w:vMerge/>
            <w:tcBorders>
              <w:top w:val="nil"/>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348D46E7" w14:textId="77777777" w:rsidR="00A322F1" w:rsidRPr="00A15B5B" w:rsidRDefault="00A322F1" w:rsidP="00A15B5B">
            <w:pPr>
              <w:spacing w:after="0" w:line="276" w:lineRule="auto"/>
              <w:rPr>
                <w:rFonts w:cs="Arial"/>
                <w:b/>
                <w:bCs/>
                <w:color w:val="000000"/>
                <w:sz w:val="16"/>
                <w:szCs w:val="16"/>
              </w:rPr>
            </w:pPr>
          </w:p>
        </w:tc>
        <w:tc>
          <w:tcPr>
            <w:tcW w:w="1261" w:type="dxa"/>
            <w:tcBorders>
              <w:top w:val="nil"/>
              <w:bottom w:val="single" w:sz="2" w:space="0" w:color="A6A6A6" w:themeColor="background1" w:themeShade="A6"/>
            </w:tcBorders>
            <w:shd w:val="clear" w:color="auto" w:fill="F2F2F2" w:themeFill="background1" w:themeFillShade="F2"/>
            <w:vAlign w:val="bottom"/>
            <w:hideMark/>
          </w:tcPr>
          <w:p w14:paraId="2AE5CED5" w14:textId="77777777" w:rsidR="00A322F1" w:rsidRPr="00A15B5B" w:rsidRDefault="00A322F1" w:rsidP="00A15B5B">
            <w:pPr>
              <w:spacing w:after="0" w:line="276" w:lineRule="auto"/>
              <w:jc w:val="center"/>
              <w:rPr>
                <w:rFonts w:cs="Arial"/>
                <w:b/>
                <w:bCs/>
                <w:color w:val="000000"/>
                <w:sz w:val="16"/>
                <w:szCs w:val="16"/>
              </w:rPr>
            </w:pPr>
            <w:r w:rsidRPr="00A15B5B">
              <w:rPr>
                <w:rFonts w:cs="Arial"/>
                <w:b/>
                <w:bCs/>
                <w:color w:val="000000"/>
                <w:sz w:val="16"/>
                <w:szCs w:val="16"/>
              </w:rPr>
              <w:t>Πραγματ/σεις</w:t>
            </w:r>
          </w:p>
        </w:tc>
        <w:tc>
          <w:tcPr>
            <w:tcW w:w="1311" w:type="dxa"/>
            <w:tcBorders>
              <w:top w:val="nil"/>
              <w:bottom w:val="single" w:sz="2" w:space="0" w:color="A6A6A6" w:themeColor="background1" w:themeShade="A6"/>
            </w:tcBorders>
            <w:shd w:val="clear" w:color="auto" w:fill="F2F2F2" w:themeFill="background1" w:themeFillShade="F2"/>
            <w:vAlign w:val="bottom"/>
            <w:hideMark/>
          </w:tcPr>
          <w:p w14:paraId="4D3C7CB9" w14:textId="77777777" w:rsidR="00A322F1" w:rsidRPr="00A15B5B" w:rsidRDefault="00A322F1" w:rsidP="00A15B5B">
            <w:pPr>
              <w:spacing w:after="0" w:line="276" w:lineRule="auto"/>
              <w:jc w:val="center"/>
              <w:rPr>
                <w:rFonts w:cs="Arial"/>
                <w:b/>
                <w:bCs/>
                <w:sz w:val="16"/>
                <w:szCs w:val="16"/>
              </w:rPr>
            </w:pPr>
            <w:r w:rsidRPr="00A15B5B">
              <w:rPr>
                <w:rFonts w:cs="Arial"/>
                <w:b/>
                <w:bCs/>
                <w:sz w:val="16"/>
                <w:szCs w:val="16"/>
              </w:rPr>
              <w:t>Εκτιμήσεις</w:t>
            </w:r>
          </w:p>
        </w:tc>
        <w:tc>
          <w:tcPr>
            <w:tcW w:w="1282" w:type="dxa"/>
            <w:tcBorders>
              <w:top w:val="nil"/>
              <w:bottom w:val="single" w:sz="2" w:space="0" w:color="A6A6A6" w:themeColor="background1" w:themeShade="A6"/>
              <w:right w:val="single" w:sz="2" w:space="0" w:color="A6A6A6" w:themeColor="background1" w:themeShade="A6"/>
            </w:tcBorders>
            <w:shd w:val="clear" w:color="auto" w:fill="F2F2F2" w:themeFill="background1" w:themeFillShade="F2"/>
            <w:vAlign w:val="bottom"/>
            <w:hideMark/>
          </w:tcPr>
          <w:p w14:paraId="248999A7" w14:textId="77777777" w:rsidR="00A322F1" w:rsidRPr="00A15B5B" w:rsidRDefault="00A322F1" w:rsidP="00A15B5B">
            <w:pPr>
              <w:spacing w:after="0" w:line="276" w:lineRule="auto"/>
              <w:jc w:val="center"/>
              <w:rPr>
                <w:rFonts w:cs="Arial"/>
                <w:b/>
                <w:bCs/>
                <w:color w:val="000000"/>
                <w:sz w:val="16"/>
                <w:szCs w:val="16"/>
              </w:rPr>
            </w:pPr>
            <w:r w:rsidRPr="00A15B5B">
              <w:rPr>
                <w:rFonts w:cs="Arial"/>
                <w:b/>
                <w:bCs/>
                <w:color w:val="000000"/>
                <w:sz w:val="16"/>
                <w:szCs w:val="16"/>
              </w:rPr>
              <w:t>Προβλέψεις</w:t>
            </w:r>
          </w:p>
        </w:tc>
      </w:tr>
      <w:tr w:rsidR="00583A5B" w:rsidRPr="00A15B5B" w14:paraId="2555BDAC" w14:textId="77777777" w:rsidTr="00A15B5B">
        <w:trPr>
          <w:cantSplit/>
          <w:jc w:val="center"/>
        </w:trPr>
        <w:tc>
          <w:tcPr>
            <w:tcW w:w="5093" w:type="dxa"/>
            <w:tcBorders>
              <w:top w:val="single" w:sz="2" w:space="0" w:color="A6A6A6" w:themeColor="background1" w:themeShade="A6"/>
              <w:left w:val="single" w:sz="2" w:space="0" w:color="A6A6A6" w:themeColor="background1" w:themeShade="A6"/>
              <w:bottom w:val="nil"/>
            </w:tcBorders>
            <w:shd w:val="clear" w:color="auto" w:fill="auto"/>
            <w:vAlign w:val="center"/>
            <w:hideMark/>
          </w:tcPr>
          <w:p w14:paraId="0274812C" w14:textId="77777777" w:rsidR="00583A5B" w:rsidRPr="00A15B5B" w:rsidRDefault="00583A5B" w:rsidP="00A15B5B">
            <w:pPr>
              <w:spacing w:after="0" w:line="276" w:lineRule="auto"/>
              <w:jc w:val="left"/>
              <w:rPr>
                <w:rFonts w:cs="Arial"/>
                <w:b/>
                <w:bCs/>
                <w:color w:val="000000"/>
                <w:sz w:val="16"/>
                <w:szCs w:val="16"/>
              </w:rPr>
            </w:pPr>
            <w:r w:rsidRPr="00A15B5B">
              <w:rPr>
                <w:rFonts w:cs="Arial"/>
                <w:b/>
                <w:bCs/>
                <w:color w:val="000000"/>
                <w:sz w:val="16"/>
                <w:szCs w:val="16"/>
              </w:rPr>
              <w:t>Ίδια έσοδα</w:t>
            </w:r>
          </w:p>
        </w:tc>
        <w:tc>
          <w:tcPr>
            <w:tcW w:w="1261" w:type="dxa"/>
            <w:tcBorders>
              <w:top w:val="single" w:sz="2" w:space="0" w:color="A6A6A6" w:themeColor="background1" w:themeShade="A6"/>
              <w:bottom w:val="nil"/>
            </w:tcBorders>
            <w:shd w:val="clear" w:color="auto" w:fill="auto"/>
            <w:vAlign w:val="center"/>
          </w:tcPr>
          <w:p w14:paraId="4A8C283C" w14:textId="58B93017"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rPr>
              <w:t>476</w:t>
            </w:r>
          </w:p>
        </w:tc>
        <w:tc>
          <w:tcPr>
            <w:tcW w:w="1311" w:type="dxa"/>
            <w:tcBorders>
              <w:top w:val="single" w:sz="2" w:space="0" w:color="A6A6A6" w:themeColor="background1" w:themeShade="A6"/>
              <w:bottom w:val="nil"/>
            </w:tcBorders>
            <w:shd w:val="clear" w:color="auto" w:fill="auto"/>
            <w:vAlign w:val="center"/>
          </w:tcPr>
          <w:p w14:paraId="7DF068ED" w14:textId="0DF07266"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rPr>
              <w:t>300</w:t>
            </w:r>
          </w:p>
        </w:tc>
        <w:tc>
          <w:tcPr>
            <w:tcW w:w="1282" w:type="dxa"/>
            <w:tcBorders>
              <w:top w:val="single" w:sz="2" w:space="0" w:color="A6A6A6" w:themeColor="background1" w:themeShade="A6"/>
              <w:bottom w:val="nil"/>
              <w:right w:val="single" w:sz="2" w:space="0" w:color="A6A6A6" w:themeColor="background1" w:themeShade="A6"/>
            </w:tcBorders>
            <w:shd w:val="clear" w:color="auto" w:fill="auto"/>
            <w:vAlign w:val="center"/>
          </w:tcPr>
          <w:p w14:paraId="0AF648DB" w14:textId="207ED762"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rPr>
              <w:t>200</w:t>
            </w:r>
          </w:p>
        </w:tc>
      </w:tr>
      <w:tr w:rsidR="000D4D0B" w:rsidRPr="00A15B5B" w14:paraId="068BC792" w14:textId="77777777" w:rsidTr="00DA1944">
        <w:trPr>
          <w:cantSplit/>
          <w:trHeight w:val="20"/>
          <w:jc w:val="center"/>
        </w:trPr>
        <w:tc>
          <w:tcPr>
            <w:tcW w:w="5093" w:type="dxa"/>
            <w:tcBorders>
              <w:top w:val="nil"/>
              <w:left w:val="single" w:sz="2" w:space="0" w:color="A6A6A6" w:themeColor="background1" w:themeShade="A6"/>
              <w:bottom w:val="nil"/>
            </w:tcBorders>
            <w:shd w:val="clear" w:color="auto" w:fill="auto"/>
            <w:vAlign w:val="center"/>
          </w:tcPr>
          <w:p w14:paraId="655A273B" w14:textId="59395AE5" w:rsidR="000D4D0B" w:rsidRPr="00A15B5B" w:rsidRDefault="000D4D0B" w:rsidP="00A15B5B">
            <w:pPr>
              <w:spacing w:after="0" w:line="276" w:lineRule="auto"/>
              <w:jc w:val="left"/>
              <w:rPr>
                <w:rFonts w:cs="Arial"/>
                <w:color w:val="000000"/>
                <w:sz w:val="16"/>
                <w:szCs w:val="16"/>
              </w:rPr>
            </w:pPr>
          </w:p>
        </w:tc>
        <w:tc>
          <w:tcPr>
            <w:tcW w:w="1261" w:type="dxa"/>
            <w:tcBorders>
              <w:top w:val="nil"/>
              <w:bottom w:val="nil"/>
            </w:tcBorders>
            <w:shd w:val="clear" w:color="auto" w:fill="auto"/>
            <w:vAlign w:val="center"/>
          </w:tcPr>
          <w:p w14:paraId="4E9FE1AB" w14:textId="0238D468" w:rsidR="000D4D0B" w:rsidRPr="00A15B5B" w:rsidRDefault="000D4D0B" w:rsidP="00A15B5B">
            <w:pPr>
              <w:tabs>
                <w:tab w:val="decimal" w:pos="775"/>
              </w:tabs>
              <w:spacing w:after="0" w:line="276" w:lineRule="auto"/>
              <w:jc w:val="right"/>
              <w:rPr>
                <w:rFonts w:cs="Arial"/>
                <w:b/>
                <w:bCs/>
                <w:color w:val="000000"/>
                <w:sz w:val="16"/>
                <w:szCs w:val="16"/>
              </w:rPr>
            </w:pPr>
          </w:p>
        </w:tc>
        <w:tc>
          <w:tcPr>
            <w:tcW w:w="1311" w:type="dxa"/>
            <w:tcBorders>
              <w:top w:val="nil"/>
              <w:bottom w:val="nil"/>
            </w:tcBorders>
            <w:shd w:val="clear" w:color="auto" w:fill="auto"/>
            <w:vAlign w:val="center"/>
          </w:tcPr>
          <w:p w14:paraId="66A131CA" w14:textId="15A1FB77" w:rsidR="000D4D0B" w:rsidRPr="00A15B5B" w:rsidRDefault="000D4D0B" w:rsidP="00A15B5B">
            <w:pPr>
              <w:tabs>
                <w:tab w:val="decimal" w:pos="775"/>
              </w:tabs>
              <w:spacing w:after="0" w:line="276" w:lineRule="auto"/>
              <w:jc w:val="right"/>
              <w:rPr>
                <w:rFonts w:cs="Arial"/>
                <w:b/>
                <w:bCs/>
                <w:color w:val="000000"/>
                <w:sz w:val="16"/>
                <w:szCs w:val="16"/>
              </w:rPr>
            </w:pPr>
          </w:p>
        </w:tc>
        <w:tc>
          <w:tcPr>
            <w:tcW w:w="1282" w:type="dxa"/>
            <w:tcBorders>
              <w:top w:val="nil"/>
              <w:bottom w:val="nil"/>
              <w:right w:val="single" w:sz="2" w:space="0" w:color="A6A6A6" w:themeColor="background1" w:themeShade="A6"/>
            </w:tcBorders>
            <w:shd w:val="clear" w:color="auto" w:fill="auto"/>
            <w:vAlign w:val="center"/>
          </w:tcPr>
          <w:p w14:paraId="50FFF5F6" w14:textId="3D197B75" w:rsidR="000D4D0B" w:rsidRPr="00A15B5B" w:rsidRDefault="000D4D0B" w:rsidP="00A15B5B">
            <w:pPr>
              <w:tabs>
                <w:tab w:val="decimal" w:pos="775"/>
              </w:tabs>
              <w:spacing w:after="0" w:line="276" w:lineRule="auto"/>
              <w:jc w:val="right"/>
              <w:rPr>
                <w:rFonts w:cs="Arial"/>
                <w:b/>
                <w:bCs/>
                <w:color w:val="000000"/>
                <w:sz w:val="16"/>
                <w:szCs w:val="16"/>
              </w:rPr>
            </w:pPr>
          </w:p>
        </w:tc>
      </w:tr>
      <w:tr w:rsidR="00583A5B" w:rsidRPr="00A15B5B" w14:paraId="2AE5FDE5" w14:textId="77777777" w:rsidTr="00A15B5B">
        <w:trPr>
          <w:cantSplit/>
          <w:jc w:val="center"/>
        </w:trPr>
        <w:tc>
          <w:tcPr>
            <w:tcW w:w="5093" w:type="dxa"/>
            <w:tcBorders>
              <w:top w:val="nil"/>
              <w:left w:val="single" w:sz="2" w:space="0" w:color="A6A6A6" w:themeColor="background1" w:themeShade="A6"/>
              <w:bottom w:val="nil"/>
            </w:tcBorders>
            <w:shd w:val="clear" w:color="auto" w:fill="auto"/>
            <w:vAlign w:val="center"/>
            <w:hideMark/>
          </w:tcPr>
          <w:p w14:paraId="3B73E06A" w14:textId="77777777" w:rsidR="00583A5B" w:rsidRPr="00A15B5B" w:rsidRDefault="00583A5B" w:rsidP="00A15B5B">
            <w:pPr>
              <w:spacing w:after="0" w:line="276" w:lineRule="auto"/>
              <w:jc w:val="left"/>
              <w:rPr>
                <w:rFonts w:cs="Arial"/>
                <w:b/>
                <w:bCs/>
                <w:color w:val="000000"/>
                <w:sz w:val="16"/>
                <w:szCs w:val="16"/>
              </w:rPr>
            </w:pPr>
            <w:r w:rsidRPr="00A15B5B">
              <w:rPr>
                <w:rFonts w:cs="Arial"/>
                <w:b/>
                <w:bCs/>
                <w:color w:val="000000"/>
                <w:sz w:val="16"/>
                <w:szCs w:val="16"/>
              </w:rPr>
              <w:t>Επιχορηγήσεις ΕΕ</w:t>
            </w:r>
          </w:p>
        </w:tc>
        <w:tc>
          <w:tcPr>
            <w:tcW w:w="1261" w:type="dxa"/>
            <w:tcBorders>
              <w:top w:val="nil"/>
              <w:bottom w:val="nil"/>
            </w:tcBorders>
            <w:shd w:val="clear" w:color="auto" w:fill="auto"/>
            <w:vAlign w:val="center"/>
          </w:tcPr>
          <w:p w14:paraId="67751B12" w14:textId="4147E933"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rPr>
              <w:t>3.952</w:t>
            </w:r>
          </w:p>
        </w:tc>
        <w:tc>
          <w:tcPr>
            <w:tcW w:w="1311" w:type="dxa"/>
            <w:tcBorders>
              <w:top w:val="nil"/>
              <w:bottom w:val="nil"/>
            </w:tcBorders>
            <w:shd w:val="clear" w:color="auto" w:fill="auto"/>
            <w:vAlign w:val="center"/>
          </w:tcPr>
          <w:p w14:paraId="129C7635" w14:textId="28F70EBD"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rPr>
              <w:t>3.915</w:t>
            </w:r>
          </w:p>
        </w:tc>
        <w:tc>
          <w:tcPr>
            <w:tcW w:w="1282" w:type="dxa"/>
            <w:tcBorders>
              <w:top w:val="nil"/>
              <w:bottom w:val="nil"/>
              <w:right w:val="single" w:sz="2" w:space="0" w:color="A6A6A6" w:themeColor="background1" w:themeShade="A6"/>
            </w:tcBorders>
            <w:shd w:val="clear" w:color="auto" w:fill="auto"/>
            <w:vAlign w:val="center"/>
          </w:tcPr>
          <w:p w14:paraId="176F7B9D" w14:textId="14691725"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lang w:val="en-US"/>
              </w:rPr>
              <w:t>4.</w:t>
            </w:r>
            <w:r w:rsidRPr="00A15B5B">
              <w:rPr>
                <w:rFonts w:cs="Arial"/>
                <w:b/>
                <w:bCs/>
                <w:color w:val="000000"/>
                <w:sz w:val="16"/>
                <w:szCs w:val="16"/>
              </w:rPr>
              <w:t>345</w:t>
            </w:r>
          </w:p>
        </w:tc>
      </w:tr>
      <w:tr w:rsidR="00583A5B" w:rsidRPr="00A15B5B" w14:paraId="52626DD5" w14:textId="77777777" w:rsidTr="00A15B5B">
        <w:trPr>
          <w:cantSplit/>
          <w:jc w:val="center"/>
        </w:trPr>
        <w:tc>
          <w:tcPr>
            <w:tcW w:w="5093" w:type="dxa"/>
            <w:tcBorders>
              <w:top w:val="nil"/>
              <w:left w:val="single" w:sz="2" w:space="0" w:color="A6A6A6" w:themeColor="background1" w:themeShade="A6"/>
              <w:bottom w:val="nil"/>
            </w:tcBorders>
            <w:shd w:val="clear" w:color="auto" w:fill="auto"/>
            <w:vAlign w:val="center"/>
            <w:hideMark/>
          </w:tcPr>
          <w:p w14:paraId="5449F516" w14:textId="77777777" w:rsidR="00583A5B" w:rsidRPr="00A15B5B" w:rsidRDefault="00583A5B" w:rsidP="00A15B5B">
            <w:pPr>
              <w:spacing w:after="0" w:line="276" w:lineRule="auto"/>
              <w:jc w:val="left"/>
              <w:rPr>
                <w:rFonts w:cs="Arial"/>
                <w:color w:val="000000"/>
                <w:sz w:val="16"/>
                <w:szCs w:val="16"/>
              </w:rPr>
            </w:pPr>
            <w:r w:rsidRPr="00A15B5B">
              <w:rPr>
                <w:rFonts w:cs="Arial"/>
                <w:color w:val="000000"/>
                <w:sz w:val="16"/>
                <w:szCs w:val="16"/>
              </w:rPr>
              <w:t>- ΕΤΠΑ</w:t>
            </w:r>
          </w:p>
        </w:tc>
        <w:tc>
          <w:tcPr>
            <w:tcW w:w="1261" w:type="dxa"/>
            <w:tcBorders>
              <w:top w:val="nil"/>
              <w:bottom w:val="nil"/>
            </w:tcBorders>
            <w:shd w:val="clear" w:color="auto" w:fill="auto"/>
            <w:vAlign w:val="center"/>
          </w:tcPr>
          <w:p w14:paraId="344C1DFE" w14:textId="6BCD5AAE"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843</w:t>
            </w:r>
          </w:p>
        </w:tc>
        <w:tc>
          <w:tcPr>
            <w:tcW w:w="1311" w:type="dxa"/>
            <w:tcBorders>
              <w:top w:val="nil"/>
              <w:bottom w:val="nil"/>
            </w:tcBorders>
            <w:shd w:val="clear" w:color="auto" w:fill="auto"/>
            <w:vAlign w:val="center"/>
          </w:tcPr>
          <w:p w14:paraId="67275A4F" w14:textId="262DFA8A"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1.274</w:t>
            </w:r>
          </w:p>
        </w:tc>
        <w:tc>
          <w:tcPr>
            <w:tcW w:w="1282" w:type="dxa"/>
            <w:tcBorders>
              <w:top w:val="nil"/>
              <w:bottom w:val="nil"/>
              <w:right w:val="single" w:sz="2" w:space="0" w:color="A6A6A6" w:themeColor="background1" w:themeShade="A6"/>
            </w:tcBorders>
            <w:shd w:val="clear" w:color="auto" w:fill="auto"/>
            <w:vAlign w:val="center"/>
          </w:tcPr>
          <w:p w14:paraId="6BC07C03" w14:textId="5ECB3D05"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1.614</w:t>
            </w:r>
          </w:p>
        </w:tc>
      </w:tr>
      <w:tr w:rsidR="00583A5B" w:rsidRPr="00A15B5B" w14:paraId="302FAAFA" w14:textId="77777777" w:rsidTr="00A15B5B">
        <w:trPr>
          <w:cantSplit/>
          <w:jc w:val="center"/>
        </w:trPr>
        <w:tc>
          <w:tcPr>
            <w:tcW w:w="5093" w:type="dxa"/>
            <w:tcBorders>
              <w:top w:val="nil"/>
              <w:left w:val="single" w:sz="2" w:space="0" w:color="A6A6A6" w:themeColor="background1" w:themeShade="A6"/>
              <w:bottom w:val="nil"/>
            </w:tcBorders>
            <w:shd w:val="clear" w:color="auto" w:fill="auto"/>
            <w:vAlign w:val="center"/>
            <w:hideMark/>
          </w:tcPr>
          <w:p w14:paraId="251C7034" w14:textId="77777777" w:rsidR="00583A5B" w:rsidRPr="00A15B5B" w:rsidRDefault="00583A5B" w:rsidP="00A15B5B">
            <w:pPr>
              <w:spacing w:after="0" w:line="276" w:lineRule="auto"/>
              <w:jc w:val="left"/>
              <w:rPr>
                <w:rFonts w:cs="Arial"/>
                <w:color w:val="000000"/>
                <w:sz w:val="16"/>
                <w:szCs w:val="16"/>
              </w:rPr>
            </w:pPr>
            <w:r w:rsidRPr="00A15B5B">
              <w:rPr>
                <w:rFonts w:cs="Arial"/>
                <w:color w:val="000000"/>
                <w:sz w:val="16"/>
                <w:szCs w:val="16"/>
              </w:rPr>
              <w:t>- Ταμείο Συνοχής</w:t>
            </w:r>
          </w:p>
        </w:tc>
        <w:tc>
          <w:tcPr>
            <w:tcW w:w="1261" w:type="dxa"/>
            <w:tcBorders>
              <w:top w:val="nil"/>
              <w:bottom w:val="nil"/>
            </w:tcBorders>
            <w:shd w:val="clear" w:color="auto" w:fill="auto"/>
            <w:vAlign w:val="center"/>
          </w:tcPr>
          <w:p w14:paraId="4F093CFA" w14:textId="7311BA0D"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643</w:t>
            </w:r>
          </w:p>
        </w:tc>
        <w:tc>
          <w:tcPr>
            <w:tcW w:w="1311" w:type="dxa"/>
            <w:tcBorders>
              <w:top w:val="nil"/>
              <w:bottom w:val="nil"/>
            </w:tcBorders>
            <w:shd w:val="clear" w:color="auto" w:fill="auto"/>
            <w:vAlign w:val="center"/>
          </w:tcPr>
          <w:p w14:paraId="3075249A" w14:textId="5A128916"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450</w:t>
            </w:r>
          </w:p>
        </w:tc>
        <w:tc>
          <w:tcPr>
            <w:tcW w:w="1282" w:type="dxa"/>
            <w:tcBorders>
              <w:top w:val="nil"/>
              <w:bottom w:val="nil"/>
              <w:right w:val="single" w:sz="2" w:space="0" w:color="A6A6A6" w:themeColor="background1" w:themeShade="A6"/>
            </w:tcBorders>
            <w:shd w:val="clear" w:color="auto" w:fill="auto"/>
            <w:vAlign w:val="center"/>
          </w:tcPr>
          <w:p w14:paraId="190A035C" w14:textId="759C4F24"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565</w:t>
            </w:r>
          </w:p>
        </w:tc>
      </w:tr>
      <w:tr w:rsidR="00583A5B" w:rsidRPr="00A15B5B" w14:paraId="7161481E" w14:textId="77777777" w:rsidTr="00A15B5B">
        <w:trPr>
          <w:cantSplit/>
          <w:jc w:val="center"/>
        </w:trPr>
        <w:tc>
          <w:tcPr>
            <w:tcW w:w="5093" w:type="dxa"/>
            <w:tcBorders>
              <w:top w:val="nil"/>
              <w:left w:val="single" w:sz="2" w:space="0" w:color="A6A6A6" w:themeColor="background1" w:themeShade="A6"/>
              <w:bottom w:val="nil"/>
            </w:tcBorders>
            <w:shd w:val="clear" w:color="auto" w:fill="auto"/>
            <w:vAlign w:val="center"/>
            <w:hideMark/>
          </w:tcPr>
          <w:p w14:paraId="2FBF0865" w14:textId="77777777" w:rsidR="00583A5B" w:rsidRPr="00A15B5B" w:rsidRDefault="00583A5B" w:rsidP="00A15B5B">
            <w:pPr>
              <w:spacing w:after="0" w:line="276" w:lineRule="auto"/>
              <w:jc w:val="left"/>
              <w:rPr>
                <w:rFonts w:cs="Arial"/>
                <w:color w:val="000000"/>
                <w:sz w:val="16"/>
                <w:szCs w:val="16"/>
              </w:rPr>
            </w:pPr>
            <w:r w:rsidRPr="00A15B5B">
              <w:rPr>
                <w:rFonts w:cs="Arial"/>
                <w:color w:val="000000"/>
                <w:sz w:val="16"/>
                <w:szCs w:val="16"/>
              </w:rPr>
              <w:t>- ΕΚΤ</w:t>
            </w:r>
          </w:p>
        </w:tc>
        <w:tc>
          <w:tcPr>
            <w:tcW w:w="1261" w:type="dxa"/>
            <w:tcBorders>
              <w:top w:val="nil"/>
              <w:bottom w:val="nil"/>
            </w:tcBorders>
            <w:shd w:val="clear" w:color="auto" w:fill="auto"/>
            <w:vAlign w:val="center"/>
          </w:tcPr>
          <w:p w14:paraId="4EB1E0C9" w14:textId="5986C2B3"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617</w:t>
            </w:r>
          </w:p>
        </w:tc>
        <w:tc>
          <w:tcPr>
            <w:tcW w:w="1311" w:type="dxa"/>
            <w:tcBorders>
              <w:top w:val="nil"/>
              <w:bottom w:val="nil"/>
            </w:tcBorders>
            <w:shd w:val="clear" w:color="auto" w:fill="auto"/>
            <w:vAlign w:val="center"/>
          </w:tcPr>
          <w:p w14:paraId="19094D8C" w14:textId="641EEDB0"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664</w:t>
            </w:r>
          </w:p>
        </w:tc>
        <w:tc>
          <w:tcPr>
            <w:tcW w:w="1282" w:type="dxa"/>
            <w:tcBorders>
              <w:top w:val="nil"/>
              <w:bottom w:val="nil"/>
              <w:right w:val="single" w:sz="2" w:space="0" w:color="A6A6A6" w:themeColor="background1" w:themeShade="A6"/>
            </w:tcBorders>
            <w:shd w:val="clear" w:color="auto" w:fill="auto"/>
            <w:vAlign w:val="center"/>
          </w:tcPr>
          <w:p w14:paraId="14F0B520" w14:textId="1038416C"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977</w:t>
            </w:r>
          </w:p>
        </w:tc>
      </w:tr>
      <w:tr w:rsidR="00583A5B" w:rsidRPr="00A15B5B" w14:paraId="312DAC58" w14:textId="77777777" w:rsidTr="00A15B5B">
        <w:trPr>
          <w:cantSplit/>
          <w:jc w:val="center"/>
        </w:trPr>
        <w:tc>
          <w:tcPr>
            <w:tcW w:w="5093" w:type="dxa"/>
            <w:tcBorders>
              <w:top w:val="nil"/>
              <w:left w:val="single" w:sz="2" w:space="0" w:color="A6A6A6" w:themeColor="background1" w:themeShade="A6"/>
              <w:bottom w:val="nil"/>
            </w:tcBorders>
            <w:shd w:val="clear" w:color="auto" w:fill="auto"/>
            <w:vAlign w:val="center"/>
            <w:hideMark/>
          </w:tcPr>
          <w:p w14:paraId="3C188948" w14:textId="15B9E144" w:rsidR="00583A5B" w:rsidRPr="00A15B5B" w:rsidRDefault="00583A5B" w:rsidP="00A15B5B">
            <w:pPr>
              <w:spacing w:after="0" w:line="276" w:lineRule="auto"/>
              <w:jc w:val="left"/>
              <w:rPr>
                <w:rFonts w:cs="Arial"/>
                <w:color w:val="000000"/>
                <w:sz w:val="16"/>
                <w:szCs w:val="16"/>
              </w:rPr>
            </w:pPr>
            <w:r w:rsidRPr="00A15B5B">
              <w:rPr>
                <w:rFonts w:cs="Arial"/>
                <w:color w:val="000000"/>
                <w:sz w:val="16"/>
                <w:szCs w:val="16"/>
              </w:rPr>
              <w:t>- Λοιπά</w:t>
            </w:r>
          </w:p>
        </w:tc>
        <w:tc>
          <w:tcPr>
            <w:tcW w:w="1261" w:type="dxa"/>
            <w:tcBorders>
              <w:top w:val="nil"/>
              <w:bottom w:val="nil"/>
            </w:tcBorders>
            <w:shd w:val="clear" w:color="auto" w:fill="auto"/>
            <w:vAlign w:val="center"/>
          </w:tcPr>
          <w:p w14:paraId="145755AB" w14:textId="049EB529"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610</w:t>
            </w:r>
          </w:p>
        </w:tc>
        <w:tc>
          <w:tcPr>
            <w:tcW w:w="1311" w:type="dxa"/>
            <w:tcBorders>
              <w:top w:val="nil"/>
              <w:bottom w:val="nil"/>
            </w:tcBorders>
            <w:shd w:val="clear" w:color="auto" w:fill="auto"/>
            <w:vAlign w:val="center"/>
          </w:tcPr>
          <w:p w14:paraId="757E31AC" w14:textId="12B1152A"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87</w:t>
            </w:r>
          </w:p>
        </w:tc>
        <w:tc>
          <w:tcPr>
            <w:tcW w:w="1282" w:type="dxa"/>
            <w:tcBorders>
              <w:top w:val="nil"/>
              <w:bottom w:val="nil"/>
              <w:right w:val="single" w:sz="2" w:space="0" w:color="A6A6A6" w:themeColor="background1" w:themeShade="A6"/>
            </w:tcBorders>
            <w:shd w:val="clear" w:color="auto" w:fill="auto"/>
            <w:vAlign w:val="center"/>
          </w:tcPr>
          <w:p w14:paraId="0544884D" w14:textId="56D7E645"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184</w:t>
            </w:r>
          </w:p>
        </w:tc>
      </w:tr>
      <w:tr w:rsidR="00583A5B" w:rsidRPr="00A15B5B" w14:paraId="16089FDD" w14:textId="77777777" w:rsidTr="00A15B5B">
        <w:trPr>
          <w:cantSplit/>
          <w:jc w:val="center"/>
        </w:trPr>
        <w:tc>
          <w:tcPr>
            <w:tcW w:w="5093" w:type="dxa"/>
            <w:tcBorders>
              <w:top w:val="nil"/>
              <w:left w:val="single" w:sz="2" w:space="0" w:color="A6A6A6" w:themeColor="background1" w:themeShade="A6"/>
              <w:bottom w:val="nil"/>
            </w:tcBorders>
            <w:shd w:val="clear" w:color="auto" w:fill="auto"/>
            <w:vAlign w:val="center"/>
            <w:hideMark/>
          </w:tcPr>
          <w:p w14:paraId="4039728D" w14:textId="3185E98F" w:rsidR="00583A5B" w:rsidRPr="00A15B5B" w:rsidRDefault="00583A5B" w:rsidP="00A15B5B">
            <w:pPr>
              <w:spacing w:after="0" w:line="276" w:lineRule="auto"/>
              <w:jc w:val="left"/>
              <w:rPr>
                <w:rFonts w:cs="Arial"/>
                <w:color w:val="000000"/>
                <w:sz w:val="16"/>
                <w:szCs w:val="16"/>
              </w:rPr>
            </w:pPr>
            <w:r w:rsidRPr="00A15B5B">
              <w:rPr>
                <w:rFonts w:cs="Arial"/>
                <w:color w:val="000000"/>
                <w:sz w:val="16"/>
                <w:szCs w:val="16"/>
              </w:rPr>
              <w:t>- Ταμείο Αλληλεγγύης και Διαχείρισης Μεταναστευτικών Ροών ΕΕ</w:t>
            </w:r>
          </w:p>
        </w:tc>
        <w:tc>
          <w:tcPr>
            <w:tcW w:w="1261" w:type="dxa"/>
            <w:tcBorders>
              <w:top w:val="nil"/>
              <w:bottom w:val="nil"/>
            </w:tcBorders>
            <w:shd w:val="clear" w:color="auto" w:fill="auto"/>
            <w:vAlign w:val="center"/>
          </w:tcPr>
          <w:p w14:paraId="76EC691B" w14:textId="144F61F6"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458</w:t>
            </w:r>
          </w:p>
        </w:tc>
        <w:tc>
          <w:tcPr>
            <w:tcW w:w="1311" w:type="dxa"/>
            <w:tcBorders>
              <w:top w:val="nil"/>
              <w:bottom w:val="nil"/>
            </w:tcBorders>
            <w:shd w:val="clear" w:color="auto" w:fill="auto"/>
            <w:vAlign w:val="center"/>
          </w:tcPr>
          <w:p w14:paraId="66892180" w14:textId="45C62EE3"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190</w:t>
            </w:r>
          </w:p>
        </w:tc>
        <w:tc>
          <w:tcPr>
            <w:tcW w:w="1282" w:type="dxa"/>
            <w:tcBorders>
              <w:top w:val="nil"/>
              <w:bottom w:val="nil"/>
              <w:right w:val="single" w:sz="2" w:space="0" w:color="A6A6A6" w:themeColor="background1" w:themeShade="A6"/>
            </w:tcBorders>
            <w:shd w:val="clear" w:color="auto" w:fill="auto"/>
            <w:vAlign w:val="center"/>
          </w:tcPr>
          <w:p w14:paraId="35D70C88" w14:textId="5BAE99FB"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355</w:t>
            </w:r>
          </w:p>
        </w:tc>
      </w:tr>
      <w:tr w:rsidR="00583A5B" w:rsidRPr="00A15B5B" w14:paraId="64244C91" w14:textId="77777777" w:rsidTr="00A15B5B">
        <w:trPr>
          <w:cantSplit/>
          <w:jc w:val="center"/>
        </w:trPr>
        <w:tc>
          <w:tcPr>
            <w:tcW w:w="5093" w:type="dxa"/>
            <w:tcBorders>
              <w:top w:val="nil"/>
              <w:left w:val="single" w:sz="2" w:space="0" w:color="A6A6A6" w:themeColor="background1" w:themeShade="A6"/>
              <w:bottom w:val="nil"/>
            </w:tcBorders>
            <w:shd w:val="clear" w:color="auto" w:fill="auto"/>
            <w:vAlign w:val="center"/>
            <w:hideMark/>
          </w:tcPr>
          <w:p w14:paraId="63E9AEAF" w14:textId="22941B98" w:rsidR="00583A5B" w:rsidRPr="00A15B5B" w:rsidRDefault="00583A5B" w:rsidP="00A15B5B">
            <w:pPr>
              <w:spacing w:after="0" w:line="276" w:lineRule="auto"/>
              <w:jc w:val="left"/>
              <w:rPr>
                <w:rFonts w:cs="Arial"/>
                <w:color w:val="000000"/>
                <w:sz w:val="16"/>
                <w:szCs w:val="16"/>
              </w:rPr>
            </w:pPr>
            <w:r w:rsidRPr="00A15B5B">
              <w:rPr>
                <w:rFonts w:cs="Arial"/>
                <w:color w:val="000000"/>
                <w:sz w:val="16"/>
                <w:szCs w:val="16"/>
              </w:rPr>
              <w:t>- ΕΓΤΑΑ (ΕΓΤΠΕ - Τμήμα Προσανατολισμού)</w:t>
            </w:r>
          </w:p>
        </w:tc>
        <w:tc>
          <w:tcPr>
            <w:tcW w:w="1261" w:type="dxa"/>
            <w:tcBorders>
              <w:top w:val="nil"/>
              <w:bottom w:val="nil"/>
            </w:tcBorders>
            <w:shd w:val="clear" w:color="auto" w:fill="auto"/>
            <w:vAlign w:val="center"/>
          </w:tcPr>
          <w:p w14:paraId="16DF61C5" w14:textId="041533FC"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729</w:t>
            </w:r>
          </w:p>
        </w:tc>
        <w:tc>
          <w:tcPr>
            <w:tcW w:w="1311" w:type="dxa"/>
            <w:tcBorders>
              <w:top w:val="nil"/>
              <w:bottom w:val="nil"/>
            </w:tcBorders>
            <w:shd w:val="clear" w:color="auto" w:fill="auto"/>
            <w:vAlign w:val="center"/>
          </w:tcPr>
          <w:p w14:paraId="12B66F27" w14:textId="62E5D783"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1.200</w:t>
            </w:r>
          </w:p>
        </w:tc>
        <w:tc>
          <w:tcPr>
            <w:tcW w:w="1282" w:type="dxa"/>
            <w:tcBorders>
              <w:top w:val="nil"/>
              <w:bottom w:val="nil"/>
              <w:right w:val="single" w:sz="2" w:space="0" w:color="A6A6A6" w:themeColor="background1" w:themeShade="A6"/>
            </w:tcBorders>
            <w:shd w:val="clear" w:color="auto" w:fill="auto"/>
            <w:vAlign w:val="center"/>
          </w:tcPr>
          <w:p w14:paraId="7BD2E190" w14:textId="0B873BA8" w:rsidR="00583A5B" w:rsidRPr="00A15B5B" w:rsidRDefault="00583A5B" w:rsidP="00A15B5B">
            <w:pPr>
              <w:tabs>
                <w:tab w:val="decimal" w:pos="775"/>
              </w:tabs>
              <w:spacing w:after="0" w:line="276" w:lineRule="auto"/>
              <w:jc w:val="right"/>
              <w:rPr>
                <w:rFonts w:cs="Arial"/>
                <w:sz w:val="16"/>
                <w:szCs w:val="16"/>
                <w:lang w:val="en-US"/>
              </w:rPr>
            </w:pPr>
            <w:r w:rsidRPr="00A15B5B">
              <w:rPr>
                <w:rFonts w:cs="Arial"/>
                <w:sz w:val="16"/>
                <w:szCs w:val="16"/>
              </w:rPr>
              <w:t>585</w:t>
            </w:r>
          </w:p>
        </w:tc>
      </w:tr>
      <w:tr w:rsidR="00583A5B" w:rsidRPr="00A15B5B" w14:paraId="06D3F3C1" w14:textId="77777777" w:rsidTr="00A15B5B">
        <w:trPr>
          <w:cantSplit/>
          <w:jc w:val="center"/>
        </w:trPr>
        <w:tc>
          <w:tcPr>
            <w:tcW w:w="5093" w:type="dxa"/>
            <w:tcBorders>
              <w:top w:val="nil"/>
              <w:left w:val="single" w:sz="2" w:space="0" w:color="A6A6A6" w:themeColor="background1" w:themeShade="A6"/>
              <w:bottom w:val="nil"/>
            </w:tcBorders>
            <w:shd w:val="clear" w:color="auto" w:fill="auto"/>
            <w:vAlign w:val="center"/>
            <w:hideMark/>
          </w:tcPr>
          <w:p w14:paraId="5F9A4F3C" w14:textId="77777777" w:rsidR="00583A5B" w:rsidRPr="00A15B5B" w:rsidRDefault="00583A5B" w:rsidP="00A15B5B">
            <w:pPr>
              <w:spacing w:after="0" w:line="276" w:lineRule="auto"/>
              <w:jc w:val="left"/>
              <w:rPr>
                <w:rFonts w:cs="Arial"/>
                <w:color w:val="000000"/>
                <w:sz w:val="16"/>
                <w:szCs w:val="16"/>
              </w:rPr>
            </w:pPr>
            <w:r w:rsidRPr="00A15B5B">
              <w:rPr>
                <w:rFonts w:cs="Arial"/>
                <w:color w:val="000000"/>
                <w:sz w:val="16"/>
                <w:szCs w:val="16"/>
              </w:rPr>
              <w:t>- ΕΤΘΑΥ (ΕΤΑ και ΧΜΠΑ)</w:t>
            </w:r>
          </w:p>
        </w:tc>
        <w:tc>
          <w:tcPr>
            <w:tcW w:w="1261" w:type="dxa"/>
            <w:tcBorders>
              <w:top w:val="nil"/>
              <w:bottom w:val="nil"/>
            </w:tcBorders>
            <w:shd w:val="clear" w:color="auto" w:fill="auto"/>
            <w:vAlign w:val="center"/>
          </w:tcPr>
          <w:p w14:paraId="3DDE949A" w14:textId="00A556FB"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52</w:t>
            </w:r>
          </w:p>
        </w:tc>
        <w:tc>
          <w:tcPr>
            <w:tcW w:w="1311" w:type="dxa"/>
            <w:tcBorders>
              <w:top w:val="nil"/>
              <w:bottom w:val="nil"/>
            </w:tcBorders>
            <w:shd w:val="clear" w:color="auto" w:fill="auto"/>
            <w:vAlign w:val="center"/>
          </w:tcPr>
          <w:p w14:paraId="1EF7AFB0" w14:textId="2E2BF722"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50</w:t>
            </w:r>
          </w:p>
        </w:tc>
        <w:tc>
          <w:tcPr>
            <w:tcW w:w="1282" w:type="dxa"/>
            <w:tcBorders>
              <w:top w:val="nil"/>
              <w:bottom w:val="nil"/>
              <w:right w:val="single" w:sz="2" w:space="0" w:color="A6A6A6" w:themeColor="background1" w:themeShade="A6"/>
            </w:tcBorders>
            <w:shd w:val="clear" w:color="auto" w:fill="auto"/>
            <w:vAlign w:val="center"/>
          </w:tcPr>
          <w:p w14:paraId="1F1BC151" w14:textId="1714DD1E" w:rsidR="00583A5B" w:rsidRPr="00A15B5B" w:rsidRDefault="00583A5B" w:rsidP="00A15B5B">
            <w:pPr>
              <w:tabs>
                <w:tab w:val="decimal" w:pos="775"/>
              </w:tabs>
              <w:spacing w:after="0" w:line="276" w:lineRule="auto"/>
              <w:jc w:val="right"/>
              <w:rPr>
                <w:rFonts w:cs="Arial"/>
                <w:sz w:val="16"/>
                <w:szCs w:val="16"/>
              </w:rPr>
            </w:pPr>
            <w:r w:rsidRPr="00A15B5B">
              <w:rPr>
                <w:rFonts w:cs="Arial"/>
                <w:sz w:val="16"/>
                <w:szCs w:val="16"/>
              </w:rPr>
              <w:t>65</w:t>
            </w:r>
          </w:p>
        </w:tc>
      </w:tr>
      <w:tr w:rsidR="00583A5B" w:rsidRPr="00A15B5B" w14:paraId="7DD7E791" w14:textId="77777777" w:rsidTr="00A15B5B">
        <w:trPr>
          <w:cantSplit/>
          <w:jc w:val="center"/>
        </w:trPr>
        <w:tc>
          <w:tcPr>
            <w:tcW w:w="5093" w:type="dxa"/>
            <w:tcBorders>
              <w:top w:val="nil"/>
              <w:left w:val="single" w:sz="2" w:space="0" w:color="A6A6A6" w:themeColor="background1" w:themeShade="A6"/>
              <w:bottom w:val="single" w:sz="2" w:space="0" w:color="A6A6A6" w:themeColor="background1" w:themeShade="A6"/>
            </w:tcBorders>
            <w:shd w:val="clear" w:color="auto" w:fill="D5DCE4"/>
            <w:vAlign w:val="center"/>
            <w:hideMark/>
          </w:tcPr>
          <w:p w14:paraId="618B097E" w14:textId="77777777" w:rsidR="00583A5B" w:rsidRPr="00A15B5B" w:rsidRDefault="00583A5B" w:rsidP="00A15B5B">
            <w:pPr>
              <w:spacing w:after="0" w:line="276" w:lineRule="auto"/>
              <w:jc w:val="left"/>
              <w:rPr>
                <w:rFonts w:cs="Arial"/>
                <w:b/>
                <w:bCs/>
                <w:color w:val="000000"/>
                <w:sz w:val="16"/>
                <w:szCs w:val="16"/>
              </w:rPr>
            </w:pPr>
            <w:r w:rsidRPr="00A15B5B">
              <w:rPr>
                <w:rFonts w:cs="Arial"/>
                <w:b/>
                <w:bCs/>
                <w:color w:val="000000"/>
                <w:sz w:val="16"/>
                <w:szCs w:val="16"/>
              </w:rPr>
              <w:t>Σύνολο</w:t>
            </w:r>
          </w:p>
        </w:tc>
        <w:tc>
          <w:tcPr>
            <w:tcW w:w="1261" w:type="dxa"/>
            <w:tcBorders>
              <w:top w:val="nil"/>
              <w:bottom w:val="single" w:sz="2" w:space="0" w:color="A6A6A6" w:themeColor="background1" w:themeShade="A6"/>
            </w:tcBorders>
            <w:shd w:val="clear" w:color="auto" w:fill="D5DCE4"/>
            <w:vAlign w:val="center"/>
          </w:tcPr>
          <w:p w14:paraId="2DF81E83" w14:textId="67FD5BC9"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rPr>
              <w:t>4.428</w:t>
            </w:r>
          </w:p>
        </w:tc>
        <w:tc>
          <w:tcPr>
            <w:tcW w:w="1311" w:type="dxa"/>
            <w:tcBorders>
              <w:top w:val="nil"/>
              <w:bottom w:val="single" w:sz="2" w:space="0" w:color="A6A6A6" w:themeColor="background1" w:themeShade="A6"/>
            </w:tcBorders>
            <w:shd w:val="clear" w:color="auto" w:fill="D5DCE4"/>
            <w:vAlign w:val="center"/>
          </w:tcPr>
          <w:p w14:paraId="22B7451C" w14:textId="74D470A3"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rPr>
              <w:t>4.215</w:t>
            </w:r>
          </w:p>
        </w:tc>
        <w:tc>
          <w:tcPr>
            <w:tcW w:w="1282" w:type="dxa"/>
            <w:tcBorders>
              <w:top w:val="nil"/>
              <w:bottom w:val="single" w:sz="2" w:space="0" w:color="A6A6A6" w:themeColor="background1" w:themeShade="A6"/>
              <w:right w:val="single" w:sz="2" w:space="0" w:color="A6A6A6" w:themeColor="background1" w:themeShade="A6"/>
            </w:tcBorders>
            <w:shd w:val="clear" w:color="auto" w:fill="D5DCE4"/>
            <w:vAlign w:val="center"/>
          </w:tcPr>
          <w:p w14:paraId="6BE2FB84" w14:textId="28175B58" w:rsidR="00583A5B" w:rsidRPr="00A15B5B" w:rsidRDefault="00583A5B" w:rsidP="00A15B5B">
            <w:pPr>
              <w:tabs>
                <w:tab w:val="decimal" w:pos="775"/>
              </w:tabs>
              <w:spacing w:after="0" w:line="276" w:lineRule="auto"/>
              <w:jc w:val="right"/>
              <w:rPr>
                <w:rFonts w:cs="Arial"/>
                <w:b/>
                <w:bCs/>
                <w:color w:val="000000"/>
                <w:sz w:val="16"/>
                <w:szCs w:val="16"/>
              </w:rPr>
            </w:pPr>
            <w:r w:rsidRPr="00A15B5B">
              <w:rPr>
                <w:rFonts w:cs="Arial"/>
                <w:b/>
                <w:bCs/>
                <w:color w:val="000000"/>
                <w:sz w:val="16"/>
                <w:szCs w:val="16"/>
              </w:rPr>
              <w:t>4.545</w:t>
            </w:r>
          </w:p>
        </w:tc>
      </w:tr>
      <w:tr w:rsidR="000D4D0B" w:rsidRPr="00A15B5B" w14:paraId="08C36218" w14:textId="77777777" w:rsidTr="00A15B5B">
        <w:trPr>
          <w:cantSplit/>
          <w:jc w:val="center"/>
        </w:trPr>
        <w:tc>
          <w:tcPr>
            <w:tcW w:w="8947" w:type="dxa"/>
            <w:gridSpan w:val="4"/>
            <w:tcBorders>
              <w:top w:val="single" w:sz="2" w:space="0" w:color="A6A6A6" w:themeColor="background1" w:themeShade="A6"/>
              <w:left w:val="nil"/>
              <w:bottom w:val="nil"/>
              <w:right w:val="nil"/>
            </w:tcBorders>
            <w:shd w:val="clear" w:color="auto" w:fill="auto"/>
            <w:vAlign w:val="center"/>
          </w:tcPr>
          <w:p w14:paraId="7036FE36" w14:textId="0A7D43F9" w:rsidR="000D4D0B" w:rsidRPr="00A15B5B" w:rsidRDefault="000D4D0B" w:rsidP="00A15B5B">
            <w:pPr>
              <w:tabs>
                <w:tab w:val="left" w:pos="8015"/>
              </w:tabs>
              <w:spacing w:before="60" w:after="0" w:line="276" w:lineRule="auto"/>
              <w:rPr>
                <w:rFonts w:cs="Arial"/>
                <w:b/>
                <w:bCs/>
                <w:color w:val="000000"/>
                <w:sz w:val="16"/>
                <w:szCs w:val="16"/>
              </w:rPr>
            </w:pPr>
            <w:r w:rsidRPr="00A15B5B">
              <w:rPr>
                <w:rFonts w:cs="Arial"/>
                <w:iCs/>
                <w:color w:val="000000"/>
                <w:sz w:val="16"/>
                <w:szCs w:val="16"/>
                <w:lang w:eastAsia="en-US"/>
              </w:rPr>
              <w:t>Πηγές: ΓΛΚ, Υπεύθυνες Αρχές Πιστοποίησης και Πληρωμής ΕΠ, Υπουργείο Εθνικής Οικονομίας και Οικονομικών</w:t>
            </w:r>
            <w:r w:rsidR="00447270" w:rsidRPr="00A15B5B">
              <w:rPr>
                <w:rFonts w:cs="Arial"/>
                <w:iCs/>
                <w:color w:val="000000"/>
                <w:sz w:val="16"/>
                <w:szCs w:val="16"/>
                <w:lang w:eastAsia="en-US"/>
              </w:rPr>
              <w:t xml:space="preserve"> (Διεύθυνση Δημοσίων Επενδύσεων)</w:t>
            </w:r>
          </w:p>
        </w:tc>
      </w:tr>
    </w:tbl>
    <w:p w14:paraId="2B82F9F8" w14:textId="157E703B" w:rsidR="005F0D7C" w:rsidRPr="00142598" w:rsidRDefault="00142598" w:rsidP="00142598">
      <w:pPr>
        <w:tabs>
          <w:tab w:val="left" w:pos="425"/>
        </w:tabs>
        <w:spacing w:before="360" w:after="240"/>
        <w:rPr>
          <w:b/>
        </w:rPr>
      </w:pPr>
      <w:r w:rsidRPr="00142598">
        <w:rPr>
          <w:b/>
        </w:rPr>
        <w:t>IV.</w:t>
      </w:r>
      <w:r>
        <w:rPr>
          <w:b/>
        </w:rPr>
        <w:tab/>
      </w:r>
      <w:r w:rsidR="00B86613" w:rsidRPr="00142598">
        <w:rPr>
          <w:b/>
        </w:rPr>
        <w:t>Ανάλυση ε</w:t>
      </w:r>
      <w:r w:rsidR="005F0D7C" w:rsidRPr="00142598">
        <w:rPr>
          <w:b/>
        </w:rPr>
        <w:t>σ</w:t>
      </w:r>
      <w:r w:rsidR="00B86613" w:rsidRPr="00142598">
        <w:rPr>
          <w:b/>
        </w:rPr>
        <w:t>όδων</w:t>
      </w:r>
      <w:r w:rsidR="005F0D7C" w:rsidRPr="00142598">
        <w:rPr>
          <w:b/>
        </w:rPr>
        <w:t xml:space="preserve"> αποκρατικοποιήσεων</w:t>
      </w:r>
    </w:p>
    <w:p w14:paraId="309CCA89" w14:textId="23190728" w:rsidR="006F4F0A" w:rsidRPr="00B86613" w:rsidRDefault="006F4F0A" w:rsidP="006F4F0A">
      <w:r w:rsidRPr="00B86613">
        <w:t xml:space="preserve">Τα ταμειακά έσοδα αποκρατικοποιήσεων που αναμένεται να πραγματοποιηθούν μέσω </w:t>
      </w:r>
      <w:r>
        <w:t>της ΕΕΣΥΠ</w:t>
      </w:r>
      <w:r w:rsidRPr="00B86613">
        <w:t xml:space="preserve"> προβλέπονται στο ποσό των </w:t>
      </w:r>
      <w:r>
        <w:t>322</w:t>
      </w:r>
      <w:r w:rsidRPr="00B86613">
        <w:t xml:space="preserve"> εκατ. ευρώ και διακρίνονται ως </w:t>
      </w:r>
      <w:r w:rsidR="00EF5F80">
        <w:t>ακολούθως</w:t>
      </w:r>
      <w:r w:rsidRPr="00B86613">
        <w:t>:</w:t>
      </w:r>
    </w:p>
    <w:p w14:paraId="0A12C1AA" w14:textId="0CF4D790" w:rsidR="006F4F0A" w:rsidRPr="00B86613" w:rsidRDefault="006F4F0A" w:rsidP="006F4F0A">
      <w:pPr>
        <w:numPr>
          <w:ilvl w:val="0"/>
          <w:numId w:val="1"/>
        </w:numPr>
        <w:spacing w:before="120" w:after="60"/>
        <w:ind w:left="568" w:hanging="284"/>
      </w:pPr>
      <w:r w:rsidRPr="00B86613">
        <w:t xml:space="preserve">ποσό </w:t>
      </w:r>
      <w:r w:rsidRPr="00CD6FC7">
        <w:t>43</w:t>
      </w:r>
      <w:r w:rsidRPr="00B86613">
        <w:t xml:space="preserve"> εκατ. ευρώ</w:t>
      </w:r>
      <w:r w:rsidR="00EF5F80">
        <w:t>,</w:t>
      </w:r>
      <w:r w:rsidRPr="00B86613">
        <w:t xml:space="preserve"> που </w:t>
      </w:r>
      <w:r w:rsidRPr="00DE1F8E">
        <w:t>περιλαμβάν</w:t>
      </w:r>
      <w:r>
        <w:t>εται</w:t>
      </w:r>
      <w:r w:rsidRPr="00B86613">
        <w:t xml:space="preserve"> στις κατηγορίες «Πωλήσεις αγαθών και υπηρεσιών» και «Λοιπά τρέχοντα έσοδα» (μη χρηματοοικονομικές συναλλαγές)</w:t>
      </w:r>
      <w:r w:rsidR="00EF5F80">
        <w:t>,</w:t>
      </w:r>
      <w:r w:rsidRPr="00CD6FC7">
        <w:t xml:space="preserve"> </w:t>
      </w:r>
      <w:r w:rsidRPr="00B86613">
        <w:t xml:space="preserve">αφορά </w:t>
      </w:r>
      <w:r>
        <w:t xml:space="preserve">σε </w:t>
      </w:r>
      <w:r w:rsidRPr="00B86613">
        <w:t>συμβάσεις παραχώρησης</w:t>
      </w:r>
      <w:r>
        <w:t>,</w:t>
      </w:r>
    </w:p>
    <w:p w14:paraId="0C9C4CB6" w14:textId="27FE6DF4" w:rsidR="006F4F0A" w:rsidRPr="00B86613" w:rsidRDefault="006F4F0A" w:rsidP="006F4F0A">
      <w:pPr>
        <w:numPr>
          <w:ilvl w:val="0"/>
          <w:numId w:val="1"/>
        </w:numPr>
        <w:spacing w:before="60" w:after="60"/>
        <w:ind w:left="568" w:hanging="284"/>
        <w:rPr>
          <w:lang w:eastAsia="en-US"/>
        </w:rPr>
      </w:pPr>
      <w:r w:rsidRPr="00B86613">
        <w:rPr>
          <w:lang w:eastAsia="en-US"/>
        </w:rPr>
        <w:lastRenderedPageBreak/>
        <w:t xml:space="preserve">ποσό </w:t>
      </w:r>
      <w:r>
        <w:rPr>
          <w:lang w:eastAsia="en-US"/>
        </w:rPr>
        <w:t>51</w:t>
      </w:r>
      <w:r w:rsidRPr="00B86613">
        <w:rPr>
          <w:lang w:eastAsia="en-US"/>
        </w:rPr>
        <w:t xml:space="preserve"> εκατ. ευρώ</w:t>
      </w:r>
      <w:r w:rsidR="00EF5F80">
        <w:rPr>
          <w:lang w:eastAsia="en-US"/>
        </w:rPr>
        <w:t>,</w:t>
      </w:r>
      <w:r w:rsidRPr="00B86613">
        <w:rPr>
          <w:lang w:eastAsia="en-US"/>
        </w:rPr>
        <w:t xml:space="preserve"> που </w:t>
      </w:r>
      <w:r w:rsidRPr="00DE1F8E">
        <w:rPr>
          <w:lang w:eastAsia="en-US"/>
        </w:rPr>
        <w:t>περιλαμβάν</w:t>
      </w:r>
      <w:r>
        <w:rPr>
          <w:lang w:eastAsia="en-US"/>
        </w:rPr>
        <w:t xml:space="preserve">εται </w:t>
      </w:r>
      <w:r w:rsidRPr="00DE1F8E">
        <w:rPr>
          <w:lang w:eastAsia="en-US"/>
        </w:rPr>
        <w:t>στην</w:t>
      </w:r>
      <w:r w:rsidRPr="00B86613">
        <w:rPr>
          <w:lang w:eastAsia="en-US"/>
        </w:rPr>
        <w:t xml:space="preserve"> κατηγορία «Πωλήσεις παγίων περιουσιακών στοιχείων» (μη χρηματοοικονομικές συναλλαγές)</w:t>
      </w:r>
      <w:r>
        <w:rPr>
          <w:lang w:eastAsia="en-US"/>
        </w:rPr>
        <w:t>,</w:t>
      </w:r>
      <w:r w:rsidRPr="00B86613">
        <w:rPr>
          <w:lang w:eastAsia="en-US"/>
        </w:rPr>
        <w:t xml:space="preserve"> αφορά </w:t>
      </w:r>
      <w:r>
        <w:rPr>
          <w:lang w:eastAsia="en-US"/>
        </w:rPr>
        <w:t xml:space="preserve">σε </w:t>
      </w:r>
      <w:r w:rsidRPr="00B86613">
        <w:rPr>
          <w:lang w:eastAsia="en-US"/>
        </w:rPr>
        <w:t>πωλήσεις παγίων και</w:t>
      </w:r>
    </w:p>
    <w:p w14:paraId="63378D33" w14:textId="116A4386" w:rsidR="006F4F0A" w:rsidRPr="00EE67DC" w:rsidRDefault="006F4F0A" w:rsidP="006F4F0A">
      <w:pPr>
        <w:numPr>
          <w:ilvl w:val="0"/>
          <w:numId w:val="1"/>
        </w:numPr>
        <w:spacing w:before="60"/>
        <w:ind w:left="568" w:hanging="284"/>
      </w:pPr>
      <w:r w:rsidRPr="00B86613">
        <w:rPr>
          <w:lang w:eastAsia="en-US"/>
        </w:rPr>
        <w:t xml:space="preserve">ποσό </w:t>
      </w:r>
      <w:r>
        <w:rPr>
          <w:lang w:eastAsia="en-US"/>
        </w:rPr>
        <w:t>228</w:t>
      </w:r>
      <w:r w:rsidRPr="00B86613">
        <w:rPr>
          <w:lang w:eastAsia="en-US"/>
        </w:rPr>
        <w:t xml:space="preserve"> εκατ. ευρώ</w:t>
      </w:r>
      <w:r w:rsidR="00EF5F80">
        <w:rPr>
          <w:lang w:eastAsia="en-US"/>
        </w:rPr>
        <w:t>,</w:t>
      </w:r>
      <w:r w:rsidRPr="00B86613">
        <w:rPr>
          <w:lang w:eastAsia="en-US"/>
        </w:rPr>
        <w:t xml:space="preserve"> </w:t>
      </w:r>
      <w:r>
        <w:rPr>
          <w:lang w:eastAsia="en-US"/>
        </w:rPr>
        <w:t xml:space="preserve">που </w:t>
      </w:r>
      <w:r w:rsidRPr="00DE1F8E">
        <w:rPr>
          <w:lang w:eastAsia="en-US"/>
        </w:rPr>
        <w:t>περιλαμβάν</w:t>
      </w:r>
      <w:r>
        <w:rPr>
          <w:lang w:eastAsia="en-US"/>
        </w:rPr>
        <w:t>εται</w:t>
      </w:r>
      <w:r w:rsidRPr="00B86613">
        <w:rPr>
          <w:lang w:eastAsia="en-US"/>
        </w:rPr>
        <w:t xml:space="preserve"> στην κατηγορία 45 «Συμμετοχικοί τίτλοι και μερίδια</w:t>
      </w:r>
      <w:r w:rsidRPr="00B86613">
        <w:t xml:space="preserve"> επενδυτικών κεφαλαίων» (χρηματοοικονομικές συναλλαγές)</w:t>
      </w:r>
      <w:r w:rsidRPr="00142598">
        <w:t>,</w:t>
      </w:r>
      <w:r>
        <w:t xml:space="preserve"> </w:t>
      </w:r>
      <w:r w:rsidRPr="00B86613">
        <w:t xml:space="preserve">αφορά </w:t>
      </w:r>
      <w:r>
        <w:t xml:space="preserve">σε </w:t>
      </w:r>
      <w:r w:rsidRPr="00B86613">
        <w:t xml:space="preserve">πωλήσεις μετοχών </w:t>
      </w:r>
      <w:r>
        <w:t>δι</w:t>
      </w:r>
      <w:r w:rsidR="00EF5F80">
        <w:t>α</w:t>
      </w:r>
      <w:r>
        <w:t>φ</w:t>
      </w:r>
      <w:r w:rsidR="00EF5F80">
        <w:t>ό</w:t>
      </w:r>
      <w:r>
        <w:t>ρων</w:t>
      </w:r>
      <w:r w:rsidRPr="00B86613">
        <w:t xml:space="preserve"> εταιρειών με μέτοχο το Δημόσιο ή/και τ</w:t>
      </w:r>
      <w:r>
        <w:t>ην ΕΕΣΥΠ.</w:t>
      </w:r>
    </w:p>
    <w:p w14:paraId="5F4719A5" w14:textId="6DE6FCEF" w:rsidR="00FD46BC" w:rsidRPr="00380541" w:rsidRDefault="00FD46BC" w:rsidP="00300BBF">
      <w:pPr>
        <w:pStyle w:val="5"/>
      </w:pPr>
      <w:bookmarkStart w:id="330" w:name="_Toc214473764"/>
      <w:r w:rsidRPr="00380541">
        <w:t>Δαπάνες</w:t>
      </w:r>
      <w:bookmarkEnd w:id="330"/>
    </w:p>
    <w:p w14:paraId="065B5F21" w14:textId="4378698A" w:rsidR="009F6CD4" w:rsidRDefault="00EA2E47" w:rsidP="009F6CD4">
      <w:r w:rsidRPr="00154C13">
        <w:t>Παραπάνω (</w:t>
      </w:r>
      <w:r w:rsidR="00F04926" w:rsidRPr="00154C13">
        <w:fldChar w:fldCharType="begin"/>
      </w:r>
      <w:r w:rsidR="00F04926" w:rsidRPr="00154C13">
        <w:instrText xml:space="preserve"> REF _Ref214049737 \h  \* MERGEFORMAT </w:instrText>
      </w:r>
      <w:r w:rsidR="00F04926" w:rsidRPr="00154C13">
        <w:fldChar w:fldCharType="separate"/>
      </w:r>
      <w:r w:rsidR="00E15678" w:rsidRPr="00E15678">
        <w:t>Πίνακας 3.4</w:t>
      </w:r>
      <w:r w:rsidR="00F04926" w:rsidRPr="00154C13">
        <w:fldChar w:fldCharType="end"/>
      </w:r>
      <w:r w:rsidR="00F04926" w:rsidRPr="00154C13">
        <w:t>.</w:t>
      </w:r>
      <w:r w:rsidRPr="00154C13">
        <w:t xml:space="preserve">) </w:t>
      </w:r>
      <w:r w:rsidR="009F6CD4" w:rsidRPr="00154C13">
        <w:t>παρουσιάζονται</w:t>
      </w:r>
      <w:r w:rsidR="009F6CD4">
        <w:t xml:space="preserve"> οι δαπάνες του κρατικού προϋπολογισμού κατά μείζονα κατηγορία σε ταμειακή βάση, με διακριτή αποτύπωση των μη χρηματοοικονομικών συναλλαγών (μείζονες κατηγορίες 21 - 33), οι οποίες συνδιαμορφώνουν το δημοσιονομικό αποτέλεσμα, καθώς και των χρηματοοικονομικών συναλλαγών (μείζονες κατηγορίες 44 - 57).</w:t>
      </w:r>
    </w:p>
    <w:p w14:paraId="38C72125" w14:textId="74233955" w:rsidR="00055F78" w:rsidRPr="005F0D7C" w:rsidRDefault="00717608" w:rsidP="009F6CD4">
      <w:pPr>
        <w:rPr>
          <w:rFonts w:cs="Arial"/>
          <w:b/>
          <w:szCs w:val="20"/>
        </w:rPr>
      </w:pPr>
      <w:r w:rsidRPr="00717608">
        <w:rPr>
          <w:rFonts w:cs="Arial"/>
          <w:b/>
          <w:szCs w:val="20"/>
        </w:rPr>
        <w:t>Ι.</w:t>
      </w:r>
      <w:r w:rsidR="00C002D0">
        <w:rPr>
          <w:rFonts w:cs="Arial"/>
          <w:b/>
          <w:szCs w:val="20"/>
        </w:rPr>
        <w:tab/>
      </w:r>
      <w:r w:rsidR="00055F78" w:rsidRPr="00717608">
        <w:rPr>
          <w:rFonts w:cs="Arial"/>
          <w:b/>
          <w:szCs w:val="20"/>
        </w:rPr>
        <w:t>Δαπάνες μη χρηματοοικονομικών συναλλαγών</w:t>
      </w:r>
    </w:p>
    <w:p w14:paraId="0A2FADFA" w14:textId="114CB803" w:rsidR="00001759" w:rsidRPr="00F04926" w:rsidRDefault="00F04926" w:rsidP="00001759">
      <w:r w:rsidRPr="009A2D73">
        <w:t>Σύμφωνα με τα στοιχεία του πίνακα, οι συνολικές δαπάνες για μη χρηματοοικονομικές συναλλαγές για το έτος 202</w:t>
      </w:r>
      <w:r>
        <w:t>6</w:t>
      </w:r>
      <w:r w:rsidRPr="009A2D73">
        <w:t xml:space="preserve"> </w:t>
      </w:r>
      <w:r w:rsidRPr="00082454">
        <w:t>αναμένονται αυξημένες σε σχέση με το έτος 2025 κατά 5.559 εκατ. ευρώ ή 7% κυρίως λόγω των αυξημένων μεταβιβάσεων, των αυξημένων ταμειακών δαπανών των εξοπλιστικών προγραμμάτων του Υπουργείου Εθνικής Άμυνας καθώς και των αυξημένων δαπανών του ΤΑΑ.</w:t>
      </w:r>
      <w:r w:rsidRPr="009A2D73">
        <w:t xml:space="preserve"> </w:t>
      </w:r>
      <w:r>
        <w:t>Τέλος, θα πρέπει να επισημανθεί ότι οι δαπάνες των δι</w:t>
      </w:r>
      <w:r w:rsidR="00BF708A">
        <w:t>α</w:t>
      </w:r>
      <w:r>
        <w:t>φ</w:t>
      </w:r>
      <w:r w:rsidR="00BF708A">
        <w:t>ό</w:t>
      </w:r>
      <w:r>
        <w:t>ρων κατηγοριών για τα έτη 2025 και 2026 δεν είναι άμεσα συγκρίσιμες λόγω της ανακατανομής πιστώσεων υπό κατανομή (π.χ. αποθεματικό, μεταναστευτικές δαπάνες, πιστώσεις για νέες προσλήψεις) κατά το έτος 2025 στις υπόλοιπες κατηγορίες δαπανών.</w:t>
      </w:r>
    </w:p>
    <w:p w14:paraId="70645DA7" w14:textId="77777777" w:rsidR="00CF5DEC" w:rsidRPr="00CF5DEC" w:rsidRDefault="00CF5DEC" w:rsidP="00CF5DEC">
      <w:pPr>
        <w:tabs>
          <w:tab w:val="left" w:pos="426"/>
        </w:tabs>
        <w:spacing w:before="360" w:after="240"/>
        <w:rPr>
          <w:rFonts w:cs="Arial"/>
          <w:b/>
          <w:szCs w:val="20"/>
        </w:rPr>
      </w:pPr>
      <w:r w:rsidRPr="00CF5DEC">
        <w:rPr>
          <w:rFonts w:cs="Arial"/>
          <w:b/>
          <w:szCs w:val="20"/>
        </w:rPr>
        <w:t>ΙΙ.</w:t>
      </w:r>
      <w:r w:rsidRPr="00CF5DEC">
        <w:rPr>
          <w:rFonts w:cs="Arial"/>
          <w:b/>
          <w:szCs w:val="20"/>
        </w:rPr>
        <w:tab/>
        <w:t>Δαπάνες χρηματοοικονομικών συναλλαγών</w:t>
      </w:r>
    </w:p>
    <w:p w14:paraId="5569D078" w14:textId="46A4D45F" w:rsidR="00CF5DEC" w:rsidRPr="0094416A" w:rsidRDefault="004F1E9E" w:rsidP="00F04926">
      <w:pPr>
        <w:rPr>
          <w:color w:val="000000" w:themeColor="text1"/>
          <w:szCs w:val="20"/>
          <w:highlight w:val="yellow"/>
        </w:rPr>
      </w:pPr>
      <w:r>
        <w:t xml:space="preserve">Οι </w:t>
      </w:r>
      <w:r w:rsidR="00683262">
        <w:t>δαπάνες για</w:t>
      </w:r>
      <w:r w:rsidR="00F04926">
        <w:t xml:space="preserve"> χρηματοοικονομικές συναλλαγές εμφανίζονται το 2026 αυξημένες </w:t>
      </w:r>
      <w:r w:rsidR="00F04926" w:rsidRPr="00F04926">
        <w:t xml:space="preserve">κατά 9% </w:t>
      </w:r>
      <w:r>
        <w:t xml:space="preserve">έναντι </w:t>
      </w:r>
      <w:r w:rsidR="00F04926" w:rsidRPr="00614566">
        <w:t>το</w:t>
      </w:r>
      <w:r>
        <w:t>υ</w:t>
      </w:r>
      <w:r w:rsidR="00F04926" w:rsidRPr="00614566">
        <w:t xml:space="preserve"> έτο</w:t>
      </w:r>
      <w:r>
        <w:t>υ</w:t>
      </w:r>
      <w:r w:rsidR="00F04926" w:rsidRPr="00614566">
        <w:t>ς 202</w:t>
      </w:r>
      <w:r w:rsidR="00F04926">
        <w:t>5</w:t>
      </w:r>
      <w:r w:rsidR="00F04926" w:rsidRPr="00614566">
        <w:t xml:space="preserve"> κυρίως λόγω των βραχυπρόθεσμων δανείων (repos)</w:t>
      </w:r>
      <w:r w:rsidR="00F04926">
        <w:t xml:space="preserve"> καθώς και των πιστώσεων οι οποίες προέρχονται από το δανειακό σκέλος του ΤΑΑ και θα διατεθούν μέσω πιστωτικών ιδρυμάτων σε επιχειρήσεις και </w:t>
      </w:r>
      <w:r>
        <w:t xml:space="preserve">σε </w:t>
      </w:r>
      <w:r w:rsidR="00F04926">
        <w:t>φυσικά πρόσωπα με τη μορφή μακροπρόθεσμων δανείων.</w:t>
      </w:r>
    </w:p>
    <w:p w14:paraId="4C182A8C" w14:textId="0927661E" w:rsidR="00CF5DEC" w:rsidRPr="00CF5DEC" w:rsidRDefault="00CF5DEC" w:rsidP="0099008E">
      <w:pPr>
        <w:tabs>
          <w:tab w:val="left" w:pos="426"/>
        </w:tabs>
        <w:spacing w:before="360" w:after="240"/>
        <w:rPr>
          <w:rFonts w:cs="Arial"/>
          <w:b/>
          <w:szCs w:val="20"/>
        </w:rPr>
      </w:pPr>
      <w:r w:rsidRPr="00CF5DEC">
        <w:rPr>
          <w:rFonts w:cs="Arial"/>
          <w:b/>
          <w:szCs w:val="20"/>
        </w:rPr>
        <w:t>ΙΙΙ.</w:t>
      </w:r>
      <w:r>
        <w:rPr>
          <w:rFonts w:cs="Arial"/>
          <w:b/>
          <w:szCs w:val="20"/>
        </w:rPr>
        <w:tab/>
      </w:r>
      <w:r w:rsidRPr="00CF5DEC">
        <w:rPr>
          <w:rFonts w:cs="Arial"/>
          <w:b/>
          <w:szCs w:val="20"/>
        </w:rPr>
        <w:t>Ανάλυση κυριότερων κατηγοριών μη χρηματοοικονομικών συναλλαγών</w:t>
      </w:r>
    </w:p>
    <w:p w14:paraId="0E351571" w14:textId="77777777" w:rsidR="00BD3496" w:rsidRPr="00CF5DEC" w:rsidRDefault="00BD3496" w:rsidP="00CF5DEC">
      <w:pPr>
        <w:spacing w:before="240"/>
        <w:rPr>
          <w:b/>
          <w:color w:val="2F5496"/>
          <w:szCs w:val="20"/>
        </w:rPr>
      </w:pPr>
      <w:r w:rsidRPr="00CF5DEC">
        <w:rPr>
          <w:b/>
          <w:color w:val="2F5496"/>
          <w:szCs w:val="20"/>
        </w:rPr>
        <w:t>Δαπάνη παροχών σε εργαζ</w:t>
      </w:r>
      <w:r w:rsidR="00E651BD" w:rsidRPr="00CF5DEC">
        <w:rPr>
          <w:b/>
          <w:color w:val="2F5496"/>
          <w:szCs w:val="20"/>
        </w:rPr>
        <w:t>ό</w:t>
      </w:r>
      <w:r w:rsidRPr="00CF5DEC">
        <w:rPr>
          <w:b/>
          <w:color w:val="2F5496"/>
          <w:szCs w:val="20"/>
        </w:rPr>
        <w:t>μ</w:t>
      </w:r>
      <w:r w:rsidR="00E651BD" w:rsidRPr="00CF5DEC">
        <w:rPr>
          <w:b/>
          <w:color w:val="2F5496"/>
          <w:szCs w:val="20"/>
        </w:rPr>
        <w:t>ε</w:t>
      </w:r>
      <w:r w:rsidRPr="00CF5DEC">
        <w:rPr>
          <w:b/>
          <w:color w:val="2F5496"/>
          <w:szCs w:val="20"/>
        </w:rPr>
        <w:t>νους</w:t>
      </w:r>
    </w:p>
    <w:p w14:paraId="15124DC0" w14:textId="583796FD" w:rsidR="00F04926" w:rsidRDefault="00F04926" w:rsidP="00F04926">
      <w:pPr>
        <w:rPr>
          <w:lang w:eastAsia="en-US"/>
        </w:rPr>
      </w:pPr>
      <w:r w:rsidRPr="003E7310">
        <w:rPr>
          <w:lang w:eastAsia="en-US"/>
        </w:rPr>
        <w:t xml:space="preserve">Για το έτος 2025 η συνολική δαπάνη για παροχές σε εργαζόμενους (άθροισμα δαπάνης τακτικών και πρόσθετων αποδοχών και των αντίστοιχων εργοδοτικών εισφορών) εκτιμάται ότι θα ανέλθει </w:t>
      </w:r>
      <w:r w:rsidRPr="00082454">
        <w:rPr>
          <w:lang w:eastAsia="en-US"/>
        </w:rPr>
        <w:t>σε 15.484</w:t>
      </w:r>
      <w:r w:rsidRPr="003E7310">
        <w:rPr>
          <w:lang w:eastAsia="en-US"/>
        </w:rPr>
        <w:t xml:space="preserve"> εκατ. ευρώ. Από τη συνολική δαπάνη παροχών σε εργαζόμενους που βαρύνει τον τακτικό </w:t>
      </w:r>
      <w:r w:rsidRPr="00C4642D">
        <w:rPr>
          <w:lang w:eastAsia="en-US"/>
        </w:rPr>
        <w:t>προϋπολογισμό, το μεγαλύτερο μέρος (περίπου 80% της συνολικής δαπάνης) καταβάλλεται από τέσσερα Υπουργεία, στα οποία απασχολείται το μεγαλύτερο μέρος του συνόλου των υπαλλήλων, ήτοι: Παιδείας, Θρησκευμάτων και Αθλητισμού (33%), Εθνικής Άμυνας (18%), Υγείας (16%) και Προστασίας του Πολίτη (13%), ενώ το εναπομ</w:t>
      </w:r>
      <w:r w:rsidR="002464F5">
        <w:rPr>
          <w:lang w:eastAsia="en-US"/>
        </w:rPr>
        <w:t xml:space="preserve">ένον </w:t>
      </w:r>
      <w:r w:rsidRPr="00C4642D">
        <w:rPr>
          <w:lang w:eastAsia="en-US"/>
        </w:rPr>
        <w:t xml:space="preserve">20% της δαπάνης καταβάλλεται από τους υπόλοιπους φορείς της Κεντρικής </w:t>
      </w:r>
      <w:r w:rsidRPr="00154C13">
        <w:rPr>
          <w:lang w:eastAsia="en-US"/>
        </w:rPr>
        <w:t xml:space="preserve">Διοίκησης </w:t>
      </w:r>
      <w:r w:rsidRPr="00154C13">
        <w:rPr>
          <w:szCs w:val="20"/>
          <w:lang w:eastAsia="en-US"/>
        </w:rPr>
        <w:t>(</w:t>
      </w:r>
      <w:r w:rsidRPr="00154C13">
        <w:fldChar w:fldCharType="begin"/>
      </w:r>
      <w:r w:rsidRPr="00154C13">
        <w:instrText xml:space="preserve"> REF _Ref119515892 \h  \* MERGEFORMAT </w:instrText>
      </w:r>
      <w:r w:rsidRPr="00154C13">
        <w:fldChar w:fldCharType="separate"/>
      </w:r>
      <w:r w:rsidR="00E15678" w:rsidRPr="00E15678">
        <w:rPr>
          <w:szCs w:val="20"/>
        </w:rPr>
        <w:t>Διάγραμμα 3.1</w:t>
      </w:r>
      <w:r w:rsidRPr="00154C13">
        <w:fldChar w:fldCharType="end"/>
      </w:r>
      <w:r w:rsidRPr="00154C13">
        <w:rPr>
          <w:szCs w:val="20"/>
          <w:lang w:eastAsia="en-US"/>
        </w:rPr>
        <w:t>.).</w:t>
      </w:r>
      <w:r w:rsidRPr="00154C13">
        <w:rPr>
          <w:lang w:eastAsia="en-US"/>
        </w:rPr>
        <w:t xml:space="preserve"> Σύμφ</w:t>
      </w:r>
      <w:r w:rsidRPr="00C4642D">
        <w:rPr>
          <w:lang w:eastAsia="en-US"/>
        </w:rPr>
        <w:t xml:space="preserve">ωνα με τις τρέχουσες εκτιμήσεις/προβλέψεις, τα ποσοστά συμμετοχής των Υπουργείων στη συνολική δαπάνη παραμένουν </w:t>
      </w:r>
      <w:r w:rsidR="0084006A">
        <w:rPr>
          <w:lang w:eastAsia="en-US"/>
        </w:rPr>
        <w:t>σταθερά</w:t>
      </w:r>
      <w:r w:rsidRPr="00C4642D">
        <w:rPr>
          <w:lang w:eastAsia="en-US"/>
        </w:rPr>
        <w:t xml:space="preserve"> τόσο το 2025 όσο και το 2026.</w:t>
      </w:r>
    </w:p>
    <w:p w14:paraId="7A3D75D2" w14:textId="77777777" w:rsidR="00F04926" w:rsidRPr="008D3D3D" w:rsidRDefault="00F04926" w:rsidP="00DC67AF">
      <w:pPr>
        <w:spacing w:after="240"/>
        <w:rPr>
          <w:lang w:eastAsia="en-US"/>
        </w:rPr>
      </w:pPr>
      <w:r>
        <w:rPr>
          <w:lang w:eastAsia="en-US"/>
        </w:rPr>
        <w:t>Η κατανομή αυτή της δαπάνης αντανακλά τις προτεραιότητες και τον προσανατολισμό της κυβερνητικής πολιτικής στην ενίσχυση των τομέων της παιδείας, της άμυνας, της υγείας και της προστασίας των πολιτών.</w:t>
      </w:r>
    </w:p>
    <w:p w14:paraId="23FEA45E" w14:textId="5026E9A0" w:rsidR="004B72A2" w:rsidRDefault="004B72A2" w:rsidP="00B71557">
      <w:pPr>
        <w:pStyle w:val="afe"/>
        <w:keepNext/>
        <w:spacing w:after="60" w:line="276" w:lineRule="auto"/>
        <w:jc w:val="left"/>
        <w:rPr>
          <w:rFonts w:cs="Arial"/>
          <w:sz w:val="18"/>
          <w:szCs w:val="18"/>
          <w:lang w:eastAsia="en-US"/>
        </w:rPr>
      </w:pPr>
      <w:bookmarkStart w:id="331" w:name="_Ref119515892"/>
      <w:bookmarkStart w:id="332" w:name="_Toc214474828"/>
      <w:r w:rsidRPr="00F04926">
        <w:rPr>
          <w:sz w:val="18"/>
          <w:szCs w:val="18"/>
        </w:rPr>
        <w:lastRenderedPageBreak/>
        <w:t>Διάγραμμα 3.</w:t>
      </w:r>
      <w:r w:rsidRPr="00F04926">
        <w:rPr>
          <w:sz w:val="18"/>
          <w:szCs w:val="18"/>
        </w:rPr>
        <w:fldChar w:fldCharType="begin"/>
      </w:r>
      <w:r w:rsidRPr="00F04926">
        <w:rPr>
          <w:sz w:val="18"/>
          <w:szCs w:val="18"/>
        </w:rPr>
        <w:instrText xml:space="preserve"> SEQ Διάγραμμα_3. \* ARABIC </w:instrText>
      </w:r>
      <w:r w:rsidRPr="00F04926">
        <w:rPr>
          <w:sz w:val="18"/>
          <w:szCs w:val="18"/>
        </w:rPr>
        <w:fldChar w:fldCharType="separate"/>
      </w:r>
      <w:r w:rsidR="00E15678">
        <w:rPr>
          <w:noProof/>
          <w:sz w:val="18"/>
          <w:szCs w:val="18"/>
        </w:rPr>
        <w:t>1</w:t>
      </w:r>
      <w:r w:rsidRPr="00F04926">
        <w:rPr>
          <w:sz w:val="18"/>
          <w:szCs w:val="18"/>
        </w:rPr>
        <w:fldChar w:fldCharType="end"/>
      </w:r>
      <w:bookmarkEnd w:id="331"/>
      <w:r w:rsidRPr="00F04926">
        <w:rPr>
          <w:sz w:val="18"/>
          <w:szCs w:val="18"/>
        </w:rPr>
        <w:t>.:</w:t>
      </w:r>
      <w:r w:rsidRPr="00F04926">
        <w:rPr>
          <w:rFonts w:cs="Arial"/>
          <w:sz w:val="18"/>
          <w:szCs w:val="18"/>
          <w:lang w:eastAsia="en-US"/>
        </w:rPr>
        <w:t xml:space="preserve"> Δαπάνη παροχών σε εργαζ</w:t>
      </w:r>
      <w:r w:rsidR="00DE1858" w:rsidRPr="00F04926">
        <w:rPr>
          <w:rFonts w:cs="Arial"/>
          <w:sz w:val="18"/>
          <w:szCs w:val="18"/>
          <w:lang w:eastAsia="en-US"/>
        </w:rPr>
        <w:t>όμε</w:t>
      </w:r>
      <w:r w:rsidRPr="00F04926">
        <w:rPr>
          <w:rFonts w:cs="Arial"/>
          <w:sz w:val="18"/>
          <w:szCs w:val="18"/>
          <w:lang w:eastAsia="en-US"/>
        </w:rPr>
        <w:t>νους έτους 202</w:t>
      </w:r>
      <w:r w:rsidR="00F04926" w:rsidRPr="00F04926">
        <w:rPr>
          <w:rFonts w:cs="Arial"/>
          <w:sz w:val="18"/>
          <w:szCs w:val="18"/>
          <w:lang w:eastAsia="en-US"/>
        </w:rPr>
        <w:t>5</w:t>
      </w:r>
      <w:r w:rsidRPr="00F04926">
        <w:rPr>
          <w:rFonts w:cs="Arial"/>
          <w:sz w:val="18"/>
          <w:szCs w:val="18"/>
          <w:lang w:eastAsia="en-US"/>
        </w:rPr>
        <w:t xml:space="preserve"> (ποσοστά επί της συνολικής δαπάνης)</w:t>
      </w:r>
      <w:bookmarkEnd w:id="332"/>
    </w:p>
    <w:p w14:paraId="4C68D045" w14:textId="0D45A20D" w:rsidR="00863E2C" w:rsidRDefault="00863E2C" w:rsidP="00863E2C">
      <w:pPr>
        <w:spacing w:after="0"/>
        <w:jc w:val="center"/>
        <w:rPr>
          <w:lang w:eastAsia="en-US"/>
        </w:rPr>
      </w:pPr>
      <w:r>
        <w:rPr>
          <w:noProof/>
        </w:rPr>
        <w:drawing>
          <wp:inline distT="0" distB="0" distL="0" distR="0" wp14:anchorId="43668DB0" wp14:editId="770316B7">
            <wp:extent cx="5476875" cy="2590800"/>
            <wp:effectExtent l="0" t="0" r="9525" b="0"/>
            <wp:docPr id="7" name="Γράφημα 7">
              <a:extLst xmlns:a="http://schemas.openxmlformats.org/drawingml/2006/main">
                <a:ext uri="{FF2B5EF4-FFF2-40B4-BE49-F238E27FC236}">
                  <a16:creationId xmlns:a16="http://schemas.microsoft.com/office/drawing/2014/main" id="{180B6FAA-BACC-41D5-9883-4C52CAEFC3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0E2578DE" w14:textId="74D20A94" w:rsidR="00F7160B" w:rsidRPr="00CF5DEC" w:rsidRDefault="00F7160B" w:rsidP="00EC630C">
      <w:pPr>
        <w:pStyle w:val="af0"/>
        <w:numPr>
          <w:ilvl w:val="0"/>
          <w:numId w:val="14"/>
        </w:numPr>
        <w:tabs>
          <w:tab w:val="left" w:pos="426"/>
        </w:tabs>
        <w:spacing w:before="240" w:after="120" w:line="300" w:lineRule="auto"/>
        <w:ind w:left="426" w:hanging="426"/>
        <w:contextualSpacing w:val="0"/>
        <w:rPr>
          <w:rFonts w:ascii="Arial" w:hAnsi="Arial" w:cs="Arial"/>
          <w:b/>
          <w:sz w:val="20"/>
          <w:szCs w:val="20"/>
        </w:rPr>
      </w:pPr>
      <w:r w:rsidRPr="00CF5DEC">
        <w:rPr>
          <w:rFonts w:ascii="Arial" w:hAnsi="Arial" w:cs="Arial"/>
          <w:b/>
          <w:sz w:val="20"/>
          <w:szCs w:val="20"/>
        </w:rPr>
        <w:t>Διορισμοί/προσλήψεις τακτικού προσωπικού περιόδου 202</w:t>
      </w:r>
      <w:r w:rsidR="00CF4C2D">
        <w:rPr>
          <w:rFonts w:ascii="Arial" w:hAnsi="Arial" w:cs="Arial"/>
          <w:b/>
          <w:sz w:val="20"/>
          <w:szCs w:val="20"/>
        </w:rPr>
        <w:t>4</w:t>
      </w:r>
      <w:r w:rsidR="00D92505" w:rsidRPr="00CF5DEC">
        <w:rPr>
          <w:rFonts w:ascii="Arial" w:hAnsi="Arial" w:cs="Arial"/>
          <w:b/>
          <w:sz w:val="20"/>
          <w:szCs w:val="20"/>
        </w:rPr>
        <w:t xml:space="preserve"> </w:t>
      </w:r>
      <w:r w:rsidRPr="00CF5DEC">
        <w:rPr>
          <w:rFonts w:ascii="Arial" w:hAnsi="Arial" w:cs="Arial"/>
          <w:b/>
          <w:sz w:val="20"/>
          <w:szCs w:val="20"/>
        </w:rPr>
        <w:t>-</w:t>
      </w:r>
      <w:r w:rsidR="00D92505" w:rsidRPr="00CF5DEC">
        <w:rPr>
          <w:rFonts w:ascii="Arial" w:hAnsi="Arial" w:cs="Arial"/>
          <w:b/>
          <w:sz w:val="20"/>
          <w:szCs w:val="20"/>
        </w:rPr>
        <w:t xml:space="preserve"> </w:t>
      </w:r>
      <w:r w:rsidRPr="00CF5DEC">
        <w:rPr>
          <w:rFonts w:ascii="Arial" w:hAnsi="Arial" w:cs="Arial"/>
          <w:b/>
          <w:sz w:val="20"/>
          <w:szCs w:val="20"/>
        </w:rPr>
        <w:t>202</w:t>
      </w:r>
      <w:r w:rsidR="00CF4C2D">
        <w:rPr>
          <w:rFonts w:ascii="Arial" w:hAnsi="Arial" w:cs="Arial"/>
          <w:b/>
          <w:sz w:val="20"/>
          <w:szCs w:val="20"/>
        </w:rPr>
        <w:t>5</w:t>
      </w:r>
      <w:r w:rsidR="00FC7273" w:rsidRPr="00CF5DEC">
        <w:rPr>
          <w:rFonts w:ascii="Arial" w:hAnsi="Arial" w:cs="Arial"/>
          <w:b/>
          <w:sz w:val="20"/>
          <w:szCs w:val="20"/>
        </w:rPr>
        <w:t xml:space="preserve"> και προγραμματισμός προσλήψεων 202</w:t>
      </w:r>
      <w:r w:rsidR="00CF4C2D">
        <w:rPr>
          <w:rFonts w:ascii="Arial" w:hAnsi="Arial" w:cs="Arial"/>
          <w:b/>
          <w:sz w:val="20"/>
          <w:szCs w:val="20"/>
        </w:rPr>
        <w:t>6</w:t>
      </w:r>
    </w:p>
    <w:p w14:paraId="224A5BA6" w14:textId="7B527380" w:rsidR="00CF4C2D" w:rsidRDefault="00CF4C2D" w:rsidP="00CF4C2D">
      <w:r>
        <w:t>Οι νέοι διορισμοί και οι προσλήψεις τακτικού προσωπικού υπόκεινται σε περιορισμούς και κανόνες, προκειμένου να ελέγχεται η προκαλούμενη δαπάνη. Ειδικότερα, από το 2019 εφαρμόζεται ο κανόνας προσλήψεων - αποχωρήσεων 1:1, δηλαδή μία πρόσληψη για κάθε μία αποχώρηση. Ο κανόνας αυτός εφαρμόζεται συνολικά σε όλη τη Γενική Κυβέρνηση και όχι ανά κλάδο ή φορέα, έτσι ώστε να καλύπτονται κάθε χρόνο οι πραγματικές ανάγκες των φορέων της Γενικής Κυβέρνησης. Για ειδικές περιπτώσεις (π.χ. εκτέλεση δικαστικών αποφάσεων, προσλήψεις τακτικού προσωπικού με αντίστοιχη μείωση έκτακτου προσωπικού ίδιας κατηγορίας) δύναται να πραγματοποιούνται διορισμοί/προσλήψεις και εκτός του κανόνα 1:1.</w:t>
      </w:r>
    </w:p>
    <w:p w14:paraId="19AAC147" w14:textId="54717B81" w:rsidR="00CF4C2D" w:rsidRDefault="00CF4C2D" w:rsidP="00CF4C2D">
      <w:r>
        <w:t>Οι προσλήψεις πάσης φύσεως τακτικού προσωπικού διενεργούνται βάσει του ετήσιου προγραμματισμού ανθρώπινου δυναμικού της δημόσιας διοίκησης (άρθρο 20 του ν.5027/2023, Α’ 48). Το Υπουργείο Εσωτερικών σε συνεργασία με το Γ</w:t>
      </w:r>
      <w:r w:rsidR="004F1E9E">
        <w:t>ΛΚ</w:t>
      </w:r>
      <w:r>
        <w:t>, λαμβάνοντας υπόψη τα αιτήματα πρόσληψης προσωπικού των φορέων της Γενικής Κυβέρνησης, διαμορφών</w:t>
      </w:r>
      <w:r w:rsidR="004F1E9E">
        <w:t>ει</w:t>
      </w:r>
      <w:r>
        <w:t xml:space="preserve"> τον ετήσιο προγραμματισμό για τις προσλήψεις του επόμενου έτους. Οι προσλήψεις κάθε έτους καθορίζονται με βάση τις αποχωρήσεις του προηγούμενου έτους (σύμφωνα με τον κανόνα 1:1). </w:t>
      </w:r>
      <w:r w:rsidRPr="00187B4A">
        <w:t>Ο μέγιστος επιτρεπόμενος αριθμός προσλήψεων προσωπικού εγκρίνεται από το τακτικό Υπουργικό Συμβούλιο Σεπτεμβρίου</w:t>
      </w:r>
      <w:r>
        <w:t>,</w:t>
      </w:r>
      <w:r w:rsidRPr="00187B4A">
        <w:t xml:space="preserve"> στο πλαίσιο έγκρισης του ενοποιημένου προγράμματος κυβερνητικής πολιτικής.</w:t>
      </w:r>
    </w:p>
    <w:p w14:paraId="46C58FB1" w14:textId="0581DAE8" w:rsidR="00CF4C2D" w:rsidRPr="003C2C1E" w:rsidRDefault="00CF4C2D" w:rsidP="006118C4">
      <w:pPr>
        <w:spacing w:after="240"/>
      </w:pPr>
      <w:r w:rsidRPr="00154C13">
        <w:t xml:space="preserve">Στο </w:t>
      </w:r>
      <w:r w:rsidR="003D5756" w:rsidRPr="00154C13">
        <w:fldChar w:fldCharType="begin"/>
      </w:r>
      <w:r w:rsidR="003D5756" w:rsidRPr="00154C13">
        <w:instrText xml:space="preserve"> REF _Ref119515991 \h  \* MERGEFORMAT </w:instrText>
      </w:r>
      <w:r w:rsidR="003D5756" w:rsidRPr="00154C13">
        <w:fldChar w:fldCharType="separate"/>
      </w:r>
      <w:r w:rsidR="00E15678" w:rsidRPr="00E15678">
        <w:t>Διάγραμμα 3.2</w:t>
      </w:r>
      <w:r w:rsidR="003D5756" w:rsidRPr="00154C13">
        <w:fldChar w:fldCharType="end"/>
      </w:r>
      <w:r w:rsidR="003D5756" w:rsidRPr="00154C13">
        <w:t>.</w:t>
      </w:r>
      <w:r w:rsidRPr="00154C13">
        <w:t xml:space="preserve"> απεικονίζ</w:t>
      </w:r>
      <w:r w:rsidRPr="00E863A6">
        <w:t>ονται τα Υπουργεία με τα υψηλότερα ποσοστά διορισμών/προσλήψεων επί του συνόλου των διορισμών/προσλήψεων για τα έτη 2024 και 2025. Το έτος 2024 οι νέοι διορισμοί και οι προσλήψεις (εντός και εκτός κανόνα 1:1) τακτικών υπαλλήλων των οποίων η μισθοδοσία βαρύνει απευθείας τον τακτικό προϋπολογισμό, ανήλθαν συνολικά σε 22.061 (συμπεριλαμβανομένων και των εισαγωγών σε παραγωγικές σχολές). Στο Υπουργείο Παιδείας, Θρησκευμάτων και Αθλητισμού υλοποιήθηκαν 10.951 διορισμοί μόνιμου προσωπικού (ποσοστό 50% επί του συνόλου)</w:t>
      </w:r>
      <w:r>
        <w:t>,</w:t>
      </w:r>
      <w:r w:rsidRPr="00E863A6">
        <w:t xml:space="preserve"> </w:t>
      </w:r>
      <w:r>
        <w:t>σ</w:t>
      </w:r>
      <w:r w:rsidRPr="00E863A6">
        <w:t xml:space="preserve">το Υπουργείο Υγείας 4.504 διορισμοί (ποσοστό 20% επί του συνόλου), στο Υπουργείο </w:t>
      </w:r>
      <w:r>
        <w:t>Εθνικής Άμυνας</w:t>
      </w:r>
      <w:r w:rsidRPr="00E863A6">
        <w:t xml:space="preserve"> 1.837 διορισμοί (8% επί του συνόλου) </w:t>
      </w:r>
      <w:r>
        <w:t>και</w:t>
      </w:r>
      <w:r w:rsidRPr="00E863A6">
        <w:t xml:space="preserve"> στο Υπουργείο Προστασίας του Πολίτη 1.473 διορισμοί (7% επί του συνόλου).</w:t>
      </w:r>
    </w:p>
    <w:p w14:paraId="053B7350" w14:textId="34B3166A" w:rsidR="00796317" w:rsidRPr="00273320" w:rsidRDefault="004B72A2" w:rsidP="00B71557">
      <w:pPr>
        <w:pStyle w:val="afe"/>
        <w:keepNext/>
        <w:spacing w:after="60" w:line="276" w:lineRule="auto"/>
        <w:jc w:val="left"/>
        <w:rPr>
          <w:rFonts w:cs="Arial"/>
          <w:sz w:val="18"/>
          <w:szCs w:val="18"/>
          <w:lang w:eastAsia="en-US"/>
        </w:rPr>
      </w:pPr>
      <w:bookmarkStart w:id="333" w:name="_Ref119515991"/>
      <w:bookmarkStart w:id="334" w:name="_Toc214474829"/>
      <w:r w:rsidRPr="00273320">
        <w:rPr>
          <w:sz w:val="18"/>
          <w:szCs w:val="18"/>
        </w:rPr>
        <w:lastRenderedPageBreak/>
        <w:t>Διάγραμμα 3.</w:t>
      </w:r>
      <w:r w:rsidRPr="00273320">
        <w:rPr>
          <w:sz w:val="18"/>
          <w:szCs w:val="18"/>
        </w:rPr>
        <w:fldChar w:fldCharType="begin"/>
      </w:r>
      <w:r w:rsidRPr="00273320">
        <w:rPr>
          <w:sz w:val="18"/>
          <w:szCs w:val="18"/>
        </w:rPr>
        <w:instrText xml:space="preserve"> SEQ Διάγραμμα_3. \* ARABIC </w:instrText>
      </w:r>
      <w:r w:rsidRPr="00273320">
        <w:rPr>
          <w:sz w:val="18"/>
          <w:szCs w:val="18"/>
        </w:rPr>
        <w:fldChar w:fldCharType="separate"/>
      </w:r>
      <w:r w:rsidR="00E15678">
        <w:rPr>
          <w:noProof/>
          <w:sz w:val="18"/>
          <w:szCs w:val="18"/>
        </w:rPr>
        <w:t>2</w:t>
      </w:r>
      <w:r w:rsidRPr="00273320">
        <w:rPr>
          <w:sz w:val="18"/>
          <w:szCs w:val="18"/>
        </w:rPr>
        <w:fldChar w:fldCharType="end"/>
      </w:r>
      <w:bookmarkEnd w:id="333"/>
      <w:r w:rsidR="004E3DDC" w:rsidRPr="00273320">
        <w:rPr>
          <w:sz w:val="18"/>
          <w:szCs w:val="18"/>
        </w:rPr>
        <w:t>.:</w:t>
      </w:r>
      <w:r w:rsidRPr="00273320">
        <w:rPr>
          <w:rFonts w:cs="Arial"/>
          <w:sz w:val="18"/>
          <w:szCs w:val="18"/>
          <w:lang w:eastAsia="en-US"/>
        </w:rPr>
        <w:t xml:space="preserve"> Διορισμοί και προσλήψεις τακτικού προσωπικού που μισθοδοτείται από τον </w:t>
      </w:r>
      <w:r w:rsidR="001C110D" w:rsidRPr="00273320">
        <w:rPr>
          <w:rFonts w:cs="Arial"/>
          <w:sz w:val="18"/>
          <w:szCs w:val="18"/>
          <w:lang w:eastAsia="en-US"/>
        </w:rPr>
        <w:t>τ</w:t>
      </w:r>
      <w:r w:rsidRPr="00273320">
        <w:rPr>
          <w:rFonts w:cs="Arial"/>
          <w:sz w:val="18"/>
          <w:szCs w:val="18"/>
          <w:lang w:eastAsia="en-US"/>
        </w:rPr>
        <w:t>ακτικό</w:t>
      </w:r>
      <w:r w:rsidR="00FA18FA" w:rsidRPr="00273320">
        <w:rPr>
          <w:rFonts w:cs="Arial"/>
          <w:sz w:val="18"/>
          <w:szCs w:val="18"/>
          <w:lang w:eastAsia="en-US"/>
        </w:rPr>
        <w:t xml:space="preserve"> </w:t>
      </w:r>
      <w:r w:rsidR="001C110D" w:rsidRPr="00273320">
        <w:rPr>
          <w:rFonts w:cs="Arial"/>
          <w:sz w:val="18"/>
          <w:szCs w:val="18"/>
          <w:lang w:eastAsia="en-US"/>
        </w:rPr>
        <w:t>π</w:t>
      </w:r>
      <w:r w:rsidRPr="00273320">
        <w:rPr>
          <w:rFonts w:cs="Arial"/>
          <w:sz w:val="18"/>
          <w:szCs w:val="18"/>
          <w:lang w:eastAsia="en-US"/>
        </w:rPr>
        <w:t>ροϋπολογισμό περιόδου 202</w:t>
      </w:r>
      <w:r w:rsidR="001B39F0" w:rsidRPr="00273320">
        <w:rPr>
          <w:rFonts w:cs="Arial"/>
          <w:sz w:val="18"/>
          <w:szCs w:val="18"/>
          <w:lang w:eastAsia="en-US"/>
        </w:rPr>
        <w:t>4</w:t>
      </w:r>
      <w:r w:rsidR="00CA6A20" w:rsidRPr="00273320">
        <w:rPr>
          <w:rFonts w:cs="Arial"/>
          <w:sz w:val="18"/>
          <w:szCs w:val="18"/>
          <w:lang w:eastAsia="en-US"/>
        </w:rPr>
        <w:t xml:space="preserve"> </w:t>
      </w:r>
      <w:r w:rsidRPr="00273320">
        <w:rPr>
          <w:rFonts w:cs="Arial"/>
          <w:sz w:val="18"/>
          <w:szCs w:val="18"/>
          <w:lang w:eastAsia="en-US"/>
        </w:rPr>
        <w:t>-</w:t>
      </w:r>
      <w:r w:rsidR="00CA6A20" w:rsidRPr="00273320">
        <w:rPr>
          <w:rFonts w:cs="Arial"/>
          <w:sz w:val="18"/>
          <w:szCs w:val="18"/>
          <w:lang w:eastAsia="en-US"/>
        </w:rPr>
        <w:t xml:space="preserve"> </w:t>
      </w:r>
      <w:r w:rsidRPr="00273320">
        <w:rPr>
          <w:rFonts w:cs="Arial"/>
          <w:sz w:val="18"/>
          <w:szCs w:val="18"/>
          <w:lang w:eastAsia="en-US"/>
        </w:rPr>
        <w:t>202</w:t>
      </w:r>
      <w:r w:rsidR="001B39F0" w:rsidRPr="00273320">
        <w:rPr>
          <w:rFonts w:cs="Arial"/>
          <w:sz w:val="18"/>
          <w:szCs w:val="18"/>
          <w:lang w:eastAsia="en-US"/>
        </w:rPr>
        <w:t>5</w:t>
      </w:r>
      <w:r w:rsidRPr="00273320">
        <w:rPr>
          <w:rFonts w:cs="Arial"/>
          <w:sz w:val="18"/>
          <w:szCs w:val="18"/>
          <w:lang w:eastAsia="en-US"/>
        </w:rPr>
        <w:t xml:space="preserve"> (ποσοστά επί του συνόλου)</w:t>
      </w:r>
      <w:bookmarkEnd w:id="334"/>
    </w:p>
    <w:p w14:paraId="71B3E979" w14:textId="6E72324E" w:rsidR="00D379FC" w:rsidRDefault="00D379FC" w:rsidP="009636A7">
      <w:pPr>
        <w:spacing w:after="0"/>
        <w:rPr>
          <w:lang w:eastAsia="en-US"/>
        </w:rPr>
      </w:pPr>
      <w:r>
        <w:rPr>
          <w:noProof/>
        </w:rPr>
        <w:drawing>
          <wp:inline distT="0" distB="0" distL="0" distR="0" wp14:anchorId="2E00D286" wp14:editId="5CF697FF">
            <wp:extent cx="5759450" cy="2988000"/>
            <wp:effectExtent l="0" t="0" r="12700" b="3175"/>
            <wp:docPr id="16" name="Γράφημα 16">
              <a:extLst xmlns:a="http://schemas.openxmlformats.org/drawingml/2006/main">
                <a:ext uri="{FF2B5EF4-FFF2-40B4-BE49-F238E27FC236}">
                  <a16:creationId xmlns:a16="http://schemas.microsoft.com/office/drawing/2014/main" id="{7E81E869-09B3-467A-A125-3151FB593A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6B2ABB65" w14:textId="71490DA6" w:rsidR="001B39F0" w:rsidRDefault="001B39F0" w:rsidP="001B39F0">
      <w:pPr>
        <w:spacing w:before="240"/>
        <w:rPr>
          <w:lang w:eastAsia="en-US"/>
        </w:rPr>
      </w:pPr>
      <w:r>
        <w:rPr>
          <w:lang w:eastAsia="en-US"/>
        </w:rPr>
        <w:t xml:space="preserve">Το έτος 2025 οι υλοποιηθέντες μέχρι </w:t>
      </w:r>
      <w:r w:rsidR="00357E4D">
        <w:rPr>
          <w:lang w:eastAsia="en-US"/>
        </w:rPr>
        <w:t xml:space="preserve">την </w:t>
      </w:r>
      <w:r>
        <w:rPr>
          <w:lang w:eastAsia="en-US"/>
        </w:rPr>
        <w:t>30</w:t>
      </w:r>
      <w:r w:rsidR="00357E4D">
        <w:rPr>
          <w:lang w:eastAsia="en-US"/>
        </w:rPr>
        <w:t>η</w:t>
      </w:r>
      <w:r>
        <w:rPr>
          <w:lang w:eastAsia="en-US"/>
        </w:rPr>
        <w:t>.6.2025 διορισμοί και οι προσλήψεις (εντός και εκτός κανόνα 1:1) τακτικών υπαλλήλων των οποίων η μισθοδοσία βαρύνει απευθείας τον τακτικό προϋπολογισμό, ανέρχονται σε 4.167. Ειδικότερα, στο Υπουργείο Παιδείας, Θρησκευμάτων και Αθλητισμού πραγματοποιήθηκαν 836 διορισμοί</w:t>
      </w:r>
      <w:r w:rsidR="002464F5">
        <w:rPr>
          <w:lang w:eastAsia="en-US"/>
        </w:rPr>
        <w:t>,</w:t>
      </w:r>
      <w:r>
        <w:rPr>
          <w:lang w:eastAsia="en-US"/>
        </w:rPr>
        <w:t xml:space="preserve"> ενώ αναμένεται ότι μέχρι το τέλος του έτους θα έχουν πραγματοποιηθεί επιπλέον περίπου 10.000 διορισμοί μ</w:t>
      </w:r>
      <w:r w:rsidR="00A03C94">
        <w:rPr>
          <w:lang w:eastAsia="en-US"/>
        </w:rPr>
        <w:t>ό</w:t>
      </w:r>
      <w:r>
        <w:rPr>
          <w:lang w:eastAsia="en-US"/>
        </w:rPr>
        <w:t>ν</w:t>
      </w:r>
      <w:r w:rsidR="00A03C94">
        <w:rPr>
          <w:lang w:eastAsia="en-US"/>
        </w:rPr>
        <w:t>ι</w:t>
      </w:r>
      <w:r>
        <w:rPr>
          <w:lang w:eastAsia="en-US"/>
        </w:rPr>
        <w:t>μων εκπαιδευτικών Πρωτοβάθμιας και Δευτεροβάθμιας Εκπαίδευσης. Επι</w:t>
      </w:r>
      <w:r w:rsidR="002464F5">
        <w:rPr>
          <w:lang w:eastAsia="en-US"/>
        </w:rPr>
        <w:t>πλέον, έως τ</w:t>
      </w:r>
      <w:r w:rsidR="00357E4D">
        <w:rPr>
          <w:lang w:eastAsia="en-US"/>
        </w:rPr>
        <w:t xml:space="preserve">ην </w:t>
      </w:r>
      <w:r>
        <w:rPr>
          <w:lang w:eastAsia="en-US"/>
        </w:rPr>
        <w:t>30</w:t>
      </w:r>
      <w:r w:rsidR="00357E4D">
        <w:rPr>
          <w:lang w:eastAsia="en-US"/>
        </w:rPr>
        <w:t>η</w:t>
      </w:r>
      <w:r>
        <w:rPr>
          <w:lang w:eastAsia="en-US"/>
        </w:rPr>
        <w:t xml:space="preserve">.6.2025 </w:t>
      </w:r>
      <w:r w:rsidR="002464F5">
        <w:rPr>
          <w:lang w:eastAsia="en-US"/>
        </w:rPr>
        <w:t xml:space="preserve">υλοποιήθηκαν </w:t>
      </w:r>
      <w:r>
        <w:rPr>
          <w:lang w:eastAsia="en-US"/>
        </w:rPr>
        <w:t>828 διορισμοί στο Υπουργείο Προστασίας του Πολίτη και 594 διορισμοί στο Υπουργείο Υγείας.</w:t>
      </w:r>
    </w:p>
    <w:p w14:paraId="6164006F" w14:textId="36ABE8C9" w:rsidR="001B39F0" w:rsidRDefault="001B39F0" w:rsidP="001B39F0">
      <w:pPr>
        <w:rPr>
          <w:lang w:eastAsia="en-US"/>
        </w:rPr>
      </w:pPr>
      <w:r>
        <w:rPr>
          <w:lang w:eastAsia="en-US"/>
        </w:rPr>
        <w:t>Τέλος, για το έτος 2026 οι νέοι διορισμοί και οι προσλήψεις αναμένεται να ανέλθουν περίπου σ</w:t>
      </w:r>
      <w:r w:rsidR="00357E4D">
        <w:rPr>
          <w:lang w:eastAsia="en-US"/>
        </w:rPr>
        <w:t>ε</w:t>
      </w:r>
      <w:r>
        <w:rPr>
          <w:lang w:eastAsia="en-US"/>
        </w:rPr>
        <w:t xml:space="preserve"> </w:t>
      </w:r>
      <w:r w:rsidRPr="00850997">
        <w:rPr>
          <w:lang w:eastAsia="en-US"/>
        </w:rPr>
        <w:t>20.000,</w:t>
      </w:r>
      <w:r>
        <w:rPr>
          <w:lang w:eastAsia="en-US"/>
        </w:rPr>
        <w:t xml:space="preserve"> </w:t>
      </w:r>
      <w:r w:rsidR="00357E4D">
        <w:rPr>
          <w:lang w:eastAsia="en-US"/>
        </w:rPr>
        <w:t>όπου π</w:t>
      </w:r>
      <w:r>
        <w:rPr>
          <w:lang w:eastAsia="en-US"/>
        </w:rPr>
        <w:t>εριλαμβάνονται οι εκτιμώμενες προς υλοποίηση προσλήψεις με βάση τον προγραμματισμό προσλήψεων έτους 2026 (συμπεριλαμβανομένων των εισαγωγών σε παραγωγικές σχολές ενστόλων) καθώς και προσλήψεις (εντός του κανόνα 1:1) που δεν υλοποιήθηκαν κατά τα προηγούμενα έτη. Η κατανομή δε των προσλήψεων αυτών στους επιμέρους φορείς θα πραγματοποιηθεί από το Υπουργείο Εσωτερικών με γνώμονα τα αιτήματα και τις ανάγκες των φορέων.</w:t>
      </w:r>
    </w:p>
    <w:p w14:paraId="54718E25" w14:textId="77777777" w:rsidR="001B39F0" w:rsidRDefault="001B39F0" w:rsidP="001B39F0">
      <w:pPr>
        <w:rPr>
          <w:lang w:eastAsia="en-US"/>
        </w:rPr>
      </w:pPr>
      <w:r>
        <w:rPr>
          <w:lang w:eastAsia="en-US"/>
        </w:rPr>
        <w:t>Για την κάλυψη του μεγαλύτερου μέρους της προβλεπόμενης δαπάνης από τους νέους διορισμούς και τις προσλήψεις τακτικών υπαλλήλων των οποίων η μισθοδοσία βαρύνει απευθείας τον τακτικό προϋπολογισμό για το έτος 2025, έχουν ενσωματωθεί πιστώσεις ύψους 202 εκατ. ευρώ στις «Γενικές Κρατικές Δαπάνες» του Υπουργείου Εθνικής Οικονομίας και Οικονομικών.</w:t>
      </w:r>
    </w:p>
    <w:p w14:paraId="7AC97661" w14:textId="7AF97B8B" w:rsidR="00F7160B" w:rsidRPr="00CF5DEC" w:rsidRDefault="007C6E32" w:rsidP="00EC630C">
      <w:pPr>
        <w:pStyle w:val="af0"/>
        <w:numPr>
          <w:ilvl w:val="0"/>
          <w:numId w:val="14"/>
        </w:numPr>
        <w:tabs>
          <w:tab w:val="left" w:pos="284"/>
          <w:tab w:val="left" w:pos="426"/>
        </w:tabs>
        <w:spacing w:before="240" w:after="120" w:line="300" w:lineRule="auto"/>
        <w:ind w:left="284" w:hanging="284"/>
        <w:contextualSpacing w:val="0"/>
        <w:rPr>
          <w:rFonts w:ascii="Arial" w:hAnsi="Arial" w:cs="Arial"/>
          <w:b/>
          <w:sz w:val="20"/>
          <w:szCs w:val="20"/>
        </w:rPr>
      </w:pPr>
      <w:r>
        <w:rPr>
          <w:rFonts w:ascii="Arial" w:hAnsi="Arial" w:cs="Arial"/>
          <w:b/>
          <w:sz w:val="20"/>
          <w:szCs w:val="20"/>
        </w:rPr>
        <w:tab/>
      </w:r>
      <w:r w:rsidR="00F7160B" w:rsidRPr="00CF5DEC">
        <w:rPr>
          <w:rFonts w:ascii="Arial" w:hAnsi="Arial" w:cs="Arial"/>
          <w:b/>
          <w:sz w:val="20"/>
          <w:szCs w:val="20"/>
        </w:rPr>
        <w:t>Αποχωρήσεις τακτικού προσωπικού</w:t>
      </w:r>
      <w:r w:rsidR="001A73BD" w:rsidRPr="00CF5DEC">
        <w:rPr>
          <w:rFonts w:ascii="Arial" w:hAnsi="Arial" w:cs="Arial"/>
          <w:b/>
          <w:sz w:val="20"/>
          <w:szCs w:val="20"/>
        </w:rPr>
        <w:t xml:space="preserve"> περιόδου 202</w:t>
      </w:r>
      <w:r w:rsidR="001B39F0">
        <w:rPr>
          <w:rFonts w:ascii="Arial" w:hAnsi="Arial" w:cs="Arial"/>
          <w:b/>
          <w:sz w:val="20"/>
          <w:szCs w:val="20"/>
        </w:rPr>
        <w:t>4</w:t>
      </w:r>
      <w:r w:rsidR="00D92505" w:rsidRPr="00CF5DEC">
        <w:rPr>
          <w:rFonts w:ascii="Arial" w:hAnsi="Arial" w:cs="Arial"/>
          <w:b/>
          <w:sz w:val="20"/>
          <w:szCs w:val="20"/>
        </w:rPr>
        <w:t xml:space="preserve"> </w:t>
      </w:r>
      <w:r w:rsidR="001A73BD" w:rsidRPr="00CF5DEC">
        <w:rPr>
          <w:rFonts w:ascii="Arial" w:hAnsi="Arial" w:cs="Arial"/>
          <w:b/>
          <w:sz w:val="20"/>
          <w:szCs w:val="20"/>
        </w:rPr>
        <w:t>- 202</w:t>
      </w:r>
      <w:r w:rsidR="001B39F0">
        <w:rPr>
          <w:rFonts w:ascii="Arial" w:hAnsi="Arial" w:cs="Arial"/>
          <w:b/>
          <w:sz w:val="20"/>
          <w:szCs w:val="20"/>
        </w:rPr>
        <w:t>6</w:t>
      </w:r>
    </w:p>
    <w:p w14:paraId="0F9C0CD6" w14:textId="45DEFF44" w:rsidR="001B39F0" w:rsidRPr="001B39F0" w:rsidRDefault="001B39F0" w:rsidP="006118C4">
      <w:pPr>
        <w:spacing w:after="240"/>
        <w:rPr>
          <w:szCs w:val="20"/>
        </w:rPr>
      </w:pPr>
      <w:r w:rsidRPr="00D92505">
        <w:t xml:space="preserve">Οι αποχωρήσεις λόγω συνταξιοδότησης τακτικών υπαλλήλων η μισθοδοσία των οποίων βαρύνει απευθείας τον τακτικό προϋπολογισμό, </w:t>
      </w:r>
      <w:r>
        <w:t>παρουσιάζουν αυξητική τάση</w:t>
      </w:r>
      <w:r w:rsidRPr="008156F1">
        <w:t xml:space="preserve"> </w:t>
      </w:r>
      <w:r>
        <w:t>το 2025 σε σχέση με το 2024</w:t>
      </w:r>
      <w:r w:rsidRPr="00D92505">
        <w:t>. Το 202</w:t>
      </w:r>
      <w:r>
        <w:t>4</w:t>
      </w:r>
      <w:r w:rsidRPr="00D92505">
        <w:t>, βάσει απολογιστικών στοιχείων, αποχώρησαν συνολικά 1</w:t>
      </w:r>
      <w:r>
        <w:t>5.200</w:t>
      </w:r>
      <w:r w:rsidRPr="00D92505">
        <w:t xml:space="preserve"> τακτικοί υπάλληλοι, εκ των οποίων το </w:t>
      </w:r>
      <w:r>
        <w:t>3</w:t>
      </w:r>
      <w:r w:rsidRPr="003A5AE0">
        <w:t>6</w:t>
      </w:r>
      <w:r w:rsidRPr="00D92505">
        <w:t xml:space="preserve">% από το Υπουργείο Παιδείας, Θρησκευμάτων και Αθλητισμού, το </w:t>
      </w:r>
      <w:r w:rsidRPr="003A5AE0">
        <w:t>16</w:t>
      </w:r>
      <w:r w:rsidRPr="00D92505">
        <w:t xml:space="preserve">% από το Υπουργείο Υγείας και το </w:t>
      </w:r>
      <w:r w:rsidRPr="003A5AE0">
        <w:t>31</w:t>
      </w:r>
      <w:r w:rsidRPr="00D92505">
        <w:t>% συνολικά από τα Υπουργεία Εθνικής Άμυνας και Προστασίας του Πολίτη. Επίσης, με βάση τα μέχρι</w:t>
      </w:r>
      <w:r>
        <w:t xml:space="preserve"> 30.</w:t>
      </w:r>
      <w:r w:rsidRPr="003A5AE0">
        <w:t>6</w:t>
      </w:r>
      <w:r>
        <w:t>.202</w:t>
      </w:r>
      <w:r w:rsidRPr="003A5AE0">
        <w:t>5</w:t>
      </w:r>
      <w:r w:rsidRPr="00D92505">
        <w:t xml:space="preserve"> διαθέσιμα στοιχεία αποχωρήσεων έτους 202</w:t>
      </w:r>
      <w:r w:rsidRPr="003A5AE0">
        <w:t>5</w:t>
      </w:r>
      <w:r>
        <w:t>, αναμένεται</w:t>
      </w:r>
      <w:r w:rsidRPr="00D92505">
        <w:t xml:space="preserve"> ότι οι αποχωρήσεις υπαλλήλων των οποίων</w:t>
      </w:r>
      <w:r w:rsidRPr="00744B76">
        <w:t xml:space="preserve"> </w:t>
      </w:r>
      <w:r w:rsidRPr="00D92505">
        <w:t>η μισθοδοσία βαρύνει απευθείας τον τακτικό προϋπολογισμό</w:t>
      </w:r>
      <w:r>
        <w:t>,</w:t>
      </w:r>
      <w:r w:rsidRPr="00D92505">
        <w:t xml:space="preserve"> θα </w:t>
      </w:r>
      <w:r>
        <w:t>διαμορφωθούν</w:t>
      </w:r>
      <w:r w:rsidRPr="00D92505">
        <w:t xml:space="preserve"> σ</w:t>
      </w:r>
      <w:r w:rsidR="000A38B2">
        <w:t>ε</w:t>
      </w:r>
      <w:r w:rsidRPr="00D92505">
        <w:t xml:space="preserve"> </w:t>
      </w:r>
      <w:r>
        <w:t>17.361</w:t>
      </w:r>
      <w:r w:rsidRPr="00D92505">
        <w:t xml:space="preserve"> για το 202</w:t>
      </w:r>
      <w:r>
        <w:t>5</w:t>
      </w:r>
      <w:r w:rsidRPr="00D92505">
        <w:t xml:space="preserve"> και σ</w:t>
      </w:r>
      <w:r w:rsidR="000A38B2">
        <w:t>ε</w:t>
      </w:r>
      <w:r w:rsidRPr="00D92505">
        <w:t xml:space="preserve"> </w:t>
      </w:r>
      <w:r>
        <w:t>15.852</w:t>
      </w:r>
      <w:r w:rsidRPr="00D92505">
        <w:t xml:space="preserve"> για το 202</w:t>
      </w:r>
      <w:r>
        <w:t>6</w:t>
      </w:r>
      <w:r w:rsidRPr="00D92505">
        <w:t>. Το μεγαλύτερο ποσοστό εξ αυτών για κ</w:t>
      </w:r>
      <w:r w:rsidR="000A38B2">
        <w:t>άθε έ</w:t>
      </w:r>
      <w:r w:rsidRPr="00D92505">
        <w:t xml:space="preserve">να από τα έτη </w:t>
      </w:r>
      <w:r w:rsidRPr="00154C13">
        <w:t>2025 και 2026 εκτιμάται ότι θα συνεχίσουν να καταλαμβάνουν τα τέσσερα προαναφερθέντα Υπουργεία (</w:t>
      </w:r>
      <w:r w:rsidR="0037456C" w:rsidRPr="00154C13">
        <w:fldChar w:fldCharType="begin"/>
      </w:r>
      <w:r w:rsidR="0037456C" w:rsidRPr="00154C13">
        <w:instrText xml:space="preserve"> REF _Ref119516066 \h  \* MERGEFORMAT </w:instrText>
      </w:r>
      <w:r w:rsidR="0037456C" w:rsidRPr="00154C13">
        <w:fldChar w:fldCharType="separate"/>
      </w:r>
      <w:r w:rsidR="00E15678" w:rsidRPr="00E15678">
        <w:t>Διάγραμμα 3.3</w:t>
      </w:r>
      <w:r w:rsidR="0037456C" w:rsidRPr="00154C13">
        <w:fldChar w:fldCharType="end"/>
      </w:r>
      <w:r w:rsidR="0037456C" w:rsidRPr="00154C13">
        <w:t>.</w:t>
      </w:r>
      <w:r w:rsidRPr="00154C13">
        <w:t>).</w:t>
      </w:r>
    </w:p>
    <w:p w14:paraId="744E7973" w14:textId="455F9BA0" w:rsidR="004B72A2" w:rsidRPr="00277E45" w:rsidRDefault="004B72A2" w:rsidP="00B71557">
      <w:pPr>
        <w:spacing w:after="60" w:line="276" w:lineRule="auto"/>
        <w:ind w:right="-142"/>
        <w:jc w:val="left"/>
        <w:rPr>
          <w:rFonts w:cs="Arial"/>
          <w:b/>
          <w:sz w:val="18"/>
          <w:szCs w:val="18"/>
          <w:lang w:eastAsia="en-US"/>
        </w:rPr>
      </w:pPr>
      <w:bookmarkStart w:id="335" w:name="_Ref119516066"/>
      <w:bookmarkStart w:id="336" w:name="_Toc214474830"/>
      <w:r w:rsidRPr="00277E45">
        <w:rPr>
          <w:b/>
          <w:sz w:val="18"/>
          <w:szCs w:val="18"/>
        </w:rPr>
        <w:lastRenderedPageBreak/>
        <w:t>Διάγραμμα 3.</w:t>
      </w:r>
      <w:r w:rsidRPr="00277E45">
        <w:rPr>
          <w:b/>
          <w:sz w:val="18"/>
          <w:szCs w:val="18"/>
        </w:rPr>
        <w:fldChar w:fldCharType="begin"/>
      </w:r>
      <w:r w:rsidRPr="00277E45">
        <w:rPr>
          <w:b/>
          <w:sz w:val="18"/>
          <w:szCs w:val="18"/>
        </w:rPr>
        <w:instrText xml:space="preserve"> SEQ Διάγραμμα_3. \* ARABIC </w:instrText>
      </w:r>
      <w:r w:rsidRPr="00277E45">
        <w:rPr>
          <w:b/>
          <w:sz w:val="18"/>
          <w:szCs w:val="18"/>
        </w:rPr>
        <w:fldChar w:fldCharType="separate"/>
      </w:r>
      <w:r w:rsidR="00E15678">
        <w:rPr>
          <w:b/>
          <w:noProof/>
          <w:sz w:val="18"/>
          <w:szCs w:val="18"/>
        </w:rPr>
        <w:t>3</w:t>
      </w:r>
      <w:r w:rsidRPr="00277E45">
        <w:rPr>
          <w:b/>
          <w:sz w:val="18"/>
          <w:szCs w:val="18"/>
        </w:rPr>
        <w:fldChar w:fldCharType="end"/>
      </w:r>
      <w:bookmarkEnd w:id="335"/>
      <w:r w:rsidRPr="00277E45">
        <w:rPr>
          <w:b/>
          <w:sz w:val="18"/>
          <w:szCs w:val="18"/>
        </w:rPr>
        <w:t>.:</w:t>
      </w:r>
      <w:r w:rsidRPr="00277E45">
        <w:rPr>
          <w:rFonts w:cs="Arial"/>
          <w:b/>
          <w:sz w:val="18"/>
          <w:szCs w:val="18"/>
          <w:lang w:eastAsia="en-US"/>
        </w:rPr>
        <w:t xml:space="preserve"> Αποχωρήσεις τακτικών υπαλλήλων μισθοδοτούμενων από τον </w:t>
      </w:r>
      <w:r w:rsidR="001C110D" w:rsidRPr="00277E45">
        <w:rPr>
          <w:rFonts w:cs="Arial"/>
          <w:b/>
          <w:sz w:val="18"/>
          <w:szCs w:val="18"/>
          <w:lang w:eastAsia="en-US"/>
        </w:rPr>
        <w:t>τ</w:t>
      </w:r>
      <w:r w:rsidRPr="00277E45">
        <w:rPr>
          <w:rFonts w:cs="Arial"/>
          <w:b/>
          <w:sz w:val="18"/>
          <w:szCs w:val="18"/>
          <w:lang w:eastAsia="en-US"/>
        </w:rPr>
        <w:t xml:space="preserve">ακτικό </w:t>
      </w:r>
      <w:r w:rsidR="001C110D" w:rsidRPr="00277E45">
        <w:rPr>
          <w:rFonts w:cs="Arial"/>
          <w:b/>
          <w:sz w:val="18"/>
          <w:szCs w:val="18"/>
          <w:lang w:eastAsia="en-US"/>
        </w:rPr>
        <w:t>π</w:t>
      </w:r>
      <w:r w:rsidRPr="00277E45">
        <w:rPr>
          <w:rFonts w:cs="Arial"/>
          <w:b/>
          <w:sz w:val="18"/>
          <w:szCs w:val="18"/>
          <w:lang w:eastAsia="en-US"/>
        </w:rPr>
        <w:t>ροϋπολογισμό</w:t>
      </w:r>
      <w:r w:rsidR="008D28B8" w:rsidRPr="00277E45">
        <w:rPr>
          <w:rFonts w:cs="Arial"/>
          <w:b/>
          <w:sz w:val="18"/>
          <w:szCs w:val="18"/>
          <w:lang w:eastAsia="en-US"/>
        </w:rPr>
        <w:t xml:space="preserve"> </w:t>
      </w:r>
      <w:r w:rsidRPr="00277E45">
        <w:rPr>
          <w:rFonts w:cs="Arial"/>
          <w:b/>
          <w:sz w:val="18"/>
          <w:szCs w:val="18"/>
          <w:lang w:eastAsia="en-US"/>
        </w:rPr>
        <w:t>περιόδου 202</w:t>
      </w:r>
      <w:r w:rsidR="00206675" w:rsidRPr="00277E45">
        <w:rPr>
          <w:rFonts w:cs="Arial"/>
          <w:b/>
          <w:sz w:val="18"/>
          <w:szCs w:val="18"/>
          <w:lang w:eastAsia="en-US"/>
        </w:rPr>
        <w:t>4</w:t>
      </w:r>
      <w:r w:rsidR="00CA6A20" w:rsidRPr="00277E45">
        <w:rPr>
          <w:rFonts w:cs="Arial"/>
          <w:b/>
          <w:sz w:val="18"/>
          <w:szCs w:val="18"/>
          <w:lang w:eastAsia="en-US"/>
        </w:rPr>
        <w:t xml:space="preserve"> </w:t>
      </w:r>
      <w:r w:rsidR="00492F57" w:rsidRPr="00492F57">
        <w:rPr>
          <w:rFonts w:cs="Arial"/>
          <w:b/>
          <w:sz w:val="18"/>
          <w:szCs w:val="18"/>
          <w:lang w:eastAsia="en-US"/>
        </w:rPr>
        <w:t>-</w:t>
      </w:r>
      <w:r w:rsidR="00095FEF" w:rsidRPr="00277E45">
        <w:rPr>
          <w:rFonts w:cs="Arial"/>
          <w:b/>
          <w:sz w:val="18"/>
          <w:szCs w:val="18"/>
          <w:lang w:eastAsia="en-US"/>
        </w:rPr>
        <w:t xml:space="preserve"> </w:t>
      </w:r>
      <w:r w:rsidRPr="00277E45">
        <w:rPr>
          <w:rFonts w:cs="Arial"/>
          <w:b/>
          <w:sz w:val="18"/>
          <w:szCs w:val="18"/>
          <w:lang w:eastAsia="en-US"/>
        </w:rPr>
        <w:t>202</w:t>
      </w:r>
      <w:r w:rsidR="00206675" w:rsidRPr="00277E45">
        <w:rPr>
          <w:rFonts w:cs="Arial"/>
          <w:b/>
          <w:sz w:val="18"/>
          <w:szCs w:val="18"/>
          <w:lang w:eastAsia="en-US"/>
        </w:rPr>
        <w:t>6</w:t>
      </w:r>
      <w:bookmarkEnd w:id="336"/>
    </w:p>
    <w:p w14:paraId="61DC3F1D" w14:textId="25454823" w:rsidR="008A5CE6" w:rsidRDefault="00366B89" w:rsidP="00F0474A">
      <w:pPr>
        <w:spacing w:after="0" w:line="276" w:lineRule="auto"/>
        <w:ind w:right="-142"/>
        <w:jc w:val="left"/>
        <w:rPr>
          <w:rFonts w:cs="Arial"/>
          <w:b/>
          <w:sz w:val="18"/>
          <w:szCs w:val="18"/>
          <w:highlight w:val="yellow"/>
          <w:lang w:eastAsia="en-US"/>
        </w:rPr>
      </w:pPr>
      <w:r>
        <w:rPr>
          <w:noProof/>
        </w:rPr>
        <w:drawing>
          <wp:inline distT="0" distB="0" distL="0" distR="0" wp14:anchorId="6DED1B03" wp14:editId="7B31F104">
            <wp:extent cx="5759450" cy="2945081"/>
            <wp:effectExtent l="0" t="0" r="12700" b="8255"/>
            <wp:docPr id="35" name="Γράφημα 35">
              <a:extLst xmlns:a="http://schemas.openxmlformats.org/drawingml/2006/main">
                <a:ext uri="{FF2B5EF4-FFF2-40B4-BE49-F238E27FC236}">
                  <a16:creationId xmlns:a16="http://schemas.microsoft.com/office/drawing/2014/main" id="{CA1F5303-CDA7-45F8-8823-C6C9E8658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3E237459" w14:textId="34BD266A" w:rsidR="00F7160B" w:rsidRPr="00D468AD" w:rsidRDefault="00F7160B" w:rsidP="00EC630C">
      <w:pPr>
        <w:pStyle w:val="af0"/>
        <w:numPr>
          <w:ilvl w:val="0"/>
          <w:numId w:val="14"/>
        </w:numPr>
        <w:tabs>
          <w:tab w:val="left" w:pos="284"/>
          <w:tab w:val="left" w:pos="426"/>
        </w:tabs>
        <w:spacing w:before="240" w:after="120" w:line="300" w:lineRule="auto"/>
        <w:ind w:left="284" w:hanging="284"/>
        <w:contextualSpacing w:val="0"/>
        <w:rPr>
          <w:rFonts w:ascii="Arial" w:hAnsi="Arial" w:cs="Arial"/>
          <w:b/>
          <w:sz w:val="20"/>
          <w:szCs w:val="20"/>
        </w:rPr>
      </w:pPr>
      <w:r w:rsidRPr="00D468AD">
        <w:rPr>
          <w:rFonts w:ascii="Arial" w:hAnsi="Arial" w:cs="Arial"/>
          <w:b/>
          <w:sz w:val="20"/>
          <w:szCs w:val="20"/>
        </w:rPr>
        <w:t>Προσλήψεις μη τακτικού προσωπικού για το οικονομικό έτος 202</w:t>
      </w:r>
      <w:r w:rsidR="000A38B2" w:rsidRPr="00D468AD">
        <w:rPr>
          <w:rFonts w:ascii="Arial" w:hAnsi="Arial" w:cs="Arial"/>
          <w:b/>
          <w:sz w:val="20"/>
          <w:szCs w:val="20"/>
        </w:rPr>
        <w:t>6</w:t>
      </w:r>
    </w:p>
    <w:p w14:paraId="5906EF02" w14:textId="77777777" w:rsidR="00206675" w:rsidRDefault="00206675" w:rsidP="00206675">
      <w:r>
        <w:t>Από το έτος 2021 θεσμοθετήθηκε ετήσιος προγραμματισμός προσλήψεων προσωπικού Ιδιωτικού Δικαίου Ορισμένου Χρόνου (ΙΔΟΧ) και σύμβασης μίσθωσης έργου τόσο των φορέων της Κεντρικής Διοίκησης όσο και των λοιπών φορέων της Γενικής Κυβέρνησης (άρθρο 25 του ν.4829/2021, Α’ 166).</w:t>
      </w:r>
    </w:p>
    <w:p w14:paraId="7A0C0819" w14:textId="0617522F" w:rsidR="00206675" w:rsidRDefault="00206675" w:rsidP="00206675">
      <w:r>
        <w:t>Με βάση τον προγραμματισμό προσλήψεων έτους 202</w:t>
      </w:r>
      <w:r w:rsidRPr="0098656F">
        <w:t>4</w:t>
      </w:r>
      <w:r>
        <w:t xml:space="preserve"> (ΠΥΣ </w:t>
      </w:r>
      <w:r w:rsidRPr="0098656F">
        <w:t>26</w:t>
      </w:r>
      <w:r>
        <w:t>/</w:t>
      </w:r>
      <w:r w:rsidRPr="0098656F">
        <w:t>31</w:t>
      </w:r>
      <w:r>
        <w:t>.</w:t>
      </w:r>
      <w:r w:rsidRPr="0098656F">
        <w:t>10</w:t>
      </w:r>
      <w:r>
        <w:t>.202</w:t>
      </w:r>
      <w:r w:rsidRPr="0098656F">
        <w:t>3</w:t>
      </w:r>
      <w:r>
        <w:t>) ο μέγιστος επιτρεπόμενος αριθμός προσλήψεων μη τακτικού προσωπικού σε όλους τους φορείς της Γενικής Κυβέρνησης προσδιορίστηκε σε 22.344, ενώ σύμφωνα με τον προγραμματισμό προσλήψεων έτους 202</w:t>
      </w:r>
      <w:r w:rsidRPr="0098656F">
        <w:t>5</w:t>
      </w:r>
      <w:r>
        <w:t xml:space="preserve"> (ΠΥΣ </w:t>
      </w:r>
      <w:r w:rsidRPr="0098656F">
        <w:t>51</w:t>
      </w:r>
      <w:r>
        <w:t>/3</w:t>
      </w:r>
      <w:r w:rsidRPr="0098656F">
        <w:t>0</w:t>
      </w:r>
      <w:r>
        <w:t>.</w:t>
      </w:r>
      <w:r w:rsidRPr="0098656F">
        <w:t>9</w:t>
      </w:r>
      <w:r>
        <w:t>.202</w:t>
      </w:r>
      <w:r w:rsidRPr="0098656F">
        <w:t>4</w:t>
      </w:r>
      <w:r>
        <w:t>) ο αντίστοιχος αριθμός παρέμεινε αρχικά αμετάβλητος και εν συνεχεία αυξήθηκε σε 29.344 (ΠΥΣ 24/25.7.2025)</w:t>
      </w:r>
      <w:r w:rsidR="00A76B95">
        <w:t>,</w:t>
      </w:r>
      <w:r>
        <w:t xml:space="preserve"> κυρίως λόγω της </w:t>
      </w:r>
      <w:r w:rsidR="00A76B95">
        <w:t xml:space="preserve">κάλυψης της δαπάνης μισθοδοσίας των </w:t>
      </w:r>
      <w:r>
        <w:t>αναπληρωτ</w:t>
      </w:r>
      <w:r w:rsidR="00A76B95">
        <w:t>ών</w:t>
      </w:r>
      <w:r>
        <w:t xml:space="preserve"> εκπαιδευτικ</w:t>
      </w:r>
      <w:r w:rsidR="00A76B95">
        <w:t>ών</w:t>
      </w:r>
      <w:r>
        <w:t xml:space="preserve"> από τον </w:t>
      </w:r>
      <w:r w:rsidR="00A76B95">
        <w:t xml:space="preserve">τακτικό προϋπολογισμό αντί του </w:t>
      </w:r>
      <w:r>
        <w:t>προϋπολογισμ</w:t>
      </w:r>
      <w:r w:rsidR="00A76B95">
        <w:t>ού δημοσίων επενδύσεων</w:t>
      </w:r>
      <w:r>
        <w:t>.</w:t>
      </w:r>
    </w:p>
    <w:p w14:paraId="3A9FA842" w14:textId="2F477AB6" w:rsidR="00206675" w:rsidRDefault="00206675" w:rsidP="00206675">
      <w:r>
        <w:t>Περαιτέρω, για το έτος 2026 ο προγραμματισμός προσλήψεων προσωπικού ΙΔΟΧ αναμένεται να παραμείνει στα ίδια επίπεδα με το 2025.</w:t>
      </w:r>
    </w:p>
    <w:p w14:paraId="1A06CB83" w14:textId="47B880C2" w:rsidR="00206675" w:rsidRDefault="00206675" w:rsidP="00206675">
      <w:r>
        <w:t>Με την εισαγωγή της ανωτέρω διαδικασίας και τον τρόπο εφαρμογής της τα εμπλεκόμενα Υπουργεία (Εσωτερικών και Εθνικής Οικονομίας και Οικονομικών) αποσκοπούν στον έλεγχο και τη συστηματική παρακολούθηση των προσλήψεων μη τακτικού προσωπικού στον δημόσιο τομέα.</w:t>
      </w:r>
    </w:p>
    <w:p w14:paraId="4CB42C7E" w14:textId="77777777" w:rsidR="00443F38" w:rsidRPr="00F14FC1" w:rsidRDefault="00443F38" w:rsidP="007C6E32">
      <w:pPr>
        <w:spacing w:before="240"/>
        <w:rPr>
          <w:b/>
          <w:color w:val="2F5496"/>
          <w:szCs w:val="20"/>
        </w:rPr>
      </w:pPr>
      <w:bookmarkStart w:id="337" w:name="_Toc151100791"/>
      <w:r w:rsidRPr="00F14FC1">
        <w:rPr>
          <w:b/>
          <w:color w:val="2F5496"/>
          <w:szCs w:val="20"/>
        </w:rPr>
        <w:t>Μεταβιβάσεις τακτικού προϋπολογισμού σε φορείς εντός και εκτός της Γενικής Κυβέρνησης σε ταμειακή βάση</w:t>
      </w:r>
      <w:bookmarkEnd w:id="337"/>
    </w:p>
    <w:p w14:paraId="18D75DE6" w14:textId="030AF708" w:rsidR="00206675" w:rsidRDefault="00206675" w:rsidP="00206675">
      <w:pPr>
        <w:spacing w:after="240"/>
      </w:pPr>
      <w:r w:rsidRPr="00D92505">
        <w:t xml:space="preserve">Στον </w:t>
      </w:r>
      <w:r w:rsidRPr="00A42090">
        <w:t>παρα</w:t>
      </w:r>
      <w:r>
        <w:t>κάτω</w:t>
      </w:r>
      <w:r w:rsidRPr="00A42090">
        <w:t xml:space="preserve"> </w:t>
      </w:r>
      <w:r w:rsidRPr="00154C13">
        <w:t>πίνακα</w:t>
      </w:r>
      <w:r w:rsidRPr="00154C13">
        <w:rPr>
          <w:szCs w:val="20"/>
        </w:rPr>
        <w:t xml:space="preserve"> </w:t>
      </w:r>
      <w:r w:rsidRPr="00154C13">
        <w:t>(</w:t>
      </w:r>
      <w:r w:rsidRPr="00154C13">
        <w:fldChar w:fldCharType="begin"/>
      </w:r>
      <w:r w:rsidRPr="00154C13">
        <w:instrText xml:space="preserve"> REF _Ref150962563 \h  \* MERGEFORMAT </w:instrText>
      </w:r>
      <w:r w:rsidRPr="00154C13">
        <w:fldChar w:fldCharType="separate"/>
      </w:r>
      <w:r w:rsidR="00E15678" w:rsidRPr="00E15678">
        <w:t>Πίνακας 3.8</w:t>
      </w:r>
      <w:r w:rsidRPr="00154C13">
        <w:fldChar w:fldCharType="end"/>
      </w:r>
      <w:r w:rsidRPr="00154C13">
        <w:t>.)</w:t>
      </w:r>
      <w:r w:rsidRPr="00154C13">
        <w:rPr>
          <w:szCs w:val="20"/>
        </w:rPr>
        <w:t xml:space="preserve"> </w:t>
      </w:r>
      <w:r w:rsidRPr="00154C13">
        <w:t>παρουσιάζονται</w:t>
      </w:r>
      <w:r w:rsidRPr="00D92505">
        <w:t xml:space="preserve"> οι μεταβιβάσεις από τον τακτικό προϋπολογισμό σε φορείς εντός και εκτός Γενικής Κυβέρνησης σε ταμειακή βάση. Οι συνολικές </w:t>
      </w:r>
      <w:r w:rsidRPr="00737E79">
        <w:t xml:space="preserve">μεταβιβάσεις σε φορείς εντός Γενικής Κυβέρνησης </w:t>
      </w:r>
      <w:r w:rsidRPr="00BD659A">
        <w:t xml:space="preserve">προβλέπεται να ανέλθουν για το έτος 2026 σε 31.283 εκατ. ευρώ, αυξημένες κατά 585 εκατ. ευρώ ή 2% σε </w:t>
      </w:r>
      <w:r w:rsidR="00653388">
        <w:t>σύγκριση</w:t>
      </w:r>
      <w:r w:rsidRPr="00BD659A">
        <w:t xml:space="preserve"> με το έτος 2025, ενώ οι συνολικές μεταβιβάσεις σε φορείς εκτός Γενικής Κυβέρνησης προβλέπεται να ανέλθουν για το έτος 2026 σε 4.614 εκατ. ευρώ, αυξημένες κατά 203 εκατ. ευρώ ή 5% σε </w:t>
      </w:r>
      <w:r w:rsidR="00653388">
        <w:t>σύγκριση</w:t>
      </w:r>
      <w:r w:rsidRPr="00BD659A">
        <w:t xml:space="preserve"> με το έτος 2025.</w:t>
      </w:r>
    </w:p>
    <w:tbl>
      <w:tblPr>
        <w:tblW w:w="9586"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350"/>
        <w:gridCol w:w="451"/>
        <w:gridCol w:w="4635"/>
        <w:gridCol w:w="1006"/>
        <w:gridCol w:w="1037"/>
        <w:gridCol w:w="1112"/>
        <w:gridCol w:w="795"/>
        <w:gridCol w:w="795"/>
      </w:tblGrid>
      <w:tr w:rsidR="0055621B" w:rsidRPr="00B71557" w14:paraId="480DCD74" w14:textId="77777777" w:rsidTr="00790111">
        <w:trPr>
          <w:cantSplit/>
          <w:trHeight w:val="641"/>
          <w:tblHeader/>
          <w:jc w:val="center"/>
        </w:trPr>
        <w:tc>
          <w:tcPr>
            <w:tcW w:w="9586" w:type="dxa"/>
            <w:gridSpan w:val="8"/>
            <w:tcBorders>
              <w:top w:val="single" w:sz="2" w:space="0" w:color="A6A6A6" w:themeColor="background1" w:themeShade="A6"/>
              <w:bottom w:val="single" w:sz="2" w:space="0" w:color="A6A6A6" w:themeColor="background1" w:themeShade="A6"/>
            </w:tcBorders>
            <w:shd w:val="clear" w:color="000000" w:fill="D5DCE4"/>
            <w:vAlign w:val="center"/>
            <w:hideMark/>
          </w:tcPr>
          <w:p w14:paraId="3D405F5B" w14:textId="6E38A100" w:rsidR="008F4A04" w:rsidRDefault="0055621B" w:rsidP="008F4A04">
            <w:pPr>
              <w:spacing w:after="0" w:line="276" w:lineRule="auto"/>
              <w:jc w:val="center"/>
              <w:rPr>
                <w:rFonts w:cs="Arial"/>
                <w:b/>
                <w:bCs/>
                <w:color w:val="000000"/>
                <w:sz w:val="18"/>
                <w:szCs w:val="16"/>
              </w:rPr>
            </w:pPr>
            <w:bookmarkStart w:id="338" w:name="_Ref150962563"/>
            <w:bookmarkStart w:id="339" w:name="_Toc214474046"/>
            <w:r w:rsidRPr="00B71557">
              <w:rPr>
                <w:rFonts w:cs="Arial"/>
                <w:b/>
                <w:sz w:val="18"/>
                <w:szCs w:val="16"/>
              </w:rPr>
              <w:lastRenderedPageBreak/>
              <w:t>Πίνακας 3.</w:t>
            </w:r>
            <w:r w:rsidRPr="00B71557">
              <w:rPr>
                <w:rFonts w:cs="Arial"/>
                <w:b/>
                <w:sz w:val="18"/>
                <w:szCs w:val="16"/>
              </w:rPr>
              <w:fldChar w:fldCharType="begin"/>
            </w:r>
            <w:r w:rsidRPr="00B71557">
              <w:rPr>
                <w:rFonts w:cs="Arial"/>
                <w:b/>
                <w:sz w:val="18"/>
                <w:szCs w:val="16"/>
              </w:rPr>
              <w:instrText xml:space="preserve"> SEQ Πίνακας_3. \* ARABIC </w:instrText>
            </w:r>
            <w:r w:rsidRPr="00B71557">
              <w:rPr>
                <w:rFonts w:cs="Arial"/>
                <w:b/>
                <w:sz w:val="18"/>
                <w:szCs w:val="16"/>
              </w:rPr>
              <w:fldChar w:fldCharType="separate"/>
            </w:r>
            <w:r w:rsidR="00E15678">
              <w:rPr>
                <w:rFonts w:cs="Arial"/>
                <w:b/>
                <w:noProof/>
                <w:sz w:val="18"/>
                <w:szCs w:val="16"/>
              </w:rPr>
              <w:t>8</w:t>
            </w:r>
            <w:r w:rsidRPr="00B71557">
              <w:rPr>
                <w:rFonts w:cs="Arial"/>
                <w:b/>
                <w:sz w:val="18"/>
                <w:szCs w:val="16"/>
              </w:rPr>
              <w:fldChar w:fldCharType="end"/>
            </w:r>
            <w:bookmarkEnd w:id="338"/>
            <w:r w:rsidRPr="00B71557">
              <w:rPr>
                <w:rFonts w:cs="Arial"/>
                <w:b/>
                <w:sz w:val="18"/>
                <w:szCs w:val="16"/>
              </w:rPr>
              <w:t xml:space="preserve">.: </w:t>
            </w:r>
            <w:r w:rsidRPr="00B71557">
              <w:rPr>
                <w:rFonts w:cs="Arial"/>
                <w:b/>
                <w:bCs/>
                <w:color w:val="000000"/>
                <w:sz w:val="18"/>
                <w:szCs w:val="16"/>
              </w:rPr>
              <w:t>Μεταβιβάσεις τακτικού προϋπολογισμού σε φορείς εντός και εκτός της Γενικής Κυβέρνησης</w:t>
            </w:r>
            <w:bookmarkEnd w:id="339"/>
          </w:p>
          <w:p w14:paraId="36AA8DC7" w14:textId="4F605241" w:rsidR="0055621B" w:rsidRPr="00B71557" w:rsidRDefault="0055621B" w:rsidP="008F4A04">
            <w:pPr>
              <w:spacing w:after="0" w:line="276" w:lineRule="auto"/>
              <w:jc w:val="center"/>
              <w:rPr>
                <w:rFonts w:cs="Arial"/>
                <w:b/>
                <w:bCs/>
                <w:color w:val="000000"/>
                <w:sz w:val="18"/>
                <w:szCs w:val="16"/>
              </w:rPr>
            </w:pPr>
            <w:r w:rsidRPr="00B71557">
              <w:rPr>
                <w:rFonts w:cs="Arial"/>
                <w:b/>
                <w:bCs/>
                <w:color w:val="000000"/>
                <w:sz w:val="18"/>
                <w:szCs w:val="16"/>
              </w:rPr>
              <w:t>σε ταμειακή βάση (σε εκατ. ευρώ)</w:t>
            </w:r>
          </w:p>
        </w:tc>
      </w:tr>
      <w:tr w:rsidR="0055621B" w:rsidRPr="00B71557" w14:paraId="3469B7A1" w14:textId="77777777" w:rsidTr="00790111">
        <w:trPr>
          <w:cantSplit/>
          <w:trHeight w:val="258"/>
          <w:tblHeader/>
          <w:jc w:val="center"/>
        </w:trPr>
        <w:tc>
          <w:tcPr>
            <w:tcW w:w="5337" w:type="dxa"/>
            <w:gridSpan w:val="3"/>
            <w:vMerge w:val="restart"/>
            <w:tcBorders>
              <w:top w:val="single" w:sz="2" w:space="0" w:color="A6A6A6" w:themeColor="background1" w:themeShade="A6"/>
            </w:tcBorders>
            <w:shd w:val="clear" w:color="auto" w:fill="F2F2F2" w:themeFill="background1" w:themeFillShade="F2"/>
            <w:noWrap/>
            <w:vAlign w:val="bottom"/>
            <w:hideMark/>
          </w:tcPr>
          <w:p w14:paraId="548FC3E4" w14:textId="4C89EF37" w:rsidR="0055621B" w:rsidRPr="00B71557" w:rsidRDefault="0055621B" w:rsidP="00AF3C34">
            <w:pPr>
              <w:spacing w:after="0" w:line="276" w:lineRule="auto"/>
              <w:jc w:val="center"/>
              <w:rPr>
                <w:rFonts w:cs="Arial"/>
                <w:color w:val="000000"/>
                <w:sz w:val="16"/>
                <w:szCs w:val="16"/>
              </w:rPr>
            </w:pPr>
          </w:p>
        </w:tc>
        <w:tc>
          <w:tcPr>
            <w:tcW w:w="881" w:type="dxa"/>
            <w:tcBorders>
              <w:top w:val="single" w:sz="2" w:space="0" w:color="A6A6A6" w:themeColor="background1" w:themeShade="A6"/>
            </w:tcBorders>
            <w:shd w:val="clear" w:color="auto" w:fill="F2F2F2" w:themeFill="background1" w:themeFillShade="F2"/>
            <w:noWrap/>
            <w:vAlign w:val="center"/>
            <w:hideMark/>
          </w:tcPr>
          <w:p w14:paraId="2A5AD91F" w14:textId="0BDC56B6" w:rsidR="0055621B" w:rsidRPr="00B71557" w:rsidRDefault="0055621B" w:rsidP="00AF3C34">
            <w:pPr>
              <w:spacing w:after="0" w:line="276" w:lineRule="auto"/>
              <w:jc w:val="center"/>
              <w:rPr>
                <w:rFonts w:cs="Arial"/>
                <w:b/>
                <w:bCs/>
                <w:color w:val="000000"/>
                <w:sz w:val="16"/>
                <w:szCs w:val="16"/>
                <w:lang w:val="en-US"/>
              </w:rPr>
            </w:pPr>
            <w:r w:rsidRPr="00B71557">
              <w:rPr>
                <w:rFonts w:cs="Arial"/>
                <w:b/>
                <w:bCs/>
                <w:color w:val="000000"/>
                <w:sz w:val="16"/>
                <w:szCs w:val="16"/>
              </w:rPr>
              <w:t>202</w:t>
            </w:r>
            <w:r w:rsidR="0060528E" w:rsidRPr="00B71557">
              <w:rPr>
                <w:rFonts w:cs="Arial"/>
                <w:b/>
                <w:bCs/>
                <w:color w:val="000000"/>
                <w:sz w:val="16"/>
                <w:szCs w:val="16"/>
                <w:lang w:val="en-US"/>
              </w:rPr>
              <w:t>4</w:t>
            </w:r>
          </w:p>
        </w:tc>
        <w:tc>
          <w:tcPr>
            <w:tcW w:w="909" w:type="dxa"/>
            <w:tcBorders>
              <w:top w:val="single" w:sz="2" w:space="0" w:color="A6A6A6" w:themeColor="background1" w:themeShade="A6"/>
            </w:tcBorders>
            <w:shd w:val="clear" w:color="auto" w:fill="F2F2F2" w:themeFill="background1" w:themeFillShade="F2"/>
            <w:noWrap/>
            <w:vAlign w:val="center"/>
            <w:hideMark/>
          </w:tcPr>
          <w:p w14:paraId="7A484530" w14:textId="0D8F8EB9" w:rsidR="0055621B" w:rsidRPr="00B71557" w:rsidRDefault="0055621B" w:rsidP="00AF3C34">
            <w:pPr>
              <w:spacing w:after="0" w:line="276" w:lineRule="auto"/>
              <w:jc w:val="center"/>
              <w:rPr>
                <w:rFonts w:cs="Arial"/>
                <w:b/>
                <w:bCs/>
                <w:color w:val="000000"/>
                <w:sz w:val="16"/>
                <w:szCs w:val="16"/>
                <w:lang w:val="en-US"/>
              </w:rPr>
            </w:pPr>
            <w:r w:rsidRPr="00B71557">
              <w:rPr>
                <w:rFonts w:cs="Arial"/>
                <w:b/>
                <w:bCs/>
                <w:color w:val="000000"/>
                <w:sz w:val="16"/>
                <w:szCs w:val="16"/>
                <w:lang w:val="en-US"/>
              </w:rPr>
              <w:t>202</w:t>
            </w:r>
            <w:r w:rsidR="0060528E" w:rsidRPr="00B71557">
              <w:rPr>
                <w:rFonts w:cs="Arial"/>
                <w:b/>
                <w:bCs/>
                <w:color w:val="000000"/>
                <w:sz w:val="16"/>
                <w:szCs w:val="16"/>
                <w:lang w:val="en-US"/>
              </w:rPr>
              <w:t>5</w:t>
            </w:r>
          </w:p>
        </w:tc>
        <w:tc>
          <w:tcPr>
            <w:tcW w:w="974" w:type="dxa"/>
            <w:tcBorders>
              <w:top w:val="single" w:sz="2" w:space="0" w:color="A6A6A6" w:themeColor="background1" w:themeShade="A6"/>
            </w:tcBorders>
            <w:shd w:val="clear" w:color="auto" w:fill="F2F2F2" w:themeFill="background1" w:themeFillShade="F2"/>
            <w:noWrap/>
            <w:vAlign w:val="center"/>
            <w:hideMark/>
          </w:tcPr>
          <w:p w14:paraId="419334DA" w14:textId="0AA499AF" w:rsidR="0055621B" w:rsidRPr="00B71557" w:rsidRDefault="0055621B" w:rsidP="00AF3C34">
            <w:pPr>
              <w:spacing w:after="0" w:line="276" w:lineRule="auto"/>
              <w:jc w:val="center"/>
              <w:rPr>
                <w:rFonts w:cs="Arial"/>
                <w:b/>
                <w:bCs/>
                <w:color w:val="000000"/>
                <w:sz w:val="16"/>
                <w:szCs w:val="16"/>
                <w:lang w:val="en-US"/>
              </w:rPr>
            </w:pPr>
            <w:r w:rsidRPr="00B71557">
              <w:rPr>
                <w:rFonts w:cs="Arial"/>
                <w:b/>
                <w:bCs/>
                <w:color w:val="000000"/>
                <w:sz w:val="16"/>
                <w:szCs w:val="16"/>
                <w:lang w:val="en-US"/>
              </w:rPr>
              <w:t>202</w:t>
            </w:r>
            <w:r w:rsidR="0060528E" w:rsidRPr="00B71557">
              <w:rPr>
                <w:rFonts w:cs="Arial"/>
                <w:b/>
                <w:bCs/>
                <w:color w:val="000000"/>
                <w:sz w:val="16"/>
                <w:szCs w:val="16"/>
                <w:lang w:val="en-US"/>
              </w:rPr>
              <w:t>6</w:t>
            </w:r>
          </w:p>
        </w:tc>
        <w:tc>
          <w:tcPr>
            <w:tcW w:w="1483" w:type="dxa"/>
            <w:gridSpan w:val="2"/>
            <w:tcBorders>
              <w:top w:val="single" w:sz="2" w:space="0" w:color="A6A6A6" w:themeColor="background1" w:themeShade="A6"/>
            </w:tcBorders>
            <w:shd w:val="clear" w:color="auto" w:fill="F2F2F2" w:themeFill="background1" w:themeFillShade="F2"/>
            <w:noWrap/>
            <w:vAlign w:val="center"/>
            <w:hideMark/>
          </w:tcPr>
          <w:p w14:paraId="475F771F" w14:textId="77777777" w:rsidR="0055621B" w:rsidRPr="00B71557" w:rsidRDefault="0055621B" w:rsidP="00AF3C34">
            <w:pPr>
              <w:spacing w:after="0" w:line="276" w:lineRule="auto"/>
              <w:jc w:val="center"/>
              <w:rPr>
                <w:rFonts w:cs="Arial"/>
                <w:b/>
                <w:bCs/>
                <w:color w:val="000000"/>
                <w:sz w:val="16"/>
                <w:szCs w:val="16"/>
              </w:rPr>
            </w:pPr>
            <w:r w:rsidRPr="00B71557">
              <w:rPr>
                <w:rFonts w:cs="Arial"/>
                <w:b/>
                <w:bCs/>
                <w:color w:val="000000"/>
                <w:sz w:val="16"/>
                <w:szCs w:val="16"/>
              </w:rPr>
              <w:t>Μεταβολή %</w:t>
            </w:r>
          </w:p>
        </w:tc>
      </w:tr>
      <w:tr w:rsidR="0055621B" w:rsidRPr="00B71557" w14:paraId="51052D13" w14:textId="77777777" w:rsidTr="00790111">
        <w:trPr>
          <w:cantSplit/>
          <w:trHeight w:val="270"/>
          <w:tblHeader/>
          <w:jc w:val="center"/>
        </w:trPr>
        <w:tc>
          <w:tcPr>
            <w:tcW w:w="5337" w:type="dxa"/>
            <w:gridSpan w:val="3"/>
            <w:vMerge/>
            <w:tcBorders>
              <w:bottom w:val="single" w:sz="2" w:space="0" w:color="A6A6A6" w:themeColor="background1" w:themeShade="A6"/>
            </w:tcBorders>
            <w:vAlign w:val="center"/>
            <w:hideMark/>
          </w:tcPr>
          <w:p w14:paraId="56B66D62" w14:textId="77777777" w:rsidR="0055621B" w:rsidRPr="00B71557" w:rsidRDefault="0055621B" w:rsidP="00AF3C34">
            <w:pPr>
              <w:spacing w:after="0" w:line="276" w:lineRule="auto"/>
              <w:jc w:val="left"/>
              <w:rPr>
                <w:rFonts w:cs="Arial"/>
                <w:color w:val="000000"/>
                <w:sz w:val="16"/>
                <w:szCs w:val="16"/>
              </w:rPr>
            </w:pPr>
          </w:p>
        </w:tc>
        <w:tc>
          <w:tcPr>
            <w:tcW w:w="881" w:type="dxa"/>
            <w:tcBorders>
              <w:bottom w:val="single" w:sz="2" w:space="0" w:color="A6A6A6" w:themeColor="background1" w:themeShade="A6"/>
            </w:tcBorders>
            <w:shd w:val="clear" w:color="auto" w:fill="F2F2F2" w:themeFill="background1" w:themeFillShade="F2"/>
            <w:vAlign w:val="center"/>
            <w:hideMark/>
          </w:tcPr>
          <w:p w14:paraId="2F8F36E6" w14:textId="77777777" w:rsidR="0055621B" w:rsidRPr="00B71557" w:rsidRDefault="0055621B" w:rsidP="00AF3C34">
            <w:pPr>
              <w:spacing w:after="0" w:line="276" w:lineRule="auto"/>
              <w:jc w:val="center"/>
              <w:rPr>
                <w:rFonts w:cs="Arial"/>
                <w:b/>
                <w:bCs/>
                <w:color w:val="000000"/>
                <w:sz w:val="16"/>
                <w:szCs w:val="16"/>
              </w:rPr>
            </w:pPr>
            <w:r w:rsidRPr="00B71557">
              <w:rPr>
                <w:rFonts w:cs="Arial"/>
                <w:b/>
                <w:bCs/>
                <w:color w:val="000000"/>
                <w:sz w:val="16"/>
                <w:szCs w:val="16"/>
              </w:rPr>
              <w:t>Πληρωμές</w:t>
            </w:r>
          </w:p>
        </w:tc>
        <w:tc>
          <w:tcPr>
            <w:tcW w:w="909" w:type="dxa"/>
            <w:tcBorders>
              <w:bottom w:val="single" w:sz="2" w:space="0" w:color="A6A6A6" w:themeColor="background1" w:themeShade="A6"/>
            </w:tcBorders>
            <w:shd w:val="clear" w:color="auto" w:fill="F2F2F2" w:themeFill="background1" w:themeFillShade="F2"/>
            <w:noWrap/>
            <w:vAlign w:val="center"/>
            <w:hideMark/>
          </w:tcPr>
          <w:p w14:paraId="2439D76B" w14:textId="77777777" w:rsidR="0055621B" w:rsidRPr="00B71557" w:rsidRDefault="0055621B" w:rsidP="00AF3C34">
            <w:pPr>
              <w:spacing w:after="0" w:line="276" w:lineRule="auto"/>
              <w:jc w:val="center"/>
              <w:rPr>
                <w:rFonts w:cs="Arial"/>
                <w:b/>
                <w:bCs/>
                <w:color w:val="000000"/>
                <w:sz w:val="16"/>
                <w:szCs w:val="16"/>
              </w:rPr>
            </w:pPr>
            <w:r w:rsidRPr="00B71557">
              <w:rPr>
                <w:rFonts w:cs="Arial"/>
                <w:b/>
                <w:bCs/>
                <w:color w:val="000000"/>
                <w:sz w:val="16"/>
                <w:szCs w:val="16"/>
              </w:rPr>
              <w:t>Εκτιμήσεις</w:t>
            </w:r>
          </w:p>
        </w:tc>
        <w:tc>
          <w:tcPr>
            <w:tcW w:w="974" w:type="dxa"/>
            <w:tcBorders>
              <w:bottom w:val="single" w:sz="2" w:space="0" w:color="A6A6A6" w:themeColor="background1" w:themeShade="A6"/>
            </w:tcBorders>
            <w:shd w:val="clear" w:color="auto" w:fill="F2F2F2" w:themeFill="background1" w:themeFillShade="F2"/>
            <w:noWrap/>
            <w:vAlign w:val="center"/>
            <w:hideMark/>
          </w:tcPr>
          <w:p w14:paraId="5A09F0BF" w14:textId="77777777" w:rsidR="0055621B" w:rsidRPr="00B71557" w:rsidRDefault="0055621B" w:rsidP="00AF3C34">
            <w:pPr>
              <w:spacing w:after="0" w:line="276" w:lineRule="auto"/>
              <w:jc w:val="center"/>
              <w:rPr>
                <w:rFonts w:cs="Arial"/>
                <w:b/>
                <w:bCs/>
                <w:color w:val="000000"/>
                <w:sz w:val="16"/>
                <w:szCs w:val="16"/>
              </w:rPr>
            </w:pPr>
            <w:r w:rsidRPr="00B71557">
              <w:rPr>
                <w:rFonts w:cs="Arial"/>
                <w:b/>
                <w:bCs/>
                <w:color w:val="000000"/>
                <w:sz w:val="16"/>
                <w:szCs w:val="16"/>
              </w:rPr>
              <w:t>Προβλέψεις</w:t>
            </w:r>
          </w:p>
        </w:tc>
        <w:tc>
          <w:tcPr>
            <w:tcW w:w="713" w:type="dxa"/>
            <w:tcBorders>
              <w:bottom w:val="single" w:sz="2" w:space="0" w:color="A6A6A6" w:themeColor="background1" w:themeShade="A6"/>
            </w:tcBorders>
            <w:shd w:val="clear" w:color="auto" w:fill="F2F2F2" w:themeFill="background1" w:themeFillShade="F2"/>
            <w:noWrap/>
            <w:vAlign w:val="center"/>
            <w:hideMark/>
          </w:tcPr>
          <w:p w14:paraId="4A65B729" w14:textId="0CD2A9CD" w:rsidR="0055621B" w:rsidRPr="00B71557" w:rsidRDefault="0055621B" w:rsidP="00AF3C34">
            <w:pPr>
              <w:spacing w:after="0" w:line="276" w:lineRule="auto"/>
              <w:jc w:val="center"/>
              <w:rPr>
                <w:rFonts w:cs="Arial"/>
                <w:b/>
                <w:bCs/>
                <w:color w:val="000000"/>
                <w:sz w:val="16"/>
                <w:szCs w:val="16"/>
                <w:lang w:val="en-US"/>
              </w:rPr>
            </w:pPr>
            <w:r w:rsidRPr="00B71557">
              <w:rPr>
                <w:rFonts w:cs="Arial"/>
                <w:b/>
                <w:bCs/>
                <w:color w:val="000000"/>
                <w:sz w:val="16"/>
                <w:szCs w:val="16"/>
              </w:rPr>
              <w:t>202</w:t>
            </w:r>
            <w:r w:rsidR="0060528E" w:rsidRPr="00B71557">
              <w:rPr>
                <w:rFonts w:cs="Arial"/>
                <w:b/>
                <w:bCs/>
                <w:color w:val="000000"/>
                <w:sz w:val="16"/>
                <w:szCs w:val="16"/>
                <w:lang w:val="en-US"/>
              </w:rPr>
              <w:t>5</w:t>
            </w:r>
            <w:r w:rsidRPr="00B71557">
              <w:rPr>
                <w:rFonts w:cs="Arial"/>
                <w:b/>
                <w:bCs/>
                <w:color w:val="000000"/>
                <w:sz w:val="16"/>
                <w:szCs w:val="16"/>
              </w:rPr>
              <w:t>/2</w:t>
            </w:r>
            <w:r w:rsidR="0060528E" w:rsidRPr="00B71557">
              <w:rPr>
                <w:rFonts w:cs="Arial"/>
                <w:b/>
                <w:bCs/>
                <w:color w:val="000000"/>
                <w:sz w:val="16"/>
                <w:szCs w:val="16"/>
                <w:lang w:val="en-US"/>
              </w:rPr>
              <w:t>4</w:t>
            </w:r>
          </w:p>
        </w:tc>
        <w:tc>
          <w:tcPr>
            <w:tcW w:w="769" w:type="dxa"/>
            <w:tcBorders>
              <w:bottom w:val="single" w:sz="2" w:space="0" w:color="A6A6A6" w:themeColor="background1" w:themeShade="A6"/>
            </w:tcBorders>
            <w:shd w:val="clear" w:color="auto" w:fill="F2F2F2" w:themeFill="background1" w:themeFillShade="F2"/>
            <w:noWrap/>
            <w:vAlign w:val="center"/>
            <w:hideMark/>
          </w:tcPr>
          <w:p w14:paraId="3B308FB0" w14:textId="192B5903" w:rsidR="0055621B" w:rsidRPr="00B71557" w:rsidRDefault="0055621B" w:rsidP="00AF3C34">
            <w:pPr>
              <w:spacing w:after="0" w:line="276" w:lineRule="auto"/>
              <w:jc w:val="center"/>
              <w:rPr>
                <w:rFonts w:cs="Arial"/>
                <w:b/>
                <w:bCs/>
                <w:color w:val="000000"/>
                <w:sz w:val="16"/>
                <w:szCs w:val="16"/>
                <w:lang w:val="en-US"/>
              </w:rPr>
            </w:pPr>
            <w:r w:rsidRPr="00B71557">
              <w:rPr>
                <w:rFonts w:cs="Arial"/>
                <w:b/>
                <w:bCs/>
                <w:color w:val="000000"/>
                <w:sz w:val="16"/>
                <w:szCs w:val="16"/>
              </w:rPr>
              <w:t>202</w:t>
            </w:r>
            <w:r w:rsidR="0060528E" w:rsidRPr="00B71557">
              <w:rPr>
                <w:rFonts w:cs="Arial"/>
                <w:b/>
                <w:bCs/>
                <w:color w:val="000000"/>
                <w:sz w:val="16"/>
                <w:szCs w:val="16"/>
                <w:lang w:val="en-US"/>
              </w:rPr>
              <w:t>6</w:t>
            </w:r>
            <w:r w:rsidRPr="00B71557">
              <w:rPr>
                <w:rFonts w:cs="Arial"/>
                <w:b/>
                <w:bCs/>
                <w:color w:val="000000"/>
                <w:sz w:val="16"/>
                <w:szCs w:val="16"/>
              </w:rPr>
              <w:t>/2</w:t>
            </w:r>
            <w:r w:rsidR="0060528E" w:rsidRPr="00B71557">
              <w:rPr>
                <w:rFonts w:cs="Arial"/>
                <w:b/>
                <w:bCs/>
                <w:color w:val="000000"/>
                <w:sz w:val="16"/>
                <w:szCs w:val="16"/>
                <w:lang w:val="en-US"/>
              </w:rPr>
              <w:t>5</w:t>
            </w:r>
          </w:p>
        </w:tc>
      </w:tr>
      <w:tr w:rsidR="0055621B" w:rsidRPr="00B71557" w14:paraId="498647AF" w14:textId="77777777" w:rsidTr="00790111">
        <w:trPr>
          <w:cantSplit/>
          <w:trHeight w:val="285"/>
          <w:jc w:val="center"/>
        </w:trPr>
        <w:tc>
          <w:tcPr>
            <w:tcW w:w="9586" w:type="dxa"/>
            <w:gridSpan w:val="8"/>
            <w:tcBorders>
              <w:top w:val="single" w:sz="2" w:space="0" w:color="A6A6A6" w:themeColor="background1" w:themeShade="A6"/>
              <w:bottom w:val="nil"/>
            </w:tcBorders>
            <w:shd w:val="clear" w:color="auto" w:fill="D5DCE4"/>
            <w:noWrap/>
            <w:vAlign w:val="center"/>
            <w:hideMark/>
          </w:tcPr>
          <w:p w14:paraId="4E9F1F72" w14:textId="77777777" w:rsidR="0055621B" w:rsidRPr="00B71557" w:rsidRDefault="0055621B" w:rsidP="00AF3C34">
            <w:pPr>
              <w:spacing w:after="0" w:line="276" w:lineRule="auto"/>
              <w:jc w:val="center"/>
              <w:rPr>
                <w:rFonts w:cs="Arial"/>
                <w:b/>
                <w:bCs/>
                <w:color w:val="000000"/>
                <w:sz w:val="16"/>
                <w:szCs w:val="16"/>
              </w:rPr>
            </w:pPr>
            <w:r w:rsidRPr="00B71557">
              <w:rPr>
                <w:rFonts w:cs="Arial"/>
                <w:b/>
                <w:bCs/>
                <w:color w:val="000000"/>
                <w:sz w:val="16"/>
                <w:szCs w:val="16"/>
              </w:rPr>
              <w:t>Μεταβιβάσεις από τον τακτικό προϋπολογισμό σε φορείς εντός Γενικής Κυβέρνησης</w:t>
            </w:r>
          </w:p>
        </w:tc>
      </w:tr>
      <w:tr w:rsidR="0060528E" w:rsidRPr="00B71557" w14:paraId="7538F17B" w14:textId="77777777" w:rsidTr="00790111">
        <w:trPr>
          <w:cantSplit/>
          <w:trHeight w:val="258"/>
          <w:jc w:val="center"/>
        </w:trPr>
        <w:tc>
          <w:tcPr>
            <w:tcW w:w="306" w:type="dxa"/>
            <w:tcBorders>
              <w:top w:val="nil"/>
            </w:tcBorders>
            <w:shd w:val="clear" w:color="000000" w:fill="FFFFFF"/>
            <w:noWrap/>
            <w:vAlign w:val="center"/>
            <w:hideMark/>
          </w:tcPr>
          <w:p w14:paraId="3F78D44C" w14:textId="77777777" w:rsidR="0060528E" w:rsidRPr="00B71557" w:rsidRDefault="0060528E" w:rsidP="00AF3C34">
            <w:pPr>
              <w:spacing w:after="0" w:line="276" w:lineRule="auto"/>
              <w:jc w:val="center"/>
              <w:rPr>
                <w:rFonts w:cs="Arial"/>
                <w:b/>
                <w:bCs/>
                <w:color w:val="000000"/>
                <w:sz w:val="16"/>
                <w:szCs w:val="16"/>
              </w:rPr>
            </w:pPr>
            <w:r w:rsidRPr="00B71557">
              <w:rPr>
                <w:rFonts w:cs="Arial"/>
                <w:b/>
                <w:bCs/>
                <w:color w:val="000000"/>
                <w:sz w:val="16"/>
                <w:szCs w:val="16"/>
              </w:rPr>
              <w:t>1</w:t>
            </w:r>
          </w:p>
        </w:tc>
        <w:tc>
          <w:tcPr>
            <w:tcW w:w="5031" w:type="dxa"/>
            <w:gridSpan w:val="2"/>
            <w:tcBorders>
              <w:top w:val="nil"/>
            </w:tcBorders>
            <w:shd w:val="clear" w:color="000000" w:fill="FFFFFF"/>
            <w:vAlign w:val="center"/>
            <w:hideMark/>
          </w:tcPr>
          <w:p w14:paraId="19754BA4" w14:textId="77777777" w:rsidR="0060528E" w:rsidRPr="00B71557" w:rsidRDefault="0060528E" w:rsidP="00AF3C34">
            <w:pPr>
              <w:spacing w:after="0" w:line="276" w:lineRule="auto"/>
              <w:jc w:val="left"/>
              <w:rPr>
                <w:rFonts w:cs="Arial"/>
                <w:b/>
                <w:bCs/>
                <w:color w:val="000000"/>
                <w:sz w:val="16"/>
                <w:szCs w:val="16"/>
              </w:rPr>
            </w:pPr>
            <w:r w:rsidRPr="00B71557">
              <w:rPr>
                <w:rFonts w:cs="Arial"/>
                <w:b/>
                <w:bCs/>
                <w:color w:val="000000"/>
                <w:sz w:val="16"/>
                <w:szCs w:val="16"/>
              </w:rPr>
              <w:t>Τρέχουσες εγχώριες μεταβιβάσεις (1α+1β+1γ+1δ)</w:t>
            </w:r>
          </w:p>
        </w:tc>
        <w:tc>
          <w:tcPr>
            <w:tcW w:w="881" w:type="dxa"/>
            <w:tcBorders>
              <w:top w:val="nil"/>
            </w:tcBorders>
            <w:shd w:val="clear" w:color="000000" w:fill="FFFFFF"/>
            <w:noWrap/>
            <w:vAlign w:val="center"/>
          </w:tcPr>
          <w:p w14:paraId="43E398DC" w14:textId="3B20C969"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24.498</w:t>
            </w:r>
          </w:p>
        </w:tc>
        <w:tc>
          <w:tcPr>
            <w:tcW w:w="909" w:type="dxa"/>
            <w:tcBorders>
              <w:top w:val="nil"/>
            </w:tcBorders>
            <w:shd w:val="clear" w:color="000000" w:fill="FFFFFF"/>
            <w:noWrap/>
            <w:vAlign w:val="center"/>
          </w:tcPr>
          <w:p w14:paraId="0D6C184D" w14:textId="73DBA4DF"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26.865</w:t>
            </w:r>
          </w:p>
        </w:tc>
        <w:tc>
          <w:tcPr>
            <w:tcW w:w="974" w:type="dxa"/>
            <w:tcBorders>
              <w:top w:val="nil"/>
            </w:tcBorders>
            <w:shd w:val="clear" w:color="000000" w:fill="FFFFFF"/>
            <w:noWrap/>
            <w:vAlign w:val="center"/>
          </w:tcPr>
          <w:p w14:paraId="06ECF66D" w14:textId="4C50F626"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27.188</w:t>
            </w:r>
          </w:p>
        </w:tc>
        <w:tc>
          <w:tcPr>
            <w:tcW w:w="713" w:type="dxa"/>
            <w:tcBorders>
              <w:top w:val="nil"/>
            </w:tcBorders>
            <w:shd w:val="clear" w:color="000000" w:fill="FFFFFF"/>
            <w:noWrap/>
            <w:vAlign w:val="center"/>
          </w:tcPr>
          <w:p w14:paraId="4BB66CC4" w14:textId="58FFE273"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10</w:t>
            </w:r>
          </w:p>
        </w:tc>
        <w:tc>
          <w:tcPr>
            <w:tcW w:w="769" w:type="dxa"/>
            <w:tcBorders>
              <w:top w:val="nil"/>
            </w:tcBorders>
            <w:shd w:val="clear" w:color="000000" w:fill="FFFFFF"/>
            <w:noWrap/>
            <w:vAlign w:val="center"/>
          </w:tcPr>
          <w:p w14:paraId="30778BBF" w14:textId="6B9F3D07"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1</w:t>
            </w:r>
          </w:p>
        </w:tc>
      </w:tr>
      <w:tr w:rsidR="0060528E" w:rsidRPr="00B71557" w14:paraId="7A6F3C6D" w14:textId="77777777" w:rsidTr="00790111">
        <w:trPr>
          <w:cantSplit/>
          <w:trHeight w:val="270"/>
          <w:jc w:val="center"/>
        </w:trPr>
        <w:tc>
          <w:tcPr>
            <w:tcW w:w="306" w:type="dxa"/>
            <w:shd w:val="clear" w:color="000000" w:fill="FFFFFF"/>
            <w:noWrap/>
            <w:vAlign w:val="center"/>
            <w:hideMark/>
          </w:tcPr>
          <w:p w14:paraId="2494E662"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noWrap/>
            <w:vAlign w:val="center"/>
            <w:hideMark/>
          </w:tcPr>
          <w:p w14:paraId="7F570A40"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1α)</w:t>
            </w:r>
          </w:p>
        </w:tc>
        <w:tc>
          <w:tcPr>
            <w:tcW w:w="4635" w:type="dxa"/>
            <w:shd w:val="clear" w:color="000000" w:fill="FFFFFF"/>
            <w:vAlign w:val="center"/>
            <w:hideMark/>
          </w:tcPr>
          <w:p w14:paraId="4931327C"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Μεταβιβάσεις στην Κεντρική Διοίκηση</w:t>
            </w:r>
          </w:p>
        </w:tc>
        <w:tc>
          <w:tcPr>
            <w:tcW w:w="881" w:type="dxa"/>
            <w:shd w:val="clear" w:color="000000" w:fill="FFFFFF"/>
            <w:noWrap/>
            <w:vAlign w:val="center"/>
          </w:tcPr>
          <w:p w14:paraId="7F6A94FC" w14:textId="7998C1C6"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909" w:type="dxa"/>
            <w:shd w:val="clear" w:color="000000" w:fill="FFFFFF"/>
            <w:noWrap/>
            <w:vAlign w:val="center"/>
          </w:tcPr>
          <w:p w14:paraId="36E294DD" w14:textId="744EBE31"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974" w:type="dxa"/>
            <w:shd w:val="clear" w:color="000000" w:fill="FFFFFF"/>
            <w:noWrap/>
            <w:vAlign w:val="center"/>
          </w:tcPr>
          <w:p w14:paraId="2D75ABF1" w14:textId="0BE341FC"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713" w:type="dxa"/>
            <w:shd w:val="clear" w:color="000000" w:fill="FFFFFF"/>
            <w:noWrap/>
            <w:vAlign w:val="center"/>
          </w:tcPr>
          <w:p w14:paraId="1652053C" w14:textId="28670E7B" w:rsidR="0060528E" w:rsidRPr="00B71557" w:rsidRDefault="0060528E" w:rsidP="00AF3C34">
            <w:pPr>
              <w:spacing w:after="0" w:line="276" w:lineRule="auto"/>
              <w:jc w:val="right"/>
              <w:rPr>
                <w:rFonts w:cs="Arial"/>
                <w:color w:val="000000"/>
                <w:sz w:val="16"/>
                <w:szCs w:val="16"/>
              </w:rPr>
            </w:pPr>
            <w:r w:rsidRPr="00B71557">
              <w:rPr>
                <w:rFonts w:cs="Arial"/>
                <w:sz w:val="16"/>
                <w:szCs w:val="16"/>
              </w:rPr>
              <w:t>-</w:t>
            </w:r>
          </w:p>
        </w:tc>
        <w:tc>
          <w:tcPr>
            <w:tcW w:w="769" w:type="dxa"/>
            <w:shd w:val="clear" w:color="000000" w:fill="FFFFFF"/>
            <w:noWrap/>
            <w:vAlign w:val="center"/>
          </w:tcPr>
          <w:p w14:paraId="639F899D" w14:textId="14A3456D" w:rsidR="0060528E" w:rsidRPr="00B71557" w:rsidRDefault="0060528E" w:rsidP="00AF3C34">
            <w:pPr>
              <w:spacing w:after="0" w:line="276" w:lineRule="auto"/>
              <w:jc w:val="right"/>
              <w:rPr>
                <w:rFonts w:cs="Arial"/>
                <w:color w:val="000000"/>
                <w:sz w:val="16"/>
                <w:szCs w:val="16"/>
              </w:rPr>
            </w:pPr>
            <w:r w:rsidRPr="00B71557">
              <w:rPr>
                <w:rFonts w:cs="Arial"/>
                <w:sz w:val="16"/>
                <w:szCs w:val="16"/>
              </w:rPr>
              <w:t>-</w:t>
            </w:r>
          </w:p>
        </w:tc>
      </w:tr>
      <w:tr w:rsidR="0060528E" w:rsidRPr="00B71557" w14:paraId="51FFEB12" w14:textId="77777777" w:rsidTr="00790111">
        <w:trPr>
          <w:cantSplit/>
          <w:trHeight w:val="270"/>
          <w:jc w:val="center"/>
        </w:trPr>
        <w:tc>
          <w:tcPr>
            <w:tcW w:w="306" w:type="dxa"/>
            <w:shd w:val="clear" w:color="000000" w:fill="FFFFFF"/>
            <w:noWrap/>
            <w:vAlign w:val="center"/>
            <w:hideMark/>
          </w:tcPr>
          <w:p w14:paraId="186E0D1F"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noWrap/>
            <w:vAlign w:val="center"/>
            <w:hideMark/>
          </w:tcPr>
          <w:p w14:paraId="50FA2AEA"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1β)</w:t>
            </w:r>
          </w:p>
        </w:tc>
        <w:tc>
          <w:tcPr>
            <w:tcW w:w="4635" w:type="dxa"/>
            <w:shd w:val="clear" w:color="000000" w:fill="FFFFFF"/>
            <w:vAlign w:val="center"/>
            <w:hideMark/>
          </w:tcPr>
          <w:p w14:paraId="284D25E1" w14:textId="21D747F4"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Μεταβιβάσεις σε νοσοκομεία και ΠΦΥ</w:t>
            </w:r>
          </w:p>
        </w:tc>
        <w:tc>
          <w:tcPr>
            <w:tcW w:w="881" w:type="dxa"/>
            <w:shd w:val="clear" w:color="000000" w:fill="FFFFFF"/>
            <w:noWrap/>
            <w:vAlign w:val="center"/>
          </w:tcPr>
          <w:p w14:paraId="32B2FE88" w14:textId="261765DF" w:rsidR="0060528E" w:rsidRPr="00B71557" w:rsidRDefault="0060528E" w:rsidP="00AF3C34">
            <w:pPr>
              <w:spacing w:after="0" w:line="276" w:lineRule="auto"/>
              <w:jc w:val="right"/>
              <w:rPr>
                <w:rFonts w:cs="Arial"/>
                <w:color w:val="000000"/>
                <w:sz w:val="16"/>
                <w:szCs w:val="16"/>
              </w:rPr>
            </w:pPr>
            <w:r w:rsidRPr="00B71557">
              <w:rPr>
                <w:rFonts w:cs="Arial"/>
                <w:sz w:val="16"/>
                <w:szCs w:val="16"/>
              </w:rPr>
              <w:t>2.243</w:t>
            </w:r>
          </w:p>
        </w:tc>
        <w:tc>
          <w:tcPr>
            <w:tcW w:w="909" w:type="dxa"/>
            <w:shd w:val="clear" w:color="000000" w:fill="FFFFFF"/>
            <w:noWrap/>
            <w:vAlign w:val="center"/>
          </w:tcPr>
          <w:p w14:paraId="17DB806D" w14:textId="6AABEE81" w:rsidR="0060528E" w:rsidRPr="00B71557" w:rsidRDefault="0060528E" w:rsidP="00AF3C34">
            <w:pPr>
              <w:spacing w:after="0" w:line="276" w:lineRule="auto"/>
              <w:jc w:val="right"/>
              <w:rPr>
                <w:rFonts w:cs="Arial"/>
                <w:color w:val="000000"/>
                <w:sz w:val="16"/>
                <w:szCs w:val="16"/>
              </w:rPr>
            </w:pPr>
            <w:r w:rsidRPr="00B71557">
              <w:rPr>
                <w:rFonts w:cs="Arial"/>
                <w:sz w:val="16"/>
                <w:szCs w:val="16"/>
              </w:rPr>
              <w:t>1.676</w:t>
            </w:r>
          </w:p>
        </w:tc>
        <w:tc>
          <w:tcPr>
            <w:tcW w:w="974" w:type="dxa"/>
            <w:shd w:val="clear" w:color="000000" w:fill="FFFFFF"/>
            <w:noWrap/>
            <w:vAlign w:val="center"/>
          </w:tcPr>
          <w:p w14:paraId="5ADA80FB" w14:textId="60E9CA8A" w:rsidR="0060528E" w:rsidRPr="00B71557" w:rsidRDefault="0060528E" w:rsidP="00AF3C34">
            <w:pPr>
              <w:spacing w:after="0" w:line="276" w:lineRule="auto"/>
              <w:jc w:val="right"/>
              <w:rPr>
                <w:rFonts w:cs="Arial"/>
                <w:color w:val="000000"/>
                <w:sz w:val="16"/>
                <w:szCs w:val="16"/>
              </w:rPr>
            </w:pPr>
            <w:r w:rsidRPr="00B71557">
              <w:rPr>
                <w:rFonts w:cs="Arial"/>
                <w:sz w:val="16"/>
                <w:szCs w:val="16"/>
              </w:rPr>
              <w:t>1.383</w:t>
            </w:r>
          </w:p>
        </w:tc>
        <w:tc>
          <w:tcPr>
            <w:tcW w:w="713" w:type="dxa"/>
            <w:shd w:val="clear" w:color="000000" w:fill="FFFFFF"/>
            <w:noWrap/>
            <w:vAlign w:val="center"/>
          </w:tcPr>
          <w:p w14:paraId="0B92FD8B" w14:textId="040BFDC2" w:rsidR="0060528E" w:rsidRPr="00B71557" w:rsidRDefault="0060528E" w:rsidP="00AF3C34">
            <w:pPr>
              <w:spacing w:after="0" w:line="276" w:lineRule="auto"/>
              <w:jc w:val="right"/>
              <w:rPr>
                <w:rFonts w:cs="Arial"/>
                <w:color w:val="000000"/>
                <w:sz w:val="16"/>
                <w:szCs w:val="16"/>
              </w:rPr>
            </w:pPr>
            <w:r w:rsidRPr="00B71557">
              <w:rPr>
                <w:rFonts w:cs="Arial"/>
                <w:sz w:val="16"/>
                <w:szCs w:val="16"/>
              </w:rPr>
              <w:t>-25</w:t>
            </w:r>
          </w:p>
        </w:tc>
        <w:tc>
          <w:tcPr>
            <w:tcW w:w="769" w:type="dxa"/>
            <w:shd w:val="clear" w:color="000000" w:fill="FFFFFF"/>
            <w:noWrap/>
            <w:vAlign w:val="center"/>
          </w:tcPr>
          <w:p w14:paraId="2115879A" w14:textId="5B12A4FC" w:rsidR="0060528E" w:rsidRPr="00B71557" w:rsidRDefault="0060528E" w:rsidP="00AF3C34">
            <w:pPr>
              <w:spacing w:after="0" w:line="276" w:lineRule="auto"/>
              <w:jc w:val="right"/>
              <w:rPr>
                <w:rFonts w:cs="Arial"/>
                <w:color w:val="000000"/>
                <w:sz w:val="16"/>
                <w:szCs w:val="16"/>
              </w:rPr>
            </w:pPr>
            <w:r w:rsidRPr="00B71557">
              <w:rPr>
                <w:rFonts w:cs="Arial"/>
                <w:sz w:val="16"/>
                <w:szCs w:val="16"/>
              </w:rPr>
              <w:t>-17</w:t>
            </w:r>
          </w:p>
        </w:tc>
      </w:tr>
      <w:tr w:rsidR="0060528E" w:rsidRPr="00B71557" w14:paraId="1A15FBD3" w14:textId="77777777" w:rsidTr="00790111">
        <w:trPr>
          <w:cantSplit/>
          <w:trHeight w:val="258"/>
          <w:jc w:val="center"/>
        </w:trPr>
        <w:tc>
          <w:tcPr>
            <w:tcW w:w="306" w:type="dxa"/>
            <w:shd w:val="clear" w:color="000000" w:fill="FFFFFF"/>
            <w:noWrap/>
            <w:vAlign w:val="center"/>
            <w:hideMark/>
          </w:tcPr>
          <w:p w14:paraId="61EA005B"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noWrap/>
            <w:vAlign w:val="center"/>
            <w:hideMark/>
          </w:tcPr>
          <w:p w14:paraId="691C95B2"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1γ)</w:t>
            </w:r>
          </w:p>
        </w:tc>
        <w:tc>
          <w:tcPr>
            <w:tcW w:w="4635" w:type="dxa"/>
            <w:shd w:val="clear" w:color="000000" w:fill="FFFFFF"/>
            <w:vAlign w:val="center"/>
            <w:hideMark/>
          </w:tcPr>
          <w:p w14:paraId="08A7CA6C"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Μεταβιβάσεις σε ΟΤΑ</w:t>
            </w:r>
          </w:p>
        </w:tc>
        <w:tc>
          <w:tcPr>
            <w:tcW w:w="881" w:type="dxa"/>
            <w:shd w:val="clear" w:color="000000" w:fill="FFFFFF"/>
            <w:noWrap/>
            <w:vAlign w:val="center"/>
          </w:tcPr>
          <w:p w14:paraId="280D5545" w14:textId="75504983" w:rsidR="0060528E" w:rsidRPr="00B71557" w:rsidRDefault="0060528E" w:rsidP="00AF3C34">
            <w:pPr>
              <w:spacing w:after="0" w:line="276" w:lineRule="auto"/>
              <w:jc w:val="right"/>
              <w:rPr>
                <w:rFonts w:cs="Arial"/>
                <w:color w:val="000000"/>
                <w:sz w:val="16"/>
                <w:szCs w:val="16"/>
              </w:rPr>
            </w:pPr>
            <w:r w:rsidRPr="00B71557">
              <w:rPr>
                <w:rFonts w:cs="Arial"/>
                <w:sz w:val="16"/>
                <w:szCs w:val="16"/>
              </w:rPr>
              <w:t>3.132</w:t>
            </w:r>
          </w:p>
        </w:tc>
        <w:tc>
          <w:tcPr>
            <w:tcW w:w="909" w:type="dxa"/>
            <w:shd w:val="clear" w:color="000000" w:fill="FFFFFF"/>
            <w:noWrap/>
            <w:vAlign w:val="center"/>
          </w:tcPr>
          <w:p w14:paraId="228D0F36" w14:textId="24210AFF" w:rsidR="0060528E" w:rsidRPr="00B71557" w:rsidRDefault="0060528E" w:rsidP="00AF3C34">
            <w:pPr>
              <w:spacing w:after="0" w:line="276" w:lineRule="auto"/>
              <w:jc w:val="right"/>
              <w:rPr>
                <w:rFonts w:cs="Arial"/>
                <w:color w:val="000000"/>
                <w:sz w:val="16"/>
                <w:szCs w:val="16"/>
              </w:rPr>
            </w:pPr>
            <w:r w:rsidRPr="00B71557">
              <w:rPr>
                <w:rFonts w:cs="Arial"/>
                <w:sz w:val="16"/>
                <w:szCs w:val="16"/>
              </w:rPr>
              <w:t>3.310</w:t>
            </w:r>
          </w:p>
        </w:tc>
        <w:tc>
          <w:tcPr>
            <w:tcW w:w="974" w:type="dxa"/>
            <w:shd w:val="clear" w:color="000000" w:fill="FFFFFF"/>
            <w:noWrap/>
            <w:vAlign w:val="center"/>
          </w:tcPr>
          <w:p w14:paraId="188D479D" w14:textId="22AF9B66" w:rsidR="0060528E" w:rsidRPr="00B71557" w:rsidRDefault="0060528E" w:rsidP="00AF3C34">
            <w:pPr>
              <w:spacing w:after="0" w:line="276" w:lineRule="auto"/>
              <w:jc w:val="right"/>
              <w:rPr>
                <w:rFonts w:cs="Arial"/>
                <w:color w:val="000000"/>
                <w:sz w:val="16"/>
                <w:szCs w:val="16"/>
              </w:rPr>
            </w:pPr>
            <w:r w:rsidRPr="00B71557">
              <w:rPr>
                <w:rFonts w:cs="Arial"/>
                <w:sz w:val="16"/>
                <w:szCs w:val="16"/>
              </w:rPr>
              <w:t>3.402</w:t>
            </w:r>
          </w:p>
        </w:tc>
        <w:tc>
          <w:tcPr>
            <w:tcW w:w="713" w:type="dxa"/>
            <w:shd w:val="clear" w:color="000000" w:fill="FFFFFF"/>
            <w:noWrap/>
            <w:vAlign w:val="center"/>
          </w:tcPr>
          <w:p w14:paraId="7F00FFF6" w14:textId="45E96BD3" w:rsidR="0060528E" w:rsidRPr="00B71557" w:rsidRDefault="0060528E" w:rsidP="00AF3C34">
            <w:pPr>
              <w:spacing w:after="0" w:line="276" w:lineRule="auto"/>
              <w:jc w:val="right"/>
              <w:rPr>
                <w:rFonts w:cs="Arial"/>
                <w:color w:val="000000"/>
                <w:sz w:val="16"/>
                <w:szCs w:val="16"/>
              </w:rPr>
            </w:pPr>
            <w:r w:rsidRPr="00B71557">
              <w:rPr>
                <w:rFonts w:cs="Arial"/>
                <w:sz w:val="16"/>
                <w:szCs w:val="16"/>
              </w:rPr>
              <w:t>6</w:t>
            </w:r>
          </w:p>
        </w:tc>
        <w:tc>
          <w:tcPr>
            <w:tcW w:w="769" w:type="dxa"/>
            <w:shd w:val="clear" w:color="000000" w:fill="FFFFFF"/>
            <w:noWrap/>
            <w:vAlign w:val="center"/>
          </w:tcPr>
          <w:p w14:paraId="64688DD4" w14:textId="26DA5A57" w:rsidR="0060528E" w:rsidRPr="00B71557" w:rsidRDefault="0060528E" w:rsidP="00AF3C34">
            <w:pPr>
              <w:spacing w:after="0" w:line="276" w:lineRule="auto"/>
              <w:jc w:val="right"/>
              <w:rPr>
                <w:rFonts w:cs="Arial"/>
                <w:color w:val="000000"/>
                <w:sz w:val="16"/>
                <w:szCs w:val="16"/>
              </w:rPr>
            </w:pPr>
            <w:r w:rsidRPr="00B71557">
              <w:rPr>
                <w:rFonts w:cs="Arial"/>
                <w:sz w:val="16"/>
                <w:szCs w:val="16"/>
              </w:rPr>
              <w:t>3</w:t>
            </w:r>
          </w:p>
        </w:tc>
      </w:tr>
      <w:tr w:rsidR="0060528E" w:rsidRPr="00B71557" w14:paraId="0CBB26E3" w14:textId="77777777" w:rsidTr="00790111">
        <w:trPr>
          <w:cantSplit/>
          <w:trHeight w:val="270"/>
          <w:jc w:val="center"/>
        </w:trPr>
        <w:tc>
          <w:tcPr>
            <w:tcW w:w="306" w:type="dxa"/>
            <w:shd w:val="clear" w:color="000000" w:fill="FFFFFF"/>
            <w:noWrap/>
            <w:vAlign w:val="center"/>
            <w:hideMark/>
          </w:tcPr>
          <w:p w14:paraId="586A8027"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noWrap/>
            <w:vAlign w:val="center"/>
            <w:hideMark/>
          </w:tcPr>
          <w:p w14:paraId="08C34258"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w:t>
            </w:r>
          </w:p>
        </w:tc>
        <w:tc>
          <w:tcPr>
            <w:tcW w:w="4635" w:type="dxa"/>
            <w:shd w:val="clear" w:color="000000" w:fill="FFFFFF"/>
            <w:vAlign w:val="center"/>
            <w:hideMark/>
          </w:tcPr>
          <w:p w14:paraId="45D4EC35"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Μεταβιβάσεις σε ΟΚΑ</w:t>
            </w:r>
          </w:p>
        </w:tc>
        <w:tc>
          <w:tcPr>
            <w:tcW w:w="881" w:type="dxa"/>
            <w:shd w:val="clear" w:color="000000" w:fill="FFFFFF"/>
            <w:noWrap/>
            <w:vAlign w:val="center"/>
          </w:tcPr>
          <w:p w14:paraId="1476769D" w14:textId="3B27246E" w:rsidR="0060528E" w:rsidRPr="00B71557" w:rsidRDefault="0060528E" w:rsidP="00AF3C34">
            <w:pPr>
              <w:spacing w:after="0" w:line="276" w:lineRule="auto"/>
              <w:jc w:val="right"/>
              <w:rPr>
                <w:rFonts w:cs="Arial"/>
                <w:color w:val="000000"/>
                <w:sz w:val="16"/>
                <w:szCs w:val="16"/>
              </w:rPr>
            </w:pPr>
            <w:r w:rsidRPr="00B71557">
              <w:rPr>
                <w:rFonts w:cs="Arial"/>
                <w:sz w:val="16"/>
                <w:szCs w:val="16"/>
              </w:rPr>
              <w:t>19.123</w:t>
            </w:r>
          </w:p>
        </w:tc>
        <w:tc>
          <w:tcPr>
            <w:tcW w:w="909" w:type="dxa"/>
            <w:shd w:val="clear" w:color="000000" w:fill="FFFFFF"/>
            <w:noWrap/>
            <w:vAlign w:val="center"/>
          </w:tcPr>
          <w:p w14:paraId="1FB111D8" w14:textId="67AD5E8F" w:rsidR="0060528E" w:rsidRPr="00B71557" w:rsidRDefault="0060528E" w:rsidP="00AF3C34">
            <w:pPr>
              <w:spacing w:after="0" w:line="276" w:lineRule="auto"/>
              <w:jc w:val="right"/>
              <w:rPr>
                <w:rFonts w:cs="Arial"/>
                <w:color w:val="000000"/>
                <w:sz w:val="16"/>
                <w:szCs w:val="16"/>
              </w:rPr>
            </w:pPr>
            <w:r w:rsidRPr="00B71557">
              <w:rPr>
                <w:rFonts w:cs="Arial"/>
                <w:sz w:val="16"/>
                <w:szCs w:val="16"/>
              </w:rPr>
              <w:t>21.879</w:t>
            </w:r>
          </w:p>
        </w:tc>
        <w:tc>
          <w:tcPr>
            <w:tcW w:w="974" w:type="dxa"/>
            <w:shd w:val="clear" w:color="000000" w:fill="FFFFFF"/>
            <w:noWrap/>
            <w:vAlign w:val="center"/>
          </w:tcPr>
          <w:p w14:paraId="670656C5" w14:textId="0111828C" w:rsidR="0060528E" w:rsidRPr="00B71557" w:rsidRDefault="0060528E" w:rsidP="00AF3C34">
            <w:pPr>
              <w:spacing w:after="0" w:line="276" w:lineRule="auto"/>
              <w:jc w:val="right"/>
              <w:rPr>
                <w:rFonts w:cs="Arial"/>
                <w:color w:val="000000"/>
                <w:sz w:val="16"/>
                <w:szCs w:val="16"/>
              </w:rPr>
            </w:pPr>
            <w:r w:rsidRPr="00B71557">
              <w:rPr>
                <w:rFonts w:cs="Arial"/>
                <w:sz w:val="16"/>
                <w:szCs w:val="16"/>
              </w:rPr>
              <w:t>22.403</w:t>
            </w:r>
          </w:p>
        </w:tc>
        <w:tc>
          <w:tcPr>
            <w:tcW w:w="713" w:type="dxa"/>
            <w:shd w:val="clear" w:color="000000" w:fill="FFFFFF"/>
            <w:noWrap/>
            <w:vAlign w:val="center"/>
          </w:tcPr>
          <w:p w14:paraId="793BB275" w14:textId="17C9EC3C" w:rsidR="0060528E" w:rsidRPr="00B71557" w:rsidRDefault="0060528E" w:rsidP="00AF3C34">
            <w:pPr>
              <w:spacing w:after="0" w:line="276" w:lineRule="auto"/>
              <w:jc w:val="right"/>
              <w:rPr>
                <w:rFonts w:cs="Arial"/>
                <w:color w:val="000000"/>
                <w:sz w:val="16"/>
                <w:szCs w:val="16"/>
              </w:rPr>
            </w:pPr>
            <w:r w:rsidRPr="00B71557">
              <w:rPr>
                <w:rFonts w:cs="Arial"/>
                <w:sz w:val="16"/>
                <w:szCs w:val="16"/>
              </w:rPr>
              <w:t>14</w:t>
            </w:r>
          </w:p>
        </w:tc>
        <w:tc>
          <w:tcPr>
            <w:tcW w:w="769" w:type="dxa"/>
            <w:shd w:val="clear" w:color="000000" w:fill="FFFFFF"/>
            <w:noWrap/>
            <w:vAlign w:val="center"/>
          </w:tcPr>
          <w:p w14:paraId="023A2C1E" w14:textId="38787631" w:rsidR="0060528E" w:rsidRPr="00B71557" w:rsidRDefault="0060528E" w:rsidP="00AF3C34">
            <w:pPr>
              <w:spacing w:after="0" w:line="276" w:lineRule="auto"/>
              <w:jc w:val="right"/>
              <w:rPr>
                <w:rFonts w:cs="Arial"/>
                <w:color w:val="000000"/>
                <w:sz w:val="16"/>
                <w:szCs w:val="16"/>
              </w:rPr>
            </w:pPr>
            <w:r w:rsidRPr="00B71557">
              <w:rPr>
                <w:rFonts w:cs="Arial"/>
                <w:sz w:val="16"/>
                <w:szCs w:val="16"/>
              </w:rPr>
              <w:t>2</w:t>
            </w:r>
          </w:p>
        </w:tc>
      </w:tr>
      <w:tr w:rsidR="0060528E" w:rsidRPr="00B71557" w14:paraId="7BD0CB55" w14:textId="77777777" w:rsidTr="00790111">
        <w:trPr>
          <w:cantSplit/>
          <w:trHeight w:val="258"/>
          <w:jc w:val="center"/>
        </w:trPr>
        <w:tc>
          <w:tcPr>
            <w:tcW w:w="306" w:type="dxa"/>
            <w:shd w:val="clear" w:color="000000" w:fill="FFFFFF"/>
            <w:vAlign w:val="center"/>
            <w:hideMark/>
          </w:tcPr>
          <w:p w14:paraId="02CF777C"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vAlign w:val="center"/>
            <w:hideMark/>
          </w:tcPr>
          <w:p w14:paraId="6C27902C" w14:textId="77777777" w:rsidR="0060528E" w:rsidRPr="00B71557" w:rsidRDefault="0060528E" w:rsidP="00AF3C34">
            <w:pPr>
              <w:spacing w:after="0" w:line="276" w:lineRule="auto"/>
              <w:jc w:val="left"/>
              <w:rPr>
                <w:rFonts w:cs="Arial"/>
                <w:color w:val="000000"/>
                <w:sz w:val="16"/>
                <w:szCs w:val="16"/>
              </w:rPr>
            </w:pPr>
          </w:p>
        </w:tc>
        <w:tc>
          <w:tcPr>
            <w:tcW w:w="4635" w:type="dxa"/>
            <w:shd w:val="clear" w:color="auto" w:fill="auto"/>
            <w:noWrap/>
            <w:vAlign w:val="center"/>
            <w:hideMark/>
          </w:tcPr>
          <w:p w14:paraId="44D2EB84"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1δ1. Παροχές κύριας και επικουρικής σύνταξης</w:t>
            </w:r>
          </w:p>
        </w:tc>
        <w:tc>
          <w:tcPr>
            <w:tcW w:w="881" w:type="dxa"/>
            <w:shd w:val="clear" w:color="000000" w:fill="FFFFFF"/>
            <w:noWrap/>
            <w:vAlign w:val="center"/>
          </w:tcPr>
          <w:p w14:paraId="6AA1F075" w14:textId="005B0438" w:rsidR="0060528E" w:rsidRPr="00B71557" w:rsidRDefault="0060528E" w:rsidP="00AF3C34">
            <w:pPr>
              <w:spacing w:after="0" w:line="276" w:lineRule="auto"/>
              <w:jc w:val="right"/>
              <w:rPr>
                <w:rFonts w:cs="Arial"/>
                <w:color w:val="000000"/>
                <w:sz w:val="16"/>
                <w:szCs w:val="16"/>
              </w:rPr>
            </w:pPr>
            <w:r w:rsidRPr="00B71557">
              <w:rPr>
                <w:rFonts w:cs="Arial"/>
                <w:sz w:val="16"/>
                <w:szCs w:val="16"/>
              </w:rPr>
              <w:t>13.947</w:t>
            </w:r>
          </w:p>
        </w:tc>
        <w:tc>
          <w:tcPr>
            <w:tcW w:w="909" w:type="dxa"/>
            <w:shd w:val="clear" w:color="000000" w:fill="FFFFFF"/>
            <w:noWrap/>
            <w:vAlign w:val="center"/>
          </w:tcPr>
          <w:p w14:paraId="6192999C" w14:textId="3EBD7C03" w:rsidR="0060528E" w:rsidRPr="00B71557" w:rsidRDefault="0060528E" w:rsidP="00AF3C34">
            <w:pPr>
              <w:spacing w:after="0" w:line="276" w:lineRule="auto"/>
              <w:jc w:val="right"/>
              <w:rPr>
                <w:rFonts w:cs="Arial"/>
                <w:color w:val="000000"/>
                <w:sz w:val="16"/>
                <w:szCs w:val="16"/>
              </w:rPr>
            </w:pPr>
            <w:r w:rsidRPr="00B71557">
              <w:rPr>
                <w:rFonts w:cs="Arial"/>
                <w:sz w:val="16"/>
                <w:szCs w:val="16"/>
              </w:rPr>
              <w:t>14.697</w:t>
            </w:r>
          </w:p>
        </w:tc>
        <w:tc>
          <w:tcPr>
            <w:tcW w:w="974" w:type="dxa"/>
            <w:shd w:val="clear" w:color="000000" w:fill="FFFFFF"/>
            <w:noWrap/>
            <w:vAlign w:val="center"/>
          </w:tcPr>
          <w:p w14:paraId="501BDF18" w14:textId="064B4441" w:rsidR="0060528E" w:rsidRPr="00B71557" w:rsidRDefault="0060528E" w:rsidP="00AF3C34">
            <w:pPr>
              <w:spacing w:after="0" w:line="276" w:lineRule="auto"/>
              <w:jc w:val="right"/>
              <w:rPr>
                <w:rFonts w:cs="Arial"/>
                <w:color w:val="000000"/>
                <w:sz w:val="16"/>
                <w:szCs w:val="16"/>
              </w:rPr>
            </w:pPr>
            <w:r w:rsidRPr="00B71557">
              <w:rPr>
                <w:rFonts w:cs="Arial"/>
                <w:sz w:val="16"/>
                <w:szCs w:val="16"/>
              </w:rPr>
              <w:t>14.957</w:t>
            </w:r>
          </w:p>
        </w:tc>
        <w:tc>
          <w:tcPr>
            <w:tcW w:w="713" w:type="dxa"/>
            <w:shd w:val="clear" w:color="000000" w:fill="FFFFFF"/>
            <w:noWrap/>
            <w:vAlign w:val="center"/>
          </w:tcPr>
          <w:p w14:paraId="584A8B5C" w14:textId="10862637" w:rsidR="0060528E" w:rsidRPr="00B71557" w:rsidRDefault="0060528E" w:rsidP="00AF3C34">
            <w:pPr>
              <w:spacing w:after="0" w:line="276" w:lineRule="auto"/>
              <w:jc w:val="right"/>
              <w:rPr>
                <w:rFonts w:cs="Arial"/>
                <w:color w:val="000000"/>
                <w:sz w:val="16"/>
                <w:szCs w:val="16"/>
              </w:rPr>
            </w:pPr>
            <w:r w:rsidRPr="00B71557">
              <w:rPr>
                <w:rFonts w:cs="Arial"/>
                <w:sz w:val="16"/>
                <w:szCs w:val="16"/>
              </w:rPr>
              <w:t>5</w:t>
            </w:r>
          </w:p>
        </w:tc>
        <w:tc>
          <w:tcPr>
            <w:tcW w:w="769" w:type="dxa"/>
            <w:shd w:val="clear" w:color="000000" w:fill="FFFFFF"/>
            <w:noWrap/>
            <w:vAlign w:val="center"/>
          </w:tcPr>
          <w:p w14:paraId="3ED13AFD" w14:textId="0574D317" w:rsidR="0060528E" w:rsidRPr="00B71557" w:rsidRDefault="0060528E" w:rsidP="00AF3C34">
            <w:pPr>
              <w:spacing w:after="0" w:line="276" w:lineRule="auto"/>
              <w:jc w:val="right"/>
              <w:rPr>
                <w:rFonts w:cs="Arial"/>
                <w:color w:val="000000"/>
                <w:sz w:val="16"/>
                <w:szCs w:val="16"/>
              </w:rPr>
            </w:pPr>
            <w:r w:rsidRPr="00B71557">
              <w:rPr>
                <w:rFonts w:cs="Arial"/>
                <w:sz w:val="16"/>
                <w:szCs w:val="16"/>
              </w:rPr>
              <w:t>2</w:t>
            </w:r>
          </w:p>
        </w:tc>
      </w:tr>
      <w:tr w:rsidR="0060528E" w:rsidRPr="00B71557" w14:paraId="59ABC888" w14:textId="77777777" w:rsidTr="00790111">
        <w:trPr>
          <w:cantSplit/>
          <w:trHeight w:val="270"/>
          <w:jc w:val="center"/>
        </w:trPr>
        <w:tc>
          <w:tcPr>
            <w:tcW w:w="306" w:type="dxa"/>
            <w:shd w:val="clear" w:color="000000" w:fill="FFFFFF"/>
            <w:vAlign w:val="center"/>
            <w:hideMark/>
          </w:tcPr>
          <w:p w14:paraId="14156A67"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vAlign w:val="center"/>
            <w:hideMark/>
          </w:tcPr>
          <w:p w14:paraId="149FA1E6" w14:textId="77777777" w:rsidR="0060528E" w:rsidRPr="00B71557" w:rsidRDefault="0060528E" w:rsidP="00AF3C34">
            <w:pPr>
              <w:spacing w:after="0" w:line="276" w:lineRule="auto"/>
              <w:jc w:val="left"/>
              <w:rPr>
                <w:rFonts w:cs="Arial"/>
                <w:color w:val="000000"/>
                <w:sz w:val="16"/>
                <w:szCs w:val="16"/>
              </w:rPr>
            </w:pPr>
          </w:p>
        </w:tc>
        <w:tc>
          <w:tcPr>
            <w:tcW w:w="4635" w:type="dxa"/>
            <w:shd w:val="clear" w:color="000000" w:fill="FFFFFF"/>
            <w:vAlign w:val="center"/>
            <w:hideMark/>
          </w:tcPr>
          <w:p w14:paraId="28C48A0D" w14:textId="72797B18"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1δ2. Παροχές σε ανέργους (ΔΥΠΑ)</w:t>
            </w:r>
          </w:p>
        </w:tc>
        <w:tc>
          <w:tcPr>
            <w:tcW w:w="881" w:type="dxa"/>
            <w:shd w:val="clear" w:color="000000" w:fill="FFFFFF"/>
            <w:noWrap/>
            <w:vAlign w:val="center"/>
          </w:tcPr>
          <w:p w14:paraId="16F0D3F7" w14:textId="6DD2DB4A" w:rsidR="0060528E" w:rsidRPr="00B71557" w:rsidRDefault="0060528E" w:rsidP="00AF3C34">
            <w:pPr>
              <w:spacing w:after="0" w:line="276" w:lineRule="auto"/>
              <w:jc w:val="right"/>
              <w:rPr>
                <w:rFonts w:cs="Arial"/>
                <w:color w:val="000000"/>
                <w:sz w:val="16"/>
                <w:szCs w:val="16"/>
              </w:rPr>
            </w:pPr>
            <w:r w:rsidRPr="00B71557">
              <w:rPr>
                <w:rFonts w:cs="Arial"/>
                <w:sz w:val="16"/>
                <w:szCs w:val="16"/>
              </w:rPr>
              <w:t>938</w:t>
            </w:r>
          </w:p>
        </w:tc>
        <w:tc>
          <w:tcPr>
            <w:tcW w:w="909" w:type="dxa"/>
            <w:shd w:val="clear" w:color="000000" w:fill="FFFFFF"/>
            <w:noWrap/>
            <w:vAlign w:val="center"/>
          </w:tcPr>
          <w:p w14:paraId="300069E5" w14:textId="4D33A017" w:rsidR="0060528E" w:rsidRPr="00B71557" w:rsidRDefault="0060528E" w:rsidP="00AF3C34">
            <w:pPr>
              <w:spacing w:after="0" w:line="276" w:lineRule="auto"/>
              <w:jc w:val="right"/>
              <w:rPr>
                <w:rFonts w:cs="Arial"/>
                <w:color w:val="000000"/>
                <w:sz w:val="16"/>
                <w:szCs w:val="16"/>
              </w:rPr>
            </w:pPr>
            <w:r w:rsidRPr="00B71557">
              <w:rPr>
                <w:rFonts w:cs="Arial"/>
                <w:sz w:val="16"/>
                <w:szCs w:val="16"/>
              </w:rPr>
              <w:t>1.061</w:t>
            </w:r>
          </w:p>
        </w:tc>
        <w:tc>
          <w:tcPr>
            <w:tcW w:w="974" w:type="dxa"/>
            <w:shd w:val="clear" w:color="000000" w:fill="FFFFFF"/>
            <w:noWrap/>
            <w:vAlign w:val="center"/>
          </w:tcPr>
          <w:p w14:paraId="1AEB54C1" w14:textId="50917616" w:rsidR="0060528E" w:rsidRPr="00B71557" w:rsidRDefault="0060528E" w:rsidP="00AF3C34">
            <w:pPr>
              <w:spacing w:after="0" w:line="276" w:lineRule="auto"/>
              <w:jc w:val="right"/>
              <w:rPr>
                <w:rFonts w:cs="Arial"/>
                <w:color w:val="000000"/>
                <w:sz w:val="16"/>
                <w:szCs w:val="16"/>
              </w:rPr>
            </w:pPr>
            <w:r w:rsidRPr="00B71557">
              <w:rPr>
                <w:rFonts w:cs="Arial"/>
                <w:sz w:val="16"/>
                <w:szCs w:val="16"/>
              </w:rPr>
              <w:t>770</w:t>
            </w:r>
          </w:p>
        </w:tc>
        <w:tc>
          <w:tcPr>
            <w:tcW w:w="713" w:type="dxa"/>
            <w:shd w:val="clear" w:color="000000" w:fill="FFFFFF"/>
            <w:noWrap/>
            <w:vAlign w:val="center"/>
          </w:tcPr>
          <w:p w14:paraId="511F2C6E" w14:textId="776BFAC3" w:rsidR="0060528E" w:rsidRPr="00B71557" w:rsidRDefault="0060528E" w:rsidP="00AF3C34">
            <w:pPr>
              <w:spacing w:after="0" w:line="276" w:lineRule="auto"/>
              <w:jc w:val="right"/>
              <w:rPr>
                <w:rFonts w:cs="Arial"/>
                <w:color w:val="000000"/>
                <w:sz w:val="16"/>
                <w:szCs w:val="16"/>
              </w:rPr>
            </w:pPr>
            <w:r w:rsidRPr="00B71557">
              <w:rPr>
                <w:rFonts w:cs="Arial"/>
                <w:sz w:val="16"/>
                <w:szCs w:val="16"/>
              </w:rPr>
              <w:t>13</w:t>
            </w:r>
          </w:p>
        </w:tc>
        <w:tc>
          <w:tcPr>
            <w:tcW w:w="769" w:type="dxa"/>
            <w:shd w:val="clear" w:color="000000" w:fill="FFFFFF"/>
            <w:noWrap/>
            <w:vAlign w:val="center"/>
          </w:tcPr>
          <w:p w14:paraId="33F85A45" w14:textId="048003B4" w:rsidR="0060528E" w:rsidRPr="00B71557" w:rsidRDefault="0060528E" w:rsidP="00AF3C34">
            <w:pPr>
              <w:spacing w:after="0" w:line="276" w:lineRule="auto"/>
              <w:jc w:val="right"/>
              <w:rPr>
                <w:rFonts w:cs="Arial"/>
                <w:color w:val="000000"/>
                <w:sz w:val="16"/>
                <w:szCs w:val="16"/>
              </w:rPr>
            </w:pPr>
            <w:r w:rsidRPr="00B71557">
              <w:rPr>
                <w:rFonts w:cs="Arial"/>
                <w:sz w:val="16"/>
                <w:szCs w:val="16"/>
              </w:rPr>
              <w:t>-27</w:t>
            </w:r>
          </w:p>
        </w:tc>
      </w:tr>
      <w:tr w:rsidR="0060528E" w:rsidRPr="00B71557" w14:paraId="04ECE093" w14:textId="77777777" w:rsidTr="00790111">
        <w:trPr>
          <w:cantSplit/>
          <w:trHeight w:val="270"/>
          <w:jc w:val="center"/>
        </w:trPr>
        <w:tc>
          <w:tcPr>
            <w:tcW w:w="306" w:type="dxa"/>
            <w:shd w:val="clear" w:color="000000" w:fill="FFFFFF"/>
            <w:vAlign w:val="center"/>
            <w:hideMark/>
          </w:tcPr>
          <w:p w14:paraId="2E38DD7A"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vAlign w:val="center"/>
            <w:hideMark/>
          </w:tcPr>
          <w:p w14:paraId="56956384" w14:textId="77777777" w:rsidR="0060528E" w:rsidRPr="00B71557" w:rsidRDefault="0060528E" w:rsidP="00AF3C34">
            <w:pPr>
              <w:spacing w:after="0" w:line="276" w:lineRule="auto"/>
              <w:jc w:val="left"/>
              <w:rPr>
                <w:rFonts w:cs="Arial"/>
                <w:color w:val="000000"/>
                <w:sz w:val="16"/>
                <w:szCs w:val="16"/>
              </w:rPr>
            </w:pPr>
          </w:p>
        </w:tc>
        <w:tc>
          <w:tcPr>
            <w:tcW w:w="4635" w:type="dxa"/>
            <w:shd w:val="clear" w:color="000000" w:fill="FFFFFF"/>
            <w:vAlign w:val="center"/>
            <w:hideMark/>
          </w:tcPr>
          <w:p w14:paraId="71CBC437" w14:textId="7C972F88"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1δ3. Παροχές υγείας (ΕΟΠΥΥ)</w:t>
            </w:r>
          </w:p>
        </w:tc>
        <w:tc>
          <w:tcPr>
            <w:tcW w:w="881" w:type="dxa"/>
            <w:shd w:val="clear" w:color="auto" w:fill="auto"/>
            <w:noWrap/>
            <w:vAlign w:val="center"/>
          </w:tcPr>
          <w:p w14:paraId="313366B8" w14:textId="05BC336E" w:rsidR="0060528E" w:rsidRPr="00B71557" w:rsidRDefault="0060528E" w:rsidP="00AF3C34">
            <w:pPr>
              <w:spacing w:after="0" w:line="276" w:lineRule="auto"/>
              <w:jc w:val="right"/>
              <w:rPr>
                <w:rFonts w:cs="Arial"/>
                <w:color w:val="000000"/>
                <w:sz w:val="16"/>
                <w:szCs w:val="16"/>
              </w:rPr>
            </w:pPr>
            <w:r w:rsidRPr="00B71557">
              <w:rPr>
                <w:rFonts w:cs="Arial"/>
                <w:sz w:val="16"/>
                <w:szCs w:val="16"/>
              </w:rPr>
              <w:t>402</w:t>
            </w:r>
          </w:p>
        </w:tc>
        <w:tc>
          <w:tcPr>
            <w:tcW w:w="909" w:type="dxa"/>
            <w:shd w:val="clear" w:color="auto" w:fill="auto"/>
            <w:noWrap/>
            <w:vAlign w:val="center"/>
          </w:tcPr>
          <w:p w14:paraId="1BF87AAF" w14:textId="200DA3C8" w:rsidR="0060528E" w:rsidRPr="00B71557" w:rsidRDefault="0060528E" w:rsidP="00AF3C34">
            <w:pPr>
              <w:spacing w:after="0" w:line="276" w:lineRule="auto"/>
              <w:jc w:val="right"/>
              <w:rPr>
                <w:rFonts w:cs="Arial"/>
                <w:color w:val="000000"/>
                <w:sz w:val="16"/>
                <w:szCs w:val="16"/>
              </w:rPr>
            </w:pPr>
            <w:r w:rsidRPr="00B71557">
              <w:rPr>
                <w:rFonts w:cs="Arial"/>
                <w:sz w:val="16"/>
                <w:szCs w:val="16"/>
              </w:rPr>
              <w:t>1.971</w:t>
            </w:r>
          </w:p>
        </w:tc>
        <w:tc>
          <w:tcPr>
            <w:tcW w:w="974" w:type="dxa"/>
            <w:shd w:val="clear" w:color="auto" w:fill="auto"/>
            <w:noWrap/>
            <w:vAlign w:val="center"/>
          </w:tcPr>
          <w:p w14:paraId="26875D3F" w14:textId="4650F890" w:rsidR="0060528E" w:rsidRPr="00B71557" w:rsidRDefault="0060528E" w:rsidP="00AF3C34">
            <w:pPr>
              <w:spacing w:after="0" w:line="276" w:lineRule="auto"/>
              <w:jc w:val="right"/>
              <w:rPr>
                <w:rFonts w:cs="Arial"/>
                <w:color w:val="000000"/>
                <w:sz w:val="16"/>
                <w:szCs w:val="16"/>
              </w:rPr>
            </w:pPr>
            <w:r w:rsidRPr="00B71557">
              <w:rPr>
                <w:rFonts w:cs="Arial"/>
                <w:sz w:val="16"/>
                <w:szCs w:val="16"/>
              </w:rPr>
              <w:t>1.901</w:t>
            </w:r>
          </w:p>
        </w:tc>
        <w:tc>
          <w:tcPr>
            <w:tcW w:w="713" w:type="dxa"/>
            <w:shd w:val="clear" w:color="auto" w:fill="auto"/>
            <w:noWrap/>
            <w:vAlign w:val="center"/>
          </w:tcPr>
          <w:p w14:paraId="32111347" w14:textId="2B5C7C0A" w:rsidR="0060528E" w:rsidRPr="00B71557" w:rsidRDefault="0060528E" w:rsidP="00AF3C34">
            <w:pPr>
              <w:spacing w:after="0" w:line="276" w:lineRule="auto"/>
              <w:jc w:val="right"/>
              <w:rPr>
                <w:rFonts w:cs="Arial"/>
                <w:color w:val="000000"/>
                <w:sz w:val="16"/>
                <w:szCs w:val="16"/>
              </w:rPr>
            </w:pPr>
            <w:r w:rsidRPr="00B71557">
              <w:rPr>
                <w:rFonts w:cs="Arial"/>
                <w:sz w:val="16"/>
                <w:szCs w:val="16"/>
              </w:rPr>
              <w:t>390</w:t>
            </w:r>
          </w:p>
        </w:tc>
        <w:tc>
          <w:tcPr>
            <w:tcW w:w="769" w:type="dxa"/>
            <w:shd w:val="clear" w:color="auto" w:fill="auto"/>
            <w:noWrap/>
            <w:vAlign w:val="center"/>
          </w:tcPr>
          <w:p w14:paraId="541D5904" w14:textId="160F494D" w:rsidR="0060528E" w:rsidRPr="00B71557" w:rsidRDefault="0060528E" w:rsidP="00AF3C34">
            <w:pPr>
              <w:spacing w:after="0" w:line="276" w:lineRule="auto"/>
              <w:jc w:val="right"/>
              <w:rPr>
                <w:rFonts w:cs="Arial"/>
                <w:color w:val="000000"/>
                <w:sz w:val="16"/>
                <w:szCs w:val="16"/>
              </w:rPr>
            </w:pPr>
            <w:r w:rsidRPr="00B71557">
              <w:rPr>
                <w:rFonts w:cs="Arial"/>
                <w:sz w:val="16"/>
                <w:szCs w:val="16"/>
              </w:rPr>
              <w:t>-4</w:t>
            </w:r>
          </w:p>
        </w:tc>
      </w:tr>
      <w:tr w:rsidR="0060528E" w:rsidRPr="00B71557" w14:paraId="4A682875" w14:textId="77777777" w:rsidTr="00790111">
        <w:trPr>
          <w:cantSplit/>
          <w:trHeight w:val="258"/>
          <w:jc w:val="center"/>
        </w:trPr>
        <w:tc>
          <w:tcPr>
            <w:tcW w:w="306" w:type="dxa"/>
            <w:shd w:val="clear" w:color="000000" w:fill="FFFFFF"/>
            <w:vAlign w:val="center"/>
            <w:hideMark/>
          </w:tcPr>
          <w:p w14:paraId="0E700D05"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vAlign w:val="center"/>
            <w:hideMark/>
          </w:tcPr>
          <w:p w14:paraId="7BB03355" w14:textId="77777777" w:rsidR="0060528E" w:rsidRPr="00B71557" w:rsidRDefault="0060528E" w:rsidP="00AF3C34">
            <w:pPr>
              <w:spacing w:after="0" w:line="276" w:lineRule="auto"/>
              <w:jc w:val="left"/>
              <w:rPr>
                <w:rFonts w:cs="Arial"/>
                <w:color w:val="000000"/>
                <w:sz w:val="16"/>
                <w:szCs w:val="16"/>
              </w:rPr>
            </w:pPr>
          </w:p>
        </w:tc>
        <w:tc>
          <w:tcPr>
            <w:tcW w:w="4635" w:type="dxa"/>
            <w:shd w:val="clear" w:color="000000" w:fill="FFFFFF"/>
            <w:vAlign w:val="center"/>
            <w:hideMark/>
          </w:tcPr>
          <w:p w14:paraId="04AA947D" w14:textId="2FF47599"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1δ4. Παροχές προνοιακού χαρακτήρα</w:t>
            </w:r>
          </w:p>
        </w:tc>
        <w:tc>
          <w:tcPr>
            <w:tcW w:w="881" w:type="dxa"/>
            <w:shd w:val="clear" w:color="auto" w:fill="auto"/>
            <w:noWrap/>
            <w:vAlign w:val="center"/>
          </w:tcPr>
          <w:p w14:paraId="1F0F2421" w14:textId="637BD541" w:rsidR="0060528E" w:rsidRPr="00B71557" w:rsidRDefault="0060528E" w:rsidP="00AF3C34">
            <w:pPr>
              <w:spacing w:after="0" w:line="276" w:lineRule="auto"/>
              <w:jc w:val="right"/>
              <w:rPr>
                <w:rFonts w:cs="Arial"/>
                <w:color w:val="000000"/>
                <w:sz w:val="16"/>
                <w:szCs w:val="16"/>
              </w:rPr>
            </w:pPr>
            <w:r w:rsidRPr="00B71557">
              <w:rPr>
                <w:rFonts w:cs="Arial"/>
                <w:sz w:val="16"/>
                <w:szCs w:val="16"/>
              </w:rPr>
              <w:t>3.202</w:t>
            </w:r>
          </w:p>
        </w:tc>
        <w:tc>
          <w:tcPr>
            <w:tcW w:w="909" w:type="dxa"/>
            <w:shd w:val="clear" w:color="auto" w:fill="auto"/>
            <w:noWrap/>
            <w:vAlign w:val="center"/>
          </w:tcPr>
          <w:p w14:paraId="22E9B99E" w14:textId="20B106FE" w:rsidR="0060528E" w:rsidRPr="00B71557" w:rsidRDefault="0060528E" w:rsidP="00AF3C34">
            <w:pPr>
              <w:spacing w:after="0" w:line="276" w:lineRule="auto"/>
              <w:jc w:val="right"/>
              <w:rPr>
                <w:rFonts w:cs="Arial"/>
                <w:color w:val="000000"/>
                <w:sz w:val="16"/>
                <w:szCs w:val="16"/>
              </w:rPr>
            </w:pPr>
            <w:r w:rsidRPr="00B71557">
              <w:rPr>
                <w:rFonts w:cs="Arial"/>
                <w:sz w:val="16"/>
                <w:szCs w:val="16"/>
              </w:rPr>
              <w:t>3.228</w:t>
            </w:r>
          </w:p>
        </w:tc>
        <w:tc>
          <w:tcPr>
            <w:tcW w:w="974" w:type="dxa"/>
            <w:shd w:val="clear" w:color="auto" w:fill="auto"/>
            <w:noWrap/>
            <w:vAlign w:val="center"/>
          </w:tcPr>
          <w:p w14:paraId="7B829BA4" w14:textId="4265F2B9" w:rsidR="0060528E" w:rsidRPr="00B71557" w:rsidRDefault="0060528E" w:rsidP="00AF3C34">
            <w:pPr>
              <w:spacing w:after="0" w:line="276" w:lineRule="auto"/>
              <w:jc w:val="right"/>
              <w:rPr>
                <w:rFonts w:cs="Arial"/>
                <w:color w:val="000000"/>
                <w:sz w:val="16"/>
                <w:szCs w:val="16"/>
              </w:rPr>
            </w:pPr>
            <w:r w:rsidRPr="00B71557">
              <w:rPr>
                <w:rFonts w:cs="Arial"/>
                <w:sz w:val="16"/>
                <w:szCs w:val="16"/>
              </w:rPr>
              <w:t>3.272</w:t>
            </w:r>
          </w:p>
        </w:tc>
        <w:tc>
          <w:tcPr>
            <w:tcW w:w="713" w:type="dxa"/>
            <w:shd w:val="clear" w:color="auto" w:fill="auto"/>
            <w:noWrap/>
            <w:vAlign w:val="center"/>
          </w:tcPr>
          <w:p w14:paraId="5C99DA16" w14:textId="5C1D82BD" w:rsidR="0060528E" w:rsidRPr="00B71557" w:rsidRDefault="0060528E" w:rsidP="00AF3C34">
            <w:pPr>
              <w:spacing w:after="0" w:line="276" w:lineRule="auto"/>
              <w:jc w:val="right"/>
              <w:rPr>
                <w:rFonts w:cs="Arial"/>
                <w:color w:val="000000"/>
                <w:sz w:val="16"/>
                <w:szCs w:val="16"/>
              </w:rPr>
            </w:pPr>
            <w:r w:rsidRPr="00B71557">
              <w:rPr>
                <w:rFonts w:cs="Arial"/>
                <w:sz w:val="16"/>
                <w:szCs w:val="16"/>
              </w:rPr>
              <w:t>1</w:t>
            </w:r>
          </w:p>
        </w:tc>
        <w:tc>
          <w:tcPr>
            <w:tcW w:w="769" w:type="dxa"/>
            <w:shd w:val="clear" w:color="auto" w:fill="auto"/>
            <w:noWrap/>
            <w:vAlign w:val="center"/>
          </w:tcPr>
          <w:p w14:paraId="15507368" w14:textId="732D7D33" w:rsidR="0060528E" w:rsidRPr="00B71557" w:rsidRDefault="0060528E" w:rsidP="00AF3C34">
            <w:pPr>
              <w:spacing w:after="0" w:line="276" w:lineRule="auto"/>
              <w:jc w:val="right"/>
              <w:rPr>
                <w:rFonts w:cs="Arial"/>
                <w:color w:val="000000"/>
                <w:sz w:val="16"/>
                <w:szCs w:val="16"/>
              </w:rPr>
            </w:pPr>
            <w:r w:rsidRPr="00B71557">
              <w:rPr>
                <w:rFonts w:cs="Arial"/>
                <w:sz w:val="16"/>
                <w:szCs w:val="16"/>
              </w:rPr>
              <w:t>1</w:t>
            </w:r>
          </w:p>
        </w:tc>
      </w:tr>
      <w:tr w:rsidR="0060528E" w:rsidRPr="00B71557" w14:paraId="7A5DA021" w14:textId="77777777" w:rsidTr="00790111">
        <w:trPr>
          <w:cantSplit/>
          <w:trHeight w:val="270"/>
          <w:jc w:val="center"/>
        </w:trPr>
        <w:tc>
          <w:tcPr>
            <w:tcW w:w="306" w:type="dxa"/>
            <w:shd w:val="clear" w:color="000000" w:fill="FFFFFF"/>
            <w:vAlign w:val="center"/>
            <w:hideMark/>
          </w:tcPr>
          <w:p w14:paraId="18E4FBE1"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vAlign w:val="center"/>
            <w:hideMark/>
          </w:tcPr>
          <w:p w14:paraId="239FA561" w14:textId="77777777" w:rsidR="0060528E" w:rsidRPr="00B71557" w:rsidRDefault="0060528E" w:rsidP="00AF3C34">
            <w:pPr>
              <w:spacing w:after="0" w:line="276" w:lineRule="auto"/>
              <w:jc w:val="left"/>
              <w:rPr>
                <w:rFonts w:cs="Arial"/>
                <w:color w:val="000000"/>
                <w:sz w:val="16"/>
                <w:szCs w:val="16"/>
              </w:rPr>
            </w:pPr>
          </w:p>
        </w:tc>
        <w:tc>
          <w:tcPr>
            <w:tcW w:w="4635" w:type="dxa"/>
            <w:shd w:val="clear" w:color="000000" w:fill="FFFFFF"/>
            <w:vAlign w:val="center"/>
            <w:hideMark/>
          </w:tcPr>
          <w:p w14:paraId="7403DEC3" w14:textId="10540609"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1δ5. Λειτουργικές και έκτακτες δαπάνες</w:t>
            </w:r>
          </w:p>
        </w:tc>
        <w:tc>
          <w:tcPr>
            <w:tcW w:w="881" w:type="dxa"/>
            <w:shd w:val="clear" w:color="000000" w:fill="FFFFFF"/>
            <w:noWrap/>
            <w:vAlign w:val="center"/>
          </w:tcPr>
          <w:p w14:paraId="5385E4E3" w14:textId="332906FD" w:rsidR="0060528E" w:rsidRPr="00B71557" w:rsidRDefault="0060528E" w:rsidP="00AF3C34">
            <w:pPr>
              <w:spacing w:after="0" w:line="276" w:lineRule="auto"/>
              <w:jc w:val="right"/>
              <w:rPr>
                <w:rFonts w:cs="Arial"/>
                <w:color w:val="000000"/>
                <w:sz w:val="16"/>
                <w:szCs w:val="16"/>
              </w:rPr>
            </w:pPr>
            <w:r w:rsidRPr="00B71557">
              <w:rPr>
                <w:rFonts w:cs="Arial"/>
                <w:sz w:val="16"/>
                <w:szCs w:val="16"/>
              </w:rPr>
              <w:t>18</w:t>
            </w:r>
          </w:p>
        </w:tc>
        <w:tc>
          <w:tcPr>
            <w:tcW w:w="909" w:type="dxa"/>
            <w:shd w:val="clear" w:color="000000" w:fill="FFFFFF"/>
            <w:noWrap/>
            <w:vAlign w:val="center"/>
          </w:tcPr>
          <w:p w14:paraId="52AAB0A8" w14:textId="47FDDC52" w:rsidR="0060528E" w:rsidRPr="00B71557" w:rsidRDefault="0060528E" w:rsidP="00AF3C34">
            <w:pPr>
              <w:spacing w:after="0" w:line="276" w:lineRule="auto"/>
              <w:jc w:val="right"/>
              <w:rPr>
                <w:rFonts w:cs="Arial"/>
                <w:color w:val="000000"/>
                <w:sz w:val="16"/>
                <w:szCs w:val="16"/>
              </w:rPr>
            </w:pPr>
            <w:r w:rsidRPr="00B71557">
              <w:rPr>
                <w:rFonts w:cs="Arial"/>
                <w:sz w:val="16"/>
                <w:szCs w:val="16"/>
              </w:rPr>
              <w:t>21</w:t>
            </w:r>
          </w:p>
        </w:tc>
        <w:tc>
          <w:tcPr>
            <w:tcW w:w="974" w:type="dxa"/>
            <w:shd w:val="clear" w:color="000000" w:fill="FFFFFF"/>
            <w:noWrap/>
            <w:vAlign w:val="center"/>
          </w:tcPr>
          <w:p w14:paraId="7947EEDA" w14:textId="70FA0968" w:rsidR="0060528E" w:rsidRPr="00B71557" w:rsidRDefault="0060528E" w:rsidP="00AF3C34">
            <w:pPr>
              <w:spacing w:after="0" w:line="276" w:lineRule="auto"/>
              <w:jc w:val="right"/>
              <w:rPr>
                <w:rFonts w:cs="Arial"/>
                <w:color w:val="000000"/>
                <w:sz w:val="16"/>
                <w:szCs w:val="16"/>
              </w:rPr>
            </w:pPr>
            <w:r w:rsidRPr="00B71557">
              <w:rPr>
                <w:rFonts w:cs="Arial"/>
                <w:sz w:val="16"/>
                <w:szCs w:val="16"/>
              </w:rPr>
              <w:t>21</w:t>
            </w:r>
          </w:p>
        </w:tc>
        <w:tc>
          <w:tcPr>
            <w:tcW w:w="713" w:type="dxa"/>
            <w:shd w:val="clear" w:color="000000" w:fill="FFFFFF"/>
            <w:noWrap/>
            <w:vAlign w:val="center"/>
          </w:tcPr>
          <w:p w14:paraId="57A30885" w14:textId="4347CFE5" w:rsidR="0060528E" w:rsidRPr="00B71557" w:rsidRDefault="0060528E" w:rsidP="00AF3C34">
            <w:pPr>
              <w:spacing w:after="0" w:line="276" w:lineRule="auto"/>
              <w:jc w:val="right"/>
              <w:rPr>
                <w:rFonts w:cs="Arial"/>
                <w:color w:val="000000"/>
                <w:sz w:val="16"/>
                <w:szCs w:val="16"/>
              </w:rPr>
            </w:pPr>
            <w:r w:rsidRPr="00B71557">
              <w:rPr>
                <w:rFonts w:cs="Arial"/>
                <w:sz w:val="16"/>
                <w:szCs w:val="16"/>
              </w:rPr>
              <w:t>17</w:t>
            </w:r>
          </w:p>
        </w:tc>
        <w:tc>
          <w:tcPr>
            <w:tcW w:w="769" w:type="dxa"/>
            <w:shd w:val="clear" w:color="000000" w:fill="FFFFFF"/>
            <w:noWrap/>
            <w:vAlign w:val="center"/>
          </w:tcPr>
          <w:p w14:paraId="248AC2BD" w14:textId="34FF5A6F"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r>
      <w:tr w:rsidR="0060528E" w:rsidRPr="00B71557" w14:paraId="5FF0E416" w14:textId="77777777" w:rsidTr="00790111">
        <w:trPr>
          <w:cantSplit/>
          <w:trHeight w:val="270"/>
          <w:jc w:val="center"/>
        </w:trPr>
        <w:tc>
          <w:tcPr>
            <w:tcW w:w="306" w:type="dxa"/>
            <w:shd w:val="clear" w:color="000000" w:fill="FFFFFF"/>
            <w:vAlign w:val="center"/>
            <w:hideMark/>
          </w:tcPr>
          <w:p w14:paraId="74D4F929"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noWrap/>
            <w:vAlign w:val="center"/>
            <w:hideMark/>
          </w:tcPr>
          <w:p w14:paraId="29679EBE" w14:textId="77777777" w:rsidR="0060528E" w:rsidRPr="00B71557" w:rsidRDefault="0060528E" w:rsidP="00AF3C34">
            <w:pPr>
              <w:spacing w:after="0" w:line="276" w:lineRule="auto"/>
              <w:jc w:val="left"/>
              <w:rPr>
                <w:rFonts w:cs="Arial"/>
                <w:color w:val="000000"/>
                <w:sz w:val="16"/>
                <w:szCs w:val="16"/>
              </w:rPr>
            </w:pPr>
          </w:p>
        </w:tc>
        <w:tc>
          <w:tcPr>
            <w:tcW w:w="4635" w:type="dxa"/>
            <w:shd w:val="clear" w:color="000000" w:fill="FFFFFF"/>
            <w:vAlign w:val="center"/>
            <w:hideMark/>
          </w:tcPr>
          <w:p w14:paraId="0741BAD0" w14:textId="07785E32"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1δ6. Αντιπαροχή του άρθρου 34 του ν.2773/1999</w:t>
            </w:r>
          </w:p>
        </w:tc>
        <w:tc>
          <w:tcPr>
            <w:tcW w:w="881" w:type="dxa"/>
            <w:shd w:val="clear" w:color="000000" w:fill="FFFFFF"/>
            <w:noWrap/>
            <w:vAlign w:val="center"/>
          </w:tcPr>
          <w:p w14:paraId="7FA88497" w14:textId="433D30C9" w:rsidR="0060528E" w:rsidRPr="00B71557" w:rsidRDefault="0060528E" w:rsidP="00AF3C34">
            <w:pPr>
              <w:spacing w:after="0" w:line="276" w:lineRule="auto"/>
              <w:jc w:val="right"/>
              <w:rPr>
                <w:rFonts w:cs="Arial"/>
                <w:color w:val="000000"/>
                <w:sz w:val="16"/>
                <w:szCs w:val="16"/>
              </w:rPr>
            </w:pPr>
            <w:r w:rsidRPr="00B71557">
              <w:rPr>
                <w:rFonts w:cs="Arial"/>
                <w:sz w:val="16"/>
                <w:szCs w:val="16"/>
              </w:rPr>
              <w:t>564</w:t>
            </w:r>
          </w:p>
        </w:tc>
        <w:tc>
          <w:tcPr>
            <w:tcW w:w="909" w:type="dxa"/>
            <w:shd w:val="clear" w:color="000000" w:fill="FFFFFF"/>
            <w:noWrap/>
            <w:vAlign w:val="center"/>
          </w:tcPr>
          <w:p w14:paraId="7EF39C8C" w14:textId="1D856E68" w:rsidR="0060528E" w:rsidRPr="00B71557" w:rsidRDefault="0060528E" w:rsidP="00AF3C34">
            <w:pPr>
              <w:spacing w:after="0" w:line="276" w:lineRule="auto"/>
              <w:jc w:val="right"/>
              <w:rPr>
                <w:rFonts w:cs="Arial"/>
                <w:color w:val="000000"/>
                <w:sz w:val="16"/>
                <w:szCs w:val="16"/>
              </w:rPr>
            </w:pPr>
            <w:r w:rsidRPr="00B71557">
              <w:rPr>
                <w:rFonts w:cs="Arial"/>
                <w:sz w:val="16"/>
                <w:szCs w:val="16"/>
              </w:rPr>
              <w:t>579</w:t>
            </w:r>
          </w:p>
        </w:tc>
        <w:tc>
          <w:tcPr>
            <w:tcW w:w="974" w:type="dxa"/>
            <w:shd w:val="clear" w:color="000000" w:fill="FFFFFF"/>
            <w:noWrap/>
            <w:vAlign w:val="center"/>
          </w:tcPr>
          <w:p w14:paraId="62C9A543" w14:textId="22E94807" w:rsidR="0060528E" w:rsidRPr="00B71557" w:rsidRDefault="0060528E" w:rsidP="00AF3C34">
            <w:pPr>
              <w:spacing w:after="0" w:line="276" w:lineRule="auto"/>
              <w:jc w:val="right"/>
              <w:rPr>
                <w:rFonts w:cs="Arial"/>
                <w:color w:val="000000"/>
                <w:sz w:val="16"/>
                <w:szCs w:val="16"/>
              </w:rPr>
            </w:pPr>
            <w:r w:rsidRPr="00B71557">
              <w:rPr>
                <w:rFonts w:cs="Arial"/>
                <w:sz w:val="16"/>
                <w:szCs w:val="16"/>
              </w:rPr>
              <w:t>579</w:t>
            </w:r>
          </w:p>
        </w:tc>
        <w:tc>
          <w:tcPr>
            <w:tcW w:w="713" w:type="dxa"/>
            <w:shd w:val="clear" w:color="000000" w:fill="FFFFFF"/>
            <w:noWrap/>
            <w:vAlign w:val="center"/>
          </w:tcPr>
          <w:p w14:paraId="6CD5E5A9" w14:textId="6A7CE984" w:rsidR="0060528E" w:rsidRPr="00B71557" w:rsidRDefault="0060528E" w:rsidP="00AF3C34">
            <w:pPr>
              <w:spacing w:after="0" w:line="276" w:lineRule="auto"/>
              <w:jc w:val="right"/>
              <w:rPr>
                <w:rFonts w:cs="Arial"/>
                <w:color w:val="000000"/>
                <w:sz w:val="16"/>
                <w:szCs w:val="16"/>
              </w:rPr>
            </w:pPr>
            <w:r w:rsidRPr="00B71557">
              <w:rPr>
                <w:rFonts w:cs="Arial"/>
                <w:sz w:val="16"/>
                <w:szCs w:val="16"/>
              </w:rPr>
              <w:t>3</w:t>
            </w:r>
          </w:p>
        </w:tc>
        <w:tc>
          <w:tcPr>
            <w:tcW w:w="769" w:type="dxa"/>
            <w:shd w:val="clear" w:color="000000" w:fill="FFFFFF"/>
            <w:noWrap/>
            <w:vAlign w:val="center"/>
          </w:tcPr>
          <w:p w14:paraId="64D87AEE" w14:textId="551756E7"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r>
      <w:tr w:rsidR="0060528E" w:rsidRPr="00B71557" w14:paraId="669F7F1E" w14:textId="77777777" w:rsidTr="00790111">
        <w:trPr>
          <w:cantSplit/>
          <w:trHeight w:val="529"/>
          <w:jc w:val="center"/>
        </w:trPr>
        <w:tc>
          <w:tcPr>
            <w:tcW w:w="306" w:type="dxa"/>
            <w:shd w:val="clear" w:color="000000" w:fill="FFFFFF"/>
            <w:vAlign w:val="center"/>
            <w:hideMark/>
          </w:tcPr>
          <w:p w14:paraId="376B01D9"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noWrap/>
            <w:vAlign w:val="center"/>
            <w:hideMark/>
          </w:tcPr>
          <w:p w14:paraId="1F32C437" w14:textId="77777777" w:rsidR="0060528E" w:rsidRPr="00B71557" w:rsidRDefault="0060528E" w:rsidP="00AF3C34">
            <w:pPr>
              <w:spacing w:after="0" w:line="276" w:lineRule="auto"/>
              <w:jc w:val="left"/>
              <w:rPr>
                <w:rFonts w:cs="Arial"/>
                <w:color w:val="000000"/>
                <w:sz w:val="16"/>
                <w:szCs w:val="16"/>
              </w:rPr>
            </w:pPr>
          </w:p>
        </w:tc>
        <w:tc>
          <w:tcPr>
            <w:tcW w:w="4635" w:type="dxa"/>
            <w:shd w:val="clear" w:color="000000" w:fill="FFFFFF"/>
            <w:vAlign w:val="center"/>
            <w:hideMark/>
          </w:tcPr>
          <w:p w14:paraId="799E3869"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1δ7. Έκτακτη επιχορήγηση σε OKA για την εξόφληση ληξιπρόθεσμων οφειλών</w:t>
            </w:r>
          </w:p>
        </w:tc>
        <w:tc>
          <w:tcPr>
            <w:tcW w:w="881" w:type="dxa"/>
            <w:shd w:val="clear" w:color="000000" w:fill="FFFFFF"/>
            <w:noWrap/>
            <w:vAlign w:val="center"/>
          </w:tcPr>
          <w:p w14:paraId="45E70A75" w14:textId="4C2A5034"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909" w:type="dxa"/>
            <w:shd w:val="clear" w:color="000000" w:fill="FFFFFF"/>
            <w:noWrap/>
            <w:vAlign w:val="center"/>
          </w:tcPr>
          <w:p w14:paraId="4B88FD26" w14:textId="0E53A7EC"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974" w:type="dxa"/>
            <w:shd w:val="clear" w:color="000000" w:fill="FFFFFF"/>
            <w:noWrap/>
            <w:vAlign w:val="center"/>
          </w:tcPr>
          <w:p w14:paraId="6164820E" w14:textId="3A5DB1B9"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713" w:type="dxa"/>
            <w:shd w:val="clear" w:color="000000" w:fill="FFFFFF"/>
            <w:noWrap/>
            <w:vAlign w:val="center"/>
          </w:tcPr>
          <w:p w14:paraId="67DE3876" w14:textId="3777C765" w:rsidR="0060528E" w:rsidRPr="00B71557" w:rsidRDefault="0060528E" w:rsidP="00AF3C34">
            <w:pPr>
              <w:spacing w:after="0" w:line="276" w:lineRule="auto"/>
              <w:jc w:val="right"/>
              <w:rPr>
                <w:rFonts w:cs="Arial"/>
                <w:color w:val="000000"/>
                <w:sz w:val="16"/>
                <w:szCs w:val="16"/>
              </w:rPr>
            </w:pPr>
            <w:r w:rsidRPr="00B71557">
              <w:rPr>
                <w:rFonts w:cs="Arial"/>
                <w:sz w:val="16"/>
                <w:szCs w:val="16"/>
              </w:rPr>
              <w:t>-</w:t>
            </w:r>
          </w:p>
        </w:tc>
        <w:tc>
          <w:tcPr>
            <w:tcW w:w="769" w:type="dxa"/>
            <w:shd w:val="clear" w:color="000000" w:fill="FFFFFF"/>
            <w:noWrap/>
            <w:vAlign w:val="center"/>
          </w:tcPr>
          <w:p w14:paraId="5328FDDA" w14:textId="09294895" w:rsidR="0060528E" w:rsidRPr="00B71557" w:rsidRDefault="0060528E" w:rsidP="00AF3C34">
            <w:pPr>
              <w:spacing w:after="0" w:line="276" w:lineRule="auto"/>
              <w:jc w:val="right"/>
              <w:rPr>
                <w:rFonts w:cs="Arial"/>
                <w:color w:val="000000"/>
                <w:sz w:val="16"/>
                <w:szCs w:val="16"/>
              </w:rPr>
            </w:pPr>
            <w:r w:rsidRPr="00B71557">
              <w:rPr>
                <w:rFonts w:cs="Arial"/>
                <w:sz w:val="16"/>
                <w:szCs w:val="16"/>
              </w:rPr>
              <w:t>-</w:t>
            </w:r>
          </w:p>
        </w:tc>
      </w:tr>
      <w:tr w:rsidR="0060528E" w:rsidRPr="00B71557" w14:paraId="2F44D322" w14:textId="77777777" w:rsidTr="00790111">
        <w:trPr>
          <w:cantSplit/>
          <w:trHeight w:val="529"/>
          <w:jc w:val="center"/>
        </w:trPr>
        <w:tc>
          <w:tcPr>
            <w:tcW w:w="306" w:type="dxa"/>
            <w:shd w:val="clear" w:color="000000" w:fill="FFFFFF"/>
            <w:vAlign w:val="center"/>
            <w:hideMark/>
          </w:tcPr>
          <w:p w14:paraId="0FDC8375"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noWrap/>
            <w:vAlign w:val="center"/>
            <w:hideMark/>
          </w:tcPr>
          <w:p w14:paraId="19ABE604" w14:textId="77777777" w:rsidR="0060528E" w:rsidRPr="00B71557" w:rsidRDefault="0060528E" w:rsidP="00AF3C34">
            <w:pPr>
              <w:spacing w:after="0" w:line="276" w:lineRule="auto"/>
              <w:jc w:val="left"/>
              <w:rPr>
                <w:rFonts w:cs="Arial"/>
                <w:color w:val="000000"/>
                <w:sz w:val="16"/>
                <w:szCs w:val="16"/>
              </w:rPr>
            </w:pPr>
          </w:p>
        </w:tc>
        <w:tc>
          <w:tcPr>
            <w:tcW w:w="4635" w:type="dxa"/>
            <w:shd w:val="clear" w:color="000000" w:fill="FFFFFF"/>
            <w:vAlign w:val="center"/>
            <w:hideMark/>
          </w:tcPr>
          <w:p w14:paraId="72A3D801"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1δ8. Έκτακτη επιχορήγηση σε OKA για την εξόφληση εκκρεμών αιτήσεων συνταξιοδότησης</w:t>
            </w:r>
          </w:p>
        </w:tc>
        <w:tc>
          <w:tcPr>
            <w:tcW w:w="881" w:type="dxa"/>
            <w:shd w:val="clear" w:color="000000" w:fill="FFFFFF"/>
            <w:noWrap/>
            <w:vAlign w:val="center"/>
          </w:tcPr>
          <w:p w14:paraId="12A2932E" w14:textId="0FD23C45"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909" w:type="dxa"/>
            <w:shd w:val="clear" w:color="000000" w:fill="FFFFFF"/>
            <w:noWrap/>
            <w:vAlign w:val="center"/>
          </w:tcPr>
          <w:p w14:paraId="01F50616" w14:textId="0F5EE921"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974" w:type="dxa"/>
            <w:shd w:val="clear" w:color="000000" w:fill="FFFFFF"/>
            <w:noWrap/>
            <w:vAlign w:val="center"/>
          </w:tcPr>
          <w:p w14:paraId="2FF71A36" w14:textId="47224418"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713" w:type="dxa"/>
            <w:shd w:val="clear" w:color="000000" w:fill="FFFFFF"/>
            <w:noWrap/>
            <w:vAlign w:val="center"/>
          </w:tcPr>
          <w:p w14:paraId="35B56781" w14:textId="089B33E6" w:rsidR="0060528E" w:rsidRPr="00B71557" w:rsidRDefault="0060528E" w:rsidP="00AF3C34">
            <w:pPr>
              <w:spacing w:after="0" w:line="276" w:lineRule="auto"/>
              <w:jc w:val="right"/>
              <w:rPr>
                <w:rFonts w:cs="Arial"/>
                <w:color w:val="000000"/>
                <w:sz w:val="16"/>
                <w:szCs w:val="16"/>
              </w:rPr>
            </w:pPr>
            <w:r w:rsidRPr="00B71557">
              <w:rPr>
                <w:rFonts w:cs="Arial"/>
                <w:sz w:val="16"/>
                <w:szCs w:val="16"/>
              </w:rPr>
              <w:t>-</w:t>
            </w:r>
          </w:p>
        </w:tc>
        <w:tc>
          <w:tcPr>
            <w:tcW w:w="769" w:type="dxa"/>
            <w:shd w:val="clear" w:color="000000" w:fill="FFFFFF"/>
            <w:noWrap/>
            <w:vAlign w:val="center"/>
          </w:tcPr>
          <w:p w14:paraId="0B50A133" w14:textId="4522B69A" w:rsidR="0060528E" w:rsidRPr="00B71557" w:rsidRDefault="0060528E" w:rsidP="00AF3C34">
            <w:pPr>
              <w:spacing w:after="0" w:line="276" w:lineRule="auto"/>
              <w:jc w:val="right"/>
              <w:rPr>
                <w:rFonts w:cs="Arial"/>
                <w:color w:val="000000"/>
                <w:sz w:val="16"/>
                <w:szCs w:val="16"/>
              </w:rPr>
            </w:pPr>
            <w:r w:rsidRPr="00B71557">
              <w:rPr>
                <w:rFonts w:cs="Arial"/>
                <w:sz w:val="16"/>
                <w:szCs w:val="16"/>
              </w:rPr>
              <w:t>-</w:t>
            </w:r>
          </w:p>
        </w:tc>
      </w:tr>
      <w:tr w:rsidR="0060528E" w:rsidRPr="00B71557" w14:paraId="1085D998" w14:textId="77777777" w:rsidTr="00790111">
        <w:trPr>
          <w:cantSplit/>
          <w:trHeight w:val="270"/>
          <w:jc w:val="center"/>
        </w:trPr>
        <w:tc>
          <w:tcPr>
            <w:tcW w:w="306" w:type="dxa"/>
            <w:shd w:val="clear" w:color="000000" w:fill="FFFFFF"/>
            <w:vAlign w:val="center"/>
            <w:hideMark/>
          </w:tcPr>
          <w:p w14:paraId="7E647C44" w14:textId="77777777" w:rsidR="0060528E" w:rsidRPr="00B71557" w:rsidRDefault="0060528E" w:rsidP="00AF3C34">
            <w:pPr>
              <w:spacing w:after="0" w:line="276" w:lineRule="auto"/>
              <w:jc w:val="center"/>
              <w:rPr>
                <w:rFonts w:cs="Arial"/>
                <w:color w:val="000000"/>
                <w:sz w:val="16"/>
                <w:szCs w:val="16"/>
              </w:rPr>
            </w:pPr>
          </w:p>
        </w:tc>
        <w:tc>
          <w:tcPr>
            <w:tcW w:w="395" w:type="dxa"/>
            <w:shd w:val="clear" w:color="000000" w:fill="FFFFFF"/>
            <w:noWrap/>
            <w:vAlign w:val="center"/>
            <w:hideMark/>
          </w:tcPr>
          <w:p w14:paraId="70003064" w14:textId="77777777" w:rsidR="0060528E" w:rsidRPr="00B71557" w:rsidRDefault="0060528E" w:rsidP="00AF3C34">
            <w:pPr>
              <w:spacing w:after="0" w:line="276" w:lineRule="auto"/>
              <w:jc w:val="left"/>
              <w:rPr>
                <w:rFonts w:cs="Arial"/>
                <w:color w:val="000000"/>
                <w:sz w:val="16"/>
                <w:szCs w:val="16"/>
              </w:rPr>
            </w:pPr>
          </w:p>
        </w:tc>
        <w:tc>
          <w:tcPr>
            <w:tcW w:w="4635" w:type="dxa"/>
            <w:shd w:val="clear" w:color="auto" w:fill="auto"/>
            <w:vAlign w:val="center"/>
            <w:hideMark/>
          </w:tcPr>
          <w:p w14:paraId="524D578D"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1δ9. Μεταβίβαση σε OKA για λοιπούς σκοπούς</w:t>
            </w:r>
          </w:p>
        </w:tc>
        <w:tc>
          <w:tcPr>
            <w:tcW w:w="881" w:type="dxa"/>
            <w:shd w:val="clear" w:color="000000" w:fill="FFFFFF"/>
            <w:noWrap/>
            <w:vAlign w:val="center"/>
          </w:tcPr>
          <w:p w14:paraId="7C24935C" w14:textId="10D8E263" w:rsidR="0060528E" w:rsidRPr="00B71557" w:rsidRDefault="0060528E" w:rsidP="00AF3C34">
            <w:pPr>
              <w:spacing w:after="0" w:line="276" w:lineRule="auto"/>
              <w:jc w:val="right"/>
              <w:rPr>
                <w:rFonts w:cs="Arial"/>
                <w:color w:val="000000"/>
                <w:sz w:val="16"/>
                <w:szCs w:val="16"/>
              </w:rPr>
            </w:pPr>
            <w:r w:rsidRPr="00B71557">
              <w:rPr>
                <w:rFonts w:cs="Arial"/>
                <w:sz w:val="16"/>
                <w:szCs w:val="16"/>
              </w:rPr>
              <w:t>52</w:t>
            </w:r>
          </w:p>
        </w:tc>
        <w:tc>
          <w:tcPr>
            <w:tcW w:w="909" w:type="dxa"/>
            <w:shd w:val="clear" w:color="000000" w:fill="FFFFFF"/>
            <w:noWrap/>
            <w:vAlign w:val="center"/>
          </w:tcPr>
          <w:p w14:paraId="22363A24" w14:textId="6B71BA37" w:rsidR="0060528E" w:rsidRPr="00B71557" w:rsidRDefault="0060528E" w:rsidP="00AF3C34">
            <w:pPr>
              <w:spacing w:after="0" w:line="276" w:lineRule="auto"/>
              <w:jc w:val="right"/>
              <w:rPr>
                <w:rFonts w:cs="Arial"/>
                <w:color w:val="000000"/>
                <w:sz w:val="16"/>
                <w:szCs w:val="16"/>
              </w:rPr>
            </w:pPr>
            <w:r w:rsidRPr="00B71557">
              <w:rPr>
                <w:rFonts w:cs="Arial"/>
                <w:sz w:val="16"/>
                <w:szCs w:val="16"/>
              </w:rPr>
              <w:t>321</w:t>
            </w:r>
          </w:p>
        </w:tc>
        <w:tc>
          <w:tcPr>
            <w:tcW w:w="974" w:type="dxa"/>
            <w:shd w:val="clear" w:color="000000" w:fill="FFFFFF"/>
            <w:noWrap/>
            <w:vAlign w:val="center"/>
          </w:tcPr>
          <w:p w14:paraId="15614B86" w14:textId="0501D069" w:rsidR="0060528E" w:rsidRPr="00B71557" w:rsidRDefault="0060528E" w:rsidP="00AF3C34">
            <w:pPr>
              <w:spacing w:after="0" w:line="276" w:lineRule="auto"/>
              <w:jc w:val="right"/>
              <w:rPr>
                <w:rFonts w:cs="Arial"/>
                <w:color w:val="000000"/>
                <w:sz w:val="16"/>
                <w:szCs w:val="16"/>
              </w:rPr>
            </w:pPr>
            <w:r w:rsidRPr="00B71557">
              <w:rPr>
                <w:rFonts w:cs="Arial"/>
                <w:sz w:val="16"/>
                <w:szCs w:val="16"/>
              </w:rPr>
              <w:t>903</w:t>
            </w:r>
          </w:p>
        </w:tc>
        <w:tc>
          <w:tcPr>
            <w:tcW w:w="713" w:type="dxa"/>
            <w:shd w:val="clear" w:color="000000" w:fill="FFFFFF"/>
            <w:noWrap/>
            <w:vAlign w:val="center"/>
          </w:tcPr>
          <w:p w14:paraId="509B225B" w14:textId="31A50C82" w:rsidR="0060528E" w:rsidRPr="00B71557" w:rsidRDefault="0060528E" w:rsidP="00AF3C34">
            <w:pPr>
              <w:spacing w:after="0" w:line="276" w:lineRule="auto"/>
              <w:jc w:val="right"/>
              <w:rPr>
                <w:rFonts w:cs="Arial"/>
                <w:color w:val="000000"/>
                <w:sz w:val="16"/>
                <w:szCs w:val="16"/>
              </w:rPr>
            </w:pPr>
            <w:r w:rsidRPr="00B71557">
              <w:rPr>
                <w:rFonts w:cs="Arial"/>
                <w:sz w:val="16"/>
                <w:szCs w:val="16"/>
              </w:rPr>
              <w:t>517</w:t>
            </w:r>
          </w:p>
        </w:tc>
        <w:tc>
          <w:tcPr>
            <w:tcW w:w="769" w:type="dxa"/>
            <w:shd w:val="clear" w:color="000000" w:fill="FFFFFF"/>
            <w:noWrap/>
            <w:vAlign w:val="center"/>
          </w:tcPr>
          <w:p w14:paraId="6A81CC41" w14:textId="23DDB231" w:rsidR="0060528E" w:rsidRPr="00B71557" w:rsidRDefault="0060528E" w:rsidP="00AF3C34">
            <w:pPr>
              <w:spacing w:after="0" w:line="276" w:lineRule="auto"/>
              <w:jc w:val="right"/>
              <w:rPr>
                <w:rFonts w:cs="Arial"/>
                <w:color w:val="000000"/>
                <w:sz w:val="16"/>
                <w:szCs w:val="16"/>
              </w:rPr>
            </w:pPr>
            <w:r w:rsidRPr="00B71557">
              <w:rPr>
                <w:rFonts w:cs="Arial"/>
                <w:sz w:val="16"/>
                <w:szCs w:val="16"/>
              </w:rPr>
              <w:t>181</w:t>
            </w:r>
          </w:p>
        </w:tc>
      </w:tr>
      <w:tr w:rsidR="0060528E" w:rsidRPr="00B71557" w14:paraId="1900C4A8" w14:textId="77777777" w:rsidTr="00790111">
        <w:trPr>
          <w:cantSplit/>
          <w:trHeight w:val="258"/>
          <w:jc w:val="center"/>
        </w:trPr>
        <w:tc>
          <w:tcPr>
            <w:tcW w:w="306" w:type="dxa"/>
            <w:shd w:val="clear" w:color="000000" w:fill="FFFFFF"/>
            <w:noWrap/>
            <w:vAlign w:val="center"/>
            <w:hideMark/>
          </w:tcPr>
          <w:p w14:paraId="79F958FB" w14:textId="77777777" w:rsidR="0060528E" w:rsidRPr="00B71557" w:rsidRDefault="0060528E" w:rsidP="00AF3C34">
            <w:pPr>
              <w:spacing w:after="0" w:line="276" w:lineRule="auto"/>
              <w:jc w:val="center"/>
              <w:rPr>
                <w:rFonts w:cs="Arial"/>
                <w:b/>
                <w:bCs/>
                <w:color w:val="000000"/>
                <w:sz w:val="16"/>
                <w:szCs w:val="16"/>
              </w:rPr>
            </w:pPr>
            <w:r w:rsidRPr="00B71557">
              <w:rPr>
                <w:rFonts w:cs="Arial"/>
                <w:b/>
                <w:bCs/>
                <w:color w:val="000000"/>
                <w:sz w:val="16"/>
                <w:szCs w:val="16"/>
              </w:rPr>
              <w:t>2</w:t>
            </w:r>
          </w:p>
        </w:tc>
        <w:tc>
          <w:tcPr>
            <w:tcW w:w="5031" w:type="dxa"/>
            <w:gridSpan w:val="2"/>
            <w:shd w:val="clear" w:color="000000" w:fill="FFFFFF"/>
            <w:vAlign w:val="center"/>
            <w:hideMark/>
          </w:tcPr>
          <w:p w14:paraId="6DD7A14C" w14:textId="77777777" w:rsidR="0060528E" w:rsidRPr="00B71557" w:rsidRDefault="0060528E" w:rsidP="00AF3C34">
            <w:pPr>
              <w:spacing w:after="0" w:line="276" w:lineRule="auto"/>
              <w:jc w:val="left"/>
              <w:rPr>
                <w:rFonts w:cs="Arial"/>
                <w:b/>
                <w:bCs/>
                <w:color w:val="000000"/>
                <w:sz w:val="16"/>
                <w:szCs w:val="16"/>
              </w:rPr>
            </w:pPr>
            <w:r w:rsidRPr="00B71557">
              <w:rPr>
                <w:rFonts w:cs="Arial"/>
                <w:b/>
                <w:bCs/>
                <w:color w:val="000000"/>
                <w:sz w:val="16"/>
                <w:szCs w:val="16"/>
              </w:rPr>
              <w:t>Μεταβιβάσεις σε λοιπά νομικά πρόσωπα</w:t>
            </w:r>
          </w:p>
        </w:tc>
        <w:tc>
          <w:tcPr>
            <w:tcW w:w="881" w:type="dxa"/>
            <w:shd w:val="clear" w:color="000000" w:fill="FFFFFF"/>
            <w:noWrap/>
            <w:vAlign w:val="center"/>
          </w:tcPr>
          <w:p w14:paraId="0453D43A" w14:textId="504F50E8"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3.911</w:t>
            </w:r>
          </w:p>
        </w:tc>
        <w:tc>
          <w:tcPr>
            <w:tcW w:w="909" w:type="dxa"/>
            <w:shd w:val="clear" w:color="000000" w:fill="FFFFFF"/>
            <w:noWrap/>
            <w:vAlign w:val="center"/>
          </w:tcPr>
          <w:p w14:paraId="1F01730A" w14:textId="0DDFAA61"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3.471</w:t>
            </w:r>
          </w:p>
        </w:tc>
        <w:tc>
          <w:tcPr>
            <w:tcW w:w="974" w:type="dxa"/>
            <w:shd w:val="clear" w:color="000000" w:fill="FFFFFF"/>
            <w:noWrap/>
            <w:vAlign w:val="center"/>
          </w:tcPr>
          <w:p w14:paraId="15A7026E" w14:textId="5897F366"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3.845</w:t>
            </w:r>
          </w:p>
        </w:tc>
        <w:tc>
          <w:tcPr>
            <w:tcW w:w="713" w:type="dxa"/>
            <w:shd w:val="clear" w:color="000000" w:fill="FFFFFF"/>
            <w:noWrap/>
            <w:vAlign w:val="center"/>
          </w:tcPr>
          <w:p w14:paraId="4314E77D" w14:textId="586177AE"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-11</w:t>
            </w:r>
          </w:p>
        </w:tc>
        <w:tc>
          <w:tcPr>
            <w:tcW w:w="769" w:type="dxa"/>
            <w:shd w:val="clear" w:color="000000" w:fill="FFFFFF"/>
            <w:noWrap/>
            <w:vAlign w:val="center"/>
          </w:tcPr>
          <w:p w14:paraId="140182BA" w14:textId="2E393012"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11</w:t>
            </w:r>
          </w:p>
        </w:tc>
      </w:tr>
      <w:tr w:rsidR="0060528E" w:rsidRPr="00B71557" w14:paraId="69154F9D" w14:textId="77777777" w:rsidTr="00790111">
        <w:trPr>
          <w:cantSplit/>
          <w:trHeight w:val="270"/>
          <w:jc w:val="center"/>
        </w:trPr>
        <w:tc>
          <w:tcPr>
            <w:tcW w:w="306" w:type="dxa"/>
            <w:shd w:val="clear" w:color="000000" w:fill="FFFFFF"/>
            <w:noWrap/>
            <w:vAlign w:val="center"/>
            <w:hideMark/>
          </w:tcPr>
          <w:p w14:paraId="4D852584" w14:textId="77777777" w:rsidR="0060528E" w:rsidRPr="00B71557" w:rsidRDefault="0060528E" w:rsidP="00AF3C34">
            <w:pPr>
              <w:spacing w:after="0" w:line="276" w:lineRule="auto"/>
              <w:jc w:val="center"/>
              <w:rPr>
                <w:rFonts w:cs="Arial"/>
                <w:b/>
                <w:bCs/>
                <w:color w:val="000000"/>
                <w:sz w:val="16"/>
                <w:szCs w:val="16"/>
              </w:rPr>
            </w:pPr>
            <w:r w:rsidRPr="00B71557">
              <w:rPr>
                <w:rFonts w:cs="Arial"/>
                <w:b/>
                <w:bCs/>
                <w:color w:val="000000"/>
                <w:sz w:val="16"/>
                <w:szCs w:val="16"/>
              </w:rPr>
              <w:t>3</w:t>
            </w:r>
          </w:p>
        </w:tc>
        <w:tc>
          <w:tcPr>
            <w:tcW w:w="5031" w:type="dxa"/>
            <w:gridSpan w:val="2"/>
            <w:shd w:val="clear" w:color="000000" w:fill="FFFFFF"/>
            <w:vAlign w:val="center"/>
            <w:hideMark/>
          </w:tcPr>
          <w:p w14:paraId="07FD138C" w14:textId="77777777" w:rsidR="0060528E" w:rsidRPr="00B71557" w:rsidRDefault="0060528E" w:rsidP="00AF3C34">
            <w:pPr>
              <w:spacing w:after="0" w:line="276" w:lineRule="auto"/>
              <w:jc w:val="left"/>
              <w:rPr>
                <w:rFonts w:cs="Arial"/>
                <w:b/>
                <w:bCs/>
                <w:color w:val="000000"/>
                <w:sz w:val="16"/>
                <w:szCs w:val="16"/>
              </w:rPr>
            </w:pPr>
            <w:r w:rsidRPr="00B71557">
              <w:rPr>
                <w:rFonts w:cs="Arial"/>
                <w:b/>
                <w:bCs/>
                <w:color w:val="000000"/>
                <w:sz w:val="16"/>
                <w:szCs w:val="16"/>
              </w:rPr>
              <w:t>Λοιπές μεταβιβάσεις (τρέχουσες εγχώριες)</w:t>
            </w:r>
          </w:p>
        </w:tc>
        <w:tc>
          <w:tcPr>
            <w:tcW w:w="881" w:type="dxa"/>
            <w:shd w:val="clear" w:color="000000" w:fill="FFFFFF"/>
            <w:noWrap/>
            <w:vAlign w:val="center"/>
          </w:tcPr>
          <w:p w14:paraId="12E38621" w14:textId="3C34B38A"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0</w:t>
            </w:r>
          </w:p>
        </w:tc>
        <w:tc>
          <w:tcPr>
            <w:tcW w:w="909" w:type="dxa"/>
            <w:shd w:val="clear" w:color="000000" w:fill="FFFFFF"/>
            <w:noWrap/>
            <w:vAlign w:val="center"/>
          </w:tcPr>
          <w:p w14:paraId="3D9D502B" w14:textId="4CD87C64"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0</w:t>
            </w:r>
          </w:p>
        </w:tc>
        <w:tc>
          <w:tcPr>
            <w:tcW w:w="974" w:type="dxa"/>
            <w:shd w:val="clear" w:color="000000" w:fill="FFFFFF"/>
            <w:noWrap/>
            <w:vAlign w:val="center"/>
          </w:tcPr>
          <w:p w14:paraId="57195397" w14:textId="2828D834"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0</w:t>
            </w:r>
          </w:p>
        </w:tc>
        <w:tc>
          <w:tcPr>
            <w:tcW w:w="713" w:type="dxa"/>
            <w:shd w:val="clear" w:color="000000" w:fill="FFFFFF"/>
            <w:noWrap/>
            <w:vAlign w:val="center"/>
          </w:tcPr>
          <w:p w14:paraId="01A8BD1F" w14:textId="41FB0E7E"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w:t>
            </w:r>
          </w:p>
        </w:tc>
        <w:tc>
          <w:tcPr>
            <w:tcW w:w="769" w:type="dxa"/>
            <w:shd w:val="clear" w:color="000000" w:fill="FFFFFF"/>
            <w:noWrap/>
            <w:vAlign w:val="center"/>
          </w:tcPr>
          <w:p w14:paraId="416C0C01" w14:textId="5767DC2D"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0</w:t>
            </w:r>
          </w:p>
        </w:tc>
      </w:tr>
      <w:tr w:rsidR="0060528E" w:rsidRPr="00B71557" w14:paraId="548DB224" w14:textId="77777777" w:rsidTr="00790111">
        <w:trPr>
          <w:cantSplit/>
          <w:trHeight w:val="270"/>
          <w:jc w:val="center"/>
        </w:trPr>
        <w:tc>
          <w:tcPr>
            <w:tcW w:w="306" w:type="dxa"/>
            <w:shd w:val="clear" w:color="000000" w:fill="FFFFFF"/>
            <w:noWrap/>
            <w:vAlign w:val="center"/>
            <w:hideMark/>
          </w:tcPr>
          <w:p w14:paraId="719C29C0" w14:textId="77777777" w:rsidR="0060528E" w:rsidRPr="00B71557" w:rsidRDefault="0060528E" w:rsidP="00AF3C34">
            <w:pPr>
              <w:spacing w:after="0" w:line="276" w:lineRule="auto"/>
              <w:jc w:val="center"/>
              <w:rPr>
                <w:rFonts w:cs="Arial"/>
                <w:b/>
                <w:bCs/>
                <w:color w:val="000000"/>
                <w:sz w:val="16"/>
                <w:szCs w:val="16"/>
              </w:rPr>
            </w:pPr>
            <w:r w:rsidRPr="00B71557">
              <w:rPr>
                <w:rFonts w:cs="Arial"/>
                <w:b/>
                <w:bCs/>
                <w:color w:val="000000"/>
                <w:sz w:val="16"/>
                <w:szCs w:val="16"/>
              </w:rPr>
              <w:t>4</w:t>
            </w:r>
          </w:p>
        </w:tc>
        <w:tc>
          <w:tcPr>
            <w:tcW w:w="5031" w:type="dxa"/>
            <w:gridSpan w:val="2"/>
            <w:shd w:val="clear" w:color="000000" w:fill="FFFFFF"/>
            <w:vAlign w:val="center"/>
            <w:hideMark/>
          </w:tcPr>
          <w:p w14:paraId="0EFAA449" w14:textId="77777777" w:rsidR="0060528E" w:rsidRPr="00B71557" w:rsidRDefault="0060528E" w:rsidP="00AF3C34">
            <w:pPr>
              <w:spacing w:after="0" w:line="276" w:lineRule="auto"/>
              <w:jc w:val="left"/>
              <w:rPr>
                <w:rFonts w:cs="Arial"/>
                <w:b/>
                <w:bCs/>
                <w:color w:val="000000"/>
                <w:sz w:val="16"/>
                <w:szCs w:val="16"/>
              </w:rPr>
            </w:pPr>
            <w:r w:rsidRPr="00B71557">
              <w:rPr>
                <w:rFonts w:cs="Arial"/>
                <w:b/>
                <w:bCs/>
                <w:color w:val="000000"/>
                <w:sz w:val="16"/>
                <w:szCs w:val="16"/>
              </w:rPr>
              <w:t>Επιχορηγήσεις επενδύσεων εσωτερικού</w:t>
            </w:r>
          </w:p>
        </w:tc>
        <w:tc>
          <w:tcPr>
            <w:tcW w:w="881" w:type="dxa"/>
            <w:shd w:val="clear" w:color="000000" w:fill="FFFFFF"/>
            <w:noWrap/>
            <w:vAlign w:val="center"/>
          </w:tcPr>
          <w:p w14:paraId="407D4FF9" w14:textId="46769379"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221</w:t>
            </w:r>
          </w:p>
        </w:tc>
        <w:tc>
          <w:tcPr>
            <w:tcW w:w="909" w:type="dxa"/>
            <w:shd w:val="clear" w:color="000000" w:fill="FFFFFF"/>
            <w:noWrap/>
            <w:vAlign w:val="center"/>
          </w:tcPr>
          <w:p w14:paraId="2271D9ED" w14:textId="4E045CBA"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225</w:t>
            </w:r>
          </w:p>
        </w:tc>
        <w:tc>
          <w:tcPr>
            <w:tcW w:w="974" w:type="dxa"/>
            <w:shd w:val="clear" w:color="000000" w:fill="FFFFFF"/>
            <w:noWrap/>
            <w:vAlign w:val="center"/>
          </w:tcPr>
          <w:p w14:paraId="04C2241B" w14:textId="18662842"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225</w:t>
            </w:r>
          </w:p>
        </w:tc>
        <w:tc>
          <w:tcPr>
            <w:tcW w:w="713" w:type="dxa"/>
            <w:shd w:val="clear" w:color="000000" w:fill="FFFFFF"/>
            <w:noWrap/>
            <w:vAlign w:val="center"/>
          </w:tcPr>
          <w:p w14:paraId="26EFCC78" w14:textId="222339E7"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w:t>
            </w:r>
          </w:p>
        </w:tc>
        <w:tc>
          <w:tcPr>
            <w:tcW w:w="769" w:type="dxa"/>
            <w:shd w:val="clear" w:color="000000" w:fill="FFFFFF"/>
            <w:noWrap/>
            <w:vAlign w:val="center"/>
          </w:tcPr>
          <w:p w14:paraId="5883D4F5" w14:textId="3C712929"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0</w:t>
            </w:r>
          </w:p>
        </w:tc>
      </w:tr>
      <w:tr w:rsidR="000739EE" w:rsidRPr="00B71557" w14:paraId="3793C2CB" w14:textId="77777777" w:rsidTr="00790111">
        <w:trPr>
          <w:cantSplit/>
          <w:trHeight w:val="258"/>
          <w:jc w:val="center"/>
        </w:trPr>
        <w:tc>
          <w:tcPr>
            <w:tcW w:w="306" w:type="dxa"/>
            <w:shd w:val="clear" w:color="000000" w:fill="FFFFFF"/>
            <w:noWrap/>
            <w:vAlign w:val="center"/>
            <w:hideMark/>
          </w:tcPr>
          <w:p w14:paraId="5AF7E193" w14:textId="77777777" w:rsidR="000739EE" w:rsidRPr="00B71557" w:rsidRDefault="000739EE" w:rsidP="00AF3C34">
            <w:pPr>
              <w:spacing w:after="0" w:line="276" w:lineRule="auto"/>
              <w:jc w:val="center"/>
              <w:rPr>
                <w:rFonts w:cs="Arial"/>
                <w:color w:val="000000"/>
                <w:sz w:val="16"/>
                <w:szCs w:val="16"/>
              </w:rPr>
            </w:pPr>
          </w:p>
        </w:tc>
        <w:tc>
          <w:tcPr>
            <w:tcW w:w="5031" w:type="dxa"/>
            <w:gridSpan w:val="2"/>
            <w:shd w:val="clear" w:color="000000" w:fill="FFFFFF"/>
            <w:vAlign w:val="center"/>
            <w:hideMark/>
          </w:tcPr>
          <w:p w14:paraId="72959DB7" w14:textId="056782F7" w:rsidR="000739EE" w:rsidRPr="00B71557" w:rsidRDefault="008467BD" w:rsidP="00AF3C34">
            <w:pPr>
              <w:spacing w:after="0" w:line="276" w:lineRule="auto"/>
              <w:jc w:val="left"/>
              <w:rPr>
                <w:rFonts w:cs="Arial"/>
                <w:color w:val="000000"/>
                <w:sz w:val="16"/>
                <w:szCs w:val="16"/>
              </w:rPr>
            </w:pPr>
            <w:r w:rsidRPr="00B71557">
              <w:rPr>
                <w:rFonts w:cs="Arial"/>
                <w:color w:val="000000"/>
                <w:sz w:val="16"/>
                <w:szCs w:val="16"/>
              </w:rPr>
              <w:t>ε</w:t>
            </w:r>
            <w:r w:rsidR="000739EE" w:rsidRPr="00B71557">
              <w:rPr>
                <w:rFonts w:cs="Arial"/>
                <w:color w:val="000000"/>
                <w:sz w:val="16"/>
                <w:szCs w:val="16"/>
              </w:rPr>
              <w:t>κ των οποίων:</w:t>
            </w:r>
          </w:p>
        </w:tc>
        <w:tc>
          <w:tcPr>
            <w:tcW w:w="881" w:type="dxa"/>
            <w:shd w:val="clear" w:color="000000" w:fill="FFFFFF"/>
            <w:noWrap/>
            <w:vAlign w:val="center"/>
          </w:tcPr>
          <w:p w14:paraId="70D06319" w14:textId="7010DAFF" w:rsidR="000739EE" w:rsidRPr="00B71557" w:rsidRDefault="000739EE" w:rsidP="00AF3C34">
            <w:pPr>
              <w:spacing w:after="0" w:line="276" w:lineRule="auto"/>
              <w:jc w:val="right"/>
              <w:rPr>
                <w:rFonts w:cs="Arial"/>
                <w:color w:val="000000"/>
                <w:sz w:val="16"/>
                <w:szCs w:val="16"/>
              </w:rPr>
            </w:pPr>
          </w:p>
        </w:tc>
        <w:tc>
          <w:tcPr>
            <w:tcW w:w="909" w:type="dxa"/>
            <w:shd w:val="clear" w:color="000000" w:fill="FFFFFF"/>
            <w:noWrap/>
            <w:vAlign w:val="center"/>
          </w:tcPr>
          <w:p w14:paraId="0576AC66" w14:textId="0E125343" w:rsidR="000739EE" w:rsidRPr="00B71557" w:rsidRDefault="000739EE" w:rsidP="00AF3C34">
            <w:pPr>
              <w:spacing w:after="0" w:line="276" w:lineRule="auto"/>
              <w:jc w:val="right"/>
              <w:rPr>
                <w:rFonts w:cs="Arial"/>
                <w:color w:val="000000"/>
                <w:sz w:val="16"/>
                <w:szCs w:val="16"/>
              </w:rPr>
            </w:pPr>
          </w:p>
        </w:tc>
        <w:tc>
          <w:tcPr>
            <w:tcW w:w="974" w:type="dxa"/>
            <w:shd w:val="clear" w:color="000000" w:fill="FFFFFF"/>
            <w:noWrap/>
            <w:vAlign w:val="center"/>
          </w:tcPr>
          <w:p w14:paraId="34C07157" w14:textId="307EDDDE" w:rsidR="000739EE" w:rsidRPr="00B71557" w:rsidRDefault="000739EE" w:rsidP="00AF3C34">
            <w:pPr>
              <w:spacing w:after="0" w:line="276" w:lineRule="auto"/>
              <w:jc w:val="right"/>
              <w:rPr>
                <w:rFonts w:cs="Arial"/>
                <w:color w:val="000000"/>
                <w:sz w:val="16"/>
                <w:szCs w:val="16"/>
              </w:rPr>
            </w:pPr>
          </w:p>
        </w:tc>
        <w:tc>
          <w:tcPr>
            <w:tcW w:w="713" w:type="dxa"/>
            <w:shd w:val="clear" w:color="000000" w:fill="FFFFFF"/>
            <w:noWrap/>
            <w:vAlign w:val="center"/>
          </w:tcPr>
          <w:p w14:paraId="55C8D77E" w14:textId="255E5F68" w:rsidR="000739EE" w:rsidRPr="00B71557" w:rsidRDefault="000739EE" w:rsidP="00AF3C34">
            <w:pPr>
              <w:spacing w:after="0" w:line="276" w:lineRule="auto"/>
              <w:jc w:val="right"/>
              <w:rPr>
                <w:rFonts w:cs="Arial"/>
                <w:color w:val="000000"/>
                <w:sz w:val="16"/>
                <w:szCs w:val="16"/>
              </w:rPr>
            </w:pPr>
          </w:p>
        </w:tc>
        <w:tc>
          <w:tcPr>
            <w:tcW w:w="769" w:type="dxa"/>
            <w:shd w:val="clear" w:color="000000" w:fill="FFFFFF"/>
            <w:noWrap/>
            <w:vAlign w:val="center"/>
          </w:tcPr>
          <w:p w14:paraId="14FFE228" w14:textId="143DE3F1" w:rsidR="000739EE" w:rsidRPr="00B71557" w:rsidRDefault="000739EE" w:rsidP="00AF3C34">
            <w:pPr>
              <w:spacing w:after="0" w:line="276" w:lineRule="auto"/>
              <w:jc w:val="right"/>
              <w:rPr>
                <w:rFonts w:cs="Arial"/>
                <w:color w:val="000000"/>
                <w:sz w:val="16"/>
                <w:szCs w:val="16"/>
              </w:rPr>
            </w:pPr>
          </w:p>
        </w:tc>
      </w:tr>
      <w:tr w:rsidR="0060528E" w:rsidRPr="00B71557" w14:paraId="7A75C270" w14:textId="77777777" w:rsidTr="00790111">
        <w:trPr>
          <w:cantSplit/>
          <w:trHeight w:val="270"/>
          <w:jc w:val="center"/>
        </w:trPr>
        <w:tc>
          <w:tcPr>
            <w:tcW w:w="306" w:type="dxa"/>
            <w:shd w:val="clear" w:color="000000" w:fill="FFFFFF"/>
            <w:noWrap/>
            <w:vAlign w:val="center"/>
            <w:hideMark/>
          </w:tcPr>
          <w:p w14:paraId="3AA4AA4E" w14:textId="77777777" w:rsidR="0060528E" w:rsidRPr="00B71557" w:rsidRDefault="0060528E" w:rsidP="00AF3C34">
            <w:pPr>
              <w:spacing w:after="0" w:line="276" w:lineRule="auto"/>
              <w:jc w:val="center"/>
              <w:rPr>
                <w:rFonts w:cs="Arial"/>
                <w:color w:val="000000"/>
                <w:sz w:val="16"/>
                <w:szCs w:val="16"/>
              </w:rPr>
            </w:pPr>
          </w:p>
        </w:tc>
        <w:tc>
          <w:tcPr>
            <w:tcW w:w="5031" w:type="dxa"/>
            <w:gridSpan w:val="2"/>
            <w:shd w:val="clear" w:color="000000" w:fill="FFFFFF"/>
            <w:vAlign w:val="center"/>
            <w:hideMark/>
          </w:tcPr>
          <w:p w14:paraId="5A2653E4"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Επιχορηγήσεις επενδύσεων εσωτερικού διάφορες</w:t>
            </w:r>
          </w:p>
        </w:tc>
        <w:tc>
          <w:tcPr>
            <w:tcW w:w="881" w:type="dxa"/>
            <w:shd w:val="clear" w:color="000000" w:fill="FFFFFF"/>
            <w:noWrap/>
            <w:vAlign w:val="center"/>
          </w:tcPr>
          <w:p w14:paraId="0B6D3EB4" w14:textId="7D0DE533" w:rsidR="0060528E" w:rsidRPr="00B71557" w:rsidRDefault="0060528E" w:rsidP="00AF3C34">
            <w:pPr>
              <w:spacing w:after="0" w:line="276" w:lineRule="auto"/>
              <w:jc w:val="right"/>
              <w:rPr>
                <w:rFonts w:cs="Arial"/>
                <w:color w:val="000000"/>
                <w:sz w:val="16"/>
                <w:szCs w:val="16"/>
              </w:rPr>
            </w:pPr>
            <w:r w:rsidRPr="00B71557">
              <w:rPr>
                <w:rFonts w:cs="Arial"/>
                <w:sz w:val="16"/>
                <w:szCs w:val="16"/>
              </w:rPr>
              <w:t>21</w:t>
            </w:r>
          </w:p>
        </w:tc>
        <w:tc>
          <w:tcPr>
            <w:tcW w:w="909" w:type="dxa"/>
            <w:shd w:val="clear" w:color="000000" w:fill="FFFFFF"/>
            <w:noWrap/>
            <w:vAlign w:val="center"/>
          </w:tcPr>
          <w:p w14:paraId="790B2FF1" w14:textId="191EDB21" w:rsidR="0060528E" w:rsidRPr="00B71557" w:rsidRDefault="0060528E" w:rsidP="00AF3C34">
            <w:pPr>
              <w:spacing w:after="0" w:line="276" w:lineRule="auto"/>
              <w:jc w:val="right"/>
              <w:rPr>
                <w:rFonts w:cs="Arial"/>
                <w:color w:val="000000"/>
                <w:sz w:val="16"/>
                <w:szCs w:val="16"/>
              </w:rPr>
            </w:pPr>
            <w:r w:rsidRPr="00B71557">
              <w:rPr>
                <w:rFonts w:cs="Arial"/>
                <w:sz w:val="16"/>
                <w:szCs w:val="16"/>
              </w:rPr>
              <w:t>25</w:t>
            </w:r>
          </w:p>
        </w:tc>
        <w:tc>
          <w:tcPr>
            <w:tcW w:w="974" w:type="dxa"/>
            <w:shd w:val="clear" w:color="000000" w:fill="FFFFFF"/>
            <w:noWrap/>
            <w:vAlign w:val="center"/>
          </w:tcPr>
          <w:p w14:paraId="3D3B255D" w14:textId="4FC92F5E" w:rsidR="0060528E" w:rsidRPr="00B71557" w:rsidRDefault="0060528E" w:rsidP="00AF3C34">
            <w:pPr>
              <w:spacing w:after="0" w:line="276" w:lineRule="auto"/>
              <w:jc w:val="right"/>
              <w:rPr>
                <w:rFonts w:cs="Arial"/>
                <w:color w:val="000000"/>
                <w:sz w:val="16"/>
                <w:szCs w:val="16"/>
              </w:rPr>
            </w:pPr>
            <w:r w:rsidRPr="00B71557">
              <w:rPr>
                <w:rFonts w:cs="Arial"/>
                <w:sz w:val="16"/>
                <w:szCs w:val="16"/>
              </w:rPr>
              <w:t>25</w:t>
            </w:r>
          </w:p>
        </w:tc>
        <w:tc>
          <w:tcPr>
            <w:tcW w:w="713" w:type="dxa"/>
            <w:shd w:val="clear" w:color="000000" w:fill="FFFFFF"/>
            <w:noWrap/>
            <w:vAlign w:val="center"/>
          </w:tcPr>
          <w:p w14:paraId="21154185" w14:textId="742B13B2" w:rsidR="0060528E" w:rsidRPr="00B71557" w:rsidRDefault="0060528E" w:rsidP="00AF3C34">
            <w:pPr>
              <w:spacing w:after="0" w:line="276" w:lineRule="auto"/>
              <w:jc w:val="right"/>
              <w:rPr>
                <w:rFonts w:cs="Arial"/>
                <w:color w:val="000000"/>
                <w:sz w:val="16"/>
                <w:szCs w:val="16"/>
              </w:rPr>
            </w:pPr>
            <w:r w:rsidRPr="00B71557">
              <w:rPr>
                <w:rFonts w:cs="Arial"/>
                <w:sz w:val="16"/>
                <w:szCs w:val="16"/>
              </w:rPr>
              <w:t>22</w:t>
            </w:r>
          </w:p>
        </w:tc>
        <w:tc>
          <w:tcPr>
            <w:tcW w:w="769" w:type="dxa"/>
            <w:shd w:val="clear" w:color="000000" w:fill="FFFFFF"/>
            <w:noWrap/>
            <w:vAlign w:val="center"/>
          </w:tcPr>
          <w:p w14:paraId="477F51E6" w14:textId="339F78BE" w:rsidR="0060528E" w:rsidRPr="00B71557" w:rsidRDefault="0060528E" w:rsidP="00AF3C34">
            <w:pPr>
              <w:spacing w:after="0" w:line="276" w:lineRule="auto"/>
              <w:jc w:val="right"/>
              <w:rPr>
                <w:rFonts w:cs="Arial"/>
                <w:color w:val="000000"/>
                <w:sz w:val="16"/>
                <w:szCs w:val="16"/>
              </w:rPr>
            </w:pPr>
            <w:r w:rsidRPr="00B71557">
              <w:rPr>
                <w:rFonts w:cs="Arial"/>
                <w:sz w:val="16"/>
                <w:szCs w:val="16"/>
              </w:rPr>
              <w:t>-3</w:t>
            </w:r>
          </w:p>
        </w:tc>
      </w:tr>
      <w:tr w:rsidR="0060528E" w:rsidRPr="00B71557" w14:paraId="5A723306" w14:textId="77777777" w:rsidTr="00790111">
        <w:trPr>
          <w:cantSplit/>
          <w:trHeight w:val="258"/>
          <w:jc w:val="center"/>
        </w:trPr>
        <w:tc>
          <w:tcPr>
            <w:tcW w:w="306" w:type="dxa"/>
            <w:shd w:val="clear" w:color="000000" w:fill="FFFFFF"/>
            <w:noWrap/>
            <w:vAlign w:val="center"/>
            <w:hideMark/>
          </w:tcPr>
          <w:p w14:paraId="12B13362" w14:textId="77777777" w:rsidR="0060528E" w:rsidRPr="00B71557" w:rsidRDefault="0060528E" w:rsidP="00AF3C34">
            <w:pPr>
              <w:spacing w:after="0" w:line="276" w:lineRule="auto"/>
              <w:jc w:val="center"/>
              <w:rPr>
                <w:rFonts w:cs="Arial"/>
                <w:color w:val="000000"/>
                <w:sz w:val="16"/>
                <w:szCs w:val="16"/>
              </w:rPr>
            </w:pPr>
          </w:p>
        </w:tc>
        <w:tc>
          <w:tcPr>
            <w:tcW w:w="5031" w:type="dxa"/>
            <w:gridSpan w:val="2"/>
            <w:shd w:val="clear" w:color="000000" w:fill="FFFFFF"/>
            <w:vAlign w:val="center"/>
            <w:hideMark/>
          </w:tcPr>
          <w:p w14:paraId="330CF146" w14:textId="77777777" w:rsidR="0060528E" w:rsidRPr="00B71557" w:rsidRDefault="0060528E" w:rsidP="00AF3C34">
            <w:pPr>
              <w:spacing w:after="0" w:line="276" w:lineRule="auto"/>
              <w:jc w:val="left"/>
              <w:rPr>
                <w:rFonts w:cs="Arial"/>
                <w:color w:val="000000"/>
                <w:sz w:val="16"/>
                <w:szCs w:val="16"/>
              </w:rPr>
            </w:pPr>
            <w:r w:rsidRPr="00B71557">
              <w:rPr>
                <w:rFonts w:cs="Arial"/>
                <w:color w:val="000000"/>
                <w:sz w:val="16"/>
                <w:szCs w:val="16"/>
              </w:rPr>
              <w:t>Κεντρικοί Αυτοτελείς Πόροι (ΚΑΠ) για επενδυτικές δαπάνες Δήμων</w:t>
            </w:r>
          </w:p>
        </w:tc>
        <w:tc>
          <w:tcPr>
            <w:tcW w:w="881" w:type="dxa"/>
            <w:shd w:val="clear" w:color="000000" w:fill="FFFFFF"/>
            <w:noWrap/>
            <w:vAlign w:val="center"/>
          </w:tcPr>
          <w:p w14:paraId="1290C686" w14:textId="07E7EC37" w:rsidR="0060528E" w:rsidRPr="00B71557" w:rsidRDefault="0060528E" w:rsidP="00AF3C34">
            <w:pPr>
              <w:spacing w:after="0" w:line="276" w:lineRule="auto"/>
              <w:jc w:val="right"/>
              <w:rPr>
                <w:rFonts w:cs="Arial"/>
                <w:color w:val="000000"/>
                <w:sz w:val="16"/>
                <w:szCs w:val="16"/>
              </w:rPr>
            </w:pPr>
            <w:r w:rsidRPr="00B71557">
              <w:rPr>
                <w:rFonts w:cs="Arial"/>
                <w:sz w:val="16"/>
                <w:szCs w:val="16"/>
              </w:rPr>
              <w:t>200</w:t>
            </w:r>
          </w:p>
        </w:tc>
        <w:tc>
          <w:tcPr>
            <w:tcW w:w="909" w:type="dxa"/>
            <w:shd w:val="clear" w:color="000000" w:fill="FFFFFF"/>
            <w:noWrap/>
            <w:vAlign w:val="center"/>
          </w:tcPr>
          <w:p w14:paraId="571CD014" w14:textId="675DAFA1" w:rsidR="0060528E" w:rsidRPr="00B71557" w:rsidRDefault="0060528E" w:rsidP="00AF3C34">
            <w:pPr>
              <w:spacing w:after="0" w:line="276" w:lineRule="auto"/>
              <w:jc w:val="right"/>
              <w:rPr>
                <w:rFonts w:cs="Arial"/>
                <w:color w:val="000000"/>
                <w:sz w:val="16"/>
                <w:szCs w:val="16"/>
              </w:rPr>
            </w:pPr>
            <w:r w:rsidRPr="00B71557">
              <w:rPr>
                <w:rFonts w:cs="Arial"/>
                <w:sz w:val="16"/>
                <w:szCs w:val="16"/>
              </w:rPr>
              <w:t>200</w:t>
            </w:r>
          </w:p>
        </w:tc>
        <w:tc>
          <w:tcPr>
            <w:tcW w:w="974" w:type="dxa"/>
            <w:shd w:val="clear" w:color="000000" w:fill="FFFFFF"/>
            <w:noWrap/>
            <w:vAlign w:val="center"/>
          </w:tcPr>
          <w:p w14:paraId="07678176" w14:textId="10278F6E" w:rsidR="0060528E" w:rsidRPr="00B71557" w:rsidRDefault="0060528E" w:rsidP="00AF3C34">
            <w:pPr>
              <w:spacing w:after="0" w:line="276" w:lineRule="auto"/>
              <w:jc w:val="right"/>
              <w:rPr>
                <w:rFonts w:cs="Arial"/>
                <w:color w:val="000000"/>
                <w:sz w:val="16"/>
                <w:szCs w:val="16"/>
              </w:rPr>
            </w:pPr>
            <w:r w:rsidRPr="00B71557">
              <w:rPr>
                <w:rFonts w:cs="Arial"/>
                <w:sz w:val="16"/>
                <w:szCs w:val="16"/>
              </w:rPr>
              <w:t>200</w:t>
            </w:r>
          </w:p>
        </w:tc>
        <w:tc>
          <w:tcPr>
            <w:tcW w:w="713" w:type="dxa"/>
            <w:shd w:val="clear" w:color="000000" w:fill="FFFFFF"/>
            <w:noWrap/>
            <w:vAlign w:val="center"/>
          </w:tcPr>
          <w:p w14:paraId="28DE3874" w14:textId="58B61D91"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c>
          <w:tcPr>
            <w:tcW w:w="769" w:type="dxa"/>
            <w:shd w:val="clear" w:color="000000" w:fill="FFFFFF"/>
            <w:noWrap/>
            <w:vAlign w:val="center"/>
          </w:tcPr>
          <w:p w14:paraId="70287089" w14:textId="5D991CC4" w:rsidR="0060528E" w:rsidRPr="00B71557" w:rsidRDefault="0060528E" w:rsidP="00AF3C34">
            <w:pPr>
              <w:spacing w:after="0" w:line="276" w:lineRule="auto"/>
              <w:jc w:val="right"/>
              <w:rPr>
                <w:rFonts w:cs="Arial"/>
                <w:color w:val="000000"/>
                <w:sz w:val="16"/>
                <w:szCs w:val="16"/>
              </w:rPr>
            </w:pPr>
            <w:r w:rsidRPr="00B71557">
              <w:rPr>
                <w:rFonts w:cs="Arial"/>
                <w:sz w:val="16"/>
                <w:szCs w:val="16"/>
              </w:rPr>
              <w:t>0</w:t>
            </w:r>
          </w:p>
        </w:tc>
      </w:tr>
      <w:tr w:rsidR="0060528E" w:rsidRPr="00B71557" w14:paraId="4EC77E4A" w14:textId="77777777" w:rsidTr="00790111">
        <w:trPr>
          <w:cantSplit/>
          <w:trHeight w:val="270"/>
          <w:jc w:val="center"/>
        </w:trPr>
        <w:tc>
          <w:tcPr>
            <w:tcW w:w="306" w:type="dxa"/>
            <w:shd w:val="clear" w:color="000000" w:fill="FFFFFF"/>
            <w:noWrap/>
            <w:vAlign w:val="center"/>
            <w:hideMark/>
          </w:tcPr>
          <w:p w14:paraId="6A1C65BD" w14:textId="77777777" w:rsidR="0060528E" w:rsidRPr="00B71557" w:rsidRDefault="0060528E" w:rsidP="00AF3C34">
            <w:pPr>
              <w:spacing w:after="0" w:line="276" w:lineRule="auto"/>
              <w:jc w:val="center"/>
              <w:rPr>
                <w:rFonts w:cs="Arial"/>
                <w:b/>
                <w:bCs/>
                <w:color w:val="000000"/>
                <w:sz w:val="16"/>
                <w:szCs w:val="16"/>
              </w:rPr>
            </w:pPr>
            <w:r w:rsidRPr="00B71557">
              <w:rPr>
                <w:rFonts w:cs="Arial"/>
                <w:b/>
                <w:bCs/>
                <w:color w:val="000000"/>
                <w:sz w:val="16"/>
                <w:szCs w:val="16"/>
              </w:rPr>
              <w:t>5</w:t>
            </w:r>
          </w:p>
        </w:tc>
        <w:tc>
          <w:tcPr>
            <w:tcW w:w="5031" w:type="dxa"/>
            <w:gridSpan w:val="2"/>
            <w:shd w:val="clear" w:color="000000" w:fill="FFFFFF"/>
            <w:vAlign w:val="center"/>
            <w:hideMark/>
          </w:tcPr>
          <w:p w14:paraId="5E77E777" w14:textId="77777777" w:rsidR="0060528E" w:rsidRPr="00B71557" w:rsidRDefault="0060528E" w:rsidP="00AF3C34">
            <w:pPr>
              <w:spacing w:after="0" w:line="276" w:lineRule="auto"/>
              <w:jc w:val="left"/>
              <w:rPr>
                <w:rFonts w:cs="Arial"/>
                <w:b/>
                <w:bCs/>
                <w:color w:val="000000"/>
                <w:sz w:val="16"/>
                <w:szCs w:val="16"/>
              </w:rPr>
            </w:pPr>
            <w:r w:rsidRPr="00B71557">
              <w:rPr>
                <w:rFonts w:cs="Arial"/>
                <w:b/>
                <w:bCs/>
                <w:color w:val="000000"/>
                <w:sz w:val="16"/>
                <w:szCs w:val="16"/>
              </w:rPr>
              <w:t>Λοιπές μεταβιβάσεις</w:t>
            </w:r>
          </w:p>
        </w:tc>
        <w:tc>
          <w:tcPr>
            <w:tcW w:w="881" w:type="dxa"/>
            <w:shd w:val="clear" w:color="000000" w:fill="FFFFFF"/>
            <w:noWrap/>
            <w:vAlign w:val="center"/>
          </w:tcPr>
          <w:p w14:paraId="38F797F9" w14:textId="55F163EB"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242</w:t>
            </w:r>
          </w:p>
        </w:tc>
        <w:tc>
          <w:tcPr>
            <w:tcW w:w="909" w:type="dxa"/>
            <w:shd w:val="clear" w:color="000000" w:fill="FFFFFF"/>
            <w:noWrap/>
            <w:vAlign w:val="center"/>
          </w:tcPr>
          <w:p w14:paraId="0D8DF9D6" w14:textId="28930A9C"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137</w:t>
            </w:r>
          </w:p>
        </w:tc>
        <w:tc>
          <w:tcPr>
            <w:tcW w:w="974" w:type="dxa"/>
            <w:shd w:val="clear" w:color="000000" w:fill="FFFFFF"/>
            <w:noWrap/>
            <w:vAlign w:val="center"/>
          </w:tcPr>
          <w:p w14:paraId="1AB63A12" w14:textId="2C0ACD27"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25</w:t>
            </w:r>
          </w:p>
        </w:tc>
        <w:tc>
          <w:tcPr>
            <w:tcW w:w="713" w:type="dxa"/>
            <w:shd w:val="clear" w:color="000000" w:fill="FFFFFF"/>
            <w:noWrap/>
            <w:vAlign w:val="center"/>
          </w:tcPr>
          <w:p w14:paraId="5BDE8846" w14:textId="356D19C6"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-44</w:t>
            </w:r>
          </w:p>
        </w:tc>
        <w:tc>
          <w:tcPr>
            <w:tcW w:w="769" w:type="dxa"/>
            <w:shd w:val="clear" w:color="000000" w:fill="FFFFFF"/>
            <w:noWrap/>
            <w:vAlign w:val="center"/>
          </w:tcPr>
          <w:p w14:paraId="031EC711" w14:textId="35829B25" w:rsidR="0060528E" w:rsidRPr="00AF3C34" w:rsidRDefault="0060528E" w:rsidP="00AF3C34">
            <w:pPr>
              <w:spacing w:after="0" w:line="276" w:lineRule="auto"/>
              <w:jc w:val="right"/>
              <w:rPr>
                <w:rFonts w:cs="Arial"/>
                <w:b/>
                <w:bCs/>
                <w:color w:val="000000"/>
                <w:sz w:val="16"/>
                <w:szCs w:val="16"/>
              </w:rPr>
            </w:pPr>
            <w:r w:rsidRPr="00AF3C34">
              <w:rPr>
                <w:rFonts w:cs="Arial"/>
                <w:b/>
                <w:sz w:val="16"/>
                <w:szCs w:val="16"/>
              </w:rPr>
              <w:t>-82</w:t>
            </w:r>
          </w:p>
        </w:tc>
      </w:tr>
      <w:tr w:rsidR="008467BD" w:rsidRPr="00B71557" w14:paraId="2D09AA87" w14:textId="77777777" w:rsidTr="00790111">
        <w:trPr>
          <w:cantSplit/>
          <w:trHeight w:val="270"/>
          <w:jc w:val="center"/>
        </w:trPr>
        <w:tc>
          <w:tcPr>
            <w:tcW w:w="306" w:type="dxa"/>
            <w:shd w:val="clear" w:color="auto" w:fill="F2F2F2" w:themeFill="background1" w:themeFillShade="F2"/>
            <w:noWrap/>
            <w:vAlign w:val="center"/>
            <w:hideMark/>
          </w:tcPr>
          <w:p w14:paraId="5644AFAE" w14:textId="77777777" w:rsidR="008467BD" w:rsidRPr="00B71557" w:rsidRDefault="008467BD" w:rsidP="00AF3C34">
            <w:pPr>
              <w:spacing w:after="0" w:line="276" w:lineRule="auto"/>
              <w:jc w:val="center"/>
              <w:rPr>
                <w:rFonts w:cs="Arial"/>
                <w:b/>
                <w:bCs/>
                <w:color w:val="000000"/>
                <w:sz w:val="16"/>
                <w:szCs w:val="16"/>
              </w:rPr>
            </w:pPr>
            <w:r w:rsidRPr="00B71557">
              <w:rPr>
                <w:rFonts w:cs="Arial"/>
                <w:b/>
                <w:bCs/>
                <w:color w:val="000000"/>
                <w:sz w:val="16"/>
                <w:szCs w:val="16"/>
              </w:rPr>
              <w:t>I</w:t>
            </w:r>
          </w:p>
        </w:tc>
        <w:tc>
          <w:tcPr>
            <w:tcW w:w="5031" w:type="dxa"/>
            <w:gridSpan w:val="2"/>
            <w:shd w:val="clear" w:color="auto" w:fill="F2F2F2" w:themeFill="background1" w:themeFillShade="F2"/>
            <w:vAlign w:val="center"/>
            <w:hideMark/>
          </w:tcPr>
          <w:p w14:paraId="24148C0A" w14:textId="77777777" w:rsidR="008467BD" w:rsidRPr="00B71557" w:rsidRDefault="008467BD" w:rsidP="00AF3C34">
            <w:pPr>
              <w:spacing w:after="0" w:line="276" w:lineRule="auto"/>
              <w:jc w:val="left"/>
              <w:rPr>
                <w:rFonts w:cs="Arial"/>
                <w:b/>
                <w:bCs/>
                <w:color w:val="000000"/>
                <w:sz w:val="16"/>
                <w:szCs w:val="16"/>
              </w:rPr>
            </w:pPr>
            <w:r w:rsidRPr="00B71557">
              <w:rPr>
                <w:rFonts w:cs="Arial"/>
                <w:b/>
                <w:bCs/>
                <w:color w:val="000000"/>
                <w:sz w:val="16"/>
                <w:szCs w:val="16"/>
              </w:rPr>
              <w:t>Σύνολο μεταβιβάσεων εντός ΓΚ τακτικού προϋπολογισμού (1+2+3+4+5)</w:t>
            </w:r>
          </w:p>
        </w:tc>
        <w:tc>
          <w:tcPr>
            <w:tcW w:w="881" w:type="dxa"/>
            <w:shd w:val="clear" w:color="auto" w:fill="F2F2F2" w:themeFill="background1" w:themeFillShade="F2"/>
            <w:noWrap/>
            <w:vAlign w:val="center"/>
          </w:tcPr>
          <w:p w14:paraId="434D2FB4" w14:textId="35FF53E2"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28.872</w:t>
            </w:r>
          </w:p>
        </w:tc>
        <w:tc>
          <w:tcPr>
            <w:tcW w:w="909" w:type="dxa"/>
            <w:shd w:val="clear" w:color="auto" w:fill="F2F2F2" w:themeFill="background1" w:themeFillShade="F2"/>
            <w:noWrap/>
            <w:vAlign w:val="center"/>
          </w:tcPr>
          <w:p w14:paraId="032BDE97" w14:textId="1F41DFD8"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30.698</w:t>
            </w:r>
          </w:p>
        </w:tc>
        <w:tc>
          <w:tcPr>
            <w:tcW w:w="974" w:type="dxa"/>
            <w:shd w:val="clear" w:color="auto" w:fill="F2F2F2" w:themeFill="background1" w:themeFillShade="F2"/>
            <w:noWrap/>
            <w:vAlign w:val="center"/>
          </w:tcPr>
          <w:p w14:paraId="4507044C" w14:textId="3D3513AC"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31.283</w:t>
            </w:r>
          </w:p>
        </w:tc>
        <w:tc>
          <w:tcPr>
            <w:tcW w:w="713" w:type="dxa"/>
            <w:shd w:val="clear" w:color="auto" w:fill="F2F2F2" w:themeFill="background1" w:themeFillShade="F2"/>
            <w:noWrap/>
            <w:vAlign w:val="center"/>
          </w:tcPr>
          <w:p w14:paraId="393CAF5A" w14:textId="38407BC9"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6</w:t>
            </w:r>
          </w:p>
        </w:tc>
        <w:tc>
          <w:tcPr>
            <w:tcW w:w="769" w:type="dxa"/>
            <w:shd w:val="clear" w:color="auto" w:fill="F2F2F2" w:themeFill="background1" w:themeFillShade="F2"/>
            <w:noWrap/>
            <w:vAlign w:val="center"/>
          </w:tcPr>
          <w:p w14:paraId="681FF512" w14:textId="1CD9A0BE"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2</w:t>
            </w:r>
          </w:p>
        </w:tc>
      </w:tr>
      <w:tr w:rsidR="000739EE" w:rsidRPr="00B71557" w14:paraId="31131281" w14:textId="77777777" w:rsidTr="00790111">
        <w:trPr>
          <w:cantSplit/>
          <w:trHeight w:val="285"/>
          <w:jc w:val="center"/>
        </w:trPr>
        <w:tc>
          <w:tcPr>
            <w:tcW w:w="9586" w:type="dxa"/>
            <w:gridSpan w:val="8"/>
            <w:shd w:val="clear" w:color="auto" w:fill="D5DCE4"/>
            <w:noWrap/>
            <w:vAlign w:val="center"/>
            <w:hideMark/>
          </w:tcPr>
          <w:p w14:paraId="66DFC19A" w14:textId="77777777" w:rsidR="000739EE" w:rsidRPr="00B71557" w:rsidRDefault="000739EE" w:rsidP="00AF3C34">
            <w:pPr>
              <w:spacing w:after="0" w:line="276" w:lineRule="auto"/>
              <w:jc w:val="center"/>
              <w:rPr>
                <w:rFonts w:cs="Arial"/>
                <w:b/>
                <w:bCs/>
                <w:color w:val="000000"/>
                <w:sz w:val="16"/>
                <w:szCs w:val="16"/>
              </w:rPr>
            </w:pPr>
            <w:r w:rsidRPr="00B71557">
              <w:rPr>
                <w:rFonts w:cs="Arial"/>
                <w:b/>
                <w:bCs/>
                <w:color w:val="000000"/>
                <w:sz w:val="16"/>
                <w:szCs w:val="16"/>
              </w:rPr>
              <w:t>Μεταβιβάσεις από τον τακτικό προϋπολογισμό σε φορείς εκτός Γενικής Κυβέρνησης</w:t>
            </w:r>
          </w:p>
        </w:tc>
      </w:tr>
      <w:tr w:rsidR="008467BD" w:rsidRPr="00B71557" w14:paraId="405F9A03" w14:textId="77777777" w:rsidTr="00790111">
        <w:trPr>
          <w:cantSplit/>
          <w:trHeight w:val="270"/>
          <w:jc w:val="center"/>
        </w:trPr>
        <w:tc>
          <w:tcPr>
            <w:tcW w:w="306" w:type="dxa"/>
            <w:shd w:val="clear" w:color="000000" w:fill="FFFFFF"/>
            <w:noWrap/>
            <w:vAlign w:val="center"/>
            <w:hideMark/>
          </w:tcPr>
          <w:p w14:paraId="43B9A55F" w14:textId="77777777" w:rsidR="008467BD" w:rsidRPr="00B71557" w:rsidRDefault="008467BD" w:rsidP="00AF3C34">
            <w:pPr>
              <w:spacing w:after="0" w:line="276" w:lineRule="auto"/>
              <w:jc w:val="center"/>
              <w:rPr>
                <w:rFonts w:cs="Arial"/>
                <w:b/>
                <w:bCs/>
                <w:color w:val="000000"/>
                <w:sz w:val="16"/>
                <w:szCs w:val="16"/>
              </w:rPr>
            </w:pPr>
            <w:r w:rsidRPr="00B71557">
              <w:rPr>
                <w:rFonts w:cs="Arial"/>
                <w:b/>
                <w:bCs/>
                <w:color w:val="000000"/>
                <w:sz w:val="16"/>
                <w:szCs w:val="16"/>
              </w:rPr>
              <w:t>1</w:t>
            </w:r>
          </w:p>
        </w:tc>
        <w:tc>
          <w:tcPr>
            <w:tcW w:w="5031" w:type="dxa"/>
            <w:gridSpan w:val="2"/>
            <w:shd w:val="clear" w:color="000000" w:fill="FFFFFF"/>
            <w:vAlign w:val="center"/>
            <w:hideMark/>
          </w:tcPr>
          <w:p w14:paraId="440A046E" w14:textId="77777777" w:rsidR="008467BD" w:rsidRPr="00B71557" w:rsidRDefault="008467BD" w:rsidP="00AF3C34">
            <w:pPr>
              <w:spacing w:after="0" w:line="276" w:lineRule="auto"/>
              <w:jc w:val="left"/>
              <w:rPr>
                <w:rFonts w:cs="Arial"/>
                <w:b/>
                <w:bCs/>
                <w:color w:val="000000"/>
                <w:sz w:val="16"/>
                <w:szCs w:val="16"/>
              </w:rPr>
            </w:pPr>
            <w:r w:rsidRPr="00B71557">
              <w:rPr>
                <w:rFonts w:cs="Arial"/>
                <w:b/>
                <w:bCs/>
                <w:color w:val="000000"/>
                <w:sz w:val="16"/>
                <w:szCs w:val="16"/>
              </w:rPr>
              <w:t>Μεταβιβάσεις σε λοιπά νομικά πρόσωπα</w:t>
            </w:r>
          </w:p>
        </w:tc>
        <w:tc>
          <w:tcPr>
            <w:tcW w:w="881" w:type="dxa"/>
            <w:shd w:val="clear" w:color="000000" w:fill="FFFFFF"/>
            <w:noWrap/>
            <w:vAlign w:val="center"/>
          </w:tcPr>
          <w:p w14:paraId="4F58BE69" w14:textId="6C1092CB"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501</w:t>
            </w:r>
          </w:p>
        </w:tc>
        <w:tc>
          <w:tcPr>
            <w:tcW w:w="909" w:type="dxa"/>
            <w:shd w:val="clear" w:color="000000" w:fill="FFFFFF"/>
            <w:noWrap/>
            <w:vAlign w:val="center"/>
          </w:tcPr>
          <w:p w14:paraId="1A8DA2CE" w14:textId="52DC5EF2"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471</w:t>
            </w:r>
          </w:p>
        </w:tc>
        <w:tc>
          <w:tcPr>
            <w:tcW w:w="974" w:type="dxa"/>
            <w:shd w:val="clear" w:color="000000" w:fill="FFFFFF"/>
            <w:noWrap/>
            <w:vAlign w:val="center"/>
          </w:tcPr>
          <w:p w14:paraId="46AB7873" w14:textId="6B3344A6"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547</w:t>
            </w:r>
          </w:p>
        </w:tc>
        <w:tc>
          <w:tcPr>
            <w:tcW w:w="713" w:type="dxa"/>
            <w:shd w:val="clear" w:color="000000" w:fill="FFFFFF"/>
            <w:noWrap/>
            <w:vAlign w:val="center"/>
          </w:tcPr>
          <w:p w14:paraId="3B38B5C9" w14:textId="28DD933C"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-6</w:t>
            </w:r>
          </w:p>
        </w:tc>
        <w:tc>
          <w:tcPr>
            <w:tcW w:w="769" w:type="dxa"/>
            <w:shd w:val="clear" w:color="000000" w:fill="FFFFFF"/>
            <w:noWrap/>
            <w:vAlign w:val="center"/>
          </w:tcPr>
          <w:p w14:paraId="09A2A9FA" w14:textId="5766333F"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16</w:t>
            </w:r>
          </w:p>
        </w:tc>
      </w:tr>
      <w:tr w:rsidR="008467BD" w:rsidRPr="00B71557" w14:paraId="32FD37AE" w14:textId="77777777" w:rsidTr="00790111">
        <w:trPr>
          <w:cantSplit/>
          <w:trHeight w:val="258"/>
          <w:jc w:val="center"/>
        </w:trPr>
        <w:tc>
          <w:tcPr>
            <w:tcW w:w="306" w:type="dxa"/>
            <w:shd w:val="clear" w:color="000000" w:fill="FFFFFF"/>
            <w:noWrap/>
            <w:vAlign w:val="center"/>
            <w:hideMark/>
          </w:tcPr>
          <w:p w14:paraId="2EA435CA" w14:textId="77777777" w:rsidR="008467BD" w:rsidRPr="00B71557" w:rsidRDefault="008467BD" w:rsidP="00AF3C34">
            <w:pPr>
              <w:spacing w:after="0" w:line="276" w:lineRule="auto"/>
              <w:jc w:val="center"/>
              <w:rPr>
                <w:rFonts w:cs="Arial"/>
                <w:b/>
                <w:bCs/>
                <w:color w:val="000000"/>
                <w:sz w:val="16"/>
                <w:szCs w:val="16"/>
              </w:rPr>
            </w:pPr>
            <w:r w:rsidRPr="00B71557">
              <w:rPr>
                <w:rFonts w:cs="Arial"/>
                <w:b/>
                <w:bCs/>
                <w:color w:val="000000"/>
                <w:sz w:val="16"/>
                <w:szCs w:val="16"/>
              </w:rPr>
              <w:t>2</w:t>
            </w:r>
          </w:p>
        </w:tc>
        <w:tc>
          <w:tcPr>
            <w:tcW w:w="5031" w:type="dxa"/>
            <w:gridSpan w:val="2"/>
            <w:shd w:val="clear" w:color="000000" w:fill="FFFFFF"/>
            <w:vAlign w:val="center"/>
            <w:hideMark/>
          </w:tcPr>
          <w:p w14:paraId="6CB051E8" w14:textId="77777777" w:rsidR="008467BD" w:rsidRPr="00B71557" w:rsidRDefault="008467BD" w:rsidP="00AF3C34">
            <w:pPr>
              <w:spacing w:after="0" w:line="276" w:lineRule="auto"/>
              <w:jc w:val="left"/>
              <w:rPr>
                <w:rFonts w:cs="Arial"/>
                <w:b/>
                <w:bCs/>
                <w:color w:val="000000"/>
                <w:sz w:val="16"/>
                <w:szCs w:val="16"/>
              </w:rPr>
            </w:pPr>
            <w:r w:rsidRPr="00B71557">
              <w:rPr>
                <w:rFonts w:cs="Arial"/>
                <w:b/>
                <w:bCs/>
                <w:color w:val="000000"/>
                <w:sz w:val="16"/>
                <w:szCs w:val="16"/>
              </w:rPr>
              <w:t>Λοιπές μεταβιβάσεις (τρέχουσες εγχώριες)</w:t>
            </w:r>
          </w:p>
        </w:tc>
        <w:tc>
          <w:tcPr>
            <w:tcW w:w="881" w:type="dxa"/>
            <w:shd w:val="clear" w:color="000000" w:fill="FFFFFF"/>
            <w:noWrap/>
            <w:vAlign w:val="center"/>
          </w:tcPr>
          <w:p w14:paraId="43433515" w14:textId="06C8D88C"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166</w:t>
            </w:r>
          </w:p>
        </w:tc>
        <w:tc>
          <w:tcPr>
            <w:tcW w:w="909" w:type="dxa"/>
            <w:shd w:val="clear" w:color="000000" w:fill="FFFFFF"/>
            <w:noWrap/>
            <w:vAlign w:val="center"/>
          </w:tcPr>
          <w:p w14:paraId="04582D97" w14:textId="62283279"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154</w:t>
            </w:r>
          </w:p>
        </w:tc>
        <w:tc>
          <w:tcPr>
            <w:tcW w:w="974" w:type="dxa"/>
            <w:shd w:val="clear" w:color="000000" w:fill="FFFFFF"/>
            <w:noWrap/>
            <w:vAlign w:val="center"/>
          </w:tcPr>
          <w:p w14:paraId="45D9ADDB" w14:textId="3B252DF7"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77</w:t>
            </w:r>
          </w:p>
        </w:tc>
        <w:tc>
          <w:tcPr>
            <w:tcW w:w="713" w:type="dxa"/>
            <w:shd w:val="clear" w:color="000000" w:fill="FFFFFF"/>
            <w:noWrap/>
            <w:vAlign w:val="center"/>
          </w:tcPr>
          <w:p w14:paraId="4AEF86A5" w14:textId="1C6126B0"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-7</w:t>
            </w:r>
          </w:p>
        </w:tc>
        <w:tc>
          <w:tcPr>
            <w:tcW w:w="769" w:type="dxa"/>
            <w:shd w:val="clear" w:color="000000" w:fill="FFFFFF"/>
            <w:noWrap/>
            <w:vAlign w:val="center"/>
          </w:tcPr>
          <w:p w14:paraId="620D4AD8" w14:textId="5615EC21"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-50</w:t>
            </w:r>
          </w:p>
        </w:tc>
      </w:tr>
      <w:tr w:rsidR="008467BD" w:rsidRPr="00B71557" w14:paraId="315BC703" w14:textId="77777777" w:rsidTr="00790111">
        <w:trPr>
          <w:cantSplit/>
          <w:trHeight w:val="270"/>
          <w:jc w:val="center"/>
        </w:trPr>
        <w:tc>
          <w:tcPr>
            <w:tcW w:w="306" w:type="dxa"/>
            <w:shd w:val="clear" w:color="000000" w:fill="FFFFFF"/>
            <w:noWrap/>
            <w:vAlign w:val="center"/>
            <w:hideMark/>
          </w:tcPr>
          <w:p w14:paraId="374DE7AD" w14:textId="77777777" w:rsidR="008467BD" w:rsidRPr="00B71557" w:rsidRDefault="008467BD" w:rsidP="00AF3C34">
            <w:pPr>
              <w:spacing w:after="0" w:line="276" w:lineRule="auto"/>
              <w:jc w:val="center"/>
              <w:rPr>
                <w:rFonts w:cs="Arial"/>
                <w:b/>
                <w:bCs/>
                <w:color w:val="000000"/>
                <w:sz w:val="16"/>
                <w:szCs w:val="16"/>
              </w:rPr>
            </w:pPr>
            <w:r w:rsidRPr="00B71557">
              <w:rPr>
                <w:rFonts w:cs="Arial"/>
                <w:b/>
                <w:bCs/>
                <w:color w:val="000000"/>
                <w:sz w:val="16"/>
                <w:szCs w:val="16"/>
              </w:rPr>
              <w:t>3</w:t>
            </w:r>
          </w:p>
        </w:tc>
        <w:tc>
          <w:tcPr>
            <w:tcW w:w="5031" w:type="dxa"/>
            <w:gridSpan w:val="2"/>
            <w:shd w:val="clear" w:color="000000" w:fill="FFFFFF"/>
            <w:vAlign w:val="center"/>
            <w:hideMark/>
          </w:tcPr>
          <w:p w14:paraId="42BDAD0B" w14:textId="5D401D92" w:rsidR="008467BD" w:rsidRPr="00B71557" w:rsidRDefault="008467BD" w:rsidP="00AF3C34">
            <w:pPr>
              <w:spacing w:after="0" w:line="276" w:lineRule="auto"/>
              <w:jc w:val="left"/>
              <w:rPr>
                <w:rFonts w:cs="Arial"/>
                <w:b/>
                <w:bCs/>
                <w:color w:val="000000"/>
                <w:sz w:val="16"/>
                <w:szCs w:val="16"/>
              </w:rPr>
            </w:pPr>
            <w:r w:rsidRPr="00B71557">
              <w:rPr>
                <w:rFonts w:cs="Arial"/>
                <w:b/>
                <w:bCs/>
                <w:color w:val="000000"/>
                <w:sz w:val="16"/>
                <w:szCs w:val="16"/>
              </w:rPr>
              <w:t xml:space="preserve">Τρέχουσες μεταβιβάσεις προς οργανισμούς και κράτη </w:t>
            </w:r>
            <w:r w:rsidR="00344154">
              <w:rPr>
                <w:rFonts w:cs="Arial"/>
                <w:b/>
                <w:bCs/>
                <w:color w:val="000000"/>
                <w:sz w:val="16"/>
                <w:szCs w:val="16"/>
              </w:rPr>
              <w:t xml:space="preserve">- </w:t>
            </w:r>
            <w:r w:rsidRPr="00B71557">
              <w:rPr>
                <w:rFonts w:cs="Arial"/>
                <w:b/>
                <w:bCs/>
                <w:color w:val="000000"/>
                <w:sz w:val="16"/>
                <w:szCs w:val="16"/>
              </w:rPr>
              <w:t>μέλη της ΕΕ</w:t>
            </w:r>
          </w:p>
        </w:tc>
        <w:tc>
          <w:tcPr>
            <w:tcW w:w="881" w:type="dxa"/>
            <w:shd w:val="clear" w:color="000000" w:fill="FFFFFF"/>
            <w:noWrap/>
            <w:vAlign w:val="center"/>
          </w:tcPr>
          <w:p w14:paraId="01A446A2" w14:textId="22107EB0"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2.289</w:t>
            </w:r>
          </w:p>
        </w:tc>
        <w:tc>
          <w:tcPr>
            <w:tcW w:w="909" w:type="dxa"/>
            <w:shd w:val="clear" w:color="000000" w:fill="FFFFFF"/>
            <w:noWrap/>
            <w:vAlign w:val="center"/>
          </w:tcPr>
          <w:p w14:paraId="16365AD8" w14:textId="6DD8F176"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2.519</w:t>
            </w:r>
          </w:p>
        </w:tc>
        <w:tc>
          <w:tcPr>
            <w:tcW w:w="974" w:type="dxa"/>
            <w:shd w:val="clear" w:color="000000" w:fill="FFFFFF"/>
            <w:noWrap/>
            <w:vAlign w:val="center"/>
          </w:tcPr>
          <w:p w14:paraId="3E47C778" w14:textId="36B43FAB"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2.949</w:t>
            </w:r>
          </w:p>
        </w:tc>
        <w:tc>
          <w:tcPr>
            <w:tcW w:w="713" w:type="dxa"/>
            <w:shd w:val="clear" w:color="000000" w:fill="FFFFFF"/>
            <w:noWrap/>
            <w:vAlign w:val="center"/>
          </w:tcPr>
          <w:p w14:paraId="62BC1202" w14:textId="3BFB4A14"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10</w:t>
            </w:r>
          </w:p>
        </w:tc>
        <w:tc>
          <w:tcPr>
            <w:tcW w:w="769" w:type="dxa"/>
            <w:shd w:val="clear" w:color="000000" w:fill="FFFFFF"/>
            <w:noWrap/>
            <w:vAlign w:val="center"/>
          </w:tcPr>
          <w:p w14:paraId="640BBCED" w14:textId="3255BBA1"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17</w:t>
            </w:r>
          </w:p>
        </w:tc>
      </w:tr>
      <w:tr w:rsidR="008467BD" w:rsidRPr="00B71557" w14:paraId="614F6DEB" w14:textId="77777777" w:rsidTr="00790111">
        <w:trPr>
          <w:cantSplit/>
          <w:trHeight w:val="270"/>
          <w:jc w:val="center"/>
        </w:trPr>
        <w:tc>
          <w:tcPr>
            <w:tcW w:w="306" w:type="dxa"/>
            <w:shd w:val="clear" w:color="000000" w:fill="FFFFFF"/>
            <w:noWrap/>
            <w:vAlign w:val="center"/>
            <w:hideMark/>
          </w:tcPr>
          <w:p w14:paraId="28EE7BAF" w14:textId="77777777" w:rsidR="008467BD" w:rsidRPr="00B71557" w:rsidRDefault="008467BD" w:rsidP="00AF3C34">
            <w:pPr>
              <w:spacing w:after="0" w:line="276" w:lineRule="auto"/>
              <w:jc w:val="center"/>
              <w:rPr>
                <w:rFonts w:cs="Arial"/>
                <w:b/>
                <w:bCs/>
                <w:color w:val="000000"/>
                <w:sz w:val="16"/>
                <w:szCs w:val="16"/>
              </w:rPr>
            </w:pPr>
            <w:r w:rsidRPr="00B71557">
              <w:rPr>
                <w:rFonts w:cs="Arial"/>
                <w:b/>
                <w:bCs/>
                <w:color w:val="000000"/>
                <w:sz w:val="16"/>
                <w:szCs w:val="16"/>
              </w:rPr>
              <w:t>4</w:t>
            </w:r>
          </w:p>
        </w:tc>
        <w:tc>
          <w:tcPr>
            <w:tcW w:w="5031" w:type="dxa"/>
            <w:gridSpan w:val="2"/>
            <w:shd w:val="clear" w:color="000000" w:fill="FFFFFF"/>
            <w:vAlign w:val="center"/>
            <w:hideMark/>
          </w:tcPr>
          <w:p w14:paraId="600BA7E3" w14:textId="77777777" w:rsidR="008467BD" w:rsidRPr="00B71557" w:rsidRDefault="008467BD" w:rsidP="00AF3C34">
            <w:pPr>
              <w:spacing w:after="0" w:line="276" w:lineRule="auto"/>
              <w:jc w:val="left"/>
              <w:rPr>
                <w:rFonts w:cs="Arial"/>
                <w:b/>
                <w:bCs/>
                <w:color w:val="000000"/>
                <w:sz w:val="16"/>
                <w:szCs w:val="16"/>
              </w:rPr>
            </w:pPr>
            <w:r w:rsidRPr="00B71557">
              <w:rPr>
                <w:rFonts w:cs="Arial"/>
                <w:b/>
                <w:bCs/>
                <w:color w:val="000000"/>
                <w:sz w:val="16"/>
                <w:szCs w:val="16"/>
              </w:rPr>
              <w:t>Λοιπές μεταβιβάσεις</w:t>
            </w:r>
          </w:p>
        </w:tc>
        <w:tc>
          <w:tcPr>
            <w:tcW w:w="881" w:type="dxa"/>
            <w:shd w:val="clear" w:color="000000" w:fill="FFFFFF"/>
            <w:noWrap/>
            <w:vAlign w:val="center"/>
          </w:tcPr>
          <w:p w14:paraId="3A349BF6" w14:textId="1E0BEB94"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771</w:t>
            </w:r>
          </w:p>
        </w:tc>
        <w:tc>
          <w:tcPr>
            <w:tcW w:w="909" w:type="dxa"/>
            <w:shd w:val="clear" w:color="000000" w:fill="FFFFFF"/>
            <w:noWrap/>
            <w:vAlign w:val="center"/>
          </w:tcPr>
          <w:p w14:paraId="0F5006CF" w14:textId="4A59494F"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1.267</w:t>
            </w:r>
          </w:p>
        </w:tc>
        <w:tc>
          <w:tcPr>
            <w:tcW w:w="974" w:type="dxa"/>
            <w:shd w:val="clear" w:color="000000" w:fill="FFFFFF"/>
            <w:noWrap/>
            <w:vAlign w:val="center"/>
          </w:tcPr>
          <w:p w14:paraId="0C21EFE5" w14:textId="5E5E2C8C"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1.041</w:t>
            </w:r>
          </w:p>
        </w:tc>
        <w:tc>
          <w:tcPr>
            <w:tcW w:w="713" w:type="dxa"/>
            <w:shd w:val="clear" w:color="000000" w:fill="FFFFFF"/>
            <w:noWrap/>
            <w:vAlign w:val="center"/>
          </w:tcPr>
          <w:p w14:paraId="0CFCDC9E" w14:textId="5DDFD052"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64</w:t>
            </w:r>
          </w:p>
        </w:tc>
        <w:tc>
          <w:tcPr>
            <w:tcW w:w="769" w:type="dxa"/>
            <w:shd w:val="clear" w:color="000000" w:fill="FFFFFF"/>
            <w:noWrap/>
            <w:vAlign w:val="center"/>
          </w:tcPr>
          <w:p w14:paraId="5BA84442" w14:textId="6E47D558"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-18</w:t>
            </w:r>
          </w:p>
        </w:tc>
      </w:tr>
      <w:tr w:rsidR="008467BD" w:rsidRPr="00B71557" w14:paraId="7360D728" w14:textId="77777777" w:rsidTr="00790111">
        <w:trPr>
          <w:cantSplit/>
          <w:trHeight w:val="258"/>
          <w:jc w:val="center"/>
        </w:trPr>
        <w:tc>
          <w:tcPr>
            <w:tcW w:w="306" w:type="dxa"/>
            <w:shd w:val="clear" w:color="auto" w:fill="F2F2F2" w:themeFill="background1" w:themeFillShade="F2"/>
            <w:noWrap/>
            <w:vAlign w:val="center"/>
            <w:hideMark/>
          </w:tcPr>
          <w:p w14:paraId="3F38B753" w14:textId="77777777" w:rsidR="008467BD" w:rsidRPr="00B71557" w:rsidRDefault="008467BD" w:rsidP="00AF3C34">
            <w:pPr>
              <w:spacing w:after="0" w:line="276" w:lineRule="auto"/>
              <w:jc w:val="center"/>
              <w:rPr>
                <w:rFonts w:cs="Arial"/>
                <w:b/>
                <w:bCs/>
                <w:color w:val="000000"/>
                <w:sz w:val="16"/>
                <w:szCs w:val="16"/>
              </w:rPr>
            </w:pPr>
            <w:r w:rsidRPr="00B71557">
              <w:rPr>
                <w:rFonts w:cs="Arial"/>
                <w:b/>
                <w:bCs/>
                <w:color w:val="000000"/>
                <w:sz w:val="16"/>
                <w:szCs w:val="16"/>
              </w:rPr>
              <w:t>II</w:t>
            </w:r>
          </w:p>
        </w:tc>
        <w:tc>
          <w:tcPr>
            <w:tcW w:w="5031" w:type="dxa"/>
            <w:gridSpan w:val="2"/>
            <w:shd w:val="clear" w:color="auto" w:fill="F2F2F2" w:themeFill="background1" w:themeFillShade="F2"/>
            <w:noWrap/>
            <w:vAlign w:val="center"/>
            <w:hideMark/>
          </w:tcPr>
          <w:p w14:paraId="7DDDB4A7" w14:textId="77777777" w:rsidR="008467BD" w:rsidRPr="00B71557" w:rsidRDefault="008467BD" w:rsidP="00AF3C34">
            <w:pPr>
              <w:spacing w:after="0" w:line="276" w:lineRule="auto"/>
              <w:jc w:val="left"/>
              <w:rPr>
                <w:rFonts w:cs="Arial"/>
                <w:b/>
                <w:bCs/>
                <w:color w:val="000000"/>
                <w:sz w:val="16"/>
                <w:szCs w:val="16"/>
              </w:rPr>
            </w:pPr>
            <w:r w:rsidRPr="00B71557">
              <w:rPr>
                <w:rFonts w:cs="Arial"/>
                <w:b/>
                <w:bCs/>
                <w:color w:val="000000"/>
                <w:sz w:val="16"/>
                <w:szCs w:val="16"/>
              </w:rPr>
              <w:t>Σύνολο μεταβιβάσεων εκτός ΓΚ τακτικού προϋπολογισμού (1+2+3+4)</w:t>
            </w:r>
          </w:p>
        </w:tc>
        <w:tc>
          <w:tcPr>
            <w:tcW w:w="881" w:type="dxa"/>
            <w:shd w:val="clear" w:color="auto" w:fill="F2F2F2" w:themeFill="background1" w:themeFillShade="F2"/>
            <w:noWrap/>
            <w:vAlign w:val="center"/>
          </w:tcPr>
          <w:p w14:paraId="3D687224" w14:textId="54D07EF6"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3.726</w:t>
            </w:r>
          </w:p>
        </w:tc>
        <w:tc>
          <w:tcPr>
            <w:tcW w:w="909" w:type="dxa"/>
            <w:shd w:val="clear" w:color="auto" w:fill="F2F2F2" w:themeFill="background1" w:themeFillShade="F2"/>
            <w:noWrap/>
            <w:vAlign w:val="center"/>
          </w:tcPr>
          <w:p w14:paraId="6AEF9223" w14:textId="5DA39615"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4.412</w:t>
            </w:r>
          </w:p>
        </w:tc>
        <w:tc>
          <w:tcPr>
            <w:tcW w:w="974" w:type="dxa"/>
            <w:shd w:val="clear" w:color="auto" w:fill="F2F2F2" w:themeFill="background1" w:themeFillShade="F2"/>
            <w:noWrap/>
            <w:vAlign w:val="center"/>
          </w:tcPr>
          <w:p w14:paraId="03C6385D" w14:textId="67C180FD"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4.614</w:t>
            </w:r>
          </w:p>
        </w:tc>
        <w:tc>
          <w:tcPr>
            <w:tcW w:w="713" w:type="dxa"/>
            <w:shd w:val="clear" w:color="auto" w:fill="F2F2F2" w:themeFill="background1" w:themeFillShade="F2"/>
            <w:noWrap/>
            <w:vAlign w:val="center"/>
          </w:tcPr>
          <w:p w14:paraId="666CEDC6" w14:textId="057E5031"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18</w:t>
            </w:r>
          </w:p>
        </w:tc>
        <w:tc>
          <w:tcPr>
            <w:tcW w:w="769" w:type="dxa"/>
            <w:shd w:val="clear" w:color="auto" w:fill="F2F2F2" w:themeFill="background1" w:themeFillShade="F2"/>
            <w:noWrap/>
            <w:vAlign w:val="center"/>
          </w:tcPr>
          <w:p w14:paraId="7BEAA249" w14:textId="59D718F4"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5</w:t>
            </w:r>
          </w:p>
        </w:tc>
      </w:tr>
      <w:tr w:rsidR="008467BD" w:rsidRPr="00B71557" w14:paraId="1CA8E15F" w14:textId="77777777" w:rsidTr="00790111">
        <w:trPr>
          <w:cantSplit/>
          <w:trHeight w:val="258"/>
          <w:jc w:val="center"/>
        </w:trPr>
        <w:tc>
          <w:tcPr>
            <w:tcW w:w="306" w:type="dxa"/>
            <w:shd w:val="clear" w:color="auto" w:fill="F2F2F2" w:themeFill="background1" w:themeFillShade="F2"/>
            <w:noWrap/>
            <w:vAlign w:val="center"/>
            <w:hideMark/>
          </w:tcPr>
          <w:p w14:paraId="652B177C" w14:textId="77777777" w:rsidR="008467BD" w:rsidRPr="00B71557" w:rsidRDefault="008467BD" w:rsidP="00AF3C34">
            <w:pPr>
              <w:spacing w:after="0" w:line="276" w:lineRule="auto"/>
              <w:jc w:val="center"/>
              <w:rPr>
                <w:rFonts w:cs="Arial"/>
                <w:b/>
                <w:bCs/>
                <w:color w:val="000000"/>
                <w:sz w:val="16"/>
                <w:szCs w:val="16"/>
              </w:rPr>
            </w:pPr>
            <w:r w:rsidRPr="00B71557">
              <w:rPr>
                <w:rFonts w:cs="Arial"/>
                <w:b/>
                <w:bCs/>
                <w:color w:val="000000"/>
                <w:sz w:val="16"/>
                <w:szCs w:val="16"/>
              </w:rPr>
              <w:t>IIΙ</w:t>
            </w:r>
          </w:p>
        </w:tc>
        <w:tc>
          <w:tcPr>
            <w:tcW w:w="5031" w:type="dxa"/>
            <w:gridSpan w:val="2"/>
            <w:shd w:val="clear" w:color="auto" w:fill="F2F2F2" w:themeFill="background1" w:themeFillShade="F2"/>
            <w:noWrap/>
            <w:vAlign w:val="center"/>
            <w:hideMark/>
          </w:tcPr>
          <w:p w14:paraId="4130D6EC" w14:textId="77777777" w:rsidR="008467BD" w:rsidRPr="00B71557" w:rsidRDefault="008467BD" w:rsidP="00AF3C34">
            <w:pPr>
              <w:spacing w:after="0" w:line="276" w:lineRule="auto"/>
              <w:jc w:val="left"/>
              <w:rPr>
                <w:rFonts w:cs="Arial"/>
                <w:b/>
                <w:bCs/>
                <w:color w:val="000000"/>
                <w:sz w:val="16"/>
                <w:szCs w:val="16"/>
              </w:rPr>
            </w:pPr>
            <w:r w:rsidRPr="00B71557">
              <w:rPr>
                <w:rFonts w:cs="Arial"/>
                <w:b/>
                <w:bCs/>
                <w:color w:val="000000"/>
                <w:sz w:val="16"/>
                <w:szCs w:val="16"/>
              </w:rPr>
              <w:t>Σύνολο μεταβιβάσεων τακτικού προϋπολογισμού (Ι + ΙΙ)</w:t>
            </w:r>
          </w:p>
        </w:tc>
        <w:tc>
          <w:tcPr>
            <w:tcW w:w="881" w:type="dxa"/>
            <w:shd w:val="clear" w:color="auto" w:fill="F2F2F2" w:themeFill="background1" w:themeFillShade="F2"/>
            <w:noWrap/>
            <w:vAlign w:val="center"/>
          </w:tcPr>
          <w:p w14:paraId="09B204A3" w14:textId="1D125CCE"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32.598</w:t>
            </w:r>
          </w:p>
        </w:tc>
        <w:tc>
          <w:tcPr>
            <w:tcW w:w="909" w:type="dxa"/>
            <w:shd w:val="clear" w:color="auto" w:fill="F2F2F2" w:themeFill="background1" w:themeFillShade="F2"/>
            <w:noWrap/>
            <w:vAlign w:val="center"/>
          </w:tcPr>
          <w:p w14:paraId="0D68A015" w14:textId="647F0581"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35.110</w:t>
            </w:r>
          </w:p>
        </w:tc>
        <w:tc>
          <w:tcPr>
            <w:tcW w:w="974" w:type="dxa"/>
            <w:shd w:val="clear" w:color="auto" w:fill="F2F2F2" w:themeFill="background1" w:themeFillShade="F2"/>
            <w:noWrap/>
            <w:vAlign w:val="center"/>
          </w:tcPr>
          <w:p w14:paraId="01D20852" w14:textId="78030851"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35.897</w:t>
            </w:r>
          </w:p>
        </w:tc>
        <w:tc>
          <w:tcPr>
            <w:tcW w:w="713" w:type="dxa"/>
            <w:shd w:val="clear" w:color="auto" w:fill="F2F2F2" w:themeFill="background1" w:themeFillShade="F2"/>
            <w:noWrap/>
            <w:vAlign w:val="center"/>
          </w:tcPr>
          <w:p w14:paraId="7195D839" w14:textId="2762FF31"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8</w:t>
            </w:r>
          </w:p>
        </w:tc>
        <w:tc>
          <w:tcPr>
            <w:tcW w:w="769" w:type="dxa"/>
            <w:shd w:val="clear" w:color="auto" w:fill="F2F2F2" w:themeFill="background1" w:themeFillShade="F2"/>
            <w:noWrap/>
            <w:vAlign w:val="center"/>
          </w:tcPr>
          <w:p w14:paraId="1C9509E2" w14:textId="1BE4C6B5" w:rsidR="008467BD" w:rsidRPr="00AF3C34" w:rsidRDefault="008467BD" w:rsidP="00AF3C34">
            <w:pPr>
              <w:spacing w:after="0" w:line="276" w:lineRule="auto"/>
              <w:jc w:val="right"/>
              <w:rPr>
                <w:rFonts w:cs="Arial"/>
                <w:b/>
                <w:bCs/>
                <w:color w:val="000000"/>
                <w:sz w:val="16"/>
                <w:szCs w:val="16"/>
              </w:rPr>
            </w:pPr>
            <w:r w:rsidRPr="00AF3C34">
              <w:rPr>
                <w:rFonts w:cs="Arial"/>
                <w:b/>
                <w:sz w:val="16"/>
                <w:szCs w:val="16"/>
              </w:rPr>
              <w:t>2</w:t>
            </w:r>
          </w:p>
        </w:tc>
      </w:tr>
    </w:tbl>
    <w:p w14:paraId="5A040AE5" w14:textId="77777777" w:rsidR="002F2F0A" w:rsidRPr="000F4D23" w:rsidRDefault="002F2F0A" w:rsidP="007C6E32">
      <w:pPr>
        <w:spacing w:before="240"/>
        <w:rPr>
          <w:b/>
          <w:color w:val="2F5496"/>
          <w:szCs w:val="20"/>
        </w:rPr>
      </w:pPr>
      <w:bookmarkStart w:id="340" w:name="_Toc119778089"/>
      <w:bookmarkStart w:id="341" w:name="_Toc150177166"/>
      <w:bookmarkStart w:id="342" w:name="_Toc150516227"/>
      <w:bookmarkStart w:id="343" w:name="_Toc150516368"/>
      <w:bookmarkStart w:id="344" w:name="_Toc150853428"/>
      <w:bookmarkStart w:id="345" w:name="_Toc150853536"/>
      <w:bookmarkStart w:id="346" w:name="_Toc151100792"/>
      <w:bookmarkStart w:id="347" w:name="_Toc151401146"/>
      <w:r w:rsidRPr="000F4D23">
        <w:rPr>
          <w:b/>
          <w:color w:val="2F5496"/>
          <w:szCs w:val="20"/>
        </w:rPr>
        <w:t xml:space="preserve">Πιστώσεις υπό κατανομή </w:t>
      </w:r>
      <w:r w:rsidR="003F22F5" w:rsidRPr="000F4D23">
        <w:rPr>
          <w:b/>
          <w:color w:val="2F5496"/>
          <w:szCs w:val="20"/>
        </w:rPr>
        <w:t>κ</w:t>
      </w:r>
      <w:r w:rsidRPr="000F4D23">
        <w:rPr>
          <w:b/>
          <w:color w:val="2F5496"/>
          <w:szCs w:val="20"/>
        </w:rPr>
        <w:t xml:space="preserve">ρατικού </w:t>
      </w:r>
      <w:r w:rsidR="003F22F5" w:rsidRPr="000F4D23">
        <w:rPr>
          <w:b/>
          <w:color w:val="2F5496"/>
          <w:szCs w:val="20"/>
        </w:rPr>
        <w:t>π</w:t>
      </w:r>
      <w:r w:rsidRPr="000F4D23">
        <w:rPr>
          <w:b/>
          <w:color w:val="2F5496"/>
          <w:szCs w:val="20"/>
        </w:rPr>
        <w:t>ροϋπολογισμού</w:t>
      </w:r>
      <w:bookmarkEnd w:id="340"/>
      <w:bookmarkEnd w:id="341"/>
      <w:bookmarkEnd w:id="342"/>
      <w:bookmarkEnd w:id="343"/>
      <w:bookmarkEnd w:id="344"/>
      <w:bookmarkEnd w:id="345"/>
      <w:bookmarkEnd w:id="346"/>
      <w:bookmarkEnd w:id="347"/>
    </w:p>
    <w:p w14:paraId="51B019DC" w14:textId="77777777" w:rsidR="00206675" w:rsidRPr="006876D7" w:rsidRDefault="00206675" w:rsidP="00206675">
      <w:r w:rsidRPr="006876D7">
        <w:t>Στη μείζονα κατηγορία δαπανών «Πιστώσεις υπό κατανομή» του κρατικού προϋπολογισμού περιλαμβάνονται για το έτος 2026 πιστώσεις συνολικού ύψους 19.989 εκατ. ευρώ, δηλαδή το 23% των συνολικών πιστώσεων για δαπάνες μη χρηματοοικονομικών συναλλαγών. Στην εν λόγω κατηγορία πιστώσεων δεν λογίζονται δαπάνες, αλλά αυτές ανακατανέμονται κατά την εκτέλεση του προϋπολογισμού σε άλλες κατηγορίες δαπανών, στις οποίες πραγματοποιούνται οι δαπάνες από φορείς της Κεντρικής Διοίκησης.</w:t>
      </w:r>
    </w:p>
    <w:p w14:paraId="0D4384DF" w14:textId="6EF31F53" w:rsidR="00AF3C34" w:rsidRDefault="00206675" w:rsidP="00E72138">
      <w:pPr>
        <w:spacing w:after="240"/>
      </w:pPr>
      <w:r w:rsidRPr="006876D7">
        <w:t xml:space="preserve">Από τις συνολικές πιστώσεις υπό κατανομή για το έτος 2026 ποσό ύψους 3.297 εκατ. ευρώ θα διατεθεί στον τακτικό προϋπολογισμό και 16.692 εκατ. ευρώ στον </w:t>
      </w:r>
      <w:r w:rsidRPr="006876D7">
        <w:rPr>
          <w:lang w:eastAsia="en-US"/>
        </w:rPr>
        <w:t>προϋπολογισμό δημοσίων επενδύσεων</w:t>
      </w:r>
      <w:r w:rsidR="00E929FB">
        <w:rPr>
          <w:lang w:eastAsia="en-US"/>
        </w:rPr>
        <w:t>, περιλαμβανομένου και του ΤΑΑ</w:t>
      </w:r>
      <w:r w:rsidRPr="006876D7">
        <w:rPr>
          <w:lang w:eastAsia="en-US"/>
        </w:rPr>
        <w:t>.</w:t>
      </w:r>
      <w:r w:rsidRPr="006876D7">
        <w:t xml:space="preserve"> Από το σύνολο των υπό κατανομή πιστώσεων έτους 2026 του τακτικού προϋπολογισμού το μεγαλύτερο μέρος (3.059 εκατ. ευρώ ή 93%) εγγράφεται στον ειδικό φορέα «Γενικές Κρατικές Δαπάνες» του Υπουργείου Εθνικής Οικονομίας και Οικονομικών</w:t>
      </w:r>
      <w:r w:rsidR="0001035E">
        <w:t>. Επίσης</w:t>
      </w:r>
      <w:r w:rsidRPr="006876D7">
        <w:t xml:space="preserve">, </w:t>
      </w:r>
      <w:r w:rsidR="0001035E">
        <w:t>π</w:t>
      </w:r>
      <w:r w:rsidRPr="006876D7">
        <w:t xml:space="preserve">οσό ύψους 1.250 </w:t>
      </w:r>
      <w:r w:rsidRPr="006876D7">
        <w:lastRenderedPageBreak/>
        <w:t>εκατ. ευρώ αφορά στο αποθεματικό του προϋπολογισμού</w:t>
      </w:r>
      <w:r w:rsidR="0001035E">
        <w:t xml:space="preserve"> και</w:t>
      </w:r>
      <w:r w:rsidRPr="006876D7">
        <w:t xml:space="preserve"> διατίθεται για την κάλυψη σημαντικών και επειγουσών δαπανών, η πρόβλεψη των οποίων δεν ήταν εφικτή κατά τον χρόνο ψήφισής του</w:t>
      </w:r>
      <w:r w:rsidR="0001035E">
        <w:t xml:space="preserve">, ενώ </w:t>
      </w:r>
      <w:r w:rsidRPr="006876D7">
        <w:t xml:space="preserve">ποσό ύψους 806 εκατ. ευρώ αφορά σε πιστώσεις για την κάλυψη δαπανών μισθολογικού περιεχομένου. Στον παρακάτω </w:t>
      </w:r>
      <w:r w:rsidRPr="00154C13">
        <w:t>πίνακα (</w:t>
      </w:r>
      <w:r w:rsidRPr="00154C13">
        <w:fldChar w:fldCharType="begin"/>
      </w:r>
      <w:r w:rsidRPr="00154C13">
        <w:instrText xml:space="preserve"> REF _Ref119516183 \h  \* MERGEFORMAT </w:instrText>
      </w:r>
      <w:r w:rsidRPr="00154C13">
        <w:fldChar w:fldCharType="separate"/>
      </w:r>
      <w:r w:rsidR="00E15678" w:rsidRPr="00E15678">
        <w:t>Πίνακας 3.9</w:t>
      </w:r>
      <w:r w:rsidRPr="00154C13">
        <w:fldChar w:fldCharType="end"/>
      </w:r>
      <w:r w:rsidRPr="00154C13">
        <w:t>.) παρο</w:t>
      </w:r>
      <w:r w:rsidRPr="006876D7">
        <w:t>υσιάζονται οι κυριότερες κατηγορίες πιστώσεων υπό κατανομή για το έτος 2026 με τα αντίστοιχα ποσά.</w:t>
      </w:r>
    </w:p>
    <w:tbl>
      <w:tblPr>
        <w:tblW w:w="8500"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6941"/>
        <w:gridCol w:w="1559"/>
      </w:tblGrid>
      <w:tr w:rsidR="002F2F0A" w:rsidRPr="00AF3C34" w14:paraId="5977D372" w14:textId="77777777" w:rsidTr="00A93726">
        <w:trPr>
          <w:cantSplit/>
          <w:trHeight w:val="510"/>
          <w:jc w:val="center"/>
        </w:trPr>
        <w:tc>
          <w:tcPr>
            <w:tcW w:w="8500" w:type="dxa"/>
            <w:gridSpan w:val="2"/>
            <w:tcBorders>
              <w:bottom w:val="single" w:sz="2" w:space="0" w:color="A6A6A6" w:themeColor="background1" w:themeShade="A6"/>
            </w:tcBorders>
            <w:shd w:val="clear" w:color="000000" w:fill="D5DCE4"/>
            <w:vAlign w:val="center"/>
            <w:hideMark/>
          </w:tcPr>
          <w:p w14:paraId="3AD4FD30" w14:textId="7578F437" w:rsidR="008F4A04" w:rsidRDefault="004B72A2" w:rsidP="00AF3C34">
            <w:pPr>
              <w:spacing w:after="0" w:line="276" w:lineRule="auto"/>
              <w:jc w:val="center"/>
              <w:rPr>
                <w:rFonts w:cs="Arial"/>
                <w:b/>
                <w:bCs/>
                <w:color w:val="000000"/>
                <w:sz w:val="18"/>
                <w:szCs w:val="16"/>
              </w:rPr>
            </w:pPr>
            <w:bookmarkStart w:id="348" w:name="_Ref119516183"/>
            <w:bookmarkStart w:id="349" w:name="_Toc214474047"/>
            <w:bookmarkStart w:id="350" w:name="RANGE!A1:B15"/>
            <w:bookmarkStart w:id="351" w:name="OLE_LINK3"/>
            <w:r w:rsidRPr="00AF3C34">
              <w:rPr>
                <w:b/>
                <w:sz w:val="18"/>
                <w:szCs w:val="16"/>
              </w:rPr>
              <w:t>Πίνακας 3.</w:t>
            </w:r>
            <w:r w:rsidRPr="00AF3C34">
              <w:rPr>
                <w:b/>
                <w:sz w:val="18"/>
                <w:szCs w:val="16"/>
              </w:rPr>
              <w:fldChar w:fldCharType="begin"/>
            </w:r>
            <w:r w:rsidRPr="00AF3C34">
              <w:rPr>
                <w:b/>
                <w:sz w:val="18"/>
                <w:szCs w:val="16"/>
              </w:rPr>
              <w:instrText xml:space="preserve"> SEQ Πίνακας_3. \* ARABIC </w:instrText>
            </w:r>
            <w:r w:rsidRPr="00AF3C34">
              <w:rPr>
                <w:b/>
                <w:sz w:val="18"/>
                <w:szCs w:val="16"/>
              </w:rPr>
              <w:fldChar w:fldCharType="separate"/>
            </w:r>
            <w:r w:rsidR="00E15678">
              <w:rPr>
                <w:b/>
                <w:noProof/>
                <w:sz w:val="18"/>
                <w:szCs w:val="16"/>
              </w:rPr>
              <w:t>9</w:t>
            </w:r>
            <w:r w:rsidRPr="00AF3C34">
              <w:rPr>
                <w:b/>
                <w:sz w:val="18"/>
                <w:szCs w:val="16"/>
              </w:rPr>
              <w:fldChar w:fldCharType="end"/>
            </w:r>
            <w:bookmarkEnd w:id="348"/>
            <w:r w:rsidR="00650F29" w:rsidRPr="00AF3C34">
              <w:rPr>
                <w:rFonts w:cs="Arial"/>
                <w:b/>
                <w:bCs/>
                <w:color w:val="000000"/>
                <w:sz w:val="18"/>
                <w:szCs w:val="16"/>
              </w:rPr>
              <w:t xml:space="preserve">.: </w:t>
            </w:r>
            <w:r w:rsidR="002F2F0A" w:rsidRPr="00AF3C34">
              <w:rPr>
                <w:rFonts w:cs="Arial"/>
                <w:b/>
                <w:bCs/>
                <w:color w:val="000000"/>
                <w:sz w:val="18"/>
                <w:szCs w:val="16"/>
              </w:rPr>
              <w:t xml:space="preserve">Πιστώσεις υπό κατανομή </w:t>
            </w:r>
            <w:r w:rsidR="006242E1" w:rsidRPr="00AF3C34">
              <w:rPr>
                <w:rFonts w:cs="Arial"/>
                <w:b/>
                <w:bCs/>
                <w:color w:val="000000"/>
                <w:sz w:val="18"/>
                <w:szCs w:val="16"/>
              </w:rPr>
              <w:t>κ</w:t>
            </w:r>
            <w:r w:rsidR="002F2F0A" w:rsidRPr="00AF3C34">
              <w:rPr>
                <w:rFonts w:cs="Arial"/>
                <w:b/>
                <w:bCs/>
                <w:color w:val="000000"/>
                <w:sz w:val="18"/>
                <w:szCs w:val="16"/>
              </w:rPr>
              <w:t xml:space="preserve">ρατικού </w:t>
            </w:r>
            <w:r w:rsidR="006242E1" w:rsidRPr="00AF3C34">
              <w:rPr>
                <w:rFonts w:cs="Arial"/>
                <w:b/>
                <w:bCs/>
                <w:color w:val="000000"/>
                <w:sz w:val="18"/>
                <w:szCs w:val="16"/>
              </w:rPr>
              <w:t>π</w:t>
            </w:r>
            <w:r w:rsidR="002F2F0A" w:rsidRPr="00AF3C34">
              <w:rPr>
                <w:rFonts w:cs="Arial"/>
                <w:b/>
                <w:bCs/>
                <w:color w:val="000000"/>
                <w:sz w:val="18"/>
                <w:szCs w:val="16"/>
              </w:rPr>
              <w:t>ροϋπολογισμού έτους 202</w:t>
            </w:r>
            <w:r w:rsidR="001C6098" w:rsidRPr="00AF3C34">
              <w:rPr>
                <w:rFonts w:cs="Arial"/>
                <w:b/>
                <w:bCs/>
                <w:color w:val="000000"/>
                <w:sz w:val="18"/>
                <w:szCs w:val="16"/>
              </w:rPr>
              <w:t>6</w:t>
            </w:r>
            <w:bookmarkEnd w:id="349"/>
          </w:p>
          <w:p w14:paraId="2292168D" w14:textId="5F2C2003" w:rsidR="002F2F0A" w:rsidRPr="00AF3C34" w:rsidRDefault="002F2F0A" w:rsidP="00AF3C34">
            <w:pPr>
              <w:spacing w:after="0" w:line="276" w:lineRule="auto"/>
              <w:jc w:val="center"/>
              <w:rPr>
                <w:rFonts w:cs="Arial"/>
                <w:b/>
                <w:bCs/>
                <w:color w:val="000000"/>
                <w:sz w:val="18"/>
                <w:szCs w:val="16"/>
              </w:rPr>
            </w:pPr>
            <w:r w:rsidRPr="00AF3C34">
              <w:rPr>
                <w:rFonts w:cs="Arial"/>
                <w:b/>
                <w:bCs/>
                <w:color w:val="000000"/>
                <w:sz w:val="18"/>
                <w:szCs w:val="16"/>
              </w:rPr>
              <w:t>(σε εκατ. ευρώ)</w:t>
            </w:r>
            <w:bookmarkEnd w:id="350"/>
          </w:p>
        </w:tc>
      </w:tr>
      <w:tr w:rsidR="002F2F0A" w:rsidRPr="00AF3C34" w14:paraId="60A4531F" w14:textId="77777777" w:rsidTr="00A93726">
        <w:trPr>
          <w:cantSplit/>
          <w:trHeight w:val="227"/>
          <w:jc w:val="center"/>
        </w:trPr>
        <w:tc>
          <w:tcPr>
            <w:tcW w:w="6941"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64F7AD67" w14:textId="77777777" w:rsidR="002F2F0A" w:rsidRPr="00AF3C34" w:rsidRDefault="002F2F0A" w:rsidP="00A93726">
            <w:pPr>
              <w:spacing w:after="0" w:line="276" w:lineRule="auto"/>
              <w:jc w:val="center"/>
              <w:rPr>
                <w:rFonts w:cs="Arial"/>
                <w:b/>
                <w:bCs/>
                <w:color w:val="000000"/>
                <w:sz w:val="16"/>
                <w:szCs w:val="16"/>
              </w:rPr>
            </w:pPr>
            <w:r w:rsidRPr="00AF3C34">
              <w:rPr>
                <w:rFonts w:cs="Arial"/>
                <w:b/>
                <w:bCs/>
                <w:color w:val="000000"/>
                <w:sz w:val="16"/>
                <w:szCs w:val="16"/>
              </w:rPr>
              <w:t>Κατηγορία</w:t>
            </w:r>
          </w:p>
        </w:tc>
        <w:tc>
          <w:tcPr>
            <w:tcW w:w="1559"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0CC44554" w14:textId="77777777" w:rsidR="002F2F0A" w:rsidRPr="00AF3C34" w:rsidRDefault="002F2F0A" w:rsidP="00A93726">
            <w:pPr>
              <w:spacing w:after="0" w:line="276" w:lineRule="auto"/>
              <w:jc w:val="center"/>
              <w:rPr>
                <w:rFonts w:cs="Arial"/>
                <w:b/>
                <w:bCs/>
                <w:color w:val="000000"/>
                <w:sz w:val="16"/>
                <w:szCs w:val="16"/>
              </w:rPr>
            </w:pPr>
            <w:r w:rsidRPr="00AF3C34">
              <w:rPr>
                <w:rFonts w:cs="Arial"/>
                <w:b/>
                <w:bCs/>
                <w:color w:val="000000"/>
                <w:sz w:val="16"/>
                <w:szCs w:val="16"/>
              </w:rPr>
              <w:t>Πιστώσεις</w:t>
            </w:r>
          </w:p>
        </w:tc>
      </w:tr>
      <w:tr w:rsidR="00D87787" w:rsidRPr="00A93726" w14:paraId="2D868D46" w14:textId="77777777" w:rsidTr="00A93726">
        <w:trPr>
          <w:cantSplit/>
          <w:trHeight w:val="227"/>
          <w:jc w:val="center"/>
        </w:trPr>
        <w:tc>
          <w:tcPr>
            <w:tcW w:w="6941" w:type="dxa"/>
            <w:tcBorders>
              <w:top w:val="single" w:sz="2" w:space="0" w:color="A6A6A6" w:themeColor="background1" w:themeShade="A6"/>
            </w:tcBorders>
            <w:shd w:val="clear" w:color="000000" w:fill="D5DCE4"/>
            <w:vAlign w:val="center"/>
            <w:hideMark/>
          </w:tcPr>
          <w:p w14:paraId="1B15C187" w14:textId="77777777" w:rsidR="00D87787" w:rsidRPr="00AF3C34" w:rsidRDefault="00D87787" w:rsidP="00A93726">
            <w:pPr>
              <w:spacing w:after="0" w:line="276" w:lineRule="auto"/>
              <w:jc w:val="left"/>
              <w:rPr>
                <w:rFonts w:cs="Arial"/>
                <w:b/>
                <w:bCs/>
                <w:color w:val="000000"/>
                <w:sz w:val="16"/>
                <w:szCs w:val="16"/>
              </w:rPr>
            </w:pPr>
            <w:r w:rsidRPr="00AF3C34">
              <w:rPr>
                <w:rFonts w:cs="Arial"/>
                <w:b/>
                <w:bCs/>
                <w:color w:val="000000"/>
                <w:sz w:val="16"/>
                <w:szCs w:val="16"/>
              </w:rPr>
              <w:t>Α. Τακτικός προϋπολογισμός</w:t>
            </w:r>
          </w:p>
        </w:tc>
        <w:tc>
          <w:tcPr>
            <w:tcW w:w="1559" w:type="dxa"/>
            <w:tcBorders>
              <w:top w:val="single" w:sz="2" w:space="0" w:color="A6A6A6" w:themeColor="background1" w:themeShade="A6"/>
            </w:tcBorders>
            <w:shd w:val="clear" w:color="000000" w:fill="D5DCE4"/>
            <w:vAlign w:val="center"/>
          </w:tcPr>
          <w:p w14:paraId="2CAE15C9" w14:textId="1EACA31D" w:rsidR="00D87787" w:rsidRPr="00A93726" w:rsidRDefault="00D87787" w:rsidP="00A93726">
            <w:pPr>
              <w:spacing w:after="0" w:line="276" w:lineRule="auto"/>
              <w:jc w:val="right"/>
              <w:rPr>
                <w:rFonts w:cs="Arial"/>
                <w:b/>
                <w:bCs/>
                <w:color w:val="000000"/>
                <w:sz w:val="16"/>
                <w:szCs w:val="16"/>
              </w:rPr>
            </w:pPr>
            <w:r w:rsidRPr="00A93726">
              <w:rPr>
                <w:rFonts w:cs="Arial"/>
                <w:b/>
                <w:sz w:val="16"/>
                <w:szCs w:val="16"/>
              </w:rPr>
              <w:t>3.297</w:t>
            </w:r>
          </w:p>
        </w:tc>
      </w:tr>
      <w:tr w:rsidR="00D87787" w:rsidRPr="00AF3C34" w14:paraId="58417AD5" w14:textId="77777777" w:rsidTr="00A93726">
        <w:trPr>
          <w:cantSplit/>
          <w:jc w:val="center"/>
        </w:trPr>
        <w:tc>
          <w:tcPr>
            <w:tcW w:w="6941" w:type="dxa"/>
            <w:shd w:val="clear" w:color="auto" w:fill="auto"/>
            <w:vAlign w:val="center"/>
            <w:hideMark/>
          </w:tcPr>
          <w:p w14:paraId="1DE67453" w14:textId="340E8AEA"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 xml:space="preserve">Αποθεματικό </w:t>
            </w:r>
            <w:r w:rsidR="00CF5253">
              <w:rPr>
                <w:rFonts w:cs="Arial"/>
                <w:color w:val="000000"/>
                <w:sz w:val="16"/>
                <w:szCs w:val="16"/>
              </w:rPr>
              <w:t xml:space="preserve">της </w:t>
            </w:r>
            <w:r w:rsidRPr="00AF3C34">
              <w:rPr>
                <w:rFonts w:cs="Arial"/>
                <w:color w:val="000000"/>
                <w:sz w:val="16"/>
                <w:szCs w:val="16"/>
              </w:rPr>
              <w:t>παρ.1 του άρθρου 59 του ν.4270/2014</w:t>
            </w:r>
          </w:p>
        </w:tc>
        <w:tc>
          <w:tcPr>
            <w:tcW w:w="1559" w:type="dxa"/>
            <w:shd w:val="clear" w:color="auto" w:fill="auto"/>
            <w:vAlign w:val="center"/>
          </w:tcPr>
          <w:p w14:paraId="2D0948FA" w14:textId="5FFA5E95" w:rsidR="00D87787" w:rsidRPr="00AF3C34" w:rsidRDefault="00D87787" w:rsidP="00A93726">
            <w:pPr>
              <w:spacing w:after="0" w:line="276" w:lineRule="auto"/>
              <w:jc w:val="right"/>
              <w:rPr>
                <w:rFonts w:cs="Arial"/>
                <w:color w:val="000000"/>
                <w:sz w:val="16"/>
                <w:szCs w:val="16"/>
              </w:rPr>
            </w:pPr>
            <w:r w:rsidRPr="00AF3C34">
              <w:rPr>
                <w:rFonts w:cs="Arial"/>
                <w:sz w:val="16"/>
                <w:szCs w:val="16"/>
              </w:rPr>
              <w:t>850</w:t>
            </w:r>
          </w:p>
        </w:tc>
      </w:tr>
      <w:tr w:rsidR="00D87787" w:rsidRPr="00AF3C34" w14:paraId="74A8B4C7" w14:textId="77777777" w:rsidTr="00A93726">
        <w:trPr>
          <w:cantSplit/>
          <w:jc w:val="center"/>
        </w:trPr>
        <w:tc>
          <w:tcPr>
            <w:tcW w:w="6941" w:type="dxa"/>
            <w:shd w:val="clear" w:color="auto" w:fill="auto"/>
            <w:vAlign w:val="center"/>
            <w:hideMark/>
          </w:tcPr>
          <w:p w14:paraId="63121950" w14:textId="0ADD5903"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 xml:space="preserve">Αποθεματικό </w:t>
            </w:r>
            <w:r w:rsidR="00CF5253">
              <w:rPr>
                <w:rFonts w:cs="Arial"/>
                <w:color w:val="000000"/>
                <w:sz w:val="16"/>
                <w:szCs w:val="16"/>
              </w:rPr>
              <w:t xml:space="preserve">της </w:t>
            </w:r>
            <w:r w:rsidRPr="00AF3C34">
              <w:rPr>
                <w:rFonts w:cs="Arial"/>
                <w:color w:val="000000"/>
                <w:sz w:val="16"/>
                <w:szCs w:val="16"/>
              </w:rPr>
              <w:t>παρ.8 του άρθρου 59 του ν.4270/2014</w:t>
            </w:r>
          </w:p>
        </w:tc>
        <w:tc>
          <w:tcPr>
            <w:tcW w:w="1559" w:type="dxa"/>
            <w:shd w:val="clear" w:color="auto" w:fill="auto"/>
            <w:vAlign w:val="center"/>
          </w:tcPr>
          <w:p w14:paraId="48620D65" w14:textId="230B6C2C" w:rsidR="00D87787" w:rsidRPr="00AF3C34" w:rsidRDefault="00D87787" w:rsidP="00A93726">
            <w:pPr>
              <w:spacing w:after="0" w:line="276" w:lineRule="auto"/>
              <w:jc w:val="right"/>
              <w:rPr>
                <w:rFonts w:cs="Arial"/>
                <w:color w:val="000000"/>
                <w:sz w:val="16"/>
                <w:szCs w:val="16"/>
              </w:rPr>
            </w:pPr>
            <w:r w:rsidRPr="00AF3C34">
              <w:rPr>
                <w:rFonts w:cs="Arial"/>
                <w:sz w:val="16"/>
                <w:szCs w:val="16"/>
              </w:rPr>
              <w:t>400</w:t>
            </w:r>
          </w:p>
        </w:tc>
      </w:tr>
      <w:tr w:rsidR="00D87787" w:rsidRPr="00AF3C34" w14:paraId="3D0CFBCC" w14:textId="77777777" w:rsidTr="00A93726">
        <w:trPr>
          <w:cantSplit/>
          <w:jc w:val="center"/>
        </w:trPr>
        <w:tc>
          <w:tcPr>
            <w:tcW w:w="6941" w:type="dxa"/>
            <w:shd w:val="clear" w:color="auto" w:fill="auto"/>
            <w:vAlign w:val="center"/>
          </w:tcPr>
          <w:p w14:paraId="57338FD0" w14:textId="34B83531"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Πιστώσεις για δαπάνες πλήρωσης θέσεων προσωπικού</w:t>
            </w:r>
          </w:p>
        </w:tc>
        <w:tc>
          <w:tcPr>
            <w:tcW w:w="1559" w:type="dxa"/>
            <w:shd w:val="clear" w:color="auto" w:fill="auto"/>
            <w:vAlign w:val="center"/>
          </w:tcPr>
          <w:p w14:paraId="70210014" w14:textId="084198FF" w:rsidR="00D87787" w:rsidRPr="00AF3C34" w:rsidRDefault="00D87787" w:rsidP="00A93726">
            <w:pPr>
              <w:spacing w:after="0" w:line="276" w:lineRule="auto"/>
              <w:jc w:val="right"/>
              <w:rPr>
                <w:rFonts w:cs="Arial"/>
                <w:color w:val="000000"/>
                <w:sz w:val="16"/>
                <w:szCs w:val="16"/>
              </w:rPr>
            </w:pPr>
            <w:r w:rsidRPr="00AF3C34">
              <w:rPr>
                <w:rFonts w:cs="Arial"/>
                <w:sz w:val="16"/>
                <w:szCs w:val="16"/>
              </w:rPr>
              <w:t>364</w:t>
            </w:r>
          </w:p>
        </w:tc>
      </w:tr>
      <w:tr w:rsidR="00D87787" w:rsidRPr="00AF3C34" w14:paraId="6B009153" w14:textId="77777777" w:rsidTr="00A93726">
        <w:trPr>
          <w:cantSplit/>
          <w:jc w:val="center"/>
        </w:trPr>
        <w:tc>
          <w:tcPr>
            <w:tcW w:w="6941" w:type="dxa"/>
            <w:shd w:val="clear" w:color="auto" w:fill="auto"/>
            <w:vAlign w:val="center"/>
          </w:tcPr>
          <w:p w14:paraId="3B3F776C" w14:textId="7B9A8AB4"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Πιστώσεις για λοιπές δαπάνες αποδοχών</w:t>
            </w:r>
          </w:p>
        </w:tc>
        <w:tc>
          <w:tcPr>
            <w:tcW w:w="1559" w:type="dxa"/>
            <w:shd w:val="clear" w:color="auto" w:fill="auto"/>
            <w:vAlign w:val="center"/>
          </w:tcPr>
          <w:p w14:paraId="0CD53936" w14:textId="57972D47" w:rsidR="00D87787" w:rsidRPr="00AF3C34" w:rsidRDefault="00D87787" w:rsidP="00A93726">
            <w:pPr>
              <w:spacing w:after="0" w:line="276" w:lineRule="auto"/>
              <w:jc w:val="right"/>
              <w:rPr>
                <w:rFonts w:cs="Arial"/>
                <w:color w:val="000000"/>
                <w:sz w:val="16"/>
                <w:szCs w:val="16"/>
              </w:rPr>
            </w:pPr>
            <w:r w:rsidRPr="00AF3C34">
              <w:rPr>
                <w:rFonts w:cs="Arial"/>
                <w:sz w:val="16"/>
                <w:szCs w:val="16"/>
              </w:rPr>
              <w:t>442</w:t>
            </w:r>
          </w:p>
        </w:tc>
      </w:tr>
      <w:tr w:rsidR="00D87787" w:rsidRPr="00AF3C34" w14:paraId="44C11388" w14:textId="77777777" w:rsidTr="00A93726">
        <w:trPr>
          <w:cantSplit/>
          <w:jc w:val="center"/>
        </w:trPr>
        <w:tc>
          <w:tcPr>
            <w:tcW w:w="6941" w:type="dxa"/>
            <w:shd w:val="clear" w:color="auto" w:fill="auto"/>
            <w:vAlign w:val="center"/>
          </w:tcPr>
          <w:p w14:paraId="59B59D1F" w14:textId="77777777" w:rsidR="005266F7" w:rsidRDefault="00D87787" w:rsidP="00A93726">
            <w:pPr>
              <w:spacing w:after="0" w:line="276" w:lineRule="auto"/>
              <w:jc w:val="left"/>
              <w:rPr>
                <w:rFonts w:cs="Arial"/>
                <w:color w:val="000000"/>
                <w:sz w:val="16"/>
                <w:szCs w:val="16"/>
              </w:rPr>
            </w:pPr>
            <w:r w:rsidRPr="00AF3C34">
              <w:rPr>
                <w:rFonts w:cs="Arial"/>
                <w:color w:val="000000"/>
                <w:sz w:val="16"/>
                <w:szCs w:val="16"/>
              </w:rPr>
              <w:t>Πιστώσεις για δαπάνες κοινωνικής ασφάλισης</w:t>
            </w:r>
            <w:r w:rsidR="00B214CE">
              <w:rPr>
                <w:rFonts w:cs="Arial"/>
                <w:color w:val="000000"/>
                <w:sz w:val="16"/>
                <w:szCs w:val="16"/>
              </w:rPr>
              <w:t>, υγειονομικής περίθαλψης</w:t>
            </w:r>
          </w:p>
          <w:p w14:paraId="0EB73A95" w14:textId="27599CB5"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και κοινωνικής προστασίας</w:t>
            </w:r>
          </w:p>
        </w:tc>
        <w:tc>
          <w:tcPr>
            <w:tcW w:w="1559" w:type="dxa"/>
            <w:shd w:val="clear" w:color="auto" w:fill="auto"/>
            <w:vAlign w:val="center"/>
          </w:tcPr>
          <w:p w14:paraId="264F2166" w14:textId="5DB0D0F0" w:rsidR="00D87787" w:rsidRPr="00AF3C34" w:rsidRDefault="00D87787" w:rsidP="00A93726">
            <w:pPr>
              <w:spacing w:after="0" w:line="276" w:lineRule="auto"/>
              <w:jc w:val="right"/>
              <w:rPr>
                <w:rFonts w:cs="Arial"/>
                <w:color w:val="000000"/>
                <w:sz w:val="16"/>
                <w:szCs w:val="16"/>
              </w:rPr>
            </w:pPr>
            <w:r w:rsidRPr="00AF3C34">
              <w:rPr>
                <w:rFonts w:cs="Arial"/>
                <w:sz w:val="16"/>
                <w:szCs w:val="16"/>
              </w:rPr>
              <w:t>575</w:t>
            </w:r>
          </w:p>
        </w:tc>
      </w:tr>
      <w:tr w:rsidR="00D87787" w:rsidRPr="00AF3C34" w14:paraId="3191D5AA" w14:textId="77777777" w:rsidTr="00A93726">
        <w:trPr>
          <w:cantSplit/>
          <w:jc w:val="center"/>
        </w:trPr>
        <w:tc>
          <w:tcPr>
            <w:tcW w:w="6941" w:type="dxa"/>
            <w:shd w:val="clear" w:color="auto" w:fill="auto"/>
            <w:vAlign w:val="center"/>
          </w:tcPr>
          <w:p w14:paraId="004F889A" w14:textId="70EDEFAF"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Πιστώσεις για δαπάνες που αφορούν στο τέλος κρουαζιέρας</w:t>
            </w:r>
          </w:p>
        </w:tc>
        <w:tc>
          <w:tcPr>
            <w:tcW w:w="1559" w:type="dxa"/>
            <w:shd w:val="clear" w:color="auto" w:fill="auto"/>
            <w:vAlign w:val="center"/>
          </w:tcPr>
          <w:p w14:paraId="06381BDE" w14:textId="634C605A" w:rsidR="00D87787" w:rsidRPr="00AF3C34" w:rsidRDefault="00D87787" w:rsidP="00A93726">
            <w:pPr>
              <w:spacing w:after="0" w:line="276" w:lineRule="auto"/>
              <w:jc w:val="right"/>
              <w:rPr>
                <w:rFonts w:cs="Arial"/>
                <w:color w:val="000000"/>
                <w:sz w:val="16"/>
                <w:szCs w:val="16"/>
              </w:rPr>
            </w:pPr>
            <w:r w:rsidRPr="00AF3C34">
              <w:rPr>
                <w:rFonts w:cs="Arial"/>
                <w:sz w:val="16"/>
                <w:szCs w:val="16"/>
              </w:rPr>
              <w:t>51</w:t>
            </w:r>
          </w:p>
        </w:tc>
      </w:tr>
      <w:tr w:rsidR="00D87787" w:rsidRPr="00AF3C34" w14:paraId="2489BB54" w14:textId="77777777" w:rsidTr="00A93726">
        <w:trPr>
          <w:cantSplit/>
          <w:jc w:val="center"/>
        </w:trPr>
        <w:tc>
          <w:tcPr>
            <w:tcW w:w="6941" w:type="dxa"/>
            <w:shd w:val="clear" w:color="auto" w:fill="auto"/>
            <w:vAlign w:val="center"/>
          </w:tcPr>
          <w:p w14:paraId="192F4855" w14:textId="15A9A0AB"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 xml:space="preserve">Πιστώσεις για την κάλυψη διαφόρων αναγκών φορέων </w:t>
            </w:r>
            <w:r w:rsidR="005629F9">
              <w:rPr>
                <w:rFonts w:cs="Arial"/>
                <w:color w:val="000000"/>
                <w:sz w:val="16"/>
                <w:szCs w:val="16"/>
              </w:rPr>
              <w:t xml:space="preserve">της </w:t>
            </w:r>
            <w:r w:rsidRPr="00AF3C34">
              <w:rPr>
                <w:rFonts w:cs="Arial"/>
                <w:color w:val="000000"/>
                <w:sz w:val="16"/>
                <w:szCs w:val="16"/>
              </w:rPr>
              <w:t>Γενικής Κυβέρνησης</w:t>
            </w:r>
          </w:p>
        </w:tc>
        <w:tc>
          <w:tcPr>
            <w:tcW w:w="1559" w:type="dxa"/>
            <w:shd w:val="clear" w:color="auto" w:fill="auto"/>
            <w:vAlign w:val="center"/>
          </w:tcPr>
          <w:p w14:paraId="45F6B4FA" w14:textId="04193C62" w:rsidR="00D87787" w:rsidRPr="00AF3C34" w:rsidRDefault="00D87787" w:rsidP="00A93726">
            <w:pPr>
              <w:spacing w:after="0" w:line="276" w:lineRule="auto"/>
              <w:jc w:val="right"/>
              <w:rPr>
                <w:rFonts w:cs="Arial"/>
                <w:color w:val="000000"/>
                <w:sz w:val="16"/>
                <w:szCs w:val="16"/>
              </w:rPr>
            </w:pPr>
            <w:r w:rsidRPr="00AF3C34">
              <w:rPr>
                <w:rFonts w:cs="Arial"/>
                <w:sz w:val="16"/>
                <w:szCs w:val="16"/>
              </w:rPr>
              <w:t>300</w:t>
            </w:r>
          </w:p>
        </w:tc>
      </w:tr>
      <w:tr w:rsidR="00D87787" w:rsidRPr="00AF3C34" w14:paraId="66A211A4" w14:textId="77777777" w:rsidTr="00A93726">
        <w:trPr>
          <w:cantSplit/>
          <w:jc w:val="center"/>
        </w:trPr>
        <w:tc>
          <w:tcPr>
            <w:tcW w:w="6941" w:type="dxa"/>
            <w:shd w:val="clear" w:color="auto" w:fill="auto"/>
            <w:vAlign w:val="center"/>
          </w:tcPr>
          <w:p w14:paraId="0B44C437" w14:textId="65E2E5EA"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Πιστώσεις για μεταναστευτικές δαπάνες</w:t>
            </w:r>
          </w:p>
        </w:tc>
        <w:tc>
          <w:tcPr>
            <w:tcW w:w="1559" w:type="dxa"/>
            <w:shd w:val="clear" w:color="auto" w:fill="auto"/>
            <w:vAlign w:val="center"/>
          </w:tcPr>
          <w:p w14:paraId="682821B5" w14:textId="572E2D5A" w:rsidR="00D87787" w:rsidRPr="00AF3C34" w:rsidRDefault="00D87787" w:rsidP="00A93726">
            <w:pPr>
              <w:spacing w:after="0" w:line="276" w:lineRule="auto"/>
              <w:jc w:val="right"/>
              <w:rPr>
                <w:rFonts w:cs="Arial"/>
                <w:color w:val="000000"/>
                <w:sz w:val="16"/>
                <w:szCs w:val="16"/>
              </w:rPr>
            </w:pPr>
            <w:r w:rsidRPr="00AF3C34">
              <w:rPr>
                <w:rFonts w:cs="Arial"/>
                <w:sz w:val="16"/>
                <w:szCs w:val="16"/>
              </w:rPr>
              <w:t>180</w:t>
            </w:r>
          </w:p>
        </w:tc>
      </w:tr>
      <w:tr w:rsidR="00D87787" w:rsidRPr="00AF3C34" w14:paraId="373F6416" w14:textId="77777777" w:rsidTr="00A93726">
        <w:trPr>
          <w:cantSplit/>
          <w:jc w:val="center"/>
        </w:trPr>
        <w:tc>
          <w:tcPr>
            <w:tcW w:w="6941" w:type="dxa"/>
            <w:shd w:val="clear" w:color="auto" w:fill="auto"/>
            <w:vAlign w:val="center"/>
          </w:tcPr>
          <w:p w14:paraId="0C199F26" w14:textId="37537ABE"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Πιστώσεις υπό κατανομή του Υπουργείου Εθνικής Άμυνας</w:t>
            </w:r>
          </w:p>
        </w:tc>
        <w:tc>
          <w:tcPr>
            <w:tcW w:w="1559" w:type="dxa"/>
            <w:shd w:val="clear" w:color="auto" w:fill="auto"/>
            <w:vAlign w:val="center"/>
          </w:tcPr>
          <w:p w14:paraId="4DFB2821" w14:textId="218EC6EA" w:rsidR="00D87787" w:rsidRPr="00AF3C34" w:rsidRDefault="00D87787" w:rsidP="00A93726">
            <w:pPr>
              <w:spacing w:after="0" w:line="276" w:lineRule="auto"/>
              <w:jc w:val="right"/>
              <w:rPr>
                <w:rFonts w:cs="Arial"/>
                <w:color w:val="000000"/>
                <w:sz w:val="16"/>
                <w:szCs w:val="16"/>
              </w:rPr>
            </w:pPr>
            <w:r w:rsidRPr="00AF3C34">
              <w:rPr>
                <w:rFonts w:cs="Arial"/>
                <w:sz w:val="16"/>
                <w:szCs w:val="16"/>
              </w:rPr>
              <w:t>43</w:t>
            </w:r>
          </w:p>
        </w:tc>
      </w:tr>
      <w:tr w:rsidR="00D87787" w:rsidRPr="00AF3C34" w14:paraId="0A717BC9" w14:textId="77777777" w:rsidTr="00A93726">
        <w:trPr>
          <w:cantSplit/>
          <w:jc w:val="center"/>
        </w:trPr>
        <w:tc>
          <w:tcPr>
            <w:tcW w:w="6941" w:type="dxa"/>
            <w:shd w:val="clear" w:color="auto" w:fill="auto"/>
            <w:vAlign w:val="center"/>
          </w:tcPr>
          <w:p w14:paraId="26FA6BDA" w14:textId="03AB058C" w:rsidR="00D87787" w:rsidRPr="00AF3C34" w:rsidRDefault="00D87787" w:rsidP="00A93726">
            <w:pPr>
              <w:spacing w:after="0" w:line="276" w:lineRule="auto"/>
              <w:jc w:val="left"/>
              <w:rPr>
                <w:rFonts w:cs="Arial"/>
                <w:color w:val="000000"/>
                <w:sz w:val="16"/>
                <w:szCs w:val="16"/>
              </w:rPr>
            </w:pPr>
            <w:r w:rsidRPr="00AF3C34">
              <w:rPr>
                <w:rFonts w:cs="Arial"/>
                <w:color w:val="000000"/>
                <w:sz w:val="16"/>
                <w:szCs w:val="16"/>
              </w:rPr>
              <w:t>Λοιπές πιστώσεις υπό κατανομή τακτικού προϋπολογισμού</w:t>
            </w:r>
          </w:p>
        </w:tc>
        <w:tc>
          <w:tcPr>
            <w:tcW w:w="1559" w:type="dxa"/>
            <w:shd w:val="clear" w:color="auto" w:fill="auto"/>
            <w:vAlign w:val="center"/>
          </w:tcPr>
          <w:p w14:paraId="70085353" w14:textId="7D71C417" w:rsidR="00D87787" w:rsidRPr="00AF3C34" w:rsidRDefault="00D87787" w:rsidP="00A93726">
            <w:pPr>
              <w:spacing w:after="0" w:line="276" w:lineRule="auto"/>
              <w:jc w:val="right"/>
              <w:rPr>
                <w:rFonts w:cs="Arial"/>
                <w:color w:val="000000"/>
                <w:sz w:val="16"/>
                <w:szCs w:val="16"/>
              </w:rPr>
            </w:pPr>
            <w:r w:rsidRPr="00AF3C34">
              <w:rPr>
                <w:rFonts w:cs="Arial"/>
                <w:sz w:val="16"/>
                <w:szCs w:val="16"/>
              </w:rPr>
              <w:t>92</w:t>
            </w:r>
          </w:p>
        </w:tc>
      </w:tr>
      <w:tr w:rsidR="00D87787" w:rsidRPr="00A93726" w14:paraId="7D3867A6" w14:textId="77777777" w:rsidTr="00A93726">
        <w:trPr>
          <w:cantSplit/>
          <w:trHeight w:val="227"/>
          <w:jc w:val="center"/>
        </w:trPr>
        <w:tc>
          <w:tcPr>
            <w:tcW w:w="6941" w:type="dxa"/>
            <w:shd w:val="clear" w:color="000000" w:fill="D5DCE4"/>
            <w:vAlign w:val="center"/>
            <w:hideMark/>
          </w:tcPr>
          <w:p w14:paraId="3EA67F66" w14:textId="157DB42E" w:rsidR="00D87787" w:rsidRPr="00AF3C34" w:rsidRDefault="00D87787" w:rsidP="00A93726">
            <w:pPr>
              <w:spacing w:after="0" w:line="276" w:lineRule="auto"/>
              <w:jc w:val="left"/>
              <w:rPr>
                <w:rFonts w:cs="Arial"/>
                <w:b/>
                <w:bCs/>
                <w:color w:val="000000"/>
                <w:sz w:val="16"/>
                <w:szCs w:val="16"/>
              </w:rPr>
            </w:pPr>
            <w:r w:rsidRPr="00AF3C34">
              <w:rPr>
                <w:rFonts w:cs="Arial"/>
                <w:b/>
                <w:bCs/>
                <w:color w:val="000000"/>
                <w:sz w:val="16"/>
                <w:szCs w:val="16"/>
              </w:rPr>
              <w:t>Β. Προϋπολογισμός δημοσίων επενδύσεων</w:t>
            </w:r>
          </w:p>
        </w:tc>
        <w:tc>
          <w:tcPr>
            <w:tcW w:w="1559" w:type="dxa"/>
            <w:shd w:val="clear" w:color="000000" w:fill="D5DCE4"/>
            <w:vAlign w:val="center"/>
          </w:tcPr>
          <w:p w14:paraId="14723A6F" w14:textId="107C9255" w:rsidR="00D87787" w:rsidRPr="00A93726" w:rsidRDefault="00D87787" w:rsidP="00A93726">
            <w:pPr>
              <w:spacing w:after="0" w:line="276" w:lineRule="auto"/>
              <w:jc w:val="right"/>
              <w:rPr>
                <w:rFonts w:cs="Arial"/>
                <w:b/>
                <w:bCs/>
                <w:color w:val="000000"/>
                <w:sz w:val="16"/>
                <w:szCs w:val="16"/>
              </w:rPr>
            </w:pPr>
            <w:r w:rsidRPr="00A93726">
              <w:rPr>
                <w:rFonts w:cs="Arial"/>
                <w:b/>
                <w:sz w:val="16"/>
                <w:szCs w:val="16"/>
              </w:rPr>
              <w:t>16.692</w:t>
            </w:r>
          </w:p>
        </w:tc>
      </w:tr>
      <w:tr w:rsidR="00D87787" w:rsidRPr="00AF3C34" w14:paraId="1627CAED" w14:textId="77777777" w:rsidTr="00A93726">
        <w:trPr>
          <w:cantSplit/>
          <w:jc w:val="center"/>
        </w:trPr>
        <w:tc>
          <w:tcPr>
            <w:tcW w:w="6941" w:type="dxa"/>
            <w:shd w:val="clear" w:color="auto" w:fill="auto"/>
            <w:vAlign w:val="center"/>
          </w:tcPr>
          <w:p w14:paraId="6609D383" w14:textId="20B8718E" w:rsidR="00D87787" w:rsidRPr="00AF3C34" w:rsidRDefault="00D87787" w:rsidP="00A93726">
            <w:pPr>
              <w:spacing w:after="0" w:line="276" w:lineRule="auto"/>
              <w:jc w:val="left"/>
              <w:rPr>
                <w:rFonts w:cs="Arial"/>
                <w:bCs/>
                <w:color w:val="000000"/>
                <w:sz w:val="16"/>
                <w:szCs w:val="16"/>
              </w:rPr>
            </w:pPr>
            <w:r w:rsidRPr="00AF3C34">
              <w:rPr>
                <w:rFonts w:cs="Arial"/>
                <w:bCs/>
                <w:color w:val="000000"/>
                <w:sz w:val="16"/>
                <w:szCs w:val="16"/>
              </w:rPr>
              <w:t>Εθνικό και συγχρηματοδοτούμενο σκέλος</w:t>
            </w:r>
          </w:p>
        </w:tc>
        <w:tc>
          <w:tcPr>
            <w:tcW w:w="1559" w:type="dxa"/>
            <w:shd w:val="clear" w:color="auto" w:fill="auto"/>
            <w:vAlign w:val="center"/>
          </w:tcPr>
          <w:p w14:paraId="22043311" w14:textId="1606709E" w:rsidR="00D87787" w:rsidRPr="00AF3C34" w:rsidRDefault="00D87787" w:rsidP="00A93726">
            <w:pPr>
              <w:spacing w:after="0" w:line="276" w:lineRule="auto"/>
              <w:jc w:val="right"/>
              <w:rPr>
                <w:rFonts w:cs="Arial"/>
                <w:bCs/>
                <w:color w:val="000000"/>
                <w:sz w:val="16"/>
                <w:szCs w:val="16"/>
              </w:rPr>
            </w:pPr>
            <w:r w:rsidRPr="00AF3C34">
              <w:rPr>
                <w:rFonts w:cs="Arial"/>
                <w:sz w:val="16"/>
                <w:szCs w:val="16"/>
              </w:rPr>
              <w:t>9.500</w:t>
            </w:r>
          </w:p>
        </w:tc>
      </w:tr>
      <w:tr w:rsidR="00D87787" w:rsidRPr="00AF3C34" w14:paraId="7CBDCA45" w14:textId="77777777" w:rsidTr="00A93726">
        <w:trPr>
          <w:cantSplit/>
          <w:jc w:val="center"/>
        </w:trPr>
        <w:tc>
          <w:tcPr>
            <w:tcW w:w="6941" w:type="dxa"/>
            <w:shd w:val="clear" w:color="auto" w:fill="auto"/>
            <w:vAlign w:val="center"/>
            <w:hideMark/>
          </w:tcPr>
          <w:p w14:paraId="77ED3566" w14:textId="759AF153" w:rsidR="00D87787" w:rsidRPr="00AF3C34" w:rsidRDefault="00D87787" w:rsidP="00A93726">
            <w:pPr>
              <w:spacing w:after="0" w:line="276" w:lineRule="auto"/>
              <w:jc w:val="left"/>
              <w:rPr>
                <w:rFonts w:cs="Arial"/>
                <w:bCs/>
                <w:color w:val="000000"/>
                <w:sz w:val="16"/>
                <w:szCs w:val="16"/>
              </w:rPr>
            </w:pPr>
            <w:r w:rsidRPr="00AF3C34">
              <w:rPr>
                <w:rFonts w:cs="Arial"/>
                <w:bCs/>
                <w:color w:val="000000"/>
                <w:sz w:val="16"/>
                <w:szCs w:val="16"/>
              </w:rPr>
              <w:t>ΤΑΑ</w:t>
            </w:r>
          </w:p>
        </w:tc>
        <w:tc>
          <w:tcPr>
            <w:tcW w:w="1559" w:type="dxa"/>
            <w:shd w:val="clear" w:color="auto" w:fill="auto"/>
            <w:vAlign w:val="center"/>
          </w:tcPr>
          <w:p w14:paraId="6226920C" w14:textId="101B178C" w:rsidR="00D87787" w:rsidRPr="00AF3C34" w:rsidRDefault="00D87787" w:rsidP="00A93726">
            <w:pPr>
              <w:spacing w:after="0" w:line="276" w:lineRule="auto"/>
              <w:jc w:val="right"/>
              <w:rPr>
                <w:rFonts w:cs="Arial"/>
                <w:bCs/>
                <w:color w:val="000000"/>
                <w:sz w:val="16"/>
                <w:szCs w:val="16"/>
              </w:rPr>
            </w:pPr>
            <w:r w:rsidRPr="00AF3C34">
              <w:rPr>
                <w:rFonts w:cs="Arial"/>
                <w:sz w:val="16"/>
                <w:szCs w:val="16"/>
              </w:rPr>
              <w:t>7.192</w:t>
            </w:r>
          </w:p>
        </w:tc>
      </w:tr>
      <w:tr w:rsidR="00D87787" w:rsidRPr="00A93726" w14:paraId="11554AE7" w14:textId="77777777" w:rsidTr="00A93726">
        <w:trPr>
          <w:cantSplit/>
          <w:trHeight w:val="227"/>
          <w:jc w:val="center"/>
        </w:trPr>
        <w:tc>
          <w:tcPr>
            <w:tcW w:w="6941" w:type="dxa"/>
            <w:shd w:val="clear" w:color="000000" w:fill="D5DCE4"/>
            <w:vAlign w:val="center"/>
            <w:hideMark/>
          </w:tcPr>
          <w:p w14:paraId="1805B932" w14:textId="73944FF4" w:rsidR="00D87787" w:rsidRPr="00AF3C34" w:rsidRDefault="00D87787" w:rsidP="00A93726">
            <w:pPr>
              <w:spacing w:after="0" w:line="276" w:lineRule="auto"/>
              <w:jc w:val="left"/>
              <w:rPr>
                <w:rFonts w:cs="Arial"/>
                <w:b/>
                <w:bCs/>
                <w:color w:val="000000"/>
                <w:sz w:val="16"/>
                <w:szCs w:val="16"/>
              </w:rPr>
            </w:pPr>
            <w:r w:rsidRPr="00AF3C34">
              <w:rPr>
                <w:rFonts w:cs="Arial"/>
                <w:b/>
                <w:bCs/>
                <w:color w:val="000000"/>
                <w:sz w:val="16"/>
                <w:szCs w:val="16"/>
              </w:rPr>
              <w:t>ΣΥΝΟΛΟ (Α</w:t>
            </w:r>
            <w:r w:rsidRPr="00AF3C34">
              <w:rPr>
                <w:rFonts w:cs="Arial"/>
                <w:b/>
                <w:bCs/>
                <w:color w:val="000000"/>
                <w:sz w:val="16"/>
                <w:szCs w:val="16"/>
                <w:lang w:val="en-US"/>
              </w:rPr>
              <w:t xml:space="preserve"> </w:t>
            </w:r>
            <w:r w:rsidRPr="00AF3C34">
              <w:rPr>
                <w:rFonts w:cs="Arial"/>
                <w:b/>
                <w:bCs/>
                <w:color w:val="000000"/>
                <w:sz w:val="16"/>
                <w:szCs w:val="16"/>
              </w:rPr>
              <w:t>+</w:t>
            </w:r>
            <w:r w:rsidRPr="00AF3C34">
              <w:rPr>
                <w:rFonts w:cs="Arial"/>
                <w:b/>
                <w:bCs/>
                <w:color w:val="000000"/>
                <w:sz w:val="16"/>
                <w:szCs w:val="16"/>
                <w:lang w:val="en-US"/>
              </w:rPr>
              <w:t xml:space="preserve"> </w:t>
            </w:r>
            <w:r w:rsidRPr="00AF3C34">
              <w:rPr>
                <w:rFonts w:cs="Arial"/>
                <w:b/>
                <w:bCs/>
                <w:color w:val="000000"/>
                <w:sz w:val="16"/>
                <w:szCs w:val="16"/>
              </w:rPr>
              <w:t>Β)</w:t>
            </w:r>
          </w:p>
        </w:tc>
        <w:tc>
          <w:tcPr>
            <w:tcW w:w="1559" w:type="dxa"/>
            <w:shd w:val="clear" w:color="000000" w:fill="D5DCE4"/>
            <w:vAlign w:val="center"/>
          </w:tcPr>
          <w:p w14:paraId="2E9E7E05" w14:textId="7A630789" w:rsidR="00D87787" w:rsidRPr="00A93726" w:rsidRDefault="00D87787" w:rsidP="00A93726">
            <w:pPr>
              <w:spacing w:after="0" w:line="276" w:lineRule="auto"/>
              <w:jc w:val="right"/>
              <w:rPr>
                <w:rFonts w:cs="Arial"/>
                <w:b/>
                <w:bCs/>
                <w:color w:val="000000"/>
                <w:sz w:val="16"/>
                <w:szCs w:val="16"/>
              </w:rPr>
            </w:pPr>
            <w:r w:rsidRPr="00A93726">
              <w:rPr>
                <w:rFonts w:cs="Arial"/>
                <w:b/>
                <w:sz w:val="16"/>
                <w:szCs w:val="16"/>
              </w:rPr>
              <w:t>19.989</w:t>
            </w:r>
          </w:p>
        </w:tc>
      </w:tr>
    </w:tbl>
    <w:bookmarkEnd w:id="351"/>
    <w:p w14:paraId="10274588" w14:textId="7E28657B" w:rsidR="00F7160B" w:rsidRPr="001B37D9" w:rsidRDefault="00F7160B" w:rsidP="00455270">
      <w:pPr>
        <w:spacing w:before="240"/>
        <w:rPr>
          <w:b/>
          <w:color w:val="2F5496"/>
          <w:szCs w:val="20"/>
        </w:rPr>
      </w:pPr>
      <w:r w:rsidRPr="001B37D9">
        <w:rPr>
          <w:b/>
          <w:color w:val="2F5496"/>
          <w:szCs w:val="20"/>
        </w:rPr>
        <w:t xml:space="preserve">Εκτιμήσεις και προβλέψεις </w:t>
      </w:r>
      <w:r w:rsidR="008606C3">
        <w:rPr>
          <w:b/>
          <w:color w:val="2F5496"/>
          <w:szCs w:val="20"/>
        </w:rPr>
        <w:t>π</w:t>
      </w:r>
      <w:r w:rsidRPr="001B37D9">
        <w:rPr>
          <w:b/>
          <w:color w:val="2F5496"/>
          <w:szCs w:val="20"/>
        </w:rPr>
        <w:t xml:space="preserve">ροϋπολογισμού </w:t>
      </w:r>
      <w:r w:rsidR="008606C3">
        <w:rPr>
          <w:b/>
          <w:color w:val="2F5496"/>
          <w:szCs w:val="20"/>
        </w:rPr>
        <w:t>δ</w:t>
      </w:r>
      <w:r w:rsidRPr="001B37D9">
        <w:rPr>
          <w:b/>
          <w:color w:val="2F5496"/>
          <w:szCs w:val="20"/>
        </w:rPr>
        <w:t xml:space="preserve">ημοσίων </w:t>
      </w:r>
      <w:r w:rsidR="008606C3">
        <w:rPr>
          <w:b/>
          <w:color w:val="2F5496"/>
          <w:szCs w:val="20"/>
        </w:rPr>
        <w:t>ε</w:t>
      </w:r>
      <w:r w:rsidRPr="001B37D9">
        <w:rPr>
          <w:b/>
          <w:color w:val="2F5496"/>
          <w:szCs w:val="20"/>
        </w:rPr>
        <w:t>πενδύσεων κατά μείζονα κατηγορία δαπάνης</w:t>
      </w:r>
    </w:p>
    <w:p w14:paraId="181EDE43" w14:textId="7BA17221" w:rsidR="00644567" w:rsidRPr="00F60837" w:rsidRDefault="00644567" w:rsidP="00360D2A">
      <w:pPr>
        <w:spacing w:after="240"/>
      </w:pPr>
      <w:r w:rsidRPr="00154C13">
        <w:t>Παρακάτω (</w:t>
      </w:r>
      <w:r w:rsidR="005F6AD2" w:rsidRPr="00154C13">
        <w:fldChar w:fldCharType="begin"/>
      </w:r>
      <w:r w:rsidR="005F6AD2" w:rsidRPr="00154C13">
        <w:instrText xml:space="preserve"> REF _Ref150968258 \h  \* MERGEFORMAT </w:instrText>
      </w:r>
      <w:r w:rsidR="005F6AD2" w:rsidRPr="00154C13">
        <w:fldChar w:fldCharType="separate"/>
      </w:r>
      <w:r w:rsidR="00E15678" w:rsidRPr="00E15678">
        <w:t>Πίνακας 3.10</w:t>
      </w:r>
      <w:r w:rsidR="005F6AD2" w:rsidRPr="00154C13">
        <w:fldChar w:fldCharType="end"/>
      </w:r>
      <w:r w:rsidR="005F6AD2" w:rsidRPr="00154C13">
        <w:t>.</w:t>
      </w:r>
      <w:r w:rsidRPr="00154C13">
        <w:t>) απ</w:t>
      </w:r>
      <w:r w:rsidRPr="00F60837">
        <w:t xml:space="preserve">εικονίζονται οι δαπάνες του </w:t>
      </w:r>
      <w:r>
        <w:t>π</w:t>
      </w:r>
      <w:r w:rsidRPr="00620D87">
        <w:t xml:space="preserve">ροϋπολογισμού </w:t>
      </w:r>
      <w:r>
        <w:t>δ</w:t>
      </w:r>
      <w:r w:rsidRPr="00620D87">
        <w:t xml:space="preserve">ημοσίων </w:t>
      </w:r>
      <w:r>
        <w:t>ε</w:t>
      </w:r>
      <w:r w:rsidRPr="00620D87">
        <w:t xml:space="preserve">πενδύσεων </w:t>
      </w:r>
      <w:r w:rsidRPr="00F60837">
        <w:t>κατά μείζονα κατηγορία για το οικονομικό έτος 202</w:t>
      </w:r>
      <w:r>
        <w:t xml:space="preserve">4, σύμφωνα με </w:t>
      </w:r>
      <w:r w:rsidR="008318E1">
        <w:t xml:space="preserve">τα </w:t>
      </w:r>
      <w:r>
        <w:t>στοιχεία του επίσημου Απολογισμού του Κράτους,</w:t>
      </w:r>
      <w:r w:rsidRPr="00F60837">
        <w:t xml:space="preserve"> καθώς και </w:t>
      </w:r>
      <w:r>
        <w:t>σχετικές εκτιμήσεις και προβλέψεις</w:t>
      </w:r>
      <w:r w:rsidRPr="00F60837">
        <w:t xml:space="preserve"> για τα </w:t>
      </w:r>
      <w:r>
        <w:t xml:space="preserve">έτη </w:t>
      </w:r>
      <w:r w:rsidRPr="00F60837">
        <w:t>202</w:t>
      </w:r>
      <w:r>
        <w:t>5</w:t>
      </w:r>
      <w:r w:rsidRPr="00F60837">
        <w:t xml:space="preserve"> και 202</w:t>
      </w:r>
      <w:r>
        <w:t>6</w:t>
      </w:r>
      <w:r w:rsidR="008E7E86">
        <w:t>,</w:t>
      </w:r>
      <w:r w:rsidRPr="00F60837">
        <w:t xml:space="preserve"> αντίστοιχα.</w:t>
      </w:r>
    </w:p>
    <w:tbl>
      <w:tblPr>
        <w:tblW w:w="8968"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1028"/>
        <w:gridCol w:w="2780"/>
        <w:gridCol w:w="1091"/>
        <w:gridCol w:w="960"/>
        <w:gridCol w:w="960"/>
        <w:gridCol w:w="1037"/>
        <w:gridCol w:w="1112"/>
      </w:tblGrid>
      <w:tr w:rsidR="003575FD" w:rsidRPr="00A93726" w14:paraId="42BE523E" w14:textId="77777777" w:rsidTr="00A93726">
        <w:trPr>
          <w:cantSplit/>
          <w:trHeight w:val="510"/>
          <w:jc w:val="center"/>
        </w:trPr>
        <w:tc>
          <w:tcPr>
            <w:tcW w:w="8968" w:type="dxa"/>
            <w:gridSpan w:val="7"/>
            <w:tcBorders>
              <w:top w:val="single" w:sz="2" w:space="0" w:color="A6A6A6" w:themeColor="background1" w:themeShade="A6"/>
              <w:bottom w:val="single" w:sz="2" w:space="0" w:color="A6A6A6" w:themeColor="background1" w:themeShade="A6"/>
            </w:tcBorders>
            <w:shd w:val="clear" w:color="000000" w:fill="D5DCE4"/>
            <w:noWrap/>
            <w:vAlign w:val="center"/>
            <w:hideMark/>
          </w:tcPr>
          <w:p w14:paraId="495CB3D1" w14:textId="684398DE" w:rsidR="00A27800" w:rsidRPr="00A93726" w:rsidRDefault="003575FD" w:rsidP="00A93726">
            <w:pPr>
              <w:spacing w:after="0" w:line="276" w:lineRule="auto"/>
              <w:jc w:val="center"/>
              <w:rPr>
                <w:rFonts w:cs="Arial"/>
                <w:b/>
                <w:bCs/>
                <w:color w:val="000000"/>
                <w:sz w:val="18"/>
                <w:szCs w:val="16"/>
              </w:rPr>
            </w:pPr>
            <w:bookmarkStart w:id="352" w:name="_Ref150968258"/>
            <w:bookmarkStart w:id="353" w:name="_Toc214474048"/>
            <w:bookmarkStart w:id="354" w:name="OLE_LINK2"/>
            <w:bookmarkStart w:id="355" w:name="OLE_LINK4"/>
            <w:r w:rsidRPr="00A93726">
              <w:rPr>
                <w:rFonts w:cs="Arial"/>
                <w:b/>
                <w:sz w:val="18"/>
                <w:szCs w:val="16"/>
              </w:rPr>
              <w:t>Πίνακας 3.</w:t>
            </w:r>
            <w:r w:rsidRPr="00A93726">
              <w:rPr>
                <w:rFonts w:cs="Arial"/>
                <w:b/>
                <w:sz w:val="18"/>
                <w:szCs w:val="16"/>
              </w:rPr>
              <w:fldChar w:fldCharType="begin"/>
            </w:r>
            <w:r w:rsidRPr="00A93726">
              <w:rPr>
                <w:rFonts w:cs="Arial"/>
                <w:b/>
                <w:sz w:val="18"/>
                <w:szCs w:val="16"/>
              </w:rPr>
              <w:instrText xml:space="preserve"> SEQ Πίνακας_3. \* ARABIC </w:instrText>
            </w:r>
            <w:r w:rsidRPr="00A93726">
              <w:rPr>
                <w:rFonts w:cs="Arial"/>
                <w:b/>
                <w:sz w:val="18"/>
                <w:szCs w:val="16"/>
              </w:rPr>
              <w:fldChar w:fldCharType="separate"/>
            </w:r>
            <w:r w:rsidR="00E15678">
              <w:rPr>
                <w:rFonts w:cs="Arial"/>
                <w:b/>
                <w:noProof/>
                <w:sz w:val="18"/>
                <w:szCs w:val="16"/>
              </w:rPr>
              <w:t>10</w:t>
            </w:r>
            <w:r w:rsidRPr="00A93726">
              <w:rPr>
                <w:rFonts w:cs="Arial"/>
                <w:b/>
                <w:sz w:val="18"/>
                <w:szCs w:val="16"/>
              </w:rPr>
              <w:fldChar w:fldCharType="end"/>
            </w:r>
            <w:bookmarkEnd w:id="352"/>
            <w:r w:rsidRPr="00A93726">
              <w:rPr>
                <w:rFonts w:cs="Arial"/>
                <w:b/>
                <w:sz w:val="18"/>
                <w:szCs w:val="16"/>
              </w:rPr>
              <w:t>.</w:t>
            </w:r>
            <w:r w:rsidRPr="00A93726">
              <w:rPr>
                <w:rFonts w:cs="Arial"/>
                <w:b/>
                <w:bCs/>
                <w:color w:val="000000"/>
                <w:sz w:val="18"/>
                <w:szCs w:val="16"/>
              </w:rPr>
              <w:t>: Μείζονες κατηγορίες δαπανών</w:t>
            </w:r>
            <w:r w:rsidR="00FF4965" w:rsidRPr="00A93726">
              <w:rPr>
                <w:rFonts w:cs="Arial"/>
                <w:b/>
                <w:bCs/>
                <w:color w:val="000000"/>
                <w:sz w:val="18"/>
                <w:szCs w:val="16"/>
              </w:rPr>
              <w:t xml:space="preserve"> </w:t>
            </w:r>
            <w:r w:rsidR="00A27800" w:rsidRPr="00A93726">
              <w:rPr>
                <w:rFonts w:cs="Arial"/>
                <w:b/>
                <w:bCs/>
                <w:color w:val="000000"/>
                <w:sz w:val="18"/>
                <w:szCs w:val="16"/>
              </w:rPr>
              <w:t>προϋπολογισμού δημοσίων επενδύσεων</w:t>
            </w:r>
            <w:bookmarkEnd w:id="353"/>
          </w:p>
          <w:p w14:paraId="6C34DAE4" w14:textId="698FB697" w:rsidR="003575FD" w:rsidRPr="00A93726" w:rsidRDefault="003575FD" w:rsidP="00A93726">
            <w:pPr>
              <w:spacing w:after="0" w:line="276" w:lineRule="auto"/>
              <w:jc w:val="center"/>
              <w:rPr>
                <w:rFonts w:cs="Arial"/>
                <w:b/>
                <w:bCs/>
                <w:color w:val="000000"/>
                <w:sz w:val="18"/>
                <w:szCs w:val="16"/>
              </w:rPr>
            </w:pPr>
            <w:r w:rsidRPr="00A93726">
              <w:rPr>
                <w:rFonts w:cs="Arial"/>
                <w:b/>
                <w:bCs/>
                <w:color w:val="000000"/>
                <w:sz w:val="18"/>
                <w:szCs w:val="16"/>
              </w:rPr>
              <w:t>(σε εκατ. ευρώ)</w:t>
            </w:r>
          </w:p>
        </w:tc>
      </w:tr>
      <w:tr w:rsidR="003575FD" w:rsidRPr="00A93726" w14:paraId="1DE2CAB2" w14:textId="77777777" w:rsidTr="004B12B5">
        <w:trPr>
          <w:cantSplit/>
          <w:jc w:val="center"/>
        </w:trPr>
        <w:tc>
          <w:tcPr>
            <w:tcW w:w="1028" w:type="dxa"/>
            <w:vMerge w:val="restart"/>
            <w:tcBorders>
              <w:top w:val="single" w:sz="2" w:space="0" w:color="A6A6A6" w:themeColor="background1" w:themeShade="A6"/>
            </w:tcBorders>
            <w:shd w:val="clear" w:color="000000" w:fill="F2F2F2"/>
            <w:vAlign w:val="center"/>
            <w:hideMark/>
          </w:tcPr>
          <w:p w14:paraId="1A65E047" w14:textId="77777777" w:rsidR="003575FD" w:rsidRPr="00A93726" w:rsidRDefault="003575FD" w:rsidP="004B12B5">
            <w:pPr>
              <w:spacing w:after="0" w:line="276" w:lineRule="auto"/>
              <w:jc w:val="center"/>
              <w:rPr>
                <w:rFonts w:cs="Arial"/>
                <w:b/>
                <w:bCs/>
                <w:color w:val="000000"/>
                <w:sz w:val="16"/>
                <w:szCs w:val="16"/>
              </w:rPr>
            </w:pPr>
            <w:r w:rsidRPr="00A93726">
              <w:rPr>
                <w:rFonts w:cs="Arial"/>
                <w:b/>
                <w:bCs/>
                <w:color w:val="000000"/>
                <w:sz w:val="16"/>
                <w:szCs w:val="16"/>
              </w:rPr>
              <w:t>Κατηγορία</w:t>
            </w:r>
          </w:p>
        </w:tc>
        <w:tc>
          <w:tcPr>
            <w:tcW w:w="2780" w:type="dxa"/>
            <w:vMerge w:val="restart"/>
            <w:tcBorders>
              <w:top w:val="single" w:sz="2" w:space="0" w:color="A6A6A6" w:themeColor="background1" w:themeShade="A6"/>
            </w:tcBorders>
            <w:shd w:val="clear" w:color="000000" w:fill="F2F2F2"/>
            <w:noWrap/>
            <w:vAlign w:val="center"/>
            <w:hideMark/>
          </w:tcPr>
          <w:p w14:paraId="5159CFC5" w14:textId="77777777" w:rsidR="003575FD" w:rsidRPr="00A93726" w:rsidRDefault="003575FD" w:rsidP="004B12B5">
            <w:pPr>
              <w:spacing w:after="0" w:line="276" w:lineRule="auto"/>
              <w:jc w:val="center"/>
              <w:rPr>
                <w:rFonts w:cs="Arial"/>
                <w:b/>
                <w:bCs/>
                <w:color w:val="000000"/>
                <w:sz w:val="16"/>
                <w:szCs w:val="16"/>
              </w:rPr>
            </w:pPr>
            <w:r w:rsidRPr="00A93726">
              <w:rPr>
                <w:rFonts w:cs="Arial"/>
                <w:b/>
                <w:bCs/>
                <w:color w:val="000000"/>
                <w:sz w:val="16"/>
                <w:szCs w:val="16"/>
              </w:rPr>
              <w:t>Περιγραφή</w:t>
            </w:r>
          </w:p>
        </w:tc>
        <w:tc>
          <w:tcPr>
            <w:tcW w:w="3011" w:type="dxa"/>
            <w:gridSpan w:val="3"/>
            <w:tcBorders>
              <w:top w:val="single" w:sz="2" w:space="0" w:color="A6A6A6" w:themeColor="background1" w:themeShade="A6"/>
            </w:tcBorders>
            <w:shd w:val="clear" w:color="000000" w:fill="F2F2F2"/>
            <w:noWrap/>
            <w:vAlign w:val="center"/>
            <w:hideMark/>
          </w:tcPr>
          <w:p w14:paraId="7D849972" w14:textId="57D31E72" w:rsidR="003575FD" w:rsidRPr="00A93726" w:rsidRDefault="0066632E" w:rsidP="004B12B5">
            <w:pPr>
              <w:spacing w:after="0" w:line="276" w:lineRule="auto"/>
              <w:jc w:val="center"/>
              <w:rPr>
                <w:rFonts w:cs="Arial"/>
                <w:b/>
                <w:bCs/>
                <w:color w:val="000000"/>
                <w:sz w:val="16"/>
                <w:szCs w:val="16"/>
              </w:rPr>
            </w:pPr>
            <w:r w:rsidRPr="00A93726">
              <w:rPr>
                <w:rFonts w:cs="Arial"/>
                <w:b/>
                <w:bCs/>
                <w:color w:val="000000"/>
                <w:sz w:val="16"/>
                <w:szCs w:val="16"/>
              </w:rPr>
              <w:t>Πραγματοποιήσεις</w:t>
            </w:r>
            <w:r w:rsidR="003575FD" w:rsidRPr="00A93726">
              <w:rPr>
                <w:rFonts w:cs="Arial"/>
                <w:b/>
                <w:bCs/>
                <w:color w:val="000000"/>
                <w:sz w:val="16"/>
                <w:szCs w:val="16"/>
              </w:rPr>
              <w:t xml:space="preserve"> 202</w:t>
            </w:r>
            <w:r w:rsidR="0010574C" w:rsidRPr="00A93726">
              <w:rPr>
                <w:rFonts w:cs="Arial"/>
                <w:b/>
                <w:bCs/>
                <w:color w:val="000000"/>
                <w:sz w:val="16"/>
                <w:szCs w:val="16"/>
              </w:rPr>
              <w:t>4</w:t>
            </w:r>
          </w:p>
        </w:tc>
        <w:tc>
          <w:tcPr>
            <w:tcW w:w="1037" w:type="dxa"/>
            <w:vMerge w:val="restart"/>
            <w:tcBorders>
              <w:top w:val="single" w:sz="2" w:space="0" w:color="A6A6A6" w:themeColor="background1" w:themeShade="A6"/>
            </w:tcBorders>
            <w:shd w:val="clear" w:color="000000" w:fill="F2F2F2"/>
            <w:vAlign w:val="center"/>
            <w:hideMark/>
          </w:tcPr>
          <w:p w14:paraId="62FFA54B" w14:textId="1DBA295C" w:rsidR="003575FD" w:rsidRPr="00A93726" w:rsidRDefault="0066632E" w:rsidP="004B12B5">
            <w:pPr>
              <w:spacing w:after="0" w:line="276" w:lineRule="auto"/>
              <w:jc w:val="center"/>
              <w:rPr>
                <w:rFonts w:cs="Arial"/>
                <w:b/>
                <w:bCs/>
                <w:color w:val="000000"/>
                <w:sz w:val="16"/>
                <w:szCs w:val="16"/>
              </w:rPr>
            </w:pPr>
            <w:r w:rsidRPr="00A93726">
              <w:rPr>
                <w:rFonts w:cs="Arial"/>
                <w:b/>
                <w:bCs/>
                <w:color w:val="000000"/>
                <w:sz w:val="16"/>
                <w:szCs w:val="16"/>
              </w:rPr>
              <w:t>Εκτιμήσεις</w:t>
            </w:r>
            <w:r w:rsidR="003575FD" w:rsidRPr="00A93726">
              <w:rPr>
                <w:rFonts w:cs="Arial"/>
                <w:b/>
                <w:bCs/>
                <w:color w:val="000000"/>
                <w:sz w:val="16"/>
                <w:szCs w:val="16"/>
              </w:rPr>
              <w:t xml:space="preserve"> 202</w:t>
            </w:r>
            <w:r w:rsidR="0010574C" w:rsidRPr="00A93726">
              <w:rPr>
                <w:rFonts w:cs="Arial"/>
                <w:b/>
                <w:bCs/>
                <w:color w:val="000000"/>
                <w:sz w:val="16"/>
                <w:szCs w:val="16"/>
              </w:rPr>
              <w:t>5</w:t>
            </w:r>
          </w:p>
        </w:tc>
        <w:tc>
          <w:tcPr>
            <w:tcW w:w="1112" w:type="dxa"/>
            <w:vMerge w:val="restart"/>
            <w:tcBorders>
              <w:top w:val="single" w:sz="2" w:space="0" w:color="A6A6A6" w:themeColor="background1" w:themeShade="A6"/>
            </w:tcBorders>
            <w:shd w:val="clear" w:color="000000" w:fill="F2F2F2"/>
            <w:vAlign w:val="center"/>
            <w:hideMark/>
          </w:tcPr>
          <w:p w14:paraId="04752A42" w14:textId="44687AE7" w:rsidR="003575FD" w:rsidRPr="00A93726" w:rsidRDefault="003575FD" w:rsidP="004B12B5">
            <w:pPr>
              <w:spacing w:after="0" w:line="276" w:lineRule="auto"/>
              <w:jc w:val="center"/>
              <w:rPr>
                <w:rFonts w:cs="Arial"/>
                <w:b/>
                <w:bCs/>
                <w:color w:val="000000"/>
                <w:sz w:val="16"/>
                <w:szCs w:val="16"/>
              </w:rPr>
            </w:pPr>
            <w:r w:rsidRPr="00A93726">
              <w:rPr>
                <w:rFonts w:cs="Arial"/>
                <w:b/>
                <w:bCs/>
                <w:color w:val="000000"/>
                <w:sz w:val="16"/>
                <w:szCs w:val="16"/>
              </w:rPr>
              <w:t>Πρ</w:t>
            </w:r>
            <w:r w:rsidR="0066632E" w:rsidRPr="00A93726">
              <w:rPr>
                <w:rFonts w:cs="Arial"/>
                <w:b/>
                <w:bCs/>
                <w:color w:val="000000"/>
                <w:sz w:val="16"/>
                <w:szCs w:val="16"/>
              </w:rPr>
              <w:t>ο</w:t>
            </w:r>
            <w:r w:rsidRPr="00A93726">
              <w:rPr>
                <w:rFonts w:cs="Arial"/>
                <w:b/>
                <w:bCs/>
                <w:color w:val="000000"/>
                <w:sz w:val="16"/>
                <w:szCs w:val="16"/>
              </w:rPr>
              <w:t>βλ</w:t>
            </w:r>
            <w:r w:rsidR="0066632E" w:rsidRPr="00A93726">
              <w:rPr>
                <w:rFonts w:cs="Arial"/>
                <w:b/>
                <w:bCs/>
                <w:color w:val="000000"/>
                <w:sz w:val="16"/>
                <w:szCs w:val="16"/>
              </w:rPr>
              <w:t>έ</w:t>
            </w:r>
            <w:r w:rsidRPr="00A93726">
              <w:rPr>
                <w:rFonts w:cs="Arial"/>
                <w:b/>
                <w:bCs/>
                <w:color w:val="000000"/>
                <w:sz w:val="16"/>
                <w:szCs w:val="16"/>
              </w:rPr>
              <w:t>ψ</w:t>
            </w:r>
            <w:r w:rsidR="0066632E" w:rsidRPr="00A93726">
              <w:rPr>
                <w:rFonts w:cs="Arial"/>
                <w:b/>
                <w:bCs/>
                <w:color w:val="000000"/>
                <w:sz w:val="16"/>
                <w:szCs w:val="16"/>
              </w:rPr>
              <w:t>εις</w:t>
            </w:r>
            <w:r w:rsidRPr="00A93726">
              <w:rPr>
                <w:rFonts w:cs="Arial"/>
                <w:b/>
                <w:bCs/>
                <w:color w:val="000000"/>
                <w:sz w:val="16"/>
                <w:szCs w:val="16"/>
              </w:rPr>
              <w:t xml:space="preserve"> 202</w:t>
            </w:r>
            <w:r w:rsidR="0010574C" w:rsidRPr="00A93726">
              <w:rPr>
                <w:rFonts w:cs="Arial"/>
                <w:b/>
                <w:bCs/>
                <w:color w:val="000000"/>
                <w:sz w:val="16"/>
                <w:szCs w:val="16"/>
              </w:rPr>
              <w:t>6</w:t>
            </w:r>
          </w:p>
        </w:tc>
      </w:tr>
      <w:tr w:rsidR="003575FD" w:rsidRPr="00A93726" w14:paraId="6A343B5A" w14:textId="77777777" w:rsidTr="004B12B5">
        <w:trPr>
          <w:cantSplit/>
          <w:jc w:val="center"/>
        </w:trPr>
        <w:tc>
          <w:tcPr>
            <w:tcW w:w="1028" w:type="dxa"/>
            <w:vMerge/>
            <w:tcBorders>
              <w:bottom w:val="single" w:sz="2" w:space="0" w:color="A6A6A6" w:themeColor="background1" w:themeShade="A6"/>
            </w:tcBorders>
            <w:vAlign w:val="center"/>
            <w:hideMark/>
          </w:tcPr>
          <w:p w14:paraId="2086C24B" w14:textId="77777777" w:rsidR="003575FD" w:rsidRPr="00A93726" w:rsidRDefault="003575FD" w:rsidP="00A93726">
            <w:pPr>
              <w:spacing w:after="0" w:line="276" w:lineRule="auto"/>
              <w:jc w:val="left"/>
              <w:rPr>
                <w:rFonts w:cs="Arial"/>
                <w:b/>
                <w:bCs/>
                <w:color w:val="000000"/>
                <w:sz w:val="16"/>
                <w:szCs w:val="16"/>
              </w:rPr>
            </w:pPr>
          </w:p>
        </w:tc>
        <w:tc>
          <w:tcPr>
            <w:tcW w:w="2780" w:type="dxa"/>
            <w:vMerge/>
            <w:tcBorders>
              <w:bottom w:val="single" w:sz="2" w:space="0" w:color="A6A6A6" w:themeColor="background1" w:themeShade="A6"/>
            </w:tcBorders>
            <w:vAlign w:val="center"/>
            <w:hideMark/>
          </w:tcPr>
          <w:p w14:paraId="6CD8707D" w14:textId="77777777" w:rsidR="003575FD" w:rsidRPr="00A93726" w:rsidRDefault="003575FD" w:rsidP="00A93726">
            <w:pPr>
              <w:spacing w:after="0" w:line="276" w:lineRule="auto"/>
              <w:jc w:val="left"/>
              <w:rPr>
                <w:rFonts w:cs="Arial"/>
                <w:b/>
                <w:bCs/>
                <w:color w:val="000000"/>
                <w:sz w:val="16"/>
                <w:szCs w:val="16"/>
              </w:rPr>
            </w:pPr>
          </w:p>
        </w:tc>
        <w:tc>
          <w:tcPr>
            <w:tcW w:w="1091" w:type="dxa"/>
            <w:tcBorders>
              <w:bottom w:val="single" w:sz="2" w:space="0" w:color="A6A6A6" w:themeColor="background1" w:themeShade="A6"/>
            </w:tcBorders>
            <w:shd w:val="clear" w:color="000000" w:fill="F2F2F2"/>
            <w:vAlign w:val="center"/>
            <w:hideMark/>
          </w:tcPr>
          <w:p w14:paraId="466062EC" w14:textId="6F6ECE67" w:rsidR="003575FD" w:rsidRPr="00A93726" w:rsidRDefault="003575FD" w:rsidP="004B12B5">
            <w:pPr>
              <w:spacing w:after="0" w:line="276" w:lineRule="auto"/>
              <w:jc w:val="center"/>
              <w:rPr>
                <w:rFonts w:cs="Arial"/>
                <w:b/>
                <w:bCs/>
                <w:color w:val="000000"/>
                <w:sz w:val="16"/>
                <w:szCs w:val="16"/>
              </w:rPr>
            </w:pPr>
            <w:r w:rsidRPr="00A93726">
              <w:rPr>
                <w:rFonts w:cs="Arial"/>
                <w:b/>
                <w:bCs/>
                <w:color w:val="000000"/>
                <w:sz w:val="16"/>
                <w:szCs w:val="16"/>
              </w:rPr>
              <w:t xml:space="preserve">Εθνικό </w:t>
            </w:r>
            <w:r w:rsidR="007142CA" w:rsidRPr="00A93726">
              <w:rPr>
                <w:rFonts w:cs="Arial"/>
                <w:b/>
                <w:bCs/>
                <w:color w:val="000000"/>
                <w:sz w:val="16"/>
                <w:szCs w:val="16"/>
              </w:rPr>
              <w:t>και</w:t>
            </w:r>
            <w:r w:rsidRPr="00A93726">
              <w:rPr>
                <w:rFonts w:cs="Arial"/>
                <w:b/>
                <w:bCs/>
                <w:color w:val="000000"/>
                <w:sz w:val="16"/>
                <w:szCs w:val="16"/>
              </w:rPr>
              <w:t xml:space="preserve"> Συγχρ/μενο</w:t>
            </w:r>
          </w:p>
        </w:tc>
        <w:tc>
          <w:tcPr>
            <w:tcW w:w="960" w:type="dxa"/>
            <w:tcBorders>
              <w:bottom w:val="single" w:sz="2" w:space="0" w:color="A6A6A6" w:themeColor="background1" w:themeShade="A6"/>
            </w:tcBorders>
            <w:shd w:val="clear" w:color="000000" w:fill="F2F2F2"/>
            <w:vAlign w:val="center"/>
            <w:hideMark/>
          </w:tcPr>
          <w:p w14:paraId="7ABFC6C8" w14:textId="77777777" w:rsidR="003575FD" w:rsidRPr="00A93726" w:rsidRDefault="003575FD" w:rsidP="004B12B5">
            <w:pPr>
              <w:spacing w:after="0" w:line="276" w:lineRule="auto"/>
              <w:jc w:val="center"/>
              <w:rPr>
                <w:rFonts w:cs="Arial"/>
                <w:b/>
                <w:bCs/>
                <w:color w:val="000000"/>
                <w:sz w:val="16"/>
                <w:szCs w:val="16"/>
              </w:rPr>
            </w:pPr>
            <w:r w:rsidRPr="00A93726">
              <w:rPr>
                <w:rFonts w:cs="Arial"/>
                <w:b/>
                <w:bCs/>
                <w:color w:val="000000"/>
                <w:sz w:val="16"/>
                <w:szCs w:val="16"/>
              </w:rPr>
              <w:t>ΤΑΑ</w:t>
            </w:r>
          </w:p>
        </w:tc>
        <w:tc>
          <w:tcPr>
            <w:tcW w:w="960" w:type="dxa"/>
            <w:tcBorders>
              <w:bottom w:val="single" w:sz="2" w:space="0" w:color="A6A6A6" w:themeColor="background1" w:themeShade="A6"/>
            </w:tcBorders>
            <w:shd w:val="clear" w:color="000000" w:fill="F2F2F2"/>
            <w:vAlign w:val="center"/>
            <w:hideMark/>
          </w:tcPr>
          <w:p w14:paraId="2A39D8B3" w14:textId="77777777" w:rsidR="003575FD" w:rsidRPr="00A93726" w:rsidRDefault="003575FD" w:rsidP="004B12B5">
            <w:pPr>
              <w:spacing w:after="0" w:line="276" w:lineRule="auto"/>
              <w:jc w:val="center"/>
              <w:rPr>
                <w:rFonts w:cs="Arial"/>
                <w:b/>
                <w:bCs/>
                <w:color w:val="000000"/>
                <w:sz w:val="16"/>
                <w:szCs w:val="16"/>
              </w:rPr>
            </w:pPr>
            <w:r w:rsidRPr="00A93726">
              <w:rPr>
                <w:rFonts w:cs="Arial"/>
                <w:b/>
                <w:bCs/>
                <w:color w:val="000000"/>
                <w:sz w:val="16"/>
                <w:szCs w:val="16"/>
              </w:rPr>
              <w:t>Σύνολο</w:t>
            </w:r>
          </w:p>
        </w:tc>
        <w:tc>
          <w:tcPr>
            <w:tcW w:w="1037" w:type="dxa"/>
            <w:vMerge/>
            <w:tcBorders>
              <w:bottom w:val="single" w:sz="2" w:space="0" w:color="A6A6A6" w:themeColor="background1" w:themeShade="A6"/>
            </w:tcBorders>
            <w:vAlign w:val="center"/>
            <w:hideMark/>
          </w:tcPr>
          <w:p w14:paraId="083B1031" w14:textId="77777777" w:rsidR="003575FD" w:rsidRPr="00A93726" w:rsidRDefault="003575FD" w:rsidP="00A93726">
            <w:pPr>
              <w:spacing w:after="0" w:line="276" w:lineRule="auto"/>
              <w:jc w:val="left"/>
              <w:rPr>
                <w:rFonts w:cs="Arial"/>
                <w:b/>
                <w:bCs/>
                <w:color w:val="000000"/>
                <w:sz w:val="16"/>
                <w:szCs w:val="16"/>
              </w:rPr>
            </w:pPr>
          </w:p>
        </w:tc>
        <w:tc>
          <w:tcPr>
            <w:tcW w:w="1112" w:type="dxa"/>
            <w:vMerge/>
            <w:tcBorders>
              <w:bottom w:val="single" w:sz="2" w:space="0" w:color="A6A6A6" w:themeColor="background1" w:themeShade="A6"/>
            </w:tcBorders>
            <w:vAlign w:val="center"/>
            <w:hideMark/>
          </w:tcPr>
          <w:p w14:paraId="5CE8CE03" w14:textId="77777777" w:rsidR="003575FD" w:rsidRPr="00A93726" w:rsidRDefault="003575FD" w:rsidP="00A93726">
            <w:pPr>
              <w:spacing w:after="0" w:line="276" w:lineRule="auto"/>
              <w:jc w:val="left"/>
              <w:rPr>
                <w:rFonts w:cs="Arial"/>
                <w:b/>
                <w:bCs/>
                <w:color w:val="000000"/>
                <w:sz w:val="16"/>
                <w:szCs w:val="16"/>
              </w:rPr>
            </w:pPr>
          </w:p>
        </w:tc>
      </w:tr>
      <w:tr w:rsidR="0010574C" w:rsidRPr="00A93726" w14:paraId="7BBE712D" w14:textId="77777777" w:rsidTr="00A93726">
        <w:trPr>
          <w:cantSplit/>
          <w:jc w:val="center"/>
        </w:trPr>
        <w:tc>
          <w:tcPr>
            <w:tcW w:w="1028" w:type="dxa"/>
            <w:tcBorders>
              <w:top w:val="single" w:sz="2" w:space="0" w:color="A6A6A6" w:themeColor="background1" w:themeShade="A6"/>
              <w:bottom w:val="nil"/>
            </w:tcBorders>
            <w:shd w:val="clear" w:color="auto" w:fill="auto"/>
            <w:noWrap/>
            <w:vAlign w:val="center"/>
            <w:hideMark/>
          </w:tcPr>
          <w:p w14:paraId="70D5EBF8" w14:textId="77777777" w:rsidR="0010574C" w:rsidRPr="00A93726" w:rsidRDefault="0010574C" w:rsidP="00A93726">
            <w:pPr>
              <w:spacing w:after="0" w:line="276" w:lineRule="auto"/>
              <w:jc w:val="center"/>
              <w:rPr>
                <w:rFonts w:cs="Arial"/>
                <w:color w:val="000000"/>
                <w:sz w:val="16"/>
                <w:szCs w:val="16"/>
              </w:rPr>
            </w:pPr>
            <w:r w:rsidRPr="00A93726">
              <w:rPr>
                <w:rFonts w:cs="Arial"/>
                <w:color w:val="000000"/>
                <w:sz w:val="16"/>
                <w:szCs w:val="16"/>
              </w:rPr>
              <w:t>21</w:t>
            </w:r>
          </w:p>
        </w:tc>
        <w:tc>
          <w:tcPr>
            <w:tcW w:w="2780" w:type="dxa"/>
            <w:tcBorders>
              <w:top w:val="single" w:sz="2" w:space="0" w:color="A6A6A6" w:themeColor="background1" w:themeShade="A6"/>
              <w:bottom w:val="nil"/>
            </w:tcBorders>
            <w:shd w:val="clear" w:color="auto" w:fill="auto"/>
            <w:noWrap/>
            <w:vAlign w:val="center"/>
            <w:hideMark/>
          </w:tcPr>
          <w:p w14:paraId="59CA8819" w14:textId="57AD609D" w:rsidR="0010574C" w:rsidRPr="00A93726" w:rsidRDefault="0010574C" w:rsidP="00A93726">
            <w:pPr>
              <w:spacing w:after="0" w:line="276" w:lineRule="auto"/>
              <w:jc w:val="left"/>
              <w:rPr>
                <w:rFonts w:cs="Arial"/>
                <w:color w:val="000000"/>
                <w:sz w:val="16"/>
                <w:szCs w:val="16"/>
              </w:rPr>
            </w:pPr>
            <w:r w:rsidRPr="00A93726">
              <w:rPr>
                <w:rFonts w:cs="Arial"/>
                <w:color w:val="000000"/>
                <w:sz w:val="16"/>
                <w:szCs w:val="16"/>
              </w:rPr>
              <w:t>Παροχές σε εργαζόμενους</w:t>
            </w:r>
          </w:p>
        </w:tc>
        <w:tc>
          <w:tcPr>
            <w:tcW w:w="1091" w:type="dxa"/>
            <w:tcBorders>
              <w:top w:val="single" w:sz="2" w:space="0" w:color="A6A6A6" w:themeColor="background1" w:themeShade="A6"/>
              <w:bottom w:val="nil"/>
            </w:tcBorders>
            <w:shd w:val="clear" w:color="auto" w:fill="auto"/>
            <w:noWrap/>
            <w:vAlign w:val="center"/>
          </w:tcPr>
          <w:p w14:paraId="49D3FC6D" w14:textId="3AFD6AC7"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58</w:t>
            </w:r>
          </w:p>
        </w:tc>
        <w:tc>
          <w:tcPr>
            <w:tcW w:w="960" w:type="dxa"/>
            <w:tcBorders>
              <w:top w:val="single" w:sz="2" w:space="0" w:color="A6A6A6" w:themeColor="background1" w:themeShade="A6"/>
              <w:bottom w:val="nil"/>
            </w:tcBorders>
            <w:shd w:val="clear" w:color="auto" w:fill="auto"/>
            <w:noWrap/>
            <w:vAlign w:val="center"/>
          </w:tcPr>
          <w:p w14:paraId="6487B72A" w14:textId="4EB07060"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23</w:t>
            </w:r>
          </w:p>
        </w:tc>
        <w:tc>
          <w:tcPr>
            <w:tcW w:w="960" w:type="dxa"/>
            <w:tcBorders>
              <w:top w:val="single" w:sz="2" w:space="0" w:color="A6A6A6" w:themeColor="background1" w:themeShade="A6"/>
              <w:bottom w:val="nil"/>
            </w:tcBorders>
            <w:shd w:val="clear" w:color="auto" w:fill="auto"/>
            <w:noWrap/>
            <w:vAlign w:val="center"/>
          </w:tcPr>
          <w:p w14:paraId="458AB0BB" w14:textId="1A1E9ACD"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81</w:t>
            </w:r>
          </w:p>
        </w:tc>
        <w:tc>
          <w:tcPr>
            <w:tcW w:w="1037" w:type="dxa"/>
            <w:tcBorders>
              <w:top w:val="single" w:sz="2" w:space="0" w:color="A6A6A6" w:themeColor="background1" w:themeShade="A6"/>
              <w:bottom w:val="nil"/>
            </w:tcBorders>
            <w:shd w:val="clear" w:color="auto" w:fill="auto"/>
            <w:noWrap/>
            <w:vAlign w:val="center"/>
          </w:tcPr>
          <w:p w14:paraId="74AAD40A" w14:textId="6E974228"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109</w:t>
            </w:r>
          </w:p>
        </w:tc>
        <w:tc>
          <w:tcPr>
            <w:tcW w:w="1112" w:type="dxa"/>
            <w:tcBorders>
              <w:top w:val="single" w:sz="2" w:space="0" w:color="A6A6A6" w:themeColor="background1" w:themeShade="A6"/>
              <w:bottom w:val="nil"/>
            </w:tcBorders>
            <w:shd w:val="clear" w:color="auto" w:fill="auto"/>
            <w:noWrap/>
            <w:vAlign w:val="center"/>
          </w:tcPr>
          <w:p w14:paraId="5895893B" w14:textId="01C7300B"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124</w:t>
            </w:r>
          </w:p>
        </w:tc>
      </w:tr>
      <w:tr w:rsidR="0010574C" w:rsidRPr="00A93726" w14:paraId="1AFEAB86" w14:textId="77777777" w:rsidTr="008E7E86">
        <w:trPr>
          <w:cantSplit/>
          <w:jc w:val="center"/>
        </w:trPr>
        <w:tc>
          <w:tcPr>
            <w:tcW w:w="1028" w:type="dxa"/>
            <w:tcBorders>
              <w:top w:val="nil"/>
            </w:tcBorders>
            <w:shd w:val="clear" w:color="auto" w:fill="auto"/>
            <w:noWrap/>
            <w:vAlign w:val="center"/>
            <w:hideMark/>
          </w:tcPr>
          <w:p w14:paraId="5408B5E5" w14:textId="77777777" w:rsidR="0010574C" w:rsidRPr="00A93726" w:rsidRDefault="0010574C" w:rsidP="00A93726">
            <w:pPr>
              <w:spacing w:after="0" w:line="276" w:lineRule="auto"/>
              <w:jc w:val="center"/>
              <w:rPr>
                <w:rFonts w:cs="Arial"/>
                <w:color w:val="000000"/>
                <w:sz w:val="16"/>
                <w:szCs w:val="16"/>
              </w:rPr>
            </w:pPr>
            <w:r w:rsidRPr="00A93726">
              <w:rPr>
                <w:rFonts w:cs="Arial"/>
                <w:color w:val="000000"/>
                <w:sz w:val="16"/>
                <w:szCs w:val="16"/>
              </w:rPr>
              <w:t>22</w:t>
            </w:r>
          </w:p>
        </w:tc>
        <w:tc>
          <w:tcPr>
            <w:tcW w:w="2780" w:type="dxa"/>
            <w:tcBorders>
              <w:top w:val="nil"/>
            </w:tcBorders>
            <w:shd w:val="clear" w:color="auto" w:fill="auto"/>
            <w:noWrap/>
            <w:vAlign w:val="center"/>
            <w:hideMark/>
          </w:tcPr>
          <w:p w14:paraId="6D36F76B" w14:textId="77777777" w:rsidR="0010574C" w:rsidRPr="00A93726" w:rsidRDefault="0010574C" w:rsidP="00A93726">
            <w:pPr>
              <w:spacing w:after="0" w:line="276" w:lineRule="auto"/>
              <w:jc w:val="left"/>
              <w:rPr>
                <w:rFonts w:cs="Arial"/>
                <w:color w:val="000000"/>
                <w:sz w:val="16"/>
                <w:szCs w:val="16"/>
              </w:rPr>
            </w:pPr>
            <w:r w:rsidRPr="00A93726">
              <w:rPr>
                <w:rFonts w:cs="Arial"/>
                <w:color w:val="000000"/>
                <w:sz w:val="16"/>
                <w:szCs w:val="16"/>
              </w:rPr>
              <w:t>Κοινωνικές Παροχές</w:t>
            </w:r>
          </w:p>
        </w:tc>
        <w:tc>
          <w:tcPr>
            <w:tcW w:w="1091" w:type="dxa"/>
            <w:tcBorders>
              <w:top w:val="nil"/>
              <w:bottom w:val="nil"/>
            </w:tcBorders>
            <w:shd w:val="clear" w:color="auto" w:fill="auto"/>
            <w:noWrap/>
            <w:vAlign w:val="center"/>
          </w:tcPr>
          <w:p w14:paraId="70BEACEB" w14:textId="561D8496"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9</w:t>
            </w:r>
          </w:p>
        </w:tc>
        <w:tc>
          <w:tcPr>
            <w:tcW w:w="960" w:type="dxa"/>
            <w:tcBorders>
              <w:top w:val="nil"/>
              <w:bottom w:val="nil"/>
            </w:tcBorders>
            <w:shd w:val="clear" w:color="auto" w:fill="auto"/>
            <w:noWrap/>
            <w:vAlign w:val="center"/>
          </w:tcPr>
          <w:p w14:paraId="5DFCA6AF" w14:textId="18ABBAB1"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0</w:t>
            </w:r>
          </w:p>
        </w:tc>
        <w:tc>
          <w:tcPr>
            <w:tcW w:w="960" w:type="dxa"/>
            <w:tcBorders>
              <w:top w:val="nil"/>
              <w:bottom w:val="nil"/>
            </w:tcBorders>
            <w:shd w:val="clear" w:color="auto" w:fill="auto"/>
            <w:noWrap/>
            <w:vAlign w:val="center"/>
          </w:tcPr>
          <w:p w14:paraId="40937665" w14:textId="3A7A06C6"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9</w:t>
            </w:r>
          </w:p>
        </w:tc>
        <w:tc>
          <w:tcPr>
            <w:tcW w:w="1037" w:type="dxa"/>
            <w:tcBorders>
              <w:top w:val="nil"/>
            </w:tcBorders>
            <w:shd w:val="clear" w:color="auto" w:fill="auto"/>
            <w:noWrap/>
            <w:vAlign w:val="center"/>
          </w:tcPr>
          <w:p w14:paraId="7431CCF7" w14:textId="411EFAB1"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124</w:t>
            </w:r>
          </w:p>
        </w:tc>
        <w:tc>
          <w:tcPr>
            <w:tcW w:w="1112" w:type="dxa"/>
            <w:tcBorders>
              <w:top w:val="nil"/>
            </w:tcBorders>
            <w:shd w:val="clear" w:color="auto" w:fill="auto"/>
            <w:noWrap/>
            <w:vAlign w:val="center"/>
          </w:tcPr>
          <w:p w14:paraId="35911C7D" w14:textId="545C7994"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142</w:t>
            </w:r>
          </w:p>
        </w:tc>
      </w:tr>
      <w:tr w:rsidR="0010574C" w:rsidRPr="00A93726" w14:paraId="22E6B666" w14:textId="77777777" w:rsidTr="008E7E86">
        <w:trPr>
          <w:cantSplit/>
          <w:jc w:val="center"/>
        </w:trPr>
        <w:tc>
          <w:tcPr>
            <w:tcW w:w="1028" w:type="dxa"/>
            <w:shd w:val="clear" w:color="auto" w:fill="auto"/>
            <w:noWrap/>
            <w:vAlign w:val="center"/>
            <w:hideMark/>
          </w:tcPr>
          <w:p w14:paraId="3706EB6D" w14:textId="77777777" w:rsidR="0010574C" w:rsidRPr="00A93726" w:rsidRDefault="0010574C" w:rsidP="00A93726">
            <w:pPr>
              <w:spacing w:after="0" w:line="276" w:lineRule="auto"/>
              <w:jc w:val="center"/>
              <w:rPr>
                <w:rFonts w:cs="Arial"/>
                <w:color w:val="000000"/>
                <w:sz w:val="16"/>
                <w:szCs w:val="16"/>
              </w:rPr>
            </w:pPr>
            <w:r w:rsidRPr="00A93726">
              <w:rPr>
                <w:rFonts w:cs="Arial"/>
                <w:color w:val="000000"/>
                <w:sz w:val="16"/>
                <w:szCs w:val="16"/>
              </w:rPr>
              <w:t>23</w:t>
            </w:r>
          </w:p>
        </w:tc>
        <w:tc>
          <w:tcPr>
            <w:tcW w:w="2780" w:type="dxa"/>
            <w:shd w:val="clear" w:color="auto" w:fill="auto"/>
            <w:noWrap/>
            <w:vAlign w:val="center"/>
            <w:hideMark/>
          </w:tcPr>
          <w:p w14:paraId="1F8293D5" w14:textId="77777777" w:rsidR="0010574C" w:rsidRPr="00A93726" w:rsidRDefault="0010574C" w:rsidP="00A93726">
            <w:pPr>
              <w:spacing w:after="0" w:line="276" w:lineRule="auto"/>
              <w:jc w:val="left"/>
              <w:rPr>
                <w:rFonts w:cs="Arial"/>
                <w:color w:val="000000"/>
                <w:sz w:val="16"/>
                <w:szCs w:val="16"/>
              </w:rPr>
            </w:pPr>
            <w:r w:rsidRPr="00A93726">
              <w:rPr>
                <w:rFonts w:cs="Arial"/>
                <w:color w:val="000000"/>
                <w:sz w:val="16"/>
                <w:szCs w:val="16"/>
              </w:rPr>
              <w:t>Μεταβιβάσεις</w:t>
            </w:r>
          </w:p>
        </w:tc>
        <w:tc>
          <w:tcPr>
            <w:tcW w:w="1091" w:type="dxa"/>
            <w:tcBorders>
              <w:top w:val="nil"/>
              <w:bottom w:val="nil"/>
            </w:tcBorders>
            <w:shd w:val="clear" w:color="auto" w:fill="auto"/>
            <w:noWrap/>
            <w:vAlign w:val="center"/>
          </w:tcPr>
          <w:p w14:paraId="6F6E270C" w14:textId="765E2F5E" w:rsidR="0010574C" w:rsidRPr="008E7E86" w:rsidRDefault="0010574C" w:rsidP="00A93726">
            <w:pPr>
              <w:spacing w:after="0" w:line="276" w:lineRule="auto"/>
              <w:jc w:val="right"/>
              <w:rPr>
                <w:rFonts w:cs="Arial"/>
                <w:color w:val="000000"/>
                <w:sz w:val="16"/>
                <w:szCs w:val="16"/>
              </w:rPr>
            </w:pPr>
            <w:r w:rsidRPr="008E7E86">
              <w:rPr>
                <w:rFonts w:cs="Arial"/>
                <w:color w:val="000000"/>
                <w:sz w:val="16"/>
                <w:szCs w:val="16"/>
              </w:rPr>
              <w:t>6.947</w:t>
            </w:r>
          </w:p>
        </w:tc>
        <w:tc>
          <w:tcPr>
            <w:tcW w:w="960" w:type="dxa"/>
            <w:tcBorders>
              <w:top w:val="nil"/>
              <w:bottom w:val="nil"/>
            </w:tcBorders>
            <w:shd w:val="clear" w:color="auto" w:fill="auto"/>
            <w:noWrap/>
            <w:vAlign w:val="center"/>
          </w:tcPr>
          <w:p w14:paraId="6FDCDAF0" w14:textId="0456A260" w:rsidR="0010574C" w:rsidRPr="008E7E86" w:rsidRDefault="0010574C" w:rsidP="00A93726">
            <w:pPr>
              <w:spacing w:after="0" w:line="276" w:lineRule="auto"/>
              <w:jc w:val="right"/>
              <w:rPr>
                <w:rFonts w:cs="Arial"/>
                <w:color w:val="000000"/>
                <w:sz w:val="16"/>
                <w:szCs w:val="16"/>
              </w:rPr>
            </w:pPr>
            <w:r w:rsidRPr="008E7E86">
              <w:rPr>
                <w:rFonts w:cs="Arial"/>
                <w:color w:val="000000"/>
                <w:sz w:val="16"/>
                <w:szCs w:val="16"/>
              </w:rPr>
              <w:t>2.128</w:t>
            </w:r>
          </w:p>
        </w:tc>
        <w:tc>
          <w:tcPr>
            <w:tcW w:w="960" w:type="dxa"/>
            <w:tcBorders>
              <w:top w:val="nil"/>
              <w:bottom w:val="nil"/>
            </w:tcBorders>
            <w:shd w:val="clear" w:color="auto" w:fill="auto"/>
            <w:noWrap/>
            <w:vAlign w:val="center"/>
          </w:tcPr>
          <w:p w14:paraId="06C81277" w14:textId="34C61F04" w:rsidR="0010574C" w:rsidRPr="008E7E86" w:rsidRDefault="0010574C" w:rsidP="00A93726">
            <w:pPr>
              <w:spacing w:after="0" w:line="276" w:lineRule="auto"/>
              <w:jc w:val="right"/>
              <w:rPr>
                <w:rFonts w:cs="Arial"/>
                <w:color w:val="000000"/>
                <w:sz w:val="16"/>
                <w:szCs w:val="16"/>
              </w:rPr>
            </w:pPr>
            <w:r w:rsidRPr="008E7E86">
              <w:rPr>
                <w:rFonts w:cs="Arial"/>
                <w:color w:val="000000"/>
                <w:sz w:val="16"/>
                <w:szCs w:val="16"/>
              </w:rPr>
              <w:t>9.075</w:t>
            </w:r>
          </w:p>
        </w:tc>
        <w:tc>
          <w:tcPr>
            <w:tcW w:w="1037" w:type="dxa"/>
            <w:shd w:val="clear" w:color="auto" w:fill="auto"/>
            <w:noWrap/>
            <w:vAlign w:val="center"/>
          </w:tcPr>
          <w:p w14:paraId="44791AA6" w14:textId="40C3AC58"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10.070</w:t>
            </w:r>
          </w:p>
        </w:tc>
        <w:tc>
          <w:tcPr>
            <w:tcW w:w="1112" w:type="dxa"/>
            <w:shd w:val="clear" w:color="auto" w:fill="auto"/>
            <w:noWrap/>
            <w:vAlign w:val="center"/>
          </w:tcPr>
          <w:p w14:paraId="75002DB7" w14:textId="751C41CA"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11.513</w:t>
            </w:r>
          </w:p>
        </w:tc>
      </w:tr>
      <w:tr w:rsidR="0010574C" w:rsidRPr="00A93726" w14:paraId="63D84DB9" w14:textId="77777777" w:rsidTr="008E7E86">
        <w:trPr>
          <w:cantSplit/>
          <w:jc w:val="center"/>
        </w:trPr>
        <w:tc>
          <w:tcPr>
            <w:tcW w:w="1028" w:type="dxa"/>
            <w:shd w:val="clear" w:color="auto" w:fill="auto"/>
            <w:noWrap/>
            <w:vAlign w:val="center"/>
            <w:hideMark/>
          </w:tcPr>
          <w:p w14:paraId="07F036B5" w14:textId="77777777" w:rsidR="0010574C" w:rsidRPr="00A93726" w:rsidRDefault="0010574C" w:rsidP="00A93726">
            <w:pPr>
              <w:spacing w:after="0" w:line="276" w:lineRule="auto"/>
              <w:jc w:val="center"/>
              <w:rPr>
                <w:rFonts w:cs="Arial"/>
                <w:color w:val="000000"/>
                <w:sz w:val="16"/>
                <w:szCs w:val="16"/>
              </w:rPr>
            </w:pPr>
            <w:r w:rsidRPr="00A93726">
              <w:rPr>
                <w:rFonts w:cs="Arial"/>
                <w:color w:val="000000"/>
                <w:sz w:val="16"/>
                <w:szCs w:val="16"/>
              </w:rPr>
              <w:t>24</w:t>
            </w:r>
          </w:p>
        </w:tc>
        <w:tc>
          <w:tcPr>
            <w:tcW w:w="2780" w:type="dxa"/>
            <w:shd w:val="clear" w:color="auto" w:fill="auto"/>
            <w:noWrap/>
            <w:vAlign w:val="center"/>
            <w:hideMark/>
          </w:tcPr>
          <w:p w14:paraId="256F7474" w14:textId="1838D76E" w:rsidR="0010574C" w:rsidRPr="00A93726" w:rsidRDefault="0010574C" w:rsidP="00A93726">
            <w:pPr>
              <w:spacing w:after="0" w:line="276" w:lineRule="auto"/>
              <w:jc w:val="left"/>
              <w:rPr>
                <w:rFonts w:cs="Arial"/>
                <w:color w:val="000000"/>
                <w:sz w:val="16"/>
                <w:szCs w:val="16"/>
              </w:rPr>
            </w:pPr>
            <w:r w:rsidRPr="00A93726">
              <w:rPr>
                <w:rFonts w:cs="Arial"/>
                <w:color w:val="000000"/>
                <w:sz w:val="16"/>
                <w:szCs w:val="16"/>
              </w:rPr>
              <w:t>Αγορές αγαθών και υπηρεσιών</w:t>
            </w:r>
          </w:p>
        </w:tc>
        <w:tc>
          <w:tcPr>
            <w:tcW w:w="1091" w:type="dxa"/>
            <w:tcBorders>
              <w:top w:val="nil"/>
              <w:bottom w:val="nil"/>
            </w:tcBorders>
            <w:shd w:val="clear" w:color="auto" w:fill="auto"/>
            <w:noWrap/>
            <w:vAlign w:val="center"/>
          </w:tcPr>
          <w:p w14:paraId="3FD3508B" w14:textId="33EC4A2D" w:rsidR="0010574C" w:rsidRPr="008E7E86" w:rsidRDefault="0010574C" w:rsidP="00A93726">
            <w:pPr>
              <w:spacing w:after="0" w:line="276" w:lineRule="auto"/>
              <w:jc w:val="right"/>
              <w:rPr>
                <w:rFonts w:cs="Arial"/>
                <w:sz w:val="16"/>
                <w:szCs w:val="16"/>
              </w:rPr>
            </w:pPr>
            <w:r w:rsidRPr="008E7E86">
              <w:rPr>
                <w:rFonts w:cs="Arial"/>
                <w:sz w:val="16"/>
                <w:szCs w:val="16"/>
              </w:rPr>
              <w:t>696</w:t>
            </w:r>
          </w:p>
        </w:tc>
        <w:tc>
          <w:tcPr>
            <w:tcW w:w="960" w:type="dxa"/>
            <w:tcBorders>
              <w:top w:val="nil"/>
              <w:bottom w:val="nil"/>
            </w:tcBorders>
            <w:shd w:val="clear" w:color="auto" w:fill="auto"/>
            <w:noWrap/>
            <w:vAlign w:val="center"/>
          </w:tcPr>
          <w:p w14:paraId="28C5CC80" w14:textId="42FF223F" w:rsidR="0010574C" w:rsidRPr="008E7E86" w:rsidRDefault="0010574C" w:rsidP="00A93726">
            <w:pPr>
              <w:spacing w:after="0" w:line="276" w:lineRule="auto"/>
              <w:jc w:val="right"/>
              <w:rPr>
                <w:rFonts w:cs="Arial"/>
                <w:sz w:val="16"/>
                <w:szCs w:val="16"/>
              </w:rPr>
            </w:pPr>
            <w:r w:rsidRPr="008E7E86">
              <w:rPr>
                <w:rFonts w:cs="Arial"/>
                <w:sz w:val="16"/>
                <w:szCs w:val="16"/>
              </w:rPr>
              <w:t>776</w:t>
            </w:r>
          </w:p>
        </w:tc>
        <w:tc>
          <w:tcPr>
            <w:tcW w:w="960" w:type="dxa"/>
            <w:tcBorders>
              <w:top w:val="nil"/>
              <w:bottom w:val="nil"/>
            </w:tcBorders>
            <w:shd w:val="clear" w:color="auto" w:fill="auto"/>
            <w:noWrap/>
            <w:vAlign w:val="center"/>
          </w:tcPr>
          <w:p w14:paraId="47430279" w14:textId="12A9C7C6" w:rsidR="0010574C" w:rsidRPr="008E7E86" w:rsidRDefault="0010574C" w:rsidP="00A93726">
            <w:pPr>
              <w:spacing w:after="0" w:line="276" w:lineRule="auto"/>
              <w:jc w:val="right"/>
              <w:rPr>
                <w:rFonts w:cs="Arial"/>
                <w:sz w:val="16"/>
                <w:szCs w:val="16"/>
              </w:rPr>
            </w:pPr>
            <w:r w:rsidRPr="008E7E86">
              <w:rPr>
                <w:rFonts w:cs="Arial"/>
                <w:sz w:val="16"/>
                <w:szCs w:val="16"/>
              </w:rPr>
              <w:t>1.472</w:t>
            </w:r>
          </w:p>
        </w:tc>
        <w:tc>
          <w:tcPr>
            <w:tcW w:w="1037" w:type="dxa"/>
            <w:shd w:val="clear" w:color="auto" w:fill="auto"/>
            <w:noWrap/>
            <w:vAlign w:val="center"/>
          </w:tcPr>
          <w:p w14:paraId="70C2A9BB" w14:textId="3FAD1D18"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1.249</w:t>
            </w:r>
          </w:p>
        </w:tc>
        <w:tc>
          <w:tcPr>
            <w:tcW w:w="1112" w:type="dxa"/>
            <w:shd w:val="clear" w:color="auto" w:fill="auto"/>
            <w:noWrap/>
            <w:vAlign w:val="center"/>
          </w:tcPr>
          <w:p w14:paraId="76F6599A" w14:textId="522E452E"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1.428</w:t>
            </w:r>
          </w:p>
        </w:tc>
      </w:tr>
      <w:tr w:rsidR="0010574C" w:rsidRPr="00A93726" w14:paraId="70521850" w14:textId="77777777" w:rsidTr="008E7E86">
        <w:trPr>
          <w:cantSplit/>
          <w:jc w:val="center"/>
        </w:trPr>
        <w:tc>
          <w:tcPr>
            <w:tcW w:w="1028" w:type="dxa"/>
            <w:shd w:val="clear" w:color="auto" w:fill="auto"/>
            <w:noWrap/>
            <w:vAlign w:val="center"/>
            <w:hideMark/>
          </w:tcPr>
          <w:p w14:paraId="7C2A97E2" w14:textId="77777777" w:rsidR="0010574C" w:rsidRPr="00A93726" w:rsidRDefault="0010574C" w:rsidP="00A93726">
            <w:pPr>
              <w:spacing w:after="0" w:line="276" w:lineRule="auto"/>
              <w:jc w:val="center"/>
              <w:rPr>
                <w:rFonts w:cs="Arial"/>
                <w:color w:val="000000"/>
                <w:sz w:val="16"/>
                <w:szCs w:val="16"/>
              </w:rPr>
            </w:pPr>
            <w:r w:rsidRPr="00A93726">
              <w:rPr>
                <w:rFonts w:cs="Arial"/>
                <w:color w:val="000000"/>
                <w:sz w:val="16"/>
                <w:szCs w:val="16"/>
              </w:rPr>
              <w:t>25</w:t>
            </w:r>
          </w:p>
        </w:tc>
        <w:tc>
          <w:tcPr>
            <w:tcW w:w="2780" w:type="dxa"/>
            <w:shd w:val="clear" w:color="auto" w:fill="auto"/>
            <w:noWrap/>
            <w:vAlign w:val="center"/>
            <w:hideMark/>
          </w:tcPr>
          <w:p w14:paraId="0911A59A" w14:textId="77777777" w:rsidR="0010574C" w:rsidRPr="00A93726" w:rsidRDefault="0010574C" w:rsidP="00A93726">
            <w:pPr>
              <w:spacing w:after="0" w:line="276" w:lineRule="auto"/>
              <w:jc w:val="left"/>
              <w:rPr>
                <w:rFonts w:cs="Arial"/>
                <w:color w:val="000000"/>
                <w:sz w:val="16"/>
                <w:szCs w:val="16"/>
              </w:rPr>
            </w:pPr>
            <w:r w:rsidRPr="00A93726">
              <w:rPr>
                <w:rFonts w:cs="Arial"/>
                <w:color w:val="000000"/>
                <w:sz w:val="16"/>
                <w:szCs w:val="16"/>
              </w:rPr>
              <w:t>Επιδοτήσεις</w:t>
            </w:r>
          </w:p>
        </w:tc>
        <w:tc>
          <w:tcPr>
            <w:tcW w:w="1091" w:type="dxa"/>
            <w:tcBorders>
              <w:top w:val="nil"/>
            </w:tcBorders>
            <w:shd w:val="clear" w:color="auto" w:fill="auto"/>
            <w:noWrap/>
            <w:vAlign w:val="center"/>
          </w:tcPr>
          <w:p w14:paraId="050AB906" w14:textId="32EC2E94"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w:t>
            </w:r>
            <w:r w:rsidR="00CC4E51" w:rsidRPr="00A93726">
              <w:rPr>
                <w:rFonts w:cs="Arial"/>
                <w:color w:val="000000"/>
                <w:sz w:val="16"/>
                <w:szCs w:val="16"/>
              </w:rPr>
              <w:t>.</w:t>
            </w:r>
            <w:r w:rsidRPr="00A93726">
              <w:rPr>
                <w:rFonts w:cs="Arial"/>
                <w:color w:val="000000"/>
                <w:sz w:val="16"/>
                <w:szCs w:val="16"/>
              </w:rPr>
              <w:t>013</w:t>
            </w:r>
          </w:p>
        </w:tc>
        <w:tc>
          <w:tcPr>
            <w:tcW w:w="960" w:type="dxa"/>
            <w:tcBorders>
              <w:top w:val="nil"/>
            </w:tcBorders>
            <w:shd w:val="clear" w:color="auto" w:fill="auto"/>
            <w:noWrap/>
            <w:vAlign w:val="center"/>
          </w:tcPr>
          <w:p w14:paraId="0768D7E0" w14:textId="44D640C4"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97</w:t>
            </w:r>
          </w:p>
        </w:tc>
        <w:tc>
          <w:tcPr>
            <w:tcW w:w="960" w:type="dxa"/>
            <w:tcBorders>
              <w:top w:val="nil"/>
            </w:tcBorders>
            <w:shd w:val="clear" w:color="auto" w:fill="auto"/>
            <w:noWrap/>
            <w:vAlign w:val="center"/>
          </w:tcPr>
          <w:p w14:paraId="5C2E64CB" w14:textId="1137FE49"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w:t>
            </w:r>
            <w:r w:rsidR="00C636A8" w:rsidRPr="00A93726">
              <w:rPr>
                <w:rFonts w:cs="Arial"/>
                <w:color w:val="000000"/>
                <w:sz w:val="16"/>
                <w:szCs w:val="16"/>
              </w:rPr>
              <w:t>.</w:t>
            </w:r>
            <w:r w:rsidRPr="00A93726">
              <w:rPr>
                <w:rFonts w:cs="Arial"/>
                <w:color w:val="000000"/>
                <w:sz w:val="16"/>
                <w:szCs w:val="16"/>
              </w:rPr>
              <w:t>110</w:t>
            </w:r>
          </w:p>
        </w:tc>
        <w:tc>
          <w:tcPr>
            <w:tcW w:w="1037" w:type="dxa"/>
            <w:shd w:val="clear" w:color="auto" w:fill="auto"/>
            <w:noWrap/>
            <w:vAlign w:val="center"/>
          </w:tcPr>
          <w:p w14:paraId="7ADDB754" w14:textId="04D50D22"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1.647</w:t>
            </w:r>
          </w:p>
        </w:tc>
        <w:tc>
          <w:tcPr>
            <w:tcW w:w="1112" w:type="dxa"/>
            <w:shd w:val="clear" w:color="auto" w:fill="auto"/>
            <w:noWrap/>
            <w:vAlign w:val="center"/>
          </w:tcPr>
          <w:p w14:paraId="26CF0DD3" w14:textId="5C6F18A7"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1.883</w:t>
            </w:r>
          </w:p>
        </w:tc>
      </w:tr>
      <w:tr w:rsidR="0010574C" w:rsidRPr="00A93726" w14:paraId="5E8818E7" w14:textId="77777777" w:rsidTr="00A93726">
        <w:trPr>
          <w:cantSplit/>
          <w:jc w:val="center"/>
        </w:trPr>
        <w:tc>
          <w:tcPr>
            <w:tcW w:w="1028" w:type="dxa"/>
            <w:shd w:val="clear" w:color="auto" w:fill="auto"/>
            <w:noWrap/>
            <w:vAlign w:val="center"/>
            <w:hideMark/>
          </w:tcPr>
          <w:p w14:paraId="187BABE7" w14:textId="77777777" w:rsidR="0010574C" w:rsidRPr="00A93726" w:rsidRDefault="0010574C" w:rsidP="00A93726">
            <w:pPr>
              <w:spacing w:after="0" w:line="276" w:lineRule="auto"/>
              <w:jc w:val="center"/>
              <w:rPr>
                <w:rFonts w:cs="Arial"/>
                <w:color w:val="000000"/>
                <w:sz w:val="16"/>
                <w:szCs w:val="16"/>
              </w:rPr>
            </w:pPr>
            <w:r w:rsidRPr="00A93726">
              <w:rPr>
                <w:rFonts w:cs="Arial"/>
                <w:color w:val="000000"/>
                <w:sz w:val="16"/>
                <w:szCs w:val="16"/>
              </w:rPr>
              <w:t>31</w:t>
            </w:r>
          </w:p>
        </w:tc>
        <w:tc>
          <w:tcPr>
            <w:tcW w:w="2780" w:type="dxa"/>
            <w:shd w:val="clear" w:color="auto" w:fill="auto"/>
            <w:vAlign w:val="center"/>
            <w:hideMark/>
          </w:tcPr>
          <w:p w14:paraId="5B7E73B0" w14:textId="4F89815B" w:rsidR="0010574C" w:rsidRPr="00A93726" w:rsidRDefault="0010574C" w:rsidP="00A93726">
            <w:pPr>
              <w:spacing w:after="0" w:line="276" w:lineRule="auto"/>
              <w:jc w:val="left"/>
              <w:rPr>
                <w:rFonts w:cs="Arial"/>
                <w:color w:val="000000"/>
                <w:sz w:val="16"/>
                <w:szCs w:val="16"/>
              </w:rPr>
            </w:pPr>
            <w:r w:rsidRPr="00A93726">
              <w:rPr>
                <w:rFonts w:cs="Arial"/>
                <w:color w:val="000000"/>
                <w:sz w:val="16"/>
                <w:szCs w:val="16"/>
              </w:rPr>
              <w:t>Πάγια περιουσιακά στοιχεία</w:t>
            </w:r>
          </w:p>
        </w:tc>
        <w:tc>
          <w:tcPr>
            <w:tcW w:w="1091" w:type="dxa"/>
            <w:shd w:val="clear" w:color="auto" w:fill="auto"/>
            <w:noWrap/>
            <w:vAlign w:val="center"/>
          </w:tcPr>
          <w:p w14:paraId="1D291EAD" w14:textId="1A7E5D96"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1.190</w:t>
            </w:r>
          </w:p>
        </w:tc>
        <w:tc>
          <w:tcPr>
            <w:tcW w:w="960" w:type="dxa"/>
            <w:shd w:val="clear" w:color="auto" w:fill="auto"/>
            <w:noWrap/>
            <w:vAlign w:val="center"/>
          </w:tcPr>
          <w:p w14:paraId="4D8A905D" w14:textId="2C7003C8"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377</w:t>
            </w:r>
          </w:p>
        </w:tc>
        <w:tc>
          <w:tcPr>
            <w:tcW w:w="960" w:type="dxa"/>
            <w:shd w:val="clear" w:color="auto" w:fill="auto"/>
            <w:noWrap/>
            <w:vAlign w:val="center"/>
          </w:tcPr>
          <w:p w14:paraId="57D11E7E" w14:textId="267110EB"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1.567</w:t>
            </w:r>
          </w:p>
        </w:tc>
        <w:tc>
          <w:tcPr>
            <w:tcW w:w="1037" w:type="dxa"/>
            <w:shd w:val="clear" w:color="auto" w:fill="auto"/>
            <w:noWrap/>
            <w:vAlign w:val="center"/>
          </w:tcPr>
          <w:p w14:paraId="0C8BB865" w14:textId="300F26B2" w:rsidR="0010574C" w:rsidRPr="00A93726" w:rsidRDefault="0010574C" w:rsidP="00A93726">
            <w:pPr>
              <w:spacing w:after="0" w:line="276" w:lineRule="auto"/>
              <w:jc w:val="right"/>
              <w:rPr>
                <w:rFonts w:cs="Arial"/>
                <w:color w:val="000000"/>
                <w:sz w:val="16"/>
                <w:szCs w:val="16"/>
                <w:lang w:val="en-US"/>
              </w:rPr>
            </w:pPr>
            <w:r w:rsidRPr="00A93726">
              <w:rPr>
                <w:rFonts w:cs="Arial"/>
                <w:color w:val="000000"/>
                <w:sz w:val="16"/>
                <w:szCs w:val="16"/>
              </w:rPr>
              <w:t>1.401</w:t>
            </w:r>
          </w:p>
        </w:tc>
        <w:tc>
          <w:tcPr>
            <w:tcW w:w="1112" w:type="dxa"/>
            <w:shd w:val="clear" w:color="auto" w:fill="auto"/>
            <w:noWrap/>
            <w:vAlign w:val="center"/>
          </w:tcPr>
          <w:p w14:paraId="672DAE64" w14:textId="185BCCAE" w:rsidR="0010574C" w:rsidRPr="00A93726" w:rsidRDefault="0010574C" w:rsidP="00A93726">
            <w:pPr>
              <w:spacing w:after="0" w:line="276" w:lineRule="auto"/>
              <w:jc w:val="right"/>
              <w:rPr>
                <w:rFonts w:cs="Arial"/>
                <w:color w:val="000000"/>
                <w:sz w:val="16"/>
                <w:szCs w:val="16"/>
              </w:rPr>
            </w:pPr>
            <w:r w:rsidRPr="00A93726">
              <w:rPr>
                <w:rFonts w:cs="Arial"/>
                <w:color w:val="000000"/>
                <w:sz w:val="16"/>
                <w:szCs w:val="16"/>
              </w:rPr>
              <w:t>1.602</w:t>
            </w:r>
          </w:p>
        </w:tc>
      </w:tr>
      <w:tr w:rsidR="0010574C" w:rsidRPr="00A93726" w14:paraId="49824D19" w14:textId="77777777" w:rsidTr="00A93726">
        <w:trPr>
          <w:cantSplit/>
          <w:jc w:val="center"/>
        </w:trPr>
        <w:tc>
          <w:tcPr>
            <w:tcW w:w="1028" w:type="dxa"/>
            <w:shd w:val="clear" w:color="000000" w:fill="D5DCE4"/>
            <w:noWrap/>
            <w:vAlign w:val="center"/>
            <w:hideMark/>
          </w:tcPr>
          <w:p w14:paraId="2630494F" w14:textId="693458A0" w:rsidR="0010574C" w:rsidRPr="00A93726" w:rsidRDefault="0010574C" w:rsidP="00A93726">
            <w:pPr>
              <w:spacing w:after="0" w:line="276" w:lineRule="auto"/>
              <w:jc w:val="center"/>
              <w:rPr>
                <w:rFonts w:cs="Arial"/>
                <w:b/>
                <w:bCs/>
                <w:color w:val="000000"/>
                <w:sz w:val="16"/>
                <w:szCs w:val="16"/>
              </w:rPr>
            </w:pPr>
          </w:p>
        </w:tc>
        <w:tc>
          <w:tcPr>
            <w:tcW w:w="2780" w:type="dxa"/>
            <w:shd w:val="clear" w:color="000000" w:fill="D5DCE4"/>
            <w:noWrap/>
            <w:vAlign w:val="center"/>
            <w:hideMark/>
          </w:tcPr>
          <w:p w14:paraId="25792B0D" w14:textId="77777777" w:rsidR="0010574C" w:rsidRPr="00A93726" w:rsidRDefault="0010574C" w:rsidP="00A93726">
            <w:pPr>
              <w:spacing w:after="0" w:line="276" w:lineRule="auto"/>
              <w:jc w:val="left"/>
              <w:rPr>
                <w:rFonts w:cs="Arial"/>
                <w:b/>
                <w:bCs/>
                <w:color w:val="000000"/>
                <w:sz w:val="16"/>
                <w:szCs w:val="16"/>
              </w:rPr>
            </w:pPr>
            <w:r w:rsidRPr="00A93726">
              <w:rPr>
                <w:rFonts w:cs="Arial"/>
                <w:b/>
                <w:bCs/>
                <w:color w:val="000000"/>
                <w:sz w:val="16"/>
                <w:szCs w:val="16"/>
              </w:rPr>
              <w:t xml:space="preserve"> Σύνολο</w:t>
            </w:r>
          </w:p>
        </w:tc>
        <w:tc>
          <w:tcPr>
            <w:tcW w:w="1091" w:type="dxa"/>
            <w:shd w:val="clear" w:color="000000" w:fill="D5DCE4"/>
            <w:noWrap/>
            <w:vAlign w:val="center"/>
          </w:tcPr>
          <w:p w14:paraId="347552E9" w14:textId="554FF497" w:rsidR="0010574C" w:rsidRPr="00A93726" w:rsidRDefault="0010574C" w:rsidP="00A93726">
            <w:pPr>
              <w:spacing w:after="0" w:line="276" w:lineRule="auto"/>
              <w:jc w:val="right"/>
              <w:rPr>
                <w:rFonts w:cs="Arial"/>
                <w:b/>
                <w:bCs/>
                <w:color w:val="000000"/>
                <w:sz w:val="16"/>
                <w:szCs w:val="16"/>
              </w:rPr>
            </w:pPr>
            <w:r w:rsidRPr="00A93726">
              <w:rPr>
                <w:rFonts w:cs="Arial"/>
                <w:b/>
                <w:bCs/>
                <w:color w:val="000000"/>
                <w:sz w:val="16"/>
                <w:szCs w:val="16"/>
              </w:rPr>
              <w:t>9.913</w:t>
            </w:r>
          </w:p>
        </w:tc>
        <w:tc>
          <w:tcPr>
            <w:tcW w:w="960" w:type="dxa"/>
            <w:shd w:val="clear" w:color="000000" w:fill="D5DCE4"/>
            <w:noWrap/>
            <w:vAlign w:val="center"/>
          </w:tcPr>
          <w:p w14:paraId="13FA8F89" w14:textId="494DED21" w:rsidR="0010574C" w:rsidRPr="00A93726" w:rsidRDefault="0010574C" w:rsidP="00A93726">
            <w:pPr>
              <w:spacing w:after="0" w:line="276" w:lineRule="auto"/>
              <w:jc w:val="right"/>
              <w:rPr>
                <w:rFonts w:cs="Arial"/>
                <w:b/>
                <w:bCs/>
                <w:color w:val="000000"/>
                <w:sz w:val="16"/>
                <w:szCs w:val="16"/>
              </w:rPr>
            </w:pPr>
            <w:r w:rsidRPr="00A93726">
              <w:rPr>
                <w:rFonts w:cs="Arial"/>
                <w:b/>
                <w:bCs/>
                <w:color w:val="000000"/>
                <w:sz w:val="16"/>
                <w:szCs w:val="16"/>
              </w:rPr>
              <w:t>3.401</w:t>
            </w:r>
          </w:p>
        </w:tc>
        <w:tc>
          <w:tcPr>
            <w:tcW w:w="960" w:type="dxa"/>
            <w:shd w:val="clear" w:color="000000" w:fill="D5DCE4"/>
            <w:noWrap/>
            <w:vAlign w:val="center"/>
          </w:tcPr>
          <w:p w14:paraId="0E613AE9" w14:textId="7FA25707" w:rsidR="0010574C" w:rsidRPr="00A93726" w:rsidRDefault="0010574C" w:rsidP="00A93726">
            <w:pPr>
              <w:spacing w:after="0" w:line="276" w:lineRule="auto"/>
              <w:jc w:val="right"/>
              <w:rPr>
                <w:rFonts w:cs="Arial"/>
                <w:b/>
                <w:bCs/>
                <w:color w:val="000000"/>
                <w:sz w:val="16"/>
                <w:szCs w:val="16"/>
              </w:rPr>
            </w:pPr>
            <w:r w:rsidRPr="00A93726">
              <w:rPr>
                <w:rFonts w:cs="Arial"/>
                <w:b/>
                <w:bCs/>
                <w:color w:val="000000"/>
                <w:sz w:val="16"/>
                <w:szCs w:val="16"/>
              </w:rPr>
              <w:t>13.314</w:t>
            </w:r>
          </w:p>
        </w:tc>
        <w:tc>
          <w:tcPr>
            <w:tcW w:w="1037" w:type="dxa"/>
            <w:shd w:val="clear" w:color="000000" w:fill="D5DCE4"/>
            <w:noWrap/>
            <w:vAlign w:val="center"/>
          </w:tcPr>
          <w:p w14:paraId="431DC2B4" w14:textId="7CC8F2A2" w:rsidR="0010574C" w:rsidRPr="00A93726" w:rsidRDefault="0010574C" w:rsidP="00A93726">
            <w:pPr>
              <w:spacing w:after="0" w:line="276" w:lineRule="auto"/>
              <w:jc w:val="right"/>
              <w:rPr>
                <w:rFonts w:cs="Arial"/>
                <w:b/>
                <w:bCs/>
                <w:color w:val="000000"/>
                <w:sz w:val="16"/>
                <w:szCs w:val="16"/>
              </w:rPr>
            </w:pPr>
            <w:r w:rsidRPr="00A93726">
              <w:rPr>
                <w:rFonts w:cs="Arial"/>
                <w:b/>
                <w:bCs/>
                <w:color w:val="000000"/>
                <w:sz w:val="16"/>
                <w:szCs w:val="16"/>
              </w:rPr>
              <w:t>14.600</w:t>
            </w:r>
          </w:p>
        </w:tc>
        <w:tc>
          <w:tcPr>
            <w:tcW w:w="1112" w:type="dxa"/>
            <w:shd w:val="clear" w:color="000000" w:fill="D5DCE4"/>
            <w:noWrap/>
            <w:vAlign w:val="center"/>
          </w:tcPr>
          <w:p w14:paraId="67C346DC" w14:textId="61C7A0F0" w:rsidR="0010574C" w:rsidRPr="00A93726" w:rsidRDefault="0010574C" w:rsidP="00A93726">
            <w:pPr>
              <w:spacing w:after="0" w:line="276" w:lineRule="auto"/>
              <w:jc w:val="right"/>
              <w:rPr>
                <w:rFonts w:cs="Arial"/>
                <w:b/>
                <w:bCs/>
                <w:color w:val="000000"/>
                <w:sz w:val="16"/>
                <w:szCs w:val="16"/>
              </w:rPr>
            </w:pPr>
            <w:r w:rsidRPr="00A93726">
              <w:rPr>
                <w:rFonts w:cs="Arial"/>
                <w:b/>
                <w:bCs/>
                <w:color w:val="000000"/>
                <w:sz w:val="16"/>
                <w:szCs w:val="16"/>
              </w:rPr>
              <w:t>16.692</w:t>
            </w:r>
          </w:p>
        </w:tc>
      </w:tr>
    </w:tbl>
    <w:bookmarkEnd w:id="354"/>
    <w:bookmarkEnd w:id="355"/>
    <w:p w14:paraId="637797B4" w14:textId="7E03B977" w:rsidR="0014586F" w:rsidRDefault="0014586F" w:rsidP="00360D2A">
      <w:pPr>
        <w:spacing w:before="240"/>
      </w:pPr>
      <w:r>
        <w:t xml:space="preserve">Από τα στοιχεία του πίνακα προκύπτει ότι το μεγαλύτερο μέρος των επενδυτικών δαπανών για το οικονομικό έτος 2024 και συγκεκριμένα ποσό ύψους 9.075 εκατ. ευρώ (ποσοστό 68,2% επί του συνολικού ποσού) καταγράφεται στην </w:t>
      </w:r>
      <w:r w:rsidRPr="00850251">
        <w:t>κατηγορία των μεταβιβάσεων, εκ των οποίων οι μεταβιβάσεις του Υπουργείου Εθνικής Οικονομίας και Οικονομικών προς τους ΟΤΑ α</w:t>
      </w:r>
      <w:r>
        <w:t>’</w:t>
      </w:r>
      <w:r w:rsidRPr="00850251">
        <w:t xml:space="preserve"> και β</w:t>
      </w:r>
      <w:r>
        <w:t>’</w:t>
      </w:r>
      <w:r w:rsidRPr="00850251">
        <w:t xml:space="preserve"> βαθμού ανέρχονται σε 2.361 εκατ. ευρώ και </w:t>
      </w:r>
      <w:r>
        <w:t xml:space="preserve">οι μεταβιβάσεις </w:t>
      </w:r>
      <w:r w:rsidRPr="00850251">
        <w:t xml:space="preserve">του Υπουργείου Περιβάλλοντος και Ενέργειας </w:t>
      </w:r>
      <w:r>
        <w:t xml:space="preserve">για </w:t>
      </w:r>
      <w:r w:rsidRPr="00850251">
        <w:t xml:space="preserve">τη διάσωση, ανάδειξη και εκμετάλλευση φυσικών και ενεργειακών πόρων ανέρχονται σε 1.535 εκατ. ευρώ. </w:t>
      </w:r>
      <w:r>
        <w:t xml:space="preserve">Επίσης, οι δαπάνες για αγορές παγίων περιουσιακών στοιχείων ανέρχονται σε 1.567 εκατ. ευρώ, εκ των οποίων ποσό ύψους 1.002 εκατ. ευρώ κατευθύνεται σε μεγάλα έργα υποδομής, κυρίως από το Υπουργείο Υποδομών και Μεταφορών. </w:t>
      </w:r>
      <w:r w:rsidRPr="00850251">
        <w:t>Τέλος, σημειώνεται ότι για επιδοτήσεις διατέθηκαν</w:t>
      </w:r>
      <w:r>
        <w:t xml:space="preserve"> συνολικά 1.110 εκατ. ευρώ, εκ των οποίων 934</w:t>
      </w:r>
      <w:r w:rsidRPr="00DE176C">
        <w:t xml:space="preserve"> εκατ. ευρώ</w:t>
      </w:r>
      <w:r>
        <w:t xml:space="preserve"> για επιδοτήσεις </w:t>
      </w:r>
      <w:r w:rsidRPr="00DE176C">
        <w:t xml:space="preserve">προϊόντων και υπηρεσιών μέσω του Υπουργείου Αγροτικής </w:t>
      </w:r>
      <w:r w:rsidRPr="00DE176C">
        <w:lastRenderedPageBreak/>
        <w:t>Ανάπτυξης και Τροφίμων</w:t>
      </w:r>
      <w:r>
        <w:t xml:space="preserve"> και 159 εκατ</w:t>
      </w:r>
      <w:r w:rsidRPr="00DE176C">
        <w:t>.</w:t>
      </w:r>
      <w:r>
        <w:t xml:space="preserve"> ευρώ</w:t>
      </w:r>
      <w:r w:rsidRPr="00DE176C">
        <w:t xml:space="preserve"> </w:t>
      </w:r>
      <w:r>
        <w:t>για επιδοτήσεις άγονων γραμμών μέσω του Υπουργείου Ναυτιλίας και Νησιωτικής Πολιτικής.</w:t>
      </w:r>
    </w:p>
    <w:p w14:paraId="78DA041F" w14:textId="0DBB3F49" w:rsidR="00644567" w:rsidRPr="006D23B9" w:rsidRDefault="00644567" w:rsidP="00360D2A">
      <w:pPr>
        <w:spacing w:before="120"/>
      </w:pPr>
      <w:r w:rsidRPr="00280E7D">
        <w:t>Για το οικονομικό έτος 2025</w:t>
      </w:r>
      <w:r w:rsidR="006139A8">
        <w:t xml:space="preserve"> επί των εκτιμώμενων δαπανών ύψους 14.600 εκατ. ευρώ, </w:t>
      </w:r>
      <w:r w:rsidR="006139A8" w:rsidRPr="00280E7D">
        <w:t>το μεγαλύτερο μέρο</w:t>
      </w:r>
      <w:r w:rsidR="006139A8">
        <w:t xml:space="preserve">ς αυτών, ήτοι ποσό ύψους </w:t>
      </w:r>
      <w:r w:rsidRPr="00280E7D">
        <w:t xml:space="preserve">10.070 εκατ. ευρώ </w:t>
      </w:r>
      <w:r w:rsidR="00D51681">
        <w:t xml:space="preserve">(ποσοστό 69% επί του συνολικού ποσού) </w:t>
      </w:r>
      <w:r w:rsidRPr="00280E7D">
        <w:t>θα μεταβιβαστεί σε φορείς εντός και εκτός Γενικής Κυβέρνησης</w:t>
      </w:r>
      <w:r w:rsidR="00D51681">
        <w:t>.</w:t>
      </w:r>
    </w:p>
    <w:p w14:paraId="355FCC1D" w14:textId="37F717F5" w:rsidR="00CA75AD" w:rsidRPr="00B77ABC" w:rsidRDefault="00644567" w:rsidP="00CA75AD">
      <w:pPr>
        <w:spacing w:after="0"/>
        <w:rPr>
          <w:b/>
          <w:bCs/>
        </w:rPr>
      </w:pPr>
      <w:r w:rsidRPr="00B77ABC">
        <w:t xml:space="preserve">Ενδεικτικά αναφέρονται δράσεις του συγχρηματοδοτούμενου σκέλους του προϋπολογισμού δημοσίων επενδύσεων, </w:t>
      </w:r>
      <w:r w:rsidR="00CA75AD" w:rsidRPr="00B77ABC">
        <w:t>για τις οποίες μεταβιβάστηκαν πόροι εντός του 2025 και αφορούν σε:</w:t>
      </w:r>
    </w:p>
    <w:p w14:paraId="5462C17E" w14:textId="4EDEF516" w:rsidR="00CA75AD" w:rsidRPr="00B77ABC" w:rsidRDefault="00CA75AD" w:rsidP="004B12B5">
      <w:pPr>
        <w:numPr>
          <w:ilvl w:val="0"/>
          <w:numId w:val="1"/>
        </w:numPr>
        <w:spacing w:before="120" w:after="60"/>
        <w:ind w:left="568" w:hanging="284"/>
      </w:pPr>
      <w:r w:rsidRPr="00B77ABC">
        <w:t>ενίσχυση της επιχειρηματικότητας με διάθεση ποσού ύψους 191 εκατ. ευρώ στο Ταμείο Επιχειρηματικότητας ΙΙΙ (ΤΕΠΙΧ ΙΙΙ) και ποσού άνω των 125 εκατ. ευρώ για τον πράσινο μετασχηματισμό υφιστάμενων, νέων και υπό σύσταση μικρομεσαίων επιχειρήσεων</w:t>
      </w:r>
      <w:r w:rsidR="00DC4A88">
        <w:t>,</w:t>
      </w:r>
    </w:p>
    <w:p w14:paraId="6BA5EA98" w14:textId="782B7A2A" w:rsidR="00CA75AD" w:rsidRPr="00B77ABC" w:rsidRDefault="00CA75AD" w:rsidP="004B12B5">
      <w:pPr>
        <w:numPr>
          <w:ilvl w:val="0"/>
          <w:numId w:val="1"/>
        </w:numPr>
        <w:spacing w:before="60" w:after="60"/>
        <w:ind w:left="568" w:hanging="284"/>
      </w:pPr>
      <w:r w:rsidRPr="00B77ABC">
        <w:t xml:space="preserve">στήριξη του πρωτογενούς τομέα </w:t>
      </w:r>
      <w:r w:rsidR="00DC4A88">
        <w:t>με</w:t>
      </w:r>
      <w:r w:rsidRPr="00B77ABC">
        <w:t xml:space="preserve"> προτεραιότητα στη στήριξη της πράσινης γεωργίας μέσω των προγραμμάτων «Ενίσχυση για τη μετατροπή σε βιολογικές πρακτικές και μεθόδους» (130 εκατ. ευρώ) και «Ανθεκτικότητα και αναδιάρθρωση γεωργικών εκμεταλλεύσεων» (43,4 εκατ. ευρώ)</w:t>
      </w:r>
      <w:r w:rsidR="004B12B5" w:rsidRPr="00B77ABC">
        <w:t xml:space="preserve"> και</w:t>
      </w:r>
    </w:p>
    <w:p w14:paraId="5725B1AB" w14:textId="0C7A07C8" w:rsidR="00CA75AD" w:rsidRPr="00B77ABC" w:rsidRDefault="00CA75AD" w:rsidP="004B12B5">
      <w:pPr>
        <w:numPr>
          <w:ilvl w:val="0"/>
          <w:numId w:val="1"/>
        </w:numPr>
        <w:spacing w:before="60"/>
        <w:ind w:left="568" w:hanging="284"/>
      </w:pPr>
      <w:r w:rsidRPr="00B77ABC">
        <w:rPr>
          <w:bCs/>
        </w:rPr>
        <w:t>υποστήριξη δράσεων σε τοπικό και περιφερειακό επίπεδο μέσω των δράσεων</w:t>
      </w:r>
      <w:r w:rsidRPr="00B77ABC">
        <w:rPr>
          <w:b/>
          <w:bCs/>
        </w:rPr>
        <w:t xml:space="preserve"> </w:t>
      </w:r>
      <w:r w:rsidRPr="00B77ABC">
        <w:t>«Προγράμματα Τοπικής Ανάπτυξης (CLLD</w:t>
      </w:r>
      <w:r w:rsidR="000A3EB5">
        <w:t xml:space="preserve"> </w:t>
      </w:r>
      <w:r w:rsidRPr="00B77ABC">
        <w:t>-</w:t>
      </w:r>
      <w:r w:rsidR="000A3EB5">
        <w:t xml:space="preserve"> </w:t>
      </w:r>
      <w:r w:rsidRPr="00B77ABC">
        <w:t>LEADER</w:t>
      </w:r>
      <w:r w:rsidRPr="00DC4A88">
        <w:t>)»</w:t>
      </w:r>
      <w:r w:rsidRPr="00DC4A88">
        <w:rPr>
          <w:bCs/>
        </w:rPr>
        <w:t xml:space="preserve"> (</w:t>
      </w:r>
      <w:r w:rsidRPr="00B77ABC">
        <w:t>114,9 εκατ. ευρώ) και πρόγραμμα «Αντώνης Τρίτσης» (100 εκατ. ευρώ).</w:t>
      </w:r>
    </w:p>
    <w:p w14:paraId="00721475" w14:textId="67AE4E55" w:rsidR="00644567" w:rsidRPr="00280E7D" w:rsidRDefault="00644567" w:rsidP="004B12B5">
      <w:pPr>
        <w:spacing w:before="120"/>
      </w:pPr>
      <w:r w:rsidRPr="00280E7D">
        <w:t xml:space="preserve">Αξιοσημείωτες επίσης είναι και ορισμένες δράσεις, για την υλοποίηση των οποίων έχουν ήδη μεταβιβαστεί πόροι του ΤΑΑ, όπως το «Πρόγραμμα Βελτίωσης Οδικής Ασφάλειας» για τη μείωση των τροχαίων ατυχημάτων (μεταβίβαση </w:t>
      </w:r>
      <w:r w:rsidRPr="00280E7D">
        <w:rPr>
          <w:bCs/>
        </w:rPr>
        <w:t xml:space="preserve">116,6 εκατ. ευρώ σε </w:t>
      </w:r>
      <w:r w:rsidR="00DC4A88">
        <w:rPr>
          <w:bCs/>
        </w:rPr>
        <w:t>Δ</w:t>
      </w:r>
      <w:r w:rsidRPr="00280E7D">
        <w:rPr>
          <w:bCs/>
        </w:rPr>
        <w:t xml:space="preserve">ήμους και </w:t>
      </w:r>
      <w:r w:rsidR="00DC4A88">
        <w:rPr>
          <w:bCs/>
        </w:rPr>
        <w:t>Π</w:t>
      </w:r>
      <w:r w:rsidRPr="00280E7D">
        <w:rPr>
          <w:bCs/>
        </w:rPr>
        <w:t>εριφέρειες από το Υπ</w:t>
      </w:r>
      <w:r w:rsidR="00DC4A88">
        <w:rPr>
          <w:bCs/>
        </w:rPr>
        <w:t>ουργείο</w:t>
      </w:r>
      <w:r w:rsidRPr="00280E7D">
        <w:rPr>
          <w:bCs/>
        </w:rPr>
        <w:t xml:space="preserve"> Εσωτερικών)</w:t>
      </w:r>
      <w:r w:rsidRPr="00280E7D">
        <w:t>, το «</w:t>
      </w:r>
      <w:r w:rsidRPr="00280E7D">
        <w:rPr>
          <w:bCs/>
        </w:rPr>
        <w:t xml:space="preserve">Πρόγραμμα βελτίωσης οδικής ασφάλειας </w:t>
      </w:r>
      <w:r w:rsidR="00DC4A88">
        <w:rPr>
          <w:bCs/>
        </w:rPr>
        <w:t>-</w:t>
      </w:r>
      <w:r w:rsidRPr="00280E7D">
        <w:rPr>
          <w:bCs/>
        </w:rPr>
        <w:t xml:space="preserve"> Αυτόνομα έξυπνα δίκτυα LED»</w:t>
      </w:r>
      <w:r w:rsidRPr="00280E7D">
        <w:t xml:space="preserve"> για τη μείωση της κατανάλωσης ενέργειας (μεταβίβαση </w:t>
      </w:r>
      <w:r w:rsidRPr="00280E7D">
        <w:rPr>
          <w:bCs/>
        </w:rPr>
        <w:t>30,8 εκατ. ευρώ</w:t>
      </w:r>
      <w:r w:rsidRPr="00280E7D">
        <w:t xml:space="preserve"> </w:t>
      </w:r>
      <w:r w:rsidRPr="00280E7D">
        <w:rPr>
          <w:bCs/>
        </w:rPr>
        <w:t>από το</w:t>
      </w:r>
      <w:r w:rsidRPr="00280E7D">
        <w:t xml:space="preserve"> </w:t>
      </w:r>
      <w:r w:rsidRPr="00280E7D">
        <w:rPr>
          <w:bCs/>
        </w:rPr>
        <w:t>Υπουργείο Ψηφιακής Διακυβέρνησης)</w:t>
      </w:r>
      <w:r w:rsidRPr="00280E7D">
        <w:t xml:space="preserve">, το έργο </w:t>
      </w:r>
      <w:r w:rsidRPr="00280E7D">
        <w:rPr>
          <w:bCs/>
        </w:rPr>
        <w:t>«Έξυπνες Γέφυρες»</w:t>
      </w:r>
      <w:r w:rsidRPr="00280E7D">
        <w:t xml:space="preserve">, </w:t>
      </w:r>
      <w:r w:rsidR="00DC4A88">
        <w:t xml:space="preserve">το οποίο </w:t>
      </w:r>
      <w:r w:rsidRPr="00280E7D">
        <w:t xml:space="preserve">περιλαμβάνει την εγκατάσταση και λειτουργία συστημάτων παρακολούθησης και ελέγχου της στατικής επάρκειας γεφυρών σε πραγματικό χρόνο (μεταβίβαση </w:t>
      </w:r>
      <w:r w:rsidRPr="00280E7D">
        <w:rPr>
          <w:bCs/>
        </w:rPr>
        <w:t>28,5 εκατ. ευρώ</w:t>
      </w:r>
      <w:r w:rsidRPr="00280E7D">
        <w:t xml:space="preserve"> από το </w:t>
      </w:r>
      <w:r w:rsidRPr="00280E7D">
        <w:rPr>
          <w:bCs/>
        </w:rPr>
        <w:t>Υπουργείο Υποδομών και Μεταφορών</w:t>
      </w:r>
      <w:r w:rsidRPr="00280E7D">
        <w:t>).</w:t>
      </w:r>
    </w:p>
    <w:p w14:paraId="3918A75F" w14:textId="3C3909EE" w:rsidR="00644567" w:rsidRDefault="00644567" w:rsidP="000F4348">
      <w:pPr>
        <w:rPr>
          <w:highlight w:val="yellow"/>
        </w:rPr>
      </w:pPr>
      <w:r w:rsidRPr="00280E7D">
        <w:t xml:space="preserve">Τέλος, σύμφωνα με τις ίδιες εκτιμήσεις, από το σύνολο των 16.692 εκατ. ευρώ των επενδυτικών δαπανών </w:t>
      </w:r>
      <w:r w:rsidR="0084006A" w:rsidRPr="00DB48BE">
        <w:t xml:space="preserve">που </w:t>
      </w:r>
      <w:r w:rsidR="00651AE1" w:rsidRPr="00DB48BE">
        <w:t>προβλέπ</w:t>
      </w:r>
      <w:r w:rsidR="00401861" w:rsidRPr="00DB48BE">
        <w:t>ον</w:t>
      </w:r>
      <w:r w:rsidR="00651AE1" w:rsidRPr="00DB48BE">
        <w:t>ται στον</w:t>
      </w:r>
      <w:r w:rsidR="00651AE1">
        <w:t xml:space="preserve"> προϋπολογισμό δημοσίων επενδύσεων </w:t>
      </w:r>
      <w:r w:rsidRPr="00280E7D">
        <w:t>οικονομικού έτους 2026</w:t>
      </w:r>
      <w:r w:rsidR="00227ADC">
        <w:t>,</w:t>
      </w:r>
      <w:r w:rsidRPr="00280E7D">
        <w:t xml:space="preserve"> ποσό ύψους 11.513 εκατ. ευρώ αφ</w:t>
      </w:r>
      <w:r>
        <w:t>ορά σε μεταβιβάσεις</w:t>
      </w:r>
      <w:r w:rsidR="00887CD7">
        <w:t xml:space="preserve"> σε φορείς εντός και εκτός Γενικής Κυβέρνησης</w:t>
      </w:r>
      <w:r>
        <w:t>.</w:t>
      </w:r>
    </w:p>
    <w:p w14:paraId="0D7004D6" w14:textId="416264C9" w:rsidR="00FD46BC" w:rsidRPr="00167182" w:rsidRDefault="007577DA" w:rsidP="00300BBF">
      <w:pPr>
        <w:pStyle w:val="4"/>
      </w:pPr>
      <w:bookmarkStart w:id="356" w:name="_Toc214473765"/>
      <w:r w:rsidRPr="00167182">
        <w:t xml:space="preserve">Δαπάνες </w:t>
      </w:r>
      <w:r w:rsidR="005A27D6" w:rsidRPr="00167182">
        <w:t>ανά</w:t>
      </w:r>
      <w:r w:rsidR="00FD46BC" w:rsidRPr="00167182">
        <w:t xml:space="preserve"> Υπουργείο</w:t>
      </w:r>
      <w:bookmarkEnd w:id="356"/>
    </w:p>
    <w:p w14:paraId="609122D3" w14:textId="6B34F969" w:rsidR="00556692" w:rsidRDefault="00095FEF" w:rsidP="00B90B14">
      <w:pPr>
        <w:spacing w:after="240"/>
      </w:pPr>
      <w:r w:rsidRPr="00277E45">
        <w:t>Ο προϋπολογισμός των φορέων της Κεντρικής Διοίκησης (Προεδρία της Δημοκρατίας, Βουλή των Ελλήνων, Προεδρία της Κυβέρνησης, Υπουργεία και Αποκεντρωμένες Διοικήσεις) καταρτίζεται και εκτελείται σε ταμειακή βάση. Στον κρατικό προϋπολογισμό (τακτικός προϋπολογισμός και προϋπολογισμός</w:t>
      </w:r>
      <w:r w:rsidRPr="00277E45" w:rsidDel="001E43F6">
        <w:t xml:space="preserve"> </w:t>
      </w:r>
      <w:r w:rsidRPr="00277E45">
        <w:t xml:space="preserve">δημοσίων επενδύσεων) προβλέπονται ανώτατα όρια δαπανών για κάθε φορέα </w:t>
      </w:r>
      <w:r w:rsidRPr="00154C13">
        <w:t>(</w:t>
      </w:r>
      <w:r w:rsidR="001C647A" w:rsidRPr="00154C13">
        <w:fldChar w:fldCharType="begin"/>
      </w:r>
      <w:r w:rsidR="001C647A" w:rsidRPr="00154C13">
        <w:instrText xml:space="preserve"> REF _Ref214113076 \h  \* MERGEFORMAT </w:instrText>
      </w:r>
      <w:r w:rsidR="001C647A" w:rsidRPr="00154C13">
        <w:fldChar w:fldCharType="separate"/>
      </w:r>
      <w:r w:rsidR="00E15678" w:rsidRPr="00E15678">
        <w:t>Πίνακας 3.11</w:t>
      </w:r>
      <w:r w:rsidR="001C647A" w:rsidRPr="00154C13">
        <w:fldChar w:fldCharType="end"/>
      </w:r>
      <w:r w:rsidR="00FF69A1" w:rsidRPr="00154C13">
        <w:t>.</w:t>
      </w:r>
      <w:r w:rsidRPr="00154C13">
        <w:t>).</w:t>
      </w:r>
      <w:r w:rsidRPr="00154C13">
        <w:rPr>
          <w:szCs w:val="20"/>
        </w:rPr>
        <w:t xml:space="preserve"> Στον εν</w:t>
      </w:r>
      <w:r w:rsidRPr="00277E45">
        <w:rPr>
          <w:szCs w:val="20"/>
        </w:rPr>
        <w:t xml:space="preserve"> λόγω πίνακα περιλαμβάνονται οι μη χρηματοοικονομικές δαπάνες του</w:t>
      </w:r>
      <w:r w:rsidRPr="00277E45">
        <w:t xml:space="preserve"> κρατικού προϋπολογισμού.</w:t>
      </w:r>
    </w:p>
    <w:p w14:paraId="693AF059" w14:textId="77777777" w:rsidR="00556692" w:rsidRDefault="00556692">
      <w:pPr>
        <w:spacing w:after="0" w:line="240" w:lineRule="auto"/>
        <w:jc w:val="left"/>
      </w:pPr>
      <w:r>
        <w:br w:type="page"/>
      </w:r>
    </w:p>
    <w:tbl>
      <w:tblPr>
        <w:tblW w:w="10132" w:type="dxa"/>
        <w:jc w:val="center"/>
        <w:tblLook w:val="04A0" w:firstRow="1" w:lastRow="0" w:firstColumn="1" w:lastColumn="0" w:noHBand="0" w:noVBand="1"/>
      </w:tblPr>
      <w:tblGrid>
        <w:gridCol w:w="458"/>
        <w:gridCol w:w="2800"/>
        <w:gridCol w:w="3118"/>
        <w:gridCol w:w="1551"/>
        <w:gridCol w:w="1093"/>
        <w:gridCol w:w="1112"/>
      </w:tblGrid>
      <w:tr w:rsidR="00E570D5" w:rsidRPr="00D0604E" w14:paraId="2D555D64" w14:textId="77777777" w:rsidTr="00556692">
        <w:trPr>
          <w:cantSplit/>
          <w:trHeight w:val="567"/>
          <w:tblHeader/>
          <w:jc w:val="center"/>
        </w:trPr>
        <w:tc>
          <w:tcPr>
            <w:tcW w:w="10132" w:type="dxa"/>
            <w:gridSpan w:val="6"/>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6CD566BC" w14:textId="65D210A5" w:rsidR="005629F9" w:rsidRDefault="00B90B14" w:rsidP="00DE5B0D">
            <w:pPr>
              <w:spacing w:after="0" w:line="276" w:lineRule="auto"/>
              <w:jc w:val="center"/>
              <w:rPr>
                <w:rFonts w:cs="Arial"/>
                <w:b/>
                <w:bCs/>
                <w:color w:val="000000"/>
                <w:sz w:val="18"/>
                <w:szCs w:val="16"/>
              </w:rPr>
            </w:pPr>
            <w:bookmarkStart w:id="357" w:name="_Ref214113076"/>
            <w:bookmarkStart w:id="358" w:name="_Toc214474049"/>
            <w:bookmarkStart w:id="359" w:name="RANGE!A1:F150"/>
            <w:r w:rsidRPr="00B90B14">
              <w:rPr>
                <w:b/>
                <w:sz w:val="18"/>
                <w:szCs w:val="18"/>
              </w:rPr>
              <w:lastRenderedPageBreak/>
              <w:t>Πίνακας 3.</w:t>
            </w:r>
            <w:r w:rsidRPr="00B90B14">
              <w:rPr>
                <w:b/>
                <w:sz w:val="18"/>
                <w:szCs w:val="18"/>
              </w:rPr>
              <w:fldChar w:fldCharType="begin"/>
            </w:r>
            <w:r w:rsidRPr="00B90B14">
              <w:rPr>
                <w:b/>
                <w:sz w:val="18"/>
                <w:szCs w:val="18"/>
              </w:rPr>
              <w:instrText xml:space="preserve"> SEQ Πίνακας_3. \* ARABIC </w:instrText>
            </w:r>
            <w:r w:rsidRPr="00B90B14">
              <w:rPr>
                <w:b/>
                <w:sz w:val="18"/>
                <w:szCs w:val="18"/>
              </w:rPr>
              <w:fldChar w:fldCharType="separate"/>
            </w:r>
            <w:r w:rsidR="00E15678">
              <w:rPr>
                <w:b/>
                <w:noProof/>
                <w:sz w:val="18"/>
                <w:szCs w:val="18"/>
              </w:rPr>
              <w:t>11</w:t>
            </w:r>
            <w:r w:rsidRPr="00B90B14">
              <w:rPr>
                <w:b/>
                <w:sz w:val="18"/>
                <w:szCs w:val="18"/>
              </w:rPr>
              <w:fldChar w:fldCharType="end"/>
            </w:r>
            <w:bookmarkEnd w:id="357"/>
            <w:r w:rsidRPr="00B90B14">
              <w:rPr>
                <w:b/>
                <w:sz w:val="18"/>
                <w:szCs w:val="18"/>
              </w:rPr>
              <w:t xml:space="preserve">.: </w:t>
            </w:r>
            <w:r w:rsidR="00E570D5" w:rsidRPr="00B90B14">
              <w:rPr>
                <w:rFonts w:cs="Arial"/>
                <w:b/>
                <w:bCs/>
                <w:color w:val="000000"/>
                <w:sz w:val="18"/>
                <w:szCs w:val="18"/>
              </w:rPr>
              <w:t>Ανώτατα</w:t>
            </w:r>
            <w:r w:rsidR="00E570D5" w:rsidRPr="00D0604E">
              <w:rPr>
                <w:rFonts w:cs="Arial"/>
                <w:b/>
                <w:bCs/>
                <w:color w:val="000000"/>
                <w:sz w:val="18"/>
                <w:szCs w:val="16"/>
              </w:rPr>
              <w:t xml:space="preserve"> όρια δαπανών φορέων Κεντρικής Διοίκησης </w:t>
            </w:r>
            <w:r w:rsidR="00181CEA">
              <w:rPr>
                <w:rFonts w:cs="Arial"/>
                <w:b/>
                <w:bCs/>
                <w:color w:val="000000"/>
                <w:sz w:val="18"/>
                <w:szCs w:val="16"/>
              </w:rPr>
              <w:t>κ</w:t>
            </w:r>
            <w:r w:rsidR="00E570D5" w:rsidRPr="00D0604E">
              <w:rPr>
                <w:rFonts w:cs="Arial"/>
                <w:b/>
                <w:bCs/>
                <w:color w:val="000000"/>
                <w:sz w:val="18"/>
                <w:szCs w:val="16"/>
              </w:rPr>
              <w:t xml:space="preserve">ρατικού </w:t>
            </w:r>
            <w:r w:rsidR="00181CEA">
              <w:rPr>
                <w:rFonts w:cs="Arial"/>
                <w:b/>
                <w:bCs/>
                <w:color w:val="000000"/>
                <w:sz w:val="18"/>
                <w:szCs w:val="16"/>
              </w:rPr>
              <w:t>π</w:t>
            </w:r>
            <w:r w:rsidR="00E570D5" w:rsidRPr="00D0604E">
              <w:rPr>
                <w:rFonts w:cs="Arial"/>
                <w:b/>
                <w:bCs/>
                <w:color w:val="000000"/>
                <w:sz w:val="18"/>
                <w:szCs w:val="16"/>
              </w:rPr>
              <w:t>ροϋπολογισμού</w:t>
            </w:r>
            <w:bookmarkEnd w:id="358"/>
          </w:p>
          <w:p w14:paraId="1149C841" w14:textId="4620A136" w:rsidR="008F4A04" w:rsidRDefault="00E570D5" w:rsidP="00DE5B0D">
            <w:pPr>
              <w:spacing w:after="0" w:line="276" w:lineRule="auto"/>
              <w:jc w:val="center"/>
              <w:rPr>
                <w:rFonts w:cs="Arial"/>
                <w:b/>
                <w:bCs/>
                <w:color w:val="000000"/>
                <w:sz w:val="18"/>
                <w:szCs w:val="16"/>
              </w:rPr>
            </w:pPr>
            <w:r w:rsidRPr="00D0604E">
              <w:rPr>
                <w:rFonts w:cs="Arial"/>
                <w:b/>
                <w:bCs/>
                <w:color w:val="000000"/>
                <w:sz w:val="18"/>
                <w:szCs w:val="16"/>
              </w:rPr>
              <w:t>σε ταμειακή και δεδουλευμένη βάση σύμφωνα με τη μεθοδολογία ESA για τα έτη 2025 και 2026</w:t>
            </w:r>
          </w:p>
          <w:p w14:paraId="78BE0867" w14:textId="1F300C04" w:rsidR="00E570D5" w:rsidRPr="00D0604E" w:rsidRDefault="00E570D5" w:rsidP="00DE5B0D">
            <w:pPr>
              <w:spacing w:after="0" w:line="276" w:lineRule="auto"/>
              <w:jc w:val="center"/>
              <w:rPr>
                <w:rFonts w:cs="Arial"/>
                <w:b/>
                <w:bCs/>
                <w:color w:val="000000"/>
                <w:sz w:val="18"/>
                <w:szCs w:val="16"/>
              </w:rPr>
            </w:pPr>
            <w:r w:rsidRPr="00D0604E">
              <w:rPr>
                <w:rFonts w:cs="Arial"/>
                <w:b/>
                <w:bCs/>
                <w:color w:val="000000"/>
                <w:sz w:val="18"/>
                <w:szCs w:val="16"/>
              </w:rPr>
              <w:t>(σε εκατ. ευρώ)</w:t>
            </w:r>
            <w:bookmarkEnd w:id="359"/>
          </w:p>
        </w:tc>
      </w:tr>
      <w:tr w:rsidR="00E570D5" w:rsidRPr="00D0604E" w14:paraId="32103538" w14:textId="77777777" w:rsidTr="00E966FE">
        <w:trPr>
          <w:cantSplit/>
          <w:tblHeader/>
          <w:jc w:val="center"/>
        </w:trPr>
        <w:tc>
          <w:tcPr>
            <w:tcW w:w="458" w:type="dxa"/>
            <w:vMerge w:val="restart"/>
            <w:tcBorders>
              <w:top w:val="single" w:sz="2" w:space="0" w:color="A6A6A6" w:themeColor="background1" w:themeShade="A6"/>
              <w:left w:val="single" w:sz="2" w:space="0" w:color="A6A6A6" w:themeColor="background1" w:themeShade="A6"/>
            </w:tcBorders>
            <w:shd w:val="clear" w:color="auto" w:fill="F2F2F2" w:themeFill="background1" w:themeFillShade="F2"/>
            <w:vAlign w:val="center"/>
            <w:hideMark/>
          </w:tcPr>
          <w:p w14:paraId="7DDD25DA"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α/α</w:t>
            </w:r>
          </w:p>
        </w:tc>
        <w:tc>
          <w:tcPr>
            <w:tcW w:w="2800" w:type="dxa"/>
            <w:vMerge w:val="restart"/>
            <w:tcBorders>
              <w:top w:val="single" w:sz="2" w:space="0" w:color="A6A6A6" w:themeColor="background1" w:themeShade="A6"/>
            </w:tcBorders>
            <w:shd w:val="clear" w:color="auto" w:fill="F2F2F2" w:themeFill="background1" w:themeFillShade="F2"/>
            <w:vAlign w:val="center"/>
            <w:hideMark/>
          </w:tcPr>
          <w:p w14:paraId="280205EC" w14:textId="77777777" w:rsidR="00E570D5" w:rsidRPr="00D0604E" w:rsidRDefault="00E570D5" w:rsidP="00DE5B0D">
            <w:pPr>
              <w:spacing w:after="0" w:line="276" w:lineRule="auto"/>
              <w:jc w:val="center"/>
              <w:rPr>
                <w:rFonts w:cs="Arial"/>
                <w:b/>
                <w:bCs/>
                <w:color w:val="000000"/>
                <w:sz w:val="16"/>
                <w:szCs w:val="16"/>
              </w:rPr>
            </w:pPr>
            <w:r w:rsidRPr="00D0604E">
              <w:rPr>
                <w:rFonts w:cs="Arial"/>
                <w:b/>
                <w:bCs/>
                <w:color w:val="000000"/>
                <w:sz w:val="16"/>
                <w:szCs w:val="16"/>
              </w:rPr>
              <w:t>Φορέας Κεντρικής Διοίκησης</w:t>
            </w:r>
          </w:p>
        </w:tc>
        <w:tc>
          <w:tcPr>
            <w:tcW w:w="3118" w:type="dxa"/>
            <w:tcBorders>
              <w:top w:val="single" w:sz="2" w:space="0" w:color="A6A6A6" w:themeColor="background1" w:themeShade="A6"/>
            </w:tcBorders>
            <w:shd w:val="clear" w:color="auto" w:fill="F2F2F2" w:themeFill="background1" w:themeFillShade="F2"/>
            <w:noWrap/>
            <w:vAlign w:val="bottom"/>
          </w:tcPr>
          <w:p w14:paraId="70A9ED99" w14:textId="699604A4" w:rsidR="00E570D5" w:rsidRPr="00D0604E" w:rsidRDefault="00E570D5" w:rsidP="00DE5B0D">
            <w:pPr>
              <w:spacing w:after="0" w:line="276" w:lineRule="auto"/>
              <w:jc w:val="center"/>
              <w:rPr>
                <w:rFonts w:cs="Arial"/>
                <w:b/>
                <w:bCs/>
                <w:color w:val="000000"/>
                <w:sz w:val="16"/>
                <w:szCs w:val="16"/>
              </w:rPr>
            </w:pPr>
          </w:p>
        </w:tc>
        <w:tc>
          <w:tcPr>
            <w:tcW w:w="2644" w:type="dxa"/>
            <w:gridSpan w:val="2"/>
            <w:tcBorders>
              <w:top w:val="single" w:sz="2" w:space="0" w:color="A6A6A6" w:themeColor="background1" w:themeShade="A6"/>
            </w:tcBorders>
            <w:shd w:val="clear" w:color="auto" w:fill="F2F2F2" w:themeFill="background1" w:themeFillShade="F2"/>
            <w:noWrap/>
            <w:vAlign w:val="center"/>
            <w:hideMark/>
          </w:tcPr>
          <w:p w14:paraId="420CEFA2" w14:textId="77777777" w:rsidR="00E570D5" w:rsidRPr="00D0604E" w:rsidRDefault="00E570D5" w:rsidP="00E966FE">
            <w:pPr>
              <w:spacing w:after="0" w:line="276" w:lineRule="auto"/>
              <w:jc w:val="center"/>
              <w:rPr>
                <w:rFonts w:cs="Arial"/>
                <w:b/>
                <w:bCs/>
                <w:color w:val="000000"/>
                <w:sz w:val="16"/>
                <w:szCs w:val="16"/>
              </w:rPr>
            </w:pPr>
            <w:r w:rsidRPr="00D0604E">
              <w:rPr>
                <w:rFonts w:cs="Arial"/>
                <w:b/>
                <w:bCs/>
                <w:color w:val="000000"/>
                <w:sz w:val="16"/>
                <w:szCs w:val="16"/>
              </w:rPr>
              <w:t>2025</w:t>
            </w:r>
          </w:p>
        </w:tc>
        <w:tc>
          <w:tcPr>
            <w:tcW w:w="1112" w:type="dxa"/>
            <w:tcBorders>
              <w:top w:val="single" w:sz="2" w:space="0" w:color="A6A6A6" w:themeColor="background1" w:themeShade="A6"/>
              <w:right w:val="single" w:sz="2" w:space="0" w:color="A6A6A6" w:themeColor="background1" w:themeShade="A6"/>
            </w:tcBorders>
            <w:shd w:val="clear" w:color="auto" w:fill="F2F2F2" w:themeFill="background1" w:themeFillShade="F2"/>
            <w:noWrap/>
            <w:vAlign w:val="center"/>
            <w:hideMark/>
          </w:tcPr>
          <w:p w14:paraId="0551E6CF" w14:textId="77777777" w:rsidR="00E570D5" w:rsidRPr="00D0604E" w:rsidRDefault="00E570D5" w:rsidP="00E966FE">
            <w:pPr>
              <w:spacing w:after="0" w:line="276" w:lineRule="auto"/>
              <w:jc w:val="center"/>
              <w:rPr>
                <w:rFonts w:cs="Arial"/>
                <w:b/>
                <w:bCs/>
                <w:color w:val="000000"/>
                <w:sz w:val="16"/>
                <w:szCs w:val="16"/>
              </w:rPr>
            </w:pPr>
            <w:r w:rsidRPr="00D0604E">
              <w:rPr>
                <w:rFonts w:cs="Arial"/>
                <w:b/>
                <w:bCs/>
                <w:color w:val="000000"/>
                <w:sz w:val="16"/>
                <w:szCs w:val="16"/>
              </w:rPr>
              <w:t>2026</w:t>
            </w:r>
          </w:p>
        </w:tc>
      </w:tr>
      <w:tr w:rsidR="00E570D5" w:rsidRPr="00D0604E" w14:paraId="3550F984" w14:textId="77777777" w:rsidTr="00E966FE">
        <w:trPr>
          <w:cantSplit/>
          <w:tblHeader/>
          <w:jc w:val="center"/>
        </w:trPr>
        <w:tc>
          <w:tcPr>
            <w:tcW w:w="458" w:type="dxa"/>
            <w:vMerge/>
            <w:tcBorders>
              <w:left w:val="single" w:sz="2" w:space="0" w:color="A6A6A6" w:themeColor="background1" w:themeShade="A6"/>
              <w:bottom w:val="single" w:sz="2" w:space="0" w:color="A6A6A6" w:themeColor="background1" w:themeShade="A6"/>
            </w:tcBorders>
            <w:shd w:val="clear" w:color="auto" w:fill="auto"/>
            <w:vAlign w:val="center"/>
            <w:hideMark/>
          </w:tcPr>
          <w:p w14:paraId="32D66AA7" w14:textId="77777777" w:rsidR="00E570D5" w:rsidRPr="00D0604E" w:rsidRDefault="00E570D5" w:rsidP="00D36DDE">
            <w:pPr>
              <w:spacing w:after="0" w:line="276" w:lineRule="auto"/>
              <w:jc w:val="center"/>
              <w:rPr>
                <w:rFonts w:cs="Arial"/>
                <w:b/>
                <w:bCs/>
                <w:color w:val="000000"/>
                <w:sz w:val="16"/>
                <w:szCs w:val="16"/>
              </w:rPr>
            </w:pPr>
          </w:p>
        </w:tc>
        <w:tc>
          <w:tcPr>
            <w:tcW w:w="2800" w:type="dxa"/>
            <w:vMerge/>
            <w:tcBorders>
              <w:bottom w:val="single" w:sz="2" w:space="0" w:color="A6A6A6" w:themeColor="background1" w:themeShade="A6"/>
            </w:tcBorders>
            <w:shd w:val="clear" w:color="auto" w:fill="F2F2F2" w:themeFill="background1" w:themeFillShade="F2"/>
            <w:vAlign w:val="center"/>
            <w:hideMark/>
          </w:tcPr>
          <w:p w14:paraId="66C6632E" w14:textId="77777777" w:rsidR="00E570D5" w:rsidRPr="00D0604E" w:rsidRDefault="00E570D5" w:rsidP="00DE5B0D">
            <w:pPr>
              <w:spacing w:after="0" w:line="276" w:lineRule="auto"/>
              <w:jc w:val="left"/>
              <w:rPr>
                <w:rFonts w:cs="Arial"/>
                <w:b/>
                <w:bCs/>
                <w:color w:val="000000"/>
                <w:sz w:val="16"/>
                <w:szCs w:val="16"/>
              </w:rPr>
            </w:pPr>
          </w:p>
        </w:tc>
        <w:tc>
          <w:tcPr>
            <w:tcW w:w="3118" w:type="dxa"/>
            <w:tcBorders>
              <w:bottom w:val="single" w:sz="2" w:space="0" w:color="A6A6A6" w:themeColor="background1" w:themeShade="A6"/>
            </w:tcBorders>
            <w:shd w:val="clear" w:color="auto" w:fill="F2F2F2" w:themeFill="background1" w:themeFillShade="F2"/>
            <w:noWrap/>
            <w:vAlign w:val="center"/>
          </w:tcPr>
          <w:p w14:paraId="63D7C5BC" w14:textId="3B3D0648" w:rsidR="00E570D5" w:rsidRPr="00D0604E" w:rsidRDefault="00E570D5" w:rsidP="00DE5B0D">
            <w:pPr>
              <w:spacing w:after="0" w:line="276" w:lineRule="auto"/>
              <w:jc w:val="center"/>
              <w:rPr>
                <w:rFonts w:cs="Arial"/>
                <w:b/>
                <w:bCs/>
                <w:color w:val="000000"/>
                <w:sz w:val="16"/>
                <w:szCs w:val="16"/>
              </w:rPr>
            </w:pPr>
          </w:p>
        </w:tc>
        <w:tc>
          <w:tcPr>
            <w:tcW w:w="1551" w:type="dxa"/>
            <w:tcBorders>
              <w:bottom w:val="single" w:sz="2" w:space="0" w:color="A6A6A6" w:themeColor="background1" w:themeShade="A6"/>
            </w:tcBorders>
            <w:shd w:val="clear" w:color="auto" w:fill="F2F2F2" w:themeFill="background1" w:themeFillShade="F2"/>
            <w:vAlign w:val="center"/>
            <w:hideMark/>
          </w:tcPr>
          <w:p w14:paraId="67C997F5" w14:textId="77777777" w:rsidR="00E570D5" w:rsidRPr="00D0604E" w:rsidRDefault="00E570D5" w:rsidP="00E966FE">
            <w:pPr>
              <w:spacing w:after="0" w:line="276" w:lineRule="auto"/>
              <w:jc w:val="center"/>
              <w:rPr>
                <w:rFonts w:cs="Arial"/>
                <w:b/>
                <w:bCs/>
                <w:color w:val="000000"/>
                <w:sz w:val="16"/>
                <w:szCs w:val="16"/>
              </w:rPr>
            </w:pPr>
            <w:r w:rsidRPr="00D0604E">
              <w:rPr>
                <w:rFonts w:cs="Arial"/>
                <w:b/>
                <w:bCs/>
                <w:color w:val="000000"/>
                <w:sz w:val="16"/>
                <w:szCs w:val="16"/>
              </w:rPr>
              <w:t>Προϋπολογισμός 2025</w:t>
            </w:r>
          </w:p>
        </w:tc>
        <w:tc>
          <w:tcPr>
            <w:tcW w:w="1093" w:type="dxa"/>
            <w:tcBorders>
              <w:bottom w:val="single" w:sz="2" w:space="0" w:color="A6A6A6" w:themeColor="background1" w:themeShade="A6"/>
            </w:tcBorders>
            <w:shd w:val="clear" w:color="auto" w:fill="F2F2F2" w:themeFill="background1" w:themeFillShade="F2"/>
            <w:noWrap/>
            <w:vAlign w:val="center"/>
            <w:hideMark/>
          </w:tcPr>
          <w:p w14:paraId="3BD789F7" w14:textId="5DB72B56" w:rsidR="00E570D5" w:rsidRPr="00D0604E" w:rsidRDefault="00E570D5" w:rsidP="00E966FE">
            <w:pPr>
              <w:spacing w:after="0" w:line="276" w:lineRule="auto"/>
              <w:jc w:val="center"/>
              <w:rPr>
                <w:rFonts w:cs="Arial"/>
                <w:b/>
                <w:bCs/>
                <w:color w:val="000000"/>
                <w:sz w:val="16"/>
                <w:szCs w:val="16"/>
              </w:rPr>
            </w:pPr>
            <w:r w:rsidRPr="00D0604E">
              <w:rPr>
                <w:rFonts w:cs="Arial"/>
                <w:b/>
                <w:bCs/>
                <w:color w:val="000000"/>
                <w:sz w:val="16"/>
                <w:szCs w:val="16"/>
              </w:rPr>
              <w:t>Εκτιμήσεις</w:t>
            </w:r>
            <w:r w:rsidRPr="0036223B">
              <w:rPr>
                <w:rFonts w:cs="Arial"/>
                <w:b/>
                <w:bCs/>
                <w:color w:val="000000"/>
                <w:sz w:val="16"/>
                <w:szCs w:val="16"/>
                <w:vertAlign w:val="superscript"/>
              </w:rPr>
              <w:t>1</w:t>
            </w:r>
          </w:p>
        </w:tc>
        <w:tc>
          <w:tcPr>
            <w:tcW w:w="1112" w:type="dxa"/>
            <w:tcBorders>
              <w:bottom w:val="single" w:sz="2" w:space="0" w:color="A6A6A6" w:themeColor="background1" w:themeShade="A6"/>
              <w:right w:val="single" w:sz="2" w:space="0" w:color="A6A6A6" w:themeColor="background1" w:themeShade="A6"/>
            </w:tcBorders>
            <w:shd w:val="clear" w:color="auto" w:fill="F2F2F2" w:themeFill="background1" w:themeFillShade="F2"/>
            <w:noWrap/>
            <w:vAlign w:val="center"/>
            <w:hideMark/>
          </w:tcPr>
          <w:p w14:paraId="56D49B27" w14:textId="77777777" w:rsidR="00E570D5" w:rsidRPr="00D0604E" w:rsidRDefault="00E570D5" w:rsidP="00E966FE">
            <w:pPr>
              <w:spacing w:after="0" w:line="276" w:lineRule="auto"/>
              <w:jc w:val="center"/>
              <w:rPr>
                <w:rFonts w:cs="Arial"/>
                <w:b/>
                <w:bCs/>
                <w:color w:val="000000"/>
                <w:sz w:val="16"/>
                <w:szCs w:val="16"/>
              </w:rPr>
            </w:pPr>
            <w:r w:rsidRPr="00D0604E">
              <w:rPr>
                <w:rFonts w:cs="Arial"/>
                <w:b/>
                <w:bCs/>
                <w:color w:val="000000"/>
                <w:sz w:val="16"/>
                <w:szCs w:val="16"/>
              </w:rPr>
              <w:t>Προβλέψεις</w:t>
            </w:r>
          </w:p>
        </w:tc>
      </w:tr>
      <w:tr w:rsidR="00E570D5" w:rsidRPr="00D0604E" w14:paraId="40690B80" w14:textId="77777777" w:rsidTr="00E966FE">
        <w:trPr>
          <w:cantSplit/>
          <w:trHeight w:val="227"/>
          <w:jc w:val="center"/>
        </w:trPr>
        <w:tc>
          <w:tcPr>
            <w:tcW w:w="458" w:type="dxa"/>
            <w:tcBorders>
              <w:top w:val="single" w:sz="2" w:space="0" w:color="A6A6A6" w:themeColor="background1" w:themeShade="A6"/>
              <w:left w:val="single" w:sz="2" w:space="0" w:color="A6A6A6" w:themeColor="background1" w:themeShade="A6"/>
            </w:tcBorders>
            <w:shd w:val="clear" w:color="auto" w:fill="D5DCE4"/>
            <w:vAlign w:val="center"/>
            <w:hideMark/>
          </w:tcPr>
          <w:p w14:paraId="7E810854"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w:t>
            </w:r>
          </w:p>
        </w:tc>
        <w:tc>
          <w:tcPr>
            <w:tcW w:w="2800" w:type="dxa"/>
            <w:tcBorders>
              <w:top w:val="single" w:sz="2" w:space="0" w:color="A6A6A6" w:themeColor="background1" w:themeShade="A6"/>
            </w:tcBorders>
            <w:shd w:val="clear" w:color="auto" w:fill="D5DCE4"/>
            <w:vAlign w:val="center"/>
            <w:hideMark/>
          </w:tcPr>
          <w:p w14:paraId="37297461"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Προεδρία της Δημοκρατίας</w:t>
            </w:r>
          </w:p>
        </w:tc>
        <w:tc>
          <w:tcPr>
            <w:tcW w:w="3118" w:type="dxa"/>
            <w:tcBorders>
              <w:top w:val="single" w:sz="2" w:space="0" w:color="A6A6A6" w:themeColor="background1" w:themeShade="A6"/>
            </w:tcBorders>
            <w:shd w:val="clear" w:color="auto" w:fill="D5DCE4"/>
            <w:noWrap/>
            <w:vAlign w:val="center"/>
            <w:hideMark/>
          </w:tcPr>
          <w:p w14:paraId="4C627C70"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tcBorders>
              <w:top w:val="single" w:sz="2" w:space="0" w:color="A6A6A6" w:themeColor="background1" w:themeShade="A6"/>
            </w:tcBorders>
            <w:shd w:val="clear" w:color="auto" w:fill="D5DCE4"/>
            <w:noWrap/>
            <w:vAlign w:val="center"/>
            <w:hideMark/>
          </w:tcPr>
          <w:p w14:paraId="794CAE4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5</w:t>
            </w:r>
          </w:p>
        </w:tc>
        <w:tc>
          <w:tcPr>
            <w:tcW w:w="1093" w:type="dxa"/>
            <w:tcBorders>
              <w:top w:val="single" w:sz="2" w:space="0" w:color="A6A6A6" w:themeColor="background1" w:themeShade="A6"/>
            </w:tcBorders>
            <w:shd w:val="clear" w:color="auto" w:fill="D5DCE4"/>
            <w:noWrap/>
            <w:vAlign w:val="center"/>
            <w:hideMark/>
          </w:tcPr>
          <w:p w14:paraId="0DC7A31B"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5</w:t>
            </w:r>
          </w:p>
        </w:tc>
        <w:tc>
          <w:tcPr>
            <w:tcW w:w="1112" w:type="dxa"/>
            <w:tcBorders>
              <w:top w:val="single" w:sz="2" w:space="0" w:color="A6A6A6" w:themeColor="background1" w:themeShade="A6"/>
              <w:right w:val="single" w:sz="2" w:space="0" w:color="A6A6A6" w:themeColor="background1" w:themeShade="A6"/>
            </w:tcBorders>
            <w:shd w:val="clear" w:color="auto" w:fill="D5DCE4"/>
            <w:noWrap/>
            <w:vAlign w:val="center"/>
            <w:hideMark/>
          </w:tcPr>
          <w:p w14:paraId="3EC90246"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5</w:t>
            </w:r>
          </w:p>
        </w:tc>
      </w:tr>
      <w:tr w:rsidR="00E570D5" w:rsidRPr="00D0604E" w14:paraId="2AABDFFD"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18EAFFB3" w14:textId="2A529955"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0A603379" w14:textId="261C64C5"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27A35A56" w14:textId="00FEAACD"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40CD639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w:t>
            </w:r>
          </w:p>
        </w:tc>
        <w:tc>
          <w:tcPr>
            <w:tcW w:w="1093" w:type="dxa"/>
            <w:shd w:val="clear" w:color="auto" w:fill="auto"/>
            <w:noWrap/>
            <w:vAlign w:val="center"/>
            <w:hideMark/>
          </w:tcPr>
          <w:p w14:paraId="22737E1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w:t>
            </w:r>
          </w:p>
        </w:tc>
        <w:tc>
          <w:tcPr>
            <w:tcW w:w="1112" w:type="dxa"/>
            <w:tcBorders>
              <w:right w:val="single" w:sz="2" w:space="0" w:color="A6A6A6" w:themeColor="background1" w:themeShade="A6"/>
            </w:tcBorders>
            <w:shd w:val="clear" w:color="auto" w:fill="auto"/>
            <w:noWrap/>
            <w:vAlign w:val="center"/>
            <w:hideMark/>
          </w:tcPr>
          <w:p w14:paraId="43B8FC1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w:t>
            </w:r>
          </w:p>
        </w:tc>
      </w:tr>
      <w:tr w:rsidR="00E570D5" w:rsidRPr="00D0604E" w14:paraId="7B1E9782"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1EBCBA63" w14:textId="1A173F95"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49473AC3" w14:textId="3DD11B75"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4CA619AA" w14:textId="7B4CB7D4"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00E570D5"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1B336BE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1EBF019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20ABD53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5013FBC5"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5FA746D8" w14:textId="5262DA31"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F55A69C" w14:textId="08EEF613"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03E575DC"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14E71B7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011573F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2F0E3BA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7AF91872"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29AE8215"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w:t>
            </w:r>
          </w:p>
        </w:tc>
        <w:tc>
          <w:tcPr>
            <w:tcW w:w="2800" w:type="dxa"/>
            <w:shd w:val="clear" w:color="auto" w:fill="D5DCE4"/>
            <w:vAlign w:val="center"/>
            <w:hideMark/>
          </w:tcPr>
          <w:p w14:paraId="26C122C4"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Βουλή των Ελλήνων</w:t>
            </w:r>
          </w:p>
        </w:tc>
        <w:tc>
          <w:tcPr>
            <w:tcW w:w="3118" w:type="dxa"/>
            <w:shd w:val="clear" w:color="auto" w:fill="D5DCE4"/>
            <w:noWrap/>
            <w:vAlign w:val="center"/>
            <w:hideMark/>
          </w:tcPr>
          <w:p w14:paraId="5A5F8973"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1E28EF3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172</w:t>
            </w:r>
          </w:p>
        </w:tc>
        <w:tc>
          <w:tcPr>
            <w:tcW w:w="1093" w:type="dxa"/>
            <w:shd w:val="clear" w:color="auto" w:fill="D5DCE4"/>
            <w:noWrap/>
            <w:vAlign w:val="center"/>
            <w:hideMark/>
          </w:tcPr>
          <w:p w14:paraId="236E2D82"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172</w:t>
            </w:r>
          </w:p>
        </w:tc>
        <w:tc>
          <w:tcPr>
            <w:tcW w:w="1112" w:type="dxa"/>
            <w:tcBorders>
              <w:right w:val="single" w:sz="2" w:space="0" w:color="A6A6A6" w:themeColor="background1" w:themeShade="A6"/>
            </w:tcBorders>
            <w:shd w:val="clear" w:color="auto" w:fill="D5DCE4"/>
            <w:noWrap/>
            <w:vAlign w:val="center"/>
            <w:hideMark/>
          </w:tcPr>
          <w:p w14:paraId="54D498D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187</w:t>
            </w:r>
          </w:p>
        </w:tc>
      </w:tr>
      <w:tr w:rsidR="00E570D5" w:rsidRPr="00D0604E" w14:paraId="73202E76"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12BB62A" w14:textId="7E80A79E"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44F840B3" w14:textId="11F1A62C"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02D6EBE5" w14:textId="0B744A4B"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0A24740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170</w:t>
            </w:r>
          </w:p>
        </w:tc>
        <w:tc>
          <w:tcPr>
            <w:tcW w:w="1093" w:type="dxa"/>
            <w:shd w:val="clear" w:color="auto" w:fill="auto"/>
            <w:noWrap/>
            <w:vAlign w:val="center"/>
            <w:hideMark/>
          </w:tcPr>
          <w:p w14:paraId="33830C9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170</w:t>
            </w:r>
          </w:p>
        </w:tc>
        <w:tc>
          <w:tcPr>
            <w:tcW w:w="1112" w:type="dxa"/>
            <w:tcBorders>
              <w:right w:val="single" w:sz="2" w:space="0" w:color="A6A6A6" w:themeColor="background1" w:themeShade="A6"/>
            </w:tcBorders>
            <w:shd w:val="clear" w:color="auto" w:fill="auto"/>
            <w:noWrap/>
            <w:vAlign w:val="center"/>
            <w:hideMark/>
          </w:tcPr>
          <w:p w14:paraId="4587504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185</w:t>
            </w:r>
          </w:p>
        </w:tc>
      </w:tr>
      <w:tr w:rsidR="00E570D5" w:rsidRPr="00D0604E" w14:paraId="4405FB47"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34A36BE4" w14:textId="511F55EF"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7C6EC997" w14:textId="28AB5D19"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413895CC" w14:textId="210AE414"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32D79B5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w:t>
            </w:r>
          </w:p>
        </w:tc>
        <w:tc>
          <w:tcPr>
            <w:tcW w:w="1093" w:type="dxa"/>
            <w:shd w:val="clear" w:color="auto" w:fill="auto"/>
            <w:noWrap/>
            <w:vAlign w:val="center"/>
            <w:hideMark/>
          </w:tcPr>
          <w:p w14:paraId="146EFF1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w:t>
            </w:r>
          </w:p>
        </w:tc>
        <w:tc>
          <w:tcPr>
            <w:tcW w:w="1112" w:type="dxa"/>
            <w:tcBorders>
              <w:right w:val="single" w:sz="2" w:space="0" w:color="A6A6A6" w:themeColor="background1" w:themeShade="A6"/>
            </w:tcBorders>
            <w:shd w:val="clear" w:color="auto" w:fill="auto"/>
            <w:noWrap/>
            <w:vAlign w:val="center"/>
            <w:hideMark/>
          </w:tcPr>
          <w:p w14:paraId="013E09A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w:t>
            </w:r>
          </w:p>
        </w:tc>
      </w:tr>
      <w:tr w:rsidR="00E570D5" w:rsidRPr="00D0604E" w14:paraId="5105EB42"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3485ACEF" w14:textId="71D57CA9"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07481F79" w14:textId="3A308119"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74EC25D8"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2274B4D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724AB98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37BC61E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7A7AE807"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6B1F3038"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3</w:t>
            </w:r>
          </w:p>
        </w:tc>
        <w:tc>
          <w:tcPr>
            <w:tcW w:w="2800" w:type="dxa"/>
            <w:shd w:val="clear" w:color="auto" w:fill="D5DCE4"/>
            <w:vAlign w:val="center"/>
            <w:hideMark/>
          </w:tcPr>
          <w:p w14:paraId="2689CE1B"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Προεδρία της Κυβέρνησης</w:t>
            </w:r>
          </w:p>
        </w:tc>
        <w:tc>
          <w:tcPr>
            <w:tcW w:w="3118" w:type="dxa"/>
            <w:shd w:val="clear" w:color="auto" w:fill="D5DCE4"/>
            <w:noWrap/>
            <w:vAlign w:val="center"/>
            <w:hideMark/>
          </w:tcPr>
          <w:p w14:paraId="0FB49BBB"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1EC71812"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42</w:t>
            </w:r>
          </w:p>
        </w:tc>
        <w:tc>
          <w:tcPr>
            <w:tcW w:w="1093" w:type="dxa"/>
            <w:shd w:val="clear" w:color="auto" w:fill="D5DCE4"/>
            <w:noWrap/>
            <w:vAlign w:val="center"/>
            <w:hideMark/>
          </w:tcPr>
          <w:p w14:paraId="56F33AC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47</w:t>
            </w:r>
          </w:p>
        </w:tc>
        <w:tc>
          <w:tcPr>
            <w:tcW w:w="1112" w:type="dxa"/>
            <w:tcBorders>
              <w:right w:val="single" w:sz="2" w:space="0" w:color="A6A6A6" w:themeColor="background1" w:themeShade="A6"/>
            </w:tcBorders>
            <w:shd w:val="clear" w:color="auto" w:fill="D5DCE4"/>
            <w:noWrap/>
            <w:vAlign w:val="center"/>
            <w:hideMark/>
          </w:tcPr>
          <w:p w14:paraId="4C231F7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46</w:t>
            </w:r>
          </w:p>
        </w:tc>
      </w:tr>
      <w:tr w:rsidR="00E570D5" w:rsidRPr="00D0604E" w14:paraId="5F9A5C75"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58243F8A" w14:textId="401F403C"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01A679A9" w14:textId="14E569F9"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6A960AC7" w14:textId="0F7C141B"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192871F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38</w:t>
            </w:r>
          </w:p>
        </w:tc>
        <w:tc>
          <w:tcPr>
            <w:tcW w:w="1093" w:type="dxa"/>
            <w:shd w:val="clear" w:color="auto" w:fill="auto"/>
            <w:noWrap/>
            <w:vAlign w:val="center"/>
            <w:hideMark/>
          </w:tcPr>
          <w:p w14:paraId="3FA84DA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44</w:t>
            </w:r>
          </w:p>
        </w:tc>
        <w:tc>
          <w:tcPr>
            <w:tcW w:w="1112" w:type="dxa"/>
            <w:tcBorders>
              <w:right w:val="single" w:sz="2" w:space="0" w:color="A6A6A6" w:themeColor="background1" w:themeShade="A6"/>
            </w:tcBorders>
            <w:shd w:val="clear" w:color="auto" w:fill="auto"/>
            <w:noWrap/>
            <w:vAlign w:val="center"/>
            <w:hideMark/>
          </w:tcPr>
          <w:p w14:paraId="36B8838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40</w:t>
            </w:r>
          </w:p>
        </w:tc>
      </w:tr>
      <w:tr w:rsidR="00E570D5" w:rsidRPr="00D0604E" w14:paraId="42C30275"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3FD9D7DC" w14:textId="5C5FC785"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33AE738" w14:textId="09F02248"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25C51015" w14:textId="607CA6E7"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1406CD1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w:t>
            </w:r>
          </w:p>
        </w:tc>
        <w:tc>
          <w:tcPr>
            <w:tcW w:w="1093" w:type="dxa"/>
            <w:shd w:val="clear" w:color="auto" w:fill="auto"/>
            <w:noWrap/>
            <w:vAlign w:val="center"/>
            <w:hideMark/>
          </w:tcPr>
          <w:p w14:paraId="63F6046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w:t>
            </w:r>
          </w:p>
        </w:tc>
        <w:tc>
          <w:tcPr>
            <w:tcW w:w="1112" w:type="dxa"/>
            <w:tcBorders>
              <w:right w:val="single" w:sz="2" w:space="0" w:color="A6A6A6" w:themeColor="background1" w:themeShade="A6"/>
            </w:tcBorders>
            <w:shd w:val="clear" w:color="auto" w:fill="auto"/>
            <w:noWrap/>
            <w:vAlign w:val="center"/>
            <w:hideMark/>
          </w:tcPr>
          <w:p w14:paraId="7013CD9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w:t>
            </w:r>
          </w:p>
        </w:tc>
      </w:tr>
      <w:tr w:rsidR="00E570D5" w:rsidRPr="00D0604E" w14:paraId="1B322ADC"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E420BDC" w14:textId="0E028694"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56CDCA17" w14:textId="61762F54"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2FCEC606"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2A8F9CB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627BC55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414F530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75D35BD8"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6EA30D8A"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4</w:t>
            </w:r>
          </w:p>
        </w:tc>
        <w:tc>
          <w:tcPr>
            <w:tcW w:w="2800" w:type="dxa"/>
            <w:shd w:val="clear" w:color="auto" w:fill="D5DCE4"/>
            <w:vAlign w:val="center"/>
            <w:hideMark/>
          </w:tcPr>
          <w:p w14:paraId="004B5C40"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Εσωτερικών</w:t>
            </w:r>
          </w:p>
        </w:tc>
        <w:tc>
          <w:tcPr>
            <w:tcW w:w="3118" w:type="dxa"/>
            <w:shd w:val="clear" w:color="auto" w:fill="D5DCE4"/>
            <w:noWrap/>
            <w:vAlign w:val="center"/>
            <w:hideMark/>
          </w:tcPr>
          <w:p w14:paraId="661EB321"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42CAD57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3.830</w:t>
            </w:r>
          </w:p>
        </w:tc>
        <w:tc>
          <w:tcPr>
            <w:tcW w:w="1093" w:type="dxa"/>
            <w:shd w:val="clear" w:color="auto" w:fill="D5DCE4"/>
            <w:noWrap/>
            <w:vAlign w:val="center"/>
            <w:hideMark/>
          </w:tcPr>
          <w:p w14:paraId="7A6B8A8B"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3.990</w:t>
            </w:r>
          </w:p>
        </w:tc>
        <w:tc>
          <w:tcPr>
            <w:tcW w:w="1112" w:type="dxa"/>
            <w:tcBorders>
              <w:right w:val="single" w:sz="2" w:space="0" w:color="A6A6A6" w:themeColor="background1" w:themeShade="A6"/>
            </w:tcBorders>
            <w:shd w:val="clear" w:color="auto" w:fill="D5DCE4"/>
            <w:noWrap/>
            <w:vAlign w:val="center"/>
            <w:hideMark/>
          </w:tcPr>
          <w:p w14:paraId="0AAEFAA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4.164</w:t>
            </w:r>
          </w:p>
        </w:tc>
      </w:tr>
      <w:tr w:rsidR="00E570D5" w:rsidRPr="00D0604E" w14:paraId="537E0C18"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877529F" w14:textId="7EFB2AA4"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4A97FFF" w14:textId="0AA1DF2B"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15A01223" w14:textId="1DB0C26F"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38E47A8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3.449</w:t>
            </w:r>
          </w:p>
        </w:tc>
        <w:tc>
          <w:tcPr>
            <w:tcW w:w="1093" w:type="dxa"/>
            <w:shd w:val="clear" w:color="auto" w:fill="auto"/>
            <w:noWrap/>
            <w:vAlign w:val="center"/>
            <w:hideMark/>
          </w:tcPr>
          <w:p w14:paraId="303DF85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3.600</w:t>
            </w:r>
          </w:p>
        </w:tc>
        <w:tc>
          <w:tcPr>
            <w:tcW w:w="1112" w:type="dxa"/>
            <w:tcBorders>
              <w:right w:val="single" w:sz="2" w:space="0" w:color="A6A6A6" w:themeColor="background1" w:themeShade="A6"/>
            </w:tcBorders>
            <w:shd w:val="clear" w:color="auto" w:fill="auto"/>
            <w:noWrap/>
            <w:vAlign w:val="center"/>
            <w:hideMark/>
          </w:tcPr>
          <w:p w14:paraId="546C22C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3.732</w:t>
            </w:r>
          </w:p>
        </w:tc>
      </w:tr>
      <w:tr w:rsidR="00E570D5" w:rsidRPr="00D0604E" w14:paraId="7D376800"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25A2E796" w14:textId="02A28DCA"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759B2A6C" w14:textId="049FD45C"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5CB775A2" w14:textId="2D1EEB61"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0528A03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230</w:t>
            </w:r>
          </w:p>
        </w:tc>
        <w:tc>
          <w:tcPr>
            <w:tcW w:w="1093" w:type="dxa"/>
            <w:shd w:val="clear" w:color="auto" w:fill="auto"/>
            <w:noWrap/>
            <w:vAlign w:val="center"/>
            <w:hideMark/>
          </w:tcPr>
          <w:p w14:paraId="0296579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228</w:t>
            </w:r>
          </w:p>
        </w:tc>
        <w:tc>
          <w:tcPr>
            <w:tcW w:w="1112" w:type="dxa"/>
            <w:tcBorders>
              <w:right w:val="single" w:sz="2" w:space="0" w:color="A6A6A6" w:themeColor="background1" w:themeShade="A6"/>
            </w:tcBorders>
            <w:shd w:val="clear" w:color="auto" w:fill="auto"/>
            <w:noWrap/>
            <w:vAlign w:val="center"/>
            <w:hideMark/>
          </w:tcPr>
          <w:p w14:paraId="5CA9E80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295</w:t>
            </w:r>
          </w:p>
        </w:tc>
      </w:tr>
      <w:tr w:rsidR="00E570D5" w:rsidRPr="00D0604E" w14:paraId="2E8CA08B" w14:textId="77777777" w:rsidTr="0004334A">
        <w:trPr>
          <w:cantSplit/>
          <w:trHeight w:val="227"/>
          <w:jc w:val="center"/>
        </w:trPr>
        <w:tc>
          <w:tcPr>
            <w:tcW w:w="458" w:type="dxa"/>
            <w:tcBorders>
              <w:left w:val="single" w:sz="2" w:space="0" w:color="A6A6A6" w:themeColor="background1" w:themeShade="A6"/>
            </w:tcBorders>
            <w:shd w:val="clear" w:color="auto" w:fill="auto"/>
            <w:vAlign w:val="center"/>
          </w:tcPr>
          <w:p w14:paraId="519DCAD3" w14:textId="217EB4A9"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D7AE030" w14:textId="312632FC"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5DF75B9D"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75828F7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151</w:t>
            </w:r>
          </w:p>
        </w:tc>
        <w:tc>
          <w:tcPr>
            <w:tcW w:w="1093" w:type="dxa"/>
            <w:shd w:val="clear" w:color="auto" w:fill="auto"/>
            <w:noWrap/>
            <w:vAlign w:val="center"/>
            <w:hideMark/>
          </w:tcPr>
          <w:p w14:paraId="2CC7BF7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162</w:t>
            </w:r>
          </w:p>
        </w:tc>
        <w:tc>
          <w:tcPr>
            <w:tcW w:w="1112" w:type="dxa"/>
            <w:tcBorders>
              <w:right w:val="single" w:sz="2" w:space="0" w:color="A6A6A6" w:themeColor="background1" w:themeShade="A6"/>
            </w:tcBorders>
            <w:shd w:val="clear" w:color="auto" w:fill="auto"/>
            <w:noWrap/>
            <w:vAlign w:val="center"/>
            <w:hideMark/>
          </w:tcPr>
          <w:p w14:paraId="0609519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137</w:t>
            </w:r>
          </w:p>
        </w:tc>
      </w:tr>
      <w:tr w:rsidR="00E570D5" w:rsidRPr="00D0604E" w14:paraId="0AF9864F" w14:textId="77777777" w:rsidTr="0004334A">
        <w:trPr>
          <w:cantSplit/>
          <w:trHeight w:val="227"/>
          <w:jc w:val="center"/>
        </w:trPr>
        <w:tc>
          <w:tcPr>
            <w:tcW w:w="458" w:type="dxa"/>
            <w:tcBorders>
              <w:left w:val="single" w:sz="2" w:space="0" w:color="A6A6A6" w:themeColor="background1" w:themeShade="A6"/>
            </w:tcBorders>
            <w:shd w:val="clear" w:color="auto" w:fill="D5DCE4"/>
            <w:vAlign w:val="center"/>
            <w:hideMark/>
          </w:tcPr>
          <w:p w14:paraId="63F7CA4A"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5</w:t>
            </w:r>
          </w:p>
        </w:tc>
        <w:tc>
          <w:tcPr>
            <w:tcW w:w="2800" w:type="dxa"/>
            <w:shd w:val="clear" w:color="auto" w:fill="D5DCE4"/>
            <w:vAlign w:val="center"/>
            <w:hideMark/>
          </w:tcPr>
          <w:p w14:paraId="341851E6"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Εξωτερικών</w:t>
            </w:r>
          </w:p>
        </w:tc>
        <w:tc>
          <w:tcPr>
            <w:tcW w:w="3118" w:type="dxa"/>
            <w:shd w:val="clear" w:color="auto" w:fill="D5DCE4"/>
            <w:noWrap/>
            <w:vAlign w:val="center"/>
            <w:hideMark/>
          </w:tcPr>
          <w:p w14:paraId="240AB64E"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4A008855"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420</w:t>
            </w:r>
          </w:p>
        </w:tc>
        <w:tc>
          <w:tcPr>
            <w:tcW w:w="1093" w:type="dxa"/>
            <w:shd w:val="clear" w:color="auto" w:fill="D5DCE4"/>
            <w:noWrap/>
            <w:vAlign w:val="center"/>
            <w:hideMark/>
          </w:tcPr>
          <w:p w14:paraId="117AEEF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455</w:t>
            </w:r>
          </w:p>
        </w:tc>
        <w:tc>
          <w:tcPr>
            <w:tcW w:w="1112" w:type="dxa"/>
            <w:tcBorders>
              <w:right w:val="single" w:sz="2" w:space="0" w:color="A6A6A6" w:themeColor="background1" w:themeShade="A6"/>
            </w:tcBorders>
            <w:shd w:val="clear" w:color="auto" w:fill="D5DCE4"/>
            <w:noWrap/>
            <w:vAlign w:val="center"/>
            <w:hideMark/>
          </w:tcPr>
          <w:p w14:paraId="342F05AD"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483</w:t>
            </w:r>
          </w:p>
        </w:tc>
      </w:tr>
      <w:tr w:rsidR="00E570D5" w:rsidRPr="00D0604E" w14:paraId="480438C2"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21A22A9D" w14:textId="32C58092"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65499F6D" w14:textId="50C50E61"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547602FF" w14:textId="5CEC77B6"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4E5DC7C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390</w:t>
            </w:r>
          </w:p>
        </w:tc>
        <w:tc>
          <w:tcPr>
            <w:tcW w:w="1093" w:type="dxa"/>
            <w:shd w:val="clear" w:color="auto" w:fill="auto"/>
            <w:noWrap/>
            <w:vAlign w:val="center"/>
            <w:hideMark/>
          </w:tcPr>
          <w:p w14:paraId="7EC600A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434</w:t>
            </w:r>
          </w:p>
        </w:tc>
        <w:tc>
          <w:tcPr>
            <w:tcW w:w="1112" w:type="dxa"/>
            <w:tcBorders>
              <w:right w:val="single" w:sz="2" w:space="0" w:color="A6A6A6" w:themeColor="background1" w:themeShade="A6"/>
            </w:tcBorders>
            <w:shd w:val="clear" w:color="auto" w:fill="auto"/>
            <w:noWrap/>
            <w:vAlign w:val="center"/>
            <w:hideMark/>
          </w:tcPr>
          <w:p w14:paraId="0D13B49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439</w:t>
            </w:r>
          </w:p>
        </w:tc>
      </w:tr>
      <w:tr w:rsidR="00E570D5" w:rsidRPr="00D0604E" w14:paraId="3E944D94"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650248E2" w14:textId="4AB1BEA5"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3B30136" w14:textId="5DE23901"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254238CE" w14:textId="1666D9E3"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7889F58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28</w:t>
            </w:r>
          </w:p>
        </w:tc>
        <w:tc>
          <w:tcPr>
            <w:tcW w:w="1093" w:type="dxa"/>
            <w:shd w:val="clear" w:color="auto" w:fill="auto"/>
            <w:noWrap/>
            <w:vAlign w:val="center"/>
            <w:hideMark/>
          </w:tcPr>
          <w:p w14:paraId="5F9DFD5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21</w:t>
            </w:r>
          </w:p>
        </w:tc>
        <w:tc>
          <w:tcPr>
            <w:tcW w:w="1112" w:type="dxa"/>
            <w:tcBorders>
              <w:right w:val="single" w:sz="2" w:space="0" w:color="A6A6A6" w:themeColor="background1" w:themeShade="A6"/>
            </w:tcBorders>
            <w:shd w:val="clear" w:color="auto" w:fill="auto"/>
            <w:noWrap/>
            <w:vAlign w:val="center"/>
            <w:hideMark/>
          </w:tcPr>
          <w:p w14:paraId="4B0CA14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44</w:t>
            </w:r>
          </w:p>
        </w:tc>
      </w:tr>
      <w:tr w:rsidR="00E570D5" w:rsidRPr="00D0604E" w14:paraId="7E347C91"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5A70FB5C" w14:textId="2A9754ED"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3B67D509" w14:textId="1FEB8D45"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1964813B"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3FBE686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w:t>
            </w:r>
          </w:p>
        </w:tc>
        <w:tc>
          <w:tcPr>
            <w:tcW w:w="1093" w:type="dxa"/>
            <w:shd w:val="clear" w:color="auto" w:fill="auto"/>
            <w:noWrap/>
            <w:vAlign w:val="center"/>
            <w:hideMark/>
          </w:tcPr>
          <w:p w14:paraId="06B9466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0CCF0D0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2982A9AB"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3E9BC681"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6</w:t>
            </w:r>
          </w:p>
        </w:tc>
        <w:tc>
          <w:tcPr>
            <w:tcW w:w="2800" w:type="dxa"/>
            <w:shd w:val="clear" w:color="auto" w:fill="D5DCE4"/>
            <w:vAlign w:val="center"/>
            <w:hideMark/>
          </w:tcPr>
          <w:p w14:paraId="791B1834" w14:textId="630EF161"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Εθνικής Άμυνας</w:t>
            </w:r>
          </w:p>
        </w:tc>
        <w:tc>
          <w:tcPr>
            <w:tcW w:w="3118" w:type="dxa"/>
            <w:shd w:val="clear" w:color="auto" w:fill="D5DCE4"/>
            <w:noWrap/>
            <w:vAlign w:val="center"/>
            <w:hideMark/>
          </w:tcPr>
          <w:p w14:paraId="1F7C7ED3"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061A28EA"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6.130</w:t>
            </w:r>
          </w:p>
        </w:tc>
        <w:tc>
          <w:tcPr>
            <w:tcW w:w="1093" w:type="dxa"/>
            <w:shd w:val="clear" w:color="auto" w:fill="D5DCE4"/>
            <w:noWrap/>
            <w:vAlign w:val="center"/>
            <w:hideMark/>
          </w:tcPr>
          <w:p w14:paraId="34A05EB1"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6.523</w:t>
            </w:r>
          </w:p>
        </w:tc>
        <w:tc>
          <w:tcPr>
            <w:tcW w:w="1112" w:type="dxa"/>
            <w:tcBorders>
              <w:right w:val="single" w:sz="2" w:space="0" w:color="A6A6A6" w:themeColor="background1" w:themeShade="A6"/>
            </w:tcBorders>
            <w:shd w:val="clear" w:color="auto" w:fill="D5DCE4"/>
            <w:noWrap/>
            <w:vAlign w:val="center"/>
            <w:hideMark/>
          </w:tcPr>
          <w:p w14:paraId="075D834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7.063</w:t>
            </w:r>
          </w:p>
        </w:tc>
      </w:tr>
      <w:tr w:rsidR="00E570D5" w:rsidRPr="00D0604E" w14:paraId="59C744B1"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14B3BB4C" w14:textId="3D20B1E3"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4E251299" w14:textId="4481A841"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7F475610" w14:textId="42A09B1F"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6EBDA5E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6.061</w:t>
            </w:r>
          </w:p>
        </w:tc>
        <w:tc>
          <w:tcPr>
            <w:tcW w:w="1093" w:type="dxa"/>
            <w:shd w:val="clear" w:color="auto" w:fill="auto"/>
            <w:noWrap/>
            <w:vAlign w:val="center"/>
            <w:hideMark/>
          </w:tcPr>
          <w:p w14:paraId="7C91DBE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6.457</w:t>
            </w:r>
          </w:p>
        </w:tc>
        <w:tc>
          <w:tcPr>
            <w:tcW w:w="1112" w:type="dxa"/>
            <w:tcBorders>
              <w:right w:val="single" w:sz="2" w:space="0" w:color="A6A6A6" w:themeColor="background1" w:themeShade="A6"/>
            </w:tcBorders>
            <w:shd w:val="clear" w:color="auto" w:fill="auto"/>
            <w:noWrap/>
            <w:vAlign w:val="center"/>
            <w:hideMark/>
          </w:tcPr>
          <w:p w14:paraId="02AD9F5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6.955</w:t>
            </w:r>
          </w:p>
        </w:tc>
      </w:tr>
      <w:tr w:rsidR="00E570D5" w:rsidRPr="00D0604E" w14:paraId="1390BC81"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CA323F4" w14:textId="1D60240F"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9A71678" w14:textId="2A551700"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0A15B05F" w14:textId="562EEC63"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7D1BD78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69</w:t>
            </w:r>
          </w:p>
        </w:tc>
        <w:tc>
          <w:tcPr>
            <w:tcW w:w="1093" w:type="dxa"/>
            <w:shd w:val="clear" w:color="auto" w:fill="auto"/>
            <w:noWrap/>
            <w:vAlign w:val="center"/>
            <w:hideMark/>
          </w:tcPr>
          <w:p w14:paraId="3027ED3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66</w:t>
            </w:r>
          </w:p>
        </w:tc>
        <w:tc>
          <w:tcPr>
            <w:tcW w:w="1112" w:type="dxa"/>
            <w:tcBorders>
              <w:right w:val="single" w:sz="2" w:space="0" w:color="A6A6A6" w:themeColor="background1" w:themeShade="A6"/>
            </w:tcBorders>
            <w:shd w:val="clear" w:color="auto" w:fill="auto"/>
            <w:noWrap/>
            <w:vAlign w:val="center"/>
            <w:hideMark/>
          </w:tcPr>
          <w:p w14:paraId="06C375F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108</w:t>
            </w:r>
          </w:p>
        </w:tc>
      </w:tr>
      <w:tr w:rsidR="00E570D5" w:rsidRPr="00D0604E" w14:paraId="4699ECB6"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329C5072" w14:textId="0F2D1D2D"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31C6E601" w14:textId="0C540AC0"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36727DDE"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61538EC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5D986B8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3B62566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392E3DB4"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1A1AD18B"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7</w:t>
            </w:r>
          </w:p>
        </w:tc>
        <w:tc>
          <w:tcPr>
            <w:tcW w:w="2800" w:type="dxa"/>
            <w:shd w:val="clear" w:color="auto" w:fill="D5DCE4"/>
            <w:vAlign w:val="center"/>
            <w:hideMark/>
          </w:tcPr>
          <w:p w14:paraId="11E589A8" w14:textId="5EC5F28A"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Υγείας</w:t>
            </w:r>
            <w:r w:rsidR="00B9467D" w:rsidRPr="00B9467D">
              <w:rPr>
                <w:rFonts w:cs="Arial"/>
                <w:b/>
                <w:bCs/>
                <w:color w:val="000000"/>
                <w:sz w:val="16"/>
                <w:szCs w:val="16"/>
                <w:vertAlign w:val="superscript"/>
              </w:rPr>
              <w:t>6</w:t>
            </w:r>
          </w:p>
        </w:tc>
        <w:tc>
          <w:tcPr>
            <w:tcW w:w="3118" w:type="dxa"/>
            <w:shd w:val="clear" w:color="auto" w:fill="D5DCE4"/>
            <w:noWrap/>
            <w:vAlign w:val="center"/>
            <w:hideMark/>
          </w:tcPr>
          <w:p w14:paraId="2DDEA270"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510A6333"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7.177</w:t>
            </w:r>
          </w:p>
        </w:tc>
        <w:tc>
          <w:tcPr>
            <w:tcW w:w="1093" w:type="dxa"/>
            <w:shd w:val="clear" w:color="auto" w:fill="D5DCE4"/>
            <w:noWrap/>
            <w:vAlign w:val="center"/>
            <w:hideMark/>
          </w:tcPr>
          <w:p w14:paraId="168C846E"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7.664</w:t>
            </w:r>
          </w:p>
        </w:tc>
        <w:tc>
          <w:tcPr>
            <w:tcW w:w="1112" w:type="dxa"/>
            <w:tcBorders>
              <w:right w:val="single" w:sz="2" w:space="0" w:color="A6A6A6" w:themeColor="background1" w:themeShade="A6"/>
            </w:tcBorders>
            <w:shd w:val="clear" w:color="auto" w:fill="D5DCE4"/>
            <w:noWrap/>
            <w:vAlign w:val="center"/>
            <w:hideMark/>
          </w:tcPr>
          <w:p w14:paraId="27C12ED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7.842</w:t>
            </w:r>
          </w:p>
        </w:tc>
      </w:tr>
      <w:tr w:rsidR="00E570D5" w:rsidRPr="00D0604E" w14:paraId="40CD4F56"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3E01EF31" w14:textId="5B029483"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6B420B9B" w14:textId="68107919"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5FC42D39" w14:textId="0F8C9B9B"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0407BD8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6.608</w:t>
            </w:r>
          </w:p>
        </w:tc>
        <w:tc>
          <w:tcPr>
            <w:tcW w:w="1093" w:type="dxa"/>
            <w:shd w:val="clear" w:color="auto" w:fill="auto"/>
            <w:noWrap/>
            <w:vAlign w:val="center"/>
            <w:hideMark/>
          </w:tcPr>
          <w:p w14:paraId="37FF758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7.186</w:t>
            </w:r>
          </w:p>
        </w:tc>
        <w:tc>
          <w:tcPr>
            <w:tcW w:w="1112" w:type="dxa"/>
            <w:tcBorders>
              <w:right w:val="single" w:sz="2" w:space="0" w:color="A6A6A6" w:themeColor="background1" w:themeShade="A6"/>
            </w:tcBorders>
            <w:shd w:val="clear" w:color="auto" w:fill="auto"/>
            <w:noWrap/>
            <w:vAlign w:val="center"/>
            <w:hideMark/>
          </w:tcPr>
          <w:p w14:paraId="5E4CBBC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6.946</w:t>
            </w:r>
          </w:p>
        </w:tc>
      </w:tr>
      <w:tr w:rsidR="00E570D5" w:rsidRPr="00D0604E" w14:paraId="7BDBED41"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1F6961FF" w14:textId="14E59D8D"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8E13F9E" w14:textId="0D085D07"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64524AEA" w14:textId="7305897C"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4410EDE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66</w:t>
            </w:r>
          </w:p>
        </w:tc>
        <w:tc>
          <w:tcPr>
            <w:tcW w:w="1093" w:type="dxa"/>
            <w:shd w:val="clear" w:color="auto" w:fill="auto"/>
            <w:noWrap/>
            <w:vAlign w:val="center"/>
            <w:hideMark/>
          </w:tcPr>
          <w:p w14:paraId="5883197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39</w:t>
            </w:r>
          </w:p>
        </w:tc>
        <w:tc>
          <w:tcPr>
            <w:tcW w:w="1112" w:type="dxa"/>
            <w:tcBorders>
              <w:right w:val="single" w:sz="2" w:space="0" w:color="A6A6A6" w:themeColor="background1" w:themeShade="A6"/>
            </w:tcBorders>
            <w:shd w:val="clear" w:color="auto" w:fill="auto"/>
            <w:noWrap/>
            <w:vAlign w:val="center"/>
            <w:hideMark/>
          </w:tcPr>
          <w:p w14:paraId="3875020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96</w:t>
            </w:r>
          </w:p>
        </w:tc>
      </w:tr>
      <w:tr w:rsidR="00E570D5" w:rsidRPr="00D0604E" w14:paraId="01459E8E"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3F29DC96" w14:textId="0F4E28D8"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440037A4" w14:textId="47D9F30E"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57635D8D"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1A08D54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503</w:t>
            </w:r>
          </w:p>
        </w:tc>
        <w:tc>
          <w:tcPr>
            <w:tcW w:w="1093" w:type="dxa"/>
            <w:shd w:val="clear" w:color="auto" w:fill="auto"/>
            <w:noWrap/>
            <w:vAlign w:val="center"/>
            <w:hideMark/>
          </w:tcPr>
          <w:p w14:paraId="5FEB8DB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439</w:t>
            </w:r>
          </w:p>
        </w:tc>
        <w:tc>
          <w:tcPr>
            <w:tcW w:w="1112" w:type="dxa"/>
            <w:tcBorders>
              <w:right w:val="single" w:sz="2" w:space="0" w:color="A6A6A6" w:themeColor="background1" w:themeShade="A6"/>
            </w:tcBorders>
            <w:shd w:val="clear" w:color="auto" w:fill="auto"/>
            <w:noWrap/>
            <w:vAlign w:val="center"/>
            <w:hideMark/>
          </w:tcPr>
          <w:p w14:paraId="6AA9704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800</w:t>
            </w:r>
          </w:p>
        </w:tc>
      </w:tr>
      <w:tr w:rsidR="00E570D5" w:rsidRPr="00D0604E" w14:paraId="64199444"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66E04EA1"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8</w:t>
            </w:r>
          </w:p>
        </w:tc>
        <w:tc>
          <w:tcPr>
            <w:tcW w:w="2800" w:type="dxa"/>
            <w:shd w:val="clear" w:color="auto" w:fill="D5DCE4"/>
            <w:vAlign w:val="center"/>
            <w:hideMark/>
          </w:tcPr>
          <w:p w14:paraId="4635544D"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Δικαιοσύνης</w:t>
            </w:r>
          </w:p>
        </w:tc>
        <w:tc>
          <w:tcPr>
            <w:tcW w:w="3118" w:type="dxa"/>
            <w:shd w:val="clear" w:color="auto" w:fill="D5DCE4"/>
            <w:noWrap/>
            <w:vAlign w:val="center"/>
            <w:hideMark/>
          </w:tcPr>
          <w:p w14:paraId="06EFDCCD"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3AF65B3F"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651</w:t>
            </w:r>
          </w:p>
        </w:tc>
        <w:tc>
          <w:tcPr>
            <w:tcW w:w="1093" w:type="dxa"/>
            <w:shd w:val="clear" w:color="auto" w:fill="D5DCE4"/>
            <w:noWrap/>
            <w:vAlign w:val="center"/>
            <w:hideMark/>
          </w:tcPr>
          <w:p w14:paraId="18175143"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664</w:t>
            </w:r>
          </w:p>
        </w:tc>
        <w:tc>
          <w:tcPr>
            <w:tcW w:w="1112" w:type="dxa"/>
            <w:tcBorders>
              <w:right w:val="single" w:sz="2" w:space="0" w:color="A6A6A6" w:themeColor="background1" w:themeShade="A6"/>
            </w:tcBorders>
            <w:shd w:val="clear" w:color="auto" w:fill="D5DCE4"/>
            <w:noWrap/>
            <w:vAlign w:val="center"/>
            <w:hideMark/>
          </w:tcPr>
          <w:p w14:paraId="519534DB"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680</w:t>
            </w:r>
          </w:p>
        </w:tc>
      </w:tr>
      <w:tr w:rsidR="00E570D5" w:rsidRPr="00D0604E" w14:paraId="0B445E48"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459E552" w14:textId="3C352A75"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47BF54DA" w14:textId="5E960470"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122715C6" w14:textId="75577B65"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007B19F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578</w:t>
            </w:r>
          </w:p>
        </w:tc>
        <w:tc>
          <w:tcPr>
            <w:tcW w:w="1093" w:type="dxa"/>
            <w:shd w:val="clear" w:color="auto" w:fill="auto"/>
            <w:noWrap/>
            <w:vAlign w:val="center"/>
            <w:hideMark/>
          </w:tcPr>
          <w:p w14:paraId="0D9F9B5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604</w:t>
            </w:r>
          </w:p>
        </w:tc>
        <w:tc>
          <w:tcPr>
            <w:tcW w:w="1112" w:type="dxa"/>
            <w:tcBorders>
              <w:right w:val="single" w:sz="2" w:space="0" w:color="A6A6A6" w:themeColor="background1" w:themeShade="A6"/>
            </w:tcBorders>
            <w:shd w:val="clear" w:color="auto" w:fill="auto"/>
            <w:noWrap/>
            <w:vAlign w:val="center"/>
            <w:hideMark/>
          </w:tcPr>
          <w:p w14:paraId="3F17B33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617</w:t>
            </w:r>
          </w:p>
        </w:tc>
      </w:tr>
      <w:tr w:rsidR="00E570D5" w:rsidRPr="00D0604E" w14:paraId="1D0F4C5D"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58E1989E" w14:textId="5407EEC9"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61A8C288" w14:textId="5EAAA850"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223BD325" w14:textId="3DB30E78"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6C1FEFF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20</w:t>
            </w:r>
          </w:p>
        </w:tc>
        <w:tc>
          <w:tcPr>
            <w:tcW w:w="1093" w:type="dxa"/>
            <w:shd w:val="clear" w:color="auto" w:fill="auto"/>
            <w:noWrap/>
            <w:vAlign w:val="center"/>
            <w:hideMark/>
          </w:tcPr>
          <w:p w14:paraId="204568B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w:t>
            </w:r>
          </w:p>
        </w:tc>
        <w:tc>
          <w:tcPr>
            <w:tcW w:w="1112" w:type="dxa"/>
            <w:tcBorders>
              <w:right w:val="single" w:sz="2" w:space="0" w:color="A6A6A6" w:themeColor="background1" w:themeShade="A6"/>
            </w:tcBorders>
            <w:shd w:val="clear" w:color="auto" w:fill="auto"/>
            <w:noWrap/>
            <w:vAlign w:val="center"/>
            <w:hideMark/>
          </w:tcPr>
          <w:p w14:paraId="21CEFEB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13</w:t>
            </w:r>
          </w:p>
        </w:tc>
      </w:tr>
      <w:tr w:rsidR="00E570D5" w:rsidRPr="00D0604E" w14:paraId="02621FFF"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6EF14BFF" w14:textId="433BCC11"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39FD6907" w14:textId="4F607A2C"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49B300E4"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7336126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53</w:t>
            </w:r>
          </w:p>
        </w:tc>
        <w:tc>
          <w:tcPr>
            <w:tcW w:w="1093" w:type="dxa"/>
            <w:shd w:val="clear" w:color="auto" w:fill="auto"/>
            <w:noWrap/>
            <w:vAlign w:val="center"/>
            <w:hideMark/>
          </w:tcPr>
          <w:p w14:paraId="7C6BEE1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53</w:t>
            </w:r>
          </w:p>
        </w:tc>
        <w:tc>
          <w:tcPr>
            <w:tcW w:w="1112" w:type="dxa"/>
            <w:tcBorders>
              <w:right w:val="single" w:sz="2" w:space="0" w:color="A6A6A6" w:themeColor="background1" w:themeShade="A6"/>
            </w:tcBorders>
            <w:shd w:val="clear" w:color="auto" w:fill="auto"/>
            <w:noWrap/>
            <w:vAlign w:val="center"/>
            <w:hideMark/>
          </w:tcPr>
          <w:p w14:paraId="539B283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50</w:t>
            </w:r>
          </w:p>
        </w:tc>
      </w:tr>
      <w:tr w:rsidR="00E570D5" w:rsidRPr="00D0604E" w14:paraId="7400964D"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09722998"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9</w:t>
            </w:r>
          </w:p>
        </w:tc>
        <w:tc>
          <w:tcPr>
            <w:tcW w:w="2800" w:type="dxa"/>
            <w:shd w:val="clear" w:color="auto" w:fill="D5DCE4"/>
            <w:vAlign w:val="center"/>
            <w:hideMark/>
          </w:tcPr>
          <w:p w14:paraId="7BB26949" w14:textId="5C5B481B"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Παιδείας, Θρησκευμάτων και Αθλητισμο</w:t>
            </w:r>
            <w:r w:rsidRPr="003C604C">
              <w:rPr>
                <w:rFonts w:cs="Arial"/>
                <w:b/>
                <w:bCs/>
                <w:color w:val="000000"/>
                <w:sz w:val="16"/>
                <w:szCs w:val="16"/>
              </w:rPr>
              <w:t>ύ</w:t>
            </w:r>
            <w:r w:rsidR="009B50CC" w:rsidRPr="003C604C">
              <w:rPr>
                <w:rFonts w:cs="Arial"/>
                <w:b/>
                <w:bCs/>
                <w:color w:val="000000"/>
                <w:sz w:val="16"/>
                <w:szCs w:val="16"/>
                <w:vertAlign w:val="superscript"/>
              </w:rPr>
              <w:t>4</w:t>
            </w:r>
          </w:p>
        </w:tc>
        <w:tc>
          <w:tcPr>
            <w:tcW w:w="3118" w:type="dxa"/>
            <w:shd w:val="clear" w:color="auto" w:fill="D5DCE4"/>
            <w:noWrap/>
            <w:vAlign w:val="center"/>
            <w:hideMark/>
          </w:tcPr>
          <w:p w14:paraId="067E07C8"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2BFD27FF"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6.606</w:t>
            </w:r>
          </w:p>
        </w:tc>
        <w:tc>
          <w:tcPr>
            <w:tcW w:w="1093" w:type="dxa"/>
            <w:shd w:val="clear" w:color="auto" w:fill="D5DCE4"/>
            <w:noWrap/>
            <w:vAlign w:val="center"/>
            <w:hideMark/>
          </w:tcPr>
          <w:p w14:paraId="29F43F26"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6.841</w:t>
            </w:r>
          </w:p>
        </w:tc>
        <w:tc>
          <w:tcPr>
            <w:tcW w:w="1112" w:type="dxa"/>
            <w:tcBorders>
              <w:right w:val="single" w:sz="2" w:space="0" w:color="A6A6A6" w:themeColor="background1" w:themeShade="A6"/>
            </w:tcBorders>
            <w:shd w:val="clear" w:color="auto" w:fill="D5DCE4"/>
            <w:noWrap/>
            <w:vAlign w:val="center"/>
            <w:hideMark/>
          </w:tcPr>
          <w:p w14:paraId="1A2762A8"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6.764</w:t>
            </w:r>
          </w:p>
        </w:tc>
      </w:tr>
      <w:tr w:rsidR="00E570D5" w:rsidRPr="00D0604E" w14:paraId="26E63573"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55930EEB" w14:textId="5EA68F8C"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05B02C75" w14:textId="7AD87FAA"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52A64B3C" w14:textId="1D7395A2"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50A1289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5.594</w:t>
            </w:r>
          </w:p>
        </w:tc>
        <w:tc>
          <w:tcPr>
            <w:tcW w:w="1093" w:type="dxa"/>
            <w:shd w:val="clear" w:color="auto" w:fill="auto"/>
            <w:noWrap/>
            <w:vAlign w:val="center"/>
            <w:hideMark/>
          </w:tcPr>
          <w:p w14:paraId="51A01DD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5.786</w:t>
            </w:r>
          </w:p>
        </w:tc>
        <w:tc>
          <w:tcPr>
            <w:tcW w:w="1112" w:type="dxa"/>
            <w:tcBorders>
              <w:right w:val="single" w:sz="2" w:space="0" w:color="A6A6A6" w:themeColor="background1" w:themeShade="A6"/>
            </w:tcBorders>
            <w:shd w:val="clear" w:color="auto" w:fill="auto"/>
            <w:noWrap/>
            <w:vAlign w:val="center"/>
            <w:hideMark/>
          </w:tcPr>
          <w:p w14:paraId="06A5EF9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5.900</w:t>
            </w:r>
          </w:p>
        </w:tc>
      </w:tr>
      <w:tr w:rsidR="00E570D5" w:rsidRPr="00D0604E" w14:paraId="7EB35821"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689D4754" w14:textId="76D55D97"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74C65773" w14:textId="36DDD230"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7815D33B" w14:textId="1D6AB80B"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7855736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810</w:t>
            </w:r>
          </w:p>
        </w:tc>
        <w:tc>
          <w:tcPr>
            <w:tcW w:w="1093" w:type="dxa"/>
            <w:shd w:val="clear" w:color="auto" w:fill="auto"/>
            <w:noWrap/>
            <w:vAlign w:val="center"/>
            <w:hideMark/>
          </w:tcPr>
          <w:p w14:paraId="0138D85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725</w:t>
            </w:r>
          </w:p>
        </w:tc>
        <w:tc>
          <w:tcPr>
            <w:tcW w:w="1112" w:type="dxa"/>
            <w:tcBorders>
              <w:right w:val="single" w:sz="2" w:space="0" w:color="A6A6A6" w:themeColor="background1" w:themeShade="A6"/>
            </w:tcBorders>
            <w:shd w:val="clear" w:color="auto" w:fill="auto"/>
            <w:noWrap/>
            <w:vAlign w:val="center"/>
            <w:hideMark/>
          </w:tcPr>
          <w:p w14:paraId="7CD1263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645</w:t>
            </w:r>
          </w:p>
        </w:tc>
      </w:tr>
      <w:tr w:rsidR="00E570D5" w:rsidRPr="00D0604E" w14:paraId="2BB55ABE"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148DB0E" w14:textId="76CAD68E"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30885AC" w14:textId="7274681B"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18FCEC4E"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3A02377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202</w:t>
            </w:r>
          </w:p>
        </w:tc>
        <w:tc>
          <w:tcPr>
            <w:tcW w:w="1093" w:type="dxa"/>
            <w:shd w:val="clear" w:color="auto" w:fill="auto"/>
            <w:noWrap/>
            <w:vAlign w:val="center"/>
            <w:hideMark/>
          </w:tcPr>
          <w:p w14:paraId="0217975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330</w:t>
            </w:r>
          </w:p>
        </w:tc>
        <w:tc>
          <w:tcPr>
            <w:tcW w:w="1112" w:type="dxa"/>
            <w:tcBorders>
              <w:right w:val="single" w:sz="2" w:space="0" w:color="A6A6A6" w:themeColor="background1" w:themeShade="A6"/>
            </w:tcBorders>
            <w:shd w:val="clear" w:color="auto" w:fill="auto"/>
            <w:noWrap/>
            <w:vAlign w:val="center"/>
            <w:hideMark/>
          </w:tcPr>
          <w:p w14:paraId="5E16CCA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219</w:t>
            </w:r>
          </w:p>
        </w:tc>
      </w:tr>
      <w:tr w:rsidR="00E570D5" w:rsidRPr="00D0604E" w14:paraId="3FEB8CCE"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6766E71D"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10</w:t>
            </w:r>
          </w:p>
        </w:tc>
        <w:tc>
          <w:tcPr>
            <w:tcW w:w="2800" w:type="dxa"/>
            <w:shd w:val="clear" w:color="auto" w:fill="D5DCE4"/>
            <w:vAlign w:val="center"/>
            <w:hideMark/>
          </w:tcPr>
          <w:p w14:paraId="71BD374C"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Πολιτισμού</w:t>
            </w:r>
          </w:p>
        </w:tc>
        <w:tc>
          <w:tcPr>
            <w:tcW w:w="3118" w:type="dxa"/>
            <w:shd w:val="clear" w:color="auto" w:fill="D5DCE4"/>
            <w:noWrap/>
            <w:vAlign w:val="center"/>
            <w:hideMark/>
          </w:tcPr>
          <w:p w14:paraId="02FF50CE"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17CB9B6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575</w:t>
            </w:r>
          </w:p>
        </w:tc>
        <w:tc>
          <w:tcPr>
            <w:tcW w:w="1093" w:type="dxa"/>
            <w:shd w:val="clear" w:color="auto" w:fill="D5DCE4"/>
            <w:noWrap/>
            <w:vAlign w:val="center"/>
            <w:hideMark/>
          </w:tcPr>
          <w:p w14:paraId="791634A2"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652</w:t>
            </w:r>
          </w:p>
        </w:tc>
        <w:tc>
          <w:tcPr>
            <w:tcW w:w="1112" w:type="dxa"/>
            <w:tcBorders>
              <w:right w:val="single" w:sz="2" w:space="0" w:color="A6A6A6" w:themeColor="background1" w:themeShade="A6"/>
            </w:tcBorders>
            <w:shd w:val="clear" w:color="auto" w:fill="D5DCE4"/>
            <w:noWrap/>
            <w:vAlign w:val="center"/>
            <w:hideMark/>
          </w:tcPr>
          <w:p w14:paraId="63EE16BF"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653</w:t>
            </w:r>
          </w:p>
        </w:tc>
      </w:tr>
      <w:tr w:rsidR="00E570D5" w:rsidRPr="00D0604E" w14:paraId="59224152"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A85987F" w14:textId="0782B719"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02381BEE" w14:textId="4E3FFABB"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3D941A21" w14:textId="13CCDE0B"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75BB455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257</w:t>
            </w:r>
          </w:p>
        </w:tc>
        <w:tc>
          <w:tcPr>
            <w:tcW w:w="1093" w:type="dxa"/>
            <w:shd w:val="clear" w:color="auto" w:fill="auto"/>
            <w:noWrap/>
            <w:vAlign w:val="center"/>
            <w:hideMark/>
          </w:tcPr>
          <w:p w14:paraId="2C5F49C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349</w:t>
            </w:r>
          </w:p>
        </w:tc>
        <w:tc>
          <w:tcPr>
            <w:tcW w:w="1112" w:type="dxa"/>
            <w:tcBorders>
              <w:right w:val="single" w:sz="2" w:space="0" w:color="A6A6A6" w:themeColor="background1" w:themeShade="A6"/>
            </w:tcBorders>
            <w:shd w:val="clear" w:color="auto" w:fill="auto"/>
            <w:noWrap/>
            <w:vAlign w:val="center"/>
            <w:hideMark/>
          </w:tcPr>
          <w:p w14:paraId="5E9D71C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278</w:t>
            </w:r>
          </w:p>
        </w:tc>
      </w:tr>
      <w:tr w:rsidR="00E570D5" w:rsidRPr="00D0604E" w14:paraId="104E135C"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1230CDD2" w14:textId="4EF2AD92"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75549B65" w14:textId="3CB6E16B"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49DA750A" w14:textId="6E4FC151"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5CC8EA8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147</w:t>
            </w:r>
          </w:p>
        </w:tc>
        <w:tc>
          <w:tcPr>
            <w:tcW w:w="1093" w:type="dxa"/>
            <w:shd w:val="clear" w:color="auto" w:fill="auto"/>
            <w:noWrap/>
            <w:vAlign w:val="center"/>
            <w:hideMark/>
          </w:tcPr>
          <w:p w14:paraId="22D949F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128</w:t>
            </w:r>
          </w:p>
        </w:tc>
        <w:tc>
          <w:tcPr>
            <w:tcW w:w="1112" w:type="dxa"/>
            <w:tcBorders>
              <w:right w:val="single" w:sz="2" w:space="0" w:color="A6A6A6" w:themeColor="background1" w:themeShade="A6"/>
            </w:tcBorders>
            <w:shd w:val="clear" w:color="auto" w:fill="auto"/>
            <w:noWrap/>
            <w:vAlign w:val="center"/>
            <w:hideMark/>
          </w:tcPr>
          <w:p w14:paraId="04F6EF7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129</w:t>
            </w:r>
          </w:p>
        </w:tc>
      </w:tr>
      <w:tr w:rsidR="00E570D5" w:rsidRPr="00D0604E" w14:paraId="763F720C"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1E496373" w14:textId="59E9D68B"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00790102" w14:textId="4EF9A2DD"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3D284F1E"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4E6FFDE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171</w:t>
            </w:r>
          </w:p>
        </w:tc>
        <w:tc>
          <w:tcPr>
            <w:tcW w:w="1093" w:type="dxa"/>
            <w:shd w:val="clear" w:color="auto" w:fill="auto"/>
            <w:noWrap/>
            <w:vAlign w:val="center"/>
            <w:hideMark/>
          </w:tcPr>
          <w:p w14:paraId="396B66B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175</w:t>
            </w:r>
          </w:p>
        </w:tc>
        <w:tc>
          <w:tcPr>
            <w:tcW w:w="1112" w:type="dxa"/>
            <w:tcBorders>
              <w:right w:val="single" w:sz="2" w:space="0" w:color="A6A6A6" w:themeColor="background1" w:themeShade="A6"/>
            </w:tcBorders>
            <w:shd w:val="clear" w:color="auto" w:fill="auto"/>
            <w:noWrap/>
            <w:vAlign w:val="center"/>
            <w:hideMark/>
          </w:tcPr>
          <w:p w14:paraId="685093B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246</w:t>
            </w:r>
          </w:p>
        </w:tc>
      </w:tr>
      <w:tr w:rsidR="00E570D5" w:rsidRPr="00D0604E" w14:paraId="603D7F3B"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7B073AC1"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11</w:t>
            </w:r>
          </w:p>
        </w:tc>
        <w:tc>
          <w:tcPr>
            <w:tcW w:w="2800" w:type="dxa"/>
            <w:shd w:val="clear" w:color="auto" w:fill="D5DCE4"/>
            <w:vAlign w:val="center"/>
            <w:hideMark/>
          </w:tcPr>
          <w:p w14:paraId="5F65FCD1"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Εθνικής Οικονομίας και Οικονομικών πλην Γενικών Κρατικών Δαπανών</w:t>
            </w:r>
          </w:p>
        </w:tc>
        <w:tc>
          <w:tcPr>
            <w:tcW w:w="3118" w:type="dxa"/>
            <w:shd w:val="clear" w:color="auto" w:fill="D5DCE4"/>
            <w:noWrap/>
            <w:vAlign w:val="center"/>
            <w:hideMark/>
          </w:tcPr>
          <w:p w14:paraId="66A0BDC2"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3F9CA18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3.934</w:t>
            </w:r>
          </w:p>
        </w:tc>
        <w:tc>
          <w:tcPr>
            <w:tcW w:w="1093" w:type="dxa"/>
            <w:shd w:val="clear" w:color="auto" w:fill="D5DCE4"/>
            <w:noWrap/>
            <w:vAlign w:val="center"/>
            <w:hideMark/>
          </w:tcPr>
          <w:p w14:paraId="76EDA10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3.819</w:t>
            </w:r>
          </w:p>
        </w:tc>
        <w:tc>
          <w:tcPr>
            <w:tcW w:w="1112" w:type="dxa"/>
            <w:tcBorders>
              <w:right w:val="single" w:sz="2" w:space="0" w:color="A6A6A6" w:themeColor="background1" w:themeShade="A6"/>
            </w:tcBorders>
            <w:shd w:val="clear" w:color="auto" w:fill="D5DCE4"/>
            <w:noWrap/>
            <w:vAlign w:val="center"/>
            <w:hideMark/>
          </w:tcPr>
          <w:p w14:paraId="154702A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3.899</w:t>
            </w:r>
          </w:p>
        </w:tc>
      </w:tr>
      <w:tr w:rsidR="00E570D5" w:rsidRPr="00D0604E" w14:paraId="1A621810"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3246EDF9" w14:textId="36514DD8"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662446BE" w14:textId="477388BB"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18BAC656" w14:textId="0239A95E"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5057868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797</w:t>
            </w:r>
          </w:p>
        </w:tc>
        <w:tc>
          <w:tcPr>
            <w:tcW w:w="1093" w:type="dxa"/>
            <w:shd w:val="clear" w:color="auto" w:fill="auto"/>
            <w:noWrap/>
            <w:vAlign w:val="center"/>
            <w:hideMark/>
          </w:tcPr>
          <w:p w14:paraId="48D0556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829</w:t>
            </w:r>
          </w:p>
        </w:tc>
        <w:tc>
          <w:tcPr>
            <w:tcW w:w="1112" w:type="dxa"/>
            <w:tcBorders>
              <w:right w:val="single" w:sz="2" w:space="0" w:color="A6A6A6" w:themeColor="background1" w:themeShade="A6"/>
            </w:tcBorders>
            <w:shd w:val="clear" w:color="auto" w:fill="auto"/>
            <w:noWrap/>
            <w:vAlign w:val="center"/>
            <w:hideMark/>
          </w:tcPr>
          <w:p w14:paraId="7B6986B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829</w:t>
            </w:r>
          </w:p>
        </w:tc>
      </w:tr>
      <w:tr w:rsidR="00E570D5" w:rsidRPr="00D0604E" w14:paraId="6593BA74"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041E1C6" w14:textId="4CA4967A"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3A7F391B" w14:textId="68241E20"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3DBE81EC" w14:textId="29C4E3E4"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508B0EA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2.933</w:t>
            </w:r>
          </w:p>
        </w:tc>
        <w:tc>
          <w:tcPr>
            <w:tcW w:w="1093" w:type="dxa"/>
            <w:shd w:val="clear" w:color="auto" w:fill="auto"/>
            <w:noWrap/>
            <w:vAlign w:val="center"/>
            <w:hideMark/>
          </w:tcPr>
          <w:p w14:paraId="01BE074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2.830</w:t>
            </w:r>
          </w:p>
        </w:tc>
        <w:tc>
          <w:tcPr>
            <w:tcW w:w="1112" w:type="dxa"/>
            <w:tcBorders>
              <w:right w:val="single" w:sz="2" w:space="0" w:color="A6A6A6" w:themeColor="background1" w:themeShade="A6"/>
            </w:tcBorders>
            <w:shd w:val="clear" w:color="auto" w:fill="auto"/>
            <w:noWrap/>
            <w:vAlign w:val="center"/>
            <w:hideMark/>
          </w:tcPr>
          <w:p w14:paraId="722A8DE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2.770</w:t>
            </w:r>
          </w:p>
        </w:tc>
      </w:tr>
      <w:tr w:rsidR="00E570D5" w:rsidRPr="00D0604E" w14:paraId="44CCCAAC" w14:textId="77777777" w:rsidTr="00E966FE">
        <w:trPr>
          <w:cantSplit/>
          <w:trHeight w:val="227"/>
          <w:jc w:val="center"/>
        </w:trPr>
        <w:tc>
          <w:tcPr>
            <w:tcW w:w="458" w:type="dxa"/>
            <w:tcBorders>
              <w:left w:val="single" w:sz="2" w:space="0" w:color="A6A6A6" w:themeColor="background1" w:themeShade="A6"/>
              <w:bottom w:val="single" w:sz="4" w:space="0" w:color="A6A6A6" w:themeColor="background1" w:themeShade="A6"/>
            </w:tcBorders>
            <w:shd w:val="clear" w:color="auto" w:fill="auto"/>
            <w:vAlign w:val="center"/>
          </w:tcPr>
          <w:p w14:paraId="6F64E08F" w14:textId="3134B63C" w:rsidR="00E570D5" w:rsidRPr="00D0604E" w:rsidRDefault="00E570D5" w:rsidP="00D36DDE">
            <w:pPr>
              <w:spacing w:after="0" w:line="276" w:lineRule="auto"/>
              <w:jc w:val="center"/>
              <w:rPr>
                <w:rFonts w:cs="Arial"/>
                <w:color w:val="000000"/>
                <w:sz w:val="16"/>
                <w:szCs w:val="16"/>
              </w:rPr>
            </w:pPr>
          </w:p>
        </w:tc>
        <w:tc>
          <w:tcPr>
            <w:tcW w:w="2800" w:type="dxa"/>
            <w:tcBorders>
              <w:bottom w:val="single" w:sz="4" w:space="0" w:color="A6A6A6" w:themeColor="background1" w:themeShade="A6"/>
            </w:tcBorders>
            <w:shd w:val="clear" w:color="auto" w:fill="auto"/>
            <w:vAlign w:val="center"/>
          </w:tcPr>
          <w:p w14:paraId="0C07C7C9" w14:textId="612DB2E4" w:rsidR="00E570D5" w:rsidRPr="00D0604E" w:rsidRDefault="00E570D5" w:rsidP="00E966FE">
            <w:pPr>
              <w:spacing w:after="0" w:line="276" w:lineRule="auto"/>
              <w:jc w:val="left"/>
              <w:rPr>
                <w:rFonts w:cs="Arial"/>
                <w:color w:val="000000"/>
                <w:sz w:val="16"/>
                <w:szCs w:val="16"/>
              </w:rPr>
            </w:pPr>
          </w:p>
        </w:tc>
        <w:tc>
          <w:tcPr>
            <w:tcW w:w="3118" w:type="dxa"/>
            <w:tcBorders>
              <w:bottom w:val="single" w:sz="4" w:space="0" w:color="A6A6A6" w:themeColor="background1" w:themeShade="A6"/>
            </w:tcBorders>
            <w:shd w:val="clear" w:color="auto" w:fill="auto"/>
            <w:noWrap/>
            <w:vAlign w:val="center"/>
            <w:hideMark/>
          </w:tcPr>
          <w:p w14:paraId="21882AFC"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tcBorders>
              <w:bottom w:val="single" w:sz="4" w:space="0" w:color="A6A6A6" w:themeColor="background1" w:themeShade="A6"/>
            </w:tcBorders>
            <w:shd w:val="clear" w:color="auto" w:fill="auto"/>
            <w:noWrap/>
            <w:vAlign w:val="center"/>
            <w:hideMark/>
          </w:tcPr>
          <w:p w14:paraId="7FE5CB8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204</w:t>
            </w:r>
          </w:p>
        </w:tc>
        <w:tc>
          <w:tcPr>
            <w:tcW w:w="1093" w:type="dxa"/>
            <w:tcBorders>
              <w:bottom w:val="single" w:sz="4" w:space="0" w:color="A6A6A6" w:themeColor="background1" w:themeShade="A6"/>
            </w:tcBorders>
            <w:shd w:val="clear" w:color="auto" w:fill="auto"/>
            <w:noWrap/>
            <w:vAlign w:val="center"/>
            <w:hideMark/>
          </w:tcPr>
          <w:p w14:paraId="2DBDECE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160</w:t>
            </w:r>
          </w:p>
        </w:tc>
        <w:tc>
          <w:tcPr>
            <w:tcW w:w="1112" w:type="dxa"/>
            <w:tcBorders>
              <w:bottom w:val="single" w:sz="4" w:space="0" w:color="A6A6A6" w:themeColor="background1" w:themeShade="A6"/>
              <w:right w:val="single" w:sz="2" w:space="0" w:color="A6A6A6" w:themeColor="background1" w:themeShade="A6"/>
            </w:tcBorders>
            <w:shd w:val="clear" w:color="auto" w:fill="auto"/>
            <w:noWrap/>
            <w:vAlign w:val="center"/>
            <w:hideMark/>
          </w:tcPr>
          <w:p w14:paraId="6A366BA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300</w:t>
            </w:r>
          </w:p>
        </w:tc>
      </w:tr>
      <w:tr w:rsidR="00E570D5" w:rsidRPr="00D0604E" w14:paraId="5AC32921" w14:textId="77777777" w:rsidTr="00E966FE">
        <w:trPr>
          <w:cantSplit/>
          <w:trHeight w:val="227"/>
          <w:jc w:val="center"/>
        </w:trPr>
        <w:tc>
          <w:tcPr>
            <w:tcW w:w="458" w:type="dxa"/>
            <w:tcBorders>
              <w:top w:val="single" w:sz="4" w:space="0" w:color="A6A6A6" w:themeColor="background1" w:themeShade="A6"/>
              <w:left w:val="single" w:sz="2" w:space="0" w:color="A6A6A6" w:themeColor="background1" w:themeShade="A6"/>
            </w:tcBorders>
            <w:shd w:val="clear" w:color="auto" w:fill="D5DCE4"/>
            <w:vAlign w:val="center"/>
            <w:hideMark/>
          </w:tcPr>
          <w:p w14:paraId="7F87FCA0"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lastRenderedPageBreak/>
              <w:t>12</w:t>
            </w:r>
          </w:p>
        </w:tc>
        <w:tc>
          <w:tcPr>
            <w:tcW w:w="2800" w:type="dxa"/>
            <w:tcBorders>
              <w:top w:val="single" w:sz="4" w:space="0" w:color="A6A6A6" w:themeColor="background1" w:themeShade="A6"/>
            </w:tcBorders>
            <w:shd w:val="clear" w:color="auto" w:fill="D5DCE4"/>
            <w:vAlign w:val="center"/>
            <w:hideMark/>
          </w:tcPr>
          <w:p w14:paraId="1EF385A8" w14:textId="00360B19"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 xml:space="preserve">Υπουργείο Εθνικής Οικονομίας και Οικονομικών </w:t>
            </w:r>
            <w:r w:rsidR="004B12B5">
              <w:rPr>
                <w:rFonts w:cs="Arial"/>
                <w:b/>
                <w:bCs/>
                <w:color w:val="000000"/>
                <w:sz w:val="16"/>
                <w:szCs w:val="16"/>
              </w:rPr>
              <w:t>-</w:t>
            </w:r>
            <w:r w:rsidRPr="00D0604E">
              <w:rPr>
                <w:rFonts w:cs="Arial"/>
                <w:b/>
                <w:bCs/>
                <w:color w:val="000000"/>
                <w:sz w:val="16"/>
                <w:szCs w:val="16"/>
              </w:rPr>
              <w:t xml:space="preserve"> Γενικές Κρατικές Δαπάνες</w:t>
            </w:r>
            <w:r w:rsidRPr="0036223B">
              <w:rPr>
                <w:rFonts w:cs="Arial"/>
                <w:b/>
                <w:bCs/>
                <w:color w:val="000000"/>
                <w:sz w:val="16"/>
                <w:szCs w:val="16"/>
                <w:vertAlign w:val="superscript"/>
              </w:rPr>
              <w:t>3</w:t>
            </w:r>
          </w:p>
        </w:tc>
        <w:tc>
          <w:tcPr>
            <w:tcW w:w="3118" w:type="dxa"/>
            <w:tcBorders>
              <w:top w:val="single" w:sz="4" w:space="0" w:color="A6A6A6" w:themeColor="background1" w:themeShade="A6"/>
            </w:tcBorders>
            <w:shd w:val="clear" w:color="auto" w:fill="D5DCE4"/>
            <w:noWrap/>
            <w:vAlign w:val="center"/>
            <w:hideMark/>
          </w:tcPr>
          <w:p w14:paraId="7F5B377F"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tcBorders>
              <w:top w:val="single" w:sz="4" w:space="0" w:color="A6A6A6" w:themeColor="background1" w:themeShade="A6"/>
            </w:tcBorders>
            <w:shd w:val="clear" w:color="auto" w:fill="D5DCE4"/>
            <w:noWrap/>
            <w:vAlign w:val="center"/>
            <w:hideMark/>
          </w:tcPr>
          <w:p w14:paraId="696D0F8D"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14.548</w:t>
            </w:r>
          </w:p>
        </w:tc>
        <w:tc>
          <w:tcPr>
            <w:tcW w:w="1093" w:type="dxa"/>
            <w:tcBorders>
              <w:top w:val="single" w:sz="4" w:space="0" w:color="A6A6A6" w:themeColor="background1" w:themeShade="A6"/>
            </w:tcBorders>
            <w:shd w:val="clear" w:color="auto" w:fill="D5DCE4"/>
            <w:noWrap/>
            <w:vAlign w:val="center"/>
            <w:hideMark/>
          </w:tcPr>
          <w:p w14:paraId="17FA7D5A"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13.321</w:t>
            </w:r>
          </w:p>
        </w:tc>
        <w:tc>
          <w:tcPr>
            <w:tcW w:w="1112" w:type="dxa"/>
            <w:tcBorders>
              <w:top w:val="single" w:sz="4" w:space="0" w:color="A6A6A6" w:themeColor="background1" w:themeShade="A6"/>
              <w:right w:val="single" w:sz="2" w:space="0" w:color="A6A6A6" w:themeColor="background1" w:themeShade="A6"/>
            </w:tcBorders>
            <w:shd w:val="clear" w:color="auto" w:fill="D5DCE4"/>
            <w:noWrap/>
            <w:vAlign w:val="center"/>
            <w:hideMark/>
          </w:tcPr>
          <w:p w14:paraId="7FA7931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15.478</w:t>
            </w:r>
          </w:p>
        </w:tc>
      </w:tr>
      <w:tr w:rsidR="00E570D5" w:rsidRPr="00D0604E" w14:paraId="56382E67"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0C0DCB5B" w14:textId="3CD4FCDC"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083F18E9" w14:textId="0DBA3D79"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77AB549E" w14:textId="57FF67EF"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02DA378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14.548</w:t>
            </w:r>
          </w:p>
        </w:tc>
        <w:tc>
          <w:tcPr>
            <w:tcW w:w="1093" w:type="dxa"/>
            <w:shd w:val="clear" w:color="auto" w:fill="auto"/>
            <w:noWrap/>
            <w:vAlign w:val="center"/>
            <w:hideMark/>
          </w:tcPr>
          <w:p w14:paraId="0890C88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13.321</w:t>
            </w:r>
          </w:p>
        </w:tc>
        <w:tc>
          <w:tcPr>
            <w:tcW w:w="1112" w:type="dxa"/>
            <w:tcBorders>
              <w:right w:val="single" w:sz="2" w:space="0" w:color="A6A6A6" w:themeColor="background1" w:themeShade="A6"/>
            </w:tcBorders>
            <w:shd w:val="clear" w:color="auto" w:fill="auto"/>
            <w:noWrap/>
            <w:vAlign w:val="center"/>
            <w:hideMark/>
          </w:tcPr>
          <w:p w14:paraId="356A9DE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15.478</w:t>
            </w:r>
          </w:p>
        </w:tc>
      </w:tr>
      <w:tr w:rsidR="00E570D5" w:rsidRPr="00D0604E" w14:paraId="2B798328"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458F644" w14:textId="4CF29552"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3EC682B" w14:textId="51F55CB6"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3F650ED1" w14:textId="7A565CE9"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22F62F8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598B4D4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5021605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6D54AB1A"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6FA96D0B" w14:textId="5EC50592"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51C94531" w14:textId="11575783"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31704EEE"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3C90CA0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19A3C9B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3B7E0A0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3241FEE6"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6434F37D"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13</w:t>
            </w:r>
          </w:p>
        </w:tc>
        <w:tc>
          <w:tcPr>
            <w:tcW w:w="2800" w:type="dxa"/>
            <w:shd w:val="clear" w:color="auto" w:fill="D5DCE4"/>
            <w:vAlign w:val="center"/>
            <w:hideMark/>
          </w:tcPr>
          <w:p w14:paraId="5E6DE3BE"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Αγροτικής Ανάπτυξης και Τροφίμων</w:t>
            </w:r>
          </w:p>
        </w:tc>
        <w:tc>
          <w:tcPr>
            <w:tcW w:w="3118" w:type="dxa"/>
            <w:shd w:val="clear" w:color="auto" w:fill="D5DCE4"/>
            <w:noWrap/>
            <w:vAlign w:val="center"/>
            <w:hideMark/>
          </w:tcPr>
          <w:p w14:paraId="38C6C7FD"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3CF31831"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1.281</w:t>
            </w:r>
          </w:p>
        </w:tc>
        <w:tc>
          <w:tcPr>
            <w:tcW w:w="1093" w:type="dxa"/>
            <w:shd w:val="clear" w:color="auto" w:fill="D5DCE4"/>
            <w:noWrap/>
            <w:vAlign w:val="center"/>
            <w:hideMark/>
          </w:tcPr>
          <w:p w14:paraId="54F3DD20"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1.745</w:t>
            </w:r>
          </w:p>
        </w:tc>
        <w:tc>
          <w:tcPr>
            <w:tcW w:w="1112" w:type="dxa"/>
            <w:tcBorders>
              <w:right w:val="single" w:sz="2" w:space="0" w:color="A6A6A6" w:themeColor="background1" w:themeShade="A6"/>
            </w:tcBorders>
            <w:shd w:val="clear" w:color="auto" w:fill="D5DCE4"/>
            <w:noWrap/>
            <w:vAlign w:val="center"/>
            <w:hideMark/>
          </w:tcPr>
          <w:p w14:paraId="2A76FFD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1.504</w:t>
            </w:r>
          </w:p>
        </w:tc>
      </w:tr>
      <w:tr w:rsidR="00E570D5" w:rsidRPr="00D0604E" w14:paraId="609D463B"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28DC99F1" w14:textId="19C8BAC0"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320A8AF8" w14:textId="113783D2"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59820C75" w14:textId="70354D91"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6D24BF7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222</w:t>
            </w:r>
          </w:p>
        </w:tc>
        <w:tc>
          <w:tcPr>
            <w:tcW w:w="1093" w:type="dxa"/>
            <w:shd w:val="clear" w:color="auto" w:fill="auto"/>
            <w:noWrap/>
            <w:vAlign w:val="center"/>
            <w:hideMark/>
          </w:tcPr>
          <w:p w14:paraId="35D225B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340</w:t>
            </w:r>
          </w:p>
        </w:tc>
        <w:tc>
          <w:tcPr>
            <w:tcW w:w="1112" w:type="dxa"/>
            <w:tcBorders>
              <w:right w:val="single" w:sz="2" w:space="0" w:color="A6A6A6" w:themeColor="background1" w:themeShade="A6"/>
            </w:tcBorders>
            <w:shd w:val="clear" w:color="auto" w:fill="auto"/>
            <w:noWrap/>
            <w:vAlign w:val="center"/>
            <w:hideMark/>
          </w:tcPr>
          <w:p w14:paraId="59FD2C6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297</w:t>
            </w:r>
          </w:p>
        </w:tc>
      </w:tr>
      <w:tr w:rsidR="00E570D5" w:rsidRPr="00D0604E" w14:paraId="520201D2"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0C9C24F8" w14:textId="590DEA76"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5D430845" w14:textId="44B118B6"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6FA13886" w14:textId="0AB2AFA4"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1702576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854</w:t>
            </w:r>
          </w:p>
        </w:tc>
        <w:tc>
          <w:tcPr>
            <w:tcW w:w="1093" w:type="dxa"/>
            <w:shd w:val="clear" w:color="auto" w:fill="auto"/>
            <w:noWrap/>
            <w:vAlign w:val="center"/>
            <w:hideMark/>
          </w:tcPr>
          <w:p w14:paraId="4FDEF0E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1.222</w:t>
            </w:r>
          </w:p>
        </w:tc>
        <w:tc>
          <w:tcPr>
            <w:tcW w:w="1112" w:type="dxa"/>
            <w:tcBorders>
              <w:right w:val="single" w:sz="2" w:space="0" w:color="A6A6A6" w:themeColor="background1" w:themeShade="A6"/>
            </w:tcBorders>
            <w:shd w:val="clear" w:color="auto" w:fill="auto"/>
            <w:noWrap/>
            <w:vAlign w:val="center"/>
            <w:hideMark/>
          </w:tcPr>
          <w:p w14:paraId="36CC2DB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905</w:t>
            </w:r>
          </w:p>
        </w:tc>
      </w:tr>
      <w:tr w:rsidR="00E570D5" w:rsidRPr="00D0604E" w14:paraId="5B9BB0C5"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320CAE4E" w14:textId="48DE283B"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B87B816" w14:textId="05E8A3BC"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10ADDDFD"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7929FD0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205</w:t>
            </w:r>
          </w:p>
        </w:tc>
        <w:tc>
          <w:tcPr>
            <w:tcW w:w="1093" w:type="dxa"/>
            <w:shd w:val="clear" w:color="auto" w:fill="auto"/>
            <w:noWrap/>
            <w:vAlign w:val="center"/>
            <w:hideMark/>
          </w:tcPr>
          <w:p w14:paraId="5ADC4E9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183</w:t>
            </w:r>
          </w:p>
        </w:tc>
        <w:tc>
          <w:tcPr>
            <w:tcW w:w="1112" w:type="dxa"/>
            <w:tcBorders>
              <w:right w:val="single" w:sz="2" w:space="0" w:color="A6A6A6" w:themeColor="background1" w:themeShade="A6"/>
            </w:tcBorders>
            <w:shd w:val="clear" w:color="auto" w:fill="auto"/>
            <w:noWrap/>
            <w:vAlign w:val="center"/>
            <w:hideMark/>
          </w:tcPr>
          <w:p w14:paraId="50BF729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302</w:t>
            </w:r>
          </w:p>
        </w:tc>
      </w:tr>
      <w:tr w:rsidR="00E570D5" w:rsidRPr="00D0604E" w14:paraId="262A1280"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7ED94BF5"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14</w:t>
            </w:r>
          </w:p>
        </w:tc>
        <w:tc>
          <w:tcPr>
            <w:tcW w:w="2800" w:type="dxa"/>
            <w:shd w:val="clear" w:color="auto" w:fill="D5DCE4"/>
            <w:vAlign w:val="center"/>
            <w:hideMark/>
          </w:tcPr>
          <w:p w14:paraId="7143E066"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Περιβάλλοντος και Ενεργείας</w:t>
            </w:r>
          </w:p>
        </w:tc>
        <w:tc>
          <w:tcPr>
            <w:tcW w:w="3118" w:type="dxa"/>
            <w:shd w:val="clear" w:color="auto" w:fill="D5DCE4"/>
            <w:noWrap/>
            <w:vAlign w:val="center"/>
            <w:hideMark/>
          </w:tcPr>
          <w:p w14:paraId="5404A68F"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51769F61"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2.341</w:t>
            </w:r>
          </w:p>
        </w:tc>
        <w:tc>
          <w:tcPr>
            <w:tcW w:w="1093" w:type="dxa"/>
            <w:shd w:val="clear" w:color="auto" w:fill="D5DCE4"/>
            <w:noWrap/>
            <w:vAlign w:val="center"/>
            <w:hideMark/>
          </w:tcPr>
          <w:p w14:paraId="4ECD2780"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2.226</w:t>
            </w:r>
          </w:p>
        </w:tc>
        <w:tc>
          <w:tcPr>
            <w:tcW w:w="1112" w:type="dxa"/>
            <w:tcBorders>
              <w:right w:val="single" w:sz="2" w:space="0" w:color="A6A6A6" w:themeColor="background1" w:themeShade="A6"/>
            </w:tcBorders>
            <w:shd w:val="clear" w:color="auto" w:fill="D5DCE4"/>
            <w:noWrap/>
            <w:vAlign w:val="center"/>
            <w:hideMark/>
          </w:tcPr>
          <w:p w14:paraId="2F713C7B"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3.133</w:t>
            </w:r>
          </w:p>
        </w:tc>
      </w:tr>
      <w:tr w:rsidR="00E570D5" w:rsidRPr="00D0604E" w14:paraId="4611F9A0"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37148DD8" w14:textId="49FB6136"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A926D0A" w14:textId="1DFE9088"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4E6DDCBE" w14:textId="060925D4"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67BA432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319</w:t>
            </w:r>
          </w:p>
        </w:tc>
        <w:tc>
          <w:tcPr>
            <w:tcW w:w="1093" w:type="dxa"/>
            <w:shd w:val="clear" w:color="auto" w:fill="auto"/>
            <w:noWrap/>
            <w:vAlign w:val="center"/>
            <w:hideMark/>
          </w:tcPr>
          <w:p w14:paraId="6FAE4E9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334</w:t>
            </w:r>
          </w:p>
        </w:tc>
        <w:tc>
          <w:tcPr>
            <w:tcW w:w="1112" w:type="dxa"/>
            <w:tcBorders>
              <w:right w:val="single" w:sz="2" w:space="0" w:color="A6A6A6" w:themeColor="background1" w:themeShade="A6"/>
            </w:tcBorders>
            <w:shd w:val="clear" w:color="auto" w:fill="auto"/>
            <w:noWrap/>
            <w:vAlign w:val="center"/>
            <w:hideMark/>
          </w:tcPr>
          <w:p w14:paraId="0D09A52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318</w:t>
            </w:r>
          </w:p>
        </w:tc>
      </w:tr>
      <w:tr w:rsidR="00E570D5" w:rsidRPr="00D0604E" w14:paraId="507EC56B"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3AA23FE6" w14:textId="18D557AE"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7D7A2D0C" w14:textId="4BCD2A1C"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531F2509" w14:textId="62D2FA8F"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6CDCB7E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660</w:t>
            </w:r>
          </w:p>
        </w:tc>
        <w:tc>
          <w:tcPr>
            <w:tcW w:w="1093" w:type="dxa"/>
            <w:shd w:val="clear" w:color="auto" w:fill="auto"/>
            <w:noWrap/>
            <w:vAlign w:val="center"/>
            <w:hideMark/>
          </w:tcPr>
          <w:p w14:paraId="6A8775B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592</w:t>
            </w:r>
          </w:p>
        </w:tc>
        <w:tc>
          <w:tcPr>
            <w:tcW w:w="1112" w:type="dxa"/>
            <w:tcBorders>
              <w:right w:val="single" w:sz="2" w:space="0" w:color="A6A6A6" w:themeColor="background1" w:themeShade="A6"/>
            </w:tcBorders>
            <w:shd w:val="clear" w:color="auto" w:fill="auto"/>
            <w:noWrap/>
            <w:vAlign w:val="center"/>
            <w:hideMark/>
          </w:tcPr>
          <w:p w14:paraId="69BB462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600</w:t>
            </w:r>
          </w:p>
        </w:tc>
      </w:tr>
      <w:tr w:rsidR="00E570D5" w:rsidRPr="00D0604E" w14:paraId="0536C38B"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2A687AC1" w14:textId="249F6020"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053A12A3" w14:textId="4B916A14"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1FE9A67F"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61A5213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1.362</w:t>
            </w:r>
          </w:p>
        </w:tc>
        <w:tc>
          <w:tcPr>
            <w:tcW w:w="1093" w:type="dxa"/>
            <w:shd w:val="clear" w:color="auto" w:fill="auto"/>
            <w:noWrap/>
            <w:vAlign w:val="center"/>
            <w:hideMark/>
          </w:tcPr>
          <w:p w14:paraId="16F814F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1.300</w:t>
            </w:r>
          </w:p>
        </w:tc>
        <w:tc>
          <w:tcPr>
            <w:tcW w:w="1112" w:type="dxa"/>
            <w:tcBorders>
              <w:right w:val="single" w:sz="2" w:space="0" w:color="A6A6A6" w:themeColor="background1" w:themeShade="A6"/>
            </w:tcBorders>
            <w:shd w:val="clear" w:color="auto" w:fill="auto"/>
            <w:noWrap/>
            <w:vAlign w:val="center"/>
            <w:hideMark/>
          </w:tcPr>
          <w:p w14:paraId="46494DB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2.215</w:t>
            </w:r>
          </w:p>
        </w:tc>
      </w:tr>
      <w:tr w:rsidR="00E570D5" w:rsidRPr="00D0604E" w14:paraId="3DDAC83E"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20F8541C"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15</w:t>
            </w:r>
          </w:p>
        </w:tc>
        <w:tc>
          <w:tcPr>
            <w:tcW w:w="2800" w:type="dxa"/>
            <w:shd w:val="clear" w:color="auto" w:fill="D5DCE4"/>
            <w:vAlign w:val="center"/>
            <w:hideMark/>
          </w:tcPr>
          <w:p w14:paraId="71BF7AE1"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Εργασίας και Κοινωνικής Ασφάλισης</w:t>
            </w:r>
          </w:p>
        </w:tc>
        <w:tc>
          <w:tcPr>
            <w:tcW w:w="3118" w:type="dxa"/>
            <w:shd w:val="clear" w:color="auto" w:fill="D5DCE4"/>
            <w:noWrap/>
            <w:vAlign w:val="center"/>
            <w:hideMark/>
          </w:tcPr>
          <w:p w14:paraId="59D9F93B"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1A3B3111"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18.678</w:t>
            </w:r>
          </w:p>
        </w:tc>
        <w:tc>
          <w:tcPr>
            <w:tcW w:w="1093" w:type="dxa"/>
            <w:shd w:val="clear" w:color="auto" w:fill="D5DCE4"/>
            <w:noWrap/>
            <w:vAlign w:val="center"/>
            <w:hideMark/>
          </w:tcPr>
          <w:p w14:paraId="6BD60A7A"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18.668</w:t>
            </w:r>
          </w:p>
        </w:tc>
        <w:tc>
          <w:tcPr>
            <w:tcW w:w="1112" w:type="dxa"/>
            <w:tcBorders>
              <w:right w:val="single" w:sz="2" w:space="0" w:color="A6A6A6" w:themeColor="background1" w:themeShade="A6"/>
            </w:tcBorders>
            <w:shd w:val="clear" w:color="auto" w:fill="D5DCE4"/>
            <w:noWrap/>
            <w:vAlign w:val="center"/>
            <w:hideMark/>
          </w:tcPr>
          <w:p w14:paraId="0D5CD818"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19.101</w:t>
            </w:r>
          </w:p>
        </w:tc>
      </w:tr>
      <w:tr w:rsidR="00E570D5" w:rsidRPr="00D0604E" w14:paraId="5FBC2D5A"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0D40BCDB" w14:textId="37C5611E"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0799D83B" w14:textId="730F949E"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34090B87" w14:textId="2F175B9B"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5A0C077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18.215</w:t>
            </w:r>
          </w:p>
        </w:tc>
        <w:tc>
          <w:tcPr>
            <w:tcW w:w="1093" w:type="dxa"/>
            <w:shd w:val="clear" w:color="auto" w:fill="auto"/>
            <w:noWrap/>
            <w:vAlign w:val="center"/>
            <w:hideMark/>
          </w:tcPr>
          <w:p w14:paraId="1A866C3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17.706</w:t>
            </w:r>
          </w:p>
        </w:tc>
        <w:tc>
          <w:tcPr>
            <w:tcW w:w="1112" w:type="dxa"/>
            <w:tcBorders>
              <w:right w:val="single" w:sz="2" w:space="0" w:color="A6A6A6" w:themeColor="background1" w:themeShade="A6"/>
            </w:tcBorders>
            <w:shd w:val="clear" w:color="auto" w:fill="auto"/>
            <w:noWrap/>
            <w:vAlign w:val="center"/>
            <w:hideMark/>
          </w:tcPr>
          <w:p w14:paraId="31F3597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18.429</w:t>
            </w:r>
          </w:p>
        </w:tc>
      </w:tr>
      <w:tr w:rsidR="00E570D5" w:rsidRPr="00D0604E" w14:paraId="335E2162"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5124D0F4" w14:textId="641F50B6"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0C70F2C4" w14:textId="2A2B8F25"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641DFFAD" w14:textId="2BFE8D60"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6DE66BB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190</w:t>
            </w:r>
          </w:p>
        </w:tc>
        <w:tc>
          <w:tcPr>
            <w:tcW w:w="1093" w:type="dxa"/>
            <w:shd w:val="clear" w:color="auto" w:fill="auto"/>
            <w:noWrap/>
            <w:vAlign w:val="center"/>
            <w:hideMark/>
          </w:tcPr>
          <w:p w14:paraId="3BBEF31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410</w:t>
            </w:r>
          </w:p>
        </w:tc>
        <w:tc>
          <w:tcPr>
            <w:tcW w:w="1112" w:type="dxa"/>
            <w:tcBorders>
              <w:right w:val="single" w:sz="2" w:space="0" w:color="A6A6A6" w:themeColor="background1" w:themeShade="A6"/>
            </w:tcBorders>
            <w:shd w:val="clear" w:color="auto" w:fill="auto"/>
            <w:noWrap/>
            <w:vAlign w:val="center"/>
            <w:hideMark/>
          </w:tcPr>
          <w:p w14:paraId="2781A33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270</w:t>
            </w:r>
          </w:p>
        </w:tc>
      </w:tr>
      <w:tr w:rsidR="00E570D5" w:rsidRPr="00D0604E" w14:paraId="750A4D30"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3D33883D" w14:textId="5A8E3E72"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7CFE6B9E" w14:textId="206840E4"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477375F9"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3381A8C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273</w:t>
            </w:r>
          </w:p>
        </w:tc>
        <w:tc>
          <w:tcPr>
            <w:tcW w:w="1093" w:type="dxa"/>
            <w:shd w:val="clear" w:color="auto" w:fill="auto"/>
            <w:noWrap/>
            <w:vAlign w:val="center"/>
            <w:hideMark/>
          </w:tcPr>
          <w:p w14:paraId="103398A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552</w:t>
            </w:r>
          </w:p>
        </w:tc>
        <w:tc>
          <w:tcPr>
            <w:tcW w:w="1112" w:type="dxa"/>
            <w:tcBorders>
              <w:right w:val="single" w:sz="2" w:space="0" w:color="A6A6A6" w:themeColor="background1" w:themeShade="A6"/>
            </w:tcBorders>
            <w:shd w:val="clear" w:color="auto" w:fill="auto"/>
            <w:noWrap/>
            <w:vAlign w:val="center"/>
            <w:hideMark/>
          </w:tcPr>
          <w:p w14:paraId="2675174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402</w:t>
            </w:r>
          </w:p>
        </w:tc>
      </w:tr>
      <w:tr w:rsidR="00E570D5" w:rsidRPr="00D0604E" w14:paraId="2F2021B5"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27402133"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16</w:t>
            </w:r>
          </w:p>
        </w:tc>
        <w:tc>
          <w:tcPr>
            <w:tcW w:w="2800" w:type="dxa"/>
            <w:shd w:val="clear" w:color="auto" w:fill="D5DCE4"/>
            <w:vAlign w:val="center"/>
            <w:hideMark/>
          </w:tcPr>
          <w:p w14:paraId="6246779E"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Κοινωνικής Συνοχής και Οικογένειας</w:t>
            </w:r>
          </w:p>
        </w:tc>
        <w:tc>
          <w:tcPr>
            <w:tcW w:w="3118" w:type="dxa"/>
            <w:shd w:val="clear" w:color="auto" w:fill="D5DCE4"/>
            <w:noWrap/>
            <w:vAlign w:val="center"/>
            <w:hideMark/>
          </w:tcPr>
          <w:p w14:paraId="4467DD49"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5FA12125"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3.990</w:t>
            </w:r>
          </w:p>
        </w:tc>
        <w:tc>
          <w:tcPr>
            <w:tcW w:w="1093" w:type="dxa"/>
            <w:shd w:val="clear" w:color="auto" w:fill="D5DCE4"/>
            <w:noWrap/>
            <w:vAlign w:val="center"/>
            <w:hideMark/>
          </w:tcPr>
          <w:p w14:paraId="43816A4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3.589</w:t>
            </w:r>
          </w:p>
        </w:tc>
        <w:tc>
          <w:tcPr>
            <w:tcW w:w="1112" w:type="dxa"/>
            <w:tcBorders>
              <w:right w:val="single" w:sz="2" w:space="0" w:color="A6A6A6" w:themeColor="background1" w:themeShade="A6"/>
            </w:tcBorders>
            <w:shd w:val="clear" w:color="auto" w:fill="D5DCE4"/>
            <w:noWrap/>
            <w:vAlign w:val="center"/>
            <w:hideMark/>
          </w:tcPr>
          <w:p w14:paraId="56D7C7FD"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3.803</w:t>
            </w:r>
          </w:p>
        </w:tc>
      </w:tr>
      <w:tr w:rsidR="00E570D5" w:rsidRPr="00D0604E" w14:paraId="77DE3770"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7EB9ECB3" w14:textId="29BD85E7"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3DBA87F6" w14:textId="7AC9C5FD"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37FEC8CD" w14:textId="6EDC184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446A318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3.787</w:t>
            </w:r>
          </w:p>
        </w:tc>
        <w:tc>
          <w:tcPr>
            <w:tcW w:w="1093" w:type="dxa"/>
            <w:shd w:val="clear" w:color="auto" w:fill="auto"/>
            <w:noWrap/>
            <w:vAlign w:val="center"/>
            <w:hideMark/>
          </w:tcPr>
          <w:p w14:paraId="38FB8FD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3.499</w:t>
            </w:r>
          </w:p>
        </w:tc>
        <w:tc>
          <w:tcPr>
            <w:tcW w:w="1112" w:type="dxa"/>
            <w:tcBorders>
              <w:right w:val="single" w:sz="2" w:space="0" w:color="A6A6A6" w:themeColor="background1" w:themeShade="A6"/>
            </w:tcBorders>
            <w:shd w:val="clear" w:color="auto" w:fill="auto"/>
            <w:noWrap/>
            <w:vAlign w:val="center"/>
            <w:hideMark/>
          </w:tcPr>
          <w:p w14:paraId="25CB007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3.570</w:t>
            </w:r>
          </w:p>
        </w:tc>
      </w:tr>
      <w:tr w:rsidR="00E570D5" w:rsidRPr="00D0604E" w14:paraId="25AA67A3"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2301ABD7" w14:textId="72C00FC4"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122A1D2B" w14:textId="66C6C6A8"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74ADA7BA" w14:textId="2AFEDE40"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450871B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103</w:t>
            </w:r>
          </w:p>
        </w:tc>
        <w:tc>
          <w:tcPr>
            <w:tcW w:w="1093" w:type="dxa"/>
            <w:shd w:val="clear" w:color="auto" w:fill="auto"/>
            <w:noWrap/>
            <w:vAlign w:val="center"/>
            <w:hideMark/>
          </w:tcPr>
          <w:p w14:paraId="70008AD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20</w:t>
            </w:r>
          </w:p>
        </w:tc>
        <w:tc>
          <w:tcPr>
            <w:tcW w:w="1112" w:type="dxa"/>
            <w:tcBorders>
              <w:right w:val="single" w:sz="2" w:space="0" w:color="A6A6A6" w:themeColor="background1" w:themeShade="A6"/>
            </w:tcBorders>
            <w:shd w:val="clear" w:color="auto" w:fill="auto"/>
            <w:noWrap/>
            <w:vAlign w:val="center"/>
            <w:hideMark/>
          </w:tcPr>
          <w:p w14:paraId="5FDC68B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133</w:t>
            </w:r>
          </w:p>
        </w:tc>
      </w:tr>
      <w:tr w:rsidR="00E570D5" w:rsidRPr="00D0604E" w14:paraId="25923E5D"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1556974F" w14:textId="5873F1C9"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35F762EE" w14:textId="4D29D241"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6E9B04E6"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4C17CD7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100</w:t>
            </w:r>
          </w:p>
        </w:tc>
        <w:tc>
          <w:tcPr>
            <w:tcW w:w="1093" w:type="dxa"/>
            <w:shd w:val="clear" w:color="auto" w:fill="auto"/>
            <w:noWrap/>
            <w:vAlign w:val="center"/>
            <w:hideMark/>
          </w:tcPr>
          <w:p w14:paraId="4832F77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70</w:t>
            </w:r>
          </w:p>
        </w:tc>
        <w:tc>
          <w:tcPr>
            <w:tcW w:w="1112" w:type="dxa"/>
            <w:tcBorders>
              <w:right w:val="single" w:sz="2" w:space="0" w:color="A6A6A6" w:themeColor="background1" w:themeShade="A6"/>
            </w:tcBorders>
            <w:shd w:val="clear" w:color="auto" w:fill="auto"/>
            <w:noWrap/>
            <w:vAlign w:val="center"/>
            <w:hideMark/>
          </w:tcPr>
          <w:p w14:paraId="664CA63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100</w:t>
            </w:r>
          </w:p>
        </w:tc>
      </w:tr>
      <w:tr w:rsidR="00E570D5" w:rsidRPr="00D0604E" w14:paraId="3DE330A4"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766F4535"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17</w:t>
            </w:r>
          </w:p>
        </w:tc>
        <w:tc>
          <w:tcPr>
            <w:tcW w:w="2800" w:type="dxa"/>
            <w:shd w:val="clear" w:color="auto" w:fill="D5DCE4"/>
            <w:vAlign w:val="center"/>
            <w:hideMark/>
          </w:tcPr>
          <w:p w14:paraId="25BEF0C6"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Ανάπτυξης</w:t>
            </w:r>
          </w:p>
        </w:tc>
        <w:tc>
          <w:tcPr>
            <w:tcW w:w="3118" w:type="dxa"/>
            <w:shd w:val="clear" w:color="auto" w:fill="D5DCE4"/>
            <w:noWrap/>
            <w:vAlign w:val="center"/>
            <w:hideMark/>
          </w:tcPr>
          <w:p w14:paraId="2927B2C6"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73021D6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818</w:t>
            </w:r>
          </w:p>
        </w:tc>
        <w:tc>
          <w:tcPr>
            <w:tcW w:w="1093" w:type="dxa"/>
            <w:shd w:val="clear" w:color="auto" w:fill="D5DCE4"/>
            <w:noWrap/>
            <w:vAlign w:val="center"/>
            <w:hideMark/>
          </w:tcPr>
          <w:p w14:paraId="332F29ED"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645</w:t>
            </w:r>
          </w:p>
        </w:tc>
        <w:tc>
          <w:tcPr>
            <w:tcW w:w="1112" w:type="dxa"/>
            <w:tcBorders>
              <w:right w:val="single" w:sz="2" w:space="0" w:color="A6A6A6" w:themeColor="background1" w:themeShade="A6"/>
            </w:tcBorders>
            <w:shd w:val="clear" w:color="auto" w:fill="D5DCE4"/>
            <w:noWrap/>
            <w:vAlign w:val="center"/>
            <w:hideMark/>
          </w:tcPr>
          <w:p w14:paraId="3368286A"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798</w:t>
            </w:r>
          </w:p>
        </w:tc>
      </w:tr>
      <w:tr w:rsidR="00E570D5" w:rsidRPr="00D0604E" w14:paraId="601198EE"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FCDDE04" w14:textId="6C5C16C1"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7CB2283" w14:textId="04DEA492"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36F7B403" w14:textId="60B0EEF0"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57C1A85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123</w:t>
            </w:r>
          </w:p>
        </w:tc>
        <w:tc>
          <w:tcPr>
            <w:tcW w:w="1093" w:type="dxa"/>
            <w:shd w:val="clear" w:color="auto" w:fill="auto"/>
            <w:noWrap/>
            <w:vAlign w:val="center"/>
            <w:hideMark/>
          </w:tcPr>
          <w:p w14:paraId="3B62DB0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130</w:t>
            </w:r>
          </w:p>
        </w:tc>
        <w:tc>
          <w:tcPr>
            <w:tcW w:w="1112" w:type="dxa"/>
            <w:tcBorders>
              <w:right w:val="single" w:sz="2" w:space="0" w:color="A6A6A6" w:themeColor="background1" w:themeShade="A6"/>
            </w:tcBorders>
            <w:shd w:val="clear" w:color="auto" w:fill="auto"/>
            <w:noWrap/>
            <w:vAlign w:val="center"/>
            <w:hideMark/>
          </w:tcPr>
          <w:p w14:paraId="5A789C5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128</w:t>
            </w:r>
          </w:p>
        </w:tc>
      </w:tr>
      <w:tr w:rsidR="00E570D5" w:rsidRPr="00D0604E" w14:paraId="4945CAD2"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1E24C392" w14:textId="2B65C881"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036F7B1B" w14:textId="23E1E047"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66D25DB9" w14:textId="0BC327C5"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2F6274C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534</w:t>
            </w:r>
          </w:p>
        </w:tc>
        <w:tc>
          <w:tcPr>
            <w:tcW w:w="1093" w:type="dxa"/>
            <w:shd w:val="clear" w:color="auto" w:fill="auto"/>
            <w:noWrap/>
            <w:vAlign w:val="center"/>
            <w:hideMark/>
          </w:tcPr>
          <w:p w14:paraId="6F269F5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400</w:t>
            </w:r>
          </w:p>
        </w:tc>
        <w:tc>
          <w:tcPr>
            <w:tcW w:w="1112" w:type="dxa"/>
            <w:tcBorders>
              <w:right w:val="single" w:sz="2" w:space="0" w:color="A6A6A6" w:themeColor="background1" w:themeShade="A6"/>
            </w:tcBorders>
            <w:shd w:val="clear" w:color="auto" w:fill="auto"/>
            <w:noWrap/>
            <w:vAlign w:val="center"/>
            <w:hideMark/>
          </w:tcPr>
          <w:p w14:paraId="37BC2E3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420</w:t>
            </w:r>
          </w:p>
        </w:tc>
      </w:tr>
      <w:tr w:rsidR="00E570D5" w:rsidRPr="00D0604E" w14:paraId="37BAD8B6"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1582C823" w14:textId="484B1E85"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5544A521" w14:textId="725F2CEB"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457FC897"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523F2E6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161</w:t>
            </w:r>
          </w:p>
        </w:tc>
        <w:tc>
          <w:tcPr>
            <w:tcW w:w="1093" w:type="dxa"/>
            <w:shd w:val="clear" w:color="auto" w:fill="auto"/>
            <w:noWrap/>
            <w:vAlign w:val="center"/>
            <w:hideMark/>
          </w:tcPr>
          <w:p w14:paraId="5CE3442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115</w:t>
            </w:r>
          </w:p>
        </w:tc>
        <w:tc>
          <w:tcPr>
            <w:tcW w:w="1112" w:type="dxa"/>
            <w:tcBorders>
              <w:right w:val="single" w:sz="2" w:space="0" w:color="A6A6A6" w:themeColor="background1" w:themeShade="A6"/>
            </w:tcBorders>
            <w:shd w:val="clear" w:color="auto" w:fill="auto"/>
            <w:noWrap/>
            <w:vAlign w:val="center"/>
            <w:hideMark/>
          </w:tcPr>
          <w:p w14:paraId="15BABB9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250</w:t>
            </w:r>
          </w:p>
        </w:tc>
      </w:tr>
      <w:tr w:rsidR="00E570D5" w:rsidRPr="00D0604E" w14:paraId="4171B8CD"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16187D96"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18</w:t>
            </w:r>
          </w:p>
        </w:tc>
        <w:tc>
          <w:tcPr>
            <w:tcW w:w="2800" w:type="dxa"/>
            <w:shd w:val="clear" w:color="auto" w:fill="D5DCE4"/>
            <w:vAlign w:val="center"/>
            <w:hideMark/>
          </w:tcPr>
          <w:p w14:paraId="44969133"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Υποδομών και Μεταφορών</w:t>
            </w:r>
          </w:p>
        </w:tc>
        <w:tc>
          <w:tcPr>
            <w:tcW w:w="3118" w:type="dxa"/>
            <w:shd w:val="clear" w:color="auto" w:fill="D5DCE4"/>
            <w:noWrap/>
            <w:vAlign w:val="center"/>
            <w:hideMark/>
          </w:tcPr>
          <w:p w14:paraId="5F4D23B9"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2D605403"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2.695</w:t>
            </w:r>
          </w:p>
        </w:tc>
        <w:tc>
          <w:tcPr>
            <w:tcW w:w="1093" w:type="dxa"/>
            <w:shd w:val="clear" w:color="auto" w:fill="D5DCE4"/>
            <w:noWrap/>
            <w:vAlign w:val="center"/>
            <w:hideMark/>
          </w:tcPr>
          <w:p w14:paraId="6383CED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3.237</w:t>
            </w:r>
          </w:p>
        </w:tc>
        <w:tc>
          <w:tcPr>
            <w:tcW w:w="1112" w:type="dxa"/>
            <w:tcBorders>
              <w:right w:val="single" w:sz="2" w:space="0" w:color="A6A6A6" w:themeColor="background1" w:themeShade="A6"/>
            </w:tcBorders>
            <w:shd w:val="clear" w:color="auto" w:fill="D5DCE4"/>
            <w:noWrap/>
            <w:vAlign w:val="center"/>
            <w:hideMark/>
          </w:tcPr>
          <w:p w14:paraId="52A28FC1"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3.392</w:t>
            </w:r>
          </w:p>
        </w:tc>
      </w:tr>
      <w:tr w:rsidR="00E570D5" w:rsidRPr="00D0604E" w14:paraId="48384B93"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2CB7A92" w14:textId="4683C30F"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132A14AC" w14:textId="40743E38"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5067D7F6" w14:textId="59F1AC60"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3AD4CB2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882</w:t>
            </w:r>
          </w:p>
        </w:tc>
        <w:tc>
          <w:tcPr>
            <w:tcW w:w="1093" w:type="dxa"/>
            <w:shd w:val="clear" w:color="auto" w:fill="auto"/>
            <w:noWrap/>
            <w:vAlign w:val="center"/>
            <w:hideMark/>
          </w:tcPr>
          <w:p w14:paraId="1082D91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1.054</w:t>
            </w:r>
          </w:p>
        </w:tc>
        <w:tc>
          <w:tcPr>
            <w:tcW w:w="1112" w:type="dxa"/>
            <w:tcBorders>
              <w:right w:val="single" w:sz="2" w:space="0" w:color="A6A6A6" w:themeColor="background1" w:themeShade="A6"/>
            </w:tcBorders>
            <w:shd w:val="clear" w:color="auto" w:fill="auto"/>
            <w:noWrap/>
            <w:vAlign w:val="center"/>
            <w:hideMark/>
          </w:tcPr>
          <w:p w14:paraId="06CED7C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1.032</w:t>
            </w:r>
          </w:p>
        </w:tc>
      </w:tr>
      <w:tr w:rsidR="00E570D5" w:rsidRPr="00D0604E" w14:paraId="4F1322FF"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32B82A48" w14:textId="4F11146A"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5E3AEADD" w14:textId="47DEF2B0"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155110E8" w14:textId="4373A402" w:rsidR="00E570D5" w:rsidRPr="00D0604E" w:rsidRDefault="00C27E11" w:rsidP="00E966FE">
            <w:pPr>
              <w:spacing w:after="0" w:line="276" w:lineRule="auto"/>
              <w:jc w:val="left"/>
              <w:rPr>
                <w:rFonts w:cs="Arial"/>
                <w:color w:val="000000"/>
                <w:sz w:val="16"/>
                <w:szCs w:val="16"/>
              </w:rPr>
            </w:pPr>
            <w:r w:rsidRPr="00C27E11">
              <w:rPr>
                <w:rFonts w:cs="Arial"/>
                <w:color w:val="000000"/>
                <w:sz w:val="16"/>
                <w:szCs w:val="16"/>
              </w:rPr>
              <w:t>Προϋπολογισμός δημοσίων επενδύσεων (πλην ΤΑΑ)</w:t>
            </w:r>
          </w:p>
        </w:tc>
        <w:tc>
          <w:tcPr>
            <w:tcW w:w="1551" w:type="dxa"/>
            <w:shd w:val="clear" w:color="auto" w:fill="auto"/>
            <w:noWrap/>
            <w:vAlign w:val="center"/>
            <w:hideMark/>
          </w:tcPr>
          <w:p w14:paraId="620247F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1.420</w:t>
            </w:r>
          </w:p>
        </w:tc>
        <w:tc>
          <w:tcPr>
            <w:tcW w:w="1093" w:type="dxa"/>
            <w:shd w:val="clear" w:color="auto" w:fill="auto"/>
            <w:noWrap/>
            <w:vAlign w:val="center"/>
            <w:hideMark/>
          </w:tcPr>
          <w:p w14:paraId="0C904EC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1.850</w:t>
            </w:r>
          </w:p>
        </w:tc>
        <w:tc>
          <w:tcPr>
            <w:tcW w:w="1112" w:type="dxa"/>
            <w:tcBorders>
              <w:right w:val="single" w:sz="2" w:space="0" w:color="A6A6A6" w:themeColor="background1" w:themeShade="A6"/>
            </w:tcBorders>
            <w:shd w:val="clear" w:color="auto" w:fill="auto"/>
            <w:noWrap/>
            <w:vAlign w:val="center"/>
            <w:hideMark/>
          </w:tcPr>
          <w:p w14:paraId="172A5BD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1.710</w:t>
            </w:r>
          </w:p>
        </w:tc>
      </w:tr>
      <w:tr w:rsidR="00E570D5" w:rsidRPr="00D0604E" w14:paraId="787FAA2A"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2C327830" w14:textId="57C9C388"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739A454" w14:textId="5D49157A"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6961EAA7"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6C73F51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393</w:t>
            </w:r>
          </w:p>
        </w:tc>
        <w:tc>
          <w:tcPr>
            <w:tcW w:w="1093" w:type="dxa"/>
            <w:shd w:val="clear" w:color="auto" w:fill="auto"/>
            <w:noWrap/>
            <w:vAlign w:val="center"/>
            <w:hideMark/>
          </w:tcPr>
          <w:p w14:paraId="378E46D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333</w:t>
            </w:r>
          </w:p>
        </w:tc>
        <w:tc>
          <w:tcPr>
            <w:tcW w:w="1112" w:type="dxa"/>
            <w:tcBorders>
              <w:right w:val="single" w:sz="2" w:space="0" w:color="A6A6A6" w:themeColor="background1" w:themeShade="A6"/>
            </w:tcBorders>
            <w:shd w:val="clear" w:color="auto" w:fill="auto"/>
            <w:noWrap/>
            <w:vAlign w:val="center"/>
            <w:hideMark/>
          </w:tcPr>
          <w:p w14:paraId="683FF3F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650</w:t>
            </w:r>
          </w:p>
        </w:tc>
      </w:tr>
      <w:tr w:rsidR="00E570D5" w:rsidRPr="00D0604E" w14:paraId="24814A39"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54B0001F"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19</w:t>
            </w:r>
          </w:p>
        </w:tc>
        <w:tc>
          <w:tcPr>
            <w:tcW w:w="2800" w:type="dxa"/>
            <w:shd w:val="clear" w:color="auto" w:fill="D5DCE4"/>
            <w:vAlign w:val="center"/>
            <w:hideMark/>
          </w:tcPr>
          <w:p w14:paraId="7F0190A1"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Ναυτιλίας και Νησιωτικής Πολιτικής</w:t>
            </w:r>
          </w:p>
        </w:tc>
        <w:tc>
          <w:tcPr>
            <w:tcW w:w="3118" w:type="dxa"/>
            <w:shd w:val="clear" w:color="auto" w:fill="D5DCE4"/>
            <w:noWrap/>
            <w:vAlign w:val="center"/>
            <w:hideMark/>
          </w:tcPr>
          <w:p w14:paraId="7A167BDA"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4B9A54B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652</w:t>
            </w:r>
          </w:p>
        </w:tc>
        <w:tc>
          <w:tcPr>
            <w:tcW w:w="1093" w:type="dxa"/>
            <w:shd w:val="clear" w:color="auto" w:fill="D5DCE4"/>
            <w:noWrap/>
            <w:vAlign w:val="center"/>
            <w:hideMark/>
          </w:tcPr>
          <w:p w14:paraId="7AB056A1"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732</w:t>
            </w:r>
          </w:p>
        </w:tc>
        <w:tc>
          <w:tcPr>
            <w:tcW w:w="1112" w:type="dxa"/>
            <w:tcBorders>
              <w:right w:val="single" w:sz="2" w:space="0" w:color="A6A6A6" w:themeColor="background1" w:themeShade="A6"/>
            </w:tcBorders>
            <w:shd w:val="clear" w:color="auto" w:fill="D5DCE4"/>
            <w:noWrap/>
            <w:vAlign w:val="center"/>
            <w:hideMark/>
          </w:tcPr>
          <w:p w14:paraId="59F8452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757</w:t>
            </w:r>
          </w:p>
        </w:tc>
      </w:tr>
      <w:tr w:rsidR="00E570D5" w:rsidRPr="00D0604E" w14:paraId="7E573449"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0F0945E0" w14:textId="34C4D80C"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71CA5BB1" w14:textId="621AAF52"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7B2C93C7" w14:textId="5DE4D3D3"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782E2A8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337</w:t>
            </w:r>
          </w:p>
        </w:tc>
        <w:tc>
          <w:tcPr>
            <w:tcW w:w="1093" w:type="dxa"/>
            <w:shd w:val="clear" w:color="auto" w:fill="auto"/>
            <w:noWrap/>
            <w:vAlign w:val="center"/>
            <w:hideMark/>
          </w:tcPr>
          <w:p w14:paraId="1E21A8C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350</w:t>
            </w:r>
          </w:p>
        </w:tc>
        <w:tc>
          <w:tcPr>
            <w:tcW w:w="1112" w:type="dxa"/>
            <w:tcBorders>
              <w:right w:val="single" w:sz="2" w:space="0" w:color="A6A6A6" w:themeColor="background1" w:themeShade="A6"/>
            </w:tcBorders>
            <w:shd w:val="clear" w:color="auto" w:fill="auto"/>
            <w:noWrap/>
            <w:vAlign w:val="center"/>
            <w:hideMark/>
          </w:tcPr>
          <w:p w14:paraId="0C539A6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368</w:t>
            </w:r>
          </w:p>
        </w:tc>
      </w:tr>
      <w:tr w:rsidR="00E570D5" w:rsidRPr="00D0604E" w14:paraId="5FB6B03F"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727DD0AC" w14:textId="04E84986"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5FBB55F0" w14:textId="7EA1167A"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30DCB0FB" w14:textId="09F954C2" w:rsidR="00E570D5" w:rsidRPr="00D0604E" w:rsidRDefault="00C27E11" w:rsidP="00E966FE">
            <w:pPr>
              <w:spacing w:after="0" w:line="276" w:lineRule="auto"/>
              <w:jc w:val="left"/>
              <w:rPr>
                <w:rFonts w:cs="Arial"/>
                <w:color w:val="000000"/>
                <w:sz w:val="16"/>
                <w:szCs w:val="16"/>
              </w:rPr>
            </w:pPr>
            <w:r w:rsidRPr="00C27E11">
              <w:rPr>
                <w:rFonts w:cs="Arial"/>
                <w:color w:val="000000"/>
                <w:sz w:val="16"/>
                <w:szCs w:val="16"/>
              </w:rPr>
              <w:t>Προϋπολογισμός δημοσίων επενδύσεων (πλην ΤΑΑ)</w:t>
            </w:r>
          </w:p>
        </w:tc>
        <w:tc>
          <w:tcPr>
            <w:tcW w:w="1551" w:type="dxa"/>
            <w:shd w:val="clear" w:color="auto" w:fill="auto"/>
            <w:noWrap/>
            <w:vAlign w:val="center"/>
            <w:hideMark/>
          </w:tcPr>
          <w:p w14:paraId="1D7E4A0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285</w:t>
            </w:r>
          </w:p>
        </w:tc>
        <w:tc>
          <w:tcPr>
            <w:tcW w:w="1093" w:type="dxa"/>
            <w:shd w:val="clear" w:color="auto" w:fill="auto"/>
            <w:noWrap/>
            <w:vAlign w:val="center"/>
            <w:hideMark/>
          </w:tcPr>
          <w:p w14:paraId="10EAB4E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347</w:t>
            </w:r>
          </w:p>
        </w:tc>
        <w:tc>
          <w:tcPr>
            <w:tcW w:w="1112" w:type="dxa"/>
            <w:tcBorders>
              <w:right w:val="single" w:sz="2" w:space="0" w:color="A6A6A6" w:themeColor="background1" w:themeShade="A6"/>
            </w:tcBorders>
            <w:shd w:val="clear" w:color="auto" w:fill="auto"/>
            <w:noWrap/>
            <w:vAlign w:val="center"/>
            <w:hideMark/>
          </w:tcPr>
          <w:p w14:paraId="172ACAE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345</w:t>
            </w:r>
          </w:p>
        </w:tc>
      </w:tr>
      <w:tr w:rsidR="00E570D5" w:rsidRPr="00D0604E" w14:paraId="07645C13"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7E9440CB" w14:textId="23424596"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188698C5" w14:textId="5E594F40"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7E9F7C21"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4769F18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30</w:t>
            </w:r>
          </w:p>
        </w:tc>
        <w:tc>
          <w:tcPr>
            <w:tcW w:w="1093" w:type="dxa"/>
            <w:shd w:val="clear" w:color="auto" w:fill="auto"/>
            <w:noWrap/>
            <w:vAlign w:val="center"/>
            <w:hideMark/>
          </w:tcPr>
          <w:p w14:paraId="4663A57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35</w:t>
            </w:r>
          </w:p>
        </w:tc>
        <w:tc>
          <w:tcPr>
            <w:tcW w:w="1112" w:type="dxa"/>
            <w:tcBorders>
              <w:right w:val="single" w:sz="2" w:space="0" w:color="A6A6A6" w:themeColor="background1" w:themeShade="A6"/>
            </w:tcBorders>
            <w:shd w:val="clear" w:color="auto" w:fill="auto"/>
            <w:noWrap/>
            <w:vAlign w:val="center"/>
            <w:hideMark/>
          </w:tcPr>
          <w:p w14:paraId="77D0269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44</w:t>
            </w:r>
          </w:p>
        </w:tc>
      </w:tr>
      <w:tr w:rsidR="00E570D5" w:rsidRPr="00D0604E" w14:paraId="1963A701"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302CFED3"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20</w:t>
            </w:r>
          </w:p>
        </w:tc>
        <w:tc>
          <w:tcPr>
            <w:tcW w:w="2800" w:type="dxa"/>
            <w:shd w:val="clear" w:color="auto" w:fill="D5DCE4"/>
            <w:vAlign w:val="center"/>
            <w:hideMark/>
          </w:tcPr>
          <w:p w14:paraId="4938A7CA"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Τουρισμού</w:t>
            </w:r>
          </w:p>
        </w:tc>
        <w:tc>
          <w:tcPr>
            <w:tcW w:w="3118" w:type="dxa"/>
            <w:shd w:val="clear" w:color="auto" w:fill="D5DCE4"/>
            <w:noWrap/>
            <w:vAlign w:val="center"/>
            <w:hideMark/>
          </w:tcPr>
          <w:p w14:paraId="1D89C0A2"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48AFCEEF"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189</w:t>
            </w:r>
          </w:p>
        </w:tc>
        <w:tc>
          <w:tcPr>
            <w:tcW w:w="1093" w:type="dxa"/>
            <w:shd w:val="clear" w:color="auto" w:fill="D5DCE4"/>
            <w:noWrap/>
            <w:vAlign w:val="center"/>
            <w:hideMark/>
          </w:tcPr>
          <w:p w14:paraId="1BA276A0"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185</w:t>
            </w:r>
          </w:p>
        </w:tc>
        <w:tc>
          <w:tcPr>
            <w:tcW w:w="1112" w:type="dxa"/>
            <w:tcBorders>
              <w:right w:val="single" w:sz="2" w:space="0" w:color="A6A6A6" w:themeColor="background1" w:themeShade="A6"/>
            </w:tcBorders>
            <w:shd w:val="clear" w:color="auto" w:fill="D5DCE4"/>
            <w:noWrap/>
            <w:vAlign w:val="center"/>
            <w:hideMark/>
          </w:tcPr>
          <w:p w14:paraId="42AD9CC2"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238</w:t>
            </w:r>
          </w:p>
        </w:tc>
      </w:tr>
      <w:tr w:rsidR="00E570D5" w:rsidRPr="00D0604E" w14:paraId="4654DC31"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1F0A93C1" w14:textId="2D7C1B13"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73D3040A" w14:textId="6A572D92"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014EE4EE" w14:textId="29D872D3"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4AB1242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39</w:t>
            </w:r>
          </w:p>
        </w:tc>
        <w:tc>
          <w:tcPr>
            <w:tcW w:w="1093" w:type="dxa"/>
            <w:shd w:val="clear" w:color="auto" w:fill="auto"/>
            <w:noWrap/>
            <w:vAlign w:val="center"/>
            <w:hideMark/>
          </w:tcPr>
          <w:p w14:paraId="08C4ADA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38</w:t>
            </w:r>
          </w:p>
        </w:tc>
        <w:tc>
          <w:tcPr>
            <w:tcW w:w="1112" w:type="dxa"/>
            <w:tcBorders>
              <w:right w:val="single" w:sz="2" w:space="0" w:color="A6A6A6" w:themeColor="background1" w:themeShade="A6"/>
            </w:tcBorders>
            <w:shd w:val="clear" w:color="auto" w:fill="auto"/>
            <w:noWrap/>
            <w:vAlign w:val="center"/>
            <w:hideMark/>
          </w:tcPr>
          <w:p w14:paraId="7C46E1E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41</w:t>
            </w:r>
          </w:p>
        </w:tc>
      </w:tr>
      <w:tr w:rsidR="00E570D5" w:rsidRPr="00D0604E" w14:paraId="49360492"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0902116" w14:textId="3B33FB0A"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7452284C" w14:textId="0D276400"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0EE0ED9D" w14:textId="7D4C1D33"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6608593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41</w:t>
            </w:r>
          </w:p>
        </w:tc>
        <w:tc>
          <w:tcPr>
            <w:tcW w:w="1093" w:type="dxa"/>
            <w:shd w:val="clear" w:color="auto" w:fill="auto"/>
            <w:noWrap/>
            <w:vAlign w:val="center"/>
            <w:hideMark/>
          </w:tcPr>
          <w:p w14:paraId="6953106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38</w:t>
            </w:r>
          </w:p>
        </w:tc>
        <w:tc>
          <w:tcPr>
            <w:tcW w:w="1112" w:type="dxa"/>
            <w:tcBorders>
              <w:right w:val="single" w:sz="2" w:space="0" w:color="A6A6A6" w:themeColor="background1" w:themeShade="A6"/>
            </w:tcBorders>
            <w:shd w:val="clear" w:color="auto" w:fill="auto"/>
            <w:noWrap/>
            <w:vAlign w:val="center"/>
            <w:hideMark/>
          </w:tcPr>
          <w:p w14:paraId="32AA456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37</w:t>
            </w:r>
          </w:p>
        </w:tc>
      </w:tr>
      <w:tr w:rsidR="00E570D5" w:rsidRPr="00D0604E" w14:paraId="7EA5A13C"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385A21B1" w14:textId="2F90D3D0"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74CB562B" w14:textId="54327A76"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37B5ABC7"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4F8BCA6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109</w:t>
            </w:r>
          </w:p>
        </w:tc>
        <w:tc>
          <w:tcPr>
            <w:tcW w:w="1093" w:type="dxa"/>
            <w:shd w:val="clear" w:color="auto" w:fill="auto"/>
            <w:noWrap/>
            <w:vAlign w:val="center"/>
            <w:hideMark/>
          </w:tcPr>
          <w:p w14:paraId="40DFEA5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109</w:t>
            </w:r>
          </w:p>
        </w:tc>
        <w:tc>
          <w:tcPr>
            <w:tcW w:w="1112" w:type="dxa"/>
            <w:tcBorders>
              <w:right w:val="single" w:sz="2" w:space="0" w:color="A6A6A6" w:themeColor="background1" w:themeShade="A6"/>
            </w:tcBorders>
            <w:shd w:val="clear" w:color="auto" w:fill="auto"/>
            <w:noWrap/>
            <w:vAlign w:val="center"/>
            <w:hideMark/>
          </w:tcPr>
          <w:p w14:paraId="692D01A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160</w:t>
            </w:r>
          </w:p>
        </w:tc>
      </w:tr>
      <w:tr w:rsidR="00E570D5" w:rsidRPr="00D0604E" w14:paraId="595FAAA0"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332769C4"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21</w:t>
            </w:r>
          </w:p>
        </w:tc>
        <w:tc>
          <w:tcPr>
            <w:tcW w:w="2800" w:type="dxa"/>
            <w:shd w:val="clear" w:color="auto" w:fill="D5DCE4"/>
            <w:vAlign w:val="center"/>
            <w:hideMark/>
          </w:tcPr>
          <w:p w14:paraId="0A115E7F"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Ψηφιακής Διακυβέρνησης</w:t>
            </w:r>
          </w:p>
        </w:tc>
        <w:tc>
          <w:tcPr>
            <w:tcW w:w="3118" w:type="dxa"/>
            <w:shd w:val="clear" w:color="auto" w:fill="D5DCE4"/>
            <w:noWrap/>
            <w:vAlign w:val="center"/>
            <w:hideMark/>
          </w:tcPr>
          <w:p w14:paraId="5762DCE4"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06C0FDD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1.074</w:t>
            </w:r>
          </w:p>
        </w:tc>
        <w:tc>
          <w:tcPr>
            <w:tcW w:w="1093" w:type="dxa"/>
            <w:shd w:val="clear" w:color="auto" w:fill="D5DCE4"/>
            <w:noWrap/>
            <w:vAlign w:val="center"/>
            <w:hideMark/>
          </w:tcPr>
          <w:p w14:paraId="34D78B08"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1.128</w:t>
            </w:r>
          </w:p>
        </w:tc>
        <w:tc>
          <w:tcPr>
            <w:tcW w:w="1112" w:type="dxa"/>
            <w:tcBorders>
              <w:right w:val="single" w:sz="2" w:space="0" w:color="A6A6A6" w:themeColor="background1" w:themeShade="A6"/>
            </w:tcBorders>
            <w:shd w:val="clear" w:color="auto" w:fill="D5DCE4"/>
            <w:noWrap/>
            <w:vAlign w:val="center"/>
            <w:hideMark/>
          </w:tcPr>
          <w:p w14:paraId="4BFD8EE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1.391</w:t>
            </w:r>
          </w:p>
        </w:tc>
      </w:tr>
      <w:tr w:rsidR="00E570D5" w:rsidRPr="00D0604E" w14:paraId="5F7FFB59"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621A83F" w14:textId="69F2EEB5"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144056DA" w14:textId="5C5CAA02"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03509422" w14:textId="49160EBD"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454F92E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152</w:t>
            </w:r>
          </w:p>
        </w:tc>
        <w:tc>
          <w:tcPr>
            <w:tcW w:w="1093" w:type="dxa"/>
            <w:shd w:val="clear" w:color="auto" w:fill="auto"/>
            <w:noWrap/>
            <w:vAlign w:val="center"/>
            <w:hideMark/>
          </w:tcPr>
          <w:p w14:paraId="18C3646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194</w:t>
            </w:r>
          </w:p>
        </w:tc>
        <w:tc>
          <w:tcPr>
            <w:tcW w:w="1112" w:type="dxa"/>
            <w:tcBorders>
              <w:right w:val="single" w:sz="2" w:space="0" w:color="A6A6A6" w:themeColor="background1" w:themeShade="A6"/>
            </w:tcBorders>
            <w:shd w:val="clear" w:color="auto" w:fill="auto"/>
            <w:noWrap/>
            <w:vAlign w:val="center"/>
            <w:hideMark/>
          </w:tcPr>
          <w:p w14:paraId="1AEF0AD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154</w:t>
            </w:r>
          </w:p>
        </w:tc>
      </w:tr>
      <w:tr w:rsidR="00E570D5" w:rsidRPr="00D0604E" w14:paraId="404C59FA"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BDA8157" w14:textId="06FD1EC2"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18A0B1B0" w14:textId="27BC89BF"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67CD6090" w14:textId="23FC5762"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4CFE53E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170</w:t>
            </w:r>
          </w:p>
        </w:tc>
        <w:tc>
          <w:tcPr>
            <w:tcW w:w="1093" w:type="dxa"/>
            <w:shd w:val="clear" w:color="auto" w:fill="auto"/>
            <w:noWrap/>
            <w:vAlign w:val="center"/>
            <w:hideMark/>
          </w:tcPr>
          <w:p w14:paraId="53E655E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174</w:t>
            </w:r>
          </w:p>
        </w:tc>
        <w:tc>
          <w:tcPr>
            <w:tcW w:w="1112" w:type="dxa"/>
            <w:tcBorders>
              <w:right w:val="single" w:sz="2" w:space="0" w:color="A6A6A6" w:themeColor="background1" w:themeShade="A6"/>
            </w:tcBorders>
            <w:shd w:val="clear" w:color="auto" w:fill="auto"/>
            <w:noWrap/>
            <w:vAlign w:val="center"/>
            <w:hideMark/>
          </w:tcPr>
          <w:p w14:paraId="46798E1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237</w:t>
            </w:r>
          </w:p>
        </w:tc>
      </w:tr>
      <w:tr w:rsidR="00E570D5" w:rsidRPr="00D0604E" w14:paraId="67BA234E" w14:textId="77777777" w:rsidTr="00E966FE">
        <w:trPr>
          <w:cantSplit/>
          <w:trHeight w:val="227"/>
          <w:jc w:val="center"/>
        </w:trPr>
        <w:tc>
          <w:tcPr>
            <w:tcW w:w="458" w:type="dxa"/>
            <w:tcBorders>
              <w:left w:val="single" w:sz="2" w:space="0" w:color="A6A6A6" w:themeColor="background1" w:themeShade="A6"/>
              <w:bottom w:val="single" w:sz="4" w:space="0" w:color="A6A6A6" w:themeColor="background1" w:themeShade="A6"/>
            </w:tcBorders>
            <w:shd w:val="clear" w:color="auto" w:fill="auto"/>
            <w:vAlign w:val="center"/>
          </w:tcPr>
          <w:p w14:paraId="4C2494F3" w14:textId="6D5B8055" w:rsidR="00E570D5" w:rsidRPr="00D0604E" w:rsidRDefault="00E570D5" w:rsidP="00D36DDE">
            <w:pPr>
              <w:spacing w:after="0" w:line="276" w:lineRule="auto"/>
              <w:jc w:val="center"/>
              <w:rPr>
                <w:rFonts w:cs="Arial"/>
                <w:color w:val="000000"/>
                <w:sz w:val="16"/>
                <w:szCs w:val="16"/>
              </w:rPr>
            </w:pPr>
          </w:p>
        </w:tc>
        <w:tc>
          <w:tcPr>
            <w:tcW w:w="2800" w:type="dxa"/>
            <w:tcBorders>
              <w:bottom w:val="single" w:sz="4" w:space="0" w:color="A6A6A6" w:themeColor="background1" w:themeShade="A6"/>
            </w:tcBorders>
            <w:shd w:val="clear" w:color="auto" w:fill="auto"/>
            <w:vAlign w:val="center"/>
          </w:tcPr>
          <w:p w14:paraId="327312E8" w14:textId="3791BF0F" w:rsidR="00E570D5" w:rsidRPr="00D0604E" w:rsidRDefault="00E570D5" w:rsidP="00E966FE">
            <w:pPr>
              <w:spacing w:after="0" w:line="276" w:lineRule="auto"/>
              <w:jc w:val="left"/>
              <w:rPr>
                <w:rFonts w:cs="Arial"/>
                <w:color w:val="000000"/>
                <w:sz w:val="16"/>
                <w:szCs w:val="16"/>
              </w:rPr>
            </w:pPr>
          </w:p>
        </w:tc>
        <w:tc>
          <w:tcPr>
            <w:tcW w:w="3118" w:type="dxa"/>
            <w:tcBorders>
              <w:bottom w:val="single" w:sz="4" w:space="0" w:color="A6A6A6" w:themeColor="background1" w:themeShade="A6"/>
            </w:tcBorders>
            <w:shd w:val="clear" w:color="auto" w:fill="auto"/>
            <w:noWrap/>
            <w:vAlign w:val="center"/>
            <w:hideMark/>
          </w:tcPr>
          <w:p w14:paraId="03A925F4"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tcBorders>
              <w:bottom w:val="single" w:sz="4" w:space="0" w:color="A6A6A6" w:themeColor="background1" w:themeShade="A6"/>
            </w:tcBorders>
            <w:shd w:val="clear" w:color="auto" w:fill="auto"/>
            <w:noWrap/>
            <w:vAlign w:val="center"/>
            <w:hideMark/>
          </w:tcPr>
          <w:p w14:paraId="0B21A2B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752</w:t>
            </w:r>
          </w:p>
        </w:tc>
        <w:tc>
          <w:tcPr>
            <w:tcW w:w="1093" w:type="dxa"/>
            <w:tcBorders>
              <w:bottom w:val="single" w:sz="4" w:space="0" w:color="A6A6A6" w:themeColor="background1" w:themeShade="A6"/>
            </w:tcBorders>
            <w:shd w:val="clear" w:color="auto" w:fill="auto"/>
            <w:noWrap/>
            <w:vAlign w:val="center"/>
            <w:hideMark/>
          </w:tcPr>
          <w:p w14:paraId="246AF16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760</w:t>
            </w:r>
          </w:p>
        </w:tc>
        <w:tc>
          <w:tcPr>
            <w:tcW w:w="1112" w:type="dxa"/>
            <w:tcBorders>
              <w:bottom w:val="single" w:sz="4" w:space="0" w:color="A6A6A6" w:themeColor="background1" w:themeShade="A6"/>
              <w:right w:val="single" w:sz="2" w:space="0" w:color="A6A6A6" w:themeColor="background1" w:themeShade="A6"/>
            </w:tcBorders>
            <w:shd w:val="clear" w:color="auto" w:fill="auto"/>
            <w:noWrap/>
            <w:vAlign w:val="center"/>
            <w:hideMark/>
          </w:tcPr>
          <w:p w14:paraId="35BB265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1.000</w:t>
            </w:r>
          </w:p>
        </w:tc>
      </w:tr>
      <w:tr w:rsidR="00E570D5" w:rsidRPr="00D0604E" w14:paraId="3CDA86A2" w14:textId="77777777" w:rsidTr="00E966FE">
        <w:trPr>
          <w:cantSplit/>
          <w:trHeight w:val="227"/>
          <w:jc w:val="center"/>
        </w:trPr>
        <w:tc>
          <w:tcPr>
            <w:tcW w:w="458" w:type="dxa"/>
            <w:tcBorders>
              <w:top w:val="single" w:sz="4" w:space="0" w:color="A6A6A6" w:themeColor="background1" w:themeShade="A6"/>
              <w:left w:val="single" w:sz="2" w:space="0" w:color="A6A6A6" w:themeColor="background1" w:themeShade="A6"/>
            </w:tcBorders>
            <w:shd w:val="clear" w:color="auto" w:fill="D5DCE4"/>
            <w:vAlign w:val="center"/>
            <w:hideMark/>
          </w:tcPr>
          <w:p w14:paraId="6AE9496A"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lastRenderedPageBreak/>
              <w:t>22</w:t>
            </w:r>
          </w:p>
        </w:tc>
        <w:tc>
          <w:tcPr>
            <w:tcW w:w="2800" w:type="dxa"/>
            <w:tcBorders>
              <w:top w:val="single" w:sz="4" w:space="0" w:color="A6A6A6" w:themeColor="background1" w:themeShade="A6"/>
            </w:tcBorders>
            <w:shd w:val="clear" w:color="auto" w:fill="D5DCE4"/>
            <w:vAlign w:val="center"/>
            <w:hideMark/>
          </w:tcPr>
          <w:p w14:paraId="030176F9" w14:textId="77777777" w:rsidR="00556692"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Μετανάστευσης</w:t>
            </w:r>
          </w:p>
          <w:p w14:paraId="12B25ECC" w14:textId="6A2E084E"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και Άσυλου</w:t>
            </w:r>
          </w:p>
        </w:tc>
        <w:tc>
          <w:tcPr>
            <w:tcW w:w="3118" w:type="dxa"/>
            <w:tcBorders>
              <w:top w:val="single" w:sz="4" w:space="0" w:color="A6A6A6" w:themeColor="background1" w:themeShade="A6"/>
            </w:tcBorders>
            <w:shd w:val="clear" w:color="auto" w:fill="D5DCE4"/>
            <w:noWrap/>
            <w:vAlign w:val="center"/>
            <w:hideMark/>
          </w:tcPr>
          <w:p w14:paraId="5FEB722D"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tcBorders>
              <w:top w:val="single" w:sz="4" w:space="0" w:color="A6A6A6" w:themeColor="background1" w:themeShade="A6"/>
            </w:tcBorders>
            <w:shd w:val="clear" w:color="auto" w:fill="D5DCE4"/>
            <w:noWrap/>
            <w:vAlign w:val="center"/>
            <w:hideMark/>
          </w:tcPr>
          <w:p w14:paraId="66881FC8"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476</w:t>
            </w:r>
          </w:p>
        </w:tc>
        <w:tc>
          <w:tcPr>
            <w:tcW w:w="1093" w:type="dxa"/>
            <w:tcBorders>
              <w:top w:val="single" w:sz="4" w:space="0" w:color="A6A6A6" w:themeColor="background1" w:themeShade="A6"/>
            </w:tcBorders>
            <w:shd w:val="clear" w:color="auto" w:fill="D5DCE4"/>
            <w:noWrap/>
            <w:vAlign w:val="center"/>
            <w:hideMark/>
          </w:tcPr>
          <w:p w14:paraId="0F382A0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491</w:t>
            </w:r>
          </w:p>
        </w:tc>
        <w:tc>
          <w:tcPr>
            <w:tcW w:w="1112" w:type="dxa"/>
            <w:tcBorders>
              <w:top w:val="single" w:sz="4" w:space="0" w:color="A6A6A6" w:themeColor="background1" w:themeShade="A6"/>
              <w:right w:val="single" w:sz="2" w:space="0" w:color="A6A6A6" w:themeColor="background1" w:themeShade="A6"/>
            </w:tcBorders>
            <w:shd w:val="clear" w:color="auto" w:fill="D5DCE4"/>
            <w:noWrap/>
            <w:vAlign w:val="center"/>
            <w:hideMark/>
          </w:tcPr>
          <w:p w14:paraId="78B1175F"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536</w:t>
            </w:r>
          </w:p>
        </w:tc>
      </w:tr>
      <w:tr w:rsidR="00E570D5" w:rsidRPr="00D0604E" w14:paraId="184ED61B"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266BB6B7" w14:textId="227CEBE0"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0D4D575C" w14:textId="4FEF181D"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6B1D25D5" w14:textId="329FF609"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58414C2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142</w:t>
            </w:r>
          </w:p>
        </w:tc>
        <w:tc>
          <w:tcPr>
            <w:tcW w:w="1093" w:type="dxa"/>
            <w:shd w:val="clear" w:color="auto" w:fill="auto"/>
            <w:noWrap/>
            <w:vAlign w:val="center"/>
            <w:hideMark/>
          </w:tcPr>
          <w:p w14:paraId="5C140E1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149</w:t>
            </w:r>
          </w:p>
        </w:tc>
        <w:tc>
          <w:tcPr>
            <w:tcW w:w="1112" w:type="dxa"/>
            <w:tcBorders>
              <w:right w:val="single" w:sz="2" w:space="0" w:color="A6A6A6" w:themeColor="background1" w:themeShade="A6"/>
            </w:tcBorders>
            <w:shd w:val="clear" w:color="auto" w:fill="auto"/>
            <w:noWrap/>
            <w:vAlign w:val="center"/>
            <w:hideMark/>
          </w:tcPr>
          <w:p w14:paraId="086EA8D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156</w:t>
            </w:r>
          </w:p>
        </w:tc>
      </w:tr>
      <w:tr w:rsidR="00E570D5" w:rsidRPr="00D0604E" w14:paraId="7B24F87E"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23789989" w14:textId="7E11B80F"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64A6DA6F" w14:textId="2D71B3F6"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7016C0F8" w14:textId="6AED5E9A"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33F5D27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306</w:t>
            </w:r>
          </w:p>
        </w:tc>
        <w:tc>
          <w:tcPr>
            <w:tcW w:w="1093" w:type="dxa"/>
            <w:shd w:val="clear" w:color="auto" w:fill="auto"/>
            <w:noWrap/>
            <w:vAlign w:val="center"/>
            <w:hideMark/>
          </w:tcPr>
          <w:p w14:paraId="7898207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309</w:t>
            </w:r>
          </w:p>
        </w:tc>
        <w:tc>
          <w:tcPr>
            <w:tcW w:w="1112" w:type="dxa"/>
            <w:tcBorders>
              <w:right w:val="single" w:sz="2" w:space="0" w:color="A6A6A6" w:themeColor="background1" w:themeShade="A6"/>
            </w:tcBorders>
            <w:shd w:val="clear" w:color="auto" w:fill="auto"/>
            <w:noWrap/>
            <w:vAlign w:val="center"/>
            <w:hideMark/>
          </w:tcPr>
          <w:p w14:paraId="7F22F52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353</w:t>
            </w:r>
          </w:p>
        </w:tc>
      </w:tr>
      <w:tr w:rsidR="00E570D5" w:rsidRPr="00D0604E" w14:paraId="4094D30E"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545DF3AE" w14:textId="0B2D1A75"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335A486E" w14:textId="08CF1389"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29998538"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0198865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28</w:t>
            </w:r>
          </w:p>
        </w:tc>
        <w:tc>
          <w:tcPr>
            <w:tcW w:w="1093" w:type="dxa"/>
            <w:shd w:val="clear" w:color="auto" w:fill="auto"/>
            <w:noWrap/>
            <w:vAlign w:val="center"/>
            <w:hideMark/>
          </w:tcPr>
          <w:p w14:paraId="53669F0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33</w:t>
            </w:r>
          </w:p>
        </w:tc>
        <w:tc>
          <w:tcPr>
            <w:tcW w:w="1112" w:type="dxa"/>
            <w:tcBorders>
              <w:right w:val="single" w:sz="2" w:space="0" w:color="A6A6A6" w:themeColor="background1" w:themeShade="A6"/>
            </w:tcBorders>
            <w:shd w:val="clear" w:color="auto" w:fill="auto"/>
            <w:noWrap/>
            <w:vAlign w:val="center"/>
            <w:hideMark/>
          </w:tcPr>
          <w:p w14:paraId="22EEDCA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27</w:t>
            </w:r>
          </w:p>
        </w:tc>
      </w:tr>
      <w:tr w:rsidR="00E570D5" w:rsidRPr="00D0604E" w14:paraId="3BBAF4A0"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2871A3BE"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23</w:t>
            </w:r>
          </w:p>
        </w:tc>
        <w:tc>
          <w:tcPr>
            <w:tcW w:w="2800" w:type="dxa"/>
            <w:shd w:val="clear" w:color="auto" w:fill="D5DCE4"/>
            <w:vAlign w:val="center"/>
            <w:hideMark/>
          </w:tcPr>
          <w:p w14:paraId="2AA379D4"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Προστασίας του Πολίτη</w:t>
            </w:r>
          </w:p>
        </w:tc>
        <w:tc>
          <w:tcPr>
            <w:tcW w:w="3118" w:type="dxa"/>
            <w:shd w:val="clear" w:color="auto" w:fill="D5DCE4"/>
            <w:noWrap/>
            <w:vAlign w:val="center"/>
            <w:hideMark/>
          </w:tcPr>
          <w:p w14:paraId="5C8590A2"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0B0A6FC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2.286</w:t>
            </w:r>
          </w:p>
        </w:tc>
        <w:tc>
          <w:tcPr>
            <w:tcW w:w="1093" w:type="dxa"/>
            <w:shd w:val="clear" w:color="auto" w:fill="D5DCE4"/>
            <w:noWrap/>
            <w:vAlign w:val="center"/>
            <w:hideMark/>
          </w:tcPr>
          <w:p w14:paraId="2A6F898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2.409</w:t>
            </w:r>
          </w:p>
        </w:tc>
        <w:tc>
          <w:tcPr>
            <w:tcW w:w="1112" w:type="dxa"/>
            <w:tcBorders>
              <w:right w:val="single" w:sz="2" w:space="0" w:color="A6A6A6" w:themeColor="background1" w:themeShade="A6"/>
            </w:tcBorders>
            <w:shd w:val="clear" w:color="auto" w:fill="D5DCE4"/>
            <w:noWrap/>
            <w:vAlign w:val="center"/>
            <w:hideMark/>
          </w:tcPr>
          <w:p w14:paraId="13FBBE2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2.603</w:t>
            </w:r>
          </w:p>
        </w:tc>
      </w:tr>
      <w:tr w:rsidR="00E570D5" w:rsidRPr="00D0604E" w14:paraId="66935A5C"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0E476DC7" w14:textId="77A63D0C"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654B21FD" w14:textId="6551368A"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0E63D7AE" w14:textId="6A724E54"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2755EFD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2.218</w:t>
            </w:r>
          </w:p>
        </w:tc>
        <w:tc>
          <w:tcPr>
            <w:tcW w:w="1093" w:type="dxa"/>
            <w:shd w:val="clear" w:color="auto" w:fill="auto"/>
            <w:noWrap/>
            <w:vAlign w:val="center"/>
            <w:hideMark/>
          </w:tcPr>
          <w:p w14:paraId="26DF362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2.342</w:t>
            </w:r>
          </w:p>
        </w:tc>
        <w:tc>
          <w:tcPr>
            <w:tcW w:w="1112" w:type="dxa"/>
            <w:tcBorders>
              <w:right w:val="single" w:sz="2" w:space="0" w:color="A6A6A6" w:themeColor="background1" w:themeShade="A6"/>
            </w:tcBorders>
            <w:shd w:val="clear" w:color="auto" w:fill="auto"/>
            <w:noWrap/>
            <w:vAlign w:val="center"/>
            <w:hideMark/>
          </w:tcPr>
          <w:p w14:paraId="5C2DDD6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2.513</w:t>
            </w:r>
          </w:p>
        </w:tc>
      </w:tr>
      <w:tr w:rsidR="00E570D5" w:rsidRPr="00D0604E" w14:paraId="457FA22F"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3DFE6020" w14:textId="4FCF98DA"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62BA8A42" w14:textId="3F80EB4C"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2956EFA1" w14:textId="6AD8F26D"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0733AB5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68</w:t>
            </w:r>
          </w:p>
        </w:tc>
        <w:tc>
          <w:tcPr>
            <w:tcW w:w="1093" w:type="dxa"/>
            <w:shd w:val="clear" w:color="auto" w:fill="auto"/>
            <w:noWrap/>
            <w:vAlign w:val="center"/>
            <w:hideMark/>
          </w:tcPr>
          <w:p w14:paraId="643FDBE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67</w:t>
            </w:r>
          </w:p>
        </w:tc>
        <w:tc>
          <w:tcPr>
            <w:tcW w:w="1112" w:type="dxa"/>
            <w:tcBorders>
              <w:right w:val="single" w:sz="2" w:space="0" w:color="A6A6A6" w:themeColor="background1" w:themeShade="A6"/>
            </w:tcBorders>
            <w:shd w:val="clear" w:color="auto" w:fill="auto"/>
            <w:noWrap/>
            <w:vAlign w:val="center"/>
            <w:hideMark/>
          </w:tcPr>
          <w:p w14:paraId="00E3FD7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90</w:t>
            </w:r>
          </w:p>
        </w:tc>
      </w:tr>
      <w:tr w:rsidR="00E570D5" w:rsidRPr="00D0604E" w14:paraId="32B76243"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C7DCAC1" w14:textId="11F06F6B"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10D81FB7" w14:textId="6A27BFA8"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4E455B8A"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55D58F7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7CEE2D0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58438E4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6D657A46"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40417DF4"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24</w:t>
            </w:r>
          </w:p>
        </w:tc>
        <w:tc>
          <w:tcPr>
            <w:tcW w:w="2800" w:type="dxa"/>
            <w:shd w:val="clear" w:color="auto" w:fill="D5DCE4"/>
            <w:vAlign w:val="center"/>
            <w:hideMark/>
          </w:tcPr>
          <w:p w14:paraId="2B89DCC6"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Υπουργείο Κλιματικής Κρίσης και Πολιτικής Προστασίας</w:t>
            </w:r>
          </w:p>
        </w:tc>
        <w:tc>
          <w:tcPr>
            <w:tcW w:w="3118" w:type="dxa"/>
            <w:shd w:val="clear" w:color="auto" w:fill="D5DCE4"/>
            <w:noWrap/>
            <w:vAlign w:val="center"/>
            <w:hideMark/>
          </w:tcPr>
          <w:p w14:paraId="62E75751"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600DB1E3"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1.221</w:t>
            </w:r>
          </w:p>
        </w:tc>
        <w:tc>
          <w:tcPr>
            <w:tcW w:w="1093" w:type="dxa"/>
            <w:shd w:val="clear" w:color="auto" w:fill="D5DCE4"/>
            <w:noWrap/>
            <w:vAlign w:val="center"/>
            <w:hideMark/>
          </w:tcPr>
          <w:p w14:paraId="086E4E26"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1.149</w:t>
            </w:r>
          </w:p>
        </w:tc>
        <w:tc>
          <w:tcPr>
            <w:tcW w:w="1112" w:type="dxa"/>
            <w:tcBorders>
              <w:right w:val="single" w:sz="2" w:space="0" w:color="A6A6A6" w:themeColor="background1" w:themeShade="A6"/>
            </w:tcBorders>
            <w:shd w:val="clear" w:color="auto" w:fill="D5DCE4"/>
            <w:noWrap/>
            <w:vAlign w:val="center"/>
            <w:hideMark/>
          </w:tcPr>
          <w:p w14:paraId="0AB8C4E0"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1.438</w:t>
            </w:r>
          </w:p>
        </w:tc>
      </w:tr>
      <w:tr w:rsidR="00E570D5" w:rsidRPr="00D0604E" w14:paraId="551E75BC"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6910B268" w14:textId="1A72060B"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40993E09" w14:textId="7BDAF83C"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51EDBB95" w14:textId="661082EA"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2842149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760</w:t>
            </w:r>
          </w:p>
        </w:tc>
        <w:tc>
          <w:tcPr>
            <w:tcW w:w="1093" w:type="dxa"/>
            <w:shd w:val="clear" w:color="auto" w:fill="auto"/>
            <w:noWrap/>
            <w:vAlign w:val="center"/>
            <w:hideMark/>
          </w:tcPr>
          <w:p w14:paraId="0A1C364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836</w:t>
            </w:r>
          </w:p>
        </w:tc>
        <w:tc>
          <w:tcPr>
            <w:tcW w:w="1112" w:type="dxa"/>
            <w:tcBorders>
              <w:right w:val="single" w:sz="2" w:space="0" w:color="A6A6A6" w:themeColor="background1" w:themeShade="A6"/>
            </w:tcBorders>
            <w:shd w:val="clear" w:color="auto" w:fill="auto"/>
            <w:noWrap/>
            <w:vAlign w:val="center"/>
            <w:hideMark/>
          </w:tcPr>
          <w:p w14:paraId="775A0FD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856</w:t>
            </w:r>
          </w:p>
        </w:tc>
      </w:tr>
      <w:tr w:rsidR="00E570D5" w:rsidRPr="00D0604E" w14:paraId="760C83CF"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0C9783D8" w14:textId="7D1577E7"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BA9A114" w14:textId="235E8B5F"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25954B2B" w14:textId="16E5F55B"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6B716E5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260</w:t>
            </w:r>
          </w:p>
        </w:tc>
        <w:tc>
          <w:tcPr>
            <w:tcW w:w="1093" w:type="dxa"/>
            <w:shd w:val="clear" w:color="auto" w:fill="auto"/>
            <w:noWrap/>
            <w:vAlign w:val="center"/>
            <w:hideMark/>
          </w:tcPr>
          <w:p w14:paraId="79A3B30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222</w:t>
            </w:r>
          </w:p>
        </w:tc>
        <w:tc>
          <w:tcPr>
            <w:tcW w:w="1112" w:type="dxa"/>
            <w:tcBorders>
              <w:right w:val="single" w:sz="2" w:space="0" w:color="A6A6A6" w:themeColor="background1" w:themeShade="A6"/>
            </w:tcBorders>
            <w:shd w:val="clear" w:color="auto" w:fill="auto"/>
            <w:noWrap/>
            <w:vAlign w:val="center"/>
            <w:hideMark/>
          </w:tcPr>
          <w:p w14:paraId="1818449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292</w:t>
            </w:r>
          </w:p>
        </w:tc>
      </w:tr>
      <w:tr w:rsidR="00E570D5" w:rsidRPr="00D0604E" w14:paraId="4CB4CE77"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5929A16C" w14:textId="6117B395"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D228494" w14:textId="3BA5C231"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2044DB2A"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0C9892F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201</w:t>
            </w:r>
          </w:p>
        </w:tc>
        <w:tc>
          <w:tcPr>
            <w:tcW w:w="1093" w:type="dxa"/>
            <w:shd w:val="clear" w:color="auto" w:fill="auto"/>
            <w:noWrap/>
            <w:vAlign w:val="center"/>
            <w:hideMark/>
          </w:tcPr>
          <w:p w14:paraId="544B6DE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91</w:t>
            </w:r>
          </w:p>
        </w:tc>
        <w:tc>
          <w:tcPr>
            <w:tcW w:w="1112" w:type="dxa"/>
            <w:tcBorders>
              <w:right w:val="single" w:sz="2" w:space="0" w:color="A6A6A6" w:themeColor="background1" w:themeShade="A6"/>
            </w:tcBorders>
            <w:shd w:val="clear" w:color="auto" w:fill="auto"/>
            <w:noWrap/>
            <w:vAlign w:val="center"/>
            <w:hideMark/>
          </w:tcPr>
          <w:p w14:paraId="6CC495D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290</w:t>
            </w:r>
          </w:p>
        </w:tc>
      </w:tr>
      <w:tr w:rsidR="00E570D5" w:rsidRPr="00D0604E" w14:paraId="12DF07E4"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4F618D29"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25</w:t>
            </w:r>
          </w:p>
        </w:tc>
        <w:tc>
          <w:tcPr>
            <w:tcW w:w="2800" w:type="dxa"/>
            <w:shd w:val="clear" w:color="auto" w:fill="D5DCE4"/>
            <w:vAlign w:val="center"/>
            <w:hideMark/>
          </w:tcPr>
          <w:p w14:paraId="6C71473E"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Αποκεντρωμένη Διοίκηση Αττικής</w:t>
            </w:r>
          </w:p>
        </w:tc>
        <w:tc>
          <w:tcPr>
            <w:tcW w:w="3118" w:type="dxa"/>
            <w:shd w:val="clear" w:color="auto" w:fill="D5DCE4"/>
            <w:noWrap/>
            <w:vAlign w:val="center"/>
            <w:hideMark/>
          </w:tcPr>
          <w:p w14:paraId="50C6FE33"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7D12BAE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13</w:t>
            </w:r>
          </w:p>
        </w:tc>
        <w:tc>
          <w:tcPr>
            <w:tcW w:w="1093" w:type="dxa"/>
            <w:shd w:val="clear" w:color="auto" w:fill="D5DCE4"/>
            <w:noWrap/>
            <w:vAlign w:val="center"/>
            <w:hideMark/>
          </w:tcPr>
          <w:p w14:paraId="5299EC1D"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15</w:t>
            </w:r>
          </w:p>
        </w:tc>
        <w:tc>
          <w:tcPr>
            <w:tcW w:w="1112" w:type="dxa"/>
            <w:tcBorders>
              <w:right w:val="single" w:sz="2" w:space="0" w:color="A6A6A6" w:themeColor="background1" w:themeShade="A6"/>
            </w:tcBorders>
            <w:shd w:val="clear" w:color="auto" w:fill="D5DCE4"/>
            <w:noWrap/>
            <w:vAlign w:val="center"/>
            <w:hideMark/>
          </w:tcPr>
          <w:p w14:paraId="7604027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14</w:t>
            </w:r>
          </w:p>
        </w:tc>
      </w:tr>
      <w:tr w:rsidR="00E570D5" w:rsidRPr="00D0604E" w14:paraId="6E6EC0EC"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113E7119" w14:textId="3DBFC12D"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385998F" w14:textId="3DDC0BDC"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5760D5BE" w14:textId="6C7D4541"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38F4CF3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13</w:t>
            </w:r>
          </w:p>
        </w:tc>
        <w:tc>
          <w:tcPr>
            <w:tcW w:w="1093" w:type="dxa"/>
            <w:shd w:val="clear" w:color="auto" w:fill="auto"/>
            <w:noWrap/>
            <w:vAlign w:val="center"/>
            <w:hideMark/>
          </w:tcPr>
          <w:p w14:paraId="22BE27C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15</w:t>
            </w:r>
          </w:p>
        </w:tc>
        <w:tc>
          <w:tcPr>
            <w:tcW w:w="1112" w:type="dxa"/>
            <w:tcBorders>
              <w:right w:val="single" w:sz="2" w:space="0" w:color="A6A6A6" w:themeColor="background1" w:themeShade="A6"/>
            </w:tcBorders>
            <w:shd w:val="clear" w:color="auto" w:fill="auto"/>
            <w:noWrap/>
            <w:vAlign w:val="center"/>
            <w:hideMark/>
          </w:tcPr>
          <w:p w14:paraId="7407E87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14</w:t>
            </w:r>
          </w:p>
        </w:tc>
      </w:tr>
      <w:tr w:rsidR="00E570D5" w:rsidRPr="00D0604E" w14:paraId="6DA4C1C8"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29EC22E2" w14:textId="65D663B8"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63030966" w14:textId="0062B56A"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068C6AF8" w14:textId="127BD4B9"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53F0688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48E8263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0D0E036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3A1A0F5D"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64AB072C" w14:textId="161D4489"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103F0405" w14:textId="6CBC7D3B"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5C89EFE8"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32C58B0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5F74172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03AA5F6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6C1F79B1"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14CC37AF"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26</w:t>
            </w:r>
          </w:p>
        </w:tc>
        <w:tc>
          <w:tcPr>
            <w:tcW w:w="2800" w:type="dxa"/>
            <w:shd w:val="clear" w:color="auto" w:fill="D5DCE4"/>
            <w:vAlign w:val="center"/>
            <w:hideMark/>
          </w:tcPr>
          <w:p w14:paraId="7980E054"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Αποκεντρωμένη Διοίκηση Θεσσαλίας - Στερεάς Ελλάδας</w:t>
            </w:r>
          </w:p>
        </w:tc>
        <w:tc>
          <w:tcPr>
            <w:tcW w:w="3118" w:type="dxa"/>
            <w:shd w:val="clear" w:color="auto" w:fill="D5DCE4"/>
            <w:noWrap/>
            <w:vAlign w:val="center"/>
            <w:hideMark/>
          </w:tcPr>
          <w:p w14:paraId="602AF9B7"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6BBABD6A"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11</w:t>
            </w:r>
          </w:p>
        </w:tc>
        <w:tc>
          <w:tcPr>
            <w:tcW w:w="1093" w:type="dxa"/>
            <w:shd w:val="clear" w:color="auto" w:fill="D5DCE4"/>
            <w:noWrap/>
            <w:vAlign w:val="center"/>
            <w:hideMark/>
          </w:tcPr>
          <w:p w14:paraId="760186D6"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11</w:t>
            </w:r>
          </w:p>
        </w:tc>
        <w:tc>
          <w:tcPr>
            <w:tcW w:w="1112" w:type="dxa"/>
            <w:tcBorders>
              <w:right w:val="single" w:sz="2" w:space="0" w:color="A6A6A6" w:themeColor="background1" w:themeShade="A6"/>
            </w:tcBorders>
            <w:shd w:val="clear" w:color="auto" w:fill="D5DCE4"/>
            <w:noWrap/>
            <w:vAlign w:val="center"/>
            <w:hideMark/>
          </w:tcPr>
          <w:p w14:paraId="339EBF5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11</w:t>
            </w:r>
          </w:p>
        </w:tc>
      </w:tr>
      <w:tr w:rsidR="00E570D5" w:rsidRPr="00D0604E" w14:paraId="78ECAFF8"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0E8C7CA1" w14:textId="124D4E61"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3E95F3BF" w14:textId="647908A3"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19B4B643" w14:textId="7813B64F"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44C0F3F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11</w:t>
            </w:r>
          </w:p>
        </w:tc>
        <w:tc>
          <w:tcPr>
            <w:tcW w:w="1093" w:type="dxa"/>
            <w:shd w:val="clear" w:color="auto" w:fill="auto"/>
            <w:noWrap/>
            <w:vAlign w:val="center"/>
            <w:hideMark/>
          </w:tcPr>
          <w:p w14:paraId="395B48F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11</w:t>
            </w:r>
          </w:p>
        </w:tc>
        <w:tc>
          <w:tcPr>
            <w:tcW w:w="1112" w:type="dxa"/>
            <w:tcBorders>
              <w:right w:val="single" w:sz="2" w:space="0" w:color="A6A6A6" w:themeColor="background1" w:themeShade="A6"/>
            </w:tcBorders>
            <w:shd w:val="clear" w:color="auto" w:fill="auto"/>
            <w:noWrap/>
            <w:vAlign w:val="center"/>
            <w:hideMark/>
          </w:tcPr>
          <w:p w14:paraId="7E0AA1C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11</w:t>
            </w:r>
          </w:p>
        </w:tc>
      </w:tr>
      <w:tr w:rsidR="00E570D5" w:rsidRPr="00D0604E" w14:paraId="1A5A59F8"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2B27C04B" w14:textId="2096BB2A"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F08D92F" w14:textId="3AC487B3"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0180B50C" w14:textId="62C1ECB6"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41AE401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54DD64B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4C6D5B7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353AE19E"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173A36FE" w14:textId="2AA6035F"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F5C7515" w14:textId="51970BA1"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0904730F"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0ABEC46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5381F8A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3C2D69A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0F2630E8"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2EEE3BD9"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27</w:t>
            </w:r>
          </w:p>
        </w:tc>
        <w:tc>
          <w:tcPr>
            <w:tcW w:w="2800" w:type="dxa"/>
            <w:shd w:val="clear" w:color="auto" w:fill="D5DCE4"/>
            <w:vAlign w:val="center"/>
            <w:hideMark/>
          </w:tcPr>
          <w:p w14:paraId="047AB852"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Αποκεντρωμένη Διοίκηση Ηπείρου - Δυτικής Μακεδονίας</w:t>
            </w:r>
          </w:p>
        </w:tc>
        <w:tc>
          <w:tcPr>
            <w:tcW w:w="3118" w:type="dxa"/>
            <w:shd w:val="clear" w:color="auto" w:fill="D5DCE4"/>
            <w:noWrap/>
            <w:vAlign w:val="center"/>
            <w:hideMark/>
          </w:tcPr>
          <w:p w14:paraId="72FDD603"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0F082216"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10</w:t>
            </w:r>
          </w:p>
        </w:tc>
        <w:tc>
          <w:tcPr>
            <w:tcW w:w="1093" w:type="dxa"/>
            <w:shd w:val="clear" w:color="auto" w:fill="D5DCE4"/>
            <w:noWrap/>
            <w:vAlign w:val="center"/>
            <w:hideMark/>
          </w:tcPr>
          <w:p w14:paraId="4610562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12</w:t>
            </w:r>
          </w:p>
        </w:tc>
        <w:tc>
          <w:tcPr>
            <w:tcW w:w="1112" w:type="dxa"/>
            <w:tcBorders>
              <w:right w:val="single" w:sz="2" w:space="0" w:color="A6A6A6" w:themeColor="background1" w:themeShade="A6"/>
            </w:tcBorders>
            <w:shd w:val="clear" w:color="auto" w:fill="D5DCE4"/>
            <w:noWrap/>
            <w:vAlign w:val="center"/>
            <w:hideMark/>
          </w:tcPr>
          <w:p w14:paraId="7BC6A7F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11</w:t>
            </w:r>
          </w:p>
        </w:tc>
      </w:tr>
      <w:tr w:rsidR="00E570D5" w:rsidRPr="00D0604E" w14:paraId="19B2FBED"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72EF219" w14:textId="18AA5A7B"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6F0A7D4D" w14:textId="60B847E1"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0075D31C" w14:textId="3E3C1CD8"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43308E7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10</w:t>
            </w:r>
          </w:p>
        </w:tc>
        <w:tc>
          <w:tcPr>
            <w:tcW w:w="1093" w:type="dxa"/>
            <w:shd w:val="clear" w:color="auto" w:fill="auto"/>
            <w:noWrap/>
            <w:vAlign w:val="center"/>
            <w:hideMark/>
          </w:tcPr>
          <w:p w14:paraId="38D58AE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12</w:t>
            </w:r>
          </w:p>
        </w:tc>
        <w:tc>
          <w:tcPr>
            <w:tcW w:w="1112" w:type="dxa"/>
            <w:tcBorders>
              <w:right w:val="single" w:sz="2" w:space="0" w:color="A6A6A6" w:themeColor="background1" w:themeShade="A6"/>
            </w:tcBorders>
            <w:shd w:val="clear" w:color="auto" w:fill="auto"/>
            <w:noWrap/>
            <w:vAlign w:val="center"/>
            <w:hideMark/>
          </w:tcPr>
          <w:p w14:paraId="733D820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11</w:t>
            </w:r>
          </w:p>
        </w:tc>
      </w:tr>
      <w:tr w:rsidR="00E570D5" w:rsidRPr="00D0604E" w14:paraId="47D3946F"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0277666D" w14:textId="60A8EC23"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39A12755" w14:textId="5A5DEF0F"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766EC983" w14:textId="388E1F5D"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13358B1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0824FB5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0DCB359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3A6AF758"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1AF2311B" w14:textId="5191E131"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585296EC" w14:textId="4B77E4D0"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7374CBD3"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62BC53A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6DE27DE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25048B9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56B88825"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349FB141"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28</w:t>
            </w:r>
          </w:p>
        </w:tc>
        <w:tc>
          <w:tcPr>
            <w:tcW w:w="2800" w:type="dxa"/>
            <w:shd w:val="clear" w:color="auto" w:fill="D5DCE4"/>
            <w:vAlign w:val="center"/>
            <w:hideMark/>
          </w:tcPr>
          <w:p w14:paraId="6D5FCC9F" w14:textId="23B84D9A"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 xml:space="preserve">Αποκεντρωμένη Διοίκηση Πελοποννήσου </w:t>
            </w:r>
            <w:r w:rsidR="004B12B5">
              <w:rPr>
                <w:rFonts w:cs="Arial"/>
                <w:b/>
                <w:bCs/>
                <w:color w:val="000000"/>
                <w:sz w:val="16"/>
                <w:szCs w:val="16"/>
              </w:rPr>
              <w:t>-</w:t>
            </w:r>
            <w:r w:rsidRPr="00D0604E">
              <w:rPr>
                <w:rFonts w:cs="Arial"/>
                <w:b/>
                <w:bCs/>
                <w:color w:val="000000"/>
                <w:sz w:val="16"/>
                <w:szCs w:val="16"/>
              </w:rPr>
              <w:t xml:space="preserve"> Δυτ. Ελλάδας και Ιόνιου</w:t>
            </w:r>
          </w:p>
        </w:tc>
        <w:tc>
          <w:tcPr>
            <w:tcW w:w="3118" w:type="dxa"/>
            <w:shd w:val="clear" w:color="auto" w:fill="D5DCE4"/>
            <w:noWrap/>
            <w:vAlign w:val="center"/>
            <w:hideMark/>
          </w:tcPr>
          <w:p w14:paraId="0F39F0F1"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3CDD06B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15</w:t>
            </w:r>
          </w:p>
        </w:tc>
        <w:tc>
          <w:tcPr>
            <w:tcW w:w="1093" w:type="dxa"/>
            <w:shd w:val="clear" w:color="auto" w:fill="D5DCE4"/>
            <w:noWrap/>
            <w:vAlign w:val="center"/>
            <w:hideMark/>
          </w:tcPr>
          <w:p w14:paraId="0657B16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17</w:t>
            </w:r>
          </w:p>
        </w:tc>
        <w:tc>
          <w:tcPr>
            <w:tcW w:w="1112" w:type="dxa"/>
            <w:tcBorders>
              <w:right w:val="single" w:sz="2" w:space="0" w:color="A6A6A6" w:themeColor="background1" w:themeShade="A6"/>
            </w:tcBorders>
            <w:shd w:val="clear" w:color="auto" w:fill="D5DCE4"/>
            <w:noWrap/>
            <w:vAlign w:val="center"/>
            <w:hideMark/>
          </w:tcPr>
          <w:p w14:paraId="6D3CF60F"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16</w:t>
            </w:r>
          </w:p>
        </w:tc>
      </w:tr>
      <w:tr w:rsidR="00E570D5" w:rsidRPr="00D0604E" w14:paraId="58313F4F"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004BE676" w14:textId="59A22063"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7AD4E95F" w14:textId="031BB958"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5509DDAB" w14:textId="542C8B6E"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7689D09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15</w:t>
            </w:r>
          </w:p>
        </w:tc>
        <w:tc>
          <w:tcPr>
            <w:tcW w:w="1093" w:type="dxa"/>
            <w:shd w:val="clear" w:color="auto" w:fill="auto"/>
            <w:noWrap/>
            <w:vAlign w:val="center"/>
            <w:hideMark/>
          </w:tcPr>
          <w:p w14:paraId="2014518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17</w:t>
            </w:r>
          </w:p>
        </w:tc>
        <w:tc>
          <w:tcPr>
            <w:tcW w:w="1112" w:type="dxa"/>
            <w:tcBorders>
              <w:right w:val="single" w:sz="2" w:space="0" w:color="A6A6A6" w:themeColor="background1" w:themeShade="A6"/>
            </w:tcBorders>
            <w:shd w:val="clear" w:color="auto" w:fill="auto"/>
            <w:noWrap/>
            <w:vAlign w:val="center"/>
            <w:hideMark/>
          </w:tcPr>
          <w:p w14:paraId="4687861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16</w:t>
            </w:r>
          </w:p>
        </w:tc>
      </w:tr>
      <w:tr w:rsidR="00E570D5" w:rsidRPr="00D0604E" w14:paraId="3BECF206"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745690B0" w14:textId="025BD7CD"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37F9ABB8" w14:textId="3BC15161"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003D8E62" w14:textId="558F92A8"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548C059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1ABF505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387A03B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579E0277" w14:textId="77777777" w:rsidTr="0004334A">
        <w:trPr>
          <w:cantSplit/>
          <w:trHeight w:val="227"/>
          <w:jc w:val="center"/>
        </w:trPr>
        <w:tc>
          <w:tcPr>
            <w:tcW w:w="458" w:type="dxa"/>
            <w:tcBorders>
              <w:left w:val="single" w:sz="2" w:space="0" w:color="A6A6A6" w:themeColor="background1" w:themeShade="A6"/>
            </w:tcBorders>
            <w:shd w:val="clear" w:color="auto" w:fill="auto"/>
            <w:vAlign w:val="center"/>
          </w:tcPr>
          <w:p w14:paraId="0C0D9DA9" w14:textId="79CA4B50"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016608D5" w14:textId="1872739F"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426D7BD7"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7D34C43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6C595B5B"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3B12B45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66B937D2"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63D16F49"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29</w:t>
            </w:r>
          </w:p>
        </w:tc>
        <w:tc>
          <w:tcPr>
            <w:tcW w:w="2800" w:type="dxa"/>
            <w:shd w:val="clear" w:color="auto" w:fill="D5DCE4"/>
            <w:vAlign w:val="center"/>
            <w:hideMark/>
          </w:tcPr>
          <w:p w14:paraId="74A73E79"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Αποκεντρωμένη Διοίκηση Αιγαίου</w:t>
            </w:r>
          </w:p>
        </w:tc>
        <w:tc>
          <w:tcPr>
            <w:tcW w:w="3118" w:type="dxa"/>
            <w:shd w:val="clear" w:color="auto" w:fill="D5DCE4"/>
            <w:noWrap/>
            <w:vAlign w:val="center"/>
            <w:hideMark/>
          </w:tcPr>
          <w:p w14:paraId="4F14AAEE"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66EE59C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w:t>
            </w:r>
          </w:p>
        </w:tc>
        <w:tc>
          <w:tcPr>
            <w:tcW w:w="1093" w:type="dxa"/>
            <w:shd w:val="clear" w:color="auto" w:fill="D5DCE4"/>
            <w:noWrap/>
            <w:vAlign w:val="center"/>
            <w:hideMark/>
          </w:tcPr>
          <w:p w14:paraId="60F72805"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w:t>
            </w:r>
          </w:p>
        </w:tc>
        <w:tc>
          <w:tcPr>
            <w:tcW w:w="1112" w:type="dxa"/>
            <w:tcBorders>
              <w:right w:val="single" w:sz="2" w:space="0" w:color="A6A6A6" w:themeColor="background1" w:themeShade="A6"/>
            </w:tcBorders>
            <w:shd w:val="clear" w:color="auto" w:fill="D5DCE4"/>
            <w:noWrap/>
            <w:vAlign w:val="center"/>
            <w:hideMark/>
          </w:tcPr>
          <w:p w14:paraId="04C723E8"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w:t>
            </w:r>
          </w:p>
        </w:tc>
      </w:tr>
      <w:tr w:rsidR="00E570D5" w:rsidRPr="00D0604E" w14:paraId="79301B31"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6A9F6A7F" w14:textId="0D6D5D0F"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00C589F8" w14:textId="1735FE66"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354A9DED" w14:textId="7D8DF3B4"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0A9954B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w:t>
            </w:r>
          </w:p>
        </w:tc>
        <w:tc>
          <w:tcPr>
            <w:tcW w:w="1093" w:type="dxa"/>
            <w:shd w:val="clear" w:color="auto" w:fill="auto"/>
            <w:noWrap/>
            <w:vAlign w:val="center"/>
            <w:hideMark/>
          </w:tcPr>
          <w:p w14:paraId="375461C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w:t>
            </w:r>
          </w:p>
        </w:tc>
        <w:tc>
          <w:tcPr>
            <w:tcW w:w="1112" w:type="dxa"/>
            <w:tcBorders>
              <w:right w:val="single" w:sz="2" w:space="0" w:color="A6A6A6" w:themeColor="background1" w:themeShade="A6"/>
            </w:tcBorders>
            <w:shd w:val="clear" w:color="auto" w:fill="auto"/>
            <w:noWrap/>
            <w:vAlign w:val="center"/>
            <w:hideMark/>
          </w:tcPr>
          <w:p w14:paraId="3B384807"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w:t>
            </w:r>
          </w:p>
        </w:tc>
      </w:tr>
      <w:tr w:rsidR="00E570D5" w:rsidRPr="00D0604E" w14:paraId="6E361DF1"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5902129" w14:textId="53929EF3"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4554ED33" w14:textId="3797BF4C"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661C860E" w14:textId="6B5EACB0"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6F4FC0B1"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61A03EE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5B9B41B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77F0BC26"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2D27936C" w14:textId="0BB6285B"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624F6D39" w14:textId="3AE8B009"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1C1E1F7E"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4AAADAF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179E5C4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31467B3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07DFEE1C"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696EE43B"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30</w:t>
            </w:r>
          </w:p>
        </w:tc>
        <w:tc>
          <w:tcPr>
            <w:tcW w:w="2800" w:type="dxa"/>
            <w:shd w:val="clear" w:color="auto" w:fill="D5DCE4"/>
            <w:vAlign w:val="center"/>
            <w:hideMark/>
          </w:tcPr>
          <w:p w14:paraId="5E3690F6"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Αποκεντρωμένη Διοίκηση Κρήτης</w:t>
            </w:r>
          </w:p>
        </w:tc>
        <w:tc>
          <w:tcPr>
            <w:tcW w:w="3118" w:type="dxa"/>
            <w:shd w:val="clear" w:color="auto" w:fill="D5DCE4"/>
            <w:noWrap/>
            <w:vAlign w:val="center"/>
            <w:hideMark/>
          </w:tcPr>
          <w:p w14:paraId="6E640BED"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0F2A65C8"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w:t>
            </w:r>
          </w:p>
        </w:tc>
        <w:tc>
          <w:tcPr>
            <w:tcW w:w="1093" w:type="dxa"/>
            <w:shd w:val="clear" w:color="auto" w:fill="D5DCE4"/>
            <w:noWrap/>
            <w:vAlign w:val="center"/>
            <w:hideMark/>
          </w:tcPr>
          <w:p w14:paraId="688F65AC"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w:t>
            </w:r>
          </w:p>
        </w:tc>
        <w:tc>
          <w:tcPr>
            <w:tcW w:w="1112" w:type="dxa"/>
            <w:tcBorders>
              <w:right w:val="single" w:sz="2" w:space="0" w:color="A6A6A6" w:themeColor="background1" w:themeShade="A6"/>
            </w:tcBorders>
            <w:shd w:val="clear" w:color="auto" w:fill="D5DCE4"/>
            <w:noWrap/>
            <w:vAlign w:val="center"/>
            <w:hideMark/>
          </w:tcPr>
          <w:p w14:paraId="603C644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w:t>
            </w:r>
          </w:p>
        </w:tc>
      </w:tr>
      <w:tr w:rsidR="00E570D5" w:rsidRPr="00D0604E" w14:paraId="3F420C79"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34BE5461" w14:textId="64E6BE34"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04B7ED86" w14:textId="6636F1CA"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1F1FF0D1" w14:textId="1338130A"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2766522D"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6</w:t>
            </w:r>
          </w:p>
        </w:tc>
        <w:tc>
          <w:tcPr>
            <w:tcW w:w="1093" w:type="dxa"/>
            <w:shd w:val="clear" w:color="auto" w:fill="auto"/>
            <w:noWrap/>
            <w:vAlign w:val="center"/>
            <w:hideMark/>
          </w:tcPr>
          <w:p w14:paraId="1B6B506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w:t>
            </w:r>
          </w:p>
        </w:tc>
        <w:tc>
          <w:tcPr>
            <w:tcW w:w="1112" w:type="dxa"/>
            <w:tcBorders>
              <w:right w:val="single" w:sz="2" w:space="0" w:color="A6A6A6" w:themeColor="background1" w:themeShade="A6"/>
            </w:tcBorders>
            <w:shd w:val="clear" w:color="auto" w:fill="auto"/>
            <w:noWrap/>
            <w:vAlign w:val="center"/>
            <w:hideMark/>
          </w:tcPr>
          <w:p w14:paraId="7EF95BC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7</w:t>
            </w:r>
          </w:p>
        </w:tc>
      </w:tr>
      <w:tr w:rsidR="00E570D5" w:rsidRPr="00D0604E" w14:paraId="342C41F1"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63E5667B" w14:textId="50DC07E4"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7299656E" w14:textId="5D70F10A"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01D52A9F" w14:textId="02E6BFC7"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69D0BA6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078BD47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1A61C76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6F337892" w14:textId="77777777" w:rsidTr="00F53A23">
        <w:trPr>
          <w:cantSplit/>
          <w:trHeight w:val="227"/>
          <w:jc w:val="center"/>
        </w:trPr>
        <w:tc>
          <w:tcPr>
            <w:tcW w:w="458" w:type="dxa"/>
            <w:tcBorders>
              <w:left w:val="single" w:sz="2" w:space="0" w:color="A6A6A6" w:themeColor="background1" w:themeShade="A6"/>
              <w:bottom w:val="single" w:sz="2" w:space="0" w:color="A6A6A6" w:themeColor="background1" w:themeShade="A6"/>
            </w:tcBorders>
            <w:shd w:val="clear" w:color="auto" w:fill="auto"/>
            <w:vAlign w:val="center"/>
          </w:tcPr>
          <w:p w14:paraId="20EA8DE0" w14:textId="1B97521E" w:rsidR="00E570D5" w:rsidRPr="00D0604E" w:rsidRDefault="00E570D5" w:rsidP="00D36DDE">
            <w:pPr>
              <w:spacing w:after="0" w:line="276" w:lineRule="auto"/>
              <w:jc w:val="center"/>
              <w:rPr>
                <w:rFonts w:cs="Arial"/>
                <w:color w:val="000000"/>
                <w:sz w:val="16"/>
                <w:szCs w:val="16"/>
              </w:rPr>
            </w:pPr>
          </w:p>
        </w:tc>
        <w:tc>
          <w:tcPr>
            <w:tcW w:w="2800" w:type="dxa"/>
            <w:tcBorders>
              <w:bottom w:val="single" w:sz="2" w:space="0" w:color="A6A6A6" w:themeColor="background1" w:themeShade="A6"/>
            </w:tcBorders>
            <w:shd w:val="clear" w:color="auto" w:fill="auto"/>
            <w:vAlign w:val="center"/>
          </w:tcPr>
          <w:p w14:paraId="61517D40" w14:textId="242787F4" w:rsidR="00E570D5" w:rsidRPr="00D0604E" w:rsidRDefault="00E570D5" w:rsidP="00E966FE">
            <w:pPr>
              <w:spacing w:after="0" w:line="276" w:lineRule="auto"/>
              <w:jc w:val="left"/>
              <w:rPr>
                <w:rFonts w:cs="Arial"/>
                <w:color w:val="000000"/>
                <w:sz w:val="16"/>
                <w:szCs w:val="16"/>
              </w:rPr>
            </w:pPr>
          </w:p>
        </w:tc>
        <w:tc>
          <w:tcPr>
            <w:tcW w:w="3118" w:type="dxa"/>
            <w:tcBorders>
              <w:bottom w:val="single" w:sz="2" w:space="0" w:color="A6A6A6" w:themeColor="background1" w:themeShade="A6"/>
            </w:tcBorders>
            <w:shd w:val="clear" w:color="auto" w:fill="auto"/>
            <w:noWrap/>
            <w:vAlign w:val="center"/>
            <w:hideMark/>
          </w:tcPr>
          <w:p w14:paraId="0E3EE6E8"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tcBorders>
              <w:bottom w:val="single" w:sz="2" w:space="0" w:color="A6A6A6" w:themeColor="background1" w:themeShade="A6"/>
            </w:tcBorders>
            <w:shd w:val="clear" w:color="auto" w:fill="auto"/>
            <w:noWrap/>
            <w:vAlign w:val="center"/>
            <w:hideMark/>
          </w:tcPr>
          <w:p w14:paraId="1E2CFFEA"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tcBorders>
              <w:bottom w:val="single" w:sz="2" w:space="0" w:color="A6A6A6" w:themeColor="background1" w:themeShade="A6"/>
            </w:tcBorders>
            <w:shd w:val="clear" w:color="auto" w:fill="auto"/>
            <w:noWrap/>
            <w:vAlign w:val="center"/>
            <w:hideMark/>
          </w:tcPr>
          <w:p w14:paraId="3F627F3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bottom w:val="single" w:sz="2" w:space="0" w:color="A6A6A6" w:themeColor="background1" w:themeShade="A6"/>
              <w:right w:val="single" w:sz="2" w:space="0" w:color="A6A6A6" w:themeColor="background1" w:themeShade="A6"/>
            </w:tcBorders>
            <w:shd w:val="clear" w:color="auto" w:fill="auto"/>
            <w:noWrap/>
            <w:vAlign w:val="center"/>
            <w:hideMark/>
          </w:tcPr>
          <w:p w14:paraId="40B808B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F53A23" w:rsidRPr="00D0604E" w14:paraId="5D26A08B" w14:textId="77777777" w:rsidTr="00F53A23">
        <w:trPr>
          <w:cantSplit/>
          <w:trHeight w:val="227"/>
          <w:jc w:val="center"/>
        </w:trPr>
        <w:tc>
          <w:tcPr>
            <w:tcW w:w="458" w:type="dxa"/>
            <w:tcBorders>
              <w:top w:val="single" w:sz="2" w:space="0" w:color="A6A6A6" w:themeColor="background1" w:themeShade="A6"/>
            </w:tcBorders>
            <w:shd w:val="clear" w:color="auto" w:fill="auto"/>
            <w:vAlign w:val="center"/>
          </w:tcPr>
          <w:p w14:paraId="1B1DFE66" w14:textId="77777777" w:rsidR="00F53A23" w:rsidRPr="00D0604E" w:rsidRDefault="00F53A23" w:rsidP="00D36DDE">
            <w:pPr>
              <w:spacing w:after="0" w:line="276" w:lineRule="auto"/>
              <w:jc w:val="center"/>
              <w:rPr>
                <w:rFonts w:cs="Arial"/>
                <w:color w:val="000000"/>
                <w:sz w:val="16"/>
                <w:szCs w:val="16"/>
              </w:rPr>
            </w:pPr>
          </w:p>
        </w:tc>
        <w:tc>
          <w:tcPr>
            <w:tcW w:w="2800" w:type="dxa"/>
            <w:tcBorders>
              <w:top w:val="single" w:sz="2" w:space="0" w:color="A6A6A6" w:themeColor="background1" w:themeShade="A6"/>
            </w:tcBorders>
            <w:shd w:val="clear" w:color="auto" w:fill="auto"/>
            <w:vAlign w:val="center"/>
          </w:tcPr>
          <w:p w14:paraId="68B55389" w14:textId="77777777" w:rsidR="00F53A23" w:rsidRPr="00D0604E" w:rsidRDefault="00F53A23" w:rsidP="00E966FE">
            <w:pPr>
              <w:spacing w:after="0" w:line="276" w:lineRule="auto"/>
              <w:jc w:val="left"/>
              <w:rPr>
                <w:rFonts w:cs="Arial"/>
                <w:color w:val="000000"/>
                <w:sz w:val="16"/>
                <w:szCs w:val="16"/>
              </w:rPr>
            </w:pPr>
          </w:p>
        </w:tc>
        <w:tc>
          <w:tcPr>
            <w:tcW w:w="3118" w:type="dxa"/>
            <w:tcBorders>
              <w:top w:val="single" w:sz="2" w:space="0" w:color="A6A6A6" w:themeColor="background1" w:themeShade="A6"/>
            </w:tcBorders>
            <w:shd w:val="clear" w:color="auto" w:fill="auto"/>
            <w:noWrap/>
            <w:vAlign w:val="center"/>
          </w:tcPr>
          <w:p w14:paraId="0F52AFB9" w14:textId="77777777" w:rsidR="00F53A23" w:rsidRPr="00D0604E" w:rsidRDefault="00F53A23" w:rsidP="00E966FE">
            <w:pPr>
              <w:spacing w:after="0" w:line="276" w:lineRule="auto"/>
              <w:jc w:val="left"/>
              <w:rPr>
                <w:rFonts w:cs="Arial"/>
                <w:color w:val="000000"/>
                <w:sz w:val="16"/>
                <w:szCs w:val="16"/>
              </w:rPr>
            </w:pPr>
          </w:p>
        </w:tc>
        <w:tc>
          <w:tcPr>
            <w:tcW w:w="1551" w:type="dxa"/>
            <w:tcBorders>
              <w:top w:val="single" w:sz="2" w:space="0" w:color="A6A6A6" w:themeColor="background1" w:themeShade="A6"/>
            </w:tcBorders>
            <w:shd w:val="clear" w:color="auto" w:fill="auto"/>
            <w:noWrap/>
            <w:vAlign w:val="center"/>
          </w:tcPr>
          <w:p w14:paraId="722C16D5" w14:textId="77777777" w:rsidR="00F53A23" w:rsidRPr="00D0604E" w:rsidRDefault="00F53A23" w:rsidP="00E966FE">
            <w:pPr>
              <w:spacing w:after="0" w:line="276" w:lineRule="auto"/>
              <w:jc w:val="right"/>
              <w:rPr>
                <w:rFonts w:cs="Arial"/>
                <w:color w:val="000000"/>
                <w:sz w:val="16"/>
                <w:szCs w:val="16"/>
              </w:rPr>
            </w:pPr>
          </w:p>
        </w:tc>
        <w:tc>
          <w:tcPr>
            <w:tcW w:w="1093" w:type="dxa"/>
            <w:tcBorders>
              <w:top w:val="single" w:sz="2" w:space="0" w:color="A6A6A6" w:themeColor="background1" w:themeShade="A6"/>
            </w:tcBorders>
            <w:shd w:val="clear" w:color="auto" w:fill="auto"/>
            <w:noWrap/>
            <w:vAlign w:val="center"/>
          </w:tcPr>
          <w:p w14:paraId="2074E649" w14:textId="77777777" w:rsidR="00F53A23" w:rsidRPr="00D0604E" w:rsidRDefault="00F53A23" w:rsidP="00E966FE">
            <w:pPr>
              <w:spacing w:after="0" w:line="276" w:lineRule="auto"/>
              <w:jc w:val="right"/>
              <w:rPr>
                <w:rFonts w:cs="Arial"/>
                <w:color w:val="000000"/>
                <w:sz w:val="16"/>
                <w:szCs w:val="16"/>
              </w:rPr>
            </w:pPr>
          </w:p>
        </w:tc>
        <w:tc>
          <w:tcPr>
            <w:tcW w:w="1112" w:type="dxa"/>
            <w:tcBorders>
              <w:top w:val="single" w:sz="2" w:space="0" w:color="A6A6A6" w:themeColor="background1" w:themeShade="A6"/>
            </w:tcBorders>
            <w:shd w:val="clear" w:color="auto" w:fill="auto"/>
            <w:noWrap/>
            <w:vAlign w:val="center"/>
          </w:tcPr>
          <w:p w14:paraId="3FB35091" w14:textId="77777777" w:rsidR="00F53A23" w:rsidRPr="00D0604E" w:rsidRDefault="00F53A23" w:rsidP="00E966FE">
            <w:pPr>
              <w:spacing w:after="0" w:line="276" w:lineRule="auto"/>
              <w:jc w:val="right"/>
              <w:rPr>
                <w:rFonts w:cs="Arial"/>
                <w:color w:val="000000"/>
                <w:sz w:val="16"/>
                <w:szCs w:val="16"/>
              </w:rPr>
            </w:pPr>
          </w:p>
        </w:tc>
      </w:tr>
      <w:tr w:rsidR="00F53A23" w:rsidRPr="00D0604E" w14:paraId="6E8BC4AB" w14:textId="77777777" w:rsidTr="00F53A23">
        <w:trPr>
          <w:cantSplit/>
          <w:trHeight w:val="227"/>
          <w:jc w:val="center"/>
        </w:trPr>
        <w:tc>
          <w:tcPr>
            <w:tcW w:w="458" w:type="dxa"/>
            <w:shd w:val="clear" w:color="auto" w:fill="auto"/>
            <w:vAlign w:val="center"/>
          </w:tcPr>
          <w:p w14:paraId="1F24FD47" w14:textId="77777777" w:rsidR="00F53A23" w:rsidRPr="00D0604E" w:rsidRDefault="00F53A23" w:rsidP="00D36DDE">
            <w:pPr>
              <w:spacing w:after="0" w:line="276" w:lineRule="auto"/>
              <w:jc w:val="center"/>
              <w:rPr>
                <w:rFonts w:cs="Arial"/>
                <w:color w:val="000000"/>
                <w:sz w:val="16"/>
                <w:szCs w:val="16"/>
              </w:rPr>
            </w:pPr>
          </w:p>
        </w:tc>
        <w:tc>
          <w:tcPr>
            <w:tcW w:w="2800" w:type="dxa"/>
            <w:shd w:val="clear" w:color="auto" w:fill="auto"/>
            <w:vAlign w:val="center"/>
          </w:tcPr>
          <w:p w14:paraId="6915485C" w14:textId="77777777" w:rsidR="00F53A23" w:rsidRPr="00D0604E" w:rsidRDefault="00F53A23" w:rsidP="00E966FE">
            <w:pPr>
              <w:spacing w:after="0" w:line="276" w:lineRule="auto"/>
              <w:jc w:val="left"/>
              <w:rPr>
                <w:rFonts w:cs="Arial"/>
                <w:color w:val="000000"/>
                <w:sz w:val="16"/>
                <w:szCs w:val="16"/>
              </w:rPr>
            </w:pPr>
          </w:p>
        </w:tc>
        <w:tc>
          <w:tcPr>
            <w:tcW w:w="3118" w:type="dxa"/>
            <w:shd w:val="clear" w:color="auto" w:fill="auto"/>
            <w:noWrap/>
            <w:vAlign w:val="center"/>
          </w:tcPr>
          <w:p w14:paraId="7085DAC5" w14:textId="77777777" w:rsidR="00F53A23" w:rsidRPr="00D0604E" w:rsidRDefault="00F53A23" w:rsidP="00E966FE">
            <w:pPr>
              <w:spacing w:after="0" w:line="276" w:lineRule="auto"/>
              <w:jc w:val="left"/>
              <w:rPr>
                <w:rFonts w:cs="Arial"/>
                <w:color w:val="000000"/>
                <w:sz w:val="16"/>
                <w:szCs w:val="16"/>
              </w:rPr>
            </w:pPr>
          </w:p>
        </w:tc>
        <w:tc>
          <w:tcPr>
            <w:tcW w:w="1551" w:type="dxa"/>
            <w:shd w:val="clear" w:color="auto" w:fill="auto"/>
            <w:noWrap/>
            <w:vAlign w:val="center"/>
          </w:tcPr>
          <w:p w14:paraId="5A26A03D" w14:textId="77777777" w:rsidR="00F53A23" w:rsidRPr="00D0604E" w:rsidRDefault="00F53A23" w:rsidP="00E966FE">
            <w:pPr>
              <w:spacing w:after="0" w:line="276" w:lineRule="auto"/>
              <w:jc w:val="right"/>
              <w:rPr>
                <w:rFonts w:cs="Arial"/>
                <w:color w:val="000000"/>
                <w:sz w:val="16"/>
                <w:szCs w:val="16"/>
              </w:rPr>
            </w:pPr>
          </w:p>
        </w:tc>
        <w:tc>
          <w:tcPr>
            <w:tcW w:w="1093" w:type="dxa"/>
            <w:shd w:val="clear" w:color="auto" w:fill="auto"/>
            <w:noWrap/>
            <w:vAlign w:val="center"/>
          </w:tcPr>
          <w:p w14:paraId="16DE3AED" w14:textId="77777777" w:rsidR="00F53A23" w:rsidRPr="00D0604E" w:rsidRDefault="00F53A23" w:rsidP="00E966FE">
            <w:pPr>
              <w:spacing w:after="0" w:line="276" w:lineRule="auto"/>
              <w:jc w:val="right"/>
              <w:rPr>
                <w:rFonts w:cs="Arial"/>
                <w:color w:val="000000"/>
                <w:sz w:val="16"/>
                <w:szCs w:val="16"/>
              </w:rPr>
            </w:pPr>
          </w:p>
        </w:tc>
        <w:tc>
          <w:tcPr>
            <w:tcW w:w="1112" w:type="dxa"/>
            <w:shd w:val="clear" w:color="auto" w:fill="auto"/>
            <w:noWrap/>
            <w:vAlign w:val="center"/>
          </w:tcPr>
          <w:p w14:paraId="668745C0" w14:textId="77777777" w:rsidR="00F53A23" w:rsidRPr="00D0604E" w:rsidRDefault="00F53A23" w:rsidP="00E966FE">
            <w:pPr>
              <w:spacing w:after="0" w:line="276" w:lineRule="auto"/>
              <w:jc w:val="right"/>
              <w:rPr>
                <w:rFonts w:cs="Arial"/>
                <w:color w:val="000000"/>
                <w:sz w:val="16"/>
                <w:szCs w:val="16"/>
              </w:rPr>
            </w:pPr>
          </w:p>
        </w:tc>
      </w:tr>
      <w:tr w:rsidR="00F53A23" w:rsidRPr="00D0604E" w14:paraId="6A69641E" w14:textId="77777777" w:rsidTr="00F53A23">
        <w:trPr>
          <w:cantSplit/>
          <w:trHeight w:val="227"/>
          <w:jc w:val="center"/>
        </w:trPr>
        <w:tc>
          <w:tcPr>
            <w:tcW w:w="458" w:type="dxa"/>
            <w:shd w:val="clear" w:color="auto" w:fill="auto"/>
            <w:vAlign w:val="center"/>
          </w:tcPr>
          <w:p w14:paraId="6F1AAF0C" w14:textId="77777777" w:rsidR="00F53A23" w:rsidRPr="00D0604E" w:rsidRDefault="00F53A23" w:rsidP="00D36DDE">
            <w:pPr>
              <w:spacing w:after="0" w:line="276" w:lineRule="auto"/>
              <w:jc w:val="center"/>
              <w:rPr>
                <w:rFonts w:cs="Arial"/>
                <w:color w:val="000000"/>
                <w:sz w:val="16"/>
                <w:szCs w:val="16"/>
              </w:rPr>
            </w:pPr>
          </w:p>
        </w:tc>
        <w:tc>
          <w:tcPr>
            <w:tcW w:w="2800" w:type="dxa"/>
            <w:shd w:val="clear" w:color="auto" w:fill="auto"/>
            <w:vAlign w:val="center"/>
          </w:tcPr>
          <w:p w14:paraId="6DBA4975" w14:textId="77777777" w:rsidR="00F53A23" w:rsidRPr="00D0604E" w:rsidRDefault="00F53A23" w:rsidP="00E966FE">
            <w:pPr>
              <w:spacing w:after="0" w:line="276" w:lineRule="auto"/>
              <w:jc w:val="left"/>
              <w:rPr>
                <w:rFonts w:cs="Arial"/>
                <w:color w:val="000000"/>
                <w:sz w:val="16"/>
                <w:szCs w:val="16"/>
              </w:rPr>
            </w:pPr>
          </w:p>
        </w:tc>
        <w:tc>
          <w:tcPr>
            <w:tcW w:w="3118" w:type="dxa"/>
            <w:shd w:val="clear" w:color="auto" w:fill="auto"/>
            <w:noWrap/>
            <w:vAlign w:val="center"/>
          </w:tcPr>
          <w:p w14:paraId="1EA0EF23" w14:textId="77777777" w:rsidR="00F53A23" w:rsidRPr="00D0604E" w:rsidRDefault="00F53A23" w:rsidP="00E966FE">
            <w:pPr>
              <w:spacing w:after="0" w:line="276" w:lineRule="auto"/>
              <w:jc w:val="left"/>
              <w:rPr>
                <w:rFonts w:cs="Arial"/>
                <w:color w:val="000000"/>
                <w:sz w:val="16"/>
                <w:szCs w:val="16"/>
              </w:rPr>
            </w:pPr>
          </w:p>
        </w:tc>
        <w:tc>
          <w:tcPr>
            <w:tcW w:w="1551" w:type="dxa"/>
            <w:shd w:val="clear" w:color="auto" w:fill="auto"/>
            <w:noWrap/>
            <w:vAlign w:val="center"/>
          </w:tcPr>
          <w:p w14:paraId="1F02DF45" w14:textId="77777777" w:rsidR="00F53A23" w:rsidRPr="00D0604E" w:rsidRDefault="00F53A23" w:rsidP="00E966FE">
            <w:pPr>
              <w:spacing w:after="0" w:line="276" w:lineRule="auto"/>
              <w:jc w:val="right"/>
              <w:rPr>
                <w:rFonts w:cs="Arial"/>
                <w:color w:val="000000"/>
                <w:sz w:val="16"/>
                <w:szCs w:val="16"/>
              </w:rPr>
            </w:pPr>
          </w:p>
        </w:tc>
        <w:tc>
          <w:tcPr>
            <w:tcW w:w="1093" w:type="dxa"/>
            <w:shd w:val="clear" w:color="auto" w:fill="auto"/>
            <w:noWrap/>
            <w:vAlign w:val="center"/>
          </w:tcPr>
          <w:p w14:paraId="4C3C0D78" w14:textId="77777777" w:rsidR="00F53A23" w:rsidRPr="00D0604E" w:rsidRDefault="00F53A23" w:rsidP="00E966FE">
            <w:pPr>
              <w:spacing w:after="0" w:line="276" w:lineRule="auto"/>
              <w:jc w:val="right"/>
              <w:rPr>
                <w:rFonts w:cs="Arial"/>
                <w:color w:val="000000"/>
                <w:sz w:val="16"/>
                <w:szCs w:val="16"/>
              </w:rPr>
            </w:pPr>
          </w:p>
        </w:tc>
        <w:tc>
          <w:tcPr>
            <w:tcW w:w="1112" w:type="dxa"/>
            <w:shd w:val="clear" w:color="auto" w:fill="auto"/>
            <w:noWrap/>
            <w:vAlign w:val="center"/>
          </w:tcPr>
          <w:p w14:paraId="36DD7F4C" w14:textId="77777777" w:rsidR="00F53A23" w:rsidRPr="00D0604E" w:rsidRDefault="00F53A23" w:rsidP="00E966FE">
            <w:pPr>
              <w:spacing w:after="0" w:line="276" w:lineRule="auto"/>
              <w:jc w:val="right"/>
              <w:rPr>
                <w:rFonts w:cs="Arial"/>
                <w:color w:val="000000"/>
                <w:sz w:val="16"/>
                <w:szCs w:val="16"/>
              </w:rPr>
            </w:pPr>
          </w:p>
        </w:tc>
      </w:tr>
      <w:tr w:rsidR="00E570D5" w:rsidRPr="00D0604E" w14:paraId="6982F1E8"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24A5714D"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lastRenderedPageBreak/>
              <w:t>31</w:t>
            </w:r>
          </w:p>
        </w:tc>
        <w:tc>
          <w:tcPr>
            <w:tcW w:w="2800" w:type="dxa"/>
            <w:shd w:val="clear" w:color="auto" w:fill="D5DCE4"/>
            <w:vAlign w:val="center"/>
            <w:hideMark/>
          </w:tcPr>
          <w:p w14:paraId="79F85EFA"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Αποκεντρωμένη Διοίκηση Μακεδονίας - Θράκης</w:t>
            </w:r>
          </w:p>
        </w:tc>
        <w:tc>
          <w:tcPr>
            <w:tcW w:w="3118" w:type="dxa"/>
            <w:shd w:val="clear" w:color="auto" w:fill="D5DCE4"/>
            <w:noWrap/>
            <w:vAlign w:val="center"/>
            <w:hideMark/>
          </w:tcPr>
          <w:p w14:paraId="48608C04" w14:textId="77777777" w:rsidR="00E570D5" w:rsidRPr="00D0604E" w:rsidRDefault="00E570D5" w:rsidP="00E966FE">
            <w:pPr>
              <w:spacing w:after="0" w:line="276" w:lineRule="auto"/>
              <w:jc w:val="left"/>
              <w:rPr>
                <w:rFonts w:cs="Arial"/>
                <w:b/>
                <w:bCs/>
                <w:color w:val="000000"/>
                <w:sz w:val="16"/>
                <w:szCs w:val="16"/>
              </w:rPr>
            </w:pPr>
            <w:r w:rsidRPr="00D0604E">
              <w:rPr>
                <w:rFonts w:cs="Arial"/>
                <w:b/>
                <w:bCs/>
                <w:color w:val="000000"/>
                <w:sz w:val="16"/>
                <w:szCs w:val="16"/>
              </w:rPr>
              <w:t>Ταμειακό Σύνολο</w:t>
            </w:r>
          </w:p>
        </w:tc>
        <w:tc>
          <w:tcPr>
            <w:tcW w:w="1551" w:type="dxa"/>
            <w:shd w:val="clear" w:color="auto" w:fill="D5DCE4"/>
            <w:noWrap/>
            <w:vAlign w:val="center"/>
            <w:hideMark/>
          </w:tcPr>
          <w:p w14:paraId="3AE83E36"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18</w:t>
            </w:r>
          </w:p>
        </w:tc>
        <w:tc>
          <w:tcPr>
            <w:tcW w:w="1093" w:type="dxa"/>
            <w:shd w:val="clear" w:color="auto" w:fill="D5DCE4"/>
            <w:noWrap/>
            <w:vAlign w:val="center"/>
            <w:hideMark/>
          </w:tcPr>
          <w:p w14:paraId="7AA75F6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19</w:t>
            </w:r>
          </w:p>
        </w:tc>
        <w:tc>
          <w:tcPr>
            <w:tcW w:w="1112" w:type="dxa"/>
            <w:tcBorders>
              <w:right w:val="single" w:sz="2" w:space="0" w:color="A6A6A6" w:themeColor="background1" w:themeShade="A6"/>
            </w:tcBorders>
            <w:shd w:val="clear" w:color="auto" w:fill="D5DCE4"/>
            <w:noWrap/>
            <w:vAlign w:val="center"/>
            <w:hideMark/>
          </w:tcPr>
          <w:p w14:paraId="0203DEB2"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20</w:t>
            </w:r>
          </w:p>
        </w:tc>
      </w:tr>
      <w:tr w:rsidR="00E570D5" w:rsidRPr="00D0604E" w14:paraId="6EB18544"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5F8747AB" w14:textId="22B947EA"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63D55BA9" w14:textId="43B21AC1"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0B2A5BDB" w14:textId="34861998"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 xml:space="preserve">Τακτικός </w:t>
            </w:r>
            <w:r w:rsidR="00EE4491">
              <w:rPr>
                <w:rFonts w:cs="Arial"/>
                <w:color w:val="000000"/>
                <w:sz w:val="16"/>
                <w:szCs w:val="16"/>
              </w:rPr>
              <w:t>π</w:t>
            </w:r>
            <w:r w:rsidRPr="00D0604E">
              <w:rPr>
                <w:rFonts w:cs="Arial"/>
                <w:color w:val="000000"/>
                <w:sz w:val="16"/>
                <w:szCs w:val="16"/>
              </w:rPr>
              <w:t>ροϋπολογισμός</w:t>
            </w:r>
          </w:p>
        </w:tc>
        <w:tc>
          <w:tcPr>
            <w:tcW w:w="1551" w:type="dxa"/>
            <w:shd w:val="clear" w:color="auto" w:fill="auto"/>
            <w:noWrap/>
            <w:vAlign w:val="center"/>
            <w:hideMark/>
          </w:tcPr>
          <w:p w14:paraId="7312A4E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18</w:t>
            </w:r>
          </w:p>
        </w:tc>
        <w:tc>
          <w:tcPr>
            <w:tcW w:w="1093" w:type="dxa"/>
            <w:shd w:val="clear" w:color="auto" w:fill="auto"/>
            <w:noWrap/>
            <w:vAlign w:val="center"/>
            <w:hideMark/>
          </w:tcPr>
          <w:p w14:paraId="2D4CB1D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19</w:t>
            </w:r>
          </w:p>
        </w:tc>
        <w:tc>
          <w:tcPr>
            <w:tcW w:w="1112" w:type="dxa"/>
            <w:tcBorders>
              <w:right w:val="single" w:sz="2" w:space="0" w:color="A6A6A6" w:themeColor="background1" w:themeShade="A6"/>
            </w:tcBorders>
            <w:shd w:val="clear" w:color="auto" w:fill="auto"/>
            <w:noWrap/>
            <w:vAlign w:val="center"/>
            <w:hideMark/>
          </w:tcPr>
          <w:p w14:paraId="724F7E6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20</w:t>
            </w:r>
          </w:p>
        </w:tc>
      </w:tr>
      <w:tr w:rsidR="00E570D5" w:rsidRPr="00D0604E" w14:paraId="512C70FF" w14:textId="77777777" w:rsidTr="00F53597">
        <w:trPr>
          <w:cantSplit/>
          <w:trHeight w:val="227"/>
          <w:jc w:val="center"/>
        </w:trPr>
        <w:tc>
          <w:tcPr>
            <w:tcW w:w="458" w:type="dxa"/>
            <w:tcBorders>
              <w:left w:val="single" w:sz="2" w:space="0" w:color="A6A6A6" w:themeColor="background1" w:themeShade="A6"/>
            </w:tcBorders>
            <w:shd w:val="clear" w:color="auto" w:fill="auto"/>
            <w:vAlign w:val="center"/>
          </w:tcPr>
          <w:p w14:paraId="2B527D1D" w14:textId="1B32BA2A"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16967B4F" w14:textId="3908A1C4"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26053AE6" w14:textId="34F02A58" w:rsidR="00E570D5" w:rsidRPr="00D0604E" w:rsidRDefault="00C27E11" w:rsidP="00E966FE">
            <w:pPr>
              <w:spacing w:after="0" w:line="276" w:lineRule="auto"/>
              <w:jc w:val="left"/>
              <w:rPr>
                <w:rFonts w:cs="Arial"/>
                <w:color w:val="000000"/>
                <w:sz w:val="16"/>
                <w:szCs w:val="16"/>
              </w:rPr>
            </w:pPr>
            <w:r>
              <w:rPr>
                <w:rFonts w:cs="Arial"/>
                <w:color w:val="000000"/>
                <w:sz w:val="16"/>
                <w:szCs w:val="16"/>
              </w:rPr>
              <w:t>Προϋπολογισμός δημοσίων επενδύσεων (πλην</w:t>
            </w:r>
            <w:r w:rsidRPr="00D0604E">
              <w:rPr>
                <w:rFonts w:cs="Arial"/>
                <w:color w:val="000000"/>
                <w:sz w:val="16"/>
                <w:szCs w:val="16"/>
              </w:rPr>
              <w:t xml:space="preserve"> ΤΑΑ</w:t>
            </w:r>
            <w:r>
              <w:rPr>
                <w:rFonts w:cs="Arial"/>
                <w:color w:val="000000"/>
                <w:sz w:val="16"/>
                <w:szCs w:val="16"/>
              </w:rPr>
              <w:t>)</w:t>
            </w:r>
          </w:p>
        </w:tc>
        <w:tc>
          <w:tcPr>
            <w:tcW w:w="1551" w:type="dxa"/>
            <w:shd w:val="clear" w:color="auto" w:fill="auto"/>
            <w:noWrap/>
            <w:vAlign w:val="center"/>
            <w:hideMark/>
          </w:tcPr>
          <w:p w14:paraId="31B1620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7D0B2DB0"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30E4B62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0604E" w14:paraId="60295913" w14:textId="77777777" w:rsidTr="00F53597">
        <w:trPr>
          <w:cantSplit/>
          <w:trHeight w:val="227"/>
          <w:jc w:val="center"/>
        </w:trPr>
        <w:tc>
          <w:tcPr>
            <w:tcW w:w="458" w:type="dxa"/>
            <w:tcBorders>
              <w:left w:val="single" w:sz="2" w:space="0" w:color="A6A6A6" w:themeColor="background1" w:themeShade="A6"/>
            </w:tcBorders>
            <w:shd w:val="clear" w:color="auto" w:fill="auto"/>
            <w:vAlign w:val="center"/>
          </w:tcPr>
          <w:p w14:paraId="30F7D263" w14:textId="5B615A7F" w:rsidR="00E570D5" w:rsidRPr="00D0604E" w:rsidRDefault="00E570D5" w:rsidP="00D36DDE">
            <w:pPr>
              <w:spacing w:after="0" w:line="276" w:lineRule="auto"/>
              <w:jc w:val="center"/>
              <w:rPr>
                <w:rFonts w:cs="Arial"/>
                <w:color w:val="000000"/>
                <w:sz w:val="16"/>
                <w:szCs w:val="16"/>
              </w:rPr>
            </w:pPr>
          </w:p>
        </w:tc>
        <w:tc>
          <w:tcPr>
            <w:tcW w:w="2800" w:type="dxa"/>
            <w:shd w:val="clear" w:color="auto" w:fill="auto"/>
            <w:vAlign w:val="center"/>
          </w:tcPr>
          <w:p w14:paraId="2E4EDB16" w14:textId="041CAE8F" w:rsidR="00E570D5" w:rsidRPr="00D0604E" w:rsidRDefault="00E570D5" w:rsidP="00E966FE">
            <w:pPr>
              <w:spacing w:after="0" w:line="276" w:lineRule="auto"/>
              <w:jc w:val="left"/>
              <w:rPr>
                <w:rFonts w:cs="Arial"/>
                <w:color w:val="000000"/>
                <w:sz w:val="16"/>
                <w:szCs w:val="16"/>
              </w:rPr>
            </w:pPr>
          </w:p>
        </w:tc>
        <w:tc>
          <w:tcPr>
            <w:tcW w:w="3118" w:type="dxa"/>
            <w:shd w:val="clear" w:color="auto" w:fill="auto"/>
            <w:noWrap/>
            <w:vAlign w:val="center"/>
            <w:hideMark/>
          </w:tcPr>
          <w:p w14:paraId="22379A89" w14:textId="77777777" w:rsidR="00E570D5" w:rsidRPr="00D0604E" w:rsidRDefault="00E570D5" w:rsidP="00E966FE">
            <w:pPr>
              <w:spacing w:after="0" w:line="276" w:lineRule="auto"/>
              <w:jc w:val="left"/>
              <w:rPr>
                <w:rFonts w:cs="Arial"/>
                <w:color w:val="000000"/>
                <w:sz w:val="16"/>
                <w:szCs w:val="16"/>
              </w:rPr>
            </w:pPr>
            <w:r w:rsidRPr="00D0604E">
              <w:rPr>
                <w:rFonts w:cs="Arial"/>
                <w:color w:val="000000"/>
                <w:sz w:val="16"/>
                <w:szCs w:val="16"/>
              </w:rPr>
              <w:t>ΤΑΑ</w:t>
            </w:r>
          </w:p>
        </w:tc>
        <w:tc>
          <w:tcPr>
            <w:tcW w:w="1551" w:type="dxa"/>
            <w:shd w:val="clear" w:color="auto" w:fill="auto"/>
            <w:noWrap/>
            <w:vAlign w:val="center"/>
            <w:hideMark/>
          </w:tcPr>
          <w:p w14:paraId="4A302E72"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093" w:type="dxa"/>
            <w:shd w:val="clear" w:color="auto" w:fill="auto"/>
            <w:noWrap/>
            <w:vAlign w:val="center"/>
            <w:hideMark/>
          </w:tcPr>
          <w:p w14:paraId="3572997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c>
          <w:tcPr>
            <w:tcW w:w="1112" w:type="dxa"/>
            <w:tcBorders>
              <w:right w:val="single" w:sz="2" w:space="0" w:color="A6A6A6" w:themeColor="background1" w:themeShade="A6"/>
            </w:tcBorders>
            <w:shd w:val="clear" w:color="auto" w:fill="auto"/>
            <w:noWrap/>
            <w:vAlign w:val="center"/>
            <w:hideMark/>
          </w:tcPr>
          <w:p w14:paraId="08773498"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0</w:t>
            </w:r>
          </w:p>
        </w:tc>
      </w:tr>
      <w:tr w:rsidR="00E570D5" w:rsidRPr="00DA24F4" w14:paraId="757EC6B1" w14:textId="77777777" w:rsidTr="00E966FE">
        <w:trPr>
          <w:cantSplit/>
          <w:trHeight w:val="227"/>
          <w:jc w:val="center"/>
        </w:trPr>
        <w:tc>
          <w:tcPr>
            <w:tcW w:w="458" w:type="dxa"/>
            <w:tcBorders>
              <w:left w:val="single" w:sz="2" w:space="0" w:color="A6A6A6" w:themeColor="background1" w:themeShade="A6"/>
            </w:tcBorders>
            <w:shd w:val="clear" w:color="auto" w:fill="D5DCE4"/>
            <w:vAlign w:val="center"/>
            <w:hideMark/>
          </w:tcPr>
          <w:p w14:paraId="26A02F89" w14:textId="77777777" w:rsidR="00E570D5" w:rsidRPr="00DA24F4" w:rsidRDefault="00E570D5" w:rsidP="00D36DDE">
            <w:pPr>
              <w:spacing w:after="0" w:line="276" w:lineRule="auto"/>
              <w:jc w:val="center"/>
              <w:rPr>
                <w:rFonts w:cs="Arial"/>
                <w:b/>
                <w:bCs/>
                <w:color w:val="000000"/>
                <w:sz w:val="16"/>
                <w:szCs w:val="16"/>
              </w:rPr>
            </w:pPr>
            <w:r w:rsidRPr="00DA24F4">
              <w:rPr>
                <w:rFonts w:cs="Arial"/>
                <w:b/>
                <w:bCs/>
                <w:color w:val="000000"/>
                <w:sz w:val="16"/>
                <w:szCs w:val="16"/>
              </w:rPr>
              <w:t>Α</w:t>
            </w:r>
          </w:p>
        </w:tc>
        <w:tc>
          <w:tcPr>
            <w:tcW w:w="5918" w:type="dxa"/>
            <w:gridSpan w:val="2"/>
            <w:shd w:val="clear" w:color="auto" w:fill="D5DCE4"/>
            <w:vAlign w:val="center"/>
            <w:hideMark/>
          </w:tcPr>
          <w:p w14:paraId="6A4C59EF" w14:textId="7E655EEE" w:rsidR="00E570D5" w:rsidRPr="00DA24F4" w:rsidRDefault="00E570D5" w:rsidP="00D36DDE">
            <w:pPr>
              <w:spacing w:after="0" w:line="276" w:lineRule="auto"/>
              <w:jc w:val="left"/>
              <w:rPr>
                <w:rFonts w:cs="Arial"/>
                <w:b/>
                <w:bCs/>
                <w:color w:val="000000"/>
                <w:sz w:val="16"/>
                <w:szCs w:val="16"/>
              </w:rPr>
            </w:pPr>
            <w:r w:rsidRPr="00DA24F4">
              <w:rPr>
                <w:rFonts w:cs="Arial"/>
                <w:b/>
                <w:bCs/>
                <w:color w:val="000000"/>
                <w:sz w:val="16"/>
                <w:szCs w:val="16"/>
              </w:rPr>
              <w:t xml:space="preserve">Ταμειακό Σύνολο μη χρηματοοικονομικών δαπανών </w:t>
            </w:r>
            <w:r w:rsidR="00EE4491" w:rsidRPr="00DA24F4">
              <w:rPr>
                <w:rFonts w:cs="Arial"/>
                <w:b/>
                <w:bCs/>
                <w:color w:val="000000"/>
                <w:sz w:val="16"/>
                <w:szCs w:val="16"/>
              </w:rPr>
              <w:t>κ</w:t>
            </w:r>
            <w:r w:rsidRPr="00DA24F4">
              <w:rPr>
                <w:rFonts w:cs="Arial"/>
                <w:b/>
                <w:bCs/>
                <w:color w:val="000000"/>
                <w:sz w:val="16"/>
                <w:szCs w:val="16"/>
              </w:rPr>
              <w:t xml:space="preserve">ρατικού </w:t>
            </w:r>
            <w:r w:rsidR="00EE4491" w:rsidRPr="00DA24F4">
              <w:rPr>
                <w:rFonts w:cs="Arial"/>
                <w:b/>
                <w:bCs/>
                <w:color w:val="000000"/>
                <w:sz w:val="16"/>
                <w:szCs w:val="16"/>
              </w:rPr>
              <w:t>π</w:t>
            </w:r>
            <w:r w:rsidRPr="00DA24F4">
              <w:rPr>
                <w:rFonts w:cs="Arial"/>
                <w:b/>
                <w:bCs/>
                <w:color w:val="000000"/>
                <w:sz w:val="16"/>
                <w:szCs w:val="16"/>
              </w:rPr>
              <w:t>ροϋπολογισμού</w:t>
            </w:r>
          </w:p>
        </w:tc>
        <w:tc>
          <w:tcPr>
            <w:tcW w:w="1551" w:type="dxa"/>
            <w:shd w:val="clear" w:color="auto" w:fill="D5DCE4"/>
            <w:noWrap/>
            <w:vAlign w:val="center"/>
            <w:hideMark/>
          </w:tcPr>
          <w:p w14:paraId="0E230463" w14:textId="77777777" w:rsidR="00E570D5" w:rsidRPr="00DA24F4" w:rsidRDefault="00E570D5" w:rsidP="00E966FE">
            <w:pPr>
              <w:spacing w:after="0" w:line="276" w:lineRule="auto"/>
              <w:jc w:val="right"/>
              <w:rPr>
                <w:rFonts w:cs="Arial"/>
                <w:b/>
                <w:bCs/>
                <w:color w:val="000000"/>
                <w:sz w:val="16"/>
                <w:szCs w:val="16"/>
              </w:rPr>
            </w:pPr>
            <w:r w:rsidRPr="00DA24F4">
              <w:rPr>
                <w:rFonts w:cs="Arial"/>
                <w:b/>
                <w:bCs/>
                <w:color w:val="000000"/>
                <w:sz w:val="16"/>
                <w:szCs w:val="16"/>
              </w:rPr>
              <w:t>79.871</w:t>
            </w:r>
          </w:p>
        </w:tc>
        <w:tc>
          <w:tcPr>
            <w:tcW w:w="1093" w:type="dxa"/>
            <w:shd w:val="clear" w:color="auto" w:fill="D5DCE4"/>
            <w:noWrap/>
            <w:vAlign w:val="center"/>
            <w:hideMark/>
          </w:tcPr>
          <w:p w14:paraId="706C0648" w14:textId="77777777" w:rsidR="00E570D5" w:rsidRPr="00DA24F4" w:rsidRDefault="00E570D5" w:rsidP="00E966FE">
            <w:pPr>
              <w:spacing w:after="0" w:line="276" w:lineRule="auto"/>
              <w:jc w:val="right"/>
              <w:rPr>
                <w:rFonts w:cs="Arial"/>
                <w:b/>
                <w:bCs/>
                <w:color w:val="000000"/>
                <w:sz w:val="16"/>
                <w:szCs w:val="16"/>
              </w:rPr>
            </w:pPr>
            <w:r w:rsidRPr="00DA24F4">
              <w:rPr>
                <w:rFonts w:cs="Arial"/>
                <w:b/>
                <w:bCs/>
                <w:color w:val="000000"/>
                <w:sz w:val="16"/>
                <w:szCs w:val="16"/>
              </w:rPr>
              <w:t>80.447</w:t>
            </w:r>
          </w:p>
        </w:tc>
        <w:tc>
          <w:tcPr>
            <w:tcW w:w="1112" w:type="dxa"/>
            <w:tcBorders>
              <w:right w:val="single" w:sz="2" w:space="0" w:color="A6A6A6" w:themeColor="background1" w:themeShade="A6"/>
            </w:tcBorders>
            <w:shd w:val="clear" w:color="auto" w:fill="D5DCE4"/>
            <w:noWrap/>
            <w:vAlign w:val="center"/>
            <w:hideMark/>
          </w:tcPr>
          <w:p w14:paraId="7B39DA75" w14:textId="77777777" w:rsidR="00E570D5" w:rsidRPr="00DA24F4" w:rsidRDefault="00E570D5" w:rsidP="00E966FE">
            <w:pPr>
              <w:spacing w:after="0" w:line="276" w:lineRule="auto"/>
              <w:jc w:val="right"/>
              <w:rPr>
                <w:rFonts w:cs="Arial"/>
                <w:b/>
                <w:bCs/>
                <w:color w:val="000000"/>
                <w:sz w:val="16"/>
                <w:szCs w:val="16"/>
              </w:rPr>
            </w:pPr>
            <w:r w:rsidRPr="00DA24F4">
              <w:rPr>
                <w:rFonts w:cs="Arial"/>
                <w:b/>
                <w:bCs/>
                <w:color w:val="000000"/>
                <w:sz w:val="16"/>
                <w:szCs w:val="16"/>
              </w:rPr>
              <w:t>86.046</w:t>
            </w:r>
          </w:p>
        </w:tc>
      </w:tr>
      <w:tr w:rsidR="00E570D5" w:rsidRPr="00D0604E" w14:paraId="4ABD4496" w14:textId="77777777" w:rsidTr="00F53A23">
        <w:trPr>
          <w:cantSplit/>
          <w:trHeight w:val="283"/>
          <w:jc w:val="center"/>
        </w:trPr>
        <w:tc>
          <w:tcPr>
            <w:tcW w:w="458" w:type="dxa"/>
            <w:tcBorders>
              <w:left w:val="single" w:sz="2" w:space="0" w:color="A6A6A6" w:themeColor="background1" w:themeShade="A6"/>
            </w:tcBorders>
            <w:shd w:val="clear" w:color="auto" w:fill="F2F2F2" w:themeFill="background1" w:themeFillShade="F2"/>
            <w:noWrap/>
            <w:vAlign w:val="center"/>
            <w:hideMark/>
          </w:tcPr>
          <w:p w14:paraId="7C7D3E41"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Ι</w:t>
            </w:r>
          </w:p>
        </w:tc>
        <w:tc>
          <w:tcPr>
            <w:tcW w:w="5918" w:type="dxa"/>
            <w:gridSpan w:val="2"/>
            <w:shd w:val="clear" w:color="auto" w:fill="F2F2F2" w:themeFill="background1" w:themeFillShade="F2"/>
            <w:noWrap/>
            <w:vAlign w:val="center"/>
            <w:hideMark/>
          </w:tcPr>
          <w:p w14:paraId="6BCA44DD" w14:textId="59F041B8" w:rsidR="00E570D5" w:rsidRPr="00D0604E" w:rsidRDefault="00E570D5" w:rsidP="00D36DDE">
            <w:pPr>
              <w:spacing w:after="0" w:line="276" w:lineRule="auto"/>
              <w:jc w:val="left"/>
              <w:rPr>
                <w:rFonts w:cs="Arial"/>
                <w:b/>
                <w:bCs/>
                <w:color w:val="000000"/>
                <w:sz w:val="16"/>
                <w:szCs w:val="16"/>
              </w:rPr>
            </w:pPr>
            <w:r w:rsidRPr="00D0604E">
              <w:rPr>
                <w:rFonts w:cs="Arial"/>
                <w:b/>
                <w:bCs/>
                <w:color w:val="000000"/>
                <w:sz w:val="16"/>
                <w:szCs w:val="16"/>
              </w:rPr>
              <w:t xml:space="preserve">Σύνολο μη χρηματοοικονομικών δαπανών </w:t>
            </w:r>
            <w:r w:rsidR="00EE4491">
              <w:rPr>
                <w:rFonts w:cs="Arial"/>
                <w:b/>
                <w:bCs/>
                <w:color w:val="000000"/>
                <w:sz w:val="16"/>
                <w:szCs w:val="16"/>
              </w:rPr>
              <w:t>τ</w:t>
            </w:r>
            <w:r w:rsidRPr="00D0604E">
              <w:rPr>
                <w:rFonts w:cs="Arial"/>
                <w:b/>
                <w:bCs/>
                <w:color w:val="000000"/>
                <w:sz w:val="16"/>
                <w:szCs w:val="16"/>
              </w:rPr>
              <w:t xml:space="preserve">ακτικού </w:t>
            </w:r>
            <w:r w:rsidR="00EE4491">
              <w:rPr>
                <w:rFonts w:cs="Arial"/>
                <w:b/>
                <w:bCs/>
                <w:color w:val="000000"/>
                <w:sz w:val="16"/>
                <w:szCs w:val="16"/>
              </w:rPr>
              <w:t>π</w:t>
            </w:r>
            <w:r w:rsidRPr="00D0604E">
              <w:rPr>
                <w:rFonts w:cs="Arial"/>
                <w:b/>
                <w:bCs/>
                <w:color w:val="000000"/>
                <w:sz w:val="16"/>
                <w:szCs w:val="16"/>
              </w:rPr>
              <w:t>ροϋπολογισμού</w:t>
            </w:r>
          </w:p>
        </w:tc>
        <w:tc>
          <w:tcPr>
            <w:tcW w:w="1551" w:type="dxa"/>
            <w:shd w:val="clear" w:color="auto" w:fill="F2F2F2" w:themeFill="background1" w:themeFillShade="F2"/>
            <w:noWrap/>
            <w:vAlign w:val="center"/>
            <w:hideMark/>
          </w:tcPr>
          <w:p w14:paraId="49C0B8DD"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65.771</w:t>
            </w:r>
          </w:p>
        </w:tc>
        <w:tc>
          <w:tcPr>
            <w:tcW w:w="1093" w:type="dxa"/>
            <w:shd w:val="clear" w:color="auto" w:fill="F2F2F2" w:themeFill="background1" w:themeFillShade="F2"/>
            <w:noWrap/>
            <w:vAlign w:val="center"/>
            <w:hideMark/>
          </w:tcPr>
          <w:p w14:paraId="0180C364"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65.847</w:t>
            </w:r>
          </w:p>
        </w:tc>
        <w:tc>
          <w:tcPr>
            <w:tcW w:w="1112" w:type="dxa"/>
            <w:tcBorders>
              <w:right w:val="single" w:sz="2" w:space="0" w:color="A6A6A6" w:themeColor="background1" w:themeShade="A6"/>
            </w:tcBorders>
            <w:shd w:val="clear" w:color="auto" w:fill="F2F2F2" w:themeFill="background1" w:themeFillShade="F2"/>
            <w:noWrap/>
            <w:vAlign w:val="center"/>
            <w:hideMark/>
          </w:tcPr>
          <w:p w14:paraId="43D48348"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69.354</w:t>
            </w:r>
          </w:p>
        </w:tc>
      </w:tr>
      <w:tr w:rsidR="00E570D5" w:rsidRPr="00D0604E" w14:paraId="62360B9A" w14:textId="77777777" w:rsidTr="00F53A23">
        <w:trPr>
          <w:cantSplit/>
          <w:trHeight w:val="283"/>
          <w:jc w:val="center"/>
        </w:trPr>
        <w:tc>
          <w:tcPr>
            <w:tcW w:w="458" w:type="dxa"/>
            <w:tcBorders>
              <w:left w:val="single" w:sz="2" w:space="0" w:color="A6A6A6" w:themeColor="background1" w:themeShade="A6"/>
            </w:tcBorders>
            <w:shd w:val="clear" w:color="auto" w:fill="auto"/>
            <w:vAlign w:val="center"/>
            <w:hideMark/>
          </w:tcPr>
          <w:p w14:paraId="59FD1538"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i</w:t>
            </w:r>
          </w:p>
        </w:tc>
        <w:tc>
          <w:tcPr>
            <w:tcW w:w="5918" w:type="dxa"/>
            <w:gridSpan w:val="2"/>
            <w:shd w:val="clear" w:color="auto" w:fill="auto"/>
            <w:noWrap/>
            <w:vAlign w:val="center"/>
            <w:hideMark/>
          </w:tcPr>
          <w:p w14:paraId="5D23E04E" w14:textId="77777777" w:rsidR="00E570D5" w:rsidRPr="00D0604E" w:rsidRDefault="00E570D5" w:rsidP="00D36DDE">
            <w:pPr>
              <w:spacing w:after="0" w:line="276" w:lineRule="auto"/>
              <w:jc w:val="left"/>
              <w:rPr>
                <w:rFonts w:cs="Arial"/>
                <w:b/>
                <w:bCs/>
                <w:color w:val="000000"/>
                <w:sz w:val="16"/>
                <w:szCs w:val="16"/>
              </w:rPr>
            </w:pPr>
            <w:r w:rsidRPr="00D0604E">
              <w:rPr>
                <w:rFonts w:cs="Arial"/>
                <w:b/>
                <w:bCs/>
                <w:color w:val="000000"/>
                <w:sz w:val="16"/>
                <w:szCs w:val="16"/>
              </w:rPr>
              <w:t>Πρωτογενείς δαπάνες</w:t>
            </w:r>
          </w:p>
        </w:tc>
        <w:tc>
          <w:tcPr>
            <w:tcW w:w="1551" w:type="dxa"/>
            <w:shd w:val="clear" w:color="auto" w:fill="auto"/>
            <w:noWrap/>
            <w:vAlign w:val="center"/>
            <w:hideMark/>
          </w:tcPr>
          <w:p w14:paraId="4460FDCE"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58.070</w:t>
            </w:r>
          </w:p>
        </w:tc>
        <w:tc>
          <w:tcPr>
            <w:tcW w:w="1093" w:type="dxa"/>
            <w:shd w:val="clear" w:color="auto" w:fill="auto"/>
            <w:noWrap/>
            <w:vAlign w:val="center"/>
            <w:hideMark/>
          </w:tcPr>
          <w:p w14:paraId="57F5B023"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57.839</w:t>
            </w:r>
          </w:p>
        </w:tc>
        <w:tc>
          <w:tcPr>
            <w:tcW w:w="1112" w:type="dxa"/>
            <w:tcBorders>
              <w:right w:val="single" w:sz="2" w:space="0" w:color="A6A6A6" w:themeColor="background1" w:themeShade="A6"/>
            </w:tcBorders>
            <w:shd w:val="clear" w:color="auto" w:fill="auto"/>
            <w:noWrap/>
            <w:vAlign w:val="center"/>
            <w:hideMark/>
          </w:tcPr>
          <w:p w14:paraId="07730290"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61.436</w:t>
            </w:r>
          </w:p>
        </w:tc>
      </w:tr>
      <w:tr w:rsidR="00E570D5" w:rsidRPr="00D0604E" w14:paraId="061DA949"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E68031D" w14:textId="7263FD47" w:rsidR="00E570D5" w:rsidRPr="00D0604E" w:rsidRDefault="00E570D5" w:rsidP="00D36DDE">
            <w:pPr>
              <w:spacing w:after="0" w:line="276" w:lineRule="auto"/>
              <w:jc w:val="center"/>
              <w:rPr>
                <w:rFonts w:cs="Arial"/>
                <w:i/>
                <w:iCs/>
                <w:color w:val="000000"/>
                <w:sz w:val="16"/>
                <w:szCs w:val="16"/>
              </w:rPr>
            </w:pPr>
          </w:p>
        </w:tc>
        <w:tc>
          <w:tcPr>
            <w:tcW w:w="5918" w:type="dxa"/>
            <w:gridSpan w:val="2"/>
            <w:shd w:val="clear" w:color="auto" w:fill="auto"/>
            <w:noWrap/>
            <w:vAlign w:val="center"/>
            <w:hideMark/>
          </w:tcPr>
          <w:p w14:paraId="074C4628" w14:textId="77777777" w:rsidR="00E570D5" w:rsidRPr="00D0604E" w:rsidRDefault="00E570D5" w:rsidP="00D36DDE">
            <w:pPr>
              <w:spacing w:after="0" w:line="276" w:lineRule="auto"/>
              <w:jc w:val="left"/>
              <w:rPr>
                <w:rFonts w:cs="Arial"/>
                <w:i/>
                <w:iCs/>
                <w:color w:val="000000"/>
                <w:sz w:val="16"/>
                <w:szCs w:val="16"/>
                <w:u w:val="single"/>
              </w:rPr>
            </w:pPr>
            <w:r w:rsidRPr="00D0604E">
              <w:rPr>
                <w:rFonts w:cs="Arial"/>
                <w:i/>
                <w:iCs/>
                <w:color w:val="000000"/>
                <w:sz w:val="16"/>
                <w:szCs w:val="16"/>
                <w:u w:val="single"/>
              </w:rPr>
              <w:t>εκ των οποίων:</w:t>
            </w:r>
          </w:p>
        </w:tc>
        <w:tc>
          <w:tcPr>
            <w:tcW w:w="1551" w:type="dxa"/>
            <w:shd w:val="clear" w:color="auto" w:fill="auto"/>
            <w:noWrap/>
            <w:vAlign w:val="center"/>
          </w:tcPr>
          <w:p w14:paraId="142C1F1C" w14:textId="03A598BC" w:rsidR="00E570D5" w:rsidRPr="00D0604E" w:rsidRDefault="00E570D5" w:rsidP="00E966FE">
            <w:pPr>
              <w:spacing w:after="0" w:line="276" w:lineRule="auto"/>
              <w:jc w:val="right"/>
              <w:rPr>
                <w:rFonts w:cs="Arial"/>
                <w:b/>
                <w:bCs/>
                <w:color w:val="000000"/>
                <w:sz w:val="16"/>
                <w:szCs w:val="16"/>
              </w:rPr>
            </w:pPr>
          </w:p>
        </w:tc>
        <w:tc>
          <w:tcPr>
            <w:tcW w:w="1093" w:type="dxa"/>
            <w:shd w:val="clear" w:color="auto" w:fill="auto"/>
            <w:noWrap/>
            <w:vAlign w:val="center"/>
          </w:tcPr>
          <w:p w14:paraId="7BB23FF2" w14:textId="6590EB73" w:rsidR="00E570D5" w:rsidRPr="00D0604E" w:rsidRDefault="00E570D5" w:rsidP="00E966FE">
            <w:pPr>
              <w:spacing w:after="0" w:line="276" w:lineRule="auto"/>
              <w:jc w:val="right"/>
              <w:rPr>
                <w:rFonts w:cs="Arial"/>
                <w:b/>
                <w:bCs/>
                <w:color w:val="000000"/>
                <w:sz w:val="16"/>
                <w:szCs w:val="16"/>
              </w:rPr>
            </w:pPr>
          </w:p>
        </w:tc>
        <w:tc>
          <w:tcPr>
            <w:tcW w:w="1112" w:type="dxa"/>
            <w:tcBorders>
              <w:right w:val="single" w:sz="2" w:space="0" w:color="A6A6A6" w:themeColor="background1" w:themeShade="A6"/>
            </w:tcBorders>
            <w:shd w:val="clear" w:color="auto" w:fill="auto"/>
            <w:noWrap/>
            <w:vAlign w:val="center"/>
          </w:tcPr>
          <w:p w14:paraId="004C31C3" w14:textId="0F87BE01" w:rsidR="00E570D5" w:rsidRPr="00D0604E" w:rsidRDefault="00E570D5" w:rsidP="00E966FE">
            <w:pPr>
              <w:spacing w:after="0" w:line="276" w:lineRule="auto"/>
              <w:jc w:val="right"/>
              <w:rPr>
                <w:rFonts w:cs="Arial"/>
                <w:b/>
                <w:bCs/>
                <w:color w:val="000000"/>
                <w:sz w:val="16"/>
                <w:szCs w:val="16"/>
              </w:rPr>
            </w:pPr>
          </w:p>
        </w:tc>
      </w:tr>
      <w:tr w:rsidR="00E570D5" w:rsidRPr="00D0604E" w14:paraId="1BDD11A9"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3AF405C7" w14:textId="00F88522" w:rsidR="00E570D5" w:rsidRPr="00D0604E" w:rsidRDefault="00E570D5" w:rsidP="00D36DDE">
            <w:pPr>
              <w:spacing w:after="0" w:line="276" w:lineRule="auto"/>
              <w:jc w:val="center"/>
              <w:rPr>
                <w:rFonts w:cs="Arial"/>
                <w:i/>
                <w:iCs/>
                <w:color w:val="000000"/>
                <w:sz w:val="16"/>
                <w:szCs w:val="16"/>
              </w:rPr>
            </w:pPr>
          </w:p>
        </w:tc>
        <w:tc>
          <w:tcPr>
            <w:tcW w:w="5918" w:type="dxa"/>
            <w:gridSpan w:val="2"/>
            <w:shd w:val="clear" w:color="auto" w:fill="auto"/>
            <w:vAlign w:val="center"/>
            <w:hideMark/>
          </w:tcPr>
          <w:p w14:paraId="3E8E643E" w14:textId="77777777" w:rsidR="00E570D5" w:rsidRPr="00D0604E" w:rsidRDefault="00E570D5" w:rsidP="00D36DDE">
            <w:pPr>
              <w:spacing w:after="0" w:line="276" w:lineRule="auto"/>
              <w:jc w:val="left"/>
              <w:rPr>
                <w:rFonts w:cs="Arial"/>
                <w:i/>
                <w:iCs/>
                <w:color w:val="000000"/>
                <w:sz w:val="16"/>
                <w:szCs w:val="16"/>
              </w:rPr>
            </w:pPr>
            <w:r w:rsidRPr="00D0604E">
              <w:rPr>
                <w:rFonts w:cs="Arial"/>
                <w:i/>
                <w:iCs/>
                <w:color w:val="000000"/>
                <w:sz w:val="16"/>
                <w:szCs w:val="16"/>
              </w:rPr>
              <w:t>Καταπτώσεις εγγυήσεων</w:t>
            </w:r>
          </w:p>
        </w:tc>
        <w:tc>
          <w:tcPr>
            <w:tcW w:w="1551" w:type="dxa"/>
            <w:shd w:val="clear" w:color="auto" w:fill="auto"/>
            <w:noWrap/>
            <w:vAlign w:val="center"/>
            <w:hideMark/>
          </w:tcPr>
          <w:p w14:paraId="77A87403"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383</w:t>
            </w:r>
          </w:p>
        </w:tc>
        <w:tc>
          <w:tcPr>
            <w:tcW w:w="1093" w:type="dxa"/>
            <w:shd w:val="clear" w:color="auto" w:fill="auto"/>
            <w:noWrap/>
            <w:vAlign w:val="center"/>
            <w:hideMark/>
          </w:tcPr>
          <w:p w14:paraId="1477A0F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333</w:t>
            </w:r>
          </w:p>
        </w:tc>
        <w:tc>
          <w:tcPr>
            <w:tcW w:w="1112" w:type="dxa"/>
            <w:tcBorders>
              <w:right w:val="single" w:sz="2" w:space="0" w:color="A6A6A6" w:themeColor="background1" w:themeShade="A6"/>
            </w:tcBorders>
            <w:shd w:val="clear" w:color="auto" w:fill="auto"/>
            <w:noWrap/>
            <w:vAlign w:val="center"/>
            <w:hideMark/>
          </w:tcPr>
          <w:p w14:paraId="4C66B93C"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407</w:t>
            </w:r>
          </w:p>
        </w:tc>
      </w:tr>
      <w:tr w:rsidR="00E570D5" w:rsidRPr="00D0604E" w14:paraId="29D0BE41"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0AFB323A" w14:textId="59181209" w:rsidR="00E570D5" w:rsidRPr="00D0604E" w:rsidRDefault="00E570D5" w:rsidP="00D36DDE">
            <w:pPr>
              <w:spacing w:after="0" w:line="276" w:lineRule="auto"/>
              <w:jc w:val="center"/>
              <w:rPr>
                <w:rFonts w:cs="Arial"/>
                <w:i/>
                <w:iCs/>
                <w:color w:val="000000"/>
                <w:sz w:val="16"/>
                <w:szCs w:val="16"/>
              </w:rPr>
            </w:pPr>
          </w:p>
        </w:tc>
        <w:tc>
          <w:tcPr>
            <w:tcW w:w="5918" w:type="dxa"/>
            <w:gridSpan w:val="2"/>
            <w:shd w:val="clear" w:color="auto" w:fill="auto"/>
            <w:vAlign w:val="center"/>
            <w:hideMark/>
          </w:tcPr>
          <w:p w14:paraId="61C28687" w14:textId="77777777" w:rsidR="00E570D5" w:rsidRPr="00D0604E" w:rsidRDefault="00E570D5" w:rsidP="00D36DDE">
            <w:pPr>
              <w:spacing w:after="0" w:line="276" w:lineRule="auto"/>
              <w:jc w:val="left"/>
              <w:rPr>
                <w:rFonts w:cs="Arial"/>
                <w:i/>
                <w:iCs/>
                <w:color w:val="000000"/>
                <w:sz w:val="16"/>
                <w:szCs w:val="16"/>
              </w:rPr>
            </w:pPr>
            <w:r w:rsidRPr="00D0604E">
              <w:rPr>
                <w:rFonts w:cs="Arial"/>
                <w:i/>
                <w:iCs/>
                <w:color w:val="000000"/>
                <w:sz w:val="16"/>
                <w:szCs w:val="16"/>
              </w:rPr>
              <w:t>Προμήθειες για χρηματοοικονομικές υπηρεσίες</w:t>
            </w:r>
          </w:p>
        </w:tc>
        <w:tc>
          <w:tcPr>
            <w:tcW w:w="1551" w:type="dxa"/>
            <w:shd w:val="clear" w:color="auto" w:fill="auto"/>
            <w:noWrap/>
            <w:vAlign w:val="center"/>
            <w:hideMark/>
          </w:tcPr>
          <w:p w14:paraId="7EAFD05E"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40</w:t>
            </w:r>
          </w:p>
        </w:tc>
        <w:tc>
          <w:tcPr>
            <w:tcW w:w="1093" w:type="dxa"/>
            <w:shd w:val="clear" w:color="auto" w:fill="auto"/>
            <w:noWrap/>
            <w:vAlign w:val="center"/>
            <w:hideMark/>
          </w:tcPr>
          <w:p w14:paraId="39D9927F"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35</w:t>
            </w:r>
          </w:p>
        </w:tc>
        <w:tc>
          <w:tcPr>
            <w:tcW w:w="1112" w:type="dxa"/>
            <w:tcBorders>
              <w:right w:val="single" w:sz="2" w:space="0" w:color="A6A6A6" w:themeColor="background1" w:themeShade="A6"/>
            </w:tcBorders>
            <w:shd w:val="clear" w:color="auto" w:fill="auto"/>
            <w:noWrap/>
            <w:vAlign w:val="center"/>
            <w:hideMark/>
          </w:tcPr>
          <w:p w14:paraId="6AD5DEC9"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40</w:t>
            </w:r>
          </w:p>
        </w:tc>
      </w:tr>
      <w:tr w:rsidR="00E570D5" w:rsidRPr="00D0604E" w14:paraId="0C9ABC28" w14:textId="77777777" w:rsidTr="00E966FE">
        <w:trPr>
          <w:cantSplit/>
          <w:trHeight w:val="227"/>
          <w:jc w:val="center"/>
        </w:trPr>
        <w:tc>
          <w:tcPr>
            <w:tcW w:w="458" w:type="dxa"/>
            <w:tcBorders>
              <w:left w:val="single" w:sz="2" w:space="0" w:color="A6A6A6" w:themeColor="background1" w:themeShade="A6"/>
            </w:tcBorders>
            <w:shd w:val="clear" w:color="auto" w:fill="auto"/>
            <w:vAlign w:val="center"/>
          </w:tcPr>
          <w:p w14:paraId="481F998E" w14:textId="0B78D551" w:rsidR="00E570D5" w:rsidRPr="00D0604E" w:rsidRDefault="00E570D5" w:rsidP="00D36DDE">
            <w:pPr>
              <w:spacing w:after="0" w:line="276" w:lineRule="auto"/>
              <w:jc w:val="center"/>
              <w:rPr>
                <w:rFonts w:cs="Arial"/>
                <w:i/>
                <w:iCs/>
                <w:color w:val="000000"/>
                <w:sz w:val="16"/>
                <w:szCs w:val="16"/>
              </w:rPr>
            </w:pPr>
          </w:p>
        </w:tc>
        <w:tc>
          <w:tcPr>
            <w:tcW w:w="5918" w:type="dxa"/>
            <w:gridSpan w:val="2"/>
            <w:shd w:val="clear" w:color="auto" w:fill="auto"/>
            <w:vAlign w:val="center"/>
            <w:hideMark/>
          </w:tcPr>
          <w:p w14:paraId="7F52C389" w14:textId="4258C300" w:rsidR="00E570D5" w:rsidRPr="00D0604E" w:rsidRDefault="00E570D5" w:rsidP="00D36DDE">
            <w:pPr>
              <w:spacing w:after="0" w:line="276" w:lineRule="auto"/>
              <w:jc w:val="left"/>
              <w:rPr>
                <w:rFonts w:cs="Arial"/>
                <w:i/>
                <w:iCs/>
                <w:color w:val="000000"/>
                <w:sz w:val="16"/>
                <w:szCs w:val="16"/>
              </w:rPr>
            </w:pPr>
            <w:r w:rsidRPr="00D0604E">
              <w:rPr>
                <w:rFonts w:cs="Arial"/>
                <w:i/>
                <w:iCs/>
                <w:color w:val="000000"/>
                <w:sz w:val="16"/>
                <w:szCs w:val="16"/>
              </w:rPr>
              <w:t>Αγορές οπλικών συστημάτων από προγράμματα εξοπλισμού</w:t>
            </w:r>
            <w:r w:rsidR="006C1ABE" w:rsidRPr="00672D63">
              <w:rPr>
                <w:rFonts w:cs="Arial"/>
                <w:i/>
                <w:iCs/>
                <w:color w:val="000000"/>
                <w:sz w:val="16"/>
                <w:szCs w:val="16"/>
                <w:vertAlign w:val="superscript"/>
              </w:rPr>
              <w:t>5</w:t>
            </w:r>
          </w:p>
        </w:tc>
        <w:tc>
          <w:tcPr>
            <w:tcW w:w="1551" w:type="dxa"/>
            <w:shd w:val="clear" w:color="auto" w:fill="auto"/>
            <w:noWrap/>
            <w:vAlign w:val="center"/>
            <w:hideMark/>
          </w:tcPr>
          <w:p w14:paraId="25244EA4"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2.494</w:t>
            </w:r>
          </w:p>
        </w:tc>
        <w:tc>
          <w:tcPr>
            <w:tcW w:w="1093" w:type="dxa"/>
            <w:shd w:val="clear" w:color="auto" w:fill="auto"/>
            <w:noWrap/>
            <w:vAlign w:val="center"/>
            <w:hideMark/>
          </w:tcPr>
          <w:p w14:paraId="7CE9A465"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2.496</w:t>
            </w:r>
          </w:p>
        </w:tc>
        <w:tc>
          <w:tcPr>
            <w:tcW w:w="1112" w:type="dxa"/>
            <w:tcBorders>
              <w:right w:val="single" w:sz="2" w:space="0" w:color="A6A6A6" w:themeColor="background1" w:themeShade="A6"/>
            </w:tcBorders>
            <w:shd w:val="clear" w:color="auto" w:fill="auto"/>
            <w:noWrap/>
            <w:vAlign w:val="center"/>
            <w:hideMark/>
          </w:tcPr>
          <w:p w14:paraId="2A54A716" w14:textId="77777777" w:rsidR="00E570D5" w:rsidRPr="00D0604E" w:rsidRDefault="00E570D5" w:rsidP="00E966FE">
            <w:pPr>
              <w:spacing w:after="0" w:line="276" w:lineRule="auto"/>
              <w:jc w:val="right"/>
              <w:rPr>
                <w:rFonts w:cs="Arial"/>
                <w:color w:val="000000"/>
                <w:sz w:val="16"/>
                <w:szCs w:val="16"/>
              </w:rPr>
            </w:pPr>
            <w:r w:rsidRPr="00D0604E">
              <w:rPr>
                <w:rFonts w:cs="Arial"/>
                <w:color w:val="000000"/>
                <w:sz w:val="16"/>
                <w:szCs w:val="16"/>
              </w:rPr>
              <w:t>3.200</w:t>
            </w:r>
          </w:p>
        </w:tc>
      </w:tr>
      <w:tr w:rsidR="00E570D5" w:rsidRPr="00D0604E" w14:paraId="38E8526B" w14:textId="77777777" w:rsidTr="00F53A23">
        <w:trPr>
          <w:cantSplit/>
          <w:trHeight w:val="283"/>
          <w:jc w:val="center"/>
        </w:trPr>
        <w:tc>
          <w:tcPr>
            <w:tcW w:w="458" w:type="dxa"/>
            <w:tcBorders>
              <w:left w:val="single" w:sz="2" w:space="0" w:color="A6A6A6" w:themeColor="background1" w:themeShade="A6"/>
            </w:tcBorders>
            <w:shd w:val="clear" w:color="auto" w:fill="auto"/>
            <w:vAlign w:val="center"/>
            <w:hideMark/>
          </w:tcPr>
          <w:p w14:paraId="2730F0BF"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ii</w:t>
            </w:r>
          </w:p>
        </w:tc>
        <w:tc>
          <w:tcPr>
            <w:tcW w:w="5918" w:type="dxa"/>
            <w:gridSpan w:val="2"/>
            <w:shd w:val="clear" w:color="auto" w:fill="auto"/>
            <w:noWrap/>
            <w:vAlign w:val="center"/>
            <w:hideMark/>
          </w:tcPr>
          <w:p w14:paraId="1B909B4B" w14:textId="77777777" w:rsidR="00E570D5" w:rsidRPr="00D0604E" w:rsidRDefault="00E570D5" w:rsidP="00D36DDE">
            <w:pPr>
              <w:spacing w:after="0" w:line="276" w:lineRule="auto"/>
              <w:jc w:val="left"/>
              <w:rPr>
                <w:rFonts w:cs="Arial"/>
                <w:b/>
                <w:bCs/>
                <w:color w:val="000000"/>
                <w:sz w:val="16"/>
                <w:szCs w:val="16"/>
              </w:rPr>
            </w:pPr>
            <w:r w:rsidRPr="00D0604E">
              <w:rPr>
                <w:rFonts w:cs="Arial"/>
                <w:b/>
                <w:bCs/>
                <w:color w:val="000000"/>
                <w:sz w:val="16"/>
                <w:szCs w:val="16"/>
              </w:rPr>
              <w:t>Τόκοι</w:t>
            </w:r>
          </w:p>
        </w:tc>
        <w:tc>
          <w:tcPr>
            <w:tcW w:w="1551" w:type="dxa"/>
            <w:shd w:val="clear" w:color="auto" w:fill="auto"/>
            <w:noWrap/>
            <w:vAlign w:val="center"/>
            <w:hideMark/>
          </w:tcPr>
          <w:p w14:paraId="15A23FCD"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7.701</w:t>
            </w:r>
          </w:p>
        </w:tc>
        <w:tc>
          <w:tcPr>
            <w:tcW w:w="1093" w:type="dxa"/>
            <w:shd w:val="clear" w:color="auto" w:fill="auto"/>
            <w:noWrap/>
            <w:vAlign w:val="center"/>
            <w:hideMark/>
          </w:tcPr>
          <w:p w14:paraId="0C764DC1"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8.008</w:t>
            </w:r>
          </w:p>
        </w:tc>
        <w:tc>
          <w:tcPr>
            <w:tcW w:w="1112" w:type="dxa"/>
            <w:tcBorders>
              <w:right w:val="single" w:sz="2" w:space="0" w:color="A6A6A6" w:themeColor="background1" w:themeShade="A6"/>
            </w:tcBorders>
            <w:shd w:val="clear" w:color="auto" w:fill="auto"/>
            <w:noWrap/>
            <w:vAlign w:val="center"/>
            <w:hideMark/>
          </w:tcPr>
          <w:p w14:paraId="31919405"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7.917</w:t>
            </w:r>
          </w:p>
        </w:tc>
      </w:tr>
      <w:tr w:rsidR="00E570D5" w:rsidRPr="00D0604E" w14:paraId="70BC167B" w14:textId="77777777" w:rsidTr="00E966FE">
        <w:trPr>
          <w:cantSplit/>
          <w:trHeight w:val="227"/>
          <w:jc w:val="center"/>
        </w:trPr>
        <w:tc>
          <w:tcPr>
            <w:tcW w:w="458" w:type="dxa"/>
            <w:tcBorders>
              <w:left w:val="single" w:sz="2" w:space="0" w:color="A6A6A6" w:themeColor="background1" w:themeShade="A6"/>
            </w:tcBorders>
            <w:shd w:val="clear" w:color="auto" w:fill="F2F2F2" w:themeFill="background1" w:themeFillShade="F2"/>
            <w:vAlign w:val="center"/>
            <w:hideMark/>
          </w:tcPr>
          <w:p w14:paraId="43AE9B1A"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II</w:t>
            </w:r>
          </w:p>
        </w:tc>
        <w:tc>
          <w:tcPr>
            <w:tcW w:w="5918" w:type="dxa"/>
            <w:gridSpan w:val="2"/>
            <w:shd w:val="clear" w:color="auto" w:fill="F2F2F2" w:themeFill="background1" w:themeFillShade="F2"/>
            <w:noWrap/>
            <w:vAlign w:val="center"/>
            <w:hideMark/>
          </w:tcPr>
          <w:p w14:paraId="05B5454B" w14:textId="77777777" w:rsidR="00C826DC" w:rsidRDefault="00E570D5" w:rsidP="00D36DDE">
            <w:pPr>
              <w:spacing w:after="0" w:line="276" w:lineRule="auto"/>
              <w:jc w:val="left"/>
              <w:rPr>
                <w:rFonts w:cs="Arial"/>
                <w:b/>
                <w:color w:val="000000"/>
                <w:sz w:val="16"/>
                <w:szCs w:val="16"/>
              </w:rPr>
            </w:pPr>
            <w:r w:rsidRPr="00D0604E">
              <w:rPr>
                <w:rFonts w:cs="Arial"/>
                <w:b/>
                <w:bCs/>
                <w:color w:val="000000"/>
                <w:sz w:val="16"/>
                <w:szCs w:val="16"/>
              </w:rPr>
              <w:t xml:space="preserve">Σύνολο δαπανών </w:t>
            </w:r>
            <w:r w:rsidR="00C826DC">
              <w:rPr>
                <w:rFonts w:cs="Arial"/>
                <w:b/>
                <w:bCs/>
                <w:color w:val="000000"/>
                <w:sz w:val="16"/>
                <w:szCs w:val="16"/>
              </w:rPr>
              <w:t>π</w:t>
            </w:r>
            <w:r w:rsidR="00C826DC" w:rsidRPr="00C826DC">
              <w:rPr>
                <w:rFonts w:cs="Arial"/>
                <w:b/>
                <w:color w:val="000000"/>
                <w:sz w:val="16"/>
                <w:szCs w:val="16"/>
              </w:rPr>
              <w:t>ροϋπολογισμού δημοσίων επενδύσεων</w:t>
            </w:r>
          </w:p>
          <w:p w14:paraId="1C81122F" w14:textId="4202EFC6" w:rsidR="00E570D5" w:rsidRPr="00D0604E" w:rsidRDefault="00C826DC" w:rsidP="00D36DDE">
            <w:pPr>
              <w:spacing w:after="0" w:line="276" w:lineRule="auto"/>
              <w:jc w:val="left"/>
              <w:rPr>
                <w:rFonts w:cs="Arial"/>
                <w:b/>
                <w:bCs/>
                <w:color w:val="000000"/>
                <w:sz w:val="16"/>
                <w:szCs w:val="16"/>
              </w:rPr>
            </w:pPr>
            <w:r w:rsidRPr="00C826DC">
              <w:rPr>
                <w:rFonts w:cs="Arial"/>
                <w:b/>
                <w:color w:val="000000"/>
                <w:sz w:val="16"/>
                <w:szCs w:val="16"/>
              </w:rPr>
              <w:t>(πλην ΤΑΑ)</w:t>
            </w:r>
          </w:p>
        </w:tc>
        <w:tc>
          <w:tcPr>
            <w:tcW w:w="1551" w:type="dxa"/>
            <w:shd w:val="clear" w:color="auto" w:fill="F2F2F2" w:themeFill="background1" w:themeFillShade="F2"/>
            <w:noWrap/>
            <w:vAlign w:val="center"/>
            <w:hideMark/>
          </w:tcPr>
          <w:p w14:paraId="1EA35178"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9.200</w:t>
            </w:r>
          </w:p>
        </w:tc>
        <w:tc>
          <w:tcPr>
            <w:tcW w:w="1093" w:type="dxa"/>
            <w:shd w:val="clear" w:color="auto" w:fill="F2F2F2" w:themeFill="background1" w:themeFillShade="F2"/>
            <w:noWrap/>
            <w:vAlign w:val="center"/>
            <w:hideMark/>
          </w:tcPr>
          <w:p w14:paraId="7A792B80"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9.700</w:t>
            </w:r>
          </w:p>
        </w:tc>
        <w:tc>
          <w:tcPr>
            <w:tcW w:w="1112" w:type="dxa"/>
            <w:tcBorders>
              <w:right w:val="single" w:sz="2" w:space="0" w:color="A6A6A6" w:themeColor="background1" w:themeShade="A6"/>
            </w:tcBorders>
            <w:shd w:val="clear" w:color="auto" w:fill="F2F2F2" w:themeFill="background1" w:themeFillShade="F2"/>
            <w:noWrap/>
            <w:vAlign w:val="center"/>
            <w:hideMark/>
          </w:tcPr>
          <w:p w14:paraId="1586D593"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9.500</w:t>
            </w:r>
          </w:p>
        </w:tc>
      </w:tr>
      <w:tr w:rsidR="00E570D5" w:rsidRPr="00D0604E" w14:paraId="3F75850A" w14:textId="77777777" w:rsidTr="00F53A23">
        <w:trPr>
          <w:cantSplit/>
          <w:trHeight w:val="283"/>
          <w:jc w:val="center"/>
        </w:trPr>
        <w:tc>
          <w:tcPr>
            <w:tcW w:w="458" w:type="dxa"/>
            <w:tcBorders>
              <w:left w:val="single" w:sz="2" w:space="0" w:color="A6A6A6" w:themeColor="background1" w:themeShade="A6"/>
            </w:tcBorders>
            <w:shd w:val="clear" w:color="auto" w:fill="F2F2F2" w:themeFill="background1" w:themeFillShade="F2"/>
            <w:vAlign w:val="center"/>
            <w:hideMark/>
          </w:tcPr>
          <w:p w14:paraId="7AB761B8"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ΙΙΙ</w:t>
            </w:r>
          </w:p>
        </w:tc>
        <w:tc>
          <w:tcPr>
            <w:tcW w:w="5918" w:type="dxa"/>
            <w:gridSpan w:val="2"/>
            <w:shd w:val="clear" w:color="auto" w:fill="F2F2F2" w:themeFill="background1" w:themeFillShade="F2"/>
            <w:noWrap/>
            <w:vAlign w:val="center"/>
            <w:hideMark/>
          </w:tcPr>
          <w:p w14:paraId="682CC58E" w14:textId="77777777" w:rsidR="00E570D5" w:rsidRPr="00D0604E" w:rsidRDefault="00E570D5" w:rsidP="00D36DDE">
            <w:pPr>
              <w:spacing w:after="0" w:line="276" w:lineRule="auto"/>
              <w:jc w:val="left"/>
              <w:rPr>
                <w:rFonts w:cs="Arial"/>
                <w:b/>
                <w:bCs/>
                <w:color w:val="000000"/>
                <w:sz w:val="16"/>
                <w:szCs w:val="16"/>
              </w:rPr>
            </w:pPr>
            <w:r w:rsidRPr="00D0604E">
              <w:rPr>
                <w:rFonts w:cs="Arial"/>
                <w:b/>
                <w:bCs/>
                <w:color w:val="000000"/>
                <w:sz w:val="16"/>
                <w:szCs w:val="16"/>
              </w:rPr>
              <w:t>Σύνολο δαπανών ΤΑΑ</w:t>
            </w:r>
          </w:p>
        </w:tc>
        <w:tc>
          <w:tcPr>
            <w:tcW w:w="1551" w:type="dxa"/>
            <w:shd w:val="clear" w:color="auto" w:fill="F2F2F2" w:themeFill="background1" w:themeFillShade="F2"/>
            <w:noWrap/>
            <w:vAlign w:val="center"/>
            <w:hideMark/>
          </w:tcPr>
          <w:p w14:paraId="18A3C03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4.900</w:t>
            </w:r>
          </w:p>
        </w:tc>
        <w:tc>
          <w:tcPr>
            <w:tcW w:w="1093" w:type="dxa"/>
            <w:shd w:val="clear" w:color="auto" w:fill="F2F2F2" w:themeFill="background1" w:themeFillShade="F2"/>
            <w:noWrap/>
            <w:vAlign w:val="center"/>
            <w:hideMark/>
          </w:tcPr>
          <w:p w14:paraId="5D11B979"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4.900</w:t>
            </w:r>
          </w:p>
        </w:tc>
        <w:tc>
          <w:tcPr>
            <w:tcW w:w="1112" w:type="dxa"/>
            <w:tcBorders>
              <w:right w:val="single" w:sz="2" w:space="0" w:color="A6A6A6" w:themeColor="background1" w:themeShade="A6"/>
            </w:tcBorders>
            <w:shd w:val="clear" w:color="auto" w:fill="F2F2F2" w:themeFill="background1" w:themeFillShade="F2"/>
            <w:noWrap/>
            <w:vAlign w:val="center"/>
            <w:hideMark/>
          </w:tcPr>
          <w:p w14:paraId="0C053957"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7.192</w:t>
            </w:r>
          </w:p>
        </w:tc>
      </w:tr>
      <w:tr w:rsidR="00E570D5" w:rsidRPr="00D0604E" w14:paraId="7B29303C" w14:textId="77777777" w:rsidTr="00F53A23">
        <w:trPr>
          <w:cantSplit/>
          <w:trHeight w:val="283"/>
          <w:jc w:val="center"/>
        </w:trPr>
        <w:tc>
          <w:tcPr>
            <w:tcW w:w="458" w:type="dxa"/>
            <w:tcBorders>
              <w:left w:val="single" w:sz="2" w:space="0" w:color="A6A6A6" w:themeColor="background1" w:themeShade="A6"/>
            </w:tcBorders>
            <w:shd w:val="clear" w:color="auto" w:fill="D5DCE4"/>
            <w:vAlign w:val="center"/>
            <w:hideMark/>
          </w:tcPr>
          <w:p w14:paraId="62C500AD"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Β</w:t>
            </w:r>
          </w:p>
        </w:tc>
        <w:tc>
          <w:tcPr>
            <w:tcW w:w="5918" w:type="dxa"/>
            <w:gridSpan w:val="2"/>
            <w:shd w:val="clear" w:color="auto" w:fill="D5DCE4"/>
            <w:noWrap/>
            <w:vAlign w:val="center"/>
            <w:hideMark/>
          </w:tcPr>
          <w:p w14:paraId="3AB7CEC8" w14:textId="4C697B8C" w:rsidR="00E570D5" w:rsidRPr="00D0604E" w:rsidRDefault="00E570D5" w:rsidP="00D36DDE">
            <w:pPr>
              <w:spacing w:after="0" w:line="276" w:lineRule="auto"/>
              <w:jc w:val="left"/>
              <w:rPr>
                <w:rFonts w:cs="Arial"/>
                <w:b/>
                <w:bCs/>
                <w:color w:val="000000"/>
                <w:sz w:val="16"/>
                <w:szCs w:val="16"/>
              </w:rPr>
            </w:pPr>
            <w:r w:rsidRPr="00D0604E">
              <w:rPr>
                <w:rFonts w:cs="Arial"/>
                <w:b/>
                <w:bCs/>
                <w:color w:val="000000"/>
                <w:sz w:val="16"/>
                <w:szCs w:val="16"/>
              </w:rPr>
              <w:t>Εθνικολογιστικές προσαρμογές κατά ESA</w:t>
            </w:r>
            <w:r w:rsidRPr="0036223B">
              <w:rPr>
                <w:rFonts w:cs="Arial"/>
                <w:b/>
                <w:bCs/>
                <w:color w:val="000000"/>
                <w:sz w:val="16"/>
                <w:szCs w:val="16"/>
                <w:vertAlign w:val="superscript"/>
              </w:rPr>
              <w:t>2</w:t>
            </w:r>
          </w:p>
        </w:tc>
        <w:tc>
          <w:tcPr>
            <w:tcW w:w="1551" w:type="dxa"/>
            <w:shd w:val="clear" w:color="auto" w:fill="D5DCE4"/>
            <w:noWrap/>
            <w:vAlign w:val="center"/>
            <w:hideMark/>
          </w:tcPr>
          <w:p w14:paraId="388491A5"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-631</w:t>
            </w:r>
          </w:p>
        </w:tc>
        <w:tc>
          <w:tcPr>
            <w:tcW w:w="1093" w:type="dxa"/>
            <w:shd w:val="clear" w:color="auto" w:fill="D5DCE4"/>
            <w:noWrap/>
            <w:vAlign w:val="center"/>
            <w:hideMark/>
          </w:tcPr>
          <w:p w14:paraId="50D42941"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-1.046</w:t>
            </w:r>
          </w:p>
        </w:tc>
        <w:tc>
          <w:tcPr>
            <w:tcW w:w="1112" w:type="dxa"/>
            <w:tcBorders>
              <w:right w:val="single" w:sz="2" w:space="0" w:color="A6A6A6" w:themeColor="background1" w:themeShade="A6"/>
            </w:tcBorders>
            <w:shd w:val="clear" w:color="auto" w:fill="D5DCE4"/>
            <w:noWrap/>
            <w:vAlign w:val="center"/>
            <w:hideMark/>
          </w:tcPr>
          <w:p w14:paraId="763F72EF"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-748</w:t>
            </w:r>
          </w:p>
        </w:tc>
      </w:tr>
      <w:tr w:rsidR="00E570D5" w:rsidRPr="00D0604E" w14:paraId="7CE2A57E" w14:textId="77777777" w:rsidTr="00E966FE">
        <w:trPr>
          <w:cantSplit/>
          <w:trHeight w:val="283"/>
          <w:jc w:val="center"/>
        </w:trPr>
        <w:tc>
          <w:tcPr>
            <w:tcW w:w="458" w:type="dxa"/>
            <w:tcBorders>
              <w:left w:val="single" w:sz="2" w:space="0" w:color="A6A6A6" w:themeColor="background1" w:themeShade="A6"/>
              <w:bottom w:val="single" w:sz="2" w:space="0" w:color="A6A6A6" w:themeColor="background1" w:themeShade="A6"/>
            </w:tcBorders>
            <w:shd w:val="clear" w:color="auto" w:fill="D5DCE4"/>
            <w:vAlign w:val="center"/>
            <w:hideMark/>
          </w:tcPr>
          <w:p w14:paraId="64C5DFC4" w14:textId="77777777" w:rsidR="00E570D5" w:rsidRPr="00D0604E" w:rsidRDefault="00E570D5" w:rsidP="00D36DDE">
            <w:pPr>
              <w:spacing w:after="0" w:line="276" w:lineRule="auto"/>
              <w:jc w:val="center"/>
              <w:rPr>
                <w:rFonts w:cs="Arial"/>
                <w:b/>
                <w:bCs/>
                <w:color w:val="000000"/>
                <w:sz w:val="16"/>
                <w:szCs w:val="16"/>
              </w:rPr>
            </w:pPr>
            <w:r w:rsidRPr="00D0604E">
              <w:rPr>
                <w:rFonts w:cs="Arial"/>
                <w:b/>
                <w:bCs/>
                <w:color w:val="000000"/>
                <w:sz w:val="16"/>
                <w:szCs w:val="16"/>
              </w:rPr>
              <w:t>Γ</w:t>
            </w:r>
          </w:p>
        </w:tc>
        <w:tc>
          <w:tcPr>
            <w:tcW w:w="5918" w:type="dxa"/>
            <w:gridSpan w:val="2"/>
            <w:tcBorders>
              <w:bottom w:val="single" w:sz="2" w:space="0" w:color="A6A6A6" w:themeColor="background1" w:themeShade="A6"/>
            </w:tcBorders>
            <w:shd w:val="clear" w:color="auto" w:fill="D5DCE4"/>
            <w:noWrap/>
            <w:vAlign w:val="center"/>
            <w:hideMark/>
          </w:tcPr>
          <w:p w14:paraId="1626542C" w14:textId="5923CEB9" w:rsidR="00E570D5" w:rsidRPr="00D0604E" w:rsidRDefault="00E570D5" w:rsidP="00D36DDE">
            <w:pPr>
              <w:spacing w:after="0" w:line="276" w:lineRule="auto"/>
              <w:jc w:val="left"/>
              <w:rPr>
                <w:rFonts w:cs="Arial"/>
                <w:b/>
                <w:bCs/>
                <w:color w:val="000000"/>
                <w:sz w:val="16"/>
                <w:szCs w:val="16"/>
              </w:rPr>
            </w:pPr>
            <w:r w:rsidRPr="00D0604E">
              <w:rPr>
                <w:rFonts w:cs="Arial"/>
                <w:b/>
                <w:bCs/>
                <w:color w:val="000000"/>
                <w:sz w:val="16"/>
                <w:szCs w:val="16"/>
              </w:rPr>
              <w:t xml:space="preserve">Σύνολο μη χρηματοοικονομικών δαπανών </w:t>
            </w:r>
            <w:r w:rsidR="00EE4491">
              <w:rPr>
                <w:rFonts w:cs="Arial"/>
                <w:b/>
                <w:bCs/>
                <w:color w:val="000000"/>
                <w:sz w:val="16"/>
                <w:szCs w:val="16"/>
              </w:rPr>
              <w:t>κ</w:t>
            </w:r>
            <w:r w:rsidRPr="00D0604E">
              <w:rPr>
                <w:rFonts w:cs="Arial"/>
                <w:b/>
                <w:bCs/>
                <w:color w:val="000000"/>
                <w:sz w:val="16"/>
                <w:szCs w:val="16"/>
              </w:rPr>
              <w:t xml:space="preserve">ρατικού </w:t>
            </w:r>
            <w:r w:rsidR="00EE4491">
              <w:rPr>
                <w:rFonts w:cs="Arial"/>
                <w:b/>
                <w:bCs/>
                <w:color w:val="000000"/>
                <w:sz w:val="16"/>
                <w:szCs w:val="16"/>
              </w:rPr>
              <w:t>π</w:t>
            </w:r>
            <w:r w:rsidRPr="00D0604E">
              <w:rPr>
                <w:rFonts w:cs="Arial"/>
                <w:b/>
                <w:bCs/>
                <w:color w:val="000000"/>
                <w:sz w:val="16"/>
                <w:szCs w:val="16"/>
              </w:rPr>
              <w:t>ροϋπολογισμού κατά ESA (Α-Β)</w:t>
            </w:r>
          </w:p>
        </w:tc>
        <w:tc>
          <w:tcPr>
            <w:tcW w:w="1551" w:type="dxa"/>
            <w:tcBorders>
              <w:bottom w:val="single" w:sz="2" w:space="0" w:color="A6A6A6" w:themeColor="background1" w:themeShade="A6"/>
            </w:tcBorders>
            <w:shd w:val="clear" w:color="auto" w:fill="D5DCE4"/>
            <w:noWrap/>
            <w:vAlign w:val="center"/>
            <w:hideMark/>
          </w:tcPr>
          <w:p w14:paraId="5777DA06"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80.502</w:t>
            </w:r>
          </w:p>
        </w:tc>
        <w:tc>
          <w:tcPr>
            <w:tcW w:w="1093" w:type="dxa"/>
            <w:tcBorders>
              <w:bottom w:val="single" w:sz="2" w:space="0" w:color="A6A6A6" w:themeColor="background1" w:themeShade="A6"/>
            </w:tcBorders>
            <w:shd w:val="clear" w:color="auto" w:fill="D5DCE4"/>
            <w:noWrap/>
            <w:vAlign w:val="center"/>
            <w:hideMark/>
          </w:tcPr>
          <w:p w14:paraId="2BF4014E"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81.493</w:t>
            </w:r>
          </w:p>
        </w:tc>
        <w:tc>
          <w:tcPr>
            <w:tcW w:w="1112" w:type="dxa"/>
            <w:tcBorders>
              <w:bottom w:val="single" w:sz="2" w:space="0" w:color="A6A6A6" w:themeColor="background1" w:themeShade="A6"/>
              <w:right w:val="single" w:sz="2" w:space="0" w:color="A6A6A6" w:themeColor="background1" w:themeShade="A6"/>
            </w:tcBorders>
            <w:shd w:val="clear" w:color="auto" w:fill="D5DCE4"/>
            <w:noWrap/>
            <w:vAlign w:val="center"/>
            <w:hideMark/>
          </w:tcPr>
          <w:p w14:paraId="4AE2E11B" w14:textId="77777777" w:rsidR="00E570D5" w:rsidRPr="00D0604E" w:rsidRDefault="00E570D5" w:rsidP="00E966FE">
            <w:pPr>
              <w:spacing w:after="0" w:line="276" w:lineRule="auto"/>
              <w:jc w:val="right"/>
              <w:rPr>
                <w:rFonts w:cs="Arial"/>
                <w:b/>
                <w:bCs/>
                <w:color w:val="000000"/>
                <w:sz w:val="16"/>
                <w:szCs w:val="16"/>
              </w:rPr>
            </w:pPr>
            <w:r w:rsidRPr="00D0604E">
              <w:rPr>
                <w:rFonts w:cs="Arial"/>
                <w:b/>
                <w:bCs/>
                <w:color w:val="000000"/>
                <w:sz w:val="16"/>
                <w:szCs w:val="16"/>
              </w:rPr>
              <w:t>86.793</w:t>
            </w:r>
          </w:p>
        </w:tc>
      </w:tr>
      <w:tr w:rsidR="00D0604E" w:rsidRPr="00D0604E" w14:paraId="442AC928" w14:textId="77777777" w:rsidTr="00242D9C">
        <w:trPr>
          <w:cantSplit/>
          <w:jc w:val="center"/>
        </w:trPr>
        <w:tc>
          <w:tcPr>
            <w:tcW w:w="10132" w:type="dxa"/>
            <w:gridSpan w:val="6"/>
            <w:tcBorders>
              <w:top w:val="single" w:sz="2" w:space="0" w:color="A6A6A6" w:themeColor="background1" w:themeShade="A6"/>
            </w:tcBorders>
            <w:shd w:val="clear" w:color="auto" w:fill="auto"/>
            <w:noWrap/>
            <w:hideMark/>
          </w:tcPr>
          <w:p w14:paraId="33D4BB8A" w14:textId="0FC9BFBC" w:rsidR="00D0604E" w:rsidRDefault="00D0604E" w:rsidP="00790111">
            <w:pPr>
              <w:tabs>
                <w:tab w:val="left" w:pos="113"/>
              </w:tabs>
              <w:spacing w:before="60" w:after="0" w:line="276" w:lineRule="auto"/>
              <w:ind w:left="113" w:hanging="113"/>
              <w:rPr>
                <w:rFonts w:cs="Arial"/>
                <w:color w:val="000000"/>
                <w:sz w:val="16"/>
                <w:szCs w:val="16"/>
              </w:rPr>
            </w:pPr>
            <w:r w:rsidRPr="00D0604E">
              <w:rPr>
                <w:rFonts w:cs="Arial"/>
                <w:color w:val="000000"/>
                <w:sz w:val="16"/>
                <w:szCs w:val="16"/>
                <w:vertAlign w:val="superscript"/>
              </w:rPr>
              <w:t>1</w:t>
            </w:r>
            <w:r w:rsidR="00CF1674">
              <w:rPr>
                <w:rFonts w:cs="Arial"/>
                <w:color w:val="000000"/>
                <w:sz w:val="16"/>
                <w:szCs w:val="16"/>
                <w:vertAlign w:val="superscript"/>
              </w:rPr>
              <w:tab/>
            </w:r>
            <w:r w:rsidRPr="00D0604E">
              <w:rPr>
                <w:rFonts w:cs="Arial"/>
                <w:color w:val="000000"/>
                <w:sz w:val="16"/>
                <w:szCs w:val="16"/>
              </w:rPr>
              <w:t xml:space="preserve">Στις εκτιμήσεις των δαπανών των φορέων της Κεντρικής Διοίκησης για το 2025 περιλαμβάνονται οι δαπάνες που καλύφθηκαν </w:t>
            </w:r>
            <w:r w:rsidR="00155B96">
              <w:rPr>
                <w:rFonts w:cs="Arial"/>
                <w:color w:val="000000"/>
                <w:sz w:val="16"/>
                <w:szCs w:val="16"/>
              </w:rPr>
              <w:t xml:space="preserve">με μεταφορά πιστώσεων </w:t>
            </w:r>
            <w:r w:rsidRPr="00D0604E">
              <w:rPr>
                <w:rFonts w:cs="Arial"/>
                <w:color w:val="000000"/>
                <w:sz w:val="16"/>
                <w:szCs w:val="16"/>
              </w:rPr>
              <w:t>από το τακτικό και το ειδικό αποθεματικό, οι εγγραφές σε ύψος δαπανών και οι δαπάνες για μεταναστευτικές ροές. Κατά συνέπεια</w:t>
            </w:r>
            <w:r w:rsidR="00C826DC">
              <w:rPr>
                <w:rFonts w:cs="Arial"/>
                <w:color w:val="000000"/>
                <w:sz w:val="16"/>
                <w:szCs w:val="16"/>
              </w:rPr>
              <w:t>,</w:t>
            </w:r>
            <w:r w:rsidRPr="00D0604E">
              <w:rPr>
                <w:rFonts w:cs="Arial"/>
                <w:color w:val="000000"/>
                <w:sz w:val="16"/>
                <w:szCs w:val="16"/>
              </w:rPr>
              <w:t xml:space="preserve"> το ύψος των εκτιμώμενων δαπανών έτους 2025 δεν είναι συγκρίσιμο με τις προβλέψεις προϋπολογισμού 2026.</w:t>
            </w:r>
          </w:p>
          <w:p w14:paraId="31F968BD" w14:textId="2F0C4451" w:rsidR="00D0604E" w:rsidRDefault="00D0604E" w:rsidP="00D36DDE">
            <w:pPr>
              <w:tabs>
                <w:tab w:val="left" w:pos="113"/>
              </w:tabs>
              <w:spacing w:before="60" w:after="0" w:line="276" w:lineRule="auto"/>
              <w:ind w:left="113" w:hanging="113"/>
              <w:rPr>
                <w:rFonts w:cs="Arial"/>
                <w:color w:val="000000"/>
                <w:sz w:val="16"/>
                <w:szCs w:val="16"/>
              </w:rPr>
            </w:pPr>
            <w:r w:rsidRPr="00D0604E">
              <w:rPr>
                <w:rFonts w:cs="Arial"/>
                <w:color w:val="000000"/>
                <w:sz w:val="16"/>
                <w:szCs w:val="16"/>
                <w:vertAlign w:val="superscript"/>
              </w:rPr>
              <w:t>2</w:t>
            </w:r>
            <w:r w:rsidR="00CF1674">
              <w:rPr>
                <w:rFonts w:cs="Arial"/>
                <w:color w:val="000000"/>
                <w:sz w:val="16"/>
                <w:szCs w:val="16"/>
                <w:vertAlign w:val="superscript"/>
              </w:rPr>
              <w:tab/>
            </w:r>
            <w:r w:rsidRPr="00D0604E">
              <w:rPr>
                <w:rFonts w:cs="Arial"/>
                <w:color w:val="000000"/>
                <w:sz w:val="16"/>
                <w:szCs w:val="16"/>
              </w:rPr>
              <w:t>Εθνικολογιστικές προσαρμογές κατά ESA: (+) μείωση δαπανών / (-) αύξηση δαπανών</w:t>
            </w:r>
          </w:p>
          <w:p w14:paraId="0A99CDCD" w14:textId="4AB7A6D2" w:rsidR="00D0604E" w:rsidRDefault="00D0604E" w:rsidP="00D36DDE">
            <w:pPr>
              <w:tabs>
                <w:tab w:val="left" w:pos="113"/>
              </w:tabs>
              <w:spacing w:before="60" w:after="0" w:line="276" w:lineRule="auto"/>
              <w:ind w:left="113" w:hanging="113"/>
              <w:rPr>
                <w:rFonts w:cs="Arial"/>
                <w:color w:val="000000"/>
                <w:sz w:val="16"/>
                <w:szCs w:val="16"/>
              </w:rPr>
            </w:pPr>
            <w:r w:rsidRPr="00D0604E">
              <w:rPr>
                <w:rFonts w:cs="Arial"/>
                <w:color w:val="000000"/>
                <w:sz w:val="16"/>
                <w:szCs w:val="16"/>
                <w:vertAlign w:val="superscript"/>
              </w:rPr>
              <w:t>3</w:t>
            </w:r>
            <w:r w:rsidR="00CF1674">
              <w:rPr>
                <w:rFonts w:cs="Arial"/>
                <w:color w:val="000000"/>
                <w:sz w:val="16"/>
                <w:szCs w:val="16"/>
                <w:vertAlign w:val="superscript"/>
              </w:rPr>
              <w:tab/>
            </w:r>
            <w:r w:rsidRPr="00D0604E">
              <w:rPr>
                <w:rFonts w:cs="Arial"/>
                <w:color w:val="000000"/>
                <w:sz w:val="16"/>
                <w:szCs w:val="16"/>
              </w:rPr>
              <w:t>Οι πιστώσεις για νέες προσλήψεις για το 2026 προβλέπονται στην κατηγορία «Πιστώσεις υπό κατανομή» των Γενικών Κρατικών Δαπανών και διατίθενται σταδιακά για τις δαπάνες των παροχών σε εργαζόμενους των φορέων της Κεντρικής Διοίκησης κατά την εκτέλεση του προϋπολογισμού με βάση την υλοποίηση των προσλήψεων σε αυτούς.</w:t>
            </w:r>
          </w:p>
          <w:p w14:paraId="02879139" w14:textId="7EA37D76" w:rsidR="00B93E46" w:rsidRPr="00B93E46" w:rsidRDefault="00B93E46" w:rsidP="00D36DDE">
            <w:pPr>
              <w:tabs>
                <w:tab w:val="left" w:pos="113"/>
              </w:tabs>
              <w:spacing w:before="60" w:after="0" w:line="276" w:lineRule="auto"/>
              <w:ind w:left="113" w:hanging="113"/>
              <w:rPr>
                <w:rFonts w:cs="Arial"/>
                <w:color w:val="000000"/>
                <w:sz w:val="16"/>
                <w:szCs w:val="16"/>
              </w:rPr>
            </w:pPr>
            <w:r w:rsidRPr="00B93E46">
              <w:rPr>
                <w:rFonts w:cs="Arial"/>
                <w:color w:val="000000"/>
                <w:sz w:val="16"/>
                <w:szCs w:val="16"/>
                <w:vertAlign w:val="superscript"/>
              </w:rPr>
              <w:t>4</w:t>
            </w:r>
            <w:r>
              <w:rPr>
                <w:rFonts w:cs="Arial"/>
                <w:color w:val="000000"/>
                <w:sz w:val="16"/>
                <w:szCs w:val="16"/>
                <w:vertAlign w:val="superscript"/>
              </w:rPr>
              <w:tab/>
            </w:r>
            <w:r>
              <w:rPr>
                <w:rFonts w:cs="Arial"/>
                <w:color w:val="000000"/>
                <w:sz w:val="16"/>
                <w:szCs w:val="16"/>
              </w:rPr>
              <w:t>Στον προϋπολογισμό του Υπουργείου Παιδείας, Θρησκευμάτων και Αθλητισμού έτους 2026 προβλέπεται να διατεθούν</w:t>
            </w:r>
            <w:r w:rsidR="00FD500E">
              <w:rPr>
                <w:rFonts w:cs="Arial"/>
                <w:color w:val="000000"/>
                <w:sz w:val="16"/>
                <w:szCs w:val="16"/>
              </w:rPr>
              <w:t>,</w:t>
            </w:r>
            <w:r>
              <w:rPr>
                <w:rFonts w:cs="Arial"/>
                <w:color w:val="000000"/>
                <w:sz w:val="16"/>
                <w:szCs w:val="16"/>
              </w:rPr>
              <w:t xml:space="preserve"> κατά την εκτέλεση του προϋπολογισμού</w:t>
            </w:r>
            <w:r w:rsidR="00FD500E">
              <w:rPr>
                <w:rFonts w:cs="Arial"/>
                <w:color w:val="000000"/>
                <w:sz w:val="16"/>
                <w:szCs w:val="16"/>
              </w:rPr>
              <w:t>,</w:t>
            </w:r>
            <w:r>
              <w:rPr>
                <w:rFonts w:cs="Arial"/>
                <w:color w:val="000000"/>
                <w:sz w:val="16"/>
                <w:szCs w:val="16"/>
              </w:rPr>
              <w:t xml:space="preserve"> επιπλέον πιστώσεις ύψους 11</w:t>
            </w:r>
            <w:r w:rsidR="007D4DDE">
              <w:rPr>
                <w:rFonts w:cs="Arial"/>
                <w:color w:val="000000"/>
                <w:sz w:val="16"/>
                <w:szCs w:val="16"/>
              </w:rPr>
              <w:t>3</w:t>
            </w:r>
            <w:r>
              <w:rPr>
                <w:rFonts w:cs="Arial"/>
                <w:color w:val="000000"/>
                <w:sz w:val="16"/>
                <w:szCs w:val="16"/>
              </w:rPr>
              <w:t xml:space="preserve"> εκατ. ευρώ περίπου για την κάλυψη της δαπάνης μισθο</w:t>
            </w:r>
            <w:r w:rsidR="00FD500E">
              <w:rPr>
                <w:rFonts w:cs="Arial"/>
                <w:color w:val="000000"/>
                <w:sz w:val="16"/>
                <w:szCs w:val="16"/>
              </w:rPr>
              <w:t>δ</w:t>
            </w:r>
            <w:r>
              <w:rPr>
                <w:rFonts w:cs="Arial"/>
                <w:color w:val="000000"/>
                <w:sz w:val="16"/>
                <w:szCs w:val="16"/>
              </w:rPr>
              <w:t>οσίας νέων προσλήψεων μ</w:t>
            </w:r>
            <w:r w:rsidR="000A3EB5">
              <w:rPr>
                <w:rFonts w:cs="Arial"/>
                <w:color w:val="000000"/>
                <w:sz w:val="16"/>
                <w:szCs w:val="16"/>
              </w:rPr>
              <w:t>ό</w:t>
            </w:r>
            <w:r>
              <w:rPr>
                <w:rFonts w:cs="Arial"/>
                <w:color w:val="000000"/>
                <w:sz w:val="16"/>
                <w:szCs w:val="16"/>
              </w:rPr>
              <w:t>ν</w:t>
            </w:r>
            <w:r w:rsidR="000A3EB5">
              <w:rPr>
                <w:rFonts w:cs="Arial"/>
                <w:color w:val="000000"/>
                <w:sz w:val="16"/>
                <w:szCs w:val="16"/>
              </w:rPr>
              <w:t>ι</w:t>
            </w:r>
            <w:r>
              <w:rPr>
                <w:rFonts w:cs="Arial"/>
                <w:color w:val="000000"/>
                <w:sz w:val="16"/>
                <w:szCs w:val="16"/>
              </w:rPr>
              <w:t xml:space="preserve">μων και αναπληρωτών εκπαιδευτικών της Πρωτοβάθμιας και της Δευτεροβάθμιας </w:t>
            </w:r>
            <w:r w:rsidR="00FD500E">
              <w:rPr>
                <w:rFonts w:cs="Arial"/>
                <w:color w:val="000000"/>
                <w:sz w:val="16"/>
                <w:szCs w:val="16"/>
              </w:rPr>
              <w:t>Ε</w:t>
            </w:r>
            <w:r>
              <w:rPr>
                <w:rFonts w:cs="Arial"/>
                <w:color w:val="000000"/>
                <w:sz w:val="16"/>
                <w:szCs w:val="16"/>
              </w:rPr>
              <w:t>κπαίδευσης</w:t>
            </w:r>
            <w:r w:rsidR="00FD500E">
              <w:rPr>
                <w:rFonts w:cs="Arial"/>
                <w:color w:val="000000"/>
                <w:sz w:val="16"/>
                <w:szCs w:val="16"/>
              </w:rPr>
              <w:t xml:space="preserve"> της χρονικής περιόδου Σεπτεμβρίου - Δεκεμβρίου 2026 του σχολικού έτους 2026 - 2027</w:t>
            </w:r>
            <w:r>
              <w:rPr>
                <w:rFonts w:cs="Arial"/>
                <w:color w:val="000000"/>
                <w:sz w:val="16"/>
                <w:szCs w:val="16"/>
              </w:rPr>
              <w:t>, στο πλαίσιο του ετήσιου προγραμματισμού προσλήψεων προσωπικού</w:t>
            </w:r>
            <w:r w:rsidR="00FD500E">
              <w:rPr>
                <w:rFonts w:cs="Arial"/>
                <w:color w:val="000000"/>
                <w:sz w:val="16"/>
                <w:szCs w:val="16"/>
              </w:rPr>
              <w:t>.</w:t>
            </w:r>
            <w:r w:rsidR="007D4DDE">
              <w:rPr>
                <w:rFonts w:cs="Arial"/>
                <w:color w:val="000000"/>
                <w:sz w:val="16"/>
                <w:szCs w:val="16"/>
              </w:rPr>
              <w:t xml:space="preserve"> Συνεπώς, οι συνολικές πιστώσεις για το 2026 προβλέπονται σε 6.877 εκατ. ευρώ.</w:t>
            </w:r>
          </w:p>
          <w:p w14:paraId="2E5C5CB4" w14:textId="5B94972B" w:rsidR="00D0604E" w:rsidRDefault="00FD500E" w:rsidP="00D36DDE">
            <w:pPr>
              <w:tabs>
                <w:tab w:val="left" w:pos="113"/>
              </w:tabs>
              <w:spacing w:before="60" w:after="0" w:line="276" w:lineRule="auto"/>
              <w:ind w:left="113" w:hanging="113"/>
              <w:rPr>
                <w:rFonts w:cs="Arial"/>
                <w:color w:val="000000"/>
                <w:sz w:val="16"/>
                <w:szCs w:val="16"/>
              </w:rPr>
            </w:pPr>
            <w:r>
              <w:rPr>
                <w:rFonts w:cs="Arial"/>
                <w:color w:val="000000"/>
                <w:sz w:val="16"/>
                <w:szCs w:val="16"/>
                <w:vertAlign w:val="superscript"/>
              </w:rPr>
              <w:t>5</w:t>
            </w:r>
            <w:r w:rsidR="00CF1674">
              <w:rPr>
                <w:rFonts w:cs="Arial"/>
                <w:color w:val="000000"/>
                <w:sz w:val="16"/>
                <w:szCs w:val="16"/>
                <w:vertAlign w:val="superscript"/>
              </w:rPr>
              <w:tab/>
            </w:r>
            <w:r w:rsidR="00D0604E" w:rsidRPr="00D0604E">
              <w:rPr>
                <w:rFonts w:cs="Arial"/>
                <w:color w:val="000000"/>
                <w:sz w:val="16"/>
                <w:szCs w:val="16"/>
              </w:rPr>
              <w:t>Τα ποσά αφορούν σε ταμειακές πληρωμές για αγορές οπλικών συστημάτων. Οι φυσικές παραλαβές εξοπλιστικών προγραμμάτων που επηρεάζουν το δημοσιονομικό αποτέλεσμα κατά ESA ανέρχονται σε 1.700 εκατ. ευρώ το 2025 και σε 2.300 εκατ. ευρώ το 2026.</w:t>
            </w:r>
          </w:p>
          <w:p w14:paraId="7B9CA9CB" w14:textId="5B90D324" w:rsidR="00D0604E" w:rsidRPr="00D0604E" w:rsidRDefault="00B9467D" w:rsidP="00D36DDE">
            <w:pPr>
              <w:tabs>
                <w:tab w:val="left" w:pos="113"/>
              </w:tabs>
              <w:spacing w:before="60" w:after="0" w:line="276" w:lineRule="auto"/>
              <w:ind w:left="113" w:hanging="113"/>
              <w:rPr>
                <w:rFonts w:cs="Arial"/>
                <w:color w:val="000000"/>
                <w:sz w:val="16"/>
                <w:szCs w:val="16"/>
              </w:rPr>
            </w:pPr>
            <w:r>
              <w:rPr>
                <w:rFonts w:cs="Arial"/>
                <w:color w:val="000000"/>
                <w:sz w:val="16"/>
                <w:szCs w:val="16"/>
                <w:vertAlign w:val="superscript"/>
              </w:rPr>
              <w:t>6</w:t>
            </w:r>
            <w:r w:rsidR="00CF1674">
              <w:rPr>
                <w:rFonts w:cs="Arial"/>
                <w:color w:val="000000"/>
                <w:sz w:val="16"/>
                <w:szCs w:val="16"/>
                <w:vertAlign w:val="superscript"/>
              </w:rPr>
              <w:tab/>
            </w:r>
            <w:r w:rsidR="00212AE8" w:rsidRPr="00D0604E">
              <w:rPr>
                <w:rFonts w:cs="Arial"/>
                <w:color w:val="000000"/>
                <w:sz w:val="16"/>
                <w:szCs w:val="16"/>
              </w:rPr>
              <w:t>Δαπάνες ύψους 400 εκατ. ευρώ για την κάλυψη της αύξησης του ορίου της φαρμακευτικής δαπάνης του ΕΟΠΥΥ και των νοσοκομείων, σύμφωνα με την παρ.3 του άρθρου 25 του ν.4549/2018</w:t>
            </w:r>
            <w:r w:rsidR="00C8121C">
              <w:rPr>
                <w:rFonts w:cs="Arial"/>
                <w:color w:val="000000"/>
                <w:sz w:val="16"/>
                <w:szCs w:val="16"/>
              </w:rPr>
              <w:t xml:space="preserve"> (Α’ 105)</w:t>
            </w:r>
            <w:r w:rsidR="00212AE8" w:rsidRPr="00D0604E">
              <w:rPr>
                <w:rFonts w:cs="Arial"/>
                <w:color w:val="000000"/>
                <w:sz w:val="16"/>
                <w:szCs w:val="16"/>
              </w:rPr>
              <w:t xml:space="preserve">, προβλέπονται </w:t>
            </w:r>
            <w:r w:rsidR="00155B96">
              <w:rPr>
                <w:rFonts w:cs="Arial"/>
                <w:color w:val="000000"/>
                <w:sz w:val="16"/>
                <w:szCs w:val="16"/>
              </w:rPr>
              <w:t xml:space="preserve">για το έτος 2026 </w:t>
            </w:r>
            <w:r w:rsidR="00212AE8" w:rsidRPr="00D0604E">
              <w:rPr>
                <w:rFonts w:cs="Arial"/>
                <w:color w:val="000000"/>
                <w:sz w:val="16"/>
                <w:szCs w:val="16"/>
              </w:rPr>
              <w:t>στην κατηγορία «Πιστώσεις υπό κατανομή» των Γενικών Κρατικών Δαπανών και διατίθενται κατά την εκτέλεση του προϋπολογισμού με βάση τα απολογιστικά στοιχεία για το ύψος του clawback</w:t>
            </w:r>
            <w:r w:rsidR="00212AE8">
              <w:rPr>
                <w:rFonts w:cs="Arial"/>
                <w:color w:val="000000"/>
                <w:sz w:val="16"/>
                <w:szCs w:val="16"/>
              </w:rPr>
              <w:t>, ενισχύοντας τις πιστώσεις του Υπουργείου Υγείας</w:t>
            </w:r>
            <w:r w:rsidR="00212AE8" w:rsidRPr="00D0604E">
              <w:rPr>
                <w:rFonts w:cs="Arial"/>
                <w:color w:val="000000"/>
                <w:sz w:val="16"/>
                <w:szCs w:val="16"/>
              </w:rPr>
              <w:t>.</w:t>
            </w:r>
          </w:p>
        </w:tc>
      </w:tr>
    </w:tbl>
    <w:p w14:paraId="1512AA1B" w14:textId="5E31CF83" w:rsidR="00F94B61" w:rsidRDefault="00F94B61">
      <w:pPr>
        <w:spacing w:after="0" w:line="240" w:lineRule="auto"/>
        <w:jc w:val="left"/>
      </w:pPr>
    </w:p>
    <w:p w14:paraId="37F2B074" w14:textId="5782A282" w:rsidR="00CF1674" w:rsidRDefault="00CF1674">
      <w:pPr>
        <w:spacing w:after="0" w:line="240" w:lineRule="auto"/>
        <w:jc w:val="left"/>
      </w:pPr>
      <w:r>
        <w:br w:type="page"/>
      </w:r>
    </w:p>
    <w:tbl>
      <w:tblPr>
        <w:tblW w:w="9925"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323"/>
        <w:gridCol w:w="6905"/>
        <w:gridCol w:w="1262"/>
        <w:gridCol w:w="1435"/>
      </w:tblGrid>
      <w:tr w:rsidR="00204A00" w:rsidRPr="00CF1674" w14:paraId="039E5030" w14:textId="77777777" w:rsidTr="00CF1674">
        <w:trPr>
          <w:cantSplit/>
          <w:tblHeader/>
          <w:jc w:val="center"/>
        </w:trPr>
        <w:tc>
          <w:tcPr>
            <w:tcW w:w="992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58C473E0" w14:textId="7AA77B8A" w:rsidR="00204A00" w:rsidRPr="00CF1674" w:rsidRDefault="00E26D25" w:rsidP="00CF1674">
            <w:pPr>
              <w:spacing w:after="0" w:line="276" w:lineRule="auto"/>
              <w:jc w:val="center"/>
              <w:rPr>
                <w:rFonts w:cs="Arial"/>
                <w:b/>
                <w:bCs/>
                <w:color w:val="000000"/>
                <w:sz w:val="18"/>
                <w:szCs w:val="16"/>
              </w:rPr>
            </w:pPr>
            <w:bookmarkStart w:id="360" w:name="RANGE!A1:D27"/>
            <w:bookmarkStart w:id="361" w:name="_Toc214474050"/>
            <w:r w:rsidRPr="00CF1674">
              <w:rPr>
                <w:rFonts w:cs="Arial"/>
                <w:b/>
                <w:sz w:val="18"/>
                <w:szCs w:val="16"/>
              </w:rPr>
              <w:lastRenderedPageBreak/>
              <w:t>Πίνακας 3.</w:t>
            </w:r>
            <w:r w:rsidRPr="00CF1674">
              <w:rPr>
                <w:rFonts w:cs="Arial"/>
                <w:b/>
                <w:sz w:val="18"/>
                <w:szCs w:val="16"/>
              </w:rPr>
              <w:fldChar w:fldCharType="begin"/>
            </w:r>
            <w:r w:rsidRPr="00CF1674">
              <w:rPr>
                <w:rFonts w:cs="Arial"/>
                <w:b/>
                <w:sz w:val="18"/>
                <w:szCs w:val="16"/>
              </w:rPr>
              <w:instrText xml:space="preserve"> SEQ Πίνακας_3. \* ARABIC </w:instrText>
            </w:r>
            <w:r w:rsidRPr="00CF1674">
              <w:rPr>
                <w:rFonts w:cs="Arial"/>
                <w:b/>
                <w:sz w:val="18"/>
                <w:szCs w:val="16"/>
              </w:rPr>
              <w:fldChar w:fldCharType="separate"/>
            </w:r>
            <w:r w:rsidR="00E15678">
              <w:rPr>
                <w:rFonts w:cs="Arial"/>
                <w:b/>
                <w:noProof/>
                <w:sz w:val="18"/>
                <w:szCs w:val="16"/>
              </w:rPr>
              <w:t>12</w:t>
            </w:r>
            <w:r w:rsidRPr="00CF1674">
              <w:rPr>
                <w:rFonts w:cs="Arial"/>
                <w:b/>
                <w:sz w:val="18"/>
                <w:szCs w:val="16"/>
              </w:rPr>
              <w:fldChar w:fldCharType="end"/>
            </w:r>
            <w:r w:rsidRPr="00CF1674">
              <w:rPr>
                <w:rFonts w:cs="Arial"/>
                <w:b/>
                <w:sz w:val="18"/>
                <w:szCs w:val="16"/>
              </w:rPr>
              <w:t>.:</w:t>
            </w:r>
            <w:r w:rsidR="00204A00" w:rsidRPr="00CF1674">
              <w:rPr>
                <w:rFonts w:cs="Arial"/>
                <w:b/>
                <w:bCs/>
                <w:color w:val="000000"/>
                <w:sz w:val="18"/>
                <w:szCs w:val="16"/>
              </w:rPr>
              <w:t xml:space="preserve"> Ανώτατα όρια δαπανών Ανεξάρτητων Διοικητικών Αρχών φορέων των Υπουργείων</w:t>
            </w:r>
            <w:r w:rsidR="00204A00" w:rsidRPr="00CF1674">
              <w:rPr>
                <w:rFonts w:cs="Arial"/>
                <w:b/>
                <w:bCs/>
                <w:color w:val="000000"/>
                <w:sz w:val="18"/>
                <w:szCs w:val="16"/>
              </w:rPr>
              <w:br/>
              <w:t>(σε εκατ. ευρώ)</w:t>
            </w:r>
            <w:bookmarkEnd w:id="360"/>
            <w:bookmarkEnd w:id="361"/>
          </w:p>
        </w:tc>
      </w:tr>
      <w:tr w:rsidR="00204A00" w:rsidRPr="00CF1674" w14:paraId="2062D212" w14:textId="77777777" w:rsidTr="00CF1674">
        <w:trPr>
          <w:cantSplit/>
          <w:tblHeader/>
          <w:jc w:val="center"/>
        </w:trPr>
        <w:tc>
          <w:tcPr>
            <w:tcW w:w="7228" w:type="dxa"/>
            <w:gridSpan w:val="2"/>
            <w:vMerge w:val="restart"/>
            <w:tcBorders>
              <w:top w:val="single" w:sz="2" w:space="0" w:color="A6A6A6" w:themeColor="background1" w:themeShade="A6"/>
              <w:left w:val="single" w:sz="2" w:space="0" w:color="A6A6A6" w:themeColor="background1" w:themeShade="A6"/>
              <w:bottom w:val="nil"/>
            </w:tcBorders>
            <w:shd w:val="clear" w:color="auto" w:fill="F2F2F2" w:themeFill="background1" w:themeFillShade="F2"/>
            <w:noWrap/>
            <w:vAlign w:val="center"/>
            <w:hideMark/>
          </w:tcPr>
          <w:p w14:paraId="6B7705EB" w14:textId="77777777" w:rsidR="00204A00" w:rsidRPr="00CF1674" w:rsidRDefault="00204A00" w:rsidP="00CF1674">
            <w:pPr>
              <w:spacing w:after="0" w:line="276" w:lineRule="auto"/>
              <w:jc w:val="center"/>
              <w:rPr>
                <w:rFonts w:cs="Arial"/>
                <w:b/>
                <w:bCs/>
                <w:color w:val="000000"/>
                <w:sz w:val="16"/>
                <w:szCs w:val="16"/>
              </w:rPr>
            </w:pPr>
            <w:r w:rsidRPr="00CF1674">
              <w:rPr>
                <w:rFonts w:cs="Arial"/>
                <w:b/>
                <w:bCs/>
                <w:color w:val="000000"/>
                <w:sz w:val="16"/>
                <w:szCs w:val="16"/>
              </w:rPr>
              <w:t>Ανεξάρτητες Διοικητικές Αρχές</w:t>
            </w:r>
            <w:r w:rsidRPr="00CF1674">
              <w:rPr>
                <w:rFonts w:cs="Arial"/>
                <w:b/>
                <w:bCs/>
                <w:color w:val="000000"/>
                <w:sz w:val="16"/>
                <w:szCs w:val="16"/>
                <w:vertAlign w:val="superscript"/>
              </w:rPr>
              <w:t>1</w:t>
            </w:r>
          </w:p>
        </w:tc>
        <w:tc>
          <w:tcPr>
            <w:tcW w:w="1262" w:type="dxa"/>
            <w:tcBorders>
              <w:top w:val="single" w:sz="2" w:space="0" w:color="A6A6A6" w:themeColor="background1" w:themeShade="A6"/>
              <w:bottom w:val="nil"/>
            </w:tcBorders>
            <w:shd w:val="clear" w:color="auto" w:fill="F2F2F2" w:themeFill="background1" w:themeFillShade="F2"/>
            <w:noWrap/>
            <w:vAlign w:val="center"/>
            <w:hideMark/>
          </w:tcPr>
          <w:p w14:paraId="502B0952" w14:textId="2052BC5C" w:rsidR="00204A00" w:rsidRPr="00CF1674" w:rsidRDefault="00204A00" w:rsidP="00CF1674">
            <w:pPr>
              <w:spacing w:after="0" w:line="276" w:lineRule="auto"/>
              <w:jc w:val="center"/>
              <w:rPr>
                <w:rFonts w:cs="Arial"/>
                <w:b/>
                <w:bCs/>
                <w:color w:val="000000"/>
                <w:sz w:val="16"/>
                <w:szCs w:val="16"/>
                <w:lang w:val="en-US"/>
              </w:rPr>
            </w:pPr>
            <w:r w:rsidRPr="00CF1674">
              <w:rPr>
                <w:rFonts w:cs="Arial"/>
                <w:b/>
                <w:bCs/>
                <w:color w:val="000000"/>
                <w:sz w:val="16"/>
                <w:szCs w:val="16"/>
              </w:rPr>
              <w:t>202</w:t>
            </w:r>
            <w:r w:rsidR="008B5BD5" w:rsidRPr="00CF1674">
              <w:rPr>
                <w:rFonts w:cs="Arial"/>
                <w:b/>
                <w:bCs/>
                <w:color w:val="000000"/>
                <w:sz w:val="16"/>
                <w:szCs w:val="16"/>
                <w:lang w:val="en-US"/>
              </w:rPr>
              <w:t>5</w:t>
            </w:r>
          </w:p>
        </w:tc>
        <w:tc>
          <w:tcPr>
            <w:tcW w:w="1435" w:type="dxa"/>
            <w:tcBorders>
              <w:top w:val="single" w:sz="2" w:space="0" w:color="A6A6A6" w:themeColor="background1" w:themeShade="A6"/>
              <w:bottom w:val="nil"/>
              <w:right w:val="single" w:sz="2" w:space="0" w:color="A6A6A6" w:themeColor="background1" w:themeShade="A6"/>
            </w:tcBorders>
            <w:shd w:val="clear" w:color="auto" w:fill="F2F2F2" w:themeFill="background1" w:themeFillShade="F2"/>
            <w:noWrap/>
            <w:vAlign w:val="center"/>
            <w:hideMark/>
          </w:tcPr>
          <w:p w14:paraId="1E117FDC" w14:textId="1DCF5C05" w:rsidR="00204A00" w:rsidRPr="00CF1674" w:rsidRDefault="00204A00" w:rsidP="00CF1674">
            <w:pPr>
              <w:spacing w:after="0" w:line="276" w:lineRule="auto"/>
              <w:jc w:val="center"/>
              <w:rPr>
                <w:rFonts w:cs="Arial"/>
                <w:b/>
                <w:bCs/>
                <w:color w:val="000000"/>
                <w:sz w:val="16"/>
                <w:szCs w:val="16"/>
                <w:lang w:val="en-US"/>
              </w:rPr>
            </w:pPr>
            <w:r w:rsidRPr="00CF1674">
              <w:rPr>
                <w:rFonts w:cs="Arial"/>
                <w:b/>
                <w:bCs/>
                <w:color w:val="000000"/>
                <w:sz w:val="16"/>
                <w:szCs w:val="16"/>
              </w:rPr>
              <w:t>202</w:t>
            </w:r>
            <w:r w:rsidR="008B5BD5" w:rsidRPr="00CF1674">
              <w:rPr>
                <w:rFonts w:cs="Arial"/>
                <w:b/>
                <w:bCs/>
                <w:color w:val="000000"/>
                <w:sz w:val="16"/>
                <w:szCs w:val="16"/>
                <w:lang w:val="en-US"/>
              </w:rPr>
              <w:t>6</w:t>
            </w:r>
          </w:p>
        </w:tc>
      </w:tr>
      <w:tr w:rsidR="00204A00" w:rsidRPr="00CF1674" w14:paraId="2693130E" w14:textId="77777777" w:rsidTr="00CF1674">
        <w:trPr>
          <w:cantSplit/>
          <w:tblHeader/>
          <w:jc w:val="center"/>
        </w:trPr>
        <w:tc>
          <w:tcPr>
            <w:tcW w:w="7228" w:type="dxa"/>
            <w:gridSpan w:val="2"/>
            <w:vMerge/>
            <w:tcBorders>
              <w:top w:val="nil"/>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0A21CA65" w14:textId="77777777" w:rsidR="00204A00" w:rsidRPr="00CF1674" w:rsidRDefault="00204A00" w:rsidP="00CF1674">
            <w:pPr>
              <w:spacing w:after="0" w:line="276" w:lineRule="auto"/>
              <w:jc w:val="center"/>
              <w:rPr>
                <w:rFonts w:cs="Arial"/>
                <w:b/>
                <w:bCs/>
                <w:color w:val="000000"/>
                <w:sz w:val="16"/>
                <w:szCs w:val="16"/>
              </w:rPr>
            </w:pPr>
          </w:p>
        </w:tc>
        <w:tc>
          <w:tcPr>
            <w:tcW w:w="1262" w:type="dxa"/>
            <w:tcBorders>
              <w:top w:val="nil"/>
              <w:bottom w:val="single" w:sz="2" w:space="0" w:color="A6A6A6" w:themeColor="background1" w:themeShade="A6"/>
            </w:tcBorders>
            <w:shd w:val="clear" w:color="auto" w:fill="F2F2F2" w:themeFill="background1" w:themeFillShade="F2"/>
            <w:noWrap/>
            <w:vAlign w:val="center"/>
            <w:hideMark/>
          </w:tcPr>
          <w:p w14:paraId="4D5E2D9A" w14:textId="77777777" w:rsidR="00204A00" w:rsidRPr="00CF1674" w:rsidRDefault="00204A00" w:rsidP="00CF1674">
            <w:pPr>
              <w:spacing w:after="0" w:line="276" w:lineRule="auto"/>
              <w:jc w:val="center"/>
              <w:rPr>
                <w:rFonts w:cs="Arial"/>
                <w:b/>
                <w:bCs/>
                <w:color w:val="000000"/>
                <w:sz w:val="16"/>
                <w:szCs w:val="16"/>
              </w:rPr>
            </w:pPr>
            <w:r w:rsidRPr="00CF1674">
              <w:rPr>
                <w:rFonts w:cs="Arial"/>
                <w:b/>
                <w:bCs/>
                <w:color w:val="000000"/>
                <w:sz w:val="16"/>
                <w:szCs w:val="16"/>
              </w:rPr>
              <w:t>Εκτιμήσεις</w:t>
            </w:r>
          </w:p>
        </w:tc>
        <w:tc>
          <w:tcPr>
            <w:tcW w:w="1435" w:type="dxa"/>
            <w:tcBorders>
              <w:top w:val="nil"/>
              <w:bottom w:val="single" w:sz="2" w:space="0" w:color="A6A6A6" w:themeColor="background1" w:themeShade="A6"/>
              <w:right w:val="single" w:sz="2" w:space="0" w:color="A6A6A6" w:themeColor="background1" w:themeShade="A6"/>
            </w:tcBorders>
            <w:shd w:val="clear" w:color="auto" w:fill="F2F2F2" w:themeFill="background1" w:themeFillShade="F2"/>
            <w:noWrap/>
            <w:vAlign w:val="center"/>
            <w:hideMark/>
          </w:tcPr>
          <w:p w14:paraId="31084D87" w14:textId="77777777" w:rsidR="00204A00" w:rsidRPr="00CF1674" w:rsidRDefault="00204A00" w:rsidP="00CF1674">
            <w:pPr>
              <w:spacing w:after="0" w:line="276" w:lineRule="auto"/>
              <w:jc w:val="center"/>
              <w:rPr>
                <w:rFonts w:cs="Arial"/>
                <w:b/>
                <w:bCs/>
                <w:color w:val="000000"/>
                <w:sz w:val="16"/>
                <w:szCs w:val="16"/>
              </w:rPr>
            </w:pPr>
            <w:r w:rsidRPr="00CF1674">
              <w:rPr>
                <w:rFonts w:cs="Arial"/>
                <w:b/>
                <w:bCs/>
                <w:color w:val="000000"/>
                <w:sz w:val="16"/>
                <w:szCs w:val="16"/>
              </w:rPr>
              <w:t>Προβλέψεις</w:t>
            </w:r>
          </w:p>
        </w:tc>
      </w:tr>
      <w:tr w:rsidR="008E1BEE" w:rsidRPr="00CF1674" w14:paraId="436AA38F" w14:textId="77777777" w:rsidTr="00CF1674">
        <w:trPr>
          <w:cantSplit/>
          <w:jc w:val="center"/>
        </w:trPr>
        <w:tc>
          <w:tcPr>
            <w:tcW w:w="323" w:type="dxa"/>
            <w:tcBorders>
              <w:top w:val="single" w:sz="2" w:space="0" w:color="A6A6A6" w:themeColor="background1" w:themeShade="A6"/>
              <w:left w:val="single" w:sz="2" w:space="0" w:color="A6A6A6" w:themeColor="background1" w:themeShade="A6"/>
              <w:bottom w:val="nil"/>
            </w:tcBorders>
            <w:shd w:val="clear" w:color="auto" w:fill="DADCE4"/>
            <w:noWrap/>
            <w:vAlign w:val="center"/>
            <w:hideMark/>
          </w:tcPr>
          <w:p w14:paraId="734EBFD9" w14:textId="77777777" w:rsidR="008E1BEE" w:rsidRPr="00CF1674" w:rsidRDefault="008E1BEE" w:rsidP="00CF1674">
            <w:pPr>
              <w:spacing w:after="0" w:line="276" w:lineRule="auto"/>
              <w:jc w:val="center"/>
              <w:rPr>
                <w:rFonts w:cs="Arial"/>
                <w:b/>
                <w:bCs/>
                <w:color w:val="000000"/>
                <w:sz w:val="16"/>
                <w:szCs w:val="16"/>
              </w:rPr>
            </w:pPr>
            <w:r w:rsidRPr="00CF1674">
              <w:rPr>
                <w:rFonts w:cs="Arial"/>
                <w:b/>
                <w:bCs/>
                <w:color w:val="000000"/>
                <w:sz w:val="16"/>
                <w:szCs w:val="16"/>
              </w:rPr>
              <w:t>1</w:t>
            </w:r>
          </w:p>
        </w:tc>
        <w:tc>
          <w:tcPr>
            <w:tcW w:w="6905" w:type="dxa"/>
            <w:tcBorders>
              <w:top w:val="single" w:sz="2" w:space="0" w:color="A6A6A6" w:themeColor="background1" w:themeShade="A6"/>
              <w:bottom w:val="nil"/>
            </w:tcBorders>
            <w:shd w:val="clear" w:color="auto" w:fill="DADCE4"/>
            <w:noWrap/>
            <w:vAlign w:val="center"/>
            <w:hideMark/>
          </w:tcPr>
          <w:p w14:paraId="2F22D7C7" w14:textId="77777777" w:rsidR="008E1BEE" w:rsidRPr="00CF1674" w:rsidRDefault="008E1BEE" w:rsidP="00CF1674">
            <w:pPr>
              <w:spacing w:after="0" w:line="276" w:lineRule="auto"/>
              <w:jc w:val="left"/>
              <w:rPr>
                <w:rFonts w:cs="Arial"/>
                <w:b/>
                <w:bCs/>
                <w:color w:val="000000"/>
                <w:sz w:val="16"/>
                <w:szCs w:val="16"/>
              </w:rPr>
            </w:pPr>
            <w:r w:rsidRPr="00CF1674">
              <w:rPr>
                <w:rFonts w:cs="Arial"/>
                <w:b/>
                <w:bCs/>
                <w:color w:val="000000"/>
                <w:sz w:val="16"/>
                <w:szCs w:val="16"/>
              </w:rPr>
              <w:t>Υπουργείο Εσωτερικών</w:t>
            </w:r>
          </w:p>
        </w:tc>
        <w:tc>
          <w:tcPr>
            <w:tcW w:w="1262" w:type="dxa"/>
            <w:tcBorders>
              <w:top w:val="single" w:sz="2" w:space="0" w:color="A6A6A6" w:themeColor="background1" w:themeShade="A6"/>
              <w:left w:val="nil"/>
              <w:bottom w:val="nil"/>
              <w:right w:val="nil"/>
            </w:tcBorders>
            <w:shd w:val="clear" w:color="000000" w:fill="DADCE4"/>
            <w:noWrap/>
            <w:vAlign w:val="center"/>
          </w:tcPr>
          <w:p w14:paraId="66BCAF27" w14:textId="511E4425"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38,0</w:t>
            </w:r>
          </w:p>
        </w:tc>
        <w:tc>
          <w:tcPr>
            <w:tcW w:w="1435" w:type="dxa"/>
            <w:tcBorders>
              <w:top w:val="single" w:sz="2" w:space="0" w:color="A6A6A6" w:themeColor="background1" w:themeShade="A6"/>
              <w:left w:val="nil"/>
              <w:bottom w:val="nil"/>
              <w:right w:val="single" w:sz="2" w:space="0" w:color="A6A6A6" w:themeColor="background1" w:themeShade="A6"/>
            </w:tcBorders>
            <w:shd w:val="clear" w:color="000000" w:fill="DADCE4"/>
            <w:noWrap/>
            <w:vAlign w:val="center"/>
          </w:tcPr>
          <w:p w14:paraId="6F985E68" w14:textId="11292652"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34,9</w:t>
            </w:r>
          </w:p>
        </w:tc>
      </w:tr>
      <w:tr w:rsidR="008E1BEE" w:rsidRPr="00CF1674" w14:paraId="3EE8B12C" w14:textId="77777777" w:rsidTr="00CF1674">
        <w:trPr>
          <w:cantSplit/>
          <w:jc w:val="center"/>
        </w:trPr>
        <w:tc>
          <w:tcPr>
            <w:tcW w:w="323" w:type="dxa"/>
            <w:tcBorders>
              <w:top w:val="nil"/>
              <w:left w:val="single" w:sz="2" w:space="0" w:color="A6A6A6" w:themeColor="background1" w:themeShade="A6"/>
              <w:bottom w:val="nil"/>
            </w:tcBorders>
            <w:shd w:val="clear" w:color="auto" w:fill="auto"/>
            <w:noWrap/>
            <w:vAlign w:val="center"/>
            <w:hideMark/>
          </w:tcPr>
          <w:p w14:paraId="6D116E74"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Α</w:t>
            </w:r>
          </w:p>
        </w:tc>
        <w:tc>
          <w:tcPr>
            <w:tcW w:w="6905" w:type="dxa"/>
            <w:tcBorders>
              <w:top w:val="nil"/>
              <w:bottom w:val="nil"/>
            </w:tcBorders>
            <w:shd w:val="clear" w:color="auto" w:fill="auto"/>
            <w:noWrap/>
            <w:vAlign w:val="center"/>
            <w:hideMark/>
          </w:tcPr>
          <w:p w14:paraId="50C7393F"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Ανώτατο Συμβούλιο Επιλογής Προσωπικού</w:t>
            </w:r>
          </w:p>
        </w:tc>
        <w:tc>
          <w:tcPr>
            <w:tcW w:w="1262" w:type="dxa"/>
            <w:tcBorders>
              <w:top w:val="nil"/>
              <w:left w:val="nil"/>
              <w:bottom w:val="nil"/>
              <w:right w:val="nil"/>
            </w:tcBorders>
            <w:shd w:val="clear" w:color="auto" w:fill="auto"/>
            <w:noWrap/>
            <w:vAlign w:val="center"/>
          </w:tcPr>
          <w:p w14:paraId="05EC0F51" w14:textId="72AFDA53"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20,9</w:t>
            </w:r>
          </w:p>
        </w:tc>
        <w:tc>
          <w:tcPr>
            <w:tcW w:w="1435" w:type="dxa"/>
            <w:tcBorders>
              <w:top w:val="nil"/>
              <w:left w:val="nil"/>
              <w:bottom w:val="nil"/>
              <w:right w:val="single" w:sz="2" w:space="0" w:color="A6A6A6" w:themeColor="background1" w:themeShade="A6"/>
            </w:tcBorders>
            <w:shd w:val="clear" w:color="auto" w:fill="auto"/>
            <w:noWrap/>
            <w:vAlign w:val="center"/>
          </w:tcPr>
          <w:p w14:paraId="4C143958" w14:textId="5F578761"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17,6</w:t>
            </w:r>
          </w:p>
        </w:tc>
      </w:tr>
      <w:tr w:rsidR="008E1BEE" w:rsidRPr="00CF1674" w14:paraId="3C39778F" w14:textId="77777777" w:rsidTr="00CF1674">
        <w:trPr>
          <w:cantSplit/>
          <w:jc w:val="center"/>
        </w:trPr>
        <w:tc>
          <w:tcPr>
            <w:tcW w:w="323" w:type="dxa"/>
            <w:tcBorders>
              <w:top w:val="nil"/>
              <w:left w:val="single" w:sz="2" w:space="0" w:color="A6A6A6" w:themeColor="background1" w:themeShade="A6"/>
              <w:bottom w:val="nil"/>
            </w:tcBorders>
            <w:shd w:val="clear" w:color="auto" w:fill="auto"/>
            <w:noWrap/>
            <w:vAlign w:val="center"/>
            <w:hideMark/>
          </w:tcPr>
          <w:p w14:paraId="7FE1B468"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Β</w:t>
            </w:r>
          </w:p>
        </w:tc>
        <w:tc>
          <w:tcPr>
            <w:tcW w:w="6905" w:type="dxa"/>
            <w:tcBorders>
              <w:top w:val="nil"/>
              <w:bottom w:val="nil"/>
            </w:tcBorders>
            <w:shd w:val="clear" w:color="auto" w:fill="auto"/>
            <w:noWrap/>
            <w:vAlign w:val="center"/>
            <w:hideMark/>
          </w:tcPr>
          <w:p w14:paraId="10D2E84E"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Συνήγορος του Πολίτη</w:t>
            </w:r>
          </w:p>
        </w:tc>
        <w:tc>
          <w:tcPr>
            <w:tcW w:w="1262" w:type="dxa"/>
            <w:tcBorders>
              <w:top w:val="nil"/>
              <w:left w:val="nil"/>
              <w:bottom w:val="nil"/>
              <w:right w:val="nil"/>
            </w:tcBorders>
            <w:shd w:val="clear" w:color="auto" w:fill="auto"/>
            <w:noWrap/>
            <w:vAlign w:val="center"/>
          </w:tcPr>
          <w:p w14:paraId="0626A8D2" w14:textId="3BF17D5D"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7,9</w:t>
            </w:r>
          </w:p>
        </w:tc>
        <w:tc>
          <w:tcPr>
            <w:tcW w:w="1435" w:type="dxa"/>
            <w:tcBorders>
              <w:top w:val="nil"/>
              <w:left w:val="nil"/>
              <w:bottom w:val="nil"/>
              <w:right w:val="single" w:sz="2" w:space="0" w:color="A6A6A6" w:themeColor="background1" w:themeShade="A6"/>
            </w:tcBorders>
            <w:shd w:val="clear" w:color="auto" w:fill="auto"/>
            <w:noWrap/>
            <w:vAlign w:val="center"/>
          </w:tcPr>
          <w:p w14:paraId="14272169" w14:textId="3A632C8E"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8,1</w:t>
            </w:r>
          </w:p>
        </w:tc>
      </w:tr>
      <w:tr w:rsidR="008E1BEE" w:rsidRPr="00CF1674" w14:paraId="47AE708B" w14:textId="77777777" w:rsidTr="00CF1674">
        <w:trPr>
          <w:cantSplit/>
          <w:jc w:val="center"/>
        </w:trPr>
        <w:tc>
          <w:tcPr>
            <w:tcW w:w="323" w:type="dxa"/>
            <w:tcBorders>
              <w:top w:val="nil"/>
              <w:left w:val="single" w:sz="2" w:space="0" w:color="A6A6A6" w:themeColor="background1" w:themeShade="A6"/>
              <w:bottom w:val="nil"/>
            </w:tcBorders>
            <w:shd w:val="clear" w:color="auto" w:fill="auto"/>
            <w:noWrap/>
            <w:vAlign w:val="center"/>
            <w:hideMark/>
          </w:tcPr>
          <w:p w14:paraId="03AC8E8E"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Γ</w:t>
            </w:r>
          </w:p>
        </w:tc>
        <w:tc>
          <w:tcPr>
            <w:tcW w:w="6905" w:type="dxa"/>
            <w:tcBorders>
              <w:top w:val="nil"/>
              <w:bottom w:val="nil"/>
            </w:tcBorders>
            <w:shd w:val="clear" w:color="auto" w:fill="auto"/>
            <w:noWrap/>
            <w:vAlign w:val="center"/>
            <w:hideMark/>
          </w:tcPr>
          <w:p w14:paraId="0DE59CC1"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Εθνική Αρχή Διαφάνειας</w:t>
            </w:r>
          </w:p>
        </w:tc>
        <w:tc>
          <w:tcPr>
            <w:tcW w:w="1262" w:type="dxa"/>
            <w:tcBorders>
              <w:top w:val="nil"/>
              <w:left w:val="nil"/>
              <w:bottom w:val="nil"/>
              <w:right w:val="nil"/>
            </w:tcBorders>
            <w:shd w:val="clear" w:color="auto" w:fill="auto"/>
            <w:noWrap/>
            <w:vAlign w:val="center"/>
          </w:tcPr>
          <w:p w14:paraId="3CBB504F" w14:textId="09B12047"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9,2</w:t>
            </w:r>
          </w:p>
        </w:tc>
        <w:tc>
          <w:tcPr>
            <w:tcW w:w="1435" w:type="dxa"/>
            <w:tcBorders>
              <w:top w:val="nil"/>
              <w:left w:val="nil"/>
              <w:bottom w:val="nil"/>
              <w:right w:val="single" w:sz="2" w:space="0" w:color="A6A6A6" w:themeColor="background1" w:themeShade="A6"/>
            </w:tcBorders>
            <w:shd w:val="clear" w:color="auto" w:fill="auto"/>
            <w:noWrap/>
            <w:vAlign w:val="center"/>
          </w:tcPr>
          <w:p w14:paraId="7904C960" w14:textId="6B2FEB5A"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9,3</w:t>
            </w:r>
          </w:p>
        </w:tc>
      </w:tr>
      <w:tr w:rsidR="008E1BEE" w:rsidRPr="00CF1674" w14:paraId="14FC87F3" w14:textId="77777777" w:rsidTr="00CF1674">
        <w:trPr>
          <w:cantSplit/>
          <w:jc w:val="center"/>
        </w:trPr>
        <w:tc>
          <w:tcPr>
            <w:tcW w:w="323" w:type="dxa"/>
            <w:tcBorders>
              <w:top w:val="nil"/>
              <w:left w:val="single" w:sz="2" w:space="0" w:color="A6A6A6" w:themeColor="background1" w:themeShade="A6"/>
              <w:bottom w:val="nil"/>
            </w:tcBorders>
            <w:shd w:val="clear" w:color="auto" w:fill="DADCE4"/>
            <w:noWrap/>
            <w:vAlign w:val="center"/>
            <w:hideMark/>
          </w:tcPr>
          <w:p w14:paraId="0A206A54" w14:textId="77777777" w:rsidR="008E1BEE" w:rsidRPr="00CF1674" w:rsidRDefault="008E1BEE" w:rsidP="00CF1674">
            <w:pPr>
              <w:spacing w:after="0" w:line="276" w:lineRule="auto"/>
              <w:jc w:val="center"/>
              <w:rPr>
                <w:rFonts w:cs="Arial"/>
                <w:b/>
                <w:bCs/>
                <w:color w:val="000000"/>
                <w:sz w:val="16"/>
                <w:szCs w:val="16"/>
              </w:rPr>
            </w:pPr>
            <w:r w:rsidRPr="00CF1674">
              <w:rPr>
                <w:rFonts w:cs="Arial"/>
                <w:b/>
                <w:bCs/>
                <w:color w:val="000000"/>
                <w:sz w:val="16"/>
                <w:szCs w:val="16"/>
              </w:rPr>
              <w:t>2</w:t>
            </w:r>
          </w:p>
        </w:tc>
        <w:tc>
          <w:tcPr>
            <w:tcW w:w="6905" w:type="dxa"/>
            <w:tcBorders>
              <w:top w:val="nil"/>
              <w:bottom w:val="nil"/>
            </w:tcBorders>
            <w:shd w:val="clear" w:color="auto" w:fill="DADCE4"/>
            <w:noWrap/>
            <w:vAlign w:val="center"/>
            <w:hideMark/>
          </w:tcPr>
          <w:p w14:paraId="189BC63A" w14:textId="77777777" w:rsidR="008E1BEE" w:rsidRPr="00CF1674" w:rsidRDefault="008E1BEE" w:rsidP="00CF1674">
            <w:pPr>
              <w:spacing w:after="0" w:line="276" w:lineRule="auto"/>
              <w:jc w:val="left"/>
              <w:rPr>
                <w:rFonts w:cs="Arial"/>
                <w:b/>
                <w:bCs/>
                <w:color w:val="000000"/>
                <w:sz w:val="16"/>
                <w:szCs w:val="16"/>
              </w:rPr>
            </w:pPr>
            <w:r w:rsidRPr="00CF1674">
              <w:rPr>
                <w:rFonts w:cs="Arial"/>
                <w:b/>
                <w:bCs/>
                <w:color w:val="000000"/>
                <w:sz w:val="16"/>
                <w:szCs w:val="16"/>
              </w:rPr>
              <w:t>Υπουργείο Δικαιοσύνης</w:t>
            </w:r>
          </w:p>
        </w:tc>
        <w:tc>
          <w:tcPr>
            <w:tcW w:w="1262" w:type="dxa"/>
            <w:tcBorders>
              <w:top w:val="nil"/>
              <w:left w:val="nil"/>
              <w:bottom w:val="nil"/>
              <w:right w:val="nil"/>
            </w:tcBorders>
            <w:shd w:val="clear" w:color="000000" w:fill="DADCE4"/>
            <w:noWrap/>
            <w:vAlign w:val="center"/>
          </w:tcPr>
          <w:p w14:paraId="2B104AE8" w14:textId="2864D84E"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4,9</w:t>
            </w:r>
          </w:p>
        </w:tc>
        <w:tc>
          <w:tcPr>
            <w:tcW w:w="1435" w:type="dxa"/>
            <w:tcBorders>
              <w:top w:val="nil"/>
              <w:left w:val="nil"/>
              <w:bottom w:val="nil"/>
              <w:right w:val="single" w:sz="2" w:space="0" w:color="A6A6A6" w:themeColor="background1" w:themeShade="A6"/>
            </w:tcBorders>
            <w:shd w:val="clear" w:color="000000" w:fill="DADCE4"/>
            <w:noWrap/>
            <w:vAlign w:val="center"/>
          </w:tcPr>
          <w:p w14:paraId="2B1663B9" w14:textId="3FCADE82"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5,3</w:t>
            </w:r>
          </w:p>
        </w:tc>
      </w:tr>
      <w:tr w:rsidR="008E1BEE" w:rsidRPr="00CF1674" w14:paraId="358140BC" w14:textId="77777777" w:rsidTr="00CF1674">
        <w:trPr>
          <w:cantSplit/>
          <w:jc w:val="center"/>
        </w:trPr>
        <w:tc>
          <w:tcPr>
            <w:tcW w:w="323" w:type="dxa"/>
            <w:tcBorders>
              <w:top w:val="nil"/>
              <w:left w:val="single" w:sz="2" w:space="0" w:color="A6A6A6" w:themeColor="background1" w:themeShade="A6"/>
              <w:bottom w:val="nil"/>
            </w:tcBorders>
            <w:shd w:val="clear" w:color="auto" w:fill="auto"/>
            <w:noWrap/>
            <w:vAlign w:val="center"/>
            <w:hideMark/>
          </w:tcPr>
          <w:p w14:paraId="36F843A7"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Α</w:t>
            </w:r>
          </w:p>
        </w:tc>
        <w:tc>
          <w:tcPr>
            <w:tcW w:w="6905" w:type="dxa"/>
            <w:tcBorders>
              <w:top w:val="nil"/>
              <w:bottom w:val="nil"/>
            </w:tcBorders>
            <w:shd w:val="clear" w:color="auto" w:fill="auto"/>
            <w:noWrap/>
            <w:vAlign w:val="center"/>
            <w:hideMark/>
          </w:tcPr>
          <w:p w14:paraId="6D48375B"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Αρχή Προστασίας Δεδομένων Προσωπικού Χαρακτήρα</w:t>
            </w:r>
          </w:p>
        </w:tc>
        <w:tc>
          <w:tcPr>
            <w:tcW w:w="1262" w:type="dxa"/>
            <w:tcBorders>
              <w:top w:val="nil"/>
              <w:left w:val="nil"/>
              <w:bottom w:val="nil"/>
              <w:right w:val="nil"/>
            </w:tcBorders>
            <w:shd w:val="clear" w:color="auto" w:fill="auto"/>
            <w:noWrap/>
            <w:vAlign w:val="center"/>
          </w:tcPr>
          <w:p w14:paraId="06808829" w14:textId="64C70794"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2,8</w:t>
            </w:r>
          </w:p>
        </w:tc>
        <w:tc>
          <w:tcPr>
            <w:tcW w:w="1435" w:type="dxa"/>
            <w:tcBorders>
              <w:top w:val="nil"/>
              <w:left w:val="nil"/>
              <w:bottom w:val="nil"/>
              <w:right w:val="single" w:sz="2" w:space="0" w:color="A6A6A6" w:themeColor="background1" w:themeShade="A6"/>
            </w:tcBorders>
            <w:shd w:val="clear" w:color="auto" w:fill="auto"/>
            <w:noWrap/>
            <w:vAlign w:val="center"/>
          </w:tcPr>
          <w:p w14:paraId="0BF4482B" w14:textId="427A9740"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2,8</w:t>
            </w:r>
          </w:p>
        </w:tc>
      </w:tr>
      <w:tr w:rsidR="008E1BEE" w:rsidRPr="00CF1674" w14:paraId="70C391BC" w14:textId="77777777" w:rsidTr="00CF1674">
        <w:trPr>
          <w:cantSplit/>
          <w:jc w:val="center"/>
        </w:trPr>
        <w:tc>
          <w:tcPr>
            <w:tcW w:w="323" w:type="dxa"/>
            <w:tcBorders>
              <w:top w:val="nil"/>
              <w:left w:val="single" w:sz="2" w:space="0" w:color="A6A6A6" w:themeColor="background1" w:themeShade="A6"/>
              <w:bottom w:val="nil"/>
            </w:tcBorders>
            <w:shd w:val="clear" w:color="auto" w:fill="auto"/>
            <w:noWrap/>
            <w:vAlign w:val="center"/>
            <w:hideMark/>
          </w:tcPr>
          <w:p w14:paraId="3A9D3F18"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Β</w:t>
            </w:r>
          </w:p>
        </w:tc>
        <w:tc>
          <w:tcPr>
            <w:tcW w:w="6905" w:type="dxa"/>
            <w:tcBorders>
              <w:top w:val="nil"/>
              <w:bottom w:val="nil"/>
            </w:tcBorders>
            <w:shd w:val="clear" w:color="auto" w:fill="auto"/>
            <w:noWrap/>
            <w:vAlign w:val="center"/>
            <w:hideMark/>
          </w:tcPr>
          <w:p w14:paraId="3D8A4A8B"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Αρχή Διασφάλισης του Απορρήτου των Επικοινωνιών</w:t>
            </w:r>
          </w:p>
        </w:tc>
        <w:tc>
          <w:tcPr>
            <w:tcW w:w="1262" w:type="dxa"/>
            <w:tcBorders>
              <w:top w:val="nil"/>
              <w:left w:val="nil"/>
              <w:bottom w:val="nil"/>
              <w:right w:val="nil"/>
            </w:tcBorders>
            <w:shd w:val="clear" w:color="auto" w:fill="auto"/>
            <w:noWrap/>
            <w:vAlign w:val="center"/>
          </w:tcPr>
          <w:p w14:paraId="7D5A93A1" w14:textId="74094DF6"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2,2</w:t>
            </w:r>
          </w:p>
        </w:tc>
        <w:tc>
          <w:tcPr>
            <w:tcW w:w="1435" w:type="dxa"/>
            <w:tcBorders>
              <w:top w:val="nil"/>
              <w:left w:val="nil"/>
              <w:bottom w:val="nil"/>
              <w:right w:val="single" w:sz="2" w:space="0" w:color="A6A6A6" w:themeColor="background1" w:themeShade="A6"/>
            </w:tcBorders>
            <w:shd w:val="clear" w:color="auto" w:fill="auto"/>
            <w:noWrap/>
            <w:vAlign w:val="center"/>
          </w:tcPr>
          <w:p w14:paraId="16DE7F3A" w14:textId="2400BCCC"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2,5</w:t>
            </w:r>
          </w:p>
        </w:tc>
      </w:tr>
      <w:tr w:rsidR="008E1BEE" w:rsidRPr="00CF1674" w14:paraId="03FF6D4D" w14:textId="77777777" w:rsidTr="00CF1674">
        <w:trPr>
          <w:cantSplit/>
          <w:jc w:val="center"/>
        </w:trPr>
        <w:tc>
          <w:tcPr>
            <w:tcW w:w="323" w:type="dxa"/>
            <w:tcBorders>
              <w:top w:val="nil"/>
              <w:left w:val="single" w:sz="2" w:space="0" w:color="A6A6A6" w:themeColor="background1" w:themeShade="A6"/>
              <w:bottom w:val="nil"/>
            </w:tcBorders>
            <w:shd w:val="clear" w:color="auto" w:fill="DADCE4"/>
            <w:noWrap/>
            <w:vAlign w:val="center"/>
            <w:hideMark/>
          </w:tcPr>
          <w:p w14:paraId="19BAC5F2" w14:textId="77777777" w:rsidR="008E1BEE" w:rsidRPr="00CF1674" w:rsidRDefault="008E1BEE" w:rsidP="00CF1674">
            <w:pPr>
              <w:spacing w:after="0" w:line="276" w:lineRule="auto"/>
              <w:jc w:val="center"/>
              <w:rPr>
                <w:rFonts w:cs="Arial"/>
                <w:b/>
                <w:bCs/>
                <w:color w:val="000000"/>
                <w:sz w:val="16"/>
                <w:szCs w:val="16"/>
              </w:rPr>
            </w:pPr>
            <w:r w:rsidRPr="00CF1674">
              <w:rPr>
                <w:rFonts w:cs="Arial"/>
                <w:b/>
                <w:bCs/>
                <w:color w:val="000000"/>
                <w:sz w:val="16"/>
                <w:szCs w:val="16"/>
              </w:rPr>
              <w:t>3</w:t>
            </w:r>
          </w:p>
        </w:tc>
        <w:tc>
          <w:tcPr>
            <w:tcW w:w="6905" w:type="dxa"/>
            <w:tcBorders>
              <w:top w:val="nil"/>
              <w:bottom w:val="nil"/>
            </w:tcBorders>
            <w:shd w:val="clear" w:color="auto" w:fill="DADCE4"/>
            <w:noWrap/>
            <w:vAlign w:val="center"/>
            <w:hideMark/>
          </w:tcPr>
          <w:p w14:paraId="2D489714" w14:textId="77777777" w:rsidR="008E1BEE" w:rsidRPr="00CF1674" w:rsidRDefault="008E1BEE" w:rsidP="00CF1674">
            <w:pPr>
              <w:spacing w:after="0" w:line="276" w:lineRule="auto"/>
              <w:jc w:val="left"/>
              <w:rPr>
                <w:rFonts w:cs="Arial"/>
                <w:b/>
                <w:bCs/>
                <w:color w:val="000000"/>
                <w:sz w:val="16"/>
                <w:szCs w:val="16"/>
              </w:rPr>
            </w:pPr>
            <w:r w:rsidRPr="00CF1674">
              <w:rPr>
                <w:rFonts w:cs="Arial"/>
                <w:b/>
                <w:bCs/>
                <w:color w:val="000000"/>
                <w:sz w:val="16"/>
                <w:szCs w:val="16"/>
              </w:rPr>
              <w:t>Υπουργείο Παιδείας, Θρησκευμάτων και Αθλητισμού</w:t>
            </w:r>
          </w:p>
        </w:tc>
        <w:tc>
          <w:tcPr>
            <w:tcW w:w="1262" w:type="dxa"/>
            <w:tcBorders>
              <w:top w:val="nil"/>
              <w:left w:val="nil"/>
              <w:bottom w:val="nil"/>
              <w:right w:val="nil"/>
            </w:tcBorders>
            <w:shd w:val="clear" w:color="000000" w:fill="DADCE4"/>
            <w:noWrap/>
            <w:vAlign w:val="center"/>
          </w:tcPr>
          <w:p w14:paraId="54D89CA7" w14:textId="4B579D46"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2,2</w:t>
            </w:r>
          </w:p>
        </w:tc>
        <w:tc>
          <w:tcPr>
            <w:tcW w:w="1435" w:type="dxa"/>
            <w:tcBorders>
              <w:top w:val="nil"/>
              <w:left w:val="nil"/>
              <w:bottom w:val="nil"/>
              <w:right w:val="single" w:sz="2" w:space="0" w:color="A6A6A6" w:themeColor="background1" w:themeShade="A6"/>
            </w:tcBorders>
            <w:shd w:val="clear" w:color="000000" w:fill="DADCE4"/>
            <w:noWrap/>
            <w:vAlign w:val="center"/>
          </w:tcPr>
          <w:p w14:paraId="14FE89F6" w14:textId="7B3964FC"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1,4</w:t>
            </w:r>
          </w:p>
        </w:tc>
      </w:tr>
      <w:tr w:rsidR="008E1BEE" w:rsidRPr="00CF1674" w14:paraId="262DAF79" w14:textId="77777777" w:rsidTr="00CF1674">
        <w:trPr>
          <w:cantSplit/>
          <w:jc w:val="center"/>
        </w:trPr>
        <w:tc>
          <w:tcPr>
            <w:tcW w:w="323" w:type="dxa"/>
            <w:tcBorders>
              <w:top w:val="nil"/>
              <w:left w:val="single" w:sz="2" w:space="0" w:color="A6A6A6" w:themeColor="background1" w:themeShade="A6"/>
              <w:bottom w:val="nil"/>
            </w:tcBorders>
            <w:shd w:val="clear" w:color="auto" w:fill="auto"/>
            <w:noWrap/>
            <w:vAlign w:val="center"/>
            <w:hideMark/>
          </w:tcPr>
          <w:p w14:paraId="7910C8A9"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Α</w:t>
            </w:r>
          </w:p>
        </w:tc>
        <w:tc>
          <w:tcPr>
            <w:tcW w:w="6905" w:type="dxa"/>
            <w:tcBorders>
              <w:top w:val="nil"/>
              <w:bottom w:val="nil"/>
            </w:tcBorders>
            <w:shd w:val="clear" w:color="auto" w:fill="auto"/>
            <w:vAlign w:val="center"/>
            <w:hideMark/>
          </w:tcPr>
          <w:p w14:paraId="13EEE340"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Αρχή Διασφάλισης της Ποιότητας στην Πρωτοβάθμια και Δευτεροβάθμια Εκπαίδευση</w:t>
            </w:r>
          </w:p>
        </w:tc>
        <w:tc>
          <w:tcPr>
            <w:tcW w:w="1262" w:type="dxa"/>
            <w:tcBorders>
              <w:top w:val="nil"/>
              <w:left w:val="nil"/>
              <w:bottom w:val="nil"/>
              <w:right w:val="nil"/>
            </w:tcBorders>
            <w:shd w:val="clear" w:color="auto" w:fill="auto"/>
            <w:noWrap/>
            <w:vAlign w:val="center"/>
          </w:tcPr>
          <w:p w14:paraId="4E90B86F" w14:textId="63E42097"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0,1</w:t>
            </w:r>
          </w:p>
        </w:tc>
        <w:tc>
          <w:tcPr>
            <w:tcW w:w="1435" w:type="dxa"/>
            <w:tcBorders>
              <w:top w:val="nil"/>
              <w:left w:val="nil"/>
              <w:bottom w:val="nil"/>
              <w:right w:val="single" w:sz="2" w:space="0" w:color="A6A6A6" w:themeColor="background1" w:themeShade="A6"/>
            </w:tcBorders>
            <w:shd w:val="clear" w:color="auto" w:fill="auto"/>
            <w:noWrap/>
            <w:vAlign w:val="center"/>
          </w:tcPr>
          <w:p w14:paraId="21005E48" w14:textId="41C3233D"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0,1</w:t>
            </w:r>
          </w:p>
        </w:tc>
      </w:tr>
      <w:tr w:rsidR="008E1BEE" w:rsidRPr="00CF1674" w14:paraId="4300B533" w14:textId="77777777" w:rsidTr="00CF1674">
        <w:trPr>
          <w:cantSplit/>
          <w:jc w:val="center"/>
        </w:trPr>
        <w:tc>
          <w:tcPr>
            <w:tcW w:w="323" w:type="dxa"/>
            <w:tcBorders>
              <w:top w:val="nil"/>
              <w:left w:val="single" w:sz="2" w:space="0" w:color="A6A6A6" w:themeColor="background1" w:themeShade="A6"/>
              <w:bottom w:val="nil"/>
            </w:tcBorders>
            <w:shd w:val="clear" w:color="auto" w:fill="auto"/>
            <w:noWrap/>
            <w:vAlign w:val="center"/>
            <w:hideMark/>
          </w:tcPr>
          <w:p w14:paraId="41B17B17"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Β</w:t>
            </w:r>
          </w:p>
        </w:tc>
        <w:tc>
          <w:tcPr>
            <w:tcW w:w="6905" w:type="dxa"/>
            <w:tcBorders>
              <w:top w:val="nil"/>
              <w:bottom w:val="nil"/>
            </w:tcBorders>
            <w:shd w:val="clear" w:color="auto" w:fill="auto"/>
            <w:vAlign w:val="center"/>
            <w:hideMark/>
          </w:tcPr>
          <w:p w14:paraId="50CBFBCB"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Εθνική Αρχή Ανώτατης Εκπαίδευσης</w:t>
            </w:r>
          </w:p>
        </w:tc>
        <w:tc>
          <w:tcPr>
            <w:tcW w:w="1262" w:type="dxa"/>
            <w:tcBorders>
              <w:top w:val="nil"/>
              <w:left w:val="nil"/>
              <w:bottom w:val="nil"/>
              <w:right w:val="nil"/>
            </w:tcBorders>
            <w:shd w:val="clear" w:color="auto" w:fill="auto"/>
            <w:noWrap/>
            <w:vAlign w:val="center"/>
          </w:tcPr>
          <w:p w14:paraId="3C877DCD" w14:textId="762BA197"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2,1</w:t>
            </w:r>
          </w:p>
        </w:tc>
        <w:tc>
          <w:tcPr>
            <w:tcW w:w="1435" w:type="dxa"/>
            <w:tcBorders>
              <w:top w:val="nil"/>
              <w:left w:val="nil"/>
              <w:bottom w:val="nil"/>
              <w:right w:val="single" w:sz="2" w:space="0" w:color="A6A6A6" w:themeColor="background1" w:themeShade="A6"/>
            </w:tcBorders>
            <w:shd w:val="clear" w:color="auto" w:fill="auto"/>
            <w:noWrap/>
            <w:vAlign w:val="center"/>
          </w:tcPr>
          <w:p w14:paraId="34F20042" w14:textId="02E3142C"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1,3</w:t>
            </w:r>
          </w:p>
        </w:tc>
      </w:tr>
      <w:tr w:rsidR="008E1BEE" w:rsidRPr="00CF1674" w14:paraId="7F8F1D40" w14:textId="77777777" w:rsidTr="00CF1674">
        <w:trPr>
          <w:cantSplit/>
          <w:jc w:val="center"/>
        </w:trPr>
        <w:tc>
          <w:tcPr>
            <w:tcW w:w="323" w:type="dxa"/>
            <w:tcBorders>
              <w:top w:val="nil"/>
              <w:left w:val="single" w:sz="2" w:space="0" w:color="A6A6A6" w:themeColor="background1" w:themeShade="A6"/>
              <w:bottom w:val="nil"/>
            </w:tcBorders>
            <w:shd w:val="clear" w:color="auto" w:fill="auto"/>
            <w:noWrap/>
            <w:vAlign w:val="center"/>
            <w:hideMark/>
          </w:tcPr>
          <w:p w14:paraId="0D343B79"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Γ</w:t>
            </w:r>
          </w:p>
        </w:tc>
        <w:tc>
          <w:tcPr>
            <w:tcW w:w="6905" w:type="dxa"/>
            <w:tcBorders>
              <w:top w:val="nil"/>
              <w:bottom w:val="nil"/>
            </w:tcBorders>
            <w:shd w:val="clear" w:color="auto" w:fill="auto"/>
            <w:noWrap/>
            <w:vAlign w:val="center"/>
            <w:hideMark/>
          </w:tcPr>
          <w:p w14:paraId="27DA518C" w14:textId="18E1357A"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Εθνικός Οργανισμός Εξετάσεων</w:t>
            </w:r>
          </w:p>
        </w:tc>
        <w:tc>
          <w:tcPr>
            <w:tcW w:w="1262" w:type="dxa"/>
            <w:tcBorders>
              <w:top w:val="nil"/>
              <w:left w:val="nil"/>
              <w:bottom w:val="nil"/>
              <w:right w:val="nil"/>
            </w:tcBorders>
            <w:shd w:val="clear" w:color="auto" w:fill="auto"/>
            <w:noWrap/>
            <w:vAlign w:val="center"/>
          </w:tcPr>
          <w:p w14:paraId="7D77315C" w14:textId="5C898844"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0,1</w:t>
            </w:r>
          </w:p>
        </w:tc>
        <w:tc>
          <w:tcPr>
            <w:tcW w:w="1435" w:type="dxa"/>
            <w:tcBorders>
              <w:top w:val="nil"/>
              <w:left w:val="nil"/>
              <w:bottom w:val="nil"/>
              <w:right w:val="single" w:sz="2" w:space="0" w:color="A6A6A6" w:themeColor="background1" w:themeShade="A6"/>
            </w:tcBorders>
            <w:shd w:val="clear" w:color="auto" w:fill="auto"/>
            <w:noWrap/>
            <w:vAlign w:val="center"/>
          </w:tcPr>
          <w:p w14:paraId="60AD9DE4" w14:textId="233D7FF5"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0,1</w:t>
            </w:r>
          </w:p>
        </w:tc>
      </w:tr>
      <w:tr w:rsidR="008E1BEE" w:rsidRPr="00CF1674" w14:paraId="11BE2D43" w14:textId="77777777" w:rsidTr="00CF1674">
        <w:trPr>
          <w:cantSplit/>
          <w:jc w:val="center"/>
        </w:trPr>
        <w:tc>
          <w:tcPr>
            <w:tcW w:w="323" w:type="dxa"/>
            <w:tcBorders>
              <w:top w:val="nil"/>
              <w:left w:val="single" w:sz="2" w:space="0" w:color="A6A6A6" w:themeColor="background1" w:themeShade="A6"/>
              <w:bottom w:val="nil"/>
            </w:tcBorders>
            <w:shd w:val="clear" w:color="auto" w:fill="DADCE4"/>
            <w:noWrap/>
            <w:vAlign w:val="center"/>
            <w:hideMark/>
          </w:tcPr>
          <w:p w14:paraId="30620FE5" w14:textId="77777777" w:rsidR="008E1BEE" w:rsidRPr="00CF1674" w:rsidRDefault="008E1BEE" w:rsidP="00CF1674">
            <w:pPr>
              <w:spacing w:after="0" w:line="276" w:lineRule="auto"/>
              <w:jc w:val="center"/>
              <w:rPr>
                <w:rFonts w:cs="Arial"/>
                <w:b/>
                <w:bCs/>
                <w:color w:val="000000"/>
                <w:sz w:val="16"/>
                <w:szCs w:val="16"/>
              </w:rPr>
            </w:pPr>
            <w:r w:rsidRPr="00CF1674">
              <w:rPr>
                <w:rFonts w:cs="Arial"/>
                <w:b/>
                <w:bCs/>
                <w:color w:val="000000"/>
                <w:sz w:val="16"/>
                <w:szCs w:val="16"/>
              </w:rPr>
              <w:t>4</w:t>
            </w:r>
          </w:p>
        </w:tc>
        <w:tc>
          <w:tcPr>
            <w:tcW w:w="6905" w:type="dxa"/>
            <w:tcBorders>
              <w:top w:val="nil"/>
              <w:bottom w:val="nil"/>
            </w:tcBorders>
            <w:shd w:val="clear" w:color="auto" w:fill="DADCE4"/>
            <w:noWrap/>
            <w:vAlign w:val="center"/>
            <w:hideMark/>
          </w:tcPr>
          <w:p w14:paraId="3D08908B" w14:textId="77777777" w:rsidR="008E1BEE" w:rsidRPr="00CF1674" w:rsidRDefault="008E1BEE" w:rsidP="00CF1674">
            <w:pPr>
              <w:spacing w:after="0" w:line="276" w:lineRule="auto"/>
              <w:jc w:val="left"/>
              <w:rPr>
                <w:rFonts w:cs="Arial"/>
                <w:b/>
                <w:bCs/>
                <w:color w:val="000000"/>
                <w:sz w:val="16"/>
                <w:szCs w:val="16"/>
              </w:rPr>
            </w:pPr>
            <w:r w:rsidRPr="00CF1674">
              <w:rPr>
                <w:rFonts w:cs="Arial"/>
                <w:b/>
                <w:bCs/>
                <w:color w:val="000000"/>
                <w:sz w:val="16"/>
                <w:szCs w:val="16"/>
              </w:rPr>
              <w:t>Υπουργείο Εθνικής Οικονομίας και Οικονομικών</w:t>
            </w:r>
          </w:p>
        </w:tc>
        <w:tc>
          <w:tcPr>
            <w:tcW w:w="1262" w:type="dxa"/>
            <w:tcBorders>
              <w:top w:val="nil"/>
              <w:left w:val="nil"/>
              <w:bottom w:val="nil"/>
              <w:right w:val="nil"/>
            </w:tcBorders>
            <w:shd w:val="clear" w:color="000000" w:fill="DADCE4"/>
            <w:noWrap/>
            <w:vAlign w:val="center"/>
          </w:tcPr>
          <w:p w14:paraId="0C9E01DC" w14:textId="0962B006"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541,4</w:t>
            </w:r>
          </w:p>
        </w:tc>
        <w:tc>
          <w:tcPr>
            <w:tcW w:w="1435" w:type="dxa"/>
            <w:tcBorders>
              <w:top w:val="nil"/>
              <w:left w:val="nil"/>
              <w:bottom w:val="nil"/>
              <w:right w:val="single" w:sz="2" w:space="0" w:color="A6A6A6" w:themeColor="background1" w:themeShade="A6"/>
            </w:tcBorders>
            <w:shd w:val="clear" w:color="000000" w:fill="DADCE4"/>
            <w:noWrap/>
            <w:vAlign w:val="center"/>
          </w:tcPr>
          <w:p w14:paraId="24BA14D6" w14:textId="2A079DBD"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549,8</w:t>
            </w:r>
          </w:p>
        </w:tc>
      </w:tr>
      <w:tr w:rsidR="008E1BEE" w:rsidRPr="00CF1674" w14:paraId="5D4353D8" w14:textId="77777777" w:rsidTr="00CF1674">
        <w:trPr>
          <w:cantSplit/>
          <w:jc w:val="center"/>
        </w:trPr>
        <w:tc>
          <w:tcPr>
            <w:tcW w:w="323" w:type="dxa"/>
            <w:tcBorders>
              <w:top w:val="nil"/>
              <w:left w:val="single" w:sz="2" w:space="0" w:color="A6A6A6" w:themeColor="background1" w:themeShade="A6"/>
              <w:bottom w:val="nil"/>
            </w:tcBorders>
            <w:shd w:val="clear" w:color="auto" w:fill="auto"/>
            <w:noWrap/>
            <w:vAlign w:val="center"/>
            <w:hideMark/>
          </w:tcPr>
          <w:p w14:paraId="47DB1CCF"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Α</w:t>
            </w:r>
          </w:p>
        </w:tc>
        <w:tc>
          <w:tcPr>
            <w:tcW w:w="6905" w:type="dxa"/>
            <w:tcBorders>
              <w:top w:val="nil"/>
              <w:bottom w:val="nil"/>
            </w:tcBorders>
            <w:shd w:val="clear" w:color="auto" w:fill="auto"/>
            <w:noWrap/>
            <w:vAlign w:val="center"/>
            <w:hideMark/>
          </w:tcPr>
          <w:p w14:paraId="3BED1741"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Ανεξάρτητη Αρχή Δημοσίων Εσόδων</w:t>
            </w:r>
          </w:p>
        </w:tc>
        <w:tc>
          <w:tcPr>
            <w:tcW w:w="1262" w:type="dxa"/>
            <w:tcBorders>
              <w:top w:val="nil"/>
              <w:left w:val="nil"/>
              <w:bottom w:val="nil"/>
              <w:right w:val="nil"/>
            </w:tcBorders>
            <w:shd w:val="clear" w:color="auto" w:fill="auto"/>
            <w:noWrap/>
            <w:vAlign w:val="center"/>
          </w:tcPr>
          <w:p w14:paraId="11A1DB3A" w14:textId="013B210C"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536,8</w:t>
            </w:r>
          </w:p>
        </w:tc>
        <w:tc>
          <w:tcPr>
            <w:tcW w:w="1435" w:type="dxa"/>
            <w:tcBorders>
              <w:top w:val="nil"/>
              <w:left w:val="nil"/>
              <w:bottom w:val="nil"/>
              <w:right w:val="single" w:sz="2" w:space="0" w:color="A6A6A6" w:themeColor="background1" w:themeShade="A6"/>
            </w:tcBorders>
            <w:shd w:val="clear" w:color="auto" w:fill="auto"/>
            <w:noWrap/>
            <w:vAlign w:val="center"/>
          </w:tcPr>
          <w:p w14:paraId="096405E8" w14:textId="546F847A"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542,7</w:t>
            </w:r>
          </w:p>
        </w:tc>
      </w:tr>
      <w:tr w:rsidR="008E1BEE" w:rsidRPr="00CF1674" w14:paraId="1D55E0A7" w14:textId="77777777" w:rsidTr="00CF1674">
        <w:trPr>
          <w:cantSplit/>
          <w:jc w:val="center"/>
        </w:trPr>
        <w:tc>
          <w:tcPr>
            <w:tcW w:w="323" w:type="dxa"/>
            <w:tcBorders>
              <w:top w:val="nil"/>
              <w:left w:val="single" w:sz="2" w:space="0" w:color="A6A6A6" w:themeColor="background1" w:themeShade="A6"/>
              <w:bottom w:val="nil"/>
            </w:tcBorders>
            <w:shd w:val="clear" w:color="auto" w:fill="auto"/>
            <w:noWrap/>
            <w:vAlign w:val="center"/>
            <w:hideMark/>
          </w:tcPr>
          <w:p w14:paraId="7AF47901"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Β</w:t>
            </w:r>
          </w:p>
        </w:tc>
        <w:tc>
          <w:tcPr>
            <w:tcW w:w="6905" w:type="dxa"/>
            <w:tcBorders>
              <w:top w:val="nil"/>
              <w:bottom w:val="nil"/>
            </w:tcBorders>
            <w:shd w:val="clear" w:color="auto" w:fill="auto"/>
            <w:vAlign w:val="center"/>
            <w:hideMark/>
          </w:tcPr>
          <w:p w14:paraId="0FD31F04"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Αρχή Καταπολέμησης της Νομιμοποίησης Εσόδων από Εγκληματικές Δραστηριότητες</w:t>
            </w:r>
          </w:p>
        </w:tc>
        <w:tc>
          <w:tcPr>
            <w:tcW w:w="1262" w:type="dxa"/>
            <w:tcBorders>
              <w:top w:val="nil"/>
              <w:left w:val="nil"/>
              <w:bottom w:val="nil"/>
              <w:right w:val="nil"/>
            </w:tcBorders>
            <w:shd w:val="clear" w:color="auto" w:fill="auto"/>
            <w:noWrap/>
            <w:vAlign w:val="center"/>
          </w:tcPr>
          <w:p w14:paraId="3159957A" w14:textId="553A2239"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2,3</w:t>
            </w:r>
          </w:p>
        </w:tc>
        <w:tc>
          <w:tcPr>
            <w:tcW w:w="1435" w:type="dxa"/>
            <w:tcBorders>
              <w:top w:val="nil"/>
              <w:left w:val="nil"/>
              <w:bottom w:val="nil"/>
              <w:right w:val="single" w:sz="2" w:space="0" w:color="A6A6A6" w:themeColor="background1" w:themeShade="A6"/>
            </w:tcBorders>
            <w:shd w:val="clear" w:color="auto" w:fill="auto"/>
            <w:noWrap/>
            <w:vAlign w:val="center"/>
          </w:tcPr>
          <w:p w14:paraId="54C82590" w14:textId="323FCB36"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3,0</w:t>
            </w:r>
          </w:p>
        </w:tc>
      </w:tr>
      <w:tr w:rsidR="008E1BEE" w:rsidRPr="00CF1674" w14:paraId="54ADE28A" w14:textId="77777777" w:rsidTr="00CF1674">
        <w:trPr>
          <w:cantSplit/>
          <w:jc w:val="center"/>
        </w:trPr>
        <w:tc>
          <w:tcPr>
            <w:tcW w:w="323" w:type="dxa"/>
            <w:tcBorders>
              <w:top w:val="nil"/>
              <w:left w:val="single" w:sz="2" w:space="0" w:color="A6A6A6" w:themeColor="background1" w:themeShade="A6"/>
              <w:bottom w:val="nil"/>
            </w:tcBorders>
            <w:shd w:val="clear" w:color="auto" w:fill="auto"/>
            <w:noWrap/>
            <w:vAlign w:val="center"/>
            <w:hideMark/>
          </w:tcPr>
          <w:p w14:paraId="02982A42"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Γ</w:t>
            </w:r>
          </w:p>
        </w:tc>
        <w:tc>
          <w:tcPr>
            <w:tcW w:w="6905" w:type="dxa"/>
            <w:tcBorders>
              <w:top w:val="nil"/>
              <w:bottom w:val="nil"/>
            </w:tcBorders>
            <w:shd w:val="clear" w:color="auto" w:fill="auto"/>
            <w:vAlign w:val="center"/>
            <w:hideMark/>
          </w:tcPr>
          <w:p w14:paraId="2299D34F"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Εθνικό Συμβούλιο Ραδιοτηλεόρασης</w:t>
            </w:r>
          </w:p>
        </w:tc>
        <w:tc>
          <w:tcPr>
            <w:tcW w:w="1262" w:type="dxa"/>
            <w:tcBorders>
              <w:top w:val="nil"/>
              <w:left w:val="nil"/>
              <w:bottom w:val="nil"/>
              <w:right w:val="nil"/>
            </w:tcBorders>
            <w:shd w:val="clear" w:color="auto" w:fill="auto"/>
            <w:noWrap/>
            <w:vAlign w:val="center"/>
          </w:tcPr>
          <w:p w14:paraId="024C536C" w14:textId="54639CAD"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2,3</w:t>
            </w:r>
          </w:p>
        </w:tc>
        <w:tc>
          <w:tcPr>
            <w:tcW w:w="1435" w:type="dxa"/>
            <w:tcBorders>
              <w:top w:val="nil"/>
              <w:left w:val="nil"/>
              <w:bottom w:val="nil"/>
              <w:right w:val="single" w:sz="2" w:space="0" w:color="A6A6A6" w:themeColor="background1" w:themeShade="A6"/>
            </w:tcBorders>
            <w:shd w:val="clear" w:color="auto" w:fill="auto"/>
            <w:noWrap/>
            <w:vAlign w:val="center"/>
          </w:tcPr>
          <w:p w14:paraId="452918EC" w14:textId="0C7E6C52"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2,4</w:t>
            </w:r>
          </w:p>
        </w:tc>
      </w:tr>
      <w:tr w:rsidR="008E1BEE" w:rsidRPr="00CF1674" w14:paraId="649D80A7" w14:textId="77777777" w:rsidTr="00CF1674">
        <w:trPr>
          <w:cantSplit/>
          <w:jc w:val="center"/>
        </w:trPr>
        <w:tc>
          <w:tcPr>
            <w:tcW w:w="323" w:type="dxa"/>
            <w:tcBorders>
              <w:top w:val="nil"/>
              <w:left w:val="single" w:sz="2" w:space="0" w:color="A6A6A6" w:themeColor="background1" w:themeShade="A6"/>
              <w:bottom w:val="nil"/>
            </w:tcBorders>
            <w:shd w:val="clear" w:color="auto" w:fill="auto"/>
            <w:noWrap/>
            <w:vAlign w:val="center"/>
            <w:hideMark/>
          </w:tcPr>
          <w:p w14:paraId="2DD89995"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Δ</w:t>
            </w:r>
          </w:p>
        </w:tc>
        <w:tc>
          <w:tcPr>
            <w:tcW w:w="6905" w:type="dxa"/>
            <w:tcBorders>
              <w:top w:val="nil"/>
              <w:bottom w:val="nil"/>
            </w:tcBorders>
            <w:shd w:val="clear" w:color="auto" w:fill="auto"/>
            <w:vAlign w:val="center"/>
            <w:hideMark/>
          </w:tcPr>
          <w:p w14:paraId="6988AD9C"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Ανεξάρτητη Αρχή Πιστοληπτικής Αξιολόγησης</w:t>
            </w:r>
          </w:p>
        </w:tc>
        <w:tc>
          <w:tcPr>
            <w:tcW w:w="1262" w:type="dxa"/>
            <w:tcBorders>
              <w:top w:val="nil"/>
              <w:left w:val="nil"/>
              <w:bottom w:val="nil"/>
              <w:right w:val="nil"/>
            </w:tcBorders>
            <w:shd w:val="clear" w:color="auto" w:fill="auto"/>
            <w:noWrap/>
            <w:vAlign w:val="center"/>
          </w:tcPr>
          <w:p w14:paraId="3B793AA0" w14:textId="690E469A"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0,0</w:t>
            </w:r>
          </w:p>
        </w:tc>
        <w:tc>
          <w:tcPr>
            <w:tcW w:w="1435" w:type="dxa"/>
            <w:tcBorders>
              <w:top w:val="nil"/>
              <w:left w:val="nil"/>
              <w:bottom w:val="nil"/>
              <w:right w:val="single" w:sz="2" w:space="0" w:color="A6A6A6" w:themeColor="background1" w:themeShade="A6"/>
            </w:tcBorders>
            <w:shd w:val="clear" w:color="auto" w:fill="auto"/>
            <w:noWrap/>
            <w:vAlign w:val="center"/>
          </w:tcPr>
          <w:p w14:paraId="34CAD6C1" w14:textId="63B7605A"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1,7</w:t>
            </w:r>
          </w:p>
        </w:tc>
      </w:tr>
      <w:tr w:rsidR="008E1BEE" w:rsidRPr="00CF1674" w14:paraId="625ACE16" w14:textId="77777777" w:rsidTr="00CF1674">
        <w:trPr>
          <w:cantSplit/>
          <w:jc w:val="center"/>
        </w:trPr>
        <w:tc>
          <w:tcPr>
            <w:tcW w:w="323" w:type="dxa"/>
            <w:tcBorders>
              <w:top w:val="nil"/>
              <w:left w:val="single" w:sz="2" w:space="0" w:color="A6A6A6" w:themeColor="background1" w:themeShade="A6"/>
              <w:bottom w:val="nil"/>
            </w:tcBorders>
            <w:shd w:val="clear" w:color="auto" w:fill="DADCE4"/>
            <w:noWrap/>
            <w:vAlign w:val="center"/>
            <w:hideMark/>
          </w:tcPr>
          <w:p w14:paraId="095D7F02" w14:textId="77777777" w:rsidR="008E1BEE" w:rsidRPr="00CF1674" w:rsidRDefault="008E1BEE" w:rsidP="00CF1674">
            <w:pPr>
              <w:spacing w:after="0" w:line="276" w:lineRule="auto"/>
              <w:jc w:val="center"/>
              <w:rPr>
                <w:rFonts w:cs="Arial"/>
                <w:b/>
                <w:bCs/>
                <w:color w:val="000000"/>
                <w:sz w:val="16"/>
                <w:szCs w:val="16"/>
              </w:rPr>
            </w:pPr>
            <w:r w:rsidRPr="00CF1674">
              <w:rPr>
                <w:rFonts w:cs="Arial"/>
                <w:b/>
                <w:bCs/>
                <w:color w:val="000000"/>
                <w:sz w:val="16"/>
                <w:szCs w:val="16"/>
              </w:rPr>
              <w:t>5</w:t>
            </w:r>
          </w:p>
        </w:tc>
        <w:tc>
          <w:tcPr>
            <w:tcW w:w="6905" w:type="dxa"/>
            <w:tcBorders>
              <w:top w:val="nil"/>
              <w:bottom w:val="nil"/>
            </w:tcBorders>
            <w:shd w:val="clear" w:color="auto" w:fill="DADCE4"/>
            <w:noWrap/>
            <w:vAlign w:val="center"/>
            <w:hideMark/>
          </w:tcPr>
          <w:p w14:paraId="62DE1843" w14:textId="77777777" w:rsidR="008E1BEE" w:rsidRPr="00CF1674" w:rsidRDefault="008E1BEE" w:rsidP="00CF1674">
            <w:pPr>
              <w:spacing w:after="0" w:line="276" w:lineRule="auto"/>
              <w:jc w:val="left"/>
              <w:rPr>
                <w:rFonts w:cs="Arial"/>
                <w:b/>
                <w:bCs/>
                <w:color w:val="000000"/>
                <w:sz w:val="16"/>
                <w:szCs w:val="16"/>
              </w:rPr>
            </w:pPr>
            <w:r w:rsidRPr="00CF1674">
              <w:rPr>
                <w:rFonts w:cs="Arial"/>
                <w:b/>
                <w:bCs/>
                <w:color w:val="000000"/>
                <w:sz w:val="16"/>
                <w:szCs w:val="16"/>
              </w:rPr>
              <w:t>Υπουργείο Εργασίας και Κοινωνικής Ασφάλισης</w:t>
            </w:r>
          </w:p>
        </w:tc>
        <w:tc>
          <w:tcPr>
            <w:tcW w:w="1262" w:type="dxa"/>
            <w:tcBorders>
              <w:top w:val="nil"/>
              <w:left w:val="nil"/>
              <w:bottom w:val="nil"/>
              <w:right w:val="nil"/>
            </w:tcBorders>
            <w:shd w:val="clear" w:color="000000" w:fill="DADCE4"/>
            <w:noWrap/>
            <w:vAlign w:val="center"/>
          </w:tcPr>
          <w:p w14:paraId="7D55A671" w14:textId="0CF857CE"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35,8</w:t>
            </w:r>
          </w:p>
        </w:tc>
        <w:tc>
          <w:tcPr>
            <w:tcW w:w="1435" w:type="dxa"/>
            <w:tcBorders>
              <w:top w:val="nil"/>
              <w:left w:val="nil"/>
              <w:bottom w:val="nil"/>
              <w:right w:val="single" w:sz="2" w:space="0" w:color="A6A6A6" w:themeColor="background1" w:themeShade="A6"/>
            </w:tcBorders>
            <w:shd w:val="clear" w:color="000000" w:fill="DADCE4"/>
            <w:noWrap/>
            <w:vAlign w:val="center"/>
          </w:tcPr>
          <w:p w14:paraId="59DF30AA" w14:textId="2E4D3E06"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32,8</w:t>
            </w:r>
          </w:p>
        </w:tc>
      </w:tr>
      <w:tr w:rsidR="008E1BEE" w:rsidRPr="00CF1674" w14:paraId="75F1FC8C" w14:textId="77777777" w:rsidTr="00CF1674">
        <w:trPr>
          <w:cantSplit/>
          <w:jc w:val="center"/>
        </w:trPr>
        <w:tc>
          <w:tcPr>
            <w:tcW w:w="323" w:type="dxa"/>
            <w:tcBorders>
              <w:top w:val="nil"/>
              <w:left w:val="single" w:sz="2" w:space="0" w:color="A6A6A6" w:themeColor="background1" w:themeShade="A6"/>
              <w:bottom w:val="nil"/>
            </w:tcBorders>
            <w:shd w:val="clear" w:color="auto" w:fill="auto"/>
            <w:noWrap/>
            <w:vAlign w:val="center"/>
            <w:hideMark/>
          </w:tcPr>
          <w:p w14:paraId="50A10426"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Α</w:t>
            </w:r>
          </w:p>
        </w:tc>
        <w:tc>
          <w:tcPr>
            <w:tcW w:w="6905" w:type="dxa"/>
            <w:tcBorders>
              <w:top w:val="nil"/>
              <w:bottom w:val="nil"/>
            </w:tcBorders>
            <w:shd w:val="clear" w:color="auto" w:fill="auto"/>
            <w:noWrap/>
            <w:vAlign w:val="center"/>
            <w:hideMark/>
          </w:tcPr>
          <w:p w14:paraId="4C28FDB2"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Επιθεώρηση Εργασίας</w:t>
            </w:r>
          </w:p>
        </w:tc>
        <w:tc>
          <w:tcPr>
            <w:tcW w:w="1262" w:type="dxa"/>
            <w:tcBorders>
              <w:top w:val="nil"/>
              <w:left w:val="nil"/>
              <w:bottom w:val="nil"/>
              <w:right w:val="nil"/>
            </w:tcBorders>
            <w:shd w:val="clear" w:color="auto" w:fill="auto"/>
            <w:noWrap/>
            <w:vAlign w:val="center"/>
          </w:tcPr>
          <w:p w14:paraId="5B9971F9" w14:textId="64512AE5"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35,8</w:t>
            </w:r>
          </w:p>
        </w:tc>
        <w:tc>
          <w:tcPr>
            <w:tcW w:w="1435" w:type="dxa"/>
            <w:tcBorders>
              <w:top w:val="nil"/>
              <w:left w:val="nil"/>
              <w:bottom w:val="nil"/>
              <w:right w:val="single" w:sz="2" w:space="0" w:color="A6A6A6" w:themeColor="background1" w:themeShade="A6"/>
            </w:tcBorders>
            <w:shd w:val="clear" w:color="auto" w:fill="auto"/>
            <w:noWrap/>
            <w:vAlign w:val="center"/>
          </w:tcPr>
          <w:p w14:paraId="28B65545" w14:textId="18E76E4F"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32,8</w:t>
            </w:r>
          </w:p>
        </w:tc>
      </w:tr>
      <w:tr w:rsidR="008E1BEE" w:rsidRPr="00CF1674" w14:paraId="50C0BCA7" w14:textId="77777777" w:rsidTr="00CF1674">
        <w:trPr>
          <w:cantSplit/>
          <w:jc w:val="center"/>
        </w:trPr>
        <w:tc>
          <w:tcPr>
            <w:tcW w:w="323" w:type="dxa"/>
            <w:tcBorders>
              <w:top w:val="nil"/>
              <w:left w:val="single" w:sz="2" w:space="0" w:color="A6A6A6" w:themeColor="background1" w:themeShade="A6"/>
              <w:bottom w:val="nil"/>
            </w:tcBorders>
            <w:shd w:val="clear" w:color="auto" w:fill="DADCE4"/>
            <w:noWrap/>
            <w:vAlign w:val="center"/>
            <w:hideMark/>
          </w:tcPr>
          <w:p w14:paraId="5F7287CF" w14:textId="77777777" w:rsidR="008E1BEE" w:rsidRPr="00CF1674" w:rsidRDefault="008E1BEE" w:rsidP="00CF1674">
            <w:pPr>
              <w:spacing w:after="0" w:line="276" w:lineRule="auto"/>
              <w:jc w:val="center"/>
              <w:rPr>
                <w:rFonts w:cs="Arial"/>
                <w:b/>
                <w:bCs/>
                <w:color w:val="000000"/>
                <w:sz w:val="16"/>
                <w:szCs w:val="16"/>
              </w:rPr>
            </w:pPr>
            <w:r w:rsidRPr="00CF1674">
              <w:rPr>
                <w:rFonts w:cs="Arial"/>
                <w:b/>
                <w:bCs/>
                <w:color w:val="000000"/>
                <w:sz w:val="16"/>
                <w:szCs w:val="16"/>
              </w:rPr>
              <w:t>6</w:t>
            </w:r>
          </w:p>
        </w:tc>
        <w:tc>
          <w:tcPr>
            <w:tcW w:w="6905" w:type="dxa"/>
            <w:tcBorders>
              <w:top w:val="nil"/>
              <w:bottom w:val="nil"/>
            </w:tcBorders>
            <w:shd w:val="clear" w:color="auto" w:fill="DADCE4"/>
            <w:noWrap/>
            <w:vAlign w:val="center"/>
            <w:hideMark/>
          </w:tcPr>
          <w:p w14:paraId="47D10144" w14:textId="77777777" w:rsidR="008E1BEE" w:rsidRPr="00CF1674" w:rsidRDefault="008E1BEE" w:rsidP="00CF1674">
            <w:pPr>
              <w:spacing w:after="0" w:line="276" w:lineRule="auto"/>
              <w:jc w:val="left"/>
              <w:rPr>
                <w:rFonts w:cs="Arial"/>
                <w:b/>
                <w:bCs/>
                <w:color w:val="000000"/>
                <w:sz w:val="16"/>
                <w:szCs w:val="16"/>
              </w:rPr>
            </w:pPr>
            <w:r w:rsidRPr="00CF1674">
              <w:rPr>
                <w:rFonts w:cs="Arial"/>
                <w:b/>
                <w:bCs/>
                <w:color w:val="000000"/>
                <w:sz w:val="16"/>
                <w:szCs w:val="16"/>
              </w:rPr>
              <w:t>Υπουργείο Ανάπτυξης</w:t>
            </w:r>
          </w:p>
        </w:tc>
        <w:tc>
          <w:tcPr>
            <w:tcW w:w="1262" w:type="dxa"/>
            <w:tcBorders>
              <w:top w:val="nil"/>
              <w:left w:val="nil"/>
              <w:bottom w:val="nil"/>
              <w:right w:val="nil"/>
            </w:tcBorders>
            <w:shd w:val="clear" w:color="000000" w:fill="DADCE4"/>
            <w:noWrap/>
            <w:vAlign w:val="center"/>
          </w:tcPr>
          <w:p w14:paraId="382A6B37" w14:textId="017F7B62"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1,8</w:t>
            </w:r>
          </w:p>
        </w:tc>
        <w:tc>
          <w:tcPr>
            <w:tcW w:w="1435" w:type="dxa"/>
            <w:tcBorders>
              <w:top w:val="nil"/>
              <w:left w:val="nil"/>
              <w:bottom w:val="nil"/>
              <w:right w:val="single" w:sz="2" w:space="0" w:color="A6A6A6" w:themeColor="background1" w:themeShade="A6"/>
            </w:tcBorders>
            <w:shd w:val="clear" w:color="000000" w:fill="DADCE4"/>
            <w:noWrap/>
            <w:vAlign w:val="center"/>
          </w:tcPr>
          <w:p w14:paraId="4E5FEAD5" w14:textId="12AD184D"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2,3</w:t>
            </w:r>
          </w:p>
        </w:tc>
      </w:tr>
      <w:tr w:rsidR="008E1BEE" w:rsidRPr="00CF1674" w14:paraId="71DEAA0A" w14:textId="77777777" w:rsidTr="00CF1674">
        <w:trPr>
          <w:cantSplit/>
          <w:jc w:val="center"/>
        </w:trPr>
        <w:tc>
          <w:tcPr>
            <w:tcW w:w="323" w:type="dxa"/>
            <w:tcBorders>
              <w:top w:val="nil"/>
              <w:left w:val="single" w:sz="2" w:space="0" w:color="A6A6A6" w:themeColor="background1" w:themeShade="A6"/>
              <w:bottom w:val="nil"/>
            </w:tcBorders>
            <w:shd w:val="clear" w:color="auto" w:fill="auto"/>
            <w:noWrap/>
            <w:vAlign w:val="center"/>
            <w:hideMark/>
          </w:tcPr>
          <w:p w14:paraId="0D123341"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Α</w:t>
            </w:r>
          </w:p>
        </w:tc>
        <w:tc>
          <w:tcPr>
            <w:tcW w:w="6905" w:type="dxa"/>
            <w:tcBorders>
              <w:top w:val="nil"/>
              <w:bottom w:val="nil"/>
            </w:tcBorders>
            <w:shd w:val="clear" w:color="auto" w:fill="auto"/>
            <w:noWrap/>
            <w:vAlign w:val="center"/>
            <w:hideMark/>
          </w:tcPr>
          <w:p w14:paraId="0E44FD43"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Συνήγορος του Καταναλωτή</w:t>
            </w:r>
          </w:p>
        </w:tc>
        <w:tc>
          <w:tcPr>
            <w:tcW w:w="1262" w:type="dxa"/>
            <w:tcBorders>
              <w:top w:val="nil"/>
              <w:left w:val="nil"/>
              <w:bottom w:val="nil"/>
              <w:right w:val="nil"/>
            </w:tcBorders>
            <w:shd w:val="clear" w:color="auto" w:fill="auto"/>
            <w:noWrap/>
            <w:vAlign w:val="center"/>
          </w:tcPr>
          <w:p w14:paraId="07B4B31C" w14:textId="1589F035"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1,8</w:t>
            </w:r>
          </w:p>
        </w:tc>
        <w:tc>
          <w:tcPr>
            <w:tcW w:w="1435" w:type="dxa"/>
            <w:tcBorders>
              <w:top w:val="nil"/>
              <w:left w:val="nil"/>
              <w:bottom w:val="nil"/>
              <w:right w:val="single" w:sz="2" w:space="0" w:color="A6A6A6" w:themeColor="background1" w:themeShade="A6"/>
            </w:tcBorders>
            <w:shd w:val="clear" w:color="auto" w:fill="auto"/>
            <w:noWrap/>
            <w:vAlign w:val="center"/>
          </w:tcPr>
          <w:p w14:paraId="3A47DC64" w14:textId="67D0E300"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2,3</w:t>
            </w:r>
          </w:p>
        </w:tc>
      </w:tr>
      <w:tr w:rsidR="008E1BEE" w:rsidRPr="00CF1674" w14:paraId="32C72304" w14:textId="77777777" w:rsidTr="00CF1674">
        <w:trPr>
          <w:cantSplit/>
          <w:jc w:val="center"/>
        </w:trPr>
        <w:tc>
          <w:tcPr>
            <w:tcW w:w="323" w:type="dxa"/>
            <w:tcBorders>
              <w:top w:val="nil"/>
              <w:left w:val="single" w:sz="2" w:space="0" w:color="A6A6A6" w:themeColor="background1" w:themeShade="A6"/>
              <w:bottom w:val="nil"/>
            </w:tcBorders>
            <w:shd w:val="clear" w:color="auto" w:fill="DADCE4"/>
            <w:noWrap/>
            <w:vAlign w:val="center"/>
            <w:hideMark/>
          </w:tcPr>
          <w:p w14:paraId="062E26F1" w14:textId="77777777" w:rsidR="008E1BEE" w:rsidRPr="00CF1674" w:rsidRDefault="008E1BEE" w:rsidP="00CF1674">
            <w:pPr>
              <w:spacing w:after="0" w:line="276" w:lineRule="auto"/>
              <w:jc w:val="center"/>
              <w:rPr>
                <w:rFonts w:cs="Arial"/>
                <w:b/>
                <w:bCs/>
                <w:color w:val="000000"/>
                <w:sz w:val="16"/>
                <w:szCs w:val="16"/>
              </w:rPr>
            </w:pPr>
            <w:r w:rsidRPr="00CF1674">
              <w:rPr>
                <w:rFonts w:cs="Arial"/>
                <w:b/>
                <w:bCs/>
                <w:color w:val="000000"/>
                <w:sz w:val="16"/>
                <w:szCs w:val="16"/>
              </w:rPr>
              <w:t>7</w:t>
            </w:r>
          </w:p>
        </w:tc>
        <w:tc>
          <w:tcPr>
            <w:tcW w:w="6905" w:type="dxa"/>
            <w:tcBorders>
              <w:top w:val="nil"/>
              <w:bottom w:val="nil"/>
            </w:tcBorders>
            <w:shd w:val="clear" w:color="auto" w:fill="DADCE4"/>
            <w:noWrap/>
            <w:vAlign w:val="center"/>
            <w:hideMark/>
          </w:tcPr>
          <w:p w14:paraId="33988ED8" w14:textId="77777777" w:rsidR="008E1BEE" w:rsidRPr="00CF1674" w:rsidRDefault="008E1BEE" w:rsidP="00CF1674">
            <w:pPr>
              <w:spacing w:after="0" w:line="276" w:lineRule="auto"/>
              <w:jc w:val="left"/>
              <w:rPr>
                <w:rFonts w:cs="Arial"/>
                <w:b/>
                <w:bCs/>
                <w:color w:val="000000"/>
                <w:sz w:val="16"/>
                <w:szCs w:val="16"/>
              </w:rPr>
            </w:pPr>
            <w:r w:rsidRPr="00CF1674">
              <w:rPr>
                <w:rFonts w:cs="Arial"/>
                <w:b/>
                <w:bCs/>
                <w:color w:val="000000"/>
                <w:sz w:val="16"/>
                <w:szCs w:val="16"/>
              </w:rPr>
              <w:t>Υπουργείο Υποδομών και Μεταφορών</w:t>
            </w:r>
          </w:p>
        </w:tc>
        <w:tc>
          <w:tcPr>
            <w:tcW w:w="1262" w:type="dxa"/>
            <w:tcBorders>
              <w:top w:val="nil"/>
              <w:left w:val="nil"/>
              <w:bottom w:val="nil"/>
              <w:right w:val="nil"/>
            </w:tcBorders>
            <w:shd w:val="clear" w:color="000000" w:fill="DADCE4"/>
            <w:noWrap/>
            <w:vAlign w:val="center"/>
          </w:tcPr>
          <w:p w14:paraId="7EACBD25" w14:textId="53A172F8"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1,4</w:t>
            </w:r>
          </w:p>
        </w:tc>
        <w:tc>
          <w:tcPr>
            <w:tcW w:w="1435" w:type="dxa"/>
            <w:tcBorders>
              <w:top w:val="nil"/>
              <w:left w:val="nil"/>
              <w:bottom w:val="nil"/>
              <w:right w:val="single" w:sz="2" w:space="0" w:color="A6A6A6" w:themeColor="background1" w:themeShade="A6"/>
            </w:tcBorders>
            <w:shd w:val="clear" w:color="000000" w:fill="DADCE4"/>
            <w:noWrap/>
            <w:vAlign w:val="center"/>
          </w:tcPr>
          <w:p w14:paraId="43E13BFD" w14:textId="73C46EE7"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3,4</w:t>
            </w:r>
          </w:p>
        </w:tc>
      </w:tr>
      <w:tr w:rsidR="008E1BEE" w:rsidRPr="00CF1674" w14:paraId="03ADCE26" w14:textId="77777777" w:rsidTr="00CF1674">
        <w:trPr>
          <w:cantSplit/>
          <w:jc w:val="center"/>
        </w:trPr>
        <w:tc>
          <w:tcPr>
            <w:tcW w:w="323" w:type="dxa"/>
            <w:tcBorders>
              <w:top w:val="nil"/>
              <w:left w:val="single" w:sz="2" w:space="0" w:color="A6A6A6" w:themeColor="background1" w:themeShade="A6"/>
              <w:bottom w:val="nil"/>
            </w:tcBorders>
            <w:shd w:val="clear" w:color="auto" w:fill="auto"/>
            <w:noWrap/>
            <w:vAlign w:val="center"/>
            <w:hideMark/>
          </w:tcPr>
          <w:p w14:paraId="1C971C95" w14:textId="77777777" w:rsidR="008E1BEE" w:rsidRPr="00CF1674" w:rsidRDefault="008E1BEE" w:rsidP="00CF1674">
            <w:pPr>
              <w:spacing w:after="0" w:line="276" w:lineRule="auto"/>
              <w:jc w:val="center"/>
              <w:rPr>
                <w:rFonts w:cs="Arial"/>
                <w:color w:val="000000"/>
                <w:sz w:val="16"/>
                <w:szCs w:val="16"/>
              </w:rPr>
            </w:pPr>
            <w:r w:rsidRPr="00CF1674">
              <w:rPr>
                <w:rFonts w:cs="Arial"/>
                <w:color w:val="000000"/>
                <w:sz w:val="16"/>
                <w:szCs w:val="16"/>
              </w:rPr>
              <w:t>Α</w:t>
            </w:r>
          </w:p>
        </w:tc>
        <w:tc>
          <w:tcPr>
            <w:tcW w:w="6905" w:type="dxa"/>
            <w:tcBorders>
              <w:top w:val="nil"/>
              <w:bottom w:val="nil"/>
            </w:tcBorders>
            <w:shd w:val="clear" w:color="auto" w:fill="auto"/>
            <w:vAlign w:val="center"/>
            <w:hideMark/>
          </w:tcPr>
          <w:p w14:paraId="6C304895" w14:textId="77777777" w:rsidR="008E1BEE" w:rsidRPr="00CF1674" w:rsidRDefault="008E1BEE" w:rsidP="00CF1674">
            <w:pPr>
              <w:spacing w:after="0" w:line="276" w:lineRule="auto"/>
              <w:jc w:val="left"/>
              <w:rPr>
                <w:rFonts w:cs="Arial"/>
                <w:color w:val="000000"/>
                <w:sz w:val="16"/>
                <w:szCs w:val="16"/>
              </w:rPr>
            </w:pPr>
            <w:r w:rsidRPr="00CF1674">
              <w:rPr>
                <w:rFonts w:cs="Arial"/>
                <w:color w:val="000000"/>
                <w:sz w:val="16"/>
                <w:szCs w:val="16"/>
              </w:rPr>
              <w:t>Ρυθμιστική Αρχή Σιδηροδρόμων</w:t>
            </w:r>
          </w:p>
        </w:tc>
        <w:tc>
          <w:tcPr>
            <w:tcW w:w="1262" w:type="dxa"/>
            <w:tcBorders>
              <w:top w:val="nil"/>
              <w:left w:val="nil"/>
              <w:bottom w:val="nil"/>
              <w:right w:val="nil"/>
            </w:tcBorders>
            <w:shd w:val="clear" w:color="auto" w:fill="auto"/>
            <w:noWrap/>
            <w:vAlign w:val="center"/>
          </w:tcPr>
          <w:p w14:paraId="135D6EC6" w14:textId="51DF99D0"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1,4</w:t>
            </w:r>
          </w:p>
        </w:tc>
        <w:tc>
          <w:tcPr>
            <w:tcW w:w="1435" w:type="dxa"/>
            <w:tcBorders>
              <w:top w:val="nil"/>
              <w:left w:val="nil"/>
              <w:bottom w:val="nil"/>
              <w:right w:val="single" w:sz="2" w:space="0" w:color="A6A6A6" w:themeColor="background1" w:themeShade="A6"/>
            </w:tcBorders>
            <w:shd w:val="clear" w:color="auto" w:fill="auto"/>
            <w:noWrap/>
            <w:vAlign w:val="center"/>
          </w:tcPr>
          <w:p w14:paraId="026F521D" w14:textId="0A1CB12F" w:rsidR="008E1BEE" w:rsidRPr="00CF1674" w:rsidRDefault="008E1BEE" w:rsidP="00CF1674">
            <w:pPr>
              <w:spacing w:after="0" w:line="276" w:lineRule="auto"/>
              <w:jc w:val="right"/>
              <w:rPr>
                <w:rFonts w:cs="Arial"/>
                <w:color w:val="000000"/>
                <w:sz w:val="16"/>
                <w:szCs w:val="16"/>
              </w:rPr>
            </w:pPr>
            <w:r w:rsidRPr="00CF1674">
              <w:rPr>
                <w:rFonts w:cs="Arial"/>
                <w:color w:val="000000"/>
                <w:sz w:val="16"/>
                <w:szCs w:val="16"/>
              </w:rPr>
              <w:t>3,4</w:t>
            </w:r>
          </w:p>
        </w:tc>
      </w:tr>
      <w:tr w:rsidR="008E1BEE" w:rsidRPr="00CF1674" w14:paraId="704E151E" w14:textId="77777777" w:rsidTr="00CF1674">
        <w:trPr>
          <w:cantSplit/>
          <w:jc w:val="center"/>
        </w:trPr>
        <w:tc>
          <w:tcPr>
            <w:tcW w:w="323" w:type="dxa"/>
            <w:tcBorders>
              <w:top w:val="nil"/>
              <w:left w:val="single" w:sz="2" w:space="0" w:color="A6A6A6" w:themeColor="background1" w:themeShade="A6"/>
              <w:bottom w:val="single" w:sz="2" w:space="0" w:color="A6A6A6" w:themeColor="background1" w:themeShade="A6"/>
            </w:tcBorders>
            <w:shd w:val="clear" w:color="auto" w:fill="DADCE4"/>
            <w:noWrap/>
            <w:vAlign w:val="center"/>
            <w:hideMark/>
          </w:tcPr>
          <w:p w14:paraId="3DCA3058" w14:textId="040A101A" w:rsidR="008E1BEE" w:rsidRPr="00CF1674" w:rsidRDefault="008E1BEE" w:rsidP="00CF1674">
            <w:pPr>
              <w:spacing w:after="0" w:line="276" w:lineRule="auto"/>
              <w:jc w:val="center"/>
              <w:rPr>
                <w:rFonts w:cs="Arial"/>
                <w:color w:val="000000"/>
                <w:sz w:val="16"/>
                <w:szCs w:val="16"/>
              </w:rPr>
            </w:pPr>
          </w:p>
        </w:tc>
        <w:tc>
          <w:tcPr>
            <w:tcW w:w="6905" w:type="dxa"/>
            <w:tcBorders>
              <w:top w:val="nil"/>
              <w:bottom w:val="single" w:sz="2" w:space="0" w:color="A6A6A6" w:themeColor="background1" w:themeShade="A6"/>
            </w:tcBorders>
            <w:shd w:val="clear" w:color="auto" w:fill="DADCE4"/>
            <w:vAlign w:val="center"/>
            <w:hideMark/>
          </w:tcPr>
          <w:p w14:paraId="10AD74B5" w14:textId="12CD4BB6" w:rsidR="008E1BEE" w:rsidRPr="00CF1674" w:rsidRDefault="008E1BEE" w:rsidP="00CF1674">
            <w:pPr>
              <w:spacing w:after="0" w:line="276" w:lineRule="auto"/>
              <w:jc w:val="left"/>
              <w:rPr>
                <w:rFonts w:cs="Arial"/>
                <w:b/>
                <w:bCs/>
                <w:color w:val="000000"/>
                <w:sz w:val="16"/>
                <w:szCs w:val="16"/>
              </w:rPr>
            </w:pPr>
            <w:r w:rsidRPr="00CF1674">
              <w:rPr>
                <w:rFonts w:cs="Arial"/>
                <w:b/>
                <w:bCs/>
                <w:color w:val="000000"/>
                <w:sz w:val="16"/>
                <w:szCs w:val="16"/>
              </w:rPr>
              <w:t>ΣΥΝΟΛΟ</w:t>
            </w:r>
          </w:p>
        </w:tc>
        <w:tc>
          <w:tcPr>
            <w:tcW w:w="1262" w:type="dxa"/>
            <w:tcBorders>
              <w:top w:val="nil"/>
              <w:left w:val="nil"/>
              <w:bottom w:val="single" w:sz="2" w:space="0" w:color="A6A6A6" w:themeColor="background1" w:themeShade="A6"/>
              <w:right w:val="nil"/>
            </w:tcBorders>
            <w:shd w:val="clear" w:color="000000" w:fill="DADCE4"/>
            <w:noWrap/>
            <w:vAlign w:val="center"/>
          </w:tcPr>
          <w:p w14:paraId="6962F8A7" w14:textId="09C60BC7"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625,6</w:t>
            </w:r>
          </w:p>
        </w:tc>
        <w:tc>
          <w:tcPr>
            <w:tcW w:w="1435" w:type="dxa"/>
            <w:tcBorders>
              <w:top w:val="nil"/>
              <w:left w:val="nil"/>
              <w:bottom w:val="single" w:sz="2" w:space="0" w:color="A6A6A6" w:themeColor="background1" w:themeShade="A6"/>
              <w:right w:val="single" w:sz="2" w:space="0" w:color="A6A6A6" w:themeColor="background1" w:themeShade="A6"/>
            </w:tcBorders>
            <w:shd w:val="clear" w:color="000000" w:fill="DADCE4"/>
            <w:noWrap/>
            <w:vAlign w:val="center"/>
          </w:tcPr>
          <w:p w14:paraId="14EA01A7" w14:textId="0DBE9183" w:rsidR="008E1BEE" w:rsidRPr="00CF1674" w:rsidRDefault="008E1BEE" w:rsidP="00CF1674">
            <w:pPr>
              <w:spacing w:after="0" w:line="276" w:lineRule="auto"/>
              <w:jc w:val="right"/>
              <w:rPr>
                <w:rFonts w:cs="Arial"/>
                <w:b/>
                <w:bCs/>
                <w:color w:val="000000"/>
                <w:sz w:val="16"/>
                <w:szCs w:val="16"/>
              </w:rPr>
            </w:pPr>
            <w:r w:rsidRPr="00CF1674">
              <w:rPr>
                <w:rFonts w:cs="Arial"/>
                <w:b/>
                <w:bCs/>
                <w:color w:val="000000"/>
                <w:sz w:val="16"/>
                <w:szCs w:val="16"/>
              </w:rPr>
              <w:t>630,1</w:t>
            </w:r>
          </w:p>
        </w:tc>
      </w:tr>
      <w:tr w:rsidR="00AF73EB" w:rsidRPr="00CF1674" w14:paraId="003E01CC" w14:textId="77777777" w:rsidTr="00CF1674">
        <w:trPr>
          <w:cantSplit/>
          <w:jc w:val="center"/>
        </w:trPr>
        <w:tc>
          <w:tcPr>
            <w:tcW w:w="9925" w:type="dxa"/>
            <w:gridSpan w:val="4"/>
            <w:tcBorders>
              <w:top w:val="single" w:sz="2" w:space="0" w:color="A6A6A6" w:themeColor="background1" w:themeShade="A6"/>
              <w:left w:val="nil"/>
              <w:bottom w:val="nil"/>
              <w:right w:val="nil"/>
            </w:tcBorders>
            <w:shd w:val="clear" w:color="auto" w:fill="auto"/>
            <w:noWrap/>
            <w:vAlign w:val="center"/>
            <w:hideMark/>
          </w:tcPr>
          <w:p w14:paraId="0668DEF5" w14:textId="0637C6DE" w:rsidR="00AF73EB" w:rsidRPr="00CF1674" w:rsidRDefault="00AF73EB" w:rsidP="00790111">
            <w:pPr>
              <w:tabs>
                <w:tab w:val="left" w:pos="113"/>
              </w:tabs>
              <w:spacing w:before="60" w:after="0" w:line="276" w:lineRule="auto"/>
              <w:ind w:left="113" w:hanging="113"/>
              <w:rPr>
                <w:rFonts w:cs="Arial"/>
                <w:sz w:val="16"/>
                <w:szCs w:val="16"/>
              </w:rPr>
            </w:pPr>
            <w:r w:rsidRPr="00CF1674">
              <w:rPr>
                <w:rFonts w:cs="Arial"/>
                <w:sz w:val="16"/>
                <w:szCs w:val="16"/>
                <w:vertAlign w:val="superscript"/>
              </w:rPr>
              <w:t>1</w:t>
            </w:r>
            <w:r w:rsidRPr="00CF1674">
              <w:rPr>
                <w:rFonts w:cs="Arial"/>
                <w:sz w:val="16"/>
                <w:szCs w:val="16"/>
              </w:rPr>
              <w:tab/>
              <w:t xml:space="preserve">Οι ανωτέρω δαπάνες των ΑΔΑ είναι μέρος των ανώτατων ορίων των δαπανών των </w:t>
            </w:r>
            <w:r w:rsidRPr="00154C13">
              <w:rPr>
                <w:rFonts w:cs="Arial"/>
                <w:sz w:val="16"/>
                <w:szCs w:val="16"/>
              </w:rPr>
              <w:t>Υπουργείων (</w:t>
            </w:r>
            <w:r w:rsidR="0037456C" w:rsidRPr="00154C13">
              <w:rPr>
                <w:rFonts w:cs="Arial"/>
                <w:sz w:val="16"/>
                <w:szCs w:val="16"/>
              </w:rPr>
              <w:fldChar w:fldCharType="begin"/>
            </w:r>
            <w:r w:rsidR="0037456C" w:rsidRPr="00154C13">
              <w:rPr>
                <w:rFonts w:cs="Arial"/>
                <w:sz w:val="16"/>
                <w:szCs w:val="16"/>
              </w:rPr>
              <w:instrText xml:space="preserve"> REF _Ref214113076 \h </w:instrText>
            </w:r>
            <w:r w:rsidR="00872766" w:rsidRPr="00154C13">
              <w:rPr>
                <w:rFonts w:cs="Arial"/>
                <w:sz w:val="16"/>
                <w:szCs w:val="16"/>
              </w:rPr>
              <w:instrText xml:space="preserve"> \* MERGEFORMAT </w:instrText>
            </w:r>
            <w:r w:rsidR="0037456C" w:rsidRPr="00154C13">
              <w:rPr>
                <w:rFonts w:cs="Arial"/>
                <w:sz w:val="16"/>
                <w:szCs w:val="16"/>
              </w:rPr>
            </w:r>
            <w:r w:rsidR="0037456C" w:rsidRPr="00154C13">
              <w:rPr>
                <w:rFonts w:cs="Arial"/>
                <w:sz w:val="16"/>
                <w:szCs w:val="16"/>
              </w:rPr>
              <w:fldChar w:fldCharType="separate"/>
            </w:r>
            <w:r w:rsidR="00E15678" w:rsidRPr="00E15678">
              <w:rPr>
                <w:rFonts w:cs="Arial"/>
                <w:sz w:val="16"/>
                <w:szCs w:val="16"/>
              </w:rPr>
              <w:t>Πίνακας 3.11</w:t>
            </w:r>
            <w:r w:rsidR="0037456C" w:rsidRPr="00154C13">
              <w:rPr>
                <w:rFonts w:cs="Arial"/>
                <w:sz w:val="16"/>
                <w:szCs w:val="16"/>
              </w:rPr>
              <w:fldChar w:fldCharType="end"/>
            </w:r>
            <w:r w:rsidR="00872766" w:rsidRPr="00154C13">
              <w:rPr>
                <w:rFonts w:cs="Arial"/>
                <w:sz w:val="16"/>
                <w:szCs w:val="16"/>
              </w:rPr>
              <w:t>.</w:t>
            </w:r>
            <w:r w:rsidRPr="00154C13">
              <w:rPr>
                <w:rFonts w:cs="Arial"/>
                <w:sz w:val="16"/>
                <w:szCs w:val="16"/>
              </w:rPr>
              <w:t>) και</w:t>
            </w:r>
            <w:r w:rsidRPr="00CF1674">
              <w:rPr>
                <w:rFonts w:cs="Arial"/>
                <w:sz w:val="16"/>
                <w:szCs w:val="16"/>
              </w:rPr>
              <w:t xml:space="preserve"> αφορούν σε δαπάνες τακτικού προϋπολογισμού.</w:t>
            </w:r>
          </w:p>
        </w:tc>
      </w:tr>
    </w:tbl>
    <w:p w14:paraId="1431221B" w14:textId="77777777" w:rsidR="001124E6" w:rsidRPr="00DB0886" w:rsidRDefault="001124E6" w:rsidP="0011237F">
      <w:pPr>
        <w:spacing w:before="240"/>
        <w:rPr>
          <w:rFonts w:cs="Arial"/>
          <w:b/>
          <w:szCs w:val="20"/>
        </w:rPr>
      </w:pPr>
      <w:r w:rsidRPr="00805A59">
        <w:rPr>
          <w:rFonts w:cs="Arial"/>
          <w:b/>
          <w:szCs w:val="20"/>
        </w:rPr>
        <w:t>Προεδρία της Κυβέρνησης</w:t>
      </w:r>
    </w:p>
    <w:p w14:paraId="0E0AEDB2" w14:textId="77777777" w:rsidR="009906D3" w:rsidRDefault="009906D3" w:rsidP="009906D3">
      <w:r>
        <w:t>Οι πιστώσεις του τακτικού προϋπολογισμού της Προεδρίας της Κυβέρνησης θα καλύψουν, πέραν της δαπάνης μισθοδοσίας και των λειτουργικών δαπανών των επιμέρους οργανικών της μονάδων, δαπάνες για:</w:t>
      </w:r>
    </w:p>
    <w:p w14:paraId="544D8C05" w14:textId="52256C21" w:rsidR="009906D3" w:rsidRDefault="009906D3" w:rsidP="009906D3">
      <w:pPr>
        <w:numPr>
          <w:ilvl w:val="0"/>
          <w:numId w:val="1"/>
        </w:numPr>
        <w:spacing w:before="120" w:after="60"/>
        <w:ind w:left="568" w:hanging="284"/>
        <w:rPr>
          <w:rFonts w:cstheme="minorHAnsi"/>
        </w:rPr>
      </w:pPr>
      <w:r>
        <w:rPr>
          <w:rFonts w:cstheme="minorHAnsi"/>
        </w:rPr>
        <w:t>τη λειτουργία του Εθνικού Τυπογραφείου και τον εκσυγχρονισμό των υποδομών του,</w:t>
      </w:r>
    </w:p>
    <w:p w14:paraId="3E018B29" w14:textId="212D8492" w:rsidR="009906D3" w:rsidRDefault="009906D3" w:rsidP="009906D3">
      <w:pPr>
        <w:numPr>
          <w:ilvl w:val="0"/>
          <w:numId w:val="1"/>
        </w:numPr>
        <w:spacing w:before="60" w:after="60"/>
        <w:ind w:left="568" w:hanging="284"/>
        <w:rPr>
          <w:rFonts w:cstheme="minorHAnsi"/>
        </w:rPr>
      </w:pPr>
      <w:r>
        <w:rPr>
          <w:rFonts w:cstheme="minorHAnsi"/>
        </w:rPr>
        <w:t>την επιχορήγηση του Αθηναϊκού - Μακεδονικού Πρακτορείου Ειδήσεων (ΑΠΕ - ΜΠΕ)</w:t>
      </w:r>
      <w:r w:rsidR="00F834A4">
        <w:rPr>
          <w:rFonts w:cstheme="minorHAnsi"/>
        </w:rPr>
        <w:t xml:space="preserve"> </w:t>
      </w:r>
      <w:r>
        <w:rPr>
          <w:rFonts w:cstheme="minorHAnsi"/>
        </w:rPr>
        <w:t>και</w:t>
      </w:r>
    </w:p>
    <w:p w14:paraId="5C447A96" w14:textId="77777777" w:rsidR="009906D3" w:rsidRDefault="009906D3" w:rsidP="009906D3">
      <w:pPr>
        <w:numPr>
          <w:ilvl w:val="0"/>
          <w:numId w:val="1"/>
        </w:numPr>
        <w:spacing w:before="60"/>
        <w:ind w:left="568" w:hanging="284"/>
        <w:rPr>
          <w:rFonts w:cstheme="minorHAnsi"/>
        </w:rPr>
      </w:pPr>
      <w:r>
        <w:rPr>
          <w:rFonts w:cstheme="minorHAnsi"/>
        </w:rPr>
        <w:t>επιδοτήσεις διακίνησης τύπου.</w:t>
      </w:r>
    </w:p>
    <w:p w14:paraId="15338EDC" w14:textId="440F6587" w:rsidR="00F255C8" w:rsidRPr="00790183" w:rsidRDefault="009906D3" w:rsidP="00C13C5B">
      <w:pPr>
        <w:rPr>
          <w:rFonts w:cs="Arial"/>
          <w:b/>
          <w:szCs w:val="20"/>
        </w:rPr>
      </w:pPr>
      <w:r>
        <w:t>Το οικονομικό έτος 2025 ο τακτικός προϋπολογισμός εκτιμάται ότι θα διαμορφωθεί σ</w:t>
      </w:r>
      <w:r w:rsidR="00B67501">
        <w:t>ε</w:t>
      </w:r>
      <w:r>
        <w:t xml:space="preserve"> 44 εκατ. ευρώ, ενώ για το έτος 2026 προβλέπονται ποσά ύψους 40 εκατ. ευρώ</w:t>
      </w:r>
      <w:r w:rsidR="009E76EF">
        <w:t xml:space="preserve"> στον τακτικό προϋπολογισμό και </w:t>
      </w:r>
      <w:r w:rsidR="00C13C5B">
        <w:t>6 εκατ. ευρώ στον προϋπολογισμό δημοσίων επενδύσεων.</w:t>
      </w:r>
    </w:p>
    <w:p w14:paraId="230B2A2D" w14:textId="0185DB17" w:rsidR="00650F29" w:rsidRPr="00055408" w:rsidRDefault="00650F29" w:rsidP="008F36B1">
      <w:pPr>
        <w:spacing w:before="240"/>
        <w:rPr>
          <w:rFonts w:cs="Arial"/>
          <w:b/>
          <w:szCs w:val="20"/>
        </w:rPr>
      </w:pPr>
      <w:r w:rsidRPr="00672D63">
        <w:rPr>
          <w:rFonts w:cs="Arial"/>
          <w:b/>
          <w:szCs w:val="20"/>
        </w:rPr>
        <w:t>Υπουργείο Εσωτερικών</w:t>
      </w:r>
    </w:p>
    <w:p w14:paraId="757AF660" w14:textId="22A19DC4" w:rsidR="00055408" w:rsidRPr="00054889" w:rsidRDefault="00055408" w:rsidP="00055408">
      <w:r w:rsidRPr="00054889">
        <w:t>Οι πιστώσεις του τακτικού προϋπολογισμού του Υπουργείου Εσωτερικών για το έτος 2026 θα καλύψουν, πέραν των λειτουργικών του δαπανών:</w:t>
      </w:r>
    </w:p>
    <w:p w14:paraId="094ABCCF" w14:textId="77777777" w:rsidR="00055408" w:rsidRPr="00054889" w:rsidRDefault="00055408" w:rsidP="00055408">
      <w:pPr>
        <w:numPr>
          <w:ilvl w:val="0"/>
          <w:numId w:val="1"/>
        </w:numPr>
        <w:spacing w:before="120" w:after="60"/>
        <w:ind w:left="568" w:hanging="284"/>
        <w:rPr>
          <w:rFonts w:cs="Arial"/>
        </w:rPr>
      </w:pPr>
      <w:r w:rsidRPr="00054889">
        <w:rPr>
          <w:rFonts w:cs="Arial"/>
        </w:rPr>
        <w:t>δαπάνες των Ανεξάρτητων Διοικητικών Αρχών (ΑΔΑ) και ειδικότερα του Ανώτατου Συμβουλίου Επιλογής Προσωπικού (ΑΣΕΠ), του Συνηγόρου του Πολίτη (ΣτΠ) και της Εθνικής Αρχής Διαφάνειας (ΕΑΔ),</w:t>
      </w:r>
    </w:p>
    <w:p w14:paraId="133A1576" w14:textId="35E4B06F" w:rsidR="00055408" w:rsidRPr="00054889" w:rsidRDefault="00055408" w:rsidP="00055408">
      <w:pPr>
        <w:numPr>
          <w:ilvl w:val="0"/>
          <w:numId w:val="1"/>
        </w:numPr>
        <w:spacing w:before="60" w:after="60"/>
        <w:ind w:left="568" w:hanging="284"/>
        <w:rPr>
          <w:rFonts w:cs="Arial"/>
        </w:rPr>
      </w:pPr>
      <w:r w:rsidRPr="00054889">
        <w:rPr>
          <w:rFonts w:cs="Arial"/>
        </w:rPr>
        <w:t>τις επιχορηγήσεις του Εθνικού Κέντρου Δημόσιας Διοίκησης και Αυτοδιοίκησης (ΕΚΔΔΑ), του Φορέα Διαχείρισης Κοινοχρήστων εντός του Μητροπολιτικού Πόλου Ελληνικού - Αγίου Κοσμά, του Κέντρου Διαφύλαξης Αγιορείτικης Κληρονομιάς (ΚεΔΑΚ), της Αλεξάνδρειας Ζώνης Καινοτομίας (ΑΖΚ) και του</w:t>
      </w:r>
      <w:r w:rsidRPr="00054889">
        <w:t xml:space="preserve"> </w:t>
      </w:r>
      <w:r w:rsidRPr="00054889">
        <w:rPr>
          <w:rFonts w:cs="Arial"/>
        </w:rPr>
        <w:t xml:space="preserve">Ελληνικού Κέντρου Εμπειρογνωμοσύνης Διοικητικών Μεταρρυθμίσεων - </w:t>
      </w:r>
      <w:r w:rsidRPr="00054889">
        <w:rPr>
          <w:rFonts w:cs="Arial"/>
          <w:lang w:val="en-US"/>
        </w:rPr>
        <w:t>Reform</w:t>
      </w:r>
      <w:r w:rsidRPr="00054889">
        <w:rPr>
          <w:rFonts w:cs="Arial"/>
        </w:rPr>
        <w:t xml:space="preserve"> </w:t>
      </w:r>
      <w:r w:rsidRPr="00054889">
        <w:rPr>
          <w:rFonts w:cs="Arial"/>
          <w:lang w:val="en-US"/>
        </w:rPr>
        <w:t>Greece</w:t>
      </w:r>
      <w:r w:rsidRPr="00054889">
        <w:rPr>
          <w:rFonts w:cs="Arial"/>
        </w:rPr>
        <w:t xml:space="preserve"> (ν.5225/2025)</w:t>
      </w:r>
      <w:r w:rsidR="009865BC">
        <w:rPr>
          <w:rFonts w:cs="Arial"/>
        </w:rPr>
        <w:t>,</w:t>
      </w:r>
    </w:p>
    <w:p w14:paraId="3656158D" w14:textId="626374C5" w:rsidR="00055408" w:rsidRPr="00054889" w:rsidRDefault="00055408" w:rsidP="00055408">
      <w:pPr>
        <w:numPr>
          <w:ilvl w:val="0"/>
          <w:numId w:val="1"/>
        </w:numPr>
        <w:spacing w:before="60" w:after="60"/>
        <w:ind w:left="568" w:hanging="284"/>
        <w:rPr>
          <w:rFonts w:cs="Arial"/>
        </w:rPr>
      </w:pPr>
      <w:bookmarkStart w:id="362" w:name="_Hlk213694157"/>
      <w:r w:rsidRPr="00054889">
        <w:rPr>
          <w:rFonts w:cs="Arial"/>
        </w:rPr>
        <w:t>τη χρηματοδότηση των πολιτικών κομμάτων και των συνασπισμών κομμάτων</w:t>
      </w:r>
      <w:r w:rsidR="009865BC">
        <w:rPr>
          <w:rFonts w:cs="Arial"/>
        </w:rPr>
        <w:t>,</w:t>
      </w:r>
    </w:p>
    <w:p w14:paraId="1F859937" w14:textId="7A3462C8" w:rsidR="00055408" w:rsidRPr="00055408" w:rsidRDefault="00055408" w:rsidP="00055408">
      <w:pPr>
        <w:numPr>
          <w:ilvl w:val="0"/>
          <w:numId w:val="1"/>
        </w:numPr>
        <w:spacing w:before="60" w:after="60"/>
        <w:ind w:left="568" w:hanging="284"/>
        <w:rPr>
          <w:rFonts w:cs="Arial"/>
        </w:rPr>
      </w:pPr>
      <w:bookmarkStart w:id="363" w:name="_Hlk213694254"/>
      <w:bookmarkEnd w:id="362"/>
      <w:r w:rsidRPr="00055408">
        <w:rPr>
          <w:rFonts w:cs="Arial"/>
        </w:rPr>
        <w:lastRenderedPageBreak/>
        <w:t xml:space="preserve">τις μεταβιβάσεις πόρων </w:t>
      </w:r>
      <w:bookmarkEnd w:id="363"/>
      <w:r w:rsidRPr="00055408">
        <w:rPr>
          <w:rFonts w:cs="Arial"/>
        </w:rPr>
        <w:t>στους ΟΤΑ α</w:t>
      </w:r>
      <w:r w:rsidR="009865BC">
        <w:rPr>
          <w:rFonts w:cs="Arial"/>
        </w:rPr>
        <w:t>’</w:t>
      </w:r>
      <w:r w:rsidRPr="00055408">
        <w:rPr>
          <w:rFonts w:cs="Arial"/>
        </w:rPr>
        <w:t xml:space="preserve"> και β</w:t>
      </w:r>
      <w:r w:rsidR="009865BC">
        <w:rPr>
          <w:rFonts w:cs="Arial"/>
        </w:rPr>
        <w:t>’</w:t>
      </w:r>
      <w:r w:rsidRPr="00055408">
        <w:rPr>
          <w:rFonts w:cs="Arial"/>
        </w:rPr>
        <w:t xml:space="preserve"> βαθμού</w:t>
      </w:r>
      <w:r w:rsidR="009865BC">
        <w:rPr>
          <w:rFonts w:cs="Arial"/>
        </w:rPr>
        <w:t xml:space="preserve"> και</w:t>
      </w:r>
    </w:p>
    <w:p w14:paraId="6353A866" w14:textId="176DF6B9" w:rsidR="00055408" w:rsidRPr="00054889" w:rsidRDefault="00055408" w:rsidP="00055408">
      <w:pPr>
        <w:numPr>
          <w:ilvl w:val="0"/>
          <w:numId w:val="1"/>
        </w:numPr>
        <w:spacing w:before="60"/>
        <w:ind w:left="568" w:hanging="284"/>
      </w:pPr>
      <w:bookmarkStart w:id="364" w:name="_Hlk213694211"/>
      <w:r w:rsidRPr="00054889">
        <w:t>δαπάνες για την αναβάθμιση του Σ</w:t>
      </w:r>
      <w:r w:rsidR="00227ADC">
        <w:t>υ</w:t>
      </w:r>
      <w:r w:rsidRPr="00054889">
        <w:t>στ</w:t>
      </w:r>
      <w:r w:rsidR="00227ADC">
        <w:t>ή</w:t>
      </w:r>
      <w:r w:rsidRPr="00054889">
        <w:t>ματος Διαχείρισης Ανθρώπινου Δυναμικού (ΣΔΑΔ)</w:t>
      </w:r>
      <w:r w:rsidR="009865BC">
        <w:t>.</w:t>
      </w:r>
    </w:p>
    <w:bookmarkEnd w:id="364"/>
    <w:p w14:paraId="1B702D98" w14:textId="34E37D93" w:rsidR="00055408" w:rsidRPr="00054889" w:rsidRDefault="00055408" w:rsidP="00055408">
      <w:r w:rsidRPr="00054889">
        <w:t>Ο τακτικός προϋπολογισμός του Υπουργείου Εσωτερικών το έτος 2025 εκτιμάται ότι θα ανέλθει στο ποσό των 3.600 εκατ. ευρώ</w:t>
      </w:r>
      <w:r w:rsidR="00C93E55">
        <w:t>. Κ</w:t>
      </w:r>
      <w:r w:rsidRPr="00054889">
        <w:t xml:space="preserve">ατά τη διάρκεια της εκτέλεσης του προϋπολογισμού ενισχύθηκε </w:t>
      </w:r>
      <w:r w:rsidR="00222227">
        <w:t>με πιστώσεις ύψους</w:t>
      </w:r>
      <w:r w:rsidRPr="00054889">
        <w:t xml:space="preserve"> 151 εκατ. ευρώ, προκειμένου να:</w:t>
      </w:r>
    </w:p>
    <w:p w14:paraId="3991E035" w14:textId="0E5EE626" w:rsidR="00055408" w:rsidRPr="00054889" w:rsidRDefault="00055408" w:rsidP="00055408">
      <w:pPr>
        <w:numPr>
          <w:ilvl w:val="0"/>
          <w:numId w:val="1"/>
        </w:numPr>
        <w:spacing w:before="120" w:after="60"/>
        <w:ind w:left="568" w:hanging="284"/>
      </w:pPr>
      <w:r w:rsidRPr="00054889">
        <w:t xml:space="preserve">αποδοθούν αυξημένοι ΚΑΠ στους Δήμους ύψους 70 εκατ. ευρώ, σε μόνιμη βάση, για την κάλυψη των λειτουργικών τους αναγκών, στις οποίες έχει </w:t>
      </w:r>
      <w:r w:rsidR="009865BC">
        <w:t>συμ</w:t>
      </w:r>
      <w:r w:rsidRPr="00054889">
        <w:t>περιληφθεί και το τέλος ταφής,</w:t>
      </w:r>
    </w:p>
    <w:p w14:paraId="2C532FBD" w14:textId="24D8209B" w:rsidR="00055408" w:rsidRPr="00054889" w:rsidRDefault="00055408" w:rsidP="00055408">
      <w:pPr>
        <w:numPr>
          <w:ilvl w:val="0"/>
          <w:numId w:val="1"/>
        </w:numPr>
        <w:spacing w:before="60" w:after="60"/>
        <w:ind w:left="568" w:hanging="284"/>
      </w:pPr>
      <w:r w:rsidRPr="00054889">
        <w:rPr>
          <w:rFonts w:cs="Arial"/>
        </w:rPr>
        <w:t>επιχορηγηθεί ο</w:t>
      </w:r>
      <w:r w:rsidRPr="00054889">
        <w:t xml:space="preserve"> </w:t>
      </w:r>
      <w:bookmarkStart w:id="365" w:name="_Hlk213596106"/>
      <w:r w:rsidRPr="00054889">
        <w:t xml:space="preserve">Ενιαίος Διαβαθμικός Σύνδεσμος Νομού Αττικής </w:t>
      </w:r>
      <w:bookmarkEnd w:id="365"/>
      <w:r w:rsidRPr="00054889">
        <w:t>με το ποσό των 48 εκατ. ευρώ για την εξόφληση εκκρεμών και ληξιπρόθεσμων υποχρεώσεων προς τρίτους</w:t>
      </w:r>
      <w:r w:rsidR="00843A2E">
        <w:t xml:space="preserve"> (άρθρο 235 παρ.4 του ν.5193/2025)</w:t>
      </w:r>
      <w:r w:rsidRPr="00054889">
        <w:t>,</w:t>
      </w:r>
    </w:p>
    <w:p w14:paraId="0E5B4160" w14:textId="392D6AC8" w:rsidR="00055408" w:rsidRPr="00054889" w:rsidRDefault="00055408" w:rsidP="00055408">
      <w:pPr>
        <w:numPr>
          <w:ilvl w:val="0"/>
          <w:numId w:val="1"/>
        </w:numPr>
        <w:spacing w:before="60" w:after="60"/>
        <w:ind w:left="568" w:hanging="284"/>
      </w:pPr>
      <w:r w:rsidRPr="00054889">
        <w:rPr>
          <w:rFonts w:cs="Arial"/>
        </w:rPr>
        <w:t xml:space="preserve">χρηματοδοτηθούν τα πολιτικά κόμματα και οι συνασπισμοί κομμάτων με το ποσό των </w:t>
      </w:r>
      <w:r w:rsidRPr="00054889">
        <w:t xml:space="preserve">20 εκατ. ευρώ, για να αντιμετωπίσουν μέρος των δαπανών </w:t>
      </w:r>
      <w:r w:rsidR="00843A2E">
        <w:t>τους και</w:t>
      </w:r>
    </w:p>
    <w:p w14:paraId="5DE7BFF0" w14:textId="249EB33B" w:rsidR="00055408" w:rsidRPr="00054889" w:rsidRDefault="00055408" w:rsidP="00055408">
      <w:pPr>
        <w:numPr>
          <w:ilvl w:val="0"/>
          <w:numId w:val="1"/>
        </w:numPr>
        <w:spacing w:before="60"/>
        <w:ind w:left="568" w:hanging="284"/>
      </w:pPr>
      <w:r w:rsidRPr="00054889">
        <w:t xml:space="preserve">επιχορηγηθούν οι Δήμοι </w:t>
      </w:r>
      <w:r w:rsidRPr="00054889">
        <w:rPr>
          <w:rFonts w:eastAsia="Calibri" w:cs="Arial"/>
          <w:szCs w:val="20"/>
        </w:rPr>
        <w:t xml:space="preserve">Ηρακλείου Κρήτης, Ιεράς Πόλης του Μεσολογγίου και Ζηρού με το ποσό των 13 εκατ. ευρώ για την </w:t>
      </w:r>
      <w:bookmarkStart w:id="366" w:name="_Hlk213596066"/>
      <w:r w:rsidRPr="00054889">
        <w:rPr>
          <w:rFonts w:eastAsia="Calibri" w:cs="Arial"/>
          <w:szCs w:val="20"/>
        </w:rPr>
        <w:t>κάλυψη συγκεκριμένων αναγκών</w:t>
      </w:r>
      <w:bookmarkEnd w:id="366"/>
      <w:r w:rsidRPr="00054889">
        <w:rPr>
          <w:rFonts w:eastAsia="Calibri" w:cs="Arial"/>
          <w:szCs w:val="20"/>
        </w:rPr>
        <w:t xml:space="preserve"> (</w:t>
      </w:r>
      <w:r>
        <w:rPr>
          <w:rFonts w:eastAsia="Calibri" w:cs="Arial"/>
          <w:szCs w:val="20"/>
        </w:rPr>
        <w:t>άρθρο</w:t>
      </w:r>
      <w:r w:rsidRPr="00054889">
        <w:rPr>
          <w:rFonts w:eastAsia="Calibri" w:cs="Arial"/>
          <w:szCs w:val="20"/>
        </w:rPr>
        <w:t xml:space="preserve"> 115 του ν.5225/2025).</w:t>
      </w:r>
    </w:p>
    <w:p w14:paraId="1EBB3FA5" w14:textId="18CD1C1C" w:rsidR="00055408" w:rsidRPr="00054889" w:rsidRDefault="00055408" w:rsidP="00055408">
      <w:r w:rsidRPr="00054889">
        <w:t>Το μεγαλύτερο μέρος των δαπανών του προϋπολογισμού του Υπουργείου Εσωτερικών αφορά στις μεταβιβάσεις (αποδόσεις και επιχορηγήσεις) πόρων προς την Τοπική Αυτοδιοίκηση.</w:t>
      </w:r>
    </w:p>
    <w:p w14:paraId="10854E2C" w14:textId="72BA07F1" w:rsidR="00055408" w:rsidRPr="00054889" w:rsidRDefault="00055408" w:rsidP="00055408">
      <w:r w:rsidRPr="00054889">
        <w:t>Το 2025 οι αποδόσεις των ΚΑΠ στους ΟΤΑ α</w:t>
      </w:r>
      <w:r w:rsidR="00843A2E">
        <w:t>’</w:t>
      </w:r>
      <w:r w:rsidRPr="00054889">
        <w:t xml:space="preserve"> και β</w:t>
      </w:r>
      <w:r w:rsidR="00843A2E">
        <w:t>’</w:t>
      </w:r>
      <w:r w:rsidRPr="00054889">
        <w:t xml:space="preserve"> βαθμού εκτιμάται ότι θα διαμορφωθούν συνολικά στο ποσό των 3.211 εκατ. ευρώ, εκ των οποίων ποσό 2.445 εκατ. ευρώ, αυξημένο κατά 70 εκατ. ευρώ έναντι του προϋπολογισμού</w:t>
      </w:r>
      <w:r w:rsidR="00AF58C7">
        <w:t>,</w:t>
      </w:r>
      <w:r w:rsidRPr="00054889">
        <w:t xml:space="preserve"> αφορά στους Δήμους και ποσό 765 εκατ. ευρώ στις Περιφέρειες.</w:t>
      </w:r>
    </w:p>
    <w:p w14:paraId="6514AE6C" w14:textId="65CF8C34" w:rsidR="00055408" w:rsidRPr="00054889" w:rsidRDefault="00055408" w:rsidP="00055408">
      <w:r w:rsidRPr="00054889">
        <w:t>Πέραν των ανωτέρω αποδόσεων στους Δήμους και τις Περιφέρειες, μεταβιβάστηκαν και οι εξής πόροι:</w:t>
      </w:r>
    </w:p>
    <w:p w14:paraId="6574472A" w14:textId="5261B8D8" w:rsidR="00055408" w:rsidRPr="00055408" w:rsidRDefault="00055408" w:rsidP="00055408">
      <w:pPr>
        <w:numPr>
          <w:ilvl w:val="0"/>
          <w:numId w:val="1"/>
        </w:numPr>
        <w:spacing w:before="120" w:after="60"/>
        <w:ind w:left="568" w:hanging="284"/>
      </w:pPr>
      <w:r w:rsidRPr="00055408">
        <w:t>ειδική επιχορήγηση ύψους 178 εκατ. ευρώ στους Δήμους</w:t>
      </w:r>
      <w:r w:rsidR="00843A2E">
        <w:t>,</w:t>
      </w:r>
      <w:r w:rsidRPr="00055408">
        <w:t xml:space="preserve"> προκειμένου να </w:t>
      </w:r>
      <w:r w:rsidR="00AF58C7">
        <w:t>καλυφθ</w:t>
      </w:r>
      <w:r w:rsidR="00843A2E">
        <w:t>ούν</w:t>
      </w:r>
      <w:r w:rsidRPr="00055408">
        <w:t xml:space="preserve"> η δαπάνη μισθοδοσίας της δημοτικής αστυνομίας και των σχολικών καθαριστριών, το κόστος του προγράμματος «Βοήθεια στο σπίτι», η παροχή υπηρεσιών ναυαγοσωστικής κάλυψης σε οργανωμένες ή μη παραλίες καθώς και η διαχείριση του Εθνικού Κήπου,</w:t>
      </w:r>
    </w:p>
    <w:p w14:paraId="38DAFF9C" w14:textId="1C47DE00" w:rsidR="00055408" w:rsidRPr="00054889" w:rsidRDefault="004D71D1" w:rsidP="00055408">
      <w:pPr>
        <w:numPr>
          <w:ilvl w:val="0"/>
          <w:numId w:val="1"/>
        </w:numPr>
        <w:spacing w:before="60" w:after="60"/>
        <w:ind w:left="568" w:hanging="284"/>
        <w:rPr>
          <w:rFonts w:cs="Arial"/>
        </w:rPr>
      </w:pPr>
      <w:r>
        <w:rPr>
          <w:rFonts w:cs="Arial"/>
        </w:rPr>
        <w:t>α</w:t>
      </w:r>
      <w:r w:rsidR="00055408" w:rsidRPr="00055408">
        <w:rPr>
          <w:rFonts w:cs="Arial"/>
        </w:rPr>
        <w:t>ποδόσεις ύψους 12 εκατ. ευρώ στους Δήμους, ως έκτακτο αντισταθμιστικό τέλος, δυνάμει της Σύμβασης Παραχώρησης του Ελληνικού Δημοσίου με τους Οργανισμούς Λιμένος Πειραιώς</w:t>
      </w:r>
      <w:r w:rsidR="00843A2E">
        <w:rPr>
          <w:rFonts w:cs="Arial"/>
        </w:rPr>
        <w:t xml:space="preserve">, </w:t>
      </w:r>
      <w:r w:rsidR="00055408" w:rsidRPr="00055408">
        <w:rPr>
          <w:rFonts w:cs="Arial"/>
        </w:rPr>
        <w:t xml:space="preserve">Θεσσαλονίκης </w:t>
      </w:r>
      <w:r w:rsidR="00843A2E">
        <w:rPr>
          <w:rFonts w:cs="Arial"/>
        </w:rPr>
        <w:t xml:space="preserve">και </w:t>
      </w:r>
      <w:r w:rsidR="00055408" w:rsidRPr="00055408">
        <w:rPr>
          <w:rFonts w:cs="Arial"/>
        </w:rPr>
        <w:t>Ηγουμενίτσας,</w:t>
      </w:r>
    </w:p>
    <w:p w14:paraId="655A877D" w14:textId="10EB7ED1" w:rsidR="00055408" w:rsidRPr="00054889" w:rsidRDefault="00055408" w:rsidP="00227ADC">
      <w:pPr>
        <w:numPr>
          <w:ilvl w:val="0"/>
          <w:numId w:val="1"/>
        </w:numPr>
        <w:spacing w:before="60" w:after="60"/>
        <w:ind w:left="568" w:hanging="284"/>
        <w:rPr>
          <w:rFonts w:eastAsia="Calibri" w:cs="Arial"/>
          <w:szCs w:val="20"/>
        </w:rPr>
      </w:pPr>
      <w:r w:rsidRPr="00054889">
        <w:rPr>
          <w:rFonts w:cs="Arial"/>
        </w:rPr>
        <w:t>λοιπές επιχορηγήσεις σε Δήμους συνολικού ύψους 64 εκατ. ευρώ</w:t>
      </w:r>
      <w:r w:rsidR="00FA0923">
        <w:rPr>
          <w:rFonts w:cs="Arial"/>
        </w:rPr>
        <w:t xml:space="preserve">, </w:t>
      </w:r>
      <w:r w:rsidR="00C955FE">
        <w:rPr>
          <w:rFonts w:cs="Arial"/>
        </w:rPr>
        <w:t>οι</w:t>
      </w:r>
      <w:r w:rsidR="00FA0923">
        <w:rPr>
          <w:rFonts w:cs="Arial"/>
        </w:rPr>
        <w:t xml:space="preserve"> οποί</w:t>
      </w:r>
      <w:r w:rsidR="00C955FE">
        <w:rPr>
          <w:rFonts w:cs="Arial"/>
        </w:rPr>
        <w:t>ες</w:t>
      </w:r>
      <w:r w:rsidR="00FA0923">
        <w:rPr>
          <w:rFonts w:cs="Arial"/>
        </w:rPr>
        <w:t xml:space="preserve"> αφορ</w:t>
      </w:r>
      <w:r w:rsidR="00C955FE">
        <w:rPr>
          <w:rFonts w:cs="Arial"/>
        </w:rPr>
        <w:t>ούν</w:t>
      </w:r>
      <w:r w:rsidR="00FA0923">
        <w:rPr>
          <w:rFonts w:cs="Arial"/>
        </w:rPr>
        <w:t xml:space="preserve"> </w:t>
      </w:r>
      <w:r w:rsidR="00227ADC">
        <w:rPr>
          <w:rFonts w:cs="Arial"/>
        </w:rPr>
        <w:t>στον Ενιαίο Διαβαθμικό Σύνδεσμο Νομού Αττικής, στους Δήμους Ηρακλείου Κρήτης, Ιεράς Πόλης του Μεσολογγίου και Ζηρού κα</w:t>
      </w:r>
      <w:r w:rsidR="00FA0923">
        <w:rPr>
          <w:rFonts w:cs="Arial"/>
        </w:rPr>
        <w:t xml:space="preserve">θώς και στην </w:t>
      </w:r>
      <w:r w:rsidR="00227ADC" w:rsidRPr="00054889">
        <w:rPr>
          <w:rFonts w:eastAsia="Calibri" w:cs="Arial"/>
          <w:szCs w:val="20"/>
        </w:rPr>
        <w:t xml:space="preserve">κάλυψη δαπανών καθαριότητας των Δημόσιων Ινστιτούτων Επαγγελματικής Κατάρτισης </w:t>
      </w:r>
      <w:r w:rsidR="00FA0923">
        <w:rPr>
          <w:rFonts w:eastAsia="Calibri" w:cs="Arial"/>
          <w:szCs w:val="20"/>
        </w:rPr>
        <w:t>(</w:t>
      </w:r>
      <w:r w:rsidR="00227ADC" w:rsidRPr="00054889">
        <w:rPr>
          <w:rFonts w:eastAsia="Calibri" w:cs="Arial"/>
          <w:szCs w:val="20"/>
        </w:rPr>
        <w:t>ΔΙΕΚ</w:t>
      </w:r>
      <w:r w:rsidR="00FA0923">
        <w:rPr>
          <w:rFonts w:eastAsia="Calibri" w:cs="Arial"/>
          <w:szCs w:val="20"/>
        </w:rPr>
        <w:t>)</w:t>
      </w:r>
      <w:r w:rsidR="00227ADC" w:rsidRPr="00054889">
        <w:rPr>
          <w:rFonts w:eastAsia="Calibri" w:cs="Arial"/>
          <w:szCs w:val="20"/>
        </w:rPr>
        <w:t xml:space="preserve"> και των Σχολείων Δεύτερης Ευκαιρίας</w:t>
      </w:r>
      <w:r w:rsidR="00FA0923">
        <w:rPr>
          <w:rFonts w:eastAsia="Calibri" w:cs="Arial"/>
          <w:szCs w:val="20"/>
        </w:rPr>
        <w:t xml:space="preserve"> (</w:t>
      </w:r>
      <w:r w:rsidR="00227ADC" w:rsidRPr="00054889">
        <w:rPr>
          <w:rFonts w:eastAsia="Calibri" w:cs="Arial"/>
          <w:szCs w:val="20"/>
        </w:rPr>
        <w:t>ΣΔΕ</w:t>
      </w:r>
      <w:r w:rsidR="00227ADC">
        <w:rPr>
          <w:rFonts w:eastAsia="Calibri" w:cs="Arial"/>
          <w:szCs w:val="20"/>
        </w:rPr>
        <w:t>) και</w:t>
      </w:r>
    </w:p>
    <w:p w14:paraId="41B0A71E" w14:textId="37917E06" w:rsidR="0072140D" w:rsidRDefault="00055408" w:rsidP="003E3EAE">
      <w:pPr>
        <w:numPr>
          <w:ilvl w:val="0"/>
          <w:numId w:val="1"/>
        </w:numPr>
        <w:spacing w:before="120" w:after="240"/>
        <w:ind w:left="568" w:hanging="284"/>
      </w:pPr>
      <w:r w:rsidRPr="00536C2C">
        <w:t>λοιπές επιχορηγήσεις στις Περιφέρειες, συνολικού ύψους 1 εκατ. ευρώ, για την έκτακτη αποζημίωση του προσωπικού των κτηνιατρικών υπηρεσιών και άλλων δομών των Περιφερειών (</w:t>
      </w:r>
      <w:r w:rsidR="00D70C5E">
        <w:t xml:space="preserve">άρθρο 35 του </w:t>
      </w:r>
      <w:r w:rsidRPr="00536C2C">
        <w:t>ν.5184/2025</w:t>
      </w:r>
      <w:r w:rsidR="00D70C5E">
        <w:t>, Α’ 34</w:t>
      </w:r>
      <w:r w:rsidRPr="00536C2C">
        <w:t>).</w:t>
      </w:r>
    </w:p>
    <w:p w14:paraId="08B3D36E" w14:textId="51D0E177" w:rsidR="003E3EAE" w:rsidRDefault="003E3EAE">
      <w:pPr>
        <w:spacing w:after="0" w:line="240" w:lineRule="auto"/>
        <w:jc w:val="left"/>
      </w:pPr>
      <w:r>
        <w:br w:type="page"/>
      </w:r>
    </w:p>
    <w:tbl>
      <w:tblPr>
        <w:tblW w:w="8860" w:type="dxa"/>
        <w:jc w:val="cente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blBorders>
        <w:tblLook w:val="04A0" w:firstRow="1" w:lastRow="0" w:firstColumn="1" w:lastColumn="0" w:noHBand="0" w:noVBand="1"/>
      </w:tblPr>
      <w:tblGrid>
        <w:gridCol w:w="260"/>
        <w:gridCol w:w="340"/>
        <w:gridCol w:w="5920"/>
        <w:gridCol w:w="1180"/>
        <w:gridCol w:w="1160"/>
      </w:tblGrid>
      <w:tr w:rsidR="004D71D1" w:rsidRPr="003E3EAE" w14:paraId="156AF65C" w14:textId="77777777" w:rsidTr="003E3EAE">
        <w:trPr>
          <w:cantSplit/>
          <w:trHeight w:val="510"/>
          <w:jc w:val="center"/>
        </w:trPr>
        <w:tc>
          <w:tcPr>
            <w:tcW w:w="8860" w:type="dxa"/>
            <w:gridSpan w:val="5"/>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407253E1" w14:textId="315A83FA" w:rsidR="0047332A" w:rsidRDefault="00587DEA" w:rsidP="003E3EAE">
            <w:pPr>
              <w:spacing w:after="0" w:line="276" w:lineRule="auto"/>
              <w:jc w:val="center"/>
              <w:rPr>
                <w:rFonts w:cs="Arial"/>
                <w:b/>
                <w:bCs/>
                <w:color w:val="000000"/>
                <w:sz w:val="18"/>
                <w:szCs w:val="16"/>
              </w:rPr>
            </w:pPr>
            <w:bookmarkStart w:id="367" w:name="_Toc214474051"/>
            <w:r w:rsidRPr="003E3EAE">
              <w:rPr>
                <w:rFonts w:cs="Arial"/>
                <w:b/>
                <w:sz w:val="18"/>
                <w:szCs w:val="16"/>
              </w:rPr>
              <w:lastRenderedPageBreak/>
              <w:t>Πίνακας 3.</w:t>
            </w:r>
            <w:r w:rsidRPr="003E3EAE">
              <w:rPr>
                <w:rFonts w:cs="Arial"/>
                <w:b/>
                <w:sz w:val="18"/>
                <w:szCs w:val="16"/>
              </w:rPr>
              <w:fldChar w:fldCharType="begin"/>
            </w:r>
            <w:r w:rsidRPr="003E3EAE">
              <w:rPr>
                <w:rFonts w:cs="Arial"/>
                <w:b/>
                <w:sz w:val="18"/>
                <w:szCs w:val="16"/>
              </w:rPr>
              <w:instrText xml:space="preserve"> SEQ Πίνακας_3. \* ARABIC </w:instrText>
            </w:r>
            <w:r w:rsidRPr="003E3EAE">
              <w:rPr>
                <w:rFonts w:cs="Arial"/>
                <w:b/>
                <w:sz w:val="18"/>
                <w:szCs w:val="16"/>
              </w:rPr>
              <w:fldChar w:fldCharType="separate"/>
            </w:r>
            <w:r w:rsidR="00E15678">
              <w:rPr>
                <w:rFonts w:cs="Arial"/>
                <w:b/>
                <w:noProof/>
                <w:sz w:val="18"/>
                <w:szCs w:val="16"/>
              </w:rPr>
              <w:t>13</w:t>
            </w:r>
            <w:r w:rsidRPr="003E3EAE">
              <w:rPr>
                <w:rFonts w:cs="Arial"/>
                <w:b/>
                <w:sz w:val="18"/>
                <w:szCs w:val="16"/>
              </w:rPr>
              <w:fldChar w:fldCharType="end"/>
            </w:r>
            <w:r w:rsidRPr="003E3EAE">
              <w:rPr>
                <w:rFonts w:cs="Arial"/>
                <w:b/>
                <w:sz w:val="18"/>
                <w:szCs w:val="16"/>
              </w:rPr>
              <w:t>.</w:t>
            </w:r>
            <w:r w:rsidR="004D71D1" w:rsidRPr="003E3EAE">
              <w:rPr>
                <w:rFonts w:cs="Arial"/>
                <w:b/>
                <w:bCs/>
                <w:color w:val="000000"/>
                <w:sz w:val="18"/>
                <w:szCs w:val="16"/>
              </w:rPr>
              <w:t>: Μεταβιβάσεις από τον τακτικό προϋπολογισμό του</w:t>
            </w:r>
            <w:r w:rsidRPr="003E3EAE">
              <w:rPr>
                <w:rFonts w:cs="Arial"/>
                <w:b/>
                <w:bCs/>
                <w:color w:val="000000"/>
                <w:sz w:val="18"/>
                <w:szCs w:val="16"/>
              </w:rPr>
              <w:t xml:space="preserve"> Υπουργείου Εσωτερικών</w:t>
            </w:r>
            <w:bookmarkEnd w:id="367"/>
          </w:p>
          <w:p w14:paraId="6D7AA724" w14:textId="2E4C4EA8" w:rsidR="004D71D1" w:rsidRPr="003E3EAE" w:rsidRDefault="00587DEA" w:rsidP="003E3EAE">
            <w:pPr>
              <w:spacing w:after="0" w:line="276" w:lineRule="auto"/>
              <w:jc w:val="center"/>
              <w:rPr>
                <w:rFonts w:cs="Arial"/>
                <w:b/>
                <w:bCs/>
                <w:color w:val="000000"/>
                <w:sz w:val="18"/>
                <w:szCs w:val="16"/>
              </w:rPr>
            </w:pPr>
            <w:r w:rsidRPr="003E3EAE">
              <w:rPr>
                <w:rFonts w:cs="Arial"/>
                <w:b/>
                <w:bCs/>
                <w:color w:val="000000"/>
                <w:sz w:val="18"/>
                <w:szCs w:val="16"/>
              </w:rPr>
              <w:t>στους ΟΤΑ α’ και β’ βαθμού (σε εκατ. ευρώ)</w:t>
            </w:r>
          </w:p>
        </w:tc>
      </w:tr>
      <w:tr w:rsidR="004D71D1" w:rsidRPr="003E3EAE" w14:paraId="0444ACBF" w14:textId="77777777" w:rsidTr="003E3EAE">
        <w:trPr>
          <w:cantSplit/>
          <w:jc w:val="center"/>
        </w:trPr>
        <w:tc>
          <w:tcPr>
            <w:tcW w:w="6520" w:type="dxa"/>
            <w:gridSpan w:val="3"/>
            <w:vMerge w:val="restart"/>
            <w:tcBorders>
              <w:top w:val="single" w:sz="2" w:space="0" w:color="A6A6A6" w:themeColor="background1" w:themeShade="A6"/>
              <w:left w:val="single" w:sz="2" w:space="0" w:color="A6A6A6" w:themeColor="background1" w:themeShade="A6"/>
              <w:bottom w:val="nil"/>
            </w:tcBorders>
            <w:shd w:val="clear" w:color="000000" w:fill="F2F2F2"/>
            <w:vAlign w:val="center"/>
            <w:hideMark/>
          </w:tcPr>
          <w:p w14:paraId="2A76D0BE" w14:textId="77777777" w:rsidR="004D71D1" w:rsidRPr="003E3EAE" w:rsidRDefault="004D71D1" w:rsidP="003E3EAE">
            <w:pPr>
              <w:spacing w:after="0" w:line="276" w:lineRule="auto"/>
              <w:jc w:val="center"/>
              <w:rPr>
                <w:rFonts w:cs="Arial"/>
                <w:b/>
                <w:bCs/>
                <w:color w:val="000000"/>
                <w:sz w:val="16"/>
                <w:szCs w:val="16"/>
              </w:rPr>
            </w:pPr>
            <w:r w:rsidRPr="003E3EAE">
              <w:rPr>
                <w:rFonts w:cs="Arial"/>
                <w:b/>
                <w:bCs/>
                <w:color w:val="000000"/>
                <w:sz w:val="16"/>
                <w:szCs w:val="16"/>
              </w:rPr>
              <w:t>Κατηγορία</w:t>
            </w:r>
          </w:p>
        </w:tc>
        <w:tc>
          <w:tcPr>
            <w:tcW w:w="1180" w:type="dxa"/>
            <w:tcBorders>
              <w:top w:val="single" w:sz="2" w:space="0" w:color="A6A6A6" w:themeColor="background1" w:themeShade="A6"/>
              <w:bottom w:val="nil"/>
            </w:tcBorders>
            <w:shd w:val="clear" w:color="000000" w:fill="F2F2F2"/>
            <w:vAlign w:val="center"/>
            <w:hideMark/>
          </w:tcPr>
          <w:p w14:paraId="2B32CC03" w14:textId="77777777" w:rsidR="004D71D1" w:rsidRPr="003E3EAE" w:rsidRDefault="004D71D1" w:rsidP="003E3EAE">
            <w:pPr>
              <w:spacing w:after="0" w:line="276" w:lineRule="auto"/>
              <w:jc w:val="center"/>
              <w:rPr>
                <w:rFonts w:cs="Arial"/>
                <w:b/>
                <w:bCs/>
                <w:color w:val="000000"/>
                <w:sz w:val="16"/>
                <w:szCs w:val="16"/>
              </w:rPr>
            </w:pPr>
            <w:r w:rsidRPr="003E3EAE">
              <w:rPr>
                <w:rFonts w:cs="Arial"/>
                <w:b/>
                <w:bCs/>
                <w:color w:val="000000"/>
                <w:sz w:val="16"/>
                <w:szCs w:val="16"/>
              </w:rPr>
              <w:t>2025</w:t>
            </w:r>
          </w:p>
        </w:tc>
        <w:tc>
          <w:tcPr>
            <w:tcW w:w="1160" w:type="dxa"/>
            <w:tcBorders>
              <w:top w:val="single" w:sz="2" w:space="0" w:color="A6A6A6" w:themeColor="background1" w:themeShade="A6"/>
              <w:bottom w:val="nil"/>
              <w:right w:val="single" w:sz="2" w:space="0" w:color="A6A6A6" w:themeColor="background1" w:themeShade="A6"/>
            </w:tcBorders>
            <w:shd w:val="clear" w:color="000000" w:fill="F2F2F2"/>
            <w:vAlign w:val="center"/>
            <w:hideMark/>
          </w:tcPr>
          <w:p w14:paraId="56C95166" w14:textId="77777777" w:rsidR="004D71D1" w:rsidRPr="003E3EAE" w:rsidRDefault="004D71D1" w:rsidP="003E3EAE">
            <w:pPr>
              <w:spacing w:after="0" w:line="276" w:lineRule="auto"/>
              <w:jc w:val="center"/>
              <w:rPr>
                <w:rFonts w:cs="Arial"/>
                <w:b/>
                <w:bCs/>
                <w:color w:val="000000"/>
                <w:sz w:val="16"/>
                <w:szCs w:val="16"/>
              </w:rPr>
            </w:pPr>
            <w:r w:rsidRPr="003E3EAE">
              <w:rPr>
                <w:rFonts w:cs="Arial"/>
                <w:b/>
                <w:bCs/>
                <w:color w:val="000000"/>
                <w:sz w:val="16"/>
                <w:szCs w:val="16"/>
              </w:rPr>
              <w:t>2026</w:t>
            </w:r>
          </w:p>
        </w:tc>
      </w:tr>
      <w:tr w:rsidR="004D71D1" w:rsidRPr="003E3EAE" w14:paraId="1136D0CC" w14:textId="77777777" w:rsidTr="003E3EAE">
        <w:trPr>
          <w:cantSplit/>
          <w:jc w:val="center"/>
        </w:trPr>
        <w:tc>
          <w:tcPr>
            <w:tcW w:w="6520" w:type="dxa"/>
            <w:gridSpan w:val="3"/>
            <w:vMerge/>
            <w:tcBorders>
              <w:top w:val="nil"/>
              <w:left w:val="single" w:sz="2" w:space="0" w:color="A6A6A6" w:themeColor="background1" w:themeShade="A6"/>
              <w:bottom w:val="single" w:sz="2" w:space="0" w:color="A6A6A6" w:themeColor="background1" w:themeShade="A6"/>
            </w:tcBorders>
            <w:vAlign w:val="center"/>
            <w:hideMark/>
          </w:tcPr>
          <w:p w14:paraId="59A3C412" w14:textId="77777777" w:rsidR="004D71D1" w:rsidRPr="003E3EAE" w:rsidRDefault="004D71D1" w:rsidP="003E3EAE">
            <w:pPr>
              <w:spacing w:after="0" w:line="276" w:lineRule="auto"/>
              <w:jc w:val="center"/>
              <w:rPr>
                <w:rFonts w:cs="Arial"/>
                <w:b/>
                <w:bCs/>
                <w:color w:val="000000"/>
                <w:sz w:val="16"/>
                <w:szCs w:val="16"/>
              </w:rPr>
            </w:pPr>
          </w:p>
        </w:tc>
        <w:tc>
          <w:tcPr>
            <w:tcW w:w="1180" w:type="dxa"/>
            <w:tcBorders>
              <w:top w:val="nil"/>
              <w:bottom w:val="single" w:sz="2" w:space="0" w:color="A6A6A6" w:themeColor="background1" w:themeShade="A6"/>
            </w:tcBorders>
            <w:shd w:val="clear" w:color="000000" w:fill="F2F2F2"/>
            <w:vAlign w:val="center"/>
            <w:hideMark/>
          </w:tcPr>
          <w:p w14:paraId="7AA5D894" w14:textId="77777777" w:rsidR="004D71D1" w:rsidRPr="003E3EAE" w:rsidRDefault="004D71D1" w:rsidP="003E3EAE">
            <w:pPr>
              <w:spacing w:after="0" w:line="276" w:lineRule="auto"/>
              <w:jc w:val="center"/>
              <w:rPr>
                <w:rFonts w:cs="Arial"/>
                <w:b/>
                <w:bCs/>
                <w:color w:val="000000"/>
                <w:sz w:val="16"/>
                <w:szCs w:val="16"/>
              </w:rPr>
            </w:pPr>
            <w:r w:rsidRPr="003E3EAE">
              <w:rPr>
                <w:rFonts w:cs="Arial"/>
                <w:b/>
                <w:bCs/>
                <w:color w:val="000000"/>
                <w:sz w:val="16"/>
                <w:szCs w:val="16"/>
              </w:rPr>
              <w:t>Εκτιμήσεις</w:t>
            </w:r>
          </w:p>
        </w:tc>
        <w:tc>
          <w:tcPr>
            <w:tcW w:w="1160" w:type="dxa"/>
            <w:tcBorders>
              <w:top w:val="nil"/>
              <w:bottom w:val="single" w:sz="2" w:space="0" w:color="A6A6A6" w:themeColor="background1" w:themeShade="A6"/>
              <w:right w:val="single" w:sz="2" w:space="0" w:color="A6A6A6" w:themeColor="background1" w:themeShade="A6"/>
            </w:tcBorders>
            <w:shd w:val="clear" w:color="000000" w:fill="F2F2F2"/>
            <w:vAlign w:val="center"/>
            <w:hideMark/>
          </w:tcPr>
          <w:p w14:paraId="47729123" w14:textId="77777777" w:rsidR="004D71D1" w:rsidRPr="003E3EAE" w:rsidRDefault="004D71D1" w:rsidP="003E3EAE">
            <w:pPr>
              <w:spacing w:after="0" w:line="276" w:lineRule="auto"/>
              <w:jc w:val="center"/>
              <w:rPr>
                <w:rFonts w:cs="Arial"/>
                <w:b/>
                <w:bCs/>
                <w:color w:val="000000"/>
                <w:sz w:val="16"/>
                <w:szCs w:val="16"/>
              </w:rPr>
            </w:pPr>
            <w:r w:rsidRPr="003E3EAE">
              <w:rPr>
                <w:rFonts w:cs="Arial"/>
                <w:b/>
                <w:bCs/>
                <w:color w:val="000000"/>
                <w:sz w:val="16"/>
                <w:szCs w:val="16"/>
              </w:rPr>
              <w:t>Προβλέψεις</w:t>
            </w:r>
          </w:p>
        </w:tc>
      </w:tr>
      <w:tr w:rsidR="004D71D1" w:rsidRPr="003E3EAE" w14:paraId="6288CAD9" w14:textId="77777777" w:rsidTr="003E3EAE">
        <w:trPr>
          <w:cantSplit/>
          <w:trHeight w:val="227"/>
          <w:jc w:val="center"/>
        </w:trPr>
        <w:tc>
          <w:tcPr>
            <w:tcW w:w="6520" w:type="dxa"/>
            <w:gridSpan w:val="3"/>
            <w:tcBorders>
              <w:top w:val="single" w:sz="2" w:space="0" w:color="A6A6A6" w:themeColor="background1" w:themeShade="A6"/>
              <w:left w:val="single" w:sz="2" w:space="0" w:color="A6A6A6" w:themeColor="background1" w:themeShade="A6"/>
              <w:bottom w:val="nil"/>
            </w:tcBorders>
            <w:shd w:val="clear" w:color="000000" w:fill="D5DCE4"/>
            <w:vAlign w:val="center"/>
            <w:hideMark/>
          </w:tcPr>
          <w:p w14:paraId="7EF4D6DB" w14:textId="2BC07F06" w:rsidR="004D71D1" w:rsidRPr="003E3EAE" w:rsidRDefault="004D71D1" w:rsidP="009E0294">
            <w:pPr>
              <w:tabs>
                <w:tab w:val="left" w:pos="249"/>
              </w:tabs>
              <w:spacing w:after="0" w:line="276" w:lineRule="auto"/>
              <w:jc w:val="left"/>
              <w:rPr>
                <w:rFonts w:cs="Arial"/>
                <w:b/>
                <w:bCs/>
                <w:color w:val="000000"/>
                <w:sz w:val="16"/>
                <w:szCs w:val="16"/>
              </w:rPr>
            </w:pPr>
            <w:r w:rsidRPr="003E3EAE">
              <w:rPr>
                <w:rFonts w:cs="Arial"/>
                <w:b/>
                <w:bCs/>
                <w:color w:val="000000"/>
                <w:sz w:val="16"/>
                <w:szCs w:val="16"/>
              </w:rPr>
              <w:t>Α.</w:t>
            </w:r>
            <w:r w:rsidR="009E0294">
              <w:rPr>
                <w:rFonts w:cs="Arial"/>
                <w:b/>
                <w:bCs/>
                <w:color w:val="000000"/>
                <w:sz w:val="16"/>
                <w:szCs w:val="16"/>
              </w:rPr>
              <w:tab/>
            </w:r>
            <w:r w:rsidRPr="003E3EAE">
              <w:rPr>
                <w:rFonts w:cs="Arial"/>
                <w:b/>
                <w:bCs/>
                <w:color w:val="000000"/>
                <w:sz w:val="16"/>
                <w:szCs w:val="16"/>
              </w:rPr>
              <w:t>Μεταβιβάσεις σε ΟΤΑ α’ βαθμού - Δήμοι (Ι + ΙΙ + ΙΙΙ + IV)</w:t>
            </w:r>
          </w:p>
        </w:tc>
        <w:tc>
          <w:tcPr>
            <w:tcW w:w="1180" w:type="dxa"/>
            <w:tcBorders>
              <w:top w:val="single" w:sz="2" w:space="0" w:color="A6A6A6" w:themeColor="background1" w:themeShade="A6"/>
              <w:bottom w:val="nil"/>
            </w:tcBorders>
            <w:shd w:val="clear" w:color="000000" w:fill="D5DCE4"/>
            <w:vAlign w:val="center"/>
            <w:hideMark/>
          </w:tcPr>
          <w:p w14:paraId="11E38AF8"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2.699</w:t>
            </w:r>
          </w:p>
        </w:tc>
        <w:tc>
          <w:tcPr>
            <w:tcW w:w="1160" w:type="dxa"/>
            <w:tcBorders>
              <w:top w:val="single" w:sz="2" w:space="0" w:color="A6A6A6" w:themeColor="background1" w:themeShade="A6"/>
              <w:bottom w:val="nil"/>
              <w:right w:val="single" w:sz="2" w:space="0" w:color="A6A6A6" w:themeColor="background1" w:themeShade="A6"/>
            </w:tcBorders>
            <w:shd w:val="clear" w:color="000000" w:fill="D5DCE4"/>
            <w:vAlign w:val="center"/>
            <w:hideMark/>
          </w:tcPr>
          <w:p w14:paraId="615705DD"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2.741</w:t>
            </w:r>
          </w:p>
        </w:tc>
      </w:tr>
      <w:tr w:rsidR="004D71D1" w:rsidRPr="003E3EAE" w14:paraId="5EA1AA7A" w14:textId="77777777" w:rsidTr="003E3EAE">
        <w:trPr>
          <w:cantSplit/>
          <w:jc w:val="center"/>
        </w:trPr>
        <w:tc>
          <w:tcPr>
            <w:tcW w:w="260" w:type="dxa"/>
            <w:tcBorders>
              <w:top w:val="nil"/>
              <w:left w:val="single" w:sz="2" w:space="0" w:color="A6A6A6" w:themeColor="background1" w:themeShade="A6"/>
              <w:bottom w:val="nil"/>
            </w:tcBorders>
            <w:shd w:val="clear" w:color="auto" w:fill="auto"/>
            <w:vAlign w:val="center"/>
            <w:hideMark/>
          </w:tcPr>
          <w:p w14:paraId="34DABF53" w14:textId="2A5DA6D2" w:rsidR="004D71D1" w:rsidRPr="003E3EAE" w:rsidRDefault="004D71D1" w:rsidP="00587DEA">
            <w:pPr>
              <w:spacing w:after="0" w:line="276" w:lineRule="auto"/>
              <w:rPr>
                <w:rFonts w:cs="Arial"/>
                <w:color w:val="000000"/>
                <w:sz w:val="16"/>
                <w:szCs w:val="16"/>
              </w:rPr>
            </w:pPr>
          </w:p>
        </w:tc>
        <w:tc>
          <w:tcPr>
            <w:tcW w:w="6260" w:type="dxa"/>
            <w:gridSpan w:val="2"/>
            <w:tcBorders>
              <w:top w:val="nil"/>
              <w:bottom w:val="nil"/>
            </w:tcBorders>
            <w:shd w:val="clear" w:color="auto" w:fill="auto"/>
            <w:vAlign w:val="center"/>
            <w:hideMark/>
          </w:tcPr>
          <w:p w14:paraId="46EA9A7C" w14:textId="4D8B694D" w:rsidR="004D71D1" w:rsidRPr="003E3EAE" w:rsidRDefault="004D71D1" w:rsidP="009E0294">
            <w:pPr>
              <w:tabs>
                <w:tab w:val="left" w:pos="250"/>
              </w:tabs>
              <w:spacing w:after="0" w:line="276" w:lineRule="auto"/>
              <w:jc w:val="left"/>
              <w:rPr>
                <w:rFonts w:cs="Arial"/>
                <w:b/>
                <w:bCs/>
                <w:color w:val="000000"/>
                <w:sz w:val="16"/>
                <w:szCs w:val="16"/>
              </w:rPr>
            </w:pPr>
            <w:r w:rsidRPr="003E3EAE">
              <w:rPr>
                <w:rFonts w:cs="Arial"/>
                <w:b/>
                <w:bCs/>
                <w:color w:val="000000"/>
                <w:sz w:val="16"/>
                <w:szCs w:val="16"/>
              </w:rPr>
              <w:t>Ι.</w:t>
            </w:r>
            <w:r w:rsidR="009E0294">
              <w:rPr>
                <w:rFonts w:cs="Arial"/>
                <w:b/>
                <w:bCs/>
                <w:color w:val="000000"/>
                <w:sz w:val="16"/>
                <w:szCs w:val="16"/>
              </w:rPr>
              <w:tab/>
            </w:r>
            <w:r w:rsidRPr="003E3EAE">
              <w:rPr>
                <w:rFonts w:cs="Arial"/>
                <w:b/>
                <w:bCs/>
                <w:color w:val="000000"/>
                <w:sz w:val="16"/>
                <w:szCs w:val="16"/>
              </w:rPr>
              <w:t>Αποδόσεις ΚΑΠ Δήμων (α + β + γ)</w:t>
            </w:r>
          </w:p>
        </w:tc>
        <w:tc>
          <w:tcPr>
            <w:tcW w:w="1180" w:type="dxa"/>
            <w:tcBorders>
              <w:top w:val="nil"/>
              <w:bottom w:val="nil"/>
            </w:tcBorders>
            <w:shd w:val="clear" w:color="auto" w:fill="auto"/>
            <w:vAlign w:val="center"/>
            <w:hideMark/>
          </w:tcPr>
          <w:p w14:paraId="31355DE4"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2.445</w:t>
            </w:r>
          </w:p>
        </w:tc>
        <w:tc>
          <w:tcPr>
            <w:tcW w:w="1160" w:type="dxa"/>
            <w:tcBorders>
              <w:top w:val="nil"/>
              <w:bottom w:val="nil"/>
              <w:right w:val="single" w:sz="2" w:space="0" w:color="A6A6A6" w:themeColor="background1" w:themeShade="A6"/>
            </w:tcBorders>
            <w:shd w:val="clear" w:color="auto" w:fill="auto"/>
            <w:vAlign w:val="center"/>
            <w:hideMark/>
          </w:tcPr>
          <w:p w14:paraId="675FBB4F"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2.527</w:t>
            </w:r>
          </w:p>
        </w:tc>
      </w:tr>
      <w:tr w:rsidR="004D71D1" w:rsidRPr="003E3EAE" w14:paraId="4B0FA37A" w14:textId="77777777" w:rsidTr="003E3EAE">
        <w:trPr>
          <w:cantSplit/>
          <w:jc w:val="center"/>
        </w:trPr>
        <w:tc>
          <w:tcPr>
            <w:tcW w:w="260" w:type="dxa"/>
            <w:tcBorders>
              <w:top w:val="nil"/>
              <w:left w:val="single" w:sz="2" w:space="0" w:color="A6A6A6" w:themeColor="background1" w:themeShade="A6"/>
              <w:bottom w:val="nil"/>
            </w:tcBorders>
            <w:shd w:val="clear" w:color="auto" w:fill="auto"/>
            <w:vAlign w:val="center"/>
            <w:hideMark/>
          </w:tcPr>
          <w:p w14:paraId="7B15EFEB" w14:textId="65D5A260" w:rsidR="004D71D1" w:rsidRPr="003E3EAE" w:rsidRDefault="004D71D1" w:rsidP="00587DEA">
            <w:pPr>
              <w:spacing w:after="0" w:line="276" w:lineRule="auto"/>
              <w:rPr>
                <w:rFonts w:cs="Arial"/>
                <w:color w:val="000000"/>
                <w:sz w:val="16"/>
                <w:szCs w:val="16"/>
              </w:rPr>
            </w:pPr>
          </w:p>
        </w:tc>
        <w:tc>
          <w:tcPr>
            <w:tcW w:w="340" w:type="dxa"/>
            <w:tcBorders>
              <w:top w:val="nil"/>
              <w:bottom w:val="nil"/>
            </w:tcBorders>
            <w:shd w:val="clear" w:color="auto" w:fill="auto"/>
            <w:vAlign w:val="center"/>
            <w:hideMark/>
          </w:tcPr>
          <w:p w14:paraId="13A21644"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shd w:val="clear" w:color="auto" w:fill="auto"/>
            <w:vAlign w:val="center"/>
            <w:hideMark/>
          </w:tcPr>
          <w:p w14:paraId="4C3CE6F9" w14:textId="77777777"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α. Απόδοση στους Δήμους ποσοστού επί του φόρου προστιθέμενης αξίας</w:t>
            </w:r>
          </w:p>
        </w:tc>
        <w:tc>
          <w:tcPr>
            <w:tcW w:w="1180" w:type="dxa"/>
            <w:tcBorders>
              <w:top w:val="nil"/>
              <w:bottom w:val="nil"/>
            </w:tcBorders>
            <w:shd w:val="clear" w:color="auto" w:fill="auto"/>
            <w:vAlign w:val="center"/>
            <w:hideMark/>
          </w:tcPr>
          <w:p w14:paraId="5775C81B"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959</w:t>
            </w:r>
          </w:p>
        </w:tc>
        <w:tc>
          <w:tcPr>
            <w:tcW w:w="1160" w:type="dxa"/>
            <w:tcBorders>
              <w:top w:val="nil"/>
              <w:bottom w:val="nil"/>
              <w:right w:val="single" w:sz="2" w:space="0" w:color="A6A6A6" w:themeColor="background1" w:themeShade="A6"/>
            </w:tcBorders>
            <w:shd w:val="clear" w:color="auto" w:fill="auto"/>
            <w:vAlign w:val="center"/>
            <w:hideMark/>
          </w:tcPr>
          <w:p w14:paraId="5C8A91FE"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1.037</w:t>
            </w:r>
          </w:p>
        </w:tc>
      </w:tr>
      <w:tr w:rsidR="004D71D1" w:rsidRPr="003E3EAE" w14:paraId="1D913391" w14:textId="77777777" w:rsidTr="003E3EAE">
        <w:trPr>
          <w:cantSplit/>
          <w:jc w:val="center"/>
        </w:trPr>
        <w:tc>
          <w:tcPr>
            <w:tcW w:w="260" w:type="dxa"/>
            <w:tcBorders>
              <w:top w:val="nil"/>
              <w:left w:val="single" w:sz="2" w:space="0" w:color="A6A6A6" w:themeColor="background1" w:themeShade="A6"/>
              <w:bottom w:val="nil"/>
            </w:tcBorders>
            <w:shd w:val="clear" w:color="auto" w:fill="auto"/>
            <w:vAlign w:val="center"/>
            <w:hideMark/>
          </w:tcPr>
          <w:p w14:paraId="31FF4FDF" w14:textId="4FC31FC8" w:rsidR="004D71D1" w:rsidRPr="003E3EAE" w:rsidRDefault="004D71D1" w:rsidP="00587DEA">
            <w:pPr>
              <w:spacing w:after="0" w:line="276" w:lineRule="auto"/>
              <w:rPr>
                <w:rFonts w:cs="Arial"/>
                <w:color w:val="000000"/>
                <w:sz w:val="16"/>
                <w:szCs w:val="16"/>
              </w:rPr>
            </w:pPr>
          </w:p>
        </w:tc>
        <w:tc>
          <w:tcPr>
            <w:tcW w:w="340" w:type="dxa"/>
            <w:tcBorders>
              <w:top w:val="nil"/>
              <w:bottom w:val="nil"/>
            </w:tcBorders>
            <w:shd w:val="clear" w:color="auto" w:fill="auto"/>
            <w:vAlign w:val="center"/>
            <w:hideMark/>
          </w:tcPr>
          <w:p w14:paraId="2AA7DB9B"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shd w:val="clear" w:color="auto" w:fill="auto"/>
            <w:vAlign w:val="center"/>
            <w:hideMark/>
          </w:tcPr>
          <w:p w14:paraId="04A088A0" w14:textId="75431EDB"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β. Απόδοση στους Δήμους ποσοστού επί των καθαρών συνολικών ετήσιων εισπράξεων του φόρου εισοδήματος φυσικών και νομικών προσώπων</w:t>
            </w:r>
          </w:p>
        </w:tc>
        <w:tc>
          <w:tcPr>
            <w:tcW w:w="1180" w:type="dxa"/>
            <w:tcBorders>
              <w:top w:val="nil"/>
              <w:bottom w:val="nil"/>
            </w:tcBorders>
            <w:shd w:val="clear" w:color="auto" w:fill="auto"/>
            <w:vAlign w:val="center"/>
            <w:hideMark/>
          </w:tcPr>
          <w:p w14:paraId="1DA62843"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1.388</w:t>
            </w:r>
          </w:p>
        </w:tc>
        <w:tc>
          <w:tcPr>
            <w:tcW w:w="1160" w:type="dxa"/>
            <w:tcBorders>
              <w:top w:val="nil"/>
              <w:bottom w:val="nil"/>
              <w:right w:val="single" w:sz="2" w:space="0" w:color="A6A6A6" w:themeColor="background1" w:themeShade="A6"/>
            </w:tcBorders>
            <w:shd w:val="clear" w:color="auto" w:fill="auto"/>
            <w:vAlign w:val="center"/>
            <w:hideMark/>
          </w:tcPr>
          <w:p w14:paraId="0A63466B"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1.395</w:t>
            </w:r>
          </w:p>
        </w:tc>
      </w:tr>
      <w:tr w:rsidR="004D71D1" w:rsidRPr="003E3EAE" w14:paraId="10A38DAE" w14:textId="77777777" w:rsidTr="003E3EAE">
        <w:trPr>
          <w:cantSplit/>
          <w:jc w:val="center"/>
        </w:trPr>
        <w:tc>
          <w:tcPr>
            <w:tcW w:w="260" w:type="dxa"/>
            <w:tcBorders>
              <w:top w:val="nil"/>
              <w:left w:val="single" w:sz="2" w:space="0" w:color="A6A6A6" w:themeColor="background1" w:themeShade="A6"/>
              <w:bottom w:val="nil"/>
            </w:tcBorders>
            <w:shd w:val="clear" w:color="auto" w:fill="auto"/>
            <w:vAlign w:val="center"/>
            <w:hideMark/>
          </w:tcPr>
          <w:p w14:paraId="6673FA18" w14:textId="0BA70C82" w:rsidR="004D71D1" w:rsidRPr="003E3EAE" w:rsidRDefault="004D71D1" w:rsidP="00587DEA">
            <w:pPr>
              <w:spacing w:after="0" w:line="276" w:lineRule="auto"/>
              <w:rPr>
                <w:rFonts w:cs="Arial"/>
                <w:color w:val="000000"/>
                <w:sz w:val="16"/>
                <w:szCs w:val="16"/>
              </w:rPr>
            </w:pPr>
          </w:p>
        </w:tc>
        <w:tc>
          <w:tcPr>
            <w:tcW w:w="340" w:type="dxa"/>
            <w:tcBorders>
              <w:top w:val="nil"/>
              <w:bottom w:val="nil"/>
            </w:tcBorders>
            <w:shd w:val="clear" w:color="auto" w:fill="auto"/>
            <w:vAlign w:val="center"/>
            <w:hideMark/>
          </w:tcPr>
          <w:p w14:paraId="0A4E624F"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shd w:val="clear" w:color="auto" w:fill="auto"/>
            <w:vAlign w:val="center"/>
            <w:hideMark/>
          </w:tcPr>
          <w:p w14:paraId="7C1E2046" w14:textId="77777777"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γ. Απόδοση στους Δήμους ποσοστού επί του ΕΝΦΙΑ</w:t>
            </w:r>
          </w:p>
        </w:tc>
        <w:tc>
          <w:tcPr>
            <w:tcW w:w="1180" w:type="dxa"/>
            <w:tcBorders>
              <w:top w:val="nil"/>
              <w:bottom w:val="nil"/>
            </w:tcBorders>
            <w:shd w:val="clear" w:color="auto" w:fill="auto"/>
            <w:vAlign w:val="center"/>
            <w:hideMark/>
          </w:tcPr>
          <w:p w14:paraId="2AC92ABF"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99</w:t>
            </w:r>
          </w:p>
        </w:tc>
        <w:tc>
          <w:tcPr>
            <w:tcW w:w="1160" w:type="dxa"/>
            <w:tcBorders>
              <w:top w:val="nil"/>
              <w:bottom w:val="nil"/>
              <w:right w:val="single" w:sz="2" w:space="0" w:color="A6A6A6" w:themeColor="background1" w:themeShade="A6"/>
            </w:tcBorders>
            <w:shd w:val="clear" w:color="auto" w:fill="auto"/>
            <w:vAlign w:val="center"/>
            <w:hideMark/>
          </w:tcPr>
          <w:p w14:paraId="0279AB0C"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95</w:t>
            </w:r>
          </w:p>
        </w:tc>
      </w:tr>
      <w:tr w:rsidR="004D71D1" w:rsidRPr="003E3EAE" w14:paraId="583FE7B0" w14:textId="77777777" w:rsidTr="003E3EAE">
        <w:trPr>
          <w:cantSplit/>
          <w:jc w:val="center"/>
        </w:trPr>
        <w:tc>
          <w:tcPr>
            <w:tcW w:w="260" w:type="dxa"/>
            <w:tcBorders>
              <w:top w:val="nil"/>
              <w:left w:val="single" w:sz="2" w:space="0" w:color="A6A6A6" w:themeColor="background1" w:themeShade="A6"/>
              <w:bottom w:val="nil"/>
            </w:tcBorders>
            <w:shd w:val="clear" w:color="auto" w:fill="auto"/>
            <w:vAlign w:val="center"/>
            <w:hideMark/>
          </w:tcPr>
          <w:p w14:paraId="6D7F0708" w14:textId="22978A54" w:rsidR="004D71D1" w:rsidRPr="003E3EAE" w:rsidRDefault="004D71D1" w:rsidP="00587DEA">
            <w:pPr>
              <w:spacing w:after="0" w:line="276" w:lineRule="auto"/>
              <w:rPr>
                <w:rFonts w:cs="Arial"/>
                <w:color w:val="000000"/>
                <w:sz w:val="16"/>
                <w:szCs w:val="16"/>
              </w:rPr>
            </w:pPr>
          </w:p>
        </w:tc>
        <w:tc>
          <w:tcPr>
            <w:tcW w:w="6260" w:type="dxa"/>
            <w:gridSpan w:val="2"/>
            <w:tcBorders>
              <w:top w:val="nil"/>
              <w:bottom w:val="nil"/>
            </w:tcBorders>
            <w:shd w:val="clear" w:color="auto" w:fill="auto"/>
            <w:vAlign w:val="center"/>
            <w:hideMark/>
          </w:tcPr>
          <w:p w14:paraId="3D3D9EF0" w14:textId="0D4FC7E6" w:rsidR="004D71D1" w:rsidRPr="003E3EAE" w:rsidRDefault="004D71D1" w:rsidP="009E0294">
            <w:pPr>
              <w:tabs>
                <w:tab w:val="left" w:pos="250"/>
              </w:tabs>
              <w:spacing w:after="0" w:line="276" w:lineRule="auto"/>
              <w:jc w:val="left"/>
              <w:rPr>
                <w:rFonts w:cs="Arial"/>
                <w:b/>
                <w:bCs/>
                <w:color w:val="000000"/>
                <w:sz w:val="16"/>
                <w:szCs w:val="16"/>
              </w:rPr>
            </w:pPr>
            <w:r w:rsidRPr="003E3EAE">
              <w:rPr>
                <w:rFonts w:cs="Arial"/>
                <w:b/>
                <w:bCs/>
                <w:color w:val="000000"/>
                <w:sz w:val="16"/>
                <w:szCs w:val="16"/>
              </w:rPr>
              <w:t>ΙΙ.</w:t>
            </w:r>
            <w:r w:rsidR="009E0294">
              <w:rPr>
                <w:rFonts w:cs="Arial"/>
                <w:b/>
                <w:bCs/>
                <w:color w:val="000000"/>
                <w:sz w:val="16"/>
                <w:szCs w:val="16"/>
              </w:rPr>
              <w:tab/>
            </w:r>
            <w:r w:rsidRPr="003E3EAE">
              <w:rPr>
                <w:rFonts w:cs="Arial"/>
                <w:b/>
                <w:bCs/>
                <w:color w:val="000000"/>
                <w:sz w:val="16"/>
                <w:szCs w:val="16"/>
              </w:rPr>
              <w:t>Ειδική επιχορήγηση σε ΟΤΑ α’ βαθμού</w:t>
            </w:r>
          </w:p>
        </w:tc>
        <w:tc>
          <w:tcPr>
            <w:tcW w:w="1180" w:type="dxa"/>
            <w:tcBorders>
              <w:top w:val="nil"/>
              <w:bottom w:val="nil"/>
            </w:tcBorders>
            <w:shd w:val="clear" w:color="auto" w:fill="auto"/>
            <w:vAlign w:val="center"/>
            <w:hideMark/>
          </w:tcPr>
          <w:p w14:paraId="00073FB9"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178</w:t>
            </w:r>
          </w:p>
        </w:tc>
        <w:tc>
          <w:tcPr>
            <w:tcW w:w="1160" w:type="dxa"/>
            <w:tcBorders>
              <w:top w:val="nil"/>
              <w:bottom w:val="nil"/>
              <w:right w:val="single" w:sz="2" w:space="0" w:color="A6A6A6" w:themeColor="background1" w:themeShade="A6"/>
            </w:tcBorders>
            <w:shd w:val="clear" w:color="auto" w:fill="auto"/>
            <w:vAlign w:val="center"/>
            <w:hideMark/>
          </w:tcPr>
          <w:p w14:paraId="31244A37"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209</w:t>
            </w:r>
          </w:p>
        </w:tc>
      </w:tr>
      <w:tr w:rsidR="004D71D1" w:rsidRPr="003E3EAE" w14:paraId="70765237" w14:textId="77777777" w:rsidTr="003E3EAE">
        <w:trPr>
          <w:cantSplit/>
          <w:jc w:val="center"/>
        </w:trPr>
        <w:tc>
          <w:tcPr>
            <w:tcW w:w="260" w:type="dxa"/>
            <w:tcBorders>
              <w:top w:val="nil"/>
              <w:left w:val="single" w:sz="2" w:space="0" w:color="A6A6A6" w:themeColor="background1" w:themeShade="A6"/>
              <w:bottom w:val="nil"/>
            </w:tcBorders>
            <w:shd w:val="clear" w:color="auto" w:fill="auto"/>
            <w:vAlign w:val="center"/>
            <w:hideMark/>
          </w:tcPr>
          <w:p w14:paraId="26A82BE6" w14:textId="2AA28DB6" w:rsidR="004D71D1" w:rsidRPr="003E3EAE" w:rsidRDefault="004D71D1" w:rsidP="00587DEA">
            <w:pPr>
              <w:spacing w:after="0" w:line="276" w:lineRule="auto"/>
              <w:rPr>
                <w:rFonts w:cs="Arial"/>
                <w:color w:val="000000"/>
                <w:sz w:val="16"/>
                <w:szCs w:val="16"/>
              </w:rPr>
            </w:pPr>
          </w:p>
        </w:tc>
        <w:tc>
          <w:tcPr>
            <w:tcW w:w="6260" w:type="dxa"/>
            <w:gridSpan w:val="2"/>
            <w:tcBorders>
              <w:top w:val="nil"/>
              <w:bottom w:val="nil"/>
            </w:tcBorders>
            <w:shd w:val="clear" w:color="auto" w:fill="auto"/>
            <w:vAlign w:val="center"/>
            <w:hideMark/>
          </w:tcPr>
          <w:p w14:paraId="1CA8CBAE" w14:textId="54705102" w:rsidR="004D71D1" w:rsidRPr="003E3EAE" w:rsidRDefault="004D71D1" w:rsidP="009E0294">
            <w:pPr>
              <w:tabs>
                <w:tab w:val="left" w:pos="250"/>
              </w:tabs>
              <w:spacing w:after="0" w:line="276" w:lineRule="auto"/>
              <w:jc w:val="left"/>
              <w:rPr>
                <w:rFonts w:cs="Arial"/>
                <w:b/>
                <w:bCs/>
                <w:color w:val="000000"/>
                <w:sz w:val="16"/>
                <w:szCs w:val="16"/>
              </w:rPr>
            </w:pPr>
            <w:r w:rsidRPr="003E3EAE">
              <w:rPr>
                <w:rFonts w:cs="Arial"/>
                <w:b/>
                <w:bCs/>
                <w:color w:val="000000"/>
                <w:sz w:val="16"/>
                <w:szCs w:val="16"/>
              </w:rPr>
              <w:t>III.</w:t>
            </w:r>
            <w:r w:rsidR="009E0294">
              <w:rPr>
                <w:rFonts w:cs="Arial"/>
                <w:b/>
                <w:bCs/>
                <w:color w:val="000000"/>
                <w:sz w:val="16"/>
                <w:szCs w:val="16"/>
              </w:rPr>
              <w:tab/>
            </w:r>
            <w:r w:rsidRPr="003E3EAE">
              <w:rPr>
                <w:rFonts w:cs="Arial"/>
                <w:b/>
                <w:bCs/>
                <w:color w:val="000000"/>
                <w:sz w:val="16"/>
                <w:szCs w:val="16"/>
              </w:rPr>
              <w:t>Λοιπές αποδόσεις σε ΟΤΑ α’ βαθμού</w:t>
            </w:r>
          </w:p>
        </w:tc>
        <w:tc>
          <w:tcPr>
            <w:tcW w:w="1180" w:type="dxa"/>
            <w:tcBorders>
              <w:top w:val="nil"/>
              <w:bottom w:val="nil"/>
            </w:tcBorders>
            <w:shd w:val="clear" w:color="auto" w:fill="auto"/>
            <w:vAlign w:val="center"/>
            <w:hideMark/>
          </w:tcPr>
          <w:p w14:paraId="129AA3BC"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12</w:t>
            </w:r>
          </w:p>
        </w:tc>
        <w:tc>
          <w:tcPr>
            <w:tcW w:w="1160" w:type="dxa"/>
            <w:tcBorders>
              <w:top w:val="nil"/>
              <w:bottom w:val="nil"/>
              <w:right w:val="single" w:sz="2" w:space="0" w:color="A6A6A6" w:themeColor="background1" w:themeShade="A6"/>
            </w:tcBorders>
            <w:shd w:val="clear" w:color="auto" w:fill="auto"/>
            <w:vAlign w:val="center"/>
            <w:hideMark/>
          </w:tcPr>
          <w:p w14:paraId="51882EC0"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5</w:t>
            </w:r>
          </w:p>
        </w:tc>
      </w:tr>
      <w:tr w:rsidR="004D71D1" w:rsidRPr="003E3EAE" w14:paraId="2EB8A336" w14:textId="77777777" w:rsidTr="003E3EAE">
        <w:trPr>
          <w:cantSplit/>
          <w:jc w:val="center"/>
        </w:trPr>
        <w:tc>
          <w:tcPr>
            <w:tcW w:w="260" w:type="dxa"/>
            <w:tcBorders>
              <w:top w:val="nil"/>
              <w:left w:val="single" w:sz="2" w:space="0" w:color="A6A6A6" w:themeColor="background1" w:themeShade="A6"/>
              <w:bottom w:val="nil"/>
            </w:tcBorders>
            <w:shd w:val="clear" w:color="auto" w:fill="auto"/>
            <w:vAlign w:val="center"/>
            <w:hideMark/>
          </w:tcPr>
          <w:p w14:paraId="063CF95A" w14:textId="392346C0" w:rsidR="004D71D1" w:rsidRPr="003E3EAE" w:rsidRDefault="004D71D1" w:rsidP="00587DEA">
            <w:pPr>
              <w:spacing w:after="0" w:line="276" w:lineRule="auto"/>
              <w:rPr>
                <w:rFonts w:cs="Arial"/>
                <w:color w:val="000000"/>
                <w:sz w:val="16"/>
                <w:szCs w:val="16"/>
              </w:rPr>
            </w:pPr>
          </w:p>
        </w:tc>
        <w:tc>
          <w:tcPr>
            <w:tcW w:w="6260" w:type="dxa"/>
            <w:gridSpan w:val="2"/>
            <w:tcBorders>
              <w:top w:val="nil"/>
              <w:bottom w:val="nil"/>
            </w:tcBorders>
            <w:shd w:val="clear" w:color="auto" w:fill="auto"/>
            <w:vAlign w:val="center"/>
            <w:hideMark/>
          </w:tcPr>
          <w:p w14:paraId="6C369E6D" w14:textId="786FD061" w:rsidR="004D71D1" w:rsidRPr="003E3EAE" w:rsidRDefault="004D71D1" w:rsidP="009E0294">
            <w:pPr>
              <w:tabs>
                <w:tab w:val="left" w:pos="250"/>
              </w:tabs>
              <w:spacing w:after="0" w:line="276" w:lineRule="auto"/>
              <w:jc w:val="left"/>
              <w:rPr>
                <w:rFonts w:cs="Arial"/>
                <w:b/>
                <w:bCs/>
                <w:color w:val="000000"/>
                <w:sz w:val="16"/>
                <w:szCs w:val="16"/>
              </w:rPr>
            </w:pPr>
            <w:r w:rsidRPr="003E3EAE">
              <w:rPr>
                <w:rFonts w:cs="Arial"/>
                <w:b/>
                <w:bCs/>
                <w:color w:val="000000"/>
                <w:sz w:val="16"/>
                <w:szCs w:val="16"/>
              </w:rPr>
              <w:t>IV.</w:t>
            </w:r>
            <w:r w:rsidR="009E0294">
              <w:rPr>
                <w:rFonts w:cs="Arial"/>
                <w:b/>
                <w:bCs/>
                <w:color w:val="000000"/>
                <w:sz w:val="16"/>
                <w:szCs w:val="16"/>
              </w:rPr>
              <w:tab/>
            </w:r>
            <w:r w:rsidRPr="003E3EAE">
              <w:rPr>
                <w:rFonts w:cs="Arial"/>
                <w:b/>
                <w:bCs/>
                <w:color w:val="000000"/>
                <w:sz w:val="16"/>
                <w:szCs w:val="16"/>
              </w:rPr>
              <w:t>Λοιπές επιχορηγήσεις σε ΟΤΑ α’ βαθμού</w:t>
            </w:r>
          </w:p>
        </w:tc>
        <w:tc>
          <w:tcPr>
            <w:tcW w:w="1180" w:type="dxa"/>
            <w:tcBorders>
              <w:top w:val="nil"/>
              <w:bottom w:val="nil"/>
            </w:tcBorders>
            <w:shd w:val="clear" w:color="auto" w:fill="auto"/>
            <w:vAlign w:val="center"/>
            <w:hideMark/>
          </w:tcPr>
          <w:p w14:paraId="0668A64D"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64</w:t>
            </w:r>
          </w:p>
        </w:tc>
        <w:tc>
          <w:tcPr>
            <w:tcW w:w="1160" w:type="dxa"/>
            <w:tcBorders>
              <w:top w:val="nil"/>
              <w:bottom w:val="nil"/>
              <w:right w:val="single" w:sz="2" w:space="0" w:color="A6A6A6" w:themeColor="background1" w:themeShade="A6"/>
            </w:tcBorders>
            <w:shd w:val="clear" w:color="auto" w:fill="auto"/>
            <w:vAlign w:val="center"/>
            <w:hideMark/>
          </w:tcPr>
          <w:p w14:paraId="77C07E42"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0</w:t>
            </w:r>
          </w:p>
        </w:tc>
      </w:tr>
      <w:tr w:rsidR="004D71D1" w:rsidRPr="003E3EAE" w14:paraId="38E25E98" w14:textId="77777777" w:rsidTr="003E3EAE">
        <w:trPr>
          <w:cantSplit/>
          <w:jc w:val="center"/>
        </w:trPr>
        <w:tc>
          <w:tcPr>
            <w:tcW w:w="260" w:type="dxa"/>
            <w:tcBorders>
              <w:top w:val="nil"/>
              <w:left w:val="single" w:sz="2" w:space="0" w:color="A6A6A6" w:themeColor="background1" w:themeShade="A6"/>
              <w:bottom w:val="nil"/>
            </w:tcBorders>
            <w:shd w:val="clear" w:color="auto" w:fill="auto"/>
            <w:vAlign w:val="center"/>
          </w:tcPr>
          <w:p w14:paraId="7C5A248E" w14:textId="195E001B" w:rsidR="004D71D1" w:rsidRPr="003E3EAE" w:rsidRDefault="004D71D1" w:rsidP="00587DEA">
            <w:pPr>
              <w:spacing w:after="0" w:line="276" w:lineRule="auto"/>
              <w:rPr>
                <w:rFonts w:cs="Arial"/>
                <w:color w:val="000000"/>
                <w:sz w:val="16"/>
                <w:szCs w:val="16"/>
              </w:rPr>
            </w:pPr>
          </w:p>
        </w:tc>
        <w:tc>
          <w:tcPr>
            <w:tcW w:w="340" w:type="dxa"/>
            <w:tcBorders>
              <w:top w:val="nil"/>
              <w:bottom w:val="nil"/>
            </w:tcBorders>
            <w:shd w:val="clear" w:color="auto" w:fill="auto"/>
            <w:vAlign w:val="center"/>
            <w:hideMark/>
          </w:tcPr>
          <w:p w14:paraId="293968E7"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shd w:val="clear" w:color="auto" w:fill="auto"/>
            <w:vAlign w:val="center"/>
            <w:hideMark/>
          </w:tcPr>
          <w:p w14:paraId="1A7A2F93" w14:textId="20E673C7"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α.</w:t>
            </w:r>
            <w:r w:rsidR="000A3EB5">
              <w:rPr>
                <w:rFonts w:cs="Arial"/>
                <w:i/>
                <w:iCs/>
                <w:color w:val="000000"/>
                <w:sz w:val="16"/>
                <w:szCs w:val="16"/>
              </w:rPr>
              <w:t xml:space="preserve"> </w:t>
            </w:r>
            <w:r w:rsidR="00ED0023" w:rsidRPr="003E3EAE">
              <w:rPr>
                <w:rFonts w:cs="Arial"/>
                <w:i/>
                <w:iCs/>
                <w:color w:val="000000"/>
                <w:sz w:val="16"/>
                <w:szCs w:val="16"/>
              </w:rPr>
              <w:t>γ</w:t>
            </w:r>
            <w:r w:rsidRPr="003E3EAE">
              <w:rPr>
                <w:rFonts w:cs="Arial"/>
                <w:i/>
                <w:iCs/>
                <w:color w:val="000000"/>
                <w:sz w:val="16"/>
                <w:szCs w:val="16"/>
              </w:rPr>
              <w:t>ια την εξόφληση εκκρεμών και ληξιπρόθεσμων υποχρεώσεων προς τρίτους στον Ενιαίο Διαβαθμικό Σύνδεσμο Ν. Αττικής</w:t>
            </w:r>
          </w:p>
        </w:tc>
        <w:tc>
          <w:tcPr>
            <w:tcW w:w="1180" w:type="dxa"/>
            <w:tcBorders>
              <w:top w:val="nil"/>
              <w:bottom w:val="nil"/>
            </w:tcBorders>
            <w:shd w:val="clear" w:color="auto" w:fill="auto"/>
            <w:vAlign w:val="center"/>
            <w:hideMark/>
          </w:tcPr>
          <w:p w14:paraId="5C7FE315"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48</w:t>
            </w:r>
          </w:p>
        </w:tc>
        <w:tc>
          <w:tcPr>
            <w:tcW w:w="1160" w:type="dxa"/>
            <w:tcBorders>
              <w:top w:val="nil"/>
              <w:bottom w:val="nil"/>
              <w:right w:val="single" w:sz="2" w:space="0" w:color="A6A6A6" w:themeColor="background1" w:themeShade="A6"/>
            </w:tcBorders>
            <w:shd w:val="clear" w:color="auto" w:fill="auto"/>
            <w:vAlign w:val="center"/>
            <w:hideMark/>
          </w:tcPr>
          <w:p w14:paraId="31377DD0" w14:textId="3577A7A3" w:rsidR="004D71D1" w:rsidRPr="003E3EAE" w:rsidRDefault="004D71D1" w:rsidP="003E3EAE">
            <w:pPr>
              <w:spacing w:after="0" w:line="276" w:lineRule="auto"/>
              <w:jc w:val="right"/>
              <w:rPr>
                <w:rFonts w:cs="Arial"/>
                <w:i/>
                <w:iCs/>
                <w:color w:val="000000"/>
                <w:sz w:val="16"/>
                <w:szCs w:val="16"/>
              </w:rPr>
            </w:pPr>
          </w:p>
        </w:tc>
      </w:tr>
      <w:tr w:rsidR="004D71D1" w:rsidRPr="003E3EAE" w14:paraId="310C1FB7" w14:textId="77777777" w:rsidTr="003E3EAE">
        <w:trPr>
          <w:cantSplit/>
          <w:jc w:val="center"/>
        </w:trPr>
        <w:tc>
          <w:tcPr>
            <w:tcW w:w="260" w:type="dxa"/>
            <w:tcBorders>
              <w:top w:val="nil"/>
              <w:left w:val="single" w:sz="2" w:space="0" w:color="A6A6A6" w:themeColor="background1" w:themeShade="A6"/>
              <w:bottom w:val="nil"/>
            </w:tcBorders>
            <w:shd w:val="clear" w:color="auto" w:fill="auto"/>
            <w:vAlign w:val="center"/>
          </w:tcPr>
          <w:p w14:paraId="5F53B260" w14:textId="4636C2CE" w:rsidR="004D71D1" w:rsidRPr="003E3EAE" w:rsidRDefault="004D71D1" w:rsidP="00587DEA">
            <w:pPr>
              <w:spacing w:after="0" w:line="276" w:lineRule="auto"/>
              <w:rPr>
                <w:rFonts w:cs="Arial"/>
                <w:color w:val="000000"/>
                <w:sz w:val="16"/>
                <w:szCs w:val="16"/>
              </w:rPr>
            </w:pPr>
          </w:p>
        </w:tc>
        <w:tc>
          <w:tcPr>
            <w:tcW w:w="340" w:type="dxa"/>
            <w:tcBorders>
              <w:top w:val="nil"/>
              <w:bottom w:val="nil"/>
            </w:tcBorders>
            <w:shd w:val="clear" w:color="auto" w:fill="auto"/>
            <w:vAlign w:val="center"/>
            <w:hideMark/>
          </w:tcPr>
          <w:p w14:paraId="28EEFFD1"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shd w:val="clear" w:color="auto" w:fill="auto"/>
            <w:vAlign w:val="center"/>
            <w:hideMark/>
          </w:tcPr>
          <w:p w14:paraId="73D8C0D3" w14:textId="65EA77AF"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 xml:space="preserve">β. </w:t>
            </w:r>
            <w:r w:rsidR="00ED0023" w:rsidRPr="003E3EAE">
              <w:rPr>
                <w:rFonts w:cs="Arial"/>
                <w:i/>
                <w:iCs/>
                <w:color w:val="000000"/>
                <w:sz w:val="16"/>
                <w:szCs w:val="16"/>
              </w:rPr>
              <w:t>σ</w:t>
            </w:r>
            <w:r w:rsidRPr="003E3EAE">
              <w:rPr>
                <w:rFonts w:cs="Arial"/>
                <w:i/>
                <w:iCs/>
                <w:color w:val="000000"/>
                <w:sz w:val="16"/>
                <w:szCs w:val="16"/>
              </w:rPr>
              <w:t>τους Δήμους Ηρακλείου Κρήτης, Ιεράς Πόλης του Μεσολογγίου και Ζηρού (</w:t>
            </w:r>
            <w:r w:rsidR="00D70C5E">
              <w:rPr>
                <w:rFonts w:cs="Arial"/>
                <w:i/>
                <w:iCs/>
                <w:color w:val="000000"/>
                <w:sz w:val="16"/>
                <w:szCs w:val="16"/>
              </w:rPr>
              <w:t>άρθρο</w:t>
            </w:r>
            <w:r w:rsidR="000A3EB5">
              <w:rPr>
                <w:rFonts w:cs="Arial"/>
                <w:i/>
                <w:iCs/>
                <w:color w:val="000000"/>
                <w:sz w:val="16"/>
                <w:szCs w:val="16"/>
              </w:rPr>
              <w:t xml:space="preserve"> </w:t>
            </w:r>
            <w:r w:rsidRPr="003E3EAE">
              <w:rPr>
                <w:rFonts w:cs="Arial"/>
                <w:i/>
                <w:iCs/>
                <w:color w:val="000000"/>
                <w:sz w:val="16"/>
                <w:szCs w:val="16"/>
              </w:rPr>
              <w:t>115 του ν.5225/2025)</w:t>
            </w:r>
          </w:p>
        </w:tc>
        <w:tc>
          <w:tcPr>
            <w:tcW w:w="1180" w:type="dxa"/>
            <w:tcBorders>
              <w:top w:val="nil"/>
              <w:bottom w:val="nil"/>
            </w:tcBorders>
            <w:shd w:val="clear" w:color="auto" w:fill="auto"/>
            <w:vAlign w:val="center"/>
            <w:hideMark/>
          </w:tcPr>
          <w:p w14:paraId="5D6A5EEE"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13</w:t>
            </w:r>
          </w:p>
        </w:tc>
        <w:tc>
          <w:tcPr>
            <w:tcW w:w="1160" w:type="dxa"/>
            <w:tcBorders>
              <w:top w:val="nil"/>
              <w:bottom w:val="nil"/>
              <w:right w:val="single" w:sz="2" w:space="0" w:color="A6A6A6" w:themeColor="background1" w:themeShade="A6"/>
            </w:tcBorders>
            <w:shd w:val="clear" w:color="auto" w:fill="auto"/>
            <w:vAlign w:val="center"/>
            <w:hideMark/>
          </w:tcPr>
          <w:p w14:paraId="54C8A91A" w14:textId="4A66F26E" w:rsidR="004D71D1" w:rsidRPr="003E3EAE" w:rsidRDefault="004D71D1" w:rsidP="003E3EAE">
            <w:pPr>
              <w:spacing w:after="0" w:line="276" w:lineRule="auto"/>
              <w:jc w:val="right"/>
              <w:rPr>
                <w:rFonts w:cs="Arial"/>
                <w:i/>
                <w:iCs/>
                <w:color w:val="000000"/>
                <w:sz w:val="16"/>
                <w:szCs w:val="16"/>
              </w:rPr>
            </w:pPr>
          </w:p>
        </w:tc>
      </w:tr>
      <w:tr w:rsidR="004D71D1" w:rsidRPr="003E3EAE" w14:paraId="05791A08" w14:textId="77777777" w:rsidTr="003E3EAE">
        <w:trPr>
          <w:cantSplit/>
          <w:jc w:val="center"/>
        </w:trPr>
        <w:tc>
          <w:tcPr>
            <w:tcW w:w="260" w:type="dxa"/>
            <w:tcBorders>
              <w:top w:val="nil"/>
              <w:left w:val="single" w:sz="2" w:space="0" w:color="A6A6A6" w:themeColor="background1" w:themeShade="A6"/>
              <w:bottom w:val="nil"/>
            </w:tcBorders>
            <w:shd w:val="clear" w:color="auto" w:fill="auto"/>
            <w:vAlign w:val="center"/>
            <w:hideMark/>
          </w:tcPr>
          <w:p w14:paraId="39297E15" w14:textId="3DDC3F1D" w:rsidR="004D71D1" w:rsidRPr="003E3EAE" w:rsidRDefault="004D71D1" w:rsidP="00587DEA">
            <w:pPr>
              <w:spacing w:after="0" w:line="276" w:lineRule="auto"/>
              <w:rPr>
                <w:rFonts w:cs="Arial"/>
                <w:color w:val="000000"/>
                <w:sz w:val="16"/>
                <w:szCs w:val="16"/>
              </w:rPr>
            </w:pPr>
          </w:p>
        </w:tc>
        <w:tc>
          <w:tcPr>
            <w:tcW w:w="340" w:type="dxa"/>
            <w:tcBorders>
              <w:top w:val="nil"/>
              <w:bottom w:val="nil"/>
            </w:tcBorders>
            <w:shd w:val="clear" w:color="auto" w:fill="auto"/>
            <w:vAlign w:val="center"/>
            <w:hideMark/>
          </w:tcPr>
          <w:p w14:paraId="07D6B3DD"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shd w:val="clear" w:color="auto" w:fill="auto"/>
            <w:vAlign w:val="center"/>
            <w:hideMark/>
          </w:tcPr>
          <w:p w14:paraId="52BEDCA8" w14:textId="77777777"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γ. για δαπάνες καθαριότητας σε ΔΙΕΚ, ΣΔΕ</w:t>
            </w:r>
          </w:p>
        </w:tc>
        <w:tc>
          <w:tcPr>
            <w:tcW w:w="1180" w:type="dxa"/>
            <w:tcBorders>
              <w:top w:val="nil"/>
              <w:bottom w:val="nil"/>
            </w:tcBorders>
            <w:shd w:val="clear" w:color="auto" w:fill="auto"/>
            <w:vAlign w:val="center"/>
            <w:hideMark/>
          </w:tcPr>
          <w:p w14:paraId="7F23FBC9"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3</w:t>
            </w:r>
          </w:p>
        </w:tc>
        <w:tc>
          <w:tcPr>
            <w:tcW w:w="1160" w:type="dxa"/>
            <w:tcBorders>
              <w:top w:val="nil"/>
              <w:bottom w:val="nil"/>
              <w:right w:val="single" w:sz="2" w:space="0" w:color="A6A6A6" w:themeColor="background1" w:themeShade="A6"/>
            </w:tcBorders>
            <w:shd w:val="clear" w:color="auto" w:fill="auto"/>
            <w:vAlign w:val="center"/>
            <w:hideMark/>
          </w:tcPr>
          <w:p w14:paraId="227F374C" w14:textId="6A6F341C" w:rsidR="004D71D1" w:rsidRPr="003E3EAE" w:rsidRDefault="004D71D1" w:rsidP="003E3EAE">
            <w:pPr>
              <w:spacing w:after="0" w:line="276" w:lineRule="auto"/>
              <w:jc w:val="right"/>
              <w:rPr>
                <w:rFonts w:cs="Arial"/>
                <w:i/>
                <w:iCs/>
                <w:color w:val="000000"/>
                <w:sz w:val="16"/>
                <w:szCs w:val="16"/>
              </w:rPr>
            </w:pPr>
          </w:p>
        </w:tc>
      </w:tr>
      <w:tr w:rsidR="004D71D1" w:rsidRPr="003E3EAE" w14:paraId="6ACC19C5" w14:textId="77777777" w:rsidTr="003E3EAE">
        <w:trPr>
          <w:cantSplit/>
          <w:trHeight w:val="227"/>
          <w:jc w:val="center"/>
        </w:trPr>
        <w:tc>
          <w:tcPr>
            <w:tcW w:w="6520" w:type="dxa"/>
            <w:gridSpan w:val="3"/>
            <w:tcBorders>
              <w:top w:val="nil"/>
              <w:left w:val="single" w:sz="2" w:space="0" w:color="A6A6A6" w:themeColor="background1" w:themeShade="A6"/>
              <w:bottom w:val="nil"/>
            </w:tcBorders>
            <w:shd w:val="clear" w:color="000000" w:fill="D5DCE4"/>
            <w:vAlign w:val="center"/>
            <w:hideMark/>
          </w:tcPr>
          <w:p w14:paraId="11E859F5" w14:textId="3128775D" w:rsidR="004D71D1" w:rsidRPr="003E3EAE" w:rsidRDefault="004D71D1" w:rsidP="009E0294">
            <w:pPr>
              <w:tabs>
                <w:tab w:val="left" w:pos="249"/>
              </w:tabs>
              <w:spacing w:after="0" w:line="276" w:lineRule="auto"/>
              <w:jc w:val="left"/>
              <w:rPr>
                <w:rFonts w:cs="Arial"/>
                <w:b/>
                <w:bCs/>
                <w:color w:val="000000"/>
                <w:sz w:val="16"/>
                <w:szCs w:val="16"/>
              </w:rPr>
            </w:pPr>
            <w:r w:rsidRPr="003E3EAE">
              <w:rPr>
                <w:rFonts w:cs="Arial"/>
                <w:b/>
                <w:bCs/>
                <w:color w:val="000000"/>
                <w:sz w:val="16"/>
                <w:szCs w:val="16"/>
              </w:rPr>
              <w:t>Β.</w:t>
            </w:r>
            <w:r w:rsidR="009E0294">
              <w:rPr>
                <w:rFonts w:cs="Arial"/>
                <w:b/>
                <w:bCs/>
                <w:color w:val="000000"/>
                <w:sz w:val="16"/>
                <w:szCs w:val="16"/>
              </w:rPr>
              <w:tab/>
            </w:r>
            <w:r w:rsidRPr="003E3EAE">
              <w:rPr>
                <w:rFonts w:cs="Arial"/>
                <w:b/>
                <w:bCs/>
                <w:color w:val="000000"/>
                <w:sz w:val="16"/>
                <w:szCs w:val="16"/>
              </w:rPr>
              <w:t>Μεταβιβάσεις σε ΟΤΑ β’ βαθμού - Περιφέρειες (Ι + ΙΙ)</w:t>
            </w:r>
          </w:p>
        </w:tc>
        <w:tc>
          <w:tcPr>
            <w:tcW w:w="1180" w:type="dxa"/>
            <w:tcBorders>
              <w:top w:val="nil"/>
              <w:bottom w:val="nil"/>
            </w:tcBorders>
            <w:shd w:val="clear" w:color="000000" w:fill="D5DCE4"/>
            <w:vAlign w:val="center"/>
            <w:hideMark/>
          </w:tcPr>
          <w:p w14:paraId="19CFD68F"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766</w:t>
            </w:r>
          </w:p>
        </w:tc>
        <w:tc>
          <w:tcPr>
            <w:tcW w:w="1160" w:type="dxa"/>
            <w:tcBorders>
              <w:top w:val="nil"/>
              <w:bottom w:val="nil"/>
              <w:right w:val="single" w:sz="2" w:space="0" w:color="A6A6A6" w:themeColor="background1" w:themeShade="A6"/>
            </w:tcBorders>
            <w:shd w:val="clear" w:color="000000" w:fill="D5DCE4"/>
            <w:vAlign w:val="center"/>
            <w:hideMark/>
          </w:tcPr>
          <w:p w14:paraId="5566FB86"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809</w:t>
            </w:r>
          </w:p>
        </w:tc>
      </w:tr>
      <w:tr w:rsidR="004D71D1" w:rsidRPr="003E3EAE" w14:paraId="5373A38D" w14:textId="77777777" w:rsidTr="003E3EAE">
        <w:trPr>
          <w:cantSplit/>
          <w:jc w:val="center"/>
        </w:trPr>
        <w:tc>
          <w:tcPr>
            <w:tcW w:w="260" w:type="dxa"/>
            <w:tcBorders>
              <w:top w:val="nil"/>
              <w:left w:val="single" w:sz="2" w:space="0" w:color="A6A6A6" w:themeColor="background1" w:themeShade="A6"/>
              <w:bottom w:val="nil"/>
            </w:tcBorders>
            <w:shd w:val="clear" w:color="auto" w:fill="auto"/>
            <w:vAlign w:val="center"/>
          </w:tcPr>
          <w:p w14:paraId="33058F75" w14:textId="456E130D" w:rsidR="004D71D1" w:rsidRPr="003E3EAE" w:rsidRDefault="004D71D1" w:rsidP="00587DEA">
            <w:pPr>
              <w:spacing w:after="0" w:line="276" w:lineRule="auto"/>
              <w:rPr>
                <w:rFonts w:cs="Arial"/>
                <w:color w:val="000000"/>
                <w:sz w:val="16"/>
                <w:szCs w:val="16"/>
              </w:rPr>
            </w:pPr>
          </w:p>
        </w:tc>
        <w:tc>
          <w:tcPr>
            <w:tcW w:w="6260" w:type="dxa"/>
            <w:gridSpan w:val="2"/>
            <w:tcBorders>
              <w:top w:val="nil"/>
              <w:bottom w:val="nil"/>
            </w:tcBorders>
            <w:shd w:val="clear" w:color="auto" w:fill="auto"/>
            <w:vAlign w:val="center"/>
            <w:hideMark/>
          </w:tcPr>
          <w:p w14:paraId="775D3CC3" w14:textId="110BCE95" w:rsidR="004D71D1" w:rsidRPr="003E3EAE" w:rsidRDefault="004D71D1" w:rsidP="009E0294">
            <w:pPr>
              <w:tabs>
                <w:tab w:val="left" w:pos="250"/>
              </w:tabs>
              <w:spacing w:after="0" w:line="276" w:lineRule="auto"/>
              <w:jc w:val="left"/>
              <w:rPr>
                <w:rFonts w:cs="Arial"/>
                <w:b/>
                <w:bCs/>
                <w:color w:val="000000"/>
                <w:sz w:val="16"/>
                <w:szCs w:val="16"/>
              </w:rPr>
            </w:pPr>
            <w:r w:rsidRPr="003E3EAE">
              <w:rPr>
                <w:rFonts w:cs="Arial"/>
                <w:b/>
                <w:bCs/>
                <w:color w:val="000000"/>
                <w:sz w:val="16"/>
                <w:szCs w:val="16"/>
              </w:rPr>
              <w:t>Ι.</w:t>
            </w:r>
            <w:r w:rsidR="009E0294">
              <w:rPr>
                <w:rFonts w:cs="Arial"/>
                <w:b/>
                <w:bCs/>
                <w:color w:val="000000"/>
                <w:sz w:val="16"/>
                <w:szCs w:val="16"/>
              </w:rPr>
              <w:tab/>
            </w:r>
            <w:r w:rsidRPr="003E3EAE">
              <w:rPr>
                <w:rFonts w:cs="Arial"/>
                <w:b/>
                <w:bCs/>
                <w:color w:val="000000"/>
                <w:sz w:val="16"/>
                <w:szCs w:val="16"/>
              </w:rPr>
              <w:t>Αποδόσεις ΚΑΠ Περιφερειών (α + β)</w:t>
            </w:r>
            <w:r w:rsidRPr="003E3EAE">
              <w:rPr>
                <w:rFonts w:cs="Arial"/>
                <w:b/>
                <w:bCs/>
                <w:color w:val="000000"/>
                <w:sz w:val="16"/>
                <w:szCs w:val="16"/>
                <w:vertAlign w:val="superscript"/>
              </w:rPr>
              <w:t>1</w:t>
            </w:r>
          </w:p>
        </w:tc>
        <w:tc>
          <w:tcPr>
            <w:tcW w:w="1180" w:type="dxa"/>
            <w:tcBorders>
              <w:top w:val="nil"/>
              <w:bottom w:val="nil"/>
            </w:tcBorders>
            <w:shd w:val="clear" w:color="auto" w:fill="auto"/>
            <w:vAlign w:val="center"/>
            <w:hideMark/>
          </w:tcPr>
          <w:p w14:paraId="4EF10D0F"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765</w:t>
            </w:r>
          </w:p>
        </w:tc>
        <w:tc>
          <w:tcPr>
            <w:tcW w:w="1160" w:type="dxa"/>
            <w:tcBorders>
              <w:top w:val="nil"/>
              <w:bottom w:val="nil"/>
              <w:right w:val="single" w:sz="2" w:space="0" w:color="A6A6A6" w:themeColor="background1" w:themeShade="A6"/>
            </w:tcBorders>
            <w:shd w:val="clear" w:color="auto" w:fill="auto"/>
            <w:vAlign w:val="center"/>
            <w:hideMark/>
          </w:tcPr>
          <w:p w14:paraId="108EDAFC"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809</w:t>
            </w:r>
          </w:p>
        </w:tc>
      </w:tr>
      <w:tr w:rsidR="004D71D1" w:rsidRPr="003E3EAE" w14:paraId="4AAC5E4C" w14:textId="77777777" w:rsidTr="003E3EAE">
        <w:trPr>
          <w:cantSplit/>
          <w:jc w:val="center"/>
        </w:trPr>
        <w:tc>
          <w:tcPr>
            <w:tcW w:w="260" w:type="dxa"/>
            <w:tcBorders>
              <w:top w:val="nil"/>
              <w:left w:val="single" w:sz="2" w:space="0" w:color="A6A6A6" w:themeColor="background1" w:themeShade="A6"/>
              <w:bottom w:val="nil"/>
            </w:tcBorders>
            <w:shd w:val="clear" w:color="auto" w:fill="auto"/>
            <w:vAlign w:val="center"/>
          </w:tcPr>
          <w:p w14:paraId="1656464C" w14:textId="2ADDB98F" w:rsidR="004D71D1" w:rsidRPr="003E3EAE" w:rsidRDefault="004D71D1" w:rsidP="00587DEA">
            <w:pPr>
              <w:spacing w:after="0" w:line="276" w:lineRule="auto"/>
              <w:rPr>
                <w:rFonts w:cs="Arial"/>
                <w:color w:val="000000"/>
                <w:sz w:val="16"/>
                <w:szCs w:val="16"/>
              </w:rPr>
            </w:pPr>
          </w:p>
        </w:tc>
        <w:tc>
          <w:tcPr>
            <w:tcW w:w="340" w:type="dxa"/>
            <w:tcBorders>
              <w:top w:val="nil"/>
              <w:bottom w:val="nil"/>
            </w:tcBorders>
            <w:shd w:val="clear" w:color="auto" w:fill="auto"/>
            <w:vAlign w:val="center"/>
            <w:hideMark/>
          </w:tcPr>
          <w:p w14:paraId="06D37E92"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shd w:val="clear" w:color="auto" w:fill="auto"/>
            <w:vAlign w:val="center"/>
            <w:hideMark/>
          </w:tcPr>
          <w:p w14:paraId="7AAB59EA" w14:textId="097C4DC0"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 xml:space="preserve">α. </w:t>
            </w:r>
            <w:r w:rsidR="00ED0023" w:rsidRPr="003E3EAE">
              <w:rPr>
                <w:rFonts w:cs="Arial"/>
                <w:i/>
                <w:iCs/>
                <w:color w:val="000000"/>
                <w:sz w:val="16"/>
                <w:szCs w:val="16"/>
              </w:rPr>
              <w:t>α</w:t>
            </w:r>
            <w:r w:rsidRPr="003E3EAE">
              <w:rPr>
                <w:rFonts w:cs="Arial"/>
                <w:i/>
                <w:iCs/>
                <w:color w:val="000000"/>
                <w:sz w:val="16"/>
                <w:szCs w:val="16"/>
              </w:rPr>
              <w:t>πόδοση στις Περιφέρειες ποσοστού επί του φόρου προστιθέμενης αξίας</w:t>
            </w:r>
          </w:p>
        </w:tc>
        <w:tc>
          <w:tcPr>
            <w:tcW w:w="1180" w:type="dxa"/>
            <w:tcBorders>
              <w:top w:val="nil"/>
              <w:bottom w:val="nil"/>
            </w:tcBorders>
            <w:shd w:val="clear" w:color="auto" w:fill="auto"/>
            <w:vAlign w:val="center"/>
            <w:hideMark/>
          </w:tcPr>
          <w:p w14:paraId="1AA54CAA"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265</w:t>
            </w:r>
          </w:p>
        </w:tc>
        <w:tc>
          <w:tcPr>
            <w:tcW w:w="1160" w:type="dxa"/>
            <w:tcBorders>
              <w:top w:val="nil"/>
              <w:bottom w:val="nil"/>
              <w:right w:val="single" w:sz="2" w:space="0" w:color="A6A6A6" w:themeColor="background1" w:themeShade="A6"/>
            </w:tcBorders>
            <w:shd w:val="clear" w:color="auto" w:fill="auto"/>
            <w:vAlign w:val="center"/>
            <w:hideMark/>
          </w:tcPr>
          <w:p w14:paraId="527AC38A"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295</w:t>
            </w:r>
          </w:p>
        </w:tc>
      </w:tr>
      <w:tr w:rsidR="004D71D1" w:rsidRPr="003E3EAE" w14:paraId="7374DD2B" w14:textId="77777777" w:rsidTr="003E3EAE">
        <w:trPr>
          <w:cantSplit/>
          <w:jc w:val="center"/>
        </w:trPr>
        <w:tc>
          <w:tcPr>
            <w:tcW w:w="260" w:type="dxa"/>
            <w:tcBorders>
              <w:top w:val="nil"/>
              <w:left w:val="single" w:sz="2" w:space="0" w:color="A6A6A6" w:themeColor="background1" w:themeShade="A6"/>
              <w:bottom w:val="nil"/>
            </w:tcBorders>
            <w:shd w:val="clear" w:color="auto" w:fill="auto"/>
            <w:vAlign w:val="center"/>
          </w:tcPr>
          <w:p w14:paraId="51AA694B" w14:textId="172462A4" w:rsidR="004D71D1" w:rsidRPr="003E3EAE" w:rsidRDefault="004D71D1" w:rsidP="00587DEA">
            <w:pPr>
              <w:spacing w:after="0" w:line="276" w:lineRule="auto"/>
              <w:rPr>
                <w:rFonts w:cs="Arial"/>
                <w:color w:val="000000"/>
                <w:sz w:val="16"/>
                <w:szCs w:val="16"/>
              </w:rPr>
            </w:pPr>
          </w:p>
        </w:tc>
        <w:tc>
          <w:tcPr>
            <w:tcW w:w="340" w:type="dxa"/>
            <w:tcBorders>
              <w:top w:val="nil"/>
              <w:bottom w:val="nil"/>
            </w:tcBorders>
            <w:shd w:val="clear" w:color="auto" w:fill="auto"/>
            <w:vAlign w:val="center"/>
            <w:hideMark/>
          </w:tcPr>
          <w:p w14:paraId="11963A5D"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shd w:val="clear" w:color="auto" w:fill="auto"/>
            <w:vAlign w:val="center"/>
            <w:hideMark/>
          </w:tcPr>
          <w:p w14:paraId="4B49CCA3" w14:textId="3EF7C837"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 xml:space="preserve">β. </w:t>
            </w:r>
            <w:r w:rsidR="00ED0023" w:rsidRPr="003E3EAE">
              <w:rPr>
                <w:rFonts w:cs="Arial"/>
                <w:i/>
                <w:iCs/>
                <w:color w:val="000000"/>
                <w:sz w:val="16"/>
                <w:szCs w:val="16"/>
              </w:rPr>
              <w:t>α</w:t>
            </w:r>
            <w:r w:rsidRPr="003E3EAE">
              <w:rPr>
                <w:rFonts w:cs="Arial"/>
                <w:i/>
                <w:iCs/>
                <w:color w:val="000000"/>
                <w:sz w:val="16"/>
                <w:szCs w:val="16"/>
              </w:rPr>
              <w:t>πόδοση στις Περιφέρειες ποσοστού επί των καθαρών συνολικών ετήσιων εισπράξεων του φόρου εισοδήματος φυσικών και νομικών προσώπων</w:t>
            </w:r>
          </w:p>
        </w:tc>
        <w:tc>
          <w:tcPr>
            <w:tcW w:w="1180" w:type="dxa"/>
            <w:tcBorders>
              <w:top w:val="nil"/>
              <w:bottom w:val="nil"/>
            </w:tcBorders>
            <w:shd w:val="clear" w:color="auto" w:fill="auto"/>
            <w:vAlign w:val="center"/>
            <w:hideMark/>
          </w:tcPr>
          <w:p w14:paraId="693C74A9"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500</w:t>
            </w:r>
          </w:p>
        </w:tc>
        <w:tc>
          <w:tcPr>
            <w:tcW w:w="1160" w:type="dxa"/>
            <w:tcBorders>
              <w:top w:val="nil"/>
              <w:bottom w:val="nil"/>
              <w:right w:val="single" w:sz="2" w:space="0" w:color="A6A6A6" w:themeColor="background1" w:themeShade="A6"/>
            </w:tcBorders>
            <w:shd w:val="clear" w:color="auto" w:fill="auto"/>
            <w:vAlign w:val="center"/>
            <w:hideMark/>
          </w:tcPr>
          <w:p w14:paraId="4F54635E"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514</w:t>
            </w:r>
          </w:p>
        </w:tc>
      </w:tr>
      <w:tr w:rsidR="004D71D1" w:rsidRPr="003E3EAE" w14:paraId="4E25ACC3" w14:textId="77777777" w:rsidTr="003E3EAE">
        <w:trPr>
          <w:cantSplit/>
          <w:jc w:val="center"/>
        </w:trPr>
        <w:tc>
          <w:tcPr>
            <w:tcW w:w="260" w:type="dxa"/>
            <w:tcBorders>
              <w:top w:val="nil"/>
              <w:left w:val="single" w:sz="2" w:space="0" w:color="A6A6A6" w:themeColor="background1" w:themeShade="A6"/>
              <w:bottom w:val="nil"/>
            </w:tcBorders>
            <w:shd w:val="clear" w:color="auto" w:fill="auto"/>
            <w:vAlign w:val="center"/>
          </w:tcPr>
          <w:p w14:paraId="6555BA86" w14:textId="69E8F030" w:rsidR="004D71D1" w:rsidRPr="003E3EAE" w:rsidRDefault="004D71D1" w:rsidP="00587DEA">
            <w:pPr>
              <w:spacing w:after="0" w:line="276" w:lineRule="auto"/>
              <w:rPr>
                <w:rFonts w:cs="Arial"/>
                <w:color w:val="000000"/>
                <w:sz w:val="16"/>
                <w:szCs w:val="16"/>
              </w:rPr>
            </w:pPr>
          </w:p>
        </w:tc>
        <w:tc>
          <w:tcPr>
            <w:tcW w:w="6260" w:type="dxa"/>
            <w:gridSpan w:val="2"/>
            <w:tcBorders>
              <w:top w:val="nil"/>
              <w:bottom w:val="nil"/>
            </w:tcBorders>
            <w:shd w:val="clear" w:color="auto" w:fill="auto"/>
            <w:vAlign w:val="center"/>
            <w:hideMark/>
          </w:tcPr>
          <w:p w14:paraId="24E182EB" w14:textId="79F82481" w:rsidR="004D71D1" w:rsidRPr="003E3EAE" w:rsidRDefault="004D71D1" w:rsidP="009E0294">
            <w:pPr>
              <w:tabs>
                <w:tab w:val="left" w:pos="250"/>
              </w:tabs>
              <w:spacing w:after="0" w:line="276" w:lineRule="auto"/>
              <w:jc w:val="left"/>
              <w:rPr>
                <w:rFonts w:cs="Arial"/>
                <w:b/>
                <w:bCs/>
                <w:color w:val="000000"/>
                <w:sz w:val="16"/>
                <w:szCs w:val="16"/>
              </w:rPr>
            </w:pPr>
            <w:r w:rsidRPr="003E3EAE">
              <w:rPr>
                <w:rFonts w:cs="Arial"/>
                <w:b/>
                <w:bCs/>
                <w:color w:val="000000"/>
                <w:sz w:val="16"/>
                <w:szCs w:val="16"/>
              </w:rPr>
              <w:t>II.</w:t>
            </w:r>
            <w:r w:rsidR="009E0294">
              <w:rPr>
                <w:rFonts w:cs="Arial"/>
                <w:b/>
                <w:bCs/>
                <w:color w:val="000000"/>
                <w:sz w:val="16"/>
                <w:szCs w:val="16"/>
              </w:rPr>
              <w:tab/>
            </w:r>
            <w:r w:rsidRPr="003E3EAE">
              <w:rPr>
                <w:rFonts w:cs="Arial"/>
                <w:b/>
                <w:bCs/>
                <w:color w:val="000000"/>
                <w:sz w:val="16"/>
                <w:szCs w:val="16"/>
              </w:rPr>
              <w:t>Λοιπές επιχορηγήσεις σε ΟΤΑ β’ βαθμού</w:t>
            </w:r>
          </w:p>
        </w:tc>
        <w:tc>
          <w:tcPr>
            <w:tcW w:w="1180" w:type="dxa"/>
            <w:tcBorders>
              <w:top w:val="nil"/>
              <w:bottom w:val="nil"/>
            </w:tcBorders>
            <w:shd w:val="clear" w:color="auto" w:fill="auto"/>
            <w:vAlign w:val="center"/>
            <w:hideMark/>
          </w:tcPr>
          <w:p w14:paraId="7A683BD9"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1</w:t>
            </w:r>
          </w:p>
        </w:tc>
        <w:tc>
          <w:tcPr>
            <w:tcW w:w="1160" w:type="dxa"/>
            <w:tcBorders>
              <w:top w:val="nil"/>
              <w:bottom w:val="nil"/>
              <w:right w:val="single" w:sz="2" w:space="0" w:color="A6A6A6" w:themeColor="background1" w:themeShade="A6"/>
            </w:tcBorders>
            <w:shd w:val="clear" w:color="auto" w:fill="auto"/>
            <w:vAlign w:val="center"/>
            <w:hideMark/>
          </w:tcPr>
          <w:p w14:paraId="0BCCE2CE"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0</w:t>
            </w:r>
          </w:p>
        </w:tc>
      </w:tr>
      <w:tr w:rsidR="004D71D1" w:rsidRPr="003E3EAE" w14:paraId="118E5CFD" w14:textId="77777777" w:rsidTr="003E3EAE">
        <w:trPr>
          <w:cantSplit/>
          <w:jc w:val="center"/>
        </w:trPr>
        <w:tc>
          <w:tcPr>
            <w:tcW w:w="260" w:type="dxa"/>
            <w:tcBorders>
              <w:top w:val="nil"/>
              <w:left w:val="single" w:sz="2" w:space="0" w:color="A6A6A6" w:themeColor="background1" w:themeShade="A6"/>
              <w:bottom w:val="nil"/>
            </w:tcBorders>
            <w:shd w:val="clear" w:color="auto" w:fill="auto"/>
            <w:vAlign w:val="center"/>
          </w:tcPr>
          <w:p w14:paraId="166189F6" w14:textId="28534DA3" w:rsidR="004D71D1" w:rsidRPr="003E3EAE" w:rsidRDefault="004D71D1" w:rsidP="00587DEA">
            <w:pPr>
              <w:spacing w:after="0" w:line="276" w:lineRule="auto"/>
              <w:rPr>
                <w:rFonts w:cs="Arial"/>
                <w:color w:val="000000"/>
                <w:sz w:val="16"/>
                <w:szCs w:val="16"/>
              </w:rPr>
            </w:pPr>
          </w:p>
        </w:tc>
        <w:tc>
          <w:tcPr>
            <w:tcW w:w="340" w:type="dxa"/>
            <w:tcBorders>
              <w:top w:val="nil"/>
              <w:bottom w:val="nil"/>
            </w:tcBorders>
            <w:shd w:val="clear" w:color="auto" w:fill="auto"/>
            <w:vAlign w:val="center"/>
            <w:hideMark/>
          </w:tcPr>
          <w:p w14:paraId="36F66308" w14:textId="77777777" w:rsidR="004D71D1" w:rsidRPr="003E3EAE" w:rsidRDefault="004D71D1" w:rsidP="00587DEA">
            <w:pPr>
              <w:spacing w:after="0" w:line="276" w:lineRule="auto"/>
              <w:rPr>
                <w:rFonts w:cs="Arial"/>
                <w:color w:val="000000"/>
                <w:sz w:val="16"/>
                <w:szCs w:val="16"/>
              </w:rPr>
            </w:pPr>
          </w:p>
        </w:tc>
        <w:tc>
          <w:tcPr>
            <w:tcW w:w="5920" w:type="dxa"/>
            <w:tcBorders>
              <w:top w:val="nil"/>
              <w:bottom w:val="nil"/>
            </w:tcBorders>
            <w:shd w:val="clear" w:color="auto" w:fill="auto"/>
            <w:vAlign w:val="center"/>
            <w:hideMark/>
          </w:tcPr>
          <w:p w14:paraId="2541FA62" w14:textId="7FE4A622" w:rsidR="004D71D1" w:rsidRPr="003E3EAE" w:rsidRDefault="004D71D1" w:rsidP="003E3EAE">
            <w:pPr>
              <w:spacing w:after="0" w:line="276" w:lineRule="auto"/>
              <w:jc w:val="left"/>
              <w:rPr>
                <w:rFonts w:cs="Arial"/>
                <w:i/>
                <w:iCs/>
                <w:color w:val="000000"/>
                <w:sz w:val="16"/>
                <w:szCs w:val="16"/>
              </w:rPr>
            </w:pPr>
            <w:r w:rsidRPr="003E3EAE">
              <w:rPr>
                <w:rFonts w:cs="Arial"/>
                <w:i/>
                <w:iCs/>
                <w:color w:val="000000"/>
                <w:sz w:val="16"/>
                <w:szCs w:val="16"/>
              </w:rPr>
              <w:t>Έκτακτη αποζημίωση προσωπικού κτηνιατρικών υπηρεσιών και άλλων δομών των Περιφερειών</w:t>
            </w:r>
            <w:r w:rsidR="00D70C5E">
              <w:rPr>
                <w:rFonts w:cs="Arial"/>
                <w:i/>
                <w:iCs/>
                <w:color w:val="000000"/>
                <w:sz w:val="16"/>
                <w:szCs w:val="16"/>
              </w:rPr>
              <w:t xml:space="preserve"> (</w:t>
            </w:r>
            <w:r w:rsidRPr="003E3EAE">
              <w:rPr>
                <w:rFonts w:cs="Arial"/>
                <w:i/>
                <w:iCs/>
                <w:color w:val="000000"/>
                <w:sz w:val="16"/>
                <w:szCs w:val="16"/>
              </w:rPr>
              <w:t>ν.5184/2025</w:t>
            </w:r>
            <w:r w:rsidR="00D70C5E">
              <w:rPr>
                <w:rFonts w:cs="Arial"/>
                <w:i/>
                <w:iCs/>
                <w:color w:val="000000"/>
                <w:sz w:val="16"/>
                <w:szCs w:val="16"/>
              </w:rPr>
              <w:t>)</w:t>
            </w:r>
          </w:p>
        </w:tc>
        <w:tc>
          <w:tcPr>
            <w:tcW w:w="1180" w:type="dxa"/>
            <w:tcBorders>
              <w:top w:val="nil"/>
              <w:bottom w:val="nil"/>
            </w:tcBorders>
            <w:shd w:val="clear" w:color="auto" w:fill="auto"/>
            <w:vAlign w:val="center"/>
            <w:hideMark/>
          </w:tcPr>
          <w:p w14:paraId="6F2F3839" w14:textId="77777777" w:rsidR="004D71D1" w:rsidRPr="003E3EAE" w:rsidRDefault="004D71D1" w:rsidP="003E3EAE">
            <w:pPr>
              <w:spacing w:after="0" w:line="276" w:lineRule="auto"/>
              <w:jc w:val="right"/>
              <w:rPr>
                <w:rFonts w:cs="Arial"/>
                <w:i/>
                <w:iCs/>
                <w:color w:val="000000"/>
                <w:sz w:val="16"/>
                <w:szCs w:val="16"/>
              </w:rPr>
            </w:pPr>
            <w:r w:rsidRPr="003E3EAE">
              <w:rPr>
                <w:rFonts w:cs="Arial"/>
                <w:i/>
                <w:iCs/>
                <w:color w:val="000000"/>
                <w:sz w:val="16"/>
                <w:szCs w:val="16"/>
              </w:rPr>
              <w:t>1</w:t>
            </w:r>
          </w:p>
        </w:tc>
        <w:tc>
          <w:tcPr>
            <w:tcW w:w="1160" w:type="dxa"/>
            <w:tcBorders>
              <w:top w:val="nil"/>
              <w:bottom w:val="nil"/>
              <w:right w:val="single" w:sz="2" w:space="0" w:color="A6A6A6" w:themeColor="background1" w:themeShade="A6"/>
            </w:tcBorders>
            <w:shd w:val="clear" w:color="auto" w:fill="auto"/>
            <w:vAlign w:val="center"/>
            <w:hideMark/>
          </w:tcPr>
          <w:p w14:paraId="018CCC83" w14:textId="472F0152" w:rsidR="004D71D1" w:rsidRPr="003E3EAE" w:rsidRDefault="004D71D1" w:rsidP="003E3EAE">
            <w:pPr>
              <w:spacing w:after="0" w:line="276" w:lineRule="auto"/>
              <w:jc w:val="right"/>
              <w:rPr>
                <w:rFonts w:cs="Arial"/>
                <w:i/>
                <w:iCs/>
                <w:color w:val="000000"/>
                <w:sz w:val="16"/>
                <w:szCs w:val="16"/>
              </w:rPr>
            </w:pPr>
          </w:p>
        </w:tc>
      </w:tr>
      <w:tr w:rsidR="004D71D1" w:rsidRPr="003E3EAE" w14:paraId="36937BE7" w14:textId="77777777" w:rsidTr="003E3EAE">
        <w:trPr>
          <w:cantSplit/>
          <w:trHeight w:val="227"/>
          <w:jc w:val="center"/>
        </w:trPr>
        <w:tc>
          <w:tcPr>
            <w:tcW w:w="6520" w:type="dxa"/>
            <w:gridSpan w:val="3"/>
            <w:tcBorders>
              <w:top w:val="nil"/>
              <w:left w:val="single" w:sz="2" w:space="0" w:color="A6A6A6" w:themeColor="background1" w:themeShade="A6"/>
              <w:bottom w:val="nil"/>
            </w:tcBorders>
            <w:shd w:val="clear" w:color="000000" w:fill="D5DCE4"/>
            <w:vAlign w:val="center"/>
            <w:hideMark/>
          </w:tcPr>
          <w:p w14:paraId="1D920D83" w14:textId="038635D4" w:rsidR="004D71D1" w:rsidRPr="003E3EAE" w:rsidRDefault="004D71D1" w:rsidP="009E0294">
            <w:pPr>
              <w:tabs>
                <w:tab w:val="left" w:pos="249"/>
              </w:tabs>
              <w:spacing w:after="0" w:line="276" w:lineRule="auto"/>
              <w:jc w:val="left"/>
              <w:rPr>
                <w:rFonts w:cs="Arial"/>
                <w:b/>
                <w:bCs/>
                <w:color w:val="000000"/>
                <w:sz w:val="16"/>
                <w:szCs w:val="16"/>
              </w:rPr>
            </w:pPr>
            <w:r w:rsidRPr="003E3EAE">
              <w:rPr>
                <w:rFonts w:cs="Arial"/>
                <w:b/>
                <w:bCs/>
                <w:color w:val="000000"/>
                <w:sz w:val="16"/>
                <w:szCs w:val="16"/>
              </w:rPr>
              <w:t>Γ.</w:t>
            </w:r>
            <w:r w:rsidR="009E0294">
              <w:rPr>
                <w:rFonts w:cs="Arial"/>
                <w:b/>
                <w:bCs/>
                <w:color w:val="000000"/>
                <w:sz w:val="16"/>
                <w:szCs w:val="16"/>
              </w:rPr>
              <w:tab/>
            </w:r>
            <w:r w:rsidRPr="003E3EAE">
              <w:rPr>
                <w:rFonts w:cs="Arial"/>
                <w:b/>
                <w:bCs/>
                <w:color w:val="000000"/>
                <w:sz w:val="16"/>
                <w:szCs w:val="16"/>
              </w:rPr>
              <w:t>Σύνολο αποδόσεων ΚΑΠ ΟΤΑ α’ και β’ βαθμού (Α.Ι + Β.Ι)</w:t>
            </w:r>
          </w:p>
        </w:tc>
        <w:tc>
          <w:tcPr>
            <w:tcW w:w="1180" w:type="dxa"/>
            <w:tcBorders>
              <w:top w:val="nil"/>
              <w:bottom w:val="nil"/>
            </w:tcBorders>
            <w:shd w:val="clear" w:color="000000" w:fill="D5DCE4"/>
            <w:vAlign w:val="center"/>
            <w:hideMark/>
          </w:tcPr>
          <w:p w14:paraId="071D1107"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3.211</w:t>
            </w:r>
          </w:p>
        </w:tc>
        <w:tc>
          <w:tcPr>
            <w:tcW w:w="1160" w:type="dxa"/>
            <w:tcBorders>
              <w:top w:val="nil"/>
              <w:bottom w:val="nil"/>
              <w:right w:val="single" w:sz="2" w:space="0" w:color="A6A6A6" w:themeColor="background1" w:themeShade="A6"/>
            </w:tcBorders>
            <w:shd w:val="clear" w:color="000000" w:fill="D5DCE4"/>
            <w:vAlign w:val="center"/>
            <w:hideMark/>
          </w:tcPr>
          <w:p w14:paraId="0122FEBE"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3.336</w:t>
            </w:r>
          </w:p>
        </w:tc>
      </w:tr>
      <w:tr w:rsidR="004D71D1" w:rsidRPr="003E3EAE" w14:paraId="70D85C39" w14:textId="77777777" w:rsidTr="003E3EAE">
        <w:trPr>
          <w:cantSplit/>
          <w:trHeight w:val="227"/>
          <w:jc w:val="center"/>
        </w:trPr>
        <w:tc>
          <w:tcPr>
            <w:tcW w:w="6520" w:type="dxa"/>
            <w:gridSpan w:val="3"/>
            <w:tcBorders>
              <w:top w:val="nil"/>
              <w:left w:val="single" w:sz="2" w:space="0" w:color="A6A6A6" w:themeColor="background1" w:themeShade="A6"/>
              <w:bottom w:val="single" w:sz="2" w:space="0" w:color="A6A6A6" w:themeColor="background1" w:themeShade="A6"/>
            </w:tcBorders>
            <w:shd w:val="clear" w:color="000000" w:fill="D5DCE4"/>
            <w:vAlign w:val="center"/>
            <w:hideMark/>
          </w:tcPr>
          <w:p w14:paraId="530529F1" w14:textId="4B02DB95" w:rsidR="004D71D1" w:rsidRPr="003E3EAE" w:rsidRDefault="004D71D1" w:rsidP="009E0294">
            <w:pPr>
              <w:tabs>
                <w:tab w:val="left" w:pos="249"/>
              </w:tabs>
              <w:spacing w:after="0" w:line="276" w:lineRule="auto"/>
              <w:jc w:val="left"/>
              <w:rPr>
                <w:rFonts w:cs="Arial"/>
                <w:b/>
                <w:bCs/>
                <w:color w:val="000000"/>
                <w:sz w:val="16"/>
                <w:szCs w:val="16"/>
              </w:rPr>
            </w:pPr>
            <w:r w:rsidRPr="003E3EAE">
              <w:rPr>
                <w:rFonts w:cs="Arial"/>
                <w:b/>
                <w:bCs/>
                <w:color w:val="000000"/>
                <w:sz w:val="16"/>
                <w:szCs w:val="16"/>
              </w:rPr>
              <w:t>Δ.</w:t>
            </w:r>
            <w:r w:rsidR="009E0294">
              <w:rPr>
                <w:rFonts w:cs="Arial"/>
                <w:b/>
                <w:bCs/>
                <w:color w:val="000000"/>
                <w:sz w:val="16"/>
                <w:szCs w:val="16"/>
              </w:rPr>
              <w:tab/>
            </w:r>
            <w:r w:rsidRPr="003E3EAE">
              <w:rPr>
                <w:rFonts w:cs="Arial"/>
                <w:b/>
                <w:bCs/>
                <w:color w:val="000000"/>
                <w:sz w:val="16"/>
                <w:szCs w:val="16"/>
              </w:rPr>
              <w:t>Σύνολο μεταβιβάσεων από τον τακτικό προϋπολογισμό του Υ</w:t>
            </w:r>
            <w:r w:rsidR="00D70C5E">
              <w:rPr>
                <w:rFonts w:cs="Arial"/>
                <w:b/>
                <w:bCs/>
                <w:color w:val="000000"/>
                <w:sz w:val="16"/>
                <w:szCs w:val="16"/>
              </w:rPr>
              <w:t>Π</w:t>
            </w:r>
            <w:r w:rsidRPr="003E3EAE">
              <w:rPr>
                <w:rFonts w:cs="Arial"/>
                <w:b/>
                <w:bCs/>
                <w:color w:val="000000"/>
                <w:sz w:val="16"/>
                <w:szCs w:val="16"/>
              </w:rPr>
              <w:t>ΕΣ (Α + Β)</w:t>
            </w:r>
          </w:p>
        </w:tc>
        <w:tc>
          <w:tcPr>
            <w:tcW w:w="1180" w:type="dxa"/>
            <w:tcBorders>
              <w:top w:val="nil"/>
              <w:bottom w:val="single" w:sz="2" w:space="0" w:color="A6A6A6" w:themeColor="background1" w:themeShade="A6"/>
            </w:tcBorders>
            <w:shd w:val="clear" w:color="000000" w:fill="D6DCE4"/>
            <w:vAlign w:val="center"/>
            <w:hideMark/>
          </w:tcPr>
          <w:p w14:paraId="0826E828"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3.465</w:t>
            </w:r>
          </w:p>
        </w:tc>
        <w:tc>
          <w:tcPr>
            <w:tcW w:w="1160" w:type="dxa"/>
            <w:tcBorders>
              <w:top w:val="nil"/>
              <w:bottom w:val="single" w:sz="2" w:space="0" w:color="A6A6A6" w:themeColor="background1" w:themeShade="A6"/>
              <w:right w:val="single" w:sz="2" w:space="0" w:color="A6A6A6" w:themeColor="background1" w:themeShade="A6"/>
            </w:tcBorders>
            <w:shd w:val="clear" w:color="000000" w:fill="D6DCE4"/>
            <w:vAlign w:val="center"/>
            <w:hideMark/>
          </w:tcPr>
          <w:p w14:paraId="57A505B2" w14:textId="77777777" w:rsidR="004D71D1" w:rsidRPr="003E3EAE" w:rsidRDefault="004D71D1" w:rsidP="003E3EAE">
            <w:pPr>
              <w:spacing w:after="0" w:line="276" w:lineRule="auto"/>
              <w:jc w:val="right"/>
              <w:rPr>
                <w:rFonts w:cs="Arial"/>
                <w:b/>
                <w:bCs/>
                <w:color w:val="000000"/>
                <w:sz w:val="16"/>
                <w:szCs w:val="16"/>
              </w:rPr>
            </w:pPr>
            <w:r w:rsidRPr="003E3EAE">
              <w:rPr>
                <w:rFonts w:cs="Arial"/>
                <w:b/>
                <w:bCs/>
                <w:color w:val="000000"/>
                <w:sz w:val="16"/>
                <w:szCs w:val="16"/>
              </w:rPr>
              <w:t>3.550</w:t>
            </w:r>
          </w:p>
        </w:tc>
      </w:tr>
      <w:tr w:rsidR="004D71D1" w:rsidRPr="003E3EAE" w14:paraId="19DE8D59" w14:textId="77777777" w:rsidTr="003E3EAE">
        <w:trPr>
          <w:cantSplit/>
          <w:jc w:val="center"/>
        </w:trPr>
        <w:tc>
          <w:tcPr>
            <w:tcW w:w="8860" w:type="dxa"/>
            <w:gridSpan w:val="5"/>
            <w:tcBorders>
              <w:top w:val="single" w:sz="2" w:space="0" w:color="A6A6A6" w:themeColor="background1" w:themeShade="A6"/>
              <w:left w:val="nil"/>
              <w:bottom w:val="nil"/>
              <w:right w:val="nil"/>
            </w:tcBorders>
            <w:shd w:val="clear" w:color="auto" w:fill="auto"/>
            <w:vAlign w:val="center"/>
            <w:hideMark/>
          </w:tcPr>
          <w:p w14:paraId="3756D963" w14:textId="18A22497" w:rsidR="004D71D1" w:rsidRPr="003E3EAE" w:rsidRDefault="004D71D1" w:rsidP="00790111">
            <w:pPr>
              <w:tabs>
                <w:tab w:val="left" w:pos="113"/>
              </w:tabs>
              <w:spacing w:before="60" w:after="0" w:line="276" w:lineRule="auto"/>
              <w:ind w:left="113" w:hanging="113"/>
              <w:rPr>
                <w:rFonts w:cs="Arial"/>
                <w:b/>
                <w:bCs/>
                <w:color w:val="000000"/>
                <w:sz w:val="16"/>
                <w:szCs w:val="16"/>
              </w:rPr>
            </w:pPr>
            <w:r w:rsidRPr="003E3EAE">
              <w:rPr>
                <w:rFonts w:cs="Arial"/>
                <w:b/>
                <w:bCs/>
                <w:color w:val="000000"/>
                <w:sz w:val="16"/>
                <w:szCs w:val="16"/>
                <w:vertAlign w:val="superscript"/>
              </w:rPr>
              <w:t>1</w:t>
            </w:r>
            <w:r w:rsidR="00587DEA" w:rsidRPr="003E3EAE">
              <w:rPr>
                <w:rFonts w:cs="Arial"/>
                <w:b/>
                <w:bCs/>
                <w:color w:val="000000"/>
                <w:sz w:val="16"/>
                <w:szCs w:val="16"/>
                <w:vertAlign w:val="superscript"/>
              </w:rPr>
              <w:tab/>
            </w:r>
            <w:r w:rsidRPr="003E3EAE">
              <w:rPr>
                <w:rFonts w:cs="Arial"/>
                <w:color w:val="000000"/>
                <w:sz w:val="16"/>
                <w:szCs w:val="16"/>
              </w:rPr>
              <w:t>Οι ΚΑΠ των Περιφερειών για το έτος 2025 διαμορφώνονται σε 765 εκατ. ευρώ μετά από τη μείωσ</w:t>
            </w:r>
            <w:r w:rsidR="00D70C5E">
              <w:rPr>
                <w:rFonts w:cs="Arial"/>
                <w:color w:val="000000"/>
                <w:sz w:val="16"/>
                <w:szCs w:val="16"/>
              </w:rPr>
              <w:t>ή</w:t>
            </w:r>
            <w:r w:rsidRPr="003E3EAE">
              <w:rPr>
                <w:rFonts w:cs="Arial"/>
                <w:color w:val="000000"/>
                <w:sz w:val="16"/>
                <w:szCs w:val="16"/>
              </w:rPr>
              <w:t xml:space="preserve"> τους κατά 8,58 εκατ. ευρώ λόγω μεταφοράς πιστώσεων στον προϋπολογισμό του Υπουργείου Αγροτικής Ανάπτυξης και Τροφίμων για το Πρόγραμμα «ΔΑΚΟΚΤΟΝΙΑ 2025»</w:t>
            </w:r>
          </w:p>
        </w:tc>
      </w:tr>
    </w:tbl>
    <w:p w14:paraId="703F5E4B" w14:textId="7D735791" w:rsidR="00587DEA" w:rsidRPr="00054889" w:rsidRDefault="00587DEA" w:rsidP="00587DEA">
      <w:pPr>
        <w:spacing w:before="240"/>
      </w:pPr>
      <w:r w:rsidRPr="00054889">
        <w:t>Το έτος 2026 οι συνολικές πιστώσεις του τακτικού προϋπολογισμού του Υπουργείου Εσωτερικών προβλέπονται σε 3.732 εκατ. ευρώ και θα καλύψουν κυρίως, πέραν των λειτουργικών του δαπανών</w:t>
      </w:r>
      <w:r w:rsidR="00AF58C7">
        <w:t>,</w:t>
      </w:r>
      <w:r w:rsidRPr="00054889">
        <w:t xml:space="preserve"> τις δαπάνες των Α</w:t>
      </w:r>
      <w:r w:rsidR="005B20FF">
        <w:t>ΔΑ</w:t>
      </w:r>
      <w:r w:rsidRPr="00054889">
        <w:t xml:space="preserve">, </w:t>
      </w:r>
      <w:r w:rsidRPr="00054889">
        <w:rPr>
          <w:rFonts w:cs="Arial"/>
        </w:rPr>
        <w:t xml:space="preserve">τη χρηματοδότηση των πολιτικών κομμάτων και των συνασπισμών κομμάτων </w:t>
      </w:r>
      <w:r w:rsidRPr="00054889">
        <w:t>και τις μεταβιβάσεις πόρων στην Τοπική Αυτοδιοίκηση.</w:t>
      </w:r>
    </w:p>
    <w:p w14:paraId="4A115EF4" w14:textId="2B2A921F" w:rsidR="00587DEA" w:rsidRPr="00054889" w:rsidRDefault="00587DEA" w:rsidP="00587DEA">
      <w:r w:rsidRPr="00054889">
        <w:t>Οι μεταβιβάσεις πόρων προς την Τοπική Αυτοδιοίκηση το 2026 προβλέπονται σ</w:t>
      </w:r>
      <w:r w:rsidR="005B20FF">
        <w:t>ε</w:t>
      </w:r>
      <w:r w:rsidRPr="00054889">
        <w:t xml:space="preserve"> 3.</w:t>
      </w:r>
      <w:r w:rsidR="00894BAC">
        <w:t>550</w:t>
      </w:r>
      <w:r w:rsidRPr="00054889">
        <w:t xml:space="preserve"> εκατ. ευρώ, εκ των οποίων ποσό 2.741 εκατ. ευρώ θα διατεθεί στους Δήμους και ποσό 809 εκατ. ευρώ στις Περιφέρειες.</w:t>
      </w:r>
    </w:p>
    <w:p w14:paraId="17748C49" w14:textId="61B1A946" w:rsidR="00587DEA" w:rsidRPr="00054889" w:rsidRDefault="00587DEA" w:rsidP="00587DEA">
      <w:r w:rsidRPr="00054889">
        <w:t>Οι ΚΑΠ των Δήμων αυξάνονται κατά 82 εκατ. ευρώ, σε μόνιμη βάση, έναντι των εκτιμήσεων του 2025</w:t>
      </w:r>
      <w:r w:rsidR="00AF58C7">
        <w:t>,</w:t>
      </w:r>
      <w:r w:rsidRPr="00054889">
        <w:t xml:space="preserve"> προκειμένου να καλύψουν την αύξηση του μισθολογικού κόστους του προσωπικού (μισθολογική πολιτική κατώτατου μισθού), του επιδόματος των παραμεθόριων περιοχών και των λειτουργικών τους δαπανών.</w:t>
      </w:r>
    </w:p>
    <w:p w14:paraId="6D369798" w14:textId="45776A6A" w:rsidR="00587DEA" w:rsidRPr="00054889" w:rsidRDefault="00587DEA" w:rsidP="00587DEA">
      <w:r w:rsidRPr="00054889">
        <w:t>Αντίστοιχα, οι ΚΑΠ των Περιφερειών αυξάνονται κατά 35 εκατ. ευρώ, σε μόνιμη βάση</w:t>
      </w:r>
      <w:r w:rsidR="005B20FF">
        <w:t>,</w:t>
      </w:r>
      <w:r w:rsidRPr="00054889">
        <w:t xml:space="preserve"> για να καλύψουν το αυξημένο μισθολογικό κόστος του προσωπικού, το επίδομα επικίνδυνης και ανθυγιεινής εργασίας και τη δαπάνη της μεταφοράς μαθητών.</w:t>
      </w:r>
    </w:p>
    <w:p w14:paraId="6262A292" w14:textId="7A0B8F25" w:rsidR="00587DEA" w:rsidRPr="00054889" w:rsidRDefault="00587DEA" w:rsidP="00587DEA">
      <w:pPr>
        <w:rPr>
          <w:rFonts w:cs="Arial"/>
        </w:rPr>
      </w:pPr>
      <w:r w:rsidRPr="00054889">
        <w:t>Πέραν των ανωτέρω, οι Δήμοι θα λάβουν το 2026 ειδική επιχορήγηση ύψους 209 εκατ. ευρώ, αυξημένη κατά 31 εκατ. ευρώ έναντι του 2025, ώστε να αντιμετωπίσουν τ</w:t>
      </w:r>
      <w:r w:rsidRPr="00054889">
        <w:rPr>
          <w:rFonts w:cs="Arial"/>
        </w:rPr>
        <w:t>η δαπάνη</w:t>
      </w:r>
      <w:r w:rsidR="000A3EB5">
        <w:rPr>
          <w:rFonts w:cs="Arial"/>
        </w:rPr>
        <w:t xml:space="preserve"> </w:t>
      </w:r>
      <w:r w:rsidRPr="00054889">
        <w:rPr>
          <w:rFonts w:cs="Arial"/>
        </w:rPr>
        <w:t>μισθοδοσίας της δημοτικής αστυνομίας</w:t>
      </w:r>
      <w:r w:rsidR="00DD0FC0">
        <w:rPr>
          <w:rFonts w:cs="Arial"/>
        </w:rPr>
        <w:t xml:space="preserve"> και</w:t>
      </w:r>
      <w:r w:rsidRPr="00054889">
        <w:rPr>
          <w:rFonts w:cs="Arial"/>
        </w:rPr>
        <w:t xml:space="preserve"> του προσωπικού καθαριότητας των σχολικών μονάδων, </w:t>
      </w:r>
      <w:r w:rsidR="00DD0FC0">
        <w:rPr>
          <w:rFonts w:cs="Arial"/>
        </w:rPr>
        <w:t xml:space="preserve">το κόστος </w:t>
      </w:r>
      <w:r w:rsidRPr="00054889">
        <w:rPr>
          <w:rFonts w:cs="Arial"/>
        </w:rPr>
        <w:t>του προγράμματος «Βοήθεια στο σπίτι»</w:t>
      </w:r>
      <w:r w:rsidR="00DD0FC0">
        <w:rPr>
          <w:rFonts w:cs="Arial"/>
        </w:rPr>
        <w:t xml:space="preserve"> καθώς και</w:t>
      </w:r>
      <w:r w:rsidRPr="00054889">
        <w:rPr>
          <w:rFonts w:cs="Arial"/>
        </w:rPr>
        <w:t xml:space="preserve"> τη δαπάνη για την παροχή υπηρεσιών ναυαγοσωστικής κάλυψης σε οργανωμένες ή μη παραλίες. Επιπλέον, θα διατεθούν πιστώσεις για τη διαχείριση του μητροπολιτικού πάρκου του Δήμου Παύλου Μελά και του Εθνικού Κήπου του Δήμου Αθηναίων καθώς και </w:t>
      </w:r>
      <w:r w:rsidR="00DD0FC0">
        <w:rPr>
          <w:rFonts w:cs="Arial"/>
        </w:rPr>
        <w:t xml:space="preserve">για τη φροντίδα </w:t>
      </w:r>
      <w:r w:rsidRPr="00054889">
        <w:rPr>
          <w:rFonts w:cs="Arial"/>
        </w:rPr>
        <w:t>των αδέσποτων ζώων.</w:t>
      </w:r>
    </w:p>
    <w:p w14:paraId="7D039AB8" w14:textId="1F31CAE7" w:rsidR="00587DEA" w:rsidRPr="00054889" w:rsidRDefault="00587DEA" w:rsidP="00790183">
      <w:pPr>
        <w:rPr>
          <w:rFonts w:cs="Arial"/>
        </w:rPr>
      </w:pPr>
      <w:r w:rsidRPr="00054889">
        <w:rPr>
          <w:rFonts w:cs="Arial"/>
        </w:rPr>
        <w:lastRenderedPageBreak/>
        <w:t>Τέλος, στους Δήμους θα αποδοθ</w:t>
      </w:r>
      <w:r w:rsidR="00DD0FC0">
        <w:rPr>
          <w:rFonts w:cs="Arial"/>
        </w:rPr>
        <w:t>εί το 2026 ποσό ύψους</w:t>
      </w:r>
      <w:r w:rsidRPr="00054889">
        <w:t xml:space="preserve"> 5 εκατ. ευρώ</w:t>
      </w:r>
      <w:r w:rsidR="00286DDA">
        <w:t>,</w:t>
      </w:r>
      <w:r w:rsidRPr="00054889">
        <w:t xml:space="preserve"> ως έκτακτο αντισταθμιστικό τέλος, δυνάμει της Σύμβασης Παραχώρησης του Ελληνικού Δημοσίου με τους Οργανισμούς Λιμένων Πειραιώς, Θεσσαλονίκης και Ηγουμενίτσας.</w:t>
      </w:r>
    </w:p>
    <w:p w14:paraId="2CE9BFC8" w14:textId="376D10DC" w:rsidR="009D4402" w:rsidRPr="00805A59" w:rsidRDefault="00C955FE" w:rsidP="00790183">
      <w:r>
        <w:t xml:space="preserve">Όσον αφορά </w:t>
      </w:r>
      <w:r w:rsidR="00FA0923">
        <w:t xml:space="preserve">στον </w:t>
      </w:r>
      <w:r w:rsidR="00FA0923" w:rsidRPr="000626A0">
        <w:t>προϋπολογισμ</w:t>
      </w:r>
      <w:r w:rsidR="00FA0923">
        <w:t>ό</w:t>
      </w:r>
      <w:r w:rsidR="00FA0923" w:rsidRPr="000626A0">
        <w:t xml:space="preserve"> </w:t>
      </w:r>
      <w:r w:rsidR="00FA0923">
        <w:t>δ</w:t>
      </w:r>
      <w:r w:rsidR="00FA0923" w:rsidRPr="000626A0">
        <w:t xml:space="preserve">ημοσίων </w:t>
      </w:r>
      <w:r w:rsidR="00FA0923">
        <w:t>ε</w:t>
      </w:r>
      <w:r w:rsidR="00FA0923" w:rsidRPr="000626A0">
        <w:t xml:space="preserve">πενδύσεων </w:t>
      </w:r>
      <w:r w:rsidR="00FA0923">
        <w:t>του Υπουργείου Εσωτερικών</w:t>
      </w:r>
      <w:r w:rsidR="002F377B">
        <w:t>,</w:t>
      </w:r>
      <w:r w:rsidR="00FA0923">
        <w:t xml:space="preserve"> </w:t>
      </w:r>
      <w:r w:rsidR="00805A59">
        <w:t xml:space="preserve">θα διατεθούν </w:t>
      </w:r>
      <w:r w:rsidR="00805A59" w:rsidRPr="000626A0">
        <w:t xml:space="preserve">πιστώσεις συνολικού ύψους </w:t>
      </w:r>
      <w:r w:rsidR="00805A59" w:rsidRPr="0044016B">
        <w:t>2</w:t>
      </w:r>
      <w:r w:rsidR="00805A59">
        <w:t>9</w:t>
      </w:r>
      <w:r w:rsidR="00805A59" w:rsidRPr="0044016B">
        <w:t>5</w:t>
      </w:r>
      <w:r w:rsidR="00805A59" w:rsidRPr="000626A0">
        <w:t xml:space="preserve"> εκατ. ευρώ</w:t>
      </w:r>
      <w:r w:rsidR="00805A59">
        <w:t xml:space="preserve">, εκ των οποίων ποσό ύψους </w:t>
      </w:r>
      <w:r w:rsidR="00805A59" w:rsidRPr="0044016B">
        <w:t>74</w:t>
      </w:r>
      <w:r w:rsidR="00805A59" w:rsidRPr="000626A0">
        <w:t xml:space="preserve"> εκατ. ευρώ </w:t>
      </w:r>
      <w:r w:rsidR="00805A59">
        <w:t>αφορά στη</w:t>
      </w:r>
      <w:r w:rsidR="00805A59" w:rsidRPr="000626A0">
        <w:t xml:space="preserve">ν εκτέλεση έργων που συγχρηματοδοτούνται από την ΕΕ, </w:t>
      </w:r>
      <w:r w:rsidR="00805A59">
        <w:t xml:space="preserve">ενώ ποσό ύψους </w:t>
      </w:r>
      <w:r w:rsidR="00805A59" w:rsidRPr="0044016B">
        <w:t>221</w:t>
      </w:r>
      <w:r w:rsidR="00805A59" w:rsidRPr="000626A0">
        <w:t xml:space="preserve"> εκατ. ευρώ </w:t>
      </w:r>
      <w:r w:rsidR="00805A59">
        <w:t>αφορά σε</w:t>
      </w:r>
      <w:r w:rsidR="00805A59" w:rsidRPr="000626A0">
        <w:t xml:space="preserve"> έργα που χρηματοδοτούνται με εθνικούς πόρους. </w:t>
      </w:r>
      <w:r w:rsidR="00805A59">
        <w:t xml:space="preserve">Επίσης, μεγάλος αριθμός δράσεων </w:t>
      </w:r>
      <w:r w:rsidR="00805A59" w:rsidRPr="000626A0">
        <w:t>του Υπουργείου χρηματοδοτ</w:t>
      </w:r>
      <w:r w:rsidR="00805A59">
        <w:t xml:space="preserve">είται </w:t>
      </w:r>
      <w:r w:rsidR="00805A59" w:rsidRPr="000626A0">
        <w:t>από το ΤΑΑ και η συνολική τους δαπάνη για το 202</w:t>
      </w:r>
      <w:r w:rsidR="00805A59">
        <w:t>6</w:t>
      </w:r>
      <w:r w:rsidR="00805A59" w:rsidRPr="000626A0">
        <w:t xml:space="preserve"> ανέρχεται σε </w:t>
      </w:r>
      <w:r w:rsidR="00805A59" w:rsidRPr="0044016B">
        <w:t>137</w:t>
      </w:r>
      <w:r w:rsidR="00805A59" w:rsidRPr="000626A0">
        <w:t xml:space="preserve"> εκατ. ευρώ.</w:t>
      </w:r>
    </w:p>
    <w:p w14:paraId="7F22C305" w14:textId="77777777" w:rsidR="002339BB" w:rsidRPr="006A1508" w:rsidRDefault="00F67FDB" w:rsidP="00F27406">
      <w:pPr>
        <w:spacing w:before="240"/>
        <w:rPr>
          <w:rFonts w:cs="Arial"/>
          <w:b/>
          <w:szCs w:val="20"/>
        </w:rPr>
      </w:pPr>
      <w:r w:rsidRPr="00805A59">
        <w:rPr>
          <w:rFonts w:cs="Arial"/>
          <w:b/>
          <w:szCs w:val="20"/>
        </w:rPr>
        <w:t xml:space="preserve">Υπουργείο </w:t>
      </w:r>
      <w:r w:rsidR="002339BB" w:rsidRPr="00805A59">
        <w:rPr>
          <w:rFonts w:cs="Arial"/>
          <w:b/>
          <w:szCs w:val="20"/>
        </w:rPr>
        <w:t>Εξωτερικών</w:t>
      </w:r>
    </w:p>
    <w:p w14:paraId="34E106CD" w14:textId="77777777" w:rsidR="001248B4" w:rsidRPr="00CE67BC" w:rsidRDefault="001248B4" w:rsidP="001248B4">
      <w:r w:rsidRPr="00CE67BC">
        <w:t>Στον τακτικό προϋπολογισμό του Υπουργείου Εξωτερικών εγγράφονται πιστώσεις που καλύπτουν:</w:t>
      </w:r>
    </w:p>
    <w:p w14:paraId="37CEBA05" w14:textId="77777777" w:rsidR="001248B4" w:rsidRPr="001248B4" w:rsidRDefault="001248B4" w:rsidP="001248B4">
      <w:pPr>
        <w:numPr>
          <w:ilvl w:val="0"/>
          <w:numId w:val="1"/>
        </w:numPr>
        <w:spacing w:before="120" w:after="60"/>
        <w:ind w:left="568" w:hanging="284"/>
        <w:rPr>
          <w:szCs w:val="20"/>
        </w:rPr>
      </w:pPr>
      <w:r w:rsidRPr="001248B4">
        <w:rPr>
          <w:szCs w:val="20"/>
        </w:rPr>
        <w:t>τη λειτουργία των Αρχών της Εξωτερικής Υπηρεσίας,</w:t>
      </w:r>
    </w:p>
    <w:p w14:paraId="10C3199A" w14:textId="5BB42DFB" w:rsidR="001248B4" w:rsidRPr="001248B4" w:rsidRDefault="001248B4" w:rsidP="001248B4">
      <w:pPr>
        <w:numPr>
          <w:ilvl w:val="0"/>
          <w:numId w:val="1"/>
        </w:numPr>
        <w:spacing w:before="60" w:after="60"/>
        <w:ind w:left="568" w:hanging="284"/>
        <w:rPr>
          <w:szCs w:val="20"/>
        </w:rPr>
      </w:pPr>
      <w:r w:rsidRPr="001248B4">
        <w:rPr>
          <w:szCs w:val="20"/>
        </w:rPr>
        <w:t>τη χρήση του κρατικού αεροσκάφους καθώς και λοιπές υπηρεσιακές μετακινήσεις και μεταθέσεις προσωπικού,</w:t>
      </w:r>
    </w:p>
    <w:p w14:paraId="27B9DCDF" w14:textId="2861CDDB" w:rsidR="001248B4" w:rsidRPr="001248B4" w:rsidRDefault="001248B4" w:rsidP="001248B4">
      <w:pPr>
        <w:numPr>
          <w:ilvl w:val="0"/>
          <w:numId w:val="1"/>
        </w:numPr>
        <w:spacing w:before="60" w:after="60"/>
        <w:ind w:left="568" w:hanging="284"/>
        <w:rPr>
          <w:szCs w:val="20"/>
        </w:rPr>
      </w:pPr>
      <w:r w:rsidRPr="001248B4">
        <w:rPr>
          <w:szCs w:val="20"/>
        </w:rPr>
        <w:t xml:space="preserve">εθιμοτυπικές δαπάνες της Κεντρικής </w:t>
      </w:r>
      <w:r w:rsidR="00D619DC">
        <w:rPr>
          <w:szCs w:val="20"/>
        </w:rPr>
        <w:t xml:space="preserve">Υπηρεσίας </w:t>
      </w:r>
      <w:r w:rsidRPr="001248B4">
        <w:rPr>
          <w:szCs w:val="20"/>
        </w:rPr>
        <w:t>και των Εξωτερικών Υπηρεσιών,</w:t>
      </w:r>
    </w:p>
    <w:p w14:paraId="205B2C22" w14:textId="77777777" w:rsidR="001248B4" w:rsidRPr="001248B4" w:rsidRDefault="001248B4" w:rsidP="001248B4">
      <w:pPr>
        <w:numPr>
          <w:ilvl w:val="0"/>
          <w:numId w:val="1"/>
        </w:numPr>
        <w:spacing w:before="60" w:after="60"/>
        <w:ind w:left="568" w:hanging="284"/>
        <w:rPr>
          <w:szCs w:val="20"/>
        </w:rPr>
      </w:pPr>
      <w:r w:rsidRPr="001248B4">
        <w:rPr>
          <w:szCs w:val="20"/>
        </w:rPr>
        <w:t>εισφορές και λοιπές υποχρεώσεις που απορρέουν από τη συμμετοχή της χώρας σε Διεθνείς Οργανισμούς και στον Μηχανισμό European Peace Facility (EPF),</w:t>
      </w:r>
    </w:p>
    <w:p w14:paraId="64B8D503" w14:textId="406C8A91" w:rsidR="001248B4" w:rsidRPr="001248B4" w:rsidRDefault="001248B4" w:rsidP="001248B4">
      <w:pPr>
        <w:numPr>
          <w:ilvl w:val="0"/>
          <w:numId w:val="1"/>
        </w:numPr>
        <w:spacing w:before="60" w:after="60"/>
        <w:ind w:left="568" w:hanging="284"/>
        <w:rPr>
          <w:szCs w:val="20"/>
        </w:rPr>
      </w:pPr>
      <w:r w:rsidRPr="001248B4">
        <w:rPr>
          <w:szCs w:val="20"/>
        </w:rPr>
        <w:t>δαπάνες στο πλαίσιο της προετοιμασίας και υλοποίησης της επικείμενης Προεδρίας της Ελλάδας στο Συμβούλιο της Ε</w:t>
      </w:r>
      <w:r w:rsidR="00D619DC">
        <w:rPr>
          <w:szCs w:val="20"/>
        </w:rPr>
        <w:t>Ε</w:t>
      </w:r>
      <w:r w:rsidRPr="001248B4">
        <w:rPr>
          <w:szCs w:val="20"/>
        </w:rPr>
        <w:t xml:space="preserve"> κατά το </w:t>
      </w:r>
      <w:r w:rsidR="00D619DC">
        <w:rPr>
          <w:szCs w:val="20"/>
        </w:rPr>
        <w:t>2ο</w:t>
      </w:r>
      <w:r w:rsidRPr="001248B4">
        <w:rPr>
          <w:szCs w:val="20"/>
        </w:rPr>
        <w:t xml:space="preserve"> εξάμηνο του 2027,</w:t>
      </w:r>
    </w:p>
    <w:p w14:paraId="21D0CAEE" w14:textId="0A820B14" w:rsidR="001248B4" w:rsidRPr="001248B4" w:rsidRDefault="001248B4" w:rsidP="001248B4">
      <w:pPr>
        <w:numPr>
          <w:ilvl w:val="0"/>
          <w:numId w:val="1"/>
        </w:numPr>
        <w:spacing w:before="60" w:after="60"/>
        <w:ind w:left="568" w:hanging="284"/>
        <w:rPr>
          <w:szCs w:val="20"/>
        </w:rPr>
      </w:pPr>
      <w:r w:rsidRPr="001248B4">
        <w:rPr>
          <w:szCs w:val="20"/>
        </w:rPr>
        <w:t>δράσεις στον τομέα της παροχής διμερούς αναπτυξιακής βοήθειας προς τρίτες χώρες και</w:t>
      </w:r>
    </w:p>
    <w:p w14:paraId="6205C315" w14:textId="77777777" w:rsidR="001248B4" w:rsidRPr="001248B4" w:rsidRDefault="001248B4" w:rsidP="001248B4">
      <w:pPr>
        <w:numPr>
          <w:ilvl w:val="0"/>
          <w:numId w:val="1"/>
        </w:numPr>
        <w:spacing w:before="60"/>
        <w:ind w:left="568" w:hanging="284"/>
        <w:rPr>
          <w:rFonts w:cs="Arial"/>
          <w:szCs w:val="20"/>
        </w:rPr>
      </w:pPr>
      <w:r w:rsidRPr="001248B4">
        <w:rPr>
          <w:rFonts w:cs="Arial"/>
          <w:szCs w:val="20"/>
        </w:rPr>
        <w:t>προγράμματα φιλοξενίας στην Ελλάδα και εκμάθησης της ελληνικής γλώσσας και πολιτισμού για ελληνόπαιδες της ομογένειας.</w:t>
      </w:r>
    </w:p>
    <w:p w14:paraId="1219E66E" w14:textId="77777777" w:rsidR="001248B4" w:rsidRPr="00CE67BC" w:rsidRDefault="001248B4" w:rsidP="001248B4">
      <w:r w:rsidRPr="00CE67BC">
        <w:t>Οι εκτιμήσεις δαπανών για το οικονομικό έτος 2025 ανέρχονται σε 434 εκατ. ευρώ, αυξημένες κατά 44 εκατ. ευρώ, λόγω της ενίσχυσης του προϋπολογισμού του Υπουργείου με πιστώσεις για λειτουργικές δαπάνες, κυρίως έναντι εσόδων από προξενικές εισπράξεις.</w:t>
      </w:r>
    </w:p>
    <w:p w14:paraId="3CF2E8A2" w14:textId="594DC9BB" w:rsidR="00790183" w:rsidRPr="00BB7EB3" w:rsidRDefault="001248B4" w:rsidP="00FB0E86">
      <w:r w:rsidRPr="009D7979">
        <w:t>Για το οικονομικό έτος 2026 προβλέπονται πιστώσεις τακτικού προϋπολογισμού ύψους 439 εκατ. ευρώ</w:t>
      </w:r>
      <w:bookmarkStart w:id="368" w:name="_Hlk213676628"/>
      <w:r w:rsidR="00FB0E86" w:rsidRPr="009D7979">
        <w:t>,</w:t>
      </w:r>
      <w:r w:rsidR="009B5260" w:rsidRPr="009D7979">
        <w:t xml:space="preserve"> </w:t>
      </w:r>
      <w:r w:rsidR="002F377B">
        <w:t xml:space="preserve">στις οποίες </w:t>
      </w:r>
      <w:r w:rsidR="009D7979">
        <w:t>συμπεριλαμβ</w:t>
      </w:r>
      <w:r w:rsidR="002F377B">
        <w:t>άνεται</w:t>
      </w:r>
      <w:r w:rsidR="009D7979">
        <w:t xml:space="preserve"> </w:t>
      </w:r>
      <w:r w:rsidR="009B5260" w:rsidRPr="009D7979">
        <w:t>και το ποσ</w:t>
      </w:r>
      <w:r w:rsidR="00526275">
        <w:t>ό</w:t>
      </w:r>
      <w:r w:rsidR="009B5260" w:rsidRPr="009D7979">
        <w:t xml:space="preserve"> των 30 εκατ. ευρώ για την αναμόρφωση των αποδοχών των υπαλλήλων του Υπουργείου Εξωτερικών. Ό</w:t>
      </w:r>
      <w:r w:rsidR="00FB0E86" w:rsidRPr="009D7979">
        <w:t>σον αφορά στον προϋπολογισμό δημοσίων επενδύσεων προβλέπονται πιστώσεις ύψους 28 εκατ. ευρώ στο εθνικό σκέλος και 16 εκατ. ευρώ στο συγχρηματοδοτούμενο</w:t>
      </w:r>
      <w:r w:rsidR="009B5260" w:rsidRPr="009D7979">
        <w:t xml:space="preserve"> σκέλος</w:t>
      </w:r>
      <w:r w:rsidR="00FB0E86" w:rsidRPr="009D7979">
        <w:t>.</w:t>
      </w:r>
    </w:p>
    <w:bookmarkEnd w:id="368"/>
    <w:p w14:paraId="7F96B3DA" w14:textId="3F4AD4D9" w:rsidR="002339BB" w:rsidRPr="00591978" w:rsidRDefault="00F67FDB" w:rsidP="00F27406">
      <w:pPr>
        <w:spacing w:before="240"/>
        <w:rPr>
          <w:rFonts w:cs="Arial"/>
          <w:b/>
          <w:szCs w:val="20"/>
        </w:rPr>
      </w:pPr>
      <w:r w:rsidRPr="00FB0E86">
        <w:rPr>
          <w:rFonts w:cs="Arial"/>
          <w:b/>
          <w:szCs w:val="20"/>
        </w:rPr>
        <w:t xml:space="preserve">Υπουργείο </w:t>
      </w:r>
      <w:r w:rsidR="002339BB" w:rsidRPr="00FB0E86">
        <w:rPr>
          <w:rFonts w:cs="Arial"/>
          <w:b/>
          <w:szCs w:val="20"/>
        </w:rPr>
        <w:t>Εθ</w:t>
      </w:r>
      <w:r w:rsidRPr="00FB0E86">
        <w:rPr>
          <w:rFonts w:cs="Arial"/>
          <w:b/>
          <w:szCs w:val="20"/>
        </w:rPr>
        <w:t>νικής</w:t>
      </w:r>
      <w:r w:rsidR="002339BB" w:rsidRPr="00FB0E86">
        <w:rPr>
          <w:rFonts w:cs="Arial"/>
          <w:b/>
          <w:szCs w:val="20"/>
        </w:rPr>
        <w:t xml:space="preserve"> Άμυνας</w:t>
      </w:r>
    </w:p>
    <w:p w14:paraId="1922538C" w14:textId="77777777" w:rsidR="00DF7461" w:rsidRPr="00D47367" w:rsidRDefault="00DF7461" w:rsidP="00DF7461">
      <w:r w:rsidRPr="00D47367">
        <w:t xml:space="preserve">Στον τακτικό προϋπολογισμό του Υπουργείου έχουν προβλεφθεί πιστώσεις </w:t>
      </w:r>
      <w:r>
        <w:t xml:space="preserve">για την εκτέλεση της αποστολής του και ειδικότερα </w:t>
      </w:r>
      <w:r w:rsidRPr="00D47367">
        <w:t>για:</w:t>
      </w:r>
    </w:p>
    <w:p w14:paraId="54EBD1F6" w14:textId="77777777" w:rsidR="00DF7461" w:rsidRPr="00D47367" w:rsidRDefault="00DF7461" w:rsidP="00480FB3">
      <w:pPr>
        <w:numPr>
          <w:ilvl w:val="0"/>
          <w:numId w:val="1"/>
        </w:numPr>
        <w:spacing w:before="120" w:after="60"/>
        <w:ind w:left="568" w:hanging="284"/>
        <w:rPr>
          <w:szCs w:val="20"/>
        </w:rPr>
      </w:pPr>
      <w:r w:rsidRPr="00D47367">
        <w:rPr>
          <w:szCs w:val="20"/>
        </w:rPr>
        <w:t>την κάλυψη της δαπάνης που προκαλείται από την αναμόρφωση του μισθολογίου των στελ</w:t>
      </w:r>
      <w:r>
        <w:rPr>
          <w:szCs w:val="20"/>
        </w:rPr>
        <w:t>ε</w:t>
      </w:r>
      <w:r w:rsidRPr="00D47367">
        <w:rPr>
          <w:szCs w:val="20"/>
        </w:rPr>
        <w:t>χ</w:t>
      </w:r>
      <w:r>
        <w:rPr>
          <w:szCs w:val="20"/>
        </w:rPr>
        <w:t>ών</w:t>
      </w:r>
      <w:r w:rsidRPr="00D47367">
        <w:rPr>
          <w:szCs w:val="20"/>
        </w:rPr>
        <w:t xml:space="preserve"> των Ενόπλων Δυνάμεων</w:t>
      </w:r>
      <w:r>
        <w:rPr>
          <w:szCs w:val="20"/>
        </w:rPr>
        <w:t>,</w:t>
      </w:r>
    </w:p>
    <w:p w14:paraId="75E2BBBB" w14:textId="7028E96B" w:rsidR="00DF7461" w:rsidRPr="00D47367" w:rsidRDefault="00DF7461" w:rsidP="00480FB3">
      <w:pPr>
        <w:numPr>
          <w:ilvl w:val="0"/>
          <w:numId w:val="1"/>
        </w:numPr>
        <w:spacing w:before="60" w:after="60"/>
        <w:ind w:left="568" w:hanging="284"/>
        <w:rPr>
          <w:szCs w:val="20"/>
        </w:rPr>
      </w:pPr>
      <w:r w:rsidRPr="00D47367">
        <w:rPr>
          <w:szCs w:val="20"/>
        </w:rPr>
        <w:t>την κάλυψη της δαπάνης από την αύξηση των μηνιαίων αποδοχών οπλιτών στρατεύσιμης και εφεδρικής στρατιωτικής υποχρέωσης των Ενόπλων Δυνάμεων,</w:t>
      </w:r>
    </w:p>
    <w:p w14:paraId="1648EE52" w14:textId="77777777" w:rsidR="00DF7461" w:rsidRPr="00D47367" w:rsidRDefault="00DF7461" w:rsidP="00480FB3">
      <w:pPr>
        <w:numPr>
          <w:ilvl w:val="0"/>
          <w:numId w:val="1"/>
        </w:numPr>
        <w:spacing w:before="60" w:after="60"/>
        <w:ind w:left="568" w:hanging="284"/>
        <w:rPr>
          <w:szCs w:val="20"/>
        </w:rPr>
      </w:pPr>
      <w:r w:rsidRPr="00D47367">
        <w:rPr>
          <w:szCs w:val="20"/>
        </w:rPr>
        <w:t>τη χορήγηση της ειδικής αποζημίωσης στα στελέχη των Ενόπλων Δυνάμεων για εργασία τις νυχτερινές ώρες,</w:t>
      </w:r>
    </w:p>
    <w:p w14:paraId="06EB7D29" w14:textId="77777777" w:rsidR="00DF7461" w:rsidRPr="00480FB3" w:rsidRDefault="00DF7461" w:rsidP="00480FB3">
      <w:pPr>
        <w:numPr>
          <w:ilvl w:val="0"/>
          <w:numId w:val="1"/>
        </w:numPr>
        <w:spacing w:before="60" w:after="60"/>
        <w:ind w:left="568" w:hanging="284"/>
        <w:rPr>
          <w:szCs w:val="20"/>
        </w:rPr>
      </w:pPr>
      <w:r w:rsidRPr="00480FB3">
        <w:rPr>
          <w:szCs w:val="20"/>
        </w:rPr>
        <w:t>την υγειονομική περίθαλψη των στελεχών των Ενόπλων Δυνάμεων,</w:t>
      </w:r>
    </w:p>
    <w:p w14:paraId="132D384F" w14:textId="77777777" w:rsidR="00DF7461" w:rsidRPr="00480FB3" w:rsidRDefault="00DF7461" w:rsidP="00480FB3">
      <w:pPr>
        <w:numPr>
          <w:ilvl w:val="0"/>
          <w:numId w:val="1"/>
        </w:numPr>
        <w:spacing w:before="60" w:after="60"/>
        <w:ind w:left="568" w:hanging="284"/>
        <w:rPr>
          <w:szCs w:val="20"/>
        </w:rPr>
      </w:pPr>
      <w:r w:rsidRPr="00480FB3">
        <w:rPr>
          <w:szCs w:val="20"/>
        </w:rPr>
        <w:t>τις δαπάνες λειτουργίας των στρατιωτικών σχολών,</w:t>
      </w:r>
    </w:p>
    <w:p w14:paraId="48D5DAD5" w14:textId="77777777" w:rsidR="00DF7461" w:rsidRPr="00480FB3" w:rsidRDefault="00DF7461" w:rsidP="00480FB3">
      <w:pPr>
        <w:numPr>
          <w:ilvl w:val="0"/>
          <w:numId w:val="1"/>
        </w:numPr>
        <w:spacing w:before="60" w:after="60"/>
        <w:ind w:left="568" w:hanging="284"/>
        <w:rPr>
          <w:szCs w:val="20"/>
        </w:rPr>
      </w:pPr>
      <w:r w:rsidRPr="00480FB3">
        <w:rPr>
          <w:szCs w:val="20"/>
        </w:rPr>
        <w:t>τη συμμετοχή των Ενόπλων Δυνάμεων σε αποστολές στο εξωτερικό,</w:t>
      </w:r>
    </w:p>
    <w:p w14:paraId="4F38F6B1" w14:textId="77777777" w:rsidR="00DF7461" w:rsidRPr="00480FB3" w:rsidRDefault="00DF7461" w:rsidP="00480FB3">
      <w:pPr>
        <w:numPr>
          <w:ilvl w:val="0"/>
          <w:numId w:val="1"/>
        </w:numPr>
        <w:spacing w:before="60" w:after="60"/>
        <w:ind w:left="568" w:hanging="284"/>
        <w:rPr>
          <w:szCs w:val="20"/>
        </w:rPr>
      </w:pPr>
      <w:r w:rsidRPr="00480FB3">
        <w:rPr>
          <w:szCs w:val="20"/>
        </w:rPr>
        <w:lastRenderedPageBreak/>
        <w:t>την προμήθεια καυσίμων κίνησης,</w:t>
      </w:r>
    </w:p>
    <w:p w14:paraId="575CD1EB" w14:textId="77777777" w:rsidR="00DF7461" w:rsidRPr="00480FB3" w:rsidRDefault="00DF7461" w:rsidP="00480FB3">
      <w:pPr>
        <w:numPr>
          <w:ilvl w:val="0"/>
          <w:numId w:val="1"/>
        </w:numPr>
        <w:spacing w:before="60" w:after="60"/>
        <w:ind w:left="568" w:hanging="284"/>
        <w:rPr>
          <w:szCs w:val="20"/>
        </w:rPr>
      </w:pPr>
      <w:r w:rsidRPr="00480FB3">
        <w:rPr>
          <w:szCs w:val="20"/>
        </w:rPr>
        <w:t>την προμήθεια φαρμακευτικού και υγειονομικού υλικού για τα στρατιωτικά νοσοκομεία,</w:t>
      </w:r>
    </w:p>
    <w:p w14:paraId="1EEE1A9C" w14:textId="77777777" w:rsidR="00DF7461" w:rsidRPr="00480FB3" w:rsidRDefault="00DF7461" w:rsidP="00480FB3">
      <w:pPr>
        <w:numPr>
          <w:ilvl w:val="0"/>
          <w:numId w:val="1"/>
        </w:numPr>
        <w:spacing w:before="60" w:after="60"/>
        <w:ind w:left="568" w:hanging="284"/>
        <w:rPr>
          <w:szCs w:val="20"/>
        </w:rPr>
      </w:pPr>
      <w:r w:rsidRPr="00480FB3">
        <w:rPr>
          <w:szCs w:val="20"/>
        </w:rPr>
        <w:t>τις εθνικές υποχρεώσεις που απορρέουν από τη συμμετοχή της Ελλάδας στο ΝΑΤΟ,</w:t>
      </w:r>
    </w:p>
    <w:p w14:paraId="2F7F9E47" w14:textId="67975D16" w:rsidR="00DF7461" w:rsidRPr="00480FB3" w:rsidRDefault="00DF7461" w:rsidP="00480FB3">
      <w:pPr>
        <w:numPr>
          <w:ilvl w:val="0"/>
          <w:numId w:val="1"/>
        </w:numPr>
        <w:spacing w:before="60" w:after="60"/>
        <w:ind w:left="568" w:hanging="284"/>
        <w:rPr>
          <w:szCs w:val="20"/>
        </w:rPr>
      </w:pPr>
      <w:r w:rsidRPr="00480FB3">
        <w:rPr>
          <w:szCs w:val="20"/>
        </w:rPr>
        <w:t xml:space="preserve">τις εισφορές του Υπουργείου σε </w:t>
      </w:r>
      <w:r w:rsidR="000B4201">
        <w:rPr>
          <w:szCs w:val="20"/>
        </w:rPr>
        <w:t>δ</w:t>
      </w:r>
      <w:r w:rsidRPr="00480FB3">
        <w:rPr>
          <w:szCs w:val="20"/>
        </w:rPr>
        <w:t xml:space="preserve">ιεθνείς </w:t>
      </w:r>
      <w:r w:rsidR="000B4201">
        <w:rPr>
          <w:szCs w:val="20"/>
        </w:rPr>
        <w:t>ο</w:t>
      </w:r>
      <w:r w:rsidRPr="00480FB3">
        <w:rPr>
          <w:szCs w:val="20"/>
        </w:rPr>
        <w:t>ργανισμούς</w:t>
      </w:r>
      <w:r w:rsidR="000B4201">
        <w:rPr>
          <w:szCs w:val="20"/>
        </w:rPr>
        <w:t>,</w:t>
      </w:r>
    </w:p>
    <w:p w14:paraId="4DE7C7D5" w14:textId="77777777" w:rsidR="00DF7461" w:rsidRPr="00480FB3" w:rsidRDefault="00DF7461" w:rsidP="00480FB3">
      <w:pPr>
        <w:numPr>
          <w:ilvl w:val="0"/>
          <w:numId w:val="1"/>
        </w:numPr>
        <w:spacing w:before="60" w:after="60"/>
        <w:ind w:left="568" w:hanging="284"/>
        <w:rPr>
          <w:szCs w:val="20"/>
        </w:rPr>
      </w:pPr>
      <w:r w:rsidRPr="00480FB3">
        <w:rPr>
          <w:szCs w:val="20"/>
        </w:rPr>
        <w:t>τις δαπάνες συντήρησης και επισκευής οδικών, πλωτών και εναέριων μέσων και</w:t>
      </w:r>
    </w:p>
    <w:p w14:paraId="4FEA1F81" w14:textId="77777777" w:rsidR="00DF7461" w:rsidRPr="00D47367" w:rsidRDefault="00DF7461" w:rsidP="00480FB3">
      <w:pPr>
        <w:numPr>
          <w:ilvl w:val="0"/>
          <w:numId w:val="1"/>
        </w:numPr>
        <w:spacing w:before="60"/>
        <w:ind w:left="568" w:hanging="284"/>
        <w:rPr>
          <w:szCs w:val="20"/>
        </w:rPr>
      </w:pPr>
      <w:r w:rsidRPr="00D47367">
        <w:rPr>
          <w:rFonts w:cs="Arial"/>
          <w:szCs w:val="20"/>
        </w:rPr>
        <w:t>τις</w:t>
      </w:r>
      <w:r w:rsidRPr="00D47367">
        <w:rPr>
          <w:szCs w:val="20"/>
        </w:rPr>
        <w:t xml:space="preserve"> νέες υποχρεώσεις που απορρέουν από την υλοποίηση εξοπλιστικών προγραμμάτων.</w:t>
      </w:r>
    </w:p>
    <w:p w14:paraId="63C76BA2" w14:textId="77777777" w:rsidR="00DF7461" w:rsidRPr="00D47367" w:rsidRDefault="00DF7461" w:rsidP="00DF7461">
      <w:r w:rsidRPr="00D47367">
        <w:t>Οι εκτιμήσεις δαπανών του τακτικού προϋπολογισμού για το έτος 2025 ανέρχονται στο ποσό των 6.457 εκατ. ευρώ, εκ των οποίων ποσό 2.496 εκατ. ευρώ αφορά σε δαπάνες υλοποίησης εξοπλιστικών προγραμμάτων. Κατά την εκτέλεση του προϋπολογισμού διατέθηκαν στο Υπουργείο επιπλέον πιστώσεις συνολικού ύψους 18</w:t>
      </w:r>
      <w:r>
        <w:t>5</w:t>
      </w:r>
      <w:r w:rsidRPr="00D47367">
        <w:t xml:space="preserve"> εκατ. ευρώ για δαπάνες</w:t>
      </w:r>
      <w:r w:rsidRPr="00C634E2">
        <w:t xml:space="preserve"> </w:t>
      </w:r>
      <w:r w:rsidRPr="00D47367">
        <w:t>υγειονομικ</w:t>
      </w:r>
      <w:r>
        <w:t>ή</w:t>
      </w:r>
      <w:r w:rsidRPr="00D47367">
        <w:t>ς</w:t>
      </w:r>
      <w:r>
        <w:t xml:space="preserve"> περίθαλψης</w:t>
      </w:r>
      <w:r w:rsidRPr="00D47367">
        <w:t>, κατασκευές - συντηρήσεις εγκαταστάσεων, οδοιπορικά έξοδα</w:t>
      </w:r>
      <w:r>
        <w:t>,</w:t>
      </w:r>
      <w:r w:rsidRPr="00D47367">
        <w:t xml:space="preserve"> αγορές καυσίμων και δαπάνες ηλεκτρικής ενέργειας.</w:t>
      </w:r>
    </w:p>
    <w:p w14:paraId="74790289" w14:textId="504BD8CF" w:rsidR="00DF7461" w:rsidRPr="00D47367" w:rsidRDefault="00DF7461" w:rsidP="00DF7461">
      <w:r w:rsidRPr="00D47367">
        <w:t>Οι προβλέψεις δαπανών του τακτικού προϋπολογισμού για το έτος 202</w:t>
      </w:r>
      <w:r>
        <w:t>6</w:t>
      </w:r>
      <w:r w:rsidRPr="00D47367">
        <w:t xml:space="preserve"> ανέρχονται στο ποσό των 6.955 εκατ. ευρώ για την κάλυψη </w:t>
      </w:r>
      <w:r>
        <w:t xml:space="preserve">δαπανών μισθοδοσίας </w:t>
      </w:r>
      <w:r w:rsidRPr="00D47367">
        <w:t>του προσωπικού των Ενόπλων Δυνάμεων</w:t>
      </w:r>
      <w:r>
        <w:t xml:space="preserve">, των </w:t>
      </w:r>
      <w:r w:rsidRPr="00D47367">
        <w:t>λειτουργικών δαπανών</w:t>
      </w:r>
      <w:r>
        <w:t xml:space="preserve"> του Υπουργείου καθώς και </w:t>
      </w:r>
      <w:r w:rsidR="000B4201">
        <w:t xml:space="preserve">των </w:t>
      </w:r>
      <w:r>
        <w:t xml:space="preserve">δαπανών </w:t>
      </w:r>
      <w:r w:rsidRPr="00D47367">
        <w:t>υλοποίησης εξοπλιστικών προγραμμάτων</w:t>
      </w:r>
      <w:r>
        <w:t xml:space="preserve"> ύψους </w:t>
      </w:r>
      <w:r w:rsidRPr="00D47367">
        <w:t>3.200 εκατ. ευρώ</w:t>
      </w:r>
      <w:r>
        <w:t>.</w:t>
      </w:r>
    </w:p>
    <w:p w14:paraId="6163360E" w14:textId="773DB522" w:rsidR="00DF7461" w:rsidRDefault="00DF7461" w:rsidP="000B4201">
      <w:pPr>
        <w:spacing w:after="240"/>
      </w:pPr>
      <w:r w:rsidRPr="00D47367">
        <w:t>Κατωτέρω παρουσιάζονται</w:t>
      </w:r>
      <w:r w:rsidR="00480FB3">
        <w:t>:</w:t>
      </w:r>
      <w:r w:rsidRPr="00D47367">
        <w:t xml:space="preserve"> </w:t>
      </w:r>
      <w:r w:rsidR="00480FB3">
        <w:t>(</w:t>
      </w:r>
      <w:r w:rsidRPr="00D47367">
        <w:t>α) οι εκτιμώμενες πληρωμές και οι προβλέψεις για την υλοποίηση εξοπλιστικών προγραμμάτων</w:t>
      </w:r>
      <w:r>
        <w:t xml:space="preserve"> ετών 2025</w:t>
      </w:r>
      <w:r w:rsidR="000B4201">
        <w:t xml:space="preserve"> </w:t>
      </w:r>
      <w:r>
        <w:t>-</w:t>
      </w:r>
      <w:r w:rsidR="000B4201">
        <w:t xml:space="preserve"> </w:t>
      </w:r>
      <w:r>
        <w:t xml:space="preserve">2026, οι οποίες ενσωματώνονται στις δαπάνες του τακτικού προϋπολογισμού του Υπουργείου καθώς και </w:t>
      </w:r>
      <w:r w:rsidR="00480FB3">
        <w:t>(</w:t>
      </w:r>
      <w:r>
        <w:t>β) οι φυσικές παραλαβές των αντίστοιχων ετών.</w:t>
      </w:r>
    </w:p>
    <w:tbl>
      <w:tblPr>
        <w:tblW w:w="779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2433"/>
        <w:gridCol w:w="2448"/>
        <w:gridCol w:w="2912"/>
      </w:tblGrid>
      <w:tr w:rsidR="00F41BD8" w:rsidRPr="00F41BD8" w14:paraId="726163E8" w14:textId="77777777" w:rsidTr="001F5C03">
        <w:trPr>
          <w:cantSplit/>
          <w:trHeight w:val="510"/>
          <w:jc w:val="center"/>
        </w:trPr>
        <w:tc>
          <w:tcPr>
            <w:tcW w:w="7793" w:type="dxa"/>
            <w:gridSpan w:val="3"/>
            <w:tcBorders>
              <w:top w:val="single" w:sz="4" w:space="0" w:color="808080" w:themeColor="background1" w:themeShade="80"/>
              <w:bottom w:val="single" w:sz="4" w:space="0" w:color="808080" w:themeColor="background1" w:themeShade="80"/>
            </w:tcBorders>
            <w:shd w:val="clear" w:color="auto" w:fill="D5DCE4"/>
            <w:vAlign w:val="center"/>
            <w:hideMark/>
          </w:tcPr>
          <w:p w14:paraId="4AD3C465" w14:textId="284D0C81" w:rsidR="00F41BD8" w:rsidRPr="00D95A50" w:rsidRDefault="00F41BD8" w:rsidP="00F41BD8">
            <w:pPr>
              <w:spacing w:after="0" w:line="276" w:lineRule="auto"/>
              <w:jc w:val="center"/>
              <w:rPr>
                <w:rFonts w:cs="Arial"/>
                <w:b/>
                <w:bCs/>
                <w:color w:val="000000"/>
                <w:sz w:val="18"/>
                <w:szCs w:val="16"/>
              </w:rPr>
            </w:pPr>
            <w:r w:rsidRPr="00D95A50">
              <w:rPr>
                <w:rFonts w:cs="Arial"/>
                <w:b/>
                <w:bCs/>
                <w:color w:val="000000"/>
                <w:sz w:val="18"/>
                <w:szCs w:val="16"/>
              </w:rPr>
              <w:t>Φυσικές παραλαβές και πληρωμές εξοπλιστικών προγραμμάτων ετών 202</w:t>
            </w:r>
            <w:r w:rsidR="001F5C03">
              <w:rPr>
                <w:rFonts w:cs="Arial"/>
                <w:b/>
                <w:bCs/>
                <w:color w:val="000000"/>
                <w:sz w:val="18"/>
                <w:szCs w:val="16"/>
              </w:rPr>
              <w:t>5</w:t>
            </w:r>
            <w:r w:rsidRPr="00D95A50">
              <w:rPr>
                <w:rFonts w:cs="Arial"/>
                <w:b/>
                <w:bCs/>
                <w:color w:val="000000"/>
                <w:sz w:val="18"/>
                <w:szCs w:val="16"/>
              </w:rPr>
              <w:t xml:space="preserve"> - 202</w:t>
            </w:r>
            <w:r w:rsidR="00D95A50">
              <w:rPr>
                <w:rFonts w:cs="Arial"/>
                <w:b/>
                <w:bCs/>
                <w:color w:val="000000"/>
                <w:sz w:val="18"/>
                <w:szCs w:val="16"/>
              </w:rPr>
              <w:t>6</w:t>
            </w:r>
          </w:p>
          <w:p w14:paraId="39224297" w14:textId="793C0057" w:rsidR="00F41BD8" w:rsidRPr="00F41BD8" w:rsidRDefault="00F41BD8" w:rsidP="00F41BD8">
            <w:pPr>
              <w:spacing w:after="0" w:line="276" w:lineRule="auto"/>
              <w:jc w:val="center"/>
              <w:rPr>
                <w:rFonts w:cs="Arial"/>
                <w:b/>
                <w:bCs/>
                <w:color w:val="000000"/>
                <w:sz w:val="16"/>
                <w:szCs w:val="16"/>
              </w:rPr>
            </w:pPr>
            <w:r w:rsidRPr="00D95A50">
              <w:rPr>
                <w:rFonts w:cs="Arial"/>
                <w:b/>
                <w:bCs/>
                <w:color w:val="000000"/>
                <w:sz w:val="18"/>
                <w:szCs w:val="16"/>
              </w:rPr>
              <w:t>(σε εκατ. ευρώ)</w:t>
            </w:r>
          </w:p>
        </w:tc>
      </w:tr>
      <w:tr w:rsidR="00F41BD8" w:rsidRPr="00F41BD8" w14:paraId="66E89324" w14:textId="77777777" w:rsidTr="00FB0E86">
        <w:trPr>
          <w:cantSplit/>
          <w:trHeight w:val="222"/>
          <w:jc w:val="center"/>
        </w:trPr>
        <w:tc>
          <w:tcPr>
            <w:tcW w:w="2433" w:type="dxa"/>
            <w:tcBorders>
              <w:top w:val="single" w:sz="4" w:space="0" w:color="808080" w:themeColor="background1" w:themeShade="80"/>
              <w:bottom w:val="single" w:sz="4" w:space="0" w:color="808080" w:themeColor="background1" w:themeShade="80"/>
            </w:tcBorders>
            <w:shd w:val="clear" w:color="000000" w:fill="F2F2F2"/>
            <w:noWrap/>
            <w:vAlign w:val="bottom"/>
            <w:hideMark/>
          </w:tcPr>
          <w:p w14:paraId="1D42BF4F" w14:textId="6C80845F" w:rsidR="00F41BD8" w:rsidRPr="00F41BD8" w:rsidRDefault="00F41BD8" w:rsidP="00F41BD8">
            <w:pPr>
              <w:spacing w:after="0" w:line="276" w:lineRule="auto"/>
              <w:jc w:val="left"/>
              <w:rPr>
                <w:rFonts w:cs="Arial"/>
                <w:color w:val="000000"/>
                <w:sz w:val="16"/>
                <w:szCs w:val="16"/>
              </w:rPr>
            </w:pPr>
          </w:p>
        </w:tc>
        <w:tc>
          <w:tcPr>
            <w:tcW w:w="2448" w:type="dxa"/>
            <w:tcBorders>
              <w:top w:val="single" w:sz="4" w:space="0" w:color="808080" w:themeColor="background1" w:themeShade="80"/>
              <w:bottom w:val="single" w:sz="4" w:space="0" w:color="808080" w:themeColor="background1" w:themeShade="80"/>
            </w:tcBorders>
            <w:shd w:val="clear" w:color="000000" w:fill="F2F2F2"/>
            <w:vAlign w:val="center"/>
            <w:hideMark/>
          </w:tcPr>
          <w:p w14:paraId="24B1EF46" w14:textId="0262D22A" w:rsidR="00F41BD8" w:rsidRPr="000B4201" w:rsidRDefault="001F5C03" w:rsidP="00C161CC">
            <w:pPr>
              <w:spacing w:after="0" w:line="276" w:lineRule="auto"/>
              <w:jc w:val="center"/>
              <w:rPr>
                <w:rFonts w:cs="Arial"/>
                <w:b/>
                <w:color w:val="000000"/>
                <w:sz w:val="16"/>
                <w:szCs w:val="16"/>
              </w:rPr>
            </w:pPr>
            <w:r w:rsidRPr="000B4201">
              <w:rPr>
                <w:rFonts w:cs="Arial"/>
                <w:b/>
                <w:color w:val="000000"/>
                <w:sz w:val="16"/>
                <w:szCs w:val="16"/>
              </w:rPr>
              <w:t>Εκτιμήσεις 2025</w:t>
            </w:r>
          </w:p>
        </w:tc>
        <w:tc>
          <w:tcPr>
            <w:tcW w:w="2912" w:type="dxa"/>
            <w:tcBorders>
              <w:top w:val="single" w:sz="4" w:space="0" w:color="808080" w:themeColor="background1" w:themeShade="80"/>
              <w:bottom w:val="single" w:sz="4" w:space="0" w:color="808080" w:themeColor="background1" w:themeShade="80"/>
            </w:tcBorders>
            <w:shd w:val="clear" w:color="000000" w:fill="F2F2F2"/>
            <w:vAlign w:val="center"/>
            <w:hideMark/>
          </w:tcPr>
          <w:p w14:paraId="59352566" w14:textId="7E21A9EA" w:rsidR="00F41BD8" w:rsidRPr="000B4201" w:rsidRDefault="001F5C03" w:rsidP="00C161CC">
            <w:pPr>
              <w:spacing w:after="0" w:line="276" w:lineRule="auto"/>
              <w:jc w:val="center"/>
              <w:rPr>
                <w:rFonts w:cs="Arial"/>
                <w:b/>
                <w:color w:val="000000"/>
                <w:sz w:val="16"/>
                <w:szCs w:val="16"/>
              </w:rPr>
            </w:pPr>
            <w:r w:rsidRPr="000B4201">
              <w:rPr>
                <w:rFonts w:cs="Arial"/>
                <w:b/>
                <w:color w:val="000000"/>
                <w:sz w:val="16"/>
                <w:szCs w:val="16"/>
              </w:rPr>
              <w:t>Προβλέψεις 2026</w:t>
            </w:r>
          </w:p>
        </w:tc>
      </w:tr>
      <w:tr w:rsidR="00D95A50" w:rsidRPr="00F41BD8" w14:paraId="5C8DC5F7" w14:textId="77777777" w:rsidTr="00FB0E86">
        <w:trPr>
          <w:cantSplit/>
          <w:trHeight w:val="222"/>
          <w:jc w:val="center"/>
        </w:trPr>
        <w:tc>
          <w:tcPr>
            <w:tcW w:w="2433" w:type="dxa"/>
            <w:tcBorders>
              <w:top w:val="single" w:sz="4" w:space="0" w:color="808080" w:themeColor="background1" w:themeShade="80"/>
            </w:tcBorders>
            <w:shd w:val="clear" w:color="auto" w:fill="auto"/>
            <w:vAlign w:val="center"/>
            <w:hideMark/>
          </w:tcPr>
          <w:p w14:paraId="0361CB29" w14:textId="77D3318D" w:rsidR="00D95A50" w:rsidRPr="00F41BD8" w:rsidRDefault="001F5C03" w:rsidP="00D95A50">
            <w:pPr>
              <w:spacing w:after="0" w:line="276" w:lineRule="auto"/>
              <w:jc w:val="left"/>
              <w:rPr>
                <w:rFonts w:cs="Arial"/>
                <w:color w:val="000000"/>
                <w:sz w:val="16"/>
                <w:szCs w:val="16"/>
              </w:rPr>
            </w:pPr>
            <w:r w:rsidRPr="00F41BD8">
              <w:rPr>
                <w:rFonts w:cs="Arial"/>
                <w:color w:val="000000"/>
                <w:sz w:val="16"/>
                <w:szCs w:val="16"/>
              </w:rPr>
              <w:t xml:space="preserve">Φυσικές </w:t>
            </w:r>
            <w:r w:rsidR="00FD4D82">
              <w:rPr>
                <w:rFonts w:cs="Arial"/>
                <w:color w:val="000000"/>
                <w:sz w:val="16"/>
                <w:szCs w:val="16"/>
              </w:rPr>
              <w:t>π</w:t>
            </w:r>
            <w:r w:rsidRPr="00F41BD8">
              <w:rPr>
                <w:rFonts w:cs="Arial"/>
                <w:color w:val="000000"/>
                <w:sz w:val="16"/>
                <w:szCs w:val="16"/>
              </w:rPr>
              <w:t>αραλαβές</w:t>
            </w:r>
          </w:p>
        </w:tc>
        <w:tc>
          <w:tcPr>
            <w:tcW w:w="2448" w:type="dxa"/>
            <w:tcBorders>
              <w:top w:val="single" w:sz="4" w:space="0" w:color="808080" w:themeColor="background1" w:themeShade="80"/>
            </w:tcBorders>
            <w:shd w:val="clear" w:color="auto" w:fill="auto"/>
            <w:noWrap/>
            <w:vAlign w:val="bottom"/>
            <w:hideMark/>
          </w:tcPr>
          <w:p w14:paraId="59BB99C4" w14:textId="42AAAA1E" w:rsidR="00D95A50" w:rsidRPr="00F41BD8" w:rsidRDefault="00D95A50" w:rsidP="00D95A50">
            <w:pPr>
              <w:spacing w:after="0" w:line="276" w:lineRule="auto"/>
              <w:jc w:val="right"/>
              <w:rPr>
                <w:rFonts w:cs="Arial"/>
                <w:color w:val="000000"/>
                <w:sz w:val="16"/>
                <w:szCs w:val="16"/>
              </w:rPr>
            </w:pPr>
            <w:r>
              <w:rPr>
                <w:rFonts w:cs="Arial"/>
                <w:color w:val="000000"/>
                <w:sz w:val="16"/>
                <w:szCs w:val="16"/>
                <w:lang w:val="en-US"/>
              </w:rPr>
              <w:t>1.</w:t>
            </w:r>
            <w:r w:rsidR="001F5C03">
              <w:rPr>
                <w:rFonts w:cs="Arial"/>
                <w:color w:val="000000"/>
                <w:sz w:val="16"/>
                <w:szCs w:val="16"/>
              </w:rPr>
              <w:t>700</w:t>
            </w:r>
          </w:p>
        </w:tc>
        <w:tc>
          <w:tcPr>
            <w:tcW w:w="2912" w:type="dxa"/>
            <w:tcBorders>
              <w:top w:val="single" w:sz="4" w:space="0" w:color="808080" w:themeColor="background1" w:themeShade="80"/>
            </w:tcBorders>
            <w:shd w:val="clear" w:color="auto" w:fill="auto"/>
            <w:noWrap/>
            <w:vAlign w:val="bottom"/>
            <w:hideMark/>
          </w:tcPr>
          <w:p w14:paraId="0D06E50C" w14:textId="0B5662D0" w:rsidR="00D95A50" w:rsidRPr="00F41BD8" w:rsidRDefault="00D95A50" w:rsidP="00D95A50">
            <w:pPr>
              <w:spacing w:after="0" w:line="276" w:lineRule="auto"/>
              <w:jc w:val="right"/>
              <w:rPr>
                <w:rFonts w:cs="Arial"/>
                <w:color w:val="000000"/>
                <w:sz w:val="16"/>
                <w:szCs w:val="16"/>
              </w:rPr>
            </w:pPr>
            <w:r w:rsidRPr="00F53BDA">
              <w:rPr>
                <w:rFonts w:cs="Arial"/>
                <w:color w:val="000000"/>
                <w:sz w:val="16"/>
                <w:szCs w:val="16"/>
              </w:rPr>
              <w:t>2.</w:t>
            </w:r>
            <w:r w:rsidR="001F5C03">
              <w:rPr>
                <w:rFonts w:cs="Arial"/>
                <w:color w:val="000000"/>
                <w:sz w:val="16"/>
                <w:szCs w:val="16"/>
              </w:rPr>
              <w:t>300</w:t>
            </w:r>
          </w:p>
        </w:tc>
      </w:tr>
      <w:tr w:rsidR="00D95A50" w:rsidRPr="00F41BD8" w14:paraId="15150578" w14:textId="77777777" w:rsidTr="00FB0E86">
        <w:trPr>
          <w:cantSplit/>
          <w:trHeight w:val="222"/>
          <w:jc w:val="center"/>
        </w:trPr>
        <w:tc>
          <w:tcPr>
            <w:tcW w:w="2433" w:type="dxa"/>
            <w:shd w:val="clear" w:color="auto" w:fill="auto"/>
            <w:vAlign w:val="center"/>
            <w:hideMark/>
          </w:tcPr>
          <w:p w14:paraId="45F06EF2" w14:textId="16F2DD54" w:rsidR="00D95A50" w:rsidRPr="00F41BD8" w:rsidRDefault="001F5C03" w:rsidP="00D95A50">
            <w:pPr>
              <w:spacing w:after="0" w:line="276" w:lineRule="auto"/>
              <w:jc w:val="left"/>
              <w:rPr>
                <w:rFonts w:cs="Arial"/>
                <w:color w:val="000000"/>
                <w:sz w:val="16"/>
                <w:szCs w:val="16"/>
              </w:rPr>
            </w:pPr>
            <w:r w:rsidRPr="00F41BD8">
              <w:rPr>
                <w:rFonts w:cs="Arial"/>
                <w:color w:val="000000"/>
                <w:sz w:val="16"/>
                <w:szCs w:val="16"/>
              </w:rPr>
              <w:t>Πληρωμές</w:t>
            </w:r>
          </w:p>
        </w:tc>
        <w:tc>
          <w:tcPr>
            <w:tcW w:w="2448" w:type="dxa"/>
            <w:shd w:val="clear" w:color="auto" w:fill="auto"/>
            <w:noWrap/>
            <w:vAlign w:val="bottom"/>
            <w:hideMark/>
          </w:tcPr>
          <w:p w14:paraId="33DD0811" w14:textId="67DE975B" w:rsidR="00D95A50" w:rsidRPr="001F5C03" w:rsidRDefault="00D95A50" w:rsidP="00D95A50">
            <w:pPr>
              <w:spacing w:after="0" w:line="276" w:lineRule="auto"/>
              <w:jc w:val="right"/>
              <w:rPr>
                <w:rFonts w:cs="Arial"/>
                <w:color w:val="000000"/>
                <w:sz w:val="16"/>
                <w:szCs w:val="16"/>
              </w:rPr>
            </w:pPr>
            <w:r>
              <w:rPr>
                <w:rFonts w:cs="Arial"/>
                <w:color w:val="000000"/>
                <w:sz w:val="16"/>
                <w:szCs w:val="16"/>
                <w:lang w:val="en-US"/>
              </w:rPr>
              <w:t>2.</w:t>
            </w:r>
            <w:r w:rsidR="001F5C03">
              <w:rPr>
                <w:rFonts w:cs="Arial"/>
                <w:color w:val="000000"/>
                <w:sz w:val="16"/>
                <w:szCs w:val="16"/>
              </w:rPr>
              <w:t>496</w:t>
            </w:r>
          </w:p>
        </w:tc>
        <w:tc>
          <w:tcPr>
            <w:tcW w:w="2912" w:type="dxa"/>
            <w:shd w:val="clear" w:color="auto" w:fill="auto"/>
            <w:noWrap/>
            <w:vAlign w:val="bottom"/>
            <w:hideMark/>
          </w:tcPr>
          <w:p w14:paraId="418B38F6" w14:textId="5ACA927A" w:rsidR="00D95A50" w:rsidRPr="00F41BD8" w:rsidRDefault="00D95A50" w:rsidP="00D95A50">
            <w:pPr>
              <w:spacing w:after="0" w:line="276" w:lineRule="auto"/>
              <w:jc w:val="right"/>
              <w:rPr>
                <w:rFonts w:cs="Arial"/>
                <w:color w:val="000000"/>
                <w:sz w:val="16"/>
                <w:szCs w:val="16"/>
              </w:rPr>
            </w:pPr>
            <w:r>
              <w:rPr>
                <w:rFonts w:cs="Arial"/>
                <w:color w:val="000000"/>
                <w:sz w:val="16"/>
                <w:szCs w:val="16"/>
              </w:rPr>
              <w:t>3</w:t>
            </w:r>
            <w:r w:rsidRPr="00F53BDA">
              <w:rPr>
                <w:rFonts w:cs="Arial"/>
                <w:color w:val="000000"/>
                <w:sz w:val="16"/>
                <w:szCs w:val="16"/>
              </w:rPr>
              <w:t>.</w:t>
            </w:r>
            <w:r>
              <w:rPr>
                <w:rFonts w:cs="Arial"/>
                <w:color w:val="000000"/>
                <w:sz w:val="16"/>
                <w:szCs w:val="16"/>
              </w:rPr>
              <w:t>200</w:t>
            </w:r>
          </w:p>
        </w:tc>
      </w:tr>
    </w:tbl>
    <w:p w14:paraId="2AE1F537" w14:textId="3DADD7D2" w:rsidR="00FB0E86" w:rsidRPr="00CE773A" w:rsidRDefault="00FB0E86" w:rsidP="00FB0E86">
      <w:pPr>
        <w:spacing w:before="240"/>
      </w:pPr>
      <w:r>
        <w:t>Τέλος</w:t>
      </w:r>
      <w:r w:rsidRPr="000626A0">
        <w:t xml:space="preserve">, το σύνολο των δαπανών του </w:t>
      </w:r>
      <w:r>
        <w:t>π</w:t>
      </w:r>
      <w:r w:rsidRPr="000626A0">
        <w:t xml:space="preserve">ροϋπολογισμού </w:t>
      </w:r>
      <w:r>
        <w:t>δ</w:t>
      </w:r>
      <w:r w:rsidRPr="000626A0">
        <w:t xml:space="preserve">ημοσίων </w:t>
      </w:r>
      <w:r>
        <w:t>ε</w:t>
      </w:r>
      <w:r w:rsidRPr="000626A0">
        <w:t>πενδύσεων του φορέα</w:t>
      </w:r>
      <w:r>
        <w:t xml:space="preserve"> προβλέπεται το </w:t>
      </w:r>
      <w:r w:rsidRPr="000626A0">
        <w:t>έτος 202</w:t>
      </w:r>
      <w:r>
        <w:t xml:space="preserve">6 να ανέλθει σε 108 </w:t>
      </w:r>
      <w:r w:rsidRPr="000626A0">
        <w:t xml:space="preserve">εκατ. ευρώ για έργα που υλοποιούνται από τα τρία </w:t>
      </w:r>
      <w:r>
        <w:t xml:space="preserve">Γενικά </w:t>
      </w:r>
      <w:r w:rsidRPr="000626A0">
        <w:t xml:space="preserve">Επιτελεία </w:t>
      </w:r>
      <w:r>
        <w:t>(</w:t>
      </w:r>
      <w:r w:rsidRPr="000626A0">
        <w:t>Αεροπορίας, Στρατού Ξηράς και Ναυτικού</w:t>
      </w:r>
      <w:r>
        <w:t>)</w:t>
      </w:r>
      <w:r w:rsidRPr="000626A0">
        <w:t>.</w:t>
      </w:r>
    </w:p>
    <w:p w14:paraId="0164ABD1" w14:textId="77777777" w:rsidR="002339BB" w:rsidRPr="00D43A34" w:rsidRDefault="00F67FDB" w:rsidP="001A134B">
      <w:pPr>
        <w:spacing w:before="240"/>
        <w:rPr>
          <w:rFonts w:cs="Arial"/>
          <w:b/>
          <w:szCs w:val="20"/>
        </w:rPr>
      </w:pPr>
      <w:r w:rsidRPr="00410508">
        <w:rPr>
          <w:rFonts w:cs="Arial"/>
          <w:b/>
          <w:szCs w:val="20"/>
        </w:rPr>
        <w:t xml:space="preserve">Υπουργείο </w:t>
      </w:r>
      <w:r w:rsidR="002339BB" w:rsidRPr="00410508">
        <w:rPr>
          <w:rFonts w:cs="Arial"/>
          <w:b/>
          <w:szCs w:val="20"/>
        </w:rPr>
        <w:t>Υγείας</w:t>
      </w:r>
    </w:p>
    <w:p w14:paraId="390087EB" w14:textId="77777777" w:rsidR="0026129C" w:rsidRDefault="0026129C" w:rsidP="0026129C">
      <w:r>
        <w:t>Στον τακτικό προϋπολογισμό του Υπουργείου Υγείας προβλέπονται πιστώσεις για την εύρυθμη και αποτελεσματική λειτουργία των υπηρεσιών παροχής πρωτοβάθμιας και δευτεροβάθμιας φροντίδας υγείας της χώρας.</w:t>
      </w:r>
    </w:p>
    <w:p w14:paraId="646B086D" w14:textId="677C7E1E" w:rsidR="0026129C" w:rsidRDefault="0026129C" w:rsidP="0026129C">
      <w:r>
        <w:t>Στο πλαίσιο αυτό οι μεταβιβάσεις προς τα νοσηλευτικά ιδρύματα, τις μονάδες υγείας του συστήματος ΠΦΥ</w:t>
      </w:r>
      <w:r w:rsidRPr="003C2002">
        <w:t>, την ΕΚΑΠΥ</w:t>
      </w:r>
      <w:r>
        <w:t xml:space="preserve"> και τον ΕΟΠΥΥ αποσκοπούν στη διαρκή βελτίωση του επιπέδου των προσφερόμενων υπηρεσιών, στην αναβάθμιση του επιπέδου εξυπηρέτησης των ασθενών, στην ανανέωση και στον εκσυγχρονισμό τόσο του ιατρικού εξοπλισμού όσο και των κτ</w:t>
      </w:r>
      <w:r w:rsidR="003B5E1B">
        <w:t>η</w:t>
      </w:r>
      <w:r>
        <w:t>ριακών υποδομών καθώς και στη διασφάλιση της απρόσκοπτης διαδικασίας εφοδιασμού με ιατροφαρμακευτικό και λοιπό υλικό.</w:t>
      </w:r>
    </w:p>
    <w:p w14:paraId="792F376E" w14:textId="77777777" w:rsidR="0026129C" w:rsidRDefault="0026129C" w:rsidP="0026129C">
      <w:r>
        <w:t>Επιπρόσθετα, οι μεταβιβάσεις προς τους εποπτευόμενους φορείς του Υπουργείου προορίζονται να καλύψουν τόσο τις λειτουργικές ανάγκες όσο και τις εξειδικευμένες δραστηριότητές τους κατά τομέα. Ενδεικτικά αναφέρονται οι ανάγκες προστασίας της δημόσιας υγείας, η συνέχιση παροχής υπηρεσιών από τις μονάδες ψυχικής υγείας, η καταπολέμηση των ναρκωτικών και η παροχή σχετικής φροντίδας, η διακομιδή έκτακτων περιστατικών που χρήζουν υγειονομικής περίθαλψης καθώς και η αντιμετώπιση έκτακτων περιστατικών και υγειονομικών καταστάσεων.</w:t>
      </w:r>
    </w:p>
    <w:p w14:paraId="236E5E24" w14:textId="77777777" w:rsidR="0026129C" w:rsidRPr="003B5E1B" w:rsidRDefault="0026129C" w:rsidP="0026129C">
      <w:r w:rsidRPr="003B5E1B">
        <w:lastRenderedPageBreak/>
        <w:t>Ο τακτικός προϋπολογισμός έτους 2025 είχε προβλεφθεί σε 6.608 εκατ. ευρώ, ενώ κατά τη διάρκεια εκτέλεσης ενισχύθηκε κατά 578 εκατ. ευρώ και διαμορφώθηκε στο ποσό των 7.186 εκατ. ευρώ.</w:t>
      </w:r>
    </w:p>
    <w:p w14:paraId="5C1E4333" w14:textId="4011E12B" w:rsidR="0026129C" w:rsidRPr="003C4BC7" w:rsidRDefault="0026129C" w:rsidP="0026129C">
      <w:r w:rsidRPr="005C1EF4">
        <w:t>Ειδικότερα, το 20</w:t>
      </w:r>
      <w:r w:rsidRPr="00F50656">
        <w:t>25</w:t>
      </w:r>
      <w:r>
        <w:t xml:space="preserve"> διατέθηκαν από το τακτικό και το ειδικό αποθεματικό του κρατικού προϋπολογισμού (παρ.1 και 8 του άρθρου 59 του ν.4270/2014) πιστώσεις </w:t>
      </w:r>
      <w:r w:rsidRPr="00AA6BD6">
        <w:t xml:space="preserve">συνολικού </w:t>
      </w:r>
      <w:r w:rsidRPr="003B5E1B">
        <w:t>ύψους 181</w:t>
      </w:r>
      <w:r w:rsidR="00BE475D" w:rsidRPr="003B5E1B">
        <w:t xml:space="preserve"> </w:t>
      </w:r>
      <w:r w:rsidRPr="003B5E1B">
        <w:t>εκατ. ευρώ</w:t>
      </w:r>
      <w:r>
        <w:t xml:space="preserve"> περίπου</w:t>
      </w:r>
      <w:r w:rsidRPr="003C4BC7">
        <w:t xml:space="preserve">, </w:t>
      </w:r>
      <w:r>
        <w:t xml:space="preserve">οι οποίες διατέθηκαν κατά κύριο λόγο </w:t>
      </w:r>
      <w:r w:rsidRPr="003C4BC7">
        <w:t xml:space="preserve">ως </w:t>
      </w:r>
      <w:r>
        <w:t>ακολούθως</w:t>
      </w:r>
      <w:r w:rsidRPr="003C4BC7">
        <w:t>:</w:t>
      </w:r>
    </w:p>
    <w:p w14:paraId="34670DB1" w14:textId="4333EB6E" w:rsidR="0026129C" w:rsidRDefault="0026129C" w:rsidP="00C822C8">
      <w:pPr>
        <w:numPr>
          <w:ilvl w:val="0"/>
          <w:numId w:val="1"/>
        </w:numPr>
        <w:spacing w:before="120" w:after="60"/>
        <w:ind w:left="568" w:hanging="284"/>
      </w:pPr>
      <w:r>
        <w:t xml:space="preserve">41,4 εκατ. ευρώ για την προμήθεια αντιικών φαρμάκων και θεραπειών κατά του </w:t>
      </w:r>
      <w:r>
        <w:rPr>
          <w:lang w:val="en-US"/>
        </w:rPr>
        <w:t>Covid</w:t>
      </w:r>
      <w:r w:rsidR="003B5E1B">
        <w:t>-1</w:t>
      </w:r>
      <w:r w:rsidRPr="0060073E">
        <w:t>9,</w:t>
      </w:r>
    </w:p>
    <w:p w14:paraId="7085025C" w14:textId="34AC4921" w:rsidR="0026129C" w:rsidRDefault="0026129C" w:rsidP="00C822C8">
      <w:pPr>
        <w:numPr>
          <w:ilvl w:val="0"/>
          <w:numId w:val="1"/>
        </w:numPr>
        <w:spacing w:before="60" w:after="60"/>
        <w:ind w:left="568" w:hanging="284"/>
      </w:pPr>
      <w:r>
        <w:t xml:space="preserve">15,6 εκατ. ευρώ </w:t>
      </w:r>
      <w:r w:rsidRPr="00A239FB">
        <w:t>για</w:t>
      </w:r>
      <w:r>
        <w:t xml:space="preserve"> την</w:t>
      </w:r>
      <w:r w:rsidRPr="00A239FB">
        <w:t xml:space="preserve"> αποζημίωση των </w:t>
      </w:r>
      <w:r>
        <w:t xml:space="preserve">ιατρών των νοσοκομείων του </w:t>
      </w:r>
      <w:r w:rsidR="00385311" w:rsidRPr="0082513E">
        <w:rPr>
          <w:rFonts w:cs="Arial"/>
        </w:rPr>
        <w:t>Ε</w:t>
      </w:r>
      <w:r w:rsidR="00385311">
        <w:rPr>
          <w:rFonts w:cs="Arial"/>
        </w:rPr>
        <w:t xml:space="preserve">θνικού </w:t>
      </w:r>
      <w:r w:rsidR="00385311" w:rsidRPr="0082513E">
        <w:rPr>
          <w:rFonts w:cs="Arial"/>
        </w:rPr>
        <w:t>Σ</w:t>
      </w:r>
      <w:r w:rsidR="00385311">
        <w:rPr>
          <w:rFonts w:cs="Arial"/>
        </w:rPr>
        <w:t xml:space="preserve">υστήματος </w:t>
      </w:r>
      <w:r w:rsidR="00385311" w:rsidRPr="0082513E">
        <w:rPr>
          <w:rFonts w:cs="Arial"/>
        </w:rPr>
        <w:t>Υ</w:t>
      </w:r>
      <w:r w:rsidR="00385311">
        <w:rPr>
          <w:rFonts w:cs="Arial"/>
        </w:rPr>
        <w:t>γείας</w:t>
      </w:r>
      <w:r w:rsidR="00385311">
        <w:t xml:space="preserve"> (</w:t>
      </w:r>
      <w:r>
        <w:t>ΕΣΥ</w:t>
      </w:r>
      <w:r w:rsidR="00385311">
        <w:t>)</w:t>
      </w:r>
      <w:r>
        <w:t xml:space="preserve"> </w:t>
      </w:r>
      <w:r w:rsidRPr="00A239FB">
        <w:t>και του Γ</w:t>
      </w:r>
      <w:r w:rsidR="00D25581">
        <w:t>ενικού Νοσοκομείου Θεσσαλονίκης (Γ</w:t>
      </w:r>
      <w:r w:rsidRPr="00A239FB">
        <w:t>ΝΘ</w:t>
      </w:r>
      <w:r w:rsidR="00D25581">
        <w:t>)</w:t>
      </w:r>
      <w:r w:rsidRPr="00A239FB">
        <w:t xml:space="preserve"> Π</w:t>
      </w:r>
      <w:r>
        <w:t>απαγεωργίου</w:t>
      </w:r>
      <w:r w:rsidRPr="00A239FB">
        <w:t xml:space="preserve"> για το διάστημα από 01.</w:t>
      </w:r>
      <w:r w:rsidRPr="002B6B51">
        <w:t>10</w:t>
      </w:r>
      <w:r>
        <w:t>.</w:t>
      </w:r>
      <w:r w:rsidRPr="00A239FB">
        <w:t>2024</w:t>
      </w:r>
      <w:r>
        <w:t xml:space="preserve"> έως </w:t>
      </w:r>
      <w:r w:rsidRPr="00A239FB">
        <w:t>30.9.202</w:t>
      </w:r>
      <w:r w:rsidRPr="002B6B51">
        <w:t>5</w:t>
      </w:r>
      <w:r w:rsidRPr="00A239FB">
        <w:t xml:space="preserve">, στο </w:t>
      </w:r>
      <w:r w:rsidRPr="002959E7">
        <w:t xml:space="preserve">πλαίσιο μέτρων για την αντιμετώπιση του </w:t>
      </w:r>
      <w:r w:rsidRPr="002959E7">
        <w:rPr>
          <w:lang w:val="en-US"/>
        </w:rPr>
        <w:t>Covid</w:t>
      </w:r>
      <w:r w:rsidRPr="002959E7">
        <w:t>-19 (άρθρα 88, 89 και 90 του ν.4850/2021, Α’ 208</w:t>
      </w:r>
      <w:r w:rsidRPr="00A239FB">
        <w:t>)</w:t>
      </w:r>
      <w:r>
        <w:t>,</w:t>
      </w:r>
    </w:p>
    <w:p w14:paraId="39B87311" w14:textId="08F7F715" w:rsidR="0026129C" w:rsidRDefault="0026129C" w:rsidP="00C822C8">
      <w:pPr>
        <w:numPr>
          <w:ilvl w:val="0"/>
          <w:numId w:val="1"/>
        </w:numPr>
        <w:spacing w:before="60" w:after="60"/>
        <w:ind w:left="568" w:hanging="284"/>
      </w:pPr>
      <w:r>
        <w:t>75,1 εκατ. ευρώ για την κάλυψη δαπανών σε εκτέλεση δικαστικών αποφάσεων που προέκυψαν από την εκδίκαση μισθολογικών διαφορών υπαλλήλων του Υπουργείου Υγείας,</w:t>
      </w:r>
      <w:r w:rsidRPr="002B6B51">
        <w:t xml:space="preserve"> </w:t>
      </w:r>
      <w:r>
        <w:t>των νοσοκομείων</w:t>
      </w:r>
      <w:r w:rsidRPr="002B6B51">
        <w:t>,</w:t>
      </w:r>
      <w:r>
        <w:t xml:space="preserve"> της ΠΦΥ και του ΕΚΑΒ,</w:t>
      </w:r>
    </w:p>
    <w:p w14:paraId="74231F86" w14:textId="198F7866" w:rsidR="0026129C" w:rsidRDefault="0026129C" w:rsidP="00C822C8">
      <w:pPr>
        <w:numPr>
          <w:ilvl w:val="0"/>
          <w:numId w:val="1"/>
        </w:numPr>
        <w:spacing w:before="60" w:after="60"/>
        <w:ind w:left="568" w:hanging="284"/>
      </w:pPr>
      <w:r>
        <w:t>20 εκατ. ευρώ για την προμήθεια μέσω της ΕΚΑΠΥ φαρμακευτικών σκευασμάτων για λογαριασμό των δημόσιων νοσοκομείων και το Γ</w:t>
      </w:r>
      <w:r w:rsidR="000811E3">
        <w:t>ΝΘ</w:t>
      </w:r>
      <w:r>
        <w:t xml:space="preserve"> Παπαγεωργίου λόγω της ισόποσης αύξησης του ορίου της φαρμακευτικής δαπάνης για το έτος 2023, σύμφωνα με το άρθρο 25 παρ.2</w:t>
      </w:r>
      <w:r w:rsidR="000811E3">
        <w:t>α</w:t>
      </w:r>
      <w:r>
        <w:t xml:space="preserve"> του ν.4549/2018 καθώς και</w:t>
      </w:r>
    </w:p>
    <w:p w14:paraId="027D5B68" w14:textId="204D4448" w:rsidR="0026129C" w:rsidRDefault="0026129C" w:rsidP="00C822C8">
      <w:pPr>
        <w:numPr>
          <w:ilvl w:val="0"/>
          <w:numId w:val="1"/>
        </w:numPr>
        <w:spacing w:before="60"/>
        <w:ind w:left="568" w:hanging="284"/>
      </w:pPr>
      <w:r>
        <w:t>14,5 εκατ. ευρώ για εισπραχθέντα έσοδα προηγούμενου οικονομικού έτους</w:t>
      </w:r>
      <w:r w:rsidR="000811E3">
        <w:t>, τα οποία</w:t>
      </w:r>
      <w:r>
        <w:t xml:space="preserve"> δεν κατέστη δυνατό να εγγραφούν στον προϋπολογισμ</w:t>
      </w:r>
      <w:r w:rsidR="00105912">
        <w:t>ό</w:t>
      </w:r>
      <w:r>
        <w:t xml:space="preserve"> του Υπουργείου Υγείας λόγω λήξης του οικονομικού έτους και αφορούν </w:t>
      </w:r>
      <w:r w:rsidR="000811E3">
        <w:t>σ</w:t>
      </w:r>
      <w:r>
        <w:t xml:space="preserve">την κάλυψη </w:t>
      </w:r>
      <w:r w:rsidR="000A3EB5">
        <w:t xml:space="preserve">των </w:t>
      </w:r>
      <w:r>
        <w:t>λειτουργικών δαπανών των Μονάδων</w:t>
      </w:r>
      <w:r w:rsidRPr="000A55A5">
        <w:t xml:space="preserve"> Ψυχικής Υγείας</w:t>
      </w:r>
      <w:r>
        <w:t xml:space="preserve">, </w:t>
      </w:r>
      <w:r w:rsidRPr="000A55A5">
        <w:t xml:space="preserve">σύμφωνα </w:t>
      </w:r>
      <w:r w:rsidR="000811E3">
        <w:t xml:space="preserve">με </w:t>
      </w:r>
      <w:r w:rsidRPr="000A55A5">
        <w:t>το άρθρο 18 του ν.5129/2024 (Α</w:t>
      </w:r>
      <w:r w:rsidR="000811E3">
        <w:t xml:space="preserve">’ </w:t>
      </w:r>
      <w:r w:rsidRPr="000A55A5">
        <w:t>124)</w:t>
      </w:r>
      <w:r w:rsidR="00105912">
        <w:t>.</w:t>
      </w:r>
    </w:p>
    <w:p w14:paraId="6C053D01" w14:textId="5048A366" w:rsidR="0026129C" w:rsidRPr="0014688A" w:rsidRDefault="0026129C" w:rsidP="0026129C">
      <w:pPr>
        <w:rPr>
          <w:rFonts w:cs="Arial"/>
          <w:szCs w:val="20"/>
        </w:rPr>
      </w:pPr>
      <w:r w:rsidRPr="0014688A">
        <w:rPr>
          <w:rFonts w:cs="Arial"/>
          <w:szCs w:val="20"/>
        </w:rPr>
        <w:t>Επίσης, ο προϋπολογισμός εξόδων του Υπουργείου Υγείας εκτιμάται ότι θα ενισχυθεί από λοιπές υπό κατανομή πιστώσεις των Γενικών Κρατικών Δαπανών του Υπουργείου Εθνικής Οικονομίας και Οικονομικών</w:t>
      </w:r>
      <w:r w:rsidR="000811E3">
        <w:rPr>
          <w:rFonts w:cs="Arial"/>
          <w:szCs w:val="20"/>
        </w:rPr>
        <w:t>,</w:t>
      </w:r>
      <w:r w:rsidRPr="0014688A">
        <w:rPr>
          <w:rFonts w:cs="Arial"/>
          <w:szCs w:val="20"/>
        </w:rPr>
        <w:t xml:space="preserve"> συνολικού ύψους </w:t>
      </w:r>
      <w:r w:rsidRPr="000811E3">
        <w:rPr>
          <w:rFonts w:cs="Arial"/>
          <w:szCs w:val="20"/>
        </w:rPr>
        <w:t>386 εκατ</w:t>
      </w:r>
      <w:r w:rsidRPr="0014688A">
        <w:rPr>
          <w:rFonts w:cs="Arial"/>
          <w:szCs w:val="20"/>
        </w:rPr>
        <w:t>. ευρώ περίπου, ως εξής:</w:t>
      </w:r>
    </w:p>
    <w:p w14:paraId="200238CA" w14:textId="2392F194" w:rsidR="0026129C" w:rsidRPr="0014688A" w:rsidRDefault="0026129C" w:rsidP="00C822C8">
      <w:pPr>
        <w:numPr>
          <w:ilvl w:val="0"/>
          <w:numId w:val="1"/>
        </w:numPr>
        <w:spacing w:before="120" w:after="60"/>
        <w:ind w:left="568" w:hanging="284"/>
        <w:rPr>
          <w:rFonts w:cs="Arial"/>
          <w:szCs w:val="20"/>
        </w:rPr>
      </w:pPr>
      <w:r w:rsidRPr="0014688A">
        <w:rPr>
          <w:rFonts w:cs="Arial"/>
          <w:szCs w:val="20"/>
        </w:rPr>
        <w:t>120 και 30 εκατ. ευρώ για την επιχορήγηση του ΕΟΠΥΥ και της ΕΚΑΠΥ, αντίστοιχα, για την κάλυψη της αύξησης του ορίου φαρμακευτικής δαπάνης (</w:t>
      </w:r>
      <w:r w:rsidRPr="0014688A">
        <w:rPr>
          <w:rFonts w:cs="Arial"/>
          <w:szCs w:val="20"/>
          <w:lang w:val="en-US"/>
        </w:rPr>
        <w:t>clawback</w:t>
      </w:r>
      <w:r w:rsidRPr="0014688A">
        <w:rPr>
          <w:rFonts w:cs="Arial"/>
          <w:szCs w:val="20"/>
        </w:rPr>
        <w:t>) έτους 2023, σύμφωνα με την παρ.3β του άρθρου 25 του ν.4549/2018,</w:t>
      </w:r>
    </w:p>
    <w:p w14:paraId="104966BE" w14:textId="62550829" w:rsidR="0026129C" w:rsidRPr="0014688A" w:rsidRDefault="0026129C" w:rsidP="00C822C8">
      <w:pPr>
        <w:numPr>
          <w:ilvl w:val="0"/>
          <w:numId w:val="1"/>
        </w:numPr>
        <w:spacing w:before="60" w:after="60"/>
        <w:ind w:left="568" w:hanging="284"/>
        <w:rPr>
          <w:rFonts w:cs="Arial"/>
          <w:szCs w:val="20"/>
        </w:rPr>
      </w:pPr>
      <w:r w:rsidRPr="0014688A">
        <w:rPr>
          <w:rFonts w:cs="Arial"/>
          <w:szCs w:val="20"/>
        </w:rPr>
        <w:t>158 εκατ. ευρώ για την κάλυψη ληξιπρόθεσμων υποχρεώσεων των νοσοκομείων του ΕΣΥ και</w:t>
      </w:r>
    </w:p>
    <w:p w14:paraId="6AF733D4" w14:textId="3498B1F4" w:rsidR="0026129C" w:rsidRPr="0014688A" w:rsidRDefault="0026129C" w:rsidP="00C822C8">
      <w:pPr>
        <w:numPr>
          <w:ilvl w:val="0"/>
          <w:numId w:val="1"/>
        </w:numPr>
        <w:spacing w:before="60"/>
        <w:ind w:left="568" w:hanging="284"/>
        <w:rPr>
          <w:rFonts w:cs="Arial"/>
          <w:szCs w:val="20"/>
        </w:rPr>
      </w:pPr>
      <w:r w:rsidRPr="0014688A">
        <w:rPr>
          <w:rFonts w:cs="Arial"/>
          <w:szCs w:val="20"/>
        </w:rPr>
        <w:t xml:space="preserve">78 εκατ. ευρώ περίπου για την κάλυψη της αυξημένης μισθολογικής δαπάνης </w:t>
      </w:r>
      <w:r w:rsidR="00E522F1" w:rsidRPr="0014688A">
        <w:rPr>
          <w:rFonts w:cs="Arial"/>
          <w:szCs w:val="20"/>
        </w:rPr>
        <w:t xml:space="preserve">κυρίως </w:t>
      </w:r>
      <w:r w:rsidRPr="0014688A">
        <w:rPr>
          <w:rFonts w:cs="Arial"/>
          <w:szCs w:val="20"/>
        </w:rPr>
        <w:t xml:space="preserve">λόγω των νέων διορισμών αλλά και </w:t>
      </w:r>
      <w:r w:rsidR="003807B9">
        <w:rPr>
          <w:rFonts w:cs="Arial"/>
          <w:szCs w:val="20"/>
        </w:rPr>
        <w:t xml:space="preserve">λόγω </w:t>
      </w:r>
      <w:r w:rsidRPr="0014688A">
        <w:rPr>
          <w:rFonts w:cs="Arial"/>
          <w:szCs w:val="20"/>
        </w:rPr>
        <w:t>τη</w:t>
      </w:r>
      <w:r w:rsidR="003807B9">
        <w:rPr>
          <w:rFonts w:cs="Arial"/>
          <w:szCs w:val="20"/>
        </w:rPr>
        <w:t>ς</w:t>
      </w:r>
      <w:r w:rsidRPr="0014688A">
        <w:rPr>
          <w:rFonts w:cs="Arial"/>
          <w:szCs w:val="20"/>
        </w:rPr>
        <w:t xml:space="preserve"> οριζόντια</w:t>
      </w:r>
      <w:r w:rsidR="003807B9">
        <w:rPr>
          <w:rFonts w:cs="Arial"/>
          <w:szCs w:val="20"/>
        </w:rPr>
        <w:t>ς</w:t>
      </w:r>
      <w:r w:rsidRPr="0014688A">
        <w:rPr>
          <w:rFonts w:cs="Arial"/>
          <w:szCs w:val="20"/>
        </w:rPr>
        <w:t xml:space="preserve"> αύξηση</w:t>
      </w:r>
      <w:r w:rsidR="003807B9">
        <w:rPr>
          <w:rFonts w:cs="Arial"/>
          <w:szCs w:val="20"/>
        </w:rPr>
        <w:t>ς</w:t>
      </w:r>
      <w:r w:rsidRPr="0014688A">
        <w:rPr>
          <w:rFonts w:cs="Arial"/>
          <w:szCs w:val="20"/>
        </w:rPr>
        <w:t xml:space="preserve"> του μισθολογίου του δημόσιου τομέα, σύμφωνα με το άρθρο 14 του ν.5163/2024 (Α</w:t>
      </w:r>
      <w:r w:rsidR="000811E3">
        <w:rPr>
          <w:rFonts w:cs="Arial"/>
          <w:szCs w:val="20"/>
        </w:rPr>
        <w:t xml:space="preserve">’ </w:t>
      </w:r>
      <w:r w:rsidRPr="0014688A">
        <w:rPr>
          <w:rFonts w:cs="Arial"/>
          <w:szCs w:val="20"/>
        </w:rPr>
        <w:t>199).</w:t>
      </w:r>
    </w:p>
    <w:p w14:paraId="62BA0F16" w14:textId="77777777" w:rsidR="0026129C" w:rsidRPr="0014688A" w:rsidRDefault="0026129C" w:rsidP="0026129C">
      <w:pPr>
        <w:rPr>
          <w:rFonts w:cs="Arial"/>
          <w:szCs w:val="20"/>
        </w:rPr>
      </w:pPr>
      <w:r w:rsidRPr="0014688A">
        <w:rPr>
          <w:rFonts w:cs="Arial"/>
          <w:szCs w:val="20"/>
        </w:rPr>
        <w:t xml:space="preserve">Στον τακτικό προϋπολογισμό του Υπουργείου Υγείας για το 2026 έχουν προβλεφθεί πιστώσεις ύψους 6.946 εκατ. ευρώ, αυξημένες </w:t>
      </w:r>
      <w:r w:rsidRPr="000811E3">
        <w:rPr>
          <w:rFonts w:cs="Arial"/>
          <w:szCs w:val="20"/>
        </w:rPr>
        <w:t>κατά 338 εκατ</w:t>
      </w:r>
      <w:r w:rsidRPr="0014688A">
        <w:rPr>
          <w:rFonts w:cs="Arial"/>
          <w:szCs w:val="20"/>
        </w:rPr>
        <w:t>. ευρώ σε σχέση με τον αρχικό προϋπολογισμό έτους 2025. Ειδικότερα, στον προϋπολογισμό του Υπουργείου Υγείας έχουν προβλεφθεί πιστώσεις ύψους:</w:t>
      </w:r>
    </w:p>
    <w:p w14:paraId="16E1B8E7" w14:textId="3E9852B4" w:rsidR="0026129C" w:rsidRPr="0014688A" w:rsidRDefault="0026129C" w:rsidP="00C822C8">
      <w:pPr>
        <w:numPr>
          <w:ilvl w:val="0"/>
          <w:numId w:val="1"/>
        </w:numPr>
        <w:spacing w:before="120" w:after="60"/>
        <w:ind w:left="568" w:hanging="284"/>
        <w:rPr>
          <w:rFonts w:cs="Arial"/>
          <w:szCs w:val="20"/>
        </w:rPr>
      </w:pPr>
      <w:r w:rsidRPr="0014688A">
        <w:rPr>
          <w:rFonts w:cs="Arial"/>
          <w:szCs w:val="20"/>
        </w:rPr>
        <w:t>2.183 εκατ. ευρώ για μεταβιβάσεις προς τα δημόσια νοσοκομεία, την ΠΦΥ και την ΕΚΑΠΥ,</w:t>
      </w:r>
    </w:p>
    <w:p w14:paraId="6C7F3DB2" w14:textId="2CC4C433" w:rsidR="0026129C" w:rsidRPr="0014688A" w:rsidRDefault="0026129C" w:rsidP="00C822C8">
      <w:pPr>
        <w:numPr>
          <w:ilvl w:val="0"/>
          <w:numId w:val="1"/>
        </w:numPr>
        <w:spacing w:before="60" w:after="60"/>
        <w:ind w:left="568" w:hanging="284"/>
        <w:rPr>
          <w:rFonts w:cs="Arial"/>
          <w:szCs w:val="20"/>
        </w:rPr>
      </w:pPr>
      <w:r w:rsidRPr="0014688A">
        <w:rPr>
          <w:rFonts w:cs="Arial"/>
          <w:szCs w:val="20"/>
        </w:rPr>
        <w:t>1.900 εκατ. ευρώ για την επιχορήγηση του ΕΟΠΥΥ, στην οποία περιλαμβάνονται πιστώσεις ύψους:</w:t>
      </w:r>
    </w:p>
    <w:p w14:paraId="686ED650" w14:textId="7F268973" w:rsidR="0026129C" w:rsidRPr="0014688A" w:rsidRDefault="0026129C" w:rsidP="00C822C8">
      <w:pPr>
        <w:pStyle w:val="af0"/>
        <w:numPr>
          <w:ilvl w:val="0"/>
          <w:numId w:val="11"/>
        </w:numPr>
        <w:spacing w:before="60" w:after="60" w:line="300" w:lineRule="auto"/>
        <w:contextualSpacing w:val="0"/>
        <w:rPr>
          <w:rFonts w:ascii="Arial" w:hAnsi="Arial" w:cs="Arial"/>
          <w:sz w:val="20"/>
          <w:szCs w:val="20"/>
        </w:rPr>
      </w:pPr>
      <w:r w:rsidRPr="0014688A">
        <w:rPr>
          <w:rFonts w:ascii="Arial" w:hAnsi="Arial" w:cs="Arial"/>
          <w:sz w:val="20"/>
          <w:szCs w:val="20"/>
        </w:rPr>
        <w:t>912 εκατ. ευρώ για τη χρηματοδότηση των νοσοκομείων μέσω της εφαρμογής του συστήματος DRG,</w:t>
      </w:r>
    </w:p>
    <w:p w14:paraId="7F20B69E" w14:textId="6F4B4677" w:rsidR="0026129C" w:rsidRPr="0014688A" w:rsidRDefault="0026129C" w:rsidP="0014688A">
      <w:pPr>
        <w:pStyle w:val="af0"/>
        <w:numPr>
          <w:ilvl w:val="0"/>
          <w:numId w:val="11"/>
        </w:numPr>
        <w:spacing w:before="60" w:after="60" w:line="300" w:lineRule="auto"/>
        <w:contextualSpacing w:val="0"/>
        <w:rPr>
          <w:rFonts w:ascii="Arial" w:hAnsi="Arial" w:cs="Arial"/>
          <w:sz w:val="20"/>
          <w:szCs w:val="20"/>
        </w:rPr>
      </w:pPr>
      <w:r w:rsidRPr="0014688A">
        <w:rPr>
          <w:rFonts w:ascii="Arial" w:hAnsi="Arial" w:cs="Arial"/>
          <w:sz w:val="20"/>
          <w:szCs w:val="20"/>
        </w:rPr>
        <w:t>578 εκατ. ευρώ για την κάλυψη της απώλειας των εσόδων του λόγω της μείωσης κατά μία ποσοστιαία μονάδα των ασφαλιστικών εισφορών για την υγειονομική περίθαλψη και</w:t>
      </w:r>
    </w:p>
    <w:p w14:paraId="250AB965" w14:textId="2F969329" w:rsidR="0026129C" w:rsidRPr="0014688A" w:rsidRDefault="0026129C" w:rsidP="0014688A">
      <w:pPr>
        <w:pStyle w:val="af0"/>
        <w:numPr>
          <w:ilvl w:val="0"/>
          <w:numId w:val="11"/>
        </w:numPr>
        <w:spacing w:before="60" w:after="120" w:line="300" w:lineRule="auto"/>
        <w:contextualSpacing w:val="0"/>
        <w:rPr>
          <w:rFonts w:ascii="Arial" w:hAnsi="Arial" w:cs="Arial"/>
          <w:sz w:val="20"/>
          <w:szCs w:val="20"/>
        </w:rPr>
      </w:pPr>
      <w:r w:rsidRPr="0014688A">
        <w:rPr>
          <w:rFonts w:ascii="Arial" w:hAnsi="Arial" w:cs="Arial"/>
          <w:sz w:val="20"/>
          <w:szCs w:val="20"/>
        </w:rPr>
        <w:t>50 εκατ. ευρώ για τη σύσταση του Ταμείου Καινοτομίας Φαρμάκων,</w:t>
      </w:r>
    </w:p>
    <w:p w14:paraId="2777240C" w14:textId="03DBA322" w:rsidR="0026129C" w:rsidRPr="0014688A" w:rsidRDefault="0026129C" w:rsidP="0014688A">
      <w:pPr>
        <w:numPr>
          <w:ilvl w:val="0"/>
          <w:numId w:val="1"/>
        </w:numPr>
        <w:spacing w:before="120" w:after="60"/>
        <w:ind w:left="568" w:hanging="284"/>
        <w:rPr>
          <w:rFonts w:cs="Arial"/>
          <w:szCs w:val="20"/>
        </w:rPr>
      </w:pPr>
      <w:r w:rsidRPr="0014688A">
        <w:rPr>
          <w:rFonts w:cs="Arial"/>
          <w:szCs w:val="20"/>
        </w:rPr>
        <w:t>358 εκατ. ευρώ για μεταβιβάσεις προς λοιπά νομικά πρόσωπα εποπτείας του Υπουργείου Υγείας,</w:t>
      </w:r>
    </w:p>
    <w:p w14:paraId="20AE975C" w14:textId="77777777" w:rsidR="0026129C" w:rsidRPr="0014688A" w:rsidRDefault="0026129C" w:rsidP="0014688A">
      <w:pPr>
        <w:numPr>
          <w:ilvl w:val="0"/>
          <w:numId w:val="1"/>
        </w:numPr>
        <w:spacing w:before="60" w:after="60"/>
        <w:ind w:left="568" w:hanging="284"/>
        <w:rPr>
          <w:rFonts w:cs="Arial"/>
          <w:szCs w:val="20"/>
        </w:rPr>
      </w:pPr>
      <w:r w:rsidRPr="0014688A">
        <w:rPr>
          <w:rFonts w:cs="Arial"/>
          <w:szCs w:val="20"/>
        </w:rPr>
        <w:lastRenderedPageBreak/>
        <w:t>2.390 εκατ. ευρώ για τη μισθοδοσία του προσωπικού του Υπουργείου καθώς και του τακτικού προσωπικού των νοσοκομείων, της ΠΦΥ και του ΕΚΑΒ,</w:t>
      </w:r>
    </w:p>
    <w:p w14:paraId="64F16455" w14:textId="77777777" w:rsidR="0026129C" w:rsidRPr="0014688A" w:rsidRDefault="0026129C" w:rsidP="0014688A">
      <w:pPr>
        <w:numPr>
          <w:ilvl w:val="0"/>
          <w:numId w:val="1"/>
        </w:numPr>
        <w:spacing w:before="60" w:after="60"/>
        <w:ind w:left="568" w:hanging="284"/>
      </w:pPr>
      <w:r w:rsidRPr="0014688A">
        <w:t xml:space="preserve">105 εκατ. ευρώ για δαπάνες αγοράς αγαθών και υπηρεσιών, συμπεριλαμβανομένης της δαπάνης για την προμήθεια εμβολίων κατά του </w:t>
      </w:r>
      <w:r w:rsidRPr="0014688A">
        <w:rPr>
          <w:lang w:val="en-US"/>
        </w:rPr>
        <w:t>Covid</w:t>
      </w:r>
      <w:r w:rsidRPr="0014688A">
        <w:t>-19 και αντιικών θεραπειών και</w:t>
      </w:r>
    </w:p>
    <w:p w14:paraId="606B3549" w14:textId="5E53D4C3" w:rsidR="003C22FA" w:rsidRDefault="0026129C" w:rsidP="00480FB3">
      <w:pPr>
        <w:numPr>
          <w:ilvl w:val="0"/>
          <w:numId w:val="1"/>
        </w:numPr>
        <w:spacing w:before="60"/>
        <w:ind w:left="568" w:hanging="284"/>
      </w:pPr>
      <w:r w:rsidRPr="0014688A">
        <w:t>11 εκατ. ευρώ για λοιπές δαπάνες.</w:t>
      </w:r>
    </w:p>
    <w:p w14:paraId="3F32C62D" w14:textId="12845116" w:rsidR="007D4DDE" w:rsidRDefault="007D4DDE" w:rsidP="007D4DDE">
      <w:r>
        <w:t xml:space="preserve">Σημειώνεται ότι κατά τη διάρκεια του έτους 2026 ο προϋπολογισμός του Υπουργείου Υγείας αναμένεται να ενισχυθεί με επιπλέον 400 εκατ. ευρώ από την </w:t>
      </w:r>
      <w:r w:rsidRPr="00687EB9">
        <w:t>κατηγορία «Πιστώσεις υπό κατανομή» των Γενικών Κρατικών Δαπανών</w:t>
      </w:r>
      <w:r w:rsidR="00FF74D0">
        <w:t>,</w:t>
      </w:r>
      <w:r>
        <w:t xml:space="preserve"> που </w:t>
      </w:r>
      <w:r w:rsidRPr="00687EB9">
        <w:t>διατίθενται κατά την εκτέλεση του προϋπολογισμού με βάση τα απολογιστικά στοιχεία για το ύψος του clawback</w:t>
      </w:r>
      <w:r>
        <w:t xml:space="preserve">, </w:t>
      </w:r>
      <w:r w:rsidRPr="00687EB9">
        <w:t>σύμφωνα με την παρ.3 του άρθρου 25 του ν.4549/2018</w:t>
      </w:r>
      <w:r>
        <w:t>.</w:t>
      </w:r>
    </w:p>
    <w:p w14:paraId="5C6B8B8F" w14:textId="692E2CC4" w:rsidR="009214F5" w:rsidRPr="00D43A34" w:rsidRDefault="00410508" w:rsidP="009214F5">
      <w:r w:rsidRPr="00CC7A4E">
        <w:t xml:space="preserve">Τέλος, οι δαπάνες του </w:t>
      </w:r>
      <w:r w:rsidR="00F037ED" w:rsidRPr="00BB7EB3">
        <w:t>προϋπολογισμού δημοσίων επενδύσεων</w:t>
      </w:r>
      <w:r w:rsidRPr="00CC7A4E">
        <w:t xml:space="preserve"> </w:t>
      </w:r>
      <w:r w:rsidR="00FA0923">
        <w:t xml:space="preserve">και του ΤΑΑ </w:t>
      </w:r>
      <w:r w:rsidRPr="00CC7A4E">
        <w:t xml:space="preserve">προβλέπεται να ανέλθουν σε </w:t>
      </w:r>
      <w:r>
        <w:t>896</w:t>
      </w:r>
      <w:r w:rsidRPr="00CC7A4E">
        <w:t xml:space="preserve"> εκατ. ευρώ</w:t>
      </w:r>
      <w:r>
        <w:t>.</w:t>
      </w:r>
    </w:p>
    <w:p w14:paraId="77974A56" w14:textId="77777777" w:rsidR="002339BB" w:rsidRPr="00DA0BFA" w:rsidRDefault="00F67FDB" w:rsidP="00F27406">
      <w:pPr>
        <w:spacing w:before="240"/>
        <w:rPr>
          <w:rFonts w:cs="Arial"/>
          <w:b/>
          <w:szCs w:val="20"/>
        </w:rPr>
      </w:pPr>
      <w:r w:rsidRPr="00F037ED">
        <w:rPr>
          <w:rFonts w:cs="Arial"/>
          <w:b/>
          <w:szCs w:val="20"/>
        </w:rPr>
        <w:t xml:space="preserve">Υπουργείο </w:t>
      </w:r>
      <w:r w:rsidR="002339BB" w:rsidRPr="00F037ED">
        <w:rPr>
          <w:rFonts w:cs="Arial"/>
          <w:b/>
          <w:szCs w:val="20"/>
        </w:rPr>
        <w:t>Δικαιοσύνης</w:t>
      </w:r>
    </w:p>
    <w:p w14:paraId="666E23A9" w14:textId="16FBE208" w:rsidR="00580595" w:rsidRPr="00CE67BC" w:rsidRDefault="00580595" w:rsidP="00580595">
      <w:r w:rsidRPr="00CE67BC">
        <w:t xml:space="preserve">Οι πιστώσεις του τακτικού προϋπολογισμού του Υπουργείου Δικαιοσύνης καλύπτουν, πέραν της δαπάνης μισθοδοσίας και των λειτουργικών δαπανών των επιμέρους οργανικών μονάδων, τις δαπάνες του </w:t>
      </w:r>
      <w:r w:rsidRPr="00E545A6">
        <w:t>Ελεγκτικού Συνεδρίου</w:t>
      </w:r>
      <w:r w:rsidRPr="00CE67BC">
        <w:t xml:space="preserve">, την απόδοση εσόδων στο </w:t>
      </w:r>
      <w:r w:rsidRPr="00E545A6">
        <w:t>Ταμείο Χρηματοδότησης Δικαστικών Κτιρίων (ΤΑΧΔΙΚ)</w:t>
      </w:r>
      <w:r w:rsidRPr="00CE67BC">
        <w:t xml:space="preserve"> καθώς και τις δαπάνες λειτουργίας της </w:t>
      </w:r>
      <w:r w:rsidRPr="00E545A6">
        <w:t>Αρχής Προστασίας Δεδομένων Προσωπικού Χαρακτήρα</w:t>
      </w:r>
      <w:r w:rsidRPr="00CE67BC">
        <w:t xml:space="preserve"> </w:t>
      </w:r>
      <w:r w:rsidR="00BC1FE5">
        <w:t xml:space="preserve">(ΑΠΔΠΧ) </w:t>
      </w:r>
      <w:r w:rsidRPr="00CE67BC">
        <w:t xml:space="preserve">και της </w:t>
      </w:r>
      <w:r w:rsidRPr="00E545A6">
        <w:t>Αρχής Διασφάλισης του Απορρήτου των Επικοινωνιών (ΑΔΑΕ)</w:t>
      </w:r>
      <w:r w:rsidRPr="00CE67BC">
        <w:t>.</w:t>
      </w:r>
    </w:p>
    <w:p w14:paraId="2A5AE715" w14:textId="0B931D51" w:rsidR="00580595" w:rsidRPr="00CE67BC" w:rsidRDefault="00580595" w:rsidP="00580595">
      <w:r w:rsidRPr="00CE67BC">
        <w:t xml:space="preserve">Κατά το οικονομικό έτος </w:t>
      </w:r>
      <w:r w:rsidRPr="00E545A6">
        <w:t>2025</w:t>
      </w:r>
      <w:r w:rsidRPr="00CE67BC">
        <w:t xml:space="preserve"> ο τακτικός προϋπολογισμός του Υπουργείου ενισχύθηκε με πιστώσεις ύψους </w:t>
      </w:r>
      <w:r w:rsidRPr="00E545A6">
        <w:t xml:space="preserve">26 εκατ. </w:t>
      </w:r>
      <w:r w:rsidRPr="00CE67BC">
        <w:t xml:space="preserve">ευρώ </w:t>
      </w:r>
      <w:r>
        <w:t xml:space="preserve">για λειτουργικές δαπάνες </w:t>
      </w:r>
      <w:r w:rsidRPr="00CE67BC">
        <w:t xml:space="preserve">και εκτιμάται ότι θα διαμορφωθεί σε </w:t>
      </w:r>
      <w:r w:rsidRPr="00E545A6">
        <w:t>604 εκατ. ευρώ</w:t>
      </w:r>
      <w:r w:rsidRPr="00CE67BC">
        <w:t>.</w:t>
      </w:r>
    </w:p>
    <w:p w14:paraId="1AB64741" w14:textId="305F95D5" w:rsidR="00F037ED" w:rsidRDefault="00580595" w:rsidP="00F037ED">
      <w:r w:rsidRPr="00CE67BC">
        <w:t xml:space="preserve">Για το οικονομικό έτος </w:t>
      </w:r>
      <w:r w:rsidRPr="00E545A6">
        <w:t>2026</w:t>
      </w:r>
      <w:r w:rsidRPr="00CE67BC">
        <w:t xml:space="preserve"> προβλέπονται πιστώσεις τακτικού προϋπολογισμού ύψους 617 εκατ. ευρώ</w:t>
      </w:r>
      <w:r w:rsidR="00F037ED">
        <w:t xml:space="preserve">, ενώ από </w:t>
      </w:r>
      <w:bookmarkStart w:id="369" w:name="_Hlk213676182"/>
      <w:r w:rsidR="00F037ED">
        <w:t xml:space="preserve">τον </w:t>
      </w:r>
      <w:r w:rsidR="00F037ED" w:rsidRPr="00CC7A4E">
        <w:t xml:space="preserve">προϋπολογισμό δημοσίων επενδύσεων θα διατεθούν </w:t>
      </w:r>
      <w:r w:rsidR="00F037ED">
        <w:t>13</w:t>
      </w:r>
      <w:r w:rsidR="00F037ED" w:rsidRPr="00CC7A4E">
        <w:t xml:space="preserve"> εκατ. ευρώ </w:t>
      </w:r>
      <w:r w:rsidR="00F037ED">
        <w:t xml:space="preserve">για δαπάνες του εθνικού και </w:t>
      </w:r>
      <w:r w:rsidR="000A3EB5">
        <w:t xml:space="preserve">του </w:t>
      </w:r>
      <w:r w:rsidR="00F037ED">
        <w:t xml:space="preserve">συγχρηματοδοτούμενου σκέλους. Επιπλέον, ποσό ύψους </w:t>
      </w:r>
      <w:r w:rsidR="00F037ED" w:rsidRPr="00CC7A4E">
        <w:t>5</w:t>
      </w:r>
      <w:r w:rsidR="00F037ED">
        <w:t>0</w:t>
      </w:r>
      <w:r w:rsidR="00F037ED" w:rsidRPr="00CC7A4E">
        <w:t xml:space="preserve"> εκατ. ευρώ </w:t>
      </w:r>
      <w:r w:rsidR="00F037ED">
        <w:t xml:space="preserve">θα διατεθεί </w:t>
      </w:r>
      <w:r w:rsidR="00F037ED" w:rsidRPr="00CC7A4E">
        <w:t xml:space="preserve">για την κάλυψη </w:t>
      </w:r>
      <w:r w:rsidR="000A3EB5">
        <w:t xml:space="preserve">των </w:t>
      </w:r>
      <w:r w:rsidR="00F037ED" w:rsidRPr="00CC7A4E">
        <w:t>δαπανών υλοποίησης του Ετήσιου Σχεδίου Δράσης του Υπουργείου, οι οποίες χρηματοδοτούνται από το ΤΑΑ</w:t>
      </w:r>
      <w:r w:rsidR="00F037ED">
        <w:t>.</w:t>
      </w:r>
    </w:p>
    <w:bookmarkEnd w:id="369"/>
    <w:p w14:paraId="79129AE0" w14:textId="6C9E2C0D" w:rsidR="002339BB" w:rsidRPr="00E9234F" w:rsidRDefault="00F67FDB" w:rsidP="00F27406">
      <w:pPr>
        <w:spacing w:before="240"/>
        <w:rPr>
          <w:rFonts w:cs="Arial"/>
          <w:b/>
          <w:szCs w:val="20"/>
        </w:rPr>
      </w:pPr>
      <w:r w:rsidRPr="00BA5823">
        <w:rPr>
          <w:rFonts w:cs="Arial"/>
          <w:b/>
          <w:szCs w:val="20"/>
        </w:rPr>
        <w:t xml:space="preserve">Υπουργείο </w:t>
      </w:r>
      <w:r w:rsidR="002339BB" w:rsidRPr="00BA5823">
        <w:rPr>
          <w:rFonts w:cs="Arial"/>
          <w:b/>
          <w:szCs w:val="20"/>
        </w:rPr>
        <w:t>Παιδείας</w:t>
      </w:r>
      <w:r w:rsidR="000E6674" w:rsidRPr="00BA5823">
        <w:rPr>
          <w:rFonts w:cs="Arial"/>
          <w:b/>
          <w:szCs w:val="20"/>
        </w:rPr>
        <w:t>,</w:t>
      </w:r>
      <w:r w:rsidRPr="00BA5823">
        <w:rPr>
          <w:rFonts w:cs="Arial"/>
          <w:b/>
          <w:szCs w:val="20"/>
        </w:rPr>
        <w:t xml:space="preserve"> Θρησκευμάτων</w:t>
      </w:r>
      <w:r w:rsidR="000E6674" w:rsidRPr="00BA5823">
        <w:rPr>
          <w:rFonts w:cs="Arial"/>
          <w:b/>
          <w:szCs w:val="20"/>
        </w:rPr>
        <w:t xml:space="preserve"> και Αθλητισμού</w:t>
      </w:r>
    </w:p>
    <w:p w14:paraId="2E72B965" w14:textId="2FB87FB3" w:rsidR="00993166" w:rsidRPr="00A15BA1" w:rsidRDefault="00993166" w:rsidP="00993166">
      <w:r w:rsidRPr="00A15BA1">
        <w:t xml:space="preserve">Στον τακτικό προϋπολογισμό έχουν προβλεφθεί πιστώσεις για την κάλυψη των πολιτικών και δράσεων του Υπουργείου, που αφορούν </w:t>
      </w:r>
      <w:r w:rsidR="006E186D">
        <w:t>σ</w:t>
      </w:r>
      <w:r w:rsidRPr="00A15BA1">
        <w:t>το σύνολο του εκπαιδευτικού συστήματος (</w:t>
      </w:r>
      <w:r>
        <w:t>πρωτοβάθμια, δευτεροβάθμια και τριτοβάθμια εκπαίδευση</w:t>
      </w:r>
      <w:r w:rsidRPr="00A15BA1">
        <w:t xml:space="preserve">) </w:t>
      </w:r>
      <w:r>
        <w:t>καθώς</w:t>
      </w:r>
      <w:r w:rsidRPr="00A15BA1">
        <w:t xml:space="preserve"> και </w:t>
      </w:r>
      <w:r>
        <w:t>σ</w:t>
      </w:r>
      <w:r w:rsidRPr="00A15BA1">
        <w:t>τους τομείς της Επαγγελματικής Εκπαίδευσης, Κατάρτιση</w:t>
      </w:r>
      <w:r>
        <w:t>ς</w:t>
      </w:r>
      <w:r w:rsidRPr="00A15BA1">
        <w:t xml:space="preserve"> και Δι</w:t>
      </w:r>
      <w:r w:rsidR="003A7331">
        <w:t>ά</w:t>
      </w:r>
      <w:r w:rsidRPr="00A15BA1">
        <w:t xml:space="preserve"> Βίου Μάθησης</w:t>
      </w:r>
      <w:r>
        <w:t xml:space="preserve"> </w:t>
      </w:r>
      <w:r w:rsidRPr="00A15BA1">
        <w:t>της Γενικής Γραμματείας Αθλητισμού</w:t>
      </w:r>
      <w:r>
        <w:t xml:space="preserve"> </w:t>
      </w:r>
      <w:r w:rsidRPr="00A15BA1">
        <w:t>και</w:t>
      </w:r>
      <w:r>
        <w:t xml:space="preserve"> της Γενικής Γραμματείας Θρησκευμάτων.</w:t>
      </w:r>
    </w:p>
    <w:p w14:paraId="023F23E6" w14:textId="77777777" w:rsidR="00993166" w:rsidRPr="00A15BA1" w:rsidRDefault="00993166" w:rsidP="00993166">
      <w:r w:rsidRPr="00A15BA1">
        <w:t>Ειδικότερα, έχουν προβλεφθεί οι απαραίτητες πιστώσεις για</w:t>
      </w:r>
      <w:r>
        <w:t xml:space="preserve"> την κάλυψη δαπανών που προκύπτουν από:</w:t>
      </w:r>
    </w:p>
    <w:p w14:paraId="4B50E31E" w14:textId="00C9612E" w:rsidR="00993166" w:rsidRPr="00993166" w:rsidRDefault="00993166" w:rsidP="00993166">
      <w:pPr>
        <w:numPr>
          <w:ilvl w:val="0"/>
          <w:numId w:val="1"/>
        </w:numPr>
        <w:spacing w:before="120" w:after="60"/>
        <w:ind w:left="568" w:hanging="284"/>
        <w:rPr>
          <w:rFonts w:cs="Arial"/>
          <w:szCs w:val="20"/>
        </w:rPr>
      </w:pPr>
      <w:r w:rsidRPr="00993166">
        <w:rPr>
          <w:rFonts w:cs="Arial"/>
          <w:szCs w:val="20"/>
        </w:rPr>
        <w:t>την απρόσκοπτη λειτουργία των φορέων που επιχορηγούνται από το Υπουργείο, όπως τα Ανώτατα Εκπαιδευτικά Ιδρύματα (ΑΕΙ), η Ανώτατη Σχολή Παιδαγωγικής και Τεχνολογικής Εκπαίδευσης (ΑΣΠΑΙΤΕ) καθώς και λοιπά νομικά πρόσωπα εποπτείας</w:t>
      </w:r>
      <w:r w:rsidR="006E186D">
        <w:rPr>
          <w:rFonts w:cs="Arial"/>
          <w:szCs w:val="20"/>
        </w:rPr>
        <w:t xml:space="preserve"> του</w:t>
      </w:r>
      <w:r w:rsidRPr="00993166">
        <w:rPr>
          <w:rFonts w:cs="Arial"/>
          <w:szCs w:val="20"/>
        </w:rPr>
        <w:t xml:space="preserve">, με σκοπό τη διασφάλιση της εύρυθμης εκτέλεσης των αρμοδιοτήτων </w:t>
      </w:r>
      <w:r w:rsidR="00FA0923">
        <w:rPr>
          <w:rFonts w:cs="Arial"/>
          <w:szCs w:val="20"/>
        </w:rPr>
        <w:t xml:space="preserve">τους </w:t>
      </w:r>
      <w:r w:rsidRPr="00993166">
        <w:rPr>
          <w:rFonts w:cs="Arial"/>
          <w:szCs w:val="20"/>
        </w:rPr>
        <w:t>και την αποτελεσματική υλοποίηση των εκπαιδευτικών, ερευνητικών και λοιπών δράσεων,</w:t>
      </w:r>
    </w:p>
    <w:p w14:paraId="7925CCB4" w14:textId="696EA345" w:rsidR="00993166" w:rsidRPr="00993166" w:rsidRDefault="00993166" w:rsidP="00993166">
      <w:pPr>
        <w:numPr>
          <w:ilvl w:val="0"/>
          <w:numId w:val="1"/>
        </w:numPr>
        <w:spacing w:before="60" w:after="60"/>
        <w:ind w:left="568" w:hanging="284"/>
        <w:rPr>
          <w:rFonts w:cs="Arial"/>
          <w:szCs w:val="20"/>
        </w:rPr>
      </w:pPr>
      <w:r w:rsidRPr="00993166">
        <w:rPr>
          <w:rFonts w:cs="Arial"/>
          <w:szCs w:val="20"/>
        </w:rPr>
        <w:t xml:space="preserve">την ειδική οικονομική ενίσχυση, μέσω των εκπαιδευτικών ιδρυμάτων, προς φοιτητές που φοιτούν μακριά από τον τόπο μόνιμης κατοικίας τους καθώς και </w:t>
      </w:r>
      <w:r w:rsidR="006E186D">
        <w:rPr>
          <w:rFonts w:cs="Arial"/>
          <w:szCs w:val="20"/>
        </w:rPr>
        <w:t xml:space="preserve">από </w:t>
      </w:r>
      <w:r w:rsidRPr="00993166">
        <w:rPr>
          <w:rFonts w:cs="Arial"/>
          <w:szCs w:val="20"/>
        </w:rPr>
        <w:t>τη διασφάλιση της σίτισης και λοιπών παροχών μέριμνας,</w:t>
      </w:r>
    </w:p>
    <w:p w14:paraId="3A2B0389" w14:textId="60723349" w:rsidR="00993166" w:rsidRPr="00993166" w:rsidRDefault="00993166" w:rsidP="00993166">
      <w:pPr>
        <w:numPr>
          <w:ilvl w:val="0"/>
          <w:numId w:val="1"/>
        </w:numPr>
        <w:spacing w:before="60" w:after="60"/>
        <w:ind w:left="568" w:hanging="284"/>
        <w:rPr>
          <w:rFonts w:cs="Arial"/>
          <w:szCs w:val="20"/>
        </w:rPr>
      </w:pPr>
      <w:r w:rsidRPr="00993166">
        <w:rPr>
          <w:rFonts w:cs="Arial"/>
          <w:szCs w:val="20"/>
        </w:rPr>
        <w:t>την καταβολή των εισφορών σε διεθνείς οργανισμούς,</w:t>
      </w:r>
    </w:p>
    <w:p w14:paraId="1F337936" w14:textId="5FBB432E" w:rsidR="00993166" w:rsidRPr="00993166" w:rsidRDefault="00993166" w:rsidP="00993166">
      <w:pPr>
        <w:numPr>
          <w:ilvl w:val="0"/>
          <w:numId w:val="1"/>
        </w:numPr>
        <w:spacing w:before="60" w:after="60"/>
        <w:ind w:left="568" w:hanging="284"/>
        <w:rPr>
          <w:rFonts w:cs="Arial"/>
          <w:szCs w:val="20"/>
        </w:rPr>
      </w:pPr>
      <w:r w:rsidRPr="00993166">
        <w:rPr>
          <w:rFonts w:cs="Arial"/>
          <w:szCs w:val="20"/>
        </w:rPr>
        <w:t xml:space="preserve">τη λειτουργία των Δημόσιων Σχολών Ανώτερης Επαγγελματικής Κατάρτισης </w:t>
      </w:r>
      <w:r w:rsidR="006E186D">
        <w:rPr>
          <w:rFonts w:cs="Arial"/>
          <w:szCs w:val="20"/>
        </w:rPr>
        <w:t>-</w:t>
      </w:r>
      <w:r w:rsidRPr="00993166">
        <w:rPr>
          <w:rFonts w:cs="Arial"/>
          <w:szCs w:val="20"/>
        </w:rPr>
        <w:t xml:space="preserve"> ΣΑΕΚ (πρώην ΙΕΚ),</w:t>
      </w:r>
    </w:p>
    <w:p w14:paraId="14BDC950" w14:textId="77777777" w:rsidR="00993166" w:rsidRPr="00993166" w:rsidRDefault="00993166" w:rsidP="00993166">
      <w:pPr>
        <w:numPr>
          <w:ilvl w:val="0"/>
          <w:numId w:val="1"/>
        </w:numPr>
        <w:spacing w:before="60" w:after="60"/>
        <w:ind w:left="568" w:hanging="284"/>
        <w:rPr>
          <w:rFonts w:cs="Arial"/>
          <w:szCs w:val="20"/>
        </w:rPr>
      </w:pPr>
      <w:r w:rsidRPr="00993166">
        <w:rPr>
          <w:rFonts w:cs="Arial"/>
          <w:szCs w:val="20"/>
        </w:rPr>
        <w:lastRenderedPageBreak/>
        <w:t>τη λειτουργία των δημόσιων βιβλιοθηκών,</w:t>
      </w:r>
    </w:p>
    <w:p w14:paraId="4FE0BA7C" w14:textId="77777777" w:rsidR="00993166" w:rsidRPr="00993166" w:rsidRDefault="00993166" w:rsidP="00993166">
      <w:pPr>
        <w:numPr>
          <w:ilvl w:val="0"/>
          <w:numId w:val="1"/>
        </w:numPr>
        <w:spacing w:before="60" w:after="60"/>
        <w:ind w:left="568" w:hanging="284"/>
        <w:rPr>
          <w:rFonts w:cs="Arial"/>
          <w:szCs w:val="20"/>
        </w:rPr>
      </w:pPr>
      <w:r w:rsidRPr="00993166">
        <w:rPr>
          <w:rFonts w:cs="Arial"/>
          <w:szCs w:val="20"/>
        </w:rPr>
        <w:t>την προμήθεια φοιτητικών συγγραμμάτων,</w:t>
      </w:r>
    </w:p>
    <w:p w14:paraId="7B5EF844" w14:textId="0AA07A46" w:rsidR="00993166" w:rsidRPr="00993166" w:rsidRDefault="00993166" w:rsidP="00993166">
      <w:pPr>
        <w:numPr>
          <w:ilvl w:val="0"/>
          <w:numId w:val="1"/>
        </w:numPr>
        <w:spacing w:before="60" w:after="60"/>
        <w:ind w:left="568" w:hanging="284"/>
        <w:rPr>
          <w:rFonts w:cs="Arial"/>
          <w:szCs w:val="20"/>
        </w:rPr>
      </w:pPr>
      <w:r w:rsidRPr="00993166">
        <w:rPr>
          <w:rFonts w:cs="Arial"/>
          <w:szCs w:val="20"/>
        </w:rPr>
        <w:t>την επιχορήγηση φορέων που προάγουν τον αθλητισμό</w:t>
      </w:r>
      <w:r w:rsidR="00F72D83">
        <w:rPr>
          <w:rFonts w:cs="Arial"/>
          <w:szCs w:val="20"/>
        </w:rPr>
        <w:t xml:space="preserve"> και</w:t>
      </w:r>
    </w:p>
    <w:p w14:paraId="05674503" w14:textId="77777777" w:rsidR="00993166" w:rsidRDefault="00993166" w:rsidP="00993166">
      <w:pPr>
        <w:numPr>
          <w:ilvl w:val="0"/>
          <w:numId w:val="1"/>
        </w:numPr>
        <w:spacing w:after="60"/>
        <w:ind w:left="568" w:hanging="284"/>
        <w:rPr>
          <w:rFonts w:cs="Arial"/>
        </w:rPr>
      </w:pPr>
      <w:r w:rsidRPr="00FC567B">
        <w:rPr>
          <w:rFonts w:cs="Arial"/>
        </w:rPr>
        <w:t>την απόδοση εσόδων σε επαγγελματικές και ερασιτεχνικές αθλητικές ομάδες</w:t>
      </w:r>
      <w:r>
        <w:rPr>
          <w:rFonts w:cs="Arial"/>
        </w:rPr>
        <w:t>.</w:t>
      </w:r>
    </w:p>
    <w:p w14:paraId="65CF44C0" w14:textId="15C9F22A" w:rsidR="00993166" w:rsidRDefault="00993166" w:rsidP="00F72D83">
      <w:r>
        <w:t>Ο τακτικός προϋπολογισμός έτους 2025 του Υπουργείου ανερχόταν στο ύψος των 5.594 εκατ. ευρώ</w:t>
      </w:r>
      <w:r w:rsidR="006E186D">
        <w:t xml:space="preserve">, </w:t>
      </w:r>
      <w:r>
        <w:t>ενώ οι εκτιμήσεις</w:t>
      </w:r>
      <w:r w:rsidR="004A5430">
        <w:t xml:space="preserve"> διαμορφώνονται</w:t>
      </w:r>
      <w:r>
        <w:t xml:space="preserve"> στο ποσό των 5.786 εκατ. ευρώ.</w:t>
      </w:r>
    </w:p>
    <w:p w14:paraId="5B8D7096" w14:textId="3A5B00A3" w:rsidR="00993166" w:rsidRPr="00DD7F47" w:rsidRDefault="00993166" w:rsidP="00F72D83">
      <w:r>
        <w:t>Κατά τη διάρκεια εκτέλεσης του προϋπολογισμού οικονομικού έτους 2025 διατέθηκαν επιπλέον πιστώσεις για:</w:t>
      </w:r>
    </w:p>
    <w:p w14:paraId="5C25077A" w14:textId="7F5BE1FD" w:rsidR="00993166" w:rsidRPr="00F72D83" w:rsidRDefault="00993166" w:rsidP="00F72D83">
      <w:pPr>
        <w:numPr>
          <w:ilvl w:val="0"/>
          <w:numId w:val="1"/>
        </w:numPr>
        <w:spacing w:before="120" w:after="60"/>
        <w:ind w:left="568" w:hanging="284"/>
        <w:rPr>
          <w:rFonts w:cs="Arial"/>
          <w:szCs w:val="20"/>
        </w:rPr>
      </w:pPr>
      <w:r w:rsidRPr="00F72D83">
        <w:rPr>
          <w:rFonts w:cs="Arial"/>
          <w:szCs w:val="20"/>
        </w:rPr>
        <w:t>πρόσθετη επιχορήγηση</w:t>
      </w:r>
      <w:r w:rsidR="006E186D">
        <w:rPr>
          <w:rFonts w:cs="Arial"/>
          <w:szCs w:val="20"/>
        </w:rPr>
        <w:t>,</w:t>
      </w:r>
      <w:r w:rsidRPr="00F72D83">
        <w:rPr>
          <w:rFonts w:cs="Arial"/>
          <w:szCs w:val="20"/>
        </w:rPr>
        <w:t xml:space="preserve"> προκειμένου να καταβληθούν οικονομικές επιβραβεύσεις σε αθλητές και προπονητές που σημείωσαν εξαιρετικές αγωνιστικές διακρίσεις κατά τα έτη 2022</w:t>
      </w:r>
      <w:r w:rsidR="004A5430">
        <w:rPr>
          <w:rFonts w:cs="Arial"/>
          <w:szCs w:val="20"/>
        </w:rPr>
        <w:t xml:space="preserve"> </w:t>
      </w:r>
      <w:r w:rsidRPr="00F72D83">
        <w:rPr>
          <w:rFonts w:cs="Arial"/>
          <w:szCs w:val="20"/>
        </w:rPr>
        <w:t>-</w:t>
      </w:r>
      <w:r w:rsidR="004A5430">
        <w:rPr>
          <w:rFonts w:cs="Arial"/>
          <w:szCs w:val="20"/>
        </w:rPr>
        <w:t xml:space="preserve"> </w:t>
      </w:r>
      <w:r w:rsidRPr="00F72D83">
        <w:rPr>
          <w:rFonts w:cs="Arial"/>
          <w:szCs w:val="20"/>
        </w:rPr>
        <w:t>2023 (2,5 εκ</w:t>
      </w:r>
      <w:r w:rsidR="004A5430">
        <w:rPr>
          <w:rFonts w:cs="Arial"/>
          <w:szCs w:val="20"/>
        </w:rPr>
        <w:t>ατ</w:t>
      </w:r>
      <w:r w:rsidRPr="00F72D83">
        <w:rPr>
          <w:rFonts w:cs="Arial"/>
          <w:szCs w:val="20"/>
        </w:rPr>
        <w:t>. ευρώ),</w:t>
      </w:r>
    </w:p>
    <w:p w14:paraId="139CBD1F" w14:textId="0E43F7A4" w:rsidR="00993166" w:rsidRDefault="00993166" w:rsidP="00F72D83">
      <w:pPr>
        <w:numPr>
          <w:ilvl w:val="0"/>
          <w:numId w:val="1"/>
        </w:numPr>
        <w:spacing w:before="60" w:after="60"/>
        <w:ind w:left="568" w:hanging="284"/>
        <w:rPr>
          <w:rFonts w:cs="Arial"/>
        </w:rPr>
      </w:pPr>
      <w:r w:rsidRPr="004C06CF">
        <w:rPr>
          <w:rFonts w:cs="Arial"/>
        </w:rPr>
        <w:t>έκτακτη επιχορήγηση στην Ελληνική Ομοσπονδία Καλαθοσφαίρισης για την κάλυψη εξόδων της διοργάνωσης Women's Eurobasket 2025</w:t>
      </w:r>
      <w:r>
        <w:rPr>
          <w:rFonts w:cs="Arial"/>
        </w:rPr>
        <w:t xml:space="preserve"> (1,6 εκ</w:t>
      </w:r>
      <w:r w:rsidR="004A5430">
        <w:rPr>
          <w:rFonts w:cs="Arial"/>
        </w:rPr>
        <w:t>ατ</w:t>
      </w:r>
      <w:r>
        <w:rPr>
          <w:rFonts w:cs="Arial"/>
        </w:rPr>
        <w:t>. ευρώ),</w:t>
      </w:r>
    </w:p>
    <w:p w14:paraId="7F101404" w14:textId="2993C7FE" w:rsidR="00993166" w:rsidRPr="004C06CF" w:rsidRDefault="00993166" w:rsidP="00F72D83">
      <w:pPr>
        <w:numPr>
          <w:ilvl w:val="0"/>
          <w:numId w:val="1"/>
        </w:numPr>
        <w:spacing w:before="60" w:after="60"/>
        <w:ind w:left="568" w:hanging="284"/>
        <w:rPr>
          <w:rFonts w:cs="Arial"/>
        </w:rPr>
      </w:pPr>
      <w:r w:rsidRPr="004C06CF">
        <w:rPr>
          <w:rFonts w:cs="Arial"/>
        </w:rPr>
        <w:t>πρόσθετ</w:t>
      </w:r>
      <w:r>
        <w:rPr>
          <w:rFonts w:cs="Arial"/>
        </w:rPr>
        <w:t>ες</w:t>
      </w:r>
      <w:r w:rsidRPr="004C06CF">
        <w:rPr>
          <w:rFonts w:cs="Arial"/>
        </w:rPr>
        <w:t xml:space="preserve"> επιχορ</w:t>
      </w:r>
      <w:r>
        <w:rPr>
          <w:rFonts w:cs="Arial"/>
        </w:rPr>
        <w:t>ηγήσεις σε φορείς που</w:t>
      </w:r>
      <w:r w:rsidRPr="004C06CF">
        <w:rPr>
          <w:rFonts w:cs="Arial"/>
        </w:rPr>
        <w:t xml:space="preserve"> </w:t>
      </w:r>
      <w:r>
        <w:rPr>
          <w:rFonts w:cs="Arial"/>
        </w:rPr>
        <w:t>εποπτεύονται από τη Γενική Γραμματεία Αθλητισμού (1,7 εκ</w:t>
      </w:r>
      <w:r w:rsidR="004A5430">
        <w:rPr>
          <w:rFonts w:cs="Arial"/>
        </w:rPr>
        <w:t>ατ</w:t>
      </w:r>
      <w:r>
        <w:rPr>
          <w:rFonts w:cs="Arial"/>
        </w:rPr>
        <w:t>. ευρώ),</w:t>
      </w:r>
    </w:p>
    <w:p w14:paraId="26DCE1C7" w14:textId="62F1EE50" w:rsidR="00993166" w:rsidRPr="00F61D2C" w:rsidRDefault="00993166" w:rsidP="00F72D83">
      <w:pPr>
        <w:numPr>
          <w:ilvl w:val="0"/>
          <w:numId w:val="1"/>
        </w:numPr>
        <w:spacing w:before="60" w:after="60"/>
        <w:ind w:left="568" w:hanging="284"/>
        <w:rPr>
          <w:rStyle w:val="section-info"/>
          <w:rFonts w:cs="Arial"/>
        </w:rPr>
      </w:pPr>
      <w:r>
        <w:rPr>
          <w:rStyle w:val="section-info"/>
        </w:rPr>
        <w:t xml:space="preserve">κάλυψη </w:t>
      </w:r>
      <w:r w:rsidR="00023820">
        <w:rPr>
          <w:rStyle w:val="section-info"/>
        </w:rPr>
        <w:t xml:space="preserve">της </w:t>
      </w:r>
      <w:r>
        <w:rPr>
          <w:rStyle w:val="section-info"/>
        </w:rPr>
        <w:t xml:space="preserve">δαπάνης </w:t>
      </w:r>
      <w:r w:rsidR="008C12D2">
        <w:rPr>
          <w:rStyle w:val="section-info"/>
        </w:rPr>
        <w:t>διορισμού</w:t>
      </w:r>
      <w:r>
        <w:rPr>
          <w:rStyle w:val="section-info"/>
        </w:rPr>
        <w:t xml:space="preserve"> </w:t>
      </w:r>
      <w:r w:rsidRPr="00F61D2C">
        <w:rPr>
          <w:rStyle w:val="section-info"/>
        </w:rPr>
        <w:t>10.000</w:t>
      </w:r>
      <w:r>
        <w:rPr>
          <w:rStyle w:val="section-info"/>
        </w:rPr>
        <w:t xml:space="preserve"> μόνιμων εκπαιδευτικών Πρωτοβάθμιας και</w:t>
      </w:r>
      <w:r w:rsidRPr="003132D0">
        <w:rPr>
          <w:rStyle w:val="section-info"/>
        </w:rPr>
        <w:t xml:space="preserve"> </w:t>
      </w:r>
      <w:r>
        <w:rPr>
          <w:rStyle w:val="section-info"/>
        </w:rPr>
        <w:t>Δευτεροβά</w:t>
      </w:r>
      <w:r w:rsidRPr="003132D0">
        <w:rPr>
          <w:rStyle w:val="section-info"/>
        </w:rPr>
        <w:t>θμιας Εκπ</w:t>
      </w:r>
      <w:r>
        <w:rPr>
          <w:rStyle w:val="section-info"/>
        </w:rPr>
        <w:t xml:space="preserve">αίδευσης </w:t>
      </w:r>
      <w:r w:rsidR="008C12D2">
        <w:rPr>
          <w:rStyle w:val="section-info"/>
        </w:rPr>
        <w:t xml:space="preserve">για τη χρονική περίοδο Σεπτεμβρίου - Δεκεμβρίου 2025 του </w:t>
      </w:r>
      <w:r>
        <w:t>σχολικού έτους 2025</w:t>
      </w:r>
      <w:r w:rsidR="00023820">
        <w:t xml:space="preserve"> </w:t>
      </w:r>
      <w:r>
        <w:t>-</w:t>
      </w:r>
      <w:r w:rsidR="00023820">
        <w:t xml:space="preserve"> </w:t>
      </w:r>
      <w:r>
        <w:t>2026</w:t>
      </w:r>
      <w:r>
        <w:rPr>
          <w:rStyle w:val="section-info"/>
        </w:rPr>
        <w:t xml:space="preserve"> (112 εκ</w:t>
      </w:r>
      <w:r w:rsidR="004A5430">
        <w:rPr>
          <w:rStyle w:val="section-info"/>
        </w:rPr>
        <w:t>ατ</w:t>
      </w:r>
      <w:r>
        <w:rPr>
          <w:rStyle w:val="section-info"/>
        </w:rPr>
        <w:t>. ευρώ)</w:t>
      </w:r>
      <w:r w:rsidR="00F72D83">
        <w:rPr>
          <w:rStyle w:val="section-info"/>
        </w:rPr>
        <w:t xml:space="preserve"> και</w:t>
      </w:r>
    </w:p>
    <w:p w14:paraId="02CE60BE" w14:textId="66DB3D47" w:rsidR="00993166" w:rsidRPr="00F61D2C" w:rsidRDefault="00993166" w:rsidP="00F72D83">
      <w:pPr>
        <w:numPr>
          <w:ilvl w:val="0"/>
          <w:numId w:val="1"/>
        </w:numPr>
        <w:spacing w:before="60"/>
        <w:ind w:left="568" w:hanging="284"/>
        <w:rPr>
          <w:rStyle w:val="section-info"/>
          <w:rFonts w:cs="Arial"/>
        </w:rPr>
      </w:pPr>
      <w:r>
        <w:rPr>
          <w:rStyle w:val="section-info"/>
        </w:rPr>
        <w:t>κάλυψη</w:t>
      </w:r>
      <w:r w:rsidR="00023820">
        <w:rPr>
          <w:rStyle w:val="section-info"/>
        </w:rPr>
        <w:t xml:space="preserve"> της</w:t>
      </w:r>
      <w:r>
        <w:rPr>
          <w:rStyle w:val="section-info"/>
        </w:rPr>
        <w:t xml:space="preserve"> δαπάνης πρόσληψης 7.127 αναπληρωτών εκπαιδευτικών Πρωτοβάθμιας και</w:t>
      </w:r>
      <w:r w:rsidRPr="003132D0">
        <w:rPr>
          <w:rStyle w:val="section-info"/>
        </w:rPr>
        <w:t xml:space="preserve"> </w:t>
      </w:r>
      <w:r>
        <w:rPr>
          <w:rStyle w:val="section-info"/>
        </w:rPr>
        <w:t>Δευτεροβά</w:t>
      </w:r>
      <w:r w:rsidRPr="003132D0">
        <w:rPr>
          <w:rStyle w:val="section-info"/>
        </w:rPr>
        <w:t>θμιας Εκπ</w:t>
      </w:r>
      <w:r>
        <w:rPr>
          <w:rStyle w:val="section-info"/>
        </w:rPr>
        <w:t>αίδευσης κ</w:t>
      </w:r>
      <w:r w:rsidRPr="003132D0">
        <w:rPr>
          <w:rStyle w:val="section-info"/>
        </w:rPr>
        <w:t xml:space="preserve">αι </w:t>
      </w:r>
      <w:r>
        <w:t xml:space="preserve">μελών Ειδικού Εκπαιδευτικού και Ειδικού Βοηθητικού Προσωπικού </w:t>
      </w:r>
      <w:r w:rsidR="008C12D2">
        <w:rPr>
          <w:rStyle w:val="section-info"/>
        </w:rPr>
        <w:t xml:space="preserve">για τη χρονική περίοδο Σεπτεμβρίου - Δεκεμβρίου 2025 του </w:t>
      </w:r>
      <w:r>
        <w:t>σχολικού έτους 2025</w:t>
      </w:r>
      <w:r w:rsidR="00023820">
        <w:t xml:space="preserve"> </w:t>
      </w:r>
      <w:r>
        <w:t>-</w:t>
      </w:r>
      <w:r w:rsidR="00023820">
        <w:t xml:space="preserve"> </w:t>
      </w:r>
      <w:r>
        <w:t>2026</w:t>
      </w:r>
      <w:r>
        <w:rPr>
          <w:rStyle w:val="section-info"/>
        </w:rPr>
        <w:t xml:space="preserve"> (49 εκ</w:t>
      </w:r>
      <w:r w:rsidR="004A5430">
        <w:rPr>
          <w:rStyle w:val="section-info"/>
        </w:rPr>
        <w:t>ατ</w:t>
      </w:r>
      <w:r>
        <w:rPr>
          <w:rStyle w:val="section-info"/>
        </w:rPr>
        <w:t>. ευρώ)</w:t>
      </w:r>
      <w:r w:rsidR="00023820">
        <w:rPr>
          <w:rStyle w:val="section-info"/>
        </w:rPr>
        <w:t>.</w:t>
      </w:r>
    </w:p>
    <w:p w14:paraId="4912DED1" w14:textId="26FD635B" w:rsidR="00993166" w:rsidRPr="00023820" w:rsidRDefault="00993166" w:rsidP="00F72D83">
      <w:pPr>
        <w:rPr>
          <w:b/>
        </w:rPr>
      </w:pPr>
      <w:r w:rsidRPr="00456699">
        <w:t>Οι προβλέψεις δαπανών</w:t>
      </w:r>
      <w:r>
        <w:t xml:space="preserve"> του τακτικού προϋπολογισμού για το οικονομικό έτος 2026 ανέρχονται στο ποσό των 5.900</w:t>
      </w:r>
      <w:r w:rsidRPr="00456699">
        <w:t xml:space="preserve"> εκατ. ευρώ</w:t>
      </w:r>
      <w:r w:rsidR="00023820">
        <w:t>,</w:t>
      </w:r>
      <w:r>
        <w:t xml:space="preserve"> αυξημένες κατά</w:t>
      </w:r>
      <w:r w:rsidRPr="00630946">
        <w:t xml:space="preserve"> 30</w:t>
      </w:r>
      <w:r>
        <w:t>6 εκατ. ευρώ σε σχέση με τον αρχικό προϋπολογισμό 202</w:t>
      </w:r>
      <w:r w:rsidRPr="00630946">
        <w:t>5</w:t>
      </w:r>
      <w:r>
        <w:t xml:space="preserve">. Η αύξηση αυτή οφείλεται </w:t>
      </w:r>
      <w:r w:rsidRPr="00023820">
        <w:rPr>
          <w:rStyle w:val="af9"/>
          <w:b w:val="0"/>
        </w:rPr>
        <w:t>κατά κύριο λόγο</w:t>
      </w:r>
      <w:r w:rsidRPr="00023820">
        <w:rPr>
          <w:b/>
        </w:rPr>
        <w:t>:</w:t>
      </w:r>
    </w:p>
    <w:p w14:paraId="73FAD98E" w14:textId="6AB615DE" w:rsidR="00993166" w:rsidRDefault="00993166" w:rsidP="00F72D83">
      <w:pPr>
        <w:numPr>
          <w:ilvl w:val="0"/>
          <w:numId w:val="1"/>
        </w:numPr>
        <w:spacing w:before="120" w:after="60"/>
        <w:ind w:left="568" w:hanging="284"/>
        <w:rPr>
          <w:rFonts w:cs="Arial"/>
        </w:rPr>
      </w:pPr>
      <w:r>
        <w:rPr>
          <w:rFonts w:cs="Arial"/>
        </w:rPr>
        <w:t>στην αύξηση των μεταβιβάσεων κατά 26 εκατ. ευρώ</w:t>
      </w:r>
      <w:r w:rsidRPr="00FC567B">
        <w:rPr>
          <w:rFonts w:cs="Arial"/>
        </w:rPr>
        <w:t>,</w:t>
      </w:r>
      <w:r>
        <w:rPr>
          <w:rFonts w:cs="Arial"/>
        </w:rPr>
        <w:t xml:space="preserve"> η οποία αποδίδεται κυρίως στην </w:t>
      </w:r>
      <w:r>
        <w:t xml:space="preserve">πρόσθετη </w:t>
      </w:r>
      <w:r>
        <w:rPr>
          <w:rFonts w:cs="Arial"/>
        </w:rPr>
        <w:t xml:space="preserve">επιχορήγηση προς το </w:t>
      </w:r>
      <w:r w:rsidR="00CA6539">
        <w:rPr>
          <w:rFonts w:cs="Arial"/>
        </w:rPr>
        <w:t>Νομικό Πρόσωπο Ιδιωτικού Δικαίου (</w:t>
      </w:r>
      <w:r>
        <w:rPr>
          <w:rFonts w:cs="Arial"/>
        </w:rPr>
        <w:t>ΝΠΙΔ</w:t>
      </w:r>
      <w:r w:rsidR="00CA6539">
        <w:rPr>
          <w:rFonts w:cs="Arial"/>
        </w:rPr>
        <w:t>)</w:t>
      </w:r>
      <w:r>
        <w:rPr>
          <w:rFonts w:cs="Arial"/>
        </w:rPr>
        <w:t xml:space="preserve"> Ι</w:t>
      </w:r>
      <w:r w:rsidR="00023820">
        <w:rPr>
          <w:rFonts w:cs="Arial"/>
        </w:rPr>
        <w:t>νστιτούτο Τεχνολογίας Υπολογιστών και Εκδόσεων (ΙΤΥΕ) «</w:t>
      </w:r>
      <w:r>
        <w:rPr>
          <w:rFonts w:cs="Arial"/>
        </w:rPr>
        <w:t>Διόφαντος</w:t>
      </w:r>
      <w:r w:rsidR="00023820">
        <w:rPr>
          <w:rFonts w:cs="Arial"/>
        </w:rPr>
        <w:t>»</w:t>
      </w:r>
      <w:r>
        <w:rPr>
          <w:rFonts w:cs="Arial"/>
        </w:rPr>
        <w:t xml:space="preserve"> (8 εκ</w:t>
      </w:r>
      <w:r w:rsidR="004A5430">
        <w:rPr>
          <w:rFonts w:cs="Arial"/>
        </w:rPr>
        <w:t>ατ</w:t>
      </w:r>
      <w:r>
        <w:rPr>
          <w:rFonts w:cs="Arial"/>
        </w:rPr>
        <w:t xml:space="preserve">. ευρώ) για την </w:t>
      </w:r>
      <w:r w:rsidRPr="007E596A">
        <w:rPr>
          <w:rFonts w:cs="Arial"/>
        </w:rPr>
        <w:t xml:space="preserve">εκτύπωση και </w:t>
      </w:r>
      <w:r w:rsidR="000524C8">
        <w:rPr>
          <w:rFonts w:cs="Arial"/>
        </w:rPr>
        <w:t xml:space="preserve">τη </w:t>
      </w:r>
      <w:r w:rsidRPr="007E596A">
        <w:rPr>
          <w:rFonts w:cs="Arial"/>
        </w:rPr>
        <w:t xml:space="preserve">διανομή του </w:t>
      </w:r>
      <w:r>
        <w:rPr>
          <w:rFonts w:cs="Arial"/>
        </w:rPr>
        <w:t xml:space="preserve">νέου </w:t>
      </w:r>
      <w:r w:rsidRPr="007E596A">
        <w:rPr>
          <w:rFonts w:cs="Arial"/>
        </w:rPr>
        <w:t xml:space="preserve">πολλαπλού βιβλίου, το οποίο πρόκειται να διανεμηθεί στα σχολεία </w:t>
      </w:r>
      <w:r>
        <w:rPr>
          <w:rFonts w:cs="Arial"/>
        </w:rPr>
        <w:t>της χώρας από το σχολικό έτος 2027</w:t>
      </w:r>
      <w:r w:rsidR="009E76EF">
        <w:rPr>
          <w:rFonts w:cs="Arial"/>
        </w:rPr>
        <w:t xml:space="preserve"> </w:t>
      </w:r>
      <w:r>
        <w:rPr>
          <w:rFonts w:cs="Arial"/>
        </w:rPr>
        <w:t>-</w:t>
      </w:r>
      <w:r w:rsidR="009E76EF">
        <w:rPr>
          <w:rFonts w:cs="Arial"/>
        </w:rPr>
        <w:t xml:space="preserve"> </w:t>
      </w:r>
      <w:r>
        <w:rPr>
          <w:rFonts w:cs="Arial"/>
        </w:rPr>
        <w:t>2028,</w:t>
      </w:r>
      <w:r w:rsidRPr="007E596A">
        <w:rPr>
          <w:rFonts w:cs="Arial"/>
        </w:rPr>
        <w:t xml:space="preserve"> </w:t>
      </w:r>
      <w:r>
        <w:rPr>
          <w:rFonts w:cs="Arial"/>
        </w:rPr>
        <w:t>στην αύξηση των αποδόσεων σε αθλητικές ομοσπονδίες (14 εκ</w:t>
      </w:r>
      <w:r w:rsidR="004A5430">
        <w:rPr>
          <w:rFonts w:cs="Arial"/>
        </w:rPr>
        <w:t>ατ</w:t>
      </w:r>
      <w:r>
        <w:rPr>
          <w:rFonts w:cs="Arial"/>
        </w:rPr>
        <w:t>. ευρώ) καθώς και σε λοιπές μεταβιβάσεις (4 εκ</w:t>
      </w:r>
      <w:r w:rsidR="009E76EF">
        <w:rPr>
          <w:rFonts w:cs="Arial"/>
        </w:rPr>
        <w:t>ατ</w:t>
      </w:r>
      <w:r>
        <w:rPr>
          <w:rFonts w:cs="Arial"/>
        </w:rPr>
        <w:t>. ευρώ),</w:t>
      </w:r>
    </w:p>
    <w:p w14:paraId="7979106C" w14:textId="1DF6957F" w:rsidR="00993166" w:rsidRPr="00630946" w:rsidRDefault="00993166" w:rsidP="00F72D83">
      <w:pPr>
        <w:numPr>
          <w:ilvl w:val="0"/>
          <w:numId w:val="1"/>
        </w:numPr>
        <w:spacing w:before="60" w:after="60"/>
        <w:ind w:left="568" w:hanging="284"/>
        <w:rPr>
          <w:rFonts w:cs="Arial"/>
        </w:rPr>
      </w:pPr>
      <w:r w:rsidRPr="00630946">
        <w:rPr>
          <w:rFonts w:cs="Arial"/>
        </w:rPr>
        <w:t>σε δαπάνες παροχών σε εργαζόμενους λόγω τ</w:t>
      </w:r>
      <w:r>
        <w:rPr>
          <w:rFonts w:cs="Arial"/>
        </w:rPr>
        <w:t xml:space="preserve">ου διορισμού </w:t>
      </w:r>
      <w:r w:rsidRPr="00630946">
        <w:rPr>
          <w:rFonts w:cs="Arial"/>
        </w:rPr>
        <w:t xml:space="preserve">10.000 μόνιμων εκπαιδευτικών </w:t>
      </w:r>
      <w:r w:rsidRPr="00630946">
        <w:t>στην Πρωτοβάθμια και Δευτεροβάθμια Εκπαίδευση για το σχολικό έτος 2025</w:t>
      </w:r>
      <w:r w:rsidR="000524C8">
        <w:t xml:space="preserve"> </w:t>
      </w:r>
      <w:r w:rsidRPr="00630946">
        <w:t>-</w:t>
      </w:r>
      <w:r w:rsidR="000524C8">
        <w:t xml:space="preserve"> </w:t>
      </w:r>
      <w:r w:rsidRPr="00630946">
        <w:t>2026</w:t>
      </w:r>
      <w:r>
        <w:t xml:space="preserve"> (190 εκ</w:t>
      </w:r>
      <w:r w:rsidR="009D3784">
        <w:t>ατ</w:t>
      </w:r>
      <w:r>
        <w:t>. ευρώ)</w:t>
      </w:r>
      <w:r w:rsidR="00F72D83">
        <w:t xml:space="preserve"> και</w:t>
      </w:r>
    </w:p>
    <w:p w14:paraId="3477F88B" w14:textId="5A5A8A65" w:rsidR="00993166" w:rsidRPr="00CA7D51" w:rsidRDefault="00993166" w:rsidP="00F72D83">
      <w:pPr>
        <w:numPr>
          <w:ilvl w:val="0"/>
          <w:numId w:val="1"/>
        </w:numPr>
        <w:spacing w:before="60"/>
        <w:ind w:left="568" w:hanging="284"/>
        <w:rPr>
          <w:rStyle w:val="section-info"/>
          <w:rFonts w:cs="Arial"/>
        </w:rPr>
      </w:pPr>
      <w:r w:rsidRPr="00630946">
        <w:rPr>
          <w:rFonts w:cs="Arial"/>
        </w:rPr>
        <w:t xml:space="preserve">σε δαπάνες παροχών σε εργαζόμενους λόγω της πρόσληψης </w:t>
      </w:r>
      <w:r>
        <w:rPr>
          <w:rStyle w:val="section-info"/>
        </w:rPr>
        <w:t>7.127 ΙΔΟΧ</w:t>
      </w:r>
      <w:r w:rsidRPr="00630946">
        <w:rPr>
          <w:rStyle w:val="section-info"/>
        </w:rPr>
        <w:t xml:space="preserve"> </w:t>
      </w:r>
      <w:r>
        <w:rPr>
          <w:rStyle w:val="section-info"/>
        </w:rPr>
        <w:t>αναπληρωτών εκπαιδευτικών Πρωτοβάθμιας και</w:t>
      </w:r>
      <w:r w:rsidRPr="003132D0">
        <w:rPr>
          <w:rStyle w:val="section-info"/>
        </w:rPr>
        <w:t xml:space="preserve"> </w:t>
      </w:r>
      <w:r>
        <w:rPr>
          <w:rStyle w:val="section-info"/>
        </w:rPr>
        <w:t>Δευτεροβά</w:t>
      </w:r>
      <w:r w:rsidRPr="003132D0">
        <w:rPr>
          <w:rStyle w:val="section-info"/>
        </w:rPr>
        <w:t>θμιας Εκπ</w:t>
      </w:r>
      <w:r>
        <w:rPr>
          <w:rStyle w:val="section-info"/>
        </w:rPr>
        <w:t>αίδευσης κ</w:t>
      </w:r>
      <w:r w:rsidRPr="003132D0">
        <w:rPr>
          <w:rStyle w:val="section-info"/>
        </w:rPr>
        <w:t xml:space="preserve">αι μελών </w:t>
      </w:r>
      <w:r>
        <w:t>Ειδικού Εκπαιδευτικού και Ειδικού Βοηθητικού Προσωπικού σχολικού έτους 2025</w:t>
      </w:r>
      <w:r w:rsidR="000524C8">
        <w:t xml:space="preserve"> </w:t>
      </w:r>
      <w:r>
        <w:t>-</w:t>
      </w:r>
      <w:r w:rsidR="000524C8">
        <w:t xml:space="preserve"> </w:t>
      </w:r>
      <w:r>
        <w:t>2026 (87 εκ</w:t>
      </w:r>
      <w:r w:rsidR="009E76EF">
        <w:t>ατ</w:t>
      </w:r>
      <w:r>
        <w:t>. ευρώ)</w:t>
      </w:r>
      <w:r>
        <w:rPr>
          <w:rStyle w:val="section-info"/>
        </w:rPr>
        <w:t>.</w:t>
      </w:r>
    </w:p>
    <w:p w14:paraId="184F0C40" w14:textId="1840FD21" w:rsidR="00347618" w:rsidRDefault="00347618" w:rsidP="00950CD9">
      <w:r>
        <w:t>Σημειώνεται ότι σ</w:t>
      </w:r>
      <w:r w:rsidRPr="00520054">
        <w:t xml:space="preserve">τον </w:t>
      </w:r>
      <w:r>
        <w:t xml:space="preserve">τακτικό </w:t>
      </w:r>
      <w:r w:rsidRPr="00520054">
        <w:t>προϋπολογισμό του Υπουργείου Παιδείας, Θρησκευμάτων και Αθλητισμού έτους 2026 προβλέπεται να διατεθού</w:t>
      </w:r>
      <w:r>
        <w:t xml:space="preserve">ν επιπλέον 113 εκατ. ευρώ από την </w:t>
      </w:r>
      <w:r w:rsidRPr="00687EB9">
        <w:t xml:space="preserve">κατηγορία «Πιστώσεις υπό κατανομή» </w:t>
      </w:r>
      <w:r>
        <w:t>των Γενικών Κρατικών Δαπανών,</w:t>
      </w:r>
      <w:r w:rsidRPr="00520054">
        <w:t xml:space="preserve"> για την κάλυψη της δαπάνης μισθοδοσίας νέων προσλήψεων μόνιμων και αναπληρωτών εκπαιδευτικών της Πρωτοβάθμιας και της Δευτεροβάθμιας Εκπαίδευσης της χρονικής περιόδου Σεπτεμβρίου - Δεκεμβρίου 2026 του σχολικού έτους 2026 - 2027.</w:t>
      </w:r>
    </w:p>
    <w:p w14:paraId="0B0CE56A" w14:textId="0849F52A" w:rsidR="003731C3" w:rsidRPr="00950CD9" w:rsidRDefault="00D81093" w:rsidP="00950CD9">
      <w:r w:rsidRPr="0074175B">
        <w:t>Το σύνολο των δαπανών του προϋπολογισμού δημοσίων επενδύσεων του Υπουργείου έτους 202</w:t>
      </w:r>
      <w:r>
        <w:t>6</w:t>
      </w:r>
      <w:r w:rsidRPr="0074175B">
        <w:t xml:space="preserve"> προβλέπεται να ανέλθει σε </w:t>
      </w:r>
      <w:r>
        <w:t>645</w:t>
      </w:r>
      <w:r w:rsidRPr="0074175B">
        <w:t xml:space="preserve"> εκατ. ευρώ </w:t>
      </w:r>
      <w:r>
        <w:t xml:space="preserve">για δαπάνες του εθνικού και </w:t>
      </w:r>
      <w:r w:rsidR="004642D9">
        <w:t xml:space="preserve">του </w:t>
      </w:r>
      <w:r>
        <w:t xml:space="preserve">συγχρηματοδοτούμενου </w:t>
      </w:r>
      <w:r>
        <w:lastRenderedPageBreak/>
        <w:t>σκέλους</w:t>
      </w:r>
      <w:r w:rsidR="00BA5823">
        <w:t xml:space="preserve">, ενώ </w:t>
      </w:r>
      <w:r w:rsidRPr="0007741F">
        <w:t xml:space="preserve">επιπλέον </w:t>
      </w:r>
      <w:r w:rsidR="00BA5823">
        <w:t xml:space="preserve">ποσό ύψους </w:t>
      </w:r>
      <w:r>
        <w:t>219</w:t>
      </w:r>
      <w:r w:rsidRPr="0007741F">
        <w:t xml:space="preserve"> εκατ. ευρώ</w:t>
      </w:r>
      <w:r w:rsidR="00BA5823">
        <w:t xml:space="preserve"> θα διατεθεί </w:t>
      </w:r>
      <w:r w:rsidRPr="0007741F">
        <w:t>για έργα</w:t>
      </w:r>
      <w:r>
        <w:t xml:space="preserve"> που </w:t>
      </w:r>
      <w:r w:rsidRPr="0074175B">
        <w:t>χρηματοδ</w:t>
      </w:r>
      <w:r>
        <w:t xml:space="preserve">οτούνται από </w:t>
      </w:r>
      <w:r w:rsidRPr="0074175B">
        <w:t>το ΤΑΑ</w:t>
      </w:r>
      <w:r>
        <w:t>.</w:t>
      </w:r>
    </w:p>
    <w:p w14:paraId="6A84902A" w14:textId="2F09A145" w:rsidR="002339BB" w:rsidRPr="00035D3F" w:rsidRDefault="00F67FDB" w:rsidP="00F27406">
      <w:pPr>
        <w:spacing w:before="240"/>
        <w:rPr>
          <w:rFonts w:cs="Arial"/>
          <w:b/>
          <w:szCs w:val="20"/>
        </w:rPr>
      </w:pPr>
      <w:r w:rsidRPr="00BA5823">
        <w:rPr>
          <w:rFonts w:cs="Arial"/>
          <w:b/>
          <w:szCs w:val="20"/>
        </w:rPr>
        <w:t xml:space="preserve">Υπουργείο </w:t>
      </w:r>
      <w:r w:rsidR="002339BB" w:rsidRPr="00BA5823">
        <w:rPr>
          <w:rFonts w:cs="Arial"/>
          <w:b/>
          <w:szCs w:val="20"/>
        </w:rPr>
        <w:t>Πολιτισμού</w:t>
      </w:r>
    </w:p>
    <w:p w14:paraId="5DBCE91F" w14:textId="77777777" w:rsidR="000A23FB" w:rsidRDefault="000A23FB" w:rsidP="000A23FB">
      <w:r>
        <w:t>Οι πιστώσεις του τακτικού προϋπολογισμού του Υπουργείου Πολιτισμού θα καλύψουν κυρίως δαπάνες:</w:t>
      </w:r>
    </w:p>
    <w:p w14:paraId="334821C7" w14:textId="77777777" w:rsidR="000A23FB" w:rsidRDefault="000A23FB" w:rsidP="000A23FB">
      <w:pPr>
        <w:numPr>
          <w:ilvl w:val="0"/>
          <w:numId w:val="1"/>
        </w:numPr>
        <w:spacing w:before="120" w:after="60"/>
        <w:ind w:left="568" w:hanging="284"/>
      </w:pPr>
      <w:r>
        <w:t>συντήρησης, διαμόρφωσης και προστασίας των αρχαιολογικών χώρων και μουσείων, με στόχο την προστασία και την ανάδειξη της πολιτιστικής κληρονομιάς,</w:t>
      </w:r>
    </w:p>
    <w:p w14:paraId="7144AF20" w14:textId="77777777" w:rsidR="000A23FB" w:rsidRDefault="000A23FB" w:rsidP="000A23FB">
      <w:pPr>
        <w:numPr>
          <w:ilvl w:val="0"/>
          <w:numId w:val="1"/>
        </w:numPr>
        <w:spacing w:before="60" w:after="60"/>
        <w:ind w:left="568" w:hanging="284"/>
        <w:rPr>
          <w:rFonts w:cs="Arial"/>
        </w:rPr>
      </w:pPr>
      <w:r>
        <w:rPr>
          <w:rFonts w:cs="Arial"/>
        </w:rPr>
        <w:t>λειτουργικών αναγκών των αρχαιολογικών υπηρεσιών,</w:t>
      </w:r>
    </w:p>
    <w:p w14:paraId="72FF44AD" w14:textId="77777777" w:rsidR="000A23FB" w:rsidRDefault="000A23FB" w:rsidP="000A23FB">
      <w:pPr>
        <w:numPr>
          <w:ilvl w:val="0"/>
          <w:numId w:val="1"/>
        </w:numPr>
        <w:spacing w:before="60" w:after="60"/>
        <w:ind w:left="568" w:hanging="284"/>
        <w:rPr>
          <w:rFonts w:cs="Arial"/>
        </w:rPr>
      </w:pPr>
      <w:r>
        <w:rPr>
          <w:rFonts w:cs="Arial"/>
        </w:rPr>
        <w:t>επιχορηγήσεων φορέων που προάγουν τον πολιτισμό και</w:t>
      </w:r>
    </w:p>
    <w:p w14:paraId="45FA89F9" w14:textId="77777777" w:rsidR="000A23FB" w:rsidRDefault="000A23FB" w:rsidP="000A23FB">
      <w:pPr>
        <w:numPr>
          <w:ilvl w:val="0"/>
          <w:numId w:val="1"/>
        </w:numPr>
        <w:spacing w:before="60"/>
        <w:ind w:left="568" w:hanging="284"/>
      </w:pPr>
      <w:r>
        <w:t>διεξαγωγής πολιτιστικών εκδηλώσεων, συνεδρίων και προγραμμάτων διάδοσης του ελληνικού πολιτισμού.</w:t>
      </w:r>
    </w:p>
    <w:p w14:paraId="378BE94D" w14:textId="655BACDF" w:rsidR="000A23FB" w:rsidRPr="00B23353" w:rsidRDefault="000A23FB" w:rsidP="000A23FB">
      <w:r w:rsidRPr="00A367E3">
        <w:t>Οι εκτιμήσεις δαπανών για το έτος 202</w:t>
      </w:r>
      <w:r w:rsidRPr="00244B9C">
        <w:t>5</w:t>
      </w:r>
      <w:r w:rsidRPr="00A367E3">
        <w:t xml:space="preserve"> ανέρχονται στο ποσό των </w:t>
      </w:r>
      <w:r w:rsidRPr="00326160">
        <w:t xml:space="preserve">349 </w:t>
      </w:r>
      <w:r w:rsidRPr="00A367E3">
        <w:t xml:space="preserve">εκατ. ευρώ. Κατά την εκτέλεση του προϋπολογισμού διατέθηκαν επιπλέον πιστώσεις ύψους </w:t>
      </w:r>
      <w:r w:rsidRPr="00651DA6">
        <w:t xml:space="preserve">18,8 εκατ. ευρώ </w:t>
      </w:r>
      <w:r>
        <w:t xml:space="preserve">κυρίως </w:t>
      </w:r>
      <w:r w:rsidRPr="00651DA6">
        <w:t xml:space="preserve">για την επιχορήγηση εποπτευόμενων φορέων καθώς και για την καταβολή της πρόσθετης δαπάνης </w:t>
      </w:r>
      <w:r w:rsidR="000B4201">
        <w:t xml:space="preserve">συνεπεία του </w:t>
      </w:r>
      <w:r w:rsidRPr="00651DA6">
        <w:t>επανακαθορισμ</w:t>
      </w:r>
      <w:r w:rsidR="000B4201">
        <w:t>ού</w:t>
      </w:r>
      <w:r w:rsidRPr="00651DA6">
        <w:t xml:space="preserve"> του ύψους και τη</w:t>
      </w:r>
      <w:r w:rsidR="000B4201">
        <w:t>ς</w:t>
      </w:r>
      <w:r w:rsidRPr="00651DA6">
        <w:t xml:space="preserve"> διεύρυνση</w:t>
      </w:r>
      <w:r w:rsidR="000B4201">
        <w:t>ς</w:t>
      </w:r>
      <w:r w:rsidRPr="00651DA6">
        <w:t xml:space="preserve"> των δικαιούχων του επιδόματος επικίνδυνης και ανθυγιεινής εργασίας. Ποσό ύψους 89,4 εκατ. ευρώ αποδόθηκε στον προϋπολογισμό του Υπουργείου </w:t>
      </w:r>
      <w:r>
        <w:t xml:space="preserve">Πολιτισμού </w:t>
      </w:r>
      <w:r w:rsidRPr="00651DA6">
        <w:t xml:space="preserve">από τα ετήσια διαθέσιμα του </w:t>
      </w:r>
      <w:r w:rsidRPr="00A367E3">
        <w:t>Οργανισμού Διαχείρισης και Ανάπτυξης Πολιτιστικών Πόρων (ΟΔΑΠ)</w:t>
      </w:r>
      <w:r w:rsidR="00A42497">
        <w:t>,</w:t>
      </w:r>
      <w:r w:rsidRPr="00A367E3">
        <w:t xml:space="preserve"> σύμφωνα με την παρ.9α του άρθρου 45 του ν.4071/2012 (Α’ 85).</w:t>
      </w:r>
    </w:p>
    <w:p w14:paraId="0D8212A1" w14:textId="0C39184B" w:rsidR="000A23FB" w:rsidRDefault="000A23FB" w:rsidP="000A23FB">
      <w:r w:rsidRPr="00A367E3">
        <w:t>Οι προβλέψεις δαπανών του τακτικού προϋπολογισμού για το έτος 202</w:t>
      </w:r>
      <w:r w:rsidRPr="00326160">
        <w:t>6</w:t>
      </w:r>
      <w:r w:rsidRPr="00A367E3">
        <w:t xml:space="preserve"> ανέρχονται στο ποσό των </w:t>
      </w:r>
      <w:r w:rsidRPr="00326160">
        <w:t xml:space="preserve">278,1 </w:t>
      </w:r>
      <w:r w:rsidRPr="00A367E3">
        <w:t xml:space="preserve">εκατ. ευρώ. Τα ανώτατα όρια του Υπουργείου αυξήθηκαν κατά </w:t>
      </w:r>
      <w:r w:rsidRPr="00326160">
        <w:t>2,2</w:t>
      </w:r>
      <w:r w:rsidRPr="00A367E3">
        <w:t xml:space="preserve"> εκατ. ευρώ για την κάλυψη των λειτουργικών αναγκών των εποπτευόμενων φορέων του.</w:t>
      </w:r>
      <w:r w:rsidR="00A41BFE">
        <w:t xml:space="preserve"> Οι πιστώσεις του Υπουργείου θα ενισχυθούν επιπλέον κατά τη διάρκεια του έτους από την απόδοση των εσόδων του ΟΔΑΠ.</w:t>
      </w:r>
    </w:p>
    <w:p w14:paraId="6678D76D" w14:textId="3DA8B564" w:rsidR="003254B5" w:rsidRPr="00366B32" w:rsidRDefault="00BA5823" w:rsidP="001216B1">
      <w:r w:rsidRPr="0074175B">
        <w:t>Επίσης, για δράσεις που υλοποιούνται</w:t>
      </w:r>
      <w:r>
        <w:t>,</w:t>
      </w:r>
      <w:r w:rsidRPr="0074175B">
        <w:t xml:space="preserve"> μεταξύ άλλων</w:t>
      </w:r>
      <w:r>
        <w:t>,</w:t>
      </w:r>
      <w:r w:rsidRPr="0074175B">
        <w:t xml:space="preserve"> για τη διάσωση της πολιτιστικής κληρονομιάς, την υποστήριξη και την ανάπτυξη της σύγχρονης δημιουργίας και την προσέλκυση επενδύσεων στον τομέα των οπτικοακουστικών μέσων, διατίθενται </w:t>
      </w:r>
      <w:r>
        <w:t>129</w:t>
      </w:r>
      <w:r w:rsidRPr="0074175B">
        <w:t xml:space="preserve"> εκατ. ευρώ από το εθνικό και το συγχρηματοδοτούμενο σκέλος του προϋπολογισμού δημοσίων επενδύσεων του Υπουργείου και </w:t>
      </w:r>
      <w:r>
        <w:t xml:space="preserve">246 </w:t>
      </w:r>
      <w:r w:rsidRPr="0074175B">
        <w:t>εκατ. ευρώ για δράσεις που χρηματοδοτούνται από το ΤΑΑ.</w:t>
      </w:r>
    </w:p>
    <w:p w14:paraId="5AAE9D18" w14:textId="05348E3B" w:rsidR="002339BB" w:rsidRPr="000E21AB" w:rsidRDefault="00F67FDB" w:rsidP="000E21AB">
      <w:pPr>
        <w:spacing w:before="240"/>
        <w:rPr>
          <w:rFonts w:cs="Arial"/>
          <w:b/>
          <w:szCs w:val="20"/>
        </w:rPr>
      </w:pPr>
      <w:r w:rsidRPr="00BA5823">
        <w:rPr>
          <w:rFonts w:cs="Arial"/>
          <w:b/>
          <w:szCs w:val="20"/>
        </w:rPr>
        <w:t xml:space="preserve">Υπουργείο </w:t>
      </w:r>
      <w:r w:rsidR="000673C3" w:rsidRPr="00BA5823">
        <w:rPr>
          <w:rFonts w:cs="Arial"/>
          <w:b/>
          <w:szCs w:val="20"/>
        </w:rPr>
        <w:t xml:space="preserve">Εθνικής Οικονομίας και </w:t>
      </w:r>
      <w:r w:rsidR="002339BB" w:rsidRPr="00BA5823">
        <w:rPr>
          <w:rFonts w:cs="Arial"/>
          <w:b/>
          <w:szCs w:val="20"/>
        </w:rPr>
        <w:t>Οικονομικών</w:t>
      </w:r>
    </w:p>
    <w:p w14:paraId="770E2424" w14:textId="77777777" w:rsidR="00C75E57" w:rsidRPr="003B65D9" w:rsidRDefault="00C75E57" w:rsidP="003B65D9">
      <w:r w:rsidRPr="003B65D9">
        <w:t>Στον τακτικό προϋπολογισμό του Υπουργείου, πέραν των πιστώσεων που έχουν προβλεφθεί για τη λειτουργία των υπηρεσιών του, περιλαμβάνονται και οι πιστώσεις για το Νομικό Συμβούλιο του Κράτους (ΝΣΚ), την Ανεξάρτητη Αρχή Δημοσίων Εσόδων (ΑΑΔΕ), την Αρχή Καταπολέμησης της Νομιμοποίησης Εσόδων από Εγκληματικές Δραστηριότητες, το Εθνικό Συμβούλιο Ραδιοτηλεόρασης (ΕΣΡ) καθώς και για την Ανεξάρτητη Αρχή Πιστοληπτικής Αξιολόγησης. Ειδικότερα για την ΑΑΔΕ, έχουν προβλεφθεί σε διακριτούς ειδικούς φορείς πιστώσεις ύψους 542,7 εκατ. ευρώ έναντι πρότασης του φορέα για την εγγραφή πιστώσεων ύψους 595,8 εκατ. ευρώ.</w:t>
      </w:r>
    </w:p>
    <w:p w14:paraId="5D010B23" w14:textId="741AA0BB" w:rsidR="00095FEF" w:rsidRPr="00366B32" w:rsidRDefault="0074175B" w:rsidP="0074175B">
      <w:r w:rsidRPr="00366B32">
        <w:t>Επίσης</w:t>
      </w:r>
      <w:r w:rsidR="00095FEF" w:rsidRPr="00366B32">
        <w:t>, περιλαμβάνεται και ο ειδικός φορέας «Γενικές Κρατικές Δαπάνες» για την αντιμετώπιση δι</w:t>
      </w:r>
      <w:r w:rsidR="004642D9">
        <w:t>α</w:t>
      </w:r>
      <w:r w:rsidR="00095FEF" w:rsidRPr="00366B32">
        <w:t>φ</w:t>
      </w:r>
      <w:r w:rsidR="004642D9">
        <w:t>ό</w:t>
      </w:r>
      <w:r w:rsidR="00095FEF" w:rsidRPr="00366B32">
        <w:t xml:space="preserve">ρων οριζόντιων θεμάτων της </w:t>
      </w:r>
      <w:r w:rsidR="00AB4A21" w:rsidRPr="00366B32">
        <w:t>Κ</w:t>
      </w:r>
      <w:r w:rsidR="00095FEF" w:rsidRPr="00366B32">
        <w:t xml:space="preserve">εντρικής </w:t>
      </w:r>
      <w:r w:rsidR="00AB4A21" w:rsidRPr="00366B32">
        <w:t>Δ</w:t>
      </w:r>
      <w:r w:rsidR="00095FEF" w:rsidRPr="00366B32">
        <w:t>ιοίκησης. Οι πιστώσεις του εμφανίζονται διακριτά στον πίνακα και προβλέπεται να καλύψουν, μεταξύ άλλων, το αποθεματικό, τις πιστώσεις υπό κατανομή για νέες προσλήψεις, τις συντάξεις που πληρώνονται απευθείας από το κράτος, τις αποδόσεις στην ΕΕ, το επίδομα θέρμανσης, τις καταπτώσεις εγγυήσεων με εγγυητή το Ε</w:t>
      </w:r>
      <w:r w:rsidR="00E72138" w:rsidRPr="00366B32">
        <w:t xml:space="preserve">λληνικό </w:t>
      </w:r>
      <w:r w:rsidR="00095FEF" w:rsidRPr="00366B32">
        <w:t>Δ</w:t>
      </w:r>
      <w:r w:rsidR="00E72138" w:rsidRPr="00366B32">
        <w:t>ημόσιο</w:t>
      </w:r>
      <w:r w:rsidR="00095FEF" w:rsidRPr="00366B32">
        <w:t>, τους τόκους και τα συναφή τραπεζικά έξοδα.</w:t>
      </w:r>
    </w:p>
    <w:p w14:paraId="6F288524" w14:textId="09BC0329" w:rsidR="009A46D0" w:rsidRDefault="00BA5823" w:rsidP="00D41392">
      <w:r w:rsidRPr="0074175B">
        <w:t xml:space="preserve">Το σύνολο </w:t>
      </w:r>
      <w:r>
        <w:t xml:space="preserve">των </w:t>
      </w:r>
      <w:r w:rsidRPr="0074175B">
        <w:t xml:space="preserve">δαπανών που θα καλυφθούν μέσω του </w:t>
      </w:r>
      <w:r>
        <w:t>π</w:t>
      </w:r>
      <w:r w:rsidRPr="0074175B">
        <w:t xml:space="preserve">ροϋπολογισμού </w:t>
      </w:r>
      <w:r>
        <w:t>δ</w:t>
      </w:r>
      <w:r w:rsidRPr="0074175B">
        <w:t xml:space="preserve">ημοσίων </w:t>
      </w:r>
      <w:r>
        <w:t>ε</w:t>
      </w:r>
      <w:r w:rsidRPr="0074175B">
        <w:t>πενδύσεων του Υπουργείου έτους 202</w:t>
      </w:r>
      <w:r>
        <w:t>6</w:t>
      </w:r>
      <w:r w:rsidRPr="0074175B">
        <w:t xml:space="preserve"> προβλέπεται να ανέλθει </w:t>
      </w:r>
      <w:r>
        <w:t xml:space="preserve">στο ποσό των </w:t>
      </w:r>
      <w:r w:rsidRPr="0074175B">
        <w:t>2.</w:t>
      </w:r>
      <w:r>
        <w:t>770</w:t>
      </w:r>
      <w:r w:rsidRPr="0074175B">
        <w:t xml:space="preserve"> εκατ. ευρώ</w:t>
      </w:r>
      <w:r>
        <w:t xml:space="preserve">, εκ του οποίου ποσό ύψους 1.870 εκατ. ευρώ θα διατεθεί για την υλοποίηση έργων και προγραμμάτων των ΟΤΑ α’ και β’ </w:t>
      </w:r>
      <w:r>
        <w:lastRenderedPageBreak/>
        <w:t>βαθμού.</w:t>
      </w:r>
      <w:r w:rsidRPr="00B210CC">
        <w:t xml:space="preserve"> </w:t>
      </w:r>
      <w:r w:rsidRPr="0074175B">
        <w:t xml:space="preserve">Επιπλέον, </w:t>
      </w:r>
      <w:r w:rsidR="00D41392" w:rsidRPr="0074175B">
        <w:t xml:space="preserve">έχουν προβλεφθεί πιστώσεις ύψους </w:t>
      </w:r>
      <w:r w:rsidR="00D41392">
        <w:t>300</w:t>
      </w:r>
      <w:r w:rsidR="00D41392" w:rsidRPr="0074175B">
        <w:t xml:space="preserve"> εκατ. ευρώ </w:t>
      </w:r>
      <w:r w:rsidRPr="0074175B">
        <w:t xml:space="preserve">για </w:t>
      </w:r>
      <w:r w:rsidR="00D41392" w:rsidRPr="0074175B">
        <w:t>επιμέρους δράσ</w:t>
      </w:r>
      <w:r w:rsidR="00D41392">
        <w:t>εις</w:t>
      </w:r>
      <w:r w:rsidR="00D41392" w:rsidRPr="0074175B">
        <w:t xml:space="preserve"> του Υπουργείου και της ΑΑΔΕ</w:t>
      </w:r>
      <w:r w:rsidR="00D41392">
        <w:t xml:space="preserve">, οι οποίες </w:t>
      </w:r>
      <w:r w:rsidRPr="0074175B">
        <w:t>χρηματοδ</w:t>
      </w:r>
      <w:r w:rsidR="00D41392">
        <w:t xml:space="preserve">οτούνται </w:t>
      </w:r>
      <w:r w:rsidRPr="0074175B">
        <w:t>από το ΤΑΑ.</w:t>
      </w:r>
    </w:p>
    <w:p w14:paraId="449E02BB" w14:textId="77777777" w:rsidR="002339BB" w:rsidRPr="006203B5" w:rsidRDefault="00F67FDB" w:rsidP="006203B5">
      <w:pPr>
        <w:spacing w:before="240"/>
        <w:rPr>
          <w:rFonts w:cs="Arial"/>
          <w:b/>
          <w:szCs w:val="20"/>
        </w:rPr>
      </w:pPr>
      <w:r w:rsidRPr="00D41392">
        <w:rPr>
          <w:rFonts w:cs="Arial"/>
          <w:b/>
          <w:szCs w:val="20"/>
        </w:rPr>
        <w:t xml:space="preserve">Υπουργείο </w:t>
      </w:r>
      <w:r w:rsidR="002339BB" w:rsidRPr="00D41392">
        <w:rPr>
          <w:rFonts w:cs="Arial"/>
          <w:b/>
          <w:szCs w:val="20"/>
        </w:rPr>
        <w:t>Αγρ</w:t>
      </w:r>
      <w:r w:rsidRPr="00D41392">
        <w:rPr>
          <w:rFonts w:cs="Arial"/>
          <w:b/>
          <w:szCs w:val="20"/>
        </w:rPr>
        <w:t xml:space="preserve">οτικής </w:t>
      </w:r>
      <w:r w:rsidR="002339BB" w:rsidRPr="00D41392">
        <w:rPr>
          <w:rFonts w:cs="Arial"/>
          <w:b/>
          <w:szCs w:val="20"/>
        </w:rPr>
        <w:t>Ανάπτυξης</w:t>
      </w:r>
      <w:r w:rsidRPr="00D41392">
        <w:rPr>
          <w:rFonts w:cs="Arial"/>
          <w:b/>
          <w:szCs w:val="20"/>
        </w:rPr>
        <w:t xml:space="preserve"> και Τροφίμων</w:t>
      </w:r>
    </w:p>
    <w:p w14:paraId="745232D0" w14:textId="3006746B" w:rsidR="00C75E57" w:rsidRPr="00C75E57" w:rsidRDefault="00C75E57" w:rsidP="00C75E57">
      <w:r w:rsidRPr="00C75E57">
        <w:t xml:space="preserve">Στον τακτικό προϋπολογισμό του Υπουργείου έχουν προβλεφθεί πιστώσεις για την εκτέλεση της αποστολής του και ιδίως για την ανάπτυξη και </w:t>
      </w:r>
      <w:r w:rsidR="0067328E">
        <w:t xml:space="preserve">τη </w:t>
      </w:r>
      <w:r w:rsidRPr="00C75E57">
        <w:t xml:space="preserve">βελτίωση των συνθηκών παραγωγής του αγροτικού τομέα, την αύξηση της προστιθέμενης αξίας και την προώθηση του εξαγωγικού προσανατολισμού των αγροτικών προϊόντων, την </w:t>
      </w:r>
      <w:r w:rsidR="0050636B">
        <w:t>επίτευξη</w:t>
      </w:r>
      <w:r w:rsidRPr="00C75E57">
        <w:t xml:space="preserve"> της μέγιστης δυνατής ασφάλειας των παραγόμενων και των εισαγόμενων τροφίμων στη χώρα και την αξιοποίηση των πόρων της Κοινής Αγροτικής Πολιτικής (ΚΑΠ) και της Κοινής Αλιευτικής Πολιτικής (ΚΑλΠ).</w:t>
      </w:r>
    </w:p>
    <w:p w14:paraId="10745B03" w14:textId="77777777" w:rsidR="00C75E57" w:rsidRPr="00C75E57" w:rsidRDefault="00C75E57" w:rsidP="00C75E57">
      <w:r w:rsidRPr="00C75E57">
        <w:t>Σημαντικό μέρος των πιστώσεων αυτών θα διατεθεί για:</w:t>
      </w:r>
    </w:p>
    <w:p w14:paraId="5AD448E5" w14:textId="77777777" w:rsidR="00C75E57" w:rsidRPr="00C75E57" w:rsidRDefault="00C75E57" w:rsidP="00C75E57">
      <w:pPr>
        <w:numPr>
          <w:ilvl w:val="0"/>
          <w:numId w:val="1"/>
        </w:numPr>
        <w:spacing w:after="60"/>
        <w:ind w:left="568" w:hanging="284"/>
        <w:rPr>
          <w:rFonts w:cs="Arial"/>
        </w:rPr>
      </w:pPr>
      <w:r w:rsidRPr="00C75E57">
        <w:rPr>
          <w:rFonts w:cs="Arial"/>
        </w:rPr>
        <w:t>την επιχορήγηση εποπτευόμενων από το Υπουργείο φορέων με σκοπό τη διασφάλιση της απρόσκοπτης λειτουργίας τους στο πλαίσιο της προαγωγής της αγροτικής ανάπτυξης της χώρας. Μεταξύ άλλων, έχουν προβλεφθεί πιστώσεις ύψους 58,3 εκατ. ευρώ για την επιχορήγηση του Οργανισμού Ελληνικών Γεωργικών Ασφαλίσεων (ΕΛΓΑ) και του Οργανισμού Πληρωμών και Ελέγχου Κοινοτικών Ενισχύσεων, Προσανατολισμού και Εγγυήσεων (ΟΠΕΚΕΠΕ) με σκοπό την κάλυψη των λειτουργικών τους δαπανών,</w:t>
      </w:r>
    </w:p>
    <w:p w14:paraId="1CFD6BFC" w14:textId="77777777" w:rsidR="00C75E57" w:rsidRPr="00C75E57" w:rsidRDefault="00C75E57" w:rsidP="00C75E57">
      <w:pPr>
        <w:numPr>
          <w:ilvl w:val="0"/>
          <w:numId w:val="1"/>
        </w:numPr>
        <w:spacing w:after="60"/>
        <w:ind w:left="568" w:hanging="284"/>
        <w:rPr>
          <w:rFonts w:cs="Arial"/>
        </w:rPr>
      </w:pPr>
      <w:r w:rsidRPr="00C75E57">
        <w:rPr>
          <w:rFonts w:cs="Arial"/>
        </w:rPr>
        <w:t>την κάλυψη του ελλείμματος του Ειδικού Λογαριασμού Εγγυήσεων Γεωργικών Προϊόντων (ΕΛΕΓΕΠ) και</w:t>
      </w:r>
    </w:p>
    <w:p w14:paraId="41246083" w14:textId="77777777" w:rsidR="00C75E57" w:rsidRPr="00C75E57" w:rsidRDefault="00C75E57" w:rsidP="00C75E57">
      <w:pPr>
        <w:numPr>
          <w:ilvl w:val="0"/>
          <w:numId w:val="1"/>
        </w:numPr>
        <w:ind w:left="568" w:hanging="284"/>
        <w:rPr>
          <w:rFonts w:cs="Arial"/>
        </w:rPr>
      </w:pPr>
      <w:r w:rsidRPr="00C75E57">
        <w:rPr>
          <w:rFonts w:cs="Arial"/>
        </w:rPr>
        <w:t>την καταβολή στους αγρότες, μέσω του ΕΛΓΑ, κρατικών οικονομικών ενισχύσεων που έχουν εγκριθεί από την ΕΕ.</w:t>
      </w:r>
    </w:p>
    <w:p w14:paraId="2B9763BF" w14:textId="6EF64A33" w:rsidR="00C75E57" w:rsidRPr="002D1F24" w:rsidRDefault="00C75E57" w:rsidP="00C75E57">
      <w:r w:rsidRPr="002D1F24">
        <w:t>Η διαφορά μεταξύ των εκτιμήσεων οικονομικού έτους 2025 και των αντίστοιχων προβλέψεων για το οικονομικό έτος 2026 οφείλεται σε αυξημένες υποχρεώσεις το 2025 για την αντιμετώπιση των ζημιών που προκλήθηκαν στον πρωτογενή τομέα από φυσικές καταστροφές</w:t>
      </w:r>
      <w:r w:rsidR="005F65E2">
        <w:t xml:space="preserve">, </w:t>
      </w:r>
      <w:r w:rsidRPr="002D1F24">
        <w:t>για τις οποίες διατέθηκαν για αποζημιώσεις μέσω του ΕΛΓΑ και του ΟΠΕΚΕΠΕ επιπλέον πιστώσεις ύψους 115 εκατ. ευρώ περίπου</w:t>
      </w:r>
      <w:r w:rsidR="005F65E2">
        <w:t>,</w:t>
      </w:r>
      <w:r w:rsidR="0050636B" w:rsidRPr="002D1F24">
        <w:t xml:space="preserve"> καθώς και για λοιπές οικονομικές ενισχύσεις στον γεωργικό τομέα</w:t>
      </w:r>
      <w:r w:rsidR="009E0294" w:rsidRPr="002D1F24">
        <w:t>.</w:t>
      </w:r>
    </w:p>
    <w:p w14:paraId="391134AF" w14:textId="0E970C93" w:rsidR="003254B5" w:rsidRPr="00505677" w:rsidRDefault="00505677" w:rsidP="001216B1">
      <w:r>
        <w:t>Α</w:t>
      </w:r>
      <w:r w:rsidRPr="00125DA0">
        <w:t>πό τον προϋπολογισμό δημοσίων επενδύσεων</w:t>
      </w:r>
      <w:r>
        <w:t xml:space="preserve"> </w:t>
      </w:r>
      <w:r w:rsidRPr="00125DA0">
        <w:t>θα διατεθ</w:t>
      </w:r>
      <w:r>
        <w:t>εί</w:t>
      </w:r>
      <w:r w:rsidRPr="00125DA0">
        <w:t xml:space="preserve"> στο Υπουργείο </w:t>
      </w:r>
      <w:r>
        <w:t>μ</w:t>
      </w:r>
      <w:r w:rsidR="00D41392">
        <w:t>εγάλο ύψος πιστώσεων</w:t>
      </w:r>
      <w:r w:rsidR="00D41392" w:rsidRPr="00125DA0">
        <w:t xml:space="preserve"> </w:t>
      </w:r>
      <w:r w:rsidR="00D41392">
        <w:t>και συγκεκριμένα 1.207 εκατ. ευρώ</w:t>
      </w:r>
      <w:r w:rsidR="00D41392" w:rsidRPr="00125DA0">
        <w:t>,</w:t>
      </w:r>
      <w:r w:rsidR="00D41392">
        <w:t xml:space="preserve"> εκ των οποίων ποσό ύψους 302</w:t>
      </w:r>
      <w:r w:rsidR="00D41392" w:rsidRPr="00125DA0">
        <w:t xml:space="preserve"> εκατ. ευρώ </w:t>
      </w:r>
      <w:r>
        <w:t>αφορά σ</w:t>
      </w:r>
      <w:r w:rsidR="00D41392" w:rsidRPr="00125DA0">
        <w:t xml:space="preserve">την υλοποίηση έργων που χρηματοδοτούνται από το ΤΑΑ. Με τις ανωτέρω πιστώσεις προβλέπεται να καλυφθούν δαπάνες </w:t>
      </w:r>
      <w:r w:rsidR="00D41392">
        <w:t>προγραμμάτων</w:t>
      </w:r>
      <w:r w:rsidR="00D41392" w:rsidRPr="00125DA0">
        <w:t xml:space="preserve"> για την ενίσχυση της ανταγωνιστικότητας, τη βελτίωση των συνθηκών μεταποίησης, εμπορίας ή και ανάπτυξης γεωργικών προϊόντων</w:t>
      </w:r>
      <w:r w:rsidR="00D41392">
        <w:t>.</w:t>
      </w:r>
    </w:p>
    <w:p w14:paraId="5624EC37" w14:textId="74942BA7" w:rsidR="002339BB" w:rsidRPr="00123F18" w:rsidRDefault="00F67FDB" w:rsidP="00C16105">
      <w:pPr>
        <w:keepNext/>
        <w:spacing w:before="240"/>
        <w:rPr>
          <w:rFonts w:cs="Arial"/>
          <w:b/>
          <w:szCs w:val="20"/>
        </w:rPr>
      </w:pPr>
      <w:r w:rsidRPr="00505677">
        <w:rPr>
          <w:rFonts w:cs="Arial"/>
          <w:b/>
          <w:szCs w:val="20"/>
        </w:rPr>
        <w:t xml:space="preserve">Υπουργείο </w:t>
      </w:r>
      <w:r w:rsidR="002339BB" w:rsidRPr="00505677">
        <w:rPr>
          <w:rFonts w:cs="Arial"/>
          <w:b/>
          <w:szCs w:val="20"/>
        </w:rPr>
        <w:t>Περιβάλλοντος</w:t>
      </w:r>
      <w:r w:rsidRPr="00505677">
        <w:rPr>
          <w:rFonts w:cs="Arial"/>
          <w:b/>
          <w:szCs w:val="20"/>
        </w:rPr>
        <w:t xml:space="preserve"> και Ενέργειας</w:t>
      </w:r>
    </w:p>
    <w:p w14:paraId="5A58409A" w14:textId="77777777" w:rsidR="0005521C" w:rsidRDefault="0005521C" w:rsidP="0005521C">
      <w:r>
        <w:t>Ο</w:t>
      </w:r>
      <w:r w:rsidRPr="003B0737">
        <w:t xml:space="preserve"> </w:t>
      </w:r>
      <w:r>
        <w:t>τακτικός προϋπολογισμός του Υπουργείου καλύπτει κυρίως:</w:t>
      </w:r>
    </w:p>
    <w:p w14:paraId="06B3483D" w14:textId="77777777" w:rsidR="0005521C" w:rsidRPr="0005521C" w:rsidRDefault="0005521C" w:rsidP="0005521C">
      <w:pPr>
        <w:numPr>
          <w:ilvl w:val="0"/>
          <w:numId w:val="1"/>
        </w:numPr>
        <w:spacing w:before="120" w:after="60"/>
        <w:ind w:left="568" w:hanging="284"/>
      </w:pPr>
      <w:r w:rsidRPr="0005521C">
        <w:t>τις δαπάνες των δασικών υπηρεσιών,</w:t>
      </w:r>
    </w:p>
    <w:p w14:paraId="26E6FC0B" w14:textId="741BDB21" w:rsidR="0005521C" w:rsidRPr="0005521C" w:rsidRDefault="0005521C" w:rsidP="0005521C">
      <w:pPr>
        <w:numPr>
          <w:ilvl w:val="0"/>
          <w:numId w:val="1"/>
        </w:numPr>
        <w:spacing w:before="60" w:after="60"/>
        <w:ind w:left="568" w:hanging="284"/>
        <w:rPr>
          <w:rFonts w:cs="Arial"/>
        </w:rPr>
      </w:pPr>
      <w:r w:rsidRPr="0005521C">
        <w:rPr>
          <w:rFonts w:cs="Arial"/>
        </w:rPr>
        <w:t>την επιχορήγηση της Ελληνικής Αρχής Γεωλογικών και Μεταλλευτικών Ερευνών (ΕΑΓΜΕ), του Οργανισμού Φυσικού Περιβάλλοντος και Κλιματικής Αλλαγής (ΟΦΥΠΕΚΑ), του Κέντρου Ανανεώσιμων Πηγών και Εξοικονόμησης Ενέργειας (ΚΑΠΕ) και του Οργανισμού Διαχείρισης και Διανομής Υδάτων Θεσσαλίας (ΟΔΥΘ) και</w:t>
      </w:r>
    </w:p>
    <w:p w14:paraId="065FE819" w14:textId="3C951880" w:rsidR="0005521C" w:rsidRPr="0075740A" w:rsidRDefault="0005521C" w:rsidP="0075740A">
      <w:pPr>
        <w:numPr>
          <w:ilvl w:val="0"/>
          <w:numId w:val="1"/>
        </w:numPr>
        <w:spacing w:before="60"/>
        <w:ind w:left="568" w:hanging="284"/>
        <w:rPr>
          <w:rFonts w:cs="Arial"/>
        </w:rPr>
      </w:pPr>
      <w:r w:rsidRPr="0075740A">
        <w:rPr>
          <w:rFonts w:cs="Arial"/>
        </w:rPr>
        <w:t xml:space="preserve">τις αποδόσεις εσόδων στο Πράσινο Ταμείο, στον Ελληνικό Οργανισμό Ανακύκλωσης (ΕΟΑΝ) και στον ειδικό λογαριασμό Ανανεώσιμων Πηγών Ενέργειας και Συμπαραγωγής Ηλεκτρισμού - Θερμότητας Υψηλής Απόδοσης (ΑΠΕ </w:t>
      </w:r>
      <w:r w:rsidR="00D619DC">
        <w:rPr>
          <w:rFonts w:cs="Arial"/>
        </w:rPr>
        <w:t>και</w:t>
      </w:r>
      <w:r w:rsidRPr="0075740A">
        <w:rPr>
          <w:rFonts w:cs="Arial"/>
        </w:rPr>
        <w:t xml:space="preserve"> ΣΗΘΥΑ) από την επιβολή πράσινου τέλους στο πετρέλαιο εσωτερικής καύσης </w:t>
      </w:r>
      <w:r w:rsidR="00D619DC" w:rsidRPr="00D619DC">
        <w:rPr>
          <w:rFonts w:cs="Arial"/>
        </w:rPr>
        <w:t>“</w:t>
      </w:r>
      <w:r w:rsidRPr="0075740A">
        <w:rPr>
          <w:rFonts w:cs="Arial"/>
        </w:rPr>
        <w:t>diesel</w:t>
      </w:r>
      <w:r w:rsidR="00D619DC" w:rsidRPr="00D619DC">
        <w:rPr>
          <w:rFonts w:cs="Arial"/>
        </w:rPr>
        <w:t>”</w:t>
      </w:r>
      <w:r w:rsidRPr="0075740A">
        <w:rPr>
          <w:rFonts w:cs="Arial"/>
        </w:rPr>
        <w:t>.</w:t>
      </w:r>
    </w:p>
    <w:p w14:paraId="2857C01B" w14:textId="7982B831" w:rsidR="0005521C" w:rsidRDefault="0005521C" w:rsidP="0075740A">
      <w:r>
        <w:lastRenderedPageBreak/>
        <w:t xml:space="preserve">Το έτος </w:t>
      </w:r>
      <w:r>
        <w:rPr>
          <w:bCs/>
        </w:rPr>
        <w:t>2025</w:t>
      </w:r>
      <w:r>
        <w:t xml:space="preserve"> ο τακτικός προϋπολογισμός του Υπουργείου Περιβάλλοντος και Ενέργειας εκτιμάται ότι θα διαμορφωθεί σε </w:t>
      </w:r>
      <w:r>
        <w:rPr>
          <w:bCs/>
        </w:rPr>
        <w:t>334 εκατ. ευρώ</w:t>
      </w:r>
      <w:r>
        <w:t xml:space="preserve">. Κατά τη διάρκεια της εκτέλεσης του προϋπολογισμού του ενισχύθηκε με πιστώσεις ύψους 15 </w:t>
      </w:r>
      <w:r>
        <w:rPr>
          <w:bCs/>
        </w:rPr>
        <w:t>εκατ. ευρώ</w:t>
      </w:r>
      <w:r>
        <w:t xml:space="preserve"> για την αντιμετώπιση έκτακτων λειτουργικών δαπανών.</w:t>
      </w:r>
    </w:p>
    <w:p w14:paraId="690CB852" w14:textId="66F080CC" w:rsidR="0005521C" w:rsidRDefault="0005521C" w:rsidP="0075740A">
      <w:pPr>
        <w:rPr>
          <w:highlight w:val="yellow"/>
        </w:rPr>
      </w:pPr>
      <w:r>
        <w:t xml:space="preserve">Για το </w:t>
      </w:r>
      <w:r>
        <w:rPr>
          <w:bCs/>
        </w:rPr>
        <w:t>2026</w:t>
      </w:r>
      <w:r>
        <w:t xml:space="preserve"> προβλέπονται συνολικές πιστώσεις ύψους </w:t>
      </w:r>
      <w:r>
        <w:rPr>
          <w:bCs/>
        </w:rPr>
        <w:t>318 εκατ. ευρώ</w:t>
      </w:r>
      <w:r>
        <w:t xml:space="preserve">, οι οποίες θα καλύψουν κυρίως τις αποδόσεις στο Πράσινο Ταμείο, στον ΕΟΑΝ και στον ειδικό λογαριασμό ΑΠΕ </w:t>
      </w:r>
      <w:r w:rsidR="00D619DC">
        <w:t>και</w:t>
      </w:r>
      <w:r>
        <w:t xml:space="preserve"> ΣΗΘΥΑ από την επιβολή πράσινου τέλους στο πετρέλαιο εσωτερικής καύσης </w:t>
      </w:r>
      <w:r w:rsidR="0075740A" w:rsidRPr="0075740A">
        <w:t>“</w:t>
      </w:r>
      <w:r>
        <w:t>diesel</w:t>
      </w:r>
      <w:r w:rsidR="0075740A" w:rsidRPr="0075740A">
        <w:t>”</w:t>
      </w:r>
      <w:r>
        <w:t>.</w:t>
      </w:r>
    </w:p>
    <w:p w14:paraId="1FD1745F" w14:textId="2B4C5AF8" w:rsidR="000562B1" w:rsidRPr="001216B1" w:rsidRDefault="00505677" w:rsidP="007B6BFA">
      <w:r w:rsidRPr="00125DA0">
        <w:t xml:space="preserve">Σημαντικοί </w:t>
      </w:r>
      <w:r w:rsidRPr="004D28D1">
        <w:t>πόροι ύψους</w:t>
      </w:r>
      <w:r w:rsidRPr="004D28D1">
        <w:rPr>
          <w:color w:val="0070C0"/>
        </w:rPr>
        <w:t xml:space="preserve"> </w:t>
      </w:r>
      <w:r>
        <w:t>2.215</w:t>
      </w:r>
      <w:r w:rsidRPr="004D28D1">
        <w:t xml:space="preserve"> εκατ. ευρώ θα διατε</w:t>
      </w:r>
      <w:r w:rsidRPr="00125DA0">
        <w:t>θούν από το ΤΑΑ για τη χρηματοδότηση δράσεων του Υπουργείου</w:t>
      </w:r>
      <w:r w:rsidR="005A2814">
        <w:t xml:space="preserve">. </w:t>
      </w:r>
      <w:r w:rsidR="00784C31">
        <w:t>Επιπλέον</w:t>
      </w:r>
      <w:r w:rsidR="005A2814">
        <w:t xml:space="preserve">, </w:t>
      </w:r>
      <w:r>
        <w:t xml:space="preserve">ποσό </w:t>
      </w:r>
      <w:r w:rsidRPr="00125DA0">
        <w:t>ύψους 6</w:t>
      </w:r>
      <w:r>
        <w:t>0</w:t>
      </w:r>
      <w:r w:rsidRPr="00125DA0">
        <w:t xml:space="preserve">0 εκατ. ευρώ </w:t>
      </w:r>
      <w:r w:rsidR="005A2814">
        <w:t xml:space="preserve">κατευθύνεται σε </w:t>
      </w:r>
      <w:r>
        <w:t>επενδυτικές δαπάνες του φορέα, εκ τ</w:t>
      </w:r>
      <w:r w:rsidR="005A2814">
        <w:t xml:space="preserve">ου </w:t>
      </w:r>
      <w:r>
        <w:t>οποί</w:t>
      </w:r>
      <w:r w:rsidR="005A2814">
        <w:t xml:space="preserve">ου ποσό ύψους </w:t>
      </w:r>
      <w:r>
        <w:t>70 εκατ. ευρώ</w:t>
      </w:r>
      <w:r w:rsidR="005A2814">
        <w:t xml:space="preserve"> αφορά </w:t>
      </w:r>
      <w:r>
        <w:t>στο εθνικό</w:t>
      </w:r>
      <w:r w:rsidR="005A2814">
        <w:t xml:space="preserve"> σκέλος</w:t>
      </w:r>
      <w:r>
        <w:t xml:space="preserve"> και 530</w:t>
      </w:r>
      <w:r w:rsidR="005A2814">
        <w:t xml:space="preserve"> εκατ. ευρώ </w:t>
      </w:r>
      <w:r>
        <w:t>στο συγχρηματοδοτούμενο σκέλος του</w:t>
      </w:r>
      <w:r w:rsidRPr="00B37C28">
        <w:t xml:space="preserve"> </w:t>
      </w:r>
      <w:r w:rsidRPr="00125DA0">
        <w:t>προϋπολογισμ</w:t>
      </w:r>
      <w:r>
        <w:t>ού</w:t>
      </w:r>
      <w:r w:rsidRPr="00125DA0">
        <w:t xml:space="preserve"> δημοσίων επενδύσεων</w:t>
      </w:r>
      <w:r>
        <w:t>.</w:t>
      </w:r>
    </w:p>
    <w:p w14:paraId="689C41C9" w14:textId="432C6D9E" w:rsidR="002339BB" w:rsidRPr="00C43D21" w:rsidRDefault="00F67FDB" w:rsidP="00F27406">
      <w:pPr>
        <w:spacing w:before="240"/>
        <w:rPr>
          <w:rFonts w:cs="Arial"/>
          <w:b/>
          <w:szCs w:val="20"/>
        </w:rPr>
      </w:pPr>
      <w:r w:rsidRPr="005A2814">
        <w:rPr>
          <w:rFonts w:cs="Arial"/>
          <w:b/>
          <w:szCs w:val="20"/>
        </w:rPr>
        <w:t xml:space="preserve">Υπουργείο </w:t>
      </w:r>
      <w:r w:rsidR="002339BB" w:rsidRPr="005A2814">
        <w:rPr>
          <w:rFonts w:cs="Arial"/>
          <w:b/>
          <w:szCs w:val="20"/>
        </w:rPr>
        <w:t>Εργασίας</w:t>
      </w:r>
      <w:r w:rsidRPr="005A2814">
        <w:rPr>
          <w:rFonts w:cs="Arial"/>
          <w:b/>
          <w:szCs w:val="20"/>
        </w:rPr>
        <w:t xml:space="preserve"> και Κοινωνικ</w:t>
      </w:r>
      <w:r w:rsidR="00123F18" w:rsidRPr="005A2814">
        <w:rPr>
          <w:rFonts w:cs="Arial"/>
          <w:b/>
          <w:szCs w:val="20"/>
        </w:rPr>
        <w:t>ής</w:t>
      </w:r>
      <w:r w:rsidRPr="005A2814">
        <w:rPr>
          <w:rFonts w:cs="Arial"/>
          <w:b/>
          <w:szCs w:val="20"/>
        </w:rPr>
        <w:t xml:space="preserve"> </w:t>
      </w:r>
      <w:r w:rsidR="00123F18" w:rsidRPr="005A2814">
        <w:rPr>
          <w:rFonts w:cs="Arial"/>
          <w:b/>
          <w:szCs w:val="20"/>
        </w:rPr>
        <w:t>Ασφάλισης</w:t>
      </w:r>
    </w:p>
    <w:p w14:paraId="63109AAE" w14:textId="77777777" w:rsidR="007F226A" w:rsidRDefault="007F226A" w:rsidP="007F226A">
      <w:r>
        <w:t>Οι δαπάνες του Υπουργείου Εργασίας και Κοινωνικής Ασφάλισης για το έτος 2025 εκτιμάται ότι θα ανέλθουν σε 17.706 εκατ. ευρώ.</w:t>
      </w:r>
    </w:p>
    <w:p w14:paraId="0F0B0112" w14:textId="66A4DC17" w:rsidR="007F226A" w:rsidRDefault="007F226A" w:rsidP="007F226A">
      <w:r>
        <w:t>Η πλειονότητα των πιστώσεων αυτών διατίθεται σε μεταβιβάσεις προς τους ΟΚΑ και ειδικότερα, προς τον e-ΕΦΚΑ για τη στήριξη του ασφαλιστικού συστήματος της χώρας και προς τη ΔΥΠΑ για τη στήριξη των ανέργων και την ενίσχυση των ενεργητικών πολιτικών απασχόλησης.</w:t>
      </w:r>
    </w:p>
    <w:p w14:paraId="3434CCAE" w14:textId="6E2CA20F" w:rsidR="007F226A" w:rsidRDefault="007F226A" w:rsidP="007F226A">
      <w:r>
        <w:t>Συγκεκριμένα, ο e-ΕΦΚΑ</w:t>
      </w:r>
      <w:r w:rsidR="004642D9">
        <w:t xml:space="preserve"> </w:t>
      </w:r>
      <w:r>
        <w:t>ενισχύεται</w:t>
      </w:r>
      <w:r w:rsidR="002F377B">
        <w:t>,</w:t>
      </w:r>
      <w:r>
        <w:t xml:space="preserve"> μέσω επιχορήγησης, τόσο για την κάλυψη των παροχών κύριας ασφάλισης όσο και για την απώλεια εσόδων από ασφαλιστικές εισφορές του κλάδου επικουρικής ασφάλισης, που προκύπτει εξαιτίας της λειτουργίας του Ταμείου Επικουρικής Κεφαλαιοποιητικής Ασφάλισης (ΤΕΚΑ).</w:t>
      </w:r>
    </w:p>
    <w:p w14:paraId="3CCD492D" w14:textId="5BA70E73" w:rsidR="00D6620F" w:rsidRDefault="007F226A" w:rsidP="000B60CC">
      <w:r>
        <w:t>Επιπλέον, κατά το έτος 2025</w:t>
      </w:r>
      <w:r w:rsidR="004642D9">
        <w:t xml:space="preserve"> </w:t>
      </w:r>
      <w:r>
        <w:t xml:space="preserve">το Υπουργείο ενισχύθηκε με πιστώσεις για την καταβολή αποζημιώσεων ειδικού σκοπού και την κάλυψη ασφαλιστικών εισφορών σε εργαζόμενους </w:t>
      </w:r>
      <w:r w:rsidR="00D6620F">
        <w:t>οι οποίοι τελούν σε</w:t>
      </w:r>
      <w:r>
        <w:t xml:space="preserve"> αναστολή </w:t>
      </w:r>
      <w:r w:rsidR="00D6620F">
        <w:t xml:space="preserve">της </w:t>
      </w:r>
      <w:r>
        <w:t>σύμβασης εργασίας</w:t>
      </w:r>
      <w:r w:rsidR="00D6620F">
        <w:t>:</w:t>
      </w:r>
    </w:p>
    <w:p w14:paraId="0DC07221" w14:textId="77777777" w:rsidR="000B60CC" w:rsidRDefault="000B60CC" w:rsidP="000B60CC">
      <w:pPr>
        <w:pStyle w:val="af0"/>
        <w:numPr>
          <w:ilvl w:val="0"/>
          <w:numId w:val="28"/>
        </w:numPr>
        <w:spacing w:before="120" w:after="60" w:line="300" w:lineRule="auto"/>
        <w:contextualSpacing w:val="0"/>
        <w:rPr>
          <w:rFonts w:ascii="Arial" w:hAnsi="Arial" w:cs="Arial"/>
          <w:sz w:val="20"/>
          <w:szCs w:val="20"/>
        </w:rPr>
      </w:pPr>
      <w:r>
        <w:rPr>
          <w:rFonts w:ascii="Arial" w:hAnsi="Arial" w:cs="Arial"/>
          <w:sz w:val="20"/>
          <w:szCs w:val="20"/>
        </w:rPr>
        <w:t xml:space="preserve">συνεπεία </w:t>
      </w:r>
      <w:r w:rsidRPr="00D6620F">
        <w:rPr>
          <w:rFonts w:ascii="Arial" w:hAnsi="Arial" w:cs="Arial"/>
          <w:sz w:val="20"/>
          <w:szCs w:val="20"/>
        </w:rPr>
        <w:t xml:space="preserve">του πολέμου στην Ουκρανία </w:t>
      </w:r>
      <w:r>
        <w:rPr>
          <w:rFonts w:ascii="Arial" w:hAnsi="Arial" w:cs="Arial"/>
          <w:sz w:val="20"/>
          <w:szCs w:val="20"/>
        </w:rPr>
        <w:t xml:space="preserve">που πλήττει τις επιχειρήσεις του </w:t>
      </w:r>
      <w:r w:rsidRPr="00D6620F">
        <w:rPr>
          <w:rFonts w:ascii="Arial" w:hAnsi="Arial" w:cs="Arial"/>
          <w:sz w:val="20"/>
          <w:szCs w:val="20"/>
        </w:rPr>
        <w:t>κλάδο</w:t>
      </w:r>
      <w:r>
        <w:rPr>
          <w:rFonts w:ascii="Arial" w:hAnsi="Arial" w:cs="Arial"/>
          <w:sz w:val="20"/>
          <w:szCs w:val="20"/>
        </w:rPr>
        <w:t>υ</w:t>
      </w:r>
      <w:r w:rsidRPr="00D6620F">
        <w:rPr>
          <w:rFonts w:ascii="Arial" w:hAnsi="Arial" w:cs="Arial"/>
          <w:sz w:val="20"/>
          <w:szCs w:val="20"/>
        </w:rPr>
        <w:t xml:space="preserve"> της γουνοποιίας</w:t>
      </w:r>
      <w:r>
        <w:rPr>
          <w:rFonts w:ascii="Arial" w:hAnsi="Arial" w:cs="Arial"/>
          <w:sz w:val="20"/>
          <w:szCs w:val="20"/>
        </w:rPr>
        <w:t xml:space="preserve"> όπου απασχολούνται και</w:t>
      </w:r>
    </w:p>
    <w:p w14:paraId="689D1171" w14:textId="3564F4B5" w:rsidR="007F226A" w:rsidRPr="00D6620F" w:rsidRDefault="000B60CC" w:rsidP="000B60CC">
      <w:pPr>
        <w:pStyle w:val="af0"/>
        <w:numPr>
          <w:ilvl w:val="0"/>
          <w:numId w:val="28"/>
        </w:numPr>
        <w:spacing w:before="60" w:after="120" w:line="300" w:lineRule="auto"/>
        <w:contextualSpacing w:val="0"/>
        <w:rPr>
          <w:rFonts w:ascii="Arial" w:hAnsi="Arial" w:cs="Arial"/>
          <w:sz w:val="20"/>
          <w:szCs w:val="20"/>
        </w:rPr>
      </w:pPr>
      <w:r>
        <w:rPr>
          <w:rFonts w:ascii="Arial" w:hAnsi="Arial" w:cs="Arial"/>
          <w:sz w:val="20"/>
          <w:szCs w:val="20"/>
        </w:rPr>
        <w:t xml:space="preserve">εξαιτίας </w:t>
      </w:r>
      <w:r w:rsidRPr="00D6620F">
        <w:rPr>
          <w:rFonts w:ascii="Arial" w:hAnsi="Arial" w:cs="Arial"/>
          <w:sz w:val="20"/>
          <w:szCs w:val="20"/>
        </w:rPr>
        <w:t xml:space="preserve">φυσικών καταστροφών κατά τα οριζόμενα στο άρθρο 79 του </w:t>
      </w:r>
      <w:r>
        <w:rPr>
          <w:rFonts w:ascii="Arial" w:hAnsi="Arial" w:cs="Arial"/>
          <w:sz w:val="20"/>
          <w:szCs w:val="20"/>
        </w:rPr>
        <w:t>ν</w:t>
      </w:r>
      <w:r w:rsidRPr="00D6620F">
        <w:rPr>
          <w:rFonts w:ascii="Arial" w:hAnsi="Arial" w:cs="Arial"/>
          <w:sz w:val="20"/>
          <w:szCs w:val="20"/>
        </w:rPr>
        <w:t>.4949/2022 (Α</w:t>
      </w:r>
      <w:r>
        <w:rPr>
          <w:rFonts w:ascii="Arial" w:hAnsi="Arial" w:cs="Arial"/>
          <w:sz w:val="20"/>
          <w:szCs w:val="20"/>
        </w:rPr>
        <w:t xml:space="preserve">’ </w:t>
      </w:r>
      <w:r w:rsidRPr="00D6620F">
        <w:rPr>
          <w:rFonts w:ascii="Arial" w:hAnsi="Arial" w:cs="Arial"/>
          <w:sz w:val="20"/>
          <w:szCs w:val="20"/>
        </w:rPr>
        <w:t>126)</w:t>
      </w:r>
      <w:r>
        <w:rPr>
          <w:rFonts w:ascii="Arial" w:hAnsi="Arial" w:cs="Arial"/>
          <w:sz w:val="20"/>
          <w:szCs w:val="20"/>
        </w:rPr>
        <w:t>.</w:t>
      </w:r>
    </w:p>
    <w:p w14:paraId="6CB2FAE8" w14:textId="0DA18866" w:rsidR="007F226A" w:rsidRDefault="007F226A" w:rsidP="000B60CC">
      <w:pPr>
        <w:spacing w:before="120"/>
      </w:pPr>
      <w:r>
        <w:t>Οι πιστώσεις ύψους 18.429 εκατ. ευρώ που έχουν προβλεφθεί στον τακτικό προϋπολογισμό του Υπουργείου για το 2026 εμφανίζονται αυξημένες κατά 723 εκατ. ευρώ σε σχέση με τις εκτιμήσεις του 2025</w:t>
      </w:r>
      <w:r w:rsidR="004C34E1">
        <w:t xml:space="preserve">. Η εν λόγω αύξηση </w:t>
      </w:r>
      <w:r>
        <w:t>οφείλ</w:t>
      </w:r>
      <w:r w:rsidR="004C34E1">
        <w:t xml:space="preserve">εται </w:t>
      </w:r>
      <w:r>
        <w:t>κυρίως:</w:t>
      </w:r>
    </w:p>
    <w:p w14:paraId="4D30532B" w14:textId="45C5DCD7" w:rsidR="00784C31" w:rsidRDefault="00784C31" w:rsidP="00784C31">
      <w:pPr>
        <w:pStyle w:val="af0"/>
        <w:numPr>
          <w:ilvl w:val="0"/>
          <w:numId w:val="28"/>
        </w:numPr>
        <w:spacing w:before="120" w:after="60" w:line="300" w:lineRule="auto"/>
        <w:ind w:left="777" w:hanging="357"/>
        <w:contextualSpacing w:val="0"/>
        <w:rPr>
          <w:rFonts w:ascii="Arial" w:hAnsi="Arial" w:cs="Arial"/>
          <w:sz w:val="20"/>
          <w:szCs w:val="20"/>
        </w:rPr>
      </w:pPr>
      <w:r>
        <w:rPr>
          <w:rFonts w:ascii="Arial" w:hAnsi="Arial" w:cs="Arial"/>
          <w:sz w:val="20"/>
          <w:szCs w:val="20"/>
        </w:rPr>
        <w:t xml:space="preserve">στην αυξημένη έναντι του έτους 2025 επιχορήγηση του </w:t>
      </w:r>
      <w:r>
        <w:rPr>
          <w:rFonts w:ascii="Arial" w:hAnsi="Arial" w:cs="Arial"/>
          <w:sz w:val="20"/>
          <w:szCs w:val="20"/>
          <w:lang w:val="en-US"/>
        </w:rPr>
        <w:t>e</w:t>
      </w:r>
      <w:r>
        <w:rPr>
          <w:rFonts w:ascii="Arial" w:hAnsi="Arial" w:cs="Arial"/>
          <w:sz w:val="20"/>
          <w:szCs w:val="20"/>
        </w:rPr>
        <w:t>-ΕΦΚΑ για την κάλυψη του κόστους των παροχών κύριας σύνταξης, συμπεριλαμβανομένου του μη συμψηφισμού του 50% της αύξησης των συντάξεων με την προσωπική διαφορά των συνταξιούχων για το 2026</w:t>
      </w:r>
      <w:r w:rsidR="00DB18E4">
        <w:rPr>
          <w:rFonts w:ascii="Arial" w:hAnsi="Arial" w:cs="Arial"/>
          <w:sz w:val="20"/>
          <w:szCs w:val="20"/>
        </w:rPr>
        <w:t xml:space="preserve"> και</w:t>
      </w:r>
    </w:p>
    <w:p w14:paraId="7DAE0681" w14:textId="22ABB5A9" w:rsidR="007F226A" w:rsidRDefault="007F226A" w:rsidP="000B60CC">
      <w:pPr>
        <w:pStyle w:val="af0"/>
        <w:numPr>
          <w:ilvl w:val="0"/>
          <w:numId w:val="28"/>
        </w:numPr>
        <w:spacing w:before="60" w:after="120" w:line="300" w:lineRule="auto"/>
        <w:contextualSpacing w:val="0"/>
        <w:rPr>
          <w:rFonts w:ascii="Arial" w:hAnsi="Arial" w:cs="Arial"/>
          <w:sz w:val="20"/>
          <w:szCs w:val="20"/>
        </w:rPr>
      </w:pPr>
      <w:r>
        <w:rPr>
          <w:rFonts w:ascii="Arial" w:hAnsi="Arial" w:cs="Arial"/>
          <w:sz w:val="20"/>
          <w:szCs w:val="20"/>
        </w:rPr>
        <w:t>στ</w:t>
      </w:r>
      <w:r w:rsidR="00BF2D00">
        <w:rPr>
          <w:rFonts w:ascii="Arial" w:hAnsi="Arial" w:cs="Arial"/>
          <w:sz w:val="20"/>
          <w:szCs w:val="20"/>
        </w:rPr>
        <w:t xml:space="preserve">ην </w:t>
      </w:r>
      <w:r>
        <w:rPr>
          <w:rFonts w:ascii="Arial" w:hAnsi="Arial" w:cs="Arial"/>
          <w:sz w:val="20"/>
          <w:szCs w:val="20"/>
        </w:rPr>
        <w:t>α</w:t>
      </w:r>
      <w:r w:rsidR="00BF2D00">
        <w:rPr>
          <w:rFonts w:ascii="Arial" w:hAnsi="Arial" w:cs="Arial"/>
          <w:sz w:val="20"/>
          <w:szCs w:val="20"/>
        </w:rPr>
        <w:t>ύξηση των</w:t>
      </w:r>
      <w:r>
        <w:rPr>
          <w:rFonts w:ascii="Arial" w:hAnsi="Arial" w:cs="Arial"/>
          <w:sz w:val="20"/>
          <w:szCs w:val="20"/>
        </w:rPr>
        <w:t xml:space="preserve"> μεταβιβάσε</w:t>
      </w:r>
      <w:r w:rsidR="00BF2D00">
        <w:rPr>
          <w:rFonts w:ascii="Arial" w:hAnsi="Arial" w:cs="Arial"/>
          <w:sz w:val="20"/>
          <w:szCs w:val="20"/>
        </w:rPr>
        <w:t>ων</w:t>
      </w:r>
      <w:r>
        <w:rPr>
          <w:rFonts w:ascii="Arial" w:hAnsi="Arial" w:cs="Arial"/>
          <w:sz w:val="20"/>
          <w:szCs w:val="20"/>
        </w:rPr>
        <w:t xml:space="preserve"> προς το </w:t>
      </w:r>
      <w:r w:rsidR="000D18F4">
        <w:rPr>
          <w:rFonts w:ascii="Arial" w:hAnsi="Arial" w:cs="Arial"/>
          <w:sz w:val="20"/>
          <w:szCs w:val="20"/>
        </w:rPr>
        <w:t>Ασφαλιστικό Κεφάλαιο Αλληλεγγύης Γενεών (</w:t>
      </w:r>
      <w:r>
        <w:rPr>
          <w:rFonts w:ascii="Arial" w:hAnsi="Arial" w:cs="Arial"/>
          <w:sz w:val="20"/>
          <w:szCs w:val="20"/>
        </w:rPr>
        <w:t>ΑΚΑΓΕ</w:t>
      </w:r>
      <w:r w:rsidR="000D18F4">
        <w:rPr>
          <w:rFonts w:ascii="Arial" w:hAnsi="Arial" w:cs="Arial"/>
          <w:sz w:val="20"/>
          <w:szCs w:val="20"/>
        </w:rPr>
        <w:t>)</w:t>
      </w:r>
      <w:r>
        <w:rPr>
          <w:rFonts w:ascii="Arial" w:hAnsi="Arial" w:cs="Arial"/>
          <w:sz w:val="20"/>
          <w:szCs w:val="20"/>
        </w:rPr>
        <w:t xml:space="preserve"> για το έτος 2026.</w:t>
      </w:r>
    </w:p>
    <w:p w14:paraId="06B8E0DF" w14:textId="3AC91877" w:rsidR="00510AD2" w:rsidRDefault="006C05B1" w:rsidP="004C34E1">
      <w:r>
        <w:t>Ε</w:t>
      </w:r>
      <w:r w:rsidR="007F226A">
        <w:t>πισημαίνεται ότι στον προϋπολογισμό του Υπουργείου περιλαμβάνονται και οι πιστώσεις της Ανεξάρτητης Αρχής «Επιθεώρηση Εργασίας»</w:t>
      </w:r>
      <w:r w:rsidR="00105912">
        <w:t>,</w:t>
      </w:r>
      <w:r w:rsidR="007F226A">
        <w:t xml:space="preserve"> οι οποίες δεν παρουσιάζουν αξιοσημείωτες μεταβολές για το έτος 2026 σε σχέση με τις εκτιμήσεις έτους 2025.</w:t>
      </w:r>
    </w:p>
    <w:p w14:paraId="0F71815A" w14:textId="3018AE03" w:rsidR="005A2814" w:rsidRDefault="006C05B1" w:rsidP="005A2814">
      <w:r>
        <w:t>Τέλος, τ</w:t>
      </w:r>
      <w:r w:rsidR="005A2814" w:rsidRPr="00125DA0">
        <w:t>ο σύνολο των δαπανών του προϋπολογισμού δημοσίων επενδύσεων του Υπουργείου έτους 202</w:t>
      </w:r>
      <w:r w:rsidR="005A2814">
        <w:t>6</w:t>
      </w:r>
      <w:r w:rsidR="005A2814" w:rsidRPr="00125DA0">
        <w:t xml:space="preserve"> προβλέπεται </w:t>
      </w:r>
      <w:r w:rsidR="005A2814">
        <w:t>να</w:t>
      </w:r>
      <w:r w:rsidR="005A2814" w:rsidRPr="00125DA0">
        <w:t xml:space="preserve"> </w:t>
      </w:r>
      <w:r w:rsidR="005A2814">
        <w:t>ανέλθει σε 672</w:t>
      </w:r>
      <w:r w:rsidR="005A2814" w:rsidRPr="00125DA0">
        <w:t xml:space="preserve"> εκατ. ευρώ</w:t>
      </w:r>
      <w:r w:rsidR="005A2814">
        <w:t xml:space="preserve">, εκ των οποίων </w:t>
      </w:r>
      <w:r w:rsidRPr="00125DA0">
        <w:t xml:space="preserve">ποσό ύψους </w:t>
      </w:r>
      <w:r>
        <w:t>402</w:t>
      </w:r>
      <w:r w:rsidRPr="00125DA0">
        <w:t xml:space="preserve"> εκατ. ευρώ</w:t>
      </w:r>
      <w:r>
        <w:t xml:space="preserve"> </w:t>
      </w:r>
      <w:r w:rsidRPr="00125DA0">
        <w:t>θα διατεθεί</w:t>
      </w:r>
      <w:r>
        <w:t xml:space="preserve"> </w:t>
      </w:r>
      <w:r w:rsidR="005A2814">
        <w:t>γ</w:t>
      </w:r>
      <w:r w:rsidR="005A2814" w:rsidRPr="00125DA0">
        <w:t>ια τη χρηματοδότηση δράσεων από το ΤΑΑ.</w:t>
      </w:r>
    </w:p>
    <w:p w14:paraId="6566643C" w14:textId="11792714" w:rsidR="00334EE5" w:rsidRDefault="00334EE5" w:rsidP="00FD4D82">
      <w:pPr>
        <w:keepNext/>
        <w:spacing w:before="240"/>
        <w:rPr>
          <w:rFonts w:cs="Arial"/>
          <w:b/>
          <w:szCs w:val="20"/>
        </w:rPr>
      </w:pPr>
      <w:r w:rsidRPr="006C05B1">
        <w:rPr>
          <w:rFonts w:cs="Arial"/>
          <w:b/>
          <w:szCs w:val="20"/>
        </w:rPr>
        <w:lastRenderedPageBreak/>
        <w:t>Υπουργείο Κοινωνικής Συνοχής και Οικογένειας</w:t>
      </w:r>
    </w:p>
    <w:p w14:paraId="3339F3F4" w14:textId="476B6A3F" w:rsidR="00914906" w:rsidRDefault="00914906" w:rsidP="00914906">
      <w:r w:rsidRPr="00334EE5">
        <w:t xml:space="preserve">Στις εκτιμήσεις του </w:t>
      </w:r>
      <w:r>
        <w:t xml:space="preserve">τακτικού </w:t>
      </w:r>
      <w:r w:rsidRPr="00334EE5">
        <w:t xml:space="preserve">προϋπολογισμού του </w:t>
      </w:r>
      <w:r>
        <w:t xml:space="preserve">Υπουργείου Κοινωνικής Συνοχής και Οικογένειας </w:t>
      </w:r>
      <w:r w:rsidRPr="00334EE5">
        <w:t xml:space="preserve">οικονομικού έτους </w:t>
      </w:r>
      <w:r>
        <w:t>2025</w:t>
      </w:r>
      <w:r w:rsidRPr="00334EE5">
        <w:t xml:space="preserve">, </w:t>
      </w:r>
      <w:r w:rsidR="00105912">
        <w:t>οι οποίες</w:t>
      </w:r>
      <w:r w:rsidRPr="00334EE5">
        <w:t xml:space="preserve"> ανέρχονται στο ποσό των</w:t>
      </w:r>
      <w:r>
        <w:t xml:space="preserve"> 3.499 </w:t>
      </w:r>
      <w:r w:rsidRPr="00334EE5">
        <w:t xml:space="preserve">εκατ. ευρώ, περιλαμβάνονται δαπάνες ύψους </w:t>
      </w:r>
      <w:r>
        <w:t xml:space="preserve">3.157 </w:t>
      </w:r>
      <w:r w:rsidRPr="00334EE5">
        <w:t>εκατ. ευρώ</w:t>
      </w:r>
      <w:r w:rsidR="004C34E1">
        <w:t>, οι οποίες</w:t>
      </w:r>
      <w:r w:rsidRPr="00334EE5">
        <w:t xml:space="preserve"> αφορούν </w:t>
      </w:r>
      <w:r>
        <w:t>στις μεταβιβάσεις</w:t>
      </w:r>
      <w:r w:rsidRPr="00334EE5">
        <w:t xml:space="preserve"> προς τον </w:t>
      </w:r>
      <w:r>
        <w:t>Ο</w:t>
      </w:r>
      <w:r w:rsidRPr="00334EE5">
        <w:t xml:space="preserve">ΠΕΚΑ. Επιπλέον, </w:t>
      </w:r>
      <w:r>
        <w:t>προβλέπονται</w:t>
      </w:r>
      <w:r w:rsidRPr="00334EE5">
        <w:t xml:space="preserve"> δαπάνες για τη χρηματοδότηση των Κέντρων Κοινωνικής Πρόνοιας </w:t>
      </w:r>
      <w:r>
        <w:t xml:space="preserve">Περιφερειών (ΚΚΠΠ) </w:t>
      </w:r>
      <w:r w:rsidRPr="00334EE5">
        <w:t>και των λοιπών προνοιακών φορέων καθώς και για τη</w:t>
      </w:r>
      <w:r w:rsidRPr="00C3777B">
        <w:rPr>
          <w:rFonts w:asciiTheme="minorHAnsi" w:hAnsiTheme="minorHAnsi" w:cs="Calibri"/>
          <w:szCs w:val="20"/>
        </w:rPr>
        <w:t xml:space="preserve"> </w:t>
      </w:r>
      <w:r w:rsidRPr="002941C6">
        <w:t xml:space="preserve">χρηματοδότηση των προγραμμάτων πρόσβασης σε υπηρεσίες προσχολικής αγωγής και φροντίδας καθώς και σε υπηρεσίες δημιουργικής απασχόλησης. </w:t>
      </w:r>
      <w:r>
        <w:t>Στις εκτιμήσεις του 2025 περιλαμβάνονται, μεταξύ άλλων, δαπάνες για τη χρηματοδότηση του Προγράμματος «Ανακαινίζω - Νοικιάζω», το οποίο υλοποιείται από τη ΔΥΠΑ (άρθρο 9 του ν.5006/2022</w:t>
      </w:r>
      <w:r w:rsidR="008479A4">
        <w:t>, Α’ 239</w:t>
      </w:r>
      <w:r>
        <w:t>)</w:t>
      </w:r>
      <w:r w:rsidR="00105912">
        <w:t>,</w:t>
      </w:r>
      <w:r>
        <w:t xml:space="preserve"> ενώ</w:t>
      </w:r>
      <w:r w:rsidR="00912D98">
        <w:t xml:space="preserve"> </w:t>
      </w:r>
      <w:r>
        <w:t>έχουν προβλεφθεί πιστώσεις συνολικού ύψους 53 εκατ. ευρώ για την κοινωνική ενίσχυση ύψους 250 ευρώ που θα καταβάλλεται εφεξής κάθε Νοέμβριο σε ανασφάλιστους υπερήλικες και σε άτομα με αναπηρία, σύμφωνα με το άρθρο 72 του ν.5217/2025.</w:t>
      </w:r>
    </w:p>
    <w:p w14:paraId="51509F92" w14:textId="0A8AF9DE" w:rsidR="00914906" w:rsidRDefault="00914906" w:rsidP="00914906">
      <w:r w:rsidRPr="001373BD">
        <w:t xml:space="preserve">Οι πιστώσεις που έχουν προβλεφθεί στον τακτικό προϋπολογισμό του Υπουργείου για το έτος </w:t>
      </w:r>
      <w:r>
        <w:t>2026</w:t>
      </w:r>
      <w:r w:rsidRPr="001373BD">
        <w:t xml:space="preserve">, </w:t>
      </w:r>
      <w:r>
        <w:t xml:space="preserve">προβλέπεται </w:t>
      </w:r>
      <w:r w:rsidR="003B5E1B">
        <w:t xml:space="preserve">να </w:t>
      </w:r>
      <w:r>
        <w:t xml:space="preserve">είναι αυξημένες κατά 71 εκατ. ευρώ </w:t>
      </w:r>
      <w:r w:rsidR="00784C31">
        <w:t xml:space="preserve">σε σύγκριση με τις εκτιμήσεις του 2025 </w:t>
      </w:r>
      <w:r>
        <w:t xml:space="preserve">και </w:t>
      </w:r>
      <w:r w:rsidR="003B5E1B">
        <w:t>να</w:t>
      </w:r>
      <w:r>
        <w:t xml:space="preserve"> ανέλθουν σε 3.570</w:t>
      </w:r>
      <w:r w:rsidRPr="001373BD">
        <w:t xml:space="preserve"> εκατ. ευρώ</w:t>
      </w:r>
      <w:r>
        <w:t>.</w:t>
      </w:r>
    </w:p>
    <w:p w14:paraId="1D068C44" w14:textId="77777777" w:rsidR="00914906" w:rsidRDefault="00914906" w:rsidP="00914906">
      <w:r w:rsidRPr="00334EE5">
        <w:t xml:space="preserve">Η πλειονότητα των </w:t>
      </w:r>
      <w:r>
        <w:t xml:space="preserve">ανωτέρω </w:t>
      </w:r>
      <w:r w:rsidRPr="00334EE5">
        <w:t>πιστώσεων</w:t>
      </w:r>
      <w:r>
        <w:t>, ύψους 3.196 εκατ. ευρώ,</w:t>
      </w:r>
      <w:r w:rsidRPr="00334EE5">
        <w:t xml:space="preserve"> διατίθεται σε μεταβιβάσεις προς τον ΟΠΕΚΑ με σκοπό τη συνέχιση και ανάπτυξη πολιτικών οικονομικής και κοινωνικής στήριξης των ευπαθών ομάδων</w:t>
      </w:r>
      <w:r>
        <w:t>, με έμφαση στις δράσεις για την αντιμετώπιση του δημογραφικού και του στεγαστικού προβλήματος καθώς και της ενίσχυσης του διαθέσιμου εισοδήματος ευάλωτων ομάδων του πληθυσμού</w:t>
      </w:r>
      <w:r w:rsidRPr="00334EE5">
        <w:t>.</w:t>
      </w:r>
    </w:p>
    <w:p w14:paraId="1F3FD995" w14:textId="77777777" w:rsidR="00914906" w:rsidRPr="00334EE5" w:rsidRDefault="00914906" w:rsidP="00914906">
      <w:r w:rsidRPr="00334EE5">
        <w:t xml:space="preserve">Μέσω της ενίσχυσης του ΟΠΕΚΑ για το έτος </w:t>
      </w:r>
      <w:r>
        <w:t>2026</w:t>
      </w:r>
      <w:r w:rsidRPr="00334EE5">
        <w:t xml:space="preserve"> προβλέπεται να καταβληθούν:</w:t>
      </w:r>
    </w:p>
    <w:p w14:paraId="6F8AEA8A" w14:textId="77777777" w:rsidR="00914906" w:rsidRPr="00E34B2F" w:rsidRDefault="00914906" w:rsidP="00914906">
      <w:pPr>
        <w:numPr>
          <w:ilvl w:val="0"/>
          <w:numId w:val="1"/>
        </w:numPr>
        <w:spacing w:before="120" w:after="60"/>
        <w:ind w:left="568" w:hanging="284"/>
      </w:pPr>
      <w:r w:rsidRPr="00E34B2F">
        <w:t>το επίδομα παιδιού,</w:t>
      </w:r>
    </w:p>
    <w:p w14:paraId="3F549FED" w14:textId="77777777" w:rsidR="00914906" w:rsidRPr="00E34B2F" w:rsidRDefault="00914906" w:rsidP="00914906">
      <w:pPr>
        <w:numPr>
          <w:ilvl w:val="0"/>
          <w:numId w:val="1"/>
        </w:numPr>
        <w:spacing w:before="60" w:after="60"/>
        <w:ind w:left="568" w:hanging="284"/>
        <w:rPr>
          <w:rFonts w:cs="Arial"/>
        </w:rPr>
      </w:pPr>
      <w:r w:rsidRPr="00E34B2F">
        <w:rPr>
          <w:rFonts w:cs="Arial"/>
        </w:rPr>
        <w:t>το ελάχιστο εγγυημένο εισόδημα,</w:t>
      </w:r>
    </w:p>
    <w:p w14:paraId="2C88213D" w14:textId="77777777" w:rsidR="00914906" w:rsidRPr="00E34B2F" w:rsidRDefault="00914906" w:rsidP="00914906">
      <w:pPr>
        <w:numPr>
          <w:ilvl w:val="0"/>
          <w:numId w:val="1"/>
        </w:numPr>
        <w:spacing w:before="60" w:after="60"/>
        <w:ind w:left="568" w:hanging="284"/>
        <w:rPr>
          <w:rFonts w:cs="Arial"/>
        </w:rPr>
      </w:pPr>
      <w:r w:rsidRPr="00E34B2F">
        <w:rPr>
          <w:rFonts w:cs="Arial"/>
        </w:rPr>
        <w:t>το επίδομα στέγασης,</w:t>
      </w:r>
    </w:p>
    <w:p w14:paraId="7D6FE857" w14:textId="77777777" w:rsidR="00914906" w:rsidRPr="00E34B2F" w:rsidRDefault="00914906" w:rsidP="00914906">
      <w:pPr>
        <w:numPr>
          <w:ilvl w:val="0"/>
          <w:numId w:val="1"/>
        </w:numPr>
        <w:spacing w:before="60" w:after="60"/>
        <w:ind w:left="568" w:hanging="284"/>
        <w:rPr>
          <w:rFonts w:cs="Arial"/>
        </w:rPr>
      </w:pPr>
      <w:r w:rsidRPr="00E34B2F">
        <w:rPr>
          <w:rFonts w:cs="Arial"/>
        </w:rPr>
        <w:t>το επίδομα κοινωνικής αλληλεγγύης ανασφάλιστων υπερηλίκων και η παροχή σε ανασφάλιστους υπερήλικες,</w:t>
      </w:r>
    </w:p>
    <w:p w14:paraId="493140E0" w14:textId="77777777" w:rsidR="00914906" w:rsidRDefault="00914906" w:rsidP="00914906">
      <w:pPr>
        <w:numPr>
          <w:ilvl w:val="0"/>
          <w:numId w:val="1"/>
        </w:numPr>
        <w:spacing w:before="60" w:after="60"/>
        <w:ind w:left="568" w:hanging="284"/>
        <w:rPr>
          <w:rFonts w:cs="Arial"/>
        </w:rPr>
      </w:pPr>
      <w:r w:rsidRPr="00E34B2F">
        <w:rPr>
          <w:rFonts w:cs="Arial"/>
        </w:rPr>
        <w:t>οι προνοιακές παροχές σε χρήμα σε άτομα με αναπηρία,</w:t>
      </w:r>
    </w:p>
    <w:p w14:paraId="0192A12E" w14:textId="24E11AC0" w:rsidR="00914906" w:rsidRPr="00E34B2F" w:rsidRDefault="00914906" w:rsidP="00914906">
      <w:pPr>
        <w:numPr>
          <w:ilvl w:val="0"/>
          <w:numId w:val="1"/>
        </w:numPr>
        <w:spacing w:before="60" w:after="60"/>
        <w:ind w:left="568" w:hanging="284"/>
        <w:rPr>
          <w:rFonts w:cs="Arial"/>
        </w:rPr>
      </w:pPr>
      <w:r>
        <w:rPr>
          <w:rFonts w:cs="Arial"/>
        </w:rPr>
        <w:t xml:space="preserve">το </w:t>
      </w:r>
      <w:r w:rsidRPr="00E34B2F">
        <w:rPr>
          <w:rFonts w:cs="Arial"/>
        </w:rPr>
        <w:t>επ</w:t>
      </w:r>
      <w:r>
        <w:rPr>
          <w:rFonts w:cs="Arial"/>
        </w:rPr>
        <w:t>ίδομα γέννησης</w:t>
      </w:r>
      <w:r w:rsidR="0087393D">
        <w:rPr>
          <w:rFonts w:cs="Arial"/>
        </w:rPr>
        <w:t xml:space="preserve"> </w:t>
      </w:r>
      <w:r w:rsidRPr="00E34B2F">
        <w:rPr>
          <w:rFonts w:cs="Arial"/>
        </w:rPr>
        <w:t>και</w:t>
      </w:r>
    </w:p>
    <w:p w14:paraId="713DFFFB" w14:textId="651455BC" w:rsidR="00914906" w:rsidRPr="00E34B2F" w:rsidRDefault="004A5430" w:rsidP="00912D98">
      <w:pPr>
        <w:numPr>
          <w:ilvl w:val="0"/>
          <w:numId w:val="1"/>
        </w:numPr>
        <w:spacing w:before="60"/>
        <w:ind w:left="568" w:hanging="284"/>
        <w:rPr>
          <w:rFonts w:cs="Arial"/>
        </w:rPr>
      </w:pPr>
      <w:r>
        <w:rPr>
          <w:rFonts w:cs="Arial"/>
        </w:rPr>
        <w:t>ποσ</w:t>
      </w:r>
      <w:r w:rsidR="003807B9">
        <w:rPr>
          <w:rFonts w:cs="Arial"/>
        </w:rPr>
        <w:t>ά</w:t>
      </w:r>
      <w:r>
        <w:rPr>
          <w:rFonts w:cs="Arial"/>
        </w:rPr>
        <w:t xml:space="preserve"> για </w:t>
      </w:r>
      <w:r w:rsidR="00914906" w:rsidRPr="00E34B2F">
        <w:rPr>
          <w:rFonts w:cs="Arial"/>
        </w:rPr>
        <w:t>λοιπά προγράμματα, δράσεις και ενέργειες που αφορούν σε προνοιακές πολιτικές του Υπουργείου Κοινωνικής Συνοχής και Οικογένειας. Ενδεικτικά αναφέρονται η χορήγηση σχολικών γευμάτων, η οικονομική ενίσχυση σε ανάδοχους γονείς, η υλοποίηση του προγράμματος «Στέγαση και Εργασία» για τους αστέγους</w:t>
      </w:r>
      <w:r w:rsidR="00914906">
        <w:rPr>
          <w:rFonts w:cs="Arial"/>
        </w:rPr>
        <w:t>, το Πρόγραμμα Δημογραφικής Ανάπτυξης</w:t>
      </w:r>
      <w:r w:rsidR="00914906" w:rsidRPr="00E34B2F">
        <w:rPr>
          <w:rFonts w:cs="Arial"/>
        </w:rPr>
        <w:t xml:space="preserve"> και η εισοδηματική ενίσχυση οικογενειών που διαβιούν σε ορεινές και μειονεκτικές περιοχές.</w:t>
      </w:r>
    </w:p>
    <w:p w14:paraId="729228B5" w14:textId="582A09C0" w:rsidR="00914906" w:rsidRDefault="00914906" w:rsidP="007B6BFA">
      <w:pPr>
        <w:rPr>
          <w:highlight w:val="yellow"/>
        </w:rPr>
      </w:pPr>
      <w:r>
        <w:t>Παράλληλα, συνεχίζονται και για το 2026 η χρηματοδότηση και η ενίσχυση οικογενειών μέσω του Προγράμματος «</w:t>
      </w:r>
      <w:r w:rsidRPr="00922409">
        <w:t>Προώθηση και υποστήριξη παιδιών για την ένταξή τους στην προσχολική εκπαίδευση καθώς και για την πρόσβαση παιδιών σχολικής ηλικίας, εφήβων και ατόμων με αναπηρία, σε υπηρεσίες δημιουργικής απασχόλησης</w:t>
      </w:r>
      <w:r>
        <w:t>».</w:t>
      </w:r>
    </w:p>
    <w:p w14:paraId="62535CF6" w14:textId="7DDA52B4" w:rsidR="00510AD2" w:rsidRPr="00334EE5" w:rsidRDefault="006C05B1" w:rsidP="00334EE5">
      <w:r w:rsidRPr="00B91E15">
        <w:t>Το σύνολο των δαπανών του προϋπολογισμού δημοσίων επενδύσεων του Υπουργείου έτους 202</w:t>
      </w:r>
      <w:r>
        <w:t>6</w:t>
      </w:r>
      <w:r w:rsidRPr="00B91E15">
        <w:t xml:space="preserve"> προβλέπεται να ανέλθει σ</w:t>
      </w:r>
      <w:r>
        <w:t>ε</w:t>
      </w:r>
      <w:r w:rsidRPr="00B91E15">
        <w:t xml:space="preserve"> </w:t>
      </w:r>
      <w:r>
        <w:t>23</w:t>
      </w:r>
      <w:r w:rsidRPr="00B91E15">
        <w:t>3 εκατ. ευρώ</w:t>
      </w:r>
      <w:r>
        <w:t xml:space="preserve">, εκ των οποίων </w:t>
      </w:r>
      <w:r w:rsidRPr="00B91E15">
        <w:t>πίστωση ύψους 100 εκατ. ευρώ</w:t>
      </w:r>
      <w:r>
        <w:t xml:space="preserve"> </w:t>
      </w:r>
      <w:r w:rsidRPr="00B91E15">
        <w:t>θα διατεθεί</w:t>
      </w:r>
      <w:r>
        <w:t xml:space="preserve"> </w:t>
      </w:r>
      <w:r w:rsidRPr="00B91E15">
        <w:t>από το ΤΑΑ</w:t>
      </w:r>
      <w:r>
        <w:t xml:space="preserve"> για</w:t>
      </w:r>
      <w:r w:rsidRPr="00B91E15">
        <w:t xml:space="preserve"> τη χρηματοδότηση των δράσεων του Υπουργείου. </w:t>
      </w:r>
      <w:r>
        <w:t>Οι χρηματοδοτούμενες δράσεις συνίστανται κυρίως σ</w:t>
      </w:r>
      <w:r w:rsidRPr="00B91E15">
        <w:t xml:space="preserve">την υποστήριξη των παιδιών και των ατόμων με αναπηρία, </w:t>
      </w:r>
      <w:r>
        <w:t>σ</w:t>
      </w:r>
      <w:r w:rsidRPr="00B91E15">
        <w:t xml:space="preserve">την καταπολέμηση της έμφυλης βίας, </w:t>
      </w:r>
      <w:r>
        <w:t>σ</w:t>
      </w:r>
      <w:r w:rsidRPr="00B91E15">
        <w:t xml:space="preserve">την παροχή επισιτιστικής βοήθειας και βασικής υλικής συνδρομής σε άτομα που υποφέρουν από υλική στέρηση, </w:t>
      </w:r>
      <w:r>
        <w:t>σ</w:t>
      </w:r>
      <w:r w:rsidRPr="00B91E15">
        <w:t xml:space="preserve">την κοινωνική επανένταξη ευάλωτων ομάδων, </w:t>
      </w:r>
      <w:r>
        <w:t>σ</w:t>
      </w:r>
      <w:r w:rsidRPr="00B91E15">
        <w:t xml:space="preserve">τη στήριξη ευπαθών κοινωνικών ομάδων και </w:t>
      </w:r>
      <w:r>
        <w:t>σ</w:t>
      </w:r>
      <w:r w:rsidRPr="00B91E15">
        <w:t>την αντιμετώπιση του δημογραφικού προβλήματος.</w:t>
      </w:r>
    </w:p>
    <w:p w14:paraId="517C3EE1" w14:textId="410492BA" w:rsidR="002339BB" w:rsidRPr="00ED4E61" w:rsidRDefault="00F67FDB" w:rsidP="00F27406">
      <w:pPr>
        <w:spacing w:before="240"/>
        <w:rPr>
          <w:rFonts w:cs="Arial"/>
          <w:b/>
          <w:szCs w:val="20"/>
        </w:rPr>
      </w:pPr>
      <w:r w:rsidRPr="006C05B1">
        <w:rPr>
          <w:rFonts w:cs="Arial"/>
          <w:b/>
          <w:szCs w:val="20"/>
        </w:rPr>
        <w:lastRenderedPageBreak/>
        <w:t xml:space="preserve">Υπουργείο </w:t>
      </w:r>
      <w:r w:rsidR="002339BB" w:rsidRPr="006C05B1">
        <w:rPr>
          <w:rFonts w:cs="Arial"/>
          <w:b/>
          <w:szCs w:val="20"/>
        </w:rPr>
        <w:t>Ανάπτυξης</w:t>
      </w:r>
    </w:p>
    <w:p w14:paraId="3C833B4F" w14:textId="77777777" w:rsidR="00C75E57" w:rsidRPr="00C75E57" w:rsidRDefault="00C75E57" w:rsidP="00C75E57">
      <w:pPr>
        <w:rPr>
          <w:szCs w:val="22"/>
        </w:rPr>
      </w:pPr>
      <w:r w:rsidRPr="00C75E57">
        <w:t>Οι πιστώσεις του τακτικού προϋπολογισμού του Υπουργείου προβλέπεται να καλύψουν κυρίως δαπάνες για:</w:t>
      </w:r>
    </w:p>
    <w:p w14:paraId="118724A3" w14:textId="2F7380A5" w:rsidR="00C75E57" w:rsidRPr="00C75E57" w:rsidRDefault="00C75E57" w:rsidP="00910F1B">
      <w:pPr>
        <w:numPr>
          <w:ilvl w:val="0"/>
          <w:numId w:val="1"/>
        </w:numPr>
        <w:spacing w:before="120" w:after="60"/>
        <w:ind w:left="568" w:hanging="284"/>
        <w:rPr>
          <w:rFonts w:cs="Arial"/>
        </w:rPr>
      </w:pPr>
      <w:r w:rsidRPr="00C75E57">
        <w:rPr>
          <w:rFonts w:cs="Arial"/>
        </w:rPr>
        <w:t xml:space="preserve">τη διευκόλυνση και την ενίσχυση των ιδιωτικών, εθνικών και ξένων επενδύσεων </w:t>
      </w:r>
      <w:r w:rsidR="005F65E2">
        <w:rPr>
          <w:rFonts w:cs="Arial"/>
        </w:rPr>
        <w:t xml:space="preserve">με σκοπό </w:t>
      </w:r>
      <w:r w:rsidRPr="00C75E57">
        <w:rPr>
          <w:rFonts w:cs="Arial"/>
        </w:rPr>
        <w:t>την τόνωση της εθνικής οικονομίας,</w:t>
      </w:r>
    </w:p>
    <w:p w14:paraId="08953A04" w14:textId="77777777" w:rsidR="00C75E57" w:rsidRPr="00C75E57" w:rsidRDefault="00C75E57" w:rsidP="00910F1B">
      <w:pPr>
        <w:numPr>
          <w:ilvl w:val="0"/>
          <w:numId w:val="1"/>
        </w:numPr>
        <w:spacing w:before="60" w:after="60"/>
        <w:ind w:left="568" w:hanging="284"/>
        <w:rPr>
          <w:rFonts w:cs="Arial"/>
        </w:rPr>
      </w:pPr>
      <w:r w:rsidRPr="00C75E57">
        <w:rPr>
          <w:rFonts w:cs="Arial"/>
        </w:rPr>
        <w:t>την ανάπτυξη της βιομηχανίας, τη στήριξη των μικρών και μεσαίων επιχειρήσεων, την προώθηση της επιχειρηματικότητας και τη διασφάλιση της παραγωγής ποιοτικών και ασφαλών προϊόντων,</w:t>
      </w:r>
    </w:p>
    <w:p w14:paraId="5FDF52CA" w14:textId="41766945" w:rsidR="00C75E57" w:rsidRPr="00C75E57" w:rsidRDefault="00C75E57" w:rsidP="00C75E57">
      <w:pPr>
        <w:numPr>
          <w:ilvl w:val="0"/>
          <w:numId w:val="1"/>
        </w:numPr>
        <w:spacing w:after="60"/>
        <w:ind w:left="568" w:hanging="284"/>
        <w:rPr>
          <w:rFonts w:cs="Arial"/>
        </w:rPr>
      </w:pPr>
      <w:r w:rsidRPr="00C75E57">
        <w:rPr>
          <w:rFonts w:cs="Arial"/>
        </w:rPr>
        <w:t xml:space="preserve">τη διασφάλιση της εύρυθμης λειτουργίας της αγοράς προς όφελος των καταναλωτών και του υγιούς ανταγωνισμού των επιχειρήσεων καθώς και </w:t>
      </w:r>
      <w:r w:rsidR="005F65E2">
        <w:rPr>
          <w:rFonts w:cs="Arial"/>
        </w:rPr>
        <w:t xml:space="preserve">για </w:t>
      </w:r>
      <w:r w:rsidRPr="00C75E57">
        <w:rPr>
          <w:rFonts w:cs="Arial"/>
        </w:rPr>
        <w:t>την προστασία των δικαιωμάτων των καταναλωτών, την πληροφόρηση και την ενημέρωσή τους,</w:t>
      </w:r>
    </w:p>
    <w:p w14:paraId="1577F716" w14:textId="77777777" w:rsidR="00C75E57" w:rsidRPr="00C75E57" w:rsidRDefault="00C75E57" w:rsidP="00910F1B">
      <w:pPr>
        <w:numPr>
          <w:ilvl w:val="0"/>
          <w:numId w:val="1"/>
        </w:numPr>
        <w:spacing w:before="60" w:after="60"/>
        <w:ind w:left="568" w:hanging="284"/>
        <w:rPr>
          <w:rFonts w:cs="Arial"/>
        </w:rPr>
      </w:pPr>
      <w:r w:rsidRPr="00C75E57">
        <w:rPr>
          <w:rFonts w:cs="Arial"/>
        </w:rPr>
        <w:t>την ανάπτυξη της έρευνας, την προαγωγή της τεχνολογίας, την ενσωμάτωση της καινοτομίας στην παραγωγή, την ανάπτυξη του ανθρώπινου ερευνητικού δυναμικού και την ενίσχυση των εθνικών υποδομών έρευνας και καινοτομίας,</w:t>
      </w:r>
    </w:p>
    <w:p w14:paraId="364EC974" w14:textId="77777777" w:rsidR="00C75E57" w:rsidRPr="00C75E57" w:rsidRDefault="00C75E57" w:rsidP="00910F1B">
      <w:pPr>
        <w:numPr>
          <w:ilvl w:val="0"/>
          <w:numId w:val="1"/>
        </w:numPr>
        <w:spacing w:before="60" w:after="60"/>
        <w:ind w:left="568" w:hanging="284"/>
        <w:rPr>
          <w:rFonts w:cs="Arial"/>
        </w:rPr>
      </w:pPr>
      <w:r w:rsidRPr="00C75E57">
        <w:rPr>
          <w:rFonts w:cs="Arial"/>
        </w:rPr>
        <w:t>τη λειτουργία της Διυπηρεσιακής Μονάδας Ελέγχου Αγοράς (ΔΙΜΕΑ) και</w:t>
      </w:r>
    </w:p>
    <w:p w14:paraId="07934567" w14:textId="77777777" w:rsidR="00C75E57" w:rsidRPr="00C75E57" w:rsidRDefault="00C75E57" w:rsidP="00910F1B">
      <w:pPr>
        <w:numPr>
          <w:ilvl w:val="0"/>
          <w:numId w:val="1"/>
        </w:numPr>
        <w:spacing w:before="60"/>
        <w:ind w:left="568" w:hanging="284"/>
        <w:rPr>
          <w:rFonts w:cs="Arial"/>
        </w:rPr>
      </w:pPr>
      <w:r w:rsidRPr="00C75E57">
        <w:rPr>
          <w:rFonts w:cs="Arial"/>
        </w:rPr>
        <w:t>τη λειτουργία της Ανεξάρτητης Αρχής του Συνηγόρου του Καταναλωτή (ΣτΚ).</w:t>
      </w:r>
    </w:p>
    <w:p w14:paraId="6EE36545" w14:textId="19C56D7A" w:rsidR="001B6D68" w:rsidRPr="00571E63" w:rsidRDefault="00121BD3" w:rsidP="00A739A0">
      <w:r>
        <w:t>Π</w:t>
      </w:r>
      <w:r w:rsidR="006C05B1" w:rsidRPr="006C05B1">
        <w:t xml:space="preserve">ιστώσεις του προϋπολογισμού δημοσίων επενδύσεων ύψους 420 εκατ. ευρώ διατίθενται για δαπάνες του εθνικού και </w:t>
      </w:r>
      <w:r w:rsidR="004642D9">
        <w:t xml:space="preserve">του </w:t>
      </w:r>
      <w:r w:rsidR="006C05B1" w:rsidRPr="006C05B1">
        <w:t>συγχρηματοδοτούμενου σκέλους. Επιπρόσθετα, ποσό ύψους 250 εκατ. ευρώ διατίθεται για δράσεις του ΤΑΑ σχετικά με την ενίσχυση</w:t>
      </w:r>
      <w:r w:rsidR="006C05B1" w:rsidRPr="00B91E15">
        <w:t xml:space="preserve"> της βιομηχανίας</w:t>
      </w:r>
      <w:r w:rsidR="006C05B1">
        <w:t xml:space="preserve"> - </w:t>
      </w:r>
      <w:r w:rsidR="006C05B1" w:rsidRPr="00B91E15">
        <w:t>βιοτεχνίας και της επιχειρηματικότητας εν γένει</w:t>
      </w:r>
      <w:r w:rsidR="006C05B1">
        <w:t>.</w:t>
      </w:r>
    </w:p>
    <w:p w14:paraId="24B0F0AB" w14:textId="77777777" w:rsidR="002339BB" w:rsidRPr="00B43801" w:rsidRDefault="00F67FDB" w:rsidP="00F27406">
      <w:pPr>
        <w:spacing w:before="240"/>
        <w:rPr>
          <w:rFonts w:cs="Arial"/>
          <w:b/>
          <w:szCs w:val="20"/>
        </w:rPr>
      </w:pPr>
      <w:r w:rsidRPr="00121BD3">
        <w:rPr>
          <w:rFonts w:cs="Arial"/>
          <w:b/>
          <w:szCs w:val="20"/>
        </w:rPr>
        <w:t xml:space="preserve">Υπουργείο </w:t>
      </w:r>
      <w:r w:rsidR="002339BB" w:rsidRPr="00121BD3">
        <w:rPr>
          <w:rFonts w:cs="Arial"/>
          <w:b/>
          <w:szCs w:val="20"/>
        </w:rPr>
        <w:t>Υποδομών</w:t>
      </w:r>
      <w:r w:rsidRPr="00121BD3">
        <w:rPr>
          <w:rFonts w:cs="Arial"/>
          <w:b/>
          <w:szCs w:val="20"/>
        </w:rPr>
        <w:t xml:space="preserve"> και Μεταφορών</w:t>
      </w:r>
    </w:p>
    <w:p w14:paraId="5B828222" w14:textId="76B16257" w:rsidR="00C75E57" w:rsidRPr="00C75E57" w:rsidRDefault="00C75E57" w:rsidP="00C75E57">
      <w:r w:rsidRPr="00C75E57">
        <w:t>Στον τακτικό προϋπολογισμό του Υπουργείου έχουν προβλεφθεί πιστώσεις για την εκτέλεση της αποστολής του και ιδίως για την υλοποίηση των έργων υποδομών της χώρας και την ανάπτυξη μεταφορικών και συγκοινωνιακών υπηρεσιών υψηλής ποιότητας. Οι πιστώσεις του τακτικού προϋπολογισμού του Υπουργείου προβλέπεται να καλύψουν, πέραν των λειτουργικών του δαπανών, κυρίως:</w:t>
      </w:r>
    </w:p>
    <w:p w14:paraId="38C72D17" w14:textId="0E16A17D" w:rsidR="00C75E57" w:rsidRPr="00C75E57" w:rsidRDefault="00C75E57" w:rsidP="00C75E57">
      <w:pPr>
        <w:numPr>
          <w:ilvl w:val="0"/>
          <w:numId w:val="1"/>
        </w:numPr>
        <w:spacing w:after="60"/>
        <w:ind w:left="568" w:hanging="284"/>
      </w:pPr>
      <w:r w:rsidRPr="00C75E57">
        <w:t>την επιχορήγηση των συγκοινωνιακών φορέων</w:t>
      </w:r>
      <w:r w:rsidR="005F65E2">
        <w:t>,</w:t>
      </w:r>
    </w:p>
    <w:p w14:paraId="4C19A3EC" w14:textId="153DF1E2" w:rsidR="00C75E57" w:rsidRPr="00C75E57" w:rsidRDefault="00C75E57" w:rsidP="00C75E57">
      <w:pPr>
        <w:numPr>
          <w:ilvl w:val="0"/>
          <w:numId w:val="1"/>
        </w:numPr>
        <w:spacing w:after="60"/>
        <w:ind w:left="568" w:hanging="284"/>
      </w:pPr>
      <w:r w:rsidRPr="00C75E57">
        <w:t>την αποζημίωση σε φορείς παροχής συγκοινωνιακού έργου λόγω απώλειας εσόδων από τις απαλλαγές καταβολής κομίστρου στα μέσα μαζικής μεταφοράς,</w:t>
      </w:r>
    </w:p>
    <w:p w14:paraId="0EB2630A" w14:textId="29ED858B" w:rsidR="00C75E57" w:rsidRPr="00C75E57" w:rsidRDefault="00C75E57" w:rsidP="00C75E57">
      <w:pPr>
        <w:numPr>
          <w:ilvl w:val="0"/>
          <w:numId w:val="1"/>
        </w:numPr>
        <w:spacing w:after="60"/>
        <w:ind w:left="568" w:hanging="284"/>
      </w:pPr>
      <w:r w:rsidRPr="00C75E57">
        <w:t xml:space="preserve">την αποζημίωση για </w:t>
      </w:r>
      <w:r w:rsidR="005F65E2">
        <w:t xml:space="preserve">την </w:t>
      </w:r>
      <w:r w:rsidRPr="00C75E57">
        <w:t>παροχή υπηρεσιών Υποχρέωσης Δημόσιας Υπηρεσίας (ΥΔΥ) στις επιβατικές σιδηροδρομικές μεταφορές,</w:t>
      </w:r>
    </w:p>
    <w:p w14:paraId="6C8E22FD" w14:textId="19C34576" w:rsidR="00C75E57" w:rsidRPr="00C75E57" w:rsidRDefault="00C75E57" w:rsidP="00C75E57">
      <w:pPr>
        <w:numPr>
          <w:ilvl w:val="0"/>
          <w:numId w:val="1"/>
        </w:numPr>
        <w:spacing w:after="60"/>
        <w:ind w:left="568" w:hanging="284"/>
      </w:pPr>
      <w:r w:rsidRPr="00C75E57">
        <w:t>την επιχορήγηση στην εταιρεία Κτιριακές Υποδομές (ΚΤΥΠ) για την καταβολή τοκοχρεολ</w:t>
      </w:r>
      <w:r w:rsidR="004E6392">
        <w:t>ύ</w:t>
      </w:r>
      <w:r w:rsidRPr="00C75E57">
        <w:t>σ</w:t>
      </w:r>
      <w:r w:rsidR="004E6392">
        <w:t>ι</w:t>
      </w:r>
      <w:r w:rsidRPr="00C75E57">
        <w:t>ων,</w:t>
      </w:r>
    </w:p>
    <w:p w14:paraId="23E13222" w14:textId="77777777" w:rsidR="00C75E57" w:rsidRPr="00C75E57" w:rsidRDefault="00C75E57" w:rsidP="00C75E57">
      <w:pPr>
        <w:numPr>
          <w:ilvl w:val="0"/>
          <w:numId w:val="1"/>
        </w:numPr>
        <w:spacing w:after="60"/>
        <w:ind w:left="568" w:hanging="284"/>
      </w:pPr>
      <w:r w:rsidRPr="00C75E57">
        <w:t>δαπάνες της Υπηρεσίας Πολιτικής Αεροπορίας (ΥΠΑ),</w:t>
      </w:r>
    </w:p>
    <w:p w14:paraId="114CFD53" w14:textId="77777777" w:rsidR="00C75E57" w:rsidRPr="00C75E57" w:rsidRDefault="00C75E57" w:rsidP="00C75E57">
      <w:pPr>
        <w:numPr>
          <w:ilvl w:val="0"/>
          <w:numId w:val="1"/>
        </w:numPr>
        <w:spacing w:after="60"/>
        <w:ind w:left="568" w:hanging="284"/>
      </w:pPr>
      <w:r w:rsidRPr="00C75E57">
        <w:t>τη λειτουργία της Υπηρεσίας Οδικών Τελών - Ηλεκτρονικής Διαχείρισης Οδικών Υποδομών (ΥΟΤ - ΗΔΟΥ),</w:t>
      </w:r>
    </w:p>
    <w:p w14:paraId="519F0AC1" w14:textId="77777777" w:rsidR="00C75E57" w:rsidRPr="00C75E57" w:rsidRDefault="00C75E57" w:rsidP="00C75E57">
      <w:pPr>
        <w:numPr>
          <w:ilvl w:val="0"/>
          <w:numId w:val="1"/>
        </w:numPr>
        <w:spacing w:after="60"/>
        <w:ind w:left="568" w:hanging="284"/>
      </w:pPr>
      <w:r w:rsidRPr="00C75E57">
        <w:t>τη λειτουργία του Εθνικού Οργανισμού Διερεύνησης Αεροπορικών και Σιδηροδρομικών Ατυχημάτων και Ασφάλειας Μεταφορών (ΕΟΔΑΣΑΑΜ) και</w:t>
      </w:r>
    </w:p>
    <w:p w14:paraId="5D6C7164" w14:textId="6DC8344D" w:rsidR="00C75E57" w:rsidRPr="00C75E57" w:rsidRDefault="00C75E57" w:rsidP="00C75E57">
      <w:pPr>
        <w:numPr>
          <w:ilvl w:val="0"/>
          <w:numId w:val="1"/>
        </w:numPr>
        <w:ind w:left="568" w:hanging="284"/>
      </w:pPr>
      <w:r w:rsidRPr="00C75E57">
        <w:t xml:space="preserve">τη λειτουργία της Ανεξάρτητης Διοικητικής Αρχής </w:t>
      </w:r>
      <w:r w:rsidR="005F65E2">
        <w:t>«</w:t>
      </w:r>
      <w:r w:rsidRPr="00C75E57">
        <w:t>Ρυθμιστική Αρχή Σιδηροδρόμων</w:t>
      </w:r>
      <w:r w:rsidR="005F65E2">
        <w:t>»</w:t>
      </w:r>
      <w:r w:rsidRPr="00C75E57">
        <w:t xml:space="preserve"> (ΡΑΣ).</w:t>
      </w:r>
    </w:p>
    <w:p w14:paraId="2446FD05" w14:textId="2F6AFEEA" w:rsidR="00C75E57" w:rsidRPr="00C75E57" w:rsidRDefault="00C75E57" w:rsidP="00C75E57">
      <w:r w:rsidRPr="00C75E57">
        <w:t xml:space="preserve">Στις εκτιμήσεις δαπανών του τακτικού προϋπολογισμού έτους 2025 έχουν συμπεριληφθεί επιπλέον δαπάνες ύψους 45 εκατ. ευρώ, οι οποίες αφορούν σε προγράμματα για την προώθηση της ηλεκτροκίνησης και δαπάνες ύψους </w:t>
      </w:r>
      <w:r w:rsidR="002F0E5B">
        <w:t>60</w:t>
      </w:r>
      <w:r w:rsidRPr="00C75E57">
        <w:t xml:space="preserve"> εκατ. ευρώ, οι οποίες αφορούν </w:t>
      </w:r>
      <w:r w:rsidR="002D2CF0">
        <w:t>σ</w:t>
      </w:r>
      <w:r w:rsidRPr="00C75E57">
        <w:t>την αποζημίωση της Hellenic Train για παροχή υπηρεσιών ΥΔΥ στις επιβατικές σιδηροδρομικές μεταφορές για το έτος 2024.</w:t>
      </w:r>
    </w:p>
    <w:p w14:paraId="52656DAD" w14:textId="77777777" w:rsidR="00C75E57" w:rsidRPr="00C75E57" w:rsidRDefault="00C75E57" w:rsidP="00C75E57">
      <w:r w:rsidRPr="00C75E57">
        <w:lastRenderedPageBreak/>
        <w:t>Οι προβλέψεις δαπανών του τακτικού προϋπολογισμού για το έτος 2026 ανέρχονται στο ποσό των 1.032 εκατ. ευρώ.</w:t>
      </w:r>
    </w:p>
    <w:p w14:paraId="062CCB76" w14:textId="47035B40" w:rsidR="00121BD3" w:rsidRDefault="00C57E91" w:rsidP="00121BD3">
      <w:bookmarkStart w:id="370" w:name="_Hlk213677520"/>
      <w:r>
        <w:t>Γ</w:t>
      </w:r>
      <w:r w:rsidRPr="00B91E15">
        <w:t>ια το 202</w:t>
      </w:r>
      <w:r>
        <w:t>6</w:t>
      </w:r>
      <w:r w:rsidRPr="00B91E15">
        <w:t xml:space="preserve"> </w:t>
      </w:r>
      <w:r>
        <w:t xml:space="preserve">διατίθενται </w:t>
      </w:r>
      <w:r w:rsidRPr="00B91E15">
        <w:t xml:space="preserve">πιστώσεις ύψους </w:t>
      </w:r>
      <w:r>
        <w:t>2.360</w:t>
      </w:r>
      <w:r w:rsidRPr="00B91E15">
        <w:t xml:space="preserve"> εκατ. ευρώ </w:t>
      </w:r>
      <w:r w:rsidR="00121BD3" w:rsidRPr="00B91E15">
        <w:t>του προϋπολογισμού δημοσίων επενδύσεων</w:t>
      </w:r>
      <w:r w:rsidR="00784C31">
        <w:t xml:space="preserve">, συμπεριλαμβανομένου του ΤΑΑ, </w:t>
      </w:r>
      <w:r>
        <w:t xml:space="preserve">για τη </w:t>
      </w:r>
      <w:r w:rsidR="00121BD3" w:rsidRPr="00B91E15">
        <w:t>χρηματοδ</w:t>
      </w:r>
      <w:r>
        <w:t xml:space="preserve">ότηση </w:t>
      </w:r>
      <w:r w:rsidR="00121BD3" w:rsidRPr="00B91E15">
        <w:t>δράσ</w:t>
      </w:r>
      <w:r>
        <w:t>εων</w:t>
      </w:r>
      <w:r w:rsidR="00121BD3" w:rsidRPr="00B91E15">
        <w:t xml:space="preserve"> που αφορούν</w:t>
      </w:r>
      <w:r w:rsidR="00121BD3">
        <w:t>, μεταξύ άλλων, σε μεγάλα έργα υποδομών του οδικού και του σιδηροδρομικού δικτύου, στην</w:t>
      </w:r>
      <w:r>
        <w:t xml:space="preserve"> </w:t>
      </w:r>
      <w:r w:rsidR="00121BD3">
        <w:t xml:space="preserve">ανάπτυξη λιμενικών υποδομών, στην </w:t>
      </w:r>
      <w:r w:rsidR="00121BD3" w:rsidRPr="00B91E15">
        <w:t>αναβάθμιση του στόλου των μέσων μαζικής μεταφοράς με στόχο τη μείωση του ενεργειακού αποτυπώματος</w:t>
      </w:r>
      <w:r w:rsidR="00121BD3">
        <w:t>, σ</w:t>
      </w:r>
      <w:r w:rsidR="00121BD3" w:rsidRPr="00B91E15">
        <w:t xml:space="preserve">τη βελτίωση της ποιότητας των παρεχόμενων υπηρεσιών στους πολίτες και </w:t>
      </w:r>
      <w:r w:rsidR="00121BD3">
        <w:t>σ</w:t>
      </w:r>
      <w:r w:rsidR="00121BD3" w:rsidRPr="00B91E15">
        <w:t>την ελεύθερη προσβασιμότητα στα μέσα μεταφοράς των ατόμων με αναπηρία</w:t>
      </w:r>
      <w:r w:rsidR="00121BD3">
        <w:t>.</w:t>
      </w:r>
    </w:p>
    <w:bookmarkEnd w:id="370"/>
    <w:p w14:paraId="5786FD3E" w14:textId="54FECA80" w:rsidR="002339BB" w:rsidRDefault="00F67FDB" w:rsidP="00F27406">
      <w:pPr>
        <w:spacing w:before="240"/>
        <w:rPr>
          <w:rFonts w:cs="Arial"/>
          <w:b/>
          <w:szCs w:val="20"/>
        </w:rPr>
      </w:pPr>
      <w:r w:rsidRPr="00C57E91">
        <w:rPr>
          <w:rFonts w:cs="Arial"/>
          <w:b/>
          <w:szCs w:val="20"/>
        </w:rPr>
        <w:t xml:space="preserve">Υπουργείο </w:t>
      </w:r>
      <w:r w:rsidR="002339BB" w:rsidRPr="00C57E91">
        <w:rPr>
          <w:rFonts w:cs="Arial"/>
          <w:b/>
          <w:szCs w:val="20"/>
        </w:rPr>
        <w:t>Ναυτιλίας</w:t>
      </w:r>
      <w:r w:rsidRPr="00C57E91">
        <w:rPr>
          <w:rFonts w:cs="Arial"/>
          <w:b/>
          <w:szCs w:val="20"/>
        </w:rPr>
        <w:t xml:space="preserve"> και Νησιωτικής Πολιτικής</w:t>
      </w:r>
    </w:p>
    <w:p w14:paraId="24B4FA0F" w14:textId="77777777" w:rsidR="00F72D83" w:rsidRPr="007D5EBA" w:rsidRDefault="00F72D83" w:rsidP="00AE0D0A">
      <w:r w:rsidRPr="007D5EBA">
        <w:t xml:space="preserve">Οι πιστώσεις του τακτικού προϋπολογισμού του Υπουργείου </w:t>
      </w:r>
      <w:r>
        <w:t>προβλέπεται ν</w:t>
      </w:r>
      <w:r w:rsidRPr="007D5EBA">
        <w:t>α καλύψουν κυρίως δαπάνες για:</w:t>
      </w:r>
    </w:p>
    <w:p w14:paraId="4DE9C4D9" w14:textId="77777777" w:rsidR="00F72D83" w:rsidRPr="007D5EBA" w:rsidRDefault="00F72D83" w:rsidP="00AE0D0A">
      <w:pPr>
        <w:numPr>
          <w:ilvl w:val="0"/>
          <w:numId w:val="1"/>
        </w:numPr>
        <w:spacing w:before="120" w:after="60"/>
        <w:ind w:left="568" w:hanging="284"/>
        <w:rPr>
          <w:rFonts w:cs="Arial"/>
        </w:rPr>
      </w:pPr>
      <w:r w:rsidRPr="007D5EBA">
        <w:rPr>
          <w:rFonts w:cs="Arial"/>
        </w:rPr>
        <w:t>τις δράσεις που συνδέονται με τη βελτίωση της ανταγωνιστικότητας στον τομέα της ναυτιλίας,</w:t>
      </w:r>
    </w:p>
    <w:p w14:paraId="1C31A9E7" w14:textId="1B8CF61E" w:rsidR="00F72D83" w:rsidRPr="007D5EBA" w:rsidRDefault="00F72D83" w:rsidP="00AE0D0A">
      <w:pPr>
        <w:numPr>
          <w:ilvl w:val="0"/>
          <w:numId w:val="1"/>
        </w:numPr>
        <w:spacing w:before="60" w:after="60"/>
        <w:ind w:left="568" w:hanging="284"/>
        <w:rPr>
          <w:rFonts w:cs="Arial"/>
        </w:rPr>
      </w:pPr>
      <w:r w:rsidRPr="007D5EBA">
        <w:rPr>
          <w:rFonts w:cs="Arial"/>
        </w:rPr>
        <w:t>τη φύλαξη των θαλ</w:t>
      </w:r>
      <w:r w:rsidR="001032C4">
        <w:rPr>
          <w:rFonts w:cs="Arial"/>
        </w:rPr>
        <w:t>ά</w:t>
      </w:r>
      <w:r w:rsidRPr="007D5EBA">
        <w:rPr>
          <w:rFonts w:cs="Arial"/>
        </w:rPr>
        <w:t>σσ</w:t>
      </w:r>
      <w:r w:rsidR="001032C4">
        <w:rPr>
          <w:rFonts w:cs="Arial"/>
        </w:rPr>
        <w:t>ι</w:t>
      </w:r>
      <w:r w:rsidRPr="007D5EBA">
        <w:rPr>
          <w:rFonts w:cs="Arial"/>
        </w:rPr>
        <w:t>ων οδών εισόδου στη χώρα και την κάλυψη των αναγκών που σχετίζονται με τις μεταναστευτικές και προσφυγικές ροές,</w:t>
      </w:r>
    </w:p>
    <w:p w14:paraId="384FBA11" w14:textId="77777777" w:rsidR="00F72D83" w:rsidRPr="007D5EBA" w:rsidRDefault="00F72D83" w:rsidP="00AE0D0A">
      <w:pPr>
        <w:numPr>
          <w:ilvl w:val="0"/>
          <w:numId w:val="1"/>
        </w:numPr>
        <w:spacing w:before="60" w:after="60"/>
        <w:ind w:left="568" w:hanging="284"/>
        <w:rPr>
          <w:rFonts w:cs="Arial"/>
        </w:rPr>
      </w:pPr>
      <w:r w:rsidRPr="007D5EBA">
        <w:rPr>
          <w:rFonts w:cs="Arial"/>
        </w:rPr>
        <w:t>την τριτοβάθμια εκπαίδευση των στελεχών του Λιμενικού Σώματος - Ελληνικής Ακτοφυλακής (ΛΣ</w:t>
      </w:r>
      <w:r>
        <w:rPr>
          <w:rFonts w:cs="Arial"/>
        </w:rPr>
        <w:t xml:space="preserve"> </w:t>
      </w:r>
      <w:r w:rsidRPr="007D5EBA">
        <w:rPr>
          <w:rFonts w:cs="Arial"/>
        </w:rPr>
        <w:t>-</w:t>
      </w:r>
      <w:r>
        <w:rPr>
          <w:rFonts w:cs="Arial"/>
        </w:rPr>
        <w:t xml:space="preserve"> </w:t>
      </w:r>
      <w:r w:rsidRPr="007D5EBA">
        <w:rPr>
          <w:rFonts w:cs="Arial"/>
        </w:rPr>
        <w:t>ΕΛΑΚΤ) και τη ναυτική εκπαίδευση,</w:t>
      </w:r>
    </w:p>
    <w:p w14:paraId="65A1EC06" w14:textId="77777777" w:rsidR="00F72D83" w:rsidRPr="007D5EBA" w:rsidRDefault="00F72D83" w:rsidP="00AE0D0A">
      <w:pPr>
        <w:numPr>
          <w:ilvl w:val="0"/>
          <w:numId w:val="1"/>
        </w:numPr>
        <w:spacing w:before="60" w:after="60"/>
        <w:ind w:left="568" w:hanging="284"/>
        <w:rPr>
          <w:rFonts w:cs="Arial"/>
        </w:rPr>
      </w:pPr>
      <w:r w:rsidRPr="007D5EBA">
        <w:rPr>
          <w:rFonts w:cs="Arial"/>
        </w:rPr>
        <w:t>τη χορήγηση του στεγαστικού επιδόματος σε σπουδαστές των Ακαδημιών Εμπορικού Ναυτικού (ΑΕΝ) που σπουδάζουν μακριά από τον τόπο κατοικίας τους,</w:t>
      </w:r>
    </w:p>
    <w:p w14:paraId="0FE897D2" w14:textId="77777777" w:rsidR="00F72D83" w:rsidRPr="007D5EBA" w:rsidRDefault="00F72D83" w:rsidP="00AE0D0A">
      <w:pPr>
        <w:numPr>
          <w:ilvl w:val="0"/>
          <w:numId w:val="1"/>
        </w:numPr>
        <w:spacing w:before="60" w:after="60"/>
        <w:ind w:left="568" w:hanging="284"/>
        <w:rPr>
          <w:rFonts w:cs="Arial"/>
        </w:rPr>
      </w:pPr>
      <w:r w:rsidRPr="007D5EBA">
        <w:rPr>
          <w:rFonts w:cs="Arial"/>
        </w:rPr>
        <w:t>την ασφάλεια της ναυσιπλοΐας και την ασφάλεια της ανθρώπινης ζωής στη θάλασσα,</w:t>
      </w:r>
    </w:p>
    <w:p w14:paraId="69150D82" w14:textId="77777777" w:rsidR="00F72D83" w:rsidRPr="007D5EBA" w:rsidRDefault="00F72D83" w:rsidP="00AE0D0A">
      <w:pPr>
        <w:numPr>
          <w:ilvl w:val="0"/>
          <w:numId w:val="1"/>
        </w:numPr>
        <w:spacing w:before="60" w:after="60"/>
        <w:ind w:left="568" w:hanging="284"/>
        <w:rPr>
          <w:rFonts w:cs="Arial"/>
        </w:rPr>
      </w:pPr>
      <w:r w:rsidRPr="007D5EBA">
        <w:rPr>
          <w:rFonts w:cs="Arial"/>
        </w:rPr>
        <w:t>τις δράσεις που συνδέονται με τον πολιτισμό, τον αθλητισμό, την προστασία της πολιτιστικής κληρονομιάς και της αρχιτεκτονικής των νησιωτικών περιοχών του Αιγαίου,</w:t>
      </w:r>
    </w:p>
    <w:p w14:paraId="67B4133C" w14:textId="77777777" w:rsidR="00F72D83" w:rsidRPr="007D5EBA" w:rsidRDefault="00F72D83" w:rsidP="00AE0D0A">
      <w:pPr>
        <w:numPr>
          <w:ilvl w:val="0"/>
          <w:numId w:val="1"/>
        </w:numPr>
        <w:spacing w:before="60" w:after="60"/>
        <w:ind w:left="568" w:hanging="284"/>
        <w:rPr>
          <w:rFonts w:cs="Arial"/>
        </w:rPr>
      </w:pPr>
      <w:r w:rsidRPr="007D5EBA">
        <w:rPr>
          <w:rFonts w:cs="Arial"/>
        </w:rPr>
        <w:t>τις δράσεις που συνδέονται με τον σχεδιασμό και την εφαρμογή της εθνικής νησιωτικής πολιτικής και</w:t>
      </w:r>
    </w:p>
    <w:p w14:paraId="0252CAEE" w14:textId="77777777" w:rsidR="00F72D83" w:rsidRPr="007D5EBA" w:rsidRDefault="00F72D83" w:rsidP="00AE0D0A">
      <w:pPr>
        <w:numPr>
          <w:ilvl w:val="0"/>
          <w:numId w:val="1"/>
        </w:numPr>
        <w:spacing w:before="60"/>
        <w:ind w:left="568" w:hanging="284"/>
        <w:rPr>
          <w:rFonts w:cs="Arial"/>
        </w:rPr>
      </w:pPr>
      <w:r w:rsidRPr="007D5EBA">
        <w:rPr>
          <w:rFonts w:cs="Arial"/>
        </w:rPr>
        <w:t>τις αποδόσεις εσόδων στο Κεφάλαιο Ναυτικής Εκπαίδευσης (ΚΝΕ), στο Μετοχικό Ταμείο Ναυτικού (ΜΤΝ) και στη Δημόσια Αρχή Λιμένων (ΔΑΛ).</w:t>
      </w:r>
    </w:p>
    <w:p w14:paraId="3D3FAFAE" w14:textId="746AF35B" w:rsidR="00F72D83" w:rsidRDefault="00F72D83" w:rsidP="00AE0D0A">
      <w:r>
        <w:t>Ο τακτικός προϋπολογισμός του Υπουργείου έτους 2025 αν</w:t>
      </w:r>
      <w:r w:rsidR="001032C4">
        <w:t>ε</w:t>
      </w:r>
      <w:r>
        <w:t>ρχ</w:t>
      </w:r>
      <w:r w:rsidR="001032C4">
        <w:t>ότ</w:t>
      </w:r>
      <w:r>
        <w:t xml:space="preserve">αν στο ύψος των 337 εκατ. ευρώ, ενώ οι εκτιμήσεις </w:t>
      </w:r>
      <w:r w:rsidR="009E76EF">
        <w:t xml:space="preserve">διαμορφώνονται </w:t>
      </w:r>
      <w:r>
        <w:t xml:space="preserve">στο ποσό των 350 εκατ. ευρώ. Κατά τη διάρκεια εκτέλεσης του προϋπολογισμού του 2025 διατέθηκαν επιπλέον πιστώσεις ύψους περίπου 13 εκατ. ευρώ, </w:t>
      </w:r>
      <w:r w:rsidRPr="008952B2">
        <w:t>εκ των οποίων ποσ</w:t>
      </w:r>
      <w:r w:rsidR="001032C4">
        <w:t>ά</w:t>
      </w:r>
      <w:r>
        <w:t xml:space="preserve"> </w:t>
      </w:r>
      <w:r w:rsidRPr="00800305">
        <w:t xml:space="preserve">ύψους </w:t>
      </w:r>
      <w:r>
        <w:t>7</w:t>
      </w:r>
      <w:r w:rsidRPr="00800305">
        <w:t xml:space="preserve"> εκατ. ευρώ για δαπάνες μεταναστευτικών ροών</w:t>
      </w:r>
      <w:r>
        <w:t>, 2,6 εκατ. ευρώ για δαπάνες επισκευής</w:t>
      </w:r>
      <w:r w:rsidR="001032C4">
        <w:t xml:space="preserve"> </w:t>
      </w:r>
      <w:r>
        <w:t>-</w:t>
      </w:r>
      <w:r w:rsidR="001032C4">
        <w:t xml:space="preserve"> </w:t>
      </w:r>
      <w:r>
        <w:t xml:space="preserve">συντήρησης εναέριων μέσων </w:t>
      </w:r>
      <w:r w:rsidRPr="00800305">
        <w:t xml:space="preserve">και </w:t>
      </w:r>
      <w:r>
        <w:t xml:space="preserve">1,7 εκατ. ευρώ </w:t>
      </w:r>
      <w:r w:rsidRPr="00800305">
        <w:t xml:space="preserve">για δαπάνες υγειονομικής περίθαλψης </w:t>
      </w:r>
      <w:r w:rsidR="009E76EF">
        <w:t>του</w:t>
      </w:r>
      <w:r w:rsidRPr="00800305">
        <w:t xml:space="preserve"> προσωπικ</w:t>
      </w:r>
      <w:r w:rsidR="009E76EF">
        <w:t>ού</w:t>
      </w:r>
      <w:r w:rsidRPr="00800305">
        <w:t xml:space="preserve"> του ΛΣ - ΕΛΑΚΤ και των μελών των οικογενειών τους.</w:t>
      </w:r>
    </w:p>
    <w:p w14:paraId="4F4367ED" w14:textId="7F6D398B" w:rsidR="00F72D83" w:rsidRDefault="00F72D83" w:rsidP="00AE0D0A">
      <w:r>
        <w:t>Οι προβλέψεις δαπανών του τακτικού προϋπολογισμού για το έτος 2026 ανέρχονται στο ποσό των 368 εκατ. ευρώ</w:t>
      </w:r>
      <w:r w:rsidR="009E76EF">
        <w:t>,</w:t>
      </w:r>
      <w:r>
        <w:t xml:space="preserve"> στις οποίες έχουν συμπεριληφθεί επιπλέον αυξήσεις 13 εκατ. ευρώ για αμοιβές προσωπικού από την εφαρμογή του νέου μισθολογίου στα στελέχη ΛΣ</w:t>
      </w:r>
      <w:r w:rsidR="008939FA">
        <w:t xml:space="preserve"> </w:t>
      </w:r>
      <w:r>
        <w:t>-</w:t>
      </w:r>
      <w:r w:rsidR="008939FA">
        <w:t xml:space="preserve"> </w:t>
      </w:r>
      <w:r>
        <w:t>ΕΛΑΚΤ και 7 εκατ. ευρώ για</w:t>
      </w:r>
      <w:r w:rsidRPr="000433D8">
        <w:t xml:space="preserve"> </w:t>
      </w:r>
      <w:r w:rsidR="001032C4">
        <w:t xml:space="preserve">την </w:t>
      </w:r>
      <w:r>
        <w:t>κάλυψη λειτουργικών δαπανών.</w:t>
      </w:r>
    </w:p>
    <w:p w14:paraId="50BD3DBA" w14:textId="472D6337" w:rsidR="00C57E91" w:rsidRDefault="00C57E91" w:rsidP="00C57E91">
      <w:r w:rsidRPr="00C57E91">
        <w:t xml:space="preserve">Τέλος, οι πιστώσεις του προϋπολογισμού δημοσίων επενδύσεων του Υπουργείου έτους 2026 ανέρχονται σε 345 εκατ. ευρώ για δαπάνες του εθνικού και </w:t>
      </w:r>
      <w:r w:rsidR="004642D9">
        <w:t xml:space="preserve">του </w:t>
      </w:r>
      <w:r w:rsidRPr="00C57E91">
        <w:t>συγχρηματοδοτούμενου σκέλους, ενώ για τη χρηματοδότηση δράσεων από το ΤΑΑ θα διατεθεί πίστωση ύψους 44 εκατ. ευρώ.</w:t>
      </w:r>
    </w:p>
    <w:p w14:paraId="1B78C481" w14:textId="77777777" w:rsidR="00580A53" w:rsidRPr="007D5EBA" w:rsidRDefault="00F67FDB" w:rsidP="00F27406">
      <w:pPr>
        <w:spacing w:before="240"/>
        <w:rPr>
          <w:rFonts w:cs="Arial"/>
          <w:b/>
          <w:szCs w:val="20"/>
        </w:rPr>
      </w:pPr>
      <w:r w:rsidRPr="00C57E91">
        <w:rPr>
          <w:rFonts w:cs="Arial"/>
          <w:b/>
          <w:szCs w:val="20"/>
        </w:rPr>
        <w:t xml:space="preserve">Υπουργείο </w:t>
      </w:r>
      <w:r w:rsidR="002339BB" w:rsidRPr="00C57E91">
        <w:rPr>
          <w:rFonts w:cs="Arial"/>
          <w:b/>
          <w:szCs w:val="20"/>
        </w:rPr>
        <w:t>Τουρισμού</w:t>
      </w:r>
    </w:p>
    <w:p w14:paraId="5CCAF26B" w14:textId="20E6658D" w:rsidR="00D9713E" w:rsidRDefault="00D9713E" w:rsidP="00D9713E">
      <w:r>
        <w:t xml:space="preserve">Οι πιστώσεις του τακτικού προϋπολογισμού </w:t>
      </w:r>
      <w:r w:rsidR="001032C4">
        <w:t xml:space="preserve">του Υπουργείου </w:t>
      </w:r>
      <w:r>
        <w:t>θα καλύψουν κυρίως δαπάνες για:</w:t>
      </w:r>
    </w:p>
    <w:p w14:paraId="70C2D7CC" w14:textId="78F83DF8" w:rsidR="00D9713E" w:rsidRDefault="00D9713E" w:rsidP="00D9713E">
      <w:pPr>
        <w:numPr>
          <w:ilvl w:val="0"/>
          <w:numId w:val="1"/>
        </w:numPr>
        <w:spacing w:before="120" w:after="60"/>
        <w:ind w:left="568" w:hanging="284"/>
        <w:rPr>
          <w:rFonts w:cs="Arial"/>
        </w:rPr>
      </w:pPr>
      <w:r>
        <w:rPr>
          <w:rFonts w:cs="Arial"/>
        </w:rPr>
        <w:t>την προβολή της χώρας στο εξωτερικό ως σημαντικού και ελκυστικού τουριστικού προορισμού,</w:t>
      </w:r>
    </w:p>
    <w:p w14:paraId="7DDDA0A5" w14:textId="77777777" w:rsidR="00D9713E" w:rsidRDefault="00D9713E" w:rsidP="00D9713E">
      <w:pPr>
        <w:numPr>
          <w:ilvl w:val="0"/>
          <w:numId w:val="1"/>
        </w:numPr>
        <w:spacing w:before="60" w:after="60"/>
        <w:ind w:left="568" w:hanging="284"/>
        <w:rPr>
          <w:rFonts w:cs="Arial"/>
        </w:rPr>
      </w:pPr>
      <w:r>
        <w:rPr>
          <w:rFonts w:cs="Arial"/>
        </w:rPr>
        <w:t>την τουριστική εκπαίδευση και κατάρτιση,</w:t>
      </w:r>
    </w:p>
    <w:p w14:paraId="3A68DDBE" w14:textId="20C5EECF" w:rsidR="00D9713E" w:rsidRDefault="00D9713E" w:rsidP="00D9713E">
      <w:pPr>
        <w:numPr>
          <w:ilvl w:val="0"/>
          <w:numId w:val="1"/>
        </w:numPr>
        <w:spacing w:before="60" w:after="60"/>
        <w:ind w:left="568" w:hanging="284"/>
        <w:rPr>
          <w:rFonts w:cs="Arial"/>
        </w:rPr>
      </w:pPr>
      <w:r>
        <w:rPr>
          <w:rFonts w:cs="Arial"/>
        </w:rPr>
        <w:lastRenderedPageBreak/>
        <w:t xml:space="preserve">τη χορήγηση στεγαστικού επιδόματος στους φοιτητές τριτοβάθμιας εκπαίδευσης Σχολών Τουριστικών Επαγγελμάτων και στους καταρτιζόμενους των ΔΙΕΚ </w:t>
      </w:r>
      <w:r w:rsidR="002B1197">
        <w:rPr>
          <w:rFonts w:cs="Arial"/>
        </w:rPr>
        <w:t xml:space="preserve">οι οποίοι </w:t>
      </w:r>
      <w:r>
        <w:rPr>
          <w:rFonts w:cs="Arial"/>
        </w:rPr>
        <w:t>σπουδάζουν μακριά από τον τόπο κατοικίας τους,</w:t>
      </w:r>
    </w:p>
    <w:p w14:paraId="640F88FB" w14:textId="499F53B9" w:rsidR="00D9713E" w:rsidRDefault="00D9713E" w:rsidP="00D9713E">
      <w:pPr>
        <w:numPr>
          <w:ilvl w:val="0"/>
          <w:numId w:val="1"/>
        </w:numPr>
        <w:spacing w:before="60" w:after="60"/>
        <w:ind w:left="568" w:hanging="284"/>
        <w:rPr>
          <w:rFonts w:cs="Arial"/>
        </w:rPr>
      </w:pPr>
      <w:r>
        <w:rPr>
          <w:rFonts w:cs="Arial"/>
        </w:rPr>
        <w:t xml:space="preserve">τη διασφάλιση </w:t>
      </w:r>
      <w:r w:rsidR="002B1197">
        <w:rPr>
          <w:rFonts w:cs="Arial"/>
        </w:rPr>
        <w:t xml:space="preserve">της </w:t>
      </w:r>
      <w:r>
        <w:rPr>
          <w:rFonts w:cs="Arial"/>
        </w:rPr>
        <w:t>ποιότητας του παρεχόμενου τουριστικού προϊόντος,</w:t>
      </w:r>
    </w:p>
    <w:p w14:paraId="4306DF8C" w14:textId="77777777" w:rsidR="00D9713E" w:rsidRDefault="00D9713E" w:rsidP="00D9713E">
      <w:pPr>
        <w:numPr>
          <w:ilvl w:val="0"/>
          <w:numId w:val="1"/>
        </w:numPr>
        <w:spacing w:after="60"/>
        <w:ind w:left="568" w:hanging="284"/>
        <w:rPr>
          <w:rFonts w:cs="Arial"/>
        </w:rPr>
      </w:pPr>
      <w:r>
        <w:rPr>
          <w:rFonts w:cs="Arial"/>
        </w:rPr>
        <w:t>την εκπόνηση συμβουλευτικών μελετών από εξειδικευμένους φορείς και τη διεξαγωγή πρωτογενούς έρευνας στις ξένες αγορές, προκειμένου να διαμορφωθεί στρατηγική μάρκετινγκ για την ανάπτυξη του τουρισμού και</w:t>
      </w:r>
    </w:p>
    <w:p w14:paraId="79BAD9F1" w14:textId="77777777" w:rsidR="00D9713E" w:rsidRDefault="00D9713E" w:rsidP="00D9713E">
      <w:pPr>
        <w:numPr>
          <w:ilvl w:val="0"/>
          <w:numId w:val="1"/>
        </w:numPr>
        <w:spacing w:before="60"/>
        <w:ind w:left="568" w:hanging="284"/>
        <w:rPr>
          <w:rFonts w:cs="Arial"/>
        </w:rPr>
      </w:pPr>
      <w:r>
        <w:rPr>
          <w:rFonts w:cs="Arial"/>
        </w:rPr>
        <w:t>την προώθηση αναπτυξιακών πρωτοβουλιών στον τομέα του τουρισμού και την επιχορήγηση και απόδοση εσόδων στον Ελληνικό Οργανισμό Τουρισμού (ΕΟΤ).</w:t>
      </w:r>
    </w:p>
    <w:p w14:paraId="1047FBD3" w14:textId="10A97B09" w:rsidR="00D9713E" w:rsidRDefault="00D9713E" w:rsidP="00D9713E">
      <w:r>
        <w:t>Οι εκτιμήσεις δαπανών για το έτος 2025 ανέρχονται στο ποσό των 38 εκατ. ευρώ και οι προβλέψεις δαπανών του τακτικού προϋπολογισμού για το έτος 2026 ανέρχονται στο ποσό των 41 εκατ. ευρώ</w:t>
      </w:r>
      <w:r w:rsidR="002B1197">
        <w:t>,</w:t>
      </w:r>
      <w:r>
        <w:t xml:space="preserve"> στις οποίες έχουν ενσωματωθεί πρόσθετες πιστώσεις ύψους 3 εκατ. ευρώ </w:t>
      </w:r>
      <w:r w:rsidR="00F36B22">
        <w:t xml:space="preserve">για </w:t>
      </w:r>
      <w:r>
        <w:t xml:space="preserve">τις μεταβιβάσεις </w:t>
      </w:r>
      <w:r w:rsidR="00F36B22">
        <w:t>προς</w:t>
      </w:r>
      <w:r>
        <w:t xml:space="preserve"> τον ΕΟΤ λόγω </w:t>
      </w:r>
      <w:r>
        <w:rPr>
          <w:rFonts w:cs="Calibri"/>
        </w:rPr>
        <w:t xml:space="preserve">αυξημένης πρόβλεψης αναφορικά με τα ποσά που κατατίθενται υπέρ του Ελληνικού Δημοσίου από τη συμμετοχή του επί των μικτών κερδών για τα </w:t>
      </w:r>
      <w:r w:rsidR="00380264">
        <w:rPr>
          <w:rFonts w:cs="Calibri"/>
        </w:rPr>
        <w:t>κ</w:t>
      </w:r>
      <w:r>
        <w:rPr>
          <w:rFonts w:cs="Calibri"/>
        </w:rPr>
        <w:t>αζίν</w:t>
      </w:r>
      <w:r w:rsidR="00380264">
        <w:rPr>
          <w:rFonts w:cs="Calibri"/>
        </w:rPr>
        <w:t>ο</w:t>
      </w:r>
      <w:r>
        <w:rPr>
          <w:rFonts w:cs="Calibri"/>
        </w:rPr>
        <w:t xml:space="preserve"> Κέρκυρας και Πάρνηθας</w:t>
      </w:r>
      <w:r>
        <w:t>.</w:t>
      </w:r>
    </w:p>
    <w:p w14:paraId="1A55B15B" w14:textId="6FDFC302" w:rsidR="00E86F8D" w:rsidRPr="00B91E15" w:rsidRDefault="00C57E91" w:rsidP="00C57E91">
      <w:r>
        <w:t xml:space="preserve">Τέλος, </w:t>
      </w:r>
      <w:r w:rsidRPr="00B91E15">
        <w:t>εντός του 202</w:t>
      </w:r>
      <w:r>
        <w:t xml:space="preserve">6 </w:t>
      </w:r>
      <w:r w:rsidRPr="00B91E15">
        <w:t xml:space="preserve">θα διατεθούν πιστώσεις ύψους </w:t>
      </w:r>
      <w:r>
        <w:t>197</w:t>
      </w:r>
      <w:r w:rsidRPr="00B91E15">
        <w:t xml:space="preserve"> εκατ. ευρώ του προϋπολογισμού δημοσίων επενδύσεων</w:t>
      </w:r>
      <w:r>
        <w:t>, εκ των οποίων ποσό ύψους 160 εκατ. ευρώ διατίθεται</w:t>
      </w:r>
      <w:r w:rsidRPr="00B91E15">
        <w:t xml:space="preserve"> για τη χρηματοδότηση </w:t>
      </w:r>
      <w:r>
        <w:t xml:space="preserve">από το ΤΑΑ </w:t>
      </w:r>
      <w:r w:rsidRPr="00B91E15">
        <w:t>επιμέρους δράσεων του Υπουργείου, όπως η προώθηση του ορεινού τουρισμού, του τουρισμού υγείας</w:t>
      </w:r>
      <w:r w:rsidR="00644A3A">
        <w:t xml:space="preserve"> και</w:t>
      </w:r>
      <w:r w:rsidRPr="00B91E15">
        <w:t xml:space="preserve"> του αγροτουρισμού </w:t>
      </w:r>
      <w:r w:rsidR="00644A3A">
        <w:t xml:space="preserve">καθώς </w:t>
      </w:r>
      <w:r w:rsidRPr="00B91E15">
        <w:t>και της αναβάθμισης και του εκσυγχρονισμού των τουριστικών εγκαταστάσεων και λιμένων.</w:t>
      </w:r>
    </w:p>
    <w:p w14:paraId="298082BE" w14:textId="77777777" w:rsidR="002339BB" w:rsidRPr="00B43801" w:rsidRDefault="00F67FDB" w:rsidP="00417E0D">
      <w:pPr>
        <w:keepNext/>
        <w:spacing w:before="240"/>
        <w:rPr>
          <w:rFonts w:cs="Arial"/>
          <w:b/>
          <w:szCs w:val="20"/>
        </w:rPr>
      </w:pPr>
      <w:r w:rsidRPr="00644A3A">
        <w:rPr>
          <w:rFonts w:cs="Arial"/>
          <w:b/>
          <w:szCs w:val="20"/>
        </w:rPr>
        <w:t xml:space="preserve">Υπουργείο </w:t>
      </w:r>
      <w:r w:rsidR="002339BB" w:rsidRPr="00644A3A">
        <w:rPr>
          <w:rFonts w:cs="Arial"/>
          <w:b/>
          <w:szCs w:val="20"/>
        </w:rPr>
        <w:t>Ψηφιακής</w:t>
      </w:r>
      <w:r w:rsidRPr="00644A3A">
        <w:rPr>
          <w:rFonts w:cs="Arial"/>
          <w:b/>
          <w:szCs w:val="20"/>
        </w:rPr>
        <w:t xml:space="preserve"> Διακυβέρνησης</w:t>
      </w:r>
    </w:p>
    <w:p w14:paraId="6C08EB19" w14:textId="62FF086B" w:rsidR="003B65D9" w:rsidRPr="003B65D9" w:rsidRDefault="003B65D9" w:rsidP="003B65D9">
      <w:r w:rsidRPr="003B65D9">
        <w:t>Στον τακτικό προϋπολογισμό έτους 2026 του Υπουργείου έχουν προβλεφθεί πιστώσεις για την εκτέλεση της αποστολής του και ειδικότερα για την προώθηση του ψηφιακού και διοικητικού μετασχηματισμού της χώρας καθώς και για την ανάπτυξη τηλεπικοινωνιακών και ταχυδρομικών υπηρεσιών. Στο πλαίσιο αυτό έχουν προβλεφθεί, μεταξύ άλλων, πιστώσεις ύψους 50 εκατ. ευρώ για την εφαρμογή του έργου ΣΥΖΕΥΞΙΣ ΙΙ.</w:t>
      </w:r>
    </w:p>
    <w:p w14:paraId="2D2FFE71" w14:textId="2F265C7D" w:rsidR="003B65D9" w:rsidRPr="003B65D9" w:rsidRDefault="003B65D9" w:rsidP="003B65D9">
      <w:r w:rsidRPr="003B65D9">
        <w:t>Ο τακτικός προϋπολογισμός του 2025 του Υπουργείου έχει ενισχυθεί, μεταξύ άλλων, προκειμένου να επιχορηγηθεί η Κοινωνία της Πληροφορίας (ΚτΠ) για την καταβολή οικονομικής ενίσχυσης στους νέους ηλικίας 18 και 19 ετών, για την αγορά αγαθών και υπηρεσιών από επιχειρήσεις που δραστηριοποιούνται στους τομείς του πολιτισμού, του τουρισμού και των μεταφορών (</w:t>
      </w:r>
      <w:r w:rsidRPr="003B65D9">
        <w:rPr>
          <w:lang w:val="en-US"/>
        </w:rPr>
        <w:t>youth</w:t>
      </w:r>
      <w:r w:rsidRPr="003B65D9">
        <w:t xml:space="preserve"> </w:t>
      </w:r>
      <w:r w:rsidRPr="003B65D9">
        <w:rPr>
          <w:lang w:val="en-US"/>
        </w:rPr>
        <w:t>pass</w:t>
      </w:r>
      <w:r w:rsidRPr="003B65D9">
        <w:t>) καθώς και για την εκτέλεση πρακτικών του ΝΣΚ για δαπάνες που προέκυψαν από την παροχή υπηρεσιών στο πλαίσιο του</w:t>
      </w:r>
      <w:r w:rsidR="002D2CF0">
        <w:t xml:space="preserve"> έργου</w:t>
      </w:r>
      <w:r w:rsidRPr="003B65D9">
        <w:t xml:space="preserve"> ΣΥΖΕΥΞΙΣ Ι.</w:t>
      </w:r>
    </w:p>
    <w:p w14:paraId="7934853A" w14:textId="69E56843" w:rsidR="00586B41" w:rsidRDefault="00586B41" w:rsidP="00586B41">
      <w:r>
        <w:t>Σημαντικά ποσά θα διατεθούν το 2026 από τον προϋπολογισμό δημοσίων επενδύσεων για τη χρηματοδότηση δράσεων του Υπουργείου για τη μεταρρύθμιση του δημοσιονομικού συστήματος (</w:t>
      </w:r>
      <w:r>
        <w:rPr>
          <w:lang w:val="en-US"/>
        </w:rPr>
        <w:t>gov</w:t>
      </w:r>
      <w:r>
        <w:t>-</w:t>
      </w:r>
      <w:r w:rsidR="00CA36F1">
        <w:rPr>
          <w:lang w:val="en-US"/>
        </w:rPr>
        <w:t>ERP</w:t>
      </w:r>
      <w:r>
        <w:t>), τη χρήση της τεχνητής νοημοσύνης στη δημόσια διοίκηση, την κυβερνοασφάλεια, την ευρυζωνικότητα κ.λπ.</w:t>
      </w:r>
      <w:r w:rsidR="00CA36F1">
        <w:t xml:space="preserve"> </w:t>
      </w:r>
      <w:r>
        <w:t>Το σύνολο των δαπανών του Υπουργείου</w:t>
      </w:r>
      <w:r w:rsidR="004642D9">
        <w:t xml:space="preserve"> </w:t>
      </w:r>
      <w:r>
        <w:t>που θα καλυφθεί μέσω πιστώσεων του προϋπολογισμού δημοσίων επενδύσεων έτους 2026, προβλέπεται να ανέλθει σε 1.237 εκατ. ευρώ, εκ των οποίων το μεγαλύτερο μέρος (1.000 εκατ. ευρώ) αφορά σε έργα που χρηματοδοτούνται από το ΤΑΑ.</w:t>
      </w:r>
    </w:p>
    <w:p w14:paraId="4FAE31A7" w14:textId="77777777" w:rsidR="002339BB" w:rsidRPr="00FA4B3E" w:rsidRDefault="00F67FDB" w:rsidP="00A646AC">
      <w:pPr>
        <w:spacing w:before="240"/>
        <w:rPr>
          <w:rFonts w:cs="Arial"/>
          <w:b/>
          <w:szCs w:val="20"/>
        </w:rPr>
      </w:pPr>
      <w:r w:rsidRPr="00C833C6">
        <w:rPr>
          <w:rFonts w:cs="Arial"/>
          <w:b/>
          <w:szCs w:val="20"/>
        </w:rPr>
        <w:t xml:space="preserve">Υπουργείο </w:t>
      </w:r>
      <w:r w:rsidR="002339BB" w:rsidRPr="00C833C6">
        <w:rPr>
          <w:rFonts w:cs="Arial"/>
          <w:b/>
          <w:szCs w:val="20"/>
        </w:rPr>
        <w:t>Μετανάστευσης</w:t>
      </w:r>
      <w:r w:rsidRPr="00C833C6">
        <w:rPr>
          <w:rFonts w:cs="Arial"/>
          <w:b/>
          <w:szCs w:val="20"/>
        </w:rPr>
        <w:t xml:space="preserve"> και Ασύλου</w:t>
      </w:r>
    </w:p>
    <w:p w14:paraId="18EAB793" w14:textId="77777777" w:rsidR="003B65D9" w:rsidRPr="003B65D9" w:rsidRDefault="003B65D9" w:rsidP="003B65D9">
      <w:r w:rsidRPr="003B65D9">
        <w:t xml:space="preserve">Στον τακτικό προϋπολογισμό του Υπουργείου έχουν προβλεφθεί πιστώσεις για την εκτέλεση της αποστολής του και κυρίως για: (α) τον σχεδιασμό και την εφαρμογή της εθνικής πολιτικής για τη μετανάστευση, αφενός μεν με τη νόμιμη είσοδο, διαμονή και κοινωνική ένταξη των πολιτών τρίτων χωρών στην ελληνική επικράτεια, αφετέρου δε με την ταυτοποίηση και υποδοχή πολιτών τρίτων χωρών που εισέρχονται στη χώρα χωρίς τις νόμιμες διατυπώσεις και (β) τον σχεδιασμό και την υλοποίηση της </w:t>
      </w:r>
      <w:r w:rsidRPr="003B65D9">
        <w:lastRenderedPageBreak/>
        <w:t>εθνικής πολιτικής για τη χορήγηση ασύλου ή άλλων μορφών διεθνούς προστασίας. Πιο συγκεκριμένα, σημαντικό μέρος των εν λόγω πιστώσεων θα διατεθεί για:</w:t>
      </w:r>
    </w:p>
    <w:p w14:paraId="7F913460" w14:textId="77777777" w:rsidR="003B65D9" w:rsidRPr="003B65D9" w:rsidRDefault="003B65D9" w:rsidP="00910F1B">
      <w:pPr>
        <w:numPr>
          <w:ilvl w:val="0"/>
          <w:numId w:val="1"/>
        </w:numPr>
        <w:spacing w:before="120" w:after="60"/>
        <w:ind w:left="568" w:hanging="284"/>
      </w:pPr>
      <w:r w:rsidRPr="003B65D9">
        <w:t>την εύρυθμη εκτέλεση των διαδικασιών και τη λειτουργική ετοιμότητα των συστημάτων συλλογής και διαχείρισης δεδομένων για την έκδοση των αδειών διαμονής των πολιτών τρίτων χωρών,</w:t>
      </w:r>
    </w:p>
    <w:p w14:paraId="00934D00" w14:textId="77777777" w:rsidR="003B65D9" w:rsidRPr="003B65D9" w:rsidRDefault="003B65D9" w:rsidP="00910F1B">
      <w:pPr>
        <w:numPr>
          <w:ilvl w:val="0"/>
          <w:numId w:val="1"/>
        </w:numPr>
        <w:spacing w:before="60" w:after="60"/>
        <w:ind w:left="568" w:hanging="284"/>
        <w:rPr>
          <w:rFonts w:cs="Arial"/>
        </w:rPr>
      </w:pPr>
      <w:r w:rsidRPr="003B65D9">
        <w:rPr>
          <w:rFonts w:cs="Arial"/>
        </w:rPr>
        <w:t>τη λειτουργία της Αρχής Προσφυγών,</w:t>
      </w:r>
    </w:p>
    <w:p w14:paraId="2DFDB1DF" w14:textId="77777777" w:rsidR="003B65D9" w:rsidRPr="003B65D9" w:rsidRDefault="003B65D9" w:rsidP="00910F1B">
      <w:pPr>
        <w:numPr>
          <w:ilvl w:val="0"/>
          <w:numId w:val="1"/>
        </w:numPr>
        <w:spacing w:before="60" w:after="60"/>
        <w:ind w:left="568" w:hanging="284"/>
        <w:rPr>
          <w:rFonts w:cs="Arial"/>
        </w:rPr>
      </w:pPr>
      <w:r w:rsidRPr="003B65D9">
        <w:rPr>
          <w:rFonts w:cs="Arial"/>
        </w:rPr>
        <w:t>τον συντονισμό και την αποτελεσματική δράση των υπηρεσιών υποδοχής και ταυτοποίησης και τον προσδιορισμό των αναγκών ίδρυσης και επέκτασης κέντρων υποδοχής και δομών φιλοξενίας,</w:t>
      </w:r>
    </w:p>
    <w:p w14:paraId="789D8CAE" w14:textId="77777777" w:rsidR="003B65D9" w:rsidRPr="003B65D9" w:rsidRDefault="003B65D9" w:rsidP="00910F1B">
      <w:pPr>
        <w:numPr>
          <w:ilvl w:val="0"/>
          <w:numId w:val="1"/>
        </w:numPr>
        <w:spacing w:before="60" w:after="60"/>
        <w:ind w:left="568" w:hanging="284"/>
        <w:rPr>
          <w:rFonts w:cs="Arial"/>
        </w:rPr>
      </w:pPr>
      <w:r w:rsidRPr="003B65D9">
        <w:rPr>
          <w:rFonts w:cs="Arial"/>
        </w:rPr>
        <w:t>τον σχεδιασμό, την υλοποίηση και την εποπτεία της εθνικής στρατηγικής για την προστασία των ασυνόδευτων και των χωρισμένων από την οικογένειά τους ανηλίκων,</w:t>
      </w:r>
    </w:p>
    <w:p w14:paraId="4F2ADE4B" w14:textId="0E3C4A5F" w:rsidR="003B65D9" w:rsidRPr="003B65D9" w:rsidRDefault="003B65D9" w:rsidP="00910F1B">
      <w:pPr>
        <w:numPr>
          <w:ilvl w:val="0"/>
          <w:numId w:val="1"/>
        </w:numPr>
        <w:spacing w:before="60" w:after="60"/>
        <w:ind w:left="568" w:hanging="284"/>
        <w:rPr>
          <w:rFonts w:cs="Arial"/>
        </w:rPr>
      </w:pPr>
      <w:r w:rsidRPr="003B65D9">
        <w:rPr>
          <w:rFonts w:cs="Arial"/>
        </w:rPr>
        <w:t>την πιστοποίηση και τον έλεγχο ΝΠΙΔ μη κερδοσκοπικού χαρακτήρα και Μη Κυβερνητικών Οργανώσεων (ΜΚΟ) και</w:t>
      </w:r>
    </w:p>
    <w:p w14:paraId="3A9EB4D8" w14:textId="77777777" w:rsidR="003B65D9" w:rsidRPr="003B65D9" w:rsidRDefault="003B65D9" w:rsidP="00910F1B">
      <w:pPr>
        <w:numPr>
          <w:ilvl w:val="0"/>
          <w:numId w:val="1"/>
        </w:numPr>
        <w:spacing w:before="60"/>
        <w:ind w:left="568" w:hanging="284"/>
      </w:pPr>
      <w:r w:rsidRPr="003B65D9">
        <w:rPr>
          <w:rFonts w:cs="Arial"/>
        </w:rPr>
        <w:t>τη στήριξη τ</w:t>
      </w:r>
      <w:r w:rsidRPr="003B65D9">
        <w:t>ων τοπικών κοινωνιών που επιβαρύνονται από τη λειτουργία μονάδων φιλοξενίας.</w:t>
      </w:r>
    </w:p>
    <w:p w14:paraId="07996E1F" w14:textId="39BAF47B" w:rsidR="00FA4B3E" w:rsidRPr="00CA36F1" w:rsidRDefault="004C1F9C" w:rsidP="001216B1">
      <w:r w:rsidRPr="00B91E15">
        <w:t>Μέσω του προϋπολογισμού δημοσίων επενδύσεων και των πόρων από το ΤΑΑ προωθούνται, μεταξύ άλλων, δράσεις για την κατασκευή και την αναβάθμιση των δομών υποδοχής προσφύγων, την υποδοχή ασυνόδευτων ανηλίκων, την ενίσχυση της διαδικασίας ασύλου και την πρόσβαση των αιτούντων διεθνή προστασία, την παροχή υπηρεσιών διαχείρισης των σχετικών εγκαταστάσεων</w:t>
      </w:r>
      <w:r>
        <w:t xml:space="preserve"> </w:t>
      </w:r>
      <w:r w:rsidRPr="00B91E15">
        <w:t>κ.λπ.</w:t>
      </w:r>
      <w:r w:rsidR="00CA36F1">
        <w:t xml:space="preserve"> </w:t>
      </w:r>
      <w:r w:rsidRPr="004C1F9C">
        <w:rPr>
          <w:rFonts w:cs="Arial"/>
          <w:szCs w:val="20"/>
        </w:rPr>
        <w:t>Οι πιστώσεις για δημόσιες επενδύσεις το έτος 2026 ανέρχονται σε 380 εκατ. ευρώ, εκ των οποίων ποσό ύψους 27 εκατ. ευρώ θα διατεθεί για τη χρηματοδότηση επιμέρους δράσεων του Υπουργείου από το ΤΑΑ.</w:t>
      </w:r>
    </w:p>
    <w:p w14:paraId="4EF346AF" w14:textId="77777777" w:rsidR="002339BB" w:rsidRPr="00FA4B3E" w:rsidRDefault="00F67FDB" w:rsidP="00F27406">
      <w:pPr>
        <w:spacing w:before="240"/>
        <w:rPr>
          <w:rFonts w:cs="Arial"/>
          <w:b/>
          <w:szCs w:val="20"/>
        </w:rPr>
      </w:pPr>
      <w:r w:rsidRPr="00516409">
        <w:rPr>
          <w:rFonts w:cs="Arial"/>
          <w:b/>
          <w:szCs w:val="20"/>
        </w:rPr>
        <w:t xml:space="preserve">Υπουργείο </w:t>
      </w:r>
      <w:r w:rsidR="002339BB" w:rsidRPr="00516409">
        <w:rPr>
          <w:rFonts w:cs="Arial"/>
          <w:b/>
          <w:szCs w:val="20"/>
        </w:rPr>
        <w:t>Π</w:t>
      </w:r>
      <w:r w:rsidRPr="00516409">
        <w:rPr>
          <w:rFonts w:cs="Arial"/>
          <w:b/>
          <w:szCs w:val="20"/>
        </w:rPr>
        <w:t xml:space="preserve">ροστασίας </w:t>
      </w:r>
      <w:r w:rsidR="002339BB" w:rsidRPr="00516409">
        <w:rPr>
          <w:rFonts w:cs="Arial"/>
          <w:b/>
          <w:szCs w:val="20"/>
        </w:rPr>
        <w:t>τ</w:t>
      </w:r>
      <w:r w:rsidRPr="00516409">
        <w:rPr>
          <w:rFonts w:cs="Arial"/>
          <w:b/>
          <w:szCs w:val="20"/>
        </w:rPr>
        <w:t xml:space="preserve">ου </w:t>
      </w:r>
      <w:r w:rsidR="002339BB" w:rsidRPr="00516409">
        <w:rPr>
          <w:rFonts w:cs="Arial"/>
          <w:b/>
          <w:szCs w:val="20"/>
        </w:rPr>
        <w:t>Π</w:t>
      </w:r>
      <w:r w:rsidRPr="00516409">
        <w:rPr>
          <w:rFonts w:cs="Arial"/>
          <w:b/>
          <w:szCs w:val="20"/>
        </w:rPr>
        <w:t>ολίτη</w:t>
      </w:r>
    </w:p>
    <w:p w14:paraId="4FA63957" w14:textId="77777777" w:rsidR="003B65D9" w:rsidRPr="003B65D9" w:rsidRDefault="003B65D9" w:rsidP="003B65D9">
      <w:r w:rsidRPr="003B65D9">
        <w:t>Στον τακτικό προϋπολογισμό του Υπουργείου έχουν προβλεφθεί πιστώσεις που θα καλύψουν κυρίως δαπάνες για:</w:t>
      </w:r>
    </w:p>
    <w:p w14:paraId="36F2A2C9" w14:textId="77777777" w:rsidR="003B65D9" w:rsidRPr="003B65D9" w:rsidRDefault="003B65D9" w:rsidP="00910F1B">
      <w:pPr>
        <w:numPr>
          <w:ilvl w:val="0"/>
          <w:numId w:val="1"/>
        </w:numPr>
        <w:spacing w:before="120" w:after="60"/>
        <w:ind w:left="568" w:hanging="284"/>
        <w:rPr>
          <w:szCs w:val="22"/>
        </w:rPr>
      </w:pPr>
      <w:r w:rsidRPr="003B65D9">
        <w:rPr>
          <w:szCs w:val="22"/>
        </w:rPr>
        <w:t>τη λειτουργία των αστυνομικών επιχειρησιακών μονάδων, την προμήθεια σύγχρονων και αποτελεσματικών μέσων προστασίας του προσωπικού, τη συντήρηση και την προμήθεια ανταλλακτικών των υπηρεσιακών οχημάτων,</w:t>
      </w:r>
    </w:p>
    <w:p w14:paraId="155BCD3E" w14:textId="77777777" w:rsidR="003B65D9" w:rsidRPr="003B65D9" w:rsidRDefault="003B65D9" w:rsidP="00910F1B">
      <w:pPr>
        <w:numPr>
          <w:ilvl w:val="0"/>
          <w:numId w:val="1"/>
        </w:numPr>
        <w:spacing w:before="60" w:after="60"/>
        <w:ind w:left="568" w:hanging="284"/>
        <w:rPr>
          <w:rFonts w:cs="Arial"/>
        </w:rPr>
      </w:pPr>
      <w:r w:rsidRPr="003B65D9">
        <w:rPr>
          <w:rFonts w:cs="Arial"/>
        </w:rPr>
        <w:t>τη σίτιση των προσωρινά κρατούμενων στα κατά τόπους καταστήματα κράτησης,</w:t>
      </w:r>
    </w:p>
    <w:p w14:paraId="7DDD7D4A" w14:textId="77777777" w:rsidR="003B65D9" w:rsidRPr="003B65D9" w:rsidRDefault="003B65D9" w:rsidP="00910F1B">
      <w:pPr>
        <w:numPr>
          <w:ilvl w:val="0"/>
          <w:numId w:val="1"/>
        </w:numPr>
        <w:spacing w:before="60" w:after="60"/>
        <w:ind w:left="568" w:hanging="284"/>
        <w:rPr>
          <w:rFonts w:cs="Arial"/>
        </w:rPr>
      </w:pPr>
      <w:r w:rsidRPr="003B65D9">
        <w:rPr>
          <w:rFonts w:cs="Arial"/>
        </w:rPr>
        <w:t>τη σίτιση και τη διαμονή των αλλοδαπών στα προαναχωρησιακά κέντρα σε εναρμόνιση με το διεθνώς ισχύον πλαίσιο,</w:t>
      </w:r>
    </w:p>
    <w:p w14:paraId="351C81CF" w14:textId="77777777" w:rsidR="003B65D9" w:rsidRPr="003B65D9" w:rsidRDefault="003B65D9" w:rsidP="00910F1B">
      <w:pPr>
        <w:numPr>
          <w:ilvl w:val="0"/>
          <w:numId w:val="1"/>
        </w:numPr>
        <w:spacing w:before="60" w:after="60"/>
        <w:ind w:left="568" w:hanging="284"/>
        <w:rPr>
          <w:rFonts w:cs="Arial"/>
        </w:rPr>
      </w:pPr>
      <w:r w:rsidRPr="003B65D9">
        <w:rPr>
          <w:rFonts w:cs="Arial"/>
        </w:rPr>
        <w:t>την εφαρμογή της σωφρονιστικής και αντεγκληματικής πολιτικής και</w:t>
      </w:r>
    </w:p>
    <w:p w14:paraId="21ACBAD7" w14:textId="77777777" w:rsidR="003B65D9" w:rsidRPr="003B65D9" w:rsidRDefault="003B65D9" w:rsidP="00910F1B">
      <w:pPr>
        <w:numPr>
          <w:ilvl w:val="0"/>
          <w:numId w:val="1"/>
        </w:numPr>
        <w:spacing w:before="60"/>
        <w:ind w:left="568" w:hanging="284"/>
        <w:rPr>
          <w:szCs w:val="22"/>
        </w:rPr>
      </w:pPr>
      <w:r w:rsidRPr="003B65D9">
        <w:rPr>
          <w:rFonts w:cs="Arial"/>
        </w:rPr>
        <w:t>την</w:t>
      </w:r>
      <w:r w:rsidRPr="003B65D9">
        <w:rPr>
          <w:szCs w:val="22"/>
        </w:rPr>
        <w:t xml:space="preserve"> υλοποίηση δράσεων για την ανάσχεση των μεταναστευτικών ροών.</w:t>
      </w:r>
    </w:p>
    <w:p w14:paraId="7A889F5F" w14:textId="605CBCF6" w:rsidR="003B65D9" w:rsidRPr="003B65D9" w:rsidRDefault="003B65D9" w:rsidP="003B65D9">
      <w:pPr>
        <w:rPr>
          <w:rFonts w:cs="Arial"/>
          <w:szCs w:val="20"/>
        </w:rPr>
      </w:pPr>
      <w:r w:rsidRPr="003B65D9">
        <w:rPr>
          <w:rFonts w:cs="Arial"/>
          <w:szCs w:val="20"/>
        </w:rPr>
        <w:t xml:space="preserve">Οι εκτιμήσεις δαπανών για το έτος 2025 ανέρχονται στο ποσό των 2.342 εκατ. ευρώ. Κατά το </w:t>
      </w:r>
      <w:r w:rsidR="005A602A">
        <w:rPr>
          <w:rFonts w:cs="Arial"/>
          <w:szCs w:val="20"/>
        </w:rPr>
        <w:t xml:space="preserve">τρέχον </w:t>
      </w:r>
      <w:r w:rsidRPr="003B65D9">
        <w:rPr>
          <w:rFonts w:cs="Arial"/>
          <w:szCs w:val="20"/>
        </w:rPr>
        <w:t xml:space="preserve">έτος ο φορέας ενισχύθηκε με πιστώσεις ύψους 11,43 εκατ. ευρώ για την αποπληρωμή των συμβάσεων του έργου «Κατασκευή τεχνητού εμποδίου και συνοδών έργων, κατά μήκος της Ελληνοτουρκικής Μεθορίου στην περιοχή Ψαθάδες Διδυμοτείχου έως Κορνοφωλιά Σουφλίου στην ΠΕ Έβρου». Επιπλέον, διατέθηκαν πιστώσεις για την εύρυθμη λειτουργία </w:t>
      </w:r>
      <w:r w:rsidR="00156581">
        <w:rPr>
          <w:rFonts w:cs="Arial"/>
          <w:szCs w:val="20"/>
        </w:rPr>
        <w:t xml:space="preserve">του Υπουργείου και </w:t>
      </w:r>
      <w:r w:rsidRPr="003B65D9">
        <w:rPr>
          <w:rFonts w:cs="Arial"/>
          <w:szCs w:val="20"/>
        </w:rPr>
        <w:t>των σωφρονιστικών καταστημάτων</w:t>
      </w:r>
      <w:r w:rsidR="00156581">
        <w:rPr>
          <w:rFonts w:cs="Arial"/>
          <w:szCs w:val="20"/>
        </w:rPr>
        <w:t xml:space="preserve"> ύψους 77 εκατ. ευρώ</w:t>
      </w:r>
      <w:r w:rsidRPr="003B65D9">
        <w:rPr>
          <w:rFonts w:cs="Arial"/>
          <w:szCs w:val="20"/>
        </w:rPr>
        <w:t xml:space="preserve">. Για το έτος 2026 προβλέπονται δαπάνες ύψους 2.513 εκατ. ευρώ, στις οποίες περιλαμβάνονται πιστώσεις ύψους 15 εκατ. ευρώ για την εκτέλεση συμπληρωματικών εργασιών </w:t>
      </w:r>
      <w:r w:rsidRPr="003B65D9">
        <w:rPr>
          <w:rFonts w:cs="Arial"/>
          <w:i/>
          <w:szCs w:val="20"/>
        </w:rPr>
        <w:t>τ</w:t>
      </w:r>
      <w:r w:rsidRPr="003B65D9">
        <w:rPr>
          <w:rFonts w:cs="Arial"/>
          <w:szCs w:val="20"/>
        </w:rPr>
        <w:t>ου έργου με τίτλο «Κατασκευή τεχνητού εμποδίου και συνοδών έργων, κατά μήκος της Ελλη</w:t>
      </w:r>
      <w:r w:rsidR="002F377B">
        <w:rPr>
          <w:rFonts w:cs="Arial"/>
          <w:szCs w:val="20"/>
        </w:rPr>
        <w:t>ν</w:t>
      </w:r>
      <w:r w:rsidRPr="003B65D9">
        <w:rPr>
          <w:rFonts w:cs="Arial"/>
          <w:szCs w:val="20"/>
        </w:rPr>
        <w:t>οτουρκικής Μεθορίου στην περιοχή Ψαθάδες Διδυμοτείχου έως Κορνοφωλιά Σουφλίου στην ΠΕ Έβρου».</w:t>
      </w:r>
    </w:p>
    <w:p w14:paraId="23E6DEB1" w14:textId="771D101C" w:rsidR="00FA4B3E" w:rsidRPr="004C1F9C" w:rsidRDefault="004C1F9C" w:rsidP="00C833C6">
      <w:pPr>
        <w:rPr>
          <w:rFonts w:cs="Arial"/>
          <w:strike/>
          <w:szCs w:val="20"/>
        </w:rPr>
      </w:pPr>
      <w:r w:rsidRPr="00B91E15">
        <w:rPr>
          <w:rFonts w:cs="Arial"/>
          <w:szCs w:val="20"/>
        </w:rPr>
        <w:t>Το σύνολο των πιστώσεων του προϋπολογισμού δημοσίων επενδύσεων έτους 202</w:t>
      </w:r>
      <w:r>
        <w:rPr>
          <w:rFonts w:cs="Arial"/>
          <w:szCs w:val="20"/>
        </w:rPr>
        <w:t>6</w:t>
      </w:r>
      <w:r w:rsidRPr="00B91E15">
        <w:rPr>
          <w:rFonts w:cs="Arial"/>
          <w:szCs w:val="20"/>
        </w:rPr>
        <w:t xml:space="preserve"> του Υπουργείου προβλέπεται να ανέλθει </w:t>
      </w:r>
      <w:r>
        <w:rPr>
          <w:rFonts w:cs="Arial"/>
          <w:szCs w:val="20"/>
        </w:rPr>
        <w:t>σε</w:t>
      </w:r>
      <w:r w:rsidRPr="00B91E15">
        <w:rPr>
          <w:rFonts w:cs="Arial"/>
          <w:szCs w:val="20"/>
        </w:rPr>
        <w:t xml:space="preserve"> </w:t>
      </w:r>
      <w:r>
        <w:rPr>
          <w:rFonts w:cs="Arial"/>
          <w:szCs w:val="20"/>
        </w:rPr>
        <w:t>90</w:t>
      </w:r>
      <w:r w:rsidRPr="00B91E15">
        <w:rPr>
          <w:rFonts w:cs="Arial"/>
          <w:szCs w:val="20"/>
        </w:rPr>
        <w:t xml:space="preserve"> εκατ. ευρώ</w:t>
      </w:r>
      <w:r>
        <w:rPr>
          <w:rFonts w:cs="Arial"/>
          <w:szCs w:val="20"/>
        </w:rPr>
        <w:t>.</w:t>
      </w:r>
    </w:p>
    <w:p w14:paraId="525779FB" w14:textId="1EAF257C" w:rsidR="002339BB" w:rsidRPr="00BA1CC8" w:rsidRDefault="00F67FDB" w:rsidP="00FD4D82">
      <w:pPr>
        <w:keepNext/>
        <w:spacing w:before="240"/>
        <w:rPr>
          <w:rFonts w:cs="Arial"/>
          <w:b/>
          <w:szCs w:val="20"/>
        </w:rPr>
      </w:pPr>
      <w:r w:rsidRPr="00C833C6">
        <w:rPr>
          <w:rFonts w:cs="Arial"/>
          <w:b/>
          <w:szCs w:val="20"/>
        </w:rPr>
        <w:lastRenderedPageBreak/>
        <w:t xml:space="preserve">Υπουργείο </w:t>
      </w:r>
      <w:r w:rsidR="002339BB" w:rsidRPr="00C833C6">
        <w:rPr>
          <w:rFonts w:cs="Arial"/>
          <w:b/>
          <w:szCs w:val="20"/>
        </w:rPr>
        <w:t>Κλιματικής Κρίσης</w:t>
      </w:r>
      <w:r w:rsidRPr="00C833C6">
        <w:rPr>
          <w:rFonts w:cs="Arial"/>
          <w:b/>
          <w:szCs w:val="20"/>
        </w:rPr>
        <w:t xml:space="preserve"> και Πολιτικής Προστασίας</w:t>
      </w:r>
    </w:p>
    <w:p w14:paraId="1E237019" w14:textId="77777777" w:rsidR="003B65D9" w:rsidRPr="003B65D9" w:rsidRDefault="003B65D9" w:rsidP="003B65D9">
      <w:pPr>
        <w:rPr>
          <w:rFonts w:ascii="Times New Roman" w:hAnsi="Times New Roman"/>
        </w:rPr>
      </w:pPr>
      <w:r w:rsidRPr="003B65D9">
        <w:t>Στον τακτικό προϋπολογισμό του Υπουργείου έχουν προβλεφθεί πιστώσεις που θα καλύψουν κυρίως δαπάνες για:</w:t>
      </w:r>
    </w:p>
    <w:p w14:paraId="50904240" w14:textId="025E9D64" w:rsidR="003B65D9" w:rsidRPr="003B65D9" w:rsidRDefault="003B65D9" w:rsidP="00946E4C">
      <w:pPr>
        <w:numPr>
          <w:ilvl w:val="0"/>
          <w:numId w:val="1"/>
        </w:numPr>
        <w:spacing w:before="120" w:after="60"/>
        <w:ind w:left="568" w:hanging="284"/>
        <w:rPr>
          <w:rFonts w:cs="Arial"/>
        </w:rPr>
      </w:pPr>
      <w:r w:rsidRPr="003B65D9">
        <w:rPr>
          <w:rFonts w:cs="Arial"/>
        </w:rPr>
        <w:t>την προστασία των δασών από πυρκαγιές με τη χρήση επίγειων μονάδων και εναέριων μέσων του Πυροσβεστικού Σώματος,</w:t>
      </w:r>
    </w:p>
    <w:p w14:paraId="494A82EA" w14:textId="4610B261" w:rsidR="003B65D9" w:rsidRPr="003B65D9" w:rsidRDefault="003B65D9" w:rsidP="00946E4C">
      <w:pPr>
        <w:numPr>
          <w:ilvl w:val="0"/>
          <w:numId w:val="1"/>
        </w:numPr>
        <w:spacing w:before="60" w:after="60"/>
        <w:ind w:left="568" w:hanging="284"/>
        <w:rPr>
          <w:rFonts w:cs="Arial"/>
        </w:rPr>
      </w:pPr>
      <w:r w:rsidRPr="003B65D9">
        <w:rPr>
          <w:rFonts w:cs="Arial"/>
        </w:rPr>
        <w:t>τη λειτουργία των επιχειρησιακών μονάδων, τη συντήρηση και την προμήθεια ανταλλακτικών των υπηρεσιακών οχημάτων</w:t>
      </w:r>
      <w:r w:rsidR="00E94545">
        <w:rPr>
          <w:rFonts w:cs="Arial"/>
        </w:rPr>
        <w:t xml:space="preserve"> καθώς και </w:t>
      </w:r>
      <w:r w:rsidRPr="003B65D9">
        <w:rPr>
          <w:rFonts w:cs="Arial"/>
        </w:rPr>
        <w:t>την προμήθεια σύγχρονων και αποτελεσματικών μέσων προστασίας του προσωπικού,</w:t>
      </w:r>
    </w:p>
    <w:p w14:paraId="4A8D39E7" w14:textId="0997FD32" w:rsidR="003B65D9" w:rsidRPr="003B65D9" w:rsidRDefault="003B65D9" w:rsidP="00946E4C">
      <w:pPr>
        <w:numPr>
          <w:ilvl w:val="0"/>
          <w:numId w:val="1"/>
        </w:numPr>
        <w:spacing w:before="60" w:after="60"/>
        <w:ind w:left="568" w:hanging="284"/>
        <w:rPr>
          <w:rFonts w:cs="Arial"/>
        </w:rPr>
      </w:pPr>
      <w:r w:rsidRPr="003B65D9">
        <w:rPr>
          <w:rFonts w:cs="Arial"/>
        </w:rPr>
        <w:t>την αποτελεσματική λειτουργία της Γενικής Γραμματείας Πολιτικής Προστασίας στο πλαίσιο του ευρύτερου συντονισμού του συνόλου των δράσεων πολιτικής προστασίας όλων των εμπλεκόμενων φορέων για την αντιμετώπιση πάσης φύσεως καταστροφών και</w:t>
      </w:r>
    </w:p>
    <w:p w14:paraId="26F3262A" w14:textId="77777777" w:rsidR="003B65D9" w:rsidRPr="003B65D9" w:rsidRDefault="003B65D9" w:rsidP="00946E4C">
      <w:pPr>
        <w:numPr>
          <w:ilvl w:val="0"/>
          <w:numId w:val="1"/>
        </w:numPr>
        <w:spacing w:before="60"/>
        <w:ind w:left="568" w:hanging="284"/>
        <w:rPr>
          <w:rFonts w:cs="Arial"/>
        </w:rPr>
      </w:pPr>
      <w:r w:rsidRPr="003B65D9">
        <w:rPr>
          <w:rFonts w:cs="Arial"/>
        </w:rPr>
        <w:t>την αποτελεσματική λειτουργία της Γενικής Γραμματείας Αποκατάστασης Φυσικών Καταστροφών και Κρατικής Αρωγής.</w:t>
      </w:r>
    </w:p>
    <w:p w14:paraId="590BEB87" w14:textId="2240A418" w:rsidR="003B65D9" w:rsidRPr="003B65D9" w:rsidRDefault="003B65D9" w:rsidP="003B65D9">
      <w:pPr>
        <w:rPr>
          <w:rFonts w:cs="Arial"/>
          <w:szCs w:val="20"/>
        </w:rPr>
      </w:pPr>
      <w:r w:rsidRPr="003B65D9">
        <w:t xml:space="preserve">Οι εκτιμήσεις των δαπανών για το έτος 2025 ανέρχονται στο ποσό των 836 εκατ. ευρώ. </w:t>
      </w:r>
      <w:r w:rsidRPr="003B65D9">
        <w:rPr>
          <w:rFonts w:cs="Arial"/>
          <w:szCs w:val="20"/>
        </w:rPr>
        <w:t xml:space="preserve">Κατά το έτος 2025 ο φορέας ενισχύθηκε με </w:t>
      </w:r>
      <w:r w:rsidR="00156581">
        <w:rPr>
          <w:rFonts w:cs="Arial"/>
          <w:szCs w:val="20"/>
        </w:rPr>
        <w:t xml:space="preserve">επιπλέον </w:t>
      </w:r>
      <w:r w:rsidRPr="003B65D9">
        <w:rPr>
          <w:rFonts w:cs="Arial"/>
          <w:szCs w:val="20"/>
        </w:rPr>
        <w:t>πιστώσεις ύψους 58 εκατ. ευρώ για την κάλυψη δαπανών της αντιπυρικής περιόδου</w:t>
      </w:r>
      <w:r w:rsidR="00156581">
        <w:rPr>
          <w:rFonts w:cs="Arial"/>
          <w:szCs w:val="20"/>
        </w:rPr>
        <w:t>,</w:t>
      </w:r>
      <w:r w:rsidRPr="003B65D9">
        <w:rPr>
          <w:rFonts w:cs="Arial"/>
          <w:szCs w:val="20"/>
        </w:rPr>
        <w:t xml:space="preserve"> συμπεριλαμβανομένων και των μισθωμάτων ενα</w:t>
      </w:r>
      <w:r w:rsidR="00A63207">
        <w:rPr>
          <w:rFonts w:cs="Arial"/>
          <w:szCs w:val="20"/>
        </w:rPr>
        <w:t>έριων</w:t>
      </w:r>
      <w:r w:rsidRPr="003B65D9">
        <w:rPr>
          <w:rFonts w:cs="Arial"/>
          <w:szCs w:val="20"/>
        </w:rPr>
        <w:t xml:space="preserve"> μέσων</w:t>
      </w:r>
      <w:r w:rsidR="00156581">
        <w:rPr>
          <w:rFonts w:cs="Arial"/>
          <w:szCs w:val="20"/>
        </w:rPr>
        <w:t>,</w:t>
      </w:r>
      <w:r w:rsidRPr="003B65D9">
        <w:rPr>
          <w:rFonts w:cs="Arial"/>
          <w:szCs w:val="20"/>
        </w:rPr>
        <w:t xml:space="preserve"> καθώς και με πιστώσεις ύψους 9 εκατ. ευρώ για τις ανάγκες της Γενικής Γραμματείας </w:t>
      </w:r>
      <w:r w:rsidR="00A63207">
        <w:rPr>
          <w:rFonts w:cs="Arial"/>
          <w:szCs w:val="20"/>
        </w:rPr>
        <w:t xml:space="preserve">Αποκατάστασης </w:t>
      </w:r>
      <w:r w:rsidRPr="003B65D9">
        <w:rPr>
          <w:rFonts w:cs="Arial"/>
          <w:szCs w:val="20"/>
        </w:rPr>
        <w:t>Φυσικών Καταστροφών</w:t>
      </w:r>
      <w:r w:rsidR="00A63207">
        <w:rPr>
          <w:rFonts w:cs="Arial"/>
          <w:szCs w:val="20"/>
        </w:rPr>
        <w:t xml:space="preserve"> και Κρατικής Αρωγής</w:t>
      </w:r>
      <w:r w:rsidRPr="003B65D9">
        <w:rPr>
          <w:rFonts w:cs="Arial"/>
          <w:szCs w:val="20"/>
        </w:rPr>
        <w:t>. Επιπλέον</w:t>
      </w:r>
      <w:r w:rsidR="00A63207">
        <w:rPr>
          <w:rFonts w:cs="Arial"/>
          <w:szCs w:val="20"/>
        </w:rPr>
        <w:t>,</w:t>
      </w:r>
      <w:r w:rsidRPr="003B65D9">
        <w:rPr>
          <w:rFonts w:cs="Arial"/>
          <w:szCs w:val="20"/>
        </w:rPr>
        <w:t xml:space="preserve"> διατέθηκαν πιστώσεις για την εύρυθμη λειτουργία του φορέα στο σύνολό του.</w:t>
      </w:r>
    </w:p>
    <w:p w14:paraId="395784D1" w14:textId="31A57BFD" w:rsidR="003B65D9" w:rsidRPr="003B65D9" w:rsidRDefault="003B65D9" w:rsidP="003B65D9">
      <w:r w:rsidRPr="003B65D9">
        <w:t xml:space="preserve">Στον τακτικό προϋπολογισμό του έτους 2026 προβλέπονται δαπάνες ύψους 856 εκατ. ευρώ, στις οποίες περιλαμβάνονται συνολικές πιστώσεις ύψους 156 εκατ. ευρώ για τις μισθώσεις εναέριων μέσων της αντιπυρικής περιόδου και </w:t>
      </w:r>
      <w:r w:rsidR="00A63207">
        <w:t xml:space="preserve">για </w:t>
      </w:r>
      <w:r w:rsidRPr="003B65D9">
        <w:t>τον Εθνικό Μηχανισμό Εναέριας Έρευνας και Διάσωσης καθώς και πιστώσεις ύψους 11 εκατ. ευρώ για τη Γενική Γραμματεία Αποκατάστασης Φυσικών Καταστροφών και Κρατικής Αρωγής.</w:t>
      </w:r>
    </w:p>
    <w:p w14:paraId="0D3920A9" w14:textId="11B18EE5" w:rsidR="00E90E65" w:rsidRPr="00C833C6" w:rsidRDefault="004C1F9C" w:rsidP="00E90E65">
      <w:pPr>
        <w:rPr>
          <w:rFonts w:cs="Arial"/>
          <w:szCs w:val="20"/>
        </w:rPr>
      </w:pPr>
      <w:r w:rsidRPr="00711F5F">
        <w:rPr>
          <w:rFonts w:cs="Arial"/>
          <w:szCs w:val="20"/>
        </w:rPr>
        <w:t>Οι πιστώσεις του προϋπολογισμού δημοσίων επενδύσεων του Υπουργείου έτους 202</w:t>
      </w:r>
      <w:r>
        <w:rPr>
          <w:rFonts w:cs="Arial"/>
          <w:szCs w:val="20"/>
        </w:rPr>
        <w:t>6</w:t>
      </w:r>
      <w:r w:rsidRPr="00711F5F">
        <w:rPr>
          <w:rFonts w:cs="Arial"/>
          <w:szCs w:val="20"/>
        </w:rPr>
        <w:t xml:space="preserve"> ανέρχονται σ</w:t>
      </w:r>
      <w:r>
        <w:rPr>
          <w:rFonts w:cs="Arial"/>
          <w:szCs w:val="20"/>
        </w:rPr>
        <w:t>ε</w:t>
      </w:r>
      <w:r w:rsidRPr="00711F5F">
        <w:rPr>
          <w:rFonts w:cs="Arial"/>
          <w:szCs w:val="20"/>
        </w:rPr>
        <w:t xml:space="preserve"> </w:t>
      </w:r>
      <w:r>
        <w:rPr>
          <w:rFonts w:cs="Arial"/>
          <w:szCs w:val="20"/>
        </w:rPr>
        <w:t>582</w:t>
      </w:r>
      <w:r w:rsidRPr="00711F5F">
        <w:rPr>
          <w:rFonts w:cs="Arial"/>
          <w:szCs w:val="20"/>
        </w:rPr>
        <w:t xml:space="preserve"> εκατ. ευρώ</w:t>
      </w:r>
      <w:r>
        <w:rPr>
          <w:rFonts w:cs="Arial"/>
          <w:szCs w:val="20"/>
        </w:rPr>
        <w:t xml:space="preserve">, εκ των οποίων </w:t>
      </w:r>
      <w:r w:rsidRPr="00711F5F">
        <w:rPr>
          <w:rFonts w:cs="Arial"/>
          <w:szCs w:val="20"/>
        </w:rPr>
        <w:t xml:space="preserve">ποσό ύψους </w:t>
      </w:r>
      <w:r>
        <w:rPr>
          <w:rFonts w:cs="Arial"/>
          <w:szCs w:val="20"/>
        </w:rPr>
        <w:t>290</w:t>
      </w:r>
      <w:r w:rsidRPr="00711F5F">
        <w:rPr>
          <w:rFonts w:cs="Arial"/>
          <w:szCs w:val="20"/>
        </w:rPr>
        <w:t xml:space="preserve"> εκατ. ευρώ θα διατεθεί</w:t>
      </w:r>
      <w:r>
        <w:rPr>
          <w:rFonts w:cs="Arial"/>
          <w:szCs w:val="20"/>
        </w:rPr>
        <w:t xml:space="preserve"> </w:t>
      </w:r>
      <w:r w:rsidRPr="00711F5F">
        <w:rPr>
          <w:rFonts w:cs="Arial"/>
          <w:szCs w:val="20"/>
        </w:rPr>
        <w:t>από το ΤΑΑ για τη χρηματοδότηση επιμέρους δράσεων του Υπουργείου.</w:t>
      </w:r>
    </w:p>
    <w:p w14:paraId="6D9F6613" w14:textId="77777777" w:rsidR="002339BB" w:rsidRPr="00123F18" w:rsidRDefault="002339BB" w:rsidP="00F27406">
      <w:pPr>
        <w:spacing w:before="240"/>
        <w:rPr>
          <w:rFonts w:cs="Arial"/>
          <w:b/>
          <w:szCs w:val="20"/>
        </w:rPr>
      </w:pPr>
      <w:r w:rsidRPr="00123F18">
        <w:rPr>
          <w:rFonts w:cs="Arial"/>
          <w:b/>
          <w:szCs w:val="20"/>
        </w:rPr>
        <w:t>Αποκεντρωμένες</w:t>
      </w:r>
      <w:r w:rsidR="00F67FDB" w:rsidRPr="00123F18">
        <w:rPr>
          <w:rFonts w:cs="Arial"/>
          <w:b/>
          <w:szCs w:val="20"/>
        </w:rPr>
        <w:t xml:space="preserve"> Διοικήσεις</w:t>
      </w:r>
    </w:p>
    <w:p w14:paraId="71F78326" w14:textId="029760CB" w:rsidR="0015332B" w:rsidRDefault="0015332B" w:rsidP="0015332B">
      <w:r w:rsidRPr="00E545A6">
        <w:t>Οι πιστώσεις του τακτικού προϋπολογισμού των Αποκεντρωμένων Διοικήσεων καλύπτουν, μεταξύ άλλων, τις δαπάνες για:</w:t>
      </w:r>
    </w:p>
    <w:p w14:paraId="3F6F33E1" w14:textId="41618E14" w:rsidR="0015332B" w:rsidRPr="0015332B" w:rsidRDefault="0015332B" w:rsidP="0015332B">
      <w:pPr>
        <w:numPr>
          <w:ilvl w:val="0"/>
          <w:numId w:val="1"/>
        </w:numPr>
        <w:spacing w:before="120" w:after="60"/>
        <w:ind w:left="568" w:hanging="284"/>
        <w:rPr>
          <w:rFonts w:cs="Arial"/>
        </w:rPr>
      </w:pPr>
      <w:r w:rsidRPr="0015332B">
        <w:rPr>
          <w:rFonts w:cs="Arial"/>
        </w:rPr>
        <w:t>τις υπηρεσίες που αφορούν σε θέματα αλλοδαπών και μετανάστευσης και</w:t>
      </w:r>
    </w:p>
    <w:p w14:paraId="282607F2" w14:textId="1629BF7C" w:rsidR="0015332B" w:rsidRPr="00C52FBB" w:rsidRDefault="0015332B" w:rsidP="00C52FBB">
      <w:pPr>
        <w:numPr>
          <w:ilvl w:val="0"/>
          <w:numId w:val="1"/>
        </w:numPr>
        <w:spacing w:before="60"/>
        <w:ind w:left="568" w:hanging="284"/>
        <w:rPr>
          <w:rFonts w:cs="Arial"/>
        </w:rPr>
      </w:pPr>
      <w:r w:rsidRPr="00C52FBB">
        <w:rPr>
          <w:rFonts w:cs="Arial"/>
        </w:rPr>
        <w:t>τη χωροταξία, την αγροτική και την περιβαλλοντική πολιτική.</w:t>
      </w:r>
    </w:p>
    <w:p w14:paraId="2EBE8544" w14:textId="10118511" w:rsidR="00FD46BC" w:rsidRPr="00765502" w:rsidRDefault="00844F56" w:rsidP="00C52FBB">
      <w:pPr>
        <w:pStyle w:val="5"/>
        <w:keepNext w:val="0"/>
      </w:pPr>
      <w:bookmarkStart w:id="371" w:name="_Toc214473766"/>
      <w:r>
        <w:t xml:space="preserve">Αναπτυξιακό </w:t>
      </w:r>
      <w:r w:rsidR="00FD46BC" w:rsidRPr="00765502">
        <w:t>Πρόγραμμα Δημοσίων Επενδύσεων</w:t>
      </w:r>
      <w:bookmarkEnd w:id="371"/>
    </w:p>
    <w:p w14:paraId="6369A07F" w14:textId="3733AE18" w:rsidR="00B4008A" w:rsidRDefault="00B4008A" w:rsidP="004C69B7">
      <w:r>
        <w:t>Το ΑΠΔΕ αποτελεί για το κράτος βασικό μέσο άσκησης πολιτικής συμβάλλοντας καθοριστικά στην επίτευξη σημαντικών ρυθμών ανάπτυξης της ελληνικής οικονομίας</w:t>
      </w:r>
      <w:r w:rsidRPr="001A6DFA">
        <w:t>,</w:t>
      </w:r>
      <w:r>
        <w:t xml:space="preserve"> ώστε να μπορεί να ανταποκριθεί στις σύγχρονες προκλήσεις.</w:t>
      </w:r>
    </w:p>
    <w:p w14:paraId="663F10CF" w14:textId="7E6AFADC" w:rsidR="00B4008A" w:rsidRDefault="00B4008A" w:rsidP="004C69B7">
      <w:r>
        <w:t>Οι κύριοι αναπτυξιακοί τομείς που ενισχύονται με το ΑΠΔΕ είναι το περιβάλλον, οι μεταφορές, η ανταγωνιστικότητα, η ανάπτυξη ανθρώπινου κεφαλαίου, η κοινωνική συνοχή, η ενέργεια, ο ψηφιακός μετασχηματισμός και η πράσινη μετάβαση, η δίκαιη αναπτυξιακή μετάβαση, η αλιεία</w:t>
      </w:r>
      <w:r w:rsidR="007F4C38">
        <w:t xml:space="preserve">, </w:t>
      </w:r>
      <w:r>
        <w:t>η υδατοκαλλιέργεια</w:t>
      </w:r>
      <w:r w:rsidRPr="007F3B52">
        <w:t xml:space="preserve"> και η αυτοδιοίκηση μέσω της στήριξης των επενδυτικών της προγραμμάτων</w:t>
      </w:r>
      <w:r>
        <w:t xml:space="preserve">. Επιπλέον, ενισχύονται πολιτικές του κράτους για τη συνέχιση και την επέκταση της λειτουργίας δομών </w:t>
      </w:r>
      <w:r>
        <w:lastRenderedPageBreak/>
        <w:t xml:space="preserve">κοινωνικής πρόνοιας, τη χρηματοδότηση προγραμμάτων για τη </w:t>
      </w:r>
      <w:r w:rsidR="00A71898">
        <w:t>διαχείριση</w:t>
      </w:r>
      <w:r>
        <w:t xml:space="preserve"> </w:t>
      </w:r>
      <w:r w:rsidR="007F4C38">
        <w:t>ε</w:t>
      </w:r>
      <w:r>
        <w:t>κτ</w:t>
      </w:r>
      <w:r w:rsidR="007F4C38">
        <w:t>ά</w:t>
      </w:r>
      <w:r>
        <w:t>κτων αναγκών καθώς και για την αντιμετώπιση των επιπτώσεων των φυσικών καταστροφών.</w:t>
      </w:r>
    </w:p>
    <w:p w14:paraId="1C74CBE3" w14:textId="414F9588" w:rsidR="00B4008A" w:rsidRDefault="00B4008A" w:rsidP="004C69B7">
      <w:r>
        <w:t xml:space="preserve">Βασική πηγή εσόδων για τη χρηματοδότηση των έργων του ΑΠΔΕ, πέραν των εθνικών πόρων, αποτελούν οι εισροές από την ΕΕ και ειδικότερα από το Ευρωπαϊκό Ταμείο Περιφερειακής Ανάπτυξης (ΕΤΠΑ), το Ταμείο Συνοχής, το Ευρωπαϊκό </w:t>
      </w:r>
      <w:r w:rsidRPr="00A57CD4">
        <w:t>Κοινωνικό Ταμείο (ΕΚΤ), το Ταμείο Δίκαιης</w:t>
      </w:r>
      <w:r>
        <w:t xml:space="preserve"> Μετάβασης (ΤΔΜ), το Ευρωπαϊκό Γεωργικό Ταμείο Εγγυήσεων (ΕΓΤΕ), το Ευρωπαϊκό Γεωργικό Ταμείο Αγροτικής Ανάπτυξης (ΕΓΤΑΑ), το Ευρωπαϊκό Ταμείο Θάλασσας, Αλιείας και Υδατοκαλλιέργειας (ΕΤΘΑΥ)</w:t>
      </w:r>
      <w:r w:rsidR="007C3007">
        <w:t xml:space="preserve">, </w:t>
      </w:r>
      <w:r>
        <w:t>τα Ταμεία Μετανάστευσης και Εσωτερικών Υποθέσεων (ΤΑΜΕΥ) κ.λπ.</w:t>
      </w:r>
    </w:p>
    <w:p w14:paraId="47BE9284" w14:textId="62742E9E" w:rsidR="00B4008A" w:rsidRDefault="00B4008A" w:rsidP="004C69B7">
      <w:r w:rsidRPr="002F0E5B">
        <w:t>Επιπρόσθετα, σημαντικοί πόροι διατίθενται από το ΤΑ</w:t>
      </w:r>
      <w:r w:rsidR="005A602A" w:rsidRPr="002F0E5B">
        <w:t>Α</w:t>
      </w:r>
      <w:r w:rsidR="007C3007" w:rsidRPr="002F0E5B">
        <w:t xml:space="preserve"> </w:t>
      </w:r>
      <w:r w:rsidRPr="002F0E5B">
        <w:t xml:space="preserve">στο πλαίσιο του Εθνικού Σχεδίου Ανάκαμψης και Ανθεκτικότητας «Ελλάδα 2.0» για τη χρηματοδότηση, με τη μορφή επιχορηγήσεων ή μέσω δανειοδοτήσεων, δράσεων στους τομείς της πράσινης και </w:t>
      </w:r>
      <w:r w:rsidR="007C3007" w:rsidRPr="002F0E5B">
        <w:t xml:space="preserve">της </w:t>
      </w:r>
      <w:r w:rsidRPr="002F0E5B">
        <w:t>ψηφιακής μετάβασης,</w:t>
      </w:r>
      <w:r w:rsidR="005A602A" w:rsidRPr="002F0E5B">
        <w:t xml:space="preserve"> των δεξιοτήτων με γνώμονα την κοινωνική συνοχή</w:t>
      </w:r>
      <w:r w:rsidR="002F0E5B">
        <w:t xml:space="preserve"> και</w:t>
      </w:r>
      <w:r w:rsidRPr="002F0E5B">
        <w:t xml:space="preserve"> της απασχόλησης</w:t>
      </w:r>
      <w:r w:rsidR="002F0E5B">
        <w:t xml:space="preserve"> καθώς και</w:t>
      </w:r>
      <w:r w:rsidRPr="002F0E5B">
        <w:t xml:space="preserve"> των ιδιωτικών επενδύσεων και του μετασχηματισμού της οικονομίας.</w:t>
      </w:r>
    </w:p>
    <w:p w14:paraId="3665FED3" w14:textId="77777777" w:rsidR="00B4008A" w:rsidRPr="00456B28" w:rsidRDefault="00B4008A" w:rsidP="00B4008A">
      <w:pPr>
        <w:spacing w:before="240"/>
        <w:rPr>
          <w:rFonts w:cs="Arial"/>
          <w:b/>
          <w:szCs w:val="20"/>
        </w:rPr>
      </w:pPr>
      <w:r w:rsidRPr="00456B28">
        <w:rPr>
          <w:rFonts w:cs="Arial"/>
          <w:b/>
          <w:szCs w:val="20"/>
        </w:rPr>
        <w:t>Διαχρονική εξέλιξη του προϋπολογισμού δημοσίων επενδύσεων</w:t>
      </w:r>
    </w:p>
    <w:p w14:paraId="17E88280" w14:textId="74BD4A45" w:rsidR="00B4008A" w:rsidRDefault="00B4008A" w:rsidP="004C69B7">
      <w:pPr>
        <w:spacing w:after="240"/>
      </w:pPr>
      <w:r w:rsidRPr="00456B28">
        <w:t xml:space="preserve">Στον </w:t>
      </w:r>
      <w:r w:rsidRPr="00154C13">
        <w:t>παρακάτω πίνακα (</w:t>
      </w:r>
      <w:r w:rsidR="00E84A26" w:rsidRPr="00154C13">
        <w:fldChar w:fldCharType="begin"/>
      </w:r>
      <w:r w:rsidR="00E84A26" w:rsidRPr="00154C13">
        <w:instrText xml:space="preserve"> REF _Ref182583751 \h  \* MERGEFORMAT </w:instrText>
      </w:r>
      <w:r w:rsidR="00E84A26" w:rsidRPr="00154C13">
        <w:fldChar w:fldCharType="separate"/>
      </w:r>
      <w:r w:rsidR="00E15678" w:rsidRPr="00E15678">
        <w:t>Πίνακας 3.14</w:t>
      </w:r>
      <w:r w:rsidR="00E84A26" w:rsidRPr="00154C13">
        <w:fldChar w:fldCharType="end"/>
      </w:r>
      <w:r w:rsidR="002876D8" w:rsidRPr="00154C13">
        <w:t>.</w:t>
      </w:r>
      <w:r w:rsidRPr="00154C13">
        <w:t>)</w:t>
      </w:r>
      <w:r w:rsidRPr="00154C13">
        <w:rPr>
          <w:rFonts w:cs="Arial"/>
          <w:szCs w:val="20"/>
        </w:rPr>
        <w:t xml:space="preserve"> </w:t>
      </w:r>
      <w:r w:rsidRPr="00154C13">
        <w:t>παρουσιάζονται</w:t>
      </w:r>
      <w:r w:rsidRPr="00456B28">
        <w:t xml:space="preserve"> η διαχρονική εξέλιξη του προϋπολογισμού δημοσίων επενδύσεων από το 2015 έως </w:t>
      </w:r>
      <w:r w:rsidR="007C3007">
        <w:t xml:space="preserve">και </w:t>
      </w:r>
      <w:r w:rsidRPr="00456B28">
        <w:t>το 2026 και η ποσοστιαία αναλογία του στο ΑΕΠ της χώρας.</w:t>
      </w:r>
    </w:p>
    <w:tbl>
      <w:tblPr>
        <w:tblW w:w="7680" w:type="dxa"/>
        <w:jc w:val="center"/>
        <w:tblLook w:val="04A0" w:firstRow="1" w:lastRow="0" w:firstColumn="1" w:lastColumn="0" w:noHBand="0" w:noVBand="1"/>
      </w:tblPr>
      <w:tblGrid>
        <w:gridCol w:w="956"/>
        <w:gridCol w:w="957"/>
        <w:gridCol w:w="959"/>
        <w:gridCol w:w="956"/>
        <w:gridCol w:w="958"/>
        <w:gridCol w:w="978"/>
        <w:gridCol w:w="958"/>
        <w:gridCol w:w="958"/>
      </w:tblGrid>
      <w:tr w:rsidR="00644AEE" w:rsidRPr="0087393D" w14:paraId="7C8A4712" w14:textId="77777777" w:rsidTr="00926B01">
        <w:trPr>
          <w:cantSplit/>
          <w:trHeight w:val="510"/>
          <w:jc w:val="center"/>
        </w:trPr>
        <w:tc>
          <w:tcPr>
            <w:tcW w:w="7680" w:type="dxa"/>
            <w:gridSpan w:val="8"/>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2D3C475B" w14:textId="3948A635" w:rsidR="00644AEE" w:rsidRPr="0087393D" w:rsidRDefault="00307659" w:rsidP="0087393D">
            <w:pPr>
              <w:spacing w:after="0" w:line="276" w:lineRule="auto"/>
              <w:jc w:val="center"/>
              <w:rPr>
                <w:rFonts w:cs="Arial"/>
                <w:b/>
                <w:bCs/>
                <w:color w:val="000000"/>
                <w:sz w:val="18"/>
                <w:szCs w:val="16"/>
              </w:rPr>
            </w:pPr>
            <w:bookmarkStart w:id="372" w:name="_Ref182583751"/>
            <w:bookmarkStart w:id="373" w:name="_Toc214474052"/>
            <w:r w:rsidRPr="0087393D">
              <w:rPr>
                <w:rFonts w:cs="Arial"/>
                <w:b/>
                <w:sz w:val="18"/>
                <w:szCs w:val="16"/>
              </w:rPr>
              <w:t>Πίνακας 3.</w:t>
            </w:r>
            <w:r w:rsidRPr="0087393D">
              <w:rPr>
                <w:rFonts w:cs="Arial"/>
                <w:b/>
                <w:sz w:val="18"/>
                <w:szCs w:val="16"/>
              </w:rPr>
              <w:fldChar w:fldCharType="begin"/>
            </w:r>
            <w:r w:rsidRPr="0087393D">
              <w:rPr>
                <w:rFonts w:cs="Arial"/>
                <w:b/>
                <w:sz w:val="18"/>
                <w:szCs w:val="16"/>
              </w:rPr>
              <w:instrText xml:space="preserve"> SEQ Πίνακας_3. \* ARABIC </w:instrText>
            </w:r>
            <w:r w:rsidRPr="0087393D">
              <w:rPr>
                <w:rFonts w:cs="Arial"/>
                <w:b/>
                <w:sz w:val="18"/>
                <w:szCs w:val="16"/>
              </w:rPr>
              <w:fldChar w:fldCharType="separate"/>
            </w:r>
            <w:r w:rsidR="00E15678">
              <w:rPr>
                <w:rFonts w:cs="Arial"/>
                <w:b/>
                <w:noProof/>
                <w:sz w:val="18"/>
                <w:szCs w:val="16"/>
              </w:rPr>
              <w:t>14</w:t>
            </w:r>
            <w:r w:rsidRPr="0087393D">
              <w:rPr>
                <w:rFonts w:cs="Arial"/>
                <w:b/>
                <w:sz w:val="18"/>
                <w:szCs w:val="16"/>
              </w:rPr>
              <w:fldChar w:fldCharType="end"/>
            </w:r>
            <w:bookmarkEnd w:id="372"/>
            <w:r w:rsidRPr="0087393D">
              <w:rPr>
                <w:rFonts w:cs="Arial"/>
                <w:b/>
                <w:sz w:val="18"/>
                <w:szCs w:val="16"/>
              </w:rPr>
              <w:t>.</w:t>
            </w:r>
            <w:r w:rsidR="00644AEE" w:rsidRPr="0087393D">
              <w:rPr>
                <w:rFonts w:cs="Arial"/>
                <w:b/>
                <w:bCs/>
                <w:color w:val="000000"/>
                <w:sz w:val="18"/>
                <w:szCs w:val="16"/>
              </w:rPr>
              <w:t xml:space="preserve">: Διαχρονική εξέλιξη δαπανών </w:t>
            </w:r>
            <w:r w:rsidR="00395A57" w:rsidRPr="0087393D">
              <w:rPr>
                <w:rFonts w:cs="Arial"/>
                <w:b/>
                <w:bCs/>
                <w:color w:val="000000"/>
                <w:sz w:val="18"/>
                <w:szCs w:val="16"/>
              </w:rPr>
              <w:t xml:space="preserve">προϋπολογισμού δημοσίων επενδύσεων </w:t>
            </w:r>
            <w:r w:rsidR="00644AEE" w:rsidRPr="0087393D">
              <w:rPr>
                <w:rFonts w:cs="Arial"/>
                <w:b/>
                <w:bCs/>
                <w:color w:val="000000"/>
                <w:sz w:val="18"/>
                <w:szCs w:val="16"/>
              </w:rPr>
              <w:t>201</w:t>
            </w:r>
            <w:r w:rsidR="004D3126" w:rsidRPr="0087393D">
              <w:rPr>
                <w:rFonts w:cs="Arial"/>
                <w:b/>
                <w:bCs/>
                <w:color w:val="000000"/>
                <w:sz w:val="18"/>
                <w:szCs w:val="16"/>
              </w:rPr>
              <w:t>5</w:t>
            </w:r>
            <w:r w:rsidR="00644AEE" w:rsidRPr="0087393D">
              <w:rPr>
                <w:rFonts w:cs="Arial"/>
                <w:b/>
                <w:bCs/>
                <w:color w:val="000000"/>
                <w:sz w:val="18"/>
                <w:szCs w:val="16"/>
              </w:rPr>
              <w:t xml:space="preserve"> </w:t>
            </w:r>
            <w:r w:rsidRPr="0087393D">
              <w:rPr>
                <w:rFonts w:cs="Arial"/>
                <w:b/>
                <w:bCs/>
                <w:color w:val="000000"/>
                <w:sz w:val="18"/>
                <w:szCs w:val="16"/>
              </w:rPr>
              <w:t>-</w:t>
            </w:r>
            <w:r w:rsidR="00644AEE" w:rsidRPr="0087393D">
              <w:rPr>
                <w:rFonts w:cs="Arial"/>
                <w:b/>
                <w:bCs/>
                <w:color w:val="000000"/>
                <w:sz w:val="18"/>
                <w:szCs w:val="16"/>
              </w:rPr>
              <w:t xml:space="preserve"> 202</w:t>
            </w:r>
            <w:r w:rsidR="004D3126" w:rsidRPr="0087393D">
              <w:rPr>
                <w:rFonts w:cs="Arial"/>
                <w:b/>
                <w:bCs/>
                <w:color w:val="000000"/>
                <w:sz w:val="18"/>
                <w:szCs w:val="16"/>
              </w:rPr>
              <w:t>6</w:t>
            </w:r>
            <w:r w:rsidRPr="0087393D">
              <w:rPr>
                <w:rFonts w:cs="Arial"/>
                <w:b/>
                <w:bCs/>
                <w:color w:val="000000"/>
                <w:sz w:val="18"/>
                <w:szCs w:val="16"/>
              </w:rPr>
              <w:t xml:space="preserve"> (σε εκατ. ευρώ)</w:t>
            </w:r>
            <w:bookmarkEnd w:id="373"/>
          </w:p>
        </w:tc>
      </w:tr>
      <w:tr w:rsidR="00644AEE" w:rsidRPr="0087393D" w14:paraId="66917794" w14:textId="77777777" w:rsidTr="00926B01">
        <w:trPr>
          <w:cantSplit/>
          <w:jc w:val="center"/>
        </w:trPr>
        <w:tc>
          <w:tcPr>
            <w:tcW w:w="956" w:type="dxa"/>
            <w:vMerge w:val="restart"/>
            <w:tcBorders>
              <w:top w:val="single" w:sz="2" w:space="0" w:color="A6A6A6" w:themeColor="background1" w:themeShade="A6"/>
              <w:left w:val="single" w:sz="2" w:space="0" w:color="A6A6A6" w:themeColor="background1" w:themeShade="A6"/>
              <w:right w:val="nil"/>
            </w:tcBorders>
            <w:shd w:val="clear" w:color="auto" w:fill="F2F2F2" w:themeFill="background1" w:themeFillShade="F2"/>
            <w:vAlign w:val="center"/>
            <w:hideMark/>
          </w:tcPr>
          <w:p w14:paraId="3359C0BC"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Έτη</w:t>
            </w:r>
          </w:p>
        </w:tc>
        <w:tc>
          <w:tcPr>
            <w:tcW w:w="957" w:type="dxa"/>
            <w:vMerge w:val="restart"/>
            <w:tcBorders>
              <w:top w:val="single" w:sz="2" w:space="0" w:color="A6A6A6" w:themeColor="background1" w:themeShade="A6"/>
              <w:left w:val="nil"/>
              <w:right w:val="nil"/>
            </w:tcBorders>
            <w:shd w:val="clear" w:color="auto" w:fill="F2F2F2" w:themeFill="background1" w:themeFillShade="F2"/>
            <w:vAlign w:val="center"/>
            <w:hideMark/>
          </w:tcPr>
          <w:p w14:paraId="1543B44E"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Εθνικό</w:t>
            </w:r>
          </w:p>
        </w:tc>
        <w:tc>
          <w:tcPr>
            <w:tcW w:w="959" w:type="dxa"/>
            <w:vMerge w:val="restart"/>
            <w:tcBorders>
              <w:top w:val="single" w:sz="2" w:space="0" w:color="A6A6A6" w:themeColor="background1" w:themeShade="A6"/>
              <w:left w:val="nil"/>
              <w:right w:val="nil"/>
            </w:tcBorders>
            <w:shd w:val="clear" w:color="auto" w:fill="F2F2F2" w:themeFill="background1" w:themeFillShade="F2"/>
            <w:vAlign w:val="center"/>
            <w:hideMark/>
          </w:tcPr>
          <w:p w14:paraId="6168DD2A"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Συγχρ/νο</w:t>
            </w:r>
          </w:p>
        </w:tc>
        <w:tc>
          <w:tcPr>
            <w:tcW w:w="956" w:type="dxa"/>
            <w:vMerge w:val="restart"/>
            <w:tcBorders>
              <w:top w:val="single" w:sz="2" w:space="0" w:color="A6A6A6" w:themeColor="background1" w:themeShade="A6"/>
              <w:left w:val="nil"/>
              <w:right w:val="nil"/>
            </w:tcBorders>
            <w:shd w:val="clear" w:color="auto" w:fill="F2F2F2" w:themeFill="background1" w:themeFillShade="F2"/>
            <w:vAlign w:val="center"/>
            <w:hideMark/>
          </w:tcPr>
          <w:p w14:paraId="0EF98361"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ΤΑΑ</w:t>
            </w:r>
          </w:p>
        </w:tc>
        <w:tc>
          <w:tcPr>
            <w:tcW w:w="958" w:type="dxa"/>
            <w:vMerge w:val="restart"/>
            <w:tcBorders>
              <w:top w:val="single" w:sz="2" w:space="0" w:color="A6A6A6" w:themeColor="background1" w:themeShade="A6"/>
              <w:left w:val="nil"/>
              <w:right w:val="nil"/>
            </w:tcBorders>
            <w:shd w:val="clear" w:color="auto" w:fill="F2F2F2" w:themeFill="background1" w:themeFillShade="F2"/>
            <w:vAlign w:val="center"/>
            <w:hideMark/>
          </w:tcPr>
          <w:p w14:paraId="1531E207"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Σύνολο</w:t>
            </w:r>
          </w:p>
        </w:tc>
        <w:tc>
          <w:tcPr>
            <w:tcW w:w="978" w:type="dxa"/>
            <w:tcBorders>
              <w:top w:val="single" w:sz="2" w:space="0" w:color="A6A6A6" w:themeColor="background1" w:themeShade="A6"/>
              <w:left w:val="nil"/>
              <w:right w:val="nil"/>
            </w:tcBorders>
            <w:shd w:val="clear" w:color="auto" w:fill="F2F2F2" w:themeFill="background1" w:themeFillShade="F2"/>
            <w:vAlign w:val="center"/>
            <w:hideMark/>
          </w:tcPr>
          <w:p w14:paraId="35B8EC74"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Ετήσια</w:t>
            </w:r>
          </w:p>
        </w:tc>
        <w:tc>
          <w:tcPr>
            <w:tcW w:w="958" w:type="dxa"/>
            <w:vMerge w:val="restart"/>
            <w:tcBorders>
              <w:top w:val="single" w:sz="2" w:space="0" w:color="A6A6A6" w:themeColor="background1" w:themeShade="A6"/>
              <w:left w:val="nil"/>
              <w:right w:val="nil"/>
            </w:tcBorders>
            <w:shd w:val="clear" w:color="auto" w:fill="F2F2F2" w:themeFill="background1" w:themeFillShade="F2"/>
            <w:vAlign w:val="center"/>
            <w:hideMark/>
          </w:tcPr>
          <w:p w14:paraId="1253E3AD"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ΑΕΠ</w:t>
            </w:r>
          </w:p>
        </w:tc>
        <w:tc>
          <w:tcPr>
            <w:tcW w:w="958" w:type="dxa"/>
            <w:tcBorders>
              <w:top w:val="single" w:sz="2" w:space="0" w:color="A6A6A6" w:themeColor="background1" w:themeShade="A6"/>
              <w:left w:val="nil"/>
              <w:right w:val="single" w:sz="2" w:space="0" w:color="A6A6A6" w:themeColor="background1" w:themeShade="A6"/>
            </w:tcBorders>
            <w:shd w:val="clear" w:color="auto" w:fill="F2F2F2" w:themeFill="background1" w:themeFillShade="F2"/>
            <w:vAlign w:val="center"/>
            <w:hideMark/>
          </w:tcPr>
          <w:p w14:paraId="37522CE7"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Σύνολο</w:t>
            </w:r>
          </w:p>
        </w:tc>
      </w:tr>
      <w:tr w:rsidR="00644AEE" w:rsidRPr="0087393D" w14:paraId="417EC6A6" w14:textId="77777777" w:rsidTr="00926B01">
        <w:trPr>
          <w:cantSplit/>
          <w:jc w:val="center"/>
        </w:trPr>
        <w:tc>
          <w:tcPr>
            <w:tcW w:w="956" w:type="dxa"/>
            <w:vMerge/>
            <w:tcBorders>
              <w:top w:val="nil"/>
              <w:left w:val="single" w:sz="2" w:space="0" w:color="A6A6A6" w:themeColor="background1" w:themeShade="A6"/>
              <w:right w:val="nil"/>
            </w:tcBorders>
            <w:shd w:val="clear" w:color="auto" w:fill="F2F2F2" w:themeFill="background1" w:themeFillShade="F2"/>
            <w:vAlign w:val="center"/>
            <w:hideMark/>
          </w:tcPr>
          <w:p w14:paraId="75A5448D" w14:textId="77777777" w:rsidR="00644AEE" w:rsidRPr="0087393D" w:rsidRDefault="00644AEE" w:rsidP="0087393D">
            <w:pPr>
              <w:spacing w:after="0" w:line="276" w:lineRule="auto"/>
              <w:jc w:val="left"/>
              <w:rPr>
                <w:rFonts w:cs="Arial"/>
                <w:b/>
                <w:color w:val="000000"/>
                <w:sz w:val="16"/>
                <w:szCs w:val="16"/>
              </w:rPr>
            </w:pPr>
          </w:p>
        </w:tc>
        <w:tc>
          <w:tcPr>
            <w:tcW w:w="957" w:type="dxa"/>
            <w:vMerge/>
            <w:tcBorders>
              <w:top w:val="nil"/>
              <w:left w:val="nil"/>
              <w:right w:val="nil"/>
            </w:tcBorders>
            <w:shd w:val="clear" w:color="auto" w:fill="F2F2F2" w:themeFill="background1" w:themeFillShade="F2"/>
            <w:vAlign w:val="center"/>
            <w:hideMark/>
          </w:tcPr>
          <w:p w14:paraId="6043C29E" w14:textId="77777777" w:rsidR="00644AEE" w:rsidRPr="0087393D" w:rsidRDefault="00644AEE" w:rsidP="0087393D">
            <w:pPr>
              <w:spacing w:after="0" w:line="276" w:lineRule="auto"/>
              <w:jc w:val="left"/>
              <w:rPr>
                <w:rFonts w:cs="Arial"/>
                <w:b/>
                <w:color w:val="000000"/>
                <w:sz w:val="16"/>
                <w:szCs w:val="16"/>
              </w:rPr>
            </w:pPr>
          </w:p>
        </w:tc>
        <w:tc>
          <w:tcPr>
            <w:tcW w:w="959" w:type="dxa"/>
            <w:vMerge/>
            <w:tcBorders>
              <w:top w:val="nil"/>
              <w:left w:val="nil"/>
              <w:right w:val="nil"/>
            </w:tcBorders>
            <w:shd w:val="clear" w:color="auto" w:fill="F2F2F2" w:themeFill="background1" w:themeFillShade="F2"/>
            <w:vAlign w:val="center"/>
            <w:hideMark/>
          </w:tcPr>
          <w:p w14:paraId="228E08BB" w14:textId="77777777" w:rsidR="00644AEE" w:rsidRPr="0087393D" w:rsidRDefault="00644AEE" w:rsidP="0087393D">
            <w:pPr>
              <w:spacing w:after="0" w:line="276" w:lineRule="auto"/>
              <w:jc w:val="left"/>
              <w:rPr>
                <w:rFonts w:cs="Arial"/>
                <w:b/>
                <w:color w:val="000000"/>
                <w:sz w:val="16"/>
                <w:szCs w:val="16"/>
              </w:rPr>
            </w:pPr>
          </w:p>
        </w:tc>
        <w:tc>
          <w:tcPr>
            <w:tcW w:w="956" w:type="dxa"/>
            <w:vMerge/>
            <w:tcBorders>
              <w:top w:val="nil"/>
              <w:left w:val="nil"/>
              <w:right w:val="nil"/>
            </w:tcBorders>
            <w:shd w:val="clear" w:color="auto" w:fill="F2F2F2" w:themeFill="background1" w:themeFillShade="F2"/>
            <w:vAlign w:val="center"/>
            <w:hideMark/>
          </w:tcPr>
          <w:p w14:paraId="3DF1C5E6" w14:textId="77777777" w:rsidR="00644AEE" w:rsidRPr="0087393D" w:rsidRDefault="00644AEE" w:rsidP="0087393D">
            <w:pPr>
              <w:spacing w:after="0" w:line="276" w:lineRule="auto"/>
              <w:jc w:val="left"/>
              <w:rPr>
                <w:rFonts w:cs="Arial"/>
                <w:b/>
                <w:color w:val="000000"/>
                <w:sz w:val="16"/>
                <w:szCs w:val="16"/>
              </w:rPr>
            </w:pPr>
          </w:p>
        </w:tc>
        <w:tc>
          <w:tcPr>
            <w:tcW w:w="958" w:type="dxa"/>
            <w:vMerge/>
            <w:tcBorders>
              <w:top w:val="nil"/>
              <w:left w:val="nil"/>
              <w:right w:val="nil"/>
            </w:tcBorders>
            <w:shd w:val="clear" w:color="auto" w:fill="F2F2F2" w:themeFill="background1" w:themeFillShade="F2"/>
            <w:vAlign w:val="center"/>
            <w:hideMark/>
          </w:tcPr>
          <w:p w14:paraId="7F41EBD5" w14:textId="77777777" w:rsidR="00644AEE" w:rsidRPr="0087393D" w:rsidRDefault="00644AEE" w:rsidP="0087393D">
            <w:pPr>
              <w:spacing w:after="0" w:line="276" w:lineRule="auto"/>
              <w:jc w:val="left"/>
              <w:rPr>
                <w:rFonts w:cs="Arial"/>
                <w:b/>
                <w:color w:val="000000"/>
                <w:sz w:val="16"/>
                <w:szCs w:val="16"/>
              </w:rPr>
            </w:pPr>
          </w:p>
        </w:tc>
        <w:tc>
          <w:tcPr>
            <w:tcW w:w="978" w:type="dxa"/>
            <w:tcBorders>
              <w:top w:val="nil"/>
              <w:left w:val="nil"/>
              <w:right w:val="nil"/>
            </w:tcBorders>
            <w:shd w:val="clear" w:color="auto" w:fill="F2F2F2" w:themeFill="background1" w:themeFillShade="F2"/>
            <w:vAlign w:val="center"/>
            <w:hideMark/>
          </w:tcPr>
          <w:p w14:paraId="1F013E12"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Μεταβολή</w:t>
            </w:r>
          </w:p>
        </w:tc>
        <w:tc>
          <w:tcPr>
            <w:tcW w:w="958" w:type="dxa"/>
            <w:vMerge/>
            <w:tcBorders>
              <w:top w:val="nil"/>
              <w:left w:val="nil"/>
              <w:right w:val="nil"/>
            </w:tcBorders>
            <w:shd w:val="clear" w:color="auto" w:fill="F2F2F2" w:themeFill="background1" w:themeFillShade="F2"/>
            <w:vAlign w:val="center"/>
            <w:hideMark/>
          </w:tcPr>
          <w:p w14:paraId="0DB6FD67" w14:textId="77777777" w:rsidR="00644AEE" w:rsidRPr="0087393D" w:rsidRDefault="00644AEE" w:rsidP="0087393D">
            <w:pPr>
              <w:spacing w:after="0" w:line="276" w:lineRule="auto"/>
              <w:jc w:val="left"/>
              <w:rPr>
                <w:rFonts w:cs="Arial"/>
                <w:b/>
                <w:color w:val="000000"/>
                <w:sz w:val="16"/>
                <w:szCs w:val="16"/>
              </w:rPr>
            </w:pPr>
          </w:p>
        </w:tc>
        <w:tc>
          <w:tcPr>
            <w:tcW w:w="958" w:type="dxa"/>
            <w:tcBorders>
              <w:top w:val="nil"/>
              <w:left w:val="nil"/>
              <w:right w:val="single" w:sz="2" w:space="0" w:color="A6A6A6" w:themeColor="background1" w:themeShade="A6"/>
            </w:tcBorders>
            <w:shd w:val="clear" w:color="auto" w:fill="F2F2F2" w:themeFill="background1" w:themeFillShade="F2"/>
            <w:vAlign w:val="center"/>
            <w:hideMark/>
          </w:tcPr>
          <w:p w14:paraId="4024091F"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 xml:space="preserve">% ΑΕΠ </w:t>
            </w:r>
          </w:p>
        </w:tc>
      </w:tr>
      <w:tr w:rsidR="00644AEE" w:rsidRPr="0087393D" w14:paraId="052FEC1D" w14:textId="77777777" w:rsidTr="00926B01">
        <w:trPr>
          <w:cantSplit/>
          <w:jc w:val="center"/>
        </w:trPr>
        <w:tc>
          <w:tcPr>
            <w:tcW w:w="956" w:type="dxa"/>
            <w:vMerge/>
            <w:tcBorders>
              <w:top w:val="nil"/>
              <w:left w:val="single" w:sz="2" w:space="0" w:color="A6A6A6" w:themeColor="background1" w:themeShade="A6"/>
              <w:bottom w:val="single" w:sz="2" w:space="0" w:color="A6A6A6" w:themeColor="background1" w:themeShade="A6"/>
              <w:right w:val="nil"/>
            </w:tcBorders>
            <w:shd w:val="clear" w:color="auto" w:fill="F2F2F2" w:themeFill="background1" w:themeFillShade="F2"/>
            <w:vAlign w:val="center"/>
            <w:hideMark/>
          </w:tcPr>
          <w:p w14:paraId="3797A6B9" w14:textId="77777777" w:rsidR="00644AEE" w:rsidRPr="0087393D" w:rsidRDefault="00644AEE" w:rsidP="0087393D">
            <w:pPr>
              <w:spacing w:after="0" w:line="276" w:lineRule="auto"/>
              <w:jc w:val="left"/>
              <w:rPr>
                <w:rFonts w:cs="Arial"/>
                <w:b/>
                <w:color w:val="000000"/>
                <w:sz w:val="16"/>
                <w:szCs w:val="16"/>
              </w:rPr>
            </w:pPr>
          </w:p>
        </w:tc>
        <w:tc>
          <w:tcPr>
            <w:tcW w:w="957" w:type="dxa"/>
            <w:vMerge/>
            <w:tcBorders>
              <w:top w:val="nil"/>
              <w:left w:val="nil"/>
              <w:bottom w:val="single" w:sz="2" w:space="0" w:color="A6A6A6" w:themeColor="background1" w:themeShade="A6"/>
              <w:right w:val="nil"/>
            </w:tcBorders>
            <w:shd w:val="clear" w:color="auto" w:fill="F2F2F2" w:themeFill="background1" w:themeFillShade="F2"/>
            <w:vAlign w:val="center"/>
            <w:hideMark/>
          </w:tcPr>
          <w:p w14:paraId="4FE3C792" w14:textId="77777777" w:rsidR="00644AEE" w:rsidRPr="0087393D" w:rsidRDefault="00644AEE" w:rsidP="0087393D">
            <w:pPr>
              <w:spacing w:after="0" w:line="276" w:lineRule="auto"/>
              <w:jc w:val="left"/>
              <w:rPr>
                <w:rFonts w:cs="Arial"/>
                <w:b/>
                <w:color w:val="000000"/>
                <w:sz w:val="16"/>
                <w:szCs w:val="16"/>
              </w:rPr>
            </w:pPr>
          </w:p>
        </w:tc>
        <w:tc>
          <w:tcPr>
            <w:tcW w:w="959" w:type="dxa"/>
            <w:vMerge/>
            <w:tcBorders>
              <w:top w:val="nil"/>
              <w:left w:val="nil"/>
              <w:bottom w:val="single" w:sz="2" w:space="0" w:color="A6A6A6" w:themeColor="background1" w:themeShade="A6"/>
              <w:right w:val="nil"/>
            </w:tcBorders>
            <w:shd w:val="clear" w:color="auto" w:fill="F2F2F2" w:themeFill="background1" w:themeFillShade="F2"/>
            <w:vAlign w:val="center"/>
            <w:hideMark/>
          </w:tcPr>
          <w:p w14:paraId="706C0700" w14:textId="77777777" w:rsidR="00644AEE" w:rsidRPr="0087393D" w:rsidRDefault="00644AEE" w:rsidP="0087393D">
            <w:pPr>
              <w:spacing w:after="0" w:line="276" w:lineRule="auto"/>
              <w:jc w:val="left"/>
              <w:rPr>
                <w:rFonts w:cs="Arial"/>
                <w:b/>
                <w:color w:val="000000"/>
                <w:sz w:val="16"/>
                <w:szCs w:val="16"/>
              </w:rPr>
            </w:pPr>
          </w:p>
        </w:tc>
        <w:tc>
          <w:tcPr>
            <w:tcW w:w="956" w:type="dxa"/>
            <w:vMerge/>
            <w:tcBorders>
              <w:top w:val="nil"/>
              <w:left w:val="nil"/>
              <w:bottom w:val="single" w:sz="2" w:space="0" w:color="A6A6A6" w:themeColor="background1" w:themeShade="A6"/>
              <w:right w:val="nil"/>
            </w:tcBorders>
            <w:shd w:val="clear" w:color="auto" w:fill="F2F2F2" w:themeFill="background1" w:themeFillShade="F2"/>
            <w:vAlign w:val="center"/>
            <w:hideMark/>
          </w:tcPr>
          <w:p w14:paraId="7B557878" w14:textId="77777777" w:rsidR="00644AEE" w:rsidRPr="0087393D" w:rsidRDefault="00644AEE" w:rsidP="0087393D">
            <w:pPr>
              <w:spacing w:after="0" w:line="276" w:lineRule="auto"/>
              <w:jc w:val="left"/>
              <w:rPr>
                <w:rFonts w:cs="Arial"/>
                <w:b/>
                <w:color w:val="000000"/>
                <w:sz w:val="16"/>
                <w:szCs w:val="16"/>
              </w:rPr>
            </w:pPr>
          </w:p>
        </w:tc>
        <w:tc>
          <w:tcPr>
            <w:tcW w:w="958" w:type="dxa"/>
            <w:vMerge/>
            <w:tcBorders>
              <w:top w:val="nil"/>
              <w:left w:val="nil"/>
              <w:bottom w:val="single" w:sz="2" w:space="0" w:color="A6A6A6" w:themeColor="background1" w:themeShade="A6"/>
              <w:right w:val="nil"/>
            </w:tcBorders>
            <w:shd w:val="clear" w:color="auto" w:fill="F2F2F2" w:themeFill="background1" w:themeFillShade="F2"/>
            <w:vAlign w:val="center"/>
            <w:hideMark/>
          </w:tcPr>
          <w:p w14:paraId="18FB7BF9" w14:textId="77777777" w:rsidR="00644AEE" w:rsidRPr="0087393D" w:rsidRDefault="00644AEE" w:rsidP="0087393D">
            <w:pPr>
              <w:spacing w:after="0" w:line="276" w:lineRule="auto"/>
              <w:jc w:val="left"/>
              <w:rPr>
                <w:rFonts w:cs="Arial"/>
                <w:b/>
                <w:color w:val="000000"/>
                <w:sz w:val="16"/>
                <w:szCs w:val="16"/>
              </w:rPr>
            </w:pPr>
          </w:p>
        </w:tc>
        <w:tc>
          <w:tcPr>
            <w:tcW w:w="978" w:type="dxa"/>
            <w:tcBorders>
              <w:top w:val="nil"/>
              <w:left w:val="nil"/>
              <w:bottom w:val="single" w:sz="2" w:space="0" w:color="A6A6A6" w:themeColor="background1" w:themeShade="A6"/>
              <w:right w:val="nil"/>
            </w:tcBorders>
            <w:shd w:val="clear" w:color="auto" w:fill="F2F2F2" w:themeFill="background1" w:themeFillShade="F2"/>
            <w:vAlign w:val="center"/>
            <w:hideMark/>
          </w:tcPr>
          <w:p w14:paraId="02CFB3FC" w14:textId="77777777" w:rsidR="00644AEE" w:rsidRPr="0087393D" w:rsidRDefault="00644AEE" w:rsidP="0087393D">
            <w:pPr>
              <w:spacing w:after="0" w:line="276" w:lineRule="auto"/>
              <w:jc w:val="center"/>
              <w:rPr>
                <w:rFonts w:cs="Arial"/>
                <w:b/>
                <w:color w:val="000000"/>
                <w:sz w:val="16"/>
                <w:szCs w:val="16"/>
              </w:rPr>
            </w:pPr>
            <w:r w:rsidRPr="0087393D">
              <w:rPr>
                <w:rFonts w:cs="Arial"/>
                <w:b/>
                <w:color w:val="000000"/>
                <w:sz w:val="16"/>
                <w:szCs w:val="16"/>
              </w:rPr>
              <w:t>%</w:t>
            </w:r>
          </w:p>
        </w:tc>
        <w:tc>
          <w:tcPr>
            <w:tcW w:w="958" w:type="dxa"/>
            <w:vMerge/>
            <w:tcBorders>
              <w:top w:val="nil"/>
              <w:left w:val="nil"/>
              <w:bottom w:val="single" w:sz="2" w:space="0" w:color="A6A6A6" w:themeColor="background1" w:themeShade="A6"/>
              <w:right w:val="nil"/>
            </w:tcBorders>
            <w:shd w:val="clear" w:color="auto" w:fill="F2F2F2" w:themeFill="background1" w:themeFillShade="F2"/>
            <w:vAlign w:val="center"/>
            <w:hideMark/>
          </w:tcPr>
          <w:p w14:paraId="75388AAF" w14:textId="77777777" w:rsidR="00644AEE" w:rsidRPr="0087393D" w:rsidRDefault="00644AEE" w:rsidP="0087393D">
            <w:pPr>
              <w:spacing w:after="0" w:line="276" w:lineRule="auto"/>
              <w:jc w:val="left"/>
              <w:rPr>
                <w:rFonts w:cs="Arial"/>
                <w:b/>
                <w:color w:val="000000"/>
                <w:sz w:val="16"/>
                <w:szCs w:val="16"/>
              </w:rPr>
            </w:pPr>
          </w:p>
        </w:tc>
        <w:tc>
          <w:tcPr>
            <w:tcW w:w="958" w:type="dxa"/>
            <w:tcBorders>
              <w:top w:val="nil"/>
              <w:left w:val="nil"/>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152D4800" w14:textId="3C3071E8" w:rsidR="00644AEE" w:rsidRPr="0087393D" w:rsidRDefault="00644AEE" w:rsidP="0087393D">
            <w:pPr>
              <w:spacing w:after="0" w:line="276" w:lineRule="auto"/>
              <w:jc w:val="left"/>
              <w:rPr>
                <w:rFonts w:cs="Arial"/>
                <w:b/>
                <w:color w:val="000000"/>
                <w:sz w:val="16"/>
                <w:szCs w:val="16"/>
              </w:rPr>
            </w:pPr>
          </w:p>
        </w:tc>
      </w:tr>
      <w:tr w:rsidR="004D3126" w:rsidRPr="0087393D" w14:paraId="66934872" w14:textId="77777777" w:rsidTr="00926B01">
        <w:trPr>
          <w:cantSplit/>
          <w:jc w:val="center"/>
        </w:trPr>
        <w:tc>
          <w:tcPr>
            <w:tcW w:w="956" w:type="dxa"/>
            <w:tcBorders>
              <w:top w:val="single" w:sz="2" w:space="0" w:color="A6A6A6" w:themeColor="background1" w:themeShade="A6"/>
              <w:left w:val="single" w:sz="2" w:space="0" w:color="A6A6A6" w:themeColor="background1" w:themeShade="A6"/>
              <w:bottom w:val="nil"/>
              <w:right w:val="nil"/>
            </w:tcBorders>
            <w:shd w:val="clear" w:color="auto" w:fill="auto"/>
            <w:vAlign w:val="center"/>
          </w:tcPr>
          <w:p w14:paraId="1A81CC49" w14:textId="0F597897" w:rsidR="004D3126" w:rsidRPr="0087393D" w:rsidRDefault="004D3126" w:rsidP="0087393D">
            <w:pPr>
              <w:spacing w:after="0" w:line="276" w:lineRule="auto"/>
              <w:jc w:val="center"/>
              <w:rPr>
                <w:rFonts w:cs="Arial"/>
                <w:color w:val="000000"/>
                <w:sz w:val="16"/>
                <w:szCs w:val="16"/>
              </w:rPr>
            </w:pPr>
            <w:r w:rsidRPr="0087393D">
              <w:rPr>
                <w:rFonts w:cs="Arial"/>
                <w:sz w:val="16"/>
                <w:szCs w:val="16"/>
              </w:rPr>
              <w:t>2015</w:t>
            </w:r>
          </w:p>
        </w:tc>
        <w:tc>
          <w:tcPr>
            <w:tcW w:w="957" w:type="dxa"/>
            <w:tcBorders>
              <w:top w:val="single" w:sz="2" w:space="0" w:color="A6A6A6" w:themeColor="background1" w:themeShade="A6"/>
              <w:left w:val="nil"/>
              <w:bottom w:val="nil"/>
              <w:right w:val="nil"/>
            </w:tcBorders>
            <w:shd w:val="clear" w:color="auto" w:fill="auto"/>
            <w:vAlign w:val="center"/>
          </w:tcPr>
          <w:p w14:paraId="0086C565" w14:textId="7673F971" w:rsidR="004D3126" w:rsidRPr="0087393D" w:rsidRDefault="004D3126" w:rsidP="0087393D">
            <w:pPr>
              <w:spacing w:after="0" w:line="276" w:lineRule="auto"/>
              <w:jc w:val="right"/>
              <w:rPr>
                <w:rFonts w:cs="Arial"/>
                <w:color w:val="000000"/>
                <w:sz w:val="16"/>
                <w:szCs w:val="16"/>
              </w:rPr>
            </w:pPr>
            <w:r w:rsidRPr="0087393D">
              <w:rPr>
                <w:rFonts w:cs="Arial"/>
                <w:sz w:val="16"/>
                <w:szCs w:val="16"/>
              </w:rPr>
              <w:t>660</w:t>
            </w:r>
          </w:p>
        </w:tc>
        <w:tc>
          <w:tcPr>
            <w:tcW w:w="959" w:type="dxa"/>
            <w:tcBorders>
              <w:top w:val="single" w:sz="2" w:space="0" w:color="A6A6A6" w:themeColor="background1" w:themeShade="A6"/>
              <w:left w:val="nil"/>
              <w:bottom w:val="nil"/>
              <w:right w:val="nil"/>
            </w:tcBorders>
            <w:shd w:val="clear" w:color="auto" w:fill="auto"/>
            <w:vAlign w:val="center"/>
          </w:tcPr>
          <w:p w14:paraId="4D4F61FF" w14:textId="5A3553EB" w:rsidR="004D3126" w:rsidRPr="0087393D" w:rsidRDefault="004D3126" w:rsidP="0087393D">
            <w:pPr>
              <w:spacing w:after="0" w:line="276" w:lineRule="auto"/>
              <w:jc w:val="right"/>
              <w:rPr>
                <w:rFonts w:cs="Arial"/>
                <w:color w:val="000000"/>
                <w:sz w:val="16"/>
                <w:szCs w:val="16"/>
              </w:rPr>
            </w:pPr>
            <w:r w:rsidRPr="0087393D">
              <w:rPr>
                <w:rFonts w:cs="Arial"/>
                <w:sz w:val="16"/>
                <w:szCs w:val="16"/>
              </w:rPr>
              <w:t>5</w:t>
            </w:r>
            <w:r w:rsidRPr="0087393D">
              <w:rPr>
                <w:rFonts w:cs="Arial"/>
                <w:sz w:val="16"/>
                <w:szCs w:val="16"/>
                <w:lang w:val="en-US"/>
              </w:rPr>
              <w:t>.</w:t>
            </w:r>
            <w:r w:rsidRPr="0087393D">
              <w:rPr>
                <w:rFonts w:cs="Arial"/>
                <w:sz w:val="16"/>
                <w:szCs w:val="16"/>
              </w:rPr>
              <w:t>717</w:t>
            </w:r>
          </w:p>
        </w:tc>
        <w:tc>
          <w:tcPr>
            <w:tcW w:w="956" w:type="dxa"/>
            <w:tcBorders>
              <w:top w:val="single" w:sz="2" w:space="0" w:color="A6A6A6" w:themeColor="background1" w:themeShade="A6"/>
              <w:left w:val="nil"/>
              <w:bottom w:val="nil"/>
              <w:right w:val="nil"/>
            </w:tcBorders>
            <w:shd w:val="clear" w:color="auto" w:fill="auto"/>
            <w:vAlign w:val="center"/>
          </w:tcPr>
          <w:p w14:paraId="796F5737" w14:textId="77777777" w:rsidR="004D3126" w:rsidRPr="0087393D" w:rsidRDefault="004D3126" w:rsidP="0087393D">
            <w:pPr>
              <w:spacing w:after="0" w:line="276" w:lineRule="auto"/>
              <w:jc w:val="right"/>
              <w:rPr>
                <w:rFonts w:cs="Arial"/>
                <w:color w:val="000000"/>
                <w:sz w:val="16"/>
                <w:szCs w:val="16"/>
              </w:rPr>
            </w:pPr>
          </w:p>
        </w:tc>
        <w:tc>
          <w:tcPr>
            <w:tcW w:w="958" w:type="dxa"/>
            <w:tcBorders>
              <w:top w:val="single" w:sz="2" w:space="0" w:color="A6A6A6" w:themeColor="background1" w:themeShade="A6"/>
              <w:left w:val="nil"/>
              <w:bottom w:val="nil"/>
              <w:right w:val="nil"/>
            </w:tcBorders>
            <w:shd w:val="clear" w:color="auto" w:fill="auto"/>
            <w:vAlign w:val="center"/>
          </w:tcPr>
          <w:p w14:paraId="3F71CDA5" w14:textId="4AE13F8E" w:rsidR="004D3126" w:rsidRPr="0087393D" w:rsidRDefault="004D3126" w:rsidP="0087393D">
            <w:pPr>
              <w:spacing w:after="0" w:line="276" w:lineRule="auto"/>
              <w:jc w:val="right"/>
              <w:rPr>
                <w:rFonts w:cs="Arial"/>
                <w:color w:val="000000"/>
                <w:sz w:val="16"/>
                <w:szCs w:val="16"/>
              </w:rPr>
            </w:pPr>
            <w:r w:rsidRPr="0087393D">
              <w:rPr>
                <w:rFonts w:cs="Arial"/>
                <w:sz w:val="16"/>
                <w:szCs w:val="16"/>
              </w:rPr>
              <w:t>6.377</w:t>
            </w:r>
          </w:p>
        </w:tc>
        <w:tc>
          <w:tcPr>
            <w:tcW w:w="978" w:type="dxa"/>
            <w:tcBorders>
              <w:top w:val="single" w:sz="2" w:space="0" w:color="A6A6A6" w:themeColor="background1" w:themeShade="A6"/>
              <w:left w:val="nil"/>
              <w:bottom w:val="nil"/>
              <w:right w:val="nil"/>
            </w:tcBorders>
            <w:shd w:val="clear" w:color="auto" w:fill="auto"/>
            <w:vAlign w:val="center"/>
          </w:tcPr>
          <w:p w14:paraId="0BEB05BE" w14:textId="3E4FF49E" w:rsidR="004D3126" w:rsidRPr="0087393D" w:rsidRDefault="004D3126" w:rsidP="0087393D">
            <w:pPr>
              <w:spacing w:after="0" w:line="276" w:lineRule="auto"/>
              <w:jc w:val="right"/>
              <w:rPr>
                <w:rFonts w:cs="Arial"/>
                <w:color w:val="000000"/>
                <w:sz w:val="16"/>
                <w:szCs w:val="16"/>
              </w:rPr>
            </w:pPr>
            <w:r w:rsidRPr="0087393D">
              <w:rPr>
                <w:rFonts w:cs="Arial"/>
                <w:sz w:val="16"/>
                <w:szCs w:val="16"/>
              </w:rPr>
              <w:t>-3,25</w:t>
            </w:r>
          </w:p>
        </w:tc>
        <w:tc>
          <w:tcPr>
            <w:tcW w:w="958" w:type="dxa"/>
            <w:tcBorders>
              <w:top w:val="single" w:sz="2" w:space="0" w:color="A6A6A6" w:themeColor="background1" w:themeShade="A6"/>
              <w:left w:val="nil"/>
              <w:bottom w:val="nil"/>
              <w:right w:val="nil"/>
            </w:tcBorders>
            <w:shd w:val="clear" w:color="auto" w:fill="auto"/>
            <w:vAlign w:val="center"/>
          </w:tcPr>
          <w:p w14:paraId="5247F27C" w14:textId="1C68168F" w:rsidR="004D3126" w:rsidRPr="0087393D" w:rsidRDefault="004D3126" w:rsidP="0087393D">
            <w:pPr>
              <w:spacing w:after="0" w:line="276" w:lineRule="auto"/>
              <w:jc w:val="right"/>
              <w:rPr>
                <w:rFonts w:cs="Arial"/>
                <w:color w:val="000000"/>
                <w:sz w:val="16"/>
                <w:szCs w:val="16"/>
              </w:rPr>
            </w:pPr>
            <w:r w:rsidRPr="0087393D">
              <w:rPr>
                <w:rFonts w:cs="Arial"/>
                <w:sz w:val="16"/>
                <w:szCs w:val="16"/>
              </w:rPr>
              <w:t>175.363</w:t>
            </w:r>
          </w:p>
        </w:tc>
        <w:tc>
          <w:tcPr>
            <w:tcW w:w="958" w:type="dxa"/>
            <w:tcBorders>
              <w:top w:val="single" w:sz="2" w:space="0" w:color="A6A6A6" w:themeColor="background1" w:themeShade="A6"/>
              <w:left w:val="nil"/>
              <w:bottom w:val="nil"/>
              <w:right w:val="single" w:sz="2" w:space="0" w:color="A6A6A6" w:themeColor="background1" w:themeShade="A6"/>
            </w:tcBorders>
            <w:shd w:val="clear" w:color="auto" w:fill="auto"/>
            <w:vAlign w:val="center"/>
          </w:tcPr>
          <w:p w14:paraId="2D2E5C2F" w14:textId="60363886" w:rsidR="004D3126" w:rsidRPr="0087393D" w:rsidRDefault="004D3126" w:rsidP="0087393D">
            <w:pPr>
              <w:spacing w:after="0" w:line="276" w:lineRule="auto"/>
              <w:jc w:val="right"/>
              <w:rPr>
                <w:rFonts w:cs="Arial"/>
                <w:color w:val="000000"/>
                <w:sz w:val="16"/>
                <w:szCs w:val="16"/>
              </w:rPr>
            </w:pPr>
            <w:r w:rsidRPr="0087393D">
              <w:rPr>
                <w:rFonts w:cs="Arial"/>
                <w:sz w:val="16"/>
                <w:szCs w:val="16"/>
              </w:rPr>
              <w:t>3,64</w:t>
            </w:r>
          </w:p>
        </w:tc>
      </w:tr>
      <w:tr w:rsidR="004D3126" w:rsidRPr="0087393D" w14:paraId="2BA08537" w14:textId="77777777" w:rsidTr="00926B01">
        <w:trPr>
          <w:cantSplit/>
          <w:jc w:val="center"/>
        </w:trPr>
        <w:tc>
          <w:tcPr>
            <w:tcW w:w="956" w:type="dxa"/>
            <w:tcBorders>
              <w:top w:val="nil"/>
              <w:left w:val="single" w:sz="2" w:space="0" w:color="A6A6A6" w:themeColor="background1" w:themeShade="A6"/>
              <w:bottom w:val="nil"/>
              <w:right w:val="nil"/>
            </w:tcBorders>
            <w:shd w:val="clear" w:color="auto" w:fill="auto"/>
            <w:vAlign w:val="center"/>
          </w:tcPr>
          <w:p w14:paraId="3B4F214B" w14:textId="1B235EF3" w:rsidR="004D3126" w:rsidRPr="0087393D" w:rsidRDefault="004D3126" w:rsidP="0087393D">
            <w:pPr>
              <w:spacing w:after="0" w:line="276" w:lineRule="auto"/>
              <w:jc w:val="center"/>
              <w:rPr>
                <w:rFonts w:cs="Arial"/>
                <w:color w:val="000000"/>
                <w:sz w:val="16"/>
                <w:szCs w:val="16"/>
              </w:rPr>
            </w:pPr>
            <w:r w:rsidRPr="0087393D">
              <w:rPr>
                <w:rFonts w:cs="Arial"/>
                <w:sz w:val="16"/>
                <w:szCs w:val="16"/>
              </w:rPr>
              <w:t>2016</w:t>
            </w:r>
          </w:p>
        </w:tc>
        <w:tc>
          <w:tcPr>
            <w:tcW w:w="957" w:type="dxa"/>
            <w:tcBorders>
              <w:top w:val="nil"/>
              <w:left w:val="nil"/>
              <w:bottom w:val="nil"/>
              <w:right w:val="nil"/>
            </w:tcBorders>
            <w:shd w:val="clear" w:color="auto" w:fill="auto"/>
            <w:vAlign w:val="center"/>
          </w:tcPr>
          <w:p w14:paraId="65BD18F4" w14:textId="36FE43D4" w:rsidR="004D3126" w:rsidRPr="0087393D" w:rsidRDefault="004D3126" w:rsidP="0087393D">
            <w:pPr>
              <w:spacing w:after="0" w:line="276" w:lineRule="auto"/>
              <w:jc w:val="right"/>
              <w:rPr>
                <w:rFonts w:cs="Arial"/>
                <w:color w:val="000000"/>
                <w:sz w:val="16"/>
                <w:szCs w:val="16"/>
              </w:rPr>
            </w:pPr>
            <w:r w:rsidRPr="0087393D">
              <w:rPr>
                <w:rFonts w:cs="Arial"/>
                <w:sz w:val="16"/>
                <w:szCs w:val="16"/>
              </w:rPr>
              <w:t>810</w:t>
            </w:r>
          </w:p>
        </w:tc>
        <w:tc>
          <w:tcPr>
            <w:tcW w:w="959" w:type="dxa"/>
            <w:tcBorders>
              <w:top w:val="nil"/>
              <w:left w:val="nil"/>
              <w:bottom w:val="nil"/>
              <w:right w:val="nil"/>
            </w:tcBorders>
            <w:shd w:val="clear" w:color="auto" w:fill="auto"/>
            <w:vAlign w:val="center"/>
          </w:tcPr>
          <w:p w14:paraId="22733943" w14:textId="537CF4A8" w:rsidR="004D3126" w:rsidRPr="0087393D" w:rsidRDefault="004D3126" w:rsidP="0087393D">
            <w:pPr>
              <w:spacing w:after="0" w:line="276" w:lineRule="auto"/>
              <w:jc w:val="right"/>
              <w:rPr>
                <w:rFonts w:cs="Arial"/>
                <w:color w:val="000000"/>
                <w:sz w:val="16"/>
                <w:szCs w:val="16"/>
              </w:rPr>
            </w:pPr>
            <w:r w:rsidRPr="0087393D">
              <w:rPr>
                <w:rFonts w:cs="Arial"/>
                <w:sz w:val="16"/>
                <w:szCs w:val="16"/>
              </w:rPr>
              <w:t>5</w:t>
            </w:r>
            <w:r w:rsidRPr="0087393D">
              <w:rPr>
                <w:rFonts w:cs="Arial"/>
                <w:sz w:val="16"/>
                <w:szCs w:val="16"/>
                <w:lang w:val="en-US"/>
              </w:rPr>
              <w:t>.</w:t>
            </w:r>
            <w:r w:rsidRPr="0087393D">
              <w:rPr>
                <w:rFonts w:cs="Arial"/>
                <w:sz w:val="16"/>
                <w:szCs w:val="16"/>
              </w:rPr>
              <w:t>474</w:t>
            </w:r>
          </w:p>
        </w:tc>
        <w:tc>
          <w:tcPr>
            <w:tcW w:w="956" w:type="dxa"/>
            <w:tcBorders>
              <w:top w:val="nil"/>
              <w:left w:val="nil"/>
              <w:bottom w:val="nil"/>
              <w:right w:val="nil"/>
            </w:tcBorders>
            <w:shd w:val="clear" w:color="auto" w:fill="auto"/>
            <w:vAlign w:val="center"/>
          </w:tcPr>
          <w:p w14:paraId="3968730B" w14:textId="77777777" w:rsidR="004D3126" w:rsidRPr="0087393D" w:rsidRDefault="004D3126" w:rsidP="0087393D">
            <w:pPr>
              <w:spacing w:after="0" w:line="276" w:lineRule="auto"/>
              <w:jc w:val="right"/>
              <w:rPr>
                <w:rFonts w:cs="Arial"/>
                <w:color w:val="000000"/>
                <w:sz w:val="16"/>
                <w:szCs w:val="16"/>
              </w:rPr>
            </w:pPr>
          </w:p>
        </w:tc>
        <w:tc>
          <w:tcPr>
            <w:tcW w:w="958" w:type="dxa"/>
            <w:tcBorders>
              <w:top w:val="nil"/>
              <w:left w:val="nil"/>
              <w:bottom w:val="nil"/>
              <w:right w:val="nil"/>
            </w:tcBorders>
            <w:shd w:val="clear" w:color="auto" w:fill="auto"/>
            <w:vAlign w:val="center"/>
          </w:tcPr>
          <w:p w14:paraId="77122D35" w14:textId="7BC2A64C" w:rsidR="004D3126" w:rsidRPr="0087393D" w:rsidRDefault="004D3126" w:rsidP="0087393D">
            <w:pPr>
              <w:spacing w:after="0" w:line="276" w:lineRule="auto"/>
              <w:jc w:val="right"/>
              <w:rPr>
                <w:rFonts w:cs="Arial"/>
                <w:color w:val="000000"/>
                <w:sz w:val="16"/>
                <w:szCs w:val="16"/>
              </w:rPr>
            </w:pPr>
            <w:r w:rsidRPr="0087393D">
              <w:rPr>
                <w:rFonts w:cs="Arial"/>
                <w:sz w:val="16"/>
                <w:szCs w:val="16"/>
              </w:rPr>
              <w:t>6.284</w:t>
            </w:r>
          </w:p>
        </w:tc>
        <w:tc>
          <w:tcPr>
            <w:tcW w:w="978" w:type="dxa"/>
            <w:tcBorders>
              <w:top w:val="nil"/>
              <w:left w:val="nil"/>
              <w:bottom w:val="nil"/>
              <w:right w:val="nil"/>
            </w:tcBorders>
            <w:shd w:val="clear" w:color="auto" w:fill="auto"/>
            <w:vAlign w:val="center"/>
          </w:tcPr>
          <w:p w14:paraId="0F5D3DA6" w14:textId="7572A692" w:rsidR="004D3126" w:rsidRPr="0087393D" w:rsidRDefault="004D3126" w:rsidP="0087393D">
            <w:pPr>
              <w:spacing w:after="0" w:line="276" w:lineRule="auto"/>
              <w:jc w:val="right"/>
              <w:rPr>
                <w:rFonts w:cs="Arial"/>
                <w:color w:val="000000"/>
                <w:sz w:val="16"/>
                <w:szCs w:val="16"/>
              </w:rPr>
            </w:pPr>
            <w:r w:rsidRPr="0087393D">
              <w:rPr>
                <w:rFonts w:cs="Arial"/>
                <w:sz w:val="16"/>
                <w:szCs w:val="16"/>
              </w:rPr>
              <w:t>-1,47</w:t>
            </w:r>
          </w:p>
        </w:tc>
        <w:tc>
          <w:tcPr>
            <w:tcW w:w="958" w:type="dxa"/>
            <w:tcBorders>
              <w:top w:val="nil"/>
              <w:left w:val="nil"/>
              <w:bottom w:val="nil"/>
              <w:right w:val="nil"/>
            </w:tcBorders>
            <w:shd w:val="clear" w:color="auto" w:fill="auto"/>
            <w:vAlign w:val="center"/>
          </w:tcPr>
          <w:p w14:paraId="0712B24B" w14:textId="4A6D1DB5" w:rsidR="004D3126" w:rsidRPr="0087393D" w:rsidRDefault="004D3126" w:rsidP="0087393D">
            <w:pPr>
              <w:spacing w:after="0" w:line="276" w:lineRule="auto"/>
              <w:jc w:val="right"/>
              <w:rPr>
                <w:rFonts w:cs="Arial"/>
                <w:color w:val="000000"/>
                <w:sz w:val="16"/>
                <w:szCs w:val="16"/>
              </w:rPr>
            </w:pPr>
            <w:r w:rsidRPr="0087393D">
              <w:rPr>
                <w:rFonts w:cs="Arial"/>
                <w:sz w:val="16"/>
                <w:szCs w:val="16"/>
              </w:rPr>
              <w:t>174.448</w:t>
            </w:r>
          </w:p>
        </w:tc>
        <w:tc>
          <w:tcPr>
            <w:tcW w:w="958" w:type="dxa"/>
            <w:tcBorders>
              <w:top w:val="nil"/>
              <w:left w:val="nil"/>
              <w:bottom w:val="nil"/>
              <w:right w:val="single" w:sz="2" w:space="0" w:color="A6A6A6" w:themeColor="background1" w:themeShade="A6"/>
            </w:tcBorders>
            <w:shd w:val="clear" w:color="auto" w:fill="auto"/>
            <w:vAlign w:val="center"/>
          </w:tcPr>
          <w:p w14:paraId="734EA86E" w14:textId="57198D88" w:rsidR="004D3126" w:rsidRPr="0087393D" w:rsidRDefault="004D3126" w:rsidP="0087393D">
            <w:pPr>
              <w:spacing w:after="0" w:line="276" w:lineRule="auto"/>
              <w:jc w:val="right"/>
              <w:rPr>
                <w:rFonts w:cs="Arial"/>
                <w:color w:val="000000"/>
                <w:sz w:val="16"/>
                <w:szCs w:val="16"/>
              </w:rPr>
            </w:pPr>
            <w:r w:rsidRPr="0087393D">
              <w:rPr>
                <w:rFonts w:cs="Arial"/>
                <w:sz w:val="16"/>
                <w:szCs w:val="16"/>
              </w:rPr>
              <w:t>3,60</w:t>
            </w:r>
          </w:p>
        </w:tc>
      </w:tr>
      <w:tr w:rsidR="004D3126" w:rsidRPr="0087393D" w14:paraId="7FAAC181" w14:textId="77777777" w:rsidTr="00926B01">
        <w:trPr>
          <w:cantSplit/>
          <w:jc w:val="center"/>
        </w:trPr>
        <w:tc>
          <w:tcPr>
            <w:tcW w:w="956" w:type="dxa"/>
            <w:tcBorders>
              <w:top w:val="nil"/>
              <w:left w:val="single" w:sz="2" w:space="0" w:color="A6A6A6" w:themeColor="background1" w:themeShade="A6"/>
              <w:bottom w:val="nil"/>
              <w:right w:val="nil"/>
            </w:tcBorders>
            <w:shd w:val="clear" w:color="auto" w:fill="auto"/>
            <w:vAlign w:val="center"/>
          </w:tcPr>
          <w:p w14:paraId="48234F32" w14:textId="0A578003" w:rsidR="004D3126" w:rsidRPr="0087393D" w:rsidRDefault="004D3126" w:rsidP="0087393D">
            <w:pPr>
              <w:spacing w:after="0" w:line="276" w:lineRule="auto"/>
              <w:jc w:val="center"/>
              <w:rPr>
                <w:rFonts w:cs="Arial"/>
                <w:color w:val="000000"/>
                <w:sz w:val="16"/>
                <w:szCs w:val="16"/>
              </w:rPr>
            </w:pPr>
            <w:r w:rsidRPr="0087393D">
              <w:rPr>
                <w:rFonts w:cs="Arial"/>
                <w:sz w:val="16"/>
                <w:szCs w:val="16"/>
              </w:rPr>
              <w:t>2017</w:t>
            </w:r>
          </w:p>
        </w:tc>
        <w:tc>
          <w:tcPr>
            <w:tcW w:w="957" w:type="dxa"/>
            <w:tcBorders>
              <w:top w:val="nil"/>
              <w:left w:val="nil"/>
              <w:bottom w:val="nil"/>
              <w:right w:val="nil"/>
            </w:tcBorders>
            <w:shd w:val="clear" w:color="auto" w:fill="auto"/>
            <w:vAlign w:val="center"/>
          </w:tcPr>
          <w:p w14:paraId="0DA1FE32" w14:textId="59D6B241" w:rsidR="004D3126" w:rsidRPr="0087393D" w:rsidRDefault="004D3126" w:rsidP="0087393D">
            <w:pPr>
              <w:spacing w:after="0" w:line="276" w:lineRule="auto"/>
              <w:jc w:val="right"/>
              <w:rPr>
                <w:rFonts w:cs="Arial"/>
                <w:color w:val="000000"/>
                <w:sz w:val="16"/>
                <w:szCs w:val="16"/>
              </w:rPr>
            </w:pPr>
            <w:r w:rsidRPr="0087393D">
              <w:rPr>
                <w:rFonts w:cs="Arial"/>
                <w:sz w:val="16"/>
                <w:szCs w:val="16"/>
              </w:rPr>
              <w:t>1</w:t>
            </w:r>
            <w:r w:rsidRPr="0087393D">
              <w:rPr>
                <w:rFonts w:cs="Arial"/>
                <w:sz w:val="16"/>
                <w:szCs w:val="16"/>
                <w:lang w:val="en-US"/>
              </w:rPr>
              <w:t>.</w:t>
            </w:r>
            <w:r w:rsidRPr="0087393D">
              <w:rPr>
                <w:rFonts w:cs="Arial"/>
                <w:sz w:val="16"/>
                <w:szCs w:val="16"/>
              </w:rPr>
              <w:t>326</w:t>
            </w:r>
          </w:p>
        </w:tc>
        <w:tc>
          <w:tcPr>
            <w:tcW w:w="959" w:type="dxa"/>
            <w:tcBorders>
              <w:top w:val="nil"/>
              <w:left w:val="nil"/>
              <w:bottom w:val="nil"/>
              <w:right w:val="nil"/>
            </w:tcBorders>
            <w:shd w:val="clear" w:color="auto" w:fill="auto"/>
            <w:vAlign w:val="center"/>
          </w:tcPr>
          <w:p w14:paraId="1AA16D27" w14:textId="1C81462D" w:rsidR="004D3126" w:rsidRPr="0087393D" w:rsidRDefault="004D3126" w:rsidP="0087393D">
            <w:pPr>
              <w:spacing w:after="0" w:line="276" w:lineRule="auto"/>
              <w:jc w:val="right"/>
              <w:rPr>
                <w:rFonts w:cs="Arial"/>
                <w:color w:val="000000"/>
                <w:sz w:val="16"/>
                <w:szCs w:val="16"/>
              </w:rPr>
            </w:pPr>
            <w:r w:rsidRPr="0087393D">
              <w:rPr>
                <w:rFonts w:cs="Arial"/>
                <w:sz w:val="16"/>
                <w:szCs w:val="16"/>
              </w:rPr>
              <w:t>4</w:t>
            </w:r>
            <w:r w:rsidRPr="0087393D">
              <w:rPr>
                <w:rFonts w:cs="Arial"/>
                <w:sz w:val="16"/>
                <w:szCs w:val="16"/>
                <w:lang w:val="en-US"/>
              </w:rPr>
              <w:t>.</w:t>
            </w:r>
            <w:r w:rsidRPr="0087393D">
              <w:rPr>
                <w:rFonts w:cs="Arial"/>
                <w:sz w:val="16"/>
                <w:szCs w:val="16"/>
              </w:rPr>
              <w:t>624</w:t>
            </w:r>
          </w:p>
        </w:tc>
        <w:tc>
          <w:tcPr>
            <w:tcW w:w="956" w:type="dxa"/>
            <w:tcBorders>
              <w:top w:val="nil"/>
              <w:left w:val="nil"/>
              <w:bottom w:val="nil"/>
              <w:right w:val="nil"/>
            </w:tcBorders>
            <w:shd w:val="clear" w:color="auto" w:fill="auto"/>
            <w:vAlign w:val="center"/>
          </w:tcPr>
          <w:p w14:paraId="3DE5325B" w14:textId="77777777" w:rsidR="004D3126" w:rsidRPr="0087393D" w:rsidRDefault="004D3126" w:rsidP="0087393D">
            <w:pPr>
              <w:spacing w:after="0" w:line="276" w:lineRule="auto"/>
              <w:jc w:val="right"/>
              <w:rPr>
                <w:rFonts w:cs="Arial"/>
                <w:color w:val="000000"/>
                <w:sz w:val="16"/>
                <w:szCs w:val="16"/>
              </w:rPr>
            </w:pPr>
          </w:p>
        </w:tc>
        <w:tc>
          <w:tcPr>
            <w:tcW w:w="958" w:type="dxa"/>
            <w:tcBorders>
              <w:top w:val="nil"/>
              <w:left w:val="nil"/>
              <w:bottom w:val="nil"/>
              <w:right w:val="nil"/>
            </w:tcBorders>
            <w:shd w:val="clear" w:color="auto" w:fill="auto"/>
            <w:vAlign w:val="center"/>
          </w:tcPr>
          <w:p w14:paraId="1CC9A7F3" w14:textId="266DE8AB" w:rsidR="004D3126" w:rsidRPr="0087393D" w:rsidRDefault="004D3126" w:rsidP="0087393D">
            <w:pPr>
              <w:spacing w:after="0" w:line="276" w:lineRule="auto"/>
              <w:jc w:val="right"/>
              <w:rPr>
                <w:rFonts w:cs="Arial"/>
                <w:color w:val="000000"/>
                <w:sz w:val="16"/>
                <w:szCs w:val="16"/>
              </w:rPr>
            </w:pPr>
            <w:r w:rsidRPr="0087393D">
              <w:rPr>
                <w:rFonts w:cs="Arial"/>
                <w:sz w:val="16"/>
                <w:szCs w:val="16"/>
              </w:rPr>
              <w:t>5.950</w:t>
            </w:r>
          </w:p>
        </w:tc>
        <w:tc>
          <w:tcPr>
            <w:tcW w:w="978" w:type="dxa"/>
            <w:tcBorders>
              <w:top w:val="nil"/>
              <w:left w:val="nil"/>
              <w:bottom w:val="nil"/>
              <w:right w:val="nil"/>
            </w:tcBorders>
            <w:shd w:val="clear" w:color="auto" w:fill="auto"/>
            <w:vAlign w:val="center"/>
          </w:tcPr>
          <w:p w14:paraId="7F3CD56A" w14:textId="6183A410" w:rsidR="004D3126" w:rsidRPr="0087393D" w:rsidRDefault="004D3126" w:rsidP="0087393D">
            <w:pPr>
              <w:spacing w:after="0" w:line="276" w:lineRule="auto"/>
              <w:jc w:val="right"/>
              <w:rPr>
                <w:rFonts w:cs="Arial"/>
                <w:color w:val="000000"/>
                <w:sz w:val="16"/>
                <w:szCs w:val="16"/>
              </w:rPr>
            </w:pPr>
            <w:r w:rsidRPr="0087393D">
              <w:rPr>
                <w:rFonts w:cs="Arial"/>
                <w:sz w:val="16"/>
                <w:szCs w:val="16"/>
              </w:rPr>
              <w:t>-5,31</w:t>
            </w:r>
          </w:p>
        </w:tc>
        <w:tc>
          <w:tcPr>
            <w:tcW w:w="958" w:type="dxa"/>
            <w:tcBorders>
              <w:top w:val="nil"/>
              <w:left w:val="nil"/>
              <w:bottom w:val="nil"/>
              <w:right w:val="nil"/>
            </w:tcBorders>
            <w:shd w:val="clear" w:color="auto" w:fill="auto"/>
            <w:vAlign w:val="center"/>
          </w:tcPr>
          <w:p w14:paraId="5BD42FED" w14:textId="1239DFA5" w:rsidR="004D3126" w:rsidRPr="0087393D" w:rsidRDefault="004D3126" w:rsidP="0087393D">
            <w:pPr>
              <w:spacing w:after="0" w:line="276" w:lineRule="auto"/>
              <w:jc w:val="right"/>
              <w:rPr>
                <w:rFonts w:cs="Arial"/>
                <w:color w:val="000000"/>
                <w:sz w:val="16"/>
                <w:szCs w:val="16"/>
              </w:rPr>
            </w:pPr>
            <w:r w:rsidRPr="0087393D">
              <w:rPr>
                <w:rFonts w:cs="Arial"/>
                <w:sz w:val="16"/>
                <w:szCs w:val="16"/>
              </w:rPr>
              <w:t>177.378</w:t>
            </w:r>
          </w:p>
        </w:tc>
        <w:tc>
          <w:tcPr>
            <w:tcW w:w="958" w:type="dxa"/>
            <w:tcBorders>
              <w:top w:val="nil"/>
              <w:left w:val="nil"/>
              <w:bottom w:val="nil"/>
              <w:right w:val="single" w:sz="2" w:space="0" w:color="A6A6A6" w:themeColor="background1" w:themeShade="A6"/>
            </w:tcBorders>
            <w:shd w:val="clear" w:color="auto" w:fill="auto"/>
            <w:vAlign w:val="center"/>
          </w:tcPr>
          <w:p w14:paraId="763F9101" w14:textId="51456AA6" w:rsidR="004D3126" w:rsidRPr="0087393D" w:rsidRDefault="004D3126" w:rsidP="0087393D">
            <w:pPr>
              <w:spacing w:after="0" w:line="276" w:lineRule="auto"/>
              <w:jc w:val="right"/>
              <w:rPr>
                <w:rFonts w:cs="Arial"/>
                <w:color w:val="000000"/>
                <w:sz w:val="16"/>
                <w:szCs w:val="16"/>
              </w:rPr>
            </w:pPr>
            <w:r w:rsidRPr="0087393D">
              <w:rPr>
                <w:rFonts w:cs="Arial"/>
                <w:sz w:val="16"/>
                <w:szCs w:val="16"/>
              </w:rPr>
              <w:t>3,35</w:t>
            </w:r>
          </w:p>
        </w:tc>
      </w:tr>
      <w:tr w:rsidR="004D3126" w:rsidRPr="0087393D" w14:paraId="38FEB46C" w14:textId="77777777" w:rsidTr="00926B01">
        <w:trPr>
          <w:cantSplit/>
          <w:jc w:val="center"/>
        </w:trPr>
        <w:tc>
          <w:tcPr>
            <w:tcW w:w="956" w:type="dxa"/>
            <w:tcBorders>
              <w:top w:val="nil"/>
              <w:left w:val="single" w:sz="2" w:space="0" w:color="A6A6A6" w:themeColor="background1" w:themeShade="A6"/>
              <w:bottom w:val="nil"/>
              <w:right w:val="nil"/>
            </w:tcBorders>
            <w:shd w:val="clear" w:color="auto" w:fill="auto"/>
            <w:vAlign w:val="center"/>
          </w:tcPr>
          <w:p w14:paraId="54CE72AA" w14:textId="6F193480" w:rsidR="004D3126" w:rsidRPr="0087393D" w:rsidRDefault="004D3126" w:rsidP="0087393D">
            <w:pPr>
              <w:spacing w:after="0" w:line="276" w:lineRule="auto"/>
              <w:jc w:val="center"/>
              <w:rPr>
                <w:rFonts w:cs="Arial"/>
                <w:color w:val="000000"/>
                <w:sz w:val="16"/>
                <w:szCs w:val="16"/>
              </w:rPr>
            </w:pPr>
            <w:r w:rsidRPr="0087393D">
              <w:rPr>
                <w:rFonts w:cs="Arial"/>
                <w:sz w:val="16"/>
                <w:szCs w:val="16"/>
              </w:rPr>
              <w:t>2018</w:t>
            </w:r>
          </w:p>
        </w:tc>
        <w:tc>
          <w:tcPr>
            <w:tcW w:w="957" w:type="dxa"/>
            <w:tcBorders>
              <w:top w:val="nil"/>
              <w:left w:val="nil"/>
              <w:bottom w:val="nil"/>
              <w:right w:val="nil"/>
            </w:tcBorders>
            <w:shd w:val="clear" w:color="auto" w:fill="auto"/>
            <w:vAlign w:val="center"/>
          </w:tcPr>
          <w:p w14:paraId="0F11C6E4" w14:textId="34FFF64E" w:rsidR="004D3126" w:rsidRPr="0087393D" w:rsidRDefault="004D3126" w:rsidP="0087393D">
            <w:pPr>
              <w:spacing w:after="0" w:line="276" w:lineRule="auto"/>
              <w:jc w:val="right"/>
              <w:rPr>
                <w:rFonts w:cs="Arial"/>
                <w:color w:val="000000"/>
                <w:sz w:val="16"/>
                <w:szCs w:val="16"/>
              </w:rPr>
            </w:pPr>
            <w:r w:rsidRPr="0087393D">
              <w:rPr>
                <w:rFonts w:cs="Arial"/>
                <w:sz w:val="16"/>
                <w:szCs w:val="16"/>
              </w:rPr>
              <w:t>2</w:t>
            </w:r>
            <w:r w:rsidRPr="0087393D">
              <w:rPr>
                <w:rFonts w:cs="Arial"/>
                <w:sz w:val="16"/>
                <w:szCs w:val="16"/>
                <w:lang w:val="en-US"/>
              </w:rPr>
              <w:t>.</w:t>
            </w:r>
            <w:r w:rsidRPr="0087393D">
              <w:rPr>
                <w:rFonts w:cs="Arial"/>
                <w:sz w:val="16"/>
                <w:szCs w:val="16"/>
              </w:rPr>
              <w:t>633</w:t>
            </w:r>
          </w:p>
        </w:tc>
        <w:tc>
          <w:tcPr>
            <w:tcW w:w="959" w:type="dxa"/>
            <w:tcBorders>
              <w:top w:val="nil"/>
              <w:left w:val="nil"/>
              <w:bottom w:val="nil"/>
              <w:right w:val="nil"/>
            </w:tcBorders>
            <w:shd w:val="clear" w:color="auto" w:fill="auto"/>
            <w:vAlign w:val="center"/>
          </w:tcPr>
          <w:p w14:paraId="3807D838" w14:textId="5A98E613" w:rsidR="004D3126" w:rsidRPr="0087393D" w:rsidRDefault="004D3126" w:rsidP="0087393D">
            <w:pPr>
              <w:spacing w:after="0" w:line="276" w:lineRule="auto"/>
              <w:jc w:val="right"/>
              <w:rPr>
                <w:rFonts w:cs="Arial"/>
                <w:color w:val="000000"/>
                <w:sz w:val="16"/>
                <w:szCs w:val="16"/>
              </w:rPr>
            </w:pPr>
            <w:r w:rsidRPr="0087393D">
              <w:rPr>
                <w:rFonts w:cs="Arial"/>
                <w:sz w:val="16"/>
                <w:szCs w:val="16"/>
              </w:rPr>
              <w:t>3</w:t>
            </w:r>
            <w:r w:rsidRPr="0087393D">
              <w:rPr>
                <w:rFonts w:cs="Arial"/>
                <w:sz w:val="16"/>
                <w:szCs w:val="16"/>
                <w:lang w:val="en-US"/>
              </w:rPr>
              <w:t>.</w:t>
            </w:r>
            <w:r w:rsidRPr="0087393D">
              <w:rPr>
                <w:rFonts w:cs="Arial"/>
                <w:sz w:val="16"/>
                <w:szCs w:val="16"/>
              </w:rPr>
              <w:t>604</w:t>
            </w:r>
          </w:p>
        </w:tc>
        <w:tc>
          <w:tcPr>
            <w:tcW w:w="956" w:type="dxa"/>
            <w:tcBorders>
              <w:top w:val="nil"/>
              <w:left w:val="nil"/>
              <w:bottom w:val="nil"/>
              <w:right w:val="nil"/>
            </w:tcBorders>
            <w:shd w:val="clear" w:color="auto" w:fill="auto"/>
            <w:vAlign w:val="center"/>
          </w:tcPr>
          <w:p w14:paraId="1FFEA972" w14:textId="77777777" w:rsidR="004D3126" w:rsidRPr="0087393D" w:rsidRDefault="004D3126" w:rsidP="0087393D">
            <w:pPr>
              <w:spacing w:after="0" w:line="276" w:lineRule="auto"/>
              <w:jc w:val="right"/>
              <w:rPr>
                <w:rFonts w:cs="Arial"/>
                <w:color w:val="000000"/>
                <w:sz w:val="16"/>
                <w:szCs w:val="16"/>
              </w:rPr>
            </w:pPr>
          </w:p>
        </w:tc>
        <w:tc>
          <w:tcPr>
            <w:tcW w:w="958" w:type="dxa"/>
            <w:tcBorders>
              <w:top w:val="nil"/>
              <w:left w:val="nil"/>
              <w:bottom w:val="nil"/>
              <w:right w:val="nil"/>
            </w:tcBorders>
            <w:shd w:val="clear" w:color="auto" w:fill="auto"/>
            <w:vAlign w:val="center"/>
          </w:tcPr>
          <w:p w14:paraId="07B750BC" w14:textId="36BF5BA4" w:rsidR="004D3126" w:rsidRPr="0087393D" w:rsidRDefault="004D3126" w:rsidP="0087393D">
            <w:pPr>
              <w:spacing w:after="0" w:line="276" w:lineRule="auto"/>
              <w:jc w:val="right"/>
              <w:rPr>
                <w:rFonts w:cs="Arial"/>
                <w:color w:val="000000"/>
                <w:sz w:val="16"/>
                <w:szCs w:val="16"/>
              </w:rPr>
            </w:pPr>
            <w:r w:rsidRPr="0087393D">
              <w:rPr>
                <w:rFonts w:cs="Arial"/>
                <w:sz w:val="16"/>
                <w:szCs w:val="16"/>
              </w:rPr>
              <w:t>6.237</w:t>
            </w:r>
          </w:p>
        </w:tc>
        <w:tc>
          <w:tcPr>
            <w:tcW w:w="978" w:type="dxa"/>
            <w:tcBorders>
              <w:top w:val="nil"/>
              <w:left w:val="nil"/>
              <w:bottom w:val="nil"/>
              <w:right w:val="nil"/>
            </w:tcBorders>
            <w:shd w:val="clear" w:color="auto" w:fill="auto"/>
            <w:vAlign w:val="center"/>
          </w:tcPr>
          <w:p w14:paraId="1EA0F95E" w14:textId="662B7C44" w:rsidR="004D3126" w:rsidRPr="0087393D" w:rsidRDefault="004D3126" w:rsidP="0087393D">
            <w:pPr>
              <w:spacing w:after="0" w:line="276" w:lineRule="auto"/>
              <w:jc w:val="right"/>
              <w:rPr>
                <w:rFonts w:cs="Arial"/>
                <w:color w:val="000000"/>
                <w:sz w:val="16"/>
                <w:szCs w:val="16"/>
              </w:rPr>
            </w:pPr>
            <w:r w:rsidRPr="0087393D">
              <w:rPr>
                <w:rFonts w:cs="Arial"/>
                <w:sz w:val="16"/>
                <w:szCs w:val="16"/>
              </w:rPr>
              <w:t>4,83</w:t>
            </w:r>
          </w:p>
        </w:tc>
        <w:tc>
          <w:tcPr>
            <w:tcW w:w="958" w:type="dxa"/>
            <w:tcBorders>
              <w:top w:val="nil"/>
              <w:left w:val="nil"/>
              <w:bottom w:val="nil"/>
              <w:right w:val="nil"/>
            </w:tcBorders>
            <w:shd w:val="clear" w:color="auto" w:fill="auto"/>
            <w:vAlign w:val="center"/>
          </w:tcPr>
          <w:p w14:paraId="208B400D" w14:textId="2D4B26CE" w:rsidR="004D3126" w:rsidRPr="0087393D" w:rsidRDefault="004D3126" w:rsidP="0087393D">
            <w:pPr>
              <w:spacing w:after="0" w:line="276" w:lineRule="auto"/>
              <w:jc w:val="right"/>
              <w:rPr>
                <w:rFonts w:cs="Arial"/>
                <w:color w:val="000000"/>
                <w:sz w:val="16"/>
                <w:szCs w:val="16"/>
              </w:rPr>
            </w:pPr>
            <w:r w:rsidRPr="0087393D">
              <w:rPr>
                <w:rFonts w:cs="Arial"/>
                <w:sz w:val="16"/>
                <w:szCs w:val="16"/>
              </w:rPr>
              <w:t>180.616</w:t>
            </w:r>
          </w:p>
        </w:tc>
        <w:tc>
          <w:tcPr>
            <w:tcW w:w="958" w:type="dxa"/>
            <w:tcBorders>
              <w:top w:val="nil"/>
              <w:left w:val="nil"/>
              <w:bottom w:val="nil"/>
              <w:right w:val="single" w:sz="2" w:space="0" w:color="A6A6A6" w:themeColor="background1" w:themeShade="A6"/>
            </w:tcBorders>
            <w:shd w:val="clear" w:color="auto" w:fill="auto"/>
            <w:vAlign w:val="center"/>
          </w:tcPr>
          <w:p w14:paraId="1924EF58" w14:textId="371C681B" w:rsidR="004D3126" w:rsidRPr="0087393D" w:rsidRDefault="004D3126" w:rsidP="0087393D">
            <w:pPr>
              <w:spacing w:after="0" w:line="276" w:lineRule="auto"/>
              <w:jc w:val="right"/>
              <w:rPr>
                <w:rFonts w:cs="Arial"/>
                <w:color w:val="000000"/>
                <w:sz w:val="16"/>
                <w:szCs w:val="16"/>
              </w:rPr>
            </w:pPr>
            <w:r w:rsidRPr="0087393D">
              <w:rPr>
                <w:rFonts w:cs="Arial"/>
                <w:sz w:val="16"/>
                <w:szCs w:val="16"/>
              </w:rPr>
              <w:t>3,45</w:t>
            </w:r>
          </w:p>
        </w:tc>
      </w:tr>
      <w:tr w:rsidR="004D3126" w:rsidRPr="0087393D" w14:paraId="61955D49" w14:textId="77777777" w:rsidTr="00926B01">
        <w:trPr>
          <w:cantSplit/>
          <w:jc w:val="center"/>
        </w:trPr>
        <w:tc>
          <w:tcPr>
            <w:tcW w:w="956" w:type="dxa"/>
            <w:tcBorders>
              <w:top w:val="nil"/>
              <w:left w:val="single" w:sz="2" w:space="0" w:color="A6A6A6" w:themeColor="background1" w:themeShade="A6"/>
              <w:bottom w:val="nil"/>
              <w:right w:val="nil"/>
            </w:tcBorders>
            <w:shd w:val="clear" w:color="auto" w:fill="auto"/>
            <w:vAlign w:val="center"/>
          </w:tcPr>
          <w:p w14:paraId="1E5C6895" w14:textId="57D2A149" w:rsidR="004D3126" w:rsidRPr="0087393D" w:rsidRDefault="004D3126" w:rsidP="0087393D">
            <w:pPr>
              <w:spacing w:after="0" w:line="276" w:lineRule="auto"/>
              <w:jc w:val="center"/>
              <w:rPr>
                <w:rFonts w:cs="Arial"/>
                <w:color w:val="000000"/>
                <w:sz w:val="16"/>
                <w:szCs w:val="16"/>
              </w:rPr>
            </w:pPr>
            <w:r w:rsidRPr="0087393D">
              <w:rPr>
                <w:rFonts w:cs="Arial"/>
                <w:sz w:val="16"/>
                <w:szCs w:val="16"/>
              </w:rPr>
              <w:t>2019</w:t>
            </w:r>
          </w:p>
        </w:tc>
        <w:tc>
          <w:tcPr>
            <w:tcW w:w="957" w:type="dxa"/>
            <w:tcBorders>
              <w:top w:val="nil"/>
              <w:left w:val="nil"/>
              <w:bottom w:val="nil"/>
              <w:right w:val="nil"/>
            </w:tcBorders>
            <w:shd w:val="clear" w:color="auto" w:fill="auto"/>
            <w:vAlign w:val="center"/>
          </w:tcPr>
          <w:p w14:paraId="5A24CB55" w14:textId="46824051" w:rsidR="004D3126" w:rsidRPr="0087393D" w:rsidRDefault="004D3126" w:rsidP="0087393D">
            <w:pPr>
              <w:spacing w:after="0" w:line="276" w:lineRule="auto"/>
              <w:jc w:val="right"/>
              <w:rPr>
                <w:rFonts w:cs="Arial"/>
                <w:color w:val="000000"/>
                <w:sz w:val="16"/>
                <w:szCs w:val="16"/>
              </w:rPr>
            </w:pPr>
            <w:r w:rsidRPr="0087393D">
              <w:rPr>
                <w:rFonts w:cs="Arial"/>
                <w:sz w:val="16"/>
                <w:szCs w:val="16"/>
              </w:rPr>
              <w:t>1</w:t>
            </w:r>
            <w:r w:rsidRPr="0087393D">
              <w:rPr>
                <w:rFonts w:cs="Arial"/>
                <w:sz w:val="16"/>
                <w:szCs w:val="16"/>
                <w:lang w:val="en-US"/>
              </w:rPr>
              <w:t>.</w:t>
            </w:r>
            <w:r w:rsidRPr="0087393D">
              <w:rPr>
                <w:rFonts w:cs="Arial"/>
                <w:sz w:val="16"/>
                <w:szCs w:val="16"/>
              </w:rPr>
              <w:t>892</w:t>
            </w:r>
          </w:p>
        </w:tc>
        <w:tc>
          <w:tcPr>
            <w:tcW w:w="959" w:type="dxa"/>
            <w:tcBorders>
              <w:top w:val="nil"/>
              <w:left w:val="nil"/>
              <w:bottom w:val="nil"/>
              <w:right w:val="nil"/>
            </w:tcBorders>
            <w:shd w:val="clear" w:color="auto" w:fill="auto"/>
            <w:vAlign w:val="center"/>
          </w:tcPr>
          <w:p w14:paraId="5099665A" w14:textId="0DEA3241" w:rsidR="004D3126" w:rsidRPr="0087393D" w:rsidRDefault="004D3126" w:rsidP="0087393D">
            <w:pPr>
              <w:spacing w:after="0" w:line="276" w:lineRule="auto"/>
              <w:jc w:val="right"/>
              <w:rPr>
                <w:rFonts w:cs="Arial"/>
                <w:color w:val="000000"/>
                <w:sz w:val="16"/>
                <w:szCs w:val="16"/>
              </w:rPr>
            </w:pPr>
            <w:r w:rsidRPr="0087393D">
              <w:rPr>
                <w:rFonts w:cs="Arial"/>
                <w:sz w:val="16"/>
                <w:szCs w:val="16"/>
              </w:rPr>
              <w:t>3</w:t>
            </w:r>
            <w:r w:rsidRPr="0087393D">
              <w:rPr>
                <w:rFonts w:cs="Arial"/>
                <w:sz w:val="16"/>
                <w:szCs w:val="16"/>
                <w:lang w:val="en-US"/>
              </w:rPr>
              <w:t>.</w:t>
            </w:r>
            <w:r w:rsidRPr="0087393D">
              <w:rPr>
                <w:rFonts w:cs="Arial"/>
                <w:sz w:val="16"/>
                <w:szCs w:val="16"/>
              </w:rPr>
              <w:t>750</w:t>
            </w:r>
          </w:p>
        </w:tc>
        <w:tc>
          <w:tcPr>
            <w:tcW w:w="956" w:type="dxa"/>
            <w:tcBorders>
              <w:top w:val="nil"/>
              <w:left w:val="nil"/>
              <w:bottom w:val="nil"/>
              <w:right w:val="nil"/>
            </w:tcBorders>
            <w:shd w:val="clear" w:color="auto" w:fill="auto"/>
            <w:vAlign w:val="center"/>
          </w:tcPr>
          <w:p w14:paraId="27F868CF" w14:textId="77777777" w:rsidR="004D3126" w:rsidRPr="0087393D" w:rsidRDefault="004D3126" w:rsidP="0087393D">
            <w:pPr>
              <w:spacing w:after="0" w:line="276" w:lineRule="auto"/>
              <w:jc w:val="right"/>
              <w:rPr>
                <w:rFonts w:cs="Arial"/>
                <w:color w:val="000000"/>
                <w:sz w:val="16"/>
                <w:szCs w:val="16"/>
              </w:rPr>
            </w:pPr>
          </w:p>
        </w:tc>
        <w:tc>
          <w:tcPr>
            <w:tcW w:w="958" w:type="dxa"/>
            <w:tcBorders>
              <w:top w:val="nil"/>
              <w:left w:val="nil"/>
              <w:bottom w:val="nil"/>
              <w:right w:val="nil"/>
            </w:tcBorders>
            <w:shd w:val="clear" w:color="auto" w:fill="auto"/>
            <w:vAlign w:val="center"/>
          </w:tcPr>
          <w:p w14:paraId="7FD98611" w14:textId="6C969E62" w:rsidR="004D3126" w:rsidRPr="0087393D" w:rsidRDefault="004D3126" w:rsidP="0087393D">
            <w:pPr>
              <w:spacing w:after="0" w:line="276" w:lineRule="auto"/>
              <w:jc w:val="right"/>
              <w:rPr>
                <w:rFonts w:cs="Arial"/>
                <w:color w:val="000000"/>
                <w:sz w:val="16"/>
                <w:szCs w:val="16"/>
              </w:rPr>
            </w:pPr>
            <w:r w:rsidRPr="0087393D">
              <w:rPr>
                <w:rFonts w:cs="Arial"/>
                <w:sz w:val="16"/>
                <w:szCs w:val="16"/>
              </w:rPr>
              <w:t>5.642</w:t>
            </w:r>
          </w:p>
        </w:tc>
        <w:tc>
          <w:tcPr>
            <w:tcW w:w="978" w:type="dxa"/>
            <w:tcBorders>
              <w:top w:val="nil"/>
              <w:left w:val="nil"/>
              <w:bottom w:val="nil"/>
              <w:right w:val="nil"/>
            </w:tcBorders>
            <w:shd w:val="clear" w:color="auto" w:fill="auto"/>
            <w:vAlign w:val="center"/>
          </w:tcPr>
          <w:p w14:paraId="56F93535" w14:textId="69470D56" w:rsidR="004D3126" w:rsidRPr="0087393D" w:rsidRDefault="004D3126" w:rsidP="0087393D">
            <w:pPr>
              <w:spacing w:after="0" w:line="276" w:lineRule="auto"/>
              <w:jc w:val="right"/>
              <w:rPr>
                <w:rFonts w:cs="Arial"/>
                <w:color w:val="000000"/>
                <w:sz w:val="16"/>
                <w:szCs w:val="16"/>
              </w:rPr>
            </w:pPr>
            <w:r w:rsidRPr="0087393D">
              <w:rPr>
                <w:rFonts w:cs="Arial"/>
                <w:sz w:val="16"/>
                <w:szCs w:val="16"/>
              </w:rPr>
              <w:t>-9,54</w:t>
            </w:r>
          </w:p>
        </w:tc>
        <w:tc>
          <w:tcPr>
            <w:tcW w:w="958" w:type="dxa"/>
            <w:tcBorders>
              <w:top w:val="nil"/>
              <w:left w:val="nil"/>
              <w:bottom w:val="nil"/>
              <w:right w:val="nil"/>
            </w:tcBorders>
            <w:shd w:val="clear" w:color="auto" w:fill="auto"/>
            <w:vAlign w:val="center"/>
          </w:tcPr>
          <w:p w14:paraId="317B15FC" w14:textId="65D78045" w:rsidR="004D3126" w:rsidRPr="0087393D" w:rsidRDefault="004D3126" w:rsidP="0087393D">
            <w:pPr>
              <w:spacing w:after="0" w:line="276" w:lineRule="auto"/>
              <w:jc w:val="right"/>
              <w:rPr>
                <w:rFonts w:cs="Arial"/>
                <w:color w:val="000000"/>
                <w:sz w:val="16"/>
                <w:szCs w:val="16"/>
              </w:rPr>
            </w:pPr>
            <w:r w:rsidRPr="0087393D">
              <w:rPr>
                <w:rFonts w:cs="Arial"/>
                <w:sz w:val="16"/>
                <w:szCs w:val="16"/>
              </w:rPr>
              <w:t>185.181</w:t>
            </w:r>
          </w:p>
        </w:tc>
        <w:tc>
          <w:tcPr>
            <w:tcW w:w="958" w:type="dxa"/>
            <w:tcBorders>
              <w:top w:val="nil"/>
              <w:left w:val="nil"/>
              <w:bottom w:val="nil"/>
              <w:right w:val="single" w:sz="2" w:space="0" w:color="A6A6A6" w:themeColor="background1" w:themeShade="A6"/>
            </w:tcBorders>
            <w:shd w:val="clear" w:color="auto" w:fill="auto"/>
            <w:vAlign w:val="center"/>
          </w:tcPr>
          <w:p w14:paraId="5A073551" w14:textId="1760C3B7" w:rsidR="004D3126" w:rsidRPr="0087393D" w:rsidRDefault="004D3126" w:rsidP="0087393D">
            <w:pPr>
              <w:spacing w:after="0" w:line="276" w:lineRule="auto"/>
              <w:jc w:val="right"/>
              <w:rPr>
                <w:rFonts w:cs="Arial"/>
                <w:color w:val="000000"/>
                <w:sz w:val="16"/>
                <w:szCs w:val="16"/>
              </w:rPr>
            </w:pPr>
            <w:r w:rsidRPr="0087393D">
              <w:rPr>
                <w:rFonts w:cs="Arial"/>
                <w:sz w:val="16"/>
                <w:szCs w:val="16"/>
              </w:rPr>
              <w:t>3,05</w:t>
            </w:r>
          </w:p>
        </w:tc>
      </w:tr>
      <w:tr w:rsidR="004D3126" w:rsidRPr="0087393D" w14:paraId="609D3296" w14:textId="77777777" w:rsidTr="00926B01">
        <w:trPr>
          <w:cantSplit/>
          <w:jc w:val="center"/>
        </w:trPr>
        <w:tc>
          <w:tcPr>
            <w:tcW w:w="956" w:type="dxa"/>
            <w:tcBorders>
              <w:top w:val="nil"/>
              <w:left w:val="single" w:sz="2" w:space="0" w:color="A6A6A6" w:themeColor="background1" w:themeShade="A6"/>
              <w:bottom w:val="nil"/>
              <w:right w:val="nil"/>
            </w:tcBorders>
            <w:shd w:val="clear" w:color="auto" w:fill="auto"/>
            <w:vAlign w:val="center"/>
          </w:tcPr>
          <w:p w14:paraId="3A2892D6" w14:textId="7641057D" w:rsidR="004D3126" w:rsidRPr="0087393D" w:rsidRDefault="004D3126" w:rsidP="0087393D">
            <w:pPr>
              <w:spacing w:after="0" w:line="276" w:lineRule="auto"/>
              <w:jc w:val="center"/>
              <w:rPr>
                <w:rFonts w:cs="Arial"/>
                <w:color w:val="000000"/>
                <w:sz w:val="16"/>
                <w:szCs w:val="16"/>
              </w:rPr>
            </w:pPr>
            <w:r w:rsidRPr="0087393D">
              <w:rPr>
                <w:rFonts w:cs="Arial"/>
                <w:sz w:val="16"/>
                <w:szCs w:val="16"/>
              </w:rPr>
              <w:t>2020</w:t>
            </w:r>
          </w:p>
        </w:tc>
        <w:tc>
          <w:tcPr>
            <w:tcW w:w="957" w:type="dxa"/>
            <w:tcBorders>
              <w:top w:val="nil"/>
              <w:left w:val="nil"/>
              <w:bottom w:val="nil"/>
              <w:right w:val="nil"/>
            </w:tcBorders>
            <w:shd w:val="clear" w:color="auto" w:fill="auto"/>
            <w:vAlign w:val="center"/>
          </w:tcPr>
          <w:p w14:paraId="4195E300" w14:textId="377C8D96" w:rsidR="004D3126" w:rsidRPr="0087393D" w:rsidRDefault="004D3126" w:rsidP="0087393D">
            <w:pPr>
              <w:spacing w:after="0" w:line="276" w:lineRule="auto"/>
              <w:jc w:val="right"/>
              <w:rPr>
                <w:rFonts w:cs="Arial"/>
                <w:color w:val="000000"/>
                <w:sz w:val="16"/>
                <w:szCs w:val="16"/>
              </w:rPr>
            </w:pPr>
            <w:r w:rsidRPr="0087393D">
              <w:rPr>
                <w:rFonts w:cs="Arial"/>
                <w:sz w:val="16"/>
                <w:szCs w:val="16"/>
              </w:rPr>
              <w:t>2</w:t>
            </w:r>
            <w:r w:rsidRPr="0087393D">
              <w:rPr>
                <w:rFonts w:cs="Arial"/>
                <w:sz w:val="16"/>
                <w:szCs w:val="16"/>
                <w:lang w:val="en-US"/>
              </w:rPr>
              <w:t>.</w:t>
            </w:r>
            <w:r w:rsidRPr="0087393D">
              <w:rPr>
                <w:rFonts w:cs="Arial"/>
                <w:sz w:val="16"/>
                <w:szCs w:val="16"/>
              </w:rPr>
              <w:t>047</w:t>
            </w:r>
          </w:p>
        </w:tc>
        <w:tc>
          <w:tcPr>
            <w:tcW w:w="959" w:type="dxa"/>
            <w:tcBorders>
              <w:top w:val="nil"/>
              <w:left w:val="nil"/>
              <w:bottom w:val="nil"/>
              <w:right w:val="nil"/>
            </w:tcBorders>
            <w:shd w:val="clear" w:color="auto" w:fill="auto"/>
            <w:vAlign w:val="center"/>
          </w:tcPr>
          <w:p w14:paraId="2E3246E0" w14:textId="40509307" w:rsidR="004D3126" w:rsidRPr="0087393D" w:rsidRDefault="004D3126" w:rsidP="0087393D">
            <w:pPr>
              <w:spacing w:after="0" w:line="276" w:lineRule="auto"/>
              <w:jc w:val="right"/>
              <w:rPr>
                <w:rFonts w:cs="Arial"/>
                <w:color w:val="000000"/>
                <w:sz w:val="16"/>
                <w:szCs w:val="16"/>
              </w:rPr>
            </w:pPr>
            <w:r w:rsidRPr="0087393D">
              <w:rPr>
                <w:rFonts w:cs="Arial"/>
                <w:sz w:val="16"/>
                <w:szCs w:val="16"/>
              </w:rPr>
              <w:t>8</w:t>
            </w:r>
            <w:r w:rsidRPr="0087393D">
              <w:rPr>
                <w:rFonts w:cs="Arial"/>
                <w:sz w:val="16"/>
                <w:szCs w:val="16"/>
                <w:lang w:val="en-US"/>
              </w:rPr>
              <w:t>.</w:t>
            </w:r>
            <w:r w:rsidRPr="0087393D">
              <w:rPr>
                <w:rFonts w:cs="Arial"/>
                <w:sz w:val="16"/>
                <w:szCs w:val="16"/>
              </w:rPr>
              <w:t>600</w:t>
            </w:r>
          </w:p>
        </w:tc>
        <w:tc>
          <w:tcPr>
            <w:tcW w:w="956" w:type="dxa"/>
            <w:tcBorders>
              <w:top w:val="nil"/>
              <w:left w:val="nil"/>
              <w:bottom w:val="nil"/>
              <w:right w:val="nil"/>
            </w:tcBorders>
            <w:shd w:val="clear" w:color="auto" w:fill="auto"/>
            <w:vAlign w:val="center"/>
          </w:tcPr>
          <w:p w14:paraId="59D5CAFA" w14:textId="77777777" w:rsidR="004D3126" w:rsidRPr="0087393D" w:rsidRDefault="004D3126" w:rsidP="0087393D">
            <w:pPr>
              <w:spacing w:after="0" w:line="276" w:lineRule="auto"/>
              <w:jc w:val="right"/>
              <w:rPr>
                <w:rFonts w:cs="Arial"/>
                <w:color w:val="000000"/>
                <w:sz w:val="16"/>
                <w:szCs w:val="16"/>
              </w:rPr>
            </w:pPr>
          </w:p>
        </w:tc>
        <w:tc>
          <w:tcPr>
            <w:tcW w:w="958" w:type="dxa"/>
            <w:tcBorders>
              <w:top w:val="nil"/>
              <w:left w:val="nil"/>
              <w:bottom w:val="nil"/>
              <w:right w:val="nil"/>
            </w:tcBorders>
            <w:shd w:val="clear" w:color="auto" w:fill="auto"/>
            <w:vAlign w:val="center"/>
          </w:tcPr>
          <w:p w14:paraId="79D8BD39" w14:textId="6E253DB8" w:rsidR="004D3126" w:rsidRPr="0087393D" w:rsidRDefault="004D3126" w:rsidP="0087393D">
            <w:pPr>
              <w:spacing w:after="0" w:line="276" w:lineRule="auto"/>
              <w:jc w:val="right"/>
              <w:rPr>
                <w:rFonts w:cs="Arial"/>
                <w:color w:val="000000"/>
                <w:sz w:val="16"/>
                <w:szCs w:val="16"/>
              </w:rPr>
            </w:pPr>
            <w:r w:rsidRPr="0087393D">
              <w:rPr>
                <w:rFonts w:cs="Arial"/>
                <w:sz w:val="16"/>
                <w:szCs w:val="16"/>
              </w:rPr>
              <w:t>10.647</w:t>
            </w:r>
          </w:p>
        </w:tc>
        <w:tc>
          <w:tcPr>
            <w:tcW w:w="978" w:type="dxa"/>
            <w:tcBorders>
              <w:top w:val="nil"/>
              <w:left w:val="nil"/>
              <w:bottom w:val="nil"/>
              <w:right w:val="nil"/>
            </w:tcBorders>
            <w:shd w:val="clear" w:color="auto" w:fill="auto"/>
            <w:vAlign w:val="center"/>
          </w:tcPr>
          <w:p w14:paraId="0AE01CD6" w14:textId="25BDB54E" w:rsidR="004D3126" w:rsidRPr="0087393D" w:rsidRDefault="004D3126" w:rsidP="0087393D">
            <w:pPr>
              <w:spacing w:after="0" w:line="276" w:lineRule="auto"/>
              <w:jc w:val="right"/>
              <w:rPr>
                <w:rFonts w:cs="Arial"/>
                <w:color w:val="000000"/>
                <w:sz w:val="16"/>
                <w:szCs w:val="16"/>
              </w:rPr>
            </w:pPr>
            <w:r w:rsidRPr="0087393D">
              <w:rPr>
                <w:rFonts w:cs="Arial"/>
                <w:sz w:val="16"/>
                <w:szCs w:val="16"/>
              </w:rPr>
              <w:t>88,71</w:t>
            </w:r>
          </w:p>
        </w:tc>
        <w:tc>
          <w:tcPr>
            <w:tcW w:w="958" w:type="dxa"/>
            <w:tcBorders>
              <w:top w:val="nil"/>
              <w:left w:val="nil"/>
              <w:bottom w:val="nil"/>
              <w:right w:val="nil"/>
            </w:tcBorders>
            <w:shd w:val="clear" w:color="auto" w:fill="auto"/>
            <w:vAlign w:val="center"/>
          </w:tcPr>
          <w:p w14:paraId="52BEEB39" w14:textId="79E135BE" w:rsidR="004D3126" w:rsidRPr="0087393D" w:rsidRDefault="004D3126" w:rsidP="0087393D">
            <w:pPr>
              <w:spacing w:after="0" w:line="276" w:lineRule="auto"/>
              <w:jc w:val="right"/>
              <w:rPr>
                <w:rFonts w:cs="Arial"/>
                <w:color w:val="000000"/>
                <w:sz w:val="16"/>
                <w:szCs w:val="16"/>
              </w:rPr>
            </w:pPr>
            <w:r w:rsidRPr="0087393D">
              <w:rPr>
                <w:rFonts w:cs="Arial"/>
                <w:sz w:val="16"/>
                <w:szCs w:val="16"/>
              </w:rPr>
              <w:t>167.540</w:t>
            </w:r>
          </w:p>
        </w:tc>
        <w:tc>
          <w:tcPr>
            <w:tcW w:w="958" w:type="dxa"/>
            <w:tcBorders>
              <w:top w:val="nil"/>
              <w:left w:val="nil"/>
              <w:bottom w:val="nil"/>
              <w:right w:val="single" w:sz="2" w:space="0" w:color="A6A6A6" w:themeColor="background1" w:themeShade="A6"/>
            </w:tcBorders>
            <w:shd w:val="clear" w:color="auto" w:fill="auto"/>
            <w:vAlign w:val="center"/>
          </w:tcPr>
          <w:p w14:paraId="0152CD5E" w14:textId="4FD7B402" w:rsidR="004D3126" w:rsidRPr="0087393D" w:rsidRDefault="004D3126" w:rsidP="0087393D">
            <w:pPr>
              <w:spacing w:after="0" w:line="276" w:lineRule="auto"/>
              <w:jc w:val="right"/>
              <w:rPr>
                <w:rFonts w:cs="Arial"/>
                <w:color w:val="000000"/>
                <w:sz w:val="16"/>
                <w:szCs w:val="16"/>
              </w:rPr>
            </w:pPr>
            <w:r w:rsidRPr="0087393D">
              <w:rPr>
                <w:rFonts w:cs="Arial"/>
                <w:sz w:val="16"/>
                <w:szCs w:val="16"/>
              </w:rPr>
              <w:t>6,35</w:t>
            </w:r>
          </w:p>
        </w:tc>
      </w:tr>
      <w:tr w:rsidR="004D3126" w:rsidRPr="0087393D" w14:paraId="5A5E8B34" w14:textId="77777777" w:rsidTr="00926B01">
        <w:trPr>
          <w:cantSplit/>
          <w:jc w:val="center"/>
        </w:trPr>
        <w:tc>
          <w:tcPr>
            <w:tcW w:w="956" w:type="dxa"/>
            <w:tcBorders>
              <w:top w:val="nil"/>
              <w:left w:val="single" w:sz="2" w:space="0" w:color="A6A6A6" w:themeColor="background1" w:themeShade="A6"/>
              <w:bottom w:val="nil"/>
              <w:right w:val="nil"/>
            </w:tcBorders>
            <w:shd w:val="clear" w:color="auto" w:fill="auto"/>
            <w:vAlign w:val="center"/>
          </w:tcPr>
          <w:p w14:paraId="09AAA17A" w14:textId="21217F7A" w:rsidR="004D3126" w:rsidRPr="0087393D" w:rsidRDefault="004D3126" w:rsidP="0087393D">
            <w:pPr>
              <w:spacing w:after="0" w:line="276" w:lineRule="auto"/>
              <w:jc w:val="center"/>
              <w:rPr>
                <w:rFonts w:cs="Arial"/>
                <w:color w:val="000000"/>
                <w:sz w:val="16"/>
                <w:szCs w:val="16"/>
              </w:rPr>
            </w:pPr>
            <w:r w:rsidRPr="0087393D">
              <w:rPr>
                <w:rFonts w:cs="Arial"/>
                <w:sz w:val="16"/>
                <w:szCs w:val="16"/>
              </w:rPr>
              <w:t>2021</w:t>
            </w:r>
          </w:p>
        </w:tc>
        <w:tc>
          <w:tcPr>
            <w:tcW w:w="957" w:type="dxa"/>
            <w:tcBorders>
              <w:top w:val="nil"/>
              <w:left w:val="nil"/>
              <w:bottom w:val="nil"/>
              <w:right w:val="nil"/>
            </w:tcBorders>
            <w:shd w:val="clear" w:color="auto" w:fill="auto"/>
            <w:vAlign w:val="center"/>
          </w:tcPr>
          <w:p w14:paraId="7201835C" w14:textId="1D24417E" w:rsidR="004D3126" w:rsidRPr="0087393D" w:rsidRDefault="004D3126" w:rsidP="0087393D">
            <w:pPr>
              <w:spacing w:after="0" w:line="276" w:lineRule="auto"/>
              <w:jc w:val="right"/>
              <w:rPr>
                <w:rFonts w:cs="Arial"/>
                <w:color w:val="000000"/>
                <w:sz w:val="16"/>
                <w:szCs w:val="16"/>
              </w:rPr>
            </w:pPr>
            <w:r w:rsidRPr="0087393D">
              <w:rPr>
                <w:rFonts w:cs="Arial"/>
                <w:sz w:val="16"/>
                <w:szCs w:val="16"/>
              </w:rPr>
              <w:t>1</w:t>
            </w:r>
            <w:r w:rsidRPr="0087393D">
              <w:rPr>
                <w:rFonts w:cs="Arial"/>
                <w:sz w:val="16"/>
                <w:szCs w:val="16"/>
                <w:lang w:val="en-US"/>
              </w:rPr>
              <w:t>.</w:t>
            </w:r>
            <w:r w:rsidRPr="0087393D">
              <w:rPr>
                <w:rFonts w:cs="Arial"/>
                <w:sz w:val="16"/>
                <w:szCs w:val="16"/>
              </w:rPr>
              <w:t>358</w:t>
            </w:r>
          </w:p>
        </w:tc>
        <w:tc>
          <w:tcPr>
            <w:tcW w:w="959" w:type="dxa"/>
            <w:tcBorders>
              <w:top w:val="nil"/>
              <w:left w:val="nil"/>
              <w:bottom w:val="nil"/>
              <w:right w:val="nil"/>
            </w:tcBorders>
            <w:shd w:val="clear" w:color="auto" w:fill="auto"/>
            <w:vAlign w:val="center"/>
          </w:tcPr>
          <w:p w14:paraId="3F19498C" w14:textId="12F12DE8" w:rsidR="004D3126" w:rsidRPr="0087393D" w:rsidRDefault="004D3126" w:rsidP="0087393D">
            <w:pPr>
              <w:spacing w:after="0" w:line="276" w:lineRule="auto"/>
              <w:jc w:val="right"/>
              <w:rPr>
                <w:rFonts w:cs="Arial"/>
                <w:color w:val="000000"/>
                <w:sz w:val="16"/>
                <w:szCs w:val="16"/>
              </w:rPr>
            </w:pPr>
            <w:r w:rsidRPr="0087393D">
              <w:rPr>
                <w:rFonts w:cs="Arial"/>
                <w:sz w:val="16"/>
                <w:szCs w:val="16"/>
              </w:rPr>
              <w:t>7</w:t>
            </w:r>
            <w:r w:rsidRPr="0087393D">
              <w:rPr>
                <w:rFonts w:cs="Arial"/>
                <w:sz w:val="16"/>
                <w:szCs w:val="16"/>
                <w:lang w:val="en-US"/>
              </w:rPr>
              <w:t>.</w:t>
            </w:r>
            <w:r w:rsidRPr="0087393D">
              <w:rPr>
                <w:rFonts w:cs="Arial"/>
                <w:sz w:val="16"/>
                <w:szCs w:val="16"/>
              </w:rPr>
              <w:t>000</w:t>
            </w:r>
          </w:p>
        </w:tc>
        <w:tc>
          <w:tcPr>
            <w:tcW w:w="956" w:type="dxa"/>
            <w:tcBorders>
              <w:top w:val="nil"/>
              <w:left w:val="nil"/>
              <w:bottom w:val="nil"/>
              <w:right w:val="nil"/>
            </w:tcBorders>
            <w:shd w:val="clear" w:color="auto" w:fill="auto"/>
            <w:vAlign w:val="center"/>
          </w:tcPr>
          <w:p w14:paraId="482753B4" w14:textId="497ADA6C" w:rsidR="004D3126" w:rsidRPr="0087393D" w:rsidRDefault="004D3126" w:rsidP="0087393D">
            <w:pPr>
              <w:spacing w:after="0" w:line="276" w:lineRule="auto"/>
              <w:jc w:val="right"/>
              <w:rPr>
                <w:rFonts w:cs="Arial"/>
                <w:color w:val="000000"/>
                <w:sz w:val="16"/>
                <w:szCs w:val="16"/>
              </w:rPr>
            </w:pPr>
            <w:r w:rsidRPr="0087393D">
              <w:rPr>
                <w:rFonts w:cs="Arial"/>
                <w:sz w:val="16"/>
                <w:szCs w:val="16"/>
              </w:rPr>
              <w:t>307</w:t>
            </w:r>
          </w:p>
        </w:tc>
        <w:tc>
          <w:tcPr>
            <w:tcW w:w="958" w:type="dxa"/>
            <w:tcBorders>
              <w:top w:val="nil"/>
              <w:left w:val="nil"/>
              <w:bottom w:val="nil"/>
              <w:right w:val="nil"/>
            </w:tcBorders>
            <w:shd w:val="clear" w:color="auto" w:fill="auto"/>
            <w:vAlign w:val="center"/>
          </w:tcPr>
          <w:p w14:paraId="27C3040C" w14:textId="091A4378" w:rsidR="004D3126" w:rsidRPr="0087393D" w:rsidRDefault="004D3126" w:rsidP="0087393D">
            <w:pPr>
              <w:spacing w:after="0" w:line="276" w:lineRule="auto"/>
              <w:jc w:val="right"/>
              <w:rPr>
                <w:rFonts w:cs="Arial"/>
                <w:color w:val="000000"/>
                <w:sz w:val="16"/>
                <w:szCs w:val="16"/>
              </w:rPr>
            </w:pPr>
            <w:r w:rsidRPr="0087393D">
              <w:rPr>
                <w:rFonts w:cs="Arial"/>
                <w:sz w:val="16"/>
                <w:szCs w:val="16"/>
              </w:rPr>
              <w:t>8.665</w:t>
            </w:r>
          </w:p>
        </w:tc>
        <w:tc>
          <w:tcPr>
            <w:tcW w:w="978" w:type="dxa"/>
            <w:tcBorders>
              <w:top w:val="nil"/>
              <w:left w:val="nil"/>
              <w:bottom w:val="nil"/>
              <w:right w:val="nil"/>
            </w:tcBorders>
            <w:shd w:val="clear" w:color="auto" w:fill="auto"/>
            <w:vAlign w:val="center"/>
          </w:tcPr>
          <w:p w14:paraId="7F7F0A29" w14:textId="4F9B0B17" w:rsidR="004D3126" w:rsidRPr="0087393D" w:rsidRDefault="004D3126" w:rsidP="0087393D">
            <w:pPr>
              <w:spacing w:after="0" w:line="276" w:lineRule="auto"/>
              <w:jc w:val="right"/>
              <w:rPr>
                <w:rFonts w:cs="Arial"/>
                <w:color w:val="000000"/>
                <w:sz w:val="16"/>
                <w:szCs w:val="16"/>
              </w:rPr>
            </w:pPr>
            <w:r w:rsidRPr="0087393D">
              <w:rPr>
                <w:rFonts w:cs="Arial"/>
                <w:sz w:val="16"/>
                <w:szCs w:val="16"/>
              </w:rPr>
              <w:t>-18,62</w:t>
            </w:r>
          </w:p>
        </w:tc>
        <w:tc>
          <w:tcPr>
            <w:tcW w:w="958" w:type="dxa"/>
            <w:tcBorders>
              <w:top w:val="nil"/>
              <w:left w:val="nil"/>
              <w:bottom w:val="nil"/>
              <w:right w:val="nil"/>
            </w:tcBorders>
            <w:shd w:val="clear" w:color="auto" w:fill="auto"/>
            <w:vAlign w:val="center"/>
          </w:tcPr>
          <w:p w14:paraId="47B5C3E0" w14:textId="0A05498D" w:rsidR="004D3126" w:rsidRPr="0087393D" w:rsidRDefault="004D3126" w:rsidP="0087393D">
            <w:pPr>
              <w:spacing w:after="0" w:line="276" w:lineRule="auto"/>
              <w:jc w:val="right"/>
              <w:rPr>
                <w:rFonts w:cs="Arial"/>
                <w:color w:val="000000"/>
                <w:sz w:val="16"/>
                <w:szCs w:val="16"/>
              </w:rPr>
            </w:pPr>
            <w:r w:rsidRPr="0087393D">
              <w:rPr>
                <w:rFonts w:cs="Arial"/>
                <w:sz w:val="16"/>
                <w:szCs w:val="16"/>
              </w:rPr>
              <w:t>184.575</w:t>
            </w:r>
          </w:p>
        </w:tc>
        <w:tc>
          <w:tcPr>
            <w:tcW w:w="958" w:type="dxa"/>
            <w:tcBorders>
              <w:top w:val="nil"/>
              <w:left w:val="nil"/>
              <w:bottom w:val="nil"/>
              <w:right w:val="single" w:sz="2" w:space="0" w:color="A6A6A6" w:themeColor="background1" w:themeShade="A6"/>
            </w:tcBorders>
            <w:shd w:val="clear" w:color="auto" w:fill="auto"/>
            <w:vAlign w:val="center"/>
          </w:tcPr>
          <w:p w14:paraId="23284151" w14:textId="07E351AF" w:rsidR="004D3126" w:rsidRPr="0087393D" w:rsidRDefault="004D3126" w:rsidP="0087393D">
            <w:pPr>
              <w:spacing w:after="0" w:line="276" w:lineRule="auto"/>
              <w:jc w:val="right"/>
              <w:rPr>
                <w:rFonts w:cs="Arial"/>
                <w:color w:val="000000"/>
                <w:sz w:val="16"/>
                <w:szCs w:val="16"/>
              </w:rPr>
            </w:pPr>
            <w:r w:rsidRPr="0087393D">
              <w:rPr>
                <w:rFonts w:cs="Arial"/>
                <w:sz w:val="16"/>
                <w:szCs w:val="16"/>
              </w:rPr>
              <w:t>4,69</w:t>
            </w:r>
          </w:p>
        </w:tc>
      </w:tr>
      <w:tr w:rsidR="004D3126" w:rsidRPr="0087393D" w14:paraId="12A6BF3B" w14:textId="77777777" w:rsidTr="00926B01">
        <w:trPr>
          <w:cantSplit/>
          <w:jc w:val="center"/>
        </w:trPr>
        <w:tc>
          <w:tcPr>
            <w:tcW w:w="956" w:type="dxa"/>
            <w:tcBorders>
              <w:top w:val="nil"/>
              <w:left w:val="single" w:sz="2" w:space="0" w:color="A6A6A6" w:themeColor="background1" w:themeShade="A6"/>
              <w:bottom w:val="nil"/>
              <w:right w:val="nil"/>
            </w:tcBorders>
            <w:shd w:val="clear" w:color="auto" w:fill="auto"/>
            <w:vAlign w:val="center"/>
          </w:tcPr>
          <w:p w14:paraId="780F2E5E" w14:textId="36C1678A" w:rsidR="004D3126" w:rsidRPr="0087393D" w:rsidRDefault="004D3126" w:rsidP="0087393D">
            <w:pPr>
              <w:spacing w:after="0" w:line="276" w:lineRule="auto"/>
              <w:jc w:val="center"/>
              <w:rPr>
                <w:rFonts w:cs="Arial"/>
                <w:color w:val="000000"/>
                <w:sz w:val="16"/>
                <w:szCs w:val="16"/>
              </w:rPr>
            </w:pPr>
            <w:r w:rsidRPr="0087393D">
              <w:rPr>
                <w:rFonts w:cs="Arial"/>
                <w:sz w:val="16"/>
                <w:szCs w:val="16"/>
              </w:rPr>
              <w:t>2022</w:t>
            </w:r>
          </w:p>
        </w:tc>
        <w:tc>
          <w:tcPr>
            <w:tcW w:w="957" w:type="dxa"/>
            <w:tcBorders>
              <w:top w:val="nil"/>
              <w:left w:val="nil"/>
              <w:bottom w:val="nil"/>
              <w:right w:val="nil"/>
            </w:tcBorders>
            <w:shd w:val="clear" w:color="auto" w:fill="auto"/>
            <w:vAlign w:val="center"/>
          </w:tcPr>
          <w:p w14:paraId="7972BC3D" w14:textId="34ADDF1E" w:rsidR="004D3126" w:rsidRPr="0087393D" w:rsidRDefault="004D3126" w:rsidP="0087393D">
            <w:pPr>
              <w:spacing w:after="0" w:line="276" w:lineRule="auto"/>
              <w:jc w:val="right"/>
              <w:rPr>
                <w:rFonts w:cs="Arial"/>
                <w:color w:val="000000"/>
                <w:sz w:val="16"/>
                <w:szCs w:val="16"/>
              </w:rPr>
            </w:pPr>
            <w:r w:rsidRPr="0087393D">
              <w:rPr>
                <w:rFonts w:cs="Arial"/>
                <w:sz w:val="16"/>
                <w:szCs w:val="16"/>
              </w:rPr>
              <w:t>1</w:t>
            </w:r>
            <w:r w:rsidRPr="0087393D">
              <w:rPr>
                <w:rFonts w:cs="Arial"/>
                <w:sz w:val="16"/>
                <w:szCs w:val="16"/>
                <w:lang w:val="en-US"/>
              </w:rPr>
              <w:t>.</w:t>
            </w:r>
            <w:r w:rsidRPr="0087393D">
              <w:rPr>
                <w:rFonts w:cs="Arial"/>
                <w:sz w:val="16"/>
                <w:szCs w:val="16"/>
              </w:rPr>
              <w:t>696</w:t>
            </w:r>
          </w:p>
        </w:tc>
        <w:tc>
          <w:tcPr>
            <w:tcW w:w="959" w:type="dxa"/>
            <w:tcBorders>
              <w:top w:val="nil"/>
              <w:left w:val="nil"/>
              <w:bottom w:val="nil"/>
              <w:right w:val="nil"/>
            </w:tcBorders>
            <w:shd w:val="clear" w:color="auto" w:fill="auto"/>
            <w:vAlign w:val="center"/>
          </w:tcPr>
          <w:p w14:paraId="41AC662C" w14:textId="0D554E67" w:rsidR="004D3126" w:rsidRPr="0087393D" w:rsidRDefault="004D3126" w:rsidP="0087393D">
            <w:pPr>
              <w:spacing w:after="0" w:line="276" w:lineRule="auto"/>
              <w:jc w:val="right"/>
              <w:rPr>
                <w:rFonts w:cs="Arial"/>
                <w:color w:val="000000"/>
                <w:sz w:val="16"/>
                <w:szCs w:val="16"/>
              </w:rPr>
            </w:pPr>
            <w:r w:rsidRPr="0087393D">
              <w:rPr>
                <w:rFonts w:cs="Arial"/>
                <w:sz w:val="16"/>
                <w:szCs w:val="16"/>
              </w:rPr>
              <w:t>6</w:t>
            </w:r>
            <w:r w:rsidRPr="0087393D">
              <w:rPr>
                <w:rFonts w:cs="Arial"/>
                <w:sz w:val="16"/>
                <w:szCs w:val="16"/>
                <w:lang w:val="en-US"/>
              </w:rPr>
              <w:t>.</w:t>
            </w:r>
            <w:r w:rsidRPr="0087393D">
              <w:rPr>
                <w:rFonts w:cs="Arial"/>
                <w:sz w:val="16"/>
                <w:szCs w:val="16"/>
              </w:rPr>
              <w:t>822</w:t>
            </w:r>
          </w:p>
        </w:tc>
        <w:tc>
          <w:tcPr>
            <w:tcW w:w="956" w:type="dxa"/>
            <w:tcBorders>
              <w:top w:val="nil"/>
              <w:left w:val="nil"/>
              <w:bottom w:val="nil"/>
              <w:right w:val="nil"/>
            </w:tcBorders>
            <w:shd w:val="clear" w:color="auto" w:fill="auto"/>
            <w:vAlign w:val="center"/>
          </w:tcPr>
          <w:p w14:paraId="0DD88320" w14:textId="1CAD8A5B" w:rsidR="004D3126" w:rsidRPr="0087393D" w:rsidRDefault="004D3126" w:rsidP="0087393D">
            <w:pPr>
              <w:spacing w:after="0" w:line="276" w:lineRule="auto"/>
              <w:jc w:val="right"/>
              <w:rPr>
                <w:rFonts w:cs="Arial"/>
                <w:color w:val="000000"/>
                <w:sz w:val="16"/>
                <w:szCs w:val="16"/>
              </w:rPr>
            </w:pPr>
            <w:r w:rsidRPr="0087393D">
              <w:rPr>
                <w:rFonts w:cs="Arial"/>
                <w:sz w:val="16"/>
                <w:szCs w:val="16"/>
              </w:rPr>
              <w:t>2</w:t>
            </w:r>
            <w:r w:rsidRPr="0087393D">
              <w:rPr>
                <w:rFonts w:cs="Arial"/>
                <w:sz w:val="16"/>
                <w:szCs w:val="16"/>
                <w:lang w:val="en-US"/>
              </w:rPr>
              <w:t>.</w:t>
            </w:r>
            <w:r w:rsidRPr="0087393D">
              <w:rPr>
                <w:rFonts w:cs="Arial"/>
                <w:sz w:val="16"/>
                <w:szCs w:val="16"/>
              </w:rPr>
              <w:t>843</w:t>
            </w:r>
          </w:p>
        </w:tc>
        <w:tc>
          <w:tcPr>
            <w:tcW w:w="958" w:type="dxa"/>
            <w:tcBorders>
              <w:top w:val="nil"/>
              <w:left w:val="nil"/>
              <w:bottom w:val="nil"/>
              <w:right w:val="nil"/>
            </w:tcBorders>
            <w:shd w:val="clear" w:color="auto" w:fill="auto"/>
            <w:vAlign w:val="center"/>
          </w:tcPr>
          <w:p w14:paraId="462B0DA2" w14:textId="48A17CBB" w:rsidR="004D3126" w:rsidRPr="0087393D" w:rsidRDefault="004D3126" w:rsidP="0087393D">
            <w:pPr>
              <w:spacing w:after="0" w:line="276" w:lineRule="auto"/>
              <w:jc w:val="right"/>
              <w:rPr>
                <w:rFonts w:cs="Arial"/>
                <w:color w:val="000000"/>
                <w:sz w:val="16"/>
                <w:szCs w:val="16"/>
              </w:rPr>
            </w:pPr>
            <w:r w:rsidRPr="0087393D">
              <w:rPr>
                <w:rFonts w:cs="Arial"/>
                <w:sz w:val="16"/>
                <w:szCs w:val="16"/>
              </w:rPr>
              <w:t>11.361</w:t>
            </w:r>
          </w:p>
        </w:tc>
        <w:tc>
          <w:tcPr>
            <w:tcW w:w="978" w:type="dxa"/>
            <w:tcBorders>
              <w:top w:val="nil"/>
              <w:left w:val="nil"/>
              <w:bottom w:val="nil"/>
              <w:right w:val="nil"/>
            </w:tcBorders>
            <w:shd w:val="clear" w:color="auto" w:fill="auto"/>
            <w:vAlign w:val="center"/>
          </w:tcPr>
          <w:p w14:paraId="7CB6E3BA" w14:textId="763AEA32" w:rsidR="004D3126" w:rsidRPr="0087393D" w:rsidRDefault="004D3126" w:rsidP="0087393D">
            <w:pPr>
              <w:spacing w:after="0" w:line="276" w:lineRule="auto"/>
              <w:jc w:val="right"/>
              <w:rPr>
                <w:rFonts w:cs="Arial"/>
                <w:color w:val="000000"/>
                <w:sz w:val="16"/>
                <w:szCs w:val="16"/>
              </w:rPr>
            </w:pPr>
            <w:r w:rsidRPr="0087393D">
              <w:rPr>
                <w:rFonts w:cs="Arial"/>
                <w:sz w:val="16"/>
                <w:szCs w:val="16"/>
              </w:rPr>
              <w:t>31,12</w:t>
            </w:r>
          </w:p>
        </w:tc>
        <w:tc>
          <w:tcPr>
            <w:tcW w:w="958" w:type="dxa"/>
            <w:tcBorders>
              <w:top w:val="nil"/>
              <w:left w:val="nil"/>
              <w:bottom w:val="nil"/>
              <w:right w:val="nil"/>
            </w:tcBorders>
            <w:shd w:val="clear" w:color="auto" w:fill="auto"/>
            <w:vAlign w:val="center"/>
          </w:tcPr>
          <w:p w14:paraId="0F4B5BA5" w14:textId="4D377F51" w:rsidR="004D3126" w:rsidRPr="0087393D" w:rsidRDefault="004D3126" w:rsidP="0087393D">
            <w:pPr>
              <w:spacing w:after="0" w:line="276" w:lineRule="auto"/>
              <w:jc w:val="right"/>
              <w:rPr>
                <w:rFonts w:cs="Arial"/>
                <w:color w:val="000000"/>
                <w:sz w:val="16"/>
                <w:szCs w:val="16"/>
              </w:rPr>
            </w:pPr>
            <w:r w:rsidRPr="0087393D">
              <w:rPr>
                <w:rFonts w:cs="Arial"/>
                <w:sz w:val="16"/>
                <w:szCs w:val="16"/>
              </w:rPr>
              <w:t>207.009</w:t>
            </w:r>
          </w:p>
        </w:tc>
        <w:tc>
          <w:tcPr>
            <w:tcW w:w="958" w:type="dxa"/>
            <w:tcBorders>
              <w:top w:val="nil"/>
              <w:left w:val="nil"/>
              <w:bottom w:val="nil"/>
              <w:right w:val="single" w:sz="2" w:space="0" w:color="A6A6A6" w:themeColor="background1" w:themeShade="A6"/>
            </w:tcBorders>
            <w:shd w:val="clear" w:color="auto" w:fill="auto"/>
            <w:vAlign w:val="center"/>
          </w:tcPr>
          <w:p w14:paraId="59079332" w14:textId="651C29B4" w:rsidR="004D3126" w:rsidRPr="0087393D" w:rsidRDefault="004D3126" w:rsidP="0087393D">
            <w:pPr>
              <w:spacing w:after="0" w:line="276" w:lineRule="auto"/>
              <w:jc w:val="right"/>
              <w:rPr>
                <w:rFonts w:cs="Arial"/>
                <w:color w:val="000000"/>
                <w:sz w:val="16"/>
                <w:szCs w:val="16"/>
              </w:rPr>
            </w:pPr>
            <w:r w:rsidRPr="0087393D">
              <w:rPr>
                <w:rFonts w:cs="Arial"/>
                <w:sz w:val="16"/>
                <w:szCs w:val="16"/>
              </w:rPr>
              <w:t>5,49</w:t>
            </w:r>
          </w:p>
        </w:tc>
      </w:tr>
      <w:tr w:rsidR="004D3126" w:rsidRPr="0087393D" w14:paraId="7953ECB2" w14:textId="77777777" w:rsidTr="00926B01">
        <w:trPr>
          <w:cantSplit/>
          <w:jc w:val="center"/>
        </w:trPr>
        <w:tc>
          <w:tcPr>
            <w:tcW w:w="956" w:type="dxa"/>
            <w:tcBorders>
              <w:top w:val="nil"/>
              <w:left w:val="single" w:sz="2" w:space="0" w:color="A6A6A6" w:themeColor="background1" w:themeShade="A6"/>
              <w:bottom w:val="nil"/>
              <w:right w:val="nil"/>
            </w:tcBorders>
            <w:shd w:val="clear" w:color="auto" w:fill="auto"/>
            <w:vAlign w:val="center"/>
          </w:tcPr>
          <w:p w14:paraId="2202FAA6" w14:textId="0478D215" w:rsidR="004D3126" w:rsidRPr="0087393D" w:rsidRDefault="004D3126" w:rsidP="0087393D">
            <w:pPr>
              <w:spacing w:after="0" w:line="276" w:lineRule="auto"/>
              <w:jc w:val="center"/>
              <w:rPr>
                <w:rFonts w:cs="Arial"/>
                <w:color w:val="000000"/>
                <w:sz w:val="16"/>
                <w:szCs w:val="16"/>
              </w:rPr>
            </w:pPr>
            <w:r w:rsidRPr="0087393D">
              <w:rPr>
                <w:rFonts w:cs="Arial"/>
                <w:sz w:val="16"/>
                <w:szCs w:val="16"/>
              </w:rPr>
              <w:t>2023</w:t>
            </w:r>
          </w:p>
        </w:tc>
        <w:tc>
          <w:tcPr>
            <w:tcW w:w="957" w:type="dxa"/>
            <w:tcBorders>
              <w:top w:val="nil"/>
              <w:left w:val="nil"/>
              <w:bottom w:val="nil"/>
              <w:right w:val="nil"/>
            </w:tcBorders>
            <w:shd w:val="clear" w:color="auto" w:fill="auto"/>
            <w:vAlign w:val="center"/>
          </w:tcPr>
          <w:p w14:paraId="67567F54" w14:textId="2A20347D" w:rsidR="004D3126" w:rsidRPr="0087393D" w:rsidRDefault="004D3126" w:rsidP="0087393D">
            <w:pPr>
              <w:spacing w:after="0" w:line="276" w:lineRule="auto"/>
              <w:jc w:val="right"/>
              <w:rPr>
                <w:rFonts w:cs="Arial"/>
                <w:color w:val="000000"/>
                <w:sz w:val="16"/>
                <w:szCs w:val="16"/>
              </w:rPr>
            </w:pPr>
            <w:r w:rsidRPr="0087393D">
              <w:rPr>
                <w:rFonts w:cs="Arial"/>
                <w:sz w:val="16"/>
                <w:szCs w:val="16"/>
              </w:rPr>
              <w:t>1</w:t>
            </w:r>
            <w:r w:rsidRPr="0087393D">
              <w:rPr>
                <w:rFonts w:cs="Arial"/>
                <w:sz w:val="16"/>
                <w:szCs w:val="16"/>
                <w:lang w:val="en-US"/>
              </w:rPr>
              <w:t>.</w:t>
            </w:r>
            <w:r w:rsidRPr="0087393D">
              <w:rPr>
                <w:rFonts w:cs="Arial"/>
                <w:sz w:val="16"/>
                <w:szCs w:val="16"/>
              </w:rPr>
              <w:t>716</w:t>
            </w:r>
          </w:p>
        </w:tc>
        <w:tc>
          <w:tcPr>
            <w:tcW w:w="959" w:type="dxa"/>
            <w:tcBorders>
              <w:top w:val="nil"/>
              <w:left w:val="nil"/>
              <w:bottom w:val="nil"/>
              <w:right w:val="nil"/>
            </w:tcBorders>
            <w:shd w:val="clear" w:color="auto" w:fill="auto"/>
            <w:vAlign w:val="center"/>
          </w:tcPr>
          <w:p w14:paraId="7C5FAF3A" w14:textId="308A767A" w:rsidR="004D3126" w:rsidRPr="0087393D" w:rsidRDefault="004D3126" w:rsidP="0087393D">
            <w:pPr>
              <w:spacing w:after="0" w:line="276" w:lineRule="auto"/>
              <w:jc w:val="right"/>
              <w:rPr>
                <w:rFonts w:cs="Arial"/>
                <w:color w:val="000000"/>
                <w:sz w:val="16"/>
                <w:szCs w:val="16"/>
              </w:rPr>
            </w:pPr>
            <w:r w:rsidRPr="0087393D">
              <w:rPr>
                <w:rFonts w:cs="Arial"/>
                <w:sz w:val="16"/>
                <w:szCs w:val="16"/>
              </w:rPr>
              <w:t>7</w:t>
            </w:r>
            <w:r w:rsidRPr="0087393D">
              <w:rPr>
                <w:rFonts w:cs="Arial"/>
                <w:sz w:val="16"/>
                <w:szCs w:val="16"/>
                <w:lang w:val="en-US"/>
              </w:rPr>
              <w:t>.</w:t>
            </w:r>
            <w:r w:rsidRPr="0087393D">
              <w:rPr>
                <w:rFonts w:cs="Arial"/>
                <w:sz w:val="16"/>
                <w:szCs w:val="16"/>
              </w:rPr>
              <w:t>395</w:t>
            </w:r>
          </w:p>
        </w:tc>
        <w:tc>
          <w:tcPr>
            <w:tcW w:w="956" w:type="dxa"/>
            <w:tcBorders>
              <w:top w:val="nil"/>
              <w:left w:val="nil"/>
              <w:bottom w:val="nil"/>
              <w:right w:val="nil"/>
            </w:tcBorders>
            <w:shd w:val="clear" w:color="auto" w:fill="auto"/>
            <w:vAlign w:val="center"/>
          </w:tcPr>
          <w:p w14:paraId="7DD22B9E" w14:textId="4AF002B5" w:rsidR="004D3126" w:rsidRPr="0087393D" w:rsidRDefault="004D3126" w:rsidP="0087393D">
            <w:pPr>
              <w:spacing w:after="0" w:line="276" w:lineRule="auto"/>
              <w:jc w:val="right"/>
              <w:rPr>
                <w:rFonts w:cs="Arial"/>
                <w:color w:val="000000"/>
                <w:sz w:val="16"/>
                <w:szCs w:val="16"/>
              </w:rPr>
            </w:pPr>
            <w:r w:rsidRPr="0087393D">
              <w:rPr>
                <w:rFonts w:cs="Arial"/>
                <w:sz w:val="16"/>
                <w:szCs w:val="16"/>
              </w:rPr>
              <w:t>2</w:t>
            </w:r>
            <w:r w:rsidRPr="0087393D">
              <w:rPr>
                <w:rFonts w:cs="Arial"/>
                <w:sz w:val="16"/>
                <w:szCs w:val="16"/>
                <w:lang w:val="en-US"/>
              </w:rPr>
              <w:t>.</w:t>
            </w:r>
            <w:r w:rsidRPr="0087393D">
              <w:rPr>
                <w:rFonts w:cs="Arial"/>
                <w:sz w:val="16"/>
                <w:szCs w:val="16"/>
              </w:rPr>
              <w:t>089</w:t>
            </w:r>
          </w:p>
        </w:tc>
        <w:tc>
          <w:tcPr>
            <w:tcW w:w="958" w:type="dxa"/>
            <w:tcBorders>
              <w:top w:val="nil"/>
              <w:left w:val="nil"/>
              <w:bottom w:val="nil"/>
              <w:right w:val="nil"/>
            </w:tcBorders>
            <w:shd w:val="clear" w:color="auto" w:fill="auto"/>
            <w:vAlign w:val="center"/>
          </w:tcPr>
          <w:p w14:paraId="02E04DCE" w14:textId="74A4B22B" w:rsidR="004D3126" w:rsidRPr="0087393D" w:rsidRDefault="004D3126" w:rsidP="0087393D">
            <w:pPr>
              <w:spacing w:after="0" w:line="276" w:lineRule="auto"/>
              <w:jc w:val="right"/>
              <w:rPr>
                <w:rFonts w:cs="Arial"/>
                <w:color w:val="000000"/>
                <w:sz w:val="16"/>
                <w:szCs w:val="16"/>
              </w:rPr>
            </w:pPr>
            <w:r w:rsidRPr="0087393D">
              <w:rPr>
                <w:rFonts w:cs="Arial"/>
                <w:sz w:val="16"/>
                <w:szCs w:val="16"/>
              </w:rPr>
              <w:t>11.201</w:t>
            </w:r>
          </w:p>
        </w:tc>
        <w:tc>
          <w:tcPr>
            <w:tcW w:w="978" w:type="dxa"/>
            <w:tcBorders>
              <w:top w:val="nil"/>
              <w:left w:val="nil"/>
              <w:bottom w:val="nil"/>
              <w:right w:val="nil"/>
            </w:tcBorders>
            <w:shd w:val="clear" w:color="auto" w:fill="auto"/>
            <w:vAlign w:val="center"/>
          </w:tcPr>
          <w:p w14:paraId="72157F9F" w14:textId="6D540258" w:rsidR="004D3126" w:rsidRPr="0087393D" w:rsidRDefault="004D3126" w:rsidP="0087393D">
            <w:pPr>
              <w:spacing w:after="0" w:line="276" w:lineRule="auto"/>
              <w:jc w:val="right"/>
              <w:rPr>
                <w:rFonts w:cs="Arial"/>
                <w:color w:val="000000"/>
                <w:sz w:val="16"/>
                <w:szCs w:val="16"/>
              </w:rPr>
            </w:pPr>
            <w:r w:rsidRPr="0087393D">
              <w:rPr>
                <w:rFonts w:cs="Arial"/>
                <w:sz w:val="16"/>
                <w:szCs w:val="16"/>
              </w:rPr>
              <w:t>-1,41</w:t>
            </w:r>
          </w:p>
        </w:tc>
        <w:tc>
          <w:tcPr>
            <w:tcW w:w="958" w:type="dxa"/>
            <w:tcBorders>
              <w:top w:val="nil"/>
              <w:left w:val="nil"/>
              <w:bottom w:val="nil"/>
              <w:right w:val="nil"/>
            </w:tcBorders>
            <w:shd w:val="clear" w:color="auto" w:fill="auto"/>
            <w:vAlign w:val="center"/>
          </w:tcPr>
          <w:p w14:paraId="3DCDE1E9" w14:textId="4AEAEB5F" w:rsidR="004D3126" w:rsidRPr="0087393D" w:rsidRDefault="004D3126" w:rsidP="0087393D">
            <w:pPr>
              <w:spacing w:after="0" w:line="276" w:lineRule="auto"/>
              <w:jc w:val="right"/>
              <w:rPr>
                <w:rFonts w:cs="Arial"/>
                <w:color w:val="000000"/>
                <w:sz w:val="16"/>
                <w:szCs w:val="16"/>
              </w:rPr>
            </w:pPr>
            <w:r w:rsidRPr="0087393D">
              <w:rPr>
                <w:rFonts w:cs="Arial"/>
                <w:sz w:val="16"/>
                <w:szCs w:val="16"/>
              </w:rPr>
              <w:t>224.686</w:t>
            </w:r>
          </w:p>
        </w:tc>
        <w:tc>
          <w:tcPr>
            <w:tcW w:w="958" w:type="dxa"/>
            <w:tcBorders>
              <w:top w:val="nil"/>
              <w:left w:val="nil"/>
              <w:bottom w:val="nil"/>
              <w:right w:val="single" w:sz="2" w:space="0" w:color="A6A6A6" w:themeColor="background1" w:themeShade="A6"/>
            </w:tcBorders>
            <w:shd w:val="clear" w:color="auto" w:fill="auto"/>
            <w:vAlign w:val="center"/>
          </w:tcPr>
          <w:p w14:paraId="1E608ED3" w14:textId="315469AA" w:rsidR="004D3126" w:rsidRPr="0087393D" w:rsidRDefault="004D3126" w:rsidP="0087393D">
            <w:pPr>
              <w:spacing w:after="0" w:line="276" w:lineRule="auto"/>
              <w:jc w:val="right"/>
              <w:rPr>
                <w:rFonts w:cs="Arial"/>
                <w:color w:val="000000"/>
                <w:sz w:val="16"/>
                <w:szCs w:val="16"/>
              </w:rPr>
            </w:pPr>
            <w:r w:rsidRPr="0087393D">
              <w:rPr>
                <w:rFonts w:cs="Arial"/>
                <w:sz w:val="16"/>
                <w:szCs w:val="16"/>
              </w:rPr>
              <w:t>4,99</w:t>
            </w:r>
          </w:p>
        </w:tc>
      </w:tr>
      <w:tr w:rsidR="004D3126" w:rsidRPr="0087393D" w14:paraId="7F8A6A73" w14:textId="77777777" w:rsidTr="00926B01">
        <w:trPr>
          <w:cantSplit/>
          <w:jc w:val="center"/>
        </w:trPr>
        <w:tc>
          <w:tcPr>
            <w:tcW w:w="956" w:type="dxa"/>
            <w:tcBorders>
              <w:top w:val="nil"/>
              <w:left w:val="single" w:sz="2" w:space="0" w:color="A6A6A6" w:themeColor="background1" w:themeShade="A6"/>
              <w:bottom w:val="nil"/>
              <w:right w:val="nil"/>
            </w:tcBorders>
            <w:shd w:val="clear" w:color="auto" w:fill="auto"/>
            <w:vAlign w:val="center"/>
          </w:tcPr>
          <w:p w14:paraId="23AC63C6" w14:textId="78B502F2" w:rsidR="004D3126" w:rsidRPr="0087393D" w:rsidRDefault="004D3126" w:rsidP="0087393D">
            <w:pPr>
              <w:spacing w:after="0" w:line="276" w:lineRule="auto"/>
              <w:jc w:val="center"/>
              <w:rPr>
                <w:rFonts w:cs="Arial"/>
                <w:color w:val="000000"/>
                <w:sz w:val="16"/>
                <w:szCs w:val="16"/>
              </w:rPr>
            </w:pPr>
            <w:r w:rsidRPr="0087393D">
              <w:rPr>
                <w:rFonts w:cs="Arial"/>
                <w:sz w:val="16"/>
                <w:szCs w:val="16"/>
              </w:rPr>
              <w:t>2024</w:t>
            </w:r>
            <w:r w:rsidR="00BE469A" w:rsidRPr="0087393D">
              <w:rPr>
                <w:rFonts w:cs="Arial"/>
                <w:sz w:val="16"/>
                <w:szCs w:val="16"/>
              </w:rPr>
              <w:t>*</w:t>
            </w:r>
          </w:p>
        </w:tc>
        <w:tc>
          <w:tcPr>
            <w:tcW w:w="957" w:type="dxa"/>
            <w:tcBorders>
              <w:top w:val="nil"/>
              <w:left w:val="nil"/>
              <w:bottom w:val="nil"/>
              <w:right w:val="nil"/>
            </w:tcBorders>
            <w:shd w:val="clear" w:color="auto" w:fill="auto"/>
            <w:vAlign w:val="center"/>
          </w:tcPr>
          <w:p w14:paraId="277C6731" w14:textId="09059B99" w:rsidR="004D3126" w:rsidRPr="0087393D" w:rsidRDefault="004D3126" w:rsidP="0087393D">
            <w:pPr>
              <w:spacing w:after="0" w:line="276" w:lineRule="auto"/>
              <w:jc w:val="right"/>
              <w:rPr>
                <w:rFonts w:cs="Arial"/>
                <w:sz w:val="16"/>
                <w:szCs w:val="16"/>
              </w:rPr>
            </w:pPr>
            <w:r w:rsidRPr="0087393D">
              <w:rPr>
                <w:rFonts w:cs="Arial"/>
                <w:sz w:val="16"/>
                <w:szCs w:val="16"/>
              </w:rPr>
              <w:t>2</w:t>
            </w:r>
            <w:r w:rsidRPr="0087393D">
              <w:rPr>
                <w:rFonts w:cs="Arial"/>
                <w:sz w:val="16"/>
                <w:szCs w:val="16"/>
                <w:lang w:val="en-US"/>
              </w:rPr>
              <w:t>.</w:t>
            </w:r>
            <w:r w:rsidRPr="0087393D">
              <w:rPr>
                <w:rFonts w:cs="Arial"/>
                <w:sz w:val="16"/>
                <w:szCs w:val="16"/>
              </w:rPr>
              <w:t>465</w:t>
            </w:r>
          </w:p>
        </w:tc>
        <w:tc>
          <w:tcPr>
            <w:tcW w:w="959" w:type="dxa"/>
            <w:tcBorders>
              <w:top w:val="nil"/>
              <w:left w:val="nil"/>
              <w:bottom w:val="nil"/>
              <w:right w:val="nil"/>
            </w:tcBorders>
            <w:shd w:val="clear" w:color="auto" w:fill="auto"/>
            <w:vAlign w:val="center"/>
          </w:tcPr>
          <w:p w14:paraId="6A8F887B" w14:textId="372EF6BA" w:rsidR="004D3126" w:rsidRPr="0087393D" w:rsidRDefault="004D3126" w:rsidP="0087393D">
            <w:pPr>
              <w:spacing w:after="0" w:line="276" w:lineRule="auto"/>
              <w:jc w:val="right"/>
              <w:rPr>
                <w:rFonts w:cs="Arial"/>
                <w:sz w:val="16"/>
                <w:szCs w:val="16"/>
              </w:rPr>
            </w:pPr>
            <w:r w:rsidRPr="0087393D">
              <w:rPr>
                <w:rFonts w:cs="Arial"/>
                <w:sz w:val="16"/>
                <w:szCs w:val="16"/>
              </w:rPr>
              <w:t>7</w:t>
            </w:r>
            <w:r w:rsidRPr="0087393D">
              <w:rPr>
                <w:rFonts w:cs="Arial"/>
                <w:sz w:val="16"/>
                <w:szCs w:val="16"/>
                <w:lang w:val="en-US"/>
              </w:rPr>
              <w:t>.</w:t>
            </w:r>
            <w:r w:rsidRPr="0087393D">
              <w:rPr>
                <w:rFonts w:cs="Arial"/>
                <w:sz w:val="16"/>
                <w:szCs w:val="16"/>
              </w:rPr>
              <w:t>448</w:t>
            </w:r>
          </w:p>
        </w:tc>
        <w:tc>
          <w:tcPr>
            <w:tcW w:w="956" w:type="dxa"/>
            <w:tcBorders>
              <w:top w:val="nil"/>
              <w:left w:val="nil"/>
              <w:bottom w:val="nil"/>
              <w:right w:val="nil"/>
            </w:tcBorders>
            <w:shd w:val="clear" w:color="auto" w:fill="auto"/>
            <w:vAlign w:val="center"/>
          </w:tcPr>
          <w:p w14:paraId="1F73D40A" w14:textId="1FBC159D" w:rsidR="004D3126" w:rsidRPr="0087393D" w:rsidRDefault="004D3126" w:rsidP="0087393D">
            <w:pPr>
              <w:spacing w:after="0" w:line="276" w:lineRule="auto"/>
              <w:jc w:val="right"/>
              <w:rPr>
                <w:rFonts w:cs="Arial"/>
                <w:sz w:val="16"/>
                <w:szCs w:val="16"/>
              </w:rPr>
            </w:pPr>
            <w:r w:rsidRPr="0087393D">
              <w:rPr>
                <w:rFonts w:cs="Arial"/>
                <w:sz w:val="16"/>
                <w:szCs w:val="16"/>
              </w:rPr>
              <w:t>3</w:t>
            </w:r>
            <w:r w:rsidRPr="0087393D">
              <w:rPr>
                <w:rFonts w:cs="Arial"/>
                <w:sz w:val="16"/>
                <w:szCs w:val="16"/>
                <w:lang w:val="en-US"/>
              </w:rPr>
              <w:t>.</w:t>
            </w:r>
            <w:r w:rsidRPr="0087393D">
              <w:rPr>
                <w:rFonts w:cs="Arial"/>
                <w:sz w:val="16"/>
                <w:szCs w:val="16"/>
              </w:rPr>
              <w:t>401</w:t>
            </w:r>
          </w:p>
        </w:tc>
        <w:tc>
          <w:tcPr>
            <w:tcW w:w="958" w:type="dxa"/>
            <w:tcBorders>
              <w:top w:val="nil"/>
              <w:left w:val="nil"/>
              <w:bottom w:val="nil"/>
              <w:right w:val="nil"/>
            </w:tcBorders>
            <w:shd w:val="clear" w:color="auto" w:fill="auto"/>
            <w:vAlign w:val="center"/>
          </w:tcPr>
          <w:p w14:paraId="399A590D" w14:textId="0D95EBEC" w:rsidR="004D3126" w:rsidRPr="0087393D" w:rsidRDefault="004D3126" w:rsidP="0087393D">
            <w:pPr>
              <w:spacing w:after="0" w:line="276" w:lineRule="auto"/>
              <w:jc w:val="right"/>
              <w:rPr>
                <w:rFonts w:cs="Arial"/>
                <w:sz w:val="16"/>
                <w:szCs w:val="16"/>
              </w:rPr>
            </w:pPr>
            <w:r w:rsidRPr="0087393D">
              <w:rPr>
                <w:rFonts w:cs="Arial"/>
                <w:sz w:val="16"/>
                <w:szCs w:val="16"/>
              </w:rPr>
              <w:t>13.314</w:t>
            </w:r>
          </w:p>
        </w:tc>
        <w:tc>
          <w:tcPr>
            <w:tcW w:w="978" w:type="dxa"/>
            <w:tcBorders>
              <w:top w:val="nil"/>
              <w:left w:val="nil"/>
              <w:bottom w:val="nil"/>
              <w:right w:val="nil"/>
            </w:tcBorders>
            <w:shd w:val="clear" w:color="auto" w:fill="auto"/>
            <w:vAlign w:val="center"/>
          </w:tcPr>
          <w:p w14:paraId="71572442" w14:textId="4B8885F0" w:rsidR="004D3126" w:rsidRPr="0087393D" w:rsidRDefault="004D3126" w:rsidP="0087393D">
            <w:pPr>
              <w:spacing w:after="0" w:line="276" w:lineRule="auto"/>
              <w:jc w:val="right"/>
              <w:rPr>
                <w:rFonts w:cs="Arial"/>
                <w:sz w:val="16"/>
                <w:szCs w:val="16"/>
              </w:rPr>
            </w:pPr>
            <w:r w:rsidRPr="0087393D">
              <w:rPr>
                <w:rFonts w:cs="Arial"/>
                <w:sz w:val="16"/>
                <w:szCs w:val="16"/>
              </w:rPr>
              <w:t>18,86</w:t>
            </w:r>
          </w:p>
        </w:tc>
        <w:tc>
          <w:tcPr>
            <w:tcW w:w="958" w:type="dxa"/>
            <w:tcBorders>
              <w:top w:val="nil"/>
              <w:left w:val="nil"/>
              <w:bottom w:val="nil"/>
              <w:right w:val="nil"/>
            </w:tcBorders>
            <w:shd w:val="clear" w:color="auto" w:fill="auto"/>
            <w:vAlign w:val="center"/>
          </w:tcPr>
          <w:p w14:paraId="3716DE54" w14:textId="4F8733C9" w:rsidR="004D3126" w:rsidRPr="0087393D" w:rsidRDefault="004D3126" w:rsidP="0087393D">
            <w:pPr>
              <w:spacing w:after="0" w:line="276" w:lineRule="auto"/>
              <w:jc w:val="right"/>
              <w:rPr>
                <w:rFonts w:cs="Arial"/>
                <w:sz w:val="16"/>
                <w:szCs w:val="16"/>
              </w:rPr>
            </w:pPr>
            <w:r w:rsidRPr="0087393D">
              <w:rPr>
                <w:rFonts w:cs="Arial"/>
                <w:sz w:val="16"/>
                <w:szCs w:val="16"/>
              </w:rPr>
              <w:t>236.736</w:t>
            </w:r>
          </w:p>
        </w:tc>
        <w:tc>
          <w:tcPr>
            <w:tcW w:w="958" w:type="dxa"/>
            <w:tcBorders>
              <w:top w:val="nil"/>
              <w:left w:val="nil"/>
              <w:bottom w:val="nil"/>
              <w:right w:val="single" w:sz="2" w:space="0" w:color="A6A6A6" w:themeColor="background1" w:themeShade="A6"/>
            </w:tcBorders>
            <w:shd w:val="clear" w:color="auto" w:fill="auto"/>
            <w:vAlign w:val="center"/>
          </w:tcPr>
          <w:p w14:paraId="035C1B27" w14:textId="10DA7991" w:rsidR="004D3126" w:rsidRPr="0087393D" w:rsidRDefault="004D3126" w:rsidP="0087393D">
            <w:pPr>
              <w:spacing w:after="0" w:line="276" w:lineRule="auto"/>
              <w:jc w:val="right"/>
              <w:rPr>
                <w:rFonts w:cs="Arial"/>
                <w:sz w:val="16"/>
                <w:szCs w:val="16"/>
              </w:rPr>
            </w:pPr>
            <w:r w:rsidRPr="0087393D">
              <w:rPr>
                <w:rFonts w:cs="Arial"/>
                <w:sz w:val="16"/>
                <w:szCs w:val="16"/>
              </w:rPr>
              <w:t>5,62</w:t>
            </w:r>
          </w:p>
        </w:tc>
      </w:tr>
      <w:tr w:rsidR="004D3126" w:rsidRPr="0087393D" w14:paraId="0FEFD4EA" w14:textId="77777777" w:rsidTr="00926B01">
        <w:trPr>
          <w:cantSplit/>
          <w:jc w:val="center"/>
        </w:trPr>
        <w:tc>
          <w:tcPr>
            <w:tcW w:w="956" w:type="dxa"/>
            <w:tcBorders>
              <w:top w:val="nil"/>
              <w:left w:val="single" w:sz="2" w:space="0" w:color="A6A6A6" w:themeColor="background1" w:themeShade="A6"/>
              <w:bottom w:val="nil"/>
              <w:right w:val="nil"/>
            </w:tcBorders>
            <w:shd w:val="clear" w:color="auto" w:fill="auto"/>
            <w:vAlign w:val="center"/>
          </w:tcPr>
          <w:p w14:paraId="7C22C252" w14:textId="28767775" w:rsidR="004D3126" w:rsidRPr="0087393D" w:rsidRDefault="004D3126" w:rsidP="0087393D">
            <w:pPr>
              <w:spacing w:after="0" w:line="276" w:lineRule="auto"/>
              <w:jc w:val="center"/>
              <w:rPr>
                <w:rFonts w:cs="Arial"/>
                <w:color w:val="000000"/>
                <w:sz w:val="16"/>
                <w:szCs w:val="16"/>
              </w:rPr>
            </w:pPr>
            <w:r w:rsidRPr="0087393D">
              <w:rPr>
                <w:rFonts w:cs="Arial"/>
                <w:sz w:val="16"/>
                <w:szCs w:val="16"/>
              </w:rPr>
              <w:t>2025*</w:t>
            </w:r>
          </w:p>
        </w:tc>
        <w:tc>
          <w:tcPr>
            <w:tcW w:w="957" w:type="dxa"/>
            <w:tcBorders>
              <w:top w:val="nil"/>
              <w:left w:val="nil"/>
              <w:bottom w:val="nil"/>
              <w:right w:val="nil"/>
            </w:tcBorders>
            <w:shd w:val="clear" w:color="auto" w:fill="auto"/>
            <w:vAlign w:val="center"/>
          </w:tcPr>
          <w:p w14:paraId="5C85D06E" w14:textId="63D19DCA" w:rsidR="004D3126" w:rsidRPr="0087393D" w:rsidRDefault="004D3126" w:rsidP="0087393D">
            <w:pPr>
              <w:spacing w:after="0" w:line="276" w:lineRule="auto"/>
              <w:jc w:val="right"/>
              <w:rPr>
                <w:rFonts w:cs="Arial"/>
                <w:sz w:val="16"/>
                <w:szCs w:val="16"/>
              </w:rPr>
            </w:pPr>
            <w:r w:rsidRPr="0087393D">
              <w:rPr>
                <w:rFonts w:cs="Arial"/>
                <w:sz w:val="16"/>
                <w:szCs w:val="16"/>
              </w:rPr>
              <w:t>3</w:t>
            </w:r>
            <w:r w:rsidRPr="0087393D">
              <w:rPr>
                <w:rFonts w:cs="Arial"/>
                <w:sz w:val="16"/>
                <w:szCs w:val="16"/>
                <w:lang w:val="en-US"/>
              </w:rPr>
              <w:t>.</w:t>
            </w:r>
            <w:r w:rsidRPr="0087393D">
              <w:rPr>
                <w:rFonts w:cs="Arial"/>
                <w:sz w:val="16"/>
                <w:szCs w:val="16"/>
              </w:rPr>
              <w:t>250</w:t>
            </w:r>
          </w:p>
        </w:tc>
        <w:tc>
          <w:tcPr>
            <w:tcW w:w="959" w:type="dxa"/>
            <w:tcBorders>
              <w:top w:val="nil"/>
              <w:left w:val="nil"/>
              <w:bottom w:val="nil"/>
              <w:right w:val="nil"/>
            </w:tcBorders>
            <w:shd w:val="clear" w:color="auto" w:fill="auto"/>
            <w:vAlign w:val="center"/>
          </w:tcPr>
          <w:p w14:paraId="1499E38E" w14:textId="7B9F49DC" w:rsidR="004D3126" w:rsidRPr="0087393D" w:rsidRDefault="004D3126" w:rsidP="0087393D">
            <w:pPr>
              <w:spacing w:after="0" w:line="276" w:lineRule="auto"/>
              <w:jc w:val="right"/>
              <w:rPr>
                <w:rFonts w:cs="Arial"/>
                <w:sz w:val="16"/>
                <w:szCs w:val="16"/>
              </w:rPr>
            </w:pPr>
            <w:r w:rsidRPr="0087393D">
              <w:rPr>
                <w:rFonts w:cs="Arial"/>
                <w:sz w:val="16"/>
                <w:szCs w:val="16"/>
              </w:rPr>
              <w:t>6</w:t>
            </w:r>
            <w:r w:rsidRPr="0087393D">
              <w:rPr>
                <w:rFonts w:cs="Arial"/>
                <w:sz w:val="16"/>
                <w:szCs w:val="16"/>
                <w:lang w:val="en-US"/>
              </w:rPr>
              <w:t>.</w:t>
            </w:r>
            <w:r w:rsidRPr="0087393D">
              <w:rPr>
                <w:rFonts w:cs="Arial"/>
                <w:sz w:val="16"/>
                <w:szCs w:val="16"/>
              </w:rPr>
              <w:t>450</w:t>
            </w:r>
          </w:p>
        </w:tc>
        <w:tc>
          <w:tcPr>
            <w:tcW w:w="956" w:type="dxa"/>
            <w:tcBorders>
              <w:top w:val="nil"/>
              <w:left w:val="nil"/>
              <w:bottom w:val="nil"/>
              <w:right w:val="nil"/>
            </w:tcBorders>
            <w:shd w:val="clear" w:color="auto" w:fill="auto"/>
            <w:vAlign w:val="center"/>
          </w:tcPr>
          <w:p w14:paraId="6EBB7F06" w14:textId="28E18A50" w:rsidR="004D3126" w:rsidRPr="0087393D" w:rsidRDefault="004D3126" w:rsidP="0087393D">
            <w:pPr>
              <w:spacing w:after="0" w:line="276" w:lineRule="auto"/>
              <w:jc w:val="right"/>
              <w:rPr>
                <w:rFonts w:cs="Arial"/>
                <w:sz w:val="16"/>
                <w:szCs w:val="16"/>
              </w:rPr>
            </w:pPr>
            <w:r w:rsidRPr="0087393D">
              <w:rPr>
                <w:rFonts w:cs="Arial"/>
                <w:sz w:val="16"/>
                <w:szCs w:val="16"/>
              </w:rPr>
              <w:t>4</w:t>
            </w:r>
            <w:r w:rsidRPr="0087393D">
              <w:rPr>
                <w:rFonts w:cs="Arial"/>
                <w:sz w:val="16"/>
                <w:szCs w:val="16"/>
                <w:lang w:val="en-US"/>
              </w:rPr>
              <w:t>.</w:t>
            </w:r>
            <w:r w:rsidRPr="0087393D">
              <w:rPr>
                <w:rFonts w:cs="Arial"/>
                <w:sz w:val="16"/>
                <w:szCs w:val="16"/>
              </w:rPr>
              <w:t>900</w:t>
            </w:r>
          </w:p>
        </w:tc>
        <w:tc>
          <w:tcPr>
            <w:tcW w:w="958" w:type="dxa"/>
            <w:tcBorders>
              <w:top w:val="nil"/>
              <w:left w:val="nil"/>
              <w:bottom w:val="nil"/>
              <w:right w:val="nil"/>
            </w:tcBorders>
            <w:shd w:val="clear" w:color="auto" w:fill="auto"/>
            <w:vAlign w:val="center"/>
          </w:tcPr>
          <w:p w14:paraId="2A04EB1D" w14:textId="6F83EF9C" w:rsidR="004D3126" w:rsidRPr="0087393D" w:rsidRDefault="004D3126" w:rsidP="0087393D">
            <w:pPr>
              <w:spacing w:after="0" w:line="276" w:lineRule="auto"/>
              <w:jc w:val="right"/>
              <w:rPr>
                <w:rFonts w:cs="Arial"/>
                <w:sz w:val="16"/>
                <w:szCs w:val="16"/>
              </w:rPr>
            </w:pPr>
            <w:r w:rsidRPr="0087393D">
              <w:rPr>
                <w:rFonts w:cs="Arial"/>
                <w:sz w:val="16"/>
                <w:szCs w:val="16"/>
              </w:rPr>
              <w:t>14.600</w:t>
            </w:r>
          </w:p>
        </w:tc>
        <w:tc>
          <w:tcPr>
            <w:tcW w:w="978" w:type="dxa"/>
            <w:tcBorders>
              <w:top w:val="nil"/>
              <w:left w:val="nil"/>
              <w:bottom w:val="nil"/>
              <w:right w:val="nil"/>
            </w:tcBorders>
            <w:shd w:val="clear" w:color="auto" w:fill="auto"/>
            <w:vAlign w:val="center"/>
          </w:tcPr>
          <w:p w14:paraId="19BC7A99" w14:textId="338C17A1" w:rsidR="004D3126" w:rsidRPr="0087393D" w:rsidRDefault="004D3126" w:rsidP="0087393D">
            <w:pPr>
              <w:spacing w:after="0" w:line="276" w:lineRule="auto"/>
              <w:jc w:val="right"/>
              <w:rPr>
                <w:rFonts w:cs="Arial"/>
                <w:sz w:val="16"/>
                <w:szCs w:val="16"/>
              </w:rPr>
            </w:pPr>
            <w:r w:rsidRPr="0087393D">
              <w:rPr>
                <w:rFonts w:cs="Arial"/>
                <w:sz w:val="16"/>
                <w:szCs w:val="16"/>
              </w:rPr>
              <w:t>9,66</w:t>
            </w:r>
          </w:p>
        </w:tc>
        <w:tc>
          <w:tcPr>
            <w:tcW w:w="958" w:type="dxa"/>
            <w:tcBorders>
              <w:top w:val="nil"/>
              <w:left w:val="nil"/>
              <w:bottom w:val="nil"/>
              <w:right w:val="nil"/>
            </w:tcBorders>
            <w:shd w:val="clear" w:color="auto" w:fill="auto"/>
            <w:vAlign w:val="center"/>
          </w:tcPr>
          <w:p w14:paraId="6EB808DC" w14:textId="20733AF4" w:rsidR="004D3126" w:rsidRPr="0087393D" w:rsidRDefault="004D3126" w:rsidP="0087393D">
            <w:pPr>
              <w:spacing w:after="0" w:line="276" w:lineRule="auto"/>
              <w:jc w:val="right"/>
              <w:rPr>
                <w:rFonts w:cs="Arial"/>
                <w:sz w:val="16"/>
                <w:szCs w:val="16"/>
              </w:rPr>
            </w:pPr>
            <w:r w:rsidRPr="0087393D">
              <w:rPr>
                <w:rFonts w:cs="Arial"/>
                <w:sz w:val="16"/>
                <w:szCs w:val="16"/>
              </w:rPr>
              <w:t>248.697</w:t>
            </w:r>
          </w:p>
        </w:tc>
        <w:tc>
          <w:tcPr>
            <w:tcW w:w="958" w:type="dxa"/>
            <w:tcBorders>
              <w:top w:val="nil"/>
              <w:left w:val="nil"/>
              <w:bottom w:val="nil"/>
              <w:right w:val="single" w:sz="2" w:space="0" w:color="A6A6A6" w:themeColor="background1" w:themeShade="A6"/>
            </w:tcBorders>
            <w:shd w:val="clear" w:color="auto" w:fill="auto"/>
            <w:vAlign w:val="center"/>
          </w:tcPr>
          <w:p w14:paraId="2538D27D" w14:textId="7FA976B5" w:rsidR="004D3126" w:rsidRPr="0087393D" w:rsidRDefault="004D3126" w:rsidP="0087393D">
            <w:pPr>
              <w:spacing w:after="0" w:line="276" w:lineRule="auto"/>
              <w:jc w:val="right"/>
              <w:rPr>
                <w:rFonts w:cs="Arial"/>
                <w:sz w:val="16"/>
                <w:szCs w:val="16"/>
              </w:rPr>
            </w:pPr>
            <w:r w:rsidRPr="0087393D">
              <w:rPr>
                <w:rFonts w:cs="Arial"/>
                <w:sz w:val="16"/>
                <w:szCs w:val="16"/>
              </w:rPr>
              <w:t>5,87</w:t>
            </w:r>
          </w:p>
        </w:tc>
      </w:tr>
      <w:tr w:rsidR="004D3126" w:rsidRPr="0087393D" w14:paraId="5124DD79" w14:textId="77777777" w:rsidTr="00926B01">
        <w:trPr>
          <w:cantSplit/>
          <w:jc w:val="center"/>
        </w:trPr>
        <w:tc>
          <w:tcPr>
            <w:tcW w:w="956" w:type="dxa"/>
            <w:tcBorders>
              <w:top w:val="nil"/>
              <w:left w:val="single" w:sz="2" w:space="0" w:color="A6A6A6" w:themeColor="background1" w:themeShade="A6"/>
              <w:bottom w:val="single" w:sz="2" w:space="0" w:color="A6A6A6" w:themeColor="background1" w:themeShade="A6"/>
              <w:right w:val="nil"/>
            </w:tcBorders>
            <w:shd w:val="clear" w:color="auto" w:fill="auto"/>
            <w:vAlign w:val="center"/>
          </w:tcPr>
          <w:p w14:paraId="7EC7BDC4" w14:textId="233BF651" w:rsidR="004D3126" w:rsidRPr="0087393D" w:rsidRDefault="004D3126" w:rsidP="0087393D">
            <w:pPr>
              <w:spacing w:after="0" w:line="276" w:lineRule="auto"/>
              <w:jc w:val="center"/>
              <w:rPr>
                <w:rFonts w:cs="Arial"/>
                <w:color w:val="000000"/>
                <w:sz w:val="16"/>
                <w:szCs w:val="16"/>
              </w:rPr>
            </w:pPr>
            <w:r w:rsidRPr="0087393D">
              <w:rPr>
                <w:rFonts w:cs="Arial"/>
                <w:sz w:val="16"/>
                <w:szCs w:val="16"/>
              </w:rPr>
              <w:t>2026*</w:t>
            </w:r>
          </w:p>
        </w:tc>
        <w:tc>
          <w:tcPr>
            <w:tcW w:w="957" w:type="dxa"/>
            <w:tcBorders>
              <w:top w:val="nil"/>
              <w:left w:val="nil"/>
              <w:bottom w:val="single" w:sz="2" w:space="0" w:color="A6A6A6" w:themeColor="background1" w:themeShade="A6"/>
              <w:right w:val="nil"/>
            </w:tcBorders>
            <w:shd w:val="clear" w:color="auto" w:fill="auto"/>
            <w:vAlign w:val="center"/>
          </w:tcPr>
          <w:p w14:paraId="4FC80136" w14:textId="4E653EF1" w:rsidR="004D3126" w:rsidRPr="0087393D" w:rsidRDefault="004D3126" w:rsidP="0087393D">
            <w:pPr>
              <w:spacing w:after="0" w:line="276" w:lineRule="auto"/>
              <w:jc w:val="right"/>
              <w:rPr>
                <w:rFonts w:cs="Arial"/>
                <w:sz w:val="16"/>
                <w:szCs w:val="16"/>
              </w:rPr>
            </w:pPr>
            <w:r w:rsidRPr="0087393D">
              <w:rPr>
                <w:rFonts w:cs="Arial"/>
                <w:sz w:val="16"/>
                <w:szCs w:val="16"/>
              </w:rPr>
              <w:t>3</w:t>
            </w:r>
            <w:r w:rsidRPr="0087393D">
              <w:rPr>
                <w:rFonts w:cs="Arial"/>
                <w:sz w:val="16"/>
                <w:szCs w:val="16"/>
                <w:lang w:val="en-US"/>
              </w:rPr>
              <w:t>.</w:t>
            </w:r>
            <w:r w:rsidRPr="0087393D">
              <w:rPr>
                <w:rFonts w:cs="Arial"/>
                <w:sz w:val="16"/>
                <w:szCs w:val="16"/>
              </w:rPr>
              <w:t>300</w:t>
            </w:r>
          </w:p>
        </w:tc>
        <w:tc>
          <w:tcPr>
            <w:tcW w:w="959" w:type="dxa"/>
            <w:tcBorders>
              <w:top w:val="nil"/>
              <w:left w:val="nil"/>
              <w:bottom w:val="single" w:sz="2" w:space="0" w:color="A6A6A6" w:themeColor="background1" w:themeShade="A6"/>
              <w:right w:val="nil"/>
            </w:tcBorders>
            <w:shd w:val="clear" w:color="auto" w:fill="auto"/>
            <w:vAlign w:val="center"/>
          </w:tcPr>
          <w:p w14:paraId="46E35BF1" w14:textId="1D2C8243" w:rsidR="004D3126" w:rsidRPr="0087393D" w:rsidRDefault="004D3126" w:rsidP="0087393D">
            <w:pPr>
              <w:spacing w:after="0" w:line="276" w:lineRule="auto"/>
              <w:jc w:val="right"/>
              <w:rPr>
                <w:rFonts w:cs="Arial"/>
                <w:sz w:val="16"/>
                <w:szCs w:val="16"/>
              </w:rPr>
            </w:pPr>
            <w:r w:rsidRPr="0087393D">
              <w:rPr>
                <w:rFonts w:cs="Arial"/>
                <w:sz w:val="16"/>
                <w:szCs w:val="16"/>
              </w:rPr>
              <w:t>6</w:t>
            </w:r>
            <w:r w:rsidRPr="0087393D">
              <w:rPr>
                <w:rFonts w:cs="Arial"/>
                <w:sz w:val="16"/>
                <w:szCs w:val="16"/>
                <w:lang w:val="en-US"/>
              </w:rPr>
              <w:t>.</w:t>
            </w:r>
            <w:r w:rsidRPr="0087393D">
              <w:rPr>
                <w:rFonts w:cs="Arial"/>
                <w:sz w:val="16"/>
                <w:szCs w:val="16"/>
              </w:rPr>
              <w:t>200</w:t>
            </w:r>
          </w:p>
        </w:tc>
        <w:tc>
          <w:tcPr>
            <w:tcW w:w="956" w:type="dxa"/>
            <w:tcBorders>
              <w:top w:val="nil"/>
              <w:left w:val="nil"/>
              <w:bottom w:val="single" w:sz="2" w:space="0" w:color="A6A6A6" w:themeColor="background1" w:themeShade="A6"/>
              <w:right w:val="nil"/>
            </w:tcBorders>
            <w:shd w:val="clear" w:color="auto" w:fill="auto"/>
            <w:vAlign w:val="center"/>
          </w:tcPr>
          <w:p w14:paraId="1B4B18E6" w14:textId="4F8E0E98" w:rsidR="004D3126" w:rsidRPr="0087393D" w:rsidRDefault="004D3126" w:rsidP="0087393D">
            <w:pPr>
              <w:spacing w:after="0" w:line="276" w:lineRule="auto"/>
              <w:jc w:val="right"/>
              <w:rPr>
                <w:rFonts w:cs="Arial"/>
                <w:sz w:val="16"/>
                <w:szCs w:val="16"/>
              </w:rPr>
            </w:pPr>
            <w:r w:rsidRPr="0087393D">
              <w:rPr>
                <w:rFonts w:cs="Arial"/>
                <w:sz w:val="16"/>
                <w:szCs w:val="16"/>
              </w:rPr>
              <w:t>7</w:t>
            </w:r>
            <w:r w:rsidRPr="0087393D">
              <w:rPr>
                <w:rFonts w:cs="Arial"/>
                <w:sz w:val="16"/>
                <w:szCs w:val="16"/>
                <w:lang w:val="en-US"/>
              </w:rPr>
              <w:t>.</w:t>
            </w:r>
            <w:r w:rsidRPr="0087393D">
              <w:rPr>
                <w:rFonts w:cs="Arial"/>
                <w:sz w:val="16"/>
                <w:szCs w:val="16"/>
              </w:rPr>
              <w:t>192</w:t>
            </w:r>
          </w:p>
        </w:tc>
        <w:tc>
          <w:tcPr>
            <w:tcW w:w="958" w:type="dxa"/>
            <w:tcBorders>
              <w:top w:val="nil"/>
              <w:left w:val="nil"/>
              <w:bottom w:val="single" w:sz="2" w:space="0" w:color="A6A6A6" w:themeColor="background1" w:themeShade="A6"/>
              <w:right w:val="nil"/>
            </w:tcBorders>
            <w:shd w:val="clear" w:color="auto" w:fill="auto"/>
            <w:vAlign w:val="center"/>
          </w:tcPr>
          <w:p w14:paraId="2B06FC0F" w14:textId="17D2B749" w:rsidR="004D3126" w:rsidRPr="0087393D" w:rsidRDefault="004D3126" w:rsidP="0087393D">
            <w:pPr>
              <w:spacing w:after="0" w:line="276" w:lineRule="auto"/>
              <w:jc w:val="right"/>
              <w:rPr>
                <w:rFonts w:cs="Arial"/>
                <w:sz w:val="16"/>
                <w:szCs w:val="16"/>
              </w:rPr>
            </w:pPr>
            <w:r w:rsidRPr="0087393D">
              <w:rPr>
                <w:rFonts w:cs="Arial"/>
                <w:sz w:val="16"/>
                <w:szCs w:val="16"/>
              </w:rPr>
              <w:t>16.692</w:t>
            </w:r>
          </w:p>
        </w:tc>
        <w:tc>
          <w:tcPr>
            <w:tcW w:w="978" w:type="dxa"/>
            <w:tcBorders>
              <w:top w:val="nil"/>
              <w:left w:val="nil"/>
              <w:bottom w:val="single" w:sz="2" w:space="0" w:color="A6A6A6" w:themeColor="background1" w:themeShade="A6"/>
              <w:right w:val="nil"/>
            </w:tcBorders>
            <w:shd w:val="clear" w:color="auto" w:fill="auto"/>
            <w:vAlign w:val="center"/>
          </w:tcPr>
          <w:p w14:paraId="46009062" w14:textId="09CE2BBD" w:rsidR="004D3126" w:rsidRPr="0087393D" w:rsidRDefault="004D3126" w:rsidP="0087393D">
            <w:pPr>
              <w:spacing w:after="0" w:line="276" w:lineRule="auto"/>
              <w:jc w:val="right"/>
              <w:rPr>
                <w:rFonts w:cs="Arial"/>
                <w:sz w:val="16"/>
                <w:szCs w:val="16"/>
              </w:rPr>
            </w:pPr>
            <w:r w:rsidRPr="0087393D">
              <w:rPr>
                <w:rFonts w:cs="Arial"/>
                <w:sz w:val="16"/>
                <w:szCs w:val="16"/>
              </w:rPr>
              <w:t>14,33</w:t>
            </w:r>
          </w:p>
        </w:tc>
        <w:tc>
          <w:tcPr>
            <w:tcW w:w="958" w:type="dxa"/>
            <w:tcBorders>
              <w:top w:val="nil"/>
              <w:left w:val="nil"/>
              <w:bottom w:val="single" w:sz="2" w:space="0" w:color="A6A6A6" w:themeColor="background1" w:themeShade="A6"/>
              <w:right w:val="nil"/>
            </w:tcBorders>
            <w:shd w:val="clear" w:color="auto" w:fill="auto"/>
            <w:vAlign w:val="center"/>
          </w:tcPr>
          <w:p w14:paraId="1EAFDDA4" w14:textId="45709853" w:rsidR="004D3126" w:rsidRPr="0087393D" w:rsidRDefault="004D3126" w:rsidP="0087393D">
            <w:pPr>
              <w:spacing w:after="0" w:line="276" w:lineRule="auto"/>
              <w:jc w:val="right"/>
              <w:rPr>
                <w:rFonts w:cs="Arial"/>
                <w:sz w:val="16"/>
                <w:szCs w:val="16"/>
              </w:rPr>
            </w:pPr>
            <w:r w:rsidRPr="0087393D">
              <w:rPr>
                <w:rFonts w:cs="Arial"/>
                <w:sz w:val="16"/>
                <w:szCs w:val="16"/>
              </w:rPr>
              <w:t>260.035</w:t>
            </w:r>
          </w:p>
        </w:tc>
        <w:tc>
          <w:tcPr>
            <w:tcW w:w="958" w:type="dxa"/>
            <w:tcBorders>
              <w:top w:val="nil"/>
              <w:left w:val="nil"/>
              <w:bottom w:val="single" w:sz="2" w:space="0" w:color="A6A6A6" w:themeColor="background1" w:themeShade="A6"/>
              <w:right w:val="single" w:sz="2" w:space="0" w:color="A6A6A6" w:themeColor="background1" w:themeShade="A6"/>
            </w:tcBorders>
            <w:shd w:val="clear" w:color="auto" w:fill="auto"/>
            <w:vAlign w:val="center"/>
          </w:tcPr>
          <w:p w14:paraId="5BD68E7B" w14:textId="0B907781" w:rsidR="004D3126" w:rsidRPr="0087393D" w:rsidRDefault="004D3126" w:rsidP="0087393D">
            <w:pPr>
              <w:spacing w:after="0" w:line="276" w:lineRule="auto"/>
              <w:jc w:val="right"/>
              <w:rPr>
                <w:rFonts w:cs="Arial"/>
                <w:sz w:val="16"/>
                <w:szCs w:val="16"/>
              </w:rPr>
            </w:pPr>
            <w:r w:rsidRPr="0087393D">
              <w:rPr>
                <w:rFonts w:cs="Arial"/>
                <w:sz w:val="16"/>
                <w:szCs w:val="16"/>
              </w:rPr>
              <w:t>6,42</w:t>
            </w:r>
          </w:p>
        </w:tc>
      </w:tr>
      <w:tr w:rsidR="00ED700F" w:rsidRPr="0087393D" w14:paraId="6030679D" w14:textId="77777777" w:rsidTr="00926B01">
        <w:trPr>
          <w:cantSplit/>
          <w:jc w:val="center"/>
        </w:trPr>
        <w:tc>
          <w:tcPr>
            <w:tcW w:w="7680" w:type="dxa"/>
            <w:gridSpan w:val="8"/>
            <w:tcBorders>
              <w:top w:val="single" w:sz="2" w:space="0" w:color="A6A6A6" w:themeColor="background1" w:themeShade="A6"/>
              <w:left w:val="nil"/>
              <w:bottom w:val="nil"/>
              <w:right w:val="nil"/>
            </w:tcBorders>
            <w:shd w:val="clear" w:color="auto" w:fill="auto"/>
            <w:vAlign w:val="center"/>
            <w:hideMark/>
          </w:tcPr>
          <w:p w14:paraId="206154E1" w14:textId="77777777" w:rsidR="00926B01" w:rsidRDefault="00ED700F" w:rsidP="00790111">
            <w:pPr>
              <w:tabs>
                <w:tab w:val="left" w:pos="113"/>
              </w:tabs>
              <w:spacing w:before="60" w:after="0" w:line="276" w:lineRule="auto"/>
              <w:ind w:left="113" w:hanging="113"/>
              <w:rPr>
                <w:rFonts w:cs="Arial"/>
                <w:color w:val="000000"/>
                <w:sz w:val="16"/>
                <w:szCs w:val="16"/>
              </w:rPr>
            </w:pPr>
            <w:r w:rsidRPr="0087393D">
              <w:rPr>
                <w:rFonts w:cs="Arial"/>
                <w:color w:val="000000"/>
                <w:sz w:val="16"/>
                <w:szCs w:val="16"/>
              </w:rPr>
              <w:t>*</w:t>
            </w:r>
            <w:r w:rsidRPr="0087393D">
              <w:rPr>
                <w:rFonts w:cs="Arial"/>
                <w:color w:val="000000"/>
                <w:sz w:val="16"/>
                <w:szCs w:val="16"/>
              </w:rPr>
              <w:tab/>
              <w:t>Τα ποσά για τον προϋπολογισμό δημοσίων επενδύσεων και το ΑΕΠ αποτελούν για το έτος 202</w:t>
            </w:r>
            <w:r w:rsidR="004D3126" w:rsidRPr="0087393D">
              <w:rPr>
                <w:rFonts w:cs="Arial"/>
                <w:color w:val="000000"/>
                <w:sz w:val="16"/>
                <w:szCs w:val="16"/>
              </w:rPr>
              <w:t>5</w:t>
            </w:r>
            <w:r w:rsidRPr="0087393D">
              <w:rPr>
                <w:rFonts w:cs="Arial"/>
                <w:color w:val="000000"/>
                <w:sz w:val="16"/>
                <w:szCs w:val="16"/>
              </w:rPr>
              <w:t xml:space="preserve"> εκτίμηση και για το</w:t>
            </w:r>
            <w:r w:rsidR="004D3126" w:rsidRPr="0087393D">
              <w:rPr>
                <w:rFonts w:cs="Arial"/>
                <w:color w:val="000000"/>
                <w:sz w:val="16"/>
                <w:szCs w:val="16"/>
              </w:rPr>
              <w:t xml:space="preserve"> </w:t>
            </w:r>
            <w:r w:rsidRPr="0087393D">
              <w:rPr>
                <w:rFonts w:cs="Arial"/>
                <w:color w:val="000000"/>
                <w:sz w:val="16"/>
                <w:szCs w:val="16"/>
              </w:rPr>
              <w:t>202</w:t>
            </w:r>
            <w:r w:rsidR="004D3126" w:rsidRPr="0087393D">
              <w:rPr>
                <w:rFonts w:cs="Arial"/>
                <w:color w:val="000000"/>
                <w:sz w:val="16"/>
                <w:szCs w:val="16"/>
              </w:rPr>
              <w:t>6</w:t>
            </w:r>
            <w:r w:rsidRPr="0087393D">
              <w:rPr>
                <w:rFonts w:cs="Arial"/>
                <w:color w:val="000000"/>
                <w:sz w:val="16"/>
                <w:szCs w:val="16"/>
              </w:rPr>
              <w:t xml:space="preserve"> πρόβλεψη, ενώ τα ποσά των δαπανών έως και το 202</w:t>
            </w:r>
            <w:r w:rsidR="004D3126" w:rsidRPr="0087393D">
              <w:rPr>
                <w:rFonts w:cs="Arial"/>
                <w:color w:val="000000"/>
                <w:sz w:val="16"/>
                <w:szCs w:val="16"/>
              </w:rPr>
              <w:t>4</w:t>
            </w:r>
            <w:r w:rsidRPr="0087393D">
              <w:rPr>
                <w:rFonts w:cs="Arial"/>
                <w:color w:val="000000"/>
                <w:sz w:val="16"/>
                <w:szCs w:val="16"/>
              </w:rPr>
              <w:t xml:space="preserve"> αποτελούν στοιχεία του επίσημου Απολογισμού του Κράτους.</w:t>
            </w:r>
          </w:p>
          <w:p w14:paraId="0E514E2A" w14:textId="20BA2670" w:rsidR="00ED700F" w:rsidRPr="0087393D" w:rsidRDefault="00926B01" w:rsidP="00790111">
            <w:pPr>
              <w:tabs>
                <w:tab w:val="left" w:pos="113"/>
              </w:tabs>
              <w:spacing w:before="60" w:after="0" w:line="276" w:lineRule="auto"/>
              <w:rPr>
                <w:rFonts w:cs="Arial"/>
                <w:color w:val="000000"/>
                <w:sz w:val="16"/>
                <w:szCs w:val="16"/>
              </w:rPr>
            </w:pPr>
            <w:r w:rsidRPr="0087393D">
              <w:rPr>
                <w:rFonts w:cs="Arial"/>
                <w:color w:val="000000"/>
                <w:sz w:val="16"/>
                <w:szCs w:val="16"/>
              </w:rPr>
              <w:t xml:space="preserve">Πηγή: </w:t>
            </w:r>
            <w:r w:rsidRPr="0087393D">
              <w:rPr>
                <w:rFonts w:cs="Arial"/>
                <w:sz w:val="16"/>
                <w:szCs w:val="16"/>
              </w:rPr>
              <w:t>Υπουργείο Εθνικής Οικονομίας και Οικονομικών (Γενικό Λογιστήριο του Κράτους, Διεύθυνση Μακροοικονομικής Πολιτικής και Προβλέψεων), Ελληνική Στατιστική Αρχή, International Monetary Fund</w:t>
            </w:r>
          </w:p>
        </w:tc>
      </w:tr>
    </w:tbl>
    <w:p w14:paraId="7B9BD0BF" w14:textId="7F4C2944" w:rsidR="00467717" w:rsidRPr="00456B28" w:rsidRDefault="00C303D4" w:rsidP="00C303D4">
      <w:pPr>
        <w:spacing w:before="240"/>
      </w:pPr>
      <w:r w:rsidRPr="00C93B19">
        <w:t>Από την ανάλυση των στοιχείων προκύπτει ότι οι δαπάνες του ΑΠΔΕ από το 2020 και</w:t>
      </w:r>
      <w:r>
        <w:t xml:space="preserve"> </w:t>
      </w:r>
      <w:r w:rsidRPr="00C93B19">
        <w:t>μετά κυμαίνονται μεταξύ 4,</w:t>
      </w:r>
      <w:r>
        <w:t>7</w:t>
      </w:r>
      <w:r w:rsidRPr="00C93B19">
        <w:t>%</w:t>
      </w:r>
      <w:r w:rsidR="000E6B66">
        <w:t xml:space="preserve"> </w:t>
      </w:r>
      <w:r w:rsidRPr="00C93B19">
        <w:t>-</w:t>
      </w:r>
      <w:r w:rsidR="000E6B66">
        <w:t xml:space="preserve"> </w:t>
      </w:r>
      <w:r w:rsidRPr="00C93B19">
        <w:t xml:space="preserve">6,4% του ΑΕΠ, ποσοστό σημαντικά υψηλότερο </w:t>
      </w:r>
      <w:r w:rsidR="000E6B66">
        <w:t xml:space="preserve">έναντι του </w:t>
      </w:r>
      <w:r w:rsidRPr="00C93B19">
        <w:t>3%</w:t>
      </w:r>
      <w:r w:rsidR="000E6B66">
        <w:t xml:space="preserve"> </w:t>
      </w:r>
      <w:r w:rsidRPr="00C93B19">
        <w:t>-</w:t>
      </w:r>
      <w:r w:rsidR="000E6B66">
        <w:t xml:space="preserve"> </w:t>
      </w:r>
      <w:r w:rsidRPr="00C93B19">
        <w:t>3,7% του ΑΕΠ</w:t>
      </w:r>
      <w:r w:rsidR="000E6B66">
        <w:t>,</w:t>
      </w:r>
      <w:r w:rsidRPr="00C93B19">
        <w:t xml:space="preserve"> που σημειωνόταν παλαιότερα. </w:t>
      </w:r>
      <w:r w:rsidR="00526275">
        <w:t>Το</w:t>
      </w:r>
      <w:r w:rsidRPr="00C93B19">
        <w:t xml:space="preserve"> 2025 υλοποιείται το μεγαλύτερο</w:t>
      </w:r>
      <w:r>
        <w:t xml:space="preserve"> </w:t>
      </w:r>
      <w:r w:rsidRPr="00C93B19">
        <w:t>ΑΠΔΕ των τελευταίων 15 ετών, με εκτιμώμενες δαπάνες 14,6 δισ. ευρώ και αύξηση 9,7%</w:t>
      </w:r>
      <w:r>
        <w:t xml:space="preserve"> </w:t>
      </w:r>
      <w:r w:rsidRPr="00C93B19">
        <w:t>σε σχέση με το ήδη σημαντικά αυξημένο ΑΠΔΕ του 2024. Η ανοδική πορεία των διαθέσιμων</w:t>
      </w:r>
      <w:r>
        <w:t xml:space="preserve"> </w:t>
      </w:r>
      <w:r w:rsidRPr="00C93B19">
        <w:t xml:space="preserve">πόρων για επενδύσεις συνεχίζεται και το 2026, με περαιτέρω αύξηση του </w:t>
      </w:r>
      <w:r w:rsidR="000E6B66">
        <w:t>πρ</w:t>
      </w:r>
      <w:r w:rsidRPr="00C93B19">
        <w:t>οϋπολογισμού</w:t>
      </w:r>
      <w:r>
        <w:t xml:space="preserve"> </w:t>
      </w:r>
      <w:r w:rsidR="000E6B66">
        <w:t>δ</w:t>
      </w:r>
      <w:r w:rsidRPr="00C93B19">
        <w:t xml:space="preserve">ημοσίων </w:t>
      </w:r>
      <w:r w:rsidR="000E6B66">
        <w:t>ε</w:t>
      </w:r>
      <w:r w:rsidRPr="00C93B19">
        <w:t>πενδύσεων κατά 14,5% σε σχέση με το προηγούμενο έτος. Οι πόροι</w:t>
      </w:r>
      <w:r w:rsidR="000E6B66">
        <w:t xml:space="preserve"> του</w:t>
      </w:r>
      <w:r w:rsidRPr="00C93B19">
        <w:t xml:space="preserve"> ΑΠΔΕ</w:t>
      </w:r>
      <w:r>
        <w:t xml:space="preserve"> για το </w:t>
      </w:r>
      <w:r w:rsidRPr="00C93B19">
        <w:t>2026 αντιστοιχούν σ</w:t>
      </w:r>
      <w:r w:rsidR="000E6B66">
        <w:t>ε</w:t>
      </w:r>
      <w:r w:rsidRPr="00C93B19">
        <w:t xml:space="preserve"> 6,4% του ΑΕΠ.</w:t>
      </w:r>
    </w:p>
    <w:p w14:paraId="78E475A3" w14:textId="7C5973A9" w:rsidR="00C83318" w:rsidRPr="004642EB" w:rsidRDefault="00C83318" w:rsidP="009916B1">
      <w:pPr>
        <w:spacing w:before="240"/>
        <w:rPr>
          <w:rFonts w:cs="Arial"/>
          <w:b/>
          <w:szCs w:val="20"/>
        </w:rPr>
      </w:pPr>
      <w:r w:rsidRPr="00464BEE">
        <w:rPr>
          <w:rFonts w:cs="Arial"/>
          <w:b/>
          <w:szCs w:val="20"/>
        </w:rPr>
        <w:t xml:space="preserve">Προϋπολογισμός </w:t>
      </w:r>
      <w:r w:rsidR="00030E78" w:rsidRPr="00464BEE">
        <w:rPr>
          <w:rFonts w:cs="Arial"/>
          <w:b/>
          <w:szCs w:val="20"/>
        </w:rPr>
        <w:t xml:space="preserve">δημοσίων επενδύσεων </w:t>
      </w:r>
      <w:r w:rsidRPr="00464BEE">
        <w:rPr>
          <w:rFonts w:cs="Arial"/>
          <w:b/>
          <w:szCs w:val="20"/>
        </w:rPr>
        <w:t>έτους 202</w:t>
      </w:r>
      <w:r w:rsidR="004642EB" w:rsidRPr="004642EB">
        <w:rPr>
          <w:rFonts w:cs="Arial"/>
          <w:b/>
          <w:szCs w:val="20"/>
        </w:rPr>
        <w:t>5</w:t>
      </w:r>
    </w:p>
    <w:p w14:paraId="2EFD48A4" w14:textId="2047821A" w:rsidR="004642EB" w:rsidRPr="000728AD" w:rsidRDefault="004642EB" w:rsidP="004C69B7">
      <w:pPr>
        <w:rPr>
          <w:rFonts w:asciiTheme="minorHAnsi" w:hAnsiTheme="minorHAnsi"/>
          <w:szCs w:val="22"/>
        </w:rPr>
      </w:pPr>
      <w:bookmarkStart w:id="374" w:name="_Toc497856338"/>
      <w:bookmarkStart w:id="375" w:name="_Toc497856991"/>
      <w:bookmarkStart w:id="376" w:name="_Toc23409304"/>
      <w:r>
        <w:t xml:space="preserve">Ο προϋπολογισμός δημοσίων επενδύσεων έτους 2025, οι δαπάνες του οποίου περιλαμβάνονται στις πιστώσεις υπό κατανομή, προέβλεπε όριο δαπανών συνολικού ύψους 9.200 εκατ. ευρώ, το οποίο επιμεριζόταν σε 6.450 εκατ. ευρώ για έργα του συγχρηματοδοτούμενου σκέλους και </w:t>
      </w:r>
      <w:r w:rsidR="007E1C22">
        <w:t xml:space="preserve">σε </w:t>
      </w:r>
      <w:r>
        <w:t xml:space="preserve">2.750 εκατ. ευρώ </w:t>
      </w:r>
      <w:r>
        <w:lastRenderedPageBreak/>
        <w:t xml:space="preserve">για έργα που χρηματοδοτούνται αμιγώς από εθνικούς πόρους. Επίσης, προέβλεπε </w:t>
      </w:r>
      <w:r w:rsidR="0061447C">
        <w:t xml:space="preserve">ποσό ύψους </w:t>
      </w:r>
      <w:r>
        <w:t xml:space="preserve">4.900 εκατ. ευρώ για έργα χρηματοδοτούμενα από το ΤΑΑ. Τον </w:t>
      </w:r>
      <w:r w:rsidRPr="000728AD">
        <w:t>Ιούλιο</w:t>
      </w:r>
      <w:r>
        <w:t xml:space="preserve"> 2025 ψηφίστηκε συμπληρωματικός προϋπολογισμός ύψους 500 εκατ. ευρώ</w:t>
      </w:r>
      <w:r w:rsidR="0061447C" w:rsidRPr="0061447C">
        <w:t xml:space="preserve"> </w:t>
      </w:r>
      <w:r w:rsidR="0061447C">
        <w:t xml:space="preserve">στο εθνικό σκέλος </w:t>
      </w:r>
      <w:r w:rsidR="00BB5BFA">
        <w:t>διαμορφώνοντας</w:t>
      </w:r>
      <w:r w:rsidR="0061447C">
        <w:t xml:space="preserve"> το όριο δαπανών σε 3.250 εκατ. ευρώ</w:t>
      </w:r>
      <w:r>
        <w:t>, με στόχο την επιτάχυνση της υλοποίησης δημόσιων έργων, την προώθηση δράσεων κοινωνικού χαρακτήρα και την εξόφληση σχετικών υποχρεώσεων.</w:t>
      </w:r>
    </w:p>
    <w:p w14:paraId="45D88BE7" w14:textId="2A30C5F9" w:rsidR="004642EB" w:rsidRDefault="00BB5BFA" w:rsidP="004C69B7">
      <w:r>
        <w:t>Ο κ</w:t>
      </w:r>
      <w:r w:rsidR="004642EB" w:rsidRPr="00C558E9">
        <w:t xml:space="preserve">ύριος στόχος </w:t>
      </w:r>
      <w:r w:rsidR="004642EB">
        <w:t>της υλοποίησης</w:t>
      </w:r>
      <w:r>
        <w:t xml:space="preserve"> των</w:t>
      </w:r>
      <w:r w:rsidR="004642EB">
        <w:t xml:space="preserve"> έργων και </w:t>
      </w:r>
      <w:r>
        <w:t xml:space="preserve">των </w:t>
      </w:r>
      <w:r w:rsidR="004642EB">
        <w:t xml:space="preserve">προγραμμάτων του ΑΠΔΕ </w:t>
      </w:r>
      <w:r w:rsidR="004642EB" w:rsidRPr="00C558E9">
        <w:t>για το 2025</w:t>
      </w:r>
      <w:r w:rsidR="004642EB">
        <w:t xml:space="preserve"> </w:t>
      </w:r>
      <w:r>
        <w:t>συνίστατο στ</w:t>
      </w:r>
      <w:r w:rsidR="004642EB" w:rsidRPr="00A40373">
        <w:t>η</w:t>
      </w:r>
      <w:r>
        <w:t>ν</w:t>
      </w:r>
      <w:r w:rsidR="004642EB" w:rsidRPr="00A40373">
        <w:t xml:space="preserve"> επιτάχυνση της βελτ</w:t>
      </w:r>
      <w:r w:rsidR="004642EB" w:rsidRPr="00C558E9">
        <w:t xml:space="preserve">ίωσης του βιοτικού επιπέδου και της ευημερίας όλων των πολιτών σε όλες τις γεωγραφικές περιοχές της </w:t>
      </w:r>
      <w:r w:rsidR="004642EB">
        <w:t>χώρας</w:t>
      </w:r>
      <w:r w:rsidR="004642EB" w:rsidRPr="00C558E9">
        <w:t xml:space="preserve"> και </w:t>
      </w:r>
      <w:r>
        <w:t>στ</w:t>
      </w:r>
      <w:r w:rsidR="004642EB" w:rsidRPr="00C558E9">
        <w:t>η</w:t>
      </w:r>
      <w:r>
        <w:t>ν</w:t>
      </w:r>
      <w:r w:rsidR="004642EB" w:rsidRPr="00C558E9">
        <w:t xml:space="preserve"> ταχύτερη σύγκλιση με τον μέσο όρο της ΕΕ σε όλο το φάσμα των οικονομικών και κοινωνικών επιδόσεων. Αυτός ο στόχος ευθυγραμμίζεται απόλυτα με </w:t>
      </w:r>
      <w:r w:rsidR="004642EB">
        <w:t>τους</w:t>
      </w:r>
      <w:r w:rsidR="004642EB" w:rsidRPr="00C558E9">
        <w:t xml:space="preserve"> στόχο</w:t>
      </w:r>
      <w:r w:rsidR="004642EB">
        <w:t>υς</w:t>
      </w:r>
      <w:r w:rsidR="004642EB" w:rsidRPr="00C558E9">
        <w:t>:</w:t>
      </w:r>
    </w:p>
    <w:p w14:paraId="22AB7420" w14:textId="77777777" w:rsidR="004642EB" w:rsidRPr="00844F56" w:rsidRDefault="004642EB" w:rsidP="004C69B7">
      <w:pPr>
        <w:numPr>
          <w:ilvl w:val="0"/>
          <w:numId w:val="1"/>
        </w:numPr>
        <w:spacing w:before="120" w:after="60"/>
        <w:ind w:left="568" w:hanging="284"/>
        <w:rPr>
          <w:rFonts w:cs="Arial"/>
          <w:szCs w:val="20"/>
        </w:rPr>
      </w:pPr>
      <w:r w:rsidRPr="00844F56">
        <w:rPr>
          <w:rFonts w:cs="Arial"/>
          <w:szCs w:val="20"/>
        </w:rPr>
        <w:t xml:space="preserve">της </w:t>
      </w:r>
      <w:r w:rsidRPr="008C5CD9">
        <w:rPr>
          <w:rFonts w:cs="Arial"/>
          <w:b/>
          <w:szCs w:val="20"/>
        </w:rPr>
        <w:t>Συμφωνίας Εταιρικής Σχέσης της Ελλάδας με την Ευρωπαϊκή Επιτροπή</w:t>
      </w:r>
      <w:r>
        <w:rPr>
          <w:rFonts w:cs="Arial"/>
          <w:b/>
          <w:szCs w:val="20"/>
        </w:rPr>
        <w:t xml:space="preserve"> (ΕΣΠΑ)</w:t>
      </w:r>
      <w:r w:rsidRPr="008C5CD9">
        <w:rPr>
          <w:rFonts w:cs="Arial"/>
          <w:b/>
          <w:szCs w:val="20"/>
        </w:rPr>
        <w:t xml:space="preserve"> 2021</w:t>
      </w:r>
      <w:r>
        <w:rPr>
          <w:rFonts w:cs="Arial"/>
          <w:b/>
          <w:szCs w:val="20"/>
        </w:rPr>
        <w:t xml:space="preserve"> </w:t>
      </w:r>
      <w:r w:rsidRPr="008C5CD9">
        <w:rPr>
          <w:rFonts w:cs="Arial"/>
          <w:b/>
          <w:szCs w:val="20"/>
        </w:rPr>
        <w:t>-</w:t>
      </w:r>
      <w:r>
        <w:rPr>
          <w:rFonts w:cs="Arial"/>
          <w:b/>
          <w:szCs w:val="20"/>
        </w:rPr>
        <w:t xml:space="preserve"> </w:t>
      </w:r>
      <w:r w:rsidRPr="008C5CD9">
        <w:rPr>
          <w:rFonts w:cs="Arial"/>
          <w:b/>
          <w:szCs w:val="20"/>
        </w:rPr>
        <w:t>2027</w:t>
      </w:r>
      <w:r w:rsidRPr="00844F56">
        <w:rPr>
          <w:rFonts w:cs="Arial"/>
          <w:szCs w:val="20"/>
        </w:rPr>
        <w:t>, που θέτει προτεραιότητες για την ενίσχυση του παραγωγικού δυναμικού της οικονομίας, την ανάπτυξη των υποδομών και των ανθρώπινων δεξιοτήτων</w:t>
      </w:r>
      <w:r>
        <w:rPr>
          <w:rFonts w:cs="Arial"/>
          <w:szCs w:val="20"/>
        </w:rPr>
        <w:t>,</w:t>
      </w:r>
    </w:p>
    <w:p w14:paraId="2692B2FD" w14:textId="750055E4" w:rsidR="004642EB" w:rsidRPr="00844F56" w:rsidRDefault="004642EB" w:rsidP="004C69B7">
      <w:pPr>
        <w:numPr>
          <w:ilvl w:val="0"/>
          <w:numId w:val="1"/>
        </w:numPr>
        <w:spacing w:before="60" w:after="60"/>
        <w:ind w:left="568" w:hanging="284"/>
        <w:rPr>
          <w:rFonts w:cs="Arial"/>
          <w:szCs w:val="20"/>
        </w:rPr>
      </w:pPr>
      <w:r w:rsidRPr="00844F56">
        <w:rPr>
          <w:rFonts w:cs="Arial"/>
          <w:szCs w:val="20"/>
        </w:rPr>
        <w:t xml:space="preserve">του </w:t>
      </w:r>
      <w:r w:rsidRPr="008C5CD9">
        <w:rPr>
          <w:rFonts w:cs="Arial"/>
          <w:b/>
          <w:szCs w:val="20"/>
        </w:rPr>
        <w:t>Εθνικού Σχεδίου Ανάκαμψης και Ανθεκτικότητας «Ελλάδα 2.0»</w:t>
      </w:r>
      <w:r w:rsidRPr="005F06DA">
        <w:rPr>
          <w:rFonts w:cs="Arial"/>
          <w:szCs w:val="20"/>
        </w:rPr>
        <w:t>,</w:t>
      </w:r>
      <w:r>
        <w:rPr>
          <w:rFonts w:cs="Arial"/>
          <w:b/>
          <w:szCs w:val="20"/>
        </w:rPr>
        <w:t xml:space="preserve"> </w:t>
      </w:r>
      <w:r w:rsidRPr="005F06DA">
        <w:rPr>
          <w:rFonts w:cs="Arial"/>
          <w:szCs w:val="20"/>
        </w:rPr>
        <w:t>μέσω του οποίο</w:t>
      </w:r>
      <w:r>
        <w:rPr>
          <w:rFonts w:cs="Arial"/>
          <w:szCs w:val="20"/>
        </w:rPr>
        <w:t xml:space="preserve">υ </w:t>
      </w:r>
      <w:r w:rsidRPr="00844F56">
        <w:rPr>
          <w:rFonts w:cs="Arial"/>
          <w:szCs w:val="20"/>
        </w:rPr>
        <w:t>ενισχύονται είτε με τη μορφή επιχορηγήσεων είτε μέσω δανειοδότησης φορέων, φυσικών ή νομικών προσώπων</w:t>
      </w:r>
      <w:r>
        <w:rPr>
          <w:rFonts w:cs="Arial"/>
          <w:szCs w:val="20"/>
        </w:rPr>
        <w:t>,</w:t>
      </w:r>
      <w:r w:rsidRPr="00844F56">
        <w:rPr>
          <w:rFonts w:cs="Arial"/>
          <w:szCs w:val="20"/>
        </w:rPr>
        <w:t xml:space="preserve"> η απασχόληση και η κοινωνική συνοχή, η πράσινη οικονομία, η ψηφιοποίηση στον ιδιωτικό και τον ευρύτερο δημόσιο τομέα κ.</w:t>
      </w:r>
      <w:r>
        <w:rPr>
          <w:rFonts w:cs="Arial"/>
          <w:szCs w:val="20"/>
        </w:rPr>
        <w:t>λπ</w:t>
      </w:r>
      <w:r w:rsidRPr="00844F56">
        <w:rPr>
          <w:rFonts w:cs="Arial"/>
          <w:szCs w:val="20"/>
        </w:rPr>
        <w:t>.</w:t>
      </w:r>
      <w:r w:rsidR="004C69B7">
        <w:rPr>
          <w:rFonts w:cs="Arial"/>
          <w:szCs w:val="20"/>
        </w:rPr>
        <w:t xml:space="preserve"> και</w:t>
      </w:r>
    </w:p>
    <w:p w14:paraId="64E952B3" w14:textId="3285DB7F" w:rsidR="004642EB" w:rsidRDefault="004642EB" w:rsidP="004C69B7">
      <w:pPr>
        <w:numPr>
          <w:ilvl w:val="0"/>
          <w:numId w:val="1"/>
        </w:numPr>
        <w:spacing w:before="60"/>
        <w:ind w:left="568" w:hanging="284"/>
        <w:rPr>
          <w:rFonts w:cs="Arial"/>
          <w:szCs w:val="20"/>
        </w:rPr>
      </w:pPr>
      <w:r w:rsidRPr="005F06DA">
        <w:rPr>
          <w:rFonts w:cs="Arial"/>
          <w:szCs w:val="20"/>
        </w:rPr>
        <w:t xml:space="preserve">του </w:t>
      </w:r>
      <w:r>
        <w:rPr>
          <w:rFonts w:cs="Arial"/>
          <w:b/>
          <w:szCs w:val="20"/>
        </w:rPr>
        <w:t>Εθνικού Προγράμματος Ανάπτυξης (</w:t>
      </w:r>
      <w:r w:rsidRPr="008C5CD9">
        <w:rPr>
          <w:rFonts w:cs="Arial"/>
          <w:b/>
          <w:szCs w:val="20"/>
        </w:rPr>
        <w:t>ΕΠΑ</w:t>
      </w:r>
      <w:r>
        <w:rPr>
          <w:rFonts w:cs="Arial"/>
          <w:b/>
          <w:szCs w:val="20"/>
        </w:rPr>
        <w:t>)</w:t>
      </w:r>
      <w:r w:rsidRPr="005F06DA">
        <w:rPr>
          <w:rFonts w:cs="Arial"/>
          <w:szCs w:val="20"/>
        </w:rPr>
        <w:t>.</w:t>
      </w:r>
    </w:p>
    <w:p w14:paraId="08172619" w14:textId="58420978" w:rsidR="004642EB" w:rsidRPr="00C51996" w:rsidRDefault="004642EB" w:rsidP="004C69B7">
      <w:r w:rsidRPr="00C51996">
        <w:t>Το ΕΣΠΑ 2014</w:t>
      </w:r>
      <w:r w:rsidR="004C69B7">
        <w:t xml:space="preserve"> </w:t>
      </w:r>
      <w:r w:rsidRPr="00C51996">
        <w:t>-</w:t>
      </w:r>
      <w:r w:rsidR="004C69B7">
        <w:t xml:space="preserve"> </w:t>
      </w:r>
      <w:r w:rsidRPr="00C51996">
        <w:t>2020 στην πορεία προς το κλείσιμο της προγραμματικής περιόδου εμφανίζει υψηλά ποσοστά απορρόφησης.</w:t>
      </w:r>
    </w:p>
    <w:p w14:paraId="7B1D4726" w14:textId="24165E64" w:rsidR="004642EB" w:rsidRPr="00C51996" w:rsidRDefault="004642EB" w:rsidP="004C69B7">
      <w:r w:rsidRPr="00C51996">
        <w:t>Ειδικότερα, με βάση τα πρόσφατα στοιχεία του Ολοκληρωμένου Πληροφοριακού Συστήματος του ΕΣΠΑ (06.10.2025), η εικόνα του ΕΣΠΑ 2014</w:t>
      </w:r>
      <w:r w:rsidR="00BB5BFA">
        <w:t xml:space="preserve"> </w:t>
      </w:r>
      <w:r w:rsidRPr="00C51996">
        <w:t>-</w:t>
      </w:r>
      <w:r w:rsidR="00BB5BFA">
        <w:t xml:space="preserve"> </w:t>
      </w:r>
      <w:r w:rsidRPr="00C51996">
        <w:t xml:space="preserve">2020 </w:t>
      </w:r>
      <w:r w:rsidR="00BB5BFA" w:rsidRPr="00C51996">
        <w:t xml:space="preserve">(συμπεριλαμβανομένου του </w:t>
      </w:r>
      <w:r w:rsidR="00BB5BFA">
        <w:t xml:space="preserve">Προγράμματος Αγροτικής Ανάπτυξης - </w:t>
      </w:r>
      <w:r w:rsidR="00BB5BFA" w:rsidRPr="00C51996">
        <w:t>ΠΑΑ)</w:t>
      </w:r>
      <w:r w:rsidR="00BB5BFA">
        <w:t xml:space="preserve"> </w:t>
      </w:r>
      <w:r w:rsidRPr="00C51996">
        <w:t>διαμορφώνεται ως εξής:</w:t>
      </w:r>
    </w:p>
    <w:p w14:paraId="2D3F743E" w14:textId="2DF7ABAA" w:rsidR="004642EB" w:rsidRPr="004C69B7" w:rsidRDefault="004C69B7" w:rsidP="004C69B7">
      <w:pPr>
        <w:numPr>
          <w:ilvl w:val="0"/>
          <w:numId w:val="1"/>
        </w:numPr>
        <w:spacing w:before="120" w:after="60"/>
        <w:ind w:left="568" w:hanging="284"/>
        <w:rPr>
          <w:rFonts w:cs="Arial"/>
          <w:szCs w:val="20"/>
        </w:rPr>
      </w:pPr>
      <w:r>
        <w:rPr>
          <w:rFonts w:cs="Arial"/>
          <w:szCs w:val="20"/>
        </w:rPr>
        <w:t>η</w:t>
      </w:r>
      <w:r w:rsidR="004642EB" w:rsidRPr="004C69B7">
        <w:rPr>
          <w:rFonts w:cs="Arial"/>
          <w:szCs w:val="20"/>
        </w:rPr>
        <w:t xml:space="preserve"> συγχρηματοδοτούμενη </w:t>
      </w:r>
      <w:r w:rsidR="00BB5BFA">
        <w:rPr>
          <w:rFonts w:cs="Arial"/>
          <w:szCs w:val="20"/>
        </w:rPr>
        <w:t>δ</w:t>
      </w:r>
      <w:r w:rsidR="004642EB" w:rsidRPr="004C69B7">
        <w:rPr>
          <w:rFonts w:cs="Arial"/>
          <w:szCs w:val="20"/>
        </w:rPr>
        <w:t xml:space="preserve">ημόσια </w:t>
      </w:r>
      <w:r w:rsidR="00BB5BFA">
        <w:rPr>
          <w:rFonts w:cs="Arial"/>
          <w:szCs w:val="20"/>
        </w:rPr>
        <w:t>δ</w:t>
      </w:r>
      <w:r w:rsidR="004642EB" w:rsidRPr="004C69B7">
        <w:rPr>
          <w:rFonts w:cs="Arial"/>
          <w:szCs w:val="20"/>
        </w:rPr>
        <w:t>απάνη των ενταγμένων έργων για το σύνολο του ΕΣΠΑ ανέρχεται σ</w:t>
      </w:r>
      <w:r w:rsidR="00EB45BB">
        <w:rPr>
          <w:rFonts w:cs="Arial"/>
          <w:szCs w:val="20"/>
        </w:rPr>
        <w:t>ε</w:t>
      </w:r>
      <w:r w:rsidR="004642EB" w:rsidRPr="004C69B7">
        <w:rPr>
          <w:rFonts w:cs="Arial"/>
          <w:szCs w:val="20"/>
        </w:rPr>
        <w:t xml:space="preserve"> 39,6 δισ. ευρώ, που αντιστοιχεί σε ποσοστό 126,9% του συνολικού </w:t>
      </w:r>
      <w:r w:rsidR="00BB5BFA">
        <w:rPr>
          <w:rFonts w:cs="Arial"/>
          <w:szCs w:val="20"/>
        </w:rPr>
        <w:t>π</w:t>
      </w:r>
      <w:r w:rsidR="004642EB" w:rsidRPr="004C69B7">
        <w:rPr>
          <w:rFonts w:cs="Arial"/>
          <w:szCs w:val="20"/>
        </w:rPr>
        <w:t>ροϋπολογισμού</w:t>
      </w:r>
      <w:r>
        <w:rPr>
          <w:rFonts w:cs="Arial"/>
          <w:szCs w:val="20"/>
        </w:rPr>
        <w:t>,</w:t>
      </w:r>
    </w:p>
    <w:p w14:paraId="765B36AD" w14:textId="492F97C6" w:rsidR="004642EB" w:rsidRPr="004C69B7" w:rsidRDefault="004C69B7" w:rsidP="004C69B7">
      <w:pPr>
        <w:numPr>
          <w:ilvl w:val="0"/>
          <w:numId w:val="1"/>
        </w:numPr>
        <w:spacing w:before="60" w:after="60"/>
        <w:ind w:left="568" w:hanging="284"/>
        <w:rPr>
          <w:rFonts w:cs="Arial"/>
          <w:szCs w:val="20"/>
        </w:rPr>
      </w:pPr>
      <w:r>
        <w:rPr>
          <w:rFonts w:cs="Arial"/>
          <w:szCs w:val="20"/>
        </w:rPr>
        <w:t>η</w:t>
      </w:r>
      <w:r w:rsidR="004642EB" w:rsidRPr="004C69B7">
        <w:rPr>
          <w:rFonts w:cs="Arial"/>
          <w:szCs w:val="20"/>
        </w:rPr>
        <w:t xml:space="preserve"> συγχρηματοδοτούμενη </w:t>
      </w:r>
      <w:r w:rsidR="00BB5BFA">
        <w:rPr>
          <w:rFonts w:cs="Arial"/>
          <w:szCs w:val="20"/>
        </w:rPr>
        <w:t>δ</w:t>
      </w:r>
      <w:r w:rsidR="004642EB" w:rsidRPr="004C69B7">
        <w:rPr>
          <w:rFonts w:cs="Arial"/>
          <w:szCs w:val="20"/>
        </w:rPr>
        <w:t xml:space="preserve">ημόσια </w:t>
      </w:r>
      <w:r w:rsidR="00BB5BFA">
        <w:rPr>
          <w:rFonts w:cs="Arial"/>
          <w:szCs w:val="20"/>
        </w:rPr>
        <w:t>δ</w:t>
      </w:r>
      <w:r w:rsidR="004642EB" w:rsidRPr="004C69B7">
        <w:rPr>
          <w:rFonts w:cs="Arial"/>
          <w:szCs w:val="20"/>
        </w:rPr>
        <w:t>απάνη των νομικών δεσμεύσεων για το σύνολο του ΕΣΠΑ ανέρχεται σ</w:t>
      </w:r>
      <w:r w:rsidR="00EB45BB">
        <w:rPr>
          <w:rFonts w:cs="Arial"/>
          <w:szCs w:val="20"/>
        </w:rPr>
        <w:t>ε</w:t>
      </w:r>
      <w:r w:rsidR="004642EB" w:rsidRPr="004C69B7">
        <w:rPr>
          <w:rFonts w:cs="Arial"/>
          <w:szCs w:val="20"/>
        </w:rPr>
        <w:t xml:space="preserve"> 37,6 δισ. ευρώ, που αντιστοιχεί σε ποσοστό 120,3% του συνολικού </w:t>
      </w:r>
      <w:r w:rsidR="00BB5BFA">
        <w:rPr>
          <w:rFonts w:cs="Arial"/>
          <w:szCs w:val="20"/>
        </w:rPr>
        <w:t>π</w:t>
      </w:r>
      <w:r w:rsidR="004642EB" w:rsidRPr="004C69B7">
        <w:rPr>
          <w:rFonts w:cs="Arial"/>
          <w:szCs w:val="20"/>
        </w:rPr>
        <w:t>ροϋπολογισμού</w:t>
      </w:r>
      <w:r>
        <w:rPr>
          <w:rFonts w:cs="Arial"/>
          <w:szCs w:val="20"/>
        </w:rPr>
        <w:t xml:space="preserve"> και</w:t>
      </w:r>
    </w:p>
    <w:p w14:paraId="244D87FB" w14:textId="208F6714" w:rsidR="004642EB" w:rsidRDefault="004C69B7" w:rsidP="004C69B7">
      <w:pPr>
        <w:numPr>
          <w:ilvl w:val="0"/>
          <w:numId w:val="1"/>
        </w:numPr>
        <w:spacing w:before="60"/>
        <w:ind w:left="568" w:hanging="284"/>
        <w:rPr>
          <w:rFonts w:cs="Arial"/>
          <w:szCs w:val="20"/>
        </w:rPr>
      </w:pPr>
      <w:r>
        <w:rPr>
          <w:rFonts w:cs="Arial"/>
          <w:szCs w:val="20"/>
        </w:rPr>
        <w:t>ο</w:t>
      </w:r>
      <w:r w:rsidR="004642EB" w:rsidRPr="004C69B7">
        <w:rPr>
          <w:rFonts w:cs="Arial"/>
          <w:szCs w:val="20"/>
        </w:rPr>
        <w:t>ι συνολικές δαπάνες ανέρχονται για το σύνολο του ΕΣΠΑ σ</w:t>
      </w:r>
      <w:r>
        <w:rPr>
          <w:rFonts w:cs="Arial"/>
          <w:szCs w:val="20"/>
        </w:rPr>
        <w:t>ε</w:t>
      </w:r>
      <w:r w:rsidR="004642EB" w:rsidRPr="004C69B7">
        <w:rPr>
          <w:rFonts w:cs="Arial"/>
          <w:szCs w:val="20"/>
        </w:rPr>
        <w:t xml:space="preserve"> 32,4 δισ. ευρώ (103,7%).</w:t>
      </w:r>
    </w:p>
    <w:p w14:paraId="387231D3" w14:textId="7CAC953C" w:rsidR="0024585D" w:rsidRPr="0024585D" w:rsidRDefault="0024585D" w:rsidP="0024585D">
      <w:r>
        <w:t>Αναφορικά με τον Μηχανισμό «Συνδέοντας την Ευρώπη»/Connecting Europe Facility (CEF) 2014 - 2020, οι δράσεις των Διευρωπαϊκών Δικτύων (ΔΕΔ, Connecting Europe Facility - CEF) συμβάλλουν στη δημιουργία και την ανάπτυξη έργων υποδομής στους τομείς των μεταφορών, της ενέργειας και των τηλεπικοινωνιών</w:t>
      </w:r>
      <w:r w:rsidR="000B46FD">
        <w:t>,</w:t>
      </w:r>
      <w:r w:rsidR="001C6E52">
        <w:t xml:space="preserve"> αποσκοπώντας</w:t>
      </w:r>
      <w:r>
        <w:t xml:space="preserve"> στην προώθηση της διασύνδεσης και της διαλειτουργικότητας των εθνικών δικτύων</w:t>
      </w:r>
      <w:r w:rsidR="001C6E52">
        <w:t xml:space="preserve"> καθώς και </w:t>
      </w:r>
      <w:r>
        <w:t>της πρόσβασης σε αυτά</w:t>
      </w:r>
      <w:r w:rsidR="001C6E52">
        <w:t xml:space="preserve"> αλλά και στην κάλυψη </w:t>
      </w:r>
      <w:r>
        <w:t>τη</w:t>
      </w:r>
      <w:r w:rsidR="001C6E52">
        <w:t>ς</w:t>
      </w:r>
      <w:r>
        <w:t xml:space="preserve"> ανάγκη</w:t>
      </w:r>
      <w:r w:rsidR="001C6E52">
        <w:t>ς</w:t>
      </w:r>
      <w:r>
        <w:t xml:space="preserve"> σ</w:t>
      </w:r>
      <w:r w:rsidR="001C6E52">
        <w:t xml:space="preserve">ύνδεσης των </w:t>
      </w:r>
      <w:r>
        <w:t>νησιωτικ</w:t>
      </w:r>
      <w:r w:rsidR="001C6E52">
        <w:t>ών</w:t>
      </w:r>
      <w:r>
        <w:t xml:space="preserve">, </w:t>
      </w:r>
      <w:r w:rsidR="000B46FD">
        <w:t xml:space="preserve">των </w:t>
      </w:r>
      <w:r w:rsidR="001C6E52">
        <w:t>με</w:t>
      </w:r>
      <w:r w:rsidR="000B46FD">
        <w:t xml:space="preserve">σόγειων </w:t>
      </w:r>
      <w:r>
        <w:t xml:space="preserve">και </w:t>
      </w:r>
      <w:r w:rsidR="000B46FD">
        <w:t>των π</w:t>
      </w:r>
      <w:r>
        <w:t>εριφερειακ</w:t>
      </w:r>
      <w:r w:rsidR="000B46FD">
        <w:t>ών</w:t>
      </w:r>
      <w:r>
        <w:t xml:space="preserve"> περιοχ</w:t>
      </w:r>
      <w:r w:rsidR="000B46FD">
        <w:t xml:space="preserve">ών </w:t>
      </w:r>
      <w:r>
        <w:t>με τις κεντρικές περιοχές της Ε</w:t>
      </w:r>
      <w:r w:rsidR="000B46FD">
        <w:t>Ε</w:t>
      </w:r>
      <w:r>
        <w:t>.</w:t>
      </w:r>
      <w:r w:rsidRPr="004B47FC">
        <w:t xml:space="preserve"> </w:t>
      </w:r>
      <w:r>
        <w:t>Το CEF 1 τελεί υπό την κεντρική διαχείριση της Ευρωπαϊκής Επιτροπής με την υποστήριξη εκτελεστικού οργανισμού (ΙΝΕΑ). Στη χώρα μας συγχρηματοδοτούνται έργα ύψους 1.066,6 εκατ. ευρώ</w:t>
      </w:r>
      <w:r w:rsidR="000B46FD">
        <w:t>,</w:t>
      </w:r>
      <w:r>
        <w:t xml:space="preserve"> με τη συγχρηματοδότηση να ανέρχεται σε 669,6 εκατ. ευρώ.</w:t>
      </w:r>
    </w:p>
    <w:p w14:paraId="120AB153" w14:textId="14140077" w:rsidR="000B46FD" w:rsidRDefault="000B46FD" w:rsidP="00EB45BB">
      <w:r>
        <w:t xml:space="preserve">Μέσω του </w:t>
      </w:r>
      <w:r w:rsidR="004642EB" w:rsidRPr="00313982">
        <w:t>ΕΣΠΑ της περιόδου 2021</w:t>
      </w:r>
      <w:r w:rsidR="004642EB">
        <w:t xml:space="preserve"> </w:t>
      </w:r>
      <w:r w:rsidR="004642EB" w:rsidRPr="00313982">
        <w:t>-</w:t>
      </w:r>
      <w:r w:rsidR="004642EB">
        <w:t xml:space="preserve"> </w:t>
      </w:r>
      <w:r w:rsidR="004642EB" w:rsidRPr="00313982">
        <w:t xml:space="preserve">2027 πρόκειται να διατεθούν πόροι συνολικού ύψους 28,62 δισ. ευρώ, </w:t>
      </w:r>
      <w:r w:rsidR="00A87230">
        <w:t xml:space="preserve">εκ των </w:t>
      </w:r>
      <w:r w:rsidR="004642EB" w:rsidRPr="00313982">
        <w:t>οποί</w:t>
      </w:r>
      <w:r w:rsidR="00A87230">
        <w:t>ων</w:t>
      </w:r>
      <w:r w:rsidR="004642EB" w:rsidRPr="00313982">
        <w:t xml:space="preserve"> τα 22,7</w:t>
      </w:r>
      <w:r w:rsidR="004642EB">
        <w:t>4</w:t>
      </w:r>
      <w:r w:rsidR="004642EB" w:rsidRPr="00313982">
        <w:t xml:space="preserve"> δισ. ευρώ αφορούν στην Ενωσιακή Στήριξη και τα 5,</w:t>
      </w:r>
      <w:r w:rsidR="004642EB">
        <w:t>85</w:t>
      </w:r>
      <w:r w:rsidR="004642EB" w:rsidRPr="00313982">
        <w:t xml:space="preserve"> δισ. ευρώ αφορούν στην Εθνική Συνεισφορά. </w:t>
      </w:r>
      <w:r>
        <w:t>Το ΕΣΠΑ 2021 - 2027 περιλαμβάνει 9 Τομεακά</w:t>
      </w:r>
      <w:r w:rsidR="00775062">
        <w:t xml:space="preserve"> Προγράμματα</w:t>
      </w:r>
      <w:r>
        <w:t>, 13 Περιφερειακά Προγράμματα, 5 Προγράμματα Εδαφικής Συνεργασίας καθώς και 3 Προγράμματα των ΤΑΜΕΥ.</w:t>
      </w:r>
    </w:p>
    <w:p w14:paraId="1BBA6AC0" w14:textId="50659755" w:rsidR="00775062" w:rsidRDefault="00775062" w:rsidP="00775062">
      <w:r>
        <w:lastRenderedPageBreak/>
        <w:t>Στις 31 Μαρτίου 2025 ολοκληρώθηκε η διαδικασία υποβολής της πρώτης ενδιάμεσης αναθεώρησης των Προγραμμάτων ΕΣΠΑ 2021 - 2027, κατά την οποία αξιοποιήθηκαν πόροι για ώριμες πράξεις που αφορούν στην πλατφόρμα STEP, με έμφαση σε Ψηφιακές τεχνολογίες και deep - tech καινοτομία, σε Καθαρές και αποδοτικές τεχνολογίες καθώς και σε Βιοτεχνολογίες</w:t>
      </w:r>
      <w:r w:rsidR="00A50F6F">
        <w:t>, αποσκοπώντας</w:t>
      </w:r>
      <w:r>
        <w:t xml:space="preserve"> </w:t>
      </w:r>
      <w:r w:rsidR="00A50F6F">
        <w:t>σ</w:t>
      </w:r>
      <w:r>
        <w:t xml:space="preserve">την ανάπτυξη και </w:t>
      </w:r>
      <w:r w:rsidR="00A50F6F">
        <w:t xml:space="preserve">την </w:t>
      </w:r>
      <w:r>
        <w:t>παραγωγή κρίσιμων τεχνολογιών</w:t>
      </w:r>
      <w:r w:rsidR="00A50F6F">
        <w:t xml:space="preserve"> και</w:t>
      </w:r>
      <w:r>
        <w:t xml:space="preserve"> ενισχύοντας το ανταγωνιστικό πλεονέκτημα της χώρας.</w:t>
      </w:r>
    </w:p>
    <w:p w14:paraId="599E13F3" w14:textId="10D21887" w:rsidR="00775062" w:rsidRDefault="00775062" w:rsidP="00775062">
      <w:r>
        <w:t>Τα Προγράμματα βρίσκονται σε διαδικασία ενδιάμεσης αναθεώρησης για δεύτερη φορά εντός του 2025, καθώς στις 20 Σεπτεμβρίου 2025 τέθηκαν σε ισχύ οι τροποποιήσεις των κανονισμών της Πολιτικής Συνοχής για την προγραμματική περίοδο 2021</w:t>
      </w:r>
      <w:r w:rsidR="00A50F6F">
        <w:t xml:space="preserve"> - </w:t>
      </w:r>
      <w:r>
        <w:t>2027. Οι τροποποιήσεις απο</w:t>
      </w:r>
      <w:r w:rsidR="00526275">
        <w:t>βλέπουν</w:t>
      </w:r>
      <w:r>
        <w:t xml:space="preserve"> στην ενίσχυση της ευελιξίας και των κινήτρων προς τα κράτη </w:t>
      </w:r>
      <w:r w:rsidR="00A50F6F">
        <w:t xml:space="preserve">- </w:t>
      </w:r>
      <w:r>
        <w:t>μέλη, προκειμένου να διευκολυνθεί</w:t>
      </w:r>
      <w:r w:rsidR="00A50F6F">
        <w:t xml:space="preserve">, </w:t>
      </w:r>
      <w:r>
        <w:t>μέσω της διαδικασίας ενδιάμεσης αναθεώρησης</w:t>
      </w:r>
      <w:r w:rsidR="00A50F6F">
        <w:t xml:space="preserve">, </w:t>
      </w:r>
      <w:r>
        <w:t>η ανακατανομή των πόρων των προγραμμάτων της Πολιτικής Συνοχής προς νέες στρατηγικές προτεραιότητες</w:t>
      </w:r>
      <w:r w:rsidR="00A50F6F">
        <w:t>,</w:t>
      </w:r>
      <w:r>
        <w:t xml:space="preserve"> όπως η ενίσχυση της ανταγωνιστικότητας και η απανθρακοποίηση της οικονομίας, η στήριξη της άμυνας και της ασφάλειας, η οικονομικά προσιτή και βιώσιμη στέγαση, η ασφαλής πρόσβαση στο νερό, η βιώσιμη διαχείριση και η ανθεκτικότητα των υδάτινων πόρων </w:t>
      </w:r>
      <w:r w:rsidR="00526275">
        <w:t xml:space="preserve">καθώς </w:t>
      </w:r>
      <w:r>
        <w:t>και η επιτάχυνση της ενεργειακής μετάβασης. Η ενδιάμεση επανεξέταση των Προγραμμάτων αναμένεται να υποβληθεί έως τ</w:t>
      </w:r>
      <w:r w:rsidR="004259A0">
        <w:t>ο</w:t>
      </w:r>
      <w:r>
        <w:t xml:space="preserve"> τέλ</w:t>
      </w:r>
      <w:r w:rsidR="004259A0">
        <w:t>ος</w:t>
      </w:r>
      <w:r>
        <w:t xml:space="preserve"> του έτους.</w:t>
      </w:r>
    </w:p>
    <w:p w14:paraId="4D6668D9" w14:textId="4E6160A4" w:rsidR="004642EB" w:rsidRDefault="004642EB" w:rsidP="00EB45BB">
      <w:r>
        <w:t>Η εικόνα των επιμέρους προγραμμάτων της περιόδου είναι η ακόλουθη</w:t>
      </w:r>
      <w:r w:rsidRPr="00313982">
        <w:t>:</w:t>
      </w:r>
    </w:p>
    <w:p w14:paraId="6CD11D4D" w14:textId="38725E63" w:rsidR="004642EB" w:rsidRPr="00EB45BB" w:rsidRDefault="004642EB" w:rsidP="004642EB">
      <w:pPr>
        <w:numPr>
          <w:ilvl w:val="0"/>
          <w:numId w:val="1"/>
        </w:numPr>
        <w:spacing w:before="120" w:after="60"/>
        <w:ind w:left="568" w:hanging="284"/>
        <w:rPr>
          <w:rFonts w:cs="Arial"/>
          <w:szCs w:val="20"/>
        </w:rPr>
      </w:pPr>
      <w:r w:rsidRPr="00EB45BB">
        <w:rPr>
          <w:rFonts w:cs="Arial"/>
          <w:szCs w:val="20"/>
        </w:rPr>
        <w:t>οι εντάξεις του προγράμματος «Ανταγωνιστικότητα»</w:t>
      </w:r>
      <w:r w:rsidR="00A87230">
        <w:rPr>
          <w:rFonts w:cs="Arial"/>
          <w:szCs w:val="20"/>
        </w:rPr>
        <w:t>,</w:t>
      </w:r>
      <w:r w:rsidRPr="00EB45BB">
        <w:rPr>
          <w:rFonts w:cs="Arial"/>
          <w:szCs w:val="20"/>
        </w:rPr>
        <w:t xml:space="preserve"> με συνολικό προϋπολογισμό 3,9 δισ. ευρώ</w:t>
      </w:r>
      <w:r w:rsidR="00A87230">
        <w:rPr>
          <w:rFonts w:cs="Arial"/>
          <w:szCs w:val="20"/>
        </w:rPr>
        <w:t>,</w:t>
      </w:r>
      <w:r w:rsidRPr="00EB45BB">
        <w:rPr>
          <w:rFonts w:cs="Arial"/>
          <w:szCs w:val="20"/>
        </w:rPr>
        <w:t xml:space="preserve"> ανέρχονται σε 2,44 δισ. ευρώ και οι νομικές δεσμεύσεις σε 1,88 δισ. ευρώ,</w:t>
      </w:r>
    </w:p>
    <w:p w14:paraId="2D5E1653" w14:textId="7007B84E"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του προγράμματος «Ψηφιακός Μετασχηματισμός»</w:t>
      </w:r>
      <w:r w:rsidR="00A87230">
        <w:rPr>
          <w:rFonts w:cs="Arial"/>
          <w:szCs w:val="20"/>
        </w:rPr>
        <w:t>,</w:t>
      </w:r>
      <w:r w:rsidRPr="00EB45BB">
        <w:rPr>
          <w:rFonts w:cs="Arial"/>
          <w:szCs w:val="20"/>
        </w:rPr>
        <w:t xml:space="preserve"> με συνολικό προϋπολογισμό 928,6 εκατ. ευρώ</w:t>
      </w:r>
      <w:r w:rsidR="00A87230">
        <w:rPr>
          <w:rFonts w:cs="Arial"/>
          <w:szCs w:val="20"/>
        </w:rPr>
        <w:t>,</w:t>
      </w:r>
      <w:r w:rsidRPr="00EB45BB">
        <w:rPr>
          <w:rFonts w:cs="Arial"/>
          <w:szCs w:val="20"/>
        </w:rPr>
        <w:t xml:space="preserve"> ανέρχονται σε 843,2 εκατ. ευρώ και οι νομικές δεσμεύσεις σε 517,5 εκατ. ευρώ,</w:t>
      </w:r>
    </w:p>
    <w:p w14:paraId="0D8B31AB" w14:textId="099D5BDF"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του προγράμματος «Περιβάλλον και Κλιματική Αλλαγή»</w:t>
      </w:r>
      <w:r w:rsidR="00A87230">
        <w:rPr>
          <w:rFonts w:cs="Arial"/>
          <w:szCs w:val="20"/>
        </w:rPr>
        <w:t>,</w:t>
      </w:r>
      <w:r w:rsidRPr="00EB45BB">
        <w:rPr>
          <w:rFonts w:cs="Arial"/>
          <w:szCs w:val="20"/>
        </w:rPr>
        <w:t xml:space="preserve"> με συνολικό προϋπολογισμό 3,61 δισ. ευρώ</w:t>
      </w:r>
      <w:r w:rsidR="00A87230">
        <w:rPr>
          <w:rFonts w:cs="Arial"/>
          <w:szCs w:val="20"/>
        </w:rPr>
        <w:t>,</w:t>
      </w:r>
      <w:r w:rsidRPr="00EB45BB">
        <w:rPr>
          <w:rFonts w:cs="Arial"/>
          <w:szCs w:val="20"/>
        </w:rPr>
        <w:t xml:space="preserve"> ανέρχονται σε 2,58 δισ. ευρώ, ενώ έχουν συναφθεί νομικές δεσμεύσεις ύψους 1,42 δισ. ευρώ,</w:t>
      </w:r>
    </w:p>
    <w:p w14:paraId="2FFD137C" w14:textId="731B0E8B"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του προγράμματος «Μεταφορές»</w:t>
      </w:r>
      <w:r w:rsidR="00A87230">
        <w:rPr>
          <w:rFonts w:cs="Arial"/>
          <w:szCs w:val="20"/>
        </w:rPr>
        <w:t>,</w:t>
      </w:r>
      <w:r w:rsidRPr="00EB45BB">
        <w:rPr>
          <w:rFonts w:cs="Arial"/>
          <w:szCs w:val="20"/>
        </w:rPr>
        <w:t xml:space="preserve"> με συνολικό προϋπολογισμό 2,22 δισ. ευρώ</w:t>
      </w:r>
      <w:r w:rsidR="00A87230">
        <w:rPr>
          <w:rFonts w:cs="Arial"/>
          <w:szCs w:val="20"/>
        </w:rPr>
        <w:t>,</w:t>
      </w:r>
      <w:r w:rsidRPr="00EB45BB">
        <w:rPr>
          <w:rFonts w:cs="Arial"/>
          <w:szCs w:val="20"/>
        </w:rPr>
        <w:t xml:space="preserve"> ανέρχονται σε 2,46 δισ. ευρώ, ενώ έχουν συναφθεί νομικές δεσμεύσεις ύψους 2,22 δισ. ευρώ,</w:t>
      </w:r>
    </w:p>
    <w:p w14:paraId="1AE155E3" w14:textId="53B2B876"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του προγράμματος «Πολιτική Προστασία»</w:t>
      </w:r>
      <w:r w:rsidR="00A87230">
        <w:rPr>
          <w:rFonts w:cs="Arial"/>
          <w:szCs w:val="20"/>
        </w:rPr>
        <w:t>,</w:t>
      </w:r>
      <w:r w:rsidRPr="00EB45BB">
        <w:rPr>
          <w:rFonts w:cs="Arial"/>
          <w:szCs w:val="20"/>
        </w:rPr>
        <w:t xml:space="preserve"> με συνολικό προϋπολογισμό 713,76 εκατ. ευρώ</w:t>
      </w:r>
      <w:r w:rsidR="00A87230">
        <w:rPr>
          <w:rFonts w:cs="Arial"/>
          <w:szCs w:val="20"/>
        </w:rPr>
        <w:t>,</w:t>
      </w:r>
      <w:r w:rsidRPr="00EB45BB">
        <w:rPr>
          <w:rFonts w:cs="Arial"/>
          <w:szCs w:val="20"/>
        </w:rPr>
        <w:t xml:space="preserve"> ανέρχονται σε 645,55 εκατ. ευρώ, ενώ έχουν συναφθεί νομικές δεσμεύσεις ύψους 422,01 εκατ. ευρώ,</w:t>
      </w:r>
    </w:p>
    <w:p w14:paraId="51A8B723" w14:textId="6E71933C"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του προγράμματος «Ανθρώπινο Δυναμικό και Κοινωνική Συνοχή»</w:t>
      </w:r>
      <w:r w:rsidR="00A87230">
        <w:rPr>
          <w:rFonts w:cs="Arial"/>
          <w:szCs w:val="20"/>
        </w:rPr>
        <w:t>,</w:t>
      </w:r>
      <w:r w:rsidRPr="00EB45BB">
        <w:rPr>
          <w:rFonts w:cs="Arial"/>
          <w:szCs w:val="20"/>
        </w:rPr>
        <w:t xml:space="preserve"> με συνολικό προϋπολογισμό 4,16 δισ. ευρώ</w:t>
      </w:r>
      <w:r w:rsidR="00A87230">
        <w:rPr>
          <w:rFonts w:cs="Arial"/>
          <w:szCs w:val="20"/>
        </w:rPr>
        <w:t>,</w:t>
      </w:r>
      <w:r w:rsidRPr="00EB45BB">
        <w:rPr>
          <w:rFonts w:cs="Arial"/>
          <w:szCs w:val="20"/>
        </w:rPr>
        <w:t xml:space="preserve"> ανέρχονται σε 2,87 δισ. ευρώ, ενώ έχουν συναφθεί νομικές δεσμεύσεις ύψους 1,77 δισ. ευρώ,</w:t>
      </w:r>
    </w:p>
    <w:p w14:paraId="5086931B" w14:textId="7086245E"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του προγράμματος «Τεχνική Βοήθεια και Υποστήριξη Δικαιούχων»</w:t>
      </w:r>
      <w:r w:rsidR="00A87230">
        <w:rPr>
          <w:rFonts w:cs="Arial"/>
          <w:szCs w:val="20"/>
        </w:rPr>
        <w:t>,</w:t>
      </w:r>
      <w:r w:rsidRPr="00EB45BB">
        <w:rPr>
          <w:rFonts w:cs="Arial"/>
          <w:szCs w:val="20"/>
        </w:rPr>
        <w:t xml:space="preserve"> με συνολικό προϋπολογισμό 509,36 εκατ. ευρώ</w:t>
      </w:r>
      <w:r w:rsidR="00A87230">
        <w:rPr>
          <w:rFonts w:cs="Arial"/>
          <w:szCs w:val="20"/>
        </w:rPr>
        <w:t>,</w:t>
      </w:r>
      <w:r w:rsidRPr="00EB45BB">
        <w:rPr>
          <w:rFonts w:cs="Arial"/>
          <w:szCs w:val="20"/>
        </w:rPr>
        <w:t xml:space="preserve"> ανέρχονται σε 413,33 εκατ. ευρώ, ενώ έχουν συναφθεί νομικές δεσμεύσεις ύψους 355,01 εκατ. ευρώ,</w:t>
      </w:r>
    </w:p>
    <w:p w14:paraId="55C64108" w14:textId="37AE29EC"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του προγράμματος «Δίκαιη Αναπτυξιακή Μετάβαση»</w:t>
      </w:r>
      <w:r w:rsidR="00A87230">
        <w:rPr>
          <w:rFonts w:cs="Arial"/>
          <w:szCs w:val="20"/>
        </w:rPr>
        <w:t>,</w:t>
      </w:r>
      <w:r w:rsidRPr="00EB45BB">
        <w:rPr>
          <w:rFonts w:cs="Arial"/>
          <w:szCs w:val="20"/>
        </w:rPr>
        <w:t xml:space="preserve"> με συνολικό προϋπολογισμό 1,63 δισ. ευρώ</w:t>
      </w:r>
      <w:r w:rsidR="00A87230">
        <w:rPr>
          <w:rFonts w:cs="Arial"/>
          <w:szCs w:val="20"/>
        </w:rPr>
        <w:t>,</w:t>
      </w:r>
      <w:r w:rsidRPr="00EB45BB">
        <w:rPr>
          <w:rFonts w:cs="Arial"/>
          <w:szCs w:val="20"/>
        </w:rPr>
        <w:t xml:space="preserve"> ανέρχονται σε 831,3 εκατ. ευρώ, ενώ έχουν συναφθεί νομικές δεσμεύσεις ύψους 565,7 εκατ. ευρώ,</w:t>
      </w:r>
    </w:p>
    <w:p w14:paraId="31B9C206" w14:textId="06192D7C"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του προγράμματος «Αλιεία, Υδατοκαλλιέργεια και Θάλασσα»</w:t>
      </w:r>
      <w:r w:rsidR="00A87230">
        <w:rPr>
          <w:rFonts w:cs="Arial"/>
          <w:szCs w:val="20"/>
        </w:rPr>
        <w:t>,</w:t>
      </w:r>
      <w:r w:rsidRPr="00EB45BB">
        <w:rPr>
          <w:rFonts w:cs="Arial"/>
          <w:szCs w:val="20"/>
        </w:rPr>
        <w:t xml:space="preserve"> με συνολικό προϋπολογισμό 519,64 εκατ. ευρώ</w:t>
      </w:r>
      <w:r w:rsidR="00A87230">
        <w:rPr>
          <w:rFonts w:cs="Arial"/>
          <w:szCs w:val="20"/>
        </w:rPr>
        <w:t>,</w:t>
      </w:r>
      <w:r w:rsidRPr="00EB45BB">
        <w:rPr>
          <w:rFonts w:cs="Arial"/>
          <w:szCs w:val="20"/>
        </w:rPr>
        <w:t xml:space="preserve"> ανέρχονται σε 225 εκατ. ευρώ, ενώ έχουν συναφθεί νομικές δεσμεύσεις ύψους 145 εκατ. ευρώ,</w:t>
      </w:r>
    </w:p>
    <w:p w14:paraId="3E552C28" w14:textId="5E6F18B9" w:rsidR="004642EB" w:rsidRPr="00EB45BB" w:rsidRDefault="004642EB" w:rsidP="004642EB">
      <w:pPr>
        <w:numPr>
          <w:ilvl w:val="0"/>
          <w:numId w:val="1"/>
        </w:numPr>
        <w:spacing w:before="60" w:after="60"/>
        <w:ind w:left="568" w:hanging="284"/>
        <w:rPr>
          <w:rFonts w:cs="Arial"/>
          <w:szCs w:val="20"/>
        </w:rPr>
      </w:pPr>
      <w:r w:rsidRPr="00EB45BB">
        <w:rPr>
          <w:rFonts w:cs="Arial"/>
          <w:szCs w:val="20"/>
        </w:rPr>
        <w:t>οι εντάξεις στα δεκατρία Περιφερειακά Προγράμματα που συγχρηματοδοτούνται από το ΕΤΠΑ και το ΕΚΤ</w:t>
      </w:r>
      <w:r w:rsidR="00A87230">
        <w:rPr>
          <w:rFonts w:cs="Arial"/>
          <w:szCs w:val="20"/>
        </w:rPr>
        <w:t>,</w:t>
      </w:r>
      <w:r w:rsidRPr="00EB45BB">
        <w:rPr>
          <w:rFonts w:cs="Arial"/>
          <w:szCs w:val="20"/>
        </w:rPr>
        <w:t xml:space="preserve"> με συνολικό προϋπολογισμό 8,1 δισ. ευρώ, ανέρχονται σε 5,4 δισ. ευρώ, ενώ έχουν συναφθεί νομικές δεσμεύσεις ύψους 3</w:t>
      </w:r>
      <w:r w:rsidR="00A87230">
        <w:rPr>
          <w:rFonts w:cs="Arial"/>
          <w:szCs w:val="20"/>
        </w:rPr>
        <w:t>,</w:t>
      </w:r>
      <w:r w:rsidRPr="00EB45BB">
        <w:rPr>
          <w:rFonts w:cs="Arial"/>
          <w:szCs w:val="20"/>
        </w:rPr>
        <w:t>3 δισ. ευρώ,</w:t>
      </w:r>
    </w:p>
    <w:p w14:paraId="648BDB69" w14:textId="6714602C" w:rsidR="004642EB" w:rsidRPr="00EB45BB" w:rsidRDefault="004642EB" w:rsidP="004642EB">
      <w:pPr>
        <w:numPr>
          <w:ilvl w:val="0"/>
          <w:numId w:val="1"/>
        </w:numPr>
        <w:spacing w:before="60" w:after="60"/>
        <w:ind w:left="568" w:hanging="284"/>
        <w:rPr>
          <w:rFonts w:cs="Arial"/>
          <w:szCs w:val="20"/>
        </w:rPr>
      </w:pPr>
      <w:r w:rsidRPr="00EB45BB">
        <w:rPr>
          <w:rFonts w:cs="Arial"/>
          <w:szCs w:val="20"/>
        </w:rPr>
        <w:t xml:space="preserve">για τα Προγράμματα Εδαφικής Συνεργασίας 2021 </w:t>
      </w:r>
      <w:r w:rsidR="00A55BA5">
        <w:rPr>
          <w:rFonts w:cs="Arial"/>
          <w:szCs w:val="20"/>
        </w:rPr>
        <w:t>-</w:t>
      </w:r>
      <w:r w:rsidRPr="00EB45BB">
        <w:rPr>
          <w:rFonts w:cs="Arial"/>
          <w:szCs w:val="20"/>
        </w:rPr>
        <w:t xml:space="preserve"> 2027 με χρηματοδότηση 314,18 εκατ. ευρώ, οι νομικές δεσμεύσεις ανέρχονται σε 185,6 εκατ</w:t>
      </w:r>
      <w:r w:rsidR="00A87230">
        <w:rPr>
          <w:rFonts w:cs="Arial"/>
          <w:szCs w:val="20"/>
        </w:rPr>
        <w:t>.</w:t>
      </w:r>
      <w:r w:rsidRPr="00EB45BB">
        <w:rPr>
          <w:rFonts w:cs="Arial"/>
          <w:szCs w:val="20"/>
        </w:rPr>
        <w:t xml:space="preserve"> ευρώ</w:t>
      </w:r>
      <w:r w:rsidR="00A55BA5">
        <w:rPr>
          <w:rFonts w:cs="Arial"/>
          <w:szCs w:val="20"/>
        </w:rPr>
        <w:t xml:space="preserve"> και</w:t>
      </w:r>
    </w:p>
    <w:p w14:paraId="646D4606" w14:textId="0BC2FE8D" w:rsidR="004642EB" w:rsidRPr="00EB45BB" w:rsidRDefault="004642EB" w:rsidP="004642EB">
      <w:pPr>
        <w:numPr>
          <w:ilvl w:val="0"/>
          <w:numId w:val="1"/>
        </w:numPr>
        <w:spacing w:before="60"/>
        <w:ind w:left="568" w:hanging="284"/>
        <w:rPr>
          <w:rFonts w:cs="Arial"/>
          <w:szCs w:val="20"/>
        </w:rPr>
      </w:pPr>
      <w:r w:rsidRPr="00EB45BB">
        <w:rPr>
          <w:rFonts w:cs="Arial"/>
          <w:szCs w:val="20"/>
        </w:rPr>
        <w:lastRenderedPageBreak/>
        <w:t>για τα Προγράμματα των ΤΑΜΕΥ προϋπολογισμού 2,07 δισ. ευρώ, οι εντάξεις ανέρχονται σε 2,14 δισ. ευρώ και οι νομικές δεσμεύσεις σε 1,26 δισ. ευρώ.</w:t>
      </w:r>
    </w:p>
    <w:p w14:paraId="1C3F8BF6" w14:textId="717123A4" w:rsidR="004259A0" w:rsidRDefault="004259A0" w:rsidP="004259A0">
      <w:r>
        <w:t>Ορισμένες από τις δράσεις που υλοποιούνται μέσω του ΕΣΠΑ 2021</w:t>
      </w:r>
      <w:r w:rsidR="005C28C3">
        <w:t xml:space="preserve"> </w:t>
      </w:r>
      <w:r>
        <w:t>-</w:t>
      </w:r>
      <w:r w:rsidR="005C28C3">
        <w:t xml:space="preserve"> </w:t>
      </w:r>
      <w:r>
        <w:t xml:space="preserve">2027 περιλαμβάνουν δράσεις για την </w:t>
      </w:r>
      <w:r w:rsidR="002F7F84">
        <w:t>α</w:t>
      </w:r>
      <w:r>
        <w:t xml:space="preserve">νάπτυξη και </w:t>
      </w:r>
      <w:r w:rsidR="002F7F84">
        <w:t>α</w:t>
      </w:r>
      <w:r>
        <w:t xml:space="preserve">νταγωνιστικότητα των </w:t>
      </w:r>
      <w:r w:rsidR="005C28C3">
        <w:t>μικρομεσαίων επιχειρήσεων (ΜμΕ),</w:t>
      </w:r>
      <w:r>
        <w:t xml:space="preserve"> </w:t>
      </w:r>
      <w:r w:rsidR="005C28C3">
        <w:t>τ</w:t>
      </w:r>
      <w:r>
        <w:t>ο</w:t>
      </w:r>
      <w:r w:rsidR="005C28C3">
        <w:t>ν</w:t>
      </w:r>
      <w:r>
        <w:t xml:space="preserve"> ψηφιακό μετασχηματισμό των ΟΤΑ, </w:t>
      </w:r>
      <w:r w:rsidR="005C28C3">
        <w:t>τ</w:t>
      </w:r>
      <w:r>
        <w:t>η</w:t>
      </w:r>
      <w:r w:rsidR="005C28C3">
        <w:t>ν</w:t>
      </w:r>
      <w:r>
        <w:t xml:space="preserve"> ενεργειακή απόδοση μ</w:t>
      </w:r>
      <w:r w:rsidR="005C28C3">
        <w:t>έσω της</w:t>
      </w:r>
      <w:r>
        <w:t xml:space="preserve"> ανακαίνιση</w:t>
      </w:r>
      <w:r w:rsidR="005C28C3">
        <w:t>ς</w:t>
      </w:r>
      <w:r>
        <w:t xml:space="preserve"> του υφιστάμενου οικιστικού αποθέματος («ΕΞΟΙΚΟΝΟΜΩ»), </w:t>
      </w:r>
      <w:r w:rsidR="005C28C3">
        <w:t>τ</w:t>
      </w:r>
      <w:r>
        <w:t>η</w:t>
      </w:r>
      <w:r w:rsidR="005C28C3">
        <w:t>ν</w:t>
      </w:r>
      <w:r>
        <w:t xml:space="preserve"> αντιπλημμυρική θωράκιση της χώρας, </w:t>
      </w:r>
      <w:r w:rsidR="005C28C3">
        <w:t>τ</w:t>
      </w:r>
      <w:r>
        <w:t>η</w:t>
      </w:r>
      <w:r w:rsidR="005C28C3">
        <w:t>ν</w:t>
      </w:r>
      <w:r>
        <w:t xml:space="preserve"> ανάπλαση του Φαληρικού Όρμου, </w:t>
      </w:r>
      <w:r w:rsidR="005C28C3">
        <w:t>τ</w:t>
      </w:r>
      <w:r>
        <w:t>η</w:t>
      </w:r>
      <w:r w:rsidR="005C28C3">
        <w:t>ν</w:t>
      </w:r>
      <w:r>
        <w:t xml:space="preserve"> </w:t>
      </w:r>
      <w:r w:rsidR="006F3957">
        <w:t>Π</w:t>
      </w:r>
      <w:r>
        <w:t xml:space="preserve">ρωτοβουλία GReco ISLANDS, </w:t>
      </w:r>
      <w:r w:rsidR="005C28C3">
        <w:t>τ</w:t>
      </w:r>
      <w:r>
        <w:t>η</w:t>
      </w:r>
      <w:r w:rsidR="005C28C3">
        <w:t>ν</w:t>
      </w:r>
      <w:r>
        <w:t xml:space="preserve"> προσαρμογή των υφιστάμενων ή και </w:t>
      </w:r>
      <w:r w:rsidR="005C28C3">
        <w:t xml:space="preserve">τη </w:t>
      </w:r>
      <w:r>
        <w:t xml:space="preserve">δημιουργία νέων Μονάδων Ανάκτησης και Ανακύκλωσης, </w:t>
      </w:r>
      <w:r w:rsidR="00875DFA">
        <w:t xml:space="preserve">την υλοποίηση </w:t>
      </w:r>
      <w:r>
        <w:t>σιδηροδρομικ</w:t>
      </w:r>
      <w:r w:rsidR="00875DFA">
        <w:t>ών</w:t>
      </w:r>
      <w:r>
        <w:t xml:space="preserve"> έργ</w:t>
      </w:r>
      <w:r w:rsidR="00875DFA">
        <w:t>ων</w:t>
      </w:r>
      <w:r>
        <w:t xml:space="preserve">, </w:t>
      </w:r>
      <w:r w:rsidR="002F7F84">
        <w:t xml:space="preserve">την </w:t>
      </w:r>
      <w:r>
        <w:t xml:space="preserve">αναβάθμιση </w:t>
      </w:r>
      <w:r w:rsidR="002F7F84">
        <w:t xml:space="preserve">των </w:t>
      </w:r>
      <w:r>
        <w:t>αστικών συγκοινωνιών</w:t>
      </w:r>
      <w:r w:rsidR="002F7F84" w:rsidRPr="002F7F84">
        <w:t xml:space="preserve"> </w:t>
      </w:r>
      <w:r w:rsidR="002F7F84">
        <w:t xml:space="preserve">(ΜΕΤΡΟ, ηλεκτρικά λεωφορεία) καθώς και των </w:t>
      </w:r>
      <w:r>
        <w:t>νησιωτικ</w:t>
      </w:r>
      <w:r w:rsidR="002F7F84">
        <w:t>ών</w:t>
      </w:r>
      <w:r>
        <w:t xml:space="preserve"> λιμενικ</w:t>
      </w:r>
      <w:r w:rsidR="002F7F84">
        <w:t>ών</w:t>
      </w:r>
      <w:r>
        <w:t xml:space="preserve"> υποδομ</w:t>
      </w:r>
      <w:r w:rsidR="002F7F84">
        <w:t>ών</w:t>
      </w:r>
      <w:r>
        <w:t xml:space="preserve">, </w:t>
      </w:r>
      <w:r w:rsidR="002F7F84">
        <w:t xml:space="preserve">την προώθηση </w:t>
      </w:r>
      <w:r>
        <w:t>πράσιν</w:t>
      </w:r>
      <w:r w:rsidR="002F7F84">
        <w:t>ων</w:t>
      </w:r>
      <w:r>
        <w:t xml:space="preserve"> θαλάσσι</w:t>
      </w:r>
      <w:r w:rsidR="002F7F84">
        <w:t>ων</w:t>
      </w:r>
      <w:r>
        <w:t xml:space="preserve"> συγκοινων</w:t>
      </w:r>
      <w:r w:rsidR="002F7F84">
        <w:t>ιών</w:t>
      </w:r>
      <w:r>
        <w:t xml:space="preserve">, </w:t>
      </w:r>
      <w:r w:rsidR="002F7F84">
        <w:t>τ</w:t>
      </w:r>
      <w:r>
        <w:t>η</w:t>
      </w:r>
      <w:r w:rsidR="002F7F84">
        <w:t>ν</w:t>
      </w:r>
      <w:r>
        <w:t xml:space="preserve"> ενίσχυση του μηχανισμού πολιτικής προστασίας, </w:t>
      </w:r>
      <w:r w:rsidR="002F7F84">
        <w:t>τ</w:t>
      </w:r>
      <w:r>
        <w:t xml:space="preserve">η χρηματοδότηση </w:t>
      </w:r>
      <w:r w:rsidRPr="00C93B19">
        <w:t>των επενδύσεων</w:t>
      </w:r>
      <w:r>
        <w:t xml:space="preserve"> στις περιοχές μετάβασης </w:t>
      </w:r>
      <w:r w:rsidR="002F7F84">
        <w:t>κ.λπ.</w:t>
      </w:r>
    </w:p>
    <w:p w14:paraId="4CE91F0E" w14:textId="5772EE17" w:rsidR="004259A0" w:rsidRDefault="004259A0" w:rsidP="004259A0">
      <w:r>
        <w:t xml:space="preserve">Αναφορικά με τον </w:t>
      </w:r>
      <w:r w:rsidRPr="006E4188">
        <w:t xml:space="preserve">Μηχανισμό </w:t>
      </w:r>
      <w:r w:rsidR="006F3957">
        <w:t>«</w:t>
      </w:r>
      <w:r w:rsidRPr="006E4188">
        <w:t>Συνδέοντας την Ευρώπη</w:t>
      </w:r>
      <w:r w:rsidR="006F3957">
        <w:t>»</w:t>
      </w:r>
      <w:r w:rsidRPr="006E4188">
        <w:t xml:space="preserve"> 2021</w:t>
      </w:r>
      <w:r w:rsidR="006F3957">
        <w:t xml:space="preserve"> </w:t>
      </w:r>
      <w:r w:rsidRPr="006E4188">
        <w:t>-</w:t>
      </w:r>
      <w:r w:rsidR="006F3957">
        <w:t xml:space="preserve"> </w:t>
      </w:r>
      <w:r w:rsidRPr="006E4188">
        <w:t>2027 (CEF 2)</w:t>
      </w:r>
      <w:r w:rsidR="006F3957">
        <w:t>,</w:t>
      </w:r>
      <w:r>
        <w:t xml:space="preserve"> που </w:t>
      </w:r>
      <w:r w:rsidRPr="006E4188">
        <w:t>τελεί υπό την κεντρική διαχείριση της Ευρωπαϊκής Επιτροπής</w:t>
      </w:r>
      <w:r>
        <w:t xml:space="preserve">, χρηματοδοτούνται έργα στους τομείς των μεταφορών, </w:t>
      </w:r>
      <w:r w:rsidR="006F3957">
        <w:t xml:space="preserve">της </w:t>
      </w:r>
      <w:r>
        <w:t>ενέργειας και</w:t>
      </w:r>
      <w:r w:rsidR="006F3957">
        <w:t xml:space="preserve"> του</w:t>
      </w:r>
      <w:r>
        <w:t xml:space="preserve"> ψηφιακού</w:t>
      </w:r>
      <w:r w:rsidR="006F3957">
        <w:t xml:space="preserve"> μετασχηματισμού</w:t>
      </w:r>
      <w:r>
        <w:t>, ύψους 1,26 δισ. ευρώ, με συγχρηματοδότηση ύψους 883 εκατ. ευρώ.</w:t>
      </w:r>
    </w:p>
    <w:p w14:paraId="4F24502F" w14:textId="4213C045" w:rsidR="004642EB" w:rsidRPr="00AA2ED2" w:rsidRDefault="004642EB" w:rsidP="00EB45BB">
      <w:r w:rsidRPr="00AA2ED2">
        <w:t xml:space="preserve">Ο </w:t>
      </w:r>
      <w:r w:rsidRPr="00D971E9">
        <w:t>Μηχανισμός Ανάκαμψης και Ανθεκτικότητας</w:t>
      </w:r>
      <w:r w:rsidRPr="00AA2ED2">
        <w:t xml:space="preserve"> </w:t>
      </w:r>
      <w:r w:rsidRPr="00EF4DC1">
        <w:t>βρίσκεται στο επίκεντρο του Next Generation EU του σχεδίου της ΕΕ</w:t>
      </w:r>
      <w:r w:rsidR="006615FA">
        <w:t xml:space="preserve"> και</w:t>
      </w:r>
      <w:r w:rsidRPr="00EF4DC1">
        <w:t xml:space="preserve"> </w:t>
      </w:r>
      <w:r w:rsidR="00BD4827">
        <w:t>σ</w:t>
      </w:r>
      <w:r w:rsidRPr="00AA2ED2">
        <w:t>τηρίζει δημόσιες επενδύσεις και μεταρρυθμίσεις</w:t>
      </w:r>
      <w:r w:rsidR="00BD4827">
        <w:t xml:space="preserve"> οι οποίες προάγουν τη</w:t>
      </w:r>
      <w:r>
        <w:t xml:space="preserve"> βι</w:t>
      </w:r>
      <w:r w:rsidR="00BD4827">
        <w:t xml:space="preserve">ωσιμότητα και την ανθεκτικότητα της οικονομίας </w:t>
      </w:r>
      <w:r>
        <w:t>και</w:t>
      </w:r>
      <w:r w:rsidR="00BD4827">
        <w:t xml:space="preserve"> παράλληλα, ενισχύουν την ετοιμότητα του κοινωνικού συνόλου απέναντι σ</w:t>
      </w:r>
      <w:r>
        <w:t>τις σύγχρονες προκλήσεις.</w:t>
      </w:r>
    </w:p>
    <w:p w14:paraId="3F250C84" w14:textId="4A110D04" w:rsidR="004642EB" w:rsidRDefault="004642EB" w:rsidP="00EB45BB">
      <w:r>
        <w:t xml:space="preserve">Το </w:t>
      </w:r>
      <w:r w:rsidRPr="00D971E9">
        <w:t>Εθνικό Σχέδιο Ανάκαμψης και Ανθεκτικότητας «Ελλάδα 2.0»</w:t>
      </w:r>
      <w:r>
        <w:t xml:space="preserve"> εγκρίθηκε στις 13 Ιουλίου 2021 από το Συμβούλιο Οικονομικών Δημοσιονομικών Θεμάτων της Ε</w:t>
      </w:r>
      <w:r w:rsidR="00E35EDE">
        <w:t>Ε</w:t>
      </w:r>
      <w:r>
        <w:t xml:space="preserve"> (Ecofin) και μετά την αναθεώρησή του το</w:t>
      </w:r>
      <w:r w:rsidR="001C0BAE">
        <w:t>ν</w:t>
      </w:r>
      <w:r>
        <w:t xml:space="preserve"> Δεκέμβριο 2023 ο προϋπολογισμός του ανέρχεται σε </w:t>
      </w:r>
      <w:r w:rsidRPr="005E0328">
        <w:t xml:space="preserve">35,95 </w:t>
      </w:r>
      <w:r w:rsidRPr="005E0328">
        <w:rPr>
          <w:rFonts w:hint="eastAsia"/>
        </w:rPr>
        <w:t>δισ</w:t>
      </w:r>
      <w:r w:rsidRPr="005E0328">
        <w:t>.</w:t>
      </w:r>
      <w:r>
        <w:t xml:space="preserve"> ευρώ. </w:t>
      </w:r>
      <w:r>
        <w:rPr>
          <w:rFonts w:hint="eastAsia"/>
        </w:rPr>
        <w:t xml:space="preserve">Τον </w:t>
      </w:r>
      <w:r w:rsidRPr="005E0328">
        <w:rPr>
          <w:rFonts w:hint="eastAsia"/>
        </w:rPr>
        <w:t>Ιούλιο</w:t>
      </w:r>
      <w:r w:rsidRPr="005E0328">
        <w:t xml:space="preserve"> 2024 </w:t>
      </w:r>
      <w:r w:rsidRPr="005E0328">
        <w:rPr>
          <w:rFonts w:hint="eastAsia"/>
        </w:rPr>
        <w:t>και</w:t>
      </w:r>
      <w:r w:rsidRPr="005E0328">
        <w:t xml:space="preserve"> </w:t>
      </w:r>
      <w:r w:rsidRPr="005E0328">
        <w:rPr>
          <w:rFonts w:hint="eastAsia"/>
        </w:rPr>
        <w:t>τον</w:t>
      </w:r>
      <w:r w:rsidRPr="005E0328">
        <w:t xml:space="preserve"> </w:t>
      </w:r>
      <w:r w:rsidRPr="005E0328">
        <w:rPr>
          <w:rFonts w:hint="eastAsia"/>
        </w:rPr>
        <w:t>Ιανουάριο</w:t>
      </w:r>
      <w:r w:rsidRPr="005E0328">
        <w:t xml:space="preserve"> 2025</w:t>
      </w:r>
      <w:r>
        <w:t xml:space="preserve"> εγκρίθηκαν μ</w:t>
      </w:r>
      <w:r w:rsidRPr="005E0328">
        <w:rPr>
          <w:rFonts w:hint="eastAsia"/>
        </w:rPr>
        <w:t>ικρότερου</w:t>
      </w:r>
      <w:r w:rsidRPr="005E0328">
        <w:t xml:space="preserve"> </w:t>
      </w:r>
      <w:r w:rsidRPr="005E0328">
        <w:rPr>
          <w:rFonts w:hint="eastAsia"/>
        </w:rPr>
        <w:t>εύρους</w:t>
      </w:r>
      <w:r w:rsidRPr="005E0328">
        <w:t xml:space="preserve"> </w:t>
      </w:r>
      <w:r w:rsidRPr="005E0328">
        <w:rPr>
          <w:rFonts w:hint="eastAsia"/>
        </w:rPr>
        <w:t>στοχευμένες</w:t>
      </w:r>
      <w:r w:rsidRPr="005E0328">
        <w:t xml:space="preserve"> </w:t>
      </w:r>
      <w:r w:rsidRPr="005E0328">
        <w:rPr>
          <w:rFonts w:hint="eastAsia"/>
        </w:rPr>
        <w:t>αναθεωρήσεις</w:t>
      </w:r>
      <w:r>
        <w:t>.</w:t>
      </w:r>
    </w:p>
    <w:p w14:paraId="0B5DFDF2" w14:textId="77777777" w:rsidR="004642EB" w:rsidRDefault="004642EB" w:rsidP="00EB45BB">
      <w:r w:rsidRPr="00C51996">
        <w:t>Στο πλαίσιο υλοποίησης του Εθνικού Σχεδίου Ανάκαμψης και Ανθεκτικότητας «Ελλάδα</w:t>
      </w:r>
      <w:r>
        <w:t xml:space="preserve"> 2.0», το οποίο βαίνει σε φάση ολοκλήρωσης εντός του επόμενου έτους, συνεχίζονται μεταρρυθμίσεις και επενδύσεις που εντάσσονται στους βασικούς πυλώνες του Σχεδίου. Επίσης, εντός του 2026 συνεχίζεται η αξιοποίηση των πόρων του ΤΑΑ για τη χρηματοδότηση ιδιωτικών επενδύσεων μέσω του σκέλους των δανείων.</w:t>
      </w:r>
    </w:p>
    <w:p w14:paraId="2FE3E629" w14:textId="52D06433" w:rsidR="004642EB" w:rsidRDefault="004642EB" w:rsidP="00EB45BB">
      <w:r>
        <w:t>Οι πόροι που διοχετεύονται έως το τέλος του 2026 σε επιχορηγήσεις και δάνεια (18,22 δισ. ευρώ και 17,73 δισ. ευρώ αντίστοιχα), προβλέπεται να ενεργοποιήσουν επενδυτικές δράσεις ύψους άνω των 60 δισ. ευρώ.</w:t>
      </w:r>
    </w:p>
    <w:p w14:paraId="5501840A" w14:textId="05079854" w:rsidR="004642EB" w:rsidRPr="00A8526E" w:rsidRDefault="004642EB" w:rsidP="00EB45BB">
      <w:r>
        <w:t>Οι πέντε πυλώνες στους οποίους εντάσσονται τ</w:t>
      </w:r>
      <w:r w:rsidRPr="00A8526E">
        <w:t>α έργα που χρηματοδοτούνται από το Τ</w:t>
      </w:r>
      <w:r w:rsidR="00E35EDE">
        <w:t>ΑΑ</w:t>
      </w:r>
      <w:r w:rsidRPr="00A8526E">
        <w:t xml:space="preserve"> </w:t>
      </w:r>
      <w:r>
        <w:t>είναι οι εξής</w:t>
      </w:r>
      <w:r w:rsidRPr="00A8526E">
        <w:t>:</w:t>
      </w:r>
    </w:p>
    <w:p w14:paraId="363368F9" w14:textId="4C01586E" w:rsidR="004642EB" w:rsidRPr="00EB45BB" w:rsidRDefault="004642EB" w:rsidP="00EB45BB">
      <w:pPr>
        <w:numPr>
          <w:ilvl w:val="0"/>
          <w:numId w:val="1"/>
        </w:numPr>
        <w:spacing w:before="120" w:after="60"/>
        <w:ind w:left="568" w:hanging="284"/>
        <w:rPr>
          <w:rFonts w:cs="Arial"/>
          <w:szCs w:val="20"/>
        </w:rPr>
      </w:pPr>
      <w:r w:rsidRPr="00EB45BB">
        <w:rPr>
          <w:rFonts w:cs="Arial"/>
          <w:szCs w:val="20"/>
        </w:rPr>
        <w:t>Πράσινη μετάβαση,</w:t>
      </w:r>
    </w:p>
    <w:p w14:paraId="6D4EDD2A" w14:textId="6AAA4E66" w:rsidR="004642EB" w:rsidRPr="00EB45BB" w:rsidRDefault="004642EB" w:rsidP="00EB45BB">
      <w:pPr>
        <w:numPr>
          <w:ilvl w:val="0"/>
          <w:numId w:val="1"/>
        </w:numPr>
        <w:spacing w:before="60" w:after="60"/>
        <w:ind w:left="568" w:hanging="284"/>
        <w:rPr>
          <w:rFonts w:cs="Arial"/>
          <w:szCs w:val="20"/>
        </w:rPr>
      </w:pPr>
      <w:r w:rsidRPr="00EB45BB">
        <w:rPr>
          <w:rFonts w:cs="Arial"/>
          <w:szCs w:val="20"/>
        </w:rPr>
        <w:t>Ψηφιακή μετάβαση,</w:t>
      </w:r>
    </w:p>
    <w:p w14:paraId="058783C1" w14:textId="77777777" w:rsidR="004642EB" w:rsidRPr="00EB45BB" w:rsidRDefault="004642EB" w:rsidP="00EB45BB">
      <w:pPr>
        <w:numPr>
          <w:ilvl w:val="0"/>
          <w:numId w:val="1"/>
        </w:numPr>
        <w:spacing w:before="60" w:after="60"/>
        <w:ind w:left="568" w:hanging="284"/>
        <w:rPr>
          <w:rFonts w:cs="Arial"/>
          <w:szCs w:val="20"/>
        </w:rPr>
      </w:pPr>
      <w:r w:rsidRPr="00EB45BB">
        <w:rPr>
          <w:rFonts w:cs="Arial"/>
          <w:szCs w:val="20"/>
        </w:rPr>
        <w:t xml:space="preserve">Απασχόληση, δεξιότητες και κοινωνική συνοχή, </w:t>
      </w:r>
    </w:p>
    <w:p w14:paraId="3AD64161" w14:textId="6ED3BCDD" w:rsidR="004642EB" w:rsidRPr="00EB45BB" w:rsidRDefault="004642EB" w:rsidP="00EB45BB">
      <w:pPr>
        <w:numPr>
          <w:ilvl w:val="0"/>
          <w:numId w:val="1"/>
        </w:numPr>
        <w:spacing w:before="60" w:after="60"/>
        <w:ind w:left="568" w:hanging="284"/>
        <w:rPr>
          <w:rFonts w:cs="Arial"/>
          <w:szCs w:val="20"/>
        </w:rPr>
      </w:pPr>
      <w:r w:rsidRPr="00EB45BB">
        <w:rPr>
          <w:rFonts w:cs="Arial"/>
          <w:szCs w:val="20"/>
        </w:rPr>
        <w:t>Ιδιωτικές επενδύσεις και μετασχηματισμός της οικονομίας</w:t>
      </w:r>
      <w:r w:rsidR="00926B01">
        <w:rPr>
          <w:rFonts w:cs="Arial"/>
          <w:szCs w:val="20"/>
        </w:rPr>
        <w:t xml:space="preserve"> και</w:t>
      </w:r>
    </w:p>
    <w:p w14:paraId="4896FDE7" w14:textId="77777777" w:rsidR="004642EB" w:rsidRPr="00EB45BB" w:rsidRDefault="004642EB" w:rsidP="00EB45BB">
      <w:pPr>
        <w:numPr>
          <w:ilvl w:val="0"/>
          <w:numId w:val="1"/>
        </w:numPr>
        <w:spacing w:before="60"/>
        <w:ind w:left="568" w:hanging="284"/>
        <w:rPr>
          <w:rFonts w:cs="Arial"/>
          <w:szCs w:val="20"/>
        </w:rPr>
      </w:pPr>
      <w:r w:rsidRPr="00EB45BB">
        <w:rPr>
          <w:rFonts w:cs="Arial"/>
          <w:szCs w:val="20"/>
        </w:rPr>
        <w:t>REPowerEU.</w:t>
      </w:r>
    </w:p>
    <w:p w14:paraId="23126894" w14:textId="67039C1A" w:rsidR="004642EB" w:rsidRPr="002249B8" w:rsidRDefault="008B2C7F" w:rsidP="00EB45BB">
      <w:r>
        <w:t xml:space="preserve">Το </w:t>
      </w:r>
      <w:r w:rsidR="00C2194B" w:rsidRPr="00C51996">
        <w:t>Εθνικ</w:t>
      </w:r>
      <w:r w:rsidR="00C2194B">
        <w:t>ό</w:t>
      </w:r>
      <w:r w:rsidR="00C2194B" w:rsidRPr="00C51996">
        <w:t xml:space="preserve"> Σχ</w:t>
      </w:r>
      <w:r w:rsidR="00C2194B">
        <w:t>έ</w:t>
      </w:r>
      <w:r w:rsidR="00C2194B" w:rsidRPr="00C51996">
        <w:t>δ</w:t>
      </w:r>
      <w:r w:rsidR="00C2194B">
        <w:t>ιο</w:t>
      </w:r>
      <w:r w:rsidR="00C2194B" w:rsidRPr="00C51996">
        <w:t xml:space="preserve"> Ανάκαμψης και Ανθεκτικότητας </w:t>
      </w:r>
      <w:r>
        <w:t>«Ελλάδα 2.0»</w:t>
      </w:r>
      <w:r w:rsidR="00C2194B">
        <w:t>,</w:t>
      </w:r>
      <w:r>
        <w:t xml:space="preserve"> με χρηματοδότηση από το Τ</w:t>
      </w:r>
      <w:r w:rsidR="00C2194B">
        <w:t>ΑΑ,</w:t>
      </w:r>
      <w:r>
        <w:t xml:space="preserve"> βρίσκεται σε πλήρη εξέλιξη με την ένταξη 836 έργων που περιλαμβάνουν</w:t>
      </w:r>
      <w:r w:rsidR="00C2194B">
        <w:t>,</w:t>
      </w:r>
      <w:r>
        <w:t xml:space="preserve"> μεταξύ άλλων</w:t>
      </w:r>
      <w:r w:rsidR="00C2194B">
        <w:t>,</w:t>
      </w:r>
      <w:r>
        <w:t xml:space="preserve"> </w:t>
      </w:r>
      <w:r w:rsidR="00C2194B">
        <w:t xml:space="preserve">την </w:t>
      </w:r>
      <w:r w:rsidR="004642EB" w:rsidRPr="002249B8">
        <w:t xml:space="preserve">ενεργειακή ανακαίνιση κατοικιών, </w:t>
      </w:r>
      <w:r w:rsidR="004642EB">
        <w:t xml:space="preserve">την </w:t>
      </w:r>
      <w:r w:rsidR="004642EB" w:rsidRPr="002249B8">
        <w:t>αναβάθμιση ενεργειακής απόδοσης κτ</w:t>
      </w:r>
      <w:r w:rsidR="004642EB">
        <w:t>η</w:t>
      </w:r>
      <w:r w:rsidR="004642EB" w:rsidRPr="002249B8">
        <w:t xml:space="preserve">ρίων του δημόσιου τομέα, </w:t>
      </w:r>
      <w:r w:rsidR="004642EB">
        <w:t xml:space="preserve">τις </w:t>
      </w:r>
      <w:r w:rsidR="004642EB" w:rsidRPr="002249B8">
        <w:t xml:space="preserve">νησιωτικές ηλεκτρικές διασυνδέσεις, </w:t>
      </w:r>
      <w:r w:rsidR="004642EB">
        <w:t xml:space="preserve">τις </w:t>
      </w:r>
      <w:r w:rsidR="004642EB" w:rsidRPr="002249B8">
        <w:t xml:space="preserve">επενδύσεις αποθήκευσης ενέργειας, </w:t>
      </w:r>
      <w:r w:rsidR="00FD1D4F">
        <w:t>τ</w:t>
      </w:r>
      <w:r w:rsidR="003F6A0A">
        <w:t xml:space="preserve">ην </w:t>
      </w:r>
      <w:r w:rsidR="004642EB" w:rsidRPr="00A8526E">
        <w:t>προστασία των δασών,</w:t>
      </w:r>
      <w:r w:rsidR="004642EB">
        <w:t xml:space="preserve"> την </w:t>
      </w:r>
      <w:r w:rsidR="004642EB" w:rsidRPr="002249B8">
        <w:t>κατασκευή αυτοκινητ</w:t>
      </w:r>
      <w:r w:rsidR="004642EB">
        <w:t>όδρομων</w:t>
      </w:r>
      <w:r w:rsidR="004642EB" w:rsidRPr="00A8526E">
        <w:t xml:space="preserve"> και έργ</w:t>
      </w:r>
      <w:r w:rsidR="004642EB">
        <w:t>ων</w:t>
      </w:r>
      <w:r w:rsidR="004642EB" w:rsidRPr="00A8526E">
        <w:t xml:space="preserve"> βελτίωσης της οδικής ασφάλειας</w:t>
      </w:r>
      <w:r w:rsidR="004642EB" w:rsidRPr="002249B8">
        <w:t xml:space="preserve">, </w:t>
      </w:r>
      <w:r w:rsidR="00C2194B">
        <w:t xml:space="preserve">την </w:t>
      </w:r>
      <w:r w:rsidR="00C2194B" w:rsidRPr="005B072E">
        <w:t xml:space="preserve">αποκατάσταση </w:t>
      </w:r>
      <w:r w:rsidR="00C2194B">
        <w:t xml:space="preserve">του </w:t>
      </w:r>
      <w:r w:rsidR="00C2194B" w:rsidRPr="005B072E">
        <w:t xml:space="preserve">οδικού και </w:t>
      </w:r>
      <w:r w:rsidR="00C2194B">
        <w:t xml:space="preserve">του </w:t>
      </w:r>
      <w:r w:rsidR="00C2194B" w:rsidRPr="005B072E">
        <w:t>σιδηροδρομικού δικτύου έπειτα από</w:t>
      </w:r>
      <w:r w:rsidR="00C2194B">
        <w:t xml:space="preserve"> </w:t>
      </w:r>
      <w:r w:rsidR="00C2194B" w:rsidRPr="005B072E">
        <w:t>εκτεταμένες φυσικές καταστροφές,</w:t>
      </w:r>
      <w:r w:rsidR="00C2194B">
        <w:t xml:space="preserve"> </w:t>
      </w:r>
      <w:r w:rsidR="004642EB">
        <w:t xml:space="preserve">την </w:t>
      </w:r>
      <w:r w:rsidR="004642EB" w:rsidRPr="00A8526E">
        <w:t xml:space="preserve">ανακαίνιση και </w:t>
      </w:r>
      <w:r w:rsidR="004642EB">
        <w:t xml:space="preserve">τον </w:t>
      </w:r>
      <w:r w:rsidR="004642EB" w:rsidRPr="00A8526E">
        <w:t>εκσυγχρονισμό νοσοκομείων και μονάδων ΠΦΥ</w:t>
      </w:r>
      <w:r w:rsidR="004642EB" w:rsidRPr="002249B8">
        <w:t xml:space="preserve">, </w:t>
      </w:r>
      <w:r w:rsidR="004642EB">
        <w:t xml:space="preserve">την </w:t>
      </w:r>
      <w:r w:rsidR="004642EB" w:rsidRPr="002249B8">
        <w:t xml:space="preserve">υλοποίηση </w:t>
      </w:r>
      <w:r w:rsidR="004642EB" w:rsidRPr="002249B8">
        <w:lastRenderedPageBreak/>
        <w:t>της στρατηγικής για την αριστεία στα πανεπιστήμια και την καινοτομία</w:t>
      </w:r>
      <w:r w:rsidR="004642EB">
        <w:t xml:space="preserve"> καθώς και την </w:t>
      </w:r>
      <w:r w:rsidR="004642EB" w:rsidRPr="00A8526E">
        <w:t>επανακατάρτιση εργαζόμενων σε δεξιότητες συναφείς με την ψηφιακή μετάβαση και την πράσινη ανάπτυξη</w:t>
      </w:r>
      <w:r w:rsidR="00C2194B">
        <w:t xml:space="preserve"> κ.λπ.</w:t>
      </w:r>
    </w:p>
    <w:p w14:paraId="1442CB90" w14:textId="2E7E5F18" w:rsidR="004642EB" w:rsidRDefault="004642EB" w:rsidP="00EB45BB">
      <w:r>
        <w:t xml:space="preserve">Επιπλέον, με </w:t>
      </w:r>
      <w:r w:rsidRPr="00640096">
        <w:t>σκοπό τη διευκόλυνση της παροχής οικονομικών κινήτρων στον ιδιωτικό τομέα και την προώθηση των ιδιωτικών επενδύσεων</w:t>
      </w:r>
      <w:r>
        <w:t>, χρηματοδοτούνται ιδιωτικές επενδύσεις από το δανειακό σκέλος του ΤΑΑ.</w:t>
      </w:r>
      <w:r w:rsidRPr="00640096">
        <w:t xml:space="preserve"> Η δανειακή διευκόλυνση αξιοποιεί </w:t>
      </w:r>
      <w:r w:rsidR="003F6A0A">
        <w:t>ποικίλους</w:t>
      </w:r>
      <w:r w:rsidRPr="00640096">
        <w:t xml:space="preserve"> διαύλους διανομής και συγκεκριμένα χρηματοπιστωτικά ιδρύματα (μέσω της αγοράς εταιρικών ομολόγων ή κοινοπρακτικών δανείων)</w:t>
      </w:r>
      <w:r>
        <w:t>. Για το 2025 εκτιμάται ότι θα διατεθούν στα χρηματοπιστωτικά ιδρύματα πόροι συνολικού ύψους 3.680 εκατ. ευρώ.</w:t>
      </w:r>
    </w:p>
    <w:p w14:paraId="0D919593" w14:textId="1A0EAABC" w:rsidR="00C2194B" w:rsidRDefault="00C2194B" w:rsidP="00C2194B">
      <w:r>
        <w:t>Το</w:t>
      </w:r>
      <w:r w:rsidRPr="00136570">
        <w:t xml:space="preserve"> ΕΠΑ</w:t>
      </w:r>
      <w:r w:rsidRPr="009C3C2C">
        <w:t xml:space="preserve"> </w:t>
      </w:r>
      <w:r>
        <w:t xml:space="preserve">για </w:t>
      </w:r>
      <w:r w:rsidR="00246D23">
        <w:t xml:space="preserve">την περίοδο </w:t>
      </w:r>
      <w:r>
        <w:t>2021</w:t>
      </w:r>
      <w:r w:rsidR="00246D23">
        <w:t xml:space="preserve"> </w:t>
      </w:r>
      <w:r>
        <w:t>-</w:t>
      </w:r>
      <w:r w:rsidR="00246D23">
        <w:t xml:space="preserve"> </w:t>
      </w:r>
      <w:r>
        <w:t xml:space="preserve">2025 παρουσιάζει ιδιαίτερα υψηλή απορροφητικότητα, με </w:t>
      </w:r>
      <w:r w:rsidR="00272AE5">
        <w:t xml:space="preserve">μεγάλο </w:t>
      </w:r>
      <w:r>
        <w:t xml:space="preserve">ποσοστό υλοποίησης επί του συνόλου της επιλέξιμης δημόσιας δαπάνης, ενώ ταυτόχρονα καταγράφεται σημαντική δυναμική στις εντάξεις νέων έργων, γεγονός που αποδεικνύει τόσο την αποτελεσματική διαχείριση και </w:t>
      </w:r>
      <w:r w:rsidR="00272AE5">
        <w:t xml:space="preserve">την </w:t>
      </w:r>
      <w:r>
        <w:t>αξιοποίηση των διαθέσιμων πόρων όσο και τη συνεχή δέσμευση για την ενίσχυση της αναπτυξιακής δυναμικής σε όλη την επικράτεια της χώρας. Ο προϋπολογισμός των ενταγμένων έργων στο ΕΠΑ 2021</w:t>
      </w:r>
      <w:r w:rsidR="00291310">
        <w:t xml:space="preserve"> </w:t>
      </w:r>
      <w:r>
        <w:t>-</w:t>
      </w:r>
      <w:r w:rsidR="00291310">
        <w:t xml:space="preserve"> </w:t>
      </w:r>
      <w:r>
        <w:t xml:space="preserve">2025 ανέρχεται σε 14.664 εκατ. ευρώ και οι πληρωμές σε 8.224 εκατ. ευρώ. Ο προϋπολογισμός υλοποίησης και ολοκλήρωσης των έργων της </w:t>
      </w:r>
      <w:r w:rsidR="00291310">
        <w:t>π</w:t>
      </w:r>
      <w:r>
        <w:t>εριόδου 2021</w:t>
      </w:r>
      <w:r w:rsidR="00291310">
        <w:t xml:space="preserve"> </w:t>
      </w:r>
      <w:r>
        <w:t>-</w:t>
      </w:r>
      <w:r w:rsidR="00291310">
        <w:t xml:space="preserve"> </w:t>
      </w:r>
      <w:r>
        <w:t xml:space="preserve">2025 εκτιμάται </w:t>
      </w:r>
      <w:r w:rsidR="00C7014E">
        <w:t xml:space="preserve">με το πέρας του τρέχοντος έτους </w:t>
      </w:r>
      <w:r>
        <w:t>σ</w:t>
      </w:r>
      <w:r w:rsidR="00291310">
        <w:t xml:space="preserve">ε </w:t>
      </w:r>
      <w:r>
        <w:t>5,8 δισ.</w:t>
      </w:r>
      <w:r w:rsidR="00291310">
        <w:t xml:space="preserve"> ευρώ</w:t>
      </w:r>
      <w:r>
        <w:t xml:space="preserve">, με τα εν λόγω συνεχιζόμενα έργα να παρακολουθούνται διακριτά από τα έργα της </w:t>
      </w:r>
      <w:r w:rsidR="00291310">
        <w:t>π</w:t>
      </w:r>
      <w:r>
        <w:t>εριόδου 2026</w:t>
      </w:r>
      <w:r w:rsidR="00291310">
        <w:t xml:space="preserve"> </w:t>
      </w:r>
      <w:r>
        <w:t>-</w:t>
      </w:r>
      <w:r w:rsidR="00291310">
        <w:t xml:space="preserve"> </w:t>
      </w:r>
      <w:r>
        <w:t>2030 υπό ειδικούς κανόνες διαχείρισης και με ορίζοντα ολοκλήρωσης το έτος 2028.</w:t>
      </w:r>
    </w:p>
    <w:p w14:paraId="618805F6" w14:textId="4180D557" w:rsidR="004642EB" w:rsidRPr="008F09F9" w:rsidRDefault="00C7014E" w:rsidP="00EB45BB">
      <w:r>
        <w:t>Μ</w:t>
      </w:r>
      <w:r w:rsidR="004642EB" w:rsidRPr="008F09F9">
        <w:t xml:space="preserve">έσω του εθνικού σκέλους του </w:t>
      </w:r>
      <w:r w:rsidR="004642EB" w:rsidRPr="00456B28">
        <w:t>προϋπολογισμού δημοσίων επενδύσεων</w:t>
      </w:r>
      <w:r w:rsidR="004642EB" w:rsidRPr="008F09F9">
        <w:t xml:space="preserve"> 2025 χρηματοδοτήθηκαν κατά προτεραιότητα έργα αποκατάστασης ζημιών από φυσικές καταστροφές</w:t>
      </w:r>
      <w:r w:rsidR="002F377B">
        <w:t>,</w:t>
      </w:r>
      <w:r w:rsidR="004642EB" w:rsidRPr="008F09F9">
        <w:t xml:space="preserve"> όπως και ενίσχυσης της πολιτικής προστασίας. Αυτή η κατεύθυνση αποτυπώθηκε στη διάθεση </w:t>
      </w:r>
      <w:r w:rsidR="004642EB">
        <w:t>86</w:t>
      </w:r>
      <w:r w:rsidR="004642EB" w:rsidRPr="008F09F9">
        <w:t xml:space="preserve"> εκατ. ευρώ για την </w:t>
      </w:r>
      <w:r w:rsidR="004642EB">
        <w:t xml:space="preserve">αποκατάσταση των ζημιών που προκλήθηκαν σε δίκτυα και υποδομές </w:t>
      </w:r>
      <w:r w:rsidR="00FD1D4F">
        <w:t xml:space="preserve">μετά </w:t>
      </w:r>
      <w:r w:rsidR="004642EB">
        <w:t xml:space="preserve">από τα καταστροφικά φυσικά φαινόμενα </w:t>
      </w:r>
      <w:r w:rsidR="003F6A0A" w:rsidRPr="003F6A0A">
        <w:t>“</w:t>
      </w:r>
      <w:r w:rsidR="004642EB" w:rsidRPr="008F09F9">
        <w:t>Daniel</w:t>
      </w:r>
      <w:r w:rsidR="003F6A0A" w:rsidRPr="003F6A0A">
        <w:t>”</w:t>
      </w:r>
      <w:r w:rsidR="004642EB" w:rsidRPr="008F09F9">
        <w:t xml:space="preserve"> και </w:t>
      </w:r>
      <w:r w:rsidR="003F6A0A" w:rsidRPr="003F6A0A">
        <w:t>“</w:t>
      </w:r>
      <w:r w:rsidR="004642EB" w:rsidRPr="008F09F9">
        <w:t>Elias</w:t>
      </w:r>
      <w:r w:rsidR="003F6A0A" w:rsidRPr="003F6A0A">
        <w:t>”</w:t>
      </w:r>
      <w:r w:rsidR="004642EB" w:rsidRPr="008F09F9">
        <w:t>, 34,8 εκατ. ευρώ για την «Κρατική Αρωγή»</w:t>
      </w:r>
      <w:r w:rsidR="004642EB">
        <w:t xml:space="preserve"> σε πληγέντες φυσικών καταστροφών</w:t>
      </w:r>
      <w:r w:rsidR="004642EB" w:rsidRPr="008F09F9">
        <w:t>, 11,2 εκατ. ευρώ ειδικά για την «Αποκατάσταση ζημιών από τις πυρκαγιές της 23</w:t>
      </w:r>
      <w:r w:rsidR="003F6A0A">
        <w:t xml:space="preserve">ης - </w:t>
      </w:r>
      <w:r w:rsidR="004642EB" w:rsidRPr="008F09F9">
        <w:t>26</w:t>
      </w:r>
      <w:r w:rsidR="003F6A0A">
        <w:t>ης.</w:t>
      </w:r>
      <w:r w:rsidR="004642EB" w:rsidRPr="008F09F9">
        <w:t>7</w:t>
      </w:r>
      <w:r w:rsidR="003F6A0A">
        <w:t>.</w:t>
      </w:r>
      <w:r w:rsidR="004642EB" w:rsidRPr="008F09F9">
        <w:t>2018 (Μάτι)» κ</w:t>
      </w:r>
      <w:r w:rsidR="003F6A0A">
        <w:t>.</w:t>
      </w:r>
      <w:r w:rsidR="004642EB" w:rsidRPr="008F09F9">
        <w:t xml:space="preserve">λπ. Παράλληλα με την αποκατάσταση, προς την κατεύθυνση </w:t>
      </w:r>
      <w:r w:rsidR="00FD1D4F">
        <w:t xml:space="preserve">της </w:t>
      </w:r>
      <w:r w:rsidR="004642EB" w:rsidRPr="008F09F9">
        <w:t>πρόληψης και της θωράκισης της χώρας απέναντι στην κλιματική κρίση διατέθηκαν 41,1 εκατ. ευρώ για την προμήθεια 7 Νέων Αεροσκαφών DHC</w:t>
      </w:r>
      <w:r w:rsidR="002F377B">
        <w:t xml:space="preserve"> </w:t>
      </w:r>
      <w:r w:rsidR="004642EB" w:rsidRPr="008F09F9">
        <w:t>-</w:t>
      </w:r>
      <w:r w:rsidR="002F377B">
        <w:t xml:space="preserve"> </w:t>
      </w:r>
      <w:r w:rsidR="004642EB" w:rsidRPr="008F09F9">
        <w:t>515 (τα νέα Canadair)</w:t>
      </w:r>
      <w:r w:rsidR="002F377B">
        <w:t>,</w:t>
      </w:r>
      <w:r w:rsidR="004642EB" w:rsidRPr="008F09F9">
        <w:t xml:space="preserve"> όπως και 23,9 εκατ. ευρώ για την υλοποίηση του προγράμματος εξοπλισμού της Πολιτικής Προστασίας «ΑΙΓΙΣ».</w:t>
      </w:r>
    </w:p>
    <w:p w14:paraId="3A59A67A" w14:textId="10E74651" w:rsidR="004642EB" w:rsidRDefault="004642EB" w:rsidP="00EB45BB">
      <w:r w:rsidRPr="008F09F9">
        <w:t xml:space="preserve">Πέραν του κρίσιμου άξονα της ανθεκτικότητας της οικονομίας έναντι της κλιματικής αλλαγής, το εθνικό σκέλος του 2025 συνέχισε να καλύπτει τις μεγάλες και ιδιαίτερα σημαντικές </w:t>
      </w:r>
      <w:r>
        <w:t xml:space="preserve">δαπάνες για την προώθηση πολιτικών </w:t>
      </w:r>
      <w:r w:rsidRPr="008F09F9">
        <w:t>για την περιφερειακή συνοχή και ανάπτυξη</w:t>
      </w:r>
      <w:r w:rsidR="00057D0B">
        <w:t xml:space="preserve"> (</w:t>
      </w:r>
      <w:r w:rsidRPr="008F09F9">
        <w:t xml:space="preserve">χρηματοδότηση ακτοπλοϊκών άγονων γραμμών με συνολικό ποσό που </w:t>
      </w:r>
      <w:r w:rsidR="003F6A0A">
        <w:t xml:space="preserve">υπερέβη </w:t>
      </w:r>
      <w:r w:rsidRPr="008F09F9">
        <w:t>τ</w:t>
      </w:r>
      <w:r w:rsidR="003F6A0A">
        <w:t xml:space="preserve">ο ποσό των </w:t>
      </w:r>
      <w:r w:rsidRPr="008F09F9">
        <w:t xml:space="preserve">100 εκατ. ευρώ, </w:t>
      </w:r>
      <w:r w:rsidR="00C7014E">
        <w:t>ανανέωση του στόλου των αστικών λεωφορείων</w:t>
      </w:r>
      <w:r>
        <w:t xml:space="preserve"> </w:t>
      </w:r>
      <w:r w:rsidR="00057D0B">
        <w:t>ποσ</w:t>
      </w:r>
      <w:r w:rsidR="00C7014E">
        <w:t>ού</w:t>
      </w:r>
      <w:r w:rsidR="00057D0B">
        <w:t xml:space="preserve"> </w:t>
      </w:r>
      <w:r>
        <w:t xml:space="preserve">33,9 εκατ. ευρώ </w:t>
      </w:r>
      <w:r w:rsidRPr="008F09F9">
        <w:t>κ.</w:t>
      </w:r>
      <w:r w:rsidR="00F23A2F">
        <w:t>λπ</w:t>
      </w:r>
      <w:r w:rsidRPr="008F09F9">
        <w:t>.)</w:t>
      </w:r>
      <w:r w:rsidR="00926B01">
        <w:t>.</w:t>
      </w:r>
    </w:p>
    <w:p w14:paraId="5F9C2266" w14:textId="7471ED57" w:rsidR="00C83318" w:rsidRPr="006323AF" w:rsidRDefault="00C83318" w:rsidP="00C83318">
      <w:pPr>
        <w:spacing w:before="240"/>
        <w:rPr>
          <w:rFonts w:cs="Arial"/>
          <w:b/>
          <w:szCs w:val="20"/>
        </w:rPr>
      </w:pPr>
      <w:r w:rsidRPr="006323AF">
        <w:rPr>
          <w:rFonts w:cs="Arial"/>
          <w:b/>
          <w:szCs w:val="20"/>
        </w:rPr>
        <w:t xml:space="preserve">Προϋπολογισμός </w:t>
      </w:r>
      <w:r w:rsidR="00B86FE4" w:rsidRPr="006323AF">
        <w:rPr>
          <w:rFonts w:cs="Arial"/>
          <w:b/>
          <w:szCs w:val="20"/>
        </w:rPr>
        <w:t xml:space="preserve">δημοσίων επενδύσεων </w:t>
      </w:r>
      <w:r w:rsidRPr="006323AF">
        <w:rPr>
          <w:rFonts w:cs="Arial"/>
          <w:b/>
          <w:szCs w:val="20"/>
        </w:rPr>
        <w:t xml:space="preserve">έτους </w:t>
      </w:r>
      <w:bookmarkEnd w:id="374"/>
      <w:bookmarkEnd w:id="375"/>
      <w:bookmarkEnd w:id="376"/>
      <w:r w:rsidRPr="006323AF">
        <w:rPr>
          <w:rFonts w:cs="Arial"/>
          <w:b/>
          <w:szCs w:val="20"/>
        </w:rPr>
        <w:t>202</w:t>
      </w:r>
      <w:r w:rsidR="00A71898">
        <w:rPr>
          <w:rFonts w:cs="Arial"/>
          <w:b/>
          <w:szCs w:val="20"/>
        </w:rPr>
        <w:t>6</w:t>
      </w:r>
    </w:p>
    <w:p w14:paraId="2BBB412A" w14:textId="4ACC4D47" w:rsidR="00A71898" w:rsidRDefault="00A71898" w:rsidP="00EB45BB">
      <w:r>
        <w:t>Με τον προϋπολογισμό δημοσίων επενδύσεων του έτους 202</w:t>
      </w:r>
      <w:r w:rsidRPr="00285D9D">
        <w:t>6</w:t>
      </w:r>
      <w:r>
        <w:t xml:space="preserve"> </w:t>
      </w:r>
      <w:r w:rsidR="004139BF">
        <w:t>εξακολουθεί</w:t>
      </w:r>
      <w:r>
        <w:t xml:space="preserve"> η </w:t>
      </w:r>
      <w:r w:rsidR="0076456E">
        <w:t xml:space="preserve">αξιοποίηση πόρων </w:t>
      </w:r>
      <w:r>
        <w:t xml:space="preserve">για την περαιτέρω ανάπτυξη της οικονομίας, την ενίσχυση της ανταγωνιστικότητας, της επιχειρηματικότητας και του φιλικού προς τις επενδύσεις περιβάλλοντος, την ισόρροπη περιφερειακή ανάπτυξη, την προαγωγή της κοινωνικής ευημερίας και της κοινωνικής συνοχής, την καταπολέμηση κάθε μορφής διακρίσεων, την αειφόρο διαχείριση και αξιοποίηση του περιβάλλοντος καθώς και την αντιμετώπιση των δυσμενών </w:t>
      </w:r>
      <w:r w:rsidR="004139BF">
        <w:t>συνεπειών</w:t>
      </w:r>
      <w:r>
        <w:t xml:space="preserve"> των εξωγενών κρίσεων, περιλαμβανομένων και των κλιματικών κινδύνων.</w:t>
      </w:r>
    </w:p>
    <w:p w14:paraId="49BFBB34" w14:textId="77777777" w:rsidR="00A71898" w:rsidRDefault="00A71898" w:rsidP="00003359">
      <w:r>
        <w:t>Δημοσιονομικός στόχος παραμένει η ταχεία και αποδοτική απορρόφηση των προβλεπόμενων πόρων των συγχρηματοδοτούμενων προγραμμάτων και του ΤΑΑ, προκειμένου να εξασφαλιστεί έγκαιρα η μέγιστη δυνατή εισροή της ενωσιακής συνδρομής στο πλαίσιο των αναπτυξιακών στόχων.</w:t>
      </w:r>
    </w:p>
    <w:p w14:paraId="5B7D96A7" w14:textId="0B7CE994" w:rsidR="00A71898" w:rsidRDefault="00A71898" w:rsidP="00003359">
      <w:r w:rsidRPr="00894406">
        <w:t>Για το έτος 202</w:t>
      </w:r>
      <w:r w:rsidRPr="00B823A5">
        <w:t>6</w:t>
      </w:r>
      <w:r w:rsidRPr="00894406">
        <w:t xml:space="preserve"> προβλέπεται διάθεση πόρων ύψους 9.</w:t>
      </w:r>
      <w:r w:rsidR="00041B2A">
        <w:t>5</w:t>
      </w:r>
      <w:r w:rsidRPr="00894406">
        <w:t xml:space="preserve">00 εκατ. ευρώ, </w:t>
      </w:r>
      <w:r w:rsidRPr="005F7A24">
        <w:t xml:space="preserve">που αντιπροσωπεύουν το </w:t>
      </w:r>
      <w:r w:rsidR="00041B2A">
        <w:t>3,65</w:t>
      </w:r>
      <w:r w:rsidRPr="005F7A24">
        <w:t xml:space="preserve">% του ΑΕΠ, </w:t>
      </w:r>
      <w:r w:rsidRPr="00894406">
        <w:t xml:space="preserve">με κατανομή της συνολικής δαπάνης </w:t>
      </w:r>
      <w:r>
        <w:t>σε έργα</w:t>
      </w:r>
      <w:r w:rsidRPr="00894406">
        <w:t xml:space="preserve"> που θα συγχρηματοδοτηθούν από </w:t>
      </w:r>
      <w:r w:rsidRPr="00894406">
        <w:lastRenderedPageBreak/>
        <w:t>πόρους της ΕΕ ύψους 6.</w:t>
      </w:r>
      <w:r w:rsidRPr="00B823A5">
        <w:t>20</w:t>
      </w:r>
      <w:r w:rsidRPr="00894406">
        <w:t xml:space="preserve">0 εκατ. ευρώ και </w:t>
      </w:r>
      <w:r>
        <w:t>σε έργα</w:t>
      </w:r>
      <w:r w:rsidRPr="00894406">
        <w:t xml:space="preserve"> που θα χρηματοδοτηθούν αποκλειστικά από εθνικούς πόρους ύψους </w:t>
      </w:r>
      <w:r w:rsidRPr="00B823A5">
        <w:t>3.30</w:t>
      </w:r>
      <w:r w:rsidRPr="00894406">
        <w:t>0 εκατ. ευρώ.</w:t>
      </w:r>
    </w:p>
    <w:p w14:paraId="7C09598F" w14:textId="3150C7E0" w:rsidR="00A71898" w:rsidRDefault="00A71898" w:rsidP="00003359">
      <w:r>
        <w:t xml:space="preserve">Στο πλαίσιο αυτό αναμένεται η εντατικοποίηση της απορρόφησης </w:t>
      </w:r>
      <w:r w:rsidR="004139BF">
        <w:t xml:space="preserve">των </w:t>
      </w:r>
      <w:r>
        <w:t xml:space="preserve">διαθέσιμων από το ΕΣΠΑ ποσών για την υλοποίηση </w:t>
      </w:r>
      <w:r w:rsidR="004139BF">
        <w:t xml:space="preserve">των </w:t>
      </w:r>
      <w:r>
        <w:t>δράσεων που προαναφέρθηκαν, λαμβανομένου υπόψη ότι μετά το πέρας της προγραμματικής περιόδου 2014 - 2020 το κυριότερο μέρος των προβλεπόμενων πόρων για το συγχρηματοδοτούμενο σκέλος του ΑΠΔΕ αφορά στο ΕΣΠΑ 2021 - 2027.</w:t>
      </w:r>
    </w:p>
    <w:p w14:paraId="095F5996" w14:textId="6D870873" w:rsidR="00894CF9" w:rsidRDefault="00894CF9" w:rsidP="00894CF9">
      <w:r>
        <w:t>Σημαντικό ρόλο για τη χρηματοδότηση των επενδύσεων το 2026 και τα επόμενα έτη αναμένεται να διαδραματίσει το νέο ΕΠΑ 2026 - 2030. Το ολοκληρωμένο αναπτυξιακό πλαίσιο του ΕΠΑ 2026 - 2030 διαρθρώνεται στους ακόλουθους 6 Αναπτυξιακούς Στόχους:</w:t>
      </w:r>
    </w:p>
    <w:p w14:paraId="29FC788E" w14:textId="05B9E9AD" w:rsidR="00894CF9" w:rsidRPr="00894CF9" w:rsidRDefault="00894CF9" w:rsidP="00894CF9">
      <w:pPr>
        <w:numPr>
          <w:ilvl w:val="0"/>
          <w:numId w:val="1"/>
        </w:numPr>
        <w:spacing w:before="120" w:after="60"/>
        <w:ind w:left="568" w:hanging="284"/>
        <w:rPr>
          <w:rFonts w:cs="Arial"/>
          <w:szCs w:val="20"/>
        </w:rPr>
      </w:pPr>
      <w:r w:rsidRPr="00894CF9">
        <w:rPr>
          <w:rFonts w:cs="Arial"/>
          <w:szCs w:val="20"/>
        </w:rPr>
        <w:t>Κοινωνική Συνοχή και Ανάπτυξη</w:t>
      </w:r>
      <w:r w:rsidR="00B8015D">
        <w:rPr>
          <w:rFonts w:cs="Arial"/>
          <w:szCs w:val="20"/>
        </w:rPr>
        <w:t>,</w:t>
      </w:r>
    </w:p>
    <w:p w14:paraId="55A9A7BE" w14:textId="22F03DBE" w:rsidR="00894CF9" w:rsidRPr="00894CF9" w:rsidRDefault="00894CF9" w:rsidP="00894CF9">
      <w:pPr>
        <w:numPr>
          <w:ilvl w:val="0"/>
          <w:numId w:val="1"/>
        </w:numPr>
        <w:spacing w:before="60" w:after="60"/>
        <w:ind w:left="568" w:hanging="284"/>
        <w:rPr>
          <w:rFonts w:cs="Arial"/>
          <w:szCs w:val="20"/>
        </w:rPr>
      </w:pPr>
      <w:r w:rsidRPr="00894CF9">
        <w:rPr>
          <w:rFonts w:cs="Arial"/>
          <w:szCs w:val="20"/>
        </w:rPr>
        <w:t>Ανάπτυξη Υποδομών και Μεταφορών</w:t>
      </w:r>
      <w:r w:rsidR="00B8015D">
        <w:rPr>
          <w:rFonts w:cs="Arial"/>
          <w:szCs w:val="20"/>
        </w:rPr>
        <w:t>,</w:t>
      </w:r>
    </w:p>
    <w:p w14:paraId="6894FACA" w14:textId="757D5605" w:rsidR="00894CF9" w:rsidRPr="00894CF9" w:rsidRDefault="00894CF9" w:rsidP="00894CF9">
      <w:pPr>
        <w:numPr>
          <w:ilvl w:val="0"/>
          <w:numId w:val="1"/>
        </w:numPr>
        <w:spacing w:before="60" w:after="60"/>
        <w:ind w:left="568" w:hanging="284"/>
        <w:rPr>
          <w:rFonts w:cs="Arial"/>
          <w:szCs w:val="20"/>
        </w:rPr>
      </w:pPr>
      <w:r w:rsidRPr="00894CF9">
        <w:rPr>
          <w:rFonts w:cs="Arial"/>
          <w:szCs w:val="20"/>
        </w:rPr>
        <w:t>Πολιτική Προστασία και Αντιμετώπιση της Κλιματικής Κρίσης</w:t>
      </w:r>
      <w:r w:rsidR="00B8015D">
        <w:rPr>
          <w:rFonts w:cs="Arial"/>
          <w:szCs w:val="20"/>
        </w:rPr>
        <w:t>,</w:t>
      </w:r>
    </w:p>
    <w:p w14:paraId="3665FE43" w14:textId="4A3A7A32" w:rsidR="00894CF9" w:rsidRPr="00894CF9" w:rsidRDefault="00894CF9" w:rsidP="00894CF9">
      <w:pPr>
        <w:numPr>
          <w:ilvl w:val="0"/>
          <w:numId w:val="1"/>
        </w:numPr>
        <w:spacing w:before="60" w:after="60"/>
        <w:ind w:left="568" w:hanging="284"/>
        <w:rPr>
          <w:rFonts w:cs="Arial"/>
          <w:szCs w:val="20"/>
        </w:rPr>
      </w:pPr>
      <w:r w:rsidRPr="00894CF9">
        <w:rPr>
          <w:rFonts w:cs="Arial"/>
          <w:szCs w:val="20"/>
        </w:rPr>
        <w:t>Καινοτομία</w:t>
      </w:r>
      <w:r w:rsidR="00B8015D">
        <w:rPr>
          <w:rFonts w:cs="Arial"/>
          <w:szCs w:val="20"/>
        </w:rPr>
        <w:t xml:space="preserve"> </w:t>
      </w:r>
      <w:r w:rsidRPr="00894CF9">
        <w:rPr>
          <w:rFonts w:cs="Arial"/>
          <w:szCs w:val="20"/>
        </w:rPr>
        <w:t>-</w:t>
      </w:r>
      <w:r w:rsidR="00B8015D">
        <w:rPr>
          <w:rFonts w:cs="Arial"/>
          <w:szCs w:val="20"/>
        </w:rPr>
        <w:t xml:space="preserve"> </w:t>
      </w:r>
      <w:r w:rsidRPr="00894CF9">
        <w:rPr>
          <w:rFonts w:cs="Arial"/>
          <w:szCs w:val="20"/>
        </w:rPr>
        <w:t>Εξωστρέφεια και Ανταγωνιστικότητα</w:t>
      </w:r>
      <w:r w:rsidR="00B8015D">
        <w:rPr>
          <w:rFonts w:cs="Arial"/>
          <w:szCs w:val="20"/>
        </w:rPr>
        <w:t>,</w:t>
      </w:r>
    </w:p>
    <w:p w14:paraId="01D812E1" w14:textId="2993D948" w:rsidR="00894CF9" w:rsidRPr="00894CF9" w:rsidRDefault="00894CF9" w:rsidP="00894CF9">
      <w:pPr>
        <w:numPr>
          <w:ilvl w:val="0"/>
          <w:numId w:val="1"/>
        </w:numPr>
        <w:spacing w:before="60" w:after="60"/>
        <w:ind w:left="568" w:hanging="284"/>
        <w:rPr>
          <w:rFonts w:cs="Arial"/>
          <w:szCs w:val="20"/>
        </w:rPr>
      </w:pPr>
      <w:r w:rsidRPr="00894CF9">
        <w:rPr>
          <w:rFonts w:cs="Arial"/>
          <w:szCs w:val="20"/>
        </w:rPr>
        <w:t>Ψηφιακός Μετασχηματισμός και Τεχνητή Νοημοσύνη</w:t>
      </w:r>
      <w:r w:rsidR="00B8015D">
        <w:rPr>
          <w:rFonts w:cs="Arial"/>
          <w:szCs w:val="20"/>
        </w:rPr>
        <w:t xml:space="preserve"> και</w:t>
      </w:r>
    </w:p>
    <w:p w14:paraId="5959009A" w14:textId="1CECEFB8" w:rsidR="00894CF9" w:rsidRPr="00894CF9" w:rsidRDefault="00894CF9" w:rsidP="00894CF9">
      <w:pPr>
        <w:numPr>
          <w:ilvl w:val="0"/>
          <w:numId w:val="1"/>
        </w:numPr>
        <w:spacing w:before="60"/>
        <w:ind w:left="568" w:hanging="284"/>
        <w:rPr>
          <w:rFonts w:cs="Arial"/>
          <w:szCs w:val="20"/>
        </w:rPr>
      </w:pPr>
      <w:r w:rsidRPr="00894CF9">
        <w:rPr>
          <w:rFonts w:cs="Arial"/>
          <w:szCs w:val="20"/>
        </w:rPr>
        <w:t>Πράσινη Ανάπτυξη και Πράσινος Μετασχηματισμός.</w:t>
      </w:r>
    </w:p>
    <w:p w14:paraId="4678FCFF" w14:textId="1081D7D3" w:rsidR="00894CF9" w:rsidRDefault="00894CF9" w:rsidP="00894CF9">
      <w:r>
        <w:t xml:space="preserve">Ο συνολικός </w:t>
      </w:r>
      <w:r w:rsidR="00B8015D">
        <w:t>π</w:t>
      </w:r>
      <w:r>
        <w:t xml:space="preserve">ροϋπολογισμός του Προγράμματος για την </w:t>
      </w:r>
      <w:r w:rsidR="00B8015D">
        <w:t>π</w:t>
      </w:r>
      <w:r>
        <w:t>ερίοδο 2026</w:t>
      </w:r>
      <w:r w:rsidR="00B8015D">
        <w:t xml:space="preserve"> </w:t>
      </w:r>
      <w:r>
        <w:t>-</w:t>
      </w:r>
      <w:r w:rsidR="00B8015D">
        <w:t xml:space="preserve"> 20</w:t>
      </w:r>
      <w:r>
        <w:t>30 προσδιορίζεται σε 12.827 εκατ. ευρώ, ενώ με την υπερδέσμευση ανέρχεται σ</w:t>
      </w:r>
      <w:r w:rsidR="00B8015D">
        <w:t>ε</w:t>
      </w:r>
      <w:r>
        <w:t xml:space="preserve"> 16.198 εκατ. ευρώ. Η στρατηγική της υπερδέσμευσης αποσκοπεί στη διασφάλιση της πλήρους απορρόφησης των διαθέσιμων πόρων, αντισταθμίζοντας πιθανές καθυστερήσεις ή ματαιώσεις έργων.</w:t>
      </w:r>
    </w:p>
    <w:p w14:paraId="2A8EA671" w14:textId="295E6325" w:rsidR="00894CF9" w:rsidRDefault="00BE764D" w:rsidP="00894CF9">
      <w:r>
        <w:t>Ο ε</w:t>
      </w:r>
      <w:r w:rsidR="00894CF9">
        <w:t xml:space="preserve">ν λόγω </w:t>
      </w:r>
      <w:r>
        <w:t>π</w:t>
      </w:r>
      <w:r w:rsidR="00894CF9">
        <w:t>ροϋπολογισμ</w:t>
      </w:r>
      <w:r>
        <w:t xml:space="preserve">ός κατανέμεται ως ακολούθως: ποσό </w:t>
      </w:r>
      <w:r w:rsidR="00894CF9">
        <w:t xml:space="preserve">8.737 εκατ. ευρώ (68,1% του ΕΠΑ) στα Τομεακά Προγράμματα, </w:t>
      </w:r>
      <w:r>
        <w:t xml:space="preserve">ποσό </w:t>
      </w:r>
      <w:r w:rsidR="00894CF9">
        <w:t xml:space="preserve">2.500 εκατ. ευρώ (19,5% του ΕΠΑ) στα Περιφερειακά Προγράμματα και </w:t>
      </w:r>
      <w:r>
        <w:t xml:space="preserve">ποσό </w:t>
      </w:r>
      <w:r w:rsidR="00894CF9">
        <w:t xml:space="preserve">1.590 εκατ. ευρώ (12,4% του ΕΠΑ) στα Ειδικά Προγράμματα. Η κατανομή αναδεικνύει τον κεντρικό χαρακτήρα του προγράμματος, με τα Τομεακά Προγράμματα να απορροφούν </w:t>
      </w:r>
      <w:r>
        <w:t xml:space="preserve">ποσοστό </w:t>
      </w:r>
      <w:r w:rsidR="00894CF9">
        <w:t>68% των πόρων, ενώ παράλληλα</w:t>
      </w:r>
      <w:r>
        <w:t>,</w:t>
      </w:r>
      <w:r w:rsidR="00894CF9">
        <w:t xml:space="preserve"> διατηρείται </w:t>
      </w:r>
      <w:r>
        <w:t xml:space="preserve">η </w:t>
      </w:r>
      <w:r w:rsidR="00894CF9">
        <w:t xml:space="preserve">σημαντική έμφαση στην αυτονομία των Περιφερειών και στην αξιοποίηση </w:t>
      </w:r>
      <w:r w:rsidR="00247455">
        <w:t xml:space="preserve">των </w:t>
      </w:r>
      <w:r w:rsidR="00894CF9">
        <w:t>εθνικών πόρων (19,5%).</w:t>
      </w:r>
    </w:p>
    <w:p w14:paraId="50C92138" w14:textId="77777777" w:rsidR="0016423B" w:rsidRDefault="00247455" w:rsidP="00003359">
      <w:r>
        <w:t>Στα Ειδικά Προγράμματα Ανάπτυξης περιλαμβάνονται το Ειδικό Πρόγραμμα Φυσικών Καταστροφών, το Ειδικό Πρόγραμμα Δίκαιης Αναπτυξιακής Μετάβασης, έργα Σύμπραξης Δημοσίου - Ιδιωτικού Τομέα (ΣΔΙΤ) και το Ειδικό Πρόγραμμα της Προεδρίας της Κυβέρνησης.</w:t>
      </w:r>
    </w:p>
    <w:p w14:paraId="42CC6E29" w14:textId="6108C5CB" w:rsidR="004472D8" w:rsidRPr="0098356F" w:rsidRDefault="00A71898" w:rsidP="00003359">
      <w:pPr>
        <w:spacing w:after="240"/>
      </w:pPr>
      <w:r>
        <w:t>Αναλυτικά</w:t>
      </w:r>
      <w:r w:rsidR="0016423B">
        <w:t xml:space="preserve"> για το Ειδικό Πρόγραμμα Φυσικών Καταστροφών,</w:t>
      </w:r>
      <w:r>
        <w:t xml:space="preserve"> η κατανομή των προβλεπόμενων πιστώσεων στον αναλυτικό λογαριασμό εξόδου 2910601061 «Πιστώσεις για δράσεις που σχετίζονται με τη στήριξη και ενίσχυση πληγέντων από θεομηνίες, καθώς και με την πρόληψη, προστασία και αποκατάσταση από θεομηνίες» ανά Υπουργείο παρουσιάζεται </w:t>
      </w:r>
      <w:r w:rsidRPr="0098356F">
        <w:t>στη συνέχεια (</w:t>
      </w:r>
      <w:r w:rsidR="00DF5794" w:rsidRPr="0098356F">
        <w:fldChar w:fldCharType="begin"/>
      </w:r>
      <w:r w:rsidR="00DF5794" w:rsidRPr="0098356F">
        <w:instrText xml:space="preserve"> REF _Ref214101849 \h  \* MERGEFORMAT </w:instrText>
      </w:r>
      <w:r w:rsidR="00DF5794" w:rsidRPr="0098356F">
        <w:fldChar w:fldCharType="separate"/>
      </w:r>
      <w:r w:rsidR="00E15678" w:rsidRPr="00E15678">
        <w:t>Πίνακας 3.15</w:t>
      </w:r>
      <w:r w:rsidR="00DF5794" w:rsidRPr="0098356F">
        <w:fldChar w:fldCharType="end"/>
      </w:r>
      <w:r w:rsidR="00DF5794" w:rsidRPr="0098356F">
        <w:t>.</w:t>
      </w:r>
      <w:r w:rsidRPr="0098356F">
        <w:t>).</w:t>
      </w:r>
    </w:p>
    <w:p w14:paraId="12EBB623" w14:textId="77777777" w:rsidR="004472D8" w:rsidRDefault="004472D8">
      <w:pPr>
        <w:spacing w:after="0" w:line="240" w:lineRule="auto"/>
        <w:jc w:val="left"/>
        <w:rPr>
          <w:highlight w:val="cyan"/>
        </w:rPr>
      </w:pPr>
      <w:r>
        <w:rPr>
          <w:highlight w:val="cyan"/>
        </w:rPr>
        <w:br w:type="page"/>
      </w:r>
    </w:p>
    <w:tbl>
      <w:tblPr>
        <w:tblW w:w="8500"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2547"/>
        <w:gridCol w:w="3118"/>
        <w:gridCol w:w="1276"/>
        <w:gridCol w:w="1559"/>
      </w:tblGrid>
      <w:tr w:rsidR="00A71898" w:rsidRPr="00F23A2F" w14:paraId="31928525" w14:textId="77777777" w:rsidTr="005E2D4B">
        <w:trPr>
          <w:cantSplit/>
          <w:trHeight w:val="510"/>
          <w:jc w:val="center"/>
        </w:trPr>
        <w:tc>
          <w:tcPr>
            <w:tcW w:w="8500" w:type="dxa"/>
            <w:gridSpan w:val="4"/>
            <w:tcBorders>
              <w:top w:val="single" w:sz="2" w:space="0" w:color="A6A6A6" w:themeColor="background1" w:themeShade="A6"/>
              <w:bottom w:val="single" w:sz="2" w:space="0" w:color="A6A6A6" w:themeColor="background1" w:themeShade="A6"/>
            </w:tcBorders>
            <w:shd w:val="clear" w:color="auto" w:fill="D5DCE4"/>
            <w:hideMark/>
          </w:tcPr>
          <w:p w14:paraId="7F5C6D00" w14:textId="0CAA9B23" w:rsidR="008F4A04" w:rsidRDefault="00045962" w:rsidP="005E2D4B">
            <w:pPr>
              <w:spacing w:after="0" w:line="276" w:lineRule="auto"/>
              <w:jc w:val="center"/>
              <w:rPr>
                <w:rFonts w:cs="Arial"/>
                <w:b/>
                <w:bCs/>
                <w:color w:val="000000"/>
                <w:sz w:val="18"/>
                <w:szCs w:val="16"/>
                <w:lang w:eastAsia="en-US"/>
              </w:rPr>
            </w:pPr>
            <w:bookmarkStart w:id="377" w:name="_Ref214101849"/>
            <w:bookmarkStart w:id="378" w:name="_Toc214474053"/>
            <w:r w:rsidRPr="00F23A2F">
              <w:rPr>
                <w:rFonts w:cs="Arial"/>
                <w:b/>
                <w:sz w:val="18"/>
                <w:szCs w:val="16"/>
              </w:rPr>
              <w:lastRenderedPageBreak/>
              <w:t>Πίνακας 3.</w:t>
            </w:r>
            <w:r w:rsidRPr="00F23A2F">
              <w:rPr>
                <w:rFonts w:cs="Arial"/>
                <w:b/>
                <w:sz w:val="18"/>
                <w:szCs w:val="16"/>
              </w:rPr>
              <w:fldChar w:fldCharType="begin"/>
            </w:r>
            <w:r w:rsidRPr="00F23A2F">
              <w:rPr>
                <w:rFonts w:cs="Arial"/>
                <w:b/>
                <w:sz w:val="18"/>
                <w:szCs w:val="16"/>
              </w:rPr>
              <w:instrText xml:space="preserve"> SEQ Πίνακας_3. \* ARABIC </w:instrText>
            </w:r>
            <w:r w:rsidRPr="00F23A2F">
              <w:rPr>
                <w:rFonts w:cs="Arial"/>
                <w:b/>
                <w:sz w:val="18"/>
                <w:szCs w:val="16"/>
              </w:rPr>
              <w:fldChar w:fldCharType="separate"/>
            </w:r>
            <w:r w:rsidR="00E15678">
              <w:rPr>
                <w:rFonts w:cs="Arial"/>
                <w:b/>
                <w:noProof/>
                <w:sz w:val="18"/>
                <w:szCs w:val="16"/>
              </w:rPr>
              <w:t>15</w:t>
            </w:r>
            <w:r w:rsidRPr="00F23A2F">
              <w:rPr>
                <w:rFonts w:cs="Arial"/>
                <w:b/>
                <w:sz w:val="18"/>
                <w:szCs w:val="16"/>
              </w:rPr>
              <w:fldChar w:fldCharType="end"/>
            </w:r>
            <w:bookmarkEnd w:id="377"/>
            <w:r w:rsidRPr="00F23A2F">
              <w:rPr>
                <w:rFonts w:cs="Arial"/>
                <w:b/>
                <w:sz w:val="18"/>
                <w:szCs w:val="16"/>
              </w:rPr>
              <w:t xml:space="preserve">.: </w:t>
            </w:r>
            <w:r w:rsidR="00A71898" w:rsidRPr="00F23A2F">
              <w:rPr>
                <w:rFonts w:cs="Arial"/>
                <w:b/>
                <w:bCs/>
                <w:color w:val="000000"/>
                <w:sz w:val="18"/>
                <w:szCs w:val="16"/>
                <w:lang w:eastAsia="en-US"/>
              </w:rPr>
              <w:t>Πρόβλεψη δαπανών για την αποκατάσταση φυσικών καταστροφών</w:t>
            </w:r>
            <w:bookmarkEnd w:id="378"/>
          </w:p>
          <w:p w14:paraId="1F87A35A" w14:textId="08ECCC0B" w:rsidR="00A71898" w:rsidRPr="00F23A2F" w:rsidRDefault="00A71898" w:rsidP="005E2D4B">
            <w:pPr>
              <w:spacing w:after="0" w:line="276" w:lineRule="auto"/>
              <w:jc w:val="center"/>
              <w:rPr>
                <w:rFonts w:cs="Arial"/>
                <w:b/>
                <w:bCs/>
                <w:color w:val="000000"/>
                <w:sz w:val="18"/>
                <w:szCs w:val="16"/>
                <w:lang w:eastAsia="en-US"/>
              </w:rPr>
            </w:pPr>
            <w:r w:rsidRPr="00F23A2F">
              <w:rPr>
                <w:rFonts w:cs="Arial"/>
                <w:b/>
                <w:bCs/>
                <w:color w:val="000000"/>
                <w:sz w:val="18"/>
                <w:szCs w:val="16"/>
                <w:lang w:eastAsia="en-US"/>
              </w:rPr>
              <w:t>και για κρατική αρωγή (σε εκατ. ευρώ)</w:t>
            </w:r>
          </w:p>
        </w:tc>
      </w:tr>
      <w:tr w:rsidR="00A71898" w:rsidRPr="00F23A2F" w14:paraId="315A5364" w14:textId="77777777" w:rsidTr="005E2D4B">
        <w:trPr>
          <w:cantSplit/>
          <w:trHeight w:val="227"/>
          <w:jc w:val="center"/>
        </w:trPr>
        <w:tc>
          <w:tcPr>
            <w:tcW w:w="2547"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noWrap/>
            <w:vAlign w:val="center"/>
            <w:hideMark/>
          </w:tcPr>
          <w:p w14:paraId="5D0AA0ED" w14:textId="77777777" w:rsidR="00A71898" w:rsidRPr="00F23A2F" w:rsidRDefault="00A71898" w:rsidP="005E2D4B">
            <w:pPr>
              <w:spacing w:after="0" w:line="276" w:lineRule="auto"/>
              <w:jc w:val="center"/>
              <w:rPr>
                <w:rFonts w:cs="Arial"/>
                <w:b/>
                <w:bCs/>
                <w:color w:val="000000"/>
                <w:sz w:val="16"/>
                <w:szCs w:val="16"/>
                <w:lang w:eastAsia="en-US"/>
              </w:rPr>
            </w:pPr>
            <w:r w:rsidRPr="00F23A2F">
              <w:rPr>
                <w:rFonts w:cs="Arial"/>
                <w:b/>
                <w:bCs/>
                <w:color w:val="000000"/>
                <w:sz w:val="16"/>
                <w:szCs w:val="16"/>
                <w:lang w:eastAsia="en-US"/>
              </w:rPr>
              <w:t>ΥΠΟΥΡΓΕΙΟ</w:t>
            </w: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noWrap/>
            <w:vAlign w:val="center"/>
            <w:hideMark/>
          </w:tcPr>
          <w:p w14:paraId="7BCC7EAF" w14:textId="77777777" w:rsidR="00A71898" w:rsidRPr="00F23A2F" w:rsidRDefault="00A71898" w:rsidP="005E2D4B">
            <w:pPr>
              <w:spacing w:after="0" w:line="276" w:lineRule="auto"/>
              <w:jc w:val="center"/>
              <w:rPr>
                <w:rFonts w:cs="Arial"/>
                <w:b/>
                <w:bCs/>
                <w:color w:val="000000"/>
                <w:sz w:val="16"/>
                <w:szCs w:val="16"/>
                <w:lang w:eastAsia="en-US"/>
              </w:rPr>
            </w:pPr>
            <w:r w:rsidRPr="00F23A2F">
              <w:rPr>
                <w:rFonts w:cs="Arial"/>
                <w:b/>
                <w:bCs/>
                <w:color w:val="000000"/>
                <w:sz w:val="16"/>
                <w:szCs w:val="16"/>
                <w:lang w:eastAsia="en-US"/>
              </w:rPr>
              <w:t>ΕΙΔΙΚΟΣ ΦΟΡΕΑΣ</w:t>
            </w:r>
          </w:p>
        </w:tc>
        <w:tc>
          <w:tcPr>
            <w:tcW w:w="127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noWrap/>
            <w:vAlign w:val="center"/>
            <w:hideMark/>
          </w:tcPr>
          <w:p w14:paraId="6F24F090" w14:textId="77777777" w:rsidR="00A71898" w:rsidRPr="00F23A2F" w:rsidRDefault="00A71898" w:rsidP="005E2D4B">
            <w:pPr>
              <w:spacing w:after="0" w:line="276" w:lineRule="auto"/>
              <w:jc w:val="center"/>
              <w:rPr>
                <w:rFonts w:cs="Arial"/>
                <w:b/>
                <w:bCs/>
                <w:color w:val="000000"/>
                <w:sz w:val="16"/>
                <w:szCs w:val="16"/>
                <w:lang w:eastAsia="en-US"/>
              </w:rPr>
            </w:pPr>
            <w:r w:rsidRPr="00F23A2F">
              <w:rPr>
                <w:rFonts w:cs="Arial"/>
                <w:b/>
                <w:bCs/>
                <w:color w:val="000000"/>
                <w:sz w:val="16"/>
                <w:szCs w:val="16"/>
                <w:lang w:eastAsia="en-US"/>
              </w:rPr>
              <w:t>ΑΛΕ</w:t>
            </w: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F2F2F2"/>
            <w:noWrap/>
            <w:vAlign w:val="center"/>
            <w:hideMark/>
          </w:tcPr>
          <w:p w14:paraId="772DC137" w14:textId="77777777" w:rsidR="00A71898" w:rsidRPr="00F23A2F" w:rsidRDefault="00A71898" w:rsidP="005E2D4B">
            <w:pPr>
              <w:spacing w:after="0" w:line="276" w:lineRule="auto"/>
              <w:jc w:val="center"/>
              <w:rPr>
                <w:rFonts w:cs="Arial"/>
                <w:b/>
                <w:bCs/>
                <w:color w:val="000000"/>
                <w:sz w:val="16"/>
                <w:szCs w:val="16"/>
                <w:lang w:eastAsia="en-US"/>
              </w:rPr>
            </w:pPr>
            <w:r w:rsidRPr="00F23A2F">
              <w:rPr>
                <w:rFonts w:cs="Arial"/>
                <w:b/>
                <w:bCs/>
                <w:color w:val="000000"/>
                <w:sz w:val="16"/>
                <w:szCs w:val="16"/>
                <w:lang w:eastAsia="en-US"/>
              </w:rPr>
              <w:t>Πρόβλεψη 2026</w:t>
            </w:r>
          </w:p>
        </w:tc>
      </w:tr>
      <w:tr w:rsidR="00A71898" w:rsidRPr="00F23A2F" w14:paraId="4B904044" w14:textId="77777777" w:rsidTr="005E2D4B">
        <w:trPr>
          <w:cantSplit/>
          <w:jc w:val="center"/>
        </w:trPr>
        <w:tc>
          <w:tcPr>
            <w:tcW w:w="2547" w:type="dxa"/>
            <w:vMerge w:val="restart"/>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713DF945" w14:textId="5CAE0F6E" w:rsidR="00A71898" w:rsidRPr="00F23A2F" w:rsidRDefault="00F23A2F" w:rsidP="005E2D4B">
            <w:pPr>
              <w:spacing w:after="0" w:line="276" w:lineRule="auto"/>
              <w:jc w:val="left"/>
              <w:rPr>
                <w:rFonts w:cs="Arial"/>
                <w:color w:val="000000"/>
                <w:sz w:val="16"/>
                <w:szCs w:val="16"/>
                <w:lang w:eastAsia="en-US"/>
              </w:rPr>
            </w:pPr>
            <w:r w:rsidRPr="00F23A2F">
              <w:rPr>
                <w:rFonts w:cs="Arial"/>
                <w:color w:val="000000"/>
                <w:sz w:val="16"/>
                <w:szCs w:val="16"/>
                <w:lang w:eastAsia="en-US"/>
              </w:rPr>
              <w:t xml:space="preserve">Εθνικής Οικονομίας </w:t>
            </w:r>
            <w:r>
              <w:rPr>
                <w:rFonts w:cs="Arial"/>
                <w:color w:val="000000"/>
                <w:sz w:val="16"/>
                <w:szCs w:val="16"/>
                <w:lang w:eastAsia="en-US"/>
              </w:rPr>
              <w:t>κ</w:t>
            </w:r>
            <w:r w:rsidRPr="00F23A2F">
              <w:rPr>
                <w:rFonts w:cs="Arial"/>
                <w:color w:val="000000"/>
                <w:sz w:val="16"/>
                <w:szCs w:val="16"/>
                <w:lang w:eastAsia="en-US"/>
              </w:rPr>
              <w:t>αι Οικονομικών</w:t>
            </w: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bottom"/>
            <w:hideMark/>
          </w:tcPr>
          <w:p w14:paraId="7190B304" w14:textId="30E5790F" w:rsidR="00A71898" w:rsidRPr="00F23A2F" w:rsidRDefault="00A71898" w:rsidP="005E2D4B">
            <w:pPr>
              <w:spacing w:after="0" w:line="276" w:lineRule="auto"/>
              <w:jc w:val="left"/>
              <w:rPr>
                <w:rFonts w:cs="Arial"/>
                <w:color w:val="000000"/>
                <w:sz w:val="16"/>
                <w:szCs w:val="16"/>
                <w:lang w:eastAsia="en-US"/>
              </w:rPr>
            </w:pPr>
            <w:r w:rsidRPr="00F23A2F">
              <w:rPr>
                <w:rFonts w:cs="Arial"/>
                <w:color w:val="000000"/>
                <w:sz w:val="16"/>
                <w:szCs w:val="16"/>
                <w:lang w:eastAsia="en-US"/>
              </w:rPr>
              <w:t>1024.501.0000000</w:t>
            </w:r>
            <w:r w:rsidRPr="00F23A2F">
              <w:rPr>
                <w:rFonts w:cs="Arial"/>
                <w:color w:val="000000"/>
                <w:sz w:val="16"/>
                <w:szCs w:val="16"/>
                <w:lang w:eastAsia="en-US"/>
              </w:rPr>
              <w:br/>
              <w:t xml:space="preserve">Λοιπές μονάδες/αυτοτελείς μονάδες του Υπουργείου </w:t>
            </w:r>
            <w:r w:rsidR="00A72DC5" w:rsidRPr="00F23A2F">
              <w:rPr>
                <w:rFonts w:cs="Arial"/>
                <w:color w:val="000000"/>
                <w:sz w:val="16"/>
                <w:szCs w:val="16"/>
                <w:lang w:eastAsia="en-US"/>
              </w:rPr>
              <w:t xml:space="preserve">Εθνικής Οικονομίας </w:t>
            </w:r>
            <w:r w:rsidR="00A72DC5">
              <w:rPr>
                <w:rFonts w:cs="Arial"/>
                <w:color w:val="000000"/>
                <w:sz w:val="16"/>
                <w:szCs w:val="16"/>
                <w:lang w:eastAsia="en-US"/>
              </w:rPr>
              <w:t xml:space="preserve">και </w:t>
            </w:r>
            <w:r w:rsidRPr="00F23A2F">
              <w:rPr>
                <w:rFonts w:cs="Arial"/>
                <w:color w:val="000000"/>
                <w:sz w:val="16"/>
                <w:szCs w:val="16"/>
                <w:lang w:eastAsia="en-US"/>
              </w:rPr>
              <w:t>Οικονομικών</w:t>
            </w:r>
          </w:p>
        </w:tc>
        <w:tc>
          <w:tcPr>
            <w:tcW w:w="1276" w:type="dxa"/>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noWrap/>
            <w:vAlign w:val="center"/>
            <w:hideMark/>
          </w:tcPr>
          <w:p w14:paraId="57309078" w14:textId="7F47BE9D" w:rsidR="00A71898" w:rsidRPr="00F23A2F" w:rsidRDefault="00A71898" w:rsidP="005E2D4B">
            <w:pPr>
              <w:spacing w:after="0" w:line="276" w:lineRule="auto"/>
              <w:jc w:val="center"/>
              <w:rPr>
                <w:rFonts w:cs="Arial"/>
                <w:b/>
                <w:color w:val="000000"/>
                <w:sz w:val="16"/>
                <w:szCs w:val="16"/>
                <w:lang w:eastAsia="en-US"/>
              </w:rPr>
            </w:pPr>
            <w:r w:rsidRPr="00F23A2F">
              <w:rPr>
                <w:rFonts w:cs="Arial"/>
                <w:b/>
                <w:color w:val="000000"/>
                <w:sz w:val="16"/>
                <w:szCs w:val="16"/>
                <w:lang w:eastAsia="en-US"/>
              </w:rPr>
              <w:t>2910601061</w:t>
            </w: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bottom"/>
            <w:hideMark/>
          </w:tcPr>
          <w:p w14:paraId="7D233AB6" w14:textId="77777777" w:rsidR="00A71898" w:rsidRPr="00F23A2F" w:rsidRDefault="00A71898" w:rsidP="005E2D4B">
            <w:pPr>
              <w:spacing w:after="0" w:line="276" w:lineRule="auto"/>
              <w:jc w:val="right"/>
              <w:rPr>
                <w:rFonts w:cs="Arial"/>
                <w:color w:val="000000"/>
                <w:sz w:val="16"/>
                <w:szCs w:val="16"/>
                <w:lang w:eastAsia="en-US"/>
              </w:rPr>
            </w:pPr>
            <w:r w:rsidRPr="00F23A2F">
              <w:rPr>
                <w:rFonts w:cs="Arial"/>
                <w:color w:val="000000"/>
                <w:sz w:val="16"/>
                <w:szCs w:val="16"/>
                <w:lang w:eastAsia="en-US"/>
              </w:rPr>
              <w:t>100</w:t>
            </w:r>
          </w:p>
        </w:tc>
      </w:tr>
      <w:tr w:rsidR="00A71898" w:rsidRPr="00F23A2F" w14:paraId="4E2D6E6A" w14:textId="77777777" w:rsidTr="005E2D4B">
        <w:trPr>
          <w:cantSplit/>
          <w:jc w:val="center"/>
        </w:trPr>
        <w:tc>
          <w:tcPr>
            <w:tcW w:w="0" w:type="auto"/>
            <w:vMerge/>
            <w:tcBorders>
              <w:top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77FE5D1F" w14:textId="77777777" w:rsidR="00A71898" w:rsidRPr="00F23A2F" w:rsidRDefault="00A71898" w:rsidP="005E2D4B">
            <w:pPr>
              <w:spacing w:after="0" w:line="276" w:lineRule="auto"/>
              <w:jc w:val="left"/>
              <w:rPr>
                <w:rFonts w:cs="Arial"/>
                <w:color w:val="000000"/>
                <w:sz w:val="16"/>
                <w:szCs w:val="16"/>
                <w:lang w:eastAsia="en-US"/>
              </w:rPr>
            </w:pP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bottom"/>
            <w:hideMark/>
          </w:tcPr>
          <w:p w14:paraId="74476818" w14:textId="77777777" w:rsidR="00A71898" w:rsidRPr="00F23A2F" w:rsidRDefault="00A71898" w:rsidP="005E2D4B">
            <w:pPr>
              <w:spacing w:after="0" w:line="276" w:lineRule="auto"/>
              <w:jc w:val="left"/>
              <w:rPr>
                <w:rFonts w:cs="Arial"/>
                <w:color w:val="000000"/>
                <w:sz w:val="16"/>
                <w:szCs w:val="16"/>
                <w:lang w:eastAsia="en-US"/>
              </w:rPr>
            </w:pPr>
            <w:r w:rsidRPr="00F23A2F">
              <w:rPr>
                <w:rFonts w:cs="Arial"/>
                <w:color w:val="000000"/>
                <w:sz w:val="16"/>
                <w:szCs w:val="16"/>
                <w:lang w:eastAsia="en-US"/>
              </w:rPr>
              <w:t>1024.213.0000000</w:t>
            </w:r>
            <w:r w:rsidRPr="00F23A2F">
              <w:rPr>
                <w:rFonts w:cs="Arial"/>
                <w:color w:val="000000"/>
                <w:sz w:val="16"/>
                <w:szCs w:val="16"/>
                <w:lang w:eastAsia="en-US"/>
              </w:rPr>
              <w:br/>
              <w:t>Γενική Γραμματεία Προγράμματος Δημοσίων Επενδύσεων και Εθνικού Προγράμματος Ανάπτυξης (ΠΔΕ και ΕΠΑ)</w:t>
            </w:r>
          </w:p>
        </w:tc>
        <w:tc>
          <w:tcPr>
            <w:tcW w:w="0" w:type="auto"/>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7271480B" w14:textId="77777777" w:rsidR="00A71898" w:rsidRPr="00F23A2F" w:rsidRDefault="00A71898" w:rsidP="005E2D4B">
            <w:pPr>
              <w:spacing w:after="0" w:line="276" w:lineRule="auto"/>
              <w:jc w:val="left"/>
              <w:rPr>
                <w:rFonts w:cs="Arial"/>
                <w:color w:val="000000"/>
                <w:sz w:val="16"/>
                <w:szCs w:val="16"/>
                <w:lang w:eastAsia="en-US"/>
              </w:rPr>
            </w:pP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bottom"/>
            <w:hideMark/>
          </w:tcPr>
          <w:p w14:paraId="7EE5BA6A" w14:textId="77777777" w:rsidR="00A71898" w:rsidRPr="00F23A2F" w:rsidRDefault="00A71898" w:rsidP="005E2D4B">
            <w:pPr>
              <w:spacing w:after="0" w:line="276" w:lineRule="auto"/>
              <w:jc w:val="right"/>
              <w:rPr>
                <w:rFonts w:cs="Arial"/>
                <w:color w:val="000000"/>
                <w:sz w:val="16"/>
                <w:szCs w:val="16"/>
                <w:lang w:eastAsia="en-US"/>
              </w:rPr>
            </w:pPr>
            <w:r w:rsidRPr="00F23A2F">
              <w:rPr>
                <w:rFonts w:cs="Arial"/>
                <w:color w:val="000000"/>
                <w:sz w:val="16"/>
                <w:szCs w:val="16"/>
                <w:lang w:eastAsia="en-US"/>
              </w:rPr>
              <w:t>180</w:t>
            </w:r>
          </w:p>
        </w:tc>
      </w:tr>
      <w:tr w:rsidR="00A71898" w:rsidRPr="00F23A2F" w14:paraId="6DED8CB9" w14:textId="77777777" w:rsidTr="005E2D4B">
        <w:trPr>
          <w:cantSplit/>
          <w:jc w:val="center"/>
        </w:trPr>
        <w:tc>
          <w:tcPr>
            <w:tcW w:w="2547"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vAlign w:val="center"/>
            <w:hideMark/>
          </w:tcPr>
          <w:p w14:paraId="3FF1C6BA" w14:textId="49DD07BA" w:rsidR="00A71898" w:rsidRPr="00F23A2F" w:rsidRDefault="00F23A2F" w:rsidP="005E2D4B">
            <w:pPr>
              <w:spacing w:after="0" w:line="276" w:lineRule="auto"/>
              <w:jc w:val="left"/>
              <w:rPr>
                <w:rFonts w:cs="Arial"/>
                <w:color w:val="000000"/>
                <w:sz w:val="16"/>
                <w:szCs w:val="16"/>
                <w:lang w:eastAsia="en-US"/>
              </w:rPr>
            </w:pPr>
            <w:r w:rsidRPr="00F23A2F">
              <w:rPr>
                <w:rFonts w:cs="Arial"/>
                <w:color w:val="000000"/>
                <w:sz w:val="16"/>
                <w:szCs w:val="16"/>
                <w:lang w:eastAsia="en-US"/>
              </w:rPr>
              <w:t>Εσωτερικών</w:t>
            </w: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bottom"/>
            <w:hideMark/>
          </w:tcPr>
          <w:p w14:paraId="3961AED4" w14:textId="77777777" w:rsidR="00A71898" w:rsidRPr="00F23A2F" w:rsidRDefault="00A71898" w:rsidP="005E2D4B">
            <w:pPr>
              <w:spacing w:after="0" w:line="276" w:lineRule="auto"/>
              <w:jc w:val="left"/>
              <w:rPr>
                <w:rFonts w:cs="Arial"/>
                <w:color w:val="000000"/>
                <w:sz w:val="16"/>
                <w:szCs w:val="16"/>
                <w:lang w:eastAsia="en-US"/>
              </w:rPr>
            </w:pPr>
            <w:r w:rsidRPr="00F23A2F">
              <w:rPr>
                <w:rFonts w:cs="Arial"/>
                <w:color w:val="000000"/>
                <w:sz w:val="16"/>
                <w:szCs w:val="16"/>
                <w:lang w:eastAsia="en-US"/>
              </w:rPr>
              <w:t>1007.209.0000000</w:t>
            </w:r>
            <w:r w:rsidRPr="00F23A2F">
              <w:rPr>
                <w:rFonts w:cs="Arial"/>
                <w:color w:val="000000"/>
                <w:sz w:val="16"/>
                <w:szCs w:val="16"/>
                <w:lang w:eastAsia="en-US"/>
              </w:rPr>
              <w:br/>
              <w:t>Γενική Γραμματεία Αυτοδιοίκησης και Αποκέντρωσης</w:t>
            </w:r>
          </w:p>
        </w:tc>
        <w:tc>
          <w:tcPr>
            <w:tcW w:w="0" w:type="auto"/>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737CCC03" w14:textId="77777777" w:rsidR="00A71898" w:rsidRPr="00F23A2F" w:rsidRDefault="00A71898" w:rsidP="005E2D4B">
            <w:pPr>
              <w:spacing w:after="0" w:line="276" w:lineRule="auto"/>
              <w:jc w:val="left"/>
              <w:rPr>
                <w:rFonts w:cs="Arial"/>
                <w:color w:val="000000"/>
                <w:sz w:val="16"/>
                <w:szCs w:val="16"/>
                <w:lang w:eastAsia="en-US"/>
              </w:rPr>
            </w:pP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bottom"/>
            <w:hideMark/>
          </w:tcPr>
          <w:p w14:paraId="15AB767E" w14:textId="77777777" w:rsidR="00A71898" w:rsidRPr="00F23A2F" w:rsidRDefault="00A71898" w:rsidP="005E2D4B">
            <w:pPr>
              <w:spacing w:after="0" w:line="276" w:lineRule="auto"/>
              <w:jc w:val="right"/>
              <w:rPr>
                <w:rFonts w:cs="Arial"/>
                <w:color w:val="000000"/>
                <w:sz w:val="16"/>
                <w:szCs w:val="16"/>
                <w:lang w:eastAsia="en-US"/>
              </w:rPr>
            </w:pPr>
            <w:r w:rsidRPr="00F23A2F">
              <w:rPr>
                <w:rFonts w:cs="Arial"/>
                <w:color w:val="000000"/>
                <w:sz w:val="16"/>
                <w:szCs w:val="16"/>
                <w:lang w:eastAsia="en-US"/>
              </w:rPr>
              <w:t>110</w:t>
            </w:r>
          </w:p>
        </w:tc>
      </w:tr>
      <w:tr w:rsidR="00A71898" w:rsidRPr="00F23A2F" w14:paraId="46BC23DA" w14:textId="77777777" w:rsidTr="005E2D4B">
        <w:trPr>
          <w:cantSplit/>
          <w:jc w:val="center"/>
        </w:trPr>
        <w:tc>
          <w:tcPr>
            <w:tcW w:w="2547"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vAlign w:val="center"/>
            <w:hideMark/>
          </w:tcPr>
          <w:p w14:paraId="4D3C83F3" w14:textId="2178700C" w:rsidR="00A71898" w:rsidRPr="00F23A2F" w:rsidRDefault="00F23A2F" w:rsidP="005E2D4B">
            <w:pPr>
              <w:spacing w:after="0" w:line="276" w:lineRule="auto"/>
              <w:jc w:val="left"/>
              <w:rPr>
                <w:rFonts w:cs="Arial"/>
                <w:color w:val="000000"/>
                <w:sz w:val="16"/>
                <w:szCs w:val="16"/>
                <w:lang w:eastAsia="en-US"/>
              </w:rPr>
            </w:pPr>
            <w:r w:rsidRPr="00F23A2F">
              <w:rPr>
                <w:rFonts w:cs="Arial"/>
                <w:color w:val="000000"/>
                <w:sz w:val="16"/>
                <w:szCs w:val="16"/>
                <w:lang w:eastAsia="en-US"/>
              </w:rPr>
              <w:t xml:space="preserve">Κλιματικής Κρίσης </w:t>
            </w:r>
            <w:r>
              <w:rPr>
                <w:rFonts w:cs="Arial"/>
                <w:color w:val="000000"/>
                <w:sz w:val="16"/>
                <w:szCs w:val="16"/>
                <w:lang w:eastAsia="en-US"/>
              </w:rPr>
              <w:t>κ</w:t>
            </w:r>
            <w:r w:rsidRPr="00F23A2F">
              <w:rPr>
                <w:rFonts w:cs="Arial"/>
                <w:color w:val="000000"/>
                <w:sz w:val="16"/>
                <w:szCs w:val="16"/>
                <w:lang w:eastAsia="en-US"/>
              </w:rPr>
              <w:t>αι Πολιτικής Προστασίας</w:t>
            </w: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bottom"/>
            <w:hideMark/>
          </w:tcPr>
          <w:p w14:paraId="259EED1A" w14:textId="77777777" w:rsidR="00A71898" w:rsidRPr="00F23A2F" w:rsidRDefault="00A71898" w:rsidP="005E2D4B">
            <w:pPr>
              <w:spacing w:after="0" w:line="276" w:lineRule="auto"/>
              <w:jc w:val="left"/>
              <w:rPr>
                <w:rFonts w:cs="Arial"/>
                <w:color w:val="000000"/>
                <w:sz w:val="16"/>
                <w:szCs w:val="16"/>
                <w:lang w:eastAsia="en-US"/>
              </w:rPr>
            </w:pPr>
            <w:r w:rsidRPr="00F23A2F">
              <w:rPr>
                <w:rFonts w:cs="Arial"/>
                <w:color w:val="000000"/>
                <w:sz w:val="16"/>
                <w:szCs w:val="16"/>
                <w:lang w:eastAsia="en-US"/>
              </w:rPr>
              <w:t>1060.202.0000000</w:t>
            </w:r>
            <w:r w:rsidRPr="00F23A2F">
              <w:rPr>
                <w:rFonts w:cs="Arial"/>
                <w:color w:val="000000"/>
                <w:sz w:val="16"/>
                <w:szCs w:val="16"/>
                <w:lang w:eastAsia="en-US"/>
              </w:rPr>
              <w:br/>
              <w:t>Γενική Γραμματεία Αποκατάστασης Φυσικών Καταστροφών και Κρατικής Αρωγής</w:t>
            </w:r>
          </w:p>
        </w:tc>
        <w:tc>
          <w:tcPr>
            <w:tcW w:w="0" w:type="auto"/>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5CFAC088" w14:textId="77777777" w:rsidR="00A71898" w:rsidRPr="00F23A2F" w:rsidRDefault="00A71898" w:rsidP="005E2D4B">
            <w:pPr>
              <w:spacing w:after="0" w:line="276" w:lineRule="auto"/>
              <w:jc w:val="left"/>
              <w:rPr>
                <w:rFonts w:cs="Arial"/>
                <w:color w:val="000000"/>
                <w:sz w:val="16"/>
                <w:szCs w:val="16"/>
                <w:lang w:eastAsia="en-US"/>
              </w:rPr>
            </w:pP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bottom"/>
            <w:hideMark/>
          </w:tcPr>
          <w:p w14:paraId="1AB90331" w14:textId="77777777" w:rsidR="00A71898" w:rsidRPr="00F23A2F" w:rsidRDefault="00A71898" w:rsidP="005E2D4B">
            <w:pPr>
              <w:spacing w:after="0" w:line="276" w:lineRule="auto"/>
              <w:jc w:val="right"/>
              <w:rPr>
                <w:rFonts w:cs="Arial"/>
                <w:color w:val="000000"/>
                <w:sz w:val="16"/>
                <w:szCs w:val="16"/>
                <w:lang w:eastAsia="en-US"/>
              </w:rPr>
            </w:pPr>
            <w:r w:rsidRPr="00F23A2F">
              <w:rPr>
                <w:rFonts w:cs="Arial"/>
                <w:color w:val="000000"/>
                <w:sz w:val="16"/>
                <w:szCs w:val="16"/>
                <w:lang w:eastAsia="en-US"/>
              </w:rPr>
              <w:t>80</w:t>
            </w:r>
          </w:p>
        </w:tc>
      </w:tr>
      <w:tr w:rsidR="00A71898" w:rsidRPr="00F23A2F" w14:paraId="465951C5" w14:textId="77777777" w:rsidTr="005E2D4B">
        <w:trPr>
          <w:cantSplit/>
          <w:jc w:val="center"/>
        </w:trPr>
        <w:tc>
          <w:tcPr>
            <w:tcW w:w="2547"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vAlign w:val="center"/>
            <w:hideMark/>
          </w:tcPr>
          <w:p w14:paraId="3AB82CC0" w14:textId="5A6E5A56" w:rsidR="00A71898" w:rsidRPr="00F23A2F" w:rsidRDefault="00F23A2F" w:rsidP="005E2D4B">
            <w:pPr>
              <w:spacing w:after="0" w:line="276" w:lineRule="auto"/>
              <w:jc w:val="left"/>
              <w:rPr>
                <w:rFonts w:cs="Arial"/>
                <w:color w:val="000000"/>
                <w:sz w:val="16"/>
                <w:szCs w:val="16"/>
                <w:lang w:eastAsia="en-US"/>
              </w:rPr>
            </w:pPr>
            <w:r w:rsidRPr="00F23A2F">
              <w:rPr>
                <w:rFonts w:cs="Arial"/>
                <w:color w:val="000000"/>
                <w:sz w:val="16"/>
                <w:szCs w:val="16"/>
                <w:lang w:eastAsia="en-US"/>
              </w:rPr>
              <w:t xml:space="preserve">Περιβάλλοντος </w:t>
            </w:r>
            <w:r>
              <w:rPr>
                <w:rFonts w:cs="Arial"/>
                <w:color w:val="000000"/>
                <w:sz w:val="16"/>
                <w:szCs w:val="16"/>
                <w:lang w:eastAsia="en-US"/>
              </w:rPr>
              <w:t>κ</w:t>
            </w:r>
            <w:r w:rsidRPr="00F23A2F">
              <w:rPr>
                <w:rFonts w:cs="Arial"/>
                <w:color w:val="000000"/>
                <w:sz w:val="16"/>
                <w:szCs w:val="16"/>
                <w:lang w:eastAsia="en-US"/>
              </w:rPr>
              <w:t>αι Ενέργειας</w:t>
            </w: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46999153" w14:textId="77777777" w:rsidR="00A71898" w:rsidRPr="00F23A2F" w:rsidRDefault="00A71898" w:rsidP="005E2D4B">
            <w:pPr>
              <w:spacing w:after="0" w:line="276" w:lineRule="auto"/>
              <w:jc w:val="left"/>
              <w:rPr>
                <w:rFonts w:cs="Arial"/>
                <w:color w:val="000000"/>
                <w:sz w:val="16"/>
                <w:szCs w:val="16"/>
                <w:lang w:eastAsia="en-US"/>
              </w:rPr>
            </w:pPr>
            <w:r w:rsidRPr="00F23A2F">
              <w:rPr>
                <w:rFonts w:cs="Arial"/>
                <w:color w:val="000000"/>
                <w:sz w:val="16"/>
                <w:szCs w:val="16"/>
                <w:lang w:eastAsia="en-US"/>
              </w:rPr>
              <w:t>1031.209.0000000</w:t>
            </w:r>
            <w:r w:rsidRPr="00F23A2F">
              <w:rPr>
                <w:rFonts w:cs="Arial"/>
                <w:color w:val="000000"/>
                <w:sz w:val="16"/>
                <w:szCs w:val="16"/>
                <w:lang w:eastAsia="en-US"/>
              </w:rPr>
              <w:br/>
              <w:t>Γενική Γραμματεία Δασών</w:t>
            </w:r>
          </w:p>
        </w:tc>
        <w:tc>
          <w:tcPr>
            <w:tcW w:w="0" w:type="auto"/>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0C68F340" w14:textId="77777777" w:rsidR="00A71898" w:rsidRPr="00F23A2F" w:rsidRDefault="00A71898" w:rsidP="005E2D4B">
            <w:pPr>
              <w:spacing w:after="0" w:line="276" w:lineRule="auto"/>
              <w:jc w:val="left"/>
              <w:rPr>
                <w:rFonts w:cs="Arial"/>
                <w:color w:val="000000"/>
                <w:sz w:val="16"/>
                <w:szCs w:val="16"/>
                <w:lang w:eastAsia="en-US"/>
              </w:rPr>
            </w:pP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center"/>
            <w:hideMark/>
          </w:tcPr>
          <w:p w14:paraId="3148866A" w14:textId="77777777" w:rsidR="00A71898" w:rsidRPr="00F23A2F" w:rsidRDefault="00A71898" w:rsidP="005E2D4B">
            <w:pPr>
              <w:spacing w:after="0" w:line="276" w:lineRule="auto"/>
              <w:jc w:val="right"/>
              <w:rPr>
                <w:rFonts w:cs="Arial"/>
                <w:color w:val="000000"/>
                <w:sz w:val="16"/>
                <w:szCs w:val="16"/>
                <w:lang w:eastAsia="en-US"/>
              </w:rPr>
            </w:pPr>
            <w:r w:rsidRPr="00F23A2F">
              <w:rPr>
                <w:rFonts w:cs="Arial"/>
                <w:color w:val="000000"/>
                <w:sz w:val="16"/>
                <w:szCs w:val="16"/>
                <w:lang w:eastAsia="en-US"/>
              </w:rPr>
              <w:t>10</w:t>
            </w:r>
          </w:p>
        </w:tc>
      </w:tr>
      <w:tr w:rsidR="00A71898" w:rsidRPr="00F23A2F" w14:paraId="34FB75FA" w14:textId="77777777" w:rsidTr="005E2D4B">
        <w:trPr>
          <w:cantSplit/>
          <w:jc w:val="center"/>
        </w:trPr>
        <w:tc>
          <w:tcPr>
            <w:tcW w:w="2547"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vAlign w:val="center"/>
            <w:hideMark/>
          </w:tcPr>
          <w:p w14:paraId="6BA2D46C" w14:textId="44DF35C0" w:rsidR="00A71898" w:rsidRPr="00F23A2F" w:rsidRDefault="00F23A2F" w:rsidP="005E2D4B">
            <w:pPr>
              <w:spacing w:after="0" w:line="276" w:lineRule="auto"/>
              <w:jc w:val="left"/>
              <w:rPr>
                <w:rFonts w:cs="Arial"/>
                <w:color w:val="000000"/>
                <w:sz w:val="16"/>
                <w:szCs w:val="16"/>
                <w:lang w:eastAsia="en-US"/>
              </w:rPr>
            </w:pPr>
            <w:r w:rsidRPr="00F23A2F">
              <w:rPr>
                <w:rFonts w:cs="Arial"/>
                <w:color w:val="000000"/>
                <w:sz w:val="16"/>
                <w:szCs w:val="16"/>
                <w:lang w:eastAsia="en-US"/>
              </w:rPr>
              <w:t xml:space="preserve">Αγροτικής Ανάπτυξης </w:t>
            </w:r>
            <w:r>
              <w:rPr>
                <w:rFonts w:cs="Arial"/>
                <w:color w:val="000000"/>
                <w:sz w:val="16"/>
                <w:szCs w:val="16"/>
                <w:lang w:eastAsia="en-US"/>
              </w:rPr>
              <w:t>κ</w:t>
            </w:r>
            <w:r w:rsidRPr="00F23A2F">
              <w:rPr>
                <w:rFonts w:cs="Arial"/>
                <w:color w:val="000000"/>
                <w:sz w:val="16"/>
                <w:szCs w:val="16"/>
                <w:lang w:eastAsia="en-US"/>
              </w:rPr>
              <w:t>αι Τροφίμων</w:t>
            </w: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bottom"/>
            <w:hideMark/>
          </w:tcPr>
          <w:p w14:paraId="60BC159D" w14:textId="77777777" w:rsidR="00A71898" w:rsidRPr="00F23A2F" w:rsidRDefault="00A71898" w:rsidP="005E2D4B">
            <w:pPr>
              <w:spacing w:after="0" w:line="276" w:lineRule="auto"/>
              <w:jc w:val="left"/>
              <w:rPr>
                <w:rFonts w:cs="Arial"/>
                <w:color w:val="000000"/>
                <w:sz w:val="16"/>
                <w:szCs w:val="16"/>
                <w:lang w:eastAsia="en-US"/>
              </w:rPr>
            </w:pPr>
            <w:r w:rsidRPr="00F23A2F">
              <w:rPr>
                <w:rFonts w:cs="Arial"/>
                <w:color w:val="000000"/>
                <w:sz w:val="16"/>
                <w:szCs w:val="16"/>
                <w:lang w:eastAsia="en-US"/>
              </w:rPr>
              <w:t>1029.501.0000000</w:t>
            </w:r>
            <w:r w:rsidRPr="00F23A2F">
              <w:rPr>
                <w:rFonts w:cs="Arial"/>
                <w:color w:val="000000"/>
                <w:sz w:val="16"/>
                <w:szCs w:val="16"/>
                <w:lang w:eastAsia="en-US"/>
              </w:rPr>
              <w:br/>
              <w:t>Λοιπές μονάδες/αυτοτελείς μονάδες του Υπουργείου Αγροτικής Ανάπτυξης και Τροφίμων</w:t>
            </w:r>
          </w:p>
        </w:tc>
        <w:tc>
          <w:tcPr>
            <w:tcW w:w="0" w:type="auto"/>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2A9614E8" w14:textId="77777777" w:rsidR="00A71898" w:rsidRPr="00F23A2F" w:rsidRDefault="00A71898" w:rsidP="005E2D4B">
            <w:pPr>
              <w:spacing w:after="0" w:line="276" w:lineRule="auto"/>
              <w:jc w:val="left"/>
              <w:rPr>
                <w:rFonts w:cs="Arial"/>
                <w:color w:val="000000"/>
                <w:sz w:val="16"/>
                <w:szCs w:val="16"/>
                <w:lang w:eastAsia="en-US"/>
              </w:rPr>
            </w:pP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center"/>
            <w:hideMark/>
          </w:tcPr>
          <w:p w14:paraId="5AACDF32" w14:textId="77777777" w:rsidR="00A71898" w:rsidRPr="00F23A2F" w:rsidRDefault="00A71898" w:rsidP="005E2D4B">
            <w:pPr>
              <w:spacing w:after="0" w:line="276" w:lineRule="auto"/>
              <w:jc w:val="right"/>
              <w:rPr>
                <w:rFonts w:cs="Arial"/>
                <w:color w:val="000000"/>
                <w:sz w:val="16"/>
                <w:szCs w:val="16"/>
                <w:lang w:eastAsia="en-US"/>
              </w:rPr>
            </w:pPr>
            <w:r w:rsidRPr="00F23A2F">
              <w:rPr>
                <w:rFonts w:cs="Arial"/>
                <w:color w:val="000000"/>
                <w:sz w:val="16"/>
                <w:szCs w:val="16"/>
                <w:lang w:eastAsia="en-US"/>
              </w:rPr>
              <w:t>40</w:t>
            </w:r>
          </w:p>
        </w:tc>
      </w:tr>
      <w:tr w:rsidR="00A71898" w:rsidRPr="00F23A2F" w14:paraId="6C600752" w14:textId="77777777" w:rsidTr="005E2D4B">
        <w:trPr>
          <w:cantSplit/>
          <w:jc w:val="center"/>
        </w:trPr>
        <w:tc>
          <w:tcPr>
            <w:tcW w:w="2547"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vAlign w:val="center"/>
            <w:hideMark/>
          </w:tcPr>
          <w:p w14:paraId="2DE9D87B" w14:textId="0F7FEF8E" w:rsidR="00A71898" w:rsidRPr="00F23A2F" w:rsidRDefault="00F23A2F" w:rsidP="005E2D4B">
            <w:pPr>
              <w:spacing w:after="0" w:line="276" w:lineRule="auto"/>
              <w:jc w:val="left"/>
              <w:rPr>
                <w:rFonts w:cs="Arial"/>
                <w:color w:val="000000"/>
                <w:sz w:val="16"/>
                <w:szCs w:val="16"/>
                <w:lang w:eastAsia="en-US"/>
              </w:rPr>
            </w:pPr>
            <w:r w:rsidRPr="00F23A2F">
              <w:rPr>
                <w:rFonts w:cs="Arial"/>
                <w:color w:val="000000"/>
                <w:sz w:val="16"/>
                <w:szCs w:val="16"/>
                <w:lang w:eastAsia="en-US"/>
              </w:rPr>
              <w:t>Πολιτισμού</w:t>
            </w: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bottom"/>
            <w:hideMark/>
          </w:tcPr>
          <w:p w14:paraId="7F22A64B" w14:textId="77777777" w:rsidR="00A71898" w:rsidRPr="00F23A2F" w:rsidRDefault="00A71898" w:rsidP="005E2D4B">
            <w:pPr>
              <w:spacing w:after="0" w:line="276" w:lineRule="auto"/>
              <w:jc w:val="left"/>
              <w:rPr>
                <w:rFonts w:cs="Arial"/>
                <w:color w:val="000000"/>
                <w:sz w:val="16"/>
                <w:szCs w:val="16"/>
                <w:lang w:eastAsia="en-US"/>
              </w:rPr>
            </w:pPr>
            <w:r w:rsidRPr="00F23A2F">
              <w:rPr>
                <w:rFonts w:cs="Arial"/>
                <w:color w:val="000000"/>
                <w:sz w:val="16"/>
                <w:szCs w:val="16"/>
                <w:lang w:eastAsia="en-US"/>
              </w:rPr>
              <w:t>1022.204.0000000</w:t>
            </w:r>
            <w:r w:rsidRPr="00F23A2F">
              <w:rPr>
                <w:rFonts w:cs="Arial"/>
                <w:color w:val="000000"/>
                <w:sz w:val="16"/>
                <w:szCs w:val="16"/>
                <w:lang w:eastAsia="en-US"/>
              </w:rPr>
              <w:br/>
              <w:t>Γενική Γραμματεία Πολιτισμού</w:t>
            </w:r>
          </w:p>
        </w:tc>
        <w:tc>
          <w:tcPr>
            <w:tcW w:w="0" w:type="auto"/>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6F52939D" w14:textId="77777777" w:rsidR="00A71898" w:rsidRPr="00F23A2F" w:rsidRDefault="00A71898" w:rsidP="005E2D4B">
            <w:pPr>
              <w:spacing w:after="0" w:line="276" w:lineRule="auto"/>
              <w:jc w:val="left"/>
              <w:rPr>
                <w:rFonts w:cs="Arial"/>
                <w:color w:val="000000"/>
                <w:sz w:val="16"/>
                <w:szCs w:val="16"/>
                <w:lang w:eastAsia="en-US"/>
              </w:rPr>
            </w:pP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bottom"/>
            <w:hideMark/>
          </w:tcPr>
          <w:p w14:paraId="4DF5DE5A" w14:textId="77777777" w:rsidR="00A71898" w:rsidRPr="00F23A2F" w:rsidRDefault="00A71898" w:rsidP="005E2D4B">
            <w:pPr>
              <w:spacing w:after="0" w:line="276" w:lineRule="auto"/>
              <w:jc w:val="right"/>
              <w:rPr>
                <w:rFonts w:cs="Arial"/>
                <w:color w:val="000000"/>
                <w:sz w:val="16"/>
                <w:szCs w:val="16"/>
                <w:lang w:eastAsia="en-US"/>
              </w:rPr>
            </w:pPr>
            <w:r w:rsidRPr="00F23A2F">
              <w:rPr>
                <w:rFonts w:cs="Arial"/>
                <w:color w:val="000000"/>
                <w:sz w:val="16"/>
                <w:szCs w:val="16"/>
                <w:lang w:eastAsia="en-US"/>
              </w:rPr>
              <w:t>7</w:t>
            </w:r>
          </w:p>
        </w:tc>
      </w:tr>
      <w:tr w:rsidR="00A71898" w:rsidRPr="00F23A2F" w14:paraId="5DE99EC5" w14:textId="77777777" w:rsidTr="005E2D4B">
        <w:trPr>
          <w:cantSplit/>
          <w:jc w:val="center"/>
        </w:trPr>
        <w:tc>
          <w:tcPr>
            <w:tcW w:w="2547"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vAlign w:val="center"/>
            <w:hideMark/>
          </w:tcPr>
          <w:p w14:paraId="3B05D2D2" w14:textId="343F2C60" w:rsidR="00A71898" w:rsidRPr="00F23A2F" w:rsidRDefault="00F23A2F" w:rsidP="005E2D4B">
            <w:pPr>
              <w:spacing w:after="0" w:line="276" w:lineRule="auto"/>
              <w:jc w:val="left"/>
              <w:rPr>
                <w:rFonts w:cs="Arial"/>
                <w:color w:val="000000"/>
                <w:sz w:val="16"/>
                <w:szCs w:val="16"/>
                <w:lang w:eastAsia="en-US"/>
              </w:rPr>
            </w:pPr>
            <w:r w:rsidRPr="00F23A2F">
              <w:rPr>
                <w:rFonts w:cs="Arial"/>
                <w:color w:val="000000"/>
                <w:sz w:val="16"/>
                <w:szCs w:val="16"/>
                <w:lang w:eastAsia="en-US"/>
              </w:rPr>
              <w:t xml:space="preserve">Υποδομών </w:t>
            </w:r>
            <w:r>
              <w:rPr>
                <w:rFonts w:cs="Arial"/>
                <w:color w:val="000000"/>
                <w:sz w:val="16"/>
                <w:szCs w:val="16"/>
                <w:lang w:eastAsia="en-US"/>
              </w:rPr>
              <w:t>και</w:t>
            </w:r>
            <w:r w:rsidRPr="00F23A2F">
              <w:rPr>
                <w:rFonts w:cs="Arial"/>
                <w:color w:val="000000"/>
                <w:sz w:val="16"/>
                <w:szCs w:val="16"/>
                <w:lang w:eastAsia="en-US"/>
              </w:rPr>
              <w:t xml:space="preserve"> Μεταφορών</w:t>
            </w:r>
          </w:p>
        </w:tc>
        <w:tc>
          <w:tcPr>
            <w:tcW w:w="3118"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bottom"/>
            <w:hideMark/>
          </w:tcPr>
          <w:p w14:paraId="697589D8" w14:textId="77777777" w:rsidR="00A71898" w:rsidRPr="00F23A2F" w:rsidRDefault="00A71898" w:rsidP="005E2D4B">
            <w:pPr>
              <w:spacing w:after="0" w:line="276" w:lineRule="auto"/>
              <w:jc w:val="left"/>
              <w:rPr>
                <w:rFonts w:cs="Arial"/>
                <w:color w:val="000000"/>
                <w:sz w:val="16"/>
                <w:szCs w:val="16"/>
                <w:lang w:eastAsia="en-US"/>
              </w:rPr>
            </w:pPr>
            <w:r w:rsidRPr="00F23A2F">
              <w:rPr>
                <w:rFonts w:cs="Arial"/>
                <w:color w:val="000000"/>
                <w:sz w:val="16"/>
                <w:szCs w:val="16"/>
                <w:lang w:eastAsia="en-US"/>
              </w:rPr>
              <w:t>1039.202.0000000</w:t>
            </w:r>
            <w:r w:rsidRPr="00F23A2F">
              <w:rPr>
                <w:rFonts w:cs="Arial"/>
                <w:color w:val="000000"/>
                <w:sz w:val="16"/>
                <w:szCs w:val="16"/>
                <w:lang w:eastAsia="en-US"/>
              </w:rPr>
              <w:br/>
              <w:t>Γενική Γραμματεία Υποδομών</w:t>
            </w:r>
          </w:p>
        </w:tc>
        <w:tc>
          <w:tcPr>
            <w:tcW w:w="0" w:type="auto"/>
            <w:vMerge/>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5D360F37" w14:textId="77777777" w:rsidR="00A71898" w:rsidRPr="00F23A2F" w:rsidRDefault="00A71898" w:rsidP="005E2D4B">
            <w:pPr>
              <w:spacing w:after="0" w:line="276" w:lineRule="auto"/>
              <w:jc w:val="left"/>
              <w:rPr>
                <w:rFonts w:cs="Arial"/>
                <w:color w:val="000000"/>
                <w:sz w:val="16"/>
                <w:szCs w:val="16"/>
                <w:lang w:eastAsia="en-US"/>
              </w:rPr>
            </w:pPr>
          </w:p>
        </w:tc>
        <w:tc>
          <w:tcPr>
            <w:tcW w:w="1559"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vAlign w:val="bottom"/>
            <w:hideMark/>
          </w:tcPr>
          <w:p w14:paraId="7DF29275" w14:textId="77777777" w:rsidR="00A71898" w:rsidRPr="00F23A2F" w:rsidRDefault="00A71898" w:rsidP="005E2D4B">
            <w:pPr>
              <w:spacing w:after="0" w:line="276" w:lineRule="auto"/>
              <w:jc w:val="right"/>
              <w:rPr>
                <w:rFonts w:cs="Arial"/>
                <w:color w:val="000000"/>
                <w:sz w:val="16"/>
                <w:szCs w:val="16"/>
                <w:lang w:eastAsia="en-US"/>
              </w:rPr>
            </w:pPr>
            <w:r w:rsidRPr="00F23A2F">
              <w:rPr>
                <w:rFonts w:cs="Arial"/>
                <w:color w:val="000000"/>
                <w:sz w:val="16"/>
                <w:szCs w:val="16"/>
                <w:lang w:eastAsia="en-US"/>
              </w:rPr>
              <w:t>73</w:t>
            </w:r>
          </w:p>
        </w:tc>
      </w:tr>
      <w:tr w:rsidR="00A71898" w:rsidRPr="00F23A2F" w14:paraId="0AABC683" w14:textId="77777777" w:rsidTr="005E2D4B">
        <w:trPr>
          <w:cantSplit/>
          <w:trHeight w:val="227"/>
          <w:jc w:val="center"/>
        </w:trPr>
        <w:tc>
          <w:tcPr>
            <w:tcW w:w="2547" w:type="dxa"/>
            <w:tcBorders>
              <w:top w:val="single" w:sz="2" w:space="0" w:color="A6A6A6" w:themeColor="background1" w:themeShade="A6"/>
            </w:tcBorders>
            <w:shd w:val="clear" w:color="auto" w:fill="D5DCE4"/>
            <w:noWrap/>
            <w:vAlign w:val="center"/>
            <w:hideMark/>
          </w:tcPr>
          <w:p w14:paraId="667CC69A" w14:textId="77777777" w:rsidR="00A71898" w:rsidRPr="00F23A2F" w:rsidRDefault="00A71898" w:rsidP="005E2D4B">
            <w:pPr>
              <w:spacing w:after="0" w:line="276" w:lineRule="auto"/>
              <w:jc w:val="left"/>
              <w:rPr>
                <w:rFonts w:cs="Arial"/>
                <w:b/>
                <w:bCs/>
                <w:color w:val="000000"/>
                <w:sz w:val="16"/>
                <w:szCs w:val="16"/>
                <w:lang w:eastAsia="en-US"/>
              </w:rPr>
            </w:pPr>
            <w:r w:rsidRPr="00F23A2F">
              <w:rPr>
                <w:rFonts w:cs="Arial"/>
                <w:b/>
                <w:bCs/>
                <w:color w:val="000000"/>
                <w:sz w:val="16"/>
                <w:szCs w:val="16"/>
                <w:lang w:eastAsia="en-US"/>
              </w:rPr>
              <w:t>Σύνολο</w:t>
            </w:r>
          </w:p>
        </w:tc>
        <w:tc>
          <w:tcPr>
            <w:tcW w:w="3118" w:type="dxa"/>
            <w:tcBorders>
              <w:top w:val="single" w:sz="2" w:space="0" w:color="A6A6A6" w:themeColor="background1" w:themeShade="A6"/>
            </w:tcBorders>
            <w:shd w:val="clear" w:color="auto" w:fill="D5DCE4"/>
            <w:noWrap/>
            <w:vAlign w:val="bottom"/>
            <w:hideMark/>
          </w:tcPr>
          <w:p w14:paraId="5BDBF662" w14:textId="77777777" w:rsidR="00A71898" w:rsidRPr="00F23A2F" w:rsidRDefault="00A71898" w:rsidP="005E2D4B">
            <w:pPr>
              <w:spacing w:after="0" w:line="276" w:lineRule="auto"/>
              <w:jc w:val="left"/>
              <w:rPr>
                <w:rFonts w:cs="Arial"/>
                <w:b/>
                <w:bCs/>
                <w:color w:val="000000"/>
                <w:sz w:val="16"/>
                <w:szCs w:val="16"/>
                <w:lang w:eastAsia="en-US"/>
              </w:rPr>
            </w:pPr>
            <w:r w:rsidRPr="00F23A2F">
              <w:rPr>
                <w:rFonts w:cs="Arial"/>
                <w:b/>
                <w:bCs/>
                <w:color w:val="000000"/>
                <w:sz w:val="16"/>
                <w:szCs w:val="16"/>
                <w:lang w:eastAsia="en-US"/>
              </w:rPr>
              <w:t> </w:t>
            </w:r>
          </w:p>
        </w:tc>
        <w:tc>
          <w:tcPr>
            <w:tcW w:w="1276" w:type="dxa"/>
            <w:tcBorders>
              <w:top w:val="single" w:sz="2" w:space="0" w:color="A6A6A6" w:themeColor="background1" w:themeShade="A6"/>
            </w:tcBorders>
            <w:shd w:val="clear" w:color="auto" w:fill="D5DCE4"/>
            <w:noWrap/>
            <w:vAlign w:val="bottom"/>
            <w:hideMark/>
          </w:tcPr>
          <w:p w14:paraId="2087F1C8" w14:textId="77777777" w:rsidR="00A71898" w:rsidRPr="00F23A2F" w:rsidRDefault="00A71898" w:rsidP="005E2D4B">
            <w:pPr>
              <w:spacing w:after="0" w:line="276" w:lineRule="auto"/>
              <w:jc w:val="left"/>
              <w:rPr>
                <w:rFonts w:cs="Arial"/>
                <w:b/>
                <w:bCs/>
                <w:color w:val="000000"/>
                <w:sz w:val="16"/>
                <w:szCs w:val="16"/>
                <w:lang w:eastAsia="en-US"/>
              </w:rPr>
            </w:pPr>
            <w:r w:rsidRPr="00F23A2F">
              <w:rPr>
                <w:rFonts w:cs="Arial"/>
                <w:b/>
                <w:bCs/>
                <w:color w:val="000000"/>
                <w:sz w:val="16"/>
                <w:szCs w:val="16"/>
                <w:lang w:eastAsia="en-US"/>
              </w:rPr>
              <w:t> </w:t>
            </w:r>
          </w:p>
        </w:tc>
        <w:tc>
          <w:tcPr>
            <w:tcW w:w="1559" w:type="dxa"/>
            <w:tcBorders>
              <w:top w:val="single" w:sz="2" w:space="0" w:color="A6A6A6" w:themeColor="background1" w:themeShade="A6"/>
            </w:tcBorders>
            <w:shd w:val="clear" w:color="auto" w:fill="D5DCE4"/>
            <w:noWrap/>
            <w:vAlign w:val="bottom"/>
            <w:hideMark/>
          </w:tcPr>
          <w:p w14:paraId="1A5359E1" w14:textId="77777777" w:rsidR="00A71898" w:rsidRPr="00F23A2F" w:rsidRDefault="00A71898" w:rsidP="005E2D4B">
            <w:pPr>
              <w:spacing w:after="0" w:line="276" w:lineRule="auto"/>
              <w:jc w:val="right"/>
              <w:rPr>
                <w:rFonts w:cs="Arial"/>
                <w:b/>
                <w:bCs/>
                <w:color w:val="000000"/>
                <w:sz w:val="16"/>
                <w:szCs w:val="16"/>
                <w:lang w:eastAsia="en-US"/>
              </w:rPr>
            </w:pPr>
            <w:r w:rsidRPr="00F23A2F">
              <w:rPr>
                <w:rFonts w:cs="Arial"/>
                <w:b/>
                <w:bCs/>
                <w:color w:val="000000"/>
                <w:sz w:val="16"/>
                <w:szCs w:val="16"/>
                <w:lang w:eastAsia="en-US"/>
              </w:rPr>
              <w:t>600</w:t>
            </w:r>
          </w:p>
        </w:tc>
      </w:tr>
    </w:tbl>
    <w:p w14:paraId="765297F1" w14:textId="0680F269" w:rsidR="006323AF" w:rsidRPr="006323AF" w:rsidRDefault="006323AF" w:rsidP="006323AF">
      <w:pPr>
        <w:spacing w:before="240"/>
        <w:rPr>
          <w:rFonts w:cs="Arial"/>
          <w:b/>
          <w:szCs w:val="20"/>
        </w:rPr>
      </w:pPr>
      <w:r>
        <w:rPr>
          <w:rFonts w:cs="Arial"/>
          <w:b/>
          <w:szCs w:val="20"/>
        </w:rPr>
        <w:t>Δαπάνες Ταμείου Ανάκαμψης και Ανθεκτικότητας</w:t>
      </w:r>
    </w:p>
    <w:p w14:paraId="15FF77C0" w14:textId="6E61F8DB" w:rsidR="00A71898" w:rsidRDefault="00A71898" w:rsidP="00003359">
      <w:r>
        <w:t>Το όριο δαπανών για δράσεις που θα χρηματοδοτηθούν το 2026 από το σκέλος των επιχορηγήσεων του ΤΑΑ ανέρχεται σε 7.192 εκατ. ευρώ.</w:t>
      </w:r>
    </w:p>
    <w:p w14:paraId="748FCC5E" w14:textId="216975E9" w:rsidR="0016423B" w:rsidRPr="002E7D17" w:rsidRDefault="00A71898" w:rsidP="0016423B">
      <w:r>
        <w:t>Η ολοκλήρωση έργων του Εθνικού Σχεδίου Ανάκαμψης και Ανθεκτικότητας</w:t>
      </w:r>
      <w:r w:rsidRPr="002E7D17">
        <w:t xml:space="preserve"> </w:t>
      </w:r>
      <w:r w:rsidR="0016423B">
        <w:t xml:space="preserve">«Ελλάδα 2.0» </w:t>
      </w:r>
      <w:r>
        <w:t xml:space="preserve">σηματοδοτείται από την </w:t>
      </w:r>
      <w:r w:rsidRPr="002E7D17">
        <w:t>επίτευξη σημαντικών ορ</w:t>
      </w:r>
      <w:r w:rsidR="00A72DC5">
        <w:t>όσημων</w:t>
      </w:r>
      <w:r w:rsidRPr="002E7D17">
        <w:t xml:space="preserve"> σε κρίσιμους τομείς</w:t>
      </w:r>
      <w:r>
        <w:t xml:space="preserve"> της ελληνικής οικονομίας</w:t>
      </w:r>
      <w:r w:rsidR="0016423B">
        <w:t xml:space="preserve"> και από την υλοποίηση παρεμβάσεων, όπως οι ανακαινίσεις και ο εκσυγχρονισμός των νοσοκομείων, οι υπηρεσίες υγείας προς τους πολίτες, τα προγράμματα ενεργειακής αναβάθμισης, η βελτίωση των δημόσιων μεταφορών και </w:t>
      </w:r>
      <w:r w:rsidR="009D7E38">
        <w:t xml:space="preserve">των </w:t>
      </w:r>
      <w:r w:rsidR="0016423B">
        <w:t>οδικών δικτύων, το κτηματολόγιο, η ενίσχυση της πολιτικής προστασίας, έργα προστασίας του περιβάλλοντος, έργα ψηφιοποίησης κ.λπ.</w:t>
      </w:r>
    </w:p>
    <w:p w14:paraId="64699EA0" w14:textId="5C1E4279" w:rsidR="00A71898" w:rsidRPr="004404E6" w:rsidRDefault="00A71898" w:rsidP="00003359">
      <w:r w:rsidRPr="00ED65D8">
        <w:t>Από το δανειακό σκέλος του ΤΑΑ αναμένεται εντός του 202</w:t>
      </w:r>
      <w:r>
        <w:t>6</w:t>
      </w:r>
      <w:r w:rsidRPr="00ED65D8">
        <w:t xml:space="preserve"> να εκταμιευθ</w:t>
      </w:r>
      <w:r w:rsidR="00D21BCC">
        <w:t>εί</w:t>
      </w:r>
      <w:r w:rsidRPr="00ED65D8">
        <w:t xml:space="preserve"> προς τα πιστωτικά ιδρύματα ποσ</w:t>
      </w:r>
      <w:r>
        <w:t>ό</w:t>
      </w:r>
      <w:r w:rsidRPr="00ED65D8">
        <w:t xml:space="preserve"> </w:t>
      </w:r>
      <w:r>
        <w:t xml:space="preserve">συνολικού </w:t>
      </w:r>
      <w:r w:rsidRPr="00ED65D8">
        <w:t>ύψους 5.4</w:t>
      </w:r>
      <w:r>
        <w:t>66</w:t>
      </w:r>
      <w:r w:rsidRPr="00ED65D8">
        <w:t xml:space="preserve"> εκατ. ευρώ. </w:t>
      </w:r>
      <w:r>
        <w:t>Τ</w:t>
      </w:r>
      <w:r w:rsidR="00D21BCC">
        <w:t>ο</w:t>
      </w:r>
      <w:r>
        <w:t xml:space="preserve"> ποσό αυτό προβλέπεται να διατεθεί τόσο για τη </w:t>
      </w:r>
      <w:r w:rsidRPr="004404E6">
        <w:t>χρηματοδότηση ιδιωτικών επενδύσεων</w:t>
      </w:r>
      <w:r>
        <w:t xml:space="preserve"> όσο και των στεγαστικών προγραμμάτων</w:t>
      </w:r>
      <w:r w:rsidR="003A389E">
        <w:t xml:space="preserve"> </w:t>
      </w:r>
      <w:r>
        <w:t>«</w:t>
      </w:r>
      <w:r w:rsidRPr="004404E6">
        <w:t>Σπίτι μου ΙΙ</w:t>
      </w:r>
      <w:r>
        <w:t>»</w:t>
      </w:r>
      <w:r w:rsidR="003A389E">
        <w:t xml:space="preserve"> </w:t>
      </w:r>
      <w:r w:rsidRPr="004404E6">
        <w:t>και</w:t>
      </w:r>
      <w:r w:rsidR="003A389E">
        <w:t xml:space="preserve"> </w:t>
      </w:r>
      <w:r>
        <w:t>«</w:t>
      </w:r>
      <w:r w:rsidRPr="004404E6">
        <w:t>Αναβαθμίζω το σπίτι μου</w:t>
      </w:r>
      <w:r>
        <w:t>»</w:t>
      </w:r>
      <w:r w:rsidR="003A389E">
        <w:t>,</w:t>
      </w:r>
      <w:r>
        <w:t xml:space="preserve"> τα οποία</w:t>
      </w:r>
      <w:r w:rsidRPr="004404E6">
        <w:t xml:space="preserve"> απευθύνονται σε φυσικά πρόσωπα</w:t>
      </w:r>
      <w:r w:rsidR="003A389E">
        <w:t xml:space="preserve"> και</w:t>
      </w:r>
      <w:r w:rsidRPr="004404E6">
        <w:t xml:space="preserve"> </w:t>
      </w:r>
      <w:r>
        <w:t>υ</w:t>
      </w:r>
      <w:r w:rsidRPr="004404E6">
        <w:t>ποστηρίζο</w:t>
      </w:r>
      <w:r w:rsidR="003A389E">
        <w:t>υν</w:t>
      </w:r>
      <w:r w:rsidRPr="004404E6">
        <w:t xml:space="preserve"> την απόκτηση πρώτης κατοικίας και την ενεργειακή βελτίωση υφιστάμενων κατοικιών, αντίστοιχα.</w:t>
      </w:r>
      <w:r>
        <w:t xml:space="preserve"> </w:t>
      </w:r>
      <w:r w:rsidRPr="004404E6">
        <w:t xml:space="preserve">Ο συνολικός προϋπολογισμός </w:t>
      </w:r>
      <w:r>
        <w:t>των προγραμμάτων αυτών</w:t>
      </w:r>
      <w:r w:rsidRPr="004404E6">
        <w:t xml:space="preserve"> ανέρχεται σε</w:t>
      </w:r>
      <w:r w:rsidR="003A389E">
        <w:t xml:space="preserve"> </w:t>
      </w:r>
      <w:r w:rsidRPr="004404E6">
        <w:t>2,4 δισ. ευρώ,</w:t>
      </w:r>
      <w:r w:rsidR="003A389E">
        <w:t xml:space="preserve"> </w:t>
      </w:r>
      <w:r w:rsidRPr="004404E6">
        <w:t xml:space="preserve">εκ των οποίων </w:t>
      </w:r>
      <w:r w:rsidR="003A389E">
        <w:t xml:space="preserve">ποσό ύψους </w:t>
      </w:r>
      <w:r w:rsidRPr="004404E6">
        <w:t xml:space="preserve">1,3 δισ. ευρώ </w:t>
      </w:r>
      <w:r>
        <w:t>αντιστοιχ</w:t>
      </w:r>
      <w:r w:rsidR="003A389E">
        <w:t>εί</w:t>
      </w:r>
      <w:r>
        <w:t xml:space="preserve"> σε </w:t>
      </w:r>
      <w:r w:rsidRPr="004404E6">
        <w:t>δανειακ</w:t>
      </w:r>
      <w:r>
        <w:t xml:space="preserve">ούς </w:t>
      </w:r>
      <w:r w:rsidRPr="004404E6">
        <w:t>πόρ</w:t>
      </w:r>
      <w:r>
        <w:t>ους του</w:t>
      </w:r>
      <w:r w:rsidRPr="004404E6">
        <w:t xml:space="preserve"> </w:t>
      </w:r>
      <w:r>
        <w:t>ΤΑΑ</w:t>
      </w:r>
      <w:r w:rsidRPr="004404E6">
        <w:t xml:space="preserve"> και </w:t>
      </w:r>
      <w:r w:rsidR="003A389E">
        <w:t xml:space="preserve">ποσό ύψους </w:t>
      </w:r>
      <w:r w:rsidRPr="004404E6">
        <w:t xml:space="preserve">1,1 δισ. ευρώ </w:t>
      </w:r>
      <w:r>
        <w:t xml:space="preserve">σε </w:t>
      </w:r>
      <w:r w:rsidRPr="004404E6">
        <w:t>τραπεζικά κεφάλαια.</w:t>
      </w:r>
    </w:p>
    <w:p w14:paraId="55B8028C" w14:textId="0B164DE9" w:rsidR="00FD46BC" w:rsidRPr="00B41A7F" w:rsidRDefault="007577DA" w:rsidP="00300BBF">
      <w:pPr>
        <w:pStyle w:val="4"/>
      </w:pPr>
      <w:bookmarkStart w:id="379" w:name="_Toc214473767"/>
      <w:r w:rsidRPr="00B41A7F">
        <w:t>Χρηματοροές μεταξύ Ελλάδας και Ευρωπαϊκής Ένωσης 202</w:t>
      </w:r>
      <w:r w:rsidR="005420B3">
        <w:t>4</w:t>
      </w:r>
      <w:r w:rsidRPr="00B41A7F">
        <w:t xml:space="preserve"> </w:t>
      </w:r>
      <w:r w:rsidR="00B41A7F">
        <w:t>-</w:t>
      </w:r>
      <w:r w:rsidRPr="00B41A7F">
        <w:t xml:space="preserve"> 202</w:t>
      </w:r>
      <w:r w:rsidR="005420B3">
        <w:t>6</w:t>
      </w:r>
      <w:bookmarkEnd w:id="379"/>
    </w:p>
    <w:p w14:paraId="1F4055F2" w14:textId="53119000" w:rsidR="00705CFE" w:rsidRPr="00BE1569" w:rsidRDefault="00705CFE" w:rsidP="00705CFE">
      <w:r w:rsidRPr="00BE1569">
        <w:t>Οι χρηματοροές μεταξύ Ελλάδας και Ε</w:t>
      </w:r>
      <w:r>
        <w:t>Ε</w:t>
      </w:r>
      <w:r w:rsidRPr="00BE1569">
        <w:t xml:space="preserve"> κατά τα έτη 20</w:t>
      </w:r>
      <w:r>
        <w:t xml:space="preserve">24 </w:t>
      </w:r>
      <w:r w:rsidRPr="00BE1569">
        <w:t>-</w:t>
      </w:r>
      <w:r>
        <w:t xml:space="preserve"> </w:t>
      </w:r>
      <w:r w:rsidRPr="00BE1569">
        <w:t>20</w:t>
      </w:r>
      <w:r w:rsidRPr="008004EA">
        <w:t>2</w:t>
      </w:r>
      <w:r>
        <w:t>6</w:t>
      </w:r>
      <w:r w:rsidRPr="00BE1569">
        <w:t xml:space="preserve"> </w:t>
      </w:r>
      <w:r w:rsidRPr="0098356F">
        <w:t>αποτυπώνονται παρακάτω (</w:t>
      </w:r>
      <w:r w:rsidR="00AD6989" w:rsidRPr="0098356F">
        <w:fldChar w:fldCharType="begin"/>
      </w:r>
      <w:r w:rsidR="00AD6989" w:rsidRPr="0098356F">
        <w:instrText xml:space="preserve"> REF _Ref214005178 \h  \* MERGEFORMAT </w:instrText>
      </w:r>
      <w:r w:rsidR="00AD6989" w:rsidRPr="0098356F">
        <w:fldChar w:fldCharType="separate"/>
      </w:r>
      <w:r w:rsidR="00E15678" w:rsidRPr="00E15678">
        <w:t>Πίνακας 3.16</w:t>
      </w:r>
      <w:r w:rsidR="00AD6989" w:rsidRPr="0098356F">
        <w:fldChar w:fldCharType="end"/>
      </w:r>
      <w:r w:rsidR="00AD6989" w:rsidRPr="0098356F">
        <w:t>.</w:t>
      </w:r>
      <w:r w:rsidRPr="0098356F">
        <w:t>). Από τη σύγκριση απολήψεων και αποδόσεων προκύπτει ότι το ταμειακό όφελος</w:t>
      </w:r>
      <w:r w:rsidRPr="007C04A5">
        <w:t xml:space="preserve"> της Ελλάδας από τον προϋπολογισμό της ΕΕ για το έτος 202</w:t>
      </w:r>
      <w:r>
        <w:t>4</w:t>
      </w:r>
      <w:r w:rsidRPr="007C04A5">
        <w:t xml:space="preserve"> διαμορφώθηκε σ</w:t>
      </w:r>
      <w:r w:rsidR="009267CC">
        <w:t>ε</w:t>
      </w:r>
      <w:r w:rsidRPr="007C04A5">
        <w:t xml:space="preserve"> </w:t>
      </w:r>
      <w:r w:rsidRPr="00396F7A">
        <w:t>3.784 εκατ.</w:t>
      </w:r>
      <w:r w:rsidRPr="007C04A5">
        <w:t xml:space="preserve"> ευρώ, ενώ για το 202</w:t>
      </w:r>
      <w:r>
        <w:t>5</w:t>
      </w:r>
      <w:r w:rsidRPr="007C04A5">
        <w:t xml:space="preserve"> εκτιμάται σε 3.</w:t>
      </w:r>
      <w:r>
        <w:t>560</w:t>
      </w:r>
      <w:r w:rsidRPr="007C04A5">
        <w:t xml:space="preserve"> εκατ. ευρώ, αντιπροσωπεύοντας το 1,</w:t>
      </w:r>
      <w:r>
        <w:t>6</w:t>
      </w:r>
      <w:r w:rsidRPr="007C04A5">
        <w:t>%</w:t>
      </w:r>
      <w:r w:rsidRPr="00EC54B3">
        <w:t xml:space="preserve"> </w:t>
      </w:r>
      <w:r>
        <w:t>και το 1,4%</w:t>
      </w:r>
      <w:r w:rsidRPr="007C04A5">
        <w:t xml:space="preserve"> του ΑΕΠ</w:t>
      </w:r>
      <w:r>
        <w:t>,</w:t>
      </w:r>
      <w:r w:rsidRPr="007C04A5">
        <w:t xml:space="preserve"> </w:t>
      </w:r>
      <w:r>
        <w:t>αντίστοιχα.</w:t>
      </w:r>
      <w:r w:rsidRPr="007C04A5">
        <w:t xml:space="preserve"> Για το </w:t>
      </w:r>
      <w:r w:rsidRPr="007C04A5">
        <w:lastRenderedPageBreak/>
        <w:t>έτος 202</w:t>
      </w:r>
      <w:r>
        <w:t>6</w:t>
      </w:r>
      <w:r w:rsidRPr="007C04A5">
        <w:t xml:space="preserve"> το ταμειακό όφελος προβλέπεται σε </w:t>
      </w:r>
      <w:r w:rsidRPr="00EC54B3">
        <w:t>3.425</w:t>
      </w:r>
      <w:r w:rsidRPr="007C04A5">
        <w:t xml:space="preserve"> εκατ. ευρώ ή ποσοστό 1,</w:t>
      </w:r>
      <w:r>
        <w:t>3</w:t>
      </w:r>
      <w:r w:rsidRPr="007C04A5">
        <w:t>% του ΑΕΠ. Η σχέση απολήψεων - αποδόσεων αναμένεται να διαμορφωθεί σε 2,</w:t>
      </w:r>
      <w:r>
        <w:t>4</w:t>
      </w:r>
      <w:r w:rsidRPr="007C04A5">
        <w:t>/1 και 2,</w:t>
      </w:r>
      <w:r>
        <w:t>2</w:t>
      </w:r>
      <w:r w:rsidRPr="007C04A5">
        <w:t>/1 για τα έτη 202</w:t>
      </w:r>
      <w:r>
        <w:t>5</w:t>
      </w:r>
      <w:r w:rsidRPr="007C04A5">
        <w:t xml:space="preserve"> και 202</w:t>
      </w:r>
      <w:r>
        <w:t xml:space="preserve">6, </w:t>
      </w:r>
      <w:r w:rsidRPr="007C04A5">
        <w:t>αντίστοιχα</w:t>
      </w:r>
      <w:r w:rsidRPr="009F5F4E">
        <w:t>. Σημειώνεται</w:t>
      </w:r>
      <w:r w:rsidRPr="00833F12">
        <w:t xml:space="preserve"> ότι στο όφελος αυτό δεν υπολογίζονται οι πόροι του Τ</w:t>
      </w:r>
      <w:r>
        <w:t>ΑΑ</w:t>
      </w:r>
      <w:r w:rsidRPr="00833F12">
        <w:t>.</w:t>
      </w:r>
    </w:p>
    <w:p w14:paraId="38D82C31" w14:textId="77777777" w:rsidR="00705CFE" w:rsidRPr="00467156" w:rsidRDefault="00705CFE" w:rsidP="00DF4A88">
      <w:pPr>
        <w:spacing w:after="240"/>
        <w:rPr>
          <w:bCs/>
        </w:rPr>
      </w:pPr>
      <w:r w:rsidRPr="00467156">
        <w:rPr>
          <w:bCs/>
        </w:rPr>
        <w:t>Οι πόροι των διαρθρωτικών ταμείων (ΕΤΠΑ, ΕΚΤ) και του Ταμείου Συνοχής συνιστούν το μεγαλύτερο τμήμα της ευρωπαϊκής χρηματοδότησης, το οποίο κατευθύνεται σε τομείς αναπτυξιακής πολιτικής, προκειμένου να διασφαλιστ</w:t>
      </w:r>
      <w:r>
        <w:rPr>
          <w:bCs/>
        </w:rPr>
        <w:t>ούν</w:t>
      </w:r>
      <w:r w:rsidRPr="00467156">
        <w:rPr>
          <w:bCs/>
        </w:rPr>
        <w:t xml:space="preserve"> κυρίως η στήριξη τ</w:t>
      </w:r>
      <w:r>
        <w:rPr>
          <w:bCs/>
        </w:rPr>
        <w:t>ων</w:t>
      </w:r>
      <w:r w:rsidRPr="00467156">
        <w:rPr>
          <w:bCs/>
        </w:rPr>
        <w:t xml:space="preserve"> στόχ</w:t>
      </w:r>
      <w:r>
        <w:rPr>
          <w:bCs/>
        </w:rPr>
        <w:t>ων</w:t>
      </w:r>
      <w:r w:rsidRPr="00467156">
        <w:rPr>
          <w:bCs/>
        </w:rPr>
        <w:t xml:space="preserve"> της οικονομικής, κοινωνικής και εδαφικής συνοχής, η προώθηση των επενδύσεων</w:t>
      </w:r>
      <w:r>
        <w:rPr>
          <w:bCs/>
        </w:rPr>
        <w:t xml:space="preserve"> των μικρομεσαίων επιχειρήσεων</w:t>
      </w:r>
      <w:r w:rsidRPr="00467156">
        <w:rPr>
          <w:bCs/>
        </w:rPr>
        <w:t>, η ενίσχυση της απασχόλησης και η βελτίωση των υποδομών και της ανταγωνιστικότητας της ελληνικής οικονομίας.</w:t>
      </w:r>
    </w:p>
    <w:tbl>
      <w:tblPr>
        <w:tblW w:w="10119"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3158"/>
        <w:gridCol w:w="1156"/>
        <w:gridCol w:w="1177"/>
        <w:gridCol w:w="1157"/>
        <w:gridCol w:w="1156"/>
        <w:gridCol w:w="1156"/>
        <w:gridCol w:w="1159"/>
      </w:tblGrid>
      <w:tr w:rsidR="005D719C" w:rsidRPr="00AD6989" w14:paraId="5C31BD59" w14:textId="77777777" w:rsidTr="00737954">
        <w:trPr>
          <w:cantSplit/>
          <w:trHeight w:val="510"/>
          <w:tblHeader/>
          <w:jc w:val="center"/>
        </w:trPr>
        <w:tc>
          <w:tcPr>
            <w:tcW w:w="10119" w:type="dxa"/>
            <w:gridSpan w:val="7"/>
            <w:tcBorders>
              <w:top w:val="single" w:sz="2" w:space="0" w:color="A6A6A6" w:themeColor="background1" w:themeShade="A6"/>
              <w:bottom w:val="single" w:sz="2" w:space="0" w:color="A6A6A6" w:themeColor="background1" w:themeShade="A6"/>
            </w:tcBorders>
            <w:shd w:val="clear" w:color="auto" w:fill="D5DCE4"/>
            <w:vAlign w:val="center"/>
          </w:tcPr>
          <w:p w14:paraId="18D087ED" w14:textId="20C8B3F6" w:rsidR="008F4A04" w:rsidRDefault="005D719C" w:rsidP="00737954">
            <w:pPr>
              <w:spacing w:after="0" w:line="276" w:lineRule="auto"/>
              <w:jc w:val="center"/>
              <w:rPr>
                <w:rFonts w:cs="Arial"/>
                <w:b/>
                <w:bCs/>
                <w:sz w:val="18"/>
                <w:szCs w:val="18"/>
              </w:rPr>
            </w:pPr>
            <w:bookmarkStart w:id="380" w:name="_Ref214005178"/>
            <w:bookmarkStart w:id="381" w:name="_Toc214474054"/>
            <w:r w:rsidRPr="00AD6989">
              <w:rPr>
                <w:b/>
                <w:sz w:val="18"/>
                <w:szCs w:val="18"/>
              </w:rPr>
              <w:t>Πίνακας 3.</w:t>
            </w:r>
            <w:r w:rsidRPr="00AD6989">
              <w:rPr>
                <w:b/>
                <w:sz w:val="18"/>
                <w:szCs w:val="18"/>
              </w:rPr>
              <w:fldChar w:fldCharType="begin"/>
            </w:r>
            <w:r w:rsidRPr="00AD6989">
              <w:rPr>
                <w:b/>
                <w:sz w:val="18"/>
                <w:szCs w:val="18"/>
              </w:rPr>
              <w:instrText xml:space="preserve"> SEQ Πίνακας_3. \* ARABIC </w:instrText>
            </w:r>
            <w:r w:rsidRPr="00AD6989">
              <w:rPr>
                <w:b/>
                <w:sz w:val="18"/>
                <w:szCs w:val="18"/>
              </w:rPr>
              <w:fldChar w:fldCharType="separate"/>
            </w:r>
            <w:r w:rsidR="00E15678">
              <w:rPr>
                <w:b/>
                <w:noProof/>
                <w:sz w:val="18"/>
                <w:szCs w:val="18"/>
              </w:rPr>
              <w:t>16</w:t>
            </w:r>
            <w:r w:rsidRPr="00AD6989">
              <w:rPr>
                <w:b/>
                <w:sz w:val="18"/>
                <w:szCs w:val="18"/>
              </w:rPr>
              <w:fldChar w:fldCharType="end"/>
            </w:r>
            <w:bookmarkEnd w:id="380"/>
            <w:r>
              <w:rPr>
                <w:b/>
                <w:sz w:val="18"/>
                <w:szCs w:val="18"/>
              </w:rPr>
              <w:t xml:space="preserve">.: </w:t>
            </w:r>
            <w:r w:rsidRPr="00AD6989">
              <w:rPr>
                <w:rFonts w:cs="Arial"/>
                <w:b/>
                <w:bCs/>
                <w:sz w:val="18"/>
                <w:szCs w:val="18"/>
              </w:rPr>
              <w:t xml:space="preserve">Χρηματοροές Ελλάδας και ΕΕ 2024 </w:t>
            </w:r>
            <w:r w:rsidR="008F4A04">
              <w:rPr>
                <w:rFonts w:cs="Arial"/>
                <w:b/>
                <w:bCs/>
                <w:sz w:val="18"/>
                <w:szCs w:val="18"/>
              </w:rPr>
              <w:t>-</w:t>
            </w:r>
            <w:r w:rsidRPr="00AD6989">
              <w:rPr>
                <w:rFonts w:cs="Arial"/>
                <w:b/>
                <w:bCs/>
                <w:sz w:val="18"/>
                <w:szCs w:val="18"/>
              </w:rPr>
              <w:t xml:space="preserve"> 2026</w:t>
            </w:r>
            <w:bookmarkEnd w:id="381"/>
          </w:p>
          <w:p w14:paraId="2418884D" w14:textId="6D59604E" w:rsidR="005D719C" w:rsidRPr="00AD6989" w:rsidRDefault="005D719C" w:rsidP="00737954">
            <w:pPr>
              <w:spacing w:after="0" w:line="276" w:lineRule="auto"/>
              <w:jc w:val="center"/>
              <w:rPr>
                <w:rFonts w:cs="Arial"/>
                <w:b/>
                <w:bCs/>
                <w:sz w:val="18"/>
                <w:szCs w:val="18"/>
              </w:rPr>
            </w:pPr>
            <w:r w:rsidRPr="00AD6989">
              <w:rPr>
                <w:rFonts w:cs="Arial"/>
                <w:b/>
                <w:bCs/>
                <w:sz w:val="18"/>
                <w:szCs w:val="18"/>
              </w:rPr>
              <w:t>(σε εκατ.</w:t>
            </w:r>
            <w:r>
              <w:rPr>
                <w:rFonts w:cs="Arial"/>
                <w:b/>
                <w:bCs/>
                <w:sz w:val="18"/>
                <w:szCs w:val="18"/>
              </w:rPr>
              <w:t xml:space="preserve"> </w:t>
            </w:r>
            <w:r w:rsidRPr="00AD6989">
              <w:rPr>
                <w:rFonts w:cs="Arial"/>
                <w:b/>
                <w:bCs/>
                <w:sz w:val="18"/>
                <w:szCs w:val="18"/>
              </w:rPr>
              <w:t>ευρώ)</w:t>
            </w:r>
          </w:p>
        </w:tc>
      </w:tr>
      <w:tr w:rsidR="005D719C" w:rsidRPr="00AD6989" w14:paraId="6C660783" w14:textId="77777777" w:rsidTr="00737954">
        <w:trPr>
          <w:cantSplit/>
          <w:tblHeader/>
          <w:jc w:val="center"/>
        </w:trPr>
        <w:tc>
          <w:tcPr>
            <w:tcW w:w="3158" w:type="dxa"/>
            <w:vMerge w:val="restart"/>
            <w:tcBorders>
              <w:top w:val="single" w:sz="2" w:space="0" w:color="A6A6A6" w:themeColor="background1" w:themeShade="A6"/>
            </w:tcBorders>
            <w:shd w:val="clear" w:color="auto" w:fill="F2F2F2" w:themeFill="background1" w:themeFillShade="F2"/>
            <w:vAlign w:val="center"/>
            <w:hideMark/>
          </w:tcPr>
          <w:p w14:paraId="7B39F531" w14:textId="77777777" w:rsidR="005D719C" w:rsidRPr="00AD6989" w:rsidRDefault="005D719C" w:rsidP="00737954">
            <w:pPr>
              <w:spacing w:after="0" w:line="276" w:lineRule="auto"/>
              <w:jc w:val="center"/>
              <w:rPr>
                <w:rFonts w:cs="Arial"/>
                <w:b/>
                <w:bCs/>
                <w:sz w:val="16"/>
                <w:szCs w:val="16"/>
              </w:rPr>
            </w:pPr>
          </w:p>
        </w:tc>
        <w:tc>
          <w:tcPr>
            <w:tcW w:w="1156" w:type="dxa"/>
            <w:tcBorders>
              <w:top w:val="single" w:sz="2" w:space="0" w:color="A6A6A6" w:themeColor="background1" w:themeShade="A6"/>
            </w:tcBorders>
            <w:shd w:val="clear" w:color="auto" w:fill="F2F2F2" w:themeFill="background1" w:themeFillShade="F2"/>
            <w:noWrap/>
            <w:vAlign w:val="center"/>
            <w:hideMark/>
          </w:tcPr>
          <w:p w14:paraId="79804E49" w14:textId="77777777" w:rsidR="005D719C" w:rsidRPr="00AD6989" w:rsidRDefault="005D719C" w:rsidP="00737954">
            <w:pPr>
              <w:spacing w:after="0" w:line="276" w:lineRule="auto"/>
              <w:jc w:val="center"/>
              <w:rPr>
                <w:rFonts w:cs="Arial"/>
                <w:b/>
                <w:bCs/>
                <w:sz w:val="16"/>
                <w:szCs w:val="16"/>
              </w:rPr>
            </w:pPr>
            <w:r w:rsidRPr="00AD6989">
              <w:rPr>
                <w:rFonts w:cs="Arial"/>
                <w:b/>
                <w:bCs/>
                <w:sz w:val="16"/>
                <w:szCs w:val="16"/>
              </w:rPr>
              <w:t>2024</w:t>
            </w:r>
          </w:p>
        </w:tc>
        <w:tc>
          <w:tcPr>
            <w:tcW w:w="2334" w:type="dxa"/>
            <w:gridSpan w:val="2"/>
            <w:tcBorders>
              <w:top w:val="single" w:sz="2" w:space="0" w:color="A6A6A6" w:themeColor="background1" w:themeShade="A6"/>
            </w:tcBorders>
            <w:shd w:val="clear" w:color="auto" w:fill="F2F2F2" w:themeFill="background1" w:themeFillShade="F2"/>
            <w:vAlign w:val="center"/>
            <w:hideMark/>
          </w:tcPr>
          <w:p w14:paraId="4A483F87" w14:textId="77777777" w:rsidR="005D719C" w:rsidRPr="00AD6989" w:rsidRDefault="005D719C" w:rsidP="00737954">
            <w:pPr>
              <w:spacing w:after="0" w:line="276" w:lineRule="auto"/>
              <w:jc w:val="center"/>
              <w:rPr>
                <w:rFonts w:cs="Arial"/>
                <w:b/>
                <w:bCs/>
                <w:color w:val="000000"/>
                <w:sz w:val="16"/>
                <w:szCs w:val="16"/>
              </w:rPr>
            </w:pPr>
            <w:r w:rsidRPr="00AD6989">
              <w:rPr>
                <w:rFonts w:cs="Arial"/>
                <w:b/>
                <w:bCs/>
                <w:color w:val="000000"/>
                <w:sz w:val="16"/>
                <w:szCs w:val="16"/>
              </w:rPr>
              <w:t>2025</w:t>
            </w:r>
          </w:p>
        </w:tc>
        <w:tc>
          <w:tcPr>
            <w:tcW w:w="1156" w:type="dxa"/>
            <w:tcBorders>
              <w:top w:val="single" w:sz="2" w:space="0" w:color="A6A6A6" w:themeColor="background1" w:themeShade="A6"/>
            </w:tcBorders>
            <w:shd w:val="clear" w:color="auto" w:fill="F2F2F2" w:themeFill="background1" w:themeFillShade="F2"/>
            <w:vAlign w:val="center"/>
            <w:hideMark/>
          </w:tcPr>
          <w:p w14:paraId="50BA055E" w14:textId="77777777" w:rsidR="005D719C" w:rsidRPr="00AD6989" w:rsidRDefault="005D719C" w:rsidP="00737954">
            <w:pPr>
              <w:spacing w:after="0" w:line="276" w:lineRule="auto"/>
              <w:jc w:val="center"/>
              <w:rPr>
                <w:rFonts w:cs="Arial"/>
                <w:b/>
                <w:bCs/>
                <w:color w:val="000000"/>
                <w:sz w:val="16"/>
                <w:szCs w:val="16"/>
              </w:rPr>
            </w:pPr>
            <w:r w:rsidRPr="00AD6989">
              <w:rPr>
                <w:rFonts w:cs="Arial"/>
                <w:b/>
                <w:bCs/>
                <w:color w:val="000000"/>
                <w:sz w:val="16"/>
                <w:szCs w:val="16"/>
              </w:rPr>
              <w:t>2026</w:t>
            </w:r>
          </w:p>
        </w:tc>
        <w:tc>
          <w:tcPr>
            <w:tcW w:w="1156" w:type="dxa"/>
            <w:tcBorders>
              <w:top w:val="single" w:sz="2" w:space="0" w:color="A6A6A6" w:themeColor="background1" w:themeShade="A6"/>
            </w:tcBorders>
            <w:shd w:val="clear" w:color="auto" w:fill="F2F2F2" w:themeFill="background1" w:themeFillShade="F2"/>
            <w:noWrap/>
            <w:vAlign w:val="center"/>
            <w:hideMark/>
          </w:tcPr>
          <w:p w14:paraId="0B6CD380" w14:textId="77777777" w:rsidR="005D719C" w:rsidRPr="00AD6989" w:rsidRDefault="005D719C" w:rsidP="00737954">
            <w:pPr>
              <w:spacing w:after="0" w:line="276" w:lineRule="auto"/>
              <w:jc w:val="center"/>
              <w:rPr>
                <w:rFonts w:cs="Arial"/>
                <w:b/>
                <w:bCs/>
                <w:sz w:val="16"/>
                <w:szCs w:val="16"/>
              </w:rPr>
            </w:pPr>
            <w:r w:rsidRPr="00AD6989">
              <w:rPr>
                <w:rFonts w:cs="Arial"/>
                <w:b/>
                <w:bCs/>
                <w:sz w:val="16"/>
                <w:szCs w:val="16"/>
              </w:rPr>
              <w:t>2025/24</w:t>
            </w:r>
          </w:p>
        </w:tc>
        <w:tc>
          <w:tcPr>
            <w:tcW w:w="1159" w:type="dxa"/>
            <w:tcBorders>
              <w:top w:val="single" w:sz="2" w:space="0" w:color="A6A6A6" w:themeColor="background1" w:themeShade="A6"/>
            </w:tcBorders>
            <w:shd w:val="clear" w:color="auto" w:fill="F2F2F2" w:themeFill="background1" w:themeFillShade="F2"/>
            <w:noWrap/>
            <w:vAlign w:val="center"/>
            <w:hideMark/>
          </w:tcPr>
          <w:p w14:paraId="68FA7BA3" w14:textId="77777777" w:rsidR="005D719C" w:rsidRPr="00AD6989" w:rsidRDefault="005D719C" w:rsidP="00737954">
            <w:pPr>
              <w:spacing w:after="0" w:line="276" w:lineRule="auto"/>
              <w:jc w:val="center"/>
              <w:rPr>
                <w:rFonts w:cs="Arial"/>
                <w:b/>
                <w:bCs/>
                <w:sz w:val="16"/>
                <w:szCs w:val="16"/>
              </w:rPr>
            </w:pPr>
            <w:r w:rsidRPr="00AD6989">
              <w:rPr>
                <w:rFonts w:cs="Arial"/>
                <w:b/>
                <w:bCs/>
                <w:sz w:val="16"/>
                <w:szCs w:val="16"/>
              </w:rPr>
              <w:t>2026/25</w:t>
            </w:r>
          </w:p>
        </w:tc>
      </w:tr>
      <w:tr w:rsidR="005D719C" w:rsidRPr="00AD6989" w14:paraId="1A7EF4F4" w14:textId="77777777" w:rsidTr="00737954">
        <w:trPr>
          <w:cantSplit/>
          <w:tblHeader/>
          <w:jc w:val="center"/>
        </w:trPr>
        <w:tc>
          <w:tcPr>
            <w:tcW w:w="3158" w:type="dxa"/>
            <w:vMerge/>
            <w:tcBorders>
              <w:bottom w:val="single" w:sz="2" w:space="0" w:color="A6A6A6" w:themeColor="background1" w:themeShade="A6"/>
            </w:tcBorders>
            <w:shd w:val="clear" w:color="auto" w:fill="F2F2F2" w:themeFill="background1" w:themeFillShade="F2"/>
            <w:vAlign w:val="center"/>
            <w:hideMark/>
          </w:tcPr>
          <w:p w14:paraId="213B0AA1" w14:textId="77777777" w:rsidR="005D719C" w:rsidRPr="00AD6989" w:rsidRDefault="005D719C" w:rsidP="00737954">
            <w:pPr>
              <w:spacing w:after="0" w:line="276" w:lineRule="auto"/>
              <w:jc w:val="center"/>
              <w:rPr>
                <w:rFonts w:cs="Arial"/>
                <w:b/>
                <w:bCs/>
                <w:sz w:val="16"/>
                <w:szCs w:val="16"/>
              </w:rPr>
            </w:pPr>
          </w:p>
        </w:tc>
        <w:tc>
          <w:tcPr>
            <w:tcW w:w="1156" w:type="dxa"/>
            <w:tcBorders>
              <w:bottom w:val="single" w:sz="2" w:space="0" w:color="A6A6A6" w:themeColor="background1" w:themeShade="A6"/>
            </w:tcBorders>
            <w:shd w:val="clear" w:color="auto" w:fill="F2F2F2" w:themeFill="background1" w:themeFillShade="F2"/>
            <w:noWrap/>
            <w:vAlign w:val="center"/>
            <w:hideMark/>
          </w:tcPr>
          <w:p w14:paraId="71137476" w14:textId="77777777" w:rsidR="005D719C" w:rsidRPr="00AD6989" w:rsidRDefault="005D719C" w:rsidP="00737954">
            <w:pPr>
              <w:spacing w:after="0" w:line="276" w:lineRule="auto"/>
              <w:jc w:val="center"/>
              <w:rPr>
                <w:rFonts w:cs="Arial"/>
                <w:b/>
                <w:bCs/>
                <w:sz w:val="16"/>
                <w:szCs w:val="16"/>
              </w:rPr>
            </w:pPr>
            <w:r w:rsidRPr="00AD6989">
              <w:rPr>
                <w:rFonts w:cs="Arial"/>
                <w:b/>
                <w:bCs/>
                <w:sz w:val="16"/>
                <w:szCs w:val="16"/>
              </w:rPr>
              <w:t>Πραγμ/σεις</w:t>
            </w:r>
          </w:p>
        </w:tc>
        <w:tc>
          <w:tcPr>
            <w:tcW w:w="1177" w:type="dxa"/>
            <w:tcBorders>
              <w:bottom w:val="single" w:sz="2" w:space="0" w:color="A6A6A6" w:themeColor="background1" w:themeShade="A6"/>
            </w:tcBorders>
            <w:shd w:val="clear" w:color="auto" w:fill="F2F2F2" w:themeFill="background1" w:themeFillShade="F2"/>
            <w:noWrap/>
            <w:vAlign w:val="center"/>
            <w:hideMark/>
          </w:tcPr>
          <w:p w14:paraId="1267D8FE" w14:textId="77777777" w:rsidR="005D719C" w:rsidRPr="00AD6989" w:rsidRDefault="005D719C" w:rsidP="00737954">
            <w:pPr>
              <w:spacing w:after="0" w:line="276" w:lineRule="auto"/>
              <w:jc w:val="center"/>
              <w:rPr>
                <w:rFonts w:cs="Arial"/>
                <w:b/>
                <w:bCs/>
                <w:color w:val="000000"/>
                <w:sz w:val="16"/>
                <w:szCs w:val="16"/>
              </w:rPr>
            </w:pPr>
            <w:r w:rsidRPr="00F17485">
              <w:rPr>
                <w:rFonts w:cs="Arial"/>
                <w:b/>
                <w:bCs/>
                <w:color w:val="000000"/>
                <w:sz w:val="16"/>
                <w:szCs w:val="16"/>
              </w:rPr>
              <w:t>Προϋπ/σμ</w:t>
            </w:r>
            <w:r>
              <w:rPr>
                <w:rFonts w:cs="Arial"/>
                <w:b/>
                <w:bCs/>
                <w:color w:val="000000"/>
                <w:sz w:val="16"/>
                <w:szCs w:val="16"/>
              </w:rPr>
              <w:t>ό</w:t>
            </w:r>
            <w:r w:rsidRPr="00F17485">
              <w:rPr>
                <w:rFonts w:cs="Arial"/>
                <w:b/>
                <w:bCs/>
                <w:color w:val="000000"/>
                <w:sz w:val="16"/>
                <w:szCs w:val="16"/>
              </w:rPr>
              <w:t>ς</w:t>
            </w:r>
          </w:p>
        </w:tc>
        <w:tc>
          <w:tcPr>
            <w:tcW w:w="1157" w:type="dxa"/>
            <w:tcBorders>
              <w:bottom w:val="single" w:sz="2" w:space="0" w:color="A6A6A6" w:themeColor="background1" w:themeShade="A6"/>
            </w:tcBorders>
            <w:shd w:val="clear" w:color="auto" w:fill="F2F2F2" w:themeFill="background1" w:themeFillShade="F2"/>
            <w:vAlign w:val="center"/>
            <w:hideMark/>
          </w:tcPr>
          <w:p w14:paraId="34FC4125" w14:textId="77777777" w:rsidR="005D719C" w:rsidRPr="00AD6989" w:rsidRDefault="005D719C" w:rsidP="00737954">
            <w:pPr>
              <w:spacing w:after="0" w:line="276" w:lineRule="auto"/>
              <w:jc w:val="center"/>
              <w:rPr>
                <w:rFonts w:cs="Arial"/>
                <w:b/>
                <w:bCs/>
                <w:color w:val="000000"/>
                <w:sz w:val="16"/>
                <w:szCs w:val="16"/>
              </w:rPr>
            </w:pPr>
            <w:r w:rsidRPr="00AD6989">
              <w:rPr>
                <w:rFonts w:cs="Arial"/>
                <w:b/>
                <w:bCs/>
                <w:color w:val="000000"/>
                <w:sz w:val="16"/>
                <w:szCs w:val="16"/>
              </w:rPr>
              <w:t>Εκτιμήσεις</w:t>
            </w:r>
          </w:p>
        </w:tc>
        <w:tc>
          <w:tcPr>
            <w:tcW w:w="1156" w:type="dxa"/>
            <w:tcBorders>
              <w:bottom w:val="single" w:sz="2" w:space="0" w:color="A6A6A6" w:themeColor="background1" w:themeShade="A6"/>
            </w:tcBorders>
            <w:shd w:val="clear" w:color="auto" w:fill="F2F2F2" w:themeFill="background1" w:themeFillShade="F2"/>
            <w:vAlign w:val="center"/>
            <w:hideMark/>
          </w:tcPr>
          <w:p w14:paraId="4C5BFD1C" w14:textId="77777777" w:rsidR="005D719C" w:rsidRPr="00AD6989" w:rsidRDefault="005D719C" w:rsidP="00737954">
            <w:pPr>
              <w:spacing w:after="0" w:line="276" w:lineRule="auto"/>
              <w:jc w:val="center"/>
              <w:rPr>
                <w:rFonts w:cs="Arial"/>
                <w:b/>
                <w:bCs/>
                <w:color w:val="000000"/>
                <w:sz w:val="16"/>
                <w:szCs w:val="16"/>
              </w:rPr>
            </w:pPr>
            <w:r w:rsidRPr="00AD6989">
              <w:rPr>
                <w:rFonts w:cs="Arial"/>
                <w:b/>
                <w:bCs/>
                <w:color w:val="000000"/>
                <w:sz w:val="16"/>
                <w:szCs w:val="16"/>
              </w:rPr>
              <w:t>Προβλέψεις</w:t>
            </w:r>
          </w:p>
        </w:tc>
        <w:tc>
          <w:tcPr>
            <w:tcW w:w="2315" w:type="dxa"/>
            <w:gridSpan w:val="2"/>
            <w:tcBorders>
              <w:bottom w:val="single" w:sz="2" w:space="0" w:color="A6A6A6" w:themeColor="background1" w:themeShade="A6"/>
            </w:tcBorders>
            <w:shd w:val="clear" w:color="auto" w:fill="F2F2F2" w:themeFill="background1" w:themeFillShade="F2"/>
            <w:noWrap/>
            <w:vAlign w:val="center"/>
            <w:hideMark/>
          </w:tcPr>
          <w:p w14:paraId="0009FEC1" w14:textId="77777777" w:rsidR="005D719C" w:rsidRPr="00AD6989" w:rsidRDefault="005D719C" w:rsidP="00737954">
            <w:pPr>
              <w:spacing w:after="0" w:line="276" w:lineRule="auto"/>
              <w:jc w:val="center"/>
              <w:rPr>
                <w:rFonts w:cs="Arial"/>
                <w:b/>
                <w:bCs/>
                <w:sz w:val="16"/>
                <w:szCs w:val="16"/>
              </w:rPr>
            </w:pPr>
            <w:r w:rsidRPr="00AD6989">
              <w:rPr>
                <w:rFonts w:cs="Arial"/>
                <w:b/>
                <w:bCs/>
                <w:sz w:val="16"/>
                <w:szCs w:val="16"/>
              </w:rPr>
              <w:t>Μεταβολή %</w:t>
            </w:r>
          </w:p>
        </w:tc>
      </w:tr>
      <w:tr w:rsidR="005D719C" w:rsidRPr="00FF7AC7" w14:paraId="3581F34E" w14:textId="77777777" w:rsidTr="00737954">
        <w:trPr>
          <w:cantSplit/>
          <w:jc w:val="center"/>
        </w:trPr>
        <w:tc>
          <w:tcPr>
            <w:tcW w:w="3158" w:type="dxa"/>
            <w:tcBorders>
              <w:top w:val="single" w:sz="2" w:space="0" w:color="A6A6A6" w:themeColor="background1" w:themeShade="A6"/>
              <w:bottom w:val="nil"/>
            </w:tcBorders>
            <w:shd w:val="clear" w:color="auto" w:fill="D5DCE4"/>
            <w:vAlign w:val="center"/>
            <w:hideMark/>
          </w:tcPr>
          <w:p w14:paraId="1387E905" w14:textId="77777777" w:rsidR="005D719C" w:rsidRDefault="005D719C" w:rsidP="00737954">
            <w:pPr>
              <w:tabs>
                <w:tab w:val="left" w:pos="284"/>
              </w:tabs>
              <w:spacing w:after="0" w:line="276" w:lineRule="auto"/>
              <w:jc w:val="left"/>
              <w:rPr>
                <w:rFonts w:cs="Arial"/>
                <w:b/>
                <w:bCs/>
                <w:sz w:val="16"/>
                <w:szCs w:val="16"/>
              </w:rPr>
            </w:pPr>
            <w:r>
              <w:rPr>
                <w:rFonts w:cs="Arial"/>
                <w:b/>
                <w:bCs/>
                <w:sz w:val="16"/>
                <w:szCs w:val="16"/>
                <w:lang w:val="en-US"/>
              </w:rPr>
              <w:t>I</w:t>
            </w:r>
            <w:r w:rsidRPr="00932C29">
              <w:rPr>
                <w:rFonts w:cs="Arial"/>
                <w:b/>
                <w:bCs/>
                <w:sz w:val="16"/>
                <w:szCs w:val="16"/>
              </w:rPr>
              <w:t>.</w:t>
            </w:r>
            <w:r>
              <w:rPr>
                <w:rFonts w:cs="Arial"/>
                <w:b/>
                <w:bCs/>
                <w:sz w:val="16"/>
                <w:szCs w:val="16"/>
              </w:rPr>
              <w:tab/>
            </w:r>
            <w:r w:rsidRPr="00AD6989">
              <w:rPr>
                <w:rFonts w:cs="Arial"/>
                <w:b/>
                <w:bCs/>
                <w:sz w:val="16"/>
                <w:szCs w:val="16"/>
              </w:rPr>
              <w:t>Απολήψεις από την Ε</w:t>
            </w:r>
            <w:r>
              <w:rPr>
                <w:rFonts w:cs="Arial"/>
                <w:b/>
                <w:bCs/>
                <w:sz w:val="16"/>
                <w:szCs w:val="16"/>
              </w:rPr>
              <w:t>Ε</w:t>
            </w:r>
          </w:p>
          <w:p w14:paraId="600324AC" w14:textId="77777777" w:rsidR="005D719C" w:rsidRPr="000F7530" w:rsidRDefault="005D719C" w:rsidP="00737954">
            <w:pPr>
              <w:tabs>
                <w:tab w:val="left" w:pos="284"/>
              </w:tabs>
              <w:spacing w:after="0" w:line="276" w:lineRule="auto"/>
              <w:jc w:val="left"/>
              <w:rPr>
                <w:rFonts w:cs="Arial"/>
                <w:b/>
                <w:bCs/>
                <w:sz w:val="16"/>
                <w:szCs w:val="16"/>
              </w:rPr>
            </w:pPr>
            <w:r w:rsidRPr="00932C29">
              <w:rPr>
                <w:rFonts w:cs="Arial"/>
                <w:b/>
                <w:bCs/>
                <w:sz w:val="16"/>
                <w:szCs w:val="16"/>
              </w:rPr>
              <w:t>(</w:t>
            </w:r>
            <w:r>
              <w:rPr>
                <w:rFonts w:cs="Arial"/>
                <w:b/>
                <w:bCs/>
                <w:sz w:val="16"/>
                <w:szCs w:val="16"/>
                <w:lang w:val="en-US"/>
              </w:rPr>
              <w:t>I</w:t>
            </w:r>
            <w:r w:rsidRPr="000F7530">
              <w:rPr>
                <w:rFonts w:cs="Arial"/>
                <w:b/>
                <w:bCs/>
                <w:sz w:val="16"/>
                <w:szCs w:val="16"/>
              </w:rPr>
              <w:t xml:space="preserve">.1 + </w:t>
            </w:r>
            <w:r>
              <w:rPr>
                <w:rFonts w:cs="Arial"/>
                <w:b/>
                <w:bCs/>
                <w:sz w:val="16"/>
                <w:szCs w:val="16"/>
                <w:lang w:val="en-US"/>
              </w:rPr>
              <w:t>I</w:t>
            </w:r>
            <w:r w:rsidRPr="000F7530">
              <w:rPr>
                <w:rFonts w:cs="Arial"/>
                <w:b/>
                <w:bCs/>
                <w:sz w:val="16"/>
                <w:szCs w:val="16"/>
              </w:rPr>
              <w:t xml:space="preserve">.2 + </w:t>
            </w:r>
            <w:r>
              <w:rPr>
                <w:rFonts w:cs="Arial"/>
                <w:b/>
                <w:bCs/>
                <w:sz w:val="16"/>
                <w:szCs w:val="16"/>
                <w:lang w:val="en-US"/>
              </w:rPr>
              <w:t>I</w:t>
            </w:r>
            <w:r w:rsidRPr="000F7530">
              <w:rPr>
                <w:rFonts w:cs="Arial"/>
                <w:b/>
                <w:bCs/>
                <w:sz w:val="16"/>
                <w:szCs w:val="16"/>
              </w:rPr>
              <w:t>.3)</w:t>
            </w:r>
          </w:p>
        </w:tc>
        <w:tc>
          <w:tcPr>
            <w:tcW w:w="1156" w:type="dxa"/>
            <w:tcBorders>
              <w:top w:val="single" w:sz="2" w:space="0" w:color="A6A6A6" w:themeColor="background1" w:themeShade="A6"/>
              <w:bottom w:val="nil"/>
            </w:tcBorders>
            <w:shd w:val="clear" w:color="auto" w:fill="D5DCE4"/>
            <w:noWrap/>
            <w:vAlign w:val="center"/>
            <w:hideMark/>
          </w:tcPr>
          <w:p w14:paraId="73A2C98B"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6.065,04</w:t>
            </w:r>
          </w:p>
        </w:tc>
        <w:tc>
          <w:tcPr>
            <w:tcW w:w="1177" w:type="dxa"/>
            <w:tcBorders>
              <w:top w:val="single" w:sz="2" w:space="0" w:color="A6A6A6" w:themeColor="background1" w:themeShade="A6"/>
              <w:bottom w:val="nil"/>
            </w:tcBorders>
            <w:shd w:val="clear" w:color="auto" w:fill="D5DCE4"/>
            <w:noWrap/>
            <w:vAlign w:val="center"/>
            <w:hideMark/>
          </w:tcPr>
          <w:p w14:paraId="471AD92C"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6.066</w:t>
            </w:r>
          </w:p>
        </w:tc>
        <w:tc>
          <w:tcPr>
            <w:tcW w:w="1157" w:type="dxa"/>
            <w:tcBorders>
              <w:top w:val="single" w:sz="2" w:space="0" w:color="A6A6A6" w:themeColor="background1" w:themeShade="A6"/>
              <w:bottom w:val="nil"/>
            </w:tcBorders>
            <w:shd w:val="clear" w:color="auto" w:fill="D5DCE4"/>
            <w:noWrap/>
            <w:vAlign w:val="center"/>
            <w:hideMark/>
          </w:tcPr>
          <w:p w14:paraId="6C0A5A9A"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6.044</w:t>
            </w:r>
          </w:p>
        </w:tc>
        <w:tc>
          <w:tcPr>
            <w:tcW w:w="1156" w:type="dxa"/>
            <w:tcBorders>
              <w:top w:val="single" w:sz="2" w:space="0" w:color="A6A6A6" w:themeColor="background1" w:themeShade="A6"/>
              <w:bottom w:val="nil"/>
            </w:tcBorders>
            <w:shd w:val="clear" w:color="auto" w:fill="D5DCE4"/>
            <w:noWrap/>
            <w:vAlign w:val="center"/>
            <w:hideMark/>
          </w:tcPr>
          <w:p w14:paraId="6442BC2E"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6.351</w:t>
            </w:r>
          </w:p>
        </w:tc>
        <w:tc>
          <w:tcPr>
            <w:tcW w:w="1156" w:type="dxa"/>
            <w:tcBorders>
              <w:top w:val="single" w:sz="2" w:space="0" w:color="A6A6A6" w:themeColor="background1" w:themeShade="A6"/>
              <w:bottom w:val="nil"/>
            </w:tcBorders>
            <w:shd w:val="clear" w:color="auto" w:fill="D5DCE4"/>
            <w:noWrap/>
            <w:vAlign w:val="center"/>
            <w:hideMark/>
          </w:tcPr>
          <w:p w14:paraId="6F3A22D3"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-0,3%</w:t>
            </w:r>
          </w:p>
        </w:tc>
        <w:tc>
          <w:tcPr>
            <w:tcW w:w="1159" w:type="dxa"/>
            <w:tcBorders>
              <w:top w:val="single" w:sz="2" w:space="0" w:color="A6A6A6" w:themeColor="background1" w:themeShade="A6"/>
              <w:bottom w:val="nil"/>
            </w:tcBorders>
            <w:shd w:val="clear" w:color="auto" w:fill="D5DCE4"/>
            <w:noWrap/>
            <w:vAlign w:val="center"/>
            <w:hideMark/>
          </w:tcPr>
          <w:p w14:paraId="2456EAFF"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5,1%</w:t>
            </w:r>
          </w:p>
        </w:tc>
      </w:tr>
      <w:tr w:rsidR="005D719C" w:rsidRPr="00FF7AC7" w14:paraId="6FE3E740" w14:textId="77777777" w:rsidTr="00737954">
        <w:trPr>
          <w:cantSplit/>
          <w:jc w:val="center"/>
        </w:trPr>
        <w:tc>
          <w:tcPr>
            <w:tcW w:w="3158" w:type="dxa"/>
            <w:tcBorders>
              <w:top w:val="nil"/>
            </w:tcBorders>
            <w:shd w:val="clear" w:color="auto" w:fill="F2F2F2" w:themeFill="background1" w:themeFillShade="F2"/>
            <w:vAlign w:val="center"/>
            <w:hideMark/>
          </w:tcPr>
          <w:p w14:paraId="555FD9CA" w14:textId="77777777" w:rsidR="005D719C" w:rsidRPr="00AD6989" w:rsidRDefault="005D719C" w:rsidP="00737954">
            <w:pPr>
              <w:tabs>
                <w:tab w:val="left" w:pos="284"/>
              </w:tabs>
              <w:spacing w:after="0" w:line="276" w:lineRule="auto"/>
              <w:jc w:val="left"/>
              <w:rPr>
                <w:rFonts w:cs="Arial"/>
                <w:b/>
                <w:bCs/>
                <w:color w:val="000000"/>
                <w:sz w:val="16"/>
                <w:szCs w:val="16"/>
              </w:rPr>
            </w:pPr>
            <w:r w:rsidRPr="00AD6989">
              <w:rPr>
                <w:rFonts w:cs="Arial"/>
                <w:b/>
                <w:bCs/>
                <w:color w:val="000000"/>
                <w:sz w:val="16"/>
                <w:szCs w:val="16"/>
              </w:rPr>
              <w:t>Ι.1</w:t>
            </w:r>
            <w:r>
              <w:rPr>
                <w:rFonts w:cs="Arial"/>
                <w:b/>
                <w:bCs/>
                <w:color w:val="000000"/>
                <w:sz w:val="16"/>
                <w:szCs w:val="16"/>
              </w:rPr>
              <w:tab/>
            </w:r>
            <w:r w:rsidRPr="00AD6989">
              <w:rPr>
                <w:rFonts w:cs="Arial"/>
                <w:b/>
                <w:bCs/>
                <w:color w:val="000000"/>
                <w:sz w:val="16"/>
                <w:szCs w:val="16"/>
              </w:rPr>
              <w:t>Τακτικός Προϋπολογισμός</w:t>
            </w:r>
          </w:p>
        </w:tc>
        <w:tc>
          <w:tcPr>
            <w:tcW w:w="1156" w:type="dxa"/>
            <w:tcBorders>
              <w:top w:val="nil"/>
            </w:tcBorders>
            <w:shd w:val="clear" w:color="auto" w:fill="F2F2F2" w:themeFill="background1" w:themeFillShade="F2"/>
            <w:vAlign w:val="center"/>
            <w:hideMark/>
          </w:tcPr>
          <w:p w14:paraId="59330E25"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210,81</w:t>
            </w:r>
          </w:p>
        </w:tc>
        <w:tc>
          <w:tcPr>
            <w:tcW w:w="1177" w:type="dxa"/>
            <w:tcBorders>
              <w:top w:val="nil"/>
            </w:tcBorders>
            <w:shd w:val="clear" w:color="auto" w:fill="F2F2F2" w:themeFill="background1" w:themeFillShade="F2"/>
            <w:vAlign w:val="center"/>
            <w:hideMark/>
          </w:tcPr>
          <w:p w14:paraId="16B293A3"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105</w:t>
            </w:r>
          </w:p>
        </w:tc>
        <w:tc>
          <w:tcPr>
            <w:tcW w:w="1157" w:type="dxa"/>
            <w:tcBorders>
              <w:top w:val="nil"/>
            </w:tcBorders>
            <w:shd w:val="clear" w:color="auto" w:fill="F2F2F2" w:themeFill="background1" w:themeFillShade="F2"/>
            <w:vAlign w:val="center"/>
            <w:hideMark/>
          </w:tcPr>
          <w:p w14:paraId="5BD680CC"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248</w:t>
            </w:r>
          </w:p>
        </w:tc>
        <w:tc>
          <w:tcPr>
            <w:tcW w:w="1156" w:type="dxa"/>
            <w:tcBorders>
              <w:top w:val="nil"/>
            </w:tcBorders>
            <w:shd w:val="clear" w:color="auto" w:fill="F2F2F2" w:themeFill="background1" w:themeFillShade="F2"/>
            <w:vAlign w:val="center"/>
            <w:hideMark/>
          </w:tcPr>
          <w:p w14:paraId="4F17EEDF"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122</w:t>
            </w:r>
          </w:p>
        </w:tc>
        <w:tc>
          <w:tcPr>
            <w:tcW w:w="1156" w:type="dxa"/>
            <w:tcBorders>
              <w:top w:val="nil"/>
            </w:tcBorders>
            <w:shd w:val="clear" w:color="auto" w:fill="F2F2F2" w:themeFill="background1" w:themeFillShade="F2"/>
            <w:noWrap/>
            <w:vAlign w:val="center"/>
            <w:hideMark/>
          </w:tcPr>
          <w:p w14:paraId="6433B5E7"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17,6%</w:t>
            </w:r>
          </w:p>
        </w:tc>
        <w:tc>
          <w:tcPr>
            <w:tcW w:w="1159" w:type="dxa"/>
            <w:tcBorders>
              <w:top w:val="nil"/>
            </w:tcBorders>
            <w:shd w:val="clear" w:color="auto" w:fill="F2F2F2" w:themeFill="background1" w:themeFillShade="F2"/>
            <w:noWrap/>
            <w:vAlign w:val="center"/>
            <w:hideMark/>
          </w:tcPr>
          <w:p w14:paraId="2ED65767"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-50,8%</w:t>
            </w:r>
          </w:p>
        </w:tc>
      </w:tr>
      <w:tr w:rsidR="005D719C" w:rsidRPr="00FF7AC7" w14:paraId="32946A28" w14:textId="77777777" w:rsidTr="00737954">
        <w:trPr>
          <w:cantSplit/>
          <w:jc w:val="center"/>
        </w:trPr>
        <w:tc>
          <w:tcPr>
            <w:tcW w:w="3158" w:type="dxa"/>
            <w:shd w:val="clear" w:color="auto" w:fill="auto"/>
            <w:vAlign w:val="center"/>
            <w:hideMark/>
          </w:tcPr>
          <w:p w14:paraId="152B847A" w14:textId="77777777" w:rsidR="005D719C" w:rsidRPr="00AD6989" w:rsidRDefault="005D719C" w:rsidP="00737954">
            <w:pPr>
              <w:spacing w:after="0" w:line="276" w:lineRule="auto"/>
              <w:jc w:val="left"/>
              <w:rPr>
                <w:rFonts w:cs="Arial"/>
                <w:color w:val="000000"/>
                <w:sz w:val="16"/>
                <w:szCs w:val="16"/>
              </w:rPr>
            </w:pPr>
            <w:r w:rsidRPr="00AD6989">
              <w:rPr>
                <w:rFonts w:cs="Arial"/>
                <w:color w:val="000000"/>
                <w:sz w:val="16"/>
                <w:szCs w:val="16"/>
              </w:rPr>
              <w:t xml:space="preserve">Προμήθειες είσπραξης </w:t>
            </w:r>
            <w:r>
              <w:rPr>
                <w:rFonts w:cs="Arial"/>
                <w:color w:val="000000"/>
                <w:sz w:val="16"/>
                <w:szCs w:val="16"/>
              </w:rPr>
              <w:t>ι</w:t>
            </w:r>
            <w:r w:rsidRPr="00AD6989">
              <w:rPr>
                <w:rFonts w:cs="Arial"/>
                <w:color w:val="000000"/>
                <w:sz w:val="16"/>
                <w:szCs w:val="16"/>
              </w:rPr>
              <w:t xml:space="preserve">δίων </w:t>
            </w:r>
            <w:r>
              <w:rPr>
                <w:rFonts w:cs="Arial"/>
                <w:color w:val="000000"/>
                <w:sz w:val="16"/>
                <w:szCs w:val="16"/>
              </w:rPr>
              <w:t>π</w:t>
            </w:r>
            <w:r w:rsidRPr="00AD6989">
              <w:rPr>
                <w:rFonts w:cs="Arial"/>
                <w:color w:val="000000"/>
                <w:sz w:val="16"/>
                <w:szCs w:val="16"/>
              </w:rPr>
              <w:t>όρων για λογαριασμό της ΕΕ</w:t>
            </w:r>
          </w:p>
        </w:tc>
        <w:tc>
          <w:tcPr>
            <w:tcW w:w="1156" w:type="dxa"/>
            <w:shd w:val="clear" w:color="auto" w:fill="auto"/>
            <w:vAlign w:val="center"/>
            <w:hideMark/>
          </w:tcPr>
          <w:p w14:paraId="41860A79" w14:textId="77777777" w:rsidR="005D719C" w:rsidRPr="005E2D4B" w:rsidRDefault="005D719C" w:rsidP="00737954">
            <w:pPr>
              <w:spacing w:after="0" w:line="276" w:lineRule="auto"/>
              <w:jc w:val="right"/>
              <w:rPr>
                <w:rFonts w:cs="Arial"/>
                <w:sz w:val="16"/>
                <w:szCs w:val="16"/>
              </w:rPr>
            </w:pPr>
            <w:r w:rsidRPr="005E2D4B">
              <w:rPr>
                <w:rFonts w:cs="Arial"/>
                <w:sz w:val="16"/>
                <w:szCs w:val="16"/>
              </w:rPr>
              <w:t>89,38</w:t>
            </w:r>
          </w:p>
        </w:tc>
        <w:tc>
          <w:tcPr>
            <w:tcW w:w="1177" w:type="dxa"/>
            <w:shd w:val="clear" w:color="auto" w:fill="auto"/>
            <w:vAlign w:val="center"/>
            <w:hideMark/>
          </w:tcPr>
          <w:p w14:paraId="4E4C88BE" w14:textId="77777777" w:rsidR="005D719C" w:rsidRPr="005E2D4B" w:rsidRDefault="005D719C" w:rsidP="00737954">
            <w:pPr>
              <w:spacing w:after="0" w:line="276" w:lineRule="auto"/>
              <w:jc w:val="right"/>
              <w:rPr>
                <w:rFonts w:cs="Arial"/>
                <w:sz w:val="16"/>
                <w:szCs w:val="16"/>
              </w:rPr>
            </w:pPr>
            <w:r w:rsidRPr="005E2D4B">
              <w:rPr>
                <w:rFonts w:cs="Arial"/>
                <w:sz w:val="16"/>
                <w:szCs w:val="16"/>
              </w:rPr>
              <w:t>90</w:t>
            </w:r>
          </w:p>
        </w:tc>
        <w:tc>
          <w:tcPr>
            <w:tcW w:w="1157" w:type="dxa"/>
            <w:shd w:val="clear" w:color="auto" w:fill="auto"/>
            <w:vAlign w:val="center"/>
            <w:hideMark/>
          </w:tcPr>
          <w:p w14:paraId="6926B11F" w14:textId="77777777" w:rsidR="005D719C" w:rsidRPr="005E2D4B" w:rsidRDefault="005D719C" w:rsidP="00737954">
            <w:pPr>
              <w:spacing w:after="0" w:line="276" w:lineRule="auto"/>
              <w:jc w:val="right"/>
              <w:rPr>
                <w:rFonts w:cs="Arial"/>
                <w:sz w:val="16"/>
                <w:szCs w:val="16"/>
              </w:rPr>
            </w:pPr>
            <w:r w:rsidRPr="005E2D4B">
              <w:rPr>
                <w:rFonts w:cs="Arial"/>
                <w:sz w:val="16"/>
                <w:szCs w:val="16"/>
              </w:rPr>
              <w:t>101</w:t>
            </w:r>
          </w:p>
        </w:tc>
        <w:tc>
          <w:tcPr>
            <w:tcW w:w="1156" w:type="dxa"/>
            <w:shd w:val="clear" w:color="auto" w:fill="auto"/>
            <w:vAlign w:val="center"/>
            <w:hideMark/>
          </w:tcPr>
          <w:p w14:paraId="0C65D2C6" w14:textId="77777777" w:rsidR="005D719C" w:rsidRPr="005E2D4B" w:rsidRDefault="005D719C" w:rsidP="00737954">
            <w:pPr>
              <w:spacing w:after="0" w:line="276" w:lineRule="auto"/>
              <w:jc w:val="right"/>
              <w:rPr>
                <w:rFonts w:cs="Arial"/>
                <w:sz w:val="16"/>
                <w:szCs w:val="16"/>
              </w:rPr>
            </w:pPr>
            <w:r w:rsidRPr="005E2D4B">
              <w:rPr>
                <w:rFonts w:cs="Arial"/>
                <w:sz w:val="16"/>
                <w:szCs w:val="16"/>
              </w:rPr>
              <w:t>107</w:t>
            </w:r>
          </w:p>
        </w:tc>
        <w:tc>
          <w:tcPr>
            <w:tcW w:w="1156" w:type="dxa"/>
            <w:shd w:val="clear" w:color="auto" w:fill="auto"/>
            <w:noWrap/>
            <w:vAlign w:val="center"/>
            <w:hideMark/>
          </w:tcPr>
          <w:p w14:paraId="3953A79C"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13,0%</w:t>
            </w:r>
          </w:p>
        </w:tc>
        <w:tc>
          <w:tcPr>
            <w:tcW w:w="1159" w:type="dxa"/>
            <w:shd w:val="clear" w:color="auto" w:fill="auto"/>
            <w:noWrap/>
            <w:vAlign w:val="center"/>
            <w:hideMark/>
          </w:tcPr>
          <w:p w14:paraId="5951CF8E"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5,9%</w:t>
            </w:r>
          </w:p>
        </w:tc>
      </w:tr>
      <w:tr w:rsidR="005D719C" w:rsidRPr="00FF7AC7" w14:paraId="7D936CA0" w14:textId="77777777" w:rsidTr="00737954">
        <w:trPr>
          <w:cantSplit/>
          <w:jc w:val="center"/>
        </w:trPr>
        <w:tc>
          <w:tcPr>
            <w:tcW w:w="3158" w:type="dxa"/>
            <w:shd w:val="clear" w:color="auto" w:fill="auto"/>
            <w:vAlign w:val="center"/>
            <w:hideMark/>
          </w:tcPr>
          <w:p w14:paraId="02B945C5" w14:textId="77777777" w:rsidR="005D719C" w:rsidRPr="00AD6989" w:rsidRDefault="005D719C" w:rsidP="00737954">
            <w:pPr>
              <w:spacing w:after="0" w:line="276" w:lineRule="auto"/>
              <w:jc w:val="left"/>
              <w:rPr>
                <w:rFonts w:cs="Arial"/>
                <w:color w:val="000000"/>
                <w:sz w:val="16"/>
                <w:szCs w:val="16"/>
              </w:rPr>
            </w:pPr>
            <w:r w:rsidRPr="00AD6989">
              <w:rPr>
                <w:rFonts w:cs="Arial"/>
                <w:color w:val="000000"/>
                <w:sz w:val="16"/>
                <w:szCs w:val="16"/>
              </w:rPr>
              <w:t>Επιστροφές ιδίων πόρων ΕΕ</w:t>
            </w:r>
          </w:p>
        </w:tc>
        <w:tc>
          <w:tcPr>
            <w:tcW w:w="1156" w:type="dxa"/>
            <w:shd w:val="clear" w:color="auto" w:fill="auto"/>
            <w:vAlign w:val="center"/>
            <w:hideMark/>
          </w:tcPr>
          <w:p w14:paraId="18B643C0" w14:textId="77777777" w:rsidR="005D719C" w:rsidRPr="005E2D4B" w:rsidRDefault="005D719C" w:rsidP="00737954">
            <w:pPr>
              <w:spacing w:after="0" w:line="276" w:lineRule="auto"/>
              <w:jc w:val="right"/>
              <w:rPr>
                <w:rFonts w:cs="Arial"/>
                <w:sz w:val="16"/>
                <w:szCs w:val="16"/>
              </w:rPr>
            </w:pPr>
            <w:r w:rsidRPr="005E2D4B">
              <w:rPr>
                <w:rFonts w:cs="Arial"/>
                <w:sz w:val="16"/>
                <w:szCs w:val="16"/>
              </w:rPr>
              <w:t>96,23</w:t>
            </w:r>
          </w:p>
        </w:tc>
        <w:tc>
          <w:tcPr>
            <w:tcW w:w="1177" w:type="dxa"/>
            <w:shd w:val="clear" w:color="auto" w:fill="auto"/>
            <w:vAlign w:val="center"/>
            <w:hideMark/>
          </w:tcPr>
          <w:p w14:paraId="2351E489"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7" w:type="dxa"/>
            <w:shd w:val="clear" w:color="auto" w:fill="auto"/>
            <w:vAlign w:val="center"/>
            <w:hideMark/>
          </w:tcPr>
          <w:p w14:paraId="17B926B3" w14:textId="77777777" w:rsidR="005D719C" w:rsidRPr="005E2D4B" w:rsidRDefault="005D719C" w:rsidP="00737954">
            <w:pPr>
              <w:spacing w:after="0" w:line="276" w:lineRule="auto"/>
              <w:jc w:val="right"/>
              <w:rPr>
                <w:rFonts w:cs="Arial"/>
                <w:sz w:val="16"/>
                <w:szCs w:val="16"/>
              </w:rPr>
            </w:pPr>
            <w:r w:rsidRPr="005E2D4B">
              <w:rPr>
                <w:rFonts w:cs="Arial"/>
                <w:sz w:val="16"/>
                <w:szCs w:val="16"/>
              </w:rPr>
              <w:t>8</w:t>
            </w:r>
          </w:p>
        </w:tc>
        <w:tc>
          <w:tcPr>
            <w:tcW w:w="1156" w:type="dxa"/>
            <w:shd w:val="clear" w:color="auto" w:fill="auto"/>
            <w:vAlign w:val="center"/>
            <w:hideMark/>
          </w:tcPr>
          <w:p w14:paraId="350E6D15"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6" w:type="dxa"/>
            <w:shd w:val="clear" w:color="auto" w:fill="auto"/>
            <w:noWrap/>
            <w:vAlign w:val="center"/>
            <w:hideMark/>
          </w:tcPr>
          <w:p w14:paraId="057B801F"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-91,7%</w:t>
            </w:r>
          </w:p>
        </w:tc>
        <w:tc>
          <w:tcPr>
            <w:tcW w:w="1159" w:type="dxa"/>
            <w:shd w:val="clear" w:color="auto" w:fill="auto"/>
            <w:noWrap/>
            <w:vAlign w:val="center"/>
            <w:hideMark/>
          </w:tcPr>
          <w:p w14:paraId="6DEECF4B"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-100,0%</w:t>
            </w:r>
          </w:p>
        </w:tc>
      </w:tr>
      <w:tr w:rsidR="005D719C" w:rsidRPr="00FF7AC7" w14:paraId="0723FB52" w14:textId="77777777" w:rsidTr="00737954">
        <w:trPr>
          <w:cantSplit/>
          <w:jc w:val="center"/>
        </w:trPr>
        <w:tc>
          <w:tcPr>
            <w:tcW w:w="3158" w:type="dxa"/>
            <w:shd w:val="clear" w:color="auto" w:fill="auto"/>
            <w:vAlign w:val="center"/>
            <w:hideMark/>
          </w:tcPr>
          <w:p w14:paraId="1BBB240C" w14:textId="77777777" w:rsidR="005D719C" w:rsidRDefault="005D719C" w:rsidP="00737954">
            <w:pPr>
              <w:spacing w:after="0" w:line="276" w:lineRule="auto"/>
              <w:jc w:val="left"/>
              <w:rPr>
                <w:rFonts w:cs="Arial"/>
                <w:color w:val="000000"/>
                <w:sz w:val="16"/>
                <w:szCs w:val="16"/>
              </w:rPr>
            </w:pPr>
            <w:r w:rsidRPr="00F17485">
              <w:rPr>
                <w:rFonts w:cs="Arial"/>
                <w:color w:val="000000"/>
                <w:sz w:val="16"/>
                <w:szCs w:val="16"/>
              </w:rPr>
              <w:t>Λοιπές τρέχουσες μεταβιβάσεις</w:t>
            </w:r>
          </w:p>
          <w:p w14:paraId="7562A5D1" w14:textId="77777777" w:rsidR="005D719C" w:rsidRPr="00F17485" w:rsidRDefault="005D719C" w:rsidP="00737954">
            <w:pPr>
              <w:spacing w:after="0" w:line="276" w:lineRule="auto"/>
              <w:jc w:val="left"/>
              <w:rPr>
                <w:rFonts w:cs="Arial"/>
                <w:color w:val="000000"/>
                <w:sz w:val="16"/>
                <w:szCs w:val="16"/>
              </w:rPr>
            </w:pPr>
            <w:r w:rsidRPr="00F17485">
              <w:rPr>
                <w:rFonts w:cs="Arial"/>
                <w:color w:val="000000"/>
                <w:sz w:val="16"/>
                <w:szCs w:val="16"/>
              </w:rPr>
              <w:t>από τα Κοινοτικά Ταμεία</w:t>
            </w:r>
          </w:p>
        </w:tc>
        <w:tc>
          <w:tcPr>
            <w:tcW w:w="1156" w:type="dxa"/>
            <w:shd w:val="clear" w:color="auto" w:fill="auto"/>
            <w:noWrap/>
            <w:vAlign w:val="center"/>
            <w:hideMark/>
          </w:tcPr>
          <w:p w14:paraId="64802B60" w14:textId="77777777" w:rsidR="005D719C" w:rsidRPr="005E2D4B" w:rsidRDefault="005D719C" w:rsidP="00737954">
            <w:pPr>
              <w:spacing w:after="0" w:line="276" w:lineRule="auto"/>
              <w:jc w:val="right"/>
              <w:rPr>
                <w:rFonts w:cs="Arial"/>
                <w:sz w:val="16"/>
                <w:szCs w:val="16"/>
              </w:rPr>
            </w:pPr>
            <w:r w:rsidRPr="005E2D4B">
              <w:rPr>
                <w:rFonts w:cs="Arial"/>
                <w:sz w:val="16"/>
                <w:szCs w:val="16"/>
              </w:rPr>
              <w:t>22,81</w:t>
            </w:r>
          </w:p>
        </w:tc>
        <w:tc>
          <w:tcPr>
            <w:tcW w:w="1177" w:type="dxa"/>
            <w:shd w:val="clear" w:color="auto" w:fill="auto"/>
            <w:vAlign w:val="center"/>
            <w:hideMark/>
          </w:tcPr>
          <w:p w14:paraId="240CE3CF" w14:textId="77777777" w:rsidR="005D719C" w:rsidRPr="005E2D4B" w:rsidRDefault="005D719C" w:rsidP="00737954">
            <w:pPr>
              <w:spacing w:after="0" w:line="276" w:lineRule="auto"/>
              <w:jc w:val="right"/>
              <w:rPr>
                <w:rFonts w:cs="Arial"/>
                <w:sz w:val="16"/>
                <w:szCs w:val="16"/>
              </w:rPr>
            </w:pPr>
            <w:r w:rsidRPr="005E2D4B">
              <w:rPr>
                <w:rFonts w:cs="Arial"/>
                <w:sz w:val="16"/>
                <w:szCs w:val="16"/>
              </w:rPr>
              <w:t>15</w:t>
            </w:r>
          </w:p>
        </w:tc>
        <w:tc>
          <w:tcPr>
            <w:tcW w:w="1157" w:type="dxa"/>
            <w:shd w:val="clear" w:color="auto" w:fill="auto"/>
            <w:vAlign w:val="center"/>
            <w:hideMark/>
          </w:tcPr>
          <w:p w14:paraId="1D8C3F30" w14:textId="77777777" w:rsidR="005D719C" w:rsidRPr="005E2D4B" w:rsidRDefault="005D719C" w:rsidP="00737954">
            <w:pPr>
              <w:spacing w:after="0" w:line="276" w:lineRule="auto"/>
              <w:jc w:val="right"/>
              <w:rPr>
                <w:rFonts w:cs="Arial"/>
                <w:sz w:val="16"/>
                <w:szCs w:val="16"/>
              </w:rPr>
            </w:pPr>
            <w:r w:rsidRPr="005E2D4B">
              <w:rPr>
                <w:rFonts w:cs="Arial"/>
                <w:sz w:val="16"/>
                <w:szCs w:val="16"/>
              </w:rPr>
              <w:t>24</w:t>
            </w:r>
          </w:p>
        </w:tc>
        <w:tc>
          <w:tcPr>
            <w:tcW w:w="1156" w:type="dxa"/>
            <w:shd w:val="clear" w:color="auto" w:fill="auto"/>
            <w:vAlign w:val="center"/>
            <w:hideMark/>
          </w:tcPr>
          <w:p w14:paraId="2860D6C0" w14:textId="77777777" w:rsidR="005D719C" w:rsidRPr="005E2D4B" w:rsidRDefault="005D719C" w:rsidP="00737954">
            <w:pPr>
              <w:spacing w:after="0" w:line="276" w:lineRule="auto"/>
              <w:jc w:val="right"/>
              <w:rPr>
                <w:rFonts w:cs="Arial"/>
                <w:sz w:val="16"/>
                <w:szCs w:val="16"/>
              </w:rPr>
            </w:pPr>
            <w:r w:rsidRPr="005E2D4B">
              <w:rPr>
                <w:rFonts w:cs="Arial"/>
                <w:sz w:val="16"/>
                <w:szCs w:val="16"/>
              </w:rPr>
              <w:t>15</w:t>
            </w:r>
          </w:p>
        </w:tc>
        <w:tc>
          <w:tcPr>
            <w:tcW w:w="1156" w:type="dxa"/>
            <w:shd w:val="clear" w:color="auto" w:fill="auto"/>
            <w:noWrap/>
            <w:vAlign w:val="center"/>
            <w:hideMark/>
          </w:tcPr>
          <w:p w14:paraId="261B5413"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5,2%</w:t>
            </w:r>
          </w:p>
        </w:tc>
        <w:tc>
          <w:tcPr>
            <w:tcW w:w="1159" w:type="dxa"/>
            <w:shd w:val="clear" w:color="auto" w:fill="auto"/>
            <w:noWrap/>
            <w:vAlign w:val="center"/>
            <w:hideMark/>
          </w:tcPr>
          <w:p w14:paraId="01752BF5"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-37,5%</w:t>
            </w:r>
          </w:p>
        </w:tc>
      </w:tr>
      <w:tr w:rsidR="005D719C" w:rsidRPr="00FF7AC7" w14:paraId="132CEA9A" w14:textId="77777777" w:rsidTr="00737954">
        <w:trPr>
          <w:cantSplit/>
          <w:jc w:val="center"/>
        </w:trPr>
        <w:tc>
          <w:tcPr>
            <w:tcW w:w="3158" w:type="dxa"/>
            <w:shd w:val="clear" w:color="auto" w:fill="auto"/>
            <w:vAlign w:val="center"/>
            <w:hideMark/>
          </w:tcPr>
          <w:p w14:paraId="0A6D3DCE" w14:textId="77777777" w:rsidR="005D719C" w:rsidRPr="00AD6989" w:rsidRDefault="005D719C" w:rsidP="00737954">
            <w:pPr>
              <w:spacing w:after="0" w:line="276" w:lineRule="auto"/>
              <w:jc w:val="left"/>
              <w:rPr>
                <w:rFonts w:cs="Arial"/>
                <w:color w:val="000000"/>
                <w:sz w:val="16"/>
                <w:szCs w:val="16"/>
              </w:rPr>
            </w:pPr>
            <w:r w:rsidRPr="00AD6989">
              <w:rPr>
                <w:rFonts w:cs="Arial"/>
                <w:color w:val="000000"/>
                <w:sz w:val="16"/>
                <w:szCs w:val="16"/>
              </w:rPr>
              <w:t>Επιστροφή ποσών από Κεντρικές Τράπεζες της Ευρωζώνης (ANFA)</w:t>
            </w:r>
          </w:p>
        </w:tc>
        <w:tc>
          <w:tcPr>
            <w:tcW w:w="1156" w:type="dxa"/>
            <w:shd w:val="clear" w:color="auto" w:fill="auto"/>
            <w:noWrap/>
            <w:vAlign w:val="center"/>
            <w:hideMark/>
          </w:tcPr>
          <w:p w14:paraId="1BE8AB9E" w14:textId="77777777" w:rsidR="005D719C" w:rsidRPr="005E2D4B" w:rsidRDefault="005D719C" w:rsidP="00737954">
            <w:pPr>
              <w:spacing w:after="0" w:line="276" w:lineRule="auto"/>
              <w:jc w:val="right"/>
              <w:rPr>
                <w:rFonts w:cs="Arial"/>
                <w:sz w:val="16"/>
                <w:szCs w:val="16"/>
              </w:rPr>
            </w:pPr>
            <w:r w:rsidRPr="005E2D4B">
              <w:rPr>
                <w:rFonts w:cs="Arial"/>
                <w:sz w:val="16"/>
                <w:szCs w:val="16"/>
              </w:rPr>
              <w:t>1,91</w:t>
            </w:r>
          </w:p>
        </w:tc>
        <w:tc>
          <w:tcPr>
            <w:tcW w:w="1177" w:type="dxa"/>
            <w:shd w:val="clear" w:color="auto" w:fill="auto"/>
            <w:vAlign w:val="center"/>
            <w:hideMark/>
          </w:tcPr>
          <w:p w14:paraId="480C88D4"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7" w:type="dxa"/>
            <w:shd w:val="clear" w:color="auto" w:fill="auto"/>
            <w:vAlign w:val="center"/>
            <w:hideMark/>
          </w:tcPr>
          <w:p w14:paraId="23EA0698"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6" w:type="dxa"/>
            <w:shd w:val="clear" w:color="auto" w:fill="auto"/>
            <w:vAlign w:val="center"/>
            <w:hideMark/>
          </w:tcPr>
          <w:p w14:paraId="640BC1A5"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6" w:type="dxa"/>
            <w:shd w:val="clear" w:color="auto" w:fill="auto"/>
            <w:noWrap/>
            <w:vAlign w:val="center"/>
            <w:hideMark/>
          </w:tcPr>
          <w:p w14:paraId="3210BB46"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-100,0%</w:t>
            </w:r>
          </w:p>
        </w:tc>
        <w:tc>
          <w:tcPr>
            <w:tcW w:w="1159" w:type="dxa"/>
            <w:shd w:val="clear" w:color="auto" w:fill="auto"/>
            <w:noWrap/>
            <w:vAlign w:val="center"/>
            <w:hideMark/>
          </w:tcPr>
          <w:p w14:paraId="46ED2839"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0,0%</w:t>
            </w:r>
          </w:p>
        </w:tc>
      </w:tr>
      <w:tr w:rsidR="005D719C" w:rsidRPr="00FF7AC7" w14:paraId="3B56CFF2" w14:textId="77777777" w:rsidTr="00737954">
        <w:trPr>
          <w:cantSplit/>
          <w:jc w:val="center"/>
        </w:trPr>
        <w:tc>
          <w:tcPr>
            <w:tcW w:w="3158" w:type="dxa"/>
            <w:shd w:val="clear" w:color="auto" w:fill="auto"/>
            <w:vAlign w:val="center"/>
            <w:hideMark/>
          </w:tcPr>
          <w:p w14:paraId="3D30CBE5" w14:textId="77777777" w:rsidR="005D719C" w:rsidRPr="00AD6989" w:rsidRDefault="005D719C" w:rsidP="00737954">
            <w:pPr>
              <w:spacing w:after="0" w:line="276" w:lineRule="auto"/>
              <w:jc w:val="left"/>
              <w:rPr>
                <w:rFonts w:cs="Arial"/>
                <w:color w:val="000000"/>
                <w:sz w:val="16"/>
                <w:szCs w:val="16"/>
              </w:rPr>
            </w:pPr>
            <w:r w:rsidRPr="00AD6989">
              <w:rPr>
                <w:rFonts w:cs="Arial"/>
                <w:color w:val="000000"/>
                <w:sz w:val="16"/>
                <w:szCs w:val="16"/>
              </w:rPr>
              <w:t>Απολήψεις για δράσεις μεταναστευτικών ροών Υπουργείου Ναυτιλίας και Νησιωτικής Πολιτικής</w:t>
            </w:r>
          </w:p>
        </w:tc>
        <w:tc>
          <w:tcPr>
            <w:tcW w:w="1156" w:type="dxa"/>
            <w:shd w:val="clear" w:color="auto" w:fill="auto"/>
            <w:noWrap/>
            <w:vAlign w:val="center"/>
            <w:hideMark/>
          </w:tcPr>
          <w:p w14:paraId="140AE1A4" w14:textId="77777777" w:rsidR="005D719C" w:rsidRPr="005E2D4B" w:rsidRDefault="005D719C" w:rsidP="00737954">
            <w:pPr>
              <w:spacing w:after="0" w:line="276" w:lineRule="auto"/>
              <w:jc w:val="right"/>
              <w:rPr>
                <w:rFonts w:cs="Arial"/>
                <w:sz w:val="16"/>
                <w:szCs w:val="16"/>
              </w:rPr>
            </w:pPr>
            <w:r w:rsidRPr="005E2D4B">
              <w:rPr>
                <w:rFonts w:cs="Arial"/>
                <w:sz w:val="16"/>
                <w:szCs w:val="16"/>
              </w:rPr>
              <w:t>0,00</w:t>
            </w:r>
          </w:p>
        </w:tc>
        <w:tc>
          <w:tcPr>
            <w:tcW w:w="1177" w:type="dxa"/>
            <w:shd w:val="clear" w:color="auto" w:fill="auto"/>
            <w:vAlign w:val="center"/>
            <w:hideMark/>
          </w:tcPr>
          <w:p w14:paraId="007F1511"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7" w:type="dxa"/>
            <w:shd w:val="clear" w:color="auto" w:fill="auto"/>
            <w:vAlign w:val="center"/>
            <w:hideMark/>
          </w:tcPr>
          <w:p w14:paraId="2657E167" w14:textId="77777777" w:rsidR="005D719C" w:rsidRPr="005E2D4B" w:rsidRDefault="005D719C" w:rsidP="00737954">
            <w:pPr>
              <w:spacing w:after="0" w:line="276" w:lineRule="auto"/>
              <w:jc w:val="right"/>
              <w:rPr>
                <w:rFonts w:cs="Arial"/>
                <w:sz w:val="16"/>
                <w:szCs w:val="16"/>
              </w:rPr>
            </w:pPr>
            <w:r w:rsidRPr="005E2D4B">
              <w:rPr>
                <w:rFonts w:cs="Arial"/>
                <w:sz w:val="16"/>
                <w:szCs w:val="16"/>
              </w:rPr>
              <w:t>1</w:t>
            </w:r>
          </w:p>
        </w:tc>
        <w:tc>
          <w:tcPr>
            <w:tcW w:w="1156" w:type="dxa"/>
            <w:shd w:val="clear" w:color="auto" w:fill="auto"/>
            <w:vAlign w:val="center"/>
            <w:hideMark/>
          </w:tcPr>
          <w:p w14:paraId="146EF70D"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6" w:type="dxa"/>
            <w:shd w:val="clear" w:color="auto" w:fill="auto"/>
            <w:noWrap/>
            <w:vAlign w:val="center"/>
            <w:hideMark/>
          </w:tcPr>
          <w:p w14:paraId="00086968"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0,0%</w:t>
            </w:r>
          </w:p>
        </w:tc>
        <w:tc>
          <w:tcPr>
            <w:tcW w:w="1159" w:type="dxa"/>
            <w:shd w:val="clear" w:color="auto" w:fill="auto"/>
            <w:noWrap/>
            <w:vAlign w:val="center"/>
            <w:hideMark/>
          </w:tcPr>
          <w:p w14:paraId="5DC07509"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-100,0%</w:t>
            </w:r>
          </w:p>
        </w:tc>
      </w:tr>
      <w:tr w:rsidR="005D719C" w:rsidRPr="00FF7AC7" w14:paraId="06C1EA66" w14:textId="77777777" w:rsidTr="00737954">
        <w:trPr>
          <w:cantSplit/>
          <w:jc w:val="center"/>
        </w:trPr>
        <w:tc>
          <w:tcPr>
            <w:tcW w:w="3158" w:type="dxa"/>
            <w:shd w:val="clear" w:color="auto" w:fill="auto"/>
            <w:vAlign w:val="center"/>
            <w:hideMark/>
          </w:tcPr>
          <w:p w14:paraId="0C74557A" w14:textId="77777777" w:rsidR="005D719C" w:rsidRPr="00AD6989" w:rsidRDefault="005D719C" w:rsidP="00737954">
            <w:pPr>
              <w:spacing w:after="0" w:line="276" w:lineRule="auto"/>
              <w:jc w:val="left"/>
              <w:rPr>
                <w:rFonts w:cs="Arial"/>
                <w:color w:val="000000"/>
                <w:sz w:val="16"/>
                <w:szCs w:val="16"/>
              </w:rPr>
            </w:pPr>
            <w:r w:rsidRPr="00AD6989">
              <w:rPr>
                <w:rFonts w:cs="Arial"/>
                <w:color w:val="000000"/>
                <w:sz w:val="16"/>
                <w:szCs w:val="16"/>
              </w:rPr>
              <w:t>Λοιπές απολήψεις για τη μελέτη ή εκτέλεση διαφόρων προγραμμάτων</w:t>
            </w:r>
          </w:p>
        </w:tc>
        <w:tc>
          <w:tcPr>
            <w:tcW w:w="1156" w:type="dxa"/>
            <w:shd w:val="clear" w:color="auto" w:fill="auto"/>
            <w:noWrap/>
            <w:vAlign w:val="center"/>
            <w:hideMark/>
          </w:tcPr>
          <w:p w14:paraId="65FFE5A3" w14:textId="77777777" w:rsidR="005D719C" w:rsidRPr="005E2D4B" w:rsidRDefault="005D719C" w:rsidP="00737954">
            <w:pPr>
              <w:spacing w:after="0" w:line="276" w:lineRule="auto"/>
              <w:jc w:val="right"/>
              <w:rPr>
                <w:rFonts w:cs="Arial"/>
                <w:sz w:val="16"/>
                <w:szCs w:val="16"/>
              </w:rPr>
            </w:pPr>
            <w:r w:rsidRPr="005E2D4B">
              <w:rPr>
                <w:rFonts w:cs="Arial"/>
                <w:sz w:val="16"/>
                <w:szCs w:val="16"/>
              </w:rPr>
              <w:t>0,48</w:t>
            </w:r>
          </w:p>
        </w:tc>
        <w:tc>
          <w:tcPr>
            <w:tcW w:w="1177" w:type="dxa"/>
            <w:shd w:val="clear" w:color="auto" w:fill="auto"/>
            <w:vAlign w:val="center"/>
            <w:hideMark/>
          </w:tcPr>
          <w:p w14:paraId="25198086"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7" w:type="dxa"/>
            <w:shd w:val="clear" w:color="auto" w:fill="auto"/>
            <w:vAlign w:val="center"/>
            <w:hideMark/>
          </w:tcPr>
          <w:p w14:paraId="5E645424" w14:textId="77777777" w:rsidR="005D719C" w:rsidRPr="005E2D4B" w:rsidRDefault="005D719C" w:rsidP="00737954">
            <w:pPr>
              <w:spacing w:after="0" w:line="276" w:lineRule="auto"/>
              <w:jc w:val="right"/>
              <w:rPr>
                <w:rFonts w:cs="Arial"/>
                <w:sz w:val="16"/>
                <w:szCs w:val="16"/>
              </w:rPr>
            </w:pPr>
            <w:r w:rsidRPr="005E2D4B">
              <w:rPr>
                <w:rFonts w:cs="Arial"/>
                <w:sz w:val="16"/>
                <w:szCs w:val="16"/>
              </w:rPr>
              <w:t>114</w:t>
            </w:r>
          </w:p>
        </w:tc>
        <w:tc>
          <w:tcPr>
            <w:tcW w:w="1156" w:type="dxa"/>
            <w:shd w:val="clear" w:color="auto" w:fill="auto"/>
            <w:vAlign w:val="center"/>
            <w:hideMark/>
          </w:tcPr>
          <w:p w14:paraId="49FCE383"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6" w:type="dxa"/>
            <w:shd w:val="clear" w:color="auto" w:fill="auto"/>
            <w:noWrap/>
            <w:vAlign w:val="center"/>
            <w:hideMark/>
          </w:tcPr>
          <w:p w14:paraId="05B0EACA"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23</w:t>
            </w:r>
            <w:r>
              <w:rPr>
                <w:rFonts w:cs="Arial"/>
                <w:b/>
                <w:bCs/>
                <w:sz w:val="16"/>
                <w:szCs w:val="16"/>
              </w:rPr>
              <w:t>.</w:t>
            </w:r>
            <w:r w:rsidRPr="005E2D4B">
              <w:rPr>
                <w:rFonts w:cs="Arial"/>
                <w:b/>
                <w:bCs/>
                <w:sz w:val="16"/>
                <w:szCs w:val="16"/>
              </w:rPr>
              <w:t>650,0%</w:t>
            </w:r>
          </w:p>
        </w:tc>
        <w:tc>
          <w:tcPr>
            <w:tcW w:w="1159" w:type="dxa"/>
            <w:shd w:val="clear" w:color="auto" w:fill="auto"/>
            <w:noWrap/>
            <w:vAlign w:val="center"/>
            <w:hideMark/>
          </w:tcPr>
          <w:p w14:paraId="6F2C04D2"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-100,0%</w:t>
            </w:r>
          </w:p>
        </w:tc>
      </w:tr>
      <w:tr w:rsidR="005D719C" w:rsidRPr="00FF7AC7" w14:paraId="683F5A53" w14:textId="77777777" w:rsidTr="00737954">
        <w:trPr>
          <w:cantSplit/>
          <w:jc w:val="center"/>
        </w:trPr>
        <w:tc>
          <w:tcPr>
            <w:tcW w:w="3158" w:type="dxa"/>
            <w:shd w:val="clear" w:color="auto" w:fill="F2F2F2" w:themeFill="background1" w:themeFillShade="F2"/>
            <w:vAlign w:val="center"/>
            <w:hideMark/>
          </w:tcPr>
          <w:p w14:paraId="5849F324" w14:textId="77777777" w:rsidR="005D719C" w:rsidRPr="00AD6989" w:rsidRDefault="005D719C" w:rsidP="00737954">
            <w:pPr>
              <w:tabs>
                <w:tab w:val="left" w:pos="284"/>
              </w:tabs>
              <w:spacing w:after="0" w:line="276" w:lineRule="auto"/>
              <w:jc w:val="left"/>
              <w:rPr>
                <w:rFonts w:cs="Arial"/>
                <w:b/>
                <w:bCs/>
                <w:color w:val="000000"/>
                <w:sz w:val="16"/>
                <w:szCs w:val="16"/>
              </w:rPr>
            </w:pPr>
            <w:r w:rsidRPr="00AD6989">
              <w:rPr>
                <w:rFonts w:cs="Arial"/>
                <w:b/>
                <w:bCs/>
                <w:color w:val="000000"/>
                <w:sz w:val="16"/>
                <w:szCs w:val="16"/>
              </w:rPr>
              <w:t>Ι.2</w:t>
            </w:r>
            <w:r>
              <w:rPr>
                <w:rFonts w:cs="Arial"/>
                <w:b/>
                <w:bCs/>
                <w:color w:val="000000"/>
                <w:sz w:val="16"/>
                <w:szCs w:val="16"/>
              </w:rPr>
              <w:tab/>
            </w:r>
            <w:r w:rsidRPr="00AE0D6B">
              <w:rPr>
                <w:rFonts w:cs="Arial"/>
                <w:b/>
                <w:bCs/>
                <w:color w:val="000000"/>
                <w:sz w:val="16"/>
                <w:szCs w:val="16"/>
              </w:rPr>
              <w:t>Προϋπολογισμός δημοσίων επενδύσεων</w:t>
            </w:r>
          </w:p>
        </w:tc>
        <w:tc>
          <w:tcPr>
            <w:tcW w:w="1156" w:type="dxa"/>
            <w:shd w:val="clear" w:color="auto" w:fill="F2F2F2" w:themeFill="background1" w:themeFillShade="F2"/>
            <w:vAlign w:val="center"/>
            <w:hideMark/>
          </w:tcPr>
          <w:p w14:paraId="28018CBD"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3.952,00</w:t>
            </w:r>
          </w:p>
        </w:tc>
        <w:tc>
          <w:tcPr>
            <w:tcW w:w="1177" w:type="dxa"/>
            <w:shd w:val="clear" w:color="auto" w:fill="F2F2F2" w:themeFill="background1" w:themeFillShade="F2"/>
            <w:vAlign w:val="center"/>
            <w:hideMark/>
          </w:tcPr>
          <w:p w14:paraId="5E80EE46"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4.190</w:t>
            </w:r>
          </w:p>
        </w:tc>
        <w:tc>
          <w:tcPr>
            <w:tcW w:w="1157" w:type="dxa"/>
            <w:shd w:val="clear" w:color="auto" w:fill="F2F2F2" w:themeFill="background1" w:themeFillShade="F2"/>
            <w:vAlign w:val="center"/>
            <w:hideMark/>
          </w:tcPr>
          <w:p w14:paraId="1341D570" w14:textId="77777777" w:rsidR="005D719C" w:rsidRPr="005E2D4B" w:rsidRDefault="005D719C" w:rsidP="00737954">
            <w:pPr>
              <w:spacing w:after="0" w:line="276" w:lineRule="auto"/>
              <w:jc w:val="right"/>
              <w:rPr>
                <w:rFonts w:cs="Arial"/>
                <w:b/>
                <w:bCs/>
                <w:color w:val="000000"/>
                <w:sz w:val="16"/>
                <w:szCs w:val="16"/>
              </w:rPr>
            </w:pPr>
            <w:r w:rsidRPr="005E2D4B">
              <w:rPr>
                <w:rFonts w:cs="Arial"/>
                <w:b/>
                <w:bCs/>
                <w:color w:val="000000"/>
                <w:sz w:val="16"/>
                <w:szCs w:val="16"/>
              </w:rPr>
              <w:t>3.915</w:t>
            </w:r>
          </w:p>
        </w:tc>
        <w:tc>
          <w:tcPr>
            <w:tcW w:w="1156" w:type="dxa"/>
            <w:shd w:val="clear" w:color="auto" w:fill="F2F2F2" w:themeFill="background1" w:themeFillShade="F2"/>
            <w:vAlign w:val="center"/>
            <w:hideMark/>
          </w:tcPr>
          <w:p w14:paraId="5FA5F3A4" w14:textId="77777777" w:rsidR="005D719C" w:rsidRPr="005E2D4B" w:rsidRDefault="005D719C" w:rsidP="00737954">
            <w:pPr>
              <w:spacing w:after="0" w:line="276" w:lineRule="auto"/>
              <w:jc w:val="right"/>
              <w:rPr>
                <w:rFonts w:cs="Arial"/>
                <w:b/>
                <w:bCs/>
                <w:color w:val="000000"/>
                <w:sz w:val="16"/>
                <w:szCs w:val="16"/>
              </w:rPr>
            </w:pPr>
            <w:r w:rsidRPr="005E2D4B">
              <w:rPr>
                <w:rFonts w:cs="Arial"/>
                <w:b/>
                <w:bCs/>
                <w:color w:val="000000"/>
                <w:sz w:val="16"/>
                <w:szCs w:val="16"/>
              </w:rPr>
              <w:t>4.345</w:t>
            </w:r>
          </w:p>
        </w:tc>
        <w:tc>
          <w:tcPr>
            <w:tcW w:w="1156" w:type="dxa"/>
            <w:shd w:val="clear" w:color="auto" w:fill="F2F2F2" w:themeFill="background1" w:themeFillShade="F2"/>
            <w:noWrap/>
            <w:vAlign w:val="center"/>
            <w:hideMark/>
          </w:tcPr>
          <w:p w14:paraId="7C80BF21"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-0,9%</w:t>
            </w:r>
          </w:p>
        </w:tc>
        <w:tc>
          <w:tcPr>
            <w:tcW w:w="1159" w:type="dxa"/>
            <w:shd w:val="clear" w:color="auto" w:fill="F2F2F2" w:themeFill="background1" w:themeFillShade="F2"/>
            <w:noWrap/>
            <w:vAlign w:val="center"/>
            <w:hideMark/>
          </w:tcPr>
          <w:p w14:paraId="72314C0C"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11,0%</w:t>
            </w:r>
          </w:p>
        </w:tc>
      </w:tr>
      <w:tr w:rsidR="005D719C" w:rsidRPr="00FF7AC7" w14:paraId="04F2FDB2" w14:textId="77777777" w:rsidTr="00737954">
        <w:trPr>
          <w:cantSplit/>
          <w:jc w:val="center"/>
        </w:trPr>
        <w:tc>
          <w:tcPr>
            <w:tcW w:w="3158" w:type="dxa"/>
            <w:shd w:val="clear" w:color="auto" w:fill="F2F2F2" w:themeFill="background1" w:themeFillShade="F2"/>
            <w:vAlign w:val="center"/>
            <w:hideMark/>
          </w:tcPr>
          <w:p w14:paraId="617906A1" w14:textId="77777777" w:rsidR="005D719C" w:rsidRPr="00AD6989" w:rsidRDefault="005D719C" w:rsidP="00737954">
            <w:pPr>
              <w:tabs>
                <w:tab w:val="left" w:pos="284"/>
              </w:tabs>
              <w:spacing w:after="0" w:line="276" w:lineRule="auto"/>
              <w:jc w:val="left"/>
              <w:rPr>
                <w:rFonts w:cs="Arial"/>
                <w:b/>
                <w:bCs/>
                <w:color w:val="000000"/>
                <w:sz w:val="16"/>
                <w:szCs w:val="16"/>
              </w:rPr>
            </w:pPr>
            <w:r w:rsidRPr="00AD6989">
              <w:rPr>
                <w:rFonts w:cs="Arial"/>
                <w:b/>
                <w:bCs/>
                <w:color w:val="000000"/>
                <w:sz w:val="16"/>
                <w:szCs w:val="16"/>
              </w:rPr>
              <w:t>Ι.3</w:t>
            </w:r>
            <w:r>
              <w:rPr>
                <w:rFonts w:cs="Arial"/>
                <w:b/>
                <w:bCs/>
                <w:color w:val="000000"/>
                <w:sz w:val="16"/>
                <w:szCs w:val="16"/>
              </w:rPr>
              <w:tab/>
            </w:r>
            <w:r w:rsidRPr="00AD6989">
              <w:rPr>
                <w:rFonts w:cs="Arial"/>
                <w:b/>
                <w:bCs/>
                <w:sz w:val="16"/>
                <w:szCs w:val="16"/>
              </w:rPr>
              <w:t>Προϋπολογισμός</w:t>
            </w:r>
            <w:r w:rsidRPr="00AD6989">
              <w:rPr>
                <w:rFonts w:cs="Arial"/>
                <w:b/>
                <w:bCs/>
                <w:color w:val="000000"/>
                <w:sz w:val="16"/>
                <w:szCs w:val="16"/>
              </w:rPr>
              <w:t xml:space="preserve"> Ειδικού Λογαριασμού Εγγυήσεων Γεωργικών Προϊόντων (ΕΛΕΓΕΠ)</w:t>
            </w:r>
          </w:p>
        </w:tc>
        <w:tc>
          <w:tcPr>
            <w:tcW w:w="1156" w:type="dxa"/>
            <w:shd w:val="clear" w:color="auto" w:fill="F2F2F2" w:themeFill="background1" w:themeFillShade="F2"/>
            <w:vAlign w:val="center"/>
            <w:hideMark/>
          </w:tcPr>
          <w:p w14:paraId="7B003E94" w14:textId="77777777" w:rsidR="005D719C" w:rsidRPr="005E2D4B" w:rsidRDefault="005D719C" w:rsidP="00737954">
            <w:pPr>
              <w:spacing w:after="0" w:line="276" w:lineRule="auto"/>
              <w:jc w:val="right"/>
              <w:rPr>
                <w:rFonts w:cs="Arial"/>
                <w:b/>
                <w:bCs/>
                <w:color w:val="000000"/>
                <w:sz w:val="16"/>
                <w:szCs w:val="16"/>
              </w:rPr>
            </w:pPr>
            <w:r w:rsidRPr="005E2D4B">
              <w:rPr>
                <w:rFonts w:cs="Arial"/>
                <w:b/>
                <w:bCs/>
                <w:color w:val="000000"/>
                <w:sz w:val="16"/>
                <w:szCs w:val="16"/>
              </w:rPr>
              <w:t>1.902,23</w:t>
            </w:r>
          </w:p>
        </w:tc>
        <w:tc>
          <w:tcPr>
            <w:tcW w:w="1177" w:type="dxa"/>
            <w:shd w:val="clear" w:color="auto" w:fill="F2F2F2" w:themeFill="background1" w:themeFillShade="F2"/>
            <w:vAlign w:val="center"/>
            <w:hideMark/>
          </w:tcPr>
          <w:p w14:paraId="536DA9C7" w14:textId="77777777" w:rsidR="005D719C" w:rsidRPr="005E2D4B" w:rsidRDefault="005D719C" w:rsidP="00737954">
            <w:pPr>
              <w:spacing w:after="0" w:line="276" w:lineRule="auto"/>
              <w:jc w:val="right"/>
              <w:rPr>
                <w:rFonts w:cs="Arial"/>
                <w:b/>
                <w:bCs/>
                <w:color w:val="000000"/>
                <w:sz w:val="16"/>
                <w:szCs w:val="16"/>
              </w:rPr>
            </w:pPr>
            <w:r w:rsidRPr="005E2D4B">
              <w:rPr>
                <w:rFonts w:cs="Arial"/>
                <w:b/>
                <w:bCs/>
                <w:color w:val="000000"/>
                <w:sz w:val="16"/>
                <w:szCs w:val="16"/>
              </w:rPr>
              <w:t>1.771</w:t>
            </w:r>
          </w:p>
        </w:tc>
        <w:tc>
          <w:tcPr>
            <w:tcW w:w="1157" w:type="dxa"/>
            <w:shd w:val="clear" w:color="auto" w:fill="F2F2F2" w:themeFill="background1" w:themeFillShade="F2"/>
            <w:vAlign w:val="center"/>
            <w:hideMark/>
          </w:tcPr>
          <w:p w14:paraId="3117146E" w14:textId="77777777" w:rsidR="005D719C" w:rsidRPr="005E2D4B" w:rsidRDefault="005D719C" w:rsidP="00737954">
            <w:pPr>
              <w:spacing w:after="0" w:line="276" w:lineRule="auto"/>
              <w:jc w:val="right"/>
              <w:rPr>
                <w:rFonts w:cs="Arial"/>
                <w:b/>
                <w:bCs/>
                <w:color w:val="000000"/>
                <w:sz w:val="16"/>
                <w:szCs w:val="16"/>
              </w:rPr>
            </w:pPr>
            <w:r w:rsidRPr="005E2D4B">
              <w:rPr>
                <w:rFonts w:cs="Arial"/>
                <w:b/>
                <w:bCs/>
                <w:color w:val="000000"/>
                <w:sz w:val="16"/>
                <w:szCs w:val="16"/>
              </w:rPr>
              <w:t>1.881</w:t>
            </w:r>
          </w:p>
        </w:tc>
        <w:tc>
          <w:tcPr>
            <w:tcW w:w="1156" w:type="dxa"/>
            <w:shd w:val="clear" w:color="auto" w:fill="F2F2F2" w:themeFill="background1" w:themeFillShade="F2"/>
            <w:vAlign w:val="center"/>
            <w:hideMark/>
          </w:tcPr>
          <w:p w14:paraId="5D779155" w14:textId="77777777" w:rsidR="005D719C" w:rsidRPr="005E2D4B" w:rsidRDefault="005D719C" w:rsidP="00737954">
            <w:pPr>
              <w:spacing w:after="0" w:line="276" w:lineRule="auto"/>
              <w:jc w:val="right"/>
              <w:rPr>
                <w:rFonts w:cs="Arial"/>
                <w:b/>
                <w:bCs/>
                <w:color w:val="000000"/>
                <w:sz w:val="16"/>
                <w:szCs w:val="16"/>
              </w:rPr>
            </w:pPr>
            <w:r w:rsidRPr="005E2D4B">
              <w:rPr>
                <w:rFonts w:cs="Arial"/>
                <w:b/>
                <w:bCs/>
                <w:color w:val="000000"/>
                <w:sz w:val="16"/>
                <w:szCs w:val="16"/>
              </w:rPr>
              <w:t>1.884</w:t>
            </w:r>
          </w:p>
        </w:tc>
        <w:tc>
          <w:tcPr>
            <w:tcW w:w="1156" w:type="dxa"/>
            <w:shd w:val="clear" w:color="auto" w:fill="F2F2F2" w:themeFill="background1" w:themeFillShade="F2"/>
            <w:noWrap/>
            <w:vAlign w:val="center"/>
            <w:hideMark/>
          </w:tcPr>
          <w:p w14:paraId="4F0F4DC2"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-1,1%</w:t>
            </w:r>
          </w:p>
        </w:tc>
        <w:tc>
          <w:tcPr>
            <w:tcW w:w="1159" w:type="dxa"/>
            <w:shd w:val="clear" w:color="auto" w:fill="F2F2F2" w:themeFill="background1" w:themeFillShade="F2"/>
            <w:noWrap/>
            <w:vAlign w:val="center"/>
            <w:hideMark/>
          </w:tcPr>
          <w:p w14:paraId="1926EA30"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0,2%</w:t>
            </w:r>
          </w:p>
        </w:tc>
      </w:tr>
      <w:tr w:rsidR="005D719C" w:rsidRPr="00FF7AC7" w14:paraId="51B49309" w14:textId="77777777" w:rsidTr="00737954">
        <w:trPr>
          <w:cantSplit/>
          <w:jc w:val="center"/>
        </w:trPr>
        <w:tc>
          <w:tcPr>
            <w:tcW w:w="3158" w:type="dxa"/>
            <w:shd w:val="clear" w:color="auto" w:fill="auto"/>
            <w:vAlign w:val="center"/>
            <w:hideMark/>
          </w:tcPr>
          <w:p w14:paraId="78FB495D" w14:textId="17AE1E14" w:rsidR="005D719C" w:rsidRPr="00AD6989" w:rsidRDefault="005D719C" w:rsidP="00737954">
            <w:pPr>
              <w:spacing w:after="0" w:line="276" w:lineRule="auto"/>
              <w:jc w:val="left"/>
              <w:rPr>
                <w:rFonts w:cs="Arial"/>
                <w:i/>
                <w:iCs/>
                <w:color w:val="000000"/>
                <w:sz w:val="16"/>
                <w:szCs w:val="16"/>
              </w:rPr>
            </w:pPr>
            <w:r w:rsidRPr="00AD6989">
              <w:rPr>
                <w:rFonts w:cs="Arial"/>
                <w:i/>
                <w:iCs/>
                <w:color w:val="000000"/>
                <w:sz w:val="16"/>
                <w:szCs w:val="16"/>
              </w:rPr>
              <w:t>Απολήψεις από</w:t>
            </w:r>
            <w:r w:rsidR="005629F9">
              <w:rPr>
                <w:rFonts w:cs="Arial"/>
                <w:i/>
                <w:iCs/>
                <w:color w:val="000000"/>
                <w:sz w:val="16"/>
                <w:szCs w:val="16"/>
              </w:rPr>
              <w:t xml:space="preserve"> το</w:t>
            </w:r>
            <w:r w:rsidRPr="00AD6989">
              <w:rPr>
                <w:rFonts w:cs="Arial"/>
                <w:i/>
                <w:iCs/>
                <w:color w:val="000000"/>
                <w:sz w:val="16"/>
                <w:szCs w:val="16"/>
              </w:rPr>
              <w:t xml:space="preserve"> Ευρωπαϊκό Γεωργικό Ταμείο Εγγυήσεων</w:t>
            </w:r>
          </w:p>
        </w:tc>
        <w:tc>
          <w:tcPr>
            <w:tcW w:w="1156" w:type="dxa"/>
            <w:shd w:val="clear" w:color="auto" w:fill="auto"/>
            <w:noWrap/>
            <w:vAlign w:val="center"/>
            <w:hideMark/>
          </w:tcPr>
          <w:p w14:paraId="5B3A5B5C" w14:textId="77777777" w:rsidR="005D719C" w:rsidRPr="005E2D4B" w:rsidRDefault="005D719C" w:rsidP="00737954">
            <w:pPr>
              <w:spacing w:after="0" w:line="276" w:lineRule="auto"/>
              <w:jc w:val="right"/>
              <w:rPr>
                <w:rFonts w:cs="Arial"/>
                <w:i/>
                <w:iCs/>
                <w:sz w:val="16"/>
                <w:szCs w:val="16"/>
              </w:rPr>
            </w:pPr>
            <w:r w:rsidRPr="005E2D4B">
              <w:rPr>
                <w:rFonts w:cs="Arial"/>
                <w:i/>
                <w:iCs/>
                <w:sz w:val="16"/>
                <w:szCs w:val="16"/>
              </w:rPr>
              <w:t>1.902,23</w:t>
            </w:r>
          </w:p>
        </w:tc>
        <w:tc>
          <w:tcPr>
            <w:tcW w:w="1177" w:type="dxa"/>
            <w:shd w:val="clear" w:color="auto" w:fill="auto"/>
            <w:vAlign w:val="center"/>
            <w:hideMark/>
          </w:tcPr>
          <w:p w14:paraId="68CFCBE2" w14:textId="77777777" w:rsidR="005D719C" w:rsidRPr="005E2D4B" w:rsidRDefault="005D719C" w:rsidP="00737954">
            <w:pPr>
              <w:spacing w:after="0" w:line="276" w:lineRule="auto"/>
              <w:jc w:val="right"/>
              <w:rPr>
                <w:rFonts w:cs="Arial"/>
                <w:i/>
                <w:iCs/>
                <w:sz w:val="16"/>
                <w:szCs w:val="16"/>
              </w:rPr>
            </w:pPr>
            <w:r w:rsidRPr="005E2D4B">
              <w:rPr>
                <w:rFonts w:cs="Arial"/>
                <w:i/>
                <w:iCs/>
                <w:sz w:val="16"/>
                <w:szCs w:val="16"/>
              </w:rPr>
              <w:t>1.771</w:t>
            </w:r>
          </w:p>
        </w:tc>
        <w:tc>
          <w:tcPr>
            <w:tcW w:w="1157" w:type="dxa"/>
            <w:shd w:val="clear" w:color="auto" w:fill="auto"/>
            <w:vAlign w:val="center"/>
            <w:hideMark/>
          </w:tcPr>
          <w:p w14:paraId="06CD99C9" w14:textId="77777777" w:rsidR="005D719C" w:rsidRPr="005E2D4B" w:rsidRDefault="005D719C" w:rsidP="00737954">
            <w:pPr>
              <w:spacing w:after="0" w:line="276" w:lineRule="auto"/>
              <w:jc w:val="right"/>
              <w:rPr>
                <w:rFonts w:cs="Arial"/>
                <w:i/>
                <w:iCs/>
                <w:sz w:val="16"/>
                <w:szCs w:val="16"/>
              </w:rPr>
            </w:pPr>
            <w:r w:rsidRPr="005E2D4B">
              <w:rPr>
                <w:rFonts w:cs="Arial"/>
                <w:i/>
                <w:iCs/>
                <w:sz w:val="16"/>
                <w:szCs w:val="16"/>
              </w:rPr>
              <w:t>1.881</w:t>
            </w:r>
          </w:p>
        </w:tc>
        <w:tc>
          <w:tcPr>
            <w:tcW w:w="1156" w:type="dxa"/>
            <w:shd w:val="clear" w:color="auto" w:fill="auto"/>
            <w:vAlign w:val="center"/>
            <w:hideMark/>
          </w:tcPr>
          <w:p w14:paraId="18917117" w14:textId="77777777" w:rsidR="005D719C" w:rsidRPr="005E2D4B" w:rsidRDefault="005D719C" w:rsidP="00737954">
            <w:pPr>
              <w:spacing w:after="0" w:line="276" w:lineRule="auto"/>
              <w:jc w:val="right"/>
              <w:rPr>
                <w:rFonts w:cs="Arial"/>
                <w:i/>
                <w:iCs/>
                <w:sz w:val="16"/>
                <w:szCs w:val="16"/>
              </w:rPr>
            </w:pPr>
            <w:r w:rsidRPr="005E2D4B">
              <w:rPr>
                <w:rFonts w:cs="Arial"/>
                <w:i/>
                <w:iCs/>
                <w:sz w:val="16"/>
                <w:szCs w:val="16"/>
              </w:rPr>
              <w:t>1.884</w:t>
            </w:r>
          </w:p>
        </w:tc>
        <w:tc>
          <w:tcPr>
            <w:tcW w:w="1156" w:type="dxa"/>
            <w:shd w:val="clear" w:color="auto" w:fill="auto"/>
            <w:noWrap/>
            <w:vAlign w:val="center"/>
            <w:hideMark/>
          </w:tcPr>
          <w:p w14:paraId="1EAC3442" w14:textId="77777777" w:rsidR="005D719C" w:rsidRPr="005E2D4B" w:rsidRDefault="005D719C" w:rsidP="00737954">
            <w:pPr>
              <w:spacing w:after="0" w:line="276" w:lineRule="auto"/>
              <w:jc w:val="right"/>
              <w:rPr>
                <w:rFonts w:cs="Arial"/>
                <w:b/>
                <w:bCs/>
                <w:i/>
                <w:iCs/>
                <w:sz w:val="16"/>
                <w:szCs w:val="16"/>
              </w:rPr>
            </w:pPr>
            <w:r w:rsidRPr="005E2D4B">
              <w:rPr>
                <w:rFonts w:cs="Arial"/>
                <w:b/>
                <w:bCs/>
                <w:i/>
                <w:iCs/>
                <w:sz w:val="16"/>
                <w:szCs w:val="16"/>
              </w:rPr>
              <w:t>-1,1%</w:t>
            </w:r>
          </w:p>
        </w:tc>
        <w:tc>
          <w:tcPr>
            <w:tcW w:w="1159" w:type="dxa"/>
            <w:shd w:val="clear" w:color="auto" w:fill="auto"/>
            <w:noWrap/>
            <w:vAlign w:val="center"/>
            <w:hideMark/>
          </w:tcPr>
          <w:p w14:paraId="4F5D8498" w14:textId="77777777" w:rsidR="005D719C" w:rsidRPr="005E2D4B" w:rsidRDefault="005D719C" w:rsidP="00737954">
            <w:pPr>
              <w:spacing w:after="0" w:line="276" w:lineRule="auto"/>
              <w:jc w:val="right"/>
              <w:rPr>
                <w:rFonts w:cs="Arial"/>
                <w:b/>
                <w:bCs/>
                <w:i/>
                <w:iCs/>
                <w:sz w:val="16"/>
                <w:szCs w:val="16"/>
              </w:rPr>
            </w:pPr>
            <w:r w:rsidRPr="005E2D4B">
              <w:rPr>
                <w:rFonts w:cs="Arial"/>
                <w:b/>
                <w:bCs/>
                <w:i/>
                <w:iCs/>
                <w:sz w:val="16"/>
                <w:szCs w:val="16"/>
              </w:rPr>
              <w:t>0,2%</w:t>
            </w:r>
          </w:p>
        </w:tc>
      </w:tr>
      <w:tr w:rsidR="005D719C" w:rsidRPr="00FF7AC7" w14:paraId="0D82742B" w14:textId="77777777" w:rsidTr="00737954">
        <w:trPr>
          <w:cantSplit/>
          <w:jc w:val="center"/>
        </w:trPr>
        <w:tc>
          <w:tcPr>
            <w:tcW w:w="3158" w:type="dxa"/>
            <w:shd w:val="clear" w:color="auto" w:fill="D5DCE4"/>
            <w:vAlign w:val="center"/>
            <w:hideMark/>
          </w:tcPr>
          <w:p w14:paraId="1779959E" w14:textId="77777777" w:rsidR="005D719C" w:rsidRDefault="005D719C" w:rsidP="00737954">
            <w:pPr>
              <w:tabs>
                <w:tab w:val="left" w:pos="284"/>
              </w:tabs>
              <w:spacing w:after="0" w:line="276" w:lineRule="auto"/>
              <w:jc w:val="left"/>
              <w:rPr>
                <w:rFonts w:cs="Arial"/>
                <w:b/>
                <w:bCs/>
                <w:sz w:val="16"/>
                <w:szCs w:val="16"/>
              </w:rPr>
            </w:pPr>
            <w:r>
              <w:rPr>
                <w:rFonts w:cs="Arial"/>
                <w:b/>
                <w:bCs/>
                <w:sz w:val="16"/>
                <w:szCs w:val="16"/>
                <w:lang w:val="en-US"/>
              </w:rPr>
              <w:t>II</w:t>
            </w:r>
            <w:r w:rsidRPr="000F7530">
              <w:rPr>
                <w:rFonts w:cs="Arial"/>
                <w:b/>
                <w:bCs/>
                <w:sz w:val="16"/>
                <w:szCs w:val="16"/>
              </w:rPr>
              <w:t>.</w:t>
            </w:r>
            <w:r w:rsidRPr="00932C29">
              <w:rPr>
                <w:rFonts w:cs="Arial"/>
                <w:b/>
                <w:bCs/>
                <w:sz w:val="16"/>
                <w:szCs w:val="16"/>
              </w:rPr>
              <w:tab/>
            </w:r>
            <w:r w:rsidRPr="00AD6989">
              <w:rPr>
                <w:rFonts w:cs="Arial"/>
                <w:b/>
                <w:bCs/>
                <w:sz w:val="16"/>
                <w:szCs w:val="16"/>
              </w:rPr>
              <w:t>Αποδόσεις στην Ε</w:t>
            </w:r>
            <w:r>
              <w:rPr>
                <w:rFonts w:cs="Arial"/>
                <w:b/>
                <w:bCs/>
                <w:sz w:val="16"/>
                <w:szCs w:val="16"/>
              </w:rPr>
              <w:t>Ε</w:t>
            </w:r>
          </w:p>
          <w:p w14:paraId="2E6D7D9B" w14:textId="77777777" w:rsidR="005D719C" w:rsidRPr="00AD6989" w:rsidRDefault="005D719C" w:rsidP="00737954">
            <w:pPr>
              <w:tabs>
                <w:tab w:val="left" w:pos="284"/>
              </w:tabs>
              <w:spacing w:after="0" w:line="276" w:lineRule="auto"/>
              <w:jc w:val="left"/>
              <w:rPr>
                <w:rFonts w:cs="Arial"/>
                <w:b/>
                <w:bCs/>
                <w:sz w:val="16"/>
                <w:szCs w:val="16"/>
              </w:rPr>
            </w:pPr>
            <w:r w:rsidRPr="00782734">
              <w:rPr>
                <w:rFonts w:cs="Arial"/>
                <w:b/>
                <w:bCs/>
                <w:sz w:val="16"/>
                <w:szCs w:val="16"/>
              </w:rPr>
              <w:t>(ΙΙ.1</w:t>
            </w:r>
            <w:r w:rsidRPr="000F7530">
              <w:rPr>
                <w:rFonts w:cs="Arial"/>
                <w:b/>
                <w:bCs/>
                <w:sz w:val="16"/>
                <w:szCs w:val="16"/>
              </w:rPr>
              <w:t xml:space="preserve"> </w:t>
            </w:r>
            <w:r w:rsidRPr="00782734">
              <w:rPr>
                <w:rFonts w:cs="Arial"/>
                <w:b/>
                <w:bCs/>
                <w:sz w:val="16"/>
                <w:szCs w:val="16"/>
              </w:rPr>
              <w:t>+</w:t>
            </w:r>
            <w:r w:rsidRPr="000F7530">
              <w:rPr>
                <w:rFonts w:cs="Arial"/>
                <w:b/>
                <w:bCs/>
                <w:sz w:val="16"/>
                <w:szCs w:val="16"/>
              </w:rPr>
              <w:t xml:space="preserve"> </w:t>
            </w:r>
            <w:r w:rsidRPr="00782734">
              <w:rPr>
                <w:rFonts w:cs="Arial"/>
                <w:b/>
                <w:bCs/>
                <w:sz w:val="16"/>
                <w:szCs w:val="16"/>
              </w:rPr>
              <w:t>ΙΙ.2</w:t>
            </w:r>
            <w:r w:rsidRPr="000F7530">
              <w:rPr>
                <w:rFonts w:cs="Arial"/>
                <w:b/>
                <w:bCs/>
                <w:sz w:val="16"/>
                <w:szCs w:val="16"/>
              </w:rPr>
              <w:t xml:space="preserve"> </w:t>
            </w:r>
            <w:r w:rsidRPr="00782734">
              <w:rPr>
                <w:rFonts w:cs="Arial"/>
                <w:b/>
                <w:bCs/>
                <w:sz w:val="16"/>
                <w:szCs w:val="16"/>
              </w:rPr>
              <w:t>+</w:t>
            </w:r>
            <w:r w:rsidRPr="000F7530">
              <w:rPr>
                <w:rFonts w:cs="Arial"/>
                <w:b/>
                <w:bCs/>
                <w:sz w:val="16"/>
                <w:szCs w:val="16"/>
              </w:rPr>
              <w:t xml:space="preserve"> </w:t>
            </w:r>
            <w:r w:rsidRPr="00782734">
              <w:rPr>
                <w:rFonts w:cs="Arial"/>
                <w:b/>
                <w:bCs/>
                <w:sz w:val="16"/>
                <w:szCs w:val="16"/>
              </w:rPr>
              <w:t>ΙΙ.3)</w:t>
            </w:r>
          </w:p>
        </w:tc>
        <w:tc>
          <w:tcPr>
            <w:tcW w:w="1156" w:type="dxa"/>
            <w:shd w:val="clear" w:color="auto" w:fill="D5DCE4"/>
            <w:vAlign w:val="center"/>
            <w:hideMark/>
          </w:tcPr>
          <w:p w14:paraId="3978676B"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2.281,18</w:t>
            </w:r>
          </w:p>
        </w:tc>
        <w:tc>
          <w:tcPr>
            <w:tcW w:w="1177" w:type="dxa"/>
            <w:shd w:val="clear" w:color="auto" w:fill="D5DCE4"/>
            <w:vAlign w:val="center"/>
            <w:hideMark/>
          </w:tcPr>
          <w:p w14:paraId="5B2451FB"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2.369</w:t>
            </w:r>
          </w:p>
        </w:tc>
        <w:tc>
          <w:tcPr>
            <w:tcW w:w="1157" w:type="dxa"/>
            <w:shd w:val="clear" w:color="auto" w:fill="D5DCE4"/>
            <w:vAlign w:val="center"/>
            <w:hideMark/>
          </w:tcPr>
          <w:p w14:paraId="1B69E96C"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2.484</w:t>
            </w:r>
          </w:p>
        </w:tc>
        <w:tc>
          <w:tcPr>
            <w:tcW w:w="1156" w:type="dxa"/>
            <w:shd w:val="clear" w:color="auto" w:fill="D5DCE4"/>
            <w:vAlign w:val="center"/>
            <w:hideMark/>
          </w:tcPr>
          <w:p w14:paraId="492C828A"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2.926</w:t>
            </w:r>
          </w:p>
        </w:tc>
        <w:tc>
          <w:tcPr>
            <w:tcW w:w="1156" w:type="dxa"/>
            <w:shd w:val="clear" w:color="auto" w:fill="D5DCE4"/>
            <w:noWrap/>
            <w:vAlign w:val="center"/>
            <w:hideMark/>
          </w:tcPr>
          <w:p w14:paraId="4B98CBB6"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8,8%</w:t>
            </w:r>
          </w:p>
        </w:tc>
        <w:tc>
          <w:tcPr>
            <w:tcW w:w="1159" w:type="dxa"/>
            <w:shd w:val="clear" w:color="auto" w:fill="D5DCE4"/>
            <w:noWrap/>
            <w:vAlign w:val="center"/>
            <w:hideMark/>
          </w:tcPr>
          <w:p w14:paraId="3FCBEE51"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17,7%</w:t>
            </w:r>
          </w:p>
        </w:tc>
      </w:tr>
      <w:tr w:rsidR="005D719C" w:rsidRPr="00FF7AC7" w14:paraId="715567C3" w14:textId="77777777" w:rsidTr="00737954">
        <w:trPr>
          <w:cantSplit/>
          <w:jc w:val="center"/>
        </w:trPr>
        <w:tc>
          <w:tcPr>
            <w:tcW w:w="3158" w:type="dxa"/>
            <w:shd w:val="clear" w:color="auto" w:fill="F2F2F2" w:themeFill="background1" w:themeFillShade="F2"/>
            <w:vAlign w:val="center"/>
            <w:hideMark/>
          </w:tcPr>
          <w:p w14:paraId="60AF47D2" w14:textId="77777777" w:rsidR="005D719C" w:rsidRPr="00AD6989" w:rsidRDefault="005D719C" w:rsidP="00737954">
            <w:pPr>
              <w:tabs>
                <w:tab w:val="left" w:pos="284"/>
              </w:tabs>
              <w:spacing w:after="0" w:line="276" w:lineRule="auto"/>
              <w:jc w:val="left"/>
              <w:rPr>
                <w:rFonts w:cs="Arial"/>
                <w:b/>
                <w:bCs/>
                <w:sz w:val="16"/>
                <w:szCs w:val="16"/>
              </w:rPr>
            </w:pPr>
            <w:r w:rsidRPr="00AD6989">
              <w:rPr>
                <w:rFonts w:cs="Arial"/>
                <w:b/>
                <w:bCs/>
                <w:sz w:val="16"/>
                <w:szCs w:val="16"/>
              </w:rPr>
              <w:t>IΙ.1</w:t>
            </w:r>
            <w:r>
              <w:rPr>
                <w:rFonts w:cs="Arial"/>
                <w:b/>
                <w:bCs/>
                <w:sz w:val="16"/>
                <w:szCs w:val="16"/>
              </w:rPr>
              <w:tab/>
            </w:r>
            <w:r w:rsidRPr="00AD6989">
              <w:rPr>
                <w:rFonts w:cs="Arial"/>
                <w:b/>
                <w:bCs/>
                <w:sz w:val="16"/>
                <w:szCs w:val="16"/>
              </w:rPr>
              <w:t>Ίδιοι κοινοτικοί πόροι</w:t>
            </w:r>
          </w:p>
        </w:tc>
        <w:tc>
          <w:tcPr>
            <w:tcW w:w="1156" w:type="dxa"/>
            <w:shd w:val="clear" w:color="auto" w:fill="F2F2F2" w:themeFill="background1" w:themeFillShade="F2"/>
            <w:vAlign w:val="center"/>
            <w:hideMark/>
          </w:tcPr>
          <w:p w14:paraId="3F6337F4"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2.123,81</w:t>
            </w:r>
          </w:p>
        </w:tc>
        <w:tc>
          <w:tcPr>
            <w:tcW w:w="1177" w:type="dxa"/>
            <w:shd w:val="clear" w:color="auto" w:fill="F2F2F2" w:themeFill="background1" w:themeFillShade="F2"/>
            <w:vAlign w:val="center"/>
            <w:hideMark/>
          </w:tcPr>
          <w:p w14:paraId="5C665E5C"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2.245</w:t>
            </w:r>
          </w:p>
        </w:tc>
        <w:tc>
          <w:tcPr>
            <w:tcW w:w="1157" w:type="dxa"/>
            <w:shd w:val="clear" w:color="auto" w:fill="F2F2F2" w:themeFill="background1" w:themeFillShade="F2"/>
            <w:vAlign w:val="center"/>
            <w:hideMark/>
          </w:tcPr>
          <w:p w14:paraId="5E3EDDA4"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2.346</w:t>
            </w:r>
          </w:p>
        </w:tc>
        <w:tc>
          <w:tcPr>
            <w:tcW w:w="1156" w:type="dxa"/>
            <w:shd w:val="clear" w:color="auto" w:fill="F2F2F2" w:themeFill="background1" w:themeFillShade="F2"/>
            <w:vAlign w:val="center"/>
            <w:hideMark/>
          </w:tcPr>
          <w:p w14:paraId="2CC9BDD6"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2.804</w:t>
            </w:r>
          </w:p>
        </w:tc>
        <w:tc>
          <w:tcPr>
            <w:tcW w:w="1156" w:type="dxa"/>
            <w:shd w:val="clear" w:color="auto" w:fill="F2F2F2" w:themeFill="background1" w:themeFillShade="F2"/>
            <w:noWrap/>
            <w:vAlign w:val="center"/>
            <w:hideMark/>
          </w:tcPr>
          <w:p w14:paraId="52848BBD"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10,4%</w:t>
            </w:r>
          </w:p>
        </w:tc>
        <w:tc>
          <w:tcPr>
            <w:tcW w:w="1159" w:type="dxa"/>
            <w:shd w:val="clear" w:color="auto" w:fill="F2F2F2" w:themeFill="background1" w:themeFillShade="F2"/>
            <w:noWrap/>
            <w:vAlign w:val="center"/>
            <w:hideMark/>
          </w:tcPr>
          <w:p w14:paraId="41F1B910"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19,5%</w:t>
            </w:r>
          </w:p>
        </w:tc>
      </w:tr>
      <w:tr w:rsidR="005D719C" w:rsidRPr="00FF7AC7" w14:paraId="79DC83B9" w14:textId="77777777" w:rsidTr="00737954">
        <w:trPr>
          <w:cantSplit/>
          <w:jc w:val="center"/>
        </w:trPr>
        <w:tc>
          <w:tcPr>
            <w:tcW w:w="3158" w:type="dxa"/>
            <w:shd w:val="clear" w:color="auto" w:fill="auto"/>
            <w:vAlign w:val="center"/>
            <w:hideMark/>
          </w:tcPr>
          <w:p w14:paraId="747A9295" w14:textId="77777777" w:rsidR="005D719C" w:rsidRPr="00AD6989" w:rsidRDefault="005D719C" w:rsidP="00737954">
            <w:pPr>
              <w:spacing w:after="0" w:line="276" w:lineRule="auto"/>
              <w:jc w:val="left"/>
              <w:rPr>
                <w:rFonts w:cs="Arial"/>
                <w:sz w:val="16"/>
                <w:szCs w:val="16"/>
              </w:rPr>
            </w:pPr>
            <w:r w:rsidRPr="00AD6989">
              <w:rPr>
                <w:rFonts w:cs="Arial"/>
                <w:sz w:val="16"/>
                <w:szCs w:val="16"/>
              </w:rPr>
              <w:t>Αποδόσεις δασμών που βεβαιώθηκαν με βάση το κοινό εξωτερικό δασμολόγιο</w:t>
            </w:r>
          </w:p>
        </w:tc>
        <w:tc>
          <w:tcPr>
            <w:tcW w:w="1156" w:type="dxa"/>
            <w:shd w:val="clear" w:color="auto" w:fill="auto"/>
            <w:noWrap/>
            <w:vAlign w:val="center"/>
            <w:hideMark/>
          </w:tcPr>
          <w:p w14:paraId="1D5649F4" w14:textId="77777777" w:rsidR="005D719C" w:rsidRPr="005E2D4B" w:rsidRDefault="005D719C" w:rsidP="00737954">
            <w:pPr>
              <w:spacing w:after="0" w:line="276" w:lineRule="auto"/>
              <w:jc w:val="right"/>
              <w:rPr>
                <w:rFonts w:cs="Arial"/>
                <w:sz w:val="16"/>
                <w:szCs w:val="16"/>
              </w:rPr>
            </w:pPr>
            <w:r w:rsidRPr="005E2D4B">
              <w:rPr>
                <w:rFonts w:cs="Arial"/>
                <w:sz w:val="16"/>
                <w:szCs w:val="16"/>
              </w:rPr>
              <w:t>357,52</w:t>
            </w:r>
          </w:p>
        </w:tc>
        <w:tc>
          <w:tcPr>
            <w:tcW w:w="1177" w:type="dxa"/>
            <w:shd w:val="clear" w:color="auto" w:fill="auto"/>
            <w:noWrap/>
            <w:vAlign w:val="center"/>
            <w:hideMark/>
          </w:tcPr>
          <w:p w14:paraId="125FD7CE" w14:textId="77777777" w:rsidR="005D719C" w:rsidRPr="005E2D4B" w:rsidRDefault="005D719C" w:rsidP="00737954">
            <w:pPr>
              <w:spacing w:after="0" w:line="276" w:lineRule="auto"/>
              <w:jc w:val="right"/>
              <w:rPr>
                <w:rFonts w:cs="Arial"/>
                <w:sz w:val="16"/>
                <w:szCs w:val="16"/>
              </w:rPr>
            </w:pPr>
            <w:r w:rsidRPr="005E2D4B">
              <w:rPr>
                <w:rFonts w:cs="Arial"/>
                <w:sz w:val="16"/>
                <w:szCs w:val="16"/>
              </w:rPr>
              <w:t>360</w:t>
            </w:r>
          </w:p>
        </w:tc>
        <w:tc>
          <w:tcPr>
            <w:tcW w:w="1157" w:type="dxa"/>
            <w:shd w:val="clear" w:color="auto" w:fill="auto"/>
            <w:noWrap/>
            <w:vAlign w:val="center"/>
            <w:hideMark/>
          </w:tcPr>
          <w:p w14:paraId="01E6BC3A" w14:textId="77777777" w:rsidR="005D719C" w:rsidRPr="005E2D4B" w:rsidRDefault="005D719C" w:rsidP="00737954">
            <w:pPr>
              <w:spacing w:after="0" w:line="276" w:lineRule="auto"/>
              <w:jc w:val="right"/>
              <w:rPr>
                <w:rFonts w:cs="Arial"/>
                <w:sz w:val="16"/>
                <w:szCs w:val="16"/>
              </w:rPr>
            </w:pPr>
            <w:r w:rsidRPr="005E2D4B">
              <w:rPr>
                <w:rFonts w:cs="Arial"/>
                <w:sz w:val="16"/>
                <w:szCs w:val="16"/>
              </w:rPr>
              <w:t>403</w:t>
            </w:r>
          </w:p>
        </w:tc>
        <w:tc>
          <w:tcPr>
            <w:tcW w:w="1156" w:type="dxa"/>
            <w:shd w:val="clear" w:color="auto" w:fill="auto"/>
            <w:noWrap/>
            <w:vAlign w:val="center"/>
            <w:hideMark/>
          </w:tcPr>
          <w:p w14:paraId="0BCFAE01" w14:textId="77777777" w:rsidR="005D719C" w:rsidRPr="005E2D4B" w:rsidRDefault="005D719C" w:rsidP="00737954">
            <w:pPr>
              <w:spacing w:after="0" w:line="276" w:lineRule="auto"/>
              <w:jc w:val="right"/>
              <w:rPr>
                <w:rFonts w:cs="Arial"/>
                <w:sz w:val="16"/>
                <w:szCs w:val="16"/>
              </w:rPr>
            </w:pPr>
            <w:r w:rsidRPr="005E2D4B">
              <w:rPr>
                <w:rFonts w:cs="Arial"/>
                <w:sz w:val="16"/>
                <w:szCs w:val="16"/>
              </w:rPr>
              <w:t>428</w:t>
            </w:r>
          </w:p>
        </w:tc>
        <w:tc>
          <w:tcPr>
            <w:tcW w:w="1156" w:type="dxa"/>
            <w:shd w:val="clear" w:color="auto" w:fill="auto"/>
            <w:noWrap/>
            <w:vAlign w:val="center"/>
            <w:hideMark/>
          </w:tcPr>
          <w:p w14:paraId="395300EE"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12,7%</w:t>
            </w:r>
          </w:p>
        </w:tc>
        <w:tc>
          <w:tcPr>
            <w:tcW w:w="1159" w:type="dxa"/>
            <w:shd w:val="clear" w:color="auto" w:fill="auto"/>
            <w:noWrap/>
            <w:vAlign w:val="center"/>
            <w:hideMark/>
          </w:tcPr>
          <w:p w14:paraId="40578D82"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6,2%</w:t>
            </w:r>
          </w:p>
        </w:tc>
      </w:tr>
      <w:tr w:rsidR="005D719C" w:rsidRPr="00AD6989" w14:paraId="7A73A366" w14:textId="77777777" w:rsidTr="00737954">
        <w:trPr>
          <w:cantSplit/>
          <w:jc w:val="center"/>
        </w:trPr>
        <w:tc>
          <w:tcPr>
            <w:tcW w:w="3158" w:type="dxa"/>
            <w:shd w:val="clear" w:color="auto" w:fill="auto"/>
            <w:vAlign w:val="center"/>
            <w:hideMark/>
          </w:tcPr>
          <w:p w14:paraId="1BB645B2" w14:textId="77777777" w:rsidR="005D719C" w:rsidRPr="00AD6989" w:rsidRDefault="005D719C" w:rsidP="00737954">
            <w:pPr>
              <w:spacing w:after="0" w:line="276" w:lineRule="auto"/>
              <w:jc w:val="left"/>
              <w:rPr>
                <w:rFonts w:cs="Arial"/>
                <w:sz w:val="16"/>
                <w:szCs w:val="16"/>
              </w:rPr>
            </w:pPr>
            <w:r w:rsidRPr="00AD6989">
              <w:rPr>
                <w:rFonts w:cs="Arial"/>
                <w:sz w:val="16"/>
                <w:szCs w:val="16"/>
              </w:rPr>
              <w:t>Αποδόσεις στην ΕΕ ιδίων πόρων που προέρχονται από τον ΦΠΑ</w:t>
            </w:r>
          </w:p>
        </w:tc>
        <w:tc>
          <w:tcPr>
            <w:tcW w:w="1156" w:type="dxa"/>
            <w:shd w:val="clear" w:color="auto" w:fill="auto"/>
            <w:noWrap/>
            <w:vAlign w:val="center"/>
            <w:hideMark/>
          </w:tcPr>
          <w:p w14:paraId="3A9C9050" w14:textId="77777777" w:rsidR="005D719C" w:rsidRPr="005E2D4B" w:rsidRDefault="005D719C" w:rsidP="00737954">
            <w:pPr>
              <w:spacing w:after="0" w:line="276" w:lineRule="auto"/>
              <w:jc w:val="right"/>
              <w:rPr>
                <w:rFonts w:cs="Arial"/>
                <w:sz w:val="16"/>
                <w:szCs w:val="16"/>
              </w:rPr>
            </w:pPr>
            <w:r w:rsidRPr="005E2D4B">
              <w:rPr>
                <w:rFonts w:cs="Arial"/>
                <w:sz w:val="16"/>
                <w:szCs w:val="16"/>
              </w:rPr>
              <w:t>302,34</w:t>
            </w:r>
          </w:p>
        </w:tc>
        <w:tc>
          <w:tcPr>
            <w:tcW w:w="1177" w:type="dxa"/>
            <w:shd w:val="clear" w:color="auto" w:fill="auto"/>
            <w:noWrap/>
            <w:vAlign w:val="center"/>
            <w:hideMark/>
          </w:tcPr>
          <w:p w14:paraId="23590DF4" w14:textId="77777777" w:rsidR="005D719C" w:rsidRPr="005E2D4B" w:rsidRDefault="005D719C" w:rsidP="00737954">
            <w:pPr>
              <w:spacing w:after="0" w:line="276" w:lineRule="auto"/>
              <w:jc w:val="right"/>
              <w:rPr>
                <w:rFonts w:cs="Arial"/>
                <w:sz w:val="16"/>
                <w:szCs w:val="16"/>
              </w:rPr>
            </w:pPr>
            <w:r w:rsidRPr="005E2D4B">
              <w:rPr>
                <w:rFonts w:cs="Arial"/>
                <w:sz w:val="16"/>
                <w:szCs w:val="16"/>
              </w:rPr>
              <w:t>315</w:t>
            </w:r>
          </w:p>
        </w:tc>
        <w:tc>
          <w:tcPr>
            <w:tcW w:w="1157" w:type="dxa"/>
            <w:shd w:val="clear" w:color="auto" w:fill="auto"/>
            <w:noWrap/>
            <w:vAlign w:val="center"/>
            <w:hideMark/>
          </w:tcPr>
          <w:p w14:paraId="2A7908A8" w14:textId="77777777" w:rsidR="005D719C" w:rsidRPr="005E2D4B" w:rsidRDefault="005D719C" w:rsidP="00737954">
            <w:pPr>
              <w:spacing w:after="0" w:line="276" w:lineRule="auto"/>
              <w:jc w:val="right"/>
              <w:rPr>
                <w:rFonts w:cs="Arial"/>
                <w:sz w:val="16"/>
                <w:szCs w:val="16"/>
              </w:rPr>
            </w:pPr>
            <w:r w:rsidRPr="005E2D4B">
              <w:rPr>
                <w:rFonts w:cs="Arial"/>
                <w:sz w:val="16"/>
                <w:szCs w:val="16"/>
              </w:rPr>
              <w:t>346</w:t>
            </w:r>
          </w:p>
        </w:tc>
        <w:tc>
          <w:tcPr>
            <w:tcW w:w="1156" w:type="dxa"/>
            <w:shd w:val="clear" w:color="auto" w:fill="auto"/>
            <w:noWrap/>
            <w:vAlign w:val="center"/>
            <w:hideMark/>
          </w:tcPr>
          <w:p w14:paraId="004DE5A9" w14:textId="77777777" w:rsidR="005D719C" w:rsidRPr="005E2D4B" w:rsidRDefault="005D719C" w:rsidP="00737954">
            <w:pPr>
              <w:spacing w:after="0" w:line="276" w:lineRule="auto"/>
              <w:jc w:val="right"/>
              <w:rPr>
                <w:rFonts w:cs="Arial"/>
                <w:sz w:val="16"/>
                <w:szCs w:val="16"/>
              </w:rPr>
            </w:pPr>
            <w:r w:rsidRPr="005E2D4B">
              <w:rPr>
                <w:rFonts w:cs="Arial"/>
                <w:sz w:val="16"/>
                <w:szCs w:val="16"/>
              </w:rPr>
              <w:t>364</w:t>
            </w:r>
          </w:p>
        </w:tc>
        <w:tc>
          <w:tcPr>
            <w:tcW w:w="1156" w:type="dxa"/>
            <w:shd w:val="clear" w:color="auto" w:fill="auto"/>
            <w:noWrap/>
            <w:vAlign w:val="center"/>
            <w:hideMark/>
          </w:tcPr>
          <w:p w14:paraId="47702297"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14,4%</w:t>
            </w:r>
          </w:p>
        </w:tc>
        <w:tc>
          <w:tcPr>
            <w:tcW w:w="1159" w:type="dxa"/>
            <w:shd w:val="clear" w:color="auto" w:fill="auto"/>
            <w:noWrap/>
            <w:vAlign w:val="center"/>
            <w:hideMark/>
          </w:tcPr>
          <w:p w14:paraId="33EBDC6A"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5,2%</w:t>
            </w:r>
          </w:p>
        </w:tc>
      </w:tr>
      <w:tr w:rsidR="005D719C" w:rsidRPr="00AD6989" w14:paraId="0CD07DBE" w14:textId="77777777" w:rsidTr="00737954">
        <w:trPr>
          <w:cantSplit/>
          <w:jc w:val="center"/>
        </w:trPr>
        <w:tc>
          <w:tcPr>
            <w:tcW w:w="3158" w:type="dxa"/>
            <w:shd w:val="clear" w:color="auto" w:fill="auto"/>
            <w:vAlign w:val="center"/>
            <w:hideMark/>
          </w:tcPr>
          <w:p w14:paraId="4150788A" w14:textId="77777777" w:rsidR="005D719C" w:rsidRPr="00AD6989" w:rsidRDefault="005D719C" w:rsidP="00737954">
            <w:pPr>
              <w:spacing w:after="0" w:line="276" w:lineRule="auto"/>
              <w:jc w:val="left"/>
              <w:rPr>
                <w:rFonts w:cs="Arial"/>
                <w:sz w:val="16"/>
                <w:szCs w:val="16"/>
              </w:rPr>
            </w:pPr>
            <w:r w:rsidRPr="00AD6989">
              <w:rPr>
                <w:rFonts w:cs="Arial"/>
                <w:sz w:val="16"/>
                <w:szCs w:val="16"/>
              </w:rPr>
              <w:t xml:space="preserve">Αποδόσεις στην ΕΕ βάσει </w:t>
            </w:r>
            <w:r>
              <w:rPr>
                <w:rFonts w:cs="Arial"/>
                <w:sz w:val="16"/>
                <w:szCs w:val="16"/>
              </w:rPr>
              <w:t>ΑΕΕ</w:t>
            </w:r>
          </w:p>
        </w:tc>
        <w:tc>
          <w:tcPr>
            <w:tcW w:w="1156" w:type="dxa"/>
            <w:shd w:val="clear" w:color="auto" w:fill="auto"/>
            <w:noWrap/>
            <w:vAlign w:val="center"/>
            <w:hideMark/>
          </w:tcPr>
          <w:p w14:paraId="472D22F8" w14:textId="77777777" w:rsidR="005D719C" w:rsidRPr="005E2D4B" w:rsidRDefault="005D719C" w:rsidP="00737954">
            <w:pPr>
              <w:spacing w:after="0" w:line="276" w:lineRule="auto"/>
              <w:jc w:val="right"/>
              <w:rPr>
                <w:rFonts w:cs="Arial"/>
                <w:sz w:val="16"/>
                <w:szCs w:val="16"/>
              </w:rPr>
            </w:pPr>
            <w:r w:rsidRPr="005E2D4B">
              <w:rPr>
                <w:rFonts w:cs="Arial"/>
                <w:sz w:val="16"/>
                <w:szCs w:val="16"/>
              </w:rPr>
              <w:t>1.279,09</w:t>
            </w:r>
          </w:p>
        </w:tc>
        <w:tc>
          <w:tcPr>
            <w:tcW w:w="1177" w:type="dxa"/>
            <w:shd w:val="clear" w:color="auto" w:fill="auto"/>
            <w:noWrap/>
            <w:vAlign w:val="center"/>
            <w:hideMark/>
          </w:tcPr>
          <w:p w14:paraId="29A35FF5" w14:textId="77777777" w:rsidR="005D719C" w:rsidRPr="005E2D4B" w:rsidRDefault="005D719C" w:rsidP="00737954">
            <w:pPr>
              <w:spacing w:after="0" w:line="276" w:lineRule="auto"/>
              <w:jc w:val="right"/>
              <w:rPr>
                <w:rFonts w:cs="Arial"/>
                <w:sz w:val="16"/>
                <w:szCs w:val="16"/>
              </w:rPr>
            </w:pPr>
            <w:r w:rsidRPr="005E2D4B">
              <w:rPr>
                <w:rFonts w:cs="Arial"/>
                <w:sz w:val="16"/>
                <w:szCs w:val="16"/>
              </w:rPr>
              <w:t>1.440</w:t>
            </w:r>
          </w:p>
        </w:tc>
        <w:tc>
          <w:tcPr>
            <w:tcW w:w="1157" w:type="dxa"/>
            <w:shd w:val="clear" w:color="auto" w:fill="auto"/>
            <w:noWrap/>
            <w:vAlign w:val="center"/>
            <w:hideMark/>
          </w:tcPr>
          <w:p w14:paraId="7BA50800" w14:textId="77777777" w:rsidR="005D719C" w:rsidRPr="005E2D4B" w:rsidRDefault="005D719C" w:rsidP="00737954">
            <w:pPr>
              <w:spacing w:after="0" w:line="276" w:lineRule="auto"/>
              <w:jc w:val="right"/>
              <w:rPr>
                <w:rFonts w:cs="Arial"/>
                <w:sz w:val="16"/>
                <w:szCs w:val="16"/>
              </w:rPr>
            </w:pPr>
            <w:r w:rsidRPr="005E2D4B">
              <w:rPr>
                <w:rFonts w:cs="Arial"/>
                <w:sz w:val="16"/>
                <w:szCs w:val="16"/>
              </w:rPr>
              <w:t>1.459</w:t>
            </w:r>
          </w:p>
        </w:tc>
        <w:tc>
          <w:tcPr>
            <w:tcW w:w="1156" w:type="dxa"/>
            <w:shd w:val="clear" w:color="auto" w:fill="auto"/>
            <w:noWrap/>
            <w:vAlign w:val="center"/>
            <w:hideMark/>
          </w:tcPr>
          <w:p w14:paraId="0530EB94" w14:textId="77777777" w:rsidR="005D719C" w:rsidRPr="005E2D4B" w:rsidRDefault="005D719C" w:rsidP="00737954">
            <w:pPr>
              <w:spacing w:after="0" w:line="276" w:lineRule="auto"/>
              <w:jc w:val="right"/>
              <w:rPr>
                <w:rFonts w:cs="Arial"/>
                <w:sz w:val="16"/>
                <w:szCs w:val="16"/>
              </w:rPr>
            </w:pPr>
            <w:r w:rsidRPr="005E2D4B">
              <w:rPr>
                <w:rFonts w:cs="Arial"/>
                <w:sz w:val="16"/>
                <w:szCs w:val="16"/>
              </w:rPr>
              <w:t>1.901</w:t>
            </w:r>
          </w:p>
        </w:tc>
        <w:tc>
          <w:tcPr>
            <w:tcW w:w="1156" w:type="dxa"/>
            <w:shd w:val="clear" w:color="auto" w:fill="auto"/>
            <w:noWrap/>
            <w:vAlign w:val="center"/>
            <w:hideMark/>
          </w:tcPr>
          <w:p w14:paraId="40CA3EBE"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14,0%</w:t>
            </w:r>
          </w:p>
        </w:tc>
        <w:tc>
          <w:tcPr>
            <w:tcW w:w="1159" w:type="dxa"/>
            <w:shd w:val="clear" w:color="auto" w:fill="auto"/>
            <w:noWrap/>
            <w:vAlign w:val="center"/>
            <w:hideMark/>
          </w:tcPr>
          <w:p w14:paraId="29D5DEC9"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30,2%</w:t>
            </w:r>
          </w:p>
        </w:tc>
      </w:tr>
      <w:tr w:rsidR="005D719C" w:rsidRPr="00AD6989" w14:paraId="515F8A25" w14:textId="77777777" w:rsidTr="00737954">
        <w:trPr>
          <w:cantSplit/>
          <w:jc w:val="center"/>
        </w:trPr>
        <w:tc>
          <w:tcPr>
            <w:tcW w:w="3158" w:type="dxa"/>
            <w:shd w:val="clear" w:color="auto" w:fill="auto"/>
            <w:vAlign w:val="center"/>
            <w:hideMark/>
          </w:tcPr>
          <w:p w14:paraId="3574A8C2" w14:textId="77777777" w:rsidR="005D719C" w:rsidRPr="00AD6989" w:rsidRDefault="005D719C" w:rsidP="00737954">
            <w:pPr>
              <w:spacing w:after="0" w:line="276" w:lineRule="auto"/>
              <w:jc w:val="left"/>
              <w:rPr>
                <w:rFonts w:cs="Arial"/>
                <w:sz w:val="16"/>
                <w:szCs w:val="16"/>
              </w:rPr>
            </w:pPr>
            <w:r w:rsidRPr="00AD6989">
              <w:rPr>
                <w:rFonts w:cs="Arial"/>
                <w:sz w:val="16"/>
                <w:szCs w:val="16"/>
              </w:rPr>
              <w:t>Ίδιος πόρος επί των μη ανακυκλούμενων πλαστικών συσκευασιών</w:t>
            </w:r>
          </w:p>
        </w:tc>
        <w:tc>
          <w:tcPr>
            <w:tcW w:w="1156" w:type="dxa"/>
            <w:shd w:val="clear" w:color="auto" w:fill="auto"/>
            <w:noWrap/>
            <w:vAlign w:val="center"/>
            <w:hideMark/>
          </w:tcPr>
          <w:p w14:paraId="577ADFEF" w14:textId="77777777" w:rsidR="005D719C" w:rsidRPr="005E2D4B" w:rsidRDefault="005D719C" w:rsidP="00737954">
            <w:pPr>
              <w:spacing w:after="0" w:line="276" w:lineRule="auto"/>
              <w:jc w:val="right"/>
              <w:rPr>
                <w:rFonts w:cs="Arial"/>
                <w:sz w:val="16"/>
                <w:szCs w:val="16"/>
              </w:rPr>
            </w:pPr>
            <w:r w:rsidRPr="005E2D4B">
              <w:rPr>
                <w:rFonts w:cs="Arial"/>
                <w:sz w:val="16"/>
                <w:szCs w:val="16"/>
              </w:rPr>
              <w:t>184,86</w:t>
            </w:r>
          </w:p>
        </w:tc>
        <w:tc>
          <w:tcPr>
            <w:tcW w:w="1177" w:type="dxa"/>
            <w:shd w:val="clear" w:color="auto" w:fill="auto"/>
            <w:noWrap/>
            <w:vAlign w:val="center"/>
            <w:hideMark/>
          </w:tcPr>
          <w:p w14:paraId="1FEDBC47" w14:textId="77777777" w:rsidR="005D719C" w:rsidRPr="005E2D4B" w:rsidRDefault="005D719C" w:rsidP="00737954">
            <w:pPr>
              <w:spacing w:after="0" w:line="276" w:lineRule="auto"/>
              <w:jc w:val="right"/>
              <w:rPr>
                <w:rFonts w:cs="Arial"/>
                <w:sz w:val="16"/>
                <w:szCs w:val="16"/>
              </w:rPr>
            </w:pPr>
            <w:r w:rsidRPr="005E2D4B">
              <w:rPr>
                <w:rFonts w:cs="Arial"/>
                <w:sz w:val="16"/>
                <w:szCs w:val="16"/>
              </w:rPr>
              <w:t>130</w:t>
            </w:r>
          </w:p>
        </w:tc>
        <w:tc>
          <w:tcPr>
            <w:tcW w:w="1157" w:type="dxa"/>
            <w:shd w:val="clear" w:color="auto" w:fill="auto"/>
            <w:noWrap/>
            <w:vAlign w:val="center"/>
            <w:hideMark/>
          </w:tcPr>
          <w:p w14:paraId="7E5CAB35" w14:textId="77777777" w:rsidR="005D719C" w:rsidRPr="005E2D4B" w:rsidRDefault="005D719C" w:rsidP="00737954">
            <w:pPr>
              <w:spacing w:after="0" w:line="276" w:lineRule="auto"/>
              <w:jc w:val="right"/>
              <w:rPr>
                <w:rFonts w:cs="Arial"/>
                <w:sz w:val="16"/>
                <w:szCs w:val="16"/>
              </w:rPr>
            </w:pPr>
            <w:r w:rsidRPr="005E2D4B">
              <w:rPr>
                <w:rFonts w:cs="Arial"/>
                <w:sz w:val="16"/>
                <w:szCs w:val="16"/>
              </w:rPr>
              <w:t>138</w:t>
            </w:r>
          </w:p>
        </w:tc>
        <w:tc>
          <w:tcPr>
            <w:tcW w:w="1156" w:type="dxa"/>
            <w:shd w:val="clear" w:color="auto" w:fill="auto"/>
            <w:noWrap/>
            <w:vAlign w:val="center"/>
            <w:hideMark/>
          </w:tcPr>
          <w:p w14:paraId="44211208" w14:textId="77777777" w:rsidR="005D719C" w:rsidRPr="005E2D4B" w:rsidRDefault="005D719C" w:rsidP="00737954">
            <w:pPr>
              <w:spacing w:after="0" w:line="276" w:lineRule="auto"/>
              <w:jc w:val="right"/>
              <w:rPr>
                <w:rFonts w:cs="Arial"/>
                <w:sz w:val="16"/>
                <w:szCs w:val="16"/>
              </w:rPr>
            </w:pPr>
            <w:r w:rsidRPr="005E2D4B">
              <w:rPr>
                <w:rFonts w:cs="Arial"/>
                <w:sz w:val="16"/>
                <w:szCs w:val="16"/>
              </w:rPr>
              <w:t>111</w:t>
            </w:r>
          </w:p>
        </w:tc>
        <w:tc>
          <w:tcPr>
            <w:tcW w:w="1156" w:type="dxa"/>
            <w:shd w:val="clear" w:color="auto" w:fill="auto"/>
            <w:noWrap/>
            <w:vAlign w:val="center"/>
            <w:hideMark/>
          </w:tcPr>
          <w:p w14:paraId="43BD8776"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-25,3%</w:t>
            </w:r>
          </w:p>
        </w:tc>
        <w:tc>
          <w:tcPr>
            <w:tcW w:w="1159" w:type="dxa"/>
            <w:shd w:val="clear" w:color="auto" w:fill="auto"/>
            <w:noWrap/>
            <w:vAlign w:val="center"/>
            <w:hideMark/>
          </w:tcPr>
          <w:p w14:paraId="59028971"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-19,5%</w:t>
            </w:r>
          </w:p>
        </w:tc>
      </w:tr>
      <w:tr w:rsidR="005D719C" w:rsidRPr="00FF7AC7" w14:paraId="68FA7EEC" w14:textId="77777777" w:rsidTr="00737954">
        <w:trPr>
          <w:cantSplit/>
          <w:jc w:val="center"/>
        </w:trPr>
        <w:tc>
          <w:tcPr>
            <w:tcW w:w="3158" w:type="dxa"/>
            <w:shd w:val="clear" w:color="auto" w:fill="F2F2F2" w:themeFill="background1" w:themeFillShade="F2"/>
            <w:vAlign w:val="center"/>
            <w:hideMark/>
          </w:tcPr>
          <w:p w14:paraId="59437BF7" w14:textId="77777777" w:rsidR="005D719C" w:rsidRPr="00AD6989" w:rsidRDefault="005D719C" w:rsidP="00737954">
            <w:pPr>
              <w:tabs>
                <w:tab w:val="left" w:pos="284"/>
              </w:tabs>
              <w:spacing w:after="0" w:line="276" w:lineRule="auto"/>
              <w:jc w:val="left"/>
              <w:rPr>
                <w:rFonts w:cs="Arial"/>
                <w:b/>
                <w:bCs/>
                <w:sz w:val="16"/>
                <w:szCs w:val="16"/>
              </w:rPr>
            </w:pPr>
            <w:r w:rsidRPr="00AD6989">
              <w:rPr>
                <w:rFonts w:cs="Arial"/>
                <w:b/>
                <w:bCs/>
                <w:sz w:val="16"/>
                <w:szCs w:val="16"/>
              </w:rPr>
              <w:t>ΙI.2</w:t>
            </w:r>
            <w:r>
              <w:rPr>
                <w:rFonts w:cs="Arial"/>
                <w:b/>
                <w:bCs/>
                <w:sz w:val="16"/>
                <w:szCs w:val="16"/>
              </w:rPr>
              <w:tab/>
            </w:r>
            <w:r w:rsidRPr="00AD6989">
              <w:rPr>
                <w:rFonts w:cs="Arial"/>
                <w:b/>
                <w:bCs/>
                <w:sz w:val="16"/>
                <w:szCs w:val="16"/>
              </w:rPr>
              <w:t>Λοιπές συνεισφορές</w:t>
            </w:r>
            <w:r>
              <w:rPr>
                <w:rFonts w:cs="Arial"/>
                <w:b/>
                <w:bCs/>
                <w:sz w:val="16"/>
                <w:szCs w:val="16"/>
              </w:rPr>
              <w:t xml:space="preserve"> </w:t>
            </w:r>
            <w:r w:rsidRPr="00AD6989">
              <w:rPr>
                <w:rFonts w:cs="Arial"/>
                <w:b/>
                <w:bCs/>
                <w:sz w:val="16"/>
                <w:szCs w:val="16"/>
              </w:rPr>
              <w:t>-</w:t>
            </w:r>
            <w:r>
              <w:rPr>
                <w:rFonts w:cs="Arial"/>
                <w:b/>
                <w:bCs/>
                <w:sz w:val="16"/>
                <w:szCs w:val="16"/>
              </w:rPr>
              <w:t xml:space="preserve"> </w:t>
            </w:r>
            <w:r w:rsidRPr="00AD6989">
              <w:rPr>
                <w:rFonts w:cs="Arial"/>
                <w:b/>
                <w:bCs/>
                <w:sz w:val="16"/>
                <w:szCs w:val="16"/>
              </w:rPr>
              <w:t>επιστροφές</w:t>
            </w:r>
          </w:p>
        </w:tc>
        <w:tc>
          <w:tcPr>
            <w:tcW w:w="1156" w:type="dxa"/>
            <w:shd w:val="clear" w:color="auto" w:fill="F2F2F2" w:themeFill="background1" w:themeFillShade="F2"/>
            <w:vAlign w:val="center"/>
            <w:hideMark/>
          </w:tcPr>
          <w:p w14:paraId="0CF79A5C"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126,29</w:t>
            </w:r>
          </w:p>
        </w:tc>
        <w:tc>
          <w:tcPr>
            <w:tcW w:w="1177" w:type="dxa"/>
            <w:shd w:val="clear" w:color="auto" w:fill="F2F2F2" w:themeFill="background1" w:themeFillShade="F2"/>
            <w:vAlign w:val="center"/>
            <w:hideMark/>
          </w:tcPr>
          <w:p w14:paraId="11E976EB"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100</w:t>
            </w:r>
          </w:p>
        </w:tc>
        <w:tc>
          <w:tcPr>
            <w:tcW w:w="1157" w:type="dxa"/>
            <w:shd w:val="clear" w:color="auto" w:fill="F2F2F2" w:themeFill="background1" w:themeFillShade="F2"/>
            <w:vAlign w:val="center"/>
            <w:hideMark/>
          </w:tcPr>
          <w:p w14:paraId="4483D164"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116</w:t>
            </w:r>
          </w:p>
        </w:tc>
        <w:tc>
          <w:tcPr>
            <w:tcW w:w="1156" w:type="dxa"/>
            <w:shd w:val="clear" w:color="auto" w:fill="F2F2F2" w:themeFill="background1" w:themeFillShade="F2"/>
            <w:vAlign w:val="center"/>
            <w:hideMark/>
          </w:tcPr>
          <w:p w14:paraId="1004AFC4"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100</w:t>
            </w:r>
          </w:p>
        </w:tc>
        <w:tc>
          <w:tcPr>
            <w:tcW w:w="1156" w:type="dxa"/>
            <w:shd w:val="clear" w:color="auto" w:fill="F2F2F2" w:themeFill="background1" w:themeFillShade="F2"/>
            <w:noWrap/>
            <w:vAlign w:val="center"/>
            <w:hideMark/>
          </w:tcPr>
          <w:p w14:paraId="1ED79BCA"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-8,1%</w:t>
            </w:r>
          </w:p>
        </w:tc>
        <w:tc>
          <w:tcPr>
            <w:tcW w:w="1159" w:type="dxa"/>
            <w:shd w:val="clear" w:color="auto" w:fill="F2F2F2" w:themeFill="background1" w:themeFillShade="F2"/>
            <w:noWrap/>
            <w:vAlign w:val="center"/>
            <w:hideMark/>
          </w:tcPr>
          <w:p w14:paraId="508066F4"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-13,7%</w:t>
            </w:r>
          </w:p>
        </w:tc>
      </w:tr>
      <w:tr w:rsidR="005D719C" w:rsidRPr="00AD6989" w14:paraId="0896C74E" w14:textId="77777777" w:rsidTr="00737954">
        <w:trPr>
          <w:cantSplit/>
          <w:jc w:val="center"/>
        </w:trPr>
        <w:tc>
          <w:tcPr>
            <w:tcW w:w="3158" w:type="dxa"/>
            <w:shd w:val="clear" w:color="auto" w:fill="auto"/>
            <w:vAlign w:val="center"/>
            <w:hideMark/>
          </w:tcPr>
          <w:p w14:paraId="6CE40D3B" w14:textId="77777777" w:rsidR="005D719C" w:rsidRPr="00AD6989" w:rsidRDefault="005D719C" w:rsidP="00737954">
            <w:pPr>
              <w:spacing w:after="0" w:line="276" w:lineRule="auto"/>
              <w:jc w:val="left"/>
              <w:rPr>
                <w:rFonts w:cs="Arial"/>
                <w:sz w:val="16"/>
                <w:szCs w:val="16"/>
              </w:rPr>
            </w:pPr>
            <w:r w:rsidRPr="00AD6989">
              <w:rPr>
                <w:rFonts w:cs="Arial"/>
                <w:sz w:val="16"/>
                <w:szCs w:val="16"/>
              </w:rPr>
              <w:t>Πρόσθετες ή έκτακτες συνεισφορές στην ΕΕ και λοιπά πρόστιμα από ΕΕ</w:t>
            </w:r>
          </w:p>
        </w:tc>
        <w:tc>
          <w:tcPr>
            <w:tcW w:w="1156" w:type="dxa"/>
            <w:shd w:val="clear" w:color="auto" w:fill="auto"/>
            <w:noWrap/>
            <w:vAlign w:val="center"/>
            <w:hideMark/>
          </w:tcPr>
          <w:p w14:paraId="03DC870D" w14:textId="77777777" w:rsidR="005D719C" w:rsidRPr="005E2D4B" w:rsidRDefault="005D719C" w:rsidP="00737954">
            <w:pPr>
              <w:spacing w:after="0" w:line="276" w:lineRule="auto"/>
              <w:jc w:val="right"/>
              <w:rPr>
                <w:rFonts w:cs="Arial"/>
                <w:sz w:val="16"/>
                <w:szCs w:val="16"/>
              </w:rPr>
            </w:pPr>
            <w:r w:rsidRPr="005E2D4B">
              <w:rPr>
                <w:rFonts w:cs="Arial"/>
                <w:sz w:val="16"/>
                <w:szCs w:val="16"/>
              </w:rPr>
              <w:t>62,81</w:t>
            </w:r>
          </w:p>
        </w:tc>
        <w:tc>
          <w:tcPr>
            <w:tcW w:w="1177" w:type="dxa"/>
            <w:shd w:val="clear" w:color="auto" w:fill="auto"/>
            <w:noWrap/>
            <w:vAlign w:val="center"/>
            <w:hideMark/>
          </w:tcPr>
          <w:p w14:paraId="3E359F84"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7" w:type="dxa"/>
            <w:shd w:val="clear" w:color="auto" w:fill="auto"/>
            <w:noWrap/>
            <w:vAlign w:val="center"/>
            <w:hideMark/>
          </w:tcPr>
          <w:p w14:paraId="2A3561B9" w14:textId="77777777" w:rsidR="005D719C" w:rsidRPr="005E2D4B" w:rsidRDefault="005D719C" w:rsidP="00737954">
            <w:pPr>
              <w:spacing w:after="0" w:line="276" w:lineRule="auto"/>
              <w:jc w:val="right"/>
              <w:rPr>
                <w:rFonts w:cs="Arial"/>
                <w:sz w:val="16"/>
                <w:szCs w:val="16"/>
              </w:rPr>
            </w:pPr>
            <w:r w:rsidRPr="005E2D4B">
              <w:rPr>
                <w:rFonts w:cs="Arial"/>
                <w:sz w:val="16"/>
                <w:szCs w:val="16"/>
              </w:rPr>
              <w:t>36</w:t>
            </w:r>
          </w:p>
        </w:tc>
        <w:tc>
          <w:tcPr>
            <w:tcW w:w="1156" w:type="dxa"/>
            <w:shd w:val="clear" w:color="auto" w:fill="auto"/>
            <w:noWrap/>
            <w:vAlign w:val="center"/>
            <w:hideMark/>
          </w:tcPr>
          <w:p w14:paraId="5CF2B6B8" w14:textId="77777777" w:rsidR="005D719C" w:rsidRPr="005E2D4B" w:rsidRDefault="005D719C" w:rsidP="00737954">
            <w:pPr>
              <w:spacing w:after="0" w:line="276" w:lineRule="auto"/>
              <w:jc w:val="right"/>
              <w:rPr>
                <w:rFonts w:cs="Arial"/>
                <w:sz w:val="16"/>
                <w:szCs w:val="16"/>
              </w:rPr>
            </w:pPr>
            <w:r w:rsidRPr="005E2D4B">
              <w:rPr>
                <w:rFonts w:cs="Arial"/>
                <w:sz w:val="16"/>
                <w:szCs w:val="16"/>
              </w:rPr>
              <w:t>0</w:t>
            </w:r>
          </w:p>
        </w:tc>
        <w:tc>
          <w:tcPr>
            <w:tcW w:w="1156" w:type="dxa"/>
            <w:shd w:val="clear" w:color="auto" w:fill="auto"/>
            <w:noWrap/>
            <w:vAlign w:val="center"/>
            <w:hideMark/>
          </w:tcPr>
          <w:p w14:paraId="665899BE"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-42,6%</w:t>
            </w:r>
          </w:p>
        </w:tc>
        <w:tc>
          <w:tcPr>
            <w:tcW w:w="1159" w:type="dxa"/>
            <w:shd w:val="clear" w:color="auto" w:fill="auto"/>
            <w:noWrap/>
            <w:vAlign w:val="center"/>
            <w:hideMark/>
          </w:tcPr>
          <w:p w14:paraId="700EF340"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-100,0%</w:t>
            </w:r>
          </w:p>
        </w:tc>
      </w:tr>
      <w:tr w:rsidR="005D719C" w:rsidRPr="00FF7AC7" w14:paraId="30F64570" w14:textId="77777777" w:rsidTr="00737954">
        <w:trPr>
          <w:cantSplit/>
          <w:jc w:val="center"/>
        </w:trPr>
        <w:tc>
          <w:tcPr>
            <w:tcW w:w="3158" w:type="dxa"/>
            <w:shd w:val="clear" w:color="auto" w:fill="auto"/>
            <w:vAlign w:val="center"/>
            <w:hideMark/>
          </w:tcPr>
          <w:p w14:paraId="1B68A1ED" w14:textId="77777777" w:rsidR="005D719C" w:rsidRPr="00AD6989" w:rsidRDefault="005D719C" w:rsidP="00737954">
            <w:pPr>
              <w:spacing w:after="0" w:line="276" w:lineRule="auto"/>
              <w:jc w:val="left"/>
              <w:rPr>
                <w:rFonts w:cs="Arial"/>
                <w:sz w:val="16"/>
                <w:szCs w:val="16"/>
              </w:rPr>
            </w:pPr>
            <w:r w:rsidRPr="00AD6989">
              <w:rPr>
                <w:rFonts w:cs="Arial"/>
                <w:sz w:val="16"/>
                <w:szCs w:val="16"/>
              </w:rPr>
              <w:t>Επιστροφές από ανεκτέλεστα προγράμματα στην ΕΕ</w:t>
            </w:r>
          </w:p>
        </w:tc>
        <w:tc>
          <w:tcPr>
            <w:tcW w:w="1156" w:type="dxa"/>
            <w:shd w:val="clear" w:color="auto" w:fill="auto"/>
            <w:noWrap/>
            <w:vAlign w:val="center"/>
            <w:hideMark/>
          </w:tcPr>
          <w:p w14:paraId="1818C97B" w14:textId="77777777" w:rsidR="005D719C" w:rsidRPr="005E2D4B" w:rsidRDefault="005D719C" w:rsidP="00737954">
            <w:pPr>
              <w:spacing w:after="0" w:line="276" w:lineRule="auto"/>
              <w:jc w:val="right"/>
              <w:rPr>
                <w:rFonts w:cs="Arial"/>
                <w:sz w:val="16"/>
                <w:szCs w:val="16"/>
              </w:rPr>
            </w:pPr>
            <w:r w:rsidRPr="005E2D4B">
              <w:rPr>
                <w:rFonts w:cs="Arial"/>
                <w:sz w:val="16"/>
                <w:szCs w:val="16"/>
              </w:rPr>
              <w:t>63,48</w:t>
            </w:r>
          </w:p>
        </w:tc>
        <w:tc>
          <w:tcPr>
            <w:tcW w:w="1177" w:type="dxa"/>
            <w:shd w:val="clear" w:color="auto" w:fill="auto"/>
            <w:noWrap/>
            <w:vAlign w:val="center"/>
            <w:hideMark/>
          </w:tcPr>
          <w:p w14:paraId="09F638FF" w14:textId="77777777" w:rsidR="005D719C" w:rsidRPr="005E2D4B" w:rsidRDefault="005D719C" w:rsidP="00737954">
            <w:pPr>
              <w:spacing w:after="0" w:line="276" w:lineRule="auto"/>
              <w:jc w:val="right"/>
              <w:rPr>
                <w:rFonts w:cs="Arial"/>
                <w:sz w:val="16"/>
                <w:szCs w:val="16"/>
              </w:rPr>
            </w:pPr>
            <w:r w:rsidRPr="005E2D4B">
              <w:rPr>
                <w:rFonts w:cs="Arial"/>
                <w:sz w:val="16"/>
                <w:szCs w:val="16"/>
              </w:rPr>
              <w:t>100</w:t>
            </w:r>
          </w:p>
        </w:tc>
        <w:tc>
          <w:tcPr>
            <w:tcW w:w="1157" w:type="dxa"/>
            <w:shd w:val="clear" w:color="auto" w:fill="auto"/>
            <w:noWrap/>
            <w:vAlign w:val="center"/>
            <w:hideMark/>
          </w:tcPr>
          <w:p w14:paraId="45F542C9" w14:textId="77777777" w:rsidR="005D719C" w:rsidRPr="005E2D4B" w:rsidRDefault="005D719C" w:rsidP="00737954">
            <w:pPr>
              <w:spacing w:after="0" w:line="276" w:lineRule="auto"/>
              <w:jc w:val="right"/>
              <w:rPr>
                <w:rFonts w:cs="Arial"/>
                <w:sz w:val="16"/>
                <w:szCs w:val="16"/>
              </w:rPr>
            </w:pPr>
            <w:r w:rsidRPr="005E2D4B">
              <w:rPr>
                <w:rFonts w:cs="Arial"/>
                <w:sz w:val="16"/>
                <w:szCs w:val="16"/>
              </w:rPr>
              <w:t>80</w:t>
            </w:r>
          </w:p>
        </w:tc>
        <w:tc>
          <w:tcPr>
            <w:tcW w:w="1156" w:type="dxa"/>
            <w:shd w:val="clear" w:color="auto" w:fill="auto"/>
            <w:noWrap/>
            <w:vAlign w:val="center"/>
            <w:hideMark/>
          </w:tcPr>
          <w:p w14:paraId="6D10030A" w14:textId="77777777" w:rsidR="005D719C" w:rsidRPr="005E2D4B" w:rsidRDefault="005D719C" w:rsidP="00737954">
            <w:pPr>
              <w:spacing w:after="0" w:line="276" w:lineRule="auto"/>
              <w:jc w:val="right"/>
              <w:rPr>
                <w:rFonts w:cs="Arial"/>
                <w:sz w:val="16"/>
                <w:szCs w:val="16"/>
              </w:rPr>
            </w:pPr>
            <w:r w:rsidRPr="005E2D4B">
              <w:rPr>
                <w:rFonts w:cs="Arial"/>
                <w:sz w:val="16"/>
                <w:szCs w:val="16"/>
              </w:rPr>
              <w:t>100</w:t>
            </w:r>
          </w:p>
        </w:tc>
        <w:tc>
          <w:tcPr>
            <w:tcW w:w="1156" w:type="dxa"/>
            <w:shd w:val="clear" w:color="auto" w:fill="auto"/>
            <w:noWrap/>
            <w:vAlign w:val="center"/>
            <w:hideMark/>
          </w:tcPr>
          <w:p w14:paraId="1A5197A9"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26,0%</w:t>
            </w:r>
          </w:p>
        </w:tc>
        <w:tc>
          <w:tcPr>
            <w:tcW w:w="1159" w:type="dxa"/>
            <w:shd w:val="clear" w:color="auto" w:fill="auto"/>
            <w:noWrap/>
            <w:vAlign w:val="center"/>
            <w:hideMark/>
          </w:tcPr>
          <w:p w14:paraId="47340024"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25,0%</w:t>
            </w:r>
          </w:p>
        </w:tc>
      </w:tr>
      <w:tr w:rsidR="005D719C" w:rsidRPr="00FF7AC7" w14:paraId="1A43B6A2" w14:textId="77777777" w:rsidTr="00737954">
        <w:trPr>
          <w:cantSplit/>
          <w:jc w:val="center"/>
        </w:trPr>
        <w:tc>
          <w:tcPr>
            <w:tcW w:w="3158" w:type="dxa"/>
            <w:shd w:val="clear" w:color="auto" w:fill="F2F2F2" w:themeFill="background1" w:themeFillShade="F2"/>
            <w:vAlign w:val="center"/>
            <w:hideMark/>
          </w:tcPr>
          <w:p w14:paraId="72D2A3CA" w14:textId="77777777" w:rsidR="005D719C" w:rsidRPr="00AD6989" w:rsidRDefault="005D719C" w:rsidP="00737954">
            <w:pPr>
              <w:tabs>
                <w:tab w:val="left" w:pos="284"/>
              </w:tabs>
              <w:spacing w:after="0" w:line="276" w:lineRule="auto"/>
              <w:jc w:val="left"/>
              <w:rPr>
                <w:rFonts w:cs="Arial"/>
                <w:b/>
                <w:bCs/>
                <w:sz w:val="16"/>
                <w:szCs w:val="16"/>
              </w:rPr>
            </w:pPr>
            <w:r w:rsidRPr="00AD6989">
              <w:rPr>
                <w:rFonts w:cs="Arial"/>
                <w:b/>
                <w:bCs/>
                <w:sz w:val="16"/>
                <w:szCs w:val="16"/>
              </w:rPr>
              <w:t>ΙI.3</w:t>
            </w:r>
            <w:r>
              <w:rPr>
                <w:rFonts w:cs="Arial"/>
                <w:b/>
                <w:bCs/>
                <w:sz w:val="16"/>
                <w:szCs w:val="16"/>
              </w:rPr>
              <w:tab/>
            </w:r>
            <w:r w:rsidRPr="00AD6989">
              <w:rPr>
                <w:rFonts w:cs="Arial"/>
                <w:b/>
                <w:bCs/>
                <w:sz w:val="16"/>
                <w:szCs w:val="16"/>
              </w:rPr>
              <w:t>Λοιπές συνεισφορές εκτός προϋπολογισμού ΕΕ</w:t>
            </w:r>
          </w:p>
        </w:tc>
        <w:tc>
          <w:tcPr>
            <w:tcW w:w="1156" w:type="dxa"/>
            <w:shd w:val="clear" w:color="auto" w:fill="F2F2F2" w:themeFill="background1" w:themeFillShade="F2"/>
            <w:vAlign w:val="center"/>
            <w:hideMark/>
          </w:tcPr>
          <w:p w14:paraId="15E26EE0"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31,08</w:t>
            </w:r>
          </w:p>
        </w:tc>
        <w:tc>
          <w:tcPr>
            <w:tcW w:w="1177" w:type="dxa"/>
            <w:shd w:val="clear" w:color="auto" w:fill="F2F2F2" w:themeFill="background1" w:themeFillShade="F2"/>
            <w:vAlign w:val="center"/>
            <w:hideMark/>
          </w:tcPr>
          <w:p w14:paraId="2AC44FD5"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24</w:t>
            </w:r>
          </w:p>
        </w:tc>
        <w:tc>
          <w:tcPr>
            <w:tcW w:w="1157" w:type="dxa"/>
            <w:shd w:val="clear" w:color="auto" w:fill="F2F2F2" w:themeFill="background1" w:themeFillShade="F2"/>
            <w:vAlign w:val="center"/>
            <w:hideMark/>
          </w:tcPr>
          <w:p w14:paraId="48376AA8"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22</w:t>
            </w:r>
          </w:p>
        </w:tc>
        <w:tc>
          <w:tcPr>
            <w:tcW w:w="1156" w:type="dxa"/>
            <w:shd w:val="clear" w:color="auto" w:fill="F2F2F2" w:themeFill="background1" w:themeFillShade="F2"/>
            <w:vAlign w:val="center"/>
            <w:hideMark/>
          </w:tcPr>
          <w:p w14:paraId="1103856D"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22</w:t>
            </w:r>
          </w:p>
        </w:tc>
        <w:tc>
          <w:tcPr>
            <w:tcW w:w="1156" w:type="dxa"/>
            <w:shd w:val="clear" w:color="auto" w:fill="F2F2F2" w:themeFill="background1" w:themeFillShade="F2"/>
            <w:noWrap/>
            <w:vAlign w:val="center"/>
            <w:hideMark/>
          </w:tcPr>
          <w:p w14:paraId="4F226AA2"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-29,2%</w:t>
            </w:r>
          </w:p>
        </w:tc>
        <w:tc>
          <w:tcPr>
            <w:tcW w:w="1159" w:type="dxa"/>
            <w:shd w:val="clear" w:color="auto" w:fill="F2F2F2" w:themeFill="background1" w:themeFillShade="F2"/>
            <w:noWrap/>
            <w:vAlign w:val="center"/>
            <w:hideMark/>
          </w:tcPr>
          <w:p w14:paraId="76619FFD"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0,0%</w:t>
            </w:r>
          </w:p>
        </w:tc>
      </w:tr>
      <w:tr w:rsidR="005D719C" w:rsidRPr="00AD6989" w14:paraId="6AF575D5" w14:textId="77777777" w:rsidTr="00737954">
        <w:trPr>
          <w:cantSplit/>
          <w:jc w:val="center"/>
        </w:trPr>
        <w:tc>
          <w:tcPr>
            <w:tcW w:w="3158" w:type="dxa"/>
            <w:shd w:val="clear" w:color="auto" w:fill="auto"/>
            <w:vAlign w:val="center"/>
            <w:hideMark/>
          </w:tcPr>
          <w:p w14:paraId="32C212EF" w14:textId="77777777" w:rsidR="005D719C" w:rsidRPr="00AD6989" w:rsidRDefault="005D719C" w:rsidP="00737954">
            <w:pPr>
              <w:spacing w:after="0" w:line="276" w:lineRule="auto"/>
              <w:jc w:val="left"/>
              <w:rPr>
                <w:rFonts w:cs="Arial"/>
                <w:sz w:val="16"/>
                <w:szCs w:val="16"/>
              </w:rPr>
            </w:pPr>
            <w:r w:rsidRPr="00AD6989">
              <w:rPr>
                <w:rFonts w:cs="Arial"/>
                <w:sz w:val="16"/>
                <w:szCs w:val="16"/>
              </w:rPr>
              <w:t>Συμμετοχή στο Ευρωπαϊκό Ταμείο Ανάπτυξης</w:t>
            </w:r>
          </w:p>
        </w:tc>
        <w:tc>
          <w:tcPr>
            <w:tcW w:w="1156" w:type="dxa"/>
            <w:shd w:val="clear" w:color="auto" w:fill="auto"/>
            <w:noWrap/>
            <w:vAlign w:val="center"/>
            <w:hideMark/>
          </w:tcPr>
          <w:p w14:paraId="5A5D297F" w14:textId="77777777" w:rsidR="005D719C" w:rsidRPr="005E2D4B" w:rsidRDefault="005D719C" w:rsidP="00737954">
            <w:pPr>
              <w:spacing w:after="0" w:line="276" w:lineRule="auto"/>
              <w:jc w:val="right"/>
              <w:rPr>
                <w:rFonts w:cs="Arial"/>
                <w:sz w:val="16"/>
                <w:szCs w:val="16"/>
              </w:rPr>
            </w:pPr>
            <w:r w:rsidRPr="005E2D4B">
              <w:rPr>
                <w:rFonts w:cs="Arial"/>
                <w:sz w:val="16"/>
                <w:szCs w:val="16"/>
              </w:rPr>
              <w:t>22,51</w:t>
            </w:r>
          </w:p>
        </w:tc>
        <w:tc>
          <w:tcPr>
            <w:tcW w:w="1177" w:type="dxa"/>
            <w:shd w:val="clear" w:color="auto" w:fill="auto"/>
            <w:noWrap/>
            <w:vAlign w:val="center"/>
            <w:hideMark/>
          </w:tcPr>
          <w:p w14:paraId="430DE2B3" w14:textId="77777777" w:rsidR="005D719C" w:rsidRPr="005E2D4B" w:rsidRDefault="005D719C" w:rsidP="00737954">
            <w:pPr>
              <w:spacing w:after="0" w:line="276" w:lineRule="auto"/>
              <w:jc w:val="right"/>
              <w:rPr>
                <w:rFonts w:cs="Arial"/>
                <w:sz w:val="16"/>
                <w:szCs w:val="16"/>
              </w:rPr>
            </w:pPr>
            <w:r w:rsidRPr="005E2D4B">
              <w:rPr>
                <w:rFonts w:cs="Arial"/>
                <w:sz w:val="16"/>
                <w:szCs w:val="16"/>
              </w:rPr>
              <w:t>12</w:t>
            </w:r>
          </w:p>
        </w:tc>
        <w:tc>
          <w:tcPr>
            <w:tcW w:w="1157" w:type="dxa"/>
            <w:shd w:val="clear" w:color="auto" w:fill="auto"/>
            <w:noWrap/>
            <w:vAlign w:val="center"/>
            <w:hideMark/>
          </w:tcPr>
          <w:p w14:paraId="06BEC6A5" w14:textId="77777777" w:rsidR="005D719C" w:rsidRPr="005E2D4B" w:rsidRDefault="005D719C" w:rsidP="00737954">
            <w:pPr>
              <w:spacing w:after="0" w:line="276" w:lineRule="auto"/>
              <w:jc w:val="right"/>
              <w:rPr>
                <w:rFonts w:cs="Arial"/>
                <w:sz w:val="16"/>
                <w:szCs w:val="16"/>
              </w:rPr>
            </w:pPr>
            <w:r w:rsidRPr="005E2D4B">
              <w:rPr>
                <w:rFonts w:cs="Arial"/>
                <w:sz w:val="16"/>
                <w:szCs w:val="16"/>
              </w:rPr>
              <w:t>12</w:t>
            </w:r>
          </w:p>
        </w:tc>
        <w:tc>
          <w:tcPr>
            <w:tcW w:w="1156" w:type="dxa"/>
            <w:shd w:val="clear" w:color="auto" w:fill="auto"/>
            <w:noWrap/>
            <w:vAlign w:val="center"/>
            <w:hideMark/>
          </w:tcPr>
          <w:p w14:paraId="5FD764B5" w14:textId="77777777" w:rsidR="005D719C" w:rsidRPr="005E2D4B" w:rsidRDefault="005D719C" w:rsidP="00737954">
            <w:pPr>
              <w:spacing w:after="0" w:line="276" w:lineRule="auto"/>
              <w:jc w:val="right"/>
              <w:rPr>
                <w:rFonts w:cs="Arial"/>
                <w:sz w:val="16"/>
                <w:szCs w:val="16"/>
              </w:rPr>
            </w:pPr>
            <w:r w:rsidRPr="005E2D4B">
              <w:rPr>
                <w:rFonts w:cs="Arial"/>
                <w:sz w:val="16"/>
                <w:szCs w:val="16"/>
              </w:rPr>
              <w:t>11</w:t>
            </w:r>
          </w:p>
        </w:tc>
        <w:tc>
          <w:tcPr>
            <w:tcW w:w="1156" w:type="dxa"/>
            <w:shd w:val="clear" w:color="auto" w:fill="auto"/>
            <w:noWrap/>
            <w:vAlign w:val="center"/>
            <w:hideMark/>
          </w:tcPr>
          <w:p w14:paraId="653F5981"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-46,6%</w:t>
            </w:r>
          </w:p>
        </w:tc>
        <w:tc>
          <w:tcPr>
            <w:tcW w:w="1159" w:type="dxa"/>
            <w:shd w:val="clear" w:color="auto" w:fill="auto"/>
            <w:noWrap/>
            <w:vAlign w:val="center"/>
            <w:hideMark/>
          </w:tcPr>
          <w:p w14:paraId="4A599D54"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-8,3%</w:t>
            </w:r>
          </w:p>
        </w:tc>
      </w:tr>
      <w:tr w:rsidR="005D719C" w:rsidRPr="00FF7AC7" w14:paraId="087D4E30" w14:textId="77777777" w:rsidTr="00737954">
        <w:trPr>
          <w:cantSplit/>
          <w:jc w:val="center"/>
        </w:trPr>
        <w:tc>
          <w:tcPr>
            <w:tcW w:w="3158" w:type="dxa"/>
            <w:tcBorders>
              <w:bottom w:val="nil"/>
            </w:tcBorders>
            <w:shd w:val="clear" w:color="auto" w:fill="auto"/>
            <w:vAlign w:val="center"/>
            <w:hideMark/>
          </w:tcPr>
          <w:p w14:paraId="65B64FCF" w14:textId="77777777" w:rsidR="005D719C" w:rsidRPr="00AD6989" w:rsidRDefault="005D719C" w:rsidP="00737954">
            <w:pPr>
              <w:spacing w:after="0" w:line="276" w:lineRule="auto"/>
              <w:jc w:val="left"/>
              <w:rPr>
                <w:rFonts w:cs="Arial"/>
                <w:sz w:val="16"/>
                <w:szCs w:val="16"/>
              </w:rPr>
            </w:pPr>
            <w:r w:rsidRPr="00AD6989">
              <w:rPr>
                <w:rFonts w:cs="Arial"/>
                <w:sz w:val="16"/>
                <w:szCs w:val="16"/>
              </w:rPr>
              <w:t>Λοιπές αποδόσεις</w:t>
            </w:r>
          </w:p>
        </w:tc>
        <w:tc>
          <w:tcPr>
            <w:tcW w:w="1156" w:type="dxa"/>
            <w:tcBorders>
              <w:bottom w:val="nil"/>
            </w:tcBorders>
            <w:shd w:val="clear" w:color="auto" w:fill="auto"/>
            <w:noWrap/>
            <w:vAlign w:val="center"/>
            <w:hideMark/>
          </w:tcPr>
          <w:p w14:paraId="1E20938A" w14:textId="77777777" w:rsidR="005D719C" w:rsidRPr="005E2D4B" w:rsidRDefault="005D719C" w:rsidP="00737954">
            <w:pPr>
              <w:spacing w:after="0" w:line="276" w:lineRule="auto"/>
              <w:jc w:val="right"/>
              <w:rPr>
                <w:rFonts w:cs="Arial"/>
                <w:sz w:val="16"/>
                <w:szCs w:val="16"/>
              </w:rPr>
            </w:pPr>
            <w:r w:rsidRPr="005E2D4B">
              <w:rPr>
                <w:rFonts w:cs="Arial"/>
                <w:sz w:val="16"/>
                <w:szCs w:val="16"/>
              </w:rPr>
              <w:t>8,57</w:t>
            </w:r>
          </w:p>
        </w:tc>
        <w:tc>
          <w:tcPr>
            <w:tcW w:w="1177" w:type="dxa"/>
            <w:tcBorders>
              <w:bottom w:val="nil"/>
            </w:tcBorders>
            <w:shd w:val="clear" w:color="auto" w:fill="auto"/>
            <w:noWrap/>
            <w:vAlign w:val="center"/>
            <w:hideMark/>
          </w:tcPr>
          <w:p w14:paraId="62C8D8B7" w14:textId="77777777" w:rsidR="005D719C" w:rsidRPr="005E2D4B" w:rsidRDefault="005D719C" w:rsidP="00737954">
            <w:pPr>
              <w:spacing w:after="0" w:line="276" w:lineRule="auto"/>
              <w:jc w:val="right"/>
              <w:rPr>
                <w:rFonts w:cs="Arial"/>
                <w:sz w:val="16"/>
                <w:szCs w:val="16"/>
              </w:rPr>
            </w:pPr>
            <w:r w:rsidRPr="005E2D4B">
              <w:rPr>
                <w:rFonts w:cs="Arial"/>
                <w:sz w:val="16"/>
                <w:szCs w:val="16"/>
              </w:rPr>
              <w:t>12</w:t>
            </w:r>
          </w:p>
        </w:tc>
        <w:tc>
          <w:tcPr>
            <w:tcW w:w="1157" w:type="dxa"/>
            <w:tcBorders>
              <w:bottom w:val="nil"/>
            </w:tcBorders>
            <w:shd w:val="clear" w:color="auto" w:fill="auto"/>
            <w:noWrap/>
            <w:vAlign w:val="center"/>
            <w:hideMark/>
          </w:tcPr>
          <w:p w14:paraId="4E2EDE8A" w14:textId="77777777" w:rsidR="005D719C" w:rsidRPr="005E2D4B" w:rsidRDefault="005D719C" w:rsidP="00737954">
            <w:pPr>
              <w:spacing w:after="0" w:line="276" w:lineRule="auto"/>
              <w:jc w:val="right"/>
              <w:rPr>
                <w:rFonts w:cs="Arial"/>
                <w:sz w:val="16"/>
                <w:szCs w:val="16"/>
              </w:rPr>
            </w:pPr>
            <w:r w:rsidRPr="005E2D4B">
              <w:rPr>
                <w:rFonts w:cs="Arial"/>
                <w:sz w:val="16"/>
                <w:szCs w:val="16"/>
              </w:rPr>
              <w:t>10</w:t>
            </w:r>
          </w:p>
        </w:tc>
        <w:tc>
          <w:tcPr>
            <w:tcW w:w="1156" w:type="dxa"/>
            <w:tcBorders>
              <w:bottom w:val="nil"/>
            </w:tcBorders>
            <w:shd w:val="clear" w:color="auto" w:fill="auto"/>
            <w:noWrap/>
            <w:vAlign w:val="center"/>
            <w:hideMark/>
          </w:tcPr>
          <w:p w14:paraId="771C29D9" w14:textId="77777777" w:rsidR="005D719C" w:rsidRPr="005E2D4B" w:rsidRDefault="005D719C" w:rsidP="00737954">
            <w:pPr>
              <w:spacing w:after="0" w:line="276" w:lineRule="auto"/>
              <w:jc w:val="right"/>
              <w:rPr>
                <w:rFonts w:cs="Arial"/>
                <w:sz w:val="16"/>
                <w:szCs w:val="16"/>
              </w:rPr>
            </w:pPr>
            <w:r w:rsidRPr="005E2D4B">
              <w:rPr>
                <w:rFonts w:cs="Arial"/>
                <w:sz w:val="16"/>
                <w:szCs w:val="16"/>
              </w:rPr>
              <w:t>11</w:t>
            </w:r>
          </w:p>
        </w:tc>
        <w:tc>
          <w:tcPr>
            <w:tcW w:w="1156" w:type="dxa"/>
            <w:tcBorders>
              <w:bottom w:val="nil"/>
            </w:tcBorders>
            <w:shd w:val="clear" w:color="auto" w:fill="auto"/>
            <w:noWrap/>
            <w:vAlign w:val="center"/>
            <w:hideMark/>
          </w:tcPr>
          <w:p w14:paraId="0E7E623F"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16,6%</w:t>
            </w:r>
          </w:p>
        </w:tc>
        <w:tc>
          <w:tcPr>
            <w:tcW w:w="1159" w:type="dxa"/>
            <w:tcBorders>
              <w:bottom w:val="nil"/>
            </w:tcBorders>
            <w:shd w:val="clear" w:color="auto" w:fill="auto"/>
            <w:noWrap/>
            <w:vAlign w:val="center"/>
            <w:hideMark/>
          </w:tcPr>
          <w:p w14:paraId="218BBA78" w14:textId="77777777" w:rsidR="005D719C" w:rsidRPr="005E2D4B" w:rsidRDefault="005D719C" w:rsidP="00737954">
            <w:pPr>
              <w:spacing w:after="0" w:line="276" w:lineRule="auto"/>
              <w:jc w:val="right"/>
              <w:rPr>
                <w:rFonts w:cs="Arial"/>
                <w:b/>
                <w:bCs/>
                <w:sz w:val="16"/>
                <w:szCs w:val="16"/>
              </w:rPr>
            </w:pPr>
            <w:r w:rsidRPr="005E2D4B">
              <w:rPr>
                <w:rFonts w:cs="Arial"/>
                <w:b/>
                <w:bCs/>
                <w:sz w:val="16"/>
                <w:szCs w:val="16"/>
              </w:rPr>
              <w:t>10,0%</w:t>
            </w:r>
          </w:p>
        </w:tc>
      </w:tr>
      <w:tr w:rsidR="005D719C" w:rsidRPr="00FF7AC7" w14:paraId="687AF75D" w14:textId="77777777" w:rsidTr="00737954">
        <w:trPr>
          <w:cantSplit/>
          <w:trHeight w:val="227"/>
          <w:jc w:val="center"/>
        </w:trPr>
        <w:tc>
          <w:tcPr>
            <w:tcW w:w="3158" w:type="dxa"/>
            <w:tcBorders>
              <w:top w:val="nil"/>
              <w:bottom w:val="single" w:sz="2" w:space="0" w:color="A6A6A6" w:themeColor="background1" w:themeShade="A6"/>
            </w:tcBorders>
            <w:shd w:val="clear" w:color="auto" w:fill="D5DCE4"/>
            <w:vAlign w:val="center"/>
            <w:hideMark/>
          </w:tcPr>
          <w:p w14:paraId="4A2D2A94" w14:textId="77777777" w:rsidR="005D719C" w:rsidRPr="00AD6989" w:rsidRDefault="005D719C" w:rsidP="00737954">
            <w:pPr>
              <w:spacing w:after="0" w:line="276" w:lineRule="auto"/>
              <w:jc w:val="left"/>
              <w:rPr>
                <w:rFonts w:cs="Arial"/>
                <w:b/>
                <w:bCs/>
                <w:iCs/>
                <w:color w:val="000000"/>
                <w:sz w:val="16"/>
                <w:szCs w:val="16"/>
              </w:rPr>
            </w:pPr>
            <w:r w:rsidRPr="00AD6989">
              <w:rPr>
                <w:rFonts w:cs="Arial"/>
                <w:b/>
                <w:bCs/>
                <w:iCs/>
                <w:color w:val="000000"/>
                <w:sz w:val="16"/>
                <w:szCs w:val="16"/>
              </w:rPr>
              <w:t>Αποτέλεσμα (Ι - ΙI)</w:t>
            </w:r>
          </w:p>
        </w:tc>
        <w:tc>
          <w:tcPr>
            <w:tcW w:w="1156" w:type="dxa"/>
            <w:tcBorders>
              <w:top w:val="nil"/>
              <w:bottom w:val="single" w:sz="2" w:space="0" w:color="A6A6A6" w:themeColor="background1" w:themeShade="A6"/>
            </w:tcBorders>
            <w:shd w:val="clear" w:color="auto" w:fill="D5DCE4"/>
            <w:noWrap/>
            <w:vAlign w:val="center"/>
            <w:hideMark/>
          </w:tcPr>
          <w:p w14:paraId="41C750DF" w14:textId="77777777" w:rsidR="005D719C" w:rsidRPr="005E2D4B" w:rsidRDefault="005D719C" w:rsidP="00737954">
            <w:pPr>
              <w:spacing w:after="0" w:line="276" w:lineRule="auto"/>
              <w:jc w:val="right"/>
              <w:rPr>
                <w:rFonts w:cs="Arial"/>
                <w:b/>
                <w:bCs/>
                <w:iCs/>
                <w:sz w:val="16"/>
                <w:szCs w:val="16"/>
              </w:rPr>
            </w:pPr>
            <w:r w:rsidRPr="005E2D4B">
              <w:rPr>
                <w:rFonts w:cs="Arial"/>
                <w:b/>
                <w:bCs/>
                <w:iCs/>
                <w:sz w:val="16"/>
                <w:szCs w:val="16"/>
              </w:rPr>
              <w:t>3.784</w:t>
            </w:r>
          </w:p>
        </w:tc>
        <w:tc>
          <w:tcPr>
            <w:tcW w:w="1177" w:type="dxa"/>
            <w:tcBorders>
              <w:top w:val="nil"/>
              <w:bottom w:val="single" w:sz="2" w:space="0" w:color="A6A6A6" w:themeColor="background1" w:themeShade="A6"/>
            </w:tcBorders>
            <w:shd w:val="clear" w:color="auto" w:fill="D5DCE4"/>
            <w:vAlign w:val="center"/>
            <w:hideMark/>
          </w:tcPr>
          <w:p w14:paraId="16766470" w14:textId="77777777" w:rsidR="005D719C" w:rsidRPr="005E2D4B" w:rsidRDefault="005D719C" w:rsidP="00737954">
            <w:pPr>
              <w:spacing w:after="0" w:line="276" w:lineRule="auto"/>
              <w:jc w:val="right"/>
              <w:rPr>
                <w:rFonts w:cs="Arial"/>
                <w:b/>
                <w:bCs/>
                <w:iCs/>
                <w:sz w:val="16"/>
                <w:szCs w:val="16"/>
              </w:rPr>
            </w:pPr>
            <w:r w:rsidRPr="005E2D4B">
              <w:rPr>
                <w:rFonts w:cs="Arial"/>
                <w:b/>
                <w:bCs/>
                <w:iCs/>
                <w:sz w:val="16"/>
                <w:szCs w:val="16"/>
              </w:rPr>
              <w:t>3.697</w:t>
            </w:r>
          </w:p>
        </w:tc>
        <w:tc>
          <w:tcPr>
            <w:tcW w:w="1157" w:type="dxa"/>
            <w:tcBorders>
              <w:top w:val="nil"/>
              <w:bottom w:val="single" w:sz="2" w:space="0" w:color="A6A6A6" w:themeColor="background1" w:themeShade="A6"/>
            </w:tcBorders>
            <w:shd w:val="clear" w:color="auto" w:fill="D5DCE4"/>
            <w:vAlign w:val="center"/>
            <w:hideMark/>
          </w:tcPr>
          <w:p w14:paraId="56F7E5F7" w14:textId="77777777" w:rsidR="005D719C" w:rsidRPr="005E2D4B" w:rsidRDefault="005D719C" w:rsidP="00737954">
            <w:pPr>
              <w:spacing w:after="0" w:line="276" w:lineRule="auto"/>
              <w:jc w:val="right"/>
              <w:rPr>
                <w:rFonts w:cs="Arial"/>
                <w:b/>
                <w:bCs/>
                <w:iCs/>
                <w:sz w:val="16"/>
                <w:szCs w:val="16"/>
              </w:rPr>
            </w:pPr>
            <w:r w:rsidRPr="005E2D4B">
              <w:rPr>
                <w:rFonts w:cs="Arial"/>
                <w:b/>
                <w:bCs/>
                <w:iCs/>
                <w:sz w:val="16"/>
                <w:szCs w:val="16"/>
              </w:rPr>
              <w:t>3.560</w:t>
            </w:r>
          </w:p>
        </w:tc>
        <w:tc>
          <w:tcPr>
            <w:tcW w:w="1156" w:type="dxa"/>
            <w:tcBorders>
              <w:top w:val="nil"/>
              <w:bottom w:val="single" w:sz="2" w:space="0" w:color="A6A6A6" w:themeColor="background1" w:themeShade="A6"/>
            </w:tcBorders>
            <w:shd w:val="clear" w:color="auto" w:fill="D5DCE4"/>
            <w:vAlign w:val="center"/>
            <w:hideMark/>
          </w:tcPr>
          <w:p w14:paraId="7F3E274B" w14:textId="77777777" w:rsidR="005D719C" w:rsidRPr="005E2D4B" w:rsidRDefault="005D719C" w:rsidP="00737954">
            <w:pPr>
              <w:spacing w:after="0" w:line="276" w:lineRule="auto"/>
              <w:jc w:val="right"/>
              <w:rPr>
                <w:rFonts w:cs="Arial"/>
                <w:b/>
                <w:bCs/>
                <w:iCs/>
                <w:sz w:val="16"/>
                <w:szCs w:val="16"/>
              </w:rPr>
            </w:pPr>
            <w:r w:rsidRPr="005E2D4B">
              <w:rPr>
                <w:rFonts w:cs="Arial"/>
                <w:b/>
                <w:bCs/>
                <w:iCs/>
                <w:sz w:val="16"/>
                <w:szCs w:val="16"/>
              </w:rPr>
              <w:t>3.425</w:t>
            </w:r>
          </w:p>
        </w:tc>
        <w:tc>
          <w:tcPr>
            <w:tcW w:w="1156" w:type="dxa"/>
            <w:tcBorders>
              <w:top w:val="nil"/>
              <w:bottom w:val="single" w:sz="2" w:space="0" w:color="A6A6A6" w:themeColor="background1" w:themeShade="A6"/>
            </w:tcBorders>
            <w:shd w:val="clear" w:color="auto" w:fill="D5DCE4"/>
            <w:noWrap/>
            <w:vAlign w:val="center"/>
            <w:hideMark/>
          </w:tcPr>
          <w:p w14:paraId="0E765E09" w14:textId="77777777" w:rsidR="005D719C" w:rsidRPr="005E2D4B" w:rsidRDefault="005D719C" w:rsidP="00737954">
            <w:pPr>
              <w:spacing w:after="0" w:line="276" w:lineRule="auto"/>
              <w:jc w:val="right"/>
              <w:rPr>
                <w:rFonts w:cs="Arial"/>
                <w:b/>
                <w:bCs/>
                <w:iCs/>
                <w:sz w:val="16"/>
                <w:szCs w:val="16"/>
              </w:rPr>
            </w:pPr>
            <w:r w:rsidRPr="005E2D4B">
              <w:rPr>
                <w:rFonts w:cs="Arial"/>
                <w:b/>
                <w:bCs/>
                <w:iCs/>
                <w:sz w:val="16"/>
                <w:szCs w:val="16"/>
              </w:rPr>
              <w:t>-5,9%</w:t>
            </w:r>
          </w:p>
        </w:tc>
        <w:tc>
          <w:tcPr>
            <w:tcW w:w="1159" w:type="dxa"/>
            <w:tcBorders>
              <w:top w:val="nil"/>
              <w:bottom w:val="single" w:sz="2" w:space="0" w:color="A6A6A6" w:themeColor="background1" w:themeShade="A6"/>
            </w:tcBorders>
            <w:shd w:val="clear" w:color="auto" w:fill="D5DCE4"/>
            <w:noWrap/>
            <w:vAlign w:val="center"/>
            <w:hideMark/>
          </w:tcPr>
          <w:p w14:paraId="6E02476C" w14:textId="77777777" w:rsidR="005D719C" w:rsidRPr="005E2D4B" w:rsidRDefault="005D719C" w:rsidP="00737954">
            <w:pPr>
              <w:spacing w:after="0" w:line="276" w:lineRule="auto"/>
              <w:jc w:val="right"/>
              <w:rPr>
                <w:rFonts w:cs="Arial"/>
                <w:b/>
                <w:bCs/>
                <w:iCs/>
                <w:sz w:val="16"/>
                <w:szCs w:val="16"/>
              </w:rPr>
            </w:pPr>
            <w:r w:rsidRPr="005E2D4B">
              <w:rPr>
                <w:rFonts w:cs="Arial"/>
                <w:b/>
                <w:bCs/>
                <w:iCs/>
                <w:sz w:val="16"/>
                <w:szCs w:val="16"/>
              </w:rPr>
              <w:t>-3,7%</w:t>
            </w:r>
          </w:p>
        </w:tc>
      </w:tr>
      <w:tr w:rsidR="005D719C" w:rsidRPr="00AD6989" w14:paraId="6453F669" w14:textId="77777777" w:rsidTr="00737954">
        <w:trPr>
          <w:cantSplit/>
          <w:jc w:val="center"/>
        </w:trPr>
        <w:tc>
          <w:tcPr>
            <w:tcW w:w="10119" w:type="dxa"/>
            <w:gridSpan w:val="7"/>
            <w:tcBorders>
              <w:top w:val="single" w:sz="2" w:space="0" w:color="A6A6A6" w:themeColor="background1" w:themeShade="A6"/>
              <w:left w:val="nil"/>
              <w:bottom w:val="nil"/>
              <w:right w:val="nil"/>
            </w:tcBorders>
            <w:shd w:val="clear" w:color="auto" w:fill="auto"/>
            <w:noWrap/>
            <w:vAlign w:val="bottom"/>
            <w:hideMark/>
          </w:tcPr>
          <w:p w14:paraId="507091D0" w14:textId="77777777" w:rsidR="005D719C" w:rsidRDefault="005D719C" w:rsidP="00737954">
            <w:pPr>
              <w:tabs>
                <w:tab w:val="left" w:pos="153"/>
              </w:tabs>
              <w:spacing w:before="60" w:after="0" w:line="276" w:lineRule="auto"/>
              <w:rPr>
                <w:rFonts w:cs="Arial"/>
                <w:sz w:val="16"/>
                <w:szCs w:val="16"/>
              </w:rPr>
            </w:pPr>
            <w:r>
              <w:rPr>
                <w:rFonts w:cs="Arial"/>
                <w:sz w:val="16"/>
                <w:szCs w:val="16"/>
              </w:rPr>
              <w:t>Σημειώσεις:</w:t>
            </w:r>
          </w:p>
          <w:p w14:paraId="0996A90A" w14:textId="77777777" w:rsidR="005D719C" w:rsidRPr="00526439" w:rsidRDefault="005D719C" w:rsidP="00737954">
            <w:pPr>
              <w:pStyle w:val="af0"/>
              <w:numPr>
                <w:ilvl w:val="0"/>
                <w:numId w:val="26"/>
              </w:numPr>
              <w:tabs>
                <w:tab w:val="left" w:pos="227"/>
              </w:tabs>
              <w:spacing w:before="60" w:after="0"/>
              <w:ind w:left="227" w:hanging="227"/>
              <w:contextualSpacing w:val="0"/>
              <w:rPr>
                <w:rFonts w:ascii="Arial" w:hAnsi="Arial" w:cs="Arial"/>
                <w:sz w:val="16"/>
                <w:szCs w:val="16"/>
              </w:rPr>
            </w:pPr>
            <w:r w:rsidRPr="00526439">
              <w:rPr>
                <w:rFonts w:ascii="Arial" w:hAnsi="Arial" w:cs="Arial"/>
                <w:sz w:val="16"/>
                <w:szCs w:val="16"/>
              </w:rPr>
              <w:t>Ο πίνακας δεν περιλαμβάνει τη συνεισφορά της Ελλάδας στο πρόγραμμα InvestEU σχετικά με την εξυπηρέτηση προγραμμάτων του ΤΑΑ.</w:t>
            </w:r>
          </w:p>
          <w:p w14:paraId="73DF9B41" w14:textId="77777777" w:rsidR="005D719C" w:rsidRPr="00AD6989" w:rsidRDefault="005D719C" w:rsidP="00737954">
            <w:pPr>
              <w:pStyle w:val="af0"/>
              <w:numPr>
                <w:ilvl w:val="0"/>
                <w:numId w:val="26"/>
              </w:numPr>
              <w:tabs>
                <w:tab w:val="left" w:pos="227"/>
              </w:tabs>
              <w:spacing w:before="60" w:after="0"/>
              <w:ind w:left="227" w:hanging="227"/>
              <w:contextualSpacing w:val="0"/>
              <w:rPr>
                <w:rFonts w:ascii="Arial" w:hAnsi="Arial" w:cs="Arial"/>
                <w:sz w:val="16"/>
                <w:szCs w:val="16"/>
              </w:rPr>
            </w:pPr>
            <w:r w:rsidRPr="00AD6989">
              <w:rPr>
                <w:rFonts w:ascii="Arial" w:hAnsi="Arial" w:cs="Arial"/>
                <w:sz w:val="16"/>
                <w:szCs w:val="16"/>
              </w:rPr>
              <w:t xml:space="preserve">Η γραμμή </w:t>
            </w:r>
            <w:r>
              <w:rPr>
                <w:rFonts w:ascii="Arial" w:hAnsi="Arial" w:cs="Arial"/>
                <w:sz w:val="16"/>
                <w:szCs w:val="16"/>
              </w:rPr>
              <w:t>«</w:t>
            </w:r>
            <w:r w:rsidRPr="00AD6989">
              <w:rPr>
                <w:rFonts w:ascii="Arial" w:hAnsi="Arial" w:cs="Arial"/>
                <w:sz w:val="16"/>
                <w:szCs w:val="16"/>
              </w:rPr>
              <w:t>Πρόσθετες ή έκτακτες συνεισφορές στην ΕΕ και λοιπά πρόστιμα από ΕΕ</w:t>
            </w:r>
            <w:r>
              <w:rPr>
                <w:rFonts w:ascii="Arial" w:hAnsi="Arial" w:cs="Arial"/>
                <w:sz w:val="16"/>
                <w:szCs w:val="16"/>
              </w:rPr>
              <w:t>»</w:t>
            </w:r>
            <w:r w:rsidRPr="00AD6989">
              <w:rPr>
                <w:rFonts w:ascii="Arial" w:hAnsi="Arial" w:cs="Arial"/>
                <w:sz w:val="16"/>
                <w:szCs w:val="16"/>
              </w:rPr>
              <w:t xml:space="preserve"> περιλαμβάνει τα ποσά που πληρώνονται βάσει αποφάσεων του Ευρωπαϊκού Δικαστηρίου.</w:t>
            </w:r>
          </w:p>
        </w:tc>
      </w:tr>
    </w:tbl>
    <w:p w14:paraId="6C4F14C4" w14:textId="77F6170D" w:rsidR="005D719C" w:rsidRDefault="005D719C" w:rsidP="00DF4A88">
      <w:pPr>
        <w:spacing w:before="240"/>
        <w:rPr>
          <w:bCs/>
          <w:highlight w:val="yellow"/>
        </w:rPr>
      </w:pPr>
      <w:r w:rsidRPr="00467156">
        <w:rPr>
          <w:bCs/>
        </w:rPr>
        <w:lastRenderedPageBreak/>
        <w:t xml:space="preserve">Ειδικότερα, η μεταφορά πόρων από την ΕΕ στην ελληνική οικονομία συμβάλλει στη χρηματοδότηση των μεγάλων έργων υποδομών κυρίως στους τομείς μεταφορών, </w:t>
      </w:r>
      <w:r w:rsidRPr="008C00B4">
        <w:rPr>
          <w:bCs/>
        </w:rPr>
        <w:t xml:space="preserve">περιβάλλοντος και ενέργειας </w:t>
      </w:r>
      <w:r>
        <w:rPr>
          <w:bCs/>
        </w:rPr>
        <w:t xml:space="preserve">καθώς και </w:t>
      </w:r>
      <w:r w:rsidRPr="008C00B4">
        <w:rPr>
          <w:bCs/>
        </w:rPr>
        <w:t xml:space="preserve">στην ενίσχυση της κοινωνικής πολιτικής, </w:t>
      </w:r>
      <w:r>
        <w:rPr>
          <w:bCs/>
        </w:rPr>
        <w:t xml:space="preserve">της </w:t>
      </w:r>
      <w:r w:rsidRPr="008C00B4">
        <w:rPr>
          <w:bCs/>
        </w:rPr>
        <w:t>περιφερειακής ανάπτυξης, της επαγγελματικής εκπαίδευσης και κατάρτισης, της έρευνας, της καινοτομίας και της επιχειρηματικότητας. Ένα σημαντικό τμήμα ευρωπαϊκών πόρων προορίζεται για τον γεωργικό τομέα μέσω των εισοδηματικών ενισχύσεων από το ΕΓΤΕ και των προγραμμάτων για την αγροτική ανάπτυξη από το ΕΓΤΑΑ, με στόχο τη διασφάλιση της πρόσβασης σε ασφαλή και υψηλής ποιότητας τρόφιμα και τη μετάβαση προς μ</w:t>
      </w:r>
      <w:r>
        <w:rPr>
          <w:bCs/>
        </w:rPr>
        <w:t>ί</w:t>
      </w:r>
      <w:r w:rsidRPr="008C00B4">
        <w:rPr>
          <w:bCs/>
        </w:rPr>
        <w:t>α βιώσιμη γεωργία και</w:t>
      </w:r>
      <w:r w:rsidRPr="00467156">
        <w:rPr>
          <w:bCs/>
        </w:rPr>
        <w:t xml:space="preserve"> αγροτική πολιτική. </w:t>
      </w:r>
      <w:r w:rsidRPr="0072621D">
        <w:rPr>
          <w:bCs/>
        </w:rPr>
        <w:t>Τέλος, χρηματοδοτούνται μέτρα και δράσεις που αποσκοπούν στην αντιμετώπιση προκλήσεων</w:t>
      </w:r>
      <w:r>
        <w:rPr>
          <w:bCs/>
        </w:rPr>
        <w:t>,</w:t>
      </w:r>
      <w:r w:rsidRPr="0072621D">
        <w:rPr>
          <w:bCs/>
        </w:rPr>
        <w:t xml:space="preserve"> όπως η προώθηση της πράσινης και</w:t>
      </w:r>
      <w:r>
        <w:rPr>
          <w:bCs/>
        </w:rPr>
        <w:t xml:space="preserve"> της</w:t>
      </w:r>
      <w:r w:rsidRPr="0072621D">
        <w:rPr>
          <w:bCs/>
        </w:rPr>
        <w:t xml:space="preserve"> ψηφιακής μετάβασης, η καταπολέμηση της κλιματικής αλλαγής, </w:t>
      </w:r>
      <w:r>
        <w:rPr>
          <w:bCs/>
        </w:rPr>
        <w:t xml:space="preserve">η διαχείριση των μεταναστευτικών ροών καθώς και </w:t>
      </w:r>
      <w:r w:rsidRPr="0072621D">
        <w:rPr>
          <w:bCs/>
        </w:rPr>
        <w:t>η προστασία των εξωτερικών συνόρων.</w:t>
      </w:r>
    </w:p>
    <w:p w14:paraId="6D327FEA" w14:textId="5DB39DCB" w:rsidR="00FD46BC" w:rsidRPr="000D7799" w:rsidRDefault="008D2891" w:rsidP="00300BBF">
      <w:pPr>
        <w:pStyle w:val="5"/>
      </w:pPr>
      <w:bookmarkStart w:id="382" w:name="_Toc214473768"/>
      <w:r w:rsidRPr="000D7799">
        <w:t>Χρηματοροές μεταξύ Ελλάδας και Ευρωπαϊκής Ένωσης το 202</w:t>
      </w:r>
      <w:r w:rsidR="00B14B71">
        <w:t>5</w:t>
      </w:r>
      <w:bookmarkEnd w:id="382"/>
    </w:p>
    <w:p w14:paraId="456224DA" w14:textId="77777777" w:rsidR="008D2891" w:rsidRPr="00283BA8" w:rsidRDefault="008D2891" w:rsidP="00635942">
      <w:pPr>
        <w:spacing w:before="240"/>
        <w:rPr>
          <w:b/>
          <w:color w:val="2F5496"/>
          <w:szCs w:val="20"/>
        </w:rPr>
      </w:pPr>
      <w:r w:rsidRPr="00283BA8">
        <w:rPr>
          <w:b/>
          <w:color w:val="2F5496"/>
          <w:szCs w:val="20"/>
        </w:rPr>
        <w:t>Απολήψεις</w:t>
      </w:r>
    </w:p>
    <w:p w14:paraId="0282A5F7" w14:textId="5DB43414" w:rsidR="00B14B71" w:rsidRPr="000367B7" w:rsidRDefault="00B14B71" w:rsidP="003F224E">
      <w:pPr>
        <w:spacing w:before="120"/>
      </w:pPr>
      <w:r w:rsidRPr="00E20E04">
        <w:t xml:space="preserve">Οι συνολικές εισροές από την ΕΕ κατά το έτος </w:t>
      </w:r>
      <w:r w:rsidRPr="00EE494B">
        <w:t>20</w:t>
      </w:r>
      <w:r>
        <w:t>25</w:t>
      </w:r>
      <w:r w:rsidRPr="00E20E04">
        <w:t xml:space="preserve"> εκτιμ</w:t>
      </w:r>
      <w:r>
        <w:t>άται ότι θα ανέλθουν σε 6.044</w:t>
      </w:r>
      <w:r w:rsidRPr="00EE494B">
        <w:t xml:space="preserve"> εκατ.</w:t>
      </w:r>
      <w:r w:rsidRPr="00E20E04">
        <w:t xml:space="preserve"> ευρώ,</w:t>
      </w:r>
      <w:r>
        <w:t xml:space="preserve"> </w:t>
      </w:r>
      <w:r w:rsidRPr="00E20E04">
        <w:t xml:space="preserve">παρουσιάζοντας </w:t>
      </w:r>
      <w:r>
        <w:t>οριακή μείωσ</w:t>
      </w:r>
      <w:r w:rsidRPr="000367B7">
        <w:t>η</w:t>
      </w:r>
      <w:r>
        <w:t xml:space="preserve"> κατά 0,3</w:t>
      </w:r>
      <w:r w:rsidRPr="00616BAF">
        <w:t>%</w:t>
      </w:r>
      <w:r>
        <w:t xml:space="preserve"> </w:t>
      </w:r>
      <w:r w:rsidRPr="000367B7">
        <w:t>έναντι του 202</w:t>
      </w:r>
      <w:r>
        <w:t xml:space="preserve">4, </w:t>
      </w:r>
      <w:r w:rsidRPr="000367B7">
        <w:t xml:space="preserve">κυρίως λόγω των </w:t>
      </w:r>
      <w:r>
        <w:t>μειω</w:t>
      </w:r>
      <w:r w:rsidRPr="000367B7">
        <w:t xml:space="preserve">μένων </w:t>
      </w:r>
      <w:r>
        <w:t xml:space="preserve">απολήψεων </w:t>
      </w:r>
      <w:r w:rsidRPr="00A57CD4">
        <w:t>από το</w:t>
      </w:r>
      <w:r w:rsidR="00A57CD4">
        <w:t>ν</w:t>
      </w:r>
      <w:r w:rsidRPr="00A57CD4">
        <w:t xml:space="preserve"> </w:t>
      </w:r>
      <w:r w:rsidR="00A57CD4">
        <w:t>π</w:t>
      </w:r>
      <w:r w:rsidR="00A57CD4" w:rsidRPr="00A57CD4">
        <w:t>ροϋπολογισμό δημοσίων επενδύσεων</w:t>
      </w:r>
      <w:r w:rsidRPr="000367B7">
        <w:t>.</w:t>
      </w:r>
    </w:p>
    <w:p w14:paraId="63E0F45E" w14:textId="77777777" w:rsidR="00B14B71" w:rsidRPr="00BE1569" w:rsidRDefault="00B14B71" w:rsidP="003F224E">
      <w:pPr>
        <w:spacing w:before="120"/>
      </w:pPr>
      <w:r w:rsidRPr="00BE1569">
        <w:t xml:space="preserve">Ειδικότερα, </w:t>
      </w:r>
      <w:r>
        <w:t xml:space="preserve">για </w:t>
      </w:r>
      <w:r w:rsidRPr="00BE1569">
        <w:t xml:space="preserve">το έτος </w:t>
      </w:r>
      <w:r w:rsidRPr="0070394C">
        <w:t>202</w:t>
      </w:r>
      <w:r>
        <w:t>5</w:t>
      </w:r>
      <w:r w:rsidRPr="00E90050">
        <w:t xml:space="preserve"> </w:t>
      </w:r>
      <w:r w:rsidRPr="00BE1569">
        <w:t xml:space="preserve">αναμένονται </w:t>
      </w:r>
      <w:r>
        <w:t>τα ακόλουθα</w:t>
      </w:r>
      <w:r w:rsidRPr="00BE1569">
        <w:t>:</w:t>
      </w:r>
    </w:p>
    <w:p w14:paraId="32D50ADF" w14:textId="77777777" w:rsidR="00635942" w:rsidRPr="000D7799" w:rsidRDefault="00635942" w:rsidP="00DB1648">
      <w:pPr>
        <w:spacing w:before="120" w:after="60"/>
        <w:rPr>
          <w:rFonts w:cs="Arial"/>
          <w:b/>
          <w:szCs w:val="20"/>
        </w:rPr>
      </w:pPr>
      <w:r w:rsidRPr="000D7799">
        <w:rPr>
          <w:rFonts w:cs="Arial"/>
          <w:b/>
          <w:szCs w:val="20"/>
        </w:rPr>
        <w:t>Τακτικός προϋπολογισμός</w:t>
      </w:r>
    </w:p>
    <w:p w14:paraId="320ED28C" w14:textId="58EDA52F" w:rsidR="00635942" w:rsidRPr="00B14B71" w:rsidRDefault="00B14B71" w:rsidP="00635942">
      <w:r>
        <w:t>Μέσω του τακτικού προϋπολογισμού</w:t>
      </w:r>
      <w:r w:rsidRPr="00640FA0">
        <w:t xml:space="preserve"> αναμένεται να εισρεύσουν συνολικά </w:t>
      </w:r>
      <w:r>
        <w:t>248</w:t>
      </w:r>
      <w:r w:rsidRPr="0042423C">
        <w:t xml:space="preserve"> εκατ. ευρώ, εκ των οποίων </w:t>
      </w:r>
      <w:r w:rsidR="00C65950">
        <w:t xml:space="preserve">τα </w:t>
      </w:r>
      <w:r>
        <w:t>101</w:t>
      </w:r>
      <w:r w:rsidRPr="009064E1">
        <w:t xml:space="preserve"> εκατ.</w:t>
      </w:r>
      <w:r w:rsidRPr="0042423C">
        <w:t xml:space="preserve"> ευρώ</w:t>
      </w:r>
      <w:r w:rsidRPr="00750F16">
        <w:t xml:space="preserve"> </w:t>
      </w:r>
      <w:r>
        <w:t xml:space="preserve">αφορούν </w:t>
      </w:r>
      <w:r w:rsidR="00C65950">
        <w:t xml:space="preserve">σε </w:t>
      </w:r>
      <w:r w:rsidRPr="00750F16">
        <w:t>προμήθειες είσπραξης ιδίων πόρων για λογαριασμό της ΕΕ,</w:t>
      </w:r>
      <w:r>
        <w:t xml:space="preserve"> </w:t>
      </w:r>
      <w:r w:rsidR="00C65950">
        <w:t xml:space="preserve">τα </w:t>
      </w:r>
      <w:r>
        <w:t xml:space="preserve">8 εκατ. ευρώ </w:t>
      </w:r>
      <w:r w:rsidR="00C65950">
        <w:t xml:space="preserve">σε </w:t>
      </w:r>
      <w:r>
        <w:t xml:space="preserve">επιστροφές ιδίων πόρων ΕΕ, ενώ </w:t>
      </w:r>
      <w:r w:rsidR="00C65950">
        <w:t xml:space="preserve">τα </w:t>
      </w:r>
      <w:r w:rsidRPr="009064E1">
        <w:t>2</w:t>
      </w:r>
      <w:r>
        <w:t>4</w:t>
      </w:r>
      <w:r w:rsidRPr="009064E1">
        <w:t xml:space="preserve"> εκατ. ευρώ αναλογούν σε απολήψεις από λοιπές τρέχουσες μεταβιβάσεις από τα </w:t>
      </w:r>
      <w:r w:rsidRPr="00C65950">
        <w:t>Κοινοτικά Ταμεία</w:t>
      </w:r>
      <w:r w:rsidRPr="009064E1">
        <w:t>.</w:t>
      </w:r>
      <w:r w:rsidRPr="00581409">
        <w:t xml:space="preserve"> </w:t>
      </w:r>
      <w:r>
        <w:t xml:space="preserve">Επίσης, αναμένεται να εισρεύσουν 114 εκατ. ευρώ από λοιπές απολήψεις για τη μελέτη ή </w:t>
      </w:r>
      <w:r w:rsidR="00C65950">
        <w:t xml:space="preserve">την </w:t>
      </w:r>
      <w:r>
        <w:t>εκτέλεση διαφόρων προγραμμάτων και 1 εκατ. ευρώ από απολήψεις για δράσεις μεταναστευτικών ροών του Υπουργείου Ναυτιλίας και Νησιωτικής Πολιτικής.</w:t>
      </w:r>
    </w:p>
    <w:p w14:paraId="7DB00DE9" w14:textId="4BF42DFF" w:rsidR="00635942" w:rsidRPr="000D7799" w:rsidRDefault="00635942" w:rsidP="00DB1648">
      <w:pPr>
        <w:spacing w:before="120" w:after="60"/>
        <w:rPr>
          <w:rFonts w:cs="Arial"/>
          <w:b/>
          <w:szCs w:val="20"/>
        </w:rPr>
      </w:pPr>
      <w:r w:rsidRPr="000D7799">
        <w:rPr>
          <w:rFonts w:cs="Arial"/>
          <w:b/>
          <w:szCs w:val="20"/>
        </w:rPr>
        <w:t xml:space="preserve">Προϋπολογισμός </w:t>
      </w:r>
      <w:r w:rsidR="00016577" w:rsidRPr="000D7799">
        <w:rPr>
          <w:rFonts w:cs="Arial"/>
          <w:b/>
          <w:szCs w:val="20"/>
        </w:rPr>
        <w:t>δημοσίων επενδύσεων</w:t>
      </w:r>
    </w:p>
    <w:p w14:paraId="39DE27F9" w14:textId="554C3E93" w:rsidR="00B14B71" w:rsidRDefault="00B14B71" w:rsidP="00B14B71">
      <w:r w:rsidRPr="009064E1">
        <w:t xml:space="preserve">Το </w:t>
      </w:r>
      <w:r>
        <w:t>64</w:t>
      </w:r>
      <w:r w:rsidRPr="009064E1">
        <w:t>,</w:t>
      </w:r>
      <w:r>
        <w:t>8</w:t>
      </w:r>
      <w:r w:rsidRPr="009064E1">
        <w:t>% των συνολικών απολήψεων από την ΕΕ, ήτοι ποσό ύψους 3.</w:t>
      </w:r>
      <w:r>
        <w:t>915</w:t>
      </w:r>
      <w:r w:rsidRPr="009064E1">
        <w:t xml:space="preserve"> εκατ</w:t>
      </w:r>
      <w:r w:rsidRPr="009E2F59">
        <w:t>. ευρώ,</w:t>
      </w:r>
      <w:r>
        <w:t xml:space="preserve"> εκτιμάται ότι θα εισρεύσει το </w:t>
      </w:r>
      <w:r w:rsidRPr="009E2F59">
        <w:t>202</w:t>
      </w:r>
      <w:r>
        <w:t xml:space="preserve">5 για </w:t>
      </w:r>
      <w:r w:rsidR="00AE0D6B" w:rsidRPr="00A57CD4">
        <w:t>το</w:t>
      </w:r>
      <w:r w:rsidR="00AE0D6B">
        <w:t>ν</w:t>
      </w:r>
      <w:r w:rsidR="00AE0D6B" w:rsidRPr="00A57CD4">
        <w:t xml:space="preserve"> </w:t>
      </w:r>
      <w:r w:rsidR="00AE0D6B">
        <w:t>π</w:t>
      </w:r>
      <w:r w:rsidR="00AE0D6B" w:rsidRPr="00A57CD4">
        <w:t>ροϋπολογισμό δημοσίων επενδύσεων</w:t>
      </w:r>
      <w:r>
        <w:t xml:space="preserve">. </w:t>
      </w:r>
      <w:r w:rsidRPr="00966393">
        <w:t xml:space="preserve">Οι εισροές αφορούν κυρίως </w:t>
      </w:r>
      <w:r>
        <w:t>στα διαρθρωτικά ταμεία και πιο συγκεκριμένα, στο ΕΤΠΑ, το ΕΚΤ, το Ταμείο Συνοχής</w:t>
      </w:r>
      <w:r w:rsidR="00C404A2">
        <w:t xml:space="preserve"> καθώς και σ</w:t>
      </w:r>
      <w:r>
        <w:t>το ΕΓΤΑΑ</w:t>
      </w:r>
      <w:r w:rsidR="00C404A2">
        <w:t xml:space="preserve">, </w:t>
      </w:r>
      <w:r>
        <w:t>το ΕΤΘΑΥ</w:t>
      </w:r>
      <w:r w:rsidR="00D94144">
        <w:t xml:space="preserve"> </w:t>
      </w:r>
      <w:r w:rsidR="00D94144" w:rsidRPr="00E72201">
        <w:t>και το Ταμείο Αλληλεγγύης και Διαχείρισης Μεταναστευτικών Ροών ΕΕ</w:t>
      </w:r>
      <w:r w:rsidRPr="00E72201">
        <w:t>.</w:t>
      </w:r>
    </w:p>
    <w:p w14:paraId="74B7270E" w14:textId="4A52C695" w:rsidR="00635942" w:rsidRPr="000D7799" w:rsidRDefault="00635942" w:rsidP="00DB1648">
      <w:pPr>
        <w:spacing w:before="120" w:after="60"/>
        <w:rPr>
          <w:rFonts w:cs="Arial"/>
          <w:b/>
          <w:szCs w:val="20"/>
        </w:rPr>
      </w:pPr>
      <w:r w:rsidRPr="000D7799">
        <w:rPr>
          <w:rFonts w:cs="Arial"/>
          <w:b/>
          <w:szCs w:val="20"/>
        </w:rPr>
        <w:t>Προϋπολογισμός Ειδικού Λογαριασμού Εγγυήσεων Γεωργικών Προϊόντων (ΕΛΕΓΕΠ)</w:t>
      </w:r>
    </w:p>
    <w:p w14:paraId="31623F6B" w14:textId="2FE6E905" w:rsidR="00635942" w:rsidRPr="00C246DC" w:rsidRDefault="00C246DC" w:rsidP="00635942">
      <w:r w:rsidRPr="00BE1569">
        <w:t>Οι απολήψεις του τομέα εγγυήσεων γεωργικών προϊόντων που περιλαμβάνονται στον προϋπολογισμό ΕΛΕΓΕΠ (ΕΓΤΕ/Εγγυήσεις)</w:t>
      </w:r>
      <w:r>
        <w:t>,</w:t>
      </w:r>
      <w:r w:rsidRPr="00BE1569">
        <w:t xml:space="preserve"> χρηματοδοτούν τη στήριξη του εισοδήματος του αγροτικού πληθυσμού και την ανάπτυξη </w:t>
      </w:r>
      <w:r>
        <w:t xml:space="preserve">της υπαίθρου. Οι εισροές </w:t>
      </w:r>
      <w:r w:rsidRPr="00A07B9B">
        <w:t xml:space="preserve">από το ΕΓΤΕ αναμένεται να ανέλθουν </w:t>
      </w:r>
      <w:r>
        <w:t>σε 1.881</w:t>
      </w:r>
      <w:r w:rsidRPr="000F73CD">
        <w:t xml:space="preserve"> εκατ</w:t>
      </w:r>
      <w:r w:rsidRPr="00F92137">
        <w:t>. ευρώ για το έτος 202</w:t>
      </w:r>
      <w:r>
        <w:t>5</w:t>
      </w:r>
      <w:r w:rsidRPr="00F92137">
        <w:t xml:space="preserve">, αντιπροσωπεύοντας το </w:t>
      </w:r>
      <w:r w:rsidRPr="006D6398">
        <w:t>3</w:t>
      </w:r>
      <w:r>
        <w:t>1,1</w:t>
      </w:r>
      <w:r w:rsidRPr="006D6398">
        <w:t>% των συνολικών</w:t>
      </w:r>
      <w:r w:rsidRPr="00F92137">
        <w:t xml:space="preserve"> απολήψεων από την ΕΕ.</w:t>
      </w:r>
    </w:p>
    <w:p w14:paraId="2127C51D" w14:textId="7B8F7925" w:rsidR="00A84D7B" w:rsidRPr="00283BA8" w:rsidRDefault="00A84D7B" w:rsidP="00DF4A88">
      <w:pPr>
        <w:spacing w:before="240"/>
        <w:rPr>
          <w:b/>
          <w:color w:val="2F5496"/>
          <w:szCs w:val="20"/>
        </w:rPr>
      </w:pPr>
      <w:r w:rsidRPr="00283BA8">
        <w:rPr>
          <w:b/>
          <w:color w:val="2F5496"/>
          <w:szCs w:val="20"/>
        </w:rPr>
        <w:t>Αποδόσεις</w:t>
      </w:r>
    </w:p>
    <w:p w14:paraId="696AA1B2" w14:textId="31EB4A27" w:rsidR="00782734" w:rsidRDefault="00C246DC" w:rsidP="005E2D4B">
      <w:pPr>
        <w:spacing w:after="240"/>
      </w:pPr>
      <w:r w:rsidRPr="00BE1569">
        <w:t>Οι συνολικές συνεισφορές της Ελλάδας στον προϋπολογισμ</w:t>
      </w:r>
      <w:r>
        <w:t xml:space="preserve">ό της ΕΕ κατά το </w:t>
      </w:r>
      <w:r w:rsidRPr="00134083">
        <w:t>έτος 202</w:t>
      </w:r>
      <w:r>
        <w:t>5</w:t>
      </w:r>
      <w:r w:rsidRPr="00134083">
        <w:t xml:space="preserve"> εκτιμάται ότι θα ανέλθουν σε 2.</w:t>
      </w:r>
      <w:r>
        <w:t>484</w:t>
      </w:r>
      <w:r w:rsidRPr="00134083">
        <w:t xml:space="preserve"> εκατ. ευρώ, εκ των οποίων ποσό 1.</w:t>
      </w:r>
      <w:r>
        <w:t>459</w:t>
      </w:r>
      <w:r w:rsidRPr="00134083">
        <w:t xml:space="preserve"> εκατ. ευρώ προέρχεται από τις συνεισφορέ</w:t>
      </w:r>
      <w:r w:rsidRPr="006A56BC">
        <w:t>ς βάσει Ακαθάριστου Εθνικού Εισοδήματος (ΑΕΕ).</w:t>
      </w:r>
    </w:p>
    <w:p w14:paraId="599CD7A5" w14:textId="61A8F27B" w:rsidR="00402ECE" w:rsidRPr="007D3687" w:rsidRDefault="008D2891" w:rsidP="00DF4A88">
      <w:pPr>
        <w:pStyle w:val="5"/>
      </w:pPr>
      <w:bookmarkStart w:id="383" w:name="_Toc214473769"/>
      <w:r w:rsidRPr="007D3687">
        <w:lastRenderedPageBreak/>
        <w:t>Χρηματοροές μεταξύ Ελλάδας και Ευρωπαϊκής Ένωσης το 202</w:t>
      </w:r>
      <w:r w:rsidR="00C246DC">
        <w:t>6</w:t>
      </w:r>
      <w:bookmarkEnd w:id="383"/>
    </w:p>
    <w:p w14:paraId="7109C688" w14:textId="47F88787" w:rsidR="00635942" w:rsidRPr="00D65092" w:rsidRDefault="00C246DC" w:rsidP="00635942">
      <w:r>
        <w:t xml:space="preserve">Οι προβλέψεις των χρηματοροών με την ΕΕ για το έτος </w:t>
      </w:r>
      <w:r w:rsidRPr="003272D5">
        <w:t>202</w:t>
      </w:r>
      <w:r>
        <w:t>6 βασίζονται</w:t>
      </w:r>
      <w:r w:rsidRPr="00EC3FBE">
        <w:t xml:space="preserve"> </w:t>
      </w:r>
      <w:r>
        <w:t>κυρίως σ</w:t>
      </w:r>
      <w:r w:rsidRPr="00EC3FBE">
        <w:t xml:space="preserve">το σχέδιο προϋπολογισμού της ΕΕ του έτους αυτού, </w:t>
      </w:r>
      <w:r>
        <w:t>στην</w:t>
      </w:r>
      <w:r w:rsidRPr="00EC3FBE">
        <w:t xml:space="preserve"> πρόοδο υλοποίησης των συγχρηματοδοτούμενων προγραμμάτων και </w:t>
      </w:r>
      <w:r>
        <w:t>στις</w:t>
      </w:r>
      <w:r w:rsidRPr="00EC3FBE">
        <w:t xml:space="preserve"> εισροές που αναμένονται στον προϋπολογισμό ΕΛΕΓΕΠ</w:t>
      </w:r>
      <w:r w:rsidRPr="00EC3FBE">
        <w:rPr>
          <w:bCs/>
        </w:rPr>
        <w:t>.</w:t>
      </w:r>
    </w:p>
    <w:p w14:paraId="1F123756" w14:textId="77777777" w:rsidR="00635942" w:rsidRPr="00DB1648" w:rsidRDefault="00635942" w:rsidP="00635942">
      <w:pPr>
        <w:spacing w:before="240"/>
        <w:rPr>
          <w:b/>
          <w:color w:val="2F5496"/>
          <w:szCs w:val="20"/>
        </w:rPr>
      </w:pPr>
      <w:r w:rsidRPr="00DB1648">
        <w:rPr>
          <w:b/>
          <w:color w:val="2F5496"/>
          <w:szCs w:val="20"/>
        </w:rPr>
        <w:t>Απολήψεις</w:t>
      </w:r>
    </w:p>
    <w:p w14:paraId="5DA6B0F3" w14:textId="513EE4B4" w:rsidR="00C246DC" w:rsidRPr="00706CF2" w:rsidRDefault="00C246DC" w:rsidP="00C246DC">
      <w:r w:rsidRPr="00706CF2">
        <w:t xml:space="preserve">Το σύνολο των εισροών της Ελλάδας από την ΕΕ κατά το έτος </w:t>
      </w:r>
      <w:r w:rsidRPr="006E6B09">
        <w:t>202</w:t>
      </w:r>
      <w:r>
        <w:t>6</w:t>
      </w:r>
      <w:r w:rsidRPr="006E6B09">
        <w:t xml:space="preserve"> προβλέπεται να ανέλθει στο ποσό των </w:t>
      </w:r>
      <w:r>
        <w:t>6.351</w:t>
      </w:r>
      <w:r w:rsidRPr="00CF539C">
        <w:t xml:space="preserve"> εκατ</w:t>
      </w:r>
      <w:r w:rsidRPr="006E6B09">
        <w:t xml:space="preserve">. ευρώ, παρουσιάζοντας </w:t>
      </w:r>
      <w:r>
        <w:t xml:space="preserve">σημαντική </w:t>
      </w:r>
      <w:r w:rsidRPr="00B54C2E">
        <w:t xml:space="preserve">αύξηση </w:t>
      </w:r>
      <w:r>
        <w:t>κατά 5,1</w:t>
      </w:r>
      <w:r w:rsidRPr="00B54C2E">
        <w:t>%</w:t>
      </w:r>
      <w:r w:rsidRPr="00B176D8">
        <w:t xml:space="preserve"> σε σχέση με το 202</w:t>
      </w:r>
      <w:r>
        <w:t>5</w:t>
      </w:r>
      <w:r w:rsidRPr="00B176D8">
        <w:t>,</w:t>
      </w:r>
      <w:r>
        <w:t xml:space="preserve"> </w:t>
      </w:r>
      <w:r w:rsidRPr="00354E64">
        <w:t xml:space="preserve">κυρίως λόγω </w:t>
      </w:r>
      <w:r>
        <w:t xml:space="preserve">των </w:t>
      </w:r>
      <w:r w:rsidRPr="00354E64">
        <w:t xml:space="preserve">αυξημένων απολήψεων </w:t>
      </w:r>
      <w:r>
        <w:t>για τις ανάγκες εκτέλεσης του</w:t>
      </w:r>
      <w:r w:rsidR="00AE0D6B">
        <w:t xml:space="preserve"> προϋπολογισμού δημοσίων επενδύσεων</w:t>
      </w:r>
      <w:r w:rsidRPr="00354E64">
        <w:t>.</w:t>
      </w:r>
    </w:p>
    <w:p w14:paraId="204415A8" w14:textId="26A13B09" w:rsidR="00635942" w:rsidRPr="00D65092" w:rsidRDefault="00C246DC" w:rsidP="005A2B70">
      <w:pPr>
        <w:spacing w:before="120"/>
      </w:pPr>
      <w:r w:rsidRPr="00706CF2">
        <w:t>Ειδικότερα, προβλέπονται τα εξής:</w:t>
      </w:r>
    </w:p>
    <w:p w14:paraId="6EFF91D7" w14:textId="77777777" w:rsidR="00635942" w:rsidRPr="00CC19FD" w:rsidRDefault="00635942" w:rsidP="00DB1648">
      <w:pPr>
        <w:spacing w:before="120" w:after="60"/>
        <w:rPr>
          <w:rFonts w:cs="Arial"/>
          <w:b/>
          <w:szCs w:val="20"/>
        </w:rPr>
      </w:pPr>
      <w:r w:rsidRPr="00CC19FD">
        <w:rPr>
          <w:rFonts w:cs="Arial"/>
          <w:b/>
          <w:szCs w:val="20"/>
        </w:rPr>
        <w:t>Τακτικός προϋπολογισμός</w:t>
      </w:r>
    </w:p>
    <w:p w14:paraId="377A4235" w14:textId="00B63241" w:rsidR="00D65092" w:rsidRPr="00296FA3" w:rsidRDefault="00C246DC" w:rsidP="00D65092">
      <w:r w:rsidRPr="00706CF2">
        <w:t xml:space="preserve">Οι προβλεπόμενες εισροές </w:t>
      </w:r>
      <w:r>
        <w:t>για</w:t>
      </w:r>
      <w:r w:rsidRPr="00706CF2">
        <w:t xml:space="preserve"> τον </w:t>
      </w:r>
      <w:r>
        <w:t>τακτικό προϋπολογισμό</w:t>
      </w:r>
      <w:r w:rsidRPr="00706CF2">
        <w:t xml:space="preserve"> ανέρχονται συνολικά σε </w:t>
      </w:r>
      <w:r w:rsidRPr="00354E64">
        <w:t>1</w:t>
      </w:r>
      <w:r>
        <w:t>22</w:t>
      </w:r>
      <w:r w:rsidRPr="00354E64">
        <w:t xml:space="preserve"> εκατ. ευρώ, το μεγαλύτερο μέρος των οποίων αφορά </w:t>
      </w:r>
      <w:r>
        <w:t xml:space="preserve">σε </w:t>
      </w:r>
      <w:r w:rsidRPr="00354E64">
        <w:t>απολήψεις για προμήθειες είσπραξης ιδίων πόρων για λογαριασμό της ΕΕ.</w:t>
      </w:r>
    </w:p>
    <w:p w14:paraId="3102621C" w14:textId="5ADC238D" w:rsidR="00635942" w:rsidRPr="00CC19FD" w:rsidRDefault="00635942" w:rsidP="00DB1648">
      <w:pPr>
        <w:spacing w:before="120" w:after="60"/>
        <w:rPr>
          <w:rFonts w:cs="Arial"/>
          <w:b/>
          <w:szCs w:val="20"/>
        </w:rPr>
      </w:pPr>
      <w:r w:rsidRPr="00CC19FD">
        <w:rPr>
          <w:rFonts w:cs="Arial"/>
          <w:b/>
          <w:szCs w:val="20"/>
        </w:rPr>
        <w:t xml:space="preserve">Προϋπολογισμός </w:t>
      </w:r>
      <w:r w:rsidR="00016577" w:rsidRPr="00CC19FD">
        <w:rPr>
          <w:rFonts w:cs="Arial"/>
          <w:b/>
          <w:szCs w:val="20"/>
        </w:rPr>
        <w:t>δημοσίων επενδύσεων</w:t>
      </w:r>
    </w:p>
    <w:p w14:paraId="437A9F58" w14:textId="6389A860" w:rsidR="00635942" w:rsidRPr="00851E22" w:rsidRDefault="00851E22" w:rsidP="00FF17E0">
      <w:r>
        <w:t>Σύμφωνα με τον τρέχοντα σχεδιασμό,</w:t>
      </w:r>
      <w:r w:rsidRPr="00706CF2">
        <w:t xml:space="preserve"> </w:t>
      </w:r>
      <w:r>
        <w:t xml:space="preserve">οι εισροές </w:t>
      </w:r>
      <w:r w:rsidRPr="00706CF2">
        <w:t>προβλέπεται να διαμορφωθούν στο ύψος των</w:t>
      </w:r>
      <w:r>
        <w:t xml:space="preserve"> 4.345 εκατ.</w:t>
      </w:r>
      <w:r w:rsidRPr="008B5EC5">
        <w:t xml:space="preserve"> ευρώ</w:t>
      </w:r>
      <w:r>
        <w:t>,</w:t>
      </w:r>
      <w:r w:rsidRPr="008B5EC5">
        <w:t xml:space="preserve"> </w:t>
      </w:r>
      <w:r w:rsidRPr="00354E64">
        <w:t xml:space="preserve">σημειώνοντας αύξηση της τάξης του </w:t>
      </w:r>
      <w:r>
        <w:t>11,0</w:t>
      </w:r>
      <w:r w:rsidRPr="00354E64">
        <w:t>% σ</w:t>
      </w:r>
      <w:r w:rsidRPr="00C163CE">
        <w:t>ε σχέση με το 202</w:t>
      </w:r>
      <w:r>
        <w:t>5</w:t>
      </w:r>
      <w:r w:rsidRPr="00C163CE">
        <w:t>.</w:t>
      </w:r>
    </w:p>
    <w:p w14:paraId="523FBE45" w14:textId="77777777" w:rsidR="00635942" w:rsidRPr="00CC19FD" w:rsidRDefault="00635942" w:rsidP="00DB1648">
      <w:pPr>
        <w:spacing w:before="120" w:after="60"/>
        <w:rPr>
          <w:rFonts w:cs="Arial"/>
          <w:b/>
          <w:szCs w:val="20"/>
        </w:rPr>
      </w:pPr>
      <w:r w:rsidRPr="00CC19FD">
        <w:rPr>
          <w:rFonts w:cs="Arial"/>
          <w:b/>
          <w:szCs w:val="20"/>
        </w:rPr>
        <w:t>Προϋπολογισμός Ειδικού Λογαριασμού Εγγυήσεων Γεωργικών Προϊόντων (ΕΛΕΓΕΠ)</w:t>
      </w:r>
    </w:p>
    <w:p w14:paraId="14877659" w14:textId="0261CD71" w:rsidR="00851E22" w:rsidRDefault="00851E22" w:rsidP="00851E22">
      <w:r>
        <w:t>Η πρόβλεψη για τις</w:t>
      </w:r>
      <w:r w:rsidRPr="00706CF2">
        <w:t xml:space="preserve"> απολήψεις του προϋπολογισμού </w:t>
      </w:r>
      <w:r>
        <w:t xml:space="preserve">ΕΛΕΓΕΠ μέσω του ΕΓΤΕ για </w:t>
      </w:r>
      <w:r w:rsidRPr="008B5EC5">
        <w:t>το 202</w:t>
      </w:r>
      <w:r w:rsidRPr="00BC4DF9">
        <w:t>6</w:t>
      </w:r>
      <w:r w:rsidRPr="008B5EC5">
        <w:t xml:space="preserve"> </w:t>
      </w:r>
      <w:r>
        <w:t xml:space="preserve">ανέρχεται </w:t>
      </w:r>
      <w:r w:rsidRPr="00E27A14">
        <w:t xml:space="preserve">σε </w:t>
      </w:r>
      <w:r>
        <w:t>1.</w:t>
      </w:r>
      <w:r w:rsidRPr="00BC4DF9">
        <w:t>88</w:t>
      </w:r>
      <w:r w:rsidRPr="001B79FA">
        <w:t>4</w:t>
      </w:r>
      <w:r w:rsidRPr="00E27A14">
        <w:t xml:space="preserve"> εκατ. ευρώ</w:t>
      </w:r>
      <w:r w:rsidR="00F17485">
        <w:t xml:space="preserve"> και</w:t>
      </w:r>
      <w:r w:rsidRPr="00E27A14">
        <w:t xml:space="preserve"> αντιστοιχεί σε </w:t>
      </w:r>
      <w:r>
        <w:t>οριακή αύξη</w:t>
      </w:r>
      <w:r w:rsidRPr="0002447B">
        <w:t xml:space="preserve">ση της τάξης του </w:t>
      </w:r>
      <w:r>
        <w:t>0,2</w:t>
      </w:r>
      <w:r w:rsidRPr="0002447B">
        <w:t>% σε σχέση με το προηγούμενο έτος.</w:t>
      </w:r>
    </w:p>
    <w:p w14:paraId="4C35EF9D" w14:textId="77777777" w:rsidR="00FF17E0" w:rsidRPr="00DB1648" w:rsidRDefault="00635942" w:rsidP="00635942">
      <w:pPr>
        <w:spacing w:before="240"/>
        <w:rPr>
          <w:b/>
          <w:color w:val="2F5496"/>
          <w:szCs w:val="20"/>
        </w:rPr>
      </w:pPr>
      <w:r w:rsidRPr="00DB1648">
        <w:rPr>
          <w:b/>
          <w:color w:val="2F5496"/>
          <w:szCs w:val="20"/>
        </w:rPr>
        <w:t>Αποδόσεις</w:t>
      </w:r>
    </w:p>
    <w:p w14:paraId="4C362C62" w14:textId="54BBABB6" w:rsidR="00635942" w:rsidRPr="00851E22" w:rsidRDefault="00851E22" w:rsidP="00D65092">
      <w:r w:rsidRPr="00706CF2">
        <w:t xml:space="preserve">Οι συνεισφορές της χώρας </w:t>
      </w:r>
      <w:r>
        <w:t xml:space="preserve">μας </w:t>
      </w:r>
      <w:r w:rsidRPr="00706CF2">
        <w:t>στ</w:t>
      </w:r>
      <w:r>
        <w:t>ην ΕΕ</w:t>
      </w:r>
      <w:r w:rsidRPr="00706CF2">
        <w:t xml:space="preserve"> </w:t>
      </w:r>
      <w:r>
        <w:t>κατά</w:t>
      </w:r>
      <w:r w:rsidRPr="00706CF2">
        <w:t xml:space="preserve"> το </w:t>
      </w:r>
      <w:r w:rsidRPr="005F565A">
        <w:t>οικονομικό έτος 202</w:t>
      </w:r>
      <w:r>
        <w:t>6</w:t>
      </w:r>
      <w:r w:rsidRPr="005F565A">
        <w:t xml:space="preserve"> προβλέπεται ότι θα ανέλθουν στο ποσό </w:t>
      </w:r>
      <w:r w:rsidRPr="00BB4CA0">
        <w:t xml:space="preserve">των </w:t>
      </w:r>
      <w:r>
        <w:t>2.926</w:t>
      </w:r>
      <w:r w:rsidRPr="00BB4CA0">
        <w:t xml:space="preserve"> εκατ. ευρώ, καταγράφοντας </w:t>
      </w:r>
      <w:r>
        <w:t>αύξηση</w:t>
      </w:r>
      <w:r w:rsidRPr="00BB4CA0">
        <w:t xml:space="preserve"> </w:t>
      </w:r>
      <w:r>
        <w:t>17,8</w:t>
      </w:r>
      <w:r w:rsidRPr="00BB4CA0">
        <w:t>% συγκριτικά</w:t>
      </w:r>
      <w:r w:rsidRPr="005F565A">
        <w:t xml:space="preserve"> με το 20</w:t>
      </w:r>
      <w:r>
        <w:t xml:space="preserve">25, </w:t>
      </w:r>
      <w:r w:rsidR="00F17485">
        <w:t>η οποία</w:t>
      </w:r>
      <w:r>
        <w:t xml:space="preserve"> οφείλεται κυρίως στη θετική μεταβολή του ΑΕΕ.</w:t>
      </w:r>
    </w:p>
    <w:p w14:paraId="277C8E8D" w14:textId="15C1B6E0" w:rsidR="008D2891" w:rsidRPr="00380541" w:rsidRDefault="008D2891" w:rsidP="00300BBF">
      <w:pPr>
        <w:pStyle w:val="3"/>
      </w:pPr>
      <w:bookmarkStart w:id="384" w:name="_Toc214473770"/>
      <w:r w:rsidRPr="00380541">
        <w:t>Νομικά Πρόσωπα Κεντρικής Κυβέρνησης</w:t>
      </w:r>
      <w:bookmarkEnd w:id="384"/>
    </w:p>
    <w:p w14:paraId="0988D1F0" w14:textId="41132C59" w:rsidR="00FF50D6" w:rsidRDefault="00FF50D6" w:rsidP="00300BBF">
      <w:pPr>
        <w:pStyle w:val="4"/>
      </w:pPr>
      <w:bookmarkStart w:id="385" w:name="_Toc214473771"/>
      <w:r w:rsidRPr="00D835AA">
        <w:t>Ανεξάρτητες Διοικητικές Αρχές</w:t>
      </w:r>
      <w:bookmarkEnd w:id="385"/>
    </w:p>
    <w:p w14:paraId="52D0D863" w14:textId="416D3654" w:rsidR="00FF50D6" w:rsidRPr="00B3512E" w:rsidRDefault="00F95EA7" w:rsidP="00206B79">
      <w:pPr>
        <w:rPr>
          <w:highlight w:val="yellow"/>
        </w:rPr>
      </w:pPr>
      <w:r w:rsidRPr="0098356F">
        <w:t>Παρακάτω (</w:t>
      </w:r>
      <w:r w:rsidRPr="0098356F">
        <w:fldChar w:fldCharType="begin"/>
      </w:r>
      <w:r w:rsidRPr="0098356F">
        <w:instrText xml:space="preserve"> REF _Ref214115091 \h  \* MERGEFORMAT </w:instrText>
      </w:r>
      <w:r w:rsidRPr="0098356F">
        <w:fldChar w:fldCharType="separate"/>
      </w:r>
      <w:r w:rsidR="00E15678" w:rsidRPr="00E15678">
        <w:t>Πίνακας 3.17</w:t>
      </w:r>
      <w:r w:rsidRPr="0098356F">
        <w:fldChar w:fldCharType="end"/>
      </w:r>
      <w:r w:rsidRPr="0098356F">
        <w:t>.) παρουσιάζονται</w:t>
      </w:r>
      <w:r>
        <w:t xml:space="preserve"> τα μεγέθη των συνοπτικών προϋπολογισμών καθώς και το δημοσιονομικό αποτέλεσμα των</w:t>
      </w:r>
      <w:r w:rsidR="00B3512E">
        <w:t xml:space="preserve"> ΑΔΑ</w:t>
      </w:r>
      <w:r w:rsidR="007B460D">
        <w:t xml:space="preserve"> που έχουν νομική προσωπικότητα</w:t>
      </w:r>
      <w:r>
        <w:t>.</w:t>
      </w:r>
    </w:p>
    <w:p w14:paraId="0B59D32B" w14:textId="77BBE130" w:rsidR="00E533B1" w:rsidRPr="009A214F" w:rsidRDefault="00E533B1" w:rsidP="00FF50D6">
      <w:pPr>
        <w:spacing w:before="240"/>
        <w:rPr>
          <w:b/>
          <w:color w:val="2F5496"/>
          <w:szCs w:val="20"/>
        </w:rPr>
      </w:pPr>
      <w:r w:rsidRPr="009A214F">
        <w:rPr>
          <w:b/>
          <w:color w:val="2F5496"/>
          <w:szCs w:val="20"/>
        </w:rPr>
        <w:t>ΑΔΑ (ΝΠΔΔ)</w:t>
      </w:r>
    </w:p>
    <w:p w14:paraId="310A34C5" w14:textId="5087F89F" w:rsidR="00FF50D6" w:rsidRPr="00FF50D6" w:rsidRDefault="00FF50D6" w:rsidP="00FF50D6">
      <w:pPr>
        <w:spacing w:before="240"/>
        <w:rPr>
          <w:rFonts w:cs="Arial"/>
          <w:b/>
          <w:szCs w:val="20"/>
        </w:rPr>
      </w:pPr>
      <w:r w:rsidRPr="00FF50D6">
        <w:rPr>
          <w:rFonts w:cs="Arial"/>
          <w:b/>
          <w:szCs w:val="20"/>
        </w:rPr>
        <w:t>Αρχή Πολιτικής Αεροπορίας (ΑΠΑ)</w:t>
      </w:r>
    </w:p>
    <w:p w14:paraId="6C90437C" w14:textId="7BA4DC22" w:rsidR="009A214F" w:rsidRDefault="009A214F" w:rsidP="009A214F">
      <w:r w:rsidRPr="00DA09F6">
        <w:t>Η ΑΠΑ συστάθηκε με τον ν.4757/2020 (Α’ 240) και ασκεί καθήκοντα ρυθμιστικής αρχής της οικονομικής δραστηριότητας στον χώρο των αερομεταφορών, της αεροναυτιλίας και των αεροδρομίων. Σκοπός της είναι η εκτέλεση των καθηκόντων πιστοποίησης, εποπτείας και επιβολής στον τομέα των αερομεταφορών, της αεροναυτιλίας και των αερολιμένων</w:t>
      </w:r>
      <w:r>
        <w:t xml:space="preserve"> καθώς και</w:t>
      </w:r>
      <w:r w:rsidRPr="00DA09F6">
        <w:t xml:space="preserve"> η εφαρμογή της εθνικής και ενωσιακής νομοθεσίας και των διεθνών συμβάσεων σχετικά με την επιβολή τελών, τη λειτουργία του </w:t>
      </w:r>
      <w:r w:rsidRPr="00DA09F6">
        <w:lastRenderedPageBreak/>
        <w:t>Ενιαίου Ευρωπαϊκού Ουρανού, την ασφάλεια από έκνομες ενέργειες και την προστασία του περιβάλλοντος από δραστηριότητες της πολιτικής αεροπορίας.</w:t>
      </w:r>
    </w:p>
    <w:p w14:paraId="67E13958" w14:textId="72F52AC6" w:rsidR="00E3267E" w:rsidRPr="008E6A4C" w:rsidRDefault="00E3267E" w:rsidP="00E3267E">
      <w:r w:rsidRPr="00DA09F6">
        <w:t>Για το έτος 202</w:t>
      </w:r>
      <w:r>
        <w:t>6</w:t>
      </w:r>
      <w:r w:rsidRPr="00DA09F6">
        <w:t xml:space="preserve"> η Αρχή προβλέπεται να εμφανίσει </w:t>
      </w:r>
      <w:r w:rsidR="00351250">
        <w:t xml:space="preserve">δημοσιονομικό </w:t>
      </w:r>
      <w:r w:rsidRPr="00DA09F6">
        <w:t>έλλειμμα ύψους 0,5 εκατ. ευρώ.</w:t>
      </w:r>
    </w:p>
    <w:p w14:paraId="6BD525DA" w14:textId="77777777" w:rsidR="00FF50D6" w:rsidRPr="00FF50D6" w:rsidRDefault="00FF50D6" w:rsidP="00FF50D6">
      <w:pPr>
        <w:spacing w:before="240"/>
        <w:rPr>
          <w:rFonts w:cs="Arial"/>
          <w:b/>
          <w:szCs w:val="20"/>
        </w:rPr>
      </w:pPr>
      <w:r w:rsidRPr="00FF50D6">
        <w:rPr>
          <w:rFonts w:cs="Arial"/>
          <w:b/>
          <w:szCs w:val="20"/>
        </w:rPr>
        <w:t>Εθνική Αναλογιστική Αρχή (ΕΑΑ)</w:t>
      </w:r>
    </w:p>
    <w:p w14:paraId="2354B877" w14:textId="241792F5" w:rsidR="00E3267E" w:rsidRDefault="00E3267E" w:rsidP="00E3267E">
      <w:r>
        <w:t>Η ΕΑΑ έχει ως βασική αποστολή την εξασφάλιση της βιωσιμότητας και της κοινωνικής ανταποδοτικότητας του Συστήματος Κοινωνικής Ασφάλισης. Στις αρμοδιότητές της συγκαταλέγονται η σύνταξη αναλογιστικών εκθέσεων αναφορικά με τη βιωσιμότητα του ασφαλιστικού συστήματος, ο καθορισμός των προδιαγραφών εκπόνησης των αναλογιστικών μελετών, ο έλεγχος της οικονομικής λειτουργίας και της βιωσιμότητας των ταμείων επαγγελματικής ασφάλισης αναφορικά με το πρόγραμμα παροχών και επενδύσεων καθώς και η γνωμοδότηση για ειδικότερα θέματα αναλογιστικής αποτίμησης ασφαλιστικών οργανισμών.</w:t>
      </w:r>
    </w:p>
    <w:p w14:paraId="04356402" w14:textId="30C55329" w:rsidR="00E3267E" w:rsidRDefault="00E3267E" w:rsidP="00E3267E">
      <w:r>
        <w:t xml:space="preserve">Για το έτος 2026 η Αρχή προβλέπεται να παρουσιάσει </w:t>
      </w:r>
      <w:r w:rsidR="00351250">
        <w:t xml:space="preserve">δημοσιονομικό </w:t>
      </w:r>
      <w:r>
        <w:t>πλεόνασμα ύψους 0,8 εκατ. ευρώ.</w:t>
      </w:r>
    </w:p>
    <w:p w14:paraId="3FD2864E" w14:textId="2764F593" w:rsidR="00FF50D6" w:rsidRPr="00FF50D6" w:rsidRDefault="00FF50D6" w:rsidP="00FF50D6">
      <w:pPr>
        <w:spacing w:before="240"/>
        <w:rPr>
          <w:rFonts w:cs="Arial"/>
          <w:b/>
          <w:szCs w:val="20"/>
        </w:rPr>
      </w:pPr>
      <w:r w:rsidRPr="00FF50D6">
        <w:rPr>
          <w:rFonts w:cs="Arial"/>
          <w:b/>
          <w:szCs w:val="20"/>
        </w:rPr>
        <w:t>Εθνική Επιτροπή για τα Δικαιώματα του Ανθρώπου (ΕΕΔΑ)</w:t>
      </w:r>
    </w:p>
    <w:p w14:paraId="7BA700B2" w14:textId="77777777" w:rsidR="00E3267E" w:rsidRPr="00891022" w:rsidRDefault="00E3267E" w:rsidP="00E3267E">
      <w:r w:rsidRPr="00891022">
        <w:t>Η ΕΕΔΑ αποτελεί τον εθνικό θεσμό για τα δικαιώματα του ανθρώπου και είναι το ανεξάρτητο συμβουλευτικό όργανο της Πολιτείας στα ζητήματα προστασίας και προώθησης των δικαιωμάτων του ανθρώπου. Η ΕΕΔΑ έχει ως αποστολή τη διαρκή παρακολούθηση των θεμάτων προστασίας των δικαιωμάτων του ανθρώπου, τη δημόσια ενημέρωση και την προώθηση της σχετικής έρευνας, την ανταλλαγή εμπειριών σε υπερεθνικό και διεθνές επίπεδο με ανάλογα όργανα άλλων κρατών</w:t>
      </w:r>
      <w:r>
        <w:t>,</w:t>
      </w:r>
      <w:r w:rsidRPr="00891022">
        <w:t xml:space="preserve"> της ΕΕ και με διεθνείς οργανισμούς καθώς και τη διαμόρφωση προτάσεων πολιτικής σε θέματα του αντικειμένου της.</w:t>
      </w:r>
    </w:p>
    <w:p w14:paraId="50D2A213" w14:textId="0E8BD908" w:rsidR="00E3267E" w:rsidRDefault="00E3267E" w:rsidP="00F95EA7">
      <w:pPr>
        <w:spacing w:after="240"/>
      </w:pPr>
      <w:r w:rsidRPr="00891022">
        <w:t xml:space="preserve">Για το έτος 2026 η ΕΕΔΑ προβλέπεται να εμφανίσει </w:t>
      </w:r>
      <w:r w:rsidR="00351250">
        <w:t xml:space="preserve">δημοσιονομικό </w:t>
      </w:r>
      <w:r w:rsidRPr="00891022">
        <w:t>έλλειμμα ύψους 0,4 εκατ. ευρώ.</w:t>
      </w:r>
    </w:p>
    <w:tbl>
      <w:tblPr>
        <w:tblW w:w="11340" w:type="dxa"/>
        <w:jc w:val="center"/>
        <w:tblLayout w:type="fixed"/>
        <w:tblLook w:val="04A0" w:firstRow="1" w:lastRow="0" w:firstColumn="1" w:lastColumn="0" w:noHBand="0" w:noVBand="1"/>
      </w:tblPr>
      <w:tblGrid>
        <w:gridCol w:w="3116"/>
        <w:gridCol w:w="851"/>
        <w:gridCol w:w="851"/>
        <w:gridCol w:w="709"/>
        <w:gridCol w:w="851"/>
        <w:gridCol w:w="709"/>
        <w:gridCol w:w="851"/>
        <w:gridCol w:w="850"/>
        <w:gridCol w:w="851"/>
        <w:gridCol w:w="865"/>
        <w:gridCol w:w="836"/>
      </w:tblGrid>
      <w:tr w:rsidR="00D32DB6" w:rsidRPr="007A2A59" w14:paraId="39BB3D55" w14:textId="77777777" w:rsidTr="0055296E">
        <w:trPr>
          <w:cantSplit/>
          <w:trHeight w:val="510"/>
          <w:jc w:val="center"/>
        </w:trPr>
        <w:tc>
          <w:tcPr>
            <w:tcW w:w="11340" w:type="dxa"/>
            <w:gridSpan w:val="11"/>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tcPr>
          <w:p w14:paraId="6CCD9E03" w14:textId="7617F7ED" w:rsidR="00DE6957" w:rsidRDefault="007A2A59" w:rsidP="006E19FF">
            <w:pPr>
              <w:spacing w:after="0" w:line="276" w:lineRule="auto"/>
              <w:jc w:val="center"/>
              <w:rPr>
                <w:rFonts w:cs="Arial"/>
                <w:b/>
                <w:sz w:val="18"/>
                <w:szCs w:val="13"/>
              </w:rPr>
            </w:pPr>
            <w:bookmarkStart w:id="386" w:name="_Ref214115091"/>
            <w:bookmarkStart w:id="387" w:name="_Toc214474055"/>
            <w:r w:rsidRPr="00AE7B3C">
              <w:rPr>
                <w:rFonts w:cs="Arial"/>
                <w:b/>
                <w:sz w:val="18"/>
                <w:szCs w:val="13"/>
              </w:rPr>
              <w:t>Πίνακας 3.</w:t>
            </w:r>
            <w:r w:rsidRPr="00AE7B3C">
              <w:rPr>
                <w:rFonts w:cs="Arial"/>
                <w:b/>
                <w:sz w:val="18"/>
                <w:szCs w:val="13"/>
              </w:rPr>
              <w:fldChar w:fldCharType="begin"/>
            </w:r>
            <w:r w:rsidRPr="00AE7B3C">
              <w:rPr>
                <w:rFonts w:cs="Arial"/>
                <w:b/>
                <w:sz w:val="18"/>
                <w:szCs w:val="13"/>
              </w:rPr>
              <w:instrText xml:space="preserve"> SEQ Πίνακας_3. \* ARABIC </w:instrText>
            </w:r>
            <w:r w:rsidRPr="00AE7B3C">
              <w:rPr>
                <w:rFonts w:cs="Arial"/>
                <w:b/>
                <w:sz w:val="18"/>
                <w:szCs w:val="13"/>
              </w:rPr>
              <w:fldChar w:fldCharType="separate"/>
            </w:r>
            <w:r w:rsidR="00E15678">
              <w:rPr>
                <w:rFonts w:cs="Arial"/>
                <w:b/>
                <w:noProof/>
                <w:sz w:val="18"/>
                <w:szCs w:val="13"/>
              </w:rPr>
              <w:t>17</w:t>
            </w:r>
            <w:r w:rsidRPr="00AE7B3C">
              <w:rPr>
                <w:rFonts w:cs="Arial"/>
                <w:b/>
                <w:sz w:val="18"/>
                <w:szCs w:val="13"/>
              </w:rPr>
              <w:fldChar w:fldCharType="end"/>
            </w:r>
            <w:bookmarkEnd w:id="386"/>
            <w:r w:rsidRPr="00AE7B3C">
              <w:rPr>
                <w:rFonts w:cs="Arial"/>
                <w:b/>
                <w:sz w:val="18"/>
                <w:szCs w:val="13"/>
              </w:rPr>
              <w:t xml:space="preserve">.: </w:t>
            </w:r>
            <w:r w:rsidR="00956E25">
              <w:rPr>
                <w:rFonts w:cs="Arial"/>
                <w:b/>
                <w:sz w:val="18"/>
                <w:szCs w:val="13"/>
              </w:rPr>
              <w:t>Μεγέθη συνοπτικών προϋπολογισμών και δημοσιονομικό αποτέλεσμα</w:t>
            </w:r>
            <w:bookmarkEnd w:id="387"/>
          </w:p>
          <w:p w14:paraId="19ADC069" w14:textId="2733DA0C" w:rsidR="007A2A59" w:rsidRPr="00AE7B3C" w:rsidRDefault="007A2A59" w:rsidP="006E19FF">
            <w:pPr>
              <w:spacing w:after="0" w:line="276" w:lineRule="auto"/>
              <w:jc w:val="center"/>
              <w:rPr>
                <w:rFonts w:cs="Arial"/>
                <w:b/>
                <w:bCs/>
                <w:color w:val="000000"/>
                <w:sz w:val="15"/>
                <w:szCs w:val="13"/>
              </w:rPr>
            </w:pPr>
            <w:r w:rsidRPr="00AE7B3C">
              <w:rPr>
                <w:rFonts w:cs="Arial"/>
                <w:b/>
                <w:sz w:val="18"/>
                <w:szCs w:val="13"/>
              </w:rPr>
              <w:t>Ανεξάρτητων Διοικητικών Αρχών (σε εκατ. ευρώ)</w:t>
            </w:r>
          </w:p>
        </w:tc>
      </w:tr>
      <w:tr w:rsidR="00716231" w:rsidRPr="007A2A59" w14:paraId="46A57C67" w14:textId="77777777" w:rsidTr="006E19FF">
        <w:trPr>
          <w:cantSplit/>
          <w:jc w:val="center"/>
        </w:trPr>
        <w:tc>
          <w:tcPr>
            <w:tcW w:w="311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vAlign w:val="center"/>
          </w:tcPr>
          <w:p w14:paraId="7454638A" w14:textId="77777777" w:rsidR="007A2A59" w:rsidRPr="007A2A59" w:rsidRDefault="007A2A59" w:rsidP="006E19FF">
            <w:pPr>
              <w:spacing w:after="0" w:line="276" w:lineRule="auto"/>
              <w:jc w:val="left"/>
              <w:rPr>
                <w:rFonts w:cs="Arial"/>
                <w:b/>
                <w:bCs/>
                <w:color w:val="000000"/>
                <w:sz w:val="13"/>
                <w:szCs w:val="13"/>
              </w:rPr>
            </w:pPr>
          </w:p>
        </w:tc>
        <w:tc>
          <w:tcPr>
            <w:tcW w:w="3971" w:type="dxa"/>
            <w:gridSpan w:val="5"/>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vAlign w:val="center"/>
          </w:tcPr>
          <w:p w14:paraId="29006B25" w14:textId="77777777" w:rsidR="007A2A59" w:rsidRPr="00AE7B3C" w:rsidRDefault="007A2A59" w:rsidP="006E19FF">
            <w:pPr>
              <w:spacing w:after="0" w:line="276" w:lineRule="auto"/>
              <w:jc w:val="center"/>
              <w:rPr>
                <w:rFonts w:cs="Arial"/>
                <w:b/>
                <w:bCs/>
                <w:color w:val="000000"/>
                <w:sz w:val="14"/>
                <w:szCs w:val="14"/>
              </w:rPr>
            </w:pPr>
            <w:r w:rsidRPr="00AE7B3C">
              <w:rPr>
                <w:rFonts w:cs="Arial"/>
                <w:b/>
                <w:bCs/>
                <w:color w:val="000000"/>
                <w:sz w:val="14"/>
                <w:szCs w:val="14"/>
              </w:rPr>
              <w:t>2025</w:t>
            </w:r>
          </w:p>
          <w:p w14:paraId="6F89AC82" w14:textId="612AF5C8" w:rsidR="007A2A59" w:rsidRPr="00AE7B3C" w:rsidRDefault="007A2A59" w:rsidP="006E19FF">
            <w:pPr>
              <w:spacing w:after="0" w:line="276" w:lineRule="auto"/>
              <w:jc w:val="center"/>
              <w:rPr>
                <w:rFonts w:cs="Arial"/>
                <w:b/>
                <w:bCs/>
                <w:color w:val="000000"/>
                <w:sz w:val="14"/>
                <w:szCs w:val="14"/>
              </w:rPr>
            </w:pPr>
            <w:r w:rsidRPr="00AE7B3C">
              <w:rPr>
                <w:rFonts w:cs="Arial"/>
                <w:b/>
                <w:bCs/>
                <w:color w:val="000000"/>
                <w:sz w:val="14"/>
                <w:szCs w:val="14"/>
              </w:rPr>
              <w:t>Εκτιμήσεις</w:t>
            </w:r>
          </w:p>
        </w:tc>
        <w:tc>
          <w:tcPr>
            <w:tcW w:w="4253" w:type="dxa"/>
            <w:gridSpan w:val="5"/>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vAlign w:val="center"/>
          </w:tcPr>
          <w:p w14:paraId="03E127E5" w14:textId="77777777" w:rsidR="007A2A59" w:rsidRPr="00AE7B3C" w:rsidRDefault="007A2A59" w:rsidP="006E19FF">
            <w:pPr>
              <w:spacing w:after="0" w:line="276" w:lineRule="auto"/>
              <w:jc w:val="center"/>
              <w:rPr>
                <w:rFonts w:cs="Arial"/>
                <w:b/>
                <w:bCs/>
                <w:color w:val="000000"/>
                <w:sz w:val="14"/>
                <w:szCs w:val="14"/>
              </w:rPr>
            </w:pPr>
            <w:r w:rsidRPr="00AE7B3C">
              <w:rPr>
                <w:rFonts w:cs="Arial"/>
                <w:b/>
                <w:bCs/>
                <w:color w:val="000000"/>
                <w:sz w:val="14"/>
                <w:szCs w:val="14"/>
              </w:rPr>
              <w:t>2026</w:t>
            </w:r>
          </w:p>
          <w:p w14:paraId="5B2C1EC6" w14:textId="45609354" w:rsidR="007A2A59" w:rsidRPr="00AE7B3C" w:rsidRDefault="007A2A59" w:rsidP="006E19FF">
            <w:pPr>
              <w:spacing w:after="0" w:line="276" w:lineRule="auto"/>
              <w:jc w:val="center"/>
              <w:rPr>
                <w:rFonts w:cs="Arial"/>
                <w:b/>
                <w:bCs/>
                <w:color w:val="000000"/>
                <w:sz w:val="14"/>
                <w:szCs w:val="14"/>
              </w:rPr>
            </w:pPr>
            <w:r w:rsidRPr="00AE7B3C">
              <w:rPr>
                <w:rFonts w:cs="Arial"/>
                <w:b/>
                <w:bCs/>
                <w:color w:val="000000"/>
                <w:sz w:val="14"/>
                <w:szCs w:val="14"/>
              </w:rPr>
              <w:t>Προβλέψεις</w:t>
            </w:r>
          </w:p>
        </w:tc>
      </w:tr>
      <w:tr w:rsidR="00956E25" w:rsidRPr="007A2A59" w14:paraId="36873A24" w14:textId="77777777" w:rsidTr="006E19FF">
        <w:trPr>
          <w:cantSplit/>
          <w:jc w:val="center"/>
        </w:trPr>
        <w:tc>
          <w:tcPr>
            <w:tcW w:w="311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2C5E063D" w14:textId="77777777" w:rsidR="00852035" w:rsidRPr="007A2A59" w:rsidRDefault="00852035" w:rsidP="006E19FF">
            <w:pPr>
              <w:spacing w:after="0" w:line="276" w:lineRule="auto"/>
              <w:jc w:val="left"/>
              <w:rPr>
                <w:rFonts w:cs="Arial"/>
                <w:b/>
                <w:bCs/>
                <w:color w:val="000000"/>
                <w:sz w:val="13"/>
                <w:szCs w:val="13"/>
              </w:rPr>
            </w:pPr>
          </w:p>
        </w:tc>
        <w:tc>
          <w:tcPr>
            <w:tcW w:w="851"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6969516B" w14:textId="77777777" w:rsidR="00E401B0" w:rsidRPr="00081D1A" w:rsidRDefault="00852035" w:rsidP="006E19FF">
            <w:pPr>
              <w:spacing w:after="0" w:line="276" w:lineRule="auto"/>
              <w:ind w:left="-101" w:right="-109"/>
              <w:jc w:val="center"/>
              <w:rPr>
                <w:rFonts w:cs="Arial"/>
                <w:b/>
                <w:bCs/>
                <w:color w:val="000000"/>
                <w:sz w:val="14"/>
                <w:szCs w:val="14"/>
              </w:rPr>
            </w:pPr>
            <w:r w:rsidRPr="00081D1A">
              <w:rPr>
                <w:rFonts w:cs="Arial"/>
                <w:b/>
                <w:bCs/>
                <w:color w:val="000000"/>
                <w:sz w:val="14"/>
                <w:szCs w:val="14"/>
              </w:rPr>
              <w:t>Έσοδα</w:t>
            </w:r>
          </w:p>
          <w:p w14:paraId="71602C87" w14:textId="1BDC31A5" w:rsidR="00956E25" w:rsidRPr="00081D1A" w:rsidRDefault="00852035" w:rsidP="006E19FF">
            <w:pPr>
              <w:spacing w:after="0" w:line="276" w:lineRule="auto"/>
              <w:ind w:left="-101" w:right="-109"/>
              <w:jc w:val="center"/>
              <w:rPr>
                <w:rFonts w:cs="Arial"/>
                <w:b/>
                <w:bCs/>
                <w:color w:val="000000"/>
                <w:sz w:val="14"/>
                <w:szCs w:val="14"/>
              </w:rPr>
            </w:pPr>
            <w:r w:rsidRPr="00081D1A">
              <w:rPr>
                <w:rFonts w:cs="Arial"/>
                <w:b/>
                <w:bCs/>
                <w:color w:val="000000"/>
                <w:sz w:val="14"/>
                <w:szCs w:val="14"/>
              </w:rPr>
              <w:t>μη</w:t>
            </w:r>
          </w:p>
          <w:p w14:paraId="2E221838" w14:textId="1EB4521B" w:rsidR="00852035" w:rsidRPr="00081D1A" w:rsidRDefault="00852035" w:rsidP="006E19FF">
            <w:pPr>
              <w:spacing w:after="0" w:line="276" w:lineRule="auto"/>
              <w:ind w:left="-101" w:right="-109"/>
              <w:jc w:val="center"/>
              <w:rPr>
                <w:rFonts w:cs="Arial"/>
                <w:b/>
                <w:bCs/>
                <w:color w:val="000000"/>
                <w:sz w:val="14"/>
                <w:szCs w:val="14"/>
              </w:rPr>
            </w:pPr>
            <w:r w:rsidRPr="00081D1A">
              <w:rPr>
                <w:rFonts w:cs="Arial"/>
                <w:b/>
                <w:bCs/>
                <w:color w:val="000000"/>
                <w:sz w:val="14"/>
                <w:szCs w:val="14"/>
              </w:rPr>
              <w:t>χρημ/κ</w:t>
            </w:r>
            <w:r w:rsidR="005629F9">
              <w:rPr>
                <w:rFonts w:cs="Arial"/>
                <w:b/>
                <w:bCs/>
                <w:color w:val="000000"/>
                <w:sz w:val="14"/>
                <w:szCs w:val="14"/>
              </w:rPr>
              <w:t>ώ</w:t>
            </w:r>
            <w:r w:rsidRPr="00081D1A">
              <w:rPr>
                <w:rFonts w:cs="Arial"/>
                <w:b/>
                <w:bCs/>
                <w:color w:val="000000"/>
                <w:sz w:val="14"/>
                <w:szCs w:val="14"/>
              </w:rPr>
              <w:t>ν συν</w:t>
            </w:r>
            <w:r w:rsidR="00A347A9" w:rsidRPr="00081D1A">
              <w:rPr>
                <w:rFonts w:cs="Arial"/>
                <w:b/>
                <w:bCs/>
                <w:color w:val="000000"/>
                <w:sz w:val="14"/>
                <w:szCs w:val="14"/>
              </w:rPr>
              <w:t>/γ</w:t>
            </w:r>
            <w:r w:rsidR="005629F9">
              <w:rPr>
                <w:rFonts w:cs="Arial"/>
                <w:b/>
                <w:bCs/>
                <w:color w:val="000000"/>
                <w:sz w:val="14"/>
                <w:szCs w:val="14"/>
              </w:rPr>
              <w:t>ώ</w:t>
            </w:r>
            <w:r w:rsidRPr="00081D1A">
              <w:rPr>
                <w:rFonts w:cs="Arial"/>
                <w:b/>
                <w:bCs/>
                <w:color w:val="000000"/>
                <w:sz w:val="14"/>
                <w:szCs w:val="14"/>
              </w:rPr>
              <w:t>ν</w:t>
            </w:r>
          </w:p>
        </w:tc>
        <w:tc>
          <w:tcPr>
            <w:tcW w:w="851"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399425F1" w14:textId="77777777" w:rsidR="00E401B0" w:rsidRPr="00081D1A" w:rsidRDefault="00852035" w:rsidP="006E19FF">
            <w:pPr>
              <w:spacing w:after="0" w:line="276" w:lineRule="auto"/>
              <w:ind w:left="-111" w:right="-110"/>
              <w:jc w:val="center"/>
              <w:rPr>
                <w:rFonts w:cs="Arial"/>
                <w:b/>
                <w:bCs/>
                <w:color w:val="000000"/>
                <w:sz w:val="14"/>
                <w:szCs w:val="14"/>
              </w:rPr>
            </w:pPr>
            <w:r w:rsidRPr="00081D1A">
              <w:rPr>
                <w:rFonts w:cs="Arial"/>
                <w:b/>
                <w:bCs/>
                <w:color w:val="000000"/>
                <w:sz w:val="14"/>
                <w:szCs w:val="14"/>
              </w:rPr>
              <w:t>Έξοδα</w:t>
            </w:r>
          </w:p>
          <w:p w14:paraId="27969653" w14:textId="5711C7FE" w:rsidR="009501EC" w:rsidRPr="00081D1A" w:rsidRDefault="00852035" w:rsidP="006E19FF">
            <w:pPr>
              <w:spacing w:after="0" w:line="276" w:lineRule="auto"/>
              <w:ind w:left="-111" w:right="-110"/>
              <w:jc w:val="center"/>
              <w:rPr>
                <w:rFonts w:cs="Arial"/>
                <w:b/>
                <w:bCs/>
                <w:color w:val="000000"/>
                <w:sz w:val="14"/>
                <w:szCs w:val="14"/>
              </w:rPr>
            </w:pPr>
            <w:r w:rsidRPr="00081D1A">
              <w:rPr>
                <w:rFonts w:cs="Arial"/>
                <w:b/>
                <w:bCs/>
                <w:color w:val="000000"/>
                <w:sz w:val="14"/>
                <w:szCs w:val="14"/>
              </w:rPr>
              <w:t>μη</w:t>
            </w:r>
          </w:p>
          <w:p w14:paraId="6D07EFD0" w14:textId="51B35258" w:rsidR="00852035" w:rsidRPr="00081D1A" w:rsidRDefault="00852035" w:rsidP="006E19FF">
            <w:pPr>
              <w:spacing w:after="0" w:line="276" w:lineRule="auto"/>
              <w:ind w:left="-111" w:right="-110"/>
              <w:jc w:val="center"/>
              <w:rPr>
                <w:rFonts w:cs="Arial"/>
                <w:b/>
                <w:bCs/>
                <w:color w:val="000000"/>
                <w:sz w:val="14"/>
                <w:szCs w:val="14"/>
              </w:rPr>
            </w:pPr>
            <w:r w:rsidRPr="00081D1A">
              <w:rPr>
                <w:rFonts w:cs="Arial"/>
                <w:b/>
                <w:bCs/>
                <w:color w:val="000000"/>
                <w:sz w:val="14"/>
                <w:szCs w:val="14"/>
              </w:rPr>
              <w:t>χρημ/κ</w:t>
            </w:r>
            <w:r w:rsidR="005629F9">
              <w:rPr>
                <w:rFonts w:cs="Arial"/>
                <w:b/>
                <w:bCs/>
                <w:color w:val="000000"/>
                <w:sz w:val="14"/>
                <w:szCs w:val="14"/>
              </w:rPr>
              <w:t>ώ</w:t>
            </w:r>
            <w:r w:rsidRPr="00081D1A">
              <w:rPr>
                <w:rFonts w:cs="Arial"/>
                <w:b/>
                <w:bCs/>
                <w:color w:val="000000"/>
                <w:sz w:val="14"/>
                <w:szCs w:val="14"/>
              </w:rPr>
              <w:t>ν συν</w:t>
            </w:r>
            <w:r w:rsidR="00A347A9" w:rsidRPr="00081D1A">
              <w:rPr>
                <w:rFonts w:cs="Arial"/>
                <w:b/>
                <w:bCs/>
                <w:color w:val="000000"/>
                <w:sz w:val="14"/>
                <w:szCs w:val="14"/>
              </w:rPr>
              <w:t>/</w:t>
            </w:r>
            <w:r w:rsidRPr="00081D1A">
              <w:rPr>
                <w:rFonts w:cs="Arial"/>
                <w:b/>
                <w:bCs/>
                <w:color w:val="000000"/>
                <w:sz w:val="14"/>
                <w:szCs w:val="14"/>
              </w:rPr>
              <w:t>γ</w:t>
            </w:r>
            <w:r w:rsidR="005629F9">
              <w:rPr>
                <w:rFonts w:cs="Arial"/>
                <w:b/>
                <w:bCs/>
                <w:color w:val="000000"/>
                <w:sz w:val="14"/>
                <w:szCs w:val="14"/>
              </w:rPr>
              <w:t>ώ</w:t>
            </w:r>
            <w:r w:rsidRPr="00081D1A">
              <w:rPr>
                <w:rFonts w:cs="Arial"/>
                <w:b/>
                <w:bCs/>
                <w:color w:val="000000"/>
                <w:sz w:val="14"/>
                <w:szCs w:val="14"/>
              </w:rPr>
              <w:t>ν</w:t>
            </w:r>
          </w:p>
        </w:tc>
        <w:tc>
          <w:tcPr>
            <w:tcW w:w="709" w:type="dxa"/>
            <w:tcBorders>
              <w:top w:val="single" w:sz="2" w:space="0" w:color="A6A6A6" w:themeColor="background1" w:themeShade="A6"/>
              <w:bottom w:val="single" w:sz="2" w:space="0" w:color="A6A6A6" w:themeColor="background1" w:themeShade="A6"/>
            </w:tcBorders>
            <w:shd w:val="clear" w:color="auto" w:fill="D9D9D9" w:themeFill="background1" w:themeFillShade="D9"/>
            <w:vAlign w:val="center"/>
            <w:hideMark/>
          </w:tcPr>
          <w:p w14:paraId="1B18B51E" w14:textId="1DE8F4F3" w:rsidR="009746AF" w:rsidRPr="00081D1A" w:rsidRDefault="00852035" w:rsidP="006E19FF">
            <w:pPr>
              <w:spacing w:after="0" w:line="276" w:lineRule="auto"/>
              <w:ind w:left="-110" w:right="-109"/>
              <w:jc w:val="center"/>
              <w:rPr>
                <w:rFonts w:cs="Arial"/>
                <w:b/>
                <w:bCs/>
                <w:color w:val="000000"/>
                <w:sz w:val="14"/>
                <w:szCs w:val="14"/>
              </w:rPr>
            </w:pPr>
            <w:r w:rsidRPr="00081D1A">
              <w:rPr>
                <w:rFonts w:cs="Arial"/>
                <w:b/>
                <w:bCs/>
                <w:color w:val="000000"/>
                <w:sz w:val="14"/>
                <w:szCs w:val="14"/>
              </w:rPr>
              <w:t>Ισοζύγιο κατά</w:t>
            </w:r>
          </w:p>
          <w:p w14:paraId="6487E5BD" w14:textId="0D76A15A" w:rsidR="00852035" w:rsidRPr="00081D1A" w:rsidRDefault="00852035" w:rsidP="006E19FF">
            <w:pPr>
              <w:spacing w:after="0" w:line="276" w:lineRule="auto"/>
              <w:ind w:left="-110" w:right="-109"/>
              <w:jc w:val="center"/>
              <w:rPr>
                <w:rFonts w:cs="Arial"/>
                <w:b/>
                <w:bCs/>
                <w:color w:val="000000"/>
                <w:sz w:val="14"/>
                <w:szCs w:val="14"/>
              </w:rPr>
            </w:pPr>
            <w:r w:rsidRPr="00081D1A">
              <w:rPr>
                <w:rFonts w:cs="Arial"/>
                <w:b/>
                <w:bCs/>
                <w:color w:val="000000"/>
                <w:sz w:val="14"/>
                <w:szCs w:val="14"/>
              </w:rPr>
              <w:t>ESA</w:t>
            </w:r>
            <w:r w:rsidRPr="00081D1A">
              <w:rPr>
                <w:rFonts w:cs="Arial"/>
                <w:b/>
                <w:bCs/>
                <w:color w:val="000000"/>
                <w:sz w:val="14"/>
                <w:szCs w:val="14"/>
                <w:vertAlign w:val="superscript"/>
              </w:rPr>
              <w:t>1</w:t>
            </w:r>
          </w:p>
        </w:tc>
        <w:tc>
          <w:tcPr>
            <w:tcW w:w="851"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16121345" w14:textId="77777777" w:rsidR="009746AF" w:rsidRPr="00081D1A" w:rsidRDefault="00852035" w:rsidP="006E19FF">
            <w:pPr>
              <w:spacing w:after="0" w:line="276" w:lineRule="auto"/>
              <w:ind w:left="-111" w:right="-109"/>
              <w:jc w:val="center"/>
              <w:rPr>
                <w:rFonts w:cs="Arial"/>
                <w:b/>
                <w:bCs/>
                <w:color w:val="000000"/>
                <w:sz w:val="14"/>
                <w:szCs w:val="14"/>
              </w:rPr>
            </w:pPr>
            <w:r w:rsidRPr="00081D1A">
              <w:rPr>
                <w:rFonts w:cs="Arial"/>
                <w:b/>
                <w:bCs/>
                <w:color w:val="000000"/>
                <w:sz w:val="14"/>
                <w:szCs w:val="14"/>
              </w:rPr>
              <w:t>Έσοδα</w:t>
            </w:r>
          </w:p>
          <w:p w14:paraId="19FACC37" w14:textId="0A6EA54E" w:rsidR="009746AF" w:rsidRPr="00081D1A" w:rsidRDefault="00852035" w:rsidP="006E19FF">
            <w:pPr>
              <w:spacing w:after="0" w:line="276" w:lineRule="auto"/>
              <w:ind w:left="-111" w:right="-109"/>
              <w:jc w:val="center"/>
              <w:rPr>
                <w:rFonts w:cs="Arial"/>
                <w:b/>
                <w:bCs/>
                <w:color w:val="000000"/>
                <w:sz w:val="14"/>
                <w:szCs w:val="14"/>
              </w:rPr>
            </w:pPr>
            <w:r w:rsidRPr="00081D1A">
              <w:rPr>
                <w:rFonts w:cs="Arial"/>
                <w:b/>
                <w:bCs/>
                <w:color w:val="000000"/>
                <w:sz w:val="14"/>
                <w:szCs w:val="14"/>
              </w:rPr>
              <w:t>χρημ/κ</w:t>
            </w:r>
            <w:r w:rsidR="005629F9">
              <w:rPr>
                <w:rFonts w:cs="Arial"/>
                <w:b/>
                <w:bCs/>
                <w:color w:val="000000"/>
                <w:sz w:val="14"/>
                <w:szCs w:val="14"/>
              </w:rPr>
              <w:t>ώ</w:t>
            </w:r>
            <w:r w:rsidRPr="00081D1A">
              <w:rPr>
                <w:rFonts w:cs="Arial"/>
                <w:b/>
                <w:bCs/>
                <w:color w:val="000000"/>
                <w:sz w:val="14"/>
                <w:szCs w:val="14"/>
              </w:rPr>
              <w:t>ν</w:t>
            </w:r>
          </w:p>
          <w:p w14:paraId="4C856225" w14:textId="0AFD9D2C" w:rsidR="00852035" w:rsidRPr="00081D1A" w:rsidRDefault="00852035" w:rsidP="006E19FF">
            <w:pPr>
              <w:spacing w:after="0" w:line="276" w:lineRule="auto"/>
              <w:ind w:left="-111" w:right="-109"/>
              <w:jc w:val="center"/>
              <w:rPr>
                <w:rFonts w:cs="Arial"/>
                <w:b/>
                <w:bCs/>
                <w:color w:val="000000"/>
                <w:sz w:val="14"/>
                <w:szCs w:val="14"/>
              </w:rPr>
            </w:pPr>
            <w:r w:rsidRPr="00081D1A">
              <w:rPr>
                <w:rFonts w:cs="Arial"/>
                <w:b/>
                <w:bCs/>
                <w:color w:val="000000"/>
                <w:sz w:val="14"/>
                <w:szCs w:val="14"/>
              </w:rPr>
              <w:t>συν</w:t>
            </w:r>
            <w:r w:rsidR="00A347A9" w:rsidRPr="00081D1A">
              <w:rPr>
                <w:rFonts w:cs="Arial"/>
                <w:b/>
                <w:bCs/>
                <w:color w:val="000000"/>
                <w:sz w:val="14"/>
                <w:szCs w:val="14"/>
              </w:rPr>
              <w:t>/</w:t>
            </w:r>
            <w:r w:rsidRPr="00081D1A">
              <w:rPr>
                <w:rFonts w:cs="Arial"/>
                <w:b/>
                <w:bCs/>
                <w:color w:val="000000"/>
                <w:sz w:val="14"/>
                <w:szCs w:val="14"/>
              </w:rPr>
              <w:t>γ</w:t>
            </w:r>
            <w:r w:rsidR="005629F9">
              <w:rPr>
                <w:rFonts w:cs="Arial"/>
                <w:b/>
                <w:bCs/>
                <w:color w:val="000000"/>
                <w:sz w:val="14"/>
                <w:szCs w:val="14"/>
              </w:rPr>
              <w:t>ώ</w:t>
            </w:r>
            <w:r w:rsidRPr="00081D1A">
              <w:rPr>
                <w:rFonts w:cs="Arial"/>
                <w:b/>
                <w:bCs/>
                <w:color w:val="000000"/>
                <w:sz w:val="14"/>
                <w:szCs w:val="14"/>
              </w:rPr>
              <w:t>ν</w:t>
            </w:r>
          </w:p>
        </w:tc>
        <w:tc>
          <w:tcPr>
            <w:tcW w:w="709"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616695D2" w14:textId="77777777" w:rsidR="009746AF" w:rsidRPr="00081D1A" w:rsidRDefault="00852035" w:rsidP="006E19FF">
            <w:pPr>
              <w:spacing w:after="0" w:line="276" w:lineRule="auto"/>
              <w:ind w:left="-140" w:right="-110"/>
              <w:jc w:val="center"/>
              <w:rPr>
                <w:rFonts w:cs="Arial"/>
                <w:b/>
                <w:bCs/>
                <w:color w:val="000000"/>
                <w:sz w:val="14"/>
                <w:szCs w:val="14"/>
              </w:rPr>
            </w:pPr>
            <w:r w:rsidRPr="00081D1A">
              <w:rPr>
                <w:rFonts w:cs="Arial"/>
                <w:b/>
                <w:bCs/>
                <w:color w:val="000000"/>
                <w:sz w:val="14"/>
                <w:szCs w:val="14"/>
              </w:rPr>
              <w:t>Έξοδα</w:t>
            </w:r>
          </w:p>
          <w:p w14:paraId="4FA55F11" w14:textId="5065B7DD" w:rsidR="009746AF" w:rsidRPr="00081D1A" w:rsidRDefault="00852035" w:rsidP="006E19FF">
            <w:pPr>
              <w:spacing w:after="0" w:line="276" w:lineRule="auto"/>
              <w:ind w:left="-140" w:right="-110"/>
              <w:jc w:val="center"/>
              <w:rPr>
                <w:rFonts w:cs="Arial"/>
                <w:b/>
                <w:bCs/>
                <w:color w:val="000000"/>
                <w:sz w:val="14"/>
                <w:szCs w:val="14"/>
              </w:rPr>
            </w:pPr>
            <w:r w:rsidRPr="00081D1A">
              <w:rPr>
                <w:rFonts w:cs="Arial"/>
                <w:b/>
                <w:bCs/>
                <w:color w:val="000000"/>
                <w:sz w:val="14"/>
                <w:szCs w:val="14"/>
              </w:rPr>
              <w:t>χρημ/κ</w:t>
            </w:r>
            <w:r w:rsidR="005629F9">
              <w:rPr>
                <w:rFonts w:cs="Arial"/>
                <w:b/>
                <w:bCs/>
                <w:color w:val="000000"/>
                <w:sz w:val="14"/>
                <w:szCs w:val="14"/>
              </w:rPr>
              <w:t>ώ</w:t>
            </w:r>
            <w:r w:rsidRPr="00081D1A">
              <w:rPr>
                <w:rFonts w:cs="Arial"/>
                <w:b/>
                <w:bCs/>
                <w:color w:val="000000"/>
                <w:sz w:val="14"/>
                <w:szCs w:val="14"/>
              </w:rPr>
              <w:t>ν</w:t>
            </w:r>
          </w:p>
          <w:p w14:paraId="34130128" w14:textId="1132C5C7" w:rsidR="00852035" w:rsidRPr="00081D1A" w:rsidRDefault="00852035" w:rsidP="006E19FF">
            <w:pPr>
              <w:spacing w:after="0" w:line="276" w:lineRule="auto"/>
              <w:ind w:left="-140" w:right="-110"/>
              <w:jc w:val="center"/>
              <w:rPr>
                <w:rFonts w:cs="Arial"/>
                <w:b/>
                <w:bCs/>
                <w:color w:val="000000"/>
                <w:sz w:val="14"/>
                <w:szCs w:val="14"/>
              </w:rPr>
            </w:pPr>
            <w:r w:rsidRPr="00081D1A">
              <w:rPr>
                <w:rFonts w:cs="Arial"/>
                <w:b/>
                <w:bCs/>
                <w:color w:val="000000"/>
                <w:sz w:val="14"/>
                <w:szCs w:val="14"/>
              </w:rPr>
              <w:t>συν</w:t>
            </w:r>
            <w:r w:rsidR="009746AF" w:rsidRPr="00081D1A">
              <w:rPr>
                <w:rFonts w:cs="Arial"/>
                <w:b/>
                <w:bCs/>
                <w:color w:val="000000"/>
                <w:sz w:val="14"/>
                <w:szCs w:val="14"/>
              </w:rPr>
              <w:t>/</w:t>
            </w:r>
            <w:r w:rsidRPr="00081D1A">
              <w:rPr>
                <w:rFonts w:cs="Arial"/>
                <w:b/>
                <w:bCs/>
                <w:color w:val="000000"/>
                <w:sz w:val="14"/>
                <w:szCs w:val="14"/>
              </w:rPr>
              <w:t>γ</w:t>
            </w:r>
            <w:r w:rsidR="005629F9">
              <w:rPr>
                <w:rFonts w:cs="Arial"/>
                <w:b/>
                <w:bCs/>
                <w:color w:val="000000"/>
                <w:sz w:val="14"/>
                <w:szCs w:val="14"/>
              </w:rPr>
              <w:t>ώ</w:t>
            </w:r>
            <w:r w:rsidRPr="00081D1A">
              <w:rPr>
                <w:rFonts w:cs="Arial"/>
                <w:b/>
                <w:bCs/>
                <w:color w:val="000000"/>
                <w:sz w:val="14"/>
                <w:szCs w:val="14"/>
              </w:rPr>
              <w:t>ν</w:t>
            </w:r>
          </w:p>
        </w:tc>
        <w:tc>
          <w:tcPr>
            <w:tcW w:w="851"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57A4A201" w14:textId="61E7E5E4" w:rsidR="009746AF" w:rsidRPr="00081D1A" w:rsidRDefault="00852035" w:rsidP="006E19FF">
            <w:pPr>
              <w:spacing w:after="0" w:line="276" w:lineRule="auto"/>
              <w:ind w:left="-112" w:right="-108"/>
              <w:jc w:val="center"/>
              <w:rPr>
                <w:rFonts w:cs="Arial"/>
                <w:b/>
                <w:bCs/>
                <w:color w:val="000000"/>
                <w:sz w:val="14"/>
                <w:szCs w:val="14"/>
              </w:rPr>
            </w:pPr>
            <w:r w:rsidRPr="00081D1A">
              <w:rPr>
                <w:rFonts w:cs="Arial"/>
                <w:b/>
                <w:bCs/>
                <w:color w:val="000000"/>
                <w:sz w:val="14"/>
                <w:szCs w:val="14"/>
              </w:rPr>
              <w:t>Έσοδα</w:t>
            </w:r>
          </w:p>
          <w:p w14:paraId="2C1E9390" w14:textId="2B4CFF68" w:rsidR="009501EC" w:rsidRPr="00081D1A" w:rsidRDefault="00081D1A" w:rsidP="006E19FF">
            <w:pPr>
              <w:spacing w:after="0" w:line="276" w:lineRule="auto"/>
              <w:ind w:left="-112" w:right="-108"/>
              <w:jc w:val="center"/>
              <w:rPr>
                <w:rFonts w:cs="Arial"/>
                <w:b/>
                <w:bCs/>
                <w:color w:val="000000"/>
                <w:sz w:val="14"/>
                <w:szCs w:val="14"/>
              </w:rPr>
            </w:pPr>
            <w:r>
              <w:rPr>
                <w:rFonts w:cs="Arial"/>
                <w:b/>
                <w:bCs/>
                <w:color w:val="000000"/>
                <w:sz w:val="14"/>
                <w:szCs w:val="14"/>
              </w:rPr>
              <w:t>μ</w:t>
            </w:r>
            <w:r w:rsidR="00852035" w:rsidRPr="00081D1A">
              <w:rPr>
                <w:rFonts w:cs="Arial"/>
                <w:b/>
                <w:bCs/>
                <w:color w:val="000000"/>
                <w:sz w:val="14"/>
                <w:szCs w:val="14"/>
              </w:rPr>
              <w:t>η</w:t>
            </w:r>
          </w:p>
          <w:p w14:paraId="58201B98" w14:textId="5EC6B78C" w:rsidR="00852035" w:rsidRPr="00081D1A" w:rsidRDefault="00852035" w:rsidP="006E19FF">
            <w:pPr>
              <w:spacing w:after="0" w:line="276" w:lineRule="auto"/>
              <w:ind w:left="-112" w:right="-108"/>
              <w:jc w:val="center"/>
              <w:rPr>
                <w:rFonts w:cs="Arial"/>
                <w:b/>
                <w:bCs/>
                <w:color w:val="000000"/>
                <w:sz w:val="14"/>
                <w:szCs w:val="14"/>
              </w:rPr>
            </w:pPr>
            <w:r w:rsidRPr="00081D1A">
              <w:rPr>
                <w:rFonts w:cs="Arial"/>
                <w:b/>
                <w:bCs/>
                <w:color w:val="000000"/>
                <w:sz w:val="14"/>
                <w:szCs w:val="14"/>
              </w:rPr>
              <w:t>χρημ/κ</w:t>
            </w:r>
            <w:r w:rsidR="005629F9">
              <w:rPr>
                <w:rFonts w:cs="Arial"/>
                <w:b/>
                <w:bCs/>
                <w:color w:val="000000"/>
                <w:sz w:val="14"/>
                <w:szCs w:val="14"/>
              </w:rPr>
              <w:t>ώ</w:t>
            </w:r>
            <w:r w:rsidRPr="00081D1A">
              <w:rPr>
                <w:rFonts w:cs="Arial"/>
                <w:b/>
                <w:bCs/>
                <w:color w:val="000000"/>
                <w:sz w:val="14"/>
                <w:szCs w:val="14"/>
              </w:rPr>
              <w:t>ν συν</w:t>
            </w:r>
            <w:r w:rsidR="009746AF" w:rsidRPr="00081D1A">
              <w:rPr>
                <w:rFonts w:cs="Arial"/>
                <w:b/>
                <w:bCs/>
                <w:color w:val="000000"/>
                <w:sz w:val="14"/>
                <w:szCs w:val="14"/>
              </w:rPr>
              <w:t>/</w:t>
            </w:r>
            <w:r w:rsidRPr="00081D1A">
              <w:rPr>
                <w:rFonts w:cs="Arial"/>
                <w:b/>
                <w:bCs/>
                <w:color w:val="000000"/>
                <w:sz w:val="14"/>
                <w:szCs w:val="14"/>
              </w:rPr>
              <w:t>γ</w:t>
            </w:r>
            <w:r w:rsidR="005629F9">
              <w:rPr>
                <w:rFonts w:cs="Arial"/>
                <w:b/>
                <w:bCs/>
                <w:color w:val="000000"/>
                <w:sz w:val="14"/>
                <w:szCs w:val="14"/>
              </w:rPr>
              <w:t>ώ</w:t>
            </w:r>
            <w:r w:rsidRPr="00081D1A">
              <w:rPr>
                <w:rFonts w:cs="Arial"/>
                <w:b/>
                <w:bCs/>
                <w:color w:val="000000"/>
                <w:sz w:val="14"/>
                <w:szCs w:val="14"/>
              </w:rPr>
              <w:t>ν</w:t>
            </w:r>
          </w:p>
        </w:tc>
        <w:tc>
          <w:tcPr>
            <w:tcW w:w="850"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6A6AAF6B" w14:textId="77777777" w:rsidR="009746AF" w:rsidRPr="00081D1A" w:rsidRDefault="00852035" w:rsidP="006E19FF">
            <w:pPr>
              <w:spacing w:after="0" w:line="276" w:lineRule="auto"/>
              <w:ind w:left="-112" w:right="-109"/>
              <w:jc w:val="center"/>
              <w:rPr>
                <w:rFonts w:cs="Arial"/>
                <w:b/>
                <w:bCs/>
                <w:color w:val="000000"/>
                <w:sz w:val="14"/>
                <w:szCs w:val="14"/>
              </w:rPr>
            </w:pPr>
            <w:r w:rsidRPr="00081D1A">
              <w:rPr>
                <w:rFonts w:cs="Arial"/>
                <w:b/>
                <w:bCs/>
                <w:color w:val="000000"/>
                <w:sz w:val="14"/>
                <w:szCs w:val="14"/>
              </w:rPr>
              <w:t>Έξοδα</w:t>
            </w:r>
          </w:p>
          <w:p w14:paraId="74983D1F" w14:textId="41B93CD4" w:rsidR="009501EC" w:rsidRPr="00081D1A" w:rsidRDefault="00081D1A" w:rsidP="006E19FF">
            <w:pPr>
              <w:spacing w:after="0" w:line="276" w:lineRule="auto"/>
              <w:ind w:left="-112" w:right="-109"/>
              <w:jc w:val="center"/>
              <w:rPr>
                <w:rFonts w:cs="Arial"/>
                <w:b/>
                <w:bCs/>
                <w:color w:val="000000"/>
                <w:sz w:val="14"/>
                <w:szCs w:val="14"/>
              </w:rPr>
            </w:pPr>
            <w:r>
              <w:rPr>
                <w:rFonts w:cs="Arial"/>
                <w:b/>
                <w:bCs/>
                <w:color w:val="000000"/>
                <w:sz w:val="14"/>
                <w:szCs w:val="14"/>
              </w:rPr>
              <w:t>μ</w:t>
            </w:r>
            <w:r w:rsidR="00852035" w:rsidRPr="00081D1A">
              <w:rPr>
                <w:rFonts w:cs="Arial"/>
                <w:b/>
                <w:bCs/>
                <w:color w:val="000000"/>
                <w:sz w:val="14"/>
                <w:szCs w:val="14"/>
              </w:rPr>
              <w:t>η</w:t>
            </w:r>
          </w:p>
          <w:p w14:paraId="62CF7BAB" w14:textId="616180D4" w:rsidR="00852035" w:rsidRPr="00081D1A" w:rsidRDefault="00852035" w:rsidP="006E19FF">
            <w:pPr>
              <w:spacing w:after="0" w:line="276" w:lineRule="auto"/>
              <w:ind w:left="-112" w:right="-109"/>
              <w:jc w:val="center"/>
              <w:rPr>
                <w:rFonts w:cs="Arial"/>
                <w:b/>
                <w:bCs/>
                <w:color w:val="000000"/>
                <w:sz w:val="14"/>
                <w:szCs w:val="14"/>
              </w:rPr>
            </w:pPr>
            <w:r w:rsidRPr="00081D1A">
              <w:rPr>
                <w:rFonts w:cs="Arial"/>
                <w:b/>
                <w:bCs/>
                <w:color w:val="000000"/>
                <w:sz w:val="14"/>
                <w:szCs w:val="14"/>
              </w:rPr>
              <w:t>χρημ/κών συν</w:t>
            </w:r>
            <w:r w:rsidR="009746AF" w:rsidRPr="00081D1A">
              <w:rPr>
                <w:rFonts w:cs="Arial"/>
                <w:b/>
                <w:bCs/>
                <w:color w:val="000000"/>
                <w:sz w:val="14"/>
                <w:szCs w:val="14"/>
              </w:rPr>
              <w:t>/</w:t>
            </w:r>
            <w:r w:rsidRPr="00081D1A">
              <w:rPr>
                <w:rFonts w:cs="Arial"/>
                <w:b/>
                <w:bCs/>
                <w:color w:val="000000"/>
                <w:sz w:val="14"/>
                <w:szCs w:val="14"/>
              </w:rPr>
              <w:t>γ</w:t>
            </w:r>
            <w:r w:rsidR="009746AF" w:rsidRPr="00081D1A">
              <w:rPr>
                <w:rFonts w:cs="Arial"/>
                <w:b/>
                <w:bCs/>
                <w:color w:val="000000"/>
                <w:sz w:val="14"/>
                <w:szCs w:val="14"/>
              </w:rPr>
              <w:t>ω</w:t>
            </w:r>
            <w:r w:rsidRPr="00081D1A">
              <w:rPr>
                <w:rFonts w:cs="Arial"/>
                <w:b/>
                <w:bCs/>
                <w:color w:val="000000"/>
                <w:sz w:val="14"/>
                <w:szCs w:val="14"/>
              </w:rPr>
              <w:t>ν</w:t>
            </w:r>
          </w:p>
        </w:tc>
        <w:tc>
          <w:tcPr>
            <w:tcW w:w="851" w:type="dxa"/>
            <w:tcBorders>
              <w:top w:val="single" w:sz="2" w:space="0" w:color="A6A6A6" w:themeColor="background1" w:themeShade="A6"/>
              <w:bottom w:val="single" w:sz="2" w:space="0" w:color="A6A6A6" w:themeColor="background1" w:themeShade="A6"/>
            </w:tcBorders>
            <w:shd w:val="clear" w:color="auto" w:fill="D9D9D9" w:themeFill="background1" w:themeFillShade="D9"/>
            <w:vAlign w:val="center"/>
            <w:hideMark/>
          </w:tcPr>
          <w:p w14:paraId="4DD032F4" w14:textId="77777777" w:rsidR="009746AF" w:rsidRPr="00081D1A" w:rsidRDefault="00852035" w:rsidP="006E19FF">
            <w:pPr>
              <w:spacing w:after="0" w:line="276" w:lineRule="auto"/>
              <w:ind w:left="-111" w:right="-109"/>
              <w:jc w:val="center"/>
              <w:rPr>
                <w:rFonts w:cs="Arial"/>
                <w:b/>
                <w:bCs/>
                <w:color w:val="000000"/>
                <w:sz w:val="14"/>
                <w:szCs w:val="14"/>
              </w:rPr>
            </w:pPr>
            <w:r w:rsidRPr="00081D1A">
              <w:rPr>
                <w:rFonts w:cs="Arial"/>
                <w:b/>
                <w:bCs/>
                <w:color w:val="000000"/>
                <w:sz w:val="14"/>
                <w:szCs w:val="14"/>
              </w:rPr>
              <w:t>Ισοζύγιο</w:t>
            </w:r>
          </w:p>
          <w:p w14:paraId="5C6341EA" w14:textId="1F0A61B6" w:rsidR="009746AF" w:rsidRPr="00081D1A" w:rsidRDefault="009746AF" w:rsidP="006E19FF">
            <w:pPr>
              <w:spacing w:after="0" w:line="276" w:lineRule="auto"/>
              <w:ind w:left="-111" w:right="-109"/>
              <w:jc w:val="center"/>
              <w:rPr>
                <w:rFonts w:cs="Arial"/>
                <w:b/>
                <w:bCs/>
                <w:color w:val="000000"/>
                <w:sz w:val="14"/>
                <w:szCs w:val="14"/>
              </w:rPr>
            </w:pPr>
            <w:r w:rsidRPr="00081D1A">
              <w:rPr>
                <w:rFonts w:cs="Arial"/>
                <w:b/>
                <w:bCs/>
                <w:color w:val="000000"/>
                <w:sz w:val="14"/>
                <w:szCs w:val="14"/>
              </w:rPr>
              <w:t>κ</w:t>
            </w:r>
            <w:r w:rsidR="00852035" w:rsidRPr="00081D1A">
              <w:rPr>
                <w:rFonts w:cs="Arial"/>
                <w:b/>
                <w:bCs/>
                <w:color w:val="000000"/>
                <w:sz w:val="14"/>
                <w:szCs w:val="14"/>
              </w:rPr>
              <w:t>ατά</w:t>
            </w:r>
          </w:p>
          <w:p w14:paraId="4CC84D13" w14:textId="6C534EDE" w:rsidR="00852035" w:rsidRPr="00081D1A" w:rsidRDefault="00852035" w:rsidP="006E19FF">
            <w:pPr>
              <w:spacing w:after="0" w:line="276" w:lineRule="auto"/>
              <w:ind w:left="-111" w:right="-109"/>
              <w:jc w:val="center"/>
              <w:rPr>
                <w:rFonts w:cs="Arial"/>
                <w:b/>
                <w:bCs/>
                <w:color w:val="000000"/>
                <w:sz w:val="14"/>
                <w:szCs w:val="14"/>
              </w:rPr>
            </w:pPr>
            <w:r w:rsidRPr="00081D1A">
              <w:rPr>
                <w:rFonts w:cs="Arial"/>
                <w:b/>
                <w:bCs/>
                <w:color w:val="000000"/>
                <w:sz w:val="14"/>
                <w:szCs w:val="14"/>
              </w:rPr>
              <w:t>ESA</w:t>
            </w:r>
            <w:r w:rsidRPr="00081D1A">
              <w:rPr>
                <w:rFonts w:cs="Arial"/>
                <w:b/>
                <w:bCs/>
                <w:color w:val="000000"/>
                <w:sz w:val="14"/>
                <w:szCs w:val="14"/>
                <w:vertAlign w:val="superscript"/>
              </w:rPr>
              <w:t>1</w:t>
            </w:r>
          </w:p>
        </w:tc>
        <w:tc>
          <w:tcPr>
            <w:tcW w:w="865"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3B41B8B4" w14:textId="1BC207EF" w:rsidR="00852035" w:rsidRPr="00081D1A" w:rsidRDefault="00852035" w:rsidP="006E19FF">
            <w:pPr>
              <w:spacing w:after="0" w:line="276" w:lineRule="auto"/>
              <w:ind w:left="-111" w:right="-90"/>
              <w:jc w:val="center"/>
              <w:rPr>
                <w:rFonts w:cs="Arial"/>
                <w:b/>
                <w:bCs/>
                <w:color w:val="000000"/>
                <w:sz w:val="14"/>
                <w:szCs w:val="14"/>
              </w:rPr>
            </w:pPr>
            <w:r w:rsidRPr="00081D1A">
              <w:rPr>
                <w:rFonts w:cs="Arial"/>
                <w:b/>
                <w:bCs/>
                <w:color w:val="000000"/>
                <w:sz w:val="14"/>
                <w:szCs w:val="14"/>
              </w:rPr>
              <w:t>Έσοδα χρημ/κ</w:t>
            </w:r>
            <w:r w:rsidR="005629F9">
              <w:rPr>
                <w:rFonts w:cs="Arial"/>
                <w:b/>
                <w:bCs/>
                <w:color w:val="000000"/>
                <w:sz w:val="14"/>
                <w:szCs w:val="14"/>
              </w:rPr>
              <w:t>ώ</w:t>
            </w:r>
            <w:r w:rsidRPr="00081D1A">
              <w:rPr>
                <w:rFonts w:cs="Arial"/>
                <w:b/>
                <w:bCs/>
                <w:color w:val="000000"/>
                <w:sz w:val="14"/>
                <w:szCs w:val="14"/>
              </w:rPr>
              <w:t>ν συν</w:t>
            </w:r>
            <w:r w:rsidR="009746AF" w:rsidRPr="00081D1A">
              <w:rPr>
                <w:rFonts w:cs="Arial"/>
                <w:b/>
                <w:bCs/>
                <w:color w:val="000000"/>
                <w:sz w:val="14"/>
                <w:szCs w:val="14"/>
              </w:rPr>
              <w:t>/</w:t>
            </w:r>
            <w:r w:rsidRPr="00081D1A">
              <w:rPr>
                <w:rFonts w:cs="Arial"/>
                <w:b/>
                <w:bCs/>
                <w:color w:val="000000"/>
                <w:sz w:val="14"/>
                <w:szCs w:val="14"/>
              </w:rPr>
              <w:t>γ</w:t>
            </w:r>
            <w:r w:rsidR="005629F9">
              <w:rPr>
                <w:rFonts w:cs="Arial"/>
                <w:b/>
                <w:bCs/>
                <w:color w:val="000000"/>
                <w:sz w:val="14"/>
                <w:szCs w:val="14"/>
              </w:rPr>
              <w:t>ώ</w:t>
            </w:r>
            <w:r w:rsidRPr="00081D1A">
              <w:rPr>
                <w:rFonts w:cs="Arial"/>
                <w:b/>
                <w:bCs/>
                <w:color w:val="000000"/>
                <w:sz w:val="14"/>
                <w:szCs w:val="14"/>
              </w:rPr>
              <w:t>ν</w:t>
            </w:r>
          </w:p>
        </w:tc>
        <w:tc>
          <w:tcPr>
            <w:tcW w:w="836"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49E49260" w14:textId="77777777" w:rsidR="009746AF" w:rsidRPr="00081D1A" w:rsidRDefault="00852035" w:rsidP="006E19FF">
            <w:pPr>
              <w:spacing w:after="0" w:line="276" w:lineRule="auto"/>
              <w:ind w:left="-120" w:right="-110"/>
              <w:jc w:val="center"/>
              <w:rPr>
                <w:rFonts w:cs="Arial"/>
                <w:b/>
                <w:bCs/>
                <w:color w:val="000000"/>
                <w:sz w:val="14"/>
                <w:szCs w:val="14"/>
              </w:rPr>
            </w:pPr>
            <w:r w:rsidRPr="00081D1A">
              <w:rPr>
                <w:rFonts w:cs="Arial"/>
                <w:b/>
                <w:bCs/>
                <w:color w:val="000000"/>
                <w:sz w:val="14"/>
                <w:szCs w:val="14"/>
              </w:rPr>
              <w:t>Έξοδα</w:t>
            </w:r>
          </w:p>
          <w:p w14:paraId="6357B352" w14:textId="2B4AC99E" w:rsidR="00852035" w:rsidRPr="00081D1A" w:rsidRDefault="00852035" w:rsidP="006E19FF">
            <w:pPr>
              <w:spacing w:after="0" w:line="276" w:lineRule="auto"/>
              <w:ind w:left="-120" w:right="-110"/>
              <w:jc w:val="center"/>
              <w:rPr>
                <w:rFonts w:cs="Arial"/>
                <w:b/>
                <w:bCs/>
                <w:color w:val="000000"/>
                <w:sz w:val="14"/>
                <w:szCs w:val="14"/>
              </w:rPr>
            </w:pPr>
            <w:r w:rsidRPr="00081D1A">
              <w:rPr>
                <w:rFonts w:cs="Arial"/>
                <w:b/>
                <w:bCs/>
                <w:color w:val="000000"/>
                <w:sz w:val="14"/>
                <w:szCs w:val="14"/>
              </w:rPr>
              <w:t>χρημ/κ</w:t>
            </w:r>
            <w:r w:rsidR="005629F9">
              <w:rPr>
                <w:rFonts w:cs="Arial"/>
                <w:b/>
                <w:bCs/>
                <w:color w:val="000000"/>
                <w:sz w:val="14"/>
                <w:szCs w:val="14"/>
              </w:rPr>
              <w:t>ώ</w:t>
            </w:r>
            <w:r w:rsidRPr="00081D1A">
              <w:rPr>
                <w:rFonts w:cs="Arial"/>
                <w:b/>
                <w:bCs/>
                <w:color w:val="000000"/>
                <w:sz w:val="14"/>
                <w:szCs w:val="14"/>
              </w:rPr>
              <w:t>ν συν</w:t>
            </w:r>
            <w:r w:rsidR="009746AF" w:rsidRPr="00081D1A">
              <w:rPr>
                <w:rFonts w:cs="Arial"/>
                <w:b/>
                <w:bCs/>
                <w:color w:val="000000"/>
                <w:sz w:val="14"/>
                <w:szCs w:val="14"/>
              </w:rPr>
              <w:t>/</w:t>
            </w:r>
            <w:r w:rsidRPr="00081D1A">
              <w:rPr>
                <w:rFonts w:cs="Arial"/>
                <w:b/>
                <w:bCs/>
                <w:color w:val="000000"/>
                <w:sz w:val="14"/>
                <w:szCs w:val="14"/>
              </w:rPr>
              <w:t>γ</w:t>
            </w:r>
            <w:r w:rsidR="005629F9">
              <w:rPr>
                <w:rFonts w:cs="Arial"/>
                <w:b/>
                <w:bCs/>
                <w:color w:val="000000"/>
                <w:sz w:val="14"/>
                <w:szCs w:val="14"/>
              </w:rPr>
              <w:t>ώ</w:t>
            </w:r>
            <w:r w:rsidRPr="00081D1A">
              <w:rPr>
                <w:rFonts w:cs="Arial"/>
                <w:b/>
                <w:bCs/>
                <w:color w:val="000000"/>
                <w:sz w:val="14"/>
                <w:szCs w:val="14"/>
              </w:rPr>
              <w:t>ν</w:t>
            </w:r>
          </w:p>
        </w:tc>
      </w:tr>
      <w:tr w:rsidR="00D32DB6" w:rsidRPr="00A347A9" w14:paraId="0259F588" w14:textId="77777777" w:rsidTr="0055296E">
        <w:trPr>
          <w:cantSplit/>
          <w:trHeight w:val="227"/>
          <w:jc w:val="center"/>
        </w:trPr>
        <w:tc>
          <w:tcPr>
            <w:tcW w:w="11340" w:type="dxa"/>
            <w:gridSpan w:val="11"/>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auto" w:fill="D5DCE4"/>
            <w:vAlign w:val="center"/>
          </w:tcPr>
          <w:p w14:paraId="7AE37059" w14:textId="02EC3384" w:rsidR="000B2698" w:rsidRPr="00081D1A" w:rsidRDefault="000B2698" w:rsidP="006E19FF">
            <w:pPr>
              <w:spacing w:after="0" w:line="276" w:lineRule="auto"/>
              <w:rPr>
                <w:rFonts w:cs="Arial"/>
                <w:b/>
                <w:bCs/>
                <w:color w:val="000000"/>
                <w:sz w:val="16"/>
                <w:szCs w:val="13"/>
              </w:rPr>
            </w:pPr>
            <w:r w:rsidRPr="00081D1A">
              <w:rPr>
                <w:rFonts w:cs="Arial"/>
                <w:b/>
                <w:bCs/>
                <w:color w:val="000000"/>
                <w:sz w:val="16"/>
                <w:szCs w:val="13"/>
              </w:rPr>
              <w:t>ΑΔΑ (ΝΠΔΔ)</w:t>
            </w:r>
          </w:p>
        </w:tc>
      </w:tr>
      <w:tr w:rsidR="009746AF" w:rsidRPr="0055296E" w14:paraId="6755D715"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shd w:val="clear" w:color="auto" w:fill="auto"/>
            <w:vAlign w:val="center"/>
            <w:hideMark/>
          </w:tcPr>
          <w:p w14:paraId="5986B2B7" w14:textId="01306C1C"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Αρχή Πολιτικής Αεροπορίας</w:t>
            </w:r>
          </w:p>
        </w:tc>
        <w:tc>
          <w:tcPr>
            <w:tcW w:w="851" w:type="dxa"/>
            <w:tcBorders>
              <w:left w:val="single" w:sz="2" w:space="0" w:color="A6A6A6" w:themeColor="background1" w:themeShade="A6"/>
            </w:tcBorders>
            <w:shd w:val="clear" w:color="auto" w:fill="auto"/>
            <w:vAlign w:val="center"/>
            <w:hideMark/>
          </w:tcPr>
          <w:p w14:paraId="1F83088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48</w:t>
            </w:r>
          </w:p>
        </w:tc>
        <w:tc>
          <w:tcPr>
            <w:tcW w:w="851" w:type="dxa"/>
            <w:shd w:val="clear" w:color="auto" w:fill="auto"/>
            <w:vAlign w:val="center"/>
            <w:hideMark/>
          </w:tcPr>
          <w:p w14:paraId="00EAC1B1"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29</w:t>
            </w:r>
          </w:p>
        </w:tc>
        <w:tc>
          <w:tcPr>
            <w:tcW w:w="709" w:type="dxa"/>
            <w:shd w:val="clear" w:color="auto" w:fill="D9D9D9" w:themeFill="background1" w:themeFillShade="D9"/>
            <w:vAlign w:val="center"/>
            <w:hideMark/>
          </w:tcPr>
          <w:p w14:paraId="491561F1"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19</w:t>
            </w:r>
          </w:p>
        </w:tc>
        <w:tc>
          <w:tcPr>
            <w:tcW w:w="851" w:type="dxa"/>
            <w:shd w:val="clear" w:color="auto" w:fill="auto"/>
            <w:vAlign w:val="center"/>
            <w:hideMark/>
          </w:tcPr>
          <w:p w14:paraId="545B2EB2"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6</w:t>
            </w:r>
          </w:p>
        </w:tc>
        <w:tc>
          <w:tcPr>
            <w:tcW w:w="709" w:type="dxa"/>
            <w:tcBorders>
              <w:right w:val="single" w:sz="2" w:space="0" w:color="A6A6A6" w:themeColor="background1" w:themeShade="A6"/>
            </w:tcBorders>
            <w:shd w:val="clear" w:color="auto" w:fill="auto"/>
            <w:vAlign w:val="center"/>
            <w:hideMark/>
          </w:tcPr>
          <w:p w14:paraId="491B474B"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6</w:t>
            </w:r>
          </w:p>
        </w:tc>
        <w:tc>
          <w:tcPr>
            <w:tcW w:w="851" w:type="dxa"/>
            <w:tcBorders>
              <w:left w:val="single" w:sz="2" w:space="0" w:color="A6A6A6" w:themeColor="background1" w:themeShade="A6"/>
            </w:tcBorders>
            <w:shd w:val="clear" w:color="auto" w:fill="auto"/>
            <w:vAlign w:val="center"/>
            <w:hideMark/>
          </w:tcPr>
          <w:p w14:paraId="368ADFEA"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38</w:t>
            </w:r>
          </w:p>
        </w:tc>
        <w:tc>
          <w:tcPr>
            <w:tcW w:w="850" w:type="dxa"/>
            <w:shd w:val="clear" w:color="auto" w:fill="auto"/>
            <w:vAlign w:val="center"/>
            <w:hideMark/>
          </w:tcPr>
          <w:p w14:paraId="08BCDB6B"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43</w:t>
            </w:r>
          </w:p>
        </w:tc>
        <w:tc>
          <w:tcPr>
            <w:tcW w:w="851" w:type="dxa"/>
            <w:shd w:val="clear" w:color="auto" w:fill="D9D9D9" w:themeFill="background1" w:themeFillShade="D9"/>
            <w:vAlign w:val="center"/>
            <w:hideMark/>
          </w:tcPr>
          <w:p w14:paraId="503A4F51"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w:t>
            </w:r>
          </w:p>
        </w:tc>
        <w:tc>
          <w:tcPr>
            <w:tcW w:w="865" w:type="dxa"/>
            <w:shd w:val="clear" w:color="auto" w:fill="auto"/>
            <w:vAlign w:val="center"/>
            <w:hideMark/>
          </w:tcPr>
          <w:p w14:paraId="6801C02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9</w:t>
            </w:r>
          </w:p>
        </w:tc>
        <w:tc>
          <w:tcPr>
            <w:tcW w:w="836" w:type="dxa"/>
            <w:tcBorders>
              <w:right w:val="single" w:sz="2" w:space="0" w:color="A6A6A6" w:themeColor="background1" w:themeShade="A6"/>
            </w:tcBorders>
            <w:shd w:val="clear" w:color="auto" w:fill="auto"/>
            <w:vAlign w:val="center"/>
            <w:hideMark/>
          </w:tcPr>
          <w:p w14:paraId="263556F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9</w:t>
            </w:r>
          </w:p>
        </w:tc>
      </w:tr>
      <w:tr w:rsidR="009746AF" w:rsidRPr="0055296E" w14:paraId="1E98848F"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shd w:val="clear" w:color="auto" w:fill="auto"/>
            <w:vAlign w:val="center"/>
            <w:hideMark/>
          </w:tcPr>
          <w:p w14:paraId="277DC176" w14:textId="322041FE"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Εθνική Αναλογιστική Αρχή</w:t>
            </w:r>
          </w:p>
        </w:tc>
        <w:tc>
          <w:tcPr>
            <w:tcW w:w="851" w:type="dxa"/>
            <w:tcBorders>
              <w:left w:val="single" w:sz="2" w:space="0" w:color="A6A6A6" w:themeColor="background1" w:themeShade="A6"/>
            </w:tcBorders>
            <w:shd w:val="clear" w:color="auto" w:fill="auto"/>
            <w:vAlign w:val="center"/>
            <w:hideMark/>
          </w:tcPr>
          <w:p w14:paraId="1E7386FD"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851" w:type="dxa"/>
            <w:shd w:val="clear" w:color="auto" w:fill="auto"/>
            <w:vAlign w:val="center"/>
            <w:hideMark/>
          </w:tcPr>
          <w:p w14:paraId="510E5773"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709" w:type="dxa"/>
            <w:shd w:val="clear" w:color="auto" w:fill="D9D9D9" w:themeFill="background1" w:themeFillShade="D9"/>
            <w:vAlign w:val="center"/>
            <w:hideMark/>
          </w:tcPr>
          <w:p w14:paraId="2E3DB1D1"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2</w:t>
            </w:r>
          </w:p>
        </w:tc>
        <w:tc>
          <w:tcPr>
            <w:tcW w:w="851" w:type="dxa"/>
            <w:shd w:val="clear" w:color="auto" w:fill="auto"/>
            <w:vAlign w:val="center"/>
            <w:hideMark/>
          </w:tcPr>
          <w:p w14:paraId="0FDB6D01"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709" w:type="dxa"/>
            <w:tcBorders>
              <w:right w:val="single" w:sz="2" w:space="0" w:color="A6A6A6" w:themeColor="background1" w:themeShade="A6"/>
            </w:tcBorders>
            <w:shd w:val="clear" w:color="auto" w:fill="auto"/>
            <w:vAlign w:val="center"/>
            <w:hideMark/>
          </w:tcPr>
          <w:p w14:paraId="6FF17D2D"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51" w:type="dxa"/>
            <w:tcBorders>
              <w:left w:val="single" w:sz="2" w:space="0" w:color="A6A6A6" w:themeColor="background1" w:themeShade="A6"/>
            </w:tcBorders>
            <w:shd w:val="clear" w:color="auto" w:fill="auto"/>
            <w:vAlign w:val="center"/>
            <w:hideMark/>
          </w:tcPr>
          <w:p w14:paraId="1E5C21E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850" w:type="dxa"/>
            <w:shd w:val="clear" w:color="auto" w:fill="auto"/>
            <w:vAlign w:val="center"/>
            <w:hideMark/>
          </w:tcPr>
          <w:p w14:paraId="4F8E8798"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51" w:type="dxa"/>
            <w:shd w:val="clear" w:color="auto" w:fill="D9D9D9" w:themeFill="background1" w:themeFillShade="D9"/>
            <w:vAlign w:val="center"/>
            <w:hideMark/>
          </w:tcPr>
          <w:p w14:paraId="29F4ADC8"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w:t>
            </w:r>
          </w:p>
        </w:tc>
        <w:tc>
          <w:tcPr>
            <w:tcW w:w="865" w:type="dxa"/>
            <w:shd w:val="clear" w:color="auto" w:fill="auto"/>
            <w:vAlign w:val="center"/>
            <w:hideMark/>
          </w:tcPr>
          <w:p w14:paraId="2ABBAA2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36" w:type="dxa"/>
            <w:tcBorders>
              <w:right w:val="single" w:sz="2" w:space="0" w:color="A6A6A6" w:themeColor="background1" w:themeShade="A6"/>
            </w:tcBorders>
            <w:shd w:val="clear" w:color="auto" w:fill="auto"/>
            <w:vAlign w:val="center"/>
            <w:hideMark/>
          </w:tcPr>
          <w:p w14:paraId="7C7B3B22"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r>
      <w:tr w:rsidR="009746AF" w:rsidRPr="0055296E" w14:paraId="3D7B144A"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shd w:val="clear" w:color="auto" w:fill="auto"/>
            <w:vAlign w:val="center"/>
            <w:hideMark/>
          </w:tcPr>
          <w:p w14:paraId="5C222981" w14:textId="38A466C1" w:rsidR="00852035" w:rsidRPr="00081D1A" w:rsidRDefault="00D32DB6" w:rsidP="006E19FF">
            <w:pPr>
              <w:tabs>
                <w:tab w:val="left" w:pos="1077"/>
              </w:tabs>
              <w:spacing w:after="0" w:line="276" w:lineRule="auto"/>
              <w:ind w:right="-109"/>
              <w:jc w:val="left"/>
              <w:rPr>
                <w:rFonts w:cs="Arial"/>
                <w:i/>
                <w:color w:val="000000"/>
                <w:sz w:val="16"/>
                <w:szCs w:val="14"/>
              </w:rPr>
            </w:pPr>
            <w:r w:rsidRPr="00081D1A">
              <w:rPr>
                <w:rFonts w:cs="Arial"/>
                <w:i/>
                <w:color w:val="000000"/>
                <w:sz w:val="16"/>
                <w:szCs w:val="14"/>
              </w:rPr>
              <w:t>εκ των οποίων</w:t>
            </w:r>
            <w:r w:rsidR="00A347A9" w:rsidRPr="00081D1A">
              <w:rPr>
                <w:rFonts w:cs="Arial"/>
                <w:i/>
                <w:color w:val="000000"/>
                <w:sz w:val="16"/>
                <w:szCs w:val="14"/>
              </w:rPr>
              <w:t>:</w:t>
            </w:r>
            <w:r w:rsidR="00081D1A">
              <w:rPr>
                <w:rFonts w:cs="Arial"/>
                <w:i/>
                <w:color w:val="000000"/>
                <w:sz w:val="16"/>
                <w:szCs w:val="14"/>
              </w:rPr>
              <w:t xml:space="preserve"> </w:t>
            </w:r>
            <w:r w:rsidRPr="00081D1A">
              <w:rPr>
                <w:rFonts w:cs="Arial"/>
                <w:i/>
                <w:color w:val="000000"/>
                <w:sz w:val="16"/>
                <w:szCs w:val="14"/>
              </w:rPr>
              <w:t>μεταβιβάσεις από τον</w:t>
            </w:r>
            <w:r w:rsidR="00A37C91" w:rsidRPr="00081D1A">
              <w:rPr>
                <w:rFonts w:cs="Arial"/>
                <w:i/>
                <w:color w:val="000000"/>
                <w:sz w:val="16"/>
                <w:szCs w:val="14"/>
              </w:rPr>
              <w:t xml:space="preserve"> ΤΠ</w:t>
            </w:r>
          </w:p>
        </w:tc>
        <w:tc>
          <w:tcPr>
            <w:tcW w:w="851" w:type="dxa"/>
            <w:tcBorders>
              <w:left w:val="single" w:sz="2" w:space="0" w:color="A6A6A6" w:themeColor="background1" w:themeShade="A6"/>
            </w:tcBorders>
            <w:shd w:val="clear" w:color="auto" w:fill="auto"/>
            <w:vAlign w:val="center"/>
            <w:hideMark/>
          </w:tcPr>
          <w:p w14:paraId="259F259D" w14:textId="7777777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0,2</w:t>
            </w:r>
          </w:p>
        </w:tc>
        <w:tc>
          <w:tcPr>
            <w:tcW w:w="851" w:type="dxa"/>
            <w:shd w:val="clear" w:color="auto" w:fill="auto"/>
            <w:vAlign w:val="center"/>
            <w:hideMark/>
          </w:tcPr>
          <w:p w14:paraId="6572B327" w14:textId="77777777" w:rsidR="00852035" w:rsidRPr="0055296E" w:rsidRDefault="00852035" w:rsidP="006E19FF">
            <w:pPr>
              <w:spacing w:after="0" w:line="276" w:lineRule="auto"/>
              <w:jc w:val="center"/>
              <w:rPr>
                <w:rFonts w:cs="Arial"/>
                <w:i/>
                <w:iCs/>
                <w:color w:val="000000"/>
                <w:sz w:val="16"/>
                <w:szCs w:val="16"/>
              </w:rPr>
            </w:pPr>
          </w:p>
        </w:tc>
        <w:tc>
          <w:tcPr>
            <w:tcW w:w="709" w:type="dxa"/>
            <w:shd w:val="clear" w:color="auto" w:fill="D9D9D9" w:themeFill="background1" w:themeFillShade="D9"/>
            <w:vAlign w:val="center"/>
            <w:hideMark/>
          </w:tcPr>
          <w:p w14:paraId="7C4FC511" w14:textId="77777777" w:rsidR="00852035" w:rsidRPr="0055296E" w:rsidRDefault="00852035" w:rsidP="006E19FF">
            <w:pPr>
              <w:spacing w:after="0" w:line="276" w:lineRule="auto"/>
              <w:jc w:val="center"/>
              <w:rPr>
                <w:rFonts w:cs="Arial"/>
                <w:i/>
                <w:sz w:val="16"/>
                <w:szCs w:val="16"/>
              </w:rPr>
            </w:pPr>
          </w:p>
        </w:tc>
        <w:tc>
          <w:tcPr>
            <w:tcW w:w="851" w:type="dxa"/>
            <w:shd w:val="clear" w:color="auto" w:fill="auto"/>
            <w:vAlign w:val="center"/>
            <w:hideMark/>
          </w:tcPr>
          <w:p w14:paraId="1B481E94" w14:textId="77777777" w:rsidR="00852035" w:rsidRPr="0055296E" w:rsidRDefault="00852035" w:rsidP="006E19FF">
            <w:pPr>
              <w:spacing w:after="0" w:line="276" w:lineRule="auto"/>
              <w:jc w:val="center"/>
              <w:rPr>
                <w:rFonts w:cs="Arial"/>
                <w:i/>
                <w:sz w:val="16"/>
                <w:szCs w:val="16"/>
              </w:rPr>
            </w:pPr>
          </w:p>
        </w:tc>
        <w:tc>
          <w:tcPr>
            <w:tcW w:w="709" w:type="dxa"/>
            <w:tcBorders>
              <w:right w:val="single" w:sz="2" w:space="0" w:color="A6A6A6" w:themeColor="background1" w:themeShade="A6"/>
            </w:tcBorders>
            <w:shd w:val="clear" w:color="auto" w:fill="auto"/>
            <w:vAlign w:val="center"/>
            <w:hideMark/>
          </w:tcPr>
          <w:p w14:paraId="38C9E1EB" w14:textId="77777777" w:rsidR="00852035" w:rsidRPr="0055296E" w:rsidRDefault="00852035" w:rsidP="006E19FF">
            <w:pPr>
              <w:spacing w:after="0" w:line="276" w:lineRule="auto"/>
              <w:jc w:val="center"/>
              <w:rPr>
                <w:rFonts w:cs="Arial"/>
                <w:i/>
                <w:sz w:val="16"/>
                <w:szCs w:val="16"/>
              </w:rPr>
            </w:pPr>
          </w:p>
        </w:tc>
        <w:tc>
          <w:tcPr>
            <w:tcW w:w="851" w:type="dxa"/>
            <w:tcBorders>
              <w:left w:val="single" w:sz="2" w:space="0" w:color="A6A6A6" w:themeColor="background1" w:themeShade="A6"/>
            </w:tcBorders>
            <w:shd w:val="clear" w:color="auto" w:fill="auto"/>
            <w:vAlign w:val="center"/>
            <w:hideMark/>
          </w:tcPr>
          <w:p w14:paraId="33ECB928" w14:textId="7777777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0,2</w:t>
            </w:r>
          </w:p>
        </w:tc>
        <w:tc>
          <w:tcPr>
            <w:tcW w:w="850" w:type="dxa"/>
            <w:shd w:val="clear" w:color="auto" w:fill="auto"/>
            <w:vAlign w:val="center"/>
            <w:hideMark/>
          </w:tcPr>
          <w:p w14:paraId="1B8803A2" w14:textId="77777777" w:rsidR="00852035" w:rsidRPr="0055296E" w:rsidRDefault="00852035" w:rsidP="006E19FF">
            <w:pPr>
              <w:spacing w:after="0" w:line="276" w:lineRule="auto"/>
              <w:jc w:val="center"/>
              <w:rPr>
                <w:rFonts w:cs="Arial"/>
                <w:i/>
                <w:iCs/>
                <w:color w:val="000000"/>
                <w:sz w:val="16"/>
                <w:szCs w:val="16"/>
              </w:rPr>
            </w:pPr>
          </w:p>
        </w:tc>
        <w:tc>
          <w:tcPr>
            <w:tcW w:w="851" w:type="dxa"/>
            <w:shd w:val="clear" w:color="auto" w:fill="D9D9D9" w:themeFill="background1" w:themeFillShade="D9"/>
            <w:vAlign w:val="center"/>
            <w:hideMark/>
          </w:tcPr>
          <w:p w14:paraId="4C0017FF" w14:textId="77777777" w:rsidR="00852035" w:rsidRPr="0055296E" w:rsidRDefault="00852035" w:rsidP="006E19FF">
            <w:pPr>
              <w:spacing w:after="0" w:line="276" w:lineRule="auto"/>
              <w:jc w:val="center"/>
              <w:rPr>
                <w:rFonts w:cs="Arial"/>
                <w:i/>
                <w:sz w:val="16"/>
                <w:szCs w:val="16"/>
              </w:rPr>
            </w:pPr>
          </w:p>
        </w:tc>
        <w:tc>
          <w:tcPr>
            <w:tcW w:w="865" w:type="dxa"/>
            <w:shd w:val="clear" w:color="auto" w:fill="auto"/>
            <w:vAlign w:val="center"/>
            <w:hideMark/>
          </w:tcPr>
          <w:p w14:paraId="3AA569AE" w14:textId="77777777" w:rsidR="00852035" w:rsidRPr="0055296E" w:rsidRDefault="00852035" w:rsidP="006E19FF">
            <w:pPr>
              <w:spacing w:after="0" w:line="276" w:lineRule="auto"/>
              <w:jc w:val="center"/>
              <w:rPr>
                <w:rFonts w:cs="Arial"/>
                <w:i/>
                <w:sz w:val="16"/>
                <w:szCs w:val="16"/>
              </w:rPr>
            </w:pPr>
          </w:p>
        </w:tc>
        <w:tc>
          <w:tcPr>
            <w:tcW w:w="836" w:type="dxa"/>
            <w:tcBorders>
              <w:right w:val="single" w:sz="2" w:space="0" w:color="A6A6A6" w:themeColor="background1" w:themeShade="A6"/>
            </w:tcBorders>
            <w:shd w:val="clear" w:color="auto" w:fill="auto"/>
            <w:vAlign w:val="center"/>
            <w:hideMark/>
          </w:tcPr>
          <w:p w14:paraId="76D3FC18" w14:textId="77777777" w:rsidR="00852035" w:rsidRPr="0055296E" w:rsidRDefault="00852035" w:rsidP="006E19FF">
            <w:pPr>
              <w:spacing w:after="0" w:line="276" w:lineRule="auto"/>
              <w:jc w:val="center"/>
              <w:rPr>
                <w:rFonts w:cs="Arial"/>
                <w:i/>
                <w:sz w:val="16"/>
                <w:szCs w:val="16"/>
              </w:rPr>
            </w:pPr>
          </w:p>
        </w:tc>
      </w:tr>
      <w:tr w:rsidR="009746AF" w:rsidRPr="0055296E" w14:paraId="113B1429"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shd w:val="clear" w:color="auto" w:fill="auto"/>
            <w:vAlign w:val="center"/>
            <w:hideMark/>
          </w:tcPr>
          <w:p w14:paraId="35C62031" w14:textId="7E0F2279"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Εθνική Επιτροπή για τα Δικαιώματα του Ανθρώπου</w:t>
            </w:r>
          </w:p>
        </w:tc>
        <w:tc>
          <w:tcPr>
            <w:tcW w:w="851" w:type="dxa"/>
            <w:tcBorders>
              <w:left w:val="single" w:sz="2" w:space="0" w:color="A6A6A6" w:themeColor="background1" w:themeShade="A6"/>
            </w:tcBorders>
            <w:shd w:val="clear" w:color="auto" w:fill="auto"/>
            <w:vAlign w:val="center"/>
            <w:hideMark/>
          </w:tcPr>
          <w:p w14:paraId="0CCDD251"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51" w:type="dxa"/>
            <w:shd w:val="clear" w:color="auto" w:fill="auto"/>
            <w:vAlign w:val="center"/>
            <w:hideMark/>
          </w:tcPr>
          <w:p w14:paraId="4F0A311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709" w:type="dxa"/>
            <w:shd w:val="clear" w:color="auto" w:fill="D9D9D9" w:themeFill="background1" w:themeFillShade="D9"/>
            <w:vAlign w:val="center"/>
            <w:hideMark/>
          </w:tcPr>
          <w:p w14:paraId="5509F3A8"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0</w:t>
            </w:r>
          </w:p>
        </w:tc>
        <w:tc>
          <w:tcPr>
            <w:tcW w:w="851" w:type="dxa"/>
            <w:shd w:val="clear" w:color="auto" w:fill="auto"/>
            <w:vAlign w:val="center"/>
            <w:hideMark/>
          </w:tcPr>
          <w:p w14:paraId="79D545A0"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709" w:type="dxa"/>
            <w:tcBorders>
              <w:right w:val="single" w:sz="2" w:space="0" w:color="A6A6A6" w:themeColor="background1" w:themeShade="A6"/>
            </w:tcBorders>
            <w:shd w:val="clear" w:color="auto" w:fill="auto"/>
            <w:vAlign w:val="center"/>
            <w:hideMark/>
          </w:tcPr>
          <w:p w14:paraId="05DD03EA"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51" w:type="dxa"/>
            <w:tcBorders>
              <w:left w:val="single" w:sz="2" w:space="0" w:color="A6A6A6" w:themeColor="background1" w:themeShade="A6"/>
            </w:tcBorders>
            <w:shd w:val="clear" w:color="auto" w:fill="auto"/>
            <w:vAlign w:val="center"/>
            <w:hideMark/>
          </w:tcPr>
          <w:p w14:paraId="0AEBD3F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50" w:type="dxa"/>
            <w:shd w:val="clear" w:color="auto" w:fill="auto"/>
            <w:vAlign w:val="center"/>
            <w:hideMark/>
          </w:tcPr>
          <w:p w14:paraId="143082A8"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51" w:type="dxa"/>
            <w:shd w:val="clear" w:color="auto" w:fill="D9D9D9" w:themeFill="background1" w:themeFillShade="D9"/>
            <w:vAlign w:val="center"/>
            <w:hideMark/>
          </w:tcPr>
          <w:p w14:paraId="2411102B"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0</w:t>
            </w:r>
          </w:p>
        </w:tc>
        <w:tc>
          <w:tcPr>
            <w:tcW w:w="865" w:type="dxa"/>
            <w:shd w:val="clear" w:color="auto" w:fill="auto"/>
            <w:vAlign w:val="center"/>
            <w:hideMark/>
          </w:tcPr>
          <w:p w14:paraId="3DA610B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36" w:type="dxa"/>
            <w:tcBorders>
              <w:right w:val="single" w:sz="2" w:space="0" w:color="A6A6A6" w:themeColor="background1" w:themeShade="A6"/>
            </w:tcBorders>
            <w:shd w:val="clear" w:color="auto" w:fill="auto"/>
            <w:vAlign w:val="center"/>
            <w:hideMark/>
          </w:tcPr>
          <w:p w14:paraId="26DD4209"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r>
      <w:tr w:rsidR="009746AF" w:rsidRPr="0055296E" w14:paraId="77691558"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shd w:val="clear" w:color="auto" w:fill="auto"/>
            <w:vAlign w:val="center"/>
            <w:hideMark/>
          </w:tcPr>
          <w:p w14:paraId="228127E9" w14:textId="2FD29646" w:rsidR="00852035" w:rsidRPr="00081D1A" w:rsidRDefault="00D32DB6" w:rsidP="006E19FF">
            <w:pPr>
              <w:tabs>
                <w:tab w:val="left" w:pos="1077"/>
              </w:tabs>
              <w:spacing w:after="0" w:line="276" w:lineRule="auto"/>
              <w:ind w:right="-109"/>
              <w:jc w:val="left"/>
              <w:rPr>
                <w:rFonts w:cs="Arial"/>
                <w:color w:val="000000"/>
                <w:sz w:val="16"/>
                <w:szCs w:val="14"/>
              </w:rPr>
            </w:pPr>
            <w:r w:rsidRPr="00081D1A">
              <w:rPr>
                <w:rFonts w:cs="Arial"/>
                <w:i/>
                <w:color w:val="000000"/>
                <w:sz w:val="16"/>
                <w:szCs w:val="14"/>
              </w:rPr>
              <w:t>εκ των οποίων:</w:t>
            </w:r>
            <w:r w:rsidR="00A347A9" w:rsidRPr="00081D1A">
              <w:rPr>
                <w:rFonts w:cs="Arial"/>
                <w:i/>
                <w:color w:val="000000"/>
                <w:sz w:val="16"/>
                <w:szCs w:val="14"/>
              </w:rPr>
              <w:tab/>
            </w:r>
            <w:r w:rsidR="00081D1A">
              <w:rPr>
                <w:rFonts w:cs="Arial"/>
                <w:i/>
                <w:color w:val="000000"/>
                <w:sz w:val="16"/>
                <w:szCs w:val="14"/>
              </w:rPr>
              <w:t xml:space="preserve"> </w:t>
            </w:r>
            <w:r w:rsidRPr="00081D1A">
              <w:rPr>
                <w:rFonts w:cs="Arial"/>
                <w:i/>
                <w:color w:val="000000"/>
                <w:sz w:val="16"/>
                <w:szCs w:val="14"/>
              </w:rPr>
              <w:t xml:space="preserve">μεταβιβάσεις από τον </w:t>
            </w:r>
            <w:r w:rsidR="00A37C91" w:rsidRPr="00081D1A">
              <w:rPr>
                <w:rFonts w:cs="Arial"/>
                <w:i/>
                <w:color w:val="000000"/>
                <w:sz w:val="16"/>
                <w:szCs w:val="14"/>
              </w:rPr>
              <w:t>ΤΠ</w:t>
            </w:r>
          </w:p>
        </w:tc>
        <w:tc>
          <w:tcPr>
            <w:tcW w:w="851" w:type="dxa"/>
            <w:tcBorders>
              <w:left w:val="single" w:sz="2" w:space="0" w:color="A6A6A6" w:themeColor="background1" w:themeShade="A6"/>
            </w:tcBorders>
            <w:shd w:val="clear" w:color="auto" w:fill="auto"/>
            <w:vAlign w:val="center"/>
            <w:hideMark/>
          </w:tcPr>
          <w:p w14:paraId="4FE4E644" w14:textId="7777777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0,8</w:t>
            </w:r>
          </w:p>
        </w:tc>
        <w:tc>
          <w:tcPr>
            <w:tcW w:w="851" w:type="dxa"/>
            <w:shd w:val="clear" w:color="auto" w:fill="auto"/>
            <w:vAlign w:val="center"/>
            <w:hideMark/>
          </w:tcPr>
          <w:p w14:paraId="1B62A9A1" w14:textId="77777777" w:rsidR="00852035" w:rsidRPr="0055296E" w:rsidRDefault="00852035" w:rsidP="006E19FF">
            <w:pPr>
              <w:spacing w:after="0" w:line="276" w:lineRule="auto"/>
              <w:jc w:val="center"/>
              <w:rPr>
                <w:rFonts w:cs="Arial"/>
                <w:i/>
                <w:iCs/>
                <w:color w:val="000000"/>
                <w:sz w:val="16"/>
                <w:szCs w:val="16"/>
              </w:rPr>
            </w:pPr>
          </w:p>
        </w:tc>
        <w:tc>
          <w:tcPr>
            <w:tcW w:w="709" w:type="dxa"/>
            <w:shd w:val="clear" w:color="auto" w:fill="D9D9D9" w:themeFill="background1" w:themeFillShade="D9"/>
            <w:vAlign w:val="center"/>
            <w:hideMark/>
          </w:tcPr>
          <w:p w14:paraId="331240AF" w14:textId="77777777" w:rsidR="00852035" w:rsidRPr="0055296E" w:rsidRDefault="00852035" w:rsidP="006E19FF">
            <w:pPr>
              <w:spacing w:after="0" w:line="276" w:lineRule="auto"/>
              <w:jc w:val="center"/>
              <w:rPr>
                <w:rFonts w:cs="Arial"/>
                <w:sz w:val="16"/>
                <w:szCs w:val="16"/>
              </w:rPr>
            </w:pPr>
          </w:p>
        </w:tc>
        <w:tc>
          <w:tcPr>
            <w:tcW w:w="851" w:type="dxa"/>
            <w:shd w:val="clear" w:color="auto" w:fill="auto"/>
            <w:vAlign w:val="center"/>
            <w:hideMark/>
          </w:tcPr>
          <w:p w14:paraId="5E484015" w14:textId="77777777" w:rsidR="00852035" w:rsidRPr="0055296E" w:rsidRDefault="00852035" w:rsidP="006E19FF">
            <w:pPr>
              <w:spacing w:after="0" w:line="276" w:lineRule="auto"/>
              <w:jc w:val="center"/>
              <w:rPr>
                <w:rFonts w:cs="Arial"/>
                <w:sz w:val="16"/>
                <w:szCs w:val="16"/>
              </w:rPr>
            </w:pPr>
          </w:p>
        </w:tc>
        <w:tc>
          <w:tcPr>
            <w:tcW w:w="709" w:type="dxa"/>
            <w:tcBorders>
              <w:right w:val="single" w:sz="2" w:space="0" w:color="A6A6A6" w:themeColor="background1" w:themeShade="A6"/>
            </w:tcBorders>
            <w:shd w:val="clear" w:color="auto" w:fill="auto"/>
            <w:vAlign w:val="center"/>
            <w:hideMark/>
          </w:tcPr>
          <w:p w14:paraId="14CF3C8C" w14:textId="77777777" w:rsidR="00852035" w:rsidRPr="0055296E" w:rsidRDefault="00852035" w:rsidP="006E19FF">
            <w:pPr>
              <w:spacing w:after="0" w:line="276" w:lineRule="auto"/>
              <w:jc w:val="center"/>
              <w:rPr>
                <w:rFonts w:cs="Arial"/>
                <w:sz w:val="16"/>
                <w:szCs w:val="16"/>
              </w:rPr>
            </w:pPr>
          </w:p>
        </w:tc>
        <w:tc>
          <w:tcPr>
            <w:tcW w:w="851" w:type="dxa"/>
            <w:tcBorders>
              <w:left w:val="single" w:sz="2" w:space="0" w:color="A6A6A6" w:themeColor="background1" w:themeShade="A6"/>
            </w:tcBorders>
            <w:shd w:val="clear" w:color="auto" w:fill="auto"/>
            <w:vAlign w:val="center"/>
            <w:hideMark/>
          </w:tcPr>
          <w:p w14:paraId="6D52954F" w14:textId="7777777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0,8</w:t>
            </w:r>
          </w:p>
        </w:tc>
        <w:tc>
          <w:tcPr>
            <w:tcW w:w="850" w:type="dxa"/>
            <w:shd w:val="clear" w:color="auto" w:fill="auto"/>
            <w:vAlign w:val="center"/>
            <w:hideMark/>
          </w:tcPr>
          <w:p w14:paraId="1436D85C" w14:textId="77777777" w:rsidR="00852035" w:rsidRPr="0055296E" w:rsidRDefault="00852035" w:rsidP="006E19FF">
            <w:pPr>
              <w:spacing w:after="0" w:line="276" w:lineRule="auto"/>
              <w:jc w:val="center"/>
              <w:rPr>
                <w:rFonts w:cs="Arial"/>
                <w:i/>
                <w:iCs/>
                <w:color w:val="000000"/>
                <w:sz w:val="16"/>
                <w:szCs w:val="16"/>
              </w:rPr>
            </w:pPr>
          </w:p>
        </w:tc>
        <w:tc>
          <w:tcPr>
            <w:tcW w:w="851" w:type="dxa"/>
            <w:shd w:val="clear" w:color="auto" w:fill="D9D9D9" w:themeFill="background1" w:themeFillShade="D9"/>
            <w:vAlign w:val="center"/>
            <w:hideMark/>
          </w:tcPr>
          <w:p w14:paraId="17170130" w14:textId="77777777" w:rsidR="00852035" w:rsidRPr="0055296E" w:rsidRDefault="00852035" w:rsidP="006E19FF">
            <w:pPr>
              <w:spacing w:after="0" w:line="276" w:lineRule="auto"/>
              <w:jc w:val="center"/>
              <w:rPr>
                <w:rFonts w:cs="Arial"/>
                <w:sz w:val="16"/>
                <w:szCs w:val="16"/>
              </w:rPr>
            </w:pPr>
          </w:p>
        </w:tc>
        <w:tc>
          <w:tcPr>
            <w:tcW w:w="865" w:type="dxa"/>
            <w:shd w:val="clear" w:color="auto" w:fill="auto"/>
            <w:vAlign w:val="center"/>
            <w:hideMark/>
          </w:tcPr>
          <w:p w14:paraId="68955804" w14:textId="77777777" w:rsidR="00852035" w:rsidRPr="0055296E" w:rsidRDefault="00852035" w:rsidP="006E19FF">
            <w:pPr>
              <w:spacing w:after="0" w:line="276" w:lineRule="auto"/>
              <w:jc w:val="center"/>
              <w:rPr>
                <w:rFonts w:cs="Arial"/>
                <w:sz w:val="16"/>
                <w:szCs w:val="16"/>
              </w:rPr>
            </w:pPr>
          </w:p>
        </w:tc>
        <w:tc>
          <w:tcPr>
            <w:tcW w:w="836" w:type="dxa"/>
            <w:tcBorders>
              <w:right w:val="single" w:sz="2" w:space="0" w:color="A6A6A6" w:themeColor="background1" w:themeShade="A6"/>
            </w:tcBorders>
            <w:shd w:val="clear" w:color="auto" w:fill="auto"/>
            <w:vAlign w:val="center"/>
            <w:hideMark/>
          </w:tcPr>
          <w:p w14:paraId="445E7987" w14:textId="77777777" w:rsidR="00852035" w:rsidRPr="0055296E" w:rsidRDefault="00852035" w:rsidP="006E19FF">
            <w:pPr>
              <w:spacing w:after="0" w:line="276" w:lineRule="auto"/>
              <w:jc w:val="center"/>
              <w:rPr>
                <w:rFonts w:cs="Arial"/>
                <w:sz w:val="16"/>
                <w:szCs w:val="16"/>
              </w:rPr>
            </w:pPr>
          </w:p>
        </w:tc>
      </w:tr>
      <w:tr w:rsidR="009746AF" w:rsidRPr="0055296E" w14:paraId="5F7C4BC6"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shd w:val="clear" w:color="auto" w:fill="auto"/>
            <w:vAlign w:val="center"/>
            <w:hideMark/>
          </w:tcPr>
          <w:p w14:paraId="1564C0FD" w14:textId="77777777"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Ελληνική Στατιστική Αρχή</w:t>
            </w:r>
          </w:p>
        </w:tc>
        <w:tc>
          <w:tcPr>
            <w:tcW w:w="851" w:type="dxa"/>
            <w:tcBorders>
              <w:left w:val="single" w:sz="2" w:space="0" w:color="A6A6A6" w:themeColor="background1" w:themeShade="A6"/>
            </w:tcBorders>
            <w:shd w:val="clear" w:color="auto" w:fill="auto"/>
            <w:vAlign w:val="center"/>
            <w:hideMark/>
          </w:tcPr>
          <w:p w14:paraId="554C72AA"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38</w:t>
            </w:r>
          </w:p>
        </w:tc>
        <w:tc>
          <w:tcPr>
            <w:tcW w:w="851" w:type="dxa"/>
            <w:shd w:val="clear" w:color="auto" w:fill="auto"/>
            <w:vAlign w:val="center"/>
            <w:hideMark/>
          </w:tcPr>
          <w:p w14:paraId="70D7CBE8"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35</w:t>
            </w:r>
          </w:p>
        </w:tc>
        <w:tc>
          <w:tcPr>
            <w:tcW w:w="709" w:type="dxa"/>
            <w:shd w:val="clear" w:color="auto" w:fill="D9D9D9" w:themeFill="background1" w:themeFillShade="D9"/>
            <w:vAlign w:val="center"/>
            <w:hideMark/>
          </w:tcPr>
          <w:p w14:paraId="21B66F8E"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3</w:t>
            </w:r>
          </w:p>
        </w:tc>
        <w:tc>
          <w:tcPr>
            <w:tcW w:w="851" w:type="dxa"/>
            <w:shd w:val="clear" w:color="auto" w:fill="auto"/>
            <w:vAlign w:val="center"/>
            <w:hideMark/>
          </w:tcPr>
          <w:p w14:paraId="6EE26031"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w:t>
            </w:r>
          </w:p>
        </w:tc>
        <w:tc>
          <w:tcPr>
            <w:tcW w:w="709" w:type="dxa"/>
            <w:tcBorders>
              <w:right w:val="single" w:sz="2" w:space="0" w:color="A6A6A6" w:themeColor="background1" w:themeShade="A6"/>
            </w:tcBorders>
            <w:shd w:val="clear" w:color="auto" w:fill="auto"/>
            <w:vAlign w:val="center"/>
            <w:hideMark/>
          </w:tcPr>
          <w:p w14:paraId="7D912E2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w:t>
            </w:r>
          </w:p>
        </w:tc>
        <w:tc>
          <w:tcPr>
            <w:tcW w:w="851" w:type="dxa"/>
            <w:tcBorders>
              <w:left w:val="single" w:sz="2" w:space="0" w:color="A6A6A6" w:themeColor="background1" w:themeShade="A6"/>
            </w:tcBorders>
            <w:shd w:val="clear" w:color="auto" w:fill="auto"/>
            <w:vAlign w:val="center"/>
            <w:hideMark/>
          </w:tcPr>
          <w:p w14:paraId="45A5C0FA"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41</w:t>
            </w:r>
          </w:p>
        </w:tc>
        <w:tc>
          <w:tcPr>
            <w:tcW w:w="850" w:type="dxa"/>
            <w:shd w:val="clear" w:color="auto" w:fill="auto"/>
            <w:vAlign w:val="center"/>
            <w:hideMark/>
          </w:tcPr>
          <w:p w14:paraId="02E91310"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41</w:t>
            </w:r>
          </w:p>
        </w:tc>
        <w:tc>
          <w:tcPr>
            <w:tcW w:w="851" w:type="dxa"/>
            <w:shd w:val="clear" w:color="auto" w:fill="D9D9D9" w:themeFill="background1" w:themeFillShade="D9"/>
            <w:vAlign w:val="center"/>
            <w:hideMark/>
          </w:tcPr>
          <w:p w14:paraId="428CF0EE"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w:t>
            </w:r>
          </w:p>
        </w:tc>
        <w:tc>
          <w:tcPr>
            <w:tcW w:w="865" w:type="dxa"/>
            <w:shd w:val="clear" w:color="auto" w:fill="auto"/>
            <w:vAlign w:val="center"/>
            <w:hideMark/>
          </w:tcPr>
          <w:p w14:paraId="3403A312"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w:t>
            </w:r>
          </w:p>
        </w:tc>
        <w:tc>
          <w:tcPr>
            <w:tcW w:w="836" w:type="dxa"/>
            <w:tcBorders>
              <w:right w:val="single" w:sz="2" w:space="0" w:color="A6A6A6" w:themeColor="background1" w:themeShade="A6"/>
            </w:tcBorders>
            <w:shd w:val="clear" w:color="auto" w:fill="auto"/>
            <w:vAlign w:val="center"/>
            <w:hideMark/>
          </w:tcPr>
          <w:p w14:paraId="0A93B465"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w:t>
            </w:r>
          </w:p>
        </w:tc>
      </w:tr>
      <w:tr w:rsidR="009746AF" w:rsidRPr="0055296E" w14:paraId="1251B746"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shd w:val="clear" w:color="auto" w:fill="auto"/>
            <w:vAlign w:val="center"/>
            <w:hideMark/>
          </w:tcPr>
          <w:p w14:paraId="3E73D6E7" w14:textId="4BAC6604" w:rsidR="00852035" w:rsidRPr="00081D1A" w:rsidRDefault="00D32DB6" w:rsidP="006E19FF">
            <w:pPr>
              <w:tabs>
                <w:tab w:val="left" w:pos="1077"/>
              </w:tabs>
              <w:spacing w:after="0" w:line="276" w:lineRule="auto"/>
              <w:ind w:right="-109"/>
              <w:jc w:val="left"/>
              <w:rPr>
                <w:rFonts w:cs="Arial"/>
                <w:color w:val="000000"/>
                <w:sz w:val="16"/>
                <w:szCs w:val="14"/>
              </w:rPr>
            </w:pPr>
            <w:r w:rsidRPr="00081D1A">
              <w:rPr>
                <w:rFonts w:cs="Arial"/>
                <w:i/>
                <w:color w:val="000000"/>
                <w:sz w:val="16"/>
                <w:szCs w:val="14"/>
              </w:rPr>
              <w:t>εκ των οποίων:</w:t>
            </w:r>
            <w:r w:rsidR="00A347A9" w:rsidRPr="00081D1A">
              <w:rPr>
                <w:rFonts w:cs="Arial"/>
                <w:i/>
                <w:color w:val="000000"/>
                <w:sz w:val="16"/>
                <w:szCs w:val="14"/>
              </w:rPr>
              <w:tab/>
            </w:r>
            <w:r w:rsidR="00081D1A">
              <w:rPr>
                <w:rFonts w:cs="Arial"/>
                <w:i/>
                <w:color w:val="000000"/>
                <w:sz w:val="16"/>
                <w:szCs w:val="14"/>
              </w:rPr>
              <w:t xml:space="preserve"> </w:t>
            </w:r>
            <w:r w:rsidRPr="00081D1A">
              <w:rPr>
                <w:rFonts w:cs="Arial"/>
                <w:i/>
                <w:color w:val="000000"/>
                <w:sz w:val="16"/>
                <w:szCs w:val="14"/>
              </w:rPr>
              <w:t xml:space="preserve">μεταβιβάσεις από τον </w:t>
            </w:r>
            <w:r w:rsidR="00A37C91" w:rsidRPr="00081D1A">
              <w:rPr>
                <w:rFonts w:cs="Arial"/>
                <w:i/>
                <w:color w:val="000000"/>
                <w:sz w:val="16"/>
                <w:szCs w:val="14"/>
              </w:rPr>
              <w:t>ΤΠ</w:t>
            </w:r>
          </w:p>
        </w:tc>
        <w:tc>
          <w:tcPr>
            <w:tcW w:w="851" w:type="dxa"/>
            <w:tcBorders>
              <w:left w:val="single" w:sz="2" w:space="0" w:color="A6A6A6" w:themeColor="background1" w:themeShade="A6"/>
            </w:tcBorders>
            <w:shd w:val="clear" w:color="auto" w:fill="auto"/>
            <w:vAlign w:val="center"/>
            <w:hideMark/>
          </w:tcPr>
          <w:p w14:paraId="7D082BF0" w14:textId="7777777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34,7</w:t>
            </w:r>
          </w:p>
        </w:tc>
        <w:tc>
          <w:tcPr>
            <w:tcW w:w="851" w:type="dxa"/>
            <w:shd w:val="clear" w:color="auto" w:fill="auto"/>
            <w:vAlign w:val="center"/>
            <w:hideMark/>
          </w:tcPr>
          <w:p w14:paraId="3D8A9617" w14:textId="77777777" w:rsidR="00852035" w:rsidRPr="0055296E" w:rsidRDefault="00852035" w:rsidP="006E19FF">
            <w:pPr>
              <w:spacing w:after="0" w:line="276" w:lineRule="auto"/>
              <w:jc w:val="center"/>
              <w:rPr>
                <w:rFonts w:cs="Arial"/>
                <w:i/>
                <w:iCs/>
                <w:color w:val="000000"/>
                <w:sz w:val="16"/>
                <w:szCs w:val="16"/>
              </w:rPr>
            </w:pPr>
          </w:p>
        </w:tc>
        <w:tc>
          <w:tcPr>
            <w:tcW w:w="709" w:type="dxa"/>
            <w:shd w:val="clear" w:color="auto" w:fill="D9D9D9" w:themeFill="background1" w:themeFillShade="D9"/>
            <w:vAlign w:val="center"/>
            <w:hideMark/>
          </w:tcPr>
          <w:p w14:paraId="08ACCC99" w14:textId="77777777" w:rsidR="00852035" w:rsidRPr="0055296E" w:rsidRDefault="00852035" w:rsidP="006E19FF">
            <w:pPr>
              <w:spacing w:after="0" w:line="276" w:lineRule="auto"/>
              <w:jc w:val="center"/>
              <w:rPr>
                <w:rFonts w:cs="Arial"/>
                <w:sz w:val="16"/>
                <w:szCs w:val="16"/>
              </w:rPr>
            </w:pPr>
          </w:p>
        </w:tc>
        <w:tc>
          <w:tcPr>
            <w:tcW w:w="851" w:type="dxa"/>
            <w:shd w:val="clear" w:color="auto" w:fill="auto"/>
            <w:vAlign w:val="center"/>
            <w:hideMark/>
          </w:tcPr>
          <w:p w14:paraId="6831ADB2" w14:textId="77777777" w:rsidR="00852035" w:rsidRPr="0055296E" w:rsidRDefault="00852035" w:rsidP="006E19FF">
            <w:pPr>
              <w:spacing w:after="0" w:line="276" w:lineRule="auto"/>
              <w:jc w:val="center"/>
              <w:rPr>
                <w:rFonts w:cs="Arial"/>
                <w:sz w:val="16"/>
                <w:szCs w:val="16"/>
              </w:rPr>
            </w:pPr>
          </w:p>
        </w:tc>
        <w:tc>
          <w:tcPr>
            <w:tcW w:w="709" w:type="dxa"/>
            <w:tcBorders>
              <w:right w:val="single" w:sz="2" w:space="0" w:color="A6A6A6" w:themeColor="background1" w:themeShade="A6"/>
            </w:tcBorders>
            <w:shd w:val="clear" w:color="auto" w:fill="auto"/>
            <w:vAlign w:val="center"/>
            <w:hideMark/>
          </w:tcPr>
          <w:p w14:paraId="54E174A2" w14:textId="77777777" w:rsidR="00852035" w:rsidRPr="0055296E" w:rsidRDefault="00852035" w:rsidP="006E19FF">
            <w:pPr>
              <w:spacing w:after="0" w:line="276" w:lineRule="auto"/>
              <w:jc w:val="center"/>
              <w:rPr>
                <w:rFonts w:cs="Arial"/>
                <w:sz w:val="16"/>
                <w:szCs w:val="16"/>
              </w:rPr>
            </w:pPr>
          </w:p>
        </w:tc>
        <w:tc>
          <w:tcPr>
            <w:tcW w:w="851" w:type="dxa"/>
            <w:tcBorders>
              <w:left w:val="single" w:sz="2" w:space="0" w:color="A6A6A6" w:themeColor="background1" w:themeShade="A6"/>
            </w:tcBorders>
            <w:shd w:val="clear" w:color="auto" w:fill="auto"/>
            <w:vAlign w:val="center"/>
            <w:hideMark/>
          </w:tcPr>
          <w:p w14:paraId="68444510" w14:textId="7777777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38,5</w:t>
            </w:r>
          </w:p>
        </w:tc>
        <w:tc>
          <w:tcPr>
            <w:tcW w:w="850" w:type="dxa"/>
            <w:shd w:val="clear" w:color="auto" w:fill="auto"/>
            <w:vAlign w:val="center"/>
            <w:hideMark/>
          </w:tcPr>
          <w:p w14:paraId="1E1A6B54" w14:textId="77777777" w:rsidR="00852035" w:rsidRPr="0055296E" w:rsidRDefault="00852035" w:rsidP="006E19FF">
            <w:pPr>
              <w:spacing w:after="0" w:line="276" w:lineRule="auto"/>
              <w:jc w:val="center"/>
              <w:rPr>
                <w:rFonts w:cs="Arial"/>
                <w:i/>
                <w:iCs/>
                <w:color w:val="000000"/>
                <w:sz w:val="16"/>
                <w:szCs w:val="16"/>
              </w:rPr>
            </w:pPr>
          </w:p>
        </w:tc>
        <w:tc>
          <w:tcPr>
            <w:tcW w:w="851" w:type="dxa"/>
            <w:shd w:val="clear" w:color="auto" w:fill="D9D9D9" w:themeFill="background1" w:themeFillShade="D9"/>
            <w:vAlign w:val="center"/>
            <w:hideMark/>
          </w:tcPr>
          <w:p w14:paraId="76943A4C" w14:textId="77777777" w:rsidR="00852035" w:rsidRPr="0055296E" w:rsidRDefault="00852035" w:rsidP="006E19FF">
            <w:pPr>
              <w:spacing w:after="0" w:line="276" w:lineRule="auto"/>
              <w:jc w:val="center"/>
              <w:rPr>
                <w:rFonts w:cs="Arial"/>
                <w:sz w:val="16"/>
                <w:szCs w:val="16"/>
              </w:rPr>
            </w:pPr>
          </w:p>
        </w:tc>
        <w:tc>
          <w:tcPr>
            <w:tcW w:w="865" w:type="dxa"/>
            <w:shd w:val="clear" w:color="auto" w:fill="auto"/>
            <w:vAlign w:val="center"/>
            <w:hideMark/>
          </w:tcPr>
          <w:p w14:paraId="2F8D6C13" w14:textId="77777777" w:rsidR="00852035" w:rsidRPr="0055296E" w:rsidRDefault="00852035" w:rsidP="006E19FF">
            <w:pPr>
              <w:spacing w:after="0" w:line="276" w:lineRule="auto"/>
              <w:jc w:val="center"/>
              <w:rPr>
                <w:rFonts w:cs="Arial"/>
                <w:sz w:val="16"/>
                <w:szCs w:val="16"/>
              </w:rPr>
            </w:pPr>
          </w:p>
        </w:tc>
        <w:tc>
          <w:tcPr>
            <w:tcW w:w="836" w:type="dxa"/>
            <w:tcBorders>
              <w:right w:val="single" w:sz="2" w:space="0" w:color="A6A6A6" w:themeColor="background1" w:themeShade="A6"/>
            </w:tcBorders>
            <w:shd w:val="clear" w:color="auto" w:fill="auto"/>
            <w:vAlign w:val="center"/>
            <w:hideMark/>
          </w:tcPr>
          <w:p w14:paraId="5F77CF1F" w14:textId="77777777" w:rsidR="00852035" w:rsidRPr="0055296E" w:rsidRDefault="00852035" w:rsidP="006E19FF">
            <w:pPr>
              <w:spacing w:after="0" w:line="276" w:lineRule="auto"/>
              <w:jc w:val="center"/>
              <w:rPr>
                <w:rFonts w:cs="Arial"/>
                <w:sz w:val="16"/>
                <w:szCs w:val="16"/>
              </w:rPr>
            </w:pPr>
          </w:p>
        </w:tc>
      </w:tr>
      <w:tr w:rsidR="009746AF" w:rsidRPr="0055296E" w14:paraId="3A747B69"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shd w:val="clear" w:color="auto" w:fill="auto"/>
            <w:vAlign w:val="center"/>
            <w:hideMark/>
          </w:tcPr>
          <w:p w14:paraId="63F0B831" w14:textId="77777777"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Ελληνικό Δημοσιονομικό Συμβούλιο</w:t>
            </w:r>
          </w:p>
        </w:tc>
        <w:tc>
          <w:tcPr>
            <w:tcW w:w="851" w:type="dxa"/>
            <w:tcBorders>
              <w:left w:val="single" w:sz="2" w:space="0" w:color="A6A6A6" w:themeColor="background1" w:themeShade="A6"/>
            </w:tcBorders>
            <w:shd w:val="clear" w:color="auto" w:fill="auto"/>
            <w:vAlign w:val="center"/>
            <w:hideMark/>
          </w:tcPr>
          <w:p w14:paraId="24D71FB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51" w:type="dxa"/>
            <w:shd w:val="clear" w:color="auto" w:fill="auto"/>
            <w:vAlign w:val="center"/>
            <w:hideMark/>
          </w:tcPr>
          <w:p w14:paraId="6BE9A419"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709" w:type="dxa"/>
            <w:shd w:val="clear" w:color="auto" w:fill="D9D9D9" w:themeFill="background1" w:themeFillShade="D9"/>
            <w:vAlign w:val="center"/>
            <w:hideMark/>
          </w:tcPr>
          <w:p w14:paraId="7D493862"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0</w:t>
            </w:r>
          </w:p>
        </w:tc>
        <w:tc>
          <w:tcPr>
            <w:tcW w:w="851" w:type="dxa"/>
            <w:shd w:val="clear" w:color="auto" w:fill="auto"/>
            <w:vAlign w:val="center"/>
            <w:hideMark/>
          </w:tcPr>
          <w:p w14:paraId="7D04F79E"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709" w:type="dxa"/>
            <w:tcBorders>
              <w:right w:val="single" w:sz="2" w:space="0" w:color="A6A6A6" w:themeColor="background1" w:themeShade="A6"/>
            </w:tcBorders>
            <w:shd w:val="clear" w:color="auto" w:fill="auto"/>
            <w:vAlign w:val="center"/>
            <w:hideMark/>
          </w:tcPr>
          <w:p w14:paraId="429C5784"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51" w:type="dxa"/>
            <w:tcBorders>
              <w:left w:val="single" w:sz="2" w:space="0" w:color="A6A6A6" w:themeColor="background1" w:themeShade="A6"/>
            </w:tcBorders>
            <w:shd w:val="clear" w:color="auto" w:fill="auto"/>
            <w:vAlign w:val="center"/>
            <w:hideMark/>
          </w:tcPr>
          <w:p w14:paraId="02D64B2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850" w:type="dxa"/>
            <w:shd w:val="clear" w:color="auto" w:fill="auto"/>
            <w:vAlign w:val="center"/>
            <w:hideMark/>
          </w:tcPr>
          <w:p w14:paraId="720EF09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851" w:type="dxa"/>
            <w:shd w:val="clear" w:color="auto" w:fill="D9D9D9" w:themeFill="background1" w:themeFillShade="D9"/>
            <w:vAlign w:val="center"/>
            <w:hideMark/>
          </w:tcPr>
          <w:p w14:paraId="42309245"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0</w:t>
            </w:r>
          </w:p>
        </w:tc>
        <w:tc>
          <w:tcPr>
            <w:tcW w:w="865" w:type="dxa"/>
            <w:shd w:val="clear" w:color="auto" w:fill="auto"/>
            <w:vAlign w:val="center"/>
            <w:hideMark/>
          </w:tcPr>
          <w:p w14:paraId="5C68417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36" w:type="dxa"/>
            <w:tcBorders>
              <w:right w:val="single" w:sz="2" w:space="0" w:color="A6A6A6" w:themeColor="background1" w:themeShade="A6"/>
            </w:tcBorders>
            <w:shd w:val="clear" w:color="auto" w:fill="auto"/>
            <w:vAlign w:val="center"/>
            <w:hideMark/>
          </w:tcPr>
          <w:p w14:paraId="26A59C93"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r>
      <w:tr w:rsidR="009746AF" w:rsidRPr="0055296E" w14:paraId="6BE20267"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shd w:val="clear" w:color="auto" w:fill="auto"/>
            <w:vAlign w:val="center"/>
            <w:hideMark/>
          </w:tcPr>
          <w:p w14:paraId="21AF33FA" w14:textId="2115280C" w:rsidR="00852035" w:rsidRPr="00081D1A" w:rsidRDefault="00D32DB6" w:rsidP="006E19FF">
            <w:pPr>
              <w:tabs>
                <w:tab w:val="left" w:pos="1077"/>
              </w:tabs>
              <w:spacing w:after="0" w:line="276" w:lineRule="auto"/>
              <w:ind w:right="-109"/>
              <w:jc w:val="left"/>
              <w:rPr>
                <w:rFonts w:cs="Arial"/>
                <w:color w:val="000000"/>
                <w:sz w:val="16"/>
                <w:szCs w:val="14"/>
              </w:rPr>
            </w:pPr>
            <w:r w:rsidRPr="00081D1A">
              <w:rPr>
                <w:rFonts w:cs="Arial"/>
                <w:i/>
                <w:color w:val="000000"/>
                <w:sz w:val="16"/>
                <w:szCs w:val="14"/>
              </w:rPr>
              <w:t>εκ των οποίων:</w:t>
            </w:r>
            <w:r w:rsidR="00A347A9" w:rsidRPr="00081D1A">
              <w:rPr>
                <w:rFonts w:cs="Arial"/>
                <w:i/>
                <w:color w:val="000000"/>
                <w:sz w:val="16"/>
                <w:szCs w:val="14"/>
              </w:rPr>
              <w:tab/>
            </w:r>
            <w:r w:rsidR="0055296E">
              <w:rPr>
                <w:rFonts w:cs="Arial"/>
                <w:i/>
                <w:color w:val="000000"/>
                <w:sz w:val="16"/>
                <w:szCs w:val="14"/>
              </w:rPr>
              <w:t xml:space="preserve"> </w:t>
            </w:r>
            <w:r w:rsidRPr="00081D1A">
              <w:rPr>
                <w:rFonts w:cs="Arial"/>
                <w:i/>
                <w:color w:val="000000"/>
                <w:sz w:val="16"/>
                <w:szCs w:val="14"/>
              </w:rPr>
              <w:t xml:space="preserve">μεταβιβάσεις από τον </w:t>
            </w:r>
            <w:r w:rsidR="00A37C91" w:rsidRPr="00081D1A">
              <w:rPr>
                <w:rFonts w:cs="Arial"/>
                <w:i/>
                <w:color w:val="000000"/>
                <w:sz w:val="16"/>
                <w:szCs w:val="14"/>
              </w:rPr>
              <w:t>ΤΠ</w:t>
            </w:r>
          </w:p>
        </w:tc>
        <w:tc>
          <w:tcPr>
            <w:tcW w:w="851" w:type="dxa"/>
            <w:tcBorders>
              <w:left w:val="single" w:sz="2" w:space="0" w:color="A6A6A6" w:themeColor="background1" w:themeShade="A6"/>
            </w:tcBorders>
            <w:shd w:val="clear" w:color="auto" w:fill="auto"/>
            <w:vAlign w:val="center"/>
            <w:hideMark/>
          </w:tcPr>
          <w:p w14:paraId="5969C693" w14:textId="7777777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1,1</w:t>
            </w:r>
          </w:p>
        </w:tc>
        <w:tc>
          <w:tcPr>
            <w:tcW w:w="851" w:type="dxa"/>
            <w:shd w:val="clear" w:color="auto" w:fill="auto"/>
            <w:vAlign w:val="center"/>
            <w:hideMark/>
          </w:tcPr>
          <w:p w14:paraId="49F3DD8D" w14:textId="77777777" w:rsidR="00852035" w:rsidRPr="0055296E" w:rsidRDefault="00852035" w:rsidP="006E19FF">
            <w:pPr>
              <w:spacing w:after="0" w:line="276" w:lineRule="auto"/>
              <w:jc w:val="center"/>
              <w:rPr>
                <w:rFonts w:cs="Arial"/>
                <w:i/>
                <w:iCs/>
                <w:color w:val="000000"/>
                <w:sz w:val="16"/>
                <w:szCs w:val="16"/>
              </w:rPr>
            </w:pPr>
          </w:p>
        </w:tc>
        <w:tc>
          <w:tcPr>
            <w:tcW w:w="709" w:type="dxa"/>
            <w:shd w:val="clear" w:color="auto" w:fill="D9D9D9" w:themeFill="background1" w:themeFillShade="D9"/>
            <w:vAlign w:val="center"/>
            <w:hideMark/>
          </w:tcPr>
          <w:p w14:paraId="2B87567F" w14:textId="77777777" w:rsidR="00852035" w:rsidRPr="0055296E" w:rsidRDefault="00852035" w:rsidP="006E19FF">
            <w:pPr>
              <w:spacing w:after="0" w:line="276" w:lineRule="auto"/>
              <w:jc w:val="center"/>
              <w:rPr>
                <w:rFonts w:cs="Arial"/>
                <w:sz w:val="16"/>
                <w:szCs w:val="16"/>
              </w:rPr>
            </w:pPr>
          </w:p>
        </w:tc>
        <w:tc>
          <w:tcPr>
            <w:tcW w:w="851" w:type="dxa"/>
            <w:shd w:val="clear" w:color="auto" w:fill="auto"/>
            <w:vAlign w:val="center"/>
            <w:hideMark/>
          </w:tcPr>
          <w:p w14:paraId="020E0BAD" w14:textId="77777777" w:rsidR="00852035" w:rsidRPr="0055296E" w:rsidRDefault="00852035" w:rsidP="006E19FF">
            <w:pPr>
              <w:spacing w:after="0" w:line="276" w:lineRule="auto"/>
              <w:jc w:val="center"/>
              <w:rPr>
                <w:rFonts w:cs="Arial"/>
                <w:sz w:val="16"/>
                <w:szCs w:val="16"/>
              </w:rPr>
            </w:pPr>
          </w:p>
        </w:tc>
        <w:tc>
          <w:tcPr>
            <w:tcW w:w="709" w:type="dxa"/>
            <w:tcBorders>
              <w:right w:val="single" w:sz="2" w:space="0" w:color="A6A6A6" w:themeColor="background1" w:themeShade="A6"/>
            </w:tcBorders>
            <w:shd w:val="clear" w:color="auto" w:fill="auto"/>
            <w:vAlign w:val="center"/>
            <w:hideMark/>
          </w:tcPr>
          <w:p w14:paraId="6FE28E89" w14:textId="77777777" w:rsidR="00852035" w:rsidRPr="0055296E" w:rsidRDefault="00852035" w:rsidP="006E19FF">
            <w:pPr>
              <w:spacing w:after="0" w:line="276" w:lineRule="auto"/>
              <w:jc w:val="center"/>
              <w:rPr>
                <w:rFonts w:cs="Arial"/>
                <w:sz w:val="16"/>
                <w:szCs w:val="16"/>
              </w:rPr>
            </w:pPr>
          </w:p>
        </w:tc>
        <w:tc>
          <w:tcPr>
            <w:tcW w:w="851" w:type="dxa"/>
            <w:tcBorders>
              <w:left w:val="single" w:sz="2" w:space="0" w:color="A6A6A6" w:themeColor="background1" w:themeShade="A6"/>
            </w:tcBorders>
            <w:shd w:val="clear" w:color="auto" w:fill="auto"/>
            <w:vAlign w:val="center"/>
            <w:hideMark/>
          </w:tcPr>
          <w:p w14:paraId="618321CB" w14:textId="7777777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2,1</w:t>
            </w:r>
          </w:p>
        </w:tc>
        <w:tc>
          <w:tcPr>
            <w:tcW w:w="850" w:type="dxa"/>
            <w:shd w:val="clear" w:color="auto" w:fill="auto"/>
            <w:vAlign w:val="center"/>
            <w:hideMark/>
          </w:tcPr>
          <w:p w14:paraId="7EB45B9C" w14:textId="77777777" w:rsidR="00852035" w:rsidRPr="0055296E" w:rsidRDefault="00852035" w:rsidP="006E19FF">
            <w:pPr>
              <w:spacing w:after="0" w:line="276" w:lineRule="auto"/>
              <w:jc w:val="center"/>
              <w:rPr>
                <w:rFonts w:cs="Arial"/>
                <w:i/>
                <w:iCs/>
                <w:color w:val="000000"/>
                <w:sz w:val="16"/>
                <w:szCs w:val="16"/>
              </w:rPr>
            </w:pPr>
          </w:p>
        </w:tc>
        <w:tc>
          <w:tcPr>
            <w:tcW w:w="851" w:type="dxa"/>
            <w:shd w:val="clear" w:color="auto" w:fill="D9D9D9" w:themeFill="background1" w:themeFillShade="D9"/>
            <w:vAlign w:val="center"/>
            <w:hideMark/>
          </w:tcPr>
          <w:p w14:paraId="682B5AF8" w14:textId="77777777" w:rsidR="00852035" w:rsidRPr="0055296E" w:rsidRDefault="00852035" w:rsidP="006E19FF">
            <w:pPr>
              <w:spacing w:after="0" w:line="276" w:lineRule="auto"/>
              <w:jc w:val="center"/>
              <w:rPr>
                <w:rFonts w:cs="Arial"/>
                <w:sz w:val="16"/>
                <w:szCs w:val="16"/>
              </w:rPr>
            </w:pPr>
          </w:p>
        </w:tc>
        <w:tc>
          <w:tcPr>
            <w:tcW w:w="865" w:type="dxa"/>
            <w:shd w:val="clear" w:color="auto" w:fill="auto"/>
            <w:vAlign w:val="center"/>
            <w:hideMark/>
          </w:tcPr>
          <w:p w14:paraId="624DBA21" w14:textId="77777777" w:rsidR="00852035" w:rsidRPr="0055296E" w:rsidRDefault="00852035" w:rsidP="006E19FF">
            <w:pPr>
              <w:spacing w:after="0" w:line="276" w:lineRule="auto"/>
              <w:jc w:val="center"/>
              <w:rPr>
                <w:rFonts w:cs="Arial"/>
                <w:sz w:val="16"/>
                <w:szCs w:val="16"/>
              </w:rPr>
            </w:pPr>
          </w:p>
        </w:tc>
        <w:tc>
          <w:tcPr>
            <w:tcW w:w="836" w:type="dxa"/>
            <w:tcBorders>
              <w:right w:val="single" w:sz="2" w:space="0" w:color="A6A6A6" w:themeColor="background1" w:themeShade="A6"/>
            </w:tcBorders>
            <w:shd w:val="clear" w:color="auto" w:fill="auto"/>
            <w:vAlign w:val="center"/>
            <w:hideMark/>
          </w:tcPr>
          <w:p w14:paraId="5AEA5C41" w14:textId="77777777" w:rsidR="00852035" w:rsidRPr="0055296E" w:rsidRDefault="00852035" w:rsidP="006E19FF">
            <w:pPr>
              <w:spacing w:after="0" w:line="276" w:lineRule="auto"/>
              <w:jc w:val="center"/>
              <w:rPr>
                <w:rFonts w:cs="Arial"/>
                <w:sz w:val="16"/>
                <w:szCs w:val="16"/>
              </w:rPr>
            </w:pPr>
          </w:p>
        </w:tc>
      </w:tr>
      <w:tr w:rsidR="009746AF" w:rsidRPr="0055296E" w14:paraId="3B8806B3"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shd w:val="clear" w:color="auto" w:fill="auto"/>
            <w:vAlign w:val="center"/>
            <w:hideMark/>
          </w:tcPr>
          <w:p w14:paraId="58830C9F" w14:textId="77777777"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Ενιαία Αρχή Δημοσίων Συμβάσεων</w:t>
            </w:r>
          </w:p>
        </w:tc>
        <w:tc>
          <w:tcPr>
            <w:tcW w:w="851" w:type="dxa"/>
            <w:tcBorders>
              <w:left w:val="single" w:sz="2" w:space="0" w:color="A6A6A6" w:themeColor="background1" w:themeShade="A6"/>
            </w:tcBorders>
            <w:shd w:val="clear" w:color="auto" w:fill="auto"/>
            <w:vAlign w:val="center"/>
            <w:hideMark/>
          </w:tcPr>
          <w:p w14:paraId="36881C7C"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13</w:t>
            </w:r>
          </w:p>
        </w:tc>
        <w:tc>
          <w:tcPr>
            <w:tcW w:w="851" w:type="dxa"/>
            <w:shd w:val="clear" w:color="auto" w:fill="auto"/>
            <w:vAlign w:val="center"/>
            <w:hideMark/>
          </w:tcPr>
          <w:p w14:paraId="1EB98A08"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27</w:t>
            </w:r>
          </w:p>
        </w:tc>
        <w:tc>
          <w:tcPr>
            <w:tcW w:w="709" w:type="dxa"/>
            <w:shd w:val="clear" w:color="auto" w:fill="D9D9D9" w:themeFill="background1" w:themeFillShade="D9"/>
            <w:vAlign w:val="center"/>
            <w:hideMark/>
          </w:tcPr>
          <w:p w14:paraId="4EF1053C"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-14</w:t>
            </w:r>
          </w:p>
        </w:tc>
        <w:tc>
          <w:tcPr>
            <w:tcW w:w="851" w:type="dxa"/>
            <w:shd w:val="clear" w:color="auto" w:fill="auto"/>
            <w:vAlign w:val="center"/>
            <w:hideMark/>
          </w:tcPr>
          <w:p w14:paraId="0F62AEB5"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709" w:type="dxa"/>
            <w:tcBorders>
              <w:right w:val="single" w:sz="2" w:space="0" w:color="A6A6A6" w:themeColor="background1" w:themeShade="A6"/>
            </w:tcBorders>
            <w:shd w:val="clear" w:color="auto" w:fill="auto"/>
            <w:vAlign w:val="center"/>
            <w:hideMark/>
          </w:tcPr>
          <w:p w14:paraId="57D51C69"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851" w:type="dxa"/>
            <w:tcBorders>
              <w:left w:val="single" w:sz="2" w:space="0" w:color="A6A6A6" w:themeColor="background1" w:themeShade="A6"/>
            </w:tcBorders>
            <w:shd w:val="clear" w:color="auto" w:fill="auto"/>
            <w:vAlign w:val="center"/>
            <w:hideMark/>
          </w:tcPr>
          <w:p w14:paraId="25AFCD00"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14</w:t>
            </w:r>
          </w:p>
        </w:tc>
        <w:tc>
          <w:tcPr>
            <w:tcW w:w="850" w:type="dxa"/>
            <w:shd w:val="clear" w:color="auto" w:fill="auto"/>
            <w:vAlign w:val="center"/>
            <w:hideMark/>
          </w:tcPr>
          <w:p w14:paraId="64583F35"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17</w:t>
            </w:r>
          </w:p>
        </w:tc>
        <w:tc>
          <w:tcPr>
            <w:tcW w:w="851" w:type="dxa"/>
            <w:shd w:val="clear" w:color="auto" w:fill="D9D9D9" w:themeFill="background1" w:themeFillShade="D9"/>
            <w:vAlign w:val="center"/>
            <w:hideMark/>
          </w:tcPr>
          <w:p w14:paraId="287DB5AA"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-3</w:t>
            </w:r>
          </w:p>
        </w:tc>
        <w:tc>
          <w:tcPr>
            <w:tcW w:w="865" w:type="dxa"/>
            <w:shd w:val="clear" w:color="auto" w:fill="auto"/>
            <w:vAlign w:val="center"/>
            <w:hideMark/>
          </w:tcPr>
          <w:p w14:paraId="79AEF353"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836" w:type="dxa"/>
            <w:tcBorders>
              <w:right w:val="single" w:sz="2" w:space="0" w:color="A6A6A6" w:themeColor="background1" w:themeShade="A6"/>
            </w:tcBorders>
            <w:shd w:val="clear" w:color="auto" w:fill="auto"/>
            <w:vAlign w:val="center"/>
            <w:hideMark/>
          </w:tcPr>
          <w:p w14:paraId="47B9BCAD"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r>
      <w:tr w:rsidR="009746AF" w:rsidRPr="0055296E" w14:paraId="0D7DBCED"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shd w:val="clear" w:color="auto" w:fill="auto"/>
            <w:vAlign w:val="center"/>
            <w:hideMark/>
          </w:tcPr>
          <w:p w14:paraId="73767C9A" w14:textId="77777777"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Επιτροπή Ανταγωνισμού</w:t>
            </w:r>
          </w:p>
        </w:tc>
        <w:tc>
          <w:tcPr>
            <w:tcW w:w="851" w:type="dxa"/>
            <w:tcBorders>
              <w:left w:val="single" w:sz="2" w:space="0" w:color="A6A6A6" w:themeColor="background1" w:themeShade="A6"/>
            </w:tcBorders>
            <w:shd w:val="clear" w:color="auto" w:fill="auto"/>
            <w:vAlign w:val="center"/>
            <w:hideMark/>
          </w:tcPr>
          <w:p w14:paraId="23970B3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w:t>
            </w:r>
          </w:p>
        </w:tc>
        <w:tc>
          <w:tcPr>
            <w:tcW w:w="851" w:type="dxa"/>
            <w:shd w:val="clear" w:color="auto" w:fill="auto"/>
            <w:vAlign w:val="center"/>
            <w:hideMark/>
          </w:tcPr>
          <w:p w14:paraId="7497278E"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13</w:t>
            </w:r>
          </w:p>
        </w:tc>
        <w:tc>
          <w:tcPr>
            <w:tcW w:w="709" w:type="dxa"/>
            <w:shd w:val="clear" w:color="auto" w:fill="D9D9D9" w:themeFill="background1" w:themeFillShade="D9"/>
            <w:vAlign w:val="center"/>
            <w:hideMark/>
          </w:tcPr>
          <w:p w14:paraId="65D57136"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-2</w:t>
            </w:r>
          </w:p>
        </w:tc>
        <w:tc>
          <w:tcPr>
            <w:tcW w:w="851" w:type="dxa"/>
            <w:shd w:val="clear" w:color="auto" w:fill="auto"/>
            <w:vAlign w:val="center"/>
            <w:hideMark/>
          </w:tcPr>
          <w:p w14:paraId="486523EC"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709" w:type="dxa"/>
            <w:tcBorders>
              <w:right w:val="single" w:sz="2" w:space="0" w:color="A6A6A6" w:themeColor="background1" w:themeShade="A6"/>
            </w:tcBorders>
            <w:shd w:val="clear" w:color="auto" w:fill="auto"/>
            <w:vAlign w:val="center"/>
            <w:hideMark/>
          </w:tcPr>
          <w:p w14:paraId="6B1FDF83"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w:t>
            </w:r>
          </w:p>
        </w:tc>
        <w:tc>
          <w:tcPr>
            <w:tcW w:w="851" w:type="dxa"/>
            <w:tcBorders>
              <w:left w:val="single" w:sz="2" w:space="0" w:color="A6A6A6" w:themeColor="background1" w:themeShade="A6"/>
            </w:tcBorders>
            <w:shd w:val="clear" w:color="auto" w:fill="auto"/>
            <w:vAlign w:val="center"/>
            <w:hideMark/>
          </w:tcPr>
          <w:p w14:paraId="40CE8912"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w:t>
            </w:r>
          </w:p>
        </w:tc>
        <w:tc>
          <w:tcPr>
            <w:tcW w:w="850" w:type="dxa"/>
            <w:shd w:val="clear" w:color="auto" w:fill="auto"/>
            <w:vAlign w:val="center"/>
            <w:hideMark/>
          </w:tcPr>
          <w:p w14:paraId="4E6D4158"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w:t>
            </w:r>
          </w:p>
        </w:tc>
        <w:tc>
          <w:tcPr>
            <w:tcW w:w="851" w:type="dxa"/>
            <w:shd w:val="clear" w:color="auto" w:fill="D9D9D9" w:themeFill="background1" w:themeFillShade="D9"/>
            <w:vAlign w:val="center"/>
            <w:hideMark/>
          </w:tcPr>
          <w:p w14:paraId="5070A396"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0</w:t>
            </w:r>
          </w:p>
        </w:tc>
        <w:tc>
          <w:tcPr>
            <w:tcW w:w="865" w:type="dxa"/>
            <w:shd w:val="clear" w:color="auto" w:fill="auto"/>
            <w:vAlign w:val="center"/>
            <w:hideMark/>
          </w:tcPr>
          <w:p w14:paraId="0C408A70"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3</w:t>
            </w:r>
          </w:p>
        </w:tc>
        <w:tc>
          <w:tcPr>
            <w:tcW w:w="836" w:type="dxa"/>
            <w:tcBorders>
              <w:right w:val="single" w:sz="2" w:space="0" w:color="A6A6A6" w:themeColor="background1" w:themeShade="A6"/>
            </w:tcBorders>
            <w:shd w:val="clear" w:color="auto" w:fill="auto"/>
            <w:vAlign w:val="center"/>
            <w:hideMark/>
          </w:tcPr>
          <w:p w14:paraId="230B8F1B"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3</w:t>
            </w:r>
          </w:p>
        </w:tc>
      </w:tr>
      <w:tr w:rsidR="009746AF" w:rsidRPr="0055296E" w14:paraId="12BFCDF0"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shd w:val="clear" w:color="auto" w:fill="auto"/>
            <w:vAlign w:val="center"/>
            <w:hideMark/>
          </w:tcPr>
          <w:p w14:paraId="1AC295CE" w14:textId="77777777"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Επιτροπή Εποπτείας και Ελέγχου Παιγνίων</w:t>
            </w:r>
          </w:p>
        </w:tc>
        <w:tc>
          <w:tcPr>
            <w:tcW w:w="851" w:type="dxa"/>
            <w:tcBorders>
              <w:left w:val="single" w:sz="2" w:space="0" w:color="A6A6A6" w:themeColor="background1" w:themeShade="A6"/>
            </w:tcBorders>
            <w:shd w:val="clear" w:color="auto" w:fill="auto"/>
            <w:vAlign w:val="center"/>
            <w:hideMark/>
          </w:tcPr>
          <w:p w14:paraId="35F9C153"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27</w:t>
            </w:r>
          </w:p>
        </w:tc>
        <w:tc>
          <w:tcPr>
            <w:tcW w:w="851" w:type="dxa"/>
            <w:shd w:val="clear" w:color="auto" w:fill="auto"/>
            <w:vAlign w:val="center"/>
            <w:hideMark/>
          </w:tcPr>
          <w:p w14:paraId="497A5D8D"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30</w:t>
            </w:r>
          </w:p>
        </w:tc>
        <w:tc>
          <w:tcPr>
            <w:tcW w:w="709" w:type="dxa"/>
            <w:shd w:val="clear" w:color="auto" w:fill="D9D9D9" w:themeFill="background1" w:themeFillShade="D9"/>
            <w:vAlign w:val="center"/>
            <w:hideMark/>
          </w:tcPr>
          <w:p w14:paraId="7663C03D"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-3</w:t>
            </w:r>
          </w:p>
        </w:tc>
        <w:tc>
          <w:tcPr>
            <w:tcW w:w="851" w:type="dxa"/>
            <w:shd w:val="clear" w:color="auto" w:fill="auto"/>
            <w:vAlign w:val="center"/>
            <w:hideMark/>
          </w:tcPr>
          <w:p w14:paraId="6BD2D214"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110</w:t>
            </w:r>
          </w:p>
        </w:tc>
        <w:tc>
          <w:tcPr>
            <w:tcW w:w="709" w:type="dxa"/>
            <w:tcBorders>
              <w:right w:val="single" w:sz="2" w:space="0" w:color="A6A6A6" w:themeColor="background1" w:themeShade="A6"/>
            </w:tcBorders>
            <w:shd w:val="clear" w:color="auto" w:fill="auto"/>
            <w:vAlign w:val="center"/>
            <w:hideMark/>
          </w:tcPr>
          <w:p w14:paraId="11D23517"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110</w:t>
            </w:r>
          </w:p>
        </w:tc>
        <w:tc>
          <w:tcPr>
            <w:tcW w:w="851" w:type="dxa"/>
            <w:tcBorders>
              <w:left w:val="single" w:sz="2" w:space="0" w:color="A6A6A6" w:themeColor="background1" w:themeShade="A6"/>
            </w:tcBorders>
            <w:shd w:val="clear" w:color="auto" w:fill="auto"/>
            <w:vAlign w:val="center"/>
            <w:hideMark/>
          </w:tcPr>
          <w:p w14:paraId="484B7584"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23</w:t>
            </w:r>
          </w:p>
        </w:tc>
        <w:tc>
          <w:tcPr>
            <w:tcW w:w="850" w:type="dxa"/>
            <w:shd w:val="clear" w:color="auto" w:fill="auto"/>
            <w:vAlign w:val="center"/>
            <w:hideMark/>
          </w:tcPr>
          <w:p w14:paraId="11E831B5"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34</w:t>
            </w:r>
          </w:p>
        </w:tc>
        <w:tc>
          <w:tcPr>
            <w:tcW w:w="851" w:type="dxa"/>
            <w:shd w:val="clear" w:color="auto" w:fill="D9D9D9" w:themeFill="background1" w:themeFillShade="D9"/>
            <w:vAlign w:val="center"/>
            <w:hideMark/>
          </w:tcPr>
          <w:p w14:paraId="13C79DAF"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-10</w:t>
            </w:r>
          </w:p>
        </w:tc>
        <w:tc>
          <w:tcPr>
            <w:tcW w:w="865" w:type="dxa"/>
            <w:shd w:val="clear" w:color="auto" w:fill="auto"/>
            <w:vAlign w:val="center"/>
            <w:hideMark/>
          </w:tcPr>
          <w:p w14:paraId="6BF90D80"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110</w:t>
            </w:r>
          </w:p>
        </w:tc>
        <w:tc>
          <w:tcPr>
            <w:tcW w:w="836" w:type="dxa"/>
            <w:tcBorders>
              <w:right w:val="single" w:sz="2" w:space="0" w:color="A6A6A6" w:themeColor="background1" w:themeShade="A6"/>
            </w:tcBorders>
            <w:shd w:val="clear" w:color="auto" w:fill="auto"/>
            <w:vAlign w:val="center"/>
            <w:hideMark/>
          </w:tcPr>
          <w:p w14:paraId="4C87D9EA"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110</w:t>
            </w:r>
          </w:p>
        </w:tc>
      </w:tr>
      <w:tr w:rsidR="009746AF" w:rsidRPr="0055296E" w14:paraId="41C88890"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shd w:val="clear" w:color="auto" w:fill="auto"/>
            <w:vAlign w:val="center"/>
            <w:hideMark/>
          </w:tcPr>
          <w:p w14:paraId="6007BB51" w14:textId="77777777"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Ρυθμιστική Αρχή Λιμένων</w:t>
            </w:r>
          </w:p>
        </w:tc>
        <w:tc>
          <w:tcPr>
            <w:tcW w:w="851" w:type="dxa"/>
            <w:tcBorders>
              <w:left w:val="single" w:sz="2" w:space="0" w:color="A6A6A6" w:themeColor="background1" w:themeShade="A6"/>
            </w:tcBorders>
            <w:shd w:val="clear" w:color="auto" w:fill="auto"/>
            <w:vAlign w:val="center"/>
            <w:hideMark/>
          </w:tcPr>
          <w:p w14:paraId="23A9EBD1"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51" w:type="dxa"/>
            <w:shd w:val="clear" w:color="auto" w:fill="auto"/>
            <w:vAlign w:val="center"/>
            <w:hideMark/>
          </w:tcPr>
          <w:p w14:paraId="48C87F27"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709" w:type="dxa"/>
            <w:shd w:val="clear" w:color="auto" w:fill="D9D9D9" w:themeFill="background1" w:themeFillShade="D9"/>
            <w:vAlign w:val="center"/>
            <w:hideMark/>
          </w:tcPr>
          <w:p w14:paraId="4EC2C6EB"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0</w:t>
            </w:r>
          </w:p>
        </w:tc>
        <w:tc>
          <w:tcPr>
            <w:tcW w:w="851" w:type="dxa"/>
            <w:shd w:val="clear" w:color="auto" w:fill="auto"/>
            <w:vAlign w:val="center"/>
            <w:hideMark/>
          </w:tcPr>
          <w:p w14:paraId="215617B7"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709" w:type="dxa"/>
            <w:tcBorders>
              <w:right w:val="single" w:sz="2" w:space="0" w:color="A6A6A6" w:themeColor="background1" w:themeShade="A6"/>
            </w:tcBorders>
            <w:shd w:val="clear" w:color="auto" w:fill="auto"/>
            <w:vAlign w:val="center"/>
            <w:hideMark/>
          </w:tcPr>
          <w:p w14:paraId="7ED881FF"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51" w:type="dxa"/>
            <w:tcBorders>
              <w:left w:val="single" w:sz="2" w:space="0" w:color="A6A6A6" w:themeColor="background1" w:themeShade="A6"/>
            </w:tcBorders>
            <w:shd w:val="clear" w:color="auto" w:fill="auto"/>
            <w:vAlign w:val="center"/>
            <w:hideMark/>
          </w:tcPr>
          <w:p w14:paraId="53000E85"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50" w:type="dxa"/>
            <w:shd w:val="clear" w:color="auto" w:fill="auto"/>
            <w:vAlign w:val="center"/>
            <w:hideMark/>
          </w:tcPr>
          <w:p w14:paraId="4439D9F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w:t>
            </w:r>
          </w:p>
        </w:tc>
        <w:tc>
          <w:tcPr>
            <w:tcW w:w="851" w:type="dxa"/>
            <w:shd w:val="clear" w:color="auto" w:fill="D9D9D9" w:themeFill="background1" w:themeFillShade="D9"/>
            <w:vAlign w:val="center"/>
            <w:hideMark/>
          </w:tcPr>
          <w:p w14:paraId="7A6B7D71"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0</w:t>
            </w:r>
          </w:p>
        </w:tc>
        <w:tc>
          <w:tcPr>
            <w:tcW w:w="865" w:type="dxa"/>
            <w:shd w:val="clear" w:color="auto" w:fill="auto"/>
            <w:vAlign w:val="center"/>
            <w:hideMark/>
          </w:tcPr>
          <w:p w14:paraId="08B85868"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36" w:type="dxa"/>
            <w:tcBorders>
              <w:right w:val="single" w:sz="2" w:space="0" w:color="A6A6A6" w:themeColor="background1" w:themeShade="A6"/>
            </w:tcBorders>
            <w:shd w:val="clear" w:color="auto" w:fill="auto"/>
            <w:vAlign w:val="center"/>
            <w:hideMark/>
          </w:tcPr>
          <w:p w14:paraId="2324471A"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r>
      <w:tr w:rsidR="00716231" w:rsidRPr="0055296E" w14:paraId="22C77F18" w14:textId="77777777" w:rsidTr="0055296E">
        <w:trPr>
          <w:cantSplit/>
          <w:trHeight w:val="227"/>
          <w:jc w:val="center"/>
        </w:trPr>
        <w:tc>
          <w:tcPr>
            <w:tcW w:w="11340" w:type="dxa"/>
            <w:gridSpan w:val="11"/>
            <w:tcBorders>
              <w:left w:val="single" w:sz="2" w:space="0" w:color="A6A6A6" w:themeColor="background1" w:themeShade="A6"/>
              <w:right w:val="single" w:sz="2" w:space="0" w:color="A6A6A6" w:themeColor="background1" w:themeShade="A6"/>
            </w:tcBorders>
            <w:shd w:val="clear" w:color="auto" w:fill="D5DCE4"/>
            <w:vAlign w:val="center"/>
          </w:tcPr>
          <w:p w14:paraId="27F5FBBE" w14:textId="20C907DD" w:rsidR="00D32DB6" w:rsidRPr="0055296E" w:rsidRDefault="00D32DB6" w:rsidP="006E19FF">
            <w:pPr>
              <w:spacing w:after="0" w:line="276" w:lineRule="auto"/>
              <w:rPr>
                <w:rFonts w:cs="Arial"/>
                <w:color w:val="000000"/>
                <w:sz w:val="16"/>
                <w:szCs w:val="16"/>
              </w:rPr>
            </w:pPr>
            <w:r w:rsidRPr="0055296E">
              <w:rPr>
                <w:rFonts w:cs="Arial"/>
                <w:b/>
                <w:bCs/>
                <w:color w:val="000000"/>
                <w:sz w:val="16"/>
                <w:szCs w:val="16"/>
              </w:rPr>
              <w:t>ΑΔΑ ΝΠΙΔ</w:t>
            </w:r>
          </w:p>
        </w:tc>
      </w:tr>
      <w:tr w:rsidR="00716231" w:rsidRPr="0055296E" w14:paraId="3951B181"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shd w:val="clear" w:color="auto" w:fill="auto"/>
            <w:vAlign w:val="center"/>
            <w:hideMark/>
          </w:tcPr>
          <w:p w14:paraId="572EC9D6" w14:textId="77777777"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Ρυθμιστική Αρχή Αποβλήτων, Ενέργειας και Υδάτων</w:t>
            </w:r>
          </w:p>
        </w:tc>
        <w:tc>
          <w:tcPr>
            <w:tcW w:w="851" w:type="dxa"/>
            <w:tcBorders>
              <w:left w:val="single" w:sz="2" w:space="0" w:color="A6A6A6" w:themeColor="background1" w:themeShade="A6"/>
            </w:tcBorders>
            <w:shd w:val="clear" w:color="auto" w:fill="auto"/>
            <w:vAlign w:val="center"/>
            <w:hideMark/>
          </w:tcPr>
          <w:p w14:paraId="3901F753"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22</w:t>
            </w:r>
          </w:p>
        </w:tc>
        <w:tc>
          <w:tcPr>
            <w:tcW w:w="851" w:type="dxa"/>
            <w:shd w:val="clear" w:color="auto" w:fill="auto"/>
            <w:vAlign w:val="center"/>
            <w:hideMark/>
          </w:tcPr>
          <w:p w14:paraId="1B7A0A2A"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13</w:t>
            </w:r>
          </w:p>
        </w:tc>
        <w:tc>
          <w:tcPr>
            <w:tcW w:w="709" w:type="dxa"/>
            <w:shd w:val="clear" w:color="auto" w:fill="D9D9D9" w:themeFill="background1" w:themeFillShade="D9"/>
            <w:vAlign w:val="center"/>
            <w:hideMark/>
          </w:tcPr>
          <w:p w14:paraId="33E4AD06"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9</w:t>
            </w:r>
          </w:p>
        </w:tc>
        <w:tc>
          <w:tcPr>
            <w:tcW w:w="851" w:type="dxa"/>
            <w:shd w:val="clear" w:color="auto" w:fill="auto"/>
            <w:vAlign w:val="center"/>
            <w:hideMark/>
          </w:tcPr>
          <w:p w14:paraId="66CE88C2"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709" w:type="dxa"/>
            <w:tcBorders>
              <w:right w:val="single" w:sz="2" w:space="0" w:color="A6A6A6" w:themeColor="background1" w:themeShade="A6"/>
            </w:tcBorders>
            <w:shd w:val="clear" w:color="auto" w:fill="auto"/>
            <w:vAlign w:val="center"/>
            <w:hideMark/>
          </w:tcPr>
          <w:p w14:paraId="1C61628E"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51" w:type="dxa"/>
            <w:tcBorders>
              <w:left w:val="single" w:sz="2" w:space="0" w:color="A6A6A6" w:themeColor="background1" w:themeShade="A6"/>
            </w:tcBorders>
            <w:shd w:val="clear" w:color="auto" w:fill="auto"/>
            <w:vAlign w:val="center"/>
            <w:hideMark/>
          </w:tcPr>
          <w:p w14:paraId="5F0EA08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21</w:t>
            </w:r>
          </w:p>
        </w:tc>
        <w:tc>
          <w:tcPr>
            <w:tcW w:w="850" w:type="dxa"/>
            <w:shd w:val="clear" w:color="auto" w:fill="auto"/>
            <w:vAlign w:val="center"/>
            <w:hideMark/>
          </w:tcPr>
          <w:p w14:paraId="4F3124B2"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16</w:t>
            </w:r>
          </w:p>
        </w:tc>
        <w:tc>
          <w:tcPr>
            <w:tcW w:w="851" w:type="dxa"/>
            <w:shd w:val="clear" w:color="auto" w:fill="D9D9D9" w:themeFill="background1" w:themeFillShade="D9"/>
            <w:vAlign w:val="center"/>
            <w:hideMark/>
          </w:tcPr>
          <w:p w14:paraId="2B59AFB6"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4</w:t>
            </w:r>
          </w:p>
        </w:tc>
        <w:tc>
          <w:tcPr>
            <w:tcW w:w="865" w:type="dxa"/>
            <w:shd w:val="clear" w:color="auto" w:fill="auto"/>
            <w:vAlign w:val="center"/>
            <w:hideMark/>
          </w:tcPr>
          <w:p w14:paraId="2AB693F0"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36" w:type="dxa"/>
            <w:tcBorders>
              <w:right w:val="single" w:sz="2" w:space="0" w:color="A6A6A6" w:themeColor="background1" w:themeShade="A6"/>
            </w:tcBorders>
            <w:shd w:val="clear" w:color="auto" w:fill="auto"/>
            <w:vAlign w:val="center"/>
            <w:hideMark/>
          </w:tcPr>
          <w:p w14:paraId="39562838"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r>
      <w:tr w:rsidR="00716231" w:rsidRPr="0055296E" w14:paraId="26A22D99" w14:textId="77777777" w:rsidTr="006E19FF">
        <w:trPr>
          <w:cantSplit/>
          <w:jc w:val="center"/>
        </w:trPr>
        <w:tc>
          <w:tcPr>
            <w:tcW w:w="3116" w:type="dxa"/>
            <w:tcBorders>
              <w:left w:val="single" w:sz="2" w:space="0" w:color="A6A6A6" w:themeColor="background1" w:themeShade="A6"/>
              <w:right w:val="single" w:sz="2" w:space="0" w:color="A6A6A6" w:themeColor="background1" w:themeShade="A6"/>
            </w:tcBorders>
            <w:shd w:val="clear" w:color="auto" w:fill="auto"/>
            <w:vAlign w:val="center"/>
            <w:hideMark/>
          </w:tcPr>
          <w:p w14:paraId="1D6C3853" w14:textId="77777777" w:rsidR="00852035" w:rsidRPr="00081D1A" w:rsidRDefault="00852035" w:rsidP="006E19FF">
            <w:pPr>
              <w:spacing w:after="0" w:line="276" w:lineRule="auto"/>
              <w:jc w:val="left"/>
              <w:rPr>
                <w:rFonts w:cs="Arial"/>
                <w:color w:val="000000"/>
                <w:sz w:val="16"/>
                <w:szCs w:val="14"/>
              </w:rPr>
            </w:pPr>
            <w:r w:rsidRPr="00081D1A">
              <w:rPr>
                <w:rFonts w:cs="Arial"/>
                <w:color w:val="000000"/>
                <w:sz w:val="16"/>
                <w:szCs w:val="14"/>
              </w:rPr>
              <w:t>Εθνική Επιτροπή Τηλεπικοινωνιών και Ταχυδρομείων</w:t>
            </w:r>
          </w:p>
        </w:tc>
        <w:tc>
          <w:tcPr>
            <w:tcW w:w="851" w:type="dxa"/>
            <w:tcBorders>
              <w:left w:val="single" w:sz="2" w:space="0" w:color="A6A6A6" w:themeColor="background1" w:themeShade="A6"/>
            </w:tcBorders>
            <w:shd w:val="clear" w:color="auto" w:fill="auto"/>
            <w:vAlign w:val="center"/>
            <w:hideMark/>
          </w:tcPr>
          <w:p w14:paraId="5BB97841"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47</w:t>
            </w:r>
          </w:p>
        </w:tc>
        <w:tc>
          <w:tcPr>
            <w:tcW w:w="851" w:type="dxa"/>
            <w:shd w:val="clear" w:color="auto" w:fill="auto"/>
            <w:vAlign w:val="center"/>
            <w:hideMark/>
          </w:tcPr>
          <w:p w14:paraId="754746FA"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47</w:t>
            </w:r>
          </w:p>
        </w:tc>
        <w:tc>
          <w:tcPr>
            <w:tcW w:w="709" w:type="dxa"/>
            <w:shd w:val="clear" w:color="auto" w:fill="D9D9D9" w:themeFill="background1" w:themeFillShade="D9"/>
            <w:vAlign w:val="center"/>
            <w:hideMark/>
          </w:tcPr>
          <w:p w14:paraId="4A7ADE34"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0</w:t>
            </w:r>
          </w:p>
        </w:tc>
        <w:tc>
          <w:tcPr>
            <w:tcW w:w="851" w:type="dxa"/>
            <w:shd w:val="clear" w:color="auto" w:fill="auto"/>
            <w:vAlign w:val="center"/>
            <w:hideMark/>
          </w:tcPr>
          <w:p w14:paraId="66AB549E"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709" w:type="dxa"/>
            <w:tcBorders>
              <w:right w:val="single" w:sz="2" w:space="0" w:color="A6A6A6" w:themeColor="background1" w:themeShade="A6"/>
            </w:tcBorders>
            <w:shd w:val="clear" w:color="auto" w:fill="auto"/>
            <w:vAlign w:val="center"/>
            <w:hideMark/>
          </w:tcPr>
          <w:p w14:paraId="55DA2889"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51" w:type="dxa"/>
            <w:tcBorders>
              <w:left w:val="single" w:sz="2" w:space="0" w:color="A6A6A6" w:themeColor="background1" w:themeShade="A6"/>
            </w:tcBorders>
            <w:shd w:val="clear" w:color="auto" w:fill="auto"/>
            <w:vAlign w:val="center"/>
            <w:hideMark/>
          </w:tcPr>
          <w:p w14:paraId="2D51E244"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43</w:t>
            </w:r>
          </w:p>
        </w:tc>
        <w:tc>
          <w:tcPr>
            <w:tcW w:w="850" w:type="dxa"/>
            <w:shd w:val="clear" w:color="auto" w:fill="auto"/>
            <w:vAlign w:val="center"/>
            <w:hideMark/>
          </w:tcPr>
          <w:p w14:paraId="39622405"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46</w:t>
            </w:r>
          </w:p>
        </w:tc>
        <w:tc>
          <w:tcPr>
            <w:tcW w:w="851" w:type="dxa"/>
            <w:shd w:val="clear" w:color="auto" w:fill="D9D9D9" w:themeFill="background1" w:themeFillShade="D9"/>
            <w:vAlign w:val="center"/>
            <w:hideMark/>
          </w:tcPr>
          <w:p w14:paraId="050C9B14"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-3</w:t>
            </w:r>
          </w:p>
        </w:tc>
        <w:tc>
          <w:tcPr>
            <w:tcW w:w="865" w:type="dxa"/>
            <w:shd w:val="clear" w:color="auto" w:fill="auto"/>
            <w:vAlign w:val="center"/>
            <w:hideMark/>
          </w:tcPr>
          <w:p w14:paraId="4FA5F7C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c>
          <w:tcPr>
            <w:tcW w:w="836" w:type="dxa"/>
            <w:tcBorders>
              <w:right w:val="single" w:sz="2" w:space="0" w:color="A6A6A6" w:themeColor="background1" w:themeShade="A6"/>
            </w:tcBorders>
            <w:shd w:val="clear" w:color="auto" w:fill="auto"/>
            <w:vAlign w:val="center"/>
            <w:hideMark/>
          </w:tcPr>
          <w:p w14:paraId="2D1F58E6" w14:textId="77777777" w:rsidR="00852035" w:rsidRPr="0055296E" w:rsidRDefault="00852035" w:rsidP="006E19FF">
            <w:pPr>
              <w:spacing w:after="0" w:line="276" w:lineRule="auto"/>
              <w:jc w:val="center"/>
              <w:rPr>
                <w:rFonts w:cs="Arial"/>
                <w:color w:val="000000"/>
                <w:sz w:val="16"/>
                <w:szCs w:val="16"/>
              </w:rPr>
            </w:pPr>
            <w:r w:rsidRPr="0055296E">
              <w:rPr>
                <w:rFonts w:cs="Arial"/>
                <w:color w:val="000000"/>
                <w:sz w:val="16"/>
                <w:szCs w:val="16"/>
              </w:rPr>
              <w:t>0</w:t>
            </w:r>
          </w:p>
        </w:tc>
      </w:tr>
      <w:tr w:rsidR="00716231" w:rsidRPr="0055296E" w14:paraId="3A8A9679" w14:textId="77777777" w:rsidTr="006E19FF">
        <w:trPr>
          <w:cantSplit/>
          <w:trHeight w:val="227"/>
          <w:jc w:val="center"/>
        </w:trPr>
        <w:tc>
          <w:tcPr>
            <w:tcW w:w="311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10A29E0" w14:textId="29B4DBAE" w:rsidR="00292233" w:rsidRPr="00081D1A" w:rsidRDefault="00852035" w:rsidP="006E19FF">
            <w:pPr>
              <w:spacing w:after="0" w:line="276" w:lineRule="auto"/>
              <w:jc w:val="left"/>
              <w:rPr>
                <w:rFonts w:cs="Arial"/>
                <w:b/>
                <w:bCs/>
                <w:color w:val="000000"/>
                <w:sz w:val="16"/>
                <w:szCs w:val="14"/>
              </w:rPr>
            </w:pPr>
            <w:r w:rsidRPr="00081D1A">
              <w:rPr>
                <w:rFonts w:cs="Arial"/>
                <w:b/>
                <w:bCs/>
                <w:color w:val="000000"/>
                <w:sz w:val="16"/>
                <w:szCs w:val="14"/>
              </w:rPr>
              <w:t>Σύνολο</w:t>
            </w:r>
          </w:p>
        </w:tc>
        <w:tc>
          <w:tcPr>
            <w:tcW w:w="851" w:type="dxa"/>
            <w:tcBorders>
              <w:left w:val="single" w:sz="2" w:space="0" w:color="A6A6A6" w:themeColor="background1" w:themeShade="A6"/>
            </w:tcBorders>
            <w:shd w:val="clear" w:color="000000" w:fill="D5DCE4"/>
            <w:vAlign w:val="center"/>
            <w:hideMark/>
          </w:tcPr>
          <w:p w14:paraId="2DF575C1"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211</w:t>
            </w:r>
          </w:p>
        </w:tc>
        <w:tc>
          <w:tcPr>
            <w:tcW w:w="851" w:type="dxa"/>
            <w:shd w:val="clear" w:color="000000" w:fill="D5DCE4"/>
            <w:vAlign w:val="center"/>
            <w:hideMark/>
          </w:tcPr>
          <w:p w14:paraId="3CB33EDC"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196</w:t>
            </w:r>
          </w:p>
        </w:tc>
        <w:tc>
          <w:tcPr>
            <w:tcW w:w="709" w:type="dxa"/>
            <w:shd w:val="clear" w:color="auto" w:fill="D9D9D9" w:themeFill="background1" w:themeFillShade="D9"/>
            <w:vAlign w:val="center"/>
            <w:hideMark/>
          </w:tcPr>
          <w:p w14:paraId="437F5E48"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14</w:t>
            </w:r>
          </w:p>
        </w:tc>
        <w:tc>
          <w:tcPr>
            <w:tcW w:w="851" w:type="dxa"/>
            <w:shd w:val="clear" w:color="000000" w:fill="D5DCE4"/>
            <w:vAlign w:val="center"/>
            <w:hideMark/>
          </w:tcPr>
          <w:p w14:paraId="0850BA44"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132</w:t>
            </w:r>
          </w:p>
        </w:tc>
        <w:tc>
          <w:tcPr>
            <w:tcW w:w="709" w:type="dxa"/>
            <w:tcBorders>
              <w:right w:val="single" w:sz="2" w:space="0" w:color="A6A6A6" w:themeColor="background1" w:themeShade="A6"/>
            </w:tcBorders>
            <w:shd w:val="clear" w:color="000000" w:fill="D5DCE4"/>
            <w:vAlign w:val="center"/>
            <w:hideMark/>
          </w:tcPr>
          <w:p w14:paraId="1C066878"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132</w:t>
            </w:r>
          </w:p>
        </w:tc>
        <w:tc>
          <w:tcPr>
            <w:tcW w:w="851" w:type="dxa"/>
            <w:tcBorders>
              <w:left w:val="single" w:sz="2" w:space="0" w:color="A6A6A6" w:themeColor="background1" w:themeShade="A6"/>
            </w:tcBorders>
            <w:shd w:val="clear" w:color="000000" w:fill="D5DCE4"/>
            <w:vAlign w:val="center"/>
            <w:hideMark/>
          </w:tcPr>
          <w:p w14:paraId="3CE28C0D"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198</w:t>
            </w:r>
          </w:p>
        </w:tc>
        <w:tc>
          <w:tcPr>
            <w:tcW w:w="850" w:type="dxa"/>
            <w:shd w:val="clear" w:color="000000" w:fill="D5DCE4"/>
            <w:vAlign w:val="center"/>
            <w:hideMark/>
          </w:tcPr>
          <w:p w14:paraId="5A239B00"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215</w:t>
            </w:r>
          </w:p>
        </w:tc>
        <w:tc>
          <w:tcPr>
            <w:tcW w:w="851" w:type="dxa"/>
            <w:shd w:val="clear" w:color="auto" w:fill="D9D9D9" w:themeFill="background1" w:themeFillShade="D9"/>
            <w:vAlign w:val="center"/>
            <w:hideMark/>
          </w:tcPr>
          <w:p w14:paraId="22FE2565"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-12</w:t>
            </w:r>
          </w:p>
        </w:tc>
        <w:tc>
          <w:tcPr>
            <w:tcW w:w="865" w:type="dxa"/>
            <w:shd w:val="clear" w:color="000000" w:fill="D5DCE4"/>
            <w:vAlign w:val="center"/>
            <w:hideMark/>
          </w:tcPr>
          <w:p w14:paraId="0AED57BB"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136</w:t>
            </w:r>
          </w:p>
        </w:tc>
        <w:tc>
          <w:tcPr>
            <w:tcW w:w="836" w:type="dxa"/>
            <w:tcBorders>
              <w:right w:val="single" w:sz="2" w:space="0" w:color="A6A6A6" w:themeColor="background1" w:themeShade="A6"/>
            </w:tcBorders>
            <w:shd w:val="clear" w:color="000000" w:fill="D5DCE4"/>
            <w:vAlign w:val="center"/>
            <w:hideMark/>
          </w:tcPr>
          <w:p w14:paraId="4E4B51B6" w14:textId="77777777" w:rsidR="00852035" w:rsidRPr="0055296E" w:rsidRDefault="00852035" w:rsidP="006E19FF">
            <w:pPr>
              <w:spacing w:after="0" w:line="276" w:lineRule="auto"/>
              <w:jc w:val="center"/>
              <w:rPr>
                <w:rFonts w:cs="Arial"/>
                <w:b/>
                <w:bCs/>
                <w:color w:val="000000"/>
                <w:sz w:val="16"/>
                <w:szCs w:val="16"/>
              </w:rPr>
            </w:pPr>
            <w:r w:rsidRPr="0055296E">
              <w:rPr>
                <w:rFonts w:cs="Arial"/>
                <w:b/>
                <w:bCs/>
                <w:color w:val="000000"/>
                <w:sz w:val="16"/>
                <w:szCs w:val="16"/>
              </w:rPr>
              <w:t>136</w:t>
            </w:r>
          </w:p>
        </w:tc>
      </w:tr>
      <w:tr w:rsidR="00716231" w:rsidRPr="0055296E" w14:paraId="486DA7BA" w14:textId="77777777" w:rsidTr="006E19FF">
        <w:trPr>
          <w:cantSplit/>
          <w:trHeight w:val="227"/>
          <w:jc w:val="center"/>
        </w:trPr>
        <w:tc>
          <w:tcPr>
            <w:tcW w:w="3116"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71BB7440" w14:textId="7DFC1B33" w:rsidR="00852035" w:rsidRPr="00081D1A" w:rsidRDefault="00D137C9" w:rsidP="006E19FF">
            <w:pPr>
              <w:tabs>
                <w:tab w:val="left" w:pos="1077"/>
              </w:tabs>
              <w:spacing w:after="0" w:line="276" w:lineRule="auto"/>
              <w:ind w:right="-109"/>
              <w:jc w:val="left"/>
              <w:rPr>
                <w:rFonts w:cs="Arial"/>
                <w:b/>
                <w:bCs/>
                <w:color w:val="000000"/>
                <w:sz w:val="16"/>
                <w:szCs w:val="14"/>
              </w:rPr>
            </w:pPr>
            <w:r w:rsidRPr="00081D1A">
              <w:rPr>
                <w:rFonts w:cs="Arial"/>
                <w:i/>
                <w:color w:val="000000"/>
                <w:sz w:val="16"/>
                <w:szCs w:val="14"/>
              </w:rPr>
              <w:t>εκ των οποίων:</w:t>
            </w:r>
            <w:r w:rsidRPr="00081D1A">
              <w:rPr>
                <w:rFonts w:cs="Arial"/>
                <w:i/>
                <w:color w:val="000000"/>
                <w:sz w:val="16"/>
                <w:szCs w:val="14"/>
              </w:rPr>
              <w:tab/>
            </w:r>
            <w:r w:rsidR="00081D1A">
              <w:rPr>
                <w:rFonts w:cs="Arial"/>
                <w:i/>
                <w:color w:val="000000"/>
                <w:sz w:val="16"/>
                <w:szCs w:val="14"/>
              </w:rPr>
              <w:t xml:space="preserve"> </w:t>
            </w:r>
            <w:r w:rsidRPr="00081D1A">
              <w:rPr>
                <w:rFonts w:cs="Arial"/>
                <w:i/>
                <w:color w:val="000000"/>
                <w:sz w:val="16"/>
                <w:szCs w:val="14"/>
              </w:rPr>
              <w:t xml:space="preserve">μεταβιβάσεις από τον </w:t>
            </w:r>
            <w:r w:rsidR="00A37C91" w:rsidRPr="00081D1A">
              <w:rPr>
                <w:rFonts w:cs="Arial"/>
                <w:i/>
                <w:color w:val="000000"/>
                <w:sz w:val="16"/>
                <w:szCs w:val="14"/>
              </w:rPr>
              <w:t>ΤΠ</w:t>
            </w:r>
          </w:p>
        </w:tc>
        <w:tc>
          <w:tcPr>
            <w:tcW w:w="851" w:type="dxa"/>
            <w:tcBorders>
              <w:left w:val="single" w:sz="2" w:space="0" w:color="A6A6A6" w:themeColor="background1" w:themeShade="A6"/>
              <w:bottom w:val="single" w:sz="2" w:space="0" w:color="A6A6A6" w:themeColor="background1" w:themeShade="A6"/>
            </w:tcBorders>
            <w:shd w:val="clear" w:color="000000" w:fill="D6DCE4"/>
            <w:vAlign w:val="center"/>
            <w:hideMark/>
          </w:tcPr>
          <w:p w14:paraId="3F67A25A" w14:textId="77777777" w:rsidR="00852035" w:rsidRPr="0055296E" w:rsidRDefault="00852035" w:rsidP="006E19FF">
            <w:pPr>
              <w:spacing w:after="0" w:line="276" w:lineRule="auto"/>
              <w:jc w:val="center"/>
              <w:rPr>
                <w:rFonts w:cs="Arial"/>
                <w:i/>
                <w:iCs/>
                <w:sz w:val="16"/>
                <w:szCs w:val="16"/>
              </w:rPr>
            </w:pPr>
            <w:r w:rsidRPr="0055296E">
              <w:rPr>
                <w:rFonts w:cs="Arial"/>
                <w:i/>
                <w:iCs/>
                <w:sz w:val="16"/>
                <w:szCs w:val="16"/>
              </w:rPr>
              <w:t>36,7</w:t>
            </w:r>
          </w:p>
        </w:tc>
        <w:tc>
          <w:tcPr>
            <w:tcW w:w="851" w:type="dxa"/>
            <w:tcBorders>
              <w:bottom w:val="single" w:sz="2" w:space="0" w:color="A6A6A6" w:themeColor="background1" w:themeShade="A6"/>
            </w:tcBorders>
            <w:shd w:val="clear" w:color="000000" w:fill="D5DCE4"/>
            <w:vAlign w:val="center"/>
          </w:tcPr>
          <w:p w14:paraId="05CC2E24" w14:textId="789F5979" w:rsidR="00852035" w:rsidRPr="0055296E" w:rsidRDefault="00852035" w:rsidP="006E19FF">
            <w:pPr>
              <w:spacing w:after="0" w:line="276" w:lineRule="auto"/>
              <w:jc w:val="center"/>
              <w:rPr>
                <w:rFonts w:cs="Arial"/>
                <w:b/>
                <w:bCs/>
                <w:color w:val="000000"/>
                <w:sz w:val="16"/>
                <w:szCs w:val="16"/>
              </w:rPr>
            </w:pPr>
          </w:p>
        </w:tc>
        <w:tc>
          <w:tcPr>
            <w:tcW w:w="709" w:type="dxa"/>
            <w:tcBorders>
              <w:bottom w:val="single" w:sz="2" w:space="0" w:color="A6A6A6" w:themeColor="background1" w:themeShade="A6"/>
            </w:tcBorders>
            <w:shd w:val="clear" w:color="auto" w:fill="D9D9D9" w:themeFill="background1" w:themeFillShade="D9"/>
            <w:vAlign w:val="center"/>
          </w:tcPr>
          <w:p w14:paraId="0512CD95" w14:textId="1D8E56A9" w:rsidR="00852035" w:rsidRPr="0055296E" w:rsidRDefault="00852035" w:rsidP="006E19FF">
            <w:pPr>
              <w:spacing w:after="0" w:line="276" w:lineRule="auto"/>
              <w:jc w:val="center"/>
              <w:rPr>
                <w:rFonts w:cs="Arial"/>
                <w:b/>
                <w:bCs/>
                <w:color w:val="000000"/>
                <w:sz w:val="16"/>
                <w:szCs w:val="16"/>
              </w:rPr>
            </w:pPr>
          </w:p>
        </w:tc>
        <w:tc>
          <w:tcPr>
            <w:tcW w:w="851" w:type="dxa"/>
            <w:tcBorders>
              <w:bottom w:val="single" w:sz="2" w:space="0" w:color="A6A6A6" w:themeColor="background1" w:themeShade="A6"/>
            </w:tcBorders>
            <w:shd w:val="clear" w:color="000000" w:fill="D5DCE4"/>
            <w:vAlign w:val="center"/>
          </w:tcPr>
          <w:p w14:paraId="3D6590F1" w14:textId="6447477C" w:rsidR="00852035" w:rsidRPr="0055296E" w:rsidRDefault="00852035" w:rsidP="006E19FF">
            <w:pPr>
              <w:spacing w:after="0" w:line="276" w:lineRule="auto"/>
              <w:jc w:val="center"/>
              <w:rPr>
                <w:rFonts w:cs="Arial"/>
                <w:b/>
                <w:bCs/>
                <w:color w:val="000000"/>
                <w:sz w:val="16"/>
                <w:szCs w:val="16"/>
              </w:rPr>
            </w:pPr>
          </w:p>
        </w:tc>
        <w:tc>
          <w:tcPr>
            <w:tcW w:w="709" w:type="dxa"/>
            <w:tcBorders>
              <w:bottom w:val="single" w:sz="2" w:space="0" w:color="A6A6A6" w:themeColor="background1" w:themeShade="A6"/>
              <w:right w:val="single" w:sz="2" w:space="0" w:color="A6A6A6" w:themeColor="background1" w:themeShade="A6"/>
            </w:tcBorders>
            <w:shd w:val="clear" w:color="000000" w:fill="D5DCE4"/>
            <w:vAlign w:val="center"/>
          </w:tcPr>
          <w:p w14:paraId="7C762FC9" w14:textId="1A5C5C22" w:rsidR="00852035" w:rsidRPr="0055296E" w:rsidRDefault="00852035" w:rsidP="006E19FF">
            <w:pPr>
              <w:spacing w:after="0" w:line="276" w:lineRule="auto"/>
              <w:jc w:val="center"/>
              <w:rPr>
                <w:rFonts w:cs="Arial"/>
                <w:b/>
                <w:bCs/>
                <w:color w:val="000000"/>
                <w:sz w:val="16"/>
                <w:szCs w:val="16"/>
              </w:rPr>
            </w:pPr>
          </w:p>
        </w:tc>
        <w:tc>
          <w:tcPr>
            <w:tcW w:w="851" w:type="dxa"/>
            <w:tcBorders>
              <w:left w:val="single" w:sz="2" w:space="0" w:color="A6A6A6" w:themeColor="background1" w:themeShade="A6"/>
              <w:bottom w:val="single" w:sz="2" w:space="0" w:color="A6A6A6" w:themeColor="background1" w:themeShade="A6"/>
            </w:tcBorders>
            <w:shd w:val="clear" w:color="000000" w:fill="D6DCE4"/>
            <w:vAlign w:val="center"/>
            <w:hideMark/>
          </w:tcPr>
          <w:p w14:paraId="5D1421BC" w14:textId="2AC29167" w:rsidR="00852035" w:rsidRPr="0055296E" w:rsidRDefault="00852035" w:rsidP="006E19FF">
            <w:pPr>
              <w:spacing w:after="0" w:line="276" w:lineRule="auto"/>
              <w:jc w:val="center"/>
              <w:rPr>
                <w:rFonts w:cs="Arial"/>
                <w:i/>
                <w:iCs/>
                <w:color w:val="000000"/>
                <w:sz w:val="16"/>
                <w:szCs w:val="16"/>
              </w:rPr>
            </w:pPr>
            <w:r w:rsidRPr="0055296E">
              <w:rPr>
                <w:rFonts w:cs="Arial"/>
                <w:i/>
                <w:iCs/>
                <w:color w:val="000000"/>
                <w:sz w:val="16"/>
                <w:szCs w:val="16"/>
              </w:rPr>
              <w:t>41,6</w:t>
            </w:r>
          </w:p>
        </w:tc>
        <w:tc>
          <w:tcPr>
            <w:tcW w:w="850" w:type="dxa"/>
            <w:tcBorders>
              <w:bottom w:val="single" w:sz="2" w:space="0" w:color="A6A6A6" w:themeColor="background1" w:themeShade="A6"/>
            </w:tcBorders>
            <w:shd w:val="clear" w:color="000000" w:fill="D5DCE4"/>
            <w:vAlign w:val="center"/>
          </w:tcPr>
          <w:p w14:paraId="685F22E7" w14:textId="2F7F061F" w:rsidR="00852035" w:rsidRPr="0055296E" w:rsidRDefault="00852035" w:rsidP="006E19FF">
            <w:pPr>
              <w:spacing w:after="0" w:line="276" w:lineRule="auto"/>
              <w:jc w:val="center"/>
              <w:rPr>
                <w:rFonts w:cs="Arial"/>
                <w:b/>
                <w:bCs/>
                <w:color w:val="000000"/>
                <w:sz w:val="16"/>
                <w:szCs w:val="16"/>
              </w:rPr>
            </w:pPr>
          </w:p>
        </w:tc>
        <w:tc>
          <w:tcPr>
            <w:tcW w:w="851" w:type="dxa"/>
            <w:tcBorders>
              <w:bottom w:val="single" w:sz="2" w:space="0" w:color="A6A6A6" w:themeColor="background1" w:themeShade="A6"/>
            </w:tcBorders>
            <w:shd w:val="clear" w:color="auto" w:fill="D9D9D9" w:themeFill="background1" w:themeFillShade="D9"/>
            <w:vAlign w:val="center"/>
          </w:tcPr>
          <w:p w14:paraId="24CAF08E" w14:textId="61E1D396" w:rsidR="00852035" w:rsidRPr="0055296E" w:rsidRDefault="00852035" w:rsidP="006E19FF">
            <w:pPr>
              <w:spacing w:after="0" w:line="276" w:lineRule="auto"/>
              <w:jc w:val="center"/>
              <w:rPr>
                <w:rFonts w:cs="Arial"/>
                <w:b/>
                <w:bCs/>
                <w:color w:val="000000"/>
                <w:sz w:val="16"/>
                <w:szCs w:val="16"/>
              </w:rPr>
            </w:pPr>
          </w:p>
        </w:tc>
        <w:tc>
          <w:tcPr>
            <w:tcW w:w="865" w:type="dxa"/>
            <w:tcBorders>
              <w:bottom w:val="single" w:sz="2" w:space="0" w:color="A6A6A6" w:themeColor="background1" w:themeShade="A6"/>
            </w:tcBorders>
            <w:shd w:val="clear" w:color="000000" w:fill="D5DCE4"/>
            <w:vAlign w:val="center"/>
          </w:tcPr>
          <w:p w14:paraId="187B3C00" w14:textId="53BF02F8" w:rsidR="00852035" w:rsidRPr="0055296E" w:rsidRDefault="00852035" w:rsidP="006E19FF">
            <w:pPr>
              <w:spacing w:after="0" w:line="276" w:lineRule="auto"/>
              <w:jc w:val="center"/>
              <w:rPr>
                <w:rFonts w:cs="Arial"/>
                <w:b/>
                <w:bCs/>
                <w:color w:val="000000"/>
                <w:sz w:val="16"/>
                <w:szCs w:val="16"/>
              </w:rPr>
            </w:pPr>
          </w:p>
        </w:tc>
        <w:tc>
          <w:tcPr>
            <w:tcW w:w="836" w:type="dxa"/>
            <w:tcBorders>
              <w:bottom w:val="single" w:sz="2" w:space="0" w:color="A6A6A6" w:themeColor="background1" w:themeShade="A6"/>
              <w:right w:val="single" w:sz="2" w:space="0" w:color="A6A6A6" w:themeColor="background1" w:themeShade="A6"/>
            </w:tcBorders>
            <w:shd w:val="clear" w:color="000000" w:fill="D5DCE4"/>
            <w:vAlign w:val="center"/>
          </w:tcPr>
          <w:p w14:paraId="4AB97942" w14:textId="14386D1F" w:rsidR="00852035" w:rsidRPr="0055296E" w:rsidRDefault="00852035" w:rsidP="006E19FF">
            <w:pPr>
              <w:spacing w:after="0" w:line="276" w:lineRule="auto"/>
              <w:jc w:val="center"/>
              <w:rPr>
                <w:rFonts w:cs="Arial"/>
                <w:b/>
                <w:bCs/>
                <w:color w:val="000000"/>
                <w:sz w:val="16"/>
                <w:szCs w:val="16"/>
              </w:rPr>
            </w:pPr>
          </w:p>
        </w:tc>
      </w:tr>
      <w:tr w:rsidR="00D137C9" w:rsidRPr="00D137C9" w14:paraId="181616DD" w14:textId="77777777" w:rsidTr="0055296E">
        <w:trPr>
          <w:cantSplit/>
          <w:jc w:val="center"/>
        </w:trPr>
        <w:tc>
          <w:tcPr>
            <w:tcW w:w="11340" w:type="dxa"/>
            <w:gridSpan w:val="11"/>
            <w:tcBorders>
              <w:top w:val="single" w:sz="2" w:space="0" w:color="A6A6A6" w:themeColor="background1" w:themeShade="A6"/>
            </w:tcBorders>
            <w:shd w:val="clear" w:color="auto" w:fill="auto"/>
            <w:vAlign w:val="center"/>
          </w:tcPr>
          <w:p w14:paraId="5B52F1E0" w14:textId="3E422F24" w:rsidR="00D137C9" w:rsidRPr="00EC5FF0" w:rsidRDefault="00D137C9" w:rsidP="00790111">
            <w:pPr>
              <w:tabs>
                <w:tab w:val="left" w:pos="113"/>
              </w:tabs>
              <w:spacing w:before="60" w:after="0" w:line="276" w:lineRule="auto"/>
              <w:rPr>
                <w:rFonts w:cs="Arial"/>
                <w:bCs/>
                <w:color w:val="000000"/>
                <w:sz w:val="16"/>
                <w:szCs w:val="14"/>
              </w:rPr>
            </w:pPr>
            <w:r w:rsidRPr="00D137C9">
              <w:rPr>
                <w:rFonts w:cs="Arial"/>
                <w:bCs/>
                <w:color w:val="000000"/>
                <w:sz w:val="16"/>
                <w:szCs w:val="14"/>
                <w:vertAlign w:val="superscript"/>
              </w:rPr>
              <w:t>1</w:t>
            </w:r>
            <w:r w:rsidR="00233C6F">
              <w:rPr>
                <w:rFonts w:cs="Arial"/>
                <w:bCs/>
                <w:color w:val="000000"/>
                <w:sz w:val="16"/>
                <w:szCs w:val="14"/>
                <w:vertAlign w:val="superscript"/>
              </w:rPr>
              <w:tab/>
            </w:r>
            <w:r w:rsidR="00233C6F">
              <w:rPr>
                <w:rFonts w:cs="Arial"/>
                <w:bCs/>
                <w:color w:val="000000"/>
                <w:sz w:val="16"/>
                <w:szCs w:val="14"/>
              </w:rPr>
              <w:t>Π</w:t>
            </w:r>
            <w:r w:rsidRPr="00D137C9">
              <w:rPr>
                <w:rFonts w:cs="Arial"/>
                <w:bCs/>
                <w:color w:val="000000"/>
                <w:sz w:val="16"/>
                <w:szCs w:val="14"/>
              </w:rPr>
              <w:t>εριλαμβάνεται η μεταβολή των απλήρωτων υποχρεώσεων</w:t>
            </w:r>
            <w:r w:rsidR="00EC5FF0" w:rsidRPr="00EC5FF0">
              <w:rPr>
                <w:rFonts w:cs="Arial"/>
                <w:bCs/>
                <w:color w:val="000000"/>
                <w:sz w:val="16"/>
                <w:szCs w:val="14"/>
              </w:rPr>
              <w:t>.</w:t>
            </w:r>
          </w:p>
        </w:tc>
      </w:tr>
    </w:tbl>
    <w:p w14:paraId="01493562" w14:textId="097439B9" w:rsidR="00E3267E" w:rsidRPr="00FF50D6" w:rsidRDefault="00E3267E" w:rsidP="00E3267E">
      <w:pPr>
        <w:spacing w:before="240"/>
        <w:rPr>
          <w:rFonts w:cs="Arial"/>
          <w:b/>
          <w:szCs w:val="20"/>
        </w:rPr>
      </w:pPr>
      <w:r w:rsidRPr="00FF50D6">
        <w:rPr>
          <w:rFonts w:cs="Arial"/>
          <w:b/>
          <w:szCs w:val="20"/>
        </w:rPr>
        <w:lastRenderedPageBreak/>
        <w:t>Ελληνική Στατιστική Αρχή (ΕΛΣΤΑΤ)</w:t>
      </w:r>
    </w:p>
    <w:p w14:paraId="1F73DC73" w14:textId="77777777" w:rsidR="00E3267E" w:rsidRPr="003C5EB0" w:rsidRDefault="00E3267E" w:rsidP="00E3267E">
      <w:r w:rsidRPr="003C5EB0">
        <w:t xml:space="preserve">Η ΕΛΣΤΑΤ έχει ως σκοπό τη συστηματική παραγωγή επίσημων στατιστικών καθώς και τη διενέργεια επιστημονικών ερευνών και την κατάρτιση μελετών, οι οποίες αφορούν σε όλους τους τομείς της δραστηριότητας του δημόσιου και του ιδιωτικού τομέα, υποστηρίζουν τη διαδικασία λήψης αποφάσεων, χάραξης και αξιολόγησης πολιτικών της Κυβέρνησης και των φορέων του Δημοσίου, υποβάλλονται σε διεθνείς φορείς σύμφωνα με τις υποχρεώσεις της χώρας και </w:t>
      </w:r>
      <w:r>
        <w:t>απευθύνονται</w:t>
      </w:r>
      <w:r w:rsidRPr="003C5EB0">
        <w:t xml:space="preserve"> στο γενικό κοινό ή σε κατηγορίες χρηστών στατιστικών στοιχείων στο εσωτερικό ή στο εξωτερικό.</w:t>
      </w:r>
    </w:p>
    <w:p w14:paraId="16613615" w14:textId="1170EEBA" w:rsidR="00E3267E" w:rsidRDefault="00E3267E" w:rsidP="00E3267E">
      <w:pPr>
        <w:rPr>
          <w:rFonts w:cs="Arial"/>
          <w:b/>
          <w:szCs w:val="20"/>
        </w:rPr>
      </w:pPr>
      <w:r w:rsidRPr="003C5EB0">
        <w:t>Για το έτος 2026 η Αρχή προβλέπεται να εμφανίσει θετικό</w:t>
      </w:r>
      <w:r w:rsidR="00351250" w:rsidRPr="00351250">
        <w:t xml:space="preserve"> </w:t>
      </w:r>
      <w:r w:rsidR="00351250">
        <w:t>δημοσιονομικό</w:t>
      </w:r>
      <w:r w:rsidRPr="003C5EB0">
        <w:t xml:space="preserve"> αποτέλεσμα ύψους 0,5 εκατ. ευρώ.</w:t>
      </w:r>
    </w:p>
    <w:p w14:paraId="1BF75FE6" w14:textId="77777777" w:rsidR="00E3267E" w:rsidRPr="00E8778D" w:rsidRDefault="00E3267E" w:rsidP="00E3267E">
      <w:pPr>
        <w:spacing w:before="240"/>
        <w:rPr>
          <w:rFonts w:cs="Arial"/>
          <w:b/>
          <w:szCs w:val="20"/>
        </w:rPr>
      </w:pPr>
      <w:r w:rsidRPr="00E8778D">
        <w:rPr>
          <w:rFonts w:cs="Arial"/>
          <w:b/>
          <w:szCs w:val="20"/>
        </w:rPr>
        <w:t>Ελληνικό Δημοσιονομικό Συμβούλιο (ΕΔΣ)</w:t>
      </w:r>
    </w:p>
    <w:p w14:paraId="2571FD34" w14:textId="4F7B79EC" w:rsidR="00E3267E" w:rsidRPr="003C5EB0" w:rsidRDefault="00E3267E" w:rsidP="00E3267E">
      <w:r w:rsidRPr="003C5EB0">
        <w:t xml:space="preserve">Σκοπός του </w:t>
      </w:r>
      <w:r>
        <w:t>ΕΔΣ</w:t>
      </w:r>
      <w:r w:rsidRPr="003C5EB0">
        <w:t xml:space="preserve"> είναι η παρακολούθηση των δημ</w:t>
      </w:r>
      <w:r w:rsidR="00D53CF9">
        <w:t>όσιων</w:t>
      </w:r>
      <w:r w:rsidRPr="003C5EB0">
        <w:t xml:space="preserve"> οικονομικών. Το ΕΔΣ έχει ως κύριες αρμοδιότητες την αξιολόγηση των μακροοικονομικών και δημοσιονομικών προβλέψεων, στις οποίες βασίζονται το Μεσοπρόθεσμο Δημοσιονομικό - Διαρθρωτικό Σχέδιο (ΜΔΣ), ο Πολυετής Δημοσιονομικός Προγραμματισμός (ΠΔΠ) και ο ετήσιος κρατικός προϋπολογισμός, την παρακολούθηση της συμμόρφωσης με τους δημοσιονομικούς κανόνες που ενσωματώνονται στο εθνικό πλαίσιο δημοσιονομικής διαχείρισης καθώς και την αξιολόγηση των δημοσιονομικών στόχων και </w:t>
      </w:r>
      <w:r w:rsidR="00D53CF9">
        <w:t xml:space="preserve">των </w:t>
      </w:r>
      <w:r w:rsidRPr="003C5EB0">
        <w:t>αποτελεσμάτων του έτους ή των ετών που καλύπτει το ΜΔΣ, ο ΠΔΠ και ο κρατικός προϋπολογισμός</w:t>
      </w:r>
      <w:r>
        <w:t>.</w:t>
      </w:r>
    </w:p>
    <w:p w14:paraId="778F854B" w14:textId="70A4FF0D" w:rsidR="00E3267E" w:rsidRPr="00E3267E" w:rsidRDefault="00E3267E" w:rsidP="00E3267E">
      <w:r w:rsidRPr="003C5EB0">
        <w:t>Για το έτος 2026 το ισοζύγιο της Αρχής προβλέπεται να είναι ισοσκελισμένο.</w:t>
      </w:r>
    </w:p>
    <w:p w14:paraId="57F98442" w14:textId="77777777" w:rsidR="00E3267E" w:rsidRPr="00FF50D6" w:rsidRDefault="00E3267E" w:rsidP="00E3267E">
      <w:pPr>
        <w:spacing w:before="240"/>
        <w:rPr>
          <w:rFonts w:cs="Arial"/>
          <w:b/>
          <w:szCs w:val="20"/>
        </w:rPr>
      </w:pPr>
      <w:r w:rsidRPr="00FF50D6">
        <w:rPr>
          <w:rFonts w:cs="Arial"/>
          <w:b/>
          <w:szCs w:val="20"/>
        </w:rPr>
        <w:t>Ενιαία Αρχή Δημοσίων Συμβάσεων (ΕΑΔΗΣΥ)</w:t>
      </w:r>
    </w:p>
    <w:p w14:paraId="1B2BE953" w14:textId="77777777" w:rsidR="00E3267E" w:rsidRDefault="00E3267E" w:rsidP="00E3267E">
      <w:r>
        <w:t>Η ΕΑΔΗΣΥ αποτελεί ενιαία ανεξάρτητη αρχή και έχει ως σκοπό την άσκηση του ελέγχου της ορθής εφαρμογής του εθνικού και ενωσιακού δικαίου που διέπει τις δημόσιες συμβάσεις. Η ΕΑΔΗΣΥ εποπτεύει και συντονίζει τη δράση των φορέων της Κεντρικής Διοίκησης στον τομέα των δημόσιων συμβάσεων και γνωμοδοτεί για τη νομιμότητα κάθε διάταξης σχεδίου νόμου ή κανονιστικής πράξης που αφορά στις δημόσιες συμβάσεις.</w:t>
      </w:r>
    </w:p>
    <w:p w14:paraId="1857EAE9" w14:textId="3482FD82" w:rsidR="00E3267E" w:rsidRPr="00E3267E" w:rsidRDefault="00E3267E" w:rsidP="00E3267E">
      <w:r>
        <w:t xml:space="preserve">Η Αρχή προβλέπεται να εμφανίσει </w:t>
      </w:r>
      <w:r w:rsidR="00351250">
        <w:t xml:space="preserve">δημοσιονομικό </w:t>
      </w:r>
      <w:r>
        <w:t>έλλειμμα ύψους 3,1 εκατ. ευρώ το έτος 2026.</w:t>
      </w:r>
    </w:p>
    <w:p w14:paraId="6B566FF8" w14:textId="77777777" w:rsidR="00E3267E" w:rsidRPr="00FF50D6" w:rsidRDefault="00E3267E" w:rsidP="00E3267E">
      <w:pPr>
        <w:spacing w:before="240"/>
        <w:rPr>
          <w:rFonts w:cs="Arial"/>
          <w:b/>
          <w:szCs w:val="20"/>
        </w:rPr>
      </w:pPr>
      <w:r w:rsidRPr="00FF50D6">
        <w:rPr>
          <w:rFonts w:cs="Arial"/>
          <w:b/>
          <w:szCs w:val="20"/>
        </w:rPr>
        <w:t>Επιτροπή Ανταγωνισμού</w:t>
      </w:r>
    </w:p>
    <w:p w14:paraId="7967DF36" w14:textId="77777777" w:rsidR="00E3267E" w:rsidRPr="00B56017" w:rsidRDefault="00E3267E" w:rsidP="00E3267E">
      <w:r w:rsidRPr="00B56017">
        <w:t xml:space="preserve">Η Επιτροπή Ανταγωνισμού έχει ως βασική αποστολή τη διασφάλιση της εύρυθμης λειτουργίας της αγοράς και την εφαρμογή του δικαίου του ανταγωνισμού, </w:t>
      </w:r>
      <w:r>
        <w:t>με στόχο τη</w:t>
      </w:r>
      <w:r w:rsidRPr="00B56017">
        <w:t xml:space="preserve"> μείωση των τιμών, </w:t>
      </w:r>
      <w:r>
        <w:t xml:space="preserve">τη </w:t>
      </w:r>
      <w:r w:rsidRPr="00B56017">
        <w:t xml:space="preserve">βελτίωση της ποιότητας και του εύρους των παρεχόμενων προϊόντων και υπηρεσιών, </w:t>
      </w:r>
      <w:r>
        <w:t xml:space="preserve">τη </w:t>
      </w:r>
      <w:r w:rsidRPr="00B56017">
        <w:t xml:space="preserve">διεύρυνση των επιλογών για τους καταναλωτές, </w:t>
      </w:r>
      <w:r>
        <w:t xml:space="preserve">την </w:t>
      </w:r>
      <w:r w:rsidRPr="00B56017">
        <w:t xml:space="preserve">αύξηση της αγοραστικής τους δύναμης, </w:t>
      </w:r>
      <w:r>
        <w:t xml:space="preserve">την </w:t>
      </w:r>
      <w:r w:rsidRPr="00B56017">
        <w:t xml:space="preserve">ενίσχυση της επιχειρηματικότητας και </w:t>
      </w:r>
      <w:r>
        <w:t xml:space="preserve">την </w:t>
      </w:r>
      <w:r w:rsidRPr="00B56017">
        <w:t>ανάπτυξη της οικονομίας.</w:t>
      </w:r>
    </w:p>
    <w:p w14:paraId="52ABE8FA" w14:textId="204436F3" w:rsidR="00E3267E" w:rsidRPr="00E3267E" w:rsidRDefault="00E3267E" w:rsidP="00E3267E">
      <w:r w:rsidRPr="00B56017">
        <w:t xml:space="preserve">Για το έτος 2026 η Αρχή προβλέπεται να εμφανίσει οριακά θετικό </w:t>
      </w:r>
      <w:r w:rsidR="00351250">
        <w:t xml:space="preserve">δημοσιονομικό </w:t>
      </w:r>
      <w:r w:rsidRPr="00B56017">
        <w:t>αποτέλεσμα.</w:t>
      </w:r>
    </w:p>
    <w:p w14:paraId="2815B356" w14:textId="77777777" w:rsidR="00E3267E" w:rsidRPr="00FF50D6" w:rsidRDefault="00E3267E" w:rsidP="00E3267E">
      <w:pPr>
        <w:spacing w:before="240"/>
        <w:rPr>
          <w:rFonts w:cs="Arial"/>
          <w:b/>
          <w:szCs w:val="20"/>
        </w:rPr>
      </w:pPr>
      <w:r w:rsidRPr="00FF50D6">
        <w:rPr>
          <w:rFonts w:cs="Arial"/>
          <w:b/>
          <w:szCs w:val="20"/>
        </w:rPr>
        <w:t>Επιτροπή Εποπτείας και Ελέγχου Παιγνίων (ΕΕΕΠ)</w:t>
      </w:r>
    </w:p>
    <w:p w14:paraId="32B04BF5" w14:textId="42791C55" w:rsidR="00E3267E" w:rsidRPr="00B56017" w:rsidRDefault="00E3267E" w:rsidP="00E3267E">
      <w:r w:rsidRPr="00B56017">
        <w:t>Η ΕΕΕΠ έχει ως αποστολή τη ρύθμιση, την εποπτεία και τον έλεγχο των αγορών παροχής υπηρεσιών διεξαγωγής παιγνίων, τη μέριμνα για την προστασία των παικτών και του κοινωνικού συνόλου, ειδικότερα δε των ανηλίκων και των ευάλωτων ομάδων του πληθυσμού</w:t>
      </w:r>
      <w:r w:rsidR="00D53CF9">
        <w:t>,</w:t>
      </w:r>
      <w:r w:rsidRPr="00B56017">
        <w:t xml:space="preserve"> καθώς και τον έλεγχο της απόδοσης των δημ</w:t>
      </w:r>
      <w:r w:rsidR="00D53CF9">
        <w:t>ό</w:t>
      </w:r>
      <w:r w:rsidRPr="00B56017">
        <w:t>σ</w:t>
      </w:r>
      <w:r w:rsidR="00D53CF9">
        <w:t>ι</w:t>
      </w:r>
      <w:r w:rsidRPr="00B56017">
        <w:t>ων εσόδων.</w:t>
      </w:r>
    </w:p>
    <w:p w14:paraId="305EB3D2" w14:textId="58F17743" w:rsidR="00E3267E" w:rsidRDefault="00E3267E" w:rsidP="00E3267E">
      <w:r w:rsidRPr="00B56017">
        <w:t xml:space="preserve">Το έτος 2026 η Αρχή προβλέπεται να εμφανίσει </w:t>
      </w:r>
      <w:r w:rsidR="00BD5B05">
        <w:t xml:space="preserve">δημοσιονομικό </w:t>
      </w:r>
      <w:r w:rsidRPr="00B56017">
        <w:t>έλλει</w:t>
      </w:r>
      <w:r w:rsidR="00D53CF9">
        <w:t>μ</w:t>
      </w:r>
      <w:r w:rsidRPr="00B56017">
        <w:t>μα ύψους 10,4 εκατ. ευρώ. Η προβλεπόμενη απόδοση μερίσματος της Αρχής στον κρατικό προϋπολογισμό ανέρχεται σε 13,8 εκατ. ευρώ.</w:t>
      </w:r>
    </w:p>
    <w:p w14:paraId="46A077BC" w14:textId="77777777" w:rsidR="00E3267E" w:rsidRPr="00FF50D6" w:rsidRDefault="00E3267E" w:rsidP="00530558">
      <w:pPr>
        <w:keepNext/>
        <w:spacing w:before="240"/>
        <w:rPr>
          <w:rFonts w:cs="Arial"/>
          <w:b/>
          <w:szCs w:val="20"/>
        </w:rPr>
      </w:pPr>
      <w:r w:rsidRPr="00FF50D6">
        <w:rPr>
          <w:rFonts w:cs="Arial"/>
          <w:b/>
          <w:szCs w:val="20"/>
        </w:rPr>
        <w:lastRenderedPageBreak/>
        <w:t>Ρυθμιστική Αρχή Λιμένων (ΡΑΛ)</w:t>
      </w:r>
    </w:p>
    <w:p w14:paraId="0B52C839" w14:textId="1EE60BEE" w:rsidR="00E3267E" w:rsidRDefault="00E3267E" w:rsidP="00E3267E">
      <w:r>
        <w:t xml:space="preserve">Η ΡΑΛ έχει ως αποστολή την εποπτεία και τη διασφάλιση της νομιμότητας των σχέσεων μεταξύ δημόσιων και ιδιωτικών φορέων του εθνικού λιμενικού συστήματος, με έμφαση στην τήρηση της συμβατικής τάξης και </w:t>
      </w:r>
      <w:r w:rsidR="00A66F49">
        <w:t>σ</w:t>
      </w:r>
      <w:r>
        <w:t>την εφαρμογή της νομοθεσίας περί ελεύθερου ανταγωνισμού.</w:t>
      </w:r>
    </w:p>
    <w:p w14:paraId="01D7D960" w14:textId="326122AF" w:rsidR="00E3267E" w:rsidRDefault="00E3267E" w:rsidP="00E3267E">
      <w:r>
        <w:t xml:space="preserve">Για το έτος 2026 η Αρχή προβλέπεται να παρουσιάσει οριακά θετικό </w:t>
      </w:r>
      <w:r w:rsidR="00053103">
        <w:t xml:space="preserve">δημοσιονομικό </w:t>
      </w:r>
      <w:r>
        <w:t>αποτέλεσμα.</w:t>
      </w:r>
    </w:p>
    <w:p w14:paraId="2099E570" w14:textId="6C2A3B79" w:rsidR="00B21465" w:rsidRPr="009A214F" w:rsidRDefault="00B21465" w:rsidP="00B21465">
      <w:pPr>
        <w:spacing w:before="240"/>
        <w:rPr>
          <w:b/>
          <w:color w:val="2F5496"/>
          <w:szCs w:val="20"/>
        </w:rPr>
      </w:pPr>
      <w:r w:rsidRPr="009A214F">
        <w:rPr>
          <w:b/>
          <w:color w:val="2F5496"/>
          <w:szCs w:val="20"/>
        </w:rPr>
        <w:t>ΑΔΑ (ΝΠ</w:t>
      </w:r>
      <w:r>
        <w:rPr>
          <w:b/>
          <w:color w:val="2F5496"/>
          <w:szCs w:val="20"/>
        </w:rPr>
        <w:t>Ι</w:t>
      </w:r>
      <w:r w:rsidRPr="009A214F">
        <w:rPr>
          <w:b/>
          <w:color w:val="2F5496"/>
          <w:szCs w:val="20"/>
        </w:rPr>
        <w:t>Δ)</w:t>
      </w:r>
    </w:p>
    <w:p w14:paraId="224EA87E" w14:textId="77777777" w:rsidR="00B21465" w:rsidRPr="00FF50D6" w:rsidRDefault="00B21465" w:rsidP="00B21465">
      <w:pPr>
        <w:spacing w:before="240"/>
        <w:rPr>
          <w:rFonts w:cs="Arial"/>
          <w:b/>
          <w:szCs w:val="20"/>
        </w:rPr>
      </w:pPr>
      <w:r w:rsidRPr="00FF50D6">
        <w:rPr>
          <w:rFonts w:cs="Arial"/>
          <w:b/>
          <w:szCs w:val="20"/>
        </w:rPr>
        <w:t>Ρυθμιστική Αρχή Αποβλήτων, Ενέργειας και Υδάτων (ΡΑΑΕΥ)</w:t>
      </w:r>
    </w:p>
    <w:p w14:paraId="15666BA2" w14:textId="3C1B3E56" w:rsidR="00B21465" w:rsidRPr="003C5EB0" w:rsidRDefault="00B21465" w:rsidP="00B21465">
      <w:pPr>
        <w:rPr>
          <w:rFonts w:cs="Arial"/>
          <w:szCs w:val="20"/>
        </w:rPr>
      </w:pPr>
      <w:r w:rsidRPr="003C5EB0">
        <w:rPr>
          <w:rFonts w:cs="Arial"/>
          <w:szCs w:val="20"/>
        </w:rPr>
        <w:t>Η ΡΑΑΕΥ αποτελεί την εθνική ρυθμιστική αρχή σ</w:t>
      </w:r>
      <w:r w:rsidR="00A66F49">
        <w:rPr>
          <w:rFonts w:cs="Arial"/>
          <w:szCs w:val="20"/>
        </w:rPr>
        <w:t>ε</w:t>
      </w:r>
      <w:r>
        <w:rPr>
          <w:rFonts w:cs="Arial"/>
          <w:szCs w:val="20"/>
        </w:rPr>
        <w:t xml:space="preserve"> </w:t>
      </w:r>
      <w:r w:rsidRPr="003C5EB0">
        <w:rPr>
          <w:rFonts w:cs="Arial"/>
          <w:szCs w:val="20"/>
        </w:rPr>
        <w:t>θέματα</w:t>
      </w:r>
      <w:r>
        <w:rPr>
          <w:rFonts w:cs="Arial"/>
          <w:szCs w:val="20"/>
        </w:rPr>
        <w:t xml:space="preserve"> </w:t>
      </w:r>
      <w:r w:rsidRPr="003C5EB0">
        <w:rPr>
          <w:rFonts w:cs="Arial"/>
          <w:szCs w:val="20"/>
        </w:rPr>
        <w:t>ηλεκτρικής ενέργειας</w:t>
      </w:r>
      <w:r>
        <w:rPr>
          <w:rFonts w:cs="Arial"/>
          <w:szCs w:val="20"/>
        </w:rPr>
        <w:t xml:space="preserve">, </w:t>
      </w:r>
      <w:r w:rsidRPr="003C5EB0">
        <w:rPr>
          <w:rFonts w:cs="Arial"/>
          <w:szCs w:val="20"/>
        </w:rPr>
        <w:t>φυσικού αερίου, υπηρεσιών ύδατος και διαχείρισης αστικών αποβλήτων</w:t>
      </w:r>
      <w:r w:rsidR="00A66F49">
        <w:rPr>
          <w:rFonts w:cs="Arial"/>
          <w:szCs w:val="20"/>
        </w:rPr>
        <w:t xml:space="preserve">, </w:t>
      </w:r>
      <w:r w:rsidRPr="003C5EB0">
        <w:rPr>
          <w:rFonts w:cs="Arial"/>
          <w:szCs w:val="20"/>
        </w:rPr>
        <w:t>έχει</w:t>
      </w:r>
      <w:r w:rsidR="00A66F49">
        <w:rPr>
          <w:rFonts w:cs="Arial"/>
          <w:szCs w:val="20"/>
        </w:rPr>
        <w:t xml:space="preserve"> δε</w:t>
      </w:r>
      <w:r w:rsidRPr="003C5EB0">
        <w:rPr>
          <w:rFonts w:cs="Arial"/>
          <w:szCs w:val="20"/>
        </w:rPr>
        <w:t xml:space="preserve"> ως αποστολή τον έλεγχο, τη ρύθμιση και την εποπτεία τ</w:t>
      </w:r>
      <w:r w:rsidR="002738BE">
        <w:rPr>
          <w:rFonts w:cs="Arial"/>
          <w:szCs w:val="20"/>
        </w:rPr>
        <w:t>ων</w:t>
      </w:r>
      <w:r w:rsidRPr="003C5EB0">
        <w:rPr>
          <w:rFonts w:cs="Arial"/>
          <w:szCs w:val="20"/>
        </w:rPr>
        <w:t xml:space="preserve"> </w:t>
      </w:r>
      <w:r>
        <w:rPr>
          <w:rFonts w:cs="Arial"/>
          <w:szCs w:val="20"/>
        </w:rPr>
        <w:t>αντίστοιχων αγορών.</w:t>
      </w:r>
    </w:p>
    <w:p w14:paraId="153BDB0E" w14:textId="58ABEA0E" w:rsidR="00B21465" w:rsidRPr="003C5EB0" w:rsidRDefault="00B21465" w:rsidP="00B21465">
      <w:pPr>
        <w:rPr>
          <w:rFonts w:cs="Arial"/>
          <w:szCs w:val="20"/>
        </w:rPr>
      </w:pPr>
      <w:r w:rsidRPr="003C5EB0">
        <w:rPr>
          <w:rFonts w:cs="Arial"/>
          <w:szCs w:val="20"/>
        </w:rPr>
        <w:t xml:space="preserve">Η Αρχή προβλέπεται να εμφανίσει </w:t>
      </w:r>
      <w:r w:rsidR="002738BE">
        <w:t xml:space="preserve">δημοσιονομικό </w:t>
      </w:r>
      <w:r w:rsidRPr="003C5EB0">
        <w:rPr>
          <w:rFonts w:cs="Arial"/>
          <w:szCs w:val="20"/>
        </w:rPr>
        <w:t>πλεόνασμα ύψους 4 εκατ. ευρώ το έτος 2026.</w:t>
      </w:r>
    </w:p>
    <w:p w14:paraId="5850C1C2" w14:textId="1F5530BD" w:rsidR="00FF50D6" w:rsidRPr="00FF50D6" w:rsidRDefault="00FF50D6" w:rsidP="00FF50D6">
      <w:pPr>
        <w:spacing w:before="240"/>
        <w:rPr>
          <w:rFonts w:cs="Arial"/>
          <w:b/>
          <w:szCs w:val="20"/>
        </w:rPr>
      </w:pPr>
      <w:r w:rsidRPr="00FF50D6">
        <w:rPr>
          <w:rFonts w:cs="Arial"/>
          <w:b/>
          <w:szCs w:val="20"/>
        </w:rPr>
        <w:t>Εθνική Επιτροπή Τηλεπικοινωνιών και Ταχυδρομείων (</w:t>
      </w:r>
      <w:r w:rsidR="00CD15B9">
        <w:rPr>
          <w:rFonts w:cs="Arial"/>
          <w:b/>
          <w:szCs w:val="20"/>
        </w:rPr>
        <w:t>ΕΕ</w:t>
      </w:r>
      <w:r w:rsidR="00EC23B9">
        <w:rPr>
          <w:rFonts w:cs="Arial"/>
          <w:b/>
          <w:szCs w:val="20"/>
        </w:rPr>
        <w:t>ΤΤ</w:t>
      </w:r>
      <w:r w:rsidRPr="00FF50D6">
        <w:rPr>
          <w:rFonts w:cs="Arial"/>
          <w:b/>
          <w:szCs w:val="20"/>
        </w:rPr>
        <w:t>)</w:t>
      </w:r>
    </w:p>
    <w:p w14:paraId="0FF9F30A" w14:textId="6D7A70D7" w:rsidR="00B21465" w:rsidRPr="003C5EB0" w:rsidRDefault="00B21465" w:rsidP="00B21465">
      <w:r w:rsidRPr="003C5EB0">
        <w:t>Η ΕΕΤΤ αποτελεί τον εθνικό ρυθμιστή που εποπτεύει και ελέγχει την αγορά ηλεκτρονικών επικοινωνιών</w:t>
      </w:r>
      <w:r w:rsidR="005E1230">
        <w:t xml:space="preserve"> (</w:t>
      </w:r>
      <w:r w:rsidRPr="003C5EB0">
        <w:t>στην οποία δραστηριοποιούνται οι εταιρείες σταθερής και κινητής τηλεφωνίας, ασύρματων επικοινωνιών και διαδικτύου</w:t>
      </w:r>
      <w:r w:rsidR="005E1230">
        <w:t>)</w:t>
      </w:r>
      <w:r w:rsidRPr="003C5EB0">
        <w:t xml:space="preserve"> καθώς και την ταχυδρομική αγορά</w:t>
      </w:r>
      <w:r w:rsidR="005E1230">
        <w:t xml:space="preserve"> (</w:t>
      </w:r>
      <w:r w:rsidRPr="003C5EB0">
        <w:t>στην οποία δραστηριοποιούνται οι εταιρείες παροχής ταχυδρομικών υπηρεσιών και υπηρεσιών ταχυμεταφοράς</w:t>
      </w:r>
      <w:r w:rsidR="005E1230">
        <w:t>)</w:t>
      </w:r>
      <w:r w:rsidRPr="003C5EB0">
        <w:t xml:space="preserve">. Επιπλέον, η Αρχή ασκεί αρμοδιότητες </w:t>
      </w:r>
      <w:r>
        <w:t xml:space="preserve">ελέγχου εφαρμογής των κανόνων </w:t>
      </w:r>
      <w:r w:rsidR="00A66F49">
        <w:t xml:space="preserve">του </w:t>
      </w:r>
      <w:r w:rsidRPr="003C5EB0">
        <w:t>ανταγωνισμού στις εν λόγω αγορές.</w:t>
      </w:r>
    </w:p>
    <w:p w14:paraId="26AAC0D3" w14:textId="50513987" w:rsidR="00FF50D6" w:rsidRPr="00B21465" w:rsidRDefault="00B21465" w:rsidP="00206B79">
      <w:r w:rsidRPr="003C5EB0">
        <w:t xml:space="preserve">Για το έτος 2025 εκτιμάται ότι η Αρχή θα εμφανίσει </w:t>
      </w:r>
      <w:r w:rsidR="002738BE">
        <w:t xml:space="preserve">δημοσιονομικό </w:t>
      </w:r>
      <w:r w:rsidRPr="003C5EB0">
        <w:t xml:space="preserve">έλλειμμα ύψους 0,3 εκατ. ευρώ, το οποίο οφείλεται στην εκτιμώμενη απόδοση μερίσματος ύψους 26,4 εκατ. ευρώ στον κρατικό προϋπολογισμό, ενώ για το 2026 </w:t>
      </w:r>
      <w:r>
        <w:t xml:space="preserve">το προβλεπόμενο </w:t>
      </w:r>
      <w:r w:rsidRPr="003C5EB0">
        <w:t xml:space="preserve">έλλειμμα ύψους 3,3 εκατ. ευρώ </w:t>
      </w:r>
      <w:r>
        <w:t xml:space="preserve">προκύπτει </w:t>
      </w:r>
      <w:r w:rsidR="00A66F49">
        <w:t xml:space="preserve">από την </w:t>
      </w:r>
      <w:r>
        <w:t>αντίστοιχη</w:t>
      </w:r>
      <w:r w:rsidRPr="003C5EB0">
        <w:t xml:space="preserve"> προβλεπόμενη</w:t>
      </w:r>
      <w:r>
        <w:t xml:space="preserve"> </w:t>
      </w:r>
      <w:r w:rsidRPr="003C5EB0">
        <w:t>απόδοση μερίσματος ύψους 21,7 εκατ. ευρώ</w:t>
      </w:r>
      <w:r>
        <w:t>.</w:t>
      </w:r>
    </w:p>
    <w:p w14:paraId="0406C45D" w14:textId="3F54EC01" w:rsidR="00FF50D6" w:rsidRDefault="0027009E" w:rsidP="00300BBF">
      <w:pPr>
        <w:pStyle w:val="4"/>
      </w:pPr>
      <w:bookmarkStart w:id="388" w:name="_Toc214473772"/>
      <w:r w:rsidRPr="0027009E">
        <w:t>Ασφαλιστικό Κεφάλαιο Αλληλεγγύης Γενεών</w:t>
      </w:r>
      <w:bookmarkEnd w:id="388"/>
    </w:p>
    <w:p w14:paraId="1C7811D5" w14:textId="77777777" w:rsidR="00C31F70" w:rsidRPr="0039679F" w:rsidRDefault="00C31F70" w:rsidP="00C31F70">
      <w:r w:rsidRPr="0039679F">
        <w:t xml:space="preserve">Το ΑΚΑΓΕ </w:t>
      </w:r>
      <w:r>
        <w:t>έχει ως</w:t>
      </w:r>
      <w:r w:rsidRPr="0039679F">
        <w:t xml:space="preserve"> βασικό σκοπό τη δημιουργία αποθεματικών για τη χρηματοδότηση των κλάδων σύνταξης των Φορέων Κοινωνικής Ασφάλισης, από </w:t>
      </w:r>
      <w:r>
        <w:t>0</w:t>
      </w:r>
      <w:r w:rsidRPr="0039679F">
        <w:t>1.</w:t>
      </w:r>
      <w:r>
        <w:t>0</w:t>
      </w:r>
      <w:r w:rsidRPr="0039679F">
        <w:t>1.2019 και μετά, για τη διασφάλιση των συντάξεων των νέων γενεών.</w:t>
      </w:r>
    </w:p>
    <w:p w14:paraId="4550EB2D" w14:textId="77777777" w:rsidR="00C31F70" w:rsidRDefault="00C31F70" w:rsidP="00C31F70">
      <w:r>
        <w:t>Οι πηγές εσόδων του ΑΚΑΓΕ είναι:</w:t>
      </w:r>
    </w:p>
    <w:p w14:paraId="4C5AEC2C" w14:textId="77777777" w:rsidR="00C31F70" w:rsidRPr="002B7DED" w:rsidRDefault="00C31F70" w:rsidP="00C31F70">
      <w:pPr>
        <w:numPr>
          <w:ilvl w:val="0"/>
          <w:numId w:val="1"/>
        </w:numPr>
        <w:spacing w:before="120" w:after="60"/>
        <w:ind w:left="568" w:hanging="284"/>
      </w:pPr>
      <w:r w:rsidRPr="002B7DED">
        <w:t>η επιχορήγηση από τον κρατικό προϋπολογισμό, η οποία ισούται με ποσοστό 4% επί των ετήσιων συνολικών εσόδων από τον ΦΠΑ (ν.4254/2014, Α’ 85),</w:t>
      </w:r>
    </w:p>
    <w:p w14:paraId="5723311F" w14:textId="22002501" w:rsidR="00C31F70" w:rsidRPr="002B7DED" w:rsidRDefault="00C31F70" w:rsidP="00C31F70">
      <w:pPr>
        <w:numPr>
          <w:ilvl w:val="0"/>
          <w:numId w:val="1"/>
        </w:numPr>
        <w:spacing w:before="60" w:after="60"/>
        <w:ind w:left="568" w:hanging="284"/>
        <w:rPr>
          <w:rFonts w:cs="Arial"/>
        </w:rPr>
      </w:pPr>
      <w:r w:rsidRPr="002B7DED">
        <w:rPr>
          <w:rFonts w:cs="Arial"/>
        </w:rPr>
        <w:t>τα έσοδα από την Εισφορά Αλληλεγγύης Συνταξιούχων που προέρχονται από την κύρια και την επικουρική σύνταξη</w:t>
      </w:r>
      <w:r w:rsidRPr="00D34FCF">
        <w:rPr>
          <w:rFonts w:cs="Arial"/>
        </w:rPr>
        <w:t>,</w:t>
      </w:r>
    </w:p>
    <w:p w14:paraId="7C2043A1" w14:textId="77777777" w:rsidR="00C31F70" w:rsidRPr="002B7DED" w:rsidRDefault="00C31F70" w:rsidP="00C31F70">
      <w:pPr>
        <w:numPr>
          <w:ilvl w:val="0"/>
          <w:numId w:val="1"/>
        </w:numPr>
        <w:spacing w:before="60" w:after="60"/>
        <w:ind w:left="568" w:hanging="284"/>
        <w:rPr>
          <w:rFonts w:cs="Arial"/>
        </w:rPr>
      </w:pPr>
      <w:r w:rsidRPr="002B7DED">
        <w:rPr>
          <w:rFonts w:cs="Arial"/>
        </w:rPr>
        <w:t>η μεταβίβαση ποσών από τον e-ΕΦΚΑ, ως αντιστάθμισμα της μείωσης των εσόδων του ΑΚΑΓΕ από την αλλαγή που επήλθε στον τρόπο υπολογισμού της Εισφορά</w:t>
      </w:r>
      <w:r>
        <w:rPr>
          <w:rFonts w:cs="Arial"/>
        </w:rPr>
        <w:t>ς</w:t>
      </w:r>
      <w:r w:rsidRPr="002B7DED">
        <w:rPr>
          <w:rFonts w:cs="Arial"/>
        </w:rPr>
        <w:t xml:space="preserve"> Αλληλεγγύης Συνταξιούχων με βάση το άρθρο 27 του ν.4585/2018 (Α’ 216) και</w:t>
      </w:r>
    </w:p>
    <w:p w14:paraId="7CCF81BA" w14:textId="77777777" w:rsidR="00C31F70" w:rsidRPr="002B7DED" w:rsidRDefault="00C31F70" w:rsidP="00C31F70">
      <w:pPr>
        <w:numPr>
          <w:ilvl w:val="0"/>
          <w:numId w:val="1"/>
        </w:numPr>
        <w:spacing w:before="60"/>
        <w:ind w:left="568" w:hanging="284"/>
      </w:pPr>
      <w:r w:rsidRPr="002B7DED">
        <w:t>τα έσοδα από την απόδοση της περιουσίας του.</w:t>
      </w:r>
    </w:p>
    <w:p w14:paraId="3FB0C1B8" w14:textId="42E5C476" w:rsidR="00C31F70" w:rsidRDefault="00C31F70" w:rsidP="00C31F70">
      <w:r>
        <w:t>Το δημοσιονομικό αποτέλεσμα του ΑΚΑΓΕ για το 2026 προβλέπεται να διαμορφωθεί σε πλεόνασμα ύψους 2.912 εκατ. ευρώ, το οποίο είναι βελτιωμένο σε σχέση με το αποτέλεσμα που εκτιμάται για το 2025 κατά 164 εκατ. ευρώ, κυρίως λόγω των αυξημένων μεταβιβάσεων από τον κρατικό προϋπολογισμό.</w:t>
      </w:r>
    </w:p>
    <w:p w14:paraId="7B048123" w14:textId="001FCC21" w:rsidR="00C31F70" w:rsidRPr="00D34FCF" w:rsidRDefault="00C31F70" w:rsidP="00470DCF">
      <w:pPr>
        <w:spacing w:after="240"/>
      </w:pPr>
      <w:r>
        <w:lastRenderedPageBreak/>
        <w:t xml:space="preserve">Επισημαίνεται ότι στα έσοδα από την </w:t>
      </w:r>
      <w:r w:rsidR="001E47E9">
        <w:t xml:space="preserve">Εισφορά Αλληλεγγύης Συνταξιούχων </w:t>
      </w:r>
      <w:r>
        <w:t>περιλαμβάνονται 250 εκατ. ευρώ για κάθε ένα από τα έτη 2025 και 2026</w:t>
      </w:r>
      <w:r w:rsidR="006818B1">
        <w:t>,</w:t>
      </w:r>
      <w:r>
        <w:t xml:space="preserve"> που προέρχονται από την εξόφληση υποχρεώσεων προηγούμενων οικονομικών ετών του </w:t>
      </w:r>
      <w:r>
        <w:rPr>
          <w:lang w:val="en-US"/>
        </w:rPr>
        <w:t>e</w:t>
      </w:r>
      <w:r w:rsidRPr="00E633B9">
        <w:t>-</w:t>
      </w:r>
      <w:r>
        <w:t>ΕΦΚΑ προς το ΑΚΑΓΕ</w:t>
      </w:r>
      <w:r w:rsidR="00470DCF">
        <w:t>.</w:t>
      </w:r>
    </w:p>
    <w:tbl>
      <w:tblPr>
        <w:tblW w:w="9085"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4975"/>
        <w:gridCol w:w="1984"/>
        <w:gridCol w:w="2126"/>
      </w:tblGrid>
      <w:tr w:rsidR="0027009E" w:rsidRPr="00A76BED" w14:paraId="1B040293" w14:textId="77777777" w:rsidTr="00A76BED">
        <w:trPr>
          <w:cantSplit/>
          <w:trHeight w:val="397"/>
          <w:jc w:val="center"/>
        </w:trPr>
        <w:tc>
          <w:tcPr>
            <w:tcW w:w="9085" w:type="dxa"/>
            <w:gridSpan w:val="3"/>
            <w:tcBorders>
              <w:top w:val="single" w:sz="2" w:space="0" w:color="A6A6A6" w:themeColor="background1" w:themeShade="A6"/>
              <w:bottom w:val="single" w:sz="2" w:space="0" w:color="A6A6A6" w:themeColor="background1" w:themeShade="A6"/>
            </w:tcBorders>
            <w:shd w:val="clear" w:color="auto" w:fill="D5DCE4"/>
            <w:vAlign w:val="center"/>
            <w:hideMark/>
          </w:tcPr>
          <w:p w14:paraId="669BF091" w14:textId="7962F67F" w:rsidR="008F4A04" w:rsidRDefault="0027009E" w:rsidP="00A76BED">
            <w:pPr>
              <w:spacing w:after="0" w:line="276" w:lineRule="auto"/>
              <w:jc w:val="center"/>
              <w:rPr>
                <w:rFonts w:cs="Arial"/>
                <w:b/>
                <w:bCs/>
                <w:sz w:val="18"/>
                <w:szCs w:val="16"/>
              </w:rPr>
            </w:pPr>
            <w:bookmarkStart w:id="389" w:name="_Ref119519230"/>
            <w:bookmarkStart w:id="390" w:name="_Toc214474056"/>
            <w:r w:rsidRPr="00A76BED">
              <w:rPr>
                <w:b/>
                <w:sz w:val="18"/>
                <w:szCs w:val="16"/>
              </w:rPr>
              <w:t>Πίνακας 3.</w:t>
            </w:r>
            <w:r w:rsidRPr="00A76BED">
              <w:rPr>
                <w:b/>
                <w:sz w:val="18"/>
                <w:szCs w:val="16"/>
              </w:rPr>
              <w:fldChar w:fldCharType="begin"/>
            </w:r>
            <w:r w:rsidRPr="00A76BED">
              <w:rPr>
                <w:b/>
                <w:sz w:val="18"/>
                <w:szCs w:val="16"/>
              </w:rPr>
              <w:instrText xml:space="preserve"> SEQ Πίνακας_3. \* ARABIC </w:instrText>
            </w:r>
            <w:r w:rsidRPr="00A76BED">
              <w:rPr>
                <w:b/>
                <w:sz w:val="18"/>
                <w:szCs w:val="16"/>
              </w:rPr>
              <w:fldChar w:fldCharType="separate"/>
            </w:r>
            <w:r w:rsidR="00E15678">
              <w:rPr>
                <w:b/>
                <w:noProof/>
                <w:sz w:val="18"/>
                <w:szCs w:val="16"/>
              </w:rPr>
              <w:t>18</w:t>
            </w:r>
            <w:r w:rsidRPr="00A76BED">
              <w:rPr>
                <w:b/>
                <w:sz w:val="18"/>
                <w:szCs w:val="16"/>
              </w:rPr>
              <w:fldChar w:fldCharType="end"/>
            </w:r>
            <w:bookmarkEnd w:id="389"/>
            <w:r w:rsidRPr="00A76BED">
              <w:rPr>
                <w:b/>
                <w:sz w:val="18"/>
                <w:szCs w:val="16"/>
              </w:rPr>
              <w:t xml:space="preserve">.: </w:t>
            </w:r>
            <w:r w:rsidRPr="00A76BED">
              <w:rPr>
                <w:rFonts w:cs="Arial"/>
                <w:b/>
                <w:bCs/>
                <w:sz w:val="18"/>
                <w:szCs w:val="16"/>
              </w:rPr>
              <w:t>Προϋπολογισμός ΑΚΑΓΕ</w:t>
            </w:r>
            <w:bookmarkEnd w:id="390"/>
          </w:p>
          <w:p w14:paraId="7AD3662F" w14:textId="5300F3F5" w:rsidR="0027009E" w:rsidRPr="00A76BED" w:rsidRDefault="0027009E" w:rsidP="00A76BED">
            <w:pPr>
              <w:spacing w:after="0" w:line="276" w:lineRule="auto"/>
              <w:jc w:val="center"/>
              <w:rPr>
                <w:rFonts w:cs="Arial"/>
                <w:b/>
                <w:bCs/>
                <w:sz w:val="18"/>
                <w:szCs w:val="16"/>
              </w:rPr>
            </w:pPr>
            <w:r w:rsidRPr="00A76BED">
              <w:rPr>
                <w:rFonts w:cs="Arial"/>
                <w:b/>
                <w:bCs/>
                <w:sz w:val="18"/>
                <w:szCs w:val="16"/>
              </w:rPr>
              <w:t>(σε εκατ. ευρώ)</w:t>
            </w:r>
          </w:p>
        </w:tc>
      </w:tr>
      <w:tr w:rsidR="0027009E" w:rsidRPr="00A76BED" w14:paraId="70D999DB" w14:textId="77777777" w:rsidTr="00A76BED">
        <w:trPr>
          <w:cantSplit/>
          <w:jc w:val="center"/>
        </w:trPr>
        <w:tc>
          <w:tcPr>
            <w:tcW w:w="4975" w:type="dxa"/>
            <w:vMerge w:val="restart"/>
            <w:tcBorders>
              <w:top w:val="single" w:sz="2" w:space="0" w:color="A6A6A6" w:themeColor="background1" w:themeShade="A6"/>
            </w:tcBorders>
            <w:shd w:val="clear" w:color="auto" w:fill="F2F2F2" w:themeFill="background1" w:themeFillShade="F2"/>
            <w:noWrap/>
            <w:hideMark/>
          </w:tcPr>
          <w:p w14:paraId="03E391A8" w14:textId="422404A9" w:rsidR="0027009E" w:rsidRPr="00A76BED" w:rsidRDefault="0027009E" w:rsidP="00A76BED">
            <w:pPr>
              <w:spacing w:after="0" w:line="276" w:lineRule="auto"/>
              <w:rPr>
                <w:rFonts w:ascii="Arial Narrow" w:hAnsi="Arial Narrow"/>
                <w:b/>
                <w:bCs/>
                <w:color w:val="000000"/>
                <w:sz w:val="16"/>
                <w:szCs w:val="16"/>
              </w:rPr>
            </w:pPr>
          </w:p>
        </w:tc>
        <w:tc>
          <w:tcPr>
            <w:tcW w:w="1984" w:type="dxa"/>
            <w:tcBorders>
              <w:top w:val="single" w:sz="2" w:space="0" w:color="A6A6A6" w:themeColor="background1" w:themeShade="A6"/>
            </w:tcBorders>
            <w:shd w:val="clear" w:color="auto" w:fill="F2F2F2" w:themeFill="background1" w:themeFillShade="F2"/>
            <w:vAlign w:val="center"/>
            <w:hideMark/>
          </w:tcPr>
          <w:p w14:paraId="4C577BC0" w14:textId="4D19E4EF" w:rsidR="0027009E" w:rsidRPr="00A76BED" w:rsidRDefault="0027009E" w:rsidP="00A76BED">
            <w:pPr>
              <w:spacing w:after="0" w:line="276" w:lineRule="auto"/>
              <w:jc w:val="center"/>
              <w:rPr>
                <w:rFonts w:cs="Arial"/>
                <w:b/>
                <w:bCs/>
                <w:color w:val="000000"/>
                <w:sz w:val="16"/>
                <w:szCs w:val="16"/>
              </w:rPr>
            </w:pPr>
            <w:r w:rsidRPr="00A76BED">
              <w:rPr>
                <w:rFonts w:cs="Arial"/>
                <w:b/>
                <w:bCs/>
                <w:color w:val="000000"/>
                <w:sz w:val="16"/>
                <w:szCs w:val="16"/>
              </w:rPr>
              <w:t>202</w:t>
            </w:r>
            <w:r w:rsidR="00470DCF" w:rsidRPr="00A76BED">
              <w:rPr>
                <w:rFonts w:cs="Arial"/>
                <w:b/>
                <w:bCs/>
                <w:color w:val="000000"/>
                <w:sz w:val="16"/>
                <w:szCs w:val="16"/>
              </w:rPr>
              <w:t>5</w:t>
            </w:r>
          </w:p>
        </w:tc>
        <w:tc>
          <w:tcPr>
            <w:tcW w:w="2126" w:type="dxa"/>
            <w:tcBorders>
              <w:top w:val="single" w:sz="2" w:space="0" w:color="A6A6A6" w:themeColor="background1" w:themeShade="A6"/>
            </w:tcBorders>
            <w:shd w:val="clear" w:color="auto" w:fill="F2F2F2" w:themeFill="background1" w:themeFillShade="F2"/>
            <w:vAlign w:val="center"/>
            <w:hideMark/>
          </w:tcPr>
          <w:p w14:paraId="5333448C" w14:textId="7930A07C" w:rsidR="0027009E" w:rsidRPr="00A76BED" w:rsidRDefault="002B7DED" w:rsidP="00A76BED">
            <w:pPr>
              <w:spacing w:after="0" w:line="276" w:lineRule="auto"/>
              <w:jc w:val="center"/>
              <w:rPr>
                <w:rFonts w:cs="Arial"/>
                <w:b/>
                <w:bCs/>
                <w:color w:val="000000"/>
                <w:sz w:val="16"/>
                <w:szCs w:val="16"/>
              </w:rPr>
            </w:pPr>
            <w:r w:rsidRPr="00A76BED">
              <w:rPr>
                <w:rFonts w:cs="Arial"/>
                <w:b/>
                <w:bCs/>
                <w:color w:val="000000"/>
                <w:sz w:val="16"/>
                <w:szCs w:val="16"/>
              </w:rPr>
              <w:t>202</w:t>
            </w:r>
            <w:r w:rsidR="00470DCF" w:rsidRPr="00A76BED">
              <w:rPr>
                <w:rFonts w:cs="Arial"/>
                <w:b/>
                <w:bCs/>
                <w:color w:val="000000"/>
                <w:sz w:val="16"/>
                <w:szCs w:val="16"/>
              </w:rPr>
              <w:t>6</w:t>
            </w:r>
          </w:p>
        </w:tc>
      </w:tr>
      <w:tr w:rsidR="0027009E" w:rsidRPr="00A76BED" w14:paraId="5BF3FF39" w14:textId="77777777" w:rsidTr="00A76BED">
        <w:trPr>
          <w:cantSplit/>
          <w:jc w:val="center"/>
        </w:trPr>
        <w:tc>
          <w:tcPr>
            <w:tcW w:w="4975" w:type="dxa"/>
            <w:vMerge/>
            <w:tcBorders>
              <w:bottom w:val="single" w:sz="2" w:space="0" w:color="A6A6A6" w:themeColor="background1" w:themeShade="A6"/>
            </w:tcBorders>
            <w:shd w:val="clear" w:color="auto" w:fill="F2F2F2" w:themeFill="background1" w:themeFillShade="F2"/>
            <w:vAlign w:val="center"/>
            <w:hideMark/>
          </w:tcPr>
          <w:p w14:paraId="66F04F15" w14:textId="77777777" w:rsidR="0027009E" w:rsidRPr="00A76BED" w:rsidRDefault="0027009E" w:rsidP="00A76BED">
            <w:pPr>
              <w:spacing w:after="0" w:line="276" w:lineRule="auto"/>
              <w:jc w:val="left"/>
              <w:rPr>
                <w:rFonts w:ascii="Arial Narrow" w:hAnsi="Arial Narrow"/>
                <w:b/>
                <w:bCs/>
                <w:color w:val="000000"/>
                <w:sz w:val="16"/>
                <w:szCs w:val="16"/>
              </w:rPr>
            </w:pPr>
          </w:p>
        </w:tc>
        <w:tc>
          <w:tcPr>
            <w:tcW w:w="1984" w:type="dxa"/>
            <w:tcBorders>
              <w:bottom w:val="single" w:sz="2" w:space="0" w:color="A6A6A6" w:themeColor="background1" w:themeShade="A6"/>
            </w:tcBorders>
            <w:shd w:val="clear" w:color="auto" w:fill="F2F2F2" w:themeFill="background1" w:themeFillShade="F2"/>
            <w:vAlign w:val="center"/>
            <w:hideMark/>
          </w:tcPr>
          <w:p w14:paraId="2C16C175" w14:textId="77777777" w:rsidR="0027009E" w:rsidRPr="00A76BED" w:rsidRDefault="0027009E" w:rsidP="00A76BED">
            <w:pPr>
              <w:spacing w:after="0" w:line="276" w:lineRule="auto"/>
              <w:jc w:val="center"/>
              <w:rPr>
                <w:rFonts w:cs="Arial"/>
                <w:b/>
                <w:bCs/>
                <w:color w:val="000000"/>
                <w:sz w:val="16"/>
                <w:szCs w:val="16"/>
              </w:rPr>
            </w:pPr>
            <w:r w:rsidRPr="00A76BED">
              <w:rPr>
                <w:rFonts w:cs="Arial"/>
                <w:b/>
                <w:bCs/>
                <w:color w:val="000000"/>
                <w:sz w:val="16"/>
                <w:szCs w:val="16"/>
              </w:rPr>
              <w:t>Εκτιμήσεις</w:t>
            </w:r>
          </w:p>
        </w:tc>
        <w:tc>
          <w:tcPr>
            <w:tcW w:w="2126" w:type="dxa"/>
            <w:tcBorders>
              <w:bottom w:val="single" w:sz="2" w:space="0" w:color="A6A6A6" w:themeColor="background1" w:themeShade="A6"/>
            </w:tcBorders>
            <w:shd w:val="clear" w:color="auto" w:fill="F2F2F2" w:themeFill="background1" w:themeFillShade="F2"/>
            <w:vAlign w:val="center"/>
            <w:hideMark/>
          </w:tcPr>
          <w:p w14:paraId="00085D68" w14:textId="77777777" w:rsidR="0027009E" w:rsidRPr="00A76BED" w:rsidRDefault="0027009E" w:rsidP="00A76BED">
            <w:pPr>
              <w:spacing w:after="0" w:line="276" w:lineRule="auto"/>
              <w:jc w:val="center"/>
              <w:rPr>
                <w:rFonts w:cs="Arial"/>
                <w:b/>
                <w:bCs/>
                <w:color w:val="000000"/>
                <w:sz w:val="16"/>
                <w:szCs w:val="16"/>
              </w:rPr>
            </w:pPr>
            <w:r w:rsidRPr="00A76BED">
              <w:rPr>
                <w:rFonts w:cs="Arial"/>
                <w:b/>
                <w:bCs/>
                <w:color w:val="000000"/>
                <w:sz w:val="16"/>
                <w:szCs w:val="16"/>
              </w:rPr>
              <w:t>Προβλέψεις</w:t>
            </w:r>
          </w:p>
        </w:tc>
      </w:tr>
      <w:tr w:rsidR="00E40A8C" w:rsidRPr="00A76BED" w14:paraId="51A95CF5" w14:textId="77777777" w:rsidTr="00A76BED">
        <w:trPr>
          <w:cantSplit/>
          <w:trHeight w:val="227"/>
          <w:jc w:val="center"/>
        </w:trPr>
        <w:tc>
          <w:tcPr>
            <w:tcW w:w="4975" w:type="dxa"/>
            <w:tcBorders>
              <w:top w:val="single" w:sz="2" w:space="0" w:color="A6A6A6" w:themeColor="background1" w:themeShade="A6"/>
              <w:bottom w:val="nil"/>
            </w:tcBorders>
            <w:shd w:val="clear" w:color="auto" w:fill="D5DCE4"/>
            <w:noWrap/>
            <w:vAlign w:val="center"/>
            <w:hideMark/>
          </w:tcPr>
          <w:p w14:paraId="3A932080" w14:textId="77777777" w:rsidR="00E40A8C" w:rsidRPr="00A76BED" w:rsidRDefault="00E40A8C" w:rsidP="00A76BED">
            <w:pPr>
              <w:spacing w:after="0" w:line="276" w:lineRule="auto"/>
              <w:jc w:val="left"/>
              <w:rPr>
                <w:rFonts w:cs="Arial"/>
                <w:b/>
                <w:bCs/>
                <w:color w:val="000000"/>
                <w:sz w:val="16"/>
                <w:szCs w:val="16"/>
              </w:rPr>
            </w:pPr>
            <w:r w:rsidRPr="00A76BED">
              <w:rPr>
                <w:rFonts w:cs="Arial"/>
                <w:b/>
                <w:bCs/>
                <w:color w:val="000000"/>
                <w:sz w:val="16"/>
                <w:szCs w:val="16"/>
              </w:rPr>
              <w:t>Έσοδα</w:t>
            </w:r>
          </w:p>
        </w:tc>
        <w:tc>
          <w:tcPr>
            <w:tcW w:w="1984" w:type="dxa"/>
            <w:tcBorders>
              <w:top w:val="single" w:sz="2" w:space="0" w:color="A6A6A6" w:themeColor="background1" w:themeShade="A6"/>
              <w:bottom w:val="nil"/>
            </w:tcBorders>
            <w:shd w:val="clear" w:color="auto" w:fill="D5DCE4"/>
            <w:vAlign w:val="center"/>
          </w:tcPr>
          <w:p w14:paraId="39529A1A" w14:textId="157EDCB2" w:rsidR="00E40A8C" w:rsidRPr="00A76BED" w:rsidRDefault="00E40A8C" w:rsidP="00A76BED">
            <w:pPr>
              <w:spacing w:after="0" w:line="276" w:lineRule="auto"/>
              <w:jc w:val="right"/>
              <w:rPr>
                <w:rFonts w:cs="Arial"/>
                <w:b/>
                <w:bCs/>
                <w:color w:val="000000"/>
                <w:sz w:val="16"/>
                <w:szCs w:val="16"/>
              </w:rPr>
            </w:pPr>
            <w:r w:rsidRPr="00A76BED">
              <w:rPr>
                <w:rFonts w:cs="Arial"/>
                <w:b/>
                <w:bCs/>
                <w:color w:val="000000"/>
                <w:sz w:val="16"/>
                <w:szCs w:val="16"/>
              </w:rPr>
              <w:t>2.748</w:t>
            </w:r>
          </w:p>
        </w:tc>
        <w:tc>
          <w:tcPr>
            <w:tcW w:w="2126" w:type="dxa"/>
            <w:tcBorders>
              <w:top w:val="single" w:sz="2" w:space="0" w:color="A6A6A6" w:themeColor="background1" w:themeShade="A6"/>
              <w:bottom w:val="nil"/>
            </w:tcBorders>
            <w:shd w:val="clear" w:color="auto" w:fill="D5DCE4"/>
            <w:vAlign w:val="center"/>
          </w:tcPr>
          <w:p w14:paraId="30EEBBDA" w14:textId="7F41E041" w:rsidR="00E40A8C" w:rsidRPr="00A76BED" w:rsidRDefault="00E40A8C" w:rsidP="00A76BED">
            <w:pPr>
              <w:spacing w:after="0" w:line="276" w:lineRule="auto"/>
              <w:jc w:val="right"/>
              <w:rPr>
                <w:rFonts w:cs="Arial"/>
                <w:b/>
                <w:bCs/>
                <w:color w:val="000000"/>
                <w:sz w:val="16"/>
                <w:szCs w:val="16"/>
              </w:rPr>
            </w:pPr>
            <w:r w:rsidRPr="00A76BED">
              <w:rPr>
                <w:rFonts w:cs="Arial"/>
                <w:b/>
                <w:bCs/>
                <w:color w:val="000000"/>
                <w:sz w:val="16"/>
                <w:szCs w:val="16"/>
              </w:rPr>
              <w:t>2.912</w:t>
            </w:r>
          </w:p>
        </w:tc>
      </w:tr>
      <w:tr w:rsidR="00E40A8C" w:rsidRPr="00A76BED" w14:paraId="5D788B65" w14:textId="77777777" w:rsidTr="00A76BED">
        <w:trPr>
          <w:cantSplit/>
          <w:jc w:val="center"/>
        </w:trPr>
        <w:tc>
          <w:tcPr>
            <w:tcW w:w="4975" w:type="dxa"/>
            <w:tcBorders>
              <w:top w:val="nil"/>
            </w:tcBorders>
            <w:noWrap/>
            <w:vAlign w:val="center"/>
            <w:hideMark/>
          </w:tcPr>
          <w:p w14:paraId="695FF6C6" w14:textId="77777777" w:rsidR="00E40A8C" w:rsidRPr="00A76BED" w:rsidRDefault="00E40A8C" w:rsidP="00A76BED">
            <w:pPr>
              <w:spacing w:after="0" w:line="276" w:lineRule="auto"/>
              <w:jc w:val="left"/>
              <w:rPr>
                <w:rFonts w:cs="Arial"/>
                <w:color w:val="000000"/>
                <w:sz w:val="16"/>
                <w:szCs w:val="16"/>
              </w:rPr>
            </w:pPr>
            <w:r w:rsidRPr="00A76BED">
              <w:rPr>
                <w:rFonts w:cs="Arial"/>
                <w:color w:val="000000"/>
                <w:sz w:val="16"/>
                <w:szCs w:val="16"/>
              </w:rPr>
              <w:t>Εισφορά αλληλεγγύης συνταξιούχων (κύρια σύνταξη)</w:t>
            </w:r>
          </w:p>
        </w:tc>
        <w:tc>
          <w:tcPr>
            <w:tcW w:w="1984" w:type="dxa"/>
            <w:tcBorders>
              <w:top w:val="nil"/>
            </w:tcBorders>
            <w:vAlign w:val="center"/>
          </w:tcPr>
          <w:p w14:paraId="218AE69E" w14:textId="7D70A54C"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717</w:t>
            </w:r>
          </w:p>
        </w:tc>
        <w:tc>
          <w:tcPr>
            <w:tcW w:w="2126" w:type="dxa"/>
            <w:tcBorders>
              <w:top w:val="nil"/>
            </w:tcBorders>
            <w:vAlign w:val="center"/>
          </w:tcPr>
          <w:p w14:paraId="68BE0952" w14:textId="5125421A"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721</w:t>
            </w:r>
          </w:p>
        </w:tc>
      </w:tr>
      <w:tr w:rsidR="00E40A8C" w:rsidRPr="00A76BED" w14:paraId="61E3BC39" w14:textId="77777777" w:rsidTr="00A76BED">
        <w:trPr>
          <w:cantSplit/>
          <w:jc w:val="center"/>
        </w:trPr>
        <w:tc>
          <w:tcPr>
            <w:tcW w:w="4975" w:type="dxa"/>
            <w:noWrap/>
            <w:vAlign w:val="center"/>
            <w:hideMark/>
          </w:tcPr>
          <w:p w14:paraId="74887E26" w14:textId="77777777" w:rsidR="00E40A8C" w:rsidRPr="00A76BED" w:rsidRDefault="00E40A8C" w:rsidP="00A76BED">
            <w:pPr>
              <w:spacing w:after="0" w:line="276" w:lineRule="auto"/>
              <w:jc w:val="left"/>
              <w:rPr>
                <w:rFonts w:cs="Arial"/>
                <w:color w:val="000000"/>
                <w:sz w:val="16"/>
                <w:szCs w:val="16"/>
              </w:rPr>
            </w:pPr>
            <w:r w:rsidRPr="00A76BED">
              <w:rPr>
                <w:rFonts w:cs="Arial"/>
                <w:color w:val="000000"/>
                <w:sz w:val="16"/>
                <w:szCs w:val="16"/>
              </w:rPr>
              <w:t>Εισφορά αλληλεγγύης συνταξιούχων (επικουρική σύνταξη)</w:t>
            </w:r>
          </w:p>
        </w:tc>
        <w:tc>
          <w:tcPr>
            <w:tcW w:w="1984" w:type="dxa"/>
            <w:vAlign w:val="center"/>
          </w:tcPr>
          <w:p w14:paraId="335C7D8E" w14:textId="658CF424"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167</w:t>
            </w:r>
          </w:p>
        </w:tc>
        <w:tc>
          <w:tcPr>
            <w:tcW w:w="2126" w:type="dxa"/>
            <w:vAlign w:val="center"/>
          </w:tcPr>
          <w:p w14:paraId="7E496CE6" w14:textId="02DEC8FB"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167</w:t>
            </w:r>
          </w:p>
        </w:tc>
      </w:tr>
      <w:tr w:rsidR="00E40A8C" w:rsidRPr="00A76BED" w14:paraId="1ED1EE85" w14:textId="77777777" w:rsidTr="00A76BED">
        <w:trPr>
          <w:cantSplit/>
          <w:jc w:val="center"/>
        </w:trPr>
        <w:tc>
          <w:tcPr>
            <w:tcW w:w="4975" w:type="dxa"/>
            <w:noWrap/>
            <w:vAlign w:val="center"/>
            <w:hideMark/>
          </w:tcPr>
          <w:p w14:paraId="78B8BC88" w14:textId="77777777" w:rsidR="00E40A8C" w:rsidRPr="00A76BED" w:rsidRDefault="00E40A8C" w:rsidP="00A76BED">
            <w:pPr>
              <w:spacing w:after="0" w:line="276" w:lineRule="auto"/>
              <w:jc w:val="left"/>
              <w:rPr>
                <w:rFonts w:cs="Arial"/>
                <w:color w:val="000000"/>
                <w:sz w:val="16"/>
                <w:szCs w:val="16"/>
              </w:rPr>
            </w:pPr>
            <w:r w:rsidRPr="00A76BED">
              <w:rPr>
                <w:rFonts w:cs="Arial"/>
                <w:color w:val="000000"/>
                <w:sz w:val="16"/>
                <w:szCs w:val="16"/>
              </w:rPr>
              <w:t>Έσοδα από τόκους και προσόδους κινητών αξιών</w:t>
            </w:r>
          </w:p>
        </w:tc>
        <w:tc>
          <w:tcPr>
            <w:tcW w:w="1984" w:type="dxa"/>
            <w:vAlign w:val="center"/>
          </w:tcPr>
          <w:p w14:paraId="6225A7D6" w14:textId="657BCD1A"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620</w:t>
            </w:r>
          </w:p>
        </w:tc>
        <w:tc>
          <w:tcPr>
            <w:tcW w:w="2126" w:type="dxa"/>
            <w:vAlign w:val="center"/>
          </w:tcPr>
          <w:p w14:paraId="59A4B573" w14:textId="794CBE0D"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640</w:t>
            </w:r>
          </w:p>
        </w:tc>
      </w:tr>
      <w:tr w:rsidR="00E40A8C" w:rsidRPr="00A76BED" w14:paraId="6C2A7666" w14:textId="77777777" w:rsidTr="00A76BED">
        <w:trPr>
          <w:cantSplit/>
          <w:jc w:val="center"/>
        </w:trPr>
        <w:tc>
          <w:tcPr>
            <w:tcW w:w="4975" w:type="dxa"/>
            <w:noWrap/>
            <w:vAlign w:val="center"/>
            <w:hideMark/>
          </w:tcPr>
          <w:p w14:paraId="76B833D0" w14:textId="77777777" w:rsidR="00E40A8C" w:rsidRPr="00A76BED" w:rsidRDefault="00E40A8C" w:rsidP="00A76BED">
            <w:pPr>
              <w:spacing w:after="0" w:line="276" w:lineRule="auto"/>
              <w:jc w:val="left"/>
              <w:rPr>
                <w:rFonts w:cs="Arial"/>
                <w:color w:val="000000"/>
                <w:sz w:val="16"/>
                <w:szCs w:val="16"/>
              </w:rPr>
            </w:pPr>
            <w:r w:rsidRPr="00A76BED">
              <w:rPr>
                <w:rFonts w:cs="Arial"/>
                <w:color w:val="000000"/>
                <w:sz w:val="16"/>
                <w:szCs w:val="16"/>
              </w:rPr>
              <w:t>Μεταβιβάσεις από τον κρατικό προϋπολογισμό (ν.4254/2014)</w:t>
            </w:r>
          </w:p>
        </w:tc>
        <w:tc>
          <w:tcPr>
            <w:tcW w:w="1984" w:type="dxa"/>
            <w:vAlign w:val="center"/>
          </w:tcPr>
          <w:p w14:paraId="13A8A80E" w14:textId="4F480B76"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903</w:t>
            </w:r>
          </w:p>
        </w:tc>
        <w:tc>
          <w:tcPr>
            <w:tcW w:w="2126" w:type="dxa"/>
            <w:vAlign w:val="center"/>
          </w:tcPr>
          <w:p w14:paraId="4843CD5E" w14:textId="23E807DD"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1.050</w:t>
            </w:r>
          </w:p>
        </w:tc>
      </w:tr>
      <w:tr w:rsidR="00E40A8C" w:rsidRPr="00A76BED" w14:paraId="660ED130" w14:textId="77777777" w:rsidTr="00A76BED">
        <w:trPr>
          <w:cantSplit/>
          <w:jc w:val="center"/>
        </w:trPr>
        <w:tc>
          <w:tcPr>
            <w:tcW w:w="4975" w:type="dxa"/>
            <w:noWrap/>
            <w:vAlign w:val="center"/>
            <w:hideMark/>
          </w:tcPr>
          <w:p w14:paraId="340D0C6F" w14:textId="77777777" w:rsidR="00E40A8C" w:rsidRPr="00A76BED" w:rsidRDefault="00E40A8C" w:rsidP="00A76BED">
            <w:pPr>
              <w:spacing w:after="0" w:line="276" w:lineRule="auto"/>
              <w:jc w:val="left"/>
              <w:rPr>
                <w:rFonts w:cs="Arial"/>
                <w:color w:val="000000"/>
                <w:sz w:val="16"/>
                <w:szCs w:val="16"/>
              </w:rPr>
            </w:pPr>
            <w:r w:rsidRPr="00A76BED">
              <w:rPr>
                <w:rFonts w:cs="Arial"/>
                <w:color w:val="000000"/>
                <w:sz w:val="16"/>
                <w:szCs w:val="16"/>
              </w:rPr>
              <w:t>Μεταβιβάσεις από ΟΚΑ (ν.4585/2018)</w:t>
            </w:r>
          </w:p>
        </w:tc>
        <w:tc>
          <w:tcPr>
            <w:tcW w:w="1984" w:type="dxa"/>
            <w:vAlign w:val="center"/>
          </w:tcPr>
          <w:p w14:paraId="73A2CF05" w14:textId="04661A61"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341</w:t>
            </w:r>
          </w:p>
        </w:tc>
        <w:tc>
          <w:tcPr>
            <w:tcW w:w="2126" w:type="dxa"/>
            <w:vAlign w:val="center"/>
          </w:tcPr>
          <w:p w14:paraId="47ECE4B5" w14:textId="3A8811B2" w:rsidR="00E40A8C" w:rsidRPr="00A76BED" w:rsidRDefault="00E40A8C" w:rsidP="00A76BED">
            <w:pPr>
              <w:spacing w:after="0" w:line="276" w:lineRule="auto"/>
              <w:jc w:val="right"/>
              <w:rPr>
                <w:rFonts w:cs="Arial"/>
                <w:color w:val="000000"/>
                <w:sz w:val="16"/>
                <w:szCs w:val="16"/>
              </w:rPr>
            </w:pPr>
            <w:r w:rsidRPr="00A76BED">
              <w:rPr>
                <w:rFonts w:cs="Arial"/>
                <w:color w:val="000000"/>
                <w:sz w:val="16"/>
                <w:szCs w:val="16"/>
              </w:rPr>
              <w:t>334</w:t>
            </w:r>
          </w:p>
        </w:tc>
      </w:tr>
      <w:tr w:rsidR="00E40A8C" w:rsidRPr="00A76BED" w14:paraId="644AB180" w14:textId="77777777" w:rsidTr="00A76BED">
        <w:trPr>
          <w:cantSplit/>
          <w:trHeight w:val="227"/>
          <w:jc w:val="center"/>
        </w:trPr>
        <w:tc>
          <w:tcPr>
            <w:tcW w:w="4975" w:type="dxa"/>
            <w:shd w:val="clear" w:color="000000" w:fill="D5DCE4"/>
            <w:noWrap/>
            <w:vAlign w:val="center"/>
            <w:hideMark/>
          </w:tcPr>
          <w:p w14:paraId="617C0BAE" w14:textId="77777777" w:rsidR="00E40A8C" w:rsidRPr="00A76BED" w:rsidRDefault="00E40A8C" w:rsidP="00A76BED">
            <w:pPr>
              <w:spacing w:after="0" w:line="276" w:lineRule="auto"/>
              <w:jc w:val="left"/>
              <w:rPr>
                <w:rFonts w:cs="Arial"/>
                <w:b/>
                <w:bCs/>
                <w:color w:val="000000"/>
                <w:sz w:val="16"/>
                <w:szCs w:val="16"/>
              </w:rPr>
            </w:pPr>
            <w:r w:rsidRPr="00A76BED">
              <w:rPr>
                <w:rFonts w:cs="Arial"/>
                <w:b/>
                <w:bCs/>
                <w:color w:val="000000"/>
                <w:sz w:val="16"/>
                <w:szCs w:val="16"/>
              </w:rPr>
              <w:t>Δαπάνες</w:t>
            </w:r>
          </w:p>
        </w:tc>
        <w:tc>
          <w:tcPr>
            <w:tcW w:w="1984" w:type="dxa"/>
            <w:shd w:val="clear" w:color="000000" w:fill="D5DCE4"/>
            <w:vAlign w:val="center"/>
          </w:tcPr>
          <w:p w14:paraId="6ED90BF8" w14:textId="6E749106" w:rsidR="00E40A8C" w:rsidRPr="00A76BED" w:rsidRDefault="00E40A8C" w:rsidP="00A76BED">
            <w:pPr>
              <w:spacing w:after="0" w:line="276" w:lineRule="auto"/>
              <w:jc w:val="right"/>
              <w:rPr>
                <w:rFonts w:cs="Arial"/>
                <w:b/>
                <w:bCs/>
                <w:color w:val="000000"/>
                <w:sz w:val="16"/>
                <w:szCs w:val="16"/>
              </w:rPr>
            </w:pPr>
            <w:r w:rsidRPr="00A76BED">
              <w:rPr>
                <w:rFonts w:cs="Arial"/>
                <w:b/>
                <w:bCs/>
                <w:color w:val="000000"/>
                <w:sz w:val="16"/>
                <w:szCs w:val="16"/>
              </w:rPr>
              <w:t>0</w:t>
            </w:r>
          </w:p>
        </w:tc>
        <w:tc>
          <w:tcPr>
            <w:tcW w:w="2126" w:type="dxa"/>
            <w:shd w:val="clear" w:color="000000" w:fill="D5DCE4"/>
            <w:vAlign w:val="center"/>
          </w:tcPr>
          <w:p w14:paraId="17AD094E" w14:textId="763B0FCB" w:rsidR="00E40A8C" w:rsidRPr="00A76BED" w:rsidRDefault="00E40A8C" w:rsidP="00A76BED">
            <w:pPr>
              <w:spacing w:after="0" w:line="276" w:lineRule="auto"/>
              <w:jc w:val="right"/>
              <w:rPr>
                <w:rFonts w:cs="Arial"/>
                <w:b/>
                <w:bCs/>
                <w:color w:val="000000"/>
                <w:sz w:val="16"/>
                <w:szCs w:val="16"/>
              </w:rPr>
            </w:pPr>
            <w:r w:rsidRPr="00A76BED">
              <w:rPr>
                <w:rFonts w:cs="Arial"/>
                <w:b/>
                <w:bCs/>
                <w:color w:val="000000"/>
                <w:sz w:val="16"/>
                <w:szCs w:val="16"/>
              </w:rPr>
              <w:t>0</w:t>
            </w:r>
          </w:p>
        </w:tc>
      </w:tr>
      <w:tr w:rsidR="00E40A8C" w:rsidRPr="00A76BED" w14:paraId="0E156751" w14:textId="77777777" w:rsidTr="00A76BED">
        <w:trPr>
          <w:cantSplit/>
          <w:jc w:val="center"/>
        </w:trPr>
        <w:tc>
          <w:tcPr>
            <w:tcW w:w="4975" w:type="dxa"/>
            <w:noWrap/>
            <w:vAlign w:val="center"/>
            <w:hideMark/>
          </w:tcPr>
          <w:p w14:paraId="2088763C" w14:textId="3FCF201B" w:rsidR="00E40A8C" w:rsidRPr="00A76BED" w:rsidRDefault="00E40A8C" w:rsidP="00A76BED">
            <w:pPr>
              <w:spacing w:after="0" w:line="276" w:lineRule="auto"/>
              <w:jc w:val="left"/>
              <w:rPr>
                <w:rFonts w:cs="Arial"/>
                <w:color w:val="000000"/>
                <w:sz w:val="16"/>
                <w:szCs w:val="16"/>
              </w:rPr>
            </w:pPr>
          </w:p>
        </w:tc>
        <w:tc>
          <w:tcPr>
            <w:tcW w:w="1984" w:type="dxa"/>
            <w:vAlign w:val="center"/>
          </w:tcPr>
          <w:p w14:paraId="2E2CA381" w14:textId="77777777" w:rsidR="00E40A8C" w:rsidRPr="00A76BED" w:rsidRDefault="00E40A8C" w:rsidP="00A76BED">
            <w:pPr>
              <w:spacing w:after="0" w:line="276" w:lineRule="auto"/>
              <w:jc w:val="left"/>
              <w:rPr>
                <w:rFonts w:cs="Arial"/>
                <w:color w:val="000000"/>
                <w:sz w:val="16"/>
                <w:szCs w:val="16"/>
              </w:rPr>
            </w:pPr>
          </w:p>
        </w:tc>
        <w:tc>
          <w:tcPr>
            <w:tcW w:w="2126" w:type="dxa"/>
            <w:vAlign w:val="center"/>
          </w:tcPr>
          <w:p w14:paraId="01895F30" w14:textId="77777777" w:rsidR="00E40A8C" w:rsidRPr="00A76BED" w:rsidRDefault="00E40A8C" w:rsidP="00A76BED">
            <w:pPr>
              <w:spacing w:after="0" w:line="276" w:lineRule="auto"/>
              <w:jc w:val="left"/>
              <w:rPr>
                <w:rFonts w:cs="Arial"/>
                <w:color w:val="000000"/>
                <w:sz w:val="16"/>
                <w:szCs w:val="16"/>
              </w:rPr>
            </w:pPr>
          </w:p>
        </w:tc>
      </w:tr>
      <w:tr w:rsidR="00E40A8C" w:rsidRPr="00A76BED" w14:paraId="09107DF1" w14:textId="77777777" w:rsidTr="00A76BED">
        <w:trPr>
          <w:cantSplit/>
          <w:trHeight w:val="227"/>
          <w:jc w:val="center"/>
        </w:trPr>
        <w:tc>
          <w:tcPr>
            <w:tcW w:w="4975" w:type="dxa"/>
            <w:shd w:val="clear" w:color="000000" w:fill="D5DCE4"/>
            <w:noWrap/>
            <w:vAlign w:val="center"/>
            <w:hideMark/>
          </w:tcPr>
          <w:p w14:paraId="66294EB7" w14:textId="77777777" w:rsidR="00E40A8C" w:rsidRPr="00A76BED" w:rsidRDefault="00E40A8C" w:rsidP="00A76BED">
            <w:pPr>
              <w:spacing w:after="0" w:line="276" w:lineRule="auto"/>
              <w:jc w:val="left"/>
              <w:rPr>
                <w:rFonts w:cs="Arial"/>
                <w:b/>
                <w:bCs/>
                <w:color w:val="000000"/>
                <w:sz w:val="16"/>
                <w:szCs w:val="16"/>
              </w:rPr>
            </w:pPr>
            <w:r w:rsidRPr="00A76BED">
              <w:rPr>
                <w:rFonts w:cs="Arial"/>
                <w:b/>
                <w:bCs/>
                <w:color w:val="000000"/>
                <w:sz w:val="16"/>
                <w:szCs w:val="16"/>
              </w:rPr>
              <w:t>Ισοζύγιο κατά ESA</w:t>
            </w:r>
          </w:p>
        </w:tc>
        <w:tc>
          <w:tcPr>
            <w:tcW w:w="1984" w:type="dxa"/>
            <w:shd w:val="clear" w:color="000000" w:fill="D5DCE4"/>
            <w:vAlign w:val="center"/>
          </w:tcPr>
          <w:p w14:paraId="59BDA1FA" w14:textId="0845A4E4" w:rsidR="00E40A8C" w:rsidRPr="00A76BED" w:rsidRDefault="00E40A8C" w:rsidP="00A76BED">
            <w:pPr>
              <w:spacing w:after="0" w:line="276" w:lineRule="auto"/>
              <w:jc w:val="right"/>
              <w:rPr>
                <w:rFonts w:cs="Arial"/>
                <w:b/>
                <w:bCs/>
                <w:color w:val="000000"/>
                <w:sz w:val="16"/>
                <w:szCs w:val="16"/>
              </w:rPr>
            </w:pPr>
            <w:r w:rsidRPr="00A76BED">
              <w:rPr>
                <w:rFonts w:cs="Arial"/>
                <w:b/>
                <w:bCs/>
                <w:color w:val="000000"/>
                <w:sz w:val="16"/>
                <w:szCs w:val="16"/>
              </w:rPr>
              <w:t>2.748</w:t>
            </w:r>
          </w:p>
        </w:tc>
        <w:tc>
          <w:tcPr>
            <w:tcW w:w="2126" w:type="dxa"/>
            <w:shd w:val="clear" w:color="000000" w:fill="D5DCE4"/>
            <w:vAlign w:val="center"/>
          </w:tcPr>
          <w:p w14:paraId="5AFBCDBC" w14:textId="3641FB96" w:rsidR="00E40A8C" w:rsidRPr="00A76BED" w:rsidRDefault="00E40A8C" w:rsidP="00A76BED">
            <w:pPr>
              <w:spacing w:after="0" w:line="276" w:lineRule="auto"/>
              <w:jc w:val="right"/>
              <w:rPr>
                <w:rFonts w:cs="Arial"/>
                <w:b/>
                <w:bCs/>
                <w:color w:val="000000"/>
                <w:sz w:val="16"/>
                <w:szCs w:val="16"/>
              </w:rPr>
            </w:pPr>
            <w:r w:rsidRPr="00A76BED">
              <w:rPr>
                <w:rFonts w:cs="Arial"/>
                <w:b/>
                <w:bCs/>
                <w:color w:val="000000"/>
                <w:sz w:val="16"/>
                <w:szCs w:val="16"/>
              </w:rPr>
              <w:t>2.912</w:t>
            </w:r>
          </w:p>
        </w:tc>
      </w:tr>
    </w:tbl>
    <w:p w14:paraId="09E49039" w14:textId="3FAE259E" w:rsidR="008D2891" w:rsidRPr="00380541" w:rsidRDefault="008D2891" w:rsidP="00300BBF">
      <w:pPr>
        <w:pStyle w:val="4"/>
      </w:pPr>
      <w:bookmarkStart w:id="391" w:name="_Νοσοκομεία_-_Πρωτοβάθμια"/>
      <w:bookmarkStart w:id="392" w:name="_Toc214473773"/>
      <w:bookmarkEnd w:id="391"/>
      <w:r w:rsidRPr="00380541">
        <w:t xml:space="preserve">Λοιπά Νομικά Πρόσωπα </w:t>
      </w:r>
      <w:r w:rsidR="00450D23">
        <w:t>Κεντρικής Κυβέρνησης</w:t>
      </w:r>
      <w:bookmarkEnd w:id="392"/>
    </w:p>
    <w:p w14:paraId="0ACBA57E" w14:textId="1E7691D5" w:rsidR="006D3389" w:rsidRDefault="006D3389" w:rsidP="006D3389">
      <w:pPr>
        <w:spacing w:after="240"/>
      </w:pPr>
      <w:r w:rsidRPr="0098356F">
        <w:t>Στον παρακάτω πίνακα (</w:t>
      </w:r>
      <w:r w:rsidR="007C1A48" w:rsidRPr="0098356F">
        <w:fldChar w:fldCharType="begin"/>
      </w:r>
      <w:r w:rsidR="007C1A48" w:rsidRPr="0098356F">
        <w:instrText xml:space="preserve"> REF _Ref214047713 \h  \* MERGEFORMAT </w:instrText>
      </w:r>
      <w:r w:rsidR="007C1A48" w:rsidRPr="0098356F">
        <w:fldChar w:fldCharType="separate"/>
      </w:r>
      <w:r w:rsidR="00E15678" w:rsidRPr="00E15678">
        <w:t>Πίνακας 3.19</w:t>
      </w:r>
      <w:r w:rsidR="007C1A48" w:rsidRPr="0098356F">
        <w:fldChar w:fldCharType="end"/>
      </w:r>
      <w:r w:rsidR="00CC4C3C" w:rsidRPr="0098356F">
        <w:t>.</w:t>
      </w:r>
      <w:r w:rsidRPr="0098356F">
        <w:t>)</w:t>
      </w:r>
      <w:r w:rsidRPr="004A1415">
        <w:t xml:space="preserve"> εμφανίζονται τα δημοσιονομικά αποτελέσματα (στόχοι) που αναμένεται να πετύχουν οι φορείς για </w:t>
      </w:r>
      <w:r w:rsidR="00E359A0">
        <w:t xml:space="preserve">έτη </w:t>
      </w:r>
      <w:r w:rsidRPr="004A1415">
        <w:t xml:space="preserve">2025 και 2026 καθώς και τα έσοδα και </w:t>
      </w:r>
      <w:r w:rsidR="00E359A0">
        <w:t xml:space="preserve">τα </w:t>
      </w:r>
      <w:r w:rsidRPr="004A1415">
        <w:t xml:space="preserve">έξοδα χρηματοοικονομικών και μη </w:t>
      </w:r>
      <w:r w:rsidR="00E359A0" w:rsidRPr="004A1415">
        <w:t xml:space="preserve">χρηματοοικονομικών </w:t>
      </w:r>
      <w:r w:rsidRPr="004A1415">
        <w:t>συναλλαγών για το 2026. Στα δημοσιονομικά αποτελέσματα (</w:t>
      </w:r>
      <w:r w:rsidR="005E1230">
        <w:t>ι</w:t>
      </w:r>
      <w:r w:rsidRPr="004A1415">
        <w:t xml:space="preserve">σοζύγιο κατά </w:t>
      </w:r>
      <w:r w:rsidRPr="004A1415">
        <w:rPr>
          <w:lang w:val="en-US"/>
        </w:rPr>
        <w:t>ESA</w:t>
      </w:r>
      <w:r w:rsidRPr="004A1415">
        <w:t>) περιλαμβάνονται οι προσαρμογές που αφορούν στη μεταβολή των απλήρωτων υποχρεώσεων καθώς και οι λοιπές εθνικολογιστικές προσαρμογές.</w:t>
      </w:r>
    </w:p>
    <w:tbl>
      <w:tblPr>
        <w:tblW w:w="9254" w:type="dxa"/>
        <w:jc w:val="center"/>
        <w:tblLook w:val="04A0" w:firstRow="1" w:lastRow="0" w:firstColumn="1" w:lastColumn="0" w:noHBand="0" w:noVBand="1"/>
      </w:tblPr>
      <w:tblGrid>
        <w:gridCol w:w="394"/>
        <w:gridCol w:w="2166"/>
        <w:gridCol w:w="1037"/>
        <w:gridCol w:w="1196"/>
        <w:gridCol w:w="1196"/>
        <w:gridCol w:w="873"/>
        <w:gridCol w:w="1196"/>
        <w:gridCol w:w="1196"/>
      </w:tblGrid>
      <w:tr w:rsidR="00A91D86" w:rsidRPr="00286D73" w14:paraId="6D1243FF" w14:textId="77777777" w:rsidTr="00A76BED">
        <w:trPr>
          <w:cantSplit/>
          <w:tblHeader/>
          <w:jc w:val="center"/>
        </w:trPr>
        <w:tc>
          <w:tcPr>
            <w:tcW w:w="9254" w:type="dxa"/>
            <w:gridSpan w:val="8"/>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tcPr>
          <w:p w14:paraId="66DAA5A9" w14:textId="2D2FFD97" w:rsidR="00A91D86" w:rsidRPr="00286D73" w:rsidRDefault="007C1A48" w:rsidP="004E665C">
            <w:pPr>
              <w:spacing w:after="0" w:line="276" w:lineRule="auto"/>
              <w:jc w:val="center"/>
              <w:rPr>
                <w:rFonts w:cs="Arial"/>
                <w:b/>
                <w:bCs/>
                <w:color w:val="000000"/>
                <w:sz w:val="18"/>
                <w:szCs w:val="16"/>
              </w:rPr>
            </w:pPr>
            <w:bookmarkStart w:id="393" w:name="_Ref214047713"/>
            <w:bookmarkStart w:id="394" w:name="_Toc214474057"/>
            <w:r w:rsidRPr="00286D73">
              <w:rPr>
                <w:rFonts w:cs="Arial"/>
                <w:b/>
                <w:sz w:val="18"/>
                <w:szCs w:val="16"/>
              </w:rPr>
              <w:t>Πίνακας 3.</w:t>
            </w:r>
            <w:r w:rsidRPr="00286D73">
              <w:rPr>
                <w:rFonts w:cs="Arial"/>
                <w:b/>
                <w:sz w:val="18"/>
                <w:szCs w:val="16"/>
              </w:rPr>
              <w:fldChar w:fldCharType="begin"/>
            </w:r>
            <w:r w:rsidRPr="00286D73">
              <w:rPr>
                <w:rFonts w:cs="Arial"/>
                <w:b/>
                <w:sz w:val="18"/>
                <w:szCs w:val="16"/>
              </w:rPr>
              <w:instrText xml:space="preserve"> SEQ Πίνακας_3. \* ARABIC </w:instrText>
            </w:r>
            <w:r w:rsidRPr="00286D73">
              <w:rPr>
                <w:rFonts w:cs="Arial"/>
                <w:b/>
                <w:sz w:val="18"/>
                <w:szCs w:val="16"/>
              </w:rPr>
              <w:fldChar w:fldCharType="separate"/>
            </w:r>
            <w:r w:rsidR="00E15678">
              <w:rPr>
                <w:rFonts w:cs="Arial"/>
                <w:b/>
                <w:noProof/>
                <w:sz w:val="18"/>
                <w:szCs w:val="16"/>
              </w:rPr>
              <w:t>19</w:t>
            </w:r>
            <w:r w:rsidRPr="00286D73">
              <w:rPr>
                <w:rFonts w:cs="Arial"/>
                <w:b/>
                <w:sz w:val="18"/>
                <w:szCs w:val="16"/>
              </w:rPr>
              <w:fldChar w:fldCharType="end"/>
            </w:r>
            <w:bookmarkEnd w:id="393"/>
            <w:r w:rsidR="00A91D86" w:rsidRPr="00286D73">
              <w:rPr>
                <w:rFonts w:cs="Arial"/>
                <w:b/>
                <w:bCs/>
                <w:color w:val="000000"/>
                <w:sz w:val="18"/>
                <w:szCs w:val="16"/>
              </w:rPr>
              <w:t xml:space="preserve">.: </w:t>
            </w:r>
            <w:r w:rsidR="00E24A82" w:rsidRPr="00286D73">
              <w:rPr>
                <w:rFonts w:cs="Arial"/>
                <w:b/>
                <w:bCs/>
                <w:color w:val="000000"/>
                <w:sz w:val="18"/>
                <w:szCs w:val="16"/>
              </w:rPr>
              <w:t xml:space="preserve">Μεγέθη συνοπτικών προϋπολογισμών και ισοζύγιο λοιπών </w:t>
            </w:r>
            <w:r w:rsidR="00A91D86" w:rsidRPr="00286D73">
              <w:rPr>
                <w:rFonts w:cs="Arial"/>
                <w:b/>
                <w:bCs/>
                <w:color w:val="000000"/>
                <w:sz w:val="18"/>
                <w:szCs w:val="16"/>
              </w:rPr>
              <w:t>νομικών προσώπων Κεντρικής Κυβέρνησης</w:t>
            </w:r>
            <w:r w:rsidR="00E24A82" w:rsidRPr="00286D73">
              <w:rPr>
                <w:rFonts w:cs="Arial"/>
                <w:b/>
                <w:bCs/>
                <w:color w:val="000000"/>
                <w:sz w:val="18"/>
                <w:szCs w:val="16"/>
              </w:rPr>
              <w:t xml:space="preserve"> </w:t>
            </w:r>
            <w:r w:rsidR="00A91D86" w:rsidRPr="00286D73">
              <w:rPr>
                <w:rFonts w:cs="Arial"/>
                <w:b/>
                <w:bCs/>
                <w:color w:val="000000"/>
                <w:sz w:val="18"/>
                <w:szCs w:val="16"/>
              </w:rPr>
              <w:t>(εκτός ΑΔΑ και ΑΚΑΓΕ) ανά Υπουργείο</w:t>
            </w:r>
            <w:r w:rsidR="004E665C" w:rsidRPr="00286D73">
              <w:rPr>
                <w:rFonts w:cs="Arial"/>
                <w:b/>
                <w:bCs/>
                <w:color w:val="000000"/>
                <w:sz w:val="18"/>
                <w:szCs w:val="16"/>
              </w:rPr>
              <w:t xml:space="preserve"> </w:t>
            </w:r>
            <w:r w:rsidR="00A91D86" w:rsidRPr="00286D73">
              <w:rPr>
                <w:rFonts w:cs="Arial"/>
                <w:b/>
                <w:bCs/>
                <w:color w:val="000000"/>
                <w:sz w:val="18"/>
                <w:szCs w:val="16"/>
              </w:rPr>
              <w:t>(σε εκατ. ευρώ)</w:t>
            </w:r>
            <w:bookmarkEnd w:id="394"/>
          </w:p>
        </w:tc>
      </w:tr>
      <w:tr w:rsidR="00A91D86" w:rsidRPr="00A76BED" w14:paraId="4CCDC5BA" w14:textId="77777777" w:rsidTr="00DA6D5E">
        <w:trPr>
          <w:cantSplit/>
          <w:tblHeader/>
          <w:jc w:val="center"/>
        </w:trPr>
        <w:tc>
          <w:tcPr>
            <w:tcW w:w="394" w:type="dxa"/>
            <w:tcBorders>
              <w:top w:val="single" w:sz="2" w:space="0" w:color="A6A6A6" w:themeColor="background1" w:themeShade="A6"/>
              <w:left w:val="single" w:sz="2" w:space="0" w:color="A6A6A6" w:themeColor="background1" w:themeShade="A6"/>
            </w:tcBorders>
            <w:shd w:val="clear" w:color="000000" w:fill="F2F2F2"/>
            <w:vAlign w:val="center"/>
          </w:tcPr>
          <w:p w14:paraId="6B865639" w14:textId="6D2705F9" w:rsidR="00A91D86" w:rsidRPr="00286D73" w:rsidRDefault="00A91D86" w:rsidP="00AF1D22">
            <w:pPr>
              <w:spacing w:after="0" w:line="240" w:lineRule="auto"/>
              <w:jc w:val="center"/>
              <w:rPr>
                <w:rFonts w:cs="Arial"/>
                <w:b/>
                <w:bCs/>
                <w:color w:val="000000"/>
                <w:sz w:val="16"/>
                <w:szCs w:val="16"/>
              </w:rPr>
            </w:pPr>
          </w:p>
        </w:tc>
        <w:tc>
          <w:tcPr>
            <w:tcW w:w="2166" w:type="dxa"/>
            <w:tcBorders>
              <w:top w:val="single" w:sz="2" w:space="0" w:color="A6A6A6" w:themeColor="background1" w:themeShade="A6"/>
              <w:right w:val="single" w:sz="2" w:space="0" w:color="A6A6A6" w:themeColor="background1" w:themeShade="A6"/>
            </w:tcBorders>
            <w:shd w:val="clear" w:color="000000" w:fill="F2F2F2"/>
            <w:vAlign w:val="center"/>
          </w:tcPr>
          <w:p w14:paraId="1BA6B595" w14:textId="1EC5377C" w:rsidR="00A91D86" w:rsidRPr="00286D73" w:rsidRDefault="00A91D86" w:rsidP="00AF1D22">
            <w:pPr>
              <w:spacing w:after="0" w:line="240" w:lineRule="auto"/>
              <w:jc w:val="left"/>
              <w:rPr>
                <w:rFonts w:cs="Arial"/>
                <w:b/>
                <w:bCs/>
                <w:color w:val="000000"/>
                <w:sz w:val="16"/>
                <w:szCs w:val="16"/>
              </w:rPr>
            </w:pPr>
          </w:p>
        </w:tc>
        <w:tc>
          <w:tcPr>
            <w:tcW w:w="1037" w:type="dxa"/>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000000" w:fill="F2F2F2"/>
            <w:noWrap/>
            <w:vAlign w:val="center"/>
            <w:hideMark/>
          </w:tcPr>
          <w:p w14:paraId="6590C5C1" w14:textId="77777777" w:rsidR="00A91D86" w:rsidRPr="00286D73" w:rsidRDefault="00A91D86" w:rsidP="00AF1D22">
            <w:pPr>
              <w:spacing w:after="0" w:line="240" w:lineRule="auto"/>
              <w:jc w:val="center"/>
              <w:rPr>
                <w:rFonts w:cs="Arial"/>
                <w:b/>
                <w:bCs/>
                <w:color w:val="000000"/>
                <w:sz w:val="16"/>
                <w:szCs w:val="16"/>
              </w:rPr>
            </w:pPr>
            <w:r w:rsidRPr="00286D73">
              <w:rPr>
                <w:rFonts w:cs="Arial"/>
                <w:b/>
                <w:bCs/>
                <w:color w:val="000000"/>
                <w:sz w:val="16"/>
                <w:szCs w:val="16"/>
              </w:rPr>
              <w:t>2025</w:t>
            </w:r>
          </w:p>
        </w:tc>
        <w:tc>
          <w:tcPr>
            <w:tcW w:w="5657" w:type="dxa"/>
            <w:gridSpan w:val="5"/>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000000" w:fill="F2F2F2"/>
            <w:noWrap/>
            <w:vAlign w:val="center"/>
            <w:hideMark/>
          </w:tcPr>
          <w:p w14:paraId="7DFF78E4" w14:textId="77777777" w:rsidR="00A91D86" w:rsidRPr="00A76BED" w:rsidRDefault="00A91D86" w:rsidP="00AF1D22">
            <w:pPr>
              <w:spacing w:after="0" w:line="240" w:lineRule="auto"/>
              <w:jc w:val="center"/>
              <w:rPr>
                <w:rFonts w:cs="Arial"/>
                <w:b/>
                <w:bCs/>
                <w:color w:val="000000"/>
                <w:sz w:val="16"/>
                <w:szCs w:val="16"/>
              </w:rPr>
            </w:pPr>
            <w:r w:rsidRPr="00286D73">
              <w:rPr>
                <w:rFonts w:cs="Arial"/>
                <w:b/>
                <w:bCs/>
                <w:color w:val="000000"/>
                <w:sz w:val="16"/>
                <w:szCs w:val="16"/>
              </w:rPr>
              <w:t>2026</w:t>
            </w:r>
          </w:p>
        </w:tc>
      </w:tr>
      <w:tr w:rsidR="00A91D86" w:rsidRPr="00A76BED" w14:paraId="5F85A369" w14:textId="77777777" w:rsidTr="00DA6D5E">
        <w:trPr>
          <w:cantSplit/>
          <w:tblHeader/>
          <w:jc w:val="center"/>
        </w:trPr>
        <w:tc>
          <w:tcPr>
            <w:tcW w:w="394" w:type="dxa"/>
            <w:tcBorders>
              <w:left w:val="single" w:sz="2" w:space="0" w:color="A6A6A6" w:themeColor="background1" w:themeShade="A6"/>
            </w:tcBorders>
            <w:shd w:val="clear" w:color="000000" w:fill="F2F2F2"/>
            <w:vAlign w:val="center"/>
          </w:tcPr>
          <w:p w14:paraId="0D275700" w14:textId="0D1D0976" w:rsidR="00A91D86" w:rsidRPr="00A76BED" w:rsidRDefault="00A91D86" w:rsidP="00AF1D22">
            <w:pPr>
              <w:spacing w:after="0" w:line="240" w:lineRule="auto"/>
              <w:jc w:val="center"/>
              <w:rPr>
                <w:rFonts w:cs="Arial"/>
                <w:b/>
                <w:bCs/>
                <w:color w:val="000000"/>
                <w:sz w:val="16"/>
                <w:szCs w:val="16"/>
              </w:rPr>
            </w:pPr>
          </w:p>
        </w:tc>
        <w:tc>
          <w:tcPr>
            <w:tcW w:w="2166" w:type="dxa"/>
            <w:tcBorders>
              <w:right w:val="single" w:sz="2" w:space="0" w:color="A6A6A6" w:themeColor="background1" w:themeShade="A6"/>
            </w:tcBorders>
            <w:shd w:val="clear" w:color="000000" w:fill="F2F2F2"/>
            <w:vAlign w:val="center"/>
          </w:tcPr>
          <w:p w14:paraId="39415A17" w14:textId="0EEE5FB3" w:rsidR="00A91D86" w:rsidRPr="00A76BED" w:rsidRDefault="00A91D86" w:rsidP="00AF1D22">
            <w:pPr>
              <w:spacing w:after="0" w:line="240" w:lineRule="auto"/>
              <w:jc w:val="left"/>
              <w:rPr>
                <w:rFonts w:cs="Arial"/>
                <w:b/>
                <w:bCs/>
                <w:color w:val="000000"/>
                <w:sz w:val="16"/>
                <w:szCs w:val="16"/>
              </w:rPr>
            </w:pPr>
          </w:p>
        </w:tc>
        <w:tc>
          <w:tcPr>
            <w:tcW w:w="1037" w:type="dxa"/>
            <w:tcBorders>
              <w:left w:val="single" w:sz="2" w:space="0" w:color="A6A6A6" w:themeColor="background1" w:themeShade="A6"/>
              <w:right w:val="single" w:sz="2" w:space="0" w:color="A6A6A6" w:themeColor="background1" w:themeShade="A6"/>
            </w:tcBorders>
            <w:shd w:val="clear" w:color="000000" w:fill="F2F2F2"/>
            <w:noWrap/>
            <w:vAlign w:val="center"/>
            <w:hideMark/>
          </w:tcPr>
          <w:p w14:paraId="1B29FBF3" w14:textId="77777777" w:rsidR="00A91D86" w:rsidRPr="00A76BED" w:rsidRDefault="00A91D86" w:rsidP="00AF1D22">
            <w:pPr>
              <w:spacing w:after="0" w:line="240" w:lineRule="auto"/>
              <w:jc w:val="center"/>
              <w:rPr>
                <w:rFonts w:cs="Arial"/>
                <w:b/>
                <w:bCs/>
                <w:color w:val="000000"/>
                <w:sz w:val="16"/>
                <w:szCs w:val="16"/>
              </w:rPr>
            </w:pPr>
            <w:r w:rsidRPr="00A76BED">
              <w:rPr>
                <w:rFonts w:cs="Arial"/>
                <w:b/>
                <w:bCs/>
                <w:color w:val="000000"/>
                <w:sz w:val="16"/>
                <w:szCs w:val="16"/>
              </w:rPr>
              <w:t>Εκτιμήσεις</w:t>
            </w:r>
          </w:p>
        </w:tc>
        <w:tc>
          <w:tcPr>
            <w:tcW w:w="5657" w:type="dxa"/>
            <w:gridSpan w:val="5"/>
            <w:tcBorders>
              <w:left w:val="single" w:sz="2" w:space="0" w:color="A6A6A6" w:themeColor="background1" w:themeShade="A6"/>
              <w:right w:val="single" w:sz="2" w:space="0" w:color="A6A6A6" w:themeColor="background1" w:themeShade="A6"/>
            </w:tcBorders>
            <w:shd w:val="clear" w:color="000000" w:fill="F2F2F2"/>
            <w:noWrap/>
            <w:vAlign w:val="center"/>
            <w:hideMark/>
          </w:tcPr>
          <w:p w14:paraId="34B359B7" w14:textId="77777777" w:rsidR="00A91D86" w:rsidRPr="00A76BED" w:rsidRDefault="00A91D86" w:rsidP="00AF1D22">
            <w:pPr>
              <w:spacing w:after="0" w:line="240" w:lineRule="auto"/>
              <w:jc w:val="center"/>
              <w:rPr>
                <w:rFonts w:cs="Arial"/>
                <w:b/>
                <w:bCs/>
                <w:color w:val="000000"/>
                <w:sz w:val="16"/>
                <w:szCs w:val="16"/>
              </w:rPr>
            </w:pPr>
            <w:r w:rsidRPr="00A76BED">
              <w:rPr>
                <w:rFonts w:cs="Arial"/>
                <w:b/>
                <w:bCs/>
                <w:color w:val="000000"/>
                <w:sz w:val="16"/>
                <w:szCs w:val="16"/>
              </w:rPr>
              <w:t>Προβλέψεις</w:t>
            </w:r>
          </w:p>
        </w:tc>
      </w:tr>
      <w:tr w:rsidR="00A91D86" w:rsidRPr="00A76BED" w14:paraId="39ECBF77" w14:textId="77777777" w:rsidTr="00AF1D22">
        <w:trPr>
          <w:cantSplit/>
          <w:trHeight w:val="340"/>
          <w:tblHeader/>
          <w:jc w:val="center"/>
        </w:trPr>
        <w:tc>
          <w:tcPr>
            <w:tcW w:w="394" w:type="dxa"/>
            <w:tcBorders>
              <w:left w:val="single" w:sz="2" w:space="0" w:color="A6A6A6" w:themeColor="background1" w:themeShade="A6"/>
              <w:bottom w:val="single" w:sz="2" w:space="0" w:color="A6A6A6" w:themeColor="background1" w:themeShade="A6"/>
            </w:tcBorders>
            <w:shd w:val="clear" w:color="000000" w:fill="F2F2F2"/>
            <w:vAlign w:val="center"/>
          </w:tcPr>
          <w:p w14:paraId="24DADC7F" w14:textId="2E00ABD7" w:rsidR="00A91D86" w:rsidRPr="00A76BED" w:rsidRDefault="00A91D86" w:rsidP="00AF1D22">
            <w:pPr>
              <w:spacing w:after="0" w:line="240" w:lineRule="auto"/>
              <w:jc w:val="center"/>
              <w:rPr>
                <w:rFonts w:cs="Arial"/>
                <w:b/>
                <w:bCs/>
                <w:color w:val="000000"/>
                <w:sz w:val="16"/>
                <w:szCs w:val="16"/>
              </w:rPr>
            </w:pPr>
          </w:p>
        </w:tc>
        <w:tc>
          <w:tcPr>
            <w:tcW w:w="2166" w:type="dxa"/>
            <w:tcBorders>
              <w:bottom w:val="single" w:sz="2" w:space="0" w:color="A6A6A6" w:themeColor="background1" w:themeShade="A6"/>
              <w:right w:val="single" w:sz="2" w:space="0" w:color="A6A6A6" w:themeColor="background1" w:themeShade="A6"/>
            </w:tcBorders>
            <w:shd w:val="clear" w:color="000000" w:fill="F2F2F2"/>
            <w:vAlign w:val="center"/>
          </w:tcPr>
          <w:p w14:paraId="7B49B672" w14:textId="69DA0CB9" w:rsidR="00A91D86" w:rsidRPr="00A76BED" w:rsidRDefault="00A91D86" w:rsidP="00AF1D22">
            <w:pPr>
              <w:spacing w:after="0" w:line="240" w:lineRule="auto"/>
              <w:jc w:val="left"/>
              <w:rPr>
                <w:rFonts w:cs="Arial"/>
                <w:b/>
                <w:bCs/>
                <w:color w:val="000000"/>
                <w:sz w:val="16"/>
                <w:szCs w:val="16"/>
              </w:rPr>
            </w:pPr>
          </w:p>
        </w:tc>
        <w:tc>
          <w:tcPr>
            <w:tcW w:w="1037"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2F2F2"/>
            <w:vAlign w:val="center"/>
            <w:hideMark/>
          </w:tcPr>
          <w:p w14:paraId="55E92A19" w14:textId="77777777" w:rsidR="00A91D86" w:rsidRPr="00A76BED" w:rsidRDefault="00A91D86" w:rsidP="00AF1D22">
            <w:pPr>
              <w:spacing w:after="0" w:line="240" w:lineRule="auto"/>
              <w:jc w:val="center"/>
              <w:rPr>
                <w:rFonts w:cs="Arial"/>
                <w:b/>
                <w:bCs/>
                <w:color w:val="000000"/>
                <w:sz w:val="16"/>
                <w:szCs w:val="16"/>
              </w:rPr>
            </w:pPr>
            <w:r w:rsidRPr="00A76BED">
              <w:rPr>
                <w:rFonts w:cs="Arial"/>
                <w:b/>
                <w:bCs/>
                <w:color w:val="000000"/>
                <w:sz w:val="16"/>
                <w:szCs w:val="16"/>
              </w:rPr>
              <w:t>Ισοζύγιο κατά ESA</w:t>
            </w:r>
            <w:r w:rsidRPr="00A76BED">
              <w:rPr>
                <w:rFonts w:cs="Arial"/>
                <w:b/>
                <w:bCs/>
                <w:color w:val="000000"/>
                <w:sz w:val="16"/>
                <w:szCs w:val="16"/>
                <w:vertAlign w:val="superscript"/>
              </w:rPr>
              <w:t>1</w:t>
            </w:r>
          </w:p>
        </w:tc>
        <w:tc>
          <w:tcPr>
            <w:tcW w:w="1196" w:type="dxa"/>
            <w:tcBorders>
              <w:left w:val="single" w:sz="2" w:space="0" w:color="A6A6A6" w:themeColor="background1" w:themeShade="A6"/>
              <w:bottom w:val="single" w:sz="2" w:space="0" w:color="A6A6A6" w:themeColor="background1" w:themeShade="A6"/>
            </w:tcBorders>
            <w:shd w:val="clear" w:color="000000" w:fill="F2F2F2"/>
            <w:vAlign w:val="center"/>
            <w:hideMark/>
          </w:tcPr>
          <w:p w14:paraId="6D00F67E" w14:textId="77777777" w:rsidR="00A91D86" w:rsidRPr="00A76BED" w:rsidRDefault="00A91D86" w:rsidP="00AF1D22">
            <w:pPr>
              <w:spacing w:after="0" w:line="240" w:lineRule="auto"/>
              <w:jc w:val="center"/>
              <w:rPr>
                <w:rFonts w:cs="Arial"/>
                <w:b/>
                <w:bCs/>
                <w:color w:val="000000"/>
                <w:sz w:val="16"/>
                <w:szCs w:val="16"/>
              </w:rPr>
            </w:pPr>
            <w:r w:rsidRPr="00A76BED">
              <w:rPr>
                <w:rFonts w:cs="Arial"/>
                <w:b/>
                <w:bCs/>
                <w:color w:val="000000"/>
                <w:sz w:val="16"/>
                <w:szCs w:val="16"/>
              </w:rPr>
              <w:t>Έσοδα μη χρημ/κών συναλλαγών</w:t>
            </w:r>
            <w:r w:rsidRPr="00A76BED">
              <w:rPr>
                <w:rFonts w:cs="Arial"/>
                <w:b/>
                <w:bCs/>
                <w:color w:val="000000"/>
                <w:sz w:val="16"/>
                <w:szCs w:val="16"/>
              </w:rPr>
              <w:br/>
            </w:r>
            <w:r w:rsidRPr="00A76BED">
              <w:rPr>
                <w:rFonts w:cs="Arial"/>
                <w:i/>
                <w:iCs/>
                <w:color w:val="000000"/>
                <w:sz w:val="16"/>
                <w:szCs w:val="16"/>
              </w:rPr>
              <w:t xml:space="preserve"> </w:t>
            </w:r>
          </w:p>
        </w:tc>
        <w:tc>
          <w:tcPr>
            <w:tcW w:w="1196" w:type="dxa"/>
            <w:tcBorders>
              <w:bottom w:val="single" w:sz="2" w:space="0" w:color="A6A6A6" w:themeColor="background1" w:themeShade="A6"/>
            </w:tcBorders>
            <w:shd w:val="clear" w:color="000000" w:fill="F2F2F2"/>
            <w:vAlign w:val="center"/>
            <w:hideMark/>
          </w:tcPr>
          <w:p w14:paraId="58FD31D0" w14:textId="77777777" w:rsidR="00A91D86" w:rsidRPr="00A76BED" w:rsidRDefault="00A91D86" w:rsidP="00AF1D22">
            <w:pPr>
              <w:spacing w:after="0" w:line="240" w:lineRule="auto"/>
              <w:jc w:val="center"/>
              <w:rPr>
                <w:rFonts w:cs="Arial"/>
                <w:b/>
                <w:bCs/>
                <w:color w:val="000000"/>
                <w:sz w:val="16"/>
                <w:szCs w:val="16"/>
              </w:rPr>
            </w:pPr>
            <w:r w:rsidRPr="00A76BED">
              <w:rPr>
                <w:rFonts w:cs="Arial"/>
                <w:b/>
                <w:bCs/>
                <w:color w:val="000000"/>
                <w:sz w:val="16"/>
                <w:szCs w:val="16"/>
              </w:rPr>
              <w:t>Έξοδα μη χρημ/κών συναλλαγών</w:t>
            </w:r>
          </w:p>
        </w:tc>
        <w:tc>
          <w:tcPr>
            <w:tcW w:w="873" w:type="dxa"/>
            <w:tcBorders>
              <w:bottom w:val="single" w:sz="2" w:space="0" w:color="A6A6A6" w:themeColor="background1" w:themeShade="A6"/>
            </w:tcBorders>
            <w:shd w:val="clear" w:color="000000" w:fill="F2F2F2"/>
            <w:vAlign w:val="center"/>
            <w:hideMark/>
          </w:tcPr>
          <w:p w14:paraId="046CE417" w14:textId="77777777" w:rsidR="00A91D86" w:rsidRPr="00A76BED" w:rsidRDefault="00A91D86" w:rsidP="00AF1D22">
            <w:pPr>
              <w:spacing w:after="0" w:line="240" w:lineRule="auto"/>
              <w:jc w:val="center"/>
              <w:rPr>
                <w:rFonts w:cs="Arial"/>
                <w:b/>
                <w:bCs/>
                <w:color w:val="000000"/>
                <w:sz w:val="16"/>
                <w:szCs w:val="16"/>
              </w:rPr>
            </w:pPr>
            <w:r w:rsidRPr="00A76BED">
              <w:rPr>
                <w:rFonts w:cs="Arial"/>
                <w:b/>
                <w:bCs/>
                <w:color w:val="000000"/>
                <w:sz w:val="16"/>
                <w:szCs w:val="16"/>
              </w:rPr>
              <w:t>Ισοζύγιο κατά ESA</w:t>
            </w:r>
            <w:r w:rsidRPr="00A76BED">
              <w:rPr>
                <w:rFonts w:cs="Arial"/>
                <w:b/>
                <w:bCs/>
                <w:color w:val="000000"/>
                <w:sz w:val="16"/>
                <w:szCs w:val="16"/>
                <w:vertAlign w:val="superscript"/>
              </w:rPr>
              <w:t>1</w:t>
            </w:r>
          </w:p>
        </w:tc>
        <w:tc>
          <w:tcPr>
            <w:tcW w:w="1196" w:type="dxa"/>
            <w:tcBorders>
              <w:bottom w:val="single" w:sz="2" w:space="0" w:color="A6A6A6" w:themeColor="background1" w:themeShade="A6"/>
            </w:tcBorders>
            <w:shd w:val="clear" w:color="000000" w:fill="F2F2F2"/>
            <w:vAlign w:val="center"/>
            <w:hideMark/>
          </w:tcPr>
          <w:p w14:paraId="6076EC91" w14:textId="77777777" w:rsidR="00A91D86" w:rsidRPr="00A76BED" w:rsidRDefault="00A91D86" w:rsidP="00AF1D22">
            <w:pPr>
              <w:spacing w:after="0" w:line="240" w:lineRule="auto"/>
              <w:jc w:val="center"/>
              <w:rPr>
                <w:rFonts w:cs="Arial"/>
                <w:b/>
                <w:bCs/>
                <w:color w:val="000000"/>
                <w:sz w:val="16"/>
                <w:szCs w:val="16"/>
              </w:rPr>
            </w:pPr>
            <w:r w:rsidRPr="00A76BED">
              <w:rPr>
                <w:rFonts w:cs="Arial"/>
                <w:b/>
                <w:bCs/>
                <w:color w:val="000000"/>
                <w:sz w:val="16"/>
                <w:szCs w:val="16"/>
              </w:rPr>
              <w:t>Έσοδα χρημ/κών συναλλαγών</w:t>
            </w:r>
          </w:p>
        </w:tc>
        <w:tc>
          <w:tcPr>
            <w:tcW w:w="1196" w:type="dxa"/>
            <w:tcBorders>
              <w:bottom w:val="single" w:sz="2" w:space="0" w:color="A6A6A6" w:themeColor="background1" w:themeShade="A6"/>
              <w:right w:val="single" w:sz="2" w:space="0" w:color="A6A6A6" w:themeColor="background1" w:themeShade="A6"/>
            </w:tcBorders>
            <w:shd w:val="clear" w:color="000000" w:fill="F2F2F2"/>
            <w:vAlign w:val="center"/>
            <w:hideMark/>
          </w:tcPr>
          <w:p w14:paraId="4D5E68F1" w14:textId="0484FA26" w:rsidR="00A91D86" w:rsidRPr="00A76BED" w:rsidRDefault="00A91D86" w:rsidP="00AF1D22">
            <w:pPr>
              <w:spacing w:after="0" w:line="240" w:lineRule="auto"/>
              <w:jc w:val="center"/>
              <w:rPr>
                <w:rFonts w:cs="Arial"/>
                <w:b/>
                <w:bCs/>
                <w:color w:val="000000"/>
                <w:sz w:val="16"/>
                <w:szCs w:val="16"/>
              </w:rPr>
            </w:pPr>
            <w:r w:rsidRPr="00A76BED">
              <w:rPr>
                <w:rFonts w:cs="Arial"/>
                <w:b/>
                <w:bCs/>
                <w:color w:val="000000"/>
                <w:sz w:val="16"/>
                <w:szCs w:val="16"/>
              </w:rPr>
              <w:t>Έξοδα χρημ/κών συναλλαγών</w:t>
            </w:r>
          </w:p>
        </w:tc>
      </w:tr>
      <w:tr w:rsidR="00A91D86" w:rsidRPr="00A76BED" w14:paraId="3482F4FB" w14:textId="77777777" w:rsidTr="00DA6D5E">
        <w:trPr>
          <w:cantSplit/>
          <w:jc w:val="center"/>
        </w:trPr>
        <w:tc>
          <w:tcPr>
            <w:tcW w:w="394" w:type="dxa"/>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000000" w:fill="D5DCE4"/>
            <w:vAlign w:val="center"/>
            <w:hideMark/>
          </w:tcPr>
          <w:p w14:paraId="4A7A10DF"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w:t>
            </w:r>
          </w:p>
        </w:tc>
        <w:tc>
          <w:tcPr>
            <w:tcW w:w="2166" w:type="dxa"/>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000000" w:fill="D5DCE4"/>
            <w:vAlign w:val="center"/>
            <w:hideMark/>
          </w:tcPr>
          <w:p w14:paraId="47E61048"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Προεδρία της Κυβέρνησης</w:t>
            </w:r>
          </w:p>
        </w:tc>
        <w:tc>
          <w:tcPr>
            <w:tcW w:w="1037" w:type="dxa"/>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000000" w:fill="D5DCE4"/>
            <w:vAlign w:val="center"/>
            <w:hideMark/>
          </w:tcPr>
          <w:p w14:paraId="600B68C1"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23</w:t>
            </w:r>
          </w:p>
        </w:tc>
        <w:tc>
          <w:tcPr>
            <w:tcW w:w="1196" w:type="dxa"/>
            <w:tcBorders>
              <w:top w:val="single" w:sz="2" w:space="0" w:color="A6A6A6" w:themeColor="background1" w:themeShade="A6"/>
              <w:left w:val="single" w:sz="2" w:space="0" w:color="A6A6A6" w:themeColor="background1" w:themeShade="A6"/>
            </w:tcBorders>
            <w:shd w:val="clear" w:color="000000" w:fill="D5DCE4"/>
            <w:vAlign w:val="center"/>
            <w:hideMark/>
          </w:tcPr>
          <w:p w14:paraId="30BEA2B5"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260</w:t>
            </w:r>
          </w:p>
        </w:tc>
        <w:tc>
          <w:tcPr>
            <w:tcW w:w="1196" w:type="dxa"/>
            <w:tcBorders>
              <w:top w:val="single" w:sz="2" w:space="0" w:color="A6A6A6" w:themeColor="background1" w:themeShade="A6"/>
            </w:tcBorders>
            <w:shd w:val="clear" w:color="000000" w:fill="D5DCE4"/>
            <w:vAlign w:val="center"/>
            <w:hideMark/>
          </w:tcPr>
          <w:p w14:paraId="1C74D77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253</w:t>
            </w:r>
          </w:p>
        </w:tc>
        <w:tc>
          <w:tcPr>
            <w:tcW w:w="873" w:type="dxa"/>
            <w:tcBorders>
              <w:top w:val="single" w:sz="2" w:space="0" w:color="A6A6A6" w:themeColor="background1" w:themeShade="A6"/>
            </w:tcBorders>
            <w:shd w:val="clear" w:color="000000" w:fill="D5DCE4"/>
            <w:vAlign w:val="center"/>
            <w:hideMark/>
          </w:tcPr>
          <w:p w14:paraId="497BB92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7</w:t>
            </w:r>
          </w:p>
        </w:tc>
        <w:tc>
          <w:tcPr>
            <w:tcW w:w="1196" w:type="dxa"/>
            <w:tcBorders>
              <w:top w:val="single" w:sz="2" w:space="0" w:color="A6A6A6" w:themeColor="background1" w:themeShade="A6"/>
            </w:tcBorders>
            <w:shd w:val="clear" w:color="000000" w:fill="D5DCE4"/>
            <w:vAlign w:val="center"/>
            <w:hideMark/>
          </w:tcPr>
          <w:p w14:paraId="2A7B6989"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tcBorders>
              <w:top w:val="single" w:sz="2" w:space="0" w:color="A6A6A6" w:themeColor="background1" w:themeShade="A6"/>
              <w:right w:val="single" w:sz="2" w:space="0" w:color="A6A6A6" w:themeColor="background1" w:themeShade="A6"/>
            </w:tcBorders>
            <w:shd w:val="clear" w:color="000000" w:fill="D5DCE4"/>
            <w:vAlign w:val="center"/>
            <w:hideMark/>
          </w:tcPr>
          <w:p w14:paraId="5B8C681D"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r>
      <w:tr w:rsidR="00A91D86" w:rsidRPr="00A76BED" w14:paraId="6B0A1352"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1EFD0FDC" w14:textId="69F3A4F6"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6D563A1E"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200090E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left w:val="single" w:sz="2" w:space="0" w:color="A6A6A6" w:themeColor="background1" w:themeShade="A6"/>
            </w:tcBorders>
            <w:shd w:val="clear" w:color="auto" w:fill="auto"/>
            <w:vAlign w:val="center"/>
            <w:hideMark/>
          </w:tcPr>
          <w:p w14:paraId="50C2C48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shd w:val="clear" w:color="auto" w:fill="auto"/>
            <w:vAlign w:val="center"/>
            <w:hideMark/>
          </w:tcPr>
          <w:p w14:paraId="5AF96E9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873" w:type="dxa"/>
            <w:shd w:val="clear" w:color="auto" w:fill="auto"/>
            <w:vAlign w:val="center"/>
            <w:hideMark/>
          </w:tcPr>
          <w:p w14:paraId="2E15708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shd w:val="clear" w:color="auto" w:fill="auto"/>
            <w:vAlign w:val="center"/>
            <w:hideMark/>
          </w:tcPr>
          <w:p w14:paraId="0789B4D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shd w:val="clear" w:color="auto" w:fill="auto"/>
            <w:vAlign w:val="center"/>
            <w:hideMark/>
          </w:tcPr>
          <w:p w14:paraId="48EA995B"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43803C17"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7C9413C4" w14:textId="430C5206"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57C74475"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129A18E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23</w:t>
            </w:r>
          </w:p>
        </w:tc>
        <w:tc>
          <w:tcPr>
            <w:tcW w:w="1196" w:type="dxa"/>
            <w:tcBorders>
              <w:left w:val="single" w:sz="2" w:space="0" w:color="A6A6A6" w:themeColor="background1" w:themeShade="A6"/>
            </w:tcBorders>
            <w:shd w:val="clear" w:color="auto" w:fill="auto"/>
            <w:vAlign w:val="center"/>
            <w:hideMark/>
          </w:tcPr>
          <w:p w14:paraId="3CB9BB3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260</w:t>
            </w:r>
          </w:p>
        </w:tc>
        <w:tc>
          <w:tcPr>
            <w:tcW w:w="1196" w:type="dxa"/>
            <w:shd w:val="clear" w:color="auto" w:fill="auto"/>
            <w:vAlign w:val="center"/>
            <w:hideMark/>
          </w:tcPr>
          <w:p w14:paraId="3C51204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253</w:t>
            </w:r>
          </w:p>
        </w:tc>
        <w:tc>
          <w:tcPr>
            <w:tcW w:w="873" w:type="dxa"/>
            <w:shd w:val="clear" w:color="auto" w:fill="auto"/>
            <w:vAlign w:val="center"/>
            <w:hideMark/>
          </w:tcPr>
          <w:p w14:paraId="0F4F123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7</w:t>
            </w:r>
          </w:p>
        </w:tc>
        <w:tc>
          <w:tcPr>
            <w:tcW w:w="1196" w:type="dxa"/>
            <w:shd w:val="clear" w:color="auto" w:fill="auto"/>
            <w:vAlign w:val="center"/>
            <w:hideMark/>
          </w:tcPr>
          <w:p w14:paraId="677A8F1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shd w:val="clear" w:color="auto" w:fill="auto"/>
            <w:vAlign w:val="center"/>
            <w:hideMark/>
          </w:tcPr>
          <w:p w14:paraId="63D0274A"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52042D46"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298E2203"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2</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CBB96E5"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Εσωτερικών</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5398A5C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tcBorders>
              <w:left w:val="single" w:sz="2" w:space="0" w:color="A6A6A6" w:themeColor="background1" w:themeShade="A6"/>
            </w:tcBorders>
            <w:shd w:val="clear" w:color="000000" w:fill="D5DCE4"/>
            <w:vAlign w:val="center"/>
            <w:hideMark/>
          </w:tcPr>
          <w:p w14:paraId="221DCF24"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38</w:t>
            </w:r>
          </w:p>
        </w:tc>
        <w:tc>
          <w:tcPr>
            <w:tcW w:w="1196" w:type="dxa"/>
            <w:shd w:val="clear" w:color="000000" w:fill="D5DCE4"/>
            <w:vAlign w:val="center"/>
            <w:hideMark/>
          </w:tcPr>
          <w:p w14:paraId="6CA062D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37</w:t>
            </w:r>
          </w:p>
        </w:tc>
        <w:tc>
          <w:tcPr>
            <w:tcW w:w="873" w:type="dxa"/>
            <w:shd w:val="clear" w:color="000000" w:fill="D5DCE4"/>
            <w:vAlign w:val="center"/>
            <w:hideMark/>
          </w:tcPr>
          <w:p w14:paraId="5FFD5009"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shd w:val="clear" w:color="000000" w:fill="D5DCE4"/>
            <w:vAlign w:val="center"/>
            <w:hideMark/>
          </w:tcPr>
          <w:p w14:paraId="13F45971"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tcBorders>
              <w:right w:val="single" w:sz="2" w:space="0" w:color="A6A6A6" w:themeColor="background1" w:themeShade="A6"/>
            </w:tcBorders>
            <w:shd w:val="clear" w:color="000000" w:fill="D5DCE4"/>
            <w:vAlign w:val="center"/>
            <w:hideMark/>
          </w:tcPr>
          <w:p w14:paraId="2017F44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r>
      <w:tr w:rsidR="00A91D86" w:rsidRPr="00A76BED" w14:paraId="29F502F2"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0549C793" w14:textId="4AB39628"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7A7A1084"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37D8880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left w:val="single" w:sz="2" w:space="0" w:color="A6A6A6" w:themeColor="background1" w:themeShade="A6"/>
            </w:tcBorders>
            <w:shd w:val="clear" w:color="auto" w:fill="auto"/>
            <w:vAlign w:val="center"/>
            <w:hideMark/>
          </w:tcPr>
          <w:p w14:paraId="08E8040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37</w:t>
            </w:r>
          </w:p>
        </w:tc>
        <w:tc>
          <w:tcPr>
            <w:tcW w:w="1196" w:type="dxa"/>
            <w:shd w:val="clear" w:color="auto" w:fill="auto"/>
            <w:vAlign w:val="center"/>
            <w:hideMark/>
          </w:tcPr>
          <w:p w14:paraId="47EE9DCA"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36</w:t>
            </w:r>
          </w:p>
        </w:tc>
        <w:tc>
          <w:tcPr>
            <w:tcW w:w="873" w:type="dxa"/>
            <w:shd w:val="clear" w:color="auto" w:fill="auto"/>
            <w:vAlign w:val="center"/>
            <w:hideMark/>
          </w:tcPr>
          <w:p w14:paraId="282818CA"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shd w:val="clear" w:color="auto" w:fill="auto"/>
            <w:vAlign w:val="center"/>
            <w:hideMark/>
          </w:tcPr>
          <w:p w14:paraId="254BBF0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right w:val="single" w:sz="2" w:space="0" w:color="A6A6A6" w:themeColor="background1" w:themeShade="A6"/>
            </w:tcBorders>
            <w:shd w:val="clear" w:color="auto" w:fill="auto"/>
            <w:vAlign w:val="center"/>
            <w:hideMark/>
          </w:tcPr>
          <w:p w14:paraId="65EC012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r>
      <w:tr w:rsidR="00A91D86" w:rsidRPr="00A76BED" w14:paraId="044BEEDA"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377EC639" w14:textId="66945E89"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1587370D"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7F57A5F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left w:val="single" w:sz="2" w:space="0" w:color="A6A6A6" w:themeColor="background1" w:themeShade="A6"/>
            </w:tcBorders>
            <w:shd w:val="clear" w:color="auto" w:fill="auto"/>
            <w:vAlign w:val="center"/>
            <w:hideMark/>
          </w:tcPr>
          <w:p w14:paraId="6087EAE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shd w:val="clear" w:color="auto" w:fill="auto"/>
            <w:vAlign w:val="center"/>
            <w:hideMark/>
          </w:tcPr>
          <w:p w14:paraId="594C3E1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873" w:type="dxa"/>
            <w:shd w:val="clear" w:color="auto" w:fill="auto"/>
            <w:vAlign w:val="center"/>
            <w:hideMark/>
          </w:tcPr>
          <w:p w14:paraId="5CF6065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shd w:val="clear" w:color="auto" w:fill="auto"/>
            <w:vAlign w:val="center"/>
            <w:hideMark/>
          </w:tcPr>
          <w:p w14:paraId="655D19BB"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shd w:val="clear" w:color="auto" w:fill="auto"/>
            <w:vAlign w:val="center"/>
            <w:hideMark/>
          </w:tcPr>
          <w:p w14:paraId="3FB0FFA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06961C4D"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016E47A"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3</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394820DF"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Εξωτερικών</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1F21CAE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tcBorders>
              <w:left w:val="single" w:sz="2" w:space="0" w:color="A6A6A6" w:themeColor="background1" w:themeShade="A6"/>
            </w:tcBorders>
            <w:shd w:val="clear" w:color="000000" w:fill="D5DCE4"/>
            <w:vAlign w:val="center"/>
            <w:hideMark/>
          </w:tcPr>
          <w:p w14:paraId="6E72BD9D"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29</w:t>
            </w:r>
          </w:p>
        </w:tc>
        <w:tc>
          <w:tcPr>
            <w:tcW w:w="1196" w:type="dxa"/>
            <w:shd w:val="clear" w:color="000000" w:fill="D5DCE4"/>
            <w:vAlign w:val="center"/>
            <w:hideMark/>
          </w:tcPr>
          <w:p w14:paraId="42E10FD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28</w:t>
            </w:r>
          </w:p>
        </w:tc>
        <w:tc>
          <w:tcPr>
            <w:tcW w:w="873" w:type="dxa"/>
            <w:shd w:val="clear" w:color="000000" w:fill="D5DCE4"/>
            <w:vAlign w:val="center"/>
            <w:hideMark/>
          </w:tcPr>
          <w:p w14:paraId="4F2A9DC6"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shd w:val="clear" w:color="000000" w:fill="D5DCE4"/>
            <w:vAlign w:val="center"/>
            <w:hideMark/>
          </w:tcPr>
          <w:p w14:paraId="30F3A4E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tcBorders>
              <w:right w:val="single" w:sz="2" w:space="0" w:color="A6A6A6" w:themeColor="background1" w:themeShade="A6"/>
            </w:tcBorders>
            <w:shd w:val="clear" w:color="000000" w:fill="D5DCE4"/>
            <w:vAlign w:val="center"/>
            <w:hideMark/>
          </w:tcPr>
          <w:p w14:paraId="0E08E717"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r>
      <w:tr w:rsidR="00A91D86" w:rsidRPr="00A76BED" w14:paraId="6A53E636"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47C85944" w14:textId="64FB9E16"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6C154E62"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086CE6CA" w14:textId="5B0CBA68"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left w:val="single" w:sz="2" w:space="0" w:color="A6A6A6" w:themeColor="background1" w:themeShade="A6"/>
            </w:tcBorders>
            <w:shd w:val="clear" w:color="auto" w:fill="auto"/>
            <w:vAlign w:val="center"/>
            <w:hideMark/>
          </w:tcPr>
          <w:p w14:paraId="54DE771F" w14:textId="56E6AF8D"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shd w:val="clear" w:color="auto" w:fill="auto"/>
            <w:vAlign w:val="center"/>
            <w:hideMark/>
          </w:tcPr>
          <w:p w14:paraId="758CD2C0" w14:textId="1EBC3950"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873" w:type="dxa"/>
            <w:shd w:val="clear" w:color="auto" w:fill="auto"/>
            <w:vAlign w:val="center"/>
            <w:hideMark/>
          </w:tcPr>
          <w:p w14:paraId="367DFE92" w14:textId="3D702149"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shd w:val="clear" w:color="auto" w:fill="auto"/>
            <w:vAlign w:val="center"/>
            <w:hideMark/>
          </w:tcPr>
          <w:p w14:paraId="1A9BF365" w14:textId="1FB19FA1"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right w:val="single" w:sz="2" w:space="0" w:color="A6A6A6" w:themeColor="background1" w:themeShade="A6"/>
            </w:tcBorders>
            <w:shd w:val="clear" w:color="auto" w:fill="auto"/>
            <w:vAlign w:val="center"/>
            <w:hideMark/>
          </w:tcPr>
          <w:p w14:paraId="6BD520B0" w14:textId="1849AA8A"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r>
      <w:tr w:rsidR="00A91D86" w:rsidRPr="00A76BED" w14:paraId="3B112F6E"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2FB3A393" w14:textId="23EC968C"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1996FED8"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50BB600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left w:val="single" w:sz="2" w:space="0" w:color="A6A6A6" w:themeColor="background1" w:themeShade="A6"/>
            </w:tcBorders>
            <w:shd w:val="clear" w:color="auto" w:fill="auto"/>
            <w:vAlign w:val="center"/>
            <w:hideMark/>
          </w:tcPr>
          <w:p w14:paraId="3F60229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29</w:t>
            </w:r>
          </w:p>
        </w:tc>
        <w:tc>
          <w:tcPr>
            <w:tcW w:w="1196" w:type="dxa"/>
            <w:shd w:val="clear" w:color="auto" w:fill="auto"/>
            <w:vAlign w:val="center"/>
            <w:hideMark/>
          </w:tcPr>
          <w:p w14:paraId="661CF01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28</w:t>
            </w:r>
          </w:p>
        </w:tc>
        <w:tc>
          <w:tcPr>
            <w:tcW w:w="873" w:type="dxa"/>
            <w:shd w:val="clear" w:color="auto" w:fill="auto"/>
            <w:vAlign w:val="center"/>
            <w:hideMark/>
          </w:tcPr>
          <w:p w14:paraId="7F32D93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shd w:val="clear" w:color="auto" w:fill="auto"/>
            <w:vAlign w:val="center"/>
            <w:hideMark/>
          </w:tcPr>
          <w:p w14:paraId="5CC4551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shd w:val="clear" w:color="auto" w:fill="auto"/>
            <w:vAlign w:val="center"/>
            <w:hideMark/>
          </w:tcPr>
          <w:p w14:paraId="7302520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2550EC38"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1D556FFF"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4</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1B645BA" w14:textId="7D132761"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Εθνικής Άμυνας</w:t>
            </w:r>
            <w:r w:rsidRPr="00A76BED">
              <w:rPr>
                <w:rFonts w:cs="Arial"/>
                <w:b/>
                <w:bCs/>
                <w:color w:val="000000"/>
                <w:sz w:val="16"/>
                <w:szCs w:val="16"/>
                <w:vertAlign w:val="superscript"/>
              </w:rPr>
              <w:t>2</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89DE455"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w:t>
            </w:r>
          </w:p>
        </w:tc>
        <w:tc>
          <w:tcPr>
            <w:tcW w:w="1196" w:type="dxa"/>
            <w:tcBorders>
              <w:left w:val="single" w:sz="2" w:space="0" w:color="A6A6A6" w:themeColor="background1" w:themeShade="A6"/>
            </w:tcBorders>
            <w:shd w:val="clear" w:color="000000" w:fill="D5DCE4"/>
            <w:vAlign w:val="center"/>
            <w:hideMark/>
          </w:tcPr>
          <w:p w14:paraId="5C4D8325"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96</w:t>
            </w:r>
          </w:p>
        </w:tc>
        <w:tc>
          <w:tcPr>
            <w:tcW w:w="1196" w:type="dxa"/>
            <w:shd w:val="clear" w:color="000000" w:fill="D5DCE4"/>
            <w:vAlign w:val="center"/>
            <w:hideMark/>
          </w:tcPr>
          <w:p w14:paraId="24ACFC6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109</w:t>
            </w:r>
          </w:p>
        </w:tc>
        <w:tc>
          <w:tcPr>
            <w:tcW w:w="873" w:type="dxa"/>
            <w:shd w:val="clear" w:color="000000" w:fill="D5DCE4"/>
            <w:vAlign w:val="center"/>
            <w:hideMark/>
          </w:tcPr>
          <w:p w14:paraId="1B5CE79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shd w:val="clear" w:color="000000" w:fill="D5DCE4"/>
            <w:vAlign w:val="center"/>
            <w:hideMark/>
          </w:tcPr>
          <w:p w14:paraId="562C9D2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w:t>
            </w:r>
          </w:p>
        </w:tc>
        <w:tc>
          <w:tcPr>
            <w:tcW w:w="1196" w:type="dxa"/>
            <w:tcBorders>
              <w:right w:val="single" w:sz="2" w:space="0" w:color="A6A6A6" w:themeColor="background1" w:themeShade="A6"/>
            </w:tcBorders>
            <w:shd w:val="clear" w:color="000000" w:fill="D5DCE4"/>
            <w:vAlign w:val="center"/>
            <w:hideMark/>
          </w:tcPr>
          <w:p w14:paraId="0897096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w:t>
            </w:r>
          </w:p>
        </w:tc>
      </w:tr>
      <w:tr w:rsidR="00A91D86" w:rsidRPr="00A76BED" w14:paraId="55E7446B"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2C82E97A" w14:textId="4658498F"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3543AB96"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001A712A"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w:t>
            </w:r>
          </w:p>
        </w:tc>
        <w:tc>
          <w:tcPr>
            <w:tcW w:w="1196" w:type="dxa"/>
            <w:tcBorders>
              <w:left w:val="single" w:sz="2" w:space="0" w:color="A6A6A6" w:themeColor="background1" w:themeShade="A6"/>
            </w:tcBorders>
            <w:shd w:val="clear" w:color="auto" w:fill="auto"/>
            <w:vAlign w:val="center"/>
            <w:hideMark/>
          </w:tcPr>
          <w:p w14:paraId="1173F94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14</w:t>
            </w:r>
          </w:p>
        </w:tc>
        <w:tc>
          <w:tcPr>
            <w:tcW w:w="1196" w:type="dxa"/>
            <w:shd w:val="clear" w:color="auto" w:fill="auto"/>
            <w:vAlign w:val="center"/>
            <w:hideMark/>
          </w:tcPr>
          <w:p w14:paraId="292FDCC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15</w:t>
            </w:r>
          </w:p>
        </w:tc>
        <w:tc>
          <w:tcPr>
            <w:tcW w:w="873" w:type="dxa"/>
            <w:shd w:val="clear" w:color="auto" w:fill="auto"/>
            <w:vAlign w:val="center"/>
            <w:hideMark/>
          </w:tcPr>
          <w:p w14:paraId="2C35DCC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shd w:val="clear" w:color="auto" w:fill="auto"/>
            <w:vAlign w:val="center"/>
            <w:hideMark/>
          </w:tcPr>
          <w:p w14:paraId="2962739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w:t>
            </w:r>
          </w:p>
        </w:tc>
        <w:tc>
          <w:tcPr>
            <w:tcW w:w="1196" w:type="dxa"/>
            <w:tcBorders>
              <w:right w:val="single" w:sz="2" w:space="0" w:color="A6A6A6" w:themeColor="background1" w:themeShade="A6"/>
            </w:tcBorders>
            <w:shd w:val="clear" w:color="auto" w:fill="auto"/>
            <w:vAlign w:val="center"/>
            <w:hideMark/>
          </w:tcPr>
          <w:p w14:paraId="40FA1AE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r>
      <w:tr w:rsidR="00A91D86" w:rsidRPr="00A76BED" w14:paraId="4669DF64"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2438ACAB" w14:textId="440ABE7A"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2D44CFE6"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43E871B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w:t>
            </w:r>
          </w:p>
        </w:tc>
        <w:tc>
          <w:tcPr>
            <w:tcW w:w="1196" w:type="dxa"/>
            <w:tcBorders>
              <w:left w:val="single" w:sz="2" w:space="0" w:color="A6A6A6" w:themeColor="background1" w:themeShade="A6"/>
            </w:tcBorders>
            <w:shd w:val="clear" w:color="auto" w:fill="auto"/>
            <w:vAlign w:val="center"/>
            <w:hideMark/>
          </w:tcPr>
          <w:p w14:paraId="4760289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82</w:t>
            </w:r>
          </w:p>
        </w:tc>
        <w:tc>
          <w:tcPr>
            <w:tcW w:w="1196" w:type="dxa"/>
            <w:shd w:val="clear" w:color="auto" w:fill="auto"/>
            <w:vAlign w:val="center"/>
            <w:hideMark/>
          </w:tcPr>
          <w:p w14:paraId="4F01126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94</w:t>
            </w:r>
          </w:p>
        </w:tc>
        <w:tc>
          <w:tcPr>
            <w:tcW w:w="873" w:type="dxa"/>
            <w:shd w:val="clear" w:color="auto" w:fill="auto"/>
            <w:vAlign w:val="center"/>
            <w:hideMark/>
          </w:tcPr>
          <w:p w14:paraId="772BB71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shd w:val="clear" w:color="auto" w:fill="auto"/>
            <w:vAlign w:val="center"/>
            <w:hideMark/>
          </w:tcPr>
          <w:p w14:paraId="631B8D4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shd w:val="clear" w:color="auto" w:fill="auto"/>
            <w:vAlign w:val="center"/>
            <w:hideMark/>
          </w:tcPr>
          <w:p w14:paraId="33079EF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77F71B57"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66ABD69E"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5</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69555CB0"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Υγείας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AD1BE5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50</w:t>
            </w:r>
          </w:p>
        </w:tc>
        <w:tc>
          <w:tcPr>
            <w:tcW w:w="1196" w:type="dxa"/>
            <w:tcBorders>
              <w:left w:val="single" w:sz="2" w:space="0" w:color="A6A6A6" w:themeColor="background1" w:themeShade="A6"/>
            </w:tcBorders>
            <w:shd w:val="clear" w:color="000000" w:fill="D5DCE4"/>
            <w:vAlign w:val="center"/>
            <w:hideMark/>
          </w:tcPr>
          <w:p w14:paraId="2B806A8C"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379</w:t>
            </w:r>
          </w:p>
        </w:tc>
        <w:tc>
          <w:tcPr>
            <w:tcW w:w="1196" w:type="dxa"/>
            <w:shd w:val="clear" w:color="000000" w:fill="D5DCE4"/>
            <w:vAlign w:val="center"/>
            <w:hideMark/>
          </w:tcPr>
          <w:p w14:paraId="78844D41"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389</w:t>
            </w:r>
          </w:p>
        </w:tc>
        <w:tc>
          <w:tcPr>
            <w:tcW w:w="873" w:type="dxa"/>
            <w:shd w:val="clear" w:color="000000" w:fill="D5DCE4"/>
            <w:vAlign w:val="center"/>
            <w:hideMark/>
          </w:tcPr>
          <w:p w14:paraId="0694B30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-6</w:t>
            </w:r>
          </w:p>
        </w:tc>
        <w:tc>
          <w:tcPr>
            <w:tcW w:w="1196" w:type="dxa"/>
            <w:shd w:val="clear" w:color="000000" w:fill="D5DCE4"/>
            <w:vAlign w:val="center"/>
            <w:hideMark/>
          </w:tcPr>
          <w:p w14:paraId="11A3A83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27</w:t>
            </w:r>
          </w:p>
        </w:tc>
        <w:tc>
          <w:tcPr>
            <w:tcW w:w="1196" w:type="dxa"/>
            <w:tcBorders>
              <w:right w:val="single" w:sz="2" w:space="0" w:color="A6A6A6" w:themeColor="background1" w:themeShade="A6"/>
            </w:tcBorders>
            <w:shd w:val="clear" w:color="000000" w:fill="D5DCE4"/>
            <w:vAlign w:val="center"/>
            <w:hideMark/>
          </w:tcPr>
          <w:p w14:paraId="4E784B8C"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27</w:t>
            </w:r>
          </w:p>
        </w:tc>
      </w:tr>
      <w:tr w:rsidR="00A91D86" w:rsidRPr="00A76BED" w14:paraId="38F9B392"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5DE0BE82" w14:textId="6B3A2BC1"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11F95C44"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26556AC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53</w:t>
            </w:r>
          </w:p>
        </w:tc>
        <w:tc>
          <w:tcPr>
            <w:tcW w:w="1196" w:type="dxa"/>
            <w:tcBorders>
              <w:left w:val="single" w:sz="2" w:space="0" w:color="A6A6A6" w:themeColor="background1" w:themeShade="A6"/>
            </w:tcBorders>
            <w:shd w:val="clear" w:color="auto" w:fill="auto"/>
            <w:vAlign w:val="center"/>
            <w:hideMark/>
          </w:tcPr>
          <w:p w14:paraId="35EE387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193</w:t>
            </w:r>
          </w:p>
        </w:tc>
        <w:tc>
          <w:tcPr>
            <w:tcW w:w="1196" w:type="dxa"/>
            <w:shd w:val="clear" w:color="auto" w:fill="auto"/>
            <w:vAlign w:val="center"/>
            <w:hideMark/>
          </w:tcPr>
          <w:p w14:paraId="0EF94E2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191</w:t>
            </w:r>
          </w:p>
        </w:tc>
        <w:tc>
          <w:tcPr>
            <w:tcW w:w="873" w:type="dxa"/>
            <w:shd w:val="clear" w:color="auto" w:fill="auto"/>
            <w:vAlign w:val="center"/>
            <w:hideMark/>
          </w:tcPr>
          <w:p w14:paraId="0D38F47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6</w:t>
            </w:r>
          </w:p>
        </w:tc>
        <w:tc>
          <w:tcPr>
            <w:tcW w:w="1196" w:type="dxa"/>
            <w:shd w:val="clear" w:color="auto" w:fill="auto"/>
            <w:vAlign w:val="center"/>
            <w:hideMark/>
          </w:tcPr>
          <w:p w14:paraId="5D07EE3F"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27</w:t>
            </w:r>
          </w:p>
        </w:tc>
        <w:tc>
          <w:tcPr>
            <w:tcW w:w="1196" w:type="dxa"/>
            <w:tcBorders>
              <w:right w:val="single" w:sz="2" w:space="0" w:color="A6A6A6" w:themeColor="background1" w:themeShade="A6"/>
            </w:tcBorders>
            <w:shd w:val="clear" w:color="auto" w:fill="auto"/>
            <w:vAlign w:val="center"/>
            <w:hideMark/>
          </w:tcPr>
          <w:p w14:paraId="144BBF6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27</w:t>
            </w:r>
          </w:p>
        </w:tc>
      </w:tr>
      <w:tr w:rsidR="00A91D86" w:rsidRPr="00A76BED" w14:paraId="3A79A304"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5E6ABEE1" w14:textId="31AD785C"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4029AB95"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19A857E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w:t>
            </w:r>
          </w:p>
        </w:tc>
        <w:tc>
          <w:tcPr>
            <w:tcW w:w="1196" w:type="dxa"/>
            <w:tcBorders>
              <w:left w:val="single" w:sz="2" w:space="0" w:color="A6A6A6" w:themeColor="background1" w:themeShade="A6"/>
            </w:tcBorders>
            <w:shd w:val="clear" w:color="auto" w:fill="auto"/>
            <w:vAlign w:val="center"/>
            <w:hideMark/>
          </w:tcPr>
          <w:p w14:paraId="6A4144E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186</w:t>
            </w:r>
          </w:p>
        </w:tc>
        <w:tc>
          <w:tcPr>
            <w:tcW w:w="1196" w:type="dxa"/>
            <w:shd w:val="clear" w:color="auto" w:fill="auto"/>
            <w:vAlign w:val="center"/>
            <w:hideMark/>
          </w:tcPr>
          <w:p w14:paraId="64FC77A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198</w:t>
            </w:r>
          </w:p>
        </w:tc>
        <w:tc>
          <w:tcPr>
            <w:tcW w:w="873" w:type="dxa"/>
            <w:shd w:val="clear" w:color="auto" w:fill="auto"/>
            <w:vAlign w:val="center"/>
            <w:hideMark/>
          </w:tcPr>
          <w:p w14:paraId="44863A0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w:t>
            </w:r>
          </w:p>
        </w:tc>
        <w:tc>
          <w:tcPr>
            <w:tcW w:w="1196" w:type="dxa"/>
            <w:shd w:val="clear" w:color="auto" w:fill="auto"/>
            <w:vAlign w:val="center"/>
            <w:hideMark/>
          </w:tcPr>
          <w:p w14:paraId="6C6DC10A"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shd w:val="clear" w:color="auto" w:fill="auto"/>
            <w:vAlign w:val="center"/>
            <w:hideMark/>
          </w:tcPr>
          <w:p w14:paraId="49937EF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1CF51175"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676FA485"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6</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1077AE0"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Δικαιοσύνης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5701C72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12</w:t>
            </w:r>
          </w:p>
        </w:tc>
        <w:tc>
          <w:tcPr>
            <w:tcW w:w="1196" w:type="dxa"/>
            <w:tcBorders>
              <w:left w:val="single" w:sz="2" w:space="0" w:color="A6A6A6" w:themeColor="background1" w:themeShade="A6"/>
            </w:tcBorders>
            <w:shd w:val="clear" w:color="000000" w:fill="D5DCE4"/>
            <w:vAlign w:val="center"/>
            <w:hideMark/>
          </w:tcPr>
          <w:p w14:paraId="7A43077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104</w:t>
            </w:r>
          </w:p>
        </w:tc>
        <w:tc>
          <w:tcPr>
            <w:tcW w:w="1196" w:type="dxa"/>
            <w:shd w:val="clear" w:color="000000" w:fill="D5DCE4"/>
            <w:vAlign w:val="center"/>
            <w:hideMark/>
          </w:tcPr>
          <w:p w14:paraId="7881BB8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111</w:t>
            </w:r>
          </w:p>
        </w:tc>
        <w:tc>
          <w:tcPr>
            <w:tcW w:w="873" w:type="dxa"/>
            <w:shd w:val="clear" w:color="000000" w:fill="D5DCE4"/>
            <w:vAlign w:val="center"/>
            <w:hideMark/>
          </w:tcPr>
          <w:p w14:paraId="240390C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w:t>
            </w:r>
          </w:p>
        </w:tc>
        <w:tc>
          <w:tcPr>
            <w:tcW w:w="1196" w:type="dxa"/>
            <w:shd w:val="clear" w:color="000000" w:fill="D5DCE4"/>
            <w:vAlign w:val="center"/>
            <w:hideMark/>
          </w:tcPr>
          <w:p w14:paraId="37D68D7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9</w:t>
            </w:r>
          </w:p>
        </w:tc>
        <w:tc>
          <w:tcPr>
            <w:tcW w:w="1196" w:type="dxa"/>
            <w:tcBorders>
              <w:right w:val="single" w:sz="2" w:space="0" w:color="A6A6A6" w:themeColor="background1" w:themeShade="A6"/>
            </w:tcBorders>
            <w:shd w:val="clear" w:color="000000" w:fill="D5DCE4"/>
            <w:vAlign w:val="center"/>
            <w:hideMark/>
          </w:tcPr>
          <w:p w14:paraId="3CFEFB2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12</w:t>
            </w:r>
          </w:p>
        </w:tc>
      </w:tr>
      <w:tr w:rsidR="00A91D86" w:rsidRPr="00A76BED" w14:paraId="732FE273"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00AB81A3" w14:textId="66EF34F7"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4E98EC4F"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5BAE5EFA"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w:t>
            </w:r>
          </w:p>
        </w:tc>
        <w:tc>
          <w:tcPr>
            <w:tcW w:w="1196" w:type="dxa"/>
            <w:tcBorders>
              <w:left w:val="single" w:sz="2" w:space="0" w:color="A6A6A6" w:themeColor="background1" w:themeShade="A6"/>
            </w:tcBorders>
            <w:shd w:val="clear" w:color="auto" w:fill="auto"/>
            <w:vAlign w:val="center"/>
            <w:hideMark/>
          </w:tcPr>
          <w:p w14:paraId="4B7E7EA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104</w:t>
            </w:r>
          </w:p>
        </w:tc>
        <w:tc>
          <w:tcPr>
            <w:tcW w:w="1196" w:type="dxa"/>
            <w:shd w:val="clear" w:color="auto" w:fill="auto"/>
            <w:vAlign w:val="center"/>
            <w:hideMark/>
          </w:tcPr>
          <w:p w14:paraId="4ECE953A"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111</w:t>
            </w:r>
          </w:p>
        </w:tc>
        <w:tc>
          <w:tcPr>
            <w:tcW w:w="873" w:type="dxa"/>
            <w:shd w:val="clear" w:color="auto" w:fill="auto"/>
            <w:vAlign w:val="center"/>
            <w:hideMark/>
          </w:tcPr>
          <w:p w14:paraId="663FBED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w:t>
            </w:r>
          </w:p>
        </w:tc>
        <w:tc>
          <w:tcPr>
            <w:tcW w:w="1196" w:type="dxa"/>
            <w:shd w:val="clear" w:color="auto" w:fill="auto"/>
            <w:vAlign w:val="center"/>
            <w:hideMark/>
          </w:tcPr>
          <w:p w14:paraId="368A1A9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9</w:t>
            </w:r>
          </w:p>
        </w:tc>
        <w:tc>
          <w:tcPr>
            <w:tcW w:w="1196" w:type="dxa"/>
            <w:tcBorders>
              <w:right w:val="single" w:sz="2" w:space="0" w:color="A6A6A6" w:themeColor="background1" w:themeShade="A6"/>
            </w:tcBorders>
            <w:shd w:val="clear" w:color="auto" w:fill="auto"/>
            <w:vAlign w:val="center"/>
            <w:hideMark/>
          </w:tcPr>
          <w:p w14:paraId="6B2B322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w:t>
            </w:r>
          </w:p>
        </w:tc>
      </w:tr>
      <w:tr w:rsidR="00A91D86" w:rsidRPr="00A76BED" w14:paraId="34980CA1"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0F0F3F5B" w14:textId="01CFD5E1"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56FE36FC"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719052D6" w14:textId="3547E63E"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left w:val="single" w:sz="2" w:space="0" w:color="A6A6A6" w:themeColor="background1" w:themeShade="A6"/>
            </w:tcBorders>
            <w:shd w:val="clear" w:color="auto" w:fill="auto"/>
            <w:vAlign w:val="center"/>
            <w:hideMark/>
          </w:tcPr>
          <w:p w14:paraId="48C6CE28" w14:textId="3C5B5284"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shd w:val="clear" w:color="auto" w:fill="auto"/>
            <w:vAlign w:val="center"/>
            <w:hideMark/>
          </w:tcPr>
          <w:p w14:paraId="0DDFBC76" w14:textId="47E1C22E"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873" w:type="dxa"/>
            <w:shd w:val="clear" w:color="auto" w:fill="auto"/>
            <w:vAlign w:val="center"/>
            <w:hideMark/>
          </w:tcPr>
          <w:p w14:paraId="5B4DABDE" w14:textId="3C08735C"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shd w:val="clear" w:color="auto" w:fill="auto"/>
            <w:vAlign w:val="center"/>
            <w:hideMark/>
          </w:tcPr>
          <w:p w14:paraId="4DC75BE8" w14:textId="11438343"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right w:val="single" w:sz="2" w:space="0" w:color="A6A6A6" w:themeColor="background1" w:themeShade="A6"/>
            </w:tcBorders>
            <w:shd w:val="clear" w:color="auto" w:fill="auto"/>
            <w:vAlign w:val="center"/>
            <w:hideMark/>
          </w:tcPr>
          <w:p w14:paraId="741DC193" w14:textId="74C86C82"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r>
      <w:tr w:rsidR="00A91D86" w:rsidRPr="00A76BED" w14:paraId="50B1A44D"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8294971"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7</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2F33C6E"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Παιδείας, Θρησκευμάτων και Αθλητισμού</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86233A1"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73</w:t>
            </w:r>
          </w:p>
        </w:tc>
        <w:tc>
          <w:tcPr>
            <w:tcW w:w="1196" w:type="dxa"/>
            <w:tcBorders>
              <w:left w:val="single" w:sz="2" w:space="0" w:color="A6A6A6" w:themeColor="background1" w:themeShade="A6"/>
            </w:tcBorders>
            <w:shd w:val="clear" w:color="000000" w:fill="D5DCE4"/>
            <w:vAlign w:val="center"/>
            <w:hideMark/>
          </w:tcPr>
          <w:p w14:paraId="6A63A87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1.918</w:t>
            </w:r>
          </w:p>
        </w:tc>
        <w:tc>
          <w:tcPr>
            <w:tcW w:w="1196" w:type="dxa"/>
            <w:shd w:val="clear" w:color="000000" w:fill="D5DCE4"/>
            <w:vAlign w:val="center"/>
            <w:hideMark/>
          </w:tcPr>
          <w:p w14:paraId="0C41C1C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1.844</w:t>
            </w:r>
          </w:p>
        </w:tc>
        <w:tc>
          <w:tcPr>
            <w:tcW w:w="873" w:type="dxa"/>
            <w:shd w:val="clear" w:color="000000" w:fill="D5DCE4"/>
            <w:vAlign w:val="center"/>
            <w:hideMark/>
          </w:tcPr>
          <w:p w14:paraId="51B2E69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76</w:t>
            </w:r>
          </w:p>
        </w:tc>
        <w:tc>
          <w:tcPr>
            <w:tcW w:w="1196" w:type="dxa"/>
            <w:shd w:val="clear" w:color="000000" w:fill="D5DCE4"/>
            <w:vAlign w:val="center"/>
            <w:hideMark/>
          </w:tcPr>
          <w:p w14:paraId="574655F9"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82</w:t>
            </w:r>
          </w:p>
        </w:tc>
        <w:tc>
          <w:tcPr>
            <w:tcW w:w="1196" w:type="dxa"/>
            <w:tcBorders>
              <w:right w:val="single" w:sz="2" w:space="0" w:color="A6A6A6" w:themeColor="background1" w:themeShade="A6"/>
            </w:tcBorders>
            <w:shd w:val="clear" w:color="000000" w:fill="D5DCE4"/>
            <w:vAlign w:val="center"/>
            <w:hideMark/>
          </w:tcPr>
          <w:p w14:paraId="405D271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83</w:t>
            </w:r>
          </w:p>
        </w:tc>
      </w:tr>
      <w:tr w:rsidR="00A91D86" w:rsidRPr="00A76BED" w14:paraId="7DDC9419"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49F8FCFB" w14:textId="1D4CCCAB"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700E0F4F"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666E39A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left w:val="single" w:sz="2" w:space="0" w:color="A6A6A6" w:themeColor="background1" w:themeShade="A6"/>
            </w:tcBorders>
            <w:shd w:val="clear" w:color="auto" w:fill="auto"/>
            <w:vAlign w:val="center"/>
            <w:hideMark/>
          </w:tcPr>
          <w:p w14:paraId="2DA630C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582</w:t>
            </w:r>
          </w:p>
        </w:tc>
        <w:tc>
          <w:tcPr>
            <w:tcW w:w="1196" w:type="dxa"/>
            <w:shd w:val="clear" w:color="auto" w:fill="auto"/>
            <w:vAlign w:val="center"/>
            <w:hideMark/>
          </w:tcPr>
          <w:p w14:paraId="5BAB1BB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552</w:t>
            </w:r>
          </w:p>
        </w:tc>
        <w:tc>
          <w:tcPr>
            <w:tcW w:w="873" w:type="dxa"/>
            <w:shd w:val="clear" w:color="auto" w:fill="auto"/>
            <w:vAlign w:val="center"/>
            <w:hideMark/>
          </w:tcPr>
          <w:p w14:paraId="4E52FCE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33</w:t>
            </w:r>
          </w:p>
        </w:tc>
        <w:tc>
          <w:tcPr>
            <w:tcW w:w="1196" w:type="dxa"/>
            <w:shd w:val="clear" w:color="auto" w:fill="auto"/>
            <w:vAlign w:val="center"/>
            <w:hideMark/>
          </w:tcPr>
          <w:p w14:paraId="60BCA69F"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81</w:t>
            </w:r>
          </w:p>
        </w:tc>
        <w:tc>
          <w:tcPr>
            <w:tcW w:w="1196" w:type="dxa"/>
            <w:tcBorders>
              <w:right w:val="single" w:sz="2" w:space="0" w:color="A6A6A6" w:themeColor="background1" w:themeShade="A6"/>
            </w:tcBorders>
            <w:shd w:val="clear" w:color="auto" w:fill="auto"/>
            <w:vAlign w:val="center"/>
            <w:hideMark/>
          </w:tcPr>
          <w:p w14:paraId="4050FBE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83</w:t>
            </w:r>
          </w:p>
        </w:tc>
      </w:tr>
      <w:tr w:rsidR="00A91D86" w:rsidRPr="00A76BED" w14:paraId="02E920C7" w14:textId="77777777" w:rsidTr="00AF1D22">
        <w:trPr>
          <w:cantSplit/>
          <w:jc w:val="center"/>
        </w:trPr>
        <w:tc>
          <w:tcPr>
            <w:tcW w:w="394"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hideMark/>
          </w:tcPr>
          <w:p w14:paraId="122A725B" w14:textId="26546AE1"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hideMark/>
          </w:tcPr>
          <w:p w14:paraId="0171B680"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hideMark/>
          </w:tcPr>
          <w:p w14:paraId="0272EAC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73</w:t>
            </w:r>
          </w:p>
        </w:tc>
        <w:tc>
          <w:tcPr>
            <w:tcW w:w="1196" w:type="dxa"/>
            <w:tcBorders>
              <w:left w:val="single" w:sz="2" w:space="0" w:color="A6A6A6" w:themeColor="background1" w:themeShade="A6"/>
              <w:bottom w:val="single" w:sz="2" w:space="0" w:color="A6A6A6" w:themeColor="background1" w:themeShade="A6"/>
            </w:tcBorders>
            <w:shd w:val="clear" w:color="auto" w:fill="auto"/>
            <w:vAlign w:val="center"/>
            <w:hideMark/>
          </w:tcPr>
          <w:p w14:paraId="0DA5701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1.336</w:t>
            </w:r>
          </w:p>
        </w:tc>
        <w:tc>
          <w:tcPr>
            <w:tcW w:w="1196" w:type="dxa"/>
            <w:tcBorders>
              <w:bottom w:val="single" w:sz="2" w:space="0" w:color="A6A6A6" w:themeColor="background1" w:themeShade="A6"/>
            </w:tcBorders>
            <w:shd w:val="clear" w:color="auto" w:fill="auto"/>
            <w:vAlign w:val="center"/>
            <w:hideMark/>
          </w:tcPr>
          <w:p w14:paraId="1ECA169B"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1.293</w:t>
            </w:r>
          </w:p>
        </w:tc>
        <w:tc>
          <w:tcPr>
            <w:tcW w:w="873" w:type="dxa"/>
            <w:tcBorders>
              <w:bottom w:val="single" w:sz="2" w:space="0" w:color="A6A6A6" w:themeColor="background1" w:themeShade="A6"/>
            </w:tcBorders>
            <w:shd w:val="clear" w:color="auto" w:fill="auto"/>
            <w:vAlign w:val="center"/>
            <w:hideMark/>
          </w:tcPr>
          <w:p w14:paraId="49D2073F"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43</w:t>
            </w:r>
          </w:p>
        </w:tc>
        <w:tc>
          <w:tcPr>
            <w:tcW w:w="1196" w:type="dxa"/>
            <w:tcBorders>
              <w:bottom w:val="single" w:sz="2" w:space="0" w:color="A6A6A6" w:themeColor="background1" w:themeShade="A6"/>
            </w:tcBorders>
            <w:shd w:val="clear" w:color="auto" w:fill="auto"/>
            <w:vAlign w:val="center"/>
            <w:hideMark/>
          </w:tcPr>
          <w:p w14:paraId="196CD04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bottom w:val="single" w:sz="2" w:space="0" w:color="A6A6A6" w:themeColor="background1" w:themeShade="A6"/>
              <w:right w:val="single" w:sz="2" w:space="0" w:color="A6A6A6" w:themeColor="background1" w:themeShade="A6"/>
            </w:tcBorders>
            <w:shd w:val="clear" w:color="auto" w:fill="auto"/>
            <w:vAlign w:val="center"/>
            <w:hideMark/>
          </w:tcPr>
          <w:p w14:paraId="7E7FABA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F1D22" w:rsidRPr="00A76BED" w14:paraId="1752D246" w14:textId="77777777" w:rsidTr="00AF1D22">
        <w:trPr>
          <w:cantSplit/>
          <w:jc w:val="center"/>
        </w:trPr>
        <w:tc>
          <w:tcPr>
            <w:tcW w:w="394" w:type="dxa"/>
            <w:tcBorders>
              <w:top w:val="single" w:sz="2" w:space="0" w:color="A6A6A6" w:themeColor="background1" w:themeShade="A6"/>
            </w:tcBorders>
            <w:shd w:val="clear" w:color="auto" w:fill="auto"/>
            <w:vAlign w:val="center"/>
          </w:tcPr>
          <w:p w14:paraId="750E860A" w14:textId="77777777" w:rsidR="00AF1D22" w:rsidRPr="00A76BED" w:rsidRDefault="00AF1D22" w:rsidP="00AF1D22">
            <w:pPr>
              <w:spacing w:after="0" w:line="240" w:lineRule="auto"/>
              <w:jc w:val="center"/>
              <w:rPr>
                <w:rFonts w:cs="Arial"/>
                <w:i/>
                <w:iCs/>
                <w:color w:val="000000"/>
                <w:sz w:val="16"/>
                <w:szCs w:val="16"/>
              </w:rPr>
            </w:pPr>
          </w:p>
        </w:tc>
        <w:tc>
          <w:tcPr>
            <w:tcW w:w="2166" w:type="dxa"/>
            <w:tcBorders>
              <w:top w:val="single" w:sz="2" w:space="0" w:color="A6A6A6" w:themeColor="background1" w:themeShade="A6"/>
            </w:tcBorders>
            <w:shd w:val="clear" w:color="auto" w:fill="auto"/>
            <w:vAlign w:val="center"/>
          </w:tcPr>
          <w:p w14:paraId="493930C2" w14:textId="77777777" w:rsidR="00AF1D22" w:rsidRPr="00A76BED" w:rsidRDefault="00AF1D22" w:rsidP="00AF1D22">
            <w:pPr>
              <w:spacing w:after="0" w:line="240" w:lineRule="auto"/>
              <w:jc w:val="left"/>
              <w:rPr>
                <w:rFonts w:cs="Arial"/>
                <w:i/>
                <w:iCs/>
                <w:color w:val="000000"/>
                <w:sz w:val="16"/>
                <w:szCs w:val="16"/>
              </w:rPr>
            </w:pPr>
          </w:p>
        </w:tc>
        <w:tc>
          <w:tcPr>
            <w:tcW w:w="1037" w:type="dxa"/>
            <w:tcBorders>
              <w:top w:val="single" w:sz="2" w:space="0" w:color="A6A6A6" w:themeColor="background1" w:themeShade="A6"/>
            </w:tcBorders>
            <w:shd w:val="clear" w:color="auto" w:fill="auto"/>
            <w:vAlign w:val="center"/>
          </w:tcPr>
          <w:p w14:paraId="32105785" w14:textId="77777777" w:rsidR="00AF1D22" w:rsidRPr="00A76BED" w:rsidRDefault="00AF1D22" w:rsidP="00AF1D22">
            <w:pPr>
              <w:spacing w:after="0" w:line="240" w:lineRule="auto"/>
              <w:jc w:val="right"/>
              <w:rPr>
                <w:rFonts w:cs="Arial"/>
                <w:i/>
                <w:iCs/>
                <w:color w:val="000000"/>
                <w:sz w:val="16"/>
                <w:szCs w:val="16"/>
              </w:rPr>
            </w:pPr>
          </w:p>
        </w:tc>
        <w:tc>
          <w:tcPr>
            <w:tcW w:w="1196" w:type="dxa"/>
            <w:tcBorders>
              <w:top w:val="single" w:sz="2" w:space="0" w:color="A6A6A6" w:themeColor="background1" w:themeShade="A6"/>
            </w:tcBorders>
            <w:shd w:val="clear" w:color="auto" w:fill="auto"/>
            <w:vAlign w:val="center"/>
          </w:tcPr>
          <w:p w14:paraId="37FA6960" w14:textId="77777777" w:rsidR="00AF1D22" w:rsidRPr="00A76BED" w:rsidRDefault="00AF1D22" w:rsidP="00AF1D22">
            <w:pPr>
              <w:spacing w:after="0" w:line="240" w:lineRule="auto"/>
              <w:jc w:val="right"/>
              <w:rPr>
                <w:rFonts w:cs="Arial"/>
                <w:i/>
                <w:iCs/>
                <w:color w:val="000000"/>
                <w:sz w:val="16"/>
                <w:szCs w:val="16"/>
              </w:rPr>
            </w:pPr>
          </w:p>
        </w:tc>
        <w:tc>
          <w:tcPr>
            <w:tcW w:w="1196" w:type="dxa"/>
            <w:tcBorders>
              <w:top w:val="single" w:sz="2" w:space="0" w:color="A6A6A6" w:themeColor="background1" w:themeShade="A6"/>
            </w:tcBorders>
            <w:shd w:val="clear" w:color="auto" w:fill="auto"/>
            <w:vAlign w:val="center"/>
          </w:tcPr>
          <w:p w14:paraId="1CA95C79" w14:textId="77777777" w:rsidR="00AF1D22" w:rsidRPr="00A76BED" w:rsidRDefault="00AF1D22" w:rsidP="00AF1D22">
            <w:pPr>
              <w:spacing w:after="0" w:line="240" w:lineRule="auto"/>
              <w:jc w:val="right"/>
              <w:rPr>
                <w:rFonts w:cs="Arial"/>
                <w:i/>
                <w:iCs/>
                <w:color w:val="000000"/>
                <w:sz w:val="16"/>
                <w:szCs w:val="16"/>
              </w:rPr>
            </w:pPr>
          </w:p>
        </w:tc>
        <w:tc>
          <w:tcPr>
            <w:tcW w:w="873" w:type="dxa"/>
            <w:tcBorders>
              <w:top w:val="single" w:sz="2" w:space="0" w:color="A6A6A6" w:themeColor="background1" w:themeShade="A6"/>
            </w:tcBorders>
            <w:shd w:val="clear" w:color="auto" w:fill="auto"/>
            <w:vAlign w:val="center"/>
          </w:tcPr>
          <w:p w14:paraId="284D4435" w14:textId="77777777" w:rsidR="00AF1D22" w:rsidRPr="00A76BED" w:rsidRDefault="00AF1D22" w:rsidP="00AF1D22">
            <w:pPr>
              <w:spacing w:after="0" w:line="240" w:lineRule="auto"/>
              <w:jc w:val="right"/>
              <w:rPr>
                <w:rFonts w:cs="Arial"/>
                <w:i/>
                <w:iCs/>
                <w:color w:val="000000"/>
                <w:sz w:val="16"/>
                <w:szCs w:val="16"/>
              </w:rPr>
            </w:pPr>
          </w:p>
        </w:tc>
        <w:tc>
          <w:tcPr>
            <w:tcW w:w="1196" w:type="dxa"/>
            <w:tcBorders>
              <w:top w:val="single" w:sz="2" w:space="0" w:color="A6A6A6" w:themeColor="background1" w:themeShade="A6"/>
            </w:tcBorders>
            <w:shd w:val="clear" w:color="auto" w:fill="auto"/>
            <w:vAlign w:val="center"/>
          </w:tcPr>
          <w:p w14:paraId="373E6C36" w14:textId="77777777" w:rsidR="00AF1D22" w:rsidRPr="00A76BED" w:rsidRDefault="00AF1D22" w:rsidP="00AF1D22">
            <w:pPr>
              <w:spacing w:after="0" w:line="240" w:lineRule="auto"/>
              <w:jc w:val="right"/>
              <w:rPr>
                <w:rFonts w:cs="Arial"/>
                <w:i/>
                <w:iCs/>
                <w:color w:val="000000"/>
                <w:sz w:val="16"/>
                <w:szCs w:val="16"/>
              </w:rPr>
            </w:pPr>
          </w:p>
        </w:tc>
        <w:tc>
          <w:tcPr>
            <w:tcW w:w="1196" w:type="dxa"/>
            <w:tcBorders>
              <w:top w:val="single" w:sz="2" w:space="0" w:color="A6A6A6" w:themeColor="background1" w:themeShade="A6"/>
            </w:tcBorders>
            <w:shd w:val="clear" w:color="auto" w:fill="auto"/>
            <w:vAlign w:val="center"/>
          </w:tcPr>
          <w:p w14:paraId="70CA2DFA" w14:textId="77777777" w:rsidR="00AF1D22" w:rsidRPr="00A76BED" w:rsidRDefault="00AF1D22" w:rsidP="00AF1D22">
            <w:pPr>
              <w:spacing w:after="0" w:line="240" w:lineRule="auto"/>
              <w:jc w:val="right"/>
              <w:rPr>
                <w:rFonts w:cs="Arial"/>
                <w:i/>
                <w:iCs/>
                <w:color w:val="000000"/>
                <w:sz w:val="16"/>
                <w:szCs w:val="16"/>
              </w:rPr>
            </w:pPr>
          </w:p>
        </w:tc>
      </w:tr>
      <w:tr w:rsidR="00AF1D22" w:rsidRPr="00A76BED" w14:paraId="3B01A174" w14:textId="77777777" w:rsidTr="00AF1D22">
        <w:trPr>
          <w:cantSplit/>
          <w:jc w:val="center"/>
        </w:trPr>
        <w:tc>
          <w:tcPr>
            <w:tcW w:w="394" w:type="dxa"/>
            <w:shd w:val="clear" w:color="auto" w:fill="auto"/>
            <w:vAlign w:val="center"/>
          </w:tcPr>
          <w:p w14:paraId="4EDDB8BE" w14:textId="77777777" w:rsidR="00AF1D22" w:rsidRPr="00A76BED" w:rsidRDefault="00AF1D22" w:rsidP="00AF1D22">
            <w:pPr>
              <w:spacing w:after="0" w:line="240" w:lineRule="auto"/>
              <w:jc w:val="center"/>
              <w:rPr>
                <w:rFonts w:cs="Arial"/>
                <w:i/>
                <w:iCs/>
                <w:color w:val="000000"/>
                <w:sz w:val="16"/>
                <w:szCs w:val="16"/>
              </w:rPr>
            </w:pPr>
          </w:p>
        </w:tc>
        <w:tc>
          <w:tcPr>
            <w:tcW w:w="2166" w:type="dxa"/>
            <w:shd w:val="clear" w:color="auto" w:fill="auto"/>
            <w:vAlign w:val="center"/>
          </w:tcPr>
          <w:p w14:paraId="2B051D4D" w14:textId="77777777" w:rsidR="00AF1D22" w:rsidRPr="00A76BED" w:rsidRDefault="00AF1D22" w:rsidP="00AF1D22">
            <w:pPr>
              <w:spacing w:after="0" w:line="240" w:lineRule="auto"/>
              <w:jc w:val="left"/>
              <w:rPr>
                <w:rFonts w:cs="Arial"/>
                <w:i/>
                <w:iCs/>
                <w:color w:val="000000"/>
                <w:sz w:val="16"/>
                <w:szCs w:val="16"/>
              </w:rPr>
            </w:pPr>
          </w:p>
        </w:tc>
        <w:tc>
          <w:tcPr>
            <w:tcW w:w="1037" w:type="dxa"/>
            <w:shd w:val="clear" w:color="auto" w:fill="auto"/>
            <w:vAlign w:val="center"/>
          </w:tcPr>
          <w:p w14:paraId="7E41E95D" w14:textId="77777777" w:rsidR="00AF1D22" w:rsidRPr="00A76BED" w:rsidRDefault="00AF1D22" w:rsidP="00AF1D22">
            <w:pPr>
              <w:spacing w:after="0" w:line="240" w:lineRule="auto"/>
              <w:jc w:val="right"/>
              <w:rPr>
                <w:rFonts w:cs="Arial"/>
                <w:i/>
                <w:iCs/>
                <w:color w:val="000000"/>
                <w:sz w:val="16"/>
                <w:szCs w:val="16"/>
              </w:rPr>
            </w:pPr>
          </w:p>
        </w:tc>
        <w:tc>
          <w:tcPr>
            <w:tcW w:w="1196" w:type="dxa"/>
            <w:shd w:val="clear" w:color="auto" w:fill="auto"/>
            <w:vAlign w:val="center"/>
          </w:tcPr>
          <w:p w14:paraId="41A27F2F" w14:textId="77777777" w:rsidR="00AF1D22" w:rsidRPr="00A76BED" w:rsidRDefault="00AF1D22" w:rsidP="00AF1D22">
            <w:pPr>
              <w:spacing w:after="0" w:line="240" w:lineRule="auto"/>
              <w:jc w:val="right"/>
              <w:rPr>
                <w:rFonts w:cs="Arial"/>
                <w:i/>
                <w:iCs/>
                <w:color w:val="000000"/>
                <w:sz w:val="16"/>
                <w:szCs w:val="16"/>
              </w:rPr>
            </w:pPr>
          </w:p>
        </w:tc>
        <w:tc>
          <w:tcPr>
            <w:tcW w:w="1196" w:type="dxa"/>
            <w:shd w:val="clear" w:color="auto" w:fill="auto"/>
            <w:vAlign w:val="center"/>
          </w:tcPr>
          <w:p w14:paraId="11F60538" w14:textId="77777777" w:rsidR="00AF1D22" w:rsidRPr="00A76BED" w:rsidRDefault="00AF1D22" w:rsidP="00AF1D22">
            <w:pPr>
              <w:spacing w:after="0" w:line="240" w:lineRule="auto"/>
              <w:jc w:val="right"/>
              <w:rPr>
                <w:rFonts w:cs="Arial"/>
                <w:i/>
                <w:iCs/>
                <w:color w:val="000000"/>
                <w:sz w:val="16"/>
                <w:szCs w:val="16"/>
              </w:rPr>
            </w:pPr>
          </w:p>
        </w:tc>
        <w:tc>
          <w:tcPr>
            <w:tcW w:w="873" w:type="dxa"/>
            <w:shd w:val="clear" w:color="auto" w:fill="auto"/>
            <w:vAlign w:val="center"/>
          </w:tcPr>
          <w:p w14:paraId="2632F256" w14:textId="77777777" w:rsidR="00AF1D22" w:rsidRPr="00A76BED" w:rsidRDefault="00AF1D22" w:rsidP="00AF1D22">
            <w:pPr>
              <w:spacing w:after="0" w:line="240" w:lineRule="auto"/>
              <w:jc w:val="right"/>
              <w:rPr>
                <w:rFonts w:cs="Arial"/>
                <w:i/>
                <w:iCs/>
                <w:color w:val="000000"/>
                <w:sz w:val="16"/>
                <w:szCs w:val="16"/>
              </w:rPr>
            </w:pPr>
          </w:p>
        </w:tc>
        <w:tc>
          <w:tcPr>
            <w:tcW w:w="1196" w:type="dxa"/>
            <w:shd w:val="clear" w:color="auto" w:fill="auto"/>
            <w:vAlign w:val="center"/>
          </w:tcPr>
          <w:p w14:paraId="0B87A18A" w14:textId="77777777" w:rsidR="00AF1D22" w:rsidRPr="00A76BED" w:rsidRDefault="00AF1D22" w:rsidP="00AF1D22">
            <w:pPr>
              <w:spacing w:after="0" w:line="240" w:lineRule="auto"/>
              <w:jc w:val="right"/>
              <w:rPr>
                <w:rFonts w:cs="Arial"/>
                <w:i/>
                <w:iCs/>
                <w:color w:val="000000"/>
                <w:sz w:val="16"/>
                <w:szCs w:val="16"/>
              </w:rPr>
            </w:pPr>
          </w:p>
        </w:tc>
        <w:tc>
          <w:tcPr>
            <w:tcW w:w="1196" w:type="dxa"/>
            <w:shd w:val="clear" w:color="auto" w:fill="auto"/>
            <w:vAlign w:val="center"/>
          </w:tcPr>
          <w:p w14:paraId="6D4CEBDE" w14:textId="77777777" w:rsidR="00AF1D22" w:rsidRPr="00A76BED" w:rsidRDefault="00AF1D22" w:rsidP="00AF1D22">
            <w:pPr>
              <w:spacing w:after="0" w:line="240" w:lineRule="auto"/>
              <w:jc w:val="right"/>
              <w:rPr>
                <w:rFonts w:cs="Arial"/>
                <w:i/>
                <w:iCs/>
                <w:color w:val="000000"/>
                <w:sz w:val="16"/>
                <w:szCs w:val="16"/>
              </w:rPr>
            </w:pPr>
          </w:p>
        </w:tc>
      </w:tr>
      <w:tr w:rsidR="00AF1D22" w:rsidRPr="00A76BED" w14:paraId="079B0290" w14:textId="77777777" w:rsidTr="00AF1D22">
        <w:trPr>
          <w:cantSplit/>
          <w:jc w:val="center"/>
        </w:trPr>
        <w:tc>
          <w:tcPr>
            <w:tcW w:w="394" w:type="dxa"/>
            <w:shd w:val="clear" w:color="auto" w:fill="auto"/>
            <w:vAlign w:val="center"/>
          </w:tcPr>
          <w:p w14:paraId="543C43E4" w14:textId="77777777" w:rsidR="00AF1D22" w:rsidRPr="00A76BED" w:rsidRDefault="00AF1D22" w:rsidP="00AF1D22">
            <w:pPr>
              <w:spacing w:after="0" w:line="240" w:lineRule="auto"/>
              <w:jc w:val="center"/>
              <w:rPr>
                <w:rFonts w:cs="Arial"/>
                <w:i/>
                <w:iCs/>
                <w:color w:val="000000"/>
                <w:sz w:val="16"/>
                <w:szCs w:val="16"/>
              </w:rPr>
            </w:pPr>
          </w:p>
        </w:tc>
        <w:tc>
          <w:tcPr>
            <w:tcW w:w="2166" w:type="dxa"/>
            <w:shd w:val="clear" w:color="auto" w:fill="auto"/>
            <w:vAlign w:val="center"/>
          </w:tcPr>
          <w:p w14:paraId="2705681B" w14:textId="77777777" w:rsidR="00AF1D22" w:rsidRPr="00A76BED" w:rsidRDefault="00AF1D22" w:rsidP="00AF1D22">
            <w:pPr>
              <w:spacing w:after="0" w:line="240" w:lineRule="auto"/>
              <w:jc w:val="left"/>
              <w:rPr>
                <w:rFonts w:cs="Arial"/>
                <w:i/>
                <w:iCs/>
                <w:color w:val="000000"/>
                <w:sz w:val="16"/>
                <w:szCs w:val="16"/>
              </w:rPr>
            </w:pPr>
          </w:p>
        </w:tc>
        <w:tc>
          <w:tcPr>
            <w:tcW w:w="1037" w:type="dxa"/>
            <w:shd w:val="clear" w:color="auto" w:fill="auto"/>
            <w:vAlign w:val="center"/>
          </w:tcPr>
          <w:p w14:paraId="1577AB54" w14:textId="77777777" w:rsidR="00AF1D22" w:rsidRPr="00A76BED" w:rsidRDefault="00AF1D22" w:rsidP="00AF1D22">
            <w:pPr>
              <w:spacing w:after="0" w:line="240" w:lineRule="auto"/>
              <w:jc w:val="right"/>
              <w:rPr>
                <w:rFonts w:cs="Arial"/>
                <w:i/>
                <w:iCs/>
                <w:color w:val="000000"/>
                <w:sz w:val="16"/>
                <w:szCs w:val="16"/>
              </w:rPr>
            </w:pPr>
          </w:p>
        </w:tc>
        <w:tc>
          <w:tcPr>
            <w:tcW w:w="1196" w:type="dxa"/>
            <w:shd w:val="clear" w:color="auto" w:fill="auto"/>
            <w:vAlign w:val="center"/>
          </w:tcPr>
          <w:p w14:paraId="2AF46EFD" w14:textId="77777777" w:rsidR="00AF1D22" w:rsidRPr="00A76BED" w:rsidRDefault="00AF1D22" w:rsidP="00AF1D22">
            <w:pPr>
              <w:spacing w:after="0" w:line="240" w:lineRule="auto"/>
              <w:jc w:val="right"/>
              <w:rPr>
                <w:rFonts w:cs="Arial"/>
                <w:i/>
                <w:iCs/>
                <w:color w:val="000000"/>
                <w:sz w:val="16"/>
                <w:szCs w:val="16"/>
              </w:rPr>
            </w:pPr>
          </w:p>
        </w:tc>
        <w:tc>
          <w:tcPr>
            <w:tcW w:w="1196" w:type="dxa"/>
            <w:shd w:val="clear" w:color="auto" w:fill="auto"/>
            <w:vAlign w:val="center"/>
          </w:tcPr>
          <w:p w14:paraId="7E529F99" w14:textId="77777777" w:rsidR="00AF1D22" w:rsidRPr="00A76BED" w:rsidRDefault="00AF1D22" w:rsidP="00AF1D22">
            <w:pPr>
              <w:spacing w:after="0" w:line="240" w:lineRule="auto"/>
              <w:jc w:val="right"/>
              <w:rPr>
                <w:rFonts w:cs="Arial"/>
                <w:i/>
                <w:iCs/>
                <w:color w:val="000000"/>
                <w:sz w:val="16"/>
                <w:szCs w:val="16"/>
              </w:rPr>
            </w:pPr>
          </w:p>
        </w:tc>
        <w:tc>
          <w:tcPr>
            <w:tcW w:w="873" w:type="dxa"/>
            <w:shd w:val="clear" w:color="auto" w:fill="auto"/>
            <w:vAlign w:val="center"/>
          </w:tcPr>
          <w:p w14:paraId="42C1998F" w14:textId="77777777" w:rsidR="00AF1D22" w:rsidRPr="00A76BED" w:rsidRDefault="00AF1D22" w:rsidP="00AF1D22">
            <w:pPr>
              <w:spacing w:after="0" w:line="240" w:lineRule="auto"/>
              <w:jc w:val="right"/>
              <w:rPr>
                <w:rFonts w:cs="Arial"/>
                <w:i/>
                <w:iCs/>
                <w:color w:val="000000"/>
                <w:sz w:val="16"/>
                <w:szCs w:val="16"/>
              </w:rPr>
            </w:pPr>
          </w:p>
        </w:tc>
        <w:tc>
          <w:tcPr>
            <w:tcW w:w="1196" w:type="dxa"/>
            <w:shd w:val="clear" w:color="auto" w:fill="auto"/>
            <w:vAlign w:val="center"/>
          </w:tcPr>
          <w:p w14:paraId="182CC8DC" w14:textId="77777777" w:rsidR="00AF1D22" w:rsidRPr="00A76BED" w:rsidRDefault="00AF1D22" w:rsidP="00AF1D22">
            <w:pPr>
              <w:spacing w:after="0" w:line="240" w:lineRule="auto"/>
              <w:jc w:val="right"/>
              <w:rPr>
                <w:rFonts w:cs="Arial"/>
                <w:i/>
                <w:iCs/>
                <w:color w:val="000000"/>
                <w:sz w:val="16"/>
                <w:szCs w:val="16"/>
              </w:rPr>
            </w:pPr>
          </w:p>
        </w:tc>
        <w:tc>
          <w:tcPr>
            <w:tcW w:w="1196" w:type="dxa"/>
            <w:shd w:val="clear" w:color="auto" w:fill="auto"/>
            <w:vAlign w:val="center"/>
          </w:tcPr>
          <w:p w14:paraId="09226576" w14:textId="77777777" w:rsidR="00AF1D22" w:rsidRPr="00A76BED" w:rsidRDefault="00AF1D22" w:rsidP="00AF1D22">
            <w:pPr>
              <w:spacing w:after="0" w:line="240" w:lineRule="auto"/>
              <w:jc w:val="right"/>
              <w:rPr>
                <w:rFonts w:cs="Arial"/>
                <w:i/>
                <w:iCs/>
                <w:color w:val="000000"/>
                <w:sz w:val="16"/>
                <w:szCs w:val="16"/>
              </w:rPr>
            </w:pPr>
          </w:p>
        </w:tc>
      </w:tr>
      <w:tr w:rsidR="00AF1D22" w:rsidRPr="00A76BED" w14:paraId="08BC71CA" w14:textId="77777777" w:rsidTr="00AF1D22">
        <w:trPr>
          <w:cantSplit/>
          <w:jc w:val="center"/>
        </w:trPr>
        <w:tc>
          <w:tcPr>
            <w:tcW w:w="394" w:type="dxa"/>
            <w:shd w:val="clear" w:color="auto" w:fill="auto"/>
            <w:vAlign w:val="center"/>
          </w:tcPr>
          <w:p w14:paraId="6EAE6227" w14:textId="77777777" w:rsidR="00AF1D22" w:rsidRPr="00A76BED" w:rsidRDefault="00AF1D22" w:rsidP="00AF1D22">
            <w:pPr>
              <w:spacing w:after="0" w:line="240" w:lineRule="auto"/>
              <w:jc w:val="center"/>
              <w:rPr>
                <w:rFonts w:cs="Arial"/>
                <w:i/>
                <w:iCs/>
                <w:color w:val="000000"/>
                <w:sz w:val="16"/>
                <w:szCs w:val="16"/>
              </w:rPr>
            </w:pPr>
          </w:p>
        </w:tc>
        <w:tc>
          <w:tcPr>
            <w:tcW w:w="2166" w:type="dxa"/>
            <w:shd w:val="clear" w:color="auto" w:fill="auto"/>
            <w:vAlign w:val="center"/>
          </w:tcPr>
          <w:p w14:paraId="32F86B54" w14:textId="77777777" w:rsidR="00AF1D22" w:rsidRPr="00A76BED" w:rsidRDefault="00AF1D22" w:rsidP="00AF1D22">
            <w:pPr>
              <w:spacing w:after="0" w:line="240" w:lineRule="auto"/>
              <w:jc w:val="left"/>
              <w:rPr>
                <w:rFonts w:cs="Arial"/>
                <w:i/>
                <w:iCs/>
                <w:color w:val="000000"/>
                <w:sz w:val="16"/>
                <w:szCs w:val="16"/>
              </w:rPr>
            </w:pPr>
          </w:p>
        </w:tc>
        <w:tc>
          <w:tcPr>
            <w:tcW w:w="1037" w:type="dxa"/>
            <w:shd w:val="clear" w:color="auto" w:fill="auto"/>
            <w:vAlign w:val="center"/>
          </w:tcPr>
          <w:p w14:paraId="7F3A4469" w14:textId="77777777" w:rsidR="00AF1D22" w:rsidRPr="00A76BED" w:rsidRDefault="00AF1D22" w:rsidP="00AF1D22">
            <w:pPr>
              <w:spacing w:after="0" w:line="240" w:lineRule="auto"/>
              <w:jc w:val="right"/>
              <w:rPr>
                <w:rFonts w:cs="Arial"/>
                <w:i/>
                <w:iCs/>
                <w:color w:val="000000"/>
                <w:sz w:val="16"/>
                <w:szCs w:val="16"/>
              </w:rPr>
            </w:pPr>
          </w:p>
        </w:tc>
        <w:tc>
          <w:tcPr>
            <w:tcW w:w="1196" w:type="dxa"/>
            <w:shd w:val="clear" w:color="auto" w:fill="auto"/>
            <w:vAlign w:val="center"/>
          </w:tcPr>
          <w:p w14:paraId="795F7A9C" w14:textId="77777777" w:rsidR="00AF1D22" w:rsidRPr="00A76BED" w:rsidRDefault="00AF1D22" w:rsidP="00AF1D22">
            <w:pPr>
              <w:spacing w:after="0" w:line="240" w:lineRule="auto"/>
              <w:jc w:val="right"/>
              <w:rPr>
                <w:rFonts w:cs="Arial"/>
                <w:i/>
                <w:iCs/>
                <w:color w:val="000000"/>
                <w:sz w:val="16"/>
                <w:szCs w:val="16"/>
              </w:rPr>
            </w:pPr>
          </w:p>
        </w:tc>
        <w:tc>
          <w:tcPr>
            <w:tcW w:w="1196" w:type="dxa"/>
            <w:shd w:val="clear" w:color="auto" w:fill="auto"/>
            <w:vAlign w:val="center"/>
          </w:tcPr>
          <w:p w14:paraId="5EEFA649" w14:textId="77777777" w:rsidR="00AF1D22" w:rsidRPr="00A76BED" w:rsidRDefault="00AF1D22" w:rsidP="00AF1D22">
            <w:pPr>
              <w:spacing w:after="0" w:line="240" w:lineRule="auto"/>
              <w:jc w:val="right"/>
              <w:rPr>
                <w:rFonts w:cs="Arial"/>
                <w:i/>
                <w:iCs/>
                <w:color w:val="000000"/>
                <w:sz w:val="16"/>
                <w:szCs w:val="16"/>
              </w:rPr>
            </w:pPr>
          </w:p>
        </w:tc>
        <w:tc>
          <w:tcPr>
            <w:tcW w:w="873" w:type="dxa"/>
            <w:shd w:val="clear" w:color="auto" w:fill="auto"/>
            <w:vAlign w:val="center"/>
          </w:tcPr>
          <w:p w14:paraId="2ACB22DA" w14:textId="77777777" w:rsidR="00AF1D22" w:rsidRPr="00A76BED" w:rsidRDefault="00AF1D22" w:rsidP="00AF1D22">
            <w:pPr>
              <w:spacing w:after="0" w:line="240" w:lineRule="auto"/>
              <w:jc w:val="right"/>
              <w:rPr>
                <w:rFonts w:cs="Arial"/>
                <w:i/>
                <w:iCs/>
                <w:color w:val="000000"/>
                <w:sz w:val="16"/>
                <w:szCs w:val="16"/>
              </w:rPr>
            </w:pPr>
          </w:p>
        </w:tc>
        <w:tc>
          <w:tcPr>
            <w:tcW w:w="1196" w:type="dxa"/>
            <w:shd w:val="clear" w:color="auto" w:fill="auto"/>
            <w:vAlign w:val="center"/>
          </w:tcPr>
          <w:p w14:paraId="4E04C0FD" w14:textId="77777777" w:rsidR="00AF1D22" w:rsidRPr="00A76BED" w:rsidRDefault="00AF1D22" w:rsidP="00AF1D22">
            <w:pPr>
              <w:spacing w:after="0" w:line="240" w:lineRule="auto"/>
              <w:jc w:val="right"/>
              <w:rPr>
                <w:rFonts w:cs="Arial"/>
                <w:i/>
                <w:iCs/>
                <w:color w:val="000000"/>
                <w:sz w:val="16"/>
                <w:szCs w:val="16"/>
              </w:rPr>
            </w:pPr>
          </w:p>
        </w:tc>
        <w:tc>
          <w:tcPr>
            <w:tcW w:w="1196" w:type="dxa"/>
            <w:shd w:val="clear" w:color="auto" w:fill="auto"/>
            <w:vAlign w:val="center"/>
          </w:tcPr>
          <w:p w14:paraId="276C81CE" w14:textId="77777777" w:rsidR="00AF1D22" w:rsidRPr="00A76BED" w:rsidRDefault="00AF1D22" w:rsidP="00AF1D22">
            <w:pPr>
              <w:spacing w:after="0" w:line="240" w:lineRule="auto"/>
              <w:jc w:val="right"/>
              <w:rPr>
                <w:rFonts w:cs="Arial"/>
                <w:i/>
                <w:iCs/>
                <w:color w:val="000000"/>
                <w:sz w:val="16"/>
                <w:szCs w:val="16"/>
              </w:rPr>
            </w:pPr>
          </w:p>
        </w:tc>
      </w:tr>
      <w:tr w:rsidR="00A91D86" w:rsidRPr="00A76BED" w14:paraId="63243F73"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49B368D"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lastRenderedPageBreak/>
              <w:t>8</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1188AB46"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Πολιτισμού</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31F641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55</w:t>
            </w:r>
          </w:p>
        </w:tc>
        <w:tc>
          <w:tcPr>
            <w:tcW w:w="1196" w:type="dxa"/>
            <w:tcBorders>
              <w:left w:val="single" w:sz="2" w:space="0" w:color="A6A6A6" w:themeColor="background1" w:themeShade="A6"/>
            </w:tcBorders>
            <w:shd w:val="clear" w:color="000000" w:fill="D5DCE4"/>
            <w:vAlign w:val="center"/>
            <w:hideMark/>
          </w:tcPr>
          <w:p w14:paraId="264E862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516</w:t>
            </w:r>
          </w:p>
        </w:tc>
        <w:tc>
          <w:tcPr>
            <w:tcW w:w="1196" w:type="dxa"/>
            <w:shd w:val="clear" w:color="000000" w:fill="D5DCE4"/>
            <w:vAlign w:val="center"/>
            <w:hideMark/>
          </w:tcPr>
          <w:p w14:paraId="2D7DD69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470</w:t>
            </w:r>
          </w:p>
        </w:tc>
        <w:tc>
          <w:tcPr>
            <w:tcW w:w="873" w:type="dxa"/>
            <w:shd w:val="clear" w:color="000000" w:fill="D5DCE4"/>
            <w:vAlign w:val="center"/>
            <w:hideMark/>
          </w:tcPr>
          <w:p w14:paraId="4F9F51AD"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47</w:t>
            </w:r>
          </w:p>
        </w:tc>
        <w:tc>
          <w:tcPr>
            <w:tcW w:w="1196" w:type="dxa"/>
            <w:shd w:val="clear" w:color="000000" w:fill="D5DCE4"/>
            <w:vAlign w:val="center"/>
            <w:hideMark/>
          </w:tcPr>
          <w:p w14:paraId="2E0D315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12</w:t>
            </w:r>
          </w:p>
        </w:tc>
        <w:tc>
          <w:tcPr>
            <w:tcW w:w="1196" w:type="dxa"/>
            <w:tcBorders>
              <w:right w:val="single" w:sz="2" w:space="0" w:color="A6A6A6" w:themeColor="background1" w:themeShade="A6"/>
            </w:tcBorders>
            <w:shd w:val="clear" w:color="000000" w:fill="D5DCE4"/>
            <w:vAlign w:val="center"/>
            <w:hideMark/>
          </w:tcPr>
          <w:p w14:paraId="4B2B9C9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13</w:t>
            </w:r>
          </w:p>
        </w:tc>
      </w:tr>
      <w:tr w:rsidR="00A91D86" w:rsidRPr="00A76BED" w14:paraId="06903527" w14:textId="77777777" w:rsidTr="0099413B">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00A307C2" w14:textId="0F951168"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096D3CF3"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3EC7F4D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60</w:t>
            </w:r>
          </w:p>
        </w:tc>
        <w:tc>
          <w:tcPr>
            <w:tcW w:w="1196" w:type="dxa"/>
            <w:tcBorders>
              <w:left w:val="single" w:sz="2" w:space="0" w:color="A6A6A6" w:themeColor="background1" w:themeShade="A6"/>
            </w:tcBorders>
            <w:shd w:val="clear" w:color="auto" w:fill="auto"/>
            <w:vAlign w:val="center"/>
            <w:hideMark/>
          </w:tcPr>
          <w:p w14:paraId="1808DB2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327</w:t>
            </w:r>
          </w:p>
        </w:tc>
        <w:tc>
          <w:tcPr>
            <w:tcW w:w="1196" w:type="dxa"/>
            <w:shd w:val="clear" w:color="auto" w:fill="auto"/>
            <w:vAlign w:val="center"/>
            <w:hideMark/>
          </w:tcPr>
          <w:p w14:paraId="26CC065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267</w:t>
            </w:r>
          </w:p>
        </w:tc>
        <w:tc>
          <w:tcPr>
            <w:tcW w:w="873" w:type="dxa"/>
            <w:shd w:val="clear" w:color="auto" w:fill="auto"/>
            <w:vAlign w:val="center"/>
            <w:hideMark/>
          </w:tcPr>
          <w:p w14:paraId="7C1C00A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60</w:t>
            </w:r>
          </w:p>
        </w:tc>
        <w:tc>
          <w:tcPr>
            <w:tcW w:w="1196" w:type="dxa"/>
            <w:shd w:val="clear" w:color="auto" w:fill="auto"/>
            <w:vAlign w:val="center"/>
            <w:hideMark/>
          </w:tcPr>
          <w:p w14:paraId="5952310E" w14:textId="77777777" w:rsidR="00A91D86" w:rsidRPr="00A76BED" w:rsidRDefault="00A91D86" w:rsidP="009525DC">
            <w:pPr>
              <w:spacing w:after="0" w:line="276" w:lineRule="auto"/>
              <w:jc w:val="right"/>
              <w:rPr>
                <w:rFonts w:cs="Arial"/>
                <w:i/>
                <w:iCs/>
                <w:sz w:val="16"/>
                <w:szCs w:val="16"/>
              </w:rPr>
            </w:pPr>
            <w:r w:rsidRPr="00A76BED">
              <w:rPr>
                <w:rFonts w:cs="Arial"/>
                <w:i/>
                <w:iCs/>
                <w:sz w:val="16"/>
                <w:szCs w:val="16"/>
              </w:rPr>
              <w:t>12</w:t>
            </w:r>
          </w:p>
        </w:tc>
        <w:tc>
          <w:tcPr>
            <w:tcW w:w="1196" w:type="dxa"/>
            <w:tcBorders>
              <w:right w:val="single" w:sz="2" w:space="0" w:color="A6A6A6" w:themeColor="background1" w:themeShade="A6"/>
            </w:tcBorders>
            <w:shd w:val="clear" w:color="auto" w:fill="auto"/>
            <w:vAlign w:val="center"/>
            <w:hideMark/>
          </w:tcPr>
          <w:p w14:paraId="4130C206" w14:textId="77777777" w:rsidR="00A91D86" w:rsidRPr="00A76BED" w:rsidRDefault="00A91D86" w:rsidP="009525DC">
            <w:pPr>
              <w:spacing w:after="0" w:line="276" w:lineRule="auto"/>
              <w:jc w:val="right"/>
              <w:rPr>
                <w:rFonts w:cs="Arial"/>
                <w:i/>
                <w:iCs/>
                <w:sz w:val="16"/>
                <w:szCs w:val="16"/>
              </w:rPr>
            </w:pPr>
            <w:r w:rsidRPr="00A76BED">
              <w:rPr>
                <w:rFonts w:cs="Arial"/>
                <w:i/>
                <w:iCs/>
                <w:sz w:val="16"/>
                <w:szCs w:val="16"/>
              </w:rPr>
              <w:t>13</w:t>
            </w:r>
          </w:p>
        </w:tc>
      </w:tr>
      <w:tr w:rsidR="00A91D86" w:rsidRPr="00A76BED" w14:paraId="0925B638" w14:textId="77777777" w:rsidTr="0099413B">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6553CBE4" w14:textId="64C98A30"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5AC1E8E8"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5C10E88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w:t>
            </w:r>
          </w:p>
        </w:tc>
        <w:tc>
          <w:tcPr>
            <w:tcW w:w="1196" w:type="dxa"/>
            <w:tcBorders>
              <w:left w:val="single" w:sz="2" w:space="0" w:color="A6A6A6" w:themeColor="background1" w:themeShade="A6"/>
            </w:tcBorders>
            <w:shd w:val="clear" w:color="auto" w:fill="auto"/>
            <w:vAlign w:val="center"/>
            <w:hideMark/>
          </w:tcPr>
          <w:p w14:paraId="0FB500C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190</w:t>
            </w:r>
          </w:p>
        </w:tc>
        <w:tc>
          <w:tcPr>
            <w:tcW w:w="1196" w:type="dxa"/>
            <w:shd w:val="clear" w:color="auto" w:fill="auto"/>
            <w:vAlign w:val="center"/>
            <w:hideMark/>
          </w:tcPr>
          <w:p w14:paraId="2DEC5AB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203</w:t>
            </w:r>
          </w:p>
        </w:tc>
        <w:tc>
          <w:tcPr>
            <w:tcW w:w="873" w:type="dxa"/>
            <w:shd w:val="clear" w:color="auto" w:fill="auto"/>
            <w:vAlign w:val="center"/>
            <w:hideMark/>
          </w:tcPr>
          <w:p w14:paraId="5F60F8B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-13</w:t>
            </w:r>
          </w:p>
        </w:tc>
        <w:tc>
          <w:tcPr>
            <w:tcW w:w="1196" w:type="dxa"/>
            <w:shd w:val="clear" w:color="auto" w:fill="auto"/>
            <w:vAlign w:val="center"/>
            <w:hideMark/>
          </w:tcPr>
          <w:p w14:paraId="263192D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shd w:val="clear" w:color="auto" w:fill="auto"/>
            <w:vAlign w:val="center"/>
            <w:hideMark/>
          </w:tcPr>
          <w:p w14:paraId="56DA20B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0C761B65" w14:textId="77777777" w:rsidTr="0099413B">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6CC3C7E"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9</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64395F73"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Εθνικής Οικονομίας και Οικονομικών</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80FA90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446</w:t>
            </w:r>
          </w:p>
        </w:tc>
        <w:tc>
          <w:tcPr>
            <w:tcW w:w="1196" w:type="dxa"/>
            <w:tcBorders>
              <w:left w:val="single" w:sz="2" w:space="0" w:color="A6A6A6" w:themeColor="background1" w:themeShade="A6"/>
            </w:tcBorders>
            <w:shd w:val="clear" w:color="000000" w:fill="D5DCE4"/>
            <w:vAlign w:val="center"/>
            <w:hideMark/>
          </w:tcPr>
          <w:p w14:paraId="5BD43AB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1.442</w:t>
            </w:r>
          </w:p>
        </w:tc>
        <w:tc>
          <w:tcPr>
            <w:tcW w:w="1196" w:type="dxa"/>
            <w:shd w:val="clear" w:color="000000" w:fill="D5DCE4"/>
            <w:vAlign w:val="center"/>
            <w:hideMark/>
          </w:tcPr>
          <w:p w14:paraId="77DE9CF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1.056</w:t>
            </w:r>
          </w:p>
        </w:tc>
        <w:tc>
          <w:tcPr>
            <w:tcW w:w="873" w:type="dxa"/>
            <w:shd w:val="clear" w:color="000000" w:fill="D5DCE4"/>
            <w:vAlign w:val="center"/>
            <w:hideMark/>
          </w:tcPr>
          <w:p w14:paraId="3239431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385</w:t>
            </w:r>
          </w:p>
        </w:tc>
        <w:tc>
          <w:tcPr>
            <w:tcW w:w="1196" w:type="dxa"/>
            <w:shd w:val="clear" w:color="000000" w:fill="D5DCE4"/>
            <w:vAlign w:val="center"/>
            <w:hideMark/>
          </w:tcPr>
          <w:p w14:paraId="59CFB79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w:t>
            </w:r>
          </w:p>
        </w:tc>
        <w:tc>
          <w:tcPr>
            <w:tcW w:w="1196" w:type="dxa"/>
            <w:tcBorders>
              <w:right w:val="single" w:sz="2" w:space="0" w:color="A6A6A6" w:themeColor="background1" w:themeShade="A6"/>
            </w:tcBorders>
            <w:shd w:val="clear" w:color="000000" w:fill="D5DCE4"/>
            <w:vAlign w:val="center"/>
            <w:hideMark/>
          </w:tcPr>
          <w:p w14:paraId="10C263A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41</w:t>
            </w:r>
          </w:p>
        </w:tc>
      </w:tr>
      <w:tr w:rsidR="00A91D86" w:rsidRPr="00A76BED" w14:paraId="799565F2"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2A05B2BB" w14:textId="22C73140"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37A67CE3"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0911D8D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84</w:t>
            </w:r>
          </w:p>
        </w:tc>
        <w:tc>
          <w:tcPr>
            <w:tcW w:w="1196" w:type="dxa"/>
            <w:tcBorders>
              <w:left w:val="single" w:sz="2" w:space="0" w:color="A6A6A6" w:themeColor="background1" w:themeShade="A6"/>
            </w:tcBorders>
            <w:shd w:val="clear" w:color="auto" w:fill="auto"/>
            <w:vAlign w:val="center"/>
            <w:hideMark/>
          </w:tcPr>
          <w:p w14:paraId="0CB8C22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483</w:t>
            </w:r>
          </w:p>
        </w:tc>
        <w:tc>
          <w:tcPr>
            <w:tcW w:w="1196" w:type="dxa"/>
            <w:shd w:val="clear" w:color="auto" w:fill="auto"/>
            <w:vAlign w:val="center"/>
            <w:hideMark/>
          </w:tcPr>
          <w:p w14:paraId="26FCB99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358</w:t>
            </w:r>
          </w:p>
        </w:tc>
        <w:tc>
          <w:tcPr>
            <w:tcW w:w="873" w:type="dxa"/>
            <w:shd w:val="clear" w:color="auto" w:fill="auto"/>
            <w:vAlign w:val="center"/>
            <w:hideMark/>
          </w:tcPr>
          <w:p w14:paraId="4868BFE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126</w:t>
            </w:r>
          </w:p>
        </w:tc>
        <w:tc>
          <w:tcPr>
            <w:tcW w:w="1196" w:type="dxa"/>
            <w:shd w:val="clear" w:color="auto" w:fill="auto"/>
            <w:vAlign w:val="center"/>
            <w:hideMark/>
          </w:tcPr>
          <w:p w14:paraId="7595F56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right w:val="single" w:sz="2" w:space="0" w:color="A6A6A6" w:themeColor="background1" w:themeShade="A6"/>
            </w:tcBorders>
            <w:shd w:val="clear" w:color="auto" w:fill="auto"/>
            <w:vAlign w:val="center"/>
            <w:hideMark/>
          </w:tcPr>
          <w:p w14:paraId="14F4420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11</w:t>
            </w:r>
          </w:p>
        </w:tc>
      </w:tr>
      <w:tr w:rsidR="00A91D86" w:rsidRPr="00A76BED" w14:paraId="6362B3DC"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7374F497" w14:textId="4EB9279C"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68D83279"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4915424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362</w:t>
            </w:r>
          </w:p>
        </w:tc>
        <w:tc>
          <w:tcPr>
            <w:tcW w:w="1196" w:type="dxa"/>
            <w:tcBorders>
              <w:left w:val="single" w:sz="2" w:space="0" w:color="A6A6A6" w:themeColor="background1" w:themeShade="A6"/>
            </w:tcBorders>
            <w:shd w:val="clear" w:color="auto" w:fill="auto"/>
            <w:vAlign w:val="center"/>
            <w:hideMark/>
          </w:tcPr>
          <w:p w14:paraId="4F9C23A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958</w:t>
            </w:r>
          </w:p>
        </w:tc>
        <w:tc>
          <w:tcPr>
            <w:tcW w:w="1196" w:type="dxa"/>
            <w:shd w:val="clear" w:color="auto" w:fill="auto"/>
            <w:vAlign w:val="center"/>
            <w:hideMark/>
          </w:tcPr>
          <w:p w14:paraId="3410048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699</w:t>
            </w:r>
          </w:p>
        </w:tc>
        <w:tc>
          <w:tcPr>
            <w:tcW w:w="873" w:type="dxa"/>
            <w:shd w:val="clear" w:color="auto" w:fill="auto"/>
            <w:vAlign w:val="center"/>
            <w:hideMark/>
          </w:tcPr>
          <w:p w14:paraId="658965A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260</w:t>
            </w:r>
          </w:p>
        </w:tc>
        <w:tc>
          <w:tcPr>
            <w:tcW w:w="1196" w:type="dxa"/>
            <w:shd w:val="clear" w:color="auto" w:fill="auto"/>
            <w:vAlign w:val="center"/>
            <w:hideMark/>
          </w:tcPr>
          <w:p w14:paraId="630CEE7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1196" w:type="dxa"/>
            <w:tcBorders>
              <w:right w:val="single" w:sz="2" w:space="0" w:color="A6A6A6" w:themeColor="background1" w:themeShade="A6"/>
            </w:tcBorders>
            <w:shd w:val="clear" w:color="auto" w:fill="auto"/>
            <w:vAlign w:val="center"/>
            <w:hideMark/>
          </w:tcPr>
          <w:p w14:paraId="0225135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30</w:t>
            </w:r>
          </w:p>
        </w:tc>
      </w:tr>
      <w:tr w:rsidR="00A91D86" w:rsidRPr="00A76BED" w14:paraId="1A028E29"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5C9AE9EC"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10</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3E0CDBE6"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Αγροτικής Ανάπτυξης και Τροφίμων</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E5CE63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-452</w:t>
            </w:r>
          </w:p>
        </w:tc>
        <w:tc>
          <w:tcPr>
            <w:tcW w:w="1196" w:type="dxa"/>
            <w:tcBorders>
              <w:left w:val="single" w:sz="2" w:space="0" w:color="A6A6A6" w:themeColor="background1" w:themeShade="A6"/>
            </w:tcBorders>
            <w:shd w:val="clear" w:color="000000" w:fill="D5DCE4"/>
            <w:vAlign w:val="center"/>
            <w:hideMark/>
          </w:tcPr>
          <w:p w14:paraId="1CF98A47"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554</w:t>
            </w:r>
          </w:p>
        </w:tc>
        <w:tc>
          <w:tcPr>
            <w:tcW w:w="1196" w:type="dxa"/>
            <w:shd w:val="clear" w:color="000000" w:fill="D5DCE4"/>
            <w:vAlign w:val="center"/>
            <w:hideMark/>
          </w:tcPr>
          <w:p w14:paraId="2C3A90A6"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538</w:t>
            </w:r>
          </w:p>
        </w:tc>
        <w:tc>
          <w:tcPr>
            <w:tcW w:w="873" w:type="dxa"/>
            <w:shd w:val="clear" w:color="000000" w:fill="D5DCE4"/>
            <w:vAlign w:val="center"/>
            <w:hideMark/>
          </w:tcPr>
          <w:p w14:paraId="5DCBF56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16</w:t>
            </w:r>
          </w:p>
        </w:tc>
        <w:tc>
          <w:tcPr>
            <w:tcW w:w="1196" w:type="dxa"/>
            <w:shd w:val="clear" w:color="000000" w:fill="D5DCE4"/>
            <w:vAlign w:val="center"/>
            <w:hideMark/>
          </w:tcPr>
          <w:p w14:paraId="7491C2E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7</w:t>
            </w:r>
          </w:p>
        </w:tc>
        <w:tc>
          <w:tcPr>
            <w:tcW w:w="1196" w:type="dxa"/>
            <w:tcBorders>
              <w:right w:val="single" w:sz="2" w:space="0" w:color="A6A6A6" w:themeColor="background1" w:themeShade="A6"/>
            </w:tcBorders>
            <w:shd w:val="clear" w:color="000000" w:fill="D5DCE4"/>
            <w:vAlign w:val="center"/>
            <w:hideMark/>
          </w:tcPr>
          <w:p w14:paraId="16F04137"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7</w:t>
            </w:r>
          </w:p>
        </w:tc>
      </w:tr>
      <w:tr w:rsidR="00A91D86" w:rsidRPr="00A76BED" w14:paraId="1DC62CF7"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6F1470B1" w14:textId="303170D4"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7E34202C"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30C32B2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8</w:t>
            </w:r>
          </w:p>
        </w:tc>
        <w:tc>
          <w:tcPr>
            <w:tcW w:w="1196" w:type="dxa"/>
            <w:tcBorders>
              <w:left w:val="single" w:sz="2" w:space="0" w:color="A6A6A6" w:themeColor="background1" w:themeShade="A6"/>
            </w:tcBorders>
            <w:shd w:val="clear" w:color="auto" w:fill="auto"/>
            <w:vAlign w:val="center"/>
            <w:hideMark/>
          </w:tcPr>
          <w:p w14:paraId="4A5B31B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42</w:t>
            </w:r>
          </w:p>
        </w:tc>
        <w:tc>
          <w:tcPr>
            <w:tcW w:w="1196" w:type="dxa"/>
            <w:shd w:val="clear" w:color="auto" w:fill="auto"/>
            <w:vAlign w:val="center"/>
            <w:hideMark/>
          </w:tcPr>
          <w:p w14:paraId="278E017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38</w:t>
            </w:r>
          </w:p>
        </w:tc>
        <w:tc>
          <w:tcPr>
            <w:tcW w:w="873" w:type="dxa"/>
            <w:shd w:val="clear" w:color="auto" w:fill="auto"/>
            <w:vAlign w:val="center"/>
            <w:hideMark/>
          </w:tcPr>
          <w:p w14:paraId="0DDABB2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w:t>
            </w:r>
          </w:p>
        </w:tc>
        <w:tc>
          <w:tcPr>
            <w:tcW w:w="1196" w:type="dxa"/>
            <w:shd w:val="clear" w:color="auto" w:fill="auto"/>
            <w:vAlign w:val="center"/>
            <w:hideMark/>
          </w:tcPr>
          <w:p w14:paraId="1B4A6BE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7</w:t>
            </w:r>
          </w:p>
        </w:tc>
        <w:tc>
          <w:tcPr>
            <w:tcW w:w="1196" w:type="dxa"/>
            <w:tcBorders>
              <w:right w:val="single" w:sz="2" w:space="0" w:color="A6A6A6" w:themeColor="background1" w:themeShade="A6"/>
            </w:tcBorders>
            <w:shd w:val="clear" w:color="auto" w:fill="auto"/>
            <w:vAlign w:val="center"/>
            <w:hideMark/>
          </w:tcPr>
          <w:p w14:paraId="1119971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7</w:t>
            </w:r>
          </w:p>
        </w:tc>
      </w:tr>
      <w:tr w:rsidR="00A91D86" w:rsidRPr="00A76BED" w14:paraId="5EE7A8B2"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56B7D0E0" w14:textId="73C230BB"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64D516B6"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5DD52F3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-459</w:t>
            </w:r>
          </w:p>
        </w:tc>
        <w:tc>
          <w:tcPr>
            <w:tcW w:w="1196" w:type="dxa"/>
            <w:tcBorders>
              <w:left w:val="single" w:sz="2" w:space="0" w:color="A6A6A6" w:themeColor="background1" w:themeShade="A6"/>
            </w:tcBorders>
            <w:shd w:val="clear" w:color="auto" w:fill="auto"/>
            <w:vAlign w:val="center"/>
            <w:hideMark/>
          </w:tcPr>
          <w:p w14:paraId="568033E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512</w:t>
            </w:r>
          </w:p>
        </w:tc>
        <w:tc>
          <w:tcPr>
            <w:tcW w:w="1196" w:type="dxa"/>
            <w:shd w:val="clear" w:color="auto" w:fill="auto"/>
            <w:vAlign w:val="center"/>
            <w:hideMark/>
          </w:tcPr>
          <w:p w14:paraId="0F55161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500</w:t>
            </w:r>
          </w:p>
        </w:tc>
        <w:tc>
          <w:tcPr>
            <w:tcW w:w="873" w:type="dxa"/>
            <w:shd w:val="clear" w:color="auto" w:fill="auto"/>
            <w:vAlign w:val="center"/>
            <w:hideMark/>
          </w:tcPr>
          <w:p w14:paraId="4E3D480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w:t>
            </w:r>
          </w:p>
        </w:tc>
        <w:tc>
          <w:tcPr>
            <w:tcW w:w="1196" w:type="dxa"/>
            <w:shd w:val="clear" w:color="auto" w:fill="auto"/>
            <w:vAlign w:val="center"/>
            <w:hideMark/>
          </w:tcPr>
          <w:p w14:paraId="2000D59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shd w:val="clear" w:color="auto" w:fill="auto"/>
            <w:vAlign w:val="center"/>
            <w:hideMark/>
          </w:tcPr>
          <w:p w14:paraId="5B0EB94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31F9872F"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83F99D0"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11</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3AFCC902"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Περιβάλλοντος και Ενέργειας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EB822B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467</w:t>
            </w:r>
          </w:p>
        </w:tc>
        <w:tc>
          <w:tcPr>
            <w:tcW w:w="1196" w:type="dxa"/>
            <w:tcBorders>
              <w:left w:val="single" w:sz="2" w:space="0" w:color="A6A6A6" w:themeColor="background1" w:themeShade="A6"/>
            </w:tcBorders>
            <w:shd w:val="clear" w:color="000000" w:fill="D5DCE4"/>
            <w:vAlign w:val="center"/>
            <w:hideMark/>
          </w:tcPr>
          <w:p w14:paraId="4918FA9C"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3.737</w:t>
            </w:r>
          </w:p>
        </w:tc>
        <w:tc>
          <w:tcPr>
            <w:tcW w:w="1196" w:type="dxa"/>
            <w:shd w:val="clear" w:color="000000" w:fill="D5DCE4"/>
            <w:vAlign w:val="center"/>
            <w:hideMark/>
          </w:tcPr>
          <w:p w14:paraId="5E52FF9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3.378</w:t>
            </w:r>
          </w:p>
        </w:tc>
        <w:tc>
          <w:tcPr>
            <w:tcW w:w="873" w:type="dxa"/>
            <w:shd w:val="clear" w:color="000000" w:fill="D5DCE4"/>
            <w:vAlign w:val="center"/>
            <w:hideMark/>
          </w:tcPr>
          <w:p w14:paraId="3125658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359</w:t>
            </w:r>
          </w:p>
        </w:tc>
        <w:tc>
          <w:tcPr>
            <w:tcW w:w="1196" w:type="dxa"/>
            <w:shd w:val="clear" w:color="000000" w:fill="D5DCE4"/>
            <w:vAlign w:val="center"/>
            <w:hideMark/>
          </w:tcPr>
          <w:p w14:paraId="02B3F18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13</w:t>
            </w:r>
          </w:p>
        </w:tc>
        <w:tc>
          <w:tcPr>
            <w:tcW w:w="1196" w:type="dxa"/>
            <w:tcBorders>
              <w:right w:val="single" w:sz="2" w:space="0" w:color="A6A6A6" w:themeColor="background1" w:themeShade="A6"/>
            </w:tcBorders>
            <w:shd w:val="clear" w:color="000000" w:fill="D5DCE4"/>
            <w:vAlign w:val="center"/>
            <w:hideMark/>
          </w:tcPr>
          <w:p w14:paraId="4C45EF4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13</w:t>
            </w:r>
          </w:p>
        </w:tc>
      </w:tr>
      <w:tr w:rsidR="00A91D86" w:rsidRPr="00A76BED" w14:paraId="4FA8D1AE"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4CC3E160" w14:textId="7BD46D37"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11AA0EC6"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44056ED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283</w:t>
            </w:r>
          </w:p>
        </w:tc>
        <w:tc>
          <w:tcPr>
            <w:tcW w:w="1196" w:type="dxa"/>
            <w:tcBorders>
              <w:left w:val="single" w:sz="2" w:space="0" w:color="A6A6A6" w:themeColor="background1" w:themeShade="A6"/>
            </w:tcBorders>
            <w:shd w:val="clear" w:color="auto" w:fill="auto"/>
            <w:vAlign w:val="center"/>
            <w:hideMark/>
          </w:tcPr>
          <w:p w14:paraId="1F78F3D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509</w:t>
            </w:r>
          </w:p>
        </w:tc>
        <w:tc>
          <w:tcPr>
            <w:tcW w:w="1196" w:type="dxa"/>
            <w:shd w:val="clear" w:color="auto" w:fill="auto"/>
            <w:vAlign w:val="center"/>
            <w:hideMark/>
          </w:tcPr>
          <w:p w14:paraId="7E2F1D2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273</w:t>
            </w:r>
          </w:p>
        </w:tc>
        <w:tc>
          <w:tcPr>
            <w:tcW w:w="873" w:type="dxa"/>
            <w:shd w:val="clear" w:color="auto" w:fill="auto"/>
            <w:vAlign w:val="center"/>
            <w:hideMark/>
          </w:tcPr>
          <w:p w14:paraId="707E34C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236</w:t>
            </w:r>
          </w:p>
        </w:tc>
        <w:tc>
          <w:tcPr>
            <w:tcW w:w="1196" w:type="dxa"/>
            <w:shd w:val="clear" w:color="auto" w:fill="auto"/>
            <w:vAlign w:val="center"/>
            <w:hideMark/>
          </w:tcPr>
          <w:p w14:paraId="34BBF82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13</w:t>
            </w:r>
          </w:p>
        </w:tc>
        <w:tc>
          <w:tcPr>
            <w:tcW w:w="1196" w:type="dxa"/>
            <w:tcBorders>
              <w:right w:val="single" w:sz="2" w:space="0" w:color="A6A6A6" w:themeColor="background1" w:themeShade="A6"/>
            </w:tcBorders>
            <w:shd w:val="clear" w:color="auto" w:fill="auto"/>
            <w:vAlign w:val="center"/>
            <w:hideMark/>
          </w:tcPr>
          <w:p w14:paraId="2A2B069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13</w:t>
            </w:r>
          </w:p>
        </w:tc>
      </w:tr>
      <w:tr w:rsidR="00A91D86" w:rsidRPr="00A76BED" w14:paraId="3D712B83"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1A80DF99" w14:textId="1F6EDDC7"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5D0EACD3"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1708F5F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184</w:t>
            </w:r>
          </w:p>
        </w:tc>
        <w:tc>
          <w:tcPr>
            <w:tcW w:w="1196" w:type="dxa"/>
            <w:tcBorders>
              <w:left w:val="single" w:sz="2" w:space="0" w:color="A6A6A6" w:themeColor="background1" w:themeShade="A6"/>
            </w:tcBorders>
            <w:shd w:val="clear" w:color="auto" w:fill="auto"/>
            <w:vAlign w:val="center"/>
            <w:hideMark/>
          </w:tcPr>
          <w:p w14:paraId="4DD1D4D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3.228</w:t>
            </w:r>
          </w:p>
        </w:tc>
        <w:tc>
          <w:tcPr>
            <w:tcW w:w="1196" w:type="dxa"/>
            <w:shd w:val="clear" w:color="auto" w:fill="auto"/>
            <w:vAlign w:val="center"/>
            <w:hideMark/>
          </w:tcPr>
          <w:p w14:paraId="05DFCF9F"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3.105</w:t>
            </w:r>
          </w:p>
        </w:tc>
        <w:tc>
          <w:tcPr>
            <w:tcW w:w="873" w:type="dxa"/>
            <w:shd w:val="clear" w:color="auto" w:fill="auto"/>
            <w:vAlign w:val="center"/>
            <w:hideMark/>
          </w:tcPr>
          <w:p w14:paraId="762CB61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123</w:t>
            </w:r>
          </w:p>
        </w:tc>
        <w:tc>
          <w:tcPr>
            <w:tcW w:w="1196" w:type="dxa"/>
            <w:shd w:val="clear" w:color="auto" w:fill="auto"/>
            <w:vAlign w:val="center"/>
            <w:hideMark/>
          </w:tcPr>
          <w:p w14:paraId="2C536EF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shd w:val="clear" w:color="auto" w:fill="auto"/>
            <w:vAlign w:val="center"/>
            <w:hideMark/>
          </w:tcPr>
          <w:p w14:paraId="17D40FD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25C5AA9C"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399F0A18"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12</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25531BD4"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Εργασίας και Κοινωνικής Ασφάλισης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05F5715"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tcBorders>
              <w:left w:val="single" w:sz="2" w:space="0" w:color="A6A6A6" w:themeColor="background1" w:themeShade="A6"/>
            </w:tcBorders>
            <w:shd w:val="clear" w:color="000000" w:fill="D5DCE4"/>
            <w:vAlign w:val="center"/>
            <w:hideMark/>
          </w:tcPr>
          <w:p w14:paraId="649C638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w:t>
            </w:r>
          </w:p>
        </w:tc>
        <w:tc>
          <w:tcPr>
            <w:tcW w:w="1196" w:type="dxa"/>
            <w:shd w:val="clear" w:color="000000" w:fill="D5DCE4"/>
            <w:vAlign w:val="center"/>
            <w:hideMark/>
          </w:tcPr>
          <w:p w14:paraId="5EA3BE1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w:t>
            </w:r>
          </w:p>
        </w:tc>
        <w:tc>
          <w:tcPr>
            <w:tcW w:w="873" w:type="dxa"/>
            <w:shd w:val="clear" w:color="000000" w:fill="D5DCE4"/>
            <w:vAlign w:val="center"/>
            <w:hideMark/>
          </w:tcPr>
          <w:p w14:paraId="4ABF499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shd w:val="clear" w:color="000000" w:fill="D5DCE4"/>
            <w:vAlign w:val="center"/>
            <w:hideMark/>
          </w:tcPr>
          <w:p w14:paraId="2778427D"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tcBorders>
              <w:right w:val="single" w:sz="2" w:space="0" w:color="A6A6A6" w:themeColor="background1" w:themeShade="A6"/>
            </w:tcBorders>
            <w:shd w:val="clear" w:color="000000" w:fill="D5DCE4"/>
            <w:vAlign w:val="center"/>
            <w:hideMark/>
          </w:tcPr>
          <w:p w14:paraId="4B9B743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r>
      <w:tr w:rsidR="00A91D86" w:rsidRPr="00A76BED" w14:paraId="0F0248F3"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2B2EF399" w14:textId="7B3EEC70"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4343EEA7"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20274DBE" w14:textId="05AC440E"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left w:val="single" w:sz="2" w:space="0" w:color="A6A6A6" w:themeColor="background1" w:themeShade="A6"/>
            </w:tcBorders>
            <w:shd w:val="clear" w:color="auto" w:fill="auto"/>
            <w:vAlign w:val="center"/>
            <w:hideMark/>
          </w:tcPr>
          <w:p w14:paraId="1EDE3A08" w14:textId="01FD71F1"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shd w:val="clear" w:color="auto" w:fill="auto"/>
            <w:vAlign w:val="center"/>
            <w:hideMark/>
          </w:tcPr>
          <w:p w14:paraId="4E650DBC" w14:textId="382BCDD8"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873" w:type="dxa"/>
            <w:shd w:val="clear" w:color="auto" w:fill="auto"/>
            <w:vAlign w:val="center"/>
            <w:hideMark/>
          </w:tcPr>
          <w:p w14:paraId="15CCD46B" w14:textId="1498B51E"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shd w:val="clear" w:color="auto" w:fill="auto"/>
            <w:vAlign w:val="center"/>
            <w:hideMark/>
          </w:tcPr>
          <w:p w14:paraId="6DFDCEA8" w14:textId="71000A8C"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right w:val="single" w:sz="2" w:space="0" w:color="A6A6A6" w:themeColor="background1" w:themeShade="A6"/>
            </w:tcBorders>
            <w:shd w:val="clear" w:color="auto" w:fill="auto"/>
            <w:vAlign w:val="center"/>
            <w:hideMark/>
          </w:tcPr>
          <w:p w14:paraId="3CEDEF4E" w14:textId="34E8A508"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r>
      <w:tr w:rsidR="00A91D86" w:rsidRPr="00A76BED" w14:paraId="1042692E"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65B53BEF" w14:textId="38017A07"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74C93FB9"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679E9EBB" w14:textId="696FDD9F"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left w:val="single" w:sz="2" w:space="0" w:color="A6A6A6" w:themeColor="background1" w:themeShade="A6"/>
            </w:tcBorders>
            <w:shd w:val="clear" w:color="auto" w:fill="auto"/>
            <w:vAlign w:val="center"/>
            <w:hideMark/>
          </w:tcPr>
          <w:p w14:paraId="4B3C55F5" w14:textId="2E2D4092"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1196" w:type="dxa"/>
            <w:shd w:val="clear" w:color="auto" w:fill="auto"/>
            <w:vAlign w:val="center"/>
            <w:hideMark/>
          </w:tcPr>
          <w:p w14:paraId="64BA72AA" w14:textId="077A4390"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873" w:type="dxa"/>
            <w:shd w:val="clear" w:color="auto" w:fill="auto"/>
            <w:vAlign w:val="center"/>
            <w:hideMark/>
          </w:tcPr>
          <w:p w14:paraId="5FCDDBB7" w14:textId="2B372D39"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shd w:val="clear" w:color="auto" w:fill="auto"/>
            <w:vAlign w:val="center"/>
            <w:hideMark/>
          </w:tcPr>
          <w:p w14:paraId="7772F443" w14:textId="58F1DC12"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right w:val="single" w:sz="2" w:space="0" w:color="A6A6A6" w:themeColor="background1" w:themeShade="A6"/>
            </w:tcBorders>
            <w:shd w:val="clear" w:color="auto" w:fill="auto"/>
            <w:vAlign w:val="center"/>
            <w:hideMark/>
          </w:tcPr>
          <w:p w14:paraId="1011A70D" w14:textId="47DAF2E9"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r>
      <w:tr w:rsidR="00A91D86" w:rsidRPr="00A76BED" w14:paraId="0FE6DAB6"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5EC9B9D0"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13</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BEA51ED"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Κοινωνικής Συνοχής και Οικογένειας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6755EA7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w:t>
            </w:r>
          </w:p>
        </w:tc>
        <w:tc>
          <w:tcPr>
            <w:tcW w:w="1196" w:type="dxa"/>
            <w:tcBorders>
              <w:left w:val="single" w:sz="2" w:space="0" w:color="A6A6A6" w:themeColor="background1" w:themeShade="A6"/>
            </w:tcBorders>
            <w:shd w:val="clear" w:color="000000" w:fill="D5DCE4"/>
            <w:vAlign w:val="center"/>
            <w:hideMark/>
          </w:tcPr>
          <w:p w14:paraId="66115469"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59</w:t>
            </w:r>
          </w:p>
        </w:tc>
        <w:tc>
          <w:tcPr>
            <w:tcW w:w="1196" w:type="dxa"/>
            <w:shd w:val="clear" w:color="000000" w:fill="D5DCE4"/>
            <w:vAlign w:val="center"/>
            <w:hideMark/>
          </w:tcPr>
          <w:p w14:paraId="41E0374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63</w:t>
            </w:r>
          </w:p>
        </w:tc>
        <w:tc>
          <w:tcPr>
            <w:tcW w:w="873" w:type="dxa"/>
            <w:shd w:val="clear" w:color="000000" w:fill="D5DCE4"/>
            <w:vAlign w:val="center"/>
            <w:hideMark/>
          </w:tcPr>
          <w:p w14:paraId="51B597A7"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w:t>
            </w:r>
          </w:p>
        </w:tc>
        <w:tc>
          <w:tcPr>
            <w:tcW w:w="1196" w:type="dxa"/>
            <w:shd w:val="clear" w:color="000000" w:fill="D5DCE4"/>
            <w:vAlign w:val="center"/>
            <w:hideMark/>
          </w:tcPr>
          <w:p w14:paraId="3E87BAFC"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w:t>
            </w:r>
          </w:p>
        </w:tc>
        <w:tc>
          <w:tcPr>
            <w:tcW w:w="1196" w:type="dxa"/>
            <w:tcBorders>
              <w:right w:val="single" w:sz="2" w:space="0" w:color="A6A6A6" w:themeColor="background1" w:themeShade="A6"/>
            </w:tcBorders>
            <w:shd w:val="clear" w:color="000000" w:fill="D5DCE4"/>
            <w:vAlign w:val="center"/>
            <w:hideMark/>
          </w:tcPr>
          <w:p w14:paraId="781D1CCD"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w:t>
            </w:r>
          </w:p>
        </w:tc>
      </w:tr>
      <w:tr w:rsidR="00A91D86" w:rsidRPr="00A76BED" w14:paraId="2A06F277"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266143DF" w14:textId="2BB32367"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7C758DFC"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44D503CB"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w:t>
            </w:r>
          </w:p>
        </w:tc>
        <w:tc>
          <w:tcPr>
            <w:tcW w:w="1196" w:type="dxa"/>
            <w:tcBorders>
              <w:left w:val="single" w:sz="2" w:space="0" w:color="A6A6A6" w:themeColor="background1" w:themeShade="A6"/>
            </w:tcBorders>
            <w:shd w:val="clear" w:color="auto" w:fill="auto"/>
            <w:vAlign w:val="center"/>
            <w:hideMark/>
          </w:tcPr>
          <w:p w14:paraId="3AFF575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55</w:t>
            </w:r>
          </w:p>
        </w:tc>
        <w:tc>
          <w:tcPr>
            <w:tcW w:w="1196" w:type="dxa"/>
            <w:shd w:val="clear" w:color="auto" w:fill="auto"/>
            <w:vAlign w:val="center"/>
            <w:hideMark/>
          </w:tcPr>
          <w:p w14:paraId="70C6813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59</w:t>
            </w:r>
          </w:p>
        </w:tc>
        <w:tc>
          <w:tcPr>
            <w:tcW w:w="873" w:type="dxa"/>
            <w:shd w:val="clear" w:color="auto" w:fill="auto"/>
            <w:vAlign w:val="center"/>
            <w:hideMark/>
          </w:tcPr>
          <w:p w14:paraId="0A58084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w:t>
            </w:r>
          </w:p>
        </w:tc>
        <w:tc>
          <w:tcPr>
            <w:tcW w:w="1196" w:type="dxa"/>
            <w:shd w:val="clear" w:color="auto" w:fill="auto"/>
            <w:vAlign w:val="center"/>
            <w:hideMark/>
          </w:tcPr>
          <w:p w14:paraId="6E434C6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w:t>
            </w:r>
          </w:p>
        </w:tc>
        <w:tc>
          <w:tcPr>
            <w:tcW w:w="1196" w:type="dxa"/>
            <w:tcBorders>
              <w:right w:val="single" w:sz="2" w:space="0" w:color="A6A6A6" w:themeColor="background1" w:themeShade="A6"/>
            </w:tcBorders>
            <w:shd w:val="clear" w:color="auto" w:fill="auto"/>
            <w:vAlign w:val="center"/>
            <w:hideMark/>
          </w:tcPr>
          <w:p w14:paraId="26D73B3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w:t>
            </w:r>
          </w:p>
        </w:tc>
      </w:tr>
      <w:tr w:rsidR="00A91D86" w:rsidRPr="00A76BED" w14:paraId="04FD3346"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67907806" w14:textId="1261FD7D"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2C59723F"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7E809C3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left w:val="single" w:sz="2" w:space="0" w:color="A6A6A6" w:themeColor="background1" w:themeShade="A6"/>
            </w:tcBorders>
            <w:shd w:val="clear" w:color="auto" w:fill="auto"/>
            <w:vAlign w:val="center"/>
            <w:hideMark/>
          </w:tcPr>
          <w:p w14:paraId="26F61F8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1196" w:type="dxa"/>
            <w:shd w:val="clear" w:color="auto" w:fill="auto"/>
            <w:vAlign w:val="center"/>
            <w:hideMark/>
          </w:tcPr>
          <w:p w14:paraId="4B2482B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873" w:type="dxa"/>
            <w:shd w:val="clear" w:color="auto" w:fill="auto"/>
            <w:vAlign w:val="center"/>
            <w:hideMark/>
          </w:tcPr>
          <w:p w14:paraId="52B880CC"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shd w:val="clear" w:color="auto" w:fill="auto"/>
            <w:vAlign w:val="center"/>
            <w:hideMark/>
          </w:tcPr>
          <w:p w14:paraId="0B3200C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shd w:val="clear" w:color="auto" w:fill="auto"/>
            <w:vAlign w:val="center"/>
            <w:hideMark/>
          </w:tcPr>
          <w:p w14:paraId="1854B70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3225915C"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0A4C7B8"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14</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C8E95AA"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Ανάπτυξης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151080F7"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-13</w:t>
            </w:r>
          </w:p>
        </w:tc>
        <w:tc>
          <w:tcPr>
            <w:tcW w:w="1196" w:type="dxa"/>
            <w:tcBorders>
              <w:left w:val="single" w:sz="2" w:space="0" w:color="A6A6A6" w:themeColor="background1" w:themeShade="A6"/>
            </w:tcBorders>
            <w:shd w:val="clear" w:color="000000" w:fill="D5DCE4"/>
            <w:vAlign w:val="center"/>
            <w:hideMark/>
          </w:tcPr>
          <w:p w14:paraId="35303961"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481</w:t>
            </w:r>
          </w:p>
        </w:tc>
        <w:tc>
          <w:tcPr>
            <w:tcW w:w="1196" w:type="dxa"/>
            <w:shd w:val="clear" w:color="000000" w:fill="D5DCE4"/>
            <w:vAlign w:val="center"/>
            <w:hideMark/>
          </w:tcPr>
          <w:p w14:paraId="16161A2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503</w:t>
            </w:r>
          </w:p>
        </w:tc>
        <w:tc>
          <w:tcPr>
            <w:tcW w:w="873" w:type="dxa"/>
            <w:shd w:val="clear" w:color="000000" w:fill="D5DCE4"/>
            <w:vAlign w:val="center"/>
            <w:hideMark/>
          </w:tcPr>
          <w:p w14:paraId="68F7055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-10</w:t>
            </w:r>
          </w:p>
        </w:tc>
        <w:tc>
          <w:tcPr>
            <w:tcW w:w="1196" w:type="dxa"/>
            <w:shd w:val="clear" w:color="000000" w:fill="D5DCE4"/>
            <w:vAlign w:val="center"/>
            <w:hideMark/>
          </w:tcPr>
          <w:p w14:paraId="6793CD8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14</w:t>
            </w:r>
          </w:p>
        </w:tc>
        <w:tc>
          <w:tcPr>
            <w:tcW w:w="1196" w:type="dxa"/>
            <w:tcBorders>
              <w:right w:val="single" w:sz="2" w:space="0" w:color="A6A6A6" w:themeColor="background1" w:themeShade="A6"/>
            </w:tcBorders>
            <w:shd w:val="clear" w:color="000000" w:fill="D5DCE4"/>
            <w:vAlign w:val="center"/>
            <w:hideMark/>
          </w:tcPr>
          <w:p w14:paraId="2C4019A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14</w:t>
            </w:r>
          </w:p>
        </w:tc>
      </w:tr>
      <w:tr w:rsidR="00A91D86" w:rsidRPr="00A76BED" w14:paraId="1FCFE995"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664640E6" w14:textId="54465A6F"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3034A686"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6EE53CE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1196" w:type="dxa"/>
            <w:tcBorders>
              <w:left w:val="single" w:sz="2" w:space="0" w:color="A6A6A6" w:themeColor="background1" w:themeShade="A6"/>
            </w:tcBorders>
            <w:shd w:val="clear" w:color="auto" w:fill="auto"/>
            <w:vAlign w:val="center"/>
            <w:hideMark/>
          </w:tcPr>
          <w:p w14:paraId="6B5DEB5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35</w:t>
            </w:r>
          </w:p>
        </w:tc>
        <w:tc>
          <w:tcPr>
            <w:tcW w:w="1196" w:type="dxa"/>
            <w:shd w:val="clear" w:color="auto" w:fill="auto"/>
            <w:vAlign w:val="center"/>
            <w:hideMark/>
          </w:tcPr>
          <w:p w14:paraId="0D1A53D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39</w:t>
            </w:r>
          </w:p>
        </w:tc>
        <w:tc>
          <w:tcPr>
            <w:tcW w:w="873" w:type="dxa"/>
            <w:shd w:val="clear" w:color="auto" w:fill="auto"/>
            <w:vAlign w:val="center"/>
            <w:hideMark/>
          </w:tcPr>
          <w:p w14:paraId="460EC32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w:t>
            </w:r>
          </w:p>
        </w:tc>
        <w:tc>
          <w:tcPr>
            <w:tcW w:w="1196" w:type="dxa"/>
            <w:shd w:val="clear" w:color="auto" w:fill="auto"/>
            <w:vAlign w:val="center"/>
            <w:hideMark/>
          </w:tcPr>
          <w:p w14:paraId="3F61B8E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14</w:t>
            </w:r>
          </w:p>
        </w:tc>
        <w:tc>
          <w:tcPr>
            <w:tcW w:w="1196" w:type="dxa"/>
            <w:tcBorders>
              <w:right w:val="single" w:sz="2" w:space="0" w:color="A6A6A6" w:themeColor="background1" w:themeShade="A6"/>
            </w:tcBorders>
            <w:shd w:val="clear" w:color="auto" w:fill="auto"/>
            <w:vAlign w:val="center"/>
            <w:hideMark/>
          </w:tcPr>
          <w:p w14:paraId="22FEB0C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14</w:t>
            </w:r>
          </w:p>
        </w:tc>
      </w:tr>
      <w:tr w:rsidR="00A91D86" w:rsidRPr="00A76BED" w14:paraId="7206A347"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0640AA36" w14:textId="2A082CBE"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79CE8C1E"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03E2451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-10</w:t>
            </w:r>
          </w:p>
        </w:tc>
        <w:tc>
          <w:tcPr>
            <w:tcW w:w="1196" w:type="dxa"/>
            <w:tcBorders>
              <w:left w:val="single" w:sz="2" w:space="0" w:color="A6A6A6" w:themeColor="background1" w:themeShade="A6"/>
            </w:tcBorders>
            <w:shd w:val="clear" w:color="auto" w:fill="auto"/>
            <w:vAlign w:val="center"/>
            <w:hideMark/>
          </w:tcPr>
          <w:p w14:paraId="1A80AC3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446</w:t>
            </w:r>
          </w:p>
        </w:tc>
        <w:tc>
          <w:tcPr>
            <w:tcW w:w="1196" w:type="dxa"/>
            <w:shd w:val="clear" w:color="auto" w:fill="auto"/>
            <w:vAlign w:val="center"/>
            <w:hideMark/>
          </w:tcPr>
          <w:p w14:paraId="555B8A4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464</w:t>
            </w:r>
          </w:p>
        </w:tc>
        <w:tc>
          <w:tcPr>
            <w:tcW w:w="873" w:type="dxa"/>
            <w:shd w:val="clear" w:color="auto" w:fill="auto"/>
            <w:vAlign w:val="center"/>
            <w:hideMark/>
          </w:tcPr>
          <w:p w14:paraId="33D5A16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-5</w:t>
            </w:r>
          </w:p>
        </w:tc>
        <w:tc>
          <w:tcPr>
            <w:tcW w:w="1196" w:type="dxa"/>
            <w:shd w:val="clear" w:color="auto" w:fill="auto"/>
            <w:vAlign w:val="center"/>
            <w:hideMark/>
          </w:tcPr>
          <w:p w14:paraId="259D1EA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shd w:val="clear" w:color="auto" w:fill="auto"/>
            <w:vAlign w:val="center"/>
            <w:hideMark/>
          </w:tcPr>
          <w:p w14:paraId="17AD64F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316A4C0C"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3B2D54E"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15</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EADC435"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Υποδομών και Μεταφορών</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6B4D3244"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88</w:t>
            </w:r>
          </w:p>
        </w:tc>
        <w:tc>
          <w:tcPr>
            <w:tcW w:w="1196" w:type="dxa"/>
            <w:tcBorders>
              <w:left w:val="single" w:sz="2" w:space="0" w:color="A6A6A6" w:themeColor="background1" w:themeShade="A6"/>
            </w:tcBorders>
            <w:shd w:val="clear" w:color="000000" w:fill="D5DCE4"/>
            <w:vAlign w:val="center"/>
            <w:hideMark/>
          </w:tcPr>
          <w:p w14:paraId="0B8E5537"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2.839</w:t>
            </w:r>
          </w:p>
        </w:tc>
        <w:tc>
          <w:tcPr>
            <w:tcW w:w="1196" w:type="dxa"/>
            <w:shd w:val="clear" w:color="000000" w:fill="D5DCE4"/>
            <w:vAlign w:val="center"/>
            <w:hideMark/>
          </w:tcPr>
          <w:p w14:paraId="6E67D1D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2.695</w:t>
            </w:r>
          </w:p>
        </w:tc>
        <w:tc>
          <w:tcPr>
            <w:tcW w:w="873" w:type="dxa"/>
            <w:shd w:val="clear" w:color="000000" w:fill="D5DCE4"/>
            <w:vAlign w:val="center"/>
            <w:hideMark/>
          </w:tcPr>
          <w:p w14:paraId="1FEAA536"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144</w:t>
            </w:r>
          </w:p>
        </w:tc>
        <w:tc>
          <w:tcPr>
            <w:tcW w:w="1196" w:type="dxa"/>
            <w:shd w:val="clear" w:color="000000" w:fill="D5DCE4"/>
            <w:vAlign w:val="center"/>
            <w:hideMark/>
          </w:tcPr>
          <w:p w14:paraId="07D0DCC4"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tcBorders>
              <w:right w:val="single" w:sz="2" w:space="0" w:color="A6A6A6" w:themeColor="background1" w:themeShade="A6"/>
            </w:tcBorders>
            <w:shd w:val="clear" w:color="000000" w:fill="D5DCE4"/>
            <w:vAlign w:val="center"/>
            <w:hideMark/>
          </w:tcPr>
          <w:p w14:paraId="72B1FE0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116</w:t>
            </w:r>
          </w:p>
        </w:tc>
      </w:tr>
      <w:tr w:rsidR="00A91D86" w:rsidRPr="00A76BED" w14:paraId="6BB3AB74"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55F4408D" w14:textId="16A93564"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165D330C"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107C1453" w14:textId="30125D7F"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left w:val="single" w:sz="2" w:space="0" w:color="A6A6A6" w:themeColor="background1" w:themeShade="A6"/>
            </w:tcBorders>
            <w:shd w:val="clear" w:color="auto" w:fill="auto"/>
            <w:vAlign w:val="center"/>
            <w:hideMark/>
          </w:tcPr>
          <w:p w14:paraId="03247A24" w14:textId="5F24A2CE"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shd w:val="clear" w:color="auto" w:fill="auto"/>
            <w:vAlign w:val="center"/>
            <w:hideMark/>
          </w:tcPr>
          <w:p w14:paraId="296E5D38" w14:textId="15C3FC5E"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873" w:type="dxa"/>
            <w:shd w:val="clear" w:color="auto" w:fill="auto"/>
            <w:vAlign w:val="center"/>
            <w:hideMark/>
          </w:tcPr>
          <w:p w14:paraId="09FAF249" w14:textId="3901B40A"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shd w:val="clear" w:color="auto" w:fill="auto"/>
            <w:vAlign w:val="center"/>
            <w:hideMark/>
          </w:tcPr>
          <w:p w14:paraId="7B2D82D4" w14:textId="60CB5C5E"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right w:val="single" w:sz="2" w:space="0" w:color="A6A6A6" w:themeColor="background1" w:themeShade="A6"/>
            </w:tcBorders>
            <w:shd w:val="clear" w:color="auto" w:fill="auto"/>
            <w:vAlign w:val="center"/>
            <w:hideMark/>
          </w:tcPr>
          <w:p w14:paraId="1C00F495" w14:textId="3E7F175F"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r>
      <w:tr w:rsidR="00A91D86" w:rsidRPr="00A76BED" w14:paraId="488F65C7" w14:textId="77777777" w:rsidTr="0099413B">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66C56B3D" w14:textId="7471F1ED"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3EAFE4CB"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7CE90D3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88</w:t>
            </w:r>
          </w:p>
        </w:tc>
        <w:tc>
          <w:tcPr>
            <w:tcW w:w="1196" w:type="dxa"/>
            <w:tcBorders>
              <w:left w:val="single" w:sz="2" w:space="0" w:color="A6A6A6" w:themeColor="background1" w:themeShade="A6"/>
            </w:tcBorders>
            <w:shd w:val="clear" w:color="auto" w:fill="auto"/>
            <w:vAlign w:val="center"/>
            <w:hideMark/>
          </w:tcPr>
          <w:p w14:paraId="13AD168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2.839</w:t>
            </w:r>
          </w:p>
        </w:tc>
        <w:tc>
          <w:tcPr>
            <w:tcW w:w="1196" w:type="dxa"/>
            <w:shd w:val="clear" w:color="auto" w:fill="auto"/>
            <w:vAlign w:val="center"/>
            <w:hideMark/>
          </w:tcPr>
          <w:p w14:paraId="724521C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2.695</w:t>
            </w:r>
          </w:p>
        </w:tc>
        <w:tc>
          <w:tcPr>
            <w:tcW w:w="873" w:type="dxa"/>
            <w:shd w:val="clear" w:color="auto" w:fill="auto"/>
            <w:vAlign w:val="center"/>
            <w:hideMark/>
          </w:tcPr>
          <w:p w14:paraId="612D19F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144</w:t>
            </w:r>
          </w:p>
        </w:tc>
        <w:tc>
          <w:tcPr>
            <w:tcW w:w="1196" w:type="dxa"/>
            <w:shd w:val="clear" w:color="auto" w:fill="auto"/>
            <w:vAlign w:val="center"/>
            <w:hideMark/>
          </w:tcPr>
          <w:p w14:paraId="1A49262B"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shd w:val="clear" w:color="auto" w:fill="auto"/>
            <w:vAlign w:val="center"/>
            <w:hideMark/>
          </w:tcPr>
          <w:p w14:paraId="0349FD8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116</w:t>
            </w:r>
          </w:p>
        </w:tc>
      </w:tr>
      <w:tr w:rsidR="00A91D86" w:rsidRPr="00A76BED" w14:paraId="66FFFD29" w14:textId="77777777" w:rsidTr="0099413B">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0405F4F"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16</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0952648"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Ναυτιλίας και Νησιωτικής Πολιτικής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4EA3DB1"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11</w:t>
            </w:r>
          </w:p>
        </w:tc>
        <w:tc>
          <w:tcPr>
            <w:tcW w:w="1196" w:type="dxa"/>
            <w:tcBorders>
              <w:left w:val="single" w:sz="2" w:space="0" w:color="A6A6A6" w:themeColor="background1" w:themeShade="A6"/>
            </w:tcBorders>
            <w:shd w:val="clear" w:color="000000" w:fill="D5DCE4"/>
            <w:vAlign w:val="center"/>
            <w:hideMark/>
          </w:tcPr>
          <w:p w14:paraId="594DAF94"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74</w:t>
            </w:r>
          </w:p>
        </w:tc>
        <w:tc>
          <w:tcPr>
            <w:tcW w:w="1196" w:type="dxa"/>
            <w:shd w:val="clear" w:color="000000" w:fill="D5DCE4"/>
            <w:vAlign w:val="center"/>
            <w:hideMark/>
          </w:tcPr>
          <w:p w14:paraId="1455A4F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73</w:t>
            </w:r>
          </w:p>
        </w:tc>
        <w:tc>
          <w:tcPr>
            <w:tcW w:w="873" w:type="dxa"/>
            <w:shd w:val="clear" w:color="000000" w:fill="D5DCE4"/>
            <w:vAlign w:val="center"/>
            <w:hideMark/>
          </w:tcPr>
          <w:p w14:paraId="34A5AC2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shd w:val="clear" w:color="000000" w:fill="D5DCE4"/>
            <w:vAlign w:val="center"/>
            <w:hideMark/>
          </w:tcPr>
          <w:p w14:paraId="52C9747C"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tcBorders>
              <w:right w:val="single" w:sz="2" w:space="0" w:color="A6A6A6" w:themeColor="background1" w:themeShade="A6"/>
            </w:tcBorders>
            <w:shd w:val="clear" w:color="000000" w:fill="D5DCE4"/>
            <w:vAlign w:val="center"/>
            <w:hideMark/>
          </w:tcPr>
          <w:p w14:paraId="1586949D"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r>
      <w:tr w:rsidR="00A91D86" w:rsidRPr="00A76BED" w14:paraId="6FA80215"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059FFB98" w14:textId="525AFE91"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6583A6B2"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069EE88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2</w:t>
            </w:r>
          </w:p>
        </w:tc>
        <w:tc>
          <w:tcPr>
            <w:tcW w:w="1196" w:type="dxa"/>
            <w:tcBorders>
              <w:left w:val="single" w:sz="2" w:space="0" w:color="A6A6A6" w:themeColor="background1" w:themeShade="A6"/>
            </w:tcBorders>
            <w:shd w:val="clear" w:color="auto" w:fill="auto"/>
            <w:vAlign w:val="center"/>
            <w:hideMark/>
          </w:tcPr>
          <w:p w14:paraId="194AA80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10</w:t>
            </w:r>
          </w:p>
        </w:tc>
        <w:tc>
          <w:tcPr>
            <w:tcW w:w="1196" w:type="dxa"/>
            <w:shd w:val="clear" w:color="auto" w:fill="auto"/>
            <w:vAlign w:val="center"/>
            <w:hideMark/>
          </w:tcPr>
          <w:p w14:paraId="601C13F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10</w:t>
            </w:r>
          </w:p>
        </w:tc>
        <w:tc>
          <w:tcPr>
            <w:tcW w:w="873" w:type="dxa"/>
            <w:shd w:val="clear" w:color="auto" w:fill="auto"/>
            <w:vAlign w:val="center"/>
            <w:hideMark/>
          </w:tcPr>
          <w:p w14:paraId="3036D04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shd w:val="clear" w:color="auto" w:fill="auto"/>
            <w:vAlign w:val="center"/>
            <w:hideMark/>
          </w:tcPr>
          <w:p w14:paraId="41E0528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right w:val="single" w:sz="2" w:space="0" w:color="A6A6A6" w:themeColor="background1" w:themeShade="A6"/>
            </w:tcBorders>
            <w:shd w:val="clear" w:color="auto" w:fill="auto"/>
            <w:vAlign w:val="center"/>
            <w:hideMark/>
          </w:tcPr>
          <w:p w14:paraId="55CB347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r>
      <w:tr w:rsidR="00A91D86" w:rsidRPr="00A76BED" w14:paraId="2CBDB536"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1B64C576" w14:textId="07E4E90E"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03F7EDA7"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5964D27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8</w:t>
            </w:r>
          </w:p>
        </w:tc>
        <w:tc>
          <w:tcPr>
            <w:tcW w:w="1196" w:type="dxa"/>
            <w:tcBorders>
              <w:left w:val="single" w:sz="2" w:space="0" w:color="A6A6A6" w:themeColor="background1" w:themeShade="A6"/>
            </w:tcBorders>
            <w:shd w:val="clear" w:color="auto" w:fill="auto"/>
            <w:vAlign w:val="center"/>
            <w:hideMark/>
          </w:tcPr>
          <w:p w14:paraId="0BEB254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64</w:t>
            </w:r>
          </w:p>
        </w:tc>
        <w:tc>
          <w:tcPr>
            <w:tcW w:w="1196" w:type="dxa"/>
            <w:shd w:val="clear" w:color="auto" w:fill="auto"/>
            <w:vAlign w:val="center"/>
            <w:hideMark/>
          </w:tcPr>
          <w:p w14:paraId="5701ECE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63</w:t>
            </w:r>
          </w:p>
        </w:tc>
        <w:tc>
          <w:tcPr>
            <w:tcW w:w="873" w:type="dxa"/>
            <w:shd w:val="clear" w:color="auto" w:fill="auto"/>
            <w:vAlign w:val="center"/>
            <w:hideMark/>
          </w:tcPr>
          <w:p w14:paraId="7FEA717F"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shd w:val="clear" w:color="auto" w:fill="auto"/>
            <w:vAlign w:val="center"/>
            <w:hideMark/>
          </w:tcPr>
          <w:p w14:paraId="6011009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shd w:val="clear" w:color="auto" w:fill="auto"/>
            <w:vAlign w:val="center"/>
            <w:hideMark/>
          </w:tcPr>
          <w:p w14:paraId="0750404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685C42EC"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4DDA9EB"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17</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6CC52EB"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Τουρισμού</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2795E434"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w:t>
            </w:r>
          </w:p>
        </w:tc>
        <w:tc>
          <w:tcPr>
            <w:tcW w:w="1196" w:type="dxa"/>
            <w:tcBorders>
              <w:left w:val="single" w:sz="2" w:space="0" w:color="A6A6A6" w:themeColor="background1" w:themeShade="A6"/>
            </w:tcBorders>
            <w:shd w:val="clear" w:color="000000" w:fill="D5DCE4"/>
            <w:vAlign w:val="center"/>
            <w:hideMark/>
          </w:tcPr>
          <w:p w14:paraId="3C6068C5"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40</w:t>
            </w:r>
          </w:p>
        </w:tc>
        <w:tc>
          <w:tcPr>
            <w:tcW w:w="1196" w:type="dxa"/>
            <w:shd w:val="clear" w:color="000000" w:fill="D5DCE4"/>
            <w:vAlign w:val="center"/>
            <w:hideMark/>
          </w:tcPr>
          <w:p w14:paraId="59A02B27"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39</w:t>
            </w:r>
          </w:p>
        </w:tc>
        <w:tc>
          <w:tcPr>
            <w:tcW w:w="873" w:type="dxa"/>
            <w:shd w:val="clear" w:color="000000" w:fill="D5DCE4"/>
            <w:vAlign w:val="center"/>
            <w:hideMark/>
          </w:tcPr>
          <w:p w14:paraId="70A44BFC"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w:t>
            </w:r>
          </w:p>
        </w:tc>
        <w:tc>
          <w:tcPr>
            <w:tcW w:w="1196" w:type="dxa"/>
            <w:shd w:val="clear" w:color="000000" w:fill="D5DCE4"/>
            <w:vAlign w:val="center"/>
            <w:hideMark/>
          </w:tcPr>
          <w:p w14:paraId="6A03F41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w:t>
            </w:r>
          </w:p>
        </w:tc>
        <w:tc>
          <w:tcPr>
            <w:tcW w:w="1196" w:type="dxa"/>
            <w:tcBorders>
              <w:right w:val="single" w:sz="2" w:space="0" w:color="A6A6A6" w:themeColor="background1" w:themeShade="A6"/>
            </w:tcBorders>
            <w:shd w:val="clear" w:color="000000" w:fill="D5DCE4"/>
            <w:vAlign w:val="center"/>
            <w:hideMark/>
          </w:tcPr>
          <w:p w14:paraId="34B6EAD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w:t>
            </w:r>
          </w:p>
        </w:tc>
      </w:tr>
      <w:tr w:rsidR="00A91D86" w:rsidRPr="00A76BED" w14:paraId="0BD43CB9"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36804B80" w14:textId="73CD7288"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72DD3953"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2BED1E7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1196" w:type="dxa"/>
            <w:tcBorders>
              <w:left w:val="single" w:sz="2" w:space="0" w:color="A6A6A6" w:themeColor="background1" w:themeShade="A6"/>
            </w:tcBorders>
            <w:shd w:val="clear" w:color="auto" w:fill="auto"/>
            <w:vAlign w:val="center"/>
            <w:hideMark/>
          </w:tcPr>
          <w:p w14:paraId="42B671B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40</w:t>
            </w:r>
          </w:p>
        </w:tc>
        <w:tc>
          <w:tcPr>
            <w:tcW w:w="1196" w:type="dxa"/>
            <w:shd w:val="clear" w:color="auto" w:fill="auto"/>
            <w:vAlign w:val="center"/>
            <w:hideMark/>
          </w:tcPr>
          <w:p w14:paraId="6C34E24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39</w:t>
            </w:r>
          </w:p>
        </w:tc>
        <w:tc>
          <w:tcPr>
            <w:tcW w:w="873" w:type="dxa"/>
            <w:shd w:val="clear" w:color="auto" w:fill="auto"/>
            <w:vAlign w:val="center"/>
            <w:hideMark/>
          </w:tcPr>
          <w:p w14:paraId="43D8A59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1196" w:type="dxa"/>
            <w:shd w:val="clear" w:color="auto" w:fill="auto"/>
            <w:vAlign w:val="center"/>
            <w:hideMark/>
          </w:tcPr>
          <w:p w14:paraId="6956555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w:t>
            </w:r>
          </w:p>
        </w:tc>
        <w:tc>
          <w:tcPr>
            <w:tcW w:w="1196" w:type="dxa"/>
            <w:tcBorders>
              <w:right w:val="single" w:sz="2" w:space="0" w:color="A6A6A6" w:themeColor="background1" w:themeShade="A6"/>
            </w:tcBorders>
            <w:shd w:val="clear" w:color="auto" w:fill="auto"/>
            <w:vAlign w:val="center"/>
            <w:hideMark/>
          </w:tcPr>
          <w:p w14:paraId="30140A1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4</w:t>
            </w:r>
          </w:p>
        </w:tc>
      </w:tr>
      <w:tr w:rsidR="00A91D86" w:rsidRPr="00A76BED" w14:paraId="07C3AF16"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682A3E4D" w14:textId="2BAFD14E"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37A4F98C"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4F064713" w14:textId="04D47F95"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left w:val="single" w:sz="2" w:space="0" w:color="A6A6A6" w:themeColor="background1" w:themeShade="A6"/>
            </w:tcBorders>
            <w:shd w:val="clear" w:color="auto" w:fill="auto"/>
            <w:vAlign w:val="center"/>
            <w:hideMark/>
          </w:tcPr>
          <w:p w14:paraId="3EE18E3A" w14:textId="17E40996"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shd w:val="clear" w:color="auto" w:fill="auto"/>
            <w:vAlign w:val="center"/>
            <w:hideMark/>
          </w:tcPr>
          <w:p w14:paraId="6E1A173E" w14:textId="0545CF8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873" w:type="dxa"/>
            <w:shd w:val="clear" w:color="auto" w:fill="auto"/>
            <w:vAlign w:val="center"/>
            <w:hideMark/>
          </w:tcPr>
          <w:p w14:paraId="79FA8CFF" w14:textId="753F1D51"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shd w:val="clear" w:color="auto" w:fill="auto"/>
            <w:vAlign w:val="center"/>
            <w:hideMark/>
          </w:tcPr>
          <w:p w14:paraId="1C000CFF" w14:textId="77897894"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right w:val="single" w:sz="2" w:space="0" w:color="A6A6A6" w:themeColor="background1" w:themeShade="A6"/>
            </w:tcBorders>
            <w:shd w:val="clear" w:color="auto" w:fill="auto"/>
            <w:vAlign w:val="center"/>
            <w:hideMark/>
          </w:tcPr>
          <w:p w14:paraId="48FF5DF0" w14:textId="0ED2BC91"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r>
      <w:tr w:rsidR="00A91D86" w:rsidRPr="00A76BED" w14:paraId="57BB50CA"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9208BDF"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18</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70A2E2A5"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Ψηφιακής Διακυβέρνησης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33DDBEDD"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82</w:t>
            </w:r>
          </w:p>
        </w:tc>
        <w:tc>
          <w:tcPr>
            <w:tcW w:w="1196" w:type="dxa"/>
            <w:tcBorders>
              <w:left w:val="single" w:sz="2" w:space="0" w:color="A6A6A6" w:themeColor="background1" w:themeShade="A6"/>
            </w:tcBorders>
            <w:shd w:val="clear" w:color="000000" w:fill="D5DCE4"/>
            <w:vAlign w:val="center"/>
            <w:hideMark/>
          </w:tcPr>
          <w:p w14:paraId="5CF005E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1.503</w:t>
            </w:r>
          </w:p>
        </w:tc>
        <w:tc>
          <w:tcPr>
            <w:tcW w:w="1196" w:type="dxa"/>
            <w:shd w:val="clear" w:color="000000" w:fill="D5DCE4"/>
            <w:vAlign w:val="center"/>
            <w:hideMark/>
          </w:tcPr>
          <w:p w14:paraId="7F1FD5D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1.548</w:t>
            </w:r>
          </w:p>
        </w:tc>
        <w:tc>
          <w:tcPr>
            <w:tcW w:w="873" w:type="dxa"/>
            <w:shd w:val="clear" w:color="000000" w:fill="D5DCE4"/>
            <w:vAlign w:val="center"/>
            <w:hideMark/>
          </w:tcPr>
          <w:p w14:paraId="035BB8A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11</w:t>
            </w:r>
          </w:p>
        </w:tc>
        <w:tc>
          <w:tcPr>
            <w:tcW w:w="1196" w:type="dxa"/>
            <w:shd w:val="clear" w:color="000000" w:fill="D5DCE4"/>
            <w:vAlign w:val="center"/>
            <w:hideMark/>
          </w:tcPr>
          <w:p w14:paraId="70C6C76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tcBorders>
              <w:right w:val="single" w:sz="2" w:space="0" w:color="A6A6A6" w:themeColor="background1" w:themeShade="A6"/>
            </w:tcBorders>
            <w:shd w:val="clear" w:color="000000" w:fill="D5DCE4"/>
            <w:vAlign w:val="center"/>
            <w:hideMark/>
          </w:tcPr>
          <w:p w14:paraId="14DC051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r>
      <w:tr w:rsidR="00A91D86" w:rsidRPr="00A76BED" w14:paraId="60B96C2C"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481739A3" w14:textId="12FD6798"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3E0AFD67"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46A8346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left w:val="single" w:sz="2" w:space="0" w:color="A6A6A6" w:themeColor="background1" w:themeShade="A6"/>
            </w:tcBorders>
            <w:shd w:val="clear" w:color="auto" w:fill="auto"/>
            <w:vAlign w:val="center"/>
            <w:hideMark/>
          </w:tcPr>
          <w:p w14:paraId="3DF03BE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w:t>
            </w:r>
          </w:p>
        </w:tc>
        <w:tc>
          <w:tcPr>
            <w:tcW w:w="1196" w:type="dxa"/>
            <w:shd w:val="clear" w:color="auto" w:fill="auto"/>
            <w:vAlign w:val="center"/>
            <w:hideMark/>
          </w:tcPr>
          <w:p w14:paraId="4436BB8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12</w:t>
            </w:r>
          </w:p>
        </w:tc>
        <w:tc>
          <w:tcPr>
            <w:tcW w:w="873" w:type="dxa"/>
            <w:shd w:val="clear" w:color="auto" w:fill="auto"/>
            <w:vAlign w:val="center"/>
            <w:hideMark/>
          </w:tcPr>
          <w:p w14:paraId="02C4DCC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shd w:val="clear" w:color="auto" w:fill="auto"/>
            <w:vAlign w:val="center"/>
            <w:hideMark/>
          </w:tcPr>
          <w:p w14:paraId="55564A4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right w:val="single" w:sz="2" w:space="0" w:color="A6A6A6" w:themeColor="background1" w:themeShade="A6"/>
            </w:tcBorders>
            <w:shd w:val="clear" w:color="auto" w:fill="auto"/>
            <w:vAlign w:val="center"/>
            <w:hideMark/>
          </w:tcPr>
          <w:p w14:paraId="6A6C886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r>
      <w:tr w:rsidR="00A91D86" w:rsidRPr="00A76BED" w14:paraId="45C0A3A6"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4477B9E3" w14:textId="1E7BE5EC"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40231481"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1CD666F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83</w:t>
            </w:r>
          </w:p>
        </w:tc>
        <w:tc>
          <w:tcPr>
            <w:tcW w:w="1196" w:type="dxa"/>
            <w:tcBorders>
              <w:left w:val="single" w:sz="2" w:space="0" w:color="A6A6A6" w:themeColor="background1" w:themeShade="A6"/>
            </w:tcBorders>
            <w:shd w:val="clear" w:color="auto" w:fill="auto"/>
            <w:vAlign w:val="center"/>
            <w:hideMark/>
          </w:tcPr>
          <w:p w14:paraId="6837E95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1.491</w:t>
            </w:r>
          </w:p>
        </w:tc>
        <w:tc>
          <w:tcPr>
            <w:tcW w:w="1196" w:type="dxa"/>
            <w:shd w:val="clear" w:color="auto" w:fill="auto"/>
            <w:vAlign w:val="center"/>
            <w:hideMark/>
          </w:tcPr>
          <w:p w14:paraId="44008F5E"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1.536</w:t>
            </w:r>
          </w:p>
        </w:tc>
        <w:tc>
          <w:tcPr>
            <w:tcW w:w="873" w:type="dxa"/>
            <w:shd w:val="clear" w:color="auto" w:fill="auto"/>
            <w:vAlign w:val="center"/>
            <w:hideMark/>
          </w:tcPr>
          <w:p w14:paraId="6488E948"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11</w:t>
            </w:r>
          </w:p>
        </w:tc>
        <w:tc>
          <w:tcPr>
            <w:tcW w:w="1196" w:type="dxa"/>
            <w:shd w:val="clear" w:color="auto" w:fill="auto"/>
            <w:vAlign w:val="center"/>
            <w:hideMark/>
          </w:tcPr>
          <w:p w14:paraId="736A4AB7"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shd w:val="clear" w:color="auto" w:fill="auto"/>
            <w:vAlign w:val="center"/>
            <w:hideMark/>
          </w:tcPr>
          <w:p w14:paraId="4FC14D5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0235346B"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0A52F51E"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19</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2B924343"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Προστασίας του Πολίτη</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252B2022"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tcBorders>
              <w:left w:val="single" w:sz="2" w:space="0" w:color="A6A6A6" w:themeColor="background1" w:themeShade="A6"/>
            </w:tcBorders>
            <w:shd w:val="clear" w:color="000000" w:fill="D5DCE4"/>
            <w:vAlign w:val="center"/>
            <w:hideMark/>
          </w:tcPr>
          <w:p w14:paraId="027C741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10</w:t>
            </w:r>
          </w:p>
        </w:tc>
        <w:tc>
          <w:tcPr>
            <w:tcW w:w="1196" w:type="dxa"/>
            <w:shd w:val="clear" w:color="000000" w:fill="D5DCE4"/>
            <w:vAlign w:val="center"/>
            <w:hideMark/>
          </w:tcPr>
          <w:p w14:paraId="7B7DA775"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10</w:t>
            </w:r>
          </w:p>
        </w:tc>
        <w:tc>
          <w:tcPr>
            <w:tcW w:w="873" w:type="dxa"/>
            <w:shd w:val="clear" w:color="000000" w:fill="D5DCE4"/>
            <w:vAlign w:val="center"/>
            <w:hideMark/>
          </w:tcPr>
          <w:p w14:paraId="1E8E3A4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shd w:val="clear" w:color="000000" w:fill="D5DCE4"/>
            <w:vAlign w:val="center"/>
            <w:hideMark/>
          </w:tcPr>
          <w:p w14:paraId="515F840C"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tcBorders>
              <w:right w:val="single" w:sz="2" w:space="0" w:color="A6A6A6" w:themeColor="background1" w:themeShade="A6"/>
            </w:tcBorders>
            <w:shd w:val="clear" w:color="000000" w:fill="D5DCE4"/>
            <w:vAlign w:val="center"/>
            <w:hideMark/>
          </w:tcPr>
          <w:p w14:paraId="5859A5A9"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r>
      <w:tr w:rsidR="00A91D86" w:rsidRPr="00A76BED" w14:paraId="422A930E"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4E288F30" w14:textId="12304EF3"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050A05A0"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6C8685CB" w14:textId="112FA490"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left w:val="single" w:sz="2" w:space="0" w:color="A6A6A6" w:themeColor="background1" w:themeShade="A6"/>
            </w:tcBorders>
            <w:shd w:val="clear" w:color="auto" w:fill="auto"/>
            <w:vAlign w:val="center"/>
            <w:hideMark/>
          </w:tcPr>
          <w:p w14:paraId="7FC79F33" w14:textId="1764BADD"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shd w:val="clear" w:color="auto" w:fill="auto"/>
            <w:vAlign w:val="center"/>
            <w:hideMark/>
          </w:tcPr>
          <w:p w14:paraId="28335B71" w14:textId="49DDFA45"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873" w:type="dxa"/>
            <w:shd w:val="clear" w:color="auto" w:fill="auto"/>
            <w:vAlign w:val="center"/>
            <w:hideMark/>
          </w:tcPr>
          <w:p w14:paraId="5547D7E4" w14:textId="4A6F11C3"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shd w:val="clear" w:color="auto" w:fill="auto"/>
            <w:vAlign w:val="center"/>
            <w:hideMark/>
          </w:tcPr>
          <w:p w14:paraId="40321780" w14:textId="5AB1274B"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c>
          <w:tcPr>
            <w:tcW w:w="1196" w:type="dxa"/>
            <w:tcBorders>
              <w:right w:val="single" w:sz="2" w:space="0" w:color="A6A6A6" w:themeColor="background1" w:themeShade="A6"/>
            </w:tcBorders>
            <w:shd w:val="clear" w:color="auto" w:fill="auto"/>
            <w:vAlign w:val="center"/>
            <w:hideMark/>
          </w:tcPr>
          <w:p w14:paraId="5CBC62E3" w14:textId="1DA45D19"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w:t>
            </w:r>
          </w:p>
        </w:tc>
      </w:tr>
      <w:tr w:rsidR="00A91D86" w:rsidRPr="00A76BED" w14:paraId="731D58FE"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76584BD6" w14:textId="62518D4D"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34624315"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38B45DA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left w:val="single" w:sz="2" w:space="0" w:color="A6A6A6" w:themeColor="background1" w:themeShade="A6"/>
            </w:tcBorders>
            <w:shd w:val="clear" w:color="auto" w:fill="auto"/>
            <w:vAlign w:val="center"/>
            <w:hideMark/>
          </w:tcPr>
          <w:p w14:paraId="7A79FED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10</w:t>
            </w:r>
          </w:p>
        </w:tc>
        <w:tc>
          <w:tcPr>
            <w:tcW w:w="1196" w:type="dxa"/>
            <w:shd w:val="clear" w:color="auto" w:fill="auto"/>
            <w:vAlign w:val="center"/>
            <w:hideMark/>
          </w:tcPr>
          <w:p w14:paraId="3532BE99"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10</w:t>
            </w:r>
          </w:p>
        </w:tc>
        <w:tc>
          <w:tcPr>
            <w:tcW w:w="873" w:type="dxa"/>
            <w:shd w:val="clear" w:color="auto" w:fill="auto"/>
            <w:vAlign w:val="center"/>
            <w:hideMark/>
          </w:tcPr>
          <w:p w14:paraId="76C6BF7B"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shd w:val="clear" w:color="auto" w:fill="auto"/>
            <w:vAlign w:val="center"/>
            <w:hideMark/>
          </w:tcPr>
          <w:p w14:paraId="41ACD1F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shd w:val="clear" w:color="auto" w:fill="auto"/>
            <w:vAlign w:val="center"/>
            <w:hideMark/>
          </w:tcPr>
          <w:p w14:paraId="1DFFA30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0DAE1067"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7EBFD3D" w14:textId="77777777" w:rsidR="00A91D86" w:rsidRPr="00A76BED" w:rsidRDefault="00A91D86" w:rsidP="009525DC">
            <w:pPr>
              <w:spacing w:after="0" w:line="276" w:lineRule="auto"/>
              <w:jc w:val="center"/>
              <w:rPr>
                <w:rFonts w:cs="Arial"/>
                <w:b/>
                <w:bCs/>
                <w:color w:val="000000"/>
                <w:sz w:val="16"/>
                <w:szCs w:val="16"/>
              </w:rPr>
            </w:pPr>
            <w:r w:rsidRPr="00A76BED">
              <w:rPr>
                <w:rFonts w:cs="Arial"/>
                <w:b/>
                <w:bCs/>
                <w:color w:val="000000"/>
                <w:sz w:val="16"/>
                <w:szCs w:val="16"/>
              </w:rPr>
              <w:t>20</w:t>
            </w: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35ED577"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Υπουργείο Κλιματικής Κρίσης και Πολιτικής Προστασίας</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28301AF0"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tcBorders>
              <w:left w:val="single" w:sz="2" w:space="0" w:color="A6A6A6" w:themeColor="background1" w:themeShade="A6"/>
            </w:tcBorders>
            <w:shd w:val="clear" w:color="000000" w:fill="D5DCE4"/>
            <w:vAlign w:val="center"/>
            <w:hideMark/>
          </w:tcPr>
          <w:p w14:paraId="58862175"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w:t>
            </w:r>
          </w:p>
        </w:tc>
        <w:tc>
          <w:tcPr>
            <w:tcW w:w="1196" w:type="dxa"/>
            <w:shd w:val="clear" w:color="000000" w:fill="D5DCE4"/>
            <w:vAlign w:val="center"/>
            <w:hideMark/>
          </w:tcPr>
          <w:p w14:paraId="2CBE6F2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w:t>
            </w:r>
          </w:p>
        </w:tc>
        <w:tc>
          <w:tcPr>
            <w:tcW w:w="873" w:type="dxa"/>
            <w:shd w:val="clear" w:color="000000" w:fill="D5DCE4"/>
            <w:vAlign w:val="center"/>
            <w:hideMark/>
          </w:tcPr>
          <w:p w14:paraId="20BB095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0</w:t>
            </w:r>
          </w:p>
        </w:tc>
        <w:tc>
          <w:tcPr>
            <w:tcW w:w="1196" w:type="dxa"/>
            <w:shd w:val="clear" w:color="000000" w:fill="D5DCE4"/>
            <w:vAlign w:val="center"/>
            <w:hideMark/>
          </w:tcPr>
          <w:p w14:paraId="4262A7E6"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c>
          <w:tcPr>
            <w:tcW w:w="1196" w:type="dxa"/>
            <w:tcBorders>
              <w:right w:val="single" w:sz="2" w:space="0" w:color="A6A6A6" w:themeColor="background1" w:themeShade="A6"/>
            </w:tcBorders>
            <w:shd w:val="clear" w:color="000000" w:fill="D5DCE4"/>
            <w:vAlign w:val="center"/>
            <w:hideMark/>
          </w:tcPr>
          <w:p w14:paraId="5DCFF31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w:t>
            </w:r>
          </w:p>
        </w:tc>
      </w:tr>
      <w:tr w:rsidR="00A91D86" w:rsidRPr="00A76BED" w14:paraId="559E9280"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69B7FEBB" w14:textId="6DA6B8AF"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52B4386E"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ΝΠΔΔ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66E5AE66"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left w:val="single" w:sz="2" w:space="0" w:color="A6A6A6" w:themeColor="background1" w:themeShade="A6"/>
            </w:tcBorders>
            <w:shd w:val="clear" w:color="auto" w:fill="auto"/>
            <w:vAlign w:val="center"/>
            <w:hideMark/>
          </w:tcPr>
          <w:p w14:paraId="1460621D"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1196" w:type="dxa"/>
            <w:shd w:val="clear" w:color="auto" w:fill="auto"/>
            <w:vAlign w:val="center"/>
            <w:hideMark/>
          </w:tcPr>
          <w:p w14:paraId="50A0AAF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3</w:t>
            </w:r>
          </w:p>
        </w:tc>
        <w:tc>
          <w:tcPr>
            <w:tcW w:w="873" w:type="dxa"/>
            <w:shd w:val="clear" w:color="auto" w:fill="auto"/>
            <w:vAlign w:val="center"/>
            <w:hideMark/>
          </w:tcPr>
          <w:p w14:paraId="3ECB4A3A"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shd w:val="clear" w:color="auto" w:fill="auto"/>
            <w:vAlign w:val="center"/>
            <w:hideMark/>
          </w:tcPr>
          <w:p w14:paraId="17EB6904"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c>
          <w:tcPr>
            <w:tcW w:w="1196" w:type="dxa"/>
            <w:tcBorders>
              <w:right w:val="single" w:sz="2" w:space="0" w:color="A6A6A6" w:themeColor="background1" w:themeShade="A6"/>
            </w:tcBorders>
            <w:shd w:val="clear" w:color="auto" w:fill="auto"/>
            <w:vAlign w:val="center"/>
            <w:hideMark/>
          </w:tcPr>
          <w:p w14:paraId="3D287F0B"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1</w:t>
            </w:r>
          </w:p>
        </w:tc>
      </w:tr>
      <w:tr w:rsidR="00A91D86" w:rsidRPr="00A76BED" w14:paraId="68DBB73B"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auto" w:fill="auto"/>
            <w:vAlign w:val="center"/>
            <w:hideMark/>
          </w:tcPr>
          <w:p w14:paraId="3F67199C" w14:textId="3007F920" w:rsidR="00A91D86" w:rsidRPr="00A76BED" w:rsidRDefault="00A91D86" w:rsidP="009525DC">
            <w:pPr>
              <w:spacing w:after="0" w:line="276" w:lineRule="auto"/>
              <w:jc w:val="center"/>
              <w:rPr>
                <w:rFonts w:cs="Arial"/>
                <w:i/>
                <w:i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auto" w:fill="auto"/>
            <w:vAlign w:val="center"/>
            <w:hideMark/>
          </w:tcPr>
          <w:p w14:paraId="714E38BB" w14:textId="77777777" w:rsidR="00A91D86" w:rsidRPr="00A76BED" w:rsidRDefault="00A91D86" w:rsidP="009525DC">
            <w:pPr>
              <w:spacing w:after="0" w:line="276" w:lineRule="auto"/>
              <w:jc w:val="left"/>
              <w:rPr>
                <w:rFonts w:cs="Arial"/>
                <w:i/>
                <w:iCs/>
                <w:color w:val="000000"/>
                <w:sz w:val="16"/>
                <w:szCs w:val="16"/>
              </w:rPr>
            </w:pPr>
            <w:r w:rsidRPr="00A76BED">
              <w:rPr>
                <w:rFonts w:cs="Arial"/>
                <w:i/>
                <w:iCs/>
                <w:color w:val="000000"/>
                <w:sz w:val="16"/>
                <w:szCs w:val="16"/>
              </w:rPr>
              <w:t>ΝΠΙΔ</w:t>
            </w:r>
          </w:p>
        </w:tc>
        <w:tc>
          <w:tcPr>
            <w:tcW w:w="1037" w:type="dxa"/>
            <w:tcBorders>
              <w:left w:val="single" w:sz="2" w:space="0" w:color="A6A6A6" w:themeColor="background1" w:themeShade="A6"/>
              <w:right w:val="single" w:sz="2" w:space="0" w:color="A6A6A6" w:themeColor="background1" w:themeShade="A6"/>
            </w:tcBorders>
            <w:shd w:val="clear" w:color="auto" w:fill="auto"/>
            <w:vAlign w:val="center"/>
            <w:hideMark/>
          </w:tcPr>
          <w:p w14:paraId="60E34D93"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left w:val="single" w:sz="2" w:space="0" w:color="A6A6A6" w:themeColor="background1" w:themeShade="A6"/>
            </w:tcBorders>
            <w:shd w:val="clear" w:color="auto" w:fill="auto"/>
            <w:vAlign w:val="center"/>
            <w:hideMark/>
          </w:tcPr>
          <w:p w14:paraId="0B23F31F"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shd w:val="clear" w:color="auto" w:fill="auto"/>
            <w:vAlign w:val="center"/>
            <w:hideMark/>
          </w:tcPr>
          <w:p w14:paraId="7D32A341"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873" w:type="dxa"/>
            <w:shd w:val="clear" w:color="auto" w:fill="auto"/>
            <w:vAlign w:val="center"/>
            <w:hideMark/>
          </w:tcPr>
          <w:p w14:paraId="1AAE0142"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shd w:val="clear" w:color="auto" w:fill="auto"/>
            <w:vAlign w:val="center"/>
            <w:hideMark/>
          </w:tcPr>
          <w:p w14:paraId="2072F235"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c>
          <w:tcPr>
            <w:tcW w:w="1196" w:type="dxa"/>
            <w:tcBorders>
              <w:right w:val="single" w:sz="2" w:space="0" w:color="A6A6A6" w:themeColor="background1" w:themeShade="A6"/>
            </w:tcBorders>
            <w:shd w:val="clear" w:color="auto" w:fill="auto"/>
            <w:vAlign w:val="center"/>
            <w:hideMark/>
          </w:tcPr>
          <w:p w14:paraId="74C29BB0" w14:textId="77777777" w:rsidR="00A91D86" w:rsidRPr="00A76BED" w:rsidRDefault="00A91D86" w:rsidP="009525DC">
            <w:pPr>
              <w:spacing w:after="0" w:line="276" w:lineRule="auto"/>
              <w:jc w:val="right"/>
              <w:rPr>
                <w:rFonts w:cs="Arial"/>
                <w:i/>
                <w:iCs/>
                <w:color w:val="000000"/>
                <w:sz w:val="16"/>
                <w:szCs w:val="16"/>
              </w:rPr>
            </w:pPr>
            <w:r w:rsidRPr="00A76BED">
              <w:rPr>
                <w:rFonts w:cs="Arial"/>
                <w:i/>
                <w:iCs/>
                <w:color w:val="000000"/>
                <w:sz w:val="16"/>
                <w:szCs w:val="16"/>
              </w:rPr>
              <w:t>0</w:t>
            </w:r>
          </w:p>
        </w:tc>
      </w:tr>
      <w:tr w:rsidR="00A91D86" w:rsidRPr="00A76BED" w14:paraId="70036265"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50113BDB" w14:textId="3CED1BAA" w:rsidR="00A91D86" w:rsidRPr="00A76BED" w:rsidRDefault="00A91D86" w:rsidP="009525DC">
            <w:pPr>
              <w:spacing w:after="0" w:line="276" w:lineRule="auto"/>
              <w:jc w:val="center"/>
              <w:rPr>
                <w:rFonts w:cs="Arial"/>
                <w:b/>
                <w:b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0323034" w14:textId="77777777" w:rsidR="00A91D86" w:rsidRPr="00A76BED" w:rsidRDefault="00A91D86" w:rsidP="009525DC">
            <w:pPr>
              <w:spacing w:after="0" w:line="276" w:lineRule="auto"/>
              <w:jc w:val="left"/>
              <w:rPr>
                <w:rFonts w:cs="Arial"/>
                <w:b/>
                <w:bCs/>
                <w:color w:val="000000"/>
                <w:sz w:val="16"/>
                <w:szCs w:val="16"/>
              </w:rPr>
            </w:pPr>
            <w:r w:rsidRPr="00A76BED">
              <w:rPr>
                <w:rFonts w:cs="Arial"/>
                <w:b/>
                <w:bCs/>
                <w:color w:val="000000"/>
                <w:sz w:val="16"/>
                <w:szCs w:val="16"/>
              </w:rPr>
              <w:t>Σύνολο ΝΠ</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60700717"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849</w:t>
            </w:r>
          </w:p>
        </w:tc>
        <w:tc>
          <w:tcPr>
            <w:tcW w:w="1196" w:type="dxa"/>
            <w:tcBorders>
              <w:left w:val="single" w:sz="2" w:space="0" w:color="A6A6A6" w:themeColor="background1" w:themeShade="A6"/>
            </w:tcBorders>
            <w:shd w:val="clear" w:color="000000" w:fill="D5DCE4"/>
            <w:vAlign w:val="center"/>
            <w:hideMark/>
          </w:tcPr>
          <w:p w14:paraId="44CCF325"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14.085</w:t>
            </w:r>
          </w:p>
        </w:tc>
        <w:tc>
          <w:tcPr>
            <w:tcW w:w="1196" w:type="dxa"/>
            <w:shd w:val="clear" w:color="000000" w:fill="D5DCE4"/>
            <w:vAlign w:val="center"/>
            <w:hideMark/>
          </w:tcPr>
          <w:p w14:paraId="05989A9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13.151</w:t>
            </w:r>
          </w:p>
        </w:tc>
        <w:tc>
          <w:tcPr>
            <w:tcW w:w="873" w:type="dxa"/>
            <w:shd w:val="clear" w:color="000000" w:fill="D5DCE4"/>
            <w:vAlign w:val="center"/>
            <w:hideMark/>
          </w:tcPr>
          <w:p w14:paraId="4A6FB659"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1.032</w:t>
            </w:r>
          </w:p>
        </w:tc>
        <w:tc>
          <w:tcPr>
            <w:tcW w:w="1196" w:type="dxa"/>
            <w:shd w:val="clear" w:color="000000" w:fill="D5DCE4"/>
            <w:vAlign w:val="center"/>
            <w:hideMark/>
          </w:tcPr>
          <w:p w14:paraId="3AB35B36"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182</w:t>
            </w:r>
          </w:p>
        </w:tc>
        <w:tc>
          <w:tcPr>
            <w:tcW w:w="1196" w:type="dxa"/>
            <w:tcBorders>
              <w:right w:val="single" w:sz="2" w:space="0" w:color="A6A6A6" w:themeColor="background1" w:themeShade="A6"/>
            </w:tcBorders>
            <w:shd w:val="clear" w:color="000000" w:fill="D5DCE4"/>
            <w:vAlign w:val="center"/>
            <w:hideMark/>
          </w:tcPr>
          <w:p w14:paraId="0DBEE92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341</w:t>
            </w:r>
          </w:p>
        </w:tc>
      </w:tr>
      <w:tr w:rsidR="00A91D86" w:rsidRPr="00A76BED" w14:paraId="2C9FC2C3" w14:textId="77777777" w:rsidTr="00DA6D5E">
        <w:trPr>
          <w:cantSplit/>
          <w:jc w:val="center"/>
        </w:trPr>
        <w:tc>
          <w:tcPr>
            <w:tcW w:w="394"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4CE2A5BE" w14:textId="6F4B16D5" w:rsidR="00A91D86" w:rsidRPr="00A76BED" w:rsidRDefault="00A91D86" w:rsidP="009525DC">
            <w:pPr>
              <w:spacing w:after="0" w:line="276" w:lineRule="auto"/>
              <w:jc w:val="center"/>
              <w:rPr>
                <w:rFonts w:cs="Arial"/>
                <w:b/>
                <w:bCs/>
                <w:color w:val="000000"/>
                <w:sz w:val="16"/>
                <w:szCs w:val="16"/>
              </w:rPr>
            </w:pPr>
          </w:p>
        </w:tc>
        <w:tc>
          <w:tcPr>
            <w:tcW w:w="2166"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2DFD36FA" w14:textId="77777777" w:rsidR="00A91D86" w:rsidRPr="00A76BED" w:rsidRDefault="00A91D86" w:rsidP="009525DC">
            <w:pPr>
              <w:spacing w:after="0" w:line="276" w:lineRule="auto"/>
              <w:jc w:val="left"/>
              <w:rPr>
                <w:rFonts w:cs="Arial"/>
                <w:b/>
                <w:bCs/>
                <w:i/>
                <w:iCs/>
                <w:color w:val="000000"/>
                <w:sz w:val="16"/>
                <w:szCs w:val="16"/>
              </w:rPr>
            </w:pPr>
            <w:r w:rsidRPr="00A76BED">
              <w:rPr>
                <w:rFonts w:cs="Arial"/>
                <w:b/>
                <w:bCs/>
                <w:i/>
                <w:iCs/>
                <w:color w:val="000000"/>
                <w:sz w:val="16"/>
                <w:szCs w:val="16"/>
              </w:rPr>
              <w:t>Σύνολο ΝΠΔΔ</w:t>
            </w:r>
          </w:p>
        </w:tc>
        <w:tc>
          <w:tcPr>
            <w:tcW w:w="1037" w:type="dxa"/>
            <w:tcBorders>
              <w:left w:val="single" w:sz="2" w:space="0" w:color="A6A6A6" w:themeColor="background1" w:themeShade="A6"/>
              <w:right w:val="single" w:sz="2" w:space="0" w:color="A6A6A6" w:themeColor="background1" w:themeShade="A6"/>
            </w:tcBorders>
            <w:shd w:val="clear" w:color="000000" w:fill="D5DCE4"/>
            <w:vAlign w:val="center"/>
            <w:hideMark/>
          </w:tcPr>
          <w:p w14:paraId="6632DD3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502</w:t>
            </w:r>
          </w:p>
        </w:tc>
        <w:tc>
          <w:tcPr>
            <w:tcW w:w="1196" w:type="dxa"/>
            <w:tcBorders>
              <w:left w:val="single" w:sz="2" w:space="0" w:color="A6A6A6" w:themeColor="background1" w:themeShade="A6"/>
            </w:tcBorders>
            <w:shd w:val="clear" w:color="000000" w:fill="D5DCE4"/>
            <w:vAlign w:val="center"/>
            <w:hideMark/>
          </w:tcPr>
          <w:p w14:paraId="485CD93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2.445</w:t>
            </w:r>
          </w:p>
        </w:tc>
        <w:tc>
          <w:tcPr>
            <w:tcW w:w="1196" w:type="dxa"/>
            <w:shd w:val="clear" w:color="000000" w:fill="D5DCE4"/>
            <w:vAlign w:val="center"/>
            <w:hideMark/>
          </w:tcPr>
          <w:p w14:paraId="2D05540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2.003</w:t>
            </w:r>
          </w:p>
        </w:tc>
        <w:tc>
          <w:tcPr>
            <w:tcW w:w="873" w:type="dxa"/>
            <w:shd w:val="clear" w:color="000000" w:fill="D5DCE4"/>
            <w:vAlign w:val="center"/>
            <w:hideMark/>
          </w:tcPr>
          <w:p w14:paraId="4075EDA8"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459</w:t>
            </w:r>
          </w:p>
        </w:tc>
        <w:tc>
          <w:tcPr>
            <w:tcW w:w="1196" w:type="dxa"/>
            <w:shd w:val="clear" w:color="000000" w:fill="D5DCE4"/>
            <w:vAlign w:val="center"/>
            <w:hideMark/>
          </w:tcPr>
          <w:p w14:paraId="072B20B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179</w:t>
            </w:r>
          </w:p>
        </w:tc>
        <w:tc>
          <w:tcPr>
            <w:tcW w:w="1196" w:type="dxa"/>
            <w:tcBorders>
              <w:right w:val="single" w:sz="2" w:space="0" w:color="A6A6A6" w:themeColor="background1" w:themeShade="A6"/>
            </w:tcBorders>
            <w:shd w:val="clear" w:color="000000" w:fill="D5DCE4"/>
            <w:vAlign w:val="center"/>
            <w:hideMark/>
          </w:tcPr>
          <w:p w14:paraId="1C921E43"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194</w:t>
            </w:r>
          </w:p>
        </w:tc>
      </w:tr>
      <w:tr w:rsidR="00A91D86" w:rsidRPr="00A76BED" w14:paraId="530F8CFA" w14:textId="77777777" w:rsidTr="00DA6D5E">
        <w:trPr>
          <w:cantSplit/>
          <w:jc w:val="center"/>
        </w:trPr>
        <w:tc>
          <w:tcPr>
            <w:tcW w:w="394"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07FF8531" w14:textId="2EB7CD8F" w:rsidR="00A91D86" w:rsidRPr="00A76BED" w:rsidRDefault="00A91D86" w:rsidP="009525DC">
            <w:pPr>
              <w:spacing w:after="0" w:line="276" w:lineRule="auto"/>
              <w:jc w:val="center"/>
              <w:rPr>
                <w:rFonts w:cs="Arial"/>
                <w:b/>
                <w:bCs/>
                <w:color w:val="000000"/>
                <w:sz w:val="16"/>
                <w:szCs w:val="16"/>
              </w:rPr>
            </w:pPr>
          </w:p>
        </w:tc>
        <w:tc>
          <w:tcPr>
            <w:tcW w:w="2166"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70A54DD0" w14:textId="77777777" w:rsidR="00A91D86" w:rsidRPr="00A76BED" w:rsidRDefault="00A91D86" w:rsidP="009525DC">
            <w:pPr>
              <w:spacing w:after="0" w:line="276" w:lineRule="auto"/>
              <w:jc w:val="left"/>
              <w:rPr>
                <w:rFonts w:cs="Arial"/>
                <w:b/>
                <w:bCs/>
                <w:i/>
                <w:iCs/>
                <w:color w:val="000000"/>
                <w:sz w:val="16"/>
                <w:szCs w:val="16"/>
              </w:rPr>
            </w:pPr>
            <w:r w:rsidRPr="00A76BED">
              <w:rPr>
                <w:rFonts w:cs="Arial"/>
                <w:b/>
                <w:bCs/>
                <w:i/>
                <w:iCs/>
                <w:color w:val="000000"/>
                <w:sz w:val="16"/>
                <w:szCs w:val="16"/>
              </w:rPr>
              <w:t>Σύνολο ΝΠΙΔ</w:t>
            </w:r>
          </w:p>
        </w:tc>
        <w:tc>
          <w:tcPr>
            <w:tcW w:w="1037"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10A71A6E"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347</w:t>
            </w:r>
          </w:p>
        </w:tc>
        <w:tc>
          <w:tcPr>
            <w:tcW w:w="1196" w:type="dxa"/>
            <w:tcBorders>
              <w:left w:val="single" w:sz="2" w:space="0" w:color="A6A6A6" w:themeColor="background1" w:themeShade="A6"/>
              <w:bottom w:val="single" w:sz="2" w:space="0" w:color="A6A6A6" w:themeColor="background1" w:themeShade="A6"/>
            </w:tcBorders>
            <w:shd w:val="clear" w:color="000000" w:fill="D5DCE4"/>
            <w:vAlign w:val="center"/>
            <w:hideMark/>
          </w:tcPr>
          <w:p w14:paraId="75AD96CB"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11.640</w:t>
            </w:r>
          </w:p>
        </w:tc>
        <w:tc>
          <w:tcPr>
            <w:tcW w:w="1196" w:type="dxa"/>
            <w:tcBorders>
              <w:bottom w:val="single" w:sz="2" w:space="0" w:color="A6A6A6" w:themeColor="background1" w:themeShade="A6"/>
            </w:tcBorders>
            <w:shd w:val="clear" w:color="000000" w:fill="D5DCE4"/>
            <w:vAlign w:val="center"/>
            <w:hideMark/>
          </w:tcPr>
          <w:p w14:paraId="1F7EE9BA"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11.148</w:t>
            </w:r>
          </w:p>
        </w:tc>
        <w:tc>
          <w:tcPr>
            <w:tcW w:w="873" w:type="dxa"/>
            <w:tcBorders>
              <w:bottom w:val="single" w:sz="2" w:space="0" w:color="A6A6A6" w:themeColor="background1" w:themeShade="A6"/>
            </w:tcBorders>
            <w:shd w:val="clear" w:color="000000" w:fill="D5DCE4"/>
            <w:vAlign w:val="center"/>
            <w:hideMark/>
          </w:tcPr>
          <w:p w14:paraId="62D94156"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573</w:t>
            </w:r>
          </w:p>
        </w:tc>
        <w:tc>
          <w:tcPr>
            <w:tcW w:w="1196" w:type="dxa"/>
            <w:tcBorders>
              <w:bottom w:val="single" w:sz="2" w:space="0" w:color="A6A6A6" w:themeColor="background1" w:themeShade="A6"/>
            </w:tcBorders>
            <w:shd w:val="clear" w:color="000000" w:fill="D5DCE4"/>
            <w:vAlign w:val="center"/>
            <w:hideMark/>
          </w:tcPr>
          <w:p w14:paraId="43AC65FF"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3</w:t>
            </w:r>
          </w:p>
        </w:tc>
        <w:tc>
          <w:tcPr>
            <w:tcW w:w="1196" w:type="dxa"/>
            <w:tcBorders>
              <w:bottom w:val="single" w:sz="2" w:space="0" w:color="A6A6A6" w:themeColor="background1" w:themeShade="A6"/>
              <w:right w:val="single" w:sz="2" w:space="0" w:color="A6A6A6" w:themeColor="background1" w:themeShade="A6"/>
            </w:tcBorders>
            <w:shd w:val="clear" w:color="000000" w:fill="D5DCE4"/>
            <w:vAlign w:val="center"/>
            <w:hideMark/>
          </w:tcPr>
          <w:p w14:paraId="47D1B4BD" w14:textId="77777777" w:rsidR="00A91D86" w:rsidRPr="00A76BED" w:rsidRDefault="00A91D86" w:rsidP="009525DC">
            <w:pPr>
              <w:spacing w:after="0" w:line="276" w:lineRule="auto"/>
              <w:jc w:val="right"/>
              <w:rPr>
                <w:rFonts w:cs="Arial"/>
                <w:b/>
                <w:bCs/>
                <w:color w:val="000000"/>
                <w:sz w:val="16"/>
                <w:szCs w:val="16"/>
              </w:rPr>
            </w:pPr>
            <w:r w:rsidRPr="00A76BED">
              <w:rPr>
                <w:rFonts w:cs="Arial"/>
                <w:b/>
                <w:bCs/>
                <w:color w:val="000000"/>
                <w:sz w:val="16"/>
                <w:szCs w:val="16"/>
              </w:rPr>
              <w:t>147</w:t>
            </w:r>
          </w:p>
        </w:tc>
      </w:tr>
      <w:tr w:rsidR="00A91D86" w:rsidRPr="00A76BED" w14:paraId="1B4E1084" w14:textId="77777777" w:rsidTr="00A76BED">
        <w:trPr>
          <w:cantSplit/>
          <w:jc w:val="center"/>
        </w:trPr>
        <w:tc>
          <w:tcPr>
            <w:tcW w:w="9254" w:type="dxa"/>
            <w:gridSpan w:val="8"/>
            <w:tcBorders>
              <w:top w:val="single" w:sz="2" w:space="0" w:color="A6A6A6" w:themeColor="background1" w:themeShade="A6"/>
            </w:tcBorders>
            <w:shd w:val="clear" w:color="auto" w:fill="auto"/>
            <w:noWrap/>
            <w:vAlign w:val="center"/>
            <w:hideMark/>
          </w:tcPr>
          <w:p w14:paraId="433AF810" w14:textId="57B75FA1" w:rsidR="00A91D86" w:rsidRPr="00A76BED" w:rsidRDefault="00A91D86" w:rsidP="00790111">
            <w:pPr>
              <w:tabs>
                <w:tab w:val="left" w:pos="113"/>
              </w:tabs>
              <w:spacing w:before="60" w:after="0" w:line="276" w:lineRule="auto"/>
              <w:ind w:left="113" w:hanging="113"/>
              <w:rPr>
                <w:rFonts w:cs="Arial"/>
                <w:color w:val="000000"/>
                <w:sz w:val="16"/>
                <w:szCs w:val="16"/>
              </w:rPr>
            </w:pPr>
            <w:r w:rsidRPr="00A76BED">
              <w:rPr>
                <w:rFonts w:cs="Arial"/>
                <w:color w:val="000000"/>
                <w:sz w:val="16"/>
                <w:szCs w:val="16"/>
                <w:vertAlign w:val="superscript"/>
              </w:rPr>
              <w:t>1</w:t>
            </w:r>
            <w:r w:rsidR="00A76BED" w:rsidRPr="00A76BED">
              <w:rPr>
                <w:rFonts w:cs="Arial"/>
                <w:color w:val="000000"/>
                <w:sz w:val="16"/>
                <w:szCs w:val="16"/>
                <w:vertAlign w:val="superscript"/>
              </w:rPr>
              <w:tab/>
            </w:r>
            <w:r w:rsidR="00E24A82" w:rsidRPr="00A76BED">
              <w:rPr>
                <w:rFonts w:cs="Arial"/>
                <w:color w:val="000000"/>
                <w:sz w:val="16"/>
                <w:szCs w:val="16"/>
              </w:rPr>
              <w:t xml:space="preserve">Περιλαμβάνεται και η </w:t>
            </w:r>
            <w:r w:rsidRPr="00A76BED">
              <w:rPr>
                <w:rFonts w:cs="Arial"/>
                <w:color w:val="000000"/>
                <w:sz w:val="16"/>
                <w:szCs w:val="16"/>
              </w:rPr>
              <w:t xml:space="preserve">μεταβολή </w:t>
            </w:r>
            <w:r w:rsidR="001332C2">
              <w:rPr>
                <w:rFonts w:cs="Arial"/>
                <w:color w:val="000000"/>
                <w:sz w:val="16"/>
                <w:szCs w:val="16"/>
              </w:rPr>
              <w:t xml:space="preserve">των </w:t>
            </w:r>
            <w:r w:rsidRPr="00A76BED">
              <w:rPr>
                <w:rFonts w:cs="Arial"/>
                <w:color w:val="000000"/>
                <w:sz w:val="16"/>
                <w:szCs w:val="16"/>
              </w:rPr>
              <w:t>απλήρωτων υποχρεώσεων</w:t>
            </w:r>
            <w:r w:rsidR="00E24A82" w:rsidRPr="00A76BED">
              <w:rPr>
                <w:rFonts w:cs="Arial"/>
                <w:color w:val="000000"/>
                <w:sz w:val="16"/>
                <w:szCs w:val="16"/>
              </w:rPr>
              <w:t>.</w:t>
            </w:r>
          </w:p>
          <w:p w14:paraId="16A03641" w14:textId="472C7AC4" w:rsidR="00A76BED" w:rsidRPr="00A76BED" w:rsidRDefault="00A76BED" w:rsidP="00790111">
            <w:pPr>
              <w:tabs>
                <w:tab w:val="left" w:pos="113"/>
              </w:tabs>
              <w:spacing w:before="60" w:after="0" w:line="276" w:lineRule="auto"/>
              <w:ind w:left="113" w:hanging="113"/>
              <w:rPr>
                <w:rFonts w:cs="Arial"/>
                <w:color w:val="000000"/>
                <w:sz w:val="16"/>
                <w:szCs w:val="16"/>
              </w:rPr>
            </w:pPr>
            <w:r w:rsidRPr="00A76BED">
              <w:rPr>
                <w:rFonts w:cs="Arial"/>
                <w:color w:val="000000"/>
                <w:sz w:val="16"/>
                <w:szCs w:val="16"/>
                <w:vertAlign w:val="superscript"/>
              </w:rPr>
              <w:t>2</w:t>
            </w:r>
            <w:r w:rsidRPr="00A76BED">
              <w:rPr>
                <w:rFonts w:cs="Arial"/>
                <w:color w:val="000000"/>
                <w:sz w:val="16"/>
                <w:szCs w:val="16"/>
                <w:vertAlign w:val="superscript"/>
              </w:rPr>
              <w:tab/>
            </w:r>
            <w:r w:rsidR="00012FB6" w:rsidRPr="00012FB6">
              <w:rPr>
                <w:rFonts w:cs="Arial"/>
                <w:color w:val="000000"/>
                <w:sz w:val="16"/>
                <w:szCs w:val="16"/>
              </w:rPr>
              <w:t>Σ</w:t>
            </w:r>
            <w:r w:rsidR="00012FB6" w:rsidRPr="00A76BED">
              <w:rPr>
                <w:rFonts w:cs="Arial"/>
                <w:color w:val="000000"/>
                <w:sz w:val="16"/>
                <w:szCs w:val="16"/>
              </w:rPr>
              <w:t>το ισοζύγιο κατά ESA</w:t>
            </w:r>
            <w:r w:rsidR="00012FB6">
              <w:rPr>
                <w:rFonts w:cs="Arial"/>
                <w:color w:val="000000"/>
                <w:sz w:val="16"/>
                <w:szCs w:val="16"/>
              </w:rPr>
              <w:t xml:space="preserve"> των </w:t>
            </w:r>
            <w:r w:rsidR="007B5A5C">
              <w:rPr>
                <w:rFonts w:cs="Arial"/>
                <w:color w:val="000000"/>
                <w:sz w:val="16"/>
                <w:szCs w:val="16"/>
              </w:rPr>
              <w:t>νομικ</w:t>
            </w:r>
            <w:r w:rsidR="00012FB6">
              <w:rPr>
                <w:rFonts w:cs="Arial"/>
                <w:color w:val="000000"/>
                <w:sz w:val="16"/>
                <w:szCs w:val="16"/>
              </w:rPr>
              <w:t>ών</w:t>
            </w:r>
            <w:r w:rsidR="007B5A5C">
              <w:rPr>
                <w:rFonts w:cs="Arial"/>
                <w:color w:val="000000"/>
                <w:sz w:val="16"/>
                <w:szCs w:val="16"/>
              </w:rPr>
              <w:t xml:space="preserve"> πρ</w:t>
            </w:r>
            <w:r w:rsidR="00012FB6">
              <w:rPr>
                <w:rFonts w:cs="Arial"/>
                <w:color w:val="000000"/>
                <w:sz w:val="16"/>
                <w:szCs w:val="16"/>
              </w:rPr>
              <w:t xml:space="preserve">οσώπων </w:t>
            </w:r>
            <w:r w:rsidR="007B5A5C">
              <w:rPr>
                <w:rFonts w:cs="Arial"/>
                <w:color w:val="000000"/>
                <w:sz w:val="16"/>
                <w:szCs w:val="16"/>
              </w:rPr>
              <w:t>εποπτείας του</w:t>
            </w:r>
            <w:r w:rsidRPr="00A76BED">
              <w:rPr>
                <w:rFonts w:cs="Arial"/>
                <w:color w:val="000000"/>
                <w:sz w:val="16"/>
                <w:szCs w:val="16"/>
              </w:rPr>
              <w:t xml:space="preserve"> Υπουργείο</w:t>
            </w:r>
            <w:r w:rsidR="007B5A5C">
              <w:rPr>
                <w:rFonts w:cs="Arial"/>
                <w:color w:val="000000"/>
                <w:sz w:val="16"/>
                <w:szCs w:val="16"/>
              </w:rPr>
              <w:t>υ</w:t>
            </w:r>
            <w:r w:rsidRPr="00A76BED">
              <w:rPr>
                <w:rFonts w:cs="Arial"/>
                <w:color w:val="000000"/>
                <w:sz w:val="16"/>
                <w:szCs w:val="16"/>
              </w:rPr>
              <w:t xml:space="preserve"> Εθνικής Άμυνας έχουν </w:t>
            </w:r>
            <w:r w:rsidR="00E359A0" w:rsidRPr="00A76BED">
              <w:rPr>
                <w:rFonts w:cs="Arial"/>
                <w:color w:val="000000"/>
                <w:sz w:val="16"/>
                <w:szCs w:val="16"/>
              </w:rPr>
              <w:t>επιπλέον</w:t>
            </w:r>
            <w:r w:rsidRPr="00A76BED">
              <w:rPr>
                <w:rFonts w:cs="Arial"/>
                <w:color w:val="000000"/>
                <w:sz w:val="16"/>
                <w:szCs w:val="16"/>
              </w:rPr>
              <w:t xml:space="preserve"> ενσωματωθεί λοιπές εθνικολογιστικές προσαρμογές (καταπτώσεις εγγυήσεων) ύψους 13 εκατ. ευρώ για το 2025 και </w:t>
            </w:r>
            <w:r w:rsidR="00012FB6">
              <w:rPr>
                <w:rFonts w:cs="Arial"/>
                <w:color w:val="000000"/>
                <w:sz w:val="16"/>
                <w:szCs w:val="16"/>
              </w:rPr>
              <w:t xml:space="preserve">ύψους </w:t>
            </w:r>
            <w:r w:rsidRPr="00A76BED">
              <w:rPr>
                <w:rFonts w:cs="Arial"/>
                <w:color w:val="000000"/>
                <w:sz w:val="16"/>
                <w:szCs w:val="16"/>
              </w:rPr>
              <w:t>12 εκατ. ευρώ για το 2026.</w:t>
            </w:r>
          </w:p>
        </w:tc>
      </w:tr>
    </w:tbl>
    <w:p w14:paraId="6C948029" w14:textId="068747C0" w:rsidR="00D93002" w:rsidRPr="009465F8" w:rsidRDefault="00D93002" w:rsidP="00530558">
      <w:pPr>
        <w:keepNext/>
        <w:spacing w:before="240"/>
        <w:rPr>
          <w:b/>
          <w:bCs/>
          <w:szCs w:val="20"/>
        </w:rPr>
      </w:pPr>
      <w:r w:rsidRPr="009465F8">
        <w:rPr>
          <w:b/>
          <w:bCs/>
          <w:szCs w:val="20"/>
        </w:rPr>
        <w:lastRenderedPageBreak/>
        <w:t>Προεδρία της Κυβέρνησης</w:t>
      </w:r>
    </w:p>
    <w:p w14:paraId="4EFBE080" w14:textId="0CE7A671" w:rsidR="00246496" w:rsidRPr="006D3389" w:rsidRDefault="006D3389" w:rsidP="007E204A">
      <w:r>
        <w:t xml:space="preserve">Στα νομικά πρόσωπα της Προεδρίας της Κυβέρνησης περιλαμβάνονται η Ελληνική Ραδιοφωνία Τηλεόραση (ΕΡΤ) και το Αθηναϊκό Πρακτορείο Ειδήσεων - Μακεδονικό Πρακτορείο Ειδήσεων (ΑΠΕ - ΜΠΕ). Το δημοσιονομικό αποτέλεσμα για το </w:t>
      </w:r>
      <w:r w:rsidRPr="0037408E">
        <w:t>2026</w:t>
      </w:r>
      <w:r>
        <w:t xml:space="preserve"> προβλέπεται θετικό, ύψους 6,9 εκατ. ευρώ. Σημειώνεται ότι για το 2026 προβλέπεται απόδοση μερίσματος</w:t>
      </w:r>
      <w:r w:rsidRPr="002768D2">
        <w:t xml:space="preserve"> </w:t>
      </w:r>
      <w:r>
        <w:t xml:space="preserve">ύψους </w:t>
      </w:r>
      <w:r w:rsidRPr="00EA1D96">
        <w:t xml:space="preserve">1 </w:t>
      </w:r>
      <w:r>
        <w:t>εκατ. ευρώ της ΕΡΤ προς το Ελληνικό Δημόσιο.</w:t>
      </w:r>
    </w:p>
    <w:p w14:paraId="28E9A0DE" w14:textId="1D91F616" w:rsidR="00D93002" w:rsidRPr="008615F6" w:rsidRDefault="00D93002" w:rsidP="00D93002">
      <w:pPr>
        <w:rPr>
          <w:b/>
          <w:bCs/>
          <w:szCs w:val="20"/>
        </w:rPr>
      </w:pPr>
      <w:r w:rsidRPr="008615F6">
        <w:rPr>
          <w:b/>
          <w:bCs/>
          <w:szCs w:val="20"/>
        </w:rPr>
        <w:t>Υπουργείο Εσωτερικών</w:t>
      </w:r>
    </w:p>
    <w:p w14:paraId="0A56366D" w14:textId="3DD94F8B" w:rsidR="006D3389" w:rsidRDefault="006D3389" w:rsidP="006D3389">
      <w:r>
        <w:t>Στην εποπτεία του Υπουργείου υπάγονται το Εθνικό Κέντρο Δημόσιας Διοίκησης και Αυτοδιοίκησης (ΕΚΔΔΑ), το Κέντρο Διαφύλαξης Αγιορείτικης Κληρονομιάς (ΚεΔΑΚ), η Εταιρεία Ύδρευσης και Αποχέτευσης Θεσσαλονίκης (ΕΥΑΘ) Παγίων, η Αλεξάνδρεια Ζώνη Καινοτομίας (ΑΖΚ) και ο Φορέας Διαχείρισης Κοινοχρήστων εντός του Μητροπολιτικού Πόλου Ελληνικού - Αγίου Κοσμά.</w:t>
      </w:r>
    </w:p>
    <w:p w14:paraId="6EAF659C" w14:textId="233C7E01" w:rsidR="00246496" w:rsidRPr="006D3389" w:rsidRDefault="006D3389" w:rsidP="006D3389">
      <w:r>
        <w:t xml:space="preserve">Το αποτέλεσμα των ανωτέρω νομικών προσώπων </w:t>
      </w:r>
      <w:r w:rsidR="00E359A0">
        <w:t xml:space="preserve">για το έτος 2025 </w:t>
      </w:r>
      <w:r>
        <w:t>εκτιμάται σε πλεόνασμα ύψους 1 εκατ. ευρώ</w:t>
      </w:r>
      <w:r w:rsidR="00E359A0">
        <w:t xml:space="preserve"> και για το έτος 2026</w:t>
      </w:r>
      <w:r>
        <w:t xml:space="preserve"> </w:t>
      </w:r>
      <w:r w:rsidR="00E359A0">
        <w:t xml:space="preserve">προβλέπεται πλεόνασμα ύψους </w:t>
      </w:r>
      <w:r w:rsidRPr="00316CA6">
        <w:t>0,</w:t>
      </w:r>
      <w:r>
        <w:t>4</w:t>
      </w:r>
      <w:r w:rsidRPr="00316CA6">
        <w:t xml:space="preserve"> εκατ</w:t>
      </w:r>
      <w:r>
        <w:t>. ευρώ.</w:t>
      </w:r>
    </w:p>
    <w:p w14:paraId="769446F8" w14:textId="5F52606A" w:rsidR="00D93002" w:rsidRPr="009465F8" w:rsidRDefault="00D93002" w:rsidP="008615F6">
      <w:pPr>
        <w:rPr>
          <w:b/>
          <w:bCs/>
          <w:szCs w:val="20"/>
        </w:rPr>
      </w:pPr>
      <w:r w:rsidRPr="009465F8">
        <w:rPr>
          <w:b/>
          <w:bCs/>
          <w:szCs w:val="20"/>
        </w:rPr>
        <w:t>Υπουργείο Εξωτερικών</w:t>
      </w:r>
    </w:p>
    <w:p w14:paraId="1A7F4CE7" w14:textId="0A9A8EB5" w:rsidR="006D3389" w:rsidRPr="00B05D0B" w:rsidRDefault="006D3389" w:rsidP="006D3389">
      <w:r w:rsidRPr="00B05D0B">
        <w:t xml:space="preserve">Στα νομικά πρόσωπα που εποπτεύονται από το Υπουργείο Εξωτερικών περιλαμβάνονται η </w:t>
      </w:r>
      <w:r w:rsidRPr="00B05D0B">
        <w:rPr>
          <w:bCs/>
        </w:rPr>
        <w:t>Ελληνική Εθνική Επιτροπή για την UNESCO και η Ελληνική Εταιρεία Επενδύσεων και Εξωτερικού Εμπορίου</w:t>
      </w:r>
      <w:r w:rsidRPr="00B05D0B">
        <w:t>, της οποίας κύριος σκοπός είναι η προσέλκυση, η υποδοχή και η διατήρηση επενδύσεων στην Ελλάδα καθώς και η ανάπτυξη των εξαγωγών αγαθών και υπηρεσιών.</w:t>
      </w:r>
    </w:p>
    <w:p w14:paraId="1DA366C6" w14:textId="1981A2B9" w:rsidR="008615F6" w:rsidRPr="006D3389" w:rsidRDefault="006D3389" w:rsidP="007E204A">
      <w:pPr>
        <w:rPr>
          <w:bCs/>
        </w:rPr>
      </w:pPr>
      <w:r w:rsidRPr="00B05D0B">
        <w:t xml:space="preserve">Για τα οικονομικά έτη </w:t>
      </w:r>
      <w:r w:rsidRPr="00B05D0B">
        <w:rPr>
          <w:bCs/>
        </w:rPr>
        <w:t>2025</w:t>
      </w:r>
      <w:r w:rsidRPr="00B05D0B">
        <w:t xml:space="preserve"> και </w:t>
      </w:r>
      <w:r w:rsidRPr="00B05D0B">
        <w:rPr>
          <w:bCs/>
        </w:rPr>
        <w:t>2026</w:t>
      </w:r>
      <w:r w:rsidRPr="00B05D0B">
        <w:t xml:space="preserve"> οι ανωτέρω φορείς αναμένεται να εμφανίσουν </w:t>
      </w:r>
      <w:r w:rsidRPr="00B05D0B">
        <w:rPr>
          <w:bCs/>
        </w:rPr>
        <w:t>πλεόνασμα ύψους 1 εκατ. ευρώ κατ’ έτος</w:t>
      </w:r>
      <w:r w:rsidRPr="00B05D0B">
        <w:t xml:space="preserve">, το οποίο προέρχεται από την </w:t>
      </w:r>
      <w:r w:rsidRPr="00B05D0B">
        <w:rPr>
          <w:bCs/>
        </w:rPr>
        <w:t>Ελληνική Εταιρεία Επενδύσεων και Εξωτερικού Εμπορίου.</w:t>
      </w:r>
    </w:p>
    <w:p w14:paraId="2D93AE55" w14:textId="057CBE76" w:rsidR="00D93002" w:rsidRPr="009465F8" w:rsidRDefault="00D93002" w:rsidP="008615F6">
      <w:pPr>
        <w:rPr>
          <w:b/>
          <w:bCs/>
          <w:szCs w:val="20"/>
        </w:rPr>
      </w:pPr>
      <w:r w:rsidRPr="009465F8">
        <w:rPr>
          <w:b/>
          <w:bCs/>
          <w:szCs w:val="20"/>
        </w:rPr>
        <w:t>Υπουργείο Εθνικής Άμυνας</w:t>
      </w:r>
    </w:p>
    <w:p w14:paraId="05F2DC89" w14:textId="3399A564" w:rsidR="006D3389" w:rsidRDefault="006D3389" w:rsidP="006D3389">
      <w:pPr>
        <w:rPr>
          <w:rFonts w:eastAsia="Calibri"/>
          <w:lang w:eastAsia="en-US"/>
        </w:rPr>
      </w:pPr>
      <w:r>
        <w:t xml:space="preserve">Τα νομικά πρόσωπα που εποπτεύονται από το </w:t>
      </w:r>
      <w:r w:rsidRPr="00BD2CA4">
        <w:t>Υπουργείο Εθνικής Άμυνας προβλέπεται για το 2026 να εμφανίσουν αρνητικό δημοσιονομικό αποτέλεσμα ύψους 0,6 εκατ. ευρώ έναντι εκτιμώμενου πλεονάσματος ύψους 3,5 εκατ. ευρώ για το 2025. Το προβλεπόμενο αρνητικό αποτέλεσμα οφείλεται στα αυξημένα έξοδα του Αυτόνομου Οικοδομικού</w:t>
      </w:r>
      <w:r>
        <w:t xml:space="preserve"> Οργανισμού Αξιωματικών (ΑΟΟΑ), ο οποίος θα προβεί στην έναρξη κατασκευαστικών εργασιών εντός του 2026 στο πλαίσιο εκπλήρωσης της αποστολής του. </w:t>
      </w:r>
      <w:r>
        <w:rPr>
          <w:rFonts w:eastAsia="Calibri"/>
          <w:lang w:eastAsia="en-US"/>
        </w:rPr>
        <w:t>Στη διαμόρφωση των ανωτέρω δημοσιονομικών αποτελεσμάτων συμμετέχει και η εταιρεία Ελληνικά Αμυντικά Συστήματα (ΕΑΣ) ΑΒΕΕ.</w:t>
      </w:r>
    </w:p>
    <w:p w14:paraId="62D3B87F" w14:textId="4E77C26D" w:rsidR="00D93002" w:rsidRPr="009465F8" w:rsidRDefault="00FA033D" w:rsidP="00D93002">
      <w:pPr>
        <w:rPr>
          <w:b/>
          <w:bCs/>
          <w:szCs w:val="20"/>
        </w:rPr>
      </w:pPr>
      <w:r>
        <w:rPr>
          <w:b/>
          <w:bCs/>
          <w:szCs w:val="20"/>
        </w:rPr>
        <w:t>Υ</w:t>
      </w:r>
      <w:r w:rsidR="00D93002" w:rsidRPr="009465F8">
        <w:rPr>
          <w:b/>
          <w:bCs/>
          <w:szCs w:val="20"/>
        </w:rPr>
        <w:t>πουργείο Υγείας</w:t>
      </w:r>
    </w:p>
    <w:p w14:paraId="72A4442C" w14:textId="1697C6F9" w:rsidR="006D3389" w:rsidRDefault="006D3389" w:rsidP="006D3389">
      <w:r w:rsidRPr="00C0177E">
        <w:t>Τα νομικά πρόσωπα εποπτείας του Υπουργείου Υγείας, στα οποία περιλαμβάνονται το Εθνικό Κέντρο Άμεσης Βοήθειας (ΕΚΑΒ), ο Εθνικός Οργανισμός Φαρμάκων (ΕΟΦ), το Εθνικό Κέντρο Αιμοδοσίας (ΕΚΕΑ), η Ανώνυμη Εταιρεία Μονάδων Υγείας (ΑΕΜΥ), το Ερευνητικό Πανεπιστημιακό Ινστιτούτο Ψυχικής Υγείας, Νευροεπιστημών και Ιατρικής Ακριβείας «Κώστας Στεφανής» (ΕΠΙΨΥ), ο Εθνικός Οργανισμός Πρόληψης και Αντιμετώπισης των Εξαρτήσεων (ΕΟΠΑΕ</w:t>
      </w:r>
      <w:r w:rsidRPr="00B85C75">
        <w:t>), το</w:t>
      </w:r>
      <w:r w:rsidRPr="00C0177E">
        <w:t xml:space="preserve"> Ινστιτούτο Υγείας του Παιδιού (ΙΥΠ), το Ελληνικό Κέντρο Ψυχικής Υγιεινής και Ερευνών (ΕΚΕΨΥΕ), ο Ελληνικός Οργανισμός Μεταμοσχεύσεων (ΕΟΜ), ο Εθνικός Οργανισμός Δημόσιας Υγείας (ΕΟΔΥ), το Κέντρο Τεκμηρίωσης και Κοστολόγησης Νοσοκομειακών Υπηρεσιών (ΚΕΤΕΚΝΥ) και ο Οργανισμός Διασφάλισης της Ποιότητας στην Υγεία (ΟΔΙΠΥ)</w:t>
      </w:r>
      <w:r w:rsidR="00156581">
        <w:t>,</w:t>
      </w:r>
      <w:r w:rsidRPr="00C0177E">
        <w:t xml:space="preserve"> αναμένεται να εμφανίσουν αρνητικό αποτέλεσμα ύψους </w:t>
      </w:r>
      <w:r w:rsidRPr="00A60C8C">
        <w:t>5,5</w:t>
      </w:r>
      <w:r w:rsidRPr="00C0177E">
        <w:t xml:space="preserve"> εκατ. ευρώ για το 2026</w:t>
      </w:r>
      <w:r>
        <w:t>, το οποίο προβλέπεται να καλυφθεί με χρήση ταμειακών διαθεσίμων.</w:t>
      </w:r>
    </w:p>
    <w:p w14:paraId="46421C08" w14:textId="09C05B4E" w:rsidR="008615F6" w:rsidRPr="006D3389" w:rsidRDefault="006D3389" w:rsidP="007E204A">
      <w:pPr>
        <w:rPr>
          <w:rFonts w:cs="Arial"/>
          <w:b/>
          <w:szCs w:val="20"/>
        </w:rPr>
      </w:pPr>
      <w:r w:rsidRPr="00C0177E">
        <w:t>Σημειώνεται ότι</w:t>
      </w:r>
      <w:r w:rsidRPr="00A60C8C">
        <w:t xml:space="preserve"> </w:t>
      </w:r>
      <w:r w:rsidRPr="00C0177E">
        <w:t>ο ΕΟΠΑΕ</w:t>
      </w:r>
      <w:r>
        <w:t xml:space="preserve">, </w:t>
      </w:r>
      <w:r w:rsidRPr="00C0177E">
        <w:t xml:space="preserve">στον οποίο εντάχθηκαν </w:t>
      </w:r>
      <w:r w:rsidR="00B85C75">
        <w:t xml:space="preserve">οι </w:t>
      </w:r>
      <w:r w:rsidRPr="00C0177E">
        <w:t xml:space="preserve">δομές, </w:t>
      </w:r>
      <w:r w:rsidR="00B85C75">
        <w:t xml:space="preserve">οι </w:t>
      </w:r>
      <w:r w:rsidRPr="00C0177E">
        <w:t xml:space="preserve">μονάδες, </w:t>
      </w:r>
      <w:r w:rsidR="00B85C75">
        <w:t xml:space="preserve">οι </w:t>
      </w:r>
      <w:r w:rsidRPr="00C0177E">
        <w:t>υπηρεσίες και τα προγράμματα του Οργανισμού κατά των Ναρκωτικών (ΟΚΑΝΑ) και του Κέντρου Θεραπείας Εξαρτημένων Ατόμων (ΚΕΘΕΑ) καθώς και λοιπές δημόσιες δομές απεξάρτησης</w:t>
      </w:r>
      <w:r>
        <w:t xml:space="preserve">, συστάθηκε </w:t>
      </w:r>
      <w:r w:rsidRPr="00C0177E">
        <w:t xml:space="preserve">με το άρθρο 29 του ν.5129/2024 και λειτουργεί από </w:t>
      </w:r>
      <w:r w:rsidR="00B85C75">
        <w:t xml:space="preserve">την </w:t>
      </w:r>
      <w:r w:rsidRPr="00C0177E">
        <w:t>01</w:t>
      </w:r>
      <w:r w:rsidR="00B85C75">
        <w:t>η</w:t>
      </w:r>
      <w:r w:rsidRPr="00C0177E">
        <w:t>.02.2025.</w:t>
      </w:r>
    </w:p>
    <w:p w14:paraId="622367C3" w14:textId="14670431" w:rsidR="00D93002" w:rsidRPr="009465F8" w:rsidRDefault="00D93002" w:rsidP="00D93002">
      <w:pPr>
        <w:rPr>
          <w:b/>
          <w:bCs/>
          <w:szCs w:val="20"/>
        </w:rPr>
      </w:pPr>
      <w:r w:rsidRPr="009465F8">
        <w:rPr>
          <w:b/>
          <w:bCs/>
          <w:szCs w:val="20"/>
        </w:rPr>
        <w:lastRenderedPageBreak/>
        <w:t>Υπουργείο Δικαιοσύνης</w:t>
      </w:r>
    </w:p>
    <w:p w14:paraId="0BDEA536" w14:textId="77777777" w:rsidR="001745E9" w:rsidRDefault="001745E9" w:rsidP="001745E9">
      <w:r>
        <w:t>Το Υπουργείο Δικαιοσύνης έχει στην εποπτεία του το Ταμείο Χρηματοδότησης Δικαστικών Κτιρίων (ΤΑΧΔΙΚ), την Εθνική Σχολή Δικαστικών Λειτουργών, τις Εταιρείες Προστασίας Ανηλίκων, το Ινστιτούτο Αιγαίου του Δικαίου της Θάλασσας και του Ναυτικού Δικαίου και το Ελληνικό Ινστιτούτο Διεθνούς και Αλλοδαπού Δικαίου.</w:t>
      </w:r>
    </w:p>
    <w:p w14:paraId="5A5C21D5" w14:textId="337B82B3" w:rsidR="008615F6" w:rsidRPr="001745E9" w:rsidRDefault="001745E9" w:rsidP="001745E9">
      <w:r w:rsidRPr="00662A2E">
        <w:t xml:space="preserve">Για το οικονομικό έτος </w:t>
      </w:r>
      <w:r w:rsidRPr="00662A2E">
        <w:rPr>
          <w:bCs/>
        </w:rPr>
        <w:t>2025</w:t>
      </w:r>
      <w:r w:rsidRPr="00662A2E">
        <w:t xml:space="preserve"> οι ανωτέρω φορείς </w:t>
      </w:r>
      <w:r w:rsidRPr="00662A2E">
        <w:rPr>
          <w:bCs/>
        </w:rPr>
        <w:t xml:space="preserve">αναμένεται να εμφανίσουν πλεόνασμα ύψους </w:t>
      </w:r>
      <w:r>
        <w:rPr>
          <w:bCs/>
        </w:rPr>
        <w:t>11,6</w:t>
      </w:r>
      <w:r w:rsidRPr="00662A2E">
        <w:rPr>
          <w:bCs/>
        </w:rPr>
        <w:t xml:space="preserve"> εκατ. ευρώ</w:t>
      </w:r>
      <w:r w:rsidRPr="00662A2E">
        <w:t xml:space="preserve">, ενώ για το οικονομικό έτος </w:t>
      </w:r>
      <w:r w:rsidRPr="00662A2E">
        <w:rPr>
          <w:bCs/>
        </w:rPr>
        <w:t>2026</w:t>
      </w:r>
      <w:r w:rsidRPr="00662A2E">
        <w:t xml:space="preserve"> </w:t>
      </w:r>
      <w:r w:rsidRPr="00662A2E">
        <w:rPr>
          <w:bCs/>
        </w:rPr>
        <w:t xml:space="preserve">προβλέπεται έλλειμμα ύψους </w:t>
      </w:r>
      <w:r>
        <w:rPr>
          <w:bCs/>
        </w:rPr>
        <w:t>1,9</w:t>
      </w:r>
      <w:r w:rsidRPr="00662A2E">
        <w:rPr>
          <w:bCs/>
        </w:rPr>
        <w:t xml:space="preserve"> εκατ. ευρώ</w:t>
      </w:r>
      <w:r w:rsidRPr="00662A2E">
        <w:t>.</w:t>
      </w:r>
    </w:p>
    <w:p w14:paraId="04C2E394" w14:textId="1018CCDF" w:rsidR="00D93002" w:rsidRPr="009465F8" w:rsidRDefault="00D93002" w:rsidP="00D93002">
      <w:pPr>
        <w:rPr>
          <w:b/>
          <w:bCs/>
          <w:szCs w:val="20"/>
        </w:rPr>
      </w:pPr>
      <w:r w:rsidRPr="009465F8">
        <w:rPr>
          <w:b/>
          <w:bCs/>
          <w:szCs w:val="20"/>
        </w:rPr>
        <w:t>Υπουργείο Παιδείας</w:t>
      </w:r>
      <w:r w:rsidR="00FA033D">
        <w:rPr>
          <w:b/>
          <w:bCs/>
          <w:szCs w:val="20"/>
        </w:rPr>
        <w:t xml:space="preserve">, </w:t>
      </w:r>
      <w:r w:rsidRPr="009465F8">
        <w:rPr>
          <w:b/>
          <w:bCs/>
          <w:szCs w:val="20"/>
        </w:rPr>
        <w:t xml:space="preserve">Θρησκευμάτων </w:t>
      </w:r>
      <w:r w:rsidR="00FA033D">
        <w:rPr>
          <w:b/>
          <w:bCs/>
          <w:szCs w:val="20"/>
        </w:rPr>
        <w:t>και Αθλητισμού</w:t>
      </w:r>
    </w:p>
    <w:p w14:paraId="38A9C70A" w14:textId="46743AB9" w:rsidR="001745E9" w:rsidRPr="005E1230" w:rsidRDefault="001745E9" w:rsidP="00BE6D8A">
      <w:pPr>
        <w:rPr>
          <w:rFonts w:eastAsia="Calibri"/>
          <w:lang w:eastAsia="en-US"/>
        </w:rPr>
      </w:pPr>
      <w:r w:rsidRPr="00EC30D5">
        <w:rPr>
          <w:rFonts w:eastAsia="Calibri"/>
          <w:lang w:eastAsia="en-US"/>
        </w:rPr>
        <w:t xml:space="preserve">Στην εποπτεία του Υπουργείου υπάγονται, μεταξύ άλλων, </w:t>
      </w:r>
      <w:r w:rsidR="00B85C75">
        <w:rPr>
          <w:rFonts w:eastAsia="Calibri"/>
          <w:lang w:eastAsia="en-US"/>
        </w:rPr>
        <w:t xml:space="preserve">τα </w:t>
      </w:r>
      <w:r w:rsidRPr="00EC30D5">
        <w:rPr>
          <w:rFonts w:eastAsia="Calibri"/>
          <w:lang w:eastAsia="en-US"/>
        </w:rPr>
        <w:t>Ανώτατα Εκπαιδευτικά Ιδρύματα (ΑΕΙ), η Ανώτατη Σχολή Παιδαγωγικής και Τεχνολογικής Εκπαίδευσης (ΑΣΠΑΙΤΕ), δημόσιες βιβλιοθήκες, πανεπιστημιακά νοσοκομεία, εθνικά αθλητικά κέντρα, ειδικοί λογαριασμοί κονδυλίων έρευνας (ΕΛΚΕ), το Ίδρυμα Νεολαίας και Δι</w:t>
      </w:r>
      <w:r w:rsidR="003A7331">
        <w:rPr>
          <w:rFonts w:eastAsia="Calibri"/>
          <w:lang w:eastAsia="en-US"/>
        </w:rPr>
        <w:t>ά</w:t>
      </w:r>
      <w:r w:rsidRPr="00EC30D5">
        <w:rPr>
          <w:rFonts w:eastAsia="Calibri"/>
          <w:lang w:eastAsia="en-US"/>
        </w:rPr>
        <w:t xml:space="preserve"> Βίου Μάθησης (ΙΝΕΔΙΒΙΜ), το Ινστιτούτο Τεχνολογίας Υπολογιστών και Εκδόσεων (ΙΤΥΕ) «Δ</w:t>
      </w:r>
      <w:r w:rsidR="00764D7A" w:rsidRPr="00EC30D5">
        <w:rPr>
          <w:rFonts w:eastAsia="Calibri"/>
          <w:lang w:eastAsia="en-US"/>
        </w:rPr>
        <w:t>ι</w:t>
      </w:r>
      <w:r w:rsidR="00764D7A">
        <w:rPr>
          <w:rFonts w:eastAsia="Calibri"/>
          <w:lang w:eastAsia="en-US"/>
        </w:rPr>
        <w:t>ό</w:t>
      </w:r>
      <w:r w:rsidR="00764D7A" w:rsidRPr="00EC30D5">
        <w:rPr>
          <w:rFonts w:eastAsia="Calibri"/>
          <w:lang w:eastAsia="en-US"/>
        </w:rPr>
        <w:t>φαντος</w:t>
      </w:r>
      <w:r w:rsidRPr="00EC30D5">
        <w:rPr>
          <w:rFonts w:eastAsia="Calibri"/>
          <w:lang w:eastAsia="en-US"/>
        </w:rPr>
        <w:t xml:space="preserve">», το </w:t>
      </w:r>
      <w:r w:rsidRPr="00EC30D5">
        <w:rPr>
          <w:lang w:eastAsia="en-US"/>
        </w:rPr>
        <w:t xml:space="preserve">Ολυμπιακό Αθλητικό Κέντρο Αθηνών </w:t>
      </w:r>
      <w:r w:rsidR="00764D7A">
        <w:rPr>
          <w:lang w:eastAsia="en-US"/>
        </w:rPr>
        <w:t xml:space="preserve">(ΟΑΚΑ) </w:t>
      </w:r>
      <w:r w:rsidRPr="00EC30D5">
        <w:rPr>
          <w:lang w:eastAsia="en-US"/>
        </w:rPr>
        <w:t>«Σπ</w:t>
      </w:r>
      <w:r>
        <w:rPr>
          <w:lang w:eastAsia="en-US"/>
        </w:rPr>
        <w:t>ύρος</w:t>
      </w:r>
      <w:r w:rsidRPr="00EC30D5">
        <w:rPr>
          <w:lang w:eastAsia="en-US"/>
        </w:rPr>
        <w:t xml:space="preserve"> Λούης» </w:t>
      </w:r>
      <w:r w:rsidRPr="00EC30D5">
        <w:rPr>
          <w:rFonts w:eastAsia="Calibri"/>
          <w:lang w:eastAsia="en-US"/>
        </w:rPr>
        <w:t>και το Ίδρυμα Κρατικών Υποτροφιών (ΙΚΥ). Το σύνολο των φορέων του Υπουργείου εκτιμάται για το 202</w:t>
      </w:r>
      <w:r>
        <w:rPr>
          <w:rFonts w:eastAsia="Calibri"/>
          <w:lang w:eastAsia="en-US"/>
        </w:rPr>
        <w:t>5</w:t>
      </w:r>
      <w:r w:rsidRPr="00EC30D5">
        <w:rPr>
          <w:rFonts w:eastAsia="Calibri"/>
          <w:lang w:eastAsia="en-US"/>
        </w:rPr>
        <w:t xml:space="preserve"> </w:t>
      </w:r>
      <w:r w:rsidR="00764D7A" w:rsidRPr="00EC30D5">
        <w:rPr>
          <w:rFonts w:eastAsia="Calibri"/>
          <w:lang w:eastAsia="en-US"/>
        </w:rPr>
        <w:t xml:space="preserve">ότι </w:t>
      </w:r>
      <w:r w:rsidRPr="00EC30D5">
        <w:rPr>
          <w:rFonts w:eastAsia="Calibri"/>
          <w:lang w:eastAsia="en-US"/>
        </w:rPr>
        <w:t>θα εμφανίσει πλεόνασμα ύψους 73,</w:t>
      </w:r>
      <w:r w:rsidRPr="00E70979">
        <w:rPr>
          <w:rFonts w:eastAsia="Calibri"/>
          <w:lang w:eastAsia="en-US"/>
        </w:rPr>
        <w:t>4</w:t>
      </w:r>
      <w:r w:rsidRPr="00EC30D5">
        <w:rPr>
          <w:rFonts w:eastAsia="Calibri"/>
          <w:lang w:eastAsia="en-US"/>
        </w:rPr>
        <w:t xml:space="preserve"> εκατ. ευρώ</w:t>
      </w:r>
      <w:r>
        <w:rPr>
          <w:rFonts w:eastAsia="Calibri"/>
          <w:lang w:eastAsia="en-US"/>
        </w:rPr>
        <w:t xml:space="preserve"> και </w:t>
      </w:r>
      <w:r w:rsidRPr="00EC30D5">
        <w:rPr>
          <w:rFonts w:eastAsia="Calibri"/>
          <w:lang w:eastAsia="en-US"/>
        </w:rPr>
        <w:t>για το 202</w:t>
      </w:r>
      <w:r>
        <w:rPr>
          <w:rFonts w:eastAsia="Calibri"/>
          <w:lang w:eastAsia="en-US"/>
        </w:rPr>
        <w:t>6</w:t>
      </w:r>
      <w:r w:rsidRPr="00EC30D5">
        <w:rPr>
          <w:rFonts w:eastAsia="Calibri"/>
          <w:lang w:eastAsia="en-US"/>
        </w:rPr>
        <w:t xml:space="preserve"> προβλέπεται πλεόνασμα ύψους </w:t>
      </w:r>
      <w:r w:rsidRPr="00E70979">
        <w:rPr>
          <w:rFonts w:eastAsia="Calibri"/>
          <w:lang w:eastAsia="en-US"/>
        </w:rPr>
        <w:t>75,9</w:t>
      </w:r>
      <w:r w:rsidRPr="00EC30D5">
        <w:rPr>
          <w:rFonts w:eastAsia="Calibri"/>
          <w:lang w:eastAsia="en-US"/>
        </w:rPr>
        <w:t xml:space="preserve"> εκατ. ευρώ</w:t>
      </w:r>
      <w:r w:rsidRPr="00BE6D8A">
        <w:rPr>
          <w:rStyle w:val="af9"/>
          <w:b w:val="0"/>
        </w:rPr>
        <w:t>.</w:t>
      </w:r>
    </w:p>
    <w:p w14:paraId="4537923E" w14:textId="354F6E9A" w:rsidR="00D93002" w:rsidRPr="009465F8" w:rsidRDefault="00D93002" w:rsidP="00D93002">
      <w:pPr>
        <w:rPr>
          <w:b/>
          <w:bCs/>
          <w:szCs w:val="20"/>
        </w:rPr>
      </w:pPr>
      <w:r w:rsidRPr="009465F8">
        <w:rPr>
          <w:b/>
          <w:bCs/>
          <w:szCs w:val="20"/>
        </w:rPr>
        <w:t>Υπουργείο Πολιτισμού</w:t>
      </w:r>
    </w:p>
    <w:p w14:paraId="0647669D" w14:textId="13FF1BAD" w:rsidR="001745E9" w:rsidRDefault="001745E9" w:rsidP="001745E9">
      <w:r>
        <w:t xml:space="preserve">Τα νομικά πρόσωπα εποπτείας του Υπουργείου, στα οποία περιλαμβάνονται, μεταξύ άλλων, μουσεία, θέατρα, πολιτιστικά κέντρα, ωδεία, ο Οργανισμός Μεγάρου Μουσικής Αθηνών, ο Οργανισμός Μεγάρου Μουσικής Θεσσαλονίκης, η Εθνική Λυρική Σκηνή, το Ελληνικό Κέντρο Κινηματογράφου, Οπτικοακουστικών Μέσων </w:t>
      </w:r>
      <w:r w:rsidR="00764D7A">
        <w:t>και</w:t>
      </w:r>
      <w:r>
        <w:t xml:space="preserve"> Δημιουργίας (ΕΚΚΟΜΕΔ</w:t>
      </w:r>
      <w:r w:rsidR="00764D7A">
        <w:t>)</w:t>
      </w:r>
      <w:r>
        <w:t xml:space="preserve"> και ο Οργανισμός Διαχείρισης και Ανάπτυξης Πολιτιστικών Πόρων (ΟΔΑΠ), προβλέπεται να εμφανίσουν πλεόνασμα ύψους </w:t>
      </w:r>
      <w:r w:rsidRPr="00387DC9">
        <w:t>4</w:t>
      </w:r>
      <w:r>
        <w:t>6</w:t>
      </w:r>
      <w:r w:rsidRPr="00387DC9">
        <w:t xml:space="preserve">,5 </w:t>
      </w:r>
      <w:r>
        <w:t>εκατ. ευρώ για το 202</w:t>
      </w:r>
      <w:r w:rsidRPr="00387DC9">
        <w:t>6</w:t>
      </w:r>
      <w:r>
        <w:t>, ενώ για το 202</w:t>
      </w:r>
      <w:r w:rsidRPr="00387DC9">
        <w:t>5</w:t>
      </w:r>
      <w:r>
        <w:t xml:space="preserve"> εκτιμάται πλεόνασμα ύψους 54</w:t>
      </w:r>
      <w:r w:rsidRPr="00387DC9">
        <w:t>,</w:t>
      </w:r>
      <w:r>
        <w:t>7 εκατ. ευρώ.</w:t>
      </w:r>
    </w:p>
    <w:p w14:paraId="7C38479C" w14:textId="5236A4AD" w:rsidR="001745E9" w:rsidRDefault="001745E9" w:rsidP="001745E9">
      <w:r>
        <w:t xml:space="preserve">Η </w:t>
      </w:r>
      <w:r w:rsidR="005E1230">
        <w:t xml:space="preserve">μείωση του πλεονάσματος </w:t>
      </w:r>
      <w:r>
        <w:t>το 202</w:t>
      </w:r>
      <w:r w:rsidRPr="007110A1">
        <w:t>6</w:t>
      </w:r>
      <w:r>
        <w:t xml:space="preserve"> σε σχέση με το 202</w:t>
      </w:r>
      <w:r w:rsidRPr="007110A1">
        <w:t>5</w:t>
      </w:r>
      <w:r>
        <w:t xml:space="preserve"> οφείλεται κυρίως</w:t>
      </w:r>
      <w:r w:rsidR="002C3DEB">
        <w:t xml:space="preserve"> σε αυξημένες λειτουργικές δαπάνες των φορέων. Τ</w:t>
      </w:r>
      <w:r>
        <w:t xml:space="preserve">α ίδια έσοδα του ΟΔΑΠ προβλέπεται να ανέλθουν </w:t>
      </w:r>
      <w:r w:rsidRPr="006D56CE">
        <w:t>σε 2</w:t>
      </w:r>
      <w:r>
        <w:t>6</w:t>
      </w:r>
      <w:r w:rsidRPr="006D56CE">
        <w:t>7</w:t>
      </w:r>
      <w:r>
        <w:t>,5</w:t>
      </w:r>
      <w:r w:rsidRPr="006D56CE">
        <w:t xml:space="preserve"> εκατ. ευρώ,</w:t>
      </w:r>
      <w:r>
        <w:t xml:space="preserve"> αυξημένα κατά 21,8 εκατ. ευρώ σε σχέση με το 2025, </w:t>
      </w:r>
      <w:r w:rsidR="00DB6603">
        <w:t>ως επακόλουθο της</w:t>
      </w:r>
      <w:r>
        <w:t xml:space="preserve"> συνεχιζόμενη</w:t>
      </w:r>
      <w:r w:rsidR="00DB6603">
        <w:t>ς</w:t>
      </w:r>
      <w:r>
        <w:t xml:space="preserve"> αύξηση</w:t>
      </w:r>
      <w:r w:rsidR="00DB6603">
        <w:t>ς</w:t>
      </w:r>
      <w:r>
        <w:t xml:space="preserve"> της επισκεψιμότητας σε μουσεία και αρχαιολογικούς χώρους.</w:t>
      </w:r>
    </w:p>
    <w:p w14:paraId="1377515C" w14:textId="4D87CB06" w:rsidR="00D93002" w:rsidRPr="009465F8" w:rsidRDefault="00D93002" w:rsidP="00FA033D">
      <w:pPr>
        <w:rPr>
          <w:b/>
          <w:bCs/>
          <w:szCs w:val="20"/>
        </w:rPr>
      </w:pPr>
      <w:r w:rsidRPr="009465F8">
        <w:rPr>
          <w:b/>
          <w:bCs/>
          <w:szCs w:val="20"/>
        </w:rPr>
        <w:t xml:space="preserve">Υπουργείο </w:t>
      </w:r>
      <w:r w:rsidR="00FA033D" w:rsidRPr="00163091">
        <w:rPr>
          <w:b/>
          <w:bCs/>
          <w:szCs w:val="20"/>
        </w:rPr>
        <w:t>Εθνικής Οικονομίας και Οικονομικών</w:t>
      </w:r>
    </w:p>
    <w:p w14:paraId="5656F200" w14:textId="688ACBD3" w:rsidR="001745E9" w:rsidRDefault="001745E9" w:rsidP="001745E9">
      <w:r>
        <w:t>Στα νομικά πρόσωπα εποπτείας του Υπουργείου περιλαμβάνονται, μεταξύ άλλων, το Ταμείο Παρακαταθηκών και Δανείων (ΤΠ</w:t>
      </w:r>
      <w:r w:rsidR="002C3DEB">
        <w:t>Δ</w:t>
      </w:r>
      <w:r>
        <w:t>), η Ελληνική Εταιρεία Συμμετοχών και Περιουσίας (ΕΕΣΥΠ), η Εταιρεία Ακινήτων Δημοσίου (ΕΤΑΔ), το Ταμείο Εγγύησης Καταθέσεων και Επενδύσεων (ΤΕΚΕ), η Μονάδα Οργάνωσης της Διαχείρισης Αναπτυξιακών Προγραμμάτων (ΜΟΔ), η Ελληνική Αεροπορική Βιομηχανία (ΕΑΒ), η Ελληνική Εταιρεία Δίκαιης Αναπτυξιακής Μετάβασης (ΕΛΕΔΑΜ) καθώς και η Ελληνική Αναπτυξιακή Τράπεζα (ΕΑΤ).</w:t>
      </w:r>
    </w:p>
    <w:p w14:paraId="608EC7E2" w14:textId="0C20406F" w:rsidR="001745E9" w:rsidRDefault="001745E9" w:rsidP="001745E9">
      <w:r>
        <w:t xml:space="preserve">Οι φορείς του εν λόγω Υπουργείου εκτιμάται </w:t>
      </w:r>
      <w:r w:rsidR="00DB6603">
        <w:t xml:space="preserve">για το 2025 </w:t>
      </w:r>
      <w:r>
        <w:t xml:space="preserve">ότι θα εμφανίσουν θετικό αποτέλεσμα ύψους 446 εκατ. ευρώ και για </w:t>
      </w:r>
      <w:r w:rsidR="00DB6603">
        <w:t xml:space="preserve">το 2026 προβλέπεται, ομοίως, θετικό αποτέλεσμα ύψους </w:t>
      </w:r>
      <w:r>
        <w:t>385,3 εκατ. ευρώ.</w:t>
      </w:r>
    </w:p>
    <w:p w14:paraId="702CA931" w14:textId="0CAE2ED4" w:rsidR="00D93002" w:rsidRPr="009465F8" w:rsidRDefault="00D93002" w:rsidP="00D93002">
      <w:pPr>
        <w:rPr>
          <w:b/>
          <w:bCs/>
          <w:szCs w:val="20"/>
        </w:rPr>
      </w:pPr>
      <w:r w:rsidRPr="009465F8">
        <w:rPr>
          <w:b/>
          <w:bCs/>
          <w:szCs w:val="20"/>
        </w:rPr>
        <w:t>Υπουργείο Αγροτικής Ανάπτυξης και Τροφίμων</w:t>
      </w:r>
    </w:p>
    <w:p w14:paraId="6C958C98" w14:textId="2778B04E" w:rsidR="001745E9" w:rsidRPr="008346F7" w:rsidRDefault="001745E9" w:rsidP="001745E9">
      <w:r w:rsidRPr="008346F7">
        <w:t>Το Υπουργείο Αγροτικής Ανάπτυξης και Τροφίμων έχει υπό την εποπτεία του, μεταξύ άλλων νομικών προσώπων, τον Οργανισμό Ελληνικών Γεωργικών Ασφαλίσεων (ΕΛΓΑ), βασική αποστολή του οποίου είναι η ασφάλιση της γεωργικής παραγωγής και του κεφαλαίου των αγροτικών εκμεταλλεύσεων</w:t>
      </w:r>
      <w:r w:rsidR="00DB6603">
        <w:t>, καθώς</w:t>
      </w:r>
      <w:r w:rsidRPr="008346F7">
        <w:t xml:space="preserve"> και τον Οργανισμό Πληρωμών και Ελέγχου Κοινοτικών Ενισχύσεων, Προσανατολισμού και Εγγυήσεων (ΟΠΕΚΕΠΕ), που είναι υπεύθυνος για τη διαχείριση του Ειδικού Λογαριασμού Εγγυήσεων Γεωργικών Προϊόντων (ΕΛΕΓΕΠ), στον οποίο εισρέουν πόροι τόσο από τα ευρωπαϊκά γεωργικά ταμεία όσο και από τον κρατικό προϋπολογισμό.</w:t>
      </w:r>
    </w:p>
    <w:p w14:paraId="403F88F9" w14:textId="77777777" w:rsidR="001745E9" w:rsidRPr="008346F7" w:rsidRDefault="001745E9" w:rsidP="001745E9">
      <w:r w:rsidRPr="008346F7">
        <w:lastRenderedPageBreak/>
        <w:t>Στους εποπτευόμενους φορείς του Υπουργείου περιλαμβάνονται επίσης το Ταμείο Γεωργίας και Κτηνοτροφίας (ΤΓΚ), το οποίο διαχειρίζεται και διαθέτει τους πόρους και τα περιουσιακά του στοιχεία με σκοπό τη γεωργική ανάπτυξη της χώρας, ο Ενιαίος Φορέας Ελέγχου Τροφίμων (ΕΦΕΤ) με βασική αποστολή του τη διασφάλιση της εισαγωγής, παραγωγής και διακίνησης υγιεινών τροφίμων και ο Ελληνικός Γεωργικός Οργανισμός «ΔΗΜΗΤΡΑ» (ΕΛΓΟ - ΔΗΜΗΤΡΑ), ο οποίος, μεταξύ άλλων, διασφαλίζει την ποιότητα του γάλακτος και του κρέατος και μεριμνά για την προαγωγή της έρευνας και της επαγγελματικής κατάρτισης στον τομέα της γεωργίας.</w:t>
      </w:r>
    </w:p>
    <w:p w14:paraId="607685B5" w14:textId="77777777" w:rsidR="001745E9" w:rsidRDefault="001745E9" w:rsidP="001745E9">
      <w:pPr>
        <w:rPr>
          <w:b/>
          <w:bCs/>
          <w:szCs w:val="20"/>
        </w:rPr>
      </w:pPr>
      <w:r w:rsidRPr="008346F7">
        <w:t xml:space="preserve">Για το έτος 2025 το </w:t>
      </w:r>
      <w:r w:rsidRPr="004F4E94">
        <w:t>αρνητικό αποτέλεσμα των φορέων του Υπουργείου, μετά τις απαραίτητες δημοσιονομικές προσαρμογές για τον ΕΛΕΓΕΠ, διαμορφώνεται σε έλλειμμα ύψους 451,6 εκατ. ευρώ, ενώ για το έτος 2026 προβλέπεται θετικό αποτέλεσμα ύψους 16,3 εκατ. ευρώ.</w:t>
      </w:r>
    </w:p>
    <w:p w14:paraId="0E6BBE39" w14:textId="11473696" w:rsidR="00D93002" w:rsidRPr="009465F8" w:rsidRDefault="00D93002" w:rsidP="007F30C8">
      <w:pPr>
        <w:keepNext/>
        <w:rPr>
          <w:b/>
          <w:bCs/>
          <w:szCs w:val="20"/>
        </w:rPr>
      </w:pPr>
      <w:r w:rsidRPr="009465F8">
        <w:rPr>
          <w:b/>
          <w:bCs/>
          <w:szCs w:val="20"/>
        </w:rPr>
        <w:t>Υπουργείο Περιβάλλοντος και Ενέργειας</w:t>
      </w:r>
    </w:p>
    <w:p w14:paraId="3A31BE61" w14:textId="13421DFC" w:rsidR="001745E9" w:rsidRPr="00A61DAA" w:rsidRDefault="001745E9" w:rsidP="001745E9">
      <w:r>
        <w:t xml:space="preserve">Το Υπουργείο έχει υπό την εποπτεία του το Πράσινο Ταμείο, τον Ειδικό Λογαριασμό Ανανεώσιμων Πηγών Ενέργειας και Συμπαραγωγής Ηλεκτρισμού - Θερμότητας Υψηλής Απόδοσης (ΑΠΕ και ΣΗΘΥΑ), τον Ειδικό Λογαριασμό του Ταμείου Ενεργειακής Μετάβασης (ΤΕΜ), τον Ειδικό Λογαριασμό Υπηρεσιών Κοινής Ωφέλειας (ΕΛΥΚΩ), την Εταιρεία Παγίων Ύδρευσης και Αποχέτευσης Πρωτεύουσας (Παγίων ΕΥΔΑΠ), τη Δημόσια Εταιρεία Συμμετοχών Ανεξάρτητου Διαχειριστή </w:t>
      </w:r>
      <w:r w:rsidRPr="00A61DAA">
        <w:t>Μεταφοράς Ηλεκτρικής Ενέργειας (ΔΕΣ ΑΔΜΗΕ), τον Ελληνικό Οργανισμό Ανακύκλωσης (ΕΟΑΝ), την Ελληνική Αρχή Γεωλογικών και Μεταλλευτικών Ερευνών (ΕΑΓΜΕ), το Κέντρο Ανανεώσιμων Πηγών και Εξοικονόμησης Ενέργειας (ΚΑΠΕ), τον Οργανισμό Διαχείρισης Υδάτων Θεσσαλίας (ΟΔΥΘ), τον Διαχειριστή Ανανεώσιμων Πηγών Ενέργειας και Εγγυήσεων Προέλευσης (ΔΑΠΕΕΠ), την Ελληνική Διαχειριστική Εταιρεία Υδρογονανθράκων και Ενεργειακών Πόρων (ΕΔΕΥΕΠ) καθώς και τον Οργανισμό Φυσικού Περιβάλλοντος και Κλιματικής Αλλαγής (ΟΦΥΠΕΚΑ).</w:t>
      </w:r>
    </w:p>
    <w:p w14:paraId="2161687B" w14:textId="41E03B92" w:rsidR="001745E9" w:rsidRDefault="001745E9" w:rsidP="001745E9">
      <w:r w:rsidRPr="00A61DAA">
        <w:t>Τα νομικά πρόσωπα του εν λόγω Υπουργείου για το έτος 2025 εκτιμάται ότι θα εμφανίσουν</w:t>
      </w:r>
      <w:r>
        <w:t xml:space="preserve"> πλεόνασμα ύψους 467,5 εκατ. ευρώ, το οποίο προέρχεται κυρίως από το Πράσινο Ταμείο,</w:t>
      </w:r>
      <w:r w:rsidR="001810ED">
        <w:t xml:space="preserve"> τον</w:t>
      </w:r>
      <w:r>
        <w:t xml:space="preserve"> ΕΛΥΚΩ και τον ΕΟΑΝ, ενώ για το 2026 προβλέπεται πλεόνασμα ύψους 35</w:t>
      </w:r>
      <w:r w:rsidRPr="00F67B45">
        <w:t>9</w:t>
      </w:r>
      <w:r>
        <w:t xml:space="preserve"> εκατ. ευρώ, το οποίο θα προέλθει κυρίως από τον ΕΛΥΚΩ και το Πράσινο Ταμείο.</w:t>
      </w:r>
    </w:p>
    <w:p w14:paraId="08FB3C60" w14:textId="22BBBFAD" w:rsidR="00D93002" w:rsidRPr="009465F8" w:rsidRDefault="00D93002" w:rsidP="00D93002">
      <w:pPr>
        <w:rPr>
          <w:b/>
          <w:bCs/>
          <w:szCs w:val="20"/>
        </w:rPr>
      </w:pPr>
      <w:r w:rsidRPr="009465F8">
        <w:rPr>
          <w:b/>
          <w:bCs/>
          <w:szCs w:val="20"/>
        </w:rPr>
        <w:t>Υπουργείο Εργασίας και Κοινωνικ</w:t>
      </w:r>
      <w:r w:rsidR="00FA033D">
        <w:rPr>
          <w:b/>
          <w:bCs/>
          <w:szCs w:val="20"/>
        </w:rPr>
        <w:t>ής Ασφάλισης</w:t>
      </w:r>
    </w:p>
    <w:p w14:paraId="4E038B9F" w14:textId="666D40C6" w:rsidR="001745E9" w:rsidRDefault="001745E9" w:rsidP="001745E9">
      <w:r>
        <w:t>Τα νομικά πρόσωπα εποπτείας του Υπουργείου Εργασίας και Κοινωνικής Ασφάλισης, ήτοι η Εταιρεία Διαχείρισης Επενδυτικών Κεφαλαίων Ταμείων Ασφάλισης (ΕΔΕΚΤ) ΑΕΠΕΥ και η Εταιρ</w:t>
      </w:r>
      <w:r w:rsidR="001810ED">
        <w:t>ε</w:t>
      </w:r>
      <w:r>
        <w:t xml:space="preserve">ία Αξιοποίησης Ακίνητης Περιουσίας Ηλεκτρονικού Εθνικού Φορέα Κοινωνικής </w:t>
      </w:r>
      <w:r w:rsidRPr="00311112">
        <w:t>Ασφάλισης (</w:t>
      </w:r>
      <w:r w:rsidRPr="00311112">
        <w:rPr>
          <w:lang w:val="en-US"/>
        </w:rPr>
        <w:t>e</w:t>
      </w:r>
      <w:r w:rsidRPr="00311112">
        <w:t>-ΕΦΚΑ) Μονοπρόσωπη ΑΕ προβλέπεται για το έτος 2026 να εμφανίσουν ουδέτερο δημοσιονομικό αποτέλεσμα.</w:t>
      </w:r>
    </w:p>
    <w:p w14:paraId="030A6DB8" w14:textId="1F3C206B" w:rsidR="00FA033D" w:rsidRPr="00FA033D" w:rsidRDefault="00FA033D" w:rsidP="00D93002">
      <w:pPr>
        <w:rPr>
          <w:b/>
          <w:bCs/>
          <w:szCs w:val="20"/>
        </w:rPr>
      </w:pPr>
      <w:r w:rsidRPr="00FA033D">
        <w:rPr>
          <w:b/>
          <w:bCs/>
          <w:szCs w:val="20"/>
        </w:rPr>
        <w:t>Υπουργείο Κοινωνικής Συνοχής και Οικογένειας</w:t>
      </w:r>
    </w:p>
    <w:p w14:paraId="5D708B52" w14:textId="085ACF10" w:rsidR="00FA033D" w:rsidRPr="00E8778D" w:rsidRDefault="001745E9" w:rsidP="007E204A">
      <w:pPr>
        <w:rPr>
          <w:highlight w:val="yellow"/>
        </w:rPr>
      </w:pPr>
      <w:r>
        <w:t>Τα νομικά πρόσωπα εποπτείας του Υπουργείου Κοινωνικής Συνοχής και Οικογένειας, στα οποία περιλαμβάνονται τα Κέντρα Κοινωνικής Πρόνοιας Περιφερειών (ΚΚΠΠ), το Κέντρο Παιδικής Μέριμνας Αρρένων Παπάφειο Θεσσαλονίκης, το Θεραπευτήριο Χρόνιων Παθήσεων Ευρυτανίας, το Κέντρο Εκπαίδευσης και Αποκατάστασης Τυφλών (ΚΕΑΤ), το Εθνικό Ίδρυμα Κωφών (ΕΙΚ), το Εθνικό Κέντρο Κοινωνικής Αλληλεγγύης (ΕΚΚΑ) και το Κέντρο Ερευνών για Θέματα Ισότητας (ΚΕΘΙ)</w:t>
      </w:r>
      <w:r w:rsidR="001810ED">
        <w:t>,</w:t>
      </w:r>
      <w:r>
        <w:t xml:space="preserve"> αναμένεται να παρουσιάσουν αρνητικό αποτέλεσμα </w:t>
      </w:r>
      <w:r w:rsidRPr="007174BB">
        <w:t>ύψους 1,5 εκατ. ευρώ για το 2026</w:t>
      </w:r>
      <w:r>
        <w:t>, το οποίο προβλέπεται να καλυφθεί με χρήση ταμειακών διαθεσίμων.</w:t>
      </w:r>
    </w:p>
    <w:p w14:paraId="66DA23C5" w14:textId="756A22D9" w:rsidR="00D93002" w:rsidRPr="009465F8" w:rsidRDefault="00D93002" w:rsidP="00D93002">
      <w:pPr>
        <w:rPr>
          <w:b/>
          <w:bCs/>
          <w:szCs w:val="20"/>
        </w:rPr>
      </w:pPr>
      <w:r w:rsidRPr="009465F8">
        <w:rPr>
          <w:b/>
          <w:bCs/>
          <w:szCs w:val="20"/>
        </w:rPr>
        <w:t>Υπουργείο Ανάπτυξης</w:t>
      </w:r>
    </w:p>
    <w:p w14:paraId="11E0DF20" w14:textId="77777777" w:rsidR="001745E9" w:rsidRDefault="001745E9" w:rsidP="001745E9">
      <w:r>
        <w:t>Στα νομικά πρόσωπα εποπτείας του Υπουργείου περιλαμβάνονται, μεταξύ άλλων, ερευνητικοί, τεχνολογικοί φορείς και ΕΛΚΕ, με βασική αποστολή την ανάπτυξη της έρευνας, την προαγωγή της τεχνολογίας και της καινοτομίας, την ανάπτυξη του ανθρώπινου ερευνητικού δυναμικού και την ενίσχυση των εθνικών υποδομών έρευνας και καινοτομίας.</w:t>
      </w:r>
    </w:p>
    <w:p w14:paraId="7389B4A8" w14:textId="54A0BCC6" w:rsidR="00D93002" w:rsidRPr="001745E9" w:rsidRDefault="001745E9" w:rsidP="007E204A">
      <w:r>
        <w:lastRenderedPageBreak/>
        <w:t xml:space="preserve">Τα νομικά πρόσωπα του Υπουργείου εκτιμάται για το 2025 </w:t>
      </w:r>
      <w:r w:rsidR="001810ED">
        <w:t xml:space="preserve">ότι </w:t>
      </w:r>
      <w:r>
        <w:t>θα εμφανίσουν έλλειμ</w:t>
      </w:r>
      <w:r w:rsidR="001810ED">
        <w:t>μ</w:t>
      </w:r>
      <w:r>
        <w:t>α ύψους 13,5 εκατ. ευρώ, ενώ για το 2026 προβλέπεται να εμφανίσουν αρνητικό αποτέλεσμα ύψους 9,6 εκατ. ευρώ, το οποίο θα προέλθει από το Ελληνικό Ίδρυμα Έρευνας και Καινοτομίας (ΕΛΙΔΕΚ) και θα καλυφθεί με χρήση ταμειακών διαθεσίμων</w:t>
      </w:r>
      <w:r w:rsidR="001810ED">
        <w:t>, τα οποία</w:t>
      </w:r>
      <w:r>
        <w:t xml:space="preserve"> έχουν σωρευθεί στον φορέα από χρηματοδοτήσεις του κρατικού προϋπολογισμού και από άλλους πόρους και δεν έχουν δαπανηθεί ακόμη για την εκπλήρωση της αποστολής του νομικού προσώπου. Το Ίδρυμα έχει ως βασικό σκοπό την προαγωγή της έρευνας και της καινοτομίας, ο οποίος επιτυγχάνεται κυρίως μέσω της χρηματοδότησης ερευνητικών προγραμμάτων, της λειτουργίας νεοφυών επιχειρήσεων για την αξιοποίηση ερευνητικών αποτελεσμάτων </w:t>
      </w:r>
      <w:r w:rsidR="001810ED">
        <w:t xml:space="preserve">καθώς </w:t>
      </w:r>
      <w:r>
        <w:t>και της χορήγησης υποτροφιών για την εκπόνηση διδακτορικών διατριβών.</w:t>
      </w:r>
    </w:p>
    <w:p w14:paraId="04E47A3C" w14:textId="27A185AD" w:rsidR="00D93002" w:rsidRPr="009465F8" w:rsidRDefault="00D93002" w:rsidP="00D93002">
      <w:pPr>
        <w:rPr>
          <w:b/>
          <w:bCs/>
          <w:szCs w:val="20"/>
        </w:rPr>
      </w:pPr>
      <w:r w:rsidRPr="009465F8">
        <w:rPr>
          <w:b/>
          <w:bCs/>
          <w:szCs w:val="20"/>
        </w:rPr>
        <w:t>Υπουργείο Υποδομών και Μεταφορών</w:t>
      </w:r>
    </w:p>
    <w:p w14:paraId="599A0712" w14:textId="4E0C0791" w:rsidR="001745E9" w:rsidRPr="008D0ED6" w:rsidRDefault="001745E9" w:rsidP="001745E9">
      <w:pPr>
        <w:rPr>
          <w:rFonts w:eastAsia="Calibri"/>
        </w:rPr>
      </w:pPr>
      <w:r w:rsidRPr="008D0ED6">
        <w:rPr>
          <w:rFonts w:eastAsia="Calibri"/>
        </w:rPr>
        <w:t>Το Υπουργείο Υποδομών και Μεταφορών εποπτεύει τον Οργανισμό Αστικών Συγκοινωνιών Αθηνών (ΟΑΣΑ), τις Οδικές Συγκοινωνίες (ΟΣΥ), τις Σταθερές Συγκοινωνίες (ΣΤΑΣΥ), τον Οργανισμό Συγκοινωνιακού Έργου Θεσσαλονίκης (ΟΣΕΘ), τον Οργανισμό Αστικών Συγκοινωνιών Θεσσαλονίκης (ΟΑΣΘ)</w:t>
      </w:r>
      <w:r>
        <w:rPr>
          <w:rFonts w:eastAsia="Calibri"/>
        </w:rPr>
        <w:t>,</w:t>
      </w:r>
      <w:r w:rsidRPr="008D0ED6">
        <w:rPr>
          <w:rFonts w:eastAsia="Calibri"/>
        </w:rPr>
        <w:t xml:space="preserve"> που τελεί υπό</w:t>
      </w:r>
      <w:r w:rsidR="00AE2F90">
        <w:rPr>
          <w:rFonts w:eastAsia="Calibri"/>
        </w:rPr>
        <w:t xml:space="preserve"> ειδική</w:t>
      </w:r>
      <w:r w:rsidRPr="008D0ED6">
        <w:rPr>
          <w:rFonts w:eastAsia="Calibri"/>
        </w:rPr>
        <w:t xml:space="preserve"> εκκαθάριση, την Ελληνικό Μετρό, η οποία είναι αρμόδια για την ανάπτυξη του δικτύου του μετρό και του τραμ, τ</w:t>
      </w:r>
      <w:r>
        <w:rPr>
          <w:rFonts w:eastAsia="Calibri"/>
        </w:rPr>
        <w:t>ην</w:t>
      </w:r>
      <w:r w:rsidRPr="008D0ED6">
        <w:rPr>
          <w:rFonts w:eastAsia="Calibri"/>
        </w:rPr>
        <w:t xml:space="preserve"> </w:t>
      </w:r>
      <w:r>
        <w:rPr>
          <w:rFonts w:eastAsia="Calibri"/>
        </w:rPr>
        <w:t xml:space="preserve">εταιρεία </w:t>
      </w:r>
      <w:r w:rsidRPr="008D0ED6">
        <w:rPr>
          <w:rFonts w:eastAsia="Calibri"/>
        </w:rPr>
        <w:t>Σιδηρόδρομ</w:t>
      </w:r>
      <w:r>
        <w:rPr>
          <w:rFonts w:eastAsia="Calibri"/>
        </w:rPr>
        <w:t>οι</w:t>
      </w:r>
      <w:r w:rsidRPr="008D0ED6">
        <w:rPr>
          <w:rFonts w:eastAsia="Calibri"/>
        </w:rPr>
        <w:t xml:space="preserve"> Ελλάδος (</w:t>
      </w:r>
      <w:r w:rsidR="00AE2F90">
        <w:rPr>
          <w:rFonts w:eastAsia="Calibri"/>
        </w:rPr>
        <w:t xml:space="preserve">πρώην </w:t>
      </w:r>
      <w:r w:rsidRPr="008D0ED6">
        <w:rPr>
          <w:rFonts w:eastAsia="Calibri"/>
        </w:rPr>
        <w:t>ΟΣΕ) καθώς και τη ΓΑΙΑΟΣΕ, που έχουν την αρμοδιότητα της διαχείρισης και της ανάπτυξης της σιδηροδρομικής υποδομής</w:t>
      </w:r>
      <w:r>
        <w:rPr>
          <w:rFonts w:eastAsia="Calibri"/>
        </w:rPr>
        <w:t xml:space="preserve">, </w:t>
      </w:r>
      <w:r w:rsidRPr="008D0ED6">
        <w:rPr>
          <w:rFonts w:eastAsia="Calibri"/>
        </w:rPr>
        <w:t>του σιδηροδρομικού τροχαίου υλικού</w:t>
      </w:r>
      <w:r>
        <w:rPr>
          <w:rFonts w:eastAsia="Calibri"/>
        </w:rPr>
        <w:t xml:space="preserve"> και</w:t>
      </w:r>
      <w:r w:rsidRPr="008D0ED6">
        <w:rPr>
          <w:rFonts w:eastAsia="Calibri"/>
        </w:rPr>
        <w:t xml:space="preserve"> της σιδηροδρομικής ακίνητης περιουσίας.</w:t>
      </w:r>
    </w:p>
    <w:p w14:paraId="050E1D14" w14:textId="75E924AE" w:rsidR="001745E9" w:rsidRDefault="001745E9" w:rsidP="001745E9">
      <w:pPr>
        <w:rPr>
          <w:rFonts w:eastAsia="Calibri"/>
        </w:rPr>
      </w:pPr>
      <w:r w:rsidRPr="008D0ED6">
        <w:rPr>
          <w:rFonts w:eastAsia="Calibri"/>
        </w:rPr>
        <w:t xml:space="preserve">Επίσης, το Υπουργείο έχει υπό την εποπτεία του την Εγνατία Οδό, </w:t>
      </w:r>
      <w:r w:rsidRPr="008D0ED6">
        <w:rPr>
          <w:rFonts w:eastAsia="Calibri"/>
          <w:color w:val="000000"/>
        </w:rPr>
        <w:t>την Ανάπλαση Δημοσίων Χώρων, τ</w:t>
      </w:r>
      <w:r w:rsidRPr="008D0ED6">
        <w:rPr>
          <w:rFonts w:eastAsia="Calibri"/>
        </w:rPr>
        <w:t>ον Οργανισμό Ανάπτυξης Κρήτης (ΟΑΚ) καθώς και τις Κτιριακές Υποδομές (ΚΤΥΠ), η οποία αποτελεί τον ενιαίο κατασκευαστικό φορέα του Ελληνικού Δημοσίου.</w:t>
      </w:r>
    </w:p>
    <w:p w14:paraId="097E2C16" w14:textId="77777777" w:rsidR="001745E9" w:rsidRPr="008D0ED6" w:rsidRDefault="001745E9" w:rsidP="001745E9">
      <w:pPr>
        <w:rPr>
          <w:rFonts w:eastAsia="Calibri"/>
        </w:rPr>
      </w:pPr>
      <w:r w:rsidRPr="008D0ED6">
        <w:rPr>
          <w:rFonts w:eastAsia="Calibri"/>
        </w:rPr>
        <w:t xml:space="preserve">Το αποτέλεσμα των φορέων του Υπουργείου, στο </w:t>
      </w:r>
      <w:r w:rsidRPr="001D5D70">
        <w:rPr>
          <w:rFonts w:eastAsia="Calibri"/>
        </w:rPr>
        <w:t>οποίο έχουν συμπεριληφθεί οι απαραίτητες δημοσιονομικές προσαρμογές για τις συμβάσεις παραχώρησης πέντε (5) αυτοκινητόδρομων,</w:t>
      </w:r>
      <w:r w:rsidRPr="008D0ED6">
        <w:rPr>
          <w:rFonts w:eastAsia="Calibri"/>
        </w:rPr>
        <w:t xml:space="preserve"> για το έτος 202</w:t>
      </w:r>
      <w:r>
        <w:rPr>
          <w:rFonts w:eastAsia="Calibri"/>
        </w:rPr>
        <w:t>5</w:t>
      </w:r>
      <w:r w:rsidRPr="008D0ED6">
        <w:rPr>
          <w:rFonts w:eastAsia="Calibri"/>
        </w:rPr>
        <w:t xml:space="preserve"> εκτιμάται ότι θα είναι θετικό, ύψους </w:t>
      </w:r>
      <w:r>
        <w:rPr>
          <w:rFonts w:eastAsia="Calibri"/>
        </w:rPr>
        <w:t>87,6</w:t>
      </w:r>
      <w:r w:rsidRPr="008D0ED6">
        <w:rPr>
          <w:rFonts w:eastAsia="Calibri"/>
        </w:rPr>
        <w:t xml:space="preserve"> εκατ. ευρώ </w:t>
      </w:r>
      <w:bookmarkStart w:id="395" w:name="_Hlk213849894"/>
      <w:r w:rsidRPr="008D0ED6">
        <w:rPr>
          <w:rFonts w:eastAsia="Calibri"/>
        </w:rPr>
        <w:t>και για το έτος 202</w:t>
      </w:r>
      <w:r>
        <w:rPr>
          <w:rFonts w:eastAsia="Calibri"/>
        </w:rPr>
        <w:t>6</w:t>
      </w:r>
      <w:r w:rsidRPr="008D0ED6">
        <w:rPr>
          <w:rFonts w:eastAsia="Calibri"/>
        </w:rPr>
        <w:t xml:space="preserve"> προβλέπεται να είναι, ομοίως, θετικό ύψους </w:t>
      </w:r>
      <w:r>
        <w:rPr>
          <w:rFonts w:eastAsia="Calibri"/>
        </w:rPr>
        <w:t>143,5</w:t>
      </w:r>
      <w:r w:rsidRPr="008D0ED6">
        <w:rPr>
          <w:rFonts w:eastAsia="Calibri"/>
        </w:rPr>
        <w:t xml:space="preserve"> εκατ. ευρώ.</w:t>
      </w:r>
    </w:p>
    <w:bookmarkEnd w:id="395"/>
    <w:p w14:paraId="100AC387" w14:textId="77777777" w:rsidR="00D93002" w:rsidRPr="001745E9" w:rsidRDefault="00D93002" w:rsidP="00D93002">
      <w:pPr>
        <w:rPr>
          <w:b/>
          <w:bCs/>
          <w:szCs w:val="20"/>
        </w:rPr>
      </w:pPr>
      <w:r w:rsidRPr="001745E9">
        <w:rPr>
          <w:b/>
          <w:bCs/>
          <w:szCs w:val="20"/>
        </w:rPr>
        <w:t>Υπουργείο Ναυτιλίας και Νησιωτικής Πολιτικής</w:t>
      </w:r>
    </w:p>
    <w:p w14:paraId="32465ABF" w14:textId="77777777" w:rsidR="001745E9" w:rsidRDefault="001745E9" w:rsidP="001745E9">
      <w:pPr>
        <w:rPr>
          <w:rFonts w:ascii="Calibri" w:hAnsi="Calibri" w:cs="Calibri"/>
          <w:sz w:val="22"/>
          <w:szCs w:val="22"/>
          <w:lang w:eastAsia="en-US"/>
        </w:rPr>
      </w:pPr>
      <w:r>
        <w:t>Τα νομικά πρόσωπα εποπτείας του Υπουργείου, στα οποία περιλαμβάνονται οι Οργανισμοί Λιμένων, τα Λιμενικά Ταμεία και η Δημόσια Αρχή Λιμένων (ΔΑΛ), εκτιμάται ότι για το 2025 θα εμφανίσουν πλεόνασμα ύψους 10,5 εκατ. ευρώ και για το 2026 προβλέπεται πλεόνασμα ύψους 1,1 εκατ. ευρώ.</w:t>
      </w:r>
    </w:p>
    <w:p w14:paraId="50143065" w14:textId="119A42C3" w:rsidR="001745E9" w:rsidRDefault="001745E9" w:rsidP="001745E9">
      <w:r>
        <w:t xml:space="preserve">Η </w:t>
      </w:r>
      <w:r w:rsidR="00E24A82">
        <w:t>διαφοροποίηση</w:t>
      </w:r>
      <w:r>
        <w:t xml:space="preserve"> του δημοσιονομικού αποτελέσματος του έτους 2026 σε σχέση με το έτος 2025 οφείλεται </w:t>
      </w:r>
      <w:r w:rsidRPr="003A7DBE">
        <w:t xml:space="preserve">κυρίως στην υλοποίηση έργων υποδομής </w:t>
      </w:r>
      <w:r w:rsidR="002C3DEB">
        <w:t>από πολλούς εποπτευόμενους φορείς του Υπουργείου</w:t>
      </w:r>
      <w:r w:rsidRPr="00220360">
        <w:t>.</w:t>
      </w:r>
    </w:p>
    <w:p w14:paraId="5FC43D46" w14:textId="322AD756" w:rsidR="00D93002" w:rsidRPr="001745E9" w:rsidRDefault="001745E9" w:rsidP="007E204A">
      <w:r>
        <w:t>Επισημαίνεται ότι οι Οργανισμοί Λιμένων και τα Λιμενικά Ταμεία υλοποιούν σημαντικού ύψους επενδυτικά προγράμματα εκσυγχρονισμού και ασφάλειας των εγκαταστάσεών τους, τα οποία χρηματοδοτούνται από το</w:t>
      </w:r>
      <w:r w:rsidR="00FD709B">
        <w:t>ν προϋπολογισμό δημοσίων επενδύσεων</w:t>
      </w:r>
      <w:r>
        <w:t xml:space="preserve"> και από ίδιους πόρους.</w:t>
      </w:r>
    </w:p>
    <w:p w14:paraId="00D5D904" w14:textId="44B2D508" w:rsidR="00FA033D" w:rsidRPr="00FA033D" w:rsidRDefault="00FA033D" w:rsidP="00FA033D">
      <w:pPr>
        <w:rPr>
          <w:b/>
          <w:bCs/>
          <w:szCs w:val="20"/>
        </w:rPr>
      </w:pPr>
      <w:r w:rsidRPr="00FA033D">
        <w:rPr>
          <w:b/>
          <w:bCs/>
          <w:szCs w:val="20"/>
        </w:rPr>
        <w:t>Υπουργείο Τουρισμού</w:t>
      </w:r>
    </w:p>
    <w:p w14:paraId="0C36D8D1" w14:textId="3093D5AF" w:rsidR="00FA033D" w:rsidRPr="001745E9" w:rsidRDefault="001745E9" w:rsidP="007E204A">
      <w:pPr>
        <w:rPr>
          <w:rFonts w:eastAsia="Calibri"/>
          <w:lang w:eastAsia="en-US"/>
        </w:rPr>
      </w:pPr>
      <w:r w:rsidRPr="003E7B9A">
        <w:rPr>
          <w:rFonts w:eastAsia="Calibri"/>
          <w:lang w:eastAsia="en-US"/>
        </w:rPr>
        <w:t xml:space="preserve">Το Υπουργείο Τουρισμού εποπτεύει τον Ελληνικό Οργανισμό Τουρισμού (ΕΟΤ), του οποίου βασική αποστολή αποτελούν η προώθηση και η προβολή του ελληνικού τουρισμού, τόσο σε εγχώριο όσο και σε διεθνές επίπεδο. Τα έσοδα του ΕΟΤ προέρχονται κυρίως από την απόδοση ποσοστού επί των μικτών κερδών του Δημοσίου από τα Καζίνο Κέρκυρας και Πάρνηθας καθώς και από την ενίσχυσή του από τον κρατικό προϋπολογισμό για την κάλυψη τόσο των λειτουργικών όσο και των επενδυτικών του δαπανών. Το δημοσιονομικό αποτέλεσμα για το έτος 2025 εκτιμάται </w:t>
      </w:r>
      <w:r>
        <w:rPr>
          <w:rFonts w:eastAsia="Calibri"/>
          <w:lang w:eastAsia="en-US"/>
        </w:rPr>
        <w:t>θετικό</w:t>
      </w:r>
      <w:r w:rsidRPr="003E7B9A">
        <w:rPr>
          <w:rFonts w:eastAsia="Calibri"/>
          <w:lang w:eastAsia="en-US"/>
        </w:rPr>
        <w:t>, ύψους 3 εκατ. ευρώ</w:t>
      </w:r>
      <w:r>
        <w:rPr>
          <w:rFonts w:eastAsia="Calibri"/>
          <w:lang w:eastAsia="en-US"/>
        </w:rPr>
        <w:t xml:space="preserve"> και </w:t>
      </w:r>
      <w:r w:rsidRPr="003E7B9A">
        <w:rPr>
          <w:rFonts w:eastAsia="Calibri"/>
          <w:lang w:eastAsia="en-US"/>
        </w:rPr>
        <w:t>για το έτος 202</w:t>
      </w:r>
      <w:r>
        <w:rPr>
          <w:rFonts w:eastAsia="Calibri"/>
          <w:lang w:eastAsia="en-US"/>
        </w:rPr>
        <w:t>6</w:t>
      </w:r>
      <w:r w:rsidRPr="003E7B9A">
        <w:rPr>
          <w:rFonts w:eastAsia="Calibri"/>
          <w:lang w:eastAsia="en-US"/>
        </w:rPr>
        <w:t xml:space="preserve"> προβλέπεται</w:t>
      </w:r>
      <w:r>
        <w:rPr>
          <w:rFonts w:eastAsia="Calibri"/>
          <w:lang w:eastAsia="en-US"/>
        </w:rPr>
        <w:t>, ομοίως</w:t>
      </w:r>
      <w:r w:rsidR="00FD709B">
        <w:rPr>
          <w:rFonts w:eastAsia="Calibri"/>
          <w:lang w:eastAsia="en-US"/>
        </w:rPr>
        <w:t>,</w:t>
      </w:r>
      <w:r>
        <w:rPr>
          <w:rFonts w:eastAsia="Calibri"/>
          <w:lang w:eastAsia="en-US"/>
        </w:rPr>
        <w:t xml:space="preserve"> θετικό </w:t>
      </w:r>
      <w:r w:rsidRPr="003E7B9A">
        <w:rPr>
          <w:rFonts w:eastAsia="Calibri"/>
          <w:lang w:eastAsia="en-US"/>
        </w:rPr>
        <w:t xml:space="preserve">ύψους </w:t>
      </w:r>
      <w:r>
        <w:rPr>
          <w:rFonts w:eastAsia="Calibri"/>
          <w:lang w:eastAsia="en-US"/>
        </w:rPr>
        <w:t>3,5</w:t>
      </w:r>
      <w:r w:rsidRPr="003E7B9A">
        <w:rPr>
          <w:rFonts w:eastAsia="Calibri"/>
          <w:lang w:eastAsia="en-US"/>
        </w:rPr>
        <w:t xml:space="preserve"> εκατ. ευρώ.</w:t>
      </w:r>
    </w:p>
    <w:p w14:paraId="066F87B1" w14:textId="77777777" w:rsidR="00D93002" w:rsidRPr="009465F8" w:rsidRDefault="00D93002" w:rsidP="00530558">
      <w:pPr>
        <w:keepNext/>
        <w:rPr>
          <w:b/>
          <w:bCs/>
          <w:szCs w:val="20"/>
        </w:rPr>
      </w:pPr>
      <w:r w:rsidRPr="009465F8">
        <w:rPr>
          <w:b/>
          <w:bCs/>
          <w:szCs w:val="20"/>
        </w:rPr>
        <w:lastRenderedPageBreak/>
        <w:t>Υπουργείο Ψηφιακής Διακυβέρνησης</w:t>
      </w:r>
    </w:p>
    <w:p w14:paraId="79F26BBA" w14:textId="74782040" w:rsidR="001745E9" w:rsidRPr="003431CD" w:rsidRDefault="001745E9" w:rsidP="001745E9">
      <w:r w:rsidRPr="008346F7">
        <w:t xml:space="preserve">Στην εποπτεία του Υπουργείου υπάγονται η Κοινωνία της Πληροφορίας (ΚτΠ), η </w:t>
      </w:r>
      <w:r w:rsidRPr="003431CD">
        <w:t>Ηλεκτρονική Διακυβέρνηση Κοινωνικής Ασφάλισης (ΗΔΙΚΑ), το Εθνικό Δίκτυο Υποδομών Τεχνολογίας και Έρευνας (ΕΔΥΤΕ), το Εθνικό Κέντρο Τεκμηρίωσης και Ηλεκτρονικού Περιεχομένου (ΕΚΤ), το Ελληνικό Κέντρο Διαστήματος (ΕΛΚΕΔ), το Ελληνικό Κτηματολόγιο καθώς επίσης και η Εθνική Αρχή Κυβερνοασφάλειας (ΕΑΚ).</w:t>
      </w:r>
    </w:p>
    <w:p w14:paraId="19D90780" w14:textId="6FE01E4E" w:rsidR="006218DD" w:rsidRPr="001745E9" w:rsidRDefault="001745E9" w:rsidP="007E204A">
      <w:r w:rsidRPr="003431CD">
        <w:t>Οι εποπτευόμενοι φορείς του εν λόγω Υπουργείου εκτιμάται ότι θα εμφανίσουν πλεόνασμα ύψους 81,9 εκατ. ευρώ</w:t>
      </w:r>
      <w:r>
        <w:t xml:space="preserve"> για </w:t>
      </w:r>
      <w:r w:rsidRPr="003431CD">
        <w:t xml:space="preserve">το 2025 </w:t>
      </w:r>
      <w:r>
        <w:t xml:space="preserve">και </w:t>
      </w:r>
      <w:r w:rsidRPr="003431CD">
        <w:t>10,8 εκατ. ευρώ για το 2026.</w:t>
      </w:r>
    </w:p>
    <w:p w14:paraId="4DF2A905" w14:textId="1BA37BAF" w:rsidR="00D93002" w:rsidRPr="009465F8" w:rsidRDefault="00D93002" w:rsidP="00D93002">
      <w:pPr>
        <w:rPr>
          <w:b/>
          <w:bCs/>
          <w:szCs w:val="20"/>
        </w:rPr>
      </w:pPr>
      <w:r w:rsidRPr="009465F8">
        <w:rPr>
          <w:b/>
          <w:bCs/>
          <w:szCs w:val="20"/>
        </w:rPr>
        <w:t>Υπουργείο Προστασίας του Πολίτη</w:t>
      </w:r>
    </w:p>
    <w:p w14:paraId="645D8463" w14:textId="77777777" w:rsidR="001745E9" w:rsidRPr="006218DD" w:rsidRDefault="001745E9" w:rsidP="001745E9">
      <w:r w:rsidRPr="00135A85">
        <w:t>Στα εποπτευόμενα νομικά πρόσωπα του Υπουργείου περιλαμβάνονται το Κέντρο Μελετών Ασφάλειας (ΚΕΜΕΑ) και το Κέντρο Επανένταξης Αποφυλακιζομένων «ΕΠΑΝΟΔΟΣ», τα οποία προβλέπεται να εμφανίσουν οριακά θετικό αποτέλεσμα το έτος 202</w:t>
      </w:r>
      <w:r>
        <w:t>6</w:t>
      </w:r>
      <w:r w:rsidRPr="00135A85">
        <w:t>.</w:t>
      </w:r>
    </w:p>
    <w:p w14:paraId="683A409E" w14:textId="0230864D" w:rsidR="00D93002" w:rsidRPr="009465F8" w:rsidRDefault="00D93002" w:rsidP="00D93002">
      <w:pPr>
        <w:rPr>
          <w:b/>
          <w:bCs/>
          <w:szCs w:val="20"/>
        </w:rPr>
      </w:pPr>
      <w:r w:rsidRPr="009465F8">
        <w:rPr>
          <w:b/>
          <w:bCs/>
          <w:szCs w:val="20"/>
        </w:rPr>
        <w:t>Υπουργείο Κλιματικής Κρίσης και Πολιτικής Προστασίας</w:t>
      </w:r>
    </w:p>
    <w:p w14:paraId="72A837C2" w14:textId="3EED4DC9" w:rsidR="006218DD" w:rsidRPr="00FB4294" w:rsidRDefault="001745E9" w:rsidP="007E204A">
      <w:r w:rsidRPr="00003BC3">
        <w:t xml:space="preserve">Το Υπουργείο εποπτεύει τον Οργανισμό Αντισεισμικού Σχεδιασμού και Προστασίας </w:t>
      </w:r>
      <w:r>
        <w:t xml:space="preserve">(ΟΑΣΠ) και </w:t>
      </w:r>
      <w:r w:rsidRPr="00003BC3">
        <w:t xml:space="preserve">τον </w:t>
      </w:r>
      <w:r>
        <w:t>ΕΛΚΕ</w:t>
      </w:r>
      <w:r w:rsidRPr="00003BC3">
        <w:t xml:space="preserve"> του </w:t>
      </w:r>
      <w:r>
        <w:t>ΟΑΣΠ</w:t>
      </w:r>
      <w:r w:rsidRPr="00003BC3">
        <w:t xml:space="preserve">, </w:t>
      </w:r>
      <w:r w:rsidR="00F57683">
        <w:t xml:space="preserve">που </w:t>
      </w:r>
      <w:r w:rsidRPr="00003BC3">
        <w:t>αναμένεται να παρουσιάσουν το έτος 202</w:t>
      </w:r>
      <w:r>
        <w:t>6</w:t>
      </w:r>
      <w:r w:rsidRPr="00003BC3">
        <w:t xml:space="preserve"> θετικό αποτέλεσμα ύψους </w:t>
      </w:r>
      <w:r>
        <w:t>0</w:t>
      </w:r>
      <w:r w:rsidRPr="00003BC3">
        <w:t>,</w:t>
      </w:r>
      <w:r w:rsidRPr="007477A3">
        <w:t>2</w:t>
      </w:r>
      <w:r w:rsidRPr="00003BC3">
        <w:t xml:space="preserve"> εκατ. ευρώ</w:t>
      </w:r>
      <w:r w:rsidRPr="007477A3">
        <w:t>.</w:t>
      </w:r>
    </w:p>
    <w:p w14:paraId="6BA54D9B" w14:textId="3C0A9782" w:rsidR="008D2891" w:rsidRPr="00D24EA6" w:rsidRDefault="00EE19FB" w:rsidP="00300BBF">
      <w:pPr>
        <w:pStyle w:val="3"/>
      </w:pPr>
      <w:bookmarkStart w:id="396" w:name="_Νοσοκομεία_-_Πρωτοβάθμια_1"/>
      <w:bookmarkStart w:id="397" w:name="_Ref182910365"/>
      <w:bookmarkStart w:id="398" w:name="_Toc214473774"/>
      <w:bookmarkEnd w:id="396"/>
      <w:r w:rsidRPr="00D24EA6">
        <w:t xml:space="preserve">Νοσοκομεία </w:t>
      </w:r>
      <w:r w:rsidR="00715F52">
        <w:t>-</w:t>
      </w:r>
      <w:r w:rsidRPr="00D24EA6">
        <w:t xml:space="preserve"> Πρωτοβάθμια Φροντίδα Υγείας</w:t>
      </w:r>
      <w:bookmarkEnd w:id="397"/>
      <w:bookmarkEnd w:id="398"/>
    </w:p>
    <w:p w14:paraId="3D0EB619" w14:textId="314A8791" w:rsidR="00766B2D" w:rsidRDefault="00766B2D" w:rsidP="00766B2D">
      <w:r>
        <w:t xml:space="preserve">Η μετάβαση του δημόσιου συστήματος υγείας στη μετά </w:t>
      </w:r>
      <w:r>
        <w:rPr>
          <w:lang w:val="en-US"/>
        </w:rPr>
        <w:t>Covid</w:t>
      </w:r>
      <w:r>
        <w:t xml:space="preserve">-19 εποχή και η συνεχιζόμενη προσπάθεια αναβάθμισης των παρεχόμενων προς τους πολίτες υπηρεσιών υγείας </w:t>
      </w:r>
      <w:r w:rsidR="009D7E38">
        <w:t xml:space="preserve">έχουν οδηγήσει τα τελευταία έτη σε σημαντική αύξηση της </w:t>
      </w:r>
      <w:r>
        <w:t>χρηματοδότησης από τον κρατικό προϋπολογισμό.</w:t>
      </w:r>
    </w:p>
    <w:p w14:paraId="786CAAB4" w14:textId="73E971A0" w:rsidR="00766B2D" w:rsidRDefault="00766B2D" w:rsidP="00766B2D">
      <w:r w:rsidRPr="0098356F">
        <w:t xml:space="preserve">Παρακάτω </w:t>
      </w:r>
      <w:r w:rsidRPr="0098356F">
        <w:rPr>
          <w:szCs w:val="20"/>
        </w:rPr>
        <w:t>(</w:t>
      </w:r>
      <w:r w:rsidRPr="0098356F">
        <w:rPr>
          <w:szCs w:val="20"/>
        </w:rPr>
        <w:fldChar w:fldCharType="begin"/>
      </w:r>
      <w:r w:rsidRPr="0098356F">
        <w:rPr>
          <w:szCs w:val="20"/>
        </w:rPr>
        <w:instrText xml:space="preserve"> REF _Ref119519386 \h  \* MERGEFORMAT </w:instrText>
      </w:r>
      <w:r w:rsidRPr="0098356F">
        <w:rPr>
          <w:szCs w:val="20"/>
        </w:rPr>
      </w:r>
      <w:r w:rsidRPr="0098356F">
        <w:rPr>
          <w:szCs w:val="20"/>
        </w:rPr>
        <w:fldChar w:fldCharType="separate"/>
      </w:r>
      <w:r w:rsidR="00E15678" w:rsidRPr="00E15678">
        <w:rPr>
          <w:szCs w:val="20"/>
        </w:rPr>
        <w:t>Πίνακας 3.20</w:t>
      </w:r>
      <w:r w:rsidRPr="0098356F">
        <w:rPr>
          <w:szCs w:val="20"/>
        </w:rPr>
        <w:fldChar w:fldCharType="end"/>
      </w:r>
      <w:r w:rsidRPr="0098356F">
        <w:rPr>
          <w:szCs w:val="20"/>
        </w:rPr>
        <w:t>.)</w:t>
      </w:r>
      <w:r w:rsidRPr="0098356F">
        <w:t xml:space="preserve"> απεικονίζεται</w:t>
      </w:r>
      <w:r>
        <w:t xml:space="preserve"> ο προϋπολογισμός των νοσοκομείων και της ΠΦΥ σε δεδουλευμένη βάση.</w:t>
      </w:r>
    </w:p>
    <w:p w14:paraId="7BDDC27C" w14:textId="77777777" w:rsidR="00766B2D" w:rsidRDefault="00766B2D" w:rsidP="00766B2D">
      <w:r>
        <w:t>Επισημαίνεται ότι ο αναλυτικός προϋπολογισμός των φορέων θα πρέπει να περιλαμβάνει πιστώσεις τόσο για την ανάληψη των υποχρεώσεων του έτους προϋπολογισμού όσο και για τις απλήρωτες υποχρεώσεις παρελθόντων οικονομικών ετών, σύμφωνα με τους ισχύοντες δημοσιονομικούς κανόνες.</w:t>
      </w:r>
    </w:p>
    <w:p w14:paraId="057AFC12" w14:textId="77777777" w:rsidR="00766B2D" w:rsidRDefault="00766B2D" w:rsidP="00766B2D">
      <w:r>
        <w:t>Το δημοσιονομικό αποτέλεσμα των νοσοκομείων και της ΠΦΥ το 2026 προβλέπεται ότι θα διαμορφωθεί σε πλεόνασμα ύψους 481 εκατ. ευρώ, παρουσιάζοντας βελτίωση κατά 224 εκατ. ευρώ σε σχέση με το αντίστοιχο εκτιμώμενο μέγεθος για το 2025.</w:t>
      </w:r>
    </w:p>
    <w:p w14:paraId="5A24FD1A" w14:textId="77777777" w:rsidR="00766B2D" w:rsidRDefault="00766B2D" w:rsidP="00766B2D">
      <w:r>
        <w:t>Τα συνολικά έσοδα προβλέπεται να ανέλθουν σε 4.799 εκατ. ευρώ, αυξημένα σε σχέση με το 2025 κατά 212 εκατ. ευρώ, αντικατοπτρίζοντας κατά κύριο λόγο:</w:t>
      </w:r>
    </w:p>
    <w:p w14:paraId="580EC1FC" w14:textId="57115761" w:rsidR="00766B2D" w:rsidRDefault="00766B2D" w:rsidP="00766B2D">
      <w:r>
        <w:t>(α) την αύξηση των μεταβιβάσεων από τον τακτικό προϋπολογισμό κατά 124 εκατ. ευρώ, που προορίζονται κυρίως για την κάλυψη της αύξησης του ορίου της φαρμακευτικής δαπάνης (παρ.2 και 3 του άρθρου 25 του ν.4549/2018) καθώς και την εξόφληση μέρους των απλήρωτων υποχρεώσεων προηγούμενων οικονομικών ετών προς τρίτους και</w:t>
      </w:r>
    </w:p>
    <w:p w14:paraId="4934BDD5" w14:textId="09AF7382" w:rsidR="00766B2D" w:rsidRDefault="00766B2D" w:rsidP="00766B2D">
      <w:r>
        <w:t>(β) την αύξηση των μεταβιβάσεων από το</w:t>
      </w:r>
      <w:r w:rsidR="00411823">
        <w:t xml:space="preserve">ν προϋπολογισμό δημοσίων επενδύσεων </w:t>
      </w:r>
      <w:r>
        <w:t>κατά 83 εκατ. ευρώ για την υλοποίηση προγραμμάτων ανακαίνισης και εκσυγχρονισμού των υποδομών και του ιατροτεχνολογικού εξοπλισμού των νοσοκομείων και των μονάδων Π</w:t>
      </w:r>
      <w:r w:rsidR="00411823">
        <w:t>ΦΥ</w:t>
      </w:r>
      <w:r>
        <w:t xml:space="preserve"> καθώς και για την επιτάχυνση της διενέργειας των εκκρεμών επεμβάσεων της λίστας χειρουργείων.</w:t>
      </w:r>
    </w:p>
    <w:p w14:paraId="076373B1" w14:textId="3B93CFEF" w:rsidR="00766B2D" w:rsidRPr="00343488" w:rsidRDefault="00766B2D" w:rsidP="00766B2D">
      <w:r>
        <w:t xml:space="preserve">Μέρος των ανωτέρω μεταβιβάσεων προβλέπεται να κατευθυνθεί προς την ΕΚΑΠΥ, η οποία έχει αναλάβει να διενεργεί τις διαδικασίες προμήθειας του συνόλου σχεδόν των φαρμακευτικών </w:t>
      </w:r>
      <w:r>
        <w:lastRenderedPageBreak/>
        <w:t xml:space="preserve">σκευασμάτων για τις ανάγκες των δημόσιων νοσοκομείων με στόχο τον έλεγχο της δαπάνης, την κεντρική διαχείριση των παραγγελιών, τη μείωση του χρόνου πληρωμής των προμηθευτών και τη συνακόλουθη μείωση των ληξιπρόθεσμων </w:t>
      </w:r>
      <w:r w:rsidR="00970511">
        <w:t>υποχρεώσεων</w:t>
      </w:r>
      <w:r>
        <w:t xml:space="preserve"> των νοσοκομείων (άρθρο δέκατο πέμπτο του ν.5015/2023, Α</w:t>
      </w:r>
      <w:r w:rsidR="00411823">
        <w:t>’</w:t>
      </w:r>
      <w:r>
        <w:t xml:space="preserve"> 20). Επιπρόσθετα, η ΕΚΑΠΥ λειτουργεί ως Εθνική Κεντρική Αρχή Αγορών και για δημόσιες συμβάσεις προμήθειας ιατροτεχνολογικών, υγειονομικών αγαθών και συναφών υπηρεσιών (περ.</w:t>
      </w:r>
      <w:r w:rsidR="00970511">
        <w:t xml:space="preserve"> </w:t>
      </w:r>
      <w:r>
        <w:t>γ της παρ.1 του άρθρου 41 του ν.4412/2016, Α</w:t>
      </w:r>
      <w:r w:rsidR="00FD709B">
        <w:t>’</w:t>
      </w:r>
      <w:r>
        <w:t xml:space="preserve"> 147). Για </w:t>
      </w:r>
      <w:r w:rsidR="00970511">
        <w:t xml:space="preserve">αυτόν </w:t>
      </w:r>
      <w:r>
        <w:t>το</w:t>
      </w:r>
      <w:r w:rsidR="00970511">
        <w:t>ν</w:t>
      </w:r>
      <w:r>
        <w:t xml:space="preserve"> λόγο το ισοζύγιο της ΕΚΑΠΥ περιλαμβάνεται στο αποτέλεσμα κατά </w:t>
      </w:r>
      <w:r>
        <w:rPr>
          <w:lang w:val="en-US"/>
        </w:rPr>
        <w:t>ESA</w:t>
      </w:r>
      <w:r w:rsidRPr="00343488">
        <w:t xml:space="preserve"> </w:t>
      </w:r>
      <w:r>
        <w:t xml:space="preserve">των νοσοκομείων </w:t>
      </w:r>
      <w:r w:rsidR="00FD709B">
        <w:t>-</w:t>
      </w:r>
      <w:r>
        <w:t xml:space="preserve"> ΠΦΥ και όχι σε εκείνο των νομικών προσώπων.</w:t>
      </w:r>
    </w:p>
    <w:p w14:paraId="0D5A0294" w14:textId="745926B2" w:rsidR="00766B2D" w:rsidRPr="00DB0CBA" w:rsidRDefault="00766B2D" w:rsidP="00766B2D">
      <w:pPr>
        <w:rPr>
          <w:b/>
          <w:u w:val="single"/>
        </w:rPr>
      </w:pPr>
      <w:r>
        <w:t>Αντίστοιχα, τα έξοδα το 2026, σε δεδουλευμένη βάση, προβλέπεται να ανέλθουν σε 4.318 εκατ. ευρώ.</w:t>
      </w:r>
    </w:p>
    <w:p w14:paraId="5121A0DC" w14:textId="7437EC43" w:rsidR="00766B2D" w:rsidRDefault="00766B2D" w:rsidP="00D03AD3">
      <w:pPr>
        <w:spacing w:after="240"/>
      </w:pPr>
      <w:r>
        <w:t>Τέλος, σημειώνεται ότι το επιτρεπόμενο όριο της φαρμακευτικής δαπάνης των δημόσιων νοσοκομείων, σε δεδουλευμένη βάση, είναι αυξημένο για το έτος 2026 σε σχέση με το 2025, καθώς έχει αναπροσαρμοστεί βάσει της προβλεπόμενης κατ’ έτος μεταβολής του πραγματικού ΑΕΠ (</w:t>
      </w:r>
      <w:r w:rsidR="00970511">
        <w:t xml:space="preserve">πρώτο </w:t>
      </w:r>
      <w:r>
        <w:t>εδάφιο</w:t>
      </w:r>
      <w:r w:rsidR="00970511">
        <w:t xml:space="preserve"> </w:t>
      </w:r>
      <w:r>
        <w:t xml:space="preserve">της παρ.2 του άρθρου 25 του ν.4549/2018) και διαμορφώνεται σε 578 εκατ. ευρώ (έναντι 565 εκατ. ευρώ για το 2025). Τα ανωτέρω όρια αναπροσαρμόζονται περαιτέρω με βάση το </w:t>
      </w:r>
      <w:r w:rsidR="00A75AE8">
        <w:t>δεύτερο</w:t>
      </w:r>
      <w:r>
        <w:t xml:space="preserve"> εδάφιο της παρ.2 και την παρ.3 του άρθρου 25 του ν.4549/2018, όπως αποτυπώνεται </w:t>
      </w:r>
      <w:r w:rsidRPr="0098356F">
        <w:t xml:space="preserve">συνολικά </w:t>
      </w:r>
      <w:r w:rsidR="00484E5E" w:rsidRPr="0098356F">
        <w:t>παρακάτω (</w:t>
      </w:r>
      <w:r w:rsidR="00484E5E" w:rsidRPr="0098356F">
        <w:fldChar w:fldCharType="begin"/>
      </w:r>
      <w:r w:rsidR="00484E5E" w:rsidRPr="0098356F">
        <w:instrText xml:space="preserve"> REF _Ref214277293 \h  \* MERGEFORMAT </w:instrText>
      </w:r>
      <w:r w:rsidR="00484E5E" w:rsidRPr="0098356F">
        <w:fldChar w:fldCharType="separate"/>
      </w:r>
      <w:r w:rsidR="00E15678" w:rsidRPr="00E15678">
        <w:t>Πίνακας 3.21</w:t>
      </w:r>
      <w:r w:rsidR="00484E5E" w:rsidRPr="0098356F">
        <w:fldChar w:fldCharType="end"/>
      </w:r>
      <w:r w:rsidR="00484E5E" w:rsidRPr="0098356F">
        <w:t>.)</w:t>
      </w:r>
      <w:r w:rsidRPr="0098356F">
        <w:t>.</w:t>
      </w:r>
    </w:p>
    <w:tbl>
      <w:tblPr>
        <w:tblW w:w="925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6249"/>
        <w:gridCol w:w="1528"/>
        <w:gridCol w:w="1475"/>
      </w:tblGrid>
      <w:tr w:rsidR="00D24EA6" w:rsidRPr="005806F0" w14:paraId="4A1271E2" w14:textId="77777777" w:rsidTr="005806F0">
        <w:trPr>
          <w:cantSplit/>
          <w:trHeight w:val="397"/>
          <w:jc w:val="center"/>
        </w:trPr>
        <w:tc>
          <w:tcPr>
            <w:tcW w:w="9252" w:type="dxa"/>
            <w:gridSpan w:val="3"/>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27571836" w14:textId="3D5727DF" w:rsidR="004E665C" w:rsidRDefault="009D7264" w:rsidP="005806F0">
            <w:pPr>
              <w:spacing w:after="0" w:line="276" w:lineRule="auto"/>
              <w:jc w:val="center"/>
              <w:rPr>
                <w:rFonts w:cs="Arial"/>
                <w:b/>
                <w:bCs/>
                <w:sz w:val="18"/>
                <w:szCs w:val="16"/>
              </w:rPr>
            </w:pPr>
            <w:bookmarkStart w:id="399" w:name="_Ref119519386"/>
            <w:bookmarkStart w:id="400" w:name="_Toc214474058"/>
            <w:r w:rsidRPr="00A75AE8">
              <w:rPr>
                <w:rFonts w:cs="Arial"/>
                <w:b/>
                <w:sz w:val="18"/>
                <w:szCs w:val="16"/>
              </w:rPr>
              <w:t>Πίνακας 3.</w:t>
            </w:r>
            <w:r w:rsidRPr="00A75AE8">
              <w:rPr>
                <w:rFonts w:cs="Arial"/>
                <w:b/>
                <w:sz w:val="18"/>
                <w:szCs w:val="16"/>
              </w:rPr>
              <w:fldChar w:fldCharType="begin"/>
            </w:r>
            <w:r w:rsidRPr="00A75AE8">
              <w:rPr>
                <w:rFonts w:cs="Arial"/>
                <w:b/>
                <w:sz w:val="18"/>
                <w:szCs w:val="16"/>
              </w:rPr>
              <w:instrText xml:space="preserve"> SEQ Πίνακας_3. \* ARABIC </w:instrText>
            </w:r>
            <w:r w:rsidRPr="00A75AE8">
              <w:rPr>
                <w:rFonts w:cs="Arial"/>
                <w:b/>
                <w:sz w:val="18"/>
                <w:szCs w:val="16"/>
              </w:rPr>
              <w:fldChar w:fldCharType="separate"/>
            </w:r>
            <w:r w:rsidR="00E15678">
              <w:rPr>
                <w:rFonts w:cs="Arial"/>
                <w:b/>
                <w:noProof/>
                <w:sz w:val="18"/>
                <w:szCs w:val="16"/>
              </w:rPr>
              <w:t>20</w:t>
            </w:r>
            <w:r w:rsidRPr="00A75AE8">
              <w:rPr>
                <w:rFonts w:cs="Arial"/>
                <w:b/>
                <w:sz w:val="18"/>
                <w:szCs w:val="16"/>
              </w:rPr>
              <w:fldChar w:fldCharType="end"/>
            </w:r>
            <w:bookmarkEnd w:id="399"/>
            <w:r w:rsidR="00D24EA6" w:rsidRPr="00A75AE8">
              <w:rPr>
                <w:rFonts w:cs="Arial"/>
                <w:b/>
                <w:bCs/>
                <w:sz w:val="18"/>
                <w:szCs w:val="16"/>
              </w:rPr>
              <w:t>.: Προϋπολογισμοί</w:t>
            </w:r>
            <w:r w:rsidR="00D24EA6" w:rsidRPr="005806F0">
              <w:rPr>
                <w:rFonts w:cs="Arial"/>
                <w:b/>
                <w:bCs/>
                <w:sz w:val="18"/>
                <w:szCs w:val="16"/>
              </w:rPr>
              <w:t xml:space="preserve"> Νοσοκομείων και ΠΦΥ σε δεδουλευμένη βάση</w:t>
            </w:r>
            <w:bookmarkEnd w:id="400"/>
          </w:p>
          <w:p w14:paraId="4AE4E42D" w14:textId="319E7764" w:rsidR="005806F0" w:rsidRPr="005806F0" w:rsidRDefault="00D24EA6" w:rsidP="005806F0">
            <w:pPr>
              <w:spacing w:after="0" w:line="276" w:lineRule="auto"/>
              <w:jc w:val="center"/>
              <w:rPr>
                <w:rFonts w:cs="Arial"/>
                <w:b/>
                <w:bCs/>
                <w:sz w:val="18"/>
                <w:szCs w:val="16"/>
              </w:rPr>
            </w:pPr>
            <w:r w:rsidRPr="005806F0">
              <w:rPr>
                <w:rFonts w:cs="Arial"/>
                <w:b/>
                <w:bCs/>
                <w:sz w:val="18"/>
                <w:szCs w:val="16"/>
              </w:rPr>
              <w:t>(σε εκατ. ευρώ)</w:t>
            </w:r>
          </w:p>
        </w:tc>
      </w:tr>
      <w:tr w:rsidR="00D24EA6" w:rsidRPr="005806F0" w14:paraId="18A5E1EF" w14:textId="77777777" w:rsidTr="005806F0">
        <w:trPr>
          <w:cantSplit/>
          <w:jc w:val="center"/>
        </w:trPr>
        <w:tc>
          <w:tcPr>
            <w:tcW w:w="6249" w:type="dxa"/>
            <w:vMerge w:val="restart"/>
            <w:tcBorders>
              <w:top w:val="single" w:sz="2" w:space="0" w:color="A6A6A6" w:themeColor="background1" w:themeShade="A6"/>
              <w:left w:val="single" w:sz="2" w:space="0" w:color="A6A6A6" w:themeColor="background1" w:themeShade="A6"/>
              <w:bottom w:val="nil"/>
            </w:tcBorders>
            <w:shd w:val="clear" w:color="auto" w:fill="F2F2F2" w:themeFill="background1" w:themeFillShade="F2"/>
            <w:vAlign w:val="center"/>
            <w:hideMark/>
          </w:tcPr>
          <w:p w14:paraId="40A7B548" w14:textId="55990046" w:rsidR="00D24EA6" w:rsidRPr="005806F0" w:rsidRDefault="00D24EA6" w:rsidP="005806F0">
            <w:pPr>
              <w:spacing w:after="0" w:line="276" w:lineRule="auto"/>
              <w:jc w:val="center"/>
              <w:rPr>
                <w:rFonts w:cs="Arial"/>
                <w:b/>
                <w:bCs/>
                <w:color w:val="000000"/>
                <w:sz w:val="16"/>
                <w:szCs w:val="16"/>
              </w:rPr>
            </w:pPr>
          </w:p>
        </w:tc>
        <w:tc>
          <w:tcPr>
            <w:tcW w:w="1528" w:type="dxa"/>
            <w:tcBorders>
              <w:top w:val="single" w:sz="2" w:space="0" w:color="A6A6A6" w:themeColor="background1" w:themeShade="A6"/>
              <w:bottom w:val="nil"/>
            </w:tcBorders>
            <w:shd w:val="clear" w:color="auto" w:fill="F2F2F2" w:themeFill="background1" w:themeFillShade="F2"/>
            <w:vAlign w:val="center"/>
            <w:hideMark/>
          </w:tcPr>
          <w:p w14:paraId="7CE25E40" w14:textId="1F93CF64" w:rsidR="00D24EA6" w:rsidRPr="005806F0" w:rsidRDefault="00D24EA6" w:rsidP="005806F0">
            <w:pPr>
              <w:spacing w:after="0" w:line="276" w:lineRule="auto"/>
              <w:jc w:val="center"/>
              <w:rPr>
                <w:rFonts w:cs="Arial"/>
                <w:b/>
                <w:bCs/>
                <w:color w:val="000000"/>
                <w:sz w:val="16"/>
                <w:szCs w:val="16"/>
              </w:rPr>
            </w:pPr>
            <w:r w:rsidRPr="005806F0">
              <w:rPr>
                <w:rFonts w:cs="Arial"/>
                <w:b/>
                <w:bCs/>
                <w:color w:val="000000"/>
                <w:sz w:val="16"/>
                <w:szCs w:val="16"/>
              </w:rPr>
              <w:t>202</w:t>
            </w:r>
            <w:r w:rsidR="00766B2D" w:rsidRPr="005806F0">
              <w:rPr>
                <w:rFonts w:cs="Arial"/>
                <w:b/>
                <w:bCs/>
                <w:color w:val="000000"/>
                <w:sz w:val="16"/>
                <w:szCs w:val="16"/>
              </w:rPr>
              <w:t>5</w:t>
            </w:r>
          </w:p>
        </w:tc>
        <w:tc>
          <w:tcPr>
            <w:tcW w:w="1475" w:type="dxa"/>
            <w:tcBorders>
              <w:top w:val="single" w:sz="2" w:space="0" w:color="A6A6A6" w:themeColor="background1" w:themeShade="A6"/>
              <w:bottom w:val="nil"/>
              <w:right w:val="single" w:sz="2" w:space="0" w:color="A6A6A6" w:themeColor="background1" w:themeShade="A6"/>
            </w:tcBorders>
            <w:shd w:val="clear" w:color="auto" w:fill="F2F2F2" w:themeFill="background1" w:themeFillShade="F2"/>
            <w:vAlign w:val="center"/>
            <w:hideMark/>
          </w:tcPr>
          <w:p w14:paraId="1346A7F3" w14:textId="6CEAF0DF" w:rsidR="00D24EA6" w:rsidRPr="005806F0" w:rsidRDefault="00D24EA6" w:rsidP="005806F0">
            <w:pPr>
              <w:spacing w:after="0" w:line="276" w:lineRule="auto"/>
              <w:jc w:val="center"/>
              <w:rPr>
                <w:rFonts w:cs="Arial"/>
                <w:b/>
                <w:bCs/>
                <w:color w:val="000000"/>
                <w:sz w:val="16"/>
                <w:szCs w:val="16"/>
              </w:rPr>
            </w:pPr>
            <w:r w:rsidRPr="005806F0">
              <w:rPr>
                <w:rFonts w:cs="Arial"/>
                <w:b/>
                <w:bCs/>
                <w:color w:val="000000"/>
                <w:sz w:val="16"/>
                <w:szCs w:val="16"/>
              </w:rPr>
              <w:t>202</w:t>
            </w:r>
            <w:r w:rsidR="00766B2D" w:rsidRPr="005806F0">
              <w:rPr>
                <w:rFonts w:cs="Arial"/>
                <w:b/>
                <w:bCs/>
                <w:color w:val="000000"/>
                <w:sz w:val="16"/>
                <w:szCs w:val="16"/>
              </w:rPr>
              <w:t>6</w:t>
            </w:r>
          </w:p>
        </w:tc>
      </w:tr>
      <w:tr w:rsidR="00D24EA6" w:rsidRPr="005806F0" w14:paraId="372D873F" w14:textId="77777777" w:rsidTr="005806F0">
        <w:trPr>
          <w:cantSplit/>
          <w:jc w:val="center"/>
        </w:trPr>
        <w:tc>
          <w:tcPr>
            <w:tcW w:w="6249" w:type="dxa"/>
            <w:vMerge/>
            <w:tcBorders>
              <w:top w:val="nil"/>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2ED93A55" w14:textId="77777777" w:rsidR="00D24EA6" w:rsidRPr="005806F0" w:rsidRDefault="00D24EA6" w:rsidP="005806F0">
            <w:pPr>
              <w:spacing w:after="0" w:line="276" w:lineRule="auto"/>
              <w:jc w:val="left"/>
              <w:rPr>
                <w:rFonts w:cs="Arial"/>
                <w:b/>
                <w:bCs/>
                <w:color w:val="000000"/>
                <w:sz w:val="16"/>
                <w:szCs w:val="16"/>
              </w:rPr>
            </w:pPr>
          </w:p>
        </w:tc>
        <w:tc>
          <w:tcPr>
            <w:tcW w:w="1528" w:type="dxa"/>
            <w:tcBorders>
              <w:top w:val="nil"/>
              <w:bottom w:val="single" w:sz="2" w:space="0" w:color="A6A6A6" w:themeColor="background1" w:themeShade="A6"/>
            </w:tcBorders>
            <w:shd w:val="clear" w:color="auto" w:fill="F2F2F2" w:themeFill="background1" w:themeFillShade="F2"/>
            <w:vAlign w:val="center"/>
            <w:hideMark/>
          </w:tcPr>
          <w:p w14:paraId="5E9FA4AC" w14:textId="77777777" w:rsidR="00D24EA6" w:rsidRPr="005806F0" w:rsidRDefault="00D24EA6" w:rsidP="005806F0">
            <w:pPr>
              <w:spacing w:after="0" w:line="276" w:lineRule="auto"/>
              <w:jc w:val="center"/>
              <w:rPr>
                <w:rFonts w:cs="Arial"/>
                <w:b/>
                <w:bCs/>
                <w:color w:val="000000"/>
                <w:sz w:val="16"/>
                <w:szCs w:val="16"/>
              </w:rPr>
            </w:pPr>
            <w:r w:rsidRPr="005806F0">
              <w:rPr>
                <w:rFonts w:cs="Arial"/>
                <w:b/>
                <w:bCs/>
                <w:color w:val="000000"/>
                <w:sz w:val="16"/>
                <w:szCs w:val="16"/>
              </w:rPr>
              <w:t>Εκτιμήσεις</w:t>
            </w:r>
          </w:p>
        </w:tc>
        <w:tc>
          <w:tcPr>
            <w:tcW w:w="1475" w:type="dxa"/>
            <w:tcBorders>
              <w:top w:val="nil"/>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2D7D3380" w14:textId="77777777" w:rsidR="00D24EA6" w:rsidRPr="005806F0" w:rsidRDefault="00D24EA6" w:rsidP="005806F0">
            <w:pPr>
              <w:spacing w:after="0" w:line="276" w:lineRule="auto"/>
              <w:jc w:val="center"/>
              <w:rPr>
                <w:rFonts w:cs="Arial"/>
                <w:b/>
                <w:bCs/>
                <w:color w:val="000000"/>
                <w:sz w:val="16"/>
                <w:szCs w:val="16"/>
              </w:rPr>
            </w:pPr>
            <w:r w:rsidRPr="005806F0">
              <w:rPr>
                <w:rFonts w:cs="Arial"/>
                <w:b/>
                <w:bCs/>
                <w:color w:val="000000"/>
                <w:sz w:val="16"/>
                <w:szCs w:val="16"/>
              </w:rPr>
              <w:t>Προβλέψεις</w:t>
            </w:r>
          </w:p>
        </w:tc>
      </w:tr>
      <w:tr w:rsidR="00D24EA6" w:rsidRPr="005806F0" w14:paraId="73B779DF" w14:textId="77777777" w:rsidTr="005806F0">
        <w:trPr>
          <w:cantSplit/>
          <w:trHeight w:val="227"/>
          <w:jc w:val="center"/>
        </w:trPr>
        <w:tc>
          <w:tcPr>
            <w:tcW w:w="6249" w:type="dxa"/>
            <w:tcBorders>
              <w:top w:val="single" w:sz="2" w:space="0" w:color="A6A6A6" w:themeColor="background1" w:themeShade="A6"/>
              <w:left w:val="single" w:sz="2" w:space="0" w:color="A6A6A6" w:themeColor="background1" w:themeShade="A6"/>
              <w:bottom w:val="nil"/>
            </w:tcBorders>
            <w:shd w:val="clear" w:color="000000" w:fill="D5DCE4"/>
            <w:vAlign w:val="center"/>
            <w:hideMark/>
          </w:tcPr>
          <w:p w14:paraId="68AA5C3E" w14:textId="77777777" w:rsidR="00D24EA6" w:rsidRPr="005806F0" w:rsidRDefault="00D24EA6" w:rsidP="005806F0">
            <w:pPr>
              <w:spacing w:after="0" w:line="276" w:lineRule="auto"/>
              <w:jc w:val="left"/>
              <w:rPr>
                <w:rFonts w:cs="Arial"/>
                <w:b/>
                <w:bCs/>
                <w:color w:val="000000"/>
                <w:sz w:val="16"/>
                <w:szCs w:val="16"/>
              </w:rPr>
            </w:pPr>
            <w:r w:rsidRPr="005806F0">
              <w:rPr>
                <w:rFonts w:cs="Arial"/>
                <w:b/>
                <w:bCs/>
                <w:color w:val="000000"/>
                <w:sz w:val="16"/>
                <w:szCs w:val="16"/>
              </w:rPr>
              <w:t>Νοσοκομεία και ΠΦΥ συγκεντρωτικά</w:t>
            </w:r>
          </w:p>
        </w:tc>
        <w:tc>
          <w:tcPr>
            <w:tcW w:w="1528" w:type="dxa"/>
            <w:tcBorders>
              <w:top w:val="single" w:sz="2" w:space="0" w:color="A6A6A6" w:themeColor="background1" w:themeShade="A6"/>
              <w:bottom w:val="nil"/>
            </w:tcBorders>
            <w:shd w:val="clear" w:color="000000" w:fill="D5DCE4"/>
            <w:vAlign w:val="center"/>
          </w:tcPr>
          <w:p w14:paraId="6AA1A6FD" w14:textId="3FD47BAA" w:rsidR="00D24EA6" w:rsidRPr="005806F0" w:rsidRDefault="00D24EA6" w:rsidP="005806F0">
            <w:pPr>
              <w:spacing w:after="0" w:line="276" w:lineRule="auto"/>
              <w:jc w:val="right"/>
              <w:rPr>
                <w:rFonts w:cs="Arial"/>
                <w:b/>
                <w:bCs/>
                <w:color w:val="000000"/>
                <w:sz w:val="16"/>
                <w:szCs w:val="16"/>
              </w:rPr>
            </w:pPr>
          </w:p>
        </w:tc>
        <w:tc>
          <w:tcPr>
            <w:tcW w:w="1475" w:type="dxa"/>
            <w:tcBorders>
              <w:top w:val="single" w:sz="2" w:space="0" w:color="A6A6A6" w:themeColor="background1" w:themeShade="A6"/>
              <w:bottom w:val="nil"/>
              <w:right w:val="single" w:sz="2" w:space="0" w:color="A6A6A6" w:themeColor="background1" w:themeShade="A6"/>
            </w:tcBorders>
            <w:shd w:val="clear" w:color="000000" w:fill="D5DCE4"/>
            <w:vAlign w:val="center"/>
          </w:tcPr>
          <w:p w14:paraId="56902A66" w14:textId="63FB6EBF" w:rsidR="00D24EA6" w:rsidRPr="005806F0" w:rsidRDefault="00D24EA6" w:rsidP="005806F0">
            <w:pPr>
              <w:spacing w:after="0" w:line="276" w:lineRule="auto"/>
              <w:jc w:val="right"/>
              <w:rPr>
                <w:rFonts w:cs="Arial"/>
                <w:b/>
                <w:bCs/>
                <w:color w:val="000000"/>
                <w:sz w:val="16"/>
                <w:szCs w:val="16"/>
              </w:rPr>
            </w:pPr>
          </w:p>
        </w:tc>
      </w:tr>
      <w:tr w:rsidR="00766B2D" w:rsidRPr="005806F0" w14:paraId="063E33E9" w14:textId="77777777" w:rsidTr="005806F0">
        <w:trPr>
          <w:cantSplit/>
          <w:jc w:val="center"/>
        </w:trPr>
        <w:tc>
          <w:tcPr>
            <w:tcW w:w="6249" w:type="dxa"/>
            <w:tcBorders>
              <w:top w:val="nil"/>
              <w:left w:val="single" w:sz="2" w:space="0" w:color="A6A6A6" w:themeColor="background1" w:themeShade="A6"/>
              <w:bottom w:val="nil"/>
            </w:tcBorders>
            <w:shd w:val="clear" w:color="auto" w:fill="auto"/>
            <w:vAlign w:val="center"/>
            <w:hideMark/>
          </w:tcPr>
          <w:p w14:paraId="60CB52A6" w14:textId="77777777" w:rsidR="00766B2D" w:rsidRPr="005806F0" w:rsidRDefault="00766B2D" w:rsidP="005806F0">
            <w:pPr>
              <w:spacing w:after="0" w:line="276" w:lineRule="auto"/>
              <w:jc w:val="left"/>
              <w:rPr>
                <w:rFonts w:cs="Arial"/>
                <w:b/>
                <w:bCs/>
                <w:color w:val="000000"/>
                <w:sz w:val="16"/>
                <w:szCs w:val="16"/>
              </w:rPr>
            </w:pPr>
            <w:r w:rsidRPr="005806F0">
              <w:rPr>
                <w:rFonts w:cs="Arial"/>
                <w:b/>
                <w:bCs/>
                <w:color w:val="000000"/>
                <w:sz w:val="16"/>
                <w:szCs w:val="16"/>
              </w:rPr>
              <w:t>Έσοδα</w:t>
            </w:r>
          </w:p>
        </w:tc>
        <w:tc>
          <w:tcPr>
            <w:tcW w:w="1528" w:type="dxa"/>
            <w:tcBorders>
              <w:top w:val="nil"/>
              <w:left w:val="nil"/>
              <w:bottom w:val="nil"/>
              <w:right w:val="nil"/>
            </w:tcBorders>
            <w:shd w:val="clear" w:color="auto" w:fill="auto"/>
            <w:vAlign w:val="center"/>
          </w:tcPr>
          <w:p w14:paraId="732EA735" w14:textId="46AE0F9C" w:rsidR="00766B2D" w:rsidRPr="005806F0" w:rsidRDefault="00766B2D" w:rsidP="005806F0">
            <w:pPr>
              <w:spacing w:after="0" w:line="276" w:lineRule="auto"/>
              <w:jc w:val="right"/>
              <w:rPr>
                <w:rFonts w:cs="Arial"/>
                <w:b/>
                <w:bCs/>
                <w:color w:val="000000"/>
                <w:sz w:val="16"/>
                <w:szCs w:val="16"/>
              </w:rPr>
            </w:pPr>
            <w:r w:rsidRPr="005806F0">
              <w:rPr>
                <w:rFonts w:cs="Arial"/>
                <w:b/>
                <w:bCs/>
                <w:color w:val="000000"/>
                <w:sz w:val="16"/>
                <w:szCs w:val="16"/>
              </w:rPr>
              <w:t>4.588</w:t>
            </w:r>
          </w:p>
        </w:tc>
        <w:tc>
          <w:tcPr>
            <w:tcW w:w="1475" w:type="dxa"/>
            <w:tcBorders>
              <w:top w:val="nil"/>
              <w:left w:val="nil"/>
              <w:bottom w:val="nil"/>
              <w:right w:val="single" w:sz="2" w:space="0" w:color="A6A6A6" w:themeColor="background1" w:themeShade="A6"/>
            </w:tcBorders>
            <w:shd w:val="clear" w:color="auto" w:fill="auto"/>
            <w:vAlign w:val="center"/>
          </w:tcPr>
          <w:p w14:paraId="5FD19496" w14:textId="0A1ADB53" w:rsidR="00766B2D" w:rsidRPr="005806F0" w:rsidRDefault="00766B2D" w:rsidP="005806F0">
            <w:pPr>
              <w:spacing w:after="0" w:line="276" w:lineRule="auto"/>
              <w:jc w:val="right"/>
              <w:rPr>
                <w:rFonts w:cs="Arial"/>
                <w:b/>
                <w:bCs/>
                <w:color w:val="000000"/>
                <w:sz w:val="16"/>
                <w:szCs w:val="16"/>
              </w:rPr>
            </w:pPr>
            <w:r w:rsidRPr="005806F0">
              <w:rPr>
                <w:rFonts w:cs="Arial"/>
                <w:b/>
                <w:bCs/>
                <w:color w:val="000000"/>
                <w:sz w:val="16"/>
                <w:szCs w:val="16"/>
              </w:rPr>
              <w:t>4.799</w:t>
            </w:r>
          </w:p>
        </w:tc>
      </w:tr>
      <w:tr w:rsidR="00766B2D" w:rsidRPr="005806F0" w14:paraId="6925F6E1" w14:textId="77777777" w:rsidTr="005806F0">
        <w:trPr>
          <w:cantSplit/>
          <w:jc w:val="center"/>
        </w:trPr>
        <w:tc>
          <w:tcPr>
            <w:tcW w:w="6249" w:type="dxa"/>
            <w:tcBorders>
              <w:top w:val="nil"/>
              <w:left w:val="single" w:sz="2" w:space="0" w:color="A6A6A6" w:themeColor="background1" w:themeShade="A6"/>
              <w:bottom w:val="nil"/>
            </w:tcBorders>
            <w:shd w:val="clear" w:color="auto" w:fill="auto"/>
            <w:vAlign w:val="center"/>
            <w:hideMark/>
          </w:tcPr>
          <w:p w14:paraId="1B5A16F6" w14:textId="77777777" w:rsidR="00766B2D" w:rsidRPr="005806F0" w:rsidRDefault="00766B2D" w:rsidP="005806F0">
            <w:pPr>
              <w:spacing w:after="0" w:line="276" w:lineRule="auto"/>
              <w:jc w:val="left"/>
              <w:rPr>
                <w:rFonts w:cs="Arial"/>
                <w:color w:val="000000"/>
                <w:sz w:val="16"/>
                <w:szCs w:val="16"/>
              </w:rPr>
            </w:pPr>
            <w:r w:rsidRPr="005806F0">
              <w:rPr>
                <w:rFonts w:cs="Arial"/>
                <w:color w:val="000000"/>
                <w:sz w:val="16"/>
                <w:szCs w:val="16"/>
              </w:rPr>
              <w:t>Ίδια έσοδα</w:t>
            </w:r>
          </w:p>
        </w:tc>
        <w:tc>
          <w:tcPr>
            <w:tcW w:w="1528" w:type="dxa"/>
            <w:tcBorders>
              <w:top w:val="nil"/>
              <w:left w:val="nil"/>
              <w:bottom w:val="nil"/>
              <w:right w:val="nil"/>
            </w:tcBorders>
            <w:shd w:val="clear" w:color="auto" w:fill="auto"/>
            <w:vAlign w:val="center"/>
          </w:tcPr>
          <w:p w14:paraId="6A2FA060" w14:textId="55C201B8"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188</w:t>
            </w:r>
          </w:p>
        </w:tc>
        <w:tc>
          <w:tcPr>
            <w:tcW w:w="1475" w:type="dxa"/>
            <w:tcBorders>
              <w:top w:val="nil"/>
              <w:left w:val="nil"/>
              <w:bottom w:val="nil"/>
              <w:right w:val="single" w:sz="2" w:space="0" w:color="A6A6A6" w:themeColor="background1" w:themeShade="A6"/>
            </w:tcBorders>
            <w:shd w:val="clear" w:color="auto" w:fill="auto"/>
            <w:vAlign w:val="center"/>
          </w:tcPr>
          <w:p w14:paraId="402867E1" w14:textId="4B6C0806"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193</w:t>
            </w:r>
          </w:p>
        </w:tc>
      </w:tr>
      <w:tr w:rsidR="00766B2D" w:rsidRPr="005806F0" w14:paraId="05B9FF5B" w14:textId="77777777" w:rsidTr="005806F0">
        <w:trPr>
          <w:cantSplit/>
          <w:jc w:val="center"/>
        </w:trPr>
        <w:tc>
          <w:tcPr>
            <w:tcW w:w="6249" w:type="dxa"/>
            <w:tcBorders>
              <w:top w:val="nil"/>
              <w:left w:val="single" w:sz="2" w:space="0" w:color="A6A6A6" w:themeColor="background1" w:themeShade="A6"/>
              <w:bottom w:val="nil"/>
            </w:tcBorders>
            <w:shd w:val="clear" w:color="auto" w:fill="auto"/>
            <w:vAlign w:val="center"/>
            <w:hideMark/>
          </w:tcPr>
          <w:p w14:paraId="707D1543" w14:textId="660E1921" w:rsidR="00766B2D" w:rsidRPr="005806F0" w:rsidRDefault="00766B2D" w:rsidP="005806F0">
            <w:pPr>
              <w:spacing w:after="0" w:line="276" w:lineRule="auto"/>
              <w:jc w:val="left"/>
              <w:rPr>
                <w:rFonts w:cs="Arial"/>
                <w:color w:val="000000"/>
                <w:sz w:val="16"/>
                <w:szCs w:val="16"/>
              </w:rPr>
            </w:pPr>
            <w:r w:rsidRPr="005806F0">
              <w:rPr>
                <w:rFonts w:cs="Arial"/>
                <w:color w:val="000000"/>
                <w:sz w:val="16"/>
                <w:szCs w:val="16"/>
              </w:rPr>
              <w:t>Μεταβιβάσεις από τακτικό προϋπολογισμό</w:t>
            </w:r>
          </w:p>
        </w:tc>
        <w:tc>
          <w:tcPr>
            <w:tcW w:w="1528" w:type="dxa"/>
            <w:tcBorders>
              <w:top w:val="nil"/>
              <w:left w:val="nil"/>
              <w:bottom w:val="nil"/>
              <w:right w:val="nil"/>
            </w:tcBorders>
            <w:shd w:val="clear" w:color="auto" w:fill="auto"/>
            <w:vAlign w:val="center"/>
          </w:tcPr>
          <w:p w14:paraId="09A5B164" w14:textId="6E9C5313"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2.264</w:t>
            </w:r>
          </w:p>
        </w:tc>
        <w:tc>
          <w:tcPr>
            <w:tcW w:w="1475" w:type="dxa"/>
            <w:tcBorders>
              <w:top w:val="nil"/>
              <w:left w:val="nil"/>
              <w:bottom w:val="nil"/>
              <w:right w:val="single" w:sz="2" w:space="0" w:color="A6A6A6" w:themeColor="background1" w:themeShade="A6"/>
            </w:tcBorders>
            <w:shd w:val="clear" w:color="auto" w:fill="auto"/>
            <w:vAlign w:val="center"/>
          </w:tcPr>
          <w:p w14:paraId="3492FB28" w14:textId="79887811"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2.388</w:t>
            </w:r>
          </w:p>
        </w:tc>
      </w:tr>
      <w:tr w:rsidR="00766B2D" w:rsidRPr="005806F0" w14:paraId="645187D9" w14:textId="77777777" w:rsidTr="005806F0">
        <w:trPr>
          <w:cantSplit/>
          <w:jc w:val="center"/>
        </w:trPr>
        <w:tc>
          <w:tcPr>
            <w:tcW w:w="6249" w:type="dxa"/>
            <w:tcBorders>
              <w:top w:val="nil"/>
              <w:left w:val="single" w:sz="2" w:space="0" w:color="A6A6A6" w:themeColor="background1" w:themeShade="A6"/>
              <w:bottom w:val="nil"/>
            </w:tcBorders>
            <w:shd w:val="clear" w:color="auto" w:fill="auto"/>
            <w:vAlign w:val="center"/>
            <w:hideMark/>
          </w:tcPr>
          <w:p w14:paraId="4B860705" w14:textId="77777777" w:rsidR="00766B2D" w:rsidRPr="005806F0" w:rsidRDefault="00766B2D" w:rsidP="005806F0">
            <w:pPr>
              <w:spacing w:after="0" w:line="276" w:lineRule="auto"/>
              <w:jc w:val="left"/>
              <w:rPr>
                <w:rFonts w:cs="Arial"/>
                <w:color w:val="000000"/>
                <w:sz w:val="16"/>
                <w:szCs w:val="16"/>
              </w:rPr>
            </w:pPr>
            <w:r w:rsidRPr="005806F0">
              <w:rPr>
                <w:rFonts w:cs="Arial"/>
                <w:color w:val="000000"/>
                <w:sz w:val="16"/>
                <w:szCs w:val="16"/>
              </w:rPr>
              <w:t>Μεταβιβάσεις από φορείς κοινωνικής ασφάλισης</w:t>
            </w:r>
          </w:p>
        </w:tc>
        <w:tc>
          <w:tcPr>
            <w:tcW w:w="1528" w:type="dxa"/>
            <w:tcBorders>
              <w:top w:val="nil"/>
              <w:left w:val="nil"/>
              <w:bottom w:val="nil"/>
              <w:right w:val="nil"/>
            </w:tcBorders>
            <w:shd w:val="clear" w:color="auto" w:fill="auto"/>
            <w:vAlign w:val="center"/>
          </w:tcPr>
          <w:p w14:paraId="6FC83729" w14:textId="71C08092"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1.823</w:t>
            </w:r>
          </w:p>
        </w:tc>
        <w:tc>
          <w:tcPr>
            <w:tcW w:w="1475" w:type="dxa"/>
            <w:tcBorders>
              <w:top w:val="nil"/>
              <w:left w:val="nil"/>
              <w:bottom w:val="nil"/>
              <w:right w:val="single" w:sz="2" w:space="0" w:color="A6A6A6" w:themeColor="background1" w:themeShade="A6"/>
            </w:tcBorders>
            <w:shd w:val="clear" w:color="auto" w:fill="auto"/>
            <w:vAlign w:val="center"/>
          </w:tcPr>
          <w:p w14:paraId="6EF912C2" w14:textId="118787F6"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1.824</w:t>
            </w:r>
          </w:p>
        </w:tc>
      </w:tr>
      <w:tr w:rsidR="00766B2D" w:rsidRPr="005806F0" w14:paraId="6A61AA5F" w14:textId="77777777" w:rsidTr="005806F0">
        <w:trPr>
          <w:cantSplit/>
          <w:jc w:val="center"/>
        </w:trPr>
        <w:tc>
          <w:tcPr>
            <w:tcW w:w="6249" w:type="dxa"/>
            <w:tcBorders>
              <w:top w:val="nil"/>
              <w:left w:val="single" w:sz="2" w:space="0" w:color="A6A6A6" w:themeColor="background1" w:themeShade="A6"/>
              <w:bottom w:val="nil"/>
            </w:tcBorders>
            <w:shd w:val="clear" w:color="auto" w:fill="auto"/>
            <w:vAlign w:val="center"/>
            <w:hideMark/>
          </w:tcPr>
          <w:p w14:paraId="26D574EA" w14:textId="31C3ED1E" w:rsidR="00766B2D" w:rsidRPr="005806F0" w:rsidRDefault="00766B2D" w:rsidP="005806F0">
            <w:pPr>
              <w:spacing w:after="0" w:line="276" w:lineRule="auto"/>
              <w:jc w:val="left"/>
              <w:rPr>
                <w:rFonts w:cs="Arial"/>
                <w:color w:val="000000"/>
                <w:sz w:val="16"/>
                <w:szCs w:val="16"/>
              </w:rPr>
            </w:pPr>
            <w:r w:rsidRPr="005806F0">
              <w:rPr>
                <w:rFonts w:cs="Arial"/>
                <w:color w:val="000000"/>
                <w:sz w:val="16"/>
                <w:szCs w:val="16"/>
              </w:rPr>
              <w:t>Μεταβιβάσεις από προϋπολογισμό δημοσίων επενδύσεων</w:t>
            </w:r>
          </w:p>
        </w:tc>
        <w:tc>
          <w:tcPr>
            <w:tcW w:w="1528" w:type="dxa"/>
            <w:tcBorders>
              <w:top w:val="nil"/>
              <w:left w:val="nil"/>
              <w:bottom w:val="nil"/>
              <w:right w:val="nil"/>
            </w:tcBorders>
            <w:shd w:val="clear" w:color="auto" w:fill="auto"/>
            <w:vAlign w:val="center"/>
          </w:tcPr>
          <w:p w14:paraId="65F2E9C1" w14:textId="65740A2E"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312</w:t>
            </w:r>
          </w:p>
        </w:tc>
        <w:tc>
          <w:tcPr>
            <w:tcW w:w="1475" w:type="dxa"/>
            <w:tcBorders>
              <w:top w:val="nil"/>
              <w:left w:val="nil"/>
              <w:bottom w:val="nil"/>
              <w:right w:val="single" w:sz="2" w:space="0" w:color="A6A6A6" w:themeColor="background1" w:themeShade="A6"/>
            </w:tcBorders>
            <w:shd w:val="clear" w:color="auto" w:fill="auto"/>
            <w:vAlign w:val="center"/>
          </w:tcPr>
          <w:p w14:paraId="32FE8C85" w14:textId="2B5727E5"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395</w:t>
            </w:r>
          </w:p>
        </w:tc>
      </w:tr>
      <w:tr w:rsidR="00766B2D" w:rsidRPr="005806F0" w14:paraId="11E86A60" w14:textId="77777777" w:rsidTr="005806F0">
        <w:trPr>
          <w:cantSplit/>
          <w:jc w:val="center"/>
        </w:trPr>
        <w:tc>
          <w:tcPr>
            <w:tcW w:w="6249" w:type="dxa"/>
            <w:tcBorders>
              <w:top w:val="nil"/>
              <w:left w:val="single" w:sz="2" w:space="0" w:color="A6A6A6" w:themeColor="background1" w:themeShade="A6"/>
              <w:bottom w:val="nil"/>
            </w:tcBorders>
            <w:shd w:val="clear" w:color="auto" w:fill="auto"/>
            <w:vAlign w:val="center"/>
            <w:hideMark/>
          </w:tcPr>
          <w:p w14:paraId="42A8DF37" w14:textId="77777777" w:rsidR="00766B2D" w:rsidRPr="005806F0" w:rsidRDefault="00766B2D" w:rsidP="005806F0">
            <w:pPr>
              <w:spacing w:after="0" w:line="276" w:lineRule="auto"/>
              <w:jc w:val="left"/>
              <w:rPr>
                <w:rFonts w:cs="Arial"/>
                <w:b/>
                <w:bCs/>
                <w:color w:val="000000"/>
                <w:sz w:val="16"/>
                <w:szCs w:val="16"/>
              </w:rPr>
            </w:pPr>
            <w:r w:rsidRPr="005806F0">
              <w:rPr>
                <w:rFonts w:cs="Arial"/>
                <w:b/>
                <w:bCs/>
                <w:color w:val="000000"/>
                <w:sz w:val="16"/>
                <w:szCs w:val="16"/>
              </w:rPr>
              <w:t>Δαπάνες</w:t>
            </w:r>
          </w:p>
        </w:tc>
        <w:tc>
          <w:tcPr>
            <w:tcW w:w="1528" w:type="dxa"/>
            <w:tcBorders>
              <w:top w:val="nil"/>
              <w:left w:val="nil"/>
              <w:bottom w:val="nil"/>
              <w:right w:val="nil"/>
            </w:tcBorders>
            <w:shd w:val="clear" w:color="auto" w:fill="auto"/>
            <w:vAlign w:val="center"/>
          </w:tcPr>
          <w:p w14:paraId="638826BB" w14:textId="70EB63AF" w:rsidR="00766B2D" w:rsidRPr="005806F0" w:rsidRDefault="00766B2D" w:rsidP="005806F0">
            <w:pPr>
              <w:spacing w:after="0" w:line="276" w:lineRule="auto"/>
              <w:jc w:val="right"/>
              <w:rPr>
                <w:rFonts w:cs="Arial"/>
                <w:b/>
                <w:bCs/>
                <w:color w:val="000000"/>
                <w:sz w:val="16"/>
                <w:szCs w:val="16"/>
              </w:rPr>
            </w:pPr>
            <w:r w:rsidRPr="005806F0">
              <w:rPr>
                <w:rFonts w:cs="Arial"/>
                <w:b/>
                <w:bCs/>
                <w:color w:val="000000"/>
                <w:sz w:val="16"/>
                <w:szCs w:val="16"/>
              </w:rPr>
              <w:t>4.330</w:t>
            </w:r>
          </w:p>
        </w:tc>
        <w:tc>
          <w:tcPr>
            <w:tcW w:w="1475" w:type="dxa"/>
            <w:tcBorders>
              <w:top w:val="nil"/>
              <w:left w:val="nil"/>
              <w:bottom w:val="nil"/>
              <w:right w:val="single" w:sz="2" w:space="0" w:color="A6A6A6" w:themeColor="background1" w:themeShade="A6"/>
            </w:tcBorders>
            <w:shd w:val="clear" w:color="auto" w:fill="auto"/>
            <w:vAlign w:val="center"/>
          </w:tcPr>
          <w:p w14:paraId="7942C765" w14:textId="15D6F5ED" w:rsidR="00766B2D" w:rsidRPr="005806F0" w:rsidRDefault="00766B2D" w:rsidP="005806F0">
            <w:pPr>
              <w:spacing w:after="0" w:line="276" w:lineRule="auto"/>
              <w:jc w:val="right"/>
              <w:rPr>
                <w:rFonts w:cs="Arial"/>
                <w:b/>
                <w:bCs/>
                <w:color w:val="000000"/>
                <w:sz w:val="16"/>
                <w:szCs w:val="16"/>
              </w:rPr>
            </w:pPr>
            <w:r w:rsidRPr="005806F0">
              <w:rPr>
                <w:rFonts w:cs="Arial"/>
                <w:b/>
                <w:bCs/>
                <w:color w:val="000000"/>
                <w:sz w:val="16"/>
                <w:szCs w:val="16"/>
              </w:rPr>
              <w:t>4.318</w:t>
            </w:r>
          </w:p>
        </w:tc>
      </w:tr>
      <w:tr w:rsidR="00766B2D" w:rsidRPr="005806F0" w14:paraId="32E59F50" w14:textId="77777777" w:rsidTr="005806F0">
        <w:trPr>
          <w:cantSplit/>
          <w:jc w:val="center"/>
        </w:trPr>
        <w:tc>
          <w:tcPr>
            <w:tcW w:w="6249" w:type="dxa"/>
            <w:tcBorders>
              <w:top w:val="nil"/>
              <w:left w:val="single" w:sz="2" w:space="0" w:color="A6A6A6" w:themeColor="background1" w:themeShade="A6"/>
              <w:bottom w:val="nil"/>
            </w:tcBorders>
            <w:shd w:val="clear" w:color="auto" w:fill="auto"/>
            <w:vAlign w:val="center"/>
            <w:hideMark/>
          </w:tcPr>
          <w:p w14:paraId="1C45A1F2" w14:textId="3C1F8A0D" w:rsidR="00766B2D" w:rsidRPr="005806F0" w:rsidRDefault="00766B2D" w:rsidP="005806F0">
            <w:pPr>
              <w:spacing w:after="0" w:line="276" w:lineRule="auto"/>
              <w:jc w:val="left"/>
              <w:rPr>
                <w:rFonts w:cs="Arial"/>
                <w:color w:val="000000"/>
                <w:sz w:val="16"/>
                <w:szCs w:val="16"/>
              </w:rPr>
            </w:pPr>
            <w:r w:rsidRPr="005806F0">
              <w:rPr>
                <w:rFonts w:cs="Arial"/>
                <w:color w:val="000000"/>
                <w:sz w:val="16"/>
                <w:szCs w:val="16"/>
              </w:rPr>
              <w:t>Αγορά αγαθών και υπηρεσιών</w:t>
            </w:r>
          </w:p>
        </w:tc>
        <w:tc>
          <w:tcPr>
            <w:tcW w:w="1528" w:type="dxa"/>
            <w:tcBorders>
              <w:top w:val="nil"/>
              <w:left w:val="nil"/>
              <w:bottom w:val="nil"/>
              <w:right w:val="nil"/>
            </w:tcBorders>
            <w:shd w:val="clear" w:color="auto" w:fill="auto"/>
            <w:vAlign w:val="center"/>
          </w:tcPr>
          <w:p w14:paraId="366275D0" w14:textId="4946FC41"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3.218</w:t>
            </w:r>
          </w:p>
        </w:tc>
        <w:tc>
          <w:tcPr>
            <w:tcW w:w="1475" w:type="dxa"/>
            <w:tcBorders>
              <w:top w:val="nil"/>
              <w:left w:val="nil"/>
              <w:bottom w:val="nil"/>
              <w:right w:val="single" w:sz="2" w:space="0" w:color="A6A6A6" w:themeColor="background1" w:themeShade="A6"/>
            </w:tcBorders>
            <w:shd w:val="clear" w:color="auto" w:fill="auto"/>
            <w:vAlign w:val="center"/>
          </w:tcPr>
          <w:p w14:paraId="7A4E8F8A" w14:textId="3FC47EFD"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3.154</w:t>
            </w:r>
          </w:p>
        </w:tc>
      </w:tr>
      <w:tr w:rsidR="00766B2D" w:rsidRPr="005806F0" w14:paraId="447FE8F2" w14:textId="77777777" w:rsidTr="005806F0">
        <w:trPr>
          <w:cantSplit/>
          <w:jc w:val="center"/>
        </w:trPr>
        <w:tc>
          <w:tcPr>
            <w:tcW w:w="6249" w:type="dxa"/>
            <w:tcBorders>
              <w:top w:val="nil"/>
              <w:left w:val="single" w:sz="2" w:space="0" w:color="A6A6A6" w:themeColor="background1" w:themeShade="A6"/>
              <w:bottom w:val="nil"/>
            </w:tcBorders>
            <w:shd w:val="clear" w:color="auto" w:fill="auto"/>
            <w:vAlign w:val="center"/>
            <w:hideMark/>
          </w:tcPr>
          <w:p w14:paraId="2E1D9568" w14:textId="77777777" w:rsidR="00766B2D" w:rsidRPr="005806F0" w:rsidRDefault="00766B2D" w:rsidP="005806F0">
            <w:pPr>
              <w:spacing w:after="0" w:line="276" w:lineRule="auto"/>
              <w:jc w:val="left"/>
              <w:rPr>
                <w:rFonts w:cs="Arial"/>
                <w:color w:val="000000"/>
                <w:sz w:val="16"/>
                <w:szCs w:val="16"/>
              </w:rPr>
            </w:pPr>
            <w:r w:rsidRPr="005806F0">
              <w:rPr>
                <w:rFonts w:cs="Arial"/>
                <w:color w:val="000000"/>
                <w:sz w:val="16"/>
                <w:szCs w:val="16"/>
              </w:rPr>
              <w:t>Δαπάνες προσωπικού</w:t>
            </w:r>
          </w:p>
        </w:tc>
        <w:tc>
          <w:tcPr>
            <w:tcW w:w="1528" w:type="dxa"/>
            <w:tcBorders>
              <w:top w:val="nil"/>
              <w:left w:val="nil"/>
              <w:bottom w:val="nil"/>
              <w:right w:val="nil"/>
            </w:tcBorders>
            <w:shd w:val="clear" w:color="auto" w:fill="auto"/>
            <w:vAlign w:val="center"/>
          </w:tcPr>
          <w:p w14:paraId="3FF98C5A" w14:textId="2863AD3C"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825</w:t>
            </w:r>
          </w:p>
        </w:tc>
        <w:tc>
          <w:tcPr>
            <w:tcW w:w="1475" w:type="dxa"/>
            <w:tcBorders>
              <w:top w:val="nil"/>
              <w:left w:val="nil"/>
              <w:bottom w:val="nil"/>
              <w:right w:val="single" w:sz="2" w:space="0" w:color="A6A6A6" w:themeColor="background1" w:themeShade="A6"/>
            </w:tcBorders>
            <w:shd w:val="clear" w:color="auto" w:fill="auto"/>
            <w:vAlign w:val="center"/>
          </w:tcPr>
          <w:p w14:paraId="638A1CCE" w14:textId="0FB531FE"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801</w:t>
            </w:r>
          </w:p>
        </w:tc>
      </w:tr>
      <w:tr w:rsidR="00766B2D" w:rsidRPr="005806F0" w14:paraId="1FB54EB6" w14:textId="77777777" w:rsidTr="005806F0">
        <w:trPr>
          <w:cantSplit/>
          <w:jc w:val="center"/>
        </w:trPr>
        <w:tc>
          <w:tcPr>
            <w:tcW w:w="6249" w:type="dxa"/>
            <w:tcBorders>
              <w:top w:val="nil"/>
              <w:left w:val="single" w:sz="2" w:space="0" w:color="A6A6A6" w:themeColor="background1" w:themeShade="A6"/>
              <w:bottom w:val="nil"/>
            </w:tcBorders>
            <w:shd w:val="clear" w:color="auto" w:fill="auto"/>
            <w:vAlign w:val="center"/>
            <w:hideMark/>
          </w:tcPr>
          <w:p w14:paraId="7A186B25" w14:textId="77777777" w:rsidR="00766B2D" w:rsidRPr="005806F0" w:rsidRDefault="00766B2D" w:rsidP="005806F0">
            <w:pPr>
              <w:spacing w:after="0" w:line="276" w:lineRule="auto"/>
              <w:jc w:val="left"/>
              <w:rPr>
                <w:rFonts w:cs="Arial"/>
                <w:color w:val="000000"/>
                <w:sz w:val="16"/>
                <w:szCs w:val="16"/>
              </w:rPr>
            </w:pPr>
            <w:r w:rsidRPr="005806F0">
              <w:rPr>
                <w:rFonts w:cs="Arial"/>
                <w:color w:val="000000"/>
                <w:sz w:val="16"/>
                <w:szCs w:val="16"/>
              </w:rPr>
              <w:t>Δαπάνες για επενδύσεις</w:t>
            </w:r>
          </w:p>
        </w:tc>
        <w:tc>
          <w:tcPr>
            <w:tcW w:w="1528" w:type="dxa"/>
            <w:tcBorders>
              <w:top w:val="nil"/>
              <w:left w:val="nil"/>
              <w:bottom w:val="nil"/>
              <w:right w:val="nil"/>
            </w:tcBorders>
            <w:shd w:val="clear" w:color="auto" w:fill="auto"/>
            <w:vAlign w:val="center"/>
          </w:tcPr>
          <w:p w14:paraId="15D3657A" w14:textId="323E81EB"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288</w:t>
            </w:r>
          </w:p>
        </w:tc>
        <w:tc>
          <w:tcPr>
            <w:tcW w:w="1475" w:type="dxa"/>
            <w:tcBorders>
              <w:top w:val="nil"/>
              <w:left w:val="nil"/>
              <w:bottom w:val="nil"/>
              <w:right w:val="single" w:sz="2" w:space="0" w:color="A6A6A6" w:themeColor="background1" w:themeShade="A6"/>
            </w:tcBorders>
            <w:shd w:val="clear" w:color="auto" w:fill="auto"/>
            <w:vAlign w:val="center"/>
          </w:tcPr>
          <w:p w14:paraId="69E8B6AF" w14:textId="746FEA26" w:rsidR="00766B2D" w:rsidRPr="005806F0" w:rsidRDefault="00766B2D" w:rsidP="005806F0">
            <w:pPr>
              <w:spacing w:after="0" w:line="276" w:lineRule="auto"/>
              <w:jc w:val="right"/>
              <w:rPr>
                <w:rFonts w:cs="Arial"/>
                <w:color w:val="000000"/>
                <w:sz w:val="16"/>
                <w:szCs w:val="16"/>
              </w:rPr>
            </w:pPr>
            <w:r w:rsidRPr="005806F0">
              <w:rPr>
                <w:rFonts w:cs="Arial"/>
                <w:color w:val="000000"/>
                <w:sz w:val="16"/>
                <w:szCs w:val="16"/>
              </w:rPr>
              <w:t>363</w:t>
            </w:r>
          </w:p>
        </w:tc>
      </w:tr>
      <w:tr w:rsidR="00766B2D" w:rsidRPr="005806F0" w14:paraId="7A6D4309" w14:textId="77777777" w:rsidTr="005806F0">
        <w:trPr>
          <w:cantSplit/>
          <w:trHeight w:val="227"/>
          <w:jc w:val="center"/>
        </w:trPr>
        <w:tc>
          <w:tcPr>
            <w:tcW w:w="6249" w:type="dxa"/>
            <w:tcBorders>
              <w:top w:val="nil"/>
              <w:left w:val="single" w:sz="2" w:space="0" w:color="A6A6A6" w:themeColor="background1" w:themeShade="A6"/>
              <w:bottom w:val="single" w:sz="2" w:space="0" w:color="A6A6A6" w:themeColor="background1" w:themeShade="A6"/>
            </w:tcBorders>
            <w:shd w:val="clear" w:color="auto" w:fill="D5DCE4"/>
            <w:vAlign w:val="center"/>
            <w:hideMark/>
          </w:tcPr>
          <w:p w14:paraId="5CA0BC8E" w14:textId="5DC74C47" w:rsidR="00766B2D" w:rsidRPr="005806F0" w:rsidRDefault="00766B2D" w:rsidP="005806F0">
            <w:pPr>
              <w:spacing w:after="0" w:line="276" w:lineRule="auto"/>
              <w:jc w:val="left"/>
              <w:rPr>
                <w:rFonts w:cs="Arial"/>
                <w:b/>
                <w:bCs/>
                <w:color w:val="000000"/>
                <w:sz w:val="16"/>
                <w:szCs w:val="16"/>
              </w:rPr>
            </w:pPr>
            <w:r w:rsidRPr="005806F0">
              <w:rPr>
                <w:rFonts w:cs="Arial"/>
                <w:b/>
                <w:bCs/>
                <w:color w:val="000000"/>
                <w:sz w:val="16"/>
                <w:szCs w:val="16"/>
              </w:rPr>
              <w:t>Ισοζύγιο κατά ESA</w:t>
            </w:r>
            <w:r w:rsidR="00252CB9" w:rsidRPr="005806F0">
              <w:rPr>
                <w:rFonts w:cs="Arial"/>
                <w:b/>
                <w:bCs/>
                <w:sz w:val="18"/>
                <w:szCs w:val="16"/>
              </w:rPr>
              <w:t>*</w:t>
            </w:r>
          </w:p>
        </w:tc>
        <w:tc>
          <w:tcPr>
            <w:tcW w:w="1528" w:type="dxa"/>
            <w:tcBorders>
              <w:top w:val="nil"/>
              <w:left w:val="nil"/>
              <w:bottom w:val="single" w:sz="2" w:space="0" w:color="A6A6A6" w:themeColor="background1" w:themeShade="A6"/>
              <w:right w:val="nil"/>
            </w:tcBorders>
            <w:shd w:val="clear" w:color="auto" w:fill="D5DCE4"/>
            <w:vAlign w:val="center"/>
          </w:tcPr>
          <w:p w14:paraId="1D6E77FE" w14:textId="58F5C1B2" w:rsidR="00766B2D" w:rsidRPr="005806F0" w:rsidRDefault="00766B2D" w:rsidP="005806F0">
            <w:pPr>
              <w:spacing w:after="0" w:line="276" w:lineRule="auto"/>
              <w:jc w:val="right"/>
              <w:rPr>
                <w:rFonts w:cs="Arial"/>
                <w:b/>
                <w:bCs/>
                <w:color w:val="000000"/>
                <w:sz w:val="16"/>
                <w:szCs w:val="16"/>
              </w:rPr>
            </w:pPr>
            <w:r w:rsidRPr="005806F0">
              <w:rPr>
                <w:rFonts w:cs="Arial"/>
                <w:b/>
                <w:bCs/>
                <w:color w:val="000000"/>
                <w:sz w:val="16"/>
                <w:szCs w:val="16"/>
              </w:rPr>
              <w:t>257</w:t>
            </w:r>
          </w:p>
        </w:tc>
        <w:tc>
          <w:tcPr>
            <w:tcW w:w="1475" w:type="dxa"/>
            <w:tcBorders>
              <w:top w:val="nil"/>
              <w:left w:val="nil"/>
              <w:bottom w:val="single" w:sz="2" w:space="0" w:color="A6A6A6" w:themeColor="background1" w:themeShade="A6"/>
              <w:right w:val="single" w:sz="2" w:space="0" w:color="A6A6A6" w:themeColor="background1" w:themeShade="A6"/>
            </w:tcBorders>
            <w:shd w:val="clear" w:color="auto" w:fill="D5DCE4"/>
            <w:vAlign w:val="center"/>
          </w:tcPr>
          <w:p w14:paraId="31FE0E09" w14:textId="20D69AC0" w:rsidR="00766B2D" w:rsidRPr="005806F0" w:rsidRDefault="00766B2D" w:rsidP="005806F0">
            <w:pPr>
              <w:spacing w:after="0" w:line="276" w:lineRule="auto"/>
              <w:jc w:val="right"/>
              <w:rPr>
                <w:rFonts w:cs="Arial"/>
                <w:b/>
                <w:bCs/>
                <w:color w:val="000000"/>
                <w:sz w:val="16"/>
                <w:szCs w:val="16"/>
              </w:rPr>
            </w:pPr>
            <w:r w:rsidRPr="005806F0">
              <w:rPr>
                <w:rFonts w:cs="Arial"/>
                <w:b/>
                <w:bCs/>
                <w:color w:val="000000"/>
                <w:sz w:val="16"/>
                <w:szCs w:val="16"/>
              </w:rPr>
              <w:t>481</w:t>
            </w:r>
          </w:p>
        </w:tc>
      </w:tr>
      <w:tr w:rsidR="00B12688" w:rsidRPr="005806F0" w14:paraId="6DE47304" w14:textId="77777777" w:rsidTr="005806F0">
        <w:trPr>
          <w:cantSplit/>
          <w:jc w:val="center"/>
        </w:trPr>
        <w:tc>
          <w:tcPr>
            <w:tcW w:w="9252" w:type="dxa"/>
            <w:gridSpan w:val="3"/>
            <w:tcBorders>
              <w:top w:val="single" w:sz="2" w:space="0" w:color="A6A6A6" w:themeColor="background1" w:themeShade="A6"/>
              <w:left w:val="nil"/>
              <w:bottom w:val="nil"/>
              <w:right w:val="nil"/>
            </w:tcBorders>
            <w:shd w:val="clear" w:color="auto" w:fill="auto"/>
            <w:vAlign w:val="center"/>
          </w:tcPr>
          <w:p w14:paraId="22E95EBE" w14:textId="061E4E73" w:rsidR="00B12688" w:rsidRPr="005806F0" w:rsidRDefault="00B12688" w:rsidP="00790111">
            <w:pPr>
              <w:tabs>
                <w:tab w:val="left" w:pos="113"/>
              </w:tabs>
              <w:spacing w:before="60" w:after="0" w:line="276" w:lineRule="auto"/>
              <w:rPr>
                <w:rFonts w:cs="Arial"/>
                <w:bCs/>
                <w:color w:val="000000"/>
                <w:sz w:val="16"/>
                <w:szCs w:val="16"/>
              </w:rPr>
            </w:pPr>
            <w:r w:rsidRPr="005806F0">
              <w:rPr>
                <w:rFonts w:cs="Arial"/>
                <w:bCs/>
                <w:color w:val="000000"/>
                <w:sz w:val="16"/>
                <w:szCs w:val="16"/>
              </w:rPr>
              <w:t>*</w:t>
            </w:r>
            <w:r w:rsidR="007A3597" w:rsidRPr="005806F0">
              <w:rPr>
                <w:rFonts w:cs="Arial"/>
                <w:bCs/>
                <w:color w:val="000000"/>
                <w:sz w:val="16"/>
                <w:szCs w:val="16"/>
              </w:rPr>
              <w:tab/>
            </w:r>
            <w:r w:rsidRPr="005806F0">
              <w:rPr>
                <w:rFonts w:cs="Arial"/>
                <w:bCs/>
                <w:color w:val="000000"/>
                <w:sz w:val="16"/>
                <w:szCs w:val="16"/>
              </w:rPr>
              <w:t xml:space="preserve">Στο ισοζύγιο κατά </w:t>
            </w:r>
            <w:r w:rsidRPr="005806F0">
              <w:rPr>
                <w:rFonts w:cs="Arial"/>
                <w:bCs/>
                <w:color w:val="000000"/>
                <w:sz w:val="16"/>
                <w:szCs w:val="16"/>
                <w:lang w:val="en-US"/>
              </w:rPr>
              <w:t>ESA</w:t>
            </w:r>
            <w:r w:rsidRPr="005806F0">
              <w:rPr>
                <w:rFonts w:cs="Arial"/>
                <w:bCs/>
                <w:color w:val="000000"/>
                <w:sz w:val="16"/>
                <w:szCs w:val="16"/>
              </w:rPr>
              <w:t xml:space="preserve"> περιλαμβάνεται και το αντίστοιχο ισοζύγιο της ΕΚΑΠΥ.</w:t>
            </w:r>
          </w:p>
        </w:tc>
      </w:tr>
    </w:tbl>
    <w:p w14:paraId="05798C35" w14:textId="77777777" w:rsidR="00125851" w:rsidRDefault="00125851" w:rsidP="00125851"/>
    <w:tbl>
      <w:tblPr>
        <w:tblW w:w="9520" w:type="dxa"/>
        <w:jc w:val="center"/>
        <w:tblLook w:val="04A0" w:firstRow="1" w:lastRow="0" w:firstColumn="1" w:lastColumn="0" w:noHBand="0" w:noVBand="1"/>
      </w:tblPr>
      <w:tblGrid>
        <w:gridCol w:w="5300"/>
        <w:gridCol w:w="1920"/>
        <w:gridCol w:w="2300"/>
      </w:tblGrid>
      <w:tr w:rsidR="00484E5E" w:rsidRPr="0027166C" w14:paraId="7CE48C8F" w14:textId="77777777" w:rsidTr="008C12D2">
        <w:trPr>
          <w:cantSplit/>
          <w:trHeight w:val="510"/>
          <w:jc w:val="center"/>
        </w:trPr>
        <w:tc>
          <w:tcPr>
            <w:tcW w:w="9520" w:type="dxa"/>
            <w:gridSpan w:val="3"/>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5AD0CB48" w14:textId="670E47AB" w:rsidR="00F5377A" w:rsidRDefault="00484E5E" w:rsidP="008C12D2">
            <w:pPr>
              <w:spacing w:after="0" w:line="276" w:lineRule="auto"/>
              <w:jc w:val="center"/>
              <w:rPr>
                <w:rFonts w:cs="Arial"/>
                <w:b/>
                <w:bCs/>
                <w:color w:val="000000"/>
                <w:sz w:val="18"/>
                <w:szCs w:val="16"/>
              </w:rPr>
            </w:pPr>
            <w:bookmarkStart w:id="401" w:name="_Ref214277293"/>
            <w:bookmarkStart w:id="402" w:name="_Toc214474059"/>
            <w:r w:rsidRPr="0027166C">
              <w:rPr>
                <w:b/>
                <w:sz w:val="18"/>
                <w:szCs w:val="16"/>
              </w:rPr>
              <w:t>Πίνακας 3.</w:t>
            </w:r>
            <w:r w:rsidRPr="0027166C">
              <w:rPr>
                <w:b/>
                <w:sz w:val="18"/>
                <w:szCs w:val="16"/>
              </w:rPr>
              <w:fldChar w:fldCharType="begin"/>
            </w:r>
            <w:r w:rsidRPr="0027166C">
              <w:rPr>
                <w:b/>
                <w:sz w:val="18"/>
                <w:szCs w:val="16"/>
              </w:rPr>
              <w:instrText xml:space="preserve"> SEQ Πίνακας_3. \* ARABIC </w:instrText>
            </w:r>
            <w:r w:rsidRPr="0027166C">
              <w:rPr>
                <w:b/>
                <w:sz w:val="18"/>
                <w:szCs w:val="16"/>
              </w:rPr>
              <w:fldChar w:fldCharType="separate"/>
            </w:r>
            <w:r w:rsidR="00E15678">
              <w:rPr>
                <w:b/>
                <w:noProof/>
                <w:sz w:val="18"/>
                <w:szCs w:val="16"/>
              </w:rPr>
              <w:t>21</w:t>
            </w:r>
            <w:r w:rsidRPr="0027166C">
              <w:rPr>
                <w:b/>
                <w:sz w:val="18"/>
                <w:szCs w:val="16"/>
              </w:rPr>
              <w:fldChar w:fldCharType="end"/>
            </w:r>
            <w:bookmarkEnd w:id="401"/>
            <w:r w:rsidRPr="0027166C">
              <w:rPr>
                <w:rFonts w:cs="Arial"/>
                <w:b/>
                <w:bCs/>
                <w:color w:val="000000"/>
                <w:sz w:val="18"/>
                <w:szCs w:val="16"/>
              </w:rPr>
              <w:t>.: Όριο φαρμακευτικής δαπάνης ΕΟΠΥΥ και νοσοκομειακής φαρμακευτικής δαπάνης</w:t>
            </w:r>
            <w:bookmarkEnd w:id="402"/>
          </w:p>
          <w:p w14:paraId="1F1828DE" w14:textId="17A6FF19" w:rsidR="00484E5E" w:rsidRPr="0027166C" w:rsidRDefault="00484E5E" w:rsidP="008C12D2">
            <w:pPr>
              <w:spacing w:after="0" w:line="276" w:lineRule="auto"/>
              <w:jc w:val="center"/>
              <w:rPr>
                <w:rFonts w:cs="Arial"/>
                <w:b/>
                <w:bCs/>
                <w:color w:val="000000"/>
                <w:sz w:val="18"/>
                <w:szCs w:val="16"/>
              </w:rPr>
            </w:pPr>
            <w:r w:rsidRPr="0027166C">
              <w:rPr>
                <w:rFonts w:cs="Arial"/>
                <w:b/>
                <w:bCs/>
                <w:color w:val="000000"/>
                <w:sz w:val="18"/>
                <w:szCs w:val="16"/>
              </w:rPr>
              <w:t xml:space="preserve">των </w:t>
            </w:r>
            <w:r w:rsidR="009344B7">
              <w:rPr>
                <w:rFonts w:cs="Arial"/>
                <w:b/>
                <w:bCs/>
                <w:color w:val="000000"/>
                <w:sz w:val="18"/>
                <w:szCs w:val="16"/>
              </w:rPr>
              <w:t>Ν</w:t>
            </w:r>
            <w:r w:rsidRPr="0027166C">
              <w:rPr>
                <w:rFonts w:cs="Arial"/>
                <w:b/>
                <w:bCs/>
                <w:color w:val="000000"/>
                <w:sz w:val="18"/>
                <w:szCs w:val="16"/>
              </w:rPr>
              <w:t>οσοκομείων του ΕΣΥ και του ΓΝΘ Παπαγεωργίου</w:t>
            </w:r>
            <w:r w:rsidR="00950788">
              <w:rPr>
                <w:rFonts w:cs="Arial"/>
                <w:b/>
                <w:bCs/>
                <w:color w:val="000000"/>
                <w:sz w:val="18"/>
                <w:szCs w:val="16"/>
              </w:rPr>
              <w:t xml:space="preserve"> (σε εκατ. ευρώ)</w:t>
            </w:r>
          </w:p>
        </w:tc>
      </w:tr>
      <w:tr w:rsidR="00484E5E" w:rsidRPr="0027166C" w14:paraId="66B97013" w14:textId="77777777" w:rsidTr="008C12D2">
        <w:trPr>
          <w:cantSplit/>
          <w:jc w:val="center"/>
        </w:trPr>
        <w:tc>
          <w:tcPr>
            <w:tcW w:w="5300" w:type="dxa"/>
            <w:tcBorders>
              <w:top w:val="single" w:sz="2" w:space="0" w:color="A6A6A6" w:themeColor="background1" w:themeShade="A6"/>
              <w:left w:val="single" w:sz="2" w:space="0" w:color="A6A6A6" w:themeColor="background1" w:themeShade="A6"/>
            </w:tcBorders>
            <w:shd w:val="clear" w:color="auto" w:fill="F2F2F2" w:themeFill="background1" w:themeFillShade="F2"/>
            <w:vAlign w:val="center"/>
          </w:tcPr>
          <w:p w14:paraId="66F147D4" w14:textId="77777777" w:rsidR="00484E5E" w:rsidRPr="0027166C" w:rsidRDefault="00484E5E" w:rsidP="008C12D2">
            <w:pPr>
              <w:spacing w:after="0" w:line="276" w:lineRule="auto"/>
              <w:jc w:val="left"/>
              <w:rPr>
                <w:rFonts w:cs="Arial"/>
                <w:b/>
                <w:bCs/>
                <w:color w:val="000000"/>
                <w:sz w:val="16"/>
                <w:szCs w:val="16"/>
              </w:rPr>
            </w:pPr>
          </w:p>
        </w:tc>
        <w:tc>
          <w:tcPr>
            <w:tcW w:w="1920" w:type="dxa"/>
            <w:tcBorders>
              <w:top w:val="single" w:sz="2" w:space="0" w:color="A6A6A6" w:themeColor="background1" w:themeShade="A6"/>
            </w:tcBorders>
            <w:shd w:val="clear" w:color="auto" w:fill="F2F2F2" w:themeFill="background1" w:themeFillShade="F2"/>
            <w:vAlign w:val="center"/>
            <w:hideMark/>
          </w:tcPr>
          <w:p w14:paraId="515D6FD9" w14:textId="77777777" w:rsidR="00484E5E" w:rsidRPr="0027166C" w:rsidRDefault="00484E5E" w:rsidP="008C12D2">
            <w:pPr>
              <w:spacing w:after="0" w:line="276" w:lineRule="auto"/>
              <w:jc w:val="center"/>
              <w:rPr>
                <w:rFonts w:cs="Arial"/>
                <w:b/>
                <w:bCs/>
                <w:color w:val="000000"/>
                <w:sz w:val="16"/>
                <w:szCs w:val="16"/>
              </w:rPr>
            </w:pPr>
            <w:r w:rsidRPr="0027166C">
              <w:rPr>
                <w:rFonts w:cs="Arial"/>
                <w:b/>
                <w:bCs/>
                <w:color w:val="000000"/>
                <w:sz w:val="16"/>
                <w:szCs w:val="16"/>
              </w:rPr>
              <w:t>2025</w:t>
            </w:r>
          </w:p>
        </w:tc>
        <w:tc>
          <w:tcPr>
            <w:tcW w:w="2300" w:type="dxa"/>
            <w:tcBorders>
              <w:top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0898BDE3" w14:textId="77777777" w:rsidR="00484E5E" w:rsidRPr="0027166C" w:rsidRDefault="00484E5E" w:rsidP="008C12D2">
            <w:pPr>
              <w:spacing w:after="0" w:line="276" w:lineRule="auto"/>
              <w:jc w:val="center"/>
              <w:rPr>
                <w:rFonts w:cs="Arial"/>
                <w:b/>
                <w:bCs/>
                <w:color w:val="000000"/>
                <w:sz w:val="16"/>
                <w:szCs w:val="16"/>
              </w:rPr>
            </w:pPr>
            <w:r w:rsidRPr="0027166C">
              <w:rPr>
                <w:rFonts w:cs="Arial"/>
                <w:b/>
                <w:bCs/>
                <w:color w:val="000000"/>
                <w:sz w:val="16"/>
                <w:szCs w:val="16"/>
              </w:rPr>
              <w:t>2026</w:t>
            </w:r>
          </w:p>
        </w:tc>
      </w:tr>
      <w:tr w:rsidR="00484E5E" w:rsidRPr="0027166C" w14:paraId="7D3A3ADB" w14:textId="77777777" w:rsidTr="008C12D2">
        <w:trPr>
          <w:cantSplit/>
          <w:jc w:val="center"/>
        </w:trPr>
        <w:tc>
          <w:tcPr>
            <w:tcW w:w="5300" w:type="dxa"/>
            <w:tcBorders>
              <w:left w:val="single" w:sz="2" w:space="0" w:color="A6A6A6" w:themeColor="background1" w:themeShade="A6"/>
              <w:bottom w:val="single" w:sz="2" w:space="0" w:color="A6A6A6" w:themeColor="background1" w:themeShade="A6"/>
            </w:tcBorders>
            <w:shd w:val="clear" w:color="auto" w:fill="F2F2F2" w:themeFill="background1" w:themeFillShade="F2"/>
            <w:vAlign w:val="center"/>
          </w:tcPr>
          <w:p w14:paraId="730D7519" w14:textId="77777777" w:rsidR="00484E5E" w:rsidRPr="0027166C" w:rsidRDefault="00484E5E" w:rsidP="008C12D2">
            <w:pPr>
              <w:spacing w:after="0" w:line="276" w:lineRule="auto"/>
              <w:jc w:val="center"/>
              <w:rPr>
                <w:rFonts w:cs="Arial"/>
                <w:b/>
                <w:bCs/>
                <w:color w:val="000000"/>
                <w:sz w:val="16"/>
                <w:szCs w:val="16"/>
              </w:rPr>
            </w:pPr>
          </w:p>
        </w:tc>
        <w:tc>
          <w:tcPr>
            <w:tcW w:w="1920" w:type="dxa"/>
            <w:tcBorders>
              <w:bottom w:val="single" w:sz="2" w:space="0" w:color="A6A6A6" w:themeColor="background1" w:themeShade="A6"/>
            </w:tcBorders>
            <w:shd w:val="clear" w:color="auto" w:fill="F2F2F2" w:themeFill="background1" w:themeFillShade="F2"/>
            <w:vAlign w:val="center"/>
            <w:hideMark/>
          </w:tcPr>
          <w:p w14:paraId="66522502" w14:textId="77777777" w:rsidR="00484E5E" w:rsidRPr="0027166C" w:rsidRDefault="00484E5E" w:rsidP="008C12D2">
            <w:pPr>
              <w:spacing w:after="0" w:line="276" w:lineRule="auto"/>
              <w:jc w:val="center"/>
              <w:rPr>
                <w:rFonts w:cs="Arial"/>
                <w:b/>
                <w:bCs/>
                <w:color w:val="000000"/>
                <w:sz w:val="16"/>
                <w:szCs w:val="16"/>
              </w:rPr>
            </w:pPr>
            <w:r w:rsidRPr="0027166C">
              <w:rPr>
                <w:rFonts w:cs="Arial"/>
                <w:b/>
                <w:bCs/>
                <w:color w:val="000000"/>
                <w:sz w:val="16"/>
                <w:szCs w:val="16"/>
              </w:rPr>
              <w:t>Εκτιμήσεις</w:t>
            </w:r>
          </w:p>
        </w:tc>
        <w:tc>
          <w:tcPr>
            <w:tcW w:w="2300" w:type="dxa"/>
            <w:tcBorders>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7862B156" w14:textId="77777777" w:rsidR="00484E5E" w:rsidRPr="0027166C" w:rsidRDefault="00484E5E" w:rsidP="008C12D2">
            <w:pPr>
              <w:spacing w:after="0" w:line="276" w:lineRule="auto"/>
              <w:jc w:val="center"/>
              <w:rPr>
                <w:rFonts w:cs="Arial"/>
                <w:b/>
                <w:bCs/>
                <w:color w:val="000000"/>
                <w:sz w:val="16"/>
                <w:szCs w:val="16"/>
              </w:rPr>
            </w:pPr>
            <w:r w:rsidRPr="0027166C">
              <w:rPr>
                <w:rFonts w:cs="Arial"/>
                <w:b/>
                <w:bCs/>
                <w:color w:val="000000"/>
                <w:sz w:val="16"/>
                <w:szCs w:val="16"/>
              </w:rPr>
              <w:t>Προβλέψεις</w:t>
            </w:r>
          </w:p>
        </w:tc>
      </w:tr>
      <w:tr w:rsidR="00484E5E" w:rsidRPr="0027166C" w14:paraId="4BC7B45B" w14:textId="77777777" w:rsidTr="008C12D2">
        <w:trPr>
          <w:cantSplit/>
          <w:jc w:val="center"/>
        </w:trPr>
        <w:tc>
          <w:tcPr>
            <w:tcW w:w="5300" w:type="dxa"/>
            <w:tcBorders>
              <w:top w:val="single" w:sz="2" w:space="0" w:color="A6A6A6" w:themeColor="background1" w:themeShade="A6"/>
              <w:left w:val="single" w:sz="2" w:space="0" w:color="A6A6A6" w:themeColor="background1" w:themeShade="A6"/>
            </w:tcBorders>
            <w:shd w:val="clear" w:color="auto" w:fill="auto"/>
            <w:vAlign w:val="center"/>
            <w:hideMark/>
          </w:tcPr>
          <w:p w14:paraId="3DF0E543" w14:textId="77777777" w:rsidR="00484E5E" w:rsidRPr="0027166C" w:rsidRDefault="00484E5E" w:rsidP="008C12D2">
            <w:pPr>
              <w:spacing w:after="0" w:line="276" w:lineRule="auto"/>
              <w:jc w:val="left"/>
              <w:rPr>
                <w:rFonts w:cs="Arial"/>
                <w:color w:val="000000"/>
                <w:sz w:val="16"/>
                <w:szCs w:val="16"/>
              </w:rPr>
            </w:pPr>
            <w:r w:rsidRPr="0027166C">
              <w:rPr>
                <w:rFonts w:cs="Arial"/>
                <w:color w:val="000000"/>
                <w:sz w:val="16"/>
                <w:szCs w:val="16"/>
              </w:rPr>
              <w:t>Όριο φαρμακευτικής δαπάνης ΕΟΠΥΥ (αναπροσαρμοσμένο με βάση τη μεταβολή του πραγματικού ΑΕΠ)</w:t>
            </w:r>
          </w:p>
        </w:tc>
        <w:tc>
          <w:tcPr>
            <w:tcW w:w="1920" w:type="dxa"/>
            <w:tcBorders>
              <w:top w:val="single" w:sz="2" w:space="0" w:color="A6A6A6" w:themeColor="background1" w:themeShade="A6"/>
            </w:tcBorders>
            <w:shd w:val="clear" w:color="auto" w:fill="auto"/>
            <w:vAlign w:val="center"/>
            <w:hideMark/>
          </w:tcPr>
          <w:p w14:paraId="5D97FF00" w14:textId="77777777" w:rsidR="00484E5E" w:rsidRPr="0027166C" w:rsidRDefault="00484E5E" w:rsidP="008C12D2">
            <w:pPr>
              <w:spacing w:after="0" w:line="276" w:lineRule="auto"/>
              <w:jc w:val="right"/>
              <w:rPr>
                <w:rFonts w:cs="Arial"/>
                <w:color w:val="000000"/>
                <w:sz w:val="16"/>
                <w:szCs w:val="16"/>
              </w:rPr>
            </w:pPr>
            <w:r w:rsidRPr="0027166C">
              <w:rPr>
                <w:rFonts w:cs="Arial"/>
                <w:color w:val="000000"/>
                <w:sz w:val="16"/>
                <w:szCs w:val="16"/>
              </w:rPr>
              <w:t>2.236</w:t>
            </w:r>
          </w:p>
        </w:tc>
        <w:tc>
          <w:tcPr>
            <w:tcW w:w="2300" w:type="dxa"/>
            <w:tcBorders>
              <w:top w:val="single" w:sz="2" w:space="0" w:color="A6A6A6" w:themeColor="background1" w:themeShade="A6"/>
              <w:right w:val="single" w:sz="2" w:space="0" w:color="A6A6A6" w:themeColor="background1" w:themeShade="A6"/>
            </w:tcBorders>
            <w:shd w:val="clear" w:color="auto" w:fill="auto"/>
            <w:vAlign w:val="center"/>
            <w:hideMark/>
          </w:tcPr>
          <w:p w14:paraId="2B1E7DAA" w14:textId="77777777" w:rsidR="00484E5E" w:rsidRPr="0027166C" w:rsidRDefault="00484E5E" w:rsidP="008C12D2">
            <w:pPr>
              <w:spacing w:after="0" w:line="276" w:lineRule="auto"/>
              <w:jc w:val="right"/>
              <w:rPr>
                <w:rFonts w:cs="Arial"/>
                <w:color w:val="000000"/>
                <w:sz w:val="16"/>
                <w:szCs w:val="16"/>
              </w:rPr>
            </w:pPr>
            <w:r w:rsidRPr="0027166C">
              <w:rPr>
                <w:rFonts w:cs="Arial"/>
                <w:color w:val="000000"/>
                <w:sz w:val="16"/>
                <w:szCs w:val="16"/>
              </w:rPr>
              <w:t>2.289</w:t>
            </w:r>
          </w:p>
        </w:tc>
      </w:tr>
      <w:tr w:rsidR="00484E5E" w:rsidRPr="0027166C" w14:paraId="39CA4C05" w14:textId="77777777" w:rsidTr="008C12D2">
        <w:trPr>
          <w:cantSplit/>
          <w:jc w:val="center"/>
        </w:trPr>
        <w:tc>
          <w:tcPr>
            <w:tcW w:w="5300" w:type="dxa"/>
            <w:tcBorders>
              <w:left w:val="single" w:sz="2" w:space="0" w:color="A6A6A6" w:themeColor="background1" w:themeShade="A6"/>
            </w:tcBorders>
            <w:shd w:val="clear" w:color="auto" w:fill="auto"/>
            <w:vAlign w:val="center"/>
            <w:hideMark/>
          </w:tcPr>
          <w:p w14:paraId="475ED97B" w14:textId="77777777" w:rsidR="00484E5E" w:rsidRPr="0027166C" w:rsidRDefault="00484E5E" w:rsidP="008C12D2">
            <w:pPr>
              <w:spacing w:after="0" w:line="276" w:lineRule="auto"/>
              <w:jc w:val="left"/>
              <w:rPr>
                <w:rFonts w:cs="Arial"/>
                <w:color w:val="000000"/>
                <w:sz w:val="16"/>
                <w:szCs w:val="16"/>
              </w:rPr>
            </w:pPr>
            <w:r w:rsidRPr="0027166C">
              <w:rPr>
                <w:rFonts w:cs="Arial"/>
                <w:color w:val="000000"/>
                <w:sz w:val="16"/>
                <w:szCs w:val="16"/>
              </w:rPr>
              <w:t>Όριο νοσοκομειακής φαρμακευτικής δαπάνης (αναπροσαρμοσμένο με βάση τη μεταβολή του πραγματικού ΑΕΠ)</w:t>
            </w:r>
          </w:p>
        </w:tc>
        <w:tc>
          <w:tcPr>
            <w:tcW w:w="1920" w:type="dxa"/>
            <w:shd w:val="clear" w:color="auto" w:fill="auto"/>
            <w:vAlign w:val="center"/>
            <w:hideMark/>
          </w:tcPr>
          <w:p w14:paraId="1CCA1608" w14:textId="77777777" w:rsidR="00484E5E" w:rsidRPr="0027166C" w:rsidRDefault="00484E5E" w:rsidP="008C12D2">
            <w:pPr>
              <w:spacing w:after="0" w:line="276" w:lineRule="auto"/>
              <w:jc w:val="right"/>
              <w:rPr>
                <w:rFonts w:cs="Arial"/>
                <w:color w:val="000000"/>
                <w:sz w:val="16"/>
                <w:szCs w:val="16"/>
              </w:rPr>
            </w:pPr>
            <w:r w:rsidRPr="0027166C">
              <w:rPr>
                <w:rFonts w:cs="Arial"/>
                <w:color w:val="000000"/>
                <w:sz w:val="16"/>
                <w:szCs w:val="16"/>
              </w:rPr>
              <w:t>565</w:t>
            </w:r>
          </w:p>
        </w:tc>
        <w:tc>
          <w:tcPr>
            <w:tcW w:w="2300" w:type="dxa"/>
            <w:tcBorders>
              <w:right w:val="single" w:sz="2" w:space="0" w:color="A6A6A6" w:themeColor="background1" w:themeShade="A6"/>
            </w:tcBorders>
            <w:shd w:val="clear" w:color="auto" w:fill="auto"/>
            <w:vAlign w:val="center"/>
            <w:hideMark/>
          </w:tcPr>
          <w:p w14:paraId="0FBBFC4A" w14:textId="77777777" w:rsidR="00484E5E" w:rsidRPr="0027166C" w:rsidRDefault="00484E5E" w:rsidP="008C12D2">
            <w:pPr>
              <w:spacing w:after="0" w:line="276" w:lineRule="auto"/>
              <w:jc w:val="right"/>
              <w:rPr>
                <w:rFonts w:cs="Arial"/>
                <w:color w:val="000000"/>
                <w:sz w:val="16"/>
                <w:szCs w:val="16"/>
              </w:rPr>
            </w:pPr>
            <w:r w:rsidRPr="0027166C">
              <w:rPr>
                <w:rFonts w:cs="Arial"/>
                <w:color w:val="000000"/>
                <w:sz w:val="16"/>
                <w:szCs w:val="16"/>
              </w:rPr>
              <w:t>578</w:t>
            </w:r>
          </w:p>
        </w:tc>
      </w:tr>
      <w:tr w:rsidR="00484E5E" w:rsidRPr="0027166C" w14:paraId="3E0FBAE3" w14:textId="77777777" w:rsidTr="008C12D2">
        <w:trPr>
          <w:cantSplit/>
          <w:jc w:val="center"/>
        </w:trPr>
        <w:tc>
          <w:tcPr>
            <w:tcW w:w="5300" w:type="dxa"/>
            <w:tcBorders>
              <w:left w:val="single" w:sz="2" w:space="0" w:color="A6A6A6" w:themeColor="background1" w:themeShade="A6"/>
            </w:tcBorders>
            <w:shd w:val="clear" w:color="auto" w:fill="auto"/>
            <w:vAlign w:val="center"/>
            <w:hideMark/>
          </w:tcPr>
          <w:p w14:paraId="20D32AF1" w14:textId="797C9586" w:rsidR="00484E5E" w:rsidRPr="0027166C" w:rsidRDefault="00484E5E" w:rsidP="008C12D2">
            <w:pPr>
              <w:spacing w:after="0" w:line="276" w:lineRule="auto"/>
              <w:jc w:val="left"/>
              <w:rPr>
                <w:rFonts w:cs="Arial"/>
                <w:color w:val="000000"/>
                <w:sz w:val="16"/>
                <w:szCs w:val="16"/>
              </w:rPr>
            </w:pPr>
            <w:r w:rsidRPr="0027166C">
              <w:rPr>
                <w:rFonts w:cs="Arial"/>
                <w:color w:val="000000"/>
                <w:sz w:val="16"/>
                <w:szCs w:val="16"/>
              </w:rPr>
              <w:t>Αύξηση του ορίου βάσει του δε</w:t>
            </w:r>
            <w:r w:rsidR="003857C7">
              <w:rPr>
                <w:rFonts w:cs="Arial"/>
                <w:color w:val="000000"/>
                <w:sz w:val="16"/>
                <w:szCs w:val="16"/>
              </w:rPr>
              <w:t>υ</w:t>
            </w:r>
            <w:r w:rsidRPr="0027166C">
              <w:rPr>
                <w:rFonts w:cs="Arial"/>
                <w:color w:val="000000"/>
                <w:sz w:val="16"/>
                <w:szCs w:val="16"/>
              </w:rPr>
              <w:t>τ</w:t>
            </w:r>
            <w:r w:rsidR="003857C7">
              <w:rPr>
                <w:rFonts w:cs="Arial"/>
                <w:color w:val="000000"/>
                <w:sz w:val="16"/>
                <w:szCs w:val="16"/>
              </w:rPr>
              <w:t>έ</w:t>
            </w:r>
            <w:r w:rsidRPr="0027166C">
              <w:rPr>
                <w:rFonts w:cs="Arial"/>
                <w:color w:val="000000"/>
                <w:sz w:val="16"/>
                <w:szCs w:val="16"/>
              </w:rPr>
              <w:t>ρου εδαφίου της παρ.2 του άρθρου 25 του ν.4549/2018</w:t>
            </w:r>
            <w:r w:rsidRPr="0027166C">
              <w:rPr>
                <w:rFonts w:cs="Arial"/>
                <w:color w:val="000000"/>
                <w:sz w:val="16"/>
                <w:szCs w:val="16"/>
                <w:vertAlign w:val="superscript"/>
              </w:rPr>
              <w:t>1</w:t>
            </w:r>
          </w:p>
        </w:tc>
        <w:tc>
          <w:tcPr>
            <w:tcW w:w="1920" w:type="dxa"/>
            <w:shd w:val="clear" w:color="auto" w:fill="auto"/>
            <w:vAlign w:val="center"/>
            <w:hideMark/>
          </w:tcPr>
          <w:p w14:paraId="60233232" w14:textId="77777777" w:rsidR="00484E5E" w:rsidRPr="0027166C" w:rsidRDefault="00484E5E" w:rsidP="008C12D2">
            <w:pPr>
              <w:spacing w:after="0" w:line="276" w:lineRule="auto"/>
              <w:jc w:val="right"/>
              <w:rPr>
                <w:rFonts w:cs="Arial"/>
                <w:color w:val="000000"/>
                <w:sz w:val="16"/>
                <w:szCs w:val="16"/>
              </w:rPr>
            </w:pPr>
            <w:r w:rsidRPr="0027166C">
              <w:rPr>
                <w:rFonts w:cs="Arial"/>
                <w:color w:val="000000"/>
                <w:sz w:val="16"/>
                <w:szCs w:val="16"/>
              </w:rPr>
              <w:t>0</w:t>
            </w:r>
          </w:p>
        </w:tc>
        <w:tc>
          <w:tcPr>
            <w:tcW w:w="2300" w:type="dxa"/>
            <w:tcBorders>
              <w:right w:val="single" w:sz="2" w:space="0" w:color="A6A6A6" w:themeColor="background1" w:themeShade="A6"/>
            </w:tcBorders>
            <w:shd w:val="clear" w:color="auto" w:fill="auto"/>
            <w:vAlign w:val="center"/>
            <w:hideMark/>
          </w:tcPr>
          <w:p w14:paraId="41498F6A" w14:textId="77777777" w:rsidR="00484E5E" w:rsidRPr="0027166C" w:rsidRDefault="00484E5E" w:rsidP="008C12D2">
            <w:pPr>
              <w:spacing w:after="0" w:line="276" w:lineRule="auto"/>
              <w:jc w:val="right"/>
              <w:rPr>
                <w:rFonts w:cs="Arial"/>
                <w:color w:val="000000"/>
                <w:sz w:val="16"/>
                <w:szCs w:val="16"/>
              </w:rPr>
            </w:pPr>
            <w:r w:rsidRPr="0027166C">
              <w:rPr>
                <w:rFonts w:cs="Arial"/>
                <w:color w:val="000000"/>
                <w:sz w:val="16"/>
                <w:szCs w:val="16"/>
              </w:rPr>
              <w:t>100</w:t>
            </w:r>
          </w:p>
        </w:tc>
      </w:tr>
      <w:tr w:rsidR="00484E5E" w:rsidRPr="0027166C" w14:paraId="0713B40F" w14:textId="77777777" w:rsidTr="008C12D2">
        <w:trPr>
          <w:cantSplit/>
          <w:jc w:val="center"/>
        </w:trPr>
        <w:tc>
          <w:tcPr>
            <w:tcW w:w="5300" w:type="dxa"/>
            <w:tcBorders>
              <w:left w:val="single" w:sz="2" w:space="0" w:color="A6A6A6" w:themeColor="background1" w:themeShade="A6"/>
            </w:tcBorders>
            <w:shd w:val="clear" w:color="auto" w:fill="auto"/>
            <w:vAlign w:val="center"/>
            <w:hideMark/>
          </w:tcPr>
          <w:p w14:paraId="7C816716" w14:textId="200510E6" w:rsidR="00484E5E" w:rsidRPr="0027166C" w:rsidRDefault="00484E5E" w:rsidP="008C12D2">
            <w:pPr>
              <w:spacing w:after="0" w:line="276" w:lineRule="auto"/>
              <w:jc w:val="left"/>
              <w:rPr>
                <w:rFonts w:cs="Arial"/>
                <w:color w:val="000000"/>
                <w:sz w:val="16"/>
                <w:szCs w:val="16"/>
              </w:rPr>
            </w:pPr>
            <w:r w:rsidRPr="0027166C">
              <w:rPr>
                <w:rFonts w:cs="Arial"/>
                <w:color w:val="000000"/>
                <w:sz w:val="16"/>
                <w:szCs w:val="16"/>
              </w:rPr>
              <w:t>Αύξηση του ορίου βάσει της παρ.3 του άρθρου 25 του ν.4549/201</w:t>
            </w:r>
            <w:r w:rsidR="00A75AE8">
              <w:rPr>
                <w:rFonts w:cs="Arial"/>
                <w:color w:val="000000"/>
                <w:sz w:val="16"/>
                <w:szCs w:val="16"/>
              </w:rPr>
              <w:t>8</w:t>
            </w:r>
            <w:r w:rsidRPr="0027166C">
              <w:rPr>
                <w:rFonts w:cs="Arial"/>
                <w:color w:val="000000"/>
                <w:sz w:val="16"/>
                <w:szCs w:val="16"/>
                <w:vertAlign w:val="superscript"/>
              </w:rPr>
              <w:t>2</w:t>
            </w:r>
          </w:p>
        </w:tc>
        <w:tc>
          <w:tcPr>
            <w:tcW w:w="1920" w:type="dxa"/>
            <w:shd w:val="clear" w:color="auto" w:fill="auto"/>
            <w:vAlign w:val="center"/>
            <w:hideMark/>
          </w:tcPr>
          <w:p w14:paraId="0B5CA1EB" w14:textId="77777777" w:rsidR="00484E5E" w:rsidRPr="0027166C" w:rsidRDefault="00484E5E" w:rsidP="008C12D2">
            <w:pPr>
              <w:spacing w:after="0" w:line="276" w:lineRule="auto"/>
              <w:jc w:val="right"/>
              <w:rPr>
                <w:rFonts w:cs="Arial"/>
                <w:color w:val="000000"/>
                <w:sz w:val="16"/>
                <w:szCs w:val="16"/>
              </w:rPr>
            </w:pPr>
            <w:r w:rsidRPr="0027166C">
              <w:rPr>
                <w:rFonts w:cs="Arial"/>
                <w:color w:val="000000"/>
                <w:sz w:val="16"/>
                <w:szCs w:val="16"/>
              </w:rPr>
              <w:t>400</w:t>
            </w:r>
          </w:p>
        </w:tc>
        <w:tc>
          <w:tcPr>
            <w:tcW w:w="2300" w:type="dxa"/>
            <w:tcBorders>
              <w:right w:val="single" w:sz="2" w:space="0" w:color="A6A6A6" w:themeColor="background1" w:themeShade="A6"/>
            </w:tcBorders>
            <w:shd w:val="clear" w:color="auto" w:fill="auto"/>
            <w:vAlign w:val="center"/>
            <w:hideMark/>
          </w:tcPr>
          <w:p w14:paraId="7BBC6FA3" w14:textId="77777777" w:rsidR="00484E5E" w:rsidRPr="0027166C" w:rsidRDefault="00484E5E" w:rsidP="008C12D2">
            <w:pPr>
              <w:spacing w:after="0" w:line="276" w:lineRule="auto"/>
              <w:jc w:val="right"/>
              <w:rPr>
                <w:rFonts w:cs="Arial"/>
                <w:color w:val="000000"/>
                <w:sz w:val="16"/>
                <w:szCs w:val="16"/>
              </w:rPr>
            </w:pPr>
            <w:r w:rsidRPr="0027166C">
              <w:rPr>
                <w:rFonts w:cs="Arial"/>
                <w:color w:val="000000"/>
                <w:sz w:val="16"/>
                <w:szCs w:val="16"/>
              </w:rPr>
              <w:t>400</w:t>
            </w:r>
          </w:p>
        </w:tc>
      </w:tr>
      <w:tr w:rsidR="00484E5E" w:rsidRPr="0027166C" w14:paraId="65AD4393" w14:textId="77777777" w:rsidTr="008C12D2">
        <w:trPr>
          <w:cantSplit/>
          <w:jc w:val="center"/>
        </w:trPr>
        <w:tc>
          <w:tcPr>
            <w:tcW w:w="5300" w:type="dxa"/>
            <w:tcBorders>
              <w:left w:val="single" w:sz="2" w:space="0" w:color="A6A6A6" w:themeColor="background1" w:themeShade="A6"/>
              <w:bottom w:val="single" w:sz="2" w:space="0" w:color="A6A6A6" w:themeColor="background1" w:themeShade="A6"/>
            </w:tcBorders>
            <w:shd w:val="clear" w:color="auto" w:fill="D5DCE4"/>
            <w:vAlign w:val="center"/>
            <w:hideMark/>
          </w:tcPr>
          <w:p w14:paraId="19EF5009" w14:textId="77777777" w:rsidR="00484E5E" w:rsidRPr="0027166C" w:rsidRDefault="00484E5E" w:rsidP="008C12D2">
            <w:pPr>
              <w:spacing w:after="0" w:line="276" w:lineRule="auto"/>
              <w:jc w:val="left"/>
              <w:rPr>
                <w:rFonts w:cs="Arial"/>
                <w:b/>
                <w:bCs/>
                <w:color w:val="000000"/>
                <w:sz w:val="16"/>
                <w:szCs w:val="16"/>
              </w:rPr>
            </w:pPr>
            <w:r w:rsidRPr="0027166C">
              <w:rPr>
                <w:rFonts w:cs="Arial"/>
                <w:b/>
                <w:bCs/>
                <w:color w:val="000000"/>
                <w:sz w:val="16"/>
                <w:szCs w:val="16"/>
              </w:rPr>
              <w:t>Συνολικό όριο φαρμακευτικής δαπάνης</w:t>
            </w:r>
          </w:p>
        </w:tc>
        <w:tc>
          <w:tcPr>
            <w:tcW w:w="1920" w:type="dxa"/>
            <w:tcBorders>
              <w:bottom w:val="single" w:sz="2" w:space="0" w:color="A6A6A6" w:themeColor="background1" w:themeShade="A6"/>
            </w:tcBorders>
            <w:shd w:val="clear" w:color="auto" w:fill="D5DCE4"/>
            <w:vAlign w:val="center"/>
            <w:hideMark/>
          </w:tcPr>
          <w:p w14:paraId="0CDE1FAC" w14:textId="77777777" w:rsidR="00484E5E" w:rsidRPr="0027166C" w:rsidRDefault="00484E5E" w:rsidP="008C12D2">
            <w:pPr>
              <w:spacing w:after="0" w:line="276" w:lineRule="auto"/>
              <w:jc w:val="right"/>
              <w:rPr>
                <w:rFonts w:cs="Arial"/>
                <w:b/>
                <w:bCs/>
                <w:color w:val="000000"/>
                <w:sz w:val="16"/>
                <w:szCs w:val="16"/>
              </w:rPr>
            </w:pPr>
            <w:r w:rsidRPr="0027166C">
              <w:rPr>
                <w:rFonts w:cs="Arial"/>
                <w:b/>
                <w:bCs/>
                <w:color w:val="000000"/>
                <w:sz w:val="16"/>
                <w:szCs w:val="16"/>
              </w:rPr>
              <w:t>3.201</w:t>
            </w:r>
          </w:p>
        </w:tc>
        <w:tc>
          <w:tcPr>
            <w:tcW w:w="2300" w:type="dxa"/>
            <w:tcBorders>
              <w:bottom w:val="single" w:sz="2" w:space="0" w:color="A6A6A6" w:themeColor="background1" w:themeShade="A6"/>
              <w:right w:val="single" w:sz="2" w:space="0" w:color="A6A6A6" w:themeColor="background1" w:themeShade="A6"/>
            </w:tcBorders>
            <w:shd w:val="clear" w:color="auto" w:fill="D5DCE4"/>
            <w:vAlign w:val="center"/>
            <w:hideMark/>
          </w:tcPr>
          <w:p w14:paraId="4071B804" w14:textId="77777777" w:rsidR="00484E5E" w:rsidRPr="0027166C" w:rsidRDefault="00484E5E" w:rsidP="008C12D2">
            <w:pPr>
              <w:spacing w:after="0" w:line="276" w:lineRule="auto"/>
              <w:jc w:val="right"/>
              <w:rPr>
                <w:rFonts w:cs="Arial"/>
                <w:b/>
                <w:bCs/>
                <w:color w:val="000000"/>
                <w:sz w:val="16"/>
                <w:szCs w:val="16"/>
              </w:rPr>
            </w:pPr>
            <w:r w:rsidRPr="0027166C">
              <w:rPr>
                <w:rFonts w:cs="Arial"/>
                <w:b/>
                <w:bCs/>
                <w:color w:val="000000"/>
                <w:sz w:val="16"/>
                <w:szCs w:val="16"/>
              </w:rPr>
              <w:t>3.367</w:t>
            </w:r>
          </w:p>
        </w:tc>
      </w:tr>
      <w:tr w:rsidR="00484E5E" w:rsidRPr="0027166C" w14:paraId="747F072D" w14:textId="77777777" w:rsidTr="008C12D2">
        <w:trPr>
          <w:cantSplit/>
          <w:jc w:val="center"/>
        </w:trPr>
        <w:tc>
          <w:tcPr>
            <w:tcW w:w="9520" w:type="dxa"/>
            <w:gridSpan w:val="3"/>
            <w:tcBorders>
              <w:top w:val="single" w:sz="2" w:space="0" w:color="A6A6A6" w:themeColor="background1" w:themeShade="A6"/>
            </w:tcBorders>
            <w:shd w:val="clear" w:color="auto" w:fill="auto"/>
            <w:vAlign w:val="center"/>
            <w:hideMark/>
          </w:tcPr>
          <w:p w14:paraId="43063B3D" w14:textId="10AFB035" w:rsidR="00484E5E" w:rsidRPr="0027166C" w:rsidRDefault="00484E5E" w:rsidP="004E2E06">
            <w:pPr>
              <w:tabs>
                <w:tab w:val="left" w:pos="113"/>
              </w:tabs>
              <w:spacing w:before="60" w:after="0" w:line="276" w:lineRule="auto"/>
              <w:ind w:left="113" w:hanging="113"/>
              <w:rPr>
                <w:sz w:val="16"/>
                <w:szCs w:val="16"/>
              </w:rPr>
            </w:pPr>
            <w:r w:rsidRPr="0027166C">
              <w:rPr>
                <w:sz w:val="16"/>
                <w:szCs w:val="16"/>
                <w:vertAlign w:val="superscript"/>
              </w:rPr>
              <w:t>1</w:t>
            </w:r>
            <w:r>
              <w:rPr>
                <w:sz w:val="16"/>
                <w:szCs w:val="16"/>
                <w:vertAlign w:val="superscript"/>
              </w:rPr>
              <w:tab/>
            </w:r>
            <w:r w:rsidRPr="0027166C">
              <w:rPr>
                <w:sz w:val="16"/>
                <w:szCs w:val="16"/>
              </w:rPr>
              <w:t>Η κατανομή του ορίου στις κατηγορίες δαπανών της νοσοκομειακής φαρμακευτικής δαπάνης των φαρμακείων του ΕΟΠΥΥ, της λοιπής φαρμακευτικής δαπάνης του ΕΟΠΥΥ, της δαπάνης υπηρεσιών υγείας του ΕΟΠ</w:t>
            </w:r>
            <w:r w:rsidR="00A75AE8">
              <w:rPr>
                <w:sz w:val="16"/>
                <w:szCs w:val="16"/>
              </w:rPr>
              <w:t>Υ</w:t>
            </w:r>
            <w:r w:rsidRPr="0027166C">
              <w:rPr>
                <w:sz w:val="16"/>
                <w:szCs w:val="16"/>
              </w:rPr>
              <w:t>Υ και της νοσοκομειακής φαρμακευτικής δαπάνης των νοσοκομείων του ΕΣΥ και του ΓΝΘ Παπαγεωργίου εξειδικεύεται ετησίως με κοινή απόφαση των Υπουργών Εθνικής Οικονομίας και Οικονομικών και Υγείας.</w:t>
            </w:r>
          </w:p>
          <w:p w14:paraId="611B6F05" w14:textId="3F0794A8" w:rsidR="00484E5E" w:rsidRPr="0027166C" w:rsidRDefault="00484E5E" w:rsidP="00790111">
            <w:pPr>
              <w:tabs>
                <w:tab w:val="left" w:pos="113"/>
              </w:tabs>
              <w:spacing w:before="60" w:after="0" w:line="276" w:lineRule="auto"/>
              <w:ind w:left="113" w:hanging="113"/>
              <w:jc w:val="left"/>
              <w:rPr>
                <w:rFonts w:cs="Arial"/>
                <w:color w:val="000000"/>
                <w:sz w:val="16"/>
                <w:szCs w:val="16"/>
              </w:rPr>
            </w:pPr>
            <w:r w:rsidRPr="0027166C">
              <w:rPr>
                <w:rFonts w:cs="Arial"/>
                <w:color w:val="000000"/>
                <w:sz w:val="16"/>
                <w:szCs w:val="16"/>
                <w:vertAlign w:val="superscript"/>
              </w:rPr>
              <w:t>2</w:t>
            </w:r>
            <w:r>
              <w:rPr>
                <w:rFonts w:cs="Arial"/>
                <w:color w:val="000000"/>
                <w:sz w:val="16"/>
                <w:szCs w:val="16"/>
                <w:vertAlign w:val="superscript"/>
              </w:rPr>
              <w:tab/>
            </w:r>
            <w:r w:rsidRPr="0027166C">
              <w:rPr>
                <w:rFonts w:cs="Arial"/>
                <w:color w:val="000000"/>
                <w:sz w:val="16"/>
                <w:szCs w:val="16"/>
              </w:rPr>
              <w:t>Το ύψος και η κατανομή της ετήσιας αύξησης των ορίων ανάμεσα στις κατηγορίες δαπανών της νοσοκομειακής φαρμακευτικής δαπάνης των φαρμακείων του ΕΟΠΥΥ, της λοιπής φαρμακευτικής δαπάνης του ΕΟΠΥΥ, της δαπάνης υπηρεσιών υγείας του ΕΟΠ</w:t>
            </w:r>
            <w:r w:rsidR="00A75AE8">
              <w:rPr>
                <w:rFonts w:cs="Arial"/>
                <w:color w:val="000000"/>
                <w:sz w:val="16"/>
                <w:szCs w:val="16"/>
              </w:rPr>
              <w:t>Υ</w:t>
            </w:r>
            <w:r w:rsidRPr="0027166C">
              <w:rPr>
                <w:rFonts w:cs="Arial"/>
                <w:color w:val="000000"/>
                <w:sz w:val="16"/>
                <w:szCs w:val="16"/>
              </w:rPr>
              <w:t>Υ και της νοσοκομειακής φαρμακευτικής δαπάνης των νοσοκομείων του ΕΣΥ και του ΓΝΘ</w:t>
            </w:r>
            <w:r>
              <w:rPr>
                <w:rFonts w:cs="Arial"/>
                <w:color w:val="000000"/>
                <w:sz w:val="16"/>
                <w:szCs w:val="16"/>
              </w:rPr>
              <w:t xml:space="preserve"> </w:t>
            </w:r>
            <w:r w:rsidRPr="0027166C">
              <w:rPr>
                <w:rFonts w:cs="Arial"/>
                <w:color w:val="000000"/>
                <w:sz w:val="16"/>
                <w:szCs w:val="16"/>
              </w:rPr>
              <w:t xml:space="preserve">Παπαγεωργίου προσδιορίζονται ετησίως με κοινή απόφαση των Υπουργών </w:t>
            </w:r>
            <w:r>
              <w:rPr>
                <w:rFonts w:cs="Arial"/>
                <w:color w:val="000000"/>
                <w:sz w:val="16"/>
                <w:szCs w:val="16"/>
              </w:rPr>
              <w:t>Ε</w:t>
            </w:r>
            <w:r w:rsidRPr="0027166C">
              <w:rPr>
                <w:rFonts w:cs="Arial"/>
                <w:color w:val="000000"/>
                <w:sz w:val="16"/>
                <w:szCs w:val="16"/>
              </w:rPr>
              <w:t>θνικής Οικονομίας και Οικονομικών και Υγείας.</w:t>
            </w:r>
          </w:p>
        </w:tc>
      </w:tr>
    </w:tbl>
    <w:p w14:paraId="654E8F6F" w14:textId="18202438" w:rsidR="00EE19FB" w:rsidRPr="005C267D" w:rsidRDefault="00740908" w:rsidP="00300BBF">
      <w:pPr>
        <w:pStyle w:val="3"/>
      </w:pPr>
      <w:bookmarkStart w:id="403" w:name="_Toc214473775"/>
      <w:r>
        <w:lastRenderedPageBreak/>
        <w:t xml:space="preserve">Οργανισμοί Κοινωνικής Ασφάλισης </w:t>
      </w:r>
      <w:r w:rsidR="006040E3">
        <w:t>-</w:t>
      </w:r>
      <w:r>
        <w:t xml:space="preserve"> </w:t>
      </w:r>
      <w:r w:rsidR="006040E3">
        <w:t>Π</w:t>
      </w:r>
      <w:r w:rsidR="00EE19FB" w:rsidRPr="005C267D">
        <w:t>ροϋπολογισμός</w:t>
      </w:r>
      <w:r w:rsidR="006040E3">
        <w:t xml:space="preserve"> του υποτομέα των ΟΚΑ</w:t>
      </w:r>
      <w:bookmarkEnd w:id="403"/>
    </w:p>
    <w:p w14:paraId="273F4AC9" w14:textId="5DDFB69B" w:rsidR="003942D6" w:rsidRPr="00E8778D" w:rsidRDefault="00B474BF" w:rsidP="00B474BF">
      <w:pPr>
        <w:rPr>
          <w:highlight w:val="yellow"/>
        </w:rPr>
      </w:pPr>
      <w:r w:rsidRPr="00BE1572">
        <w:t xml:space="preserve">Το ισοζύγιο κατά </w:t>
      </w:r>
      <w:r w:rsidRPr="00BE1572">
        <w:rPr>
          <w:lang w:val="en-US"/>
        </w:rPr>
        <w:t>ESA</w:t>
      </w:r>
      <w:r w:rsidRPr="00BE1572">
        <w:t xml:space="preserve"> των ΟΚΑ (Ασφαλιστικά Ταμεία, ΔΥΠΑ, ΕΟΠΥΥ, ΟΠΕΚΑ και ΝΑΤ) για το 2026 προβλέπεται να διαμορφωθεί σε πλεόνασμα ύψους 1.790 εκατ. ευρώ, παρουσιάζοντας μείωση κατά 206 εκατ. ευρώ σε σχέση με</w:t>
      </w:r>
      <w:r w:rsidR="002C3DEB">
        <w:t xml:space="preserve"> τις εκτιμήσεις του </w:t>
      </w:r>
      <w:r w:rsidRPr="00BE1572">
        <w:t>2025.</w:t>
      </w:r>
    </w:p>
    <w:p w14:paraId="1349AF37" w14:textId="554E500B" w:rsidR="00EE19FB" w:rsidRPr="005C267D" w:rsidRDefault="00EE19FB" w:rsidP="009E49F4">
      <w:pPr>
        <w:pStyle w:val="4"/>
        <w:keepNext w:val="0"/>
      </w:pPr>
      <w:bookmarkStart w:id="404" w:name="_Toc214473776"/>
      <w:r w:rsidRPr="005C267D">
        <w:t>Ασφαλιστικά Ταμεία</w:t>
      </w:r>
      <w:bookmarkEnd w:id="404"/>
    </w:p>
    <w:p w14:paraId="3A49266D" w14:textId="77777777" w:rsidR="00B474BF" w:rsidRPr="00BE1572" w:rsidRDefault="00B474BF" w:rsidP="00B474BF">
      <w:r w:rsidRPr="00BE1572">
        <w:t>Το ισοζύγιο των ασφαλιστικών ταμείων κατά ESA για το 2026 προβλέπεται να παρουσιάσει πλεόνασμα ύψους 1.107 εκατ. ευρώ, παρουσιάζοντας μείωση κατά 159 εκατ. ευρώ σε σχέση με τις εκτιμήσεις για το οικονομικό έτος 2025.</w:t>
      </w:r>
    </w:p>
    <w:p w14:paraId="2353F2CD" w14:textId="306ADFEF" w:rsidR="00B474BF" w:rsidRPr="00BE1572" w:rsidRDefault="00B474BF" w:rsidP="00B474BF">
      <w:r w:rsidRPr="00BE1572">
        <w:t>Ειδικότερα, τα έσοδα προβλέπεται να είναι αυξημένα κατά 1.299 εκατ. ευρώ κυρίως λόγω της αύξησης κατά 91</w:t>
      </w:r>
      <w:r>
        <w:t>6</w:t>
      </w:r>
      <w:r w:rsidRPr="00BE1572">
        <w:t xml:space="preserve"> εκατ. ευρώ των εσόδων από ασφαλιστικές εισφορές </w:t>
      </w:r>
      <w:bookmarkStart w:id="405" w:name="_Hlk213937845"/>
      <w:r w:rsidRPr="00BE1572">
        <w:t>(συμπεριλαμβανομένων των εσόδων από ρυθμίσεις οφειλών)</w:t>
      </w:r>
      <w:bookmarkEnd w:id="405"/>
      <w:r w:rsidRPr="00BE1572">
        <w:t>, γεγονός που οφείλεται κατά κύριο λόγο:</w:t>
      </w:r>
    </w:p>
    <w:p w14:paraId="669655B9" w14:textId="20DEBBBD" w:rsidR="00B474BF" w:rsidRPr="00BE1572" w:rsidRDefault="00B474BF" w:rsidP="00B474BF">
      <w:pPr>
        <w:numPr>
          <w:ilvl w:val="0"/>
          <w:numId w:val="1"/>
        </w:numPr>
        <w:spacing w:before="120" w:after="60"/>
        <w:ind w:left="568" w:hanging="284"/>
      </w:pPr>
      <w:r w:rsidRPr="00BE1572">
        <w:t>στην αύξηση των μισθών και της απασχόλησης στον ιδιωτικό τομέα</w:t>
      </w:r>
      <w:r w:rsidR="00C8648F">
        <w:t>,</w:t>
      </w:r>
      <w:r w:rsidRPr="00BE1572">
        <w:t xml:space="preserve"> ως αποτέλεσμα του ρυθμού ανάπτυξης της οικονομίας,</w:t>
      </w:r>
    </w:p>
    <w:p w14:paraId="30637D57" w14:textId="77777777" w:rsidR="00B474BF" w:rsidRPr="00BE1572" w:rsidRDefault="00B474BF" w:rsidP="00B474BF">
      <w:pPr>
        <w:numPr>
          <w:ilvl w:val="0"/>
          <w:numId w:val="1"/>
        </w:numPr>
        <w:spacing w:before="60" w:after="60"/>
        <w:ind w:left="568" w:hanging="284"/>
      </w:pPr>
      <w:r w:rsidRPr="00BE1572">
        <w:t>στην περαιτέρω αύξηση του κατώτατου μισθού,</w:t>
      </w:r>
    </w:p>
    <w:p w14:paraId="73CC31FE" w14:textId="3FF504C1" w:rsidR="00B474BF" w:rsidRPr="00BE1572" w:rsidRDefault="00B474BF" w:rsidP="00B474BF">
      <w:pPr>
        <w:numPr>
          <w:ilvl w:val="0"/>
          <w:numId w:val="1"/>
        </w:numPr>
        <w:spacing w:before="60" w:after="60"/>
        <w:ind w:left="568" w:hanging="284"/>
      </w:pPr>
      <w:r w:rsidRPr="00BE1572">
        <w:t>στην εφαρμογή της Ψηφιακής Κάρτας Εργασίας και</w:t>
      </w:r>
    </w:p>
    <w:p w14:paraId="7BA6D0BC" w14:textId="77777777" w:rsidR="00B474BF" w:rsidRPr="00BE1572" w:rsidRDefault="00B474BF" w:rsidP="00B474BF">
      <w:pPr>
        <w:numPr>
          <w:ilvl w:val="0"/>
          <w:numId w:val="1"/>
        </w:numPr>
        <w:spacing w:before="60"/>
        <w:ind w:left="568" w:hanging="284"/>
      </w:pPr>
      <w:r w:rsidRPr="00BE1572">
        <w:t>στις μισθολογικές αυξήσεις στον δημόσιο τομέα.</w:t>
      </w:r>
    </w:p>
    <w:p w14:paraId="49A2B90D" w14:textId="6A6D4F11" w:rsidR="00B474BF" w:rsidRPr="00BE1572" w:rsidRDefault="00B474BF" w:rsidP="00B474BF">
      <w:r w:rsidRPr="00BE1572">
        <w:t>Επιπρόσθετα, αύξηση κατά 464 εκατ. ευρώ προβλέπεται να παρουσιάσουν οι μεταβιβάσεις από τον τακτικό προϋπολογισμό</w:t>
      </w:r>
      <w:r w:rsidR="002C3DEB">
        <w:t>,</w:t>
      </w:r>
      <w:r w:rsidRPr="00BE1572">
        <w:t xml:space="preserve"> κυρίως για την κάλυψη των παροχών κύριας σύνταξης</w:t>
      </w:r>
      <w:r w:rsidRPr="00BE1572">
        <w:rPr>
          <w:rFonts w:cs="Arial"/>
          <w:szCs w:val="20"/>
        </w:rPr>
        <w:t>.</w:t>
      </w:r>
    </w:p>
    <w:p w14:paraId="02A21233" w14:textId="77777777" w:rsidR="00B474BF" w:rsidRPr="00BE1572" w:rsidRDefault="00B474BF" w:rsidP="00B474BF">
      <w:r w:rsidRPr="00BE1572">
        <w:t>Το σύνολο των δαπανών σε σχέση με το 2025 προβλέπεται να είναι αυξημένο κατά 1.459 εκατ. ευρώ.</w:t>
      </w:r>
    </w:p>
    <w:p w14:paraId="1EA0E647" w14:textId="77777777" w:rsidR="00B474BF" w:rsidRPr="00BE1572" w:rsidRDefault="00B474BF" w:rsidP="00B474BF">
      <w:r w:rsidRPr="00BE1572">
        <w:t>Η δαπάνη των κύριων συντάξεων προβλέπεται να είναι αυξημένη κατά 1.153 εκατ. ευρώ ως αποτέλεσμα:</w:t>
      </w:r>
    </w:p>
    <w:p w14:paraId="5A6D676E" w14:textId="1AD16516" w:rsidR="00B474BF" w:rsidRPr="00BE1572" w:rsidRDefault="00B474BF" w:rsidP="002F1DED">
      <w:pPr>
        <w:numPr>
          <w:ilvl w:val="0"/>
          <w:numId w:val="1"/>
        </w:numPr>
        <w:spacing w:before="60" w:after="60"/>
        <w:ind w:left="568" w:hanging="284"/>
      </w:pPr>
      <w:r w:rsidRPr="00BE1572">
        <w:t>της αναπροσαρμογής των συντάξεων με βάση τον συντελεστή που προκύπτει από τον μέσο όρο του ετήσιου ποσοστού μεταβολής του ΑΕΠ και του ποσοστού μεταβολής του μέσου ετήσιου ΓΔΤΚ του προηγούμενου έτους</w:t>
      </w:r>
      <w:r>
        <w:t xml:space="preserve"> (</w:t>
      </w:r>
      <w:r w:rsidRPr="00BE1572">
        <w:t>άρθρο 14 παρ.4 του ν.4387/2016</w:t>
      </w:r>
      <w:r>
        <w:t>)</w:t>
      </w:r>
      <w:r w:rsidR="006040E3">
        <w:t>,</w:t>
      </w:r>
      <w:r w:rsidRPr="00BE1572">
        <w:t xml:space="preserve"> η οποία προβλέπεται να ανέλθει σε 629 εκατ. ευρώ περίπου,</w:t>
      </w:r>
      <w:r w:rsidR="009D7E38">
        <w:t xml:space="preserve"> λαμβανομένου υπόψη </w:t>
      </w:r>
      <w:r w:rsidRPr="00BE1572">
        <w:t>του μη συμψηφισμού του 50% της αύξησης των συντάξεων με την προσωπική διαφορά και</w:t>
      </w:r>
    </w:p>
    <w:p w14:paraId="3225C17A" w14:textId="35C43BC0" w:rsidR="00B474BF" w:rsidRPr="00BE1572" w:rsidRDefault="00B474BF" w:rsidP="00B474BF">
      <w:pPr>
        <w:numPr>
          <w:ilvl w:val="0"/>
          <w:numId w:val="1"/>
        </w:numPr>
        <w:spacing w:before="60"/>
        <w:ind w:left="568" w:hanging="284"/>
      </w:pPr>
      <w:r w:rsidRPr="00BE1572">
        <w:t>της προβλεπόμενης αύξησης του ρυθμού απονομής νέων συντάξεων.</w:t>
      </w:r>
    </w:p>
    <w:p w14:paraId="6D7C28FA" w14:textId="4BB66691" w:rsidR="00B474BF" w:rsidRPr="00BE1572" w:rsidRDefault="00B474BF" w:rsidP="00B474BF">
      <w:r w:rsidRPr="00BE1572">
        <w:t>Η δαπάνη για τις επικουρικές συντάξεις προβλέπεται αυξημένη κατά 186 εκατ. ευρώ σε σχέση με το 2025, καθ</w:t>
      </w:r>
      <w:r w:rsidR="006040E3">
        <w:t>’</w:t>
      </w:r>
      <w:r w:rsidRPr="00BE1572">
        <w:t xml:space="preserve"> όσον αναμένεται να εντατικοποιηθούν εντός του 2026 οι εκκαθαρίσεις που αφορούν σε περιπτώσεις διαδοχικής ασφάλισης και να καταβληθούν τα σχετικά αναδρομικά ποσά στους δικαιούχους.</w:t>
      </w:r>
    </w:p>
    <w:p w14:paraId="4F3CFFD9" w14:textId="124DB739" w:rsidR="00B474BF" w:rsidRPr="00BE1572" w:rsidRDefault="00B474BF" w:rsidP="00B474BF">
      <w:r w:rsidRPr="00BE1572">
        <w:t>Επιπρόσθετα, αύξηση κατά 205 εκατ. ευρώ αναμένεται να παρουσιάσει η δαπάνη για τις προνοιακές παροχές και ειδικότερα:</w:t>
      </w:r>
      <w:r w:rsidR="006040E3">
        <w:t xml:space="preserve"> (</w:t>
      </w:r>
      <w:r w:rsidRPr="00BE1572">
        <w:t>α</w:t>
      </w:r>
      <w:r w:rsidR="006040E3">
        <w:t>)</w:t>
      </w:r>
      <w:r w:rsidRPr="00BE1572">
        <w:t xml:space="preserve"> η δαπάνη για τις εφάπαξ συνταξιοδοτικές παροχές λόγω της εκτιμώμενης αύξησης του αριθμού των συνταξιοδοτήσεων, κυρίως του προσωπικού των </w:t>
      </w:r>
      <w:r w:rsidR="00C8648F">
        <w:t>Ε</w:t>
      </w:r>
      <w:r w:rsidRPr="00BE1572">
        <w:t xml:space="preserve">νόπλων </w:t>
      </w:r>
      <w:r w:rsidR="00C8648F">
        <w:t>Δ</w:t>
      </w:r>
      <w:r w:rsidRPr="00BE1572">
        <w:t xml:space="preserve">υνάμεων και </w:t>
      </w:r>
      <w:r w:rsidR="006040E3">
        <w:t>(</w:t>
      </w:r>
      <w:r w:rsidRPr="00BE1572">
        <w:t>β</w:t>
      </w:r>
      <w:r w:rsidR="006040E3">
        <w:t>)</w:t>
      </w:r>
      <w:r w:rsidRPr="00BE1572">
        <w:t xml:space="preserve"> η δαπάνη για τα επιδόματα που είναι συνδεδεμένα με το ύψος των κατώτατου μισθού (επιδόματα ασθένειας, μητρότητας, ατυχήματος, εορτών και αδείας κ.</w:t>
      </w:r>
      <w:r w:rsidR="00466281">
        <w:t>λπ</w:t>
      </w:r>
      <w:r w:rsidRPr="00BE1572">
        <w:t>.).</w:t>
      </w:r>
    </w:p>
    <w:p w14:paraId="722FF993" w14:textId="3810EC5C" w:rsidR="00B474BF" w:rsidRPr="00BE1572" w:rsidRDefault="00B474BF" w:rsidP="00B474BF">
      <w:r w:rsidRPr="00BE1572">
        <w:t>Τέλος, επισημαίνεται ότι στη δαπάνη για προνοιακές παροχές ύψους 1.846 εκατ. ευρώ για το έτος 2026 περιλαμβάν</w:t>
      </w:r>
      <w:r w:rsidR="00466281">
        <w:t xml:space="preserve">εται ποσό ύψους </w:t>
      </w:r>
      <w:r w:rsidRPr="00BE1572">
        <w:t xml:space="preserve">303 εκατ. ευρώ για την καταβολή της κοινωνικής ενίσχυσης ύψους 250 ευρώ σε συνταξιούχους και σε δικαιούχους αναπηρικών επιδομάτων που καταβάλλονται από τον </w:t>
      </w:r>
      <w:r w:rsidRPr="00BE1572">
        <w:rPr>
          <w:lang w:val="en-US"/>
        </w:rPr>
        <w:t>e</w:t>
      </w:r>
      <w:r w:rsidRPr="00BE1572">
        <w:t>-ΕΦΚΑ (άρθρο 72 του ν.5217/2025).</w:t>
      </w:r>
    </w:p>
    <w:p w14:paraId="24668A65" w14:textId="078D4162" w:rsidR="00EE19FB" w:rsidRPr="00731128" w:rsidRDefault="00EE19FB" w:rsidP="00300BBF">
      <w:pPr>
        <w:pStyle w:val="4"/>
      </w:pPr>
      <w:bookmarkStart w:id="406" w:name="_Toc214473777"/>
      <w:r w:rsidRPr="00731128">
        <w:lastRenderedPageBreak/>
        <w:t>Δημόσια Υπηρεσία Απασχόλησης</w:t>
      </w:r>
      <w:bookmarkEnd w:id="406"/>
    </w:p>
    <w:p w14:paraId="515DF2E7" w14:textId="77777777" w:rsidR="00B474BF" w:rsidRPr="00BE1572" w:rsidRDefault="00B474BF" w:rsidP="00B474BF">
      <w:r w:rsidRPr="00BE1572">
        <w:t>Το ισοζύγιο της ΔΥΠΑ κατά ESA για το 2026 προβλέπεται να ανέλθει σε πλεόνασμα ύψους 30 εκατ. ευρώ, μειωμένο κατά 7 εκατ. ευρώ σε σχέση με το αντίστοιχο εκτιμώμενο ισοζύγιο του 2025.</w:t>
      </w:r>
    </w:p>
    <w:p w14:paraId="1C3C667B" w14:textId="531BD217" w:rsidR="00B474BF" w:rsidRPr="00BE1572" w:rsidRDefault="00B474BF" w:rsidP="00B474BF">
      <w:r w:rsidRPr="00BE1572">
        <w:t>Τα συνολικά έσοδα του φορέα ύψους 3.775 εκατ. ευρώ προβλέπεται να είναι μειωμένα κατά 205 εκατ. ευρώ σε σχέση με το 2025 κυρίως εξαιτίας της μείωσης κατά 362 εκατ. ευρώ των μεταβιβάσεων από το</w:t>
      </w:r>
      <w:r w:rsidR="00466281">
        <w:t>ν προϋπολογισμό δημοσίων επενδύσεων</w:t>
      </w:r>
      <w:r w:rsidRPr="00BE1572">
        <w:t xml:space="preserve"> και ιδίως από το ΤΑΑ, οι οποίες εκτιμάται ότι θα διαμορφωθούν σε 496 εκατ. ευρώ.</w:t>
      </w:r>
    </w:p>
    <w:p w14:paraId="54343900" w14:textId="14DD0ED1" w:rsidR="00B474BF" w:rsidRPr="00BE1572" w:rsidRDefault="00B474BF" w:rsidP="00B474BF">
      <w:r w:rsidRPr="00BE1572">
        <w:t>Ταυτόχρονα, τα έσοδα από ασφαλιστικές εισφορές προβλέπεται να είναι αυξημένα κατά 64 εκατ. ευρώ και παράλληλα</w:t>
      </w:r>
      <w:r w:rsidR="00466281">
        <w:t>,</w:t>
      </w:r>
      <w:r w:rsidRPr="00BE1572">
        <w:t xml:space="preserve"> η επιχορήγηση από τον τακτικό προϋπολογισμό </w:t>
      </w:r>
      <w:r w:rsidR="00466281">
        <w:t>προβλέπεται να</w:t>
      </w:r>
      <w:r w:rsidRPr="00BE1572">
        <w:t xml:space="preserve"> αυξηθεί κατά 87 εκατ. ευρώ</w:t>
      </w:r>
      <w:r>
        <w:t>,</w:t>
      </w:r>
      <w:r w:rsidRPr="00BE1572">
        <w:t xml:space="preserve"> προκειμένου να διασφαλιστ</w:t>
      </w:r>
      <w:r w:rsidR="00466281">
        <w:t>ούν</w:t>
      </w:r>
      <w:r w:rsidRPr="00BE1572">
        <w:t xml:space="preserve"> η κάλυψη των υποχρεώσεων του φορέα και η απρόσκοπτη άσκηση των πολιτικών ενίσχυσης της απασχόλησης και της στήριξης των ανέργων.</w:t>
      </w:r>
    </w:p>
    <w:p w14:paraId="5B6E3610" w14:textId="0C845D57" w:rsidR="004B3A06" w:rsidRPr="004B3A06" w:rsidRDefault="00B474BF" w:rsidP="004B3A06">
      <w:r w:rsidRPr="00BE1572">
        <w:t>Αντίστοιχα, οι συνολικές δαπάνες της ΔΥΠΑ προβλέπεται να διαμορφωθούν σε 3.747 εκατ. ευρώ, παρουσιάζοντας μείωση κατά 195 εκατ. ευρώ</w:t>
      </w:r>
      <w:r w:rsidR="00A12C92">
        <w:t xml:space="preserve"> </w:t>
      </w:r>
      <w:r w:rsidR="00A12C92" w:rsidRPr="00BE1572">
        <w:t>σε σχέση με το 2025</w:t>
      </w:r>
      <w:r w:rsidR="000B20E2">
        <w:t>,</w:t>
      </w:r>
      <w:r w:rsidRPr="00BE1572">
        <w:t xml:space="preserve"> κυρίως εξαιτίας της μείωσης των δαπανών για την υλοποίηση προγραμμάτων απασχόλησης και επιμόρφωσης ανέργων και ασφαλισμένων</w:t>
      </w:r>
      <w:r w:rsidR="000B20E2">
        <w:t xml:space="preserve">, οι οποίες </w:t>
      </w:r>
      <w:r w:rsidRPr="00BE1572">
        <w:t xml:space="preserve">χρηματοδοτούνται κυρίως από το ΤΑΑ. </w:t>
      </w:r>
      <w:r w:rsidR="000B20E2">
        <w:t>Ωστόσο</w:t>
      </w:r>
      <w:r w:rsidRPr="00BE1572">
        <w:t>, τα προγράμματα απασχόλησης και επιμόρφωσης ανέργων και ασφαλισμένων που προβλέπεται να υλοποιηθούν εντός του 2026 ανέρχονται συνολικά σε 752 εκατ. ευρώ</w:t>
      </w:r>
      <w:r w:rsidR="000B20E2">
        <w:t>,</w:t>
      </w:r>
      <w:r w:rsidRPr="00BE1572">
        <w:t xml:space="preserve"> ενώ αύξηση κατά 49 εκατ. ευρώ προβλέπεται για τη δαπάνη των επιδομάτων ανεργίας, τα οποία συνδέονται με το ύψος του κατώτατου μισθού.</w:t>
      </w:r>
    </w:p>
    <w:p w14:paraId="3E0A5E76" w14:textId="755B716A" w:rsidR="00EE19FB" w:rsidRPr="005C267D" w:rsidRDefault="00EE19FB" w:rsidP="00300BBF">
      <w:pPr>
        <w:pStyle w:val="4"/>
      </w:pPr>
      <w:bookmarkStart w:id="407" w:name="_Toc214473778"/>
      <w:r w:rsidRPr="005C267D">
        <w:t>Εθνικός Οργανισμός Παροχής Υπηρεσιών Υγείας</w:t>
      </w:r>
      <w:bookmarkEnd w:id="407"/>
    </w:p>
    <w:p w14:paraId="0B4989AB" w14:textId="57C7E826" w:rsidR="00B474BF" w:rsidRPr="00FA3A23" w:rsidRDefault="00B474BF" w:rsidP="00FA3A23">
      <w:r w:rsidRPr="00FA3A23">
        <w:t xml:space="preserve">Το ισοζύγιο κατά ESA του ΕΟΠΥΥ για το οικονομικό έτος 2026 προβλέπεται να ανέλθει σε πλεόνασμα ύψους 628 εκατ. ευρώ, μειωμένο κατά 41 εκατ. ευρώ σε σχέση με </w:t>
      </w:r>
      <w:r w:rsidR="00A12C92">
        <w:t xml:space="preserve">την εκτίμηση </w:t>
      </w:r>
      <w:r w:rsidRPr="00FA3A23">
        <w:t>το</w:t>
      </w:r>
      <w:r w:rsidR="00A12C92">
        <w:t>υ</w:t>
      </w:r>
      <w:r w:rsidRPr="00FA3A23">
        <w:t xml:space="preserve"> 2025.</w:t>
      </w:r>
    </w:p>
    <w:p w14:paraId="1F330C9C" w14:textId="1400AB00" w:rsidR="00B474BF" w:rsidRPr="00FA3A23" w:rsidRDefault="00B474BF" w:rsidP="00FA3A23">
      <w:r w:rsidRPr="00FA3A23">
        <w:t xml:space="preserve">Τα έσοδα του φορέα σε ταμειακή βάση προβλέπεται </w:t>
      </w:r>
      <w:r w:rsidR="00AE7549">
        <w:t>να</w:t>
      </w:r>
      <w:r w:rsidRPr="00FA3A23">
        <w:t xml:space="preserve"> είναι αυξημένα κατά 210 εκατ. ευρώ σε σχέση με το 2025 και θα ανέλθουν σε 8.506 εκατ. ευρώ, κυρίως εξαιτίας της προβλεπόμενης αύξησης των εσόδων από ασφαλιστικές εισφορές κατά 187 εκατ. ευρώ.</w:t>
      </w:r>
    </w:p>
    <w:p w14:paraId="04778BF3" w14:textId="77777777" w:rsidR="00B474BF" w:rsidRPr="00FA3A23" w:rsidRDefault="00B474BF" w:rsidP="00FA3A23">
      <w:r w:rsidRPr="00FA3A23">
        <w:t>Το ύψος της επιχορήγησης από τον τακτικό προϋπολογισμό για το έτος 2026 εκτιμάται ότι θα ανέλθει σε 2.229 εκατ. ευρώ και ενσωματώνει, μεταξύ άλλων:</w:t>
      </w:r>
    </w:p>
    <w:p w14:paraId="7940A37E" w14:textId="79B4EC34" w:rsidR="00B474BF" w:rsidRPr="00FA3A23" w:rsidRDefault="00B474BF" w:rsidP="003C0664">
      <w:pPr>
        <w:numPr>
          <w:ilvl w:val="0"/>
          <w:numId w:val="27"/>
        </w:numPr>
        <w:spacing w:before="120" w:after="60"/>
        <w:ind w:left="357" w:hanging="357"/>
      </w:pPr>
      <w:r w:rsidRPr="00FA3A23">
        <w:t xml:space="preserve">912 εκατ. ευρώ για τη χρηματοδότηση των νοσοκομείων μέσω της εφαρμογής του συστήματος </w:t>
      </w:r>
      <w:r w:rsidRPr="00FA3A23">
        <w:rPr>
          <w:lang w:val="en-US"/>
        </w:rPr>
        <w:t>DRG</w:t>
      </w:r>
      <w:r w:rsidRPr="00FA3A23">
        <w:t xml:space="preserve"> με στόχο τη δίκαιη κατανομή των διαθέσιμων πόρων,</w:t>
      </w:r>
    </w:p>
    <w:p w14:paraId="3FCD1E25" w14:textId="3ED280FA" w:rsidR="00B474BF" w:rsidRPr="00FA3A23" w:rsidRDefault="00B474BF" w:rsidP="003C0664">
      <w:pPr>
        <w:numPr>
          <w:ilvl w:val="0"/>
          <w:numId w:val="27"/>
        </w:numPr>
        <w:spacing w:before="60" w:after="60"/>
        <w:ind w:left="357" w:hanging="357"/>
      </w:pPr>
      <w:r w:rsidRPr="00FA3A23">
        <w:t>578 εκατ. ευρώ για την κάλυψη της απώλειας των εσόδων λόγω της μείωσης κατά μία ποσοστιαία μονάδα των ασφαλιστικών εισφορών για την υγειονομική περίθαλψη,</w:t>
      </w:r>
    </w:p>
    <w:p w14:paraId="3B0A5792" w14:textId="77777777" w:rsidR="00B474BF" w:rsidRPr="00FA3A23" w:rsidRDefault="00B474BF" w:rsidP="003C0664">
      <w:pPr>
        <w:numPr>
          <w:ilvl w:val="0"/>
          <w:numId w:val="27"/>
        </w:numPr>
        <w:spacing w:before="60" w:after="60"/>
        <w:ind w:left="357" w:hanging="357"/>
      </w:pPr>
      <w:r w:rsidRPr="00FA3A23">
        <w:t>50 εκατ. ευρώ για τη σύσταση του Ταμείου Καινοτομίας Φαρμάκων και</w:t>
      </w:r>
    </w:p>
    <w:p w14:paraId="16CE459F" w14:textId="352ABED2" w:rsidR="00B474BF" w:rsidRDefault="00B474BF" w:rsidP="003C0664">
      <w:pPr>
        <w:numPr>
          <w:ilvl w:val="0"/>
          <w:numId w:val="27"/>
        </w:numPr>
        <w:spacing w:before="60"/>
        <w:ind w:left="357" w:hanging="357"/>
      </w:pPr>
      <w:r w:rsidRPr="00FA3A23">
        <w:t>την πρόβλεψη πιστώσεων για την κάλυψη της πιθανής αύξησης του ορίου της φαρμακευτικής δαπάνης έτους 2025 (παρ.3 και 4 του άρθρου 25 του ν.4549/2018).</w:t>
      </w:r>
    </w:p>
    <w:p w14:paraId="116C5543" w14:textId="77777777" w:rsidR="00B474BF" w:rsidRPr="00FA3A23" w:rsidRDefault="00B474BF" w:rsidP="003C0664">
      <w:pPr>
        <w:spacing w:before="120"/>
      </w:pPr>
      <w:r w:rsidRPr="00FA3A23">
        <w:t>Οι μεταβιβάσεις από τον προϋπολογισμό δημοσίων επενδύσεων στοχεύουν κυρίως στην υλοποίηση συνεχιζόμενων έργων και προγραμμάτων, όπως η κάλυψη της δαπάνης συμψηφισμού της αυτόματης επιστροφής (clawback) φαρμακευτικής δαπάνης με ποσοστά επί των δαπανών έρευνας και ανάπτυξης και των δαπανών επενδυτικών σχεδίων ανάπτυξης προϊόντων ή υπηρεσιών ή γραμμών παραγωγής, η διενέργεια προληπτικών εξετάσεων, o ψηφιακός μετασχηματισμός του ΕΟΠΥΥ κ.λπ.</w:t>
      </w:r>
    </w:p>
    <w:p w14:paraId="040FB500" w14:textId="31A34317" w:rsidR="00B474BF" w:rsidRPr="00FA3A23" w:rsidRDefault="00B474BF" w:rsidP="00B474BF">
      <w:r w:rsidRPr="00FA3A23">
        <w:t>Αντίστοιχα, οι δαπάνες προβλέπεται να παρουσιάσουν αύξηση κατά 251 εκατ. ευρώ σε σχέση με το 2025 και να διαμορφωθούν σε 7.879 εκατ. ευρώ εξαιτίας της ισόποσης αύξησης της φαρμακευτικής δαπάνης και της δαπάνης παροχών υπηρεσιών</w:t>
      </w:r>
      <w:r w:rsidR="00AE7549">
        <w:t>,</w:t>
      </w:r>
      <w:r w:rsidRPr="00FA3A23">
        <w:t xml:space="preserve"> στο πλαίσιο της συνεχιζόμενης προσπάθειας για την κάλυψη της αυξημένης ζήτησης για υπηρεσίες υγειονομικής περίθαλψης.</w:t>
      </w:r>
    </w:p>
    <w:p w14:paraId="699F7A51" w14:textId="30EE4654" w:rsidR="00B474BF" w:rsidRPr="00FA3A23" w:rsidRDefault="00B474BF" w:rsidP="00B474BF">
      <w:r w:rsidRPr="00FA3A23">
        <w:lastRenderedPageBreak/>
        <w:t>Επίσης, στο πλαίσιο της προσπάθειας εξορθολογισμού της δαπάνης και της μείωσης του clawback καθώς και της βελτίωσης των παρεχόμενων υπηρεσιών προς τους πολίτες, έχουν προβλεφθεί δαπάνες για την υλοποίηση</w:t>
      </w:r>
      <w:r w:rsidR="00AE7549">
        <w:t>,</w:t>
      </w:r>
      <w:r w:rsidRPr="00FA3A23">
        <w:t xml:space="preserve"> σε πραγματικό χρόνο</w:t>
      </w:r>
      <w:r w:rsidR="00AE7549">
        <w:t>,</w:t>
      </w:r>
      <w:r w:rsidRPr="00FA3A23">
        <w:t xml:space="preserve"> ελέγχων στις συμβεβλημένες με τον ΕΟΠΥΥ ιδιωτικές δομές υγείας καθώς και για την υλοποίηση δράσεων που </w:t>
      </w:r>
      <w:r w:rsidR="00AE7549">
        <w:t xml:space="preserve">αποβλέπουν </w:t>
      </w:r>
      <w:r w:rsidRPr="00FA3A23">
        <w:t xml:space="preserve">στη βελτίωση των παρεχόμενων υπηρεσιών προς τους πολίτες, όπως ενδεικτικά η αποστολή κατ’ οίκον φαρμακευτικών σκευασμάτων για τη θεραπεία σοβαρών </w:t>
      </w:r>
      <w:r w:rsidR="00BE2742">
        <w:t>νοσημάτων</w:t>
      </w:r>
      <w:r w:rsidRPr="00FA3A23">
        <w:t xml:space="preserve"> (άρθρο 15 του ν.5057/2023, Α’ 164).</w:t>
      </w:r>
    </w:p>
    <w:p w14:paraId="262473E8" w14:textId="77777777" w:rsidR="00B474BF" w:rsidRPr="00FA3A23" w:rsidRDefault="00B474BF" w:rsidP="00B474BF">
      <w:r w:rsidRPr="00FA3A23">
        <w:t>Παράλληλα, επιδιώκεται η μείωση του ύψους των απλήρωτων υποχρεώσεων του Οργανισμού προς τρίτους, μέσω της επιτάχυνσης του συμψηφισμού υποχρεώσεων με οφειλόμενα ποσά από τους μηχανισμούς αυτόματων επιστροφών και εκπτώσεων (clawback και rebate).</w:t>
      </w:r>
    </w:p>
    <w:p w14:paraId="5F7F5622" w14:textId="77777777" w:rsidR="00B474BF" w:rsidRPr="00FA3A23" w:rsidRDefault="00B474BF" w:rsidP="00B474BF">
      <w:r w:rsidRPr="00FA3A23">
        <w:t>Τέλος, σημειώνεται ότι τα επιτρεπόμενα όρια της φαρμακευτικής δαπάνης και της δαπάνης για παροχές υγείας σε δεδουλευμένη βάση είναι αυξημένα για το έτος 2026 σε σχέση με το 2025, καθώς έχουν αναπροσαρμοστεί βάσει της προβλεπόμενης κατ’ έτος μεταβολής του πραγματικού ΑΕΠ (άρθρο 25 του ν.4549/2018). Κατά συνέπεια:</w:t>
      </w:r>
    </w:p>
    <w:p w14:paraId="331841CD" w14:textId="648E2F82" w:rsidR="00B474BF" w:rsidRPr="00FA3A23" w:rsidRDefault="00B474BF" w:rsidP="00B474BF">
      <w:pPr>
        <w:numPr>
          <w:ilvl w:val="0"/>
          <w:numId w:val="1"/>
        </w:numPr>
        <w:spacing w:before="120" w:after="60"/>
        <w:ind w:left="568" w:hanging="284"/>
      </w:pPr>
      <w:r w:rsidRPr="00FA3A23">
        <w:t xml:space="preserve">το όριο της φαρμακευτικής δαπάνης, πριν </w:t>
      </w:r>
      <w:r w:rsidR="00C8648F">
        <w:t xml:space="preserve">από </w:t>
      </w:r>
      <w:r w:rsidRPr="00FA3A23">
        <w:t>την αναπροσαρμογή με βάση το δεύτερο εδάφιο της παρ.2 και την παρ.3 του άρθρου 25 του ν.4549/2018, ανέρχεται σε 2.236 εκατ. ευρώ για το 2025, ενώ για το 2026 διαμορφώνεται σε 2.289 εκατ. ευρώ και</w:t>
      </w:r>
    </w:p>
    <w:p w14:paraId="44A11B15" w14:textId="5687FFFC" w:rsidR="00B474BF" w:rsidRPr="00FA3A23" w:rsidRDefault="00B474BF" w:rsidP="00B474BF">
      <w:pPr>
        <w:numPr>
          <w:ilvl w:val="0"/>
          <w:numId w:val="1"/>
        </w:numPr>
        <w:spacing w:before="60"/>
        <w:ind w:left="568" w:hanging="284"/>
      </w:pPr>
      <w:r w:rsidRPr="00FA3A23">
        <w:t>το επιτρεπόμενο όριο δαπάνης παροχών υγείας</w:t>
      </w:r>
      <w:r w:rsidR="004700D9">
        <w:t>,</w:t>
      </w:r>
      <w:r w:rsidRPr="00FA3A23">
        <w:t xml:space="preserve"> σε δεδουλευμένη βάση, ανέρχεται σε 1.698 και 1.738 εκατ. ευρώ για τα έτη 2025 και 2026, αντίστοιχα.</w:t>
      </w:r>
    </w:p>
    <w:p w14:paraId="7398C4A6" w14:textId="6E2FE62F" w:rsidR="00B474BF" w:rsidRPr="00FA3A23" w:rsidRDefault="00B474BF" w:rsidP="00B474BF">
      <w:r w:rsidRPr="00FA3A23">
        <w:t>Σημειώνεται ότι στη δημοσιονομική εκτίμηση του αποτελέσματος του ΕΟΠΥΥ για τα έτη 2025 και 2026 λαμβάνεται υπόψη η αναπροσαρμογή του ορίου της φαρμακευτικής δαπάνης βάσει της παρ.3 του άρθρου 25 και του δε</w:t>
      </w:r>
      <w:r w:rsidR="00C8648F">
        <w:t>υ</w:t>
      </w:r>
      <w:r w:rsidR="00D07D74">
        <w:t>τ</w:t>
      </w:r>
      <w:r w:rsidR="00C8648F">
        <w:t>έ</w:t>
      </w:r>
      <w:r w:rsidR="00D07D74">
        <w:t>ρου</w:t>
      </w:r>
      <w:r w:rsidRPr="00FA3A23">
        <w:t xml:space="preserve"> εδαφίου της παρ.2 του </w:t>
      </w:r>
      <w:r w:rsidR="004700D9">
        <w:t xml:space="preserve">ν.4549/2018 </w:t>
      </w:r>
      <w:r w:rsidRPr="00FA3A23">
        <w:t xml:space="preserve">για το 2026, όπως αποτυπώνεται </w:t>
      </w:r>
      <w:r w:rsidRPr="0098356F">
        <w:t xml:space="preserve">συνολικά </w:t>
      </w:r>
      <w:r w:rsidR="0095740D" w:rsidRPr="0098356F">
        <w:t>παρα</w:t>
      </w:r>
      <w:r w:rsidR="00484E5E" w:rsidRPr="0098356F">
        <w:t>πάνω</w:t>
      </w:r>
      <w:r w:rsidR="0095740D" w:rsidRPr="0098356F">
        <w:t xml:space="preserve"> (</w:t>
      </w:r>
      <w:r w:rsidR="00484E5E" w:rsidRPr="0098356F">
        <w:fldChar w:fldCharType="begin"/>
      </w:r>
      <w:r w:rsidR="00484E5E" w:rsidRPr="0098356F">
        <w:instrText xml:space="preserve"> REF _Ref214277293 \h  \* MERGEFORMAT </w:instrText>
      </w:r>
      <w:r w:rsidR="00484E5E" w:rsidRPr="0098356F">
        <w:fldChar w:fldCharType="separate"/>
      </w:r>
      <w:r w:rsidR="00E15678" w:rsidRPr="00E15678">
        <w:t>Πίνακας 3.21</w:t>
      </w:r>
      <w:r w:rsidR="00484E5E" w:rsidRPr="0098356F">
        <w:fldChar w:fldCharType="end"/>
      </w:r>
      <w:r w:rsidR="00484E5E" w:rsidRPr="0098356F">
        <w:t>.</w:t>
      </w:r>
      <w:r w:rsidR="0095740D" w:rsidRPr="0098356F">
        <w:t>)</w:t>
      </w:r>
      <w:r w:rsidRPr="0098356F">
        <w:t>.</w:t>
      </w:r>
    </w:p>
    <w:p w14:paraId="2643D8F1" w14:textId="2FA2B094" w:rsidR="00EE19FB" w:rsidRPr="005C267D" w:rsidRDefault="00EE19FB" w:rsidP="00300BBF">
      <w:pPr>
        <w:pStyle w:val="4"/>
      </w:pPr>
      <w:bookmarkStart w:id="408" w:name="_Toc214473779"/>
      <w:r w:rsidRPr="005C267D">
        <w:t xml:space="preserve">Οργανισμός Προνοιακών Επιδομάτων και Κοινωνικής Αλληλεγγύης </w:t>
      </w:r>
      <w:r w:rsidR="005C4C3B">
        <w:t>-</w:t>
      </w:r>
      <w:r w:rsidRPr="005C267D">
        <w:t xml:space="preserve"> Ναυτικό Απομαχικό Ταμείο</w:t>
      </w:r>
      <w:bookmarkEnd w:id="408"/>
    </w:p>
    <w:p w14:paraId="31911698" w14:textId="77777777" w:rsidR="003C0664" w:rsidRPr="00BE1572" w:rsidRDefault="003C0664" w:rsidP="003C0664">
      <w:r w:rsidRPr="00BE1572">
        <w:t>Το ισοζύγιο κατά ESA του ΟΠΕΚΑ και του ΝΑΤ για το έτος 2026 ανέρχεται σε πλεόνασμα ύψους 25 εκατ. ευρώ έναντι πλεονάσματος ύψους 24 εκατ. ευρώ για το 2025.</w:t>
      </w:r>
    </w:p>
    <w:p w14:paraId="261C9FF5" w14:textId="77777777" w:rsidR="003C0664" w:rsidRPr="00BE1572" w:rsidRDefault="003C0664" w:rsidP="003C0664">
      <w:r w:rsidRPr="00BE1572">
        <w:t>Τα συνολικά έσοδα προβλέπεται να είναι αυξημένα κατά 4</w:t>
      </w:r>
      <w:r>
        <w:t>9</w:t>
      </w:r>
      <w:r w:rsidRPr="00BE1572">
        <w:t xml:space="preserve"> εκατ. ευρώ σε σχέση με το 2025 εξαιτίας των αυξημένων μεταβιβάσεων από τον κρατικό προϋπολογισμό για την καταβολή των προνοιακών παροχών και των οικονομικών ενισχύσεων από τον ΟΠΕΚΑ.</w:t>
      </w:r>
    </w:p>
    <w:p w14:paraId="33315292" w14:textId="255B84CF" w:rsidR="003C0664" w:rsidRPr="00BE1572" w:rsidRDefault="003C0664" w:rsidP="003C0664">
      <w:r w:rsidRPr="00BE1572">
        <w:t xml:space="preserve">Αντίστοιχα, οι δαπάνες προβλέπεται να αυξηθούν κατά 47 εκατ. ευρώ και να διαμορφωθούν σε 3.278 εκατ. ευρώ και αφορούν κατά κύριο λόγο </w:t>
      </w:r>
      <w:r w:rsidR="00D07D74">
        <w:t>σ</w:t>
      </w:r>
      <w:r w:rsidRPr="00BE1572">
        <w:t>την καταβολή των προνοιακών παροχών και οικονομικών ενισχύσεων που έχουν ήδη νομοθετηθεί και υλοποιούνται, όπως:</w:t>
      </w:r>
    </w:p>
    <w:p w14:paraId="06397958" w14:textId="77777777" w:rsidR="003C0664" w:rsidRPr="00BE1572" w:rsidRDefault="003C0664" w:rsidP="003C0664">
      <w:pPr>
        <w:numPr>
          <w:ilvl w:val="0"/>
          <w:numId w:val="1"/>
        </w:numPr>
        <w:spacing w:before="120" w:after="60"/>
        <w:ind w:left="568" w:hanging="284"/>
        <w:rPr>
          <w:rFonts w:cs="Arial"/>
        </w:rPr>
      </w:pPr>
      <w:r w:rsidRPr="00BE1572">
        <w:rPr>
          <w:rFonts w:cs="Arial"/>
        </w:rPr>
        <w:t>η παροχή σε ανασφάλιστους υπερήλικες,</w:t>
      </w:r>
    </w:p>
    <w:p w14:paraId="65F0D153" w14:textId="77777777" w:rsidR="003C0664" w:rsidRPr="00BE1572" w:rsidRDefault="003C0664" w:rsidP="003C0664">
      <w:pPr>
        <w:numPr>
          <w:ilvl w:val="0"/>
          <w:numId w:val="1"/>
        </w:numPr>
        <w:spacing w:before="60" w:after="60"/>
        <w:ind w:left="568" w:hanging="284"/>
        <w:rPr>
          <w:rFonts w:cs="Arial"/>
        </w:rPr>
      </w:pPr>
      <w:r w:rsidRPr="00BE1572">
        <w:rPr>
          <w:rFonts w:cs="Arial"/>
        </w:rPr>
        <w:t>το επίδομα κοινωνικής αλληλεγγύης ανασφάλιστων υπερηλίκων,</w:t>
      </w:r>
    </w:p>
    <w:p w14:paraId="629B4B5F" w14:textId="77777777" w:rsidR="003C0664" w:rsidRPr="00BE1572" w:rsidRDefault="003C0664" w:rsidP="003C0664">
      <w:pPr>
        <w:numPr>
          <w:ilvl w:val="0"/>
          <w:numId w:val="1"/>
        </w:numPr>
        <w:spacing w:before="60" w:after="60"/>
        <w:ind w:left="568" w:hanging="284"/>
        <w:rPr>
          <w:rFonts w:cs="Arial"/>
        </w:rPr>
      </w:pPr>
      <w:r w:rsidRPr="00BE1572">
        <w:rPr>
          <w:rFonts w:cs="Arial"/>
        </w:rPr>
        <w:t>το επίδομα παιδιού,</w:t>
      </w:r>
    </w:p>
    <w:p w14:paraId="7AA75CC4" w14:textId="77777777" w:rsidR="003C0664" w:rsidRPr="00BE1572" w:rsidRDefault="003C0664" w:rsidP="003C0664">
      <w:pPr>
        <w:numPr>
          <w:ilvl w:val="0"/>
          <w:numId w:val="1"/>
        </w:numPr>
        <w:spacing w:before="60" w:after="60"/>
        <w:ind w:left="568" w:hanging="284"/>
        <w:rPr>
          <w:rFonts w:cs="Arial"/>
        </w:rPr>
      </w:pPr>
      <w:r w:rsidRPr="00BE1572">
        <w:rPr>
          <w:rFonts w:cs="Arial"/>
        </w:rPr>
        <w:t>το Ελάχιστο Εγγυημένο Εισόδημα,</w:t>
      </w:r>
    </w:p>
    <w:p w14:paraId="019EC291" w14:textId="77777777" w:rsidR="003C0664" w:rsidRPr="00BE1572" w:rsidRDefault="003C0664" w:rsidP="003C0664">
      <w:pPr>
        <w:numPr>
          <w:ilvl w:val="0"/>
          <w:numId w:val="1"/>
        </w:numPr>
        <w:spacing w:before="60" w:after="60"/>
        <w:ind w:left="568" w:hanging="284"/>
        <w:rPr>
          <w:rFonts w:cs="Arial"/>
        </w:rPr>
      </w:pPr>
      <w:r w:rsidRPr="00BE1572">
        <w:rPr>
          <w:rFonts w:cs="Arial"/>
        </w:rPr>
        <w:t>η επιδότηση στέγασης,</w:t>
      </w:r>
    </w:p>
    <w:p w14:paraId="429AF5CA" w14:textId="77777777" w:rsidR="003C0664" w:rsidRPr="00BE1572" w:rsidRDefault="003C0664" w:rsidP="003C0664">
      <w:pPr>
        <w:numPr>
          <w:ilvl w:val="0"/>
          <w:numId w:val="1"/>
        </w:numPr>
        <w:spacing w:before="60" w:after="60"/>
        <w:ind w:left="568" w:hanging="284"/>
        <w:rPr>
          <w:rFonts w:cs="Arial"/>
        </w:rPr>
      </w:pPr>
      <w:r w:rsidRPr="00BE1572">
        <w:rPr>
          <w:rFonts w:cs="Arial"/>
        </w:rPr>
        <w:t>οι προνοιακές παροχές σε χρήμα σε άτομα με αναπηρία,</w:t>
      </w:r>
    </w:p>
    <w:p w14:paraId="4DD41A4E" w14:textId="77777777" w:rsidR="003C0664" w:rsidRPr="00BE1572" w:rsidRDefault="003C0664" w:rsidP="003C0664">
      <w:pPr>
        <w:numPr>
          <w:ilvl w:val="0"/>
          <w:numId w:val="1"/>
        </w:numPr>
        <w:spacing w:before="60" w:after="60"/>
        <w:ind w:left="568" w:hanging="284"/>
        <w:rPr>
          <w:rFonts w:cs="Arial"/>
        </w:rPr>
      </w:pPr>
      <w:r w:rsidRPr="00BE1572">
        <w:rPr>
          <w:rFonts w:cs="Arial"/>
        </w:rPr>
        <w:t>το επίδομα γέννησης,</w:t>
      </w:r>
    </w:p>
    <w:p w14:paraId="5D01F20F" w14:textId="77777777" w:rsidR="003C0664" w:rsidRPr="00BE1572" w:rsidRDefault="003C0664" w:rsidP="003C0664">
      <w:pPr>
        <w:numPr>
          <w:ilvl w:val="0"/>
          <w:numId w:val="1"/>
        </w:numPr>
        <w:spacing w:before="60" w:after="60"/>
        <w:ind w:left="568" w:hanging="284"/>
        <w:rPr>
          <w:rFonts w:cs="Arial"/>
        </w:rPr>
      </w:pPr>
      <w:r w:rsidRPr="00BE1572">
        <w:rPr>
          <w:rFonts w:cs="Arial"/>
        </w:rPr>
        <w:t>το πρόγραμμα «Σχολικά γεύματα»,</w:t>
      </w:r>
    </w:p>
    <w:p w14:paraId="2EB00D7B" w14:textId="2ED20410" w:rsidR="003C0664" w:rsidRPr="00BE1572" w:rsidRDefault="003C0664" w:rsidP="003C0664">
      <w:pPr>
        <w:numPr>
          <w:ilvl w:val="0"/>
          <w:numId w:val="1"/>
        </w:numPr>
        <w:spacing w:before="60" w:after="60"/>
        <w:ind w:left="568" w:hanging="284"/>
        <w:rPr>
          <w:rFonts w:cs="Arial"/>
        </w:rPr>
      </w:pPr>
      <w:r w:rsidRPr="00BE1572">
        <w:rPr>
          <w:rFonts w:cs="Arial"/>
        </w:rPr>
        <w:t>το πρόγραμμα «Στέγαση και Εργασία»</w:t>
      </w:r>
    </w:p>
    <w:p w14:paraId="3301EDF8" w14:textId="49F2AF3B" w:rsidR="003C0664" w:rsidRPr="00BE1572" w:rsidRDefault="003C0664" w:rsidP="003C0664">
      <w:pPr>
        <w:numPr>
          <w:ilvl w:val="0"/>
          <w:numId w:val="1"/>
        </w:numPr>
        <w:spacing w:before="60" w:after="60"/>
        <w:ind w:left="568" w:hanging="284"/>
        <w:rPr>
          <w:rFonts w:cs="Arial"/>
        </w:rPr>
      </w:pPr>
      <w:r w:rsidRPr="00BE1572">
        <w:rPr>
          <w:rFonts w:cs="Arial"/>
        </w:rPr>
        <w:lastRenderedPageBreak/>
        <w:t>το πρόγραμμα «Προσωπικός Βοηθός»</w:t>
      </w:r>
    </w:p>
    <w:p w14:paraId="6C13051A" w14:textId="77777777" w:rsidR="003C0664" w:rsidRPr="00BE1572" w:rsidRDefault="003C0664" w:rsidP="003C0664">
      <w:pPr>
        <w:numPr>
          <w:ilvl w:val="0"/>
          <w:numId w:val="1"/>
        </w:numPr>
        <w:spacing w:before="60" w:after="60"/>
        <w:ind w:left="568" w:hanging="284"/>
        <w:rPr>
          <w:rFonts w:cs="Arial"/>
        </w:rPr>
      </w:pPr>
      <w:r w:rsidRPr="00BE1572">
        <w:rPr>
          <w:rFonts w:cs="Arial"/>
        </w:rPr>
        <w:t>το Πρόγραμμα Δημογραφικής Ανάπτυξης και</w:t>
      </w:r>
    </w:p>
    <w:p w14:paraId="30B7B79F" w14:textId="77777777" w:rsidR="003C0664" w:rsidRPr="00BE1572" w:rsidRDefault="003C0664" w:rsidP="003C0664">
      <w:pPr>
        <w:numPr>
          <w:ilvl w:val="0"/>
          <w:numId w:val="1"/>
        </w:numPr>
        <w:spacing w:before="60"/>
        <w:ind w:left="568" w:hanging="284"/>
      </w:pPr>
      <w:r w:rsidRPr="00BE1572">
        <w:rPr>
          <w:rFonts w:cs="Arial"/>
        </w:rPr>
        <w:t>λοιπά</w:t>
      </w:r>
      <w:r w:rsidRPr="00BE1572">
        <w:t xml:space="preserve"> προγράμματα και δράσεις που αφορούν σε προνοιακές πολιτικές,</w:t>
      </w:r>
    </w:p>
    <w:p w14:paraId="130C2E4C" w14:textId="2B21D871" w:rsidR="003C0664" w:rsidRPr="00BE1572" w:rsidRDefault="003C0664" w:rsidP="0095740D">
      <w:pPr>
        <w:spacing w:after="240"/>
      </w:pPr>
      <w:r w:rsidRPr="00BE1572">
        <w:t>Στα ανωτέρω περιλαμβάν</w:t>
      </w:r>
      <w:r w:rsidR="00D07D74">
        <w:t xml:space="preserve">εται ποσό ύψους </w:t>
      </w:r>
      <w:r w:rsidRPr="00BE1572">
        <w:t>53 εκατ. ευρώ</w:t>
      </w:r>
      <w:r w:rsidR="00A12C92">
        <w:t>,</w:t>
      </w:r>
      <w:r w:rsidR="004B04F5">
        <w:t xml:space="preserve"> το οποίο αφορά στην </w:t>
      </w:r>
      <w:r w:rsidRPr="00BE1572">
        <w:t xml:space="preserve">κοινωνική ενίσχυση </w:t>
      </w:r>
      <w:r w:rsidR="004B04F5" w:rsidRPr="00BE1572">
        <w:t>ανασφάλιστ</w:t>
      </w:r>
      <w:r w:rsidR="004B04F5">
        <w:t>ων</w:t>
      </w:r>
      <w:r w:rsidR="004B04F5" w:rsidRPr="00BE1572">
        <w:t xml:space="preserve"> υπερ</w:t>
      </w:r>
      <w:r w:rsidR="004B04F5">
        <w:t xml:space="preserve">ηλίκων </w:t>
      </w:r>
      <w:r w:rsidR="004B04F5" w:rsidRPr="00BE1572">
        <w:t xml:space="preserve">και </w:t>
      </w:r>
      <w:r w:rsidR="004B04F5">
        <w:t>δικαιούχων αναπηρικών επιδομάτων,</w:t>
      </w:r>
      <w:r w:rsidR="004B04F5" w:rsidRPr="00BE1572">
        <w:t xml:space="preserve"> </w:t>
      </w:r>
      <w:r w:rsidRPr="00BE1572">
        <w:t>ύψους 250 ευρώ</w:t>
      </w:r>
      <w:r w:rsidR="004B04F5">
        <w:t>,</w:t>
      </w:r>
      <w:r w:rsidRPr="00BE1572">
        <w:t xml:space="preserve"> που θα καταβάλλεται εφεξής κάθε Νοέμβριο, σύμφωνα με το άρθρο 72 του ν.5217/2025.</w:t>
      </w:r>
    </w:p>
    <w:tbl>
      <w:tblPr>
        <w:tblW w:w="8580"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5340"/>
        <w:gridCol w:w="1620"/>
        <w:gridCol w:w="1620"/>
      </w:tblGrid>
      <w:tr w:rsidR="0095740D" w:rsidRPr="005119B1" w14:paraId="3D8D6330" w14:textId="77777777" w:rsidTr="00332EE4">
        <w:trPr>
          <w:cantSplit/>
          <w:trHeight w:val="397"/>
          <w:tblHeader/>
          <w:jc w:val="center"/>
        </w:trPr>
        <w:tc>
          <w:tcPr>
            <w:tcW w:w="8580" w:type="dxa"/>
            <w:gridSpan w:val="3"/>
            <w:tcBorders>
              <w:top w:val="single" w:sz="2" w:space="0" w:color="A6A6A6" w:themeColor="background1" w:themeShade="A6"/>
              <w:bottom w:val="single" w:sz="2" w:space="0" w:color="A6A6A6" w:themeColor="background1" w:themeShade="A6"/>
            </w:tcBorders>
            <w:shd w:val="clear" w:color="000000" w:fill="D5DCE4"/>
            <w:vAlign w:val="center"/>
            <w:hideMark/>
          </w:tcPr>
          <w:p w14:paraId="71E1FC94" w14:textId="242D7385" w:rsidR="00950788" w:rsidRDefault="0095740D" w:rsidP="005119B1">
            <w:pPr>
              <w:spacing w:after="0" w:line="276" w:lineRule="auto"/>
              <w:jc w:val="center"/>
              <w:rPr>
                <w:rFonts w:cs="Arial"/>
                <w:b/>
                <w:bCs/>
                <w:color w:val="000000"/>
                <w:sz w:val="18"/>
                <w:szCs w:val="16"/>
              </w:rPr>
            </w:pPr>
            <w:bookmarkStart w:id="409" w:name="_Ref214045469"/>
            <w:bookmarkStart w:id="410" w:name="_Toc214474060"/>
            <w:r w:rsidRPr="005119B1">
              <w:rPr>
                <w:rFonts w:cs="Arial"/>
                <w:b/>
                <w:sz w:val="18"/>
                <w:szCs w:val="16"/>
              </w:rPr>
              <w:t>Πίνακας 3.</w:t>
            </w:r>
            <w:r w:rsidRPr="005119B1">
              <w:rPr>
                <w:rFonts w:cs="Arial"/>
                <w:b/>
                <w:sz w:val="18"/>
                <w:szCs w:val="16"/>
              </w:rPr>
              <w:fldChar w:fldCharType="begin"/>
            </w:r>
            <w:r w:rsidRPr="005119B1">
              <w:rPr>
                <w:rFonts w:cs="Arial"/>
                <w:b/>
                <w:sz w:val="18"/>
                <w:szCs w:val="16"/>
              </w:rPr>
              <w:instrText xml:space="preserve"> SEQ Πίνακας_3. \* ARABIC </w:instrText>
            </w:r>
            <w:r w:rsidRPr="005119B1">
              <w:rPr>
                <w:rFonts w:cs="Arial"/>
                <w:b/>
                <w:sz w:val="18"/>
                <w:szCs w:val="16"/>
              </w:rPr>
              <w:fldChar w:fldCharType="separate"/>
            </w:r>
            <w:r w:rsidR="00E15678">
              <w:rPr>
                <w:rFonts w:cs="Arial"/>
                <w:b/>
                <w:noProof/>
                <w:sz w:val="18"/>
                <w:szCs w:val="16"/>
              </w:rPr>
              <w:t>22</w:t>
            </w:r>
            <w:r w:rsidRPr="005119B1">
              <w:rPr>
                <w:rFonts w:cs="Arial"/>
                <w:b/>
                <w:sz w:val="18"/>
                <w:szCs w:val="16"/>
              </w:rPr>
              <w:fldChar w:fldCharType="end"/>
            </w:r>
            <w:bookmarkEnd w:id="409"/>
            <w:r w:rsidR="00950788">
              <w:rPr>
                <w:rFonts w:cs="Arial"/>
                <w:b/>
                <w:sz w:val="18"/>
                <w:szCs w:val="16"/>
              </w:rPr>
              <w:t>.</w:t>
            </w:r>
            <w:r w:rsidRPr="005119B1">
              <w:rPr>
                <w:rFonts w:cs="Arial"/>
                <w:b/>
                <w:bCs/>
                <w:color w:val="000000"/>
                <w:sz w:val="18"/>
                <w:szCs w:val="16"/>
              </w:rPr>
              <w:t>: Προϋπολογισμοί Οργανισμών Κοινωνικής Ασφάλισης</w:t>
            </w:r>
            <w:bookmarkEnd w:id="410"/>
          </w:p>
          <w:p w14:paraId="1E9E64CA" w14:textId="42D49EEF" w:rsidR="0095740D" w:rsidRPr="005119B1" w:rsidRDefault="005119B1" w:rsidP="005119B1">
            <w:pPr>
              <w:spacing w:after="0" w:line="276" w:lineRule="auto"/>
              <w:jc w:val="center"/>
              <w:rPr>
                <w:rFonts w:cs="Arial"/>
                <w:b/>
                <w:bCs/>
                <w:color w:val="000000"/>
                <w:sz w:val="18"/>
                <w:szCs w:val="16"/>
              </w:rPr>
            </w:pPr>
            <w:r w:rsidRPr="005119B1">
              <w:rPr>
                <w:rFonts w:cs="Arial"/>
                <w:b/>
                <w:bCs/>
                <w:color w:val="000000"/>
                <w:sz w:val="18"/>
                <w:szCs w:val="16"/>
              </w:rPr>
              <w:t>(σε εκατ. ευρώ)</w:t>
            </w:r>
          </w:p>
        </w:tc>
      </w:tr>
      <w:tr w:rsidR="0095740D" w:rsidRPr="005119B1" w14:paraId="731B91B8" w14:textId="77777777" w:rsidTr="00A31D67">
        <w:trPr>
          <w:cantSplit/>
          <w:tblHeader/>
          <w:jc w:val="center"/>
        </w:trPr>
        <w:tc>
          <w:tcPr>
            <w:tcW w:w="5340" w:type="dxa"/>
            <w:vMerge w:val="restart"/>
            <w:tcBorders>
              <w:top w:val="single" w:sz="2" w:space="0" w:color="A6A6A6" w:themeColor="background1" w:themeShade="A6"/>
            </w:tcBorders>
            <w:shd w:val="clear" w:color="auto" w:fill="F2F2F2" w:themeFill="background1" w:themeFillShade="F2"/>
            <w:vAlign w:val="center"/>
            <w:hideMark/>
          </w:tcPr>
          <w:p w14:paraId="6E24F865" w14:textId="2E0ECDBF" w:rsidR="0095740D" w:rsidRPr="005119B1" w:rsidRDefault="0095740D" w:rsidP="005119B1">
            <w:pPr>
              <w:spacing w:after="0" w:line="276" w:lineRule="auto"/>
              <w:jc w:val="center"/>
              <w:rPr>
                <w:rFonts w:cs="Arial"/>
                <w:b/>
                <w:bCs/>
                <w:color w:val="000000"/>
                <w:sz w:val="16"/>
                <w:szCs w:val="16"/>
              </w:rPr>
            </w:pPr>
          </w:p>
        </w:tc>
        <w:tc>
          <w:tcPr>
            <w:tcW w:w="1620" w:type="dxa"/>
            <w:tcBorders>
              <w:top w:val="single" w:sz="2" w:space="0" w:color="A6A6A6" w:themeColor="background1" w:themeShade="A6"/>
            </w:tcBorders>
            <w:shd w:val="clear" w:color="auto" w:fill="F2F2F2" w:themeFill="background1" w:themeFillShade="F2"/>
            <w:vAlign w:val="center"/>
            <w:hideMark/>
          </w:tcPr>
          <w:p w14:paraId="1B5A2637" w14:textId="77777777" w:rsidR="0095740D" w:rsidRPr="005119B1" w:rsidRDefault="0095740D" w:rsidP="005119B1">
            <w:pPr>
              <w:spacing w:after="0" w:line="276" w:lineRule="auto"/>
              <w:jc w:val="center"/>
              <w:rPr>
                <w:rFonts w:cs="Arial"/>
                <w:b/>
                <w:bCs/>
                <w:color w:val="000000"/>
                <w:sz w:val="16"/>
                <w:szCs w:val="16"/>
              </w:rPr>
            </w:pPr>
            <w:r w:rsidRPr="005119B1">
              <w:rPr>
                <w:rFonts w:cs="Arial"/>
                <w:b/>
                <w:bCs/>
                <w:color w:val="000000"/>
                <w:sz w:val="16"/>
                <w:szCs w:val="16"/>
              </w:rPr>
              <w:t>2025</w:t>
            </w:r>
          </w:p>
        </w:tc>
        <w:tc>
          <w:tcPr>
            <w:tcW w:w="1620" w:type="dxa"/>
            <w:tcBorders>
              <w:top w:val="single" w:sz="2" w:space="0" w:color="A6A6A6" w:themeColor="background1" w:themeShade="A6"/>
            </w:tcBorders>
            <w:shd w:val="clear" w:color="auto" w:fill="F2F2F2" w:themeFill="background1" w:themeFillShade="F2"/>
            <w:vAlign w:val="center"/>
            <w:hideMark/>
          </w:tcPr>
          <w:p w14:paraId="6C78D8A1" w14:textId="77777777" w:rsidR="0095740D" w:rsidRPr="005119B1" w:rsidRDefault="0095740D" w:rsidP="005119B1">
            <w:pPr>
              <w:spacing w:after="0" w:line="276" w:lineRule="auto"/>
              <w:jc w:val="center"/>
              <w:rPr>
                <w:rFonts w:cs="Arial"/>
                <w:b/>
                <w:bCs/>
                <w:color w:val="000000"/>
                <w:sz w:val="16"/>
                <w:szCs w:val="16"/>
              </w:rPr>
            </w:pPr>
            <w:r w:rsidRPr="005119B1">
              <w:rPr>
                <w:rFonts w:cs="Arial"/>
                <w:b/>
                <w:bCs/>
                <w:color w:val="000000"/>
                <w:sz w:val="16"/>
                <w:szCs w:val="16"/>
              </w:rPr>
              <w:t>2026</w:t>
            </w:r>
          </w:p>
        </w:tc>
      </w:tr>
      <w:tr w:rsidR="0095740D" w:rsidRPr="005119B1" w14:paraId="475BFB2E" w14:textId="77777777" w:rsidTr="001F2EED">
        <w:trPr>
          <w:cantSplit/>
          <w:tblHeader/>
          <w:jc w:val="center"/>
        </w:trPr>
        <w:tc>
          <w:tcPr>
            <w:tcW w:w="5340" w:type="dxa"/>
            <w:vMerge/>
            <w:tcBorders>
              <w:bottom w:val="single" w:sz="2" w:space="0" w:color="A6A6A6" w:themeColor="background1" w:themeShade="A6"/>
            </w:tcBorders>
            <w:shd w:val="clear" w:color="auto" w:fill="F2F2F2" w:themeFill="background1" w:themeFillShade="F2"/>
            <w:vAlign w:val="center"/>
            <w:hideMark/>
          </w:tcPr>
          <w:p w14:paraId="03B23C27" w14:textId="77777777" w:rsidR="0095740D" w:rsidRPr="005119B1" w:rsidRDefault="0095740D" w:rsidP="005119B1">
            <w:pPr>
              <w:spacing w:after="0" w:line="276" w:lineRule="auto"/>
              <w:jc w:val="left"/>
              <w:rPr>
                <w:rFonts w:cs="Arial"/>
                <w:b/>
                <w:bCs/>
                <w:color w:val="000000"/>
                <w:sz w:val="16"/>
                <w:szCs w:val="16"/>
              </w:rPr>
            </w:pPr>
          </w:p>
        </w:tc>
        <w:tc>
          <w:tcPr>
            <w:tcW w:w="1620" w:type="dxa"/>
            <w:tcBorders>
              <w:bottom w:val="single" w:sz="2" w:space="0" w:color="A6A6A6" w:themeColor="background1" w:themeShade="A6"/>
            </w:tcBorders>
            <w:shd w:val="clear" w:color="auto" w:fill="F2F2F2" w:themeFill="background1" w:themeFillShade="F2"/>
            <w:vAlign w:val="center"/>
            <w:hideMark/>
          </w:tcPr>
          <w:p w14:paraId="67BA64D4" w14:textId="77777777" w:rsidR="0095740D" w:rsidRPr="005119B1" w:rsidRDefault="0095740D" w:rsidP="005119B1">
            <w:pPr>
              <w:spacing w:after="0" w:line="276" w:lineRule="auto"/>
              <w:jc w:val="center"/>
              <w:rPr>
                <w:rFonts w:cs="Arial"/>
                <w:b/>
                <w:bCs/>
                <w:color w:val="000000"/>
                <w:sz w:val="16"/>
                <w:szCs w:val="16"/>
              </w:rPr>
            </w:pPr>
            <w:r w:rsidRPr="005119B1">
              <w:rPr>
                <w:rFonts w:cs="Arial"/>
                <w:b/>
                <w:bCs/>
                <w:color w:val="000000"/>
                <w:sz w:val="16"/>
                <w:szCs w:val="16"/>
              </w:rPr>
              <w:t>Εκτιμήσεις</w:t>
            </w:r>
          </w:p>
        </w:tc>
        <w:tc>
          <w:tcPr>
            <w:tcW w:w="1620" w:type="dxa"/>
            <w:tcBorders>
              <w:bottom w:val="single" w:sz="2" w:space="0" w:color="A6A6A6" w:themeColor="background1" w:themeShade="A6"/>
            </w:tcBorders>
            <w:shd w:val="clear" w:color="auto" w:fill="F2F2F2" w:themeFill="background1" w:themeFillShade="F2"/>
            <w:vAlign w:val="center"/>
            <w:hideMark/>
          </w:tcPr>
          <w:p w14:paraId="74BB0FD9" w14:textId="77777777" w:rsidR="0095740D" w:rsidRPr="005119B1" w:rsidRDefault="0095740D" w:rsidP="005119B1">
            <w:pPr>
              <w:spacing w:after="0" w:line="276" w:lineRule="auto"/>
              <w:jc w:val="center"/>
              <w:rPr>
                <w:rFonts w:cs="Arial"/>
                <w:b/>
                <w:bCs/>
                <w:color w:val="000000"/>
                <w:sz w:val="16"/>
                <w:szCs w:val="16"/>
              </w:rPr>
            </w:pPr>
            <w:r w:rsidRPr="005119B1">
              <w:rPr>
                <w:rFonts w:cs="Arial"/>
                <w:b/>
                <w:bCs/>
                <w:color w:val="000000"/>
                <w:sz w:val="16"/>
                <w:szCs w:val="16"/>
              </w:rPr>
              <w:t>Προβλέψεις</w:t>
            </w:r>
          </w:p>
        </w:tc>
      </w:tr>
      <w:tr w:rsidR="0095740D" w:rsidRPr="005119B1" w14:paraId="5A8512BF" w14:textId="77777777" w:rsidTr="00332EE4">
        <w:trPr>
          <w:cantSplit/>
          <w:trHeight w:val="283"/>
          <w:jc w:val="center"/>
        </w:trPr>
        <w:tc>
          <w:tcPr>
            <w:tcW w:w="5340" w:type="dxa"/>
            <w:tcBorders>
              <w:top w:val="single" w:sz="2" w:space="0" w:color="A6A6A6" w:themeColor="background1" w:themeShade="A6"/>
              <w:bottom w:val="nil"/>
            </w:tcBorders>
            <w:shd w:val="clear" w:color="000000" w:fill="D5DCE4"/>
            <w:vAlign w:val="center"/>
            <w:hideMark/>
          </w:tcPr>
          <w:p w14:paraId="2EBFFD96"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Οργανισμοί Κοινωνικής Ασφάλισης</w:t>
            </w:r>
          </w:p>
        </w:tc>
        <w:tc>
          <w:tcPr>
            <w:tcW w:w="1620" w:type="dxa"/>
            <w:tcBorders>
              <w:top w:val="single" w:sz="2" w:space="0" w:color="A6A6A6" w:themeColor="background1" w:themeShade="A6"/>
              <w:bottom w:val="nil"/>
            </w:tcBorders>
            <w:shd w:val="clear" w:color="000000" w:fill="D5DCE4"/>
            <w:vAlign w:val="center"/>
          </w:tcPr>
          <w:p w14:paraId="16703039" w14:textId="77784FFB" w:rsidR="0095740D" w:rsidRPr="005119B1" w:rsidRDefault="0095740D" w:rsidP="005119B1">
            <w:pPr>
              <w:spacing w:after="0" w:line="276" w:lineRule="auto"/>
              <w:jc w:val="right"/>
              <w:rPr>
                <w:rFonts w:cs="Arial"/>
                <w:b/>
                <w:bCs/>
                <w:color w:val="000000"/>
                <w:sz w:val="16"/>
                <w:szCs w:val="16"/>
              </w:rPr>
            </w:pPr>
          </w:p>
        </w:tc>
        <w:tc>
          <w:tcPr>
            <w:tcW w:w="1620" w:type="dxa"/>
            <w:tcBorders>
              <w:top w:val="single" w:sz="2" w:space="0" w:color="A6A6A6" w:themeColor="background1" w:themeShade="A6"/>
              <w:bottom w:val="nil"/>
            </w:tcBorders>
            <w:shd w:val="clear" w:color="000000" w:fill="D5DCE4"/>
            <w:vAlign w:val="center"/>
          </w:tcPr>
          <w:p w14:paraId="68F6AE2E" w14:textId="7F122DE9" w:rsidR="0095740D" w:rsidRPr="005119B1" w:rsidRDefault="0095740D" w:rsidP="005119B1">
            <w:pPr>
              <w:spacing w:after="0" w:line="276" w:lineRule="auto"/>
              <w:jc w:val="right"/>
              <w:rPr>
                <w:rFonts w:cs="Arial"/>
                <w:b/>
                <w:bCs/>
                <w:color w:val="000000"/>
                <w:sz w:val="16"/>
                <w:szCs w:val="16"/>
              </w:rPr>
            </w:pPr>
          </w:p>
        </w:tc>
      </w:tr>
      <w:tr w:rsidR="0095740D" w:rsidRPr="005119B1" w14:paraId="0497BA85" w14:textId="77777777" w:rsidTr="001F2EED">
        <w:trPr>
          <w:cantSplit/>
          <w:trHeight w:val="283"/>
          <w:jc w:val="center"/>
        </w:trPr>
        <w:tc>
          <w:tcPr>
            <w:tcW w:w="5340" w:type="dxa"/>
            <w:tcBorders>
              <w:top w:val="nil"/>
              <w:bottom w:val="nil"/>
            </w:tcBorders>
            <w:shd w:val="clear" w:color="000000" w:fill="D5DCE4"/>
            <w:vAlign w:val="center"/>
            <w:hideMark/>
          </w:tcPr>
          <w:p w14:paraId="3E2D02C7" w14:textId="0B7BE9FE" w:rsidR="0095740D" w:rsidRPr="005119B1" w:rsidRDefault="0095740D" w:rsidP="00332EE4">
            <w:pPr>
              <w:tabs>
                <w:tab w:val="left" w:pos="227"/>
              </w:tabs>
              <w:spacing w:after="0" w:line="276" w:lineRule="auto"/>
              <w:jc w:val="left"/>
              <w:rPr>
                <w:rFonts w:cs="Arial"/>
                <w:b/>
                <w:bCs/>
                <w:color w:val="000000"/>
                <w:sz w:val="16"/>
                <w:szCs w:val="16"/>
              </w:rPr>
            </w:pPr>
            <w:r w:rsidRPr="005119B1">
              <w:rPr>
                <w:rFonts w:cs="Arial"/>
                <w:b/>
                <w:bCs/>
                <w:color w:val="000000"/>
                <w:sz w:val="16"/>
                <w:szCs w:val="16"/>
              </w:rPr>
              <w:t>α)</w:t>
            </w:r>
            <w:r w:rsidR="00332EE4">
              <w:rPr>
                <w:rFonts w:cs="Arial"/>
                <w:b/>
                <w:bCs/>
                <w:color w:val="000000"/>
                <w:sz w:val="16"/>
                <w:szCs w:val="16"/>
              </w:rPr>
              <w:tab/>
            </w:r>
            <w:r w:rsidRPr="005119B1">
              <w:rPr>
                <w:rFonts w:cs="Arial"/>
                <w:b/>
                <w:bCs/>
                <w:color w:val="000000"/>
                <w:sz w:val="16"/>
                <w:szCs w:val="16"/>
              </w:rPr>
              <w:t>Ασφαλιστικά Ταμεία</w:t>
            </w:r>
          </w:p>
        </w:tc>
        <w:tc>
          <w:tcPr>
            <w:tcW w:w="1620" w:type="dxa"/>
            <w:tcBorders>
              <w:top w:val="nil"/>
              <w:bottom w:val="nil"/>
            </w:tcBorders>
            <w:shd w:val="clear" w:color="000000" w:fill="D5DCE4"/>
            <w:vAlign w:val="center"/>
          </w:tcPr>
          <w:p w14:paraId="5FD05A84" w14:textId="11D1E97D" w:rsidR="0095740D" w:rsidRPr="005119B1" w:rsidRDefault="0095740D" w:rsidP="005119B1">
            <w:pPr>
              <w:spacing w:after="0" w:line="276" w:lineRule="auto"/>
              <w:jc w:val="right"/>
              <w:rPr>
                <w:rFonts w:cs="Arial"/>
                <w:color w:val="000000"/>
                <w:sz w:val="16"/>
                <w:szCs w:val="16"/>
              </w:rPr>
            </w:pPr>
          </w:p>
        </w:tc>
        <w:tc>
          <w:tcPr>
            <w:tcW w:w="1620" w:type="dxa"/>
            <w:tcBorders>
              <w:top w:val="nil"/>
              <w:bottom w:val="nil"/>
            </w:tcBorders>
            <w:shd w:val="clear" w:color="000000" w:fill="D5DCE4"/>
            <w:vAlign w:val="center"/>
          </w:tcPr>
          <w:p w14:paraId="572D6C11" w14:textId="5DA158A0" w:rsidR="0095740D" w:rsidRPr="005119B1" w:rsidRDefault="0095740D" w:rsidP="005119B1">
            <w:pPr>
              <w:spacing w:after="0" w:line="276" w:lineRule="auto"/>
              <w:jc w:val="right"/>
              <w:rPr>
                <w:rFonts w:cs="Arial"/>
                <w:color w:val="000000"/>
                <w:sz w:val="16"/>
                <w:szCs w:val="16"/>
              </w:rPr>
            </w:pPr>
          </w:p>
        </w:tc>
      </w:tr>
      <w:tr w:rsidR="0095740D" w:rsidRPr="005119B1" w14:paraId="7C42499F" w14:textId="77777777" w:rsidTr="001F2EED">
        <w:trPr>
          <w:cantSplit/>
          <w:trHeight w:val="227"/>
          <w:jc w:val="center"/>
        </w:trPr>
        <w:tc>
          <w:tcPr>
            <w:tcW w:w="5340" w:type="dxa"/>
            <w:tcBorders>
              <w:top w:val="nil"/>
              <w:bottom w:val="nil"/>
            </w:tcBorders>
            <w:shd w:val="clear" w:color="auto" w:fill="auto"/>
            <w:vAlign w:val="center"/>
            <w:hideMark/>
          </w:tcPr>
          <w:p w14:paraId="4BDB3AD6"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Έσοδα</w:t>
            </w:r>
          </w:p>
        </w:tc>
        <w:tc>
          <w:tcPr>
            <w:tcW w:w="1620" w:type="dxa"/>
            <w:tcBorders>
              <w:top w:val="nil"/>
              <w:bottom w:val="nil"/>
            </w:tcBorders>
            <w:shd w:val="clear" w:color="auto" w:fill="auto"/>
            <w:vAlign w:val="center"/>
            <w:hideMark/>
          </w:tcPr>
          <w:p w14:paraId="346CF843"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38.616</w:t>
            </w:r>
          </w:p>
        </w:tc>
        <w:tc>
          <w:tcPr>
            <w:tcW w:w="1620" w:type="dxa"/>
            <w:tcBorders>
              <w:top w:val="nil"/>
              <w:bottom w:val="nil"/>
            </w:tcBorders>
            <w:shd w:val="clear" w:color="auto" w:fill="auto"/>
            <w:vAlign w:val="center"/>
            <w:hideMark/>
          </w:tcPr>
          <w:p w14:paraId="537CF7FB"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39.915</w:t>
            </w:r>
          </w:p>
        </w:tc>
      </w:tr>
      <w:tr w:rsidR="0095740D" w:rsidRPr="005119B1" w14:paraId="1E6EFAB9" w14:textId="77777777" w:rsidTr="001F2EED">
        <w:trPr>
          <w:cantSplit/>
          <w:trHeight w:val="227"/>
          <w:jc w:val="center"/>
        </w:trPr>
        <w:tc>
          <w:tcPr>
            <w:tcW w:w="5340" w:type="dxa"/>
            <w:tcBorders>
              <w:top w:val="nil"/>
              <w:bottom w:val="nil"/>
            </w:tcBorders>
            <w:shd w:val="clear" w:color="auto" w:fill="auto"/>
            <w:vAlign w:val="center"/>
            <w:hideMark/>
          </w:tcPr>
          <w:p w14:paraId="160F591E"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Ασφαλιστικές εισφορές</w:t>
            </w:r>
          </w:p>
        </w:tc>
        <w:tc>
          <w:tcPr>
            <w:tcW w:w="1620" w:type="dxa"/>
            <w:tcBorders>
              <w:top w:val="nil"/>
              <w:bottom w:val="nil"/>
            </w:tcBorders>
            <w:shd w:val="clear" w:color="auto" w:fill="auto"/>
            <w:vAlign w:val="center"/>
            <w:hideMark/>
          </w:tcPr>
          <w:p w14:paraId="65DA8D3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19.671</w:t>
            </w:r>
          </w:p>
        </w:tc>
        <w:tc>
          <w:tcPr>
            <w:tcW w:w="1620" w:type="dxa"/>
            <w:tcBorders>
              <w:top w:val="nil"/>
              <w:bottom w:val="nil"/>
            </w:tcBorders>
            <w:shd w:val="clear" w:color="auto" w:fill="auto"/>
            <w:vAlign w:val="center"/>
            <w:hideMark/>
          </w:tcPr>
          <w:p w14:paraId="0C68757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20.488</w:t>
            </w:r>
          </w:p>
        </w:tc>
      </w:tr>
      <w:tr w:rsidR="0095740D" w:rsidRPr="005119B1" w14:paraId="015ACCAC" w14:textId="77777777" w:rsidTr="001F2EED">
        <w:trPr>
          <w:cantSplit/>
          <w:trHeight w:val="227"/>
          <w:jc w:val="center"/>
        </w:trPr>
        <w:tc>
          <w:tcPr>
            <w:tcW w:w="5340" w:type="dxa"/>
            <w:tcBorders>
              <w:top w:val="nil"/>
              <w:bottom w:val="nil"/>
            </w:tcBorders>
            <w:shd w:val="clear" w:color="auto" w:fill="auto"/>
            <w:vAlign w:val="center"/>
            <w:hideMark/>
          </w:tcPr>
          <w:p w14:paraId="2295504B"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Ρύθμιση οφειλών</w:t>
            </w:r>
          </w:p>
        </w:tc>
        <w:tc>
          <w:tcPr>
            <w:tcW w:w="1620" w:type="dxa"/>
            <w:tcBorders>
              <w:top w:val="nil"/>
              <w:bottom w:val="nil"/>
            </w:tcBorders>
            <w:shd w:val="clear" w:color="auto" w:fill="auto"/>
            <w:vAlign w:val="center"/>
            <w:hideMark/>
          </w:tcPr>
          <w:p w14:paraId="553612D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1.404</w:t>
            </w:r>
          </w:p>
        </w:tc>
        <w:tc>
          <w:tcPr>
            <w:tcW w:w="1620" w:type="dxa"/>
            <w:tcBorders>
              <w:top w:val="nil"/>
              <w:bottom w:val="nil"/>
            </w:tcBorders>
            <w:shd w:val="clear" w:color="auto" w:fill="auto"/>
            <w:vAlign w:val="center"/>
            <w:hideMark/>
          </w:tcPr>
          <w:p w14:paraId="167E2B96"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1.503</w:t>
            </w:r>
          </w:p>
        </w:tc>
      </w:tr>
      <w:tr w:rsidR="0095740D" w:rsidRPr="005119B1" w14:paraId="06234BE1" w14:textId="77777777" w:rsidTr="001F2EED">
        <w:trPr>
          <w:cantSplit/>
          <w:trHeight w:val="227"/>
          <w:jc w:val="center"/>
        </w:trPr>
        <w:tc>
          <w:tcPr>
            <w:tcW w:w="5340" w:type="dxa"/>
            <w:tcBorders>
              <w:top w:val="nil"/>
              <w:bottom w:val="nil"/>
            </w:tcBorders>
            <w:shd w:val="clear" w:color="auto" w:fill="auto"/>
            <w:vAlign w:val="center"/>
            <w:hideMark/>
          </w:tcPr>
          <w:p w14:paraId="136A9849"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Κοινωνικοί πόροι</w:t>
            </w:r>
          </w:p>
        </w:tc>
        <w:tc>
          <w:tcPr>
            <w:tcW w:w="1620" w:type="dxa"/>
            <w:tcBorders>
              <w:top w:val="nil"/>
              <w:bottom w:val="nil"/>
            </w:tcBorders>
            <w:shd w:val="clear" w:color="auto" w:fill="auto"/>
            <w:vAlign w:val="center"/>
            <w:hideMark/>
          </w:tcPr>
          <w:p w14:paraId="7B60EC0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764</w:t>
            </w:r>
          </w:p>
        </w:tc>
        <w:tc>
          <w:tcPr>
            <w:tcW w:w="1620" w:type="dxa"/>
            <w:tcBorders>
              <w:top w:val="nil"/>
              <w:bottom w:val="nil"/>
            </w:tcBorders>
            <w:shd w:val="clear" w:color="auto" w:fill="auto"/>
            <w:vAlign w:val="center"/>
            <w:hideMark/>
          </w:tcPr>
          <w:p w14:paraId="504BC72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783</w:t>
            </w:r>
          </w:p>
        </w:tc>
      </w:tr>
      <w:tr w:rsidR="0095740D" w:rsidRPr="005119B1" w14:paraId="3A7CDF07" w14:textId="77777777" w:rsidTr="001F2EED">
        <w:trPr>
          <w:cantSplit/>
          <w:trHeight w:val="227"/>
          <w:jc w:val="center"/>
        </w:trPr>
        <w:tc>
          <w:tcPr>
            <w:tcW w:w="5340" w:type="dxa"/>
            <w:tcBorders>
              <w:top w:val="nil"/>
              <w:bottom w:val="nil"/>
            </w:tcBorders>
            <w:shd w:val="clear" w:color="auto" w:fill="auto"/>
            <w:vAlign w:val="center"/>
            <w:hideMark/>
          </w:tcPr>
          <w:p w14:paraId="1322B921"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από τακτικό προϋπολογισμό</w:t>
            </w:r>
          </w:p>
        </w:tc>
        <w:tc>
          <w:tcPr>
            <w:tcW w:w="1620" w:type="dxa"/>
            <w:tcBorders>
              <w:top w:val="nil"/>
              <w:bottom w:val="nil"/>
            </w:tcBorders>
            <w:shd w:val="clear" w:color="auto" w:fill="auto"/>
            <w:vAlign w:val="center"/>
            <w:hideMark/>
          </w:tcPr>
          <w:p w14:paraId="3624D7EB"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15.425</w:t>
            </w:r>
          </w:p>
        </w:tc>
        <w:tc>
          <w:tcPr>
            <w:tcW w:w="1620" w:type="dxa"/>
            <w:tcBorders>
              <w:top w:val="nil"/>
              <w:bottom w:val="nil"/>
            </w:tcBorders>
            <w:shd w:val="clear" w:color="auto" w:fill="auto"/>
            <w:vAlign w:val="center"/>
            <w:hideMark/>
          </w:tcPr>
          <w:p w14:paraId="3E7C1D4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15.889</w:t>
            </w:r>
          </w:p>
        </w:tc>
      </w:tr>
      <w:tr w:rsidR="0095740D" w:rsidRPr="005119B1" w14:paraId="61FE889D" w14:textId="77777777" w:rsidTr="001F2EED">
        <w:trPr>
          <w:cantSplit/>
          <w:trHeight w:val="227"/>
          <w:jc w:val="center"/>
        </w:trPr>
        <w:tc>
          <w:tcPr>
            <w:tcW w:w="5340" w:type="dxa"/>
            <w:tcBorders>
              <w:top w:val="nil"/>
              <w:bottom w:val="nil"/>
            </w:tcBorders>
            <w:shd w:val="clear" w:color="auto" w:fill="auto"/>
            <w:vAlign w:val="center"/>
            <w:hideMark/>
          </w:tcPr>
          <w:p w14:paraId="6384D107"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Απόδοση περιουσίας</w:t>
            </w:r>
          </w:p>
        </w:tc>
        <w:tc>
          <w:tcPr>
            <w:tcW w:w="1620" w:type="dxa"/>
            <w:tcBorders>
              <w:top w:val="nil"/>
              <w:bottom w:val="nil"/>
            </w:tcBorders>
            <w:shd w:val="clear" w:color="auto" w:fill="auto"/>
            <w:vAlign w:val="center"/>
            <w:hideMark/>
          </w:tcPr>
          <w:p w14:paraId="7953F04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974</w:t>
            </w:r>
          </w:p>
        </w:tc>
        <w:tc>
          <w:tcPr>
            <w:tcW w:w="1620" w:type="dxa"/>
            <w:tcBorders>
              <w:top w:val="nil"/>
              <w:bottom w:val="nil"/>
            </w:tcBorders>
            <w:shd w:val="clear" w:color="auto" w:fill="auto"/>
            <w:vAlign w:val="center"/>
            <w:hideMark/>
          </w:tcPr>
          <w:p w14:paraId="2436B65B"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1.028</w:t>
            </w:r>
          </w:p>
        </w:tc>
      </w:tr>
      <w:tr w:rsidR="0095740D" w:rsidRPr="005119B1" w14:paraId="1FF8E84F" w14:textId="77777777" w:rsidTr="001F2EED">
        <w:trPr>
          <w:cantSplit/>
          <w:trHeight w:val="227"/>
          <w:jc w:val="center"/>
        </w:trPr>
        <w:tc>
          <w:tcPr>
            <w:tcW w:w="5340" w:type="dxa"/>
            <w:tcBorders>
              <w:top w:val="nil"/>
              <w:bottom w:val="nil"/>
            </w:tcBorders>
            <w:shd w:val="clear" w:color="auto" w:fill="auto"/>
            <w:vAlign w:val="center"/>
            <w:hideMark/>
          </w:tcPr>
          <w:p w14:paraId="7CCBDAC7"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Λοιπά έσοδα</w:t>
            </w:r>
          </w:p>
        </w:tc>
        <w:tc>
          <w:tcPr>
            <w:tcW w:w="1620" w:type="dxa"/>
            <w:tcBorders>
              <w:top w:val="nil"/>
              <w:bottom w:val="nil"/>
            </w:tcBorders>
            <w:shd w:val="clear" w:color="auto" w:fill="auto"/>
            <w:vAlign w:val="center"/>
            <w:hideMark/>
          </w:tcPr>
          <w:p w14:paraId="33950C2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377</w:t>
            </w:r>
          </w:p>
        </w:tc>
        <w:tc>
          <w:tcPr>
            <w:tcW w:w="1620" w:type="dxa"/>
            <w:tcBorders>
              <w:top w:val="nil"/>
              <w:bottom w:val="nil"/>
            </w:tcBorders>
            <w:shd w:val="clear" w:color="auto" w:fill="auto"/>
            <w:vAlign w:val="center"/>
            <w:hideMark/>
          </w:tcPr>
          <w:p w14:paraId="77FF80B0"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225</w:t>
            </w:r>
          </w:p>
        </w:tc>
      </w:tr>
      <w:tr w:rsidR="0095740D" w:rsidRPr="005119B1" w14:paraId="25AD7B50" w14:textId="77777777" w:rsidTr="001F2EED">
        <w:trPr>
          <w:cantSplit/>
          <w:trHeight w:val="227"/>
          <w:jc w:val="center"/>
        </w:trPr>
        <w:tc>
          <w:tcPr>
            <w:tcW w:w="5340" w:type="dxa"/>
            <w:tcBorders>
              <w:top w:val="nil"/>
              <w:bottom w:val="nil"/>
            </w:tcBorders>
            <w:shd w:val="clear" w:color="auto" w:fill="auto"/>
            <w:vAlign w:val="center"/>
            <w:hideMark/>
          </w:tcPr>
          <w:p w14:paraId="2AF4E8A8"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Δαπάνες</w:t>
            </w:r>
          </w:p>
        </w:tc>
        <w:tc>
          <w:tcPr>
            <w:tcW w:w="1620" w:type="dxa"/>
            <w:tcBorders>
              <w:top w:val="nil"/>
              <w:bottom w:val="nil"/>
            </w:tcBorders>
            <w:shd w:val="clear" w:color="auto" w:fill="auto"/>
            <w:vAlign w:val="center"/>
            <w:hideMark/>
          </w:tcPr>
          <w:p w14:paraId="108E333A"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37.380</w:t>
            </w:r>
          </w:p>
        </w:tc>
        <w:tc>
          <w:tcPr>
            <w:tcW w:w="1620" w:type="dxa"/>
            <w:tcBorders>
              <w:top w:val="nil"/>
              <w:bottom w:val="nil"/>
            </w:tcBorders>
            <w:shd w:val="clear" w:color="auto" w:fill="auto"/>
            <w:vAlign w:val="center"/>
            <w:hideMark/>
          </w:tcPr>
          <w:p w14:paraId="3A4FE268"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38.839</w:t>
            </w:r>
          </w:p>
        </w:tc>
      </w:tr>
      <w:tr w:rsidR="0095740D" w:rsidRPr="005119B1" w14:paraId="2EBFF308" w14:textId="77777777" w:rsidTr="001F2EED">
        <w:trPr>
          <w:cantSplit/>
          <w:trHeight w:val="227"/>
          <w:jc w:val="center"/>
        </w:trPr>
        <w:tc>
          <w:tcPr>
            <w:tcW w:w="5340" w:type="dxa"/>
            <w:tcBorders>
              <w:top w:val="nil"/>
              <w:bottom w:val="nil"/>
            </w:tcBorders>
            <w:shd w:val="clear" w:color="auto" w:fill="auto"/>
            <w:vAlign w:val="center"/>
            <w:hideMark/>
          </w:tcPr>
          <w:p w14:paraId="0B606323"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Συντάξεις</w:t>
            </w:r>
          </w:p>
        </w:tc>
        <w:tc>
          <w:tcPr>
            <w:tcW w:w="1620" w:type="dxa"/>
            <w:tcBorders>
              <w:top w:val="nil"/>
              <w:bottom w:val="nil"/>
            </w:tcBorders>
            <w:shd w:val="clear" w:color="auto" w:fill="auto"/>
            <w:vAlign w:val="center"/>
            <w:hideMark/>
          </w:tcPr>
          <w:p w14:paraId="0BC7FC9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34.091</w:t>
            </w:r>
          </w:p>
        </w:tc>
        <w:tc>
          <w:tcPr>
            <w:tcW w:w="1620" w:type="dxa"/>
            <w:tcBorders>
              <w:top w:val="nil"/>
              <w:bottom w:val="nil"/>
            </w:tcBorders>
            <w:shd w:val="clear" w:color="auto" w:fill="auto"/>
            <w:vAlign w:val="center"/>
            <w:hideMark/>
          </w:tcPr>
          <w:p w14:paraId="12324CFB"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35.430</w:t>
            </w:r>
          </w:p>
        </w:tc>
      </w:tr>
      <w:tr w:rsidR="0095740D" w:rsidRPr="005119B1" w14:paraId="78440608" w14:textId="77777777" w:rsidTr="001F2EED">
        <w:trPr>
          <w:cantSplit/>
          <w:trHeight w:val="227"/>
          <w:jc w:val="center"/>
        </w:trPr>
        <w:tc>
          <w:tcPr>
            <w:tcW w:w="5340" w:type="dxa"/>
            <w:tcBorders>
              <w:top w:val="nil"/>
              <w:bottom w:val="nil"/>
            </w:tcBorders>
            <w:shd w:val="clear" w:color="auto" w:fill="auto"/>
            <w:vAlign w:val="center"/>
            <w:hideMark/>
          </w:tcPr>
          <w:p w14:paraId="14DB3614" w14:textId="77777777" w:rsidR="0095740D" w:rsidRPr="005119B1" w:rsidRDefault="0095740D" w:rsidP="00332EE4">
            <w:pPr>
              <w:spacing w:after="0" w:line="276" w:lineRule="auto"/>
              <w:jc w:val="left"/>
              <w:rPr>
                <w:rFonts w:cs="Arial"/>
                <w:i/>
                <w:iCs/>
                <w:color w:val="000000"/>
                <w:sz w:val="16"/>
                <w:szCs w:val="16"/>
              </w:rPr>
            </w:pPr>
            <w:r w:rsidRPr="005119B1">
              <w:rPr>
                <w:rFonts w:cs="Arial"/>
                <w:i/>
                <w:iCs/>
                <w:color w:val="000000"/>
                <w:sz w:val="16"/>
                <w:szCs w:val="16"/>
              </w:rPr>
              <w:t>Κύριας ασφάλισης</w:t>
            </w:r>
          </w:p>
        </w:tc>
        <w:tc>
          <w:tcPr>
            <w:tcW w:w="1620" w:type="dxa"/>
            <w:tcBorders>
              <w:top w:val="nil"/>
              <w:bottom w:val="nil"/>
            </w:tcBorders>
            <w:shd w:val="clear" w:color="auto" w:fill="auto"/>
            <w:vAlign w:val="center"/>
            <w:hideMark/>
          </w:tcPr>
          <w:p w14:paraId="38B64B46"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29.903</w:t>
            </w:r>
          </w:p>
        </w:tc>
        <w:tc>
          <w:tcPr>
            <w:tcW w:w="1620" w:type="dxa"/>
            <w:tcBorders>
              <w:top w:val="nil"/>
              <w:bottom w:val="nil"/>
            </w:tcBorders>
            <w:shd w:val="clear" w:color="auto" w:fill="auto"/>
            <w:vAlign w:val="center"/>
            <w:hideMark/>
          </w:tcPr>
          <w:p w14:paraId="44728423"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31.056</w:t>
            </w:r>
          </w:p>
        </w:tc>
      </w:tr>
      <w:tr w:rsidR="0095740D" w:rsidRPr="005119B1" w14:paraId="074CE96B" w14:textId="77777777" w:rsidTr="001F2EED">
        <w:trPr>
          <w:cantSplit/>
          <w:trHeight w:val="227"/>
          <w:jc w:val="center"/>
        </w:trPr>
        <w:tc>
          <w:tcPr>
            <w:tcW w:w="5340" w:type="dxa"/>
            <w:tcBorders>
              <w:top w:val="nil"/>
              <w:bottom w:val="nil"/>
            </w:tcBorders>
            <w:shd w:val="clear" w:color="auto" w:fill="auto"/>
            <w:vAlign w:val="center"/>
            <w:hideMark/>
          </w:tcPr>
          <w:p w14:paraId="64A86082" w14:textId="77777777" w:rsidR="0095740D" w:rsidRPr="005119B1" w:rsidRDefault="0095740D" w:rsidP="00332EE4">
            <w:pPr>
              <w:spacing w:after="0" w:line="276" w:lineRule="auto"/>
              <w:jc w:val="left"/>
              <w:rPr>
                <w:rFonts w:cs="Arial"/>
                <w:i/>
                <w:iCs/>
                <w:color w:val="000000"/>
                <w:sz w:val="16"/>
                <w:szCs w:val="16"/>
              </w:rPr>
            </w:pPr>
            <w:r w:rsidRPr="005119B1">
              <w:rPr>
                <w:rFonts w:cs="Arial"/>
                <w:i/>
                <w:iCs/>
                <w:color w:val="000000"/>
                <w:sz w:val="16"/>
                <w:szCs w:val="16"/>
              </w:rPr>
              <w:t>Επικουρικής ασφάλισης</w:t>
            </w:r>
          </w:p>
        </w:tc>
        <w:tc>
          <w:tcPr>
            <w:tcW w:w="1620" w:type="dxa"/>
            <w:tcBorders>
              <w:top w:val="nil"/>
              <w:bottom w:val="nil"/>
            </w:tcBorders>
            <w:shd w:val="clear" w:color="auto" w:fill="auto"/>
            <w:vAlign w:val="center"/>
            <w:hideMark/>
          </w:tcPr>
          <w:p w14:paraId="2A8B41F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4.188</w:t>
            </w:r>
          </w:p>
        </w:tc>
        <w:tc>
          <w:tcPr>
            <w:tcW w:w="1620" w:type="dxa"/>
            <w:tcBorders>
              <w:top w:val="nil"/>
              <w:bottom w:val="nil"/>
            </w:tcBorders>
            <w:shd w:val="clear" w:color="auto" w:fill="auto"/>
            <w:vAlign w:val="center"/>
            <w:hideMark/>
          </w:tcPr>
          <w:p w14:paraId="3B6E089B"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4.374</w:t>
            </w:r>
          </w:p>
        </w:tc>
      </w:tr>
      <w:tr w:rsidR="0095740D" w:rsidRPr="005119B1" w14:paraId="3E4F2179" w14:textId="77777777" w:rsidTr="001F2EED">
        <w:trPr>
          <w:cantSplit/>
          <w:trHeight w:val="227"/>
          <w:jc w:val="center"/>
        </w:trPr>
        <w:tc>
          <w:tcPr>
            <w:tcW w:w="5340" w:type="dxa"/>
            <w:tcBorders>
              <w:top w:val="nil"/>
              <w:bottom w:val="nil"/>
            </w:tcBorders>
            <w:shd w:val="clear" w:color="auto" w:fill="auto"/>
            <w:vAlign w:val="center"/>
            <w:hideMark/>
          </w:tcPr>
          <w:p w14:paraId="2CA36FCF"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Λοιπές παροχές ασθένειας</w:t>
            </w:r>
          </w:p>
        </w:tc>
        <w:tc>
          <w:tcPr>
            <w:tcW w:w="1620" w:type="dxa"/>
            <w:tcBorders>
              <w:top w:val="nil"/>
              <w:bottom w:val="nil"/>
            </w:tcBorders>
            <w:shd w:val="clear" w:color="auto" w:fill="auto"/>
            <w:vAlign w:val="center"/>
            <w:hideMark/>
          </w:tcPr>
          <w:p w14:paraId="15052C0C"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339</w:t>
            </w:r>
          </w:p>
        </w:tc>
        <w:tc>
          <w:tcPr>
            <w:tcW w:w="1620" w:type="dxa"/>
            <w:tcBorders>
              <w:top w:val="nil"/>
              <w:bottom w:val="nil"/>
            </w:tcBorders>
            <w:shd w:val="clear" w:color="auto" w:fill="auto"/>
            <w:vAlign w:val="center"/>
            <w:hideMark/>
          </w:tcPr>
          <w:p w14:paraId="027785A8"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232</w:t>
            </w:r>
          </w:p>
        </w:tc>
      </w:tr>
      <w:tr w:rsidR="0095740D" w:rsidRPr="005119B1" w14:paraId="3129BB0B" w14:textId="77777777" w:rsidTr="001F2EED">
        <w:trPr>
          <w:cantSplit/>
          <w:trHeight w:val="227"/>
          <w:jc w:val="center"/>
        </w:trPr>
        <w:tc>
          <w:tcPr>
            <w:tcW w:w="5340" w:type="dxa"/>
            <w:tcBorders>
              <w:top w:val="nil"/>
              <w:bottom w:val="nil"/>
            </w:tcBorders>
            <w:shd w:val="clear" w:color="auto" w:fill="auto"/>
            <w:vAlign w:val="center"/>
            <w:hideMark/>
          </w:tcPr>
          <w:p w14:paraId="7CC3F593"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Προνοιακές παροχές</w:t>
            </w:r>
          </w:p>
        </w:tc>
        <w:tc>
          <w:tcPr>
            <w:tcW w:w="1620" w:type="dxa"/>
            <w:tcBorders>
              <w:top w:val="nil"/>
              <w:bottom w:val="nil"/>
            </w:tcBorders>
            <w:shd w:val="clear" w:color="auto" w:fill="auto"/>
            <w:vAlign w:val="center"/>
            <w:hideMark/>
          </w:tcPr>
          <w:p w14:paraId="04B0F859"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1.640</w:t>
            </w:r>
          </w:p>
        </w:tc>
        <w:tc>
          <w:tcPr>
            <w:tcW w:w="1620" w:type="dxa"/>
            <w:tcBorders>
              <w:top w:val="nil"/>
              <w:bottom w:val="nil"/>
            </w:tcBorders>
            <w:shd w:val="clear" w:color="auto" w:fill="auto"/>
            <w:vAlign w:val="center"/>
            <w:hideMark/>
          </w:tcPr>
          <w:p w14:paraId="1434303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1.846</w:t>
            </w:r>
          </w:p>
        </w:tc>
      </w:tr>
      <w:tr w:rsidR="0095740D" w:rsidRPr="005119B1" w14:paraId="30D773AE" w14:textId="77777777" w:rsidTr="001F2EED">
        <w:trPr>
          <w:cantSplit/>
          <w:trHeight w:val="227"/>
          <w:jc w:val="center"/>
        </w:trPr>
        <w:tc>
          <w:tcPr>
            <w:tcW w:w="5340" w:type="dxa"/>
            <w:tcBorders>
              <w:top w:val="nil"/>
              <w:bottom w:val="nil"/>
            </w:tcBorders>
            <w:shd w:val="clear" w:color="auto" w:fill="auto"/>
            <w:vAlign w:val="center"/>
            <w:hideMark/>
          </w:tcPr>
          <w:p w14:paraId="28F95669"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Λοιπές μεταβιβάσεις σε τρίτους</w:t>
            </w:r>
          </w:p>
        </w:tc>
        <w:tc>
          <w:tcPr>
            <w:tcW w:w="1620" w:type="dxa"/>
            <w:tcBorders>
              <w:top w:val="nil"/>
              <w:bottom w:val="nil"/>
            </w:tcBorders>
            <w:shd w:val="clear" w:color="auto" w:fill="auto"/>
            <w:vAlign w:val="center"/>
            <w:hideMark/>
          </w:tcPr>
          <w:p w14:paraId="0074C39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714</w:t>
            </w:r>
          </w:p>
        </w:tc>
        <w:tc>
          <w:tcPr>
            <w:tcW w:w="1620" w:type="dxa"/>
            <w:tcBorders>
              <w:top w:val="nil"/>
              <w:bottom w:val="nil"/>
            </w:tcBorders>
            <w:shd w:val="clear" w:color="auto" w:fill="auto"/>
            <w:vAlign w:val="center"/>
            <w:hideMark/>
          </w:tcPr>
          <w:p w14:paraId="1A7FB88B"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704</w:t>
            </w:r>
          </w:p>
        </w:tc>
      </w:tr>
      <w:tr w:rsidR="0095740D" w:rsidRPr="005119B1" w14:paraId="04E4C139" w14:textId="77777777" w:rsidTr="001F2EED">
        <w:trPr>
          <w:cantSplit/>
          <w:trHeight w:val="227"/>
          <w:jc w:val="center"/>
        </w:trPr>
        <w:tc>
          <w:tcPr>
            <w:tcW w:w="5340" w:type="dxa"/>
            <w:tcBorders>
              <w:top w:val="nil"/>
              <w:bottom w:val="nil"/>
            </w:tcBorders>
            <w:shd w:val="clear" w:color="auto" w:fill="auto"/>
            <w:vAlign w:val="center"/>
            <w:hideMark/>
          </w:tcPr>
          <w:p w14:paraId="547DAE9E"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Λοιπές δαπάνες</w:t>
            </w:r>
          </w:p>
        </w:tc>
        <w:tc>
          <w:tcPr>
            <w:tcW w:w="1620" w:type="dxa"/>
            <w:tcBorders>
              <w:top w:val="nil"/>
              <w:bottom w:val="nil"/>
            </w:tcBorders>
            <w:shd w:val="clear" w:color="auto" w:fill="auto"/>
            <w:vAlign w:val="center"/>
            <w:hideMark/>
          </w:tcPr>
          <w:p w14:paraId="74A0C1C5"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390</w:t>
            </w:r>
          </w:p>
        </w:tc>
        <w:tc>
          <w:tcPr>
            <w:tcW w:w="1620" w:type="dxa"/>
            <w:tcBorders>
              <w:top w:val="nil"/>
              <w:bottom w:val="nil"/>
            </w:tcBorders>
            <w:shd w:val="clear" w:color="auto" w:fill="auto"/>
            <w:vAlign w:val="center"/>
            <w:hideMark/>
          </w:tcPr>
          <w:p w14:paraId="563686F8"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411</w:t>
            </w:r>
          </w:p>
        </w:tc>
      </w:tr>
      <w:tr w:rsidR="0095740D" w:rsidRPr="005119B1" w14:paraId="082C5B19" w14:textId="77777777" w:rsidTr="001F2EED">
        <w:trPr>
          <w:cantSplit/>
          <w:trHeight w:val="227"/>
          <w:jc w:val="center"/>
        </w:trPr>
        <w:tc>
          <w:tcPr>
            <w:tcW w:w="5340" w:type="dxa"/>
            <w:tcBorders>
              <w:top w:val="nil"/>
              <w:bottom w:val="nil"/>
            </w:tcBorders>
            <w:shd w:val="clear" w:color="auto" w:fill="auto"/>
            <w:vAlign w:val="center"/>
            <w:hideMark/>
          </w:tcPr>
          <w:p w14:paraId="56D5551D"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Δαπάνες προσωπικού</w:t>
            </w:r>
          </w:p>
        </w:tc>
        <w:tc>
          <w:tcPr>
            <w:tcW w:w="1620" w:type="dxa"/>
            <w:tcBorders>
              <w:top w:val="nil"/>
              <w:bottom w:val="nil"/>
            </w:tcBorders>
            <w:shd w:val="clear" w:color="auto" w:fill="auto"/>
            <w:vAlign w:val="center"/>
            <w:hideMark/>
          </w:tcPr>
          <w:p w14:paraId="512F1639"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205</w:t>
            </w:r>
          </w:p>
        </w:tc>
        <w:tc>
          <w:tcPr>
            <w:tcW w:w="1620" w:type="dxa"/>
            <w:tcBorders>
              <w:top w:val="nil"/>
              <w:bottom w:val="nil"/>
            </w:tcBorders>
            <w:shd w:val="clear" w:color="auto" w:fill="auto"/>
            <w:vAlign w:val="center"/>
            <w:hideMark/>
          </w:tcPr>
          <w:p w14:paraId="167456A3"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216</w:t>
            </w:r>
          </w:p>
        </w:tc>
      </w:tr>
      <w:tr w:rsidR="0095740D" w:rsidRPr="005119B1" w14:paraId="2F1E727E" w14:textId="77777777" w:rsidTr="001F2EED">
        <w:trPr>
          <w:cantSplit/>
          <w:trHeight w:val="227"/>
          <w:jc w:val="center"/>
        </w:trPr>
        <w:tc>
          <w:tcPr>
            <w:tcW w:w="5340" w:type="dxa"/>
            <w:tcBorders>
              <w:top w:val="nil"/>
              <w:bottom w:val="nil"/>
            </w:tcBorders>
            <w:shd w:val="clear" w:color="000000" w:fill="F2F2F2"/>
            <w:vAlign w:val="center"/>
            <w:hideMark/>
          </w:tcPr>
          <w:p w14:paraId="28AF842F"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Ταμειακό ισοζύγιο</w:t>
            </w:r>
          </w:p>
        </w:tc>
        <w:tc>
          <w:tcPr>
            <w:tcW w:w="1620" w:type="dxa"/>
            <w:tcBorders>
              <w:top w:val="nil"/>
              <w:bottom w:val="nil"/>
            </w:tcBorders>
            <w:shd w:val="clear" w:color="000000" w:fill="F2F2F2"/>
            <w:vAlign w:val="center"/>
            <w:hideMark/>
          </w:tcPr>
          <w:p w14:paraId="706EB818"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1.236</w:t>
            </w:r>
          </w:p>
        </w:tc>
        <w:tc>
          <w:tcPr>
            <w:tcW w:w="1620" w:type="dxa"/>
            <w:tcBorders>
              <w:top w:val="nil"/>
              <w:bottom w:val="nil"/>
            </w:tcBorders>
            <w:shd w:val="clear" w:color="000000" w:fill="F2F2F2"/>
            <w:vAlign w:val="center"/>
            <w:hideMark/>
          </w:tcPr>
          <w:p w14:paraId="62995353"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1.076</w:t>
            </w:r>
          </w:p>
        </w:tc>
      </w:tr>
      <w:tr w:rsidR="0095740D" w:rsidRPr="005119B1" w14:paraId="4AF59372" w14:textId="77777777" w:rsidTr="001F2EED">
        <w:trPr>
          <w:cantSplit/>
          <w:trHeight w:val="227"/>
          <w:jc w:val="center"/>
        </w:trPr>
        <w:tc>
          <w:tcPr>
            <w:tcW w:w="5340" w:type="dxa"/>
            <w:tcBorders>
              <w:top w:val="nil"/>
              <w:bottom w:val="nil"/>
            </w:tcBorders>
            <w:shd w:val="clear" w:color="000000" w:fill="F2F2F2"/>
            <w:vAlign w:val="center"/>
            <w:hideMark/>
          </w:tcPr>
          <w:p w14:paraId="3E1B0F5C"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Εθνικολογιστικές προσαρμογές</w:t>
            </w:r>
          </w:p>
        </w:tc>
        <w:tc>
          <w:tcPr>
            <w:tcW w:w="1620" w:type="dxa"/>
            <w:tcBorders>
              <w:top w:val="nil"/>
              <w:bottom w:val="nil"/>
            </w:tcBorders>
            <w:shd w:val="clear" w:color="000000" w:fill="F2F2F2"/>
            <w:vAlign w:val="center"/>
            <w:hideMark/>
          </w:tcPr>
          <w:p w14:paraId="2F29101E"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30</w:t>
            </w:r>
          </w:p>
        </w:tc>
        <w:tc>
          <w:tcPr>
            <w:tcW w:w="1620" w:type="dxa"/>
            <w:tcBorders>
              <w:top w:val="nil"/>
              <w:bottom w:val="nil"/>
            </w:tcBorders>
            <w:shd w:val="clear" w:color="000000" w:fill="F2F2F2"/>
            <w:vAlign w:val="center"/>
            <w:hideMark/>
          </w:tcPr>
          <w:p w14:paraId="555C249E"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31</w:t>
            </w:r>
          </w:p>
        </w:tc>
      </w:tr>
      <w:tr w:rsidR="0095740D" w:rsidRPr="005119B1" w14:paraId="31161820" w14:textId="77777777" w:rsidTr="001F2EED">
        <w:trPr>
          <w:cantSplit/>
          <w:trHeight w:val="227"/>
          <w:jc w:val="center"/>
        </w:trPr>
        <w:tc>
          <w:tcPr>
            <w:tcW w:w="5340" w:type="dxa"/>
            <w:tcBorders>
              <w:top w:val="nil"/>
              <w:bottom w:val="nil"/>
            </w:tcBorders>
            <w:shd w:val="clear" w:color="000000" w:fill="F2F2F2"/>
            <w:vAlign w:val="center"/>
            <w:hideMark/>
          </w:tcPr>
          <w:p w14:paraId="4A265248" w14:textId="296D7E28"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Ισοζύγιο κατά ESA</w:t>
            </w:r>
          </w:p>
        </w:tc>
        <w:tc>
          <w:tcPr>
            <w:tcW w:w="1620" w:type="dxa"/>
            <w:tcBorders>
              <w:top w:val="nil"/>
              <w:bottom w:val="nil"/>
            </w:tcBorders>
            <w:shd w:val="clear" w:color="000000" w:fill="F2F2F2"/>
            <w:vAlign w:val="center"/>
            <w:hideMark/>
          </w:tcPr>
          <w:p w14:paraId="3B2F7424"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1.266</w:t>
            </w:r>
          </w:p>
        </w:tc>
        <w:tc>
          <w:tcPr>
            <w:tcW w:w="1620" w:type="dxa"/>
            <w:tcBorders>
              <w:top w:val="nil"/>
              <w:bottom w:val="nil"/>
            </w:tcBorders>
            <w:shd w:val="clear" w:color="000000" w:fill="F2F2F2"/>
            <w:vAlign w:val="center"/>
            <w:hideMark/>
          </w:tcPr>
          <w:p w14:paraId="268756B5"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1.107</w:t>
            </w:r>
          </w:p>
        </w:tc>
      </w:tr>
      <w:tr w:rsidR="0095740D" w:rsidRPr="005119B1" w14:paraId="42F482D0" w14:textId="77777777" w:rsidTr="001F2EED">
        <w:trPr>
          <w:cantSplit/>
          <w:trHeight w:val="283"/>
          <w:jc w:val="center"/>
        </w:trPr>
        <w:tc>
          <w:tcPr>
            <w:tcW w:w="5340" w:type="dxa"/>
            <w:tcBorders>
              <w:top w:val="nil"/>
              <w:bottom w:val="nil"/>
            </w:tcBorders>
            <w:shd w:val="clear" w:color="000000" w:fill="D5DCE4"/>
            <w:vAlign w:val="center"/>
            <w:hideMark/>
          </w:tcPr>
          <w:p w14:paraId="37A84A35" w14:textId="5C14DCD5" w:rsidR="0095740D" w:rsidRPr="005119B1" w:rsidRDefault="0095740D" w:rsidP="00332EE4">
            <w:pPr>
              <w:tabs>
                <w:tab w:val="left" w:pos="227"/>
              </w:tabs>
              <w:spacing w:after="0" w:line="276" w:lineRule="auto"/>
              <w:jc w:val="left"/>
              <w:rPr>
                <w:rFonts w:cs="Arial"/>
                <w:b/>
                <w:bCs/>
                <w:color w:val="000000"/>
                <w:sz w:val="16"/>
                <w:szCs w:val="16"/>
              </w:rPr>
            </w:pPr>
            <w:bookmarkStart w:id="411" w:name="RANGE!A26:C45"/>
            <w:r w:rsidRPr="005119B1">
              <w:rPr>
                <w:rFonts w:cs="Arial"/>
                <w:b/>
                <w:bCs/>
                <w:color w:val="000000"/>
                <w:sz w:val="16"/>
                <w:szCs w:val="16"/>
              </w:rPr>
              <w:t>β)</w:t>
            </w:r>
            <w:r w:rsidR="00332EE4">
              <w:rPr>
                <w:rFonts w:cs="Arial"/>
                <w:b/>
                <w:bCs/>
                <w:color w:val="000000"/>
                <w:sz w:val="16"/>
                <w:szCs w:val="16"/>
              </w:rPr>
              <w:tab/>
            </w:r>
            <w:r w:rsidRPr="005119B1">
              <w:rPr>
                <w:rFonts w:cs="Arial"/>
                <w:b/>
                <w:bCs/>
                <w:color w:val="000000"/>
                <w:sz w:val="16"/>
                <w:szCs w:val="16"/>
              </w:rPr>
              <w:t>ΔΥΠΑ</w:t>
            </w:r>
            <w:bookmarkEnd w:id="411"/>
          </w:p>
        </w:tc>
        <w:tc>
          <w:tcPr>
            <w:tcW w:w="1620" w:type="dxa"/>
            <w:tcBorders>
              <w:top w:val="nil"/>
              <w:bottom w:val="nil"/>
            </w:tcBorders>
            <w:shd w:val="clear" w:color="000000" w:fill="D5DCE4"/>
            <w:vAlign w:val="center"/>
            <w:hideMark/>
          </w:tcPr>
          <w:p w14:paraId="4E33B123" w14:textId="3DCD8AF6" w:rsidR="0095740D" w:rsidRPr="005119B1" w:rsidRDefault="0095740D" w:rsidP="00332EE4">
            <w:pPr>
              <w:spacing w:after="0" w:line="276" w:lineRule="auto"/>
              <w:jc w:val="right"/>
              <w:rPr>
                <w:rFonts w:cs="Arial"/>
                <w:color w:val="000000"/>
                <w:sz w:val="16"/>
                <w:szCs w:val="16"/>
              </w:rPr>
            </w:pPr>
          </w:p>
        </w:tc>
        <w:tc>
          <w:tcPr>
            <w:tcW w:w="1620" w:type="dxa"/>
            <w:tcBorders>
              <w:top w:val="nil"/>
              <w:bottom w:val="nil"/>
            </w:tcBorders>
            <w:shd w:val="clear" w:color="000000" w:fill="D5DCE4"/>
            <w:vAlign w:val="center"/>
            <w:hideMark/>
          </w:tcPr>
          <w:p w14:paraId="301F7C69" w14:textId="1158D204" w:rsidR="0095740D" w:rsidRPr="005119B1" w:rsidRDefault="0095740D" w:rsidP="00332EE4">
            <w:pPr>
              <w:spacing w:after="0" w:line="276" w:lineRule="auto"/>
              <w:jc w:val="right"/>
              <w:rPr>
                <w:rFonts w:cs="Arial"/>
                <w:color w:val="000000"/>
                <w:sz w:val="16"/>
                <w:szCs w:val="16"/>
              </w:rPr>
            </w:pPr>
          </w:p>
        </w:tc>
      </w:tr>
      <w:tr w:rsidR="0095740D" w:rsidRPr="005119B1" w14:paraId="4F5AF7EE" w14:textId="77777777" w:rsidTr="001F2EED">
        <w:trPr>
          <w:cantSplit/>
          <w:trHeight w:val="227"/>
          <w:jc w:val="center"/>
        </w:trPr>
        <w:tc>
          <w:tcPr>
            <w:tcW w:w="5340" w:type="dxa"/>
            <w:tcBorders>
              <w:top w:val="nil"/>
              <w:bottom w:val="nil"/>
            </w:tcBorders>
            <w:shd w:val="clear" w:color="auto" w:fill="auto"/>
            <w:vAlign w:val="center"/>
            <w:hideMark/>
          </w:tcPr>
          <w:p w14:paraId="394B4805"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Έσοδα</w:t>
            </w:r>
          </w:p>
        </w:tc>
        <w:tc>
          <w:tcPr>
            <w:tcW w:w="1620" w:type="dxa"/>
            <w:tcBorders>
              <w:top w:val="nil"/>
              <w:bottom w:val="nil"/>
            </w:tcBorders>
            <w:shd w:val="clear" w:color="auto" w:fill="auto"/>
            <w:vAlign w:val="center"/>
            <w:hideMark/>
          </w:tcPr>
          <w:p w14:paraId="1816B538"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3.980</w:t>
            </w:r>
          </w:p>
        </w:tc>
        <w:tc>
          <w:tcPr>
            <w:tcW w:w="1620" w:type="dxa"/>
            <w:tcBorders>
              <w:top w:val="nil"/>
              <w:bottom w:val="nil"/>
            </w:tcBorders>
            <w:shd w:val="clear" w:color="auto" w:fill="auto"/>
            <w:vAlign w:val="center"/>
            <w:hideMark/>
          </w:tcPr>
          <w:p w14:paraId="3A32F12C"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3.775</w:t>
            </w:r>
          </w:p>
        </w:tc>
      </w:tr>
      <w:tr w:rsidR="0095740D" w:rsidRPr="005119B1" w14:paraId="303AB7F5" w14:textId="77777777" w:rsidTr="001F2EED">
        <w:trPr>
          <w:cantSplit/>
          <w:trHeight w:val="227"/>
          <w:jc w:val="center"/>
        </w:trPr>
        <w:tc>
          <w:tcPr>
            <w:tcW w:w="5340" w:type="dxa"/>
            <w:tcBorders>
              <w:top w:val="nil"/>
              <w:bottom w:val="nil"/>
            </w:tcBorders>
            <w:shd w:val="clear" w:color="auto" w:fill="auto"/>
            <w:vAlign w:val="center"/>
            <w:hideMark/>
          </w:tcPr>
          <w:p w14:paraId="6FE64238"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Ασφαλιστικές εισφορές</w:t>
            </w:r>
          </w:p>
        </w:tc>
        <w:tc>
          <w:tcPr>
            <w:tcW w:w="1620" w:type="dxa"/>
            <w:tcBorders>
              <w:top w:val="nil"/>
              <w:bottom w:val="nil"/>
            </w:tcBorders>
            <w:shd w:val="clear" w:color="auto" w:fill="auto"/>
            <w:vAlign w:val="center"/>
            <w:hideMark/>
          </w:tcPr>
          <w:p w14:paraId="6F875999"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1.525</w:t>
            </w:r>
          </w:p>
        </w:tc>
        <w:tc>
          <w:tcPr>
            <w:tcW w:w="1620" w:type="dxa"/>
            <w:tcBorders>
              <w:top w:val="nil"/>
              <w:bottom w:val="nil"/>
            </w:tcBorders>
            <w:shd w:val="clear" w:color="auto" w:fill="auto"/>
            <w:vAlign w:val="center"/>
            <w:hideMark/>
          </w:tcPr>
          <w:p w14:paraId="36853B2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1.588</w:t>
            </w:r>
          </w:p>
        </w:tc>
      </w:tr>
      <w:tr w:rsidR="0095740D" w:rsidRPr="005119B1" w14:paraId="4F469400" w14:textId="77777777" w:rsidTr="001F2EED">
        <w:trPr>
          <w:cantSplit/>
          <w:trHeight w:val="227"/>
          <w:jc w:val="center"/>
        </w:trPr>
        <w:tc>
          <w:tcPr>
            <w:tcW w:w="5340" w:type="dxa"/>
            <w:tcBorders>
              <w:top w:val="nil"/>
              <w:bottom w:val="nil"/>
            </w:tcBorders>
            <w:shd w:val="clear" w:color="auto" w:fill="auto"/>
            <w:vAlign w:val="center"/>
            <w:hideMark/>
          </w:tcPr>
          <w:p w14:paraId="57B010B6"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Ρύθμιση οφειλών</w:t>
            </w:r>
          </w:p>
        </w:tc>
        <w:tc>
          <w:tcPr>
            <w:tcW w:w="1620" w:type="dxa"/>
            <w:tcBorders>
              <w:top w:val="nil"/>
              <w:bottom w:val="nil"/>
            </w:tcBorders>
            <w:shd w:val="clear" w:color="auto" w:fill="auto"/>
            <w:vAlign w:val="center"/>
            <w:hideMark/>
          </w:tcPr>
          <w:p w14:paraId="187E06B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106</w:t>
            </w:r>
          </w:p>
        </w:tc>
        <w:tc>
          <w:tcPr>
            <w:tcW w:w="1620" w:type="dxa"/>
            <w:tcBorders>
              <w:top w:val="nil"/>
              <w:bottom w:val="nil"/>
            </w:tcBorders>
            <w:shd w:val="clear" w:color="auto" w:fill="auto"/>
            <w:vAlign w:val="center"/>
            <w:hideMark/>
          </w:tcPr>
          <w:p w14:paraId="35D5345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108</w:t>
            </w:r>
          </w:p>
        </w:tc>
      </w:tr>
      <w:tr w:rsidR="0095740D" w:rsidRPr="005119B1" w14:paraId="7203B620" w14:textId="77777777" w:rsidTr="001F2EED">
        <w:trPr>
          <w:cantSplit/>
          <w:trHeight w:val="227"/>
          <w:jc w:val="center"/>
        </w:trPr>
        <w:tc>
          <w:tcPr>
            <w:tcW w:w="5340" w:type="dxa"/>
            <w:tcBorders>
              <w:top w:val="nil"/>
              <w:bottom w:val="nil"/>
            </w:tcBorders>
            <w:shd w:val="clear" w:color="auto" w:fill="auto"/>
            <w:vAlign w:val="center"/>
            <w:hideMark/>
          </w:tcPr>
          <w:p w14:paraId="61A89106"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από τακτικό προϋπολογισμό</w:t>
            </w:r>
          </w:p>
        </w:tc>
        <w:tc>
          <w:tcPr>
            <w:tcW w:w="1620" w:type="dxa"/>
            <w:tcBorders>
              <w:top w:val="nil"/>
              <w:bottom w:val="nil"/>
            </w:tcBorders>
            <w:shd w:val="clear" w:color="auto" w:fill="auto"/>
            <w:vAlign w:val="center"/>
            <w:hideMark/>
          </w:tcPr>
          <w:p w14:paraId="1AD088E5"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1.326</w:t>
            </w:r>
          </w:p>
        </w:tc>
        <w:tc>
          <w:tcPr>
            <w:tcW w:w="1620" w:type="dxa"/>
            <w:tcBorders>
              <w:top w:val="nil"/>
              <w:bottom w:val="nil"/>
            </w:tcBorders>
            <w:shd w:val="clear" w:color="auto" w:fill="auto"/>
            <w:vAlign w:val="center"/>
            <w:hideMark/>
          </w:tcPr>
          <w:p w14:paraId="4D207A6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1.413</w:t>
            </w:r>
          </w:p>
        </w:tc>
      </w:tr>
      <w:tr w:rsidR="0095740D" w:rsidRPr="005119B1" w14:paraId="1C81F732" w14:textId="77777777" w:rsidTr="001F2EED">
        <w:trPr>
          <w:cantSplit/>
          <w:trHeight w:val="227"/>
          <w:jc w:val="center"/>
        </w:trPr>
        <w:tc>
          <w:tcPr>
            <w:tcW w:w="5340" w:type="dxa"/>
            <w:tcBorders>
              <w:top w:val="nil"/>
              <w:bottom w:val="nil"/>
            </w:tcBorders>
            <w:shd w:val="clear" w:color="auto" w:fill="auto"/>
            <w:vAlign w:val="center"/>
            <w:hideMark/>
          </w:tcPr>
          <w:p w14:paraId="136ED021"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από προϋπολογισμό δημοσίων επενδύσεων</w:t>
            </w:r>
          </w:p>
        </w:tc>
        <w:tc>
          <w:tcPr>
            <w:tcW w:w="1620" w:type="dxa"/>
            <w:tcBorders>
              <w:top w:val="nil"/>
              <w:bottom w:val="nil"/>
            </w:tcBorders>
            <w:shd w:val="clear" w:color="auto" w:fill="auto"/>
            <w:vAlign w:val="center"/>
            <w:hideMark/>
          </w:tcPr>
          <w:p w14:paraId="1D33480C"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858</w:t>
            </w:r>
          </w:p>
        </w:tc>
        <w:tc>
          <w:tcPr>
            <w:tcW w:w="1620" w:type="dxa"/>
            <w:tcBorders>
              <w:top w:val="nil"/>
              <w:bottom w:val="nil"/>
            </w:tcBorders>
            <w:shd w:val="clear" w:color="auto" w:fill="auto"/>
            <w:vAlign w:val="center"/>
            <w:hideMark/>
          </w:tcPr>
          <w:p w14:paraId="535FC7D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496</w:t>
            </w:r>
          </w:p>
        </w:tc>
      </w:tr>
      <w:tr w:rsidR="0095740D" w:rsidRPr="005119B1" w14:paraId="7831172B" w14:textId="77777777" w:rsidTr="001F2EED">
        <w:trPr>
          <w:cantSplit/>
          <w:trHeight w:val="227"/>
          <w:jc w:val="center"/>
        </w:trPr>
        <w:tc>
          <w:tcPr>
            <w:tcW w:w="5340" w:type="dxa"/>
            <w:tcBorders>
              <w:top w:val="nil"/>
              <w:bottom w:val="nil"/>
            </w:tcBorders>
            <w:shd w:val="clear" w:color="auto" w:fill="auto"/>
            <w:vAlign w:val="center"/>
            <w:hideMark/>
          </w:tcPr>
          <w:p w14:paraId="40F4F136"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Απόδοση περιουσίας</w:t>
            </w:r>
          </w:p>
        </w:tc>
        <w:tc>
          <w:tcPr>
            <w:tcW w:w="1620" w:type="dxa"/>
            <w:tcBorders>
              <w:top w:val="nil"/>
              <w:bottom w:val="nil"/>
            </w:tcBorders>
            <w:shd w:val="clear" w:color="auto" w:fill="auto"/>
            <w:vAlign w:val="center"/>
            <w:hideMark/>
          </w:tcPr>
          <w:p w14:paraId="0FD6795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152</w:t>
            </w:r>
          </w:p>
        </w:tc>
        <w:tc>
          <w:tcPr>
            <w:tcW w:w="1620" w:type="dxa"/>
            <w:tcBorders>
              <w:top w:val="nil"/>
              <w:bottom w:val="nil"/>
            </w:tcBorders>
            <w:shd w:val="clear" w:color="auto" w:fill="auto"/>
            <w:vAlign w:val="center"/>
            <w:hideMark/>
          </w:tcPr>
          <w:p w14:paraId="31FAA8F9"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156</w:t>
            </w:r>
          </w:p>
        </w:tc>
      </w:tr>
      <w:tr w:rsidR="0095740D" w:rsidRPr="005119B1" w14:paraId="3BCA672B" w14:textId="77777777" w:rsidTr="001F2EED">
        <w:trPr>
          <w:cantSplit/>
          <w:trHeight w:val="227"/>
          <w:jc w:val="center"/>
        </w:trPr>
        <w:tc>
          <w:tcPr>
            <w:tcW w:w="5340" w:type="dxa"/>
            <w:tcBorders>
              <w:top w:val="nil"/>
              <w:bottom w:val="nil"/>
            </w:tcBorders>
            <w:shd w:val="clear" w:color="auto" w:fill="auto"/>
            <w:vAlign w:val="center"/>
            <w:hideMark/>
          </w:tcPr>
          <w:p w14:paraId="0E52CE1A"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Λοιπά έσοδα</w:t>
            </w:r>
          </w:p>
        </w:tc>
        <w:tc>
          <w:tcPr>
            <w:tcW w:w="1620" w:type="dxa"/>
            <w:tcBorders>
              <w:top w:val="nil"/>
              <w:bottom w:val="nil"/>
            </w:tcBorders>
            <w:shd w:val="clear" w:color="auto" w:fill="auto"/>
            <w:vAlign w:val="center"/>
            <w:hideMark/>
          </w:tcPr>
          <w:p w14:paraId="19B96A2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12</w:t>
            </w:r>
          </w:p>
        </w:tc>
        <w:tc>
          <w:tcPr>
            <w:tcW w:w="1620" w:type="dxa"/>
            <w:tcBorders>
              <w:top w:val="nil"/>
              <w:bottom w:val="nil"/>
            </w:tcBorders>
            <w:shd w:val="clear" w:color="auto" w:fill="auto"/>
            <w:vAlign w:val="center"/>
            <w:hideMark/>
          </w:tcPr>
          <w:p w14:paraId="79292DAE"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13</w:t>
            </w:r>
          </w:p>
        </w:tc>
      </w:tr>
      <w:tr w:rsidR="0095740D" w:rsidRPr="005119B1" w14:paraId="47C6E39C" w14:textId="77777777" w:rsidTr="001F2EED">
        <w:trPr>
          <w:cantSplit/>
          <w:trHeight w:val="227"/>
          <w:jc w:val="center"/>
        </w:trPr>
        <w:tc>
          <w:tcPr>
            <w:tcW w:w="5340" w:type="dxa"/>
            <w:tcBorders>
              <w:top w:val="nil"/>
              <w:bottom w:val="nil"/>
            </w:tcBorders>
            <w:shd w:val="clear" w:color="auto" w:fill="auto"/>
            <w:vAlign w:val="center"/>
            <w:hideMark/>
          </w:tcPr>
          <w:p w14:paraId="5EE4B94E"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Δαπάνες</w:t>
            </w:r>
          </w:p>
        </w:tc>
        <w:tc>
          <w:tcPr>
            <w:tcW w:w="1620" w:type="dxa"/>
            <w:tcBorders>
              <w:top w:val="nil"/>
              <w:bottom w:val="nil"/>
            </w:tcBorders>
            <w:shd w:val="clear" w:color="auto" w:fill="auto"/>
            <w:vAlign w:val="center"/>
            <w:hideMark/>
          </w:tcPr>
          <w:p w14:paraId="07A5D9A1"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3.943</w:t>
            </w:r>
          </w:p>
        </w:tc>
        <w:tc>
          <w:tcPr>
            <w:tcW w:w="1620" w:type="dxa"/>
            <w:tcBorders>
              <w:top w:val="nil"/>
              <w:bottom w:val="nil"/>
            </w:tcBorders>
            <w:shd w:val="clear" w:color="auto" w:fill="auto"/>
            <w:vAlign w:val="center"/>
            <w:hideMark/>
          </w:tcPr>
          <w:p w14:paraId="009AA55F"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3.747</w:t>
            </w:r>
          </w:p>
        </w:tc>
      </w:tr>
      <w:tr w:rsidR="0095740D" w:rsidRPr="005119B1" w14:paraId="646A836F" w14:textId="77777777" w:rsidTr="001F2EED">
        <w:trPr>
          <w:cantSplit/>
          <w:trHeight w:val="227"/>
          <w:jc w:val="center"/>
        </w:trPr>
        <w:tc>
          <w:tcPr>
            <w:tcW w:w="5340" w:type="dxa"/>
            <w:tcBorders>
              <w:top w:val="nil"/>
              <w:bottom w:val="nil"/>
            </w:tcBorders>
            <w:shd w:val="clear" w:color="auto" w:fill="auto"/>
            <w:vAlign w:val="center"/>
            <w:hideMark/>
          </w:tcPr>
          <w:p w14:paraId="3416B70F"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Επιδόματα ανεργίας</w:t>
            </w:r>
          </w:p>
        </w:tc>
        <w:tc>
          <w:tcPr>
            <w:tcW w:w="1620" w:type="dxa"/>
            <w:tcBorders>
              <w:top w:val="nil"/>
              <w:bottom w:val="nil"/>
            </w:tcBorders>
            <w:shd w:val="clear" w:color="auto" w:fill="auto"/>
            <w:vAlign w:val="center"/>
            <w:hideMark/>
          </w:tcPr>
          <w:p w14:paraId="6679822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1.960</w:t>
            </w:r>
          </w:p>
        </w:tc>
        <w:tc>
          <w:tcPr>
            <w:tcW w:w="1620" w:type="dxa"/>
            <w:tcBorders>
              <w:top w:val="nil"/>
              <w:bottom w:val="nil"/>
            </w:tcBorders>
            <w:shd w:val="clear" w:color="auto" w:fill="auto"/>
            <w:vAlign w:val="center"/>
            <w:hideMark/>
          </w:tcPr>
          <w:p w14:paraId="5E830BD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2.009</w:t>
            </w:r>
          </w:p>
        </w:tc>
      </w:tr>
      <w:tr w:rsidR="0095740D" w:rsidRPr="005119B1" w14:paraId="1F02FE19" w14:textId="77777777" w:rsidTr="001F2EED">
        <w:trPr>
          <w:cantSplit/>
          <w:trHeight w:val="227"/>
          <w:jc w:val="center"/>
        </w:trPr>
        <w:tc>
          <w:tcPr>
            <w:tcW w:w="5340" w:type="dxa"/>
            <w:tcBorders>
              <w:top w:val="nil"/>
              <w:bottom w:val="nil"/>
            </w:tcBorders>
            <w:shd w:val="clear" w:color="auto" w:fill="auto"/>
            <w:vAlign w:val="center"/>
            <w:hideMark/>
          </w:tcPr>
          <w:p w14:paraId="65411FF9"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Προγράμματα απασχόλησης</w:t>
            </w:r>
          </w:p>
        </w:tc>
        <w:tc>
          <w:tcPr>
            <w:tcW w:w="1620" w:type="dxa"/>
            <w:tcBorders>
              <w:top w:val="nil"/>
              <w:bottom w:val="nil"/>
            </w:tcBorders>
            <w:shd w:val="clear" w:color="auto" w:fill="auto"/>
            <w:vAlign w:val="center"/>
            <w:hideMark/>
          </w:tcPr>
          <w:p w14:paraId="0E748DD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564</w:t>
            </w:r>
          </w:p>
        </w:tc>
        <w:tc>
          <w:tcPr>
            <w:tcW w:w="1620" w:type="dxa"/>
            <w:tcBorders>
              <w:top w:val="nil"/>
              <w:bottom w:val="nil"/>
            </w:tcBorders>
            <w:shd w:val="clear" w:color="auto" w:fill="auto"/>
            <w:vAlign w:val="center"/>
            <w:hideMark/>
          </w:tcPr>
          <w:p w14:paraId="28715628"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464</w:t>
            </w:r>
          </w:p>
        </w:tc>
      </w:tr>
      <w:tr w:rsidR="0095740D" w:rsidRPr="005119B1" w14:paraId="2FA937B4" w14:textId="77777777" w:rsidTr="001F2EED">
        <w:trPr>
          <w:cantSplit/>
          <w:trHeight w:val="227"/>
          <w:jc w:val="center"/>
        </w:trPr>
        <w:tc>
          <w:tcPr>
            <w:tcW w:w="5340" w:type="dxa"/>
            <w:tcBorders>
              <w:top w:val="nil"/>
              <w:bottom w:val="nil"/>
            </w:tcBorders>
            <w:shd w:val="clear" w:color="auto" w:fill="auto"/>
            <w:vAlign w:val="center"/>
            <w:hideMark/>
          </w:tcPr>
          <w:p w14:paraId="50DAB616"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Επιμόρφωση ανέργων και εργαζομένων</w:t>
            </w:r>
          </w:p>
        </w:tc>
        <w:tc>
          <w:tcPr>
            <w:tcW w:w="1620" w:type="dxa"/>
            <w:tcBorders>
              <w:top w:val="nil"/>
              <w:bottom w:val="nil"/>
            </w:tcBorders>
            <w:shd w:val="clear" w:color="auto" w:fill="auto"/>
            <w:vAlign w:val="center"/>
            <w:hideMark/>
          </w:tcPr>
          <w:p w14:paraId="71883BE3"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461</w:t>
            </w:r>
          </w:p>
        </w:tc>
        <w:tc>
          <w:tcPr>
            <w:tcW w:w="1620" w:type="dxa"/>
            <w:tcBorders>
              <w:top w:val="nil"/>
              <w:bottom w:val="nil"/>
            </w:tcBorders>
            <w:shd w:val="clear" w:color="auto" w:fill="auto"/>
            <w:vAlign w:val="center"/>
            <w:hideMark/>
          </w:tcPr>
          <w:p w14:paraId="126E61C3"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287</w:t>
            </w:r>
          </w:p>
        </w:tc>
      </w:tr>
      <w:tr w:rsidR="0095740D" w:rsidRPr="005119B1" w14:paraId="7C5027AC" w14:textId="77777777" w:rsidTr="001F2EED">
        <w:trPr>
          <w:cantSplit/>
          <w:trHeight w:val="227"/>
          <w:jc w:val="center"/>
        </w:trPr>
        <w:tc>
          <w:tcPr>
            <w:tcW w:w="5340" w:type="dxa"/>
            <w:tcBorders>
              <w:top w:val="nil"/>
              <w:bottom w:val="nil"/>
            </w:tcBorders>
            <w:shd w:val="clear" w:color="auto" w:fill="auto"/>
            <w:vAlign w:val="center"/>
            <w:hideMark/>
          </w:tcPr>
          <w:p w14:paraId="09CAC145"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Λοιπές προνοιακές παροχές</w:t>
            </w:r>
          </w:p>
        </w:tc>
        <w:tc>
          <w:tcPr>
            <w:tcW w:w="1620" w:type="dxa"/>
            <w:tcBorders>
              <w:top w:val="nil"/>
              <w:bottom w:val="nil"/>
            </w:tcBorders>
            <w:shd w:val="clear" w:color="auto" w:fill="auto"/>
            <w:vAlign w:val="center"/>
            <w:hideMark/>
          </w:tcPr>
          <w:p w14:paraId="4265357B"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155</w:t>
            </w:r>
          </w:p>
        </w:tc>
        <w:tc>
          <w:tcPr>
            <w:tcW w:w="1620" w:type="dxa"/>
            <w:tcBorders>
              <w:top w:val="nil"/>
              <w:bottom w:val="nil"/>
            </w:tcBorders>
            <w:shd w:val="clear" w:color="auto" w:fill="auto"/>
            <w:vAlign w:val="center"/>
            <w:hideMark/>
          </w:tcPr>
          <w:p w14:paraId="3FC1791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141</w:t>
            </w:r>
          </w:p>
        </w:tc>
      </w:tr>
      <w:tr w:rsidR="0095740D" w:rsidRPr="005119B1" w14:paraId="70AC4554" w14:textId="77777777" w:rsidTr="001F2EED">
        <w:trPr>
          <w:cantSplit/>
          <w:trHeight w:val="227"/>
          <w:jc w:val="center"/>
        </w:trPr>
        <w:tc>
          <w:tcPr>
            <w:tcW w:w="5340" w:type="dxa"/>
            <w:tcBorders>
              <w:top w:val="nil"/>
              <w:bottom w:val="nil"/>
            </w:tcBorders>
            <w:shd w:val="clear" w:color="auto" w:fill="auto"/>
            <w:vAlign w:val="center"/>
            <w:hideMark/>
          </w:tcPr>
          <w:p w14:paraId="2A0EDF08"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στο ΙΚΑ</w:t>
            </w:r>
          </w:p>
        </w:tc>
        <w:tc>
          <w:tcPr>
            <w:tcW w:w="1620" w:type="dxa"/>
            <w:tcBorders>
              <w:top w:val="nil"/>
              <w:bottom w:val="nil"/>
            </w:tcBorders>
            <w:shd w:val="clear" w:color="auto" w:fill="auto"/>
            <w:vAlign w:val="center"/>
            <w:hideMark/>
          </w:tcPr>
          <w:p w14:paraId="178EFEF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453</w:t>
            </w:r>
          </w:p>
        </w:tc>
        <w:tc>
          <w:tcPr>
            <w:tcW w:w="1620" w:type="dxa"/>
            <w:tcBorders>
              <w:top w:val="nil"/>
              <w:bottom w:val="nil"/>
            </w:tcBorders>
            <w:shd w:val="clear" w:color="auto" w:fill="auto"/>
            <w:vAlign w:val="center"/>
            <w:hideMark/>
          </w:tcPr>
          <w:p w14:paraId="63D8010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471</w:t>
            </w:r>
          </w:p>
        </w:tc>
      </w:tr>
      <w:tr w:rsidR="0095740D" w:rsidRPr="005119B1" w14:paraId="65A99F4C" w14:textId="77777777" w:rsidTr="001F2EED">
        <w:trPr>
          <w:cantSplit/>
          <w:trHeight w:val="227"/>
          <w:jc w:val="center"/>
        </w:trPr>
        <w:tc>
          <w:tcPr>
            <w:tcW w:w="5340" w:type="dxa"/>
            <w:tcBorders>
              <w:top w:val="nil"/>
              <w:bottom w:val="nil"/>
            </w:tcBorders>
            <w:shd w:val="clear" w:color="auto" w:fill="auto"/>
            <w:vAlign w:val="center"/>
            <w:hideMark/>
          </w:tcPr>
          <w:p w14:paraId="1BEC94EA"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Δαπάνες προσωπικού</w:t>
            </w:r>
          </w:p>
        </w:tc>
        <w:tc>
          <w:tcPr>
            <w:tcW w:w="1620" w:type="dxa"/>
            <w:tcBorders>
              <w:top w:val="nil"/>
              <w:bottom w:val="nil"/>
            </w:tcBorders>
            <w:shd w:val="clear" w:color="auto" w:fill="auto"/>
            <w:vAlign w:val="center"/>
            <w:hideMark/>
          </w:tcPr>
          <w:p w14:paraId="5E198FF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120</w:t>
            </w:r>
          </w:p>
        </w:tc>
        <w:tc>
          <w:tcPr>
            <w:tcW w:w="1620" w:type="dxa"/>
            <w:tcBorders>
              <w:top w:val="nil"/>
              <w:bottom w:val="nil"/>
            </w:tcBorders>
            <w:shd w:val="clear" w:color="auto" w:fill="auto"/>
            <w:vAlign w:val="center"/>
            <w:hideMark/>
          </w:tcPr>
          <w:p w14:paraId="15B541C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133</w:t>
            </w:r>
          </w:p>
        </w:tc>
      </w:tr>
      <w:tr w:rsidR="0095740D" w:rsidRPr="005119B1" w14:paraId="67BD2BCC" w14:textId="77777777" w:rsidTr="001F2EED">
        <w:trPr>
          <w:cantSplit/>
          <w:trHeight w:val="227"/>
          <w:jc w:val="center"/>
        </w:trPr>
        <w:tc>
          <w:tcPr>
            <w:tcW w:w="5340" w:type="dxa"/>
            <w:tcBorders>
              <w:top w:val="nil"/>
              <w:bottom w:val="nil"/>
            </w:tcBorders>
            <w:shd w:val="clear" w:color="auto" w:fill="auto"/>
            <w:vAlign w:val="center"/>
            <w:hideMark/>
          </w:tcPr>
          <w:p w14:paraId="37511A4D"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Επενδυτικές δαπάνες</w:t>
            </w:r>
          </w:p>
        </w:tc>
        <w:tc>
          <w:tcPr>
            <w:tcW w:w="1620" w:type="dxa"/>
            <w:tcBorders>
              <w:top w:val="nil"/>
              <w:bottom w:val="nil"/>
            </w:tcBorders>
            <w:shd w:val="clear" w:color="auto" w:fill="auto"/>
            <w:vAlign w:val="center"/>
            <w:hideMark/>
          </w:tcPr>
          <w:p w14:paraId="3D6AC0D5"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46</w:t>
            </w:r>
          </w:p>
        </w:tc>
        <w:tc>
          <w:tcPr>
            <w:tcW w:w="1620" w:type="dxa"/>
            <w:tcBorders>
              <w:top w:val="nil"/>
              <w:bottom w:val="nil"/>
            </w:tcBorders>
            <w:shd w:val="clear" w:color="auto" w:fill="auto"/>
            <w:vAlign w:val="center"/>
            <w:hideMark/>
          </w:tcPr>
          <w:p w14:paraId="4374827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23</w:t>
            </w:r>
          </w:p>
        </w:tc>
      </w:tr>
      <w:tr w:rsidR="0095740D" w:rsidRPr="005119B1" w14:paraId="2F58BE50" w14:textId="77777777" w:rsidTr="001F2EED">
        <w:trPr>
          <w:cantSplit/>
          <w:trHeight w:val="227"/>
          <w:jc w:val="center"/>
        </w:trPr>
        <w:tc>
          <w:tcPr>
            <w:tcW w:w="5340" w:type="dxa"/>
            <w:tcBorders>
              <w:top w:val="nil"/>
              <w:bottom w:val="nil"/>
            </w:tcBorders>
            <w:shd w:val="clear" w:color="auto" w:fill="auto"/>
            <w:vAlign w:val="center"/>
            <w:hideMark/>
          </w:tcPr>
          <w:p w14:paraId="5F462FE3"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Λοιπές δαπάνες</w:t>
            </w:r>
          </w:p>
        </w:tc>
        <w:tc>
          <w:tcPr>
            <w:tcW w:w="1620" w:type="dxa"/>
            <w:tcBorders>
              <w:top w:val="nil"/>
              <w:bottom w:val="nil"/>
            </w:tcBorders>
            <w:shd w:val="clear" w:color="auto" w:fill="auto"/>
            <w:vAlign w:val="center"/>
            <w:hideMark/>
          </w:tcPr>
          <w:p w14:paraId="22A7FE3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184</w:t>
            </w:r>
          </w:p>
        </w:tc>
        <w:tc>
          <w:tcPr>
            <w:tcW w:w="1620" w:type="dxa"/>
            <w:tcBorders>
              <w:top w:val="nil"/>
              <w:bottom w:val="nil"/>
            </w:tcBorders>
            <w:shd w:val="clear" w:color="auto" w:fill="auto"/>
            <w:vAlign w:val="center"/>
            <w:hideMark/>
          </w:tcPr>
          <w:p w14:paraId="21CF78C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219</w:t>
            </w:r>
          </w:p>
        </w:tc>
      </w:tr>
      <w:tr w:rsidR="0095740D" w:rsidRPr="005119B1" w14:paraId="39C2F34D" w14:textId="77777777" w:rsidTr="001F2EED">
        <w:trPr>
          <w:cantSplit/>
          <w:trHeight w:val="227"/>
          <w:jc w:val="center"/>
        </w:trPr>
        <w:tc>
          <w:tcPr>
            <w:tcW w:w="5340" w:type="dxa"/>
            <w:tcBorders>
              <w:top w:val="nil"/>
              <w:bottom w:val="nil"/>
            </w:tcBorders>
            <w:shd w:val="clear" w:color="000000" w:fill="F2F2F2"/>
            <w:vAlign w:val="center"/>
            <w:hideMark/>
          </w:tcPr>
          <w:p w14:paraId="7A89C4FF"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Ταμειακό ισοζύγιο</w:t>
            </w:r>
          </w:p>
        </w:tc>
        <w:tc>
          <w:tcPr>
            <w:tcW w:w="1620" w:type="dxa"/>
            <w:tcBorders>
              <w:top w:val="nil"/>
              <w:bottom w:val="nil"/>
            </w:tcBorders>
            <w:shd w:val="clear" w:color="000000" w:fill="F2F2F2"/>
            <w:vAlign w:val="center"/>
            <w:hideMark/>
          </w:tcPr>
          <w:p w14:paraId="125764D9"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37</w:t>
            </w:r>
          </w:p>
        </w:tc>
        <w:tc>
          <w:tcPr>
            <w:tcW w:w="1620" w:type="dxa"/>
            <w:tcBorders>
              <w:top w:val="nil"/>
              <w:bottom w:val="nil"/>
            </w:tcBorders>
            <w:shd w:val="clear" w:color="000000" w:fill="F2F2F2"/>
            <w:vAlign w:val="center"/>
            <w:hideMark/>
          </w:tcPr>
          <w:p w14:paraId="3DC49633"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28</w:t>
            </w:r>
          </w:p>
        </w:tc>
      </w:tr>
      <w:tr w:rsidR="0095740D" w:rsidRPr="005119B1" w14:paraId="24C85DCB" w14:textId="77777777" w:rsidTr="001F2EED">
        <w:trPr>
          <w:cantSplit/>
          <w:trHeight w:val="227"/>
          <w:jc w:val="center"/>
        </w:trPr>
        <w:tc>
          <w:tcPr>
            <w:tcW w:w="5340" w:type="dxa"/>
            <w:tcBorders>
              <w:top w:val="nil"/>
              <w:bottom w:val="nil"/>
            </w:tcBorders>
            <w:shd w:val="clear" w:color="000000" w:fill="F2F2F2"/>
            <w:vAlign w:val="center"/>
            <w:hideMark/>
          </w:tcPr>
          <w:p w14:paraId="06FCA379"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Εθνικολογιστικές προσαρμογές</w:t>
            </w:r>
          </w:p>
        </w:tc>
        <w:tc>
          <w:tcPr>
            <w:tcW w:w="1620" w:type="dxa"/>
            <w:tcBorders>
              <w:top w:val="nil"/>
              <w:bottom w:val="nil"/>
            </w:tcBorders>
            <w:shd w:val="clear" w:color="000000" w:fill="F2F2F2"/>
            <w:vAlign w:val="center"/>
            <w:hideMark/>
          </w:tcPr>
          <w:p w14:paraId="25180BE9"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0</w:t>
            </w:r>
          </w:p>
        </w:tc>
        <w:tc>
          <w:tcPr>
            <w:tcW w:w="1620" w:type="dxa"/>
            <w:tcBorders>
              <w:top w:val="nil"/>
              <w:bottom w:val="nil"/>
            </w:tcBorders>
            <w:shd w:val="clear" w:color="000000" w:fill="F2F2F2"/>
            <w:vAlign w:val="center"/>
            <w:hideMark/>
          </w:tcPr>
          <w:p w14:paraId="268DB0E7"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2</w:t>
            </w:r>
          </w:p>
        </w:tc>
      </w:tr>
      <w:tr w:rsidR="0095740D" w:rsidRPr="005119B1" w14:paraId="61602E01" w14:textId="77777777" w:rsidTr="001F2EED">
        <w:trPr>
          <w:cantSplit/>
          <w:trHeight w:val="227"/>
          <w:jc w:val="center"/>
        </w:trPr>
        <w:tc>
          <w:tcPr>
            <w:tcW w:w="5340" w:type="dxa"/>
            <w:tcBorders>
              <w:top w:val="nil"/>
              <w:bottom w:val="nil"/>
            </w:tcBorders>
            <w:shd w:val="clear" w:color="000000" w:fill="F2F2F2"/>
            <w:vAlign w:val="center"/>
            <w:hideMark/>
          </w:tcPr>
          <w:p w14:paraId="35C3005A"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Ισοζύγιο κατά ESA</w:t>
            </w:r>
          </w:p>
        </w:tc>
        <w:tc>
          <w:tcPr>
            <w:tcW w:w="1620" w:type="dxa"/>
            <w:tcBorders>
              <w:top w:val="nil"/>
              <w:bottom w:val="nil"/>
            </w:tcBorders>
            <w:shd w:val="clear" w:color="000000" w:fill="F2F2F2"/>
            <w:vAlign w:val="center"/>
            <w:hideMark/>
          </w:tcPr>
          <w:p w14:paraId="14F13ABD"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37</w:t>
            </w:r>
          </w:p>
        </w:tc>
        <w:tc>
          <w:tcPr>
            <w:tcW w:w="1620" w:type="dxa"/>
            <w:tcBorders>
              <w:top w:val="nil"/>
              <w:bottom w:val="nil"/>
            </w:tcBorders>
            <w:shd w:val="clear" w:color="000000" w:fill="F2F2F2"/>
            <w:vAlign w:val="center"/>
            <w:hideMark/>
          </w:tcPr>
          <w:p w14:paraId="0567276D"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30</w:t>
            </w:r>
          </w:p>
        </w:tc>
      </w:tr>
      <w:tr w:rsidR="0095740D" w:rsidRPr="005119B1" w14:paraId="0FCE5253" w14:textId="77777777" w:rsidTr="001F2EED">
        <w:trPr>
          <w:cantSplit/>
          <w:trHeight w:val="283"/>
          <w:jc w:val="center"/>
        </w:trPr>
        <w:tc>
          <w:tcPr>
            <w:tcW w:w="5340" w:type="dxa"/>
            <w:tcBorders>
              <w:top w:val="nil"/>
              <w:bottom w:val="nil"/>
            </w:tcBorders>
            <w:shd w:val="clear" w:color="000000" w:fill="D5DCE4"/>
            <w:vAlign w:val="center"/>
            <w:hideMark/>
          </w:tcPr>
          <w:p w14:paraId="41D1B90D" w14:textId="2F9E6740" w:rsidR="0095740D" w:rsidRPr="005119B1" w:rsidRDefault="0095740D" w:rsidP="00332EE4">
            <w:pPr>
              <w:tabs>
                <w:tab w:val="left" w:pos="227"/>
              </w:tabs>
              <w:spacing w:after="0" w:line="276" w:lineRule="auto"/>
              <w:jc w:val="left"/>
              <w:rPr>
                <w:rFonts w:cs="Arial"/>
                <w:b/>
                <w:bCs/>
                <w:color w:val="000000"/>
                <w:sz w:val="16"/>
                <w:szCs w:val="16"/>
              </w:rPr>
            </w:pPr>
            <w:r w:rsidRPr="005119B1">
              <w:rPr>
                <w:rFonts w:cs="Arial"/>
                <w:b/>
                <w:bCs/>
                <w:color w:val="000000"/>
                <w:sz w:val="16"/>
                <w:szCs w:val="16"/>
              </w:rPr>
              <w:t>γ)</w:t>
            </w:r>
            <w:r w:rsidR="00332EE4">
              <w:rPr>
                <w:rFonts w:cs="Arial"/>
                <w:b/>
                <w:bCs/>
                <w:color w:val="000000"/>
                <w:sz w:val="16"/>
                <w:szCs w:val="16"/>
              </w:rPr>
              <w:tab/>
            </w:r>
            <w:r w:rsidRPr="005119B1">
              <w:rPr>
                <w:rFonts w:cs="Arial"/>
                <w:b/>
                <w:bCs/>
                <w:color w:val="000000"/>
                <w:sz w:val="16"/>
                <w:szCs w:val="16"/>
              </w:rPr>
              <w:t>ΕΟΠΥΥ</w:t>
            </w:r>
          </w:p>
        </w:tc>
        <w:tc>
          <w:tcPr>
            <w:tcW w:w="1620" w:type="dxa"/>
            <w:tcBorders>
              <w:top w:val="nil"/>
              <w:bottom w:val="nil"/>
            </w:tcBorders>
            <w:shd w:val="clear" w:color="000000" w:fill="D5DCE4"/>
            <w:vAlign w:val="center"/>
            <w:hideMark/>
          </w:tcPr>
          <w:p w14:paraId="25B4F5A6" w14:textId="177DA458" w:rsidR="0095740D" w:rsidRPr="005119B1" w:rsidRDefault="0095740D" w:rsidP="00332EE4">
            <w:pPr>
              <w:spacing w:after="0" w:line="276" w:lineRule="auto"/>
              <w:jc w:val="right"/>
              <w:rPr>
                <w:rFonts w:cs="Arial"/>
                <w:b/>
                <w:bCs/>
                <w:color w:val="000000"/>
                <w:sz w:val="16"/>
                <w:szCs w:val="16"/>
              </w:rPr>
            </w:pPr>
          </w:p>
        </w:tc>
        <w:tc>
          <w:tcPr>
            <w:tcW w:w="1620" w:type="dxa"/>
            <w:tcBorders>
              <w:top w:val="nil"/>
              <w:bottom w:val="nil"/>
            </w:tcBorders>
            <w:shd w:val="clear" w:color="000000" w:fill="D5DCE4"/>
            <w:vAlign w:val="center"/>
            <w:hideMark/>
          </w:tcPr>
          <w:p w14:paraId="2A40B78C" w14:textId="4A1682FC" w:rsidR="0095740D" w:rsidRPr="005119B1" w:rsidRDefault="0095740D" w:rsidP="00332EE4">
            <w:pPr>
              <w:spacing w:after="0" w:line="276" w:lineRule="auto"/>
              <w:jc w:val="right"/>
              <w:rPr>
                <w:rFonts w:cs="Arial"/>
                <w:b/>
                <w:bCs/>
                <w:color w:val="000000"/>
                <w:sz w:val="16"/>
                <w:szCs w:val="16"/>
              </w:rPr>
            </w:pPr>
          </w:p>
        </w:tc>
      </w:tr>
      <w:tr w:rsidR="0095740D" w:rsidRPr="005119B1" w14:paraId="09B1D6C1" w14:textId="77777777" w:rsidTr="001F2EED">
        <w:trPr>
          <w:cantSplit/>
          <w:trHeight w:val="227"/>
          <w:jc w:val="center"/>
        </w:trPr>
        <w:tc>
          <w:tcPr>
            <w:tcW w:w="5340" w:type="dxa"/>
            <w:tcBorders>
              <w:top w:val="nil"/>
              <w:bottom w:val="nil"/>
            </w:tcBorders>
            <w:shd w:val="clear" w:color="auto" w:fill="auto"/>
            <w:vAlign w:val="center"/>
            <w:hideMark/>
          </w:tcPr>
          <w:p w14:paraId="7938F32B"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Έσοδα</w:t>
            </w:r>
          </w:p>
        </w:tc>
        <w:tc>
          <w:tcPr>
            <w:tcW w:w="1620" w:type="dxa"/>
            <w:tcBorders>
              <w:top w:val="nil"/>
              <w:bottom w:val="nil"/>
            </w:tcBorders>
            <w:shd w:val="clear" w:color="auto" w:fill="auto"/>
            <w:vAlign w:val="center"/>
            <w:hideMark/>
          </w:tcPr>
          <w:p w14:paraId="18D5C198"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8.297</w:t>
            </w:r>
          </w:p>
        </w:tc>
        <w:tc>
          <w:tcPr>
            <w:tcW w:w="1620" w:type="dxa"/>
            <w:tcBorders>
              <w:top w:val="nil"/>
              <w:bottom w:val="nil"/>
            </w:tcBorders>
            <w:shd w:val="clear" w:color="auto" w:fill="auto"/>
            <w:vAlign w:val="center"/>
            <w:hideMark/>
          </w:tcPr>
          <w:p w14:paraId="5B709931"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8.506</w:t>
            </w:r>
          </w:p>
        </w:tc>
      </w:tr>
      <w:tr w:rsidR="0095740D" w:rsidRPr="005119B1" w14:paraId="28F856ED" w14:textId="77777777" w:rsidTr="001F2EED">
        <w:trPr>
          <w:cantSplit/>
          <w:trHeight w:val="227"/>
          <w:jc w:val="center"/>
        </w:trPr>
        <w:tc>
          <w:tcPr>
            <w:tcW w:w="5340" w:type="dxa"/>
            <w:tcBorders>
              <w:top w:val="nil"/>
              <w:bottom w:val="nil"/>
            </w:tcBorders>
            <w:shd w:val="clear" w:color="auto" w:fill="auto"/>
            <w:vAlign w:val="center"/>
            <w:hideMark/>
          </w:tcPr>
          <w:p w14:paraId="06885773"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Ασφαλιστικές εισφορές</w:t>
            </w:r>
          </w:p>
        </w:tc>
        <w:tc>
          <w:tcPr>
            <w:tcW w:w="1620" w:type="dxa"/>
            <w:tcBorders>
              <w:top w:val="nil"/>
              <w:bottom w:val="nil"/>
            </w:tcBorders>
            <w:shd w:val="clear" w:color="auto" w:fill="auto"/>
            <w:vAlign w:val="center"/>
            <w:hideMark/>
          </w:tcPr>
          <w:p w14:paraId="378F862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5.299</w:t>
            </w:r>
          </w:p>
        </w:tc>
        <w:tc>
          <w:tcPr>
            <w:tcW w:w="1620" w:type="dxa"/>
            <w:tcBorders>
              <w:top w:val="nil"/>
              <w:bottom w:val="nil"/>
            </w:tcBorders>
            <w:shd w:val="clear" w:color="auto" w:fill="auto"/>
            <w:vAlign w:val="center"/>
            <w:hideMark/>
          </w:tcPr>
          <w:p w14:paraId="1819986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5.481</w:t>
            </w:r>
          </w:p>
        </w:tc>
      </w:tr>
      <w:tr w:rsidR="0095740D" w:rsidRPr="005119B1" w14:paraId="677C1019" w14:textId="77777777" w:rsidTr="001F2EED">
        <w:trPr>
          <w:cantSplit/>
          <w:trHeight w:val="227"/>
          <w:jc w:val="center"/>
        </w:trPr>
        <w:tc>
          <w:tcPr>
            <w:tcW w:w="5340" w:type="dxa"/>
            <w:tcBorders>
              <w:top w:val="nil"/>
              <w:bottom w:val="nil"/>
            </w:tcBorders>
            <w:shd w:val="clear" w:color="auto" w:fill="auto"/>
            <w:vAlign w:val="center"/>
            <w:hideMark/>
          </w:tcPr>
          <w:p w14:paraId="5A2B7BB7"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Ρύθμιση οφειλών</w:t>
            </w:r>
          </w:p>
        </w:tc>
        <w:tc>
          <w:tcPr>
            <w:tcW w:w="1620" w:type="dxa"/>
            <w:tcBorders>
              <w:top w:val="nil"/>
              <w:bottom w:val="nil"/>
            </w:tcBorders>
            <w:shd w:val="clear" w:color="auto" w:fill="auto"/>
            <w:vAlign w:val="center"/>
            <w:hideMark/>
          </w:tcPr>
          <w:p w14:paraId="51360F78"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364</w:t>
            </w:r>
          </w:p>
        </w:tc>
        <w:tc>
          <w:tcPr>
            <w:tcW w:w="1620" w:type="dxa"/>
            <w:tcBorders>
              <w:top w:val="nil"/>
              <w:bottom w:val="nil"/>
            </w:tcBorders>
            <w:shd w:val="clear" w:color="auto" w:fill="auto"/>
            <w:vAlign w:val="center"/>
            <w:hideMark/>
          </w:tcPr>
          <w:p w14:paraId="21FC4F5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368</w:t>
            </w:r>
          </w:p>
        </w:tc>
      </w:tr>
      <w:tr w:rsidR="0095740D" w:rsidRPr="005119B1" w14:paraId="084E932A" w14:textId="77777777" w:rsidTr="007912C5">
        <w:trPr>
          <w:cantSplit/>
          <w:trHeight w:val="227"/>
          <w:jc w:val="center"/>
        </w:trPr>
        <w:tc>
          <w:tcPr>
            <w:tcW w:w="5340" w:type="dxa"/>
            <w:tcBorders>
              <w:top w:val="nil"/>
              <w:bottom w:val="nil"/>
            </w:tcBorders>
            <w:shd w:val="clear" w:color="auto" w:fill="auto"/>
            <w:vAlign w:val="center"/>
            <w:hideMark/>
          </w:tcPr>
          <w:p w14:paraId="1D826CF8"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από φορείς κοινωνικής ασφάλισης</w:t>
            </w:r>
          </w:p>
        </w:tc>
        <w:tc>
          <w:tcPr>
            <w:tcW w:w="1620" w:type="dxa"/>
            <w:tcBorders>
              <w:top w:val="nil"/>
              <w:bottom w:val="nil"/>
            </w:tcBorders>
            <w:shd w:val="clear" w:color="auto" w:fill="auto"/>
            <w:vAlign w:val="center"/>
            <w:hideMark/>
          </w:tcPr>
          <w:p w14:paraId="2F9B306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123</w:t>
            </w:r>
          </w:p>
        </w:tc>
        <w:tc>
          <w:tcPr>
            <w:tcW w:w="1620" w:type="dxa"/>
            <w:tcBorders>
              <w:top w:val="nil"/>
              <w:bottom w:val="nil"/>
            </w:tcBorders>
            <w:shd w:val="clear" w:color="auto" w:fill="auto"/>
            <w:vAlign w:val="center"/>
            <w:hideMark/>
          </w:tcPr>
          <w:p w14:paraId="6F9D804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120</w:t>
            </w:r>
          </w:p>
        </w:tc>
      </w:tr>
      <w:tr w:rsidR="0095740D" w:rsidRPr="005119B1" w14:paraId="21EAB718" w14:textId="77777777" w:rsidTr="007912C5">
        <w:trPr>
          <w:cantSplit/>
          <w:trHeight w:val="227"/>
          <w:jc w:val="center"/>
        </w:trPr>
        <w:tc>
          <w:tcPr>
            <w:tcW w:w="5340" w:type="dxa"/>
            <w:tcBorders>
              <w:top w:val="nil"/>
              <w:bottom w:val="single" w:sz="2" w:space="0" w:color="A6A6A6" w:themeColor="background1" w:themeShade="A6"/>
            </w:tcBorders>
            <w:shd w:val="clear" w:color="auto" w:fill="auto"/>
            <w:vAlign w:val="center"/>
            <w:hideMark/>
          </w:tcPr>
          <w:p w14:paraId="49705972"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από τακτικό προϋπολογισμό</w:t>
            </w:r>
          </w:p>
        </w:tc>
        <w:tc>
          <w:tcPr>
            <w:tcW w:w="1620" w:type="dxa"/>
            <w:tcBorders>
              <w:top w:val="nil"/>
              <w:bottom w:val="single" w:sz="2" w:space="0" w:color="A6A6A6" w:themeColor="background1" w:themeShade="A6"/>
            </w:tcBorders>
            <w:shd w:val="clear" w:color="auto" w:fill="auto"/>
            <w:vAlign w:val="center"/>
            <w:hideMark/>
          </w:tcPr>
          <w:p w14:paraId="7624442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2.226</w:t>
            </w:r>
          </w:p>
        </w:tc>
        <w:tc>
          <w:tcPr>
            <w:tcW w:w="1620" w:type="dxa"/>
            <w:tcBorders>
              <w:top w:val="nil"/>
              <w:bottom w:val="single" w:sz="2" w:space="0" w:color="A6A6A6" w:themeColor="background1" w:themeShade="A6"/>
            </w:tcBorders>
            <w:shd w:val="clear" w:color="auto" w:fill="auto"/>
            <w:vAlign w:val="center"/>
            <w:hideMark/>
          </w:tcPr>
          <w:p w14:paraId="6858636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2.229</w:t>
            </w:r>
          </w:p>
        </w:tc>
      </w:tr>
      <w:tr w:rsidR="0095740D" w:rsidRPr="005119B1" w14:paraId="7A2399CE" w14:textId="77777777" w:rsidTr="007912C5">
        <w:trPr>
          <w:cantSplit/>
          <w:trHeight w:val="227"/>
          <w:jc w:val="center"/>
        </w:trPr>
        <w:tc>
          <w:tcPr>
            <w:tcW w:w="5340" w:type="dxa"/>
            <w:tcBorders>
              <w:top w:val="single" w:sz="2" w:space="0" w:color="A6A6A6" w:themeColor="background1" w:themeShade="A6"/>
              <w:bottom w:val="nil"/>
            </w:tcBorders>
            <w:shd w:val="clear" w:color="auto" w:fill="auto"/>
            <w:vAlign w:val="center"/>
            <w:hideMark/>
          </w:tcPr>
          <w:p w14:paraId="447EE88A"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lastRenderedPageBreak/>
              <w:t>Μεταβιβάσεις από προϋπολογισμό δημοσίων επενδύσεων</w:t>
            </w:r>
          </w:p>
        </w:tc>
        <w:tc>
          <w:tcPr>
            <w:tcW w:w="1620" w:type="dxa"/>
            <w:tcBorders>
              <w:top w:val="single" w:sz="2" w:space="0" w:color="A6A6A6" w:themeColor="background1" w:themeShade="A6"/>
              <w:bottom w:val="nil"/>
            </w:tcBorders>
            <w:shd w:val="clear" w:color="auto" w:fill="auto"/>
            <w:vAlign w:val="center"/>
            <w:hideMark/>
          </w:tcPr>
          <w:p w14:paraId="53ABC149"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180</w:t>
            </w:r>
          </w:p>
        </w:tc>
        <w:tc>
          <w:tcPr>
            <w:tcW w:w="1620" w:type="dxa"/>
            <w:tcBorders>
              <w:top w:val="single" w:sz="2" w:space="0" w:color="A6A6A6" w:themeColor="background1" w:themeShade="A6"/>
              <w:bottom w:val="nil"/>
            </w:tcBorders>
            <w:shd w:val="clear" w:color="auto" w:fill="auto"/>
            <w:vAlign w:val="center"/>
            <w:hideMark/>
          </w:tcPr>
          <w:p w14:paraId="7F22EE79"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203</w:t>
            </w:r>
          </w:p>
        </w:tc>
      </w:tr>
      <w:tr w:rsidR="0095740D" w:rsidRPr="005119B1" w14:paraId="1EA14362" w14:textId="77777777" w:rsidTr="001F2EED">
        <w:trPr>
          <w:cantSplit/>
          <w:trHeight w:val="227"/>
          <w:jc w:val="center"/>
        </w:trPr>
        <w:tc>
          <w:tcPr>
            <w:tcW w:w="5340" w:type="dxa"/>
            <w:tcBorders>
              <w:top w:val="nil"/>
              <w:bottom w:val="nil"/>
            </w:tcBorders>
            <w:shd w:val="clear" w:color="auto" w:fill="auto"/>
            <w:vAlign w:val="center"/>
            <w:hideMark/>
          </w:tcPr>
          <w:p w14:paraId="42D06BCC"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Απόδοση περιουσίας</w:t>
            </w:r>
          </w:p>
        </w:tc>
        <w:tc>
          <w:tcPr>
            <w:tcW w:w="1620" w:type="dxa"/>
            <w:tcBorders>
              <w:top w:val="nil"/>
              <w:bottom w:val="nil"/>
            </w:tcBorders>
            <w:shd w:val="clear" w:color="auto" w:fill="auto"/>
            <w:vAlign w:val="center"/>
            <w:hideMark/>
          </w:tcPr>
          <w:p w14:paraId="50C4439B"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90</w:t>
            </w:r>
          </w:p>
        </w:tc>
        <w:tc>
          <w:tcPr>
            <w:tcW w:w="1620" w:type="dxa"/>
            <w:tcBorders>
              <w:top w:val="nil"/>
              <w:bottom w:val="nil"/>
            </w:tcBorders>
            <w:shd w:val="clear" w:color="auto" w:fill="auto"/>
            <w:vAlign w:val="center"/>
            <w:hideMark/>
          </w:tcPr>
          <w:p w14:paraId="14626AA0"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90</w:t>
            </w:r>
          </w:p>
        </w:tc>
      </w:tr>
      <w:tr w:rsidR="0095740D" w:rsidRPr="005119B1" w14:paraId="02313AD8" w14:textId="77777777" w:rsidTr="001F2EED">
        <w:trPr>
          <w:cantSplit/>
          <w:trHeight w:val="227"/>
          <w:jc w:val="center"/>
        </w:trPr>
        <w:tc>
          <w:tcPr>
            <w:tcW w:w="5340" w:type="dxa"/>
            <w:tcBorders>
              <w:top w:val="nil"/>
              <w:bottom w:val="nil"/>
            </w:tcBorders>
            <w:shd w:val="clear" w:color="auto" w:fill="auto"/>
            <w:vAlign w:val="center"/>
            <w:hideMark/>
          </w:tcPr>
          <w:p w14:paraId="2BA2D67A"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Λοιπά έσοδα</w:t>
            </w:r>
          </w:p>
        </w:tc>
        <w:tc>
          <w:tcPr>
            <w:tcW w:w="1620" w:type="dxa"/>
            <w:tcBorders>
              <w:top w:val="nil"/>
              <w:bottom w:val="nil"/>
            </w:tcBorders>
            <w:shd w:val="clear" w:color="auto" w:fill="auto"/>
            <w:vAlign w:val="center"/>
            <w:hideMark/>
          </w:tcPr>
          <w:p w14:paraId="210AD1E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w:t>
            </w:r>
          </w:p>
        </w:tc>
        <w:tc>
          <w:tcPr>
            <w:tcW w:w="1620" w:type="dxa"/>
            <w:tcBorders>
              <w:top w:val="nil"/>
              <w:bottom w:val="nil"/>
            </w:tcBorders>
            <w:shd w:val="clear" w:color="auto" w:fill="auto"/>
            <w:vAlign w:val="center"/>
            <w:hideMark/>
          </w:tcPr>
          <w:p w14:paraId="37242F2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w:t>
            </w:r>
          </w:p>
        </w:tc>
      </w:tr>
      <w:tr w:rsidR="0095740D" w:rsidRPr="005119B1" w14:paraId="075D1734" w14:textId="77777777" w:rsidTr="001F2EED">
        <w:trPr>
          <w:cantSplit/>
          <w:trHeight w:val="227"/>
          <w:jc w:val="center"/>
        </w:trPr>
        <w:tc>
          <w:tcPr>
            <w:tcW w:w="5340" w:type="dxa"/>
            <w:tcBorders>
              <w:top w:val="nil"/>
              <w:bottom w:val="nil"/>
            </w:tcBorders>
            <w:shd w:val="clear" w:color="auto" w:fill="auto"/>
            <w:vAlign w:val="center"/>
            <w:hideMark/>
          </w:tcPr>
          <w:p w14:paraId="35AB1DE0"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Δαπάνες</w:t>
            </w:r>
          </w:p>
        </w:tc>
        <w:tc>
          <w:tcPr>
            <w:tcW w:w="1620" w:type="dxa"/>
            <w:tcBorders>
              <w:top w:val="nil"/>
              <w:bottom w:val="nil"/>
            </w:tcBorders>
            <w:shd w:val="clear" w:color="auto" w:fill="auto"/>
            <w:vAlign w:val="center"/>
            <w:hideMark/>
          </w:tcPr>
          <w:p w14:paraId="00A5F711"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7.628</w:t>
            </w:r>
          </w:p>
        </w:tc>
        <w:tc>
          <w:tcPr>
            <w:tcW w:w="1620" w:type="dxa"/>
            <w:tcBorders>
              <w:top w:val="nil"/>
              <w:bottom w:val="nil"/>
            </w:tcBorders>
            <w:shd w:val="clear" w:color="auto" w:fill="auto"/>
            <w:vAlign w:val="center"/>
            <w:hideMark/>
          </w:tcPr>
          <w:p w14:paraId="7A0405BD"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7.879</w:t>
            </w:r>
          </w:p>
        </w:tc>
      </w:tr>
      <w:tr w:rsidR="0095740D" w:rsidRPr="005119B1" w14:paraId="5AA692FD" w14:textId="77777777" w:rsidTr="001F2EED">
        <w:trPr>
          <w:cantSplit/>
          <w:trHeight w:val="227"/>
          <w:jc w:val="center"/>
        </w:trPr>
        <w:tc>
          <w:tcPr>
            <w:tcW w:w="5340" w:type="dxa"/>
            <w:tcBorders>
              <w:top w:val="nil"/>
              <w:bottom w:val="nil"/>
            </w:tcBorders>
            <w:shd w:val="clear" w:color="auto" w:fill="auto"/>
            <w:vAlign w:val="center"/>
            <w:hideMark/>
          </w:tcPr>
          <w:p w14:paraId="194FE85B"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Φαρμακευτική δαπάνη</w:t>
            </w:r>
          </w:p>
        </w:tc>
        <w:tc>
          <w:tcPr>
            <w:tcW w:w="1620" w:type="dxa"/>
            <w:tcBorders>
              <w:top w:val="nil"/>
              <w:bottom w:val="nil"/>
            </w:tcBorders>
            <w:shd w:val="clear" w:color="auto" w:fill="auto"/>
            <w:vAlign w:val="center"/>
            <w:hideMark/>
          </w:tcPr>
          <w:p w14:paraId="2991A2F5"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3.017</w:t>
            </w:r>
          </w:p>
        </w:tc>
        <w:tc>
          <w:tcPr>
            <w:tcW w:w="1620" w:type="dxa"/>
            <w:tcBorders>
              <w:top w:val="nil"/>
              <w:bottom w:val="nil"/>
            </w:tcBorders>
            <w:shd w:val="clear" w:color="auto" w:fill="auto"/>
            <w:vAlign w:val="center"/>
            <w:hideMark/>
          </w:tcPr>
          <w:p w14:paraId="532557CF"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3.223</w:t>
            </w:r>
          </w:p>
        </w:tc>
      </w:tr>
      <w:tr w:rsidR="0095740D" w:rsidRPr="005119B1" w14:paraId="72D01CBC" w14:textId="77777777" w:rsidTr="001F2EED">
        <w:trPr>
          <w:cantSplit/>
          <w:trHeight w:val="227"/>
          <w:jc w:val="center"/>
        </w:trPr>
        <w:tc>
          <w:tcPr>
            <w:tcW w:w="5340" w:type="dxa"/>
            <w:tcBorders>
              <w:top w:val="nil"/>
              <w:bottom w:val="nil"/>
            </w:tcBorders>
            <w:shd w:val="clear" w:color="auto" w:fill="auto"/>
            <w:vAlign w:val="center"/>
            <w:hideMark/>
          </w:tcPr>
          <w:p w14:paraId="4361D83D"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Λοιπές παροχές ασθένειας</w:t>
            </w:r>
          </w:p>
        </w:tc>
        <w:tc>
          <w:tcPr>
            <w:tcW w:w="1620" w:type="dxa"/>
            <w:tcBorders>
              <w:top w:val="nil"/>
              <w:bottom w:val="nil"/>
            </w:tcBorders>
            <w:shd w:val="clear" w:color="auto" w:fill="auto"/>
            <w:vAlign w:val="center"/>
            <w:hideMark/>
          </w:tcPr>
          <w:p w14:paraId="1BB17E5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2.491</w:t>
            </w:r>
          </w:p>
        </w:tc>
        <w:tc>
          <w:tcPr>
            <w:tcW w:w="1620" w:type="dxa"/>
            <w:tcBorders>
              <w:top w:val="nil"/>
              <w:bottom w:val="nil"/>
            </w:tcBorders>
            <w:shd w:val="clear" w:color="auto" w:fill="auto"/>
            <w:vAlign w:val="center"/>
            <w:hideMark/>
          </w:tcPr>
          <w:p w14:paraId="0347C15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2.535</w:t>
            </w:r>
          </w:p>
        </w:tc>
      </w:tr>
      <w:tr w:rsidR="0095740D" w:rsidRPr="005119B1" w14:paraId="7A77DBD2" w14:textId="77777777" w:rsidTr="001F2EED">
        <w:trPr>
          <w:cantSplit/>
          <w:trHeight w:val="227"/>
          <w:jc w:val="center"/>
        </w:trPr>
        <w:tc>
          <w:tcPr>
            <w:tcW w:w="5340" w:type="dxa"/>
            <w:tcBorders>
              <w:top w:val="nil"/>
              <w:bottom w:val="nil"/>
            </w:tcBorders>
            <w:shd w:val="clear" w:color="auto" w:fill="auto"/>
            <w:vAlign w:val="center"/>
            <w:hideMark/>
          </w:tcPr>
          <w:p w14:paraId="34EB501C"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Λοιπές δαπάνες</w:t>
            </w:r>
          </w:p>
        </w:tc>
        <w:tc>
          <w:tcPr>
            <w:tcW w:w="1620" w:type="dxa"/>
            <w:tcBorders>
              <w:top w:val="nil"/>
              <w:bottom w:val="nil"/>
            </w:tcBorders>
            <w:shd w:val="clear" w:color="auto" w:fill="auto"/>
            <w:vAlign w:val="center"/>
            <w:hideMark/>
          </w:tcPr>
          <w:p w14:paraId="426D1DA9"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145</w:t>
            </w:r>
          </w:p>
        </w:tc>
        <w:tc>
          <w:tcPr>
            <w:tcW w:w="1620" w:type="dxa"/>
            <w:tcBorders>
              <w:top w:val="nil"/>
              <w:bottom w:val="nil"/>
            </w:tcBorders>
            <w:shd w:val="clear" w:color="auto" w:fill="auto"/>
            <w:vAlign w:val="center"/>
            <w:hideMark/>
          </w:tcPr>
          <w:p w14:paraId="6F17ADE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154</w:t>
            </w:r>
          </w:p>
        </w:tc>
      </w:tr>
      <w:tr w:rsidR="0095740D" w:rsidRPr="005119B1" w14:paraId="46277208" w14:textId="77777777" w:rsidTr="001F2EED">
        <w:trPr>
          <w:cantSplit/>
          <w:trHeight w:val="227"/>
          <w:jc w:val="center"/>
        </w:trPr>
        <w:tc>
          <w:tcPr>
            <w:tcW w:w="5340" w:type="dxa"/>
            <w:tcBorders>
              <w:top w:val="nil"/>
              <w:bottom w:val="nil"/>
            </w:tcBorders>
            <w:shd w:val="clear" w:color="auto" w:fill="auto"/>
            <w:vAlign w:val="center"/>
            <w:hideMark/>
          </w:tcPr>
          <w:p w14:paraId="63390431"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Δαπάνες προσωπικού</w:t>
            </w:r>
          </w:p>
        </w:tc>
        <w:tc>
          <w:tcPr>
            <w:tcW w:w="1620" w:type="dxa"/>
            <w:tcBorders>
              <w:top w:val="nil"/>
              <w:bottom w:val="nil"/>
            </w:tcBorders>
            <w:shd w:val="clear" w:color="auto" w:fill="auto"/>
            <w:vAlign w:val="center"/>
            <w:hideMark/>
          </w:tcPr>
          <w:p w14:paraId="1D62C43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44</w:t>
            </w:r>
          </w:p>
        </w:tc>
        <w:tc>
          <w:tcPr>
            <w:tcW w:w="1620" w:type="dxa"/>
            <w:tcBorders>
              <w:top w:val="nil"/>
              <w:bottom w:val="nil"/>
            </w:tcBorders>
            <w:shd w:val="clear" w:color="auto" w:fill="auto"/>
            <w:vAlign w:val="center"/>
            <w:hideMark/>
          </w:tcPr>
          <w:p w14:paraId="710E217B"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46</w:t>
            </w:r>
          </w:p>
        </w:tc>
      </w:tr>
      <w:tr w:rsidR="0095740D" w:rsidRPr="005119B1" w14:paraId="1B9D047C" w14:textId="77777777" w:rsidTr="001F2EED">
        <w:trPr>
          <w:cantSplit/>
          <w:trHeight w:val="227"/>
          <w:jc w:val="center"/>
        </w:trPr>
        <w:tc>
          <w:tcPr>
            <w:tcW w:w="5340" w:type="dxa"/>
            <w:tcBorders>
              <w:top w:val="nil"/>
              <w:bottom w:val="nil"/>
            </w:tcBorders>
            <w:shd w:val="clear" w:color="auto" w:fill="auto"/>
            <w:vAlign w:val="center"/>
            <w:hideMark/>
          </w:tcPr>
          <w:p w14:paraId="724E6A9B"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προς φορείς Γενικής Κυβέρνησης</w:t>
            </w:r>
          </w:p>
        </w:tc>
        <w:tc>
          <w:tcPr>
            <w:tcW w:w="1620" w:type="dxa"/>
            <w:tcBorders>
              <w:top w:val="nil"/>
              <w:bottom w:val="nil"/>
            </w:tcBorders>
            <w:shd w:val="clear" w:color="auto" w:fill="auto"/>
            <w:vAlign w:val="center"/>
            <w:hideMark/>
          </w:tcPr>
          <w:p w14:paraId="455CA40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1.931</w:t>
            </w:r>
          </w:p>
        </w:tc>
        <w:tc>
          <w:tcPr>
            <w:tcW w:w="1620" w:type="dxa"/>
            <w:tcBorders>
              <w:top w:val="nil"/>
              <w:bottom w:val="nil"/>
            </w:tcBorders>
            <w:shd w:val="clear" w:color="auto" w:fill="auto"/>
            <w:vAlign w:val="center"/>
            <w:hideMark/>
          </w:tcPr>
          <w:p w14:paraId="0E0CC98E"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1.921</w:t>
            </w:r>
          </w:p>
        </w:tc>
      </w:tr>
      <w:tr w:rsidR="0095740D" w:rsidRPr="005119B1" w14:paraId="67996E87" w14:textId="77777777" w:rsidTr="001F2EED">
        <w:trPr>
          <w:cantSplit/>
          <w:trHeight w:val="227"/>
          <w:jc w:val="center"/>
        </w:trPr>
        <w:tc>
          <w:tcPr>
            <w:tcW w:w="5340" w:type="dxa"/>
            <w:tcBorders>
              <w:top w:val="nil"/>
              <w:bottom w:val="nil"/>
            </w:tcBorders>
            <w:shd w:val="clear" w:color="auto" w:fill="auto"/>
            <w:vAlign w:val="center"/>
            <w:hideMark/>
          </w:tcPr>
          <w:p w14:paraId="71C1CFDA" w14:textId="41F4E926" w:rsidR="0095740D" w:rsidRPr="005119B1" w:rsidRDefault="0095740D" w:rsidP="00332EE4">
            <w:pPr>
              <w:spacing w:after="0" w:line="276" w:lineRule="auto"/>
              <w:jc w:val="left"/>
              <w:rPr>
                <w:rFonts w:cs="Arial"/>
                <w:i/>
                <w:iCs/>
                <w:color w:val="000000"/>
                <w:sz w:val="16"/>
                <w:szCs w:val="16"/>
              </w:rPr>
            </w:pPr>
            <w:r w:rsidRPr="005119B1">
              <w:rPr>
                <w:rFonts w:cs="Arial"/>
                <w:i/>
                <w:iCs/>
                <w:color w:val="000000"/>
                <w:sz w:val="16"/>
                <w:szCs w:val="16"/>
              </w:rPr>
              <w:t>εκ των οποίων</w:t>
            </w:r>
            <w:r w:rsidR="00A31D67">
              <w:rPr>
                <w:rFonts w:cs="Arial"/>
                <w:i/>
                <w:iCs/>
                <w:color w:val="000000"/>
                <w:sz w:val="16"/>
                <w:szCs w:val="16"/>
              </w:rPr>
              <w:t>:</w:t>
            </w:r>
            <w:r w:rsidRPr="005119B1">
              <w:rPr>
                <w:rFonts w:cs="Arial"/>
                <w:i/>
                <w:iCs/>
                <w:color w:val="000000"/>
                <w:sz w:val="16"/>
                <w:szCs w:val="16"/>
              </w:rPr>
              <w:t xml:space="preserve"> σε νοσοκομεία</w:t>
            </w:r>
          </w:p>
        </w:tc>
        <w:tc>
          <w:tcPr>
            <w:tcW w:w="1620" w:type="dxa"/>
            <w:tcBorders>
              <w:top w:val="nil"/>
              <w:bottom w:val="nil"/>
            </w:tcBorders>
            <w:shd w:val="clear" w:color="auto" w:fill="auto"/>
            <w:vAlign w:val="center"/>
            <w:hideMark/>
          </w:tcPr>
          <w:p w14:paraId="334FD0F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1.823</w:t>
            </w:r>
          </w:p>
        </w:tc>
        <w:tc>
          <w:tcPr>
            <w:tcW w:w="1620" w:type="dxa"/>
            <w:tcBorders>
              <w:top w:val="nil"/>
              <w:bottom w:val="nil"/>
            </w:tcBorders>
            <w:shd w:val="clear" w:color="auto" w:fill="auto"/>
            <w:vAlign w:val="center"/>
            <w:hideMark/>
          </w:tcPr>
          <w:p w14:paraId="181137E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1.824</w:t>
            </w:r>
          </w:p>
        </w:tc>
      </w:tr>
      <w:tr w:rsidR="0095740D" w:rsidRPr="005119B1" w14:paraId="56CE448F" w14:textId="77777777" w:rsidTr="001F2EED">
        <w:trPr>
          <w:cantSplit/>
          <w:trHeight w:val="227"/>
          <w:jc w:val="center"/>
        </w:trPr>
        <w:tc>
          <w:tcPr>
            <w:tcW w:w="5340" w:type="dxa"/>
            <w:tcBorders>
              <w:top w:val="nil"/>
              <w:bottom w:val="nil"/>
            </w:tcBorders>
            <w:shd w:val="clear" w:color="000000" w:fill="F2F2F2"/>
            <w:vAlign w:val="center"/>
            <w:hideMark/>
          </w:tcPr>
          <w:p w14:paraId="04322F4D"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Ταμειακό ισοζύγιο</w:t>
            </w:r>
          </w:p>
        </w:tc>
        <w:tc>
          <w:tcPr>
            <w:tcW w:w="1620" w:type="dxa"/>
            <w:tcBorders>
              <w:top w:val="nil"/>
              <w:bottom w:val="nil"/>
            </w:tcBorders>
            <w:shd w:val="clear" w:color="000000" w:fill="F2F2F2"/>
            <w:vAlign w:val="center"/>
            <w:hideMark/>
          </w:tcPr>
          <w:p w14:paraId="144D52ED"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669</w:t>
            </w:r>
          </w:p>
        </w:tc>
        <w:tc>
          <w:tcPr>
            <w:tcW w:w="1620" w:type="dxa"/>
            <w:tcBorders>
              <w:top w:val="nil"/>
              <w:bottom w:val="nil"/>
            </w:tcBorders>
            <w:shd w:val="clear" w:color="000000" w:fill="F2F2F2"/>
            <w:vAlign w:val="center"/>
            <w:hideMark/>
          </w:tcPr>
          <w:p w14:paraId="7572F92E"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628</w:t>
            </w:r>
          </w:p>
        </w:tc>
      </w:tr>
      <w:tr w:rsidR="0095740D" w:rsidRPr="005119B1" w14:paraId="4CC1B8FA" w14:textId="77777777" w:rsidTr="001F2EED">
        <w:trPr>
          <w:cantSplit/>
          <w:trHeight w:val="227"/>
          <w:jc w:val="center"/>
        </w:trPr>
        <w:tc>
          <w:tcPr>
            <w:tcW w:w="5340" w:type="dxa"/>
            <w:tcBorders>
              <w:top w:val="nil"/>
              <w:bottom w:val="nil"/>
            </w:tcBorders>
            <w:shd w:val="clear" w:color="000000" w:fill="F2F2F2"/>
            <w:vAlign w:val="center"/>
            <w:hideMark/>
          </w:tcPr>
          <w:p w14:paraId="4228FCB0"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Εθνικολογιστικές προσαρμογές</w:t>
            </w:r>
          </w:p>
        </w:tc>
        <w:tc>
          <w:tcPr>
            <w:tcW w:w="1620" w:type="dxa"/>
            <w:tcBorders>
              <w:top w:val="nil"/>
              <w:bottom w:val="nil"/>
            </w:tcBorders>
            <w:shd w:val="clear" w:color="000000" w:fill="F2F2F2"/>
            <w:vAlign w:val="center"/>
            <w:hideMark/>
          </w:tcPr>
          <w:p w14:paraId="3972C481"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0</w:t>
            </w:r>
          </w:p>
        </w:tc>
        <w:tc>
          <w:tcPr>
            <w:tcW w:w="1620" w:type="dxa"/>
            <w:tcBorders>
              <w:top w:val="nil"/>
              <w:bottom w:val="nil"/>
            </w:tcBorders>
            <w:shd w:val="clear" w:color="000000" w:fill="F2F2F2"/>
            <w:vAlign w:val="center"/>
            <w:hideMark/>
          </w:tcPr>
          <w:p w14:paraId="02E9572B"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0</w:t>
            </w:r>
          </w:p>
        </w:tc>
      </w:tr>
      <w:tr w:rsidR="0095740D" w:rsidRPr="005119B1" w14:paraId="6F2D427C" w14:textId="77777777" w:rsidTr="001F2EED">
        <w:trPr>
          <w:cantSplit/>
          <w:trHeight w:val="227"/>
          <w:jc w:val="center"/>
        </w:trPr>
        <w:tc>
          <w:tcPr>
            <w:tcW w:w="5340" w:type="dxa"/>
            <w:tcBorders>
              <w:top w:val="nil"/>
              <w:bottom w:val="nil"/>
            </w:tcBorders>
            <w:shd w:val="clear" w:color="000000" w:fill="F2F2F2"/>
            <w:vAlign w:val="center"/>
            <w:hideMark/>
          </w:tcPr>
          <w:p w14:paraId="3EE23D0B"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Ισοζύγιο κατά ESA</w:t>
            </w:r>
            <w:r w:rsidRPr="005119B1">
              <w:rPr>
                <w:rFonts w:cs="Arial"/>
                <w:color w:val="000000"/>
                <w:sz w:val="16"/>
                <w:szCs w:val="16"/>
                <w:vertAlign w:val="superscript"/>
              </w:rPr>
              <w:t>1</w:t>
            </w:r>
          </w:p>
        </w:tc>
        <w:tc>
          <w:tcPr>
            <w:tcW w:w="1620" w:type="dxa"/>
            <w:tcBorders>
              <w:top w:val="nil"/>
              <w:bottom w:val="nil"/>
            </w:tcBorders>
            <w:shd w:val="clear" w:color="000000" w:fill="F2F2F2"/>
            <w:vAlign w:val="center"/>
            <w:hideMark/>
          </w:tcPr>
          <w:p w14:paraId="084CA0E5"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669</w:t>
            </w:r>
          </w:p>
        </w:tc>
        <w:tc>
          <w:tcPr>
            <w:tcW w:w="1620" w:type="dxa"/>
            <w:tcBorders>
              <w:top w:val="nil"/>
              <w:bottom w:val="nil"/>
            </w:tcBorders>
            <w:shd w:val="clear" w:color="000000" w:fill="F2F2F2"/>
            <w:vAlign w:val="center"/>
            <w:hideMark/>
          </w:tcPr>
          <w:p w14:paraId="7EC5391E"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628</w:t>
            </w:r>
          </w:p>
        </w:tc>
      </w:tr>
      <w:tr w:rsidR="0095740D" w:rsidRPr="005119B1" w14:paraId="7EA68EDD" w14:textId="77777777" w:rsidTr="001F2EED">
        <w:trPr>
          <w:cantSplit/>
          <w:trHeight w:val="283"/>
          <w:jc w:val="center"/>
        </w:trPr>
        <w:tc>
          <w:tcPr>
            <w:tcW w:w="5340" w:type="dxa"/>
            <w:tcBorders>
              <w:top w:val="nil"/>
              <w:bottom w:val="nil"/>
            </w:tcBorders>
            <w:shd w:val="clear" w:color="000000" w:fill="D5DCE4"/>
            <w:vAlign w:val="center"/>
            <w:hideMark/>
          </w:tcPr>
          <w:p w14:paraId="365C825D" w14:textId="5711F519" w:rsidR="0095740D" w:rsidRPr="005119B1" w:rsidRDefault="0095740D" w:rsidP="00332EE4">
            <w:pPr>
              <w:tabs>
                <w:tab w:val="left" w:pos="227"/>
              </w:tabs>
              <w:spacing w:after="0" w:line="276" w:lineRule="auto"/>
              <w:jc w:val="left"/>
              <w:rPr>
                <w:rFonts w:cs="Arial"/>
                <w:b/>
                <w:bCs/>
                <w:color w:val="000000"/>
                <w:sz w:val="16"/>
                <w:szCs w:val="16"/>
              </w:rPr>
            </w:pPr>
            <w:r w:rsidRPr="005119B1">
              <w:rPr>
                <w:rFonts w:cs="Arial"/>
                <w:b/>
                <w:bCs/>
                <w:color w:val="000000"/>
                <w:sz w:val="16"/>
                <w:szCs w:val="16"/>
              </w:rPr>
              <w:t>δ)</w:t>
            </w:r>
            <w:r w:rsidR="00332EE4">
              <w:rPr>
                <w:rFonts w:cs="Arial"/>
                <w:b/>
                <w:bCs/>
                <w:color w:val="000000"/>
                <w:sz w:val="16"/>
                <w:szCs w:val="16"/>
              </w:rPr>
              <w:tab/>
            </w:r>
            <w:r w:rsidRPr="005119B1">
              <w:rPr>
                <w:rFonts w:cs="Arial"/>
                <w:b/>
                <w:bCs/>
                <w:color w:val="000000"/>
                <w:sz w:val="16"/>
                <w:szCs w:val="16"/>
              </w:rPr>
              <w:t>ΟΠΕΚΑ, ΝΑΤ (μη ασφαλιστικές αρμοδιότητες)</w:t>
            </w:r>
          </w:p>
        </w:tc>
        <w:tc>
          <w:tcPr>
            <w:tcW w:w="1620" w:type="dxa"/>
            <w:tcBorders>
              <w:top w:val="nil"/>
              <w:bottom w:val="nil"/>
            </w:tcBorders>
            <w:shd w:val="clear" w:color="000000" w:fill="D5DCE4"/>
            <w:vAlign w:val="center"/>
            <w:hideMark/>
          </w:tcPr>
          <w:p w14:paraId="1601F23E" w14:textId="5CABCE2B" w:rsidR="0095740D" w:rsidRPr="005119B1" w:rsidRDefault="0095740D" w:rsidP="00332EE4">
            <w:pPr>
              <w:spacing w:after="0" w:line="276" w:lineRule="auto"/>
              <w:jc w:val="right"/>
              <w:rPr>
                <w:rFonts w:cs="Arial"/>
                <w:b/>
                <w:bCs/>
                <w:color w:val="000000"/>
                <w:sz w:val="16"/>
                <w:szCs w:val="16"/>
              </w:rPr>
            </w:pPr>
          </w:p>
        </w:tc>
        <w:tc>
          <w:tcPr>
            <w:tcW w:w="1620" w:type="dxa"/>
            <w:tcBorders>
              <w:top w:val="nil"/>
              <w:bottom w:val="nil"/>
            </w:tcBorders>
            <w:shd w:val="clear" w:color="000000" w:fill="D5DCE4"/>
            <w:vAlign w:val="center"/>
            <w:hideMark/>
          </w:tcPr>
          <w:p w14:paraId="63B700CC" w14:textId="4611328B" w:rsidR="0095740D" w:rsidRPr="005119B1" w:rsidRDefault="0095740D" w:rsidP="00332EE4">
            <w:pPr>
              <w:spacing w:after="0" w:line="276" w:lineRule="auto"/>
              <w:jc w:val="right"/>
              <w:rPr>
                <w:rFonts w:cs="Arial"/>
                <w:b/>
                <w:bCs/>
                <w:color w:val="000000"/>
                <w:sz w:val="16"/>
                <w:szCs w:val="16"/>
              </w:rPr>
            </w:pPr>
          </w:p>
        </w:tc>
      </w:tr>
      <w:tr w:rsidR="0095740D" w:rsidRPr="005119B1" w14:paraId="4C493F09" w14:textId="77777777" w:rsidTr="001F2EED">
        <w:trPr>
          <w:cantSplit/>
          <w:trHeight w:val="227"/>
          <w:jc w:val="center"/>
        </w:trPr>
        <w:tc>
          <w:tcPr>
            <w:tcW w:w="5340" w:type="dxa"/>
            <w:tcBorders>
              <w:top w:val="nil"/>
              <w:bottom w:val="nil"/>
            </w:tcBorders>
            <w:shd w:val="clear" w:color="auto" w:fill="auto"/>
            <w:vAlign w:val="center"/>
            <w:hideMark/>
          </w:tcPr>
          <w:p w14:paraId="56C39EAF"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Έσοδα</w:t>
            </w:r>
          </w:p>
        </w:tc>
        <w:tc>
          <w:tcPr>
            <w:tcW w:w="1620" w:type="dxa"/>
            <w:tcBorders>
              <w:top w:val="nil"/>
              <w:bottom w:val="nil"/>
            </w:tcBorders>
            <w:shd w:val="clear" w:color="auto" w:fill="auto"/>
            <w:vAlign w:val="center"/>
            <w:hideMark/>
          </w:tcPr>
          <w:p w14:paraId="29AB76B8"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3.255</w:t>
            </w:r>
          </w:p>
        </w:tc>
        <w:tc>
          <w:tcPr>
            <w:tcW w:w="1620" w:type="dxa"/>
            <w:tcBorders>
              <w:top w:val="nil"/>
              <w:bottom w:val="nil"/>
            </w:tcBorders>
            <w:shd w:val="clear" w:color="auto" w:fill="auto"/>
            <w:vAlign w:val="center"/>
            <w:hideMark/>
          </w:tcPr>
          <w:p w14:paraId="31F62DD6"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3.304</w:t>
            </w:r>
          </w:p>
        </w:tc>
      </w:tr>
      <w:tr w:rsidR="0095740D" w:rsidRPr="005119B1" w14:paraId="4D5EFE09" w14:textId="77777777" w:rsidTr="001F2EED">
        <w:trPr>
          <w:cantSplit/>
          <w:trHeight w:val="227"/>
          <w:jc w:val="center"/>
        </w:trPr>
        <w:tc>
          <w:tcPr>
            <w:tcW w:w="5340" w:type="dxa"/>
            <w:tcBorders>
              <w:top w:val="nil"/>
              <w:bottom w:val="nil"/>
            </w:tcBorders>
            <w:shd w:val="clear" w:color="auto" w:fill="auto"/>
            <w:vAlign w:val="center"/>
            <w:hideMark/>
          </w:tcPr>
          <w:p w14:paraId="3104235F"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Ασφαλιστικές εισφορές</w:t>
            </w:r>
          </w:p>
        </w:tc>
        <w:tc>
          <w:tcPr>
            <w:tcW w:w="1620" w:type="dxa"/>
            <w:tcBorders>
              <w:top w:val="nil"/>
              <w:bottom w:val="nil"/>
            </w:tcBorders>
            <w:shd w:val="clear" w:color="auto" w:fill="auto"/>
            <w:vAlign w:val="center"/>
            <w:hideMark/>
          </w:tcPr>
          <w:p w14:paraId="06CDCAF5"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10</w:t>
            </w:r>
          </w:p>
        </w:tc>
        <w:tc>
          <w:tcPr>
            <w:tcW w:w="1620" w:type="dxa"/>
            <w:tcBorders>
              <w:top w:val="nil"/>
              <w:bottom w:val="nil"/>
            </w:tcBorders>
            <w:shd w:val="clear" w:color="auto" w:fill="auto"/>
            <w:vAlign w:val="center"/>
            <w:hideMark/>
          </w:tcPr>
          <w:p w14:paraId="1FEFCB8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10</w:t>
            </w:r>
          </w:p>
        </w:tc>
      </w:tr>
      <w:tr w:rsidR="0095740D" w:rsidRPr="005119B1" w14:paraId="11EF313F" w14:textId="77777777" w:rsidTr="001F2EED">
        <w:trPr>
          <w:cantSplit/>
          <w:trHeight w:val="227"/>
          <w:jc w:val="center"/>
        </w:trPr>
        <w:tc>
          <w:tcPr>
            <w:tcW w:w="5340" w:type="dxa"/>
            <w:tcBorders>
              <w:top w:val="nil"/>
              <w:bottom w:val="nil"/>
            </w:tcBorders>
            <w:shd w:val="clear" w:color="auto" w:fill="auto"/>
            <w:vAlign w:val="center"/>
            <w:hideMark/>
          </w:tcPr>
          <w:p w14:paraId="504487DE"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Απόδοση περιουσίας</w:t>
            </w:r>
          </w:p>
        </w:tc>
        <w:tc>
          <w:tcPr>
            <w:tcW w:w="1620" w:type="dxa"/>
            <w:tcBorders>
              <w:top w:val="nil"/>
              <w:bottom w:val="nil"/>
            </w:tcBorders>
            <w:shd w:val="clear" w:color="auto" w:fill="auto"/>
            <w:vAlign w:val="center"/>
            <w:hideMark/>
          </w:tcPr>
          <w:p w14:paraId="701D3F5D"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19</w:t>
            </w:r>
          </w:p>
        </w:tc>
        <w:tc>
          <w:tcPr>
            <w:tcW w:w="1620" w:type="dxa"/>
            <w:tcBorders>
              <w:top w:val="nil"/>
              <w:bottom w:val="nil"/>
            </w:tcBorders>
            <w:shd w:val="clear" w:color="auto" w:fill="auto"/>
            <w:vAlign w:val="center"/>
            <w:hideMark/>
          </w:tcPr>
          <w:p w14:paraId="2D14CC5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19</w:t>
            </w:r>
          </w:p>
        </w:tc>
      </w:tr>
      <w:tr w:rsidR="0095740D" w:rsidRPr="005119B1" w14:paraId="6B3F814A" w14:textId="77777777" w:rsidTr="001F2EED">
        <w:trPr>
          <w:cantSplit/>
          <w:trHeight w:val="227"/>
          <w:jc w:val="center"/>
        </w:trPr>
        <w:tc>
          <w:tcPr>
            <w:tcW w:w="5340" w:type="dxa"/>
            <w:tcBorders>
              <w:top w:val="nil"/>
              <w:bottom w:val="nil"/>
            </w:tcBorders>
            <w:shd w:val="clear" w:color="auto" w:fill="auto"/>
            <w:vAlign w:val="center"/>
            <w:hideMark/>
          </w:tcPr>
          <w:p w14:paraId="2040EDFE"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από τακτικό προϋπολογισμό</w:t>
            </w:r>
          </w:p>
        </w:tc>
        <w:tc>
          <w:tcPr>
            <w:tcW w:w="1620" w:type="dxa"/>
            <w:tcBorders>
              <w:top w:val="nil"/>
              <w:bottom w:val="nil"/>
            </w:tcBorders>
            <w:shd w:val="clear" w:color="auto" w:fill="auto"/>
            <w:vAlign w:val="center"/>
            <w:hideMark/>
          </w:tcPr>
          <w:p w14:paraId="75F6F446"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3.199</w:t>
            </w:r>
          </w:p>
        </w:tc>
        <w:tc>
          <w:tcPr>
            <w:tcW w:w="1620" w:type="dxa"/>
            <w:tcBorders>
              <w:top w:val="nil"/>
              <w:bottom w:val="nil"/>
            </w:tcBorders>
            <w:shd w:val="clear" w:color="auto" w:fill="auto"/>
            <w:vAlign w:val="center"/>
            <w:hideMark/>
          </w:tcPr>
          <w:p w14:paraId="1E061AD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3.248</w:t>
            </w:r>
          </w:p>
        </w:tc>
      </w:tr>
      <w:tr w:rsidR="0095740D" w:rsidRPr="005119B1" w14:paraId="480DFB26" w14:textId="77777777" w:rsidTr="001F2EED">
        <w:trPr>
          <w:cantSplit/>
          <w:trHeight w:val="227"/>
          <w:jc w:val="center"/>
        </w:trPr>
        <w:tc>
          <w:tcPr>
            <w:tcW w:w="5340" w:type="dxa"/>
            <w:tcBorders>
              <w:top w:val="nil"/>
              <w:bottom w:val="nil"/>
            </w:tcBorders>
            <w:shd w:val="clear" w:color="auto" w:fill="auto"/>
            <w:vAlign w:val="center"/>
            <w:hideMark/>
          </w:tcPr>
          <w:p w14:paraId="7E4FEB04"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Μεταβιβάσεις από προϋπολογισμό δημοσίων επενδύσεων</w:t>
            </w:r>
          </w:p>
        </w:tc>
        <w:tc>
          <w:tcPr>
            <w:tcW w:w="1620" w:type="dxa"/>
            <w:tcBorders>
              <w:top w:val="nil"/>
              <w:bottom w:val="nil"/>
            </w:tcBorders>
            <w:shd w:val="clear" w:color="auto" w:fill="auto"/>
            <w:vAlign w:val="center"/>
            <w:hideMark/>
          </w:tcPr>
          <w:p w14:paraId="5AF7F176"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w:t>
            </w:r>
          </w:p>
        </w:tc>
        <w:tc>
          <w:tcPr>
            <w:tcW w:w="1620" w:type="dxa"/>
            <w:tcBorders>
              <w:top w:val="nil"/>
              <w:bottom w:val="nil"/>
            </w:tcBorders>
            <w:shd w:val="clear" w:color="auto" w:fill="auto"/>
            <w:vAlign w:val="center"/>
            <w:hideMark/>
          </w:tcPr>
          <w:p w14:paraId="74F7233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14</w:t>
            </w:r>
          </w:p>
        </w:tc>
      </w:tr>
      <w:tr w:rsidR="0095740D" w:rsidRPr="005119B1" w14:paraId="3E91A523" w14:textId="77777777" w:rsidTr="001F2EED">
        <w:trPr>
          <w:cantSplit/>
          <w:trHeight w:val="227"/>
          <w:jc w:val="center"/>
        </w:trPr>
        <w:tc>
          <w:tcPr>
            <w:tcW w:w="5340" w:type="dxa"/>
            <w:tcBorders>
              <w:top w:val="nil"/>
              <w:bottom w:val="nil"/>
            </w:tcBorders>
            <w:shd w:val="clear" w:color="auto" w:fill="auto"/>
            <w:vAlign w:val="center"/>
            <w:hideMark/>
          </w:tcPr>
          <w:p w14:paraId="5B68AD74"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Λοιπά έσοδα</w:t>
            </w:r>
          </w:p>
        </w:tc>
        <w:tc>
          <w:tcPr>
            <w:tcW w:w="1620" w:type="dxa"/>
            <w:tcBorders>
              <w:top w:val="nil"/>
              <w:bottom w:val="nil"/>
            </w:tcBorders>
            <w:shd w:val="clear" w:color="auto" w:fill="auto"/>
            <w:vAlign w:val="center"/>
            <w:hideMark/>
          </w:tcPr>
          <w:p w14:paraId="59D33460"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13</w:t>
            </w:r>
          </w:p>
        </w:tc>
        <w:tc>
          <w:tcPr>
            <w:tcW w:w="1620" w:type="dxa"/>
            <w:tcBorders>
              <w:top w:val="nil"/>
              <w:bottom w:val="nil"/>
            </w:tcBorders>
            <w:shd w:val="clear" w:color="auto" w:fill="auto"/>
            <w:vAlign w:val="center"/>
            <w:hideMark/>
          </w:tcPr>
          <w:p w14:paraId="168D1CAC"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13</w:t>
            </w:r>
          </w:p>
        </w:tc>
      </w:tr>
      <w:tr w:rsidR="0095740D" w:rsidRPr="005119B1" w14:paraId="4FDF4537" w14:textId="77777777" w:rsidTr="001F2EED">
        <w:trPr>
          <w:cantSplit/>
          <w:trHeight w:val="227"/>
          <w:jc w:val="center"/>
        </w:trPr>
        <w:tc>
          <w:tcPr>
            <w:tcW w:w="5340" w:type="dxa"/>
            <w:tcBorders>
              <w:top w:val="nil"/>
              <w:bottom w:val="nil"/>
            </w:tcBorders>
            <w:shd w:val="clear" w:color="auto" w:fill="auto"/>
            <w:vAlign w:val="center"/>
            <w:hideMark/>
          </w:tcPr>
          <w:p w14:paraId="74790175"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Δαπάνες</w:t>
            </w:r>
          </w:p>
        </w:tc>
        <w:tc>
          <w:tcPr>
            <w:tcW w:w="1620" w:type="dxa"/>
            <w:tcBorders>
              <w:top w:val="nil"/>
              <w:bottom w:val="nil"/>
            </w:tcBorders>
            <w:shd w:val="clear" w:color="auto" w:fill="auto"/>
            <w:vAlign w:val="center"/>
            <w:hideMark/>
          </w:tcPr>
          <w:p w14:paraId="6139EC39"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3.231</w:t>
            </w:r>
          </w:p>
        </w:tc>
        <w:tc>
          <w:tcPr>
            <w:tcW w:w="1620" w:type="dxa"/>
            <w:tcBorders>
              <w:top w:val="nil"/>
              <w:bottom w:val="nil"/>
            </w:tcBorders>
            <w:shd w:val="clear" w:color="auto" w:fill="auto"/>
            <w:vAlign w:val="center"/>
            <w:hideMark/>
          </w:tcPr>
          <w:p w14:paraId="06283754"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3.278</w:t>
            </w:r>
          </w:p>
        </w:tc>
      </w:tr>
      <w:tr w:rsidR="0095740D" w:rsidRPr="005119B1" w14:paraId="2D005A2C" w14:textId="77777777" w:rsidTr="001F2EED">
        <w:trPr>
          <w:cantSplit/>
          <w:trHeight w:val="227"/>
          <w:jc w:val="center"/>
        </w:trPr>
        <w:tc>
          <w:tcPr>
            <w:tcW w:w="5340" w:type="dxa"/>
            <w:tcBorders>
              <w:top w:val="nil"/>
              <w:bottom w:val="nil"/>
            </w:tcBorders>
            <w:shd w:val="clear" w:color="auto" w:fill="auto"/>
            <w:vAlign w:val="center"/>
            <w:hideMark/>
          </w:tcPr>
          <w:p w14:paraId="436F358F"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Παροχές σε ανασφάλιστους υπερήλικες</w:t>
            </w:r>
          </w:p>
        </w:tc>
        <w:tc>
          <w:tcPr>
            <w:tcW w:w="1620" w:type="dxa"/>
            <w:tcBorders>
              <w:top w:val="nil"/>
              <w:bottom w:val="nil"/>
            </w:tcBorders>
            <w:shd w:val="clear" w:color="auto" w:fill="auto"/>
            <w:vAlign w:val="center"/>
            <w:hideMark/>
          </w:tcPr>
          <w:p w14:paraId="1C667BF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225</w:t>
            </w:r>
          </w:p>
        </w:tc>
        <w:tc>
          <w:tcPr>
            <w:tcW w:w="1620" w:type="dxa"/>
            <w:tcBorders>
              <w:top w:val="nil"/>
              <w:bottom w:val="nil"/>
            </w:tcBorders>
            <w:shd w:val="clear" w:color="auto" w:fill="auto"/>
            <w:vAlign w:val="center"/>
            <w:hideMark/>
          </w:tcPr>
          <w:p w14:paraId="22AEF52C"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230</w:t>
            </w:r>
          </w:p>
        </w:tc>
      </w:tr>
      <w:tr w:rsidR="0095740D" w:rsidRPr="005119B1" w14:paraId="13103511" w14:textId="77777777" w:rsidTr="001F2EED">
        <w:trPr>
          <w:cantSplit/>
          <w:trHeight w:val="227"/>
          <w:jc w:val="center"/>
        </w:trPr>
        <w:tc>
          <w:tcPr>
            <w:tcW w:w="5340" w:type="dxa"/>
            <w:tcBorders>
              <w:top w:val="nil"/>
              <w:bottom w:val="nil"/>
            </w:tcBorders>
            <w:shd w:val="clear" w:color="auto" w:fill="auto"/>
            <w:vAlign w:val="center"/>
            <w:hideMark/>
          </w:tcPr>
          <w:p w14:paraId="019024E0"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Οικογενειακά επιδόματα</w:t>
            </w:r>
          </w:p>
        </w:tc>
        <w:tc>
          <w:tcPr>
            <w:tcW w:w="1620" w:type="dxa"/>
            <w:tcBorders>
              <w:top w:val="nil"/>
              <w:bottom w:val="nil"/>
            </w:tcBorders>
            <w:shd w:val="clear" w:color="auto" w:fill="auto"/>
            <w:vAlign w:val="center"/>
            <w:hideMark/>
          </w:tcPr>
          <w:p w14:paraId="11E3658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700</w:t>
            </w:r>
          </w:p>
        </w:tc>
        <w:tc>
          <w:tcPr>
            <w:tcW w:w="1620" w:type="dxa"/>
            <w:tcBorders>
              <w:top w:val="nil"/>
              <w:bottom w:val="nil"/>
            </w:tcBorders>
            <w:shd w:val="clear" w:color="auto" w:fill="auto"/>
            <w:vAlign w:val="center"/>
            <w:hideMark/>
          </w:tcPr>
          <w:p w14:paraId="5BBA3F03"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700</w:t>
            </w:r>
          </w:p>
        </w:tc>
      </w:tr>
      <w:tr w:rsidR="0095740D" w:rsidRPr="005119B1" w14:paraId="7CFA8A8B" w14:textId="77777777" w:rsidTr="001F2EED">
        <w:trPr>
          <w:cantSplit/>
          <w:trHeight w:val="227"/>
          <w:jc w:val="center"/>
        </w:trPr>
        <w:tc>
          <w:tcPr>
            <w:tcW w:w="5340" w:type="dxa"/>
            <w:tcBorders>
              <w:top w:val="nil"/>
              <w:bottom w:val="nil"/>
            </w:tcBorders>
            <w:shd w:val="clear" w:color="auto" w:fill="auto"/>
            <w:vAlign w:val="center"/>
            <w:hideMark/>
          </w:tcPr>
          <w:p w14:paraId="6FD0763C"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Ελάχιστο Εγγυημένο Εισόδημα</w:t>
            </w:r>
          </w:p>
        </w:tc>
        <w:tc>
          <w:tcPr>
            <w:tcW w:w="1620" w:type="dxa"/>
            <w:tcBorders>
              <w:top w:val="nil"/>
              <w:bottom w:val="nil"/>
            </w:tcBorders>
            <w:shd w:val="clear" w:color="auto" w:fill="auto"/>
            <w:vAlign w:val="center"/>
            <w:hideMark/>
          </w:tcPr>
          <w:p w14:paraId="2B54CA5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500</w:t>
            </w:r>
          </w:p>
        </w:tc>
        <w:tc>
          <w:tcPr>
            <w:tcW w:w="1620" w:type="dxa"/>
            <w:tcBorders>
              <w:top w:val="nil"/>
              <w:bottom w:val="nil"/>
            </w:tcBorders>
            <w:shd w:val="clear" w:color="auto" w:fill="auto"/>
            <w:vAlign w:val="center"/>
            <w:hideMark/>
          </w:tcPr>
          <w:p w14:paraId="6EE25C4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500</w:t>
            </w:r>
          </w:p>
        </w:tc>
      </w:tr>
      <w:tr w:rsidR="0095740D" w:rsidRPr="005119B1" w14:paraId="6C00ACFE" w14:textId="77777777" w:rsidTr="001F2EED">
        <w:trPr>
          <w:cantSplit/>
          <w:trHeight w:val="227"/>
          <w:jc w:val="center"/>
        </w:trPr>
        <w:tc>
          <w:tcPr>
            <w:tcW w:w="5340" w:type="dxa"/>
            <w:tcBorders>
              <w:top w:val="nil"/>
              <w:bottom w:val="nil"/>
            </w:tcBorders>
            <w:shd w:val="clear" w:color="auto" w:fill="auto"/>
            <w:vAlign w:val="center"/>
            <w:hideMark/>
          </w:tcPr>
          <w:p w14:paraId="32A201CA"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Επιδόματα ΑμεΑ</w:t>
            </w:r>
          </w:p>
        </w:tc>
        <w:tc>
          <w:tcPr>
            <w:tcW w:w="1620" w:type="dxa"/>
            <w:tcBorders>
              <w:top w:val="nil"/>
              <w:bottom w:val="nil"/>
            </w:tcBorders>
            <w:shd w:val="clear" w:color="auto" w:fill="auto"/>
            <w:vAlign w:val="center"/>
            <w:hideMark/>
          </w:tcPr>
          <w:p w14:paraId="0C2B6FA3"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1.133</w:t>
            </w:r>
          </w:p>
        </w:tc>
        <w:tc>
          <w:tcPr>
            <w:tcW w:w="1620" w:type="dxa"/>
            <w:tcBorders>
              <w:top w:val="nil"/>
              <w:bottom w:val="nil"/>
            </w:tcBorders>
            <w:shd w:val="clear" w:color="auto" w:fill="auto"/>
            <w:vAlign w:val="center"/>
            <w:hideMark/>
          </w:tcPr>
          <w:p w14:paraId="79667E1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1.150</w:t>
            </w:r>
          </w:p>
        </w:tc>
      </w:tr>
      <w:tr w:rsidR="0095740D" w:rsidRPr="005119B1" w14:paraId="5294F9D4" w14:textId="77777777" w:rsidTr="001F2EED">
        <w:trPr>
          <w:cantSplit/>
          <w:trHeight w:val="227"/>
          <w:jc w:val="center"/>
        </w:trPr>
        <w:tc>
          <w:tcPr>
            <w:tcW w:w="5340" w:type="dxa"/>
            <w:tcBorders>
              <w:top w:val="nil"/>
              <w:bottom w:val="nil"/>
            </w:tcBorders>
            <w:shd w:val="clear" w:color="auto" w:fill="auto"/>
            <w:vAlign w:val="center"/>
            <w:hideMark/>
          </w:tcPr>
          <w:p w14:paraId="70F98EB9" w14:textId="089FEA73"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 xml:space="preserve">Στεγαστικό </w:t>
            </w:r>
            <w:r w:rsidR="004B04F5">
              <w:rPr>
                <w:rFonts w:cs="Arial"/>
                <w:color w:val="000000"/>
                <w:sz w:val="16"/>
                <w:szCs w:val="16"/>
              </w:rPr>
              <w:t>ε</w:t>
            </w:r>
            <w:r w:rsidRPr="005119B1">
              <w:rPr>
                <w:rFonts w:cs="Arial"/>
                <w:color w:val="000000"/>
                <w:sz w:val="16"/>
                <w:szCs w:val="16"/>
              </w:rPr>
              <w:t>πίδομα</w:t>
            </w:r>
          </w:p>
        </w:tc>
        <w:tc>
          <w:tcPr>
            <w:tcW w:w="1620" w:type="dxa"/>
            <w:tcBorders>
              <w:top w:val="nil"/>
              <w:bottom w:val="nil"/>
            </w:tcBorders>
            <w:shd w:val="clear" w:color="auto" w:fill="auto"/>
            <w:vAlign w:val="center"/>
            <w:hideMark/>
          </w:tcPr>
          <w:p w14:paraId="30E53230"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300</w:t>
            </w:r>
          </w:p>
        </w:tc>
        <w:tc>
          <w:tcPr>
            <w:tcW w:w="1620" w:type="dxa"/>
            <w:tcBorders>
              <w:top w:val="nil"/>
              <w:bottom w:val="nil"/>
            </w:tcBorders>
            <w:shd w:val="clear" w:color="auto" w:fill="auto"/>
            <w:vAlign w:val="center"/>
            <w:hideMark/>
          </w:tcPr>
          <w:p w14:paraId="63C3335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300</w:t>
            </w:r>
          </w:p>
        </w:tc>
      </w:tr>
      <w:tr w:rsidR="0095740D" w:rsidRPr="005119B1" w14:paraId="7713A02A" w14:textId="77777777" w:rsidTr="001F2EED">
        <w:trPr>
          <w:cantSplit/>
          <w:trHeight w:val="227"/>
          <w:jc w:val="center"/>
        </w:trPr>
        <w:tc>
          <w:tcPr>
            <w:tcW w:w="5340" w:type="dxa"/>
            <w:tcBorders>
              <w:top w:val="nil"/>
              <w:bottom w:val="nil"/>
            </w:tcBorders>
            <w:shd w:val="clear" w:color="auto" w:fill="auto"/>
            <w:vAlign w:val="center"/>
            <w:hideMark/>
          </w:tcPr>
          <w:p w14:paraId="38410B77"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Σχολικά γεύματα</w:t>
            </w:r>
          </w:p>
        </w:tc>
        <w:tc>
          <w:tcPr>
            <w:tcW w:w="1620" w:type="dxa"/>
            <w:tcBorders>
              <w:top w:val="nil"/>
              <w:bottom w:val="nil"/>
            </w:tcBorders>
            <w:shd w:val="clear" w:color="auto" w:fill="auto"/>
            <w:vAlign w:val="center"/>
            <w:hideMark/>
          </w:tcPr>
          <w:p w14:paraId="326198B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107</w:t>
            </w:r>
          </w:p>
        </w:tc>
        <w:tc>
          <w:tcPr>
            <w:tcW w:w="1620" w:type="dxa"/>
            <w:tcBorders>
              <w:top w:val="nil"/>
              <w:bottom w:val="nil"/>
            </w:tcBorders>
            <w:shd w:val="clear" w:color="auto" w:fill="auto"/>
            <w:vAlign w:val="center"/>
            <w:hideMark/>
          </w:tcPr>
          <w:p w14:paraId="652C7F1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116</w:t>
            </w:r>
          </w:p>
        </w:tc>
      </w:tr>
      <w:tr w:rsidR="0095740D" w:rsidRPr="005119B1" w14:paraId="245225E0" w14:textId="77777777" w:rsidTr="001F2EED">
        <w:trPr>
          <w:cantSplit/>
          <w:trHeight w:val="227"/>
          <w:jc w:val="center"/>
        </w:trPr>
        <w:tc>
          <w:tcPr>
            <w:tcW w:w="5340" w:type="dxa"/>
            <w:tcBorders>
              <w:top w:val="nil"/>
              <w:bottom w:val="nil"/>
            </w:tcBorders>
            <w:shd w:val="clear" w:color="auto" w:fill="auto"/>
            <w:vAlign w:val="center"/>
            <w:hideMark/>
          </w:tcPr>
          <w:p w14:paraId="46F4682A"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Επίδομα γέννησης</w:t>
            </w:r>
          </w:p>
        </w:tc>
        <w:tc>
          <w:tcPr>
            <w:tcW w:w="1620" w:type="dxa"/>
            <w:tcBorders>
              <w:top w:val="nil"/>
              <w:bottom w:val="nil"/>
            </w:tcBorders>
            <w:shd w:val="clear" w:color="auto" w:fill="auto"/>
            <w:vAlign w:val="center"/>
            <w:hideMark/>
          </w:tcPr>
          <w:p w14:paraId="294CE54E"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150</w:t>
            </w:r>
          </w:p>
        </w:tc>
        <w:tc>
          <w:tcPr>
            <w:tcW w:w="1620" w:type="dxa"/>
            <w:tcBorders>
              <w:top w:val="nil"/>
              <w:bottom w:val="nil"/>
            </w:tcBorders>
            <w:shd w:val="clear" w:color="auto" w:fill="auto"/>
            <w:vAlign w:val="center"/>
            <w:hideMark/>
          </w:tcPr>
          <w:p w14:paraId="0605B735"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155</w:t>
            </w:r>
          </w:p>
        </w:tc>
      </w:tr>
      <w:tr w:rsidR="0095740D" w:rsidRPr="005119B1" w14:paraId="4E8C4F7E" w14:textId="77777777" w:rsidTr="001F2EED">
        <w:trPr>
          <w:cantSplit/>
          <w:trHeight w:val="227"/>
          <w:jc w:val="center"/>
        </w:trPr>
        <w:tc>
          <w:tcPr>
            <w:tcW w:w="5340" w:type="dxa"/>
            <w:tcBorders>
              <w:top w:val="nil"/>
              <w:bottom w:val="nil"/>
            </w:tcBorders>
            <w:shd w:val="clear" w:color="auto" w:fill="auto"/>
            <w:vAlign w:val="center"/>
            <w:hideMark/>
          </w:tcPr>
          <w:p w14:paraId="7E83CFFF"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Κώδικας Διευθέτησης Οφειλών και παροχής δεύτερης ευκαιρίας σε δανειολήπτες</w:t>
            </w:r>
          </w:p>
        </w:tc>
        <w:tc>
          <w:tcPr>
            <w:tcW w:w="1620" w:type="dxa"/>
            <w:tcBorders>
              <w:top w:val="nil"/>
              <w:bottom w:val="nil"/>
            </w:tcBorders>
            <w:shd w:val="clear" w:color="auto" w:fill="auto"/>
            <w:vAlign w:val="center"/>
            <w:hideMark/>
          </w:tcPr>
          <w:p w14:paraId="21CF70BC"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40</w:t>
            </w:r>
          </w:p>
        </w:tc>
        <w:tc>
          <w:tcPr>
            <w:tcW w:w="1620" w:type="dxa"/>
            <w:tcBorders>
              <w:top w:val="nil"/>
              <w:bottom w:val="nil"/>
            </w:tcBorders>
            <w:shd w:val="clear" w:color="auto" w:fill="auto"/>
            <w:vAlign w:val="center"/>
            <w:hideMark/>
          </w:tcPr>
          <w:p w14:paraId="2E24A2F5"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50</w:t>
            </w:r>
          </w:p>
        </w:tc>
      </w:tr>
      <w:tr w:rsidR="0095740D" w:rsidRPr="005119B1" w14:paraId="53A15F5B" w14:textId="77777777" w:rsidTr="001F2EED">
        <w:trPr>
          <w:cantSplit/>
          <w:trHeight w:val="227"/>
          <w:jc w:val="center"/>
        </w:trPr>
        <w:tc>
          <w:tcPr>
            <w:tcW w:w="5340" w:type="dxa"/>
            <w:tcBorders>
              <w:top w:val="nil"/>
              <w:bottom w:val="nil"/>
            </w:tcBorders>
            <w:shd w:val="clear" w:color="auto" w:fill="auto"/>
            <w:vAlign w:val="center"/>
            <w:hideMark/>
          </w:tcPr>
          <w:p w14:paraId="77D28157"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Προσωπικός Βοηθός</w:t>
            </w:r>
          </w:p>
        </w:tc>
        <w:tc>
          <w:tcPr>
            <w:tcW w:w="1620" w:type="dxa"/>
            <w:tcBorders>
              <w:top w:val="nil"/>
              <w:bottom w:val="nil"/>
            </w:tcBorders>
            <w:shd w:val="clear" w:color="auto" w:fill="auto"/>
            <w:vAlign w:val="center"/>
            <w:hideMark/>
          </w:tcPr>
          <w:p w14:paraId="61B8EE60"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15</w:t>
            </w:r>
          </w:p>
        </w:tc>
        <w:tc>
          <w:tcPr>
            <w:tcW w:w="1620" w:type="dxa"/>
            <w:tcBorders>
              <w:top w:val="nil"/>
              <w:bottom w:val="nil"/>
            </w:tcBorders>
            <w:shd w:val="clear" w:color="auto" w:fill="auto"/>
            <w:vAlign w:val="center"/>
            <w:hideMark/>
          </w:tcPr>
          <w:p w14:paraId="0E9DB7D0"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14</w:t>
            </w:r>
          </w:p>
        </w:tc>
      </w:tr>
      <w:tr w:rsidR="0095740D" w:rsidRPr="005119B1" w14:paraId="5F24920F" w14:textId="77777777" w:rsidTr="001F2EED">
        <w:trPr>
          <w:cantSplit/>
          <w:trHeight w:val="227"/>
          <w:jc w:val="center"/>
        </w:trPr>
        <w:tc>
          <w:tcPr>
            <w:tcW w:w="5340" w:type="dxa"/>
            <w:tcBorders>
              <w:top w:val="nil"/>
              <w:bottom w:val="nil"/>
            </w:tcBorders>
            <w:shd w:val="clear" w:color="auto" w:fill="auto"/>
            <w:vAlign w:val="center"/>
            <w:hideMark/>
          </w:tcPr>
          <w:p w14:paraId="70D41A1F"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Λοιπά προγράμματα</w:t>
            </w:r>
          </w:p>
        </w:tc>
        <w:tc>
          <w:tcPr>
            <w:tcW w:w="1620" w:type="dxa"/>
            <w:tcBorders>
              <w:top w:val="nil"/>
              <w:bottom w:val="nil"/>
            </w:tcBorders>
            <w:shd w:val="clear" w:color="auto" w:fill="auto"/>
            <w:vAlign w:val="center"/>
            <w:hideMark/>
          </w:tcPr>
          <w:p w14:paraId="13FAFEF7"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34</w:t>
            </w:r>
          </w:p>
        </w:tc>
        <w:tc>
          <w:tcPr>
            <w:tcW w:w="1620" w:type="dxa"/>
            <w:tcBorders>
              <w:top w:val="nil"/>
              <w:bottom w:val="nil"/>
            </w:tcBorders>
            <w:shd w:val="clear" w:color="auto" w:fill="auto"/>
            <w:vAlign w:val="center"/>
            <w:hideMark/>
          </w:tcPr>
          <w:p w14:paraId="1F140C32"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37</w:t>
            </w:r>
          </w:p>
        </w:tc>
      </w:tr>
      <w:tr w:rsidR="0095740D" w:rsidRPr="005119B1" w14:paraId="6FBA905B" w14:textId="77777777" w:rsidTr="001F2EED">
        <w:trPr>
          <w:cantSplit/>
          <w:trHeight w:val="227"/>
          <w:jc w:val="center"/>
        </w:trPr>
        <w:tc>
          <w:tcPr>
            <w:tcW w:w="5340" w:type="dxa"/>
            <w:tcBorders>
              <w:top w:val="nil"/>
              <w:bottom w:val="nil"/>
            </w:tcBorders>
            <w:shd w:val="clear" w:color="auto" w:fill="auto"/>
            <w:vAlign w:val="center"/>
            <w:hideMark/>
          </w:tcPr>
          <w:p w14:paraId="1904369F"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Δαπάνες προσωπικού</w:t>
            </w:r>
          </w:p>
        </w:tc>
        <w:tc>
          <w:tcPr>
            <w:tcW w:w="1620" w:type="dxa"/>
            <w:tcBorders>
              <w:top w:val="nil"/>
              <w:bottom w:val="nil"/>
            </w:tcBorders>
            <w:shd w:val="clear" w:color="auto" w:fill="auto"/>
            <w:vAlign w:val="center"/>
            <w:hideMark/>
          </w:tcPr>
          <w:p w14:paraId="51B03E30"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13</w:t>
            </w:r>
          </w:p>
        </w:tc>
        <w:tc>
          <w:tcPr>
            <w:tcW w:w="1620" w:type="dxa"/>
            <w:tcBorders>
              <w:top w:val="nil"/>
              <w:bottom w:val="nil"/>
            </w:tcBorders>
            <w:shd w:val="clear" w:color="auto" w:fill="auto"/>
            <w:vAlign w:val="center"/>
            <w:hideMark/>
          </w:tcPr>
          <w:p w14:paraId="714E9BC4"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13</w:t>
            </w:r>
          </w:p>
        </w:tc>
      </w:tr>
      <w:tr w:rsidR="0095740D" w:rsidRPr="005119B1" w14:paraId="47D638EF" w14:textId="77777777" w:rsidTr="001F2EED">
        <w:trPr>
          <w:cantSplit/>
          <w:trHeight w:val="227"/>
          <w:jc w:val="center"/>
        </w:trPr>
        <w:tc>
          <w:tcPr>
            <w:tcW w:w="5340" w:type="dxa"/>
            <w:tcBorders>
              <w:top w:val="nil"/>
              <w:bottom w:val="nil"/>
            </w:tcBorders>
            <w:shd w:val="clear" w:color="auto" w:fill="auto"/>
            <w:vAlign w:val="center"/>
            <w:hideMark/>
          </w:tcPr>
          <w:p w14:paraId="6340F176" w14:textId="77777777" w:rsidR="0095740D" w:rsidRPr="005119B1" w:rsidRDefault="0095740D" w:rsidP="00332EE4">
            <w:pPr>
              <w:spacing w:after="0" w:line="276" w:lineRule="auto"/>
              <w:jc w:val="left"/>
              <w:rPr>
                <w:rFonts w:cs="Arial"/>
                <w:color w:val="000000"/>
                <w:sz w:val="16"/>
                <w:szCs w:val="16"/>
              </w:rPr>
            </w:pPr>
            <w:r w:rsidRPr="005119B1">
              <w:rPr>
                <w:rFonts w:cs="Arial"/>
                <w:color w:val="000000"/>
                <w:sz w:val="16"/>
                <w:szCs w:val="16"/>
              </w:rPr>
              <w:t>Διοικητικές δαπάνες</w:t>
            </w:r>
          </w:p>
        </w:tc>
        <w:tc>
          <w:tcPr>
            <w:tcW w:w="1620" w:type="dxa"/>
            <w:tcBorders>
              <w:top w:val="nil"/>
              <w:bottom w:val="nil"/>
            </w:tcBorders>
            <w:shd w:val="clear" w:color="auto" w:fill="auto"/>
            <w:vAlign w:val="center"/>
            <w:hideMark/>
          </w:tcPr>
          <w:p w14:paraId="4D7C2631"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14</w:t>
            </w:r>
          </w:p>
        </w:tc>
        <w:tc>
          <w:tcPr>
            <w:tcW w:w="1620" w:type="dxa"/>
            <w:tcBorders>
              <w:top w:val="nil"/>
              <w:bottom w:val="nil"/>
            </w:tcBorders>
            <w:shd w:val="clear" w:color="auto" w:fill="auto"/>
            <w:vAlign w:val="center"/>
            <w:hideMark/>
          </w:tcPr>
          <w:p w14:paraId="2ED1F5FA" w14:textId="77777777" w:rsidR="0095740D" w:rsidRPr="005119B1" w:rsidRDefault="0095740D" w:rsidP="00332EE4">
            <w:pPr>
              <w:spacing w:after="0" w:line="276" w:lineRule="auto"/>
              <w:jc w:val="right"/>
              <w:rPr>
                <w:rFonts w:cs="Arial"/>
                <w:color w:val="000000"/>
                <w:sz w:val="16"/>
                <w:szCs w:val="16"/>
              </w:rPr>
            </w:pPr>
            <w:r w:rsidRPr="005119B1">
              <w:rPr>
                <w:rFonts w:cs="Arial"/>
                <w:color w:val="000000"/>
                <w:sz w:val="16"/>
                <w:szCs w:val="16"/>
              </w:rPr>
              <w:t>13</w:t>
            </w:r>
          </w:p>
        </w:tc>
      </w:tr>
      <w:tr w:rsidR="0095740D" w:rsidRPr="005119B1" w14:paraId="57726747" w14:textId="77777777" w:rsidTr="001F2EED">
        <w:trPr>
          <w:cantSplit/>
          <w:trHeight w:val="227"/>
          <w:jc w:val="center"/>
        </w:trPr>
        <w:tc>
          <w:tcPr>
            <w:tcW w:w="5340" w:type="dxa"/>
            <w:tcBorders>
              <w:top w:val="nil"/>
              <w:bottom w:val="nil"/>
            </w:tcBorders>
            <w:shd w:val="clear" w:color="000000" w:fill="F2F2F2"/>
            <w:vAlign w:val="center"/>
            <w:hideMark/>
          </w:tcPr>
          <w:p w14:paraId="0052FCC0"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Ταμειακό ισοζύγιο</w:t>
            </w:r>
          </w:p>
        </w:tc>
        <w:tc>
          <w:tcPr>
            <w:tcW w:w="1620" w:type="dxa"/>
            <w:tcBorders>
              <w:top w:val="nil"/>
              <w:bottom w:val="nil"/>
            </w:tcBorders>
            <w:shd w:val="clear" w:color="000000" w:fill="F2F2F2"/>
            <w:vAlign w:val="center"/>
            <w:hideMark/>
          </w:tcPr>
          <w:p w14:paraId="0AB6EFA6"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24</w:t>
            </w:r>
          </w:p>
        </w:tc>
        <w:tc>
          <w:tcPr>
            <w:tcW w:w="1620" w:type="dxa"/>
            <w:tcBorders>
              <w:top w:val="nil"/>
              <w:bottom w:val="nil"/>
            </w:tcBorders>
            <w:shd w:val="clear" w:color="000000" w:fill="F2F2F2"/>
            <w:vAlign w:val="center"/>
            <w:hideMark/>
          </w:tcPr>
          <w:p w14:paraId="271478FE"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25</w:t>
            </w:r>
          </w:p>
        </w:tc>
      </w:tr>
      <w:tr w:rsidR="0095740D" w:rsidRPr="005119B1" w14:paraId="0315A954" w14:textId="77777777" w:rsidTr="001F2EED">
        <w:trPr>
          <w:cantSplit/>
          <w:trHeight w:val="227"/>
          <w:jc w:val="center"/>
        </w:trPr>
        <w:tc>
          <w:tcPr>
            <w:tcW w:w="5340" w:type="dxa"/>
            <w:tcBorders>
              <w:top w:val="nil"/>
              <w:bottom w:val="nil"/>
            </w:tcBorders>
            <w:shd w:val="clear" w:color="000000" w:fill="F2F2F2"/>
            <w:vAlign w:val="center"/>
            <w:hideMark/>
          </w:tcPr>
          <w:p w14:paraId="5AF0F688"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Εθνικολογιστικές προσαρμογές</w:t>
            </w:r>
          </w:p>
        </w:tc>
        <w:tc>
          <w:tcPr>
            <w:tcW w:w="1620" w:type="dxa"/>
            <w:tcBorders>
              <w:top w:val="nil"/>
              <w:bottom w:val="nil"/>
            </w:tcBorders>
            <w:shd w:val="clear" w:color="000000" w:fill="F2F2F2"/>
            <w:vAlign w:val="center"/>
            <w:hideMark/>
          </w:tcPr>
          <w:p w14:paraId="692E9892"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0</w:t>
            </w:r>
          </w:p>
        </w:tc>
        <w:tc>
          <w:tcPr>
            <w:tcW w:w="1620" w:type="dxa"/>
            <w:tcBorders>
              <w:top w:val="nil"/>
              <w:bottom w:val="nil"/>
            </w:tcBorders>
            <w:shd w:val="clear" w:color="000000" w:fill="F2F2F2"/>
            <w:vAlign w:val="center"/>
            <w:hideMark/>
          </w:tcPr>
          <w:p w14:paraId="3B9FF8B9"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0</w:t>
            </w:r>
          </w:p>
        </w:tc>
      </w:tr>
      <w:tr w:rsidR="0095740D" w:rsidRPr="005119B1" w14:paraId="4F58C62D" w14:textId="77777777" w:rsidTr="001F2EED">
        <w:trPr>
          <w:cantSplit/>
          <w:trHeight w:val="227"/>
          <w:jc w:val="center"/>
        </w:trPr>
        <w:tc>
          <w:tcPr>
            <w:tcW w:w="5340" w:type="dxa"/>
            <w:tcBorders>
              <w:top w:val="nil"/>
              <w:bottom w:val="nil"/>
            </w:tcBorders>
            <w:shd w:val="clear" w:color="000000" w:fill="F2F2F2"/>
            <w:vAlign w:val="center"/>
            <w:hideMark/>
          </w:tcPr>
          <w:p w14:paraId="710DA001"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Ισοζύγιο κατά ESA</w:t>
            </w:r>
          </w:p>
        </w:tc>
        <w:tc>
          <w:tcPr>
            <w:tcW w:w="1620" w:type="dxa"/>
            <w:tcBorders>
              <w:top w:val="nil"/>
              <w:bottom w:val="nil"/>
            </w:tcBorders>
            <w:shd w:val="clear" w:color="000000" w:fill="F2F2F2"/>
            <w:vAlign w:val="center"/>
            <w:hideMark/>
          </w:tcPr>
          <w:p w14:paraId="32C031D0"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24</w:t>
            </w:r>
          </w:p>
        </w:tc>
        <w:tc>
          <w:tcPr>
            <w:tcW w:w="1620" w:type="dxa"/>
            <w:tcBorders>
              <w:top w:val="nil"/>
              <w:bottom w:val="nil"/>
            </w:tcBorders>
            <w:shd w:val="clear" w:color="000000" w:fill="F2F2F2"/>
            <w:vAlign w:val="center"/>
            <w:hideMark/>
          </w:tcPr>
          <w:p w14:paraId="1243D540"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25</w:t>
            </w:r>
          </w:p>
        </w:tc>
      </w:tr>
      <w:tr w:rsidR="0095740D" w:rsidRPr="005119B1" w14:paraId="7CD950CD" w14:textId="77777777" w:rsidTr="001F2EED">
        <w:trPr>
          <w:cantSplit/>
          <w:trHeight w:val="283"/>
          <w:jc w:val="center"/>
        </w:trPr>
        <w:tc>
          <w:tcPr>
            <w:tcW w:w="5340" w:type="dxa"/>
            <w:tcBorders>
              <w:top w:val="nil"/>
              <w:bottom w:val="nil"/>
            </w:tcBorders>
            <w:shd w:val="clear" w:color="000000" w:fill="D5DCE4"/>
            <w:vAlign w:val="center"/>
            <w:hideMark/>
          </w:tcPr>
          <w:p w14:paraId="1BB78298" w14:textId="18AE9A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Συνολικό ταμειακό ισοζύγιο ΟΚΑ</w:t>
            </w:r>
          </w:p>
        </w:tc>
        <w:tc>
          <w:tcPr>
            <w:tcW w:w="1620" w:type="dxa"/>
            <w:tcBorders>
              <w:top w:val="nil"/>
              <w:bottom w:val="nil"/>
            </w:tcBorders>
            <w:shd w:val="clear" w:color="000000" w:fill="D5DCE4"/>
            <w:vAlign w:val="center"/>
            <w:hideMark/>
          </w:tcPr>
          <w:p w14:paraId="6A19B751"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1.966</w:t>
            </w:r>
          </w:p>
        </w:tc>
        <w:tc>
          <w:tcPr>
            <w:tcW w:w="1620" w:type="dxa"/>
            <w:tcBorders>
              <w:top w:val="nil"/>
              <w:bottom w:val="nil"/>
            </w:tcBorders>
            <w:shd w:val="clear" w:color="000000" w:fill="D5DCE4"/>
            <w:vAlign w:val="center"/>
            <w:hideMark/>
          </w:tcPr>
          <w:p w14:paraId="779A7DCE"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1.757</w:t>
            </w:r>
          </w:p>
        </w:tc>
      </w:tr>
      <w:tr w:rsidR="0095740D" w:rsidRPr="005119B1" w14:paraId="65BCFCEC" w14:textId="77777777" w:rsidTr="001F2EED">
        <w:trPr>
          <w:cantSplit/>
          <w:trHeight w:val="283"/>
          <w:jc w:val="center"/>
        </w:trPr>
        <w:tc>
          <w:tcPr>
            <w:tcW w:w="5340" w:type="dxa"/>
            <w:tcBorders>
              <w:top w:val="nil"/>
              <w:bottom w:val="nil"/>
            </w:tcBorders>
            <w:shd w:val="clear" w:color="000000" w:fill="D5DCE4"/>
            <w:vAlign w:val="center"/>
            <w:hideMark/>
          </w:tcPr>
          <w:p w14:paraId="37FDCA2D" w14:textId="77777777"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Εθνικολογιστικές προσαρμογές</w:t>
            </w:r>
          </w:p>
        </w:tc>
        <w:tc>
          <w:tcPr>
            <w:tcW w:w="1620" w:type="dxa"/>
            <w:tcBorders>
              <w:top w:val="nil"/>
              <w:bottom w:val="nil"/>
            </w:tcBorders>
            <w:shd w:val="clear" w:color="000000" w:fill="D5DCE4"/>
            <w:vAlign w:val="center"/>
            <w:hideMark/>
          </w:tcPr>
          <w:p w14:paraId="1E41E403"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30</w:t>
            </w:r>
          </w:p>
        </w:tc>
        <w:tc>
          <w:tcPr>
            <w:tcW w:w="1620" w:type="dxa"/>
            <w:tcBorders>
              <w:top w:val="nil"/>
              <w:bottom w:val="nil"/>
            </w:tcBorders>
            <w:shd w:val="clear" w:color="000000" w:fill="D5DCE4"/>
            <w:vAlign w:val="center"/>
            <w:hideMark/>
          </w:tcPr>
          <w:p w14:paraId="60D4FB63"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33</w:t>
            </w:r>
          </w:p>
        </w:tc>
      </w:tr>
      <w:tr w:rsidR="0095740D" w:rsidRPr="005119B1" w14:paraId="267D4937" w14:textId="77777777" w:rsidTr="001F2EED">
        <w:trPr>
          <w:cantSplit/>
          <w:trHeight w:val="283"/>
          <w:jc w:val="center"/>
        </w:trPr>
        <w:tc>
          <w:tcPr>
            <w:tcW w:w="5340" w:type="dxa"/>
            <w:tcBorders>
              <w:top w:val="nil"/>
              <w:bottom w:val="single" w:sz="2" w:space="0" w:color="A6A6A6" w:themeColor="background1" w:themeShade="A6"/>
            </w:tcBorders>
            <w:shd w:val="clear" w:color="000000" w:fill="D5DCE4"/>
            <w:vAlign w:val="center"/>
            <w:hideMark/>
          </w:tcPr>
          <w:p w14:paraId="1E3FE285" w14:textId="7D6898D3" w:rsidR="0095740D" w:rsidRPr="005119B1" w:rsidRDefault="0095740D" w:rsidP="00332EE4">
            <w:pPr>
              <w:spacing w:after="0" w:line="276" w:lineRule="auto"/>
              <w:jc w:val="left"/>
              <w:rPr>
                <w:rFonts w:cs="Arial"/>
                <w:b/>
                <w:bCs/>
                <w:color w:val="000000"/>
                <w:sz w:val="16"/>
                <w:szCs w:val="16"/>
              </w:rPr>
            </w:pPr>
            <w:r w:rsidRPr="005119B1">
              <w:rPr>
                <w:rFonts w:cs="Arial"/>
                <w:b/>
                <w:bCs/>
                <w:color w:val="000000"/>
                <w:sz w:val="16"/>
                <w:szCs w:val="16"/>
              </w:rPr>
              <w:t>Συνολικό ισοζύγιο ΟΚΑ κατά ESA</w:t>
            </w:r>
          </w:p>
        </w:tc>
        <w:tc>
          <w:tcPr>
            <w:tcW w:w="1620" w:type="dxa"/>
            <w:tcBorders>
              <w:top w:val="nil"/>
              <w:bottom w:val="single" w:sz="2" w:space="0" w:color="A6A6A6" w:themeColor="background1" w:themeShade="A6"/>
            </w:tcBorders>
            <w:shd w:val="clear" w:color="000000" w:fill="D5DCE4"/>
            <w:vAlign w:val="center"/>
            <w:hideMark/>
          </w:tcPr>
          <w:p w14:paraId="13E1DAAA"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1.996</w:t>
            </w:r>
          </w:p>
        </w:tc>
        <w:tc>
          <w:tcPr>
            <w:tcW w:w="1620" w:type="dxa"/>
            <w:tcBorders>
              <w:top w:val="nil"/>
              <w:bottom w:val="single" w:sz="2" w:space="0" w:color="A6A6A6" w:themeColor="background1" w:themeShade="A6"/>
            </w:tcBorders>
            <w:shd w:val="clear" w:color="000000" w:fill="D5DCE4"/>
            <w:vAlign w:val="center"/>
            <w:hideMark/>
          </w:tcPr>
          <w:p w14:paraId="5A8E7722" w14:textId="77777777" w:rsidR="0095740D" w:rsidRPr="005119B1" w:rsidRDefault="0095740D" w:rsidP="00332EE4">
            <w:pPr>
              <w:spacing w:after="0" w:line="276" w:lineRule="auto"/>
              <w:jc w:val="right"/>
              <w:rPr>
                <w:rFonts w:cs="Arial"/>
                <w:b/>
                <w:bCs/>
                <w:color w:val="000000"/>
                <w:sz w:val="16"/>
                <w:szCs w:val="16"/>
              </w:rPr>
            </w:pPr>
            <w:r w:rsidRPr="005119B1">
              <w:rPr>
                <w:rFonts w:cs="Arial"/>
                <w:b/>
                <w:bCs/>
                <w:color w:val="000000"/>
                <w:sz w:val="16"/>
                <w:szCs w:val="16"/>
              </w:rPr>
              <w:t>1.790</w:t>
            </w:r>
          </w:p>
        </w:tc>
      </w:tr>
      <w:tr w:rsidR="0095740D" w:rsidRPr="005119B1" w14:paraId="3FE7E874" w14:textId="77777777" w:rsidTr="0027166C">
        <w:trPr>
          <w:cantSplit/>
          <w:jc w:val="center"/>
        </w:trPr>
        <w:tc>
          <w:tcPr>
            <w:tcW w:w="8580" w:type="dxa"/>
            <w:gridSpan w:val="3"/>
            <w:tcBorders>
              <w:top w:val="single" w:sz="2" w:space="0" w:color="A6A6A6" w:themeColor="background1" w:themeShade="A6"/>
              <w:left w:val="nil"/>
              <w:bottom w:val="nil"/>
              <w:right w:val="nil"/>
            </w:tcBorders>
            <w:shd w:val="clear" w:color="auto" w:fill="auto"/>
            <w:vAlign w:val="center"/>
            <w:hideMark/>
          </w:tcPr>
          <w:p w14:paraId="2F6E921B" w14:textId="6001E5E4" w:rsidR="0095740D" w:rsidRPr="005119B1" w:rsidRDefault="0095740D" w:rsidP="00790111">
            <w:pPr>
              <w:tabs>
                <w:tab w:val="left" w:pos="113"/>
              </w:tabs>
              <w:spacing w:before="60" w:after="0" w:line="276" w:lineRule="auto"/>
              <w:ind w:left="113" w:hanging="113"/>
              <w:rPr>
                <w:rFonts w:cs="Arial"/>
                <w:color w:val="000000"/>
                <w:sz w:val="16"/>
                <w:szCs w:val="16"/>
              </w:rPr>
            </w:pPr>
            <w:r w:rsidRPr="005119B1">
              <w:rPr>
                <w:rFonts w:cs="Arial"/>
                <w:color w:val="000000"/>
                <w:sz w:val="16"/>
                <w:szCs w:val="16"/>
                <w:vertAlign w:val="superscript"/>
              </w:rPr>
              <w:t>1</w:t>
            </w:r>
            <w:r w:rsidRPr="005119B1">
              <w:rPr>
                <w:rFonts w:cs="Arial"/>
                <w:color w:val="000000"/>
                <w:sz w:val="16"/>
                <w:szCs w:val="16"/>
                <w:vertAlign w:val="superscript"/>
              </w:rPr>
              <w:tab/>
            </w:r>
            <w:r w:rsidRPr="005119B1">
              <w:rPr>
                <w:rFonts w:cs="Arial"/>
                <w:color w:val="000000"/>
                <w:sz w:val="16"/>
                <w:szCs w:val="16"/>
              </w:rPr>
              <w:t xml:space="preserve">Για τον προσδιορισμό του δημοσιονομικού αποτελέσματος του ΕΟΠΥΥ κατά ESA έχει ενσωματωθεί η στατιστική αλλαγή της μεθοδολογίας καταγραφής των εσόδων από rebate και clawback, τα οποία πλέον καταγράφονται σε ταμειακή και όχι σε δεδουλευμένη βάση. </w:t>
            </w:r>
          </w:p>
        </w:tc>
      </w:tr>
    </w:tbl>
    <w:p w14:paraId="4AF759C5" w14:textId="4CAFF720" w:rsidR="00EE19FB" w:rsidRPr="00666D6E" w:rsidRDefault="00740908" w:rsidP="00300BBF">
      <w:pPr>
        <w:pStyle w:val="3"/>
      </w:pPr>
      <w:bookmarkStart w:id="412" w:name="_Toc214473780"/>
      <w:r>
        <w:t xml:space="preserve">Οργανισμοί Τοπικής Αυτοδιοίκησης - </w:t>
      </w:r>
      <w:r w:rsidR="009A1D13" w:rsidRPr="00666D6E">
        <w:t>Ενοποιημένος προϋπολογισμός</w:t>
      </w:r>
      <w:bookmarkEnd w:id="412"/>
    </w:p>
    <w:p w14:paraId="53D827A1" w14:textId="77777777" w:rsidR="0013501F" w:rsidRPr="00044707" w:rsidRDefault="0013501F" w:rsidP="001C647A">
      <w:r w:rsidRPr="00044707">
        <w:t>Οι ΟΤΑ αποτελούν υποτομέα της Γενικής Κυβέρνησης, ο οποίος ενσωματώνει τους προϋπολογισμούς τριακοσίων τριάντα δύο (332) Δήμων (ΟΤΑ α’ βαθμού), δεκατριών (13) Περιφερειών (ΟΤΑ β’ βαθμού) καθώς και εκατόν εβδομήντα επτά (177) Νομικών Προσώπων Δημοσίου Δικαίου και ενενήντα πέντε (95) Νομικών Προσώπων Ιδιωτικού Δικαίου.</w:t>
      </w:r>
    </w:p>
    <w:p w14:paraId="26752208" w14:textId="68E1D127" w:rsidR="0013501F" w:rsidRPr="00044707" w:rsidRDefault="0013501F" w:rsidP="001C647A">
      <w:r w:rsidRPr="00044707">
        <w:t xml:space="preserve">Οι προϋπολογισμοί των Δήμων, των Περιφερειών και των νομικών προσώπων αυτών καταρτίζονται σύμφωνα με τις οδηγίες που παρέχονται ετησίως με κοινές υπουργικές αποφάσεις των Υπουργών </w:t>
      </w:r>
      <w:r w:rsidRPr="00044707">
        <w:lastRenderedPageBreak/>
        <w:t xml:space="preserve">Εθνικής Οικονομίας και Οικονομικών και Εσωτερικών. Τα Δημοτικά - Περιφερειακά Συμβούλια ψηφίζουν έως τη 15η Νοεμβρίου τον προϋπολογισμό και το Ολοκληρωμένο Πλαίσιο Δράσης τους και υποβάλλουν τις σχετικές αποφάσεις για έλεγχο στην αρμόδια Αρχή Εποπτείας (εν προκειμένω, την οικεία Αποκεντρωμένη Διοίκηση), η ψήφιση των οποίων πρέπει να ολοκληρωθεί </w:t>
      </w:r>
      <w:r w:rsidR="00D163F3" w:rsidRPr="00044707">
        <w:t xml:space="preserve">σε κάθε περίπτωση </w:t>
      </w:r>
      <w:r w:rsidRPr="00044707">
        <w:t>μέχρι την 31η Δεκεμβρίου.</w:t>
      </w:r>
    </w:p>
    <w:p w14:paraId="76A75EE0" w14:textId="39284704" w:rsidR="0013501F" w:rsidRDefault="0013501F" w:rsidP="00621089">
      <w:pPr>
        <w:spacing w:after="240"/>
      </w:pPr>
      <w:r w:rsidRPr="00044707">
        <w:t>Για την εκπλήρωση της αποστολής και της άσκησης των αρμοδιοτήτων τους μεταφέρονται στους Δήμους και τις Περιφέρειες πόροι από τον κρατικό προϋπολογισμό, οι οποίοι είναι αναγκαίοι για την εύρυθμη λειτουργία τους.</w:t>
      </w:r>
    </w:p>
    <w:tbl>
      <w:tblPr>
        <w:tblStyle w:val="ac"/>
        <w:tblW w:w="8505"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none" w:sz="0" w:space="0" w:color="auto"/>
          <w:insideV w:val="none" w:sz="0" w:space="0" w:color="auto"/>
        </w:tblBorders>
        <w:tblLook w:val="04A0" w:firstRow="1" w:lastRow="0" w:firstColumn="1" w:lastColumn="0" w:noHBand="0" w:noVBand="1"/>
      </w:tblPr>
      <w:tblGrid>
        <w:gridCol w:w="2407"/>
        <w:gridCol w:w="2879"/>
        <w:gridCol w:w="1604"/>
        <w:gridCol w:w="1615"/>
      </w:tblGrid>
      <w:tr w:rsidR="002714D2" w:rsidRPr="003302CB" w14:paraId="4609B5F8" w14:textId="77777777" w:rsidTr="007F488A">
        <w:trPr>
          <w:cantSplit/>
          <w:trHeight w:val="397"/>
          <w:jc w:val="center"/>
        </w:trPr>
        <w:tc>
          <w:tcPr>
            <w:tcW w:w="8505" w:type="dxa"/>
            <w:gridSpan w:val="4"/>
            <w:tcBorders>
              <w:top w:val="single" w:sz="2" w:space="0" w:color="A6A6A6" w:themeColor="background1" w:themeShade="A6"/>
              <w:bottom w:val="single" w:sz="2" w:space="0" w:color="A6A6A6" w:themeColor="background1" w:themeShade="A6"/>
            </w:tcBorders>
            <w:shd w:val="clear" w:color="auto" w:fill="D5DCE4"/>
            <w:vAlign w:val="center"/>
          </w:tcPr>
          <w:p w14:paraId="6CDC2851" w14:textId="3A952E62" w:rsidR="00950788" w:rsidRDefault="003302CB" w:rsidP="002714D2">
            <w:pPr>
              <w:spacing w:after="0" w:line="276" w:lineRule="auto"/>
              <w:jc w:val="center"/>
              <w:rPr>
                <w:rFonts w:cs="Arial"/>
                <w:b/>
                <w:bCs/>
                <w:color w:val="000000"/>
                <w:sz w:val="18"/>
                <w:szCs w:val="18"/>
              </w:rPr>
            </w:pPr>
            <w:bookmarkStart w:id="413" w:name="_Toc214474061"/>
            <w:r w:rsidRPr="003302CB">
              <w:rPr>
                <w:b/>
                <w:sz w:val="18"/>
                <w:szCs w:val="18"/>
              </w:rPr>
              <w:t>Πίνακας 3.</w:t>
            </w:r>
            <w:r w:rsidRPr="003302CB">
              <w:rPr>
                <w:b/>
                <w:sz w:val="18"/>
                <w:szCs w:val="18"/>
              </w:rPr>
              <w:fldChar w:fldCharType="begin"/>
            </w:r>
            <w:r w:rsidRPr="003302CB">
              <w:rPr>
                <w:b/>
                <w:sz w:val="18"/>
                <w:szCs w:val="18"/>
              </w:rPr>
              <w:instrText xml:space="preserve"> SEQ Πίνακας_3. \* ARABIC </w:instrText>
            </w:r>
            <w:r w:rsidRPr="003302CB">
              <w:rPr>
                <w:b/>
                <w:sz w:val="18"/>
                <w:szCs w:val="18"/>
              </w:rPr>
              <w:fldChar w:fldCharType="separate"/>
            </w:r>
            <w:r w:rsidR="00E15678">
              <w:rPr>
                <w:b/>
                <w:noProof/>
                <w:sz w:val="18"/>
                <w:szCs w:val="18"/>
              </w:rPr>
              <w:t>23</w:t>
            </w:r>
            <w:r w:rsidRPr="003302CB">
              <w:rPr>
                <w:b/>
                <w:sz w:val="18"/>
                <w:szCs w:val="18"/>
              </w:rPr>
              <w:fldChar w:fldCharType="end"/>
            </w:r>
            <w:r w:rsidR="002714D2" w:rsidRPr="003302CB">
              <w:rPr>
                <w:rFonts w:cs="Arial"/>
                <w:b/>
                <w:sz w:val="18"/>
                <w:szCs w:val="18"/>
              </w:rPr>
              <w:t xml:space="preserve">.: </w:t>
            </w:r>
            <w:r w:rsidR="002714D2" w:rsidRPr="003302CB">
              <w:rPr>
                <w:rFonts w:cs="Arial"/>
                <w:b/>
                <w:bCs/>
                <w:color w:val="000000"/>
                <w:sz w:val="18"/>
                <w:szCs w:val="18"/>
              </w:rPr>
              <w:t>Ενοποιημένος προϋπολογισμός ΟΤΑ</w:t>
            </w:r>
            <w:bookmarkEnd w:id="413"/>
          </w:p>
          <w:p w14:paraId="412BBD4B" w14:textId="3B8141B9" w:rsidR="002714D2" w:rsidRPr="003302CB" w:rsidRDefault="002714D2" w:rsidP="002714D2">
            <w:pPr>
              <w:spacing w:after="0" w:line="276" w:lineRule="auto"/>
              <w:jc w:val="center"/>
              <w:rPr>
                <w:rFonts w:cs="Arial"/>
                <w:b/>
                <w:sz w:val="18"/>
                <w:szCs w:val="18"/>
              </w:rPr>
            </w:pPr>
            <w:r w:rsidRPr="003302CB">
              <w:rPr>
                <w:rFonts w:cs="Arial"/>
                <w:b/>
                <w:bCs/>
                <w:color w:val="000000"/>
                <w:sz w:val="18"/>
                <w:szCs w:val="18"/>
              </w:rPr>
              <w:t>(σε εκατ. ευρώ)</w:t>
            </w:r>
          </w:p>
        </w:tc>
      </w:tr>
      <w:tr w:rsidR="00621089" w:rsidRPr="002714D2" w14:paraId="31067CEF" w14:textId="77777777" w:rsidTr="007F488A">
        <w:trPr>
          <w:cantSplit/>
          <w:trHeight w:val="433"/>
          <w:jc w:val="center"/>
        </w:trPr>
        <w:tc>
          <w:tcPr>
            <w:tcW w:w="2407"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tcPr>
          <w:p w14:paraId="7D96CF1F" w14:textId="2F79D8D7" w:rsidR="00621089" w:rsidRPr="002714D2" w:rsidRDefault="00621089" w:rsidP="00621089">
            <w:pPr>
              <w:spacing w:after="0" w:line="276" w:lineRule="auto"/>
              <w:jc w:val="center"/>
              <w:rPr>
                <w:rFonts w:cs="Arial"/>
                <w:sz w:val="16"/>
                <w:szCs w:val="16"/>
              </w:rPr>
            </w:pPr>
            <w:r w:rsidRPr="002714D2">
              <w:rPr>
                <w:rFonts w:cs="Arial"/>
                <w:b/>
                <w:bCs/>
                <w:color w:val="000000"/>
                <w:sz w:val="16"/>
                <w:szCs w:val="16"/>
              </w:rPr>
              <w:t>Μείζονες Κατηγορίες</w:t>
            </w:r>
          </w:p>
        </w:tc>
        <w:tc>
          <w:tcPr>
            <w:tcW w:w="2879"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tcPr>
          <w:p w14:paraId="1D94C4E9" w14:textId="04E6A8CB" w:rsidR="00621089" w:rsidRPr="002714D2" w:rsidRDefault="00621089" w:rsidP="00621089">
            <w:pPr>
              <w:spacing w:after="0" w:line="276" w:lineRule="auto"/>
              <w:jc w:val="center"/>
              <w:rPr>
                <w:rFonts w:cs="Arial"/>
                <w:sz w:val="16"/>
                <w:szCs w:val="16"/>
              </w:rPr>
            </w:pPr>
            <w:r w:rsidRPr="002714D2">
              <w:rPr>
                <w:rFonts w:cs="Arial"/>
                <w:b/>
                <w:bCs/>
                <w:color w:val="000000"/>
                <w:sz w:val="16"/>
                <w:szCs w:val="16"/>
              </w:rPr>
              <w:t>Περιγραφή</w:t>
            </w:r>
          </w:p>
        </w:tc>
        <w:tc>
          <w:tcPr>
            <w:tcW w:w="1604"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tcPr>
          <w:p w14:paraId="3F377944" w14:textId="77777777" w:rsidR="00621089" w:rsidRPr="002714D2" w:rsidRDefault="00621089" w:rsidP="00621089">
            <w:pPr>
              <w:spacing w:after="0" w:line="276" w:lineRule="auto"/>
              <w:jc w:val="center"/>
              <w:rPr>
                <w:rFonts w:cs="Arial"/>
                <w:sz w:val="16"/>
                <w:szCs w:val="16"/>
              </w:rPr>
            </w:pPr>
            <w:r w:rsidRPr="002714D2">
              <w:rPr>
                <w:rFonts w:cs="Arial"/>
                <w:b/>
                <w:bCs/>
                <w:color w:val="000000"/>
                <w:sz w:val="16"/>
                <w:szCs w:val="16"/>
              </w:rPr>
              <w:t>2025</w:t>
            </w:r>
          </w:p>
          <w:p w14:paraId="4F7DC9FE" w14:textId="3C846870" w:rsidR="00621089" w:rsidRPr="002714D2" w:rsidRDefault="00621089" w:rsidP="00621089">
            <w:pPr>
              <w:spacing w:after="0" w:line="276" w:lineRule="auto"/>
              <w:jc w:val="center"/>
              <w:rPr>
                <w:rFonts w:cs="Arial"/>
                <w:sz w:val="16"/>
                <w:szCs w:val="16"/>
              </w:rPr>
            </w:pPr>
            <w:r w:rsidRPr="002714D2">
              <w:rPr>
                <w:rFonts w:cs="Arial"/>
                <w:b/>
                <w:bCs/>
                <w:color w:val="000000"/>
                <w:sz w:val="16"/>
                <w:szCs w:val="16"/>
              </w:rPr>
              <w:t>Εκτιμήσεις</w:t>
            </w:r>
          </w:p>
        </w:tc>
        <w:tc>
          <w:tcPr>
            <w:tcW w:w="1615"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tcPr>
          <w:p w14:paraId="75F4F8E1" w14:textId="77777777" w:rsidR="00621089" w:rsidRPr="002714D2" w:rsidRDefault="00621089" w:rsidP="00621089">
            <w:pPr>
              <w:spacing w:after="0" w:line="276" w:lineRule="auto"/>
              <w:jc w:val="center"/>
              <w:rPr>
                <w:rFonts w:cs="Arial"/>
                <w:sz w:val="16"/>
                <w:szCs w:val="16"/>
              </w:rPr>
            </w:pPr>
            <w:r w:rsidRPr="002714D2">
              <w:rPr>
                <w:rFonts w:cs="Arial"/>
                <w:b/>
                <w:bCs/>
                <w:color w:val="000000"/>
                <w:sz w:val="16"/>
                <w:szCs w:val="16"/>
              </w:rPr>
              <w:t>2026</w:t>
            </w:r>
          </w:p>
          <w:p w14:paraId="59872796" w14:textId="51FCD0FD" w:rsidR="00621089" w:rsidRPr="002714D2" w:rsidRDefault="00621089" w:rsidP="00621089">
            <w:pPr>
              <w:spacing w:after="0" w:line="276" w:lineRule="auto"/>
              <w:jc w:val="center"/>
              <w:rPr>
                <w:rFonts w:cs="Arial"/>
                <w:sz w:val="16"/>
                <w:szCs w:val="16"/>
              </w:rPr>
            </w:pPr>
            <w:r w:rsidRPr="002714D2">
              <w:rPr>
                <w:rFonts w:cs="Arial"/>
                <w:b/>
                <w:bCs/>
                <w:color w:val="000000"/>
                <w:sz w:val="16"/>
                <w:szCs w:val="16"/>
              </w:rPr>
              <w:t>Προβλέψεις</w:t>
            </w:r>
          </w:p>
        </w:tc>
      </w:tr>
      <w:tr w:rsidR="00621089" w:rsidRPr="002714D2" w14:paraId="65F6E78E" w14:textId="77777777" w:rsidTr="007F488A">
        <w:trPr>
          <w:cantSplit/>
          <w:trHeight w:val="227"/>
          <w:jc w:val="center"/>
        </w:trPr>
        <w:tc>
          <w:tcPr>
            <w:tcW w:w="5286" w:type="dxa"/>
            <w:gridSpan w:val="2"/>
            <w:tcBorders>
              <w:top w:val="single" w:sz="2" w:space="0" w:color="A6A6A6" w:themeColor="background1" w:themeShade="A6"/>
            </w:tcBorders>
            <w:shd w:val="clear" w:color="auto" w:fill="D5DCE4"/>
          </w:tcPr>
          <w:p w14:paraId="2E6665FC" w14:textId="5E134ED6" w:rsidR="00621089" w:rsidRPr="002714D2" w:rsidRDefault="00621089" w:rsidP="007F488A">
            <w:pPr>
              <w:spacing w:after="0" w:line="276" w:lineRule="auto"/>
              <w:jc w:val="left"/>
              <w:rPr>
                <w:rFonts w:cs="Arial"/>
                <w:sz w:val="16"/>
                <w:szCs w:val="16"/>
              </w:rPr>
            </w:pPr>
            <w:r w:rsidRPr="002714D2">
              <w:rPr>
                <w:rFonts w:cs="Arial"/>
                <w:b/>
                <w:bCs/>
                <w:color w:val="000000"/>
                <w:sz w:val="16"/>
                <w:szCs w:val="16"/>
              </w:rPr>
              <w:t>Έσοδα</w:t>
            </w:r>
          </w:p>
        </w:tc>
        <w:tc>
          <w:tcPr>
            <w:tcW w:w="1604" w:type="dxa"/>
            <w:tcBorders>
              <w:top w:val="single" w:sz="2" w:space="0" w:color="A6A6A6" w:themeColor="background1" w:themeShade="A6"/>
            </w:tcBorders>
            <w:shd w:val="clear" w:color="auto" w:fill="D5DCE4"/>
          </w:tcPr>
          <w:p w14:paraId="29633044" w14:textId="5950F97E" w:rsidR="00621089" w:rsidRPr="002714D2" w:rsidRDefault="00621089" w:rsidP="007F488A">
            <w:pPr>
              <w:spacing w:after="0" w:line="276" w:lineRule="auto"/>
              <w:jc w:val="right"/>
              <w:rPr>
                <w:rFonts w:cs="Arial"/>
                <w:sz w:val="16"/>
                <w:szCs w:val="16"/>
              </w:rPr>
            </w:pPr>
            <w:r w:rsidRPr="002714D2">
              <w:rPr>
                <w:rFonts w:cs="Arial"/>
                <w:b/>
                <w:bCs/>
                <w:sz w:val="16"/>
                <w:szCs w:val="16"/>
              </w:rPr>
              <w:t>9.586</w:t>
            </w:r>
          </w:p>
        </w:tc>
        <w:tc>
          <w:tcPr>
            <w:tcW w:w="1615" w:type="dxa"/>
            <w:tcBorders>
              <w:top w:val="single" w:sz="2" w:space="0" w:color="A6A6A6" w:themeColor="background1" w:themeShade="A6"/>
            </w:tcBorders>
            <w:shd w:val="clear" w:color="auto" w:fill="D5DCE4"/>
          </w:tcPr>
          <w:p w14:paraId="5D3F71A0" w14:textId="5C95B3FF" w:rsidR="00621089" w:rsidRPr="002714D2" w:rsidRDefault="00621089" w:rsidP="007F488A">
            <w:pPr>
              <w:spacing w:after="0" w:line="276" w:lineRule="auto"/>
              <w:jc w:val="right"/>
              <w:rPr>
                <w:rFonts w:cs="Arial"/>
                <w:sz w:val="16"/>
                <w:szCs w:val="16"/>
              </w:rPr>
            </w:pPr>
            <w:r w:rsidRPr="002714D2">
              <w:rPr>
                <w:rFonts w:cs="Arial"/>
                <w:b/>
                <w:bCs/>
                <w:sz w:val="16"/>
                <w:szCs w:val="16"/>
              </w:rPr>
              <w:t>9.8</w:t>
            </w:r>
            <w:r w:rsidRPr="002714D2">
              <w:rPr>
                <w:rFonts w:cs="Arial"/>
                <w:b/>
                <w:bCs/>
                <w:sz w:val="16"/>
                <w:szCs w:val="16"/>
                <w:lang w:val="en-US"/>
              </w:rPr>
              <w:t>88</w:t>
            </w:r>
          </w:p>
        </w:tc>
      </w:tr>
      <w:tr w:rsidR="003F6CD2" w:rsidRPr="002714D2" w14:paraId="12289D71" w14:textId="77777777" w:rsidTr="007F488A">
        <w:trPr>
          <w:cantSplit/>
          <w:jc w:val="center"/>
        </w:trPr>
        <w:tc>
          <w:tcPr>
            <w:tcW w:w="2407" w:type="dxa"/>
          </w:tcPr>
          <w:p w14:paraId="4C1E2A05" w14:textId="2C05F5CC" w:rsidR="003F6CD2" w:rsidRPr="002714D2" w:rsidRDefault="003F6CD2" w:rsidP="007F488A">
            <w:pPr>
              <w:spacing w:after="0" w:line="276" w:lineRule="auto"/>
              <w:jc w:val="left"/>
              <w:rPr>
                <w:rFonts w:cs="Arial"/>
                <w:sz w:val="16"/>
                <w:szCs w:val="16"/>
              </w:rPr>
            </w:pPr>
            <w:r w:rsidRPr="002714D2">
              <w:rPr>
                <w:rFonts w:cs="Arial"/>
                <w:sz w:val="16"/>
                <w:szCs w:val="16"/>
              </w:rPr>
              <w:t>11</w:t>
            </w:r>
          </w:p>
        </w:tc>
        <w:tc>
          <w:tcPr>
            <w:tcW w:w="2879" w:type="dxa"/>
          </w:tcPr>
          <w:p w14:paraId="3C3EF030" w14:textId="03EC9F97" w:rsidR="003F6CD2" w:rsidRPr="002714D2" w:rsidRDefault="003F6CD2" w:rsidP="007F488A">
            <w:pPr>
              <w:spacing w:after="0" w:line="276" w:lineRule="auto"/>
              <w:jc w:val="left"/>
              <w:rPr>
                <w:rFonts w:cs="Arial"/>
                <w:sz w:val="16"/>
                <w:szCs w:val="16"/>
              </w:rPr>
            </w:pPr>
            <w:r w:rsidRPr="002714D2">
              <w:rPr>
                <w:rFonts w:cs="Arial"/>
                <w:color w:val="000000"/>
                <w:sz w:val="16"/>
                <w:szCs w:val="16"/>
              </w:rPr>
              <w:t>Φόροι</w:t>
            </w:r>
          </w:p>
        </w:tc>
        <w:tc>
          <w:tcPr>
            <w:tcW w:w="1604" w:type="dxa"/>
          </w:tcPr>
          <w:p w14:paraId="55912A44" w14:textId="61FC6A90" w:rsidR="003F6CD2" w:rsidRPr="002714D2" w:rsidRDefault="003F6CD2" w:rsidP="007F488A">
            <w:pPr>
              <w:spacing w:after="0" w:line="276" w:lineRule="auto"/>
              <w:jc w:val="right"/>
              <w:rPr>
                <w:rFonts w:cs="Arial"/>
                <w:sz w:val="16"/>
                <w:szCs w:val="16"/>
              </w:rPr>
            </w:pPr>
            <w:r w:rsidRPr="002714D2">
              <w:rPr>
                <w:rFonts w:cs="Arial"/>
                <w:sz w:val="16"/>
                <w:szCs w:val="16"/>
              </w:rPr>
              <w:t>2.156</w:t>
            </w:r>
          </w:p>
        </w:tc>
        <w:tc>
          <w:tcPr>
            <w:tcW w:w="1615" w:type="dxa"/>
          </w:tcPr>
          <w:p w14:paraId="3D0F61D3" w14:textId="7BF39FE4" w:rsidR="003F6CD2" w:rsidRPr="002714D2" w:rsidRDefault="003F6CD2" w:rsidP="007F488A">
            <w:pPr>
              <w:spacing w:after="0" w:line="276" w:lineRule="auto"/>
              <w:jc w:val="right"/>
              <w:rPr>
                <w:rFonts w:cs="Arial"/>
                <w:sz w:val="16"/>
                <w:szCs w:val="16"/>
              </w:rPr>
            </w:pPr>
            <w:r w:rsidRPr="002714D2">
              <w:rPr>
                <w:rFonts w:cs="Arial"/>
                <w:sz w:val="16"/>
                <w:szCs w:val="16"/>
              </w:rPr>
              <w:t>2.261</w:t>
            </w:r>
          </w:p>
        </w:tc>
      </w:tr>
      <w:tr w:rsidR="003F6CD2" w:rsidRPr="002714D2" w14:paraId="23BE9DB0" w14:textId="77777777" w:rsidTr="007F488A">
        <w:trPr>
          <w:cantSplit/>
          <w:jc w:val="center"/>
        </w:trPr>
        <w:tc>
          <w:tcPr>
            <w:tcW w:w="2407" w:type="dxa"/>
          </w:tcPr>
          <w:p w14:paraId="3B2CBDF6" w14:textId="2882C88E" w:rsidR="003F6CD2" w:rsidRPr="00FD5A58" w:rsidRDefault="003F6CD2" w:rsidP="007F488A">
            <w:pPr>
              <w:spacing w:after="0" w:line="276" w:lineRule="auto"/>
              <w:jc w:val="left"/>
              <w:rPr>
                <w:rFonts w:cs="Arial"/>
                <w:sz w:val="16"/>
                <w:szCs w:val="16"/>
              </w:rPr>
            </w:pPr>
            <w:r w:rsidRPr="00FD5A58">
              <w:rPr>
                <w:rFonts w:cs="Arial"/>
                <w:bCs/>
                <w:color w:val="000000"/>
                <w:sz w:val="16"/>
                <w:szCs w:val="16"/>
              </w:rPr>
              <w:t>13101 + 13401</w:t>
            </w:r>
          </w:p>
        </w:tc>
        <w:tc>
          <w:tcPr>
            <w:tcW w:w="2879" w:type="dxa"/>
          </w:tcPr>
          <w:p w14:paraId="3E804BE7" w14:textId="65BE5DEF" w:rsidR="003F6CD2" w:rsidRPr="002714D2" w:rsidRDefault="003F6CD2" w:rsidP="007F488A">
            <w:pPr>
              <w:spacing w:after="0" w:line="276" w:lineRule="auto"/>
              <w:jc w:val="left"/>
              <w:rPr>
                <w:rFonts w:cs="Arial"/>
                <w:sz w:val="16"/>
                <w:szCs w:val="16"/>
              </w:rPr>
            </w:pPr>
            <w:r w:rsidRPr="002714D2">
              <w:rPr>
                <w:rFonts w:cs="Arial"/>
                <w:sz w:val="16"/>
                <w:szCs w:val="16"/>
              </w:rPr>
              <w:t xml:space="preserve">Μεταβιβάσεις από τον </w:t>
            </w:r>
            <w:r w:rsidR="007828AB">
              <w:rPr>
                <w:rFonts w:cs="Arial"/>
                <w:sz w:val="16"/>
                <w:szCs w:val="16"/>
              </w:rPr>
              <w:t>κ</w:t>
            </w:r>
            <w:r w:rsidRPr="002714D2">
              <w:rPr>
                <w:rFonts w:cs="Arial"/>
                <w:sz w:val="16"/>
                <w:szCs w:val="16"/>
              </w:rPr>
              <w:t xml:space="preserve">ρατικό </w:t>
            </w:r>
            <w:r w:rsidR="007828AB">
              <w:rPr>
                <w:rFonts w:cs="Arial"/>
                <w:sz w:val="16"/>
                <w:szCs w:val="16"/>
              </w:rPr>
              <w:t>π</w:t>
            </w:r>
            <w:r w:rsidRPr="002714D2">
              <w:rPr>
                <w:rFonts w:cs="Arial"/>
                <w:sz w:val="16"/>
                <w:szCs w:val="16"/>
              </w:rPr>
              <w:t>ροϋπολογισμό</w:t>
            </w:r>
          </w:p>
        </w:tc>
        <w:tc>
          <w:tcPr>
            <w:tcW w:w="1604" w:type="dxa"/>
          </w:tcPr>
          <w:p w14:paraId="5AECA5F9" w14:textId="7E860C5D" w:rsidR="003F6CD2" w:rsidRPr="002714D2" w:rsidRDefault="003F6CD2" w:rsidP="007F488A">
            <w:pPr>
              <w:spacing w:after="0" w:line="276" w:lineRule="auto"/>
              <w:jc w:val="right"/>
              <w:rPr>
                <w:rFonts w:cs="Arial"/>
                <w:sz w:val="16"/>
                <w:szCs w:val="16"/>
              </w:rPr>
            </w:pPr>
            <w:r w:rsidRPr="002714D2">
              <w:rPr>
                <w:rFonts w:cs="Arial"/>
                <w:sz w:val="16"/>
                <w:szCs w:val="16"/>
              </w:rPr>
              <w:t>6.183</w:t>
            </w:r>
          </w:p>
        </w:tc>
        <w:tc>
          <w:tcPr>
            <w:tcW w:w="1615" w:type="dxa"/>
          </w:tcPr>
          <w:p w14:paraId="43A81F1E" w14:textId="7A875F02" w:rsidR="003F6CD2" w:rsidRPr="002714D2" w:rsidRDefault="003F6CD2" w:rsidP="007F488A">
            <w:pPr>
              <w:spacing w:after="0" w:line="276" w:lineRule="auto"/>
              <w:jc w:val="right"/>
              <w:rPr>
                <w:rFonts w:cs="Arial"/>
                <w:sz w:val="16"/>
                <w:szCs w:val="16"/>
              </w:rPr>
            </w:pPr>
            <w:r w:rsidRPr="002714D2">
              <w:rPr>
                <w:rFonts w:cs="Arial"/>
                <w:sz w:val="16"/>
                <w:szCs w:val="16"/>
              </w:rPr>
              <w:t>6.3</w:t>
            </w:r>
            <w:r w:rsidRPr="002714D2">
              <w:rPr>
                <w:rFonts w:cs="Arial"/>
                <w:sz w:val="16"/>
                <w:szCs w:val="16"/>
                <w:lang w:val="en-US"/>
              </w:rPr>
              <w:t>5</w:t>
            </w:r>
            <w:r w:rsidRPr="002714D2">
              <w:rPr>
                <w:rFonts w:cs="Arial"/>
                <w:sz w:val="16"/>
                <w:szCs w:val="16"/>
              </w:rPr>
              <w:t>3</w:t>
            </w:r>
          </w:p>
        </w:tc>
      </w:tr>
      <w:tr w:rsidR="003F6CD2" w:rsidRPr="002714D2" w14:paraId="2109BA8C" w14:textId="77777777" w:rsidTr="007F488A">
        <w:trPr>
          <w:cantSplit/>
          <w:jc w:val="center"/>
        </w:trPr>
        <w:tc>
          <w:tcPr>
            <w:tcW w:w="2407" w:type="dxa"/>
          </w:tcPr>
          <w:p w14:paraId="62B42FF8" w14:textId="77777777" w:rsidR="003F6CD2" w:rsidRPr="002714D2" w:rsidRDefault="003F6CD2" w:rsidP="007F488A">
            <w:pPr>
              <w:spacing w:after="0" w:line="276" w:lineRule="auto"/>
              <w:jc w:val="left"/>
              <w:rPr>
                <w:rFonts w:cs="Arial"/>
                <w:sz w:val="16"/>
                <w:szCs w:val="16"/>
              </w:rPr>
            </w:pPr>
          </w:p>
        </w:tc>
        <w:tc>
          <w:tcPr>
            <w:tcW w:w="2879" w:type="dxa"/>
          </w:tcPr>
          <w:p w14:paraId="35A11E6D" w14:textId="12005B7B" w:rsidR="003F6CD2" w:rsidRPr="002714D2" w:rsidRDefault="003F6CD2" w:rsidP="007F488A">
            <w:pPr>
              <w:spacing w:after="0" w:line="276" w:lineRule="auto"/>
              <w:jc w:val="left"/>
              <w:rPr>
                <w:rFonts w:cs="Arial"/>
                <w:sz w:val="16"/>
                <w:szCs w:val="16"/>
              </w:rPr>
            </w:pPr>
            <w:r w:rsidRPr="002714D2">
              <w:rPr>
                <w:rFonts w:cs="Arial"/>
                <w:b/>
                <w:bCs/>
                <w:sz w:val="16"/>
                <w:szCs w:val="16"/>
              </w:rPr>
              <w:t xml:space="preserve">α. </w:t>
            </w:r>
            <w:r w:rsidRPr="002714D2">
              <w:rPr>
                <w:rFonts w:cs="Arial"/>
                <w:sz w:val="16"/>
                <w:szCs w:val="16"/>
              </w:rPr>
              <w:t xml:space="preserve">Μεταβιβάσεις από </w:t>
            </w:r>
            <w:r w:rsidR="005C7223">
              <w:rPr>
                <w:rFonts w:cs="Arial"/>
                <w:sz w:val="16"/>
                <w:szCs w:val="16"/>
              </w:rPr>
              <w:t>τ</w:t>
            </w:r>
            <w:r w:rsidRPr="002714D2">
              <w:rPr>
                <w:rFonts w:cs="Arial"/>
                <w:sz w:val="16"/>
                <w:szCs w:val="16"/>
              </w:rPr>
              <w:t xml:space="preserve">ακτικό </w:t>
            </w:r>
            <w:r w:rsidR="005C7223">
              <w:rPr>
                <w:rFonts w:cs="Arial"/>
                <w:sz w:val="16"/>
                <w:szCs w:val="16"/>
              </w:rPr>
              <w:t>π</w:t>
            </w:r>
            <w:r w:rsidRPr="002714D2">
              <w:rPr>
                <w:rFonts w:cs="Arial"/>
                <w:sz w:val="16"/>
                <w:szCs w:val="16"/>
              </w:rPr>
              <w:t>ροϋπολογισμό</w:t>
            </w:r>
          </w:p>
        </w:tc>
        <w:tc>
          <w:tcPr>
            <w:tcW w:w="1604" w:type="dxa"/>
          </w:tcPr>
          <w:p w14:paraId="01191391" w14:textId="7035FA98" w:rsidR="003F6CD2" w:rsidRPr="002714D2" w:rsidRDefault="003F6CD2" w:rsidP="007F488A">
            <w:pPr>
              <w:spacing w:after="0" w:line="276" w:lineRule="auto"/>
              <w:jc w:val="right"/>
              <w:rPr>
                <w:rFonts w:cs="Arial"/>
                <w:sz w:val="16"/>
                <w:szCs w:val="16"/>
              </w:rPr>
            </w:pPr>
            <w:r w:rsidRPr="002714D2">
              <w:rPr>
                <w:rFonts w:cs="Arial"/>
                <w:sz w:val="16"/>
                <w:szCs w:val="16"/>
              </w:rPr>
              <w:t>3.535</w:t>
            </w:r>
          </w:p>
        </w:tc>
        <w:tc>
          <w:tcPr>
            <w:tcW w:w="1615" w:type="dxa"/>
          </w:tcPr>
          <w:p w14:paraId="3A105E98" w14:textId="5240C40C" w:rsidR="003F6CD2" w:rsidRPr="002714D2" w:rsidRDefault="003F6CD2" w:rsidP="007F488A">
            <w:pPr>
              <w:spacing w:after="0" w:line="276" w:lineRule="auto"/>
              <w:jc w:val="right"/>
              <w:rPr>
                <w:rFonts w:cs="Arial"/>
                <w:sz w:val="16"/>
                <w:szCs w:val="16"/>
              </w:rPr>
            </w:pPr>
            <w:r w:rsidRPr="002714D2">
              <w:rPr>
                <w:rFonts w:cs="Arial"/>
                <w:sz w:val="16"/>
                <w:szCs w:val="16"/>
              </w:rPr>
              <w:t>3.626</w:t>
            </w:r>
          </w:p>
        </w:tc>
      </w:tr>
      <w:tr w:rsidR="003F6CD2" w:rsidRPr="002714D2" w14:paraId="783553F8" w14:textId="77777777" w:rsidTr="007F488A">
        <w:trPr>
          <w:cantSplit/>
          <w:jc w:val="center"/>
        </w:trPr>
        <w:tc>
          <w:tcPr>
            <w:tcW w:w="2407" w:type="dxa"/>
          </w:tcPr>
          <w:p w14:paraId="0D465D30" w14:textId="77777777" w:rsidR="003F6CD2" w:rsidRPr="002714D2" w:rsidRDefault="003F6CD2" w:rsidP="007F488A">
            <w:pPr>
              <w:spacing w:after="0" w:line="276" w:lineRule="auto"/>
              <w:jc w:val="left"/>
              <w:rPr>
                <w:rFonts w:cs="Arial"/>
                <w:sz w:val="16"/>
                <w:szCs w:val="16"/>
              </w:rPr>
            </w:pPr>
          </w:p>
        </w:tc>
        <w:tc>
          <w:tcPr>
            <w:tcW w:w="2879" w:type="dxa"/>
          </w:tcPr>
          <w:p w14:paraId="5F71A31F" w14:textId="791098A2" w:rsidR="003F6CD2" w:rsidRPr="002714D2" w:rsidRDefault="003F6CD2" w:rsidP="007F488A">
            <w:pPr>
              <w:spacing w:after="0" w:line="276" w:lineRule="auto"/>
              <w:jc w:val="left"/>
              <w:rPr>
                <w:rFonts w:cs="Arial"/>
                <w:sz w:val="16"/>
                <w:szCs w:val="16"/>
              </w:rPr>
            </w:pPr>
            <w:r w:rsidRPr="002714D2">
              <w:rPr>
                <w:rFonts w:cs="Arial"/>
                <w:b/>
                <w:bCs/>
                <w:sz w:val="16"/>
                <w:szCs w:val="16"/>
              </w:rPr>
              <w:t xml:space="preserve">β. </w:t>
            </w:r>
            <w:r w:rsidRPr="002714D2">
              <w:rPr>
                <w:rFonts w:cs="Arial"/>
                <w:sz w:val="16"/>
                <w:szCs w:val="16"/>
              </w:rPr>
              <w:t xml:space="preserve">Μεταβιβάσεις από </w:t>
            </w:r>
            <w:r w:rsidR="00D163F3">
              <w:rPr>
                <w:rFonts w:cs="Arial"/>
                <w:sz w:val="16"/>
                <w:szCs w:val="16"/>
              </w:rPr>
              <w:t>τον προϋπολογισμό δημοσίων επενδύσεων</w:t>
            </w:r>
            <w:r w:rsidRPr="002714D2">
              <w:rPr>
                <w:rFonts w:cs="Arial"/>
                <w:sz w:val="16"/>
                <w:szCs w:val="16"/>
              </w:rPr>
              <w:t xml:space="preserve"> </w:t>
            </w:r>
            <w:r w:rsidR="005C7223">
              <w:rPr>
                <w:rFonts w:cs="Arial"/>
                <w:sz w:val="16"/>
                <w:szCs w:val="16"/>
              </w:rPr>
              <w:t>και</w:t>
            </w:r>
            <w:r w:rsidRPr="002714D2">
              <w:rPr>
                <w:rFonts w:cs="Arial"/>
                <w:sz w:val="16"/>
                <w:szCs w:val="16"/>
              </w:rPr>
              <w:t xml:space="preserve"> </w:t>
            </w:r>
            <w:r w:rsidR="00D163F3">
              <w:rPr>
                <w:rFonts w:cs="Arial"/>
                <w:sz w:val="16"/>
                <w:szCs w:val="16"/>
              </w:rPr>
              <w:t xml:space="preserve">το </w:t>
            </w:r>
            <w:r w:rsidRPr="002714D2">
              <w:rPr>
                <w:rFonts w:cs="Arial"/>
                <w:sz w:val="16"/>
                <w:szCs w:val="16"/>
              </w:rPr>
              <w:t>ΤΑΑ</w:t>
            </w:r>
          </w:p>
        </w:tc>
        <w:tc>
          <w:tcPr>
            <w:tcW w:w="1604" w:type="dxa"/>
          </w:tcPr>
          <w:p w14:paraId="258BCE4E" w14:textId="40D482F4" w:rsidR="003F6CD2" w:rsidRPr="002714D2" w:rsidRDefault="003F6CD2" w:rsidP="007F488A">
            <w:pPr>
              <w:spacing w:after="0" w:line="276" w:lineRule="auto"/>
              <w:jc w:val="right"/>
              <w:rPr>
                <w:rFonts w:cs="Arial"/>
                <w:sz w:val="16"/>
                <w:szCs w:val="16"/>
              </w:rPr>
            </w:pPr>
            <w:r w:rsidRPr="002714D2">
              <w:rPr>
                <w:rFonts w:cs="Arial"/>
                <w:sz w:val="16"/>
                <w:szCs w:val="16"/>
              </w:rPr>
              <w:t xml:space="preserve">2.648 </w:t>
            </w:r>
          </w:p>
        </w:tc>
        <w:tc>
          <w:tcPr>
            <w:tcW w:w="1615" w:type="dxa"/>
          </w:tcPr>
          <w:p w14:paraId="7F764B57" w14:textId="1AED90FF" w:rsidR="003F6CD2" w:rsidRPr="002714D2" w:rsidRDefault="003F6CD2" w:rsidP="007F488A">
            <w:pPr>
              <w:spacing w:after="0" w:line="276" w:lineRule="auto"/>
              <w:jc w:val="right"/>
              <w:rPr>
                <w:rFonts w:cs="Arial"/>
                <w:sz w:val="16"/>
                <w:szCs w:val="16"/>
              </w:rPr>
            </w:pPr>
            <w:r w:rsidRPr="002714D2">
              <w:rPr>
                <w:rFonts w:cs="Arial"/>
                <w:sz w:val="16"/>
                <w:szCs w:val="16"/>
              </w:rPr>
              <w:t>2.</w:t>
            </w:r>
            <w:r w:rsidRPr="002714D2">
              <w:rPr>
                <w:rFonts w:cs="Arial"/>
                <w:sz w:val="16"/>
                <w:szCs w:val="16"/>
                <w:lang w:val="en-US"/>
              </w:rPr>
              <w:t>72</w:t>
            </w:r>
            <w:r w:rsidRPr="002714D2">
              <w:rPr>
                <w:rFonts w:cs="Arial"/>
                <w:sz w:val="16"/>
                <w:szCs w:val="16"/>
              </w:rPr>
              <w:t xml:space="preserve">8 </w:t>
            </w:r>
          </w:p>
        </w:tc>
      </w:tr>
      <w:tr w:rsidR="003F6CD2" w:rsidRPr="002714D2" w14:paraId="3DAE00A9" w14:textId="77777777" w:rsidTr="007F488A">
        <w:trPr>
          <w:cantSplit/>
          <w:jc w:val="center"/>
        </w:trPr>
        <w:tc>
          <w:tcPr>
            <w:tcW w:w="2407" w:type="dxa"/>
          </w:tcPr>
          <w:p w14:paraId="3391B984" w14:textId="7E6E1145" w:rsidR="003F6CD2" w:rsidRPr="002714D2" w:rsidRDefault="003F6CD2" w:rsidP="007F488A">
            <w:pPr>
              <w:spacing w:after="0" w:line="276" w:lineRule="auto"/>
              <w:jc w:val="left"/>
              <w:rPr>
                <w:rFonts w:cs="Arial"/>
                <w:sz w:val="16"/>
                <w:szCs w:val="16"/>
              </w:rPr>
            </w:pPr>
            <w:r w:rsidRPr="002714D2">
              <w:rPr>
                <w:rFonts w:cs="Arial"/>
                <w:color w:val="000000"/>
                <w:sz w:val="16"/>
                <w:szCs w:val="16"/>
              </w:rPr>
              <w:t>151</w:t>
            </w:r>
          </w:p>
        </w:tc>
        <w:tc>
          <w:tcPr>
            <w:tcW w:w="2879" w:type="dxa"/>
          </w:tcPr>
          <w:p w14:paraId="7886C927" w14:textId="324FD4BE" w:rsidR="003F6CD2" w:rsidRPr="002714D2" w:rsidRDefault="003F6CD2" w:rsidP="007F488A">
            <w:pPr>
              <w:spacing w:after="0" w:line="276" w:lineRule="auto"/>
              <w:jc w:val="left"/>
              <w:rPr>
                <w:rFonts w:cs="Arial"/>
                <w:sz w:val="16"/>
                <w:szCs w:val="16"/>
              </w:rPr>
            </w:pPr>
            <w:r w:rsidRPr="002714D2">
              <w:rPr>
                <w:rFonts w:cs="Arial"/>
                <w:sz w:val="16"/>
                <w:szCs w:val="16"/>
              </w:rPr>
              <w:t>Τόκοι</w:t>
            </w:r>
          </w:p>
        </w:tc>
        <w:tc>
          <w:tcPr>
            <w:tcW w:w="1604" w:type="dxa"/>
          </w:tcPr>
          <w:p w14:paraId="65DFD2F4" w14:textId="35B98C46" w:rsidR="003F6CD2" w:rsidRPr="002714D2" w:rsidRDefault="003F6CD2" w:rsidP="007F488A">
            <w:pPr>
              <w:spacing w:after="0" w:line="276" w:lineRule="auto"/>
              <w:jc w:val="right"/>
              <w:rPr>
                <w:rFonts w:cs="Arial"/>
                <w:sz w:val="16"/>
                <w:szCs w:val="16"/>
              </w:rPr>
            </w:pPr>
            <w:r w:rsidRPr="002714D2">
              <w:rPr>
                <w:rFonts w:cs="Arial"/>
                <w:sz w:val="16"/>
                <w:szCs w:val="16"/>
              </w:rPr>
              <w:t>81</w:t>
            </w:r>
          </w:p>
        </w:tc>
        <w:tc>
          <w:tcPr>
            <w:tcW w:w="1615" w:type="dxa"/>
          </w:tcPr>
          <w:p w14:paraId="56ACC929" w14:textId="1BD5FF96" w:rsidR="003F6CD2" w:rsidRPr="002714D2" w:rsidRDefault="003F6CD2" w:rsidP="007F488A">
            <w:pPr>
              <w:spacing w:after="0" w:line="276" w:lineRule="auto"/>
              <w:jc w:val="right"/>
              <w:rPr>
                <w:rFonts w:cs="Arial"/>
                <w:sz w:val="16"/>
                <w:szCs w:val="16"/>
              </w:rPr>
            </w:pPr>
            <w:r w:rsidRPr="002714D2">
              <w:rPr>
                <w:rFonts w:cs="Arial"/>
                <w:sz w:val="16"/>
                <w:szCs w:val="16"/>
              </w:rPr>
              <w:t>81</w:t>
            </w:r>
          </w:p>
        </w:tc>
      </w:tr>
      <w:tr w:rsidR="003F6CD2" w:rsidRPr="002714D2" w14:paraId="28C5B4EF" w14:textId="77777777" w:rsidTr="007F488A">
        <w:trPr>
          <w:cantSplit/>
          <w:jc w:val="center"/>
        </w:trPr>
        <w:tc>
          <w:tcPr>
            <w:tcW w:w="2407" w:type="dxa"/>
          </w:tcPr>
          <w:p w14:paraId="765458AF" w14:textId="13A73CFC" w:rsidR="003F6CD2" w:rsidRPr="002714D2" w:rsidRDefault="003F6CD2" w:rsidP="00FD5A58">
            <w:pPr>
              <w:spacing w:after="0" w:line="276" w:lineRule="auto"/>
              <w:jc w:val="left"/>
              <w:rPr>
                <w:rFonts w:cs="Arial"/>
                <w:sz w:val="16"/>
                <w:szCs w:val="16"/>
              </w:rPr>
            </w:pPr>
            <w:r w:rsidRPr="002714D2">
              <w:rPr>
                <w:rFonts w:cs="Arial"/>
                <w:color w:val="000000"/>
                <w:sz w:val="16"/>
                <w:szCs w:val="16"/>
              </w:rPr>
              <w:t>12</w:t>
            </w:r>
            <w:r w:rsidR="005C7223">
              <w:rPr>
                <w:rFonts w:cs="Arial"/>
                <w:color w:val="000000"/>
                <w:sz w:val="16"/>
                <w:szCs w:val="16"/>
              </w:rPr>
              <w:t xml:space="preserve"> </w:t>
            </w:r>
            <w:r w:rsidRPr="002714D2">
              <w:rPr>
                <w:rFonts w:cs="Arial"/>
                <w:color w:val="000000"/>
                <w:sz w:val="16"/>
                <w:szCs w:val="16"/>
              </w:rPr>
              <w:t>+</w:t>
            </w:r>
            <w:r w:rsidR="005C7223">
              <w:rPr>
                <w:rFonts w:cs="Arial"/>
                <w:color w:val="000000"/>
                <w:sz w:val="16"/>
                <w:szCs w:val="16"/>
              </w:rPr>
              <w:t xml:space="preserve"> </w:t>
            </w:r>
            <w:r w:rsidRPr="002714D2">
              <w:rPr>
                <w:rFonts w:cs="Arial"/>
                <w:color w:val="000000"/>
                <w:sz w:val="16"/>
                <w:szCs w:val="16"/>
              </w:rPr>
              <w:t xml:space="preserve">13 (εκτός 13101 </w:t>
            </w:r>
            <w:r w:rsidR="00FD5A58">
              <w:rPr>
                <w:rFonts w:cs="Arial"/>
                <w:color w:val="000000"/>
                <w:sz w:val="16"/>
                <w:szCs w:val="16"/>
              </w:rPr>
              <w:t>και</w:t>
            </w:r>
            <w:r w:rsidRPr="002714D2">
              <w:rPr>
                <w:rFonts w:cs="Arial"/>
                <w:color w:val="000000"/>
                <w:sz w:val="16"/>
                <w:szCs w:val="16"/>
              </w:rPr>
              <w:t xml:space="preserve"> 13401)</w:t>
            </w:r>
            <w:r w:rsidR="00FD5A58">
              <w:rPr>
                <w:rFonts w:cs="Arial"/>
                <w:color w:val="000000"/>
                <w:sz w:val="16"/>
                <w:szCs w:val="16"/>
              </w:rPr>
              <w:t xml:space="preserve"> </w:t>
            </w:r>
            <w:r w:rsidRPr="002714D2">
              <w:rPr>
                <w:rFonts w:cs="Arial"/>
                <w:color w:val="000000"/>
                <w:sz w:val="16"/>
                <w:szCs w:val="16"/>
              </w:rPr>
              <w:t>+</w:t>
            </w:r>
            <w:r w:rsidR="005C7223">
              <w:rPr>
                <w:rFonts w:cs="Arial"/>
                <w:color w:val="000000"/>
                <w:sz w:val="16"/>
                <w:szCs w:val="16"/>
              </w:rPr>
              <w:t xml:space="preserve"> </w:t>
            </w:r>
            <w:r w:rsidRPr="002714D2">
              <w:rPr>
                <w:rFonts w:cs="Arial"/>
                <w:color w:val="000000"/>
                <w:sz w:val="16"/>
                <w:szCs w:val="16"/>
              </w:rPr>
              <w:t>14</w:t>
            </w:r>
            <w:r w:rsidR="005C7223">
              <w:rPr>
                <w:rFonts w:cs="Arial"/>
                <w:color w:val="000000"/>
                <w:sz w:val="16"/>
                <w:szCs w:val="16"/>
              </w:rPr>
              <w:t xml:space="preserve"> </w:t>
            </w:r>
            <w:r w:rsidRPr="002714D2">
              <w:rPr>
                <w:rFonts w:cs="Arial"/>
                <w:color w:val="000000"/>
                <w:sz w:val="16"/>
                <w:szCs w:val="16"/>
              </w:rPr>
              <w:t>+</w:t>
            </w:r>
            <w:r w:rsidR="005C7223">
              <w:rPr>
                <w:rFonts w:cs="Arial"/>
                <w:color w:val="000000"/>
                <w:sz w:val="16"/>
                <w:szCs w:val="16"/>
              </w:rPr>
              <w:t xml:space="preserve"> </w:t>
            </w:r>
            <w:r w:rsidRPr="002714D2">
              <w:rPr>
                <w:rFonts w:cs="Arial"/>
                <w:color w:val="000000"/>
                <w:sz w:val="16"/>
                <w:szCs w:val="16"/>
              </w:rPr>
              <w:t>15 (εκτός 151)</w:t>
            </w:r>
          </w:p>
        </w:tc>
        <w:tc>
          <w:tcPr>
            <w:tcW w:w="2879" w:type="dxa"/>
          </w:tcPr>
          <w:p w14:paraId="1CDB3381" w14:textId="3606BC1D" w:rsidR="003F6CD2" w:rsidRPr="002714D2" w:rsidRDefault="003F6CD2" w:rsidP="007F488A">
            <w:pPr>
              <w:spacing w:after="0" w:line="276" w:lineRule="auto"/>
              <w:jc w:val="left"/>
              <w:rPr>
                <w:rFonts w:cs="Arial"/>
                <w:sz w:val="16"/>
                <w:szCs w:val="16"/>
              </w:rPr>
            </w:pPr>
            <w:r w:rsidRPr="002714D2">
              <w:rPr>
                <w:rFonts w:cs="Arial"/>
                <w:sz w:val="16"/>
                <w:szCs w:val="16"/>
              </w:rPr>
              <w:t>Λοιπά έσοδα</w:t>
            </w:r>
          </w:p>
        </w:tc>
        <w:tc>
          <w:tcPr>
            <w:tcW w:w="1604" w:type="dxa"/>
          </w:tcPr>
          <w:p w14:paraId="20538E24" w14:textId="28B51ECD" w:rsidR="003F6CD2" w:rsidRPr="002714D2" w:rsidRDefault="003F6CD2" w:rsidP="007F488A">
            <w:pPr>
              <w:spacing w:after="0" w:line="276" w:lineRule="auto"/>
              <w:jc w:val="right"/>
              <w:rPr>
                <w:rFonts w:cs="Arial"/>
                <w:sz w:val="16"/>
                <w:szCs w:val="16"/>
              </w:rPr>
            </w:pPr>
            <w:r w:rsidRPr="002714D2">
              <w:rPr>
                <w:rFonts w:cs="Arial"/>
                <w:sz w:val="16"/>
                <w:szCs w:val="16"/>
              </w:rPr>
              <w:t>1.166</w:t>
            </w:r>
          </w:p>
        </w:tc>
        <w:tc>
          <w:tcPr>
            <w:tcW w:w="1615" w:type="dxa"/>
          </w:tcPr>
          <w:p w14:paraId="4080D059" w14:textId="00F6469C" w:rsidR="003F6CD2" w:rsidRPr="002714D2" w:rsidRDefault="003F6CD2" w:rsidP="007F488A">
            <w:pPr>
              <w:spacing w:after="0" w:line="276" w:lineRule="auto"/>
              <w:jc w:val="right"/>
              <w:rPr>
                <w:rFonts w:cs="Arial"/>
                <w:sz w:val="16"/>
                <w:szCs w:val="16"/>
              </w:rPr>
            </w:pPr>
            <w:r w:rsidRPr="002714D2">
              <w:rPr>
                <w:rFonts w:cs="Arial"/>
                <w:sz w:val="16"/>
                <w:szCs w:val="16"/>
              </w:rPr>
              <w:t xml:space="preserve">1.192 </w:t>
            </w:r>
          </w:p>
        </w:tc>
      </w:tr>
      <w:tr w:rsidR="00621089" w:rsidRPr="002714D2" w14:paraId="4CFA61EB" w14:textId="77777777" w:rsidTr="007F488A">
        <w:trPr>
          <w:cantSplit/>
          <w:trHeight w:val="227"/>
          <w:jc w:val="center"/>
        </w:trPr>
        <w:tc>
          <w:tcPr>
            <w:tcW w:w="5286" w:type="dxa"/>
            <w:gridSpan w:val="2"/>
            <w:shd w:val="clear" w:color="auto" w:fill="D5DCE4"/>
          </w:tcPr>
          <w:p w14:paraId="6602C664" w14:textId="7179D066" w:rsidR="00621089" w:rsidRPr="002714D2" w:rsidRDefault="00621089" w:rsidP="007F488A">
            <w:pPr>
              <w:spacing w:after="0" w:line="276" w:lineRule="auto"/>
              <w:jc w:val="left"/>
              <w:rPr>
                <w:rFonts w:cs="Arial"/>
                <w:sz w:val="16"/>
                <w:szCs w:val="16"/>
              </w:rPr>
            </w:pPr>
            <w:r w:rsidRPr="002714D2">
              <w:rPr>
                <w:rFonts w:cs="Arial"/>
                <w:b/>
                <w:bCs/>
                <w:color w:val="000000"/>
                <w:sz w:val="16"/>
                <w:szCs w:val="16"/>
              </w:rPr>
              <w:t>Έξοδα</w:t>
            </w:r>
          </w:p>
        </w:tc>
        <w:tc>
          <w:tcPr>
            <w:tcW w:w="1604" w:type="dxa"/>
            <w:shd w:val="clear" w:color="auto" w:fill="D5DCE4"/>
          </w:tcPr>
          <w:p w14:paraId="1381C6B8" w14:textId="1E81655E" w:rsidR="00621089" w:rsidRPr="002714D2" w:rsidRDefault="00621089" w:rsidP="007F488A">
            <w:pPr>
              <w:spacing w:after="0" w:line="276" w:lineRule="auto"/>
              <w:jc w:val="right"/>
              <w:rPr>
                <w:rFonts w:cs="Arial"/>
                <w:sz w:val="16"/>
                <w:szCs w:val="16"/>
              </w:rPr>
            </w:pPr>
            <w:r w:rsidRPr="002714D2">
              <w:rPr>
                <w:rFonts w:cs="Arial"/>
                <w:b/>
                <w:bCs/>
                <w:color w:val="000000"/>
                <w:sz w:val="16"/>
                <w:szCs w:val="16"/>
              </w:rPr>
              <w:t xml:space="preserve">9.552 </w:t>
            </w:r>
          </w:p>
        </w:tc>
        <w:tc>
          <w:tcPr>
            <w:tcW w:w="1615" w:type="dxa"/>
            <w:shd w:val="clear" w:color="auto" w:fill="D5DCE4"/>
          </w:tcPr>
          <w:p w14:paraId="74B132E5" w14:textId="48B47F1E" w:rsidR="00621089" w:rsidRPr="002714D2" w:rsidRDefault="00621089" w:rsidP="007F488A">
            <w:pPr>
              <w:spacing w:after="0" w:line="276" w:lineRule="auto"/>
              <w:jc w:val="right"/>
              <w:rPr>
                <w:rFonts w:cs="Arial"/>
                <w:sz w:val="16"/>
                <w:szCs w:val="16"/>
              </w:rPr>
            </w:pPr>
            <w:r w:rsidRPr="002714D2">
              <w:rPr>
                <w:rFonts w:cs="Arial"/>
                <w:b/>
                <w:bCs/>
                <w:color w:val="000000"/>
                <w:sz w:val="16"/>
                <w:szCs w:val="16"/>
              </w:rPr>
              <w:t xml:space="preserve">9.779 </w:t>
            </w:r>
          </w:p>
        </w:tc>
      </w:tr>
      <w:tr w:rsidR="003F6CD2" w:rsidRPr="002714D2" w14:paraId="409DB06E" w14:textId="77777777" w:rsidTr="007F488A">
        <w:trPr>
          <w:cantSplit/>
          <w:jc w:val="center"/>
        </w:trPr>
        <w:tc>
          <w:tcPr>
            <w:tcW w:w="2407" w:type="dxa"/>
          </w:tcPr>
          <w:p w14:paraId="5E29771B" w14:textId="48631D5E" w:rsidR="003F6CD2" w:rsidRPr="002714D2" w:rsidRDefault="003F6CD2" w:rsidP="007F488A">
            <w:pPr>
              <w:spacing w:after="0" w:line="276" w:lineRule="auto"/>
              <w:jc w:val="left"/>
              <w:rPr>
                <w:rFonts w:cs="Arial"/>
                <w:sz w:val="16"/>
                <w:szCs w:val="16"/>
              </w:rPr>
            </w:pPr>
            <w:r w:rsidRPr="002714D2">
              <w:rPr>
                <w:rFonts w:cs="Arial"/>
                <w:color w:val="000000"/>
                <w:sz w:val="16"/>
                <w:szCs w:val="16"/>
              </w:rPr>
              <w:t>21</w:t>
            </w:r>
          </w:p>
        </w:tc>
        <w:tc>
          <w:tcPr>
            <w:tcW w:w="2879" w:type="dxa"/>
          </w:tcPr>
          <w:p w14:paraId="77CB3ED7" w14:textId="05982D21" w:rsidR="003F6CD2" w:rsidRPr="002714D2" w:rsidRDefault="003F6CD2" w:rsidP="007F488A">
            <w:pPr>
              <w:spacing w:after="0" w:line="276" w:lineRule="auto"/>
              <w:jc w:val="left"/>
              <w:rPr>
                <w:rFonts w:cs="Arial"/>
                <w:sz w:val="16"/>
                <w:szCs w:val="16"/>
              </w:rPr>
            </w:pPr>
            <w:r w:rsidRPr="002714D2">
              <w:rPr>
                <w:rFonts w:cs="Arial"/>
                <w:sz w:val="16"/>
                <w:szCs w:val="16"/>
              </w:rPr>
              <w:t>Παροχές σε εργαζόμενους</w:t>
            </w:r>
          </w:p>
        </w:tc>
        <w:tc>
          <w:tcPr>
            <w:tcW w:w="1604" w:type="dxa"/>
          </w:tcPr>
          <w:p w14:paraId="4B36BDDC" w14:textId="6D1C0FF8" w:rsidR="003F6CD2" w:rsidRPr="002714D2" w:rsidRDefault="003F6CD2" w:rsidP="007F488A">
            <w:pPr>
              <w:spacing w:after="0" w:line="276" w:lineRule="auto"/>
              <w:jc w:val="right"/>
              <w:rPr>
                <w:rFonts w:cs="Arial"/>
                <w:sz w:val="16"/>
                <w:szCs w:val="16"/>
              </w:rPr>
            </w:pPr>
            <w:r w:rsidRPr="002714D2">
              <w:rPr>
                <w:rFonts w:cs="Arial"/>
                <w:sz w:val="16"/>
                <w:szCs w:val="16"/>
              </w:rPr>
              <w:t xml:space="preserve">3.124 </w:t>
            </w:r>
          </w:p>
        </w:tc>
        <w:tc>
          <w:tcPr>
            <w:tcW w:w="1615" w:type="dxa"/>
          </w:tcPr>
          <w:p w14:paraId="0E1E6F3A" w14:textId="1EC113A6" w:rsidR="003F6CD2" w:rsidRPr="002714D2" w:rsidRDefault="003F6CD2" w:rsidP="007F488A">
            <w:pPr>
              <w:spacing w:after="0" w:line="276" w:lineRule="auto"/>
              <w:jc w:val="right"/>
              <w:rPr>
                <w:rFonts w:cs="Arial"/>
                <w:sz w:val="16"/>
                <w:szCs w:val="16"/>
              </w:rPr>
            </w:pPr>
            <w:r w:rsidRPr="002714D2">
              <w:rPr>
                <w:rFonts w:cs="Arial"/>
                <w:sz w:val="16"/>
                <w:szCs w:val="16"/>
              </w:rPr>
              <w:t xml:space="preserve">3.216 </w:t>
            </w:r>
          </w:p>
        </w:tc>
      </w:tr>
      <w:tr w:rsidR="003F6CD2" w:rsidRPr="002714D2" w14:paraId="113CAE4D" w14:textId="77777777" w:rsidTr="007F488A">
        <w:trPr>
          <w:cantSplit/>
          <w:jc w:val="center"/>
        </w:trPr>
        <w:tc>
          <w:tcPr>
            <w:tcW w:w="2407" w:type="dxa"/>
          </w:tcPr>
          <w:p w14:paraId="1160617D" w14:textId="1D6A71B9" w:rsidR="003F6CD2" w:rsidRPr="002714D2" w:rsidRDefault="003F6CD2" w:rsidP="007F488A">
            <w:pPr>
              <w:spacing w:after="0" w:line="276" w:lineRule="auto"/>
              <w:jc w:val="left"/>
              <w:rPr>
                <w:rFonts w:cs="Arial"/>
                <w:sz w:val="16"/>
                <w:szCs w:val="16"/>
              </w:rPr>
            </w:pPr>
            <w:r w:rsidRPr="002714D2">
              <w:rPr>
                <w:rFonts w:cs="Arial"/>
                <w:sz w:val="16"/>
                <w:szCs w:val="16"/>
              </w:rPr>
              <w:t>22</w:t>
            </w:r>
          </w:p>
        </w:tc>
        <w:tc>
          <w:tcPr>
            <w:tcW w:w="2879" w:type="dxa"/>
          </w:tcPr>
          <w:p w14:paraId="3988C344" w14:textId="079D516A" w:rsidR="003F6CD2" w:rsidRPr="002714D2" w:rsidRDefault="003F6CD2" w:rsidP="007F488A">
            <w:pPr>
              <w:spacing w:after="0" w:line="276" w:lineRule="auto"/>
              <w:jc w:val="left"/>
              <w:rPr>
                <w:rFonts w:cs="Arial"/>
                <w:sz w:val="16"/>
                <w:szCs w:val="16"/>
              </w:rPr>
            </w:pPr>
            <w:r w:rsidRPr="002714D2">
              <w:rPr>
                <w:rFonts w:cs="Arial"/>
                <w:sz w:val="16"/>
                <w:szCs w:val="16"/>
              </w:rPr>
              <w:t xml:space="preserve">Κοινωνικές </w:t>
            </w:r>
            <w:r w:rsidR="005C7223">
              <w:rPr>
                <w:rFonts w:cs="Arial"/>
                <w:sz w:val="16"/>
                <w:szCs w:val="16"/>
              </w:rPr>
              <w:t>π</w:t>
            </w:r>
            <w:r w:rsidRPr="002714D2">
              <w:rPr>
                <w:rFonts w:cs="Arial"/>
                <w:sz w:val="16"/>
                <w:szCs w:val="16"/>
              </w:rPr>
              <w:t>αροχές</w:t>
            </w:r>
          </w:p>
        </w:tc>
        <w:tc>
          <w:tcPr>
            <w:tcW w:w="1604" w:type="dxa"/>
          </w:tcPr>
          <w:p w14:paraId="4EB7CCC9" w14:textId="7CBD36FF" w:rsidR="003F6CD2" w:rsidRPr="002714D2" w:rsidRDefault="003F6CD2" w:rsidP="007F488A">
            <w:pPr>
              <w:spacing w:after="0" w:line="276" w:lineRule="auto"/>
              <w:jc w:val="right"/>
              <w:rPr>
                <w:rFonts w:cs="Arial"/>
                <w:sz w:val="16"/>
                <w:szCs w:val="16"/>
              </w:rPr>
            </w:pPr>
            <w:r w:rsidRPr="002714D2">
              <w:rPr>
                <w:rFonts w:cs="Arial"/>
                <w:sz w:val="16"/>
                <w:szCs w:val="16"/>
              </w:rPr>
              <w:t xml:space="preserve">230 </w:t>
            </w:r>
          </w:p>
        </w:tc>
        <w:tc>
          <w:tcPr>
            <w:tcW w:w="1615" w:type="dxa"/>
          </w:tcPr>
          <w:p w14:paraId="7C3826FD" w14:textId="037DDF2B" w:rsidR="003F6CD2" w:rsidRPr="002714D2" w:rsidRDefault="003F6CD2" w:rsidP="007F488A">
            <w:pPr>
              <w:spacing w:after="0" w:line="276" w:lineRule="auto"/>
              <w:jc w:val="right"/>
              <w:rPr>
                <w:rFonts w:cs="Arial"/>
                <w:sz w:val="16"/>
                <w:szCs w:val="16"/>
              </w:rPr>
            </w:pPr>
            <w:r w:rsidRPr="002714D2">
              <w:rPr>
                <w:rFonts w:cs="Arial"/>
                <w:sz w:val="16"/>
                <w:szCs w:val="16"/>
              </w:rPr>
              <w:t xml:space="preserve">260 </w:t>
            </w:r>
          </w:p>
        </w:tc>
      </w:tr>
      <w:tr w:rsidR="003F6CD2" w:rsidRPr="002714D2" w14:paraId="6B4A4A79" w14:textId="77777777" w:rsidTr="007F488A">
        <w:trPr>
          <w:cantSplit/>
          <w:jc w:val="center"/>
        </w:trPr>
        <w:tc>
          <w:tcPr>
            <w:tcW w:w="2407" w:type="dxa"/>
          </w:tcPr>
          <w:p w14:paraId="788432AB" w14:textId="17998021" w:rsidR="003F6CD2" w:rsidRPr="002714D2" w:rsidRDefault="003F6CD2" w:rsidP="007F488A">
            <w:pPr>
              <w:spacing w:after="0" w:line="276" w:lineRule="auto"/>
              <w:jc w:val="left"/>
              <w:rPr>
                <w:rFonts w:cs="Arial"/>
                <w:sz w:val="16"/>
                <w:szCs w:val="16"/>
              </w:rPr>
            </w:pPr>
            <w:r w:rsidRPr="002714D2">
              <w:rPr>
                <w:rFonts w:cs="Arial"/>
                <w:sz w:val="16"/>
                <w:szCs w:val="16"/>
              </w:rPr>
              <w:t>23</w:t>
            </w:r>
          </w:p>
        </w:tc>
        <w:tc>
          <w:tcPr>
            <w:tcW w:w="2879" w:type="dxa"/>
          </w:tcPr>
          <w:p w14:paraId="0298B38D" w14:textId="4056F7C0" w:rsidR="003F6CD2" w:rsidRPr="002714D2" w:rsidRDefault="003F6CD2" w:rsidP="007F488A">
            <w:pPr>
              <w:spacing w:after="0" w:line="276" w:lineRule="auto"/>
              <w:jc w:val="left"/>
              <w:rPr>
                <w:rFonts w:cs="Arial"/>
                <w:sz w:val="16"/>
                <w:szCs w:val="16"/>
              </w:rPr>
            </w:pPr>
            <w:r w:rsidRPr="002714D2">
              <w:rPr>
                <w:rFonts w:cs="Arial"/>
                <w:sz w:val="16"/>
                <w:szCs w:val="16"/>
              </w:rPr>
              <w:t>Μεταβιβάσεις</w:t>
            </w:r>
          </w:p>
        </w:tc>
        <w:tc>
          <w:tcPr>
            <w:tcW w:w="1604" w:type="dxa"/>
          </w:tcPr>
          <w:p w14:paraId="372CCB37" w14:textId="2353F79F" w:rsidR="003F6CD2" w:rsidRPr="002714D2" w:rsidRDefault="003F6CD2" w:rsidP="007F488A">
            <w:pPr>
              <w:spacing w:after="0" w:line="276" w:lineRule="auto"/>
              <w:jc w:val="right"/>
              <w:rPr>
                <w:rFonts w:cs="Arial"/>
                <w:sz w:val="16"/>
                <w:szCs w:val="16"/>
              </w:rPr>
            </w:pPr>
            <w:r w:rsidRPr="002714D2">
              <w:rPr>
                <w:rFonts w:cs="Arial"/>
                <w:sz w:val="16"/>
                <w:szCs w:val="16"/>
              </w:rPr>
              <w:t>242</w:t>
            </w:r>
          </w:p>
        </w:tc>
        <w:tc>
          <w:tcPr>
            <w:tcW w:w="1615" w:type="dxa"/>
          </w:tcPr>
          <w:p w14:paraId="4C7CD027" w14:textId="3BE9E5BF" w:rsidR="003F6CD2" w:rsidRPr="002714D2" w:rsidRDefault="003F6CD2" w:rsidP="007F488A">
            <w:pPr>
              <w:spacing w:after="0" w:line="276" w:lineRule="auto"/>
              <w:jc w:val="right"/>
              <w:rPr>
                <w:rFonts w:cs="Arial"/>
                <w:sz w:val="16"/>
                <w:szCs w:val="16"/>
              </w:rPr>
            </w:pPr>
            <w:r w:rsidRPr="002714D2">
              <w:rPr>
                <w:rFonts w:cs="Arial"/>
                <w:sz w:val="16"/>
                <w:szCs w:val="16"/>
              </w:rPr>
              <w:t>262</w:t>
            </w:r>
          </w:p>
        </w:tc>
      </w:tr>
      <w:tr w:rsidR="003F6CD2" w:rsidRPr="002714D2" w14:paraId="79F81644" w14:textId="77777777" w:rsidTr="007F488A">
        <w:trPr>
          <w:cantSplit/>
          <w:jc w:val="center"/>
        </w:trPr>
        <w:tc>
          <w:tcPr>
            <w:tcW w:w="2407" w:type="dxa"/>
          </w:tcPr>
          <w:p w14:paraId="1069B82A" w14:textId="76D5351F" w:rsidR="003F6CD2" w:rsidRPr="002714D2" w:rsidRDefault="003F6CD2" w:rsidP="007F488A">
            <w:pPr>
              <w:spacing w:after="0" w:line="276" w:lineRule="auto"/>
              <w:jc w:val="left"/>
              <w:rPr>
                <w:rFonts w:cs="Arial"/>
                <w:sz w:val="16"/>
                <w:szCs w:val="16"/>
              </w:rPr>
            </w:pPr>
            <w:r w:rsidRPr="002714D2">
              <w:rPr>
                <w:rFonts w:cs="Arial"/>
                <w:sz w:val="16"/>
                <w:szCs w:val="16"/>
              </w:rPr>
              <w:t>26</w:t>
            </w:r>
          </w:p>
        </w:tc>
        <w:tc>
          <w:tcPr>
            <w:tcW w:w="2879" w:type="dxa"/>
          </w:tcPr>
          <w:p w14:paraId="42CADA08" w14:textId="63EF06B2" w:rsidR="003F6CD2" w:rsidRPr="002714D2" w:rsidRDefault="003F6CD2" w:rsidP="007F488A">
            <w:pPr>
              <w:spacing w:after="0" w:line="276" w:lineRule="auto"/>
              <w:jc w:val="left"/>
              <w:rPr>
                <w:rFonts w:cs="Arial"/>
                <w:sz w:val="16"/>
                <w:szCs w:val="16"/>
              </w:rPr>
            </w:pPr>
            <w:r w:rsidRPr="002714D2">
              <w:rPr>
                <w:rFonts w:cs="Arial"/>
                <w:sz w:val="16"/>
                <w:szCs w:val="16"/>
              </w:rPr>
              <w:t>Τόκοι</w:t>
            </w:r>
          </w:p>
        </w:tc>
        <w:tc>
          <w:tcPr>
            <w:tcW w:w="1604" w:type="dxa"/>
          </w:tcPr>
          <w:p w14:paraId="7B1B3646" w14:textId="5DA652F8" w:rsidR="003F6CD2" w:rsidRPr="002714D2" w:rsidRDefault="003F6CD2" w:rsidP="007F488A">
            <w:pPr>
              <w:spacing w:after="0" w:line="276" w:lineRule="auto"/>
              <w:jc w:val="right"/>
              <w:rPr>
                <w:rFonts w:cs="Arial"/>
                <w:sz w:val="16"/>
                <w:szCs w:val="16"/>
              </w:rPr>
            </w:pPr>
            <w:r w:rsidRPr="002714D2">
              <w:rPr>
                <w:rFonts w:cs="Arial"/>
                <w:sz w:val="16"/>
                <w:szCs w:val="16"/>
              </w:rPr>
              <w:t xml:space="preserve">55 </w:t>
            </w:r>
          </w:p>
        </w:tc>
        <w:tc>
          <w:tcPr>
            <w:tcW w:w="1615" w:type="dxa"/>
          </w:tcPr>
          <w:p w14:paraId="5DFE25AC" w14:textId="639773D2" w:rsidR="003F6CD2" w:rsidRPr="002714D2" w:rsidRDefault="003F6CD2" w:rsidP="007F488A">
            <w:pPr>
              <w:spacing w:after="0" w:line="276" w:lineRule="auto"/>
              <w:jc w:val="right"/>
              <w:rPr>
                <w:rFonts w:cs="Arial"/>
                <w:sz w:val="16"/>
                <w:szCs w:val="16"/>
              </w:rPr>
            </w:pPr>
            <w:r w:rsidRPr="002714D2">
              <w:rPr>
                <w:rFonts w:cs="Arial"/>
                <w:sz w:val="16"/>
                <w:szCs w:val="16"/>
              </w:rPr>
              <w:t>50</w:t>
            </w:r>
          </w:p>
        </w:tc>
      </w:tr>
      <w:tr w:rsidR="003F6CD2" w:rsidRPr="002714D2" w14:paraId="4EAD24CF" w14:textId="77777777" w:rsidTr="007F488A">
        <w:trPr>
          <w:cantSplit/>
          <w:jc w:val="center"/>
        </w:trPr>
        <w:tc>
          <w:tcPr>
            <w:tcW w:w="2407" w:type="dxa"/>
          </w:tcPr>
          <w:p w14:paraId="3EF69AC8" w14:textId="6C63DCDF" w:rsidR="003F6CD2" w:rsidRPr="002714D2" w:rsidRDefault="003F6CD2" w:rsidP="007F488A">
            <w:pPr>
              <w:spacing w:after="0" w:line="276" w:lineRule="auto"/>
              <w:jc w:val="left"/>
              <w:rPr>
                <w:rFonts w:cs="Arial"/>
                <w:sz w:val="16"/>
                <w:szCs w:val="16"/>
              </w:rPr>
            </w:pPr>
            <w:r w:rsidRPr="002714D2">
              <w:rPr>
                <w:rFonts w:cs="Arial"/>
                <w:sz w:val="16"/>
                <w:szCs w:val="16"/>
              </w:rPr>
              <w:t>31 (αγορές μείον πωλήσεις)</w:t>
            </w:r>
          </w:p>
        </w:tc>
        <w:tc>
          <w:tcPr>
            <w:tcW w:w="2879" w:type="dxa"/>
          </w:tcPr>
          <w:p w14:paraId="159CC28D" w14:textId="20538573" w:rsidR="003F6CD2" w:rsidRPr="002714D2" w:rsidRDefault="003F6CD2" w:rsidP="007F488A">
            <w:pPr>
              <w:spacing w:after="0" w:line="276" w:lineRule="auto"/>
              <w:jc w:val="left"/>
              <w:rPr>
                <w:rFonts w:cs="Arial"/>
                <w:sz w:val="16"/>
                <w:szCs w:val="16"/>
              </w:rPr>
            </w:pPr>
            <w:r w:rsidRPr="002714D2">
              <w:rPr>
                <w:rFonts w:cs="Arial"/>
                <w:sz w:val="16"/>
                <w:szCs w:val="16"/>
              </w:rPr>
              <w:t>Επενδυτικές δαπάνες</w:t>
            </w:r>
          </w:p>
        </w:tc>
        <w:tc>
          <w:tcPr>
            <w:tcW w:w="1604" w:type="dxa"/>
          </w:tcPr>
          <w:p w14:paraId="39E0512C" w14:textId="4A7D1DE0" w:rsidR="003F6CD2" w:rsidRPr="002714D2" w:rsidRDefault="003F6CD2" w:rsidP="007F488A">
            <w:pPr>
              <w:spacing w:after="0" w:line="276" w:lineRule="auto"/>
              <w:jc w:val="right"/>
              <w:rPr>
                <w:rFonts w:cs="Arial"/>
                <w:sz w:val="16"/>
                <w:szCs w:val="16"/>
              </w:rPr>
            </w:pPr>
            <w:r w:rsidRPr="002714D2">
              <w:rPr>
                <w:rFonts w:cs="Arial"/>
                <w:sz w:val="16"/>
                <w:szCs w:val="16"/>
              </w:rPr>
              <w:t>3.131</w:t>
            </w:r>
          </w:p>
        </w:tc>
        <w:tc>
          <w:tcPr>
            <w:tcW w:w="1615" w:type="dxa"/>
          </w:tcPr>
          <w:p w14:paraId="6D96D66E" w14:textId="64E1E948" w:rsidR="003F6CD2" w:rsidRPr="002714D2" w:rsidRDefault="003F6CD2" w:rsidP="007F488A">
            <w:pPr>
              <w:spacing w:after="0" w:line="276" w:lineRule="auto"/>
              <w:jc w:val="right"/>
              <w:rPr>
                <w:rFonts w:cs="Arial"/>
                <w:sz w:val="16"/>
                <w:szCs w:val="16"/>
              </w:rPr>
            </w:pPr>
            <w:r w:rsidRPr="002714D2">
              <w:rPr>
                <w:rFonts w:cs="Arial"/>
                <w:sz w:val="16"/>
                <w:szCs w:val="16"/>
              </w:rPr>
              <w:t>3.1</w:t>
            </w:r>
            <w:r w:rsidRPr="002714D2">
              <w:rPr>
                <w:rFonts w:cs="Arial"/>
                <w:sz w:val="16"/>
                <w:szCs w:val="16"/>
                <w:lang w:val="en-US"/>
              </w:rPr>
              <w:t>9</w:t>
            </w:r>
            <w:r w:rsidRPr="002714D2">
              <w:rPr>
                <w:rFonts w:cs="Arial"/>
                <w:sz w:val="16"/>
                <w:szCs w:val="16"/>
              </w:rPr>
              <w:t>1</w:t>
            </w:r>
          </w:p>
        </w:tc>
      </w:tr>
      <w:tr w:rsidR="003F6CD2" w:rsidRPr="002714D2" w14:paraId="65A55ECD" w14:textId="77777777" w:rsidTr="007F488A">
        <w:trPr>
          <w:cantSplit/>
          <w:jc w:val="center"/>
        </w:trPr>
        <w:tc>
          <w:tcPr>
            <w:tcW w:w="2407" w:type="dxa"/>
          </w:tcPr>
          <w:p w14:paraId="1152C5F6" w14:textId="77777777" w:rsidR="005C7223" w:rsidRDefault="003F6CD2" w:rsidP="007F488A">
            <w:pPr>
              <w:spacing w:after="0" w:line="276" w:lineRule="auto"/>
              <w:jc w:val="left"/>
              <w:rPr>
                <w:rFonts w:cs="Arial"/>
                <w:color w:val="000000"/>
                <w:sz w:val="16"/>
                <w:szCs w:val="16"/>
              </w:rPr>
            </w:pPr>
            <w:r w:rsidRPr="002714D2">
              <w:rPr>
                <w:rFonts w:cs="Arial"/>
                <w:color w:val="000000"/>
                <w:sz w:val="16"/>
                <w:szCs w:val="16"/>
              </w:rPr>
              <w:t>24</w:t>
            </w:r>
            <w:r w:rsidR="005C7223">
              <w:rPr>
                <w:rFonts w:cs="Arial"/>
                <w:color w:val="000000"/>
                <w:sz w:val="16"/>
                <w:szCs w:val="16"/>
              </w:rPr>
              <w:t xml:space="preserve"> </w:t>
            </w:r>
            <w:r w:rsidRPr="002714D2">
              <w:rPr>
                <w:rFonts w:cs="Arial"/>
                <w:color w:val="000000"/>
                <w:sz w:val="16"/>
                <w:szCs w:val="16"/>
              </w:rPr>
              <w:t>+</w:t>
            </w:r>
            <w:r w:rsidR="005C7223">
              <w:rPr>
                <w:rFonts w:cs="Arial"/>
                <w:color w:val="000000"/>
                <w:sz w:val="16"/>
                <w:szCs w:val="16"/>
              </w:rPr>
              <w:t xml:space="preserve"> </w:t>
            </w:r>
            <w:r w:rsidRPr="002714D2">
              <w:rPr>
                <w:rFonts w:cs="Arial"/>
                <w:color w:val="000000"/>
                <w:sz w:val="16"/>
                <w:szCs w:val="16"/>
              </w:rPr>
              <w:t>25</w:t>
            </w:r>
            <w:r w:rsidR="005C7223">
              <w:rPr>
                <w:rFonts w:cs="Arial"/>
                <w:color w:val="000000"/>
                <w:sz w:val="16"/>
                <w:szCs w:val="16"/>
              </w:rPr>
              <w:t xml:space="preserve"> </w:t>
            </w:r>
            <w:r w:rsidRPr="002714D2">
              <w:rPr>
                <w:rFonts w:cs="Arial"/>
                <w:color w:val="000000"/>
                <w:sz w:val="16"/>
                <w:szCs w:val="16"/>
              </w:rPr>
              <w:t>+</w:t>
            </w:r>
            <w:r w:rsidR="005C7223">
              <w:rPr>
                <w:rFonts w:cs="Arial"/>
                <w:color w:val="000000"/>
                <w:sz w:val="16"/>
                <w:szCs w:val="16"/>
              </w:rPr>
              <w:t xml:space="preserve"> </w:t>
            </w:r>
            <w:r w:rsidRPr="002714D2">
              <w:rPr>
                <w:rFonts w:cs="Arial"/>
                <w:color w:val="000000"/>
                <w:sz w:val="16"/>
                <w:szCs w:val="16"/>
              </w:rPr>
              <w:t>27</w:t>
            </w:r>
            <w:r w:rsidR="005C7223">
              <w:rPr>
                <w:rFonts w:cs="Arial"/>
                <w:color w:val="000000"/>
                <w:sz w:val="16"/>
                <w:szCs w:val="16"/>
              </w:rPr>
              <w:t xml:space="preserve"> </w:t>
            </w:r>
            <w:r w:rsidRPr="002714D2">
              <w:rPr>
                <w:rFonts w:cs="Arial"/>
                <w:color w:val="000000"/>
                <w:sz w:val="16"/>
                <w:szCs w:val="16"/>
              </w:rPr>
              <w:t>+</w:t>
            </w:r>
            <w:r w:rsidR="005C7223">
              <w:rPr>
                <w:rFonts w:cs="Arial"/>
                <w:color w:val="000000"/>
                <w:sz w:val="16"/>
                <w:szCs w:val="16"/>
              </w:rPr>
              <w:t xml:space="preserve"> </w:t>
            </w:r>
            <w:r w:rsidRPr="002714D2">
              <w:rPr>
                <w:rFonts w:cs="Arial"/>
                <w:color w:val="000000"/>
                <w:sz w:val="16"/>
                <w:szCs w:val="16"/>
              </w:rPr>
              <w:t>29</w:t>
            </w:r>
            <w:r w:rsidR="005C7223">
              <w:rPr>
                <w:rFonts w:cs="Arial"/>
                <w:color w:val="000000"/>
                <w:sz w:val="16"/>
                <w:szCs w:val="16"/>
              </w:rPr>
              <w:t xml:space="preserve"> </w:t>
            </w:r>
            <w:r w:rsidRPr="002714D2">
              <w:rPr>
                <w:rFonts w:cs="Arial"/>
                <w:color w:val="000000"/>
                <w:sz w:val="16"/>
                <w:szCs w:val="16"/>
              </w:rPr>
              <w:t>+</w:t>
            </w:r>
            <w:r w:rsidR="005C7223">
              <w:rPr>
                <w:rFonts w:cs="Arial"/>
                <w:color w:val="000000"/>
                <w:sz w:val="16"/>
                <w:szCs w:val="16"/>
              </w:rPr>
              <w:t xml:space="preserve"> </w:t>
            </w:r>
            <w:r w:rsidRPr="002714D2">
              <w:rPr>
                <w:rFonts w:cs="Arial"/>
                <w:color w:val="000000"/>
                <w:sz w:val="16"/>
                <w:szCs w:val="16"/>
              </w:rPr>
              <w:t>32</w:t>
            </w:r>
          </w:p>
          <w:p w14:paraId="3883B1BD" w14:textId="3E9265A8" w:rsidR="005C7223" w:rsidRDefault="003F6CD2" w:rsidP="007F488A">
            <w:pPr>
              <w:spacing w:after="0" w:line="276" w:lineRule="auto"/>
              <w:jc w:val="left"/>
              <w:rPr>
                <w:rFonts w:cs="Arial"/>
                <w:color w:val="000000"/>
                <w:sz w:val="16"/>
                <w:szCs w:val="16"/>
              </w:rPr>
            </w:pPr>
            <w:r w:rsidRPr="002714D2">
              <w:rPr>
                <w:rFonts w:cs="Arial"/>
                <w:color w:val="000000"/>
                <w:sz w:val="16"/>
                <w:szCs w:val="16"/>
              </w:rPr>
              <w:t>(αγορές μείον πωλήσεις)</w:t>
            </w:r>
            <w:r w:rsidR="005C7223">
              <w:rPr>
                <w:rFonts w:cs="Arial"/>
                <w:color w:val="000000"/>
                <w:sz w:val="16"/>
                <w:szCs w:val="16"/>
              </w:rPr>
              <w:t xml:space="preserve"> </w:t>
            </w:r>
            <w:r w:rsidRPr="002714D2">
              <w:rPr>
                <w:rFonts w:cs="Arial"/>
                <w:color w:val="000000"/>
                <w:sz w:val="16"/>
                <w:szCs w:val="16"/>
              </w:rPr>
              <w:t>+</w:t>
            </w:r>
          </w:p>
          <w:p w14:paraId="1F65E3AC" w14:textId="2F465FF3" w:rsidR="003F6CD2" w:rsidRPr="002714D2" w:rsidRDefault="003F6CD2" w:rsidP="007F488A">
            <w:pPr>
              <w:spacing w:after="0" w:line="276" w:lineRule="auto"/>
              <w:jc w:val="left"/>
              <w:rPr>
                <w:rFonts w:cs="Arial"/>
                <w:sz w:val="16"/>
                <w:szCs w:val="16"/>
              </w:rPr>
            </w:pPr>
            <w:r w:rsidRPr="002714D2">
              <w:rPr>
                <w:rFonts w:cs="Arial"/>
                <w:color w:val="000000"/>
                <w:sz w:val="16"/>
                <w:szCs w:val="16"/>
              </w:rPr>
              <w:t>33 (αγορές μείον πωλήσεις)</w:t>
            </w:r>
          </w:p>
        </w:tc>
        <w:tc>
          <w:tcPr>
            <w:tcW w:w="2879" w:type="dxa"/>
          </w:tcPr>
          <w:p w14:paraId="22DBF648" w14:textId="1A562347" w:rsidR="003F6CD2" w:rsidRPr="002714D2" w:rsidRDefault="003F6CD2" w:rsidP="007F488A">
            <w:pPr>
              <w:spacing w:after="0" w:line="276" w:lineRule="auto"/>
              <w:jc w:val="left"/>
              <w:rPr>
                <w:rFonts w:cs="Arial"/>
                <w:sz w:val="16"/>
                <w:szCs w:val="16"/>
              </w:rPr>
            </w:pPr>
            <w:r w:rsidRPr="002714D2">
              <w:rPr>
                <w:rFonts w:cs="Arial"/>
                <w:sz w:val="16"/>
                <w:szCs w:val="16"/>
              </w:rPr>
              <w:t>Λοιπές κατηγορίες εξόδων</w:t>
            </w:r>
          </w:p>
        </w:tc>
        <w:tc>
          <w:tcPr>
            <w:tcW w:w="1604" w:type="dxa"/>
          </w:tcPr>
          <w:p w14:paraId="6B83F5DB" w14:textId="3B7FD215" w:rsidR="003F6CD2" w:rsidRPr="002714D2" w:rsidRDefault="003F6CD2" w:rsidP="007F488A">
            <w:pPr>
              <w:spacing w:after="0" w:line="276" w:lineRule="auto"/>
              <w:jc w:val="right"/>
              <w:rPr>
                <w:rFonts w:cs="Arial"/>
                <w:sz w:val="16"/>
                <w:szCs w:val="16"/>
              </w:rPr>
            </w:pPr>
            <w:r w:rsidRPr="002714D2">
              <w:rPr>
                <w:rFonts w:cs="Arial"/>
                <w:sz w:val="16"/>
                <w:szCs w:val="16"/>
              </w:rPr>
              <w:t>2.770</w:t>
            </w:r>
          </w:p>
        </w:tc>
        <w:tc>
          <w:tcPr>
            <w:tcW w:w="1615" w:type="dxa"/>
          </w:tcPr>
          <w:p w14:paraId="407BBA42" w14:textId="5484A84A" w:rsidR="003F6CD2" w:rsidRPr="002714D2" w:rsidRDefault="003F6CD2" w:rsidP="007F488A">
            <w:pPr>
              <w:spacing w:after="0" w:line="276" w:lineRule="auto"/>
              <w:jc w:val="right"/>
              <w:rPr>
                <w:rFonts w:cs="Arial"/>
                <w:sz w:val="16"/>
                <w:szCs w:val="16"/>
              </w:rPr>
            </w:pPr>
            <w:r w:rsidRPr="002714D2">
              <w:rPr>
                <w:rFonts w:cs="Arial"/>
                <w:sz w:val="16"/>
                <w:szCs w:val="16"/>
              </w:rPr>
              <w:t>2.799</w:t>
            </w:r>
          </w:p>
        </w:tc>
      </w:tr>
      <w:tr w:rsidR="003F6CD2" w:rsidRPr="002714D2" w14:paraId="64EAAC87" w14:textId="77777777" w:rsidTr="003302CB">
        <w:trPr>
          <w:cantSplit/>
          <w:trHeight w:val="227"/>
          <w:jc w:val="center"/>
        </w:trPr>
        <w:tc>
          <w:tcPr>
            <w:tcW w:w="5286" w:type="dxa"/>
            <w:gridSpan w:val="2"/>
            <w:shd w:val="clear" w:color="auto" w:fill="D5DCE4"/>
          </w:tcPr>
          <w:p w14:paraId="1956EA73" w14:textId="1B542517" w:rsidR="003F6CD2" w:rsidRPr="002714D2" w:rsidRDefault="003F6CD2" w:rsidP="007F488A">
            <w:pPr>
              <w:spacing w:after="0" w:line="276" w:lineRule="auto"/>
              <w:jc w:val="left"/>
              <w:rPr>
                <w:rFonts w:cs="Arial"/>
                <w:sz w:val="16"/>
                <w:szCs w:val="16"/>
              </w:rPr>
            </w:pPr>
            <w:r w:rsidRPr="002714D2">
              <w:rPr>
                <w:rFonts w:cs="Arial"/>
                <w:b/>
                <w:bCs/>
                <w:color w:val="000000"/>
                <w:sz w:val="16"/>
                <w:szCs w:val="16"/>
              </w:rPr>
              <w:t>Ισοζύγιο</w:t>
            </w:r>
          </w:p>
        </w:tc>
        <w:tc>
          <w:tcPr>
            <w:tcW w:w="1604" w:type="dxa"/>
            <w:shd w:val="clear" w:color="auto" w:fill="D5DCE4"/>
          </w:tcPr>
          <w:p w14:paraId="366D06C2" w14:textId="12E88D40" w:rsidR="003F6CD2" w:rsidRPr="002714D2" w:rsidRDefault="003F6CD2" w:rsidP="007F488A">
            <w:pPr>
              <w:spacing w:after="0" w:line="276" w:lineRule="auto"/>
              <w:jc w:val="right"/>
              <w:rPr>
                <w:rFonts w:cs="Arial"/>
                <w:sz w:val="16"/>
                <w:szCs w:val="16"/>
              </w:rPr>
            </w:pPr>
            <w:r w:rsidRPr="002714D2">
              <w:rPr>
                <w:rFonts w:cs="Arial"/>
                <w:b/>
                <w:bCs/>
                <w:color w:val="000000"/>
                <w:sz w:val="16"/>
                <w:szCs w:val="16"/>
              </w:rPr>
              <w:t>34</w:t>
            </w:r>
          </w:p>
        </w:tc>
        <w:tc>
          <w:tcPr>
            <w:tcW w:w="1615" w:type="dxa"/>
            <w:tcBorders>
              <w:bottom w:val="nil"/>
            </w:tcBorders>
            <w:shd w:val="clear" w:color="auto" w:fill="D5DCE4"/>
          </w:tcPr>
          <w:p w14:paraId="0FA9172C" w14:textId="60D79222" w:rsidR="003F6CD2" w:rsidRPr="002714D2" w:rsidRDefault="003F6CD2" w:rsidP="007F488A">
            <w:pPr>
              <w:spacing w:after="0" w:line="276" w:lineRule="auto"/>
              <w:jc w:val="right"/>
              <w:rPr>
                <w:rFonts w:cs="Arial"/>
                <w:sz w:val="16"/>
                <w:szCs w:val="16"/>
              </w:rPr>
            </w:pPr>
            <w:r w:rsidRPr="002714D2">
              <w:rPr>
                <w:rFonts w:cs="Arial"/>
                <w:b/>
                <w:bCs/>
                <w:color w:val="000000"/>
                <w:sz w:val="16"/>
                <w:szCs w:val="16"/>
              </w:rPr>
              <w:t>109</w:t>
            </w:r>
          </w:p>
        </w:tc>
      </w:tr>
      <w:tr w:rsidR="003F6CD2" w:rsidRPr="002714D2" w14:paraId="56DE172A" w14:textId="77777777" w:rsidTr="00A31D67">
        <w:trPr>
          <w:cantSplit/>
          <w:trHeight w:val="227"/>
          <w:jc w:val="center"/>
        </w:trPr>
        <w:tc>
          <w:tcPr>
            <w:tcW w:w="5286" w:type="dxa"/>
            <w:gridSpan w:val="2"/>
            <w:shd w:val="clear" w:color="auto" w:fill="D5DCE4"/>
          </w:tcPr>
          <w:p w14:paraId="1E211665" w14:textId="3C54B293" w:rsidR="003F6CD2" w:rsidRPr="002714D2" w:rsidRDefault="003F6CD2" w:rsidP="007F488A">
            <w:pPr>
              <w:spacing w:after="0" w:line="276" w:lineRule="auto"/>
              <w:jc w:val="left"/>
              <w:rPr>
                <w:rFonts w:cs="Arial"/>
                <w:sz w:val="16"/>
                <w:szCs w:val="16"/>
              </w:rPr>
            </w:pPr>
            <w:r w:rsidRPr="002714D2">
              <w:rPr>
                <w:rFonts w:cs="Arial"/>
                <w:b/>
                <w:bCs/>
                <w:color w:val="000000"/>
                <w:sz w:val="16"/>
                <w:szCs w:val="16"/>
              </w:rPr>
              <w:t>Μεταβολή απλήρωτων υποχρεώσεων σε φορείς εκτός Γενικής Κυβέρνησης</w:t>
            </w:r>
          </w:p>
        </w:tc>
        <w:tc>
          <w:tcPr>
            <w:tcW w:w="1604" w:type="dxa"/>
            <w:shd w:val="clear" w:color="auto" w:fill="D5DCE4"/>
          </w:tcPr>
          <w:p w14:paraId="7664D31D" w14:textId="00283768" w:rsidR="003F6CD2" w:rsidRPr="002714D2" w:rsidRDefault="003F6CD2" w:rsidP="007F488A">
            <w:pPr>
              <w:spacing w:after="0" w:line="276" w:lineRule="auto"/>
              <w:jc w:val="right"/>
              <w:rPr>
                <w:rFonts w:cs="Arial"/>
                <w:sz w:val="16"/>
                <w:szCs w:val="16"/>
              </w:rPr>
            </w:pPr>
            <w:r w:rsidRPr="002714D2">
              <w:rPr>
                <w:rFonts w:cs="Arial"/>
                <w:b/>
                <w:bCs/>
                <w:color w:val="000000"/>
                <w:sz w:val="16"/>
                <w:szCs w:val="16"/>
              </w:rPr>
              <w:t>32</w:t>
            </w:r>
          </w:p>
        </w:tc>
        <w:tc>
          <w:tcPr>
            <w:tcW w:w="1615" w:type="dxa"/>
            <w:tcBorders>
              <w:top w:val="nil"/>
              <w:bottom w:val="nil"/>
            </w:tcBorders>
            <w:shd w:val="clear" w:color="auto" w:fill="D5DCE4"/>
          </w:tcPr>
          <w:p w14:paraId="1504091B" w14:textId="69A314DD" w:rsidR="003F6CD2" w:rsidRPr="002714D2" w:rsidRDefault="005C7223" w:rsidP="007F488A">
            <w:pPr>
              <w:spacing w:after="0" w:line="276" w:lineRule="auto"/>
              <w:jc w:val="right"/>
              <w:rPr>
                <w:rFonts w:cs="Arial"/>
                <w:sz w:val="16"/>
                <w:szCs w:val="16"/>
              </w:rPr>
            </w:pPr>
            <w:r>
              <w:rPr>
                <w:rFonts w:cs="Arial"/>
                <w:b/>
                <w:bCs/>
                <w:color w:val="000000"/>
                <w:sz w:val="16"/>
                <w:szCs w:val="16"/>
              </w:rPr>
              <w:t>-</w:t>
            </w:r>
            <w:r w:rsidR="003F6CD2" w:rsidRPr="002714D2">
              <w:rPr>
                <w:rFonts w:cs="Arial"/>
                <w:b/>
                <w:bCs/>
                <w:color w:val="000000"/>
                <w:sz w:val="16"/>
                <w:szCs w:val="16"/>
              </w:rPr>
              <w:t>3</w:t>
            </w:r>
          </w:p>
        </w:tc>
      </w:tr>
      <w:tr w:rsidR="003F6CD2" w:rsidRPr="002714D2" w14:paraId="2642C149" w14:textId="77777777" w:rsidTr="003302CB">
        <w:trPr>
          <w:cantSplit/>
          <w:trHeight w:val="227"/>
          <w:jc w:val="center"/>
        </w:trPr>
        <w:tc>
          <w:tcPr>
            <w:tcW w:w="5286" w:type="dxa"/>
            <w:gridSpan w:val="2"/>
            <w:shd w:val="clear" w:color="auto" w:fill="D5DCE4"/>
          </w:tcPr>
          <w:p w14:paraId="1B1289CA" w14:textId="07937C67" w:rsidR="003F6CD2" w:rsidRPr="002714D2" w:rsidRDefault="003F6CD2" w:rsidP="007F488A">
            <w:pPr>
              <w:spacing w:after="0" w:line="276" w:lineRule="auto"/>
              <w:jc w:val="left"/>
              <w:rPr>
                <w:rFonts w:cs="Arial"/>
                <w:sz w:val="16"/>
                <w:szCs w:val="16"/>
              </w:rPr>
            </w:pPr>
            <w:r w:rsidRPr="002714D2">
              <w:rPr>
                <w:rFonts w:cs="Arial"/>
                <w:b/>
                <w:bCs/>
                <w:color w:val="000000"/>
                <w:sz w:val="16"/>
                <w:szCs w:val="16"/>
              </w:rPr>
              <w:t>Καταπτώσεις εγγυήσεων</w:t>
            </w:r>
          </w:p>
        </w:tc>
        <w:tc>
          <w:tcPr>
            <w:tcW w:w="1604" w:type="dxa"/>
            <w:shd w:val="clear" w:color="auto" w:fill="D5DCE4"/>
          </w:tcPr>
          <w:p w14:paraId="313CC2E1" w14:textId="7CEA685E" w:rsidR="003F6CD2" w:rsidRPr="002714D2" w:rsidRDefault="003F6CD2" w:rsidP="007F488A">
            <w:pPr>
              <w:spacing w:after="0" w:line="276" w:lineRule="auto"/>
              <w:jc w:val="right"/>
              <w:rPr>
                <w:rFonts w:cs="Arial"/>
                <w:sz w:val="16"/>
                <w:szCs w:val="16"/>
              </w:rPr>
            </w:pPr>
          </w:p>
        </w:tc>
        <w:tc>
          <w:tcPr>
            <w:tcW w:w="1615" w:type="dxa"/>
            <w:tcBorders>
              <w:top w:val="nil"/>
            </w:tcBorders>
            <w:shd w:val="clear" w:color="auto" w:fill="D5DCE4"/>
          </w:tcPr>
          <w:p w14:paraId="030D09EF" w14:textId="7E7F83A6" w:rsidR="003F6CD2" w:rsidRPr="002714D2" w:rsidRDefault="003F6CD2" w:rsidP="007F488A">
            <w:pPr>
              <w:spacing w:after="0" w:line="276" w:lineRule="auto"/>
              <w:jc w:val="right"/>
              <w:rPr>
                <w:rFonts w:cs="Arial"/>
                <w:sz w:val="16"/>
                <w:szCs w:val="16"/>
              </w:rPr>
            </w:pPr>
          </w:p>
        </w:tc>
      </w:tr>
      <w:tr w:rsidR="003F6CD2" w:rsidRPr="002714D2" w14:paraId="072150E2" w14:textId="77777777" w:rsidTr="007F488A">
        <w:trPr>
          <w:cantSplit/>
          <w:trHeight w:val="227"/>
          <w:jc w:val="center"/>
        </w:trPr>
        <w:tc>
          <w:tcPr>
            <w:tcW w:w="5286" w:type="dxa"/>
            <w:gridSpan w:val="2"/>
            <w:shd w:val="clear" w:color="auto" w:fill="D5DCE4"/>
          </w:tcPr>
          <w:p w14:paraId="2571E2B7" w14:textId="3E554E21" w:rsidR="003F6CD2" w:rsidRPr="002714D2" w:rsidRDefault="003F6CD2" w:rsidP="007F488A">
            <w:pPr>
              <w:spacing w:after="0" w:line="276" w:lineRule="auto"/>
              <w:jc w:val="left"/>
              <w:rPr>
                <w:rFonts w:cs="Arial"/>
                <w:sz w:val="16"/>
                <w:szCs w:val="16"/>
              </w:rPr>
            </w:pPr>
            <w:r w:rsidRPr="002714D2">
              <w:rPr>
                <w:rFonts w:cs="Arial"/>
                <w:b/>
                <w:bCs/>
                <w:color w:val="000000"/>
                <w:sz w:val="16"/>
                <w:szCs w:val="16"/>
              </w:rPr>
              <w:t xml:space="preserve">Δημοσιονομικό </w:t>
            </w:r>
            <w:r w:rsidR="005C7223">
              <w:rPr>
                <w:rFonts w:cs="Arial"/>
                <w:b/>
                <w:bCs/>
                <w:color w:val="000000"/>
                <w:sz w:val="16"/>
                <w:szCs w:val="16"/>
              </w:rPr>
              <w:t>α</w:t>
            </w:r>
            <w:r w:rsidRPr="002714D2">
              <w:rPr>
                <w:rFonts w:cs="Arial"/>
                <w:b/>
                <w:bCs/>
                <w:color w:val="000000"/>
                <w:sz w:val="16"/>
                <w:szCs w:val="16"/>
              </w:rPr>
              <w:t>ποτέλεσμα</w:t>
            </w:r>
          </w:p>
        </w:tc>
        <w:tc>
          <w:tcPr>
            <w:tcW w:w="1604" w:type="dxa"/>
            <w:shd w:val="clear" w:color="auto" w:fill="D5DCE4"/>
          </w:tcPr>
          <w:p w14:paraId="1D1359BA" w14:textId="7FB04C6A" w:rsidR="003F6CD2" w:rsidRPr="002714D2" w:rsidRDefault="003F6CD2" w:rsidP="007F488A">
            <w:pPr>
              <w:spacing w:after="0" w:line="276" w:lineRule="auto"/>
              <w:jc w:val="right"/>
              <w:rPr>
                <w:rFonts w:cs="Arial"/>
                <w:sz w:val="16"/>
                <w:szCs w:val="16"/>
              </w:rPr>
            </w:pPr>
            <w:r w:rsidRPr="002714D2">
              <w:rPr>
                <w:rFonts w:cs="Arial"/>
                <w:b/>
                <w:bCs/>
                <w:color w:val="000000"/>
                <w:sz w:val="16"/>
                <w:szCs w:val="16"/>
              </w:rPr>
              <w:t>67</w:t>
            </w:r>
          </w:p>
        </w:tc>
        <w:tc>
          <w:tcPr>
            <w:tcW w:w="1615" w:type="dxa"/>
            <w:shd w:val="clear" w:color="auto" w:fill="D5DCE4"/>
          </w:tcPr>
          <w:p w14:paraId="0A6606D8" w14:textId="582BEAD0" w:rsidR="003F6CD2" w:rsidRPr="002714D2" w:rsidRDefault="003F6CD2" w:rsidP="007F488A">
            <w:pPr>
              <w:spacing w:after="0" w:line="276" w:lineRule="auto"/>
              <w:jc w:val="right"/>
              <w:rPr>
                <w:rFonts w:cs="Arial"/>
                <w:sz w:val="16"/>
                <w:szCs w:val="16"/>
              </w:rPr>
            </w:pPr>
            <w:r w:rsidRPr="002714D2">
              <w:rPr>
                <w:rFonts w:cs="Arial"/>
                <w:b/>
                <w:bCs/>
                <w:color w:val="000000"/>
                <w:sz w:val="16"/>
                <w:szCs w:val="16"/>
              </w:rPr>
              <w:t>106</w:t>
            </w:r>
          </w:p>
        </w:tc>
      </w:tr>
    </w:tbl>
    <w:p w14:paraId="78FF02AA" w14:textId="630E1276" w:rsidR="0012603D" w:rsidRPr="00713C7C" w:rsidRDefault="0012603D" w:rsidP="003302CB">
      <w:pPr>
        <w:spacing w:before="240"/>
      </w:pPr>
      <w:r w:rsidRPr="00713C7C">
        <w:t>Το έτος 2026 το ισοζύγιο κατά ESA των ΟΤΑ προβλέπεται να διαμορφωθεί σε πλεόνασμα ύψους 106 εκατ. ευρώ, αυξημένο κατά 39 εκατ. ευρώ σε σχέση με τις εκτιμήσεις του 2025.</w:t>
      </w:r>
    </w:p>
    <w:p w14:paraId="6A16280B" w14:textId="2422617E" w:rsidR="0012603D" w:rsidRPr="0097696F" w:rsidRDefault="0012603D" w:rsidP="001C647A">
      <w:r w:rsidRPr="0097696F">
        <w:t>Το 2026 οι</w:t>
      </w:r>
      <w:r>
        <w:t xml:space="preserve"> μεταβιβάσε</w:t>
      </w:r>
      <w:r w:rsidR="005015D8">
        <w:t>ις</w:t>
      </w:r>
      <w:r>
        <w:t xml:space="preserve"> από τον κρατικό προϋπολογισμό </w:t>
      </w:r>
      <w:r w:rsidR="005015D8">
        <w:t>προβλέπεται να</w:t>
      </w:r>
      <w:r>
        <w:t xml:space="preserve"> ανέλθουν σ</w:t>
      </w:r>
      <w:r w:rsidR="005015D8">
        <w:t>ε</w:t>
      </w:r>
      <w:r>
        <w:t xml:space="preserve"> 6.353 εκατ. ευρώ</w:t>
      </w:r>
      <w:r w:rsidR="005015D8">
        <w:t>,</w:t>
      </w:r>
      <w:r>
        <w:t xml:space="preserve"> αυξημένες </w:t>
      </w:r>
      <w:r w:rsidR="005015D8">
        <w:t xml:space="preserve">κατά 170 εκατ. ευρώ </w:t>
      </w:r>
      <w:r>
        <w:t xml:space="preserve">έναντι των εκτιμήσεων του 2025. </w:t>
      </w:r>
      <w:r w:rsidR="005015D8">
        <w:t>Συγκεκριμένα, ο</w:t>
      </w:r>
      <w:r>
        <w:t>ι μεταβιβάσεις ενσωματώνουν αυξημένους πόρους από το</w:t>
      </w:r>
      <w:r w:rsidR="005015D8">
        <w:t xml:space="preserve">ν προϋπολογισμό δημοσίων επενδύσεων και το </w:t>
      </w:r>
      <w:r>
        <w:t xml:space="preserve">ΤΑΑ </w:t>
      </w:r>
      <w:r w:rsidR="00E13C2D">
        <w:t xml:space="preserve">καθώς </w:t>
      </w:r>
      <w:r>
        <w:t xml:space="preserve">και </w:t>
      </w:r>
      <w:r w:rsidRPr="0097696F">
        <w:t xml:space="preserve">μόνιμη </w:t>
      </w:r>
      <w:r>
        <w:t xml:space="preserve">αύξηση </w:t>
      </w:r>
      <w:r w:rsidR="00E13C2D">
        <w:t xml:space="preserve">τόσο </w:t>
      </w:r>
      <w:r w:rsidRPr="0097696F">
        <w:t xml:space="preserve">των ΚΑΠ κατά 117 εκατ. ευρώ (82 εκατ. ευρώ στους </w:t>
      </w:r>
      <w:r w:rsidR="00E13C2D">
        <w:t>Δ</w:t>
      </w:r>
      <w:r w:rsidRPr="0097696F">
        <w:t xml:space="preserve">ήμους και 35 εκατ. ευρώ στις </w:t>
      </w:r>
      <w:r w:rsidR="00E13C2D">
        <w:t>Π</w:t>
      </w:r>
      <w:r w:rsidRPr="0097696F">
        <w:t>εριφέρειες)</w:t>
      </w:r>
      <w:r w:rsidR="00E13C2D">
        <w:t xml:space="preserve"> όσο</w:t>
      </w:r>
      <w:r>
        <w:t xml:space="preserve"> </w:t>
      </w:r>
      <w:r w:rsidRPr="0097696F">
        <w:t xml:space="preserve">και της ειδικής επιχορήγησης των Δήμων κατά 31 εκατ. ευρώ σε </w:t>
      </w:r>
      <w:r w:rsidR="00E13C2D">
        <w:t>σύγκριση</w:t>
      </w:r>
      <w:r w:rsidRPr="0097696F">
        <w:t xml:space="preserve"> με τα προηγούμενα έτη</w:t>
      </w:r>
      <w:r>
        <w:t xml:space="preserve"> </w:t>
      </w:r>
      <w:r w:rsidRPr="0097696F">
        <w:t>από τον τακτικό προϋπολογισμό</w:t>
      </w:r>
      <w:r>
        <w:t xml:space="preserve"> του Υπουργείου Εσωτερικών.</w:t>
      </w:r>
    </w:p>
    <w:p w14:paraId="6F0B2A99" w14:textId="5AF88463" w:rsidR="001F2EED" w:rsidRDefault="0012603D" w:rsidP="00276BD3">
      <w:pPr>
        <w:spacing w:after="240"/>
      </w:pPr>
      <w:r w:rsidRPr="00824C1A">
        <w:t>Οι επενδυτικές δαπάνες προβλέπονται αυξημένες έναντι των εκτιμήσεων του 2025, ενώ τα λοιπά έξοδα αναμένεται να αυξηθούν βάσει των μακροοικονομικών μεγεθών. Επιπλέον</w:t>
      </w:r>
      <w:r w:rsidR="00E13C2D">
        <w:t>,</w:t>
      </w:r>
      <w:r w:rsidRPr="00824C1A">
        <w:t xml:space="preserve"> οι δαπάνες για παροχές σε εργαζόμενους προβλέπεται να παρουσιάσουν αύξηση κατά 92 εκατ. ευρώ σε σχέση με τις εκτιμήσεις του 2025 κυρίως λόγω </w:t>
      </w:r>
      <w:r w:rsidR="00E13C2D">
        <w:t xml:space="preserve">της </w:t>
      </w:r>
      <w:r w:rsidRPr="00824C1A">
        <w:t>αύξησης του μισθολογικού κόστους του προσωπικού των ΟΤΑ, ως αποτέλεσμα της μισθολογικής πολιτικής.</w:t>
      </w:r>
    </w:p>
    <w:p w14:paraId="0AFBA8E7" w14:textId="77777777" w:rsidR="001F2EED" w:rsidRDefault="001F2EED">
      <w:pPr>
        <w:spacing w:after="0" w:line="240" w:lineRule="auto"/>
        <w:jc w:val="left"/>
      </w:pPr>
      <w:r>
        <w:br w:type="page"/>
      </w:r>
    </w:p>
    <w:tbl>
      <w:tblPr>
        <w:tblW w:w="872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6516"/>
        <w:gridCol w:w="1037"/>
        <w:gridCol w:w="1171"/>
      </w:tblGrid>
      <w:tr w:rsidR="0006026A" w:rsidRPr="0006026A" w14:paraId="0C696344" w14:textId="77777777" w:rsidTr="001F2EED">
        <w:trPr>
          <w:cantSplit/>
          <w:trHeight w:val="451"/>
          <w:jc w:val="center"/>
        </w:trPr>
        <w:tc>
          <w:tcPr>
            <w:tcW w:w="8724" w:type="dxa"/>
            <w:gridSpan w:val="3"/>
            <w:tcBorders>
              <w:top w:val="single" w:sz="4" w:space="0" w:color="808080" w:themeColor="background1" w:themeShade="80"/>
              <w:bottom w:val="single" w:sz="4" w:space="0" w:color="808080" w:themeColor="background1" w:themeShade="80"/>
            </w:tcBorders>
            <w:shd w:val="clear" w:color="000000" w:fill="D5DCE4"/>
            <w:noWrap/>
            <w:vAlign w:val="center"/>
            <w:hideMark/>
          </w:tcPr>
          <w:p w14:paraId="3AA16E07" w14:textId="48AEBF37" w:rsidR="0006026A" w:rsidRPr="00B554AF" w:rsidRDefault="0006026A" w:rsidP="009959C4">
            <w:pPr>
              <w:spacing w:after="0" w:line="276" w:lineRule="auto"/>
              <w:jc w:val="center"/>
              <w:rPr>
                <w:rFonts w:cs="Arial"/>
                <w:b/>
                <w:bCs/>
                <w:color w:val="000000"/>
                <w:sz w:val="18"/>
                <w:szCs w:val="18"/>
              </w:rPr>
            </w:pPr>
            <w:bookmarkStart w:id="414" w:name="_Toc214474062"/>
            <w:r w:rsidRPr="00B554AF">
              <w:rPr>
                <w:b/>
                <w:sz w:val="18"/>
                <w:szCs w:val="18"/>
              </w:rPr>
              <w:lastRenderedPageBreak/>
              <w:t>Πίνακας 3.</w:t>
            </w:r>
            <w:r w:rsidRPr="00B554AF">
              <w:rPr>
                <w:b/>
                <w:sz w:val="18"/>
                <w:szCs w:val="18"/>
              </w:rPr>
              <w:fldChar w:fldCharType="begin"/>
            </w:r>
            <w:r w:rsidRPr="00B554AF">
              <w:rPr>
                <w:b/>
                <w:sz w:val="18"/>
                <w:szCs w:val="18"/>
              </w:rPr>
              <w:instrText xml:space="preserve"> SEQ Πίνακας_3. \* ARABIC </w:instrText>
            </w:r>
            <w:r w:rsidRPr="00B554AF">
              <w:rPr>
                <w:b/>
                <w:sz w:val="18"/>
                <w:szCs w:val="18"/>
              </w:rPr>
              <w:fldChar w:fldCharType="separate"/>
            </w:r>
            <w:r w:rsidR="00E15678">
              <w:rPr>
                <w:b/>
                <w:noProof/>
                <w:sz w:val="18"/>
                <w:szCs w:val="18"/>
              </w:rPr>
              <w:t>24</w:t>
            </w:r>
            <w:r w:rsidRPr="00B554AF">
              <w:rPr>
                <w:b/>
                <w:sz w:val="18"/>
                <w:szCs w:val="18"/>
              </w:rPr>
              <w:fldChar w:fldCharType="end"/>
            </w:r>
            <w:r w:rsidRPr="00B554AF">
              <w:rPr>
                <w:b/>
                <w:sz w:val="18"/>
                <w:szCs w:val="18"/>
              </w:rPr>
              <w:t>.</w:t>
            </w:r>
            <w:r w:rsidRPr="00B554AF">
              <w:rPr>
                <w:rFonts w:cs="Arial"/>
                <w:b/>
                <w:bCs/>
                <w:color w:val="000000"/>
                <w:sz w:val="18"/>
                <w:szCs w:val="18"/>
              </w:rPr>
              <w:t xml:space="preserve">: Μεταβιβάσεις από τον </w:t>
            </w:r>
            <w:r w:rsidR="00B77FE5" w:rsidRPr="00B554AF">
              <w:rPr>
                <w:rFonts w:cs="Arial"/>
                <w:b/>
                <w:bCs/>
                <w:color w:val="000000"/>
                <w:sz w:val="18"/>
                <w:szCs w:val="18"/>
              </w:rPr>
              <w:t>τ</w:t>
            </w:r>
            <w:r w:rsidRPr="00B554AF">
              <w:rPr>
                <w:rFonts w:cs="Arial"/>
                <w:b/>
                <w:bCs/>
                <w:color w:val="000000"/>
                <w:sz w:val="18"/>
                <w:szCs w:val="18"/>
              </w:rPr>
              <w:t xml:space="preserve">ακτικό </w:t>
            </w:r>
            <w:r w:rsidR="00B77FE5" w:rsidRPr="00B554AF">
              <w:rPr>
                <w:rFonts w:cs="Arial"/>
                <w:b/>
                <w:bCs/>
                <w:color w:val="000000"/>
                <w:sz w:val="18"/>
                <w:szCs w:val="18"/>
              </w:rPr>
              <w:t>π</w:t>
            </w:r>
            <w:r w:rsidRPr="00B554AF">
              <w:rPr>
                <w:rFonts w:cs="Arial"/>
                <w:b/>
                <w:bCs/>
                <w:color w:val="000000"/>
                <w:sz w:val="18"/>
                <w:szCs w:val="18"/>
              </w:rPr>
              <w:t>ροϋπολογισμό στους ΟΤΑ α</w:t>
            </w:r>
            <w:r w:rsidR="00E24AFF" w:rsidRPr="00B554AF">
              <w:rPr>
                <w:rFonts w:cs="Arial"/>
                <w:b/>
                <w:bCs/>
                <w:color w:val="000000"/>
                <w:sz w:val="18"/>
                <w:szCs w:val="18"/>
              </w:rPr>
              <w:t>’</w:t>
            </w:r>
            <w:r w:rsidRPr="00B554AF">
              <w:rPr>
                <w:rFonts w:cs="Arial"/>
                <w:b/>
                <w:bCs/>
                <w:color w:val="000000"/>
                <w:sz w:val="18"/>
                <w:szCs w:val="18"/>
              </w:rPr>
              <w:t xml:space="preserve"> και β</w:t>
            </w:r>
            <w:r w:rsidR="00E24AFF" w:rsidRPr="00B554AF">
              <w:rPr>
                <w:rFonts w:cs="Arial"/>
                <w:b/>
                <w:bCs/>
                <w:color w:val="000000"/>
                <w:sz w:val="18"/>
                <w:szCs w:val="18"/>
              </w:rPr>
              <w:t>’</w:t>
            </w:r>
            <w:r w:rsidRPr="00B554AF">
              <w:rPr>
                <w:rFonts w:cs="Arial"/>
                <w:b/>
                <w:bCs/>
                <w:color w:val="000000"/>
                <w:sz w:val="18"/>
                <w:szCs w:val="18"/>
              </w:rPr>
              <w:t xml:space="preserve"> βαθμού</w:t>
            </w:r>
            <w:bookmarkEnd w:id="414"/>
          </w:p>
          <w:p w14:paraId="641172AE" w14:textId="7F780695" w:rsidR="0006026A" w:rsidRPr="0006026A" w:rsidRDefault="0006026A" w:rsidP="009959C4">
            <w:pPr>
              <w:spacing w:after="0" w:line="276" w:lineRule="auto"/>
              <w:jc w:val="center"/>
              <w:rPr>
                <w:rFonts w:cs="Arial"/>
                <w:b/>
                <w:bCs/>
                <w:color w:val="000000"/>
                <w:sz w:val="18"/>
                <w:szCs w:val="18"/>
              </w:rPr>
            </w:pPr>
            <w:r w:rsidRPr="00B554AF">
              <w:rPr>
                <w:rFonts w:cs="Arial"/>
                <w:b/>
                <w:bCs/>
                <w:color w:val="000000"/>
                <w:sz w:val="18"/>
                <w:szCs w:val="18"/>
              </w:rPr>
              <w:t>(σε εκατ. ευρώ)</w:t>
            </w:r>
          </w:p>
        </w:tc>
      </w:tr>
      <w:tr w:rsidR="0006026A" w:rsidRPr="0006026A" w14:paraId="6CCE71C4" w14:textId="77777777" w:rsidTr="001F2EED">
        <w:trPr>
          <w:cantSplit/>
          <w:trHeight w:val="303"/>
          <w:jc w:val="center"/>
        </w:trPr>
        <w:tc>
          <w:tcPr>
            <w:tcW w:w="6516" w:type="dxa"/>
            <w:vMerge w:val="restart"/>
            <w:tcBorders>
              <w:top w:val="single" w:sz="4" w:space="0" w:color="808080" w:themeColor="background1" w:themeShade="80"/>
              <w:bottom w:val="nil"/>
            </w:tcBorders>
            <w:shd w:val="clear" w:color="auto" w:fill="F2F2F2" w:themeFill="background1" w:themeFillShade="F2"/>
            <w:noWrap/>
            <w:vAlign w:val="center"/>
            <w:hideMark/>
          </w:tcPr>
          <w:p w14:paraId="558C27E7" w14:textId="77777777" w:rsidR="0006026A" w:rsidRPr="0006026A" w:rsidRDefault="0006026A" w:rsidP="009959C4">
            <w:pPr>
              <w:spacing w:after="0" w:line="276" w:lineRule="auto"/>
              <w:jc w:val="center"/>
              <w:rPr>
                <w:rFonts w:cs="Arial"/>
                <w:b/>
                <w:bCs/>
                <w:color w:val="000000"/>
                <w:sz w:val="16"/>
                <w:szCs w:val="16"/>
              </w:rPr>
            </w:pPr>
            <w:r w:rsidRPr="0006026A">
              <w:rPr>
                <w:rFonts w:cs="Arial"/>
                <w:b/>
                <w:bCs/>
                <w:color w:val="000000"/>
                <w:sz w:val="16"/>
                <w:szCs w:val="16"/>
              </w:rPr>
              <w:t>Κατηγορία</w:t>
            </w:r>
          </w:p>
        </w:tc>
        <w:tc>
          <w:tcPr>
            <w:tcW w:w="1037" w:type="dxa"/>
            <w:tcBorders>
              <w:top w:val="single" w:sz="4" w:space="0" w:color="808080" w:themeColor="background1" w:themeShade="80"/>
              <w:bottom w:val="nil"/>
            </w:tcBorders>
            <w:shd w:val="clear" w:color="auto" w:fill="F2F2F2" w:themeFill="background1" w:themeFillShade="F2"/>
            <w:noWrap/>
            <w:vAlign w:val="center"/>
            <w:hideMark/>
          </w:tcPr>
          <w:p w14:paraId="7CE3BC74" w14:textId="230C3B4C" w:rsidR="0006026A" w:rsidRPr="0006026A" w:rsidRDefault="0006026A" w:rsidP="009959C4">
            <w:pPr>
              <w:spacing w:after="0" w:line="276" w:lineRule="auto"/>
              <w:jc w:val="center"/>
              <w:rPr>
                <w:rFonts w:cs="Arial"/>
                <w:b/>
                <w:bCs/>
                <w:color w:val="000000"/>
                <w:sz w:val="16"/>
                <w:szCs w:val="16"/>
              </w:rPr>
            </w:pPr>
            <w:r w:rsidRPr="0006026A">
              <w:rPr>
                <w:rFonts w:cs="Arial"/>
                <w:b/>
                <w:bCs/>
                <w:color w:val="000000"/>
                <w:sz w:val="16"/>
                <w:szCs w:val="16"/>
              </w:rPr>
              <w:t>202</w:t>
            </w:r>
            <w:r w:rsidR="00CC405C">
              <w:rPr>
                <w:rFonts w:cs="Arial"/>
                <w:b/>
                <w:bCs/>
                <w:color w:val="000000"/>
                <w:sz w:val="16"/>
                <w:szCs w:val="16"/>
              </w:rPr>
              <w:t>5</w:t>
            </w:r>
          </w:p>
        </w:tc>
        <w:tc>
          <w:tcPr>
            <w:tcW w:w="1171" w:type="dxa"/>
            <w:tcBorders>
              <w:top w:val="single" w:sz="4" w:space="0" w:color="808080" w:themeColor="background1" w:themeShade="80"/>
              <w:bottom w:val="nil"/>
            </w:tcBorders>
            <w:shd w:val="clear" w:color="auto" w:fill="F2F2F2" w:themeFill="background1" w:themeFillShade="F2"/>
            <w:noWrap/>
            <w:vAlign w:val="center"/>
            <w:hideMark/>
          </w:tcPr>
          <w:p w14:paraId="47C1B1CA" w14:textId="18E4FA56" w:rsidR="0006026A" w:rsidRPr="0006026A" w:rsidRDefault="0006026A" w:rsidP="009959C4">
            <w:pPr>
              <w:spacing w:after="0" w:line="276" w:lineRule="auto"/>
              <w:jc w:val="center"/>
              <w:rPr>
                <w:rFonts w:cs="Arial"/>
                <w:b/>
                <w:bCs/>
                <w:color w:val="000000"/>
                <w:sz w:val="16"/>
                <w:szCs w:val="16"/>
              </w:rPr>
            </w:pPr>
            <w:r w:rsidRPr="0006026A">
              <w:rPr>
                <w:rFonts w:cs="Arial"/>
                <w:b/>
                <w:bCs/>
                <w:color w:val="000000"/>
                <w:sz w:val="16"/>
                <w:szCs w:val="16"/>
              </w:rPr>
              <w:t>202</w:t>
            </w:r>
            <w:r w:rsidR="00CC405C">
              <w:rPr>
                <w:rFonts w:cs="Arial"/>
                <w:b/>
                <w:bCs/>
                <w:color w:val="000000"/>
                <w:sz w:val="16"/>
                <w:szCs w:val="16"/>
              </w:rPr>
              <w:t>6</w:t>
            </w:r>
          </w:p>
        </w:tc>
      </w:tr>
      <w:tr w:rsidR="0006026A" w:rsidRPr="0006026A" w14:paraId="6883D989" w14:textId="77777777" w:rsidTr="001F2EED">
        <w:trPr>
          <w:cantSplit/>
          <w:trHeight w:val="303"/>
          <w:jc w:val="center"/>
        </w:trPr>
        <w:tc>
          <w:tcPr>
            <w:tcW w:w="6516" w:type="dxa"/>
            <w:vMerge/>
            <w:tcBorders>
              <w:top w:val="nil"/>
              <w:bottom w:val="single" w:sz="4" w:space="0" w:color="808080" w:themeColor="background1" w:themeShade="80"/>
            </w:tcBorders>
            <w:vAlign w:val="center"/>
            <w:hideMark/>
          </w:tcPr>
          <w:p w14:paraId="46EF4ECF" w14:textId="77777777" w:rsidR="0006026A" w:rsidRPr="0006026A" w:rsidRDefault="0006026A" w:rsidP="009959C4">
            <w:pPr>
              <w:spacing w:after="0" w:line="276" w:lineRule="auto"/>
              <w:jc w:val="left"/>
              <w:rPr>
                <w:rFonts w:cs="Arial"/>
                <w:b/>
                <w:bCs/>
                <w:color w:val="000000"/>
                <w:sz w:val="16"/>
                <w:szCs w:val="16"/>
              </w:rPr>
            </w:pPr>
          </w:p>
        </w:tc>
        <w:tc>
          <w:tcPr>
            <w:tcW w:w="1037" w:type="dxa"/>
            <w:tcBorders>
              <w:top w:val="nil"/>
              <w:bottom w:val="single" w:sz="4" w:space="0" w:color="808080" w:themeColor="background1" w:themeShade="80"/>
            </w:tcBorders>
            <w:shd w:val="clear" w:color="auto" w:fill="F2F2F2" w:themeFill="background1" w:themeFillShade="F2"/>
            <w:noWrap/>
            <w:vAlign w:val="center"/>
            <w:hideMark/>
          </w:tcPr>
          <w:p w14:paraId="65AF3689" w14:textId="77777777" w:rsidR="0006026A" w:rsidRPr="0006026A" w:rsidRDefault="0006026A" w:rsidP="009959C4">
            <w:pPr>
              <w:spacing w:after="0" w:line="276" w:lineRule="auto"/>
              <w:jc w:val="center"/>
              <w:rPr>
                <w:rFonts w:cs="Arial"/>
                <w:b/>
                <w:bCs/>
                <w:color w:val="000000"/>
                <w:sz w:val="16"/>
                <w:szCs w:val="16"/>
              </w:rPr>
            </w:pPr>
            <w:r w:rsidRPr="0006026A">
              <w:rPr>
                <w:rFonts w:cs="Arial"/>
                <w:b/>
                <w:bCs/>
                <w:color w:val="000000"/>
                <w:sz w:val="16"/>
                <w:szCs w:val="16"/>
              </w:rPr>
              <w:t>Εκτιμήσεις</w:t>
            </w:r>
          </w:p>
        </w:tc>
        <w:tc>
          <w:tcPr>
            <w:tcW w:w="1171" w:type="dxa"/>
            <w:tcBorders>
              <w:top w:val="nil"/>
              <w:bottom w:val="single" w:sz="4" w:space="0" w:color="808080" w:themeColor="background1" w:themeShade="80"/>
            </w:tcBorders>
            <w:shd w:val="clear" w:color="auto" w:fill="F2F2F2" w:themeFill="background1" w:themeFillShade="F2"/>
            <w:noWrap/>
            <w:vAlign w:val="center"/>
            <w:hideMark/>
          </w:tcPr>
          <w:p w14:paraId="0DCC0FB9" w14:textId="77777777" w:rsidR="0006026A" w:rsidRPr="0006026A" w:rsidRDefault="0006026A" w:rsidP="009959C4">
            <w:pPr>
              <w:spacing w:after="0" w:line="276" w:lineRule="auto"/>
              <w:jc w:val="center"/>
              <w:rPr>
                <w:rFonts w:cs="Arial"/>
                <w:b/>
                <w:bCs/>
                <w:color w:val="000000"/>
                <w:sz w:val="16"/>
                <w:szCs w:val="16"/>
              </w:rPr>
            </w:pPr>
            <w:r w:rsidRPr="0006026A">
              <w:rPr>
                <w:rFonts w:cs="Arial"/>
                <w:b/>
                <w:bCs/>
                <w:color w:val="000000"/>
                <w:sz w:val="16"/>
                <w:szCs w:val="16"/>
              </w:rPr>
              <w:t>Προβλέψεις</w:t>
            </w:r>
          </w:p>
        </w:tc>
      </w:tr>
      <w:tr w:rsidR="00CC405C" w:rsidRPr="0006026A" w14:paraId="18D85950" w14:textId="77777777" w:rsidTr="001F2EED">
        <w:trPr>
          <w:cantSplit/>
          <w:trHeight w:val="243"/>
          <w:jc w:val="center"/>
        </w:trPr>
        <w:tc>
          <w:tcPr>
            <w:tcW w:w="6516" w:type="dxa"/>
            <w:tcBorders>
              <w:top w:val="single" w:sz="4" w:space="0" w:color="808080" w:themeColor="background1" w:themeShade="80"/>
            </w:tcBorders>
            <w:shd w:val="clear" w:color="auto" w:fill="auto"/>
            <w:noWrap/>
            <w:vAlign w:val="center"/>
            <w:hideMark/>
          </w:tcPr>
          <w:p w14:paraId="253D58DA" w14:textId="5766A75A" w:rsidR="00CC405C" w:rsidRPr="0006026A" w:rsidRDefault="00CC405C" w:rsidP="00CC405C">
            <w:pPr>
              <w:tabs>
                <w:tab w:val="left" w:pos="227"/>
              </w:tabs>
              <w:spacing w:after="0" w:line="276" w:lineRule="auto"/>
              <w:jc w:val="left"/>
              <w:rPr>
                <w:rFonts w:cs="Arial"/>
                <w:b/>
                <w:bCs/>
                <w:color w:val="000000"/>
                <w:sz w:val="16"/>
                <w:szCs w:val="16"/>
              </w:rPr>
            </w:pPr>
            <w:r w:rsidRPr="0006026A">
              <w:rPr>
                <w:rFonts w:cs="Arial"/>
                <w:b/>
                <w:bCs/>
                <w:color w:val="000000"/>
                <w:sz w:val="16"/>
                <w:szCs w:val="16"/>
              </w:rPr>
              <w:t>I.</w:t>
            </w:r>
            <w:r>
              <w:rPr>
                <w:rFonts w:cs="Arial"/>
                <w:b/>
                <w:bCs/>
                <w:color w:val="000000"/>
                <w:sz w:val="16"/>
                <w:szCs w:val="16"/>
              </w:rPr>
              <w:tab/>
            </w:r>
            <w:r w:rsidRPr="0006026A">
              <w:rPr>
                <w:rFonts w:cs="Arial"/>
                <w:b/>
                <w:bCs/>
                <w:color w:val="000000"/>
                <w:sz w:val="16"/>
                <w:szCs w:val="16"/>
              </w:rPr>
              <w:t xml:space="preserve">Μεταβιβάσεις από τον </w:t>
            </w:r>
            <w:r>
              <w:rPr>
                <w:rFonts w:cs="Arial"/>
                <w:b/>
                <w:bCs/>
                <w:color w:val="000000"/>
                <w:sz w:val="16"/>
                <w:szCs w:val="16"/>
              </w:rPr>
              <w:t>τ</w:t>
            </w:r>
            <w:r w:rsidRPr="0006026A">
              <w:rPr>
                <w:rFonts w:cs="Arial"/>
                <w:b/>
                <w:bCs/>
                <w:color w:val="000000"/>
                <w:sz w:val="16"/>
                <w:szCs w:val="16"/>
              </w:rPr>
              <w:t xml:space="preserve">ακτικό </w:t>
            </w:r>
            <w:r>
              <w:rPr>
                <w:rFonts w:cs="Arial"/>
                <w:b/>
                <w:bCs/>
                <w:color w:val="000000"/>
                <w:sz w:val="16"/>
                <w:szCs w:val="16"/>
              </w:rPr>
              <w:t>π</w:t>
            </w:r>
            <w:r w:rsidRPr="0006026A">
              <w:rPr>
                <w:rFonts w:cs="Arial"/>
                <w:b/>
                <w:bCs/>
                <w:color w:val="000000"/>
                <w:sz w:val="16"/>
                <w:szCs w:val="16"/>
              </w:rPr>
              <w:t>ροϋπολογισμό του Υπουργείου Εσωτερικών</w:t>
            </w:r>
          </w:p>
        </w:tc>
        <w:tc>
          <w:tcPr>
            <w:tcW w:w="1037" w:type="dxa"/>
            <w:tcBorders>
              <w:top w:val="single" w:sz="4" w:space="0" w:color="808080" w:themeColor="background1" w:themeShade="80"/>
            </w:tcBorders>
            <w:shd w:val="clear" w:color="auto" w:fill="auto"/>
            <w:noWrap/>
            <w:vAlign w:val="center"/>
          </w:tcPr>
          <w:p w14:paraId="3D86753E" w14:textId="77C7E1ED" w:rsidR="00CC405C" w:rsidRPr="0006026A" w:rsidRDefault="00CC405C" w:rsidP="00CC405C">
            <w:pPr>
              <w:spacing w:after="0" w:line="276" w:lineRule="auto"/>
              <w:jc w:val="right"/>
              <w:rPr>
                <w:rFonts w:cs="Arial"/>
                <w:b/>
                <w:bCs/>
                <w:color w:val="000000"/>
                <w:sz w:val="16"/>
                <w:szCs w:val="16"/>
              </w:rPr>
            </w:pPr>
            <w:r w:rsidRPr="00044707">
              <w:rPr>
                <w:rFonts w:cs="Arial"/>
                <w:b/>
                <w:bCs/>
                <w:color w:val="000000"/>
                <w:sz w:val="16"/>
                <w:szCs w:val="16"/>
              </w:rPr>
              <w:t>3.465</w:t>
            </w:r>
          </w:p>
        </w:tc>
        <w:tc>
          <w:tcPr>
            <w:tcW w:w="1171" w:type="dxa"/>
            <w:tcBorders>
              <w:top w:val="single" w:sz="4" w:space="0" w:color="808080" w:themeColor="background1" w:themeShade="80"/>
            </w:tcBorders>
            <w:shd w:val="clear" w:color="auto" w:fill="auto"/>
            <w:noWrap/>
            <w:vAlign w:val="center"/>
          </w:tcPr>
          <w:p w14:paraId="6A4CA164" w14:textId="4A3333AA" w:rsidR="00CC405C" w:rsidRPr="0006026A" w:rsidRDefault="00CC405C" w:rsidP="00CC405C">
            <w:pPr>
              <w:spacing w:after="0" w:line="276" w:lineRule="auto"/>
              <w:jc w:val="right"/>
              <w:rPr>
                <w:rFonts w:cs="Arial"/>
                <w:b/>
                <w:bCs/>
                <w:color w:val="000000"/>
                <w:sz w:val="16"/>
                <w:szCs w:val="16"/>
              </w:rPr>
            </w:pPr>
            <w:r w:rsidRPr="00044707">
              <w:rPr>
                <w:rFonts w:cs="Arial"/>
                <w:b/>
                <w:bCs/>
                <w:color w:val="000000"/>
                <w:sz w:val="16"/>
                <w:szCs w:val="16"/>
              </w:rPr>
              <w:t>3.549</w:t>
            </w:r>
          </w:p>
        </w:tc>
      </w:tr>
      <w:tr w:rsidR="00CC405C" w:rsidRPr="0006026A" w14:paraId="274340C6" w14:textId="77777777" w:rsidTr="001F2EED">
        <w:trPr>
          <w:cantSplit/>
          <w:trHeight w:val="243"/>
          <w:jc w:val="center"/>
        </w:trPr>
        <w:tc>
          <w:tcPr>
            <w:tcW w:w="6516" w:type="dxa"/>
            <w:shd w:val="clear" w:color="auto" w:fill="auto"/>
            <w:noWrap/>
            <w:vAlign w:val="center"/>
            <w:hideMark/>
          </w:tcPr>
          <w:p w14:paraId="6420859D" w14:textId="1F9AEAE4" w:rsidR="00CC405C" w:rsidRPr="0006026A" w:rsidRDefault="00CC405C" w:rsidP="00CC405C">
            <w:pPr>
              <w:tabs>
                <w:tab w:val="left" w:pos="227"/>
              </w:tabs>
              <w:spacing w:after="0" w:line="276" w:lineRule="auto"/>
              <w:jc w:val="left"/>
              <w:rPr>
                <w:rFonts w:cs="Arial"/>
                <w:b/>
                <w:bCs/>
                <w:color w:val="000000"/>
                <w:sz w:val="16"/>
                <w:szCs w:val="16"/>
              </w:rPr>
            </w:pPr>
            <w:r w:rsidRPr="0006026A">
              <w:rPr>
                <w:rFonts w:cs="Arial"/>
                <w:b/>
                <w:bCs/>
                <w:color w:val="000000"/>
                <w:sz w:val="16"/>
                <w:szCs w:val="16"/>
              </w:rPr>
              <w:t>IΙ.</w:t>
            </w:r>
            <w:r>
              <w:rPr>
                <w:rFonts w:cs="Arial"/>
                <w:b/>
                <w:bCs/>
                <w:color w:val="000000"/>
                <w:sz w:val="16"/>
                <w:szCs w:val="16"/>
              </w:rPr>
              <w:tab/>
            </w:r>
            <w:r w:rsidRPr="0006026A">
              <w:rPr>
                <w:rFonts w:cs="Arial"/>
                <w:b/>
                <w:bCs/>
                <w:color w:val="000000"/>
                <w:sz w:val="16"/>
                <w:szCs w:val="16"/>
              </w:rPr>
              <w:t xml:space="preserve">Μεταβιβάσεις από τον </w:t>
            </w:r>
            <w:r>
              <w:rPr>
                <w:rFonts w:cs="Arial"/>
                <w:b/>
                <w:bCs/>
                <w:color w:val="000000"/>
                <w:sz w:val="16"/>
                <w:szCs w:val="16"/>
              </w:rPr>
              <w:t>τ</w:t>
            </w:r>
            <w:r w:rsidRPr="0006026A">
              <w:rPr>
                <w:rFonts w:cs="Arial"/>
                <w:b/>
                <w:bCs/>
                <w:color w:val="000000"/>
                <w:sz w:val="16"/>
                <w:szCs w:val="16"/>
              </w:rPr>
              <w:t xml:space="preserve">ακτικό </w:t>
            </w:r>
            <w:r>
              <w:rPr>
                <w:rFonts w:cs="Arial"/>
                <w:b/>
                <w:bCs/>
                <w:color w:val="000000"/>
                <w:sz w:val="16"/>
                <w:szCs w:val="16"/>
              </w:rPr>
              <w:t>π</w:t>
            </w:r>
            <w:r w:rsidRPr="0006026A">
              <w:rPr>
                <w:rFonts w:cs="Arial"/>
                <w:b/>
                <w:bCs/>
                <w:color w:val="000000"/>
                <w:sz w:val="16"/>
                <w:szCs w:val="16"/>
              </w:rPr>
              <w:t>ροϋπολογισμό λοιπών Υπουργείων</w:t>
            </w:r>
          </w:p>
        </w:tc>
        <w:tc>
          <w:tcPr>
            <w:tcW w:w="1037" w:type="dxa"/>
            <w:shd w:val="clear" w:color="auto" w:fill="auto"/>
            <w:noWrap/>
            <w:vAlign w:val="center"/>
          </w:tcPr>
          <w:p w14:paraId="4EB2BC24" w14:textId="2951D042" w:rsidR="00CC405C" w:rsidRPr="0006026A" w:rsidRDefault="00CC405C" w:rsidP="00CC405C">
            <w:pPr>
              <w:spacing w:after="0" w:line="276" w:lineRule="auto"/>
              <w:jc w:val="right"/>
              <w:rPr>
                <w:rFonts w:cs="Arial"/>
                <w:b/>
                <w:bCs/>
                <w:color w:val="000000"/>
                <w:sz w:val="16"/>
                <w:szCs w:val="16"/>
              </w:rPr>
            </w:pPr>
            <w:r w:rsidRPr="00044707">
              <w:rPr>
                <w:rFonts w:cs="Arial"/>
                <w:b/>
                <w:bCs/>
                <w:color w:val="000000"/>
                <w:sz w:val="16"/>
                <w:szCs w:val="16"/>
              </w:rPr>
              <w:t>70</w:t>
            </w:r>
          </w:p>
        </w:tc>
        <w:tc>
          <w:tcPr>
            <w:tcW w:w="1171" w:type="dxa"/>
            <w:shd w:val="clear" w:color="auto" w:fill="auto"/>
            <w:noWrap/>
            <w:vAlign w:val="center"/>
          </w:tcPr>
          <w:p w14:paraId="39E87E54" w14:textId="42AF431A" w:rsidR="00CC405C" w:rsidRPr="0006026A" w:rsidRDefault="00CC405C" w:rsidP="00CC405C">
            <w:pPr>
              <w:spacing w:after="0" w:line="276" w:lineRule="auto"/>
              <w:jc w:val="right"/>
              <w:rPr>
                <w:rFonts w:cs="Arial"/>
                <w:b/>
                <w:bCs/>
                <w:color w:val="000000"/>
                <w:sz w:val="16"/>
                <w:szCs w:val="16"/>
              </w:rPr>
            </w:pPr>
            <w:r w:rsidRPr="00044707">
              <w:rPr>
                <w:rFonts w:cs="Arial"/>
                <w:b/>
                <w:bCs/>
                <w:color w:val="000000"/>
                <w:sz w:val="16"/>
                <w:szCs w:val="16"/>
              </w:rPr>
              <w:t>77</w:t>
            </w:r>
          </w:p>
        </w:tc>
      </w:tr>
      <w:tr w:rsidR="00CC405C" w:rsidRPr="0006026A" w14:paraId="53473C5B" w14:textId="77777777" w:rsidTr="001F2EED">
        <w:trPr>
          <w:cantSplit/>
          <w:trHeight w:val="243"/>
          <w:jc w:val="center"/>
        </w:trPr>
        <w:tc>
          <w:tcPr>
            <w:tcW w:w="6516" w:type="dxa"/>
            <w:shd w:val="clear" w:color="auto" w:fill="auto"/>
            <w:noWrap/>
            <w:vAlign w:val="center"/>
            <w:hideMark/>
          </w:tcPr>
          <w:p w14:paraId="5A18A0C1" w14:textId="00F25598" w:rsidR="00CC405C" w:rsidRPr="0006026A" w:rsidRDefault="00CC405C" w:rsidP="00CC405C">
            <w:pPr>
              <w:tabs>
                <w:tab w:val="left" w:pos="227"/>
              </w:tabs>
              <w:spacing w:after="0" w:line="276" w:lineRule="auto"/>
              <w:jc w:val="left"/>
              <w:rPr>
                <w:rFonts w:cs="Arial"/>
                <w:color w:val="000000"/>
                <w:sz w:val="16"/>
                <w:szCs w:val="16"/>
              </w:rPr>
            </w:pPr>
            <w:r w:rsidRPr="0006026A">
              <w:rPr>
                <w:rFonts w:cs="Arial"/>
                <w:color w:val="000000"/>
                <w:sz w:val="16"/>
                <w:szCs w:val="16"/>
              </w:rPr>
              <w:t>α.</w:t>
            </w:r>
            <w:r>
              <w:rPr>
                <w:rFonts w:cs="Arial"/>
                <w:color w:val="000000"/>
                <w:sz w:val="16"/>
                <w:szCs w:val="16"/>
              </w:rPr>
              <w:tab/>
            </w:r>
            <w:r w:rsidRPr="0006026A">
              <w:rPr>
                <w:rFonts w:cs="Arial"/>
                <w:color w:val="000000"/>
                <w:sz w:val="16"/>
                <w:szCs w:val="16"/>
              </w:rPr>
              <w:t xml:space="preserve">Υπουργείο Κοινωνικής Συνοχής </w:t>
            </w:r>
            <w:r>
              <w:rPr>
                <w:rFonts w:cs="Arial"/>
                <w:color w:val="000000"/>
                <w:sz w:val="16"/>
                <w:szCs w:val="16"/>
              </w:rPr>
              <w:t>και</w:t>
            </w:r>
            <w:r w:rsidRPr="0006026A">
              <w:rPr>
                <w:rFonts w:cs="Arial"/>
                <w:color w:val="000000"/>
                <w:sz w:val="16"/>
                <w:szCs w:val="16"/>
              </w:rPr>
              <w:t xml:space="preserve"> Οικογένειας</w:t>
            </w:r>
          </w:p>
        </w:tc>
        <w:tc>
          <w:tcPr>
            <w:tcW w:w="1037" w:type="dxa"/>
            <w:shd w:val="clear" w:color="auto" w:fill="auto"/>
            <w:noWrap/>
            <w:vAlign w:val="center"/>
          </w:tcPr>
          <w:p w14:paraId="7DDBE81F" w14:textId="58AE0F17"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17</w:t>
            </w:r>
          </w:p>
        </w:tc>
        <w:tc>
          <w:tcPr>
            <w:tcW w:w="1171" w:type="dxa"/>
            <w:shd w:val="clear" w:color="auto" w:fill="auto"/>
            <w:noWrap/>
            <w:vAlign w:val="center"/>
          </w:tcPr>
          <w:p w14:paraId="7864EF8F" w14:textId="2885CC9C"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18</w:t>
            </w:r>
          </w:p>
        </w:tc>
      </w:tr>
      <w:tr w:rsidR="00CC405C" w:rsidRPr="0006026A" w14:paraId="043368DF" w14:textId="77777777" w:rsidTr="001F2EED">
        <w:trPr>
          <w:cantSplit/>
          <w:trHeight w:val="243"/>
          <w:jc w:val="center"/>
        </w:trPr>
        <w:tc>
          <w:tcPr>
            <w:tcW w:w="6516" w:type="dxa"/>
            <w:shd w:val="clear" w:color="auto" w:fill="auto"/>
            <w:noWrap/>
            <w:vAlign w:val="center"/>
            <w:hideMark/>
          </w:tcPr>
          <w:p w14:paraId="6EE34F30" w14:textId="6BCA6BBB" w:rsidR="00CC405C" w:rsidRPr="0006026A" w:rsidRDefault="00CC405C" w:rsidP="00CC405C">
            <w:pPr>
              <w:tabs>
                <w:tab w:val="left" w:pos="227"/>
              </w:tabs>
              <w:spacing w:after="0" w:line="276" w:lineRule="auto"/>
              <w:jc w:val="left"/>
              <w:rPr>
                <w:rFonts w:cs="Arial"/>
                <w:color w:val="000000"/>
                <w:sz w:val="16"/>
                <w:szCs w:val="16"/>
              </w:rPr>
            </w:pPr>
            <w:r w:rsidRPr="0006026A">
              <w:rPr>
                <w:rFonts w:cs="Arial"/>
                <w:color w:val="000000"/>
                <w:sz w:val="16"/>
                <w:szCs w:val="16"/>
              </w:rPr>
              <w:t>β.</w:t>
            </w:r>
            <w:r>
              <w:rPr>
                <w:rFonts w:cs="Arial"/>
                <w:color w:val="000000"/>
                <w:sz w:val="16"/>
                <w:szCs w:val="16"/>
              </w:rPr>
              <w:tab/>
            </w:r>
            <w:r w:rsidRPr="0006026A">
              <w:rPr>
                <w:rFonts w:cs="Arial"/>
                <w:color w:val="000000"/>
                <w:sz w:val="16"/>
                <w:szCs w:val="16"/>
              </w:rPr>
              <w:t xml:space="preserve">Υπουργείο Περιβάλλοντος </w:t>
            </w:r>
            <w:r>
              <w:rPr>
                <w:rFonts w:cs="Arial"/>
                <w:color w:val="000000"/>
                <w:sz w:val="16"/>
                <w:szCs w:val="16"/>
              </w:rPr>
              <w:t>και</w:t>
            </w:r>
            <w:r w:rsidRPr="0006026A">
              <w:rPr>
                <w:rFonts w:cs="Arial"/>
                <w:color w:val="000000"/>
                <w:sz w:val="16"/>
                <w:szCs w:val="16"/>
              </w:rPr>
              <w:t xml:space="preserve"> Ενέργειας</w:t>
            </w:r>
          </w:p>
        </w:tc>
        <w:tc>
          <w:tcPr>
            <w:tcW w:w="1037" w:type="dxa"/>
            <w:shd w:val="clear" w:color="auto" w:fill="auto"/>
            <w:noWrap/>
            <w:vAlign w:val="center"/>
          </w:tcPr>
          <w:p w14:paraId="2161E65E" w14:textId="30073BB0"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6</w:t>
            </w:r>
          </w:p>
        </w:tc>
        <w:tc>
          <w:tcPr>
            <w:tcW w:w="1171" w:type="dxa"/>
            <w:shd w:val="clear" w:color="auto" w:fill="auto"/>
            <w:noWrap/>
            <w:vAlign w:val="center"/>
          </w:tcPr>
          <w:p w14:paraId="43CF566D" w14:textId="20899F90"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4</w:t>
            </w:r>
          </w:p>
        </w:tc>
      </w:tr>
      <w:tr w:rsidR="00CC405C" w:rsidRPr="0006026A" w14:paraId="110565A1" w14:textId="77777777" w:rsidTr="001F2EED">
        <w:trPr>
          <w:cantSplit/>
          <w:trHeight w:val="243"/>
          <w:jc w:val="center"/>
        </w:trPr>
        <w:tc>
          <w:tcPr>
            <w:tcW w:w="6516" w:type="dxa"/>
            <w:shd w:val="clear" w:color="auto" w:fill="auto"/>
            <w:noWrap/>
            <w:vAlign w:val="center"/>
            <w:hideMark/>
          </w:tcPr>
          <w:p w14:paraId="434ADB40" w14:textId="169229D1" w:rsidR="00CC405C" w:rsidRPr="0006026A" w:rsidRDefault="00CC405C" w:rsidP="00CC405C">
            <w:pPr>
              <w:tabs>
                <w:tab w:val="left" w:pos="227"/>
              </w:tabs>
              <w:spacing w:after="0" w:line="276" w:lineRule="auto"/>
              <w:jc w:val="left"/>
              <w:rPr>
                <w:rFonts w:cs="Arial"/>
                <w:color w:val="000000"/>
                <w:sz w:val="16"/>
                <w:szCs w:val="16"/>
              </w:rPr>
            </w:pPr>
            <w:r w:rsidRPr="0006026A">
              <w:rPr>
                <w:rFonts w:cs="Arial"/>
                <w:color w:val="000000"/>
                <w:sz w:val="16"/>
                <w:szCs w:val="16"/>
              </w:rPr>
              <w:t>γ.</w:t>
            </w:r>
            <w:r>
              <w:rPr>
                <w:rFonts w:cs="Arial"/>
                <w:color w:val="000000"/>
                <w:sz w:val="16"/>
                <w:szCs w:val="16"/>
              </w:rPr>
              <w:tab/>
            </w:r>
            <w:r w:rsidRPr="0006026A">
              <w:rPr>
                <w:rFonts w:cs="Arial"/>
                <w:color w:val="000000"/>
                <w:sz w:val="16"/>
                <w:szCs w:val="16"/>
              </w:rPr>
              <w:t xml:space="preserve">Υπουργείο Παιδείας, Θρησκευμάτων </w:t>
            </w:r>
            <w:r>
              <w:rPr>
                <w:rFonts w:cs="Arial"/>
                <w:color w:val="000000"/>
                <w:sz w:val="16"/>
                <w:szCs w:val="16"/>
              </w:rPr>
              <w:t>και</w:t>
            </w:r>
            <w:r w:rsidRPr="0006026A">
              <w:rPr>
                <w:rFonts w:cs="Arial"/>
                <w:color w:val="000000"/>
                <w:sz w:val="16"/>
                <w:szCs w:val="16"/>
              </w:rPr>
              <w:t xml:space="preserve"> Αθλητισμού</w:t>
            </w:r>
          </w:p>
        </w:tc>
        <w:tc>
          <w:tcPr>
            <w:tcW w:w="1037" w:type="dxa"/>
            <w:shd w:val="clear" w:color="auto" w:fill="auto"/>
            <w:noWrap/>
            <w:vAlign w:val="center"/>
          </w:tcPr>
          <w:p w14:paraId="29C9EE7C" w14:textId="5ABB1BDF"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2</w:t>
            </w:r>
          </w:p>
        </w:tc>
        <w:tc>
          <w:tcPr>
            <w:tcW w:w="1171" w:type="dxa"/>
            <w:shd w:val="clear" w:color="auto" w:fill="auto"/>
            <w:noWrap/>
            <w:vAlign w:val="center"/>
          </w:tcPr>
          <w:p w14:paraId="42CEC26B" w14:textId="57291B91"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3</w:t>
            </w:r>
          </w:p>
        </w:tc>
      </w:tr>
      <w:tr w:rsidR="00CC405C" w:rsidRPr="0006026A" w14:paraId="44865632" w14:textId="77777777" w:rsidTr="001F2EED">
        <w:trPr>
          <w:cantSplit/>
          <w:trHeight w:val="243"/>
          <w:jc w:val="center"/>
        </w:trPr>
        <w:tc>
          <w:tcPr>
            <w:tcW w:w="6516" w:type="dxa"/>
            <w:shd w:val="clear" w:color="auto" w:fill="auto"/>
            <w:noWrap/>
            <w:vAlign w:val="center"/>
            <w:hideMark/>
          </w:tcPr>
          <w:p w14:paraId="17189467" w14:textId="47AA4C44" w:rsidR="00CC405C" w:rsidRPr="0006026A" w:rsidRDefault="00CC405C" w:rsidP="00CC405C">
            <w:pPr>
              <w:tabs>
                <w:tab w:val="left" w:pos="227"/>
              </w:tabs>
              <w:spacing w:after="0" w:line="276" w:lineRule="auto"/>
              <w:jc w:val="left"/>
              <w:rPr>
                <w:rFonts w:cs="Arial"/>
                <w:color w:val="000000"/>
                <w:sz w:val="16"/>
                <w:szCs w:val="16"/>
              </w:rPr>
            </w:pPr>
            <w:r w:rsidRPr="0006026A">
              <w:rPr>
                <w:rFonts w:cs="Arial"/>
                <w:color w:val="000000"/>
                <w:sz w:val="16"/>
                <w:szCs w:val="16"/>
              </w:rPr>
              <w:t>δ.</w:t>
            </w:r>
            <w:r>
              <w:rPr>
                <w:rFonts w:cs="Arial"/>
                <w:color w:val="000000"/>
                <w:sz w:val="16"/>
                <w:szCs w:val="16"/>
              </w:rPr>
              <w:tab/>
            </w:r>
            <w:r w:rsidRPr="0006026A">
              <w:rPr>
                <w:rFonts w:cs="Arial"/>
                <w:color w:val="000000"/>
                <w:sz w:val="16"/>
                <w:szCs w:val="16"/>
              </w:rPr>
              <w:t xml:space="preserve">Υπουργείο Μετανάστευσης </w:t>
            </w:r>
            <w:r>
              <w:rPr>
                <w:rFonts w:cs="Arial"/>
                <w:color w:val="000000"/>
                <w:sz w:val="16"/>
                <w:szCs w:val="16"/>
              </w:rPr>
              <w:t>και</w:t>
            </w:r>
            <w:r w:rsidRPr="0006026A">
              <w:rPr>
                <w:rFonts w:cs="Arial"/>
                <w:color w:val="000000"/>
                <w:sz w:val="16"/>
                <w:szCs w:val="16"/>
              </w:rPr>
              <w:t xml:space="preserve"> Ασύλου</w:t>
            </w:r>
          </w:p>
        </w:tc>
        <w:tc>
          <w:tcPr>
            <w:tcW w:w="1037" w:type="dxa"/>
            <w:shd w:val="clear" w:color="auto" w:fill="auto"/>
            <w:noWrap/>
            <w:vAlign w:val="center"/>
          </w:tcPr>
          <w:p w14:paraId="2501EEC3" w14:textId="5F13768C"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38</w:t>
            </w:r>
          </w:p>
        </w:tc>
        <w:tc>
          <w:tcPr>
            <w:tcW w:w="1171" w:type="dxa"/>
            <w:shd w:val="clear" w:color="auto" w:fill="auto"/>
            <w:noWrap/>
            <w:vAlign w:val="center"/>
          </w:tcPr>
          <w:p w14:paraId="56318348" w14:textId="08B7AFC8"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50</w:t>
            </w:r>
          </w:p>
        </w:tc>
      </w:tr>
      <w:tr w:rsidR="00CC405C" w:rsidRPr="0006026A" w14:paraId="411874D4" w14:textId="77777777" w:rsidTr="001F2EED">
        <w:trPr>
          <w:cantSplit/>
          <w:trHeight w:val="243"/>
          <w:jc w:val="center"/>
        </w:trPr>
        <w:tc>
          <w:tcPr>
            <w:tcW w:w="6516" w:type="dxa"/>
            <w:shd w:val="clear" w:color="auto" w:fill="auto"/>
            <w:noWrap/>
            <w:vAlign w:val="center"/>
            <w:hideMark/>
          </w:tcPr>
          <w:p w14:paraId="70A58B5C" w14:textId="07F20B23" w:rsidR="00CC405C" w:rsidRPr="0006026A" w:rsidRDefault="00CC405C" w:rsidP="00CC405C">
            <w:pPr>
              <w:tabs>
                <w:tab w:val="left" w:pos="227"/>
              </w:tabs>
              <w:spacing w:after="0" w:line="276" w:lineRule="auto"/>
              <w:jc w:val="left"/>
              <w:rPr>
                <w:rFonts w:cs="Arial"/>
                <w:color w:val="000000"/>
                <w:sz w:val="16"/>
                <w:szCs w:val="16"/>
              </w:rPr>
            </w:pPr>
            <w:r w:rsidRPr="0006026A">
              <w:rPr>
                <w:rFonts w:cs="Arial"/>
                <w:color w:val="000000"/>
                <w:sz w:val="16"/>
                <w:szCs w:val="16"/>
              </w:rPr>
              <w:t>ε.</w:t>
            </w:r>
            <w:r>
              <w:rPr>
                <w:rFonts w:cs="Arial"/>
                <w:color w:val="000000"/>
                <w:sz w:val="16"/>
                <w:szCs w:val="16"/>
              </w:rPr>
              <w:tab/>
            </w:r>
            <w:r w:rsidRPr="0006026A">
              <w:rPr>
                <w:rFonts w:cs="Arial"/>
                <w:color w:val="000000"/>
                <w:sz w:val="16"/>
                <w:szCs w:val="16"/>
              </w:rPr>
              <w:t xml:space="preserve">Υπουργείο Κλιματικής Κρίσης </w:t>
            </w:r>
            <w:r>
              <w:rPr>
                <w:rFonts w:cs="Arial"/>
                <w:color w:val="000000"/>
                <w:sz w:val="16"/>
                <w:szCs w:val="16"/>
              </w:rPr>
              <w:t>και</w:t>
            </w:r>
            <w:r w:rsidRPr="0006026A">
              <w:rPr>
                <w:rFonts w:cs="Arial"/>
                <w:color w:val="000000"/>
                <w:sz w:val="16"/>
                <w:szCs w:val="16"/>
              </w:rPr>
              <w:t xml:space="preserve"> Πολιτικής Προστασίας</w:t>
            </w:r>
          </w:p>
        </w:tc>
        <w:tc>
          <w:tcPr>
            <w:tcW w:w="1037" w:type="dxa"/>
            <w:shd w:val="clear" w:color="auto" w:fill="auto"/>
            <w:noWrap/>
            <w:vAlign w:val="center"/>
          </w:tcPr>
          <w:p w14:paraId="19E04867" w14:textId="09DF33BF"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7</w:t>
            </w:r>
          </w:p>
        </w:tc>
        <w:tc>
          <w:tcPr>
            <w:tcW w:w="1171" w:type="dxa"/>
            <w:shd w:val="clear" w:color="auto" w:fill="auto"/>
            <w:noWrap/>
            <w:vAlign w:val="center"/>
          </w:tcPr>
          <w:p w14:paraId="4C46542F" w14:textId="52D0E0AE"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2</w:t>
            </w:r>
          </w:p>
        </w:tc>
      </w:tr>
      <w:tr w:rsidR="00CC405C" w:rsidRPr="0006026A" w14:paraId="379DDF68" w14:textId="77777777" w:rsidTr="001F2EED">
        <w:trPr>
          <w:cantSplit/>
          <w:trHeight w:val="243"/>
          <w:jc w:val="center"/>
        </w:trPr>
        <w:tc>
          <w:tcPr>
            <w:tcW w:w="6516" w:type="dxa"/>
            <w:shd w:val="clear" w:color="auto" w:fill="auto"/>
            <w:noWrap/>
            <w:vAlign w:val="center"/>
            <w:hideMark/>
          </w:tcPr>
          <w:p w14:paraId="6246B61D" w14:textId="4F93C8A8" w:rsidR="00CC405C" w:rsidRPr="0006026A" w:rsidRDefault="00CC405C" w:rsidP="00CC405C">
            <w:pPr>
              <w:tabs>
                <w:tab w:val="left" w:pos="227"/>
              </w:tabs>
              <w:spacing w:after="0" w:line="276" w:lineRule="auto"/>
              <w:jc w:val="left"/>
              <w:rPr>
                <w:rFonts w:cs="Arial"/>
                <w:color w:val="000000"/>
                <w:sz w:val="16"/>
                <w:szCs w:val="16"/>
              </w:rPr>
            </w:pPr>
            <w:r w:rsidRPr="0006026A">
              <w:rPr>
                <w:rFonts w:cs="Arial"/>
                <w:color w:val="000000"/>
                <w:sz w:val="16"/>
                <w:szCs w:val="16"/>
              </w:rPr>
              <w:t>στ.</w:t>
            </w:r>
            <w:r>
              <w:rPr>
                <w:rFonts w:cs="Arial"/>
                <w:color w:val="000000"/>
                <w:sz w:val="16"/>
                <w:szCs w:val="16"/>
              </w:rPr>
              <w:tab/>
            </w:r>
            <w:r w:rsidRPr="0006026A">
              <w:rPr>
                <w:rFonts w:cs="Arial"/>
                <w:color w:val="000000"/>
                <w:sz w:val="16"/>
                <w:szCs w:val="16"/>
              </w:rPr>
              <w:t>Υπουργεία Ανάπτυξης</w:t>
            </w:r>
            <w:r w:rsidR="00E13C2D">
              <w:rPr>
                <w:rFonts w:cs="Arial"/>
                <w:color w:val="000000"/>
                <w:sz w:val="16"/>
                <w:szCs w:val="16"/>
              </w:rPr>
              <w:t xml:space="preserve"> και</w:t>
            </w:r>
            <w:r w:rsidRPr="0006026A">
              <w:rPr>
                <w:rFonts w:cs="Arial"/>
                <w:color w:val="000000"/>
                <w:sz w:val="16"/>
                <w:szCs w:val="16"/>
              </w:rPr>
              <w:t xml:space="preserve"> Αγροτικής Ανάπτυξης </w:t>
            </w:r>
            <w:r>
              <w:rPr>
                <w:rFonts w:cs="Arial"/>
                <w:color w:val="000000"/>
                <w:sz w:val="16"/>
                <w:szCs w:val="16"/>
              </w:rPr>
              <w:t>και</w:t>
            </w:r>
            <w:r w:rsidRPr="0006026A">
              <w:rPr>
                <w:rFonts w:cs="Arial"/>
                <w:color w:val="000000"/>
                <w:sz w:val="16"/>
                <w:szCs w:val="16"/>
              </w:rPr>
              <w:t xml:space="preserve"> Τροφίμων, Βουλή των Ελλήνων</w:t>
            </w:r>
          </w:p>
        </w:tc>
        <w:tc>
          <w:tcPr>
            <w:tcW w:w="1037" w:type="dxa"/>
            <w:shd w:val="clear" w:color="auto" w:fill="auto"/>
            <w:noWrap/>
            <w:vAlign w:val="center"/>
          </w:tcPr>
          <w:p w14:paraId="4DC57337" w14:textId="32485931"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1</w:t>
            </w:r>
          </w:p>
        </w:tc>
        <w:tc>
          <w:tcPr>
            <w:tcW w:w="1171" w:type="dxa"/>
            <w:shd w:val="clear" w:color="auto" w:fill="auto"/>
            <w:noWrap/>
            <w:vAlign w:val="center"/>
          </w:tcPr>
          <w:p w14:paraId="2AE1E869" w14:textId="1C926872" w:rsidR="00CC405C" w:rsidRPr="0006026A" w:rsidRDefault="00CC405C" w:rsidP="00CC405C">
            <w:pPr>
              <w:spacing w:after="0" w:line="276" w:lineRule="auto"/>
              <w:jc w:val="right"/>
              <w:rPr>
                <w:rFonts w:cs="Arial"/>
                <w:color w:val="000000"/>
                <w:sz w:val="16"/>
                <w:szCs w:val="16"/>
              </w:rPr>
            </w:pPr>
            <w:r w:rsidRPr="00044707">
              <w:rPr>
                <w:rFonts w:cs="Arial"/>
                <w:color w:val="000000"/>
                <w:sz w:val="16"/>
                <w:szCs w:val="16"/>
              </w:rPr>
              <w:t>0</w:t>
            </w:r>
          </w:p>
        </w:tc>
      </w:tr>
      <w:tr w:rsidR="00CC405C" w:rsidRPr="0006026A" w14:paraId="67F6E971" w14:textId="77777777" w:rsidTr="001F2EED">
        <w:trPr>
          <w:cantSplit/>
          <w:trHeight w:val="243"/>
          <w:jc w:val="center"/>
        </w:trPr>
        <w:tc>
          <w:tcPr>
            <w:tcW w:w="6516" w:type="dxa"/>
            <w:tcBorders>
              <w:bottom w:val="single" w:sz="4" w:space="0" w:color="808080" w:themeColor="background1" w:themeShade="80"/>
            </w:tcBorders>
            <w:shd w:val="clear" w:color="000000" w:fill="D5DCE4"/>
            <w:noWrap/>
            <w:vAlign w:val="center"/>
            <w:hideMark/>
          </w:tcPr>
          <w:p w14:paraId="3E907BC3" w14:textId="13D4CB36" w:rsidR="00CC405C" w:rsidRPr="0006026A" w:rsidRDefault="00CC405C" w:rsidP="00CC405C">
            <w:pPr>
              <w:spacing w:after="0" w:line="276" w:lineRule="auto"/>
              <w:jc w:val="left"/>
              <w:rPr>
                <w:rFonts w:cs="Arial"/>
                <w:b/>
                <w:bCs/>
                <w:color w:val="000000"/>
                <w:sz w:val="16"/>
                <w:szCs w:val="16"/>
              </w:rPr>
            </w:pPr>
            <w:r w:rsidRPr="0006026A">
              <w:rPr>
                <w:rFonts w:cs="Arial"/>
                <w:b/>
                <w:bCs/>
                <w:color w:val="000000"/>
                <w:sz w:val="16"/>
                <w:szCs w:val="16"/>
              </w:rPr>
              <w:t xml:space="preserve">Σύνολο μεταβιβάσεων από τον </w:t>
            </w:r>
            <w:r>
              <w:rPr>
                <w:rFonts w:cs="Arial"/>
                <w:b/>
                <w:bCs/>
                <w:color w:val="000000"/>
                <w:sz w:val="16"/>
                <w:szCs w:val="16"/>
              </w:rPr>
              <w:t>τ</w:t>
            </w:r>
            <w:r w:rsidRPr="0006026A">
              <w:rPr>
                <w:rFonts w:cs="Arial"/>
                <w:b/>
                <w:bCs/>
                <w:color w:val="000000"/>
                <w:sz w:val="16"/>
                <w:szCs w:val="16"/>
              </w:rPr>
              <w:t xml:space="preserve">ακτικό </w:t>
            </w:r>
            <w:r>
              <w:rPr>
                <w:rFonts w:cs="Arial"/>
                <w:b/>
                <w:bCs/>
                <w:color w:val="000000"/>
                <w:sz w:val="16"/>
                <w:szCs w:val="16"/>
              </w:rPr>
              <w:t>π</w:t>
            </w:r>
            <w:r w:rsidRPr="0006026A">
              <w:rPr>
                <w:rFonts w:cs="Arial"/>
                <w:b/>
                <w:bCs/>
                <w:color w:val="000000"/>
                <w:sz w:val="16"/>
                <w:szCs w:val="16"/>
              </w:rPr>
              <w:t>ροϋπολογισμό στους ΟΤΑ (Ι + ΙΙ)</w:t>
            </w:r>
          </w:p>
        </w:tc>
        <w:tc>
          <w:tcPr>
            <w:tcW w:w="1037" w:type="dxa"/>
            <w:tcBorders>
              <w:bottom w:val="single" w:sz="4" w:space="0" w:color="808080" w:themeColor="background1" w:themeShade="80"/>
            </w:tcBorders>
            <w:shd w:val="clear" w:color="000000" w:fill="D5DCE4"/>
            <w:noWrap/>
            <w:vAlign w:val="center"/>
          </w:tcPr>
          <w:p w14:paraId="47E8BFA8" w14:textId="37BDA75E" w:rsidR="00CC405C" w:rsidRPr="0006026A" w:rsidRDefault="00CC405C" w:rsidP="00CC405C">
            <w:pPr>
              <w:spacing w:after="0" w:line="276" w:lineRule="auto"/>
              <w:jc w:val="right"/>
              <w:rPr>
                <w:rFonts w:cs="Arial"/>
                <w:b/>
                <w:bCs/>
                <w:color w:val="000000"/>
                <w:sz w:val="16"/>
                <w:szCs w:val="16"/>
              </w:rPr>
            </w:pPr>
            <w:r w:rsidRPr="00044707">
              <w:rPr>
                <w:rFonts w:cs="Arial"/>
                <w:b/>
                <w:bCs/>
                <w:color w:val="000000"/>
                <w:sz w:val="16"/>
                <w:szCs w:val="16"/>
              </w:rPr>
              <w:t>3.535</w:t>
            </w:r>
          </w:p>
        </w:tc>
        <w:tc>
          <w:tcPr>
            <w:tcW w:w="1171" w:type="dxa"/>
            <w:tcBorders>
              <w:bottom w:val="single" w:sz="4" w:space="0" w:color="808080" w:themeColor="background1" w:themeShade="80"/>
            </w:tcBorders>
            <w:shd w:val="clear" w:color="000000" w:fill="D5DCE4"/>
            <w:noWrap/>
            <w:vAlign w:val="center"/>
          </w:tcPr>
          <w:p w14:paraId="470D6560" w14:textId="01CAA5B5" w:rsidR="00CC405C" w:rsidRPr="0006026A" w:rsidRDefault="00CC405C" w:rsidP="00CC405C">
            <w:pPr>
              <w:spacing w:after="0" w:line="276" w:lineRule="auto"/>
              <w:jc w:val="right"/>
              <w:rPr>
                <w:rFonts w:cs="Arial"/>
                <w:b/>
                <w:bCs/>
                <w:color w:val="000000"/>
                <w:sz w:val="16"/>
                <w:szCs w:val="16"/>
              </w:rPr>
            </w:pPr>
            <w:r w:rsidRPr="00044707">
              <w:rPr>
                <w:rFonts w:cs="Arial"/>
                <w:b/>
                <w:bCs/>
                <w:color w:val="000000"/>
                <w:sz w:val="16"/>
                <w:szCs w:val="16"/>
              </w:rPr>
              <w:t>3.626</w:t>
            </w:r>
          </w:p>
        </w:tc>
      </w:tr>
    </w:tbl>
    <w:p w14:paraId="13EA3391" w14:textId="6933DBB2" w:rsidR="00EE19FB" w:rsidRPr="007F296D" w:rsidRDefault="009A1D13" w:rsidP="00300BBF">
      <w:pPr>
        <w:pStyle w:val="3"/>
      </w:pPr>
      <w:bookmarkStart w:id="415" w:name="_Toc214473781"/>
      <w:r w:rsidRPr="007F296D">
        <w:t xml:space="preserve">Ληξιπρόθεσμες </w:t>
      </w:r>
      <w:r w:rsidR="004B242C">
        <w:t>υποχρεώσεις</w:t>
      </w:r>
      <w:r w:rsidRPr="007F296D">
        <w:t xml:space="preserve"> της </w:t>
      </w:r>
      <w:r w:rsidR="00A15D74">
        <w:t>Γ</w:t>
      </w:r>
      <w:r w:rsidRPr="007F296D">
        <w:t xml:space="preserve">ενικής </w:t>
      </w:r>
      <w:r w:rsidR="00A15D74">
        <w:t>Κ</w:t>
      </w:r>
      <w:r w:rsidRPr="007F296D">
        <w:t>υβέρνησης προς τρίτους</w:t>
      </w:r>
      <w:bookmarkEnd w:id="415"/>
    </w:p>
    <w:p w14:paraId="49A7C93A" w14:textId="77777777" w:rsidR="000F7530" w:rsidRDefault="000F7530" w:rsidP="000F7530">
      <w:bookmarkStart w:id="416" w:name="_Hlk150868545"/>
      <w:r>
        <w:t xml:space="preserve">Οι συνολικές ληξιπρόθεσμες υποχρεώσεις της Γενικής Κυβέρνησης παρουσιάζουν έντονη εποχικότητα κατά τη διάρκεια του έτους και ιστορικά εμφανίζονται μειωμένες κατά τη λήξη του. Συγκεκριμένα, τον μήνα Σεπτέμβριο </w:t>
      </w:r>
      <w:r w:rsidRPr="0067349D">
        <w:t>2025</w:t>
      </w:r>
      <w:r>
        <w:t xml:space="preserve"> το ύψος τους διαμορφώνεται στο ποσό των </w:t>
      </w:r>
      <w:r w:rsidRPr="0067349D">
        <w:t>2.942</w:t>
      </w:r>
      <w:r>
        <w:t xml:space="preserve"> εκατ. ευρώ. Οι εν λόγω υποχρεώσεις περιλαμβάνουν ποσά clawback και rebate εκτιμώμενου ύψους </w:t>
      </w:r>
      <w:r w:rsidRPr="002072DE">
        <w:t>1.499</w:t>
      </w:r>
      <w:r>
        <w:t xml:space="preserve"> εκατ. ευρώ, που ακόμα δεν έχουν συμψηφιστεί, με αποτέλεσμα το ύψος τους, εξαιρουμένων των ανωτέρω υπό συμψηφισμό ποσών, να ανέρχεται σε </w:t>
      </w:r>
      <w:r w:rsidRPr="002072DE">
        <w:t>1.443</w:t>
      </w:r>
      <w:r>
        <w:t xml:space="preserve"> εκατ. ευρώ.</w:t>
      </w:r>
    </w:p>
    <w:p w14:paraId="44DF953B" w14:textId="3EC72801" w:rsidR="000F7530" w:rsidRDefault="000F7530" w:rsidP="000F7530">
      <w:r>
        <w:t>Η εξέλιξη των ληξιπρόθεσμων υποχρεώσεων των φορέων της Γενικής Κυβέρνησης</w:t>
      </w:r>
      <w:r w:rsidR="0031021F">
        <w:t xml:space="preserve"> τον Σεπτέμβριο 2025</w:t>
      </w:r>
      <w:r>
        <w:t xml:space="preserve"> έχει ως εξής:</w:t>
      </w:r>
    </w:p>
    <w:p w14:paraId="506CC622" w14:textId="1362FF65" w:rsidR="000F7530" w:rsidRDefault="000F7530" w:rsidP="000F7530">
      <w:pPr>
        <w:numPr>
          <w:ilvl w:val="0"/>
          <w:numId w:val="1"/>
        </w:numPr>
        <w:spacing w:before="120" w:after="60"/>
        <w:ind w:left="568" w:hanging="284"/>
      </w:pPr>
      <w:r>
        <w:t xml:space="preserve">Για τους φορείς της Κεντρικής Διοίκησης το ύψος των ληξιπρόθεσμων υποχρεώσεων ανέρχεται στο ποσό των </w:t>
      </w:r>
      <w:r w:rsidRPr="0067349D">
        <w:t>205</w:t>
      </w:r>
      <w:r>
        <w:t xml:space="preserve"> εκατ. ευρώ.</w:t>
      </w:r>
    </w:p>
    <w:p w14:paraId="77F9EE0D" w14:textId="56E70A7D" w:rsidR="000F7530" w:rsidRDefault="000F7530" w:rsidP="000F7530">
      <w:pPr>
        <w:numPr>
          <w:ilvl w:val="0"/>
          <w:numId w:val="1"/>
        </w:numPr>
        <w:spacing w:before="60" w:after="60"/>
        <w:ind w:left="568" w:hanging="284"/>
      </w:pPr>
      <w:r>
        <w:t xml:space="preserve">Οι ληξιπρόθεσμες υποχρεώσεις των ΟΤΑ διαμορφώνονται στο ποσό των </w:t>
      </w:r>
      <w:r w:rsidRPr="0067349D">
        <w:t>240</w:t>
      </w:r>
      <w:r>
        <w:t xml:space="preserve"> εκατ. ευρώ</w:t>
      </w:r>
      <w:r w:rsidRPr="000F7530">
        <w:t>.</w:t>
      </w:r>
    </w:p>
    <w:p w14:paraId="4A2E518C" w14:textId="788A4D0D" w:rsidR="000F7530" w:rsidRDefault="000F7530" w:rsidP="00ED78E2">
      <w:pPr>
        <w:numPr>
          <w:ilvl w:val="0"/>
          <w:numId w:val="12"/>
        </w:numPr>
        <w:spacing w:before="60" w:after="60"/>
        <w:ind w:left="568" w:hanging="284"/>
      </w:pPr>
      <w:r>
        <w:t xml:space="preserve">Όσον αφορά στους ΟΚΑ, το ύψος των ληξιπρόθεσμων υποχρεώσεων διαμορφώνεται στο ποσό των </w:t>
      </w:r>
      <w:r w:rsidRPr="0067349D">
        <w:t>612</w:t>
      </w:r>
      <w:r>
        <w:t xml:space="preserve"> εκατ. ευρώ, εκ των οποίων ποσό ύψους </w:t>
      </w:r>
      <w:r w:rsidRPr="00902858">
        <w:t>197</w:t>
      </w:r>
      <w:r>
        <w:t xml:space="preserve"> εκατ. ευρώ αφορά σε ληξιπρόθεσμες υποχρεώσεις του κλάδου εφάπαξ παροχών του e-ΕΦΚΑ, </w:t>
      </w:r>
      <w:r w:rsidRPr="00101CFB">
        <w:t>κατόπιν της επιτάχυνσης εκκαθάρισης των κύριων συντάξεων, η οποία συμπαρασύρει τον ρυθμό εκκαθάρισης των εφάπαξ παροχών.</w:t>
      </w:r>
      <w:r w:rsidRPr="009E57D8">
        <w:t xml:space="preserve"> </w:t>
      </w:r>
      <w:r>
        <w:t xml:space="preserve">Στο ποσό των ληξιπρόθεσμων υποχρεώσεων συμπεριλαμβάνεται ποσό ανείσπρακτου </w:t>
      </w:r>
      <w:r>
        <w:rPr>
          <w:lang w:val="en-US"/>
        </w:rPr>
        <w:t>clawback</w:t>
      </w:r>
      <w:r w:rsidRPr="00F15AD4">
        <w:t xml:space="preserve"> </w:t>
      </w:r>
      <w:r>
        <w:t xml:space="preserve">και </w:t>
      </w:r>
      <w:r>
        <w:rPr>
          <w:lang w:val="en-US"/>
        </w:rPr>
        <w:t>rebate</w:t>
      </w:r>
      <w:r>
        <w:t xml:space="preserve">, ύψους </w:t>
      </w:r>
      <w:r w:rsidRPr="00902858">
        <w:t>211</w:t>
      </w:r>
      <w:r>
        <w:t xml:space="preserve"> εκατ.</w:t>
      </w:r>
      <w:r w:rsidR="00D75A0C" w:rsidRPr="00D75A0C">
        <w:t xml:space="preserve"> </w:t>
      </w:r>
      <w:r>
        <w:t>ευρώ, το οποίο αφορά στον ΕΟΠΥΥ.</w:t>
      </w:r>
    </w:p>
    <w:p w14:paraId="6DFB4631" w14:textId="3A26CD73" w:rsidR="000F7530" w:rsidRDefault="000F7530" w:rsidP="00ED78E2">
      <w:pPr>
        <w:numPr>
          <w:ilvl w:val="0"/>
          <w:numId w:val="1"/>
        </w:numPr>
        <w:spacing w:before="60" w:after="60"/>
        <w:ind w:left="568" w:hanging="284"/>
      </w:pPr>
      <w:r>
        <w:t>Οι ληξιπρόθεσμες υποχρεώσεις των νοσοκομείων (συμπεριλαμβανομένης και της ΕΚΑΠΥ), λαμβ</w:t>
      </w:r>
      <w:r w:rsidR="008478A5">
        <w:t xml:space="preserve">ανομένων </w:t>
      </w:r>
      <w:r>
        <w:t>υπόψη και τ</w:t>
      </w:r>
      <w:r w:rsidR="008478A5">
        <w:t>ων</w:t>
      </w:r>
      <w:r>
        <w:t xml:space="preserve"> ποσ</w:t>
      </w:r>
      <w:r w:rsidR="008478A5">
        <w:t>ών</w:t>
      </w:r>
      <w:r>
        <w:t xml:space="preserve"> clawback και rebate ύψους </w:t>
      </w:r>
      <w:r w:rsidRPr="00B63A96">
        <w:t>1.288</w:t>
      </w:r>
      <w:r>
        <w:t xml:space="preserve"> εκατ. ευρώ, υπολογίζονται στο ποσό των </w:t>
      </w:r>
      <w:r w:rsidRPr="0067349D">
        <w:t>1.664</w:t>
      </w:r>
      <w:r>
        <w:t xml:space="preserve"> εκατ. ευρώ και ως εκ τούτου, οι καθαρές ληξιπρόθεσμες υποχρεώσεις ανέρχονται στο ποσό των </w:t>
      </w:r>
      <w:r w:rsidRPr="0013750D">
        <w:t>376</w:t>
      </w:r>
      <w:r>
        <w:rPr>
          <w:color w:val="FF0000"/>
        </w:rPr>
        <w:t xml:space="preserve"> </w:t>
      </w:r>
      <w:r>
        <w:t>εκατ. ευρώ.</w:t>
      </w:r>
    </w:p>
    <w:p w14:paraId="5BC0B9F0" w14:textId="65EA1BC6" w:rsidR="000F7530" w:rsidRDefault="000F7530" w:rsidP="00ED78E2">
      <w:pPr>
        <w:numPr>
          <w:ilvl w:val="0"/>
          <w:numId w:val="1"/>
        </w:numPr>
        <w:spacing w:before="60" w:after="60"/>
        <w:ind w:left="568" w:hanging="284"/>
      </w:pPr>
      <w:r>
        <w:t xml:space="preserve">Ως προς τα λοιπά νομικά πρόσωπα, το ύψος των ληξιπρόθεσμων υποχρεώσεων ανέρχεται στο ποσό των </w:t>
      </w:r>
      <w:r w:rsidRPr="0067349D">
        <w:t>222</w:t>
      </w:r>
      <w:r>
        <w:t xml:space="preserve"> εκατ. ευρώ. Σημειώνεται ότι οι ληξιπρόθεσμες υποχρεώσεις:</w:t>
      </w:r>
    </w:p>
    <w:p w14:paraId="0BAA1B03" w14:textId="73D32D09" w:rsidR="000F7530" w:rsidRDefault="000F7530" w:rsidP="00ED78E2">
      <w:pPr>
        <w:spacing w:before="60" w:after="60"/>
        <w:ind w:left="568"/>
      </w:pPr>
      <w:r>
        <w:t xml:space="preserve">(α) των συγκοινωνιακών φορέων ανέρχονται στο ποσό των </w:t>
      </w:r>
      <w:r w:rsidRPr="004B13BB">
        <w:t>25</w:t>
      </w:r>
      <w:r>
        <w:t xml:space="preserve"> εκατ. ευρώ</w:t>
      </w:r>
      <w:r w:rsidR="008478A5">
        <w:t xml:space="preserve"> και</w:t>
      </w:r>
    </w:p>
    <w:p w14:paraId="17DAE802" w14:textId="10530D55" w:rsidR="000F7530" w:rsidRDefault="000F7530" w:rsidP="00ED78E2">
      <w:pPr>
        <w:spacing w:before="60"/>
        <w:ind w:left="567"/>
      </w:pPr>
      <w:r>
        <w:t xml:space="preserve">(β) των αμυντικών βιομηχανιών, ΕΑΣ ΑΒΕΕ και ΕΑΒ ΑΕ, διαμορφώνεται στο ποσό των </w:t>
      </w:r>
      <w:r w:rsidRPr="004B13BB">
        <w:t>31</w:t>
      </w:r>
      <w:r>
        <w:t xml:space="preserve"> εκατ. ευρώ.</w:t>
      </w:r>
    </w:p>
    <w:p w14:paraId="440344C1" w14:textId="0642BAB7" w:rsidR="000F7530" w:rsidRDefault="000F7530" w:rsidP="000F7530">
      <w:r>
        <w:t xml:space="preserve">Με γνώμονα τη διασφάλιση της ταμειακής ρευστότητας των φορέων της Γενικής Κυβέρνησης και για την εν γένει εύρυθμη λειτουργία τους, εξακολουθεί να ισχύει η καταβολή μέχρι την 20η Ιανουαρίου κάθε έτους έως και του ενός τετάρτου (1/4) της προβλεπόμενης ετήσιας επιχορήγησης ή χρηματοδότησης από φορείς της Κεντρικής Διοίκησης, κατ’ εφαρμογή του άρθρου 84 του ν.4843/2021 (Α’ 193). Στο ίδιο </w:t>
      </w:r>
      <w:r>
        <w:lastRenderedPageBreak/>
        <w:t>πλαίσιο</w:t>
      </w:r>
      <w:r w:rsidR="008478A5">
        <w:t xml:space="preserve"> </w:t>
      </w:r>
      <w:r>
        <w:t>εξακολουθεί η εντός του έτους εμπροσθοβαρής τμηματική καταβολή της ετήσιας επιχορήγησης των νοσοκομείων από το Υπουργείο Υγείας, κατ’ εφαρμογή του άρθρου 85 του ίδιου ως άνω νόμου.</w:t>
      </w:r>
    </w:p>
    <w:p w14:paraId="4C718A83" w14:textId="6B8E531E" w:rsidR="008478A5" w:rsidRPr="0098356F" w:rsidRDefault="000F7530" w:rsidP="000F7530">
      <w:pPr>
        <w:spacing w:after="240"/>
      </w:pPr>
      <w:r>
        <w:t xml:space="preserve">Η εξέλιξη των ληξιπρόθεσμων υποχρεώσεων της Γενικής Κυβέρνησης και των εκκρεμών επιστροφών φόρων απεικονίζεται στους παρακάτω </w:t>
      </w:r>
      <w:r w:rsidRPr="0098356F">
        <w:t>πίνακες (</w:t>
      </w:r>
      <w:r w:rsidR="004E725B" w:rsidRPr="0098356F">
        <w:fldChar w:fldCharType="begin"/>
      </w:r>
      <w:r w:rsidR="004E725B" w:rsidRPr="0098356F">
        <w:instrText xml:space="preserve"> REF _Ref182423982 \h  \* MERGEFORMAT </w:instrText>
      </w:r>
      <w:r w:rsidR="004E725B" w:rsidRPr="0098356F">
        <w:fldChar w:fldCharType="separate"/>
      </w:r>
      <w:r w:rsidR="00E15678" w:rsidRPr="00E15678">
        <w:t>Πίνακας 3.25</w:t>
      </w:r>
      <w:r w:rsidR="004E725B" w:rsidRPr="0098356F">
        <w:fldChar w:fldCharType="end"/>
      </w:r>
      <w:r w:rsidR="004E725B" w:rsidRPr="0098356F">
        <w:t>.</w:t>
      </w:r>
      <w:r w:rsidRPr="0098356F">
        <w:t xml:space="preserve">, </w:t>
      </w:r>
      <w:r w:rsidR="004E725B" w:rsidRPr="0098356F">
        <w:fldChar w:fldCharType="begin"/>
      </w:r>
      <w:r w:rsidR="004E725B" w:rsidRPr="0098356F">
        <w:instrText xml:space="preserve"> REF _Ref182423986 \h  \* MERGEFORMAT </w:instrText>
      </w:r>
      <w:r w:rsidR="004E725B" w:rsidRPr="0098356F">
        <w:fldChar w:fldCharType="separate"/>
      </w:r>
      <w:r w:rsidR="00E15678" w:rsidRPr="00E15678">
        <w:t>Πίνακας 3.26</w:t>
      </w:r>
      <w:r w:rsidR="004E725B" w:rsidRPr="0098356F">
        <w:fldChar w:fldCharType="end"/>
      </w:r>
      <w:r w:rsidR="004E725B" w:rsidRPr="0098356F">
        <w:t>.</w:t>
      </w:r>
      <w:r w:rsidRPr="0098356F">
        <w:t>).</w:t>
      </w:r>
    </w:p>
    <w:tbl>
      <w:tblPr>
        <w:tblW w:w="8023"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2059"/>
        <w:gridCol w:w="990"/>
        <w:gridCol w:w="993"/>
        <w:gridCol w:w="991"/>
        <w:gridCol w:w="1002"/>
        <w:gridCol w:w="991"/>
        <w:gridCol w:w="997"/>
      </w:tblGrid>
      <w:tr w:rsidR="00D770C9" w:rsidRPr="004E725B" w14:paraId="302E83F1" w14:textId="77777777" w:rsidTr="00244472">
        <w:trPr>
          <w:cantSplit/>
          <w:jc w:val="center"/>
        </w:trPr>
        <w:tc>
          <w:tcPr>
            <w:tcW w:w="8023" w:type="dxa"/>
            <w:gridSpan w:val="7"/>
            <w:tcBorders>
              <w:top w:val="single" w:sz="2" w:space="0" w:color="A6A6A6" w:themeColor="background1" w:themeShade="A6"/>
              <w:left w:val="single" w:sz="2" w:space="0" w:color="A6A6A6" w:themeColor="background1" w:themeShade="A6"/>
              <w:bottom w:val="nil"/>
              <w:right w:val="single" w:sz="2" w:space="0" w:color="A6A6A6" w:themeColor="background1" w:themeShade="A6"/>
            </w:tcBorders>
            <w:shd w:val="clear" w:color="000000" w:fill="D5DCE4"/>
            <w:vAlign w:val="center"/>
            <w:hideMark/>
          </w:tcPr>
          <w:p w14:paraId="7E3E1EBF" w14:textId="2066BB27" w:rsidR="00D770C9" w:rsidRPr="004E725B" w:rsidRDefault="00D770C9" w:rsidP="005C6CDA">
            <w:pPr>
              <w:spacing w:after="0" w:line="276" w:lineRule="auto"/>
              <w:jc w:val="center"/>
              <w:rPr>
                <w:rFonts w:cs="Arial"/>
                <w:b/>
                <w:bCs/>
                <w:color w:val="000000"/>
                <w:sz w:val="18"/>
                <w:szCs w:val="18"/>
              </w:rPr>
            </w:pPr>
            <w:bookmarkStart w:id="417" w:name="_Δημοσιονομικές_παρεμβάσεις_2023"/>
            <w:bookmarkStart w:id="418" w:name="_Ref182423982"/>
            <w:bookmarkStart w:id="419" w:name="_Toc214474063"/>
            <w:bookmarkStart w:id="420" w:name="RANGE!A1"/>
            <w:bookmarkEnd w:id="416"/>
            <w:bookmarkEnd w:id="417"/>
            <w:r w:rsidRPr="004E725B">
              <w:rPr>
                <w:b/>
                <w:sz w:val="18"/>
                <w:szCs w:val="18"/>
              </w:rPr>
              <w:t>Πίνακας 3.</w:t>
            </w:r>
            <w:r w:rsidRPr="004E725B">
              <w:rPr>
                <w:b/>
                <w:sz w:val="18"/>
                <w:szCs w:val="18"/>
              </w:rPr>
              <w:fldChar w:fldCharType="begin"/>
            </w:r>
            <w:r w:rsidRPr="004E725B">
              <w:rPr>
                <w:b/>
                <w:sz w:val="18"/>
                <w:szCs w:val="18"/>
              </w:rPr>
              <w:instrText xml:space="preserve"> SEQ Πίνακας_3. \* ARABIC </w:instrText>
            </w:r>
            <w:r w:rsidRPr="004E725B">
              <w:rPr>
                <w:b/>
                <w:sz w:val="18"/>
                <w:szCs w:val="18"/>
              </w:rPr>
              <w:fldChar w:fldCharType="separate"/>
            </w:r>
            <w:r w:rsidR="00E15678">
              <w:rPr>
                <w:b/>
                <w:noProof/>
                <w:sz w:val="18"/>
                <w:szCs w:val="18"/>
              </w:rPr>
              <w:t>25</w:t>
            </w:r>
            <w:r w:rsidRPr="004E725B">
              <w:rPr>
                <w:b/>
                <w:sz w:val="18"/>
                <w:szCs w:val="18"/>
              </w:rPr>
              <w:fldChar w:fldCharType="end"/>
            </w:r>
            <w:bookmarkEnd w:id="418"/>
            <w:r w:rsidRPr="004E725B">
              <w:rPr>
                <w:b/>
                <w:sz w:val="18"/>
                <w:szCs w:val="18"/>
              </w:rPr>
              <w:t>.</w:t>
            </w:r>
            <w:r w:rsidRPr="004E725B">
              <w:rPr>
                <w:rFonts w:cs="Arial"/>
                <w:b/>
                <w:bCs/>
                <w:color w:val="000000"/>
                <w:sz w:val="18"/>
                <w:szCs w:val="18"/>
              </w:rPr>
              <w:t>: Εξέλιξη ληξιπρόθεσμων υποχρεώσεων της Γενικής Κυβέρνησης</w:t>
            </w:r>
            <w:bookmarkEnd w:id="419"/>
            <w:r w:rsidRPr="004E725B">
              <w:rPr>
                <w:rFonts w:cs="Arial"/>
                <w:b/>
                <w:bCs/>
                <w:color w:val="000000"/>
                <w:sz w:val="18"/>
                <w:szCs w:val="18"/>
              </w:rPr>
              <w:t xml:space="preserve"> </w:t>
            </w:r>
            <w:bookmarkEnd w:id="420"/>
          </w:p>
        </w:tc>
      </w:tr>
      <w:tr w:rsidR="00D770C9" w:rsidRPr="00E8778D" w14:paraId="279AB1B6" w14:textId="77777777" w:rsidTr="00244472">
        <w:trPr>
          <w:cantSplit/>
          <w:jc w:val="center"/>
        </w:trPr>
        <w:tc>
          <w:tcPr>
            <w:tcW w:w="8023" w:type="dxa"/>
            <w:gridSpan w:val="7"/>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03888674" w14:textId="2BAACA8A" w:rsidR="00D770C9" w:rsidRPr="004E725B" w:rsidRDefault="00D770C9" w:rsidP="005C6CDA">
            <w:pPr>
              <w:spacing w:after="0" w:line="276" w:lineRule="auto"/>
              <w:jc w:val="center"/>
              <w:rPr>
                <w:rFonts w:cs="Arial"/>
                <w:b/>
                <w:bCs/>
                <w:color w:val="000000"/>
                <w:sz w:val="18"/>
                <w:szCs w:val="18"/>
              </w:rPr>
            </w:pPr>
            <w:r w:rsidRPr="004E725B">
              <w:rPr>
                <w:rFonts w:cs="Arial"/>
                <w:b/>
                <w:bCs/>
                <w:color w:val="000000"/>
                <w:sz w:val="18"/>
                <w:szCs w:val="18"/>
              </w:rPr>
              <w:t>Δεκέμβριος 202</w:t>
            </w:r>
            <w:r w:rsidR="004E725B" w:rsidRPr="004E725B">
              <w:rPr>
                <w:rFonts w:cs="Arial"/>
                <w:b/>
                <w:bCs/>
                <w:color w:val="000000"/>
                <w:sz w:val="18"/>
                <w:szCs w:val="18"/>
              </w:rPr>
              <w:t>3</w:t>
            </w:r>
            <w:r w:rsidRPr="004E725B">
              <w:rPr>
                <w:rFonts w:cs="Arial"/>
                <w:b/>
                <w:bCs/>
                <w:color w:val="000000"/>
                <w:sz w:val="18"/>
                <w:szCs w:val="18"/>
              </w:rPr>
              <w:t xml:space="preserve"> - Σεπτέμβριος 202</w:t>
            </w:r>
            <w:r w:rsidR="004E725B" w:rsidRPr="004E725B">
              <w:rPr>
                <w:rFonts w:cs="Arial"/>
                <w:b/>
                <w:bCs/>
                <w:color w:val="000000"/>
                <w:sz w:val="18"/>
                <w:szCs w:val="18"/>
              </w:rPr>
              <w:t>5</w:t>
            </w:r>
            <w:r w:rsidRPr="004E725B">
              <w:rPr>
                <w:rFonts w:cs="Arial"/>
                <w:b/>
                <w:bCs/>
                <w:color w:val="000000"/>
                <w:sz w:val="18"/>
                <w:szCs w:val="18"/>
              </w:rPr>
              <w:t xml:space="preserve"> (σε εκατ. ευρώ)</w:t>
            </w:r>
          </w:p>
        </w:tc>
      </w:tr>
      <w:tr w:rsidR="00D770C9" w:rsidRPr="00572FFD" w14:paraId="616D16FF" w14:textId="77777777" w:rsidTr="00244472">
        <w:trPr>
          <w:cantSplit/>
          <w:jc w:val="center"/>
        </w:trPr>
        <w:tc>
          <w:tcPr>
            <w:tcW w:w="2059" w:type="dxa"/>
            <w:vMerge w:val="restart"/>
            <w:tcBorders>
              <w:top w:val="single" w:sz="2" w:space="0" w:color="A6A6A6" w:themeColor="background1" w:themeShade="A6"/>
              <w:left w:val="single" w:sz="2" w:space="0" w:color="A6A6A6" w:themeColor="background1" w:themeShade="A6"/>
              <w:bottom w:val="nil"/>
            </w:tcBorders>
            <w:shd w:val="clear" w:color="auto" w:fill="F2F2F2" w:themeFill="background1" w:themeFillShade="F2"/>
            <w:vAlign w:val="center"/>
            <w:hideMark/>
          </w:tcPr>
          <w:p w14:paraId="74A054FA" w14:textId="77777777" w:rsidR="00D770C9" w:rsidRPr="00572FFD" w:rsidRDefault="00D770C9" w:rsidP="005C6CDA">
            <w:pPr>
              <w:spacing w:after="0" w:line="276" w:lineRule="auto"/>
              <w:jc w:val="left"/>
              <w:rPr>
                <w:rFonts w:cs="Arial"/>
                <w:b/>
                <w:bCs/>
                <w:color w:val="000000"/>
                <w:sz w:val="16"/>
                <w:szCs w:val="16"/>
              </w:rPr>
            </w:pPr>
            <w:r w:rsidRPr="00572FFD">
              <w:rPr>
                <w:rFonts w:cs="Arial"/>
                <w:b/>
                <w:bCs/>
                <w:color w:val="000000"/>
                <w:sz w:val="16"/>
                <w:szCs w:val="16"/>
              </w:rPr>
              <w:t>Φορέας/Υποτομέας Γενικής Κυβέρνησης</w:t>
            </w:r>
          </w:p>
        </w:tc>
        <w:tc>
          <w:tcPr>
            <w:tcW w:w="990" w:type="dxa"/>
            <w:tcBorders>
              <w:top w:val="single" w:sz="2" w:space="0" w:color="A6A6A6" w:themeColor="background1" w:themeShade="A6"/>
              <w:bottom w:val="nil"/>
            </w:tcBorders>
            <w:shd w:val="clear" w:color="auto" w:fill="F2F2F2" w:themeFill="background1" w:themeFillShade="F2"/>
            <w:vAlign w:val="center"/>
            <w:hideMark/>
          </w:tcPr>
          <w:p w14:paraId="45E8EE0F" w14:textId="77777777" w:rsidR="00D770C9" w:rsidRPr="00572FFD" w:rsidRDefault="00D770C9" w:rsidP="005C6CDA">
            <w:pPr>
              <w:spacing w:after="0" w:line="276" w:lineRule="auto"/>
              <w:jc w:val="center"/>
              <w:rPr>
                <w:rFonts w:cs="Arial"/>
                <w:b/>
                <w:bCs/>
                <w:color w:val="000000"/>
                <w:sz w:val="16"/>
                <w:szCs w:val="16"/>
              </w:rPr>
            </w:pPr>
            <w:r w:rsidRPr="00572FFD">
              <w:rPr>
                <w:rFonts w:cs="Arial"/>
                <w:b/>
                <w:bCs/>
                <w:color w:val="000000"/>
                <w:sz w:val="16"/>
                <w:szCs w:val="16"/>
              </w:rPr>
              <w:t>Δεκ.</w:t>
            </w:r>
          </w:p>
        </w:tc>
        <w:tc>
          <w:tcPr>
            <w:tcW w:w="993" w:type="dxa"/>
            <w:tcBorders>
              <w:top w:val="single" w:sz="2" w:space="0" w:color="A6A6A6" w:themeColor="background1" w:themeShade="A6"/>
              <w:bottom w:val="nil"/>
            </w:tcBorders>
            <w:shd w:val="clear" w:color="auto" w:fill="F2F2F2" w:themeFill="background1" w:themeFillShade="F2"/>
            <w:vAlign w:val="center"/>
            <w:hideMark/>
          </w:tcPr>
          <w:p w14:paraId="14019D61" w14:textId="0D479806" w:rsidR="00D770C9" w:rsidRPr="00572FFD" w:rsidRDefault="00D770C9" w:rsidP="005C6CDA">
            <w:pPr>
              <w:spacing w:after="0" w:line="276" w:lineRule="auto"/>
              <w:jc w:val="center"/>
              <w:rPr>
                <w:rFonts w:cs="Arial"/>
                <w:b/>
                <w:bCs/>
                <w:color w:val="000000"/>
                <w:sz w:val="16"/>
                <w:szCs w:val="16"/>
              </w:rPr>
            </w:pPr>
            <w:r w:rsidRPr="00572FFD">
              <w:rPr>
                <w:rFonts w:cs="Arial"/>
                <w:b/>
                <w:bCs/>
                <w:color w:val="000000"/>
                <w:sz w:val="16"/>
                <w:szCs w:val="16"/>
              </w:rPr>
              <w:t>Σεπ.</w:t>
            </w:r>
          </w:p>
        </w:tc>
        <w:tc>
          <w:tcPr>
            <w:tcW w:w="991" w:type="dxa"/>
            <w:tcBorders>
              <w:top w:val="single" w:sz="2" w:space="0" w:color="A6A6A6" w:themeColor="background1" w:themeShade="A6"/>
              <w:bottom w:val="nil"/>
            </w:tcBorders>
            <w:shd w:val="clear" w:color="auto" w:fill="F2F2F2" w:themeFill="background1" w:themeFillShade="F2"/>
            <w:vAlign w:val="center"/>
            <w:hideMark/>
          </w:tcPr>
          <w:p w14:paraId="1CFF433E" w14:textId="77777777" w:rsidR="00D770C9" w:rsidRPr="00572FFD" w:rsidRDefault="00D770C9" w:rsidP="005C6CDA">
            <w:pPr>
              <w:spacing w:after="0" w:line="276" w:lineRule="auto"/>
              <w:jc w:val="center"/>
              <w:rPr>
                <w:rFonts w:cs="Arial"/>
                <w:b/>
                <w:bCs/>
                <w:color w:val="000000"/>
                <w:sz w:val="16"/>
                <w:szCs w:val="16"/>
              </w:rPr>
            </w:pPr>
            <w:r w:rsidRPr="00572FFD">
              <w:rPr>
                <w:rFonts w:cs="Arial"/>
                <w:b/>
                <w:bCs/>
                <w:color w:val="000000"/>
                <w:sz w:val="16"/>
                <w:szCs w:val="16"/>
              </w:rPr>
              <w:t>Δεκ.</w:t>
            </w:r>
          </w:p>
        </w:tc>
        <w:tc>
          <w:tcPr>
            <w:tcW w:w="1002" w:type="dxa"/>
            <w:tcBorders>
              <w:top w:val="single" w:sz="2" w:space="0" w:color="A6A6A6" w:themeColor="background1" w:themeShade="A6"/>
              <w:bottom w:val="nil"/>
            </w:tcBorders>
            <w:shd w:val="clear" w:color="auto" w:fill="F2F2F2" w:themeFill="background1" w:themeFillShade="F2"/>
            <w:vAlign w:val="center"/>
            <w:hideMark/>
          </w:tcPr>
          <w:p w14:paraId="07C3736C" w14:textId="25151CD6" w:rsidR="00D770C9" w:rsidRPr="00572FFD" w:rsidRDefault="00D770C9" w:rsidP="005C6CDA">
            <w:pPr>
              <w:spacing w:after="0" w:line="276" w:lineRule="auto"/>
              <w:jc w:val="center"/>
              <w:rPr>
                <w:rFonts w:cs="Arial"/>
                <w:b/>
                <w:bCs/>
                <w:color w:val="000000"/>
                <w:sz w:val="16"/>
                <w:szCs w:val="16"/>
              </w:rPr>
            </w:pPr>
            <w:r w:rsidRPr="00572FFD">
              <w:rPr>
                <w:rFonts w:cs="Arial"/>
                <w:b/>
                <w:bCs/>
                <w:color w:val="000000"/>
                <w:sz w:val="16"/>
                <w:szCs w:val="16"/>
              </w:rPr>
              <w:t>Μαρ.</w:t>
            </w:r>
          </w:p>
        </w:tc>
        <w:tc>
          <w:tcPr>
            <w:tcW w:w="991" w:type="dxa"/>
            <w:tcBorders>
              <w:top w:val="single" w:sz="2" w:space="0" w:color="A6A6A6" w:themeColor="background1" w:themeShade="A6"/>
              <w:bottom w:val="nil"/>
            </w:tcBorders>
            <w:shd w:val="clear" w:color="auto" w:fill="F2F2F2" w:themeFill="background1" w:themeFillShade="F2"/>
            <w:vAlign w:val="center"/>
            <w:hideMark/>
          </w:tcPr>
          <w:p w14:paraId="702FBE2A" w14:textId="77777777" w:rsidR="00D770C9" w:rsidRPr="00572FFD" w:rsidRDefault="00D770C9" w:rsidP="005C6CDA">
            <w:pPr>
              <w:spacing w:after="0" w:line="276" w:lineRule="auto"/>
              <w:jc w:val="center"/>
              <w:rPr>
                <w:rFonts w:cs="Arial"/>
                <w:b/>
                <w:bCs/>
                <w:color w:val="000000"/>
                <w:sz w:val="16"/>
                <w:szCs w:val="16"/>
              </w:rPr>
            </w:pPr>
            <w:r w:rsidRPr="00572FFD">
              <w:rPr>
                <w:rFonts w:cs="Arial"/>
                <w:b/>
                <w:bCs/>
                <w:color w:val="000000"/>
                <w:sz w:val="16"/>
                <w:szCs w:val="16"/>
              </w:rPr>
              <w:t>Ιουν.</w:t>
            </w:r>
          </w:p>
        </w:tc>
        <w:tc>
          <w:tcPr>
            <w:tcW w:w="997" w:type="dxa"/>
            <w:tcBorders>
              <w:top w:val="single" w:sz="2" w:space="0" w:color="A6A6A6" w:themeColor="background1" w:themeShade="A6"/>
              <w:bottom w:val="nil"/>
              <w:right w:val="single" w:sz="2" w:space="0" w:color="A6A6A6" w:themeColor="background1" w:themeShade="A6"/>
            </w:tcBorders>
            <w:shd w:val="clear" w:color="auto" w:fill="F2F2F2" w:themeFill="background1" w:themeFillShade="F2"/>
            <w:vAlign w:val="center"/>
            <w:hideMark/>
          </w:tcPr>
          <w:p w14:paraId="729F397B" w14:textId="11DE03E1" w:rsidR="00D770C9" w:rsidRPr="00572FFD" w:rsidRDefault="00D770C9" w:rsidP="005C6CDA">
            <w:pPr>
              <w:spacing w:after="0" w:line="276" w:lineRule="auto"/>
              <w:jc w:val="center"/>
              <w:rPr>
                <w:rFonts w:cs="Arial"/>
                <w:b/>
                <w:bCs/>
                <w:color w:val="000000"/>
                <w:sz w:val="16"/>
                <w:szCs w:val="16"/>
              </w:rPr>
            </w:pPr>
            <w:r w:rsidRPr="00572FFD">
              <w:rPr>
                <w:rFonts w:cs="Arial"/>
                <w:b/>
                <w:bCs/>
                <w:color w:val="000000"/>
                <w:sz w:val="16"/>
                <w:szCs w:val="16"/>
              </w:rPr>
              <w:t>Σεπ.</w:t>
            </w:r>
          </w:p>
        </w:tc>
      </w:tr>
      <w:tr w:rsidR="00D770C9" w:rsidRPr="00572FFD" w14:paraId="2D8625F5" w14:textId="77777777" w:rsidTr="00244472">
        <w:trPr>
          <w:cantSplit/>
          <w:jc w:val="center"/>
        </w:trPr>
        <w:tc>
          <w:tcPr>
            <w:tcW w:w="2059" w:type="dxa"/>
            <w:vMerge/>
            <w:tcBorders>
              <w:top w:val="nil"/>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31182375" w14:textId="77777777" w:rsidR="00D770C9" w:rsidRPr="00572FFD" w:rsidRDefault="00D770C9" w:rsidP="005C6CDA">
            <w:pPr>
              <w:spacing w:after="0" w:line="276" w:lineRule="auto"/>
              <w:jc w:val="left"/>
              <w:rPr>
                <w:rFonts w:cs="Arial"/>
                <w:b/>
                <w:bCs/>
                <w:color w:val="000000"/>
                <w:sz w:val="16"/>
                <w:szCs w:val="16"/>
              </w:rPr>
            </w:pPr>
          </w:p>
        </w:tc>
        <w:tc>
          <w:tcPr>
            <w:tcW w:w="990" w:type="dxa"/>
            <w:tcBorders>
              <w:top w:val="nil"/>
              <w:bottom w:val="single" w:sz="2" w:space="0" w:color="A6A6A6" w:themeColor="background1" w:themeShade="A6"/>
            </w:tcBorders>
            <w:shd w:val="clear" w:color="auto" w:fill="F2F2F2" w:themeFill="background1" w:themeFillShade="F2"/>
            <w:vAlign w:val="center"/>
            <w:hideMark/>
          </w:tcPr>
          <w:p w14:paraId="06150BC9" w14:textId="0703A2DD" w:rsidR="00D770C9" w:rsidRPr="004E725B" w:rsidRDefault="00D770C9" w:rsidP="005C6CDA">
            <w:pPr>
              <w:spacing w:after="0" w:line="276" w:lineRule="auto"/>
              <w:jc w:val="center"/>
              <w:rPr>
                <w:rFonts w:cs="Arial"/>
                <w:b/>
                <w:bCs/>
                <w:color w:val="000000"/>
                <w:sz w:val="16"/>
                <w:szCs w:val="16"/>
                <w:lang w:val="en-US"/>
              </w:rPr>
            </w:pPr>
            <w:r w:rsidRPr="00572FFD">
              <w:rPr>
                <w:rFonts w:cs="Arial"/>
                <w:b/>
                <w:bCs/>
                <w:color w:val="000000"/>
                <w:sz w:val="16"/>
                <w:szCs w:val="16"/>
              </w:rPr>
              <w:t>202</w:t>
            </w:r>
            <w:r w:rsidR="004E725B">
              <w:rPr>
                <w:rFonts w:cs="Arial"/>
                <w:b/>
                <w:bCs/>
                <w:color w:val="000000"/>
                <w:sz w:val="16"/>
                <w:szCs w:val="16"/>
                <w:lang w:val="en-US"/>
              </w:rPr>
              <w:t>3</w:t>
            </w:r>
          </w:p>
        </w:tc>
        <w:tc>
          <w:tcPr>
            <w:tcW w:w="993" w:type="dxa"/>
            <w:tcBorders>
              <w:top w:val="nil"/>
              <w:bottom w:val="single" w:sz="2" w:space="0" w:color="A6A6A6" w:themeColor="background1" w:themeShade="A6"/>
            </w:tcBorders>
            <w:shd w:val="clear" w:color="auto" w:fill="F2F2F2" w:themeFill="background1" w:themeFillShade="F2"/>
            <w:vAlign w:val="center"/>
            <w:hideMark/>
          </w:tcPr>
          <w:p w14:paraId="7071CE0C" w14:textId="58D5AC27" w:rsidR="00D770C9" w:rsidRPr="004E725B" w:rsidRDefault="00D770C9" w:rsidP="005C6CDA">
            <w:pPr>
              <w:spacing w:after="0" w:line="276" w:lineRule="auto"/>
              <w:jc w:val="center"/>
              <w:rPr>
                <w:rFonts w:cs="Arial"/>
                <w:b/>
                <w:bCs/>
                <w:color w:val="000000"/>
                <w:sz w:val="16"/>
                <w:szCs w:val="16"/>
                <w:lang w:val="en-US"/>
              </w:rPr>
            </w:pPr>
            <w:r w:rsidRPr="00572FFD">
              <w:rPr>
                <w:rFonts w:cs="Arial"/>
                <w:b/>
                <w:bCs/>
                <w:color w:val="000000"/>
                <w:sz w:val="16"/>
                <w:szCs w:val="16"/>
              </w:rPr>
              <w:t>202</w:t>
            </w:r>
            <w:r w:rsidR="004E725B">
              <w:rPr>
                <w:rFonts w:cs="Arial"/>
                <w:b/>
                <w:bCs/>
                <w:color w:val="000000"/>
                <w:sz w:val="16"/>
                <w:szCs w:val="16"/>
                <w:lang w:val="en-US"/>
              </w:rPr>
              <w:t>4</w:t>
            </w:r>
          </w:p>
        </w:tc>
        <w:tc>
          <w:tcPr>
            <w:tcW w:w="991" w:type="dxa"/>
            <w:tcBorders>
              <w:top w:val="nil"/>
              <w:bottom w:val="single" w:sz="2" w:space="0" w:color="A6A6A6" w:themeColor="background1" w:themeShade="A6"/>
            </w:tcBorders>
            <w:shd w:val="clear" w:color="auto" w:fill="F2F2F2" w:themeFill="background1" w:themeFillShade="F2"/>
            <w:vAlign w:val="center"/>
            <w:hideMark/>
          </w:tcPr>
          <w:p w14:paraId="58FA8CC2" w14:textId="0E7C0C71" w:rsidR="00D770C9" w:rsidRPr="004E725B" w:rsidRDefault="00D770C9" w:rsidP="005C6CDA">
            <w:pPr>
              <w:spacing w:after="0" w:line="276" w:lineRule="auto"/>
              <w:jc w:val="center"/>
              <w:rPr>
                <w:rFonts w:cs="Arial"/>
                <w:b/>
                <w:bCs/>
                <w:color w:val="000000"/>
                <w:sz w:val="16"/>
                <w:szCs w:val="16"/>
                <w:lang w:val="en-US"/>
              </w:rPr>
            </w:pPr>
            <w:r w:rsidRPr="00572FFD">
              <w:rPr>
                <w:rFonts w:cs="Arial"/>
                <w:b/>
                <w:bCs/>
                <w:color w:val="000000"/>
                <w:sz w:val="16"/>
                <w:szCs w:val="16"/>
              </w:rPr>
              <w:t>202</w:t>
            </w:r>
            <w:r w:rsidR="004E725B">
              <w:rPr>
                <w:rFonts w:cs="Arial"/>
                <w:b/>
                <w:bCs/>
                <w:color w:val="000000"/>
                <w:sz w:val="16"/>
                <w:szCs w:val="16"/>
                <w:lang w:val="en-US"/>
              </w:rPr>
              <w:t>4</w:t>
            </w:r>
          </w:p>
        </w:tc>
        <w:tc>
          <w:tcPr>
            <w:tcW w:w="1002" w:type="dxa"/>
            <w:tcBorders>
              <w:top w:val="nil"/>
              <w:bottom w:val="single" w:sz="2" w:space="0" w:color="A6A6A6" w:themeColor="background1" w:themeShade="A6"/>
            </w:tcBorders>
            <w:shd w:val="clear" w:color="auto" w:fill="F2F2F2" w:themeFill="background1" w:themeFillShade="F2"/>
            <w:vAlign w:val="center"/>
            <w:hideMark/>
          </w:tcPr>
          <w:p w14:paraId="1EF6C59F" w14:textId="4204804B" w:rsidR="00D770C9" w:rsidRPr="004E725B" w:rsidRDefault="00D770C9" w:rsidP="005C6CDA">
            <w:pPr>
              <w:spacing w:after="0" w:line="276" w:lineRule="auto"/>
              <w:jc w:val="center"/>
              <w:rPr>
                <w:rFonts w:cs="Arial"/>
                <w:b/>
                <w:bCs/>
                <w:color w:val="000000"/>
                <w:sz w:val="16"/>
                <w:szCs w:val="16"/>
                <w:lang w:val="en-US"/>
              </w:rPr>
            </w:pPr>
            <w:r w:rsidRPr="00572FFD">
              <w:rPr>
                <w:rFonts w:cs="Arial"/>
                <w:b/>
                <w:bCs/>
                <w:color w:val="000000"/>
                <w:sz w:val="16"/>
                <w:szCs w:val="16"/>
              </w:rPr>
              <w:t>202</w:t>
            </w:r>
            <w:r w:rsidR="004E725B">
              <w:rPr>
                <w:rFonts w:cs="Arial"/>
                <w:b/>
                <w:bCs/>
                <w:color w:val="000000"/>
                <w:sz w:val="16"/>
                <w:szCs w:val="16"/>
                <w:lang w:val="en-US"/>
              </w:rPr>
              <w:t>5</w:t>
            </w:r>
          </w:p>
        </w:tc>
        <w:tc>
          <w:tcPr>
            <w:tcW w:w="991" w:type="dxa"/>
            <w:tcBorders>
              <w:top w:val="nil"/>
              <w:bottom w:val="single" w:sz="2" w:space="0" w:color="A6A6A6" w:themeColor="background1" w:themeShade="A6"/>
            </w:tcBorders>
            <w:shd w:val="clear" w:color="auto" w:fill="F2F2F2" w:themeFill="background1" w:themeFillShade="F2"/>
            <w:vAlign w:val="center"/>
            <w:hideMark/>
          </w:tcPr>
          <w:p w14:paraId="7C0821C0" w14:textId="2FCCC6F3" w:rsidR="00D770C9" w:rsidRPr="004E725B" w:rsidRDefault="00D770C9" w:rsidP="005C6CDA">
            <w:pPr>
              <w:spacing w:after="0" w:line="276" w:lineRule="auto"/>
              <w:jc w:val="center"/>
              <w:rPr>
                <w:rFonts w:cs="Arial"/>
                <w:b/>
                <w:bCs/>
                <w:color w:val="000000"/>
                <w:sz w:val="16"/>
                <w:szCs w:val="16"/>
                <w:lang w:val="en-US"/>
              </w:rPr>
            </w:pPr>
            <w:r w:rsidRPr="00572FFD">
              <w:rPr>
                <w:rFonts w:cs="Arial"/>
                <w:b/>
                <w:bCs/>
                <w:color w:val="000000"/>
                <w:sz w:val="16"/>
                <w:szCs w:val="16"/>
              </w:rPr>
              <w:t>202</w:t>
            </w:r>
            <w:r w:rsidR="004E725B">
              <w:rPr>
                <w:rFonts w:cs="Arial"/>
                <w:b/>
                <w:bCs/>
                <w:color w:val="000000"/>
                <w:sz w:val="16"/>
                <w:szCs w:val="16"/>
                <w:lang w:val="en-US"/>
              </w:rPr>
              <w:t>5</w:t>
            </w:r>
          </w:p>
        </w:tc>
        <w:tc>
          <w:tcPr>
            <w:tcW w:w="997" w:type="dxa"/>
            <w:tcBorders>
              <w:top w:val="nil"/>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5F03BD68" w14:textId="37D44ACF" w:rsidR="00D770C9" w:rsidRPr="004E725B" w:rsidRDefault="00D770C9" w:rsidP="005C6CDA">
            <w:pPr>
              <w:spacing w:after="0" w:line="276" w:lineRule="auto"/>
              <w:jc w:val="center"/>
              <w:rPr>
                <w:rFonts w:cs="Arial"/>
                <w:b/>
                <w:bCs/>
                <w:color w:val="000000"/>
                <w:sz w:val="16"/>
                <w:szCs w:val="16"/>
                <w:lang w:val="en-US"/>
              </w:rPr>
            </w:pPr>
            <w:r w:rsidRPr="00572FFD">
              <w:rPr>
                <w:rFonts w:cs="Arial"/>
                <w:b/>
                <w:bCs/>
                <w:color w:val="000000"/>
                <w:sz w:val="16"/>
                <w:szCs w:val="16"/>
              </w:rPr>
              <w:t>202</w:t>
            </w:r>
            <w:r w:rsidR="004E725B">
              <w:rPr>
                <w:rFonts w:cs="Arial"/>
                <w:b/>
                <w:bCs/>
                <w:color w:val="000000"/>
                <w:sz w:val="16"/>
                <w:szCs w:val="16"/>
                <w:lang w:val="en-US"/>
              </w:rPr>
              <w:t>5</w:t>
            </w:r>
          </w:p>
        </w:tc>
      </w:tr>
      <w:tr w:rsidR="004E725B" w:rsidRPr="00572FFD" w14:paraId="7508104D" w14:textId="77777777" w:rsidTr="00244472">
        <w:trPr>
          <w:cantSplit/>
          <w:jc w:val="center"/>
        </w:trPr>
        <w:tc>
          <w:tcPr>
            <w:tcW w:w="2059" w:type="dxa"/>
            <w:tcBorders>
              <w:top w:val="single" w:sz="2" w:space="0" w:color="A6A6A6" w:themeColor="background1" w:themeShade="A6"/>
              <w:left w:val="single" w:sz="2" w:space="0" w:color="A6A6A6" w:themeColor="background1" w:themeShade="A6"/>
              <w:bottom w:val="nil"/>
            </w:tcBorders>
            <w:shd w:val="clear" w:color="auto" w:fill="auto"/>
            <w:noWrap/>
            <w:vAlign w:val="center"/>
            <w:hideMark/>
          </w:tcPr>
          <w:p w14:paraId="0E6B066B" w14:textId="77777777" w:rsidR="004E725B" w:rsidRPr="00572FFD" w:rsidRDefault="004E725B" w:rsidP="005C6CDA">
            <w:pPr>
              <w:spacing w:after="0" w:line="276" w:lineRule="auto"/>
              <w:jc w:val="left"/>
              <w:rPr>
                <w:rFonts w:cs="Arial"/>
                <w:color w:val="000000"/>
                <w:sz w:val="16"/>
                <w:szCs w:val="16"/>
              </w:rPr>
            </w:pPr>
            <w:r w:rsidRPr="00572FFD">
              <w:rPr>
                <w:rFonts w:cs="Arial"/>
                <w:color w:val="000000"/>
                <w:sz w:val="16"/>
                <w:szCs w:val="16"/>
              </w:rPr>
              <w:t>Κράτος</w:t>
            </w:r>
          </w:p>
        </w:tc>
        <w:tc>
          <w:tcPr>
            <w:tcW w:w="990" w:type="dxa"/>
            <w:tcBorders>
              <w:top w:val="single" w:sz="2" w:space="0" w:color="A6A6A6" w:themeColor="background1" w:themeShade="A6"/>
              <w:bottom w:val="nil"/>
            </w:tcBorders>
            <w:shd w:val="clear" w:color="auto" w:fill="auto"/>
            <w:vAlign w:val="center"/>
          </w:tcPr>
          <w:p w14:paraId="3AE1E541" w14:textId="3FF57B39" w:rsidR="004E725B" w:rsidRPr="004E725B" w:rsidRDefault="004E725B" w:rsidP="005C6CDA">
            <w:pPr>
              <w:spacing w:after="0" w:line="276" w:lineRule="auto"/>
              <w:jc w:val="right"/>
              <w:rPr>
                <w:rFonts w:cs="Arial"/>
                <w:color w:val="000000"/>
                <w:sz w:val="16"/>
                <w:szCs w:val="16"/>
              </w:rPr>
            </w:pPr>
            <w:r w:rsidRPr="004E725B">
              <w:rPr>
                <w:sz w:val="16"/>
              </w:rPr>
              <w:t>88</w:t>
            </w:r>
          </w:p>
        </w:tc>
        <w:tc>
          <w:tcPr>
            <w:tcW w:w="993" w:type="dxa"/>
            <w:tcBorders>
              <w:top w:val="single" w:sz="2" w:space="0" w:color="A6A6A6" w:themeColor="background1" w:themeShade="A6"/>
              <w:bottom w:val="nil"/>
            </w:tcBorders>
            <w:shd w:val="clear" w:color="auto" w:fill="auto"/>
            <w:noWrap/>
            <w:vAlign w:val="center"/>
          </w:tcPr>
          <w:p w14:paraId="0724B2CD" w14:textId="47851A5D" w:rsidR="004E725B" w:rsidRPr="004E725B" w:rsidRDefault="004E725B" w:rsidP="005C6CDA">
            <w:pPr>
              <w:spacing w:after="0" w:line="276" w:lineRule="auto"/>
              <w:jc w:val="right"/>
              <w:rPr>
                <w:rFonts w:cs="Arial"/>
                <w:color w:val="000000"/>
                <w:sz w:val="16"/>
                <w:szCs w:val="16"/>
              </w:rPr>
            </w:pPr>
            <w:r w:rsidRPr="004E725B">
              <w:rPr>
                <w:sz w:val="16"/>
              </w:rPr>
              <w:t>221</w:t>
            </w:r>
          </w:p>
        </w:tc>
        <w:tc>
          <w:tcPr>
            <w:tcW w:w="991" w:type="dxa"/>
            <w:tcBorders>
              <w:top w:val="single" w:sz="2" w:space="0" w:color="A6A6A6" w:themeColor="background1" w:themeShade="A6"/>
              <w:bottom w:val="nil"/>
            </w:tcBorders>
            <w:shd w:val="clear" w:color="auto" w:fill="auto"/>
            <w:vAlign w:val="center"/>
          </w:tcPr>
          <w:p w14:paraId="25EC2131" w14:textId="585147C3" w:rsidR="004E725B" w:rsidRPr="004E725B" w:rsidRDefault="004E725B" w:rsidP="005C6CDA">
            <w:pPr>
              <w:spacing w:after="0" w:line="276" w:lineRule="auto"/>
              <w:jc w:val="right"/>
              <w:rPr>
                <w:rFonts w:cs="Arial"/>
                <w:color w:val="000000"/>
                <w:sz w:val="16"/>
                <w:szCs w:val="16"/>
              </w:rPr>
            </w:pPr>
            <w:r w:rsidRPr="004E725B">
              <w:rPr>
                <w:sz w:val="16"/>
              </w:rPr>
              <w:t>157</w:t>
            </w:r>
          </w:p>
        </w:tc>
        <w:tc>
          <w:tcPr>
            <w:tcW w:w="1002" w:type="dxa"/>
            <w:tcBorders>
              <w:top w:val="single" w:sz="2" w:space="0" w:color="A6A6A6" w:themeColor="background1" w:themeShade="A6"/>
              <w:bottom w:val="nil"/>
            </w:tcBorders>
            <w:shd w:val="clear" w:color="auto" w:fill="auto"/>
            <w:noWrap/>
            <w:vAlign w:val="center"/>
          </w:tcPr>
          <w:p w14:paraId="6EC2098C" w14:textId="413AE5D9" w:rsidR="004E725B" w:rsidRPr="004E725B" w:rsidRDefault="004E725B" w:rsidP="005C6CDA">
            <w:pPr>
              <w:spacing w:after="0" w:line="276" w:lineRule="auto"/>
              <w:jc w:val="right"/>
              <w:rPr>
                <w:rFonts w:cs="Arial"/>
                <w:color w:val="000000"/>
                <w:sz w:val="16"/>
                <w:szCs w:val="16"/>
              </w:rPr>
            </w:pPr>
            <w:r w:rsidRPr="004E725B">
              <w:rPr>
                <w:sz w:val="16"/>
              </w:rPr>
              <w:t>254</w:t>
            </w:r>
          </w:p>
        </w:tc>
        <w:tc>
          <w:tcPr>
            <w:tcW w:w="991" w:type="dxa"/>
            <w:tcBorders>
              <w:top w:val="single" w:sz="2" w:space="0" w:color="A6A6A6" w:themeColor="background1" w:themeShade="A6"/>
              <w:bottom w:val="nil"/>
            </w:tcBorders>
            <w:shd w:val="clear" w:color="auto" w:fill="auto"/>
            <w:noWrap/>
            <w:vAlign w:val="center"/>
          </w:tcPr>
          <w:p w14:paraId="24F53B45" w14:textId="0B907FCA" w:rsidR="004E725B" w:rsidRPr="004E725B" w:rsidRDefault="004E725B" w:rsidP="005C6CDA">
            <w:pPr>
              <w:spacing w:after="0" w:line="276" w:lineRule="auto"/>
              <w:jc w:val="right"/>
              <w:rPr>
                <w:rFonts w:cs="Arial"/>
                <w:color w:val="000000"/>
                <w:sz w:val="16"/>
                <w:szCs w:val="16"/>
              </w:rPr>
            </w:pPr>
            <w:r w:rsidRPr="004E725B">
              <w:rPr>
                <w:sz w:val="16"/>
              </w:rPr>
              <w:t>232</w:t>
            </w:r>
          </w:p>
        </w:tc>
        <w:tc>
          <w:tcPr>
            <w:tcW w:w="997" w:type="dxa"/>
            <w:tcBorders>
              <w:top w:val="single" w:sz="2" w:space="0" w:color="A6A6A6" w:themeColor="background1" w:themeShade="A6"/>
              <w:bottom w:val="nil"/>
              <w:right w:val="single" w:sz="2" w:space="0" w:color="A6A6A6" w:themeColor="background1" w:themeShade="A6"/>
            </w:tcBorders>
            <w:shd w:val="clear" w:color="auto" w:fill="auto"/>
            <w:noWrap/>
            <w:vAlign w:val="center"/>
          </w:tcPr>
          <w:p w14:paraId="6EEF7FD5" w14:textId="41832693" w:rsidR="004E725B" w:rsidRPr="004E725B" w:rsidRDefault="004E725B" w:rsidP="005C6CDA">
            <w:pPr>
              <w:spacing w:after="0" w:line="276" w:lineRule="auto"/>
              <w:jc w:val="right"/>
              <w:rPr>
                <w:rFonts w:cs="Arial"/>
                <w:color w:val="000000"/>
                <w:sz w:val="16"/>
                <w:szCs w:val="16"/>
              </w:rPr>
            </w:pPr>
            <w:r w:rsidRPr="004E725B">
              <w:rPr>
                <w:sz w:val="16"/>
              </w:rPr>
              <w:t>205</w:t>
            </w:r>
          </w:p>
        </w:tc>
      </w:tr>
      <w:tr w:rsidR="004E725B" w:rsidRPr="00572FFD" w14:paraId="32C6475B" w14:textId="77777777" w:rsidTr="00244472">
        <w:trPr>
          <w:cantSplit/>
          <w:jc w:val="center"/>
        </w:trPr>
        <w:tc>
          <w:tcPr>
            <w:tcW w:w="2059" w:type="dxa"/>
            <w:tcBorders>
              <w:top w:val="nil"/>
              <w:left w:val="single" w:sz="2" w:space="0" w:color="A6A6A6" w:themeColor="background1" w:themeShade="A6"/>
              <w:bottom w:val="nil"/>
            </w:tcBorders>
            <w:shd w:val="clear" w:color="auto" w:fill="auto"/>
            <w:noWrap/>
            <w:vAlign w:val="center"/>
            <w:hideMark/>
          </w:tcPr>
          <w:p w14:paraId="516658FA" w14:textId="77777777" w:rsidR="004E725B" w:rsidRPr="00572FFD" w:rsidRDefault="004E725B" w:rsidP="005C6CDA">
            <w:pPr>
              <w:spacing w:after="0" w:line="276" w:lineRule="auto"/>
              <w:jc w:val="left"/>
              <w:rPr>
                <w:rFonts w:cs="Arial"/>
                <w:color w:val="000000"/>
                <w:sz w:val="16"/>
                <w:szCs w:val="16"/>
              </w:rPr>
            </w:pPr>
            <w:r w:rsidRPr="00572FFD">
              <w:rPr>
                <w:rFonts w:cs="Arial"/>
                <w:color w:val="000000"/>
                <w:sz w:val="16"/>
                <w:szCs w:val="16"/>
              </w:rPr>
              <w:t>ΟΤΑ</w:t>
            </w:r>
          </w:p>
        </w:tc>
        <w:tc>
          <w:tcPr>
            <w:tcW w:w="990" w:type="dxa"/>
            <w:tcBorders>
              <w:top w:val="nil"/>
              <w:bottom w:val="nil"/>
            </w:tcBorders>
            <w:shd w:val="clear" w:color="auto" w:fill="auto"/>
            <w:vAlign w:val="center"/>
          </w:tcPr>
          <w:p w14:paraId="5E704429" w14:textId="5F6BA619" w:rsidR="004E725B" w:rsidRPr="004E725B" w:rsidRDefault="004E725B" w:rsidP="005C6CDA">
            <w:pPr>
              <w:spacing w:after="0" w:line="276" w:lineRule="auto"/>
              <w:jc w:val="right"/>
              <w:rPr>
                <w:rFonts w:cs="Arial"/>
                <w:color w:val="000000"/>
                <w:sz w:val="16"/>
                <w:szCs w:val="16"/>
              </w:rPr>
            </w:pPr>
            <w:r w:rsidRPr="004E725B">
              <w:rPr>
                <w:sz w:val="16"/>
              </w:rPr>
              <w:t>149</w:t>
            </w:r>
          </w:p>
        </w:tc>
        <w:tc>
          <w:tcPr>
            <w:tcW w:w="993" w:type="dxa"/>
            <w:tcBorders>
              <w:top w:val="nil"/>
              <w:bottom w:val="nil"/>
            </w:tcBorders>
            <w:shd w:val="clear" w:color="auto" w:fill="auto"/>
            <w:noWrap/>
            <w:vAlign w:val="center"/>
          </w:tcPr>
          <w:p w14:paraId="13F3D4D4" w14:textId="3FCFFEF9" w:rsidR="004E725B" w:rsidRPr="004E725B" w:rsidRDefault="004E725B" w:rsidP="005C6CDA">
            <w:pPr>
              <w:spacing w:after="0" w:line="276" w:lineRule="auto"/>
              <w:jc w:val="right"/>
              <w:rPr>
                <w:rFonts w:cs="Arial"/>
                <w:color w:val="000000"/>
                <w:sz w:val="16"/>
                <w:szCs w:val="16"/>
              </w:rPr>
            </w:pPr>
            <w:r w:rsidRPr="004E725B">
              <w:rPr>
                <w:sz w:val="16"/>
              </w:rPr>
              <w:t>321</w:t>
            </w:r>
          </w:p>
        </w:tc>
        <w:tc>
          <w:tcPr>
            <w:tcW w:w="991" w:type="dxa"/>
            <w:tcBorders>
              <w:top w:val="nil"/>
              <w:bottom w:val="nil"/>
            </w:tcBorders>
            <w:shd w:val="clear" w:color="auto" w:fill="auto"/>
            <w:vAlign w:val="center"/>
          </w:tcPr>
          <w:p w14:paraId="0C388D21" w14:textId="297573E5" w:rsidR="004E725B" w:rsidRPr="004E725B" w:rsidRDefault="004E725B" w:rsidP="005C6CDA">
            <w:pPr>
              <w:spacing w:after="0" w:line="276" w:lineRule="auto"/>
              <w:jc w:val="right"/>
              <w:rPr>
                <w:rFonts w:cs="Arial"/>
                <w:color w:val="000000"/>
                <w:sz w:val="16"/>
                <w:szCs w:val="16"/>
              </w:rPr>
            </w:pPr>
            <w:r w:rsidRPr="004E725B">
              <w:rPr>
                <w:sz w:val="16"/>
              </w:rPr>
              <w:t>231</w:t>
            </w:r>
          </w:p>
        </w:tc>
        <w:tc>
          <w:tcPr>
            <w:tcW w:w="1002" w:type="dxa"/>
            <w:tcBorders>
              <w:top w:val="nil"/>
              <w:bottom w:val="nil"/>
            </w:tcBorders>
            <w:shd w:val="clear" w:color="auto" w:fill="auto"/>
            <w:noWrap/>
            <w:vAlign w:val="center"/>
          </w:tcPr>
          <w:p w14:paraId="708AE2BB" w14:textId="19EBDF14" w:rsidR="004E725B" w:rsidRPr="004E725B" w:rsidRDefault="004E725B" w:rsidP="005C6CDA">
            <w:pPr>
              <w:spacing w:after="0" w:line="276" w:lineRule="auto"/>
              <w:jc w:val="right"/>
              <w:rPr>
                <w:rFonts w:cs="Arial"/>
                <w:color w:val="000000"/>
                <w:sz w:val="16"/>
                <w:szCs w:val="16"/>
              </w:rPr>
            </w:pPr>
            <w:r w:rsidRPr="004E725B">
              <w:rPr>
                <w:sz w:val="16"/>
              </w:rPr>
              <w:t>373</w:t>
            </w:r>
          </w:p>
        </w:tc>
        <w:tc>
          <w:tcPr>
            <w:tcW w:w="991" w:type="dxa"/>
            <w:tcBorders>
              <w:top w:val="nil"/>
              <w:bottom w:val="nil"/>
            </w:tcBorders>
            <w:shd w:val="clear" w:color="auto" w:fill="auto"/>
            <w:noWrap/>
            <w:vAlign w:val="center"/>
          </w:tcPr>
          <w:p w14:paraId="1B292589" w14:textId="08D9AF4D" w:rsidR="004E725B" w:rsidRPr="004E725B" w:rsidRDefault="004E725B" w:rsidP="005C6CDA">
            <w:pPr>
              <w:spacing w:after="0" w:line="276" w:lineRule="auto"/>
              <w:jc w:val="right"/>
              <w:rPr>
                <w:rFonts w:cs="Arial"/>
                <w:color w:val="000000"/>
                <w:sz w:val="16"/>
                <w:szCs w:val="16"/>
              </w:rPr>
            </w:pPr>
            <w:r w:rsidRPr="004E725B">
              <w:rPr>
                <w:sz w:val="16"/>
              </w:rPr>
              <w:t>264</w:t>
            </w:r>
          </w:p>
        </w:tc>
        <w:tc>
          <w:tcPr>
            <w:tcW w:w="997" w:type="dxa"/>
            <w:tcBorders>
              <w:top w:val="nil"/>
              <w:bottom w:val="nil"/>
              <w:right w:val="single" w:sz="2" w:space="0" w:color="A6A6A6" w:themeColor="background1" w:themeShade="A6"/>
            </w:tcBorders>
            <w:shd w:val="clear" w:color="auto" w:fill="auto"/>
            <w:noWrap/>
            <w:vAlign w:val="center"/>
          </w:tcPr>
          <w:p w14:paraId="1491A727" w14:textId="2226D6D2" w:rsidR="004E725B" w:rsidRPr="004E725B" w:rsidRDefault="004E725B" w:rsidP="005C6CDA">
            <w:pPr>
              <w:spacing w:after="0" w:line="276" w:lineRule="auto"/>
              <w:jc w:val="right"/>
              <w:rPr>
                <w:rFonts w:cs="Arial"/>
                <w:color w:val="000000"/>
                <w:sz w:val="16"/>
                <w:szCs w:val="16"/>
              </w:rPr>
            </w:pPr>
            <w:r w:rsidRPr="004E725B">
              <w:rPr>
                <w:sz w:val="16"/>
              </w:rPr>
              <w:t>240</w:t>
            </w:r>
          </w:p>
        </w:tc>
      </w:tr>
      <w:tr w:rsidR="004E725B" w:rsidRPr="00572FFD" w14:paraId="4E17871C" w14:textId="77777777" w:rsidTr="00244472">
        <w:trPr>
          <w:cantSplit/>
          <w:jc w:val="center"/>
        </w:trPr>
        <w:tc>
          <w:tcPr>
            <w:tcW w:w="2059" w:type="dxa"/>
            <w:tcBorders>
              <w:top w:val="nil"/>
              <w:left w:val="single" w:sz="2" w:space="0" w:color="A6A6A6" w:themeColor="background1" w:themeShade="A6"/>
              <w:bottom w:val="nil"/>
            </w:tcBorders>
            <w:shd w:val="clear" w:color="auto" w:fill="auto"/>
            <w:noWrap/>
            <w:vAlign w:val="center"/>
            <w:hideMark/>
          </w:tcPr>
          <w:p w14:paraId="7BAC2CC5" w14:textId="77777777" w:rsidR="004E725B" w:rsidRPr="00572FFD" w:rsidRDefault="004E725B" w:rsidP="005C6CDA">
            <w:pPr>
              <w:spacing w:after="0" w:line="276" w:lineRule="auto"/>
              <w:jc w:val="left"/>
              <w:rPr>
                <w:rFonts w:cs="Arial"/>
                <w:color w:val="000000"/>
                <w:sz w:val="16"/>
                <w:szCs w:val="16"/>
              </w:rPr>
            </w:pPr>
            <w:r w:rsidRPr="00572FFD">
              <w:rPr>
                <w:rFonts w:cs="Arial"/>
                <w:color w:val="000000"/>
                <w:sz w:val="16"/>
                <w:szCs w:val="16"/>
              </w:rPr>
              <w:t>ΟΚΑ</w:t>
            </w:r>
            <w:r w:rsidRPr="00572FFD">
              <w:rPr>
                <w:rFonts w:cs="Arial"/>
                <w:color w:val="000000"/>
                <w:sz w:val="16"/>
                <w:szCs w:val="16"/>
                <w:vertAlign w:val="superscript"/>
              </w:rPr>
              <w:t>1</w:t>
            </w:r>
          </w:p>
        </w:tc>
        <w:tc>
          <w:tcPr>
            <w:tcW w:w="990" w:type="dxa"/>
            <w:tcBorders>
              <w:top w:val="nil"/>
              <w:bottom w:val="nil"/>
            </w:tcBorders>
            <w:shd w:val="clear" w:color="auto" w:fill="auto"/>
            <w:vAlign w:val="center"/>
          </w:tcPr>
          <w:p w14:paraId="173E830C" w14:textId="470BF275" w:rsidR="004E725B" w:rsidRPr="004E725B" w:rsidRDefault="004E725B" w:rsidP="005C6CDA">
            <w:pPr>
              <w:spacing w:after="0" w:line="276" w:lineRule="auto"/>
              <w:jc w:val="right"/>
              <w:rPr>
                <w:rFonts w:cs="Arial"/>
                <w:color w:val="000000"/>
                <w:sz w:val="16"/>
                <w:szCs w:val="16"/>
              </w:rPr>
            </w:pPr>
            <w:r w:rsidRPr="004E725B">
              <w:rPr>
                <w:sz w:val="16"/>
              </w:rPr>
              <w:t>525</w:t>
            </w:r>
          </w:p>
        </w:tc>
        <w:tc>
          <w:tcPr>
            <w:tcW w:w="993" w:type="dxa"/>
            <w:tcBorders>
              <w:top w:val="nil"/>
              <w:bottom w:val="nil"/>
            </w:tcBorders>
            <w:shd w:val="clear" w:color="auto" w:fill="auto"/>
            <w:noWrap/>
            <w:vAlign w:val="center"/>
          </w:tcPr>
          <w:p w14:paraId="5436120A" w14:textId="306146E0" w:rsidR="004E725B" w:rsidRPr="004E725B" w:rsidRDefault="004E725B" w:rsidP="005C6CDA">
            <w:pPr>
              <w:spacing w:after="0" w:line="276" w:lineRule="auto"/>
              <w:jc w:val="right"/>
              <w:rPr>
                <w:rFonts w:cs="Arial"/>
                <w:color w:val="000000"/>
                <w:sz w:val="16"/>
                <w:szCs w:val="16"/>
              </w:rPr>
            </w:pPr>
            <w:r w:rsidRPr="004E725B">
              <w:rPr>
                <w:sz w:val="16"/>
              </w:rPr>
              <w:t>701</w:t>
            </w:r>
          </w:p>
        </w:tc>
        <w:tc>
          <w:tcPr>
            <w:tcW w:w="991" w:type="dxa"/>
            <w:tcBorders>
              <w:top w:val="nil"/>
              <w:bottom w:val="nil"/>
            </w:tcBorders>
            <w:shd w:val="clear" w:color="auto" w:fill="auto"/>
            <w:vAlign w:val="center"/>
          </w:tcPr>
          <w:p w14:paraId="395EE9B1" w14:textId="1EE8C715" w:rsidR="004E725B" w:rsidRPr="004E725B" w:rsidRDefault="004E725B" w:rsidP="005C6CDA">
            <w:pPr>
              <w:spacing w:after="0" w:line="276" w:lineRule="auto"/>
              <w:jc w:val="right"/>
              <w:rPr>
                <w:rFonts w:cs="Arial"/>
                <w:color w:val="000000"/>
                <w:sz w:val="16"/>
                <w:szCs w:val="16"/>
              </w:rPr>
            </w:pPr>
            <w:r w:rsidRPr="004E725B">
              <w:rPr>
                <w:sz w:val="16"/>
              </w:rPr>
              <w:t>585</w:t>
            </w:r>
          </w:p>
        </w:tc>
        <w:tc>
          <w:tcPr>
            <w:tcW w:w="1002" w:type="dxa"/>
            <w:tcBorders>
              <w:top w:val="nil"/>
              <w:bottom w:val="nil"/>
            </w:tcBorders>
            <w:shd w:val="clear" w:color="auto" w:fill="auto"/>
            <w:noWrap/>
            <w:vAlign w:val="center"/>
          </w:tcPr>
          <w:p w14:paraId="0937FFE6" w14:textId="632A43F3" w:rsidR="004E725B" w:rsidRPr="004E725B" w:rsidRDefault="004E725B" w:rsidP="005C6CDA">
            <w:pPr>
              <w:spacing w:after="0" w:line="276" w:lineRule="auto"/>
              <w:jc w:val="right"/>
              <w:rPr>
                <w:rFonts w:cs="Arial"/>
                <w:color w:val="000000"/>
                <w:sz w:val="16"/>
                <w:szCs w:val="16"/>
              </w:rPr>
            </w:pPr>
            <w:r w:rsidRPr="004E725B">
              <w:rPr>
                <w:sz w:val="16"/>
              </w:rPr>
              <w:t>582</w:t>
            </w:r>
          </w:p>
        </w:tc>
        <w:tc>
          <w:tcPr>
            <w:tcW w:w="991" w:type="dxa"/>
            <w:tcBorders>
              <w:top w:val="nil"/>
              <w:bottom w:val="nil"/>
            </w:tcBorders>
            <w:shd w:val="clear" w:color="auto" w:fill="auto"/>
            <w:noWrap/>
            <w:vAlign w:val="center"/>
          </w:tcPr>
          <w:p w14:paraId="4460D0CE" w14:textId="677D9A84" w:rsidR="004E725B" w:rsidRPr="004E725B" w:rsidRDefault="004E725B" w:rsidP="005C6CDA">
            <w:pPr>
              <w:spacing w:after="0" w:line="276" w:lineRule="auto"/>
              <w:jc w:val="right"/>
              <w:rPr>
                <w:rFonts w:cs="Arial"/>
                <w:color w:val="000000"/>
                <w:sz w:val="16"/>
                <w:szCs w:val="16"/>
              </w:rPr>
            </w:pPr>
            <w:r w:rsidRPr="004E725B">
              <w:rPr>
                <w:sz w:val="16"/>
              </w:rPr>
              <w:t>612</w:t>
            </w:r>
          </w:p>
        </w:tc>
        <w:tc>
          <w:tcPr>
            <w:tcW w:w="997" w:type="dxa"/>
            <w:tcBorders>
              <w:top w:val="nil"/>
              <w:bottom w:val="nil"/>
              <w:right w:val="single" w:sz="2" w:space="0" w:color="A6A6A6" w:themeColor="background1" w:themeShade="A6"/>
            </w:tcBorders>
            <w:shd w:val="clear" w:color="auto" w:fill="auto"/>
            <w:noWrap/>
            <w:vAlign w:val="center"/>
          </w:tcPr>
          <w:p w14:paraId="513735CB" w14:textId="589DA09B" w:rsidR="004E725B" w:rsidRPr="004E725B" w:rsidRDefault="004E725B" w:rsidP="005C6CDA">
            <w:pPr>
              <w:spacing w:after="0" w:line="276" w:lineRule="auto"/>
              <w:jc w:val="right"/>
              <w:rPr>
                <w:rFonts w:cs="Arial"/>
                <w:color w:val="000000"/>
                <w:sz w:val="16"/>
                <w:szCs w:val="16"/>
              </w:rPr>
            </w:pPr>
            <w:r w:rsidRPr="004E725B">
              <w:rPr>
                <w:sz w:val="16"/>
              </w:rPr>
              <w:t>612</w:t>
            </w:r>
          </w:p>
        </w:tc>
      </w:tr>
      <w:tr w:rsidR="004E725B" w:rsidRPr="00572FFD" w14:paraId="03154159" w14:textId="77777777" w:rsidTr="00244472">
        <w:trPr>
          <w:cantSplit/>
          <w:jc w:val="center"/>
        </w:trPr>
        <w:tc>
          <w:tcPr>
            <w:tcW w:w="2059" w:type="dxa"/>
            <w:tcBorders>
              <w:top w:val="nil"/>
              <w:left w:val="single" w:sz="2" w:space="0" w:color="A6A6A6" w:themeColor="background1" w:themeShade="A6"/>
              <w:bottom w:val="nil"/>
            </w:tcBorders>
            <w:shd w:val="clear" w:color="auto" w:fill="auto"/>
            <w:noWrap/>
            <w:vAlign w:val="center"/>
            <w:hideMark/>
          </w:tcPr>
          <w:p w14:paraId="77A71941" w14:textId="77777777" w:rsidR="004E725B" w:rsidRPr="00572FFD" w:rsidRDefault="004E725B" w:rsidP="005C6CDA">
            <w:pPr>
              <w:spacing w:after="0" w:line="276" w:lineRule="auto"/>
              <w:jc w:val="left"/>
              <w:rPr>
                <w:rFonts w:cs="Arial"/>
                <w:color w:val="000000"/>
                <w:sz w:val="16"/>
                <w:szCs w:val="16"/>
              </w:rPr>
            </w:pPr>
            <w:r w:rsidRPr="00572FFD">
              <w:rPr>
                <w:rFonts w:cs="Arial"/>
                <w:color w:val="000000"/>
                <w:sz w:val="16"/>
                <w:szCs w:val="16"/>
              </w:rPr>
              <w:t>Νοσοκομεία</w:t>
            </w:r>
            <w:r w:rsidRPr="00572FFD">
              <w:rPr>
                <w:rFonts w:cs="Arial"/>
                <w:color w:val="000000"/>
                <w:sz w:val="16"/>
                <w:szCs w:val="16"/>
                <w:vertAlign w:val="superscript"/>
              </w:rPr>
              <w:t>1, 2</w:t>
            </w:r>
          </w:p>
        </w:tc>
        <w:tc>
          <w:tcPr>
            <w:tcW w:w="990" w:type="dxa"/>
            <w:tcBorders>
              <w:top w:val="nil"/>
              <w:bottom w:val="nil"/>
            </w:tcBorders>
            <w:shd w:val="clear" w:color="auto" w:fill="auto"/>
            <w:noWrap/>
            <w:vAlign w:val="center"/>
          </w:tcPr>
          <w:p w14:paraId="6080DBE1" w14:textId="32272E4E" w:rsidR="004E725B" w:rsidRPr="004E725B" w:rsidRDefault="004E725B" w:rsidP="005C6CDA">
            <w:pPr>
              <w:spacing w:after="0" w:line="276" w:lineRule="auto"/>
              <w:jc w:val="right"/>
              <w:rPr>
                <w:rFonts w:cs="Arial"/>
                <w:color w:val="000000"/>
                <w:sz w:val="16"/>
                <w:szCs w:val="16"/>
              </w:rPr>
            </w:pPr>
            <w:r w:rsidRPr="004E725B">
              <w:rPr>
                <w:sz w:val="16"/>
              </w:rPr>
              <w:t>1.319</w:t>
            </w:r>
          </w:p>
        </w:tc>
        <w:tc>
          <w:tcPr>
            <w:tcW w:w="993" w:type="dxa"/>
            <w:tcBorders>
              <w:top w:val="nil"/>
              <w:bottom w:val="nil"/>
            </w:tcBorders>
            <w:shd w:val="clear" w:color="auto" w:fill="auto"/>
            <w:noWrap/>
            <w:vAlign w:val="center"/>
          </w:tcPr>
          <w:p w14:paraId="4A803DF3" w14:textId="24283191" w:rsidR="004E725B" w:rsidRPr="004E725B" w:rsidRDefault="004E725B" w:rsidP="005C6CDA">
            <w:pPr>
              <w:spacing w:after="0" w:line="276" w:lineRule="auto"/>
              <w:jc w:val="right"/>
              <w:rPr>
                <w:rFonts w:cs="Arial"/>
                <w:color w:val="000000"/>
                <w:sz w:val="16"/>
                <w:szCs w:val="16"/>
              </w:rPr>
            </w:pPr>
            <w:r w:rsidRPr="004E725B">
              <w:rPr>
                <w:sz w:val="16"/>
              </w:rPr>
              <w:t>1.365</w:t>
            </w:r>
          </w:p>
        </w:tc>
        <w:tc>
          <w:tcPr>
            <w:tcW w:w="991" w:type="dxa"/>
            <w:tcBorders>
              <w:top w:val="nil"/>
              <w:bottom w:val="nil"/>
            </w:tcBorders>
            <w:shd w:val="clear" w:color="auto" w:fill="auto"/>
            <w:vAlign w:val="center"/>
          </w:tcPr>
          <w:p w14:paraId="34D56CBE" w14:textId="3502493D" w:rsidR="004E725B" w:rsidRPr="004E725B" w:rsidRDefault="004E725B" w:rsidP="005C6CDA">
            <w:pPr>
              <w:spacing w:after="0" w:line="276" w:lineRule="auto"/>
              <w:jc w:val="right"/>
              <w:rPr>
                <w:rFonts w:cs="Arial"/>
                <w:color w:val="000000"/>
                <w:sz w:val="16"/>
                <w:szCs w:val="16"/>
              </w:rPr>
            </w:pPr>
            <w:r w:rsidRPr="004E725B">
              <w:rPr>
                <w:sz w:val="16"/>
              </w:rPr>
              <w:t>1.164</w:t>
            </w:r>
          </w:p>
        </w:tc>
        <w:tc>
          <w:tcPr>
            <w:tcW w:w="1002" w:type="dxa"/>
            <w:tcBorders>
              <w:top w:val="nil"/>
              <w:bottom w:val="nil"/>
            </w:tcBorders>
            <w:shd w:val="clear" w:color="auto" w:fill="auto"/>
            <w:noWrap/>
            <w:vAlign w:val="center"/>
          </w:tcPr>
          <w:p w14:paraId="7AB98A37" w14:textId="33C08087" w:rsidR="004E725B" w:rsidRPr="004E725B" w:rsidRDefault="004E725B" w:rsidP="005C6CDA">
            <w:pPr>
              <w:spacing w:after="0" w:line="276" w:lineRule="auto"/>
              <w:jc w:val="right"/>
              <w:rPr>
                <w:rFonts w:cs="Arial"/>
                <w:color w:val="000000"/>
                <w:sz w:val="16"/>
                <w:szCs w:val="16"/>
              </w:rPr>
            </w:pPr>
            <w:r w:rsidRPr="004E725B">
              <w:rPr>
                <w:sz w:val="16"/>
              </w:rPr>
              <w:t>1.489</w:t>
            </w:r>
          </w:p>
        </w:tc>
        <w:tc>
          <w:tcPr>
            <w:tcW w:w="991" w:type="dxa"/>
            <w:tcBorders>
              <w:top w:val="nil"/>
              <w:bottom w:val="nil"/>
            </w:tcBorders>
            <w:shd w:val="clear" w:color="auto" w:fill="auto"/>
            <w:noWrap/>
            <w:vAlign w:val="center"/>
          </w:tcPr>
          <w:p w14:paraId="3AF84DFA" w14:textId="7B0F8CF0" w:rsidR="004E725B" w:rsidRPr="004E725B" w:rsidRDefault="004E725B" w:rsidP="005C6CDA">
            <w:pPr>
              <w:spacing w:after="0" w:line="276" w:lineRule="auto"/>
              <w:jc w:val="right"/>
              <w:rPr>
                <w:rFonts w:cs="Arial"/>
                <w:color w:val="000000"/>
                <w:sz w:val="16"/>
                <w:szCs w:val="16"/>
              </w:rPr>
            </w:pPr>
            <w:r w:rsidRPr="004E725B">
              <w:rPr>
                <w:sz w:val="16"/>
              </w:rPr>
              <w:t>1.599</w:t>
            </w:r>
          </w:p>
        </w:tc>
        <w:tc>
          <w:tcPr>
            <w:tcW w:w="997" w:type="dxa"/>
            <w:tcBorders>
              <w:top w:val="nil"/>
              <w:bottom w:val="nil"/>
              <w:right w:val="single" w:sz="2" w:space="0" w:color="A6A6A6" w:themeColor="background1" w:themeShade="A6"/>
            </w:tcBorders>
            <w:shd w:val="clear" w:color="auto" w:fill="auto"/>
            <w:noWrap/>
            <w:vAlign w:val="center"/>
          </w:tcPr>
          <w:p w14:paraId="62D43C2C" w14:textId="1E9EC17C" w:rsidR="004E725B" w:rsidRPr="004E725B" w:rsidRDefault="004E725B" w:rsidP="005C6CDA">
            <w:pPr>
              <w:spacing w:after="0" w:line="276" w:lineRule="auto"/>
              <w:jc w:val="right"/>
              <w:rPr>
                <w:rFonts w:cs="Arial"/>
                <w:color w:val="000000"/>
                <w:sz w:val="16"/>
                <w:szCs w:val="16"/>
              </w:rPr>
            </w:pPr>
            <w:r w:rsidRPr="004E725B">
              <w:rPr>
                <w:sz w:val="16"/>
              </w:rPr>
              <w:t>1.664</w:t>
            </w:r>
          </w:p>
        </w:tc>
      </w:tr>
      <w:tr w:rsidR="004E725B" w:rsidRPr="00572FFD" w14:paraId="322FD995" w14:textId="77777777" w:rsidTr="00244472">
        <w:trPr>
          <w:cantSplit/>
          <w:jc w:val="center"/>
        </w:trPr>
        <w:tc>
          <w:tcPr>
            <w:tcW w:w="2059" w:type="dxa"/>
            <w:tcBorders>
              <w:top w:val="nil"/>
              <w:left w:val="single" w:sz="2" w:space="0" w:color="A6A6A6" w:themeColor="background1" w:themeShade="A6"/>
              <w:bottom w:val="nil"/>
            </w:tcBorders>
            <w:shd w:val="clear" w:color="auto" w:fill="auto"/>
            <w:noWrap/>
            <w:vAlign w:val="center"/>
            <w:hideMark/>
          </w:tcPr>
          <w:p w14:paraId="6178B33F" w14:textId="77777777" w:rsidR="004E725B" w:rsidRPr="00572FFD" w:rsidRDefault="004E725B" w:rsidP="005C6CDA">
            <w:pPr>
              <w:spacing w:after="0" w:line="276" w:lineRule="auto"/>
              <w:jc w:val="left"/>
              <w:rPr>
                <w:rFonts w:cs="Arial"/>
                <w:color w:val="000000"/>
                <w:sz w:val="16"/>
                <w:szCs w:val="16"/>
              </w:rPr>
            </w:pPr>
            <w:r w:rsidRPr="00572FFD">
              <w:rPr>
                <w:rFonts w:cs="Arial"/>
                <w:color w:val="000000"/>
                <w:sz w:val="16"/>
                <w:szCs w:val="16"/>
              </w:rPr>
              <w:t>Λοιπά Νομικά Πρόσωπα</w:t>
            </w:r>
          </w:p>
        </w:tc>
        <w:tc>
          <w:tcPr>
            <w:tcW w:w="990" w:type="dxa"/>
            <w:tcBorders>
              <w:top w:val="nil"/>
              <w:bottom w:val="nil"/>
            </w:tcBorders>
            <w:shd w:val="clear" w:color="auto" w:fill="auto"/>
            <w:vAlign w:val="center"/>
          </w:tcPr>
          <w:p w14:paraId="6E814F67" w14:textId="4B7173E9" w:rsidR="004E725B" w:rsidRPr="004E725B" w:rsidRDefault="004E725B" w:rsidP="005C6CDA">
            <w:pPr>
              <w:spacing w:after="0" w:line="276" w:lineRule="auto"/>
              <w:jc w:val="right"/>
              <w:rPr>
                <w:rFonts w:cs="Arial"/>
                <w:color w:val="000000"/>
                <w:sz w:val="16"/>
                <w:szCs w:val="16"/>
              </w:rPr>
            </w:pPr>
            <w:r w:rsidRPr="004E725B">
              <w:rPr>
                <w:sz w:val="16"/>
              </w:rPr>
              <w:t>162</w:t>
            </w:r>
          </w:p>
        </w:tc>
        <w:tc>
          <w:tcPr>
            <w:tcW w:w="993" w:type="dxa"/>
            <w:tcBorders>
              <w:top w:val="nil"/>
              <w:bottom w:val="nil"/>
            </w:tcBorders>
            <w:shd w:val="clear" w:color="auto" w:fill="auto"/>
            <w:noWrap/>
            <w:vAlign w:val="center"/>
          </w:tcPr>
          <w:p w14:paraId="71D01940" w14:textId="5A787E85" w:rsidR="004E725B" w:rsidRPr="004E725B" w:rsidRDefault="004E725B" w:rsidP="005C6CDA">
            <w:pPr>
              <w:spacing w:after="0" w:line="276" w:lineRule="auto"/>
              <w:jc w:val="right"/>
              <w:rPr>
                <w:rFonts w:cs="Arial"/>
                <w:color w:val="000000"/>
                <w:sz w:val="16"/>
                <w:szCs w:val="16"/>
              </w:rPr>
            </w:pPr>
            <w:r w:rsidRPr="004E725B">
              <w:rPr>
                <w:sz w:val="16"/>
              </w:rPr>
              <w:t>211</w:t>
            </w:r>
          </w:p>
        </w:tc>
        <w:tc>
          <w:tcPr>
            <w:tcW w:w="991" w:type="dxa"/>
            <w:tcBorders>
              <w:top w:val="nil"/>
              <w:bottom w:val="nil"/>
            </w:tcBorders>
            <w:shd w:val="clear" w:color="auto" w:fill="auto"/>
            <w:vAlign w:val="center"/>
          </w:tcPr>
          <w:p w14:paraId="5765AFC0" w14:textId="5B9A9C17" w:rsidR="004E725B" w:rsidRPr="004E725B" w:rsidRDefault="004E725B" w:rsidP="005C6CDA">
            <w:pPr>
              <w:spacing w:after="0" w:line="276" w:lineRule="auto"/>
              <w:jc w:val="right"/>
              <w:rPr>
                <w:rFonts w:cs="Arial"/>
                <w:color w:val="000000"/>
                <w:sz w:val="16"/>
                <w:szCs w:val="16"/>
              </w:rPr>
            </w:pPr>
            <w:r w:rsidRPr="004E725B">
              <w:rPr>
                <w:sz w:val="16"/>
              </w:rPr>
              <w:t>184</w:t>
            </w:r>
          </w:p>
        </w:tc>
        <w:tc>
          <w:tcPr>
            <w:tcW w:w="1002" w:type="dxa"/>
            <w:tcBorders>
              <w:top w:val="nil"/>
              <w:bottom w:val="nil"/>
            </w:tcBorders>
            <w:shd w:val="clear" w:color="auto" w:fill="auto"/>
            <w:noWrap/>
            <w:vAlign w:val="center"/>
          </w:tcPr>
          <w:p w14:paraId="73142A32" w14:textId="55630E26" w:rsidR="004E725B" w:rsidRPr="004E725B" w:rsidRDefault="004E725B" w:rsidP="005C6CDA">
            <w:pPr>
              <w:spacing w:after="0" w:line="276" w:lineRule="auto"/>
              <w:jc w:val="right"/>
              <w:rPr>
                <w:rFonts w:cs="Arial"/>
                <w:color w:val="000000"/>
                <w:sz w:val="16"/>
                <w:szCs w:val="16"/>
              </w:rPr>
            </w:pPr>
            <w:r w:rsidRPr="004E725B">
              <w:rPr>
                <w:sz w:val="16"/>
              </w:rPr>
              <w:t>228</w:t>
            </w:r>
          </w:p>
        </w:tc>
        <w:tc>
          <w:tcPr>
            <w:tcW w:w="991" w:type="dxa"/>
            <w:tcBorders>
              <w:top w:val="nil"/>
              <w:bottom w:val="nil"/>
            </w:tcBorders>
            <w:shd w:val="clear" w:color="auto" w:fill="auto"/>
            <w:noWrap/>
            <w:vAlign w:val="center"/>
          </w:tcPr>
          <w:p w14:paraId="67A3AB02" w14:textId="5422A1F1" w:rsidR="004E725B" w:rsidRPr="004E725B" w:rsidRDefault="004E725B" w:rsidP="005C6CDA">
            <w:pPr>
              <w:spacing w:after="0" w:line="276" w:lineRule="auto"/>
              <w:jc w:val="right"/>
              <w:rPr>
                <w:rFonts w:cs="Arial"/>
                <w:color w:val="000000"/>
                <w:sz w:val="16"/>
                <w:szCs w:val="16"/>
              </w:rPr>
            </w:pPr>
            <w:r w:rsidRPr="004E725B">
              <w:rPr>
                <w:sz w:val="16"/>
              </w:rPr>
              <w:t>223</w:t>
            </w:r>
          </w:p>
        </w:tc>
        <w:tc>
          <w:tcPr>
            <w:tcW w:w="997" w:type="dxa"/>
            <w:tcBorders>
              <w:top w:val="nil"/>
              <w:bottom w:val="nil"/>
              <w:right w:val="single" w:sz="2" w:space="0" w:color="A6A6A6" w:themeColor="background1" w:themeShade="A6"/>
            </w:tcBorders>
            <w:shd w:val="clear" w:color="auto" w:fill="auto"/>
            <w:noWrap/>
            <w:vAlign w:val="center"/>
          </w:tcPr>
          <w:p w14:paraId="0CE46CD5" w14:textId="4FAB8818" w:rsidR="004E725B" w:rsidRPr="004E725B" w:rsidRDefault="004E725B" w:rsidP="005C6CDA">
            <w:pPr>
              <w:spacing w:after="0" w:line="276" w:lineRule="auto"/>
              <w:jc w:val="right"/>
              <w:rPr>
                <w:rFonts w:cs="Arial"/>
                <w:color w:val="000000"/>
                <w:sz w:val="16"/>
                <w:szCs w:val="16"/>
              </w:rPr>
            </w:pPr>
            <w:r w:rsidRPr="004E725B">
              <w:rPr>
                <w:sz w:val="16"/>
              </w:rPr>
              <w:t>222</w:t>
            </w:r>
          </w:p>
        </w:tc>
      </w:tr>
      <w:tr w:rsidR="004E725B" w:rsidRPr="00572FFD" w14:paraId="5BC3EDAA" w14:textId="77777777" w:rsidTr="00244472">
        <w:trPr>
          <w:cantSplit/>
          <w:trHeight w:val="645"/>
          <w:jc w:val="center"/>
        </w:trPr>
        <w:tc>
          <w:tcPr>
            <w:tcW w:w="2059" w:type="dxa"/>
            <w:tcBorders>
              <w:top w:val="nil"/>
              <w:left w:val="single" w:sz="2" w:space="0" w:color="A6A6A6" w:themeColor="background1" w:themeShade="A6"/>
              <w:bottom w:val="single" w:sz="2" w:space="0" w:color="A6A6A6" w:themeColor="background1" w:themeShade="A6"/>
            </w:tcBorders>
            <w:shd w:val="clear" w:color="000000" w:fill="D5DCE4"/>
            <w:vAlign w:val="center"/>
            <w:hideMark/>
          </w:tcPr>
          <w:p w14:paraId="1F52BD22" w14:textId="77777777" w:rsidR="004E725B" w:rsidRDefault="004E725B" w:rsidP="005C6CDA">
            <w:pPr>
              <w:spacing w:after="0" w:line="276" w:lineRule="auto"/>
              <w:jc w:val="left"/>
              <w:rPr>
                <w:rFonts w:cs="Arial"/>
                <w:b/>
                <w:bCs/>
                <w:color w:val="000000"/>
                <w:sz w:val="16"/>
                <w:szCs w:val="16"/>
              </w:rPr>
            </w:pPr>
            <w:r w:rsidRPr="00572FFD">
              <w:rPr>
                <w:rFonts w:cs="Arial"/>
                <w:b/>
                <w:bCs/>
                <w:color w:val="000000"/>
                <w:sz w:val="16"/>
                <w:szCs w:val="16"/>
              </w:rPr>
              <w:t>Ληξιπρόθεσμες υποχρεώσεις</w:t>
            </w:r>
          </w:p>
          <w:p w14:paraId="70BAF76D" w14:textId="46E6CCFC" w:rsidR="004E725B" w:rsidRPr="00572FFD" w:rsidRDefault="004E725B" w:rsidP="005C6CDA">
            <w:pPr>
              <w:spacing w:after="0" w:line="276" w:lineRule="auto"/>
              <w:jc w:val="left"/>
              <w:rPr>
                <w:rFonts w:cs="Arial"/>
                <w:b/>
                <w:bCs/>
                <w:color w:val="000000"/>
                <w:sz w:val="16"/>
                <w:szCs w:val="16"/>
              </w:rPr>
            </w:pPr>
            <w:r w:rsidRPr="00572FFD">
              <w:rPr>
                <w:rFonts w:cs="Arial"/>
                <w:b/>
                <w:bCs/>
                <w:color w:val="000000"/>
                <w:sz w:val="16"/>
                <w:szCs w:val="16"/>
              </w:rPr>
              <w:t>Γενικής Κυβέρνησης</w:t>
            </w:r>
          </w:p>
        </w:tc>
        <w:tc>
          <w:tcPr>
            <w:tcW w:w="990" w:type="dxa"/>
            <w:tcBorders>
              <w:top w:val="nil"/>
              <w:bottom w:val="single" w:sz="2" w:space="0" w:color="A6A6A6" w:themeColor="background1" w:themeShade="A6"/>
            </w:tcBorders>
            <w:shd w:val="clear" w:color="000000" w:fill="D5DCE4"/>
            <w:noWrap/>
            <w:vAlign w:val="center"/>
          </w:tcPr>
          <w:p w14:paraId="4FB309AE" w14:textId="0290EFFE" w:rsidR="004E725B" w:rsidRPr="00D22182" w:rsidRDefault="004E725B" w:rsidP="005C6CDA">
            <w:pPr>
              <w:spacing w:after="0" w:line="276" w:lineRule="auto"/>
              <w:jc w:val="right"/>
              <w:rPr>
                <w:rFonts w:cs="Arial"/>
                <w:b/>
                <w:bCs/>
                <w:color w:val="000000"/>
                <w:sz w:val="16"/>
                <w:szCs w:val="16"/>
              </w:rPr>
            </w:pPr>
            <w:r w:rsidRPr="00D22182">
              <w:rPr>
                <w:b/>
                <w:sz w:val="16"/>
              </w:rPr>
              <w:t>2.243</w:t>
            </w:r>
          </w:p>
        </w:tc>
        <w:tc>
          <w:tcPr>
            <w:tcW w:w="993" w:type="dxa"/>
            <w:tcBorders>
              <w:top w:val="nil"/>
              <w:bottom w:val="single" w:sz="2" w:space="0" w:color="A6A6A6" w:themeColor="background1" w:themeShade="A6"/>
            </w:tcBorders>
            <w:shd w:val="clear" w:color="000000" w:fill="D5DCE4"/>
            <w:noWrap/>
            <w:vAlign w:val="center"/>
          </w:tcPr>
          <w:p w14:paraId="2287466F" w14:textId="0D538CA3" w:rsidR="004E725B" w:rsidRPr="00D22182" w:rsidRDefault="004E725B" w:rsidP="005C6CDA">
            <w:pPr>
              <w:spacing w:after="0" w:line="276" w:lineRule="auto"/>
              <w:jc w:val="right"/>
              <w:rPr>
                <w:rFonts w:cs="Arial"/>
                <w:b/>
                <w:bCs/>
                <w:color w:val="000000"/>
                <w:sz w:val="16"/>
                <w:szCs w:val="16"/>
              </w:rPr>
            </w:pPr>
            <w:r w:rsidRPr="00D22182">
              <w:rPr>
                <w:b/>
                <w:sz w:val="16"/>
              </w:rPr>
              <w:t>2.819</w:t>
            </w:r>
          </w:p>
        </w:tc>
        <w:tc>
          <w:tcPr>
            <w:tcW w:w="991" w:type="dxa"/>
            <w:tcBorders>
              <w:top w:val="nil"/>
              <w:bottom w:val="single" w:sz="2" w:space="0" w:color="A6A6A6" w:themeColor="background1" w:themeShade="A6"/>
            </w:tcBorders>
            <w:shd w:val="clear" w:color="000000" w:fill="D5DCE4"/>
            <w:noWrap/>
            <w:vAlign w:val="center"/>
          </w:tcPr>
          <w:p w14:paraId="3AA5CB38" w14:textId="594706E2" w:rsidR="004E725B" w:rsidRPr="00D22182" w:rsidRDefault="004E725B" w:rsidP="005C6CDA">
            <w:pPr>
              <w:spacing w:after="0" w:line="276" w:lineRule="auto"/>
              <w:jc w:val="right"/>
              <w:rPr>
                <w:rFonts w:cs="Arial"/>
                <w:b/>
                <w:bCs/>
                <w:color w:val="000000"/>
                <w:sz w:val="16"/>
                <w:szCs w:val="16"/>
              </w:rPr>
            </w:pPr>
            <w:r w:rsidRPr="00D22182">
              <w:rPr>
                <w:b/>
                <w:sz w:val="16"/>
              </w:rPr>
              <w:t>2.320</w:t>
            </w:r>
          </w:p>
        </w:tc>
        <w:tc>
          <w:tcPr>
            <w:tcW w:w="1002" w:type="dxa"/>
            <w:tcBorders>
              <w:top w:val="nil"/>
              <w:bottom w:val="single" w:sz="2" w:space="0" w:color="A6A6A6" w:themeColor="background1" w:themeShade="A6"/>
            </w:tcBorders>
            <w:shd w:val="clear" w:color="000000" w:fill="D5DCE4"/>
            <w:noWrap/>
            <w:vAlign w:val="center"/>
          </w:tcPr>
          <w:p w14:paraId="0571F458" w14:textId="14DFE962" w:rsidR="004E725B" w:rsidRPr="00D22182" w:rsidRDefault="004E725B" w:rsidP="005C6CDA">
            <w:pPr>
              <w:spacing w:after="0" w:line="276" w:lineRule="auto"/>
              <w:jc w:val="right"/>
              <w:rPr>
                <w:rFonts w:cs="Arial"/>
                <w:b/>
                <w:bCs/>
                <w:color w:val="000000"/>
                <w:sz w:val="16"/>
                <w:szCs w:val="16"/>
              </w:rPr>
            </w:pPr>
            <w:r w:rsidRPr="00D22182">
              <w:rPr>
                <w:b/>
                <w:sz w:val="16"/>
              </w:rPr>
              <w:t>2.926</w:t>
            </w:r>
          </w:p>
        </w:tc>
        <w:tc>
          <w:tcPr>
            <w:tcW w:w="991" w:type="dxa"/>
            <w:tcBorders>
              <w:top w:val="nil"/>
              <w:bottom w:val="single" w:sz="2" w:space="0" w:color="A6A6A6" w:themeColor="background1" w:themeShade="A6"/>
            </w:tcBorders>
            <w:shd w:val="clear" w:color="000000" w:fill="D5DCE4"/>
            <w:noWrap/>
            <w:vAlign w:val="center"/>
          </w:tcPr>
          <w:p w14:paraId="7FB79501" w14:textId="6D08FE42" w:rsidR="004E725B" w:rsidRPr="00D22182" w:rsidRDefault="004E725B" w:rsidP="005C6CDA">
            <w:pPr>
              <w:spacing w:after="0" w:line="276" w:lineRule="auto"/>
              <w:jc w:val="right"/>
              <w:rPr>
                <w:rFonts w:cs="Arial"/>
                <w:b/>
                <w:bCs/>
                <w:color w:val="000000"/>
                <w:sz w:val="16"/>
                <w:szCs w:val="16"/>
              </w:rPr>
            </w:pPr>
            <w:r w:rsidRPr="00D22182">
              <w:rPr>
                <w:b/>
                <w:sz w:val="16"/>
              </w:rPr>
              <w:t>2.930</w:t>
            </w:r>
          </w:p>
        </w:tc>
        <w:tc>
          <w:tcPr>
            <w:tcW w:w="997" w:type="dxa"/>
            <w:tcBorders>
              <w:top w:val="nil"/>
              <w:bottom w:val="single" w:sz="2" w:space="0" w:color="A6A6A6" w:themeColor="background1" w:themeShade="A6"/>
              <w:right w:val="single" w:sz="2" w:space="0" w:color="A6A6A6" w:themeColor="background1" w:themeShade="A6"/>
            </w:tcBorders>
            <w:shd w:val="clear" w:color="000000" w:fill="D5DCE4"/>
            <w:noWrap/>
            <w:vAlign w:val="center"/>
          </w:tcPr>
          <w:p w14:paraId="40DC3AAE" w14:textId="0D0F29E2" w:rsidR="004E725B" w:rsidRPr="00D22182" w:rsidRDefault="004E725B" w:rsidP="005C6CDA">
            <w:pPr>
              <w:spacing w:after="0" w:line="276" w:lineRule="auto"/>
              <w:jc w:val="right"/>
              <w:rPr>
                <w:rFonts w:cs="Arial"/>
                <w:b/>
                <w:bCs/>
                <w:color w:val="000000"/>
                <w:sz w:val="16"/>
                <w:szCs w:val="16"/>
              </w:rPr>
            </w:pPr>
            <w:r w:rsidRPr="00D22182">
              <w:rPr>
                <w:b/>
                <w:sz w:val="16"/>
              </w:rPr>
              <w:t>2.942</w:t>
            </w:r>
          </w:p>
        </w:tc>
      </w:tr>
      <w:tr w:rsidR="00D770C9" w:rsidRPr="00572FFD" w14:paraId="3F52749D" w14:textId="77777777" w:rsidTr="00244472">
        <w:trPr>
          <w:cantSplit/>
          <w:jc w:val="center"/>
        </w:trPr>
        <w:tc>
          <w:tcPr>
            <w:tcW w:w="8023" w:type="dxa"/>
            <w:gridSpan w:val="7"/>
            <w:tcBorders>
              <w:top w:val="single" w:sz="2" w:space="0" w:color="A6A6A6" w:themeColor="background1" w:themeShade="A6"/>
              <w:left w:val="nil"/>
              <w:bottom w:val="nil"/>
              <w:right w:val="nil"/>
            </w:tcBorders>
            <w:shd w:val="clear" w:color="auto" w:fill="auto"/>
            <w:vAlign w:val="center"/>
            <w:hideMark/>
          </w:tcPr>
          <w:p w14:paraId="0DAF9468" w14:textId="24EADDDB" w:rsidR="00D770C9" w:rsidRDefault="00D770C9" w:rsidP="00790111">
            <w:pPr>
              <w:tabs>
                <w:tab w:val="left" w:pos="113"/>
              </w:tabs>
              <w:spacing w:before="60" w:after="0" w:line="276" w:lineRule="auto"/>
              <w:rPr>
                <w:rFonts w:cs="Arial"/>
                <w:color w:val="000000"/>
                <w:sz w:val="16"/>
                <w:szCs w:val="16"/>
              </w:rPr>
            </w:pPr>
            <w:r w:rsidRPr="00572FFD">
              <w:rPr>
                <w:rFonts w:cs="Arial"/>
                <w:color w:val="000000"/>
                <w:sz w:val="16"/>
                <w:szCs w:val="16"/>
                <w:vertAlign w:val="superscript"/>
              </w:rPr>
              <w:t>1</w:t>
            </w:r>
            <w:r w:rsidR="005C6CDA">
              <w:rPr>
                <w:rFonts w:cs="Arial"/>
                <w:color w:val="000000"/>
                <w:sz w:val="16"/>
                <w:szCs w:val="16"/>
                <w:vertAlign w:val="superscript"/>
              </w:rPr>
              <w:tab/>
            </w:r>
            <w:r w:rsidRPr="00572FFD">
              <w:rPr>
                <w:rFonts w:cs="Arial"/>
                <w:color w:val="000000"/>
                <w:sz w:val="16"/>
                <w:szCs w:val="16"/>
              </w:rPr>
              <w:t>Περιλαμβάνονται και ποσά clawback και rebate που δεν έχουν συμψηφιστεί.</w:t>
            </w:r>
          </w:p>
          <w:p w14:paraId="015F47CF" w14:textId="69DC9BA3" w:rsidR="00D22182" w:rsidRPr="00572FFD" w:rsidRDefault="00D22182" w:rsidP="00790111">
            <w:pPr>
              <w:tabs>
                <w:tab w:val="left" w:pos="113"/>
              </w:tabs>
              <w:spacing w:before="60" w:after="0" w:line="276" w:lineRule="auto"/>
              <w:rPr>
                <w:rFonts w:cs="Arial"/>
                <w:color w:val="000000"/>
                <w:sz w:val="16"/>
                <w:szCs w:val="16"/>
              </w:rPr>
            </w:pPr>
            <w:r w:rsidRPr="00572FFD">
              <w:rPr>
                <w:rFonts w:cs="Arial"/>
                <w:color w:val="000000"/>
                <w:sz w:val="16"/>
                <w:szCs w:val="16"/>
                <w:vertAlign w:val="superscript"/>
              </w:rPr>
              <w:t>2</w:t>
            </w:r>
            <w:r w:rsidR="005C6CDA">
              <w:rPr>
                <w:rFonts w:cs="Arial"/>
                <w:color w:val="000000"/>
                <w:sz w:val="16"/>
                <w:szCs w:val="16"/>
                <w:vertAlign w:val="superscript"/>
              </w:rPr>
              <w:tab/>
            </w:r>
            <w:r w:rsidRPr="00572FFD">
              <w:rPr>
                <w:rFonts w:cs="Arial"/>
                <w:color w:val="000000"/>
                <w:sz w:val="16"/>
                <w:szCs w:val="16"/>
              </w:rPr>
              <w:t>Περιλαμβάνονται και οι ληξιπρόθεσμες υποχρεώσεις της ΕΚΑΠΥ.</w:t>
            </w:r>
          </w:p>
        </w:tc>
      </w:tr>
    </w:tbl>
    <w:p w14:paraId="654D2763" w14:textId="2CA0EC36" w:rsidR="00CD24DD" w:rsidRDefault="00CD24DD" w:rsidP="00D22182">
      <w:pPr>
        <w:pStyle w:val="afe"/>
        <w:spacing w:before="120"/>
      </w:pPr>
    </w:p>
    <w:tbl>
      <w:tblPr>
        <w:tblW w:w="8902"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4684"/>
        <w:gridCol w:w="703"/>
        <w:gridCol w:w="703"/>
        <w:gridCol w:w="703"/>
        <w:gridCol w:w="703"/>
        <w:gridCol w:w="703"/>
        <w:gridCol w:w="703"/>
      </w:tblGrid>
      <w:tr w:rsidR="00D770C9" w:rsidRPr="008D7749" w14:paraId="5ED8F682" w14:textId="77777777" w:rsidTr="00D22182">
        <w:trPr>
          <w:cantSplit/>
          <w:trHeight w:val="225"/>
          <w:jc w:val="center"/>
        </w:trPr>
        <w:tc>
          <w:tcPr>
            <w:tcW w:w="8902" w:type="dxa"/>
            <w:gridSpan w:val="7"/>
            <w:tcBorders>
              <w:bottom w:val="nil"/>
            </w:tcBorders>
            <w:shd w:val="clear" w:color="000000" w:fill="D5DCE4"/>
            <w:vAlign w:val="center"/>
            <w:hideMark/>
          </w:tcPr>
          <w:p w14:paraId="6F8866B4" w14:textId="44052216" w:rsidR="00D770C9" w:rsidRPr="008D7749" w:rsidRDefault="00D770C9" w:rsidP="005C6CDA">
            <w:pPr>
              <w:spacing w:after="0" w:line="276" w:lineRule="auto"/>
              <w:jc w:val="center"/>
              <w:rPr>
                <w:rFonts w:cs="Arial"/>
                <w:b/>
                <w:bCs/>
                <w:color w:val="000000"/>
                <w:sz w:val="18"/>
                <w:szCs w:val="18"/>
              </w:rPr>
            </w:pPr>
            <w:bookmarkStart w:id="421" w:name="_Ref182423986"/>
            <w:bookmarkStart w:id="422" w:name="_Toc214474064"/>
            <w:r w:rsidRPr="008D7749">
              <w:rPr>
                <w:b/>
                <w:sz w:val="18"/>
                <w:szCs w:val="18"/>
              </w:rPr>
              <w:t>Πίνακας 3.</w:t>
            </w:r>
            <w:r w:rsidRPr="008D7749">
              <w:rPr>
                <w:b/>
                <w:sz w:val="18"/>
                <w:szCs w:val="18"/>
              </w:rPr>
              <w:fldChar w:fldCharType="begin"/>
            </w:r>
            <w:r w:rsidRPr="008D7749">
              <w:rPr>
                <w:b/>
                <w:sz w:val="18"/>
                <w:szCs w:val="18"/>
              </w:rPr>
              <w:instrText xml:space="preserve"> SEQ Πίνακας_3. \* ARABIC </w:instrText>
            </w:r>
            <w:r w:rsidRPr="008D7749">
              <w:rPr>
                <w:b/>
                <w:sz w:val="18"/>
                <w:szCs w:val="18"/>
              </w:rPr>
              <w:fldChar w:fldCharType="separate"/>
            </w:r>
            <w:r w:rsidR="00E15678">
              <w:rPr>
                <w:b/>
                <w:noProof/>
                <w:sz w:val="18"/>
                <w:szCs w:val="18"/>
              </w:rPr>
              <w:t>26</w:t>
            </w:r>
            <w:r w:rsidRPr="008D7749">
              <w:rPr>
                <w:b/>
                <w:sz w:val="18"/>
                <w:szCs w:val="18"/>
              </w:rPr>
              <w:fldChar w:fldCharType="end"/>
            </w:r>
            <w:bookmarkEnd w:id="421"/>
            <w:r w:rsidRPr="008D7749">
              <w:rPr>
                <w:rFonts w:cs="Arial"/>
                <w:b/>
                <w:bCs/>
                <w:color w:val="000000"/>
                <w:sz w:val="18"/>
                <w:szCs w:val="18"/>
              </w:rPr>
              <w:t>.: Εξέλιξη εκκρεμών επιστροφών φόρων Δεκέμβριος 202</w:t>
            </w:r>
            <w:r w:rsidR="009163F1" w:rsidRPr="008D7749">
              <w:rPr>
                <w:rFonts w:cs="Arial"/>
                <w:b/>
                <w:bCs/>
                <w:color w:val="000000"/>
                <w:sz w:val="18"/>
                <w:szCs w:val="18"/>
              </w:rPr>
              <w:t>3</w:t>
            </w:r>
            <w:r w:rsidRPr="008D7749">
              <w:rPr>
                <w:rFonts w:cs="Arial"/>
                <w:b/>
                <w:bCs/>
                <w:color w:val="000000"/>
                <w:sz w:val="18"/>
                <w:szCs w:val="18"/>
              </w:rPr>
              <w:t xml:space="preserve"> - Σεπτέμβριος 202</w:t>
            </w:r>
            <w:r w:rsidR="009163F1" w:rsidRPr="008D7749">
              <w:rPr>
                <w:rFonts w:cs="Arial"/>
                <w:b/>
                <w:bCs/>
                <w:color w:val="000000"/>
                <w:sz w:val="18"/>
                <w:szCs w:val="18"/>
              </w:rPr>
              <w:t>5</w:t>
            </w:r>
            <w:bookmarkEnd w:id="422"/>
          </w:p>
        </w:tc>
      </w:tr>
      <w:tr w:rsidR="00D770C9" w:rsidRPr="00E8778D" w14:paraId="748B4C04" w14:textId="77777777" w:rsidTr="00D22182">
        <w:trPr>
          <w:cantSplit/>
          <w:trHeight w:val="240"/>
          <w:jc w:val="center"/>
        </w:trPr>
        <w:tc>
          <w:tcPr>
            <w:tcW w:w="8902" w:type="dxa"/>
            <w:gridSpan w:val="7"/>
            <w:tcBorders>
              <w:top w:val="nil"/>
              <w:bottom w:val="single" w:sz="2" w:space="0" w:color="A6A6A6" w:themeColor="background1" w:themeShade="A6"/>
            </w:tcBorders>
            <w:shd w:val="clear" w:color="000000" w:fill="D5DCE4"/>
            <w:vAlign w:val="center"/>
            <w:hideMark/>
          </w:tcPr>
          <w:p w14:paraId="4475C174" w14:textId="77777777" w:rsidR="00D770C9" w:rsidRPr="008D7749" w:rsidRDefault="00D770C9" w:rsidP="005C6CDA">
            <w:pPr>
              <w:spacing w:after="0" w:line="276" w:lineRule="auto"/>
              <w:jc w:val="center"/>
              <w:rPr>
                <w:rFonts w:cs="Arial"/>
                <w:b/>
                <w:bCs/>
                <w:color w:val="000000"/>
                <w:sz w:val="18"/>
                <w:szCs w:val="18"/>
              </w:rPr>
            </w:pPr>
            <w:r w:rsidRPr="008D7749">
              <w:rPr>
                <w:rFonts w:cs="Arial"/>
                <w:b/>
                <w:bCs/>
                <w:color w:val="000000"/>
                <w:sz w:val="18"/>
                <w:szCs w:val="18"/>
              </w:rPr>
              <w:t>(σε εκατ. ευρώ)</w:t>
            </w:r>
          </w:p>
        </w:tc>
      </w:tr>
      <w:tr w:rsidR="00D770C9" w:rsidRPr="00C635BD" w14:paraId="01DECB32" w14:textId="77777777" w:rsidTr="004014E4">
        <w:trPr>
          <w:cantSplit/>
          <w:trHeight w:val="197"/>
          <w:jc w:val="center"/>
        </w:trPr>
        <w:tc>
          <w:tcPr>
            <w:tcW w:w="4684" w:type="dxa"/>
            <w:vMerge w:val="restart"/>
            <w:tcBorders>
              <w:top w:val="single" w:sz="2" w:space="0" w:color="A6A6A6" w:themeColor="background1" w:themeShade="A6"/>
            </w:tcBorders>
            <w:shd w:val="clear" w:color="auto" w:fill="F2F2F2" w:themeFill="background1" w:themeFillShade="F2"/>
            <w:vAlign w:val="center"/>
            <w:hideMark/>
          </w:tcPr>
          <w:p w14:paraId="1EF01D3B" w14:textId="1C6A78F1" w:rsidR="00D770C9" w:rsidRPr="00C635BD" w:rsidRDefault="00D770C9" w:rsidP="005C6CDA">
            <w:pPr>
              <w:spacing w:after="0" w:line="276" w:lineRule="auto"/>
              <w:jc w:val="left"/>
              <w:rPr>
                <w:rFonts w:ascii="Times New Roman" w:hAnsi="Times New Roman"/>
                <w:color w:val="000000"/>
                <w:szCs w:val="20"/>
              </w:rPr>
            </w:pPr>
          </w:p>
        </w:tc>
        <w:tc>
          <w:tcPr>
            <w:tcW w:w="703" w:type="dxa"/>
            <w:tcBorders>
              <w:top w:val="single" w:sz="2" w:space="0" w:color="A6A6A6" w:themeColor="background1" w:themeShade="A6"/>
            </w:tcBorders>
            <w:shd w:val="clear" w:color="auto" w:fill="F2F2F2" w:themeFill="background1" w:themeFillShade="F2"/>
            <w:vAlign w:val="center"/>
            <w:hideMark/>
          </w:tcPr>
          <w:p w14:paraId="7C9E29EF" w14:textId="77777777" w:rsidR="00D770C9" w:rsidRPr="00C635BD" w:rsidRDefault="00D770C9" w:rsidP="005C6CDA">
            <w:pPr>
              <w:spacing w:after="0" w:line="276" w:lineRule="auto"/>
              <w:jc w:val="center"/>
              <w:rPr>
                <w:rFonts w:cs="Arial"/>
                <w:b/>
                <w:bCs/>
                <w:color w:val="000000"/>
                <w:sz w:val="16"/>
                <w:szCs w:val="16"/>
              </w:rPr>
            </w:pPr>
            <w:r w:rsidRPr="00C635BD">
              <w:rPr>
                <w:rFonts w:cs="Arial"/>
                <w:b/>
                <w:bCs/>
                <w:color w:val="000000"/>
                <w:sz w:val="16"/>
                <w:szCs w:val="16"/>
              </w:rPr>
              <w:t>Δεκ.</w:t>
            </w:r>
          </w:p>
        </w:tc>
        <w:tc>
          <w:tcPr>
            <w:tcW w:w="703" w:type="dxa"/>
            <w:tcBorders>
              <w:top w:val="single" w:sz="2" w:space="0" w:color="A6A6A6" w:themeColor="background1" w:themeShade="A6"/>
            </w:tcBorders>
            <w:shd w:val="clear" w:color="auto" w:fill="F2F2F2" w:themeFill="background1" w:themeFillShade="F2"/>
            <w:vAlign w:val="center"/>
            <w:hideMark/>
          </w:tcPr>
          <w:p w14:paraId="5ABBBD4B" w14:textId="0E9FC406" w:rsidR="00D770C9" w:rsidRPr="00C635BD" w:rsidRDefault="00D770C9" w:rsidP="005C6CDA">
            <w:pPr>
              <w:spacing w:after="0" w:line="276" w:lineRule="auto"/>
              <w:jc w:val="center"/>
              <w:rPr>
                <w:rFonts w:cs="Arial"/>
                <w:b/>
                <w:bCs/>
                <w:color w:val="000000"/>
                <w:sz w:val="16"/>
                <w:szCs w:val="16"/>
              </w:rPr>
            </w:pPr>
            <w:r w:rsidRPr="00C635BD">
              <w:rPr>
                <w:rFonts w:cs="Arial"/>
                <w:b/>
                <w:bCs/>
                <w:color w:val="000000"/>
                <w:sz w:val="16"/>
                <w:szCs w:val="16"/>
              </w:rPr>
              <w:t>Σεπ.</w:t>
            </w:r>
          </w:p>
        </w:tc>
        <w:tc>
          <w:tcPr>
            <w:tcW w:w="703" w:type="dxa"/>
            <w:tcBorders>
              <w:top w:val="single" w:sz="2" w:space="0" w:color="A6A6A6" w:themeColor="background1" w:themeShade="A6"/>
            </w:tcBorders>
            <w:shd w:val="clear" w:color="auto" w:fill="F2F2F2" w:themeFill="background1" w:themeFillShade="F2"/>
            <w:vAlign w:val="center"/>
            <w:hideMark/>
          </w:tcPr>
          <w:p w14:paraId="6F59CFAB" w14:textId="77777777" w:rsidR="00D770C9" w:rsidRPr="00C635BD" w:rsidRDefault="00D770C9" w:rsidP="005C6CDA">
            <w:pPr>
              <w:spacing w:after="0" w:line="276" w:lineRule="auto"/>
              <w:jc w:val="center"/>
              <w:rPr>
                <w:rFonts w:cs="Arial"/>
                <w:b/>
                <w:bCs/>
                <w:color w:val="000000"/>
                <w:sz w:val="16"/>
                <w:szCs w:val="16"/>
              </w:rPr>
            </w:pPr>
            <w:r w:rsidRPr="00C635BD">
              <w:rPr>
                <w:rFonts w:cs="Arial"/>
                <w:b/>
                <w:bCs/>
                <w:color w:val="000000"/>
                <w:sz w:val="16"/>
                <w:szCs w:val="16"/>
              </w:rPr>
              <w:t>Δεκ.</w:t>
            </w:r>
          </w:p>
        </w:tc>
        <w:tc>
          <w:tcPr>
            <w:tcW w:w="703" w:type="dxa"/>
            <w:tcBorders>
              <w:top w:val="single" w:sz="2" w:space="0" w:color="A6A6A6" w:themeColor="background1" w:themeShade="A6"/>
            </w:tcBorders>
            <w:shd w:val="clear" w:color="auto" w:fill="F2F2F2" w:themeFill="background1" w:themeFillShade="F2"/>
            <w:vAlign w:val="center"/>
            <w:hideMark/>
          </w:tcPr>
          <w:p w14:paraId="6380C2C3" w14:textId="77777777" w:rsidR="00D770C9" w:rsidRPr="00C635BD" w:rsidRDefault="00D770C9" w:rsidP="005C6CDA">
            <w:pPr>
              <w:spacing w:after="0" w:line="276" w:lineRule="auto"/>
              <w:jc w:val="center"/>
              <w:rPr>
                <w:rFonts w:cs="Arial"/>
                <w:b/>
                <w:bCs/>
                <w:color w:val="000000"/>
                <w:sz w:val="16"/>
                <w:szCs w:val="16"/>
              </w:rPr>
            </w:pPr>
            <w:r w:rsidRPr="00C635BD">
              <w:rPr>
                <w:rFonts w:cs="Arial"/>
                <w:b/>
                <w:bCs/>
                <w:color w:val="000000"/>
                <w:sz w:val="16"/>
                <w:szCs w:val="16"/>
              </w:rPr>
              <w:t>Μαρ.</w:t>
            </w:r>
          </w:p>
        </w:tc>
        <w:tc>
          <w:tcPr>
            <w:tcW w:w="703" w:type="dxa"/>
            <w:tcBorders>
              <w:top w:val="single" w:sz="2" w:space="0" w:color="A6A6A6" w:themeColor="background1" w:themeShade="A6"/>
            </w:tcBorders>
            <w:shd w:val="clear" w:color="auto" w:fill="F2F2F2" w:themeFill="background1" w:themeFillShade="F2"/>
            <w:vAlign w:val="center"/>
            <w:hideMark/>
          </w:tcPr>
          <w:p w14:paraId="5DBCA58E" w14:textId="77777777" w:rsidR="00D770C9" w:rsidRPr="00C635BD" w:rsidRDefault="00D770C9" w:rsidP="005C6CDA">
            <w:pPr>
              <w:spacing w:after="0" w:line="276" w:lineRule="auto"/>
              <w:jc w:val="center"/>
              <w:rPr>
                <w:rFonts w:cs="Arial"/>
                <w:b/>
                <w:bCs/>
                <w:color w:val="000000"/>
                <w:sz w:val="16"/>
                <w:szCs w:val="16"/>
              </w:rPr>
            </w:pPr>
            <w:r w:rsidRPr="00C635BD">
              <w:rPr>
                <w:rFonts w:cs="Arial"/>
                <w:b/>
                <w:bCs/>
                <w:color w:val="000000"/>
                <w:sz w:val="16"/>
                <w:szCs w:val="16"/>
              </w:rPr>
              <w:t>Ιουν.</w:t>
            </w:r>
          </w:p>
        </w:tc>
        <w:tc>
          <w:tcPr>
            <w:tcW w:w="703" w:type="dxa"/>
            <w:tcBorders>
              <w:top w:val="single" w:sz="2" w:space="0" w:color="A6A6A6" w:themeColor="background1" w:themeShade="A6"/>
            </w:tcBorders>
            <w:shd w:val="clear" w:color="auto" w:fill="F2F2F2" w:themeFill="background1" w:themeFillShade="F2"/>
            <w:vAlign w:val="center"/>
            <w:hideMark/>
          </w:tcPr>
          <w:p w14:paraId="292815F3" w14:textId="504E8EFA" w:rsidR="00D770C9" w:rsidRPr="00C635BD" w:rsidRDefault="00D770C9" w:rsidP="005C6CDA">
            <w:pPr>
              <w:spacing w:after="0" w:line="276" w:lineRule="auto"/>
              <w:jc w:val="center"/>
              <w:rPr>
                <w:rFonts w:cs="Arial"/>
                <w:b/>
                <w:bCs/>
                <w:color w:val="000000"/>
                <w:sz w:val="16"/>
                <w:szCs w:val="16"/>
              </w:rPr>
            </w:pPr>
            <w:r w:rsidRPr="00C635BD">
              <w:rPr>
                <w:rFonts w:cs="Arial"/>
                <w:b/>
                <w:bCs/>
                <w:color w:val="000000"/>
                <w:sz w:val="16"/>
                <w:szCs w:val="16"/>
              </w:rPr>
              <w:t>Σεπ</w:t>
            </w:r>
            <w:r w:rsidR="008478A5">
              <w:rPr>
                <w:rFonts w:cs="Arial"/>
                <w:b/>
                <w:bCs/>
                <w:color w:val="000000"/>
                <w:sz w:val="16"/>
                <w:szCs w:val="16"/>
              </w:rPr>
              <w:t>.</w:t>
            </w:r>
          </w:p>
        </w:tc>
      </w:tr>
      <w:tr w:rsidR="00D770C9" w:rsidRPr="00C635BD" w14:paraId="5B0BD298" w14:textId="77777777" w:rsidTr="004014E4">
        <w:trPr>
          <w:cantSplit/>
          <w:trHeight w:val="212"/>
          <w:jc w:val="center"/>
        </w:trPr>
        <w:tc>
          <w:tcPr>
            <w:tcW w:w="4684" w:type="dxa"/>
            <w:vMerge/>
            <w:tcBorders>
              <w:bottom w:val="single" w:sz="2" w:space="0" w:color="A6A6A6" w:themeColor="background1" w:themeShade="A6"/>
            </w:tcBorders>
            <w:vAlign w:val="center"/>
            <w:hideMark/>
          </w:tcPr>
          <w:p w14:paraId="5B25EE51" w14:textId="77777777" w:rsidR="00D770C9" w:rsidRPr="00C635BD" w:rsidRDefault="00D770C9" w:rsidP="005C6CDA">
            <w:pPr>
              <w:spacing w:after="0" w:line="276" w:lineRule="auto"/>
              <w:jc w:val="left"/>
              <w:rPr>
                <w:rFonts w:ascii="Times New Roman" w:hAnsi="Times New Roman"/>
                <w:color w:val="000000"/>
                <w:szCs w:val="20"/>
              </w:rPr>
            </w:pPr>
          </w:p>
        </w:tc>
        <w:tc>
          <w:tcPr>
            <w:tcW w:w="703" w:type="dxa"/>
            <w:tcBorders>
              <w:bottom w:val="single" w:sz="2" w:space="0" w:color="A6A6A6" w:themeColor="background1" w:themeShade="A6"/>
            </w:tcBorders>
            <w:shd w:val="clear" w:color="auto" w:fill="F2F2F2" w:themeFill="background1" w:themeFillShade="F2"/>
            <w:vAlign w:val="center"/>
            <w:hideMark/>
          </w:tcPr>
          <w:p w14:paraId="59347943" w14:textId="11A0D7F2" w:rsidR="00D770C9" w:rsidRPr="009163F1" w:rsidRDefault="00D770C9" w:rsidP="005C6CDA">
            <w:pPr>
              <w:spacing w:after="0" w:line="276" w:lineRule="auto"/>
              <w:jc w:val="center"/>
              <w:rPr>
                <w:rFonts w:cs="Arial"/>
                <w:b/>
                <w:bCs/>
                <w:color w:val="000000"/>
                <w:sz w:val="16"/>
                <w:szCs w:val="16"/>
                <w:lang w:val="en-US"/>
              </w:rPr>
            </w:pPr>
            <w:r w:rsidRPr="00C635BD">
              <w:rPr>
                <w:rFonts w:cs="Arial"/>
                <w:b/>
                <w:bCs/>
                <w:color w:val="000000"/>
                <w:sz w:val="16"/>
                <w:szCs w:val="16"/>
              </w:rPr>
              <w:t>202</w:t>
            </w:r>
            <w:r w:rsidR="009163F1">
              <w:rPr>
                <w:rFonts w:cs="Arial"/>
                <w:b/>
                <w:bCs/>
                <w:color w:val="000000"/>
                <w:sz w:val="16"/>
                <w:szCs w:val="16"/>
                <w:lang w:val="en-US"/>
              </w:rPr>
              <w:t>3</w:t>
            </w:r>
          </w:p>
        </w:tc>
        <w:tc>
          <w:tcPr>
            <w:tcW w:w="703" w:type="dxa"/>
            <w:tcBorders>
              <w:bottom w:val="single" w:sz="2" w:space="0" w:color="A6A6A6" w:themeColor="background1" w:themeShade="A6"/>
            </w:tcBorders>
            <w:shd w:val="clear" w:color="auto" w:fill="F2F2F2" w:themeFill="background1" w:themeFillShade="F2"/>
            <w:vAlign w:val="center"/>
            <w:hideMark/>
          </w:tcPr>
          <w:p w14:paraId="4D1CD608" w14:textId="41CC7E65" w:rsidR="00D770C9" w:rsidRPr="009163F1" w:rsidRDefault="00D770C9" w:rsidP="005C6CDA">
            <w:pPr>
              <w:spacing w:after="0" w:line="276" w:lineRule="auto"/>
              <w:jc w:val="center"/>
              <w:rPr>
                <w:rFonts w:cs="Arial"/>
                <w:b/>
                <w:bCs/>
                <w:color w:val="000000"/>
                <w:sz w:val="16"/>
                <w:szCs w:val="16"/>
                <w:lang w:val="en-US"/>
              </w:rPr>
            </w:pPr>
            <w:r w:rsidRPr="00C635BD">
              <w:rPr>
                <w:rFonts w:cs="Arial"/>
                <w:b/>
                <w:bCs/>
                <w:color w:val="000000"/>
                <w:sz w:val="16"/>
                <w:szCs w:val="16"/>
              </w:rPr>
              <w:t>202</w:t>
            </w:r>
            <w:r w:rsidR="009163F1">
              <w:rPr>
                <w:rFonts w:cs="Arial"/>
                <w:b/>
                <w:bCs/>
                <w:color w:val="000000"/>
                <w:sz w:val="16"/>
                <w:szCs w:val="16"/>
                <w:lang w:val="en-US"/>
              </w:rPr>
              <w:t>4</w:t>
            </w:r>
          </w:p>
        </w:tc>
        <w:tc>
          <w:tcPr>
            <w:tcW w:w="703" w:type="dxa"/>
            <w:tcBorders>
              <w:bottom w:val="single" w:sz="2" w:space="0" w:color="A6A6A6" w:themeColor="background1" w:themeShade="A6"/>
            </w:tcBorders>
            <w:shd w:val="clear" w:color="auto" w:fill="F2F2F2" w:themeFill="background1" w:themeFillShade="F2"/>
            <w:vAlign w:val="center"/>
            <w:hideMark/>
          </w:tcPr>
          <w:p w14:paraId="664BD0D0" w14:textId="3EAABFB4" w:rsidR="00D770C9" w:rsidRPr="009163F1" w:rsidRDefault="00D770C9" w:rsidP="005C6CDA">
            <w:pPr>
              <w:spacing w:after="0" w:line="276" w:lineRule="auto"/>
              <w:jc w:val="center"/>
              <w:rPr>
                <w:rFonts w:cs="Arial"/>
                <w:b/>
                <w:bCs/>
                <w:color w:val="000000"/>
                <w:sz w:val="16"/>
                <w:szCs w:val="16"/>
                <w:lang w:val="en-US"/>
              </w:rPr>
            </w:pPr>
            <w:r w:rsidRPr="00C635BD">
              <w:rPr>
                <w:rFonts w:cs="Arial"/>
                <w:b/>
                <w:bCs/>
                <w:color w:val="000000"/>
                <w:sz w:val="16"/>
                <w:szCs w:val="16"/>
              </w:rPr>
              <w:t>202</w:t>
            </w:r>
            <w:r w:rsidR="009163F1">
              <w:rPr>
                <w:rFonts w:cs="Arial"/>
                <w:b/>
                <w:bCs/>
                <w:color w:val="000000"/>
                <w:sz w:val="16"/>
                <w:szCs w:val="16"/>
                <w:lang w:val="en-US"/>
              </w:rPr>
              <w:t>4</w:t>
            </w:r>
          </w:p>
        </w:tc>
        <w:tc>
          <w:tcPr>
            <w:tcW w:w="703" w:type="dxa"/>
            <w:tcBorders>
              <w:bottom w:val="single" w:sz="2" w:space="0" w:color="A6A6A6" w:themeColor="background1" w:themeShade="A6"/>
            </w:tcBorders>
            <w:shd w:val="clear" w:color="auto" w:fill="F2F2F2" w:themeFill="background1" w:themeFillShade="F2"/>
            <w:vAlign w:val="center"/>
            <w:hideMark/>
          </w:tcPr>
          <w:p w14:paraId="0596A896" w14:textId="22D32B0F" w:rsidR="00D770C9" w:rsidRPr="009163F1" w:rsidRDefault="00D770C9" w:rsidP="005C6CDA">
            <w:pPr>
              <w:spacing w:after="0" w:line="276" w:lineRule="auto"/>
              <w:jc w:val="center"/>
              <w:rPr>
                <w:rFonts w:cs="Arial"/>
                <w:b/>
                <w:bCs/>
                <w:color w:val="000000"/>
                <w:sz w:val="16"/>
                <w:szCs w:val="16"/>
                <w:lang w:val="en-US"/>
              </w:rPr>
            </w:pPr>
            <w:r w:rsidRPr="00C635BD">
              <w:rPr>
                <w:rFonts w:cs="Arial"/>
                <w:b/>
                <w:bCs/>
                <w:color w:val="000000"/>
                <w:sz w:val="16"/>
                <w:szCs w:val="16"/>
              </w:rPr>
              <w:t>202</w:t>
            </w:r>
            <w:r w:rsidR="009163F1">
              <w:rPr>
                <w:rFonts w:cs="Arial"/>
                <w:b/>
                <w:bCs/>
                <w:color w:val="000000"/>
                <w:sz w:val="16"/>
                <w:szCs w:val="16"/>
                <w:lang w:val="en-US"/>
              </w:rPr>
              <w:t>5</w:t>
            </w:r>
          </w:p>
        </w:tc>
        <w:tc>
          <w:tcPr>
            <w:tcW w:w="703" w:type="dxa"/>
            <w:tcBorders>
              <w:bottom w:val="single" w:sz="2" w:space="0" w:color="A6A6A6" w:themeColor="background1" w:themeShade="A6"/>
            </w:tcBorders>
            <w:shd w:val="clear" w:color="auto" w:fill="F2F2F2" w:themeFill="background1" w:themeFillShade="F2"/>
            <w:vAlign w:val="center"/>
            <w:hideMark/>
          </w:tcPr>
          <w:p w14:paraId="7FCE40FB" w14:textId="7FFB4A61" w:rsidR="00D770C9" w:rsidRPr="009163F1" w:rsidRDefault="00D770C9" w:rsidP="005C6CDA">
            <w:pPr>
              <w:spacing w:after="0" w:line="276" w:lineRule="auto"/>
              <w:jc w:val="center"/>
              <w:rPr>
                <w:rFonts w:cs="Arial"/>
                <w:b/>
                <w:bCs/>
                <w:color w:val="000000"/>
                <w:sz w:val="16"/>
                <w:szCs w:val="16"/>
                <w:lang w:val="en-US"/>
              </w:rPr>
            </w:pPr>
            <w:r w:rsidRPr="00C635BD">
              <w:rPr>
                <w:rFonts w:cs="Arial"/>
                <w:b/>
                <w:bCs/>
                <w:color w:val="000000"/>
                <w:sz w:val="16"/>
                <w:szCs w:val="16"/>
              </w:rPr>
              <w:t>202</w:t>
            </w:r>
            <w:r w:rsidR="009163F1">
              <w:rPr>
                <w:rFonts w:cs="Arial"/>
                <w:b/>
                <w:bCs/>
                <w:color w:val="000000"/>
                <w:sz w:val="16"/>
                <w:szCs w:val="16"/>
                <w:lang w:val="en-US"/>
              </w:rPr>
              <w:t>5</w:t>
            </w:r>
          </w:p>
        </w:tc>
        <w:tc>
          <w:tcPr>
            <w:tcW w:w="703" w:type="dxa"/>
            <w:tcBorders>
              <w:bottom w:val="single" w:sz="2" w:space="0" w:color="A6A6A6" w:themeColor="background1" w:themeShade="A6"/>
            </w:tcBorders>
            <w:shd w:val="clear" w:color="auto" w:fill="F2F2F2" w:themeFill="background1" w:themeFillShade="F2"/>
            <w:vAlign w:val="center"/>
            <w:hideMark/>
          </w:tcPr>
          <w:p w14:paraId="269FC9C2" w14:textId="4343D5B6" w:rsidR="00D770C9" w:rsidRPr="009163F1" w:rsidRDefault="00D770C9" w:rsidP="005C6CDA">
            <w:pPr>
              <w:spacing w:after="0" w:line="276" w:lineRule="auto"/>
              <w:jc w:val="center"/>
              <w:rPr>
                <w:rFonts w:cs="Arial"/>
                <w:b/>
                <w:bCs/>
                <w:color w:val="000000"/>
                <w:sz w:val="16"/>
                <w:szCs w:val="16"/>
                <w:lang w:val="en-US"/>
              </w:rPr>
            </w:pPr>
            <w:r w:rsidRPr="00C635BD">
              <w:rPr>
                <w:rFonts w:cs="Arial"/>
                <w:b/>
                <w:bCs/>
                <w:color w:val="000000"/>
                <w:sz w:val="16"/>
                <w:szCs w:val="16"/>
              </w:rPr>
              <w:t>202</w:t>
            </w:r>
            <w:r w:rsidR="009163F1">
              <w:rPr>
                <w:rFonts w:cs="Arial"/>
                <w:b/>
                <w:bCs/>
                <w:color w:val="000000"/>
                <w:sz w:val="16"/>
                <w:szCs w:val="16"/>
                <w:lang w:val="en-US"/>
              </w:rPr>
              <w:t>5</w:t>
            </w:r>
          </w:p>
        </w:tc>
      </w:tr>
      <w:tr w:rsidR="009163F1" w:rsidRPr="00C635BD" w14:paraId="3BF11A2A" w14:textId="77777777" w:rsidTr="00D22182">
        <w:trPr>
          <w:cantSplit/>
          <w:trHeight w:val="197"/>
          <w:jc w:val="center"/>
        </w:trPr>
        <w:tc>
          <w:tcPr>
            <w:tcW w:w="4684" w:type="dxa"/>
            <w:tcBorders>
              <w:top w:val="single" w:sz="2" w:space="0" w:color="A6A6A6" w:themeColor="background1" w:themeShade="A6"/>
              <w:bottom w:val="nil"/>
            </w:tcBorders>
            <w:shd w:val="clear" w:color="000000" w:fill="D5DCE4"/>
            <w:vAlign w:val="center"/>
            <w:hideMark/>
          </w:tcPr>
          <w:p w14:paraId="6F9AF71E" w14:textId="77777777" w:rsidR="009163F1" w:rsidRPr="00C635BD" w:rsidRDefault="009163F1" w:rsidP="005C6CDA">
            <w:pPr>
              <w:spacing w:after="0" w:line="276" w:lineRule="auto"/>
              <w:jc w:val="left"/>
              <w:rPr>
                <w:rFonts w:cs="Arial"/>
                <w:b/>
                <w:bCs/>
                <w:color w:val="000000"/>
                <w:sz w:val="16"/>
                <w:szCs w:val="16"/>
              </w:rPr>
            </w:pPr>
            <w:r w:rsidRPr="00C635BD">
              <w:rPr>
                <w:rFonts w:cs="Arial"/>
                <w:b/>
                <w:bCs/>
                <w:color w:val="000000"/>
                <w:sz w:val="16"/>
                <w:szCs w:val="16"/>
              </w:rPr>
              <w:t>Εκκρεμείς επιστροφές φόρων</w:t>
            </w:r>
          </w:p>
        </w:tc>
        <w:tc>
          <w:tcPr>
            <w:tcW w:w="703" w:type="dxa"/>
            <w:tcBorders>
              <w:top w:val="single" w:sz="2" w:space="0" w:color="A6A6A6" w:themeColor="background1" w:themeShade="A6"/>
              <w:bottom w:val="nil"/>
            </w:tcBorders>
            <w:shd w:val="clear" w:color="000000" w:fill="D5DCE4"/>
            <w:vAlign w:val="center"/>
            <w:hideMark/>
          </w:tcPr>
          <w:p w14:paraId="27073B4D" w14:textId="749A2A77" w:rsidR="009163F1" w:rsidRPr="00D22182" w:rsidRDefault="009163F1" w:rsidP="005C6CDA">
            <w:pPr>
              <w:spacing w:after="0" w:line="276" w:lineRule="auto"/>
              <w:jc w:val="right"/>
              <w:rPr>
                <w:rFonts w:cs="Arial"/>
                <w:b/>
                <w:bCs/>
                <w:color w:val="000000"/>
                <w:sz w:val="16"/>
                <w:szCs w:val="16"/>
              </w:rPr>
            </w:pPr>
            <w:r w:rsidRPr="00D22182">
              <w:rPr>
                <w:b/>
                <w:sz w:val="16"/>
              </w:rPr>
              <w:t>558</w:t>
            </w:r>
          </w:p>
        </w:tc>
        <w:tc>
          <w:tcPr>
            <w:tcW w:w="703" w:type="dxa"/>
            <w:tcBorders>
              <w:top w:val="single" w:sz="2" w:space="0" w:color="A6A6A6" w:themeColor="background1" w:themeShade="A6"/>
              <w:bottom w:val="nil"/>
            </w:tcBorders>
            <w:shd w:val="clear" w:color="000000" w:fill="D5DCE4"/>
            <w:vAlign w:val="center"/>
            <w:hideMark/>
          </w:tcPr>
          <w:p w14:paraId="5B7AC71F" w14:textId="3B77C075" w:rsidR="009163F1" w:rsidRPr="00D22182" w:rsidRDefault="009163F1" w:rsidP="005C6CDA">
            <w:pPr>
              <w:spacing w:after="0" w:line="276" w:lineRule="auto"/>
              <w:jc w:val="right"/>
              <w:rPr>
                <w:rFonts w:cs="Arial"/>
                <w:b/>
                <w:bCs/>
                <w:color w:val="000000"/>
                <w:sz w:val="16"/>
                <w:szCs w:val="16"/>
              </w:rPr>
            </w:pPr>
            <w:r w:rsidRPr="00D22182">
              <w:rPr>
                <w:b/>
                <w:sz w:val="16"/>
              </w:rPr>
              <w:t>815</w:t>
            </w:r>
          </w:p>
        </w:tc>
        <w:tc>
          <w:tcPr>
            <w:tcW w:w="703" w:type="dxa"/>
            <w:tcBorders>
              <w:top w:val="single" w:sz="2" w:space="0" w:color="A6A6A6" w:themeColor="background1" w:themeShade="A6"/>
              <w:bottom w:val="nil"/>
            </w:tcBorders>
            <w:shd w:val="clear" w:color="000000" w:fill="D5DCE4"/>
            <w:vAlign w:val="center"/>
            <w:hideMark/>
          </w:tcPr>
          <w:p w14:paraId="1035DB6A" w14:textId="4E871D65" w:rsidR="009163F1" w:rsidRPr="00D22182" w:rsidRDefault="009163F1" w:rsidP="005C6CDA">
            <w:pPr>
              <w:spacing w:after="0" w:line="276" w:lineRule="auto"/>
              <w:jc w:val="right"/>
              <w:rPr>
                <w:rFonts w:cs="Arial"/>
                <w:b/>
                <w:bCs/>
                <w:color w:val="000000"/>
                <w:sz w:val="16"/>
                <w:szCs w:val="16"/>
              </w:rPr>
            </w:pPr>
            <w:r w:rsidRPr="00D22182">
              <w:rPr>
                <w:b/>
                <w:sz w:val="16"/>
              </w:rPr>
              <w:t>731</w:t>
            </w:r>
          </w:p>
        </w:tc>
        <w:tc>
          <w:tcPr>
            <w:tcW w:w="703" w:type="dxa"/>
            <w:tcBorders>
              <w:top w:val="single" w:sz="2" w:space="0" w:color="A6A6A6" w:themeColor="background1" w:themeShade="A6"/>
              <w:bottom w:val="nil"/>
            </w:tcBorders>
            <w:shd w:val="clear" w:color="000000" w:fill="D5DCE4"/>
            <w:vAlign w:val="center"/>
            <w:hideMark/>
          </w:tcPr>
          <w:p w14:paraId="7D2F1B3D" w14:textId="275AC245" w:rsidR="009163F1" w:rsidRPr="00D22182" w:rsidRDefault="009163F1" w:rsidP="005C6CDA">
            <w:pPr>
              <w:spacing w:after="0" w:line="276" w:lineRule="auto"/>
              <w:jc w:val="right"/>
              <w:rPr>
                <w:rFonts w:cs="Arial"/>
                <w:b/>
                <w:bCs/>
                <w:color w:val="000000"/>
                <w:sz w:val="16"/>
                <w:szCs w:val="16"/>
              </w:rPr>
            </w:pPr>
            <w:r w:rsidRPr="00D22182">
              <w:rPr>
                <w:b/>
                <w:sz w:val="16"/>
              </w:rPr>
              <w:t>723</w:t>
            </w:r>
          </w:p>
        </w:tc>
        <w:tc>
          <w:tcPr>
            <w:tcW w:w="703" w:type="dxa"/>
            <w:tcBorders>
              <w:top w:val="single" w:sz="2" w:space="0" w:color="A6A6A6" w:themeColor="background1" w:themeShade="A6"/>
              <w:bottom w:val="nil"/>
            </w:tcBorders>
            <w:shd w:val="clear" w:color="000000" w:fill="D5DCE4"/>
            <w:vAlign w:val="center"/>
            <w:hideMark/>
          </w:tcPr>
          <w:p w14:paraId="1334FA09" w14:textId="06417A19" w:rsidR="009163F1" w:rsidRPr="00D22182" w:rsidRDefault="009163F1" w:rsidP="005C6CDA">
            <w:pPr>
              <w:spacing w:after="0" w:line="276" w:lineRule="auto"/>
              <w:jc w:val="right"/>
              <w:rPr>
                <w:rFonts w:cs="Arial"/>
                <w:b/>
                <w:bCs/>
                <w:color w:val="000000"/>
                <w:sz w:val="16"/>
                <w:szCs w:val="16"/>
              </w:rPr>
            </w:pPr>
            <w:r w:rsidRPr="00D22182">
              <w:rPr>
                <w:b/>
                <w:sz w:val="16"/>
              </w:rPr>
              <w:t>722</w:t>
            </w:r>
          </w:p>
        </w:tc>
        <w:tc>
          <w:tcPr>
            <w:tcW w:w="703" w:type="dxa"/>
            <w:tcBorders>
              <w:top w:val="single" w:sz="2" w:space="0" w:color="A6A6A6" w:themeColor="background1" w:themeShade="A6"/>
              <w:bottom w:val="nil"/>
            </w:tcBorders>
            <w:shd w:val="clear" w:color="000000" w:fill="D5DCE4"/>
            <w:vAlign w:val="center"/>
            <w:hideMark/>
          </w:tcPr>
          <w:p w14:paraId="7268DCF2" w14:textId="29821C9A" w:rsidR="009163F1" w:rsidRPr="00D22182" w:rsidRDefault="009163F1" w:rsidP="005C6CDA">
            <w:pPr>
              <w:spacing w:after="0" w:line="276" w:lineRule="auto"/>
              <w:jc w:val="right"/>
              <w:rPr>
                <w:rFonts w:cs="Arial"/>
                <w:b/>
                <w:bCs/>
                <w:color w:val="000000"/>
                <w:sz w:val="16"/>
                <w:szCs w:val="16"/>
              </w:rPr>
            </w:pPr>
            <w:r w:rsidRPr="00D22182">
              <w:rPr>
                <w:b/>
                <w:sz w:val="16"/>
              </w:rPr>
              <w:t>826</w:t>
            </w:r>
          </w:p>
        </w:tc>
      </w:tr>
      <w:tr w:rsidR="009163F1" w:rsidRPr="00C635BD" w14:paraId="1FD6F823" w14:textId="77777777" w:rsidTr="00D22182">
        <w:trPr>
          <w:cantSplit/>
          <w:trHeight w:val="834"/>
          <w:jc w:val="center"/>
        </w:trPr>
        <w:tc>
          <w:tcPr>
            <w:tcW w:w="4684" w:type="dxa"/>
            <w:tcBorders>
              <w:top w:val="nil"/>
            </w:tcBorders>
            <w:shd w:val="clear" w:color="000000" w:fill="F2F2F2"/>
            <w:vAlign w:val="center"/>
            <w:hideMark/>
          </w:tcPr>
          <w:p w14:paraId="2B85869D" w14:textId="77777777" w:rsidR="009163F1" w:rsidRPr="00C635BD" w:rsidRDefault="009163F1" w:rsidP="005C6CDA">
            <w:pPr>
              <w:spacing w:after="0" w:line="276" w:lineRule="auto"/>
              <w:jc w:val="left"/>
              <w:rPr>
                <w:rFonts w:cs="Arial"/>
                <w:b/>
                <w:bCs/>
                <w:color w:val="000000"/>
                <w:sz w:val="16"/>
                <w:szCs w:val="16"/>
              </w:rPr>
            </w:pPr>
            <w:r w:rsidRPr="00C635BD">
              <w:rPr>
                <w:rFonts w:cs="Arial"/>
                <w:b/>
                <w:bCs/>
                <w:color w:val="000000"/>
                <w:sz w:val="16"/>
                <w:szCs w:val="16"/>
              </w:rPr>
              <w:t>Εκκρεμείς επιστροφές φόρων άνω των 90 ημερών (ληξιπρόθεσμες επιστροφές) από την ημερομηνία έκδοσης του ΑΦΕΚ, εκ των οποίων:</w:t>
            </w:r>
          </w:p>
        </w:tc>
        <w:tc>
          <w:tcPr>
            <w:tcW w:w="703" w:type="dxa"/>
            <w:tcBorders>
              <w:top w:val="nil"/>
            </w:tcBorders>
            <w:shd w:val="clear" w:color="000000" w:fill="F2F2F2"/>
            <w:vAlign w:val="center"/>
            <w:hideMark/>
          </w:tcPr>
          <w:p w14:paraId="3C8A0835" w14:textId="55768E7C" w:rsidR="009163F1" w:rsidRPr="00D22182" w:rsidRDefault="009163F1" w:rsidP="005C6CDA">
            <w:pPr>
              <w:spacing w:after="0" w:line="276" w:lineRule="auto"/>
              <w:jc w:val="right"/>
              <w:rPr>
                <w:rFonts w:cs="Arial"/>
                <w:b/>
                <w:bCs/>
                <w:color w:val="000000"/>
                <w:sz w:val="16"/>
                <w:szCs w:val="16"/>
              </w:rPr>
            </w:pPr>
            <w:r w:rsidRPr="00D22182">
              <w:rPr>
                <w:b/>
                <w:sz w:val="16"/>
              </w:rPr>
              <w:t>274</w:t>
            </w:r>
          </w:p>
        </w:tc>
        <w:tc>
          <w:tcPr>
            <w:tcW w:w="703" w:type="dxa"/>
            <w:tcBorders>
              <w:top w:val="nil"/>
            </w:tcBorders>
            <w:shd w:val="clear" w:color="000000" w:fill="F2F2F2"/>
            <w:vAlign w:val="center"/>
            <w:hideMark/>
          </w:tcPr>
          <w:p w14:paraId="1669A48F" w14:textId="348E367B" w:rsidR="009163F1" w:rsidRPr="00D22182" w:rsidRDefault="009163F1" w:rsidP="005C6CDA">
            <w:pPr>
              <w:spacing w:after="0" w:line="276" w:lineRule="auto"/>
              <w:jc w:val="right"/>
              <w:rPr>
                <w:rFonts w:cs="Arial"/>
                <w:b/>
                <w:bCs/>
                <w:color w:val="000000"/>
                <w:sz w:val="16"/>
                <w:szCs w:val="16"/>
              </w:rPr>
            </w:pPr>
            <w:r w:rsidRPr="00D22182">
              <w:rPr>
                <w:b/>
                <w:sz w:val="16"/>
              </w:rPr>
              <w:t>287</w:t>
            </w:r>
          </w:p>
        </w:tc>
        <w:tc>
          <w:tcPr>
            <w:tcW w:w="703" w:type="dxa"/>
            <w:tcBorders>
              <w:top w:val="nil"/>
            </w:tcBorders>
            <w:shd w:val="clear" w:color="000000" w:fill="F2F2F2"/>
            <w:vAlign w:val="center"/>
            <w:hideMark/>
          </w:tcPr>
          <w:p w14:paraId="6DDACA7A" w14:textId="23C04ADB" w:rsidR="009163F1" w:rsidRPr="00D22182" w:rsidRDefault="009163F1" w:rsidP="005C6CDA">
            <w:pPr>
              <w:spacing w:after="0" w:line="276" w:lineRule="auto"/>
              <w:jc w:val="right"/>
              <w:rPr>
                <w:rFonts w:cs="Arial"/>
                <w:b/>
                <w:bCs/>
                <w:color w:val="000000"/>
                <w:sz w:val="16"/>
                <w:szCs w:val="16"/>
              </w:rPr>
            </w:pPr>
            <w:r w:rsidRPr="00D22182">
              <w:rPr>
                <w:b/>
                <w:sz w:val="16"/>
              </w:rPr>
              <w:t>331</w:t>
            </w:r>
          </w:p>
        </w:tc>
        <w:tc>
          <w:tcPr>
            <w:tcW w:w="703" w:type="dxa"/>
            <w:tcBorders>
              <w:top w:val="nil"/>
            </w:tcBorders>
            <w:shd w:val="clear" w:color="000000" w:fill="F2F2F2"/>
            <w:vAlign w:val="center"/>
            <w:hideMark/>
          </w:tcPr>
          <w:p w14:paraId="7D96A3ED" w14:textId="7ED9E8EF" w:rsidR="009163F1" w:rsidRPr="00D22182" w:rsidRDefault="009163F1" w:rsidP="005C6CDA">
            <w:pPr>
              <w:spacing w:after="0" w:line="276" w:lineRule="auto"/>
              <w:jc w:val="right"/>
              <w:rPr>
                <w:rFonts w:cs="Arial"/>
                <w:b/>
                <w:bCs/>
                <w:color w:val="000000"/>
                <w:sz w:val="16"/>
                <w:szCs w:val="16"/>
              </w:rPr>
            </w:pPr>
            <w:r w:rsidRPr="00D22182">
              <w:rPr>
                <w:b/>
                <w:sz w:val="16"/>
              </w:rPr>
              <w:t>316</w:t>
            </w:r>
          </w:p>
        </w:tc>
        <w:tc>
          <w:tcPr>
            <w:tcW w:w="703" w:type="dxa"/>
            <w:tcBorders>
              <w:top w:val="nil"/>
            </w:tcBorders>
            <w:shd w:val="clear" w:color="000000" w:fill="F2F2F2"/>
            <w:vAlign w:val="center"/>
            <w:hideMark/>
          </w:tcPr>
          <w:p w14:paraId="171BB3CF" w14:textId="49EA4D6A" w:rsidR="009163F1" w:rsidRPr="00D22182" w:rsidRDefault="009163F1" w:rsidP="005C6CDA">
            <w:pPr>
              <w:spacing w:after="0" w:line="276" w:lineRule="auto"/>
              <w:jc w:val="right"/>
              <w:rPr>
                <w:rFonts w:cs="Arial"/>
                <w:b/>
                <w:bCs/>
                <w:color w:val="000000"/>
                <w:sz w:val="16"/>
                <w:szCs w:val="16"/>
              </w:rPr>
            </w:pPr>
            <w:r w:rsidRPr="00D22182">
              <w:rPr>
                <w:b/>
                <w:sz w:val="16"/>
              </w:rPr>
              <w:t>330</w:t>
            </w:r>
          </w:p>
        </w:tc>
        <w:tc>
          <w:tcPr>
            <w:tcW w:w="703" w:type="dxa"/>
            <w:tcBorders>
              <w:top w:val="nil"/>
            </w:tcBorders>
            <w:shd w:val="clear" w:color="000000" w:fill="F2F2F2"/>
            <w:vAlign w:val="center"/>
            <w:hideMark/>
          </w:tcPr>
          <w:p w14:paraId="1CCDD7A8" w14:textId="2E8151AC" w:rsidR="009163F1" w:rsidRPr="00D22182" w:rsidRDefault="009163F1" w:rsidP="005C6CDA">
            <w:pPr>
              <w:spacing w:after="0" w:line="276" w:lineRule="auto"/>
              <w:jc w:val="right"/>
              <w:rPr>
                <w:rFonts w:cs="Arial"/>
                <w:b/>
                <w:bCs/>
                <w:color w:val="000000"/>
                <w:sz w:val="16"/>
                <w:szCs w:val="16"/>
              </w:rPr>
            </w:pPr>
            <w:r w:rsidRPr="00D22182">
              <w:rPr>
                <w:b/>
                <w:sz w:val="16"/>
              </w:rPr>
              <w:t>303</w:t>
            </w:r>
          </w:p>
        </w:tc>
      </w:tr>
      <w:tr w:rsidR="009163F1" w:rsidRPr="00C635BD" w14:paraId="3E523C48" w14:textId="77777777" w:rsidTr="00D22182">
        <w:trPr>
          <w:cantSplit/>
          <w:trHeight w:val="834"/>
          <w:jc w:val="center"/>
        </w:trPr>
        <w:tc>
          <w:tcPr>
            <w:tcW w:w="4684" w:type="dxa"/>
            <w:shd w:val="clear" w:color="auto" w:fill="auto"/>
            <w:vAlign w:val="center"/>
            <w:hideMark/>
          </w:tcPr>
          <w:p w14:paraId="7E3A86B3" w14:textId="442E962C" w:rsidR="009163F1" w:rsidRDefault="009163F1" w:rsidP="005C6CDA">
            <w:pPr>
              <w:spacing w:after="0" w:line="276" w:lineRule="auto"/>
              <w:jc w:val="left"/>
              <w:rPr>
                <w:rFonts w:cs="Arial"/>
                <w:i/>
                <w:iCs/>
                <w:color w:val="000000"/>
                <w:sz w:val="16"/>
                <w:szCs w:val="16"/>
              </w:rPr>
            </w:pPr>
            <w:r w:rsidRPr="00C635BD">
              <w:rPr>
                <w:rFonts w:cs="Arial"/>
                <w:i/>
                <w:iCs/>
                <w:color w:val="000000"/>
                <w:sz w:val="16"/>
                <w:szCs w:val="16"/>
              </w:rPr>
              <w:t>(α) ποσό που δεν μπορεί να αποπληρωθεί λόγω εξωγενών παραγόντων</w:t>
            </w:r>
          </w:p>
          <w:p w14:paraId="14FA21B9" w14:textId="4A43E123" w:rsidR="009163F1" w:rsidRPr="00C635BD" w:rsidRDefault="009163F1" w:rsidP="005C6CDA">
            <w:pPr>
              <w:spacing w:after="0" w:line="276" w:lineRule="auto"/>
              <w:jc w:val="left"/>
              <w:rPr>
                <w:rFonts w:cs="Arial"/>
                <w:i/>
                <w:iCs/>
                <w:color w:val="000000"/>
                <w:sz w:val="16"/>
                <w:szCs w:val="16"/>
              </w:rPr>
            </w:pPr>
            <w:r w:rsidRPr="00C635BD">
              <w:rPr>
                <w:rFonts w:cs="Arial"/>
                <w:i/>
                <w:iCs/>
                <w:color w:val="000000"/>
                <w:sz w:val="16"/>
                <w:szCs w:val="16"/>
              </w:rPr>
              <w:t>(μη ανταπόκριση δικαιούχου ή μη προσκόμιση δικαιολογητικών)</w:t>
            </w:r>
          </w:p>
        </w:tc>
        <w:tc>
          <w:tcPr>
            <w:tcW w:w="703" w:type="dxa"/>
            <w:shd w:val="clear" w:color="auto" w:fill="auto"/>
            <w:vAlign w:val="center"/>
            <w:hideMark/>
          </w:tcPr>
          <w:p w14:paraId="5AEC62DD" w14:textId="1A8850C1" w:rsidR="009163F1" w:rsidRPr="009163F1" w:rsidRDefault="009163F1" w:rsidP="005C6CDA">
            <w:pPr>
              <w:spacing w:after="0" w:line="276" w:lineRule="auto"/>
              <w:jc w:val="right"/>
              <w:rPr>
                <w:rFonts w:cs="Arial"/>
                <w:i/>
                <w:iCs/>
                <w:color w:val="000000"/>
                <w:sz w:val="16"/>
                <w:szCs w:val="16"/>
              </w:rPr>
            </w:pPr>
            <w:r w:rsidRPr="009163F1">
              <w:rPr>
                <w:sz w:val="16"/>
              </w:rPr>
              <w:t>241</w:t>
            </w:r>
          </w:p>
        </w:tc>
        <w:tc>
          <w:tcPr>
            <w:tcW w:w="703" w:type="dxa"/>
            <w:shd w:val="clear" w:color="auto" w:fill="auto"/>
            <w:vAlign w:val="center"/>
            <w:hideMark/>
          </w:tcPr>
          <w:p w14:paraId="39999C04" w14:textId="5373B1AB" w:rsidR="009163F1" w:rsidRPr="009163F1" w:rsidRDefault="009163F1" w:rsidP="005C6CDA">
            <w:pPr>
              <w:spacing w:after="0" w:line="276" w:lineRule="auto"/>
              <w:jc w:val="right"/>
              <w:rPr>
                <w:rFonts w:cs="Arial"/>
                <w:i/>
                <w:iCs/>
                <w:color w:val="000000"/>
                <w:sz w:val="16"/>
                <w:szCs w:val="16"/>
              </w:rPr>
            </w:pPr>
            <w:r w:rsidRPr="009163F1">
              <w:rPr>
                <w:sz w:val="16"/>
              </w:rPr>
              <w:t>190</w:t>
            </w:r>
          </w:p>
        </w:tc>
        <w:tc>
          <w:tcPr>
            <w:tcW w:w="703" w:type="dxa"/>
            <w:shd w:val="clear" w:color="auto" w:fill="auto"/>
            <w:vAlign w:val="center"/>
            <w:hideMark/>
          </w:tcPr>
          <w:p w14:paraId="5503163A" w14:textId="2C2622BB" w:rsidR="009163F1" w:rsidRPr="009163F1" w:rsidRDefault="009163F1" w:rsidP="005C6CDA">
            <w:pPr>
              <w:spacing w:after="0" w:line="276" w:lineRule="auto"/>
              <w:jc w:val="right"/>
              <w:rPr>
                <w:rFonts w:cs="Arial"/>
                <w:i/>
                <w:iCs/>
                <w:color w:val="000000"/>
                <w:sz w:val="16"/>
                <w:szCs w:val="16"/>
              </w:rPr>
            </w:pPr>
            <w:r w:rsidRPr="009163F1">
              <w:rPr>
                <w:sz w:val="16"/>
              </w:rPr>
              <w:t>210</w:t>
            </w:r>
          </w:p>
        </w:tc>
        <w:tc>
          <w:tcPr>
            <w:tcW w:w="703" w:type="dxa"/>
            <w:shd w:val="clear" w:color="auto" w:fill="auto"/>
            <w:vAlign w:val="center"/>
            <w:hideMark/>
          </w:tcPr>
          <w:p w14:paraId="72788190" w14:textId="3784857C" w:rsidR="009163F1" w:rsidRPr="009163F1" w:rsidRDefault="009163F1" w:rsidP="005C6CDA">
            <w:pPr>
              <w:spacing w:after="0" w:line="276" w:lineRule="auto"/>
              <w:jc w:val="right"/>
              <w:rPr>
                <w:rFonts w:cs="Arial"/>
                <w:i/>
                <w:iCs/>
                <w:color w:val="000000"/>
                <w:sz w:val="16"/>
                <w:szCs w:val="16"/>
              </w:rPr>
            </w:pPr>
            <w:r w:rsidRPr="009163F1">
              <w:rPr>
                <w:sz w:val="16"/>
              </w:rPr>
              <w:t>234</w:t>
            </w:r>
          </w:p>
        </w:tc>
        <w:tc>
          <w:tcPr>
            <w:tcW w:w="703" w:type="dxa"/>
            <w:shd w:val="clear" w:color="auto" w:fill="auto"/>
            <w:vAlign w:val="center"/>
            <w:hideMark/>
          </w:tcPr>
          <w:p w14:paraId="140F70FE" w14:textId="46484EDD" w:rsidR="009163F1" w:rsidRPr="009163F1" w:rsidRDefault="009163F1" w:rsidP="005C6CDA">
            <w:pPr>
              <w:spacing w:after="0" w:line="276" w:lineRule="auto"/>
              <w:jc w:val="right"/>
              <w:rPr>
                <w:rFonts w:cs="Arial"/>
                <w:i/>
                <w:iCs/>
                <w:color w:val="000000"/>
                <w:sz w:val="16"/>
                <w:szCs w:val="16"/>
              </w:rPr>
            </w:pPr>
            <w:r w:rsidRPr="009163F1">
              <w:rPr>
                <w:sz w:val="16"/>
              </w:rPr>
              <w:t>206</w:t>
            </w:r>
          </w:p>
        </w:tc>
        <w:tc>
          <w:tcPr>
            <w:tcW w:w="703" w:type="dxa"/>
            <w:shd w:val="clear" w:color="auto" w:fill="auto"/>
            <w:vAlign w:val="center"/>
            <w:hideMark/>
          </w:tcPr>
          <w:p w14:paraId="2F6E8788" w14:textId="102970B7" w:rsidR="009163F1" w:rsidRPr="009163F1" w:rsidRDefault="009163F1" w:rsidP="005C6CDA">
            <w:pPr>
              <w:spacing w:after="0" w:line="276" w:lineRule="auto"/>
              <w:jc w:val="right"/>
              <w:rPr>
                <w:rFonts w:cs="Arial"/>
                <w:i/>
                <w:iCs/>
                <w:color w:val="000000"/>
                <w:sz w:val="16"/>
                <w:szCs w:val="16"/>
              </w:rPr>
            </w:pPr>
            <w:r w:rsidRPr="009163F1">
              <w:rPr>
                <w:sz w:val="16"/>
              </w:rPr>
              <w:t>178</w:t>
            </w:r>
          </w:p>
        </w:tc>
      </w:tr>
      <w:tr w:rsidR="009163F1" w:rsidRPr="00C635BD" w14:paraId="6490C13A" w14:textId="77777777" w:rsidTr="00D22182">
        <w:trPr>
          <w:cantSplit/>
          <w:trHeight w:val="409"/>
          <w:jc w:val="center"/>
        </w:trPr>
        <w:tc>
          <w:tcPr>
            <w:tcW w:w="4684" w:type="dxa"/>
            <w:shd w:val="clear" w:color="auto" w:fill="auto"/>
            <w:vAlign w:val="center"/>
            <w:hideMark/>
          </w:tcPr>
          <w:p w14:paraId="73DF61C2" w14:textId="5D1D8682" w:rsidR="009163F1" w:rsidRPr="00C635BD" w:rsidRDefault="009163F1" w:rsidP="005C6CDA">
            <w:pPr>
              <w:spacing w:after="0" w:line="276" w:lineRule="auto"/>
              <w:jc w:val="left"/>
              <w:rPr>
                <w:rFonts w:cs="Arial"/>
                <w:i/>
                <w:iCs/>
                <w:color w:val="000000"/>
                <w:sz w:val="16"/>
                <w:szCs w:val="16"/>
              </w:rPr>
            </w:pPr>
            <w:r w:rsidRPr="00C635BD">
              <w:rPr>
                <w:rFonts w:cs="Arial"/>
                <w:i/>
                <w:iCs/>
                <w:color w:val="000000"/>
                <w:sz w:val="16"/>
                <w:szCs w:val="16"/>
              </w:rPr>
              <w:t>(β) λοιπές εκκρεμείς επιστροφές φόρων άνω των 90 ημερών</w:t>
            </w:r>
          </w:p>
        </w:tc>
        <w:tc>
          <w:tcPr>
            <w:tcW w:w="703" w:type="dxa"/>
            <w:shd w:val="clear" w:color="auto" w:fill="auto"/>
            <w:vAlign w:val="center"/>
            <w:hideMark/>
          </w:tcPr>
          <w:p w14:paraId="5BB633E1" w14:textId="44AC0648" w:rsidR="009163F1" w:rsidRPr="009163F1" w:rsidRDefault="009163F1" w:rsidP="005C6CDA">
            <w:pPr>
              <w:spacing w:after="0" w:line="276" w:lineRule="auto"/>
              <w:jc w:val="right"/>
              <w:rPr>
                <w:rFonts w:cs="Arial"/>
                <w:i/>
                <w:iCs/>
                <w:color w:val="000000"/>
                <w:sz w:val="16"/>
                <w:szCs w:val="16"/>
              </w:rPr>
            </w:pPr>
            <w:r w:rsidRPr="009163F1">
              <w:rPr>
                <w:sz w:val="16"/>
              </w:rPr>
              <w:t>33</w:t>
            </w:r>
          </w:p>
        </w:tc>
        <w:tc>
          <w:tcPr>
            <w:tcW w:w="703" w:type="dxa"/>
            <w:shd w:val="clear" w:color="auto" w:fill="auto"/>
            <w:vAlign w:val="center"/>
            <w:hideMark/>
          </w:tcPr>
          <w:p w14:paraId="77F127DC" w14:textId="594F02C2" w:rsidR="009163F1" w:rsidRPr="009163F1" w:rsidRDefault="009163F1" w:rsidP="005C6CDA">
            <w:pPr>
              <w:spacing w:after="0" w:line="276" w:lineRule="auto"/>
              <w:jc w:val="right"/>
              <w:rPr>
                <w:rFonts w:cs="Arial"/>
                <w:i/>
                <w:iCs/>
                <w:color w:val="000000"/>
                <w:sz w:val="16"/>
                <w:szCs w:val="16"/>
              </w:rPr>
            </w:pPr>
            <w:r w:rsidRPr="009163F1">
              <w:rPr>
                <w:sz w:val="16"/>
              </w:rPr>
              <w:t>97</w:t>
            </w:r>
          </w:p>
        </w:tc>
        <w:tc>
          <w:tcPr>
            <w:tcW w:w="703" w:type="dxa"/>
            <w:shd w:val="clear" w:color="auto" w:fill="auto"/>
            <w:vAlign w:val="center"/>
            <w:hideMark/>
          </w:tcPr>
          <w:p w14:paraId="79931D0D" w14:textId="24C9F87F" w:rsidR="009163F1" w:rsidRPr="009163F1" w:rsidRDefault="009163F1" w:rsidP="005C6CDA">
            <w:pPr>
              <w:spacing w:after="0" w:line="276" w:lineRule="auto"/>
              <w:jc w:val="right"/>
              <w:rPr>
                <w:rFonts w:cs="Arial"/>
                <w:i/>
                <w:iCs/>
                <w:color w:val="000000"/>
                <w:sz w:val="16"/>
                <w:szCs w:val="16"/>
              </w:rPr>
            </w:pPr>
            <w:r w:rsidRPr="009163F1">
              <w:rPr>
                <w:sz w:val="16"/>
              </w:rPr>
              <w:t>121</w:t>
            </w:r>
          </w:p>
        </w:tc>
        <w:tc>
          <w:tcPr>
            <w:tcW w:w="703" w:type="dxa"/>
            <w:shd w:val="clear" w:color="auto" w:fill="auto"/>
            <w:vAlign w:val="center"/>
            <w:hideMark/>
          </w:tcPr>
          <w:p w14:paraId="1BCE7EED" w14:textId="332173CF" w:rsidR="009163F1" w:rsidRPr="009163F1" w:rsidRDefault="009163F1" w:rsidP="005C6CDA">
            <w:pPr>
              <w:spacing w:after="0" w:line="276" w:lineRule="auto"/>
              <w:jc w:val="right"/>
              <w:rPr>
                <w:rFonts w:cs="Arial"/>
                <w:i/>
                <w:iCs/>
                <w:color w:val="000000"/>
                <w:sz w:val="16"/>
                <w:szCs w:val="16"/>
              </w:rPr>
            </w:pPr>
            <w:r w:rsidRPr="009163F1">
              <w:rPr>
                <w:sz w:val="16"/>
              </w:rPr>
              <w:t>82</w:t>
            </w:r>
          </w:p>
        </w:tc>
        <w:tc>
          <w:tcPr>
            <w:tcW w:w="703" w:type="dxa"/>
            <w:shd w:val="clear" w:color="auto" w:fill="auto"/>
            <w:vAlign w:val="center"/>
            <w:hideMark/>
          </w:tcPr>
          <w:p w14:paraId="5BE7FFAC" w14:textId="21E39811" w:rsidR="009163F1" w:rsidRPr="009163F1" w:rsidRDefault="009163F1" w:rsidP="005C6CDA">
            <w:pPr>
              <w:spacing w:after="0" w:line="276" w:lineRule="auto"/>
              <w:jc w:val="right"/>
              <w:rPr>
                <w:rFonts w:cs="Arial"/>
                <w:i/>
                <w:iCs/>
                <w:color w:val="000000"/>
                <w:sz w:val="16"/>
                <w:szCs w:val="16"/>
              </w:rPr>
            </w:pPr>
            <w:r w:rsidRPr="009163F1">
              <w:rPr>
                <w:sz w:val="16"/>
              </w:rPr>
              <w:t>124</w:t>
            </w:r>
          </w:p>
        </w:tc>
        <w:tc>
          <w:tcPr>
            <w:tcW w:w="703" w:type="dxa"/>
            <w:shd w:val="clear" w:color="auto" w:fill="auto"/>
            <w:vAlign w:val="center"/>
            <w:hideMark/>
          </w:tcPr>
          <w:p w14:paraId="6E483E73" w14:textId="3DCBD527" w:rsidR="009163F1" w:rsidRPr="009163F1" w:rsidRDefault="009163F1" w:rsidP="005C6CDA">
            <w:pPr>
              <w:spacing w:after="0" w:line="276" w:lineRule="auto"/>
              <w:jc w:val="right"/>
              <w:rPr>
                <w:rFonts w:cs="Arial"/>
                <w:i/>
                <w:iCs/>
                <w:color w:val="000000"/>
                <w:sz w:val="16"/>
                <w:szCs w:val="16"/>
              </w:rPr>
            </w:pPr>
            <w:r w:rsidRPr="009163F1">
              <w:rPr>
                <w:sz w:val="16"/>
              </w:rPr>
              <w:t>125</w:t>
            </w:r>
          </w:p>
        </w:tc>
      </w:tr>
      <w:tr w:rsidR="009163F1" w:rsidRPr="00C635BD" w14:paraId="609FE960" w14:textId="77777777" w:rsidTr="00D22182">
        <w:trPr>
          <w:cantSplit/>
          <w:trHeight w:val="834"/>
          <w:jc w:val="center"/>
        </w:trPr>
        <w:tc>
          <w:tcPr>
            <w:tcW w:w="4684" w:type="dxa"/>
            <w:shd w:val="clear" w:color="000000" w:fill="F2F2F2"/>
            <w:vAlign w:val="center"/>
            <w:hideMark/>
          </w:tcPr>
          <w:p w14:paraId="2051CD3A" w14:textId="0E0AF2B3" w:rsidR="009163F1" w:rsidRPr="00C635BD" w:rsidRDefault="009163F1" w:rsidP="005C6CDA">
            <w:pPr>
              <w:spacing w:after="0" w:line="276" w:lineRule="auto"/>
              <w:jc w:val="left"/>
              <w:rPr>
                <w:rFonts w:cs="Arial"/>
                <w:b/>
                <w:bCs/>
                <w:color w:val="000000"/>
                <w:sz w:val="16"/>
                <w:szCs w:val="16"/>
              </w:rPr>
            </w:pPr>
            <w:r w:rsidRPr="00C635BD">
              <w:rPr>
                <w:rFonts w:cs="Arial"/>
                <w:b/>
                <w:bCs/>
                <w:color w:val="000000"/>
                <w:sz w:val="16"/>
                <w:szCs w:val="16"/>
              </w:rPr>
              <w:t>Εκκρεμείς επιστροφές φόρων κάτω των 90 ημερών (μη ληξιπρόθεσμες επιστροφές) από την ημερομηνία έκδοσης του ΑΦΕΚ</w:t>
            </w:r>
          </w:p>
        </w:tc>
        <w:tc>
          <w:tcPr>
            <w:tcW w:w="703" w:type="dxa"/>
            <w:shd w:val="clear" w:color="000000" w:fill="F2F2F2"/>
            <w:vAlign w:val="center"/>
            <w:hideMark/>
          </w:tcPr>
          <w:p w14:paraId="7D3AE6E9" w14:textId="20A3A706" w:rsidR="009163F1" w:rsidRPr="00D22182" w:rsidRDefault="009163F1" w:rsidP="005C6CDA">
            <w:pPr>
              <w:spacing w:after="0" w:line="276" w:lineRule="auto"/>
              <w:jc w:val="right"/>
              <w:rPr>
                <w:rFonts w:cs="Arial"/>
                <w:b/>
                <w:bCs/>
                <w:color w:val="000000"/>
                <w:sz w:val="16"/>
                <w:szCs w:val="16"/>
              </w:rPr>
            </w:pPr>
            <w:r w:rsidRPr="00D22182">
              <w:rPr>
                <w:b/>
                <w:sz w:val="16"/>
              </w:rPr>
              <w:t>284</w:t>
            </w:r>
          </w:p>
        </w:tc>
        <w:tc>
          <w:tcPr>
            <w:tcW w:w="703" w:type="dxa"/>
            <w:shd w:val="clear" w:color="000000" w:fill="F2F2F2"/>
            <w:vAlign w:val="center"/>
            <w:hideMark/>
          </w:tcPr>
          <w:p w14:paraId="57B9655D" w14:textId="04DCB5ED" w:rsidR="009163F1" w:rsidRPr="00D22182" w:rsidRDefault="009163F1" w:rsidP="005C6CDA">
            <w:pPr>
              <w:spacing w:after="0" w:line="276" w:lineRule="auto"/>
              <w:jc w:val="right"/>
              <w:rPr>
                <w:rFonts w:cs="Arial"/>
                <w:b/>
                <w:bCs/>
                <w:color w:val="000000"/>
                <w:sz w:val="16"/>
                <w:szCs w:val="16"/>
              </w:rPr>
            </w:pPr>
            <w:r w:rsidRPr="00D22182">
              <w:rPr>
                <w:b/>
                <w:sz w:val="16"/>
              </w:rPr>
              <w:t>528</w:t>
            </w:r>
          </w:p>
        </w:tc>
        <w:tc>
          <w:tcPr>
            <w:tcW w:w="703" w:type="dxa"/>
            <w:shd w:val="clear" w:color="000000" w:fill="F2F2F2"/>
            <w:vAlign w:val="center"/>
            <w:hideMark/>
          </w:tcPr>
          <w:p w14:paraId="7E729033" w14:textId="6EDC122E" w:rsidR="009163F1" w:rsidRPr="00D22182" w:rsidRDefault="009163F1" w:rsidP="005C6CDA">
            <w:pPr>
              <w:spacing w:after="0" w:line="276" w:lineRule="auto"/>
              <w:jc w:val="right"/>
              <w:rPr>
                <w:rFonts w:cs="Arial"/>
                <w:b/>
                <w:bCs/>
                <w:color w:val="000000"/>
                <w:sz w:val="16"/>
                <w:szCs w:val="16"/>
              </w:rPr>
            </w:pPr>
            <w:r w:rsidRPr="00D22182">
              <w:rPr>
                <w:b/>
                <w:sz w:val="16"/>
              </w:rPr>
              <w:t>400</w:t>
            </w:r>
          </w:p>
        </w:tc>
        <w:tc>
          <w:tcPr>
            <w:tcW w:w="703" w:type="dxa"/>
            <w:shd w:val="clear" w:color="000000" w:fill="F2F2F2"/>
            <w:vAlign w:val="center"/>
            <w:hideMark/>
          </w:tcPr>
          <w:p w14:paraId="0C12F88E" w14:textId="5464BAA3" w:rsidR="009163F1" w:rsidRPr="00D22182" w:rsidRDefault="009163F1" w:rsidP="005C6CDA">
            <w:pPr>
              <w:spacing w:after="0" w:line="276" w:lineRule="auto"/>
              <w:jc w:val="right"/>
              <w:rPr>
                <w:rFonts w:cs="Arial"/>
                <w:b/>
                <w:bCs/>
                <w:color w:val="000000"/>
                <w:sz w:val="16"/>
                <w:szCs w:val="16"/>
              </w:rPr>
            </w:pPr>
            <w:r w:rsidRPr="00D22182">
              <w:rPr>
                <w:b/>
                <w:sz w:val="16"/>
              </w:rPr>
              <w:t>408</w:t>
            </w:r>
          </w:p>
        </w:tc>
        <w:tc>
          <w:tcPr>
            <w:tcW w:w="703" w:type="dxa"/>
            <w:shd w:val="clear" w:color="000000" w:fill="F2F2F2"/>
            <w:vAlign w:val="center"/>
            <w:hideMark/>
          </w:tcPr>
          <w:p w14:paraId="4ED61529" w14:textId="685A8AEF" w:rsidR="009163F1" w:rsidRPr="00D22182" w:rsidRDefault="009163F1" w:rsidP="005C6CDA">
            <w:pPr>
              <w:spacing w:after="0" w:line="276" w:lineRule="auto"/>
              <w:jc w:val="right"/>
              <w:rPr>
                <w:rFonts w:cs="Arial"/>
                <w:b/>
                <w:bCs/>
                <w:color w:val="000000"/>
                <w:sz w:val="16"/>
                <w:szCs w:val="16"/>
              </w:rPr>
            </w:pPr>
            <w:r w:rsidRPr="00D22182">
              <w:rPr>
                <w:b/>
                <w:sz w:val="16"/>
              </w:rPr>
              <w:t>392</w:t>
            </w:r>
          </w:p>
        </w:tc>
        <w:tc>
          <w:tcPr>
            <w:tcW w:w="703" w:type="dxa"/>
            <w:shd w:val="clear" w:color="000000" w:fill="F2F2F2"/>
            <w:vAlign w:val="center"/>
            <w:hideMark/>
          </w:tcPr>
          <w:p w14:paraId="05F69ADE" w14:textId="7604D984" w:rsidR="009163F1" w:rsidRPr="00D22182" w:rsidRDefault="009163F1" w:rsidP="005C6CDA">
            <w:pPr>
              <w:spacing w:after="0" w:line="276" w:lineRule="auto"/>
              <w:jc w:val="right"/>
              <w:rPr>
                <w:rFonts w:cs="Arial"/>
                <w:b/>
                <w:bCs/>
                <w:color w:val="000000"/>
                <w:sz w:val="16"/>
                <w:szCs w:val="16"/>
              </w:rPr>
            </w:pPr>
            <w:r w:rsidRPr="00D22182">
              <w:rPr>
                <w:b/>
                <w:sz w:val="16"/>
              </w:rPr>
              <w:t>523</w:t>
            </w:r>
          </w:p>
        </w:tc>
      </w:tr>
    </w:tbl>
    <w:p w14:paraId="48A7DC37" w14:textId="2D72D7F9" w:rsidR="00EE19FB" w:rsidRDefault="009A1D13" w:rsidP="00300BBF">
      <w:pPr>
        <w:pStyle w:val="3"/>
      </w:pPr>
      <w:bookmarkStart w:id="423" w:name="_Δημοσιονομικές_παρεμβάσεις_2023_1"/>
      <w:bookmarkStart w:id="424" w:name="_Δημοσιονομικές_παρεμβάσεις"/>
      <w:bookmarkStart w:id="425" w:name="_Ref182503719"/>
      <w:bookmarkStart w:id="426" w:name="_Toc214473782"/>
      <w:bookmarkEnd w:id="423"/>
      <w:bookmarkEnd w:id="424"/>
      <w:r>
        <w:t>Δημοσιονομικές παρεμβάσεις</w:t>
      </w:r>
      <w:bookmarkEnd w:id="425"/>
      <w:bookmarkEnd w:id="426"/>
    </w:p>
    <w:p w14:paraId="14CF0FC4" w14:textId="77777777" w:rsidR="00C63DEA" w:rsidRPr="004C63D4" w:rsidRDefault="00C63DEA" w:rsidP="00C63DEA">
      <w:pPr>
        <w:pStyle w:val="5"/>
        <w:keepNext w:val="0"/>
        <w:numPr>
          <w:ilvl w:val="0"/>
          <w:numId w:val="0"/>
        </w:numPr>
      </w:pPr>
      <w:bookmarkStart w:id="427" w:name="_Toc209798255"/>
      <w:bookmarkStart w:id="428" w:name="_Toc210055422"/>
      <w:bookmarkStart w:id="429" w:name="_Toc210059718"/>
      <w:bookmarkStart w:id="430" w:name="_Toc210218229"/>
      <w:bookmarkStart w:id="431" w:name="_Toc210394913"/>
      <w:bookmarkStart w:id="432" w:name="_Toc210494443"/>
      <w:bookmarkStart w:id="433" w:name="_Toc210570635"/>
      <w:bookmarkStart w:id="434" w:name="_Toc210570680"/>
      <w:bookmarkStart w:id="435" w:name="_Toc213068742"/>
      <w:bookmarkStart w:id="436" w:name="_Toc213068909"/>
      <w:bookmarkStart w:id="437" w:name="_Toc213072171"/>
      <w:bookmarkStart w:id="438" w:name="_Toc213075528"/>
      <w:bookmarkStart w:id="439" w:name="_Toc213321621"/>
      <w:bookmarkStart w:id="440" w:name="_Toc213350077"/>
      <w:bookmarkStart w:id="441" w:name="_Toc213416194"/>
      <w:bookmarkStart w:id="442" w:name="_Toc213427594"/>
      <w:bookmarkStart w:id="443" w:name="_Toc213681666"/>
      <w:bookmarkStart w:id="444" w:name="_Toc213774236"/>
      <w:bookmarkStart w:id="445" w:name="_Toc214125165"/>
      <w:bookmarkStart w:id="446" w:name="_Toc214379752"/>
      <w:bookmarkStart w:id="447" w:name="_Toc214387574"/>
      <w:bookmarkStart w:id="448" w:name="_Toc214448278"/>
      <w:bookmarkStart w:id="449" w:name="_Toc214473783"/>
      <w:r w:rsidRPr="004C63D4">
        <w:t>Φορολογική μεταρρύθμιση για το δημογραφικό</w:t>
      </w:r>
      <w:r>
        <w:t>, τους νέους</w:t>
      </w:r>
      <w:r w:rsidRPr="004C63D4">
        <w:t xml:space="preserve"> και τη μεσαία τάξη</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669C8F32" w14:textId="704AE0A6" w:rsidR="00C63DEA" w:rsidRPr="002A1C73" w:rsidRDefault="00C63DEA" w:rsidP="00C63DEA">
      <w:r w:rsidRPr="002A1C73">
        <w:t xml:space="preserve">Οι δημοσιονομικές παρεμβάσεις </w:t>
      </w:r>
      <w:r w:rsidR="005B79B4">
        <w:t xml:space="preserve">που θα εφαρμοστούν από </w:t>
      </w:r>
      <w:r w:rsidRPr="002A1C73">
        <w:t>το 2026 περιλαμβάνουν μ</w:t>
      </w:r>
      <w:r>
        <w:t>ί</w:t>
      </w:r>
      <w:r w:rsidRPr="002A1C73">
        <w:t>α σειρά από φορολογικές</w:t>
      </w:r>
      <w:r>
        <w:t xml:space="preserve"> και μισθολογικές</w:t>
      </w:r>
      <w:r w:rsidRPr="002A1C73">
        <w:t xml:space="preserve"> μεταρρυθμίσεις με κύριο στόχο την ενίσχυση του εισοδήματος και τη μείωση των φορολογικών βαρών, ιδιαίτερα για τη μεσαία τάξη, τις οικογένειες με παιδιά και τους νέους. Οι κυριότερες από αυτές είναι:</w:t>
      </w:r>
    </w:p>
    <w:p w14:paraId="1F2E5C77" w14:textId="77777777" w:rsidR="00C63DEA" w:rsidRPr="00573BF1" w:rsidRDefault="00C63DEA" w:rsidP="00EC630C">
      <w:pPr>
        <w:numPr>
          <w:ilvl w:val="0"/>
          <w:numId w:val="12"/>
        </w:numPr>
        <w:spacing w:before="120" w:after="60"/>
        <w:ind w:left="568" w:hanging="284"/>
      </w:pPr>
      <w:r>
        <w:t>διαρθρωτική α</w:t>
      </w:r>
      <w:r w:rsidRPr="00573BF1">
        <w:t>ναμόρφωση της κλίμακας φόρου εισοδήματος για μισθωτούς, συνταξιούχους, αγρότες και ελεύθερους επαγγελματίες</w:t>
      </w:r>
      <w:r>
        <w:t>,</w:t>
      </w:r>
    </w:p>
    <w:p w14:paraId="509DF8E7" w14:textId="77777777" w:rsidR="00C63DEA" w:rsidRPr="002A1C73" w:rsidRDefault="00C63DEA" w:rsidP="00C63DEA">
      <w:pPr>
        <w:numPr>
          <w:ilvl w:val="0"/>
          <w:numId w:val="1"/>
        </w:numPr>
        <w:spacing w:before="60" w:after="60"/>
        <w:ind w:left="568" w:hanging="284"/>
        <w:rPr>
          <w:rFonts w:cs="Arial"/>
        </w:rPr>
      </w:pPr>
      <w:r>
        <w:rPr>
          <w:rFonts w:cs="Arial"/>
        </w:rPr>
        <w:t>μ</w:t>
      </w:r>
      <w:r w:rsidRPr="002A1C73">
        <w:rPr>
          <w:rFonts w:cs="Arial"/>
        </w:rPr>
        <w:t xml:space="preserve">η συμψηφισμός </w:t>
      </w:r>
      <w:r>
        <w:rPr>
          <w:rFonts w:cs="Arial"/>
        </w:rPr>
        <w:t xml:space="preserve">του </w:t>
      </w:r>
      <w:r w:rsidRPr="002A1C73">
        <w:rPr>
          <w:rFonts w:cs="Arial"/>
        </w:rPr>
        <w:t xml:space="preserve">50% </w:t>
      </w:r>
      <w:r w:rsidRPr="008A67A1">
        <w:rPr>
          <w:rFonts w:cs="Arial"/>
        </w:rPr>
        <w:t>της αύξησης των συντάξεων με τη</w:t>
      </w:r>
      <w:r>
        <w:rPr>
          <w:rFonts w:cs="Arial"/>
        </w:rPr>
        <w:t>ν</w:t>
      </w:r>
      <w:r w:rsidRPr="008A67A1">
        <w:rPr>
          <w:rFonts w:cs="Arial"/>
        </w:rPr>
        <w:t xml:space="preserve"> προσωπική διαφορά για το έτος 2026 και κατάργηση του συμψηφισμού της προσωπικής διαφοράς από το 2027</w:t>
      </w:r>
      <w:r>
        <w:rPr>
          <w:rFonts w:cs="Arial"/>
        </w:rPr>
        <w:t>,</w:t>
      </w:r>
    </w:p>
    <w:p w14:paraId="57628E2F" w14:textId="77777777" w:rsidR="00C63DEA" w:rsidRPr="002A1C73" w:rsidRDefault="00C63DEA" w:rsidP="00C63DEA">
      <w:pPr>
        <w:numPr>
          <w:ilvl w:val="0"/>
          <w:numId w:val="1"/>
        </w:numPr>
        <w:spacing w:before="60" w:after="60"/>
        <w:ind w:left="568" w:hanging="284"/>
        <w:rPr>
          <w:rFonts w:cs="Arial"/>
        </w:rPr>
      </w:pPr>
      <w:r>
        <w:rPr>
          <w:rFonts w:cs="Arial"/>
        </w:rPr>
        <w:t>π</w:t>
      </w:r>
      <w:r w:rsidRPr="002A1C73">
        <w:rPr>
          <w:rFonts w:cs="Arial"/>
        </w:rPr>
        <w:t xml:space="preserve">αρεμβάσεις στα ειδικά μισθολόγια των </w:t>
      </w:r>
      <w:r>
        <w:rPr>
          <w:rFonts w:cs="Arial"/>
        </w:rPr>
        <w:t>Ε</w:t>
      </w:r>
      <w:r w:rsidRPr="002A1C73">
        <w:rPr>
          <w:rFonts w:cs="Arial"/>
        </w:rPr>
        <w:t xml:space="preserve">νόπλων </w:t>
      </w:r>
      <w:r>
        <w:rPr>
          <w:rFonts w:cs="Arial"/>
        </w:rPr>
        <w:t>Δ</w:t>
      </w:r>
      <w:r w:rsidRPr="002A1C73">
        <w:rPr>
          <w:rFonts w:cs="Arial"/>
        </w:rPr>
        <w:t xml:space="preserve">υνάμεων και των </w:t>
      </w:r>
      <w:r>
        <w:rPr>
          <w:rFonts w:cs="Arial"/>
        </w:rPr>
        <w:t>Σ</w:t>
      </w:r>
      <w:r w:rsidRPr="002A1C73">
        <w:rPr>
          <w:rFonts w:cs="Arial"/>
        </w:rPr>
        <w:t xml:space="preserve">ωμάτων </w:t>
      </w:r>
      <w:r>
        <w:rPr>
          <w:rFonts w:cs="Arial"/>
        </w:rPr>
        <w:t>Α</w:t>
      </w:r>
      <w:r w:rsidRPr="002A1C73">
        <w:rPr>
          <w:rFonts w:cs="Arial"/>
        </w:rPr>
        <w:t xml:space="preserve">σφαλείας καθώς και παρεμβάσεις σε λοιπές κατηγορίες υπαλλήλων, όπως του Υπουργείου Εξωτερικών, </w:t>
      </w:r>
      <w:r>
        <w:rPr>
          <w:rFonts w:cs="Arial"/>
        </w:rPr>
        <w:t xml:space="preserve">τα μέλη </w:t>
      </w:r>
      <w:r>
        <w:rPr>
          <w:rFonts w:cs="Arial"/>
        </w:rPr>
        <w:lastRenderedPageBreak/>
        <w:t>Διδακτικού Ερευνητικού Προσωπικού (</w:t>
      </w:r>
      <w:r w:rsidRPr="002A1C73">
        <w:rPr>
          <w:rFonts w:cs="Arial"/>
        </w:rPr>
        <w:t>ΔΕΠ</w:t>
      </w:r>
      <w:r>
        <w:rPr>
          <w:rFonts w:cs="Arial"/>
        </w:rPr>
        <w:t>)</w:t>
      </w:r>
      <w:r w:rsidRPr="002A1C73">
        <w:rPr>
          <w:rFonts w:cs="Arial"/>
        </w:rPr>
        <w:t xml:space="preserve"> και </w:t>
      </w:r>
      <w:r>
        <w:rPr>
          <w:rFonts w:cs="Arial"/>
        </w:rPr>
        <w:t xml:space="preserve">οι </w:t>
      </w:r>
      <w:r w:rsidRPr="002A1C73">
        <w:rPr>
          <w:rFonts w:cs="Arial"/>
        </w:rPr>
        <w:t>ερευνητ</w:t>
      </w:r>
      <w:r>
        <w:rPr>
          <w:rFonts w:cs="Arial"/>
        </w:rPr>
        <w:t>ές</w:t>
      </w:r>
      <w:r w:rsidRPr="002A1C73">
        <w:rPr>
          <w:rFonts w:cs="Arial"/>
        </w:rPr>
        <w:t xml:space="preserve">, </w:t>
      </w:r>
      <w:r>
        <w:rPr>
          <w:rFonts w:cs="Arial"/>
        </w:rPr>
        <w:t xml:space="preserve">οι </w:t>
      </w:r>
      <w:r w:rsidRPr="002A1C73">
        <w:rPr>
          <w:rFonts w:cs="Arial"/>
        </w:rPr>
        <w:t>μηχανικ</w:t>
      </w:r>
      <w:r>
        <w:rPr>
          <w:rFonts w:cs="Arial"/>
        </w:rPr>
        <w:t>οί</w:t>
      </w:r>
      <w:r w:rsidRPr="002A1C73">
        <w:rPr>
          <w:rFonts w:cs="Arial"/>
        </w:rPr>
        <w:t xml:space="preserve"> και </w:t>
      </w:r>
      <w:r>
        <w:rPr>
          <w:rFonts w:cs="Arial"/>
        </w:rPr>
        <w:t xml:space="preserve">οι </w:t>
      </w:r>
      <w:r w:rsidRPr="002A1C73">
        <w:rPr>
          <w:rFonts w:cs="Arial"/>
        </w:rPr>
        <w:t>λοιπ</w:t>
      </w:r>
      <w:r>
        <w:rPr>
          <w:rFonts w:cs="Arial"/>
        </w:rPr>
        <w:t>οί</w:t>
      </w:r>
      <w:r w:rsidRPr="002A1C73">
        <w:rPr>
          <w:rFonts w:cs="Arial"/>
        </w:rPr>
        <w:t xml:space="preserve"> υπ</w:t>
      </w:r>
      <w:r>
        <w:rPr>
          <w:rFonts w:cs="Arial"/>
        </w:rPr>
        <w:t xml:space="preserve">άλληλοι </w:t>
      </w:r>
      <w:r w:rsidRPr="002A1C73">
        <w:rPr>
          <w:rFonts w:cs="Arial"/>
        </w:rPr>
        <w:t>με πενταετή κύκλο σπουδών</w:t>
      </w:r>
      <w:r>
        <w:rPr>
          <w:rFonts w:cs="Arial"/>
        </w:rPr>
        <w:t>,</w:t>
      </w:r>
    </w:p>
    <w:p w14:paraId="7AF579DC" w14:textId="77777777" w:rsidR="00C63DEA" w:rsidRPr="002A1C73" w:rsidRDefault="00C63DEA" w:rsidP="00C63DEA">
      <w:pPr>
        <w:numPr>
          <w:ilvl w:val="0"/>
          <w:numId w:val="1"/>
        </w:numPr>
        <w:spacing w:before="60" w:after="60"/>
        <w:ind w:left="568" w:hanging="284"/>
        <w:rPr>
          <w:rFonts w:cs="Arial"/>
        </w:rPr>
      </w:pPr>
      <w:r>
        <w:rPr>
          <w:rFonts w:cs="Arial"/>
        </w:rPr>
        <w:t>σ</w:t>
      </w:r>
      <w:r w:rsidRPr="002A1C73">
        <w:rPr>
          <w:rFonts w:cs="Arial"/>
        </w:rPr>
        <w:t>ταδιακή κατάργηση του ΕΝΦΙΑ για κύριες κατοικίες σε οικισμούς με πληθυσμό έως 1.500 κατοίκους</w:t>
      </w:r>
      <w:r>
        <w:rPr>
          <w:rFonts w:cs="Arial"/>
        </w:rPr>
        <w:t>,</w:t>
      </w:r>
    </w:p>
    <w:p w14:paraId="3650F67E" w14:textId="77777777" w:rsidR="00C63DEA" w:rsidRPr="002A1C73" w:rsidRDefault="00C63DEA" w:rsidP="00C63DEA">
      <w:pPr>
        <w:numPr>
          <w:ilvl w:val="0"/>
          <w:numId w:val="1"/>
        </w:numPr>
        <w:spacing w:before="60" w:after="60"/>
        <w:ind w:left="568" w:hanging="284"/>
        <w:rPr>
          <w:rFonts w:cs="Arial"/>
        </w:rPr>
      </w:pPr>
      <w:r>
        <w:rPr>
          <w:rFonts w:cs="Arial"/>
        </w:rPr>
        <w:t>μ</w:t>
      </w:r>
      <w:r w:rsidRPr="002A1C73">
        <w:rPr>
          <w:rFonts w:cs="Arial"/>
        </w:rPr>
        <w:t xml:space="preserve">είωση κατά 30% του ΦΠΑ σε νησιά </w:t>
      </w:r>
      <w:r>
        <w:rPr>
          <w:rFonts w:cs="Arial"/>
        </w:rPr>
        <w:t xml:space="preserve">της περιφέρειας </w:t>
      </w:r>
      <w:r w:rsidRPr="002A1C73">
        <w:rPr>
          <w:rFonts w:cs="Arial"/>
        </w:rPr>
        <w:t>του Β</w:t>
      </w:r>
      <w:r>
        <w:rPr>
          <w:rFonts w:cs="Arial"/>
        </w:rPr>
        <w:t xml:space="preserve">ορείου </w:t>
      </w:r>
      <w:r w:rsidRPr="002A1C73">
        <w:rPr>
          <w:rFonts w:cs="Arial"/>
        </w:rPr>
        <w:t xml:space="preserve">Αιγαίου, του </w:t>
      </w:r>
      <w:r>
        <w:rPr>
          <w:rFonts w:cs="Arial"/>
        </w:rPr>
        <w:t xml:space="preserve">νομού </w:t>
      </w:r>
      <w:r w:rsidRPr="002A1C73">
        <w:rPr>
          <w:rFonts w:cs="Arial"/>
        </w:rPr>
        <w:t>Έβρου και τ</w:t>
      </w:r>
      <w:r>
        <w:rPr>
          <w:rFonts w:cs="Arial"/>
        </w:rPr>
        <w:t>ου νομού</w:t>
      </w:r>
      <w:r w:rsidRPr="002A1C73">
        <w:rPr>
          <w:rFonts w:cs="Arial"/>
        </w:rPr>
        <w:t xml:space="preserve"> Δωδεκανήσων με πληθυσμό έως 20.000 κατοίκους</w:t>
      </w:r>
      <w:r>
        <w:rPr>
          <w:rFonts w:cs="Arial"/>
        </w:rPr>
        <w:t>,</w:t>
      </w:r>
    </w:p>
    <w:p w14:paraId="5B0D0621" w14:textId="77777777" w:rsidR="00C63DEA" w:rsidRPr="002A1C73" w:rsidRDefault="00C63DEA" w:rsidP="00C63DEA">
      <w:pPr>
        <w:numPr>
          <w:ilvl w:val="0"/>
          <w:numId w:val="1"/>
        </w:numPr>
        <w:spacing w:before="60" w:after="60"/>
        <w:ind w:left="568" w:hanging="284"/>
        <w:rPr>
          <w:rFonts w:cs="Arial"/>
        </w:rPr>
      </w:pPr>
      <w:r>
        <w:rPr>
          <w:rFonts w:cs="Arial"/>
        </w:rPr>
        <w:t>ε</w:t>
      </w:r>
      <w:r w:rsidRPr="002A1C73">
        <w:rPr>
          <w:rFonts w:cs="Arial"/>
        </w:rPr>
        <w:t>ισαγωγή ενδιάμεσου συντελεστή 25% στον φόρο εισοδήματος από ακίνητα. Παράλληλα, επεκτείν</w:t>
      </w:r>
      <w:r>
        <w:rPr>
          <w:rFonts w:cs="Arial"/>
        </w:rPr>
        <w:t>ονται</w:t>
      </w:r>
      <w:r w:rsidRPr="002A1C73">
        <w:rPr>
          <w:rFonts w:cs="Arial"/>
        </w:rPr>
        <w:t xml:space="preserve"> η φοροαπαλλαγή για κεν</w:t>
      </w:r>
      <w:r>
        <w:rPr>
          <w:rFonts w:cs="Arial"/>
        </w:rPr>
        <w:t>ές κατοικίες</w:t>
      </w:r>
      <w:r w:rsidRPr="002A1C73">
        <w:rPr>
          <w:rFonts w:cs="Arial"/>
        </w:rPr>
        <w:t xml:space="preserve"> που θα </w:t>
      </w:r>
      <w:r>
        <w:rPr>
          <w:rFonts w:cs="Arial"/>
        </w:rPr>
        <w:t xml:space="preserve">εκμισθωθούν </w:t>
      </w:r>
      <w:r w:rsidRPr="002A1C73">
        <w:rPr>
          <w:rFonts w:cs="Arial"/>
        </w:rPr>
        <w:t xml:space="preserve">και το 2026 καθώς και </w:t>
      </w:r>
      <w:r>
        <w:rPr>
          <w:rFonts w:cs="Arial"/>
        </w:rPr>
        <w:t>η απαλλαγή ΦΠΑ στα</w:t>
      </w:r>
      <w:r w:rsidRPr="002A1C73">
        <w:rPr>
          <w:rFonts w:cs="Arial"/>
        </w:rPr>
        <w:t xml:space="preserve"> νέα κτ</w:t>
      </w:r>
      <w:r>
        <w:rPr>
          <w:rFonts w:cs="Arial"/>
        </w:rPr>
        <w:t>ή</w:t>
      </w:r>
      <w:r w:rsidRPr="002A1C73">
        <w:rPr>
          <w:rFonts w:cs="Arial"/>
        </w:rPr>
        <w:t>ρια</w:t>
      </w:r>
      <w:r>
        <w:rPr>
          <w:rFonts w:cs="Arial"/>
        </w:rPr>
        <w:t xml:space="preserve">, ενώ επεκτείνεται χρονικά ο </w:t>
      </w:r>
      <w:r w:rsidRPr="002A1C73">
        <w:rPr>
          <w:rFonts w:cs="Arial"/>
        </w:rPr>
        <w:t>περιορισμός</w:t>
      </w:r>
      <w:r>
        <w:rPr>
          <w:rFonts w:cs="Arial"/>
        </w:rPr>
        <w:t xml:space="preserve"> </w:t>
      </w:r>
      <w:r w:rsidRPr="002A1C73">
        <w:rPr>
          <w:rFonts w:cs="Arial"/>
        </w:rPr>
        <w:t>νέων βραχυχρόνι</w:t>
      </w:r>
      <w:r>
        <w:rPr>
          <w:rFonts w:cs="Arial"/>
        </w:rPr>
        <w:t>ων</w:t>
      </w:r>
      <w:r w:rsidRPr="002A1C73">
        <w:rPr>
          <w:rFonts w:cs="Arial"/>
        </w:rPr>
        <w:t xml:space="preserve"> μ</w:t>
      </w:r>
      <w:r>
        <w:rPr>
          <w:rFonts w:cs="Arial"/>
        </w:rPr>
        <w:t>ισθώσεων στ</w:t>
      </w:r>
      <w:r w:rsidRPr="002A1C73">
        <w:rPr>
          <w:rFonts w:cs="Arial"/>
        </w:rPr>
        <w:t>α 3 δημοτικά διαμερίσματα της Αθήνας</w:t>
      </w:r>
      <w:r>
        <w:rPr>
          <w:rFonts w:cs="Arial"/>
        </w:rPr>
        <w:t xml:space="preserve"> και</w:t>
      </w:r>
    </w:p>
    <w:p w14:paraId="1DB10F56" w14:textId="2A40C135" w:rsidR="00C63DEA" w:rsidRPr="002A1C73" w:rsidRDefault="00C63DEA" w:rsidP="00EC630C">
      <w:pPr>
        <w:numPr>
          <w:ilvl w:val="0"/>
          <w:numId w:val="12"/>
        </w:numPr>
        <w:spacing w:before="60"/>
        <w:ind w:left="568" w:hanging="284"/>
      </w:pPr>
      <w:r>
        <w:t>μ</w:t>
      </w:r>
      <w:r w:rsidRPr="002A1C73">
        <w:t>είωση των τεκμηρίων διαβίωσης</w:t>
      </w:r>
      <w:r>
        <w:t xml:space="preserve"> </w:t>
      </w:r>
      <w:r w:rsidR="00E92682" w:rsidRPr="002A1C73">
        <w:t>για τις κατοικίες</w:t>
      </w:r>
      <w:r w:rsidR="00E92682">
        <w:t xml:space="preserve">, </w:t>
      </w:r>
      <w:r>
        <w:t xml:space="preserve">η οποία κυμαίνεται από </w:t>
      </w:r>
      <w:r w:rsidRPr="002A1C73">
        <w:t xml:space="preserve">30% </w:t>
      </w:r>
      <w:r>
        <w:t>έως 35%,</w:t>
      </w:r>
      <w:r w:rsidRPr="002A1C73">
        <w:t xml:space="preserve"> σημαντικές μειώσεις </w:t>
      </w:r>
      <w:r>
        <w:t xml:space="preserve">των αντικειμενικών δαπανών </w:t>
      </w:r>
      <w:r w:rsidRPr="002A1C73">
        <w:t>για τα αυτοκίνητα</w:t>
      </w:r>
      <w:r>
        <w:t>,</w:t>
      </w:r>
      <w:r w:rsidRPr="002A1C73">
        <w:t xml:space="preserve"> προσαρμογές στο ελάχιστο εισόδημα για τους ελεύθερους επαγγελματίες σε οικισμούς </w:t>
      </w:r>
      <w:r>
        <w:t xml:space="preserve">με πληθυσμό </w:t>
      </w:r>
      <w:r w:rsidRPr="002A1C73">
        <w:t>έως 1</w:t>
      </w:r>
      <w:r>
        <w:t>.</w:t>
      </w:r>
      <w:r w:rsidRPr="002A1C73">
        <w:t xml:space="preserve">500 κατοίκους και εξαίρεση από το </w:t>
      </w:r>
      <w:r>
        <w:t>ελάχιστο</w:t>
      </w:r>
      <w:r w:rsidRPr="002A1C73">
        <w:t xml:space="preserve"> εισόδημα για τις νέες μητέρες.</w:t>
      </w:r>
    </w:p>
    <w:p w14:paraId="2CA60693" w14:textId="77777777" w:rsidR="00C63DEA" w:rsidRPr="002A1C73" w:rsidRDefault="00C63DEA" w:rsidP="00C63DEA">
      <w:r w:rsidRPr="002A1C73">
        <w:t xml:space="preserve">Οι παρεμβάσεις αυτές </w:t>
      </w:r>
      <w:r>
        <w:t xml:space="preserve">πραγματοποιούνται </w:t>
      </w:r>
      <w:r w:rsidRPr="002A1C73">
        <w:t>εντός των δημοσιονομικών στόχων. Το συνολικό κόστος των νέων μέτρων για το 2026 ανέρχεται σε 1,7</w:t>
      </w:r>
      <w:r>
        <w:t>6</w:t>
      </w:r>
      <w:r w:rsidRPr="002A1C73">
        <w:t xml:space="preserve"> δισ. ευρώ.</w:t>
      </w:r>
    </w:p>
    <w:p w14:paraId="7856EEF2" w14:textId="77777777" w:rsidR="00C63DEA" w:rsidRPr="002A1C73" w:rsidRDefault="00C63DEA" w:rsidP="00C63DEA">
      <w:r w:rsidRPr="002A1C73">
        <w:t xml:space="preserve">Πέραν των ανωτέρω παρεμβάσεων, τον Απρίλιο 2026 θα αυξηθεί περαιτέρω ο κατώτατος μισθός με στόχο να </w:t>
      </w:r>
      <w:r>
        <w:t xml:space="preserve">ανέλθει στο ποσό των </w:t>
      </w:r>
      <w:r w:rsidRPr="002A1C73">
        <w:t xml:space="preserve">950 ευρώ τον Απρίλιο 2027 από </w:t>
      </w:r>
      <w:r>
        <w:t xml:space="preserve">το ποσό των </w:t>
      </w:r>
      <w:r w:rsidRPr="002A1C73">
        <w:t>880 ευρώ που είναι σήμερα. Η αύξηση αυτή επηρεάζει το επίδομα ανεργίας, το επίδομα μητρότητας, τα επιδόματα τριετιών, την αμοιβή υπερωριών και τους βασικούς μισθούς των δημ</w:t>
      </w:r>
      <w:r>
        <w:t>ό</w:t>
      </w:r>
      <w:r w:rsidRPr="002A1C73">
        <w:t>σ</w:t>
      </w:r>
      <w:r>
        <w:t>ι</w:t>
      </w:r>
      <w:r w:rsidRPr="002A1C73">
        <w:t>ων υπαλλήλων.</w:t>
      </w:r>
    </w:p>
    <w:p w14:paraId="3A19A6EF" w14:textId="77777777" w:rsidR="00C63DEA" w:rsidRPr="002A1C73" w:rsidRDefault="00C63DEA" w:rsidP="00C63DEA">
      <w:pPr>
        <w:spacing w:before="120"/>
      </w:pPr>
      <w:r>
        <w:t>Επιπρόσθετες</w:t>
      </w:r>
      <w:r w:rsidRPr="002A1C73">
        <w:t xml:space="preserve"> παρεμβάσεις</w:t>
      </w:r>
      <w:r>
        <w:t xml:space="preserve"> είναι οι ακόλουθες</w:t>
      </w:r>
      <w:r w:rsidRPr="002A1C73">
        <w:t>:</w:t>
      </w:r>
    </w:p>
    <w:p w14:paraId="052603C2" w14:textId="77777777" w:rsidR="00C63DEA" w:rsidRPr="00573BF1" w:rsidRDefault="00C63DEA" w:rsidP="00EC630C">
      <w:pPr>
        <w:numPr>
          <w:ilvl w:val="0"/>
          <w:numId w:val="12"/>
        </w:numPr>
        <w:spacing w:before="120" w:after="60"/>
        <w:ind w:left="568" w:hanging="284"/>
      </w:pPr>
      <w:r>
        <w:t>επέκταση τ</w:t>
      </w:r>
      <w:r w:rsidRPr="00573BF1">
        <w:t>ο</w:t>
      </w:r>
      <w:r>
        <w:t>υ</w:t>
      </w:r>
      <w:r w:rsidRPr="00573BF1">
        <w:t xml:space="preserve"> πρ</w:t>
      </w:r>
      <w:r>
        <w:t xml:space="preserve">ογράμματος </w:t>
      </w:r>
      <w:r w:rsidRPr="00573BF1">
        <w:t xml:space="preserve">ανακαίνισης σχολείων «Μαριέττα Γιαννάκου» με επιπλέον 300 εκατ. ευρώ </w:t>
      </w:r>
      <w:r>
        <w:t xml:space="preserve">ως </w:t>
      </w:r>
      <w:r w:rsidRPr="00573BF1">
        <w:t xml:space="preserve">δωρεά από τις τέσσερις συστημικές τράπεζες, </w:t>
      </w:r>
      <w:r>
        <w:t xml:space="preserve">με αποτέλεσμα </w:t>
      </w:r>
      <w:r w:rsidRPr="00573BF1">
        <w:t>ο συνολικό</w:t>
      </w:r>
      <w:r>
        <w:t>ς</w:t>
      </w:r>
      <w:r w:rsidRPr="00573BF1">
        <w:t xml:space="preserve"> προϋπολογισμό</w:t>
      </w:r>
      <w:r>
        <w:t>ς να ανέλθει</w:t>
      </w:r>
      <w:r w:rsidRPr="00573BF1">
        <w:t xml:space="preserve"> στ</w:t>
      </w:r>
      <w:r>
        <w:t xml:space="preserve">ο ποσό των </w:t>
      </w:r>
      <w:r w:rsidRPr="00573BF1">
        <w:t xml:space="preserve">650 εκατ. ευρώ. </w:t>
      </w:r>
      <w:r>
        <w:t xml:space="preserve">Η εν λόγω παρέμβαση αποσκοπεί στην ανακαίνιση </w:t>
      </w:r>
      <w:r w:rsidRPr="00573BF1">
        <w:t>περισσότερ</w:t>
      </w:r>
      <w:r>
        <w:t>ων</w:t>
      </w:r>
      <w:r w:rsidRPr="00573BF1">
        <w:t xml:space="preserve"> από 2.500 σχολικ</w:t>
      </w:r>
      <w:r>
        <w:t xml:space="preserve">ών </w:t>
      </w:r>
      <w:r w:rsidRPr="00573BF1">
        <w:t>μονάδ</w:t>
      </w:r>
      <w:r>
        <w:t>ων,</w:t>
      </w:r>
    </w:p>
    <w:p w14:paraId="1E6AD04B" w14:textId="77777777" w:rsidR="00C63DEA" w:rsidRPr="00573BF1" w:rsidRDefault="00C63DEA" w:rsidP="00C63DEA">
      <w:pPr>
        <w:numPr>
          <w:ilvl w:val="0"/>
          <w:numId w:val="1"/>
        </w:numPr>
        <w:spacing w:before="60" w:after="60"/>
        <w:ind w:left="568" w:hanging="284"/>
        <w:rPr>
          <w:rFonts w:cs="Arial"/>
        </w:rPr>
      </w:pPr>
      <w:r>
        <w:rPr>
          <w:rFonts w:cs="Arial"/>
        </w:rPr>
        <w:t xml:space="preserve">θέσπιση </w:t>
      </w:r>
      <w:r w:rsidRPr="00573BF1">
        <w:rPr>
          <w:rFonts w:cs="Arial"/>
        </w:rPr>
        <w:t>υπερεκπτώσε</w:t>
      </w:r>
      <w:r>
        <w:rPr>
          <w:rFonts w:cs="Arial"/>
        </w:rPr>
        <w:t>ων</w:t>
      </w:r>
      <w:r w:rsidRPr="00573BF1">
        <w:rPr>
          <w:rFonts w:cs="Arial"/>
        </w:rPr>
        <w:t xml:space="preserve"> 100% για επενδυτικές δαπάνες σε στρατηγικούς τομείς</w:t>
      </w:r>
      <w:r>
        <w:rPr>
          <w:rFonts w:cs="Arial"/>
        </w:rPr>
        <w:t>,</w:t>
      </w:r>
      <w:r w:rsidRPr="00573BF1">
        <w:rPr>
          <w:rFonts w:cs="Arial"/>
        </w:rPr>
        <w:t xml:space="preserve"> όπως η άμυνα και η κατασκευή οχημάτων</w:t>
      </w:r>
      <w:r>
        <w:rPr>
          <w:rFonts w:cs="Arial"/>
        </w:rPr>
        <w:t xml:space="preserve"> καθώς και αεροσκαφών και των εξαρτημάτων αυτών και</w:t>
      </w:r>
    </w:p>
    <w:p w14:paraId="02C5842C" w14:textId="77777777" w:rsidR="00C63DEA" w:rsidRPr="00573BF1" w:rsidRDefault="00C63DEA" w:rsidP="00EC630C">
      <w:pPr>
        <w:numPr>
          <w:ilvl w:val="0"/>
          <w:numId w:val="12"/>
        </w:numPr>
        <w:spacing w:before="60"/>
        <w:ind w:left="568" w:hanging="284"/>
      </w:pPr>
      <w:r>
        <w:t xml:space="preserve">μη υπολογισμός της </w:t>
      </w:r>
      <w:r w:rsidRPr="00573BF1">
        <w:t>Εισφορά</w:t>
      </w:r>
      <w:r>
        <w:t>ς</w:t>
      </w:r>
      <w:r w:rsidRPr="00573BF1">
        <w:t xml:space="preserve"> Αλληλεγγύης</w:t>
      </w:r>
      <w:r>
        <w:t xml:space="preserve"> για τους εργαζόμενους συνταξιούχους </w:t>
      </w:r>
      <w:r w:rsidRPr="00573BF1">
        <w:t>με βάση την προσαύξηση της σύνταξής τους λόγω της εργασίας.</w:t>
      </w:r>
    </w:p>
    <w:p w14:paraId="6E6C44ED" w14:textId="77777777" w:rsidR="00C63DEA" w:rsidRPr="002A1C73" w:rsidRDefault="00C63DEA" w:rsidP="00C63DEA">
      <w:r>
        <w:t>Ειδικότερα, η α</w:t>
      </w:r>
      <w:r w:rsidRPr="002A1C73">
        <w:t xml:space="preserve">ναμόρφωση </w:t>
      </w:r>
      <w:r>
        <w:t xml:space="preserve">της </w:t>
      </w:r>
      <w:r w:rsidRPr="002A1C73">
        <w:t>φορολογικής κλίμακας</w:t>
      </w:r>
      <w:r>
        <w:t xml:space="preserve"> συνίσταται στα ακόλουθα</w:t>
      </w:r>
      <w:r w:rsidRPr="002A1C73">
        <w:t>:</w:t>
      </w:r>
    </w:p>
    <w:p w14:paraId="4A9D3A1A" w14:textId="77777777" w:rsidR="00C63DEA" w:rsidRPr="0067760D" w:rsidRDefault="00C63DEA" w:rsidP="00EC630C">
      <w:pPr>
        <w:numPr>
          <w:ilvl w:val="0"/>
          <w:numId w:val="12"/>
        </w:numPr>
        <w:spacing w:before="120" w:after="60"/>
        <w:ind w:left="568" w:hanging="284"/>
      </w:pPr>
      <w:r>
        <w:t>μείωση των</w:t>
      </w:r>
      <w:r w:rsidRPr="0067760D">
        <w:t xml:space="preserve"> φορολογικ</w:t>
      </w:r>
      <w:r>
        <w:t xml:space="preserve">ών </w:t>
      </w:r>
      <w:r w:rsidRPr="0067760D">
        <w:t>συντελεστ</w:t>
      </w:r>
      <w:r>
        <w:t>ών</w:t>
      </w:r>
      <w:r w:rsidRPr="0067760D">
        <w:t xml:space="preserve"> κατά 2% για εισοδήματα από 10.000 έως 40.000 ευρώ. </w:t>
      </w:r>
      <w:r>
        <w:t>Συγκεκριμένα, οι φορολογικοί συντελεστές μειώνονται</w:t>
      </w:r>
      <w:r w:rsidRPr="0067760D">
        <w:t>:</w:t>
      </w:r>
    </w:p>
    <w:p w14:paraId="0CCAC78C" w14:textId="77777777" w:rsidR="00C63DEA" w:rsidRPr="00B56307" w:rsidRDefault="00C63DEA" w:rsidP="00EC630C">
      <w:pPr>
        <w:pStyle w:val="Web"/>
        <w:numPr>
          <w:ilvl w:val="1"/>
          <w:numId w:val="15"/>
        </w:numPr>
        <w:tabs>
          <w:tab w:val="clear" w:pos="1440"/>
          <w:tab w:val="num" w:pos="567"/>
        </w:tabs>
        <w:spacing w:before="60" w:beforeAutospacing="0" w:after="60" w:afterAutospacing="0"/>
        <w:ind w:left="851" w:hanging="284"/>
        <w:rPr>
          <w:rFonts w:cs="Arial"/>
          <w:szCs w:val="22"/>
          <w:lang w:val="el-GR"/>
        </w:rPr>
      </w:pPr>
      <w:r>
        <w:rPr>
          <w:rFonts w:cs="Arial"/>
          <w:szCs w:val="22"/>
          <w:lang w:val="el-GR"/>
        </w:rPr>
        <w:t>α</w:t>
      </w:r>
      <w:r w:rsidRPr="00B56307">
        <w:rPr>
          <w:rFonts w:cs="Arial"/>
          <w:szCs w:val="22"/>
          <w:lang w:val="el-GR"/>
        </w:rPr>
        <w:t>πό 22% σε 20% για εισόδημα μεταξύ 10.000</w:t>
      </w:r>
      <w:r w:rsidRPr="00950885">
        <w:rPr>
          <w:rFonts w:cs="Arial"/>
          <w:szCs w:val="22"/>
          <w:lang w:val="el-GR"/>
        </w:rPr>
        <w:t xml:space="preserve"> </w:t>
      </w:r>
      <w:r w:rsidRPr="00B56307">
        <w:rPr>
          <w:rFonts w:cs="Arial"/>
          <w:szCs w:val="22"/>
          <w:lang w:val="el-GR"/>
        </w:rPr>
        <w:t>-</w:t>
      </w:r>
      <w:r w:rsidRPr="00950885">
        <w:rPr>
          <w:rFonts w:cs="Arial"/>
          <w:szCs w:val="22"/>
          <w:lang w:val="el-GR"/>
        </w:rPr>
        <w:t xml:space="preserve"> </w:t>
      </w:r>
      <w:r w:rsidRPr="00B56307">
        <w:rPr>
          <w:rFonts w:cs="Arial"/>
          <w:szCs w:val="22"/>
          <w:lang w:val="el-GR"/>
        </w:rPr>
        <w:t>20.000</w:t>
      </w:r>
      <w:r w:rsidRPr="00950885">
        <w:rPr>
          <w:rFonts w:cs="Arial"/>
          <w:szCs w:val="22"/>
          <w:lang w:val="el-GR"/>
        </w:rPr>
        <w:t xml:space="preserve"> </w:t>
      </w:r>
      <w:r>
        <w:rPr>
          <w:rFonts w:cs="Arial"/>
          <w:szCs w:val="22"/>
          <w:lang w:val="el-GR"/>
        </w:rPr>
        <w:t>ευρώ,</w:t>
      </w:r>
    </w:p>
    <w:p w14:paraId="5A560001" w14:textId="77777777" w:rsidR="00C63DEA" w:rsidRPr="00B56307" w:rsidRDefault="00C63DEA" w:rsidP="00EC630C">
      <w:pPr>
        <w:pStyle w:val="Web"/>
        <w:numPr>
          <w:ilvl w:val="1"/>
          <w:numId w:val="15"/>
        </w:numPr>
        <w:tabs>
          <w:tab w:val="clear" w:pos="1440"/>
          <w:tab w:val="num" w:pos="567"/>
        </w:tabs>
        <w:spacing w:before="60" w:beforeAutospacing="0" w:after="60" w:afterAutospacing="0"/>
        <w:ind w:left="851" w:hanging="284"/>
        <w:rPr>
          <w:rFonts w:cs="Arial"/>
          <w:szCs w:val="22"/>
          <w:lang w:val="el-GR"/>
        </w:rPr>
      </w:pPr>
      <w:r>
        <w:rPr>
          <w:rFonts w:cs="Arial"/>
          <w:szCs w:val="22"/>
          <w:lang w:val="el-GR"/>
        </w:rPr>
        <w:t>α</w:t>
      </w:r>
      <w:r w:rsidRPr="00B56307">
        <w:rPr>
          <w:rFonts w:cs="Arial"/>
          <w:szCs w:val="22"/>
          <w:lang w:val="el-GR"/>
        </w:rPr>
        <w:t>πό 28% σε 26% για εισόδημα μεταξύ 20.000</w:t>
      </w:r>
      <w:r w:rsidRPr="00950885">
        <w:rPr>
          <w:rFonts w:cs="Arial"/>
          <w:szCs w:val="22"/>
          <w:lang w:val="el-GR"/>
        </w:rPr>
        <w:t xml:space="preserve"> </w:t>
      </w:r>
      <w:r w:rsidRPr="00B56307">
        <w:rPr>
          <w:rFonts w:cs="Arial"/>
          <w:szCs w:val="22"/>
          <w:lang w:val="el-GR"/>
        </w:rPr>
        <w:t>-</w:t>
      </w:r>
      <w:r w:rsidRPr="00950885">
        <w:rPr>
          <w:rFonts w:cs="Arial"/>
          <w:szCs w:val="22"/>
          <w:lang w:val="el-GR"/>
        </w:rPr>
        <w:t xml:space="preserve"> </w:t>
      </w:r>
      <w:r w:rsidRPr="00B56307">
        <w:rPr>
          <w:rFonts w:cs="Arial"/>
          <w:szCs w:val="22"/>
          <w:lang w:val="el-GR"/>
        </w:rPr>
        <w:t>30.000</w:t>
      </w:r>
      <w:r>
        <w:rPr>
          <w:rFonts w:cs="Arial"/>
          <w:szCs w:val="22"/>
          <w:lang w:val="el-GR"/>
        </w:rPr>
        <w:t xml:space="preserve"> ευρώ και</w:t>
      </w:r>
    </w:p>
    <w:p w14:paraId="304AFE68" w14:textId="77777777" w:rsidR="00C63DEA" w:rsidRPr="00B56307" w:rsidRDefault="00C63DEA" w:rsidP="00EC630C">
      <w:pPr>
        <w:pStyle w:val="Web"/>
        <w:numPr>
          <w:ilvl w:val="1"/>
          <w:numId w:val="15"/>
        </w:numPr>
        <w:tabs>
          <w:tab w:val="clear" w:pos="1440"/>
          <w:tab w:val="num" w:pos="567"/>
        </w:tabs>
        <w:spacing w:before="60" w:beforeAutospacing="0" w:after="60" w:afterAutospacing="0"/>
        <w:ind w:left="851" w:hanging="284"/>
        <w:rPr>
          <w:rFonts w:cs="Arial"/>
          <w:szCs w:val="22"/>
          <w:lang w:val="el-GR"/>
        </w:rPr>
      </w:pPr>
      <w:r>
        <w:rPr>
          <w:rFonts w:cs="Arial"/>
          <w:szCs w:val="22"/>
          <w:lang w:val="el-GR"/>
        </w:rPr>
        <w:t>α</w:t>
      </w:r>
      <w:r w:rsidRPr="00B56307">
        <w:rPr>
          <w:rFonts w:cs="Arial"/>
          <w:szCs w:val="22"/>
          <w:lang w:val="el-GR"/>
        </w:rPr>
        <w:t>πό 36% σε 34% για εισόδημα μεταξύ 30.000</w:t>
      </w:r>
      <w:r w:rsidRPr="00950885">
        <w:rPr>
          <w:rFonts w:cs="Arial"/>
          <w:szCs w:val="22"/>
          <w:lang w:val="el-GR"/>
        </w:rPr>
        <w:t xml:space="preserve"> </w:t>
      </w:r>
      <w:r w:rsidRPr="00B56307">
        <w:rPr>
          <w:rFonts w:cs="Arial"/>
          <w:szCs w:val="22"/>
          <w:lang w:val="el-GR"/>
        </w:rPr>
        <w:t>-</w:t>
      </w:r>
      <w:r w:rsidRPr="00950885">
        <w:rPr>
          <w:rFonts w:cs="Arial"/>
          <w:szCs w:val="22"/>
          <w:lang w:val="el-GR"/>
        </w:rPr>
        <w:t xml:space="preserve"> </w:t>
      </w:r>
      <w:r w:rsidRPr="00B56307">
        <w:rPr>
          <w:rFonts w:cs="Arial"/>
          <w:szCs w:val="22"/>
          <w:lang w:val="el-GR"/>
        </w:rPr>
        <w:t>40.000</w:t>
      </w:r>
      <w:r>
        <w:rPr>
          <w:rFonts w:cs="Arial"/>
          <w:szCs w:val="22"/>
          <w:lang w:val="el-GR"/>
        </w:rPr>
        <w:t xml:space="preserve"> ευρώ,</w:t>
      </w:r>
    </w:p>
    <w:p w14:paraId="480E9FAB" w14:textId="77777777" w:rsidR="00C63DEA" w:rsidRPr="00B56307" w:rsidRDefault="00C63DEA" w:rsidP="00C63DEA">
      <w:pPr>
        <w:numPr>
          <w:ilvl w:val="0"/>
          <w:numId w:val="1"/>
        </w:numPr>
        <w:spacing w:before="60" w:after="60"/>
        <w:ind w:left="568" w:hanging="284"/>
        <w:rPr>
          <w:rFonts w:cs="Arial"/>
        </w:rPr>
      </w:pPr>
      <w:r>
        <w:rPr>
          <w:rFonts w:cs="Arial"/>
        </w:rPr>
        <w:t xml:space="preserve">εισαγωγή νέας </w:t>
      </w:r>
      <w:r w:rsidRPr="00B56307">
        <w:rPr>
          <w:rFonts w:cs="Arial"/>
        </w:rPr>
        <w:t>φορολογική</w:t>
      </w:r>
      <w:r>
        <w:rPr>
          <w:rFonts w:cs="Arial"/>
        </w:rPr>
        <w:t>ς</w:t>
      </w:r>
      <w:r w:rsidRPr="00B56307">
        <w:rPr>
          <w:rFonts w:cs="Arial"/>
        </w:rPr>
        <w:t xml:space="preserve"> κλίμακα</w:t>
      </w:r>
      <w:r>
        <w:rPr>
          <w:rFonts w:cs="Arial"/>
        </w:rPr>
        <w:t>ς</w:t>
      </w:r>
      <w:r w:rsidRPr="00B56307">
        <w:rPr>
          <w:rFonts w:cs="Arial"/>
        </w:rPr>
        <w:t xml:space="preserve"> με συντελεστή 39% για εισοδήματα μεταξύ 40.000 και 60.000 ευρώ</w:t>
      </w:r>
      <w:r>
        <w:rPr>
          <w:rFonts w:cs="Arial"/>
        </w:rPr>
        <w:t>,</w:t>
      </w:r>
    </w:p>
    <w:p w14:paraId="74102C53" w14:textId="77777777" w:rsidR="00C63DEA" w:rsidRPr="00873EAD" w:rsidRDefault="00C63DEA" w:rsidP="00C63DEA">
      <w:pPr>
        <w:numPr>
          <w:ilvl w:val="0"/>
          <w:numId w:val="1"/>
        </w:numPr>
        <w:spacing w:before="60" w:after="60"/>
        <w:ind w:left="568" w:hanging="284"/>
        <w:rPr>
          <w:rFonts w:cs="Arial"/>
        </w:rPr>
      </w:pPr>
      <w:r>
        <w:t>ο</w:t>
      </w:r>
      <w:r w:rsidRPr="00873EAD">
        <w:t xml:space="preserve"> συντελεστής </w:t>
      </w:r>
      <w:r>
        <w:t xml:space="preserve">για εισόδημα από </w:t>
      </w:r>
      <w:r w:rsidRPr="00B52942">
        <w:t xml:space="preserve">10.000 έως 20.000 ευρώ, </w:t>
      </w:r>
      <w:r>
        <w:t>ο οποίος</w:t>
      </w:r>
      <w:r w:rsidRPr="00873EAD">
        <w:t xml:space="preserve"> πλέον θα ανέρχεται σε 20% για φορολογούμενους χωρίς τέκνα, μειώνεται περ</w:t>
      </w:r>
      <w:r>
        <w:t>αιτέρω</w:t>
      </w:r>
      <w:r w:rsidRPr="00873EAD">
        <w:t xml:space="preserve"> αναλόγως του αριθμού των τέκνων και ακόμη περισσότερο για τους τρίτεκνους σε:</w:t>
      </w:r>
    </w:p>
    <w:p w14:paraId="2B8157C0" w14:textId="77777777" w:rsidR="00C63DEA" w:rsidRDefault="00C63DEA" w:rsidP="00EC630C">
      <w:pPr>
        <w:pStyle w:val="Web"/>
        <w:numPr>
          <w:ilvl w:val="1"/>
          <w:numId w:val="15"/>
        </w:numPr>
        <w:tabs>
          <w:tab w:val="clear" w:pos="1440"/>
          <w:tab w:val="num" w:pos="567"/>
        </w:tabs>
        <w:spacing w:before="60" w:beforeAutospacing="0" w:after="60" w:afterAutospacing="0"/>
        <w:ind w:left="851" w:hanging="284"/>
        <w:rPr>
          <w:lang w:val="el-GR"/>
        </w:rPr>
      </w:pPr>
      <w:r>
        <w:rPr>
          <w:lang w:val="el-GR"/>
        </w:rPr>
        <w:t>18% για φορολογούμενους με 1 εξαρτώμενο τέκνο,</w:t>
      </w:r>
    </w:p>
    <w:p w14:paraId="1C10344C" w14:textId="77777777" w:rsidR="00C63DEA" w:rsidRDefault="00C63DEA" w:rsidP="00EC630C">
      <w:pPr>
        <w:pStyle w:val="Web"/>
        <w:numPr>
          <w:ilvl w:val="1"/>
          <w:numId w:val="15"/>
        </w:numPr>
        <w:tabs>
          <w:tab w:val="clear" w:pos="1440"/>
          <w:tab w:val="num" w:pos="567"/>
        </w:tabs>
        <w:spacing w:before="60" w:beforeAutospacing="0" w:after="60" w:afterAutospacing="0"/>
        <w:ind w:left="851" w:hanging="284"/>
        <w:rPr>
          <w:lang w:val="el-GR"/>
        </w:rPr>
      </w:pPr>
      <w:r w:rsidRPr="00356794">
        <w:rPr>
          <w:rFonts w:cs="Arial"/>
          <w:szCs w:val="22"/>
          <w:lang w:val="el-GR"/>
        </w:rPr>
        <w:t>16</w:t>
      </w:r>
      <w:r>
        <w:rPr>
          <w:lang w:val="el-GR"/>
        </w:rPr>
        <w:t>% για φορολογούμενους με 2 εξαρτώμενα τέκνα και</w:t>
      </w:r>
    </w:p>
    <w:p w14:paraId="34B30F64" w14:textId="77777777" w:rsidR="00C63DEA" w:rsidRDefault="00C63DEA" w:rsidP="00EC630C">
      <w:pPr>
        <w:pStyle w:val="Web"/>
        <w:numPr>
          <w:ilvl w:val="1"/>
          <w:numId w:val="15"/>
        </w:numPr>
        <w:tabs>
          <w:tab w:val="clear" w:pos="1440"/>
          <w:tab w:val="num" w:pos="567"/>
        </w:tabs>
        <w:spacing w:before="60" w:beforeAutospacing="0" w:after="60" w:afterAutospacing="0"/>
        <w:ind w:left="851" w:hanging="284"/>
        <w:rPr>
          <w:lang w:val="el-GR"/>
        </w:rPr>
      </w:pPr>
      <w:r>
        <w:rPr>
          <w:lang w:val="el-GR"/>
        </w:rPr>
        <w:t>9% για φορολογούμενους με 3 εξαρτώμενα τέκνα,</w:t>
      </w:r>
    </w:p>
    <w:p w14:paraId="5462499E" w14:textId="77777777" w:rsidR="00C63DEA" w:rsidRPr="00B52942" w:rsidRDefault="00C63DEA" w:rsidP="00C63DEA">
      <w:pPr>
        <w:numPr>
          <w:ilvl w:val="0"/>
          <w:numId w:val="1"/>
        </w:numPr>
        <w:spacing w:before="60" w:after="60"/>
        <w:ind w:left="568" w:hanging="284"/>
      </w:pPr>
      <w:r w:rsidRPr="00B52942">
        <w:lastRenderedPageBreak/>
        <w:t>όσον αφορά στους πολύτεκνους, προβλέπεται μεγαλύτερη μείωση των συντελεστών και ειδικότερα, για οικογένειες με τέσσερα ή περισσότερα παιδιά ο φόρος για εισοδήματα έως 20.000 ευρώ μηδενίζεται,</w:t>
      </w:r>
    </w:p>
    <w:p w14:paraId="59AF0784" w14:textId="5EC05666" w:rsidR="00C63DEA" w:rsidRPr="00873EAD" w:rsidRDefault="00C63DEA" w:rsidP="00C63DEA">
      <w:pPr>
        <w:numPr>
          <w:ilvl w:val="0"/>
          <w:numId w:val="1"/>
        </w:numPr>
        <w:spacing w:before="60" w:after="60"/>
        <w:ind w:left="568" w:hanging="284"/>
        <w:rPr>
          <w:rFonts w:cs="Arial"/>
        </w:rPr>
      </w:pPr>
      <w:r w:rsidRPr="00356794">
        <w:rPr>
          <w:rFonts w:cs="Arial"/>
        </w:rPr>
        <w:t xml:space="preserve">ο συντελεστής </w:t>
      </w:r>
      <w:r>
        <w:t>για εισόδημα από</w:t>
      </w:r>
      <w:r w:rsidRPr="00E23E5A">
        <w:t xml:space="preserve"> </w:t>
      </w:r>
      <w:r w:rsidRPr="00E23E5A">
        <w:rPr>
          <w:rFonts w:cs="Arial"/>
        </w:rPr>
        <w:t>20.000 έως 30.000 ευρώ, ο οποίος πλέον θα ανέρχεται</w:t>
      </w:r>
      <w:r w:rsidRPr="00356794">
        <w:rPr>
          <w:rFonts w:cs="Arial"/>
        </w:rPr>
        <w:t xml:space="preserve"> σε 26% για φορολογούμενους χωρίς τέκνα, μειώνεται επίσης κατά 2 ποσοστιαίες μονάδες για κάθε τέκνο, ανεξαρτήτως</w:t>
      </w:r>
      <w:r w:rsidR="00106D9D">
        <w:rPr>
          <w:rFonts w:cs="Arial"/>
        </w:rPr>
        <w:t xml:space="preserve"> του</w:t>
      </w:r>
      <w:r w:rsidRPr="00356794">
        <w:rPr>
          <w:rFonts w:cs="Arial"/>
        </w:rPr>
        <w:t xml:space="preserve"> αριθμού</w:t>
      </w:r>
      <w:r w:rsidR="00106D9D">
        <w:rPr>
          <w:rFonts w:cs="Arial"/>
        </w:rPr>
        <w:t xml:space="preserve"> των</w:t>
      </w:r>
      <w:r w:rsidRPr="00356794">
        <w:rPr>
          <w:rFonts w:cs="Arial"/>
        </w:rPr>
        <w:t xml:space="preserve"> τέκνων:</w:t>
      </w:r>
    </w:p>
    <w:p w14:paraId="2AC039FB" w14:textId="77777777" w:rsidR="00C63DEA" w:rsidRDefault="00C63DEA" w:rsidP="00EC630C">
      <w:pPr>
        <w:pStyle w:val="Web"/>
        <w:numPr>
          <w:ilvl w:val="1"/>
          <w:numId w:val="15"/>
        </w:numPr>
        <w:tabs>
          <w:tab w:val="clear" w:pos="1440"/>
          <w:tab w:val="num" w:pos="567"/>
        </w:tabs>
        <w:spacing w:before="60" w:beforeAutospacing="0" w:after="60" w:afterAutospacing="0"/>
        <w:ind w:left="851" w:hanging="284"/>
        <w:rPr>
          <w:lang w:val="el-GR"/>
        </w:rPr>
      </w:pPr>
      <w:r>
        <w:rPr>
          <w:lang w:val="el-GR"/>
        </w:rPr>
        <w:t>24% για φορολογούμενους με 1 εξαρτώμενο τέκνο,</w:t>
      </w:r>
    </w:p>
    <w:p w14:paraId="2B7D22A8" w14:textId="77777777" w:rsidR="00C63DEA" w:rsidRDefault="00C63DEA" w:rsidP="00EC630C">
      <w:pPr>
        <w:pStyle w:val="Web"/>
        <w:numPr>
          <w:ilvl w:val="1"/>
          <w:numId w:val="15"/>
        </w:numPr>
        <w:tabs>
          <w:tab w:val="clear" w:pos="1440"/>
          <w:tab w:val="num" w:pos="567"/>
        </w:tabs>
        <w:spacing w:before="60" w:beforeAutospacing="0" w:after="60" w:afterAutospacing="0"/>
        <w:ind w:left="851" w:hanging="284"/>
        <w:rPr>
          <w:lang w:val="el-GR"/>
        </w:rPr>
      </w:pPr>
      <w:r>
        <w:rPr>
          <w:lang w:val="el-GR"/>
        </w:rPr>
        <w:t>22% για φορολογούμενους με 2 εξαρτώμενα τέκνα,</w:t>
      </w:r>
    </w:p>
    <w:p w14:paraId="7AA76404" w14:textId="77777777" w:rsidR="00C63DEA" w:rsidRPr="00356794" w:rsidRDefault="00C63DEA" w:rsidP="00EC630C">
      <w:pPr>
        <w:pStyle w:val="Web"/>
        <w:numPr>
          <w:ilvl w:val="1"/>
          <w:numId w:val="15"/>
        </w:numPr>
        <w:tabs>
          <w:tab w:val="clear" w:pos="1440"/>
          <w:tab w:val="num" w:pos="567"/>
        </w:tabs>
        <w:spacing w:before="60" w:beforeAutospacing="0" w:after="60" w:afterAutospacing="0"/>
        <w:ind w:left="851" w:hanging="284"/>
        <w:rPr>
          <w:rFonts w:cs="Arial"/>
          <w:szCs w:val="22"/>
          <w:lang w:val="el-GR"/>
        </w:rPr>
      </w:pPr>
      <w:r w:rsidRPr="00356794">
        <w:rPr>
          <w:rFonts w:cs="Arial"/>
          <w:szCs w:val="22"/>
          <w:lang w:val="el-GR"/>
        </w:rPr>
        <w:t xml:space="preserve">20% για φορολογούμενους με </w:t>
      </w:r>
      <w:r>
        <w:rPr>
          <w:rFonts w:cs="Arial"/>
          <w:szCs w:val="22"/>
          <w:lang w:val="el-GR"/>
        </w:rPr>
        <w:t>3</w:t>
      </w:r>
      <w:r w:rsidRPr="00356794">
        <w:rPr>
          <w:rFonts w:cs="Arial"/>
          <w:szCs w:val="22"/>
          <w:lang w:val="el-GR"/>
        </w:rPr>
        <w:t xml:space="preserve"> εξαρτώμενα τέκνα</w:t>
      </w:r>
      <w:r>
        <w:rPr>
          <w:rFonts w:cs="Arial"/>
          <w:szCs w:val="22"/>
          <w:lang w:val="el-GR"/>
        </w:rPr>
        <w:t>,</w:t>
      </w:r>
    </w:p>
    <w:p w14:paraId="02B4D742" w14:textId="77777777" w:rsidR="00C63DEA" w:rsidRPr="00356794" w:rsidRDefault="00C63DEA" w:rsidP="00EC630C">
      <w:pPr>
        <w:pStyle w:val="Web"/>
        <w:numPr>
          <w:ilvl w:val="1"/>
          <w:numId w:val="15"/>
        </w:numPr>
        <w:tabs>
          <w:tab w:val="clear" w:pos="1440"/>
          <w:tab w:val="num" w:pos="567"/>
        </w:tabs>
        <w:spacing w:before="60" w:beforeAutospacing="0" w:after="60" w:afterAutospacing="0"/>
        <w:ind w:left="851" w:hanging="284"/>
        <w:rPr>
          <w:rFonts w:cs="Arial"/>
          <w:szCs w:val="22"/>
          <w:lang w:val="el-GR"/>
        </w:rPr>
      </w:pPr>
      <w:r w:rsidRPr="00356794">
        <w:rPr>
          <w:rFonts w:cs="Arial"/>
          <w:szCs w:val="22"/>
          <w:lang w:val="el-GR"/>
        </w:rPr>
        <w:t xml:space="preserve">18% για φορολογούμενους με </w:t>
      </w:r>
      <w:r>
        <w:rPr>
          <w:rFonts w:cs="Arial"/>
          <w:szCs w:val="22"/>
          <w:lang w:val="el-GR"/>
        </w:rPr>
        <w:t>4</w:t>
      </w:r>
      <w:r w:rsidRPr="00356794">
        <w:rPr>
          <w:rFonts w:cs="Arial"/>
          <w:szCs w:val="22"/>
          <w:lang w:val="el-GR"/>
        </w:rPr>
        <w:t xml:space="preserve"> εξαρτώμενα τέκνα</w:t>
      </w:r>
      <w:r>
        <w:rPr>
          <w:rFonts w:cs="Arial"/>
          <w:szCs w:val="22"/>
          <w:lang w:val="el-GR"/>
        </w:rPr>
        <w:t xml:space="preserve"> και</w:t>
      </w:r>
    </w:p>
    <w:p w14:paraId="6EB29E5E" w14:textId="77777777" w:rsidR="00C63DEA" w:rsidRPr="00AB1D3C" w:rsidRDefault="00C63DEA" w:rsidP="00EC630C">
      <w:pPr>
        <w:pStyle w:val="Web"/>
        <w:numPr>
          <w:ilvl w:val="1"/>
          <w:numId w:val="15"/>
        </w:numPr>
        <w:tabs>
          <w:tab w:val="clear" w:pos="1440"/>
          <w:tab w:val="num" w:pos="567"/>
        </w:tabs>
        <w:spacing w:before="60" w:beforeAutospacing="0" w:after="60" w:afterAutospacing="0"/>
        <w:ind w:left="851" w:hanging="284"/>
        <w:rPr>
          <w:rFonts w:cs="Arial"/>
          <w:lang w:val="el-GR"/>
        </w:rPr>
      </w:pPr>
      <w:r>
        <w:rPr>
          <w:lang w:val="el-GR"/>
        </w:rPr>
        <w:t>16% για φορολογούμενους με 5 εξαρτώμενα τέκνα κ.λπ.,</w:t>
      </w:r>
    </w:p>
    <w:p w14:paraId="55728079" w14:textId="77777777" w:rsidR="00C63DEA" w:rsidRPr="00B56307" w:rsidRDefault="00C63DEA" w:rsidP="00C63DEA">
      <w:pPr>
        <w:numPr>
          <w:ilvl w:val="0"/>
          <w:numId w:val="1"/>
        </w:numPr>
        <w:spacing w:before="60" w:after="60"/>
        <w:ind w:left="568" w:hanging="284"/>
        <w:rPr>
          <w:rFonts w:cs="Arial"/>
        </w:rPr>
      </w:pPr>
      <w:r>
        <w:rPr>
          <w:rFonts w:cs="Arial"/>
        </w:rPr>
        <w:t>μηδενισμός του φόρου γ</w:t>
      </w:r>
      <w:r w:rsidRPr="00B56307">
        <w:rPr>
          <w:rFonts w:cs="Arial"/>
        </w:rPr>
        <w:t xml:space="preserve">ια </w:t>
      </w:r>
      <w:r>
        <w:rPr>
          <w:rFonts w:cs="Arial"/>
        </w:rPr>
        <w:t xml:space="preserve">εισοδήματα </w:t>
      </w:r>
      <w:r w:rsidRPr="00B56307">
        <w:rPr>
          <w:rFonts w:cs="Arial"/>
        </w:rPr>
        <w:t xml:space="preserve">έως 20.000 ευρώ </w:t>
      </w:r>
      <w:r>
        <w:rPr>
          <w:rFonts w:cs="Arial"/>
        </w:rPr>
        <w:t>των νέων ηλικίας</w:t>
      </w:r>
      <w:r w:rsidRPr="00B56307">
        <w:rPr>
          <w:rFonts w:cs="Arial"/>
        </w:rPr>
        <w:t xml:space="preserve"> έως 25 ετών</w:t>
      </w:r>
      <w:r>
        <w:rPr>
          <w:rFonts w:cs="Arial"/>
        </w:rPr>
        <w:t xml:space="preserve"> και</w:t>
      </w:r>
    </w:p>
    <w:p w14:paraId="24B78A56" w14:textId="77777777" w:rsidR="00C63DEA" w:rsidRPr="00B56307" w:rsidRDefault="00C63DEA" w:rsidP="00EC630C">
      <w:pPr>
        <w:numPr>
          <w:ilvl w:val="0"/>
          <w:numId w:val="12"/>
        </w:numPr>
        <w:spacing w:before="60"/>
        <w:ind w:left="568" w:hanging="284"/>
      </w:pPr>
      <w:r>
        <w:t>διαμόρφωση σε</w:t>
      </w:r>
      <w:r w:rsidRPr="00B56307">
        <w:t xml:space="preserve"> 9%</w:t>
      </w:r>
      <w:r>
        <w:t xml:space="preserve"> του συντελεστή</w:t>
      </w:r>
      <w:r w:rsidRPr="00B56307">
        <w:t xml:space="preserve"> για εισόδημα από 10.000 έως 20.000 ευρώ </w:t>
      </w:r>
      <w:r>
        <w:t>των νέων</w:t>
      </w:r>
      <w:r w:rsidRPr="00B56307">
        <w:t xml:space="preserve"> </w:t>
      </w:r>
      <w:r>
        <w:t xml:space="preserve">ηλικίας από </w:t>
      </w:r>
      <w:r w:rsidRPr="00B56307">
        <w:t>26 έως 30 ετών</w:t>
      </w:r>
      <w:r>
        <w:t>.</w:t>
      </w:r>
    </w:p>
    <w:p w14:paraId="3042B9B1" w14:textId="2A45FBEB" w:rsidR="00C63DEA" w:rsidRPr="002A1C73" w:rsidRDefault="00C63DEA" w:rsidP="00C63DEA">
      <w:r w:rsidRPr="002A1C73">
        <w:t>Το δημοσιονομικό κόστος της μεταρρύθμισης</w:t>
      </w:r>
      <w:r w:rsidR="00106D9D">
        <w:t xml:space="preserve">, η οποία αναμένεται να </w:t>
      </w:r>
      <w:r w:rsidR="00106D9D" w:rsidRPr="002A1C73">
        <w:t>ωφελήσει περίπου 4 εκατομμύρια φορολογούμενους</w:t>
      </w:r>
      <w:r w:rsidR="00106D9D">
        <w:t>,</w:t>
      </w:r>
      <w:r w:rsidR="00106D9D" w:rsidRPr="002A1C73">
        <w:t xml:space="preserve"> </w:t>
      </w:r>
      <w:r w:rsidRPr="002A1C73">
        <w:t>εκτιμάται σε 1,2 δισ. ευρώ για το 2026</w:t>
      </w:r>
      <w:r>
        <w:t xml:space="preserve"> και σε 1,6 δισ. ευρώ για το 2027</w:t>
      </w:r>
      <w:r w:rsidRPr="002A1C73">
        <w:t>.</w:t>
      </w:r>
    </w:p>
    <w:p w14:paraId="52E0A4FA" w14:textId="77777777" w:rsidR="00E51004" w:rsidRPr="004C63D4" w:rsidRDefault="00E51004" w:rsidP="00E51004">
      <w:pPr>
        <w:pStyle w:val="5"/>
        <w:keepNext w:val="0"/>
        <w:numPr>
          <w:ilvl w:val="0"/>
          <w:numId w:val="0"/>
        </w:numPr>
      </w:pPr>
      <w:bookmarkStart w:id="450" w:name="_Toc209798256"/>
      <w:bookmarkStart w:id="451" w:name="_Toc210055423"/>
      <w:bookmarkStart w:id="452" w:name="_Toc210059719"/>
      <w:bookmarkStart w:id="453" w:name="_Toc210218230"/>
      <w:bookmarkStart w:id="454" w:name="_Toc210394914"/>
      <w:bookmarkStart w:id="455" w:name="_Toc210494444"/>
      <w:bookmarkStart w:id="456" w:name="_Toc210570636"/>
      <w:bookmarkStart w:id="457" w:name="_Toc210570681"/>
      <w:bookmarkStart w:id="458" w:name="_Toc213068743"/>
      <w:bookmarkStart w:id="459" w:name="_Toc213068910"/>
      <w:bookmarkStart w:id="460" w:name="_Toc213072172"/>
      <w:bookmarkStart w:id="461" w:name="_Toc213075529"/>
      <w:bookmarkStart w:id="462" w:name="_Toc213321622"/>
      <w:bookmarkStart w:id="463" w:name="_Toc213350078"/>
      <w:bookmarkStart w:id="464" w:name="_Toc213416195"/>
      <w:bookmarkStart w:id="465" w:name="_Toc213427595"/>
      <w:bookmarkStart w:id="466" w:name="_Toc213681667"/>
      <w:bookmarkStart w:id="467" w:name="_Toc213774237"/>
      <w:bookmarkStart w:id="468" w:name="_Toc214125166"/>
      <w:bookmarkStart w:id="469" w:name="_Toc214379753"/>
      <w:bookmarkStart w:id="470" w:name="_Toc214387575"/>
      <w:bookmarkStart w:id="471" w:name="_Toc214448279"/>
      <w:bookmarkStart w:id="472" w:name="_Toc214473784"/>
      <w:r w:rsidRPr="004C63D4">
        <w:t>Αυξήσεις αποδοχών συνταξιούχων</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0F25E723" w14:textId="77777777" w:rsidR="00E51004" w:rsidRPr="00A0451B" w:rsidRDefault="00E51004" w:rsidP="00E51004">
      <w:r>
        <w:t>Κατά τη διάρκεια του 2025 εφαρμόστηκαν τα ακόλουθα μέτρα</w:t>
      </w:r>
      <w:r w:rsidRPr="00A0451B">
        <w:t>:</w:t>
      </w:r>
    </w:p>
    <w:p w14:paraId="3C20D4CD" w14:textId="77777777" w:rsidR="00E51004" w:rsidRPr="00A0451B" w:rsidRDefault="00E51004" w:rsidP="00E51004">
      <w:pPr>
        <w:numPr>
          <w:ilvl w:val="0"/>
          <w:numId w:val="1"/>
        </w:numPr>
        <w:spacing w:before="120" w:after="60"/>
        <w:ind w:left="568" w:hanging="284"/>
        <w:rPr>
          <w:rFonts w:cs="Arial"/>
        </w:rPr>
      </w:pPr>
      <w:r>
        <w:rPr>
          <w:rFonts w:cs="Arial"/>
        </w:rPr>
        <w:t xml:space="preserve">αύξηση των </w:t>
      </w:r>
      <w:r w:rsidRPr="00A0451B">
        <w:rPr>
          <w:rFonts w:cs="Arial"/>
        </w:rPr>
        <w:t>συντάξε</w:t>
      </w:r>
      <w:r>
        <w:rPr>
          <w:rFonts w:cs="Arial"/>
        </w:rPr>
        <w:t>ων</w:t>
      </w:r>
      <w:r w:rsidRPr="00A0451B">
        <w:rPr>
          <w:rFonts w:cs="Arial"/>
        </w:rPr>
        <w:t xml:space="preserve"> με βάση τον πληθωρισμό και το ΑΕΠ κατά 2,4%</w:t>
      </w:r>
      <w:r>
        <w:rPr>
          <w:rFonts w:cs="Arial"/>
        </w:rPr>
        <w:t>, με δημοσιονομικό κόστος 474 εκατ.</w:t>
      </w:r>
      <w:r w:rsidRPr="00A0451B">
        <w:rPr>
          <w:rFonts w:cs="Arial"/>
        </w:rPr>
        <w:t xml:space="preserve"> ευρώ</w:t>
      </w:r>
      <w:r>
        <w:rPr>
          <w:rFonts w:cs="Arial"/>
        </w:rPr>
        <w:t>,</w:t>
      </w:r>
    </w:p>
    <w:p w14:paraId="529080F5" w14:textId="2CB27DF0" w:rsidR="00E51004" w:rsidRPr="00D15FEA" w:rsidRDefault="00E51004" w:rsidP="00E51004">
      <w:pPr>
        <w:numPr>
          <w:ilvl w:val="0"/>
          <w:numId w:val="1"/>
        </w:numPr>
        <w:spacing w:before="60" w:after="60"/>
        <w:ind w:left="568" w:hanging="284"/>
        <w:rPr>
          <w:rFonts w:cs="Arial"/>
        </w:rPr>
      </w:pPr>
      <w:r>
        <w:rPr>
          <w:rFonts w:cs="Arial"/>
        </w:rPr>
        <w:t xml:space="preserve">ετήσια αναπροσαρμογή των ορίων </w:t>
      </w:r>
      <w:r w:rsidRPr="00D15FEA">
        <w:rPr>
          <w:rFonts w:cs="Arial"/>
        </w:rPr>
        <w:t>της Εισφοράς Αλληλεγγύης Συνταξιούχων, ώστε οι συνταξιούχοι που υπάγονται σε αυτή να λαμβάνουν το πλήρες ποσό της αύξησης της σύνταξης</w:t>
      </w:r>
      <w:r>
        <w:rPr>
          <w:rFonts w:cs="Arial"/>
        </w:rPr>
        <w:t>,</w:t>
      </w:r>
    </w:p>
    <w:p w14:paraId="0CB01198" w14:textId="77777777" w:rsidR="00E51004" w:rsidRPr="00D15FEA" w:rsidRDefault="00E51004" w:rsidP="00E51004">
      <w:pPr>
        <w:numPr>
          <w:ilvl w:val="0"/>
          <w:numId w:val="1"/>
        </w:numPr>
        <w:spacing w:before="60" w:after="60"/>
        <w:ind w:left="568" w:hanging="284"/>
        <w:rPr>
          <w:rFonts w:cs="Arial"/>
        </w:rPr>
      </w:pPr>
      <w:r>
        <w:rPr>
          <w:rFonts w:cs="Arial"/>
        </w:rPr>
        <w:t>επέκταση α</w:t>
      </w:r>
      <w:r w:rsidRPr="00D15FEA">
        <w:rPr>
          <w:rFonts w:cs="Arial"/>
        </w:rPr>
        <w:t xml:space="preserve">πό το 2025 </w:t>
      </w:r>
      <w:r>
        <w:rPr>
          <w:rFonts w:cs="Arial"/>
        </w:rPr>
        <w:t>τ</w:t>
      </w:r>
      <w:r w:rsidRPr="00D15FEA">
        <w:rPr>
          <w:rFonts w:cs="Arial"/>
        </w:rPr>
        <w:t>η</w:t>
      </w:r>
      <w:r>
        <w:rPr>
          <w:rFonts w:cs="Arial"/>
        </w:rPr>
        <w:t>ς</w:t>
      </w:r>
      <w:r w:rsidRPr="00D15FEA">
        <w:rPr>
          <w:rFonts w:cs="Arial"/>
        </w:rPr>
        <w:t xml:space="preserve"> απαλλαγή</w:t>
      </w:r>
      <w:r>
        <w:rPr>
          <w:rFonts w:cs="Arial"/>
        </w:rPr>
        <w:t>ς από τη</w:t>
      </w:r>
      <w:r w:rsidRPr="00D15FEA">
        <w:rPr>
          <w:rFonts w:cs="Arial"/>
        </w:rPr>
        <w:t xml:space="preserve"> φαρμακευτική δαπάνη</w:t>
      </w:r>
      <w:r>
        <w:rPr>
          <w:rFonts w:cs="Arial"/>
        </w:rPr>
        <w:t xml:space="preserve"> στ</w:t>
      </w:r>
      <w:r w:rsidRPr="00D15FEA">
        <w:rPr>
          <w:rFonts w:cs="Arial"/>
        </w:rPr>
        <w:t>ους χαμηλοσυνταξιούχους</w:t>
      </w:r>
      <w:r>
        <w:rPr>
          <w:rFonts w:cs="Arial"/>
        </w:rPr>
        <w:t xml:space="preserve"> και</w:t>
      </w:r>
    </w:p>
    <w:p w14:paraId="599FBED9" w14:textId="77777777" w:rsidR="00E51004" w:rsidRPr="00B527A1" w:rsidRDefault="00E51004" w:rsidP="00E51004">
      <w:pPr>
        <w:numPr>
          <w:ilvl w:val="0"/>
          <w:numId w:val="1"/>
        </w:numPr>
        <w:spacing w:before="60" w:after="60"/>
        <w:ind w:left="568" w:hanging="284"/>
      </w:pPr>
      <w:r>
        <w:t>κ</w:t>
      </w:r>
      <w:r w:rsidRPr="00B527A1">
        <w:t>αθι</w:t>
      </w:r>
      <w:r>
        <w:t xml:space="preserve">έρωση </w:t>
      </w:r>
      <w:r w:rsidRPr="00B527A1">
        <w:t>κοινωνική</w:t>
      </w:r>
      <w:r>
        <w:t>ς</w:t>
      </w:r>
      <w:r w:rsidRPr="00B527A1">
        <w:t xml:space="preserve"> ενίσχυση</w:t>
      </w:r>
      <w:r>
        <w:t>ς ποσού</w:t>
      </w:r>
      <w:r w:rsidRPr="00B527A1">
        <w:t xml:space="preserve"> 250 ευρώ κάθε Νοέμβριο για συνταξιούχους άνω των 65 ετών με χαμηλά εισοδηματικά κριτήρια (14.000 ευρώ για άγαμους και 26.000 ευρώ για έγγαμους) καθώς και για ανασφάλιστους υπερήλικες και άτομα με αναπηρία, με ετήσιο κόστος 360 εκατ. ευρώ.</w:t>
      </w:r>
    </w:p>
    <w:p w14:paraId="6069615F" w14:textId="77777777" w:rsidR="00E51004" w:rsidRPr="00B527A1" w:rsidRDefault="00E51004" w:rsidP="00E51004">
      <w:r w:rsidRPr="00B527A1">
        <w:t>Τα νέα μέτρα για τους συνταξιούχους, πέρα</w:t>
      </w:r>
      <w:r>
        <w:t>ν</w:t>
      </w:r>
      <w:r w:rsidRPr="00B527A1">
        <w:t xml:space="preserve"> </w:t>
      </w:r>
      <w:r>
        <w:t xml:space="preserve">των ωφελειών </w:t>
      </w:r>
      <w:r w:rsidRPr="00B527A1">
        <w:t>της φορολογικής μεταρρύθμισης και τη</w:t>
      </w:r>
      <w:r>
        <w:t>ς</w:t>
      </w:r>
      <w:r w:rsidRPr="00B527A1">
        <w:t xml:space="preserve"> ενίσχυση</w:t>
      </w:r>
      <w:r>
        <w:t>ς</w:t>
      </w:r>
      <w:r w:rsidRPr="00B527A1">
        <w:t xml:space="preserve"> του Νοεμβρίου, </w:t>
      </w:r>
      <w:r>
        <w:t xml:space="preserve">τα οποία </w:t>
      </w:r>
      <w:r w:rsidRPr="00B527A1">
        <w:t>θα εφαρμοστούν από το 2026</w:t>
      </w:r>
      <w:r>
        <w:t>,</w:t>
      </w:r>
      <w:r w:rsidRPr="00B527A1">
        <w:t xml:space="preserve"> είναι τα εξής:</w:t>
      </w:r>
    </w:p>
    <w:p w14:paraId="45C971D9" w14:textId="77777777" w:rsidR="00E51004" w:rsidRPr="00A0451B" w:rsidRDefault="00E51004" w:rsidP="00E51004">
      <w:pPr>
        <w:numPr>
          <w:ilvl w:val="0"/>
          <w:numId w:val="1"/>
        </w:numPr>
        <w:spacing w:before="120" w:after="60"/>
        <w:ind w:left="568" w:hanging="284"/>
        <w:rPr>
          <w:rFonts w:cs="Arial"/>
        </w:rPr>
      </w:pPr>
      <w:r w:rsidRPr="00A0451B">
        <w:rPr>
          <w:rFonts w:cs="Arial"/>
        </w:rPr>
        <w:t>περαιτέρω αύξηση των συντάξεων</w:t>
      </w:r>
      <w:r>
        <w:rPr>
          <w:rFonts w:cs="Arial"/>
        </w:rPr>
        <w:t xml:space="preserve"> </w:t>
      </w:r>
      <w:r w:rsidRPr="00A0451B">
        <w:rPr>
          <w:rFonts w:cs="Arial"/>
        </w:rPr>
        <w:t>με βάση τον πληθωρισμό και το ΑΕΠ</w:t>
      </w:r>
      <w:r>
        <w:rPr>
          <w:rFonts w:cs="Arial"/>
        </w:rPr>
        <w:t>,</w:t>
      </w:r>
    </w:p>
    <w:p w14:paraId="5C2160BB" w14:textId="77777777" w:rsidR="00E51004" w:rsidRPr="00D15FEA" w:rsidRDefault="00E51004" w:rsidP="00E51004">
      <w:pPr>
        <w:numPr>
          <w:ilvl w:val="0"/>
          <w:numId w:val="1"/>
        </w:numPr>
        <w:spacing w:before="60" w:after="60"/>
        <w:ind w:left="568" w:hanging="284"/>
        <w:rPr>
          <w:rFonts w:cs="Arial"/>
        </w:rPr>
      </w:pPr>
      <w:r>
        <w:rPr>
          <w:rFonts w:cs="Arial"/>
        </w:rPr>
        <w:t>μη συν</w:t>
      </w:r>
      <w:r w:rsidRPr="00D15FEA">
        <w:rPr>
          <w:rFonts w:cs="Arial"/>
        </w:rPr>
        <w:t xml:space="preserve">υπολογισμός </w:t>
      </w:r>
      <w:r>
        <w:rPr>
          <w:rFonts w:cs="Arial"/>
        </w:rPr>
        <w:t xml:space="preserve">της προσαύξησης της σύνταξης των εργαζόμενων συνταξιούχων λόγω </w:t>
      </w:r>
      <w:r w:rsidRPr="00D15FEA">
        <w:rPr>
          <w:rFonts w:cs="Arial"/>
        </w:rPr>
        <w:t xml:space="preserve">της εργασίας </w:t>
      </w:r>
      <w:r>
        <w:rPr>
          <w:rFonts w:cs="Arial"/>
        </w:rPr>
        <w:t xml:space="preserve">τους κατά τον υπολογισμό της </w:t>
      </w:r>
      <w:r w:rsidRPr="00D15FEA">
        <w:rPr>
          <w:rFonts w:cs="Arial"/>
        </w:rPr>
        <w:t xml:space="preserve">ΕΑΣ </w:t>
      </w:r>
      <w:r>
        <w:rPr>
          <w:rFonts w:cs="Arial"/>
        </w:rPr>
        <w:t>και</w:t>
      </w:r>
    </w:p>
    <w:p w14:paraId="0788CA0B" w14:textId="77777777" w:rsidR="00E51004" w:rsidRPr="00B527A1" w:rsidRDefault="00E51004" w:rsidP="00EC630C">
      <w:pPr>
        <w:numPr>
          <w:ilvl w:val="0"/>
          <w:numId w:val="12"/>
        </w:numPr>
        <w:spacing w:before="60"/>
        <w:ind w:left="568" w:hanging="284"/>
      </w:pPr>
      <w:r>
        <w:t xml:space="preserve">μη συμψηφισμός του </w:t>
      </w:r>
      <w:r w:rsidRPr="00B527A1">
        <w:t>50% της αύξηση</w:t>
      </w:r>
      <w:r>
        <w:t>ς της σύνταξης με την προσωπική διαφορά από τον Ιανουάριο 2026, πλήρης δε κατάργηση του συμψηφισμού από τον Ιανουάριο 2027</w:t>
      </w:r>
      <w:r w:rsidRPr="00B527A1">
        <w:t>. Το μέτρο αυτό εκτιμάται ότι θα ωφελήσει άμεσα περίπου 671.000 συνταξιούχους.</w:t>
      </w:r>
    </w:p>
    <w:p w14:paraId="25BBAEE3" w14:textId="77777777" w:rsidR="00E51004" w:rsidRPr="00B527A1" w:rsidRDefault="00E51004" w:rsidP="00E51004">
      <w:r w:rsidRPr="00B527A1">
        <w:t xml:space="preserve">Το συνολικό κόστος </w:t>
      </w:r>
      <w:r>
        <w:t>της αύξησης των συντάξεων βάσει πληθωρισμού και ΑΕΠ και λαμβανομένου υπόψη του μη συμψηφισμού με την προσωπική διαφορά, εκτιμάται για το 2026 σε 629 εκατ. ευρώ</w:t>
      </w:r>
      <w:r w:rsidRPr="00B527A1">
        <w:t>.</w:t>
      </w:r>
    </w:p>
    <w:p w14:paraId="7F9DC76B" w14:textId="77777777" w:rsidR="00E51004" w:rsidRPr="00AA1054" w:rsidRDefault="00E51004" w:rsidP="00E51004">
      <w:pPr>
        <w:pStyle w:val="5"/>
        <w:keepNext w:val="0"/>
        <w:numPr>
          <w:ilvl w:val="0"/>
          <w:numId w:val="0"/>
        </w:numPr>
      </w:pPr>
      <w:bookmarkStart w:id="473" w:name="_Toc209798257"/>
      <w:bookmarkStart w:id="474" w:name="_Toc210055424"/>
      <w:bookmarkStart w:id="475" w:name="_Toc210059720"/>
      <w:bookmarkStart w:id="476" w:name="_Toc210218231"/>
      <w:bookmarkStart w:id="477" w:name="_Toc210394915"/>
      <w:bookmarkStart w:id="478" w:name="_Toc210494445"/>
      <w:bookmarkStart w:id="479" w:name="_Toc210570637"/>
      <w:bookmarkStart w:id="480" w:name="_Toc210570682"/>
      <w:bookmarkStart w:id="481" w:name="_Toc213068744"/>
      <w:bookmarkStart w:id="482" w:name="_Toc213068911"/>
      <w:bookmarkStart w:id="483" w:name="_Toc213072173"/>
      <w:bookmarkStart w:id="484" w:name="_Toc213075530"/>
      <w:bookmarkStart w:id="485" w:name="_Toc213321623"/>
      <w:bookmarkStart w:id="486" w:name="_Toc213350079"/>
      <w:bookmarkStart w:id="487" w:name="_Toc213416196"/>
      <w:bookmarkStart w:id="488" w:name="_Toc213427596"/>
      <w:bookmarkStart w:id="489" w:name="_Toc213681668"/>
      <w:bookmarkStart w:id="490" w:name="_Toc213774238"/>
      <w:bookmarkStart w:id="491" w:name="_Toc214125167"/>
      <w:bookmarkStart w:id="492" w:name="_Toc214379754"/>
      <w:bookmarkStart w:id="493" w:name="_Toc214387576"/>
      <w:bookmarkStart w:id="494" w:name="_Toc214448280"/>
      <w:bookmarkStart w:id="495" w:name="_Toc214473785"/>
      <w:r w:rsidRPr="00AA1054">
        <w:t>Αυξήσεις αποδοχών δημόσιων υπαλλήλων</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62F83E1E" w14:textId="77777777" w:rsidR="00E51004" w:rsidRPr="00A0451B" w:rsidRDefault="00E51004" w:rsidP="00E51004">
      <w:r>
        <w:t>Κατά τη διάρκεια του 2025 εφαρμόστηκαν τα ακόλουθα μέτρα</w:t>
      </w:r>
      <w:r w:rsidRPr="00A0451B">
        <w:t>:</w:t>
      </w:r>
    </w:p>
    <w:p w14:paraId="6873F49D" w14:textId="77777777" w:rsidR="00E51004" w:rsidRPr="006214BC" w:rsidRDefault="00E51004" w:rsidP="00E51004">
      <w:pPr>
        <w:numPr>
          <w:ilvl w:val="0"/>
          <w:numId w:val="1"/>
        </w:numPr>
        <w:spacing w:before="120" w:after="60"/>
        <w:ind w:left="568" w:hanging="284"/>
      </w:pPr>
      <w:r>
        <w:lastRenderedPageBreak/>
        <w:t>θ</w:t>
      </w:r>
      <w:r w:rsidRPr="006214BC">
        <w:t>εσμοθέτηση κανόνα ετήσιας οριζόντιας αύξησης των μισθών ανάλογα με την αύξηση του κατώτατου μισθού</w:t>
      </w:r>
      <w:r>
        <w:t>,</w:t>
      </w:r>
      <w:r w:rsidRPr="006214BC">
        <w:t xml:space="preserve"> με </w:t>
      </w:r>
      <w:r>
        <w:t xml:space="preserve">το </w:t>
      </w:r>
      <w:r w:rsidRPr="006214BC">
        <w:t xml:space="preserve">δημοσιονομικό κόστος για το 2025 </w:t>
      </w:r>
      <w:r>
        <w:t xml:space="preserve">να ανέρχεται στο ποσό των </w:t>
      </w:r>
      <w:r w:rsidRPr="006214BC">
        <w:t>215 εκατ. ευρώ</w:t>
      </w:r>
      <w:r>
        <w:t>,</w:t>
      </w:r>
    </w:p>
    <w:p w14:paraId="437C2492" w14:textId="75E96979" w:rsidR="00E51004" w:rsidRPr="0082513E" w:rsidRDefault="00E51004" w:rsidP="00E51004">
      <w:pPr>
        <w:numPr>
          <w:ilvl w:val="0"/>
          <w:numId w:val="1"/>
        </w:numPr>
        <w:spacing w:before="60" w:after="60"/>
        <w:ind w:left="568" w:hanging="284"/>
        <w:rPr>
          <w:rFonts w:cs="Arial"/>
        </w:rPr>
      </w:pPr>
      <w:r>
        <w:rPr>
          <w:rFonts w:cs="Arial"/>
        </w:rPr>
        <w:t>α</w:t>
      </w:r>
      <w:r w:rsidRPr="0082513E">
        <w:rPr>
          <w:rFonts w:cs="Arial"/>
        </w:rPr>
        <w:t xml:space="preserve">υτοτελής φορολόγηση της αποζημίωσης των εφημεριών των ιατρών του </w:t>
      </w:r>
      <w:r>
        <w:rPr>
          <w:rFonts w:cs="Arial"/>
        </w:rPr>
        <w:t>ΕΣΥ</w:t>
      </w:r>
      <w:r w:rsidRPr="0082513E">
        <w:rPr>
          <w:rFonts w:cs="Arial"/>
        </w:rPr>
        <w:t>, με κόστος 40 εκατ. ευρώ</w:t>
      </w:r>
      <w:r>
        <w:rPr>
          <w:rFonts w:cs="Arial"/>
        </w:rPr>
        <w:t>,</w:t>
      </w:r>
    </w:p>
    <w:p w14:paraId="0C93C058" w14:textId="77777777" w:rsidR="00E51004" w:rsidRPr="0082513E" w:rsidRDefault="00E51004" w:rsidP="00E51004">
      <w:pPr>
        <w:numPr>
          <w:ilvl w:val="0"/>
          <w:numId w:val="1"/>
        </w:numPr>
        <w:spacing w:before="60" w:after="60"/>
        <w:ind w:left="568" w:hanging="284"/>
        <w:rPr>
          <w:rFonts w:cs="Arial"/>
        </w:rPr>
      </w:pPr>
      <w:r>
        <w:rPr>
          <w:rFonts w:cs="Arial"/>
        </w:rPr>
        <w:t>μ</w:t>
      </w:r>
      <w:r w:rsidRPr="0082513E">
        <w:rPr>
          <w:rFonts w:cs="Arial"/>
        </w:rPr>
        <w:t xml:space="preserve">είωση των ασφαλιστικών εισφορών κατά μία (1) μονάδα και στο </w:t>
      </w:r>
      <w:r>
        <w:rPr>
          <w:rFonts w:cs="Arial"/>
        </w:rPr>
        <w:t>Δ</w:t>
      </w:r>
      <w:r w:rsidRPr="0082513E">
        <w:rPr>
          <w:rFonts w:cs="Arial"/>
        </w:rPr>
        <w:t>ημόσιο</w:t>
      </w:r>
      <w:r>
        <w:rPr>
          <w:rFonts w:cs="Arial"/>
        </w:rPr>
        <w:t>,</w:t>
      </w:r>
      <w:r w:rsidRPr="0082513E">
        <w:rPr>
          <w:rFonts w:cs="Arial"/>
        </w:rPr>
        <w:t xml:space="preserve"> με κόστος 83 εκατ. ευρώ</w:t>
      </w:r>
      <w:r>
        <w:rPr>
          <w:rFonts w:cs="Arial"/>
        </w:rPr>
        <w:t>,</w:t>
      </w:r>
    </w:p>
    <w:p w14:paraId="1B46B880" w14:textId="77777777" w:rsidR="00E51004" w:rsidRPr="0082513E" w:rsidRDefault="00E51004" w:rsidP="00E51004">
      <w:pPr>
        <w:numPr>
          <w:ilvl w:val="0"/>
          <w:numId w:val="1"/>
        </w:numPr>
        <w:spacing w:before="60" w:after="60"/>
        <w:ind w:left="568" w:hanging="284"/>
        <w:rPr>
          <w:rFonts w:cs="Arial"/>
        </w:rPr>
      </w:pPr>
      <w:r>
        <w:rPr>
          <w:rFonts w:cs="Arial"/>
        </w:rPr>
        <w:t>μ</w:t>
      </w:r>
      <w:r w:rsidRPr="0082513E">
        <w:rPr>
          <w:rFonts w:cs="Arial"/>
        </w:rPr>
        <w:t>ερικός ή πλήρης μη συμψηφισμός της προσωπικής διαφοράς στη μισθολογική εξέλιξη των δημ</w:t>
      </w:r>
      <w:r>
        <w:rPr>
          <w:rFonts w:cs="Arial"/>
        </w:rPr>
        <w:t>όσιων</w:t>
      </w:r>
      <w:r w:rsidRPr="0082513E">
        <w:rPr>
          <w:rFonts w:cs="Arial"/>
        </w:rPr>
        <w:t xml:space="preserve"> υπαλλήλων</w:t>
      </w:r>
      <w:r>
        <w:rPr>
          <w:rFonts w:cs="Arial"/>
        </w:rPr>
        <w:t>,</w:t>
      </w:r>
      <w:r w:rsidRPr="0082513E">
        <w:rPr>
          <w:rFonts w:cs="Arial"/>
        </w:rPr>
        <w:t xml:space="preserve"> με ετήσιο κόστος 12 εκατ. ευρώ προσαυξανόμενο κατά 5 εκατ. ευρώ ετησίως</w:t>
      </w:r>
      <w:r>
        <w:rPr>
          <w:rFonts w:cs="Arial"/>
        </w:rPr>
        <w:t>,</w:t>
      </w:r>
    </w:p>
    <w:p w14:paraId="0320D9C0" w14:textId="77777777" w:rsidR="00E51004" w:rsidRPr="0082513E" w:rsidRDefault="00E51004" w:rsidP="00E51004">
      <w:pPr>
        <w:numPr>
          <w:ilvl w:val="0"/>
          <w:numId w:val="1"/>
        </w:numPr>
        <w:spacing w:before="60" w:after="60"/>
        <w:ind w:left="568" w:hanging="284"/>
        <w:rPr>
          <w:rFonts w:cs="Arial"/>
        </w:rPr>
      </w:pPr>
      <w:r>
        <w:rPr>
          <w:rFonts w:cs="Arial"/>
        </w:rPr>
        <w:t>αύξηση του</w:t>
      </w:r>
      <w:r w:rsidRPr="0082513E">
        <w:rPr>
          <w:rFonts w:cs="Arial"/>
        </w:rPr>
        <w:t xml:space="preserve"> κινήτρου επίτευξης στόχων</w:t>
      </w:r>
      <w:r>
        <w:rPr>
          <w:rFonts w:cs="Arial"/>
        </w:rPr>
        <w:t>,</w:t>
      </w:r>
      <w:r w:rsidRPr="0082513E">
        <w:rPr>
          <w:rFonts w:cs="Arial"/>
        </w:rPr>
        <w:t xml:space="preserve"> με ετήσιο κόστος 40 εκατ. ευρώ</w:t>
      </w:r>
      <w:r>
        <w:rPr>
          <w:rFonts w:cs="Arial"/>
        </w:rPr>
        <w:t>,</w:t>
      </w:r>
    </w:p>
    <w:p w14:paraId="1E4E46A9" w14:textId="77777777" w:rsidR="00E51004" w:rsidRPr="0082513E" w:rsidRDefault="00E51004" w:rsidP="00E51004">
      <w:pPr>
        <w:numPr>
          <w:ilvl w:val="0"/>
          <w:numId w:val="1"/>
        </w:numPr>
        <w:spacing w:before="60" w:after="60"/>
        <w:ind w:left="568" w:hanging="284"/>
        <w:rPr>
          <w:rFonts w:cs="Arial"/>
        </w:rPr>
      </w:pPr>
      <w:r>
        <w:rPr>
          <w:rFonts w:cs="Arial"/>
        </w:rPr>
        <w:t>α</w:t>
      </w:r>
      <w:r w:rsidRPr="0082513E">
        <w:rPr>
          <w:rFonts w:cs="Arial"/>
        </w:rPr>
        <w:t>ύξηση της νυχτερινής αποζημίωσης των ενστόλων</w:t>
      </w:r>
      <w:r>
        <w:rPr>
          <w:rFonts w:cs="Arial"/>
        </w:rPr>
        <w:t>,</w:t>
      </w:r>
      <w:r w:rsidRPr="0082513E">
        <w:rPr>
          <w:rFonts w:cs="Arial"/>
        </w:rPr>
        <w:t xml:space="preserve"> με ετήσιο κόστος 25 εκατ. ευρώ</w:t>
      </w:r>
      <w:r>
        <w:rPr>
          <w:rFonts w:cs="Arial"/>
        </w:rPr>
        <w:t xml:space="preserve"> και</w:t>
      </w:r>
    </w:p>
    <w:p w14:paraId="3BF985CF" w14:textId="77777777" w:rsidR="00E51004" w:rsidRPr="0082513E" w:rsidRDefault="00E51004" w:rsidP="00E51004">
      <w:pPr>
        <w:numPr>
          <w:ilvl w:val="0"/>
          <w:numId w:val="1"/>
        </w:numPr>
        <w:spacing w:before="60"/>
        <w:ind w:left="568" w:hanging="284"/>
        <w:rPr>
          <w:rFonts w:cs="Arial"/>
        </w:rPr>
      </w:pPr>
      <w:r w:rsidRPr="0082513E">
        <w:rPr>
          <w:rFonts w:cs="Arial"/>
        </w:rPr>
        <w:t>ενίσχυση των στελεχών των Ενόπλων Δυνάμεων και των Σωμάτων Ασφαλείας με το επίδομα ιδιαίτερων συνθηκών εργασίας και επικινδυνότητας ύψους 100 ευρώ μηνιαίως</w:t>
      </w:r>
      <w:r>
        <w:rPr>
          <w:rFonts w:cs="Arial"/>
        </w:rPr>
        <w:t>,</w:t>
      </w:r>
      <w:r w:rsidRPr="0082513E">
        <w:rPr>
          <w:rFonts w:cs="Arial"/>
        </w:rPr>
        <w:t xml:space="preserve"> με εκτιμώμενο συνολικό κόστος 111 εκατ. ευρώ για το 2025 και 222 εκατ. ευρώ για το 2026</w:t>
      </w:r>
      <w:r>
        <w:rPr>
          <w:rFonts w:cs="Arial"/>
        </w:rPr>
        <w:t>.</w:t>
      </w:r>
    </w:p>
    <w:p w14:paraId="6E8F1A75" w14:textId="7379F287" w:rsidR="00E51004" w:rsidRPr="0082513E" w:rsidRDefault="00E51004" w:rsidP="00E51004">
      <w:r>
        <w:t xml:space="preserve">Για το 2026, </w:t>
      </w:r>
      <w:r>
        <w:rPr>
          <w:rFonts w:cs="Arial"/>
          <w:iCs/>
          <w:szCs w:val="20"/>
        </w:rPr>
        <w:t>πέραν των ωφελειών που θα έχουν οι δημόσιοι υπάλληλοι από τη φορολογική μεταρρύθμιση, εφαρμόζονται οι ακόλουθες παρεμβάσεις ύψους 6</w:t>
      </w:r>
      <w:r w:rsidR="003A458B">
        <w:rPr>
          <w:rFonts w:cs="Arial"/>
          <w:iCs/>
          <w:szCs w:val="20"/>
        </w:rPr>
        <w:t>20</w:t>
      </w:r>
      <w:r>
        <w:rPr>
          <w:rFonts w:cs="Arial"/>
          <w:iCs/>
          <w:szCs w:val="20"/>
        </w:rPr>
        <w:t xml:space="preserve"> εκατ. ευρώ</w:t>
      </w:r>
      <w:r w:rsidRPr="00444A9F">
        <w:rPr>
          <w:rFonts w:cs="Arial"/>
          <w:iCs/>
          <w:szCs w:val="20"/>
        </w:rPr>
        <w:t>:</w:t>
      </w:r>
    </w:p>
    <w:p w14:paraId="02F6E68E" w14:textId="77777777" w:rsidR="00E51004" w:rsidRPr="0082513E" w:rsidRDefault="00E51004" w:rsidP="00E51004">
      <w:pPr>
        <w:numPr>
          <w:ilvl w:val="0"/>
          <w:numId w:val="1"/>
        </w:numPr>
        <w:spacing w:before="120" w:after="60"/>
        <w:ind w:left="568" w:hanging="284"/>
        <w:rPr>
          <w:rFonts w:cs="Arial"/>
        </w:rPr>
      </w:pPr>
      <w:r>
        <w:rPr>
          <w:rFonts w:cs="Arial"/>
        </w:rPr>
        <w:t>ο</w:t>
      </w:r>
      <w:r w:rsidRPr="0082513E">
        <w:rPr>
          <w:rFonts w:cs="Arial"/>
        </w:rPr>
        <w:t>ριζόντια αύξηση των μισθών από τον Απρίλιο 2026, ανάλογα με την αύξηση του κατώτατου μισθού</w:t>
      </w:r>
      <w:r>
        <w:rPr>
          <w:rFonts w:cs="Arial"/>
        </w:rPr>
        <w:t xml:space="preserve">, με εκτιμώμενο κόστος </w:t>
      </w:r>
      <w:r w:rsidRPr="0082513E">
        <w:rPr>
          <w:rFonts w:cs="Arial"/>
        </w:rPr>
        <w:t>358 εκατ. ευρώ</w:t>
      </w:r>
      <w:r>
        <w:rPr>
          <w:rFonts w:cs="Arial"/>
        </w:rPr>
        <w:t xml:space="preserve"> </w:t>
      </w:r>
      <w:r w:rsidRPr="0082513E">
        <w:rPr>
          <w:rFonts w:cs="Arial"/>
        </w:rPr>
        <w:t>περίπου</w:t>
      </w:r>
      <w:r>
        <w:rPr>
          <w:rFonts w:cs="Arial"/>
        </w:rPr>
        <w:t>,</w:t>
      </w:r>
    </w:p>
    <w:p w14:paraId="54F7865D" w14:textId="77777777" w:rsidR="00E51004" w:rsidRPr="006214BC" w:rsidRDefault="00E51004" w:rsidP="00E51004">
      <w:pPr>
        <w:numPr>
          <w:ilvl w:val="0"/>
          <w:numId w:val="1"/>
        </w:numPr>
        <w:spacing w:before="60" w:after="60"/>
        <w:ind w:left="568" w:hanging="284"/>
        <w:rPr>
          <w:rFonts w:cs="Arial"/>
        </w:rPr>
      </w:pPr>
      <w:r>
        <w:rPr>
          <w:rFonts w:cs="Arial"/>
        </w:rPr>
        <w:t>α</w:t>
      </w:r>
      <w:r w:rsidRPr="006214BC">
        <w:rPr>
          <w:rFonts w:cs="Arial"/>
        </w:rPr>
        <w:t xml:space="preserve">ναμόρφωση </w:t>
      </w:r>
      <w:r>
        <w:rPr>
          <w:rFonts w:cs="Arial"/>
        </w:rPr>
        <w:t>του μ</w:t>
      </w:r>
      <w:r w:rsidRPr="006214BC">
        <w:rPr>
          <w:rFonts w:cs="Arial"/>
        </w:rPr>
        <w:t xml:space="preserve">ισθολογίου </w:t>
      </w:r>
      <w:r>
        <w:rPr>
          <w:rFonts w:cs="Arial"/>
        </w:rPr>
        <w:t xml:space="preserve">των </w:t>
      </w:r>
      <w:r w:rsidRPr="006214BC">
        <w:rPr>
          <w:rFonts w:cs="Arial"/>
        </w:rPr>
        <w:t xml:space="preserve">Ενόπλων Δυνάμεων με αυξήσεις </w:t>
      </w:r>
      <w:r>
        <w:rPr>
          <w:rFonts w:cs="Arial"/>
        </w:rPr>
        <w:t xml:space="preserve">εφαρμοζόμενες </w:t>
      </w:r>
      <w:r w:rsidRPr="006214BC">
        <w:rPr>
          <w:rFonts w:cs="Arial"/>
        </w:rPr>
        <w:t xml:space="preserve">από τον Οκτώβριο 2025, </w:t>
      </w:r>
      <w:r>
        <w:rPr>
          <w:rFonts w:cs="Arial"/>
        </w:rPr>
        <w:t xml:space="preserve">ετήσιου </w:t>
      </w:r>
      <w:r w:rsidRPr="006214BC">
        <w:rPr>
          <w:rFonts w:cs="Arial"/>
        </w:rPr>
        <w:t>κόστο</w:t>
      </w:r>
      <w:r>
        <w:rPr>
          <w:rFonts w:cs="Arial"/>
        </w:rPr>
        <w:t>υ</w:t>
      </w:r>
      <w:r w:rsidRPr="006214BC">
        <w:rPr>
          <w:rFonts w:cs="Arial"/>
        </w:rPr>
        <w:t>ς 162 εκατ. ευρώ</w:t>
      </w:r>
      <w:r>
        <w:rPr>
          <w:rFonts w:cs="Arial"/>
        </w:rPr>
        <w:t xml:space="preserve"> (καθαρού κόστους 85 εκατ. ευρώ μετά την αναδιάρθρωση της δομής των Ενόπλων Δυνάμεων)</w:t>
      </w:r>
      <w:r w:rsidRPr="006214BC">
        <w:rPr>
          <w:rFonts w:cs="Arial"/>
        </w:rPr>
        <w:t xml:space="preserve"> και των Σωμάτων Ασφαλείας (</w:t>
      </w:r>
      <w:r>
        <w:rPr>
          <w:rFonts w:cs="Arial"/>
        </w:rPr>
        <w:t>Ελληνική Α</w:t>
      </w:r>
      <w:r w:rsidRPr="006214BC">
        <w:rPr>
          <w:rFonts w:cs="Arial"/>
        </w:rPr>
        <w:t xml:space="preserve">στυνομία, </w:t>
      </w:r>
      <w:r>
        <w:rPr>
          <w:rFonts w:cs="Arial"/>
        </w:rPr>
        <w:t>Π</w:t>
      </w:r>
      <w:r w:rsidRPr="006214BC">
        <w:rPr>
          <w:rFonts w:cs="Arial"/>
        </w:rPr>
        <w:t>υροσβεστικ</w:t>
      </w:r>
      <w:r>
        <w:rPr>
          <w:rFonts w:cs="Arial"/>
        </w:rPr>
        <w:t>ό Σώμα, Λιμενικό Σώμα - Ελληνική Ακτοφυλακή</w:t>
      </w:r>
      <w:r w:rsidRPr="006214BC">
        <w:rPr>
          <w:rFonts w:cs="Arial"/>
        </w:rPr>
        <w:t>)</w:t>
      </w:r>
      <w:r>
        <w:rPr>
          <w:rFonts w:cs="Arial"/>
        </w:rPr>
        <w:t>,</w:t>
      </w:r>
      <w:r w:rsidRPr="006214BC">
        <w:rPr>
          <w:rFonts w:cs="Arial"/>
        </w:rPr>
        <w:t xml:space="preserve"> ετ</w:t>
      </w:r>
      <w:r>
        <w:rPr>
          <w:rFonts w:cs="Arial"/>
        </w:rPr>
        <w:t xml:space="preserve">ήσιου </w:t>
      </w:r>
      <w:r w:rsidRPr="006214BC">
        <w:rPr>
          <w:rFonts w:cs="Arial"/>
        </w:rPr>
        <w:t>κόστο</w:t>
      </w:r>
      <w:r>
        <w:rPr>
          <w:rFonts w:cs="Arial"/>
        </w:rPr>
        <w:t>υ</w:t>
      </w:r>
      <w:r w:rsidRPr="006214BC">
        <w:rPr>
          <w:rFonts w:cs="Arial"/>
        </w:rPr>
        <w:t>ς 127 εκατ. ευρώ</w:t>
      </w:r>
      <w:r>
        <w:rPr>
          <w:rFonts w:cs="Arial"/>
        </w:rPr>
        <w:t>,</w:t>
      </w:r>
    </w:p>
    <w:p w14:paraId="36EA8125" w14:textId="285A17B0" w:rsidR="00E51004" w:rsidRDefault="00E51004" w:rsidP="00E51004">
      <w:pPr>
        <w:numPr>
          <w:ilvl w:val="0"/>
          <w:numId w:val="1"/>
        </w:numPr>
        <w:spacing w:before="60" w:after="60"/>
        <w:ind w:left="568" w:hanging="284"/>
        <w:rPr>
          <w:rFonts w:cs="Arial"/>
        </w:rPr>
      </w:pPr>
      <w:r>
        <w:rPr>
          <w:rFonts w:cs="Arial"/>
        </w:rPr>
        <w:t>α</w:t>
      </w:r>
      <w:r w:rsidRPr="0082513E">
        <w:rPr>
          <w:rFonts w:cs="Arial"/>
        </w:rPr>
        <w:t>υξήσεις στην αποζημίωση</w:t>
      </w:r>
      <w:r>
        <w:rPr>
          <w:rFonts w:cs="Arial"/>
        </w:rPr>
        <w:t xml:space="preserve"> υπηρεσίας </w:t>
      </w:r>
      <w:r w:rsidRPr="0082513E">
        <w:rPr>
          <w:rFonts w:cs="Arial"/>
        </w:rPr>
        <w:t>αλλοδαπή</w:t>
      </w:r>
      <w:r>
        <w:rPr>
          <w:rFonts w:cs="Arial"/>
        </w:rPr>
        <w:t xml:space="preserve">ς, </w:t>
      </w:r>
      <w:r w:rsidRPr="0082513E">
        <w:rPr>
          <w:rFonts w:cs="Arial"/>
        </w:rPr>
        <w:t>στο επίδομα ειδικών καθηκόντων</w:t>
      </w:r>
      <w:r>
        <w:rPr>
          <w:rFonts w:cs="Arial"/>
        </w:rPr>
        <w:t xml:space="preserve"> και</w:t>
      </w:r>
      <w:r w:rsidRPr="0082513E">
        <w:rPr>
          <w:rFonts w:cs="Arial"/>
        </w:rPr>
        <w:t xml:space="preserve"> </w:t>
      </w:r>
      <w:r>
        <w:rPr>
          <w:rFonts w:cs="Arial"/>
        </w:rPr>
        <w:t>στις αποζημιώσεις για τα δίδακτρα φοίτησης των τέκνων τ</w:t>
      </w:r>
      <w:r w:rsidRPr="0082513E">
        <w:rPr>
          <w:rFonts w:cs="Arial"/>
        </w:rPr>
        <w:t>ου προσωπικού του Υπουργείου Εξωτερικών</w:t>
      </w:r>
      <w:r>
        <w:rPr>
          <w:rFonts w:cs="Arial"/>
        </w:rPr>
        <w:t>,</w:t>
      </w:r>
      <w:r w:rsidRPr="0082513E">
        <w:rPr>
          <w:rFonts w:cs="Arial"/>
        </w:rPr>
        <w:t xml:space="preserve"> με ετήσιο κόστος 30 εκατ. ευρώ</w:t>
      </w:r>
      <w:r>
        <w:rPr>
          <w:rFonts w:cs="Arial"/>
        </w:rPr>
        <w:t>,</w:t>
      </w:r>
    </w:p>
    <w:p w14:paraId="234B7682" w14:textId="2F200431" w:rsidR="003A458B" w:rsidRPr="003A458B" w:rsidRDefault="003A458B" w:rsidP="003A458B">
      <w:pPr>
        <w:numPr>
          <w:ilvl w:val="0"/>
          <w:numId w:val="1"/>
        </w:numPr>
        <w:spacing w:before="60" w:after="60"/>
        <w:ind w:left="568" w:hanging="284"/>
        <w:rPr>
          <w:rFonts w:cs="Arial"/>
        </w:rPr>
      </w:pPr>
      <w:r>
        <w:rPr>
          <w:rFonts w:cs="Arial"/>
        </w:rPr>
        <w:t xml:space="preserve">θέσπιση επιδόματος </w:t>
      </w:r>
      <w:r w:rsidRPr="00A52474">
        <w:rPr>
          <w:rFonts w:cs="Arial"/>
        </w:rPr>
        <w:t>ιδια</w:t>
      </w:r>
      <w:r w:rsidR="00106D9D">
        <w:rPr>
          <w:rFonts w:cs="Arial"/>
        </w:rPr>
        <w:t xml:space="preserve">ίτερων </w:t>
      </w:r>
      <w:r w:rsidRPr="00A52474">
        <w:rPr>
          <w:rFonts w:cs="Arial"/>
        </w:rPr>
        <w:t>καθηκόντων στο προσωπικό των σωφρονιστικών καταστημάτων</w:t>
      </w:r>
      <w:r>
        <w:rPr>
          <w:rFonts w:cs="Arial"/>
        </w:rPr>
        <w:t xml:space="preserve"> με αναδρομική ισχύ από τον Ιούλιο 2025, ετήσιο</w:t>
      </w:r>
      <w:r w:rsidR="00106D9D">
        <w:rPr>
          <w:rFonts w:cs="Arial"/>
        </w:rPr>
        <w:t>υ</w:t>
      </w:r>
      <w:r>
        <w:rPr>
          <w:rFonts w:cs="Arial"/>
        </w:rPr>
        <w:t xml:space="preserve"> κόστο</w:t>
      </w:r>
      <w:r w:rsidR="00106D9D">
        <w:rPr>
          <w:rFonts w:cs="Arial"/>
        </w:rPr>
        <w:t>υ</w:t>
      </w:r>
      <w:r>
        <w:rPr>
          <w:rFonts w:cs="Arial"/>
        </w:rPr>
        <w:t>ς 6 εκατ. ευρώ,</w:t>
      </w:r>
    </w:p>
    <w:p w14:paraId="5D692D60" w14:textId="77777777" w:rsidR="00E51004" w:rsidRPr="0082513E" w:rsidRDefault="00E51004" w:rsidP="00E51004">
      <w:pPr>
        <w:numPr>
          <w:ilvl w:val="0"/>
          <w:numId w:val="1"/>
        </w:numPr>
        <w:spacing w:before="60" w:after="60"/>
        <w:ind w:left="568" w:hanging="284"/>
        <w:rPr>
          <w:rFonts w:cs="Arial"/>
        </w:rPr>
      </w:pPr>
      <w:r>
        <w:rPr>
          <w:rFonts w:cs="Arial"/>
        </w:rPr>
        <w:t>μ</w:t>
      </w:r>
      <w:r w:rsidRPr="0082513E">
        <w:rPr>
          <w:rFonts w:cs="Arial"/>
        </w:rPr>
        <w:t>ισθολογική αναγνώριση (δύο μισθολογικά κλιμάκια) των αποφοίτων Πολυτεχνικών Σχολών και άλλων Πανεπιστημιακών Σχολών με πενταετή κύκλο σπουδών</w:t>
      </w:r>
      <w:r>
        <w:rPr>
          <w:rFonts w:cs="Arial"/>
        </w:rPr>
        <w:t xml:space="preserve">, κόστους </w:t>
      </w:r>
      <w:r w:rsidRPr="0082513E">
        <w:rPr>
          <w:rFonts w:cs="Arial"/>
        </w:rPr>
        <w:t>7 εκατ. ευρώ</w:t>
      </w:r>
      <w:r>
        <w:rPr>
          <w:rFonts w:cs="Arial"/>
        </w:rPr>
        <w:t xml:space="preserve"> και</w:t>
      </w:r>
    </w:p>
    <w:p w14:paraId="26FE99E9" w14:textId="1AB70007" w:rsidR="00E51004" w:rsidRPr="006214BC" w:rsidRDefault="00E51004" w:rsidP="00EC630C">
      <w:pPr>
        <w:numPr>
          <w:ilvl w:val="0"/>
          <w:numId w:val="12"/>
        </w:numPr>
        <w:spacing w:before="60"/>
        <w:ind w:left="568" w:hanging="284"/>
      </w:pPr>
      <w:r>
        <w:t>θ</w:t>
      </w:r>
      <w:r w:rsidRPr="006214BC">
        <w:t xml:space="preserve">έσπιση αφορολόγητου για το επίδομα βιβλιοθήκης των μελών ΔΕΠ και </w:t>
      </w:r>
      <w:r>
        <w:t xml:space="preserve">των </w:t>
      </w:r>
      <w:r w:rsidRPr="006214BC">
        <w:t>ερευνητών</w:t>
      </w:r>
      <w:r>
        <w:t>,</w:t>
      </w:r>
      <w:r w:rsidRPr="006214BC">
        <w:t xml:space="preserve"> με ετήσιο κόστος 6 εκατ. ευρώ</w:t>
      </w:r>
      <w:r>
        <w:t xml:space="preserve"> περίπου και αναγνώριση προϋπηρεσίας ερευνητών σε </w:t>
      </w:r>
      <w:r w:rsidR="00106D9D">
        <w:t>ΑΕΙ</w:t>
      </w:r>
      <w:r>
        <w:t xml:space="preserve"> και σε τεχνολογικούς φορείς, ανεξαρτήτως της σχέσης εργασίας.</w:t>
      </w:r>
    </w:p>
    <w:p w14:paraId="3A4293B5" w14:textId="77777777" w:rsidR="000F337D" w:rsidRPr="001B7D4C" w:rsidRDefault="000F337D" w:rsidP="000F337D">
      <w:pPr>
        <w:pStyle w:val="5"/>
        <w:keepNext w:val="0"/>
        <w:numPr>
          <w:ilvl w:val="0"/>
          <w:numId w:val="0"/>
        </w:numPr>
      </w:pPr>
      <w:bookmarkStart w:id="496" w:name="_Toc209798258"/>
      <w:bookmarkStart w:id="497" w:name="_Toc210055425"/>
      <w:bookmarkStart w:id="498" w:name="_Toc210059721"/>
      <w:bookmarkStart w:id="499" w:name="_Toc210218232"/>
      <w:bookmarkStart w:id="500" w:name="_Toc210394916"/>
      <w:bookmarkStart w:id="501" w:name="_Toc210494446"/>
      <w:bookmarkStart w:id="502" w:name="_Toc210570638"/>
      <w:bookmarkStart w:id="503" w:name="_Toc210570683"/>
      <w:bookmarkStart w:id="504" w:name="_Toc213068745"/>
      <w:bookmarkStart w:id="505" w:name="_Toc213068912"/>
      <w:bookmarkStart w:id="506" w:name="_Toc213072174"/>
      <w:bookmarkStart w:id="507" w:name="_Toc213075531"/>
      <w:bookmarkStart w:id="508" w:name="_Toc213321624"/>
      <w:bookmarkStart w:id="509" w:name="_Toc213350080"/>
      <w:bookmarkStart w:id="510" w:name="_Toc213416197"/>
      <w:bookmarkStart w:id="511" w:name="_Toc213427597"/>
      <w:bookmarkStart w:id="512" w:name="_Toc213681669"/>
      <w:bookmarkStart w:id="513" w:name="_Toc213774239"/>
      <w:bookmarkStart w:id="514" w:name="_Toc214125168"/>
      <w:bookmarkStart w:id="515" w:name="_Toc214379755"/>
      <w:bookmarkStart w:id="516" w:name="_Toc214387577"/>
      <w:bookmarkStart w:id="517" w:name="_Toc214448281"/>
      <w:bookmarkStart w:id="518" w:name="_Toc214473786"/>
      <w:r w:rsidRPr="001B7D4C">
        <w:t>Παρεμβάσεις για το στεγαστικό πρόβλημα</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14:paraId="27296670" w14:textId="77777777" w:rsidR="000F337D" w:rsidRPr="005856E3" w:rsidRDefault="000F337D" w:rsidP="000F337D">
      <w:r>
        <w:t>Το 2025 εφαρμόστηκαν τα κάτωθι μέτρα:</w:t>
      </w:r>
    </w:p>
    <w:p w14:paraId="7A4BAECD" w14:textId="098A4104" w:rsidR="000F337D" w:rsidRPr="005856E3" w:rsidRDefault="000F337D" w:rsidP="000F337D">
      <w:pPr>
        <w:numPr>
          <w:ilvl w:val="0"/>
          <w:numId w:val="1"/>
        </w:numPr>
        <w:spacing w:before="120" w:after="60"/>
        <w:ind w:left="568" w:hanging="284"/>
        <w:rPr>
          <w:rFonts w:cs="Arial"/>
        </w:rPr>
      </w:pPr>
      <w:r>
        <w:rPr>
          <w:rFonts w:cs="Arial"/>
        </w:rPr>
        <w:t>ν</w:t>
      </w:r>
      <w:r w:rsidRPr="005856E3">
        <w:rPr>
          <w:rFonts w:cs="Arial"/>
        </w:rPr>
        <w:t xml:space="preserve">έο πρόγραμμα </w:t>
      </w:r>
      <w:r>
        <w:rPr>
          <w:rFonts w:cs="Arial"/>
        </w:rPr>
        <w:t>«</w:t>
      </w:r>
      <w:r w:rsidRPr="005856E3">
        <w:rPr>
          <w:rFonts w:cs="Arial"/>
        </w:rPr>
        <w:t>Σ</w:t>
      </w:r>
      <w:r w:rsidR="00106D9D">
        <w:rPr>
          <w:rFonts w:cs="Arial"/>
        </w:rPr>
        <w:t>πίτι</w:t>
      </w:r>
      <w:r w:rsidRPr="005856E3">
        <w:rPr>
          <w:rFonts w:cs="Arial"/>
        </w:rPr>
        <w:t xml:space="preserve"> μου ΙΙ</w:t>
      </w:r>
      <w:r>
        <w:rPr>
          <w:rFonts w:cs="Arial"/>
        </w:rPr>
        <w:t>»</w:t>
      </w:r>
      <w:r w:rsidRPr="005856E3">
        <w:rPr>
          <w:rFonts w:cs="Arial"/>
        </w:rPr>
        <w:t>, συνολικ</w:t>
      </w:r>
      <w:r>
        <w:rPr>
          <w:rFonts w:cs="Arial"/>
        </w:rPr>
        <w:t>ού</w:t>
      </w:r>
      <w:r w:rsidRPr="005856E3">
        <w:rPr>
          <w:rFonts w:cs="Arial"/>
        </w:rPr>
        <w:t xml:space="preserve"> προϋπολογισμ</w:t>
      </w:r>
      <w:r>
        <w:rPr>
          <w:rFonts w:cs="Arial"/>
        </w:rPr>
        <w:t>ού</w:t>
      </w:r>
      <w:r w:rsidRPr="005856E3">
        <w:rPr>
          <w:rFonts w:cs="Arial"/>
        </w:rPr>
        <w:t xml:space="preserve"> 2 δισ. ευρώ</w:t>
      </w:r>
      <w:r>
        <w:rPr>
          <w:rFonts w:cs="Arial"/>
        </w:rPr>
        <w:t>,</w:t>
      </w:r>
      <w:r w:rsidRPr="005856E3">
        <w:rPr>
          <w:rFonts w:cs="Arial"/>
        </w:rPr>
        <w:t xml:space="preserve"> </w:t>
      </w:r>
      <w:r>
        <w:rPr>
          <w:rFonts w:cs="Arial"/>
        </w:rPr>
        <w:t xml:space="preserve">με </w:t>
      </w:r>
      <w:r w:rsidRPr="005856E3">
        <w:rPr>
          <w:rFonts w:cs="Arial"/>
        </w:rPr>
        <w:t>διευρυμένα ηλικιακά και εισοδηματικά κριτήρια</w:t>
      </w:r>
      <w:r>
        <w:rPr>
          <w:rFonts w:cs="Arial"/>
        </w:rPr>
        <w:t xml:space="preserve"> σε σχέση με το πρώτο πρόγραμμα</w:t>
      </w:r>
      <w:r w:rsidRPr="005856E3">
        <w:rPr>
          <w:rFonts w:cs="Arial"/>
        </w:rPr>
        <w:t xml:space="preserve"> </w:t>
      </w:r>
      <w:r>
        <w:rPr>
          <w:rFonts w:cs="Arial"/>
        </w:rPr>
        <w:t>«</w:t>
      </w:r>
      <w:r w:rsidRPr="005856E3">
        <w:rPr>
          <w:rFonts w:cs="Arial"/>
        </w:rPr>
        <w:t>Σ</w:t>
      </w:r>
      <w:r w:rsidR="00106D9D">
        <w:rPr>
          <w:rFonts w:cs="Arial"/>
        </w:rPr>
        <w:t>πίτι</w:t>
      </w:r>
      <w:r w:rsidRPr="005856E3">
        <w:rPr>
          <w:rFonts w:cs="Arial"/>
        </w:rPr>
        <w:t xml:space="preserve"> μου</w:t>
      </w:r>
      <w:r>
        <w:rPr>
          <w:rFonts w:cs="Arial"/>
        </w:rPr>
        <w:t>»,</w:t>
      </w:r>
    </w:p>
    <w:p w14:paraId="447DDFB0" w14:textId="77777777" w:rsidR="000F337D" w:rsidRPr="005856E3" w:rsidRDefault="000F337D" w:rsidP="000F337D">
      <w:pPr>
        <w:numPr>
          <w:ilvl w:val="0"/>
          <w:numId w:val="1"/>
        </w:numPr>
        <w:spacing w:before="60" w:after="60"/>
        <w:ind w:left="568" w:hanging="284"/>
        <w:rPr>
          <w:rFonts w:cs="Arial"/>
        </w:rPr>
      </w:pPr>
      <w:r>
        <w:rPr>
          <w:rFonts w:cs="Arial"/>
        </w:rPr>
        <w:t>α</w:t>
      </w:r>
      <w:r w:rsidRPr="005856E3">
        <w:rPr>
          <w:rFonts w:cs="Arial"/>
        </w:rPr>
        <w:t xml:space="preserve">παλλαγή </w:t>
      </w:r>
      <w:r>
        <w:rPr>
          <w:rFonts w:cs="Arial"/>
        </w:rPr>
        <w:t xml:space="preserve">από τον </w:t>
      </w:r>
      <w:r w:rsidRPr="005856E3">
        <w:rPr>
          <w:rFonts w:cs="Arial"/>
        </w:rPr>
        <w:t xml:space="preserve">φόρο εισοδήματος για 3 έτη σε ιδιοκτήτες </w:t>
      </w:r>
      <w:r>
        <w:rPr>
          <w:rFonts w:cs="Arial"/>
        </w:rPr>
        <w:t xml:space="preserve">οι οποίοι </w:t>
      </w:r>
      <w:r w:rsidRPr="005856E3">
        <w:rPr>
          <w:rFonts w:cs="Arial"/>
        </w:rPr>
        <w:t xml:space="preserve">από </w:t>
      </w:r>
      <w:r>
        <w:rPr>
          <w:rFonts w:cs="Arial"/>
        </w:rPr>
        <w:t xml:space="preserve">τις </w:t>
      </w:r>
      <w:r w:rsidRPr="005856E3">
        <w:rPr>
          <w:rFonts w:cs="Arial"/>
        </w:rPr>
        <w:t>08</w:t>
      </w:r>
      <w:r>
        <w:rPr>
          <w:rFonts w:cs="Arial"/>
        </w:rPr>
        <w:t>.</w:t>
      </w:r>
      <w:r w:rsidRPr="005856E3">
        <w:rPr>
          <w:rFonts w:cs="Arial"/>
        </w:rPr>
        <w:t>9</w:t>
      </w:r>
      <w:r>
        <w:rPr>
          <w:rFonts w:cs="Arial"/>
        </w:rPr>
        <w:t>.20</w:t>
      </w:r>
      <w:r w:rsidRPr="005856E3">
        <w:rPr>
          <w:rFonts w:cs="Arial"/>
        </w:rPr>
        <w:t xml:space="preserve">24 έως </w:t>
      </w:r>
      <w:r>
        <w:rPr>
          <w:rFonts w:cs="Arial"/>
        </w:rPr>
        <w:t xml:space="preserve">τις </w:t>
      </w:r>
      <w:r w:rsidRPr="005856E3">
        <w:rPr>
          <w:rFonts w:cs="Arial"/>
        </w:rPr>
        <w:t>31</w:t>
      </w:r>
      <w:r>
        <w:rPr>
          <w:rFonts w:cs="Arial"/>
        </w:rPr>
        <w:t>.</w:t>
      </w:r>
      <w:r w:rsidRPr="005856E3">
        <w:rPr>
          <w:rFonts w:cs="Arial"/>
        </w:rPr>
        <w:t>12</w:t>
      </w:r>
      <w:r>
        <w:rPr>
          <w:rFonts w:cs="Arial"/>
        </w:rPr>
        <w:t>.20</w:t>
      </w:r>
      <w:r w:rsidRPr="005856E3">
        <w:rPr>
          <w:rFonts w:cs="Arial"/>
        </w:rPr>
        <w:t>25</w:t>
      </w:r>
      <w:r>
        <w:rPr>
          <w:rFonts w:cs="Arial"/>
        </w:rPr>
        <w:t xml:space="preserve"> εκμισθώνουν κενά σπίτια με μακροχρόνια μίσθωση ή μετατρέπουν τη </w:t>
      </w:r>
      <w:r w:rsidRPr="005856E3">
        <w:rPr>
          <w:rFonts w:cs="Arial"/>
        </w:rPr>
        <w:t>βραχυχρόνια μίσθωση</w:t>
      </w:r>
      <w:r>
        <w:rPr>
          <w:rFonts w:cs="Arial"/>
        </w:rPr>
        <w:t xml:space="preserve"> ακινήτων </w:t>
      </w:r>
      <w:r w:rsidRPr="005856E3">
        <w:rPr>
          <w:rFonts w:cs="Arial"/>
        </w:rPr>
        <w:t>σε μακροχρόνια</w:t>
      </w:r>
      <w:r>
        <w:rPr>
          <w:rFonts w:cs="Arial"/>
        </w:rPr>
        <w:t>,</w:t>
      </w:r>
    </w:p>
    <w:p w14:paraId="2BFB4E76" w14:textId="77777777" w:rsidR="000F337D" w:rsidRPr="005856E3" w:rsidRDefault="000F337D" w:rsidP="000F337D">
      <w:pPr>
        <w:numPr>
          <w:ilvl w:val="0"/>
          <w:numId w:val="1"/>
        </w:numPr>
        <w:spacing w:before="60" w:after="60"/>
        <w:ind w:left="568" w:hanging="284"/>
        <w:rPr>
          <w:rFonts w:cs="Arial"/>
        </w:rPr>
      </w:pPr>
      <w:r>
        <w:rPr>
          <w:rFonts w:cs="Arial"/>
        </w:rPr>
        <w:lastRenderedPageBreak/>
        <w:t xml:space="preserve">απαγόρευση της εγγραφής </w:t>
      </w:r>
      <w:r w:rsidRPr="005856E3">
        <w:rPr>
          <w:rFonts w:cs="Arial"/>
        </w:rPr>
        <w:t>για το 2025</w:t>
      </w:r>
      <w:r>
        <w:rPr>
          <w:rFonts w:cs="Arial"/>
        </w:rPr>
        <w:t xml:space="preserve"> </w:t>
      </w:r>
      <w:r w:rsidRPr="005856E3">
        <w:rPr>
          <w:rFonts w:cs="Arial"/>
        </w:rPr>
        <w:t xml:space="preserve">στο μητρώο βραχυχρόνιων μισθώσεων </w:t>
      </w:r>
      <w:r>
        <w:rPr>
          <w:rFonts w:cs="Arial"/>
        </w:rPr>
        <w:t>νέων ακινήτων του</w:t>
      </w:r>
      <w:r w:rsidRPr="005856E3">
        <w:rPr>
          <w:rFonts w:cs="Arial"/>
        </w:rPr>
        <w:t xml:space="preserve"> κέντρο</w:t>
      </w:r>
      <w:r>
        <w:rPr>
          <w:rFonts w:cs="Arial"/>
        </w:rPr>
        <w:t>υ</w:t>
      </w:r>
      <w:r w:rsidRPr="005856E3">
        <w:rPr>
          <w:rFonts w:cs="Arial"/>
        </w:rPr>
        <w:t xml:space="preserve"> της Αθήνας (1ο, 2ο, 3ο δημοτικό διαμέρισμα)</w:t>
      </w:r>
      <w:r>
        <w:rPr>
          <w:rFonts w:cs="Arial"/>
        </w:rPr>
        <w:t>,</w:t>
      </w:r>
    </w:p>
    <w:p w14:paraId="62FDD171" w14:textId="77777777" w:rsidR="000F337D" w:rsidRPr="005856E3" w:rsidRDefault="000F337D" w:rsidP="000F337D">
      <w:pPr>
        <w:numPr>
          <w:ilvl w:val="0"/>
          <w:numId w:val="1"/>
        </w:numPr>
        <w:spacing w:before="60" w:after="60"/>
        <w:ind w:left="568" w:hanging="284"/>
        <w:rPr>
          <w:rFonts w:cs="Arial"/>
        </w:rPr>
      </w:pPr>
      <w:r>
        <w:rPr>
          <w:rFonts w:cs="Arial"/>
        </w:rPr>
        <w:t>α</w:t>
      </w:r>
      <w:r w:rsidRPr="005856E3">
        <w:rPr>
          <w:rFonts w:cs="Arial"/>
        </w:rPr>
        <w:t>ύξηση του τέλους ανθεκτικότητας στην κλιματική κρίση για βραχυχρόνιες μισθώσεις</w:t>
      </w:r>
      <w:r>
        <w:rPr>
          <w:rFonts w:cs="Arial"/>
        </w:rPr>
        <w:t>,</w:t>
      </w:r>
    </w:p>
    <w:p w14:paraId="3E58CE51" w14:textId="77777777" w:rsidR="000F337D" w:rsidRDefault="000F337D" w:rsidP="00EC630C">
      <w:pPr>
        <w:numPr>
          <w:ilvl w:val="0"/>
          <w:numId w:val="12"/>
        </w:numPr>
        <w:spacing w:before="60" w:after="60"/>
        <w:ind w:left="568" w:hanging="284"/>
      </w:pPr>
      <w:r>
        <w:t>δ</w:t>
      </w:r>
      <w:r w:rsidRPr="00E83CCB">
        <w:t>ιπλασιασμός της μέγιστης επιδότησης του προγράμματος «Ανακαινίζω</w:t>
      </w:r>
      <w:r>
        <w:t xml:space="preserve"> </w:t>
      </w:r>
      <w:r w:rsidRPr="00E83CCB">
        <w:t>-</w:t>
      </w:r>
      <w:r>
        <w:t xml:space="preserve"> </w:t>
      </w:r>
      <w:r w:rsidRPr="00E83CCB">
        <w:t>Ενοικιάζω»</w:t>
      </w:r>
      <w:r>
        <w:t xml:space="preserve"> και</w:t>
      </w:r>
    </w:p>
    <w:p w14:paraId="6FEFD356" w14:textId="77777777" w:rsidR="000F337D" w:rsidRPr="005856E3" w:rsidRDefault="000F337D" w:rsidP="00EC630C">
      <w:pPr>
        <w:numPr>
          <w:ilvl w:val="0"/>
          <w:numId w:val="12"/>
        </w:numPr>
        <w:spacing w:before="60"/>
        <w:ind w:left="568" w:hanging="284"/>
        <w:rPr>
          <w:rFonts w:cs="Arial"/>
        </w:rPr>
      </w:pPr>
      <w:r>
        <w:rPr>
          <w:rFonts w:cs="Arial"/>
        </w:rPr>
        <w:t>επιστροφή σε ετήσια βάση, α</w:t>
      </w:r>
      <w:r w:rsidRPr="005856E3">
        <w:rPr>
          <w:rFonts w:cs="Arial"/>
        </w:rPr>
        <w:t xml:space="preserve">πό τον Νοέμβριο 2025, </w:t>
      </w:r>
      <w:r>
        <w:rPr>
          <w:rFonts w:cs="Arial"/>
        </w:rPr>
        <w:t>ενός</w:t>
      </w:r>
      <w:r w:rsidRPr="005856E3">
        <w:rPr>
          <w:rFonts w:cs="Arial"/>
        </w:rPr>
        <w:t xml:space="preserve"> </w:t>
      </w:r>
      <w:r>
        <w:rPr>
          <w:rFonts w:cs="Arial"/>
        </w:rPr>
        <w:t xml:space="preserve">μισθώματος </w:t>
      </w:r>
      <w:r w:rsidRPr="005856E3">
        <w:rPr>
          <w:rFonts w:cs="Arial"/>
        </w:rPr>
        <w:t>σε δικαιούχους ενοικιαστές (κύριας και φοιτητικής κατοικίας) με βάση εισοδηματικά και περιουσιακά κριτήρια</w:t>
      </w:r>
      <w:r>
        <w:rPr>
          <w:rFonts w:cs="Arial"/>
        </w:rPr>
        <w:t xml:space="preserve">, που καταλαμβάνουν περίπου το 80% των ενοικιαστών, ετήσιου </w:t>
      </w:r>
      <w:bookmarkStart w:id="519" w:name="_Hlk208483316"/>
      <w:r w:rsidRPr="005856E3">
        <w:rPr>
          <w:rFonts w:cs="Arial"/>
        </w:rPr>
        <w:t>κόστο</w:t>
      </w:r>
      <w:r>
        <w:rPr>
          <w:rFonts w:cs="Arial"/>
        </w:rPr>
        <w:t>υ</w:t>
      </w:r>
      <w:r w:rsidRPr="005856E3">
        <w:rPr>
          <w:rFonts w:cs="Arial"/>
        </w:rPr>
        <w:t>ς 230 εκατ. ευρώ</w:t>
      </w:r>
      <w:r>
        <w:rPr>
          <w:rFonts w:cs="Arial"/>
        </w:rPr>
        <w:t>.</w:t>
      </w:r>
    </w:p>
    <w:bookmarkEnd w:id="519"/>
    <w:p w14:paraId="5E8B893E" w14:textId="77777777" w:rsidR="000F337D" w:rsidRPr="005856E3" w:rsidRDefault="000F337D" w:rsidP="000F337D">
      <w:r>
        <w:t>Για το 2026 οι νέες π</w:t>
      </w:r>
      <w:r w:rsidRPr="005856E3">
        <w:t xml:space="preserve">αρεμβάσεις </w:t>
      </w:r>
      <w:r>
        <w:t>περιλαμβάνουν:</w:t>
      </w:r>
    </w:p>
    <w:p w14:paraId="2A1D0B3B" w14:textId="7919FF3E" w:rsidR="000F337D" w:rsidRDefault="000F337D" w:rsidP="000F337D">
      <w:pPr>
        <w:numPr>
          <w:ilvl w:val="0"/>
          <w:numId w:val="1"/>
        </w:numPr>
        <w:spacing w:before="60" w:after="60"/>
        <w:ind w:left="568" w:hanging="284"/>
        <w:rPr>
          <w:rFonts w:cs="Arial"/>
        </w:rPr>
      </w:pPr>
      <w:r>
        <w:rPr>
          <w:rFonts w:cs="Arial"/>
        </w:rPr>
        <w:t>ε</w:t>
      </w:r>
      <w:r w:rsidRPr="00E83CCB">
        <w:rPr>
          <w:rFonts w:cs="Arial"/>
        </w:rPr>
        <w:t>π</w:t>
      </w:r>
      <w:r>
        <w:rPr>
          <w:rFonts w:cs="Arial"/>
        </w:rPr>
        <w:t xml:space="preserve">έκταση </w:t>
      </w:r>
      <w:r w:rsidRPr="00E83CCB">
        <w:rPr>
          <w:rFonts w:cs="Arial"/>
        </w:rPr>
        <w:t xml:space="preserve">και για το </w:t>
      </w:r>
      <w:r>
        <w:rPr>
          <w:rFonts w:cs="Arial"/>
        </w:rPr>
        <w:t xml:space="preserve">έτος </w:t>
      </w:r>
      <w:r w:rsidRPr="00E83CCB">
        <w:rPr>
          <w:rFonts w:cs="Arial"/>
        </w:rPr>
        <w:t xml:space="preserve">2026 </w:t>
      </w:r>
      <w:r>
        <w:rPr>
          <w:rFonts w:cs="Arial"/>
        </w:rPr>
        <w:t>τ</w:t>
      </w:r>
      <w:r w:rsidRPr="00E83CCB">
        <w:rPr>
          <w:rFonts w:cs="Arial"/>
        </w:rPr>
        <w:t>η</w:t>
      </w:r>
      <w:r>
        <w:rPr>
          <w:rFonts w:cs="Arial"/>
        </w:rPr>
        <w:t>ς</w:t>
      </w:r>
      <w:r w:rsidRPr="00E83CCB">
        <w:rPr>
          <w:rFonts w:cs="Arial"/>
        </w:rPr>
        <w:t xml:space="preserve"> φοροαπαλλαγή</w:t>
      </w:r>
      <w:r>
        <w:rPr>
          <w:rFonts w:cs="Arial"/>
        </w:rPr>
        <w:t>ς</w:t>
      </w:r>
      <w:r w:rsidRPr="00E83CCB">
        <w:rPr>
          <w:rFonts w:cs="Arial"/>
        </w:rPr>
        <w:t xml:space="preserve"> </w:t>
      </w:r>
      <w:r>
        <w:rPr>
          <w:rFonts w:cs="Arial"/>
        </w:rPr>
        <w:t xml:space="preserve">διάρκειας </w:t>
      </w:r>
      <w:r w:rsidRPr="00E83CCB">
        <w:rPr>
          <w:rFonts w:cs="Arial"/>
        </w:rPr>
        <w:t>τρ</w:t>
      </w:r>
      <w:r>
        <w:rPr>
          <w:rFonts w:cs="Arial"/>
        </w:rPr>
        <w:t xml:space="preserve">ιών ετών για </w:t>
      </w:r>
      <w:r w:rsidRPr="00E83CCB">
        <w:rPr>
          <w:rFonts w:cs="Arial"/>
        </w:rPr>
        <w:t xml:space="preserve">κενά ακίνητα που θα διατεθούν σε μακροχρόνια </w:t>
      </w:r>
      <w:r w:rsidRPr="00106D9D">
        <w:rPr>
          <w:rFonts w:cs="Arial"/>
        </w:rPr>
        <w:t>μίσθωση, με κόστος 1</w:t>
      </w:r>
      <w:r w:rsidR="007F7110" w:rsidRPr="00106D9D">
        <w:rPr>
          <w:rFonts w:cs="Arial"/>
        </w:rPr>
        <w:t>0</w:t>
      </w:r>
      <w:r w:rsidRPr="00106D9D">
        <w:rPr>
          <w:rFonts w:cs="Arial"/>
        </w:rPr>
        <w:t xml:space="preserve"> εκατ. ευρώ για το 2026 και </w:t>
      </w:r>
      <w:r w:rsidR="00D55EA5" w:rsidRPr="00106D9D">
        <w:rPr>
          <w:rFonts w:cs="Arial"/>
        </w:rPr>
        <w:t>19</w:t>
      </w:r>
      <w:r w:rsidRPr="00106D9D">
        <w:rPr>
          <w:rFonts w:cs="Arial"/>
        </w:rPr>
        <w:t xml:space="preserve"> εκατ. ευρώ</w:t>
      </w:r>
      <w:r w:rsidRPr="00E83CCB">
        <w:rPr>
          <w:rFonts w:cs="Arial"/>
        </w:rPr>
        <w:t xml:space="preserve"> για το 2027</w:t>
      </w:r>
      <w:r>
        <w:rPr>
          <w:rFonts w:cs="Arial"/>
        </w:rPr>
        <w:t>. Σε αυτό το πλαίσιο διευρύνεται το πεδίο εφαρμογής του μέτρου, ως ακολούθως</w:t>
      </w:r>
      <w:r w:rsidRPr="00444A9F">
        <w:rPr>
          <w:rFonts w:cs="Arial"/>
        </w:rPr>
        <w:t>:</w:t>
      </w:r>
    </w:p>
    <w:p w14:paraId="3744AC01" w14:textId="77777777" w:rsidR="000F337D" w:rsidRPr="009A28C7" w:rsidRDefault="000F337D" w:rsidP="00EC630C">
      <w:pPr>
        <w:pStyle w:val="Web"/>
        <w:numPr>
          <w:ilvl w:val="1"/>
          <w:numId w:val="15"/>
        </w:numPr>
        <w:tabs>
          <w:tab w:val="clear" w:pos="1440"/>
          <w:tab w:val="num" w:pos="567"/>
        </w:tabs>
        <w:spacing w:before="120" w:beforeAutospacing="0" w:after="60" w:afterAutospacing="0"/>
        <w:ind w:left="851" w:hanging="284"/>
        <w:rPr>
          <w:lang w:val="el-GR"/>
        </w:rPr>
      </w:pPr>
      <w:r>
        <w:rPr>
          <w:lang w:val="el-GR"/>
        </w:rPr>
        <w:t>σ</w:t>
      </w:r>
      <w:r w:rsidRPr="009A28C7">
        <w:rPr>
          <w:lang w:val="el-GR"/>
        </w:rPr>
        <w:t xml:space="preserve">ε περίπτωση που η </w:t>
      </w:r>
      <w:r>
        <w:rPr>
          <w:lang w:val="el-GR"/>
        </w:rPr>
        <w:t xml:space="preserve">μίσθωση </w:t>
      </w:r>
      <w:r w:rsidRPr="009A28C7">
        <w:rPr>
          <w:lang w:val="el-GR"/>
        </w:rPr>
        <w:t xml:space="preserve">αφορά </w:t>
      </w:r>
      <w:r>
        <w:rPr>
          <w:lang w:val="el-GR"/>
        </w:rPr>
        <w:t xml:space="preserve">σε </w:t>
      </w:r>
      <w:r w:rsidRPr="009A28C7">
        <w:rPr>
          <w:lang w:val="el-GR"/>
        </w:rPr>
        <w:t xml:space="preserve">τρίτεκνη ή πολύτεκνη οικογένεια, η απαλλαγή θα </w:t>
      </w:r>
      <w:r>
        <w:rPr>
          <w:lang w:val="el-GR"/>
        </w:rPr>
        <w:t xml:space="preserve">χορηγείται </w:t>
      </w:r>
      <w:r w:rsidRPr="009A28C7">
        <w:rPr>
          <w:lang w:val="el-GR"/>
        </w:rPr>
        <w:t xml:space="preserve">και για σπίτια με μεγαλύτερο εμβαδό από 120 τ.μ., </w:t>
      </w:r>
      <w:r>
        <w:rPr>
          <w:lang w:val="el-GR"/>
        </w:rPr>
        <w:t>προσαυξανόμενο κατά</w:t>
      </w:r>
      <w:r w:rsidRPr="009A28C7">
        <w:rPr>
          <w:lang w:val="el-GR"/>
        </w:rPr>
        <w:t xml:space="preserve"> 20 τ.μ. για κάθε εξαρτώμενο τέκνο άνω των δύο,</w:t>
      </w:r>
    </w:p>
    <w:p w14:paraId="60876679" w14:textId="77777777" w:rsidR="000F337D" w:rsidRPr="009A28C7" w:rsidRDefault="000F337D" w:rsidP="00EC630C">
      <w:pPr>
        <w:pStyle w:val="Web"/>
        <w:numPr>
          <w:ilvl w:val="1"/>
          <w:numId w:val="15"/>
        </w:numPr>
        <w:tabs>
          <w:tab w:val="clear" w:pos="1440"/>
          <w:tab w:val="num" w:pos="567"/>
        </w:tabs>
        <w:spacing w:before="60" w:beforeAutospacing="0" w:after="60" w:afterAutospacing="0"/>
        <w:ind w:left="851" w:hanging="284"/>
        <w:rPr>
          <w:lang w:val="el-GR"/>
        </w:rPr>
      </w:pPr>
      <w:r w:rsidRPr="009A28C7">
        <w:rPr>
          <w:lang w:val="el-GR"/>
        </w:rPr>
        <w:t xml:space="preserve">σε περίπτωση αποχώρησης του </w:t>
      </w:r>
      <w:r>
        <w:rPr>
          <w:lang w:val="el-GR"/>
        </w:rPr>
        <w:t xml:space="preserve">μισθωτή </w:t>
      </w:r>
      <w:r w:rsidRPr="009A28C7">
        <w:rPr>
          <w:lang w:val="el-GR"/>
        </w:rPr>
        <w:t>εντός της τριετίας</w:t>
      </w:r>
      <w:r>
        <w:rPr>
          <w:lang w:val="el-GR"/>
        </w:rPr>
        <w:t>,</w:t>
      </w:r>
      <w:r w:rsidRPr="009A28C7">
        <w:rPr>
          <w:lang w:val="el-GR"/>
        </w:rPr>
        <w:t xml:space="preserve"> η απαλλαγή συνεχίζει να ισχύει για το υπολειπόμενο διάστημα και εφόσον το ακίνητο κενωθεί άπαξ και εκμισθωθεί εκ νέου</w:t>
      </w:r>
      <w:r>
        <w:rPr>
          <w:lang w:val="el-GR"/>
        </w:rPr>
        <w:t xml:space="preserve"> και</w:t>
      </w:r>
    </w:p>
    <w:p w14:paraId="45730E11" w14:textId="77777777" w:rsidR="000F337D" w:rsidRPr="009A28C7" w:rsidRDefault="000F337D" w:rsidP="00EC630C">
      <w:pPr>
        <w:pStyle w:val="Web"/>
        <w:numPr>
          <w:ilvl w:val="1"/>
          <w:numId w:val="15"/>
        </w:numPr>
        <w:tabs>
          <w:tab w:val="clear" w:pos="1440"/>
          <w:tab w:val="num" w:pos="567"/>
        </w:tabs>
        <w:spacing w:before="60" w:beforeAutospacing="0" w:after="120" w:afterAutospacing="0"/>
        <w:ind w:left="851" w:hanging="284"/>
        <w:rPr>
          <w:lang w:val="el-GR"/>
        </w:rPr>
      </w:pPr>
      <w:r w:rsidRPr="009A28C7">
        <w:rPr>
          <w:lang w:val="el-GR"/>
        </w:rPr>
        <w:t xml:space="preserve">ειδικά για </w:t>
      </w:r>
      <w:r>
        <w:rPr>
          <w:lang w:val="el-GR"/>
        </w:rPr>
        <w:t xml:space="preserve">τις </w:t>
      </w:r>
      <w:r w:rsidRPr="009A28C7">
        <w:rPr>
          <w:lang w:val="el-GR"/>
        </w:rPr>
        <w:t xml:space="preserve">περιπτώσεις μίσθωσης σε ιατρικό ή νοσηλευτικό προσωπικό που απασχολείται σε φορείς της </w:t>
      </w:r>
      <w:r>
        <w:rPr>
          <w:lang w:val="el-GR"/>
        </w:rPr>
        <w:t>Γ</w:t>
      </w:r>
      <w:r w:rsidRPr="009A28C7">
        <w:rPr>
          <w:lang w:val="el-GR"/>
        </w:rPr>
        <w:t xml:space="preserve">ενικής </w:t>
      </w:r>
      <w:r>
        <w:rPr>
          <w:lang w:val="el-GR"/>
        </w:rPr>
        <w:t>Κ</w:t>
      </w:r>
      <w:r w:rsidRPr="009A28C7">
        <w:rPr>
          <w:lang w:val="el-GR"/>
        </w:rPr>
        <w:t xml:space="preserve">υβέρνησης, </w:t>
      </w:r>
      <w:r>
        <w:rPr>
          <w:lang w:val="el-GR"/>
        </w:rPr>
        <w:t xml:space="preserve">σε </w:t>
      </w:r>
      <w:r w:rsidRPr="009A28C7">
        <w:rPr>
          <w:lang w:val="el-GR"/>
        </w:rPr>
        <w:t xml:space="preserve">εκπαιδευτικούς όλων των βαθμίδων της δημόσιας εκπαίδευσης καθώς </w:t>
      </w:r>
      <w:r>
        <w:rPr>
          <w:lang w:val="el-GR"/>
        </w:rPr>
        <w:t xml:space="preserve">και </w:t>
      </w:r>
      <w:r w:rsidRPr="009A28C7">
        <w:rPr>
          <w:lang w:val="el-GR"/>
        </w:rPr>
        <w:t xml:space="preserve">σε ένστολο προσωπικό των </w:t>
      </w:r>
      <w:r>
        <w:rPr>
          <w:lang w:val="el-GR"/>
        </w:rPr>
        <w:t>Ε</w:t>
      </w:r>
      <w:r w:rsidRPr="009A28C7">
        <w:rPr>
          <w:lang w:val="el-GR"/>
        </w:rPr>
        <w:t xml:space="preserve">νόπλων </w:t>
      </w:r>
      <w:r>
        <w:rPr>
          <w:lang w:val="el-GR"/>
        </w:rPr>
        <w:t>Δ</w:t>
      </w:r>
      <w:r w:rsidRPr="009A28C7">
        <w:rPr>
          <w:lang w:val="el-GR"/>
        </w:rPr>
        <w:t xml:space="preserve">υνάμεων και των </w:t>
      </w:r>
      <w:r>
        <w:rPr>
          <w:lang w:val="el-GR"/>
        </w:rPr>
        <w:t>Σ</w:t>
      </w:r>
      <w:r w:rsidRPr="009A28C7">
        <w:rPr>
          <w:lang w:val="el-GR"/>
        </w:rPr>
        <w:t xml:space="preserve">ωμάτων </w:t>
      </w:r>
      <w:r>
        <w:rPr>
          <w:lang w:val="el-GR"/>
        </w:rPr>
        <w:t>Α</w:t>
      </w:r>
      <w:r w:rsidRPr="009A28C7">
        <w:rPr>
          <w:lang w:val="el-GR"/>
        </w:rPr>
        <w:t xml:space="preserve">σφαλείας, η απαλλαγή ισχύει </w:t>
      </w:r>
      <w:r>
        <w:rPr>
          <w:lang w:val="el-GR"/>
        </w:rPr>
        <w:t xml:space="preserve">και υπό την προϋπόθεση ότι </w:t>
      </w:r>
      <w:r w:rsidRPr="009A28C7">
        <w:rPr>
          <w:lang w:val="el-GR"/>
        </w:rPr>
        <w:t xml:space="preserve">το ακίνητο μισθώνεται για τουλάχιστον έξι (6) </w:t>
      </w:r>
      <w:r>
        <w:rPr>
          <w:lang w:val="el-GR"/>
        </w:rPr>
        <w:t>συναπτούς</w:t>
      </w:r>
      <w:r w:rsidRPr="009A28C7">
        <w:rPr>
          <w:lang w:val="el-GR"/>
        </w:rPr>
        <w:t xml:space="preserve"> μήνες,</w:t>
      </w:r>
    </w:p>
    <w:p w14:paraId="69EF8168" w14:textId="17ECE1FD" w:rsidR="000F337D" w:rsidRPr="004363FF" w:rsidRDefault="000F337D" w:rsidP="000F337D">
      <w:pPr>
        <w:numPr>
          <w:ilvl w:val="0"/>
          <w:numId w:val="1"/>
        </w:numPr>
        <w:spacing w:before="120" w:after="60"/>
        <w:ind w:left="568" w:hanging="284"/>
        <w:rPr>
          <w:rFonts w:cs="Arial"/>
        </w:rPr>
      </w:pPr>
      <w:r w:rsidRPr="00767167">
        <w:rPr>
          <w:rFonts w:cs="Arial"/>
        </w:rPr>
        <w:t>θέσπιση από το 2026 ενδιάμεσου συντελεστή 25%</w:t>
      </w:r>
      <w:r>
        <w:rPr>
          <w:rFonts w:cs="Arial"/>
        </w:rPr>
        <w:t xml:space="preserve"> (από 35%)</w:t>
      </w:r>
      <w:r w:rsidRPr="00767167">
        <w:rPr>
          <w:rFonts w:cs="Arial"/>
        </w:rPr>
        <w:t xml:space="preserve"> για εισόδημα από μισθώματα</w:t>
      </w:r>
      <w:r>
        <w:rPr>
          <w:rFonts w:cs="Arial"/>
        </w:rPr>
        <w:t>, το ύψος του οποίου κυμαίνεται από</w:t>
      </w:r>
      <w:r w:rsidRPr="00767167">
        <w:rPr>
          <w:rFonts w:cs="Arial"/>
        </w:rPr>
        <w:t xml:space="preserve"> 12.000 έως 24.000 ευρώ. Το μέτρο </w:t>
      </w:r>
      <w:r>
        <w:rPr>
          <w:rFonts w:cs="Arial"/>
        </w:rPr>
        <w:t>εκτιμάται ότι θα</w:t>
      </w:r>
      <w:r w:rsidRPr="00767167">
        <w:rPr>
          <w:rFonts w:cs="Arial"/>
        </w:rPr>
        <w:t xml:space="preserve"> ωφελήσει περίπου 161.000 ιδιοκτήτες</w:t>
      </w:r>
      <w:r>
        <w:rPr>
          <w:rFonts w:cs="Arial"/>
        </w:rPr>
        <w:t xml:space="preserve"> και παράλληλα, </w:t>
      </w:r>
      <w:r w:rsidRPr="003E124F">
        <w:rPr>
          <w:rFonts w:cs="Arial"/>
        </w:rPr>
        <w:t xml:space="preserve">αναμένεται να </w:t>
      </w:r>
      <w:r>
        <w:rPr>
          <w:rFonts w:cs="Arial"/>
        </w:rPr>
        <w:t>συμβάλει στ</w:t>
      </w:r>
      <w:r w:rsidRPr="003E124F">
        <w:rPr>
          <w:rFonts w:cs="Arial"/>
        </w:rPr>
        <w:t xml:space="preserve">η φορολογική συμμόρφωση και </w:t>
      </w:r>
      <w:r>
        <w:rPr>
          <w:rFonts w:cs="Arial"/>
        </w:rPr>
        <w:t>σ</w:t>
      </w:r>
      <w:r w:rsidRPr="003E124F">
        <w:rPr>
          <w:rFonts w:cs="Arial"/>
        </w:rPr>
        <w:t>τη συγκράτηση των τιμών των ενοικίων</w:t>
      </w:r>
      <w:r>
        <w:rPr>
          <w:rFonts w:cs="Arial"/>
        </w:rPr>
        <w:t>. Το δημοσιονομικό κόστος εκτιμάται σε 90 εκατ. ευρώ ετησίως,</w:t>
      </w:r>
    </w:p>
    <w:p w14:paraId="24446DD1" w14:textId="77777777" w:rsidR="000F337D" w:rsidRPr="00E83CCB" w:rsidRDefault="000F337D" w:rsidP="000F337D">
      <w:pPr>
        <w:numPr>
          <w:ilvl w:val="0"/>
          <w:numId w:val="1"/>
        </w:numPr>
        <w:spacing w:before="60" w:after="60"/>
        <w:ind w:left="568" w:hanging="284"/>
        <w:rPr>
          <w:rFonts w:cs="Arial"/>
        </w:rPr>
      </w:pPr>
      <w:r>
        <w:rPr>
          <w:rFonts w:cs="Arial"/>
        </w:rPr>
        <w:t>ε</w:t>
      </w:r>
      <w:r w:rsidRPr="00E83CCB">
        <w:rPr>
          <w:rFonts w:cs="Arial"/>
        </w:rPr>
        <w:t>π</w:t>
      </w:r>
      <w:r>
        <w:rPr>
          <w:rFonts w:cs="Arial"/>
        </w:rPr>
        <w:t>έκταση τ</w:t>
      </w:r>
      <w:r w:rsidRPr="00E83CCB">
        <w:rPr>
          <w:rFonts w:cs="Arial"/>
        </w:rPr>
        <w:t>η</w:t>
      </w:r>
      <w:r>
        <w:rPr>
          <w:rFonts w:cs="Arial"/>
        </w:rPr>
        <w:t>ς</w:t>
      </w:r>
      <w:r w:rsidRPr="00E83CCB">
        <w:rPr>
          <w:rFonts w:cs="Arial"/>
        </w:rPr>
        <w:t xml:space="preserve"> αναστολή</w:t>
      </w:r>
      <w:r>
        <w:rPr>
          <w:rFonts w:cs="Arial"/>
        </w:rPr>
        <w:t>ς</w:t>
      </w:r>
      <w:r w:rsidRPr="00E83CCB">
        <w:rPr>
          <w:rFonts w:cs="Arial"/>
        </w:rPr>
        <w:t xml:space="preserve"> του ΦΠΑ στις νέες οικοδομές μέχρι το τέλος του 2026</w:t>
      </w:r>
      <w:r>
        <w:rPr>
          <w:rFonts w:cs="Arial"/>
        </w:rPr>
        <w:t>,</w:t>
      </w:r>
      <w:r w:rsidRPr="00E83CCB">
        <w:rPr>
          <w:rFonts w:cs="Arial"/>
        </w:rPr>
        <w:t xml:space="preserve"> με ετήσιο κόστος 18 εκατ. ευρώ</w:t>
      </w:r>
      <w:r>
        <w:rPr>
          <w:rFonts w:cs="Arial"/>
        </w:rPr>
        <w:t>,</w:t>
      </w:r>
    </w:p>
    <w:p w14:paraId="7035A824" w14:textId="77777777" w:rsidR="000F337D" w:rsidRPr="00E83CCB" w:rsidRDefault="000F337D" w:rsidP="000F337D">
      <w:pPr>
        <w:numPr>
          <w:ilvl w:val="0"/>
          <w:numId w:val="1"/>
        </w:numPr>
        <w:spacing w:before="60" w:after="60"/>
        <w:ind w:left="568" w:hanging="284"/>
        <w:rPr>
          <w:rFonts w:cs="Arial"/>
        </w:rPr>
      </w:pPr>
      <w:r>
        <w:rPr>
          <w:rFonts w:cs="Arial"/>
        </w:rPr>
        <w:t>π</w:t>
      </w:r>
      <w:r w:rsidRPr="00E83CCB">
        <w:rPr>
          <w:rFonts w:cs="Arial"/>
        </w:rPr>
        <w:t>αρ</w:t>
      </w:r>
      <w:r>
        <w:rPr>
          <w:rFonts w:cs="Arial"/>
        </w:rPr>
        <w:t>άταση τ</w:t>
      </w:r>
      <w:r w:rsidRPr="00E83CCB">
        <w:rPr>
          <w:rFonts w:cs="Arial"/>
        </w:rPr>
        <w:t>η</w:t>
      </w:r>
      <w:r>
        <w:rPr>
          <w:rFonts w:cs="Arial"/>
        </w:rPr>
        <w:t>ς</w:t>
      </w:r>
      <w:r w:rsidRPr="00E83CCB">
        <w:rPr>
          <w:rFonts w:cs="Arial"/>
        </w:rPr>
        <w:t xml:space="preserve"> μείωση</w:t>
      </w:r>
      <w:r>
        <w:rPr>
          <w:rFonts w:cs="Arial"/>
        </w:rPr>
        <w:t>ς</w:t>
      </w:r>
      <w:r w:rsidRPr="00E83CCB">
        <w:rPr>
          <w:rFonts w:cs="Arial"/>
        </w:rPr>
        <w:t xml:space="preserve"> του φόρου εισοδήματος για δαπάνες αναβάθμισης κτ</w:t>
      </w:r>
      <w:r>
        <w:rPr>
          <w:rFonts w:cs="Arial"/>
        </w:rPr>
        <w:t>η</w:t>
      </w:r>
      <w:r w:rsidRPr="00E83CCB">
        <w:rPr>
          <w:rFonts w:cs="Arial"/>
        </w:rPr>
        <w:t>ρίων για τα έτη 2025 και 2026</w:t>
      </w:r>
      <w:r>
        <w:rPr>
          <w:rFonts w:cs="Arial"/>
        </w:rPr>
        <w:t>,</w:t>
      </w:r>
      <w:r w:rsidRPr="00E83CCB">
        <w:rPr>
          <w:rFonts w:cs="Arial"/>
        </w:rPr>
        <w:t xml:space="preserve"> με εκτιμώμενο κόστος 5 εκατ. ευρώ</w:t>
      </w:r>
      <w:r>
        <w:rPr>
          <w:rFonts w:cs="Arial"/>
        </w:rPr>
        <w:t>,</w:t>
      </w:r>
    </w:p>
    <w:p w14:paraId="55805647" w14:textId="77777777" w:rsidR="000F337D" w:rsidRPr="00E83CCB" w:rsidRDefault="000F337D" w:rsidP="000F337D">
      <w:pPr>
        <w:numPr>
          <w:ilvl w:val="0"/>
          <w:numId w:val="1"/>
        </w:numPr>
        <w:spacing w:before="60" w:after="60"/>
        <w:ind w:left="568" w:hanging="284"/>
        <w:rPr>
          <w:rFonts w:cs="Arial"/>
        </w:rPr>
      </w:pPr>
      <w:r>
        <w:rPr>
          <w:rFonts w:cs="Arial"/>
        </w:rPr>
        <w:t>ε</w:t>
      </w:r>
      <w:r w:rsidRPr="00E83CCB">
        <w:rPr>
          <w:rFonts w:cs="Arial"/>
        </w:rPr>
        <w:t>π</w:t>
      </w:r>
      <w:r>
        <w:rPr>
          <w:rFonts w:cs="Arial"/>
        </w:rPr>
        <w:t xml:space="preserve">έκταση </w:t>
      </w:r>
      <w:r w:rsidRPr="00E83CCB">
        <w:rPr>
          <w:rFonts w:cs="Arial"/>
        </w:rPr>
        <w:t>για το</w:t>
      </w:r>
      <w:r>
        <w:rPr>
          <w:rFonts w:cs="Arial"/>
        </w:rPr>
        <w:t xml:space="preserve"> έτος</w:t>
      </w:r>
      <w:r w:rsidRPr="00E83CCB">
        <w:rPr>
          <w:rFonts w:cs="Arial"/>
        </w:rPr>
        <w:t xml:space="preserve"> 2026 </w:t>
      </w:r>
      <w:r>
        <w:rPr>
          <w:rFonts w:cs="Arial"/>
        </w:rPr>
        <w:t>τ</w:t>
      </w:r>
      <w:r w:rsidRPr="00E83CCB">
        <w:rPr>
          <w:rFonts w:cs="Arial"/>
        </w:rPr>
        <w:t>ο</w:t>
      </w:r>
      <w:r>
        <w:rPr>
          <w:rFonts w:cs="Arial"/>
        </w:rPr>
        <w:t>υ</w:t>
      </w:r>
      <w:r w:rsidRPr="00E83CCB">
        <w:rPr>
          <w:rFonts w:cs="Arial"/>
        </w:rPr>
        <w:t xml:space="preserve"> περιορισμ</w:t>
      </w:r>
      <w:r>
        <w:rPr>
          <w:rFonts w:cs="Arial"/>
        </w:rPr>
        <w:t xml:space="preserve">ού </w:t>
      </w:r>
      <w:r w:rsidRPr="00E83CCB">
        <w:rPr>
          <w:rFonts w:cs="Arial"/>
        </w:rPr>
        <w:t>νέων βραχυχρόνιων μισθώσεων στα τρία δημοτικά διαμερίσματα της Αθήνας</w:t>
      </w:r>
      <w:r>
        <w:rPr>
          <w:rFonts w:cs="Arial"/>
        </w:rPr>
        <w:t xml:space="preserve"> και</w:t>
      </w:r>
    </w:p>
    <w:p w14:paraId="377ABC88" w14:textId="77777777" w:rsidR="000F337D" w:rsidRPr="00E83CCB" w:rsidRDefault="000F337D" w:rsidP="000F337D">
      <w:pPr>
        <w:numPr>
          <w:ilvl w:val="0"/>
          <w:numId w:val="1"/>
        </w:numPr>
        <w:spacing w:before="60"/>
        <w:ind w:left="568" w:hanging="284"/>
        <w:rPr>
          <w:rFonts w:cs="Arial"/>
        </w:rPr>
      </w:pPr>
      <w:r>
        <w:rPr>
          <w:rFonts w:cs="Arial"/>
        </w:rPr>
        <w:t xml:space="preserve">θέσπιση </w:t>
      </w:r>
      <w:r w:rsidRPr="00E83CCB">
        <w:rPr>
          <w:rFonts w:cs="Arial"/>
        </w:rPr>
        <w:t>νέο</w:t>
      </w:r>
      <w:r>
        <w:rPr>
          <w:rFonts w:cs="Arial"/>
        </w:rPr>
        <w:t>υ</w:t>
      </w:r>
      <w:r w:rsidRPr="00E83CCB">
        <w:rPr>
          <w:rFonts w:cs="Arial"/>
        </w:rPr>
        <w:t xml:space="preserve"> πλα</w:t>
      </w:r>
      <w:r>
        <w:rPr>
          <w:rFonts w:cs="Arial"/>
        </w:rPr>
        <w:t>ισίου κοινωνικής αντιπαροχής σχετικά με τ</w:t>
      </w:r>
      <w:r w:rsidRPr="00E83CCB">
        <w:rPr>
          <w:rFonts w:cs="Arial"/>
        </w:rPr>
        <w:t>ην αξιοποίηση της δημόσιας ακίνητης περιουσίας για την κατασκευή σύγχρονων κοινωνικών κατοικιών, με στόχο την εξασφάλιση κοινωνικής μίσθωσης σε ευάλωτες ομάδες</w:t>
      </w:r>
      <w:r>
        <w:rPr>
          <w:rFonts w:cs="Arial"/>
        </w:rPr>
        <w:t>.</w:t>
      </w:r>
    </w:p>
    <w:p w14:paraId="7AF8AA29" w14:textId="77777777" w:rsidR="00F32AB1" w:rsidRPr="00690370" w:rsidRDefault="00F32AB1" w:rsidP="00F32AB1">
      <w:pPr>
        <w:pStyle w:val="5"/>
        <w:keepNext w:val="0"/>
        <w:numPr>
          <w:ilvl w:val="0"/>
          <w:numId w:val="0"/>
        </w:numPr>
      </w:pPr>
      <w:bookmarkStart w:id="520" w:name="_Toc209798260"/>
      <w:bookmarkStart w:id="521" w:name="_Toc210055427"/>
      <w:bookmarkStart w:id="522" w:name="_Toc210059723"/>
      <w:bookmarkStart w:id="523" w:name="_Toc210218234"/>
      <w:bookmarkStart w:id="524" w:name="_Toc210394917"/>
      <w:bookmarkStart w:id="525" w:name="_Toc210494447"/>
      <w:bookmarkStart w:id="526" w:name="_Toc210570639"/>
      <w:bookmarkStart w:id="527" w:name="_Toc210570684"/>
      <w:bookmarkStart w:id="528" w:name="_Toc213068746"/>
      <w:bookmarkStart w:id="529" w:name="_Toc213068913"/>
      <w:bookmarkStart w:id="530" w:name="_Toc213072175"/>
      <w:bookmarkStart w:id="531" w:name="_Toc213075532"/>
      <w:bookmarkStart w:id="532" w:name="_Toc213321625"/>
      <w:bookmarkStart w:id="533" w:name="_Toc213350081"/>
      <w:bookmarkStart w:id="534" w:name="_Toc213416198"/>
      <w:bookmarkStart w:id="535" w:name="_Toc213427598"/>
      <w:bookmarkStart w:id="536" w:name="_Toc213681670"/>
      <w:bookmarkStart w:id="537" w:name="_Toc213774240"/>
      <w:bookmarkStart w:id="538" w:name="_Toc214125169"/>
      <w:bookmarkStart w:id="539" w:name="_Toc214379756"/>
      <w:bookmarkStart w:id="540" w:name="_Toc214387578"/>
      <w:bookmarkStart w:id="541" w:name="_Toc214448282"/>
      <w:bookmarkStart w:id="542" w:name="_Toc214473787"/>
      <w:r w:rsidRPr="00690370">
        <w:t>Κατάργηση ΕΝΦΙΑ σε οικισμούς</w:t>
      </w:r>
      <w:r>
        <w:t xml:space="preserve"> με πληθυσμό </w:t>
      </w:r>
      <w:r w:rsidRPr="00690370">
        <w:t>έως 1.500 κατοίκους</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30A4F303" w14:textId="232F49CB" w:rsidR="00F32AB1" w:rsidRPr="00C1357B" w:rsidRDefault="00F32AB1" w:rsidP="00F32AB1">
      <w:r w:rsidRPr="00C1357B">
        <w:t>Από το 2026 ο ΕΝΦΙΑ μειώνεται κατά 50%</w:t>
      </w:r>
      <w:r>
        <w:t>,</w:t>
      </w:r>
      <w:r w:rsidRPr="00C1357B">
        <w:t xml:space="preserve"> ενώ από το 2027 ο φόρος καταργείται πλήρως για κύριες κατοικίες σε οικισμούς με πληθυσμό έως 1.500 κατοίκους</w:t>
      </w:r>
      <w:r>
        <w:t>,</w:t>
      </w:r>
      <w:r w:rsidRPr="00C1357B">
        <w:t xml:space="preserve"> εξαιρουμένων των οικισμών της Αττικής (πλην των νησιών).</w:t>
      </w:r>
      <w:r>
        <w:t xml:space="preserve"> </w:t>
      </w:r>
      <w:r w:rsidR="003A458B">
        <w:t>Ειδικ</w:t>
      </w:r>
      <w:r w:rsidR="00106D9D">
        <w:t>ά</w:t>
      </w:r>
      <w:r w:rsidR="003A458B">
        <w:t xml:space="preserve"> για την Περιφερειακή Ενότητα Έβρου, τη</w:t>
      </w:r>
      <w:r w:rsidR="005A6FFA">
        <w:t>ν</w:t>
      </w:r>
      <w:r w:rsidR="003A458B">
        <w:t xml:space="preserve"> Περιφέρεια Δυτικής Μακεδονίας καθώς και για τους </w:t>
      </w:r>
      <w:r w:rsidR="002267BA">
        <w:t>Δ</w:t>
      </w:r>
      <w:r w:rsidR="003A458B">
        <w:t xml:space="preserve">ήμους Μακεδονίας, Θράκης και Ηπείρου </w:t>
      </w:r>
      <w:r w:rsidR="00E72201">
        <w:t xml:space="preserve">που εφάπτονται </w:t>
      </w:r>
      <w:r w:rsidR="00B15960">
        <w:t xml:space="preserve">με </w:t>
      </w:r>
      <w:r w:rsidR="00106D9D">
        <w:t>τ</w:t>
      </w:r>
      <w:r w:rsidR="003A458B">
        <w:t xml:space="preserve">α σύνορα της </w:t>
      </w:r>
      <w:r w:rsidR="005A6FFA">
        <w:t>χ</w:t>
      </w:r>
      <w:r w:rsidR="003A458B">
        <w:t>ώρας</w:t>
      </w:r>
      <w:r w:rsidR="00722DBF">
        <w:t>,</w:t>
      </w:r>
      <w:r w:rsidR="003A458B">
        <w:t xml:space="preserve"> ο ΕΝΦΙΑ καταργείται σε οικισμούς με</w:t>
      </w:r>
      <w:r w:rsidR="003A458B" w:rsidRPr="00E626B4">
        <w:t xml:space="preserve"> </w:t>
      </w:r>
      <w:r w:rsidR="003A458B" w:rsidRPr="00C1357B">
        <w:t>πληθυσμό έως 1.</w:t>
      </w:r>
      <w:r w:rsidR="003A458B">
        <w:t>7</w:t>
      </w:r>
      <w:r w:rsidR="003A458B" w:rsidRPr="00C1357B">
        <w:t>00 κατοίκους</w:t>
      </w:r>
      <w:r w:rsidR="003A458B">
        <w:t xml:space="preserve">. </w:t>
      </w:r>
      <w:r w:rsidRPr="00C1357B">
        <w:t xml:space="preserve">Το μέτρο αφορά </w:t>
      </w:r>
      <w:r w:rsidR="00C8648F" w:rsidRPr="00C1357B">
        <w:t xml:space="preserve">περίπου </w:t>
      </w:r>
      <w:r>
        <w:t xml:space="preserve">σε </w:t>
      </w:r>
      <w:r w:rsidRPr="00C1357B">
        <w:t>1 εκατομμύριο ακίνητα</w:t>
      </w:r>
      <w:r>
        <w:t xml:space="preserve"> εντός 1</w:t>
      </w:r>
      <w:r w:rsidRPr="00C1357B">
        <w:t>2.72</w:t>
      </w:r>
      <w:r w:rsidR="00CC2581">
        <w:t>4</w:t>
      </w:r>
      <w:r w:rsidRPr="00C1357B">
        <w:t xml:space="preserve"> οικισμ</w:t>
      </w:r>
      <w:r>
        <w:t>ών</w:t>
      </w:r>
      <w:r w:rsidRPr="00C1357B">
        <w:t xml:space="preserve"> (σε σύνολο 13.586 οικισμών) της χώρας</w:t>
      </w:r>
      <w:r>
        <w:t>,</w:t>
      </w:r>
      <w:r w:rsidRPr="00C1357B">
        <w:t xml:space="preserve"> με ετήσιο κόστος </w:t>
      </w:r>
      <w:r w:rsidRPr="00C1357B">
        <w:lastRenderedPageBreak/>
        <w:t>75 εκατ. ευρώ</w:t>
      </w:r>
      <w:r>
        <w:t xml:space="preserve"> </w:t>
      </w:r>
      <w:r w:rsidRPr="00C1357B">
        <w:t>περίπου.</w:t>
      </w:r>
      <w:r>
        <w:t xml:space="preserve"> Σημειώνεται ότι η αποκέντρωση συνδέεται άμεσα και με το στεγαστικό πρόβλημα, κατά τα ως άνω.</w:t>
      </w:r>
    </w:p>
    <w:p w14:paraId="430B8757" w14:textId="77777777" w:rsidR="00F32AB1" w:rsidRPr="00AF4A66" w:rsidRDefault="00F32AB1" w:rsidP="00E8681F">
      <w:pPr>
        <w:pStyle w:val="5"/>
        <w:keepNext w:val="0"/>
        <w:numPr>
          <w:ilvl w:val="0"/>
          <w:numId w:val="0"/>
        </w:numPr>
      </w:pPr>
      <w:bookmarkStart w:id="543" w:name="_Toc209798261"/>
      <w:bookmarkStart w:id="544" w:name="_Toc210055428"/>
      <w:bookmarkStart w:id="545" w:name="_Toc210059724"/>
      <w:bookmarkStart w:id="546" w:name="_Toc210218235"/>
      <w:bookmarkStart w:id="547" w:name="_Toc210394918"/>
      <w:bookmarkStart w:id="548" w:name="_Toc210494448"/>
      <w:bookmarkStart w:id="549" w:name="_Toc210570640"/>
      <w:bookmarkStart w:id="550" w:name="_Toc210570685"/>
      <w:bookmarkStart w:id="551" w:name="_Toc213068747"/>
      <w:bookmarkStart w:id="552" w:name="_Toc213068914"/>
      <w:bookmarkStart w:id="553" w:name="_Toc213072176"/>
      <w:bookmarkStart w:id="554" w:name="_Toc213075533"/>
      <w:bookmarkStart w:id="555" w:name="_Toc213321626"/>
      <w:bookmarkStart w:id="556" w:name="_Toc213350082"/>
      <w:bookmarkStart w:id="557" w:name="_Toc213416199"/>
      <w:bookmarkStart w:id="558" w:name="_Toc213427599"/>
      <w:bookmarkStart w:id="559" w:name="_Toc213681671"/>
      <w:bookmarkStart w:id="560" w:name="_Toc213774241"/>
      <w:bookmarkStart w:id="561" w:name="_Toc214125170"/>
      <w:bookmarkStart w:id="562" w:name="_Toc214379757"/>
      <w:bookmarkStart w:id="563" w:name="_Toc214387579"/>
      <w:bookmarkStart w:id="564" w:name="_Toc214448283"/>
      <w:bookmarkStart w:id="565" w:name="_Toc214473788"/>
      <w:r w:rsidRPr="00AF4A66">
        <w:t xml:space="preserve">Μείωση ΦΠΑ </w:t>
      </w:r>
      <w:r>
        <w:t xml:space="preserve">κατά </w:t>
      </w:r>
      <w:r w:rsidRPr="00AF4A66">
        <w:t>30% στα ακριτικά νησιά του Αιγαίου</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2C53F8DC" w14:textId="77777777" w:rsidR="00F32AB1" w:rsidRDefault="00F32AB1" w:rsidP="00F32AB1">
      <w:r w:rsidRPr="00C1357B">
        <w:t xml:space="preserve">Από την </w:t>
      </w:r>
      <w:r>
        <w:t>0</w:t>
      </w:r>
      <w:r w:rsidRPr="00C1357B">
        <w:t>1</w:t>
      </w:r>
      <w:r>
        <w:t>η.01.2026</w:t>
      </w:r>
      <w:r w:rsidRPr="00C1357B">
        <w:t xml:space="preserve"> ο ΦΠΑ μειώνεται κατά 30% στα νησιά της </w:t>
      </w:r>
      <w:r>
        <w:t>π</w:t>
      </w:r>
      <w:r w:rsidRPr="00C1357B">
        <w:t xml:space="preserve">εριφέρειας </w:t>
      </w:r>
      <w:r>
        <w:t xml:space="preserve">του </w:t>
      </w:r>
      <w:r w:rsidRPr="00C1357B">
        <w:t xml:space="preserve">Βορείου Αιγαίου, του </w:t>
      </w:r>
      <w:r>
        <w:t>ν</w:t>
      </w:r>
      <w:r w:rsidRPr="00C1357B">
        <w:t xml:space="preserve">ομού Έβρου (Σαμοθράκη) και του </w:t>
      </w:r>
      <w:r>
        <w:t>ν</w:t>
      </w:r>
      <w:r w:rsidRPr="00C1357B">
        <w:t xml:space="preserve">ομού Δωδεκανήσων με πληθυσμό έως 20.000 κατοίκους. Το ετήσιο κόστος του μέτρου υπολογίζεται σε 25 εκατ. ευρώ και </w:t>
      </w:r>
      <w:r>
        <w:t>αποσκοπεί στη</w:t>
      </w:r>
      <w:r w:rsidRPr="00C1357B">
        <w:t xml:space="preserve">ν ενίσχυση της οικιστικής και </w:t>
      </w:r>
      <w:r>
        <w:t xml:space="preserve">της </w:t>
      </w:r>
      <w:r w:rsidRPr="00C1357B">
        <w:t>επιχειρηματικής δραστηριότητας στις εν λόγω περιοχές.</w:t>
      </w:r>
    </w:p>
    <w:p w14:paraId="2C7EEB1C" w14:textId="77777777" w:rsidR="00F32AB1" w:rsidRPr="005328EB" w:rsidRDefault="00F32AB1" w:rsidP="00F32AB1">
      <w:pPr>
        <w:pStyle w:val="5"/>
        <w:keepNext w:val="0"/>
        <w:numPr>
          <w:ilvl w:val="0"/>
          <w:numId w:val="0"/>
        </w:numPr>
      </w:pPr>
      <w:bookmarkStart w:id="566" w:name="_Toc209798259"/>
      <w:bookmarkStart w:id="567" w:name="_Toc210055426"/>
      <w:bookmarkStart w:id="568" w:name="_Toc210059722"/>
      <w:bookmarkStart w:id="569" w:name="_Toc210218233"/>
      <w:bookmarkStart w:id="570" w:name="_Toc210394919"/>
      <w:bookmarkStart w:id="571" w:name="_Toc210494449"/>
      <w:bookmarkStart w:id="572" w:name="_Toc210570641"/>
      <w:bookmarkStart w:id="573" w:name="_Toc210570686"/>
      <w:bookmarkStart w:id="574" w:name="_Toc213068748"/>
      <w:bookmarkStart w:id="575" w:name="_Toc213068915"/>
      <w:bookmarkStart w:id="576" w:name="_Toc213072177"/>
      <w:bookmarkStart w:id="577" w:name="_Toc213075534"/>
      <w:bookmarkStart w:id="578" w:name="_Toc213321627"/>
      <w:bookmarkStart w:id="579" w:name="_Toc213350083"/>
      <w:bookmarkStart w:id="580" w:name="_Toc213416200"/>
      <w:bookmarkStart w:id="581" w:name="_Toc213427600"/>
      <w:bookmarkStart w:id="582" w:name="_Toc213681672"/>
      <w:bookmarkStart w:id="583" w:name="_Toc213774242"/>
      <w:bookmarkStart w:id="584" w:name="_Toc214125171"/>
      <w:bookmarkStart w:id="585" w:name="_Toc214379758"/>
      <w:bookmarkStart w:id="586" w:name="_Toc214387580"/>
      <w:bookmarkStart w:id="587" w:name="_Toc214448284"/>
      <w:bookmarkStart w:id="588" w:name="_Toc214473789"/>
      <w:r w:rsidRPr="005328EB">
        <w:t>Αναμόρφωση</w:t>
      </w:r>
      <w:r>
        <w:t xml:space="preserve"> τεκμηρίων δια</w:t>
      </w:r>
      <w:r w:rsidRPr="005328EB">
        <w:t>βίωσης</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1C0E6D30" w14:textId="77777777" w:rsidR="00F32AB1" w:rsidRPr="00AB5252" w:rsidRDefault="00F32AB1" w:rsidP="00F32AB1">
      <w:r w:rsidRPr="00AB5252">
        <w:t>Θεσπίζονται μεταρρυθμίσεις σχετικά με τα τεκμήρια διαβίωσης με στόχο τη μείωση της φορολογικής επιβάρυνσης για περίπου 477.000 φορολογούμενους</w:t>
      </w:r>
      <w:r>
        <w:t xml:space="preserve">, </w:t>
      </w:r>
      <w:r w:rsidRPr="00AB5252">
        <w:t>ετήσιο</w:t>
      </w:r>
      <w:r>
        <w:t>υ</w:t>
      </w:r>
      <w:r w:rsidRPr="00AB5252">
        <w:t xml:space="preserve"> κόστο</w:t>
      </w:r>
      <w:r>
        <w:t>υ</w:t>
      </w:r>
      <w:r w:rsidRPr="00AB5252">
        <w:t>ς 40 εκατ. ευρώ.</w:t>
      </w:r>
    </w:p>
    <w:p w14:paraId="707F8002" w14:textId="77777777" w:rsidR="00F32AB1" w:rsidRPr="007C63B1" w:rsidRDefault="00F32AB1" w:rsidP="00F32AB1">
      <w:pPr>
        <w:spacing w:before="120"/>
        <w:rPr>
          <w:rFonts w:ascii="Calibri" w:hAnsi="Calibri" w:cs="Calibri"/>
        </w:rPr>
      </w:pPr>
      <w:r w:rsidRPr="00AB5252">
        <w:t>Ειδικότερα</w:t>
      </w:r>
      <w:r>
        <w:t>, οι εν λόγω μεταρρυθμίσεις συνίστανται στα ακόλουθα</w:t>
      </w:r>
      <w:r w:rsidRPr="007C63B1">
        <w:rPr>
          <w:rFonts w:ascii="Calibri" w:hAnsi="Calibri" w:cs="Calibri"/>
        </w:rPr>
        <w:t>:</w:t>
      </w:r>
    </w:p>
    <w:p w14:paraId="665EC80E" w14:textId="77777777" w:rsidR="00F32AB1" w:rsidRPr="00AB5252" w:rsidRDefault="00F32AB1" w:rsidP="00F32AB1">
      <w:pPr>
        <w:numPr>
          <w:ilvl w:val="0"/>
          <w:numId w:val="1"/>
        </w:numPr>
        <w:spacing w:before="120" w:after="60"/>
        <w:ind w:left="568" w:hanging="284"/>
        <w:rPr>
          <w:rFonts w:cs="Arial"/>
        </w:rPr>
      </w:pPr>
      <w:r>
        <w:rPr>
          <w:rFonts w:cs="Arial"/>
        </w:rPr>
        <w:t>μ</w:t>
      </w:r>
      <w:r w:rsidRPr="00AB5252">
        <w:rPr>
          <w:rFonts w:cs="Arial"/>
        </w:rPr>
        <w:t>ε</w:t>
      </w:r>
      <w:r>
        <w:rPr>
          <w:rFonts w:cs="Arial"/>
        </w:rPr>
        <w:t xml:space="preserve">ίωση των </w:t>
      </w:r>
      <w:r w:rsidRPr="00AB5252">
        <w:rPr>
          <w:rFonts w:cs="Arial"/>
        </w:rPr>
        <w:t>συντελεστ</w:t>
      </w:r>
      <w:r>
        <w:rPr>
          <w:rFonts w:cs="Arial"/>
        </w:rPr>
        <w:t>ών</w:t>
      </w:r>
      <w:r w:rsidRPr="00AB5252">
        <w:rPr>
          <w:rFonts w:cs="Arial"/>
        </w:rPr>
        <w:t xml:space="preserve"> που προσδιορίζουν τις αντικειμενικές δαπάνες για κατοικίες</w:t>
      </w:r>
      <w:r>
        <w:rPr>
          <w:rFonts w:cs="Arial"/>
        </w:rPr>
        <w:t>, η οποία κυμαίνεται από 30% έως 35%,</w:t>
      </w:r>
    </w:p>
    <w:p w14:paraId="5D2DC0B0" w14:textId="77777777" w:rsidR="00F32AB1" w:rsidRPr="00AB5252" w:rsidRDefault="00F32AB1" w:rsidP="00F32AB1">
      <w:pPr>
        <w:numPr>
          <w:ilvl w:val="0"/>
          <w:numId w:val="1"/>
        </w:numPr>
        <w:spacing w:before="60" w:after="60"/>
        <w:ind w:left="568" w:hanging="284"/>
        <w:rPr>
          <w:rFonts w:cs="Arial"/>
        </w:rPr>
      </w:pPr>
      <w:r>
        <w:t xml:space="preserve">υπολογισμός της </w:t>
      </w:r>
      <w:r w:rsidRPr="00AB5252">
        <w:t>τεκμαρτή</w:t>
      </w:r>
      <w:r>
        <w:t xml:space="preserve">ς </w:t>
      </w:r>
      <w:r w:rsidRPr="00AB5252">
        <w:t>δαπάνη</w:t>
      </w:r>
      <w:r>
        <w:t>ς</w:t>
      </w:r>
      <w:r w:rsidRPr="00AB5252">
        <w:t xml:space="preserve"> για τα αυτοκίνητα που ταξινομήθηκαν μετά την </w:t>
      </w:r>
      <w:r>
        <w:t>01η.11.</w:t>
      </w:r>
      <w:r w:rsidRPr="00AB5252">
        <w:t>2010</w:t>
      </w:r>
      <w:r>
        <w:t xml:space="preserve"> </w:t>
      </w:r>
      <w:r w:rsidRPr="00AB5252">
        <w:t xml:space="preserve">με βάση </w:t>
      </w:r>
      <w:r>
        <w:t xml:space="preserve">εφεξής </w:t>
      </w:r>
      <w:r w:rsidRPr="00AB5252">
        <w:t xml:space="preserve">τις εκπομπές </w:t>
      </w:r>
      <w:r>
        <w:t xml:space="preserve">διοξειδίου του άνθρακα </w:t>
      </w:r>
      <w:r w:rsidRPr="00AB5252">
        <w:t>(κατ’ αναλογία</w:t>
      </w:r>
      <w:r w:rsidRPr="00AB5252" w:rsidDel="00790839">
        <w:t xml:space="preserve"> </w:t>
      </w:r>
      <w:r w:rsidRPr="00AB5252">
        <w:t xml:space="preserve">με τα τέλη κυκλοφορίας) </w:t>
      </w:r>
      <w:r>
        <w:t xml:space="preserve">και όχι με βάση </w:t>
      </w:r>
      <w:r w:rsidRPr="00AB5252">
        <w:t>τα κυβικά εκατοστά</w:t>
      </w:r>
      <w:r>
        <w:t xml:space="preserve">. Η εν λόγω παρέμβαση </w:t>
      </w:r>
      <w:r w:rsidRPr="00AB5252">
        <w:t>ευνο</w:t>
      </w:r>
      <w:r>
        <w:t xml:space="preserve">εί </w:t>
      </w:r>
      <w:r w:rsidRPr="00AB5252">
        <w:t>την αγορά νεότερων οχημάτων</w:t>
      </w:r>
      <w:r>
        <w:t>, κάτω της δεκαετίας, με χαμηλότερες εκπομπές ρύπων,</w:t>
      </w:r>
    </w:p>
    <w:p w14:paraId="3F460697" w14:textId="77777777" w:rsidR="00F32AB1" w:rsidRDefault="00F32AB1" w:rsidP="00EC630C">
      <w:pPr>
        <w:numPr>
          <w:ilvl w:val="0"/>
          <w:numId w:val="12"/>
        </w:numPr>
        <w:spacing w:before="60" w:after="60"/>
        <w:ind w:left="568" w:hanging="284"/>
      </w:pPr>
      <w:r>
        <w:t xml:space="preserve">μείωση της </w:t>
      </w:r>
      <w:r w:rsidRPr="00AB5252">
        <w:t>τεκμαρτή</w:t>
      </w:r>
      <w:r>
        <w:t>ς</w:t>
      </w:r>
      <w:r w:rsidRPr="00AB5252">
        <w:t xml:space="preserve"> δαπάνη</w:t>
      </w:r>
      <w:r>
        <w:t>ς</w:t>
      </w:r>
      <w:r w:rsidRPr="00AB5252">
        <w:t xml:space="preserve"> για τα νεότερα</w:t>
      </w:r>
      <w:r>
        <w:t xml:space="preserve"> σκάφη</w:t>
      </w:r>
      <w:r w:rsidRPr="00AB5252">
        <w:t xml:space="preserve"> </w:t>
      </w:r>
      <w:r>
        <w:t>στα χαμηλότερα επίπεδα, όπως ισχύει για τα παλαιότερα σκάφη και</w:t>
      </w:r>
    </w:p>
    <w:p w14:paraId="7C77A2D9" w14:textId="77777777" w:rsidR="00F32AB1" w:rsidRPr="00AB5252" w:rsidRDefault="00F32AB1" w:rsidP="00EC630C">
      <w:pPr>
        <w:numPr>
          <w:ilvl w:val="0"/>
          <w:numId w:val="12"/>
        </w:numPr>
        <w:spacing w:before="60"/>
        <w:ind w:left="568" w:hanging="284"/>
      </w:pPr>
      <w:r>
        <w:t>εξαίρεση</w:t>
      </w:r>
      <w:r w:rsidRPr="00122DE4">
        <w:t xml:space="preserve"> από την ελάχιστη αντικειμενική δαπάνη τ</w:t>
      </w:r>
      <w:r>
        <w:t>ων</w:t>
      </w:r>
      <w:r w:rsidRPr="00122DE4">
        <w:t xml:space="preserve"> εξαρτώμεν</w:t>
      </w:r>
      <w:r>
        <w:t>ων</w:t>
      </w:r>
      <w:r w:rsidRPr="00122DE4">
        <w:t xml:space="preserve"> τέκν</w:t>
      </w:r>
      <w:r>
        <w:t>ων</w:t>
      </w:r>
      <w:r w:rsidRPr="00122DE4">
        <w:t xml:space="preserve"> που έχουν ίδιο εισόδημα.</w:t>
      </w:r>
    </w:p>
    <w:p w14:paraId="3A5F8E14" w14:textId="77777777" w:rsidR="00F32AB1" w:rsidRDefault="00F32AB1" w:rsidP="00F32AB1">
      <w:pPr>
        <w:pStyle w:val="5"/>
        <w:keepNext w:val="0"/>
        <w:numPr>
          <w:ilvl w:val="0"/>
          <w:numId w:val="0"/>
        </w:numPr>
      </w:pPr>
      <w:bookmarkStart w:id="589" w:name="_Toc209798262"/>
      <w:bookmarkStart w:id="590" w:name="_Toc210055429"/>
      <w:bookmarkStart w:id="591" w:name="_Toc210059725"/>
      <w:bookmarkStart w:id="592" w:name="_Toc210218236"/>
      <w:bookmarkStart w:id="593" w:name="_Toc210394920"/>
      <w:bookmarkStart w:id="594" w:name="_Toc210494450"/>
      <w:bookmarkStart w:id="595" w:name="_Toc210570642"/>
      <w:bookmarkStart w:id="596" w:name="_Toc210570687"/>
      <w:bookmarkStart w:id="597" w:name="_Toc213068749"/>
      <w:bookmarkStart w:id="598" w:name="_Toc213068916"/>
      <w:bookmarkStart w:id="599" w:name="_Toc213072178"/>
      <w:bookmarkStart w:id="600" w:name="_Toc213075535"/>
      <w:bookmarkStart w:id="601" w:name="_Toc213321628"/>
      <w:bookmarkStart w:id="602" w:name="_Toc213350084"/>
      <w:bookmarkStart w:id="603" w:name="_Toc213416201"/>
      <w:bookmarkStart w:id="604" w:name="_Toc213427601"/>
      <w:bookmarkStart w:id="605" w:name="_Toc213681673"/>
      <w:bookmarkStart w:id="606" w:name="_Toc213774243"/>
      <w:bookmarkStart w:id="607" w:name="_Toc214125172"/>
      <w:bookmarkStart w:id="608" w:name="_Toc214379759"/>
      <w:bookmarkStart w:id="609" w:name="_Toc214387581"/>
      <w:bookmarkStart w:id="610" w:name="_Toc214448285"/>
      <w:bookmarkStart w:id="611" w:name="_Toc214473790"/>
      <w:r w:rsidRPr="00AF4A66">
        <w:t>Ενίσχυση</w:t>
      </w:r>
      <w:r>
        <w:t xml:space="preserve"> επενδύσεων</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7EDA5CBE" w14:textId="77777777" w:rsidR="00F32AB1" w:rsidRPr="00970494" w:rsidRDefault="00F32AB1" w:rsidP="00F32AB1">
      <w:pPr>
        <w:rPr>
          <w:lang w:eastAsia="x-none"/>
        </w:rPr>
      </w:pPr>
      <w:r>
        <w:rPr>
          <w:lang w:eastAsia="x-none"/>
        </w:rPr>
        <w:t>Οι παρεμβάσεις που αποβλέπουν στην ενίσχυση των ιδιωτικών επενδύσεων είναι οι ακόλουθες:</w:t>
      </w:r>
    </w:p>
    <w:p w14:paraId="1A24F02B" w14:textId="393D21C6" w:rsidR="00F32AB1" w:rsidRPr="00CC2581" w:rsidRDefault="00F32AB1" w:rsidP="00282D22">
      <w:pPr>
        <w:numPr>
          <w:ilvl w:val="0"/>
          <w:numId w:val="1"/>
        </w:numPr>
        <w:spacing w:before="120" w:after="60"/>
        <w:ind w:left="568" w:hanging="284"/>
        <w:rPr>
          <w:rFonts w:cs="Arial"/>
        </w:rPr>
      </w:pPr>
      <w:r w:rsidRPr="00CC2581">
        <w:rPr>
          <w:rFonts w:cs="Arial"/>
        </w:rPr>
        <w:t>αύξηση του εθνικού σκέλους του προϋπολογισμού δημοσίων επενδύσεων κατά 500 εκατ. ευρώ σε μόνιμη βάση από το 2025, ανερχόμενου σε 3,3 δισ. ευρώ το 2026</w:t>
      </w:r>
      <w:r w:rsidR="00CC2581" w:rsidRPr="00CC2581">
        <w:rPr>
          <w:rFonts w:cs="Arial"/>
        </w:rPr>
        <w:t xml:space="preserve"> </w:t>
      </w:r>
      <w:bookmarkStart w:id="612" w:name="_Hlk213519775"/>
      <w:r w:rsidR="00CC2581" w:rsidRPr="00CC2581">
        <w:rPr>
          <w:rFonts w:cs="Arial"/>
        </w:rPr>
        <w:t>(έναντι 2,8 δισ. ευρώ</w:t>
      </w:r>
      <w:r w:rsidR="00722DBF">
        <w:rPr>
          <w:rFonts w:cs="Arial"/>
        </w:rPr>
        <w:t>,</w:t>
      </w:r>
      <w:r w:rsidR="00CC2581" w:rsidRPr="00CC2581">
        <w:rPr>
          <w:rFonts w:cs="Arial"/>
        </w:rPr>
        <w:t xml:space="preserve"> που ήταν η πρόβλεψη στο ΜΔΣ)</w:t>
      </w:r>
      <w:bookmarkEnd w:id="612"/>
      <w:r w:rsidR="00CC2581" w:rsidRPr="00CC2581">
        <w:rPr>
          <w:rFonts w:cs="Arial"/>
        </w:rPr>
        <w:t>, με περαιτέρω αύξηση το 2027 σε 3,6 δισ. ευρώ (έναντι 3,0 δισ. ευρώ</w:t>
      </w:r>
      <w:r w:rsidR="00722DBF">
        <w:rPr>
          <w:rFonts w:cs="Arial"/>
        </w:rPr>
        <w:t>,</w:t>
      </w:r>
      <w:r w:rsidR="00CC2581" w:rsidRPr="00CC2581">
        <w:rPr>
          <w:rFonts w:cs="Arial"/>
        </w:rPr>
        <w:t xml:space="preserve"> που ήταν η πρόβλεψη στο ΜΔΣ),</w:t>
      </w:r>
    </w:p>
    <w:p w14:paraId="161E60F0" w14:textId="77777777" w:rsidR="00F32AB1" w:rsidRPr="00AB5252" w:rsidRDefault="00F32AB1" w:rsidP="00F32AB1">
      <w:pPr>
        <w:numPr>
          <w:ilvl w:val="0"/>
          <w:numId w:val="1"/>
        </w:numPr>
        <w:spacing w:before="60" w:after="60"/>
        <w:ind w:left="568" w:hanging="284"/>
        <w:rPr>
          <w:rFonts w:cs="Arial"/>
        </w:rPr>
      </w:pPr>
      <w:r w:rsidRPr="00D02CBF">
        <w:rPr>
          <w:rFonts w:cs="Arial"/>
        </w:rPr>
        <w:t>νέα δράση του Προγράμματος Δίκαιης Αναπτυξιακής Μετάβασης</w:t>
      </w:r>
      <w:r>
        <w:rPr>
          <w:rFonts w:cs="Arial"/>
        </w:rPr>
        <w:t xml:space="preserve"> </w:t>
      </w:r>
      <w:r w:rsidRPr="00AB5252">
        <w:rPr>
          <w:rFonts w:cs="Arial"/>
        </w:rPr>
        <w:t xml:space="preserve">για την ενίσχυση επενδυτικών σχεδίων για νέες αλλά και </w:t>
      </w:r>
      <w:r>
        <w:rPr>
          <w:rFonts w:cs="Arial"/>
        </w:rPr>
        <w:t xml:space="preserve">για </w:t>
      </w:r>
      <w:r w:rsidRPr="00AB5252">
        <w:rPr>
          <w:rFonts w:cs="Arial"/>
        </w:rPr>
        <w:t xml:space="preserve">υφιστάμενες πολύ μικρές και μικρές επιχειρήσεις σε περιοχές Δίκαιης Αναπτυξιακής Μετάβασης (Περιφέρεια Δυτικής Μακεδονίας </w:t>
      </w:r>
      <w:r>
        <w:rPr>
          <w:rFonts w:cs="Arial"/>
        </w:rPr>
        <w:t>και</w:t>
      </w:r>
      <w:r w:rsidRPr="00AB5252">
        <w:rPr>
          <w:rFonts w:cs="Arial"/>
        </w:rPr>
        <w:t xml:space="preserve"> Δήμοι Μεγαλόπολης, Τρίπολης, Γορτυνίας και Οιχαλίας)</w:t>
      </w:r>
      <w:r>
        <w:rPr>
          <w:rFonts w:cs="Arial"/>
        </w:rPr>
        <w:t>,</w:t>
      </w:r>
    </w:p>
    <w:p w14:paraId="26799D53" w14:textId="79458DDB" w:rsidR="00F32AB1" w:rsidRPr="00AB5252" w:rsidRDefault="00F32AB1" w:rsidP="00F32AB1">
      <w:pPr>
        <w:numPr>
          <w:ilvl w:val="0"/>
          <w:numId w:val="1"/>
        </w:numPr>
        <w:spacing w:before="60" w:after="60"/>
        <w:ind w:left="568" w:hanging="284"/>
        <w:rPr>
          <w:rFonts w:cs="Arial"/>
        </w:rPr>
      </w:pPr>
      <w:r>
        <w:rPr>
          <w:rFonts w:cs="Arial"/>
        </w:rPr>
        <w:t xml:space="preserve">δράση </w:t>
      </w:r>
      <w:r w:rsidRPr="00AB5252">
        <w:rPr>
          <w:rFonts w:cs="Arial"/>
        </w:rPr>
        <w:t xml:space="preserve">200 εκατ. ευρώ </w:t>
      </w:r>
      <w:r>
        <w:rPr>
          <w:rFonts w:cs="Arial"/>
        </w:rPr>
        <w:t xml:space="preserve">στο πλαίσιο του </w:t>
      </w:r>
      <w:r w:rsidRPr="00722DBF">
        <w:rPr>
          <w:rFonts w:cs="Arial"/>
        </w:rPr>
        <w:t>ΕΣΠΑ 2021 - 2027 για</w:t>
      </w:r>
      <w:r w:rsidRPr="00AB5252">
        <w:rPr>
          <w:rFonts w:cs="Arial"/>
        </w:rPr>
        <w:t xml:space="preserve"> την ενίσχυση της ανταγωνιστικότητας και της εξωστρέφειας των </w:t>
      </w:r>
      <w:r>
        <w:rPr>
          <w:rFonts w:cs="Arial"/>
        </w:rPr>
        <w:t>μ</w:t>
      </w:r>
      <w:r w:rsidRPr="00AB5252">
        <w:rPr>
          <w:rFonts w:cs="Arial"/>
        </w:rPr>
        <w:t xml:space="preserve">ικρομεσαίων </w:t>
      </w:r>
      <w:r>
        <w:rPr>
          <w:rFonts w:cs="Arial"/>
        </w:rPr>
        <w:t>ε</w:t>
      </w:r>
      <w:r w:rsidRPr="00AB5252">
        <w:rPr>
          <w:rFonts w:cs="Arial"/>
        </w:rPr>
        <w:t>πιχειρήσεων</w:t>
      </w:r>
      <w:r>
        <w:rPr>
          <w:rFonts w:cs="Arial"/>
        </w:rPr>
        <w:t xml:space="preserve"> </w:t>
      </w:r>
      <w:r w:rsidRPr="00AB5252">
        <w:rPr>
          <w:rFonts w:cs="Arial"/>
        </w:rPr>
        <w:t>στους τομείς της μεταποίησης και των υπηρεσιών</w:t>
      </w:r>
      <w:r>
        <w:rPr>
          <w:rFonts w:cs="Arial"/>
        </w:rPr>
        <w:t>,</w:t>
      </w:r>
    </w:p>
    <w:p w14:paraId="22952D3B" w14:textId="77777777" w:rsidR="00F32AB1" w:rsidRPr="00AB5252" w:rsidRDefault="00F32AB1" w:rsidP="00F32AB1">
      <w:pPr>
        <w:numPr>
          <w:ilvl w:val="0"/>
          <w:numId w:val="1"/>
        </w:numPr>
        <w:spacing w:before="60" w:after="60"/>
        <w:ind w:left="568" w:hanging="284"/>
        <w:rPr>
          <w:rFonts w:cs="Arial"/>
        </w:rPr>
      </w:pPr>
      <w:r>
        <w:rPr>
          <w:rFonts w:cs="Arial"/>
        </w:rPr>
        <w:t>σ</w:t>
      </w:r>
      <w:r w:rsidRPr="00AB5252">
        <w:rPr>
          <w:rFonts w:cs="Arial"/>
        </w:rPr>
        <w:t>τοχευμένη δράση 50 εκατ. ευρώ για κλάδους με υστέρηση στο εμπορικό ισοζύγιο</w:t>
      </w:r>
      <w:r>
        <w:rPr>
          <w:rFonts w:cs="Arial"/>
        </w:rPr>
        <w:t>,</w:t>
      </w:r>
    </w:p>
    <w:p w14:paraId="4FF4ED20" w14:textId="77777777" w:rsidR="00F32AB1" w:rsidRPr="00AB5252" w:rsidRDefault="00F32AB1" w:rsidP="00F32AB1">
      <w:pPr>
        <w:numPr>
          <w:ilvl w:val="0"/>
          <w:numId w:val="1"/>
        </w:numPr>
        <w:spacing w:before="60" w:after="60"/>
        <w:ind w:left="568" w:hanging="284"/>
        <w:rPr>
          <w:rFonts w:cs="Arial"/>
        </w:rPr>
      </w:pPr>
      <w:r>
        <w:rPr>
          <w:rFonts w:cs="Arial"/>
        </w:rPr>
        <w:t>δ</w:t>
      </w:r>
      <w:r w:rsidRPr="00AB5252">
        <w:rPr>
          <w:rFonts w:cs="Arial"/>
        </w:rPr>
        <w:t>ράση 70 εκατ. ευρώ για την ενίσχυση της αυτοαπασχόλησης πτυχιούχων που ενδιαφέρονται να αναπτύξουν νέα επιχειρηματική δραστηριότητα</w:t>
      </w:r>
      <w:r>
        <w:rPr>
          <w:rFonts w:cs="Arial"/>
        </w:rPr>
        <w:t>,</w:t>
      </w:r>
    </w:p>
    <w:p w14:paraId="0239C36A" w14:textId="77777777" w:rsidR="00F32AB1" w:rsidRPr="00AB5252" w:rsidRDefault="00F32AB1" w:rsidP="00F32AB1">
      <w:pPr>
        <w:numPr>
          <w:ilvl w:val="0"/>
          <w:numId w:val="1"/>
        </w:numPr>
        <w:spacing w:before="60" w:after="60"/>
        <w:ind w:left="568" w:hanging="284"/>
        <w:rPr>
          <w:rFonts w:cs="Arial"/>
        </w:rPr>
      </w:pPr>
      <w:r w:rsidRPr="00AB5252">
        <w:rPr>
          <w:rFonts w:cs="Arial"/>
        </w:rPr>
        <w:t xml:space="preserve">χρηματοδότηση δράσης για τις επιχειρήσεις που θα επενδύσουν στην ανάπτυξη ή/και </w:t>
      </w:r>
      <w:r>
        <w:rPr>
          <w:rFonts w:cs="Arial"/>
        </w:rPr>
        <w:t xml:space="preserve">στην </w:t>
      </w:r>
      <w:r w:rsidRPr="00AB5252">
        <w:rPr>
          <w:rFonts w:cs="Arial"/>
        </w:rPr>
        <w:t xml:space="preserve">παραγωγή στους τομείς των ψηφιακών τεχνολογιών, της βιοτεχνολογίας και των καθαρών και </w:t>
      </w:r>
      <w:r w:rsidRPr="00AB5252">
        <w:rPr>
          <w:rFonts w:cs="Arial"/>
        </w:rPr>
        <w:lastRenderedPageBreak/>
        <w:t>αποδοτικών ως προς τη χρήση των πόρων τεχνολογιών</w:t>
      </w:r>
      <w:r>
        <w:rPr>
          <w:rFonts w:cs="Arial"/>
        </w:rPr>
        <w:t>,</w:t>
      </w:r>
      <w:r w:rsidRPr="00AB5252">
        <w:rPr>
          <w:rFonts w:cs="Arial"/>
        </w:rPr>
        <w:t xml:space="preserve"> με προϋπολογισμό 50 εκατ. ευρώ (ευρωπαϊκή πρωτοβουλία STEP)</w:t>
      </w:r>
      <w:r>
        <w:rPr>
          <w:rFonts w:cs="Arial"/>
        </w:rPr>
        <w:t>,</w:t>
      </w:r>
    </w:p>
    <w:p w14:paraId="7D0A645D" w14:textId="77777777" w:rsidR="00F32AB1" w:rsidRPr="00AB5252" w:rsidRDefault="00F32AB1" w:rsidP="00F32AB1">
      <w:pPr>
        <w:numPr>
          <w:ilvl w:val="0"/>
          <w:numId w:val="1"/>
        </w:numPr>
        <w:spacing w:before="60" w:after="60"/>
        <w:ind w:left="568" w:hanging="284"/>
        <w:rPr>
          <w:rFonts w:cs="Arial"/>
        </w:rPr>
      </w:pPr>
      <w:r>
        <w:rPr>
          <w:rFonts w:cs="Arial"/>
        </w:rPr>
        <w:t>α</w:t>
      </w:r>
      <w:r w:rsidRPr="00AB5252">
        <w:rPr>
          <w:rFonts w:cs="Arial"/>
        </w:rPr>
        <w:t>ύξηση κατά 300 εκατ. ευρώ του εγγυοδοτικού προγράμματος InvestEU</w:t>
      </w:r>
      <w:r>
        <w:rPr>
          <w:rFonts w:cs="Arial"/>
        </w:rPr>
        <w:t>,</w:t>
      </w:r>
      <w:r w:rsidRPr="00AB5252">
        <w:rPr>
          <w:rFonts w:cs="Arial"/>
        </w:rPr>
        <w:t xml:space="preserve"> </w:t>
      </w:r>
      <w:r>
        <w:rPr>
          <w:rFonts w:cs="Arial"/>
        </w:rPr>
        <w:t xml:space="preserve">στο πλαίσιο του ΤΑΑ, </w:t>
      </w:r>
      <w:r w:rsidRPr="00AB5252">
        <w:rPr>
          <w:rFonts w:cs="Arial"/>
        </w:rPr>
        <w:t>για τη στήριξη των</w:t>
      </w:r>
      <w:r>
        <w:rPr>
          <w:rFonts w:cs="Arial"/>
        </w:rPr>
        <w:t xml:space="preserve"> μικρομεσαίων επιχειρήσεων και</w:t>
      </w:r>
      <w:r w:rsidRPr="00AB5252">
        <w:rPr>
          <w:rFonts w:cs="Arial"/>
        </w:rPr>
        <w:t xml:space="preserve"> με στόχο να κινητοποιηθούν δάνεια ύψους 3,6 δισ. ευρώ, τα οποία θα στηρίξουν τουλάχιστον 25.000</w:t>
      </w:r>
      <w:r>
        <w:rPr>
          <w:rFonts w:cs="Arial"/>
        </w:rPr>
        <w:t xml:space="preserve"> μικρομεσαίες επιχειρήσεις </w:t>
      </w:r>
      <w:r w:rsidRPr="00AB5252">
        <w:rPr>
          <w:rFonts w:cs="Arial"/>
        </w:rPr>
        <w:t>σε όλη τη χώρα</w:t>
      </w:r>
      <w:r>
        <w:rPr>
          <w:rFonts w:cs="Arial"/>
        </w:rPr>
        <w:t>,</w:t>
      </w:r>
    </w:p>
    <w:p w14:paraId="12B94019" w14:textId="09A3E285" w:rsidR="00F32AB1" w:rsidRPr="00AB5252" w:rsidRDefault="00F32AB1" w:rsidP="00F32AB1">
      <w:pPr>
        <w:numPr>
          <w:ilvl w:val="0"/>
          <w:numId w:val="1"/>
        </w:numPr>
        <w:spacing w:before="60" w:after="60"/>
        <w:ind w:left="568" w:hanging="284"/>
        <w:rPr>
          <w:rFonts w:cs="Arial"/>
        </w:rPr>
      </w:pPr>
      <w:r>
        <w:rPr>
          <w:rFonts w:cs="Arial"/>
        </w:rPr>
        <w:t xml:space="preserve">επέκταση </w:t>
      </w:r>
      <w:r w:rsidRPr="00AB5252">
        <w:rPr>
          <w:rFonts w:cs="Arial"/>
        </w:rPr>
        <w:t>της χρηματοδότησης</w:t>
      </w:r>
      <w:r>
        <w:rPr>
          <w:rFonts w:cs="Arial"/>
        </w:rPr>
        <w:t xml:space="preserve"> </w:t>
      </w:r>
      <w:r w:rsidRPr="00AB5252">
        <w:rPr>
          <w:rFonts w:cs="Arial"/>
        </w:rPr>
        <w:t xml:space="preserve">του Ταμείου Χαρτοφυλακίου ΤΕΠΙΧ ΙΙΙ </w:t>
      </w:r>
      <w:r>
        <w:rPr>
          <w:rFonts w:cs="Arial"/>
        </w:rPr>
        <w:t xml:space="preserve">μέσω της </w:t>
      </w:r>
      <w:r w:rsidRPr="00AB5252">
        <w:rPr>
          <w:rFonts w:cs="Arial"/>
        </w:rPr>
        <w:t>Ε</w:t>
      </w:r>
      <w:r>
        <w:rPr>
          <w:rFonts w:cs="Arial"/>
        </w:rPr>
        <w:t>ΑΤ</w:t>
      </w:r>
      <w:r w:rsidRPr="00AB5252">
        <w:rPr>
          <w:rFonts w:cs="Arial"/>
        </w:rPr>
        <w:t xml:space="preserve"> με επιπλέον πόρους 780 εκατ. ευρώ</w:t>
      </w:r>
      <w:r>
        <w:rPr>
          <w:rFonts w:cs="Arial"/>
        </w:rPr>
        <w:t xml:space="preserve"> για επιχειρηματικά δάνεια μικρομεσαίων επιχειρήσεων,</w:t>
      </w:r>
    </w:p>
    <w:p w14:paraId="67DCB04F" w14:textId="77777777" w:rsidR="00F32AB1" w:rsidRPr="00AB5252" w:rsidRDefault="00F32AB1" w:rsidP="00F32AB1">
      <w:pPr>
        <w:numPr>
          <w:ilvl w:val="0"/>
          <w:numId w:val="1"/>
        </w:numPr>
        <w:spacing w:before="60" w:after="60"/>
        <w:ind w:left="568" w:hanging="284"/>
        <w:rPr>
          <w:rFonts w:cs="Arial"/>
        </w:rPr>
      </w:pPr>
      <w:r>
        <w:rPr>
          <w:rFonts w:cs="Arial"/>
        </w:rPr>
        <w:t xml:space="preserve">θεσμοθέτηση </w:t>
      </w:r>
      <w:r w:rsidRPr="00AB5252">
        <w:rPr>
          <w:rFonts w:cs="Arial"/>
        </w:rPr>
        <w:t xml:space="preserve">νέων ταμείων το 2026, όπως το Ταμείο Αγροτικής Επιχειρηματικότητας (έως 170 εκατ. ευρώ), το Ταμείο Εγγυοδοσίας DeLFI Plus (έως 500 εκατ. ευρώ) και το Patent Fund (41,4 εκατ. ευρώ) για τη στήριξη </w:t>
      </w:r>
      <w:r>
        <w:rPr>
          <w:rFonts w:cs="Arial"/>
        </w:rPr>
        <w:t xml:space="preserve">της </w:t>
      </w:r>
      <w:r w:rsidRPr="00AB5252">
        <w:rPr>
          <w:rFonts w:cs="Arial"/>
        </w:rPr>
        <w:t>κατοχύρωσης ευρεσιτεχνιών</w:t>
      </w:r>
      <w:r>
        <w:rPr>
          <w:rFonts w:cs="Arial"/>
        </w:rPr>
        <w:t xml:space="preserve"> και</w:t>
      </w:r>
    </w:p>
    <w:p w14:paraId="1864AD81" w14:textId="7E5D8ACA" w:rsidR="00F32AB1" w:rsidRPr="00AB5252" w:rsidRDefault="00F32AB1" w:rsidP="00EC630C">
      <w:pPr>
        <w:numPr>
          <w:ilvl w:val="0"/>
          <w:numId w:val="12"/>
        </w:numPr>
        <w:spacing w:before="60"/>
        <w:ind w:left="568" w:hanging="284"/>
      </w:pPr>
      <w:r>
        <w:t>υ</w:t>
      </w:r>
      <w:r w:rsidRPr="00AB5252">
        <w:t xml:space="preserve">περεκπτώσεις </w:t>
      </w:r>
      <w:r>
        <w:t>ε</w:t>
      </w:r>
      <w:r w:rsidRPr="00AB5252">
        <w:t xml:space="preserve">πενδυτικών </w:t>
      </w:r>
      <w:r>
        <w:t>δ</w:t>
      </w:r>
      <w:r w:rsidRPr="00AB5252">
        <w:t>απανών</w:t>
      </w:r>
      <w:r>
        <w:t xml:space="preserve"> με στόχο την ενίσχυση των </w:t>
      </w:r>
      <w:r w:rsidRPr="00AB5252">
        <w:t>ιδιωτικ</w:t>
      </w:r>
      <w:r>
        <w:t>ών</w:t>
      </w:r>
      <w:r w:rsidRPr="00AB5252">
        <w:t xml:space="preserve"> επενδύσε</w:t>
      </w:r>
      <w:r>
        <w:t>ων σε νευραλγικούς τομείς της βιομηχανίας. Προς αυτή την κατεύθυνση</w:t>
      </w:r>
      <w:r w:rsidRPr="00AB5252">
        <w:t xml:space="preserve"> οι δαπάνες σε στρατηγικούς τομείς</w:t>
      </w:r>
      <w:r>
        <w:t>,</w:t>
      </w:r>
      <w:r w:rsidRPr="00AB5252">
        <w:t xml:space="preserve"> όπως η άμυνα</w:t>
      </w:r>
      <w:r>
        <w:t xml:space="preserve"> και </w:t>
      </w:r>
      <w:r w:rsidRPr="00AB5252">
        <w:t>η κατασκευή οχημάτων</w:t>
      </w:r>
      <w:r>
        <w:t xml:space="preserve"> καθώς και αεροσκαφών και των εξαρτημάτων αυτών,</w:t>
      </w:r>
      <w:r w:rsidRPr="00AB5252">
        <w:t xml:space="preserve"> θα εκπίπτουν από τα ακαθάριστα έσοδα των επιχειρήσεων</w:t>
      </w:r>
      <w:r w:rsidR="00722DBF">
        <w:t>,</w:t>
      </w:r>
      <w:r w:rsidRPr="00AB5252">
        <w:t xml:space="preserve"> προσαυξημένες κατά 100%. Το μέτρο αφορά </w:t>
      </w:r>
      <w:r>
        <w:t xml:space="preserve">σε </w:t>
      </w:r>
      <w:r w:rsidRPr="00AB5252">
        <w:t>επενδύσεις της περιόδου 2026</w:t>
      </w:r>
      <w:r>
        <w:t xml:space="preserve"> - </w:t>
      </w:r>
      <w:r w:rsidRPr="00AB5252">
        <w:t>2028</w:t>
      </w:r>
      <w:r>
        <w:t>,</w:t>
      </w:r>
      <w:r w:rsidRPr="00AB5252">
        <w:t xml:space="preserve"> με το συνολικό ύψος της φορολογικής έκπτωσης να </w:t>
      </w:r>
      <w:r>
        <w:t xml:space="preserve">ανέρχεται στο ποσό των </w:t>
      </w:r>
      <w:r w:rsidRPr="00AB5252">
        <w:t>150 εκατ. ευρώ.</w:t>
      </w:r>
    </w:p>
    <w:p w14:paraId="3D8F9343" w14:textId="77777777" w:rsidR="0037613C" w:rsidRPr="00E07AB4" w:rsidRDefault="0037613C" w:rsidP="0037613C">
      <w:pPr>
        <w:pStyle w:val="5"/>
        <w:keepNext w:val="0"/>
        <w:numPr>
          <w:ilvl w:val="0"/>
          <w:numId w:val="0"/>
        </w:numPr>
      </w:pPr>
      <w:bookmarkStart w:id="613" w:name="_Toc209798263"/>
      <w:bookmarkStart w:id="614" w:name="_Toc210055430"/>
      <w:bookmarkStart w:id="615" w:name="_Toc210059726"/>
      <w:bookmarkStart w:id="616" w:name="_Toc210218237"/>
      <w:bookmarkStart w:id="617" w:name="_Toc210394921"/>
      <w:bookmarkStart w:id="618" w:name="_Toc210494451"/>
      <w:bookmarkStart w:id="619" w:name="_Toc210570643"/>
      <w:bookmarkStart w:id="620" w:name="_Toc210570688"/>
      <w:bookmarkStart w:id="621" w:name="_Toc213068750"/>
      <w:bookmarkStart w:id="622" w:name="_Toc213068917"/>
      <w:bookmarkStart w:id="623" w:name="_Toc213072179"/>
      <w:bookmarkStart w:id="624" w:name="_Toc213075536"/>
      <w:bookmarkStart w:id="625" w:name="_Toc213321629"/>
      <w:bookmarkStart w:id="626" w:name="_Toc213350085"/>
      <w:bookmarkStart w:id="627" w:name="_Toc213416202"/>
      <w:bookmarkStart w:id="628" w:name="_Toc213427602"/>
      <w:bookmarkStart w:id="629" w:name="_Toc213681674"/>
      <w:bookmarkStart w:id="630" w:name="_Toc213774244"/>
      <w:bookmarkStart w:id="631" w:name="_Toc214125173"/>
      <w:bookmarkStart w:id="632" w:name="_Toc214379760"/>
      <w:bookmarkStart w:id="633" w:name="_Toc214387582"/>
      <w:bookmarkStart w:id="634" w:name="_Toc214448286"/>
      <w:bookmarkStart w:id="635" w:name="_Toc214473791"/>
      <w:r w:rsidRPr="00E07AB4">
        <w:t>Λοιπές</w:t>
      </w:r>
      <w:r>
        <w:t xml:space="preserve"> παρεμβάσεις</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48115212" w14:textId="77777777" w:rsidR="0037613C" w:rsidRPr="00AB5252" w:rsidRDefault="0037613C" w:rsidP="0037613C">
      <w:r>
        <w:t>Οι λοιπές π</w:t>
      </w:r>
      <w:r w:rsidRPr="00AB5252">
        <w:t xml:space="preserve">αρεμβάσεις που έλαβαν χώρα το 2025 για </w:t>
      </w:r>
      <w:r>
        <w:t xml:space="preserve">την </w:t>
      </w:r>
      <w:r w:rsidRPr="00AB5252">
        <w:t xml:space="preserve">ενίσχυση του </w:t>
      </w:r>
      <w:r>
        <w:t xml:space="preserve">διαθέσιμου </w:t>
      </w:r>
      <w:r w:rsidRPr="00AB5252">
        <w:t>εισοδήματος</w:t>
      </w:r>
      <w:r>
        <w:t xml:space="preserve"> περιλαμβάνουν</w:t>
      </w:r>
      <w:r w:rsidRPr="00AB5252">
        <w:t>:</w:t>
      </w:r>
    </w:p>
    <w:p w14:paraId="5B86697C" w14:textId="77777777" w:rsidR="0037613C" w:rsidRDefault="0037613C" w:rsidP="0037613C">
      <w:pPr>
        <w:numPr>
          <w:ilvl w:val="0"/>
          <w:numId w:val="1"/>
        </w:numPr>
        <w:spacing w:before="120" w:after="60"/>
        <w:ind w:left="568" w:hanging="284"/>
        <w:rPr>
          <w:rFonts w:cs="Arial"/>
        </w:rPr>
      </w:pPr>
      <w:r>
        <w:rPr>
          <w:rFonts w:cs="Arial"/>
        </w:rPr>
        <w:t>μείωση των ασφαλιστικών εισφορών κατά 1 μονάδα,</w:t>
      </w:r>
    </w:p>
    <w:p w14:paraId="4E8997EE" w14:textId="77777777" w:rsidR="0037613C" w:rsidRDefault="0037613C" w:rsidP="0037613C">
      <w:pPr>
        <w:numPr>
          <w:ilvl w:val="0"/>
          <w:numId w:val="1"/>
        </w:numPr>
        <w:spacing w:before="60" w:after="60"/>
        <w:ind w:left="568" w:hanging="284"/>
        <w:rPr>
          <w:rFonts w:cs="Arial"/>
        </w:rPr>
      </w:pPr>
      <w:r>
        <w:rPr>
          <w:rFonts w:cs="Arial"/>
        </w:rPr>
        <w:t>κ</w:t>
      </w:r>
      <w:r w:rsidRPr="007D113C">
        <w:rPr>
          <w:rFonts w:cs="Arial"/>
        </w:rPr>
        <w:t>ατάργηση</w:t>
      </w:r>
      <w:r>
        <w:rPr>
          <w:rFonts w:cs="Arial"/>
        </w:rPr>
        <w:t xml:space="preserve"> του</w:t>
      </w:r>
      <w:r w:rsidRPr="007D113C">
        <w:rPr>
          <w:rFonts w:cs="Arial"/>
        </w:rPr>
        <w:t xml:space="preserve"> τέλους επιτηδεύματος από το 2025 </w:t>
      </w:r>
      <w:r>
        <w:rPr>
          <w:rFonts w:cs="Arial"/>
        </w:rPr>
        <w:t xml:space="preserve">σε συνέχεια της </w:t>
      </w:r>
      <w:r w:rsidRPr="007D113C">
        <w:rPr>
          <w:rFonts w:cs="Arial"/>
        </w:rPr>
        <w:t>μείωση</w:t>
      </w:r>
      <w:r>
        <w:rPr>
          <w:rFonts w:cs="Arial"/>
        </w:rPr>
        <w:t>ς κατά</w:t>
      </w:r>
      <w:r w:rsidRPr="007D113C">
        <w:rPr>
          <w:rFonts w:cs="Arial"/>
        </w:rPr>
        <w:t xml:space="preserve"> 50% το 2024</w:t>
      </w:r>
      <w:r>
        <w:rPr>
          <w:rFonts w:cs="Arial"/>
        </w:rPr>
        <w:t>,</w:t>
      </w:r>
    </w:p>
    <w:p w14:paraId="0F967628" w14:textId="77777777" w:rsidR="0037613C" w:rsidRDefault="0037613C" w:rsidP="0037613C">
      <w:pPr>
        <w:numPr>
          <w:ilvl w:val="0"/>
          <w:numId w:val="1"/>
        </w:numPr>
        <w:spacing w:before="60" w:after="60"/>
        <w:ind w:left="568" w:hanging="284"/>
        <w:rPr>
          <w:rFonts w:cs="Arial"/>
        </w:rPr>
      </w:pPr>
      <w:r>
        <w:rPr>
          <w:rFonts w:cs="Arial"/>
        </w:rPr>
        <w:t>μ</w:t>
      </w:r>
      <w:r w:rsidRPr="007D113C">
        <w:rPr>
          <w:rFonts w:cs="Arial"/>
        </w:rPr>
        <w:t>ονιμοποίηση της επιστροφή</w:t>
      </w:r>
      <w:r>
        <w:rPr>
          <w:rFonts w:cs="Arial"/>
        </w:rPr>
        <w:t>ς</w:t>
      </w:r>
      <w:r w:rsidRPr="007D113C">
        <w:rPr>
          <w:rFonts w:cs="Arial"/>
        </w:rPr>
        <w:t xml:space="preserve"> του ΕΦΚ στους αγρότες με νέο σύστημα</w:t>
      </w:r>
      <w:r>
        <w:rPr>
          <w:rFonts w:cs="Arial"/>
        </w:rPr>
        <w:t>,</w:t>
      </w:r>
    </w:p>
    <w:p w14:paraId="1A3F9734" w14:textId="77777777" w:rsidR="0037613C" w:rsidRDefault="0037613C" w:rsidP="0037613C">
      <w:pPr>
        <w:numPr>
          <w:ilvl w:val="0"/>
          <w:numId w:val="1"/>
        </w:numPr>
        <w:spacing w:before="60" w:after="60"/>
        <w:ind w:left="568" w:hanging="284"/>
        <w:rPr>
          <w:rFonts w:cs="Arial"/>
        </w:rPr>
      </w:pPr>
      <w:r>
        <w:rPr>
          <w:rFonts w:cs="Arial"/>
        </w:rPr>
        <w:t>α</w:t>
      </w:r>
      <w:r w:rsidRPr="007D113C">
        <w:rPr>
          <w:rFonts w:cs="Arial"/>
        </w:rPr>
        <w:t>υτοτελής φορολόγηση εφημεριών των ιατρών του ΕΣΥ</w:t>
      </w:r>
      <w:r>
        <w:rPr>
          <w:rFonts w:cs="Arial"/>
        </w:rPr>
        <w:t>,</w:t>
      </w:r>
    </w:p>
    <w:p w14:paraId="149861FC" w14:textId="77777777" w:rsidR="0037613C" w:rsidRDefault="0037613C" w:rsidP="0037613C">
      <w:pPr>
        <w:numPr>
          <w:ilvl w:val="0"/>
          <w:numId w:val="1"/>
        </w:numPr>
        <w:spacing w:before="60" w:after="60"/>
        <w:ind w:left="568" w:hanging="284"/>
        <w:rPr>
          <w:rFonts w:cs="Arial"/>
        </w:rPr>
      </w:pPr>
      <w:r>
        <w:rPr>
          <w:rFonts w:cs="Arial"/>
        </w:rPr>
        <w:t>μ</w:t>
      </w:r>
      <w:r w:rsidRPr="007D113C">
        <w:rPr>
          <w:rFonts w:cs="Arial"/>
        </w:rPr>
        <w:t xml:space="preserve">είωση </w:t>
      </w:r>
      <w:r>
        <w:rPr>
          <w:rFonts w:cs="Arial"/>
        </w:rPr>
        <w:t>του ψηφιακού τέλους συναλλαγής</w:t>
      </w:r>
      <w:r w:rsidRPr="007D113C">
        <w:rPr>
          <w:rFonts w:cs="Arial"/>
        </w:rPr>
        <w:t xml:space="preserve"> σε μία σειρά από συναλλαγές</w:t>
      </w:r>
      <w:r>
        <w:rPr>
          <w:rFonts w:cs="Arial"/>
        </w:rPr>
        <w:t>,</w:t>
      </w:r>
    </w:p>
    <w:p w14:paraId="34F3CDF3" w14:textId="77777777" w:rsidR="0037613C" w:rsidRDefault="0037613C" w:rsidP="0037613C">
      <w:pPr>
        <w:numPr>
          <w:ilvl w:val="0"/>
          <w:numId w:val="1"/>
        </w:numPr>
        <w:spacing w:before="60" w:after="60"/>
        <w:ind w:left="568" w:hanging="284"/>
        <w:rPr>
          <w:rFonts w:cs="Arial"/>
        </w:rPr>
      </w:pPr>
      <w:r>
        <w:rPr>
          <w:rFonts w:cs="Arial"/>
        </w:rPr>
        <w:t>κ</w:t>
      </w:r>
      <w:r w:rsidRPr="007D113C">
        <w:rPr>
          <w:rFonts w:cs="Arial"/>
        </w:rPr>
        <w:t>ατάργηση τέλους σταθερής τηλεφωνίας (5%) για συνδέσεις με οπτική ίνα</w:t>
      </w:r>
      <w:r>
        <w:rPr>
          <w:rFonts w:cs="Arial"/>
        </w:rPr>
        <w:t>,</w:t>
      </w:r>
    </w:p>
    <w:p w14:paraId="0830AF1C" w14:textId="77777777" w:rsidR="0037613C" w:rsidRDefault="0037613C" w:rsidP="0037613C">
      <w:pPr>
        <w:numPr>
          <w:ilvl w:val="0"/>
          <w:numId w:val="1"/>
        </w:numPr>
        <w:spacing w:before="60" w:after="60"/>
        <w:ind w:left="568" w:hanging="284"/>
        <w:rPr>
          <w:rFonts w:cs="Arial"/>
        </w:rPr>
      </w:pPr>
      <w:r>
        <w:rPr>
          <w:rFonts w:cs="Arial"/>
        </w:rPr>
        <w:t>α</w:t>
      </w:r>
      <w:r w:rsidRPr="007D113C">
        <w:rPr>
          <w:rFonts w:cs="Arial"/>
        </w:rPr>
        <w:t xml:space="preserve">παλλαγή από τον φόρο ασφαλίστρου (15%) συμβολαίων υγείας για παιδιά </w:t>
      </w:r>
      <w:r>
        <w:rPr>
          <w:rFonts w:cs="Arial"/>
        </w:rPr>
        <w:t xml:space="preserve">ηλικίας </w:t>
      </w:r>
      <w:r w:rsidRPr="007D113C">
        <w:rPr>
          <w:rFonts w:cs="Arial"/>
        </w:rPr>
        <w:t>έως 18 ετών</w:t>
      </w:r>
      <w:r>
        <w:rPr>
          <w:rFonts w:cs="Arial"/>
        </w:rPr>
        <w:t>,</w:t>
      </w:r>
    </w:p>
    <w:p w14:paraId="4EBA71C1" w14:textId="77777777" w:rsidR="0037613C" w:rsidRDefault="0037613C" w:rsidP="0037613C">
      <w:pPr>
        <w:numPr>
          <w:ilvl w:val="0"/>
          <w:numId w:val="1"/>
        </w:numPr>
        <w:spacing w:before="60" w:after="60"/>
        <w:ind w:left="568" w:hanging="284"/>
        <w:rPr>
          <w:rFonts w:cs="Arial"/>
        </w:rPr>
      </w:pPr>
      <w:r>
        <w:rPr>
          <w:rFonts w:cs="Arial"/>
        </w:rPr>
        <w:t>φ</w:t>
      </w:r>
      <w:r w:rsidRPr="007D113C">
        <w:rPr>
          <w:rFonts w:cs="Arial"/>
        </w:rPr>
        <w:t xml:space="preserve">οροαπαλλαγή οικειοθελών παροχών επιχειρήσεων υπέρ </w:t>
      </w:r>
      <w:r>
        <w:rPr>
          <w:rFonts w:cs="Arial"/>
        </w:rPr>
        <w:t xml:space="preserve">των </w:t>
      </w:r>
      <w:r w:rsidRPr="007D113C">
        <w:rPr>
          <w:rFonts w:cs="Arial"/>
        </w:rPr>
        <w:t>νέων γονέων</w:t>
      </w:r>
      <w:r>
        <w:rPr>
          <w:rFonts w:cs="Arial"/>
        </w:rPr>
        <w:t>,</w:t>
      </w:r>
    </w:p>
    <w:p w14:paraId="61AAD5DF" w14:textId="77777777" w:rsidR="0037613C" w:rsidRDefault="0037613C" w:rsidP="0037613C">
      <w:pPr>
        <w:numPr>
          <w:ilvl w:val="0"/>
          <w:numId w:val="1"/>
        </w:numPr>
        <w:spacing w:before="60" w:after="60"/>
        <w:ind w:left="568" w:hanging="284"/>
        <w:rPr>
          <w:rFonts w:cs="Arial"/>
        </w:rPr>
      </w:pPr>
      <w:r>
        <w:rPr>
          <w:rFonts w:cs="Arial"/>
        </w:rPr>
        <w:t>κ</w:t>
      </w:r>
      <w:r w:rsidRPr="007D113C">
        <w:rPr>
          <w:rFonts w:cs="Arial"/>
        </w:rPr>
        <w:t>ίνητρο προσέλκυσης ιατρών σε προβληματικές και άγονες περιοχές</w:t>
      </w:r>
      <w:r>
        <w:rPr>
          <w:rFonts w:cs="Arial"/>
        </w:rPr>
        <w:t>,</w:t>
      </w:r>
    </w:p>
    <w:p w14:paraId="71DBC744" w14:textId="77777777" w:rsidR="0037613C" w:rsidRDefault="0037613C" w:rsidP="0037613C">
      <w:pPr>
        <w:numPr>
          <w:ilvl w:val="0"/>
          <w:numId w:val="1"/>
        </w:numPr>
        <w:spacing w:before="60" w:after="60"/>
        <w:ind w:left="568" w:hanging="284"/>
        <w:rPr>
          <w:rFonts w:cs="Arial"/>
        </w:rPr>
      </w:pPr>
      <w:r>
        <w:rPr>
          <w:rFonts w:cs="Arial"/>
        </w:rPr>
        <w:t>α</w:t>
      </w:r>
      <w:r w:rsidRPr="007D113C">
        <w:rPr>
          <w:rFonts w:cs="Arial"/>
        </w:rPr>
        <w:t>ύξηση του φοιτητικού στεγαστικού επιδόματος για τα περιφερειακά Πανεπιστήμια</w:t>
      </w:r>
      <w:r>
        <w:rPr>
          <w:rFonts w:cs="Arial"/>
        </w:rPr>
        <w:t>,</w:t>
      </w:r>
    </w:p>
    <w:p w14:paraId="17787431" w14:textId="77777777" w:rsidR="0037613C" w:rsidRDefault="0037613C" w:rsidP="0037613C">
      <w:pPr>
        <w:numPr>
          <w:ilvl w:val="0"/>
          <w:numId w:val="1"/>
        </w:numPr>
        <w:spacing w:before="60" w:after="60"/>
        <w:ind w:left="568" w:hanging="284"/>
        <w:rPr>
          <w:rFonts w:cs="Arial"/>
        </w:rPr>
      </w:pPr>
      <w:r>
        <w:rPr>
          <w:rFonts w:cs="Arial"/>
        </w:rPr>
        <w:t>α</w:t>
      </w:r>
      <w:r w:rsidRPr="007D113C">
        <w:rPr>
          <w:rFonts w:cs="Arial"/>
        </w:rPr>
        <w:t xml:space="preserve">ύξηση </w:t>
      </w:r>
      <w:r>
        <w:rPr>
          <w:rFonts w:cs="Arial"/>
        </w:rPr>
        <w:t xml:space="preserve">των </w:t>
      </w:r>
      <w:r w:rsidRPr="007D113C">
        <w:rPr>
          <w:rFonts w:cs="Arial"/>
        </w:rPr>
        <w:t xml:space="preserve">αποδοχών </w:t>
      </w:r>
      <w:r>
        <w:rPr>
          <w:rFonts w:cs="Arial"/>
        </w:rPr>
        <w:t xml:space="preserve">των </w:t>
      </w:r>
      <w:r w:rsidRPr="007D113C">
        <w:rPr>
          <w:rFonts w:cs="Arial"/>
        </w:rPr>
        <w:t>σπουδαστών στρατιωτικών σχολών</w:t>
      </w:r>
      <w:r>
        <w:rPr>
          <w:rFonts w:cs="Arial"/>
        </w:rPr>
        <w:t>,</w:t>
      </w:r>
    </w:p>
    <w:p w14:paraId="030E3247" w14:textId="79A7F069" w:rsidR="0037613C" w:rsidRPr="0037613C" w:rsidRDefault="0037613C" w:rsidP="0037613C">
      <w:pPr>
        <w:numPr>
          <w:ilvl w:val="0"/>
          <w:numId w:val="1"/>
        </w:numPr>
        <w:spacing w:before="60" w:after="60"/>
        <w:ind w:left="568" w:hanging="284"/>
        <w:rPr>
          <w:rFonts w:cs="Arial"/>
        </w:rPr>
      </w:pPr>
      <w:r>
        <w:rPr>
          <w:rFonts w:cs="Arial"/>
        </w:rPr>
        <w:t>α</w:t>
      </w:r>
      <w:r w:rsidRPr="007D113C">
        <w:rPr>
          <w:rFonts w:cs="Arial"/>
        </w:rPr>
        <w:t xml:space="preserve">ναμόρφωση </w:t>
      </w:r>
      <w:r>
        <w:rPr>
          <w:rFonts w:cs="Arial"/>
        </w:rPr>
        <w:t xml:space="preserve">του </w:t>
      </w:r>
      <w:r w:rsidRPr="007D113C">
        <w:rPr>
          <w:rFonts w:cs="Arial"/>
        </w:rPr>
        <w:t xml:space="preserve">επιδόματος επικίνδυνης και ανθυγιεινής </w:t>
      </w:r>
      <w:r w:rsidRPr="0037613C">
        <w:rPr>
          <w:rFonts w:cs="Arial"/>
        </w:rPr>
        <w:t>εργασίας τ</w:t>
      </w:r>
      <w:r>
        <w:rPr>
          <w:rFonts w:cs="Arial"/>
        </w:rPr>
        <w:t>ων</w:t>
      </w:r>
      <w:r w:rsidRPr="0037613C">
        <w:rPr>
          <w:rFonts w:cs="Arial"/>
        </w:rPr>
        <w:t xml:space="preserve"> ΟΤΑ,</w:t>
      </w:r>
    </w:p>
    <w:p w14:paraId="52AB834A" w14:textId="77777777" w:rsidR="0037613C" w:rsidRPr="00AB5252" w:rsidRDefault="0037613C" w:rsidP="0037613C">
      <w:pPr>
        <w:numPr>
          <w:ilvl w:val="0"/>
          <w:numId w:val="1"/>
        </w:numPr>
        <w:spacing w:before="60" w:after="60"/>
        <w:ind w:left="568" w:hanging="284"/>
        <w:rPr>
          <w:rFonts w:cs="Arial"/>
        </w:rPr>
      </w:pPr>
      <w:r>
        <w:rPr>
          <w:rFonts w:cs="Arial"/>
        </w:rPr>
        <w:t>μ</w:t>
      </w:r>
      <w:r w:rsidRPr="00AB5252">
        <w:rPr>
          <w:rFonts w:cs="Arial"/>
        </w:rPr>
        <w:t>είωση των τραπεζικών προμηθειών</w:t>
      </w:r>
      <w:r>
        <w:rPr>
          <w:rFonts w:cs="Arial"/>
        </w:rPr>
        <w:t>,</w:t>
      </w:r>
    </w:p>
    <w:p w14:paraId="18D8A240" w14:textId="77777777" w:rsidR="0037613C" w:rsidRPr="00AB5252" w:rsidRDefault="0037613C" w:rsidP="0037613C">
      <w:pPr>
        <w:numPr>
          <w:ilvl w:val="0"/>
          <w:numId w:val="1"/>
        </w:numPr>
        <w:spacing w:before="60" w:after="60"/>
        <w:ind w:left="568" w:hanging="284"/>
        <w:rPr>
          <w:rFonts w:cs="Arial"/>
        </w:rPr>
      </w:pPr>
      <w:r>
        <w:rPr>
          <w:rFonts w:cs="Arial"/>
        </w:rPr>
        <w:t>δ</w:t>
      </w:r>
      <w:r w:rsidRPr="00AB5252">
        <w:rPr>
          <w:rFonts w:cs="Arial"/>
        </w:rPr>
        <w:t xml:space="preserve">ιπλασιασμός </w:t>
      </w:r>
      <w:r>
        <w:rPr>
          <w:rFonts w:cs="Arial"/>
        </w:rPr>
        <w:t xml:space="preserve">των εισοδηματικών </w:t>
      </w:r>
      <w:r w:rsidRPr="00AB5252">
        <w:rPr>
          <w:rFonts w:cs="Arial"/>
        </w:rPr>
        <w:t xml:space="preserve">ορίων </w:t>
      </w:r>
      <w:r>
        <w:rPr>
          <w:rFonts w:cs="Arial"/>
        </w:rPr>
        <w:t xml:space="preserve">του </w:t>
      </w:r>
      <w:r w:rsidRPr="00AB5252">
        <w:rPr>
          <w:rFonts w:cs="Arial"/>
        </w:rPr>
        <w:t>εξωδικαστικού μηχανισμού</w:t>
      </w:r>
      <w:r>
        <w:rPr>
          <w:rFonts w:cs="Arial"/>
        </w:rPr>
        <w:t xml:space="preserve"> και</w:t>
      </w:r>
    </w:p>
    <w:p w14:paraId="49D53F1A" w14:textId="77777777" w:rsidR="0037613C" w:rsidRPr="00AB5252" w:rsidRDefault="0037613C" w:rsidP="00EC630C">
      <w:pPr>
        <w:numPr>
          <w:ilvl w:val="0"/>
          <w:numId w:val="12"/>
        </w:numPr>
        <w:spacing w:before="60"/>
        <w:ind w:left="568" w:hanging="284"/>
      </w:pPr>
      <w:r w:rsidRPr="00641F01">
        <w:rPr>
          <w:rFonts w:cs="Arial"/>
        </w:rPr>
        <w:t>μείωση των ασφαλιστικών εισφορών για υπερεργασία, υπερωρίες, νυ</w:t>
      </w:r>
      <w:r>
        <w:rPr>
          <w:rFonts w:cs="Arial"/>
        </w:rPr>
        <w:t>χ</w:t>
      </w:r>
      <w:r w:rsidRPr="00641F01">
        <w:rPr>
          <w:rFonts w:cs="Arial"/>
        </w:rPr>
        <w:t>τερινή απασχόληση και απασχόληση σε ημέρες αργίας ή Κυριακές για εργαζόμενους πλήρους απασχόλησης</w:t>
      </w:r>
      <w:r w:rsidRPr="00AB5252">
        <w:t>.</w:t>
      </w:r>
    </w:p>
    <w:p w14:paraId="14E297B9" w14:textId="77777777" w:rsidR="0037613C" w:rsidRPr="00AB5252" w:rsidRDefault="0037613C" w:rsidP="0037613C">
      <w:pPr>
        <w:spacing w:before="120"/>
      </w:pPr>
      <w:r w:rsidRPr="00AB5252">
        <w:t xml:space="preserve">Για το 2026 θεσπίζονται οι ακόλουθες </w:t>
      </w:r>
      <w:r>
        <w:t xml:space="preserve">νέες </w:t>
      </w:r>
      <w:r w:rsidRPr="00AB5252">
        <w:t>παρεμβάσεις:</w:t>
      </w:r>
    </w:p>
    <w:p w14:paraId="53E34E6D" w14:textId="77777777" w:rsidR="0037613C" w:rsidRPr="00AB5252" w:rsidRDefault="0037613C" w:rsidP="0037613C">
      <w:pPr>
        <w:numPr>
          <w:ilvl w:val="0"/>
          <w:numId w:val="1"/>
        </w:numPr>
        <w:spacing w:before="120" w:after="60"/>
        <w:ind w:left="568" w:hanging="284"/>
        <w:rPr>
          <w:rFonts w:cs="Arial"/>
        </w:rPr>
      </w:pPr>
      <w:r>
        <w:rPr>
          <w:rFonts w:cs="Arial"/>
        </w:rPr>
        <w:t>κ</w:t>
      </w:r>
      <w:r w:rsidRPr="00AB5252">
        <w:rPr>
          <w:rFonts w:cs="Arial"/>
        </w:rPr>
        <w:t xml:space="preserve">ατάργηση </w:t>
      </w:r>
      <w:r>
        <w:rPr>
          <w:rFonts w:cs="Arial"/>
        </w:rPr>
        <w:t>α</w:t>
      </w:r>
      <w:r w:rsidRPr="00AB5252">
        <w:rPr>
          <w:rFonts w:cs="Arial"/>
        </w:rPr>
        <w:t>πό τον Ιανουάριο 2026</w:t>
      </w:r>
      <w:r>
        <w:rPr>
          <w:rFonts w:cs="Arial"/>
        </w:rPr>
        <w:t xml:space="preserve"> του </w:t>
      </w:r>
      <w:r w:rsidRPr="00AB5252">
        <w:rPr>
          <w:rFonts w:cs="Arial"/>
        </w:rPr>
        <w:t>τέλους</w:t>
      </w:r>
      <w:r>
        <w:rPr>
          <w:rFonts w:cs="Arial"/>
        </w:rPr>
        <w:t xml:space="preserve"> 10%</w:t>
      </w:r>
      <w:r w:rsidRPr="00AB5252">
        <w:rPr>
          <w:rFonts w:cs="Arial"/>
        </w:rPr>
        <w:t xml:space="preserve"> </w:t>
      </w:r>
      <w:r>
        <w:rPr>
          <w:rFonts w:cs="Arial"/>
        </w:rPr>
        <w:t xml:space="preserve">στη </w:t>
      </w:r>
      <w:r w:rsidRPr="00AB5252">
        <w:rPr>
          <w:rFonts w:cs="Arial"/>
        </w:rPr>
        <w:t>συνδρομητική τηλεόραση, με ετήσιο κόστος 22 εκατ. ευρώ</w:t>
      </w:r>
      <w:r>
        <w:rPr>
          <w:rFonts w:cs="Arial"/>
        </w:rPr>
        <w:t>,</w:t>
      </w:r>
    </w:p>
    <w:p w14:paraId="52448A9B" w14:textId="1A4182AB" w:rsidR="0037613C" w:rsidRDefault="0037613C" w:rsidP="0037613C">
      <w:pPr>
        <w:numPr>
          <w:ilvl w:val="0"/>
          <w:numId w:val="1"/>
        </w:numPr>
        <w:spacing w:before="60" w:after="60"/>
        <w:ind w:left="568" w:hanging="284"/>
        <w:rPr>
          <w:rFonts w:cs="Arial"/>
        </w:rPr>
      </w:pPr>
      <w:r w:rsidRPr="00DC2AF5">
        <w:rPr>
          <w:rFonts w:cs="Arial"/>
        </w:rPr>
        <w:t xml:space="preserve">επέκταση της μείωσης κατά 50% του </w:t>
      </w:r>
      <w:r>
        <w:rPr>
          <w:rFonts w:cs="Arial"/>
        </w:rPr>
        <w:t>ελάχιστου</w:t>
      </w:r>
      <w:r w:rsidRPr="00DC2AF5">
        <w:rPr>
          <w:rFonts w:cs="Arial"/>
        </w:rPr>
        <w:t xml:space="preserve"> εισοδήματος για τους ελεύθερους επαγγελματίες στους οικισμούς εκτός Αττικής με πληθυσμό έως 1.500 κατοίκους</w:t>
      </w:r>
      <w:r>
        <w:rPr>
          <w:rFonts w:cs="Arial"/>
        </w:rPr>
        <w:t xml:space="preserve"> και τα σχολικά κυλικεία</w:t>
      </w:r>
      <w:r w:rsidR="00CC2581">
        <w:rPr>
          <w:rFonts w:cs="Arial"/>
        </w:rPr>
        <w:t>.</w:t>
      </w:r>
      <w:r w:rsidR="00BB7845">
        <w:rPr>
          <w:rFonts w:cs="Arial"/>
        </w:rPr>
        <w:t xml:space="preserve"> </w:t>
      </w:r>
      <w:r w:rsidR="00CC2581">
        <w:rPr>
          <w:rFonts w:cs="Arial"/>
        </w:rPr>
        <w:t>Ειδικ</w:t>
      </w:r>
      <w:r w:rsidR="00A143FE">
        <w:rPr>
          <w:rFonts w:cs="Arial"/>
        </w:rPr>
        <w:t>ά</w:t>
      </w:r>
      <w:r w:rsidR="00CC2581">
        <w:rPr>
          <w:rFonts w:cs="Arial"/>
        </w:rPr>
        <w:t xml:space="preserve"> </w:t>
      </w:r>
      <w:r w:rsidR="00CC2581" w:rsidRPr="000216DF">
        <w:rPr>
          <w:rFonts w:cs="Arial"/>
        </w:rPr>
        <w:lastRenderedPageBreak/>
        <w:t>για την Περιφερειακή Ενότητα Έβρου, τη</w:t>
      </w:r>
      <w:r w:rsidR="00CC2581">
        <w:rPr>
          <w:rFonts w:cs="Arial"/>
        </w:rPr>
        <w:t>ν</w:t>
      </w:r>
      <w:r w:rsidR="00CC2581" w:rsidRPr="000216DF">
        <w:rPr>
          <w:rFonts w:cs="Arial"/>
        </w:rPr>
        <w:t xml:space="preserve"> Περιφέρεια Δυτικής Μακεδονίας καθώς και για τους </w:t>
      </w:r>
      <w:r w:rsidR="00CC2581">
        <w:rPr>
          <w:rFonts w:cs="Arial"/>
        </w:rPr>
        <w:t>Δ</w:t>
      </w:r>
      <w:r w:rsidR="00CC2581" w:rsidRPr="000216DF">
        <w:rPr>
          <w:rFonts w:cs="Arial"/>
        </w:rPr>
        <w:t xml:space="preserve">ήμους Μακεδονίας, Θράκης και Ηπείρου </w:t>
      </w:r>
      <w:r w:rsidR="00B15960">
        <w:t>που εφάπτονται με τα σύνορα της χώρας</w:t>
      </w:r>
      <w:r w:rsidR="00722DBF">
        <w:rPr>
          <w:rFonts w:cs="Arial"/>
        </w:rPr>
        <w:t>,</w:t>
      </w:r>
      <w:r w:rsidR="00CC2581" w:rsidRPr="00A143FE">
        <w:rPr>
          <w:rFonts w:cs="Arial"/>
        </w:rPr>
        <w:t xml:space="preserve"> η μείωση κατά 50% του</w:t>
      </w:r>
      <w:r w:rsidR="00CC2581">
        <w:rPr>
          <w:rFonts w:cs="Arial"/>
        </w:rPr>
        <w:t xml:space="preserve"> ελάχιστου εισοδήματος ισχύει</w:t>
      </w:r>
      <w:r w:rsidR="00CC2581" w:rsidRPr="000216DF">
        <w:rPr>
          <w:rFonts w:cs="Arial"/>
        </w:rPr>
        <w:t xml:space="preserve"> </w:t>
      </w:r>
      <w:r w:rsidR="00CC2581">
        <w:rPr>
          <w:rFonts w:cs="Arial"/>
        </w:rPr>
        <w:t>για</w:t>
      </w:r>
      <w:r w:rsidR="00CC2581" w:rsidRPr="000216DF">
        <w:rPr>
          <w:rFonts w:cs="Arial"/>
        </w:rPr>
        <w:t xml:space="preserve"> οικισμούς με πληθυσμό έως 1.700 κατοίκους</w:t>
      </w:r>
      <w:r w:rsidR="00BB7845">
        <w:rPr>
          <w:rFonts w:cs="Arial"/>
        </w:rPr>
        <w:t>,</w:t>
      </w:r>
    </w:p>
    <w:p w14:paraId="2A864270" w14:textId="77777777" w:rsidR="0037613C" w:rsidRDefault="0037613C" w:rsidP="0037613C">
      <w:pPr>
        <w:numPr>
          <w:ilvl w:val="0"/>
          <w:numId w:val="1"/>
        </w:numPr>
        <w:spacing w:before="60" w:after="60"/>
        <w:ind w:left="568" w:hanging="284"/>
        <w:rPr>
          <w:rFonts w:cs="Arial"/>
        </w:rPr>
      </w:pPr>
      <w:r>
        <w:rPr>
          <w:rFonts w:cs="Arial"/>
        </w:rPr>
        <w:t>ε</w:t>
      </w:r>
      <w:r w:rsidRPr="00AB5252">
        <w:rPr>
          <w:rFonts w:cs="Arial"/>
        </w:rPr>
        <w:t>ξα</w:t>
      </w:r>
      <w:r>
        <w:rPr>
          <w:rFonts w:cs="Arial"/>
        </w:rPr>
        <w:t>ίρεση από το ελάχιστο εισόδημα για τις νέες μητέρες που ασκούν ελεύθερο επάγγελμα κατά το έτος γέννησης του τέκνου καθώς και για τα επόμενα δύο έτη,</w:t>
      </w:r>
    </w:p>
    <w:p w14:paraId="7BAF8C44" w14:textId="77777777" w:rsidR="0037613C" w:rsidRDefault="0037613C" w:rsidP="0037613C">
      <w:pPr>
        <w:numPr>
          <w:ilvl w:val="0"/>
          <w:numId w:val="1"/>
        </w:numPr>
        <w:spacing w:before="60" w:after="60"/>
        <w:ind w:left="568" w:hanging="284"/>
        <w:rPr>
          <w:rFonts w:cs="Arial"/>
        </w:rPr>
      </w:pPr>
      <w:r>
        <w:rPr>
          <w:rFonts w:cs="Arial"/>
        </w:rPr>
        <w:t>α</w:t>
      </w:r>
      <w:r w:rsidRPr="00391747">
        <w:rPr>
          <w:rFonts w:cs="Arial"/>
        </w:rPr>
        <w:t>ύξηση της αποζημίωσης των οπλιτών από 8,8</w:t>
      </w:r>
      <w:r>
        <w:rPr>
          <w:rFonts w:cs="Arial"/>
        </w:rPr>
        <w:t xml:space="preserve"> ευρώ</w:t>
      </w:r>
      <w:r w:rsidRPr="00391747">
        <w:rPr>
          <w:rFonts w:cs="Arial"/>
        </w:rPr>
        <w:t xml:space="preserve"> σε 50 έως 100 ευρώ</w:t>
      </w:r>
      <w:r>
        <w:rPr>
          <w:rFonts w:cs="Arial"/>
        </w:rPr>
        <w:t xml:space="preserve"> μηνιαίως, με ετήσιο δημοσιονομικό κόστος 25 εκατ. ευρώ περίπου,</w:t>
      </w:r>
    </w:p>
    <w:p w14:paraId="18A4F4C8" w14:textId="77777777" w:rsidR="0037613C" w:rsidRPr="00AB5252" w:rsidRDefault="0037613C" w:rsidP="0037613C">
      <w:pPr>
        <w:numPr>
          <w:ilvl w:val="0"/>
          <w:numId w:val="1"/>
        </w:numPr>
        <w:spacing w:before="60" w:after="60"/>
        <w:ind w:left="568" w:hanging="284"/>
        <w:rPr>
          <w:rFonts w:cs="Arial"/>
        </w:rPr>
      </w:pPr>
      <w:r>
        <w:rPr>
          <w:rFonts w:cs="Arial"/>
        </w:rPr>
        <w:t xml:space="preserve">έναρξη λειτουργίας από τον Ιανουάριο 2026 του </w:t>
      </w:r>
      <w:r w:rsidRPr="00AB5252">
        <w:rPr>
          <w:rFonts w:cs="Arial"/>
        </w:rPr>
        <w:t>Ταμείο</w:t>
      </w:r>
      <w:r>
        <w:rPr>
          <w:rFonts w:cs="Arial"/>
        </w:rPr>
        <w:t>υ</w:t>
      </w:r>
      <w:r w:rsidRPr="00AB5252">
        <w:rPr>
          <w:rFonts w:cs="Arial"/>
        </w:rPr>
        <w:t xml:space="preserve"> Καινοτομίας Φαρμάκων</w:t>
      </w:r>
      <w:r>
        <w:rPr>
          <w:rFonts w:cs="Arial"/>
        </w:rPr>
        <w:t xml:space="preserve">, </w:t>
      </w:r>
      <w:r w:rsidRPr="00AB5252">
        <w:rPr>
          <w:rFonts w:cs="Arial"/>
        </w:rPr>
        <w:t>με ετήσι</w:t>
      </w:r>
      <w:r>
        <w:rPr>
          <w:rFonts w:cs="Arial"/>
        </w:rPr>
        <w:t>ο</w:t>
      </w:r>
      <w:r w:rsidRPr="00AB5252">
        <w:rPr>
          <w:rFonts w:cs="Arial"/>
        </w:rPr>
        <w:t xml:space="preserve"> </w:t>
      </w:r>
      <w:r>
        <w:rPr>
          <w:rFonts w:cs="Arial"/>
        </w:rPr>
        <w:t xml:space="preserve">κόστος </w:t>
      </w:r>
      <w:r w:rsidRPr="00AB5252">
        <w:rPr>
          <w:rFonts w:cs="Arial"/>
        </w:rPr>
        <w:t xml:space="preserve">50 εκατ. ευρώ, </w:t>
      </w:r>
      <w:r>
        <w:rPr>
          <w:rFonts w:cs="Arial"/>
        </w:rPr>
        <w:t xml:space="preserve">για την ευχερέστερη </w:t>
      </w:r>
      <w:r w:rsidRPr="00AB5252">
        <w:rPr>
          <w:rFonts w:cs="Arial"/>
        </w:rPr>
        <w:t>πρόσβαση των ασθενών σε καινοτόμες θεραπείες</w:t>
      </w:r>
      <w:r>
        <w:rPr>
          <w:rFonts w:cs="Arial"/>
        </w:rPr>
        <w:t xml:space="preserve"> και</w:t>
      </w:r>
    </w:p>
    <w:p w14:paraId="5A075E98" w14:textId="17CA3237" w:rsidR="00C63DEA" w:rsidRDefault="0037613C" w:rsidP="00BB7845">
      <w:pPr>
        <w:numPr>
          <w:ilvl w:val="0"/>
          <w:numId w:val="12"/>
        </w:numPr>
        <w:spacing w:before="60"/>
        <w:ind w:left="568" w:hanging="284"/>
      </w:pPr>
      <w:r w:rsidRPr="00A70D4E">
        <w:t>απαλλαγή, από το φορολογικό έτος 2026, των ιδρυμάτων και των κληροδοτημάτων από τον φόρο εισοδήματος καθώς και μη φορολόγηση των δωρεών προς αυτά. Το εν λόγω μέτρο έχει ετήσιο κόστος 43 εκατ. ευρώ.</w:t>
      </w:r>
    </w:p>
    <w:p w14:paraId="4FE06C8A" w14:textId="0CA7D69C" w:rsidR="00CC2581" w:rsidRDefault="00CC2581" w:rsidP="00CC2581">
      <w:r>
        <w:t>Επιπλέον</w:t>
      </w:r>
      <w:r w:rsidR="00722DBF">
        <w:t>,</w:t>
      </w:r>
      <w:r>
        <w:t xml:space="preserve"> από το 2027 αναμένεται να μειωθούν περαιτέρω κατά 0,5% οι ασφαλιστικές εισφορές, όπως έχει ανακοινωθεί, με ετήσιο κόστος 245 εκατ. ευρώ</w:t>
      </w:r>
      <w:r w:rsidR="00722DBF">
        <w:t xml:space="preserve"> περίπου</w:t>
      </w:r>
      <w:r>
        <w:t>.</w:t>
      </w:r>
    </w:p>
    <w:p w14:paraId="42F51982" w14:textId="74882CFF" w:rsidR="00CC2581" w:rsidRDefault="00CC2581" w:rsidP="00E8681F">
      <w:pPr>
        <w:spacing w:after="240"/>
      </w:pPr>
      <w:r>
        <w:t xml:space="preserve">Το συνολικό κόστος των δημοσιονομικών παρεμβάσεων που έχουν νομοθετηθεί ή ανακοινωθεί για την περίοδο 2025 - 2027, όπως αποτυπώνεται και </w:t>
      </w:r>
      <w:r w:rsidRPr="0098356F">
        <w:t>στον ακόλουθο πίνακα</w:t>
      </w:r>
      <w:r w:rsidR="001A1BC5" w:rsidRPr="0098356F">
        <w:t xml:space="preserve"> (</w:t>
      </w:r>
      <w:r w:rsidR="001A1BC5" w:rsidRPr="0098356F">
        <w:fldChar w:fldCharType="begin"/>
      </w:r>
      <w:r w:rsidR="001A1BC5" w:rsidRPr="0098356F">
        <w:instrText xml:space="preserve"> REF _Ref213687308 \h  \* MERGEFORMAT </w:instrText>
      </w:r>
      <w:r w:rsidR="001A1BC5" w:rsidRPr="0098356F">
        <w:fldChar w:fldCharType="separate"/>
      </w:r>
      <w:r w:rsidR="00E15678" w:rsidRPr="00E15678">
        <w:t>Πίνακας 3.27</w:t>
      </w:r>
      <w:r w:rsidR="001A1BC5" w:rsidRPr="0098356F">
        <w:fldChar w:fldCharType="end"/>
      </w:r>
      <w:r w:rsidR="001A1BC5" w:rsidRPr="0098356F">
        <w:t>.)</w:t>
      </w:r>
      <w:r w:rsidRPr="0098356F">
        <w:t>, ανέρχεται</w:t>
      </w:r>
      <w:r>
        <w:t xml:space="preserve"> σε 3,04 δισ. ευρώ για το 2025, αυξανόμενο σε 5,94 δισ. ευρώ το 2026 (επιπλέον 2,9 δισ. ευρώ σε σχέση με το 2025) και σε 7,94 δισ. ευρώ το 2027 (επιπλέον 2 δισ. ευρώ σε σχέση με το 2026).</w:t>
      </w:r>
    </w:p>
    <w:tbl>
      <w:tblPr>
        <w:tblW w:w="10652"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600" w:firstRow="0" w:lastRow="0" w:firstColumn="0" w:lastColumn="0" w:noHBand="1" w:noVBand="1"/>
      </w:tblPr>
      <w:tblGrid>
        <w:gridCol w:w="8374"/>
        <w:gridCol w:w="759"/>
        <w:gridCol w:w="759"/>
        <w:gridCol w:w="760"/>
      </w:tblGrid>
      <w:tr w:rsidR="00512031" w:rsidRPr="00512031" w14:paraId="744D080B" w14:textId="77777777" w:rsidTr="00E8681F">
        <w:trPr>
          <w:cantSplit/>
          <w:trHeight w:val="454"/>
          <w:tblHeader/>
          <w:jc w:val="center"/>
        </w:trPr>
        <w:tc>
          <w:tcPr>
            <w:tcW w:w="10652" w:type="dxa"/>
            <w:gridSpan w:val="4"/>
            <w:shd w:val="clear" w:color="000000" w:fill="D5DCE4"/>
            <w:vAlign w:val="center"/>
            <w:hideMark/>
          </w:tcPr>
          <w:p w14:paraId="4297C9F9" w14:textId="395BC226" w:rsidR="00512031" w:rsidRDefault="002712D8" w:rsidP="006C11B7">
            <w:pPr>
              <w:spacing w:after="0" w:line="276" w:lineRule="auto"/>
              <w:jc w:val="center"/>
              <w:rPr>
                <w:rFonts w:cs="Arial"/>
                <w:b/>
                <w:bCs/>
                <w:color w:val="000000"/>
                <w:sz w:val="18"/>
                <w:szCs w:val="18"/>
              </w:rPr>
            </w:pPr>
            <w:bookmarkStart w:id="636" w:name="_Ref213687308"/>
            <w:bookmarkStart w:id="637" w:name="_Toc214474065"/>
            <w:r w:rsidRPr="002712D8">
              <w:rPr>
                <w:b/>
                <w:sz w:val="18"/>
                <w:szCs w:val="18"/>
              </w:rPr>
              <w:t>Πίνακας 3.</w:t>
            </w:r>
            <w:r w:rsidRPr="002712D8">
              <w:rPr>
                <w:b/>
                <w:sz w:val="18"/>
                <w:szCs w:val="18"/>
              </w:rPr>
              <w:fldChar w:fldCharType="begin"/>
            </w:r>
            <w:r w:rsidRPr="002712D8">
              <w:rPr>
                <w:b/>
                <w:sz w:val="18"/>
                <w:szCs w:val="18"/>
              </w:rPr>
              <w:instrText xml:space="preserve"> SEQ Πίνακας_3. \* ARABIC </w:instrText>
            </w:r>
            <w:r w:rsidRPr="002712D8">
              <w:rPr>
                <w:b/>
                <w:sz w:val="18"/>
                <w:szCs w:val="18"/>
              </w:rPr>
              <w:fldChar w:fldCharType="separate"/>
            </w:r>
            <w:r w:rsidR="00E15678">
              <w:rPr>
                <w:b/>
                <w:noProof/>
                <w:sz w:val="18"/>
                <w:szCs w:val="18"/>
              </w:rPr>
              <w:t>27</w:t>
            </w:r>
            <w:r w:rsidRPr="002712D8">
              <w:rPr>
                <w:b/>
                <w:sz w:val="18"/>
                <w:szCs w:val="18"/>
              </w:rPr>
              <w:fldChar w:fldCharType="end"/>
            </w:r>
            <w:bookmarkEnd w:id="636"/>
            <w:r w:rsidRPr="002712D8">
              <w:rPr>
                <w:b/>
                <w:sz w:val="18"/>
                <w:szCs w:val="18"/>
              </w:rPr>
              <w:t>.</w:t>
            </w:r>
            <w:r w:rsidR="00512031" w:rsidRPr="00512031">
              <w:rPr>
                <w:rFonts w:cs="Arial"/>
                <w:b/>
                <w:bCs/>
                <w:color w:val="000000"/>
                <w:sz w:val="18"/>
                <w:szCs w:val="18"/>
              </w:rPr>
              <w:t xml:space="preserve">: Κυριότερες μόνιμες δημοσιονομικές παρεμβάσεις 2025 </w:t>
            </w:r>
            <w:r w:rsidR="005C6CDA">
              <w:rPr>
                <w:rFonts w:cs="Arial"/>
                <w:b/>
                <w:bCs/>
                <w:color w:val="000000"/>
                <w:sz w:val="18"/>
                <w:szCs w:val="18"/>
              </w:rPr>
              <w:t>-</w:t>
            </w:r>
            <w:r w:rsidR="00512031" w:rsidRPr="00512031">
              <w:rPr>
                <w:rFonts w:cs="Arial"/>
                <w:b/>
                <w:bCs/>
                <w:color w:val="000000"/>
                <w:sz w:val="18"/>
                <w:szCs w:val="18"/>
              </w:rPr>
              <w:t xml:space="preserve"> 2027</w:t>
            </w:r>
            <w:bookmarkEnd w:id="637"/>
          </w:p>
          <w:p w14:paraId="616B8152" w14:textId="29FE95C5" w:rsidR="0002077A" w:rsidRPr="00512031" w:rsidRDefault="0002077A" w:rsidP="006C11B7">
            <w:pPr>
              <w:spacing w:after="0" w:line="276" w:lineRule="auto"/>
              <w:jc w:val="center"/>
              <w:rPr>
                <w:rFonts w:cs="Arial"/>
                <w:b/>
                <w:bCs/>
                <w:color w:val="000000"/>
                <w:sz w:val="18"/>
                <w:szCs w:val="18"/>
              </w:rPr>
            </w:pPr>
            <w:r>
              <w:rPr>
                <w:rFonts w:cs="Arial"/>
                <w:b/>
                <w:bCs/>
                <w:color w:val="000000"/>
                <w:sz w:val="18"/>
                <w:szCs w:val="18"/>
              </w:rPr>
              <w:t>(σε εκατ. ευρώ)</w:t>
            </w:r>
          </w:p>
        </w:tc>
      </w:tr>
      <w:tr w:rsidR="002712D8" w:rsidRPr="00512031" w14:paraId="6661F5FE" w14:textId="77777777" w:rsidTr="00E8681F">
        <w:trPr>
          <w:cantSplit/>
          <w:trHeight w:val="340"/>
          <w:tblHeader/>
          <w:jc w:val="center"/>
        </w:trPr>
        <w:tc>
          <w:tcPr>
            <w:tcW w:w="8374" w:type="dxa"/>
            <w:shd w:val="clear" w:color="000000" w:fill="FFFFFF"/>
            <w:vAlign w:val="center"/>
            <w:hideMark/>
          </w:tcPr>
          <w:p w14:paraId="4A3A855B" w14:textId="77777777" w:rsidR="00512031" w:rsidRPr="00512031" w:rsidRDefault="00512031" w:rsidP="006C11B7">
            <w:pPr>
              <w:spacing w:after="0" w:line="276" w:lineRule="auto"/>
              <w:jc w:val="center"/>
              <w:rPr>
                <w:rFonts w:cs="Arial"/>
                <w:b/>
                <w:bCs/>
                <w:color w:val="000000"/>
                <w:sz w:val="18"/>
                <w:szCs w:val="18"/>
              </w:rPr>
            </w:pPr>
            <w:r w:rsidRPr="00512031">
              <w:rPr>
                <w:rFonts w:cs="Arial"/>
                <w:b/>
                <w:bCs/>
                <w:color w:val="000000"/>
                <w:sz w:val="18"/>
                <w:szCs w:val="18"/>
              </w:rPr>
              <w:t>Περιγραφή</w:t>
            </w:r>
          </w:p>
        </w:tc>
        <w:tc>
          <w:tcPr>
            <w:tcW w:w="759" w:type="dxa"/>
            <w:shd w:val="clear" w:color="000000" w:fill="FFFFFF"/>
            <w:noWrap/>
            <w:vAlign w:val="center"/>
            <w:hideMark/>
          </w:tcPr>
          <w:p w14:paraId="421ADB89" w14:textId="77777777" w:rsidR="00512031" w:rsidRPr="00512031" w:rsidRDefault="00512031" w:rsidP="006C11B7">
            <w:pPr>
              <w:spacing w:after="0" w:line="276" w:lineRule="auto"/>
              <w:jc w:val="center"/>
              <w:rPr>
                <w:rFonts w:cs="Arial"/>
                <w:b/>
                <w:bCs/>
                <w:color w:val="000000"/>
                <w:sz w:val="18"/>
                <w:szCs w:val="18"/>
              </w:rPr>
            </w:pPr>
            <w:r w:rsidRPr="00512031">
              <w:rPr>
                <w:rFonts w:cs="Arial"/>
                <w:b/>
                <w:bCs/>
                <w:color w:val="000000"/>
                <w:sz w:val="18"/>
                <w:szCs w:val="18"/>
              </w:rPr>
              <w:t>2025</w:t>
            </w:r>
          </w:p>
        </w:tc>
        <w:tc>
          <w:tcPr>
            <w:tcW w:w="759" w:type="dxa"/>
            <w:shd w:val="clear" w:color="000000" w:fill="FFFFFF"/>
            <w:noWrap/>
            <w:vAlign w:val="center"/>
            <w:hideMark/>
          </w:tcPr>
          <w:p w14:paraId="1B64EAB1" w14:textId="77777777" w:rsidR="00512031" w:rsidRPr="00512031" w:rsidRDefault="00512031" w:rsidP="006C11B7">
            <w:pPr>
              <w:spacing w:after="0" w:line="276" w:lineRule="auto"/>
              <w:jc w:val="center"/>
              <w:rPr>
                <w:rFonts w:cs="Arial"/>
                <w:b/>
                <w:bCs/>
                <w:color w:val="000000"/>
                <w:sz w:val="18"/>
                <w:szCs w:val="18"/>
              </w:rPr>
            </w:pPr>
            <w:r w:rsidRPr="00512031">
              <w:rPr>
                <w:rFonts w:cs="Arial"/>
                <w:b/>
                <w:bCs/>
                <w:color w:val="000000"/>
                <w:sz w:val="18"/>
                <w:szCs w:val="18"/>
              </w:rPr>
              <w:t>2026</w:t>
            </w:r>
          </w:p>
        </w:tc>
        <w:tc>
          <w:tcPr>
            <w:tcW w:w="760" w:type="dxa"/>
            <w:shd w:val="clear" w:color="000000" w:fill="FFFFFF"/>
            <w:noWrap/>
            <w:vAlign w:val="center"/>
            <w:hideMark/>
          </w:tcPr>
          <w:p w14:paraId="098C4C90" w14:textId="77777777" w:rsidR="00512031" w:rsidRPr="00512031" w:rsidRDefault="00512031" w:rsidP="006C11B7">
            <w:pPr>
              <w:spacing w:after="0" w:line="276" w:lineRule="auto"/>
              <w:jc w:val="center"/>
              <w:rPr>
                <w:rFonts w:cs="Arial"/>
                <w:b/>
                <w:bCs/>
                <w:color w:val="000000"/>
                <w:sz w:val="18"/>
                <w:szCs w:val="18"/>
              </w:rPr>
            </w:pPr>
            <w:r w:rsidRPr="00512031">
              <w:rPr>
                <w:rFonts w:cs="Arial"/>
                <w:b/>
                <w:bCs/>
                <w:color w:val="000000"/>
                <w:sz w:val="18"/>
                <w:szCs w:val="18"/>
              </w:rPr>
              <w:t>2027</w:t>
            </w:r>
          </w:p>
        </w:tc>
      </w:tr>
      <w:tr w:rsidR="008B48E1" w:rsidRPr="00512031" w14:paraId="5FA1B147" w14:textId="77777777" w:rsidTr="00E8681F">
        <w:trPr>
          <w:cantSplit/>
          <w:trHeight w:val="283"/>
          <w:jc w:val="center"/>
        </w:trPr>
        <w:tc>
          <w:tcPr>
            <w:tcW w:w="10652" w:type="dxa"/>
            <w:gridSpan w:val="4"/>
            <w:shd w:val="clear" w:color="auto" w:fill="D9D9D9" w:themeFill="background1" w:themeFillShade="D9"/>
            <w:vAlign w:val="center"/>
            <w:hideMark/>
          </w:tcPr>
          <w:p w14:paraId="31D1FB47" w14:textId="1858D17D" w:rsidR="008B48E1" w:rsidRPr="00512031" w:rsidRDefault="008B48E1" w:rsidP="008B48E1">
            <w:pPr>
              <w:spacing w:after="0" w:line="276" w:lineRule="auto"/>
              <w:rPr>
                <w:rFonts w:cs="Arial"/>
                <w:b/>
                <w:bCs/>
                <w:color w:val="000000"/>
                <w:sz w:val="16"/>
                <w:szCs w:val="16"/>
              </w:rPr>
            </w:pPr>
            <w:r w:rsidRPr="00512031">
              <w:rPr>
                <w:rFonts w:cs="Arial"/>
                <w:b/>
                <w:bCs/>
                <w:color w:val="000000"/>
                <w:sz w:val="16"/>
                <w:szCs w:val="16"/>
              </w:rPr>
              <w:t>Α. Νέες παρεμβάσεις</w:t>
            </w:r>
            <w:r>
              <w:rPr>
                <w:rFonts w:cs="Arial"/>
                <w:b/>
                <w:bCs/>
                <w:color w:val="000000"/>
                <w:sz w:val="16"/>
                <w:szCs w:val="16"/>
              </w:rPr>
              <w:t>*</w:t>
            </w:r>
          </w:p>
        </w:tc>
      </w:tr>
      <w:tr w:rsidR="000739B8" w:rsidRPr="00512031" w14:paraId="21B5B2ED" w14:textId="77777777" w:rsidTr="00E8681F">
        <w:trPr>
          <w:cantSplit/>
          <w:trHeight w:val="227"/>
          <w:jc w:val="center"/>
        </w:trPr>
        <w:tc>
          <w:tcPr>
            <w:tcW w:w="8374" w:type="dxa"/>
            <w:shd w:val="clear" w:color="auto" w:fill="auto"/>
            <w:vAlign w:val="center"/>
            <w:hideMark/>
          </w:tcPr>
          <w:p w14:paraId="591ACC81" w14:textId="668EB30B"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 xml:space="preserve">Αναμόρφωση κλίμακας φορολογίας εισοδήματος με έμφαση στις οικογένειες με παιδιά, </w:t>
            </w:r>
            <w:r w:rsidR="0079226F">
              <w:rPr>
                <w:rFonts w:cs="Arial"/>
                <w:color w:val="000000"/>
                <w:sz w:val="16"/>
                <w:szCs w:val="16"/>
              </w:rPr>
              <w:t>σ</w:t>
            </w:r>
            <w:r w:rsidRPr="00512031">
              <w:rPr>
                <w:rFonts w:cs="Arial"/>
                <w:color w:val="000000"/>
                <w:sz w:val="16"/>
                <w:szCs w:val="16"/>
              </w:rPr>
              <w:t xml:space="preserve">τους νέους και </w:t>
            </w:r>
            <w:r w:rsidR="0079226F">
              <w:rPr>
                <w:rFonts w:cs="Arial"/>
                <w:color w:val="000000"/>
                <w:sz w:val="16"/>
                <w:szCs w:val="16"/>
              </w:rPr>
              <w:t>σ</w:t>
            </w:r>
            <w:r w:rsidRPr="00512031">
              <w:rPr>
                <w:rFonts w:cs="Arial"/>
                <w:color w:val="000000"/>
                <w:sz w:val="16"/>
                <w:szCs w:val="16"/>
              </w:rPr>
              <w:t>τη μεσαία τάξη</w:t>
            </w:r>
          </w:p>
        </w:tc>
        <w:tc>
          <w:tcPr>
            <w:tcW w:w="759" w:type="dxa"/>
            <w:shd w:val="clear" w:color="auto" w:fill="auto"/>
            <w:noWrap/>
            <w:vAlign w:val="center"/>
            <w:hideMark/>
          </w:tcPr>
          <w:p w14:paraId="7424574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shd w:val="clear" w:color="auto" w:fill="auto"/>
            <w:noWrap/>
            <w:vAlign w:val="center"/>
            <w:hideMark/>
          </w:tcPr>
          <w:p w14:paraId="31359756"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-1.218</w:t>
            </w:r>
          </w:p>
        </w:tc>
        <w:tc>
          <w:tcPr>
            <w:tcW w:w="760" w:type="dxa"/>
            <w:shd w:val="clear" w:color="auto" w:fill="auto"/>
            <w:noWrap/>
            <w:vAlign w:val="center"/>
            <w:hideMark/>
          </w:tcPr>
          <w:p w14:paraId="6FFB95FB" w14:textId="77777777" w:rsidR="00512031" w:rsidRPr="00512031" w:rsidRDefault="00512031" w:rsidP="006C11B7">
            <w:pPr>
              <w:spacing w:after="0" w:line="276" w:lineRule="auto"/>
              <w:jc w:val="right"/>
              <w:rPr>
                <w:rFonts w:cs="Arial"/>
                <w:color w:val="000000"/>
                <w:sz w:val="16"/>
                <w:szCs w:val="16"/>
              </w:rPr>
            </w:pPr>
            <w:r w:rsidRPr="00C25156">
              <w:rPr>
                <w:rFonts w:cs="Arial"/>
                <w:color w:val="000000"/>
                <w:sz w:val="16"/>
                <w:szCs w:val="16"/>
              </w:rPr>
              <w:t>-1.620</w:t>
            </w:r>
          </w:p>
        </w:tc>
      </w:tr>
      <w:tr w:rsidR="00512031" w:rsidRPr="00512031" w14:paraId="5CDB9CB5" w14:textId="77777777" w:rsidTr="00E8681F">
        <w:trPr>
          <w:cantSplit/>
          <w:trHeight w:val="227"/>
          <w:jc w:val="center"/>
        </w:trPr>
        <w:tc>
          <w:tcPr>
            <w:tcW w:w="8374" w:type="dxa"/>
            <w:shd w:val="clear" w:color="auto" w:fill="auto"/>
            <w:vAlign w:val="center"/>
            <w:hideMark/>
          </w:tcPr>
          <w:p w14:paraId="529DE193"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Μείωση του φόρου εισοδήματος ακινήτων με εισαγωγή ενδιάμεσου συντελεστή 25%</w:t>
            </w:r>
          </w:p>
        </w:tc>
        <w:tc>
          <w:tcPr>
            <w:tcW w:w="759" w:type="dxa"/>
            <w:shd w:val="clear" w:color="auto" w:fill="auto"/>
            <w:noWrap/>
            <w:vAlign w:val="center"/>
            <w:hideMark/>
          </w:tcPr>
          <w:p w14:paraId="0DE3961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shd w:val="clear" w:color="auto" w:fill="auto"/>
            <w:noWrap/>
            <w:vAlign w:val="center"/>
            <w:hideMark/>
          </w:tcPr>
          <w:p w14:paraId="6F01304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60" w:type="dxa"/>
            <w:shd w:val="clear" w:color="auto" w:fill="auto"/>
            <w:noWrap/>
            <w:vAlign w:val="center"/>
            <w:hideMark/>
          </w:tcPr>
          <w:p w14:paraId="1BA67B7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-90</w:t>
            </w:r>
          </w:p>
        </w:tc>
      </w:tr>
      <w:tr w:rsidR="00512031" w:rsidRPr="00512031" w14:paraId="4BFC2B58" w14:textId="77777777" w:rsidTr="00E8681F">
        <w:trPr>
          <w:cantSplit/>
          <w:trHeight w:val="227"/>
          <w:jc w:val="center"/>
        </w:trPr>
        <w:tc>
          <w:tcPr>
            <w:tcW w:w="8374" w:type="dxa"/>
            <w:shd w:val="clear" w:color="auto" w:fill="auto"/>
            <w:vAlign w:val="center"/>
            <w:hideMark/>
          </w:tcPr>
          <w:p w14:paraId="7017BE18"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Σταδιακή κατάργηση του ΕΝΦΙΑ για κύριες κατοικίες σε οικισμούς με πληθυσμό έως 1.500 κατοίκους (50% μείωση το 2026 και πλήρης κατάργηση το 2027)</w:t>
            </w:r>
          </w:p>
        </w:tc>
        <w:tc>
          <w:tcPr>
            <w:tcW w:w="759" w:type="dxa"/>
            <w:shd w:val="clear" w:color="auto" w:fill="auto"/>
            <w:noWrap/>
            <w:vAlign w:val="center"/>
            <w:hideMark/>
          </w:tcPr>
          <w:p w14:paraId="59E47F9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shd w:val="clear" w:color="auto" w:fill="auto"/>
            <w:noWrap/>
            <w:vAlign w:val="center"/>
            <w:hideMark/>
          </w:tcPr>
          <w:p w14:paraId="2E000B8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-38</w:t>
            </w:r>
          </w:p>
        </w:tc>
        <w:tc>
          <w:tcPr>
            <w:tcW w:w="760" w:type="dxa"/>
            <w:shd w:val="clear" w:color="auto" w:fill="auto"/>
            <w:noWrap/>
            <w:vAlign w:val="center"/>
            <w:hideMark/>
          </w:tcPr>
          <w:p w14:paraId="52C789BE"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-75</w:t>
            </w:r>
          </w:p>
        </w:tc>
      </w:tr>
      <w:tr w:rsidR="00512031" w:rsidRPr="00512031" w14:paraId="34564C47" w14:textId="77777777" w:rsidTr="00E8681F">
        <w:trPr>
          <w:cantSplit/>
          <w:trHeight w:val="227"/>
          <w:jc w:val="center"/>
        </w:trPr>
        <w:tc>
          <w:tcPr>
            <w:tcW w:w="8374" w:type="dxa"/>
            <w:shd w:val="clear" w:color="auto" w:fill="auto"/>
            <w:vAlign w:val="center"/>
            <w:hideMark/>
          </w:tcPr>
          <w:p w14:paraId="2417A956"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Αναπροσαρμογή και εξορθολογισμός του συστήματος τεκμηρίων διαβίωσης</w:t>
            </w:r>
          </w:p>
        </w:tc>
        <w:tc>
          <w:tcPr>
            <w:tcW w:w="759" w:type="dxa"/>
            <w:shd w:val="clear" w:color="auto" w:fill="auto"/>
            <w:noWrap/>
            <w:vAlign w:val="center"/>
            <w:hideMark/>
          </w:tcPr>
          <w:p w14:paraId="3AC7FDF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shd w:val="clear" w:color="auto" w:fill="auto"/>
            <w:noWrap/>
            <w:vAlign w:val="center"/>
            <w:hideMark/>
          </w:tcPr>
          <w:p w14:paraId="2566CFA3"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-40</w:t>
            </w:r>
          </w:p>
        </w:tc>
        <w:tc>
          <w:tcPr>
            <w:tcW w:w="760" w:type="dxa"/>
            <w:shd w:val="clear" w:color="auto" w:fill="auto"/>
            <w:noWrap/>
            <w:vAlign w:val="center"/>
            <w:hideMark/>
          </w:tcPr>
          <w:p w14:paraId="7438710F"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-40</w:t>
            </w:r>
          </w:p>
        </w:tc>
      </w:tr>
      <w:tr w:rsidR="00512031" w:rsidRPr="00512031" w14:paraId="31DFA378" w14:textId="77777777" w:rsidTr="00E8681F">
        <w:trPr>
          <w:cantSplit/>
          <w:trHeight w:val="227"/>
          <w:jc w:val="center"/>
        </w:trPr>
        <w:tc>
          <w:tcPr>
            <w:tcW w:w="8374" w:type="dxa"/>
            <w:shd w:val="clear" w:color="auto" w:fill="auto"/>
            <w:vAlign w:val="center"/>
            <w:hideMark/>
          </w:tcPr>
          <w:p w14:paraId="6DB91522"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Μη συμψηφισμός του 50% της αύξησης των συντάξεων με την προσωπική διαφορά των συνταξιούχων το 2026 και κατάργηση του συμψηφισμού από το 2027</w:t>
            </w:r>
          </w:p>
        </w:tc>
        <w:tc>
          <w:tcPr>
            <w:tcW w:w="759" w:type="dxa"/>
            <w:shd w:val="clear" w:color="auto" w:fill="auto"/>
            <w:noWrap/>
            <w:vAlign w:val="center"/>
            <w:hideMark/>
          </w:tcPr>
          <w:p w14:paraId="706CB54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shd w:val="clear" w:color="auto" w:fill="auto"/>
            <w:noWrap/>
            <w:vAlign w:val="center"/>
            <w:hideMark/>
          </w:tcPr>
          <w:p w14:paraId="157375C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-75</w:t>
            </w:r>
          </w:p>
        </w:tc>
        <w:tc>
          <w:tcPr>
            <w:tcW w:w="760" w:type="dxa"/>
            <w:shd w:val="clear" w:color="auto" w:fill="auto"/>
            <w:noWrap/>
            <w:vAlign w:val="center"/>
            <w:hideMark/>
          </w:tcPr>
          <w:p w14:paraId="097A3F6B"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-210</w:t>
            </w:r>
          </w:p>
        </w:tc>
      </w:tr>
      <w:tr w:rsidR="00512031" w:rsidRPr="00512031" w14:paraId="37DE3641" w14:textId="77777777" w:rsidTr="00E8681F">
        <w:trPr>
          <w:cantSplit/>
          <w:trHeight w:val="227"/>
          <w:jc w:val="center"/>
        </w:trPr>
        <w:tc>
          <w:tcPr>
            <w:tcW w:w="8374" w:type="dxa"/>
            <w:shd w:val="clear" w:color="auto" w:fill="auto"/>
            <w:vAlign w:val="center"/>
            <w:hideMark/>
          </w:tcPr>
          <w:p w14:paraId="6B8F03E3"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Μείωση ΦΠΑ κατά 30% στα νησιά της περιφέρειας του Βορείου Αιγαίου, του νομού Έβρου (Σαμοθράκη) και του νομού Δωδεκανήσων με πληθυσμό έως 20.000 κατοίκους</w:t>
            </w:r>
          </w:p>
        </w:tc>
        <w:tc>
          <w:tcPr>
            <w:tcW w:w="759" w:type="dxa"/>
            <w:shd w:val="clear" w:color="auto" w:fill="auto"/>
            <w:noWrap/>
            <w:vAlign w:val="center"/>
            <w:hideMark/>
          </w:tcPr>
          <w:p w14:paraId="68951EBD"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shd w:val="clear" w:color="auto" w:fill="auto"/>
            <w:noWrap/>
            <w:vAlign w:val="center"/>
            <w:hideMark/>
          </w:tcPr>
          <w:p w14:paraId="3BC91B7E"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-25</w:t>
            </w:r>
          </w:p>
        </w:tc>
        <w:tc>
          <w:tcPr>
            <w:tcW w:w="760" w:type="dxa"/>
            <w:shd w:val="clear" w:color="auto" w:fill="auto"/>
            <w:noWrap/>
            <w:vAlign w:val="center"/>
            <w:hideMark/>
          </w:tcPr>
          <w:p w14:paraId="2D307AA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-25</w:t>
            </w:r>
          </w:p>
        </w:tc>
      </w:tr>
      <w:tr w:rsidR="00512031" w:rsidRPr="00512031" w14:paraId="3D7D4C25" w14:textId="77777777" w:rsidTr="00E8681F">
        <w:trPr>
          <w:cantSplit/>
          <w:trHeight w:val="227"/>
          <w:jc w:val="center"/>
        </w:trPr>
        <w:tc>
          <w:tcPr>
            <w:tcW w:w="8374" w:type="dxa"/>
            <w:shd w:val="clear" w:color="auto" w:fill="auto"/>
            <w:vAlign w:val="center"/>
            <w:hideMark/>
          </w:tcPr>
          <w:p w14:paraId="62D4306E"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Μείωση κατά 50% του ελάχιστου εισοδήματος για τους ελεύθερους επαγγελματίες στους οικισμούς εκτός Αττικής με πληθυσμό έως 1.500 κατοίκους και τα σχολικά κυλικεία καθώς και εξαίρεση από το ελάχιστο εισόδημα για τις νέες μητέρες τόσο κατά το έτος γέννησης του τέκνου όσο και για τα επόμενα 2 έτη</w:t>
            </w:r>
          </w:p>
        </w:tc>
        <w:tc>
          <w:tcPr>
            <w:tcW w:w="759" w:type="dxa"/>
            <w:shd w:val="clear" w:color="auto" w:fill="auto"/>
            <w:noWrap/>
            <w:vAlign w:val="center"/>
            <w:hideMark/>
          </w:tcPr>
          <w:p w14:paraId="0152DD7B"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shd w:val="clear" w:color="auto" w:fill="auto"/>
            <w:noWrap/>
            <w:vAlign w:val="center"/>
            <w:hideMark/>
          </w:tcPr>
          <w:p w14:paraId="6307724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-10</w:t>
            </w:r>
          </w:p>
        </w:tc>
        <w:tc>
          <w:tcPr>
            <w:tcW w:w="760" w:type="dxa"/>
            <w:shd w:val="clear" w:color="auto" w:fill="auto"/>
            <w:noWrap/>
            <w:vAlign w:val="center"/>
            <w:hideMark/>
          </w:tcPr>
          <w:p w14:paraId="2FB7E94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-10</w:t>
            </w:r>
          </w:p>
        </w:tc>
      </w:tr>
      <w:tr w:rsidR="00512031" w:rsidRPr="00512031" w14:paraId="090CC727" w14:textId="77777777" w:rsidTr="00E8681F">
        <w:trPr>
          <w:cantSplit/>
          <w:trHeight w:val="227"/>
          <w:jc w:val="center"/>
        </w:trPr>
        <w:tc>
          <w:tcPr>
            <w:tcW w:w="8374" w:type="dxa"/>
            <w:shd w:val="clear" w:color="auto" w:fill="auto"/>
            <w:vAlign w:val="center"/>
            <w:hideMark/>
          </w:tcPr>
          <w:p w14:paraId="0ADEEAE1"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Αναμόρφωση του μισθολογίου των Ενόπλων Δυνάμεων</w:t>
            </w:r>
          </w:p>
        </w:tc>
        <w:tc>
          <w:tcPr>
            <w:tcW w:w="759" w:type="dxa"/>
            <w:shd w:val="clear" w:color="auto" w:fill="auto"/>
            <w:noWrap/>
            <w:vAlign w:val="center"/>
            <w:hideMark/>
          </w:tcPr>
          <w:p w14:paraId="24E57F8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-41</w:t>
            </w:r>
          </w:p>
        </w:tc>
        <w:tc>
          <w:tcPr>
            <w:tcW w:w="759" w:type="dxa"/>
            <w:shd w:val="clear" w:color="auto" w:fill="auto"/>
            <w:noWrap/>
            <w:vAlign w:val="center"/>
            <w:hideMark/>
          </w:tcPr>
          <w:p w14:paraId="1359091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-162</w:t>
            </w:r>
          </w:p>
        </w:tc>
        <w:tc>
          <w:tcPr>
            <w:tcW w:w="760" w:type="dxa"/>
            <w:shd w:val="clear" w:color="auto" w:fill="auto"/>
            <w:noWrap/>
            <w:vAlign w:val="center"/>
            <w:hideMark/>
          </w:tcPr>
          <w:p w14:paraId="59BED561"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-162</w:t>
            </w:r>
          </w:p>
        </w:tc>
      </w:tr>
      <w:tr w:rsidR="00512031" w:rsidRPr="00512031" w14:paraId="1024E2B0" w14:textId="77777777" w:rsidTr="00E8681F">
        <w:trPr>
          <w:cantSplit/>
          <w:trHeight w:val="227"/>
          <w:jc w:val="center"/>
        </w:trPr>
        <w:tc>
          <w:tcPr>
            <w:tcW w:w="8374" w:type="dxa"/>
            <w:shd w:val="clear" w:color="auto" w:fill="auto"/>
            <w:vAlign w:val="center"/>
            <w:hideMark/>
          </w:tcPr>
          <w:p w14:paraId="4A40DFA3"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Εξοικονόμηση από την αναμόρφωση της δομής των Ενόπλων Δυνάμεων</w:t>
            </w:r>
          </w:p>
        </w:tc>
        <w:tc>
          <w:tcPr>
            <w:tcW w:w="759" w:type="dxa"/>
            <w:shd w:val="clear" w:color="auto" w:fill="auto"/>
            <w:noWrap/>
            <w:vAlign w:val="center"/>
            <w:hideMark/>
          </w:tcPr>
          <w:p w14:paraId="35D03A1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19</w:t>
            </w:r>
          </w:p>
        </w:tc>
        <w:tc>
          <w:tcPr>
            <w:tcW w:w="759" w:type="dxa"/>
            <w:shd w:val="clear" w:color="auto" w:fill="auto"/>
            <w:noWrap/>
            <w:vAlign w:val="center"/>
            <w:hideMark/>
          </w:tcPr>
          <w:p w14:paraId="1051884F"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77</w:t>
            </w:r>
          </w:p>
        </w:tc>
        <w:tc>
          <w:tcPr>
            <w:tcW w:w="760" w:type="dxa"/>
            <w:shd w:val="clear" w:color="auto" w:fill="auto"/>
            <w:noWrap/>
            <w:vAlign w:val="center"/>
            <w:hideMark/>
          </w:tcPr>
          <w:p w14:paraId="22E6ED2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77</w:t>
            </w:r>
          </w:p>
        </w:tc>
      </w:tr>
      <w:tr w:rsidR="00512031" w:rsidRPr="00512031" w14:paraId="1E5E5E2F" w14:textId="77777777" w:rsidTr="00E8681F">
        <w:trPr>
          <w:cantSplit/>
          <w:trHeight w:val="227"/>
          <w:jc w:val="center"/>
        </w:trPr>
        <w:tc>
          <w:tcPr>
            <w:tcW w:w="8374" w:type="dxa"/>
            <w:shd w:val="clear" w:color="auto" w:fill="auto"/>
            <w:vAlign w:val="center"/>
            <w:hideMark/>
          </w:tcPr>
          <w:p w14:paraId="72193487"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Αύξηση της αποζημίωσης των οπλιτών από 8,8 ευρώ σε 50 έως 100 ευρώ</w:t>
            </w:r>
          </w:p>
        </w:tc>
        <w:tc>
          <w:tcPr>
            <w:tcW w:w="759" w:type="dxa"/>
            <w:shd w:val="clear" w:color="auto" w:fill="auto"/>
            <w:noWrap/>
            <w:vAlign w:val="center"/>
            <w:hideMark/>
          </w:tcPr>
          <w:p w14:paraId="4C0120E5"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shd w:val="clear" w:color="auto" w:fill="auto"/>
            <w:noWrap/>
            <w:vAlign w:val="center"/>
            <w:hideMark/>
          </w:tcPr>
          <w:p w14:paraId="6257C2C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-25</w:t>
            </w:r>
          </w:p>
        </w:tc>
        <w:tc>
          <w:tcPr>
            <w:tcW w:w="760" w:type="dxa"/>
            <w:shd w:val="clear" w:color="auto" w:fill="auto"/>
            <w:noWrap/>
            <w:vAlign w:val="center"/>
            <w:hideMark/>
          </w:tcPr>
          <w:p w14:paraId="5BD891CD"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-25</w:t>
            </w:r>
          </w:p>
        </w:tc>
      </w:tr>
      <w:tr w:rsidR="00512031" w:rsidRPr="00512031" w14:paraId="0E0EFF86" w14:textId="77777777" w:rsidTr="00E8681F">
        <w:trPr>
          <w:cantSplit/>
          <w:trHeight w:val="227"/>
          <w:jc w:val="center"/>
        </w:trPr>
        <w:tc>
          <w:tcPr>
            <w:tcW w:w="8374" w:type="dxa"/>
            <w:shd w:val="clear" w:color="auto" w:fill="auto"/>
            <w:vAlign w:val="center"/>
            <w:hideMark/>
          </w:tcPr>
          <w:p w14:paraId="254FFC74"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Αναμόρφωση του μισθολογίου των Σωμάτων Ασφαλείας (ΕΛΑΣ, ΠΣ, ΛΣ - ΕΛΑΚΤ)</w:t>
            </w:r>
          </w:p>
        </w:tc>
        <w:tc>
          <w:tcPr>
            <w:tcW w:w="759" w:type="dxa"/>
            <w:shd w:val="clear" w:color="auto" w:fill="auto"/>
            <w:noWrap/>
            <w:vAlign w:val="center"/>
            <w:hideMark/>
          </w:tcPr>
          <w:p w14:paraId="0894BDA5"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-32</w:t>
            </w:r>
          </w:p>
        </w:tc>
        <w:tc>
          <w:tcPr>
            <w:tcW w:w="759" w:type="dxa"/>
            <w:shd w:val="clear" w:color="auto" w:fill="auto"/>
            <w:noWrap/>
            <w:vAlign w:val="center"/>
            <w:hideMark/>
          </w:tcPr>
          <w:p w14:paraId="4D3C0BB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-127</w:t>
            </w:r>
          </w:p>
        </w:tc>
        <w:tc>
          <w:tcPr>
            <w:tcW w:w="760" w:type="dxa"/>
            <w:shd w:val="clear" w:color="auto" w:fill="auto"/>
            <w:noWrap/>
            <w:vAlign w:val="center"/>
            <w:hideMark/>
          </w:tcPr>
          <w:p w14:paraId="1399CB0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-127</w:t>
            </w:r>
          </w:p>
        </w:tc>
      </w:tr>
      <w:tr w:rsidR="00512031" w:rsidRPr="00512031" w14:paraId="25877155" w14:textId="77777777" w:rsidTr="00E8681F">
        <w:trPr>
          <w:cantSplit/>
          <w:trHeight w:val="227"/>
          <w:jc w:val="center"/>
        </w:trPr>
        <w:tc>
          <w:tcPr>
            <w:tcW w:w="8374" w:type="dxa"/>
            <w:shd w:val="clear" w:color="auto" w:fill="auto"/>
            <w:vAlign w:val="center"/>
            <w:hideMark/>
          </w:tcPr>
          <w:p w14:paraId="706D76B1"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Αναμόρφωση των αποδοχών των υπαλλήλων του Υπουργείου Εξωτερικών</w:t>
            </w:r>
          </w:p>
        </w:tc>
        <w:tc>
          <w:tcPr>
            <w:tcW w:w="759" w:type="dxa"/>
            <w:shd w:val="clear" w:color="auto" w:fill="auto"/>
            <w:noWrap/>
            <w:vAlign w:val="center"/>
            <w:hideMark/>
          </w:tcPr>
          <w:p w14:paraId="326F5B4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shd w:val="clear" w:color="auto" w:fill="auto"/>
            <w:noWrap/>
            <w:vAlign w:val="center"/>
            <w:hideMark/>
          </w:tcPr>
          <w:p w14:paraId="750DEA7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-30</w:t>
            </w:r>
          </w:p>
        </w:tc>
        <w:tc>
          <w:tcPr>
            <w:tcW w:w="760" w:type="dxa"/>
            <w:shd w:val="clear" w:color="auto" w:fill="auto"/>
            <w:noWrap/>
            <w:vAlign w:val="center"/>
            <w:hideMark/>
          </w:tcPr>
          <w:p w14:paraId="31E7D29C"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-30</w:t>
            </w:r>
          </w:p>
        </w:tc>
      </w:tr>
      <w:tr w:rsidR="001A1BC5" w:rsidRPr="00512031" w14:paraId="03726A68" w14:textId="77777777" w:rsidTr="00E8681F">
        <w:trPr>
          <w:cantSplit/>
          <w:trHeight w:val="227"/>
          <w:jc w:val="center"/>
        </w:trPr>
        <w:tc>
          <w:tcPr>
            <w:tcW w:w="8374" w:type="dxa"/>
            <w:shd w:val="clear" w:color="auto" w:fill="auto"/>
            <w:vAlign w:val="center"/>
          </w:tcPr>
          <w:p w14:paraId="0381620B" w14:textId="2A710F50" w:rsidR="001A1BC5" w:rsidRPr="00512031" w:rsidRDefault="001A1BC5" w:rsidP="006C11B7">
            <w:pPr>
              <w:spacing w:after="0" w:line="276" w:lineRule="auto"/>
              <w:jc w:val="left"/>
              <w:rPr>
                <w:rFonts w:cs="Arial"/>
                <w:color w:val="000000"/>
                <w:sz w:val="16"/>
                <w:szCs w:val="16"/>
              </w:rPr>
            </w:pPr>
            <w:r>
              <w:rPr>
                <w:rFonts w:cs="Arial"/>
                <w:color w:val="000000"/>
                <w:sz w:val="16"/>
                <w:szCs w:val="16"/>
              </w:rPr>
              <w:t>Θέσπιση επιδόματος ιδια</w:t>
            </w:r>
            <w:r w:rsidR="00406BAA">
              <w:rPr>
                <w:rFonts w:cs="Arial"/>
                <w:color w:val="000000"/>
                <w:sz w:val="16"/>
                <w:szCs w:val="16"/>
              </w:rPr>
              <w:t>ίτερων</w:t>
            </w:r>
            <w:r>
              <w:rPr>
                <w:rFonts w:cs="Arial"/>
                <w:color w:val="000000"/>
                <w:sz w:val="16"/>
                <w:szCs w:val="16"/>
              </w:rPr>
              <w:t xml:space="preserve"> καθηκόντων στο προσωπικό των σωφρονιστικών καταστημάτων</w:t>
            </w:r>
          </w:p>
        </w:tc>
        <w:tc>
          <w:tcPr>
            <w:tcW w:w="759" w:type="dxa"/>
            <w:shd w:val="clear" w:color="auto" w:fill="auto"/>
            <w:noWrap/>
            <w:vAlign w:val="center"/>
          </w:tcPr>
          <w:p w14:paraId="159AFB58" w14:textId="23877959" w:rsidR="001A1BC5" w:rsidRPr="00512031" w:rsidRDefault="001A1BC5" w:rsidP="006C11B7">
            <w:pPr>
              <w:spacing w:after="0" w:line="276" w:lineRule="auto"/>
              <w:jc w:val="right"/>
              <w:rPr>
                <w:rFonts w:cs="Arial"/>
                <w:color w:val="000000"/>
                <w:sz w:val="16"/>
                <w:szCs w:val="16"/>
              </w:rPr>
            </w:pPr>
            <w:r>
              <w:rPr>
                <w:rFonts w:cs="Arial"/>
                <w:color w:val="000000"/>
                <w:sz w:val="16"/>
                <w:szCs w:val="16"/>
              </w:rPr>
              <w:t>-3</w:t>
            </w:r>
          </w:p>
        </w:tc>
        <w:tc>
          <w:tcPr>
            <w:tcW w:w="759" w:type="dxa"/>
            <w:shd w:val="clear" w:color="auto" w:fill="auto"/>
            <w:noWrap/>
            <w:vAlign w:val="center"/>
          </w:tcPr>
          <w:p w14:paraId="75A90D0C" w14:textId="05B4EE51" w:rsidR="001A1BC5" w:rsidRPr="00512031" w:rsidRDefault="001A1BC5" w:rsidP="006C11B7">
            <w:pPr>
              <w:spacing w:after="0" w:line="276" w:lineRule="auto"/>
              <w:jc w:val="right"/>
              <w:rPr>
                <w:rFonts w:cs="Arial"/>
                <w:color w:val="000000"/>
                <w:sz w:val="16"/>
                <w:szCs w:val="16"/>
              </w:rPr>
            </w:pPr>
            <w:r>
              <w:rPr>
                <w:rFonts w:cs="Arial"/>
                <w:color w:val="000000"/>
                <w:sz w:val="16"/>
                <w:szCs w:val="16"/>
              </w:rPr>
              <w:t>-6</w:t>
            </w:r>
          </w:p>
        </w:tc>
        <w:tc>
          <w:tcPr>
            <w:tcW w:w="760" w:type="dxa"/>
            <w:shd w:val="clear" w:color="auto" w:fill="auto"/>
            <w:noWrap/>
            <w:vAlign w:val="center"/>
          </w:tcPr>
          <w:p w14:paraId="71667A65" w14:textId="458FB6A4" w:rsidR="001A1BC5" w:rsidRPr="00512031" w:rsidRDefault="001A1BC5" w:rsidP="006C11B7">
            <w:pPr>
              <w:spacing w:after="0" w:line="276" w:lineRule="auto"/>
              <w:jc w:val="right"/>
              <w:rPr>
                <w:rFonts w:cs="Arial"/>
                <w:color w:val="000000"/>
                <w:sz w:val="16"/>
                <w:szCs w:val="16"/>
              </w:rPr>
            </w:pPr>
            <w:r>
              <w:rPr>
                <w:rFonts w:cs="Arial"/>
                <w:color w:val="000000"/>
                <w:sz w:val="16"/>
                <w:szCs w:val="16"/>
              </w:rPr>
              <w:t>-6</w:t>
            </w:r>
          </w:p>
        </w:tc>
      </w:tr>
      <w:tr w:rsidR="00512031" w:rsidRPr="00512031" w14:paraId="0EE8FC9C" w14:textId="77777777" w:rsidTr="00E8681F">
        <w:trPr>
          <w:cantSplit/>
          <w:trHeight w:val="227"/>
          <w:jc w:val="center"/>
        </w:trPr>
        <w:tc>
          <w:tcPr>
            <w:tcW w:w="8374" w:type="dxa"/>
            <w:shd w:val="clear" w:color="auto" w:fill="auto"/>
            <w:vAlign w:val="center"/>
            <w:hideMark/>
          </w:tcPr>
          <w:p w14:paraId="5813885E"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Αναγνώριση μισθολογικά integrated master του Πολυτεχνείου και λοιπών Πανεπιστημιακών Σχολών με πενταετή κύκλο σπουδών</w:t>
            </w:r>
          </w:p>
        </w:tc>
        <w:tc>
          <w:tcPr>
            <w:tcW w:w="759" w:type="dxa"/>
            <w:shd w:val="clear" w:color="auto" w:fill="auto"/>
            <w:noWrap/>
            <w:vAlign w:val="center"/>
            <w:hideMark/>
          </w:tcPr>
          <w:p w14:paraId="00636AB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shd w:val="clear" w:color="auto" w:fill="auto"/>
            <w:noWrap/>
            <w:vAlign w:val="center"/>
            <w:hideMark/>
          </w:tcPr>
          <w:p w14:paraId="0101F641"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-7</w:t>
            </w:r>
          </w:p>
        </w:tc>
        <w:tc>
          <w:tcPr>
            <w:tcW w:w="760" w:type="dxa"/>
            <w:shd w:val="clear" w:color="auto" w:fill="auto"/>
            <w:noWrap/>
            <w:vAlign w:val="center"/>
            <w:hideMark/>
          </w:tcPr>
          <w:p w14:paraId="4350D43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-7</w:t>
            </w:r>
          </w:p>
        </w:tc>
      </w:tr>
      <w:tr w:rsidR="00512031" w:rsidRPr="00512031" w14:paraId="1B96132B" w14:textId="77777777" w:rsidTr="00E8681F">
        <w:trPr>
          <w:cantSplit/>
          <w:trHeight w:val="227"/>
          <w:jc w:val="center"/>
        </w:trPr>
        <w:tc>
          <w:tcPr>
            <w:tcW w:w="8374" w:type="dxa"/>
            <w:shd w:val="clear" w:color="auto" w:fill="auto"/>
            <w:vAlign w:val="center"/>
            <w:hideMark/>
          </w:tcPr>
          <w:p w14:paraId="1B2FAA31"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Θέσπιση αφορολόγητου επιδόματος βιβλιοθήκης μελών ΔΕΠ και ερευνητών</w:t>
            </w:r>
          </w:p>
        </w:tc>
        <w:tc>
          <w:tcPr>
            <w:tcW w:w="759" w:type="dxa"/>
            <w:shd w:val="clear" w:color="auto" w:fill="auto"/>
            <w:noWrap/>
            <w:vAlign w:val="center"/>
            <w:hideMark/>
          </w:tcPr>
          <w:p w14:paraId="0EA0D226"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shd w:val="clear" w:color="auto" w:fill="auto"/>
            <w:noWrap/>
            <w:vAlign w:val="center"/>
            <w:hideMark/>
          </w:tcPr>
          <w:p w14:paraId="4AAAC60F"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-6</w:t>
            </w:r>
          </w:p>
        </w:tc>
        <w:tc>
          <w:tcPr>
            <w:tcW w:w="760" w:type="dxa"/>
            <w:shd w:val="clear" w:color="auto" w:fill="auto"/>
            <w:noWrap/>
            <w:vAlign w:val="center"/>
            <w:hideMark/>
          </w:tcPr>
          <w:p w14:paraId="147D078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-6</w:t>
            </w:r>
          </w:p>
        </w:tc>
      </w:tr>
      <w:tr w:rsidR="00512031" w:rsidRPr="00512031" w14:paraId="74AADEAD" w14:textId="77777777" w:rsidTr="00E8681F">
        <w:trPr>
          <w:cantSplit/>
          <w:trHeight w:val="227"/>
          <w:jc w:val="center"/>
        </w:trPr>
        <w:tc>
          <w:tcPr>
            <w:tcW w:w="8374" w:type="dxa"/>
            <w:shd w:val="clear" w:color="auto" w:fill="auto"/>
            <w:vAlign w:val="center"/>
            <w:hideMark/>
          </w:tcPr>
          <w:p w14:paraId="676A25A5"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Απαλλαγή από τον φόρο εισοδήματος ιδρυμάτων και κληροδοτημάτων</w:t>
            </w:r>
          </w:p>
        </w:tc>
        <w:tc>
          <w:tcPr>
            <w:tcW w:w="759" w:type="dxa"/>
            <w:shd w:val="clear" w:color="auto" w:fill="auto"/>
            <w:noWrap/>
            <w:vAlign w:val="center"/>
            <w:hideMark/>
          </w:tcPr>
          <w:p w14:paraId="6E3320A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shd w:val="clear" w:color="auto" w:fill="auto"/>
            <w:noWrap/>
            <w:vAlign w:val="center"/>
            <w:hideMark/>
          </w:tcPr>
          <w:p w14:paraId="3A788E3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60" w:type="dxa"/>
            <w:shd w:val="clear" w:color="auto" w:fill="auto"/>
            <w:noWrap/>
            <w:vAlign w:val="center"/>
            <w:hideMark/>
          </w:tcPr>
          <w:p w14:paraId="3DF4D562"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-43</w:t>
            </w:r>
          </w:p>
        </w:tc>
      </w:tr>
      <w:tr w:rsidR="00512031" w:rsidRPr="00512031" w14:paraId="0A254383" w14:textId="77777777" w:rsidTr="00E8681F">
        <w:trPr>
          <w:cantSplit/>
          <w:trHeight w:val="227"/>
          <w:jc w:val="center"/>
        </w:trPr>
        <w:tc>
          <w:tcPr>
            <w:tcW w:w="8374" w:type="dxa"/>
            <w:shd w:val="clear" w:color="auto" w:fill="auto"/>
            <w:vAlign w:val="center"/>
            <w:hideMark/>
          </w:tcPr>
          <w:p w14:paraId="5A2D7707"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Ταμείο Καινοτομίας Φαρμάκων</w:t>
            </w:r>
          </w:p>
        </w:tc>
        <w:tc>
          <w:tcPr>
            <w:tcW w:w="759" w:type="dxa"/>
            <w:shd w:val="clear" w:color="auto" w:fill="auto"/>
            <w:noWrap/>
            <w:vAlign w:val="center"/>
            <w:hideMark/>
          </w:tcPr>
          <w:p w14:paraId="1D3C1BD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shd w:val="clear" w:color="auto" w:fill="auto"/>
            <w:noWrap/>
            <w:vAlign w:val="center"/>
            <w:hideMark/>
          </w:tcPr>
          <w:p w14:paraId="2604C7D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-50</w:t>
            </w:r>
          </w:p>
        </w:tc>
        <w:tc>
          <w:tcPr>
            <w:tcW w:w="760" w:type="dxa"/>
            <w:shd w:val="clear" w:color="auto" w:fill="auto"/>
            <w:noWrap/>
            <w:vAlign w:val="center"/>
            <w:hideMark/>
          </w:tcPr>
          <w:p w14:paraId="207380E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-50</w:t>
            </w:r>
          </w:p>
        </w:tc>
      </w:tr>
      <w:tr w:rsidR="00512031" w:rsidRPr="00512031" w14:paraId="7B3E0604" w14:textId="77777777" w:rsidTr="00E8681F">
        <w:trPr>
          <w:cantSplit/>
          <w:trHeight w:val="227"/>
          <w:jc w:val="center"/>
        </w:trPr>
        <w:tc>
          <w:tcPr>
            <w:tcW w:w="8374" w:type="dxa"/>
            <w:shd w:val="clear" w:color="auto" w:fill="auto"/>
            <w:vAlign w:val="center"/>
            <w:hideMark/>
          </w:tcPr>
          <w:p w14:paraId="529BBC66"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Κατάργηση τέλους συνδρομητικής τηλεόρασης</w:t>
            </w:r>
          </w:p>
        </w:tc>
        <w:tc>
          <w:tcPr>
            <w:tcW w:w="759" w:type="dxa"/>
            <w:shd w:val="clear" w:color="auto" w:fill="auto"/>
            <w:noWrap/>
            <w:vAlign w:val="center"/>
            <w:hideMark/>
          </w:tcPr>
          <w:p w14:paraId="3B977DA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shd w:val="clear" w:color="auto" w:fill="auto"/>
            <w:noWrap/>
            <w:vAlign w:val="center"/>
            <w:hideMark/>
          </w:tcPr>
          <w:p w14:paraId="3DBC5F63"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-22</w:t>
            </w:r>
          </w:p>
        </w:tc>
        <w:tc>
          <w:tcPr>
            <w:tcW w:w="760" w:type="dxa"/>
            <w:shd w:val="clear" w:color="auto" w:fill="auto"/>
            <w:noWrap/>
            <w:vAlign w:val="center"/>
            <w:hideMark/>
          </w:tcPr>
          <w:p w14:paraId="7EA42C22"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-22</w:t>
            </w:r>
          </w:p>
        </w:tc>
      </w:tr>
      <w:tr w:rsidR="000739B8" w:rsidRPr="00512031" w14:paraId="3FDFB830" w14:textId="77777777" w:rsidTr="00E8681F">
        <w:trPr>
          <w:cantSplit/>
          <w:trHeight w:val="227"/>
          <w:jc w:val="center"/>
        </w:trPr>
        <w:tc>
          <w:tcPr>
            <w:tcW w:w="8374" w:type="dxa"/>
            <w:shd w:val="clear" w:color="000000" w:fill="F2F2F2"/>
            <w:vAlign w:val="center"/>
            <w:hideMark/>
          </w:tcPr>
          <w:p w14:paraId="1579B66D" w14:textId="77777777" w:rsidR="00512031" w:rsidRPr="00512031" w:rsidRDefault="00512031" w:rsidP="006C11B7">
            <w:pPr>
              <w:spacing w:after="0" w:line="276" w:lineRule="auto"/>
              <w:jc w:val="left"/>
              <w:rPr>
                <w:rFonts w:cs="Arial"/>
                <w:b/>
                <w:bCs/>
                <w:color w:val="000000"/>
                <w:sz w:val="16"/>
                <w:szCs w:val="16"/>
              </w:rPr>
            </w:pPr>
            <w:r w:rsidRPr="00512031">
              <w:rPr>
                <w:rFonts w:cs="Arial"/>
                <w:b/>
                <w:bCs/>
                <w:color w:val="000000"/>
                <w:sz w:val="16"/>
                <w:szCs w:val="16"/>
              </w:rPr>
              <w:t>Α. Σύνολο</w:t>
            </w:r>
          </w:p>
        </w:tc>
        <w:tc>
          <w:tcPr>
            <w:tcW w:w="759" w:type="dxa"/>
            <w:shd w:val="clear" w:color="000000" w:fill="F2F2F2"/>
            <w:noWrap/>
            <w:vAlign w:val="center"/>
            <w:hideMark/>
          </w:tcPr>
          <w:p w14:paraId="79582785" w14:textId="6FF021B3" w:rsidR="00512031" w:rsidRPr="00512031" w:rsidRDefault="00512031" w:rsidP="006C11B7">
            <w:pPr>
              <w:spacing w:after="0" w:line="276" w:lineRule="auto"/>
              <w:jc w:val="right"/>
              <w:rPr>
                <w:rFonts w:cs="Arial"/>
                <w:b/>
                <w:bCs/>
                <w:color w:val="000000"/>
                <w:sz w:val="16"/>
                <w:szCs w:val="16"/>
              </w:rPr>
            </w:pPr>
            <w:r w:rsidRPr="00512031">
              <w:rPr>
                <w:rFonts w:cs="Arial"/>
                <w:b/>
                <w:bCs/>
                <w:color w:val="000000"/>
                <w:sz w:val="16"/>
                <w:szCs w:val="16"/>
              </w:rPr>
              <w:t>-5</w:t>
            </w:r>
            <w:r w:rsidR="001A1BC5">
              <w:rPr>
                <w:rFonts w:cs="Arial"/>
                <w:b/>
                <w:bCs/>
                <w:color w:val="000000"/>
                <w:sz w:val="16"/>
                <w:szCs w:val="16"/>
              </w:rPr>
              <w:t>6</w:t>
            </w:r>
          </w:p>
        </w:tc>
        <w:tc>
          <w:tcPr>
            <w:tcW w:w="759" w:type="dxa"/>
            <w:shd w:val="clear" w:color="000000" w:fill="F2F2F2"/>
            <w:noWrap/>
            <w:vAlign w:val="center"/>
            <w:hideMark/>
          </w:tcPr>
          <w:p w14:paraId="45F114CC" w14:textId="07B3BDDC" w:rsidR="00512031" w:rsidRPr="00512031" w:rsidRDefault="00512031" w:rsidP="006C11B7">
            <w:pPr>
              <w:spacing w:after="0" w:line="276" w:lineRule="auto"/>
              <w:jc w:val="right"/>
              <w:rPr>
                <w:rFonts w:cs="Arial"/>
                <w:b/>
                <w:bCs/>
                <w:color w:val="000000"/>
                <w:sz w:val="16"/>
                <w:szCs w:val="16"/>
              </w:rPr>
            </w:pPr>
            <w:r w:rsidRPr="00512031">
              <w:rPr>
                <w:rFonts w:cs="Arial"/>
                <w:b/>
                <w:bCs/>
                <w:color w:val="000000"/>
                <w:sz w:val="16"/>
                <w:szCs w:val="16"/>
              </w:rPr>
              <w:t>-1.7</w:t>
            </w:r>
            <w:r w:rsidR="001A1BC5">
              <w:rPr>
                <w:rFonts w:cs="Arial"/>
                <w:b/>
                <w:bCs/>
                <w:color w:val="000000"/>
                <w:sz w:val="16"/>
                <w:szCs w:val="16"/>
              </w:rPr>
              <w:t>64</w:t>
            </w:r>
          </w:p>
        </w:tc>
        <w:tc>
          <w:tcPr>
            <w:tcW w:w="760" w:type="dxa"/>
            <w:shd w:val="clear" w:color="000000" w:fill="F2F2F2"/>
            <w:noWrap/>
            <w:vAlign w:val="center"/>
            <w:hideMark/>
          </w:tcPr>
          <w:p w14:paraId="4CB7BD23" w14:textId="438E8915" w:rsidR="00512031" w:rsidRPr="00512031" w:rsidRDefault="00512031" w:rsidP="006C11B7">
            <w:pPr>
              <w:spacing w:after="0" w:line="276" w:lineRule="auto"/>
              <w:jc w:val="right"/>
              <w:rPr>
                <w:rFonts w:cs="Arial"/>
                <w:b/>
                <w:bCs/>
                <w:color w:val="000000"/>
                <w:sz w:val="16"/>
                <w:szCs w:val="16"/>
              </w:rPr>
            </w:pPr>
            <w:r w:rsidRPr="00512031">
              <w:rPr>
                <w:rFonts w:cs="Arial"/>
                <w:b/>
                <w:bCs/>
                <w:color w:val="000000"/>
                <w:sz w:val="16"/>
                <w:szCs w:val="16"/>
              </w:rPr>
              <w:t>-2.4</w:t>
            </w:r>
            <w:r w:rsidR="001A1BC5">
              <w:rPr>
                <w:rFonts w:cs="Arial"/>
                <w:b/>
                <w:bCs/>
                <w:color w:val="000000"/>
                <w:sz w:val="16"/>
                <w:szCs w:val="16"/>
              </w:rPr>
              <w:t>71</w:t>
            </w:r>
          </w:p>
        </w:tc>
      </w:tr>
      <w:tr w:rsidR="008B48E1" w:rsidRPr="00512031" w14:paraId="143BC250" w14:textId="77777777" w:rsidTr="00E8681F">
        <w:trPr>
          <w:cantSplit/>
          <w:trHeight w:val="283"/>
          <w:jc w:val="center"/>
        </w:trPr>
        <w:tc>
          <w:tcPr>
            <w:tcW w:w="10652" w:type="dxa"/>
            <w:gridSpan w:val="4"/>
            <w:shd w:val="clear" w:color="000000" w:fill="D9D9D9"/>
            <w:vAlign w:val="center"/>
            <w:hideMark/>
          </w:tcPr>
          <w:p w14:paraId="59184C80" w14:textId="0FB38692" w:rsidR="008B48E1" w:rsidRPr="00512031" w:rsidRDefault="008B48E1" w:rsidP="008B48E1">
            <w:pPr>
              <w:spacing w:after="0" w:line="276" w:lineRule="auto"/>
              <w:rPr>
                <w:rFonts w:ascii="Times New Roman" w:hAnsi="Times New Roman"/>
                <w:color w:val="000000"/>
                <w:szCs w:val="20"/>
              </w:rPr>
            </w:pPr>
            <w:r w:rsidRPr="00512031">
              <w:rPr>
                <w:rFonts w:cs="Arial"/>
                <w:b/>
                <w:bCs/>
                <w:color w:val="000000"/>
                <w:sz w:val="16"/>
                <w:szCs w:val="16"/>
              </w:rPr>
              <w:t>Β. Παρεμβάσεις που θεσμοθετήθηκαν κατά την εκτέλεση του προϋπολογισμού 2025</w:t>
            </w:r>
          </w:p>
        </w:tc>
      </w:tr>
      <w:tr w:rsidR="00512031" w:rsidRPr="00512031" w14:paraId="4F2D8820" w14:textId="77777777" w:rsidTr="00E8681F">
        <w:trPr>
          <w:cantSplit/>
          <w:trHeight w:val="227"/>
          <w:jc w:val="center"/>
        </w:trPr>
        <w:tc>
          <w:tcPr>
            <w:tcW w:w="8374" w:type="dxa"/>
            <w:shd w:val="clear" w:color="auto" w:fill="auto"/>
            <w:vAlign w:val="center"/>
            <w:hideMark/>
          </w:tcPr>
          <w:p w14:paraId="539A3B8C"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Επιστροφή ενός ενοικίου ετησίως</w:t>
            </w:r>
          </w:p>
        </w:tc>
        <w:tc>
          <w:tcPr>
            <w:tcW w:w="759" w:type="dxa"/>
            <w:shd w:val="clear" w:color="auto" w:fill="auto"/>
            <w:noWrap/>
            <w:vAlign w:val="center"/>
            <w:hideMark/>
          </w:tcPr>
          <w:p w14:paraId="5EEB4472"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-230</w:t>
            </w:r>
          </w:p>
        </w:tc>
        <w:tc>
          <w:tcPr>
            <w:tcW w:w="759" w:type="dxa"/>
            <w:shd w:val="clear" w:color="auto" w:fill="auto"/>
            <w:noWrap/>
            <w:vAlign w:val="center"/>
            <w:hideMark/>
          </w:tcPr>
          <w:p w14:paraId="02ADBA6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-230</w:t>
            </w:r>
          </w:p>
        </w:tc>
        <w:tc>
          <w:tcPr>
            <w:tcW w:w="760" w:type="dxa"/>
            <w:shd w:val="clear" w:color="auto" w:fill="auto"/>
            <w:noWrap/>
            <w:vAlign w:val="center"/>
            <w:hideMark/>
          </w:tcPr>
          <w:p w14:paraId="5DD4FE52"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-230</w:t>
            </w:r>
          </w:p>
        </w:tc>
      </w:tr>
      <w:tr w:rsidR="00512031" w:rsidRPr="00512031" w14:paraId="3DDDA055" w14:textId="77777777" w:rsidTr="00E8681F">
        <w:trPr>
          <w:cantSplit/>
          <w:trHeight w:val="227"/>
          <w:jc w:val="center"/>
        </w:trPr>
        <w:tc>
          <w:tcPr>
            <w:tcW w:w="8374" w:type="dxa"/>
            <w:shd w:val="clear" w:color="auto" w:fill="auto"/>
            <w:vAlign w:val="center"/>
            <w:hideMark/>
          </w:tcPr>
          <w:p w14:paraId="20CC1988"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Κοινωνική ενίσχυση ύψους 250 ευρώ κάθε Νοέμβριο σε συνταξιούχους, ανασφάλιστους υπερήλικες και σε άτομα με αναπηρία</w:t>
            </w:r>
          </w:p>
        </w:tc>
        <w:tc>
          <w:tcPr>
            <w:tcW w:w="759" w:type="dxa"/>
            <w:shd w:val="clear" w:color="auto" w:fill="auto"/>
            <w:noWrap/>
            <w:vAlign w:val="center"/>
            <w:hideMark/>
          </w:tcPr>
          <w:p w14:paraId="50FC2B15"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-360</w:t>
            </w:r>
          </w:p>
        </w:tc>
        <w:tc>
          <w:tcPr>
            <w:tcW w:w="759" w:type="dxa"/>
            <w:shd w:val="clear" w:color="auto" w:fill="auto"/>
            <w:noWrap/>
            <w:vAlign w:val="center"/>
            <w:hideMark/>
          </w:tcPr>
          <w:p w14:paraId="750D92B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-360</w:t>
            </w:r>
          </w:p>
        </w:tc>
        <w:tc>
          <w:tcPr>
            <w:tcW w:w="760" w:type="dxa"/>
            <w:shd w:val="clear" w:color="auto" w:fill="auto"/>
            <w:noWrap/>
            <w:vAlign w:val="center"/>
            <w:hideMark/>
          </w:tcPr>
          <w:p w14:paraId="24C1E792"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-360</w:t>
            </w:r>
          </w:p>
        </w:tc>
      </w:tr>
      <w:tr w:rsidR="00512031" w:rsidRPr="00512031" w14:paraId="4A04D51F" w14:textId="77777777" w:rsidTr="00E8681F">
        <w:trPr>
          <w:cantSplit/>
          <w:trHeight w:val="227"/>
          <w:jc w:val="center"/>
        </w:trPr>
        <w:tc>
          <w:tcPr>
            <w:tcW w:w="8374" w:type="dxa"/>
            <w:shd w:val="clear" w:color="auto" w:fill="auto"/>
            <w:vAlign w:val="center"/>
            <w:hideMark/>
          </w:tcPr>
          <w:p w14:paraId="7A5CC3FA"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Αύξηση του εθνικού σκέλους του προϋπολογισμού δημοσίων επενδύσεων (σε σχέση με το ΜΔΣ)</w:t>
            </w:r>
          </w:p>
        </w:tc>
        <w:tc>
          <w:tcPr>
            <w:tcW w:w="759" w:type="dxa"/>
            <w:shd w:val="clear" w:color="auto" w:fill="auto"/>
            <w:noWrap/>
            <w:vAlign w:val="center"/>
            <w:hideMark/>
          </w:tcPr>
          <w:p w14:paraId="53D74BA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-500</w:t>
            </w:r>
          </w:p>
        </w:tc>
        <w:tc>
          <w:tcPr>
            <w:tcW w:w="759" w:type="dxa"/>
            <w:shd w:val="clear" w:color="auto" w:fill="auto"/>
            <w:noWrap/>
            <w:vAlign w:val="center"/>
            <w:hideMark/>
          </w:tcPr>
          <w:p w14:paraId="057D1212"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-500</w:t>
            </w:r>
          </w:p>
        </w:tc>
        <w:tc>
          <w:tcPr>
            <w:tcW w:w="760" w:type="dxa"/>
            <w:shd w:val="clear" w:color="auto" w:fill="auto"/>
            <w:noWrap/>
            <w:vAlign w:val="center"/>
            <w:hideMark/>
          </w:tcPr>
          <w:p w14:paraId="2A2AE0F5"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-600</w:t>
            </w:r>
          </w:p>
        </w:tc>
      </w:tr>
      <w:tr w:rsidR="00512031" w:rsidRPr="00512031" w14:paraId="6BD0D997" w14:textId="77777777" w:rsidTr="00E8681F">
        <w:trPr>
          <w:cantSplit/>
          <w:trHeight w:val="227"/>
          <w:jc w:val="center"/>
        </w:trPr>
        <w:tc>
          <w:tcPr>
            <w:tcW w:w="8374" w:type="dxa"/>
            <w:shd w:val="clear" w:color="auto" w:fill="auto"/>
            <w:vAlign w:val="center"/>
            <w:hideMark/>
          </w:tcPr>
          <w:p w14:paraId="3670CFFE"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lastRenderedPageBreak/>
              <w:t>Επέκταση του μέτρου της αύξησης του ορίου φαρμακευτικής δαπάνης κατά 100 εκατ. ετησίως και μετά το 2025</w:t>
            </w:r>
          </w:p>
        </w:tc>
        <w:tc>
          <w:tcPr>
            <w:tcW w:w="759" w:type="dxa"/>
            <w:shd w:val="clear" w:color="auto" w:fill="auto"/>
            <w:noWrap/>
            <w:vAlign w:val="center"/>
            <w:hideMark/>
          </w:tcPr>
          <w:p w14:paraId="20E812ED"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0</w:t>
            </w:r>
          </w:p>
        </w:tc>
        <w:tc>
          <w:tcPr>
            <w:tcW w:w="759" w:type="dxa"/>
            <w:shd w:val="clear" w:color="auto" w:fill="auto"/>
            <w:noWrap/>
            <w:vAlign w:val="center"/>
            <w:hideMark/>
          </w:tcPr>
          <w:p w14:paraId="022AC4CD"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-100</w:t>
            </w:r>
          </w:p>
        </w:tc>
        <w:tc>
          <w:tcPr>
            <w:tcW w:w="760" w:type="dxa"/>
            <w:shd w:val="clear" w:color="auto" w:fill="auto"/>
            <w:noWrap/>
            <w:vAlign w:val="center"/>
            <w:hideMark/>
          </w:tcPr>
          <w:p w14:paraId="3DCC9083"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-200</w:t>
            </w:r>
          </w:p>
        </w:tc>
      </w:tr>
      <w:tr w:rsidR="00512031" w:rsidRPr="00512031" w14:paraId="22D11D97" w14:textId="77777777" w:rsidTr="00E8681F">
        <w:trPr>
          <w:cantSplit/>
          <w:trHeight w:val="227"/>
          <w:jc w:val="center"/>
        </w:trPr>
        <w:tc>
          <w:tcPr>
            <w:tcW w:w="8374" w:type="dxa"/>
            <w:shd w:val="clear" w:color="auto" w:fill="auto"/>
            <w:vAlign w:val="center"/>
            <w:hideMark/>
          </w:tcPr>
          <w:p w14:paraId="46386B31"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Αύξηση του ορίου υγειονομικής δαπάνης διαγνωστικών και ιδιωτικών κλινικών</w:t>
            </w:r>
          </w:p>
        </w:tc>
        <w:tc>
          <w:tcPr>
            <w:tcW w:w="759" w:type="dxa"/>
            <w:shd w:val="clear" w:color="auto" w:fill="auto"/>
            <w:noWrap/>
            <w:vAlign w:val="center"/>
            <w:hideMark/>
          </w:tcPr>
          <w:p w14:paraId="7D752205"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-35</w:t>
            </w:r>
          </w:p>
        </w:tc>
        <w:tc>
          <w:tcPr>
            <w:tcW w:w="759" w:type="dxa"/>
            <w:shd w:val="clear" w:color="auto" w:fill="auto"/>
            <w:noWrap/>
            <w:vAlign w:val="center"/>
            <w:hideMark/>
          </w:tcPr>
          <w:p w14:paraId="11A7174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-35</w:t>
            </w:r>
          </w:p>
        </w:tc>
        <w:tc>
          <w:tcPr>
            <w:tcW w:w="760" w:type="dxa"/>
            <w:shd w:val="clear" w:color="auto" w:fill="auto"/>
            <w:noWrap/>
            <w:vAlign w:val="center"/>
            <w:hideMark/>
          </w:tcPr>
          <w:p w14:paraId="5233A86C"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-35</w:t>
            </w:r>
          </w:p>
        </w:tc>
      </w:tr>
      <w:tr w:rsidR="00512031" w:rsidRPr="00512031" w14:paraId="4A125D1F" w14:textId="77777777" w:rsidTr="00E8681F">
        <w:trPr>
          <w:cantSplit/>
          <w:trHeight w:val="227"/>
          <w:jc w:val="center"/>
        </w:trPr>
        <w:tc>
          <w:tcPr>
            <w:tcW w:w="8374" w:type="dxa"/>
            <w:shd w:val="clear" w:color="auto" w:fill="auto"/>
            <w:vAlign w:val="center"/>
            <w:hideMark/>
          </w:tcPr>
          <w:p w14:paraId="4B68E1FA"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Χορήγηση φαρμάκων υψηλού κόστους από τον ΕΟΠΥΥ μέσω ιδιωτικών φαρμακείων</w:t>
            </w:r>
          </w:p>
        </w:tc>
        <w:tc>
          <w:tcPr>
            <w:tcW w:w="759" w:type="dxa"/>
            <w:shd w:val="clear" w:color="auto" w:fill="auto"/>
            <w:noWrap/>
            <w:vAlign w:val="center"/>
            <w:hideMark/>
          </w:tcPr>
          <w:p w14:paraId="11B20F8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-12</w:t>
            </w:r>
          </w:p>
        </w:tc>
        <w:tc>
          <w:tcPr>
            <w:tcW w:w="759" w:type="dxa"/>
            <w:shd w:val="clear" w:color="auto" w:fill="auto"/>
            <w:noWrap/>
            <w:vAlign w:val="center"/>
            <w:hideMark/>
          </w:tcPr>
          <w:p w14:paraId="770ABAD5"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-12</w:t>
            </w:r>
          </w:p>
        </w:tc>
        <w:tc>
          <w:tcPr>
            <w:tcW w:w="760" w:type="dxa"/>
            <w:shd w:val="clear" w:color="auto" w:fill="auto"/>
            <w:noWrap/>
            <w:vAlign w:val="center"/>
            <w:hideMark/>
          </w:tcPr>
          <w:p w14:paraId="71AE62D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-12</w:t>
            </w:r>
          </w:p>
        </w:tc>
      </w:tr>
      <w:tr w:rsidR="00512031" w:rsidRPr="00512031" w14:paraId="79CCC1D5" w14:textId="77777777" w:rsidTr="00E8681F">
        <w:trPr>
          <w:cantSplit/>
          <w:trHeight w:val="227"/>
          <w:jc w:val="center"/>
        </w:trPr>
        <w:tc>
          <w:tcPr>
            <w:tcW w:w="8374" w:type="dxa"/>
            <w:shd w:val="clear" w:color="auto" w:fill="auto"/>
            <w:vAlign w:val="center"/>
            <w:hideMark/>
          </w:tcPr>
          <w:p w14:paraId="3D8B3CB6"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Επίδομα επικινδυνότητας ενστόλων ύψους 100 ευρώ μηνιαίως</w:t>
            </w:r>
          </w:p>
        </w:tc>
        <w:tc>
          <w:tcPr>
            <w:tcW w:w="759" w:type="dxa"/>
            <w:shd w:val="clear" w:color="auto" w:fill="auto"/>
            <w:noWrap/>
            <w:vAlign w:val="center"/>
            <w:hideMark/>
          </w:tcPr>
          <w:p w14:paraId="21A4F2C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-111</w:t>
            </w:r>
          </w:p>
        </w:tc>
        <w:tc>
          <w:tcPr>
            <w:tcW w:w="759" w:type="dxa"/>
            <w:shd w:val="clear" w:color="auto" w:fill="auto"/>
            <w:noWrap/>
            <w:vAlign w:val="center"/>
            <w:hideMark/>
          </w:tcPr>
          <w:p w14:paraId="50027BE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-222</w:t>
            </w:r>
          </w:p>
        </w:tc>
        <w:tc>
          <w:tcPr>
            <w:tcW w:w="760" w:type="dxa"/>
            <w:shd w:val="clear" w:color="auto" w:fill="auto"/>
            <w:noWrap/>
            <w:vAlign w:val="center"/>
            <w:hideMark/>
          </w:tcPr>
          <w:p w14:paraId="0A58554B"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-222</w:t>
            </w:r>
          </w:p>
        </w:tc>
      </w:tr>
      <w:tr w:rsidR="00512031" w:rsidRPr="00512031" w14:paraId="20AAF142" w14:textId="77777777" w:rsidTr="00E8681F">
        <w:trPr>
          <w:cantSplit/>
          <w:trHeight w:val="227"/>
          <w:jc w:val="center"/>
        </w:trPr>
        <w:tc>
          <w:tcPr>
            <w:tcW w:w="8374" w:type="dxa"/>
            <w:shd w:val="clear" w:color="auto" w:fill="auto"/>
            <w:vAlign w:val="center"/>
            <w:hideMark/>
          </w:tcPr>
          <w:p w14:paraId="3F35134C"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Επέκταση απαλλαγής από τη φαρμακευτική δαπάνη στους χαμηλοσυνταξιούχους</w:t>
            </w:r>
          </w:p>
        </w:tc>
        <w:tc>
          <w:tcPr>
            <w:tcW w:w="759" w:type="dxa"/>
            <w:shd w:val="clear" w:color="auto" w:fill="auto"/>
            <w:noWrap/>
            <w:vAlign w:val="center"/>
            <w:hideMark/>
          </w:tcPr>
          <w:p w14:paraId="72321B7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-23</w:t>
            </w:r>
          </w:p>
        </w:tc>
        <w:tc>
          <w:tcPr>
            <w:tcW w:w="759" w:type="dxa"/>
            <w:shd w:val="clear" w:color="auto" w:fill="auto"/>
            <w:noWrap/>
            <w:vAlign w:val="center"/>
            <w:hideMark/>
          </w:tcPr>
          <w:p w14:paraId="075430F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-23</w:t>
            </w:r>
          </w:p>
        </w:tc>
        <w:tc>
          <w:tcPr>
            <w:tcW w:w="760" w:type="dxa"/>
            <w:shd w:val="clear" w:color="auto" w:fill="auto"/>
            <w:noWrap/>
            <w:vAlign w:val="center"/>
            <w:hideMark/>
          </w:tcPr>
          <w:p w14:paraId="43E76F7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-23</w:t>
            </w:r>
          </w:p>
        </w:tc>
      </w:tr>
      <w:tr w:rsidR="00512031" w:rsidRPr="00512031" w14:paraId="31F06144" w14:textId="77777777" w:rsidTr="00E8681F">
        <w:trPr>
          <w:cantSplit/>
          <w:trHeight w:val="227"/>
          <w:jc w:val="center"/>
        </w:trPr>
        <w:tc>
          <w:tcPr>
            <w:tcW w:w="8374" w:type="dxa"/>
            <w:shd w:val="clear" w:color="auto" w:fill="auto"/>
            <w:vAlign w:val="center"/>
            <w:hideMark/>
          </w:tcPr>
          <w:p w14:paraId="58F63516"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Μη συμψηφισμός της προσωπικής διαφοράς των δημόσιων υπαλλήλων</w:t>
            </w:r>
          </w:p>
        </w:tc>
        <w:tc>
          <w:tcPr>
            <w:tcW w:w="759" w:type="dxa"/>
            <w:shd w:val="clear" w:color="auto" w:fill="auto"/>
            <w:noWrap/>
            <w:vAlign w:val="center"/>
            <w:hideMark/>
          </w:tcPr>
          <w:p w14:paraId="785F6B1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-12</w:t>
            </w:r>
          </w:p>
        </w:tc>
        <w:tc>
          <w:tcPr>
            <w:tcW w:w="759" w:type="dxa"/>
            <w:shd w:val="clear" w:color="auto" w:fill="auto"/>
            <w:noWrap/>
            <w:vAlign w:val="center"/>
            <w:hideMark/>
          </w:tcPr>
          <w:p w14:paraId="7F9CA3AD"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-17</w:t>
            </w:r>
          </w:p>
        </w:tc>
        <w:tc>
          <w:tcPr>
            <w:tcW w:w="760" w:type="dxa"/>
            <w:shd w:val="clear" w:color="auto" w:fill="auto"/>
            <w:noWrap/>
            <w:vAlign w:val="center"/>
            <w:hideMark/>
          </w:tcPr>
          <w:p w14:paraId="37401EF5"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-22</w:t>
            </w:r>
          </w:p>
        </w:tc>
      </w:tr>
      <w:tr w:rsidR="00512031" w:rsidRPr="00512031" w14:paraId="4A4BBFCF" w14:textId="77777777" w:rsidTr="00E8681F">
        <w:trPr>
          <w:cantSplit/>
          <w:trHeight w:val="227"/>
          <w:jc w:val="center"/>
        </w:trPr>
        <w:tc>
          <w:tcPr>
            <w:tcW w:w="8374" w:type="dxa"/>
            <w:shd w:val="clear" w:color="auto" w:fill="auto"/>
            <w:vAlign w:val="center"/>
            <w:hideMark/>
          </w:tcPr>
          <w:p w14:paraId="6DD03362"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Κατάργηση των ηλικιακών περιορισμών για τη χορήγηση του επιδόματος κώφωσης - βαρηκοΐας</w:t>
            </w:r>
          </w:p>
        </w:tc>
        <w:tc>
          <w:tcPr>
            <w:tcW w:w="759" w:type="dxa"/>
            <w:shd w:val="clear" w:color="auto" w:fill="auto"/>
            <w:noWrap/>
            <w:vAlign w:val="center"/>
            <w:hideMark/>
          </w:tcPr>
          <w:p w14:paraId="675033F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w:t>
            </w:r>
          </w:p>
        </w:tc>
        <w:tc>
          <w:tcPr>
            <w:tcW w:w="759" w:type="dxa"/>
            <w:shd w:val="clear" w:color="auto" w:fill="auto"/>
            <w:noWrap/>
            <w:vAlign w:val="center"/>
            <w:hideMark/>
          </w:tcPr>
          <w:p w14:paraId="0AE6138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w:t>
            </w:r>
          </w:p>
        </w:tc>
        <w:tc>
          <w:tcPr>
            <w:tcW w:w="760" w:type="dxa"/>
            <w:shd w:val="clear" w:color="auto" w:fill="auto"/>
            <w:noWrap/>
            <w:vAlign w:val="center"/>
            <w:hideMark/>
          </w:tcPr>
          <w:p w14:paraId="3786D2A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w:t>
            </w:r>
          </w:p>
        </w:tc>
      </w:tr>
      <w:tr w:rsidR="00512031" w:rsidRPr="00512031" w14:paraId="429E9C96" w14:textId="77777777" w:rsidTr="00E8681F">
        <w:trPr>
          <w:cantSplit/>
          <w:trHeight w:val="227"/>
          <w:jc w:val="center"/>
        </w:trPr>
        <w:tc>
          <w:tcPr>
            <w:tcW w:w="8374" w:type="dxa"/>
            <w:shd w:val="clear" w:color="auto" w:fill="auto"/>
            <w:vAlign w:val="center"/>
            <w:hideMark/>
          </w:tcPr>
          <w:p w14:paraId="570A470F"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Παράταση ισχύος της μείωσης του φόρου εισοδήματος για δαπάνες αναβάθμισης κτηρίων για τα έτη 2025 και 2026</w:t>
            </w:r>
          </w:p>
        </w:tc>
        <w:tc>
          <w:tcPr>
            <w:tcW w:w="759" w:type="dxa"/>
            <w:shd w:val="clear" w:color="auto" w:fill="auto"/>
            <w:noWrap/>
            <w:vAlign w:val="center"/>
            <w:hideMark/>
          </w:tcPr>
          <w:p w14:paraId="4054E2A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-5</w:t>
            </w:r>
          </w:p>
        </w:tc>
        <w:tc>
          <w:tcPr>
            <w:tcW w:w="759" w:type="dxa"/>
            <w:shd w:val="clear" w:color="auto" w:fill="auto"/>
            <w:noWrap/>
            <w:vAlign w:val="center"/>
            <w:hideMark/>
          </w:tcPr>
          <w:p w14:paraId="13877F6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-5</w:t>
            </w:r>
          </w:p>
        </w:tc>
        <w:tc>
          <w:tcPr>
            <w:tcW w:w="760" w:type="dxa"/>
            <w:shd w:val="clear" w:color="auto" w:fill="auto"/>
            <w:noWrap/>
            <w:vAlign w:val="center"/>
            <w:hideMark/>
          </w:tcPr>
          <w:p w14:paraId="502F5361" w14:textId="4A37D7D1" w:rsidR="00512031" w:rsidRPr="00512031" w:rsidRDefault="00DE7756" w:rsidP="006C11B7">
            <w:pPr>
              <w:spacing w:after="0" w:line="276" w:lineRule="auto"/>
              <w:jc w:val="right"/>
              <w:rPr>
                <w:rFonts w:cs="Arial"/>
                <w:color w:val="000000"/>
                <w:sz w:val="16"/>
                <w:szCs w:val="16"/>
              </w:rPr>
            </w:pPr>
            <w:r>
              <w:rPr>
                <w:rFonts w:cs="Arial"/>
                <w:color w:val="000000"/>
                <w:sz w:val="16"/>
                <w:szCs w:val="16"/>
              </w:rPr>
              <w:t>-5</w:t>
            </w:r>
          </w:p>
        </w:tc>
      </w:tr>
      <w:tr w:rsidR="000739B8" w:rsidRPr="00512031" w14:paraId="3FCDE75B" w14:textId="77777777" w:rsidTr="00E8681F">
        <w:trPr>
          <w:cantSplit/>
          <w:trHeight w:val="227"/>
          <w:jc w:val="center"/>
        </w:trPr>
        <w:tc>
          <w:tcPr>
            <w:tcW w:w="8374" w:type="dxa"/>
            <w:shd w:val="clear" w:color="000000" w:fill="F2F2F2"/>
            <w:vAlign w:val="center"/>
            <w:hideMark/>
          </w:tcPr>
          <w:p w14:paraId="59E9F2FE" w14:textId="77777777" w:rsidR="00512031" w:rsidRPr="00512031" w:rsidRDefault="00512031" w:rsidP="006C11B7">
            <w:pPr>
              <w:spacing w:after="0" w:line="276" w:lineRule="auto"/>
              <w:jc w:val="left"/>
              <w:rPr>
                <w:rFonts w:cs="Arial"/>
                <w:b/>
                <w:bCs/>
                <w:color w:val="000000"/>
                <w:sz w:val="16"/>
                <w:szCs w:val="16"/>
              </w:rPr>
            </w:pPr>
            <w:r w:rsidRPr="00512031">
              <w:rPr>
                <w:rFonts w:cs="Arial"/>
                <w:b/>
                <w:bCs/>
                <w:color w:val="000000"/>
                <w:sz w:val="16"/>
                <w:szCs w:val="16"/>
              </w:rPr>
              <w:t>Β. Σύνολο</w:t>
            </w:r>
          </w:p>
        </w:tc>
        <w:tc>
          <w:tcPr>
            <w:tcW w:w="759" w:type="dxa"/>
            <w:shd w:val="clear" w:color="000000" w:fill="F2F2F2"/>
            <w:noWrap/>
            <w:vAlign w:val="center"/>
            <w:hideMark/>
          </w:tcPr>
          <w:p w14:paraId="7F1BE591" w14:textId="77777777" w:rsidR="00512031" w:rsidRPr="00512031" w:rsidRDefault="00512031" w:rsidP="006C11B7">
            <w:pPr>
              <w:spacing w:after="0" w:line="276" w:lineRule="auto"/>
              <w:jc w:val="right"/>
              <w:rPr>
                <w:rFonts w:cs="Arial"/>
                <w:b/>
                <w:bCs/>
                <w:color w:val="000000"/>
                <w:sz w:val="16"/>
                <w:szCs w:val="16"/>
              </w:rPr>
            </w:pPr>
            <w:r w:rsidRPr="00512031">
              <w:rPr>
                <w:rFonts w:cs="Arial"/>
                <w:b/>
                <w:bCs/>
                <w:color w:val="000000"/>
                <w:sz w:val="16"/>
                <w:szCs w:val="16"/>
              </w:rPr>
              <w:t>-1.292</w:t>
            </w:r>
          </w:p>
        </w:tc>
        <w:tc>
          <w:tcPr>
            <w:tcW w:w="759" w:type="dxa"/>
            <w:shd w:val="clear" w:color="000000" w:fill="F2F2F2"/>
            <w:noWrap/>
            <w:vAlign w:val="center"/>
            <w:hideMark/>
          </w:tcPr>
          <w:p w14:paraId="6C42F012" w14:textId="77777777" w:rsidR="00512031" w:rsidRPr="00512031" w:rsidRDefault="00512031" w:rsidP="006C11B7">
            <w:pPr>
              <w:spacing w:after="0" w:line="276" w:lineRule="auto"/>
              <w:jc w:val="right"/>
              <w:rPr>
                <w:rFonts w:cs="Arial"/>
                <w:b/>
                <w:bCs/>
                <w:color w:val="000000"/>
                <w:sz w:val="16"/>
                <w:szCs w:val="16"/>
              </w:rPr>
            </w:pPr>
            <w:r w:rsidRPr="00512031">
              <w:rPr>
                <w:rFonts w:cs="Arial"/>
                <w:b/>
                <w:bCs/>
                <w:color w:val="000000"/>
                <w:sz w:val="16"/>
                <w:szCs w:val="16"/>
              </w:rPr>
              <w:t>-1.508</w:t>
            </w:r>
          </w:p>
        </w:tc>
        <w:tc>
          <w:tcPr>
            <w:tcW w:w="760" w:type="dxa"/>
            <w:shd w:val="clear" w:color="000000" w:fill="F2F2F2"/>
            <w:noWrap/>
            <w:vAlign w:val="center"/>
            <w:hideMark/>
          </w:tcPr>
          <w:p w14:paraId="5F00E13E" w14:textId="56223022" w:rsidR="00512031" w:rsidRPr="00512031" w:rsidRDefault="00512031" w:rsidP="006C11B7">
            <w:pPr>
              <w:spacing w:after="0" w:line="276" w:lineRule="auto"/>
              <w:jc w:val="right"/>
              <w:rPr>
                <w:rFonts w:cs="Arial"/>
                <w:b/>
                <w:bCs/>
                <w:color w:val="000000"/>
                <w:sz w:val="16"/>
                <w:szCs w:val="16"/>
              </w:rPr>
            </w:pPr>
            <w:r w:rsidRPr="00512031">
              <w:rPr>
                <w:rFonts w:cs="Arial"/>
                <w:b/>
                <w:bCs/>
                <w:color w:val="000000"/>
                <w:sz w:val="16"/>
                <w:szCs w:val="16"/>
              </w:rPr>
              <w:t>-1.7</w:t>
            </w:r>
            <w:r w:rsidR="00DE7756">
              <w:rPr>
                <w:rFonts w:cs="Arial"/>
                <w:b/>
                <w:bCs/>
                <w:color w:val="000000"/>
                <w:sz w:val="16"/>
                <w:szCs w:val="16"/>
              </w:rPr>
              <w:t>13</w:t>
            </w:r>
          </w:p>
        </w:tc>
      </w:tr>
      <w:tr w:rsidR="008B48E1" w:rsidRPr="00512031" w14:paraId="0AA0CC9F" w14:textId="77777777" w:rsidTr="00E8681F">
        <w:trPr>
          <w:cantSplit/>
          <w:trHeight w:val="283"/>
          <w:jc w:val="center"/>
        </w:trPr>
        <w:tc>
          <w:tcPr>
            <w:tcW w:w="10652" w:type="dxa"/>
            <w:gridSpan w:val="4"/>
            <w:shd w:val="clear" w:color="000000" w:fill="D9D9D9"/>
            <w:vAlign w:val="center"/>
            <w:hideMark/>
          </w:tcPr>
          <w:p w14:paraId="31790425" w14:textId="7EABCD27" w:rsidR="008B48E1" w:rsidRPr="00512031" w:rsidRDefault="008B48E1" w:rsidP="006C11B7">
            <w:pPr>
              <w:spacing w:after="0" w:line="276" w:lineRule="auto"/>
              <w:jc w:val="left"/>
              <w:rPr>
                <w:rFonts w:ascii="Times New Roman" w:hAnsi="Times New Roman"/>
                <w:color w:val="000000"/>
                <w:szCs w:val="20"/>
              </w:rPr>
            </w:pPr>
            <w:r w:rsidRPr="00512031">
              <w:rPr>
                <w:rFonts w:cs="Arial"/>
                <w:b/>
                <w:bCs/>
                <w:color w:val="000000"/>
                <w:sz w:val="16"/>
                <w:szCs w:val="16"/>
              </w:rPr>
              <w:t>Γ. Παρεμβάσεις που ενσωματώθηκαν στον προϋπολογισμό 2025</w:t>
            </w:r>
          </w:p>
        </w:tc>
      </w:tr>
      <w:tr w:rsidR="00512031" w:rsidRPr="00512031" w14:paraId="7F43D19E" w14:textId="77777777" w:rsidTr="00E8681F">
        <w:trPr>
          <w:cantSplit/>
          <w:trHeight w:val="227"/>
          <w:jc w:val="center"/>
        </w:trPr>
        <w:tc>
          <w:tcPr>
            <w:tcW w:w="8374" w:type="dxa"/>
            <w:shd w:val="clear" w:color="auto" w:fill="auto"/>
            <w:vAlign w:val="center"/>
            <w:hideMark/>
          </w:tcPr>
          <w:p w14:paraId="55D6A6AF"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Οριζόντια αύξηση μισθολογίου του δημόσιου τομέα, ώστε ο εισαγωγικός μισθός να μην υπολείπεται του επιπέδου του κατώτατου μισθού</w:t>
            </w:r>
          </w:p>
        </w:tc>
        <w:tc>
          <w:tcPr>
            <w:tcW w:w="759" w:type="dxa"/>
            <w:shd w:val="clear" w:color="auto" w:fill="auto"/>
            <w:noWrap/>
            <w:vAlign w:val="center"/>
            <w:hideMark/>
          </w:tcPr>
          <w:p w14:paraId="26C566E3"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-215</w:t>
            </w:r>
          </w:p>
        </w:tc>
        <w:tc>
          <w:tcPr>
            <w:tcW w:w="759" w:type="dxa"/>
            <w:shd w:val="clear" w:color="auto" w:fill="auto"/>
            <w:noWrap/>
            <w:vAlign w:val="center"/>
            <w:hideMark/>
          </w:tcPr>
          <w:p w14:paraId="7E08C7BC"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-572</w:t>
            </w:r>
          </w:p>
        </w:tc>
        <w:tc>
          <w:tcPr>
            <w:tcW w:w="760" w:type="dxa"/>
            <w:shd w:val="clear" w:color="auto" w:fill="auto"/>
            <w:noWrap/>
            <w:vAlign w:val="center"/>
            <w:hideMark/>
          </w:tcPr>
          <w:p w14:paraId="31E37D1F"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-882</w:t>
            </w:r>
          </w:p>
        </w:tc>
      </w:tr>
      <w:tr w:rsidR="00512031" w:rsidRPr="00512031" w14:paraId="181B258D" w14:textId="77777777" w:rsidTr="00E8681F">
        <w:trPr>
          <w:cantSplit/>
          <w:trHeight w:val="227"/>
          <w:jc w:val="center"/>
        </w:trPr>
        <w:tc>
          <w:tcPr>
            <w:tcW w:w="8374" w:type="dxa"/>
            <w:shd w:val="clear" w:color="auto" w:fill="auto"/>
            <w:vAlign w:val="center"/>
            <w:hideMark/>
          </w:tcPr>
          <w:p w14:paraId="67CDA5EA"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Αύξηση των συντάξεων με βάση τον ρυθμό μεταβολής του ΑΕΠ και του πληθωρισμού</w:t>
            </w:r>
          </w:p>
        </w:tc>
        <w:tc>
          <w:tcPr>
            <w:tcW w:w="759" w:type="dxa"/>
            <w:shd w:val="clear" w:color="auto" w:fill="auto"/>
            <w:noWrap/>
            <w:vAlign w:val="center"/>
            <w:hideMark/>
          </w:tcPr>
          <w:p w14:paraId="5762E43D"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-474</w:t>
            </w:r>
          </w:p>
        </w:tc>
        <w:tc>
          <w:tcPr>
            <w:tcW w:w="759" w:type="dxa"/>
            <w:shd w:val="clear" w:color="auto" w:fill="auto"/>
            <w:noWrap/>
            <w:vAlign w:val="center"/>
            <w:hideMark/>
          </w:tcPr>
          <w:p w14:paraId="07DAD706"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-1.028</w:t>
            </w:r>
          </w:p>
        </w:tc>
        <w:tc>
          <w:tcPr>
            <w:tcW w:w="760" w:type="dxa"/>
            <w:shd w:val="clear" w:color="auto" w:fill="auto"/>
            <w:noWrap/>
            <w:vAlign w:val="center"/>
            <w:hideMark/>
          </w:tcPr>
          <w:p w14:paraId="7177B301"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-1.562</w:t>
            </w:r>
          </w:p>
        </w:tc>
      </w:tr>
      <w:tr w:rsidR="00512031" w:rsidRPr="00512031" w14:paraId="2ACBA941" w14:textId="77777777" w:rsidTr="00E8681F">
        <w:trPr>
          <w:cantSplit/>
          <w:trHeight w:val="227"/>
          <w:jc w:val="center"/>
        </w:trPr>
        <w:tc>
          <w:tcPr>
            <w:tcW w:w="8374" w:type="dxa"/>
            <w:shd w:val="clear" w:color="auto" w:fill="auto"/>
            <w:vAlign w:val="center"/>
            <w:hideMark/>
          </w:tcPr>
          <w:p w14:paraId="647C532F" w14:textId="2B9A2B0E"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Μείωση των ασφαλιστικών εισφορών κατά 1% το 2025</w:t>
            </w:r>
            <w:r w:rsidR="00DE7756">
              <w:rPr>
                <w:rFonts w:cs="Arial"/>
                <w:color w:val="000000"/>
                <w:sz w:val="16"/>
                <w:szCs w:val="16"/>
              </w:rPr>
              <w:t xml:space="preserve"> και επιπλέον 0,5% το 2027</w:t>
            </w:r>
          </w:p>
        </w:tc>
        <w:tc>
          <w:tcPr>
            <w:tcW w:w="759" w:type="dxa"/>
            <w:shd w:val="clear" w:color="auto" w:fill="auto"/>
            <w:noWrap/>
            <w:vAlign w:val="center"/>
            <w:hideMark/>
          </w:tcPr>
          <w:p w14:paraId="10901E6C"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-448</w:t>
            </w:r>
          </w:p>
        </w:tc>
        <w:tc>
          <w:tcPr>
            <w:tcW w:w="759" w:type="dxa"/>
            <w:shd w:val="clear" w:color="auto" w:fill="auto"/>
            <w:noWrap/>
            <w:vAlign w:val="center"/>
            <w:hideMark/>
          </w:tcPr>
          <w:p w14:paraId="03EBE1BD"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-448</w:t>
            </w:r>
          </w:p>
        </w:tc>
        <w:tc>
          <w:tcPr>
            <w:tcW w:w="760" w:type="dxa"/>
            <w:shd w:val="clear" w:color="auto" w:fill="auto"/>
            <w:noWrap/>
            <w:vAlign w:val="center"/>
            <w:hideMark/>
          </w:tcPr>
          <w:p w14:paraId="0B3FD499" w14:textId="4B014F6E"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w:t>
            </w:r>
            <w:r w:rsidR="00DE7756">
              <w:rPr>
                <w:rFonts w:cs="Arial"/>
                <w:color w:val="000000"/>
                <w:sz w:val="16"/>
                <w:szCs w:val="16"/>
              </w:rPr>
              <w:t>692</w:t>
            </w:r>
          </w:p>
        </w:tc>
      </w:tr>
      <w:tr w:rsidR="00512031" w:rsidRPr="00512031" w14:paraId="5EAB6AA7" w14:textId="77777777" w:rsidTr="00E8681F">
        <w:trPr>
          <w:cantSplit/>
          <w:trHeight w:val="227"/>
          <w:jc w:val="center"/>
        </w:trPr>
        <w:tc>
          <w:tcPr>
            <w:tcW w:w="8374" w:type="dxa"/>
            <w:shd w:val="clear" w:color="auto" w:fill="auto"/>
            <w:vAlign w:val="center"/>
            <w:hideMark/>
          </w:tcPr>
          <w:p w14:paraId="6228FAE1"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Κατάργηση του τέλους επιτηδεύματος από το 2025 σε συνέχεια της μείωσης κατά 50% το 2024</w:t>
            </w:r>
          </w:p>
        </w:tc>
        <w:tc>
          <w:tcPr>
            <w:tcW w:w="759" w:type="dxa"/>
            <w:shd w:val="clear" w:color="auto" w:fill="auto"/>
            <w:noWrap/>
            <w:vAlign w:val="center"/>
            <w:hideMark/>
          </w:tcPr>
          <w:p w14:paraId="592D628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-125</w:t>
            </w:r>
          </w:p>
        </w:tc>
        <w:tc>
          <w:tcPr>
            <w:tcW w:w="759" w:type="dxa"/>
            <w:shd w:val="clear" w:color="auto" w:fill="auto"/>
            <w:noWrap/>
            <w:vAlign w:val="center"/>
            <w:hideMark/>
          </w:tcPr>
          <w:p w14:paraId="3D29B84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-144</w:t>
            </w:r>
          </w:p>
        </w:tc>
        <w:tc>
          <w:tcPr>
            <w:tcW w:w="760" w:type="dxa"/>
            <w:shd w:val="clear" w:color="auto" w:fill="auto"/>
            <w:noWrap/>
            <w:vAlign w:val="center"/>
            <w:hideMark/>
          </w:tcPr>
          <w:p w14:paraId="048E359D"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-150</w:t>
            </w:r>
          </w:p>
        </w:tc>
      </w:tr>
      <w:tr w:rsidR="00512031" w:rsidRPr="00512031" w14:paraId="04FAB356" w14:textId="77777777" w:rsidTr="00E8681F">
        <w:trPr>
          <w:cantSplit/>
          <w:trHeight w:val="227"/>
          <w:jc w:val="center"/>
        </w:trPr>
        <w:tc>
          <w:tcPr>
            <w:tcW w:w="8374" w:type="dxa"/>
            <w:shd w:val="clear" w:color="auto" w:fill="auto"/>
            <w:vAlign w:val="center"/>
            <w:hideMark/>
          </w:tcPr>
          <w:p w14:paraId="71275F5B"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Μείωση του ΕΝΦΙΑ κατά 20% για κατοικίες φυσικών προσώπων με φορολογητέα αξία έως 500.000 ευρώ, που ασφαλίζονται για φυσικές καταστροφές</w:t>
            </w:r>
          </w:p>
        </w:tc>
        <w:tc>
          <w:tcPr>
            <w:tcW w:w="759" w:type="dxa"/>
            <w:shd w:val="clear" w:color="auto" w:fill="auto"/>
            <w:noWrap/>
            <w:vAlign w:val="center"/>
            <w:hideMark/>
          </w:tcPr>
          <w:p w14:paraId="0E822C55"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-21</w:t>
            </w:r>
          </w:p>
        </w:tc>
        <w:tc>
          <w:tcPr>
            <w:tcW w:w="759" w:type="dxa"/>
            <w:shd w:val="clear" w:color="auto" w:fill="auto"/>
            <w:noWrap/>
            <w:vAlign w:val="center"/>
            <w:hideMark/>
          </w:tcPr>
          <w:p w14:paraId="32EB7F8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-41</w:t>
            </w:r>
          </w:p>
        </w:tc>
        <w:tc>
          <w:tcPr>
            <w:tcW w:w="760" w:type="dxa"/>
            <w:shd w:val="clear" w:color="auto" w:fill="auto"/>
            <w:noWrap/>
            <w:vAlign w:val="center"/>
            <w:hideMark/>
          </w:tcPr>
          <w:p w14:paraId="0F888FA0"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-45</w:t>
            </w:r>
          </w:p>
        </w:tc>
      </w:tr>
      <w:tr w:rsidR="00512031" w:rsidRPr="00512031" w14:paraId="7DDD122F" w14:textId="77777777" w:rsidTr="00E8681F">
        <w:trPr>
          <w:cantSplit/>
          <w:trHeight w:val="227"/>
          <w:jc w:val="center"/>
        </w:trPr>
        <w:tc>
          <w:tcPr>
            <w:tcW w:w="8374" w:type="dxa"/>
            <w:shd w:val="clear" w:color="auto" w:fill="auto"/>
            <w:vAlign w:val="center"/>
            <w:hideMark/>
          </w:tcPr>
          <w:p w14:paraId="20BEA54A"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Μονιμοποίηση της επιστροφής του ΕΦΚ στους αγρότες με νέο σύστημα</w:t>
            </w:r>
          </w:p>
        </w:tc>
        <w:tc>
          <w:tcPr>
            <w:tcW w:w="759" w:type="dxa"/>
            <w:shd w:val="clear" w:color="auto" w:fill="auto"/>
            <w:noWrap/>
            <w:vAlign w:val="center"/>
            <w:hideMark/>
          </w:tcPr>
          <w:p w14:paraId="4CD7C07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-100</w:t>
            </w:r>
          </w:p>
        </w:tc>
        <w:tc>
          <w:tcPr>
            <w:tcW w:w="759" w:type="dxa"/>
            <w:shd w:val="clear" w:color="auto" w:fill="auto"/>
            <w:noWrap/>
            <w:vAlign w:val="center"/>
            <w:hideMark/>
          </w:tcPr>
          <w:p w14:paraId="0BFF014E"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-100</w:t>
            </w:r>
          </w:p>
        </w:tc>
        <w:tc>
          <w:tcPr>
            <w:tcW w:w="760" w:type="dxa"/>
            <w:shd w:val="clear" w:color="auto" w:fill="auto"/>
            <w:noWrap/>
            <w:vAlign w:val="center"/>
            <w:hideMark/>
          </w:tcPr>
          <w:p w14:paraId="50E1B4AC"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-100</w:t>
            </w:r>
          </w:p>
        </w:tc>
      </w:tr>
      <w:tr w:rsidR="00512031" w:rsidRPr="00512031" w14:paraId="0AC293BE" w14:textId="77777777" w:rsidTr="00E8681F">
        <w:trPr>
          <w:cantSplit/>
          <w:trHeight w:val="227"/>
          <w:jc w:val="center"/>
        </w:trPr>
        <w:tc>
          <w:tcPr>
            <w:tcW w:w="8374" w:type="dxa"/>
            <w:shd w:val="clear" w:color="auto" w:fill="auto"/>
            <w:vAlign w:val="center"/>
            <w:hideMark/>
          </w:tcPr>
          <w:p w14:paraId="250F7DE7"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Αυτοτελής φορολόγηση εφημεριών των ιατρών του ΕΣΥ</w:t>
            </w:r>
          </w:p>
        </w:tc>
        <w:tc>
          <w:tcPr>
            <w:tcW w:w="759" w:type="dxa"/>
            <w:shd w:val="clear" w:color="auto" w:fill="auto"/>
            <w:noWrap/>
            <w:vAlign w:val="center"/>
            <w:hideMark/>
          </w:tcPr>
          <w:p w14:paraId="5E5DBEE3"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-40</w:t>
            </w:r>
          </w:p>
        </w:tc>
        <w:tc>
          <w:tcPr>
            <w:tcW w:w="759" w:type="dxa"/>
            <w:shd w:val="clear" w:color="auto" w:fill="auto"/>
            <w:noWrap/>
            <w:vAlign w:val="center"/>
            <w:hideMark/>
          </w:tcPr>
          <w:p w14:paraId="4D70FE9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-40</w:t>
            </w:r>
          </w:p>
        </w:tc>
        <w:tc>
          <w:tcPr>
            <w:tcW w:w="760" w:type="dxa"/>
            <w:shd w:val="clear" w:color="auto" w:fill="auto"/>
            <w:noWrap/>
            <w:vAlign w:val="center"/>
            <w:hideMark/>
          </w:tcPr>
          <w:p w14:paraId="02E4489E"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-40</w:t>
            </w:r>
          </w:p>
        </w:tc>
      </w:tr>
      <w:tr w:rsidR="00512031" w:rsidRPr="00512031" w14:paraId="14E54E55" w14:textId="77777777" w:rsidTr="00E8681F">
        <w:trPr>
          <w:cantSplit/>
          <w:trHeight w:val="227"/>
          <w:jc w:val="center"/>
        </w:trPr>
        <w:tc>
          <w:tcPr>
            <w:tcW w:w="8374" w:type="dxa"/>
            <w:shd w:val="clear" w:color="auto" w:fill="auto"/>
            <w:vAlign w:val="center"/>
            <w:hideMark/>
          </w:tcPr>
          <w:p w14:paraId="65AA984C"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Μείωση του ψηφιακού τέλους συναλλαγής σε μία σειρά από συναλλαγές (τόκους εταιρικών δανείων, οικοδομικές άδειες, χρησιδάνεια, γάμους, ασφαλιστήρια συμβόλαια κ.λπ.)</w:t>
            </w:r>
          </w:p>
        </w:tc>
        <w:tc>
          <w:tcPr>
            <w:tcW w:w="759" w:type="dxa"/>
            <w:shd w:val="clear" w:color="auto" w:fill="auto"/>
            <w:noWrap/>
            <w:vAlign w:val="center"/>
            <w:hideMark/>
          </w:tcPr>
          <w:p w14:paraId="5CA175E3"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-32</w:t>
            </w:r>
          </w:p>
        </w:tc>
        <w:tc>
          <w:tcPr>
            <w:tcW w:w="759" w:type="dxa"/>
            <w:shd w:val="clear" w:color="auto" w:fill="auto"/>
            <w:noWrap/>
            <w:vAlign w:val="center"/>
            <w:hideMark/>
          </w:tcPr>
          <w:p w14:paraId="393471A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-32</w:t>
            </w:r>
          </w:p>
        </w:tc>
        <w:tc>
          <w:tcPr>
            <w:tcW w:w="760" w:type="dxa"/>
            <w:shd w:val="clear" w:color="auto" w:fill="auto"/>
            <w:noWrap/>
            <w:vAlign w:val="center"/>
            <w:hideMark/>
          </w:tcPr>
          <w:p w14:paraId="2BF94553"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-32</w:t>
            </w:r>
          </w:p>
        </w:tc>
      </w:tr>
      <w:tr w:rsidR="00512031" w:rsidRPr="00512031" w14:paraId="2FA58EF7" w14:textId="77777777" w:rsidTr="00E8681F">
        <w:trPr>
          <w:cantSplit/>
          <w:trHeight w:val="227"/>
          <w:jc w:val="center"/>
        </w:trPr>
        <w:tc>
          <w:tcPr>
            <w:tcW w:w="8374" w:type="dxa"/>
            <w:shd w:val="clear" w:color="auto" w:fill="auto"/>
            <w:vAlign w:val="center"/>
            <w:hideMark/>
          </w:tcPr>
          <w:p w14:paraId="3BFAC9CD"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Κίνητρα για την καινοτομία, τις συγχωνεύσεις και τις εξαγορές</w:t>
            </w:r>
          </w:p>
        </w:tc>
        <w:tc>
          <w:tcPr>
            <w:tcW w:w="759" w:type="dxa"/>
            <w:shd w:val="clear" w:color="auto" w:fill="auto"/>
            <w:noWrap/>
            <w:vAlign w:val="center"/>
            <w:hideMark/>
          </w:tcPr>
          <w:p w14:paraId="1F1C9CC9"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-41</w:t>
            </w:r>
          </w:p>
        </w:tc>
        <w:tc>
          <w:tcPr>
            <w:tcW w:w="759" w:type="dxa"/>
            <w:shd w:val="clear" w:color="auto" w:fill="auto"/>
            <w:noWrap/>
            <w:vAlign w:val="center"/>
            <w:hideMark/>
          </w:tcPr>
          <w:p w14:paraId="27B7804C"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-41</w:t>
            </w:r>
          </w:p>
        </w:tc>
        <w:tc>
          <w:tcPr>
            <w:tcW w:w="760" w:type="dxa"/>
            <w:shd w:val="clear" w:color="auto" w:fill="auto"/>
            <w:noWrap/>
            <w:vAlign w:val="center"/>
            <w:hideMark/>
          </w:tcPr>
          <w:p w14:paraId="45C19CB4"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-41</w:t>
            </w:r>
          </w:p>
        </w:tc>
      </w:tr>
      <w:tr w:rsidR="00512031" w:rsidRPr="00512031" w14:paraId="4A483EBD" w14:textId="77777777" w:rsidTr="00E8681F">
        <w:trPr>
          <w:cantSplit/>
          <w:trHeight w:val="227"/>
          <w:jc w:val="center"/>
        </w:trPr>
        <w:tc>
          <w:tcPr>
            <w:tcW w:w="8374" w:type="dxa"/>
            <w:shd w:val="clear" w:color="auto" w:fill="auto"/>
            <w:vAlign w:val="center"/>
            <w:hideMark/>
          </w:tcPr>
          <w:p w14:paraId="7D6A70F2"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Κατάργηση τέλους σταθερής τηλεφωνίας (5%) για συνδέσεις με οπτική ίνα (≥100 mbps)</w:t>
            </w:r>
          </w:p>
        </w:tc>
        <w:tc>
          <w:tcPr>
            <w:tcW w:w="759" w:type="dxa"/>
            <w:shd w:val="clear" w:color="auto" w:fill="auto"/>
            <w:noWrap/>
            <w:vAlign w:val="center"/>
            <w:hideMark/>
          </w:tcPr>
          <w:p w14:paraId="777BDE3C"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-24</w:t>
            </w:r>
          </w:p>
        </w:tc>
        <w:tc>
          <w:tcPr>
            <w:tcW w:w="759" w:type="dxa"/>
            <w:shd w:val="clear" w:color="auto" w:fill="auto"/>
            <w:noWrap/>
            <w:vAlign w:val="center"/>
            <w:hideMark/>
          </w:tcPr>
          <w:p w14:paraId="66099A6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-24</w:t>
            </w:r>
          </w:p>
        </w:tc>
        <w:tc>
          <w:tcPr>
            <w:tcW w:w="760" w:type="dxa"/>
            <w:shd w:val="clear" w:color="auto" w:fill="auto"/>
            <w:noWrap/>
            <w:vAlign w:val="center"/>
            <w:hideMark/>
          </w:tcPr>
          <w:p w14:paraId="1975764E"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-24</w:t>
            </w:r>
          </w:p>
        </w:tc>
      </w:tr>
      <w:tr w:rsidR="00512031" w:rsidRPr="00512031" w14:paraId="25950268" w14:textId="77777777" w:rsidTr="00E8681F">
        <w:trPr>
          <w:cantSplit/>
          <w:trHeight w:val="227"/>
          <w:jc w:val="center"/>
        </w:trPr>
        <w:tc>
          <w:tcPr>
            <w:tcW w:w="8374" w:type="dxa"/>
            <w:shd w:val="clear" w:color="auto" w:fill="auto"/>
            <w:vAlign w:val="center"/>
            <w:hideMark/>
          </w:tcPr>
          <w:p w14:paraId="509BBF89"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Απαλλαγή από τον φόρο ασφαλίστρου (15%) συμβολαίων υγείας για παιδιά ηλικίας έως 18 ετών</w:t>
            </w:r>
          </w:p>
        </w:tc>
        <w:tc>
          <w:tcPr>
            <w:tcW w:w="759" w:type="dxa"/>
            <w:shd w:val="clear" w:color="auto" w:fill="auto"/>
            <w:noWrap/>
            <w:vAlign w:val="center"/>
            <w:hideMark/>
          </w:tcPr>
          <w:p w14:paraId="020FD3AC"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-17</w:t>
            </w:r>
          </w:p>
        </w:tc>
        <w:tc>
          <w:tcPr>
            <w:tcW w:w="759" w:type="dxa"/>
            <w:shd w:val="clear" w:color="auto" w:fill="auto"/>
            <w:noWrap/>
            <w:vAlign w:val="center"/>
            <w:hideMark/>
          </w:tcPr>
          <w:p w14:paraId="34382C5A"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-17</w:t>
            </w:r>
          </w:p>
        </w:tc>
        <w:tc>
          <w:tcPr>
            <w:tcW w:w="760" w:type="dxa"/>
            <w:shd w:val="clear" w:color="auto" w:fill="auto"/>
            <w:noWrap/>
            <w:vAlign w:val="center"/>
            <w:hideMark/>
          </w:tcPr>
          <w:p w14:paraId="6A0A3B62"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-17</w:t>
            </w:r>
          </w:p>
        </w:tc>
      </w:tr>
      <w:tr w:rsidR="00512031" w:rsidRPr="00512031" w14:paraId="39A7B42D" w14:textId="77777777" w:rsidTr="00E8681F">
        <w:trPr>
          <w:cantSplit/>
          <w:trHeight w:val="227"/>
          <w:jc w:val="center"/>
        </w:trPr>
        <w:tc>
          <w:tcPr>
            <w:tcW w:w="8374" w:type="dxa"/>
            <w:shd w:val="clear" w:color="auto" w:fill="auto"/>
            <w:vAlign w:val="center"/>
            <w:hideMark/>
          </w:tcPr>
          <w:p w14:paraId="608A2785" w14:textId="77777777" w:rsidR="00512031" w:rsidRPr="00512031" w:rsidRDefault="00512031" w:rsidP="006C11B7">
            <w:pPr>
              <w:spacing w:after="0" w:line="276" w:lineRule="auto"/>
              <w:jc w:val="left"/>
              <w:rPr>
                <w:rFonts w:cs="Arial"/>
                <w:color w:val="000000"/>
                <w:sz w:val="16"/>
                <w:szCs w:val="16"/>
              </w:rPr>
            </w:pPr>
            <w:r w:rsidRPr="00512031">
              <w:rPr>
                <w:rFonts w:cs="Arial"/>
                <w:color w:val="000000"/>
                <w:sz w:val="16"/>
                <w:szCs w:val="16"/>
              </w:rPr>
              <w:t>Φοροαπαλλαγή οικειοθελών παροχών επιχειρήσεων υπέρ των νέων γονέων</w:t>
            </w:r>
          </w:p>
        </w:tc>
        <w:tc>
          <w:tcPr>
            <w:tcW w:w="759" w:type="dxa"/>
            <w:shd w:val="clear" w:color="auto" w:fill="auto"/>
            <w:noWrap/>
            <w:vAlign w:val="center"/>
            <w:hideMark/>
          </w:tcPr>
          <w:p w14:paraId="2F1B0E0E"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-6</w:t>
            </w:r>
          </w:p>
        </w:tc>
        <w:tc>
          <w:tcPr>
            <w:tcW w:w="759" w:type="dxa"/>
            <w:shd w:val="clear" w:color="auto" w:fill="auto"/>
            <w:noWrap/>
            <w:vAlign w:val="center"/>
            <w:hideMark/>
          </w:tcPr>
          <w:p w14:paraId="3BF708C7"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-6</w:t>
            </w:r>
          </w:p>
        </w:tc>
        <w:tc>
          <w:tcPr>
            <w:tcW w:w="760" w:type="dxa"/>
            <w:shd w:val="clear" w:color="auto" w:fill="auto"/>
            <w:noWrap/>
            <w:vAlign w:val="center"/>
            <w:hideMark/>
          </w:tcPr>
          <w:p w14:paraId="0F187E08" w14:textId="77777777" w:rsidR="00512031" w:rsidRPr="00512031" w:rsidRDefault="00512031" w:rsidP="006C11B7">
            <w:pPr>
              <w:spacing w:after="0" w:line="276" w:lineRule="auto"/>
              <w:jc w:val="right"/>
              <w:rPr>
                <w:rFonts w:cs="Arial"/>
                <w:color w:val="000000"/>
                <w:sz w:val="16"/>
                <w:szCs w:val="16"/>
              </w:rPr>
            </w:pPr>
            <w:r w:rsidRPr="00512031">
              <w:rPr>
                <w:rFonts w:cs="Arial"/>
                <w:color w:val="000000"/>
                <w:sz w:val="16"/>
                <w:szCs w:val="16"/>
              </w:rPr>
              <w:t>-6</w:t>
            </w:r>
          </w:p>
        </w:tc>
      </w:tr>
      <w:tr w:rsidR="002712D8" w:rsidRPr="007B2536" w14:paraId="449C1BE4" w14:textId="77777777" w:rsidTr="00E8681F">
        <w:trPr>
          <w:cantSplit/>
          <w:trHeight w:val="227"/>
          <w:jc w:val="center"/>
        </w:trPr>
        <w:tc>
          <w:tcPr>
            <w:tcW w:w="8374" w:type="dxa"/>
            <w:shd w:val="clear" w:color="auto" w:fill="auto"/>
            <w:vAlign w:val="center"/>
            <w:hideMark/>
          </w:tcPr>
          <w:p w14:paraId="71B7EFD2" w14:textId="77777777" w:rsidR="00512031" w:rsidRPr="007B2536" w:rsidRDefault="00512031" w:rsidP="006C11B7">
            <w:pPr>
              <w:spacing w:after="0" w:line="276" w:lineRule="auto"/>
              <w:jc w:val="left"/>
              <w:rPr>
                <w:rFonts w:cs="Arial"/>
                <w:color w:val="000000"/>
                <w:sz w:val="16"/>
                <w:szCs w:val="16"/>
              </w:rPr>
            </w:pPr>
            <w:r w:rsidRPr="007B2536">
              <w:rPr>
                <w:rFonts w:cs="Arial"/>
                <w:color w:val="000000"/>
                <w:sz w:val="16"/>
                <w:szCs w:val="16"/>
              </w:rPr>
              <w:t>Απαλλαγή από τον φόρο εισοδήματος για κενά ακίνητα ή ακίνητα σε βραχυχρόνια μίσθωση, η οποία θα μετατραπεί σε μακροχρόνια μίσθωση (επέκταση και για το έτος 2026)</w:t>
            </w:r>
          </w:p>
        </w:tc>
        <w:tc>
          <w:tcPr>
            <w:tcW w:w="759" w:type="dxa"/>
            <w:shd w:val="clear" w:color="auto" w:fill="auto"/>
            <w:noWrap/>
            <w:vAlign w:val="center"/>
            <w:hideMark/>
          </w:tcPr>
          <w:p w14:paraId="38784473" w14:textId="53855DF0"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0</w:t>
            </w:r>
          </w:p>
        </w:tc>
        <w:tc>
          <w:tcPr>
            <w:tcW w:w="759" w:type="dxa"/>
            <w:shd w:val="clear" w:color="auto" w:fill="auto"/>
            <w:noWrap/>
            <w:vAlign w:val="center"/>
            <w:hideMark/>
          </w:tcPr>
          <w:p w14:paraId="78E6BEAC"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-10</w:t>
            </w:r>
          </w:p>
        </w:tc>
        <w:tc>
          <w:tcPr>
            <w:tcW w:w="760" w:type="dxa"/>
            <w:shd w:val="clear" w:color="auto" w:fill="auto"/>
            <w:noWrap/>
            <w:vAlign w:val="center"/>
            <w:hideMark/>
          </w:tcPr>
          <w:p w14:paraId="472DD6F4" w14:textId="1E1E32A0"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w:t>
            </w:r>
            <w:r w:rsidR="00DC41FB" w:rsidRPr="007B2536">
              <w:rPr>
                <w:rFonts w:cs="Arial"/>
                <w:color w:val="000000"/>
                <w:sz w:val="16"/>
                <w:szCs w:val="16"/>
                <w:lang w:val="en-US"/>
              </w:rPr>
              <w:t>19</w:t>
            </w:r>
          </w:p>
        </w:tc>
      </w:tr>
      <w:tr w:rsidR="00512031" w:rsidRPr="007B2536" w14:paraId="4B25DA98" w14:textId="77777777" w:rsidTr="00E8681F">
        <w:trPr>
          <w:cantSplit/>
          <w:trHeight w:val="227"/>
          <w:jc w:val="center"/>
        </w:trPr>
        <w:tc>
          <w:tcPr>
            <w:tcW w:w="8374" w:type="dxa"/>
            <w:shd w:val="clear" w:color="auto" w:fill="auto"/>
            <w:vAlign w:val="center"/>
            <w:hideMark/>
          </w:tcPr>
          <w:p w14:paraId="33E6DE15" w14:textId="77777777" w:rsidR="00512031" w:rsidRPr="007B2536" w:rsidRDefault="00512031" w:rsidP="006C11B7">
            <w:pPr>
              <w:spacing w:after="0" w:line="276" w:lineRule="auto"/>
              <w:jc w:val="left"/>
              <w:rPr>
                <w:rFonts w:cs="Arial"/>
                <w:color w:val="000000"/>
                <w:sz w:val="16"/>
                <w:szCs w:val="16"/>
              </w:rPr>
            </w:pPr>
            <w:r w:rsidRPr="007B2536">
              <w:rPr>
                <w:rFonts w:cs="Arial"/>
                <w:color w:val="000000"/>
                <w:sz w:val="16"/>
                <w:szCs w:val="16"/>
              </w:rPr>
              <w:t>Επέκταση της απαλλαγής από τον ΦΠΑ στα νέα κτήρια (επέκταση και για το έτος 2026)</w:t>
            </w:r>
          </w:p>
        </w:tc>
        <w:tc>
          <w:tcPr>
            <w:tcW w:w="759" w:type="dxa"/>
            <w:shd w:val="clear" w:color="auto" w:fill="auto"/>
            <w:noWrap/>
            <w:vAlign w:val="center"/>
            <w:hideMark/>
          </w:tcPr>
          <w:p w14:paraId="3AE2A6D1"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-18</w:t>
            </w:r>
          </w:p>
        </w:tc>
        <w:tc>
          <w:tcPr>
            <w:tcW w:w="759" w:type="dxa"/>
            <w:shd w:val="clear" w:color="auto" w:fill="auto"/>
            <w:noWrap/>
            <w:vAlign w:val="center"/>
            <w:hideMark/>
          </w:tcPr>
          <w:p w14:paraId="24267BF1"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-18</w:t>
            </w:r>
          </w:p>
        </w:tc>
        <w:tc>
          <w:tcPr>
            <w:tcW w:w="760" w:type="dxa"/>
            <w:shd w:val="clear" w:color="auto" w:fill="auto"/>
            <w:noWrap/>
            <w:vAlign w:val="center"/>
            <w:hideMark/>
          </w:tcPr>
          <w:p w14:paraId="736D821F"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0</w:t>
            </w:r>
          </w:p>
        </w:tc>
      </w:tr>
      <w:tr w:rsidR="00512031" w:rsidRPr="007B2536" w14:paraId="04B3EBFF" w14:textId="77777777" w:rsidTr="00E8681F">
        <w:trPr>
          <w:cantSplit/>
          <w:trHeight w:val="227"/>
          <w:jc w:val="center"/>
        </w:trPr>
        <w:tc>
          <w:tcPr>
            <w:tcW w:w="8374" w:type="dxa"/>
            <w:shd w:val="clear" w:color="auto" w:fill="auto"/>
            <w:vAlign w:val="center"/>
            <w:hideMark/>
          </w:tcPr>
          <w:p w14:paraId="063FD276" w14:textId="77777777" w:rsidR="00512031" w:rsidRPr="007B2536" w:rsidRDefault="00512031" w:rsidP="006C11B7">
            <w:pPr>
              <w:spacing w:after="0" w:line="276" w:lineRule="auto"/>
              <w:jc w:val="left"/>
              <w:rPr>
                <w:rFonts w:cs="Arial"/>
                <w:color w:val="000000"/>
                <w:sz w:val="16"/>
                <w:szCs w:val="16"/>
              </w:rPr>
            </w:pPr>
            <w:r w:rsidRPr="007B2536">
              <w:rPr>
                <w:rFonts w:cs="Arial"/>
                <w:color w:val="000000"/>
                <w:sz w:val="16"/>
                <w:szCs w:val="16"/>
              </w:rPr>
              <w:t>Κίνητρο προσέλκυσης ιατρών σε προβληματικές και άγονες περιοχές</w:t>
            </w:r>
          </w:p>
        </w:tc>
        <w:tc>
          <w:tcPr>
            <w:tcW w:w="759" w:type="dxa"/>
            <w:shd w:val="clear" w:color="auto" w:fill="auto"/>
            <w:noWrap/>
            <w:vAlign w:val="center"/>
            <w:hideMark/>
          </w:tcPr>
          <w:p w14:paraId="5979B928"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-16</w:t>
            </w:r>
          </w:p>
        </w:tc>
        <w:tc>
          <w:tcPr>
            <w:tcW w:w="759" w:type="dxa"/>
            <w:shd w:val="clear" w:color="auto" w:fill="auto"/>
            <w:noWrap/>
            <w:vAlign w:val="center"/>
            <w:hideMark/>
          </w:tcPr>
          <w:p w14:paraId="2DC10787"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-16</w:t>
            </w:r>
          </w:p>
        </w:tc>
        <w:tc>
          <w:tcPr>
            <w:tcW w:w="760" w:type="dxa"/>
            <w:shd w:val="clear" w:color="auto" w:fill="auto"/>
            <w:noWrap/>
            <w:vAlign w:val="center"/>
            <w:hideMark/>
          </w:tcPr>
          <w:p w14:paraId="614A9145"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-16</w:t>
            </w:r>
          </w:p>
        </w:tc>
      </w:tr>
      <w:tr w:rsidR="00512031" w:rsidRPr="007B2536" w14:paraId="359FE733" w14:textId="77777777" w:rsidTr="00E8681F">
        <w:trPr>
          <w:cantSplit/>
          <w:trHeight w:val="227"/>
          <w:jc w:val="center"/>
        </w:trPr>
        <w:tc>
          <w:tcPr>
            <w:tcW w:w="8374" w:type="dxa"/>
            <w:shd w:val="clear" w:color="auto" w:fill="auto"/>
            <w:vAlign w:val="center"/>
            <w:hideMark/>
          </w:tcPr>
          <w:p w14:paraId="057146A5" w14:textId="77777777" w:rsidR="00512031" w:rsidRPr="007B2536" w:rsidRDefault="00512031" w:rsidP="006C11B7">
            <w:pPr>
              <w:spacing w:after="0" w:line="276" w:lineRule="auto"/>
              <w:jc w:val="left"/>
              <w:rPr>
                <w:rFonts w:cs="Arial"/>
                <w:color w:val="000000"/>
                <w:sz w:val="16"/>
                <w:szCs w:val="16"/>
              </w:rPr>
            </w:pPr>
            <w:r w:rsidRPr="007B2536">
              <w:rPr>
                <w:rFonts w:cs="Arial"/>
                <w:color w:val="000000"/>
                <w:sz w:val="16"/>
                <w:szCs w:val="16"/>
              </w:rPr>
              <w:t>Αύξηση κατά 20% της αποζημίωσης νυχτερινής απασχόλησης των ενστόλων από τον Ιανουάριο 2025</w:t>
            </w:r>
          </w:p>
        </w:tc>
        <w:tc>
          <w:tcPr>
            <w:tcW w:w="759" w:type="dxa"/>
            <w:shd w:val="clear" w:color="auto" w:fill="auto"/>
            <w:noWrap/>
            <w:vAlign w:val="center"/>
            <w:hideMark/>
          </w:tcPr>
          <w:p w14:paraId="65AFD379"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-25</w:t>
            </w:r>
          </w:p>
        </w:tc>
        <w:tc>
          <w:tcPr>
            <w:tcW w:w="759" w:type="dxa"/>
            <w:shd w:val="clear" w:color="auto" w:fill="auto"/>
            <w:noWrap/>
            <w:vAlign w:val="center"/>
            <w:hideMark/>
          </w:tcPr>
          <w:p w14:paraId="2550B741"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-25</w:t>
            </w:r>
          </w:p>
        </w:tc>
        <w:tc>
          <w:tcPr>
            <w:tcW w:w="760" w:type="dxa"/>
            <w:shd w:val="clear" w:color="auto" w:fill="auto"/>
            <w:noWrap/>
            <w:vAlign w:val="center"/>
            <w:hideMark/>
          </w:tcPr>
          <w:p w14:paraId="2492FA7A"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-25</w:t>
            </w:r>
          </w:p>
        </w:tc>
      </w:tr>
      <w:tr w:rsidR="00512031" w:rsidRPr="007B2536" w14:paraId="6984C404" w14:textId="77777777" w:rsidTr="00E8681F">
        <w:trPr>
          <w:cantSplit/>
          <w:trHeight w:val="227"/>
          <w:jc w:val="center"/>
        </w:trPr>
        <w:tc>
          <w:tcPr>
            <w:tcW w:w="8374" w:type="dxa"/>
            <w:shd w:val="clear" w:color="auto" w:fill="auto"/>
            <w:vAlign w:val="center"/>
            <w:hideMark/>
          </w:tcPr>
          <w:p w14:paraId="527550F0" w14:textId="77777777" w:rsidR="00512031" w:rsidRPr="007B2536" w:rsidRDefault="00512031" w:rsidP="006C11B7">
            <w:pPr>
              <w:spacing w:after="0" w:line="276" w:lineRule="auto"/>
              <w:jc w:val="left"/>
              <w:rPr>
                <w:rFonts w:cs="Arial"/>
                <w:color w:val="000000"/>
                <w:sz w:val="16"/>
                <w:szCs w:val="16"/>
              </w:rPr>
            </w:pPr>
            <w:r w:rsidRPr="007B2536">
              <w:rPr>
                <w:rFonts w:cs="Arial"/>
                <w:color w:val="000000"/>
                <w:sz w:val="16"/>
                <w:szCs w:val="16"/>
              </w:rPr>
              <w:t>Αύξηση του φοιτητικού στεγαστικού επιδόματος για τα περιφερειακά Πανεπιστήμια (από 1.500 ευρώ σε 2.000 ευρώ ετησίως και σε 2.500 ευρώ σε περίπτωση συγκατοίκησης)</w:t>
            </w:r>
          </w:p>
        </w:tc>
        <w:tc>
          <w:tcPr>
            <w:tcW w:w="759" w:type="dxa"/>
            <w:shd w:val="clear" w:color="auto" w:fill="auto"/>
            <w:noWrap/>
            <w:vAlign w:val="center"/>
            <w:hideMark/>
          </w:tcPr>
          <w:p w14:paraId="79AEF6FA"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-15</w:t>
            </w:r>
          </w:p>
        </w:tc>
        <w:tc>
          <w:tcPr>
            <w:tcW w:w="759" w:type="dxa"/>
            <w:shd w:val="clear" w:color="auto" w:fill="auto"/>
            <w:noWrap/>
            <w:vAlign w:val="center"/>
            <w:hideMark/>
          </w:tcPr>
          <w:p w14:paraId="4845D552"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-15</w:t>
            </w:r>
          </w:p>
        </w:tc>
        <w:tc>
          <w:tcPr>
            <w:tcW w:w="760" w:type="dxa"/>
            <w:shd w:val="clear" w:color="auto" w:fill="auto"/>
            <w:noWrap/>
            <w:vAlign w:val="center"/>
            <w:hideMark/>
          </w:tcPr>
          <w:p w14:paraId="3A159869"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-15</w:t>
            </w:r>
          </w:p>
        </w:tc>
      </w:tr>
      <w:tr w:rsidR="00512031" w:rsidRPr="007B2536" w14:paraId="74BAF4BE" w14:textId="77777777" w:rsidTr="00E8681F">
        <w:trPr>
          <w:cantSplit/>
          <w:trHeight w:val="227"/>
          <w:jc w:val="center"/>
        </w:trPr>
        <w:tc>
          <w:tcPr>
            <w:tcW w:w="8374" w:type="dxa"/>
            <w:shd w:val="clear" w:color="auto" w:fill="auto"/>
            <w:vAlign w:val="center"/>
            <w:hideMark/>
          </w:tcPr>
          <w:p w14:paraId="2560BF6C" w14:textId="77777777" w:rsidR="00512031" w:rsidRPr="007B2536" w:rsidRDefault="00512031" w:rsidP="006C11B7">
            <w:pPr>
              <w:spacing w:after="0" w:line="276" w:lineRule="auto"/>
              <w:jc w:val="left"/>
              <w:rPr>
                <w:rFonts w:cs="Arial"/>
                <w:color w:val="000000"/>
                <w:sz w:val="16"/>
                <w:szCs w:val="16"/>
              </w:rPr>
            </w:pPr>
            <w:r w:rsidRPr="007B2536">
              <w:rPr>
                <w:rFonts w:cs="Arial"/>
                <w:color w:val="000000"/>
                <w:sz w:val="16"/>
                <w:szCs w:val="16"/>
              </w:rPr>
              <w:t xml:space="preserve">Αύξηση των αποδοχών των σπουδαστών στρατιωτικών σχολών </w:t>
            </w:r>
          </w:p>
        </w:tc>
        <w:tc>
          <w:tcPr>
            <w:tcW w:w="759" w:type="dxa"/>
            <w:shd w:val="clear" w:color="auto" w:fill="auto"/>
            <w:noWrap/>
            <w:vAlign w:val="center"/>
            <w:hideMark/>
          </w:tcPr>
          <w:p w14:paraId="0B9C5047"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-14</w:t>
            </w:r>
          </w:p>
        </w:tc>
        <w:tc>
          <w:tcPr>
            <w:tcW w:w="759" w:type="dxa"/>
            <w:shd w:val="clear" w:color="auto" w:fill="auto"/>
            <w:noWrap/>
            <w:vAlign w:val="center"/>
            <w:hideMark/>
          </w:tcPr>
          <w:p w14:paraId="06C0768F"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-14</w:t>
            </w:r>
          </w:p>
        </w:tc>
        <w:tc>
          <w:tcPr>
            <w:tcW w:w="760" w:type="dxa"/>
            <w:shd w:val="clear" w:color="auto" w:fill="auto"/>
            <w:noWrap/>
            <w:vAlign w:val="center"/>
            <w:hideMark/>
          </w:tcPr>
          <w:p w14:paraId="2090F95C"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-14</w:t>
            </w:r>
          </w:p>
        </w:tc>
      </w:tr>
      <w:tr w:rsidR="00512031" w:rsidRPr="007B2536" w14:paraId="4794BD61" w14:textId="77777777" w:rsidTr="00E8681F">
        <w:trPr>
          <w:cantSplit/>
          <w:trHeight w:val="227"/>
          <w:jc w:val="center"/>
        </w:trPr>
        <w:tc>
          <w:tcPr>
            <w:tcW w:w="8374" w:type="dxa"/>
            <w:shd w:val="clear" w:color="auto" w:fill="auto"/>
            <w:vAlign w:val="center"/>
            <w:hideMark/>
          </w:tcPr>
          <w:p w14:paraId="434C1150" w14:textId="77777777" w:rsidR="00512031" w:rsidRPr="007B2536" w:rsidRDefault="00512031" w:rsidP="006C11B7">
            <w:pPr>
              <w:spacing w:after="0" w:line="276" w:lineRule="auto"/>
              <w:jc w:val="left"/>
              <w:rPr>
                <w:rFonts w:cs="Arial"/>
                <w:color w:val="000000"/>
                <w:sz w:val="16"/>
                <w:szCs w:val="16"/>
              </w:rPr>
            </w:pPr>
            <w:r w:rsidRPr="007B2536">
              <w:rPr>
                <w:rFonts w:cs="Arial"/>
                <w:color w:val="000000"/>
                <w:sz w:val="16"/>
                <w:szCs w:val="16"/>
              </w:rPr>
              <w:t>Αναμόρφωση του κινήτρου επίτευξης στόχων στο Δημόσιο</w:t>
            </w:r>
          </w:p>
        </w:tc>
        <w:tc>
          <w:tcPr>
            <w:tcW w:w="759" w:type="dxa"/>
            <w:shd w:val="clear" w:color="auto" w:fill="auto"/>
            <w:noWrap/>
            <w:vAlign w:val="center"/>
            <w:hideMark/>
          </w:tcPr>
          <w:p w14:paraId="5841004E"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-20</w:t>
            </w:r>
          </w:p>
        </w:tc>
        <w:tc>
          <w:tcPr>
            <w:tcW w:w="759" w:type="dxa"/>
            <w:shd w:val="clear" w:color="auto" w:fill="auto"/>
            <w:noWrap/>
            <w:vAlign w:val="center"/>
            <w:hideMark/>
          </w:tcPr>
          <w:p w14:paraId="50B58CCC"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-40</w:t>
            </w:r>
          </w:p>
        </w:tc>
        <w:tc>
          <w:tcPr>
            <w:tcW w:w="760" w:type="dxa"/>
            <w:shd w:val="clear" w:color="auto" w:fill="auto"/>
            <w:noWrap/>
            <w:vAlign w:val="center"/>
            <w:hideMark/>
          </w:tcPr>
          <w:p w14:paraId="5FE74D7E"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-40</w:t>
            </w:r>
          </w:p>
        </w:tc>
      </w:tr>
      <w:tr w:rsidR="00512031" w:rsidRPr="007B2536" w14:paraId="0D1D0A69" w14:textId="77777777" w:rsidTr="00E8681F">
        <w:trPr>
          <w:cantSplit/>
          <w:trHeight w:val="227"/>
          <w:jc w:val="center"/>
        </w:trPr>
        <w:tc>
          <w:tcPr>
            <w:tcW w:w="8374" w:type="dxa"/>
            <w:shd w:val="clear" w:color="auto" w:fill="auto"/>
            <w:vAlign w:val="center"/>
            <w:hideMark/>
          </w:tcPr>
          <w:p w14:paraId="30320D94" w14:textId="0FE1E0A6" w:rsidR="00512031" w:rsidRPr="007B2536" w:rsidRDefault="00512031" w:rsidP="006C11B7">
            <w:pPr>
              <w:spacing w:after="0" w:line="276" w:lineRule="auto"/>
              <w:jc w:val="left"/>
              <w:rPr>
                <w:rFonts w:cs="Arial"/>
                <w:color w:val="000000"/>
                <w:sz w:val="16"/>
                <w:szCs w:val="16"/>
              </w:rPr>
            </w:pPr>
            <w:r w:rsidRPr="007B2536">
              <w:rPr>
                <w:rFonts w:cs="Arial"/>
                <w:color w:val="000000"/>
                <w:sz w:val="16"/>
                <w:szCs w:val="16"/>
              </w:rPr>
              <w:t>Αναμόρφωση του επιδόματος επικίνδυνης και ανθυγιεινής εργασίας τ</w:t>
            </w:r>
            <w:r w:rsidR="00100EB7" w:rsidRPr="007B2536">
              <w:rPr>
                <w:rFonts w:cs="Arial"/>
                <w:color w:val="000000"/>
                <w:sz w:val="16"/>
                <w:szCs w:val="16"/>
              </w:rPr>
              <w:t>ων</w:t>
            </w:r>
            <w:r w:rsidRPr="007B2536">
              <w:rPr>
                <w:rFonts w:cs="Arial"/>
                <w:color w:val="000000"/>
                <w:sz w:val="16"/>
                <w:szCs w:val="16"/>
              </w:rPr>
              <w:t xml:space="preserve"> ΟΤΑ</w:t>
            </w:r>
          </w:p>
        </w:tc>
        <w:tc>
          <w:tcPr>
            <w:tcW w:w="759" w:type="dxa"/>
            <w:shd w:val="clear" w:color="auto" w:fill="auto"/>
            <w:noWrap/>
            <w:vAlign w:val="center"/>
            <w:hideMark/>
          </w:tcPr>
          <w:p w14:paraId="0B3FAA5B"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-37</w:t>
            </w:r>
          </w:p>
        </w:tc>
        <w:tc>
          <w:tcPr>
            <w:tcW w:w="759" w:type="dxa"/>
            <w:shd w:val="clear" w:color="auto" w:fill="auto"/>
            <w:noWrap/>
            <w:vAlign w:val="center"/>
            <w:hideMark/>
          </w:tcPr>
          <w:p w14:paraId="24771264"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-37</w:t>
            </w:r>
          </w:p>
        </w:tc>
        <w:tc>
          <w:tcPr>
            <w:tcW w:w="760" w:type="dxa"/>
            <w:shd w:val="clear" w:color="auto" w:fill="auto"/>
            <w:noWrap/>
            <w:vAlign w:val="center"/>
            <w:hideMark/>
          </w:tcPr>
          <w:p w14:paraId="07095C0D" w14:textId="77777777" w:rsidR="00512031" w:rsidRPr="007B2536" w:rsidRDefault="00512031" w:rsidP="006C11B7">
            <w:pPr>
              <w:spacing w:after="0" w:line="276" w:lineRule="auto"/>
              <w:jc w:val="right"/>
              <w:rPr>
                <w:rFonts w:cs="Arial"/>
                <w:color w:val="000000"/>
                <w:sz w:val="16"/>
                <w:szCs w:val="16"/>
              </w:rPr>
            </w:pPr>
            <w:r w:rsidRPr="007B2536">
              <w:rPr>
                <w:rFonts w:cs="Arial"/>
                <w:color w:val="000000"/>
                <w:sz w:val="16"/>
                <w:szCs w:val="16"/>
              </w:rPr>
              <w:t>-37</w:t>
            </w:r>
          </w:p>
        </w:tc>
      </w:tr>
      <w:tr w:rsidR="002712D8" w:rsidRPr="007B2536" w14:paraId="42C213F3" w14:textId="77777777" w:rsidTr="00E8681F">
        <w:trPr>
          <w:cantSplit/>
          <w:trHeight w:val="227"/>
          <w:jc w:val="center"/>
        </w:trPr>
        <w:tc>
          <w:tcPr>
            <w:tcW w:w="8374" w:type="dxa"/>
            <w:shd w:val="clear" w:color="000000" w:fill="F2F2F2"/>
            <w:vAlign w:val="center"/>
            <w:hideMark/>
          </w:tcPr>
          <w:p w14:paraId="2E250DA7" w14:textId="77777777" w:rsidR="00512031" w:rsidRPr="007B2536" w:rsidRDefault="00512031" w:rsidP="006C11B7">
            <w:pPr>
              <w:spacing w:after="0" w:line="276" w:lineRule="auto"/>
              <w:jc w:val="left"/>
              <w:rPr>
                <w:rFonts w:cs="Arial"/>
                <w:b/>
                <w:bCs/>
                <w:color w:val="000000"/>
                <w:sz w:val="16"/>
                <w:szCs w:val="16"/>
              </w:rPr>
            </w:pPr>
            <w:r w:rsidRPr="007B2536">
              <w:rPr>
                <w:rFonts w:cs="Arial"/>
                <w:b/>
                <w:bCs/>
                <w:color w:val="000000"/>
                <w:sz w:val="16"/>
                <w:szCs w:val="16"/>
              </w:rPr>
              <w:t>Γ. Σύνολο</w:t>
            </w:r>
          </w:p>
        </w:tc>
        <w:tc>
          <w:tcPr>
            <w:tcW w:w="759" w:type="dxa"/>
            <w:shd w:val="clear" w:color="auto" w:fill="F2F2F2" w:themeFill="background1" w:themeFillShade="F2"/>
            <w:noWrap/>
            <w:vAlign w:val="center"/>
            <w:hideMark/>
          </w:tcPr>
          <w:p w14:paraId="5E897949" w14:textId="77777777" w:rsidR="00512031" w:rsidRPr="007B2536" w:rsidRDefault="00512031" w:rsidP="006C11B7">
            <w:pPr>
              <w:spacing w:after="0" w:line="276" w:lineRule="auto"/>
              <w:jc w:val="right"/>
              <w:rPr>
                <w:rFonts w:cs="Arial"/>
                <w:b/>
                <w:bCs/>
                <w:color w:val="000000"/>
                <w:sz w:val="16"/>
                <w:szCs w:val="16"/>
              </w:rPr>
            </w:pPr>
            <w:r w:rsidRPr="007B2536">
              <w:rPr>
                <w:rFonts w:cs="Arial"/>
                <w:b/>
                <w:bCs/>
                <w:color w:val="000000"/>
                <w:sz w:val="16"/>
                <w:szCs w:val="16"/>
              </w:rPr>
              <w:t>-1.688</w:t>
            </w:r>
          </w:p>
        </w:tc>
        <w:tc>
          <w:tcPr>
            <w:tcW w:w="759" w:type="dxa"/>
            <w:shd w:val="clear" w:color="auto" w:fill="F2F2F2" w:themeFill="background1" w:themeFillShade="F2"/>
            <w:noWrap/>
            <w:vAlign w:val="center"/>
            <w:hideMark/>
          </w:tcPr>
          <w:p w14:paraId="5AFED982" w14:textId="77777777" w:rsidR="00512031" w:rsidRPr="007B2536" w:rsidRDefault="00512031" w:rsidP="006C11B7">
            <w:pPr>
              <w:spacing w:after="0" w:line="276" w:lineRule="auto"/>
              <w:jc w:val="right"/>
              <w:rPr>
                <w:rFonts w:cs="Arial"/>
                <w:b/>
                <w:bCs/>
                <w:color w:val="000000"/>
                <w:sz w:val="16"/>
                <w:szCs w:val="16"/>
              </w:rPr>
            </w:pPr>
            <w:r w:rsidRPr="007B2536">
              <w:rPr>
                <w:rFonts w:cs="Arial"/>
                <w:b/>
                <w:bCs/>
                <w:color w:val="000000"/>
                <w:sz w:val="16"/>
                <w:szCs w:val="16"/>
              </w:rPr>
              <w:t>-2.668</w:t>
            </w:r>
          </w:p>
        </w:tc>
        <w:tc>
          <w:tcPr>
            <w:tcW w:w="760" w:type="dxa"/>
            <w:shd w:val="clear" w:color="auto" w:fill="F2F2F2" w:themeFill="background1" w:themeFillShade="F2"/>
            <w:noWrap/>
            <w:vAlign w:val="center"/>
            <w:hideMark/>
          </w:tcPr>
          <w:p w14:paraId="7DEB30F5" w14:textId="720357EC" w:rsidR="00512031" w:rsidRPr="007B2536" w:rsidRDefault="00512031" w:rsidP="006C11B7">
            <w:pPr>
              <w:spacing w:after="0" w:line="276" w:lineRule="auto"/>
              <w:jc w:val="right"/>
              <w:rPr>
                <w:rFonts w:cs="Arial"/>
                <w:b/>
                <w:bCs/>
                <w:color w:val="000000"/>
                <w:sz w:val="16"/>
                <w:szCs w:val="16"/>
                <w:lang w:val="en-US"/>
              </w:rPr>
            </w:pPr>
            <w:r w:rsidRPr="007B2536">
              <w:rPr>
                <w:rFonts w:cs="Arial"/>
                <w:b/>
                <w:bCs/>
                <w:color w:val="000000"/>
                <w:sz w:val="16"/>
                <w:szCs w:val="16"/>
              </w:rPr>
              <w:t>-3.</w:t>
            </w:r>
            <w:r w:rsidR="00DE7756" w:rsidRPr="007B2536">
              <w:rPr>
                <w:rFonts w:cs="Arial"/>
                <w:b/>
                <w:bCs/>
                <w:color w:val="000000"/>
                <w:sz w:val="16"/>
                <w:szCs w:val="16"/>
              </w:rPr>
              <w:t>75</w:t>
            </w:r>
            <w:r w:rsidR="002F0B75" w:rsidRPr="007B2536">
              <w:rPr>
                <w:rFonts w:cs="Arial"/>
                <w:b/>
                <w:bCs/>
                <w:color w:val="000000"/>
                <w:sz w:val="16"/>
                <w:szCs w:val="16"/>
                <w:lang w:val="en-US"/>
              </w:rPr>
              <w:t>7</w:t>
            </w:r>
          </w:p>
        </w:tc>
      </w:tr>
      <w:tr w:rsidR="002712D8" w:rsidRPr="00512031" w14:paraId="3983B0DB" w14:textId="77777777" w:rsidTr="007912C5">
        <w:trPr>
          <w:cantSplit/>
          <w:trHeight w:val="340"/>
          <w:jc w:val="center"/>
        </w:trPr>
        <w:tc>
          <w:tcPr>
            <w:tcW w:w="8374" w:type="dxa"/>
            <w:tcBorders>
              <w:bottom w:val="single" w:sz="2" w:space="0" w:color="A6A6A6" w:themeColor="background1" w:themeShade="A6"/>
            </w:tcBorders>
            <w:shd w:val="clear" w:color="000000" w:fill="D5DCE4"/>
            <w:vAlign w:val="center"/>
            <w:hideMark/>
          </w:tcPr>
          <w:p w14:paraId="2A842F50" w14:textId="77777777" w:rsidR="00512031" w:rsidRPr="007B2536" w:rsidRDefault="00512031" w:rsidP="006C11B7">
            <w:pPr>
              <w:spacing w:after="0" w:line="276" w:lineRule="auto"/>
              <w:jc w:val="left"/>
              <w:rPr>
                <w:rFonts w:cs="Arial"/>
                <w:b/>
                <w:bCs/>
                <w:color w:val="000000"/>
                <w:sz w:val="16"/>
                <w:szCs w:val="16"/>
              </w:rPr>
            </w:pPr>
            <w:r w:rsidRPr="007B2536">
              <w:rPr>
                <w:rFonts w:cs="Arial"/>
                <w:b/>
                <w:bCs/>
                <w:color w:val="000000"/>
                <w:sz w:val="16"/>
                <w:szCs w:val="16"/>
              </w:rPr>
              <w:t>Γενικό σύνολο (Α+Β+Γ)</w:t>
            </w:r>
          </w:p>
        </w:tc>
        <w:tc>
          <w:tcPr>
            <w:tcW w:w="759" w:type="dxa"/>
            <w:tcBorders>
              <w:bottom w:val="single" w:sz="2" w:space="0" w:color="A6A6A6" w:themeColor="background1" w:themeShade="A6"/>
            </w:tcBorders>
            <w:shd w:val="clear" w:color="auto" w:fill="D5DCE4"/>
            <w:noWrap/>
            <w:vAlign w:val="center"/>
            <w:hideMark/>
          </w:tcPr>
          <w:p w14:paraId="2C17E854" w14:textId="051E902C" w:rsidR="00512031" w:rsidRPr="007B2536" w:rsidRDefault="00512031" w:rsidP="006C11B7">
            <w:pPr>
              <w:spacing w:after="0" w:line="276" w:lineRule="auto"/>
              <w:jc w:val="right"/>
              <w:rPr>
                <w:rFonts w:cs="Arial"/>
                <w:b/>
                <w:bCs/>
                <w:color w:val="000000"/>
                <w:sz w:val="16"/>
                <w:szCs w:val="16"/>
              </w:rPr>
            </w:pPr>
            <w:r w:rsidRPr="007B2536">
              <w:rPr>
                <w:rFonts w:cs="Arial"/>
                <w:b/>
                <w:bCs/>
                <w:color w:val="000000"/>
                <w:sz w:val="16"/>
                <w:szCs w:val="16"/>
              </w:rPr>
              <w:t>-3.03</w:t>
            </w:r>
            <w:r w:rsidR="00DE7756" w:rsidRPr="007B2536">
              <w:rPr>
                <w:rFonts w:cs="Arial"/>
                <w:b/>
                <w:bCs/>
                <w:color w:val="000000"/>
                <w:sz w:val="16"/>
                <w:szCs w:val="16"/>
              </w:rPr>
              <w:t>6</w:t>
            </w:r>
          </w:p>
        </w:tc>
        <w:tc>
          <w:tcPr>
            <w:tcW w:w="759" w:type="dxa"/>
            <w:tcBorders>
              <w:bottom w:val="single" w:sz="2" w:space="0" w:color="A6A6A6" w:themeColor="background1" w:themeShade="A6"/>
            </w:tcBorders>
            <w:shd w:val="clear" w:color="auto" w:fill="D5DCE4"/>
            <w:noWrap/>
            <w:vAlign w:val="center"/>
            <w:hideMark/>
          </w:tcPr>
          <w:p w14:paraId="2C38B74F" w14:textId="028C0E95" w:rsidR="00512031" w:rsidRPr="007B2536" w:rsidRDefault="00512031" w:rsidP="006C11B7">
            <w:pPr>
              <w:spacing w:after="0" w:line="276" w:lineRule="auto"/>
              <w:jc w:val="right"/>
              <w:rPr>
                <w:rFonts w:cs="Arial"/>
                <w:b/>
                <w:bCs/>
                <w:color w:val="000000"/>
                <w:sz w:val="16"/>
                <w:szCs w:val="16"/>
              </w:rPr>
            </w:pPr>
            <w:r w:rsidRPr="007B2536">
              <w:rPr>
                <w:rFonts w:cs="Arial"/>
                <w:b/>
                <w:bCs/>
                <w:color w:val="000000"/>
                <w:sz w:val="16"/>
                <w:szCs w:val="16"/>
              </w:rPr>
              <w:t>-5.9</w:t>
            </w:r>
            <w:r w:rsidR="00DE7756" w:rsidRPr="007B2536">
              <w:rPr>
                <w:rFonts w:cs="Arial"/>
                <w:b/>
                <w:bCs/>
                <w:color w:val="000000"/>
                <w:sz w:val="16"/>
                <w:szCs w:val="16"/>
              </w:rPr>
              <w:t>40</w:t>
            </w:r>
          </w:p>
        </w:tc>
        <w:tc>
          <w:tcPr>
            <w:tcW w:w="760" w:type="dxa"/>
            <w:tcBorders>
              <w:bottom w:val="single" w:sz="2" w:space="0" w:color="A6A6A6" w:themeColor="background1" w:themeShade="A6"/>
            </w:tcBorders>
            <w:shd w:val="clear" w:color="auto" w:fill="D5DCE4"/>
            <w:noWrap/>
            <w:vAlign w:val="center"/>
            <w:hideMark/>
          </w:tcPr>
          <w:p w14:paraId="16DD0E8B" w14:textId="3B867D7C" w:rsidR="00512031" w:rsidRPr="007B2536" w:rsidRDefault="00512031" w:rsidP="006C11B7">
            <w:pPr>
              <w:spacing w:after="0" w:line="276" w:lineRule="auto"/>
              <w:jc w:val="right"/>
              <w:rPr>
                <w:rFonts w:cs="Arial"/>
                <w:b/>
                <w:bCs/>
                <w:color w:val="000000"/>
                <w:sz w:val="16"/>
                <w:szCs w:val="16"/>
                <w:lang w:val="en-US"/>
              </w:rPr>
            </w:pPr>
            <w:r w:rsidRPr="007B2536">
              <w:rPr>
                <w:rFonts w:cs="Arial"/>
                <w:b/>
                <w:bCs/>
                <w:color w:val="000000"/>
                <w:sz w:val="16"/>
                <w:szCs w:val="16"/>
              </w:rPr>
              <w:t>-7.</w:t>
            </w:r>
            <w:r w:rsidR="00DE7756" w:rsidRPr="007B2536">
              <w:rPr>
                <w:rFonts w:cs="Arial"/>
                <w:b/>
                <w:bCs/>
                <w:color w:val="000000"/>
                <w:sz w:val="16"/>
                <w:szCs w:val="16"/>
              </w:rPr>
              <w:t>94</w:t>
            </w:r>
            <w:r w:rsidR="001C4889" w:rsidRPr="007B2536">
              <w:rPr>
                <w:rFonts w:cs="Arial"/>
                <w:b/>
                <w:bCs/>
                <w:color w:val="000000"/>
                <w:sz w:val="16"/>
                <w:szCs w:val="16"/>
                <w:lang w:val="en-US"/>
              </w:rPr>
              <w:t>2</w:t>
            </w:r>
          </w:p>
        </w:tc>
      </w:tr>
      <w:tr w:rsidR="00C939C8" w:rsidRPr="00A24F9B" w14:paraId="4ED3E9C2" w14:textId="77777777" w:rsidTr="007912C5">
        <w:trPr>
          <w:cantSplit/>
          <w:jc w:val="center"/>
        </w:trPr>
        <w:tc>
          <w:tcPr>
            <w:tcW w:w="10652" w:type="dxa"/>
            <w:gridSpan w:val="4"/>
            <w:tcBorders>
              <w:left w:val="nil"/>
              <w:bottom w:val="nil"/>
              <w:right w:val="nil"/>
            </w:tcBorders>
            <w:shd w:val="clear" w:color="auto" w:fill="auto"/>
            <w:vAlign w:val="center"/>
          </w:tcPr>
          <w:p w14:paraId="41720919" w14:textId="504A1A52" w:rsidR="00C939C8" w:rsidRPr="00A24F9B" w:rsidRDefault="00A24F9B" w:rsidP="00790111">
            <w:pPr>
              <w:tabs>
                <w:tab w:val="left" w:pos="113"/>
              </w:tabs>
              <w:spacing w:before="60" w:after="0" w:line="276" w:lineRule="auto"/>
              <w:rPr>
                <w:rFonts w:cs="Arial"/>
                <w:bCs/>
                <w:color w:val="000000"/>
                <w:sz w:val="16"/>
                <w:szCs w:val="16"/>
              </w:rPr>
            </w:pPr>
            <w:r w:rsidRPr="00A24F9B">
              <w:rPr>
                <w:rFonts w:cs="Arial"/>
                <w:bCs/>
                <w:color w:val="000000"/>
                <w:sz w:val="16"/>
                <w:szCs w:val="16"/>
                <w:lang w:val="en-US"/>
              </w:rPr>
              <w:t>*</w:t>
            </w:r>
            <w:r w:rsidRPr="00A24F9B">
              <w:rPr>
                <w:rFonts w:cs="Arial"/>
                <w:bCs/>
                <w:color w:val="000000"/>
                <w:sz w:val="16"/>
                <w:szCs w:val="16"/>
                <w:lang w:val="en-US"/>
              </w:rPr>
              <w:tab/>
            </w:r>
            <w:r w:rsidRPr="00A24F9B">
              <w:rPr>
                <w:rFonts w:cs="Arial"/>
                <w:bCs/>
                <w:color w:val="000000"/>
                <w:sz w:val="16"/>
                <w:szCs w:val="16"/>
              </w:rPr>
              <w:t>όπως ανακοινώθηκαν στη ΔΕΘ</w:t>
            </w:r>
          </w:p>
        </w:tc>
      </w:tr>
    </w:tbl>
    <w:p w14:paraId="2CB64FFA" w14:textId="47D91F6E" w:rsidR="00B16CED" w:rsidRPr="00BE6F2D" w:rsidRDefault="008B497D" w:rsidP="00300BBF">
      <w:pPr>
        <w:pStyle w:val="3"/>
      </w:pPr>
      <w:bookmarkStart w:id="638" w:name="_Toc214473792"/>
      <w:r w:rsidRPr="00BE6F2D">
        <w:t xml:space="preserve">Αναδιανεμητική επίπτωση </w:t>
      </w:r>
      <w:r w:rsidR="00B26AC8" w:rsidRPr="00BE6F2D">
        <w:t>δημοσιονομικών παρεμβάσεων</w:t>
      </w:r>
      <w:bookmarkEnd w:id="638"/>
    </w:p>
    <w:p w14:paraId="319C20A4" w14:textId="77777777" w:rsidR="008B497D" w:rsidRDefault="008B497D" w:rsidP="00300BBF">
      <w:pPr>
        <w:pStyle w:val="4"/>
      </w:pPr>
      <w:bookmarkStart w:id="639" w:name="_Toc214473793"/>
      <w:r>
        <w:t>Μεθοδολογία</w:t>
      </w:r>
      <w:bookmarkEnd w:id="639"/>
    </w:p>
    <w:p w14:paraId="2BF0712F" w14:textId="707DDA13" w:rsidR="00282D22" w:rsidRPr="0097719D" w:rsidRDefault="00282D22" w:rsidP="000B29D9">
      <w:r w:rsidRPr="00B74EB6">
        <w:t>Η εκτίμηση της αναδιανεμητικής επίπτωσης των παρεμβάσεων του προϋπολογισμού πραγματοποιείται με τη χρήση του μοντέλου “</w:t>
      </w:r>
      <w:r w:rsidRPr="00B74EB6">
        <w:rPr>
          <w:lang w:val="en-GB"/>
        </w:rPr>
        <w:t>EUROMOD</w:t>
      </w:r>
      <w:r w:rsidRPr="00B74EB6">
        <w:t xml:space="preserve"> </w:t>
      </w:r>
      <w:r w:rsidRPr="00B74EB6">
        <w:rPr>
          <w:lang w:val="en-GB"/>
        </w:rPr>
        <w:t>tax</w:t>
      </w:r>
      <w:r w:rsidRPr="00B74EB6">
        <w:t>-</w:t>
      </w:r>
      <w:r w:rsidRPr="00B74EB6">
        <w:rPr>
          <w:lang w:val="en-GB"/>
        </w:rPr>
        <w:t>benefit</w:t>
      </w:r>
      <w:r w:rsidRPr="00B74EB6">
        <w:t xml:space="preserve"> </w:t>
      </w:r>
      <w:r w:rsidRPr="00B74EB6">
        <w:rPr>
          <w:lang w:val="en-GB"/>
        </w:rPr>
        <w:t>microsimulation</w:t>
      </w:r>
      <w:r w:rsidRPr="00B74EB6">
        <w:t xml:space="preserve">” για την Ελλάδα με προσομοίωση των νέων παρεμβάσεων. Τα στοιχεία που χρησιμοποιούνται ως εισροή βασίζονται στα ελληνικά δεδομένα </w:t>
      </w:r>
      <w:r w:rsidRPr="00B74EB6">
        <w:rPr>
          <w:lang w:val="en-GB"/>
        </w:rPr>
        <w:t>SILC</w:t>
      </w:r>
      <w:r w:rsidRPr="00B74EB6">
        <w:t xml:space="preserve"> του 202</w:t>
      </w:r>
      <w:r>
        <w:t>2</w:t>
      </w:r>
      <w:r w:rsidRPr="00B74EB6">
        <w:t xml:space="preserve"> (εισοδήματα 20</w:t>
      </w:r>
      <w:r>
        <w:t>21</w:t>
      </w:r>
      <w:r w:rsidRPr="00B74EB6">
        <w:t xml:space="preserve">), λαμβανομένων υπόψη </w:t>
      </w:r>
      <w:r w:rsidR="0009610E">
        <w:t>ωστόσο</w:t>
      </w:r>
      <w:r w:rsidRPr="00B74EB6">
        <w:t xml:space="preserve"> των σχετικών παραγόντων αναγωγής για όλα τα </w:t>
      </w:r>
      <w:r>
        <w:t>επόμενα έτη και</w:t>
      </w:r>
      <w:r w:rsidR="0009610E">
        <w:t xml:space="preserve"> για</w:t>
      </w:r>
      <w:r>
        <w:t xml:space="preserve"> όλα τα </w:t>
      </w:r>
      <w:r w:rsidRPr="0098356F">
        <w:t>είδη εισοδήματος</w:t>
      </w:r>
      <w:r w:rsidR="00005EBD" w:rsidRPr="0098356F">
        <w:rPr>
          <w:rStyle w:val="ab"/>
        </w:rPr>
        <w:footnoteReference w:id="7"/>
      </w:r>
      <w:r w:rsidRPr="0098356F">
        <w:t>. Το δείγμ</w:t>
      </w:r>
      <w:r w:rsidRPr="00B74EB6">
        <w:t xml:space="preserve">α αποτελείται από </w:t>
      </w:r>
      <w:r>
        <w:t>2</w:t>
      </w:r>
      <w:r w:rsidRPr="00B74EB6">
        <w:t>2</w:t>
      </w:r>
      <w:r>
        <w:t>.142</w:t>
      </w:r>
      <w:r w:rsidRPr="00B74EB6">
        <w:t xml:space="preserve"> </w:t>
      </w:r>
      <w:r w:rsidRPr="00B74EB6">
        <w:lastRenderedPageBreak/>
        <w:t xml:space="preserve">άτομα, που αντιστοιχούν σε </w:t>
      </w:r>
      <w:r>
        <w:t>10.202</w:t>
      </w:r>
      <w:r w:rsidRPr="00B74EB6">
        <w:t xml:space="preserve"> νοικοκυριά. Με τη χρήση συντελεστών βαρύτητας ο πληθυσμός στον οποίο</w:t>
      </w:r>
      <w:r>
        <w:t xml:space="preserve"> εφαρμόζονται οι προσομοιώσεις αθροίζει σε 10.306.111 άτομα και </w:t>
      </w:r>
      <w:r w:rsidR="00396951">
        <w:t xml:space="preserve">σε </w:t>
      </w:r>
      <w:r>
        <w:t>4.077.884 νοικοκυριά.</w:t>
      </w:r>
    </w:p>
    <w:p w14:paraId="4232E088" w14:textId="45660B7A" w:rsidR="00282D22" w:rsidRDefault="00282D22" w:rsidP="000B29D9">
      <w:r>
        <w:t>Επισημαίνεται</w:t>
      </w:r>
      <w:r w:rsidRPr="00DD5CAF">
        <w:t xml:space="preserve"> </w:t>
      </w:r>
      <w:r>
        <w:t>ότι</w:t>
      </w:r>
      <w:r w:rsidRPr="00DD5CAF">
        <w:t xml:space="preserve"> </w:t>
      </w:r>
      <w:r>
        <w:t>οι</w:t>
      </w:r>
      <w:r w:rsidRPr="00DD5CAF">
        <w:t xml:space="preserve"> </w:t>
      </w:r>
      <w:r>
        <w:t>πολιτικές</w:t>
      </w:r>
      <w:r w:rsidRPr="00DD5CAF">
        <w:t xml:space="preserve"> </w:t>
      </w:r>
      <w:r>
        <w:t>που</w:t>
      </w:r>
      <w:r w:rsidRPr="00DD5CAF">
        <w:t xml:space="preserve"> </w:t>
      </w:r>
      <w:r>
        <w:t xml:space="preserve">προσομοιώνονται αφορούν σε φόρους εισοδήματος φυσικών προσώπων, επιδόματα σε χρήμα, ασφαλιστικές εισφορές και εκτιμώνται μόνο οι άμεσες επιδράσεις. Πολιτικές που δεν επηρεάζουν άμεσα το εισόδημα των νοικοκυριών, όπως οι αλλαγές στη φορολογία νομικών προσώπων, δεν περιλαμβάνονται στην ανάλυση. Επιπλέον, πολιτικές που επηρεάζουν την κατανάλωση ή μόνο τη ρευστότητα στα εισοδήματα των νοικοκυριών, όπως οι αλλαγές στον ΦΠΑ, </w:t>
      </w:r>
      <w:r w:rsidR="00396951">
        <w:t xml:space="preserve">η </w:t>
      </w:r>
      <w:r>
        <w:t>αναστολή πληρωμών φόρων ή δόσεων δανείων</w:t>
      </w:r>
      <w:r w:rsidR="00942033">
        <w:t xml:space="preserve"> και</w:t>
      </w:r>
      <w:r>
        <w:t xml:space="preserve"> οι επιδοτήσεις στην ενεργειακή κατανάλωση</w:t>
      </w:r>
      <w:r w:rsidR="00942033">
        <w:t>,</w:t>
      </w:r>
      <w:r>
        <w:t xml:space="preserve"> δεν μπορούν να προσομοιωθούν.</w:t>
      </w:r>
    </w:p>
    <w:p w14:paraId="34DC8DAF" w14:textId="1CD0DA4A" w:rsidR="00282D22" w:rsidRDefault="00396951" w:rsidP="000B29D9">
      <w:r>
        <w:t xml:space="preserve">Προκειμένου να αξιολογηθεί </w:t>
      </w:r>
      <w:r w:rsidR="00282D22">
        <w:t>η</w:t>
      </w:r>
      <w:r w:rsidR="00282D22" w:rsidRPr="00E56332">
        <w:t xml:space="preserve"> </w:t>
      </w:r>
      <w:r w:rsidR="00282D22">
        <w:t>επίδραση</w:t>
      </w:r>
      <w:r w:rsidR="00282D22" w:rsidRPr="00E56332">
        <w:t xml:space="preserve"> </w:t>
      </w:r>
      <w:r w:rsidR="00282D22">
        <w:t>των</w:t>
      </w:r>
      <w:r w:rsidR="00282D22" w:rsidRPr="00E56332">
        <w:t xml:space="preserve"> </w:t>
      </w:r>
      <w:r w:rsidR="00282D22">
        <w:t>μόνιμων</w:t>
      </w:r>
      <w:r w:rsidR="00282D22" w:rsidRPr="00E56332">
        <w:t xml:space="preserve"> </w:t>
      </w:r>
      <w:r w:rsidR="00282D22">
        <w:t>παρεμβάσεων</w:t>
      </w:r>
      <w:r w:rsidR="00282D22" w:rsidRPr="00E56332">
        <w:t xml:space="preserve"> </w:t>
      </w:r>
      <w:r w:rsidR="00282D22">
        <w:t>που</w:t>
      </w:r>
      <w:r w:rsidR="00282D22" w:rsidRPr="00E56332">
        <w:t xml:space="preserve"> </w:t>
      </w:r>
      <w:r w:rsidR="00282D22">
        <w:t>προγραμματίζονται</w:t>
      </w:r>
      <w:r w:rsidR="00282D22" w:rsidRPr="00E56332">
        <w:t xml:space="preserve"> </w:t>
      </w:r>
      <w:r w:rsidR="00282D22">
        <w:t>να</w:t>
      </w:r>
      <w:r w:rsidR="00282D22" w:rsidRPr="00E56332">
        <w:t xml:space="preserve"> </w:t>
      </w:r>
      <w:r w:rsidR="00282D22">
        <w:t>υλοποιηθούν</w:t>
      </w:r>
      <w:r w:rsidR="00282D22" w:rsidRPr="00E56332">
        <w:t xml:space="preserve"> </w:t>
      </w:r>
      <w:r w:rsidR="00282D22">
        <w:t>στο</w:t>
      </w:r>
      <w:r w:rsidR="00282D22" w:rsidRPr="00E56332">
        <w:t xml:space="preserve"> </w:t>
      </w:r>
      <w:r w:rsidR="00282D22">
        <w:t>τέλος</w:t>
      </w:r>
      <w:r w:rsidR="00282D22" w:rsidRPr="00E56332">
        <w:t xml:space="preserve"> </w:t>
      </w:r>
      <w:r w:rsidR="00282D22">
        <w:t>του</w:t>
      </w:r>
      <w:r w:rsidR="00282D22" w:rsidRPr="00E56332">
        <w:t xml:space="preserve"> 2025, </w:t>
      </w:r>
      <w:r>
        <w:t>ήτοι</w:t>
      </w:r>
      <w:r w:rsidR="00282D22" w:rsidRPr="00E56332">
        <w:t xml:space="preserve"> </w:t>
      </w:r>
      <w:r w:rsidR="00282D22">
        <w:t>η</w:t>
      </w:r>
      <w:r w:rsidR="00282D22" w:rsidRPr="00E56332">
        <w:t xml:space="preserve"> </w:t>
      </w:r>
      <w:r w:rsidR="00282D22">
        <w:t>επιστροφή</w:t>
      </w:r>
      <w:r w:rsidR="00282D22" w:rsidRPr="00E56332">
        <w:t xml:space="preserve"> </w:t>
      </w:r>
      <w:r w:rsidR="00282D22">
        <w:t>ενός</w:t>
      </w:r>
      <w:r w:rsidR="00282D22" w:rsidRPr="00E56332">
        <w:t xml:space="preserve"> </w:t>
      </w:r>
      <w:r w:rsidR="00282D22">
        <w:t>ενοικίου</w:t>
      </w:r>
      <w:r w:rsidR="00282D22" w:rsidRPr="00E56332">
        <w:t xml:space="preserve"> </w:t>
      </w:r>
      <w:r w:rsidR="00282D22">
        <w:t>ετησίως και η εφάπαξ ενίσχυση στις ευάλωτες κοινωνικές ομάδες, έγινε προσομοίωση για δύο εναλλακτικά σενάρια το 2025. Το</w:t>
      </w:r>
      <w:r w:rsidR="00282D22" w:rsidRPr="002748A4">
        <w:t xml:space="preserve"> </w:t>
      </w:r>
      <w:r w:rsidR="00282D22">
        <w:t>σενάριο</w:t>
      </w:r>
      <w:r w:rsidR="00282D22" w:rsidRPr="002748A4">
        <w:t xml:space="preserve"> 1 (2025_</w:t>
      </w:r>
      <w:r w:rsidR="00282D22">
        <w:t>βάση</w:t>
      </w:r>
      <w:r w:rsidR="00282D22" w:rsidRPr="002748A4">
        <w:t xml:space="preserve">) </w:t>
      </w:r>
      <w:r w:rsidR="00282D22">
        <w:t>δεν</w:t>
      </w:r>
      <w:r w:rsidR="00282D22" w:rsidRPr="002748A4">
        <w:t xml:space="preserve"> </w:t>
      </w:r>
      <w:r w:rsidR="00282D22">
        <w:t>περιλαμβάνει</w:t>
      </w:r>
      <w:r w:rsidR="00282D22" w:rsidRPr="002748A4">
        <w:t xml:space="preserve"> </w:t>
      </w:r>
      <w:r w:rsidR="00282D22">
        <w:t>τις</w:t>
      </w:r>
      <w:r w:rsidR="00282D22" w:rsidRPr="002748A4">
        <w:t xml:space="preserve"> </w:t>
      </w:r>
      <w:r w:rsidR="00282D22">
        <w:t>παρεμβάσεις</w:t>
      </w:r>
      <w:r w:rsidR="00282D22" w:rsidRPr="002748A4">
        <w:t xml:space="preserve"> </w:t>
      </w:r>
      <w:r w:rsidR="00282D22">
        <w:t>αυτές</w:t>
      </w:r>
      <w:r w:rsidR="00282D22" w:rsidRPr="002748A4">
        <w:t xml:space="preserve"> </w:t>
      </w:r>
      <w:r w:rsidR="00282D22">
        <w:t>στις</w:t>
      </w:r>
      <w:r w:rsidR="00282D22" w:rsidRPr="002748A4">
        <w:t xml:space="preserve"> </w:t>
      </w:r>
      <w:r w:rsidR="00282D22">
        <w:t>εκτιμήσεις</w:t>
      </w:r>
      <w:r w:rsidR="00282D22" w:rsidRPr="002748A4">
        <w:t xml:space="preserve">, </w:t>
      </w:r>
      <w:r w:rsidR="00282D22">
        <w:t>ενώ</w:t>
      </w:r>
      <w:r w:rsidR="00282D22" w:rsidRPr="002748A4">
        <w:t xml:space="preserve"> </w:t>
      </w:r>
      <w:r w:rsidR="00282D22">
        <w:t>το</w:t>
      </w:r>
      <w:r w:rsidR="00282D22" w:rsidRPr="002748A4">
        <w:t xml:space="preserve"> </w:t>
      </w:r>
      <w:r w:rsidR="00282D22">
        <w:t>σενάριο</w:t>
      </w:r>
      <w:r w:rsidR="00282D22" w:rsidRPr="002748A4">
        <w:t xml:space="preserve"> 2 (2025_</w:t>
      </w:r>
      <w:r w:rsidR="00282D22">
        <w:t>αναφορά</w:t>
      </w:r>
      <w:r w:rsidR="00282D22" w:rsidRPr="002748A4">
        <w:t xml:space="preserve">) </w:t>
      </w:r>
      <w:r w:rsidR="00282D22">
        <w:t>τις</w:t>
      </w:r>
      <w:r w:rsidR="00282D22" w:rsidRPr="002748A4">
        <w:t xml:space="preserve"> </w:t>
      </w:r>
      <w:r w:rsidR="00282D22">
        <w:t>περιλαμβάνει</w:t>
      </w:r>
      <w:r w:rsidR="00282D22" w:rsidRPr="002748A4">
        <w:t xml:space="preserve"> </w:t>
      </w:r>
      <w:r w:rsidR="00282D22">
        <w:t>παρέχοντας</w:t>
      </w:r>
      <w:r w:rsidR="00282D22" w:rsidRPr="002748A4">
        <w:t xml:space="preserve"> </w:t>
      </w:r>
      <w:r w:rsidR="00282D22">
        <w:t>μ</w:t>
      </w:r>
      <w:r>
        <w:t>ί</w:t>
      </w:r>
      <w:r w:rsidR="00282D22">
        <w:t>α</w:t>
      </w:r>
      <w:r w:rsidR="00282D22" w:rsidRPr="002748A4">
        <w:t xml:space="preserve"> </w:t>
      </w:r>
      <w:r w:rsidR="00282D22">
        <w:t>περιεκτική</w:t>
      </w:r>
      <w:r w:rsidR="00282D22" w:rsidRPr="002748A4">
        <w:t xml:space="preserve"> </w:t>
      </w:r>
      <w:r w:rsidR="00282D22">
        <w:t>αξιολόγηση</w:t>
      </w:r>
      <w:r w:rsidR="00282D22" w:rsidRPr="002748A4">
        <w:t xml:space="preserve"> </w:t>
      </w:r>
      <w:r w:rsidR="00282D22">
        <w:t>των</w:t>
      </w:r>
      <w:r w:rsidR="00282D22" w:rsidRPr="002748A4">
        <w:t xml:space="preserve"> </w:t>
      </w:r>
      <w:r w:rsidR="00282D22">
        <w:t>επιπτώσεών</w:t>
      </w:r>
      <w:r w:rsidR="00282D22" w:rsidRPr="002748A4">
        <w:t xml:space="preserve"> </w:t>
      </w:r>
      <w:r w:rsidR="00282D22">
        <w:t>τους</w:t>
      </w:r>
      <w:r w:rsidR="00282D22" w:rsidRPr="002748A4">
        <w:t xml:space="preserve"> </w:t>
      </w:r>
      <w:r w:rsidR="00282D22">
        <w:t>στις</w:t>
      </w:r>
      <w:r w:rsidR="00282D22" w:rsidRPr="002748A4">
        <w:t xml:space="preserve"> </w:t>
      </w:r>
      <w:r w:rsidR="00282D22">
        <w:t>συνολικές</w:t>
      </w:r>
      <w:r w:rsidR="00282D22" w:rsidRPr="002748A4">
        <w:t xml:space="preserve"> </w:t>
      </w:r>
      <w:r w:rsidR="00282D22">
        <w:t>εκτιμήσεις. Για</w:t>
      </w:r>
      <w:r w:rsidR="00282D22" w:rsidRPr="002748A4">
        <w:t xml:space="preserve"> </w:t>
      </w:r>
      <w:r w:rsidR="00866CC9">
        <w:t xml:space="preserve">την κατανόηση </w:t>
      </w:r>
      <w:r w:rsidR="00282D22">
        <w:t>τη</w:t>
      </w:r>
      <w:r w:rsidR="00866CC9">
        <w:t>ς</w:t>
      </w:r>
      <w:r w:rsidR="00282D22" w:rsidRPr="002748A4">
        <w:t xml:space="preserve"> </w:t>
      </w:r>
      <w:r w:rsidR="00282D22">
        <w:t>επίπτωση</w:t>
      </w:r>
      <w:r w:rsidR="00866CC9">
        <w:t>ς</w:t>
      </w:r>
      <w:r w:rsidR="00282D22" w:rsidRPr="002748A4">
        <w:t xml:space="preserve"> </w:t>
      </w:r>
      <w:r w:rsidR="00282D22">
        <w:t>των</w:t>
      </w:r>
      <w:r w:rsidR="00282D22" w:rsidRPr="002748A4">
        <w:t xml:space="preserve"> </w:t>
      </w:r>
      <w:r w:rsidR="00282D22">
        <w:t>πολιτικών</w:t>
      </w:r>
      <w:r w:rsidR="00282D22" w:rsidRPr="002748A4">
        <w:t xml:space="preserve"> </w:t>
      </w:r>
      <w:r w:rsidR="00282D22">
        <w:t>αυτών</w:t>
      </w:r>
      <w:r w:rsidR="00282D22" w:rsidRPr="002748A4">
        <w:t xml:space="preserve"> </w:t>
      </w:r>
      <w:r w:rsidR="00282D22">
        <w:t>διαχρονικά</w:t>
      </w:r>
      <w:r w:rsidR="00282D22" w:rsidRPr="002748A4">
        <w:t xml:space="preserve"> </w:t>
      </w:r>
      <w:r w:rsidR="00282D22">
        <w:t>η</w:t>
      </w:r>
      <w:r w:rsidR="00282D22" w:rsidRPr="002748A4">
        <w:t xml:space="preserve"> </w:t>
      </w:r>
      <w:r w:rsidR="00282D22">
        <w:t>ανάλυση</w:t>
      </w:r>
      <w:r w:rsidR="00282D22" w:rsidRPr="002748A4">
        <w:t xml:space="preserve"> </w:t>
      </w:r>
      <w:r w:rsidR="00282D22">
        <w:t>συγκρίνει</w:t>
      </w:r>
      <w:r w:rsidR="00282D22" w:rsidRPr="002748A4">
        <w:t xml:space="preserve"> </w:t>
      </w:r>
      <w:r w:rsidR="00282D22">
        <w:t>τα</w:t>
      </w:r>
      <w:r w:rsidR="00282D22" w:rsidRPr="002748A4">
        <w:t xml:space="preserve"> </w:t>
      </w:r>
      <w:r w:rsidR="00282D22">
        <w:t>αποτελέσματα</w:t>
      </w:r>
      <w:r w:rsidR="00282D22" w:rsidRPr="002748A4">
        <w:t xml:space="preserve"> </w:t>
      </w:r>
      <w:r w:rsidR="00282D22">
        <w:t>του</w:t>
      </w:r>
      <w:r w:rsidR="00282D22" w:rsidRPr="002748A4">
        <w:t xml:space="preserve"> </w:t>
      </w:r>
      <w:r w:rsidR="00282D22">
        <w:t>σεναρίου</w:t>
      </w:r>
      <w:r w:rsidR="00282D22" w:rsidRPr="002748A4">
        <w:t xml:space="preserve"> 2026</w:t>
      </w:r>
      <w:r w:rsidR="00282D22">
        <w:t>,</w:t>
      </w:r>
      <w:r w:rsidR="00282D22" w:rsidRPr="002748A4">
        <w:t xml:space="preserve"> </w:t>
      </w:r>
      <w:r w:rsidR="00282D22">
        <w:t>που περιέχει το πλήρες σετ παρεμβάσεων, και με τα δύο σενάρια 2025_βάση και 2025_αναφορά, επιτρέποντας τον διαχωρισμό των επιπτώσεων των συγκεκριμένων παρεμβάσεων στην εν λόγω διετία.</w:t>
      </w:r>
    </w:p>
    <w:p w14:paraId="0C3448F8" w14:textId="78BB4CF0" w:rsidR="00282D22" w:rsidRPr="00E56332" w:rsidRDefault="00282D22" w:rsidP="00310C0C">
      <w:pPr>
        <w:spacing w:after="240"/>
      </w:pPr>
      <w:r>
        <w:t>Τα</w:t>
      </w:r>
      <w:r w:rsidRPr="00440289">
        <w:t xml:space="preserve"> </w:t>
      </w:r>
      <w:r>
        <w:t>κύρια</w:t>
      </w:r>
      <w:r w:rsidRPr="00440289">
        <w:t xml:space="preserve"> </w:t>
      </w:r>
      <w:r>
        <w:t>μέτρα</w:t>
      </w:r>
      <w:r w:rsidRPr="00440289">
        <w:t xml:space="preserve"> </w:t>
      </w:r>
      <w:r>
        <w:t>που</w:t>
      </w:r>
      <w:r w:rsidRPr="00440289">
        <w:t xml:space="preserve"> </w:t>
      </w:r>
      <w:r>
        <w:t>έχουν</w:t>
      </w:r>
      <w:r w:rsidRPr="00440289">
        <w:t xml:space="preserve"> </w:t>
      </w:r>
      <w:r>
        <w:t>προσομοιωθεί</w:t>
      </w:r>
      <w:r w:rsidRPr="00440289">
        <w:t xml:space="preserve"> </w:t>
      </w:r>
      <w:r w:rsidRPr="0098356F">
        <w:t xml:space="preserve">παρουσιάζονται </w:t>
      </w:r>
      <w:r w:rsidR="00CB19EE" w:rsidRPr="0098356F">
        <w:t>παρακάτω</w:t>
      </w:r>
      <w:r w:rsidR="009D0EFA" w:rsidRPr="0098356F">
        <w:t xml:space="preserve"> </w:t>
      </w:r>
      <w:r w:rsidR="00CB19EE" w:rsidRPr="0098356F">
        <w:t>(</w:t>
      </w:r>
      <w:r w:rsidR="009D0EFA" w:rsidRPr="0098356F">
        <w:fldChar w:fldCharType="begin"/>
      </w:r>
      <w:r w:rsidR="009D0EFA" w:rsidRPr="0098356F">
        <w:instrText xml:space="preserve"> REF _Ref150346724 \h  \* MERGEFORMAT </w:instrText>
      </w:r>
      <w:r w:rsidR="009D0EFA" w:rsidRPr="0098356F">
        <w:fldChar w:fldCharType="separate"/>
      </w:r>
      <w:r w:rsidR="00E15678" w:rsidRPr="00E15678">
        <w:t>Πίνακας 3.28</w:t>
      </w:r>
      <w:r w:rsidR="009D0EFA" w:rsidRPr="0098356F">
        <w:fldChar w:fldCharType="end"/>
      </w:r>
      <w:r w:rsidR="009D0EFA" w:rsidRPr="0098356F">
        <w:t>.</w:t>
      </w:r>
      <w:r w:rsidR="00CB19EE" w:rsidRPr="0098356F">
        <w:t>).</w:t>
      </w:r>
    </w:p>
    <w:tbl>
      <w:tblPr>
        <w:tblW w:w="9227"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1750"/>
        <w:gridCol w:w="7477"/>
      </w:tblGrid>
      <w:tr w:rsidR="003E7917" w:rsidRPr="00E8778D" w14:paraId="58D28892" w14:textId="77777777" w:rsidTr="00575FE7">
        <w:trPr>
          <w:cantSplit/>
          <w:jc w:val="center"/>
        </w:trPr>
        <w:tc>
          <w:tcPr>
            <w:tcW w:w="9227" w:type="dxa"/>
            <w:gridSpan w:val="2"/>
            <w:tcBorders>
              <w:top w:val="single" w:sz="2" w:space="0" w:color="A6A6A6" w:themeColor="background1" w:themeShade="A6"/>
              <w:bottom w:val="single" w:sz="2" w:space="0" w:color="A6A6A6" w:themeColor="background1" w:themeShade="A6"/>
            </w:tcBorders>
            <w:shd w:val="clear" w:color="auto" w:fill="D5DCE4"/>
            <w:vAlign w:val="center"/>
          </w:tcPr>
          <w:p w14:paraId="2BEA5BDA" w14:textId="4E3CADB1" w:rsidR="009D0EFA" w:rsidRPr="007A5136" w:rsidRDefault="003E7917" w:rsidP="00E84BB2">
            <w:pPr>
              <w:spacing w:after="0" w:line="276" w:lineRule="auto"/>
              <w:jc w:val="center"/>
              <w:rPr>
                <w:rFonts w:cs="Arial"/>
                <w:b/>
                <w:bCs/>
                <w:color w:val="000000"/>
                <w:sz w:val="18"/>
                <w:szCs w:val="18"/>
              </w:rPr>
            </w:pPr>
            <w:bookmarkStart w:id="640" w:name="_Ref150346724"/>
            <w:bookmarkStart w:id="641" w:name="_Toc214474066"/>
            <w:r w:rsidRPr="007A5136">
              <w:rPr>
                <w:rFonts w:cs="Arial"/>
                <w:b/>
                <w:sz w:val="18"/>
                <w:szCs w:val="18"/>
              </w:rPr>
              <w:t>Πίνακας 3.</w:t>
            </w:r>
            <w:r w:rsidRPr="007A5136">
              <w:rPr>
                <w:rFonts w:cs="Arial"/>
                <w:b/>
                <w:sz w:val="18"/>
                <w:szCs w:val="18"/>
              </w:rPr>
              <w:fldChar w:fldCharType="begin"/>
            </w:r>
            <w:r w:rsidRPr="007A5136">
              <w:rPr>
                <w:rFonts w:cs="Arial"/>
                <w:b/>
                <w:sz w:val="18"/>
                <w:szCs w:val="18"/>
              </w:rPr>
              <w:instrText xml:space="preserve"> SEQ Πίνακας_3. \* ARABIC </w:instrText>
            </w:r>
            <w:r w:rsidRPr="007A5136">
              <w:rPr>
                <w:rFonts w:cs="Arial"/>
                <w:b/>
                <w:sz w:val="18"/>
                <w:szCs w:val="18"/>
              </w:rPr>
              <w:fldChar w:fldCharType="separate"/>
            </w:r>
            <w:r w:rsidR="00E15678">
              <w:rPr>
                <w:rFonts w:cs="Arial"/>
                <w:b/>
                <w:noProof/>
                <w:sz w:val="18"/>
                <w:szCs w:val="18"/>
              </w:rPr>
              <w:t>28</w:t>
            </w:r>
            <w:r w:rsidRPr="007A5136">
              <w:rPr>
                <w:rFonts w:cs="Arial"/>
                <w:b/>
                <w:sz w:val="18"/>
                <w:szCs w:val="18"/>
              </w:rPr>
              <w:fldChar w:fldCharType="end"/>
            </w:r>
            <w:bookmarkEnd w:id="640"/>
            <w:r w:rsidRPr="007A5136">
              <w:rPr>
                <w:rFonts w:cs="Arial"/>
                <w:b/>
                <w:sz w:val="18"/>
                <w:szCs w:val="18"/>
              </w:rPr>
              <w:t xml:space="preserve">.: </w:t>
            </w:r>
            <w:r w:rsidR="009D0EFA" w:rsidRPr="007A5136">
              <w:rPr>
                <w:rFonts w:cs="Arial"/>
                <w:b/>
                <w:bCs/>
                <w:color w:val="000000"/>
                <w:sz w:val="18"/>
                <w:szCs w:val="18"/>
              </w:rPr>
              <w:t>Τα σενάρια για τα οποία έγινε προσομοίωση για την αναδιανεμητική ανάλυση</w:t>
            </w:r>
            <w:bookmarkEnd w:id="641"/>
          </w:p>
        </w:tc>
      </w:tr>
      <w:tr w:rsidR="003E7917" w:rsidRPr="00F6074F" w14:paraId="0CC038C2" w14:textId="77777777" w:rsidTr="00E56E38">
        <w:trPr>
          <w:cantSplit/>
          <w:trHeight w:val="283"/>
          <w:jc w:val="center"/>
        </w:trPr>
        <w:tc>
          <w:tcPr>
            <w:tcW w:w="1750"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1FCE22BB" w14:textId="77777777" w:rsidR="003E7917" w:rsidRPr="00770B0A" w:rsidRDefault="003E7917" w:rsidP="00E84BB2">
            <w:pPr>
              <w:spacing w:after="0" w:line="276" w:lineRule="auto"/>
              <w:ind w:left="-120" w:right="-193"/>
              <w:jc w:val="center"/>
              <w:rPr>
                <w:rFonts w:cs="Arial"/>
                <w:b/>
                <w:bCs/>
                <w:color w:val="000000"/>
                <w:sz w:val="16"/>
                <w:szCs w:val="16"/>
              </w:rPr>
            </w:pPr>
            <w:r w:rsidRPr="00770B0A">
              <w:rPr>
                <w:rFonts w:cs="Arial"/>
                <w:b/>
                <w:bCs/>
                <w:color w:val="000000"/>
                <w:sz w:val="16"/>
                <w:szCs w:val="16"/>
              </w:rPr>
              <w:t>Σενάριο</w:t>
            </w:r>
          </w:p>
        </w:tc>
        <w:tc>
          <w:tcPr>
            <w:tcW w:w="7477"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421723AB" w14:textId="5F674484" w:rsidR="003E7917" w:rsidRPr="00770B0A" w:rsidRDefault="00CD3E7C" w:rsidP="00E84BB2">
            <w:pPr>
              <w:spacing w:after="0" w:line="276" w:lineRule="auto"/>
              <w:ind w:left="-159" w:right="-93"/>
              <w:jc w:val="center"/>
              <w:rPr>
                <w:rFonts w:cs="Arial"/>
                <w:b/>
                <w:bCs/>
                <w:color w:val="000000"/>
                <w:sz w:val="16"/>
                <w:szCs w:val="16"/>
              </w:rPr>
            </w:pPr>
            <w:r>
              <w:rPr>
                <w:rFonts w:cs="Arial"/>
                <w:b/>
                <w:bCs/>
                <w:color w:val="000000"/>
                <w:sz w:val="16"/>
                <w:szCs w:val="16"/>
              </w:rPr>
              <w:t>Παρεμβάσεις</w:t>
            </w:r>
          </w:p>
        </w:tc>
      </w:tr>
      <w:tr w:rsidR="003E7917" w:rsidRPr="00F6074F" w14:paraId="75F0F57D" w14:textId="77777777" w:rsidTr="00E56E38">
        <w:trPr>
          <w:cantSplit/>
          <w:trHeight w:val="227"/>
          <w:jc w:val="center"/>
        </w:trPr>
        <w:tc>
          <w:tcPr>
            <w:tcW w:w="1750" w:type="dxa"/>
            <w:vMerge w:val="restart"/>
            <w:tcBorders>
              <w:top w:val="single" w:sz="2" w:space="0" w:color="A6A6A6" w:themeColor="background1" w:themeShade="A6"/>
            </w:tcBorders>
            <w:shd w:val="clear" w:color="auto" w:fill="F2F2F2" w:themeFill="background1" w:themeFillShade="F2"/>
            <w:vAlign w:val="center"/>
          </w:tcPr>
          <w:p w14:paraId="454E1197" w14:textId="49CBE6A5" w:rsidR="003E7917" w:rsidRPr="00E56E38" w:rsidRDefault="004376C6" w:rsidP="00E84BB2">
            <w:pPr>
              <w:spacing w:after="0" w:line="276" w:lineRule="auto"/>
              <w:jc w:val="center"/>
              <w:rPr>
                <w:rFonts w:cs="Arial"/>
                <w:b/>
                <w:bCs/>
                <w:color w:val="000000"/>
                <w:sz w:val="16"/>
                <w:szCs w:val="16"/>
              </w:rPr>
            </w:pPr>
            <w:r w:rsidRPr="00E56E38">
              <w:rPr>
                <w:rFonts w:cs="Arial"/>
                <w:b/>
                <w:color w:val="000000"/>
                <w:sz w:val="16"/>
                <w:szCs w:val="16"/>
                <w:lang w:val="en-US"/>
              </w:rPr>
              <w:t>2025</w:t>
            </w:r>
            <w:r w:rsidR="00CD3E7C" w:rsidRPr="00E56E38">
              <w:rPr>
                <w:rFonts w:cs="Arial"/>
                <w:b/>
                <w:color w:val="000000"/>
                <w:sz w:val="16"/>
                <w:szCs w:val="16"/>
              </w:rPr>
              <w:t>_αναφορά</w:t>
            </w:r>
          </w:p>
        </w:tc>
        <w:tc>
          <w:tcPr>
            <w:tcW w:w="7477" w:type="dxa"/>
            <w:tcBorders>
              <w:top w:val="single" w:sz="2" w:space="0" w:color="A6A6A6" w:themeColor="background1" w:themeShade="A6"/>
            </w:tcBorders>
            <w:shd w:val="clear" w:color="auto" w:fill="auto"/>
            <w:vAlign w:val="center"/>
          </w:tcPr>
          <w:p w14:paraId="5F05A0A6" w14:textId="34A6308F" w:rsidR="003E7917" w:rsidRPr="00CD3E7C" w:rsidRDefault="00CD3E7C" w:rsidP="003E7D7A">
            <w:pPr>
              <w:pStyle w:val="af0"/>
              <w:spacing w:before="60" w:after="0"/>
              <w:ind w:left="284"/>
              <w:contextualSpacing w:val="0"/>
              <w:rPr>
                <w:rFonts w:ascii="Arial" w:hAnsi="Arial" w:cs="Arial"/>
                <w:b/>
                <w:color w:val="000000"/>
                <w:sz w:val="16"/>
                <w:szCs w:val="16"/>
              </w:rPr>
            </w:pPr>
            <w:r w:rsidRPr="00CD3E7C">
              <w:rPr>
                <w:rFonts w:ascii="Arial" w:hAnsi="Arial" w:cs="Arial"/>
                <w:b/>
                <w:color w:val="000000"/>
                <w:sz w:val="16"/>
                <w:szCs w:val="16"/>
              </w:rPr>
              <w:t>Επιπλέον του σεναρίου 2025_βάση:</w:t>
            </w:r>
          </w:p>
        </w:tc>
      </w:tr>
      <w:tr w:rsidR="003E7917" w:rsidRPr="00F6074F" w14:paraId="0A9EA035" w14:textId="77777777" w:rsidTr="00E56E38">
        <w:trPr>
          <w:cantSplit/>
          <w:trHeight w:val="227"/>
          <w:jc w:val="center"/>
        </w:trPr>
        <w:tc>
          <w:tcPr>
            <w:tcW w:w="1750" w:type="dxa"/>
            <w:vMerge/>
            <w:shd w:val="clear" w:color="auto" w:fill="F2F2F2" w:themeFill="background1" w:themeFillShade="F2"/>
            <w:vAlign w:val="center"/>
          </w:tcPr>
          <w:p w14:paraId="3806BFE9" w14:textId="77777777" w:rsidR="003E7917" w:rsidRPr="00E56E38" w:rsidRDefault="003E7917" w:rsidP="00E84BB2">
            <w:pPr>
              <w:spacing w:after="0" w:line="276" w:lineRule="auto"/>
              <w:jc w:val="left"/>
              <w:rPr>
                <w:rFonts w:cs="Arial"/>
                <w:b/>
                <w:color w:val="000000"/>
                <w:sz w:val="16"/>
                <w:szCs w:val="16"/>
              </w:rPr>
            </w:pPr>
          </w:p>
        </w:tc>
        <w:tc>
          <w:tcPr>
            <w:tcW w:w="7477" w:type="dxa"/>
            <w:shd w:val="clear" w:color="auto" w:fill="auto"/>
            <w:vAlign w:val="center"/>
          </w:tcPr>
          <w:p w14:paraId="75FD1F17" w14:textId="167FDBEA" w:rsidR="003E7917" w:rsidRPr="00575FE7" w:rsidRDefault="00CD3E7C" w:rsidP="00E84BB2">
            <w:pPr>
              <w:pStyle w:val="af0"/>
              <w:numPr>
                <w:ilvl w:val="0"/>
                <w:numId w:val="4"/>
              </w:numPr>
              <w:spacing w:after="0"/>
              <w:ind w:left="284" w:hanging="284"/>
              <w:contextualSpacing w:val="0"/>
              <w:rPr>
                <w:rFonts w:ascii="Arial" w:hAnsi="Arial" w:cs="Arial"/>
                <w:sz w:val="16"/>
                <w:szCs w:val="16"/>
              </w:rPr>
            </w:pPr>
            <w:r w:rsidRPr="00575FE7">
              <w:rPr>
                <w:rFonts w:ascii="Arial" w:eastAsia="Times New Roman" w:hAnsi="Arial" w:cs="Arial"/>
                <w:color w:val="000000"/>
                <w:sz w:val="16"/>
              </w:rPr>
              <w:t>Επιστροφή ενός ενοικίου ετησίως</w:t>
            </w:r>
          </w:p>
        </w:tc>
      </w:tr>
      <w:tr w:rsidR="003E7917" w:rsidRPr="00F6074F" w14:paraId="12930964" w14:textId="77777777" w:rsidTr="00E56E38">
        <w:trPr>
          <w:cantSplit/>
          <w:trHeight w:val="227"/>
          <w:jc w:val="center"/>
        </w:trPr>
        <w:tc>
          <w:tcPr>
            <w:tcW w:w="1750" w:type="dxa"/>
            <w:vMerge/>
            <w:tcBorders>
              <w:bottom w:val="single" w:sz="2" w:space="0" w:color="A6A6A6" w:themeColor="background1" w:themeShade="A6"/>
            </w:tcBorders>
            <w:shd w:val="clear" w:color="auto" w:fill="F2F2F2" w:themeFill="background1" w:themeFillShade="F2"/>
            <w:vAlign w:val="center"/>
          </w:tcPr>
          <w:p w14:paraId="0274C5A2" w14:textId="77777777" w:rsidR="003E7917" w:rsidRPr="00E56E38" w:rsidRDefault="003E7917" w:rsidP="00E84BB2">
            <w:pPr>
              <w:spacing w:after="0" w:line="276" w:lineRule="auto"/>
              <w:jc w:val="left"/>
              <w:rPr>
                <w:rFonts w:cs="Arial"/>
                <w:b/>
                <w:color w:val="000000"/>
                <w:sz w:val="16"/>
                <w:szCs w:val="16"/>
              </w:rPr>
            </w:pPr>
          </w:p>
        </w:tc>
        <w:tc>
          <w:tcPr>
            <w:tcW w:w="7477" w:type="dxa"/>
            <w:tcBorders>
              <w:bottom w:val="single" w:sz="2" w:space="0" w:color="A6A6A6" w:themeColor="background1" w:themeShade="A6"/>
            </w:tcBorders>
            <w:shd w:val="clear" w:color="auto" w:fill="auto"/>
            <w:vAlign w:val="center"/>
          </w:tcPr>
          <w:p w14:paraId="54CE8A0D" w14:textId="4D3F6D7A" w:rsidR="003E7917" w:rsidRPr="00575FE7" w:rsidRDefault="00CD3E7C" w:rsidP="00E84BB2">
            <w:pPr>
              <w:pStyle w:val="af0"/>
              <w:numPr>
                <w:ilvl w:val="0"/>
                <w:numId w:val="4"/>
              </w:numPr>
              <w:spacing w:after="0"/>
              <w:ind w:left="284" w:hanging="284"/>
              <w:contextualSpacing w:val="0"/>
              <w:rPr>
                <w:rFonts w:ascii="Arial" w:hAnsi="Arial" w:cs="Arial"/>
                <w:sz w:val="16"/>
              </w:rPr>
            </w:pPr>
            <w:r w:rsidRPr="00575FE7">
              <w:rPr>
                <w:rFonts w:ascii="Arial" w:hAnsi="Arial" w:cs="Arial"/>
                <w:sz w:val="16"/>
              </w:rPr>
              <w:t>Εφάπαξ ενίσχυση στις ευάλωτες κοινωνικές ομάδες και συγκεκριμένα: (i) άτομα με αναπηρία, (ii) ανασφάλιστοι υπερήλικες, (iii) χαμηλοσυνταξιούχοι</w:t>
            </w:r>
          </w:p>
        </w:tc>
      </w:tr>
      <w:tr w:rsidR="00E56E38" w:rsidRPr="00F6074F" w14:paraId="5369743A" w14:textId="77777777" w:rsidTr="00E56E38">
        <w:trPr>
          <w:cantSplit/>
          <w:trHeight w:val="227"/>
          <w:jc w:val="center"/>
        </w:trPr>
        <w:tc>
          <w:tcPr>
            <w:tcW w:w="1750" w:type="dxa"/>
            <w:vMerge w:val="restart"/>
            <w:tcBorders>
              <w:top w:val="single" w:sz="2" w:space="0" w:color="A6A6A6" w:themeColor="background1" w:themeShade="A6"/>
            </w:tcBorders>
            <w:shd w:val="clear" w:color="auto" w:fill="F2F2F2" w:themeFill="background1" w:themeFillShade="F2"/>
            <w:vAlign w:val="center"/>
          </w:tcPr>
          <w:p w14:paraId="34BDEBCA" w14:textId="6CAC3D14" w:rsidR="00E56E38" w:rsidRPr="00E56E38" w:rsidRDefault="00E56E38" w:rsidP="00E84BB2">
            <w:pPr>
              <w:spacing w:after="0" w:line="276" w:lineRule="auto"/>
              <w:jc w:val="center"/>
              <w:rPr>
                <w:rFonts w:cs="Arial"/>
                <w:b/>
                <w:color w:val="000000"/>
                <w:sz w:val="16"/>
                <w:szCs w:val="16"/>
              </w:rPr>
            </w:pPr>
            <w:r w:rsidRPr="00E56E38">
              <w:rPr>
                <w:rFonts w:cs="Arial"/>
                <w:b/>
                <w:color w:val="000000"/>
                <w:sz w:val="16"/>
                <w:szCs w:val="16"/>
              </w:rPr>
              <w:t>2026_αναφορά</w:t>
            </w:r>
          </w:p>
        </w:tc>
        <w:tc>
          <w:tcPr>
            <w:tcW w:w="7477" w:type="dxa"/>
            <w:tcBorders>
              <w:top w:val="single" w:sz="2" w:space="0" w:color="A6A6A6" w:themeColor="background1" w:themeShade="A6"/>
              <w:bottom w:val="nil"/>
            </w:tcBorders>
            <w:shd w:val="clear" w:color="auto" w:fill="auto"/>
            <w:vAlign w:val="center"/>
          </w:tcPr>
          <w:p w14:paraId="750B73E1" w14:textId="2A51CBB4" w:rsidR="00E56E38" w:rsidRPr="00E56E38" w:rsidRDefault="00E56E38" w:rsidP="003E7D7A">
            <w:pPr>
              <w:pStyle w:val="af0"/>
              <w:spacing w:before="60" w:after="0"/>
              <w:ind w:left="284"/>
              <w:contextualSpacing w:val="0"/>
              <w:rPr>
                <w:rFonts w:ascii="Arial" w:hAnsi="Arial" w:cs="Arial"/>
                <w:b/>
                <w:sz w:val="16"/>
              </w:rPr>
            </w:pPr>
            <w:r w:rsidRPr="00E56E38">
              <w:rPr>
                <w:rFonts w:ascii="Arial" w:hAnsi="Arial" w:cs="Arial"/>
                <w:b/>
                <w:sz w:val="16"/>
              </w:rPr>
              <w:t>Επιπλέον του σεναρίου 2025_αναφορ</w:t>
            </w:r>
            <w:r w:rsidR="00A12A09">
              <w:rPr>
                <w:rFonts w:ascii="Arial" w:hAnsi="Arial" w:cs="Arial"/>
                <w:b/>
                <w:sz w:val="16"/>
              </w:rPr>
              <w:t>ά</w:t>
            </w:r>
            <w:r w:rsidRPr="00E56E38">
              <w:rPr>
                <w:rFonts w:ascii="Arial" w:hAnsi="Arial" w:cs="Arial"/>
                <w:b/>
                <w:sz w:val="16"/>
              </w:rPr>
              <w:t>:</w:t>
            </w:r>
          </w:p>
        </w:tc>
      </w:tr>
      <w:tr w:rsidR="00E56E38" w:rsidRPr="00F6074F" w14:paraId="03B39DB0" w14:textId="77777777" w:rsidTr="00E56E38">
        <w:trPr>
          <w:cantSplit/>
          <w:trHeight w:val="227"/>
          <w:jc w:val="center"/>
        </w:trPr>
        <w:tc>
          <w:tcPr>
            <w:tcW w:w="1750" w:type="dxa"/>
            <w:vMerge/>
            <w:shd w:val="clear" w:color="auto" w:fill="F2F2F2" w:themeFill="background1" w:themeFillShade="F2"/>
            <w:vAlign w:val="center"/>
          </w:tcPr>
          <w:p w14:paraId="1B570EDF" w14:textId="0F668FED" w:rsidR="00E56E38" w:rsidRPr="00770B0A" w:rsidRDefault="00E56E38" w:rsidP="00E84BB2">
            <w:pPr>
              <w:spacing w:after="0" w:line="276" w:lineRule="auto"/>
              <w:jc w:val="center"/>
              <w:rPr>
                <w:rFonts w:cs="Arial"/>
                <w:color w:val="000000"/>
                <w:sz w:val="16"/>
                <w:szCs w:val="16"/>
              </w:rPr>
            </w:pPr>
          </w:p>
        </w:tc>
        <w:tc>
          <w:tcPr>
            <w:tcW w:w="7477" w:type="dxa"/>
            <w:tcBorders>
              <w:top w:val="nil"/>
              <w:bottom w:val="nil"/>
            </w:tcBorders>
            <w:shd w:val="clear" w:color="auto" w:fill="auto"/>
            <w:vAlign w:val="center"/>
          </w:tcPr>
          <w:p w14:paraId="75E23FB9" w14:textId="27EA7508" w:rsidR="00E56E38" w:rsidRPr="00575FE7" w:rsidRDefault="00E56E38" w:rsidP="00E84BB2">
            <w:pPr>
              <w:pStyle w:val="af0"/>
              <w:numPr>
                <w:ilvl w:val="0"/>
                <w:numId w:val="19"/>
              </w:numPr>
              <w:spacing w:after="0"/>
              <w:ind w:left="284" w:hanging="284"/>
              <w:contextualSpacing w:val="0"/>
              <w:rPr>
                <w:rFonts w:ascii="Arial" w:hAnsi="Arial" w:cs="Arial"/>
                <w:sz w:val="16"/>
              </w:rPr>
            </w:pPr>
            <w:r w:rsidRPr="00575FE7">
              <w:rPr>
                <w:rFonts w:ascii="Arial" w:hAnsi="Arial" w:cs="Arial"/>
                <w:sz w:val="16"/>
              </w:rPr>
              <w:t>Νέα κλίμακα για τον φόρο εισοδήματος φυσικών προσώπων</w:t>
            </w:r>
          </w:p>
        </w:tc>
      </w:tr>
      <w:tr w:rsidR="00E56E38" w:rsidRPr="00F6074F" w14:paraId="497DA519" w14:textId="77777777" w:rsidTr="00E424ED">
        <w:trPr>
          <w:cantSplit/>
          <w:trHeight w:val="227"/>
          <w:jc w:val="center"/>
        </w:trPr>
        <w:tc>
          <w:tcPr>
            <w:tcW w:w="1750" w:type="dxa"/>
            <w:vMerge/>
            <w:shd w:val="clear" w:color="auto" w:fill="F2F2F2" w:themeFill="background1" w:themeFillShade="F2"/>
            <w:vAlign w:val="center"/>
          </w:tcPr>
          <w:p w14:paraId="1CB5179F" w14:textId="77777777" w:rsidR="00E56E38" w:rsidRPr="00770B0A" w:rsidRDefault="00E56E38" w:rsidP="00E84BB2">
            <w:pPr>
              <w:spacing w:after="0" w:line="276" w:lineRule="auto"/>
              <w:jc w:val="left"/>
              <w:rPr>
                <w:rFonts w:cs="Arial"/>
                <w:color w:val="000000"/>
                <w:sz w:val="16"/>
                <w:szCs w:val="16"/>
              </w:rPr>
            </w:pPr>
          </w:p>
        </w:tc>
        <w:tc>
          <w:tcPr>
            <w:tcW w:w="7477" w:type="dxa"/>
            <w:tcBorders>
              <w:top w:val="nil"/>
            </w:tcBorders>
            <w:shd w:val="clear" w:color="auto" w:fill="auto"/>
            <w:vAlign w:val="center"/>
          </w:tcPr>
          <w:p w14:paraId="6A57E874" w14:textId="5432C14C" w:rsidR="00E56E38" w:rsidRPr="00575FE7" w:rsidRDefault="00E56E38" w:rsidP="00E84BB2">
            <w:pPr>
              <w:pStyle w:val="af0"/>
              <w:numPr>
                <w:ilvl w:val="0"/>
                <w:numId w:val="19"/>
              </w:numPr>
              <w:spacing w:after="0"/>
              <w:ind w:left="284" w:hanging="284"/>
              <w:contextualSpacing w:val="0"/>
              <w:rPr>
                <w:rFonts w:ascii="Arial" w:hAnsi="Arial" w:cs="Arial"/>
                <w:sz w:val="16"/>
              </w:rPr>
            </w:pPr>
            <w:r w:rsidRPr="00575FE7">
              <w:rPr>
                <w:rFonts w:ascii="Arial" w:hAnsi="Arial" w:cs="Arial"/>
                <w:sz w:val="16"/>
              </w:rPr>
              <w:t>Νέα κλίμακα για τον φόρο εισοδήματος ακινήτων</w:t>
            </w:r>
          </w:p>
        </w:tc>
      </w:tr>
      <w:tr w:rsidR="00E56E38" w:rsidRPr="00F6074F" w14:paraId="12606134" w14:textId="77777777" w:rsidTr="00E424ED">
        <w:trPr>
          <w:cantSplit/>
          <w:trHeight w:val="227"/>
          <w:jc w:val="center"/>
        </w:trPr>
        <w:tc>
          <w:tcPr>
            <w:tcW w:w="1750" w:type="dxa"/>
            <w:vMerge/>
            <w:shd w:val="clear" w:color="auto" w:fill="F2F2F2" w:themeFill="background1" w:themeFillShade="F2"/>
            <w:vAlign w:val="center"/>
          </w:tcPr>
          <w:p w14:paraId="74338CB1" w14:textId="77777777" w:rsidR="00E56E38" w:rsidRPr="00770B0A" w:rsidRDefault="00E56E38" w:rsidP="00E84BB2">
            <w:pPr>
              <w:spacing w:after="0" w:line="276" w:lineRule="auto"/>
              <w:jc w:val="left"/>
              <w:rPr>
                <w:rFonts w:cs="Arial"/>
                <w:color w:val="000000"/>
                <w:sz w:val="16"/>
                <w:szCs w:val="16"/>
              </w:rPr>
            </w:pPr>
          </w:p>
        </w:tc>
        <w:tc>
          <w:tcPr>
            <w:tcW w:w="7477" w:type="dxa"/>
            <w:shd w:val="clear" w:color="auto" w:fill="auto"/>
            <w:vAlign w:val="center"/>
          </w:tcPr>
          <w:p w14:paraId="78A94F9E" w14:textId="59874A20" w:rsidR="00E56E38" w:rsidRPr="00575FE7" w:rsidRDefault="00E56E38" w:rsidP="00E84BB2">
            <w:pPr>
              <w:pStyle w:val="af0"/>
              <w:numPr>
                <w:ilvl w:val="0"/>
                <w:numId w:val="19"/>
              </w:numPr>
              <w:spacing w:after="0"/>
              <w:ind w:left="284" w:hanging="284"/>
              <w:contextualSpacing w:val="0"/>
              <w:rPr>
                <w:rFonts w:ascii="Arial" w:hAnsi="Arial" w:cs="Arial"/>
                <w:sz w:val="16"/>
              </w:rPr>
            </w:pPr>
            <w:r w:rsidRPr="00575FE7">
              <w:rPr>
                <w:rFonts w:ascii="Arial" w:hAnsi="Arial" w:cs="Arial"/>
                <w:sz w:val="16"/>
              </w:rPr>
              <w:t xml:space="preserve">Αύξηση των συντάξεων με βάση τον ρυθμό μεταβολής του ΑΕΠ και του πληθωρισμού καθώς και αναπροσαρμογή των ορίων της </w:t>
            </w:r>
            <w:r w:rsidR="00866CC9">
              <w:rPr>
                <w:rFonts w:ascii="Arial" w:hAnsi="Arial" w:cs="Arial"/>
                <w:sz w:val="16"/>
              </w:rPr>
              <w:t>Ε</w:t>
            </w:r>
            <w:r w:rsidRPr="00575FE7">
              <w:rPr>
                <w:rFonts w:ascii="Arial" w:hAnsi="Arial" w:cs="Arial"/>
                <w:sz w:val="16"/>
              </w:rPr>
              <w:t xml:space="preserve">ισφοράς </w:t>
            </w:r>
            <w:r w:rsidR="00866CC9">
              <w:rPr>
                <w:rFonts w:ascii="Arial" w:hAnsi="Arial" w:cs="Arial"/>
                <w:sz w:val="16"/>
              </w:rPr>
              <w:t>Α</w:t>
            </w:r>
            <w:r w:rsidRPr="00575FE7">
              <w:rPr>
                <w:rFonts w:ascii="Arial" w:hAnsi="Arial" w:cs="Arial"/>
                <w:sz w:val="16"/>
              </w:rPr>
              <w:t xml:space="preserve">λληλεγγύης </w:t>
            </w:r>
            <w:r w:rsidR="00866CC9">
              <w:rPr>
                <w:rFonts w:ascii="Arial" w:hAnsi="Arial" w:cs="Arial"/>
                <w:sz w:val="16"/>
              </w:rPr>
              <w:t>Σ</w:t>
            </w:r>
            <w:r w:rsidRPr="00575FE7">
              <w:rPr>
                <w:rFonts w:ascii="Arial" w:hAnsi="Arial" w:cs="Arial"/>
                <w:sz w:val="16"/>
              </w:rPr>
              <w:t>υνταξιούχων (2,4%)</w:t>
            </w:r>
          </w:p>
        </w:tc>
      </w:tr>
      <w:tr w:rsidR="00E56E38" w:rsidRPr="00F6074F" w14:paraId="5D1E5A1F" w14:textId="77777777" w:rsidTr="00E424ED">
        <w:trPr>
          <w:cantSplit/>
          <w:trHeight w:val="227"/>
          <w:jc w:val="center"/>
        </w:trPr>
        <w:tc>
          <w:tcPr>
            <w:tcW w:w="1750" w:type="dxa"/>
            <w:vMerge/>
            <w:shd w:val="clear" w:color="auto" w:fill="F2F2F2" w:themeFill="background1" w:themeFillShade="F2"/>
            <w:vAlign w:val="center"/>
          </w:tcPr>
          <w:p w14:paraId="167DC4A9" w14:textId="77777777" w:rsidR="00E56E38" w:rsidRPr="00770B0A" w:rsidRDefault="00E56E38" w:rsidP="00E84BB2">
            <w:pPr>
              <w:spacing w:after="0" w:line="276" w:lineRule="auto"/>
              <w:jc w:val="left"/>
              <w:rPr>
                <w:rFonts w:cs="Arial"/>
                <w:color w:val="000000"/>
                <w:sz w:val="16"/>
                <w:szCs w:val="16"/>
              </w:rPr>
            </w:pPr>
          </w:p>
        </w:tc>
        <w:tc>
          <w:tcPr>
            <w:tcW w:w="7477" w:type="dxa"/>
            <w:shd w:val="clear" w:color="auto" w:fill="auto"/>
            <w:vAlign w:val="center"/>
          </w:tcPr>
          <w:p w14:paraId="71EE46C8" w14:textId="4E2AD678" w:rsidR="00E56E38" w:rsidRPr="00575FE7" w:rsidRDefault="00E56E38" w:rsidP="00E84BB2">
            <w:pPr>
              <w:pStyle w:val="af0"/>
              <w:numPr>
                <w:ilvl w:val="0"/>
                <w:numId w:val="19"/>
              </w:numPr>
              <w:spacing w:after="0"/>
              <w:ind w:left="284" w:hanging="284"/>
              <w:contextualSpacing w:val="0"/>
              <w:rPr>
                <w:rFonts w:ascii="Arial" w:hAnsi="Arial" w:cs="Arial"/>
                <w:sz w:val="16"/>
              </w:rPr>
            </w:pPr>
            <w:r w:rsidRPr="00575FE7">
              <w:rPr>
                <w:rFonts w:ascii="Arial" w:hAnsi="Arial" w:cs="Arial"/>
                <w:sz w:val="16"/>
              </w:rPr>
              <w:t>Αύξηση του κατώτατου μισθού και των συνδεδεμένων επιδομάτων ανεργίας και λοιπών επιδομάτων (εκτίμηση βάσει της υπόθεσης για αύξηση της τάξης του 4,5%)</w:t>
            </w:r>
          </w:p>
        </w:tc>
      </w:tr>
      <w:tr w:rsidR="00E56E38" w:rsidRPr="00F6074F" w14:paraId="3D0E4551" w14:textId="77777777" w:rsidTr="00E424ED">
        <w:trPr>
          <w:cantSplit/>
          <w:trHeight w:val="227"/>
          <w:jc w:val="center"/>
        </w:trPr>
        <w:tc>
          <w:tcPr>
            <w:tcW w:w="1750" w:type="dxa"/>
            <w:vMerge/>
            <w:tcBorders>
              <w:bottom w:val="single" w:sz="2" w:space="0" w:color="A6A6A6" w:themeColor="background1" w:themeShade="A6"/>
            </w:tcBorders>
            <w:shd w:val="clear" w:color="auto" w:fill="F2F2F2" w:themeFill="background1" w:themeFillShade="F2"/>
            <w:vAlign w:val="center"/>
          </w:tcPr>
          <w:p w14:paraId="70742DA7" w14:textId="77777777" w:rsidR="00E56E38" w:rsidRPr="00770B0A" w:rsidRDefault="00E56E38" w:rsidP="00E84BB2">
            <w:pPr>
              <w:spacing w:after="0" w:line="276" w:lineRule="auto"/>
              <w:jc w:val="left"/>
              <w:rPr>
                <w:rFonts w:cs="Arial"/>
                <w:color w:val="000000"/>
                <w:sz w:val="16"/>
                <w:szCs w:val="16"/>
              </w:rPr>
            </w:pPr>
          </w:p>
        </w:tc>
        <w:tc>
          <w:tcPr>
            <w:tcW w:w="7477" w:type="dxa"/>
            <w:tcBorders>
              <w:bottom w:val="single" w:sz="2" w:space="0" w:color="A6A6A6" w:themeColor="background1" w:themeShade="A6"/>
            </w:tcBorders>
            <w:shd w:val="clear" w:color="auto" w:fill="auto"/>
            <w:vAlign w:val="center"/>
          </w:tcPr>
          <w:p w14:paraId="34084A11" w14:textId="1BE8FEB0" w:rsidR="00E56E38" w:rsidRPr="00575FE7" w:rsidRDefault="00E56E38" w:rsidP="00E84BB2">
            <w:pPr>
              <w:pStyle w:val="af0"/>
              <w:numPr>
                <w:ilvl w:val="0"/>
                <w:numId w:val="19"/>
              </w:numPr>
              <w:spacing w:after="0"/>
              <w:ind w:left="284" w:hanging="284"/>
              <w:contextualSpacing w:val="0"/>
              <w:rPr>
                <w:rFonts w:ascii="Arial" w:hAnsi="Arial" w:cs="Arial"/>
                <w:sz w:val="16"/>
              </w:rPr>
            </w:pPr>
            <w:r w:rsidRPr="00575FE7">
              <w:rPr>
                <w:rFonts w:ascii="Arial" w:hAnsi="Arial" w:cs="Arial"/>
                <w:sz w:val="16"/>
              </w:rPr>
              <w:t>Αυξήσεις μισθών δημ</w:t>
            </w:r>
            <w:r w:rsidR="00866CC9">
              <w:rPr>
                <w:rFonts w:ascii="Arial" w:hAnsi="Arial" w:cs="Arial"/>
                <w:sz w:val="16"/>
              </w:rPr>
              <w:t>όσι</w:t>
            </w:r>
            <w:r w:rsidRPr="00575FE7">
              <w:rPr>
                <w:rFonts w:ascii="Arial" w:hAnsi="Arial" w:cs="Arial"/>
                <w:sz w:val="16"/>
              </w:rPr>
              <w:t>ου τομέα (ακολουθώντας την αύξηση του κατώτατου μισθού)</w:t>
            </w:r>
          </w:p>
        </w:tc>
      </w:tr>
    </w:tbl>
    <w:p w14:paraId="50E5E475" w14:textId="77777777" w:rsidR="0005299D" w:rsidRDefault="0005299D" w:rsidP="00300BBF">
      <w:pPr>
        <w:pStyle w:val="4"/>
      </w:pPr>
      <w:bookmarkStart w:id="642" w:name="_Toc214473794"/>
      <w:r>
        <w:t>Αποτελέσματα</w:t>
      </w:r>
      <w:bookmarkEnd w:id="642"/>
    </w:p>
    <w:p w14:paraId="53211692" w14:textId="77561F0D" w:rsidR="00921601" w:rsidRDefault="007A5136" w:rsidP="00C52197">
      <w:pPr>
        <w:spacing w:after="240"/>
      </w:pPr>
      <w:r w:rsidRPr="0098356F">
        <w:t>Παρακάτω (</w:t>
      </w:r>
      <w:r w:rsidRPr="0098356F">
        <w:fldChar w:fldCharType="begin"/>
      </w:r>
      <w:r w:rsidRPr="0098356F">
        <w:instrText xml:space="preserve"> REF _Ref150348236 \h  \* MERGEFORMAT </w:instrText>
      </w:r>
      <w:r w:rsidRPr="0098356F">
        <w:fldChar w:fldCharType="separate"/>
      </w:r>
      <w:r w:rsidR="00E15678" w:rsidRPr="00E15678">
        <w:t>Πίνακας 3.29</w:t>
      </w:r>
      <w:r w:rsidRPr="0098356F">
        <w:fldChar w:fldCharType="end"/>
      </w:r>
      <w:r w:rsidRPr="0098356F">
        <w:t>.)</w:t>
      </w:r>
      <w:r w:rsidRPr="0098356F">
        <w:rPr>
          <w:szCs w:val="20"/>
        </w:rPr>
        <w:t xml:space="preserve"> </w:t>
      </w:r>
      <w:r w:rsidRPr="0098356F">
        <w:t>παρουσιάζεται</w:t>
      </w:r>
      <w:r w:rsidRPr="00F17F0A">
        <w:t xml:space="preserve"> </w:t>
      </w:r>
      <w:r>
        <w:t>το</w:t>
      </w:r>
      <w:r w:rsidRPr="00F17F0A">
        <w:t xml:space="preserve"> </w:t>
      </w:r>
      <w:r>
        <w:t>μέσο</w:t>
      </w:r>
      <w:r w:rsidRPr="00F17F0A">
        <w:t xml:space="preserve"> </w:t>
      </w:r>
      <w:r>
        <w:t>ετήσιο</w:t>
      </w:r>
      <w:r w:rsidRPr="00F17F0A">
        <w:t xml:space="preserve"> </w:t>
      </w:r>
      <w:r>
        <w:t>ισοδύναμο</w:t>
      </w:r>
      <w:r w:rsidRPr="00F17F0A">
        <w:t xml:space="preserve"> </w:t>
      </w:r>
      <w:r>
        <w:t>διαθέσιμο εισόδημα (σε ευρώ) ανά δεκατημόριο για το σενάριο βάσης 2025 μαζί με την ποσοστιαία και απόλυτη μεταβολή στα σενάρια προσομοίωσης (2025_αναφορά και 2026_αναφορά)</w:t>
      </w:r>
      <w:r w:rsidR="00A21BE2">
        <w:t>,</w:t>
      </w:r>
      <w:r>
        <w:t xml:space="preserve"> ως απόρροια των δημοσιονομικών παρεμβάσεων. Το</w:t>
      </w:r>
      <w:r w:rsidRPr="005F3698">
        <w:t xml:space="preserve"> </w:t>
      </w:r>
      <w:r>
        <w:t>διαθέσιμο</w:t>
      </w:r>
      <w:r w:rsidRPr="005F3698">
        <w:t xml:space="preserve"> </w:t>
      </w:r>
      <w:r>
        <w:t>εισόδημα</w:t>
      </w:r>
      <w:r w:rsidRPr="005F3698">
        <w:t xml:space="preserve"> </w:t>
      </w:r>
      <w:r>
        <w:t>είναι</w:t>
      </w:r>
      <w:r w:rsidRPr="005F3698">
        <w:t xml:space="preserve"> </w:t>
      </w:r>
      <w:r>
        <w:t>το</w:t>
      </w:r>
      <w:r w:rsidRPr="005F3698">
        <w:t xml:space="preserve"> </w:t>
      </w:r>
      <w:r>
        <w:t>εισόδημα</w:t>
      </w:r>
      <w:r w:rsidRPr="005F3698">
        <w:t xml:space="preserve"> </w:t>
      </w:r>
      <w:r>
        <w:t>που</w:t>
      </w:r>
      <w:r w:rsidRPr="005F3698">
        <w:t xml:space="preserve"> </w:t>
      </w:r>
      <w:r>
        <w:t>έχουν</w:t>
      </w:r>
      <w:r w:rsidRPr="005F3698">
        <w:t xml:space="preserve"> </w:t>
      </w:r>
      <w:r>
        <w:t>τελικά</w:t>
      </w:r>
      <w:r w:rsidRPr="005F3698">
        <w:t xml:space="preserve"> </w:t>
      </w:r>
      <w:r>
        <w:t>διαθέσιμο</w:t>
      </w:r>
      <w:r w:rsidRPr="005F3698">
        <w:t xml:space="preserve"> </w:t>
      </w:r>
      <w:r>
        <w:t>τα</w:t>
      </w:r>
      <w:r w:rsidRPr="005F3698">
        <w:t xml:space="preserve"> </w:t>
      </w:r>
      <w:r>
        <w:t>άτομα</w:t>
      </w:r>
      <w:r w:rsidRPr="005F3698">
        <w:t xml:space="preserve"> </w:t>
      </w:r>
      <w:r>
        <w:t>για</w:t>
      </w:r>
      <w:r w:rsidRPr="005F3698">
        <w:t xml:space="preserve"> </w:t>
      </w:r>
      <w:r>
        <w:t>κατανάλωση</w:t>
      </w:r>
      <w:r w:rsidRPr="005F3698">
        <w:t xml:space="preserve"> </w:t>
      </w:r>
      <w:r>
        <w:t>ή</w:t>
      </w:r>
      <w:r w:rsidRPr="005F3698">
        <w:t xml:space="preserve"> </w:t>
      </w:r>
      <w:r>
        <w:t>αποταμίευση</w:t>
      </w:r>
      <w:r w:rsidRPr="005F3698">
        <w:t xml:space="preserve">, </w:t>
      </w:r>
      <w:r>
        <w:t>δηλαδή μετά από την αφαίρεση των άμεσων φόρων και των ασφαλιστικών εισφορών και μετά από την προσθήκη όποιων πιθανών κοινωνικών μεταβιβάσεων</w:t>
      </w:r>
      <w:r w:rsidRPr="005F3698">
        <w:t xml:space="preserve"> (</w:t>
      </w:r>
      <w:r>
        <w:t>συντάξεις και επιδόματα</w:t>
      </w:r>
      <w:r w:rsidRPr="005F3698">
        <w:t xml:space="preserve">). </w:t>
      </w:r>
      <w:r>
        <w:t>Υποθέτοντας</w:t>
      </w:r>
      <w:r w:rsidRPr="005F3698">
        <w:t xml:space="preserve"> </w:t>
      </w:r>
      <w:r>
        <w:t>ότι</w:t>
      </w:r>
      <w:r w:rsidRPr="005F3698">
        <w:t xml:space="preserve"> </w:t>
      </w:r>
      <w:r>
        <w:t>όλα</w:t>
      </w:r>
      <w:r w:rsidRPr="005F3698">
        <w:t xml:space="preserve"> </w:t>
      </w:r>
      <w:r>
        <w:t>τα</w:t>
      </w:r>
      <w:r w:rsidRPr="005F3698">
        <w:t xml:space="preserve"> </w:t>
      </w:r>
      <w:r>
        <w:t>νοικοκυριά</w:t>
      </w:r>
      <w:r w:rsidRPr="005F3698">
        <w:t xml:space="preserve"> </w:t>
      </w:r>
      <w:r>
        <w:t>συγκεντρώνουν</w:t>
      </w:r>
      <w:r w:rsidRPr="005F3698">
        <w:t xml:space="preserve"> </w:t>
      </w:r>
      <w:r>
        <w:t>τους</w:t>
      </w:r>
      <w:r w:rsidRPr="005F3698">
        <w:t xml:space="preserve"> </w:t>
      </w:r>
      <w:r>
        <w:t>πόρους</w:t>
      </w:r>
      <w:r w:rsidRPr="005F3698">
        <w:t xml:space="preserve"> </w:t>
      </w:r>
      <w:r>
        <w:t>τους</w:t>
      </w:r>
      <w:r w:rsidRPr="005F3698">
        <w:t xml:space="preserve"> </w:t>
      </w:r>
      <w:r>
        <w:t>και</w:t>
      </w:r>
      <w:r w:rsidRPr="005F3698">
        <w:t xml:space="preserve"> </w:t>
      </w:r>
      <w:r>
        <w:t>τους</w:t>
      </w:r>
      <w:r w:rsidRPr="005F3698">
        <w:t xml:space="preserve"> </w:t>
      </w:r>
      <w:r>
        <w:t>κατανέμουν</w:t>
      </w:r>
      <w:r w:rsidRPr="005F3698">
        <w:t xml:space="preserve"> </w:t>
      </w:r>
      <w:r>
        <w:t>ισότιμα</w:t>
      </w:r>
      <w:r w:rsidRPr="005F3698">
        <w:t xml:space="preserve"> </w:t>
      </w:r>
      <w:r>
        <w:t>μεταξύ</w:t>
      </w:r>
      <w:r w:rsidRPr="005F3698">
        <w:t xml:space="preserve"> </w:t>
      </w:r>
      <w:r>
        <w:t>των</w:t>
      </w:r>
      <w:r w:rsidRPr="005F3698">
        <w:t xml:space="preserve"> </w:t>
      </w:r>
      <w:r>
        <w:t>μελών</w:t>
      </w:r>
      <w:r w:rsidRPr="005F3698">
        <w:t xml:space="preserve"> </w:t>
      </w:r>
      <w:r>
        <w:t>τους</w:t>
      </w:r>
      <w:r w:rsidRPr="005F3698">
        <w:t xml:space="preserve">, </w:t>
      </w:r>
      <w:r>
        <w:t>το ισοδύναμο εισόδημα υπολογίζεται με τη χρήση των κλιμακίων ισοδυναμίας του ΟΟΣΑ</w:t>
      </w:r>
      <w:r w:rsidR="00866CC9">
        <w:t xml:space="preserve">, </w:t>
      </w:r>
      <w:r w:rsidR="00847755">
        <w:t>τα οποία</w:t>
      </w:r>
      <w:r>
        <w:t xml:space="preserve"> αποδίδουν συντελεστή βαρύτητας 1 στον πρώτο ενήλικα, 0,5 στους άλλους ενήλικες του νοικοκυριού και 0,3 στα παιδιά </w:t>
      </w:r>
      <w:r w:rsidR="00847755">
        <w:t xml:space="preserve">ηλικίας </w:t>
      </w:r>
      <w:r>
        <w:t>έως 14 ετών.</w:t>
      </w:r>
    </w:p>
    <w:p w14:paraId="7DB452FD" w14:textId="77777777" w:rsidR="00921601" w:rsidRDefault="00921601">
      <w:pPr>
        <w:spacing w:after="0" w:line="240" w:lineRule="auto"/>
        <w:jc w:val="left"/>
      </w:pPr>
      <w:r>
        <w:br w:type="page"/>
      </w:r>
    </w:p>
    <w:tbl>
      <w:tblPr>
        <w:tblStyle w:val="ac"/>
        <w:tblW w:w="850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1417"/>
        <w:gridCol w:w="1417"/>
        <w:gridCol w:w="1417"/>
        <w:gridCol w:w="1418"/>
        <w:gridCol w:w="1417"/>
        <w:gridCol w:w="1418"/>
      </w:tblGrid>
      <w:tr w:rsidR="00845A3F" w:rsidRPr="0028631C" w14:paraId="7DA3EB2F" w14:textId="77777777" w:rsidTr="00DC0D7F">
        <w:trPr>
          <w:cantSplit/>
          <w:jc w:val="center"/>
        </w:trPr>
        <w:tc>
          <w:tcPr>
            <w:tcW w:w="8504" w:type="dxa"/>
            <w:gridSpan w:val="6"/>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tcPr>
          <w:p w14:paraId="2B8AD4A8" w14:textId="5F603FC4" w:rsidR="00DC0D7F" w:rsidRDefault="00845A3F" w:rsidP="00927788">
            <w:pPr>
              <w:spacing w:after="0" w:line="276" w:lineRule="auto"/>
              <w:jc w:val="center"/>
              <w:rPr>
                <w:b/>
                <w:sz w:val="18"/>
                <w:szCs w:val="18"/>
              </w:rPr>
            </w:pPr>
            <w:bookmarkStart w:id="643" w:name="_Ref150348236"/>
            <w:bookmarkStart w:id="644" w:name="_Toc214474067"/>
            <w:r w:rsidRPr="00C550F7">
              <w:rPr>
                <w:b/>
                <w:sz w:val="18"/>
                <w:szCs w:val="18"/>
              </w:rPr>
              <w:lastRenderedPageBreak/>
              <w:t>Πίνακας 3.</w:t>
            </w:r>
            <w:r w:rsidRPr="00C550F7">
              <w:rPr>
                <w:b/>
                <w:sz w:val="18"/>
                <w:szCs w:val="18"/>
              </w:rPr>
              <w:fldChar w:fldCharType="begin"/>
            </w:r>
            <w:r w:rsidRPr="00C550F7">
              <w:rPr>
                <w:b/>
                <w:sz w:val="18"/>
                <w:szCs w:val="18"/>
              </w:rPr>
              <w:instrText xml:space="preserve"> SEQ Πίνακας_3. \* ARABIC </w:instrText>
            </w:r>
            <w:r w:rsidRPr="00C550F7">
              <w:rPr>
                <w:b/>
                <w:sz w:val="18"/>
                <w:szCs w:val="18"/>
              </w:rPr>
              <w:fldChar w:fldCharType="separate"/>
            </w:r>
            <w:r w:rsidR="00E15678">
              <w:rPr>
                <w:b/>
                <w:noProof/>
                <w:sz w:val="18"/>
                <w:szCs w:val="18"/>
              </w:rPr>
              <w:t>29</w:t>
            </w:r>
            <w:r w:rsidRPr="00C550F7">
              <w:rPr>
                <w:b/>
                <w:sz w:val="18"/>
                <w:szCs w:val="18"/>
              </w:rPr>
              <w:fldChar w:fldCharType="end"/>
            </w:r>
            <w:bookmarkEnd w:id="643"/>
            <w:r w:rsidRPr="00C550F7">
              <w:rPr>
                <w:b/>
                <w:sz w:val="18"/>
                <w:szCs w:val="18"/>
              </w:rPr>
              <w:t>.: Μέσο ετήσιο ισοδύναμο διαθέσιμο εισόδημα,</w:t>
            </w:r>
            <w:bookmarkEnd w:id="644"/>
          </w:p>
          <w:p w14:paraId="46E9425E" w14:textId="471F6F70" w:rsidR="00845A3F" w:rsidRPr="0028631C" w:rsidRDefault="00845A3F" w:rsidP="00927788">
            <w:pPr>
              <w:spacing w:after="0" w:line="276" w:lineRule="auto"/>
              <w:jc w:val="center"/>
              <w:rPr>
                <w:b/>
                <w:color w:val="000000" w:themeColor="text1"/>
                <w:sz w:val="18"/>
                <w:szCs w:val="18"/>
                <w:highlight w:val="yellow"/>
              </w:rPr>
            </w:pPr>
            <w:r w:rsidRPr="00C550F7">
              <w:rPr>
                <w:b/>
                <w:sz w:val="18"/>
                <w:szCs w:val="18"/>
              </w:rPr>
              <w:t>ποσοστιαίες και απόλυτες μεταβολές</w:t>
            </w:r>
            <w:r w:rsidR="00DC0D7F" w:rsidRPr="00DC0D7F">
              <w:rPr>
                <w:b/>
                <w:sz w:val="18"/>
                <w:szCs w:val="18"/>
              </w:rPr>
              <w:t xml:space="preserve"> </w:t>
            </w:r>
            <w:r w:rsidRPr="00C550F7">
              <w:rPr>
                <w:b/>
                <w:sz w:val="18"/>
                <w:szCs w:val="18"/>
              </w:rPr>
              <w:t>(ποσά σε ευρώ)</w:t>
            </w:r>
          </w:p>
        </w:tc>
      </w:tr>
      <w:tr w:rsidR="00845A3F" w:rsidRPr="00C550F7" w14:paraId="61E42F22" w14:textId="77777777" w:rsidTr="00DC0D7F">
        <w:trPr>
          <w:cantSplit/>
          <w:jc w:val="center"/>
        </w:trPr>
        <w:tc>
          <w:tcPr>
            <w:tcW w:w="1417" w:type="dxa"/>
            <w:tcBorders>
              <w:top w:val="single" w:sz="2" w:space="0" w:color="A6A6A6" w:themeColor="background1" w:themeShade="A6"/>
              <w:left w:val="single" w:sz="2" w:space="0" w:color="A6A6A6" w:themeColor="background1" w:themeShade="A6"/>
              <w:bottom w:val="nil"/>
            </w:tcBorders>
            <w:shd w:val="clear" w:color="auto" w:fill="F2F2F2" w:themeFill="background1" w:themeFillShade="F2"/>
            <w:vAlign w:val="center"/>
          </w:tcPr>
          <w:p w14:paraId="14825E84" w14:textId="0697473D" w:rsidR="00845A3F" w:rsidRPr="00C550F7" w:rsidRDefault="00845A3F"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Δεκατημόριο</w:t>
            </w:r>
          </w:p>
        </w:tc>
        <w:tc>
          <w:tcPr>
            <w:tcW w:w="1417" w:type="dxa"/>
            <w:tcBorders>
              <w:top w:val="single" w:sz="2" w:space="0" w:color="A6A6A6" w:themeColor="background1" w:themeShade="A6"/>
              <w:bottom w:val="nil"/>
            </w:tcBorders>
            <w:shd w:val="clear" w:color="auto" w:fill="F2F2F2" w:themeFill="background1" w:themeFillShade="F2"/>
            <w:vAlign w:val="center"/>
          </w:tcPr>
          <w:p w14:paraId="6870ABEB" w14:textId="3E22C55B" w:rsidR="00845A3F" w:rsidRPr="00C550F7" w:rsidRDefault="00845A3F"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2025_βάση</w:t>
            </w:r>
          </w:p>
        </w:tc>
        <w:tc>
          <w:tcPr>
            <w:tcW w:w="2835" w:type="dxa"/>
            <w:gridSpan w:val="2"/>
            <w:tcBorders>
              <w:top w:val="single" w:sz="2" w:space="0" w:color="A6A6A6" w:themeColor="background1" w:themeShade="A6"/>
              <w:bottom w:val="nil"/>
            </w:tcBorders>
            <w:shd w:val="clear" w:color="auto" w:fill="F2F2F2" w:themeFill="background1" w:themeFillShade="F2"/>
            <w:vAlign w:val="center"/>
          </w:tcPr>
          <w:p w14:paraId="1E4FC347" w14:textId="08BDDCB2" w:rsidR="00845A3F" w:rsidRPr="00C550F7" w:rsidRDefault="00845A3F"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2025_αναφορά</w:t>
            </w:r>
          </w:p>
        </w:tc>
        <w:tc>
          <w:tcPr>
            <w:tcW w:w="2835" w:type="dxa"/>
            <w:gridSpan w:val="2"/>
            <w:tcBorders>
              <w:top w:val="single" w:sz="2" w:space="0" w:color="A6A6A6" w:themeColor="background1" w:themeShade="A6"/>
              <w:bottom w:val="nil"/>
              <w:right w:val="single" w:sz="2" w:space="0" w:color="A6A6A6" w:themeColor="background1" w:themeShade="A6"/>
            </w:tcBorders>
            <w:shd w:val="clear" w:color="auto" w:fill="F2F2F2" w:themeFill="background1" w:themeFillShade="F2"/>
            <w:vAlign w:val="center"/>
          </w:tcPr>
          <w:p w14:paraId="63056AEF" w14:textId="5F3D9095" w:rsidR="00845A3F" w:rsidRPr="00C550F7" w:rsidRDefault="00845A3F" w:rsidP="00927788">
            <w:pPr>
              <w:spacing w:after="0" w:line="276" w:lineRule="auto"/>
              <w:jc w:val="center"/>
              <w:rPr>
                <w:rFonts w:cs="Arial"/>
                <w:b/>
                <w:color w:val="000000" w:themeColor="text1"/>
                <w:sz w:val="16"/>
                <w:szCs w:val="16"/>
                <w:lang w:val="en-US"/>
              </w:rPr>
            </w:pPr>
            <w:r w:rsidRPr="00C550F7">
              <w:rPr>
                <w:rFonts w:cs="Arial"/>
                <w:b/>
                <w:color w:val="000000" w:themeColor="text1"/>
                <w:sz w:val="16"/>
                <w:szCs w:val="16"/>
              </w:rPr>
              <w:t>2026_αναφορά</w:t>
            </w:r>
          </w:p>
        </w:tc>
      </w:tr>
      <w:tr w:rsidR="00845A3F" w:rsidRPr="00C550F7" w14:paraId="6920DD4D" w14:textId="77777777" w:rsidTr="00DC0D7F">
        <w:trPr>
          <w:cantSplit/>
          <w:jc w:val="center"/>
        </w:trPr>
        <w:tc>
          <w:tcPr>
            <w:tcW w:w="1417" w:type="dxa"/>
            <w:tcBorders>
              <w:top w:val="nil"/>
              <w:left w:val="single" w:sz="2" w:space="0" w:color="A6A6A6" w:themeColor="background1" w:themeShade="A6"/>
              <w:bottom w:val="single" w:sz="2" w:space="0" w:color="A6A6A6" w:themeColor="background1" w:themeShade="A6"/>
            </w:tcBorders>
            <w:shd w:val="clear" w:color="auto" w:fill="F2F2F2" w:themeFill="background1" w:themeFillShade="F2"/>
            <w:vAlign w:val="center"/>
          </w:tcPr>
          <w:p w14:paraId="09F1232A" w14:textId="77777777" w:rsidR="00845A3F" w:rsidRPr="00C550F7" w:rsidRDefault="00845A3F" w:rsidP="00927788">
            <w:pPr>
              <w:spacing w:after="0" w:line="276" w:lineRule="auto"/>
              <w:jc w:val="center"/>
              <w:rPr>
                <w:rFonts w:cs="Arial"/>
                <w:b/>
                <w:color w:val="000000" w:themeColor="text1"/>
                <w:sz w:val="16"/>
                <w:szCs w:val="16"/>
              </w:rPr>
            </w:pPr>
          </w:p>
        </w:tc>
        <w:tc>
          <w:tcPr>
            <w:tcW w:w="1417" w:type="dxa"/>
            <w:tcBorders>
              <w:top w:val="nil"/>
              <w:bottom w:val="single" w:sz="2" w:space="0" w:color="A6A6A6" w:themeColor="background1" w:themeShade="A6"/>
            </w:tcBorders>
            <w:shd w:val="clear" w:color="auto" w:fill="F2F2F2" w:themeFill="background1" w:themeFillShade="F2"/>
            <w:vAlign w:val="center"/>
          </w:tcPr>
          <w:p w14:paraId="02DEC6BF" w14:textId="3D3E60A6" w:rsidR="00845A3F" w:rsidRPr="00C550F7" w:rsidRDefault="00845A3F"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Μέσος</w:t>
            </w:r>
          </w:p>
        </w:tc>
        <w:tc>
          <w:tcPr>
            <w:tcW w:w="1417" w:type="dxa"/>
            <w:tcBorders>
              <w:top w:val="nil"/>
              <w:bottom w:val="single" w:sz="2" w:space="0" w:color="A6A6A6" w:themeColor="background1" w:themeShade="A6"/>
            </w:tcBorders>
            <w:shd w:val="clear" w:color="auto" w:fill="F2F2F2" w:themeFill="background1" w:themeFillShade="F2"/>
            <w:vAlign w:val="center"/>
          </w:tcPr>
          <w:p w14:paraId="57C21669" w14:textId="64F376C9" w:rsidR="00845A3F" w:rsidRPr="00C550F7" w:rsidRDefault="00845A3F"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Απόλυτη μεταβολή</w:t>
            </w:r>
          </w:p>
        </w:tc>
        <w:tc>
          <w:tcPr>
            <w:tcW w:w="1418" w:type="dxa"/>
            <w:tcBorders>
              <w:top w:val="nil"/>
              <w:bottom w:val="single" w:sz="2" w:space="0" w:color="A6A6A6" w:themeColor="background1" w:themeShade="A6"/>
            </w:tcBorders>
            <w:shd w:val="clear" w:color="auto" w:fill="F2F2F2" w:themeFill="background1" w:themeFillShade="F2"/>
            <w:vAlign w:val="center"/>
          </w:tcPr>
          <w:p w14:paraId="18FB5D3F" w14:textId="04C768D0" w:rsidR="00845A3F" w:rsidRPr="00C550F7" w:rsidRDefault="00845A3F"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Ποσοστιαία μεταβολή</w:t>
            </w:r>
          </w:p>
        </w:tc>
        <w:tc>
          <w:tcPr>
            <w:tcW w:w="1417" w:type="dxa"/>
            <w:tcBorders>
              <w:top w:val="nil"/>
              <w:bottom w:val="single" w:sz="2" w:space="0" w:color="A6A6A6" w:themeColor="background1" w:themeShade="A6"/>
            </w:tcBorders>
            <w:shd w:val="clear" w:color="auto" w:fill="F2F2F2" w:themeFill="background1" w:themeFillShade="F2"/>
            <w:vAlign w:val="center"/>
          </w:tcPr>
          <w:p w14:paraId="377B419D" w14:textId="750341AC" w:rsidR="00845A3F" w:rsidRPr="00C550F7" w:rsidRDefault="00845A3F"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Απόλυτη μεταβολή</w:t>
            </w:r>
          </w:p>
        </w:tc>
        <w:tc>
          <w:tcPr>
            <w:tcW w:w="1418" w:type="dxa"/>
            <w:tcBorders>
              <w:top w:val="nil"/>
              <w:bottom w:val="single" w:sz="2" w:space="0" w:color="A6A6A6" w:themeColor="background1" w:themeShade="A6"/>
              <w:right w:val="single" w:sz="2" w:space="0" w:color="A6A6A6" w:themeColor="background1" w:themeShade="A6"/>
            </w:tcBorders>
            <w:shd w:val="clear" w:color="auto" w:fill="F2F2F2" w:themeFill="background1" w:themeFillShade="F2"/>
            <w:vAlign w:val="center"/>
          </w:tcPr>
          <w:p w14:paraId="0E90EEAB" w14:textId="64371CB6" w:rsidR="00845A3F" w:rsidRPr="00C550F7" w:rsidRDefault="00845A3F"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Ποσοστιαία μεταβολή</w:t>
            </w:r>
          </w:p>
        </w:tc>
      </w:tr>
      <w:tr w:rsidR="00C550F7" w:rsidRPr="00C550F7" w14:paraId="04CFB00C" w14:textId="77777777" w:rsidTr="006A61CA">
        <w:trPr>
          <w:cantSplit/>
          <w:jc w:val="center"/>
        </w:trPr>
        <w:tc>
          <w:tcPr>
            <w:tcW w:w="1417" w:type="dxa"/>
            <w:tcBorders>
              <w:top w:val="single" w:sz="2" w:space="0" w:color="A6A6A6" w:themeColor="background1" w:themeShade="A6"/>
              <w:left w:val="single" w:sz="2" w:space="0" w:color="A6A6A6" w:themeColor="background1" w:themeShade="A6"/>
              <w:bottom w:val="nil"/>
            </w:tcBorders>
            <w:vAlign w:val="center"/>
          </w:tcPr>
          <w:p w14:paraId="2CD6C23E" w14:textId="455B2A0D"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1</w:t>
            </w:r>
          </w:p>
        </w:tc>
        <w:tc>
          <w:tcPr>
            <w:tcW w:w="1417" w:type="dxa"/>
            <w:tcBorders>
              <w:top w:val="single" w:sz="2" w:space="0" w:color="A6A6A6" w:themeColor="background1" w:themeShade="A6"/>
              <w:bottom w:val="nil"/>
            </w:tcBorders>
            <w:vAlign w:val="center"/>
          </w:tcPr>
          <w:p w14:paraId="45E6943F" w14:textId="419A0766"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3.959</w:t>
            </w:r>
          </w:p>
        </w:tc>
        <w:tc>
          <w:tcPr>
            <w:tcW w:w="1417" w:type="dxa"/>
            <w:tcBorders>
              <w:top w:val="single" w:sz="2" w:space="0" w:color="A6A6A6" w:themeColor="background1" w:themeShade="A6"/>
              <w:bottom w:val="nil"/>
            </w:tcBorders>
            <w:vAlign w:val="center"/>
          </w:tcPr>
          <w:p w14:paraId="52648D67" w14:textId="4D1ABB88"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75</w:t>
            </w:r>
          </w:p>
        </w:tc>
        <w:tc>
          <w:tcPr>
            <w:tcW w:w="1418" w:type="dxa"/>
            <w:tcBorders>
              <w:top w:val="single" w:sz="2" w:space="0" w:color="A6A6A6" w:themeColor="background1" w:themeShade="A6"/>
              <w:bottom w:val="nil"/>
            </w:tcBorders>
            <w:vAlign w:val="center"/>
          </w:tcPr>
          <w:p w14:paraId="507A0F56" w14:textId="46BAA391"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1,88</w:t>
            </w:r>
          </w:p>
        </w:tc>
        <w:tc>
          <w:tcPr>
            <w:tcW w:w="1417" w:type="dxa"/>
            <w:tcBorders>
              <w:top w:val="single" w:sz="2" w:space="0" w:color="A6A6A6" w:themeColor="background1" w:themeShade="A6"/>
              <w:bottom w:val="nil"/>
            </w:tcBorders>
            <w:vAlign w:val="center"/>
          </w:tcPr>
          <w:p w14:paraId="39D218EB" w14:textId="2F136EC7"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152</w:t>
            </w:r>
          </w:p>
        </w:tc>
        <w:tc>
          <w:tcPr>
            <w:tcW w:w="1418" w:type="dxa"/>
            <w:tcBorders>
              <w:top w:val="single" w:sz="2" w:space="0" w:color="A6A6A6" w:themeColor="background1" w:themeShade="A6"/>
              <w:bottom w:val="nil"/>
              <w:right w:val="single" w:sz="2" w:space="0" w:color="A6A6A6" w:themeColor="background1" w:themeShade="A6"/>
            </w:tcBorders>
            <w:vAlign w:val="center"/>
          </w:tcPr>
          <w:p w14:paraId="4C12B5A7" w14:textId="0175A017"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3,83</w:t>
            </w:r>
          </w:p>
        </w:tc>
      </w:tr>
      <w:tr w:rsidR="00C550F7" w:rsidRPr="00C550F7" w14:paraId="720ABD35" w14:textId="77777777" w:rsidTr="006A61CA">
        <w:trPr>
          <w:cantSplit/>
          <w:jc w:val="center"/>
        </w:trPr>
        <w:tc>
          <w:tcPr>
            <w:tcW w:w="1417" w:type="dxa"/>
            <w:tcBorders>
              <w:top w:val="nil"/>
              <w:left w:val="single" w:sz="2" w:space="0" w:color="A6A6A6" w:themeColor="background1" w:themeShade="A6"/>
              <w:bottom w:val="nil"/>
            </w:tcBorders>
            <w:vAlign w:val="center"/>
          </w:tcPr>
          <w:p w14:paraId="2EA170D0" w14:textId="5569105C"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2</w:t>
            </w:r>
          </w:p>
        </w:tc>
        <w:tc>
          <w:tcPr>
            <w:tcW w:w="1417" w:type="dxa"/>
            <w:tcBorders>
              <w:top w:val="nil"/>
              <w:bottom w:val="nil"/>
            </w:tcBorders>
            <w:vAlign w:val="center"/>
          </w:tcPr>
          <w:p w14:paraId="027194BD" w14:textId="2C8C86D0"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6.397</w:t>
            </w:r>
          </w:p>
        </w:tc>
        <w:tc>
          <w:tcPr>
            <w:tcW w:w="1417" w:type="dxa"/>
            <w:tcBorders>
              <w:top w:val="nil"/>
              <w:bottom w:val="nil"/>
            </w:tcBorders>
            <w:vAlign w:val="center"/>
          </w:tcPr>
          <w:p w14:paraId="47D468EC" w14:textId="261CAEFC"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96</w:t>
            </w:r>
          </w:p>
        </w:tc>
        <w:tc>
          <w:tcPr>
            <w:tcW w:w="1418" w:type="dxa"/>
            <w:tcBorders>
              <w:top w:val="nil"/>
              <w:bottom w:val="nil"/>
            </w:tcBorders>
            <w:vAlign w:val="center"/>
          </w:tcPr>
          <w:p w14:paraId="41F077DB" w14:textId="0121C59A"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1,50</w:t>
            </w:r>
          </w:p>
        </w:tc>
        <w:tc>
          <w:tcPr>
            <w:tcW w:w="1417" w:type="dxa"/>
            <w:tcBorders>
              <w:top w:val="nil"/>
              <w:bottom w:val="nil"/>
            </w:tcBorders>
            <w:vAlign w:val="center"/>
          </w:tcPr>
          <w:p w14:paraId="5A63BA79" w14:textId="656F0C32"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258</w:t>
            </w:r>
          </w:p>
        </w:tc>
        <w:tc>
          <w:tcPr>
            <w:tcW w:w="1418" w:type="dxa"/>
            <w:tcBorders>
              <w:top w:val="nil"/>
              <w:bottom w:val="nil"/>
              <w:right w:val="single" w:sz="2" w:space="0" w:color="A6A6A6" w:themeColor="background1" w:themeShade="A6"/>
            </w:tcBorders>
            <w:vAlign w:val="center"/>
          </w:tcPr>
          <w:p w14:paraId="3EF5AD6B" w14:textId="188B4FA6"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4,03</w:t>
            </w:r>
          </w:p>
        </w:tc>
      </w:tr>
      <w:tr w:rsidR="00C550F7" w:rsidRPr="00C550F7" w14:paraId="4D6F3F1B" w14:textId="77777777" w:rsidTr="006A61CA">
        <w:trPr>
          <w:cantSplit/>
          <w:jc w:val="center"/>
        </w:trPr>
        <w:tc>
          <w:tcPr>
            <w:tcW w:w="1417" w:type="dxa"/>
            <w:tcBorders>
              <w:top w:val="nil"/>
              <w:left w:val="single" w:sz="2" w:space="0" w:color="A6A6A6" w:themeColor="background1" w:themeShade="A6"/>
              <w:bottom w:val="nil"/>
            </w:tcBorders>
            <w:vAlign w:val="center"/>
          </w:tcPr>
          <w:p w14:paraId="21098434" w14:textId="3AA578E2"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3</w:t>
            </w:r>
          </w:p>
        </w:tc>
        <w:tc>
          <w:tcPr>
            <w:tcW w:w="1417" w:type="dxa"/>
            <w:tcBorders>
              <w:top w:val="nil"/>
              <w:bottom w:val="nil"/>
            </w:tcBorders>
            <w:vAlign w:val="center"/>
          </w:tcPr>
          <w:p w14:paraId="052192BD" w14:textId="0B3F9405"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7.805</w:t>
            </w:r>
          </w:p>
        </w:tc>
        <w:tc>
          <w:tcPr>
            <w:tcW w:w="1417" w:type="dxa"/>
            <w:tcBorders>
              <w:top w:val="nil"/>
              <w:bottom w:val="nil"/>
            </w:tcBorders>
            <w:vAlign w:val="center"/>
          </w:tcPr>
          <w:p w14:paraId="74B4612C" w14:textId="211E43E2"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108</w:t>
            </w:r>
          </w:p>
        </w:tc>
        <w:tc>
          <w:tcPr>
            <w:tcW w:w="1418" w:type="dxa"/>
            <w:tcBorders>
              <w:top w:val="nil"/>
              <w:bottom w:val="nil"/>
            </w:tcBorders>
            <w:vAlign w:val="center"/>
          </w:tcPr>
          <w:p w14:paraId="574239CC" w14:textId="07A642D8"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1,39</w:t>
            </w:r>
          </w:p>
        </w:tc>
        <w:tc>
          <w:tcPr>
            <w:tcW w:w="1417" w:type="dxa"/>
            <w:tcBorders>
              <w:top w:val="nil"/>
              <w:bottom w:val="nil"/>
            </w:tcBorders>
            <w:vAlign w:val="center"/>
          </w:tcPr>
          <w:p w14:paraId="740719F3" w14:textId="3B8AD364"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363</w:t>
            </w:r>
          </w:p>
        </w:tc>
        <w:tc>
          <w:tcPr>
            <w:tcW w:w="1418" w:type="dxa"/>
            <w:tcBorders>
              <w:top w:val="nil"/>
              <w:bottom w:val="nil"/>
              <w:right w:val="single" w:sz="2" w:space="0" w:color="A6A6A6" w:themeColor="background1" w:themeShade="A6"/>
            </w:tcBorders>
            <w:vAlign w:val="center"/>
          </w:tcPr>
          <w:p w14:paraId="4F7B6F72" w14:textId="337B5D1C"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4,65</w:t>
            </w:r>
          </w:p>
        </w:tc>
      </w:tr>
      <w:tr w:rsidR="00C550F7" w:rsidRPr="00C550F7" w14:paraId="6A6B0D1C" w14:textId="77777777" w:rsidTr="006A61CA">
        <w:trPr>
          <w:cantSplit/>
          <w:jc w:val="center"/>
        </w:trPr>
        <w:tc>
          <w:tcPr>
            <w:tcW w:w="1417" w:type="dxa"/>
            <w:tcBorders>
              <w:top w:val="nil"/>
              <w:left w:val="single" w:sz="2" w:space="0" w:color="A6A6A6" w:themeColor="background1" w:themeShade="A6"/>
              <w:bottom w:val="nil"/>
            </w:tcBorders>
            <w:vAlign w:val="center"/>
          </w:tcPr>
          <w:p w14:paraId="3FD4CEB8" w14:textId="791B394F"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4</w:t>
            </w:r>
          </w:p>
        </w:tc>
        <w:tc>
          <w:tcPr>
            <w:tcW w:w="1417" w:type="dxa"/>
            <w:tcBorders>
              <w:top w:val="nil"/>
              <w:bottom w:val="nil"/>
            </w:tcBorders>
            <w:vAlign w:val="center"/>
          </w:tcPr>
          <w:p w14:paraId="620B2F80" w14:textId="42ABF5EB"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9.150</w:t>
            </w:r>
          </w:p>
        </w:tc>
        <w:tc>
          <w:tcPr>
            <w:tcW w:w="1417" w:type="dxa"/>
            <w:tcBorders>
              <w:top w:val="nil"/>
              <w:bottom w:val="nil"/>
            </w:tcBorders>
            <w:vAlign w:val="center"/>
          </w:tcPr>
          <w:p w14:paraId="03F43BBA" w14:textId="5A0621B8"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106</w:t>
            </w:r>
          </w:p>
        </w:tc>
        <w:tc>
          <w:tcPr>
            <w:tcW w:w="1418" w:type="dxa"/>
            <w:tcBorders>
              <w:top w:val="nil"/>
              <w:bottom w:val="nil"/>
            </w:tcBorders>
            <w:vAlign w:val="center"/>
          </w:tcPr>
          <w:p w14:paraId="5AE410D3" w14:textId="105F1E28"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1,15</w:t>
            </w:r>
          </w:p>
        </w:tc>
        <w:tc>
          <w:tcPr>
            <w:tcW w:w="1417" w:type="dxa"/>
            <w:tcBorders>
              <w:top w:val="nil"/>
              <w:bottom w:val="nil"/>
            </w:tcBorders>
            <w:vAlign w:val="center"/>
          </w:tcPr>
          <w:p w14:paraId="622A265A" w14:textId="4F4456A4"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396</w:t>
            </w:r>
          </w:p>
        </w:tc>
        <w:tc>
          <w:tcPr>
            <w:tcW w:w="1418" w:type="dxa"/>
            <w:tcBorders>
              <w:top w:val="nil"/>
              <w:bottom w:val="nil"/>
              <w:right w:val="single" w:sz="2" w:space="0" w:color="A6A6A6" w:themeColor="background1" w:themeShade="A6"/>
            </w:tcBorders>
            <w:vAlign w:val="center"/>
          </w:tcPr>
          <w:p w14:paraId="060E3745" w14:textId="1EAFDD4B"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4,33</w:t>
            </w:r>
          </w:p>
        </w:tc>
      </w:tr>
      <w:tr w:rsidR="00C550F7" w:rsidRPr="00C550F7" w14:paraId="1A54903E" w14:textId="77777777" w:rsidTr="006A61CA">
        <w:trPr>
          <w:cantSplit/>
          <w:jc w:val="center"/>
        </w:trPr>
        <w:tc>
          <w:tcPr>
            <w:tcW w:w="1417" w:type="dxa"/>
            <w:tcBorders>
              <w:top w:val="nil"/>
              <w:left w:val="single" w:sz="2" w:space="0" w:color="A6A6A6" w:themeColor="background1" w:themeShade="A6"/>
              <w:bottom w:val="nil"/>
            </w:tcBorders>
            <w:vAlign w:val="center"/>
          </w:tcPr>
          <w:p w14:paraId="27E2CA1C" w14:textId="24728948"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5</w:t>
            </w:r>
          </w:p>
        </w:tc>
        <w:tc>
          <w:tcPr>
            <w:tcW w:w="1417" w:type="dxa"/>
            <w:tcBorders>
              <w:top w:val="nil"/>
              <w:bottom w:val="nil"/>
            </w:tcBorders>
            <w:vAlign w:val="center"/>
          </w:tcPr>
          <w:p w14:paraId="42704CF8" w14:textId="5E6B0C2A"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10.494</w:t>
            </w:r>
          </w:p>
        </w:tc>
        <w:tc>
          <w:tcPr>
            <w:tcW w:w="1417" w:type="dxa"/>
            <w:tcBorders>
              <w:top w:val="nil"/>
              <w:bottom w:val="nil"/>
            </w:tcBorders>
            <w:vAlign w:val="center"/>
          </w:tcPr>
          <w:p w14:paraId="6C544A86" w14:textId="4BBE92A1"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94</w:t>
            </w:r>
          </w:p>
        </w:tc>
        <w:tc>
          <w:tcPr>
            <w:tcW w:w="1418" w:type="dxa"/>
            <w:tcBorders>
              <w:top w:val="nil"/>
              <w:bottom w:val="nil"/>
            </w:tcBorders>
            <w:vAlign w:val="center"/>
          </w:tcPr>
          <w:p w14:paraId="4547A9C9" w14:textId="2C14A0AA"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0,89</w:t>
            </w:r>
          </w:p>
        </w:tc>
        <w:tc>
          <w:tcPr>
            <w:tcW w:w="1417" w:type="dxa"/>
            <w:tcBorders>
              <w:top w:val="nil"/>
              <w:bottom w:val="nil"/>
            </w:tcBorders>
            <w:vAlign w:val="center"/>
          </w:tcPr>
          <w:p w14:paraId="694593CB" w14:textId="0EBB28EC"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496</w:t>
            </w:r>
          </w:p>
        </w:tc>
        <w:tc>
          <w:tcPr>
            <w:tcW w:w="1418" w:type="dxa"/>
            <w:tcBorders>
              <w:top w:val="nil"/>
              <w:bottom w:val="nil"/>
              <w:right w:val="single" w:sz="2" w:space="0" w:color="A6A6A6" w:themeColor="background1" w:themeShade="A6"/>
            </w:tcBorders>
            <w:vAlign w:val="center"/>
          </w:tcPr>
          <w:p w14:paraId="2D43BA73" w14:textId="5BC94778"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4,72</w:t>
            </w:r>
          </w:p>
        </w:tc>
      </w:tr>
      <w:tr w:rsidR="00C550F7" w:rsidRPr="00C550F7" w14:paraId="09DFAA95" w14:textId="77777777" w:rsidTr="006A61CA">
        <w:trPr>
          <w:cantSplit/>
          <w:jc w:val="center"/>
        </w:trPr>
        <w:tc>
          <w:tcPr>
            <w:tcW w:w="1417" w:type="dxa"/>
            <w:tcBorders>
              <w:top w:val="nil"/>
              <w:left w:val="single" w:sz="2" w:space="0" w:color="A6A6A6" w:themeColor="background1" w:themeShade="A6"/>
              <w:bottom w:val="nil"/>
            </w:tcBorders>
            <w:vAlign w:val="center"/>
          </w:tcPr>
          <w:p w14:paraId="0DC52FC5" w14:textId="5909531D"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6</w:t>
            </w:r>
          </w:p>
        </w:tc>
        <w:tc>
          <w:tcPr>
            <w:tcW w:w="1417" w:type="dxa"/>
            <w:tcBorders>
              <w:top w:val="nil"/>
              <w:bottom w:val="nil"/>
            </w:tcBorders>
            <w:vAlign w:val="center"/>
          </w:tcPr>
          <w:p w14:paraId="60C655EE" w14:textId="33719F74"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11.902</w:t>
            </w:r>
          </w:p>
        </w:tc>
        <w:tc>
          <w:tcPr>
            <w:tcW w:w="1417" w:type="dxa"/>
            <w:tcBorders>
              <w:top w:val="nil"/>
              <w:bottom w:val="nil"/>
            </w:tcBorders>
            <w:vAlign w:val="center"/>
          </w:tcPr>
          <w:p w14:paraId="5A3DD8FD" w14:textId="28FEFD42"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96</w:t>
            </w:r>
          </w:p>
        </w:tc>
        <w:tc>
          <w:tcPr>
            <w:tcW w:w="1418" w:type="dxa"/>
            <w:tcBorders>
              <w:top w:val="nil"/>
              <w:bottom w:val="nil"/>
            </w:tcBorders>
            <w:vAlign w:val="center"/>
          </w:tcPr>
          <w:p w14:paraId="3D2723AA" w14:textId="2E645776"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0,80</w:t>
            </w:r>
          </w:p>
        </w:tc>
        <w:tc>
          <w:tcPr>
            <w:tcW w:w="1417" w:type="dxa"/>
            <w:tcBorders>
              <w:top w:val="nil"/>
              <w:bottom w:val="nil"/>
            </w:tcBorders>
            <w:vAlign w:val="center"/>
          </w:tcPr>
          <w:p w14:paraId="33DB8299" w14:textId="043B8B77"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493</w:t>
            </w:r>
          </w:p>
        </w:tc>
        <w:tc>
          <w:tcPr>
            <w:tcW w:w="1418" w:type="dxa"/>
            <w:tcBorders>
              <w:top w:val="nil"/>
              <w:bottom w:val="nil"/>
              <w:right w:val="single" w:sz="2" w:space="0" w:color="A6A6A6" w:themeColor="background1" w:themeShade="A6"/>
            </w:tcBorders>
            <w:vAlign w:val="center"/>
          </w:tcPr>
          <w:p w14:paraId="072DFA15" w14:textId="53C7B826"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4,14</w:t>
            </w:r>
          </w:p>
        </w:tc>
      </w:tr>
      <w:tr w:rsidR="00C550F7" w:rsidRPr="00C550F7" w14:paraId="3162DF80" w14:textId="77777777" w:rsidTr="006A61CA">
        <w:trPr>
          <w:cantSplit/>
          <w:jc w:val="center"/>
        </w:trPr>
        <w:tc>
          <w:tcPr>
            <w:tcW w:w="1417" w:type="dxa"/>
            <w:tcBorders>
              <w:top w:val="nil"/>
              <w:left w:val="single" w:sz="2" w:space="0" w:color="A6A6A6" w:themeColor="background1" w:themeShade="A6"/>
              <w:bottom w:val="nil"/>
            </w:tcBorders>
            <w:vAlign w:val="center"/>
          </w:tcPr>
          <w:p w14:paraId="37959F78" w14:textId="55C67612"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7</w:t>
            </w:r>
          </w:p>
        </w:tc>
        <w:tc>
          <w:tcPr>
            <w:tcW w:w="1417" w:type="dxa"/>
            <w:tcBorders>
              <w:top w:val="nil"/>
              <w:bottom w:val="nil"/>
            </w:tcBorders>
            <w:vAlign w:val="center"/>
          </w:tcPr>
          <w:p w14:paraId="0213967D" w14:textId="7D861D20"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13.599</w:t>
            </w:r>
          </w:p>
        </w:tc>
        <w:tc>
          <w:tcPr>
            <w:tcW w:w="1417" w:type="dxa"/>
            <w:tcBorders>
              <w:top w:val="nil"/>
              <w:bottom w:val="nil"/>
            </w:tcBorders>
            <w:vAlign w:val="center"/>
          </w:tcPr>
          <w:p w14:paraId="314AFE25" w14:textId="1D185488"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89</w:t>
            </w:r>
          </w:p>
        </w:tc>
        <w:tc>
          <w:tcPr>
            <w:tcW w:w="1418" w:type="dxa"/>
            <w:tcBorders>
              <w:top w:val="nil"/>
              <w:bottom w:val="nil"/>
            </w:tcBorders>
            <w:vAlign w:val="center"/>
          </w:tcPr>
          <w:p w14:paraId="2EEA9622" w14:textId="5A7C26D0"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0,66</w:t>
            </w:r>
          </w:p>
        </w:tc>
        <w:tc>
          <w:tcPr>
            <w:tcW w:w="1417" w:type="dxa"/>
            <w:tcBorders>
              <w:top w:val="nil"/>
              <w:bottom w:val="nil"/>
            </w:tcBorders>
            <w:vAlign w:val="center"/>
          </w:tcPr>
          <w:p w14:paraId="4480EF5C" w14:textId="59A4E3A2"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606</w:t>
            </w:r>
          </w:p>
        </w:tc>
        <w:tc>
          <w:tcPr>
            <w:tcW w:w="1418" w:type="dxa"/>
            <w:tcBorders>
              <w:top w:val="nil"/>
              <w:bottom w:val="nil"/>
              <w:right w:val="single" w:sz="2" w:space="0" w:color="A6A6A6" w:themeColor="background1" w:themeShade="A6"/>
            </w:tcBorders>
            <w:vAlign w:val="center"/>
          </w:tcPr>
          <w:p w14:paraId="216B6DE0" w14:textId="2FF05B07"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4,46</w:t>
            </w:r>
          </w:p>
        </w:tc>
      </w:tr>
      <w:tr w:rsidR="00C550F7" w:rsidRPr="00C550F7" w14:paraId="3C8437F0" w14:textId="77777777" w:rsidTr="006A61CA">
        <w:trPr>
          <w:cantSplit/>
          <w:jc w:val="center"/>
        </w:trPr>
        <w:tc>
          <w:tcPr>
            <w:tcW w:w="1417" w:type="dxa"/>
            <w:tcBorders>
              <w:top w:val="nil"/>
              <w:left w:val="single" w:sz="2" w:space="0" w:color="A6A6A6" w:themeColor="background1" w:themeShade="A6"/>
              <w:bottom w:val="nil"/>
            </w:tcBorders>
            <w:vAlign w:val="center"/>
          </w:tcPr>
          <w:p w14:paraId="75795CA1" w14:textId="3762B9AC"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8</w:t>
            </w:r>
          </w:p>
        </w:tc>
        <w:tc>
          <w:tcPr>
            <w:tcW w:w="1417" w:type="dxa"/>
            <w:tcBorders>
              <w:top w:val="nil"/>
              <w:bottom w:val="nil"/>
            </w:tcBorders>
            <w:vAlign w:val="center"/>
          </w:tcPr>
          <w:p w14:paraId="4BE37B88" w14:textId="789BCE80"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15.671</w:t>
            </w:r>
          </w:p>
        </w:tc>
        <w:tc>
          <w:tcPr>
            <w:tcW w:w="1417" w:type="dxa"/>
            <w:tcBorders>
              <w:top w:val="nil"/>
              <w:bottom w:val="nil"/>
            </w:tcBorders>
            <w:vAlign w:val="center"/>
          </w:tcPr>
          <w:p w14:paraId="3FD27354" w14:textId="0C4DF904"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72</w:t>
            </w:r>
          </w:p>
        </w:tc>
        <w:tc>
          <w:tcPr>
            <w:tcW w:w="1418" w:type="dxa"/>
            <w:tcBorders>
              <w:top w:val="nil"/>
              <w:bottom w:val="nil"/>
            </w:tcBorders>
            <w:vAlign w:val="center"/>
          </w:tcPr>
          <w:p w14:paraId="0A02EA08" w14:textId="67E9F30E"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0,46</w:t>
            </w:r>
          </w:p>
        </w:tc>
        <w:tc>
          <w:tcPr>
            <w:tcW w:w="1417" w:type="dxa"/>
            <w:tcBorders>
              <w:top w:val="nil"/>
              <w:bottom w:val="nil"/>
            </w:tcBorders>
            <w:vAlign w:val="center"/>
          </w:tcPr>
          <w:p w14:paraId="7106FD20" w14:textId="6BF57B20"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726</w:t>
            </w:r>
          </w:p>
        </w:tc>
        <w:tc>
          <w:tcPr>
            <w:tcW w:w="1418" w:type="dxa"/>
            <w:tcBorders>
              <w:top w:val="nil"/>
              <w:bottom w:val="nil"/>
              <w:right w:val="single" w:sz="2" w:space="0" w:color="A6A6A6" w:themeColor="background1" w:themeShade="A6"/>
            </w:tcBorders>
            <w:vAlign w:val="center"/>
          </w:tcPr>
          <w:p w14:paraId="3429A3F8" w14:textId="32E0F17D"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4,64</w:t>
            </w:r>
          </w:p>
        </w:tc>
      </w:tr>
      <w:tr w:rsidR="00C550F7" w:rsidRPr="00C550F7" w14:paraId="3F6E0FA3" w14:textId="77777777" w:rsidTr="006A61CA">
        <w:trPr>
          <w:cantSplit/>
          <w:jc w:val="center"/>
        </w:trPr>
        <w:tc>
          <w:tcPr>
            <w:tcW w:w="1417" w:type="dxa"/>
            <w:tcBorders>
              <w:top w:val="nil"/>
              <w:left w:val="single" w:sz="2" w:space="0" w:color="A6A6A6" w:themeColor="background1" w:themeShade="A6"/>
              <w:bottom w:val="nil"/>
            </w:tcBorders>
            <w:vAlign w:val="center"/>
          </w:tcPr>
          <w:p w14:paraId="2EC8FE3E" w14:textId="6179B9E6"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9</w:t>
            </w:r>
          </w:p>
        </w:tc>
        <w:tc>
          <w:tcPr>
            <w:tcW w:w="1417" w:type="dxa"/>
            <w:tcBorders>
              <w:top w:val="nil"/>
              <w:bottom w:val="nil"/>
            </w:tcBorders>
            <w:vAlign w:val="center"/>
          </w:tcPr>
          <w:p w14:paraId="6FCE4FD6" w14:textId="59B3A45D"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18.785</w:t>
            </w:r>
          </w:p>
        </w:tc>
        <w:tc>
          <w:tcPr>
            <w:tcW w:w="1417" w:type="dxa"/>
            <w:tcBorders>
              <w:top w:val="nil"/>
              <w:bottom w:val="nil"/>
            </w:tcBorders>
            <w:vAlign w:val="center"/>
          </w:tcPr>
          <w:p w14:paraId="00B6FFC5" w14:textId="5BB5717B"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34</w:t>
            </w:r>
          </w:p>
        </w:tc>
        <w:tc>
          <w:tcPr>
            <w:tcW w:w="1418" w:type="dxa"/>
            <w:tcBorders>
              <w:top w:val="nil"/>
              <w:bottom w:val="nil"/>
            </w:tcBorders>
            <w:vAlign w:val="center"/>
          </w:tcPr>
          <w:p w14:paraId="16DC5A59" w14:textId="151E616A"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0,18</w:t>
            </w:r>
          </w:p>
        </w:tc>
        <w:tc>
          <w:tcPr>
            <w:tcW w:w="1417" w:type="dxa"/>
            <w:tcBorders>
              <w:top w:val="nil"/>
              <w:bottom w:val="nil"/>
            </w:tcBorders>
            <w:vAlign w:val="center"/>
          </w:tcPr>
          <w:p w14:paraId="58D9B13D" w14:textId="5E9DCC86"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794</w:t>
            </w:r>
          </w:p>
        </w:tc>
        <w:tc>
          <w:tcPr>
            <w:tcW w:w="1418" w:type="dxa"/>
            <w:tcBorders>
              <w:top w:val="nil"/>
              <w:bottom w:val="nil"/>
              <w:right w:val="single" w:sz="2" w:space="0" w:color="A6A6A6" w:themeColor="background1" w:themeShade="A6"/>
            </w:tcBorders>
            <w:vAlign w:val="center"/>
          </w:tcPr>
          <w:p w14:paraId="32714B9A" w14:textId="7A9D08FF"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4,23</w:t>
            </w:r>
          </w:p>
        </w:tc>
      </w:tr>
      <w:tr w:rsidR="00C550F7" w:rsidRPr="00C550F7" w14:paraId="39FFE2C9" w14:textId="77777777" w:rsidTr="006A61CA">
        <w:trPr>
          <w:cantSplit/>
          <w:jc w:val="center"/>
        </w:trPr>
        <w:tc>
          <w:tcPr>
            <w:tcW w:w="1417" w:type="dxa"/>
            <w:tcBorders>
              <w:top w:val="nil"/>
              <w:left w:val="single" w:sz="2" w:space="0" w:color="A6A6A6" w:themeColor="background1" w:themeShade="A6"/>
              <w:bottom w:val="nil"/>
            </w:tcBorders>
            <w:vAlign w:val="center"/>
          </w:tcPr>
          <w:p w14:paraId="5FDD4C0B" w14:textId="703CEE0E" w:rsidR="00C550F7" w:rsidRPr="00C550F7" w:rsidRDefault="00C550F7" w:rsidP="00927788">
            <w:pPr>
              <w:spacing w:after="0" w:line="276" w:lineRule="auto"/>
              <w:jc w:val="center"/>
              <w:rPr>
                <w:rFonts w:cs="Arial"/>
                <w:color w:val="000000" w:themeColor="text1"/>
                <w:sz w:val="16"/>
                <w:szCs w:val="16"/>
              </w:rPr>
            </w:pPr>
            <w:r w:rsidRPr="00C550F7">
              <w:rPr>
                <w:rFonts w:cs="Arial"/>
                <w:color w:val="000000" w:themeColor="text1"/>
                <w:sz w:val="16"/>
                <w:szCs w:val="16"/>
              </w:rPr>
              <w:t>10</w:t>
            </w:r>
          </w:p>
        </w:tc>
        <w:tc>
          <w:tcPr>
            <w:tcW w:w="1417" w:type="dxa"/>
            <w:tcBorders>
              <w:top w:val="nil"/>
              <w:bottom w:val="nil"/>
            </w:tcBorders>
            <w:vAlign w:val="center"/>
          </w:tcPr>
          <w:p w14:paraId="47BB3DC7" w14:textId="58900F1B"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31.055</w:t>
            </w:r>
          </w:p>
        </w:tc>
        <w:tc>
          <w:tcPr>
            <w:tcW w:w="1417" w:type="dxa"/>
            <w:tcBorders>
              <w:top w:val="nil"/>
              <w:bottom w:val="nil"/>
            </w:tcBorders>
            <w:vAlign w:val="center"/>
          </w:tcPr>
          <w:p w14:paraId="2A928F3D" w14:textId="29A06457"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11</w:t>
            </w:r>
          </w:p>
        </w:tc>
        <w:tc>
          <w:tcPr>
            <w:tcW w:w="1418" w:type="dxa"/>
            <w:tcBorders>
              <w:top w:val="nil"/>
              <w:bottom w:val="nil"/>
            </w:tcBorders>
            <w:vAlign w:val="center"/>
          </w:tcPr>
          <w:p w14:paraId="1962FAC0" w14:textId="498BE69D"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0,04</w:t>
            </w:r>
          </w:p>
        </w:tc>
        <w:tc>
          <w:tcPr>
            <w:tcW w:w="1417" w:type="dxa"/>
            <w:tcBorders>
              <w:top w:val="nil"/>
              <w:bottom w:val="nil"/>
            </w:tcBorders>
            <w:vAlign w:val="center"/>
          </w:tcPr>
          <w:p w14:paraId="753DD7D4" w14:textId="7AEF3C26"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1520</w:t>
            </w:r>
          </w:p>
        </w:tc>
        <w:tc>
          <w:tcPr>
            <w:tcW w:w="1418" w:type="dxa"/>
            <w:tcBorders>
              <w:top w:val="nil"/>
              <w:bottom w:val="nil"/>
              <w:right w:val="single" w:sz="2" w:space="0" w:color="A6A6A6" w:themeColor="background1" w:themeShade="A6"/>
            </w:tcBorders>
            <w:vAlign w:val="center"/>
          </w:tcPr>
          <w:p w14:paraId="608DC65E" w14:textId="756F0E80" w:rsidR="00C550F7" w:rsidRPr="00C550F7" w:rsidRDefault="00C550F7" w:rsidP="006A61CA">
            <w:pPr>
              <w:spacing w:after="0" w:line="276" w:lineRule="auto"/>
              <w:jc w:val="center"/>
              <w:rPr>
                <w:rFonts w:cs="Arial"/>
                <w:color w:val="000000" w:themeColor="text1"/>
                <w:sz w:val="16"/>
                <w:szCs w:val="16"/>
              </w:rPr>
            </w:pPr>
            <w:r w:rsidRPr="00C550F7">
              <w:rPr>
                <w:rFonts w:cs="Arial"/>
                <w:sz w:val="16"/>
                <w:szCs w:val="16"/>
              </w:rPr>
              <w:t>4,90</w:t>
            </w:r>
          </w:p>
        </w:tc>
      </w:tr>
      <w:tr w:rsidR="00C550F7" w:rsidRPr="00C550F7" w14:paraId="35BDD919" w14:textId="77777777" w:rsidTr="006A61CA">
        <w:trPr>
          <w:cantSplit/>
          <w:jc w:val="center"/>
        </w:trPr>
        <w:tc>
          <w:tcPr>
            <w:tcW w:w="1417" w:type="dxa"/>
            <w:tcBorders>
              <w:top w:val="nil"/>
              <w:left w:val="single" w:sz="2" w:space="0" w:color="A6A6A6" w:themeColor="background1" w:themeShade="A6"/>
              <w:bottom w:val="single" w:sz="2" w:space="0" w:color="A6A6A6" w:themeColor="background1" w:themeShade="A6"/>
            </w:tcBorders>
            <w:vAlign w:val="center"/>
          </w:tcPr>
          <w:p w14:paraId="0AB91AA9" w14:textId="3144DFAF" w:rsidR="00C550F7" w:rsidRPr="00C550F7" w:rsidRDefault="00C550F7" w:rsidP="00927788">
            <w:pPr>
              <w:spacing w:after="0" w:line="276" w:lineRule="auto"/>
              <w:jc w:val="center"/>
              <w:rPr>
                <w:rFonts w:cs="Arial"/>
                <w:b/>
                <w:color w:val="000000" w:themeColor="text1"/>
                <w:sz w:val="16"/>
                <w:szCs w:val="16"/>
              </w:rPr>
            </w:pPr>
            <w:r w:rsidRPr="00C550F7">
              <w:rPr>
                <w:rFonts w:cs="Arial"/>
                <w:b/>
                <w:color w:val="000000" w:themeColor="text1"/>
                <w:sz w:val="16"/>
                <w:szCs w:val="16"/>
              </w:rPr>
              <w:t>Σύνολο</w:t>
            </w:r>
          </w:p>
        </w:tc>
        <w:tc>
          <w:tcPr>
            <w:tcW w:w="1417" w:type="dxa"/>
            <w:tcBorders>
              <w:top w:val="nil"/>
              <w:bottom w:val="single" w:sz="2" w:space="0" w:color="A6A6A6" w:themeColor="background1" w:themeShade="A6"/>
            </w:tcBorders>
            <w:vAlign w:val="center"/>
          </w:tcPr>
          <w:p w14:paraId="7A406A8E" w14:textId="21AAB5C9" w:rsidR="00C550F7" w:rsidRPr="00C550F7" w:rsidRDefault="00C550F7" w:rsidP="006A61CA">
            <w:pPr>
              <w:spacing w:after="0" w:line="276" w:lineRule="auto"/>
              <w:jc w:val="center"/>
              <w:rPr>
                <w:rFonts w:cs="Arial"/>
                <w:b/>
                <w:color w:val="000000" w:themeColor="text1"/>
                <w:sz w:val="16"/>
                <w:szCs w:val="16"/>
              </w:rPr>
            </w:pPr>
            <w:r w:rsidRPr="00C550F7">
              <w:rPr>
                <w:rFonts w:cs="Arial"/>
                <w:b/>
                <w:sz w:val="16"/>
                <w:szCs w:val="16"/>
              </w:rPr>
              <w:t>11.791</w:t>
            </w:r>
          </w:p>
        </w:tc>
        <w:tc>
          <w:tcPr>
            <w:tcW w:w="1417" w:type="dxa"/>
            <w:tcBorders>
              <w:top w:val="nil"/>
              <w:bottom w:val="single" w:sz="2" w:space="0" w:color="A6A6A6" w:themeColor="background1" w:themeShade="A6"/>
            </w:tcBorders>
            <w:vAlign w:val="center"/>
          </w:tcPr>
          <w:p w14:paraId="0373DC01" w14:textId="2D0CB417" w:rsidR="00C550F7" w:rsidRPr="00C550F7" w:rsidRDefault="00C550F7" w:rsidP="006A61CA">
            <w:pPr>
              <w:spacing w:after="0" w:line="276" w:lineRule="auto"/>
              <w:jc w:val="center"/>
              <w:rPr>
                <w:rFonts w:cs="Arial"/>
                <w:b/>
                <w:color w:val="000000" w:themeColor="text1"/>
                <w:sz w:val="16"/>
                <w:szCs w:val="16"/>
              </w:rPr>
            </w:pPr>
            <w:r w:rsidRPr="00C550F7">
              <w:rPr>
                <w:rFonts w:cs="Arial"/>
                <w:b/>
                <w:sz w:val="16"/>
                <w:szCs w:val="16"/>
              </w:rPr>
              <w:t>78</w:t>
            </w:r>
          </w:p>
        </w:tc>
        <w:tc>
          <w:tcPr>
            <w:tcW w:w="1418" w:type="dxa"/>
            <w:tcBorders>
              <w:top w:val="nil"/>
              <w:bottom w:val="single" w:sz="2" w:space="0" w:color="A6A6A6" w:themeColor="background1" w:themeShade="A6"/>
            </w:tcBorders>
            <w:vAlign w:val="center"/>
          </w:tcPr>
          <w:p w14:paraId="2CB49015" w14:textId="171AFD57" w:rsidR="00C550F7" w:rsidRPr="00C550F7" w:rsidRDefault="00C550F7" w:rsidP="006A61CA">
            <w:pPr>
              <w:spacing w:after="0" w:line="276" w:lineRule="auto"/>
              <w:jc w:val="center"/>
              <w:rPr>
                <w:rFonts w:cs="Arial"/>
                <w:b/>
                <w:color w:val="000000" w:themeColor="text1"/>
                <w:sz w:val="16"/>
                <w:szCs w:val="16"/>
              </w:rPr>
            </w:pPr>
            <w:r w:rsidRPr="00C550F7">
              <w:rPr>
                <w:rFonts w:cs="Arial"/>
                <w:b/>
                <w:sz w:val="16"/>
                <w:szCs w:val="16"/>
              </w:rPr>
              <w:t>0,61</w:t>
            </w:r>
          </w:p>
        </w:tc>
        <w:tc>
          <w:tcPr>
            <w:tcW w:w="1417" w:type="dxa"/>
            <w:tcBorders>
              <w:top w:val="nil"/>
              <w:bottom w:val="single" w:sz="2" w:space="0" w:color="A6A6A6" w:themeColor="background1" w:themeShade="A6"/>
            </w:tcBorders>
            <w:vAlign w:val="center"/>
          </w:tcPr>
          <w:p w14:paraId="1444CD63" w14:textId="66000D06" w:rsidR="00C550F7" w:rsidRPr="00C550F7" w:rsidRDefault="00C550F7" w:rsidP="006A61CA">
            <w:pPr>
              <w:spacing w:after="0" w:line="276" w:lineRule="auto"/>
              <w:jc w:val="center"/>
              <w:rPr>
                <w:rFonts w:cs="Arial"/>
                <w:b/>
                <w:color w:val="000000" w:themeColor="text1"/>
                <w:sz w:val="16"/>
                <w:szCs w:val="16"/>
              </w:rPr>
            </w:pPr>
            <w:r w:rsidRPr="00C550F7">
              <w:rPr>
                <w:rFonts w:cs="Arial"/>
                <w:b/>
                <w:sz w:val="16"/>
                <w:szCs w:val="16"/>
              </w:rPr>
              <w:t>580</w:t>
            </w:r>
          </w:p>
        </w:tc>
        <w:tc>
          <w:tcPr>
            <w:tcW w:w="1418" w:type="dxa"/>
            <w:tcBorders>
              <w:top w:val="nil"/>
              <w:bottom w:val="single" w:sz="2" w:space="0" w:color="A6A6A6" w:themeColor="background1" w:themeShade="A6"/>
              <w:right w:val="single" w:sz="2" w:space="0" w:color="A6A6A6" w:themeColor="background1" w:themeShade="A6"/>
            </w:tcBorders>
            <w:vAlign w:val="center"/>
          </w:tcPr>
          <w:p w14:paraId="2E8815EC" w14:textId="408C4C0C" w:rsidR="00C550F7" w:rsidRPr="00C550F7" w:rsidRDefault="00C550F7" w:rsidP="006A61CA">
            <w:pPr>
              <w:spacing w:after="0" w:line="276" w:lineRule="auto"/>
              <w:jc w:val="center"/>
              <w:rPr>
                <w:rFonts w:cs="Arial"/>
                <w:b/>
                <w:color w:val="000000" w:themeColor="text1"/>
                <w:sz w:val="16"/>
                <w:szCs w:val="16"/>
              </w:rPr>
            </w:pPr>
            <w:r w:rsidRPr="00C550F7">
              <w:rPr>
                <w:rFonts w:cs="Arial"/>
                <w:b/>
                <w:sz w:val="16"/>
                <w:szCs w:val="16"/>
              </w:rPr>
              <w:t>4,51</w:t>
            </w:r>
          </w:p>
        </w:tc>
      </w:tr>
      <w:tr w:rsidR="0028631C" w:rsidRPr="0028631C" w14:paraId="4A36E239" w14:textId="77777777" w:rsidTr="00E84BB2">
        <w:trPr>
          <w:cantSplit/>
          <w:jc w:val="center"/>
        </w:trPr>
        <w:tc>
          <w:tcPr>
            <w:tcW w:w="8504" w:type="dxa"/>
            <w:gridSpan w:val="6"/>
            <w:tcBorders>
              <w:top w:val="single" w:sz="2" w:space="0" w:color="A6A6A6" w:themeColor="background1" w:themeShade="A6"/>
              <w:left w:val="nil"/>
              <w:bottom w:val="nil"/>
              <w:right w:val="nil"/>
            </w:tcBorders>
          </w:tcPr>
          <w:p w14:paraId="6DBAF8AC" w14:textId="4D050484" w:rsidR="00DC0D7F" w:rsidRPr="00943DFB" w:rsidRDefault="0028631C" w:rsidP="00790111">
            <w:pPr>
              <w:pStyle w:val="af0"/>
              <w:tabs>
                <w:tab w:val="left" w:pos="153"/>
              </w:tabs>
              <w:spacing w:before="60" w:after="0"/>
              <w:ind w:left="23"/>
              <w:contextualSpacing w:val="0"/>
              <w:rPr>
                <w:rFonts w:ascii="Arial" w:hAnsi="Arial" w:cs="Arial"/>
                <w:sz w:val="16"/>
                <w:szCs w:val="16"/>
              </w:rPr>
            </w:pPr>
            <w:r w:rsidRPr="00943DFB">
              <w:rPr>
                <w:rFonts w:ascii="Arial" w:hAnsi="Arial" w:cs="Arial"/>
                <w:color w:val="000000" w:themeColor="text1"/>
                <w:sz w:val="16"/>
                <w:szCs w:val="16"/>
              </w:rPr>
              <w:t>Σημειώσεις:</w:t>
            </w:r>
          </w:p>
          <w:p w14:paraId="53A5CC86" w14:textId="5FF67A78" w:rsidR="00DC0D7F" w:rsidRDefault="00DC0D7F" w:rsidP="00790111">
            <w:pPr>
              <w:pStyle w:val="af0"/>
              <w:numPr>
                <w:ilvl w:val="0"/>
                <w:numId w:val="23"/>
              </w:numPr>
              <w:tabs>
                <w:tab w:val="left" w:pos="170"/>
              </w:tabs>
              <w:spacing w:before="60" w:after="0"/>
              <w:ind w:left="170" w:hanging="170"/>
              <w:contextualSpacing w:val="0"/>
              <w:rPr>
                <w:rFonts w:ascii="Arial" w:hAnsi="Arial" w:cs="Arial"/>
                <w:sz w:val="16"/>
                <w:szCs w:val="16"/>
              </w:rPr>
            </w:pPr>
            <w:r w:rsidRPr="00943DFB">
              <w:rPr>
                <w:rFonts w:ascii="Arial" w:hAnsi="Arial" w:cs="Arial"/>
                <w:sz w:val="16"/>
                <w:szCs w:val="16"/>
              </w:rPr>
              <w:t>Οι μεταβολές υπολογίζονται σε σχέση με το μέσο ισοδύναμο εισόδημα ανά δεκατημόριο της βάσης 202</w:t>
            </w:r>
            <w:r w:rsidR="00B60B90" w:rsidRPr="00943DFB">
              <w:rPr>
                <w:rFonts w:ascii="Arial" w:hAnsi="Arial" w:cs="Arial"/>
                <w:sz w:val="16"/>
                <w:szCs w:val="16"/>
              </w:rPr>
              <w:t>5</w:t>
            </w:r>
            <w:r w:rsidRPr="00943DFB">
              <w:rPr>
                <w:rFonts w:ascii="Arial" w:hAnsi="Arial" w:cs="Arial"/>
                <w:sz w:val="16"/>
                <w:szCs w:val="16"/>
              </w:rPr>
              <w:t>.</w:t>
            </w:r>
          </w:p>
          <w:p w14:paraId="1A8A644F" w14:textId="79F920B1" w:rsidR="0028631C" w:rsidRPr="00943DFB" w:rsidRDefault="00943DFB" w:rsidP="00790111">
            <w:pPr>
              <w:pStyle w:val="af0"/>
              <w:numPr>
                <w:ilvl w:val="0"/>
                <w:numId w:val="23"/>
              </w:numPr>
              <w:tabs>
                <w:tab w:val="left" w:pos="170"/>
              </w:tabs>
              <w:spacing w:before="60" w:after="0"/>
              <w:ind w:left="170" w:hanging="170"/>
              <w:contextualSpacing w:val="0"/>
              <w:rPr>
                <w:rFonts w:ascii="Arial" w:hAnsi="Arial" w:cs="Arial"/>
                <w:sz w:val="16"/>
                <w:szCs w:val="16"/>
              </w:rPr>
            </w:pPr>
            <w:r w:rsidRPr="00943DFB">
              <w:rPr>
                <w:rFonts w:ascii="Arial" w:hAnsi="Arial" w:cs="Arial"/>
                <w:sz w:val="16"/>
                <w:szCs w:val="16"/>
              </w:rPr>
              <w:t xml:space="preserve">Το ισοδύναμο εισόδημα υπολογίζεται με τη χρήση των κλιμακίων ισοδυναμίας του ΟΟΣΑ, τα οποία αποδίδουν συντελεστή βαρύτητας 1 στον πρώτο ενήλικα, 0,5 στους άλλους ενήλικες του νοικοκυριού και 0,3 στα παιδιά </w:t>
            </w:r>
            <w:r w:rsidR="00847755">
              <w:rPr>
                <w:rFonts w:ascii="Arial" w:hAnsi="Arial" w:cs="Arial"/>
                <w:sz w:val="16"/>
                <w:szCs w:val="16"/>
              </w:rPr>
              <w:t xml:space="preserve">ηλικίας </w:t>
            </w:r>
            <w:r w:rsidRPr="00943DFB">
              <w:rPr>
                <w:rFonts w:ascii="Arial" w:hAnsi="Arial" w:cs="Arial"/>
                <w:sz w:val="16"/>
                <w:szCs w:val="16"/>
              </w:rPr>
              <w:t>έως 14 ετών.</w:t>
            </w:r>
          </w:p>
        </w:tc>
      </w:tr>
    </w:tbl>
    <w:p w14:paraId="24259F0F" w14:textId="1F390F69" w:rsidR="00122418" w:rsidRDefault="000B29D9" w:rsidP="00122418">
      <w:pPr>
        <w:spacing w:before="240" w:after="240"/>
      </w:pPr>
      <w:r w:rsidRPr="0098356F">
        <w:t>Στον ακόλουθο πίνακα (</w:t>
      </w:r>
      <w:r w:rsidR="00122418" w:rsidRPr="0098356F">
        <w:fldChar w:fldCharType="begin"/>
      </w:r>
      <w:r w:rsidR="00122418" w:rsidRPr="0098356F">
        <w:instrText xml:space="preserve"> REF _Ref213945031 \h  \* MERGEFORMAT </w:instrText>
      </w:r>
      <w:r w:rsidR="00122418" w:rsidRPr="0098356F">
        <w:fldChar w:fldCharType="separate"/>
      </w:r>
      <w:r w:rsidR="00E15678" w:rsidRPr="00E15678">
        <w:t>Πίνακας 3.30</w:t>
      </w:r>
      <w:r w:rsidR="00122418" w:rsidRPr="0098356F">
        <w:fldChar w:fldCharType="end"/>
      </w:r>
      <w:r w:rsidR="00122418" w:rsidRPr="0098356F">
        <w:t xml:space="preserve">.) </w:t>
      </w:r>
      <w:r w:rsidRPr="0098356F">
        <w:t>παρουσιάζεται</w:t>
      </w:r>
      <w:r w:rsidRPr="00BB1E3C">
        <w:t xml:space="preserve"> </w:t>
      </w:r>
      <w:r>
        <w:t>η</w:t>
      </w:r>
      <w:r w:rsidRPr="00BB1E3C">
        <w:t xml:space="preserve"> </w:t>
      </w:r>
      <w:r>
        <w:t>μέση</w:t>
      </w:r>
      <w:r w:rsidRPr="00BB1E3C">
        <w:t xml:space="preserve"> </w:t>
      </w:r>
      <w:r>
        <w:t>φορολογική</w:t>
      </w:r>
      <w:r w:rsidRPr="00BB1E3C">
        <w:t xml:space="preserve"> </w:t>
      </w:r>
      <w:r>
        <w:t>επιβάρυνση</w:t>
      </w:r>
      <w:r w:rsidRPr="00BB1E3C">
        <w:t xml:space="preserve">, </w:t>
      </w:r>
      <w:r>
        <w:t>υπολογισμένη ως το ποσοστό των συνολικών άμεσων φόρων και ασφαλιστικών εισφορών που πληρώνονται από τα νοικοκυριά ως προς το συνολικό τους αρχικό εισόδημα και τα επιδόματα σε χρήμα. Ο δείκτης αυτός αντικατοπτρίζει το ποσοστό των ακαθάριστων εισοδημάτων των νοικοκυριών</w:t>
      </w:r>
      <w:r w:rsidR="00847755">
        <w:t>,</w:t>
      </w:r>
      <w:r>
        <w:t xml:space="preserve"> αποτελούμενων από τα εισοδήματα της αγοράς και τις μεταβιβάσεις</w:t>
      </w:r>
      <w:r w:rsidR="00847755">
        <w:t>,</w:t>
      </w:r>
      <w:r>
        <w:t xml:space="preserve"> </w:t>
      </w:r>
      <w:r w:rsidR="00A21BE2">
        <w:t xml:space="preserve">τα οποία </w:t>
      </w:r>
      <w:r>
        <w:t xml:space="preserve">απορροφώνται από το φορολογικό και </w:t>
      </w:r>
      <w:r w:rsidR="00847755">
        <w:t xml:space="preserve">το </w:t>
      </w:r>
      <w:r>
        <w:t>ασφαλιστικό σύστημα. Αποτελεί αξιόπιστο μέτρο των συνολικών φορολογικών και ασφαλιστικών υποχρεώσεων σε σχέση με το εισόδημα των νοικοκυριών προ φόρων και προ εισφορών, πριν τον υπολογισμό του διαθέσιμου εισοδήματος.</w:t>
      </w:r>
    </w:p>
    <w:tbl>
      <w:tblPr>
        <w:tblW w:w="8931" w:type="dxa"/>
        <w:jc w:val="center"/>
        <w:tblLook w:val="04A0" w:firstRow="1" w:lastRow="0" w:firstColumn="1" w:lastColumn="0" w:noHBand="0" w:noVBand="1"/>
      </w:tblPr>
      <w:tblGrid>
        <w:gridCol w:w="1536"/>
        <w:gridCol w:w="2985"/>
        <w:gridCol w:w="2189"/>
        <w:gridCol w:w="2221"/>
      </w:tblGrid>
      <w:tr w:rsidR="00FA61BE" w:rsidRPr="00F13A93" w14:paraId="6A923580" w14:textId="77777777" w:rsidTr="0063612D">
        <w:trPr>
          <w:cantSplit/>
          <w:trHeight w:val="340"/>
          <w:jc w:val="center"/>
        </w:trPr>
        <w:tc>
          <w:tcPr>
            <w:tcW w:w="8931"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tcPr>
          <w:p w14:paraId="63C07D42" w14:textId="05BE05B7" w:rsidR="00FA61BE" w:rsidRPr="00122418" w:rsidRDefault="00122418" w:rsidP="00122418">
            <w:pPr>
              <w:pStyle w:val="Tabletext"/>
              <w:spacing w:line="276" w:lineRule="auto"/>
              <w:jc w:val="center"/>
              <w:rPr>
                <w:rFonts w:ascii="Arial" w:hAnsi="Arial" w:cs="Arial"/>
                <w:b/>
                <w:sz w:val="20"/>
                <w:szCs w:val="20"/>
                <w:lang w:val="el-GR"/>
              </w:rPr>
            </w:pPr>
            <w:bookmarkStart w:id="645" w:name="_Ref213945031"/>
            <w:bookmarkStart w:id="646" w:name="_Toc214474068"/>
            <w:r w:rsidRPr="00122418">
              <w:rPr>
                <w:rFonts w:ascii="Arial" w:hAnsi="Arial" w:cs="Arial"/>
                <w:b/>
                <w:sz w:val="18"/>
                <w:szCs w:val="20"/>
                <w:lang w:val="el-GR"/>
              </w:rPr>
              <w:t>Πίνακας 3.</w:t>
            </w:r>
            <w:r w:rsidRPr="00122418">
              <w:rPr>
                <w:rFonts w:ascii="Arial" w:hAnsi="Arial" w:cs="Arial"/>
                <w:b/>
                <w:sz w:val="18"/>
                <w:szCs w:val="20"/>
              </w:rPr>
              <w:fldChar w:fldCharType="begin"/>
            </w:r>
            <w:r w:rsidRPr="00122418">
              <w:rPr>
                <w:rFonts w:ascii="Arial" w:hAnsi="Arial" w:cs="Arial"/>
                <w:b/>
                <w:sz w:val="18"/>
                <w:szCs w:val="20"/>
                <w:lang w:val="el-GR"/>
              </w:rPr>
              <w:instrText xml:space="preserve"> </w:instrText>
            </w:r>
            <w:r w:rsidRPr="00122418">
              <w:rPr>
                <w:rFonts w:ascii="Arial" w:hAnsi="Arial" w:cs="Arial"/>
                <w:b/>
                <w:sz w:val="18"/>
                <w:szCs w:val="20"/>
              </w:rPr>
              <w:instrText>SEQ</w:instrText>
            </w:r>
            <w:r w:rsidRPr="00122418">
              <w:rPr>
                <w:rFonts w:ascii="Arial" w:hAnsi="Arial" w:cs="Arial"/>
                <w:b/>
                <w:sz w:val="18"/>
                <w:szCs w:val="20"/>
                <w:lang w:val="el-GR"/>
              </w:rPr>
              <w:instrText xml:space="preserve"> Πίνακας_3. \* </w:instrText>
            </w:r>
            <w:r w:rsidRPr="00122418">
              <w:rPr>
                <w:rFonts w:ascii="Arial" w:hAnsi="Arial" w:cs="Arial"/>
                <w:b/>
                <w:sz w:val="18"/>
                <w:szCs w:val="20"/>
              </w:rPr>
              <w:instrText>ARABIC</w:instrText>
            </w:r>
            <w:r w:rsidRPr="00122418">
              <w:rPr>
                <w:rFonts w:ascii="Arial" w:hAnsi="Arial" w:cs="Arial"/>
                <w:b/>
                <w:sz w:val="18"/>
                <w:szCs w:val="20"/>
                <w:lang w:val="el-GR"/>
              </w:rPr>
              <w:instrText xml:space="preserve"> </w:instrText>
            </w:r>
            <w:r w:rsidRPr="00122418">
              <w:rPr>
                <w:rFonts w:ascii="Arial" w:hAnsi="Arial" w:cs="Arial"/>
                <w:b/>
                <w:sz w:val="18"/>
                <w:szCs w:val="20"/>
              </w:rPr>
              <w:fldChar w:fldCharType="separate"/>
            </w:r>
            <w:r w:rsidR="00E15678">
              <w:rPr>
                <w:rFonts w:ascii="Arial" w:hAnsi="Arial" w:cs="Arial"/>
                <w:b/>
                <w:noProof/>
                <w:sz w:val="18"/>
                <w:szCs w:val="20"/>
              </w:rPr>
              <w:t>30</w:t>
            </w:r>
            <w:r w:rsidRPr="00122418">
              <w:rPr>
                <w:rFonts w:ascii="Arial" w:hAnsi="Arial" w:cs="Arial"/>
                <w:b/>
                <w:sz w:val="18"/>
                <w:szCs w:val="20"/>
              </w:rPr>
              <w:fldChar w:fldCharType="end"/>
            </w:r>
            <w:bookmarkEnd w:id="645"/>
            <w:r w:rsidRPr="00122418">
              <w:rPr>
                <w:rFonts w:ascii="Arial" w:hAnsi="Arial" w:cs="Arial"/>
                <w:b/>
                <w:sz w:val="18"/>
                <w:szCs w:val="20"/>
                <w:lang w:val="el-GR"/>
              </w:rPr>
              <w:t>.: Μέση φορολογική επιβάρυνση (%), ποσοστιαίες μεταβολές</w:t>
            </w:r>
            <w:bookmarkEnd w:id="646"/>
          </w:p>
        </w:tc>
      </w:tr>
      <w:tr w:rsidR="00122418" w:rsidRPr="00F13A93" w14:paraId="5A339B92" w14:textId="77777777" w:rsidTr="0063612D">
        <w:trPr>
          <w:cantSplit/>
          <w:trHeight w:val="283"/>
          <w:jc w:val="center"/>
        </w:trPr>
        <w:tc>
          <w:tcPr>
            <w:tcW w:w="1536" w:type="dxa"/>
            <w:vMerge w:val="restart"/>
            <w:tcBorders>
              <w:top w:val="single" w:sz="2" w:space="0" w:color="A6A6A6" w:themeColor="background1" w:themeShade="A6"/>
              <w:left w:val="single" w:sz="2" w:space="0" w:color="A6A6A6" w:themeColor="background1" w:themeShade="A6"/>
            </w:tcBorders>
            <w:shd w:val="clear" w:color="auto" w:fill="F2F2F2" w:themeFill="background1" w:themeFillShade="F2"/>
            <w:vAlign w:val="center"/>
            <w:hideMark/>
          </w:tcPr>
          <w:p w14:paraId="14E1F22D" w14:textId="77777777" w:rsidR="000B29D9" w:rsidRPr="00F13A93" w:rsidRDefault="000B29D9" w:rsidP="00122418">
            <w:pPr>
              <w:pStyle w:val="Tabletext"/>
              <w:spacing w:line="276" w:lineRule="auto"/>
              <w:jc w:val="center"/>
              <w:rPr>
                <w:rFonts w:ascii="Arial" w:hAnsi="Arial" w:cs="Arial"/>
                <w:b/>
                <w:sz w:val="16"/>
                <w:szCs w:val="16"/>
                <w:lang w:val="el-GR"/>
              </w:rPr>
            </w:pPr>
            <w:r w:rsidRPr="00F13A93">
              <w:rPr>
                <w:rFonts w:ascii="Arial" w:hAnsi="Arial" w:cs="Arial"/>
                <w:b/>
                <w:sz w:val="16"/>
                <w:szCs w:val="16"/>
                <w:lang w:val="el-GR"/>
              </w:rPr>
              <w:t>Δεκατημόριο</w:t>
            </w:r>
          </w:p>
        </w:tc>
        <w:tc>
          <w:tcPr>
            <w:tcW w:w="2985" w:type="dxa"/>
            <w:tcBorders>
              <w:top w:val="single" w:sz="2" w:space="0" w:color="A6A6A6" w:themeColor="background1" w:themeShade="A6"/>
            </w:tcBorders>
            <w:shd w:val="clear" w:color="auto" w:fill="F2F2F2" w:themeFill="background1" w:themeFillShade="F2"/>
            <w:vAlign w:val="center"/>
            <w:hideMark/>
          </w:tcPr>
          <w:p w14:paraId="3B147839" w14:textId="77777777" w:rsidR="000B29D9" w:rsidRPr="00F13A93" w:rsidRDefault="000B29D9" w:rsidP="00122418">
            <w:pPr>
              <w:pStyle w:val="Tabletext"/>
              <w:spacing w:line="276" w:lineRule="auto"/>
              <w:jc w:val="center"/>
              <w:rPr>
                <w:rFonts w:ascii="Arial" w:hAnsi="Arial" w:cs="Arial"/>
                <w:b/>
                <w:sz w:val="16"/>
                <w:szCs w:val="16"/>
                <w:lang w:val="el-GR"/>
              </w:rPr>
            </w:pPr>
            <w:r w:rsidRPr="00F13A93">
              <w:rPr>
                <w:rFonts w:ascii="Arial" w:hAnsi="Arial" w:cs="Arial"/>
                <w:b/>
                <w:sz w:val="16"/>
                <w:szCs w:val="16"/>
              </w:rPr>
              <w:t>2025_</w:t>
            </w:r>
            <w:r w:rsidRPr="00F13A93">
              <w:rPr>
                <w:rFonts w:ascii="Arial" w:hAnsi="Arial" w:cs="Arial"/>
                <w:b/>
                <w:sz w:val="16"/>
                <w:szCs w:val="16"/>
                <w:lang w:val="el-GR"/>
              </w:rPr>
              <w:t>βάση</w:t>
            </w:r>
          </w:p>
        </w:tc>
        <w:tc>
          <w:tcPr>
            <w:tcW w:w="2189" w:type="dxa"/>
            <w:tcBorders>
              <w:top w:val="single" w:sz="2" w:space="0" w:color="A6A6A6" w:themeColor="background1" w:themeShade="A6"/>
            </w:tcBorders>
            <w:shd w:val="clear" w:color="auto" w:fill="F2F2F2" w:themeFill="background1" w:themeFillShade="F2"/>
            <w:vAlign w:val="center"/>
            <w:hideMark/>
          </w:tcPr>
          <w:p w14:paraId="1B54EE50" w14:textId="77777777" w:rsidR="000B29D9" w:rsidRPr="00F13A93" w:rsidRDefault="000B29D9" w:rsidP="00122418">
            <w:pPr>
              <w:pStyle w:val="Tabletext"/>
              <w:spacing w:line="276" w:lineRule="auto"/>
              <w:jc w:val="center"/>
              <w:rPr>
                <w:rFonts w:ascii="Arial" w:hAnsi="Arial" w:cs="Arial"/>
                <w:b/>
                <w:sz w:val="16"/>
                <w:szCs w:val="16"/>
                <w:lang w:val="el-GR"/>
              </w:rPr>
            </w:pPr>
            <w:r w:rsidRPr="00F13A93">
              <w:rPr>
                <w:rFonts w:ascii="Arial" w:hAnsi="Arial" w:cs="Arial"/>
                <w:b/>
                <w:sz w:val="16"/>
                <w:szCs w:val="16"/>
              </w:rPr>
              <w:t>2025_</w:t>
            </w:r>
            <w:r w:rsidRPr="00F13A93">
              <w:rPr>
                <w:rFonts w:ascii="Arial" w:hAnsi="Arial" w:cs="Arial"/>
                <w:b/>
                <w:sz w:val="16"/>
                <w:szCs w:val="16"/>
                <w:lang w:val="el-GR"/>
              </w:rPr>
              <w:t>αναφορά</w:t>
            </w:r>
          </w:p>
        </w:tc>
        <w:tc>
          <w:tcPr>
            <w:tcW w:w="2221" w:type="dxa"/>
            <w:tcBorders>
              <w:top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2447311B" w14:textId="77777777" w:rsidR="000B29D9" w:rsidRPr="00F13A93" w:rsidRDefault="000B29D9" w:rsidP="00122418">
            <w:pPr>
              <w:pStyle w:val="Tabletext"/>
              <w:spacing w:line="276" w:lineRule="auto"/>
              <w:jc w:val="center"/>
              <w:rPr>
                <w:rFonts w:ascii="Arial" w:hAnsi="Arial" w:cs="Arial"/>
                <w:b/>
                <w:sz w:val="16"/>
                <w:szCs w:val="16"/>
                <w:lang w:val="el-GR"/>
              </w:rPr>
            </w:pPr>
            <w:r w:rsidRPr="00F13A93">
              <w:rPr>
                <w:rFonts w:ascii="Arial" w:hAnsi="Arial" w:cs="Arial"/>
                <w:b/>
                <w:sz w:val="16"/>
                <w:szCs w:val="16"/>
              </w:rPr>
              <w:t>2026_</w:t>
            </w:r>
            <w:r w:rsidRPr="00F13A93">
              <w:rPr>
                <w:rFonts w:ascii="Arial" w:hAnsi="Arial" w:cs="Arial"/>
                <w:b/>
                <w:sz w:val="16"/>
                <w:szCs w:val="16"/>
                <w:lang w:val="el-GR"/>
              </w:rPr>
              <w:t>αναφορά</w:t>
            </w:r>
          </w:p>
        </w:tc>
      </w:tr>
      <w:tr w:rsidR="00122418" w:rsidRPr="00F13A93" w14:paraId="4E35C180" w14:textId="77777777" w:rsidTr="0063612D">
        <w:trPr>
          <w:cantSplit/>
          <w:trHeight w:val="283"/>
          <w:jc w:val="center"/>
        </w:trPr>
        <w:tc>
          <w:tcPr>
            <w:tcW w:w="1536" w:type="dxa"/>
            <w:vMerge/>
            <w:tcBorders>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08E403D0" w14:textId="77777777" w:rsidR="000B29D9" w:rsidRPr="00F13A93" w:rsidRDefault="000B29D9" w:rsidP="00122418">
            <w:pPr>
              <w:pStyle w:val="Tabletext"/>
              <w:spacing w:line="276" w:lineRule="auto"/>
              <w:jc w:val="center"/>
              <w:rPr>
                <w:rFonts w:ascii="Arial" w:hAnsi="Arial" w:cs="Arial"/>
                <w:sz w:val="16"/>
                <w:szCs w:val="16"/>
              </w:rPr>
            </w:pPr>
          </w:p>
        </w:tc>
        <w:tc>
          <w:tcPr>
            <w:tcW w:w="2985" w:type="dxa"/>
            <w:tcBorders>
              <w:bottom w:val="single" w:sz="2" w:space="0" w:color="A6A6A6" w:themeColor="background1" w:themeShade="A6"/>
            </w:tcBorders>
            <w:shd w:val="clear" w:color="auto" w:fill="F2F2F2" w:themeFill="background1" w:themeFillShade="F2"/>
            <w:vAlign w:val="center"/>
            <w:hideMark/>
          </w:tcPr>
          <w:p w14:paraId="2E72F8E3" w14:textId="77777777" w:rsidR="000B29D9" w:rsidRPr="00122418" w:rsidRDefault="000B29D9" w:rsidP="00122418">
            <w:pPr>
              <w:pStyle w:val="Tabletext"/>
              <w:spacing w:line="276" w:lineRule="auto"/>
              <w:jc w:val="center"/>
              <w:rPr>
                <w:rFonts w:ascii="Arial" w:hAnsi="Arial" w:cs="Arial"/>
                <w:b/>
                <w:sz w:val="16"/>
                <w:szCs w:val="16"/>
                <w:lang w:val="el-GR"/>
              </w:rPr>
            </w:pPr>
            <w:r w:rsidRPr="00122418">
              <w:rPr>
                <w:rFonts w:ascii="Arial" w:hAnsi="Arial" w:cs="Arial"/>
                <w:b/>
                <w:sz w:val="16"/>
                <w:szCs w:val="16"/>
                <w:lang w:val="el-GR"/>
              </w:rPr>
              <w:t>Μέση φορολογική επιβάρυνση</w:t>
            </w:r>
          </w:p>
        </w:tc>
        <w:tc>
          <w:tcPr>
            <w:tcW w:w="2189" w:type="dxa"/>
            <w:tcBorders>
              <w:bottom w:val="single" w:sz="2" w:space="0" w:color="A6A6A6" w:themeColor="background1" w:themeShade="A6"/>
            </w:tcBorders>
            <w:shd w:val="clear" w:color="auto" w:fill="F2F2F2" w:themeFill="background1" w:themeFillShade="F2"/>
            <w:vAlign w:val="center"/>
            <w:hideMark/>
          </w:tcPr>
          <w:p w14:paraId="07217793" w14:textId="3547F8AF" w:rsidR="000B29D9" w:rsidRPr="00122418" w:rsidRDefault="000B29D9" w:rsidP="00122418">
            <w:pPr>
              <w:pStyle w:val="Tabletext"/>
              <w:spacing w:line="276" w:lineRule="auto"/>
              <w:jc w:val="center"/>
              <w:rPr>
                <w:rFonts w:ascii="Arial" w:hAnsi="Arial" w:cs="Arial"/>
                <w:b/>
                <w:sz w:val="16"/>
                <w:szCs w:val="16"/>
                <w:lang w:val="el-GR"/>
              </w:rPr>
            </w:pPr>
            <w:r w:rsidRPr="00122418">
              <w:rPr>
                <w:rFonts w:ascii="Arial" w:hAnsi="Arial" w:cs="Arial"/>
                <w:b/>
                <w:sz w:val="16"/>
                <w:szCs w:val="16"/>
                <w:lang w:val="el-GR"/>
              </w:rPr>
              <w:t>Ποσοστιαία μεταβολή</w:t>
            </w:r>
          </w:p>
          <w:p w14:paraId="0BC2EA65" w14:textId="55646271" w:rsidR="000B29D9" w:rsidRPr="00122418" w:rsidRDefault="000B29D9" w:rsidP="00122418">
            <w:pPr>
              <w:pStyle w:val="Tabletext"/>
              <w:spacing w:line="276" w:lineRule="auto"/>
              <w:jc w:val="center"/>
              <w:rPr>
                <w:rFonts w:ascii="Arial" w:hAnsi="Arial" w:cs="Arial"/>
                <w:b/>
                <w:sz w:val="16"/>
                <w:szCs w:val="16"/>
                <w:lang w:val="el-GR"/>
              </w:rPr>
            </w:pPr>
            <w:r w:rsidRPr="00122418">
              <w:rPr>
                <w:rFonts w:ascii="Arial" w:hAnsi="Arial" w:cs="Arial"/>
                <w:b/>
                <w:sz w:val="16"/>
                <w:szCs w:val="16"/>
                <w:lang w:val="el-GR"/>
              </w:rPr>
              <w:t>(ποσοστ. μονάδες)</w:t>
            </w:r>
          </w:p>
        </w:tc>
        <w:tc>
          <w:tcPr>
            <w:tcW w:w="2221" w:type="dxa"/>
            <w:tcBorders>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4F48C204" w14:textId="77777777" w:rsidR="000B29D9" w:rsidRPr="00122418" w:rsidRDefault="000B29D9" w:rsidP="00122418">
            <w:pPr>
              <w:pStyle w:val="Tabletext"/>
              <w:spacing w:line="276" w:lineRule="auto"/>
              <w:jc w:val="center"/>
              <w:rPr>
                <w:rFonts w:ascii="Arial" w:hAnsi="Arial" w:cs="Arial"/>
                <w:b/>
                <w:sz w:val="16"/>
                <w:szCs w:val="16"/>
                <w:lang w:val="el-GR"/>
              </w:rPr>
            </w:pPr>
            <w:r w:rsidRPr="00122418">
              <w:rPr>
                <w:rFonts w:ascii="Arial" w:hAnsi="Arial" w:cs="Arial"/>
                <w:b/>
                <w:sz w:val="16"/>
                <w:szCs w:val="16"/>
                <w:lang w:val="el-GR"/>
              </w:rPr>
              <w:t>Ποσοστιαία μεταβολή</w:t>
            </w:r>
          </w:p>
          <w:p w14:paraId="4FA6D492" w14:textId="3513AFB7" w:rsidR="000B29D9" w:rsidRPr="00122418" w:rsidRDefault="000B29D9" w:rsidP="00122418">
            <w:pPr>
              <w:pStyle w:val="Tabletext"/>
              <w:spacing w:line="276" w:lineRule="auto"/>
              <w:jc w:val="center"/>
              <w:rPr>
                <w:rFonts w:ascii="Arial" w:hAnsi="Arial" w:cs="Arial"/>
                <w:b/>
                <w:sz w:val="16"/>
                <w:szCs w:val="16"/>
                <w:lang w:val="el-GR"/>
              </w:rPr>
            </w:pPr>
            <w:r w:rsidRPr="00122418">
              <w:rPr>
                <w:rFonts w:ascii="Arial" w:hAnsi="Arial" w:cs="Arial"/>
                <w:b/>
                <w:sz w:val="16"/>
                <w:szCs w:val="16"/>
                <w:lang w:val="el-GR"/>
              </w:rPr>
              <w:t>(ποσοστ. μονάδες)</w:t>
            </w:r>
          </w:p>
        </w:tc>
      </w:tr>
      <w:tr w:rsidR="00122418" w:rsidRPr="00F13A93" w14:paraId="01340D09" w14:textId="77777777" w:rsidTr="006A61CA">
        <w:trPr>
          <w:cantSplit/>
          <w:jc w:val="center"/>
        </w:trPr>
        <w:tc>
          <w:tcPr>
            <w:tcW w:w="1536" w:type="dxa"/>
            <w:tcBorders>
              <w:top w:val="single" w:sz="2" w:space="0" w:color="A6A6A6" w:themeColor="background1" w:themeShade="A6"/>
              <w:left w:val="single" w:sz="2" w:space="0" w:color="A6A6A6" w:themeColor="background1" w:themeShade="A6"/>
            </w:tcBorders>
            <w:shd w:val="clear" w:color="auto" w:fill="auto"/>
            <w:vAlign w:val="center"/>
            <w:hideMark/>
          </w:tcPr>
          <w:p w14:paraId="7F4D2AE1" w14:textId="77777777" w:rsidR="000B29D9" w:rsidRPr="00F13A93" w:rsidRDefault="000B29D9" w:rsidP="00B5431D">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1</w:t>
            </w:r>
          </w:p>
        </w:tc>
        <w:tc>
          <w:tcPr>
            <w:tcW w:w="2985" w:type="dxa"/>
            <w:tcBorders>
              <w:top w:val="single" w:sz="2" w:space="0" w:color="A6A6A6" w:themeColor="background1" w:themeShade="A6"/>
            </w:tcBorders>
            <w:shd w:val="clear" w:color="auto" w:fill="auto"/>
            <w:vAlign w:val="center"/>
            <w:hideMark/>
          </w:tcPr>
          <w:p w14:paraId="4E7302B5"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17,9%</w:t>
            </w:r>
          </w:p>
        </w:tc>
        <w:tc>
          <w:tcPr>
            <w:tcW w:w="2189" w:type="dxa"/>
            <w:tcBorders>
              <w:top w:val="single" w:sz="2" w:space="0" w:color="A6A6A6" w:themeColor="background1" w:themeShade="A6"/>
            </w:tcBorders>
            <w:shd w:val="clear" w:color="auto" w:fill="auto"/>
            <w:vAlign w:val="center"/>
            <w:hideMark/>
          </w:tcPr>
          <w:p w14:paraId="2D3BB518"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-0,3</w:t>
            </w:r>
          </w:p>
        </w:tc>
        <w:tc>
          <w:tcPr>
            <w:tcW w:w="2221" w:type="dxa"/>
            <w:tcBorders>
              <w:top w:val="single" w:sz="2" w:space="0" w:color="A6A6A6" w:themeColor="background1" w:themeShade="A6"/>
              <w:right w:val="single" w:sz="2" w:space="0" w:color="A6A6A6" w:themeColor="background1" w:themeShade="A6"/>
            </w:tcBorders>
            <w:shd w:val="clear" w:color="auto" w:fill="auto"/>
            <w:vAlign w:val="center"/>
            <w:hideMark/>
          </w:tcPr>
          <w:p w14:paraId="669F1D4D"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-0,2</w:t>
            </w:r>
          </w:p>
        </w:tc>
      </w:tr>
      <w:tr w:rsidR="00122418" w:rsidRPr="00F13A93" w14:paraId="65909C9B" w14:textId="77777777" w:rsidTr="006A61CA">
        <w:trPr>
          <w:cantSplit/>
          <w:trHeight w:val="227"/>
          <w:jc w:val="center"/>
        </w:trPr>
        <w:tc>
          <w:tcPr>
            <w:tcW w:w="1536" w:type="dxa"/>
            <w:tcBorders>
              <w:left w:val="single" w:sz="2" w:space="0" w:color="A6A6A6" w:themeColor="background1" w:themeShade="A6"/>
            </w:tcBorders>
            <w:shd w:val="clear" w:color="auto" w:fill="auto"/>
            <w:vAlign w:val="center"/>
            <w:hideMark/>
          </w:tcPr>
          <w:p w14:paraId="44E4C1A0" w14:textId="77777777" w:rsidR="000B29D9" w:rsidRPr="00F13A93" w:rsidRDefault="000B29D9" w:rsidP="00B5431D">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2</w:t>
            </w:r>
          </w:p>
        </w:tc>
        <w:tc>
          <w:tcPr>
            <w:tcW w:w="2985" w:type="dxa"/>
            <w:shd w:val="clear" w:color="auto" w:fill="auto"/>
            <w:vAlign w:val="center"/>
            <w:hideMark/>
          </w:tcPr>
          <w:p w14:paraId="16E4E92D"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15,3%</w:t>
            </w:r>
          </w:p>
        </w:tc>
        <w:tc>
          <w:tcPr>
            <w:tcW w:w="2189" w:type="dxa"/>
            <w:shd w:val="clear" w:color="auto" w:fill="auto"/>
            <w:vAlign w:val="center"/>
            <w:hideMark/>
          </w:tcPr>
          <w:p w14:paraId="66D21E50"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-0,2</w:t>
            </w:r>
          </w:p>
        </w:tc>
        <w:tc>
          <w:tcPr>
            <w:tcW w:w="2221" w:type="dxa"/>
            <w:tcBorders>
              <w:right w:val="single" w:sz="2" w:space="0" w:color="A6A6A6" w:themeColor="background1" w:themeShade="A6"/>
            </w:tcBorders>
            <w:shd w:val="clear" w:color="auto" w:fill="auto"/>
            <w:vAlign w:val="center"/>
            <w:hideMark/>
          </w:tcPr>
          <w:p w14:paraId="25E1E165"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-0,2</w:t>
            </w:r>
          </w:p>
        </w:tc>
      </w:tr>
      <w:tr w:rsidR="00122418" w:rsidRPr="00F13A93" w14:paraId="131D1FEB" w14:textId="77777777" w:rsidTr="006A61CA">
        <w:trPr>
          <w:cantSplit/>
          <w:trHeight w:val="227"/>
          <w:jc w:val="center"/>
        </w:trPr>
        <w:tc>
          <w:tcPr>
            <w:tcW w:w="1536" w:type="dxa"/>
            <w:tcBorders>
              <w:left w:val="single" w:sz="2" w:space="0" w:color="A6A6A6" w:themeColor="background1" w:themeShade="A6"/>
            </w:tcBorders>
            <w:shd w:val="clear" w:color="auto" w:fill="auto"/>
            <w:vAlign w:val="center"/>
            <w:hideMark/>
          </w:tcPr>
          <w:p w14:paraId="77D4D9FF" w14:textId="77777777" w:rsidR="000B29D9" w:rsidRPr="00F13A93" w:rsidRDefault="000B29D9" w:rsidP="00B5431D">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3</w:t>
            </w:r>
          </w:p>
        </w:tc>
        <w:tc>
          <w:tcPr>
            <w:tcW w:w="2985" w:type="dxa"/>
            <w:shd w:val="clear" w:color="auto" w:fill="auto"/>
            <w:vAlign w:val="center"/>
            <w:hideMark/>
          </w:tcPr>
          <w:p w14:paraId="3BBBF6DC"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15,8%</w:t>
            </w:r>
          </w:p>
        </w:tc>
        <w:tc>
          <w:tcPr>
            <w:tcW w:w="2189" w:type="dxa"/>
            <w:shd w:val="clear" w:color="auto" w:fill="auto"/>
            <w:vAlign w:val="center"/>
            <w:hideMark/>
          </w:tcPr>
          <w:p w14:paraId="34FA2D11"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-0,2</w:t>
            </w:r>
          </w:p>
        </w:tc>
        <w:tc>
          <w:tcPr>
            <w:tcW w:w="2221" w:type="dxa"/>
            <w:tcBorders>
              <w:right w:val="single" w:sz="2" w:space="0" w:color="A6A6A6" w:themeColor="background1" w:themeShade="A6"/>
            </w:tcBorders>
            <w:shd w:val="clear" w:color="auto" w:fill="auto"/>
            <w:vAlign w:val="center"/>
            <w:hideMark/>
          </w:tcPr>
          <w:p w14:paraId="7C9FA22A"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-0,5</w:t>
            </w:r>
          </w:p>
        </w:tc>
      </w:tr>
      <w:tr w:rsidR="00122418" w:rsidRPr="00F13A93" w14:paraId="7C1FCB89" w14:textId="77777777" w:rsidTr="006A61CA">
        <w:trPr>
          <w:cantSplit/>
          <w:trHeight w:val="227"/>
          <w:jc w:val="center"/>
        </w:trPr>
        <w:tc>
          <w:tcPr>
            <w:tcW w:w="1536" w:type="dxa"/>
            <w:tcBorders>
              <w:left w:val="single" w:sz="2" w:space="0" w:color="A6A6A6" w:themeColor="background1" w:themeShade="A6"/>
            </w:tcBorders>
            <w:shd w:val="clear" w:color="auto" w:fill="auto"/>
            <w:vAlign w:val="center"/>
            <w:hideMark/>
          </w:tcPr>
          <w:p w14:paraId="5F5E3B2F" w14:textId="77777777" w:rsidR="000B29D9" w:rsidRPr="00F13A93" w:rsidRDefault="000B29D9" w:rsidP="00B5431D">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4</w:t>
            </w:r>
          </w:p>
        </w:tc>
        <w:tc>
          <w:tcPr>
            <w:tcW w:w="2985" w:type="dxa"/>
            <w:shd w:val="clear" w:color="auto" w:fill="auto"/>
            <w:vAlign w:val="center"/>
            <w:hideMark/>
          </w:tcPr>
          <w:p w14:paraId="3D11587C"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16,2%</w:t>
            </w:r>
          </w:p>
        </w:tc>
        <w:tc>
          <w:tcPr>
            <w:tcW w:w="2189" w:type="dxa"/>
            <w:shd w:val="clear" w:color="auto" w:fill="auto"/>
            <w:vAlign w:val="center"/>
            <w:hideMark/>
          </w:tcPr>
          <w:p w14:paraId="5D7C61CA"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-0,2</w:t>
            </w:r>
          </w:p>
        </w:tc>
        <w:tc>
          <w:tcPr>
            <w:tcW w:w="2221" w:type="dxa"/>
            <w:tcBorders>
              <w:right w:val="single" w:sz="2" w:space="0" w:color="A6A6A6" w:themeColor="background1" w:themeShade="A6"/>
            </w:tcBorders>
            <w:shd w:val="clear" w:color="auto" w:fill="auto"/>
            <w:vAlign w:val="center"/>
            <w:hideMark/>
          </w:tcPr>
          <w:p w14:paraId="07C06CEF"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-0,4</w:t>
            </w:r>
          </w:p>
        </w:tc>
      </w:tr>
      <w:tr w:rsidR="00122418" w:rsidRPr="00F13A93" w14:paraId="33812626" w14:textId="77777777" w:rsidTr="006A61CA">
        <w:trPr>
          <w:cantSplit/>
          <w:trHeight w:val="227"/>
          <w:jc w:val="center"/>
        </w:trPr>
        <w:tc>
          <w:tcPr>
            <w:tcW w:w="1536" w:type="dxa"/>
            <w:tcBorders>
              <w:left w:val="single" w:sz="2" w:space="0" w:color="A6A6A6" w:themeColor="background1" w:themeShade="A6"/>
            </w:tcBorders>
            <w:shd w:val="clear" w:color="auto" w:fill="auto"/>
            <w:vAlign w:val="center"/>
            <w:hideMark/>
          </w:tcPr>
          <w:p w14:paraId="6AD0483E" w14:textId="77777777" w:rsidR="000B29D9" w:rsidRPr="00F13A93" w:rsidRDefault="000B29D9" w:rsidP="00B5431D">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5</w:t>
            </w:r>
          </w:p>
        </w:tc>
        <w:tc>
          <w:tcPr>
            <w:tcW w:w="2985" w:type="dxa"/>
            <w:shd w:val="clear" w:color="auto" w:fill="auto"/>
            <w:vAlign w:val="center"/>
            <w:hideMark/>
          </w:tcPr>
          <w:p w14:paraId="53706DEE"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17,0%</w:t>
            </w:r>
          </w:p>
        </w:tc>
        <w:tc>
          <w:tcPr>
            <w:tcW w:w="2189" w:type="dxa"/>
            <w:shd w:val="clear" w:color="auto" w:fill="auto"/>
            <w:vAlign w:val="center"/>
            <w:hideMark/>
          </w:tcPr>
          <w:p w14:paraId="1B362399"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-0,1</w:t>
            </w:r>
          </w:p>
        </w:tc>
        <w:tc>
          <w:tcPr>
            <w:tcW w:w="2221" w:type="dxa"/>
            <w:tcBorders>
              <w:right w:val="single" w:sz="2" w:space="0" w:color="A6A6A6" w:themeColor="background1" w:themeShade="A6"/>
            </w:tcBorders>
            <w:shd w:val="clear" w:color="auto" w:fill="auto"/>
            <w:vAlign w:val="center"/>
            <w:hideMark/>
          </w:tcPr>
          <w:p w14:paraId="070059C9" w14:textId="77777777" w:rsidR="000B29D9" w:rsidRPr="00F13A93" w:rsidRDefault="000B29D9" w:rsidP="006A61CA">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-0,7</w:t>
            </w:r>
          </w:p>
        </w:tc>
      </w:tr>
      <w:tr w:rsidR="00122418" w:rsidRPr="00F13A93" w14:paraId="53567F27" w14:textId="77777777" w:rsidTr="006A61CA">
        <w:trPr>
          <w:cantSplit/>
          <w:trHeight w:val="227"/>
          <w:jc w:val="center"/>
        </w:trPr>
        <w:tc>
          <w:tcPr>
            <w:tcW w:w="1536" w:type="dxa"/>
            <w:tcBorders>
              <w:left w:val="single" w:sz="2" w:space="0" w:color="A6A6A6" w:themeColor="background1" w:themeShade="A6"/>
            </w:tcBorders>
            <w:shd w:val="clear" w:color="auto" w:fill="auto"/>
            <w:vAlign w:val="center"/>
            <w:hideMark/>
          </w:tcPr>
          <w:p w14:paraId="7CA14722" w14:textId="77777777" w:rsidR="000B29D9" w:rsidRPr="00F13A93" w:rsidRDefault="000B29D9" w:rsidP="00B5431D">
            <w:pPr>
              <w:pStyle w:val="Tabletext"/>
              <w:spacing w:line="276" w:lineRule="auto"/>
              <w:jc w:val="center"/>
              <w:rPr>
                <w:rFonts w:ascii="Arial" w:hAnsi="Arial" w:cs="Arial"/>
                <w:sz w:val="16"/>
                <w:szCs w:val="16"/>
                <w:lang w:val="el-GR"/>
              </w:rPr>
            </w:pPr>
            <w:r w:rsidRPr="00F13A93">
              <w:rPr>
                <w:rFonts w:ascii="Arial" w:hAnsi="Arial" w:cs="Arial"/>
                <w:sz w:val="16"/>
                <w:szCs w:val="16"/>
                <w:lang w:val="el-GR"/>
              </w:rPr>
              <w:t>6</w:t>
            </w:r>
          </w:p>
        </w:tc>
        <w:tc>
          <w:tcPr>
            <w:tcW w:w="2985" w:type="dxa"/>
            <w:shd w:val="clear" w:color="auto" w:fill="auto"/>
            <w:vAlign w:val="center"/>
            <w:hideMark/>
          </w:tcPr>
          <w:p w14:paraId="5232E08E"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lang w:val="el-GR"/>
              </w:rPr>
              <w:t>1</w:t>
            </w:r>
            <w:r w:rsidRPr="00F13A93">
              <w:rPr>
                <w:rFonts w:ascii="Arial" w:hAnsi="Arial" w:cs="Arial"/>
                <w:sz w:val="16"/>
                <w:szCs w:val="16"/>
              </w:rPr>
              <w:t>7</w:t>
            </w:r>
            <w:r w:rsidRPr="00F13A93">
              <w:rPr>
                <w:rFonts w:ascii="Arial" w:hAnsi="Arial" w:cs="Arial"/>
                <w:sz w:val="16"/>
                <w:szCs w:val="16"/>
                <w:lang w:val="el-GR"/>
              </w:rPr>
              <w:t>,</w:t>
            </w:r>
            <w:r w:rsidRPr="00F13A93">
              <w:rPr>
                <w:rFonts w:ascii="Arial" w:hAnsi="Arial" w:cs="Arial"/>
                <w:sz w:val="16"/>
                <w:szCs w:val="16"/>
              </w:rPr>
              <w:t>8%</w:t>
            </w:r>
          </w:p>
        </w:tc>
        <w:tc>
          <w:tcPr>
            <w:tcW w:w="2189" w:type="dxa"/>
            <w:shd w:val="clear" w:color="auto" w:fill="auto"/>
            <w:vAlign w:val="center"/>
            <w:hideMark/>
          </w:tcPr>
          <w:p w14:paraId="04DD9582"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1</w:t>
            </w:r>
          </w:p>
        </w:tc>
        <w:tc>
          <w:tcPr>
            <w:tcW w:w="2221" w:type="dxa"/>
            <w:tcBorders>
              <w:right w:val="single" w:sz="2" w:space="0" w:color="A6A6A6" w:themeColor="background1" w:themeShade="A6"/>
            </w:tcBorders>
            <w:shd w:val="clear" w:color="auto" w:fill="auto"/>
            <w:vAlign w:val="center"/>
            <w:hideMark/>
          </w:tcPr>
          <w:p w14:paraId="43BD619C"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4</w:t>
            </w:r>
          </w:p>
        </w:tc>
      </w:tr>
      <w:tr w:rsidR="00122418" w:rsidRPr="00F13A93" w14:paraId="5AF575D0" w14:textId="77777777" w:rsidTr="006A61CA">
        <w:trPr>
          <w:cantSplit/>
          <w:trHeight w:val="227"/>
          <w:jc w:val="center"/>
        </w:trPr>
        <w:tc>
          <w:tcPr>
            <w:tcW w:w="1536" w:type="dxa"/>
            <w:tcBorders>
              <w:left w:val="single" w:sz="2" w:space="0" w:color="A6A6A6" w:themeColor="background1" w:themeShade="A6"/>
            </w:tcBorders>
            <w:shd w:val="clear" w:color="auto" w:fill="auto"/>
            <w:vAlign w:val="center"/>
            <w:hideMark/>
          </w:tcPr>
          <w:p w14:paraId="3858E112" w14:textId="77777777" w:rsidR="000B29D9" w:rsidRPr="00F13A93" w:rsidRDefault="000B29D9" w:rsidP="00B5431D">
            <w:pPr>
              <w:pStyle w:val="Tabletext"/>
              <w:spacing w:line="276" w:lineRule="auto"/>
              <w:jc w:val="center"/>
              <w:rPr>
                <w:rFonts w:ascii="Arial" w:hAnsi="Arial" w:cs="Arial"/>
                <w:sz w:val="16"/>
                <w:szCs w:val="16"/>
              </w:rPr>
            </w:pPr>
            <w:r w:rsidRPr="00F13A93">
              <w:rPr>
                <w:rFonts w:ascii="Arial" w:hAnsi="Arial" w:cs="Arial"/>
                <w:sz w:val="16"/>
                <w:szCs w:val="16"/>
              </w:rPr>
              <w:t>7</w:t>
            </w:r>
          </w:p>
        </w:tc>
        <w:tc>
          <w:tcPr>
            <w:tcW w:w="2985" w:type="dxa"/>
            <w:shd w:val="clear" w:color="auto" w:fill="auto"/>
            <w:vAlign w:val="center"/>
            <w:hideMark/>
          </w:tcPr>
          <w:p w14:paraId="44BF4A94"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19</w:t>
            </w:r>
            <w:r w:rsidRPr="00F13A93">
              <w:rPr>
                <w:rFonts w:ascii="Arial" w:hAnsi="Arial" w:cs="Arial"/>
                <w:sz w:val="16"/>
                <w:szCs w:val="16"/>
                <w:lang w:val="el-GR"/>
              </w:rPr>
              <w:t>,</w:t>
            </w:r>
            <w:r w:rsidRPr="00F13A93">
              <w:rPr>
                <w:rFonts w:ascii="Arial" w:hAnsi="Arial" w:cs="Arial"/>
                <w:sz w:val="16"/>
                <w:szCs w:val="16"/>
              </w:rPr>
              <w:t>0%</w:t>
            </w:r>
          </w:p>
        </w:tc>
        <w:tc>
          <w:tcPr>
            <w:tcW w:w="2189" w:type="dxa"/>
            <w:shd w:val="clear" w:color="auto" w:fill="auto"/>
            <w:vAlign w:val="center"/>
            <w:hideMark/>
          </w:tcPr>
          <w:p w14:paraId="799CDDD6"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1</w:t>
            </w:r>
          </w:p>
        </w:tc>
        <w:tc>
          <w:tcPr>
            <w:tcW w:w="2221" w:type="dxa"/>
            <w:tcBorders>
              <w:right w:val="single" w:sz="2" w:space="0" w:color="A6A6A6" w:themeColor="background1" w:themeShade="A6"/>
            </w:tcBorders>
            <w:shd w:val="clear" w:color="auto" w:fill="auto"/>
            <w:vAlign w:val="center"/>
            <w:hideMark/>
          </w:tcPr>
          <w:p w14:paraId="11F7654A"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6</w:t>
            </w:r>
          </w:p>
        </w:tc>
      </w:tr>
      <w:tr w:rsidR="00122418" w:rsidRPr="00F13A93" w14:paraId="203521EB" w14:textId="77777777" w:rsidTr="006A61CA">
        <w:trPr>
          <w:cantSplit/>
          <w:trHeight w:val="227"/>
          <w:jc w:val="center"/>
        </w:trPr>
        <w:tc>
          <w:tcPr>
            <w:tcW w:w="1536" w:type="dxa"/>
            <w:tcBorders>
              <w:left w:val="single" w:sz="2" w:space="0" w:color="A6A6A6" w:themeColor="background1" w:themeShade="A6"/>
            </w:tcBorders>
            <w:shd w:val="clear" w:color="auto" w:fill="auto"/>
            <w:vAlign w:val="center"/>
            <w:hideMark/>
          </w:tcPr>
          <w:p w14:paraId="15B593AB" w14:textId="77777777" w:rsidR="000B29D9" w:rsidRPr="00F13A93" w:rsidRDefault="000B29D9" w:rsidP="00B5431D">
            <w:pPr>
              <w:pStyle w:val="Tabletext"/>
              <w:spacing w:line="276" w:lineRule="auto"/>
              <w:jc w:val="center"/>
              <w:rPr>
                <w:rFonts w:ascii="Arial" w:hAnsi="Arial" w:cs="Arial"/>
                <w:sz w:val="16"/>
                <w:szCs w:val="16"/>
              </w:rPr>
            </w:pPr>
            <w:r w:rsidRPr="00F13A93">
              <w:rPr>
                <w:rFonts w:ascii="Arial" w:hAnsi="Arial" w:cs="Arial"/>
                <w:sz w:val="16"/>
                <w:szCs w:val="16"/>
              </w:rPr>
              <w:t>8</w:t>
            </w:r>
          </w:p>
        </w:tc>
        <w:tc>
          <w:tcPr>
            <w:tcW w:w="2985" w:type="dxa"/>
            <w:shd w:val="clear" w:color="auto" w:fill="auto"/>
            <w:vAlign w:val="center"/>
            <w:hideMark/>
          </w:tcPr>
          <w:p w14:paraId="71EEB832"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20</w:t>
            </w:r>
            <w:r w:rsidRPr="00F13A93">
              <w:rPr>
                <w:rFonts w:ascii="Arial" w:hAnsi="Arial" w:cs="Arial"/>
                <w:sz w:val="16"/>
                <w:szCs w:val="16"/>
                <w:lang w:val="el-GR"/>
              </w:rPr>
              <w:t>,</w:t>
            </w:r>
            <w:r w:rsidRPr="00F13A93">
              <w:rPr>
                <w:rFonts w:ascii="Arial" w:hAnsi="Arial" w:cs="Arial"/>
                <w:sz w:val="16"/>
                <w:szCs w:val="16"/>
              </w:rPr>
              <w:t>3%</w:t>
            </w:r>
          </w:p>
        </w:tc>
        <w:tc>
          <w:tcPr>
            <w:tcW w:w="2189" w:type="dxa"/>
            <w:shd w:val="clear" w:color="auto" w:fill="auto"/>
            <w:vAlign w:val="center"/>
            <w:hideMark/>
          </w:tcPr>
          <w:p w14:paraId="6E1D5564"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1</w:t>
            </w:r>
          </w:p>
        </w:tc>
        <w:tc>
          <w:tcPr>
            <w:tcW w:w="2221" w:type="dxa"/>
            <w:tcBorders>
              <w:right w:val="single" w:sz="2" w:space="0" w:color="A6A6A6" w:themeColor="background1" w:themeShade="A6"/>
            </w:tcBorders>
            <w:shd w:val="clear" w:color="auto" w:fill="auto"/>
            <w:vAlign w:val="center"/>
            <w:hideMark/>
          </w:tcPr>
          <w:p w14:paraId="7661C7A6"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8</w:t>
            </w:r>
          </w:p>
        </w:tc>
      </w:tr>
      <w:tr w:rsidR="00122418" w:rsidRPr="00F13A93" w14:paraId="226417B4" w14:textId="77777777" w:rsidTr="006A61CA">
        <w:trPr>
          <w:cantSplit/>
          <w:trHeight w:val="227"/>
          <w:jc w:val="center"/>
        </w:trPr>
        <w:tc>
          <w:tcPr>
            <w:tcW w:w="1536" w:type="dxa"/>
            <w:tcBorders>
              <w:left w:val="single" w:sz="2" w:space="0" w:color="A6A6A6" w:themeColor="background1" w:themeShade="A6"/>
            </w:tcBorders>
            <w:shd w:val="clear" w:color="auto" w:fill="auto"/>
            <w:vAlign w:val="center"/>
            <w:hideMark/>
          </w:tcPr>
          <w:p w14:paraId="3162FC87" w14:textId="77777777" w:rsidR="000B29D9" w:rsidRPr="00F13A93" w:rsidRDefault="000B29D9" w:rsidP="00B5431D">
            <w:pPr>
              <w:pStyle w:val="Tabletext"/>
              <w:spacing w:line="276" w:lineRule="auto"/>
              <w:jc w:val="center"/>
              <w:rPr>
                <w:rFonts w:ascii="Arial" w:hAnsi="Arial" w:cs="Arial"/>
                <w:sz w:val="16"/>
                <w:szCs w:val="16"/>
              </w:rPr>
            </w:pPr>
            <w:r w:rsidRPr="00F13A93">
              <w:rPr>
                <w:rFonts w:ascii="Arial" w:hAnsi="Arial" w:cs="Arial"/>
                <w:sz w:val="16"/>
                <w:szCs w:val="16"/>
              </w:rPr>
              <w:t>9</w:t>
            </w:r>
          </w:p>
        </w:tc>
        <w:tc>
          <w:tcPr>
            <w:tcW w:w="2985" w:type="dxa"/>
            <w:shd w:val="clear" w:color="auto" w:fill="auto"/>
            <w:vAlign w:val="center"/>
            <w:hideMark/>
          </w:tcPr>
          <w:p w14:paraId="3D7E9DCF"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21</w:t>
            </w:r>
            <w:r w:rsidRPr="00F13A93">
              <w:rPr>
                <w:rFonts w:ascii="Arial" w:hAnsi="Arial" w:cs="Arial"/>
                <w:sz w:val="16"/>
                <w:szCs w:val="16"/>
                <w:lang w:val="el-GR"/>
              </w:rPr>
              <w:t>,</w:t>
            </w:r>
            <w:r w:rsidRPr="00F13A93">
              <w:rPr>
                <w:rFonts w:ascii="Arial" w:hAnsi="Arial" w:cs="Arial"/>
                <w:sz w:val="16"/>
                <w:szCs w:val="16"/>
              </w:rPr>
              <w:t>8%</w:t>
            </w:r>
          </w:p>
        </w:tc>
        <w:tc>
          <w:tcPr>
            <w:tcW w:w="2189" w:type="dxa"/>
            <w:shd w:val="clear" w:color="auto" w:fill="auto"/>
            <w:vAlign w:val="center"/>
            <w:hideMark/>
          </w:tcPr>
          <w:p w14:paraId="3D78F514"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0</w:t>
            </w:r>
          </w:p>
        </w:tc>
        <w:tc>
          <w:tcPr>
            <w:tcW w:w="2221" w:type="dxa"/>
            <w:tcBorders>
              <w:right w:val="single" w:sz="2" w:space="0" w:color="A6A6A6" w:themeColor="background1" w:themeShade="A6"/>
            </w:tcBorders>
            <w:shd w:val="clear" w:color="auto" w:fill="auto"/>
            <w:vAlign w:val="center"/>
            <w:hideMark/>
          </w:tcPr>
          <w:p w14:paraId="645EC2CD"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8</w:t>
            </w:r>
          </w:p>
        </w:tc>
      </w:tr>
      <w:tr w:rsidR="00122418" w:rsidRPr="00F13A93" w14:paraId="46671E9B" w14:textId="77777777" w:rsidTr="006A61CA">
        <w:trPr>
          <w:cantSplit/>
          <w:trHeight w:val="227"/>
          <w:jc w:val="center"/>
        </w:trPr>
        <w:tc>
          <w:tcPr>
            <w:tcW w:w="1536" w:type="dxa"/>
            <w:tcBorders>
              <w:left w:val="single" w:sz="2" w:space="0" w:color="A6A6A6" w:themeColor="background1" w:themeShade="A6"/>
            </w:tcBorders>
            <w:shd w:val="clear" w:color="auto" w:fill="auto"/>
            <w:vAlign w:val="center"/>
            <w:hideMark/>
          </w:tcPr>
          <w:p w14:paraId="74EE1713" w14:textId="77777777" w:rsidR="000B29D9" w:rsidRPr="00F13A93" w:rsidRDefault="000B29D9" w:rsidP="00B5431D">
            <w:pPr>
              <w:pStyle w:val="Tabletext"/>
              <w:spacing w:line="276" w:lineRule="auto"/>
              <w:jc w:val="center"/>
              <w:rPr>
                <w:rFonts w:ascii="Arial" w:hAnsi="Arial" w:cs="Arial"/>
                <w:sz w:val="16"/>
                <w:szCs w:val="16"/>
              </w:rPr>
            </w:pPr>
            <w:r w:rsidRPr="00F13A93">
              <w:rPr>
                <w:rFonts w:ascii="Arial" w:hAnsi="Arial" w:cs="Arial"/>
                <w:sz w:val="16"/>
                <w:szCs w:val="16"/>
              </w:rPr>
              <w:t>10</w:t>
            </w:r>
          </w:p>
        </w:tc>
        <w:tc>
          <w:tcPr>
            <w:tcW w:w="2985" w:type="dxa"/>
            <w:shd w:val="clear" w:color="auto" w:fill="auto"/>
            <w:vAlign w:val="center"/>
            <w:hideMark/>
          </w:tcPr>
          <w:p w14:paraId="6CF82711"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27</w:t>
            </w:r>
            <w:r w:rsidRPr="00F13A93">
              <w:rPr>
                <w:rFonts w:ascii="Arial" w:hAnsi="Arial" w:cs="Arial"/>
                <w:sz w:val="16"/>
                <w:szCs w:val="16"/>
                <w:lang w:val="el-GR"/>
              </w:rPr>
              <w:t>,</w:t>
            </w:r>
            <w:r w:rsidRPr="00F13A93">
              <w:rPr>
                <w:rFonts w:ascii="Arial" w:hAnsi="Arial" w:cs="Arial"/>
                <w:sz w:val="16"/>
                <w:szCs w:val="16"/>
              </w:rPr>
              <w:t>6%</w:t>
            </w:r>
          </w:p>
        </w:tc>
        <w:tc>
          <w:tcPr>
            <w:tcW w:w="2189" w:type="dxa"/>
            <w:shd w:val="clear" w:color="auto" w:fill="auto"/>
            <w:vAlign w:val="center"/>
            <w:hideMark/>
          </w:tcPr>
          <w:p w14:paraId="06FF9810"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0</w:t>
            </w:r>
            <w:r w:rsidRPr="00F13A93">
              <w:rPr>
                <w:rFonts w:ascii="Arial" w:hAnsi="Arial" w:cs="Arial"/>
                <w:sz w:val="16"/>
                <w:szCs w:val="16"/>
                <w:lang w:val="el-GR"/>
              </w:rPr>
              <w:t>,</w:t>
            </w:r>
            <w:r w:rsidRPr="00F13A93">
              <w:rPr>
                <w:rFonts w:ascii="Arial" w:hAnsi="Arial" w:cs="Arial"/>
                <w:sz w:val="16"/>
                <w:szCs w:val="16"/>
              </w:rPr>
              <w:t>0</w:t>
            </w:r>
          </w:p>
        </w:tc>
        <w:tc>
          <w:tcPr>
            <w:tcW w:w="2221" w:type="dxa"/>
            <w:tcBorders>
              <w:right w:val="single" w:sz="2" w:space="0" w:color="A6A6A6" w:themeColor="background1" w:themeShade="A6"/>
            </w:tcBorders>
            <w:shd w:val="clear" w:color="auto" w:fill="auto"/>
            <w:vAlign w:val="center"/>
            <w:hideMark/>
          </w:tcPr>
          <w:p w14:paraId="16794C0C" w14:textId="77777777" w:rsidR="000B29D9" w:rsidRPr="00F13A93" w:rsidRDefault="000B29D9" w:rsidP="006A61CA">
            <w:pPr>
              <w:pStyle w:val="Tabletext"/>
              <w:spacing w:line="276" w:lineRule="auto"/>
              <w:jc w:val="center"/>
              <w:rPr>
                <w:rFonts w:ascii="Arial" w:hAnsi="Arial" w:cs="Arial"/>
                <w:sz w:val="16"/>
                <w:szCs w:val="16"/>
              </w:rPr>
            </w:pPr>
            <w:r w:rsidRPr="00F13A93">
              <w:rPr>
                <w:rFonts w:ascii="Arial" w:hAnsi="Arial" w:cs="Arial"/>
                <w:sz w:val="16"/>
                <w:szCs w:val="16"/>
              </w:rPr>
              <w:t>-1</w:t>
            </w:r>
            <w:r w:rsidRPr="00F13A93">
              <w:rPr>
                <w:rFonts w:ascii="Arial" w:hAnsi="Arial" w:cs="Arial"/>
                <w:sz w:val="16"/>
                <w:szCs w:val="16"/>
                <w:lang w:val="el-GR"/>
              </w:rPr>
              <w:t>,</w:t>
            </w:r>
            <w:r w:rsidRPr="00F13A93">
              <w:rPr>
                <w:rFonts w:ascii="Arial" w:hAnsi="Arial" w:cs="Arial"/>
                <w:sz w:val="16"/>
                <w:szCs w:val="16"/>
              </w:rPr>
              <w:t>2</w:t>
            </w:r>
          </w:p>
        </w:tc>
      </w:tr>
      <w:tr w:rsidR="00F13A93" w:rsidRPr="00F13A93" w14:paraId="580A6171" w14:textId="77777777" w:rsidTr="006A61CA">
        <w:trPr>
          <w:cantSplit/>
          <w:trHeight w:val="227"/>
          <w:jc w:val="center"/>
        </w:trPr>
        <w:tc>
          <w:tcPr>
            <w:tcW w:w="1536" w:type="dxa"/>
            <w:tcBorders>
              <w:left w:val="single" w:sz="2" w:space="0" w:color="A6A6A6" w:themeColor="background1" w:themeShade="A6"/>
              <w:bottom w:val="single" w:sz="2" w:space="0" w:color="A6A6A6" w:themeColor="background1" w:themeShade="A6"/>
            </w:tcBorders>
            <w:shd w:val="clear" w:color="auto" w:fill="auto"/>
            <w:vAlign w:val="center"/>
            <w:hideMark/>
          </w:tcPr>
          <w:p w14:paraId="7D0E0DA0" w14:textId="77777777" w:rsidR="000B29D9" w:rsidRPr="00F13A93" w:rsidRDefault="000B29D9" w:rsidP="00B5431D">
            <w:pPr>
              <w:pStyle w:val="Tabletext"/>
              <w:spacing w:line="276" w:lineRule="auto"/>
              <w:jc w:val="center"/>
              <w:rPr>
                <w:rFonts w:ascii="Arial" w:hAnsi="Arial" w:cs="Arial"/>
                <w:b/>
                <w:sz w:val="16"/>
                <w:szCs w:val="16"/>
                <w:lang w:val="el-GR"/>
              </w:rPr>
            </w:pPr>
            <w:r w:rsidRPr="00F13A93">
              <w:rPr>
                <w:rFonts w:ascii="Arial" w:hAnsi="Arial" w:cs="Arial"/>
                <w:b/>
                <w:sz w:val="16"/>
                <w:szCs w:val="16"/>
                <w:lang w:val="el-GR"/>
              </w:rPr>
              <w:t>Σύνολο</w:t>
            </w:r>
          </w:p>
        </w:tc>
        <w:tc>
          <w:tcPr>
            <w:tcW w:w="2985" w:type="dxa"/>
            <w:tcBorders>
              <w:bottom w:val="single" w:sz="2" w:space="0" w:color="A6A6A6" w:themeColor="background1" w:themeShade="A6"/>
            </w:tcBorders>
            <w:shd w:val="clear" w:color="auto" w:fill="auto"/>
            <w:vAlign w:val="center"/>
            <w:hideMark/>
          </w:tcPr>
          <w:p w14:paraId="1F2DB3DB" w14:textId="77777777" w:rsidR="000B29D9" w:rsidRPr="00F13A93" w:rsidRDefault="000B29D9" w:rsidP="006A61CA">
            <w:pPr>
              <w:pStyle w:val="Tabletext"/>
              <w:spacing w:line="276" w:lineRule="auto"/>
              <w:jc w:val="center"/>
              <w:rPr>
                <w:rFonts w:ascii="Arial" w:hAnsi="Arial" w:cs="Arial"/>
                <w:b/>
                <w:sz w:val="16"/>
                <w:szCs w:val="16"/>
              </w:rPr>
            </w:pPr>
            <w:r w:rsidRPr="00F13A93">
              <w:rPr>
                <w:rFonts w:ascii="Arial" w:hAnsi="Arial" w:cs="Arial"/>
                <w:b/>
                <w:sz w:val="16"/>
                <w:szCs w:val="16"/>
              </w:rPr>
              <w:t>21</w:t>
            </w:r>
            <w:r w:rsidRPr="00F13A93">
              <w:rPr>
                <w:rFonts w:ascii="Arial" w:hAnsi="Arial" w:cs="Arial"/>
                <w:b/>
                <w:sz w:val="16"/>
                <w:szCs w:val="16"/>
                <w:lang w:val="el-GR"/>
              </w:rPr>
              <w:t>,</w:t>
            </w:r>
            <w:r w:rsidRPr="00F13A93">
              <w:rPr>
                <w:rFonts w:ascii="Arial" w:hAnsi="Arial" w:cs="Arial"/>
                <w:b/>
                <w:sz w:val="16"/>
                <w:szCs w:val="16"/>
              </w:rPr>
              <w:t>0%</w:t>
            </w:r>
          </w:p>
        </w:tc>
        <w:tc>
          <w:tcPr>
            <w:tcW w:w="2189" w:type="dxa"/>
            <w:tcBorders>
              <w:bottom w:val="single" w:sz="2" w:space="0" w:color="A6A6A6" w:themeColor="background1" w:themeShade="A6"/>
            </w:tcBorders>
            <w:shd w:val="clear" w:color="auto" w:fill="auto"/>
            <w:vAlign w:val="center"/>
            <w:hideMark/>
          </w:tcPr>
          <w:p w14:paraId="37598E6F" w14:textId="77777777" w:rsidR="000B29D9" w:rsidRPr="00F13A93" w:rsidRDefault="000B29D9" w:rsidP="006A61CA">
            <w:pPr>
              <w:pStyle w:val="Tabletext"/>
              <w:spacing w:line="276" w:lineRule="auto"/>
              <w:jc w:val="center"/>
              <w:rPr>
                <w:rFonts w:ascii="Arial" w:hAnsi="Arial" w:cs="Arial"/>
                <w:b/>
                <w:sz w:val="16"/>
                <w:szCs w:val="16"/>
              </w:rPr>
            </w:pPr>
            <w:r w:rsidRPr="00F13A93">
              <w:rPr>
                <w:rFonts w:ascii="Arial" w:hAnsi="Arial" w:cs="Arial"/>
                <w:b/>
                <w:sz w:val="16"/>
                <w:szCs w:val="16"/>
              </w:rPr>
              <w:t>-0</w:t>
            </w:r>
            <w:r w:rsidRPr="00F13A93">
              <w:rPr>
                <w:rFonts w:ascii="Arial" w:hAnsi="Arial" w:cs="Arial"/>
                <w:b/>
                <w:sz w:val="16"/>
                <w:szCs w:val="16"/>
                <w:lang w:val="el-GR"/>
              </w:rPr>
              <w:t>,</w:t>
            </w:r>
            <w:r w:rsidRPr="00F13A93">
              <w:rPr>
                <w:rFonts w:ascii="Arial" w:hAnsi="Arial" w:cs="Arial"/>
                <w:b/>
                <w:sz w:val="16"/>
                <w:szCs w:val="16"/>
              </w:rPr>
              <w:t>1</w:t>
            </w:r>
          </w:p>
        </w:tc>
        <w:tc>
          <w:tcPr>
            <w:tcW w:w="2221" w:type="dxa"/>
            <w:tcBorders>
              <w:bottom w:val="single" w:sz="2" w:space="0" w:color="A6A6A6" w:themeColor="background1" w:themeShade="A6"/>
              <w:right w:val="single" w:sz="2" w:space="0" w:color="A6A6A6" w:themeColor="background1" w:themeShade="A6"/>
            </w:tcBorders>
            <w:shd w:val="clear" w:color="auto" w:fill="auto"/>
            <w:vAlign w:val="center"/>
            <w:hideMark/>
          </w:tcPr>
          <w:p w14:paraId="01BA02CF" w14:textId="77777777" w:rsidR="000B29D9" w:rsidRPr="00F13A93" w:rsidRDefault="000B29D9" w:rsidP="006A61CA">
            <w:pPr>
              <w:pStyle w:val="Tabletext"/>
              <w:spacing w:line="276" w:lineRule="auto"/>
              <w:jc w:val="center"/>
              <w:rPr>
                <w:rFonts w:ascii="Arial" w:hAnsi="Arial" w:cs="Arial"/>
                <w:b/>
                <w:sz w:val="16"/>
                <w:szCs w:val="16"/>
              </w:rPr>
            </w:pPr>
            <w:r w:rsidRPr="00F13A93">
              <w:rPr>
                <w:rFonts w:ascii="Arial" w:hAnsi="Arial" w:cs="Arial"/>
                <w:b/>
                <w:sz w:val="16"/>
                <w:szCs w:val="16"/>
              </w:rPr>
              <w:t>-0</w:t>
            </w:r>
            <w:r w:rsidRPr="00F13A93">
              <w:rPr>
                <w:rFonts w:ascii="Arial" w:hAnsi="Arial" w:cs="Arial"/>
                <w:b/>
                <w:sz w:val="16"/>
                <w:szCs w:val="16"/>
                <w:lang w:val="el-GR"/>
              </w:rPr>
              <w:t>,</w:t>
            </w:r>
            <w:r w:rsidRPr="00F13A93">
              <w:rPr>
                <w:rFonts w:ascii="Arial" w:hAnsi="Arial" w:cs="Arial"/>
                <w:b/>
                <w:sz w:val="16"/>
                <w:szCs w:val="16"/>
              </w:rPr>
              <w:t>7</w:t>
            </w:r>
          </w:p>
        </w:tc>
      </w:tr>
      <w:tr w:rsidR="00FA61BE" w:rsidRPr="00F13A93" w14:paraId="4D32B1D5" w14:textId="77777777" w:rsidTr="00B5431D">
        <w:trPr>
          <w:cantSplit/>
          <w:jc w:val="center"/>
        </w:trPr>
        <w:tc>
          <w:tcPr>
            <w:tcW w:w="8931" w:type="dxa"/>
            <w:gridSpan w:val="4"/>
            <w:tcBorders>
              <w:top w:val="single" w:sz="2" w:space="0" w:color="A6A6A6" w:themeColor="background1" w:themeShade="A6"/>
            </w:tcBorders>
            <w:shd w:val="clear" w:color="auto" w:fill="auto"/>
            <w:vAlign w:val="center"/>
          </w:tcPr>
          <w:p w14:paraId="3EE408CF" w14:textId="0B8C28A8" w:rsidR="00FA61BE" w:rsidRPr="00F13A93" w:rsidRDefault="00FA61BE" w:rsidP="00A529B7">
            <w:pPr>
              <w:pStyle w:val="Source"/>
              <w:spacing w:before="60" w:after="0" w:line="276" w:lineRule="auto"/>
              <w:jc w:val="both"/>
              <w:rPr>
                <w:rFonts w:ascii="Arial" w:hAnsi="Arial" w:cs="Arial"/>
                <w:sz w:val="16"/>
                <w:szCs w:val="16"/>
                <w:lang w:val="el-GR"/>
              </w:rPr>
            </w:pPr>
            <w:r w:rsidRPr="00A21BE2">
              <w:rPr>
                <w:rFonts w:ascii="Arial" w:hAnsi="Arial" w:cs="Arial"/>
                <w:i w:val="0"/>
                <w:sz w:val="16"/>
                <w:szCs w:val="16"/>
                <w:lang w:val="el-GR"/>
              </w:rPr>
              <w:t xml:space="preserve">Σημείωση: </w:t>
            </w:r>
            <w:r w:rsidRPr="00A21BE2">
              <w:rPr>
                <w:rStyle w:val="aff5"/>
                <w:rFonts w:ascii="Arial" w:hAnsi="Arial" w:cs="Arial"/>
                <w:color w:val="auto"/>
                <w:sz w:val="16"/>
                <w:szCs w:val="16"/>
                <w:lang w:val="el-GR"/>
              </w:rPr>
              <w:t>Οι μεταβολές έχουν υπολογιστεί σε σύγκριση με το σενάριο 2025_βάση σε ποσοστιαίες μονάδες. Μία αύξηση υποδηλώνει υψηλότερο ποσοστό εισοδημάτων προ φόρων και προ εισφορών</w:t>
            </w:r>
            <w:r w:rsidR="00847755" w:rsidRPr="00A21BE2">
              <w:rPr>
                <w:rStyle w:val="aff5"/>
                <w:rFonts w:ascii="Arial" w:hAnsi="Arial" w:cs="Arial"/>
                <w:color w:val="auto"/>
                <w:sz w:val="16"/>
                <w:szCs w:val="16"/>
                <w:lang w:val="el-GR"/>
              </w:rPr>
              <w:t>,</w:t>
            </w:r>
            <w:r w:rsidRPr="00A21BE2">
              <w:rPr>
                <w:rStyle w:val="aff5"/>
                <w:rFonts w:ascii="Arial" w:hAnsi="Arial" w:cs="Arial"/>
                <w:color w:val="auto"/>
                <w:sz w:val="16"/>
                <w:szCs w:val="16"/>
                <w:lang w:val="el-GR"/>
              </w:rPr>
              <w:t xml:space="preserve"> που διοχετεύονται σε φόρους και ασφαλιστικές εισφορές, ενώ μ</w:t>
            </w:r>
            <w:r w:rsidR="00F10A07" w:rsidRPr="00A21BE2">
              <w:rPr>
                <w:rStyle w:val="aff5"/>
                <w:rFonts w:ascii="Arial" w:hAnsi="Arial" w:cs="Arial"/>
                <w:color w:val="auto"/>
                <w:sz w:val="16"/>
                <w:szCs w:val="16"/>
                <w:lang w:val="el-GR"/>
              </w:rPr>
              <w:t>ί</w:t>
            </w:r>
            <w:r w:rsidRPr="00A21BE2">
              <w:rPr>
                <w:rStyle w:val="aff5"/>
                <w:rFonts w:ascii="Arial" w:hAnsi="Arial" w:cs="Arial"/>
                <w:color w:val="auto"/>
                <w:sz w:val="16"/>
                <w:szCs w:val="16"/>
                <w:lang w:val="el-GR"/>
              </w:rPr>
              <w:t>α μείωση αντικατοπτρίζει σχετικό περιορισμό στη συνολική επιβάρυνση από φόρους και εισφορές. Οι μειώσεις μπορ</w:t>
            </w:r>
            <w:r w:rsidR="00847755" w:rsidRPr="00A21BE2">
              <w:rPr>
                <w:rStyle w:val="aff5"/>
                <w:rFonts w:ascii="Arial" w:hAnsi="Arial" w:cs="Arial"/>
                <w:color w:val="auto"/>
                <w:sz w:val="16"/>
                <w:szCs w:val="16"/>
                <w:lang w:val="el-GR"/>
              </w:rPr>
              <w:t>εί</w:t>
            </w:r>
            <w:r w:rsidRPr="00A21BE2">
              <w:rPr>
                <w:rStyle w:val="aff5"/>
                <w:rFonts w:ascii="Arial" w:hAnsi="Arial" w:cs="Arial"/>
                <w:color w:val="auto"/>
                <w:sz w:val="16"/>
                <w:szCs w:val="16"/>
                <w:lang w:val="el-GR"/>
              </w:rPr>
              <w:t xml:space="preserve"> να αποδοθούν είτε σε μείωση του αριθμητή είτε σε αύξηση του παρονομαστή</w:t>
            </w:r>
            <w:r w:rsidR="00847755" w:rsidRPr="00A21BE2">
              <w:rPr>
                <w:rStyle w:val="aff5"/>
                <w:rFonts w:ascii="Arial" w:hAnsi="Arial" w:cs="Arial"/>
                <w:color w:val="auto"/>
                <w:sz w:val="16"/>
                <w:szCs w:val="16"/>
                <w:lang w:val="el-GR"/>
              </w:rPr>
              <w:t>,</w:t>
            </w:r>
            <w:r w:rsidRPr="00A21BE2">
              <w:rPr>
                <w:rStyle w:val="aff5"/>
                <w:rFonts w:ascii="Arial" w:hAnsi="Arial" w:cs="Arial"/>
                <w:color w:val="auto"/>
                <w:sz w:val="16"/>
                <w:szCs w:val="16"/>
                <w:lang w:val="el-GR"/>
              </w:rPr>
              <w:t xml:space="preserve"> όπως στο σενάριο 2025_αναφορά</w:t>
            </w:r>
            <w:r w:rsidR="00F10A07" w:rsidRPr="00A21BE2">
              <w:rPr>
                <w:rStyle w:val="aff5"/>
                <w:rFonts w:ascii="Arial" w:hAnsi="Arial" w:cs="Arial"/>
                <w:color w:val="auto"/>
                <w:sz w:val="16"/>
                <w:szCs w:val="16"/>
                <w:lang w:val="el-GR"/>
              </w:rPr>
              <w:t>.</w:t>
            </w:r>
          </w:p>
        </w:tc>
      </w:tr>
    </w:tbl>
    <w:p w14:paraId="546BCD6C" w14:textId="77777777" w:rsidR="0063612D" w:rsidRDefault="0063612D" w:rsidP="0063612D"/>
    <w:p w14:paraId="18A96527" w14:textId="77777777" w:rsidR="0063612D" w:rsidRDefault="0063612D">
      <w:pPr>
        <w:spacing w:after="0" w:line="240" w:lineRule="auto"/>
        <w:jc w:val="left"/>
        <w:rPr>
          <w:color w:val="000000"/>
          <w:szCs w:val="20"/>
        </w:rPr>
      </w:pPr>
      <w:r>
        <w:rPr>
          <w:color w:val="000000"/>
          <w:szCs w:val="20"/>
        </w:rPr>
        <w:br w:type="page"/>
      </w:r>
    </w:p>
    <w:p w14:paraId="772CB420" w14:textId="554DCBE5" w:rsidR="00921601" w:rsidRDefault="00F10A07" w:rsidP="0063612D">
      <w:pPr>
        <w:spacing w:before="240" w:after="240"/>
        <w:rPr>
          <w:color w:val="000000"/>
        </w:rPr>
      </w:pPr>
      <w:r w:rsidRPr="0098356F">
        <w:rPr>
          <w:color w:val="000000"/>
          <w:szCs w:val="20"/>
        </w:rPr>
        <w:lastRenderedPageBreak/>
        <w:t xml:space="preserve">Παρακάτω </w:t>
      </w:r>
      <w:r w:rsidR="007D0AF3" w:rsidRPr="0098356F">
        <w:t>(</w:t>
      </w:r>
      <w:r w:rsidR="007D0AF3" w:rsidRPr="0098356F">
        <w:fldChar w:fldCharType="begin"/>
      </w:r>
      <w:r w:rsidR="007D0AF3" w:rsidRPr="0098356F">
        <w:instrText xml:space="preserve"> REF _Ref150349178 \h  \* MERGEFORMAT </w:instrText>
      </w:r>
      <w:r w:rsidR="007D0AF3" w:rsidRPr="0098356F">
        <w:fldChar w:fldCharType="separate"/>
      </w:r>
      <w:r w:rsidR="00E15678" w:rsidRPr="00E15678">
        <w:t>Πίνακας 3.31</w:t>
      </w:r>
      <w:r w:rsidR="007D0AF3" w:rsidRPr="0098356F">
        <w:fldChar w:fldCharType="end"/>
      </w:r>
      <w:r w:rsidR="007D0AF3" w:rsidRPr="0098356F">
        <w:t>.)</w:t>
      </w:r>
      <w:r w:rsidR="007D0AF3" w:rsidRPr="0098356F">
        <w:rPr>
          <w:color w:val="000000"/>
          <w:szCs w:val="20"/>
        </w:rPr>
        <w:t xml:space="preserve"> </w:t>
      </w:r>
      <w:r w:rsidRPr="0098356F">
        <w:rPr>
          <w:color w:val="000000"/>
          <w:szCs w:val="20"/>
        </w:rPr>
        <w:t>παρο</w:t>
      </w:r>
      <w:r w:rsidRPr="0098356F">
        <w:rPr>
          <w:color w:val="000000"/>
        </w:rPr>
        <w:t>υσιάζ</w:t>
      </w:r>
      <w:r w:rsidRPr="00284AB7">
        <w:rPr>
          <w:color w:val="000000"/>
        </w:rPr>
        <w:t xml:space="preserve">ονται οι κύριοι δείκτες ανισότητας, υπολογισμένοι στην εισοδηματική κατανομή </w:t>
      </w:r>
      <w:r>
        <w:rPr>
          <w:color w:val="000000"/>
        </w:rPr>
        <w:t xml:space="preserve">του σεναρίου </w:t>
      </w:r>
      <w:r w:rsidRPr="00284AB7">
        <w:rPr>
          <w:color w:val="000000"/>
        </w:rPr>
        <w:t>βάσης 202</w:t>
      </w:r>
      <w:r>
        <w:rPr>
          <w:color w:val="000000"/>
        </w:rPr>
        <w:t>5, καθώς</w:t>
      </w:r>
      <w:r w:rsidRPr="00284AB7">
        <w:rPr>
          <w:color w:val="000000"/>
        </w:rPr>
        <w:t xml:space="preserve"> και οι απόλυτες μεταβολές που επέρχονται </w:t>
      </w:r>
      <w:r>
        <w:rPr>
          <w:color w:val="000000"/>
        </w:rPr>
        <w:t>στα δύο σενάρια μεταρρυθμίσεων</w:t>
      </w:r>
      <w:r w:rsidRPr="00284AB7">
        <w:rPr>
          <w:color w:val="000000"/>
        </w:rPr>
        <w:t>.</w:t>
      </w:r>
    </w:p>
    <w:tbl>
      <w:tblPr>
        <w:tblStyle w:val="ac"/>
        <w:tblW w:w="765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1700"/>
        <w:gridCol w:w="1984"/>
        <w:gridCol w:w="1984"/>
        <w:gridCol w:w="1986"/>
      </w:tblGrid>
      <w:tr w:rsidR="00AC411B" w:rsidRPr="00E8778D" w14:paraId="45E99420" w14:textId="5CC0A899" w:rsidTr="0063612D">
        <w:trPr>
          <w:cantSplit/>
          <w:trHeight w:val="340"/>
          <w:jc w:val="center"/>
        </w:trPr>
        <w:tc>
          <w:tcPr>
            <w:tcW w:w="7654"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tcPr>
          <w:p w14:paraId="6610E30D" w14:textId="43D94367" w:rsidR="00AC411B" w:rsidRPr="00F10A07" w:rsidRDefault="00AC411B" w:rsidP="00B5431D">
            <w:pPr>
              <w:spacing w:after="0" w:line="276" w:lineRule="auto"/>
              <w:jc w:val="center"/>
              <w:rPr>
                <w:b/>
                <w:sz w:val="18"/>
                <w:szCs w:val="18"/>
              </w:rPr>
            </w:pPr>
            <w:bookmarkStart w:id="647" w:name="_Ref150349178"/>
            <w:bookmarkStart w:id="648" w:name="_Toc214474069"/>
            <w:r w:rsidRPr="00AC411B">
              <w:rPr>
                <w:b/>
                <w:sz w:val="18"/>
                <w:szCs w:val="18"/>
              </w:rPr>
              <w:t>Πίνακας 3.</w:t>
            </w:r>
            <w:r w:rsidRPr="00AC411B">
              <w:rPr>
                <w:b/>
                <w:sz w:val="18"/>
                <w:szCs w:val="18"/>
              </w:rPr>
              <w:fldChar w:fldCharType="begin"/>
            </w:r>
            <w:r w:rsidRPr="00AC411B">
              <w:rPr>
                <w:b/>
                <w:sz w:val="18"/>
                <w:szCs w:val="18"/>
              </w:rPr>
              <w:instrText xml:space="preserve"> SEQ Πίνακας_3. \* ARABIC </w:instrText>
            </w:r>
            <w:r w:rsidRPr="00AC411B">
              <w:rPr>
                <w:b/>
                <w:sz w:val="18"/>
                <w:szCs w:val="18"/>
              </w:rPr>
              <w:fldChar w:fldCharType="separate"/>
            </w:r>
            <w:r w:rsidR="00E15678">
              <w:rPr>
                <w:b/>
                <w:noProof/>
                <w:sz w:val="18"/>
                <w:szCs w:val="18"/>
              </w:rPr>
              <w:t>31</w:t>
            </w:r>
            <w:r w:rsidRPr="00AC411B">
              <w:rPr>
                <w:b/>
                <w:sz w:val="18"/>
                <w:szCs w:val="18"/>
              </w:rPr>
              <w:fldChar w:fldCharType="end"/>
            </w:r>
            <w:bookmarkEnd w:id="647"/>
            <w:r w:rsidRPr="00AC411B">
              <w:rPr>
                <w:b/>
                <w:sz w:val="18"/>
                <w:szCs w:val="18"/>
              </w:rPr>
              <w:t>.: Δείκτες ανισότητας</w:t>
            </w:r>
            <w:bookmarkEnd w:id="648"/>
          </w:p>
        </w:tc>
      </w:tr>
      <w:tr w:rsidR="00D91486" w:rsidRPr="002B3C63" w14:paraId="39FA9C08" w14:textId="30E35206" w:rsidTr="0063612D">
        <w:trPr>
          <w:cantSplit/>
          <w:trHeight w:val="397"/>
          <w:jc w:val="center"/>
        </w:trPr>
        <w:tc>
          <w:tcPr>
            <w:tcW w:w="1700" w:type="dxa"/>
            <w:vMerge w:val="restart"/>
            <w:tcBorders>
              <w:top w:val="single" w:sz="2" w:space="0" w:color="A6A6A6" w:themeColor="background1" w:themeShade="A6"/>
              <w:left w:val="single" w:sz="2" w:space="0" w:color="A6A6A6" w:themeColor="background1" w:themeShade="A6"/>
              <w:bottom w:val="nil"/>
            </w:tcBorders>
            <w:shd w:val="clear" w:color="auto" w:fill="F2F2F2" w:themeFill="background1" w:themeFillShade="F2"/>
          </w:tcPr>
          <w:p w14:paraId="2CE466EB" w14:textId="77777777" w:rsidR="00AC411B" w:rsidRPr="002B3C63" w:rsidRDefault="00AC411B" w:rsidP="00B5431D">
            <w:pPr>
              <w:spacing w:after="0" w:line="276" w:lineRule="auto"/>
              <w:jc w:val="center"/>
              <w:rPr>
                <w:b/>
                <w:sz w:val="16"/>
                <w:szCs w:val="18"/>
              </w:rPr>
            </w:pPr>
          </w:p>
        </w:tc>
        <w:tc>
          <w:tcPr>
            <w:tcW w:w="1984" w:type="dxa"/>
            <w:vMerge w:val="restart"/>
            <w:tcBorders>
              <w:top w:val="single" w:sz="2" w:space="0" w:color="A6A6A6" w:themeColor="background1" w:themeShade="A6"/>
              <w:bottom w:val="nil"/>
            </w:tcBorders>
            <w:shd w:val="clear" w:color="auto" w:fill="F2F2F2" w:themeFill="background1" w:themeFillShade="F2"/>
            <w:vAlign w:val="center"/>
          </w:tcPr>
          <w:p w14:paraId="514D104C" w14:textId="6439E719" w:rsidR="00AC411B" w:rsidRPr="002B3C63" w:rsidRDefault="00AC411B" w:rsidP="00B5431D">
            <w:pPr>
              <w:spacing w:after="0" w:line="276" w:lineRule="auto"/>
              <w:jc w:val="center"/>
              <w:rPr>
                <w:b/>
                <w:sz w:val="16"/>
                <w:szCs w:val="18"/>
              </w:rPr>
            </w:pPr>
            <w:r w:rsidRPr="002B3C63">
              <w:rPr>
                <w:b/>
                <w:sz w:val="16"/>
                <w:szCs w:val="18"/>
              </w:rPr>
              <w:t>202</w:t>
            </w:r>
            <w:r>
              <w:rPr>
                <w:b/>
                <w:sz w:val="16"/>
                <w:szCs w:val="18"/>
              </w:rPr>
              <w:t>5</w:t>
            </w:r>
            <w:r w:rsidRPr="00AC411B">
              <w:rPr>
                <w:b/>
                <w:sz w:val="16"/>
                <w:szCs w:val="18"/>
              </w:rPr>
              <w:t>_βάση</w:t>
            </w:r>
          </w:p>
        </w:tc>
        <w:tc>
          <w:tcPr>
            <w:tcW w:w="1984" w:type="dxa"/>
            <w:tcBorders>
              <w:top w:val="single" w:sz="2" w:space="0" w:color="A6A6A6" w:themeColor="background1" w:themeShade="A6"/>
              <w:bottom w:val="nil"/>
            </w:tcBorders>
            <w:shd w:val="clear" w:color="auto" w:fill="F2F2F2" w:themeFill="background1" w:themeFillShade="F2"/>
            <w:vAlign w:val="center"/>
          </w:tcPr>
          <w:p w14:paraId="14772607" w14:textId="36B4FBD7" w:rsidR="00AC411B" w:rsidRPr="002B3C63" w:rsidRDefault="00AC411B" w:rsidP="00B5431D">
            <w:pPr>
              <w:spacing w:after="0" w:line="276" w:lineRule="auto"/>
              <w:jc w:val="center"/>
              <w:rPr>
                <w:b/>
                <w:sz w:val="16"/>
                <w:szCs w:val="18"/>
              </w:rPr>
            </w:pPr>
            <w:r w:rsidRPr="002B3C63">
              <w:rPr>
                <w:b/>
                <w:sz w:val="16"/>
                <w:szCs w:val="18"/>
              </w:rPr>
              <w:t>Απόλυτη διαφορά σε σχέση με τη βάση 202</w:t>
            </w:r>
            <w:r>
              <w:rPr>
                <w:b/>
                <w:sz w:val="16"/>
                <w:szCs w:val="18"/>
              </w:rPr>
              <w:t>5</w:t>
            </w:r>
          </w:p>
        </w:tc>
        <w:tc>
          <w:tcPr>
            <w:tcW w:w="1986" w:type="dxa"/>
            <w:tcBorders>
              <w:top w:val="single" w:sz="2" w:space="0" w:color="A6A6A6" w:themeColor="background1" w:themeShade="A6"/>
              <w:bottom w:val="nil"/>
              <w:right w:val="single" w:sz="2" w:space="0" w:color="A6A6A6" w:themeColor="background1" w:themeShade="A6"/>
            </w:tcBorders>
            <w:shd w:val="clear" w:color="auto" w:fill="F2F2F2" w:themeFill="background1" w:themeFillShade="F2"/>
            <w:vAlign w:val="center"/>
          </w:tcPr>
          <w:p w14:paraId="1BCE8407" w14:textId="6A587EE1" w:rsidR="00AC411B" w:rsidRPr="002B3C63" w:rsidRDefault="00AC411B" w:rsidP="00B5431D">
            <w:pPr>
              <w:spacing w:after="0" w:line="276" w:lineRule="auto"/>
              <w:jc w:val="center"/>
              <w:rPr>
                <w:b/>
                <w:sz w:val="16"/>
                <w:szCs w:val="18"/>
              </w:rPr>
            </w:pPr>
            <w:r w:rsidRPr="00AC411B">
              <w:rPr>
                <w:b/>
                <w:sz w:val="16"/>
                <w:szCs w:val="18"/>
              </w:rPr>
              <w:t>Απόλυτη διαφορά σε σχέση με τη βάση 2025</w:t>
            </w:r>
          </w:p>
        </w:tc>
      </w:tr>
      <w:tr w:rsidR="00D91486" w:rsidRPr="00216C11" w14:paraId="57A395DB" w14:textId="5CABBDD5" w:rsidTr="0063612D">
        <w:trPr>
          <w:cantSplit/>
          <w:trHeight w:val="397"/>
          <w:jc w:val="center"/>
        </w:trPr>
        <w:tc>
          <w:tcPr>
            <w:tcW w:w="1700" w:type="dxa"/>
            <w:vMerge/>
            <w:tcBorders>
              <w:top w:val="nil"/>
              <w:left w:val="single" w:sz="2" w:space="0" w:color="A6A6A6" w:themeColor="background1" w:themeShade="A6"/>
              <w:bottom w:val="single" w:sz="2" w:space="0" w:color="A6A6A6" w:themeColor="background1" w:themeShade="A6"/>
            </w:tcBorders>
            <w:shd w:val="clear" w:color="auto" w:fill="F2F2F2" w:themeFill="background1" w:themeFillShade="F2"/>
          </w:tcPr>
          <w:p w14:paraId="5E40AF4E" w14:textId="77777777" w:rsidR="00AC411B" w:rsidRPr="00216C11" w:rsidRDefault="00AC411B" w:rsidP="00B5431D">
            <w:pPr>
              <w:spacing w:after="0" w:line="276" w:lineRule="auto"/>
              <w:jc w:val="center"/>
              <w:rPr>
                <w:b/>
                <w:sz w:val="18"/>
                <w:szCs w:val="18"/>
              </w:rPr>
            </w:pPr>
          </w:p>
        </w:tc>
        <w:tc>
          <w:tcPr>
            <w:tcW w:w="1984" w:type="dxa"/>
            <w:vMerge/>
            <w:tcBorders>
              <w:top w:val="nil"/>
              <w:bottom w:val="single" w:sz="2" w:space="0" w:color="A6A6A6" w:themeColor="background1" w:themeShade="A6"/>
            </w:tcBorders>
            <w:shd w:val="clear" w:color="auto" w:fill="F2F2F2" w:themeFill="background1" w:themeFillShade="F2"/>
            <w:vAlign w:val="center"/>
          </w:tcPr>
          <w:p w14:paraId="7292195A" w14:textId="67AA26F5" w:rsidR="00AC411B" w:rsidRPr="00216C11" w:rsidRDefault="00AC411B" w:rsidP="00B5431D">
            <w:pPr>
              <w:spacing w:after="0" w:line="276" w:lineRule="auto"/>
              <w:jc w:val="center"/>
              <w:rPr>
                <w:b/>
                <w:sz w:val="18"/>
                <w:szCs w:val="18"/>
              </w:rPr>
            </w:pPr>
          </w:p>
        </w:tc>
        <w:tc>
          <w:tcPr>
            <w:tcW w:w="1984" w:type="dxa"/>
            <w:tcBorders>
              <w:top w:val="nil"/>
              <w:bottom w:val="single" w:sz="2" w:space="0" w:color="A6A6A6" w:themeColor="background1" w:themeShade="A6"/>
            </w:tcBorders>
            <w:shd w:val="clear" w:color="auto" w:fill="F2F2F2" w:themeFill="background1" w:themeFillShade="F2"/>
            <w:vAlign w:val="center"/>
          </w:tcPr>
          <w:p w14:paraId="69E37F9D" w14:textId="2F92A2FD" w:rsidR="00AC411B" w:rsidRPr="000D54AE" w:rsidRDefault="00AC411B" w:rsidP="00B5431D">
            <w:pPr>
              <w:spacing w:after="0" w:line="276" w:lineRule="auto"/>
              <w:jc w:val="center"/>
              <w:rPr>
                <w:b/>
                <w:sz w:val="18"/>
                <w:szCs w:val="18"/>
              </w:rPr>
            </w:pPr>
            <w:r w:rsidRPr="00285F7B">
              <w:rPr>
                <w:b/>
                <w:sz w:val="16"/>
                <w:szCs w:val="18"/>
              </w:rPr>
              <w:t>2025</w:t>
            </w:r>
            <w:r>
              <w:rPr>
                <w:b/>
                <w:sz w:val="16"/>
                <w:szCs w:val="18"/>
              </w:rPr>
              <w:t>_</w:t>
            </w:r>
            <w:r w:rsidRPr="00AC411B">
              <w:rPr>
                <w:b/>
                <w:sz w:val="16"/>
                <w:szCs w:val="18"/>
              </w:rPr>
              <w:t>αναφορά</w:t>
            </w:r>
          </w:p>
        </w:tc>
        <w:tc>
          <w:tcPr>
            <w:tcW w:w="1986" w:type="dxa"/>
            <w:tcBorders>
              <w:top w:val="nil"/>
              <w:bottom w:val="single" w:sz="2" w:space="0" w:color="A6A6A6" w:themeColor="background1" w:themeShade="A6"/>
              <w:right w:val="single" w:sz="2" w:space="0" w:color="A6A6A6" w:themeColor="background1" w:themeShade="A6"/>
            </w:tcBorders>
            <w:shd w:val="clear" w:color="auto" w:fill="F2F2F2" w:themeFill="background1" w:themeFillShade="F2"/>
            <w:vAlign w:val="center"/>
          </w:tcPr>
          <w:p w14:paraId="439E848C" w14:textId="60087DDD" w:rsidR="00AC411B" w:rsidRPr="00285F7B" w:rsidRDefault="00AC411B" w:rsidP="00B5431D">
            <w:pPr>
              <w:spacing w:after="0" w:line="276" w:lineRule="auto"/>
              <w:jc w:val="center"/>
              <w:rPr>
                <w:b/>
                <w:sz w:val="16"/>
                <w:szCs w:val="18"/>
              </w:rPr>
            </w:pPr>
            <w:r w:rsidRPr="00AC411B">
              <w:rPr>
                <w:b/>
                <w:sz w:val="16"/>
                <w:szCs w:val="18"/>
              </w:rPr>
              <w:t>2026_αναφορά</w:t>
            </w:r>
          </w:p>
        </w:tc>
      </w:tr>
      <w:tr w:rsidR="00D91486" w:rsidRPr="00AC411B" w14:paraId="19AC0122" w14:textId="334FC57A" w:rsidTr="00002918">
        <w:trPr>
          <w:cantSplit/>
          <w:trHeight w:val="227"/>
          <w:jc w:val="center"/>
        </w:trPr>
        <w:tc>
          <w:tcPr>
            <w:tcW w:w="1700" w:type="dxa"/>
            <w:tcBorders>
              <w:top w:val="single" w:sz="2" w:space="0" w:color="A6A6A6" w:themeColor="background1" w:themeShade="A6"/>
              <w:left w:val="single" w:sz="2" w:space="0" w:color="A6A6A6" w:themeColor="background1" w:themeShade="A6"/>
              <w:bottom w:val="nil"/>
            </w:tcBorders>
            <w:vAlign w:val="center"/>
          </w:tcPr>
          <w:p w14:paraId="39B8DB02" w14:textId="714042FA" w:rsidR="00AC411B" w:rsidRPr="00AC411B" w:rsidRDefault="00AC411B" w:rsidP="00002918">
            <w:pPr>
              <w:spacing w:after="0" w:line="276" w:lineRule="auto"/>
              <w:jc w:val="left"/>
              <w:rPr>
                <w:rFonts w:cs="Arial"/>
                <w:sz w:val="16"/>
                <w:lang w:val="en-US"/>
              </w:rPr>
            </w:pPr>
            <w:r w:rsidRPr="00AC411B">
              <w:rPr>
                <w:rFonts w:cs="Arial"/>
                <w:sz w:val="16"/>
              </w:rPr>
              <w:t>Gini</w:t>
            </w:r>
          </w:p>
        </w:tc>
        <w:tc>
          <w:tcPr>
            <w:tcW w:w="1984" w:type="dxa"/>
            <w:tcBorders>
              <w:top w:val="single" w:sz="2" w:space="0" w:color="A6A6A6" w:themeColor="background1" w:themeShade="A6"/>
              <w:bottom w:val="nil"/>
            </w:tcBorders>
            <w:vAlign w:val="center"/>
          </w:tcPr>
          <w:p w14:paraId="03B6BD83" w14:textId="114F668E" w:rsidR="00AC411B" w:rsidRPr="00AC411B" w:rsidRDefault="00AC411B" w:rsidP="00002918">
            <w:pPr>
              <w:spacing w:after="0" w:line="276" w:lineRule="auto"/>
              <w:jc w:val="center"/>
              <w:rPr>
                <w:rFonts w:cs="Arial"/>
                <w:sz w:val="16"/>
                <w:lang w:val="en-US"/>
              </w:rPr>
            </w:pPr>
            <w:r w:rsidRPr="00AC411B">
              <w:rPr>
                <w:rFonts w:cs="Arial"/>
                <w:sz w:val="16"/>
              </w:rPr>
              <w:t>0,306</w:t>
            </w:r>
          </w:p>
        </w:tc>
        <w:tc>
          <w:tcPr>
            <w:tcW w:w="1984" w:type="dxa"/>
            <w:tcBorders>
              <w:top w:val="single" w:sz="2" w:space="0" w:color="A6A6A6" w:themeColor="background1" w:themeShade="A6"/>
              <w:bottom w:val="nil"/>
            </w:tcBorders>
            <w:vAlign w:val="center"/>
          </w:tcPr>
          <w:p w14:paraId="1490FFA4" w14:textId="51E115E3" w:rsidR="00AC411B" w:rsidRPr="00AC411B" w:rsidRDefault="00AC411B" w:rsidP="00002918">
            <w:pPr>
              <w:spacing w:after="0" w:line="276" w:lineRule="auto"/>
              <w:jc w:val="center"/>
              <w:rPr>
                <w:rFonts w:cs="Arial"/>
                <w:sz w:val="16"/>
                <w:lang w:val="en-US"/>
              </w:rPr>
            </w:pPr>
            <w:r w:rsidRPr="00AC411B">
              <w:rPr>
                <w:rFonts w:cs="Arial"/>
                <w:sz w:val="16"/>
              </w:rPr>
              <w:t>-0,003</w:t>
            </w:r>
          </w:p>
        </w:tc>
        <w:tc>
          <w:tcPr>
            <w:tcW w:w="1986" w:type="dxa"/>
            <w:tcBorders>
              <w:top w:val="single" w:sz="2" w:space="0" w:color="A6A6A6" w:themeColor="background1" w:themeShade="A6"/>
              <w:bottom w:val="nil"/>
              <w:right w:val="single" w:sz="2" w:space="0" w:color="A6A6A6" w:themeColor="background1" w:themeShade="A6"/>
            </w:tcBorders>
            <w:vAlign w:val="center"/>
          </w:tcPr>
          <w:p w14:paraId="1657B243" w14:textId="431192DC" w:rsidR="00AC411B" w:rsidRPr="00AC411B" w:rsidRDefault="00AC411B" w:rsidP="00002918">
            <w:pPr>
              <w:spacing w:after="0" w:line="276" w:lineRule="auto"/>
              <w:jc w:val="center"/>
              <w:rPr>
                <w:rFonts w:cs="Arial"/>
                <w:sz w:val="16"/>
                <w:lang w:val="en-US"/>
              </w:rPr>
            </w:pPr>
            <w:r w:rsidRPr="00AC411B">
              <w:rPr>
                <w:rFonts w:cs="Arial"/>
                <w:sz w:val="16"/>
              </w:rPr>
              <w:t>0,001</w:t>
            </w:r>
          </w:p>
        </w:tc>
      </w:tr>
      <w:tr w:rsidR="00D91486" w:rsidRPr="00AC411B" w14:paraId="532003B9" w14:textId="3D5E7F1E" w:rsidTr="00002918">
        <w:trPr>
          <w:cantSplit/>
          <w:trHeight w:val="227"/>
          <w:jc w:val="center"/>
        </w:trPr>
        <w:tc>
          <w:tcPr>
            <w:tcW w:w="1700" w:type="dxa"/>
            <w:tcBorders>
              <w:top w:val="nil"/>
              <w:left w:val="single" w:sz="2" w:space="0" w:color="A6A6A6" w:themeColor="background1" w:themeShade="A6"/>
              <w:bottom w:val="nil"/>
            </w:tcBorders>
            <w:vAlign w:val="center"/>
          </w:tcPr>
          <w:p w14:paraId="76B444EC" w14:textId="588A0C94" w:rsidR="00AC411B" w:rsidRPr="00AC411B" w:rsidRDefault="00AC411B" w:rsidP="00002918">
            <w:pPr>
              <w:spacing w:after="0" w:line="276" w:lineRule="auto"/>
              <w:jc w:val="left"/>
              <w:rPr>
                <w:rFonts w:cs="Arial"/>
                <w:sz w:val="16"/>
                <w:lang w:val="en-US"/>
              </w:rPr>
            </w:pPr>
            <w:r w:rsidRPr="00AC411B">
              <w:rPr>
                <w:rFonts w:cs="Arial"/>
                <w:sz w:val="16"/>
              </w:rPr>
              <w:t>S80/S20</w:t>
            </w:r>
          </w:p>
        </w:tc>
        <w:tc>
          <w:tcPr>
            <w:tcW w:w="1984" w:type="dxa"/>
            <w:tcBorders>
              <w:top w:val="nil"/>
              <w:bottom w:val="nil"/>
            </w:tcBorders>
            <w:vAlign w:val="center"/>
          </w:tcPr>
          <w:p w14:paraId="7CC50E30" w14:textId="0E9132B0" w:rsidR="00AC411B" w:rsidRPr="00AC411B" w:rsidRDefault="00AC411B" w:rsidP="00002918">
            <w:pPr>
              <w:spacing w:after="0" w:line="276" w:lineRule="auto"/>
              <w:jc w:val="center"/>
              <w:rPr>
                <w:rFonts w:cs="Arial"/>
                <w:sz w:val="16"/>
                <w:lang w:val="en-US"/>
              </w:rPr>
            </w:pPr>
            <w:r w:rsidRPr="00AC411B">
              <w:rPr>
                <w:rFonts w:cs="Arial"/>
                <w:sz w:val="16"/>
              </w:rPr>
              <w:t>4,803</w:t>
            </w:r>
          </w:p>
        </w:tc>
        <w:tc>
          <w:tcPr>
            <w:tcW w:w="1984" w:type="dxa"/>
            <w:tcBorders>
              <w:top w:val="nil"/>
              <w:bottom w:val="nil"/>
            </w:tcBorders>
            <w:vAlign w:val="center"/>
          </w:tcPr>
          <w:p w14:paraId="2EBE3C67" w14:textId="37A5BF2D" w:rsidR="00AC411B" w:rsidRPr="00AC411B" w:rsidRDefault="00AC411B" w:rsidP="00002918">
            <w:pPr>
              <w:spacing w:after="0" w:line="276" w:lineRule="auto"/>
              <w:jc w:val="center"/>
              <w:rPr>
                <w:rFonts w:cs="Arial"/>
                <w:sz w:val="16"/>
                <w:lang w:val="en-US"/>
              </w:rPr>
            </w:pPr>
            <w:r w:rsidRPr="00AC411B">
              <w:rPr>
                <w:rFonts w:cs="Arial"/>
                <w:sz w:val="16"/>
              </w:rPr>
              <w:t>-0,073</w:t>
            </w:r>
          </w:p>
        </w:tc>
        <w:tc>
          <w:tcPr>
            <w:tcW w:w="1986" w:type="dxa"/>
            <w:tcBorders>
              <w:top w:val="nil"/>
              <w:bottom w:val="nil"/>
              <w:right w:val="single" w:sz="2" w:space="0" w:color="A6A6A6" w:themeColor="background1" w:themeShade="A6"/>
            </w:tcBorders>
            <w:vAlign w:val="center"/>
          </w:tcPr>
          <w:p w14:paraId="6D3F8660" w14:textId="6CA3FDE2" w:rsidR="00AC411B" w:rsidRPr="00AC411B" w:rsidRDefault="00AC411B" w:rsidP="00002918">
            <w:pPr>
              <w:spacing w:after="0" w:line="276" w:lineRule="auto"/>
              <w:jc w:val="center"/>
              <w:rPr>
                <w:rFonts w:cs="Arial"/>
                <w:sz w:val="16"/>
                <w:lang w:val="en-US"/>
              </w:rPr>
            </w:pPr>
            <w:r w:rsidRPr="00AC411B">
              <w:rPr>
                <w:rFonts w:cs="Arial"/>
                <w:sz w:val="16"/>
              </w:rPr>
              <w:t>0,036</w:t>
            </w:r>
          </w:p>
        </w:tc>
      </w:tr>
      <w:tr w:rsidR="00D91486" w:rsidRPr="00AC411B" w14:paraId="504E5B3C" w14:textId="391300F8" w:rsidTr="00002918">
        <w:trPr>
          <w:cantSplit/>
          <w:trHeight w:val="227"/>
          <w:jc w:val="center"/>
        </w:trPr>
        <w:tc>
          <w:tcPr>
            <w:tcW w:w="1700" w:type="dxa"/>
            <w:tcBorders>
              <w:top w:val="nil"/>
              <w:left w:val="single" w:sz="2" w:space="0" w:color="A6A6A6" w:themeColor="background1" w:themeShade="A6"/>
              <w:bottom w:val="nil"/>
            </w:tcBorders>
            <w:vAlign w:val="center"/>
          </w:tcPr>
          <w:p w14:paraId="0E3BB4EA" w14:textId="0DBE19C7" w:rsidR="00AC411B" w:rsidRPr="00AC411B" w:rsidRDefault="00AC411B" w:rsidP="00002918">
            <w:pPr>
              <w:spacing w:after="0" w:line="276" w:lineRule="auto"/>
              <w:jc w:val="left"/>
              <w:rPr>
                <w:rFonts w:cs="Arial"/>
                <w:sz w:val="16"/>
                <w:lang w:val="en-US"/>
              </w:rPr>
            </w:pPr>
            <w:r w:rsidRPr="00AC411B">
              <w:rPr>
                <w:rFonts w:cs="Arial"/>
                <w:sz w:val="16"/>
              </w:rPr>
              <w:t>S90/S10</w:t>
            </w:r>
          </w:p>
        </w:tc>
        <w:tc>
          <w:tcPr>
            <w:tcW w:w="1984" w:type="dxa"/>
            <w:tcBorders>
              <w:top w:val="nil"/>
              <w:bottom w:val="nil"/>
            </w:tcBorders>
            <w:vAlign w:val="center"/>
          </w:tcPr>
          <w:p w14:paraId="23982D48" w14:textId="156FCDF4" w:rsidR="00AC411B" w:rsidRPr="00AC411B" w:rsidRDefault="00AC411B" w:rsidP="00002918">
            <w:pPr>
              <w:spacing w:after="0" w:line="276" w:lineRule="auto"/>
              <w:jc w:val="center"/>
              <w:rPr>
                <w:rFonts w:cs="Arial"/>
                <w:sz w:val="16"/>
                <w:lang w:val="en-US"/>
              </w:rPr>
            </w:pPr>
            <w:r w:rsidRPr="00AC411B">
              <w:rPr>
                <w:rFonts w:cs="Arial"/>
                <w:sz w:val="16"/>
              </w:rPr>
              <w:t>7,800</w:t>
            </w:r>
          </w:p>
        </w:tc>
        <w:tc>
          <w:tcPr>
            <w:tcW w:w="1984" w:type="dxa"/>
            <w:tcBorders>
              <w:top w:val="nil"/>
              <w:bottom w:val="nil"/>
            </w:tcBorders>
            <w:vAlign w:val="center"/>
          </w:tcPr>
          <w:p w14:paraId="200DE672" w14:textId="200A443C" w:rsidR="00AC411B" w:rsidRPr="00AC411B" w:rsidRDefault="00AC411B" w:rsidP="00002918">
            <w:pPr>
              <w:spacing w:after="0" w:line="276" w:lineRule="auto"/>
              <w:jc w:val="center"/>
              <w:rPr>
                <w:rFonts w:cs="Arial"/>
                <w:sz w:val="16"/>
                <w:lang w:val="en-US"/>
              </w:rPr>
            </w:pPr>
            <w:r w:rsidRPr="00AC411B">
              <w:rPr>
                <w:rFonts w:cs="Arial"/>
                <w:sz w:val="16"/>
              </w:rPr>
              <w:t>-0,150</w:t>
            </w:r>
          </w:p>
        </w:tc>
        <w:tc>
          <w:tcPr>
            <w:tcW w:w="1986" w:type="dxa"/>
            <w:tcBorders>
              <w:top w:val="nil"/>
              <w:bottom w:val="nil"/>
              <w:right w:val="single" w:sz="2" w:space="0" w:color="A6A6A6" w:themeColor="background1" w:themeShade="A6"/>
            </w:tcBorders>
            <w:vAlign w:val="center"/>
          </w:tcPr>
          <w:p w14:paraId="2918F9BF" w14:textId="44E86F76" w:rsidR="00AC411B" w:rsidRPr="00AC411B" w:rsidRDefault="00AC411B" w:rsidP="00002918">
            <w:pPr>
              <w:spacing w:after="0" w:line="276" w:lineRule="auto"/>
              <w:jc w:val="center"/>
              <w:rPr>
                <w:rFonts w:cs="Arial"/>
                <w:sz w:val="16"/>
                <w:lang w:val="en-US"/>
              </w:rPr>
            </w:pPr>
            <w:r w:rsidRPr="00AC411B">
              <w:rPr>
                <w:rFonts w:cs="Arial"/>
                <w:sz w:val="16"/>
              </w:rPr>
              <w:t>0,070</w:t>
            </w:r>
          </w:p>
        </w:tc>
      </w:tr>
      <w:tr w:rsidR="00D91486" w:rsidRPr="00AC411B" w14:paraId="642FC663" w14:textId="3E31CB16" w:rsidTr="00002918">
        <w:trPr>
          <w:cantSplit/>
          <w:trHeight w:val="227"/>
          <w:jc w:val="center"/>
        </w:trPr>
        <w:tc>
          <w:tcPr>
            <w:tcW w:w="1700" w:type="dxa"/>
            <w:tcBorders>
              <w:top w:val="nil"/>
              <w:left w:val="single" w:sz="2" w:space="0" w:color="A6A6A6" w:themeColor="background1" w:themeShade="A6"/>
              <w:bottom w:val="nil"/>
            </w:tcBorders>
            <w:vAlign w:val="center"/>
          </w:tcPr>
          <w:p w14:paraId="690EF2FF" w14:textId="05B2FFF8" w:rsidR="00AC411B" w:rsidRPr="00AC411B" w:rsidRDefault="00AC411B" w:rsidP="00002918">
            <w:pPr>
              <w:spacing w:after="0" w:line="276" w:lineRule="auto"/>
              <w:jc w:val="left"/>
              <w:rPr>
                <w:rFonts w:cs="Arial"/>
                <w:sz w:val="16"/>
                <w:lang w:val="en-US"/>
              </w:rPr>
            </w:pPr>
            <w:r w:rsidRPr="00AC411B">
              <w:rPr>
                <w:rFonts w:cs="Arial"/>
                <w:sz w:val="16"/>
              </w:rPr>
              <w:t>Atkinson 0.25</w:t>
            </w:r>
          </w:p>
        </w:tc>
        <w:tc>
          <w:tcPr>
            <w:tcW w:w="1984" w:type="dxa"/>
            <w:tcBorders>
              <w:top w:val="nil"/>
              <w:bottom w:val="nil"/>
            </w:tcBorders>
            <w:vAlign w:val="center"/>
          </w:tcPr>
          <w:p w14:paraId="7D8D178B" w14:textId="44009108" w:rsidR="00AC411B" w:rsidRPr="00AC411B" w:rsidRDefault="00AC411B" w:rsidP="00002918">
            <w:pPr>
              <w:spacing w:after="0" w:line="276" w:lineRule="auto"/>
              <w:jc w:val="center"/>
              <w:rPr>
                <w:rFonts w:cs="Arial"/>
                <w:sz w:val="16"/>
                <w:lang w:val="en-US"/>
              </w:rPr>
            </w:pPr>
            <w:r w:rsidRPr="00AC411B">
              <w:rPr>
                <w:rFonts w:cs="Arial"/>
                <w:sz w:val="16"/>
              </w:rPr>
              <w:t>0,041</w:t>
            </w:r>
          </w:p>
        </w:tc>
        <w:tc>
          <w:tcPr>
            <w:tcW w:w="1984" w:type="dxa"/>
            <w:tcBorders>
              <w:top w:val="nil"/>
              <w:bottom w:val="nil"/>
            </w:tcBorders>
            <w:vAlign w:val="center"/>
          </w:tcPr>
          <w:p w14:paraId="28CD39D1" w14:textId="0131E118" w:rsidR="00AC411B" w:rsidRPr="00AC411B" w:rsidRDefault="00AC411B" w:rsidP="00002918">
            <w:pPr>
              <w:spacing w:after="0" w:line="276" w:lineRule="auto"/>
              <w:jc w:val="center"/>
              <w:rPr>
                <w:rFonts w:cs="Arial"/>
                <w:sz w:val="16"/>
                <w:lang w:val="en-US"/>
              </w:rPr>
            </w:pPr>
            <w:r w:rsidRPr="00AC411B">
              <w:rPr>
                <w:rFonts w:cs="Arial"/>
                <w:sz w:val="16"/>
              </w:rPr>
              <w:t>-0,001</w:t>
            </w:r>
          </w:p>
        </w:tc>
        <w:tc>
          <w:tcPr>
            <w:tcW w:w="1986" w:type="dxa"/>
            <w:tcBorders>
              <w:top w:val="nil"/>
              <w:bottom w:val="nil"/>
              <w:right w:val="single" w:sz="2" w:space="0" w:color="A6A6A6" w:themeColor="background1" w:themeShade="A6"/>
            </w:tcBorders>
            <w:vAlign w:val="center"/>
          </w:tcPr>
          <w:p w14:paraId="1748D566" w14:textId="7194F3B0" w:rsidR="00AC411B" w:rsidRPr="00AC411B" w:rsidRDefault="00AC411B" w:rsidP="00002918">
            <w:pPr>
              <w:spacing w:after="0" w:line="276" w:lineRule="auto"/>
              <w:jc w:val="center"/>
              <w:rPr>
                <w:rFonts w:cs="Arial"/>
                <w:sz w:val="16"/>
                <w:lang w:val="en-US"/>
              </w:rPr>
            </w:pPr>
            <w:r w:rsidRPr="00AC411B">
              <w:rPr>
                <w:rFonts w:cs="Arial"/>
                <w:sz w:val="16"/>
              </w:rPr>
              <w:t>0,000</w:t>
            </w:r>
          </w:p>
        </w:tc>
      </w:tr>
      <w:tr w:rsidR="00D91486" w:rsidRPr="00AC411B" w14:paraId="6C3188D3" w14:textId="602F6BB1" w:rsidTr="00002918">
        <w:trPr>
          <w:cantSplit/>
          <w:trHeight w:val="227"/>
          <w:jc w:val="center"/>
        </w:trPr>
        <w:tc>
          <w:tcPr>
            <w:tcW w:w="1700" w:type="dxa"/>
            <w:tcBorders>
              <w:top w:val="nil"/>
              <w:left w:val="single" w:sz="2" w:space="0" w:color="A6A6A6" w:themeColor="background1" w:themeShade="A6"/>
              <w:bottom w:val="single" w:sz="2" w:space="0" w:color="A6A6A6" w:themeColor="background1" w:themeShade="A6"/>
            </w:tcBorders>
            <w:vAlign w:val="center"/>
          </w:tcPr>
          <w:p w14:paraId="17DABE67" w14:textId="41000420" w:rsidR="00AC411B" w:rsidRPr="00AC411B" w:rsidRDefault="00AC411B" w:rsidP="00002918">
            <w:pPr>
              <w:spacing w:after="0" w:line="276" w:lineRule="auto"/>
              <w:jc w:val="left"/>
              <w:rPr>
                <w:rFonts w:cs="Arial"/>
                <w:sz w:val="16"/>
                <w:lang w:val="en-US"/>
              </w:rPr>
            </w:pPr>
            <w:r w:rsidRPr="00AC411B">
              <w:rPr>
                <w:rFonts w:cs="Arial"/>
                <w:sz w:val="16"/>
              </w:rPr>
              <w:t>Atkinson 0.75</w:t>
            </w:r>
          </w:p>
        </w:tc>
        <w:tc>
          <w:tcPr>
            <w:tcW w:w="1984" w:type="dxa"/>
            <w:tcBorders>
              <w:top w:val="nil"/>
              <w:bottom w:val="single" w:sz="2" w:space="0" w:color="A6A6A6" w:themeColor="background1" w:themeShade="A6"/>
            </w:tcBorders>
            <w:vAlign w:val="center"/>
          </w:tcPr>
          <w:p w14:paraId="3DC72140" w14:textId="1747788B" w:rsidR="00AC411B" w:rsidRPr="00AC411B" w:rsidRDefault="00AC411B" w:rsidP="00002918">
            <w:pPr>
              <w:spacing w:after="0" w:line="276" w:lineRule="auto"/>
              <w:jc w:val="center"/>
              <w:rPr>
                <w:rFonts w:cs="Arial"/>
                <w:sz w:val="16"/>
                <w:lang w:val="en-US"/>
              </w:rPr>
            </w:pPr>
            <w:r w:rsidRPr="00AC411B">
              <w:rPr>
                <w:rFonts w:cs="Arial"/>
                <w:sz w:val="16"/>
              </w:rPr>
              <w:t>0,1178</w:t>
            </w:r>
          </w:p>
        </w:tc>
        <w:tc>
          <w:tcPr>
            <w:tcW w:w="1984" w:type="dxa"/>
            <w:tcBorders>
              <w:top w:val="nil"/>
              <w:bottom w:val="single" w:sz="2" w:space="0" w:color="A6A6A6" w:themeColor="background1" w:themeShade="A6"/>
            </w:tcBorders>
            <w:vAlign w:val="center"/>
          </w:tcPr>
          <w:p w14:paraId="1B53780F" w14:textId="043ED833" w:rsidR="00AC411B" w:rsidRPr="00AC411B" w:rsidRDefault="00AC411B" w:rsidP="00002918">
            <w:pPr>
              <w:spacing w:after="0" w:line="276" w:lineRule="auto"/>
              <w:jc w:val="center"/>
              <w:rPr>
                <w:rFonts w:cs="Arial"/>
                <w:sz w:val="16"/>
                <w:lang w:val="en-US"/>
              </w:rPr>
            </w:pPr>
            <w:r w:rsidRPr="00AC411B">
              <w:rPr>
                <w:rFonts w:cs="Arial"/>
                <w:sz w:val="16"/>
              </w:rPr>
              <w:t>-0,002</w:t>
            </w:r>
          </w:p>
        </w:tc>
        <w:tc>
          <w:tcPr>
            <w:tcW w:w="1986" w:type="dxa"/>
            <w:tcBorders>
              <w:top w:val="nil"/>
              <w:bottom w:val="single" w:sz="2" w:space="0" w:color="A6A6A6" w:themeColor="background1" w:themeShade="A6"/>
              <w:right w:val="single" w:sz="2" w:space="0" w:color="A6A6A6" w:themeColor="background1" w:themeShade="A6"/>
            </w:tcBorders>
            <w:vAlign w:val="center"/>
          </w:tcPr>
          <w:p w14:paraId="164343A3" w14:textId="79F8D971" w:rsidR="00AC411B" w:rsidRPr="00AC411B" w:rsidRDefault="00AC411B" w:rsidP="00002918">
            <w:pPr>
              <w:spacing w:after="0" w:line="276" w:lineRule="auto"/>
              <w:jc w:val="center"/>
              <w:rPr>
                <w:rFonts w:cs="Arial"/>
                <w:sz w:val="16"/>
                <w:lang w:val="en-US"/>
              </w:rPr>
            </w:pPr>
            <w:r w:rsidRPr="00AC411B">
              <w:rPr>
                <w:rFonts w:cs="Arial"/>
                <w:sz w:val="16"/>
              </w:rPr>
              <w:t>0,001</w:t>
            </w:r>
          </w:p>
        </w:tc>
      </w:tr>
      <w:tr w:rsidR="00AC411B" w:rsidRPr="004F0B57" w14:paraId="7397033E" w14:textId="2D8691FE" w:rsidTr="00322957">
        <w:trPr>
          <w:cantSplit/>
          <w:jc w:val="center"/>
        </w:trPr>
        <w:tc>
          <w:tcPr>
            <w:tcW w:w="7654" w:type="dxa"/>
            <w:gridSpan w:val="4"/>
            <w:tcBorders>
              <w:top w:val="single" w:sz="2" w:space="0" w:color="A6A6A6" w:themeColor="background1" w:themeShade="A6"/>
              <w:left w:val="nil"/>
              <w:bottom w:val="nil"/>
              <w:right w:val="nil"/>
            </w:tcBorders>
          </w:tcPr>
          <w:p w14:paraId="745832BE" w14:textId="77777777" w:rsidR="00AC411B" w:rsidRPr="002D2070" w:rsidRDefault="00AC411B" w:rsidP="00280D62">
            <w:pPr>
              <w:tabs>
                <w:tab w:val="left" w:pos="153"/>
              </w:tabs>
              <w:spacing w:before="60" w:after="0" w:line="276" w:lineRule="auto"/>
              <w:rPr>
                <w:rFonts w:cs="Arial"/>
                <w:sz w:val="16"/>
                <w:szCs w:val="16"/>
              </w:rPr>
            </w:pPr>
            <w:r w:rsidRPr="002D2070">
              <w:rPr>
                <w:rFonts w:cs="Arial"/>
                <w:sz w:val="16"/>
                <w:szCs w:val="16"/>
              </w:rPr>
              <w:t>Σημειώσεις:</w:t>
            </w:r>
          </w:p>
          <w:p w14:paraId="769F90CA" w14:textId="5B237C2F" w:rsidR="00AC411B" w:rsidRPr="002D2070" w:rsidRDefault="00D91486" w:rsidP="00280D62">
            <w:pPr>
              <w:pStyle w:val="af0"/>
              <w:numPr>
                <w:ilvl w:val="0"/>
                <w:numId w:val="24"/>
              </w:numPr>
              <w:tabs>
                <w:tab w:val="left" w:pos="170"/>
              </w:tabs>
              <w:spacing w:before="60" w:after="0"/>
              <w:ind w:left="170" w:hanging="170"/>
              <w:contextualSpacing w:val="0"/>
              <w:rPr>
                <w:rFonts w:ascii="Arial" w:hAnsi="Arial" w:cs="Arial"/>
                <w:sz w:val="16"/>
                <w:szCs w:val="16"/>
              </w:rPr>
            </w:pPr>
            <w:r w:rsidRPr="002D2070">
              <w:rPr>
                <w:rFonts w:ascii="Arial" w:hAnsi="Arial" w:cs="Arial"/>
                <w:sz w:val="16"/>
                <w:szCs w:val="16"/>
              </w:rPr>
              <w:t xml:space="preserve">Ο συντελεστής </w:t>
            </w:r>
            <w:r w:rsidRPr="002D2070">
              <w:rPr>
                <w:rFonts w:ascii="Arial" w:hAnsi="Arial" w:cs="Arial"/>
                <w:sz w:val="16"/>
                <w:szCs w:val="16"/>
                <w:lang w:val="en-US"/>
              </w:rPr>
              <w:t>Gini</w:t>
            </w:r>
            <w:r w:rsidRPr="002D2070">
              <w:rPr>
                <w:rFonts w:ascii="Arial" w:hAnsi="Arial" w:cs="Arial"/>
                <w:sz w:val="16"/>
                <w:szCs w:val="16"/>
              </w:rPr>
              <w:t xml:space="preserve"> κυμαίνεται μεταξύ 0 (όλα τα εισοδήματα είναι ίσα) και 1 (ένα άτομο μόνο κατέχει το σύνολο του εισοδήματος). Ο συντελεστής είναι πιο ευαίσθητος σε μεταβολές στο μέσο της εισοδηματικής κατανομής.</w:t>
            </w:r>
          </w:p>
          <w:p w14:paraId="628299A1" w14:textId="2C22A1BD" w:rsidR="00AC411B" w:rsidRPr="002D2070" w:rsidRDefault="00D91486" w:rsidP="00280D62">
            <w:pPr>
              <w:pStyle w:val="af0"/>
              <w:numPr>
                <w:ilvl w:val="0"/>
                <w:numId w:val="24"/>
              </w:numPr>
              <w:tabs>
                <w:tab w:val="left" w:pos="170"/>
              </w:tabs>
              <w:spacing w:before="60" w:after="0"/>
              <w:ind w:left="170" w:hanging="170"/>
              <w:contextualSpacing w:val="0"/>
              <w:rPr>
                <w:rFonts w:ascii="Arial" w:hAnsi="Arial" w:cs="Arial"/>
                <w:sz w:val="16"/>
                <w:szCs w:val="16"/>
              </w:rPr>
            </w:pPr>
            <w:r w:rsidRPr="002D2070">
              <w:rPr>
                <w:rFonts w:ascii="Arial" w:hAnsi="Arial" w:cs="Arial"/>
                <w:sz w:val="16"/>
                <w:szCs w:val="16"/>
              </w:rPr>
              <w:t>Ο δείκτης S80/S20 (S90/S10) είναι το ποσοστό του μέσου ισοδύναμου διαθέσιμου εισοδήματος που λαμβάνεται από το 20% (10%) του πληθυσμού με το υψηλότερο εισόδημα προς εκείνο που λαμβάνεται από το 20% (10%) του πληθυσμού με το χαμηλότερο εισόδημα.</w:t>
            </w:r>
          </w:p>
          <w:p w14:paraId="1E9B8595" w14:textId="42C662A9" w:rsidR="00AC411B" w:rsidRPr="00682E1D" w:rsidRDefault="00D91486" w:rsidP="00280D62">
            <w:pPr>
              <w:pStyle w:val="af0"/>
              <w:numPr>
                <w:ilvl w:val="0"/>
                <w:numId w:val="24"/>
              </w:numPr>
              <w:tabs>
                <w:tab w:val="left" w:pos="170"/>
              </w:tabs>
              <w:spacing w:before="60" w:after="0"/>
              <w:ind w:left="170" w:hanging="170"/>
              <w:contextualSpacing w:val="0"/>
              <w:rPr>
                <w:rFonts w:cs="Arial"/>
                <w:sz w:val="16"/>
                <w:szCs w:val="16"/>
              </w:rPr>
            </w:pPr>
            <w:r w:rsidRPr="002D2070">
              <w:rPr>
                <w:rFonts w:ascii="Arial" w:hAnsi="Arial" w:cs="Arial"/>
                <w:sz w:val="16"/>
                <w:szCs w:val="16"/>
              </w:rPr>
              <w:t>Οι δείκτες Atkinson κυμαίνονται μεταξύ 0 (όλα τα εισοδήματα είναι ίσα) και 1 (ένα άτομο μόνο κατέχει το σύνολο του εισοδήματος). Ο Atkinson 0.25 είναι πιο ευαίσθητος σε μεταβολές στο πάνω τμήμα της εισοδηματικής κατανομής, ενώ ο Atkinson 0.75 είναι πιο ευαίσθητος σε μεταβολές στο κάτω τμήμα της εισοδηματικής κατανομής.</w:t>
            </w:r>
          </w:p>
        </w:tc>
      </w:tr>
    </w:tbl>
    <w:p w14:paraId="3D64CCAC" w14:textId="4C259BE0" w:rsidR="00322957" w:rsidRPr="009E763F" w:rsidRDefault="00322957" w:rsidP="00322957">
      <w:pPr>
        <w:spacing w:before="240"/>
      </w:pPr>
      <w:r w:rsidRPr="0098356F">
        <w:t xml:space="preserve">Ακολούθως </w:t>
      </w:r>
      <w:r w:rsidR="007D0AF3" w:rsidRPr="0098356F">
        <w:t>(</w:t>
      </w:r>
      <w:r w:rsidR="001576CF" w:rsidRPr="0098356F">
        <w:fldChar w:fldCharType="begin"/>
      </w:r>
      <w:r w:rsidR="001576CF" w:rsidRPr="0098356F">
        <w:instrText xml:space="preserve"> REF _Ref213948765 \h  \* MERGEFORMAT </w:instrText>
      </w:r>
      <w:r w:rsidR="001576CF" w:rsidRPr="0098356F">
        <w:fldChar w:fldCharType="separate"/>
      </w:r>
      <w:r w:rsidR="00E15678" w:rsidRPr="00E15678">
        <w:t>Πίνακας 3.32</w:t>
      </w:r>
      <w:r w:rsidR="001576CF" w:rsidRPr="0098356F">
        <w:fldChar w:fldCharType="end"/>
      </w:r>
      <w:r w:rsidR="001576CF" w:rsidRPr="0098356F">
        <w:t>.</w:t>
      </w:r>
      <w:r w:rsidR="00993D47" w:rsidRPr="0098356F">
        <w:t>,</w:t>
      </w:r>
      <w:r w:rsidR="001576CF" w:rsidRPr="0098356F">
        <w:t xml:space="preserve"> </w:t>
      </w:r>
      <w:r w:rsidR="001576CF" w:rsidRPr="0098356F">
        <w:fldChar w:fldCharType="begin"/>
      </w:r>
      <w:r w:rsidR="001576CF" w:rsidRPr="0098356F">
        <w:instrText xml:space="preserve"> REF _Ref213948768 \h  \* MERGEFORMAT </w:instrText>
      </w:r>
      <w:r w:rsidR="001576CF" w:rsidRPr="0098356F">
        <w:fldChar w:fldCharType="separate"/>
      </w:r>
      <w:r w:rsidR="00E15678" w:rsidRPr="00E15678">
        <w:t>Πίνακας 3.33</w:t>
      </w:r>
      <w:r w:rsidR="001576CF" w:rsidRPr="0098356F">
        <w:fldChar w:fldCharType="end"/>
      </w:r>
      <w:r w:rsidR="00993D47" w:rsidRPr="0098356F">
        <w:t>.</w:t>
      </w:r>
      <w:r w:rsidR="001576CF" w:rsidRPr="0098356F">
        <w:t xml:space="preserve">, </w:t>
      </w:r>
      <w:r w:rsidR="001576CF" w:rsidRPr="0098356F">
        <w:fldChar w:fldCharType="begin"/>
      </w:r>
      <w:r w:rsidR="001576CF" w:rsidRPr="0098356F">
        <w:instrText xml:space="preserve"> REF _Ref213948771 \h  \* MERGEFORMAT </w:instrText>
      </w:r>
      <w:r w:rsidR="001576CF" w:rsidRPr="0098356F">
        <w:fldChar w:fldCharType="separate"/>
      </w:r>
      <w:r w:rsidR="00E15678" w:rsidRPr="00E15678">
        <w:t>Πίνακας 3.34</w:t>
      </w:r>
      <w:r w:rsidR="001576CF" w:rsidRPr="0098356F">
        <w:fldChar w:fldCharType="end"/>
      </w:r>
      <w:r w:rsidR="001576CF" w:rsidRPr="0098356F">
        <w:t>.</w:t>
      </w:r>
      <w:r w:rsidR="007D0AF3" w:rsidRPr="0098356F">
        <w:t xml:space="preserve">) </w:t>
      </w:r>
      <w:r w:rsidRPr="0098356F">
        <w:t>παρουσιάζονται</w:t>
      </w:r>
      <w:r>
        <w:t xml:space="preserve"> οι κύριοι δείκτες φτώχειας που χρησιμοποιούνται για την καταγραφή του συνολικού επιπέδου φτώχειας σε μία οικονομία σε συνάρτηση με τον αριθμό των ατόμων που βρίσκονται κάτω από το όριο της φτώχειας και το βάθος της φτώχειας (χάσμα φτώχειας). Αναλυτικότερα</w:t>
      </w:r>
      <w:r w:rsidRPr="00994638">
        <w:t xml:space="preserve">, </w:t>
      </w:r>
      <w:r w:rsidRPr="00212325">
        <w:rPr>
          <w:lang w:val="en-US"/>
        </w:rPr>
        <w:t>FGT</w:t>
      </w:r>
      <w:r w:rsidRPr="00994638">
        <w:t xml:space="preserve">(0) </w:t>
      </w:r>
      <w:r>
        <w:t>είναι</w:t>
      </w:r>
      <w:r w:rsidRPr="00994638">
        <w:t xml:space="preserve"> </w:t>
      </w:r>
      <w:r>
        <w:t>το</w:t>
      </w:r>
      <w:r w:rsidRPr="00994638">
        <w:t xml:space="preserve"> </w:t>
      </w:r>
      <w:r>
        <w:t>ποσοστό</w:t>
      </w:r>
      <w:r w:rsidRPr="00994638">
        <w:t xml:space="preserve"> </w:t>
      </w:r>
      <w:r>
        <w:t>που</w:t>
      </w:r>
      <w:r w:rsidRPr="00994638">
        <w:t xml:space="preserve"> </w:t>
      </w:r>
      <w:r>
        <w:t>δείχνει</w:t>
      </w:r>
      <w:r w:rsidRPr="00994638">
        <w:t xml:space="preserve"> </w:t>
      </w:r>
      <w:r>
        <w:t>την</w:t>
      </w:r>
      <w:r w:rsidRPr="00994638">
        <w:t xml:space="preserve"> </w:t>
      </w:r>
      <w:r>
        <w:t>αναλογία</w:t>
      </w:r>
      <w:r w:rsidRPr="00994638">
        <w:t xml:space="preserve"> </w:t>
      </w:r>
      <w:r>
        <w:t>των</w:t>
      </w:r>
      <w:r w:rsidRPr="00994638">
        <w:t xml:space="preserve"> </w:t>
      </w:r>
      <w:r>
        <w:t>ατόμων των οποίων το ισοδύναμο διαθέσιμο εισόδημα είναι κάτω από το 60% του μέσου ισοδύναμου διαθέσιμου εισοδήματος. Όταν</w:t>
      </w:r>
      <w:r w:rsidRPr="00994638">
        <w:t xml:space="preserve"> </w:t>
      </w:r>
      <w:r>
        <w:t>χρησιμοποιεί</w:t>
      </w:r>
      <w:r w:rsidRPr="00994638">
        <w:t xml:space="preserve"> </w:t>
      </w:r>
      <w:r>
        <w:t>κανείς</w:t>
      </w:r>
      <w:r w:rsidRPr="00994638">
        <w:t xml:space="preserve"> </w:t>
      </w:r>
      <w:r>
        <w:t>το σταθερό</w:t>
      </w:r>
      <w:r w:rsidRPr="00994638">
        <w:t xml:space="preserve"> </w:t>
      </w:r>
      <w:r>
        <w:t>όριο</w:t>
      </w:r>
      <w:r w:rsidRPr="00994638">
        <w:t xml:space="preserve"> </w:t>
      </w:r>
      <w:r>
        <w:t>της</w:t>
      </w:r>
      <w:r w:rsidRPr="00994638">
        <w:t xml:space="preserve"> </w:t>
      </w:r>
      <w:r w:rsidRPr="0098356F">
        <w:t xml:space="preserve">φτώχειας </w:t>
      </w:r>
      <w:r w:rsidR="00894443" w:rsidRPr="0098356F">
        <w:t>(</w:t>
      </w:r>
      <w:r w:rsidR="00894443" w:rsidRPr="0098356F">
        <w:fldChar w:fldCharType="begin"/>
      </w:r>
      <w:r w:rsidR="00894443" w:rsidRPr="0098356F">
        <w:instrText xml:space="preserve"> REF _Ref213948765 \h  \* MERGEFORMAT </w:instrText>
      </w:r>
      <w:r w:rsidR="00894443" w:rsidRPr="0098356F">
        <w:fldChar w:fldCharType="separate"/>
      </w:r>
      <w:r w:rsidR="00E15678" w:rsidRPr="00E15678">
        <w:t>Πίνακας 3.32</w:t>
      </w:r>
      <w:r w:rsidR="00894443" w:rsidRPr="0098356F">
        <w:fldChar w:fldCharType="end"/>
      </w:r>
      <w:r w:rsidR="00894443" w:rsidRPr="0098356F">
        <w:t xml:space="preserve">.) </w:t>
      </w:r>
      <w:r w:rsidRPr="0098356F">
        <w:t>η</w:t>
      </w:r>
      <w:r w:rsidRPr="00994638">
        <w:t xml:space="preserve"> </w:t>
      </w:r>
      <w:r>
        <w:t>απόλυτη</w:t>
      </w:r>
      <w:r w:rsidRPr="00994638">
        <w:t xml:space="preserve"> </w:t>
      </w:r>
      <w:r>
        <w:t xml:space="preserve">επίδραση των μεταρρυθμίσεων αξιολογείται καλύτερα σε σύγκριση με το προηγούμενο έτος. Όταν χρησιμοποιείται το κυμαινόμενο όριο της </w:t>
      </w:r>
      <w:r w:rsidRPr="0098356F">
        <w:t xml:space="preserve">φτώχειας </w:t>
      </w:r>
      <w:r w:rsidR="00310C0C" w:rsidRPr="0098356F">
        <w:t>(</w:t>
      </w:r>
      <w:r w:rsidR="00310C0C" w:rsidRPr="0098356F">
        <w:fldChar w:fldCharType="begin"/>
      </w:r>
      <w:r w:rsidR="00310C0C" w:rsidRPr="0098356F">
        <w:instrText xml:space="preserve"> REF _Ref213948771 \h  \* MERGEFORMAT </w:instrText>
      </w:r>
      <w:r w:rsidR="00310C0C" w:rsidRPr="0098356F">
        <w:fldChar w:fldCharType="separate"/>
      </w:r>
      <w:r w:rsidR="00E15678" w:rsidRPr="00E15678">
        <w:t>Πίνακας 3.34</w:t>
      </w:r>
      <w:r w:rsidR="00310C0C" w:rsidRPr="0098356F">
        <w:fldChar w:fldCharType="end"/>
      </w:r>
      <w:r w:rsidR="00310C0C" w:rsidRPr="0098356F">
        <w:t xml:space="preserve">.) </w:t>
      </w:r>
      <w:r w:rsidRPr="0098356F">
        <w:t>τα α</w:t>
      </w:r>
      <w:r>
        <w:t>ποτελέσματα λαμβάνουν υπόψη την επίδραση των μεταβολών στο όριο αυτής για την αξιολόγηση του τελικού επιπέδου της, ενώ η κατάσταση των ατόμων μπορεί να μεταβληθεί σε σχέση με το επίπεδο της φτώχειας λόγω αλλαγών στο ίδιο το όριό της (εκτός των μεταβολών στο εισόδημά τους). Τα αποτελέσματα παρουσιάζονται για το σύνολο του πληθυσμού καθώς και ανά ηλικιακή ομάδα και ανά τύπο νοικοκυριού.</w:t>
      </w:r>
    </w:p>
    <w:p w14:paraId="29419D4C" w14:textId="598EF5AB" w:rsidR="0063612D" w:rsidRDefault="00322957" w:rsidP="008A69D9">
      <w:pPr>
        <w:spacing w:after="240"/>
      </w:pPr>
      <w:r w:rsidRPr="008B497D">
        <w:t xml:space="preserve">Ο δείκτης FGT(1) που παρουσιάζεται </w:t>
      </w:r>
      <w:r w:rsidRPr="0098356F">
        <w:t xml:space="preserve">παρακάτω </w:t>
      </w:r>
      <w:r w:rsidR="00310C0C" w:rsidRPr="0098356F">
        <w:t>(</w:t>
      </w:r>
      <w:r w:rsidR="00310C0C" w:rsidRPr="0098356F">
        <w:fldChar w:fldCharType="begin"/>
      </w:r>
      <w:r w:rsidR="00310C0C" w:rsidRPr="0098356F">
        <w:instrText xml:space="preserve"> REF _Ref213948768 \h  \* MERGEFORMAT </w:instrText>
      </w:r>
      <w:r w:rsidR="00310C0C" w:rsidRPr="0098356F">
        <w:fldChar w:fldCharType="separate"/>
      </w:r>
      <w:r w:rsidR="00E15678" w:rsidRPr="00E15678">
        <w:t>Πίνακας 3.33</w:t>
      </w:r>
      <w:r w:rsidR="00310C0C" w:rsidRPr="0098356F">
        <w:fldChar w:fldCharType="end"/>
      </w:r>
      <w:r w:rsidR="00310C0C" w:rsidRPr="0098356F">
        <w:t xml:space="preserve">.) </w:t>
      </w:r>
      <w:r w:rsidRPr="0098356F">
        <w:t>είναι ο δ</w:t>
      </w:r>
      <w:r w:rsidRPr="008B497D">
        <w:t>είκτης του χάσματος της φτώχειας</w:t>
      </w:r>
      <w:r w:rsidR="00A21BE2">
        <w:t xml:space="preserve">, </w:t>
      </w:r>
      <w:r w:rsidRPr="00B74EB6">
        <w:t>εκπεφρασμένος ω</w:t>
      </w:r>
      <w:r w:rsidRPr="008B497D">
        <w:t>ς ποσοστό του ορίου φτώχειας</w:t>
      </w:r>
      <w:r>
        <w:t>,</w:t>
      </w:r>
      <w:r w:rsidRPr="008B497D">
        <w:t xml:space="preserve"> δηλ</w:t>
      </w:r>
      <w:r>
        <w:t>αδή</w:t>
      </w:r>
      <w:r w:rsidRPr="008B497D">
        <w:t xml:space="preserve"> ο μέσος όρος των διαφορών μεταξύ των ατομικών εισοδημάτων και του 60% του ορίου της φτώχειας</w:t>
      </w:r>
      <w:r>
        <w:t xml:space="preserve"> </w:t>
      </w:r>
      <w:r w:rsidRPr="008B497D">
        <w:t>και υπολογίζεται μόνο για άτομα με εισοδήματα κάτω από το όριο της φτώχειας.</w:t>
      </w:r>
    </w:p>
    <w:p w14:paraId="49BA5160" w14:textId="77777777" w:rsidR="0063612D" w:rsidRDefault="0063612D">
      <w:pPr>
        <w:spacing w:after="0" w:line="240" w:lineRule="auto"/>
        <w:jc w:val="left"/>
      </w:pPr>
      <w:r>
        <w:br w:type="page"/>
      </w:r>
    </w:p>
    <w:tbl>
      <w:tblPr>
        <w:tblW w:w="8039" w:type="dxa"/>
        <w:jc w:val="center"/>
        <w:tblLook w:val="04A0" w:firstRow="1" w:lastRow="0" w:firstColumn="1" w:lastColumn="0" w:noHBand="0" w:noVBand="1"/>
      </w:tblPr>
      <w:tblGrid>
        <w:gridCol w:w="2986"/>
        <w:gridCol w:w="1138"/>
        <w:gridCol w:w="2132"/>
        <w:gridCol w:w="1783"/>
      </w:tblGrid>
      <w:tr w:rsidR="003E37F6" w:rsidRPr="003E37F6" w14:paraId="00B8323D" w14:textId="77777777" w:rsidTr="0063612D">
        <w:trPr>
          <w:cantSplit/>
          <w:trHeight w:val="283"/>
          <w:tblHeader/>
          <w:jc w:val="center"/>
        </w:trPr>
        <w:tc>
          <w:tcPr>
            <w:tcW w:w="8039"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tcPr>
          <w:p w14:paraId="0C38F914" w14:textId="00AC9FE1" w:rsidR="003E37F6" w:rsidRPr="003E37F6" w:rsidRDefault="00B04AE7" w:rsidP="001C1C8C">
            <w:pPr>
              <w:pStyle w:val="Tabletext"/>
              <w:spacing w:line="276" w:lineRule="auto"/>
              <w:jc w:val="center"/>
              <w:rPr>
                <w:rFonts w:ascii="Arial" w:hAnsi="Arial" w:cs="Arial"/>
                <w:b/>
                <w:bCs/>
                <w:color w:val="000000"/>
                <w:sz w:val="16"/>
                <w:szCs w:val="16"/>
                <w:lang w:val="el-GR"/>
              </w:rPr>
            </w:pPr>
            <w:bookmarkStart w:id="649" w:name="_Ref213948765"/>
            <w:bookmarkStart w:id="650" w:name="_Toc214474070"/>
            <w:r w:rsidRPr="00B04AE7">
              <w:rPr>
                <w:rFonts w:ascii="Arial" w:hAnsi="Arial" w:cs="Arial"/>
                <w:b/>
                <w:sz w:val="18"/>
                <w:szCs w:val="18"/>
                <w:lang w:val="el-GR"/>
              </w:rPr>
              <w:lastRenderedPageBreak/>
              <w:t>Πίνακας 3.</w:t>
            </w:r>
            <w:r w:rsidRPr="00B04AE7">
              <w:rPr>
                <w:rFonts w:ascii="Arial" w:hAnsi="Arial" w:cs="Arial"/>
                <w:b/>
                <w:sz w:val="18"/>
                <w:szCs w:val="18"/>
              </w:rPr>
              <w:fldChar w:fldCharType="begin"/>
            </w:r>
            <w:r w:rsidRPr="00B04AE7">
              <w:rPr>
                <w:rFonts w:ascii="Arial" w:hAnsi="Arial" w:cs="Arial"/>
                <w:b/>
                <w:sz w:val="18"/>
                <w:szCs w:val="18"/>
                <w:lang w:val="el-GR"/>
              </w:rPr>
              <w:instrText xml:space="preserve"> </w:instrText>
            </w:r>
            <w:r w:rsidRPr="00B04AE7">
              <w:rPr>
                <w:rFonts w:ascii="Arial" w:hAnsi="Arial" w:cs="Arial"/>
                <w:b/>
                <w:sz w:val="18"/>
                <w:szCs w:val="18"/>
              </w:rPr>
              <w:instrText>SEQ</w:instrText>
            </w:r>
            <w:r w:rsidRPr="00B04AE7">
              <w:rPr>
                <w:rFonts w:ascii="Arial" w:hAnsi="Arial" w:cs="Arial"/>
                <w:b/>
                <w:sz w:val="18"/>
                <w:szCs w:val="18"/>
                <w:lang w:val="el-GR"/>
              </w:rPr>
              <w:instrText xml:space="preserve"> Πίνακας_3. \* </w:instrText>
            </w:r>
            <w:r w:rsidRPr="00B04AE7">
              <w:rPr>
                <w:rFonts w:ascii="Arial" w:hAnsi="Arial" w:cs="Arial"/>
                <w:b/>
                <w:sz w:val="18"/>
                <w:szCs w:val="18"/>
              </w:rPr>
              <w:instrText>ARABIC</w:instrText>
            </w:r>
            <w:r w:rsidRPr="00B04AE7">
              <w:rPr>
                <w:rFonts w:ascii="Arial" w:hAnsi="Arial" w:cs="Arial"/>
                <w:b/>
                <w:sz w:val="18"/>
                <w:szCs w:val="18"/>
                <w:lang w:val="el-GR"/>
              </w:rPr>
              <w:instrText xml:space="preserve"> </w:instrText>
            </w:r>
            <w:r w:rsidRPr="00B04AE7">
              <w:rPr>
                <w:rFonts w:ascii="Arial" w:hAnsi="Arial" w:cs="Arial"/>
                <w:b/>
                <w:sz w:val="18"/>
                <w:szCs w:val="18"/>
              </w:rPr>
              <w:fldChar w:fldCharType="separate"/>
            </w:r>
            <w:r w:rsidR="00E15678">
              <w:rPr>
                <w:rFonts w:ascii="Arial" w:hAnsi="Arial" w:cs="Arial"/>
                <w:b/>
                <w:noProof/>
                <w:sz w:val="18"/>
                <w:szCs w:val="18"/>
              </w:rPr>
              <w:t>32</w:t>
            </w:r>
            <w:r w:rsidRPr="00B04AE7">
              <w:rPr>
                <w:rFonts w:ascii="Arial" w:hAnsi="Arial" w:cs="Arial"/>
                <w:b/>
                <w:sz w:val="18"/>
                <w:szCs w:val="18"/>
              </w:rPr>
              <w:fldChar w:fldCharType="end"/>
            </w:r>
            <w:bookmarkEnd w:id="649"/>
            <w:r w:rsidR="003E37F6" w:rsidRPr="00B04AE7">
              <w:rPr>
                <w:rFonts w:ascii="Arial" w:hAnsi="Arial" w:cs="Arial"/>
                <w:b/>
                <w:bCs/>
                <w:color w:val="000000"/>
                <w:sz w:val="18"/>
                <w:szCs w:val="18"/>
                <w:lang w:val="el-GR"/>
              </w:rPr>
              <w:t>.: FGT(0)</w:t>
            </w:r>
            <w:r w:rsidR="003E37F6" w:rsidRPr="003E37F6">
              <w:rPr>
                <w:rFonts w:ascii="Arial" w:hAnsi="Arial" w:cs="Arial"/>
                <w:b/>
                <w:bCs/>
                <w:color w:val="000000"/>
                <w:sz w:val="16"/>
                <w:szCs w:val="16"/>
                <w:lang w:val="el-GR"/>
              </w:rPr>
              <w:t xml:space="preserve"> Δείκτης φτώχειας (σταθερό όριο φτώχειας)</w:t>
            </w:r>
            <w:bookmarkEnd w:id="650"/>
          </w:p>
        </w:tc>
      </w:tr>
      <w:tr w:rsidR="00A53BEA" w:rsidRPr="003E37F6" w14:paraId="20272E1A" w14:textId="77777777" w:rsidTr="0063612D">
        <w:trPr>
          <w:cantSplit/>
          <w:trHeight w:val="283"/>
          <w:tblHeader/>
          <w:jc w:val="center"/>
        </w:trPr>
        <w:tc>
          <w:tcPr>
            <w:tcW w:w="2986" w:type="dxa"/>
            <w:tcBorders>
              <w:top w:val="single" w:sz="2" w:space="0" w:color="A6A6A6" w:themeColor="background1" w:themeShade="A6"/>
              <w:left w:val="single" w:sz="2" w:space="0" w:color="A6A6A6" w:themeColor="background1" w:themeShade="A6"/>
            </w:tcBorders>
            <w:shd w:val="clear" w:color="auto" w:fill="F2F2F2" w:themeFill="background1" w:themeFillShade="F2"/>
            <w:vAlign w:val="center"/>
            <w:hideMark/>
          </w:tcPr>
          <w:p w14:paraId="6164038F" w14:textId="77777777" w:rsidR="00A53BEA" w:rsidRPr="003E37F6" w:rsidRDefault="00A53BEA" w:rsidP="001C1C8C">
            <w:pPr>
              <w:pStyle w:val="Tabletext"/>
              <w:spacing w:line="276" w:lineRule="auto"/>
              <w:jc w:val="center"/>
              <w:rPr>
                <w:rFonts w:ascii="Arial" w:hAnsi="Arial" w:cs="Arial"/>
                <w:b/>
                <w:sz w:val="16"/>
                <w:szCs w:val="16"/>
                <w:lang w:val="el-GR"/>
              </w:rPr>
            </w:pPr>
          </w:p>
        </w:tc>
        <w:tc>
          <w:tcPr>
            <w:tcW w:w="1138" w:type="dxa"/>
            <w:vMerge w:val="restart"/>
            <w:tcBorders>
              <w:top w:val="single" w:sz="2" w:space="0" w:color="A6A6A6" w:themeColor="background1" w:themeShade="A6"/>
            </w:tcBorders>
            <w:shd w:val="clear" w:color="auto" w:fill="F2F2F2" w:themeFill="background1" w:themeFillShade="F2"/>
            <w:vAlign w:val="center"/>
            <w:hideMark/>
          </w:tcPr>
          <w:p w14:paraId="54E95CFD" w14:textId="3F7C2BCB" w:rsidR="00A53BEA" w:rsidRPr="003E37F6" w:rsidRDefault="00A53BEA" w:rsidP="001C1C8C">
            <w:pPr>
              <w:pStyle w:val="Tabletext"/>
              <w:spacing w:line="276" w:lineRule="auto"/>
              <w:jc w:val="center"/>
              <w:rPr>
                <w:rFonts w:ascii="Arial" w:hAnsi="Arial" w:cs="Arial"/>
                <w:b/>
                <w:sz w:val="16"/>
                <w:szCs w:val="16"/>
                <w:lang w:val="el-GR"/>
              </w:rPr>
            </w:pPr>
            <w:r w:rsidRPr="003E37F6">
              <w:rPr>
                <w:rFonts w:ascii="Arial" w:hAnsi="Arial" w:cs="Arial"/>
                <w:b/>
                <w:sz w:val="16"/>
                <w:szCs w:val="16"/>
              </w:rPr>
              <w:t>2025_</w:t>
            </w:r>
            <w:r w:rsidRPr="003E37F6">
              <w:rPr>
                <w:rFonts w:ascii="Arial" w:hAnsi="Arial" w:cs="Arial"/>
                <w:b/>
                <w:sz w:val="16"/>
                <w:szCs w:val="16"/>
                <w:lang w:val="el-GR"/>
              </w:rPr>
              <w:t>βάση</w:t>
            </w:r>
          </w:p>
        </w:tc>
        <w:tc>
          <w:tcPr>
            <w:tcW w:w="3915" w:type="dxa"/>
            <w:gridSpan w:val="2"/>
            <w:tcBorders>
              <w:top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17A14029" w14:textId="45655C4E" w:rsidR="00A53BEA" w:rsidRPr="003E37F6" w:rsidRDefault="00A53BEA" w:rsidP="001C1C8C">
            <w:pPr>
              <w:pStyle w:val="Tabletext"/>
              <w:spacing w:line="276" w:lineRule="auto"/>
              <w:jc w:val="center"/>
              <w:rPr>
                <w:rFonts w:ascii="Arial" w:hAnsi="Arial" w:cs="Arial"/>
                <w:b/>
                <w:sz w:val="16"/>
                <w:szCs w:val="16"/>
                <w:lang w:val="el-GR"/>
              </w:rPr>
            </w:pPr>
            <w:r w:rsidRPr="003E37F6">
              <w:rPr>
                <w:rFonts w:ascii="Arial" w:hAnsi="Arial" w:cs="Arial"/>
                <w:b/>
                <w:bCs/>
                <w:color w:val="000000"/>
                <w:sz w:val="16"/>
                <w:szCs w:val="16"/>
                <w:lang w:val="el-GR"/>
              </w:rPr>
              <w:t>Διαφορά σε σχέση με τη</w:t>
            </w:r>
            <w:r w:rsidRPr="003E37F6">
              <w:rPr>
                <w:rFonts w:ascii="Arial" w:hAnsi="Arial" w:cs="Arial"/>
                <w:b/>
                <w:bCs/>
                <w:color w:val="000000"/>
                <w:sz w:val="16"/>
                <w:szCs w:val="16"/>
                <w:lang w:val="el-GR"/>
              </w:rPr>
              <w:br/>
              <w:t>βάση 2025 (ποσοστ. μονάδες)</w:t>
            </w:r>
          </w:p>
        </w:tc>
      </w:tr>
      <w:tr w:rsidR="00A53BEA" w:rsidRPr="003E37F6" w14:paraId="0ADD13D3" w14:textId="77777777" w:rsidTr="0063612D">
        <w:trPr>
          <w:cantSplit/>
          <w:trHeight w:val="283"/>
          <w:tblHeader/>
          <w:jc w:val="center"/>
        </w:trPr>
        <w:tc>
          <w:tcPr>
            <w:tcW w:w="2986" w:type="dxa"/>
            <w:tcBorders>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1A2060AF" w14:textId="77777777" w:rsidR="00A53BEA" w:rsidRPr="003E37F6" w:rsidRDefault="00A53BEA" w:rsidP="001C1C8C">
            <w:pPr>
              <w:pStyle w:val="Tabletext"/>
              <w:spacing w:line="276" w:lineRule="auto"/>
              <w:jc w:val="center"/>
              <w:rPr>
                <w:rFonts w:ascii="Arial" w:hAnsi="Arial" w:cs="Arial"/>
                <w:b/>
                <w:sz w:val="16"/>
                <w:szCs w:val="16"/>
                <w:lang w:val="el-GR"/>
              </w:rPr>
            </w:pPr>
          </w:p>
        </w:tc>
        <w:tc>
          <w:tcPr>
            <w:tcW w:w="1138" w:type="dxa"/>
            <w:vMerge/>
            <w:tcBorders>
              <w:bottom w:val="single" w:sz="2" w:space="0" w:color="A6A6A6" w:themeColor="background1" w:themeShade="A6"/>
            </w:tcBorders>
            <w:shd w:val="clear" w:color="auto" w:fill="F2F2F2" w:themeFill="background1" w:themeFillShade="F2"/>
            <w:vAlign w:val="center"/>
            <w:hideMark/>
          </w:tcPr>
          <w:p w14:paraId="6729C6C1" w14:textId="716EB755" w:rsidR="00A53BEA" w:rsidRPr="003E37F6" w:rsidRDefault="00A53BEA" w:rsidP="001C1C8C">
            <w:pPr>
              <w:pStyle w:val="Tabletext"/>
              <w:spacing w:line="276" w:lineRule="auto"/>
              <w:jc w:val="center"/>
              <w:rPr>
                <w:rFonts w:ascii="Arial" w:hAnsi="Arial" w:cs="Arial"/>
                <w:b/>
                <w:sz w:val="16"/>
                <w:szCs w:val="16"/>
                <w:lang w:val="el-GR"/>
              </w:rPr>
            </w:pPr>
          </w:p>
        </w:tc>
        <w:tc>
          <w:tcPr>
            <w:tcW w:w="2132" w:type="dxa"/>
            <w:tcBorders>
              <w:bottom w:val="single" w:sz="2" w:space="0" w:color="A6A6A6" w:themeColor="background1" w:themeShade="A6"/>
            </w:tcBorders>
            <w:shd w:val="clear" w:color="auto" w:fill="F2F2F2" w:themeFill="background1" w:themeFillShade="F2"/>
            <w:vAlign w:val="center"/>
            <w:hideMark/>
          </w:tcPr>
          <w:p w14:paraId="48BAC842" w14:textId="77777777" w:rsidR="00A53BEA" w:rsidRPr="003E37F6" w:rsidRDefault="00A53BEA" w:rsidP="001C1C8C">
            <w:pPr>
              <w:pStyle w:val="Tabletext"/>
              <w:spacing w:line="276" w:lineRule="auto"/>
              <w:jc w:val="center"/>
              <w:rPr>
                <w:rFonts w:ascii="Arial" w:hAnsi="Arial" w:cs="Arial"/>
                <w:b/>
                <w:sz w:val="16"/>
                <w:szCs w:val="16"/>
                <w:lang w:val="el-GR"/>
              </w:rPr>
            </w:pPr>
            <w:r w:rsidRPr="003E37F6">
              <w:rPr>
                <w:rFonts w:ascii="Arial" w:hAnsi="Arial" w:cs="Arial"/>
                <w:b/>
                <w:sz w:val="16"/>
                <w:szCs w:val="16"/>
              </w:rPr>
              <w:t>2025_</w:t>
            </w:r>
            <w:r w:rsidRPr="003E37F6">
              <w:rPr>
                <w:rFonts w:ascii="Arial" w:hAnsi="Arial" w:cs="Arial"/>
                <w:b/>
                <w:sz w:val="16"/>
                <w:szCs w:val="16"/>
                <w:lang w:val="el-GR"/>
              </w:rPr>
              <w:t>αναφορά</w:t>
            </w:r>
          </w:p>
        </w:tc>
        <w:tc>
          <w:tcPr>
            <w:tcW w:w="1783" w:type="dxa"/>
            <w:tcBorders>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40A16644" w14:textId="77777777" w:rsidR="00A53BEA" w:rsidRPr="003E37F6" w:rsidRDefault="00A53BEA" w:rsidP="001C1C8C">
            <w:pPr>
              <w:pStyle w:val="Tabletext"/>
              <w:spacing w:line="276" w:lineRule="auto"/>
              <w:jc w:val="center"/>
              <w:rPr>
                <w:rFonts w:ascii="Arial" w:hAnsi="Arial" w:cs="Arial"/>
                <w:b/>
                <w:sz w:val="16"/>
                <w:szCs w:val="16"/>
                <w:lang w:val="el-GR"/>
              </w:rPr>
            </w:pPr>
            <w:r w:rsidRPr="003E37F6">
              <w:rPr>
                <w:rFonts w:ascii="Arial" w:hAnsi="Arial" w:cs="Arial"/>
                <w:b/>
                <w:sz w:val="16"/>
                <w:szCs w:val="16"/>
              </w:rPr>
              <w:t>2026_</w:t>
            </w:r>
            <w:r w:rsidRPr="003E37F6">
              <w:rPr>
                <w:rFonts w:ascii="Arial" w:hAnsi="Arial" w:cs="Arial"/>
                <w:b/>
                <w:sz w:val="16"/>
                <w:szCs w:val="16"/>
                <w:lang w:val="el-GR"/>
              </w:rPr>
              <w:t>αναφορά</w:t>
            </w:r>
          </w:p>
        </w:tc>
      </w:tr>
      <w:tr w:rsidR="00B04AE7" w:rsidRPr="005D5833" w14:paraId="72642A73" w14:textId="77777777" w:rsidTr="00002918">
        <w:trPr>
          <w:cantSplit/>
          <w:trHeight w:val="227"/>
          <w:jc w:val="center"/>
        </w:trPr>
        <w:tc>
          <w:tcPr>
            <w:tcW w:w="2986" w:type="dxa"/>
            <w:tcBorders>
              <w:top w:val="single" w:sz="2" w:space="0" w:color="A6A6A6" w:themeColor="background1" w:themeShade="A6"/>
              <w:left w:val="single" w:sz="2" w:space="0" w:color="A6A6A6" w:themeColor="background1" w:themeShade="A6"/>
            </w:tcBorders>
            <w:shd w:val="clear" w:color="auto" w:fill="D9D9D9" w:themeFill="background1" w:themeFillShade="D9"/>
            <w:vAlign w:val="center"/>
            <w:hideMark/>
          </w:tcPr>
          <w:p w14:paraId="5E4E4650" w14:textId="401298DA" w:rsidR="007D0AF3" w:rsidRPr="005D5833" w:rsidRDefault="003E37F6" w:rsidP="001C1C8C">
            <w:pPr>
              <w:pStyle w:val="Tabletext"/>
              <w:spacing w:line="276" w:lineRule="auto"/>
              <w:rPr>
                <w:rFonts w:ascii="Arial" w:hAnsi="Arial" w:cs="Arial"/>
                <w:b/>
                <w:sz w:val="16"/>
                <w:szCs w:val="16"/>
              </w:rPr>
            </w:pPr>
            <w:r w:rsidRPr="005D5833">
              <w:rPr>
                <w:rFonts w:ascii="Arial" w:hAnsi="Arial" w:cs="Arial"/>
                <w:b/>
                <w:bCs/>
                <w:color w:val="000000"/>
                <w:sz w:val="16"/>
                <w:szCs w:val="16"/>
                <w:lang w:val="el-GR"/>
              </w:rPr>
              <w:t>Συνολικός πληθυσμός</w:t>
            </w:r>
          </w:p>
        </w:tc>
        <w:tc>
          <w:tcPr>
            <w:tcW w:w="1138" w:type="dxa"/>
            <w:tcBorders>
              <w:top w:val="single" w:sz="2" w:space="0" w:color="A6A6A6" w:themeColor="background1" w:themeShade="A6"/>
            </w:tcBorders>
            <w:shd w:val="clear" w:color="auto" w:fill="D9D9D9" w:themeFill="background1" w:themeFillShade="D9"/>
            <w:vAlign w:val="center"/>
            <w:hideMark/>
          </w:tcPr>
          <w:p w14:paraId="7BEC61E5" w14:textId="77777777" w:rsidR="007D0AF3" w:rsidRPr="005D5833" w:rsidRDefault="007D0AF3" w:rsidP="00002918">
            <w:pPr>
              <w:pStyle w:val="Tabletext"/>
              <w:spacing w:line="276" w:lineRule="auto"/>
              <w:jc w:val="center"/>
              <w:rPr>
                <w:rFonts w:ascii="Arial" w:hAnsi="Arial" w:cs="Arial"/>
                <w:b/>
                <w:sz w:val="16"/>
                <w:szCs w:val="16"/>
              </w:rPr>
            </w:pPr>
            <w:r w:rsidRPr="005D5833">
              <w:rPr>
                <w:rFonts w:ascii="Arial" w:hAnsi="Arial" w:cs="Arial"/>
                <w:b/>
                <w:sz w:val="16"/>
                <w:szCs w:val="16"/>
              </w:rPr>
              <w:t>16</w:t>
            </w:r>
            <w:r w:rsidRPr="005D5833">
              <w:rPr>
                <w:rFonts w:ascii="Arial" w:hAnsi="Arial" w:cs="Arial"/>
                <w:b/>
                <w:sz w:val="16"/>
                <w:szCs w:val="16"/>
                <w:lang w:val="el-GR"/>
              </w:rPr>
              <w:t>,</w:t>
            </w:r>
            <w:r w:rsidRPr="005D5833">
              <w:rPr>
                <w:rFonts w:ascii="Arial" w:hAnsi="Arial" w:cs="Arial"/>
                <w:b/>
                <w:sz w:val="16"/>
                <w:szCs w:val="16"/>
              </w:rPr>
              <w:t>9%</w:t>
            </w:r>
          </w:p>
        </w:tc>
        <w:tc>
          <w:tcPr>
            <w:tcW w:w="2132" w:type="dxa"/>
            <w:tcBorders>
              <w:top w:val="single" w:sz="2" w:space="0" w:color="A6A6A6" w:themeColor="background1" w:themeShade="A6"/>
            </w:tcBorders>
            <w:shd w:val="clear" w:color="auto" w:fill="D9D9D9" w:themeFill="background1" w:themeFillShade="D9"/>
            <w:vAlign w:val="center"/>
            <w:hideMark/>
          </w:tcPr>
          <w:p w14:paraId="3674918B" w14:textId="77777777" w:rsidR="007D0AF3" w:rsidRPr="005D5833" w:rsidRDefault="007D0AF3" w:rsidP="00002918">
            <w:pPr>
              <w:pStyle w:val="Tabletext"/>
              <w:spacing w:line="276" w:lineRule="auto"/>
              <w:jc w:val="center"/>
              <w:rPr>
                <w:rFonts w:ascii="Arial" w:hAnsi="Arial" w:cs="Arial"/>
                <w:b/>
                <w:sz w:val="16"/>
                <w:szCs w:val="16"/>
              </w:rPr>
            </w:pPr>
            <w:r w:rsidRPr="005D5833">
              <w:rPr>
                <w:rFonts w:ascii="Arial" w:hAnsi="Arial" w:cs="Arial"/>
                <w:b/>
                <w:sz w:val="16"/>
                <w:szCs w:val="16"/>
              </w:rPr>
              <w:t>-0</w:t>
            </w:r>
            <w:r w:rsidRPr="005D5833">
              <w:rPr>
                <w:rFonts w:ascii="Arial" w:hAnsi="Arial" w:cs="Arial"/>
                <w:b/>
                <w:sz w:val="16"/>
                <w:szCs w:val="16"/>
                <w:lang w:val="el-GR"/>
              </w:rPr>
              <w:t>,</w:t>
            </w:r>
            <w:r w:rsidRPr="005D5833">
              <w:rPr>
                <w:rFonts w:ascii="Arial" w:hAnsi="Arial" w:cs="Arial"/>
                <w:b/>
                <w:sz w:val="16"/>
                <w:szCs w:val="16"/>
              </w:rPr>
              <w:t>6</w:t>
            </w:r>
          </w:p>
        </w:tc>
        <w:tc>
          <w:tcPr>
            <w:tcW w:w="1783" w:type="dxa"/>
            <w:tcBorders>
              <w:top w:val="single" w:sz="2" w:space="0" w:color="A6A6A6" w:themeColor="background1" w:themeShade="A6"/>
              <w:right w:val="single" w:sz="2" w:space="0" w:color="A6A6A6" w:themeColor="background1" w:themeShade="A6"/>
            </w:tcBorders>
            <w:shd w:val="clear" w:color="auto" w:fill="D9D9D9" w:themeFill="background1" w:themeFillShade="D9"/>
            <w:vAlign w:val="center"/>
            <w:hideMark/>
          </w:tcPr>
          <w:p w14:paraId="31004502" w14:textId="77777777" w:rsidR="007D0AF3" w:rsidRPr="005D5833" w:rsidRDefault="007D0AF3" w:rsidP="00002918">
            <w:pPr>
              <w:pStyle w:val="Tabletext"/>
              <w:spacing w:line="276" w:lineRule="auto"/>
              <w:jc w:val="center"/>
              <w:rPr>
                <w:rFonts w:ascii="Arial" w:hAnsi="Arial" w:cs="Arial"/>
                <w:b/>
                <w:sz w:val="16"/>
                <w:szCs w:val="16"/>
              </w:rPr>
            </w:pPr>
            <w:r w:rsidRPr="005D5833">
              <w:rPr>
                <w:rFonts w:ascii="Arial" w:hAnsi="Arial" w:cs="Arial"/>
                <w:b/>
                <w:sz w:val="16"/>
                <w:szCs w:val="16"/>
              </w:rPr>
              <w:t>-1</w:t>
            </w:r>
            <w:r w:rsidRPr="005D5833">
              <w:rPr>
                <w:rFonts w:ascii="Arial" w:hAnsi="Arial" w:cs="Arial"/>
                <w:b/>
                <w:sz w:val="16"/>
                <w:szCs w:val="16"/>
                <w:lang w:val="el-GR"/>
              </w:rPr>
              <w:t>,</w:t>
            </w:r>
            <w:r w:rsidRPr="005D5833">
              <w:rPr>
                <w:rFonts w:ascii="Arial" w:hAnsi="Arial" w:cs="Arial"/>
                <w:b/>
                <w:sz w:val="16"/>
                <w:szCs w:val="16"/>
              </w:rPr>
              <w:t>8</w:t>
            </w:r>
          </w:p>
        </w:tc>
      </w:tr>
      <w:tr w:rsidR="007D0AF3" w:rsidRPr="005D5833" w14:paraId="0B96D7EF" w14:textId="77777777" w:rsidTr="0081168C">
        <w:trPr>
          <w:cantSplit/>
          <w:trHeight w:val="227"/>
          <w:jc w:val="center"/>
        </w:trPr>
        <w:tc>
          <w:tcPr>
            <w:tcW w:w="8039" w:type="dxa"/>
            <w:gridSpan w:val="4"/>
            <w:tcBorders>
              <w:left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07BD7DFC" w14:textId="3968821C" w:rsidR="007D0AF3" w:rsidRPr="005D5833" w:rsidRDefault="007D0AF3" w:rsidP="001C1C8C">
            <w:pPr>
              <w:pStyle w:val="Tabletext"/>
              <w:spacing w:line="276" w:lineRule="auto"/>
              <w:rPr>
                <w:rFonts w:ascii="Arial" w:hAnsi="Arial" w:cs="Arial"/>
                <w:b/>
                <w:sz w:val="16"/>
                <w:szCs w:val="16"/>
              </w:rPr>
            </w:pPr>
            <w:r w:rsidRPr="005D5833">
              <w:rPr>
                <w:rFonts w:ascii="Arial" w:hAnsi="Arial" w:cs="Arial"/>
                <w:b/>
                <w:bCs/>
                <w:color w:val="000000"/>
                <w:sz w:val="16"/>
                <w:szCs w:val="16"/>
              </w:rPr>
              <w:t>Κατ</w:t>
            </w:r>
            <w:r w:rsidR="003E37F6" w:rsidRPr="005D5833">
              <w:rPr>
                <w:rFonts w:ascii="Arial" w:hAnsi="Arial" w:cs="Arial"/>
                <w:b/>
                <w:bCs/>
                <w:color w:val="000000"/>
                <w:sz w:val="16"/>
                <w:szCs w:val="16"/>
                <w:lang w:val="el-GR"/>
              </w:rPr>
              <w:t>ά</w:t>
            </w:r>
            <w:r w:rsidRPr="005D5833">
              <w:rPr>
                <w:rFonts w:ascii="Arial" w:hAnsi="Arial" w:cs="Arial"/>
                <w:b/>
                <w:bCs/>
                <w:color w:val="000000"/>
                <w:sz w:val="16"/>
                <w:szCs w:val="16"/>
              </w:rPr>
              <w:t xml:space="preserve"> </w:t>
            </w:r>
            <w:r w:rsidR="003E37F6" w:rsidRPr="005D5833">
              <w:rPr>
                <w:rFonts w:ascii="Arial" w:hAnsi="Arial" w:cs="Arial"/>
                <w:b/>
                <w:bCs/>
                <w:color w:val="000000"/>
                <w:sz w:val="16"/>
                <w:szCs w:val="16"/>
                <w:lang w:val="el-GR"/>
              </w:rPr>
              <w:t>ηλικιακή ομάδα</w:t>
            </w:r>
          </w:p>
        </w:tc>
      </w:tr>
      <w:tr w:rsidR="00A53BEA" w:rsidRPr="003E37F6" w14:paraId="237D88BE" w14:textId="77777777" w:rsidTr="00002918">
        <w:trPr>
          <w:cantSplit/>
          <w:jc w:val="center"/>
        </w:trPr>
        <w:tc>
          <w:tcPr>
            <w:tcW w:w="2986" w:type="dxa"/>
            <w:tcBorders>
              <w:left w:val="single" w:sz="2" w:space="0" w:color="A6A6A6" w:themeColor="background1" w:themeShade="A6"/>
            </w:tcBorders>
            <w:shd w:val="clear" w:color="auto" w:fill="auto"/>
            <w:vAlign w:val="center"/>
            <w:hideMark/>
          </w:tcPr>
          <w:p w14:paraId="34E6A5D2" w14:textId="5884C982" w:rsidR="007D0AF3" w:rsidRPr="003E37F6" w:rsidRDefault="007D0AF3" w:rsidP="001C1C8C">
            <w:pPr>
              <w:pStyle w:val="Tabletext"/>
              <w:spacing w:line="276" w:lineRule="auto"/>
              <w:rPr>
                <w:rFonts w:ascii="Arial" w:hAnsi="Arial" w:cs="Arial"/>
                <w:sz w:val="16"/>
                <w:szCs w:val="16"/>
              </w:rPr>
            </w:pPr>
            <w:r w:rsidRPr="003E37F6">
              <w:rPr>
                <w:rFonts w:ascii="Arial" w:hAnsi="Arial" w:cs="Arial"/>
                <w:sz w:val="16"/>
                <w:szCs w:val="16"/>
              </w:rPr>
              <w:t>0</w:t>
            </w:r>
            <w:r w:rsidR="00942033">
              <w:rPr>
                <w:rFonts w:ascii="Arial" w:hAnsi="Arial" w:cs="Arial"/>
                <w:sz w:val="16"/>
                <w:szCs w:val="16"/>
                <w:lang w:val="el-GR"/>
              </w:rPr>
              <w:t xml:space="preserve"> </w:t>
            </w:r>
            <w:r w:rsidRPr="003E37F6">
              <w:rPr>
                <w:rFonts w:ascii="Arial" w:hAnsi="Arial" w:cs="Arial"/>
                <w:sz w:val="16"/>
                <w:szCs w:val="16"/>
              </w:rPr>
              <w:t>-</w:t>
            </w:r>
            <w:r w:rsidR="00942033">
              <w:rPr>
                <w:rFonts w:ascii="Arial" w:hAnsi="Arial" w:cs="Arial"/>
                <w:sz w:val="16"/>
                <w:szCs w:val="16"/>
                <w:lang w:val="el-GR"/>
              </w:rPr>
              <w:t xml:space="preserve"> </w:t>
            </w:r>
            <w:r w:rsidRPr="003E37F6">
              <w:rPr>
                <w:rFonts w:ascii="Arial" w:hAnsi="Arial" w:cs="Arial"/>
                <w:sz w:val="16"/>
                <w:szCs w:val="16"/>
              </w:rPr>
              <w:t>14</w:t>
            </w:r>
          </w:p>
        </w:tc>
        <w:tc>
          <w:tcPr>
            <w:tcW w:w="1138" w:type="dxa"/>
            <w:shd w:val="clear" w:color="auto" w:fill="auto"/>
            <w:vAlign w:val="center"/>
            <w:hideMark/>
          </w:tcPr>
          <w:p w14:paraId="0F743365"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18</w:t>
            </w:r>
            <w:r w:rsidRPr="003E37F6">
              <w:rPr>
                <w:rFonts w:ascii="Arial" w:hAnsi="Arial" w:cs="Arial"/>
                <w:sz w:val="16"/>
                <w:szCs w:val="16"/>
                <w:lang w:val="el-GR"/>
              </w:rPr>
              <w:t>,</w:t>
            </w:r>
            <w:r w:rsidRPr="003E37F6">
              <w:rPr>
                <w:rFonts w:ascii="Arial" w:hAnsi="Arial" w:cs="Arial"/>
                <w:sz w:val="16"/>
                <w:szCs w:val="16"/>
              </w:rPr>
              <w:t>4%</w:t>
            </w:r>
          </w:p>
        </w:tc>
        <w:tc>
          <w:tcPr>
            <w:tcW w:w="2132" w:type="dxa"/>
            <w:shd w:val="clear" w:color="auto" w:fill="auto"/>
            <w:vAlign w:val="center"/>
            <w:hideMark/>
          </w:tcPr>
          <w:p w14:paraId="77E475D1"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1</w:t>
            </w:r>
          </w:p>
        </w:tc>
        <w:tc>
          <w:tcPr>
            <w:tcW w:w="1783" w:type="dxa"/>
            <w:tcBorders>
              <w:right w:val="single" w:sz="2" w:space="0" w:color="A6A6A6" w:themeColor="background1" w:themeShade="A6"/>
            </w:tcBorders>
            <w:shd w:val="clear" w:color="auto" w:fill="auto"/>
            <w:vAlign w:val="center"/>
            <w:hideMark/>
          </w:tcPr>
          <w:p w14:paraId="1288C1BF"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w:t>
            </w:r>
            <w:r w:rsidRPr="003E37F6">
              <w:rPr>
                <w:rFonts w:ascii="Arial" w:hAnsi="Arial" w:cs="Arial"/>
                <w:sz w:val="16"/>
                <w:szCs w:val="16"/>
                <w:lang w:val="el-GR"/>
              </w:rPr>
              <w:t>,</w:t>
            </w:r>
            <w:r w:rsidRPr="003E37F6">
              <w:rPr>
                <w:rFonts w:ascii="Arial" w:hAnsi="Arial" w:cs="Arial"/>
                <w:sz w:val="16"/>
                <w:szCs w:val="16"/>
              </w:rPr>
              <w:t>0</w:t>
            </w:r>
          </w:p>
        </w:tc>
      </w:tr>
      <w:tr w:rsidR="00A53BEA" w:rsidRPr="003E37F6" w14:paraId="6077958A" w14:textId="77777777" w:rsidTr="00002918">
        <w:trPr>
          <w:cantSplit/>
          <w:jc w:val="center"/>
        </w:trPr>
        <w:tc>
          <w:tcPr>
            <w:tcW w:w="2986" w:type="dxa"/>
            <w:tcBorders>
              <w:left w:val="single" w:sz="2" w:space="0" w:color="A6A6A6" w:themeColor="background1" w:themeShade="A6"/>
            </w:tcBorders>
            <w:shd w:val="clear" w:color="auto" w:fill="auto"/>
            <w:vAlign w:val="center"/>
            <w:hideMark/>
          </w:tcPr>
          <w:p w14:paraId="21F39806" w14:textId="46519EF6" w:rsidR="007D0AF3" w:rsidRPr="003E37F6" w:rsidRDefault="007D0AF3" w:rsidP="001C1C8C">
            <w:pPr>
              <w:pStyle w:val="Tabletext"/>
              <w:spacing w:line="276" w:lineRule="auto"/>
              <w:rPr>
                <w:rFonts w:ascii="Arial" w:hAnsi="Arial" w:cs="Arial"/>
                <w:sz w:val="16"/>
                <w:szCs w:val="16"/>
              </w:rPr>
            </w:pPr>
            <w:r w:rsidRPr="003E37F6">
              <w:rPr>
                <w:rFonts w:ascii="Arial" w:hAnsi="Arial" w:cs="Arial"/>
                <w:sz w:val="16"/>
                <w:szCs w:val="16"/>
              </w:rPr>
              <w:t>15</w:t>
            </w:r>
            <w:r w:rsidR="00942033">
              <w:rPr>
                <w:rFonts w:ascii="Arial" w:hAnsi="Arial" w:cs="Arial"/>
                <w:sz w:val="16"/>
                <w:szCs w:val="16"/>
                <w:lang w:val="el-GR"/>
              </w:rPr>
              <w:t xml:space="preserve"> </w:t>
            </w:r>
            <w:r w:rsidRPr="003E37F6">
              <w:rPr>
                <w:rFonts w:ascii="Arial" w:hAnsi="Arial" w:cs="Arial"/>
                <w:sz w:val="16"/>
                <w:szCs w:val="16"/>
              </w:rPr>
              <w:t>-</w:t>
            </w:r>
            <w:r w:rsidR="00942033">
              <w:rPr>
                <w:rFonts w:ascii="Arial" w:hAnsi="Arial" w:cs="Arial"/>
                <w:sz w:val="16"/>
                <w:szCs w:val="16"/>
                <w:lang w:val="el-GR"/>
              </w:rPr>
              <w:t xml:space="preserve"> </w:t>
            </w:r>
            <w:r w:rsidRPr="003E37F6">
              <w:rPr>
                <w:rFonts w:ascii="Arial" w:hAnsi="Arial" w:cs="Arial"/>
                <w:sz w:val="16"/>
                <w:szCs w:val="16"/>
              </w:rPr>
              <w:t>24</w:t>
            </w:r>
          </w:p>
        </w:tc>
        <w:tc>
          <w:tcPr>
            <w:tcW w:w="1138" w:type="dxa"/>
            <w:shd w:val="clear" w:color="auto" w:fill="auto"/>
            <w:vAlign w:val="center"/>
            <w:hideMark/>
          </w:tcPr>
          <w:p w14:paraId="191BDE19"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22%</w:t>
            </w:r>
          </w:p>
        </w:tc>
        <w:tc>
          <w:tcPr>
            <w:tcW w:w="2132" w:type="dxa"/>
            <w:shd w:val="clear" w:color="auto" w:fill="auto"/>
            <w:vAlign w:val="center"/>
            <w:hideMark/>
          </w:tcPr>
          <w:p w14:paraId="5D24163C"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4</w:t>
            </w:r>
          </w:p>
        </w:tc>
        <w:tc>
          <w:tcPr>
            <w:tcW w:w="1783" w:type="dxa"/>
            <w:tcBorders>
              <w:right w:val="single" w:sz="2" w:space="0" w:color="A6A6A6" w:themeColor="background1" w:themeShade="A6"/>
            </w:tcBorders>
            <w:shd w:val="clear" w:color="auto" w:fill="auto"/>
            <w:vAlign w:val="center"/>
            <w:hideMark/>
          </w:tcPr>
          <w:p w14:paraId="4C75DBA1"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w:t>
            </w:r>
            <w:r w:rsidRPr="003E37F6">
              <w:rPr>
                <w:rFonts w:ascii="Arial" w:hAnsi="Arial" w:cs="Arial"/>
                <w:sz w:val="16"/>
                <w:szCs w:val="16"/>
                <w:lang w:val="el-GR"/>
              </w:rPr>
              <w:t>,</w:t>
            </w:r>
            <w:r w:rsidRPr="003E37F6">
              <w:rPr>
                <w:rFonts w:ascii="Arial" w:hAnsi="Arial" w:cs="Arial"/>
                <w:sz w:val="16"/>
                <w:szCs w:val="16"/>
              </w:rPr>
              <w:t>2</w:t>
            </w:r>
          </w:p>
        </w:tc>
      </w:tr>
      <w:tr w:rsidR="00A53BEA" w:rsidRPr="003E37F6" w14:paraId="39146185" w14:textId="77777777" w:rsidTr="00002918">
        <w:trPr>
          <w:cantSplit/>
          <w:jc w:val="center"/>
        </w:trPr>
        <w:tc>
          <w:tcPr>
            <w:tcW w:w="2986" w:type="dxa"/>
            <w:tcBorders>
              <w:left w:val="single" w:sz="2" w:space="0" w:color="A6A6A6" w:themeColor="background1" w:themeShade="A6"/>
            </w:tcBorders>
            <w:shd w:val="clear" w:color="auto" w:fill="auto"/>
            <w:vAlign w:val="center"/>
            <w:hideMark/>
          </w:tcPr>
          <w:p w14:paraId="66B0B81B" w14:textId="393CB294" w:rsidR="007D0AF3" w:rsidRPr="003E37F6" w:rsidRDefault="007D0AF3" w:rsidP="001C1C8C">
            <w:pPr>
              <w:pStyle w:val="Tabletext"/>
              <w:spacing w:line="276" w:lineRule="auto"/>
              <w:rPr>
                <w:rFonts w:ascii="Arial" w:hAnsi="Arial" w:cs="Arial"/>
                <w:sz w:val="16"/>
                <w:szCs w:val="16"/>
              </w:rPr>
            </w:pPr>
            <w:r w:rsidRPr="003E37F6">
              <w:rPr>
                <w:rFonts w:ascii="Arial" w:hAnsi="Arial" w:cs="Arial"/>
                <w:sz w:val="16"/>
                <w:szCs w:val="16"/>
              </w:rPr>
              <w:t>25</w:t>
            </w:r>
            <w:r w:rsidR="00942033">
              <w:rPr>
                <w:rFonts w:ascii="Arial" w:hAnsi="Arial" w:cs="Arial"/>
                <w:sz w:val="16"/>
                <w:szCs w:val="16"/>
                <w:lang w:val="el-GR"/>
              </w:rPr>
              <w:t xml:space="preserve"> </w:t>
            </w:r>
            <w:r w:rsidRPr="003E37F6">
              <w:rPr>
                <w:rFonts w:ascii="Arial" w:hAnsi="Arial" w:cs="Arial"/>
                <w:sz w:val="16"/>
                <w:szCs w:val="16"/>
              </w:rPr>
              <w:t>-</w:t>
            </w:r>
            <w:r w:rsidR="00942033">
              <w:rPr>
                <w:rFonts w:ascii="Arial" w:hAnsi="Arial" w:cs="Arial"/>
                <w:sz w:val="16"/>
                <w:szCs w:val="16"/>
                <w:lang w:val="el-GR"/>
              </w:rPr>
              <w:t xml:space="preserve"> </w:t>
            </w:r>
            <w:r w:rsidRPr="003E37F6">
              <w:rPr>
                <w:rFonts w:ascii="Arial" w:hAnsi="Arial" w:cs="Arial"/>
                <w:sz w:val="16"/>
                <w:szCs w:val="16"/>
              </w:rPr>
              <w:t>49</w:t>
            </w:r>
          </w:p>
        </w:tc>
        <w:tc>
          <w:tcPr>
            <w:tcW w:w="1138" w:type="dxa"/>
            <w:shd w:val="clear" w:color="auto" w:fill="auto"/>
            <w:vAlign w:val="center"/>
            <w:hideMark/>
          </w:tcPr>
          <w:p w14:paraId="2493D002"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15</w:t>
            </w:r>
            <w:r w:rsidRPr="003E37F6">
              <w:rPr>
                <w:rFonts w:ascii="Arial" w:hAnsi="Arial" w:cs="Arial"/>
                <w:sz w:val="16"/>
                <w:szCs w:val="16"/>
                <w:lang w:val="el-GR"/>
              </w:rPr>
              <w:t>,</w:t>
            </w:r>
            <w:r w:rsidRPr="003E37F6">
              <w:rPr>
                <w:rFonts w:ascii="Arial" w:hAnsi="Arial" w:cs="Arial"/>
                <w:sz w:val="16"/>
                <w:szCs w:val="16"/>
              </w:rPr>
              <w:t>7%</w:t>
            </w:r>
          </w:p>
        </w:tc>
        <w:tc>
          <w:tcPr>
            <w:tcW w:w="2132" w:type="dxa"/>
            <w:shd w:val="clear" w:color="auto" w:fill="auto"/>
            <w:vAlign w:val="center"/>
            <w:hideMark/>
          </w:tcPr>
          <w:p w14:paraId="559F9B4A"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3</w:t>
            </w:r>
          </w:p>
        </w:tc>
        <w:tc>
          <w:tcPr>
            <w:tcW w:w="1783" w:type="dxa"/>
            <w:tcBorders>
              <w:right w:val="single" w:sz="2" w:space="0" w:color="A6A6A6" w:themeColor="background1" w:themeShade="A6"/>
            </w:tcBorders>
            <w:shd w:val="clear" w:color="auto" w:fill="auto"/>
            <w:vAlign w:val="center"/>
            <w:hideMark/>
          </w:tcPr>
          <w:p w14:paraId="6715596C"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w:t>
            </w:r>
            <w:r w:rsidRPr="003E37F6">
              <w:rPr>
                <w:rFonts w:ascii="Arial" w:hAnsi="Arial" w:cs="Arial"/>
                <w:sz w:val="16"/>
                <w:szCs w:val="16"/>
                <w:lang w:val="el-GR"/>
              </w:rPr>
              <w:t>,</w:t>
            </w:r>
            <w:r w:rsidRPr="003E37F6">
              <w:rPr>
                <w:rFonts w:ascii="Arial" w:hAnsi="Arial" w:cs="Arial"/>
                <w:sz w:val="16"/>
                <w:szCs w:val="16"/>
              </w:rPr>
              <w:t>4</w:t>
            </w:r>
          </w:p>
        </w:tc>
      </w:tr>
      <w:tr w:rsidR="00A53BEA" w:rsidRPr="003E37F6" w14:paraId="7097064A" w14:textId="77777777" w:rsidTr="00002918">
        <w:trPr>
          <w:cantSplit/>
          <w:jc w:val="center"/>
        </w:trPr>
        <w:tc>
          <w:tcPr>
            <w:tcW w:w="2986" w:type="dxa"/>
            <w:tcBorders>
              <w:left w:val="single" w:sz="2" w:space="0" w:color="A6A6A6" w:themeColor="background1" w:themeShade="A6"/>
            </w:tcBorders>
            <w:shd w:val="clear" w:color="auto" w:fill="auto"/>
            <w:vAlign w:val="center"/>
            <w:hideMark/>
          </w:tcPr>
          <w:p w14:paraId="5DEE0AA0" w14:textId="37979D61" w:rsidR="007D0AF3" w:rsidRPr="003E37F6" w:rsidRDefault="007D0AF3" w:rsidP="001C1C8C">
            <w:pPr>
              <w:pStyle w:val="Tabletext"/>
              <w:spacing w:line="276" w:lineRule="auto"/>
              <w:rPr>
                <w:rFonts w:ascii="Arial" w:hAnsi="Arial" w:cs="Arial"/>
                <w:sz w:val="16"/>
                <w:szCs w:val="16"/>
              </w:rPr>
            </w:pPr>
            <w:r w:rsidRPr="003E37F6">
              <w:rPr>
                <w:rFonts w:ascii="Arial" w:hAnsi="Arial" w:cs="Arial"/>
                <w:sz w:val="16"/>
                <w:szCs w:val="16"/>
              </w:rPr>
              <w:t>50</w:t>
            </w:r>
            <w:r w:rsidR="00942033">
              <w:rPr>
                <w:rFonts w:ascii="Arial" w:hAnsi="Arial" w:cs="Arial"/>
                <w:sz w:val="16"/>
                <w:szCs w:val="16"/>
                <w:lang w:val="el-GR"/>
              </w:rPr>
              <w:t xml:space="preserve"> </w:t>
            </w:r>
            <w:r w:rsidRPr="003E37F6">
              <w:rPr>
                <w:rFonts w:ascii="Arial" w:hAnsi="Arial" w:cs="Arial"/>
                <w:sz w:val="16"/>
                <w:szCs w:val="16"/>
              </w:rPr>
              <w:t>-</w:t>
            </w:r>
            <w:r w:rsidR="00942033">
              <w:rPr>
                <w:rFonts w:ascii="Arial" w:hAnsi="Arial" w:cs="Arial"/>
                <w:sz w:val="16"/>
                <w:szCs w:val="16"/>
                <w:lang w:val="el-GR"/>
              </w:rPr>
              <w:t xml:space="preserve"> </w:t>
            </w:r>
            <w:r w:rsidRPr="003E37F6">
              <w:rPr>
                <w:rFonts w:ascii="Arial" w:hAnsi="Arial" w:cs="Arial"/>
                <w:sz w:val="16"/>
                <w:szCs w:val="16"/>
              </w:rPr>
              <w:t>64</w:t>
            </w:r>
          </w:p>
        </w:tc>
        <w:tc>
          <w:tcPr>
            <w:tcW w:w="1138" w:type="dxa"/>
            <w:shd w:val="clear" w:color="auto" w:fill="auto"/>
            <w:vAlign w:val="center"/>
            <w:hideMark/>
          </w:tcPr>
          <w:p w14:paraId="101A77C4"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16</w:t>
            </w:r>
            <w:r w:rsidRPr="003E37F6">
              <w:rPr>
                <w:rFonts w:ascii="Arial" w:hAnsi="Arial" w:cs="Arial"/>
                <w:sz w:val="16"/>
                <w:szCs w:val="16"/>
                <w:lang w:val="el-GR"/>
              </w:rPr>
              <w:t>,</w:t>
            </w:r>
            <w:r w:rsidRPr="003E37F6">
              <w:rPr>
                <w:rFonts w:ascii="Arial" w:hAnsi="Arial" w:cs="Arial"/>
                <w:sz w:val="16"/>
                <w:szCs w:val="16"/>
              </w:rPr>
              <w:t>3%</w:t>
            </w:r>
          </w:p>
        </w:tc>
        <w:tc>
          <w:tcPr>
            <w:tcW w:w="2132" w:type="dxa"/>
            <w:shd w:val="clear" w:color="auto" w:fill="auto"/>
            <w:vAlign w:val="center"/>
            <w:hideMark/>
          </w:tcPr>
          <w:p w14:paraId="6271534C"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1</w:t>
            </w:r>
          </w:p>
        </w:tc>
        <w:tc>
          <w:tcPr>
            <w:tcW w:w="1783" w:type="dxa"/>
            <w:tcBorders>
              <w:right w:val="single" w:sz="2" w:space="0" w:color="A6A6A6" w:themeColor="background1" w:themeShade="A6"/>
            </w:tcBorders>
            <w:shd w:val="clear" w:color="auto" w:fill="auto"/>
            <w:vAlign w:val="center"/>
            <w:hideMark/>
          </w:tcPr>
          <w:p w14:paraId="3095742F"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8</w:t>
            </w:r>
          </w:p>
        </w:tc>
      </w:tr>
      <w:tr w:rsidR="00A53BEA" w:rsidRPr="003E37F6" w14:paraId="085EA202" w14:textId="77777777" w:rsidTr="00002918">
        <w:trPr>
          <w:cantSplit/>
          <w:jc w:val="center"/>
        </w:trPr>
        <w:tc>
          <w:tcPr>
            <w:tcW w:w="2986" w:type="dxa"/>
            <w:tcBorders>
              <w:left w:val="single" w:sz="2" w:space="0" w:color="A6A6A6" w:themeColor="background1" w:themeShade="A6"/>
            </w:tcBorders>
            <w:shd w:val="clear" w:color="auto" w:fill="auto"/>
            <w:vAlign w:val="center"/>
            <w:hideMark/>
          </w:tcPr>
          <w:p w14:paraId="6CD92F34" w14:textId="3A9724BC" w:rsidR="007D0AF3" w:rsidRPr="003E37F6" w:rsidRDefault="007D0AF3" w:rsidP="001C1C8C">
            <w:pPr>
              <w:pStyle w:val="Tabletext"/>
              <w:spacing w:line="276" w:lineRule="auto"/>
              <w:rPr>
                <w:rFonts w:ascii="Arial" w:hAnsi="Arial" w:cs="Arial"/>
                <w:sz w:val="16"/>
                <w:szCs w:val="16"/>
              </w:rPr>
            </w:pPr>
            <w:r w:rsidRPr="003E37F6">
              <w:rPr>
                <w:rFonts w:ascii="Arial" w:hAnsi="Arial" w:cs="Arial"/>
                <w:sz w:val="16"/>
                <w:szCs w:val="16"/>
              </w:rPr>
              <w:t>65</w:t>
            </w:r>
            <w:r w:rsidR="00942033">
              <w:rPr>
                <w:rFonts w:ascii="Arial" w:hAnsi="Arial" w:cs="Arial"/>
                <w:sz w:val="16"/>
                <w:szCs w:val="16"/>
                <w:lang w:val="el-GR"/>
              </w:rPr>
              <w:t xml:space="preserve"> </w:t>
            </w:r>
            <w:r w:rsidRPr="003E37F6">
              <w:rPr>
                <w:rFonts w:ascii="Arial" w:hAnsi="Arial" w:cs="Arial"/>
                <w:sz w:val="16"/>
                <w:szCs w:val="16"/>
              </w:rPr>
              <w:t>-</w:t>
            </w:r>
            <w:r w:rsidR="00942033">
              <w:rPr>
                <w:rFonts w:ascii="Arial" w:hAnsi="Arial" w:cs="Arial"/>
                <w:sz w:val="16"/>
                <w:szCs w:val="16"/>
                <w:lang w:val="el-GR"/>
              </w:rPr>
              <w:t xml:space="preserve"> </w:t>
            </w:r>
            <w:r w:rsidRPr="003E37F6">
              <w:rPr>
                <w:rFonts w:ascii="Arial" w:hAnsi="Arial" w:cs="Arial"/>
                <w:sz w:val="16"/>
                <w:szCs w:val="16"/>
              </w:rPr>
              <w:t>79</w:t>
            </w:r>
          </w:p>
        </w:tc>
        <w:tc>
          <w:tcPr>
            <w:tcW w:w="1138" w:type="dxa"/>
            <w:shd w:val="clear" w:color="auto" w:fill="auto"/>
            <w:vAlign w:val="center"/>
            <w:hideMark/>
          </w:tcPr>
          <w:p w14:paraId="62F4D480"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14</w:t>
            </w:r>
            <w:r w:rsidRPr="003E37F6">
              <w:rPr>
                <w:rFonts w:ascii="Arial" w:hAnsi="Arial" w:cs="Arial"/>
                <w:sz w:val="16"/>
                <w:szCs w:val="16"/>
                <w:lang w:val="el-GR"/>
              </w:rPr>
              <w:t>,</w:t>
            </w:r>
            <w:r w:rsidRPr="003E37F6">
              <w:rPr>
                <w:rFonts w:ascii="Arial" w:hAnsi="Arial" w:cs="Arial"/>
                <w:sz w:val="16"/>
                <w:szCs w:val="16"/>
              </w:rPr>
              <w:t>8%</w:t>
            </w:r>
          </w:p>
        </w:tc>
        <w:tc>
          <w:tcPr>
            <w:tcW w:w="2132" w:type="dxa"/>
            <w:shd w:val="clear" w:color="auto" w:fill="auto"/>
            <w:vAlign w:val="center"/>
            <w:hideMark/>
          </w:tcPr>
          <w:p w14:paraId="65892104"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w:t>
            </w:r>
            <w:r w:rsidRPr="003E37F6">
              <w:rPr>
                <w:rFonts w:ascii="Arial" w:hAnsi="Arial" w:cs="Arial"/>
                <w:sz w:val="16"/>
                <w:szCs w:val="16"/>
                <w:lang w:val="el-GR"/>
              </w:rPr>
              <w:t>,</w:t>
            </w:r>
            <w:r w:rsidRPr="003E37F6">
              <w:rPr>
                <w:rFonts w:ascii="Arial" w:hAnsi="Arial" w:cs="Arial"/>
                <w:sz w:val="16"/>
                <w:szCs w:val="16"/>
              </w:rPr>
              <w:t>5</w:t>
            </w:r>
          </w:p>
        </w:tc>
        <w:tc>
          <w:tcPr>
            <w:tcW w:w="1783" w:type="dxa"/>
            <w:tcBorders>
              <w:right w:val="single" w:sz="2" w:space="0" w:color="A6A6A6" w:themeColor="background1" w:themeShade="A6"/>
            </w:tcBorders>
            <w:shd w:val="clear" w:color="auto" w:fill="auto"/>
            <w:vAlign w:val="center"/>
            <w:hideMark/>
          </w:tcPr>
          <w:p w14:paraId="58C49395"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w:t>
            </w:r>
            <w:r w:rsidRPr="003E37F6">
              <w:rPr>
                <w:rFonts w:ascii="Arial" w:hAnsi="Arial" w:cs="Arial"/>
                <w:sz w:val="16"/>
                <w:szCs w:val="16"/>
                <w:lang w:val="el-GR"/>
              </w:rPr>
              <w:t>,</w:t>
            </w:r>
            <w:r w:rsidRPr="003E37F6">
              <w:rPr>
                <w:rFonts w:ascii="Arial" w:hAnsi="Arial" w:cs="Arial"/>
                <w:sz w:val="16"/>
                <w:szCs w:val="16"/>
              </w:rPr>
              <w:t>2</w:t>
            </w:r>
          </w:p>
        </w:tc>
      </w:tr>
      <w:tr w:rsidR="00A53BEA" w:rsidRPr="003E37F6" w14:paraId="00637853" w14:textId="77777777" w:rsidTr="00002918">
        <w:trPr>
          <w:cantSplit/>
          <w:jc w:val="center"/>
        </w:trPr>
        <w:tc>
          <w:tcPr>
            <w:tcW w:w="2986" w:type="dxa"/>
            <w:tcBorders>
              <w:left w:val="single" w:sz="2" w:space="0" w:color="A6A6A6" w:themeColor="background1" w:themeShade="A6"/>
            </w:tcBorders>
            <w:shd w:val="clear" w:color="auto" w:fill="auto"/>
            <w:vAlign w:val="center"/>
            <w:hideMark/>
          </w:tcPr>
          <w:p w14:paraId="3179E944" w14:textId="77777777" w:rsidR="007D0AF3" w:rsidRPr="003E37F6" w:rsidRDefault="007D0AF3" w:rsidP="001C1C8C">
            <w:pPr>
              <w:pStyle w:val="Tabletext"/>
              <w:spacing w:line="276" w:lineRule="auto"/>
              <w:rPr>
                <w:rFonts w:ascii="Arial" w:hAnsi="Arial" w:cs="Arial"/>
                <w:sz w:val="16"/>
                <w:szCs w:val="16"/>
              </w:rPr>
            </w:pPr>
            <w:r w:rsidRPr="003E37F6">
              <w:rPr>
                <w:rFonts w:ascii="Arial" w:hAnsi="Arial" w:cs="Arial"/>
                <w:sz w:val="16"/>
                <w:szCs w:val="16"/>
              </w:rPr>
              <w:t>80+</w:t>
            </w:r>
          </w:p>
        </w:tc>
        <w:tc>
          <w:tcPr>
            <w:tcW w:w="1138" w:type="dxa"/>
            <w:shd w:val="clear" w:color="auto" w:fill="auto"/>
            <w:vAlign w:val="center"/>
            <w:hideMark/>
          </w:tcPr>
          <w:p w14:paraId="2CF69492"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19%</w:t>
            </w:r>
          </w:p>
        </w:tc>
        <w:tc>
          <w:tcPr>
            <w:tcW w:w="2132" w:type="dxa"/>
            <w:shd w:val="clear" w:color="auto" w:fill="auto"/>
            <w:vAlign w:val="center"/>
            <w:hideMark/>
          </w:tcPr>
          <w:p w14:paraId="0AAE67BB"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w:t>
            </w:r>
            <w:r w:rsidRPr="003E37F6">
              <w:rPr>
                <w:rFonts w:ascii="Arial" w:hAnsi="Arial" w:cs="Arial"/>
                <w:sz w:val="16"/>
                <w:szCs w:val="16"/>
                <w:lang w:val="el-GR"/>
              </w:rPr>
              <w:t>,</w:t>
            </w:r>
            <w:r w:rsidRPr="003E37F6">
              <w:rPr>
                <w:rFonts w:ascii="Arial" w:hAnsi="Arial" w:cs="Arial"/>
                <w:sz w:val="16"/>
                <w:szCs w:val="16"/>
              </w:rPr>
              <w:t>2</w:t>
            </w:r>
          </w:p>
        </w:tc>
        <w:tc>
          <w:tcPr>
            <w:tcW w:w="1783" w:type="dxa"/>
            <w:tcBorders>
              <w:right w:val="single" w:sz="2" w:space="0" w:color="A6A6A6" w:themeColor="background1" w:themeShade="A6"/>
            </w:tcBorders>
            <w:shd w:val="clear" w:color="auto" w:fill="auto"/>
            <w:vAlign w:val="center"/>
            <w:hideMark/>
          </w:tcPr>
          <w:p w14:paraId="5FCE175F"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-4</w:t>
            </w:r>
            <w:r w:rsidRPr="003E37F6">
              <w:rPr>
                <w:rFonts w:ascii="Arial" w:hAnsi="Arial" w:cs="Arial"/>
                <w:sz w:val="16"/>
                <w:szCs w:val="16"/>
                <w:lang w:val="el-GR"/>
              </w:rPr>
              <w:t>,</w:t>
            </w:r>
            <w:r w:rsidRPr="003E37F6">
              <w:rPr>
                <w:rFonts w:ascii="Arial" w:hAnsi="Arial" w:cs="Arial"/>
                <w:sz w:val="16"/>
                <w:szCs w:val="16"/>
              </w:rPr>
              <w:t>0</w:t>
            </w:r>
          </w:p>
        </w:tc>
      </w:tr>
      <w:tr w:rsidR="007D0AF3" w:rsidRPr="005D5833" w14:paraId="7252765E" w14:textId="77777777" w:rsidTr="0081168C">
        <w:trPr>
          <w:cantSplit/>
          <w:trHeight w:val="227"/>
          <w:jc w:val="center"/>
        </w:trPr>
        <w:tc>
          <w:tcPr>
            <w:tcW w:w="8039" w:type="dxa"/>
            <w:gridSpan w:val="4"/>
            <w:tcBorders>
              <w:left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030BAF58" w14:textId="13B578A3" w:rsidR="007D0AF3" w:rsidRPr="005D5833" w:rsidRDefault="00B04AE7" w:rsidP="001C1C8C">
            <w:pPr>
              <w:pStyle w:val="Tabletext"/>
              <w:spacing w:line="276" w:lineRule="auto"/>
              <w:rPr>
                <w:rFonts w:ascii="Arial" w:hAnsi="Arial" w:cs="Arial"/>
                <w:b/>
                <w:sz w:val="16"/>
                <w:szCs w:val="16"/>
              </w:rPr>
            </w:pPr>
            <w:r w:rsidRPr="005D5833">
              <w:rPr>
                <w:rFonts w:ascii="Arial" w:hAnsi="Arial" w:cs="Arial"/>
                <w:b/>
                <w:bCs/>
                <w:color w:val="000000"/>
                <w:sz w:val="16"/>
                <w:szCs w:val="16"/>
                <w:lang w:val="el-GR"/>
              </w:rPr>
              <w:t>Κατά τύπο νοικοκυριού</w:t>
            </w:r>
          </w:p>
        </w:tc>
      </w:tr>
      <w:tr w:rsidR="00A53BEA" w:rsidRPr="003E37F6" w14:paraId="266A51A5" w14:textId="77777777" w:rsidTr="00002918">
        <w:trPr>
          <w:cantSplit/>
          <w:jc w:val="center"/>
        </w:trPr>
        <w:tc>
          <w:tcPr>
            <w:tcW w:w="2986" w:type="dxa"/>
            <w:tcBorders>
              <w:left w:val="single" w:sz="2" w:space="0" w:color="A6A6A6" w:themeColor="background1" w:themeShade="A6"/>
            </w:tcBorders>
            <w:shd w:val="clear" w:color="auto" w:fill="auto"/>
            <w:vAlign w:val="center"/>
            <w:hideMark/>
          </w:tcPr>
          <w:p w14:paraId="6093F397" w14:textId="7911231B" w:rsidR="007D0AF3" w:rsidRPr="003E37F6" w:rsidRDefault="00B04AE7" w:rsidP="001C1C8C">
            <w:pPr>
              <w:pStyle w:val="Tabletext"/>
              <w:spacing w:line="276" w:lineRule="auto"/>
              <w:rPr>
                <w:rFonts w:ascii="Arial" w:hAnsi="Arial" w:cs="Arial"/>
                <w:sz w:val="16"/>
                <w:szCs w:val="16"/>
              </w:rPr>
            </w:pPr>
            <w:r>
              <w:rPr>
                <w:rFonts w:ascii="Arial" w:hAnsi="Arial" w:cs="Arial"/>
                <w:sz w:val="16"/>
                <w:szCs w:val="16"/>
                <w:lang w:val="el-GR"/>
              </w:rPr>
              <w:t>Ένας</w:t>
            </w:r>
            <w:r w:rsidR="007D0AF3" w:rsidRPr="003E37F6">
              <w:rPr>
                <w:rFonts w:ascii="Arial" w:hAnsi="Arial" w:cs="Arial"/>
                <w:sz w:val="16"/>
                <w:szCs w:val="16"/>
              </w:rPr>
              <w:t xml:space="preserve"> </w:t>
            </w:r>
            <w:r>
              <w:rPr>
                <w:rFonts w:ascii="Arial" w:hAnsi="Arial" w:cs="Arial"/>
                <w:sz w:val="16"/>
                <w:szCs w:val="16"/>
                <w:lang w:val="el-GR"/>
              </w:rPr>
              <w:t xml:space="preserve">ενήλικας </w:t>
            </w:r>
            <w:r w:rsidR="007D0AF3" w:rsidRPr="003E37F6">
              <w:rPr>
                <w:rFonts w:ascii="Arial" w:hAnsi="Arial" w:cs="Arial"/>
                <w:sz w:val="16"/>
                <w:szCs w:val="16"/>
              </w:rPr>
              <w:t xml:space="preserve">&lt;65, </w:t>
            </w:r>
            <w:r w:rsidRPr="003E37F6">
              <w:rPr>
                <w:rFonts w:ascii="Arial" w:hAnsi="Arial" w:cs="Arial"/>
                <w:sz w:val="16"/>
                <w:szCs w:val="16"/>
              </w:rPr>
              <w:t>χωρίς</w:t>
            </w:r>
            <w:r>
              <w:rPr>
                <w:rFonts w:ascii="Arial" w:hAnsi="Arial" w:cs="Arial"/>
                <w:sz w:val="16"/>
                <w:szCs w:val="16"/>
                <w:lang w:val="el-GR"/>
              </w:rPr>
              <w:t xml:space="preserve"> </w:t>
            </w:r>
            <w:r w:rsidRPr="003E37F6">
              <w:rPr>
                <w:rFonts w:ascii="Arial" w:hAnsi="Arial" w:cs="Arial"/>
                <w:sz w:val="16"/>
                <w:szCs w:val="16"/>
              </w:rPr>
              <w:t>παιδιά</w:t>
            </w:r>
          </w:p>
        </w:tc>
        <w:tc>
          <w:tcPr>
            <w:tcW w:w="1138" w:type="dxa"/>
            <w:shd w:val="clear" w:color="auto" w:fill="auto"/>
            <w:vAlign w:val="center"/>
            <w:hideMark/>
          </w:tcPr>
          <w:p w14:paraId="26F4C0CC"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19</w:t>
            </w:r>
            <w:r w:rsidRPr="003E37F6">
              <w:rPr>
                <w:rFonts w:ascii="Arial" w:hAnsi="Arial" w:cs="Arial"/>
                <w:sz w:val="16"/>
                <w:szCs w:val="16"/>
                <w:lang w:val="el-GR"/>
              </w:rPr>
              <w:t>,</w:t>
            </w:r>
            <w:r w:rsidRPr="003E37F6">
              <w:rPr>
                <w:rFonts w:ascii="Arial" w:hAnsi="Arial" w:cs="Arial"/>
                <w:sz w:val="16"/>
                <w:szCs w:val="16"/>
              </w:rPr>
              <w:t>4%</w:t>
            </w:r>
          </w:p>
        </w:tc>
        <w:tc>
          <w:tcPr>
            <w:tcW w:w="2132" w:type="dxa"/>
            <w:shd w:val="clear" w:color="auto" w:fill="auto"/>
            <w:vAlign w:val="center"/>
            <w:hideMark/>
          </w:tcPr>
          <w:p w14:paraId="16951CE4"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-0.7</w:t>
            </w:r>
          </w:p>
        </w:tc>
        <w:tc>
          <w:tcPr>
            <w:tcW w:w="1783" w:type="dxa"/>
            <w:tcBorders>
              <w:right w:val="single" w:sz="2" w:space="0" w:color="A6A6A6" w:themeColor="background1" w:themeShade="A6"/>
            </w:tcBorders>
            <w:shd w:val="clear" w:color="auto" w:fill="auto"/>
            <w:vAlign w:val="center"/>
            <w:hideMark/>
          </w:tcPr>
          <w:p w14:paraId="718214F1"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w:t>
            </w:r>
            <w:r w:rsidRPr="003E37F6">
              <w:rPr>
                <w:rFonts w:ascii="Arial" w:hAnsi="Arial" w:cs="Arial"/>
                <w:sz w:val="16"/>
                <w:szCs w:val="16"/>
                <w:lang w:val="el-GR"/>
              </w:rPr>
              <w:t>,</w:t>
            </w:r>
            <w:r w:rsidRPr="003E37F6">
              <w:rPr>
                <w:rFonts w:ascii="Arial" w:hAnsi="Arial" w:cs="Arial"/>
                <w:sz w:val="16"/>
                <w:szCs w:val="16"/>
              </w:rPr>
              <w:t>2</w:t>
            </w:r>
          </w:p>
        </w:tc>
      </w:tr>
      <w:tr w:rsidR="00A53BEA" w:rsidRPr="003E37F6" w14:paraId="31EDFFCC" w14:textId="77777777" w:rsidTr="00002918">
        <w:trPr>
          <w:cantSplit/>
          <w:jc w:val="center"/>
        </w:trPr>
        <w:tc>
          <w:tcPr>
            <w:tcW w:w="2986" w:type="dxa"/>
            <w:tcBorders>
              <w:left w:val="single" w:sz="2" w:space="0" w:color="A6A6A6" w:themeColor="background1" w:themeShade="A6"/>
            </w:tcBorders>
            <w:shd w:val="clear" w:color="auto" w:fill="auto"/>
            <w:vAlign w:val="center"/>
            <w:hideMark/>
          </w:tcPr>
          <w:p w14:paraId="57CAF697" w14:textId="77777777" w:rsidR="007D0AF3" w:rsidRPr="003E37F6" w:rsidRDefault="007D0AF3" w:rsidP="001C1C8C">
            <w:pPr>
              <w:spacing w:after="0" w:line="276" w:lineRule="auto"/>
              <w:jc w:val="left"/>
              <w:rPr>
                <w:rFonts w:cs="Arial"/>
                <w:sz w:val="16"/>
                <w:szCs w:val="16"/>
              </w:rPr>
            </w:pPr>
            <w:r w:rsidRPr="003E37F6">
              <w:rPr>
                <w:rFonts w:cs="Arial"/>
                <w:sz w:val="16"/>
                <w:szCs w:val="16"/>
              </w:rPr>
              <w:t>Ένας ενήλικας</w:t>
            </w:r>
            <w:r w:rsidRPr="003E37F6">
              <w:rPr>
                <w:rFonts w:cs="Arial"/>
                <w:sz w:val="16"/>
                <w:szCs w:val="16"/>
                <w:lang w:val="en-US"/>
              </w:rPr>
              <w:t xml:space="preserve"> ≥65, </w:t>
            </w:r>
            <w:r w:rsidRPr="003E37F6">
              <w:rPr>
                <w:rFonts w:cs="Arial"/>
                <w:sz w:val="16"/>
                <w:szCs w:val="16"/>
              </w:rPr>
              <w:t>χωρίς παιδιά</w:t>
            </w:r>
          </w:p>
        </w:tc>
        <w:tc>
          <w:tcPr>
            <w:tcW w:w="1138" w:type="dxa"/>
            <w:shd w:val="clear" w:color="auto" w:fill="auto"/>
            <w:vAlign w:val="center"/>
            <w:hideMark/>
          </w:tcPr>
          <w:p w14:paraId="2062DBEB"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24</w:t>
            </w:r>
            <w:r w:rsidRPr="003E37F6">
              <w:rPr>
                <w:rFonts w:ascii="Arial" w:hAnsi="Arial" w:cs="Arial"/>
                <w:sz w:val="16"/>
                <w:szCs w:val="16"/>
                <w:lang w:val="el-GR"/>
              </w:rPr>
              <w:t>,</w:t>
            </w:r>
            <w:r w:rsidRPr="003E37F6">
              <w:rPr>
                <w:rFonts w:ascii="Arial" w:hAnsi="Arial" w:cs="Arial"/>
                <w:sz w:val="16"/>
                <w:szCs w:val="16"/>
              </w:rPr>
              <w:t>8%</w:t>
            </w:r>
          </w:p>
        </w:tc>
        <w:tc>
          <w:tcPr>
            <w:tcW w:w="2132" w:type="dxa"/>
            <w:shd w:val="clear" w:color="auto" w:fill="auto"/>
            <w:vAlign w:val="center"/>
            <w:hideMark/>
          </w:tcPr>
          <w:p w14:paraId="0B9B90C7"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-3</w:t>
            </w:r>
            <w:r w:rsidRPr="003E37F6">
              <w:rPr>
                <w:rFonts w:ascii="Arial" w:hAnsi="Arial" w:cs="Arial"/>
                <w:sz w:val="16"/>
                <w:szCs w:val="16"/>
                <w:lang w:val="el-GR"/>
              </w:rPr>
              <w:t>,</w:t>
            </w:r>
            <w:r w:rsidRPr="003E37F6">
              <w:rPr>
                <w:rFonts w:ascii="Arial" w:hAnsi="Arial" w:cs="Arial"/>
                <w:sz w:val="16"/>
                <w:szCs w:val="16"/>
              </w:rPr>
              <w:t>5</w:t>
            </w:r>
          </w:p>
        </w:tc>
        <w:tc>
          <w:tcPr>
            <w:tcW w:w="1783" w:type="dxa"/>
            <w:tcBorders>
              <w:right w:val="single" w:sz="2" w:space="0" w:color="A6A6A6" w:themeColor="background1" w:themeShade="A6"/>
            </w:tcBorders>
            <w:shd w:val="clear" w:color="auto" w:fill="auto"/>
            <w:vAlign w:val="center"/>
            <w:hideMark/>
          </w:tcPr>
          <w:p w14:paraId="6A0DE3EE"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-5</w:t>
            </w:r>
            <w:r w:rsidRPr="003E37F6">
              <w:rPr>
                <w:rFonts w:ascii="Arial" w:hAnsi="Arial" w:cs="Arial"/>
                <w:sz w:val="16"/>
                <w:szCs w:val="16"/>
                <w:lang w:val="el-GR"/>
              </w:rPr>
              <w:t>,</w:t>
            </w:r>
            <w:r w:rsidRPr="003E37F6">
              <w:rPr>
                <w:rFonts w:ascii="Arial" w:hAnsi="Arial" w:cs="Arial"/>
                <w:sz w:val="16"/>
                <w:szCs w:val="16"/>
              </w:rPr>
              <w:t>5</w:t>
            </w:r>
          </w:p>
        </w:tc>
      </w:tr>
      <w:tr w:rsidR="00A53BEA" w:rsidRPr="003E37F6" w14:paraId="2E87D5AD" w14:textId="77777777" w:rsidTr="00002918">
        <w:trPr>
          <w:cantSplit/>
          <w:jc w:val="center"/>
        </w:trPr>
        <w:tc>
          <w:tcPr>
            <w:tcW w:w="2986" w:type="dxa"/>
            <w:tcBorders>
              <w:left w:val="single" w:sz="2" w:space="0" w:color="A6A6A6" w:themeColor="background1" w:themeShade="A6"/>
            </w:tcBorders>
            <w:shd w:val="clear" w:color="auto" w:fill="auto"/>
            <w:vAlign w:val="center"/>
            <w:hideMark/>
          </w:tcPr>
          <w:p w14:paraId="127B02E3" w14:textId="77777777" w:rsidR="007D0AF3" w:rsidRPr="003E37F6" w:rsidRDefault="007D0AF3" w:rsidP="001C1C8C">
            <w:pPr>
              <w:spacing w:after="0" w:line="276" w:lineRule="auto"/>
              <w:jc w:val="left"/>
              <w:rPr>
                <w:rFonts w:cs="Arial"/>
                <w:sz w:val="16"/>
                <w:szCs w:val="16"/>
              </w:rPr>
            </w:pPr>
            <w:r w:rsidRPr="003E37F6">
              <w:rPr>
                <w:rFonts w:cs="Arial"/>
                <w:sz w:val="16"/>
                <w:szCs w:val="16"/>
              </w:rPr>
              <w:t>Ένας ενήλικας</w:t>
            </w:r>
            <w:r w:rsidRPr="003E37F6">
              <w:rPr>
                <w:rFonts w:cs="Arial"/>
                <w:sz w:val="16"/>
                <w:szCs w:val="16"/>
                <w:lang w:val="en-US"/>
              </w:rPr>
              <w:t xml:space="preserve"> </w:t>
            </w:r>
            <w:r w:rsidRPr="003E37F6">
              <w:rPr>
                <w:rFonts w:cs="Arial"/>
                <w:sz w:val="16"/>
                <w:szCs w:val="16"/>
              </w:rPr>
              <w:t>με παιδιά</w:t>
            </w:r>
          </w:p>
        </w:tc>
        <w:tc>
          <w:tcPr>
            <w:tcW w:w="1138" w:type="dxa"/>
            <w:shd w:val="clear" w:color="auto" w:fill="auto"/>
            <w:vAlign w:val="center"/>
            <w:hideMark/>
          </w:tcPr>
          <w:p w14:paraId="142A86C6"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32</w:t>
            </w:r>
            <w:r w:rsidRPr="003E37F6">
              <w:rPr>
                <w:rFonts w:ascii="Arial" w:hAnsi="Arial" w:cs="Arial"/>
                <w:sz w:val="16"/>
                <w:szCs w:val="16"/>
                <w:lang w:val="el-GR"/>
              </w:rPr>
              <w:t>,</w:t>
            </w:r>
            <w:r w:rsidRPr="003E37F6">
              <w:rPr>
                <w:rFonts w:ascii="Arial" w:hAnsi="Arial" w:cs="Arial"/>
                <w:sz w:val="16"/>
                <w:szCs w:val="16"/>
              </w:rPr>
              <w:t>6%</w:t>
            </w:r>
          </w:p>
        </w:tc>
        <w:tc>
          <w:tcPr>
            <w:tcW w:w="2132" w:type="dxa"/>
            <w:shd w:val="clear" w:color="auto" w:fill="auto"/>
            <w:vAlign w:val="center"/>
            <w:hideMark/>
          </w:tcPr>
          <w:p w14:paraId="3E811845"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5</w:t>
            </w:r>
          </w:p>
        </w:tc>
        <w:tc>
          <w:tcPr>
            <w:tcW w:w="1783" w:type="dxa"/>
            <w:tcBorders>
              <w:right w:val="single" w:sz="2" w:space="0" w:color="A6A6A6" w:themeColor="background1" w:themeShade="A6"/>
            </w:tcBorders>
            <w:shd w:val="clear" w:color="auto" w:fill="auto"/>
            <w:vAlign w:val="center"/>
            <w:hideMark/>
          </w:tcPr>
          <w:p w14:paraId="798CEDB3"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w:t>
            </w:r>
            <w:r w:rsidRPr="003E37F6">
              <w:rPr>
                <w:rFonts w:ascii="Arial" w:hAnsi="Arial" w:cs="Arial"/>
                <w:sz w:val="16"/>
                <w:szCs w:val="16"/>
                <w:lang w:val="el-GR"/>
              </w:rPr>
              <w:t>,</w:t>
            </w:r>
            <w:r w:rsidRPr="003E37F6">
              <w:rPr>
                <w:rFonts w:ascii="Arial" w:hAnsi="Arial" w:cs="Arial"/>
                <w:sz w:val="16"/>
                <w:szCs w:val="16"/>
              </w:rPr>
              <w:t>0</w:t>
            </w:r>
          </w:p>
        </w:tc>
      </w:tr>
      <w:tr w:rsidR="00A53BEA" w:rsidRPr="003E37F6" w14:paraId="3ACEDF65" w14:textId="77777777" w:rsidTr="00002918">
        <w:trPr>
          <w:cantSplit/>
          <w:jc w:val="center"/>
        </w:trPr>
        <w:tc>
          <w:tcPr>
            <w:tcW w:w="2986" w:type="dxa"/>
            <w:tcBorders>
              <w:left w:val="single" w:sz="2" w:space="0" w:color="A6A6A6" w:themeColor="background1" w:themeShade="A6"/>
            </w:tcBorders>
            <w:shd w:val="clear" w:color="auto" w:fill="auto"/>
            <w:vAlign w:val="center"/>
            <w:hideMark/>
          </w:tcPr>
          <w:p w14:paraId="2C1D2C2F" w14:textId="77777777" w:rsidR="007D0AF3" w:rsidRPr="003E37F6" w:rsidRDefault="007D0AF3" w:rsidP="001C1C8C">
            <w:pPr>
              <w:spacing w:after="0" w:line="276" w:lineRule="auto"/>
              <w:jc w:val="left"/>
              <w:rPr>
                <w:rFonts w:cs="Arial"/>
                <w:sz w:val="16"/>
                <w:szCs w:val="16"/>
              </w:rPr>
            </w:pPr>
            <w:r w:rsidRPr="003E37F6">
              <w:rPr>
                <w:rFonts w:cs="Arial"/>
                <w:sz w:val="16"/>
                <w:szCs w:val="16"/>
              </w:rPr>
              <w:t>Δύο ενήλικες</w:t>
            </w:r>
            <w:r w:rsidRPr="003E37F6">
              <w:rPr>
                <w:rFonts w:cs="Arial"/>
                <w:sz w:val="16"/>
                <w:szCs w:val="16"/>
                <w:lang w:val="en-US"/>
              </w:rPr>
              <w:t xml:space="preserve"> &lt;65, </w:t>
            </w:r>
            <w:r w:rsidRPr="003E37F6">
              <w:rPr>
                <w:rFonts w:cs="Arial"/>
                <w:sz w:val="16"/>
                <w:szCs w:val="16"/>
              </w:rPr>
              <w:t>χωρίς παιδιά</w:t>
            </w:r>
          </w:p>
        </w:tc>
        <w:tc>
          <w:tcPr>
            <w:tcW w:w="1138" w:type="dxa"/>
            <w:shd w:val="clear" w:color="auto" w:fill="auto"/>
            <w:vAlign w:val="center"/>
            <w:hideMark/>
          </w:tcPr>
          <w:p w14:paraId="7634D4D9"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13</w:t>
            </w:r>
            <w:r w:rsidRPr="003E37F6">
              <w:rPr>
                <w:rFonts w:ascii="Arial" w:hAnsi="Arial" w:cs="Arial"/>
                <w:sz w:val="16"/>
                <w:szCs w:val="16"/>
                <w:lang w:val="el-GR"/>
              </w:rPr>
              <w:t>,</w:t>
            </w:r>
            <w:r w:rsidRPr="003E37F6">
              <w:rPr>
                <w:rFonts w:ascii="Arial" w:hAnsi="Arial" w:cs="Arial"/>
                <w:sz w:val="16"/>
                <w:szCs w:val="16"/>
              </w:rPr>
              <w:t>7%</w:t>
            </w:r>
          </w:p>
        </w:tc>
        <w:tc>
          <w:tcPr>
            <w:tcW w:w="2132" w:type="dxa"/>
            <w:shd w:val="clear" w:color="auto" w:fill="auto"/>
            <w:vAlign w:val="center"/>
            <w:hideMark/>
          </w:tcPr>
          <w:p w14:paraId="63D67780"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0</w:t>
            </w:r>
          </w:p>
        </w:tc>
        <w:tc>
          <w:tcPr>
            <w:tcW w:w="1783" w:type="dxa"/>
            <w:tcBorders>
              <w:right w:val="single" w:sz="2" w:space="0" w:color="A6A6A6" w:themeColor="background1" w:themeShade="A6"/>
            </w:tcBorders>
            <w:shd w:val="clear" w:color="auto" w:fill="auto"/>
            <w:vAlign w:val="center"/>
            <w:hideMark/>
          </w:tcPr>
          <w:p w14:paraId="35B34E48"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6</w:t>
            </w:r>
          </w:p>
        </w:tc>
      </w:tr>
      <w:tr w:rsidR="00A53BEA" w:rsidRPr="003E37F6" w14:paraId="1313E24C" w14:textId="77777777" w:rsidTr="00002918">
        <w:trPr>
          <w:cantSplit/>
          <w:jc w:val="center"/>
        </w:trPr>
        <w:tc>
          <w:tcPr>
            <w:tcW w:w="2986" w:type="dxa"/>
            <w:tcBorders>
              <w:left w:val="single" w:sz="2" w:space="0" w:color="A6A6A6" w:themeColor="background1" w:themeShade="A6"/>
            </w:tcBorders>
            <w:shd w:val="clear" w:color="auto" w:fill="auto"/>
            <w:vAlign w:val="center"/>
            <w:hideMark/>
          </w:tcPr>
          <w:p w14:paraId="2D5D0B39" w14:textId="77777777" w:rsidR="007D0AF3" w:rsidRPr="003E37F6" w:rsidRDefault="007D0AF3" w:rsidP="001C1C8C">
            <w:pPr>
              <w:spacing w:after="0" w:line="276" w:lineRule="auto"/>
              <w:jc w:val="left"/>
              <w:rPr>
                <w:rFonts w:cs="Arial"/>
                <w:sz w:val="16"/>
                <w:szCs w:val="16"/>
              </w:rPr>
            </w:pPr>
            <w:r w:rsidRPr="003E37F6">
              <w:rPr>
                <w:rFonts w:cs="Arial"/>
                <w:sz w:val="16"/>
                <w:szCs w:val="16"/>
              </w:rPr>
              <w:t>Δύο ενήλικες, ο ένας τουλάχιστον ≥65, χωρίς παιδιά</w:t>
            </w:r>
          </w:p>
        </w:tc>
        <w:tc>
          <w:tcPr>
            <w:tcW w:w="1138" w:type="dxa"/>
            <w:shd w:val="clear" w:color="auto" w:fill="auto"/>
            <w:vAlign w:val="center"/>
            <w:hideMark/>
          </w:tcPr>
          <w:p w14:paraId="658441E7"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13</w:t>
            </w:r>
            <w:r w:rsidRPr="003E37F6">
              <w:rPr>
                <w:rFonts w:ascii="Arial" w:hAnsi="Arial" w:cs="Arial"/>
                <w:sz w:val="16"/>
                <w:szCs w:val="16"/>
                <w:lang w:val="el-GR"/>
              </w:rPr>
              <w:t>,</w:t>
            </w:r>
            <w:r w:rsidRPr="003E37F6">
              <w:rPr>
                <w:rFonts w:ascii="Arial" w:hAnsi="Arial" w:cs="Arial"/>
                <w:sz w:val="16"/>
                <w:szCs w:val="16"/>
              </w:rPr>
              <w:t>5%</w:t>
            </w:r>
          </w:p>
        </w:tc>
        <w:tc>
          <w:tcPr>
            <w:tcW w:w="2132" w:type="dxa"/>
            <w:shd w:val="clear" w:color="auto" w:fill="auto"/>
            <w:vAlign w:val="center"/>
            <w:hideMark/>
          </w:tcPr>
          <w:p w14:paraId="1DE11D9A"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w:t>
            </w:r>
            <w:r w:rsidRPr="003E37F6">
              <w:rPr>
                <w:rFonts w:ascii="Arial" w:hAnsi="Arial" w:cs="Arial"/>
                <w:sz w:val="16"/>
                <w:szCs w:val="16"/>
                <w:lang w:val="el-GR"/>
              </w:rPr>
              <w:t>,</w:t>
            </w:r>
            <w:r w:rsidRPr="003E37F6">
              <w:rPr>
                <w:rFonts w:ascii="Arial" w:hAnsi="Arial" w:cs="Arial"/>
                <w:sz w:val="16"/>
                <w:szCs w:val="16"/>
              </w:rPr>
              <w:t>4</w:t>
            </w:r>
          </w:p>
        </w:tc>
        <w:tc>
          <w:tcPr>
            <w:tcW w:w="1783" w:type="dxa"/>
            <w:tcBorders>
              <w:right w:val="single" w:sz="2" w:space="0" w:color="A6A6A6" w:themeColor="background1" w:themeShade="A6"/>
            </w:tcBorders>
            <w:shd w:val="clear" w:color="auto" w:fill="auto"/>
            <w:vAlign w:val="center"/>
            <w:hideMark/>
          </w:tcPr>
          <w:p w14:paraId="603958E3"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w:t>
            </w:r>
            <w:r w:rsidRPr="003E37F6">
              <w:rPr>
                <w:rFonts w:ascii="Arial" w:hAnsi="Arial" w:cs="Arial"/>
                <w:sz w:val="16"/>
                <w:szCs w:val="16"/>
                <w:lang w:val="el-GR"/>
              </w:rPr>
              <w:t>,</w:t>
            </w:r>
            <w:r w:rsidRPr="003E37F6">
              <w:rPr>
                <w:rFonts w:ascii="Arial" w:hAnsi="Arial" w:cs="Arial"/>
                <w:sz w:val="16"/>
                <w:szCs w:val="16"/>
              </w:rPr>
              <w:t>1</w:t>
            </w:r>
          </w:p>
        </w:tc>
      </w:tr>
      <w:tr w:rsidR="00A53BEA" w:rsidRPr="003E37F6" w14:paraId="3D4EDE23" w14:textId="77777777" w:rsidTr="00002918">
        <w:trPr>
          <w:cantSplit/>
          <w:jc w:val="center"/>
        </w:trPr>
        <w:tc>
          <w:tcPr>
            <w:tcW w:w="2986" w:type="dxa"/>
            <w:tcBorders>
              <w:left w:val="single" w:sz="2" w:space="0" w:color="A6A6A6" w:themeColor="background1" w:themeShade="A6"/>
            </w:tcBorders>
            <w:shd w:val="clear" w:color="auto" w:fill="auto"/>
            <w:vAlign w:val="center"/>
            <w:hideMark/>
          </w:tcPr>
          <w:p w14:paraId="7CDD2B50" w14:textId="3E1D79C6" w:rsidR="007D0AF3" w:rsidRPr="003E37F6" w:rsidRDefault="007D0AF3" w:rsidP="001C1C8C">
            <w:pPr>
              <w:spacing w:after="0" w:line="276" w:lineRule="auto"/>
              <w:jc w:val="left"/>
              <w:rPr>
                <w:rFonts w:cs="Arial"/>
                <w:sz w:val="16"/>
                <w:szCs w:val="16"/>
              </w:rPr>
            </w:pPr>
            <w:r w:rsidRPr="003E37F6">
              <w:rPr>
                <w:rFonts w:cs="Arial"/>
                <w:sz w:val="16"/>
                <w:szCs w:val="16"/>
              </w:rPr>
              <w:t>Δύο ενήλικες με ένα παιδί</w:t>
            </w:r>
          </w:p>
        </w:tc>
        <w:tc>
          <w:tcPr>
            <w:tcW w:w="1138" w:type="dxa"/>
            <w:shd w:val="clear" w:color="auto" w:fill="auto"/>
            <w:vAlign w:val="center"/>
            <w:hideMark/>
          </w:tcPr>
          <w:p w14:paraId="4BD3949F"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13</w:t>
            </w:r>
            <w:r w:rsidRPr="003E37F6">
              <w:rPr>
                <w:rFonts w:ascii="Arial" w:hAnsi="Arial" w:cs="Arial"/>
                <w:sz w:val="16"/>
                <w:szCs w:val="16"/>
                <w:lang w:val="el-GR"/>
              </w:rPr>
              <w:t>,</w:t>
            </w:r>
            <w:r w:rsidRPr="003E37F6">
              <w:rPr>
                <w:rFonts w:ascii="Arial" w:hAnsi="Arial" w:cs="Arial"/>
                <w:sz w:val="16"/>
                <w:szCs w:val="16"/>
              </w:rPr>
              <w:t>9%</w:t>
            </w:r>
          </w:p>
        </w:tc>
        <w:tc>
          <w:tcPr>
            <w:tcW w:w="2132" w:type="dxa"/>
            <w:shd w:val="clear" w:color="auto" w:fill="auto"/>
            <w:vAlign w:val="center"/>
            <w:hideMark/>
          </w:tcPr>
          <w:p w14:paraId="0EF97BA5"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2</w:t>
            </w:r>
          </w:p>
        </w:tc>
        <w:tc>
          <w:tcPr>
            <w:tcW w:w="1783" w:type="dxa"/>
            <w:tcBorders>
              <w:right w:val="single" w:sz="2" w:space="0" w:color="A6A6A6" w:themeColor="background1" w:themeShade="A6"/>
            </w:tcBorders>
            <w:shd w:val="clear" w:color="auto" w:fill="auto"/>
            <w:vAlign w:val="center"/>
            <w:hideMark/>
          </w:tcPr>
          <w:p w14:paraId="1409214A"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w:t>
            </w:r>
            <w:r w:rsidRPr="003E37F6">
              <w:rPr>
                <w:rFonts w:ascii="Arial" w:hAnsi="Arial" w:cs="Arial"/>
                <w:sz w:val="16"/>
                <w:szCs w:val="16"/>
                <w:lang w:val="el-GR"/>
              </w:rPr>
              <w:t>,</w:t>
            </w:r>
            <w:r w:rsidRPr="003E37F6">
              <w:rPr>
                <w:rFonts w:ascii="Arial" w:hAnsi="Arial" w:cs="Arial"/>
                <w:sz w:val="16"/>
                <w:szCs w:val="16"/>
              </w:rPr>
              <w:t>6</w:t>
            </w:r>
          </w:p>
        </w:tc>
      </w:tr>
      <w:tr w:rsidR="00A53BEA" w:rsidRPr="003E37F6" w14:paraId="4FA988BC" w14:textId="77777777" w:rsidTr="00002918">
        <w:trPr>
          <w:cantSplit/>
          <w:jc w:val="center"/>
        </w:trPr>
        <w:tc>
          <w:tcPr>
            <w:tcW w:w="2986" w:type="dxa"/>
            <w:tcBorders>
              <w:left w:val="single" w:sz="2" w:space="0" w:color="A6A6A6" w:themeColor="background1" w:themeShade="A6"/>
            </w:tcBorders>
            <w:shd w:val="clear" w:color="auto" w:fill="auto"/>
            <w:vAlign w:val="center"/>
            <w:hideMark/>
          </w:tcPr>
          <w:p w14:paraId="15ACBEC8" w14:textId="77777777" w:rsidR="007D0AF3" w:rsidRPr="003E37F6" w:rsidRDefault="007D0AF3" w:rsidP="001C1C8C">
            <w:pPr>
              <w:spacing w:after="0" w:line="276" w:lineRule="auto"/>
              <w:jc w:val="left"/>
              <w:rPr>
                <w:rFonts w:cs="Arial"/>
                <w:sz w:val="16"/>
                <w:szCs w:val="16"/>
              </w:rPr>
            </w:pPr>
            <w:r w:rsidRPr="003E37F6">
              <w:rPr>
                <w:rFonts w:cs="Arial"/>
                <w:sz w:val="16"/>
                <w:szCs w:val="16"/>
              </w:rPr>
              <w:t>Δύο ενήλικες με δύο παιδιά</w:t>
            </w:r>
          </w:p>
        </w:tc>
        <w:tc>
          <w:tcPr>
            <w:tcW w:w="1138" w:type="dxa"/>
            <w:shd w:val="clear" w:color="auto" w:fill="auto"/>
            <w:vAlign w:val="center"/>
            <w:hideMark/>
          </w:tcPr>
          <w:p w14:paraId="1F1FBEDF"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15%</w:t>
            </w:r>
          </w:p>
        </w:tc>
        <w:tc>
          <w:tcPr>
            <w:tcW w:w="2132" w:type="dxa"/>
            <w:shd w:val="clear" w:color="auto" w:fill="auto"/>
            <w:vAlign w:val="center"/>
            <w:hideMark/>
          </w:tcPr>
          <w:p w14:paraId="1FEA3E0A"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4</w:t>
            </w:r>
          </w:p>
        </w:tc>
        <w:tc>
          <w:tcPr>
            <w:tcW w:w="1783" w:type="dxa"/>
            <w:tcBorders>
              <w:right w:val="single" w:sz="2" w:space="0" w:color="A6A6A6" w:themeColor="background1" w:themeShade="A6"/>
            </w:tcBorders>
            <w:shd w:val="clear" w:color="auto" w:fill="auto"/>
            <w:vAlign w:val="center"/>
            <w:hideMark/>
          </w:tcPr>
          <w:p w14:paraId="785AD4FB"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w:t>
            </w:r>
            <w:r w:rsidRPr="003E37F6">
              <w:rPr>
                <w:rFonts w:ascii="Arial" w:hAnsi="Arial" w:cs="Arial"/>
                <w:sz w:val="16"/>
                <w:szCs w:val="16"/>
                <w:lang w:val="el-GR"/>
              </w:rPr>
              <w:t>,</w:t>
            </w:r>
            <w:r w:rsidRPr="003E37F6">
              <w:rPr>
                <w:rFonts w:ascii="Arial" w:hAnsi="Arial" w:cs="Arial"/>
                <w:sz w:val="16"/>
                <w:szCs w:val="16"/>
              </w:rPr>
              <w:t>5</w:t>
            </w:r>
          </w:p>
        </w:tc>
      </w:tr>
      <w:tr w:rsidR="00A53BEA" w:rsidRPr="003E37F6" w14:paraId="060AC42E" w14:textId="77777777" w:rsidTr="00002918">
        <w:trPr>
          <w:cantSplit/>
          <w:jc w:val="center"/>
        </w:trPr>
        <w:tc>
          <w:tcPr>
            <w:tcW w:w="2986" w:type="dxa"/>
            <w:tcBorders>
              <w:left w:val="single" w:sz="2" w:space="0" w:color="A6A6A6" w:themeColor="background1" w:themeShade="A6"/>
            </w:tcBorders>
            <w:shd w:val="clear" w:color="auto" w:fill="auto"/>
            <w:vAlign w:val="center"/>
            <w:hideMark/>
          </w:tcPr>
          <w:p w14:paraId="35EF6F56" w14:textId="77777777" w:rsidR="007D0AF3" w:rsidRPr="003E37F6" w:rsidRDefault="007D0AF3" w:rsidP="001C1C8C">
            <w:pPr>
              <w:spacing w:after="0" w:line="276" w:lineRule="auto"/>
              <w:jc w:val="left"/>
              <w:rPr>
                <w:rFonts w:cs="Arial"/>
                <w:sz w:val="16"/>
                <w:szCs w:val="16"/>
              </w:rPr>
            </w:pPr>
            <w:r w:rsidRPr="003E37F6">
              <w:rPr>
                <w:rFonts w:cs="Arial"/>
                <w:sz w:val="16"/>
                <w:szCs w:val="16"/>
              </w:rPr>
              <w:t>Δύο ενήλικες με τρία ή περισσότερα παιδιά</w:t>
            </w:r>
          </w:p>
        </w:tc>
        <w:tc>
          <w:tcPr>
            <w:tcW w:w="1138" w:type="dxa"/>
            <w:shd w:val="clear" w:color="auto" w:fill="auto"/>
            <w:vAlign w:val="center"/>
            <w:hideMark/>
          </w:tcPr>
          <w:p w14:paraId="3D8F0451"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24</w:t>
            </w:r>
            <w:r w:rsidRPr="003E37F6">
              <w:rPr>
                <w:rFonts w:ascii="Arial" w:hAnsi="Arial" w:cs="Arial"/>
                <w:sz w:val="16"/>
                <w:szCs w:val="16"/>
                <w:lang w:val="el-GR"/>
              </w:rPr>
              <w:t>,</w:t>
            </w:r>
            <w:r w:rsidRPr="003E37F6">
              <w:rPr>
                <w:rFonts w:ascii="Arial" w:hAnsi="Arial" w:cs="Arial"/>
                <w:sz w:val="16"/>
                <w:szCs w:val="16"/>
              </w:rPr>
              <w:t>8%</w:t>
            </w:r>
          </w:p>
        </w:tc>
        <w:tc>
          <w:tcPr>
            <w:tcW w:w="2132" w:type="dxa"/>
            <w:shd w:val="clear" w:color="auto" w:fill="auto"/>
            <w:vAlign w:val="center"/>
            <w:hideMark/>
          </w:tcPr>
          <w:p w14:paraId="32A57B9B"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0</w:t>
            </w:r>
          </w:p>
        </w:tc>
        <w:tc>
          <w:tcPr>
            <w:tcW w:w="1783" w:type="dxa"/>
            <w:tcBorders>
              <w:right w:val="single" w:sz="2" w:space="0" w:color="A6A6A6" w:themeColor="background1" w:themeShade="A6"/>
            </w:tcBorders>
            <w:shd w:val="clear" w:color="auto" w:fill="auto"/>
            <w:vAlign w:val="center"/>
            <w:hideMark/>
          </w:tcPr>
          <w:p w14:paraId="1183BD88"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-3</w:t>
            </w:r>
            <w:r w:rsidRPr="003E37F6">
              <w:rPr>
                <w:rFonts w:ascii="Arial" w:hAnsi="Arial" w:cs="Arial"/>
                <w:sz w:val="16"/>
                <w:szCs w:val="16"/>
                <w:lang w:val="el-GR"/>
              </w:rPr>
              <w:t>,</w:t>
            </w:r>
            <w:r w:rsidRPr="003E37F6">
              <w:rPr>
                <w:rFonts w:ascii="Arial" w:hAnsi="Arial" w:cs="Arial"/>
                <w:sz w:val="16"/>
                <w:szCs w:val="16"/>
              </w:rPr>
              <w:t>3</w:t>
            </w:r>
          </w:p>
        </w:tc>
      </w:tr>
      <w:tr w:rsidR="00A53BEA" w:rsidRPr="003E37F6" w14:paraId="0BE9AB60" w14:textId="77777777" w:rsidTr="00002918">
        <w:trPr>
          <w:cantSplit/>
          <w:jc w:val="center"/>
        </w:trPr>
        <w:tc>
          <w:tcPr>
            <w:tcW w:w="2986" w:type="dxa"/>
            <w:tcBorders>
              <w:left w:val="single" w:sz="2" w:space="0" w:color="A6A6A6" w:themeColor="background1" w:themeShade="A6"/>
            </w:tcBorders>
            <w:shd w:val="clear" w:color="auto" w:fill="auto"/>
            <w:vAlign w:val="center"/>
            <w:hideMark/>
          </w:tcPr>
          <w:p w14:paraId="6614CDE8" w14:textId="77777777" w:rsidR="007D0AF3" w:rsidRPr="003E37F6" w:rsidRDefault="007D0AF3" w:rsidP="001C1C8C">
            <w:pPr>
              <w:spacing w:after="0" w:line="276" w:lineRule="auto"/>
              <w:jc w:val="left"/>
              <w:rPr>
                <w:rFonts w:cs="Arial"/>
                <w:sz w:val="16"/>
                <w:szCs w:val="16"/>
              </w:rPr>
            </w:pPr>
            <w:r w:rsidRPr="003E37F6">
              <w:rPr>
                <w:rFonts w:cs="Arial"/>
                <w:sz w:val="16"/>
                <w:szCs w:val="16"/>
              </w:rPr>
              <w:t>Τρεις ή περισσότεροι ενήλικες, χωρίς παιδιά</w:t>
            </w:r>
          </w:p>
        </w:tc>
        <w:tc>
          <w:tcPr>
            <w:tcW w:w="1138" w:type="dxa"/>
            <w:shd w:val="clear" w:color="auto" w:fill="auto"/>
            <w:vAlign w:val="center"/>
            <w:hideMark/>
          </w:tcPr>
          <w:p w14:paraId="472C3C22"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14</w:t>
            </w:r>
            <w:r w:rsidRPr="003E37F6">
              <w:rPr>
                <w:rFonts w:ascii="Arial" w:hAnsi="Arial" w:cs="Arial"/>
                <w:sz w:val="16"/>
                <w:szCs w:val="16"/>
                <w:lang w:val="el-GR"/>
              </w:rPr>
              <w:t>,</w:t>
            </w:r>
            <w:r w:rsidRPr="003E37F6">
              <w:rPr>
                <w:rFonts w:ascii="Arial" w:hAnsi="Arial" w:cs="Arial"/>
                <w:sz w:val="16"/>
                <w:szCs w:val="16"/>
              </w:rPr>
              <w:t>8%</w:t>
            </w:r>
          </w:p>
        </w:tc>
        <w:tc>
          <w:tcPr>
            <w:tcW w:w="2132" w:type="dxa"/>
            <w:shd w:val="clear" w:color="auto" w:fill="auto"/>
            <w:vAlign w:val="center"/>
            <w:hideMark/>
          </w:tcPr>
          <w:p w14:paraId="070BD20D"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1</w:t>
            </w:r>
          </w:p>
        </w:tc>
        <w:tc>
          <w:tcPr>
            <w:tcW w:w="1783" w:type="dxa"/>
            <w:tcBorders>
              <w:right w:val="single" w:sz="2" w:space="0" w:color="A6A6A6" w:themeColor="background1" w:themeShade="A6"/>
            </w:tcBorders>
            <w:shd w:val="clear" w:color="auto" w:fill="auto"/>
            <w:vAlign w:val="center"/>
            <w:hideMark/>
          </w:tcPr>
          <w:p w14:paraId="6B85ED33"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-1</w:t>
            </w:r>
            <w:r w:rsidRPr="003E37F6">
              <w:rPr>
                <w:rFonts w:ascii="Arial" w:hAnsi="Arial" w:cs="Arial"/>
                <w:sz w:val="16"/>
                <w:szCs w:val="16"/>
                <w:lang w:val="el-GR"/>
              </w:rPr>
              <w:t>,</w:t>
            </w:r>
            <w:r w:rsidRPr="003E37F6">
              <w:rPr>
                <w:rFonts w:ascii="Arial" w:hAnsi="Arial" w:cs="Arial"/>
                <w:sz w:val="16"/>
                <w:szCs w:val="16"/>
              </w:rPr>
              <w:t>1</w:t>
            </w:r>
          </w:p>
        </w:tc>
      </w:tr>
      <w:tr w:rsidR="00B04AE7" w:rsidRPr="003E37F6" w14:paraId="3F9675A8" w14:textId="77777777" w:rsidTr="00002918">
        <w:trPr>
          <w:cantSplit/>
          <w:jc w:val="center"/>
        </w:trPr>
        <w:tc>
          <w:tcPr>
            <w:tcW w:w="2986" w:type="dxa"/>
            <w:tcBorders>
              <w:left w:val="single" w:sz="2" w:space="0" w:color="A6A6A6" w:themeColor="background1" w:themeShade="A6"/>
              <w:bottom w:val="single" w:sz="2" w:space="0" w:color="A6A6A6" w:themeColor="background1" w:themeShade="A6"/>
            </w:tcBorders>
            <w:shd w:val="clear" w:color="auto" w:fill="auto"/>
            <w:vAlign w:val="center"/>
            <w:hideMark/>
          </w:tcPr>
          <w:p w14:paraId="1E604071" w14:textId="0BD58437" w:rsidR="007D0AF3" w:rsidRPr="003E37F6" w:rsidRDefault="007D0AF3" w:rsidP="001C1C8C">
            <w:pPr>
              <w:spacing w:after="0" w:line="276" w:lineRule="auto"/>
              <w:jc w:val="left"/>
              <w:rPr>
                <w:rFonts w:cs="Arial"/>
                <w:sz w:val="16"/>
                <w:szCs w:val="16"/>
              </w:rPr>
            </w:pPr>
            <w:r w:rsidRPr="003E37F6">
              <w:rPr>
                <w:rFonts w:cs="Arial"/>
                <w:sz w:val="16"/>
                <w:szCs w:val="16"/>
              </w:rPr>
              <w:t>Τρεις ή περισσότεροι ενήλικες με παιδιά</w:t>
            </w:r>
          </w:p>
        </w:tc>
        <w:tc>
          <w:tcPr>
            <w:tcW w:w="1138" w:type="dxa"/>
            <w:tcBorders>
              <w:bottom w:val="single" w:sz="2" w:space="0" w:color="A6A6A6" w:themeColor="background1" w:themeShade="A6"/>
            </w:tcBorders>
            <w:shd w:val="clear" w:color="auto" w:fill="auto"/>
            <w:vAlign w:val="center"/>
            <w:hideMark/>
          </w:tcPr>
          <w:p w14:paraId="6D94FC39"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22</w:t>
            </w:r>
            <w:r w:rsidRPr="003E37F6">
              <w:rPr>
                <w:rFonts w:ascii="Arial" w:hAnsi="Arial" w:cs="Arial"/>
                <w:sz w:val="16"/>
                <w:szCs w:val="16"/>
                <w:lang w:val="el-GR"/>
              </w:rPr>
              <w:t>,</w:t>
            </w:r>
            <w:r w:rsidRPr="003E37F6">
              <w:rPr>
                <w:rFonts w:ascii="Arial" w:hAnsi="Arial" w:cs="Arial"/>
                <w:sz w:val="16"/>
                <w:szCs w:val="16"/>
              </w:rPr>
              <w:t>6%</w:t>
            </w:r>
          </w:p>
        </w:tc>
        <w:tc>
          <w:tcPr>
            <w:tcW w:w="2132" w:type="dxa"/>
            <w:tcBorders>
              <w:bottom w:val="single" w:sz="2" w:space="0" w:color="A6A6A6" w:themeColor="background1" w:themeShade="A6"/>
            </w:tcBorders>
            <w:shd w:val="clear" w:color="auto" w:fill="auto"/>
            <w:vAlign w:val="center"/>
            <w:hideMark/>
          </w:tcPr>
          <w:p w14:paraId="079D1A5C"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-0</w:t>
            </w:r>
            <w:r w:rsidRPr="003E37F6">
              <w:rPr>
                <w:rFonts w:ascii="Arial" w:hAnsi="Arial" w:cs="Arial"/>
                <w:sz w:val="16"/>
                <w:szCs w:val="16"/>
                <w:lang w:val="el-GR"/>
              </w:rPr>
              <w:t>,</w:t>
            </w:r>
            <w:r w:rsidRPr="003E37F6">
              <w:rPr>
                <w:rFonts w:ascii="Arial" w:hAnsi="Arial" w:cs="Arial"/>
                <w:sz w:val="16"/>
                <w:szCs w:val="16"/>
              </w:rPr>
              <w:t>6</w:t>
            </w:r>
          </w:p>
        </w:tc>
        <w:tc>
          <w:tcPr>
            <w:tcW w:w="1783" w:type="dxa"/>
            <w:tcBorders>
              <w:bottom w:val="single" w:sz="2" w:space="0" w:color="A6A6A6" w:themeColor="background1" w:themeShade="A6"/>
              <w:right w:val="single" w:sz="2" w:space="0" w:color="A6A6A6" w:themeColor="background1" w:themeShade="A6"/>
            </w:tcBorders>
            <w:shd w:val="clear" w:color="auto" w:fill="auto"/>
            <w:vAlign w:val="center"/>
            <w:hideMark/>
          </w:tcPr>
          <w:p w14:paraId="3108F472" w14:textId="77777777" w:rsidR="007D0AF3" w:rsidRPr="003E37F6" w:rsidRDefault="007D0AF3" w:rsidP="00002918">
            <w:pPr>
              <w:pStyle w:val="Tabletext"/>
              <w:spacing w:line="276" w:lineRule="auto"/>
              <w:jc w:val="center"/>
              <w:rPr>
                <w:rFonts w:ascii="Arial" w:hAnsi="Arial" w:cs="Arial"/>
                <w:sz w:val="16"/>
                <w:szCs w:val="16"/>
              </w:rPr>
            </w:pPr>
            <w:r w:rsidRPr="003E37F6">
              <w:rPr>
                <w:rFonts w:ascii="Arial" w:hAnsi="Arial" w:cs="Arial"/>
                <w:sz w:val="16"/>
                <w:szCs w:val="16"/>
              </w:rPr>
              <w:t>-2</w:t>
            </w:r>
            <w:r w:rsidRPr="003E37F6">
              <w:rPr>
                <w:rFonts w:ascii="Arial" w:hAnsi="Arial" w:cs="Arial"/>
                <w:sz w:val="16"/>
                <w:szCs w:val="16"/>
                <w:lang w:val="el-GR"/>
              </w:rPr>
              <w:t>,</w:t>
            </w:r>
            <w:r w:rsidRPr="003E37F6">
              <w:rPr>
                <w:rFonts w:ascii="Arial" w:hAnsi="Arial" w:cs="Arial"/>
                <w:sz w:val="16"/>
                <w:szCs w:val="16"/>
              </w:rPr>
              <w:t>0</w:t>
            </w:r>
          </w:p>
        </w:tc>
      </w:tr>
      <w:tr w:rsidR="007D0AF3" w:rsidRPr="003E37F6" w14:paraId="0B7953A1" w14:textId="77777777" w:rsidTr="00F91482">
        <w:trPr>
          <w:cantSplit/>
          <w:jc w:val="center"/>
        </w:trPr>
        <w:tc>
          <w:tcPr>
            <w:tcW w:w="8039" w:type="dxa"/>
            <w:gridSpan w:val="4"/>
            <w:tcBorders>
              <w:top w:val="single" w:sz="2" w:space="0" w:color="A6A6A6" w:themeColor="background1" w:themeShade="A6"/>
            </w:tcBorders>
            <w:shd w:val="clear" w:color="auto" w:fill="auto"/>
            <w:vAlign w:val="center"/>
          </w:tcPr>
          <w:p w14:paraId="713EA628" w14:textId="2DBC9948" w:rsidR="007D0AF3" w:rsidRPr="003E37F6" w:rsidRDefault="007D0AF3" w:rsidP="001C1C8C">
            <w:pPr>
              <w:pStyle w:val="Source"/>
              <w:spacing w:before="60" w:after="0" w:line="276" w:lineRule="auto"/>
              <w:rPr>
                <w:rFonts w:ascii="Arial" w:hAnsi="Arial" w:cs="Arial"/>
                <w:i w:val="0"/>
                <w:sz w:val="16"/>
                <w:szCs w:val="16"/>
                <w:lang w:val="el-GR"/>
              </w:rPr>
            </w:pPr>
            <w:r w:rsidRPr="003E37F6">
              <w:rPr>
                <w:rFonts w:ascii="Arial" w:hAnsi="Arial" w:cs="Arial"/>
                <w:i w:val="0"/>
                <w:sz w:val="16"/>
                <w:szCs w:val="16"/>
                <w:lang w:val="el-GR"/>
              </w:rPr>
              <w:t>Σημείωση: Το όριο της φτώχειας συνδέεται σταθερά με το σενάριο βάσης: 6.707,33 ευρώ κατ’ έτος.</w:t>
            </w:r>
          </w:p>
        </w:tc>
      </w:tr>
    </w:tbl>
    <w:p w14:paraId="1F08BD52" w14:textId="1E182CA4" w:rsidR="00CC2FE5" w:rsidRDefault="00CC2FE5" w:rsidP="0063612D">
      <w:pPr>
        <w:pStyle w:val="afe"/>
      </w:pPr>
    </w:p>
    <w:tbl>
      <w:tblPr>
        <w:tblW w:w="8330" w:type="dxa"/>
        <w:jc w:val="center"/>
        <w:tblLook w:val="04A0" w:firstRow="1" w:lastRow="0" w:firstColumn="1" w:lastColumn="0" w:noHBand="0" w:noVBand="1"/>
      </w:tblPr>
      <w:tblGrid>
        <w:gridCol w:w="2064"/>
        <w:gridCol w:w="1241"/>
        <w:gridCol w:w="3256"/>
        <w:gridCol w:w="1769"/>
      </w:tblGrid>
      <w:tr w:rsidR="005372AD" w:rsidRPr="00CC2FE5" w14:paraId="1EB9B4FE" w14:textId="77777777" w:rsidTr="0081168C">
        <w:trPr>
          <w:cantSplit/>
          <w:trHeight w:val="340"/>
          <w:jc w:val="center"/>
        </w:trPr>
        <w:tc>
          <w:tcPr>
            <w:tcW w:w="8330"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tcPr>
          <w:p w14:paraId="39918575" w14:textId="591F760B" w:rsidR="005372AD" w:rsidRPr="00CC2FE5" w:rsidRDefault="00CC2FE5" w:rsidP="00C50984">
            <w:pPr>
              <w:pStyle w:val="Tabletext"/>
              <w:spacing w:line="276" w:lineRule="auto"/>
              <w:jc w:val="center"/>
              <w:rPr>
                <w:rFonts w:ascii="Arial" w:hAnsi="Arial" w:cs="Arial"/>
                <w:b/>
                <w:bCs/>
                <w:color w:val="000000"/>
                <w:sz w:val="18"/>
                <w:szCs w:val="18"/>
                <w:lang w:val="el-GR"/>
              </w:rPr>
            </w:pPr>
            <w:bookmarkStart w:id="651" w:name="_Ref213948768"/>
            <w:bookmarkStart w:id="652" w:name="_Toc214474071"/>
            <w:r w:rsidRPr="00CC2FE5">
              <w:rPr>
                <w:rFonts w:ascii="Arial" w:hAnsi="Arial" w:cs="Arial"/>
                <w:b/>
                <w:sz w:val="18"/>
                <w:szCs w:val="18"/>
                <w:lang w:val="el-GR"/>
              </w:rPr>
              <w:t>Πίνακας 3.</w:t>
            </w:r>
            <w:r w:rsidRPr="00CC2FE5">
              <w:rPr>
                <w:rFonts w:ascii="Arial" w:hAnsi="Arial" w:cs="Arial"/>
                <w:b/>
                <w:sz w:val="18"/>
                <w:szCs w:val="18"/>
              </w:rPr>
              <w:fldChar w:fldCharType="begin"/>
            </w:r>
            <w:r w:rsidRPr="00CC2FE5">
              <w:rPr>
                <w:rFonts w:ascii="Arial" w:hAnsi="Arial" w:cs="Arial"/>
                <w:b/>
                <w:sz w:val="18"/>
                <w:szCs w:val="18"/>
                <w:lang w:val="el-GR"/>
              </w:rPr>
              <w:instrText xml:space="preserve"> </w:instrText>
            </w:r>
            <w:r w:rsidRPr="00CC2FE5">
              <w:rPr>
                <w:rFonts w:ascii="Arial" w:hAnsi="Arial" w:cs="Arial"/>
                <w:b/>
                <w:sz w:val="18"/>
                <w:szCs w:val="18"/>
              </w:rPr>
              <w:instrText>SEQ</w:instrText>
            </w:r>
            <w:r w:rsidRPr="00CC2FE5">
              <w:rPr>
                <w:rFonts w:ascii="Arial" w:hAnsi="Arial" w:cs="Arial"/>
                <w:b/>
                <w:sz w:val="18"/>
                <w:szCs w:val="18"/>
                <w:lang w:val="el-GR"/>
              </w:rPr>
              <w:instrText xml:space="preserve"> Πίνακας_3. \* </w:instrText>
            </w:r>
            <w:r w:rsidRPr="00CC2FE5">
              <w:rPr>
                <w:rFonts w:ascii="Arial" w:hAnsi="Arial" w:cs="Arial"/>
                <w:b/>
                <w:sz w:val="18"/>
                <w:szCs w:val="18"/>
              </w:rPr>
              <w:instrText>ARABIC</w:instrText>
            </w:r>
            <w:r w:rsidRPr="00CC2FE5">
              <w:rPr>
                <w:rFonts w:ascii="Arial" w:hAnsi="Arial" w:cs="Arial"/>
                <w:b/>
                <w:sz w:val="18"/>
                <w:szCs w:val="18"/>
                <w:lang w:val="el-GR"/>
              </w:rPr>
              <w:instrText xml:space="preserve"> </w:instrText>
            </w:r>
            <w:r w:rsidRPr="00CC2FE5">
              <w:rPr>
                <w:rFonts w:ascii="Arial" w:hAnsi="Arial" w:cs="Arial"/>
                <w:b/>
                <w:sz w:val="18"/>
                <w:szCs w:val="18"/>
              </w:rPr>
              <w:fldChar w:fldCharType="separate"/>
            </w:r>
            <w:r w:rsidR="00E15678">
              <w:rPr>
                <w:rFonts w:ascii="Arial" w:hAnsi="Arial" w:cs="Arial"/>
                <w:b/>
                <w:noProof/>
                <w:sz w:val="18"/>
                <w:szCs w:val="18"/>
              </w:rPr>
              <w:t>33</w:t>
            </w:r>
            <w:r w:rsidRPr="00CC2FE5">
              <w:rPr>
                <w:rFonts w:ascii="Arial" w:hAnsi="Arial" w:cs="Arial"/>
                <w:b/>
                <w:sz w:val="18"/>
                <w:szCs w:val="18"/>
              </w:rPr>
              <w:fldChar w:fldCharType="end"/>
            </w:r>
            <w:bookmarkEnd w:id="651"/>
            <w:r w:rsidR="005372AD" w:rsidRPr="00CC2FE5">
              <w:rPr>
                <w:rFonts w:ascii="Arial" w:hAnsi="Arial" w:cs="Arial"/>
                <w:b/>
                <w:sz w:val="18"/>
                <w:szCs w:val="18"/>
                <w:lang w:val="el-GR"/>
              </w:rPr>
              <w:t xml:space="preserve">.: FGT(1) </w:t>
            </w:r>
            <w:r w:rsidR="00926256">
              <w:rPr>
                <w:rFonts w:ascii="Arial" w:hAnsi="Arial" w:cs="Arial"/>
                <w:b/>
                <w:sz w:val="18"/>
                <w:szCs w:val="18"/>
                <w:lang w:val="el-GR"/>
              </w:rPr>
              <w:t>Χ</w:t>
            </w:r>
            <w:r w:rsidR="005372AD" w:rsidRPr="00CC2FE5">
              <w:rPr>
                <w:rFonts w:ascii="Arial" w:hAnsi="Arial" w:cs="Arial"/>
                <w:b/>
                <w:sz w:val="18"/>
                <w:szCs w:val="18"/>
                <w:lang w:val="el-GR"/>
              </w:rPr>
              <w:t>άσμα φτώχειας (σταθερό όριο φτώχειας)</w:t>
            </w:r>
            <w:bookmarkEnd w:id="652"/>
          </w:p>
        </w:tc>
      </w:tr>
      <w:tr w:rsidR="005372AD" w:rsidRPr="00A53BEA" w14:paraId="55EAA3A9" w14:textId="77777777" w:rsidTr="00CC2FE5">
        <w:trPr>
          <w:cantSplit/>
          <w:jc w:val="center"/>
        </w:trPr>
        <w:tc>
          <w:tcPr>
            <w:tcW w:w="2064" w:type="dxa"/>
            <w:tcBorders>
              <w:top w:val="single" w:sz="2" w:space="0" w:color="A6A6A6" w:themeColor="background1" w:themeShade="A6"/>
              <w:left w:val="single" w:sz="2" w:space="0" w:color="A6A6A6" w:themeColor="background1" w:themeShade="A6"/>
            </w:tcBorders>
            <w:shd w:val="clear" w:color="auto" w:fill="F2F2F2" w:themeFill="background1" w:themeFillShade="F2"/>
            <w:vAlign w:val="center"/>
            <w:hideMark/>
          </w:tcPr>
          <w:p w14:paraId="556145CB" w14:textId="77777777" w:rsidR="005372AD" w:rsidRPr="00975897" w:rsidRDefault="005372AD" w:rsidP="00C50984">
            <w:pPr>
              <w:pStyle w:val="Tabletext"/>
              <w:spacing w:line="276" w:lineRule="auto"/>
              <w:rPr>
                <w:rFonts w:ascii="Arial" w:hAnsi="Arial" w:cs="Arial"/>
                <w:sz w:val="16"/>
                <w:szCs w:val="16"/>
                <w:lang w:val="el-GR"/>
              </w:rPr>
            </w:pPr>
            <w:r w:rsidRPr="00975897">
              <w:rPr>
                <w:rFonts w:ascii="Arial" w:hAnsi="Arial" w:cs="Arial"/>
                <w:sz w:val="16"/>
                <w:szCs w:val="16"/>
              </w:rPr>
              <w:t> </w:t>
            </w:r>
          </w:p>
        </w:tc>
        <w:tc>
          <w:tcPr>
            <w:tcW w:w="1241" w:type="dxa"/>
            <w:vMerge w:val="restart"/>
            <w:tcBorders>
              <w:top w:val="single" w:sz="2" w:space="0" w:color="A6A6A6" w:themeColor="background1" w:themeShade="A6"/>
            </w:tcBorders>
            <w:shd w:val="clear" w:color="auto" w:fill="F2F2F2" w:themeFill="background1" w:themeFillShade="F2"/>
            <w:vAlign w:val="center"/>
            <w:hideMark/>
          </w:tcPr>
          <w:p w14:paraId="0FBF6E91" w14:textId="77777777" w:rsidR="005372AD" w:rsidRPr="00A53BEA" w:rsidRDefault="005372AD" w:rsidP="00C50984">
            <w:pPr>
              <w:pStyle w:val="Tabletext"/>
              <w:spacing w:line="276" w:lineRule="auto"/>
              <w:jc w:val="center"/>
              <w:rPr>
                <w:rFonts w:ascii="Arial" w:hAnsi="Arial" w:cs="Arial"/>
                <w:b/>
                <w:sz w:val="16"/>
                <w:szCs w:val="16"/>
                <w:lang w:val="el-GR"/>
              </w:rPr>
            </w:pPr>
            <w:r w:rsidRPr="00A53BEA">
              <w:rPr>
                <w:rFonts w:ascii="Arial" w:hAnsi="Arial" w:cs="Arial"/>
                <w:b/>
                <w:sz w:val="16"/>
                <w:szCs w:val="16"/>
              </w:rPr>
              <w:t>2025_</w:t>
            </w:r>
            <w:r w:rsidRPr="00A53BEA">
              <w:rPr>
                <w:rFonts w:ascii="Arial" w:hAnsi="Arial" w:cs="Arial"/>
                <w:b/>
                <w:sz w:val="16"/>
                <w:szCs w:val="16"/>
                <w:lang w:val="el-GR"/>
              </w:rPr>
              <w:t>βάση</w:t>
            </w:r>
          </w:p>
        </w:tc>
        <w:tc>
          <w:tcPr>
            <w:tcW w:w="5025" w:type="dxa"/>
            <w:gridSpan w:val="2"/>
            <w:tcBorders>
              <w:top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3E0160C8" w14:textId="77777777" w:rsidR="005372AD" w:rsidRPr="00A53BEA" w:rsidRDefault="005372AD" w:rsidP="00C50984">
            <w:pPr>
              <w:pStyle w:val="Tabletext"/>
              <w:spacing w:line="276" w:lineRule="auto"/>
              <w:jc w:val="center"/>
              <w:rPr>
                <w:rFonts w:ascii="Arial" w:hAnsi="Arial" w:cs="Arial"/>
                <w:b/>
                <w:sz w:val="16"/>
                <w:szCs w:val="16"/>
                <w:lang w:val="el-GR"/>
              </w:rPr>
            </w:pPr>
            <w:r w:rsidRPr="00A53BEA">
              <w:rPr>
                <w:rFonts w:ascii="Arial" w:hAnsi="Arial" w:cs="Arial"/>
                <w:b/>
                <w:bCs/>
                <w:color w:val="000000"/>
                <w:sz w:val="16"/>
                <w:szCs w:val="16"/>
                <w:lang w:val="el-GR"/>
              </w:rPr>
              <w:t xml:space="preserve">Διαφορά σε σχέση με τη βάση 2025 </w:t>
            </w:r>
            <w:r w:rsidRPr="00A53BEA">
              <w:rPr>
                <w:rFonts w:ascii="Arial" w:hAnsi="Arial" w:cs="Arial"/>
                <w:b/>
                <w:sz w:val="16"/>
                <w:szCs w:val="16"/>
                <w:lang w:val="el-GR"/>
              </w:rPr>
              <w:t>(ποσοστ. μονάδες)</w:t>
            </w:r>
          </w:p>
        </w:tc>
      </w:tr>
      <w:tr w:rsidR="005372AD" w:rsidRPr="00A53BEA" w14:paraId="54F878D8" w14:textId="77777777" w:rsidTr="00CC2FE5">
        <w:trPr>
          <w:cantSplit/>
          <w:jc w:val="center"/>
        </w:trPr>
        <w:tc>
          <w:tcPr>
            <w:tcW w:w="2064" w:type="dxa"/>
            <w:tcBorders>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25955D6B" w14:textId="77777777" w:rsidR="005372AD" w:rsidRPr="00975897" w:rsidRDefault="005372AD" w:rsidP="00C50984">
            <w:pPr>
              <w:pStyle w:val="Tabletext"/>
              <w:spacing w:line="276" w:lineRule="auto"/>
              <w:rPr>
                <w:rFonts w:ascii="Arial" w:hAnsi="Arial" w:cs="Arial"/>
                <w:sz w:val="16"/>
                <w:szCs w:val="16"/>
                <w:lang w:val="el-GR"/>
              </w:rPr>
            </w:pPr>
            <w:r w:rsidRPr="00975897">
              <w:rPr>
                <w:rFonts w:ascii="Arial" w:hAnsi="Arial" w:cs="Arial"/>
                <w:sz w:val="16"/>
                <w:szCs w:val="16"/>
              </w:rPr>
              <w:t> </w:t>
            </w:r>
          </w:p>
        </w:tc>
        <w:tc>
          <w:tcPr>
            <w:tcW w:w="1241" w:type="dxa"/>
            <w:vMerge/>
            <w:tcBorders>
              <w:bottom w:val="single" w:sz="2" w:space="0" w:color="A6A6A6" w:themeColor="background1" w:themeShade="A6"/>
            </w:tcBorders>
            <w:shd w:val="clear" w:color="auto" w:fill="F2F2F2" w:themeFill="background1" w:themeFillShade="F2"/>
            <w:vAlign w:val="center"/>
            <w:hideMark/>
          </w:tcPr>
          <w:p w14:paraId="6E2D8F3C" w14:textId="77777777" w:rsidR="005372AD" w:rsidRPr="00A53BEA" w:rsidRDefault="005372AD" w:rsidP="00C50984">
            <w:pPr>
              <w:pStyle w:val="Tabletext"/>
              <w:spacing w:line="276" w:lineRule="auto"/>
              <w:jc w:val="center"/>
              <w:rPr>
                <w:rFonts w:ascii="Arial" w:hAnsi="Arial" w:cs="Arial"/>
                <w:b/>
                <w:sz w:val="16"/>
                <w:szCs w:val="16"/>
                <w:lang w:val="el-GR"/>
              </w:rPr>
            </w:pPr>
          </w:p>
        </w:tc>
        <w:tc>
          <w:tcPr>
            <w:tcW w:w="3256" w:type="dxa"/>
            <w:tcBorders>
              <w:bottom w:val="single" w:sz="2" w:space="0" w:color="A6A6A6" w:themeColor="background1" w:themeShade="A6"/>
            </w:tcBorders>
            <w:shd w:val="clear" w:color="auto" w:fill="F2F2F2" w:themeFill="background1" w:themeFillShade="F2"/>
            <w:vAlign w:val="center"/>
            <w:hideMark/>
          </w:tcPr>
          <w:p w14:paraId="64DCE7EE" w14:textId="77777777" w:rsidR="005372AD" w:rsidRPr="00A53BEA" w:rsidRDefault="005372AD" w:rsidP="00C50984">
            <w:pPr>
              <w:pStyle w:val="Tabletext"/>
              <w:spacing w:line="276" w:lineRule="auto"/>
              <w:jc w:val="center"/>
              <w:rPr>
                <w:rFonts w:ascii="Arial" w:hAnsi="Arial" w:cs="Arial"/>
                <w:b/>
                <w:sz w:val="16"/>
                <w:szCs w:val="16"/>
                <w:lang w:val="el-GR"/>
              </w:rPr>
            </w:pPr>
            <w:r w:rsidRPr="00A53BEA">
              <w:rPr>
                <w:rFonts w:ascii="Arial" w:hAnsi="Arial" w:cs="Arial"/>
                <w:b/>
                <w:sz w:val="16"/>
                <w:szCs w:val="16"/>
              </w:rPr>
              <w:t>2025_</w:t>
            </w:r>
            <w:r w:rsidRPr="00A53BEA">
              <w:rPr>
                <w:rFonts w:ascii="Arial" w:hAnsi="Arial" w:cs="Arial"/>
                <w:b/>
                <w:sz w:val="16"/>
                <w:szCs w:val="16"/>
                <w:lang w:val="el-GR"/>
              </w:rPr>
              <w:t>αναφορά</w:t>
            </w:r>
          </w:p>
        </w:tc>
        <w:tc>
          <w:tcPr>
            <w:tcW w:w="1769" w:type="dxa"/>
            <w:tcBorders>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09BA8E79" w14:textId="77777777" w:rsidR="005372AD" w:rsidRPr="00A53BEA" w:rsidRDefault="005372AD" w:rsidP="00C50984">
            <w:pPr>
              <w:pStyle w:val="Tabletext"/>
              <w:spacing w:line="276" w:lineRule="auto"/>
              <w:jc w:val="center"/>
              <w:rPr>
                <w:rFonts w:ascii="Arial" w:hAnsi="Arial" w:cs="Arial"/>
                <w:b/>
                <w:sz w:val="16"/>
                <w:szCs w:val="16"/>
                <w:lang w:val="el-GR"/>
              </w:rPr>
            </w:pPr>
            <w:r w:rsidRPr="00A53BEA">
              <w:rPr>
                <w:rFonts w:ascii="Arial" w:hAnsi="Arial" w:cs="Arial"/>
                <w:b/>
                <w:sz w:val="16"/>
                <w:szCs w:val="16"/>
              </w:rPr>
              <w:t>2026_</w:t>
            </w:r>
            <w:r w:rsidRPr="00A53BEA">
              <w:rPr>
                <w:rFonts w:ascii="Arial" w:hAnsi="Arial" w:cs="Arial"/>
                <w:b/>
                <w:sz w:val="16"/>
                <w:szCs w:val="16"/>
                <w:lang w:val="el-GR"/>
              </w:rPr>
              <w:t>αναφορά</w:t>
            </w:r>
          </w:p>
        </w:tc>
      </w:tr>
      <w:tr w:rsidR="005372AD" w:rsidRPr="001221AC" w14:paraId="4A2FB705" w14:textId="77777777" w:rsidTr="00002918">
        <w:trPr>
          <w:cantSplit/>
          <w:jc w:val="center"/>
        </w:trPr>
        <w:tc>
          <w:tcPr>
            <w:tcW w:w="2064"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hideMark/>
          </w:tcPr>
          <w:p w14:paraId="5B40DBD8" w14:textId="77777777" w:rsidR="005372AD" w:rsidRPr="001221AC" w:rsidRDefault="005372AD" w:rsidP="00C50984">
            <w:pPr>
              <w:pStyle w:val="Tabletext"/>
              <w:spacing w:line="276" w:lineRule="auto"/>
              <w:rPr>
                <w:rFonts w:ascii="Arial" w:hAnsi="Arial" w:cs="Arial"/>
                <w:sz w:val="16"/>
                <w:szCs w:val="16"/>
              </w:rPr>
            </w:pPr>
            <w:r w:rsidRPr="001221AC">
              <w:rPr>
                <w:rFonts w:ascii="Arial" w:hAnsi="Arial" w:cs="Arial"/>
                <w:bCs/>
                <w:color w:val="000000"/>
                <w:sz w:val="16"/>
                <w:szCs w:val="16"/>
              </w:rPr>
              <w:t>Συνολικός πληθυσμός</w:t>
            </w:r>
          </w:p>
        </w:tc>
        <w:tc>
          <w:tcPr>
            <w:tcW w:w="1241" w:type="dxa"/>
            <w:tcBorders>
              <w:top w:val="single" w:sz="2" w:space="0" w:color="A6A6A6" w:themeColor="background1" w:themeShade="A6"/>
              <w:bottom w:val="single" w:sz="2" w:space="0" w:color="A6A6A6" w:themeColor="background1" w:themeShade="A6"/>
            </w:tcBorders>
            <w:shd w:val="clear" w:color="auto" w:fill="auto"/>
            <w:vAlign w:val="center"/>
            <w:hideMark/>
          </w:tcPr>
          <w:p w14:paraId="623EE474" w14:textId="77777777" w:rsidR="005372AD" w:rsidRPr="001221AC" w:rsidRDefault="005372AD" w:rsidP="00002918">
            <w:pPr>
              <w:pStyle w:val="Tabletext"/>
              <w:spacing w:line="276" w:lineRule="auto"/>
              <w:jc w:val="center"/>
              <w:rPr>
                <w:rFonts w:ascii="Arial" w:hAnsi="Arial" w:cs="Arial"/>
                <w:sz w:val="16"/>
                <w:szCs w:val="16"/>
              </w:rPr>
            </w:pPr>
            <w:r w:rsidRPr="001221AC">
              <w:rPr>
                <w:rFonts w:ascii="Arial" w:hAnsi="Arial" w:cs="Arial"/>
                <w:sz w:val="16"/>
                <w:szCs w:val="16"/>
              </w:rPr>
              <w:t>4</w:t>
            </w:r>
            <w:r w:rsidRPr="001221AC">
              <w:rPr>
                <w:rFonts w:ascii="Arial" w:hAnsi="Arial" w:cs="Arial"/>
                <w:sz w:val="16"/>
                <w:szCs w:val="16"/>
                <w:lang w:val="el-GR"/>
              </w:rPr>
              <w:t>,</w:t>
            </w:r>
            <w:r w:rsidRPr="001221AC">
              <w:rPr>
                <w:rFonts w:ascii="Arial" w:hAnsi="Arial" w:cs="Arial"/>
                <w:sz w:val="16"/>
                <w:szCs w:val="16"/>
              </w:rPr>
              <w:t>70 %</w:t>
            </w:r>
          </w:p>
        </w:tc>
        <w:tc>
          <w:tcPr>
            <w:tcW w:w="3256" w:type="dxa"/>
            <w:tcBorders>
              <w:top w:val="single" w:sz="2" w:space="0" w:color="A6A6A6" w:themeColor="background1" w:themeShade="A6"/>
              <w:bottom w:val="single" w:sz="2" w:space="0" w:color="A6A6A6" w:themeColor="background1" w:themeShade="A6"/>
            </w:tcBorders>
            <w:shd w:val="clear" w:color="auto" w:fill="auto"/>
            <w:vAlign w:val="center"/>
            <w:hideMark/>
          </w:tcPr>
          <w:p w14:paraId="21CF2111" w14:textId="77777777" w:rsidR="005372AD" w:rsidRPr="001221AC" w:rsidRDefault="005372AD" w:rsidP="00002918">
            <w:pPr>
              <w:pStyle w:val="Tabletext"/>
              <w:spacing w:line="276" w:lineRule="auto"/>
              <w:jc w:val="center"/>
              <w:rPr>
                <w:rFonts w:ascii="Arial" w:hAnsi="Arial" w:cs="Arial"/>
                <w:sz w:val="16"/>
                <w:szCs w:val="16"/>
              </w:rPr>
            </w:pPr>
            <w:r w:rsidRPr="001221AC">
              <w:rPr>
                <w:rFonts w:ascii="Arial" w:hAnsi="Arial" w:cs="Arial"/>
                <w:sz w:val="16"/>
                <w:szCs w:val="16"/>
              </w:rPr>
              <w:t>-0</w:t>
            </w:r>
            <w:r w:rsidRPr="001221AC">
              <w:rPr>
                <w:rFonts w:ascii="Arial" w:hAnsi="Arial" w:cs="Arial"/>
                <w:sz w:val="16"/>
                <w:szCs w:val="16"/>
                <w:lang w:val="el-GR"/>
              </w:rPr>
              <w:t>,</w:t>
            </w:r>
            <w:r w:rsidRPr="001221AC">
              <w:rPr>
                <w:rFonts w:ascii="Arial" w:hAnsi="Arial" w:cs="Arial"/>
                <w:sz w:val="16"/>
                <w:szCs w:val="16"/>
              </w:rPr>
              <w:t>2</w:t>
            </w:r>
          </w:p>
        </w:tc>
        <w:tc>
          <w:tcPr>
            <w:tcW w:w="1769"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hideMark/>
          </w:tcPr>
          <w:p w14:paraId="2234445F" w14:textId="77777777" w:rsidR="005372AD" w:rsidRPr="001221AC" w:rsidRDefault="005372AD" w:rsidP="00002918">
            <w:pPr>
              <w:pStyle w:val="Tabletext"/>
              <w:spacing w:line="276" w:lineRule="auto"/>
              <w:jc w:val="center"/>
              <w:rPr>
                <w:rFonts w:ascii="Arial" w:hAnsi="Arial" w:cs="Arial"/>
                <w:sz w:val="16"/>
                <w:szCs w:val="16"/>
              </w:rPr>
            </w:pPr>
            <w:r w:rsidRPr="001221AC">
              <w:rPr>
                <w:rFonts w:ascii="Arial" w:hAnsi="Arial" w:cs="Arial"/>
                <w:sz w:val="16"/>
                <w:szCs w:val="16"/>
              </w:rPr>
              <w:t>-0</w:t>
            </w:r>
            <w:r w:rsidRPr="001221AC">
              <w:rPr>
                <w:rFonts w:ascii="Arial" w:hAnsi="Arial" w:cs="Arial"/>
                <w:sz w:val="16"/>
                <w:szCs w:val="16"/>
                <w:lang w:val="el-GR"/>
              </w:rPr>
              <w:t>,</w:t>
            </w:r>
            <w:r w:rsidRPr="001221AC">
              <w:rPr>
                <w:rFonts w:ascii="Arial" w:hAnsi="Arial" w:cs="Arial"/>
                <w:sz w:val="16"/>
                <w:szCs w:val="16"/>
              </w:rPr>
              <w:t>4</w:t>
            </w:r>
          </w:p>
        </w:tc>
      </w:tr>
      <w:tr w:rsidR="005372AD" w:rsidRPr="00975897" w14:paraId="75EE27BE" w14:textId="77777777" w:rsidTr="00C50984">
        <w:trPr>
          <w:cantSplit/>
          <w:jc w:val="center"/>
        </w:trPr>
        <w:tc>
          <w:tcPr>
            <w:tcW w:w="8330" w:type="dxa"/>
            <w:gridSpan w:val="4"/>
            <w:tcBorders>
              <w:top w:val="single" w:sz="2" w:space="0" w:color="A6A6A6" w:themeColor="background1" w:themeShade="A6"/>
            </w:tcBorders>
            <w:shd w:val="clear" w:color="auto" w:fill="auto"/>
            <w:vAlign w:val="center"/>
          </w:tcPr>
          <w:p w14:paraId="238D11BC" w14:textId="77777777" w:rsidR="005372AD" w:rsidRPr="00975897" w:rsidRDefault="005372AD" w:rsidP="00C50984">
            <w:pPr>
              <w:pStyle w:val="Source"/>
              <w:spacing w:before="60" w:after="0" w:line="276" w:lineRule="auto"/>
              <w:rPr>
                <w:rFonts w:ascii="Arial" w:hAnsi="Arial" w:cs="Arial"/>
                <w:i w:val="0"/>
                <w:sz w:val="16"/>
                <w:szCs w:val="16"/>
                <w:lang w:val="el-GR"/>
              </w:rPr>
            </w:pPr>
            <w:r w:rsidRPr="00975897">
              <w:rPr>
                <w:rFonts w:ascii="Arial" w:hAnsi="Arial" w:cs="Arial"/>
                <w:i w:val="0"/>
                <w:sz w:val="16"/>
                <w:szCs w:val="16"/>
                <w:lang w:val="el-GR"/>
              </w:rPr>
              <w:t>Σημείωση: Το όριο φτώχειας συνδέεται σταθερά με το σενάριο βάσης: 6.707,33 ευρώ κατ’ έτος.</w:t>
            </w:r>
          </w:p>
        </w:tc>
      </w:tr>
    </w:tbl>
    <w:p w14:paraId="4B73EE80" w14:textId="77777777" w:rsidR="005372AD" w:rsidRDefault="005372AD" w:rsidP="005372AD">
      <w:pPr>
        <w:spacing w:before="120"/>
      </w:pPr>
    </w:p>
    <w:tbl>
      <w:tblPr>
        <w:tblW w:w="8891" w:type="dxa"/>
        <w:jc w:val="center"/>
        <w:tblLook w:val="04A0" w:firstRow="1" w:lastRow="0" w:firstColumn="1" w:lastColumn="0" w:noHBand="0" w:noVBand="1"/>
      </w:tblPr>
      <w:tblGrid>
        <w:gridCol w:w="2281"/>
        <w:gridCol w:w="1261"/>
        <w:gridCol w:w="2994"/>
        <w:gridCol w:w="2355"/>
      </w:tblGrid>
      <w:tr w:rsidR="00C9478A" w:rsidRPr="00C9478A" w14:paraId="5F18C1D7" w14:textId="77777777" w:rsidTr="0081168C">
        <w:trPr>
          <w:cantSplit/>
          <w:trHeight w:val="340"/>
          <w:jc w:val="center"/>
        </w:trPr>
        <w:tc>
          <w:tcPr>
            <w:tcW w:w="8891" w:type="dxa"/>
            <w:gridSpan w:val="4"/>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auto" w:fill="D5DCE4"/>
            <w:vAlign w:val="center"/>
          </w:tcPr>
          <w:p w14:paraId="716231AE" w14:textId="0F713E50" w:rsidR="00C9478A" w:rsidRPr="00C9478A" w:rsidRDefault="00C9478A" w:rsidP="00B5431D">
            <w:pPr>
              <w:pStyle w:val="Tabletext"/>
              <w:spacing w:line="276" w:lineRule="auto"/>
              <w:jc w:val="center"/>
              <w:rPr>
                <w:rFonts w:ascii="Arial" w:hAnsi="Arial" w:cs="Arial"/>
                <w:b/>
                <w:sz w:val="18"/>
                <w:szCs w:val="18"/>
                <w:lang w:val="el-GR"/>
              </w:rPr>
            </w:pPr>
            <w:bookmarkStart w:id="653" w:name="_Ref213948771"/>
            <w:bookmarkStart w:id="654" w:name="_Toc214474072"/>
            <w:r w:rsidRPr="00C9478A">
              <w:rPr>
                <w:rFonts w:ascii="Arial" w:hAnsi="Arial" w:cs="Arial"/>
                <w:b/>
                <w:sz w:val="18"/>
                <w:szCs w:val="18"/>
                <w:lang w:val="el-GR"/>
              </w:rPr>
              <w:t>Πίνακας 3.</w:t>
            </w:r>
            <w:r w:rsidRPr="00C9478A">
              <w:rPr>
                <w:rFonts w:ascii="Arial" w:hAnsi="Arial" w:cs="Arial"/>
                <w:b/>
                <w:sz w:val="18"/>
                <w:szCs w:val="18"/>
              </w:rPr>
              <w:fldChar w:fldCharType="begin"/>
            </w:r>
            <w:r w:rsidRPr="00C9478A">
              <w:rPr>
                <w:rFonts w:ascii="Arial" w:hAnsi="Arial" w:cs="Arial"/>
                <w:b/>
                <w:sz w:val="18"/>
                <w:szCs w:val="18"/>
                <w:lang w:val="el-GR"/>
              </w:rPr>
              <w:instrText xml:space="preserve"> </w:instrText>
            </w:r>
            <w:r w:rsidRPr="00C9478A">
              <w:rPr>
                <w:rFonts w:ascii="Arial" w:hAnsi="Arial" w:cs="Arial"/>
                <w:b/>
                <w:sz w:val="18"/>
                <w:szCs w:val="18"/>
              </w:rPr>
              <w:instrText>SEQ</w:instrText>
            </w:r>
            <w:r w:rsidRPr="00C9478A">
              <w:rPr>
                <w:rFonts w:ascii="Arial" w:hAnsi="Arial" w:cs="Arial"/>
                <w:b/>
                <w:sz w:val="18"/>
                <w:szCs w:val="18"/>
                <w:lang w:val="el-GR"/>
              </w:rPr>
              <w:instrText xml:space="preserve"> Πίνακας_3. \* </w:instrText>
            </w:r>
            <w:r w:rsidRPr="00C9478A">
              <w:rPr>
                <w:rFonts w:ascii="Arial" w:hAnsi="Arial" w:cs="Arial"/>
                <w:b/>
                <w:sz w:val="18"/>
                <w:szCs w:val="18"/>
              </w:rPr>
              <w:instrText>ARABIC</w:instrText>
            </w:r>
            <w:r w:rsidRPr="00C9478A">
              <w:rPr>
                <w:rFonts w:ascii="Arial" w:hAnsi="Arial" w:cs="Arial"/>
                <w:b/>
                <w:sz w:val="18"/>
                <w:szCs w:val="18"/>
                <w:lang w:val="el-GR"/>
              </w:rPr>
              <w:instrText xml:space="preserve"> </w:instrText>
            </w:r>
            <w:r w:rsidRPr="00C9478A">
              <w:rPr>
                <w:rFonts w:ascii="Arial" w:hAnsi="Arial" w:cs="Arial"/>
                <w:b/>
                <w:sz w:val="18"/>
                <w:szCs w:val="18"/>
              </w:rPr>
              <w:fldChar w:fldCharType="separate"/>
            </w:r>
            <w:r w:rsidR="00E15678">
              <w:rPr>
                <w:rFonts w:ascii="Arial" w:hAnsi="Arial" w:cs="Arial"/>
                <w:b/>
                <w:noProof/>
                <w:sz w:val="18"/>
                <w:szCs w:val="18"/>
              </w:rPr>
              <w:t>34</w:t>
            </w:r>
            <w:r w:rsidRPr="00C9478A">
              <w:rPr>
                <w:rFonts w:ascii="Arial" w:hAnsi="Arial" w:cs="Arial"/>
                <w:b/>
                <w:sz w:val="18"/>
                <w:szCs w:val="18"/>
              </w:rPr>
              <w:fldChar w:fldCharType="end"/>
            </w:r>
            <w:bookmarkEnd w:id="653"/>
            <w:r w:rsidRPr="00C9478A">
              <w:rPr>
                <w:rFonts w:ascii="Arial" w:hAnsi="Arial" w:cs="Arial"/>
                <w:b/>
                <w:sz w:val="18"/>
                <w:szCs w:val="18"/>
                <w:lang w:val="el-GR"/>
              </w:rPr>
              <w:t xml:space="preserve">.: FGT(0) </w:t>
            </w:r>
            <w:r w:rsidR="00926256">
              <w:rPr>
                <w:rFonts w:ascii="Arial" w:hAnsi="Arial" w:cs="Arial"/>
                <w:b/>
                <w:sz w:val="18"/>
                <w:szCs w:val="18"/>
                <w:lang w:val="el-GR"/>
              </w:rPr>
              <w:t>Δ</w:t>
            </w:r>
            <w:r w:rsidRPr="00C9478A">
              <w:rPr>
                <w:rFonts w:ascii="Arial" w:hAnsi="Arial" w:cs="Arial"/>
                <w:b/>
                <w:sz w:val="18"/>
                <w:szCs w:val="18"/>
                <w:lang w:val="el-GR"/>
              </w:rPr>
              <w:t>είκτης φτώχειας (κυμαινόμενο όριο φτώχειας)</w:t>
            </w:r>
            <w:bookmarkEnd w:id="654"/>
          </w:p>
        </w:tc>
      </w:tr>
      <w:tr w:rsidR="00975897" w:rsidRPr="00C9478A" w14:paraId="4E90F249" w14:textId="77777777" w:rsidTr="0081168C">
        <w:trPr>
          <w:cantSplit/>
          <w:trHeight w:val="283"/>
          <w:jc w:val="center"/>
        </w:trPr>
        <w:tc>
          <w:tcPr>
            <w:tcW w:w="2281" w:type="dxa"/>
            <w:tcBorders>
              <w:left w:val="single" w:sz="2" w:space="0" w:color="A6A6A6" w:themeColor="background1" w:themeShade="A6"/>
            </w:tcBorders>
            <w:shd w:val="clear" w:color="auto" w:fill="F2F2F2" w:themeFill="background1" w:themeFillShade="F2"/>
            <w:vAlign w:val="center"/>
            <w:hideMark/>
          </w:tcPr>
          <w:p w14:paraId="60908CE2" w14:textId="77777777" w:rsidR="00975897" w:rsidRPr="00C9478A" w:rsidRDefault="00975897" w:rsidP="00B5431D">
            <w:pPr>
              <w:pStyle w:val="Tabletext"/>
              <w:spacing w:line="276" w:lineRule="auto"/>
              <w:rPr>
                <w:rFonts w:ascii="Arial" w:hAnsi="Arial" w:cs="Arial"/>
                <w:b/>
                <w:sz w:val="16"/>
                <w:szCs w:val="16"/>
                <w:lang w:val="el-GR"/>
              </w:rPr>
            </w:pPr>
            <w:r w:rsidRPr="00C9478A">
              <w:rPr>
                <w:rFonts w:ascii="Arial" w:hAnsi="Arial" w:cs="Arial"/>
                <w:b/>
                <w:sz w:val="16"/>
                <w:szCs w:val="16"/>
              </w:rPr>
              <w:t> </w:t>
            </w:r>
          </w:p>
        </w:tc>
        <w:tc>
          <w:tcPr>
            <w:tcW w:w="1261" w:type="dxa"/>
            <w:vMerge w:val="restart"/>
            <w:shd w:val="clear" w:color="auto" w:fill="F2F2F2" w:themeFill="background1" w:themeFillShade="F2"/>
            <w:vAlign w:val="center"/>
            <w:hideMark/>
          </w:tcPr>
          <w:p w14:paraId="2479B356" w14:textId="0FBF6DD3" w:rsidR="00975897" w:rsidRPr="00C9478A" w:rsidRDefault="00975897" w:rsidP="00B5431D">
            <w:pPr>
              <w:pStyle w:val="Tabletext"/>
              <w:spacing w:line="276" w:lineRule="auto"/>
              <w:jc w:val="center"/>
              <w:rPr>
                <w:rFonts w:ascii="Arial" w:hAnsi="Arial" w:cs="Arial"/>
                <w:b/>
                <w:sz w:val="16"/>
                <w:szCs w:val="16"/>
                <w:lang w:val="el-GR"/>
              </w:rPr>
            </w:pPr>
            <w:r w:rsidRPr="00C9478A">
              <w:rPr>
                <w:rFonts w:ascii="Arial" w:hAnsi="Arial" w:cs="Arial"/>
                <w:b/>
                <w:sz w:val="16"/>
                <w:szCs w:val="16"/>
              </w:rPr>
              <w:t>2025_</w:t>
            </w:r>
            <w:r w:rsidRPr="00C9478A">
              <w:rPr>
                <w:rFonts w:ascii="Arial" w:hAnsi="Arial" w:cs="Arial"/>
                <w:b/>
                <w:sz w:val="16"/>
                <w:szCs w:val="16"/>
                <w:lang w:val="el-GR"/>
              </w:rPr>
              <w:t>βάση</w:t>
            </w:r>
          </w:p>
        </w:tc>
        <w:tc>
          <w:tcPr>
            <w:tcW w:w="5349" w:type="dxa"/>
            <w:gridSpan w:val="2"/>
            <w:tcBorders>
              <w:right w:val="single" w:sz="2" w:space="0" w:color="A6A6A6" w:themeColor="background1" w:themeShade="A6"/>
            </w:tcBorders>
            <w:shd w:val="clear" w:color="auto" w:fill="F2F2F2" w:themeFill="background1" w:themeFillShade="F2"/>
            <w:vAlign w:val="center"/>
            <w:hideMark/>
          </w:tcPr>
          <w:p w14:paraId="6BE1C008" w14:textId="77777777" w:rsidR="00975897" w:rsidRPr="00C9478A" w:rsidRDefault="00975897" w:rsidP="00B5431D">
            <w:pPr>
              <w:pStyle w:val="Tabletext"/>
              <w:spacing w:line="276" w:lineRule="auto"/>
              <w:jc w:val="center"/>
              <w:rPr>
                <w:rFonts w:ascii="Arial" w:hAnsi="Arial" w:cs="Arial"/>
                <w:b/>
                <w:sz w:val="16"/>
                <w:szCs w:val="16"/>
                <w:lang w:val="el-GR"/>
              </w:rPr>
            </w:pPr>
            <w:r w:rsidRPr="00C9478A">
              <w:rPr>
                <w:rFonts w:ascii="Arial" w:hAnsi="Arial" w:cs="Arial"/>
                <w:b/>
                <w:bCs/>
                <w:color w:val="000000"/>
                <w:sz w:val="16"/>
                <w:szCs w:val="16"/>
                <w:lang w:val="el-GR"/>
              </w:rPr>
              <w:t xml:space="preserve">Διαφορά σε σχέση με τη βάση 2025 </w:t>
            </w:r>
            <w:r w:rsidRPr="00C9478A">
              <w:rPr>
                <w:rFonts w:ascii="Arial" w:hAnsi="Arial" w:cs="Arial"/>
                <w:b/>
                <w:sz w:val="16"/>
                <w:szCs w:val="16"/>
                <w:lang w:val="el-GR"/>
              </w:rPr>
              <w:t>(ποσοστ. μονάδες)</w:t>
            </w:r>
          </w:p>
        </w:tc>
      </w:tr>
      <w:tr w:rsidR="00975897" w:rsidRPr="00C9478A" w14:paraId="48B8B5F5" w14:textId="77777777" w:rsidTr="0081168C">
        <w:trPr>
          <w:cantSplit/>
          <w:trHeight w:val="283"/>
          <w:jc w:val="center"/>
        </w:trPr>
        <w:tc>
          <w:tcPr>
            <w:tcW w:w="2281" w:type="dxa"/>
            <w:tcBorders>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29ABAC45" w14:textId="77777777" w:rsidR="00975897" w:rsidRPr="00C9478A" w:rsidRDefault="00975897" w:rsidP="00B5431D">
            <w:pPr>
              <w:pStyle w:val="Tabletext"/>
              <w:spacing w:line="276" w:lineRule="auto"/>
              <w:rPr>
                <w:rFonts w:ascii="Arial" w:hAnsi="Arial" w:cs="Arial"/>
                <w:b/>
                <w:sz w:val="16"/>
                <w:szCs w:val="16"/>
                <w:lang w:val="el-GR"/>
              </w:rPr>
            </w:pPr>
            <w:r w:rsidRPr="00C9478A">
              <w:rPr>
                <w:rFonts w:ascii="Arial" w:hAnsi="Arial" w:cs="Arial"/>
                <w:b/>
                <w:sz w:val="16"/>
                <w:szCs w:val="16"/>
              </w:rPr>
              <w:t> </w:t>
            </w:r>
          </w:p>
        </w:tc>
        <w:tc>
          <w:tcPr>
            <w:tcW w:w="1261" w:type="dxa"/>
            <w:vMerge/>
            <w:tcBorders>
              <w:bottom w:val="single" w:sz="2" w:space="0" w:color="A6A6A6" w:themeColor="background1" w:themeShade="A6"/>
            </w:tcBorders>
            <w:shd w:val="clear" w:color="auto" w:fill="F2F2F2" w:themeFill="background1" w:themeFillShade="F2"/>
            <w:vAlign w:val="center"/>
            <w:hideMark/>
          </w:tcPr>
          <w:p w14:paraId="39FC8D10" w14:textId="2E51B5FD" w:rsidR="00975897" w:rsidRPr="00C9478A" w:rsidRDefault="00975897" w:rsidP="00B5431D">
            <w:pPr>
              <w:pStyle w:val="Tabletext"/>
              <w:spacing w:line="276" w:lineRule="auto"/>
              <w:jc w:val="center"/>
              <w:rPr>
                <w:rFonts w:ascii="Arial" w:hAnsi="Arial" w:cs="Arial"/>
                <w:b/>
                <w:sz w:val="16"/>
                <w:szCs w:val="16"/>
                <w:lang w:val="el-GR"/>
              </w:rPr>
            </w:pPr>
          </w:p>
        </w:tc>
        <w:tc>
          <w:tcPr>
            <w:tcW w:w="2994" w:type="dxa"/>
            <w:tcBorders>
              <w:bottom w:val="single" w:sz="2" w:space="0" w:color="A6A6A6" w:themeColor="background1" w:themeShade="A6"/>
            </w:tcBorders>
            <w:shd w:val="clear" w:color="auto" w:fill="F2F2F2" w:themeFill="background1" w:themeFillShade="F2"/>
            <w:vAlign w:val="center"/>
            <w:hideMark/>
          </w:tcPr>
          <w:p w14:paraId="28BC68EB" w14:textId="77777777" w:rsidR="00975897" w:rsidRPr="00C9478A" w:rsidRDefault="00975897" w:rsidP="00B5431D">
            <w:pPr>
              <w:pStyle w:val="Tabletext"/>
              <w:spacing w:line="276" w:lineRule="auto"/>
              <w:jc w:val="center"/>
              <w:rPr>
                <w:rFonts w:ascii="Arial" w:hAnsi="Arial" w:cs="Arial"/>
                <w:b/>
                <w:sz w:val="16"/>
                <w:szCs w:val="16"/>
                <w:lang w:val="el-GR"/>
              </w:rPr>
            </w:pPr>
            <w:r w:rsidRPr="00C9478A">
              <w:rPr>
                <w:rFonts w:ascii="Arial" w:hAnsi="Arial" w:cs="Arial"/>
                <w:b/>
                <w:sz w:val="16"/>
                <w:szCs w:val="16"/>
              </w:rPr>
              <w:t>2025_</w:t>
            </w:r>
            <w:r w:rsidRPr="00C9478A">
              <w:rPr>
                <w:rFonts w:ascii="Arial" w:hAnsi="Arial" w:cs="Arial"/>
                <w:b/>
                <w:sz w:val="16"/>
                <w:szCs w:val="16"/>
                <w:lang w:val="el-GR"/>
              </w:rPr>
              <w:t>αναφορά</w:t>
            </w:r>
          </w:p>
        </w:tc>
        <w:tc>
          <w:tcPr>
            <w:tcW w:w="2355" w:type="dxa"/>
            <w:tcBorders>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5F11CB7F" w14:textId="77777777" w:rsidR="00975897" w:rsidRPr="00C9478A" w:rsidRDefault="00975897" w:rsidP="00B5431D">
            <w:pPr>
              <w:pStyle w:val="Tabletext"/>
              <w:spacing w:line="276" w:lineRule="auto"/>
              <w:jc w:val="center"/>
              <w:rPr>
                <w:rFonts w:ascii="Arial" w:hAnsi="Arial" w:cs="Arial"/>
                <w:b/>
                <w:sz w:val="16"/>
                <w:szCs w:val="16"/>
                <w:lang w:val="el-GR"/>
              </w:rPr>
            </w:pPr>
            <w:r w:rsidRPr="00C9478A">
              <w:rPr>
                <w:rFonts w:ascii="Arial" w:hAnsi="Arial" w:cs="Arial"/>
                <w:b/>
                <w:sz w:val="16"/>
                <w:szCs w:val="16"/>
              </w:rPr>
              <w:t>2026_</w:t>
            </w:r>
            <w:r w:rsidRPr="00C9478A">
              <w:rPr>
                <w:rFonts w:ascii="Arial" w:hAnsi="Arial" w:cs="Arial"/>
                <w:b/>
                <w:sz w:val="16"/>
                <w:szCs w:val="16"/>
                <w:lang w:val="el-GR"/>
              </w:rPr>
              <w:t>αναφορά</w:t>
            </w:r>
          </w:p>
        </w:tc>
      </w:tr>
      <w:tr w:rsidR="00C9478A" w:rsidRPr="001221AC" w14:paraId="488C2C25" w14:textId="77777777" w:rsidTr="00002918">
        <w:trPr>
          <w:cantSplit/>
          <w:trHeight w:val="283"/>
          <w:jc w:val="center"/>
        </w:trPr>
        <w:tc>
          <w:tcPr>
            <w:tcW w:w="2281"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hideMark/>
          </w:tcPr>
          <w:p w14:paraId="71294447" w14:textId="77777777" w:rsidR="006C70B4" w:rsidRPr="001221AC" w:rsidRDefault="006C70B4" w:rsidP="00B5431D">
            <w:pPr>
              <w:pStyle w:val="Tabletext"/>
              <w:spacing w:line="276" w:lineRule="auto"/>
              <w:rPr>
                <w:rFonts w:ascii="Arial" w:hAnsi="Arial" w:cs="Arial"/>
                <w:sz w:val="16"/>
                <w:szCs w:val="16"/>
              </w:rPr>
            </w:pPr>
            <w:r w:rsidRPr="001221AC">
              <w:rPr>
                <w:rFonts w:ascii="Arial" w:hAnsi="Arial" w:cs="Arial"/>
                <w:bCs/>
                <w:color w:val="000000"/>
                <w:sz w:val="16"/>
                <w:szCs w:val="16"/>
              </w:rPr>
              <w:t>Συνολικός πληθυσμός</w:t>
            </w:r>
          </w:p>
        </w:tc>
        <w:tc>
          <w:tcPr>
            <w:tcW w:w="1261" w:type="dxa"/>
            <w:tcBorders>
              <w:top w:val="single" w:sz="2" w:space="0" w:color="A6A6A6" w:themeColor="background1" w:themeShade="A6"/>
              <w:bottom w:val="single" w:sz="2" w:space="0" w:color="A6A6A6" w:themeColor="background1" w:themeShade="A6"/>
            </w:tcBorders>
            <w:shd w:val="clear" w:color="auto" w:fill="auto"/>
            <w:vAlign w:val="center"/>
            <w:hideMark/>
          </w:tcPr>
          <w:p w14:paraId="572D548C" w14:textId="77777777" w:rsidR="006C70B4" w:rsidRPr="001221AC" w:rsidRDefault="006C70B4" w:rsidP="00002918">
            <w:pPr>
              <w:pStyle w:val="Tabletext"/>
              <w:spacing w:line="276" w:lineRule="auto"/>
              <w:jc w:val="center"/>
              <w:rPr>
                <w:rFonts w:ascii="Arial" w:hAnsi="Arial" w:cs="Arial"/>
                <w:sz w:val="16"/>
                <w:szCs w:val="16"/>
              </w:rPr>
            </w:pPr>
            <w:r w:rsidRPr="001221AC">
              <w:rPr>
                <w:rFonts w:ascii="Arial" w:hAnsi="Arial" w:cs="Arial"/>
                <w:sz w:val="16"/>
                <w:szCs w:val="16"/>
              </w:rPr>
              <w:t>16</w:t>
            </w:r>
            <w:r w:rsidRPr="001221AC">
              <w:rPr>
                <w:rFonts w:ascii="Arial" w:hAnsi="Arial" w:cs="Arial"/>
                <w:sz w:val="16"/>
                <w:szCs w:val="16"/>
                <w:lang w:val="el-GR"/>
              </w:rPr>
              <w:t>,</w:t>
            </w:r>
            <w:r w:rsidRPr="001221AC">
              <w:rPr>
                <w:rFonts w:ascii="Arial" w:hAnsi="Arial" w:cs="Arial"/>
                <w:sz w:val="16"/>
                <w:szCs w:val="16"/>
              </w:rPr>
              <w:t>9</w:t>
            </w:r>
          </w:p>
        </w:tc>
        <w:tc>
          <w:tcPr>
            <w:tcW w:w="2994" w:type="dxa"/>
            <w:tcBorders>
              <w:top w:val="single" w:sz="2" w:space="0" w:color="A6A6A6" w:themeColor="background1" w:themeShade="A6"/>
              <w:bottom w:val="single" w:sz="2" w:space="0" w:color="A6A6A6" w:themeColor="background1" w:themeShade="A6"/>
            </w:tcBorders>
            <w:shd w:val="clear" w:color="auto" w:fill="auto"/>
            <w:vAlign w:val="center"/>
            <w:hideMark/>
          </w:tcPr>
          <w:p w14:paraId="01116956" w14:textId="77777777" w:rsidR="006C70B4" w:rsidRPr="001221AC" w:rsidRDefault="006C70B4" w:rsidP="00002918">
            <w:pPr>
              <w:pStyle w:val="Tabletext"/>
              <w:spacing w:line="276" w:lineRule="auto"/>
              <w:jc w:val="center"/>
              <w:rPr>
                <w:rFonts w:ascii="Arial" w:hAnsi="Arial" w:cs="Arial"/>
                <w:sz w:val="16"/>
                <w:szCs w:val="16"/>
              </w:rPr>
            </w:pPr>
            <w:r w:rsidRPr="001221AC">
              <w:rPr>
                <w:rFonts w:ascii="Arial" w:hAnsi="Arial" w:cs="Arial"/>
                <w:sz w:val="16"/>
                <w:szCs w:val="16"/>
              </w:rPr>
              <w:t>-0</w:t>
            </w:r>
            <w:r w:rsidRPr="001221AC">
              <w:rPr>
                <w:rFonts w:ascii="Arial" w:hAnsi="Arial" w:cs="Arial"/>
                <w:sz w:val="16"/>
                <w:szCs w:val="16"/>
                <w:lang w:val="el-GR"/>
              </w:rPr>
              <w:t>,</w:t>
            </w:r>
            <w:r w:rsidRPr="001221AC">
              <w:rPr>
                <w:rFonts w:ascii="Arial" w:hAnsi="Arial" w:cs="Arial"/>
                <w:sz w:val="16"/>
                <w:szCs w:val="16"/>
              </w:rPr>
              <w:t>3</w:t>
            </w:r>
          </w:p>
        </w:tc>
        <w:tc>
          <w:tcPr>
            <w:tcW w:w="2355"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hideMark/>
          </w:tcPr>
          <w:p w14:paraId="1402BFFE" w14:textId="77777777" w:rsidR="006C70B4" w:rsidRPr="001221AC" w:rsidRDefault="006C70B4" w:rsidP="00002918">
            <w:pPr>
              <w:pStyle w:val="Tabletext"/>
              <w:spacing w:line="276" w:lineRule="auto"/>
              <w:jc w:val="center"/>
              <w:rPr>
                <w:rFonts w:ascii="Arial" w:hAnsi="Arial" w:cs="Arial"/>
                <w:sz w:val="16"/>
                <w:szCs w:val="16"/>
              </w:rPr>
            </w:pPr>
            <w:r w:rsidRPr="001221AC">
              <w:rPr>
                <w:rFonts w:ascii="Arial" w:hAnsi="Arial" w:cs="Arial"/>
                <w:sz w:val="16"/>
                <w:szCs w:val="16"/>
              </w:rPr>
              <w:t>-0</w:t>
            </w:r>
            <w:r w:rsidRPr="001221AC">
              <w:rPr>
                <w:rFonts w:ascii="Arial" w:hAnsi="Arial" w:cs="Arial"/>
                <w:sz w:val="16"/>
                <w:szCs w:val="16"/>
                <w:lang w:val="el-GR"/>
              </w:rPr>
              <w:t>,</w:t>
            </w:r>
            <w:r w:rsidRPr="001221AC">
              <w:rPr>
                <w:rFonts w:ascii="Arial" w:hAnsi="Arial" w:cs="Arial"/>
                <w:sz w:val="16"/>
                <w:szCs w:val="16"/>
              </w:rPr>
              <w:t>2</w:t>
            </w:r>
          </w:p>
        </w:tc>
      </w:tr>
      <w:tr w:rsidR="006C70B4" w:rsidRPr="00C9478A" w14:paraId="5127C95A" w14:textId="77777777" w:rsidTr="00B5431D">
        <w:trPr>
          <w:cantSplit/>
          <w:jc w:val="center"/>
        </w:trPr>
        <w:tc>
          <w:tcPr>
            <w:tcW w:w="8891" w:type="dxa"/>
            <w:gridSpan w:val="4"/>
            <w:tcBorders>
              <w:top w:val="single" w:sz="2" w:space="0" w:color="A6A6A6" w:themeColor="background1" w:themeShade="A6"/>
            </w:tcBorders>
            <w:shd w:val="clear" w:color="auto" w:fill="auto"/>
            <w:vAlign w:val="center"/>
          </w:tcPr>
          <w:p w14:paraId="5F75E94B" w14:textId="77777777" w:rsidR="006C70B4" w:rsidRPr="00C9478A" w:rsidRDefault="006C70B4" w:rsidP="00CC2FE5">
            <w:pPr>
              <w:tabs>
                <w:tab w:val="left" w:pos="153"/>
              </w:tabs>
              <w:spacing w:before="60" w:after="0" w:line="276" w:lineRule="auto"/>
              <w:rPr>
                <w:rFonts w:cs="Arial"/>
                <w:sz w:val="16"/>
                <w:szCs w:val="16"/>
              </w:rPr>
            </w:pPr>
            <w:r w:rsidRPr="00C9478A">
              <w:rPr>
                <w:rFonts w:cs="Arial"/>
                <w:sz w:val="16"/>
                <w:szCs w:val="16"/>
              </w:rPr>
              <w:t>Σημειώσεις:</w:t>
            </w:r>
          </w:p>
          <w:p w14:paraId="72C9A08F" w14:textId="126FA0BB" w:rsidR="006C70B4" w:rsidRPr="00C9478A" w:rsidRDefault="006C70B4" w:rsidP="00CC2FE5">
            <w:pPr>
              <w:pStyle w:val="af0"/>
              <w:numPr>
                <w:ilvl w:val="0"/>
                <w:numId w:val="25"/>
              </w:numPr>
              <w:tabs>
                <w:tab w:val="left" w:pos="170"/>
              </w:tabs>
              <w:spacing w:before="60" w:after="0"/>
              <w:ind w:left="170" w:hanging="170"/>
              <w:contextualSpacing w:val="0"/>
              <w:rPr>
                <w:rFonts w:ascii="Arial" w:hAnsi="Arial" w:cs="Arial"/>
                <w:sz w:val="16"/>
                <w:szCs w:val="16"/>
              </w:rPr>
            </w:pPr>
            <w:r w:rsidRPr="00C9478A">
              <w:rPr>
                <w:rFonts w:ascii="Arial" w:hAnsi="Arial" w:cs="Arial"/>
                <w:sz w:val="16"/>
                <w:szCs w:val="16"/>
              </w:rPr>
              <w:t>Όριο φτώχειας στο κυμαινόμενο σενάριο: 6.707,33 ευρώ για το πρώτο σενάριο του 2025 και 6.980,69 ευρώ για το δεύτερο σενάριο του 2025.</w:t>
            </w:r>
          </w:p>
          <w:p w14:paraId="20A334F1" w14:textId="77777777" w:rsidR="006C70B4" w:rsidRPr="00C9478A" w:rsidRDefault="006C70B4" w:rsidP="00CC2FE5">
            <w:pPr>
              <w:pStyle w:val="af0"/>
              <w:numPr>
                <w:ilvl w:val="0"/>
                <w:numId w:val="25"/>
              </w:numPr>
              <w:tabs>
                <w:tab w:val="left" w:pos="170"/>
              </w:tabs>
              <w:spacing w:before="60" w:after="0"/>
              <w:ind w:left="170" w:hanging="170"/>
              <w:contextualSpacing w:val="0"/>
              <w:rPr>
                <w:rFonts w:ascii="Arial" w:hAnsi="Arial" w:cs="Arial"/>
                <w:sz w:val="16"/>
                <w:szCs w:val="16"/>
              </w:rPr>
            </w:pPr>
            <w:r w:rsidRPr="00C9478A">
              <w:rPr>
                <w:rFonts w:ascii="Arial" w:hAnsi="Arial" w:cs="Arial"/>
                <w:sz w:val="16"/>
                <w:szCs w:val="16"/>
              </w:rPr>
              <w:t>FGT (0) είναι το ποσοστό του πληθυσμού που ζει κάτω από το όριο της φτώχειας και απεικονίζει το ποσοστό των ατόμων των οποίων το εισόδημα είναι κάτω από το 60% του διάμεσου ισοδύναμου διαθέσιμου εισοδήματος.</w:t>
            </w:r>
          </w:p>
          <w:p w14:paraId="0EE3B873" w14:textId="0CEBD0F4" w:rsidR="006C70B4" w:rsidRPr="00C9478A" w:rsidRDefault="006C70B4" w:rsidP="00CC2FE5">
            <w:pPr>
              <w:pStyle w:val="af0"/>
              <w:numPr>
                <w:ilvl w:val="0"/>
                <w:numId w:val="25"/>
              </w:numPr>
              <w:tabs>
                <w:tab w:val="left" w:pos="170"/>
              </w:tabs>
              <w:spacing w:before="60" w:after="0"/>
              <w:ind w:left="170" w:hanging="170"/>
              <w:contextualSpacing w:val="0"/>
              <w:rPr>
                <w:rFonts w:ascii="Arial" w:hAnsi="Arial" w:cs="Arial"/>
                <w:sz w:val="16"/>
                <w:szCs w:val="16"/>
              </w:rPr>
            </w:pPr>
            <w:r w:rsidRPr="00C9478A">
              <w:rPr>
                <w:rFonts w:ascii="Arial" w:hAnsi="Arial" w:cs="Arial"/>
                <w:sz w:val="16"/>
                <w:szCs w:val="16"/>
              </w:rPr>
              <w:t>FGT (1) είναι ο δείκτης του χάσματος φτώχειας, εκπεφρασμένος ως ποσοστό του ορίου φτώχειας και υπολογίζει τον μέσο όρο των διαφορών μεταξύ των ατομικών εισοδημάτων και του 60% του ορίου της φτώχειας μόνο για άτομα με εισοδήματα κάτω από το όριο της φτώχειας.</w:t>
            </w:r>
          </w:p>
        </w:tc>
      </w:tr>
    </w:tbl>
    <w:p w14:paraId="6E307C07" w14:textId="664E4BDC" w:rsidR="009B5AA3" w:rsidRPr="00E84E15" w:rsidRDefault="009B5AA3" w:rsidP="00300BBF">
      <w:pPr>
        <w:pStyle w:val="3"/>
      </w:pPr>
      <w:bookmarkStart w:id="655" w:name="_Toc214473795"/>
      <w:r w:rsidRPr="00E84E15">
        <w:t>Κύριες πηγές κινδύνου για τις δημοσιονομικές προβλέψεις</w:t>
      </w:r>
      <w:bookmarkEnd w:id="655"/>
    </w:p>
    <w:p w14:paraId="55130EA1" w14:textId="77777777" w:rsidR="009B5AA3" w:rsidRPr="008C169B" w:rsidRDefault="009B5AA3" w:rsidP="00300BBF">
      <w:pPr>
        <w:pStyle w:val="4"/>
      </w:pPr>
      <w:bookmarkStart w:id="656" w:name="_Toc214473796"/>
      <w:r w:rsidRPr="008C169B">
        <w:t>Ανάλυση ευαισθησίας</w:t>
      </w:r>
      <w:bookmarkEnd w:id="656"/>
    </w:p>
    <w:p w14:paraId="20EDF70A" w14:textId="6E1FB077" w:rsidR="006155C3" w:rsidRPr="006005BB" w:rsidRDefault="006155C3" w:rsidP="00735135">
      <w:r w:rsidRPr="006005BB">
        <w:t xml:space="preserve">Οι μακροοικονομικές και δημοσιονομικές προβλέψεις του </w:t>
      </w:r>
      <w:r w:rsidR="001C1C8C">
        <w:t>π</w:t>
      </w:r>
      <w:r w:rsidRPr="006005BB">
        <w:t xml:space="preserve">ροϋπολογισμού 2026 υπόκεινται σε κινδύνους και αβεβαιότητες. Υπό τις παρούσες συνθήκες η σημαντικότερη πηγή αβεβαιότητας αφορά στις πιθανές </w:t>
      </w:r>
      <w:r w:rsidR="007A7EEE">
        <w:t>επιπτώσεις</w:t>
      </w:r>
      <w:r w:rsidRPr="006005BB">
        <w:t xml:space="preserve"> της προστατευτικής εμπορικής πολιτικής. Η σχετική αβεβαιότητα έχει </w:t>
      </w:r>
      <w:r w:rsidR="007A7EEE">
        <w:lastRenderedPageBreak/>
        <w:t>αμβλυνθεί</w:t>
      </w:r>
      <w:r w:rsidRPr="006005BB">
        <w:t xml:space="preserve"> ως </w:t>
      </w:r>
      <w:r w:rsidR="007A7EEE">
        <w:t>απόρροια</w:t>
      </w:r>
      <w:r w:rsidRPr="006005BB">
        <w:t xml:space="preserve"> της συμφωνίας μεταξύ ΕΕ και ΗΠΑ ως προς το ύψος των δασμών, ενώ η επίδραση αυτών στην ελληνική οικονομία αναμένεται να είναι περιορισμένη λόγω του σχετικά χαμηλού μεριδίου των ελληνικών εξαγωγών προς τις ΗΠΑ</w:t>
      </w:r>
      <w:r w:rsidR="001C1C8C">
        <w:t>.</w:t>
      </w:r>
      <w:r w:rsidRPr="006005BB">
        <w:t xml:space="preserve"> Εν τούτοις, συνεχίζουν να υφίστανται σημαντικές πηγές κινδύνων και αβεβαιότητας</w:t>
      </w:r>
      <w:r w:rsidR="00CB3580">
        <w:t>,</w:t>
      </w:r>
      <w:r w:rsidRPr="006005BB">
        <w:t xml:space="preserve"> οι οποίες περιλαμβάνουν συγκεκριμένες προβλέψεις της εμπορικής συμφωνίας μεταξύ ΕΕ και ΗΠΑ</w:t>
      </w:r>
      <w:r w:rsidR="00085DD0">
        <w:t>.</w:t>
      </w:r>
      <w:r w:rsidRPr="006005BB">
        <w:t xml:space="preserve"> Επιπλέον, περιλαμβάνουν τις πιθανές επιδράσεις στην ευρωπαϊκή οικονομία από την κατάληξη των εμπορικών διαπραγματεύσεων μεταξύ ΗΠΑ και Κίνας αλλά και </w:t>
      </w:r>
      <w:r w:rsidR="00CB3580">
        <w:t xml:space="preserve">από </w:t>
      </w:r>
      <w:r w:rsidRPr="006005BB">
        <w:t xml:space="preserve">την πορεία της συναλλαγματικής ισοτιμίας μεταξύ ευρώ και </w:t>
      </w:r>
      <w:r w:rsidR="00ED3494" w:rsidRPr="006005BB">
        <w:t>δολαρίου</w:t>
      </w:r>
      <w:r w:rsidRPr="006005BB">
        <w:t>.</w:t>
      </w:r>
    </w:p>
    <w:p w14:paraId="642AEE55" w14:textId="46A0A0E5" w:rsidR="006155C3" w:rsidRPr="006005BB" w:rsidRDefault="006155C3" w:rsidP="00735135">
      <w:r w:rsidRPr="006005BB">
        <w:t>Πέραν των εξελίξεων στο πεδίο των διεθνών εμπορικών σχέσεων, σημαντικοί κίνδυνοι σχετίζονται με τις τρέχουσες γεωπολιτικές εξελίξεις στην Ουκρανία και τη Μέση Ανατολή, οι οποίες μπορεί να έχουν σημαντικές επιπτώσεις στη διεθνή οικονομική δραστηριότητα, ιδίως μέσω των τιμών της ενέργειας.</w:t>
      </w:r>
    </w:p>
    <w:p w14:paraId="5E061974" w14:textId="284A5C0C" w:rsidR="006155C3" w:rsidRPr="006005BB" w:rsidRDefault="006155C3" w:rsidP="00735135">
      <w:r w:rsidRPr="006005BB">
        <w:t>Επιπ</w:t>
      </w:r>
      <w:r w:rsidR="00CB3580">
        <w:t>ρόσθετοι</w:t>
      </w:r>
      <w:r w:rsidRPr="006005BB">
        <w:t xml:space="preserve"> παράγοντες κινδύνου και αβεβαιότητας εντοπίζονται σε σχέση με την ταχύτητα επιστροφής του πληθωρισμού στον μεσοπρόθεσμο </w:t>
      </w:r>
      <w:r w:rsidRPr="00CB3580">
        <w:t>στόχο της Ε</w:t>
      </w:r>
      <w:r w:rsidR="00085DD0" w:rsidRPr="00CB3580">
        <w:t>ΚΤ</w:t>
      </w:r>
      <w:r w:rsidRPr="006005BB">
        <w:t xml:space="preserve"> καθώς και με τις </w:t>
      </w:r>
      <w:r w:rsidR="00CB3580">
        <w:t>επιπτώσεις</w:t>
      </w:r>
      <w:r w:rsidRPr="006005BB">
        <w:t xml:space="preserve"> αυτών των εξελίξεων </w:t>
      </w:r>
      <w:r w:rsidR="00CB3580">
        <w:t>σ</w:t>
      </w:r>
      <w:r w:rsidRPr="006005BB">
        <w:t xml:space="preserve">την πορεία της νομισματικής πολιτικής. Αν και οι εν λόγω κίνδυνοι έχουν μειωθεί σημαντικά, </w:t>
      </w:r>
      <w:r w:rsidR="00CB3580">
        <w:t>ενδεχόμενη</w:t>
      </w:r>
      <w:r w:rsidRPr="006005BB">
        <w:t xml:space="preserve"> διατήρηση ή ενίσχυση των πληθωριστικών πιέσεων </w:t>
      </w:r>
      <w:r w:rsidR="00085DD0">
        <w:t>-</w:t>
      </w:r>
      <w:r w:rsidRPr="006005BB">
        <w:t xml:space="preserve"> ακόμη και σε επίπεδα σαφώς χαμηλότερα σε σχέση με τα προηγούμενα έτη </w:t>
      </w:r>
      <w:r w:rsidR="00085DD0">
        <w:t>-</w:t>
      </w:r>
      <w:r w:rsidRPr="006005BB">
        <w:t xml:space="preserve"> είναι πιθανό να επηρεάσει την οικονομική δραστηριότητα μέσω της επίδρασής της στην καταναλωτική συμπεριφορά των νοικοκυριών και στην επενδυτική ζήτηση.</w:t>
      </w:r>
    </w:p>
    <w:p w14:paraId="2B0B6A88" w14:textId="38476F3F" w:rsidR="006155C3" w:rsidRPr="006005BB" w:rsidRDefault="006155C3" w:rsidP="00735135">
      <w:r w:rsidRPr="006005BB">
        <w:t xml:space="preserve">Η παρούσα ανάλυση ευαισθησίας αποσκοπεί </w:t>
      </w:r>
      <w:r w:rsidR="00CB3580">
        <w:t xml:space="preserve">στην </w:t>
      </w:r>
      <w:r w:rsidRPr="006005BB">
        <w:t>εκτ</w:t>
      </w:r>
      <w:r w:rsidR="00CB3580">
        <w:t>ίμηση</w:t>
      </w:r>
      <w:r w:rsidRPr="006005BB">
        <w:t xml:space="preserve"> τη</w:t>
      </w:r>
      <w:r w:rsidR="00CB3580">
        <w:t>ς</w:t>
      </w:r>
      <w:r w:rsidRPr="006005BB">
        <w:t xml:space="preserve"> πορεία</w:t>
      </w:r>
      <w:r w:rsidR="00CB3580">
        <w:t>ς</w:t>
      </w:r>
      <w:r w:rsidRPr="006005BB">
        <w:t xml:space="preserve"> των κύριων μακροοικονομικών και δημοσιονομικών μεταβλητών κάτω από διαφορετικά εναλλακτικά σενάρια</w:t>
      </w:r>
      <w:r w:rsidR="00CB3580">
        <w:t>,</w:t>
      </w:r>
      <w:r w:rsidRPr="006005BB">
        <w:t xml:space="preserve"> τα οποία αφορούν στην υλοποίηση κάποιων εκ των υφιστάμενων κινδύνων. Συγκεκριμένα, εξετάζονται τρία εναλλακτικά σενάρια, τα οποία υπολογίστηκαν με την χρήση του </w:t>
      </w:r>
      <w:r w:rsidRPr="006005BB">
        <w:rPr>
          <w:lang w:val="en-US"/>
        </w:rPr>
        <w:t>Oxford</w:t>
      </w:r>
      <w:r w:rsidRPr="006005BB">
        <w:t xml:space="preserve"> </w:t>
      </w:r>
      <w:r w:rsidRPr="006005BB">
        <w:rPr>
          <w:lang w:val="en-US"/>
        </w:rPr>
        <w:t>Economic</w:t>
      </w:r>
      <w:r w:rsidRPr="006005BB">
        <w:t xml:space="preserve"> </w:t>
      </w:r>
      <w:r w:rsidRPr="006005BB">
        <w:rPr>
          <w:lang w:val="en-US"/>
        </w:rPr>
        <w:t>Model</w:t>
      </w:r>
      <w:r w:rsidRPr="006005BB">
        <w:t xml:space="preserve">. Το πρώτο σενάριο εξετάζει τις επιπτώσεις μίας ανατίμησης του ευρώ σε σχέση με το </w:t>
      </w:r>
      <w:r w:rsidR="00715543" w:rsidRPr="006005BB">
        <w:t>δολάριο</w:t>
      </w:r>
      <w:r w:rsidRPr="006005BB">
        <w:t xml:space="preserve"> κατά 10%. Το δεύτερο σενάριο εξετάζει τ</w:t>
      </w:r>
      <w:r w:rsidR="00CB3580">
        <w:t>ι</w:t>
      </w:r>
      <w:r w:rsidRPr="006005BB">
        <w:t xml:space="preserve">ς επιπτώσεις μίας αύξησης του επιτοκίου κύριων πράξεων αναχρηματοδότησης της </w:t>
      </w:r>
      <w:r w:rsidR="00085DD0">
        <w:t>ΕΚΤ</w:t>
      </w:r>
      <w:r w:rsidRPr="006005BB">
        <w:t xml:space="preserve"> κατά 100 μονάδες βάσης. Το τρίτο σενάριο εξετάζει τις επιπτώσεις μίας αύξησης της διεθνούς τιμής του πετρελαίου κατά 40 </w:t>
      </w:r>
      <w:r w:rsidR="00715543" w:rsidRPr="006005BB">
        <w:t>δολάρια</w:t>
      </w:r>
      <w:r w:rsidRPr="006005BB">
        <w:t xml:space="preserve"> ανά βαρέλι. Η υπόθεση που γίνεται και στα τρία σενάρια είναι ότι οι παραπάνω εναλλακτικές υποθέσεις παραμένουν σε ισχύ καθ’ όλη τη διάρκεια του 2026.</w:t>
      </w:r>
      <w:r w:rsidR="009D7E38">
        <w:t xml:space="preserve"> Σημειώνεται ότι αυτά τα σενάρια είναι υποθετικά και </w:t>
      </w:r>
      <w:r w:rsidR="00263642">
        <w:t xml:space="preserve">αποσκοπούν στην αποτύπωση </w:t>
      </w:r>
      <w:r w:rsidR="009D7E38">
        <w:t>τη</w:t>
      </w:r>
      <w:r w:rsidR="00263642">
        <w:t>ς</w:t>
      </w:r>
      <w:r w:rsidR="009D7E38">
        <w:t xml:space="preserve"> ευαισθησία</w:t>
      </w:r>
      <w:r w:rsidR="00263642">
        <w:t>ς</w:t>
      </w:r>
      <w:r w:rsidR="009D7E38">
        <w:t xml:space="preserve"> των οικονομικών μεγεθών σε ακραίες διακυμάνσεις των εξωτερικών υποθέσεων.</w:t>
      </w:r>
    </w:p>
    <w:p w14:paraId="7002B2C1" w14:textId="3242151D" w:rsidR="006155C3" w:rsidRDefault="006155C3" w:rsidP="00085DD0">
      <w:pPr>
        <w:spacing w:after="240"/>
      </w:pPr>
      <w:r w:rsidRPr="006005BB">
        <w:t xml:space="preserve">Τα κύρια αποτελέσματα της ανάλυσης ευαισθησίας </w:t>
      </w:r>
      <w:r w:rsidR="009A74CC" w:rsidRPr="0098356F">
        <w:t>αποτυπώνονται</w:t>
      </w:r>
      <w:r w:rsidRPr="0098356F">
        <w:t xml:space="preserve"> </w:t>
      </w:r>
      <w:r w:rsidR="00735135" w:rsidRPr="0098356F">
        <w:t>παρακάτω (</w:t>
      </w:r>
      <w:r w:rsidR="00735135" w:rsidRPr="0098356F">
        <w:fldChar w:fldCharType="begin"/>
      </w:r>
      <w:r w:rsidR="00735135" w:rsidRPr="0098356F">
        <w:instrText xml:space="preserve"> REF _Ref214116721 \h </w:instrText>
      </w:r>
      <w:r w:rsidR="00273D9A" w:rsidRPr="0098356F">
        <w:instrText xml:space="preserve"> \* MERGEFORMAT </w:instrText>
      </w:r>
      <w:r w:rsidR="00735135" w:rsidRPr="0098356F">
        <w:fldChar w:fldCharType="separate"/>
      </w:r>
      <w:r w:rsidR="00E15678" w:rsidRPr="00E15678">
        <w:t>Πίνακας 3.35</w:t>
      </w:r>
      <w:r w:rsidR="00735135" w:rsidRPr="0098356F">
        <w:fldChar w:fldCharType="end"/>
      </w:r>
      <w:r w:rsidR="00735135" w:rsidRPr="0098356F">
        <w:t>.)</w:t>
      </w:r>
      <w:r w:rsidRPr="0098356F">
        <w:t xml:space="preserve">, </w:t>
      </w:r>
      <w:r w:rsidR="009A74CC" w:rsidRPr="0098356F">
        <w:t>όπου</w:t>
      </w:r>
      <w:r w:rsidR="009A74CC">
        <w:t xml:space="preserve"> παρουσιάζονται</w:t>
      </w:r>
      <w:r w:rsidRPr="006005BB">
        <w:t xml:space="preserve"> για κάθε εναλλακτικό σενάριο </w:t>
      </w:r>
      <w:r w:rsidR="009A74CC">
        <w:t>οι</w:t>
      </w:r>
      <w:r w:rsidRPr="006005BB">
        <w:t xml:space="preserve"> αποκλίσεις που προκύπτουν σε σχέση με το βασικό σενάριο του </w:t>
      </w:r>
      <w:r w:rsidR="009A74CC">
        <w:t>π</w:t>
      </w:r>
      <w:r w:rsidRPr="006005BB">
        <w:t xml:space="preserve">ροϋπολογισμού για μία σειρά βασικών μακροοικονομικών και δημοσιονομικών μεταβλητών. Επίσης, </w:t>
      </w:r>
      <w:r w:rsidRPr="0098356F">
        <w:t xml:space="preserve">ο </w:t>
      </w:r>
      <w:r w:rsidR="00735135" w:rsidRPr="0098356F">
        <w:fldChar w:fldCharType="begin"/>
      </w:r>
      <w:r w:rsidR="00735135" w:rsidRPr="0098356F">
        <w:instrText xml:space="preserve"> REF _Ref214116733 \h  \* MERGEFORMAT </w:instrText>
      </w:r>
      <w:r w:rsidR="00735135" w:rsidRPr="0098356F">
        <w:fldChar w:fldCharType="separate"/>
      </w:r>
      <w:r w:rsidR="00E15678" w:rsidRPr="00E15678">
        <w:t>Πίνακας 3.36</w:t>
      </w:r>
      <w:r w:rsidR="00735135" w:rsidRPr="0098356F">
        <w:fldChar w:fldCharType="end"/>
      </w:r>
      <w:r w:rsidR="00735135" w:rsidRPr="0098356F">
        <w:t>.</w:t>
      </w:r>
      <w:r w:rsidRPr="0098356F">
        <w:t xml:space="preserve"> </w:t>
      </w:r>
      <w:r w:rsidR="009A74CC" w:rsidRPr="0098356F">
        <w:t>αποτυπών</w:t>
      </w:r>
      <w:r w:rsidR="009A74CC">
        <w:t>ει</w:t>
      </w:r>
      <w:r w:rsidRPr="006005BB">
        <w:t xml:space="preserve"> τους ετήσιους ρυθμούς μεταβολής των βασικών μακροοικονομικών μεταβλητών, όπως διαμορφώνονται στα τρία εναλλακτικά σενάρια.</w:t>
      </w:r>
    </w:p>
    <w:tbl>
      <w:tblPr>
        <w:tblW w:w="5000" w:type="pct"/>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5787"/>
        <w:gridCol w:w="1093"/>
        <w:gridCol w:w="1093"/>
        <w:gridCol w:w="1091"/>
      </w:tblGrid>
      <w:tr w:rsidR="00CF2891" w:rsidRPr="00735135" w14:paraId="054D8A7B" w14:textId="77777777" w:rsidTr="00122048">
        <w:trPr>
          <w:cantSplit/>
          <w:trHeight w:val="340"/>
          <w:jc w:val="center"/>
        </w:trPr>
        <w:tc>
          <w:tcPr>
            <w:tcW w:w="5000" w:type="pct"/>
            <w:gridSpan w:val="4"/>
            <w:tcBorders>
              <w:top w:val="single" w:sz="2" w:space="0" w:color="A6A6A6" w:themeColor="background1" w:themeShade="A6"/>
              <w:bottom w:val="single" w:sz="2" w:space="0" w:color="A6A6A6" w:themeColor="background1" w:themeShade="A6"/>
            </w:tcBorders>
            <w:shd w:val="clear" w:color="auto" w:fill="D5DCE4"/>
            <w:vAlign w:val="center"/>
            <w:hideMark/>
          </w:tcPr>
          <w:p w14:paraId="2EAB8657" w14:textId="26A9CD2A" w:rsidR="006155C3" w:rsidRPr="00735135" w:rsidRDefault="00735135" w:rsidP="00122048">
            <w:pPr>
              <w:spacing w:after="0" w:line="276" w:lineRule="auto"/>
              <w:jc w:val="center"/>
              <w:rPr>
                <w:rFonts w:cs="Arial"/>
                <w:b/>
                <w:bCs/>
                <w:sz w:val="18"/>
                <w:szCs w:val="18"/>
              </w:rPr>
            </w:pPr>
            <w:bookmarkStart w:id="657" w:name="_Ref214116721"/>
            <w:bookmarkStart w:id="658" w:name="_Toc214474073"/>
            <w:r w:rsidRPr="00735135">
              <w:rPr>
                <w:b/>
                <w:sz w:val="18"/>
                <w:szCs w:val="18"/>
              </w:rPr>
              <w:t>Πίνακας 3.</w:t>
            </w:r>
            <w:r w:rsidRPr="00735135">
              <w:rPr>
                <w:b/>
                <w:sz w:val="18"/>
                <w:szCs w:val="18"/>
              </w:rPr>
              <w:fldChar w:fldCharType="begin"/>
            </w:r>
            <w:r w:rsidRPr="00735135">
              <w:rPr>
                <w:b/>
                <w:sz w:val="18"/>
                <w:szCs w:val="18"/>
              </w:rPr>
              <w:instrText xml:space="preserve"> SEQ Πίνακας_3. \* ARABIC </w:instrText>
            </w:r>
            <w:r w:rsidRPr="00735135">
              <w:rPr>
                <w:b/>
                <w:sz w:val="18"/>
                <w:szCs w:val="18"/>
              </w:rPr>
              <w:fldChar w:fldCharType="separate"/>
            </w:r>
            <w:r w:rsidR="00E15678">
              <w:rPr>
                <w:b/>
                <w:noProof/>
                <w:sz w:val="18"/>
                <w:szCs w:val="18"/>
              </w:rPr>
              <w:t>35</w:t>
            </w:r>
            <w:r w:rsidRPr="00735135">
              <w:rPr>
                <w:b/>
                <w:sz w:val="18"/>
                <w:szCs w:val="18"/>
              </w:rPr>
              <w:fldChar w:fldCharType="end"/>
            </w:r>
            <w:bookmarkEnd w:id="657"/>
            <w:r w:rsidRPr="00735135">
              <w:rPr>
                <w:b/>
                <w:sz w:val="18"/>
                <w:szCs w:val="18"/>
              </w:rPr>
              <w:t>.</w:t>
            </w:r>
            <w:r w:rsidR="006155C3" w:rsidRPr="00735135">
              <w:rPr>
                <w:rFonts w:cs="Arial"/>
                <w:b/>
                <w:bCs/>
                <w:sz w:val="18"/>
                <w:szCs w:val="18"/>
              </w:rPr>
              <w:t>: Αποτελέσματα ανάλυσης ευαισθησίας - αποκλίσεις από το βασικό σενάριο</w:t>
            </w:r>
            <w:bookmarkEnd w:id="658"/>
          </w:p>
        </w:tc>
      </w:tr>
      <w:tr w:rsidR="00CF2891" w:rsidRPr="00122048" w14:paraId="3D53E51E" w14:textId="77777777" w:rsidTr="0081168C">
        <w:trPr>
          <w:cantSplit/>
          <w:trHeight w:val="283"/>
          <w:jc w:val="center"/>
        </w:trPr>
        <w:tc>
          <w:tcPr>
            <w:tcW w:w="3192" w:type="pct"/>
            <w:tcBorders>
              <w:top w:val="single" w:sz="2" w:space="0" w:color="A6A6A6" w:themeColor="background1" w:themeShade="A6"/>
              <w:bottom w:val="single" w:sz="2" w:space="0" w:color="A6A6A6" w:themeColor="background1" w:themeShade="A6"/>
            </w:tcBorders>
            <w:shd w:val="clear" w:color="auto" w:fill="auto"/>
            <w:noWrap/>
            <w:vAlign w:val="center"/>
          </w:tcPr>
          <w:p w14:paraId="0AC6401E" w14:textId="30D474BE" w:rsidR="006155C3" w:rsidRPr="00122048" w:rsidRDefault="006155C3" w:rsidP="00122048">
            <w:pPr>
              <w:spacing w:after="0" w:line="276" w:lineRule="auto"/>
              <w:jc w:val="center"/>
              <w:rPr>
                <w:rFonts w:cs="Arial"/>
                <w:b/>
                <w:sz w:val="16"/>
                <w:szCs w:val="16"/>
              </w:rPr>
            </w:pPr>
          </w:p>
        </w:tc>
        <w:tc>
          <w:tcPr>
            <w:tcW w:w="603" w:type="pct"/>
            <w:tcBorders>
              <w:top w:val="single" w:sz="2" w:space="0" w:color="A6A6A6" w:themeColor="background1" w:themeShade="A6"/>
              <w:bottom w:val="single" w:sz="2" w:space="0" w:color="A6A6A6" w:themeColor="background1" w:themeShade="A6"/>
            </w:tcBorders>
            <w:shd w:val="clear" w:color="auto" w:fill="auto"/>
            <w:noWrap/>
            <w:vAlign w:val="center"/>
            <w:hideMark/>
          </w:tcPr>
          <w:p w14:paraId="7296718C" w14:textId="77777777" w:rsidR="006155C3" w:rsidRPr="004014E4" w:rsidRDefault="006155C3" w:rsidP="00122048">
            <w:pPr>
              <w:spacing w:after="0" w:line="276" w:lineRule="auto"/>
              <w:jc w:val="center"/>
              <w:rPr>
                <w:rFonts w:cs="Arial"/>
                <w:b/>
                <w:sz w:val="16"/>
                <w:szCs w:val="16"/>
              </w:rPr>
            </w:pPr>
            <w:r w:rsidRPr="004014E4">
              <w:rPr>
                <w:rFonts w:cs="Arial"/>
                <w:b/>
                <w:sz w:val="16"/>
                <w:szCs w:val="16"/>
              </w:rPr>
              <w:t>Σενάριο 1</w:t>
            </w:r>
          </w:p>
        </w:tc>
        <w:tc>
          <w:tcPr>
            <w:tcW w:w="603" w:type="pct"/>
            <w:tcBorders>
              <w:top w:val="single" w:sz="2" w:space="0" w:color="A6A6A6" w:themeColor="background1" w:themeShade="A6"/>
              <w:bottom w:val="single" w:sz="2" w:space="0" w:color="A6A6A6" w:themeColor="background1" w:themeShade="A6"/>
            </w:tcBorders>
            <w:shd w:val="clear" w:color="auto" w:fill="auto"/>
            <w:noWrap/>
            <w:vAlign w:val="center"/>
            <w:hideMark/>
          </w:tcPr>
          <w:p w14:paraId="108EFFF9" w14:textId="77777777" w:rsidR="006155C3" w:rsidRPr="004014E4" w:rsidRDefault="006155C3" w:rsidP="00122048">
            <w:pPr>
              <w:spacing w:after="0" w:line="276" w:lineRule="auto"/>
              <w:jc w:val="center"/>
              <w:rPr>
                <w:rFonts w:cs="Arial"/>
                <w:b/>
                <w:sz w:val="16"/>
                <w:szCs w:val="16"/>
              </w:rPr>
            </w:pPr>
            <w:r w:rsidRPr="004014E4">
              <w:rPr>
                <w:rFonts w:cs="Arial"/>
                <w:b/>
                <w:sz w:val="16"/>
                <w:szCs w:val="16"/>
              </w:rPr>
              <w:t>Σενάριο 2</w:t>
            </w:r>
          </w:p>
        </w:tc>
        <w:tc>
          <w:tcPr>
            <w:tcW w:w="602" w:type="pct"/>
            <w:tcBorders>
              <w:top w:val="single" w:sz="2" w:space="0" w:color="A6A6A6" w:themeColor="background1" w:themeShade="A6"/>
              <w:bottom w:val="single" w:sz="2" w:space="0" w:color="A6A6A6" w:themeColor="background1" w:themeShade="A6"/>
            </w:tcBorders>
            <w:shd w:val="clear" w:color="auto" w:fill="auto"/>
            <w:noWrap/>
            <w:vAlign w:val="center"/>
            <w:hideMark/>
          </w:tcPr>
          <w:p w14:paraId="58FEAD86" w14:textId="77777777" w:rsidR="006155C3" w:rsidRPr="00122048" w:rsidRDefault="006155C3" w:rsidP="00122048">
            <w:pPr>
              <w:spacing w:after="0" w:line="276" w:lineRule="auto"/>
              <w:jc w:val="center"/>
              <w:rPr>
                <w:rFonts w:cs="Arial"/>
                <w:b/>
                <w:sz w:val="16"/>
                <w:szCs w:val="16"/>
              </w:rPr>
            </w:pPr>
            <w:r w:rsidRPr="004014E4">
              <w:rPr>
                <w:rFonts w:cs="Arial"/>
                <w:b/>
                <w:sz w:val="16"/>
                <w:szCs w:val="16"/>
              </w:rPr>
              <w:t>Σενάριο 3</w:t>
            </w:r>
          </w:p>
        </w:tc>
      </w:tr>
      <w:tr w:rsidR="00CF2891" w:rsidRPr="00122048" w14:paraId="420EC94A" w14:textId="77777777" w:rsidTr="004014E4">
        <w:trPr>
          <w:cantSplit/>
          <w:jc w:val="center"/>
        </w:trPr>
        <w:tc>
          <w:tcPr>
            <w:tcW w:w="3192" w:type="pct"/>
            <w:tcBorders>
              <w:top w:val="single" w:sz="2" w:space="0" w:color="A6A6A6" w:themeColor="background1" w:themeShade="A6"/>
            </w:tcBorders>
            <w:shd w:val="clear" w:color="auto" w:fill="F2F2F2" w:themeFill="background1" w:themeFillShade="F2"/>
            <w:noWrap/>
            <w:vAlign w:val="center"/>
          </w:tcPr>
          <w:p w14:paraId="568977E7" w14:textId="618F6720" w:rsidR="006155C3" w:rsidRPr="00122048" w:rsidRDefault="006155C3" w:rsidP="00122048">
            <w:pPr>
              <w:spacing w:after="0" w:line="276" w:lineRule="auto"/>
              <w:jc w:val="center"/>
              <w:rPr>
                <w:rFonts w:cs="Arial"/>
                <w:b/>
                <w:sz w:val="16"/>
                <w:szCs w:val="16"/>
              </w:rPr>
            </w:pPr>
          </w:p>
        </w:tc>
        <w:tc>
          <w:tcPr>
            <w:tcW w:w="1808" w:type="pct"/>
            <w:gridSpan w:val="3"/>
            <w:tcBorders>
              <w:top w:val="single" w:sz="2" w:space="0" w:color="A6A6A6" w:themeColor="background1" w:themeShade="A6"/>
            </w:tcBorders>
            <w:shd w:val="clear" w:color="auto" w:fill="F2F2F2" w:themeFill="background1" w:themeFillShade="F2"/>
            <w:vAlign w:val="center"/>
            <w:hideMark/>
          </w:tcPr>
          <w:p w14:paraId="1D3A8C36" w14:textId="77777777" w:rsidR="00122048" w:rsidRPr="00122048" w:rsidRDefault="006155C3" w:rsidP="00122048">
            <w:pPr>
              <w:spacing w:after="0" w:line="276" w:lineRule="auto"/>
              <w:jc w:val="center"/>
              <w:rPr>
                <w:rFonts w:cs="Arial"/>
                <w:b/>
                <w:i/>
                <w:iCs/>
                <w:sz w:val="16"/>
                <w:szCs w:val="16"/>
              </w:rPr>
            </w:pPr>
            <w:r w:rsidRPr="00122048">
              <w:rPr>
                <w:rFonts w:cs="Arial"/>
                <w:b/>
                <w:i/>
                <w:iCs/>
                <w:sz w:val="16"/>
                <w:szCs w:val="16"/>
              </w:rPr>
              <w:t>Ποσοστιαίες αποκλίσεις από το</w:t>
            </w:r>
          </w:p>
          <w:p w14:paraId="72C9C81C" w14:textId="68AF0408" w:rsidR="006155C3" w:rsidRPr="00122048" w:rsidRDefault="006155C3" w:rsidP="00122048">
            <w:pPr>
              <w:spacing w:after="0" w:line="276" w:lineRule="auto"/>
              <w:jc w:val="center"/>
              <w:rPr>
                <w:rFonts w:cs="Arial"/>
                <w:b/>
                <w:i/>
                <w:iCs/>
                <w:sz w:val="16"/>
                <w:szCs w:val="16"/>
              </w:rPr>
            </w:pPr>
            <w:r w:rsidRPr="00122048">
              <w:rPr>
                <w:rFonts w:cs="Arial"/>
                <w:b/>
                <w:i/>
                <w:iCs/>
                <w:sz w:val="16"/>
                <w:szCs w:val="16"/>
              </w:rPr>
              <w:t>βασικό σενάριο</w:t>
            </w:r>
          </w:p>
        </w:tc>
      </w:tr>
      <w:tr w:rsidR="00CF2891" w:rsidRPr="00CF2891" w14:paraId="4647E095" w14:textId="77777777" w:rsidTr="00002918">
        <w:trPr>
          <w:cantSplit/>
          <w:trHeight w:val="227"/>
          <w:jc w:val="center"/>
        </w:trPr>
        <w:tc>
          <w:tcPr>
            <w:tcW w:w="3192" w:type="pct"/>
            <w:shd w:val="clear" w:color="auto" w:fill="auto"/>
            <w:noWrap/>
            <w:vAlign w:val="center"/>
            <w:hideMark/>
          </w:tcPr>
          <w:p w14:paraId="4C4D041C" w14:textId="77777777" w:rsidR="006155C3" w:rsidRPr="00CF2891" w:rsidRDefault="006155C3" w:rsidP="00122048">
            <w:pPr>
              <w:spacing w:after="0" w:line="276" w:lineRule="auto"/>
              <w:jc w:val="left"/>
              <w:rPr>
                <w:rFonts w:cs="Arial"/>
                <w:sz w:val="16"/>
                <w:szCs w:val="16"/>
              </w:rPr>
            </w:pPr>
            <w:r w:rsidRPr="00CF2891">
              <w:rPr>
                <w:rFonts w:cs="Arial"/>
                <w:sz w:val="16"/>
                <w:szCs w:val="16"/>
              </w:rPr>
              <w:t>Ονομαστικό ΑΕΠ</w:t>
            </w:r>
          </w:p>
        </w:tc>
        <w:tc>
          <w:tcPr>
            <w:tcW w:w="603" w:type="pct"/>
            <w:shd w:val="clear" w:color="auto" w:fill="auto"/>
            <w:noWrap/>
            <w:vAlign w:val="center"/>
            <w:hideMark/>
          </w:tcPr>
          <w:p w14:paraId="41A3730C" w14:textId="77777777" w:rsidR="006155C3" w:rsidRPr="00CF2891" w:rsidRDefault="006155C3" w:rsidP="00002918">
            <w:pPr>
              <w:spacing w:after="0" w:line="276" w:lineRule="auto"/>
              <w:jc w:val="center"/>
              <w:rPr>
                <w:rFonts w:cs="Arial"/>
                <w:sz w:val="16"/>
                <w:szCs w:val="16"/>
              </w:rPr>
            </w:pPr>
            <w:r w:rsidRPr="00CF2891">
              <w:rPr>
                <w:rFonts w:cs="Arial"/>
                <w:sz w:val="16"/>
                <w:szCs w:val="16"/>
              </w:rPr>
              <w:t>-1,10%</w:t>
            </w:r>
          </w:p>
        </w:tc>
        <w:tc>
          <w:tcPr>
            <w:tcW w:w="603" w:type="pct"/>
            <w:shd w:val="clear" w:color="auto" w:fill="auto"/>
            <w:noWrap/>
            <w:vAlign w:val="center"/>
            <w:hideMark/>
          </w:tcPr>
          <w:p w14:paraId="36817B23" w14:textId="77777777" w:rsidR="006155C3" w:rsidRPr="00CF2891" w:rsidRDefault="006155C3" w:rsidP="00002918">
            <w:pPr>
              <w:spacing w:after="0" w:line="276" w:lineRule="auto"/>
              <w:jc w:val="center"/>
              <w:rPr>
                <w:rFonts w:cs="Arial"/>
                <w:sz w:val="16"/>
                <w:szCs w:val="16"/>
              </w:rPr>
            </w:pPr>
            <w:r w:rsidRPr="00CF2891">
              <w:rPr>
                <w:rFonts w:cs="Arial"/>
                <w:sz w:val="16"/>
                <w:szCs w:val="16"/>
              </w:rPr>
              <w:t>-0,39%</w:t>
            </w:r>
          </w:p>
        </w:tc>
        <w:tc>
          <w:tcPr>
            <w:tcW w:w="602" w:type="pct"/>
            <w:shd w:val="clear" w:color="auto" w:fill="auto"/>
            <w:noWrap/>
            <w:vAlign w:val="center"/>
            <w:hideMark/>
          </w:tcPr>
          <w:p w14:paraId="205DB726" w14:textId="77777777" w:rsidR="006155C3" w:rsidRPr="00CF2891" w:rsidRDefault="006155C3" w:rsidP="00002918">
            <w:pPr>
              <w:spacing w:after="0" w:line="276" w:lineRule="auto"/>
              <w:jc w:val="center"/>
              <w:rPr>
                <w:rFonts w:cs="Arial"/>
                <w:sz w:val="16"/>
                <w:szCs w:val="16"/>
              </w:rPr>
            </w:pPr>
            <w:r w:rsidRPr="00CF2891">
              <w:rPr>
                <w:rFonts w:cs="Arial"/>
                <w:sz w:val="16"/>
                <w:szCs w:val="16"/>
              </w:rPr>
              <w:t>+0,90%</w:t>
            </w:r>
          </w:p>
        </w:tc>
      </w:tr>
      <w:tr w:rsidR="00CF2891" w:rsidRPr="00CF2891" w14:paraId="1124834A" w14:textId="77777777" w:rsidTr="00002918">
        <w:trPr>
          <w:cantSplit/>
          <w:trHeight w:val="227"/>
          <w:jc w:val="center"/>
        </w:trPr>
        <w:tc>
          <w:tcPr>
            <w:tcW w:w="3192" w:type="pct"/>
            <w:shd w:val="clear" w:color="auto" w:fill="auto"/>
            <w:noWrap/>
            <w:vAlign w:val="center"/>
            <w:hideMark/>
          </w:tcPr>
          <w:p w14:paraId="4E7F7B4F" w14:textId="77777777" w:rsidR="006155C3" w:rsidRPr="00CF2891" w:rsidRDefault="006155C3" w:rsidP="00122048">
            <w:pPr>
              <w:spacing w:after="0" w:line="276" w:lineRule="auto"/>
              <w:jc w:val="left"/>
              <w:rPr>
                <w:rFonts w:cs="Arial"/>
                <w:sz w:val="16"/>
                <w:szCs w:val="16"/>
              </w:rPr>
            </w:pPr>
            <w:r w:rsidRPr="00CF2891">
              <w:rPr>
                <w:rFonts w:cs="Arial"/>
                <w:sz w:val="16"/>
                <w:szCs w:val="16"/>
              </w:rPr>
              <w:t>Πραγματικό ΑΕΠ</w:t>
            </w:r>
          </w:p>
        </w:tc>
        <w:tc>
          <w:tcPr>
            <w:tcW w:w="603" w:type="pct"/>
            <w:shd w:val="clear" w:color="auto" w:fill="auto"/>
            <w:noWrap/>
            <w:vAlign w:val="center"/>
            <w:hideMark/>
          </w:tcPr>
          <w:p w14:paraId="0BAA74F9" w14:textId="77777777" w:rsidR="006155C3" w:rsidRPr="00CF2891" w:rsidRDefault="006155C3" w:rsidP="00002918">
            <w:pPr>
              <w:spacing w:after="0" w:line="276" w:lineRule="auto"/>
              <w:jc w:val="center"/>
              <w:rPr>
                <w:rFonts w:cs="Arial"/>
                <w:sz w:val="16"/>
                <w:szCs w:val="16"/>
              </w:rPr>
            </w:pPr>
            <w:r w:rsidRPr="00CF2891">
              <w:rPr>
                <w:rFonts w:cs="Arial"/>
                <w:sz w:val="16"/>
                <w:szCs w:val="16"/>
              </w:rPr>
              <w:t>-0,31%</w:t>
            </w:r>
          </w:p>
        </w:tc>
        <w:tc>
          <w:tcPr>
            <w:tcW w:w="603" w:type="pct"/>
            <w:shd w:val="clear" w:color="auto" w:fill="auto"/>
            <w:noWrap/>
            <w:vAlign w:val="center"/>
            <w:hideMark/>
          </w:tcPr>
          <w:p w14:paraId="25561DD2" w14:textId="77777777" w:rsidR="006155C3" w:rsidRPr="00CF2891" w:rsidRDefault="006155C3" w:rsidP="00002918">
            <w:pPr>
              <w:spacing w:after="0" w:line="276" w:lineRule="auto"/>
              <w:jc w:val="center"/>
              <w:rPr>
                <w:rFonts w:cs="Arial"/>
                <w:sz w:val="16"/>
                <w:szCs w:val="16"/>
              </w:rPr>
            </w:pPr>
            <w:r w:rsidRPr="00CF2891">
              <w:rPr>
                <w:rFonts w:cs="Arial"/>
                <w:sz w:val="16"/>
                <w:szCs w:val="16"/>
              </w:rPr>
              <w:t>-0,21%</w:t>
            </w:r>
          </w:p>
        </w:tc>
        <w:tc>
          <w:tcPr>
            <w:tcW w:w="602" w:type="pct"/>
            <w:shd w:val="clear" w:color="auto" w:fill="auto"/>
            <w:noWrap/>
            <w:vAlign w:val="center"/>
            <w:hideMark/>
          </w:tcPr>
          <w:p w14:paraId="73C2BEF4" w14:textId="77777777" w:rsidR="006155C3" w:rsidRPr="00CF2891" w:rsidRDefault="006155C3" w:rsidP="00002918">
            <w:pPr>
              <w:spacing w:after="0" w:line="276" w:lineRule="auto"/>
              <w:jc w:val="center"/>
              <w:rPr>
                <w:rFonts w:cs="Arial"/>
                <w:sz w:val="16"/>
                <w:szCs w:val="16"/>
              </w:rPr>
            </w:pPr>
            <w:r w:rsidRPr="00CF2891">
              <w:rPr>
                <w:rFonts w:cs="Arial"/>
                <w:sz w:val="16"/>
                <w:szCs w:val="16"/>
              </w:rPr>
              <w:t>-0,45%</w:t>
            </w:r>
          </w:p>
        </w:tc>
      </w:tr>
      <w:tr w:rsidR="00CF2891" w:rsidRPr="00CF2891" w14:paraId="36D1B322" w14:textId="77777777" w:rsidTr="00002918">
        <w:trPr>
          <w:cantSplit/>
          <w:trHeight w:val="227"/>
          <w:jc w:val="center"/>
        </w:trPr>
        <w:tc>
          <w:tcPr>
            <w:tcW w:w="3192" w:type="pct"/>
            <w:shd w:val="clear" w:color="auto" w:fill="auto"/>
            <w:noWrap/>
            <w:vAlign w:val="center"/>
            <w:hideMark/>
          </w:tcPr>
          <w:p w14:paraId="40CD700B" w14:textId="77777777" w:rsidR="006155C3" w:rsidRPr="00CF2891" w:rsidRDefault="006155C3" w:rsidP="00122048">
            <w:pPr>
              <w:spacing w:after="0" w:line="276" w:lineRule="auto"/>
              <w:jc w:val="left"/>
              <w:rPr>
                <w:rFonts w:cs="Arial"/>
                <w:sz w:val="16"/>
                <w:szCs w:val="16"/>
              </w:rPr>
            </w:pPr>
            <w:r w:rsidRPr="00CF2891">
              <w:rPr>
                <w:rFonts w:cs="Arial"/>
                <w:sz w:val="16"/>
                <w:szCs w:val="16"/>
              </w:rPr>
              <w:t>Ιδιωτική κατανάλωση (σταθερές τιμές)</w:t>
            </w:r>
          </w:p>
        </w:tc>
        <w:tc>
          <w:tcPr>
            <w:tcW w:w="603" w:type="pct"/>
            <w:shd w:val="clear" w:color="auto" w:fill="auto"/>
            <w:noWrap/>
            <w:vAlign w:val="center"/>
            <w:hideMark/>
          </w:tcPr>
          <w:p w14:paraId="24503EBF" w14:textId="77777777" w:rsidR="006155C3" w:rsidRPr="00CF2891" w:rsidRDefault="006155C3" w:rsidP="00002918">
            <w:pPr>
              <w:spacing w:after="0" w:line="276" w:lineRule="auto"/>
              <w:jc w:val="center"/>
              <w:rPr>
                <w:rFonts w:cs="Arial"/>
                <w:sz w:val="16"/>
                <w:szCs w:val="16"/>
              </w:rPr>
            </w:pPr>
            <w:r w:rsidRPr="00CF2891">
              <w:rPr>
                <w:rFonts w:cs="Arial"/>
                <w:sz w:val="16"/>
                <w:szCs w:val="16"/>
              </w:rPr>
              <w:t>+0,14%</w:t>
            </w:r>
          </w:p>
        </w:tc>
        <w:tc>
          <w:tcPr>
            <w:tcW w:w="603" w:type="pct"/>
            <w:shd w:val="clear" w:color="auto" w:fill="auto"/>
            <w:noWrap/>
            <w:vAlign w:val="center"/>
            <w:hideMark/>
          </w:tcPr>
          <w:p w14:paraId="3583FCAE" w14:textId="77777777" w:rsidR="006155C3" w:rsidRPr="00CF2891" w:rsidRDefault="006155C3" w:rsidP="00002918">
            <w:pPr>
              <w:spacing w:after="0" w:line="276" w:lineRule="auto"/>
              <w:jc w:val="center"/>
              <w:rPr>
                <w:rFonts w:cs="Arial"/>
                <w:sz w:val="16"/>
                <w:szCs w:val="16"/>
              </w:rPr>
            </w:pPr>
            <w:r w:rsidRPr="00CF2891">
              <w:rPr>
                <w:rFonts w:cs="Arial"/>
                <w:sz w:val="16"/>
                <w:szCs w:val="16"/>
              </w:rPr>
              <w:t>-0,22%</w:t>
            </w:r>
          </w:p>
        </w:tc>
        <w:tc>
          <w:tcPr>
            <w:tcW w:w="602" w:type="pct"/>
            <w:shd w:val="clear" w:color="auto" w:fill="auto"/>
            <w:noWrap/>
            <w:vAlign w:val="center"/>
            <w:hideMark/>
          </w:tcPr>
          <w:p w14:paraId="23816A24" w14:textId="77777777" w:rsidR="006155C3" w:rsidRPr="00CF2891" w:rsidRDefault="006155C3" w:rsidP="00002918">
            <w:pPr>
              <w:spacing w:after="0" w:line="276" w:lineRule="auto"/>
              <w:jc w:val="center"/>
              <w:rPr>
                <w:rFonts w:cs="Arial"/>
                <w:sz w:val="16"/>
                <w:szCs w:val="16"/>
              </w:rPr>
            </w:pPr>
            <w:r w:rsidRPr="00CF2891">
              <w:rPr>
                <w:rFonts w:cs="Arial"/>
                <w:sz w:val="16"/>
                <w:szCs w:val="16"/>
              </w:rPr>
              <w:t>-0,68%</w:t>
            </w:r>
          </w:p>
        </w:tc>
      </w:tr>
      <w:tr w:rsidR="00CF2891" w:rsidRPr="00CF2891" w14:paraId="68720BDA" w14:textId="77777777" w:rsidTr="00002918">
        <w:trPr>
          <w:cantSplit/>
          <w:trHeight w:val="227"/>
          <w:jc w:val="center"/>
        </w:trPr>
        <w:tc>
          <w:tcPr>
            <w:tcW w:w="3192" w:type="pct"/>
            <w:shd w:val="clear" w:color="auto" w:fill="auto"/>
            <w:noWrap/>
            <w:vAlign w:val="center"/>
            <w:hideMark/>
          </w:tcPr>
          <w:p w14:paraId="25D1E0D7" w14:textId="77777777" w:rsidR="006155C3" w:rsidRPr="00CF2891" w:rsidRDefault="006155C3" w:rsidP="00122048">
            <w:pPr>
              <w:spacing w:after="0" w:line="276" w:lineRule="auto"/>
              <w:jc w:val="left"/>
              <w:rPr>
                <w:rFonts w:cs="Arial"/>
                <w:sz w:val="16"/>
                <w:szCs w:val="16"/>
              </w:rPr>
            </w:pPr>
            <w:r w:rsidRPr="00CF2891">
              <w:rPr>
                <w:rFonts w:cs="Arial"/>
                <w:sz w:val="16"/>
                <w:szCs w:val="16"/>
              </w:rPr>
              <w:t>Ακαθάριστος σχηματισμός παγίου κεφαλαίου (σταθερές τιμές)</w:t>
            </w:r>
          </w:p>
        </w:tc>
        <w:tc>
          <w:tcPr>
            <w:tcW w:w="603" w:type="pct"/>
            <w:shd w:val="clear" w:color="auto" w:fill="auto"/>
            <w:noWrap/>
            <w:vAlign w:val="center"/>
            <w:hideMark/>
          </w:tcPr>
          <w:p w14:paraId="7FAB6880" w14:textId="77777777" w:rsidR="006155C3" w:rsidRPr="00CF2891" w:rsidRDefault="006155C3" w:rsidP="00002918">
            <w:pPr>
              <w:spacing w:after="0" w:line="276" w:lineRule="auto"/>
              <w:jc w:val="center"/>
              <w:rPr>
                <w:rFonts w:cs="Arial"/>
                <w:sz w:val="16"/>
                <w:szCs w:val="16"/>
              </w:rPr>
            </w:pPr>
            <w:r w:rsidRPr="00CF2891">
              <w:rPr>
                <w:rFonts w:cs="Arial"/>
                <w:sz w:val="16"/>
                <w:szCs w:val="16"/>
              </w:rPr>
              <w:t>-0,34%</w:t>
            </w:r>
          </w:p>
        </w:tc>
        <w:tc>
          <w:tcPr>
            <w:tcW w:w="603" w:type="pct"/>
            <w:shd w:val="clear" w:color="auto" w:fill="auto"/>
            <w:noWrap/>
            <w:vAlign w:val="center"/>
            <w:hideMark/>
          </w:tcPr>
          <w:p w14:paraId="6DD4F2E1" w14:textId="77777777" w:rsidR="006155C3" w:rsidRPr="00CF2891" w:rsidRDefault="006155C3" w:rsidP="00002918">
            <w:pPr>
              <w:spacing w:after="0" w:line="276" w:lineRule="auto"/>
              <w:jc w:val="center"/>
              <w:rPr>
                <w:rFonts w:cs="Arial"/>
                <w:sz w:val="16"/>
                <w:szCs w:val="16"/>
              </w:rPr>
            </w:pPr>
            <w:r w:rsidRPr="00CF2891">
              <w:rPr>
                <w:rFonts w:cs="Arial"/>
                <w:sz w:val="16"/>
                <w:szCs w:val="16"/>
              </w:rPr>
              <w:t>-0,27%</w:t>
            </w:r>
          </w:p>
        </w:tc>
        <w:tc>
          <w:tcPr>
            <w:tcW w:w="602" w:type="pct"/>
            <w:shd w:val="clear" w:color="auto" w:fill="auto"/>
            <w:noWrap/>
            <w:vAlign w:val="center"/>
            <w:hideMark/>
          </w:tcPr>
          <w:p w14:paraId="1D768FA9" w14:textId="77777777" w:rsidR="006155C3" w:rsidRPr="00CF2891" w:rsidRDefault="006155C3" w:rsidP="00002918">
            <w:pPr>
              <w:spacing w:after="0" w:line="276" w:lineRule="auto"/>
              <w:jc w:val="center"/>
              <w:rPr>
                <w:rFonts w:cs="Arial"/>
                <w:sz w:val="16"/>
                <w:szCs w:val="16"/>
              </w:rPr>
            </w:pPr>
            <w:r w:rsidRPr="00CF2891">
              <w:rPr>
                <w:rFonts w:cs="Arial"/>
                <w:sz w:val="16"/>
                <w:szCs w:val="16"/>
              </w:rPr>
              <w:t>-0,85%</w:t>
            </w:r>
          </w:p>
        </w:tc>
      </w:tr>
      <w:tr w:rsidR="00CF2891" w:rsidRPr="00CF2891" w14:paraId="05172FE5" w14:textId="77777777" w:rsidTr="00002918">
        <w:trPr>
          <w:cantSplit/>
          <w:trHeight w:val="227"/>
          <w:jc w:val="center"/>
        </w:trPr>
        <w:tc>
          <w:tcPr>
            <w:tcW w:w="3192" w:type="pct"/>
            <w:shd w:val="clear" w:color="auto" w:fill="auto"/>
            <w:noWrap/>
            <w:vAlign w:val="center"/>
            <w:hideMark/>
          </w:tcPr>
          <w:p w14:paraId="7A3D92A4" w14:textId="77777777" w:rsidR="006155C3" w:rsidRPr="00CF2891" w:rsidRDefault="006155C3" w:rsidP="00122048">
            <w:pPr>
              <w:spacing w:after="0" w:line="276" w:lineRule="auto"/>
              <w:jc w:val="left"/>
              <w:rPr>
                <w:rFonts w:cs="Arial"/>
                <w:sz w:val="16"/>
                <w:szCs w:val="16"/>
              </w:rPr>
            </w:pPr>
            <w:r w:rsidRPr="00CF2891">
              <w:rPr>
                <w:rFonts w:cs="Arial"/>
                <w:sz w:val="16"/>
                <w:szCs w:val="16"/>
              </w:rPr>
              <w:t>Εξαγωγές (σταθερές τιμές)</w:t>
            </w:r>
          </w:p>
        </w:tc>
        <w:tc>
          <w:tcPr>
            <w:tcW w:w="603" w:type="pct"/>
            <w:shd w:val="clear" w:color="auto" w:fill="auto"/>
            <w:noWrap/>
            <w:vAlign w:val="center"/>
            <w:hideMark/>
          </w:tcPr>
          <w:p w14:paraId="272FA5BA" w14:textId="77777777" w:rsidR="006155C3" w:rsidRPr="00CF2891" w:rsidRDefault="006155C3" w:rsidP="00002918">
            <w:pPr>
              <w:spacing w:after="0" w:line="276" w:lineRule="auto"/>
              <w:jc w:val="center"/>
              <w:rPr>
                <w:rFonts w:cs="Arial"/>
                <w:sz w:val="16"/>
                <w:szCs w:val="16"/>
              </w:rPr>
            </w:pPr>
            <w:r w:rsidRPr="00CF2891">
              <w:rPr>
                <w:rFonts w:cs="Arial"/>
                <w:sz w:val="16"/>
                <w:szCs w:val="16"/>
              </w:rPr>
              <w:t>-0,62%</w:t>
            </w:r>
          </w:p>
        </w:tc>
        <w:tc>
          <w:tcPr>
            <w:tcW w:w="603" w:type="pct"/>
            <w:shd w:val="clear" w:color="auto" w:fill="auto"/>
            <w:noWrap/>
            <w:vAlign w:val="center"/>
            <w:hideMark/>
          </w:tcPr>
          <w:p w14:paraId="69F585B1" w14:textId="77777777" w:rsidR="006155C3" w:rsidRPr="00CF2891" w:rsidRDefault="006155C3" w:rsidP="00002918">
            <w:pPr>
              <w:spacing w:after="0" w:line="276" w:lineRule="auto"/>
              <w:jc w:val="center"/>
              <w:rPr>
                <w:rFonts w:cs="Arial"/>
                <w:sz w:val="16"/>
                <w:szCs w:val="16"/>
              </w:rPr>
            </w:pPr>
            <w:r w:rsidRPr="00CF2891">
              <w:rPr>
                <w:rFonts w:cs="Arial"/>
                <w:sz w:val="16"/>
                <w:szCs w:val="16"/>
              </w:rPr>
              <w:t>-0,18%</w:t>
            </w:r>
          </w:p>
        </w:tc>
        <w:tc>
          <w:tcPr>
            <w:tcW w:w="602" w:type="pct"/>
            <w:shd w:val="clear" w:color="auto" w:fill="auto"/>
            <w:noWrap/>
            <w:vAlign w:val="center"/>
            <w:hideMark/>
          </w:tcPr>
          <w:p w14:paraId="0B16CF31" w14:textId="77777777" w:rsidR="006155C3" w:rsidRPr="00CF2891" w:rsidRDefault="006155C3" w:rsidP="00002918">
            <w:pPr>
              <w:spacing w:after="0" w:line="276" w:lineRule="auto"/>
              <w:jc w:val="center"/>
              <w:rPr>
                <w:rFonts w:cs="Arial"/>
                <w:sz w:val="16"/>
                <w:szCs w:val="16"/>
              </w:rPr>
            </w:pPr>
            <w:r w:rsidRPr="00CF2891">
              <w:rPr>
                <w:rFonts w:cs="Arial"/>
                <w:sz w:val="16"/>
                <w:szCs w:val="16"/>
              </w:rPr>
              <w:t>-0,30%</w:t>
            </w:r>
          </w:p>
        </w:tc>
      </w:tr>
      <w:tr w:rsidR="00CF2891" w:rsidRPr="00CF2891" w14:paraId="342C92B3" w14:textId="77777777" w:rsidTr="00002918">
        <w:trPr>
          <w:cantSplit/>
          <w:trHeight w:val="227"/>
          <w:jc w:val="center"/>
        </w:trPr>
        <w:tc>
          <w:tcPr>
            <w:tcW w:w="3192" w:type="pct"/>
            <w:shd w:val="clear" w:color="auto" w:fill="auto"/>
            <w:noWrap/>
            <w:vAlign w:val="center"/>
            <w:hideMark/>
          </w:tcPr>
          <w:p w14:paraId="6595144B" w14:textId="77777777" w:rsidR="006155C3" w:rsidRPr="00CF2891" w:rsidRDefault="006155C3" w:rsidP="00122048">
            <w:pPr>
              <w:spacing w:after="0" w:line="276" w:lineRule="auto"/>
              <w:jc w:val="left"/>
              <w:rPr>
                <w:rFonts w:cs="Arial"/>
                <w:sz w:val="16"/>
                <w:szCs w:val="16"/>
              </w:rPr>
            </w:pPr>
            <w:r w:rsidRPr="00CF2891">
              <w:rPr>
                <w:rFonts w:cs="Arial"/>
                <w:sz w:val="16"/>
                <w:szCs w:val="16"/>
              </w:rPr>
              <w:t>Εισαγωγές (σταθερές τιμές)</w:t>
            </w:r>
          </w:p>
        </w:tc>
        <w:tc>
          <w:tcPr>
            <w:tcW w:w="603" w:type="pct"/>
            <w:shd w:val="clear" w:color="auto" w:fill="auto"/>
            <w:noWrap/>
            <w:vAlign w:val="center"/>
            <w:hideMark/>
          </w:tcPr>
          <w:p w14:paraId="2338729D" w14:textId="77777777" w:rsidR="006155C3" w:rsidRPr="00CF2891" w:rsidRDefault="006155C3" w:rsidP="00002918">
            <w:pPr>
              <w:spacing w:after="0" w:line="276" w:lineRule="auto"/>
              <w:jc w:val="center"/>
              <w:rPr>
                <w:rFonts w:cs="Arial"/>
                <w:sz w:val="16"/>
                <w:szCs w:val="16"/>
              </w:rPr>
            </w:pPr>
            <w:r w:rsidRPr="00CF2891">
              <w:rPr>
                <w:rFonts w:cs="Arial"/>
                <w:sz w:val="16"/>
                <w:szCs w:val="16"/>
              </w:rPr>
              <w:t>+0,29%</w:t>
            </w:r>
          </w:p>
        </w:tc>
        <w:tc>
          <w:tcPr>
            <w:tcW w:w="603" w:type="pct"/>
            <w:shd w:val="clear" w:color="auto" w:fill="auto"/>
            <w:noWrap/>
            <w:vAlign w:val="center"/>
            <w:hideMark/>
          </w:tcPr>
          <w:p w14:paraId="4791C40E" w14:textId="77777777" w:rsidR="006155C3" w:rsidRPr="00CF2891" w:rsidRDefault="006155C3" w:rsidP="00002918">
            <w:pPr>
              <w:spacing w:after="0" w:line="276" w:lineRule="auto"/>
              <w:jc w:val="center"/>
              <w:rPr>
                <w:rFonts w:cs="Arial"/>
                <w:sz w:val="16"/>
                <w:szCs w:val="16"/>
              </w:rPr>
            </w:pPr>
            <w:r w:rsidRPr="00CF2891">
              <w:rPr>
                <w:rFonts w:cs="Arial"/>
                <w:sz w:val="16"/>
                <w:szCs w:val="16"/>
              </w:rPr>
              <w:t>-0,13%</w:t>
            </w:r>
          </w:p>
        </w:tc>
        <w:tc>
          <w:tcPr>
            <w:tcW w:w="602" w:type="pct"/>
            <w:shd w:val="clear" w:color="auto" w:fill="auto"/>
            <w:noWrap/>
            <w:vAlign w:val="center"/>
            <w:hideMark/>
          </w:tcPr>
          <w:p w14:paraId="3E1B30D1" w14:textId="77777777" w:rsidR="006155C3" w:rsidRPr="00CF2891" w:rsidRDefault="006155C3" w:rsidP="00002918">
            <w:pPr>
              <w:spacing w:after="0" w:line="276" w:lineRule="auto"/>
              <w:jc w:val="center"/>
              <w:rPr>
                <w:rFonts w:cs="Arial"/>
                <w:sz w:val="16"/>
                <w:szCs w:val="16"/>
              </w:rPr>
            </w:pPr>
            <w:r w:rsidRPr="00CF2891">
              <w:rPr>
                <w:rFonts w:cs="Arial"/>
                <w:sz w:val="16"/>
                <w:szCs w:val="16"/>
              </w:rPr>
              <w:t>-0,64%</w:t>
            </w:r>
          </w:p>
        </w:tc>
      </w:tr>
      <w:tr w:rsidR="00CF2891" w:rsidRPr="00122048" w14:paraId="38377DE5" w14:textId="77777777" w:rsidTr="004014E4">
        <w:trPr>
          <w:cantSplit/>
          <w:jc w:val="center"/>
        </w:trPr>
        <w:tc>
          <w:tcPr>
            <w:tcW w:w="3192" w:type="pct"/>
            <w:shd w:val="clear" w:color="auto" w:fill="F2F2F2" w:themeFill="background1" w:themeFillShade="F2"/>
            <w:noWrap/>
            <w:vAlign w:val="center"/>
            <w:hideMark/>
          </w:tcPr>
          <w:p w14:paraId="2D04AF86" w14:textId="5574291D" w:rsidR="006155C3" w:rsidRPr="00122048" w:rsidRDefault="006155C3" w:rsidP="00122048">
            <w:pPr>
              <w:spacing w:after="0" w:line="276" w:lineRule="auto"/>
              <w:jc w:val="center"/>
              <w:rPr>
                <w:rFonts w:cs="Arial"/>
                <w:b/>
                <w:sz w:val="16"/>
                <w:szCs w:val="16"/>
              </w:rPr>
            </w:pPr>
          </w:p>
        </w:tc>
        <w:tc>
          <w:tcPr>
            <w:tcW w:w="1808" w:type="pct"/>
            <w:gridSpan w:val="3"/>
            <w:shd w:val="clear" w:color="auto" w:fill="F2F2F2" w:themeFill="background1" w:themeFillShade="F2"/>
            <w:vAlign w:val="center"/>
            <w:hideMark/>
          </w:tcPr>
          <w:p w14:paraId="58F16428" w14:textId="77777777" w:rsidR="00122048" w:rsidRPr="00122048" w:rsidRDefault="006155C3" w:rsidP="00122048">
            <w:pPr>
              <w:spacing w:after="0" w:line="276" w:lineRule="auto"/>
              <w:jc w:val="center"/>
              <w:rPr>
                <w:rFonts w:cs="Arial"/>
                <w:b/>
                <w:i/>
                <w:iCs/>
                <w:sz w:val="16"/>
                <w:szCs w:val="16"/>
              </w:rPr>
            </w:pPr>
            <w:r w:rsidRPr="00122048">
              <w:rPr>
                <w:rFonts w:cs="Arial"/>
                <w:b/>
                <w:i/>
                <w:iCs/>
                <w:sz w:val="16"/>
                <w:szCs w:val="16"/>
              </w:rPr>
              <w:t>Αποκλίσεις από το βασικό σενάριο</w:t>
            </w:r>
          </w:p>
          <w:p w14:paraId="27CE80FF" w14:textId="598185A8" w:rsidR="006155C3" w:rsidRPr="00122048" w:rsidRDefault="006155C3" w:rsidP="00122048">
            <w:pPr>
              <w:spacing w:after="0" w:line="276" w:lineRule="auto"/>
              <w:jc w:val="center"/>
              <w:rPr>
                <w:rFonts w:cs="Arial"/>
                <w:b/>
                <w:i/>
                <w:iCs/>
                <w:sz w:val="16"/>
                <w:szCs w:val="16"/>
              </w:rPr>
            </w:pPr>
            <w:r w:rsidRPr="00122048">
              <w:rPr>
                <w:rFonts w:cs="Arial"/>
                <w:b/>
                <w:i/>
                <w:iCs/>
                <w:sz w:val="16"/>
                <w:szCs w:val="16"/>
              </w:rPr>
              <w:t>(σε ποσοστιαίες μονάδες)</w:t>
            </w:r>
          </w:p>
        </w:tc>
      </w:tr>
      <w:tr w:rsidR="00CF2891" w:rsidRPr="00CF2891" w14:paraId="40C17D3A" w14:textId="77777777" w:rsidTr="00002918">
        <w:trPr>
          <w:cantSplit/>
          <w:trHeight w:val="227"/>
          <w:jc w:val="center"/>
        </w:trPr>
        <w:tc>
          <w:tcPr>
            <w:tcW w:w="3192" w:type="pct"/>
            <w:shd w:val="clear" w:color="auto" w:fill="auto"/>
            <w:noWrap/>
            <w:vAlign w:val="center"/>
            <w:hideMark/>
          </w:tcPr>
          <w:p w14:paraId="43E58A11" w14:textId="77777777" w:rsidR="006155C3" w:rsidRPr="00CF2891" w:rsidRDefault="006155C3" w:rsidP="00122048">
            <w:pPr>
              <w:spacing w:after="0" w:line="276" w:lineRule="auto"/>
              <w:jc w:val="left"/>
              <w:rPr>
                <w:rFonts w:cs="Arial"/>
                <w:sz w:val="16"/>
                <w:szCs w:val="16"/>
              </w:rPr>
            </w:pPr>
            <w:r w:rsidRPr="00CF2891">
              <w:rPr>
                <w:rFonts w:cs="Arial"/>
                <w:sz w:val="16"/>
                <w:szCs w:val="16"/>
              </w:rPr>
              <w:t>Ισοζύγιο τρεχουσών συναλλαγών (% του ΑΕΠ)</w:t>
            </w:r>
          </w:p>
        </w:tc>
        <w:tc>
          <w:tcPr>
            <w:tcW w:w="603" w:type="pct"/>
            <w:shd w:val="clear" w:color="auto" w:fill="auto"/>
            <w:noWrap/>
            <w:vAlign w:val="center"/>
            <w:hideMark/>
          </w:tcPr>
          <w:p w14:paraId="57EE79C7" w14:textId="601991BC" w:rsidR="006155C3" w:rsidRPr="00CF2891" w:rsidRDefault="006155C3" w:rsidP="00002918">
            <w:pPr>
              <w:spacing w:after="0" w:line="276" w:lineRule="auto"/>
              <w:jc w:val="center"/>
              <w:rPr>
                <w:rFonts w:cs="Arial"/>
                <w:sz w:val="16"/>
                <w:szCs w:val="16"/>
              </w:rPr>
            </w:pPr>
            <w:r w:rsidRPr="00CF2891">
              <w:rPr>
                <w:rFonts w:cs="Arial"/>
                <w:sz w:val="16"/>
                <w:szCs w:val="16"/>
              </w:rPr>
              <w:t>-0,48</w:t>
            </w:r>
          </w:p>
        </w:tc>
        <w:tc>
          <w:tcPr>
            <w:tcW w:w="603" w:type="pct"/>
            <w:shd w:val="clear" w:color="auto" w:fill="auto"/>
            <w:noWrap/>
            <w:vAlign w:val="center"/>
            <w:hideMark/>
          </w:tcPr>
          <w:p w14:paraId="72C2ABB2" w14:textId="77777777" w:rsidR="006155C3" w:rsidRPr="00CF2891" w:rsidRDefault="006155C3" w:rsidP="00002918">
            <w:pPr>
              <w:spacing w:after="0" w:line="276" w:lineRule="auto"/>
              <w:jc w:val="center"/>
              <w:rPr>
                <w:rFonts w:cs="Arial"/>
                <w:sz w:val="16"/>
                <w:szCs w:val="16"/>
              </w:rPr>
            </w:pPr>
            <w:r w:rsidRPr="00CF2891">
              <w:rPr>
                <w:rFonts w:cs="Arial"/>
                <w:sz w:val="16"/>
                <w:szCs w:val="16"/>
              </w:rPr>
              <w:t>-0,05</w:t>
            </w:r>
          </w:p>
        </w:tc>
        <w:tc>
          <w:tcPr>
            <w:tcW w:w="602" w:type="pct"/>
            <w:shd w:val="clear" w:color="auto" w:fill="auto"/>
            <w:noWrap/>
            <w:vAlign w:val="center"/>
            <w:hideMark/>
          </w:tcPr>
          <w:p w14:paraId="3141B4CA" w14:textId="77777777" w:rsidR="006155C3" w:rsidRPr="00CF2891" w:rsidRDefault="006155C3" w:rsidP="00002918">
            <w:pPr>
              <w:spacing w:after="0" w:line="276" w:lineRule="auto"/>
              <w:jc w:val="center"/>
              <w:rPr>
                <w:rFonts w:cs="Arial"/>
                <w:sz w:val="16"/>
                <w:szCs w:val="16"/>
              </w:rPr>
            </w:pPr>
            <w:r w:rsidRPr="00CF2891">
              <w:rPr>
                <w:rFonts w:cs="Arial"/>
                <w:sz w:val="16"/>
                <w:szCs w:val="16"/>
              </w:rPr>
              <w:t>-0,23</w:t>
            </w:r>
          </w:p>
        </w:tc>
      </w:tr>
      <w:tr w:rsidR="00CF2891" w:rsidRPr="00CF2891" w14:paraId="76A96442" w14:textId="77777777" w:rsidTr="00002918">
        <w:trPr>
          <w:cantSplit/>
          <w:trHeight w:val="227"/>
          <w:jc w:val="center"/>
        </w:trPr>
        <w:tc>
          <w:tcPr>
            <w:tcW w:w="3192" w:type="pct"/>
            <w:shd w:val="clear" w:color="auto" w:fill="auto"/>
            <w:noWrap/>
            <w:vAlign w:val="center"/>
            <w:hideMark/>
          </w:tcPr>
          <w:p w14:paraId="59EDFDB9" w14:textId="77777777" w:rsidR="006155C3" w:rsidRPr="00CF2891" w:rsidRDefault="006155C3" w:rsidP="00122048">
            <w:pPr>
              <w:spacing w:after="0" w:line="276" w:lineRule="auto"/>
              <w:jc w:val="left"/>
              <w:rPr>
                <w:rFonts w:cs="Arial"/>
                <w:sz w:val="16"/>
                <w:szCs w:val="16"/>
              </w:rPr>
            </w:pPr>
            <w:r w:rsidRPr="00CF2891">
              <w:rPr>
                <w:rFonts w:cs="Arial"/>
                <w:sz w:val="16"/>
                <w:szCs w:val="16"/>
              </w:rPr>
              <w:t>Δημοσιονομικό αποτέλεσμα (% του ΑΕΠ)</w:t>
            </w:r>
          </w:p>
        </w:tc>
        <w:tc>
          <w:tcPr>
            <w:tcW w:w="603" w:type="pct"/>
            <w:shd w:val="clear" w:color="auto" w:fill="auto"/>
            <w:noWrap/>
            <w:vAlign w:val="center"/>
            <w:hideMark/>
          </w:tcPr>
          <w:p w14:paraId="1A2B9261" w14:textId="77777777" w:rsidR="006155C3" w:rsidRPr="00CF2891" w:rsidRDefault="006155C3" w:rsidP="00002918">
            <w:pPr>
              <w:spacing w:after="0" w:line="276" w:lineRule="auto"/>
              <w:jc w:val="center"/>
              <w:rPr>
                <w:rFonts w:cs="Arial"/>
                <w:sz w:val="16"/>
                <w:szCs w:val="16"/>
              </w:rPr>
            </w:pPr>
            <w:r w:rsidRPr="00CF2891">
              <w:rPr>
                <w:rFonts w:cs="Arial"/>
                <w:sz w:val="16"/>
                <w:szCs w:val="16"/>
              </w:rPr>
              <w:t>-0,30</w:t>
            </w:r>
          </w:p>
        </w:tc>
        <w:tc>
          <w:tcPr>
            <w:tcW w:w="603" w:type="pct"/>
            <w:shd w:val="clear" w:color="auto" w:fill="auto"/>
            <w:noWrap/>
            <w:vAlign w:val="center"/>
            <w:hideMark/>
          </w:tcPr>
          <w:p w14:paraId="149B437F" w14:textId="77777777" w:rsidR="006155C3" w:rsidRPr="00CF2891" w:rsidRDefault="006155C3" w:rsidP="00002918">
            <w:pPr>
              <w:spacing w:after="0" w:line="276" w:lineRule="auto"/>
              <w:jc w:val="center"/>
              <w:rPr>
                <w:rFonts w:cs="Arial"/>
                <w:sz w:val="16"/>
                <w:szCs w:val="16"/>
              </w:rPr>
            </w:pPr>
            <w:r w:rsidRPr="00CF2891">
              <w:rPr>
                <w:rFonts w:cs="Arial"/>
                <w:sz w:val="16"/>
                <w:szCs w:val="16"/>
              </w:rPr>
              <w:t>-0,21</w:t>
            </w:r>
          </w:p>
        </w:tc>
        <w:tc>
          <w:tcPr>
            <w:tcW w:w="602" w:type="pct"/>
            <w:shd w:val="clear" w:color="auto" w:fill="auto"/>
            <w:noWrap/>
            <w:vAlign w:val="center"/>
            <w:hideMark/>
          </w:tcPr>
          <w:p w14:paraId="237911B7" w14:textId="77777777" w:rsidR="006155C3" w:rsidRPr="00CF2891" w:rsidRDefault="006155C3" w:rsidP="00002918">
            <w:pPr>
              <w:spacing w:after="0" w:line="276" w:lineRule="auto"/>
              <w:jc w:val="center"/>
              <w:rPr>
                <w:rFonts w:cs="Arial"/>
                <w:sz w:val="16"/>
                <w:szCs w:val="16"/>
              </w:rPr>
            </w:pPr>
            <w:r w:rsidRPr="00CF2891">
              <w:rPr>
                <w:rFonts w:cs="Arial"/>
                <w:sz w:val="16"/>
                <w:szCs w:val="16"/>
              </w:rPr>
              <w:t>+0,19</w:t>
            </w:r>
          </w:p>
        </w:tc>
      </w:tr>
      <w:tr w:rsidR="00CF2891" w:rsidRPr="00CF2891" w14:paraId="07A9B7EE" w14:textId="77777777" w:rsidTr="00002918">
        <w:trPr>
          <w:cantSplit/>
          <w:trHeight w:val="227"/>
          <w:jc w:val="center"/>
        </w:trPr>
        <w:tc>
          <w:tcPr>
            <w:tcW w:w="3192" w:type="pct"/>
            <w:shd w:val="clear" w:color="auto" w:fill="auto"/>
            <w:noWrap/>
            <w:vAlign w:val="center"/>
            <w:hideMark/>
          </w:tcPr>
          <w:p w14:paraId="5B781C74" w14:textId="77777777" w:rsidR="006155C3" w:rsidRPr="00CF2891" w:rsidRDefault="006155C3" w:rsidP="00122048">
            <w:pPr>
              <w:spacing w:after="0" w:line="276" w:lineRule="auto"/>
              <w:jc w:val="left"/>
              <w:rPr>
                <w:rFonts w:cs="Arial"/>
                <w:sz w:val="16"/>
                <w:szCs w:val="16"/>
              </w:rPr>
            </w:pPr>
            <w:r w:rsidRPr="00CF2891">
              <w:rPr>
                <w:rFonts w:cs="Arial"/>
                <w:sz w:val="16"/>
                <w:szCs w:val="16"/>
              </w:rPr>
              <w:t>Πρωτογενές δημοσιονομικό αποτέλεσμα (% του ΑΕΠ)</w:t>
            </w:r>
          </w:p>
        </w:tc>
        <w:tc>
          <w:tcPr>
            <w:tcW w:w="603" w:type="pct"/>
            <w:shd w:val="clear" w:color="auto" w:fill="auto"/>
            <w:noWrap/>
            <w:vAlign w:val="center"/>
            <w:hideMark/>
          </w:tcPr>
          <w:p w14:paraId="29E87E4F" w14:textId="77777777" w:rsidR="006155C3" w:rsidRPr="00CF2891" w:rsidRDefault="006155C3" w:rsidP="00002918">
            <w:pPr>
              <w:spacing w:after="0" w:line="276" w:lineRule="auto"/>
              <w:jc w:val="center"/>
              <w:rPr>
                <w:rFonts w:cs="Arial"/>
                <w:sz w:val="16"/>
                <w:szCs w:val="16"/>
              </w:rPr>
            </w:pPr>
            <w:r w:rsidRPr="00CF2891">
              <w:rPr>
                <w:rFonts w:cs="Arial"/>
                <w:sz w:val="16"/>
                <w:szCs w:val="16"/>
              </w:rPr>
              <w:t>-0,27</w:t>
            </w:r>
          </w:p>
        </w:tc>
        <w:tc>
          <w:tcPr>
            <w:tcW w:w="603" w:type="pct"/>
            <w:shd w:val="clear" w:color="auto" w:fill="auto"/>
            <w:noWrap/>
            <w:vAlign w:val="center"/>
            <w:hideMark/>
          </w:tcPr>
          <w:p w14:paraId="57427351" w14:textId="77777777" w:rsidR="006155C3" w:rsidRPr="00CF2891" w:rsidRDefault="006155C3" w:rsidP="00002918">
            <w:pPr>
              <w:spacing w:after="0" w:line="276" w:lineRule="auto"/>
              <w:jc w:val="center"/>
              <w:rPr>
                <w:rFonts w:cs="Arial"/>
                <w:sz w:val="16"/>
                <w:szCs w:val="16"/>
              </w:rPr>
            </w:pPr>
            <w:r w:rsidRPr="00CF2891">
              <w:rPr>
                <w:rFonts w:cs="Arial"/>
                <w:sz w:val="16"/>
                <w:szCs w:val="16"/>
              </w:rPr>
              <w:t>-0,14</w:t>
            </w:r>
          </w:p>
        </w:tc>
        <w:tc>
          <w:tcPr>
            <w:tcW w:w="602" w:type="pct"/>
            <w:shd w:val="clear" w:color="auto" w:fill="auto"/>
            <w:noWrap/>
            <w:vAlign w:val="center"/>
            <w:hideMark/>
          </w:tcPr>
          <w:p w14:paraId="2B4EC35E" w14:textId="77777777" w:rsidR="006155C3" w:rsidRPr="00CF2891" w:rsidRDefault="006155C3" w:rsidP="00002918">
            <w:pPr>
              <w:spacing w:after="0" w:line="276" w:lineRule="auto"/>
              <w:jc w:val="center"/>
              <w:rPr>
                <w:rFonts w:cs="Arial"/>
                <w:sz w:val="16"/>
                <w:szCs w:val="16"/>
              </w:rPr>
            </w:pPr>
            <w:r w:rsidRPr="00CF2891">
              <w:rPr>
                <w:rFonts w:cs="Arial"/>
                <w:sz w:val="16"/>
                <w:szCs w:val="16"/>
              </w:rPr>
              <w:t>+0,16</w:t>
            </w:r>
          </w:p>
        </w:tc>
      </w:tr>
      <w:tr w:rsidR="00CF2891" w:rsidRPr="00CF2891" w14:paraId="48567108" w14:textId="77777777" w:rsidTr="00002918">
        <w:trPr>
          <w:cantSplit/>
          <w:trHeight w:val="227"/>
          <w:jc w:val="center"/>
        </w:trPr>
        <w:tc>
          <w:tcPr>
            <w:tcW w:w="3192" w:type="pct"/>
            <w:shd w:val="clear" w:color="auto" w:fill="auto"/>
            <w:noWrap/>
            <w:vAlign w:val="center"/>
            <w:hideMark/>
          </w:tcPr>
          <w:p w14:paraId="1501E394" w14:textId="1147A8CA" w:rsidR="006155C3" w:rsidRPr="00CF2891" w:rsidRDefault="006155C3" w:rsidP="00122048">
            <w:pPr>
              <w:spacing w:after="0" w:line="276" w:lineRule="auto"/>
              <w:jc w:val="left"/>
              <w:rPr>
                <w:rFonts w:cs="Arial"/>
                <w:sz w:val="16"/>
                <w:szCs w:val="16"/>
              </w:rPr>
            </w:pPr>
            <w:r w:rsidRPr="00CF2891">
              <w:rPr>
                <w:rFonts w:cs="Arial"/>
                <w:sz w:val="16"/>
                <w:szCs w:val="16"/>
              </w:rPr>
              <w:t>Χρέος Γενικής Κυβέρνησης (% του ΑΕΠ)</w:t>
            </w:r>
          </w:p>
        </w:tc>
        <w:tc>
          <w:tcPr>
            <w:tcW w:w="603" w:type="pct"/>
            <w:shd w:val="clear" w:color="auto" w:fill="auto"/>
            <w:noWrap/>
            <w:vAlign w:val="center"/>
            <w:hideMark/>
          </w:tcPr>
          <w:p w14:paraId="04846E80" w14:textId="77777777" w:rsidR="006155C3" w:rsidRPr="00CF2891" w:rsidRDefault="006155C3" w:rsidP="00002918">
            <w:pPr>
              <w:spacing w:after="0" w:line="276" w:lineRule="auto"/>
              <w:jc w:val="center"/>
              <w:rPr>
                <w:rFonts w:cs="Arial"/>
                <w:sz w:val="16"/>
                <w:szCs w:val="16"/>
              </w:rPr>
            </w:pPr>
            <w:r w:rsidRPr="00CF2891">
              <w:rPr>
                <w:rFonts w:cs="Arial"/>
                <w:sz w:val="16"/>
                <w:szCs w:val="16"/>
              </w:rPr>
              <w:t>+1,84</w:t>
            </w:r>
          </w:p>
        </w:tc>
        <w:tc>
          <w:tcPr>
            <w:tcW w:w="603" w:type="pct"/>
            <w:shd w:val="clear" w:color="auto" w:fill="auto"/>
            <w:noWrap/>
            <w:vAlign w:val="center"/>
            <w:hideMark/>
          </w:tcPr>
          <w:p w14:paraId="678FCDC9" w14:textId="77777777" w:rsidR="006155C3" w:rsidRPr="00CF2891" w:rsidRDefault="006155C3" w:rsidP="00002918">
            <w:pPr>
              <w:spacing w:after="0" w:line="276" w:lineRule="auto"/>
              <w:jc w:val="center"/>
              <w:rPr>
                <w:rFonts w:cs="Arial"/>
                <w:sz w:val="16"/>
                <w:szCs w:val="16"/>
              </w:rPr>
            </w:pPr>
            <w:r w:rsidRPr="00CF2891">
              <w:rPr>
                <w:rFonts w:cs="Arial"/>
                <w:sz w:val="16"/>
                <w:szCs w:val="16"/>
              </w:rPr>
              <w:t>+0,76</w:t>
            </w:r>
          </w:p>
        </w:tc>
        <w:tc>
          <w:tcPr>
            <w:tcW w:w="602" w:type="pct"/>
            <w:shd w:val="clear" w:color="auto" w:fill="auto"/>
            <w:noWrap/>
            <w:vAlign w:val="center"/>
            <w:hideMark/>
          </w:tcPr>
          <w:p w14:paraId="12D67515" w14:textId="77777777" w:rsidR="006155C3" w:rsidRPr="00CF2891" w:rsidRDefault="006155C3" w:rsidP="00002918">
            <w:pPr>
              <w:spacing w:after="0" w:line="276" w:lineRule="auto"/>
              <w:jc w:val="center"/>
              <w:rPr>
                <w:rFonts w:cs="Arial"/>
                <w:sz w:val="16"/>
                <w:szCs w:val="16"/>
              </w:rPr>
            </w:pPr>
            <w:r w:rsidRPr="00CF2891">
              <w:rPr>
                <w:rFonts w:cs="Arial"/>
                <w:sz w:val="16"/>
                <w:szCs w:val="16"/>
              </w:rPr>
              <w:t>-1,43</w:t>
            </w:r>
          </w:p>
        </w:tc>
      </w:tr>
    </w:tbl>
    <w:p w14:paraId="7376CD9D" w14:textId="07FAF80F" w:rsidR="006155C3" w:rsidRPr="006005BB" w:rsidRDefault="006155C3" w:rsidP="00735135">
      <w:pPr>
        <w:spacing w:before="240" w:after="240"/>
      </w:pPr>
      <w:r w:rsidRPr="006005BB">
        <w:lastRenderedPageBreak/>
        <w:t xml:space="preserve">Το σενάριο της ανατίμησης κατά 10% του ευρώ έναντι του </w:t>
      </w:r>
      <w:r w:rsidR="00470AE3" w:rsidRPr="006005BB">
        <w:t>δολαρίου</w:t>
      </w:r>
      <w:r w:rsidRPr="006005BB">
        <w:t xml:space="preserve"> οδηγεί σε μείωση του πραγματικού ΑΕΠ κατά 0,3% σε σχέση με το βασικό σενάριο, ήτοι σε πραγματικό ρυθμό μεγέθυνσης ίσο με 2,0%, ως αποτέλεσμα της αρνητικής του επίδρασης στο εμπορικό ισοζύγιο, η οποία προκύπτει τόσο μέσω χαμηλότερων εξαγωγών όσο και μέσω υψηλότερων εισαγωγών. Η απόκλιση από το βασικό σενάριο είναι μεγαλύτερη για το ονομαστικό ΑΕΠ, το οποίο είναι κατά 1,1% μικρότερο σε σχέση με το βασικό σενάριο, λόγω της ισχυρής αντιπληθωριστικής επίδρασης της ανατίμησης του νομίσματος. Στο σενάριο αυτό η μεταβολή της συναλλαγματικής ισοτιμίας οδηγεί σε επιβάρυνση του ισοζυγίου τρεχουσών συναλλαγών κατά περίπου 0,5 ποσοστιαίες μονάδες, ενώ η αρνητική απόκλιση του ονομαστικού ΑΕΠ συνεπάγεται επιβάρυνση του δημοσιονομικού ισοζυγίου κατά 0,3 ποσοστιαίες μονάδες λόγω της αρνητικής επίδρασης στο σκέλος των εσόδων. Το χρέος της </w:t>
      </w:r>
      <w:r w:rsidR="009A74CC">
        <w:t>Γ</w:t>
      </w:r>
      <w:r w:rsidRPr="006005BB">
        <w:t xml:space="preserve">ενικής </w:t>
      </w:r>
      <w:r w:rsidR="009A74CC">
        <w:t>Κ</w:t>
      </w:r>
      <w:r w:rsidRPr="006005BB">
        <w:t>υβέρνησης αυξάνεται κατά 1,8 ποσοστιαίες μονάδες σε σχέση με το βασικό σενάριο</w:t>
      </w:r>
      <w:r w:rsidR="009A74CC">
        <w:t>,</w:t>
      </w:r>
      <w:r w:rsidRPr="006005BB">
        <w:t xml:space="preserve"> ως αποτέλεσμα του χαμηλότερου δημοσιονομικού ισοζυγίου και κυρίως της χαμηλότερης αύξησης του ονομαστικού ΑΕΠ.</w:t>
      </w:r>
    </w:p>
    <w:tbl>
      <w:tblPr>
        <w:tblW w:w="5000" w:type="pct"/>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6135"/>
        <w:gridCol w:w="977"/>
        <w:gridCol w:w="977"/>
        <w:gridCol w:w="975"/>
      </w:tblGrid>
      <w:tr w:rsidR="00CF2891" w:rsidRPr="00735135" w14:paraId="3C659778" w14:textId="77777777" w:rsidTr="00122048">
        <w:trPr>
          <w:cantSplit/>
          <w:trHeight w:val="340"/>
          <w:jc w:val="center"/>
        </w:trPr>
        <w:tc>
          <w:tcPr>
            <w:tcW w:w="5000" w:type="pct"/>
            <w:gridSpan w:val="4"/>
            <w:tcBorders>
              <w:top w:val="single" w:sz="2" w:space="0" w:color="A6A6A6" w:themeColor="background1" w:themeShade="A6"/>
              <w:bottom w:val="single" w:sz="2" w:space="0" w:color="A6A6A6" w:themeColor="background1" w:themeShade="A6"/>
            </w:tcBorders>
            <w:shd w:val="clear" w:color="auto" w:fill="D5DCE4"/>
            <w:vAlign w:val="center"/>
            <w:hideMark/>
          </w:tcPr>
          <w:p w14:paraId="37BF2E72" w14:textId="518900D5" w:rsidR="006155C3" w:rsidRPr="00735135" w:rsidRDefault="00735135" w:rsidP="00122048">
            <w:pPr>
              <w:spacing w:after="0" w:line="276" w:lineRule="auto"/>
              <w:jc w:val="center"/>
              <w:rPr>
                <w:rFonts w:cs="Arial"/>
                <w:b/>
                <w:bCs/>
                <w:sz w:val="18"/>
                <w:szCs w:val="18"/>
              </w:rPr>
            </w:pPr>
            <w:bookmarkStart w:id="659" w:name="_Ref214116733"/>
            <w:bookmarkStart w:id="660" w:name="_Toc214474074"/>
            <w:r w:rsidRPr="00735135">
              <w:rPr>
                <w:b/>
                <w:sz w:val="18"/>
                <w:szCs w:val="18"/>
              </w:rPr>
              <w:t>Πίνακας 3.</w:t>
            </w:r>
            <w:r w:rsidRPr="00735135">
              <w:rPr>
                <w:b/>
                <w:sz w:val="18"/>
                <w:szCs w:val="18"/>
              </w:rPr>
              <w:fldChar w:fldCharType="begin"/>
            </w:r>
            <w:r w:rsidRPr="00735135">
              <w:rPr>
                <w:b/>
                <w:sz w:val="18"/>
                <w:szCs w:val="18"/>
              </w:rPr>
              <w:instrText xml:space="preserve"> SEQ Πίνακας_3. \* ARABIC </w:instrText>
            </w:r>
            <w:r w:rsidRPr="00735135">
              <w:rPr>
                <w:b/>
                <w:sz w:val="18"/>
                <w:szCs w:val="18"/>
              </w:rPr>
              <w:fldChar w:fldCharType="separate"/>
            </w:r>
            <w:r w:rsidR="00E15678">
              <w:rPr>
                <w:b/>
                <w:noProof/>
                <w:sz w:val="18"/>
                <w:szCs w:val="18"/>
              </w:rPr>
              <w:t>36</w:t>
            </w:r>
            <w:r w:rsidRPr="00735135">
              <w:rPr>
                <w:b/>
                <w:sz w:val="18"/>
                <w:szCs w:val="18"/>
              </w:rPr>
              <w:fldChar w:fldCharType="end"/>
            </w:r>
            <w:bookmarkEnd w:id="659"/>
            <w:r w:rsidRPr="00735135">
              <w:rPr>
                <w:b/>
                <w:sz w:val="18"/>
                <w:szCs w:val="18"/>
              </w:rPr>
              <w:t>.:</w:t>
            </w:r>
            <w:r w:rsidR="006155C3" w:rsidRPr="00735135">
              <w:rPr>
                <w:rFonts w:cs="Arial"/>
                <w:b/>
                <w:bCs/>
                <w:sz w:val="18"/>
                <w:szCs w:val="18"/>
              </w:rPr>
              <w:t xml:space="preserve"> Ρυθμοί μεταβολής βασικών μεταβλητών στα σενάρια της ανάλυσης ευαισθησίας</w:t>
            </w:r>
            <w:bookmarkEnd w:id="660"/>
          </w:p>
        </w:tc>
      </w:tr>
      <w:tr w:rsidR="00CF2891" w:rsidRPr="00122048" w14:paraId="367F9765" w14:textId="77777777" w:rsidTr="00122048">
        <w:trPr>
          <w:cantSplit/>
          <w:jc w:val="center"/>
        </w:trPr>
        <w:tc>
          <w:tcPr>
            <w:tcW w:w="3384" w:type="pct"/>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bottom"/>
            <w:hideMark/>
          </w:tcPr>
          <w:p w14:paraId="20709815" w14:textId="70612D63" w:rsidR="006155C3" w:rsidRPr="00122048" w:rsidRDefault="006155C3" w:rsidP="00122048">
            <w:pPr>
              <w:spacing w:after="0" w:line="276" w:lineRule="auto"/>
              <w:rPr>
                <w:rFonts w:cs="Arial"/>
                <w:b/>
                <w:sz w:val="16"/>
                <w:szCs w:val="16"/>
              </w:rPr>
            </w:pPr>
          </w:p>
        </w:tc>
        <w:tc>
          <w:tcPr>
            <w:tcW w:w="539" w:type="pct"/>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1A872E08" w14:textId="77777777" w:rsidR="006155C3" w:rsidRPr="00122048" w:rsidRDefault="006155C3" w:rsidP="00122048">
            <w:pPr>
              <w:spacing w:after="0" w:line="276" w:lineRule="auto"/>
              <w:jc w:val="center"/>
              <w:rPr>
                <w:rFonts w:cs="Arial"/>
                <w:b/>
                <w:sz w:val="16"/>
                <w:szCs w:val="16"/>
              </w:rPr>
            </w:pPr>
            <w:r w:rsidRPr="00122048">
              <w:rPr>
                <w:rFonts w:cs="Arial"/>
                <w:b/>
                <w:sz w:val="16"/>
                <w:szCs w:val="16"/>
              </w:rPr>
              <w:t>Σενάριο 1</w:t>
            </w:r>
          </w:p>
        </w:tc>
        <w:tc>
          <w:tcPr>
            <w:tcW w:w="539" w:type="pct"/>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4EFD988F" w14:textId="77777777" w:rsidR="006155C3" w:rsidRPr="00122048" w:rsidRDefault="006155C3" w:rsidP="00122048">
            <w:pPr>
              <w:spacing w:after="0" w:line="276" w:lineRule="auto"/>
              <w:jc w:val="center"/>
              <w:rPr>
                <w:rFonts w:cs="Arial"/>
                <w:b/>
                <w:sz w:val="16"/>
                <w:szCs w:val="16"/>
              </w:rPr>
            </w:pPr>
            <w:r w:rsidRPr="00122048">
              <w:rPr>
                <w:rFonts w:cs="Arial"/>
                <w:b/>
                <w:sz w:val="16"/>
                <w:szCs w:val="16"/>
              </w:rPr>
              <w:t>Σενάριο 2</w:t>
            </w:r>
          </w:p>
        </w:tc>
        <w:tc>
          <w:tcPr>
            <w:tcW w:w="538" w:type="pct"/>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71D293DE" w14:textId="77777777" w:rsidR="006155C3" w:rsidRPr="00122048" w:rsidRDefault="006155C3" w:rsidP="00122048">
            <w:pPr>
              <w:spacing w:after="0" w:line="276" w:lineRule="auto"/>
              <w:jc w:val="center"/>
              <w:rPr>
                <w:rFonts w:cs="Arial"/>
                <w:b/>
                <w:sz w:val="16"/>
                <w:szCs w:val="16"/>
              </w:rPr>
            </w:pPr>
            <w:r w:rsidRPr="00122048">
              <w:rPr>
                <w:rFonts w:cs="Arial"/>
                <w:b/>
                <w:sz w:val="16"/>
                <w:szCs w:val="16"/>
              </w:rPr>
              <w:t>Σενάριο 3</w:t>
            </w:r>
          </w:p>
        </w:tc>
      </w:tr>
      <w:tr w:rsidR="00CF2891" w:rsidRPr="00CF2891" w14:paraId="14227B1C" w14:textId="77777777" w:rsidTr="00002918">
        <w:trPr>
          <w:cantSplit/>
          <w:jc w:val="center"/>
        </w:trPr>
        <w:tc>
          <w:tcPr>
            <w:tcW w:w="3384" w:type="pct"/>
            <w:tcBorders>
              <w:top w:val="single" w:sz="2" w:space="0" w:color="A6A6A6" w:themeColor="background1" w:themeShade="A6"/>
            </w:tcBorders>
            <w:shd w:val="clear" w:color="auto" w:fill="auto"/>
            <w:noWrap/>
            <w:vAlign w:val="center"/>
            <w:hideMark/>
          </w:tcPr>
          <w:p w14:paraId="57DFDF52" w14:textId="77777777" w:rsidR="006155C3" w:rsidRPr="00CF2891" w:rsidRDefault="006155C3" w:rsidP="00122048">
            <w:pPr>
              <w:spacing w:after="0" w:line="276" w:lineRule="auto"/>
              <w:jc w:val="left"/>
              <w:rPr>
                <w:rFonts w:cs="Arial"/>
                <w:sz w:val="16"/>
                <w:szCs w:val="16"/>
              </w:rPr>
            </w:pPr>
            <w:r w:rsidRPr="00CF2891">
              <w:rPr>
                <w:rFonts w:cs="Arial"/>
                <w:sz w:val="16"/>
                <w:szCs w:val="16"/>
              </w:rPr>
              <w:t>Ονομαστικό ΑΕΠ</w:t>
            </w:r>
          </w:p>
        </w:tc>
        <w:tc>
          <w:tcPr>
            <w:tcW w:w="539" w:type="pct"/>
            <w:tcBorders>
              <w:top w:val="single" w:sz="2" w:space="0" w:color="A6A6A6" w:themeColor="background1" w:themeShade="A6"/>
            </w:tcBorders>
            <w:shd w:val="clear" w:color="auto" w:fill="auto"/>
            <w:noWrap/>
            <w:vAlign w:val="center"/>
            <w:hideMark/>
          </w:tcPr>
          <w:p w14:paraId="428740A1" w14:textId="77777777" w:rsidR="006155C3" w:rsidRPr="00CF2891" w:rsidRDefault="006155C3" w:rsidP="00002918">
            <w:pPr>
              <w:spacing w:after="0" w:line="276" w:lineRule="auto"/>
              <w:jc w:val="center"/>
              <w:rPr>
                <w:rFonts w:cs="Arial"/>
                <w:sz w:val="16"/>
                <w:szCs w:val="16"/>
              </w:rPr>
            </w:pPr>
            <w:r w:rsidRPr="00CF2891">
              <w:rPr>
                <w:rFonts w:cs="Arial"/>
                <w:sz w:val="16"/>
                <w:szCs w:val="16"/>
              </w:rPr>
              <w:t>3,4</w:t>
            </w:r>
          </w:p>
        </w:tc>
        <w:tc>
          <w:tcPr>
            <w:tcW w:w="539" w:type="pct"/>
            <w:tcBorders>
              <w:top w:val="single" w:sz="2" w:space="0" w:color="A6A6A6" w:themeColor="background1" w:themeShade="A6"/>
            </w:tcBorders>
            <w:shd w:val="clear" w:color="auto" w:fill="auto"/>
            <w:noWrap/>
            <w:vAlign w:val="center"/>
            <w:hideMark/>
          </w:tcPr>
          <w:p w14:paraId="59C73348" w14:textId="77777777" w:rsidR="006155C3" w:rsidRPr="00CF2891" w:rsidRDefault="006155C3" w:rsidP="00002918">
            <w:pPr>
              <w:spacing w:after="0" w:line="276" w:lineRule="auto"/>
              <w:jc w:val="center"/>
              <w:rPr>
                <w:rFonts w:cs="Arial"/>
                <w:sz w:val="16"/>
                <w:szCs w:val="16"/>
              </w:rPr>
            </w:pPr>
            <w:r w:rsidRPr="00CF2891">
              <w:rPr>
                <w:rFonts w:cs="Arial"/>
                <w:sz w:val="16"/>
                <w:szCs w:val="16"/>
              </w:rPr>
              <w:t>4,1</w:t>
            </w:r>
          </w:p>
        </w:tc>
        <w:tc>
          <w:tcPr>
            <w:tcW w:w="538" w:type="pct"/>
            <w:tcBorders>
              <w:top w:val="single" w:sz="2" w:space="0" w:color="A6A6A6" w:themeColor="background1" w:themeShade="A6"/>
            </w:tcBorders>
            <w:shd w:val="clear" w:color="auto" w:fill="auto"/>
            <w:noWrap/>
            <w:vAlign w:val="center"/>
            <w:hideMark/>
          </w:tcPr>
          <w:p w14:paraId="4A074658" w14:textId="77777777" w:rsidR="006155C3" w:rsidRPr="00CF2891" w:rsidRDefault="006155C3" w:rsidP="00002918">
            <w:pPr>
              <w:spacing w:after="0" w:line="276" w:lineRule="auto"/>
              <w:jc w:val="center"/>
              <w:rPr>
                <w:rFonts w:cs="Arial"/>
                <w:sz w:val="16"/>
                <w:szCs w:val="16"/>
              </w:rPr>
            </w:pPr>
            <w:r w:rsidRPr="00CF2891">
              <w:rPr>
                <w:rFonts w:cs="Arial"/>
                <w:sz w:val="16"/>
                <w:szCs w:val="16"/>
              </w:rPr>
              <w:t>5,5</w:t>
            </w:r>
          </w:p>
        </w:tc>
      </w:tr>
      <w:tr w:rsidR="00CF2891" w:rsidRPr="00CF2891" w14:paraId="40866386" w14:textId="77777777" w:rsidTr="00002918">
        <w:trPr>
          <w:cantSplit/>
          <w:jc w:val="center"/>
        </w:trPr>
        <w:tc>
          <w:tcPr>
            <w:tcW w:w="3384" w:type="pct"/>
            <w:shd w:val="clear" w:color="auto" w:fill="auto"/>
            <w:noWrap/>
            <w:vAlign w:val="center"/>
            <w:hideMark/>
          </w:tcPr>
          <w:p w14:paraId="09D98C2F" w14:textId="77777777" w:rsidR="006155C3" w:rsidRPr="00CF2891" w:rsidRDefault="006155C3" w:rsidP="00122048">
            <w:pPr>
              <w:spacing w:after="0" w:line="276" w:lineRule="auto"/>
              <w:jc w:val="left"/>
              <w:rPr>
                <w:rFonts w:cs="Arial"/>
                <w:sz w:val="16"/>
                <w:szCs w:val="16"/>
              </w:rPr>
            </w:pPr>
            <w:r w:rsidRPr="00CF2891">
              <w:rPr>
                <w:rFonts w:cs="Arial"/>
                <w:sz w:val="16"/>
                <w:szCs w:val="16"/>
              </w:rPr>
              <w:t>Πραγματικό ΑΕΠ</w:t>
            </w:r>
          </w:p>
        </w:tc>
        <w:tc>
          <w:tcPr>
            <w:tcW w:w="539" w:type="pct"/>
            <w:shd w:val="clear" w:color="auto" w:fill="auto"/>
            <w:noWrap/>
            <w:vAlign w:val="center"/>
            <w:hideMark/>
          </w:tcPr>
          <w:p w14:paraId="79E3A496" w14:textId="77777777" w:rsidR="006155C3" w:rsidRPr="00CF2891" w:rsidRDefault="006155C3" w:rsidP="00002918">
            <w:pPr>
              <w:spacing w:after="0" w:line="276" w:lineRule="auto"/>
              <w:jc w:val="center"/>
              <w:rPr>
                <w:rFonts w:cs="Arial"/>
                <w:sz w:val="16"/>
                <w:szCs w:val="16"/>
              </w:rPr>
            </w:pPr>
            <w:r w:rsidRPr="00CF2891">
              <w:rPr>
                <w:rFonts w:cs="Arial"/>
                <w:sz w:val="16"/>
                <w:szCs w:val="16"/>
              </w:rPr>
              <w:t>2,0</w:t>
            </w:r>
          </w:p>
        </w:tc>
        <w:tc>
          <w:tcPr>
            <w:tcW w:w="539" w:type="pct"/>
            <w:shd w:val="clear" w:color="auto" w:fill="auto"/>
            <w:noWrap/>
            <w:vAlign w:val="center"/>
            <w:hideMark/>
          </w:tcPr>
          <w:p w14:paraId="2D2E1391" w14:textId="77777777" w:rsidR="006155C3" w:rsidRPr="00CF2891" w:rsidRDefault="006155C3" w:rsidP="00002918">
            <w:pPr>
              <w:spacing w:after="0" w:line="276" w:lineRule="auto"/>
              <w:jc w:val="center"/>
              <w:rPr>
                <w:rFonts w:cs="Arial"/>
                <w:sz w:val="16"/>
                <w:szCs w:val="16"/>
              </w:rPr>
            </w:pPr>
            <w:r w:rsidRPr="00CF2891">
              <w:rPr>
                <w:rFonts w:cs="Arial"/>
                <w:sz w:val="16"/>
                <w:szCs w:val="16"/>
              </w:rPr>
              <w:t>2,1</w:t>
            </w:r>
          </w:p>
        </w:tc>
        <w:tc>
          <w:tcPr>
            <w:tcW w:w="538" w:type="pct"/>
            <w:shd w:val="clear" w:color="auto" w:fill="auto"/>
            <w:noWrap/>
            <w:vAlign w:val="center"/>
            <w:hideMark/>
          </w:tcPr>
          <w:p w14:paraId="5BB16BEE" w14:textId="77777777" w:rsidR="006155C3" w:rsidRPr="00CF2891" w:rsidRDefault="006155C3" w:rsidP="00002918">
            <w:pPr>
              <w:spacing w:after="0" w:line="276" w:lineRule="auto"/>
              <w:jc w:val="center"/>
              <w:rPr>
                <w:rFonts w:cs="Arial"/>
                <w:sz w:val="16"/>
                <w:szCs w:val="16"/>
              </w:rPr>
            </w:pPr>
            <w:r w:rsidRPr="00CF2891">
              <w:rPr>
                <w:rFonts w:cs="Arial"/>
                <w:sz w:val="16"/>
                <w:szCs w:val="16"/>
              </w:rPr>
              <w:t>1,9</w:t>
            </w:r>
          </w:p>
        </w:tc>
      </w:tr>
      <w:tr w:rsidR="00CF2891" w:rsidRPr="00CF2891" w14:paraId="2F3B3803" w14:textId="77777777" w:rsidTr="00002918">
        <w:trPr>
          <w:cantSplit/>
          <w:jc w:val="center"/>
        </w:trPr>
        <w:tc>
          <w:tcPr>
            <w:tcW w:w="3384" w:type="pct"/>
            <w:shd w:val="clear" w:color="auto" w:fill="auto"/>
            <w:noWrap/>
            <w:vAlign w:val="center"/>
            <w:hideMark/>
          </w:tcPr>
          <w:p w14:paraId="7EA4F241" w14:textId="77777777" w:rsidR="006155C3" w:rsidRPr="00CF2891" w:rsidRDefault="006155C3" w:rsidP="00122048">
            <w:pPr>
              <w:spacing w:after="0" w:line="276" w:lineRule="auto"/>
              <w:jc w:val="left"/>
              <w:rPr>
                <w:rFonts w:cs="Arial"/>
                <w:sz w:val="16"/>
                <w:szCs w:val="16"/>
              </w:rPr>
            </w:pPr>
            <w:r w:rsidRPr="00CF2891">
              <w:rPr>
                <w:rFonts w:cs="Arial"/>
                <w:sz w:val="16"/>
                <w:szCs w:val="16"/>
              </w:rPr>
              <w:t>Ιδιωτική κατανάλωση (σταθερές τιμές)</w:t>
            </w:r>
          </w:p>
        </w:tc>
        <w:tc>
          <w:tcPr>
            <w:tcW w:w="539" w:type="pct"/>
            <w:shd w:val="clear" w:color="auto" w:fill="auto"/>
            <w:noWrap/>
            <w:vAlign w:val="center"/>
            <w:hideMark/>
          </w:tcPr>
          <w:p w14:paraId="18EE9B01" w14:textId="77777777" w:rsidR="006155C3" w:rsidRPr="00CF2891" w:rsidRDefault="006155C3" w:rsidP="00002918">
            <w:pPr>
              <w:spacing w:after="0" w:line="276" w:lineRule="auto"/>
              <w:jc w:val="center"/>
              <w:rPr>
                <w:rFonts w:cs="Arial"/>
                <w:sz w:val="16"/>
                <w:szCs w:val="16"/>
              </w:rPr>
            </w:pPr>
            <w:r w:rsidRPr="00CF2891">
              <w:rPr>
                <w:rFonts w:cs="Arial"/>
                <w:sz w:val="16"/>
                <w:szCs w:val="16"/>
              </w:rPr>
              <w:t>1,9</w:t>
            </w:r>
          </w:p>
        </w:tc>
        <w:tc>
          <w:tcPr>
            <w:tcW w:w="539" w:type="pct"/>
            <w:shd w:val="clear" w:color="auto" w:fill="auto"/>
            <w:noWrap/>
            <w:vAlign w:val="center"/>
            <w:hideMark/>
          </w:tcPr>
          <w:p w14:paraId="14BD44B7" w14:textId="77777777" w:rsidR="006155C3" w:rsidRPr="00CF2891" w:rsidRDefault="006155C3" w:rsidP="00002918">
            <w:pPr>
              <w:spacing w:after="0" w:line="276" w:lineRule="auto"/>
              <w:jc w:val="center"/>
              <w:rPr>
                <w:rFonts w:cs="Arial"/>
                <w:sz w:val="16"/>
                <w:szCs w:val="16"/>
              </w:rPr>
            </w:pPr>
            <w:r w:rsidRPr="00CF2891">
              <w:rPr>
                <w:rFonts w:cs="Arial"/>
                <w:sz w:val="16"/>
                <w:szCs w:val="16"/>
              </w:rPr>
              <w:t>1,5</w:t>
            </w:r>
          </w:p>
        </w:tc>
        <w:tc>
          <w:tcPr>
            <w:tcW w:w="538" w:type="pct"/>
            <w:shd w:val="clear" w:color="auto" w:fill="auto"/>
            <w:noWrap/>
            <w:vAlign w:val="center"/>
            <w:hideMark/>
          </w:tcPr>
          <w:p w14:paraId="3C01E1AB" w14:textId="77777777" w:rsidR="006155C3" w:rsidRPr="00CF2891" w:rsidRDefault="006155C3" w:rsidP="00002918">
            <w:pPr>
              <w:spacing w:after="0" w:line="276" w:lineRule="auto"/>
              <w:jc w:val="center"/>
              <w:rPr>
                <w:rFonts w:cs="Arial"/>
                <w:sz w:val="16"/>
                <w:szCs w:val="16"/>
              </w:rPr>
            </w:pPr>
            <w:r w:rsidRPr="00CF2891">
              <w:rPr>
                <w:rFonts w:cs="Arial"/>
                <w:sz w:val="16"/>
                <w:szCs w:val="16"/>
              </w:rPr>
              <w:t>1,0</w:t>
            </w:r>
          </w:p>
        </w:tc>
      </w:tr>
      <w:tr w:rsidR="00CF2891" w:rsidRPr="00CF2891" w14:paraId="5A5BE72D" w14:textId="77777777" w:rsidTr="00002918">
        <w:trPr>
          <w:cantSplit/>
          <w:jc w:val="center"/>
        </w:trPr>
        <w:tc>
          <w:tcPr>
            <w:tcW w:w="3384" w:type="pct"/>
            <w:shd w:val="clear" w:color="auto" w:fill="auto"/>
            <w:noWrap/>
            <w:vAlign w:val="center"/>
            <w:hideMark/>
          </w:tcPr>
          <w:p w14:paraId="0DE08B3B" w14:textId="77777777" w:rsidR="006155C3" w:rsidRPr="00CF2891" w:rsidRDefault="006155C3" w:rsidP="00122048">
            <w:pPr>
              <w:spacing w:after="0" w:line="276" w:lineRule="auto"/>
              <w:jc w:val="left"/>
              <w:rPr>
                <w:rFonts w:cs="Arial"/>
                <w:sz w:val="16"/>
                <w:szCs w:val="16"/>
              </w:rPr>
            </w:pPr>
            <w:r w:rsidRPr="00CF2891">
              <w:rPr>
                <w:rFonts w:cs="Arial"/>
                <w:sz w:val="16"/>
                <w:szCs w:val="16"/>
              </w:rPr>
              <w:t>Ακαθάριστος σχηματισμός παγίου κεφαλαίου (σταθερές τιμές)</w:t>
            </w:r>
          </w:p>
        </w:tc>
        <w:tc>
          <w:tcPr>
            <w:tcW w:w="539" w:type="pct"/>
            <w:shd w:val="clear" w:color="auto" w:fill="auto"/>
            <w:noWrap/>
            <w:vAlign w:val="center"/>
            <w:hideMark/>
          </w:tcPr>
          <w:p w14:paraId="7A4A1C7D" w14:textId="77777777" w:rsidR="006155C3" w:rsidRPr="00CF2891" w:rsidRDefault="006155C3" w:rsidP="00002918">
            <w:pPr>
              <w:spacing w:after="0" w:line="276" w:lineRule="auto"/>
              <w:jc w:val="center"/>
              <w:rPr>
                <w:rFonts w:cs="Arial"/>
                <w:sz w:val="16"/>
                <w:szCs w:val="16"/>
              </w:rPr>
            </w:pPr>
            <w:r w:rsidRPr="00CF2891">
              <w:rPr>
                <w:rFonts w:cs="Arial"/>
                <w:sz w:val="16"/>
                <w:szCs w:val="16"/>
              </w:rPr>
              <w:t>9,9</w:t>
            </w:r>
          </w:p>
        </w:tc>
        <w:tc>
          <w:tcPr>
            <w:tcW w:w="539" w:type="pct"/>
            <w:shd w:val="clear" w:color="auto" w:fill="auto"/>
            <w:noWrap/>
            <w:vAlign w:val="center"/>
            <w:hideMark/>
          </w:tcPr>
          <w:p w14:paraId="0833E13F" w14:textId="77777777" w:rsidR="006155C3" w:rsidRPr="00CF2891" w:rsidRDefault="006155C3" w:rsidP="00002918">
            <w:pPr>
              <w:spacing w:after="0" w:line="276" w:lineRule="auto"/>
              <w:jc w:val="center"/>
              <w:rPr>
                <w:rFonts w:cs="Arial"/>
                <w:sz w:val="16"/>
                <w:szCs w:val="16"/>
              </w:rPr>
            </w:pPr>
            <w:r w:rsidRPr="00CF2891">
              <w:rPr>
                <w:rFonts w:cs="Arial"/>
                <w:sz w:val="16"/>
                <w:szCs w:val="16"/>
              </w:rPr>
              <w:t>9,9</w:t>
            </w:r>
          </w:p>
        </w:tc>
        <w:tc>
          <w:tcPr>
            <w:tcW w:w="538" w:type="pct"/>
            <w:shd w:val="clear" w:color="auto" w:fill="auto"/>
            <w:noWrap/>
            <w:vAlign w:val="center"/>
            <w:hideMark/>
          </w:tcPr>
          <w:p w14:paraId="4954EED9" w14:textId="77777777" w:rsidR="006155C3" w:rsidRPr="00CF2891" w:rsidRDefault="006155C3" w:rsidP="00002918">
            <w:pPr>
              <w:spacing w:after="0" w:line="276" w:lineRule="auto"/>
              <w:jc w:val="center"/>
              <w:rPr>
                <w:rFonts w:cs="Arial"/>
                <w:sz w:val="16"/>
                <w:szCs w:val="16"/>
              </w:rPr>
            </w:pPr>
            <w:r w:rsidRPr="00CF2891">
              <w:rPr>
                <w:rFonts w:cs="Arial"/>
                <w:sz w:val="16"/>
                <w:szCs w:val="16"/>
              </w:rPr>
              <w:t>9,3</w:t>
            </w:r>
          </w:p>
        </w:tc>
      </w:tr>
      <w:tr w:rsidR="00CF2891" w:rsidRPr="00CF2891" w14:paraId="0820CD23" w14:textId="77777777" w:rsidTr="00002918">
        <w:trPr>
          <w:cantSplit/>
          <w:jc w:val="center"/>
        </w:trPr>
        <w:tc>
          <w:tcPr>
            <w:tcW w:w="3384" w:type="pct"/>
            <w:shd w:val="clear" w:color="auto" w:fill="auto"/>
            <w:noWrap/>
            <w:vAlign w:val="center"/>
            <w:hideMark/>
          </w:tcPr>
          <w:p w14:paraId="12C09C37" w14:textId="77777777" w:rsidR="006155C3" w:rsidRPr="00CF2891" w:rsidRDefault="006155C3" w:rsidP="00122048">
            <w:pPr>
              <w:spacing w:after="0" w:line="276" w:lineRule="auto"/>
              <w:jc w:val="left"/>
              <w:rPr>
                <w:rFonts w:cs="Arial"/>
                <w:sz w:val="16"/>
                <w:szCs w:val="16"/>
              </w:rPr>
            </w:pPr>
            <w:r w:rsidRPr="00CF2891">
              <w:rPr>
                <w:rFonts w:cs="Arial"/>
                <w:sz w:val="16"/>
                <w:szCs w:val="16"/>
              </w:rPr>
              <w:t>Εξαγωγές (σταθερές τιμές)</w:t>
            </w:r>
          </w:p>
        </w:tc>
        <w:tc>
          <w:tcPr>
            <w:tcW w:w="539" w:type="pct"/>
            <w:shd w:val="clear" w:color="auto" w:fill="auto"/>
            <w:noWrap/>
            <w:vAlign w:val="center"/>
            <w:hideMark/>
          </w:tcPr>
          <w:p w14:paraId="0235AEEB" w14:textId="77777777" w:rsidR="006155C3" w:rsidRPr="00CF2891" w:rsidRDefault="006155C3" w:rsidP="00002918">
            <w:pPr>
              <w:spacing w:after="0" w:line="276" w:lineRule="auto"/>
              <w:jc w:val="center"/>
              <w:rPr>
                <w:rFonts w:cs="Arial"/>
                <w:sz w:val="16"/>
                <w:szCs w:val="16"/>
              </w:rPr>
            </w:pPr>
            <w:r w:rsidRPr="00CF2891">
              <w:rPr>
                <w:rFonts w:cs="Arial"/>
                <w:sz w:val="16"/>
                <w:szCs w:val="16"/>
              </w:rPr>
              <w:t>3,8</w:t>
            </w:r>
          </w:p>
        </w:tc>
        <w:tc>
          <w:tcPr>
            <w:tcW w:w="539" w:type="pct"/>
            <w:shd w:val="clear" w:color="auto" w:fill="auto"/>
            <w:noWrap/>
            <w:vAlign w:val="center"/>
            <w:hideMark/>
          </w:tcPr>
          <w:p w14:paraId="6084250B" w14:textId="77777777" w:rsidR="006155C3" w:rsidRPr="00CF2891" w:rsidRDefault="006155C3" w:rsidP="00002918">
            <w:pPr>
              <w:spacing w:after="0" w:line="276" w:lineRule="auto"/>
              <w:jc w:val="center"/>
              <w:rPr>
                <w:rFonts w:cs="Arial"/>
                <w:sz w:val="16"/>
                <w:szCs w:val="16"/>
              </w:rPr>
            </w:pPr>
            <w:r w:rsidRPr="00CF2891">
              <w:rPr>
                <w:rFonts w:cs="Arial"/>
                <w:sz w:val="16"/>
                <w:szCs w:val="16"/>
              </w:rPr>
              <w:t>4,3</w:t>
            </w:r>
          </w:p>
        </w:tc>
        <w:tc>
          <w:tcPr>
            <w:tcW w:w="538" w:type="pct"/>
            <w:shd w:val="clear" w:color="auto" w:fill="auto"/>
            <w:noWrap/>
            <w:vAlign w:val="center"/>
            <w:hideMark/>
          </w:tcPr>
          <w:p w14:paraId="488DEF44" w14:textId="77777777" w:rsidR="006155C3" w:rsidRPr="00CF2891" w:rsidRDefault="006155C3" w:rsidP="00002918">
            <w:pPr>
              <w:spacing w:after="0" w:line="276" w:lineRule="auto"/>
              <w:jc w:val="center"/>
              <w:rPr>
                <w:rFonts w:cs="Arial"/>
                <w:sz w:val="16"/>
                <w:szCs w:val="16"/>
              </w:rPr>
            </w:pPr>
            <w:r w:rsidRPr="00CF2891">
              <w:rPr>
                <w:rFonts w:cs="Arial"/>
                <w:sz w:val="16"/>
                <w:szCs w:val="16"/>
              </w:rPr>
              <w:t>4,2</w:t>
            </w:r>
          </w:p>
        </w:tc>
      </w:tr>
      <w:tr w:rsidR="00CF2891" w:rsidRPr="00CF2891" w14:paraId="5306BA1C" w14:textId="77777777" w:rsidTr="00002918">
        <w:trPr>
          <w:cantSplit/>
          <w:jc w:val="center"/>
        </w:trPr>
        <w:tc>
          <w:tcPr>
            <w:tcW w:w="3384" w:type="pct"/>
            <w:shd w:val="clear" w:color="auto" w:fill="auto"/>
            <w:noWrap/>
            <w:vAlign w:val="center"/>
            <w:hideMark/>
          </w:tcPr>
          <w:p w14:paraId="6D6A6B7D" w14:textId="77777777" w:rsidR="006155C3" w:rsidRPr="00CF2891" w:rsidRDefault="006155C3" w:rsidP="00122048">
            <w:pPr>
              <w:spacing w:after="0" w:line="276" w:lineRule="auto"/>
              <w:jc w:val="left"/>
              <w:rPr>
                <w:rFonts w:cs="Arial"/>
                <w:sz w:val="16"/>
                <w:szCs w:val="16"/>
              </w:rPr>
            </w:pPr>
            <w:r w:rsidRPr="00CF2891">
              <w:rPr>
                <w:rFonts w:cs="Arial"/>
                <w:sz w:val="16"/>
                <w:szCs w:val="16"/>
              </w:rPr>
              <w:t>Εισαγωγές (σταθερές τιμές)</w:t>
            </w:r>
          </w:p>
        </w:tc>
        <w:tc>
          <w:tcPr>
            <w:tcW w:w="539" w:type="pct"/>
            <w:shd w:val="clear" w:color="auto" w:fill="auto"/>
            <w:noWrap/>
            <w:vAlign w:val="center"/>
            <w:hideMark/>
          </w:tcPr>
          <w:p w14:paraId="26AA87F5" w14:textId="77777777" w:rsidR="006155C3" w:rsidRPr="00CF2891" w:rsidRDefault="006155C3" w:rsidP="00002918">
            <w:pPr>
              <w:spacing w:after="0" w:line="276" w:lineRule="auto"/>
              <w:jc w:val="center"/>
              <w:rPr>
                <w:rFonts w:cs="Arial"/>
                <w:sz w:val="16"/>
                <w:szCs w:val="16"/>
              </w:rPr>
            </w:pPr>
            <w:r w:rsidRPr="00CF2891">
              <w:rPr>
                <w:rFonts w:cs="Arial"/>
                <w:sz w:val="16"/>
                <w:szCs w:val="16"/>
              </w:rPr>
              <w:t>4,9</w:t>
            </w:r>
          </w:p>
        </w:tc>
        <w:tc>
          <w:tcPr>
            <w:tcW w:w="539" w:type="pct"/>
            <w:shd w:val="clear" w:color="auto" w:fill="auto"/>
            <w:noWrap/>
            <w:vAlign w:val="center"/>
            <w:hideMark/>
          </w:tcPr>
          <w:p w14:paraId="772E8B0E" w14:textId="77777777" w:rsidR="006155C3" w:rsidRPr="00CF2891" w:rsidRDefault="006155C3" w:rsidP="00002918">
            <w:pPr>
              <w:spacing w:after="0" w:line="276" w:lineRule="auto"/>
              <w:jc w:val="center"/>
              <w:rPr>
                <w:rFonts w:cs="Arial"/>
                <w:sz w:val="16"/>
                <w:szCs w:val="16"/>
              </w:rPr>
            </w:pPr>
            <w:r w:rsidRPr="00CF2891">
              <w:rPr>
                <w:rFonts w:cs="Arial"/>
                <w:sz w:val="16"/>
                <w:szCs w:val="16"/>
              </w:rPr>
              <w:t>4,5</w:t>
            </w:r>
          </w:p>
        </w:tc>
        <w:tc>
          <w:tcPr>
            <w:tcW w:w="538" w:type="pct"/>
            <w:shd w:val="clear" w:color="auto" w:fill="auto"/>
            <w:noWrap/>
            <w:vAlign w:val="center"/>
            <w:hideMark/>
          </w:tcPr>
          <w:p w14:paraId="4F999C1C" w14:textId="77777777" w:rsidR="006155C3" w:rsidRPr="00CF2891" w:rsidRDefault="006155C3" w:rsidP="00002918">
            <w:pPr>
              <w:spacing w:after="0" w:line="276" w:lineRule="auto"/>
              <w:jc w:val="center"/>
              <w:rPr>
                <w:rFonts w:cs="Arial"/>
                <w:sz w:val="16"/>
                <w:szCs w:val="16"/>
              </w:rPr>
            </w:pPr>
            <w:r w:rsidRPr="00CF2891">
              <w:rPr>
                <w:rFonts w:cs="Arial"/>
                <w:sz w:val="16"/>
                <w:szCs w:val="16"/>
              </w:rPr>
              <w:t>4,0</w:t>
            </w:r>
          </w:p>
        </w:tc>
      </w:tr>
      <w:tr w:rsidR="00CF2891" w:rsidRPr="00CF2891" w14:paraId="69EFD529" w14:textId="77777777" w:rsidTr="00002918">
        <w:trPr>
          <w:cantSplit/>
          <w:jc w:val="center"/>
        </w:trPr>
        <w:tc>
          <w:tcPr>
            <w:tcW w:w="3384" w:type="pct"/>
            <w:shd w:val="clear" w:color="auto" w:fill="auto"/>
            <w:noWrap/>
            <w:vAlign w:val="center"/>
            <w:hideMark/>
          </w:tcPr>
          <w:p w14:paraId="441E9924" w14:textId="1D930791" w:rsidR="006155C3" w:rsidRPr="00CF2891" w:rsidRDefault="006155C3" w:rsidP="00122048">
            <w:pPr>
              <w:spacing w:after="0" w:line="276" w:lineRule="auto"/>
              <w:jc w:val="left"/>
              <w:rPr>
                <w:rFonts w:cs="Arial"/>
                <w:sz w:val="16"/>
                <w:szCs w:val="16"/>
              </w:rPr>
            </w:pPr>
            <w:r w:rsidRPr="00CF2891">
              <w:rPr>
                <w:rFonts w:cs="Arial"/>
                <w:sz w:val="16"/>
                <w:szCs w:val="16"/>
              </w:rPr>
              <w:t xml:space="preserve">Δείκτης </w:t>
            </w:r>
            <w:r w:rsidR="000F014C">
              <w:rPr>
                <w:rFonts w:cs="Arial"/>
                <w:sz w:val="16"/>
                <w:szCs w:val="16"/>
              </w:rPr>
              <w:t>Τ</w:t>
            </w:r>
            <w:r w:rsidRPr="00CF2891">
              <w:rPr>
                <w:rFonts w:cs="Arial"/>
                <w:sz w:val="16"/>
                <w:szCs w:val="16"/>
              </w:rPr>
              <w:t xml:space="preserve">ιμών </w:t>
            </w:r>
            <w:r w:rsidR="000F014C">
              <w:rPr>
                <w:rFonts w:cs="Arial"/>
                <w:sz w:val="16"/>
                <w:szCs w:val="16"/>
              </w:rPr>
              <w:t>Κ</w:t>
            </w:r>
            <w:r w:rsidRPr="00CF2891">
              <w:rPr>
                <w:rFonts w:cs="Arial"/>
                <w:sz w:val="16"/>
                <w:szCs w:val="16"/>
              </w:rPr>
              <w:t>αταναλωτή</w:t>
            </w:r>
          </w:p>
        </w:tc>
        <w:tc>
          <w:tcPr>
            <w:tcW w:w="539" w:type="pct"/>
            <w:shd w:val="clear" w:color="auto" w:fill="auto"/>
            <w:noWrap/>
            <w:vAlign w:val="center"/>
            <w:hideMark/>
          </w:tcPr>
          <w:p w14:paraId="64E5D32A" w14:textId="77777777" w:rsidR="006155C3" w:rsidRPr="00CF2891" w:rsidRDefault="006155C3" w:rsidP="00002918">
            <w:pPr>
              <w:spacing w:after="0" w:line="276" w:lineRule="auto"/>
              <w:jc w:val="center"/>
              <w:rPr>
                <w:rFonts w:cs="Arial"/>
                <w:sz w:val="16"/>
                <w:szCs w:val="16"/>
              </w:rPr>
            </w:pPr>
            <w:r w:rsidRPr="00CF2891">
              <w:rPr>
                <w:rFonts w:cs="Arial"/>
                <w:sz w:val="16"/>
                <w:szCs w:val="16"/>
              </w:rPr>
              <w:t>1,3</w:t>
            </w:r>
          </w:p>
        </w:tc>
        <w:tc>
          <w:tcPr>
            <w:tcW w:w="539" w:type="pct"/>
            <w:shd w:val="clear" w:color="auto" w:fill="auto"/>
            <w:noWrap/>
            <w:vAlign w:val="center"/>
            <w:hideMark/>
          </w:tcPr>
          <w:p w14:paraId="5FE2F156" w14:textId="77777777" w:rsidR="006155C3" w:rsidRPr="00CF2891" w:rsidRDefault="006155C3" w:rsidP="00002918">
            <w:pPr>
              <w:spacing w:after="0" w:line="276" w:lineRule="auto"/>
              <w:jc w:val="center"/>
              <w:rPr>
                <w:rFonts w:cs="Arial"/>
                <w:sz w:val="16"/>
                <w:szCs w:val="16"/>
              </w:rPr>
            </w:pPr>
            <w:r w:rsidRPr="00CF2891">
              <w:rPr>
                <w:rFonts w:cs="Arial"/>
                <w:sz w:val="16"/>
                <w:szCs w:val="16"/>
              </w:rPr>
              <w:t>2,0</w:t>
            </w:r>
          </w:p>
        </w:tc>
        <w:tc>
          <w:tcPr>
            <w:tcW w:w="538" w:type="pct"/>
            <w:shd w:val="clear" w:color="auto" w:fill="auto"/>
            <w:noWrap/>
            <w:vAlign w:val="center"/>
            <w:hideMark/>
          </w:tcPr>
          <w:p w14:paraId="20514C7B" w14:textId="77777777" w:rsidR="006155C3" w:rsidRPr="00CF2891" w:rsidRDefault="006155C3" w:rsidP="00002918">
            <w:pPr>
              <w:spacing w:after="0" w:line="276" w:lineRule="auto"/>
              <w:jc w:val="center"/>
              <w:rPr>
                <w:rFonts w:cs="Arial"/>
                <w:sz w:val="16"/>
                <w:szCs w:val="16"/>
              </w:rPr>
            </w:pPr>
            <w:r w:rsidRPr="00CF2891">
              <w:rPr>
                <w:rFonts w:cs="Arial"/>
                <w:sz w:val="16"/>
                <w:szCs w:val="16"/>
              </w:rPr>
              <w:t>4,7</w:t>
            </w:r>
          </w:p>
        </w:tc>
      </w:tr>
    </w:tbl>
    <w:p w14:paraId="32E21D71" w14:textId="5B51D11F" w:rsidR="006155C3" w:rsidRPr="006005BB" w:rsidRDefault="006155C3" w:rsidP="00735135">
      <w:pPr>
        <w:spacing w:before="240"/>
      </w:pPr>
      <w:r w:rsidRPr="006005BB">
        <w:t xml:space="preserve">Το σενάριο της αύξησης του βασικού επιτοκίου της ΕΚΤ κατά 100 μονάδες βάσης </w:t>
      </w:r>
      <w:r w:rsidR="000F014C">
        <w:t>ασκεί</w:t>
      </w:r>
      <w:r w:rsidRPr="006005BB">
        <w:t xml:space="preserve"> πολύ μικρή επίδραση στα μεγέθη του εξωτερικού τομέα, με το έλλειμμα του ισοζυγίου τρεχουσών συναλλαγών να αποκλίνει ελάχιστα σε σχέση με το βασικό σενάριο. </w:t>
      </w:r>
      <w:r w:rsidR="000F014C">
        <w:t>Ωστόσο, ο</w:t>
      </w:r>
      <w:r w:rsidRPr="006005BB">
        <w:t xml:space="preserve">δηγεί σε χαμηλότερο πραγματικό ΑΕΠ κατά 0,2% κυρίως μέσω της αρνητικής επίδρασης στην ιδιωτική κατανάλωση, σε αντίθεση με το πρώτο σενάριο όπου η κατανάλωση είναι υψηλότερη λόγω της μείωσης των </w:t>
      </w:r>
      <w:r>
        <w:t xml:space="preserve">τιμών των </w:t>
      </w:r>
      <w:r w:rsidRPr="006005BB">
        <w:t xml:space="preserve">εισαγωγών. Η επίδραση στο επίπεδο των τιμών είναι αντιπληθωριστική, αλλά σε μικρότερο βαθμό σε σχέση με το πρώτο σενάριο, με αποτέλεσμα να περιορίζεται η αρνητική απόκλιση σε όρους του ονομαστικού ΑΕΠ. Ως αποτέλεσμα, το δημοσιονομικό ισοζύγιο είναι χαμηλότερο κατά 0,2% σε σχέση με το βασικό σενάριο, ενώ μικρότερη είναι η αρνητική επίδραση στο πρωτογενές δημοσιονομικό </w:t>
      </w:r>
      <w:r w:rsidR="00645B84">
        <w:t>αποτέλεσμα</w:t>
      </w:r>
      <w:r w:rsidRPr="006005BB">
        <w:t xml:space="preserve">, καθώς προκύπτει και μία μικρή αύξηση στις δαπάνες για τόκους. Το χρέος της </w:t>
      </w:r>
      <w:r w:rsidR="000F014C">
        <w:t>Γ</w:t>
      </w:r>
      <w:r w:rsidRPr="006005BB">
        <w:t xml:space="preserve">ενικής </w:t>
      </w:r>
      <w:r w:rsidR="000F014C">
        <w:t>Κ</w:t>
      </w:r>
      <w:r w:rsidRPr="006005BB">
        <w:t>υβέρνησης αυξάνεται σε σχέση με το βασικό σενάριο, αλλά σε μικρότερο βαθμό σε σχέση με το σενάριο της ανατίμησης του νομίσματος, με την αύξηση να περιορίζεται στις 0,8 ποσοστιαίες μονάδες.</w:t>
      </w:r>
    </w:p>
    <w:p w14:paraId="491AD976" w14:textId="6F08411F" w:rsidR="009B5AA3" w:rsidRPr="00CF2891" w:rsidRDefault="006155C3" w:rsidP="00735135">
      <w:r w:rsidRPr="006005BB">
        <w:t xml:space="preserve">Στο τρίτο </w:t>
      </w:r>
      <w:r w:rsidR="00263642">
        <w:t xml:space="preserve">υποθετικό </w:t>
      </w:r>
      <w:r w:rsidRPr="006005BB">
        <w:t>σενάριο η τιμή του πετρελαίου διαμορφώνεται σε επίπεδα άνω των 100 δολαρίων ανά βαρέλι, οδηγώντας σε μία σημαντική μείωση της ιδιωτικής κατανάλωσης (κατά 0,7% σε σχέση με το βασικό σενάριο) καθώς και σε μία μείωση των επενδύσεων (κατά 0,9% σε σχέση με το βασικό σενάριο). Σε πραγματικούς όρους οι εισαγωγές μειώνονται</w:t>
      </w:r>
      <w:r w:rsidR="000F014C">
        <w:t>,</w:t>
      </w:r>
      <w:r w:rsidRPr="006005BB">
        <w:t xml:space="preserve"> καθ</w:t>
      </w:r>
      <w:r w:rsidR="000F014C">
        <w:t>’ όσον</w:t>
      </w:r>
      <w:r w:rsidRPr="006005BB">
        <w:t xml:space="preserve"> η αρνητική επίδραση της αύξησης της τιμής του πετρελαίου στην εγχώρια ζήτηση υπερισχύει της επίδρασης στην αξία των εισαγωγών. Σε ονομαστικούς όρους οι εισαγωγές αυξάνονται κατά 7,4% </w:t>
      </w:r>
      <w:r w:rsidR="000F014C" w:rsidRPr="006005BB">
        <w:t xml:space="preserve">περίπου </w:t>
      </w:r>
      <w:r w:rsidRPr="006005BB">
        <w:t xml:space="preserve">σε σχέση με το βασικό σενάριο, αλλά η αύξηση των εξαγωγών είναι αντίστοιχα υψηλή, με αποτέλεσμα το έλλειμμα στο ισοζύγιο τρεχουσών συναλλαγών να επιδεινώνεται μόνο κατά 0,2 ποσοστιαίες μονάδες. Ταυτόχρονα, η μεγάλη αύξηση της τιμής του πετρελαίου οδηγεί σε ισχυρότατες πληθωριστικές πιέσεις, με τον δείκτη τιμών καταναλωτή να αυξάνεται κατά 4,7% έναντι 2,2% στο βασικό σενάριο. Ως αποτέλεσμα, αν και η αρνητική επίδραση στο πραγματικό ΑΕΠ είναι μεγαλύτερη σε σχέση με τα δύο πρώτα σενάρια, το ονομαστικό ΑΕΠ αυξάνεται ταχύτερα σε σχέση με το βασικό σενάριο λόγω του πληθωρισμού. Η ονομαστική μεγέθυνση οδηγεί σε μικρή βελτίωση του δημοσιονομικού ισοζυγίου, καθώς τα δημόσια έσοδα αυξάνονται κατά 1,4% έναντι </w:t>
      </w:r>
      <w:r w:rsidR="000F014C">
        <w:t xml:space="preserve">της </w:t>
      </w:r>
      <w:r w:rsidRPr="006005BB">
        <w:t>αύξησης κατά 1,0% των δημ</w:t>
      </w:r>
      <w:r w:rsidR="000F014C">
        <w:t>ό</w:t>
      </w:r>
      <w:r w:rsidRPr="006005BB">
        <w:t>σ</w:t>
      </w:r>
      <w:r w:rsidR="000F014C">
        <w:t>ι</w:t>
      </w:r>
      <w:r w:rsidRPr="006005BB">
        <w:t xml:space="preserve">ων δαπανών, ενώ συνεπάγεται και χαμηλότερο χρέος </w:t>
      </w:r>
      <w:r w:rsidR="000F014C">
        <w:t>της Γ</w:t>
      </w:r>
      <w:r w:rsidRPr="006005BB">
        <w:t xml:space="preserve">ενικής </w:t>
      </w:r>
      <w:r w:rsidR="000F014C">
        <w:t>Κ</w:t>
      </w:r>
      <w:r w:rsidRPr="006005BB">
        <w:t>υβέρνησης κατά 1,4 ποσοστιαίες μονάδες σε σχέση με το βασικό σενάριο.</w:t>
      </w:r>
    </w:p>
    <w:p w14:paraId="26154E0C" w14:textId="276A19B3" w:rsidR="009B5AA3" w:rsidRDefault="009B5AA3" w:rsidP="00300BBF">
      <w:pPr>
        <w:pStyle w:val="4"/>
      </w:pPr>
      <w:bookmarkStart w:id="661" w:name="_Toc214473797"/>
      <w:r>
        <w:lastRenderedPageBreak/>
        <w:t>Ενδεχόμενες υποχρεώσεις</w:t>
      </w:r>
      <w:bookmarkEnd w:id="661"/>
    </w:p>
    <w:p w14:paraId="0D80702E" w14:textId="00A888D9" w:rsidR="00C3779A" w:rsidRDefault="00C3779A" w:rsidP="00C3779A">
      <w:r w:rsidRPr="002E3A77">
        <w:t>Σύμφωνα με την Οδηγία 2011/85/ΕΕ του Συμβουλίου σχετικά με τις απαιτήσεις για τα δημοσιονομικά πλαίσια των κρατών</w:t>
      </w:r>
      <w:r w:rsidR="00970492">
        <w:t xml:space="preserve"> -</w:t>
      </w:r>
      <w:r w:rsidRPr="002E3A77">
        <w:t xml:space="preserve"> μελών, τα κράτη</w:t>
      </w:r>
      <w:r w:rsidR="00310406">
        <w:t xml:space="preserve"> -</w:t>
      </w:r>
      <w:r w:rsidRPr="002E3A77">
        <w:t xml:space="preserve"> μέλη δημοσιεύουν πληροφορίες για</w:t>
      </w:r>
      <w:r w:rsidR="00970492">
        <w:t xml:space="preserve"> τις</w:t>
      </w:r>
      <w:r w:rsidRPr="002E3A77">
        <w:t xml:space="preserve"> ενδεχόμενες υποχρεώσεις των υποτομέων της Γενικής Κυβέρνησης, οι οποίες είναι πιθανό να έχουν σημαντικό αντίκτυπο στους προϋπολογισμούς των φορέων </w:t>
      </w:r>
      <w:r>
        <w:t xml:space="preserve">της. </w:t>
      </w:r>
      <w:r w:rsidRPr="002E3A77">
        <w:t>Οι ενδεχόμενες υποχρεώσεις περιλαμβάνουν τις κρατικές εγγυήσεις, τα μη εξυπηρετούμενα δάνεια και τις υποχρεώσεις που</w:t>
      </w:r>
      <w:r>
        <w:t xml:space="preserve"> απορ</w:t>
      </w:r>
      <w:r w:rsidRPr="002E3A77">
        <w:t>ρέουν από τη λειτουργία των δημόσιων επιχειρήσεων. Η ανωτέρω Οδηγία προβλέπει επίσης τη δημοσίευση πληροφοριών για τις συμμετοχές της Γενικής Κυβέρνησης στο κεφάλαιο ιδιωτικών και δημόσιων επιχειρήσεων για σημαντικά από οικονομικής άποψης ποσά.</w:t>
      </w:r>
    </w:p>
    <w:p w14:paraId="135C56CD" w14:textId="18678CDA" w:rsidR="00C3779A" w:rsidRPr="002E3A77" w:rsidRDefault="00C3779A" w:rsidP="00C3779A">
      <w:r w:rsidRPr="002E3A77">
        <w:t xml:space="preserve">Στο πλαίσιο αυτό η παρούσα ενότητα παραθέτει τα νεότερα επίσημα στοιχεία της </w:t>
      </w:r>
      <w:r w:rsidRPr="002E3A77">
        <w:rPr>
          <w:lang w:val="en-US"/>
        </w:rPr>
        <w:t>Eurostat</w:t>
      </w:r>
      <w:r w:rsidRPr="002E3A77">
        <w:t xml:space="preserve"> αναφορικά μ</w:t>
      </w:r>
      <w:r w:rsidR="00970492">
        <w:t>ε</w:t>
      </w:r>
      <w:r w:rsidRPr="002E3A77">
        <w:t xml:space="preserve"> τις υποχρεώσεις που απορρέουν από </w:t>
      </w:r>
      <w:r w:rsidR="00970492" w:rsidRPr="00970492">
        <w:t>Συμπράξεις Δημοσίου</w:t>
      </w:r>
      <w:r w:rsidR="00970492">
        <w:t xml:space="preserve"> </w:t>
      </w:r>
      <w:r w:rsidR="00970492" w:rsidRPr="00970492">
        <w:t>-</w:t>
      </w:r>
      <w:r w:rsidR="00970492">
        <w:t xml:space="preserve"> </w:t>
      </w:r>
      <w:r w:rsidR="00970492" w:rsidRPr="00970492">
        <w:t xml:space="preserve">Ιδιωτικού Τομέα </w:t>
      </w:r>
      <w:r w:rsidR="00970492">
        <w:t>(</w:t>
      </w:r>
      <w:r w:rsidRPr="00970492">
        <w:t>ΣΔΙΤ</w:t>
      </w:r>
      <w:r w:rsidR="00970492">
        <w:t>)</w:t>
      </w:r>
      <w:r w:rsidRPr="002E3A77">
        <w:t xml:space="preserve"> που καταγράφονται εκτός προϋπολογισμού (</w:t>
      </w:r>
      <w:r w:rsidRPr="002E3A77">
        <w:rPr>
          <w:lang w:val="en-US"/>
        </w:rPr>
        <w:t>off</w:t>
      </w:r>
      <w:r w:rsidRPr="002E3A77">
        <w:t>-</w:t>
      </w:r>
      <w:r w:rsidRPr="002E3A77">
        <w:rPr>
          <w:lang w:val="en-US"/>
        </w:rPr>
        <w:t>balance</w:t>
      </w:r>
      <w:r w:rsidRPr="002E3A77">
        <w:t xml:space="preserve"> </w:t>
      </w:r>
      <w:r w:rsidRPr="002E3A77">
        <w:rPr>
          <w:lang w:val="en-US"/>
        </w:rPr>
        <w:t>sheet</w:t>
      </w:r>
      <w:r w:rsidRPr="002E3A77">
        <w:t>)</w:t>
      </w:r>
      <w:r>
        <w:t xml:space="preserve"> καθώς</w:t>
      </w:r>
      <w:r w:rsidRPr="002E3A77">
        <w:t xml:space="preserve"> και </w:t>
      </w:r>
      <w:r w:rsidR="00970492">
        <w:t xml:space="preserve">με </w:t>
      </w:r>
      <w:r w:rsidRPr="002E3A77">
        <w:t>το ύψος των μη εξυπηρετούμενων δανείων που έχουν χορηγηθεί από φορείς της Γενικής Κυβέρνησης. Αναλυτικά στοιχεία αναφορικά με το ύψος των κρατικών εγγυήσεων και των συμμετοχών φορέων της Γενικής Κυβέρνησης στο κεφάλαιο δημόσιων ή ιδιωτικών επιχειρήσεων παρατίθενται στα σχετικά</w:t>
      </w:r>
      <w:r>
        <w:t xml:space="preserve"> επόμενα</w:t>
      </w:r>
      <w:r w:rsidRPr="002E3A77">
        <w:t xml:space="preserve"> κεφάλαια. Τα στοιχεία </w:t>
      </w:r>
      <w:r>
        <w:t>αναφορ</w:t>
      </w:r>
      <w:r w:rsidRPr="002E3A77">
        <w:t xml:space="preserve">ικά με τις ανωτέρω κατηγορίες ενδεχόμενων υποχρεώσεων παρατίθενται τόσο για το σύνολο της Γενικής Κυβέρνησης όσο και για κάθε υποτομέα αυτής </w:t>
      </w:r>
      <w:r w:rsidR="00970492">
        <w:t>διακριτά</w:t>
      </w:r>
      <w:r w:rsidRPr="002E3A77">
        <w:t>, εφόσον είναι διαθέσιμα. Σημειώνεται</w:t>
      </w:r>
      <w:r>
        <w:t>,</w:t>
      </w:r>
      <w:r w:rsidRPr="002E3A77">
        <w:t xml:space="preserve"> ωστόσο</w:t>
      </w:r>
      <w:r>
        <w:t>,</w:t>
      </w:r>
      <w:r w:rsidRPr="002E3A77">
        <w:t xml:space="preserve"> αναφορικά με τις εγγυήσεις, ότι μέρος του </w:t>
      </w:r>
      <w:r w:rsidRPr="00970492">
        <w:t>εκτιμώμενου για το</w:t>
      </w:r>
      <w:r>
        <w:t xml:space="preserve"> τέλος του 202</w:t>
      </w:r>
      <w:r w:rsidRPr="0059482E">
        <w:t>5</w:t>
      </w:r>
      <w:r w:rsidRPr="002E3A77">
        <w:t xml:space="preserve"> ανεξόφλητου εγγυημένου </w:t>
      </w:r>
      <w:r w:rsidRPr="0098356F">
        <w:t xml:space="preserve">υπολοίπου </w:t>
      </w:r>
      <w:r w:rsidR="009246C9" w:rsidRPr="0098356F">
        <w:t>του σχετικού πίνακα του κεφαλαίου 4 (</w:t>
      </w:r>
      <w:r w:rsidR="00C44309" w:rsidRPr="0098356F">
        <w:fldChar w:fldCharType="begin"/>
      </w:r>
      <w:r w:rsidR="00C44309" w:rsidRPr="0098356F">
        <w:instrText xml:space="preserve"> REF _Ref181890485 \h  \* MERGEFORMAT </w:instrText>
      </w:r>
      <w:r w:rsidR="00C44309" w:rsidRPr="0098356F">
        <w:fldChar w:fldCharType="separate"/>
      </w:r>
      <w:r w:rsidR="00E15678" w:rsidRPr="00E15678">
        <w:t>Πίνακας 4.10</w:t>
      </w:r>
      <w:r w:rsidR="00C44309" w:rsidRPr="0098356F">
        <w:fldChar w:fldCharType="end"/>
      </w:r>
      <w:r w:rsidR="00970492" w:rsidRPr="0098356F">
        <w:t>.</w:t>
      </w:r>
      <w:r w:rsidR="009246C9" w:rsidRPr="0098356F">
        <w:t>)</w:t>
      </w:r>
      <w:r w:rsidRPr="0098356F">
        <w:t xml:space="preserve"> </w:t>
      </w:r>
      <w:r w:rsidRPr="0059482E">
        <w:t>αλλά και</w:t>
      </w:r>
      <w:r w:rsidRPr="0047073B">
        <w:t xml:space="preserve"> των</w:t>
      </w:r>
      <w:r>
        <w:t xml:space="preserve"> εγγυήσεων που</w:t>
      </w:r>
      <w:r w:rsidRPr="0047073B">
        <w:t xml:space="preserve"> αναφ</w:t>
      </w:r>
      <w:r>
        <w:t>έρονται</w:t>
      </w:r>
      <w:r w:rsidRPr="0047073B">
        <w:t xml:space="preserve"> στο συνοδευτικό κείμενο</w:t>
      </w:r>
      <w:r w:rsidRPr="002E3A77">
        <w:t xml:space="preserve">, ύψους </w:t>
      </w:r>
      <w:r w:rsidRPr="00260BC7">
        <w:t>3,1 δισ.</w:t>
      </w:r>
      <w:r w:rsidRPr="005F4227">
        <w:t xml:space="preserve"> ευρώ</w:t>
      </w:r>
      <w:r w:rsidR="00A21BE2" w:rsidRPr="00A21BE2">
        <w:t xml:space="preserve"> </w:t>
      </w:r>
      <w:r w:rsidR="00A21BE2" w:rsidRPr="00260BC7">
        <w:t>περίπου</w:t>
      </w:r>
      <w:r w:rsidRPr="005F4227">
        <w:t>,</w:t>
      </w:r>
      <w:r w:rsidRPr="002E3A77">
        <w:t xml:space="preserve"> δεν </w:t>
      </w:r>
      <w:r w:rsidR="00271346">
        <w:t>περιλαμβάνεται</w:t>
      </w:r>
      <w:r w:rsidRPr="002E3A77">
        <w:t xml:space="preserve"> στις ενδεχόμενες υποχρεώσεις της Γενικής Κυβέρνησης, καθώς πρόκειται είτε για ενδοκυβερνητικές εγγυήσεις είτε για ποσά που έχουν ήδη επιβαρύνει το δημοσιονομικό αποτέλεσμα προηγούμενων ετών</w:t>
      </w:r>
      <w:r>
        <w:t xml:space="preserve">. </w:t>
      </w:r>
      <w:r w:rsidRPr="002E3A77">
        <w:t xml:space="preserve">Αντίθετα, σε </w:t>
      </w:r>
      <w:r>
        <w:t>επίπεδο Γενικής Κυβέρνησης πρέπει να συνυπολογιστ</w:t>
      </w:r>
      <w:r w:rsidR="00271346">
        <w:t>εί</w:t>
      </w:r>
      <w:r>
        <w:t xml:space="preserve"> και </w:t>
      </w:r>
      <w:r w:rsidR="00271346">
        <w:t xml:space="preserve">ποσό ύψους </w:t>
      </w:r>
      <w:r w:rsidRPr="0030679A">
        <w:t>1</w:t>
      </w:r>
      <w:r w:rsidRPr="00B36706">
        <w:t>,8</w:t>
      </w:r>
      <w:r w:rsidRPr="007F1170">
        <w:t xml:space="preserve"> δισ. </w:t>
      </w:r>
      <w:r>
        <w:t>ε</w:t>
      </w:r>
      <w:r w:rsidRPr="007F1170">
        <w:t>υρώ</w:t>
      </w:r>
      <w:r w:rsidR="00271346">
        <w:t xml:space="preserve"> </w:t>
      </w:r>
      <w:r w:rsidR="00271346" w:rsidRPr="002E3A77">
        <w:t>περίπου</w:t>
      </w:r>
      <w:r>
        <w:t xml:space="preserve"> </w:t>
      </w:r>
      <w:r w:rsidRPr="002E3A77">
        <w:t xml:space="preserve">από εγγυήσεις που έχουν δοθεί μέσω της </w:t>
      </w:r>
      <w:r>
        <w:t>ΕΑΤ</w:t>
      </w:r>
      <w:r w:rsidRPr="002E3A77">
        <w:t>.</w:t>
      </w:r>
    </w:p>
    <w:p w14:paraId="7607533D" w14:textId="136500BA" w:rsidR="00C3779A" w:rsidRPr="002E3A77" w:rsidRDefault="00C3779A" w:rsidP="00E96F60">
      <w:pPr>
        <w:spacing w:after="240"/>
      </w:pPr>
      <w:r w:rsidRPr="002E3A77">
        <w:t>Τα στοιχεία για τις υποχρεώσεις που απορρέουν από εκτός προϋπολογισμού ΣΔΙΤ είναι εκ</w:t>
      </w:r>
      <w:r w:rsidR="00271346">
        <w:t>πε</w:t>
      </w:r>
      <w:r w:rsidRPr="002E3A77">
        <w:t>φρασμένα σε όρους προσαρμοσμένης αξίας κεφαλαίου (</w:t>
      </w:r>
      <w:r w:rsidRPr="002E3A77">
        <w:rPr>
          <w:lang w:val="en-US"/>
        </w:rPr>
        <w:t>adjusted</w:t>
      </w:r>
      <w:r w:rsidRPr="002E3A77">
        <w:t xml:space="preserve"> </w:t>
      </w:r>
      <w:r w:rsidRPr="002E3A77">
        <w:rPr>
          <w:lang w:val="en-US"/>
        </w:rPr>
        <w:t>capital</w:t>
      </w:r>
      <w:r w:rsidRPr="002E3A77">
        <w:t xml:space="preserve"> </w:t>
      </w:r>
      <w:r w:rsidRPr="002E3A77">
        <w:rPr>
          <w:lang w:val="en-US"/>
        </w:rPr>
        <w:t>value</w:t>
      </w:r>
      <w:r w:rsidRPr="002E3A77">
        <w:t>), η οποία λαμβάνει υπόψ</w:t>
      </w:r>
      <w:r>
        <w:t>η</w:t>
      </w:r>
      <w:r w:rsidRPr="002E3A77">
        <w:t xml:space="preserve"> την απόσβεση των κεφαλαιουχικών αγαθών και αντανακλά την παρούσα αξία τους κατά την εκάστοτε χρονική στιγμή. Ως εκ τούτου, αντανακλά και τη δυνητική επίδραση στο δημόσιο χρέος σε περίπτωση μετατροπής της ενδεχόμενης υποχρέωσης σε πραγματική.</w:t>
      </w:r>
    </w:p>
    <w:tbl>
      <w:tblPr>
        <w:tblW w:w="9606" w:type="dxa"/>
        <w:jc w:val="center"/>
        <w:tblLook w:val="04A0" w:firstRow="1" w:lastRow="0" w:firstColumn="1" w:lastColumn="0" w:noHBand="0" w:noVBand="1"/>
      </w:tblPr>
      <w:tblGrid>
        <w:gridCol w:w="5644"/>
        <w:gridCol w:w="1320"/>
        <w:gridCol w:w="1320"/>
        <w:gridCol w:w="1322"/>
      </w:tblGrid>
      <w:tr w:rsidR="00476533" w:rsidRPr="00476533" w14:paraId="096E846F" w14:textId="77777777" w:rsidTr="007F0AE4">
        <w:trPr>
          <w:cantSplit/>
          <w:trHeight w:val="510"/>
          <w:jc w:val="center"/>
        </w:trPr>
        <w:tc>
          <w:tcPr>
            <w:tcW w:w="9606"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26183323" w14:textId="663B1E36" w:rsidR="00476533" w:rsidRPr="00476533" w:rsidRDefault="00476533" w:rsidP="007F0AE4">
            <w:pPr>
              <w:spacing w:after="0" w:line="276" w:lineRule="auto"/>
              <w:jc w:val="center"/>
              <w:rPr>
                <w:rFonts w:cs="Arial"/>
                <w:b/>
                <w:bCs/>
                <w:sz w:val="18"/>
                <w:szCs w:val="18"/>
              </w:rPr>
            </w:pPr>
            <w:bookmarkStart w:id="662" w:name="_Toc214474075"/>
            <w:r w:rsidRPr="00577576">
              <w:rPr>
                <w:rFonts w:cs="Arial"/>
                <w:b/>
                <w:sz w:val="18"/>
                <w:szCs w:val="18"/>
              </w:rPr>
              <w:t>Πίνακας 3.</w:t>
            </w:r>
            <w:r w:rsidRPr="00577576">
              <w:rPr>
                <w:rFonts w:cs="Arial"/>
                <w:b/>
                <w:sz w:val="18"/>
                <w:szCs w:val="18"/>
              </w:rPr>
              <w:fldChar w:fldCharType="begin"/>
            </w:r>
            <w:r w:rsidRPr="00577576">
              <w:rPr>
                <w:rFonts w:cs="Arial"/>
                <w:b/>
                <w:sz w:val="18"/>
                <w:szCs w:val="18"/>
              </w:rPr>
              <w:instrText xml:space="preserve"> SEQ Πίνακας_3. \* ARABIC </w:instrText>
            </w:r>
            <w:r w:rsidRPr="00577576">
              <w:rPr>
                <w:rFonts w:cs="Arial"/>
                <w:b/>
                <w:sz w:val="18"/>
                <w:szCs w:val="18"/>
              </w:rPr>
              <w:fldChar w:fldCharType="separate"/>
            </w:r>
            <w:r w:rsidR="00E15678">
              <w:rPr>
                <w:rFonts w:cs="Arial"/>
                <w:b/>
                <w:noProof/>
                <w:sz w:val="18"/>
                <w:szCs w:val="18"/>
              </w:rPr>
              <w:t>37</w:t>
            </w:r>
            <w:r w:rsidRPr="00577576">
              <w:rPr>
                <w:rFonts w:cs="Arial"/>
                <w:b/>
                <w:sz w:val="18"/>
                <w:szCs w:val="18"/>
              </w:rPr>
              <w:fldChar w:fldCharType="end"/>
            </w:r>
            <w:r w:rsidRPr="00577576">
              <w:rPr>
                <w:rFonts w:cs="Arial"/>
                <w:b/>
                <w:sz w:val="18"/>
                <w:szCs w:val="18"/>
              </w:rPr>
              <w:t xml:space="preserve">.: </w:t>
            </w:r>
            <w:r w:rsidRPr="00476533">
              <w:rPr>
                <w:rFonts w:cs="Arial"/>
                <w:b/>
                <w:bCs/>
                <w:sz w:val="18"/>
                <w:szCs w:val="18"/>
              </w:rPr>
              <w:t>Ενδεχόμενες υποχρεώσεις που απορρέουν από Συμπράξεις Δημοσίου</w:t>
            </w:r>
            <w:r w:rsidR="008751D8">
              <w:rPr>
                <w:rFonts w:cs="Arial"/>
                <w:b/>
                <w:bCs/>
                <w:sz w:val="18"/>
                <w:szCs w:val="18"/>
              </w:rPr>
              <w:t xml:space="preserve"> </w:t>
            </w:r>
            <w:r w:rsidRPr="00476533">
              <w:rPr>
                <w:rFonts w:cs="Arial"/>
                <w:b/>
                <w:bCs/>
                <w:sz w:val="18"/>
                <w:szCs w:val="18"/>
              </w:rPr>
              <w:t>-</w:t>
            </w:r>
            <w:r w:rsidR="008751D8">
              <w:rPr>
                <w:rFonts w:cs="Arial"/>
                <w:b/>
                <w:bCs/>
                <w:sz w:val="18"/>
                <w:szCs w:val="18"/>
              </w:rPr>
              <w:t xml:space="preserve"> </w:t>
            </w:r>
            <w:r w:rsidRPr="00476533">
              <w:rPr>
                <w:rFonts w:cs="Arial"/>
                <w:b/>
                <w:bCs/>
                <w:sz w:val="18"/>
                <w:szCs w:val="18"/>
              </w:rPr>
              <w:t>Ιδιωτικού Τομέα (ΣΔΙΤ), που καταγράφονται εκτός προϋπολογισμού (off-balance sheet) - προσαρμοσμένη κεφαλαιακή αξία</w:t>
            </w:r>
            <w:bookmarkEnd w:id="662"/>
          </w:p>
        </w:tc>
      </w:tr>
      <w:tr w:rsidR="00476533" w:rsidRPr="00476533" w14:paraId="07461AEA" w14:textId="77777777" w:rsidTr="007F0AE4">
        <w:trPr>
          <w:cantSplit/>
          <w:jc w:val="center"/>
        </w:trPr>
        <w:tc>
          <w:tcPr>
            <w:tcW w:w="5644"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noWrap/>
            <w:vAlign w:val="center"/>
            <w:hideMark/>
          </w:tcPr>
          <w:p w14:paraId="721DE00B" w14:textId="04115F5C" w:rsidR="00476533" w:rsidRPr="00476533" w:rsidRDefault="00476533" w:rsidP="007F0AE4">
            <w:pPr>
              <w:spacing w:after="0" w:line="276" w:lineRule="auto"/>
              <w:rPr>
                <w:rFonts w:cs="Arial"/>
                <w:color w:val="000000"/>
                <w:sz w:val="16"/>
                <w:szCs w:val="16"/>
              </w:rPr>
            </w:pPr>
          </w:p>
        </w:tc>
        <w:tc>
          <w:tcPr>
            <w:tcW w:w="1320"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7F2907EB" w14:textId="77777777" w:rsidR="00476533" w:rsidRPr="00476533" w:rsidRDefault="00476533" w:rsidP="007F0AE4">
            <w:pPr>
              <w:spacing w:after="0" w:line="276" w:lineRule="auto"/>
              <w:jc w:val="center"/>
              <w:rPr>
                <w:rFonts w:cs="Arial"/>
                <w:b/>
                <w:bCs/>
                <w:color w:val="000000"/>
                <w:sz w:val="16"/>
                <w:szCs w:val="16"/>
              </w:rPr>
            </w:pPr>
            <w:r w:rsidRPr="00476533">
              <w:rPr>
                <w:rFonts w:cs="Arial"/>
                <w:b/>
                <w:bCs/>
                <w:color w:val="000000"/>
                <w:sz w:val="16"/>
                <w:szCs w:val="16"/>
              </w:rPr>
              <w:t>2021</w:t>
            </w:r>
          </w:p>
        </w:tc>
        <w:tc>
          <w:tcPr>
            <w:tcW w:w="1320"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6421C15F" w14:textId="77777777" w:rsidR="00476533" w:rsidRPr="00476533" w:rsidRDefault="00476533" w:rsidP="007F0AE4">
            <w:pPr>
              <w:spacing w:after="0" w:line="276" w:lineRule="auto"/>
              <w:jc w:val="center"/>
              <w:rPr>
                <w:rFonts w:cs="Arial"/>
                <w:b/>
                <w:bCs/>
                <w:color w:val="000000"/>
                <w:sz w:val="16"/>
                <w:szCs w:val="16"/>
              </w:rPr>
            </w:pPr>
            <w:r w:rsidRPr="00476533">
              <w:rPr>
                <w:rFonts w:cs="Arial"/>
                <w:b/>
                <w:bCs/>
                <w:color w:val="000000"/>
                <w:sz w:val="16"/>
                <w:szCs w:val="16"/>
              </w:rPr>
              <w:t>2022</w:t>
            </w:r>
          </w:p>
        </w:tc>
        <w:tc>
          <w:tcPr>
            <w:tcW w:w="1322"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center"/>
            <w:hideMark/>
          </w:tcPr>
          <w:p w14:paraId="7E045537" w14:textId="77777777" w:rsidR="00476533" w:rsidRPr="00476533" w:rsidRDefault="00476533" w:rsidP="007F0AE4">
            <w:pPr>
              <w:spacing w:after="0" w:line="276" w:lineRule="auto"/>
              <w:jc w:val="center"/>
              <w:rPr>
                <w:rFonts w:cs="Arial"/>
                <w:b/>
                <w:bCs/>
                <w:color w:val="000000"/>
                <w:sz w:val="16"/>
                <w:szCs w:val="16"/>
              </w:rPr>
            </w:pPr>
            <w:r w:rsidRPr="00476533">
              <w:rPr>
                <w:rFonts w:cs="Arial"/>
                <w:b/>
                <w:bCs/>
                <w:color w:val="000000"/>
                <w:sz w:val="16"/>
                <w:szCs w:val="16"/>
              </w:rPr>
              <w:t>2023</w:t>
            </w:r>
          </w:p>
        </w:tc>
      </w:tr>
      <w:tr w:rsidR="00476533" w:rsidRPr="004014E4" w14:paraId="7251E7BF" w14:textId="77777777" w:rsidTr="007F0AE4">
        <w:trPr>
          <w:cantSplit/>
          <w:trHeight w:val="227"/>
          <w:jc w:val="center"/>
        </w:trPr>
        <w:tc>
          <w:tcPr>
            <w:tcW w:w="9606" w:type="dxa"/>
            <w:gridSpan w:val="4"/>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auto" w:fill="F2F2F2" w:themeFill="background1" w:themeFillShade="F2"/>
            <w:noWrap/>
            <w:vAlign w:val="center"/>
            <w:hideMark/>
          </w:tcPr>
          <w:p w14:paraId="27834745" w14:textId="77777777" w:rsidR="00476533" w:rsidRPr="004014E4" w:rsidRDefault="00476533" w:rsidP="007F0AE4">
            <w:pPr>
              <w:spacing w:after="0" w:line="276" w:lineRule="auto"/>
              <w:jc w:val="left"/>
              <w:rPr>
                <w:rFonts w:cs="Arial"/>
                <w:b/>
                <w:i/>
                <w:iCs/>
                <w:color w:val="000000"/>
                <w:sz w:val="16"/>
                <w:szCs w:val="16"/>
              </w:rPr>
            </w:pPr>
            <w:r w:rsidRPr="004014E4">
              <w:rPr>
                <w:rFonts w:cs="Arial"/>
                <w:b/>
                <w:i/>
                <w:iCs/>
                <w:color w:val="000000"/>
                <w:sz w:val="16"/>
                <w:szCs w:val="16"/>
              </w:rPr>
              <w:t>σε εκατ. ευρώ</w:t>
            </w:r>
          </w:p>
        </w:tc>
      </w:tr>
      <w:tr w:rsidR="00476533" w:rsidRPr="00476533" w14:paraId="77C88D27" w14:textId="77777777" w:rsidTr="00002918">
        <w:trPr>
          <w:cantSplit/>
          <w:jc w:val="center"/>
        </w:trPr>
        <w:tc>
          <w:tcPr>
            <w:tcW w:w="5644" w:type="dxa"/>
            <w:tcBorders>
              <w:left w:val="single" w:sz="2" w:space="0" w:color="A6A6A6" w:themeColor="background1" w:themeShade="A6"/>
            </w:tcBorders>
            <w:shd w:val="clear" w:color="auto" w:fill="auto"/>
            <w:noWrap/>
            <w:vAlign w:val="center"/>
            <w:hideMark/>
          </w:tcPr>
          <w:p w14:paraId="4B3487BE" w14:textId="484FF786"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 xml:space="preserve">Γενική </w:t>
            </w:r>
            <w:r w:rsidR="00271346">
              <w:rPr>
                <w:rFonts w:cs="Arial"/>
                <w:color w:val="000000"/>
                <w:sz w:val="16"/>
                <w:szCs w:val="16"/>
              </w:rPr>
              <w:t>Κ</w:t>
            </w:r>
            <w:r w:rsidRPr="00476533">
              <w:rPr>
                <w:rFonts w:cs="Arial"/>
                <w:color w:val="000000"/>
                <w:sz w:val="16"/>
                <w:szCs w:val="16"/>
              </w:rPr>
              <w:t>υβέρνηση</w:t>
            </w:r>
          </w:p>
        </w:tc>
        <w:tc>
          <w:tcPr>
            <w:tcW w:w="1320" w:type="dxa"/>
            <w:shd w:val="clear" w:color="auto" w:fill="auto"/>
            <w:noWrap/>
            <w:vAlign w:val="center"/>
            <w:hideMark/>
          </w:tcPr>
          <w:p w14:paraId="39485984"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327,53</w:t>
            </w:r>
          </w:p>
        </w:tc>
        <w:tc>
          <w:tcPr>
            <w:tcW w:w="1320" w:type="dxa"/>
            <w:shd w:val="clear" w:color="auto" w:fill="auto"/>
            <w:noWrap/>
            <w:vAlign w:val="center"/>
            <w:hideMark/>
          </w:tcPr>
          <w:p w14:paraId="279F0076"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354,94</w:t>
            </w:r>
          </w:p>
        </w:tc>
        <w:tc>
          <w:tcPr>
            <w:tcW w:w="1322" w:type="dxa"/>
            <w:tcBorders>
              <w:right w:val="single" w:sz="2" w:space="0" w:color="A6A6A6" w:themeColor="background1" w:themeShade="A6"/>
            </w:tcBorders>
            <w:shd w:val="clear" w:color="auto" w:fill="auto"/>
            <w:noWrap/>
            <w:vAlign w:val="center"/>
            <w:hideMark/>
          </w:tcPr>
          <w:p w14:paraId="19E16ABD"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471,86</w:t>
            </w:r>
          </w:p>
        </w:tc>
      </w:tr>
      <w:tr w:rsidR="00476533" w:rsidRPr="00476533" w14:paraId="66D58457" w14:textId="77777777" w:rsidTr="00002918">
        <w:trPr>
          <w:cantSplit/>
          <w:jc w:val="center"/>
        </w:trPr>
        <w:tc>
          <w:tcPr>
            <w:tcW w:w="5644" w:type="dxa"/>
            <w:tcBorders>
              <w:left w:val="single" w:sz="2" w:space="0" w:color="A6A6A6" w:themeColor="background1" w:themeShade="A6"/>
            </w:tcBorders>
            <w:shd w:val="clear" w:color="auto" w:fill="auto"/>
            <w:noWrap/>
            <w:vAlign w:val="center"/>
            <w:hideMark/>
          </w:tcPr>
          <w:p w14:paraId="63DC0FB8"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Κεντρική Κυβέρνηση</w:t>
            </w:r>
          </w:p>
        </w:tc>
        <w:tc>
          <w:tcPr>
            <w:tcW w:w="1320" w:type="dxa"/>
            <w:shd w:val="clear" w:color="auto" w:fill="auto"/>
            <w:noWrap/>
            <w:vAlign w:val="center"/>
            <w:hideMark/>
          </w:tcPr>
          <w:p w14:paraId="0C53FE1B"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327,53</w:t>
            </w:r>
          </w:p>
        </w:tc>
        <w:tc>
          <w:tcPr>
            <w:tcW w:w="1320" w:type="dxa"/>
            <w:shd w:val="clear" w:color="auto" w:fill="auto"/>
            <w:noWrap/>
            <w:vAlign w:val="center"/>
            <w:hideMark/>
          </w:tcPr>
          <w:p w14:paraId="0D4819BE"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354,94</w:t>
            </w:r>
          </w:p>
        </w:tc>
        <w:tc>
          <w:tcPr>
            <w:tcW w:w="1322" w:type="dxa"/>
            <w:tcBorders>
              <w:right w:val="single" w:sz="2" w:space="0" w:color="A6A6A6" w:themeColor="background1" w:themeShade="A6"/>
            </w:tcBorders>
            <w:shd w:val="clear" w:color="auto" w:fill="auto"/>
            <w:noWrap/>
            <w:vAlign w:val="center"/>
            <w:hideMark/>
          </w:tcPr>
          <w:p w14:paraId="22104FE3"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471,86</w:t>
            </w:r>
          </w:p>
        </w:tc>
      </w:tr>
      <w:tr w:rsidR="00476533" w:rsidRPr="00476533" w14:paraId="0BB18B68" w14:textId="77777777" w:rsidTr="00002918">
        <w:trPr>
          <w:cantSplit/>
          <w:jc w:val="center"/>
        </w:trPr>
        <w:tc>
          <w:tcPr>
            <w:tcW w:w="5644" w:type="dxa"/>
            <w:tcBorders>
              <w:left w:val="single" w:sz="2" w:space="0" w:color="A6A6A6" w:themeColor="background1" w:themeShade="A6"/>
            </w:tcBorders>
            <w:shd w:val="clear" w:color="auto" w:fill="auto"/>
            <w:noWrap/>
            <w:vAlign w:val="center"/>
            <w:hideMark/>
          </w:tcPr>
          <w:p w14:paraId="2842E562"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Τοπική Αυτοδιοίκηση</w:t>
            </w:r>
          </w:p>
        </w:tc>
        <w:tc>
          <w:tcPr>
            <w:tcW w:w="1320" w:type="dxa"/>
            <w:shd w:val="clear" w:color="auto" w:fill="auto"/>
            <w:noWrap/>
            <w:vAlign w:val="center"/>
            <w:hideMark/>
          </w:tcPr>
          <w:p w14:paraId="2966AA08"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1320" w:type="dxa"/>
            <w:shd w:val="clear" w:color="auto" w:fill="auto"/>
            <w:noWrap/>
            <w:vAlign w:val="center"/>
            <w:hideMark/>
          </w:tcPr>
          <w:p w14:paraId="6295CF0B"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1322" w:type="dxa"/>
            <w:tcBorders>
              <w:right w:val="single" w:sz="2" w:space="0" w:color="A6A6A6" w:themeColor="background1" w:themeShade="A6"/>
            </w:tcBorders>
            <w:shd w:val="clear" w:color="auto" w:fill="auto"/>
            <w:noWrap/>
            <w:vAlign w:val="center"/>
            <w:hideMark/>
          </w:tcPr>
          <w:p w14:paraId="2834C68B"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r>
      <w:tr w:rsidR="00476533" w:rsidRPr="00476533" w14:paraId="4DC5C7C4" w14:textId="77777777" w:rsidTr="00002918">
        <w:trPr>
          <w:cantSplit/>
          <w:jc w:val="center"/>
        </w:trPr>
        <w:tc>
          <w:tcPr>
            <w:tcW w:w="5644" w:type="dxa"/>
            <w:tcBorders>
              <w:left w:val="single" w:sz="2" w:space="0" w:color="A6A6A6" w:themeColor="background1" w:themeShade="A6"/>
            </w:tcBorders>
            <w:shd w:val="clear" w:color="auto" w:fill="auto"/>
            <w:noWrap/>
            <w:vAlign w:val="center"/>
            <w:hideMark/>
          </w:tcPr>
          <w:p w14:paraId="353DBE25"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Φορείς Κοινωνικής Ασφάλισης</w:t>
            </w:r>
          </w:p>
        </w:tc>
        <w:tc>
          <w:tcPr>
            <w:tcW w:w="1320" w:type="dxa"/>
            <w:shd w:val="clear" w:color="auto" w:fill="auto"/>
            <w:noWrap/>
            <w:vAlign w:val="center"/>
            <w:hideMark/>
          </w:tcPr>
          <w:p w14:paraId="1CB44F1C"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1320" w:type="dxa"/>
            <w:shd w:val="clear" w:color="auto" w:fill="auto"/>
            <w:noWrap/>
            <w:vAlign w:val="center"/>
            <w:hideMark/>
          </w:tcPr>
          <w:p w14:paraId="4C4BAB74"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1322" w:type="dxa"/>
            <w:tcBorders>
              <w:right w:val="single" w:sz="2" w:space="0" w:color="A6A6A6" w:themeColor="background1" w:themeShade="A6"/>
            </w:tcBorders>
            <w:shd w:val="clear" w:color="auto" w:fill="auto"/>
            <w:noWrap/>
            <w:vAlign w:val="center"/>
            <w:hideMark/>
          </w:tcPr>
          <w:p w14:paraId="0DFD6985"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r>
      <w:tr w:rsidR="00476533" w:rsidRPr="004014E4" w14:paraId="4BE9E1D7" w14:textId="77777777" w:rsidTr="007F0AE4">
        <w:trPr>
          <w:cantSplit/>
          <w:trHeight w:val="227"/>
          <w:jc w:val="center"/>
        </w:trPr>
        <w:tc>
          <w:tcPr>
            <w:tcW w:w="9606" w:type="dxa"/>
            <w:gridSpan w:val="4"/>
            <w:tcBorders>
              <w:left w:val="single" w:sz="2" w:space="0" w:color="A6A6A6" w:themeColor="background1" w:themeShade="A6"/>
              <w:right w:val="single" w:sz="2" w:space="0" w:color="A6A6A6" w:themeColor="background1" w:themeShade="A6"/>
            </w:tcBorders>
            <w:shd w:val="clear" w:color="auto" w:fill="F2F2F2" w:themeFill="background1" w:themeFillShade="F2"/>
            <w:noWrap/>
            <w:vAlign w:val="center"/>
            <w:hideMark/>
          </w:tcPr>
          <w:p w14:paraId="378D89BD" w14:textId="77777777" w:rsidR="00476533" w:rsidRPr="004014E4" w:rsidRDefault="00476533" w:rsidP="007F0AE4">
            <w:pPr>
              <w:spacing w:after="0" w:line="276" w:lineRule="auto"/>
              <w:jc w:val="left"/>
              <w:rPr>
                <w:rFonts w:cs="Arial"/>
                <w:b/>
                <w:i/>
                <w:iCs/>
                <w:color w:val="000000"/>
                <w:sz w:val="16"/>
                <w:szCs w:val="16"/>
              </w:rPr>
            </w:pPr>
            <w:r w:rsidRPr="004014E4">
              <w:rPr>
                <w:rFonts w:cs="Arial"/>
                <w:b/>
                <w:i/>
                <w:iCs/>
                <w:color w:val="000000"/>
                <w:sz w:val="16"/>
                <w:szCs w:val="16"/>
              </w:rPr>
              <w:t>ως % του ΑΕΠ</w:t>
            </w:r>
          </w:p>
        </w:tc>
      </w:tr>
      <w:tr w:rsidR="00476533" w:rsidRPr="00476533" w14:paraId="7BCDE934" w14:textId="77777777" w:rsidTr="00002918">
        <w:trPr>
          <w:cantSplit/>
          <w:jc w:val="center"/>
        </w:trPr>
        <w:tc>
          <w:tcPr>
            <w:tcW w:w="5644" w:type="dxa"/>
            <w:tcBorders>
              <w:left w:val="single" w:sz="2" w:space="0" w:color="A6A6A6" w:themeColor="background1" w:themeShade="A6"/>
            </w:tcBorders>
            <w:shd w:val="clear" w:color="auto" w:fill="auto"/>
            <w:noWrap/>
            <w:vAlign w:val="center"/>
            <w:hideMark/>
          </w:tcPr>
          <w:p w14:paraId="6689C833" w14:textId="7491ADD6"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 xml:space="preserve">Γενική </w:t>
            </w:r>
            <w:r w:rsidR="00271346">
              <w:rPr>
                <w:rFonts w:cs="Arial"/>
                <w:color w:val="000000"/>
                <w:sz w:val="16"/>
                <w:szCs w:val="16"/>
              </w:rPr>
              <w:t>Κ</w:t>
            </w:r>
            <w:r w:rsidRPr="00476533">
              <w:rPr>
                <w:rFonts w:cs="Arial"/>
                <w:color w:val="000000"/>
                <w:sz w:val="16"/>
                <w:szCs w:val="16"/>
              </w:rPr>
              <w:t>υβέρνηση</w:t>
            </w:r>
          </w:p>
        </w:tc>
        <w:tc>
          <w:tcPr>
            <w:tcW w:w="1320" w:type="dxa"/>
            <w:shd w:val="clear" w:color="auto" w:fill="auto"/>
            <w:noWrap/>
            <w:vAlign w:val="center"/>
            <w:hideMark/>
          </w:tcPr>
          <w:p w14:paraId="4ED2373A"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0,18</w:t>
            </w:r>
          </w:p>
        </w:tc>
        <w:tc>
          <w:tcPr>
            <w:tcW w:w="1320" w:type="dxa"/>
            <w:shd w:val="clear" w:color="auto" w:fill="auto"/>
            <w:noWrap/>
            <w:vAlign w:val="center"/>
            <w:hideMark/>
          </w:tcPr>
          <w:p w14:paraId="719D78B8"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0,17</w:t>
            </w:r>
          </w:p>
        </w:tc>
        <w:tc>
          <w:tcPr>
            <w:tcW w:w="1322" w:type="dxa"/>
            <w:tcBorders>
              <w:right w:val="single" w:sz="2" w:space="0" w:color="A6A6A6" w:themeColor="background1" w:themeShade="A6"/>
            </w:tcBorders>
            <w:shd w:val="clear" w:color="auto" w:fill="auto"/>
            <w:noWrap/>
            <w:vAlign w:val="center"/>
            <w:hideMark/>
          </w:tcPr>
          <w:p w14:paraId="412D2414"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0,21</w:t>
            </w:r>
          </w:p>
        </w:tc>
      </w:tr>
      <w:tr w:rsidR="00476533" w:rsidRPr="00476533" w14:paraId="0A4D5446" w14:textId="77777777" w:rsidTr="00002918">
        <w:trPr>
          <w:cantSplit/>
          <w:jc w:val="center"/>
        </w:trPr>
        <w:tc>
          <w:tcPr>
            <w:tcW w:w="5644" w:type="dxa"/>
            <w:tcBorders>
              <w:left w:val="single" w:sz="2" w:space="0" w:color="A6A6A6" w:themeColor="background1" w:themeShade="A6"/>
            </w:tcBorders>
            <w:shd w:val="clear" w:color="auto" w:fill="auto"/>
            <w:noWrap/>
            <w:vAlign w:val="center"/>
            <w:hideMark/>
          </w:tcPr>
          <w:p w14:paraId="25787D35"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Κεντρική Κυβέρνηση</w:t>
            </w:r>
          </w:p>
        </w:tc>
        <w:tc>
          <w:tcPr>
            <w:tcW w:w="1320" w:type="dxa"/>
            <w:shd w:val="clear" w:color="auto" w:fill="auto"/>
            <w:noWrap/>
            <w:vAlign w:val="center"/>
            <w:hideMark/>
          </w:tcPr>
          <w:p w14:paraId="1A6823E9"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0,18</w:t>
            </w:r>
          </w:p>
        </w:tc>
        <w:tc>
          <w:tcPr>
            <w:tcW w:w="1320" w:type="dxa"/>
            <w:shd w:val="clear" w:color="auto" w:fill="auto"/>
            <w:noWrap/>
            <w:vAlign w:val="center"/>
            <w:hideMark/>
          </w:tcPr>
          <w:p w14:paraId="28366A54"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0,17</w:t>
            </w:r>
          </w:p>
        </w:tc>
        <w:tc>
          <w:tcPr>
            <w:tcW w:w="1322" w:type="dxa"/>
            <w:tcBorders>
              <w:right w:val="single" w:sz="2" w:space="0" w:color="A6A6A6" w:themeColor="background1" w:themeShade="A6"/>
            </w:tcBorders>
            <w:shd w:val="clear" w:color="auto" w:fill="auto"/>
            <w:noWrap/>
            <w:vAlign w:val="center"/>
            <w:hideMark/>
          </w:tcPr>
          <w:p w14:paraId="4A99D356"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0,21</w:t>
            </w:r>
          </w:p>
        </w:tc>
      </w:tr>
      <w:tr w:rsidR="00476533" w:rsidRPr="00476533" w14:paraId="6B7DE32F" w14:textId="77777777" w:rsidTr="00002918">
        <w:trPr>
          <w:cantSplit/>
          <w:jc w:val="center"/>
        </w:trPr>
        <w:tc>
          <w:tcPr>
            <w:tcW w:w="5644" w:type="dxa"/>
            <w:tcBorders>
              <w:left w:val="single" w:sz="2" w:space="0" w:color="A6A6A6" w:themeColor="background1" w:themeShade="A6"/>
            </w:tcBorders>
            <w:shd w:val="clear" w:color="auto" w:fill="auto"/>
            <w:noWrap/>
            <w:vAlign w:val="center"/>
            <w:hideMark/>
          </w:tcPr>
          <w:p w14:paraId="53A6C696"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Τοπική Αυτοδιοίκηση</w:t>
            </w:r>
          </w:p>
        </w:tc>
        <w:tc>
          <w:tcPr>
            <w:tcW w:w="1320" w:type="dxa"/>
            <w:shd w:val="clear" w:color="auto" w:fill="auto"/>
            <w:noWrap/>
            <w:vAlign w:val="center"/>
            <w:hideMark/>
          </w:tcPr>
          <w:p w14:paraId="401D5B6F"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1320" w:type="dxa"/>
            <w:shd w:val="clear" w:color="auto" w:fill="auto"/>
            <w:noWrap/>
            <w:vAlign w:val="center"/>
            <w:hideMark/>
          </w:tcPr>
          <w:p w14:paraId="41497D3A"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1322" w:type="dxa"/>
            <w:tcBorders>
              <w:right w:val="single" w:sz="2" w:space="0" w:color="A6A6A6" w:themeColor="background1" w:themeShade="A6"/>
            </w:tcBorders>
            <w:shd w:val="clear" w:color="auto" w:fill="auto"/>
            <w:noWrap/>
            <w:vAlign w:val="center"/>
            <w:hideMark/>
          </w:tcPr>
          <w:p w14:paraId="3B55F3FC"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r>
      <w:tr w:rsidR="00476533" w:rsidRPr="00476533" w14:paraId="331F8AA3" w14:textId="77777777" w:rsidTr="00002918">
        <w:trPr>
          <w:cantSplit/>
          <w:jc w:val="center"/>
        </w:trPr>
        <w:tc>
          <w:tcPr>
            <w:tcW w:w="5644" w:type="dxa"/>
            <w:tcBorders>
              <w:left w:val="single" w:sz="2" w:space="0" w:color="A6A6A6" w:themeColor="background1" w:themeShade="A6"/>
              <w:bottom w:val="single" w:sz="2" w:space="0" w:color="A6A6A6" w:themeColor="background1" w:themeShade="A6"/>
            </w:tcBorders>
            <w:shd w:val="clear" w:color="auto" w:fill="auto"/>
            <w:noWrap/>
            <w:vAlign w:val="center"/>
            <w:hideMark/>
          </w:tcPr>
          <w:p w14:paraId="57817DB4"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Φορείς Κοινωνικής Ασφάλισης</w:t>
            </w:r>
          </w:p>
        </w:tc>
        <w:tc>
          <w:tcPr>
            <w:tcW w:w="1320" w:type="dxa"/>
            <w:tcBorders>
              <w:bottom w:val="single" w:sz="2" w:space="0" w:color="A6A6A6" w:themeColor="background1" w:themeShade="A6"/>
            </w:tcBorders>
            <w:shd w:val="clear" w:color="auto" w:fill="auto"/>
            <w:noWrap/>
            <w:vAlign w:val="center"/>
            <w:hideMark/>
          </w:tcPr>
          <w:p w14:paraId="1DC05782"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1320" w:type="dxa"/>
            <w:tcBorders>
              <w:bottom w:val="single" w:sz="2" w:space="0" w:color="A6A6A6" w:themeColor="background1" w:themeShade="A6"/>
            </w:tcBorders>
            <w:shd w:val="clear" w:color="auto" w:fill="auto"/>
            <w:noWrap/>
            <w:vAlign w:val="center"/>
            <w:hideMark/>
          </w:tcPr>
          <w:p w14:paraId="76E9C607"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1322" w:type="dxa"/>
            <w:tcBorders>
              <w:bottom w:val="single" w:sz="2" w:space="0" w:color="A6A6A6" w:themeColor="background1" w:themeShade="A6"/>
              <w:right w:val="single" w:sz="2" w:space="0" w:color="A6A6A6" w:themeColor="background1" w:themeShade="A6"/>
            </w:tcBorders>
            <w:shd w:val="clear" w:color="auto" w:fill="auto"/>
            <w:noWrap/>
            <w:vAlign w:val="center"/>
            <w:hideMark/>
          </w:tcPr>
          <w:p w14:paraId="015EF667"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r>
      <w:tr w:rsidR="007F0AE4" w:rsidRPr="00476533" w14:paraId="4A27BAEA" w14:textId="77777777" w:rsidTr="00495D27">
        <w:trPr>
          <w:cantSplit/>
          <w:jc w:val="center"/>
        </w:trPr>
        <w:tc>
          <w:tcPr>
            <w:tcW w:w="9606" w:type="dxa"/>
            <w:gridSpan w:val="4"/>
            <w:tcBorders>
              <w:top w:val="single" w:sz="2" w:space="0" w:color="A6A6A6" w:themeColor="background1" w:themeShade="A6"/>
            </w:tcBorders>
            <w:shd w:val="clear" w:color="000000" w:fill="FFFFFF"/>
            <w:noWrap/>
            <w:vAlign w:val="center"/>
            <w:hideMark/>
          </w:tcPr>
          <w:p w14:paraId="0DEFF8C8" w14:textId="64686ABB" w:rsidR="007F0AE4" w:rsidRPr="00476533" w:rsidRDefault="007F0AE4" w:rsidP="00CC2FE5">
            <w:pPr>
              <w:spacing w:before="60" w:after="0" w:line="276" w:lineRule="auto"/>
              <w:rPr>
                <w:rFonts w:cs="Arial"/>
                <w:color w:val="000000"/>
                <w:sz w:val="16"/>
                <w:szCs w:val="16"/>
              </w:rPr>
            </w:pPr>
            <w:r w:rsidRPr="00476533">
              <w:rPr>
                <w:rFonts w:cs="Arial"/>
                <w:color w:val="000000"/>
                <w:sz w:val="16"/>
                <w:szCs w:val="16"/>
              </w:rPr>
              <w:t>Πηγή: Eurostat</w:t>
            </w:r>
          </w:p>
        </w:tc>
      </w:tr>
    </w:tbl>
    <w:p w14:paraId="5E8CF230" w14:textId="77777777" w:rsidR="008751D8" w:rsidRDefault="008751D8">
      <w:pPr>
        <w:spacing w:after="0" w:line="240" w:lineRule="auto"/>
        <w:jc w:val="left"/>
        <w:rPr>
          <w:highlight w:val="yellow"/>
        </w:rPr>
      </w:pPr>
      <w:r>
        <w:rPr>
          <w:highlight w:val="yellow"/>
        </w:rPr>
        <w:br w:type="page"/>
      </w:r>
    </w:p>
    <w:p w14:paraId="6E63C504" w14:textId="6B8E2D04" w:rsidR="0081168C" w:rsidRPr="0098356F" w:rsidRDefault="00476533" w:rsidP="009246C9">
      <w:pPr>
        <w:spacing w:before="240" w:after="240"/>
      </w:pPr>
      <w:r w:rsidRPr="008751D8">
        <w:lastRenderedPageBreak/>
        <w:t xml:space="preserve">Τα στοιχεία για το ύψος των μη εξυπηρετούμενων δανείων που έχουν χορηγηθεί από φορείς της Γενικής Κυβέρνησης παρουσιάζονται </w:t>
      </w:r>
      <w:r w:rsidRPr="0098356F">
        <w:t>στον ακόλουθο πίνακα</w:t>
      </w:r>
      <w:r w:rsidR="00E73902" w:rsidRPr="0098356F">
        <w:t xml:space="preserve"> (</w:t>
      </w:r>
      <w:r w:rsidR="00E73902" w:rsidRPr="0098356F">
        <w:fldChar w:fldCharType="begin"/>
      </w:r>
      <w:r w:rsidR="00E73902" w:rsidRPr="0098356F">
        <w:instrText xml:space="preserve"> REF _Ref213504445 \h  \* MERGEFORMAT </w:instrText>
      </w:r>
      <w:r w:rsidR="00E73902" w:rsidRPr="0098356F">
        <w:fldChar w:fldCharType="separate"/>
      </w:r>
      <w:r w:rsidR="00E15678" w:rsidRPr="00E15678">
        <w:t>Πίνακας 3.38</w:t>
      </w:r>
      <w:r w:rsidR="00E73902" w:rsidRPr="0098356F">
        <w:fldChar w:fldCharType="end"/>
      </w:r>
      <w:r w:rsidR="00E73902" w:rsidRPr="0098356F">
        <w:t>.)</w:t>
      </w:r>
      <w:r w:rsidRPr="0098356F">
        <w:t>.</w:t>
      </w:r>
    </w:p>
    <w:tbl>
      <w:tblPr>
        <w:tblW w:w="8515" w:type="dxa"/>
        <w:jc w:val="center"/>
        <w:tblLook w:val="04A0" w:firstRow="1" w:lastRow="0" w:firstColumn="1" w:lastColumn="0" w:noHBand="0" w:noVBand="1"/>
      </w:tblPr>
      <w:tblGrid>
        <w:gridCol w:w="5591"/>
        <w:gridCol w:w="974"/>
        <w:gridCol w:w="974"/>
        <w:gridCol w:w="976"/>
      </w:tblGrid>
      <w:tr w:rsidR="00476533" w:rsidRPr="00476533" w14:paraId="76C8D698" w14:textId="77777777" w:rsidTr="007F0AE4">
        <w:trPr>
          <w:cantSplit/>
          <w:jc w:val="center"/>
        </w:trPr>
        <w:tc>
          <w:tcPr>
            <w:tcW w:w="8515"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vAlign w:val="center"/>
            <w:hideMark/>
          </w:tcPr>
          <w:p w14:paraId="1DB9AA59" w14:textId="10736D39" w:rsidR="00476533" w:rsidRPr="00476533" w:rsidRDefault="00476533" w:rsidP="007F0AE4">
            <w:pPr>
              <w:spacing w:after="0" w:line="276" w:lineRule="auto"/>
              <w:jc w:val="center"/>
              <w:rPr>
                <w:rFonts w:cs="Arial"/>
                <w:b/>
                <w:sz w:val="18"/>
                <w:szCs w:val="18"/>
                <w:highlight w:val="yellow"/>
              </w:rPr>
            </w:pPr>
            <w:bookmarkStart w:id="663" w:name="_Ref213504445"/>
            <w:bookmarkStart w:id="664" w:name="_Toc214474076"/>
            <w:r w:rsidRPr="00577576">
              <w:rPr>
                <w:rFonts w:cs="Arial"/>
                <w:b/>
                <w:sz w:val="18"/>
                <w:szCs w:val="18"/>
              </w:rPr>
              <w:t>Πίνακας 3.</w:t>
            </w:r>
            <w:r w:rsidRPr="00577576">
              <w:rPr>
                <w:rFonts w:cs="Arial"/>
                <w:b/>
                <w:sz w:val="18"/>
                <w:szCs w:val="18"/>
              </w:rPr>
              <w:fldChar w:fldCharType="begin"/>
            </w:r>
            <w:r w:rsidRPr="00577576">
              <w:rPr>
                <w:rFonts w:cs="Arial"/>
                <w:b/>
                <w:sz w:val="18"/>
                <w:szCs w:val="18"/>
              </w:rPr>
              <w:instrText xml:space="preserve"> SEQ Πίνακας_3. \* ARABIC </w:instrText>
            </w:r>
            <w:r w:rsidRPr="00577576">
              <w:rPr>
                <w:rFonts w:cs="Arial"/>
                <w:b/>
                <w:sz w:val="18"/>
                <w:szCs w:val="18"/>
              </w:rPr>
              <w:fldChar w:fldCharType="separate"/>
            </w:r>
            <w:r w:rsidR="00E15678">
              <w:rPr>
                <w:rFonts w:cs="Arial"/>
                <w:b/>
                <w:noProof/>
                <w:sz w:val="18"/>
                <w:szCs w:val="18"/>
              </w:rPr>
              <w:t>38</w:t>
            </w:r>
            <w:r w:rsidRPr="00577576">
              <w:rPr>
                <w:rFonts w:cs="Arial"/>
                <w:b/>
                <w:sz w:val="18"/>
                <w:szCs w:val="18"/>
              </w:rPr>
              <w:fldChar w:fldCharType="end"/>
            </w:r>
            <w:bookmarkEnd w:id="663"/>
            <w:r w:rsidRPr="00577576">
              <w:rPr>
                <w:rFonts w:cs="Arial"/>
                <w:b/>
                <w:sz w:val="18"/>
                <w:szCs w:val="18"/>
              </w:rPr>
              <w:t xml:space="preserve">.: </w:t>
            </w:r>
            <w:r w:rsidRPr="00476533">
              <w:rPr>
                <w:rFonts w:cs="Arial"/>
                <w:b/>
                <w:sz w:val="18"/>
                <w:szCs w:val="18"/>
              </w:rPr>
              <w:t xml:space="preserve">Μη εξυπηρετούμενα δάνεια χορηγηθέντα από φορείς </w:t>
            </w:r>
            <w:r w:rsidR="00CC53F8" w:rsidRPr="00577576">
              <w:rPr>
                <w:rFonts w:cs="Arial"/>
                <w:b/>
                <w:sz w:val="18"/>
                <w:szCs w:val="18"/>
              </w:rPr>
              <w:t>της Γενικής Κυβέρνησης</w:t>
            </w:r>
            <w:bookmarkEnd w:id="664"/>
          </w:p>
        </w:tc>
      </w:tr>
      <w:tr w:rsidR="00476533" w:rsidRPr="00476533" w14:paraId="6DE0A4F1" w14:textId="77777777" w:rsidTr="007F0AE4">
        <w:trPr>
          <w:cantSplit/>
          <w:jc w:val="center"/>
        </w:trPr>
        <w:tc>
          <w:tcPr>
            <w:tcW w:w="5591" w:type="dxa"/>
            <w:tcBorders>
              <w:top w:val="single" w:sz="2" w:space="0" w:color="A6A6A6" w:themeColor="background1" w:themeShade="A6"/>
              <w:left w:val="single" w:sz="2" w:space="0" w:color="A6A6A6" w:themeColor="background1" w:themeShade="A6"/>
            </w:tcBorders>
            <w:shd w:val="clear" w:color="auto" w:fill="auto"/>
            <w:noWrap/>
            <w:vAlign w:val="center"/>
            <w:hideMark/>
          </w:tcPr>
          <w:p w14:paraId="20C2AA51" w14:textId="7FC01A71" w:rsidR="00476533" w:rsidRPr="00476533" w:rsidRDefault="00476533" w:rsidP="007F0AE4">
            <w:pPr>
              <w:spacing w:after="0" w:line="276" w:lineRule="auto"/>
              <w:rPr>
                <w:rFonts w:cs="Arial"/>
                <w:color w:val="000000"/>
                <w:sz w:val="16"/>
                <w:szCs w:val="16"/>
              </w:rPr>
            </w:pPr>
          </w:p>
        </w:tc>
        <w:tc>
          <w:tcPr>
            <w:tcW w:w="974" w:type="dxa"/>
            <w:tcBorders>
              <w:top w:val="single" w:sz="2" w:space="0" w:color="A6A6A6" w:themeColor="background1" w:themeShade="A6"/>
            </w:tcBorders>
            <w:shd w:val="clear" w:color="auto" w:fill="auto"/>
            <w:noWrap/>
            <w:vAlign w:val="center"/>
            <w:hideMark/>
          </w:tcPr>
          <w:p w14:paraId="670CB838" w14:textId="77777777" w:rsidR="00476533" w:rsidRPr="00476533" w:rsidRDefault="00476533" w:rsidP="007F0AE4">
            <w:pPr>
              <w:spacing w:after="0" w:line="276" w:lineRule="auto"/>
              <w:jc w:val="center"/>
              <w:rPr>
                <w:rFonts w:cs="Arial"/>
                <w:b/>
                <w:bCs/>
                <w:color w:val="000000"/>
                <w:sz w:val="16"/>
                <w:szCs w:val="16"/>
              </w:rPr>
            </w:pPr>
            <w:r w:rsidRPr="00476533">
              <w:rPr>
                <w:rFonts w:cs="Arial"/>
                <w:b/>
                <w:bCs/>
                <w:color w:val="000000"/>
                <w:sz w:val="16"/>
                <w:szCs w:val="16"/>
              </w:rPr>
              <w:t>2021</w:t>
            </w:r>
          </w:p>
        </w:tc>
        <w:tc>
          <w:tcPr>
            <w:tcW w:w="974" w:type="dxa"/>
            <w:tcBorders>
              <w:top w:val="single" w:sz="2" w:space="0" w:color="A6A6A6" w:themeColor="background1" w:themeShade="A6"/>
            </w:tcBorders>
            <w:shd w:val="clear" w:color="auto" w:fill="auto"/>
            <w:noWrap/>
            <w:vAlign w:val="center"/>
            <w:hideMark/>
          </w:tcPr>
          <w:p w14:paraId="6E043187" w14:textId="77777777" w:rsidR="00476533" w:rsidRPr="00476533" w:rsidRDefault="00476533" w:rsidP="007F0AE4">
            <w:pPr>
              <w:spacing w:after="0" w:line="276" w:lineRule="auto"/>
              <w:jc w:val="center"/>
              <w:rPr>
                <w:rFonts w:cs="Arial"/>
                <w:b/>
                <w:bCs/>
                <w:color w:val="000000"/>
                <w:sz w:val="16"/>
                <w:szCs w:val="16"/>
              </w:rPr>
            </w:pPr>
            <w:r w:rsidRPr="00476533">
              <w:rPr>
                <w:rFonts w:cs="Arial"/>
                <w:b/>
                <w:bCs/>
                <w:color w:val="000000"/>
                <w:sz w:val="16"/>
                <w:szCs w:val="16"/>
              </w:rPr>
              <w:t>2022</w:t>
            </w:r>
          </w:p>
        </w:tc>
        <w:tc>
          <w:tcPr>
            <w:tcW w:w="976" w:type="dxa"/>
            <w:tcBorders>
              <w:top w:val="single" w:sz="2" w:space="0" w:color="A6A6A6" w:themeColor="background1" w:themeShade="A6"/>
              <w:right w:val="single" w:sz="2" w:space="0" w:color="A6A6A6" w:themeColor="background1" w:themeShade="A6"/>
            </w:tcBorders>
            <w:shd w:val="clear" w:color="auto" w:fill="auto"/>
            <w:noWrap/>
            <w:vAlign w:val="center"/>
            <w:hideMark/>
          </w:tcPr>
          <w:p w14:paraId="31ED0B8B" w14:textId="77777777" w:rsidR="00476533" w:rsidRPr="00476533" w:rsidRDefault="00476533" w:rsidP="007F0AE4">
            <w:pPr>
              <w:spacing w:after="0" w:line="276" w:lineRule="auto"/>
              <w:jc w:val="center"/>
              <w:rPr>
                <w:rFonts w:cs="Arial"/>
                <w:b/>
                <w:bCs/>
                <w:color w:val="000000"/>
                <w:sz w:val="16"/>
                <w:szCs w:val="16"/>
              </w:rPr>
            </w:pPr>
            <w:r w:rsidRPr="00476533">
              <w:rPr>
                <w:rFonts w:cs="Arial"/>
                <w:b/>
                <w:bCs/>
                <w:color w:val="000000"/>
                <w:sz w:val="16"/>
                <w:szCs w:val="16"/>
              </w:rPr>
              <w:t>2023</w:t>
            </w:r>
          </w:p>
        </w:tc>
      </w:tr>
      <w:tr w:rsidR="00476533" w:rsidRPr="004014E4" w14:paraId="3D90CFCB" w14:textId="77777777" w:rsidTr="007F0AE4">
        <w:trPr>
          <w:cantSplit/>
          <w:jc w:val="center"/>
        </w:trPr>
        <w:tc>
          <w:tcPr>
            <w:tcW w:w="8515" w:type="dxa"/>
            <w:gridSpan w:val="4"/>
            <w:tcBorders>
              <w:left w:val="single" w:sz="2" w:space="0" w:color="A6A6A6" w:themeColor="background1" w:themeShade="A6"/>
              <w:right w:val="single" w:sz="2" w:space="0" w:color="A6A6A6" w:themeColor="background1" w:themeShade="A6"/>
            </w:tcBorders>
            <w:shd w:val="clear" w:color="auto" w:fill="F2F2F2" w:themeFill="background1" w:themeFillShade="F2"/>
            <w:noWrap/>
            <w:vAlign w:val="center"/>
            <w:hideMark/>
          </w:tcPr>
          <w:p w14:paraId="5E249C66" w14:textId="77777777" w:rsidR="00476533" w:rsidRPr="004014E4" w:rsidRDefault="00476533" w:rsidP="007F0AE4">
            <w:pPr>
              <w:spacing w:after="0" w:line="276" w:lineRule="auto"/>
              <w:jc w:val="left"/>
              <w:rPr>
                <w:rFonts w:cs="Arial"/>
                <w:b/>
                <w:i/>
                <w:iCs/>
                <w:color w:val="000000"/>
                <w:sz w:val="16"/>
                <w:szCs w:val="16"/>
              </w:rPr>
            </w:pPr>
            <w:r w:rsidRPr="004014E4">
              <w:rPr>
                <w:rFonts w:cs="Arial"/>
                <w:b/>
                <w:i/>
                <w:iCs/>
                <w:color w:val="000000"/>
                <w:sz w:val="16"/>
                <w:szCs w:val="16"/>
              </w:rPr>
              <w:t>σε εκατ. ευρώ</w:t>
            </w:r>
          </w:p>
        </w:tc>
      </w:tr>
      <w:tr w:rsidR="00476533" w:rsidRPr="00476533" w14:paraId="4C1337C7" w14:textId="77777777" w:rsidTr="00002918">
        <w:trPr>
          <w:cantSplit/>
          <w:jc w:val="center"/>
        </w:trPr>
        <w:tc>
          <w:tcPr>
            <w:tcW w:w="5591" w:type="dxa"/>
            <w:tcBorders>
              <w:left w:val="single" w:sz="2" w:space="0" w:color="A6A6A6" w:themeColor="background1" w:themeShade="A6"/>
            </w:tcBorders>
            <w:shd w:val="clear" w:color="auto" w:fill="auto"/>
            <w:noWrap/>
            <w:vAlign w:val="center"/>
            <w:hideMark/>
          </w:tcPr>
          <w:p w14:paraId="7780774F" w14:textId="4FCE877E"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 xml:space="preserve">Γενική </w:t>
            </w:r>
            <w:r w:rsidR="00271346">
              <w:rPr>
                <w:rFonts w:cs="Arial"/>
                <w:color w:val="000000"/>
                <w:sz w:val="16"/>
                <w:szCs w:val="16"/>
              </w:rPr>
              <w:t>Κ</w:t>
            </w:r>
            <w:r w:rsidRPr="00476533">
              <w:rPr>
                <w:rFonts w:cs="Arial"/>
                <w:color w:val="000000"/>
                <w:sz w:val="16"/>
                <w:szCs w:val="16"/>
              </w:rPr>
              <w:t>υβέρνηση</w:t>
            </w:r>
          </w:p>
        </w:tc>
        <w:tc>
          <w:tcPr>
            <w:tcW w:w="974" w:type="dxa"/>
            <w:shd w:val="clear" w:color="auto" w:fill="auto"/>
            <w:noWrap/>
            <w:vAlign w:val="center"/>
            <w:hideMark/>
          </w:tcPr>
          <w:p w14:paraId="166E065E"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496</w:t>
            </w:r>
          </w:p>
        </w:tc>
        <w:tc>
          <w:tcPr>
            <w:tcW w:w="974" w:type="dxa"/>
            <w:shd w:val="clear" w:color="auto" w:fill="auto"/>
            <w:noWrap/>
            <w:vAlign w:val="center"/>
            <w:hideMark/>
          </w:tcPr>
          <w:p w14:paraId="15F6F095"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500</w:t>
            </w:r>
          </w:p>
        </w:tc>
        <w:tc>
          <w:tcPr>
            <w:tcW w:w="976" w:type="dxa"/>
            <w:tcBorders>
              <w:right w:val="single" w:sz="2" w:space="0" w:color="A6A6A6" w:themeColor="background1" w:themeShade="A6"/>
            </w:tcBorders>
            <w:shd w:val="clear" w:color="auto" w:fill="auto"/>
            <w:noWrap/>
            <w:vAlign w:val="center"/>
            <w:hideMark/>
          </w:tcPr>
          <w:p w14:paraId="3D7852F4"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467</w:t>
            </w:r>
          </w:p>
        </w:tc>
      </w:tr>
      <w:tr w:rsidR="00476533" w:rsidRPr="00476533" w14:paraId="3DDB5EC2" w14:textId="77777777" w:rsidTr="00002918">
        <w:trPr>
          <w:cantSplit/>
          <w:jc w:val="center"/>
        </w:trPr>
        <w:tc>
          <w:tcPr>
            <w:tcW w:w="5591" w:type="dxa"/>
            <w:tcBorders>
              <w:left w:val="single" w:sz="2" w:space="0" w:color="A6A6A6" w:themeColor="background1" w:themeShade="A6"/>
            </w:tcBorders>
            <w:shd w:val="clear" w:color="auto" w:fill="auto"/>
            <w:noWrap/>
            <w:vAlign w:val="center"/>
            <w:hideMark/>
          </w:tcPr>
          <w:p w14:paraId="184F9EAB"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Κεντρική Κυβέρνηση</w:t>
            </w:r>
          </w:p>
        </w:tc>
        <w:tc>
          <w:tcPr>
            <w:tcW w:w="974" w:type="dxa"/>
            <w:shd w:val="clear" w:color="auto" w:fill="auto"/>
            <w:noWrap/>
            <w:vAlign w:val="center"/>
            <w:hideMark/>
          </w:tcPr>
          <w:p w14:paraId="4186C3A3"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496</w:t>
            </w:r>
          </w:p>
        </w:tc>
        <w:tc>
          <w:tcPr>
            <w:tcW w:w="974" w:type="dxa"/>
            <w:shd w:val="clear" w:color="auto" w:fill="auto"/>
            <w:noWrap/>
            <w:vAlign w:val="center"/>
            <w:hideMark/>
          </w:tcPr>
          <w:p w14:paraId="6A0C22EC"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500</w:t>
            </w:r>
          </w:p>
        </w:tc>
        <w:tc>
          <w:tcPr>
            <w:tcW w:w="976" w:type="dxa"/>
            <w:tcBorders>
              <w:right w:val="single" w:sz="2" w:space="0" w:color="A6A6A6" w:themeColor="background1" w:themeShade="A6"/>
            </w:tcBorders>
            <w:shd w:val="clear" w:color="auto" w:fill="auto"/>
            <w:noWrap/>
            <w:vAlign w:val="center"/>
            <w:hideMark/>
          </w:tcPr>
          <w:p w14:paraId="6EA4A859"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467</w:t>
            </w:r>
          </w:p>
        </w:tc>
      </w:tr>
      <w:tr w:rsidR="00476533" w:rsidRPr="00476533" w14:paraId="2B718D4C" w14:textId="77777777" w:rsidTr="00002918">
        <w:trPr>
          <w:cantSplit/>
          <w:jc w:val="center"/>
        </w:trPr>
        <w:tc>
          <w:tcPr>
            <w:tcW w:w="5591" w:type="dxa"/>
            <w:tcBorders>
              <w:left w:val="single" w:sz="2" w:space="0" w:color="A6A6A6" w:themeColor="background1" w:themeShade="A6"/>
            </w:tcBorders>
            <w:shd w:val="clear" w:color="auto" w:fill="auto"/>
            <w:noWrap/>
            <w:vAlign w:val="center"/>
            <w:hideMark/>
          </w:tcPr>
          <w:p w14:paraId="23CF1F35"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Τοπική Αυτοδιοίκηση</w:t>
            </w:r>
          </w:p>
        </w:tc>
        <w:tc>
          <w:tcPr>
            <w:tcW w:w="974" w:type="dxa"/>
            <w:shd w:val="clear" w:color="auto" w:fill="auto"/>
            <w:noWrap/>
            <w:vAlign w:val="center"/>
            <w:hideMark/>
          </w:tcPr>
          <w:p w14:paraId="5BECE8DA"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974" w:type="dxa"/>
            <w:shd w:val="clear" w:color="auto" w:fill="auto"/>
            <w:noWrap/>
            <w:vAlign w:val="center"/>
            <w:hideMark/>
          </w:tcPr>
          <w:p w14:paraId="2AADE0AB"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976" w:type="dxa"/>
            <w:tcBorders>
              <w:right w:val="single" w:sz="2" w:space="0" w:color="A6A6A6" w:themeColor="background1" w:themeShade="A6"/>
            </w:tcBorders>
            <w:shd w:val="clear" w:color="auto" w:fill="auto"/>
            <w:noWrap/>
            <w:vAlign w:val="center"/>
            <w:hideMark/>
          </w:tcPr>
          <w:p w14:paraId="6B90C20E"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r>
      <w:tr w:rsidR="00476533" w:rsidRPr="00476533" w14:paraId="4AA3975E" w14:textId="77777777" w:rsidTr="00002918">
        <w:trPr>
          <w:cantSplit/>
          <w:jc w:val="center"/>
        </w:trPr>
        <w:tc>
          <w:tcPr>
            <w:tcW w:w="5591" w:type="dxa"/>
            <w:tcBorders>
              <w:left w:val="single" w:sz="2" w:space="0" w:color="A6A6A6" w:themeColor="background1" w:themeShade="A6"/>
            </w:tcBorders>
            <w:shd w:val="clear" w:color="auto" w:fill="auto"/>
            <w:noWrap/>
            <w:vAlign w:val="center"/>
            <w:hideMark/>
          </w:tcPr>
          <w:p w14:paraId="3E4659FA"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Φορείς Κοινωνικής Ασφάλισης</w:t>
            </w:r>
          </w:p>
        </w:tc>
        <w:tc>
          <w:tcPr>
            <w:tcW w:w="974" w:type="dxa"/>
            <w:shd w:val="clear" w:color="auto" w:fill="auto"/>
            <w:noWrap/>
            <w:vAlign w:val="center"/>
            <w:hideMark/>
          </w:tcPr>
          <w:p w14:paraId="2BF69C98"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974" w:type="dxa"/>
            <w:shd w:val="clear" w:color="auto" w:fill="auto"/>
            <w:noWrap/>
            <w:vAlign w:val="center"/>
            <w:hideMark/>
          </w:tcPr>
          <w:p w14:paraId="2EE245B7"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976" w:type="dxa"/>
            <w:tcBorders>
              <w:right w:val="single" w:sz="2" w:space="0" w:color="A6A6A6" w:themeColor="background1" w:themeShade="A6"/>
            </w:tcBorders>
            <w:shd w:val="clear" w:color="auto" w:fill="auto"/>
            <w:noWrap/>
            <w:vAlign w:val="center"/>
            <w:hideMark/>
          </w:tcPr>
          <w:p w14:paraId="399956CC"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r>
      <w:tr w:rsidR="00476533" w:rsidRPr="004014E4" w14:paraId="7BE3CEC7" w14:textId="77777777" w:rsidTr="007F0AE4">
        <w:trPr>
          <w:cantSplit/>
          <w:jc w:val="center"/>
        </w:trPr>
        <w:tc>
          <w:tcPr>
            <w:tcW w:w="8515" w:type="dxa"/>
            <w:gridSpan w:val="4"/>
            <w:tcBorders>
              <w:left w:val="single" w:sz="2" w:space="0" w:color="A6A6A6" w:themeColor="background1" w:themeShade="A6"/>
              <w:right w:val="single" w:sz="2" w:space="0" w:color="A6A6A6" w:themeColor="background1" w:themeShade="A6"/>
            </w:tcBorders>
            <w:shd w:val="clear" w:color="auto" w:fill="F2F2F2" w:themeFill="background1" w:themeFillShade="F2"/>
            <w:noWrap/>
            <w:vAlign w:val="center"/>
            <w:hideMark/>
          </w:tcPr>
          <w:p w14:paraId="00F2C107" w14:textId="77777777" w:rsidR="00476533" w:rsidRPr="004014E4" w:rsidRDefault="00476533" w:rsidP="007F0AE4">
            <w:pPr>
              <w:spacing w:after="0" w:line="276" w:lineRule="auto"/>
              <w:jc w:val="left"/>
              <w:rPr>
                <w:rFonts w:cs="Arial"/>
                <w:b/>
                <w:i/>
                <w:iCs/>
                <w:color w:val="000000"/>
                <w:sz w:val="16"/>
                <w:szCs w:val="16"/>
              </w:rPr>
            </w:pPr>
            <w:r w:rsidRPr="004014E4">
              <w:rPr>
                <w:rFonts w:cs="Arial"/>
                <w:b/>
                <w:i/>
                <w:iCs/>
                <w:color w:val="000000"/>
                <w:sz w:val="16"/>
                <w:szCs w:val="16"/>
              </w:rPr>
              <w:t>ως % του ΑΕΠ</w:t>
            </w:r>
          </w:p>
        </w:tc>
      </w:tr>
      <w:tr w:rsidR="00476533" w:rsidRPr="00476533" w14:paraId="12511F66" w14:textId="77777777" w:rsidTr="00002918">
        <w:trPr>
          <w:cantSplit/>
          <w:jc w:val="center"/>
        </w:trPr>
        <w:tc>
          <w:tcPr>
            <w:tcW w:w="5591" w:type="dxa"/>
            <w:tcBorders>
              <w:left w:val="single" w:sz="2" w:space="0" w:color="A6A6A6" w:themeColor="background1" w:themeShade="A6"/>
            </w:tcBorders>
            <w:shd w:val="clear" w:color="auto" w:fill="auto"/>
            <w:noWrap/>
            <w:vAlign w:val="center"/>
            <w:hideMark/>
          </w:tcPr>
          <w:p w14:paraId="6D80B30F" w14:textId="08685964"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 xml:space="preserve">Γενική </w:t>
            </w:r>
            <w:r w:rsidR="00271346">
              <w:rPr>
                <w:rFonts w:cs="Arial"/>
                <w:color w:val="000000"/>
                <w:sz w:val="16"/>
                <w:szCs w:val="16"/>
              </w:rPr>
              <w:t>Κ</w:t>
            </w:r>
            <w:r w:rsidRPr="00476533">
              <w:rPr>
                <w:rFonts w:cs="Arial"/>
                <w:color w:val="000000"/>
                <w:sz w:val="16"/>
                <w:szCs w:val="16"/>
              </w:rPr>
              <w:t>υβέρνηση</w:t>
            </w:r>
          </w:p>
        </w:tc>
        <w:tc>
          <w:tcPr>
            <w:tcW w:w="974" w:type="dxa"/>
            <w:shd w:val="clear" w:color="auto" w:fill="auto"/>
            <w:noWrap/>
            <w:vAlign w:val="center"/>
            <w:hideMark/>
          </w:tcPr>
          <w:p w14:paraId="7D623B1C"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0,27</w:t>
            </w:r>
          </w:p>
        </w:tc>
        <w:tc>
          <w:tcPr>
            <w:tcW w:w="974" w:type="dxa"/>
            <w:shd w:val="clear" w:color="auto" w:fill="auto"/>
            <w:noWrap/>
            <w:vAlign w:val="center"/>
            <w:hideMark/>
          </w:tcPr>
          <w:p w14:paraId="3C829A55"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0,24</w:t>
            </w:r>
          </w:p>
        </w:tc>
        <w:tc>
          <w:tcPr>
            <w:tcW w:w="976" w:type="dxa"/>
            <w:tcBorders>
              <w:right w:val="single" w:sz="2" w:space="0" w:color="A6A6A6" w:themeColor="background1" w:themeShade="A6"/>
            </w:tcBorders>
            <w:shd w:val="clear" w:color="auto" w:fill="auto"/>
            <w:noWrap/>
            <w:vAlign w:val="center"/>
            <w:hideMark/>
          </w:tcPr>
          <w:p w14:paraId="79677DC6"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0,21</w:t>
            </w:r>
          </w:p>
        </w:tc>
      </w:tr>
      <w:tr w:rsidR="00476533" w:rsidRPr="00476533" w14:paraId="1BC74BAB" w14:textId="77777777" w:rsidTr="00002918">
        <w:trPr>
          <w:cantSplit/>
          <w:jc w:val="center"/>
        </w:trPr>
        <w:tc>
          <w:tcPr>
            <w:tcW w:w="5591" w:type="dxa"/>
            <w:tcBorders>
              <w:left w:val="single" w:sz="2" w:space="0" w:color="A6A6A6" w:themeColor="background1" w:themeShade="A6"/>
            </w:tcBorders>
            <w:shd w:val="clear" w:color="auto" w:fill="auto"/>
            <w:noWrap/>
            <w:vAlign w:val="center"/>
            <w:hideMark/>
          </w:tcPr>
          <w:p w14:paraId="4D2E594E"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Κεντρική Κυβέρνηση</w:t>
            </w:r>
          </w:p>
        </w:tc>
        <w:tc>
          <w:tcPr>
            <w:tcW w:w="974" w:type="dxa"/>
            <w:shd w:val="clear" w:color="auto" w:fill="auto"/>
            <w:noWrap/>
            <w:vAlign w:val="center"/>
            <w:hideMark/>
          </w:tcPr>
          <w:p w14:paraId="0624E998"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0,27</w:t>
            </w:r>
          </w:p>
        </w:tc>
        <w:tc>
          <w:tcPr>
            <w:tcW w:w="974" w:type="dxa"/>
            <w:shd w:val="clear" w:color="auto" w:fill="auto"/>
            <w:noWrap/>
            <w:vAlign w:val="center"/>
            <w:hideMark/>
          </w:tcPr>
          <w:p w14:paraId="5122210B"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0,24</w:t>
            </w:r>
          </w:p>
        </w:tc>
        <w:tc>
          <w:tcPr>
            <w:tcW w:w="976" w:type="dxa"/>
            <w:tcBorders>
              <w:right w:val="single" w:sz="2" w:space="0" w:color="A6A6A6" w:themeColor="background1" w:themeShade="A6"/>
            </w:tcBorders>
            <w:shd w:val="clear" w:color="auto" w:fill="auto"/>
            <w:noWrap/>
            <w:vAlign w:val="center"/>
            <w:hideMark/>
          </w:tcPr>
          <w:p w14:paraId="255A7F03"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0,21</w:t>
            </w:r>
          </w:p>
        </w:tc>
      </w:tr>
      <w:tr w:rsidR="00476533" w:rsidRPr="00476533" w14:paraId="2B9EDDA0" w14:textId="77777777" w:rsidTr="00002918">
        <w:trPr>
          <w:cantSplit/>
          <w:jc w:val="center"/>
        </w:trPr>
        <w:tc>
          <w:tcPr>
            <w:tcW w:w="5591" w:type="dxa"/>
            <w:tcBorders>
              <w:left w:val="single" w:sz="2" w:space="0" w:color="A6A6A6" w:themeColor="background1" w:themeShade="A6"/>
            </w:tcBorders>
            <w:shd w:val="clear" w:color="auto" w:fill="auto"/>
            <w:noWrap/>
            <w:vAlign w:val="center"/>
            <w:hideMark/>
          </w:tcPr>
          <w:p w14:paraId="47AE8DBA"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Τοπική Αυτοδιοίκηση</w:t>
            </w:r>
          </w:p>
        </w:tc>
        <w:tc>
          <w:tcPr>
            <w:tcW w:w="974" w:type="dxa"/>
            <w:shd w:val="clear" w:color="auto" w:fill="auto"/>
            <w:noWrap/>
            <w:vAlign w:val="center"/>
            <w:hideMark/>
          </w:tcPr>
          <w:p w14:paraId="0E7FF1AA"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974" w:type="dxa"/>
            <w:shd w:val="clear" w:color="auto" w:fill="auto"/>
            <w:noWrap/>
            <w:vAlign w:val="center"/>
            <w:hideMark/>
          </w:tcPr>
          <w:p w14:paraId="5D66B91C"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976" w:type="dxa"/>
            <w:tcBorders>
              <w:right w:val="single" w:sz="2" w:space="0" w:color="A6A6A6" w:themeColor="background1" w:themeShade="A6"/>
            </w:tcBorders>
            <w:shd w:val="clear" w:color="auto" w:fill="auto"/>
            <w:noWrap/>
            <w:vAlign w:val="center"/>
            <w:hideMark/>
          </w:tcPr>
          <w:p w14:paraId="48D84369"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r>
      <w:tr w:rsidR="00476533" w:rsidRPr="00476533" w14:paraId="0AEAD67C" w14:textId="77777777" w:rsidTr="00002918">
        <w:trPr>
          <w:cantSplit/>
          <w:jc w:val="center"/>
        </w:trPr>
        <w:tc>
          <w:tcPr>
            <w:tcW w:w="5591" w:type="dxa"/>
            <w:tcBorders>
              <w:left w:val="single" w:sz="2" w:space="0" w:color="A6A6A6" w:themeColor="background1" w:themeShade="A6"/>
              <w:bottom w:val="single" w:sz="2" w:space="0" w:color="A6A6A6" w:themeColor="background1" w:themeShade="A6"/>
            </w:tcBorders>
            <w:shd w:val="clear" w:color="auto" w:fill="auto"/>
            <w:noWrap/>
            <w:vAlign w:val="center"/>
            <w:hideMark/>
          </w:tcPr>
          <w:p w14:paraId="08A90BBC" w14:textId="77777777" w:rsidR="00476533" w:rsidRPr="00476533" w:rsidRDefault="00476533" w:rsidP="007F0AE4">
            <w:pPr>
              <w:spacing w:after="0" w:line="276" w:lineRule="auto"/>
              <w:jc w:val="left"/>
              <w:rPr>
                <w:rFonts w:cs="Arial"/>
                <w:color w:val="000000"/>
                <w:sz w:val="16"/>
                <w:szCs w:val="16"/>
              </w:rPr>
            </w:pPr>
            <w:r w:rsidRPr="00476533">
              <w:rPr>
                <w:rFonts w:cs="Arial"/>
                <w:color w:val="000000"/>
                <w:sz w:val="16"/>
                <w:szCs w:val="16"/>
              </w:rPr>
              <w:t>Φορείς Κοινωνικής Ασφάλισης</w:t>
            </w:r>
          </w:p>
        </w:tc>
        <w:tc>
          <w:tcPr>
            <w:tcW w:w="974" w:type="dxa"/>
            <w:tcBorders>
              <w:bottom w:val="single" w:sz="2" w:space="0" w:color="A6A6A6" w:themeColor="background1" w:themeShade="A6"/>
            </w:tcBorders>
            <w:shd w:val="clear" w:color="auto" w:fill="auto"/>
            <w:noWrap/>
            <w:vAlign w:val="center"/>
            <w:hideMark/>
          </w:tcPr>
          <w:p w14:paraId="5833DF25"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974" w:type="dxa"/>
            <w:tcBorders>
              <w:bottom w:val="single" w:sz="2" w:space="0" w:color="A6A6A6" w:themeColor="background1" w:themeShade="A6"/>
            </w:tcBorders>
            <w:shd w:val="clear" w:color="auto" w:fill="auto"/>
            <w:noWrap/>
            <w:vAlign w:val="center"/>
            <w:hideMark/>
          </w:tcPr>
          <w:p w14:paraId="590482F4"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c>
          <w:tcPr>
            <w:tcW w:w="976" w:type="dxa"/>
            <w:tcBorders>
              <w:bottom w:val="single" w:sz="2" w:space="0" w:color="A6A6A6" w:themeColor="background1" w:themeShade="A6"/>
              <w:right w:val="single" w:sz="2" w:space="0" w:color="A6A6A6" w:themeColor="background1" w:themeShade="A6"/>
            </w:tcBorders>
            <w:shd w:val="clear" w:color="auto" w:fill="auto"/>
            <w:noWrap/>
            <w:vAlign w:val="center"/>
            <w:hideMark/>
          </w:tcPr>
          <w:p w14:paraId="1D20B5CA" w14:textId="77777777" w:rsidR="00476533" w:rsidRPr="00476533" w:rsidRDefault="00476533" w:rsidP="00002918">
            <w:pPr>
              <w:spacing w:after="0" w:line="276" w:lineRule="auto"/>
              <w:jc w:val="center"/>
              <w:rPr>
                <w:rFonts w:cs="Arial"/>
                <w:color w:val="000000"/>
                <w:sz w:val="16"/>
                <w:szCs w:val="16"/>
              </w:rPr>
            </w:pPr>
            <w:r w:rsidRPr="00476533">
              <w:rPr>
                <w:rFonts w:cs="Arial"/>
                <w:color w:val="000000"/>
                <w:sz w:val="16"/>
                <w:szCs w:val="16"/>
              </w:rPr>
              <w:t>0</w:t>
            </w:r>
          </w:p>
        </w:tc>
      </w:tr>
      <w:tr w:rsidR="007F0AE4" w:rsidRPr="00476533" w14:paraId="7F8DD5D3" w14:textId="77777777" w:rsidTr="00495D27">
        <w:trPr>
          <w:cantSplit/>
          <w:jc w:val="center"/>
        </w:trPr>
        <w:tc>
          <w:tcPr>
            <w:tcW w:w="8515" w:type="dxa"/>
            <w:gridSpan w:val="4"/>
            <w:tcBorders>
              <w:top w:val="single" w:sz="2" w:space="0" w:color="A6A6A6" w:themeColor="background1" w:themeShade="A6"/>
            </w:tcBorders>
            <w:shd w:val="clear" w:color="000000" w:fill="FFFFFF"/>
            <w:noWrap/>
            <w:vAlign w:val="center"/>
            <w:hideMark/>
          </w:tcPr>
          <w:p w14:paraId="2841CE23" w14:textId="5070E515" w:rsidR="007F0AE4" w:rsidRPr="00476533" w:rsidRDefault="007F0AE4" w:rsidP="00CC2FE5">
            <w:pPr>
              <w:spacing w:before="60" w:after="0" w:line="276" w:lineRule="auto"/>
              <w:rPr>
                <w:rFonts w:cs="Arial"/>
                <w:color w:val="000000"/>
                <w:sz w:val="16"/>
                <w:szCs w:val="16"/>
              </w:rPr>
            </w:pPr>
            <w:r w:rsidRPr="00476533">
              <w:rPr>
                <w:rFonts w:cs="Arial"/>
                <w:color w:val="000000"/>
                <w:sz w:val="16"/>
                <w:szCs w:val="16"/>
              </w:rPr>
              <w:t>Πηγή: Eurostat</w:t>
            </w:r>
          </w:p>
        </w:tc>
      </w:tr>
    </w:tbl>
    <w:p w14:paraId="068F656E" w14:textId="7F50F9EF" w:rsidR="00A52D7F" w:rsidRPr="00FD594B" w:rsidRDefault="00A52D7F" w:rsidP="000E1B3F">
      <w:pPr>
        <w:rPr>
          <w:highlight w:val="yellow"/>
        </w:rPr>
      </w:pPr>
    </w:p>
    <w:p w14:paraId="2F998E77" w14:textId="77777777" w:rsidR="005D595E" w:rsidRDefault="005D595E" w:rsidP="009B5AA3"/>
    <w:p w14:paraId="2FAEFCF3" w14:textId="0CDCB59F" w:rsidR="001D4336" w:rsidRDefault="001D4336">
      <w:pPr>
        <w:spacing w:after="0" w:line="240" w:lineRule="auto"/>
        <w:jc w:val="left"/>
      </w:pPr>
      <w:r>
        <w:br w:type="page"/>
      </w:r>
    </w:p>
    <w:p w14:paraId="0A30502F" w14:textId="7403834D" w:rsidR="0061266E" w:rsidRDefault="0061266E">
      <w:pPr>
        <w:spacing w:after="0" w:line="240" w:lineRule="auto"/>
        <w:jc w:val="left"/>
      </w:pPr>
      <w:r>
        <w:lastRenderedPageBreak/>
        <w:br w:type="page"/>
      </w:r>
    </w:p>
    <w:p w14:paraId="45D107D9" w14:textId="77777777" w:rsidR="005D595E" w:rsidRDefault="005D595E" w:rsidP="009B5AA3">
      <w:pPr>
        <w:sectPr w:rsidR="005D595E" w:rsidSect="008E7E86">
          <w:headerReference w:type="even" r:id="rId108"/>
          <w:headerReference w:type="default" r:id="rId109"/>
          <w:footerReference w:type="even" r:id="rId110"/>
          <w:footerReference w:type="default" r:id="rId111"/>
          <w:footnotePr>
            <w:numRestart w:val="eachSect"/>
          </w:footnotePr>
          <w:pgSz w:w="11906" w:h="16838" w:code="9"/>
          <w:pgMar w:top="1310" w:right="1418" w:bottom="1310" w:left="1418" w:header="652" w:footer="652" w:gutter="0"/>
          <w:cols w:space="708"/>
          <w:docGrid w:linePitch="360"/>
        </w:sectPr>
      </w:pPr>
    </w:p>
    <w:p w14:paraId="4CF1755E" w14:textId="32BB3A7D" w:rsidR="00197AA2" w:rsidRPr="00BA25F2" w:rsidRDefault="00197AA2" w:rsidP="0032045E">
      <w:pPr>
        <w:pStyle w:val="1"/>
        <w:tabs>
          <w:tab w:val="clear" w:pos="8932"/>
        </w:tabs>
        <w:ind w:left="0"/>
        <w:jc w:val="left"/>
      </w:pPr>
      <w:bookmarkStart w:id="665" w:name="_Toc214473798"/>
      <w:bookmarkStart w:id="666" w:name="_Hlk214043759"/>
      <w:bookmarkEnd w:id="665"/>
    </w:p>
    <w:p w14:paraId="66306632" w14:textId="1CC03ABA" w:rsidR="00197AA2" w:rsidRPr="00BA25F2" w:rsidRDefault="00197AA2" w:rsidP="00197AA2">
      <w:pPr>
        <w:pStyle w:val="2"/>
      </w:pPr>
      <w:bookmarkStart w:id="667" w:name="_Toc214473799"/>
      <w:r w:rsidRPr="00BA25F2">
        <w:t>ΔΗΜΟΣΙΟ ΧΡΕΟΣ - ΕΓΓΥΗΣΕΙΣ</w:t>
      </w:r>
      <w:bookmarkEnd w:id="667"/>
    </w:p>
    <w:p w14:paraId="4EFEFB58" w14:textId="77777777" w:rsidR="00197AA2" w:rsidRPr="00BA25F2" w:rsidRDefault="00197AA2" w:rsidP="00300BBF">
      <w:pPr>
        <w:pStyle w:val="3"/>
      </w:pPr>
      <w:bookmarkStart w:id="668" w:name="_Toc119607205"/>
      <w:bookmarkStart w:id="669" w:name="_Toc119607498"/>
      <w:bookmarkStart w:id="670" w:name="_Toc119778013"/>
      <w:bookmarkStart w:id="671" w:name="_Toc119778119"/>
      <w:bookmarkStart w:id="672" w:name="_Toc150175903"/>
      <w:bookmarkStart w:id="673" w:name="_Toc150177196"/>
      <w:bookmarkStart w:id="674" w:name="_Toc150516260"/>
      <w:bookmarkStart w:id="675" w:name="_Toc150516401"/>
      <w:bookmarkStart w:id="676" w:name="_Toc150853461"/>
      <w:bookmarkStart w:id="677" w:name="_Toc150853569"/>
      <w:bookmarkStart w:id="678" w:name="_Toc151100823"/>
      <w:bookmarkStart w:id="679" w:name="_Toc151401178"/>
      <w:bookmarkStart w:id="680" w:name="_Toc119607206"/>
      <w:bookmarkStart w:id="681" w:name="_Toc119607499"/>
      <w:bookmarkStart w:id="682" w:name="_Toc119778014"/>
      <w:bookmarkStart w:id="683" w:name="_Toc119778120"/>
      <w:bookmarkStart w:id="684" w:name="_Toc150175904"/>
      <w:bookmarkStart w:id="685" w:name="_Toc150177197"/>
      <w:bookmarkStart w:id="686" w:name="_Toc150516261"/>
      <w:bookmarkStart w:id="687" w:name="_Toc150516402"/>
      <w:bookmarkStart w:id="688" w:name="_Toc150853462"/>
      <w:bookmarkStart w:id="689" w:name="_Toc150853570"/>
      <w:bookmarkStart w:id="690" w:name="_Toc151100824"/>
      <w:bookmarkStart w:id="691" w:name="_Toc214473800"/>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BA25F2">
        <w:t>Δημόσιο χρέος</w:t>
      </w:r>
      <w:bookmarkEnd w:id="691"/>
    </w:p>
    <w:p w14:paraId="78EF62E1" w14:textId="664B4706" w:rsidR="00CA518B" w:rsidRDefault="00CA518B" w:rsidP="00623140">
      <w:bookmarkStart w:id="692" w:name="_Hlk179794263"/>
      <w:r w:rsidRPr="00245246">
        <w:t xml:space="preserve">Η εκδοτική δραστηριότητα του Ελληνικού Δημοσίου συνεχίστηκε ομαλά καθ’ όλη τη διάρκεια του τρέχοντος έτους καλύπτοντας τις χαμηλές χρηματοδοτικές του ανάγκες, κατά κύριο λόγο με κοινοπρακτικές εκδόσεις, οι οποίες είχαν υψηλό ποσοστό υπερκάλυψης του βιβλίου προσφορών </w:t>
      </w:r>
      <w:r w:rsidR="009C2A8A">
        <w:t>τους και</w:t>
      </w:r>
      <w:r w:rsidRPr="00245246">
        <w:t xml:space="preserve"> διατέθηκαν κατά προτεραιότητα σε τελικούς επενδυτές. Σημαντική συνεισφορά στην αναχρηματοδότηση των δανειακών αναγκών είχαν και κατά το τρέχον έτος οι μηνιαίες δημοπρασίες επανέκδοσης ομολόγων, οι οποίες διενεργούνται σύμφωνα με το</w:t>
      </w:r>
      <w:r w:rsidR="00884425">
        <w:t xml:space="preserve"> ήδη ανακοινωμένο</w:t>
      </w:r>
      <w:r w:rsidRPr="00245246">
        <w:t xml:space="preserve"> πρόγραμμα. Τα συνολικά ταμειακά διαθέσιμα του Ελληνικού Δημοσίου παρέμειναν στα υψηλά επίπεδα των τελευταίων ετών, ενώ ξεκίνησε από το προηγούμενο έτος η χρήση μέρους του αποθεματικού προσόδων από τις αγορές κεφαλαίου για </w:t>
      </w:r>
      <w:r w:rsidR="002D33CE">
        <w:t>πρόωρες απο</w:t>
      </w:r>
      <w:r w:rsidRPr="00245246">
        <w:t>πληρωμές των ευρωπαϊκών δανείων του μηχανισμού Greek Loan Facility (GLF).</w:t>
      </w:r>
    </w:p>
    <w:p w14:paraId="12B146DB" w14:textId="668A27B8" w:rsidR="00CA518B" w:rsidRPr="00B96E99" w:rsidRDefault="00CA518B" w:rsidP="00623140">
      <w:r w:rsidRPr="00245246">
        <w:t xml:space="preserve">Τον Δεκέμβριο 2025 αναμένεται να υλοποιηθεί νέα πρόωρη αποπληρωμή των ευρωπαϊκών δανείων του GLF, τα οποία έχουν κυμαινόμενο επιτόκιο, με την αναλογική αποπληρωμή δανείων που λήγουν κατά τα έτη 2033 </w:t>
      </w:r>
      <w:r w:rsidR="00A5708E" w:rsidRPr="00A5708E">
        <w:t>-</w:t>
      </w:r>
      <w:r w:rsidRPr="00245246">
        <w:t xml:space="preserve"> 20</w:t>
      </w:r>
      <w:r w:rsidRPr="000E7F58">
        <w:t xml:space="preserve">39 </w:t>
      </w:r>
      <w:r>
        <w:t xml:space="preserve">και </w:t>
      </w:r>
      <w:r w:rsidR="003F0541">
        <w:t xml:space="preserve">με </w:t>
      </w:r>
      <w:r>
        <w:t>την πλήρη αποπληρωμή των δανείων που λήγουν κατά τα έτη 2040 και 2041</w:t>
      </w:r>
      <w:r w:rsidRPr="00245246">
        <w:t>, συνολικού ύψους 5.2</w:t>
      </w:r>
      <w:r>
        <w:t>87</w:t>
      </w:r>
      <w:r w:rsidRPr="00245246">
        <w:t xml:space="preserve"> εκατ. ευρώ. Έχουν προηγηθεί οι αποπληρωμές δανείων ύψους 7.935 εκατ. ευρώ τον Δεκέμβριο 2024, 5.290 εκατ. ευρώ τον Δεκέμβριο 2023 και 2.645 εκατ. ευρώ τον Δεκέμβριο 2022</w:t>
      </w:r>
      <w:r w:rsidRPr="00C05B15">
        <w:t>.</w:t>
      </w:r>
    </w:p>
    <w:p w14:paraId="35F7EF70" w14:textId="672403FE" w:rsidR="00CA518B" w:rsidRPr="00CA518B" w:rsidRDefault="00CA518B" w:rsidP="00623140">
      <w:r w:rsidRPr="00245246">
        <w:t>Σε συνέχεια της ανάκτησης της επενδυτικής βαθμίδας ΒΒΒ- από το Ελληνικό Δημόσιο το 2023 από τους οίκους αξιολόγησης</w:t>
      </w:r>
      <w:r w:rsidR="00884425">
        <w:t xml:space="preserve"> </w:t>
      </w:r>
      <w:r w:rsidRPr="00245246">
        <w:t>DBRS</w:t>
      </w:r>
      <w:r w:rsidR="003F0541" w:rsidRPr="003F0541">
        <w:t xml:space="preserve"> </w:t>
      </w:r>
      <w:r w:rsidR="003F0541">
        <w:rPr>
          <w:lang w:val="en-US"/>
        </w:rPr>
        <w:t>Morningstar</w:t>
      </w:r>
      <w:r w:rsidRPr="00245246">
        <w:t>, Standard &amp; Poor’s, Fitch</w:t>
      </w:r>
      <w:r w:rsidR="00884425" w:rsidRPr="00884425">
        <w:t xml:space="preserve"> </w:t>
      </w:r>
      <w:r w:rsidR="00884425">
        <w:rPr>
          <w:lang w:val="en-US"/>
        </w:rPr>
        <w:t>Ratings</w:t>
      </w:r>
      <w:r w:rsidRPr="00245246">
        <w:t>, R&amp;I και Scope</w:t>
      </w:r>
      <w:r w:rsidR="00803B60">
        <w:t xml:space="preserve"> </w:t>
      </w:r>
      <w:r w:rsidR="00803B60">
        <w:rPr>
          <w:lang w:val="en-US"/>
        </w:rPr>
        <w:t>Ratings</w:t>
      </w:r>
      <w:r w:rsidRPr="00245246">
        <w:t>, ακολούθησαν περαιτέρω αναβαθμίσεις κατά μία θέση, στη βαθμίδα BBB με σταθερή προοπτική, τον Δεκέμβριο 2024 από τον οίκο αξιολόγησης Scope</w:t>
      </w:r>
      <w:r w:rsidR="00803B60">
        <w:t xml:space="preserve"> </w:t>
      </w:r>
      <w:r w:rsidR="00803B60">
        <w:rPr>
          <w:lang w:val="en-US"/>
        </w:rPr>
        <w:t>Ratings</w:t>
      </w:r>
      <w:r w:rsidRPr="008965D3">
        <w:t>,</w:t>
      </w:r>
      <w:r w:rsidRPr="00245246">
        <w:t xml:space="preserve"> τον Μάρτιο και </w:t>
      </w:r>
      <w:r w:rsidR="00803B60">
        <w:t xml:space="preserve">τον </w:t>
      </w:r>
      <w:r w:rsidRPr="00245246">
        <w:t xml:space="preserve">Απρίλιο 2025 από τους οίκους αξιολόγησης DBRS </w:t>
      </w:r>
      <w:r w:rsidR="00803B60">
        <w:rPr>
          <w:lang w:val="en-US"/>
        </w:rPr>
        <w:t>Morningstar</w:t>
      </w:r>
      <w:r w:rsidR="00803B60" w:rsidRPr="00884425">
        <w:t xml:space="preserve"> </w:t>
      </w:r>
      <w:r w:rsidRPr="00245246">
        <w:t>και Standard &amp; Poor’s αντίστοιχα</w:t>
      </w:r>
      <w:r w:rsidR="000F033B" w:rsidRPr="000F033B">
        <w:t>,</w:t>
      </w:r>
      <w:r>
        <w:t xml:space="preserve"> τον Οκτώβριο 2025 από τον οίκο αξιολόγησης </w:t>
      </w:r>
      <w:r w:rsidRPr="00245246">
        <w:t>R&amp;I</w:t>
      </w:r>
      <w:r w:rsidR="00D255E4" w:rsidRPr="00D255E4">
        <w:t xml:space="preserve"> </w:t>
      </w:r>
      <w:r w:rsidR="00D255E4">
        <w:t xml:space="preserve">και τον Νοέμβριο 2025 από τον οίκο αξιολόγησης </w:t>
      </w:r>
      <w:r w:rsidR="00D255E4" w:rsidRPr="00245246">
        <w:t>Fitch</w:t>
      </w:r>
      <w:r w:rsidR="00D255E4" w:rsidRPr="00884425">
        <w:t xml:space="preserve"> </w:t>
      </w:r>
      <w:r w:rsidR="00D255E4">
        <w:rPr>
          <w:lang w:val="en-US"/>
        </w:rPr>
        <w:t>Ratings</w:t>
      </w:r>
      <w:r w:rsidR="00D255E4">
        <w:t>.</w:t>
      </w:r>
      <w:r w:rsidRPr="00245246">
        <w:t xml:space="preserve"> Επιπλέον, ο οίκος Moody’s αναβάθμισε το αξιόχρεο του Ελληνικού Δημοσίου στην επενδυτική βαθμίδα Baa3 με σταθερή προοπτική τον Μάρτιο 2025. Περαιτέρω, </w:t>
      </w:r>
      <w:r w:rsidR="00D255E4">
        <w:t xml:space="preserve">στις αρχές Νοεμβρίου </w:t>
      </w:r>
      <w:r w:rsidRPr="00245246">
        <w:t xml:space="preserve">του τρέχοντος έτους ο οίκος </w:t>
      </w:r>
      <w:r w:rsidR="00D255E4" w:rsidRPr="00245246">
        <w:t>Scope</w:t>
      </w:r>
      <w:r w:rsidR="00D255E4">
        <w:t xml:space="preserve"> </w:t>
      </w:r>
      <w:r w:rsidR="00D255E4">
        <w:rPr>
          <w:lang w:val="en-US"/>
        </w:rPr>
        <w:t>Ratings</w:t>
      </w:r>
      <w:r w:rsidR="00D255E4" w:rsidRPr="00245246">
        <w:t xml:space="preserve"> </w:t>
      </w:r>
      <w:r w:rsidRPr="00245246">
        <w:t>προχώρησε σε αναβάθμιση των προοπτικών της ελληνικής οικονομίας από σταθερές σε θετικές.</w:t>
      </w:r>
    </w:p>
    <w:p w14:paraId="03A97827" w14:textId="7ECB70FE" w:rsidR="00CA518B" w:rsidRDefault="00CA518B" w:rsidP="00623140">
      <w:r w:rsidRPr="00245246">
        <w:t xml:space="preserve">Οι χρηματοδοτικές ανάγκες του Ελληνικού Δημοσίου κατά τη διάρκεια του 2025 καλύφθηκαν, κατά κύριο λόγο, από κοινοπρακτικές εκδόσεις και επανεκδόσεις ομολόγων σταθερού επιτοκίου δεκαετούς, δεκαπενταετούς και τριακονταετούς διάρκειας, συνολικής ονομαστικής αξίας </w:t>
      </w:r>
      <w:r w:rsidRPr="002550B4">
        <w:t>7.000 εκατ. ευρώ.</w:t>
      </w:r>
      <w:r w:rsidRPr="00245246">
        <w:t xml:space="preserve"> Επιπλέον, καλύφθηκαν από επανεκδόσεις μεσοπρόθεσμων και μακροπρόθεσμων ομολόγων μέσω δημοπρασιών συνολικής ονομαστικής αξίας 700 εκατ. ευρώ</w:t>
      </w:r>
      <w:r w:rsidRPr="00B96E99">
        <w:t xml:space="preserve"> καθώς </w:t>
      </w:r>
      <w:r>
        <w:t xml:space="preserve">επίσης </w:t>
      </w:r>
      <w:r w:rsidRPr="00B96E99">
        <w:t xml:space="preserve">και από αναχρηματοδότηση βραχυπρόθεσμου χρέους. </w:t>
      </w:r>
      <w:r w:rsidRPr="00245246">
        <w:t>Ο βραχυπρόθεσμος δανεισμός του Ελληνικού Δημοσίου πραγματοποιήθηκε μέσω εκδόσεων εντόκων γραμματίων τρίμηνης, εξάμηνης και ετήσιας διάρκειας καθώς επίσης και μέσω πράξεων διαχείρισης ταμειακής ρευστότητας υπό τη μορφή repo agreements, τις οποίες συνάπτει ο Οργανισμός Διαχείρισης Δημοσίου Χρέους (ΟΔΔΗΧ) για την αξιοποίηση των διαθεσίμων, κυρίως των φορέων της Γενικής Κυβέρνησης</w:t>
      </w:r>
      <w:r>
        <w:t>.</w:t>
      </w:r>
    </w:p>
    <w:p w14:paraId="17732931" w14:textId="77777777" w:rsidR="00CA518B" w:rsidRPr="00873072" w:rsidRDefault="00CA518B" w:rsidP="00623140">
      <w:r w:rsidRPr="0011679A">
        <w:t>Στις 30</w:t>
      </w:r>
      <w:r>
        <w:t>.</w:t>
      </w:r>
      <w:r w:rsidRPr="0011679A">
        <w:t>9</w:t>
      </w:r>
      <w:r>
        <w:t>.</w:t>
      </w:r>
      <w:r w:rsidRPr="0011679A">
        <w:t>2025 το</w:t>
      </w:r>
      <w:r w:rsidRPr="00B96E99">
        <w:t xml:space="preserve"> σύνολο των δανείων που έχουν χορηγηθεί από τον Μηχανισμό Στήριξης διαμορφώθηκε σε 216.708,7 εκατ. ευρώ, τα οποία συνίστανται αποκλειστικά σε ευρωπαϊκά δάνεια των κρατών</w:t>
      </w:r>
      <w:r>
        <w:t xml:space="preserve"> - </w:t>
      </w:r>
      <w:r w:rsidRPr="00B96E99">
        <w:t>μελών της Ευρωζώνης.</w:t>
      </w:r>
    </w:p>
    <w:p w14:paraId="261A9898" w14:textId="6F7E9C9F" w:rsidR="00197AA2" w:rsidRPr="00BA25F2" w:rsidRDefault="00197AA2" w:rsidP="00300BBF">
      <w:pPr>
        <w:pStyle w:val="4"/>
      </w:pPr>
      <w:bookmarkStart w:id="693" w:name="_Toc214473801"/>
      <w:bookmarkEnd w:id="692"/>
      <w:r w:rsidRPr="00BA25F2">
        <w:lastRenderedPageBreak/>
        <w:t>Σύνθεση δημ</w:t>
      </w:r>
      <w:r w:rsidR="00775DFB">
        <w:t>ό</w:t>
      </w:r>
      <w:r w:rsidRPr="00BA25F2">
        <w:t>σ</w:t>
      </w:r>
      <w:r w:rsidR="00775DFB">
        <w:t>ι</w:t>
      </w:r>
      <w:r w:rsidRPr="00BA25F2">
        <w:t>ου χρέους</w:t>
      </w:r>
      <w:bookmarkEnd w:id="693"/>
    </w:p>
    <w:p w14:paraId="655CCB1F" w14:textId="2585B1E0" w:rsidR="00197AA2" w:rsidRDefault="002E0F80" w:rsidP="00300BBF">
      <w:pPr>
        <w:pStyle w:val="5"/>
      </w:pPr>
      <w:bookmarkStart w:id="694" w:name="_Toc214473802"/>
      <w:r>
        <w:t>Το χ</w:t>
      </w:r>
      <w:r w:rsidR="00197AA2" w:rsidRPr="00BA25F2">
        <w:t xml:space="preserve">ρέος </w:t>
      </w:r>
      <w:r>
        <w:t xml:space="preserve">της </w:t>
      </w:r>
      <w:r w:rsidR="00197AA2" w:rsidRPr="00BA25F2">
        <w:t xml:space="preserve">Κεντρικής Διοίκησης και </w:t>
      </w:r>
      <w:r>
        <w:t xml:space="preserve">της </w:t>
      </w:r>
      <w:r w:rsidR="00197AA2" w:rsidRPr="00BA25F2">
        <w:t>Γενικής Κυβέρνησης</w:t>
      </w:r>
      <w:bookmarkEnd w:id="694"/>
    </w:p>
    <w:p w14:paraId="50620211" w14:textId="19968836" w:rsidR="00623140" w:rsidRDefault="00623140" w:rsidP="00623140">
      <w:r w:rsidRPr="00EB6469">
        <w:t>Κατ’ εφαρμογή της αριθ. 6577784/17</w:t>
      </w:r>
      <w:r w:rsidR="006F182A" w:rsidRPr="006F182A">
        <w:t>.</w:t>
      </w:r>
      <w:r w:rsidRPr="00EB6469">
        <w:t>9</w:t>
      </w:r>
      <w:r w:rsidR="006F182A" w:rsidRPr="006F182A">
        <w:t>.</w:t>
      </w:r>
      <w:r w:rsidRPr="00EB6469">
        <w:t xml:space="preserve">2024 απόφασης της </w:t>
      </w:r>
      <w:r w:rsidR="00E53510" w:rsidRPr="00E53510">
        <w:t>Eurostat</w:t>
      </w:r>
      <w:r w:rsidRPr="00EB6469">
        <w:t xml:space="preserve">, ενσωματώθηκαν στο δημόσιο χρέος, αναδρομικά από το 2012, οι </w:t>
      </w:r>
      <w:r w:rsidRPr="00435B6C">
        <w:t>αναβαλλόμενοι τόκοι των δανείων του</w:t>
      </w:r>
      <w:r w:rsidR="00884425" w:rsidRPr="00884425">
        <w:t xml:space="preserve"> </w:t>
      </w:r>
      <w:r w:rsidR="00884425">
        <w:t>Ευρωπαϊκού Ταμείου Χρηματοπιστωτικής Σταθερότητας (ΕΤΧΣ)</w:t>
      </w:r>
      <w:r w:rsidR="00432F13">
        <w:t xml:space="preserve"> - </w:t>
      </w:r>
      <w:r w:rsidR="00432F13">
        <w:rPr>
          <w:lang w:val="en-US"/>
        </w:rPr>
        <w:t>European</w:t>
      </w:r>
      <w:r w:rsidR="00432F13" w:rsidRPr="00432F13">
        <w:t xml:space="preserve"> </w:t>
      </w:r>
      <w:r w:rsidR="00432F13">
        <w:rPr>
          <w:lang w:val="en-US"/>
        </w:rPr>
        <w:t>Financial</w:t>
      </w:r>
      <w:r w:rsidR="00432F13" w:rsidRPr="00432F13">
        <w:t xml:space="preserve"> </w:t>
      </w:r>
      <w:r w:rsidR="00432F13">
        <w:rPr>
          <w:lang w:val="en-US"/>
        </w:rPr>
        <w:t>Stability</w:t>
      </w:r>
      <w:r w:rsidR="00432F13" w:rsidRPr="00432F13">
        <w:t xml:space="preserve"> </w:t>
      </w:r>
      <w:r w:rsidR="00432F13">
        <w:rPr>
          <w:lang w:val="en-US"/>
        </w:rPr>
        <w:t>Facility</w:t>
      </w:r>
      <w:r w:rsidR="00432F13" w:rsidRPr="00432F13">
        <w:t xml:space="preserve"> (</w:t>
      </w:r>
      <w:r w:rsidR="00432F13">
        <w:rPr>
          <w:lang w:val="en-US"/>
        </w:rPr>
        <w:t>EFSF</w:t>
      </w:r>
      <w:r w:rsidR="00432F13" w:rsidRPr="00432F13">
        <w:t>)</w:t>
      </w:r>
      <w:r w:rsidR="00432F13">
        <w:t>,</w:t>
      </w:r>
      <w:r w:rsidRPr="00435B6C">
        <w:t xml:space="preserve"> το συνολικό ύψος των οποίων εκτιμάται ότι θα διαμορφωθεί σε 15.520 εκατ. ευρώ στο τέλος του 2025, ενώ προβλέπεται </w:t>
      </w:r>
      <w:r w:rsidR="00B73CA3">
        <w:t>να</w:t>
      </w:r>
      <w:r w:rsidRPr="00435B6C">
        <w:t xml:space="preserve"> διαμορφωθεί σε 17.330 εκατ. ευρώ στο τέλος του 2026. Σημειώνεται ότι από το έτος 2012 το ύψος των ετήσιων</w:t>
      </w:r>
      <w:r w:rsidRPr="00EB6469">
        <w:t xml:space="preserve"> αναβαλλόμενων τόκων συνυπολογίζεται στη διαμόρφωση του ετήσιου ισοζυγίου </w:t>
      </w:r>
      <w:r w:rsidR="00CA1E61">
        <w:t>της Γ</w:t>
      </w:r>
      <w:r w:rsidRPr="00EB6469">
        <w:t xml:space="preserve">ενικής </w:t>
      </w:r>
      <w:r w:rsidR="00CA1E61">
        <w:t>Κ</w:t>
      </w:r>
      <w:r w:rsidRPr="00EB6469">
        <w:t xml:space="preserve">υβέρνησης κατά </w:t>
      </w:r>
      <w:r w:rsidRPr="00EB6469">
        <w:rPr>
          <w:lang w:val="en-US"/>
        </w:rPr>
        <w:t>ESA</w:t>
      </w:r>
      <w:r w:rsidRPr="00EB6469">
        <w:t>.</w:t>
      </w:r>
    </w:p>
    <w:p w14:paraId="2A1D9F47" w14:textId="09001A37" w:rsidR="00623140" w:rsidRPr="00AE64F9" w:rsidRDefault="00623140" w:rsidP="00BE5952">
      <w:r w:rsidRPr="004B46B1">
        <w:t>Το χρέος της Γενικής Κυβέρνησης εκτιμάται ότι θα διαμορφωθεί σ</w:t>
      </w:r>
      <w:r w:rsidR="00BE5952">
        <w:t>ε</w:t>
      </w:r>
      <w:r w:rsidRPr="004B46B1">
        <w:t xml:space="preserve"> 362.800 εκατ. ευρώ ή 145,</w:t>
      </w:r>
      <w:r w:rsidRPr="00DE6C88">
        <w:t>9</w:t>
      </w:r>
      <w:r w:rsidRPr="004B46B1">
        <w:t>% ως ποσοστό του ΑΕΠ στο τέλος του 2025 έναντι 364.</w:t>
      </w:r>
      <w:r w:rsidRPr="00DE6C88">
        <w:t>965</w:t>
      </w:r>
      <w:r w:rsidRPr="004B46B1">
        <w:t xml:space="preserve"> εκατ. ευρώ ή 15</w:t>
      </w:r>
      <w:r w:rsidRPr="00DE6C88">
        <w:t>4</w:t>
      </w:r>
      <w:r w:rsidRPr="004B46B1">
        <w:t>,</w:t>
      </w:r>
      <w:r w:rsidRPr="00DE6C88">
        <w:t>2</w:t>
      </w:r>
      <w:r w:rsidRPr="004B46B1">
        <w:t>% ως ποσοστό του ΑΕΠ το 2024, παρουσιάζοντας μείωση κατά 8,</w:t>
      </w:r>
      <w:r w:rsidRPr="00DE6C88">
        <w:t>3</w:t>
      </w:r>
      <w:r w:rsidRPr="004B46B1">
        <w:t xml:space="preserve"> ποσοστιαίες μονάδες έναντι του 2024</w:t>
      </w:r>
      <w:r w:rsidRPr="00507F21">
        <w:t>. Το 202</w:t>
      </w:r>
      <w:r w:rsidRPr="004B46B1">
        <w:t>6</w:t>
      </w:r>
      <w:r w:rsidRPr="00507F21">
        <w:t xml:space="preserve"> το χρέος της Γενικής Κυβέρνησης προβλέπεται ότι θα διαμορφωθεί</w:t>
      </w:r>
      <w:r>
        <w:t xml:space="preserve"> </w:t>
      </w:r>
      <w:r w:rsidRPr="00507F21">
        <w:t>σ</w:t>
      </w:r>
      <w:r w:rsidR="00BE5952">
        <w:t>ε</w:t>
      </w:r>
      <w:r w:rsidRPr="004B46B1">
        <w:t xml:space="preserve"> </w:t>
      </w:r>
      <w:r w:rsidRPr="00DE6C88">
        <w:t>359.</w:t>
      </w:r>
      <w:r w:rsidR="003D1239">
        <w:t>3</w:t>
      </w:r>
      <w:r w:rsidRPr="00DE6C88">
        <w:t>00 εκατ. ευρώ ή 138,</w:t>
      </w:r>
      <w:r w:rsidR="003D1239">
        <w:t>2</w:t>
      </w:r>
      <w:r w:rsidRPr="00DE6C88">
        <w:t>% ως ποσοστό του ΑΕΠ, παρουσιάζοντας μείωση</w:t>
      </w:r>
      <w:r w:rsidRPr="00507F21">
        <w:t xml:space="preserve"> </w:t>
      </w:r>
      <w:r w:rsidRPr="004B46B1">
        <w:t>κατά 7,</w:t>
      </w:r>
      <w:r w:rsidR="003D1239">
        <w:t>7</w:t>
      </w:r>
      <w:r w:rsidRPr="004B46B1">
        <w:t xml:space="preserve"> ποσοστιαίες μονάδες έναντι του </w:t>
      </w:r>
      <w:r w:rsidRPr="00AE64F9">
        <w:t>2025 (</w:t>
      </w:r>
      <w:r w:rsidR="00D61726" w:rsidRPr="00AE64F9">
        <w:fldChar w:fldCharType="begin"/>
      </w:r>
      <w:r w:rsidR="00D61726" w:rsidRPr="00AE64F9">
        <w:instrText xml:space="preserve"> REF _Ref182650913 \h  \* MERGEFORMAT </w:instrText>
      </w:r>
      <w:r w:rsidR="00D61726" w:rsidRPr="00AE64F9">
        <w:fldChar w:fldCharType="separate"/>
      </w:r>
      <w:r w:rsidR="00E15678" w:rsidRPr="00E15678">
        <w:t>Πίνακας 4.1</w:t>
      </w:r>
      <w:r w:rsidR="00D61726" w:rsidRPr="00AE64F9">
        <w:fldChar w:fldCharType="end"/>
      </w:r>
      <w:r w:rsidR="00D61726" w:rsidRPr="00AE64F9">
        <w:t>.</w:t>
      </w:r>
      <w:r w:rsidRPr="00AE64F9">
        <w:t xml:space="preserve">, </w:t>
      </w:r>
      <w:r w:rsidR="000110BF" w:rsidRPr="00AE64F9">
        <w:fldChar w:fldCharType="begin"/>
      </w:r>
      <w:r w:rsidR="000110BF" w:rsidRPr="00AE64F9">
        <w:instrText xml:space="preserve"> REF _Ref182651169 \h  \* MERGEFORMAT </w:instrText>
      </w:r>
      <w:r w:rsidR="000110BF" w:rsidRPr="00AE64F9">
        <w:fldChar w:fldCharType="separate"/>
      </w:r>
      <w:r w:rsidR="00E15678" w:rsidRPr="00E15678">
        <w:t>Πίνακας 4.3</w:t>
      </w:r>
      <w:r w:rsidR="000110BF" w:rsidRPr="00AE64F9">
        <w:fldChar w:fldCharType="end"/>
      </w:r>
      <w:r w:rsidR="000110BF" w:rsidRPr="00AE64F9">
        <w:t>.</w:t>
      </w:r>
      <w:r w:rsidRPr="00AE64F9">
        <w:t>).</w:t>
      </w:r>
    </w:p>
    <w:p w14:paraId="2155EDD3" w14:textId="240C2D15" w:rsidR="00BE5952" w:rsidRPr="00AE64F9" w:rsidRDefault="00BE5952" w:rsidP="00BE5952">
      <w:pPr>
        <w:spacing w:after="240"/>
      </w:pPr>
      <w:r w:rsidRPr="00AE64F9">
        <w:t>Το χρέος της Κεντρικής Διοίκησης εκτιμάται ότι θα διαμορφωθεί σε 403.460 εκατ. ευρώ ή 162,2% ως ποσοστό του ΑΕΠ στο τέλος του 2025 έναντι 403.861 εκατ. ευρώ ή 170,6% ως ποσοστό του ΑΕΠ το 2024, παρουσιάζοντας μείωση κατά 8,4 ποσοστιαίες μονάδες έναντι του 2024. Το 2026 το ύψος του χρέους της Κεντρικής Διοίκησης προβλέπεται ότι θα διαμορφωθεί σε 39</w:t>
      </w:r>
      <w:r w:rsidR="003D1239" w:rsidRPr="00AE64F9">
        <w:t>8</w:t>
      </w:r>
      <w:r w:rsidRPr="00AE64F9">
        <w:t>.</w:t>
      </w:r>
      <w:r w:rsidR="003D1239" w:rsidRPr="00AE64F9">
        <w:t>070</w:t>
      </w:r>
      <w:r w:rsidRPr="00AE64F9">
        <w:t xml:space="preserve"> εκατ. ευρώ ή 153,</w:t>
      </w:r>
      <w:r w:rsidR="003D1239" w:rsidRPr="00AE64F9">
        <w:t>1</w:t>
      </w:r>
      <w:r w:rsidRPr="00AE64F9">
        <w:t>% ως ποσοστό του ΑΕΠ, παρουσιάζοντας μείωση κατά 9,</w:t>
      </w:r>
      <w:r w:rsidR="003D1239" w:rsidRPr="00AE64F9">
        <w:t>1</w:t>
      </w:r>
      <w:r w:rsidRPr="00AE64F9">
        <w:t xml:space="preserve"> ποσοστιαίες μονάδες έναντι του 2025 (</w:t>
      </w:r>
      <w:r w:rsidRPr="00AE64F9">
        <w:fldChar w:fldCharType="begin"/>
      </w:r>
      <w:r w:rsidRPr="00AE64F9">
        <w:instrText xml:space="preserve"> REF _Ref213338085 \h  \* MERGEFORMAT </w:instrText>
      </w:r>
      <w:r w:rsidRPr="00AE64F9">
        <w:fldChar w:fldCharType="separate"/>
      </w:r>
      <w:r w:rsidR="00E15678" w:rsidRPr="00E15678">
        <w:t>Πίνακας 4.2</w:t>
      </w:r>
      <w:r w:rsidRPr="00AE64F9">
        <w:fldChar w:fldCharType="end"/>
      </w:r>
      <w:r w:rsidRPr="00AE64F9">
        <w:t>.).</w:t>
      </w:r>
    </w:p>
    <w:tbl>
      <w:tblPr>
        <w:tblW w:w="9243" w:type="dxa"/>
        <w:jc w:val="center"/>
        <w:tblLook w:val="04A0" w:firstRow="1" w:lastRow="0" w:firstColumn="1" w:lastColumn="0" w:noHBand="0" w:noVBand="1"/>
      </w:tblPr>
      <w:tblGrid>
        <w:gridCol w:w="383"/>
        <w:gridCol w:w="5546"/>
        <w:gridCol w:w="828"/>
        <w:gridCol w:w="828"/>
        <w:gridCol w:w="828"/>
        <w:gridCol w:w="830"/>
      </w:tblGrid>
      <w:tr w:rsidR="00BE5952" w:rsidRPr="00FD594B" w14:paraId="13F1464E" w14:textId="77777777" w:rsidTr="00537B26">
        <w:trPr>
          <w:cantSplit/>
          <w:trHeight w:val="283"/>
          <w:jc w:val="center"/>
        </w:trPr>
        <w:tc>
          <w:tcPr>
            <w:tcW w:w="9243" w:type="dxa"/>
            <w:gridSpan w:val="6"/>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72CF40AE" w14:textId="78F554DD" w:rsidR="00BE5952" w:rsidRPr="00FD594B" w:rsidRDefault="00BE5952" w:rsidP="00537B26">
            <w:pPr>
              <w:spacing w:after="0" w:line="276" w:lineRule="auto"/>
              <w:jc w:val="center"/>
              <w:rPr>
                <w:rFonts w:cs="Arial"/>
                <w:b/>
                <w:bCs/>
                <w:sz w:val="18"/>
                <w:szCs w:val="18"/>
                <w:highlight w:val="yellow"/>
              </w:rPr>
            </w:pPr>
            <w:bookmarkStart w:id="695" w:name="_Ref182650913"/>
            <w:bookmarkStart w:id="696" w:name="_Toc214474107"/>
            <w:r w:rsidRPr="00D61726">
              <w:rPr>
                <w:b/>
                <w:sz w:val="18"/>
                <w:szCs w:val="18"/>
              </w:rPr>
              <w:t>Πίνακας 4.</w:t>
            </w:r>
            <w:r w:rsidRPr="00D61726">
              <w:rPr>
                <w:b/>
                <w:sz w:val="18"/>
                <w:szCs w:val="18"/>
              </w:rPr>
              <w:fldChar w:fldCharType="begin"/>
            </w:r>
            <w:r w:rsidRPr="00D61726">
              <w:rPr>
                <w:b/>
                <w:sz w:val="18"/>
                <w:szCs w:val="18"/>
              </w:rPr>
              <w:instrText xml:space="preserve"> SEQ Πίνακας_4. \* ARABIC </w:instrText>
            </w:r>
            <w:r w:rsidRPr="00D61726">
              <w:rPr>
                <w:b/>
                <w:sz w:val="18"/>
                <w:szCs w:val="18"/>
              </w:rPr>
              <w:fldChar w:fldCharType="separate"/>
            </w:r>
            <w:r w:rsidR="00E15678">
              <w:rPr>
                <w:b/>
                <w:noProof/>
                <w:sz w:val="18"/>
                <w:szCs w:val="18"/>
              </w:rPr>
              <w:t>1</w:t>
            </w:r>
            <w:r w:rsidRPr="00D61726">
              <w:rPr>
                <w:b/>
                <w:sz w:val="18"/>
                <w:szCs w:val="18"/>
              </w:rPr>
              <w:fldChar w:fldCharType="end"/>
            </w:r>
            <w:bookmarkEnd w:id="695"/>
            <w:r w:rsidRPr="00D61726">
              <w:rPr>
                <w:rFonts w:cs="Arial"/>
                <w:b/>
                <w:bCs/>
                <w:sz w:val="18"/>
                <w:szCs w:val="18"/>
              </w:rPr>
              <w:t>.: Χρέος</w:t>
            </w:r>
            <w:r w:rsidR="001B5D2B">
              <w:rPr>
                <w:rFonts w:cs="Arial"/>
                <w:b/>
                <w:bCs/>
                <w:sz w:val="18"/>
                <w:szCs w:val="18"/>
              </w:rPr>
              <w:t xml:space="preserve"> της</w:t>
            </w:r>
            <w:r w:rsidRPr="00D61726">
              <w:rPr>
                <w:rFonts w:cs="Arial"/>
                <w:b/>
                <w:bCs/>
                <w:sz w:val="18"/>
                <w:szCs w:val="18"/>
              </w:rPr>
              <w:t xml:space="preserve"> Γενικής Κυβέρνησης</w:t>
            </w:r>
            <w:r w:rsidRPr="00D61726">
              <w:rPr>
                <w:rFonts w:cs="Arial"/>
                <w:b/>
                <w:bCs/>
                <w:sz w:val="18"/>
                <w:szCs w:val="18"/>
              </w:rPr>
              <w:br/>
              <w:t>(σε εκατ. ευρώ)</w:t>
            </w:r>
            <w:bookmarkEnd w:id="696"/>
          </w:p>
        </w:tc>
      </w:tr>
      <w:tr w:rsidR="00BE5952" w:rsidRPr="00957046" w14:paraId="14D7EA3D" w14:textId="77777777" w:rsidTr="00537B26">
        <w:trPr>
          <w:cantSplit/>
          <w:trHeight w:val="230"/>
          <w:jc w:val="center"/>
        </w:trPr>
        <w:tc>
          <w:tcPr>
            <w:tcW w:w="9243" w:type="dxa"/>
            <w:gridSpan w:val="6"/>
            <w:vMerge/>
            <w:tcBorders>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2A22D1D0" w14:textId="77777777" w:rsidR="00BE5952" w:rsidRPr="00957046" w:rsidRDefault="00BE5952" w:rsidP="00537B26">
            <w:pPr>
              <w:spacing w:after="0" w:line="276" w:lineRule="auto"/>
              <w:jc w:val="left"/>
              <w:rPr>
                <w:rFonts w:cs="Arial"/>
                <w:b/>
                <w:bCs/>
                <w:sz w:val="18"/>
                <w:szCs w:val="18"/>
              </w:rPr>
            </w:pPr>
          </w:p>
        </w:tc>
      </w:tr>
      <w:tr w:rsidR="00BE5952" w:rsidRPr="00957046" w14:paraId="458A9378" w14:textId="77777777" w:rsidTr="00537B26">
        <w:trPr>
          <w:cantSplit/>
          <w:trHeight w:val="227"/>
          <w:jc w:val="center"/>
        </w:trPr>
        <w:tc>
          <w:tcPr>
            <w:tcW w:w="5929" w:type="dxa"/>
            <w:gridSpan w:val="2"/>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noWrap/>
            <w:vAlign w:val="center"/>
            <w:hideMark/>
          </w:tcPr>
          <w:p w14:paraId="3A41D930" w14:textId="7A14A697" w:rsidR="00BE5952" w:rsidRPr="00957046" w:rsidRDefault="00BE5952" w:rsidP="00537B26">
            <w:pPr>
              <w:spacing w:after="0" w:line="276" w:lineRule="auto"/>
              <w:jc w:val="center"/>
              <w:rPr>
                <w:rFonts w:cs="Arial"/>
                <w:sz w:val="16"/>
                <w:szCs w:val="16"/>
              </w:rPr>
            </w:pPr>
          </w:p>
        </w:tc>
        <w:tc>
          <w:tcPr>
            <w:tcW w:w="828" w:type="dxa"/>
            <w:tcBorders>
              <w:top w:val="single" w:sz="2" w:space="0" w:color="A6A6A6" w:themeColor="background1" w:themeShade="A6"/>
              <w:left w:val="nil"/>
              <w:bottom w:val="single" w:sz="2" w:space="0" w:color="A6A6A6" w:themeColor="background1" w:themeShade="A6"/>
              <w:right w:val="nil"/>
            </w:tcBorders>
            <w:shd w:val="clear" w:color="auto" w:fill="auto"/>
            <w:noWrap/>
            <w:vAlign w:val="center"/>
          </w:tcPr>
          <w:p w14:paraId="0B35D4AB" w14:textId="77777777" w:rsidR="00BE5952" w:rsidRPr="00957046" w:rsidRDefault="00BE5952" w:rsidP="00537B26">
            <w:pPr>
              <w:spacing w:after="0" w:line="276" w:lineRule="auto"/>
              <w:jc w:val="center"/>
              <w:rPr>
                <w:rFonts w:cs="Arial"/>
                <w:b/>
                <w:bCs/>
                <w:sz w:val="16"/>
                <w:szCs w:val="16"/>
              </w:rPr>
            </w:pPr>
            <w:r>
              <w:rPr>
                <w:rFonts w:cs="Arial"/>
                <w:b/>
                <w:bCs/>
                <w:sz w:val="16"/>
                <w:szCs w:val="16"/>
              </w:rPr>
              <w:t>2023</w:t>
            </w:r>
          </w:p>
        </w:tc>
        <w:tc>
          <w:tcPr>
            <w:tcW w:w="828" w:type="dxa"/>
            <w:tcBorders>
              <w:top w:val="single" w:sz="2" w:space="0" w:color="A6A6A6" w:themeColor="background1" w:themeShade="A6"/>
              <w:left w:val="nil"/>
              <w:bottom w:val="single" w:sz="2" w:space="0" w:color="A6A6A6" w:themeColor="background1" w:themeShade="A6"/>
              <w:right w:val="nil"/>
            </w:tcBorders>
            <w:shd w:val="clear" w:color="auto" w:fill="auto"/>
            <w:noWrap/>
            <w:vAlign w:val="center"/>
          </w:tcPr>
          <w:p w14:paraId="2B2C4983" w14:textId="77777777" w:rsidR="00BE5952" w:rsidRPr="00957046" w:rsidRDefault="00BE5952" w:rsidP="00537B26">
            <w:pPr>
              <w:spacing w:after="0" w:line="276" w:lineRule="auto"/>
              <w:jc w:val="center"/>
              <w:rPr>
                <w:rFonts w:cs="Arial"/>
                <w:b/>
                <w:bCs/>
                <w:sz w:val="16"/>
                <w:szCs w:val="16"/>
              </w:rPr>
            </w:pPr>
            <w:r>
              <w:rPr>
                <w:rFonts w:cs="Arial"/>
                <w:b/>
                <w:bCs/>
                <w:sz w:val="16"/>
                <w:szCs w:val="16"/>
              </w:rPr>
              <w:t>2024</w:t>
            </w:r>
          </w:p>
        </w:tc>
        <w:tc>
          <w:tcPr>
            <w:tcW w:w="828" w:type="dxa"/>
            <w:tcBorders>
              <w:top w:val="single" w:sz="2" w:space="0" w:color="A6A6A6" w:themeColor="background1" w:themeShade="A6"/>
              <w:left w:val="nil"/>
              <w:bottom w:val="single" w:sz="2" w:space="0" w:color="A6A6A6" w:themeColor="background1" w:themeShade="A6"/>
              <w:right w:val="nil"/>
            </w:tcBorders>
            <w:shd w:val="clear" w:color="auto" w:fill="auto"/>
            <w:noWrap/>
            <w:vAlign w:val="center"/>
          </w:tcPr>
          <w:p w14:paraId="5D0CF291" w14:textId="77777777" w:rsidR="00BE5952" w:rsidRPr="00957046" w:rsidRDefault="00BE5952" w:rsidP="00537B26">
            <w:pPr>
              <w:spacing w:after="0" w:line="276" w:lineRule="auto"/>
              <w:jc w:val="center"/>
              <w:rPr>
                <w:rFonts w:cs="Arial"/>
                <w:b/>
                <w:bCs/>
                <w:sz w:val="16"/>
                <w:szCs w:val="16"/>
              </w:rPr>
            </w:pPr>
            <w:r>
              <w:rPr>
                <w:rFonts w:cs="Arial"/>
                <w:b/>
                <w:bCs/>
                <w:sz w:val="16"/>
                <w:szCs w:val="16"/>
              </w:rPr>
              <w:t>2025*</w:t>
            </w:r>
          </w:p>
        </w:tc>
        <w:tc>
          <w:tcPr>
            <w:tcW w:w="83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noWrap/>
            <w:vAlign w:val="center"/>
          </w:tcPr>
          <w:p w14:paraId="54C2858F" w14:textId="77777777" w:rsidR="00BE5952" w:rsidRPr="00957046" w:rsidRDefault="00BE5952" w:rsidP="00537B26">
            <w:pPr>
              <w:spacing w:after="0" w:line="276" w:lineRule="auto"/>
              <w:jc w:val="center"/>
              <w:rPr>
                <w:rFonts w:cs="Arial"/>
                <w:b/>
                <w:bCs/>
                <w:sz w:val="16"/>
                <w:szCs w:val="16"/>
              </w:rPr>
            </w:pPr>
            <w:r>
              <w:rPr>
                <w:rFonts w:cs="Arial"/>
                <w:b/>
                <w:bCs/>
                <w:sz w:val="16"/>
                <w:szCs w:val="16"/>
              </w:rPr>
              <w:t>2026**</w:t>
            </w:r>
          </w:p>
        </w:tc>
      </w:tr>
      <w:tr w:rsidR="004D5DEB" w:rsidRPr="00957046" w14:paraId="2AEA991B" w14:textId="77777777" w:rsidTr="00775DA2">
        <w:trPr>
          <w:cantSplit/>
          <w:trHeight w:val="283"/>
          <w:jc w:val="center"/>
        </w:trPr>
        <w:tc>
          <w:tcPr>
            <w:tcW w:w="383" w:type="dxa"/>
            <w:tcBorders>
              <w:top w:val="single" w:sz="2" w:space="0" w:color="A6A6A6" w:themeColor="background1" w:themeShade="A6"/>
              <w:left w:val="single" w:sz="2" w:space="0" w:color="A6A6A6" w:themeColor="background1" w:themeShade="A6"/>
            </w:tcBorders>
            <w:shd w:val="clear" w:color="000000" w:fill="D5DCE4"/>
            <w:noWrap/>
            <w:vAlign w:val="center"/>
            <w:hideMark/>
          </w:tcPr>
          <w:p w14:paraId="7048383C" w14:textId="77777777" w:rsidR="004D5DEB" w:rsidRPr="00957046" w:rsidRDefault="004D5DEB" w:rsidP="004D5DEB">
            <w:pPr>
              <w:spacing w:after="0" w:line="276" w:lineRule="auto"/>
              <w:jc w:val="center"/>
              <w:rPr>
                <w:rFonts w:cs="Arial"/>
                <w:b/>
                <w:bCs/>
                <w:sz w:val="16"/>
                <w:szCs w:val="16"/>
              </w:rPr>
            </w:pPr>
            <w:r w:rsidRPr="00957046">
              <w:rPr>
                <w:rFonts w:cs="Arial"/>
                <w:b/>
                <w:bCs/>
                <w:sz w:val="16"/>
                <w:szCs w:val="16"/>
              </w:rPr>
              <w:t>Α.</w:t>
            </w:r>
          </w:p>
        </w:tc>
        <w:tc>
          <w:tcPr>
            <w:tcW w:w="5546" w:type="dxa"/>
            <w:tcBorders>
              <w:top w:val="single" w:sz="2" w:space="0" w:color="A6A6A6" w:themeColor="background1" w:themeShade="A6"/>
            </w:tcBorders>
            <w:shd w:val="clear" w:color="000000" w:fill="D5DCE4"/>
            <w:noWrap/>
            <w:vAlign w:val="center"/>
            <w:hideMark/>
          </w:tcPr>
          <w:p w14:paraId="1DA2473E" w14:textId="77777777" w:rsidR="004D5DEB" w:rsidRPr="00957046" w:rsidRDefault="004D5DEB" w:rsidP="004D5DEB">
            <w:pPr>
              <w:spacing w:after="0" w:line="276" w:lineRule="auto"/>
              <w:jc w:val="left"/>
              <w:rPr>
                <w:rFonts w:cs="Arial"/>
                <w:b/>
                <w:bCs/>
                <w:sz w:val="16"/>
                <w:szCs w:val="16"/>
              </w:rPr>
            </w:pPr>
            <w:r w:rsidRPr="00957046">
              <w:rPr>
                <w:rFonts w:cs="Arial"/>
                <w:b/>
                <w:bCs/>
                <w:sz w:val="16"/>
                <w:szCs w:val="16"/>
              </w:rPr>
              <w:t>Χρέος Κεντρικής Διοίκησης</w:t>
            </w:r>
          </w:p>
        </w:tc>
        <w:tc>
          <w:tcPr>
            <w:tcW w:w="828" w:type="dxa"/>
            <w:tcBorders>
              <w:top w:val="single" w:sz="2" w:space="0" w:color="A6A6A6" w:themeColor="background1" w:themeShade="A6"/>
              <w:left w:val="nil"/>
              <w:bottom w:val="nil"/>
              <w:right w:val="nil"/>
            </w:tcBorders>
            <w:shd w:val="clear" w:color="000000" w:fill="D5DCE4"/>
            <w:noWrap/>
            <w:vAlign w:val="center"/>
          </w:tcPr>
          <w:p w14:paraId="7593C94C" w14:textId="1A7F719C" w:rsidR="004D5DEB" w:rsidRPr="00957046" w:rsidRDefault="004D5DEB" w:rsidP="004D5DEB">
            <w:pPr>
              <w:spacing w:after="0" w:line="276" w:lineRule="auto"/>
              <w:jc w:val="right"/>
              <w:rPr>
                <w:rFonts w:cs="Arial"/>
                <w:b/>
                <w:bCs/>
                <w:sz w:val="16"/>
                <w:szCs w:val="16"/>
              </w:rPr>
            </w:pPr>
            <w:r>
              <w:rPr>
                <w:rFonts w:cs="Arial"/>
                <w:b/>
                <w:bCs/>
                <w:sz w:val="16"/>
                <w:szCs w:val="16"/>
              </w:rPr>
              <w:t>406.523</w:t>
            </w:r>
          </w:p>
        </w:tc>
        <w:tc>
          <w:tcPr>
            <w:tcW w:w="828" w:type="dxa"/>
            <w:tcBorders>
              <w:top w:val="single" w:sz="2" w:space="0" w:color="A6A6A6" w:themeColor="background1" w:themeShade="A6"/>
              <w:left w:val="nil"/>
              <w:bottom w:val="nil"/>
              <w:right w:val="nil"/>
            </w:tcBorders>
            <w:shd w:val="clear" w:color="000000" w:fill="D5DCE4"/>
            <w:noWrap/>
            <w:vAlign w:val="center"/>
          </w:tcPr>
          <w:p w14:paraId="419E5628" w14:textId="26362C3D" w:rsidR="004D5DEB" w:rsidRPr="00957046" w:rsidRDefault="004D5DEB" w:rsidP="004D5DEB">
            <w:pPr>
              <w:spacing w:after="0" w:line="276" w:lineRule="auto"/>
              <w:jc w:val="right"/>
              <w:rPr>
                <w:rFonts w:cs="Arial"/>
                <w:b/>
                <w:bCs/>
                <w:sz w:val="16"/>
                <w:szCs w:val="16"/>
              </w:rPr>
            </w:pPr>
            <w:r>
              <w:rPr>
                <w:rFonts w:cs="Arial"/>
                <w:b/>
                <w:bCs/>
                <w:sz w:val="16"/>
                <w:szCs w:val="16"/>
              </w:rPr>
              <w:t>403.861</w:t>
            </w:r>
          </w:p>
        </w:tc>
        <w:tc>
          <w:tcPr>
            <w:tcW w:w="828" w:type="dxa"/>
            <w:tcBorders>
              <w:top w:val="single" w:sz="2" w:space="0" w:color="A6A6A6" w:themeColor="background1" w:themeShade="A6"/>
              <w:left w:val="nil"/>
              <w:bottom w:val="nil"/>
              <w:right w:val="nil"/>
            </w:tcBorders>
            <w:shd w:val="clear" w:color="000000" w:fill="D5DCE4"/>
            <w:noWrap/>
            <w:vAlign w:val="center"/>
          </w:tcPr>
          <w:p w14:paraId="725C0595" w14:textId="074BED57" w:rsidR="004D5DEB" w:rsidRPr="00957046" w:rsidRDefault="004D5DEB" w:rsidP="004D5DEB">
            <w:pPr>
              <w:spacing w:after="0" w:line="276" w:lineRule="auto"/>
              <w:jc w:val="right"/>
              <w:rPr>
                <w:rFonts w:cs="Arial"/>
                <w:b/>
                <w:bCs/>
                <w:sz w:val="16"/>
                <w:szCs w:val="16"/>
              </w:rPr>
            </w:pPr>
            <w:r>
              <w:rPr>
                <w:rFonts w:cs="Arial"/>
                <w:b/>
                <w:bCs/>
                <w:sz w:val="16"/>
                <w:szCs w:val="16"/>
              </w:rPr>
              <w:t>403.460</w:t>
            </w:r>
          </w:p>
        </w:tc>
        <w:tc>
          <w:tcPr>
            <w:tcW w:w="830" w:type="dxa"/>
            <w:tcBorders>
              <w:top w:val="single" w:sz="2" w:space="0" w:color="A6A6A6" w:themeColor="background1" w:themeShade="A6"/>
              <w:left w:val="nil"/>
              <w:bottom w:val="nil"/>
              <w:right w:val="single" w:sz="2" w:space="0" w:color="A6A6A6" w:themeColor="background1" w:themeShade="A6"/>
            </w:tcBorders>
            <w:shd w:val="clear" w:color="000000" w:fill="D5DCE4"/>
            <w:noWrap/>
            <w:vAlign w:val="center"/>
          </w:tcPr>
          <w:p w14:paraId="4F4F2927" w14:textId="06DCD988" w:rsidR="004D5DEB" w:rsidRPr="00957046" w:rsidRDefault="004D5DEB" w:rsidP="004D5DEB">
            <w:pPr>
              <w:spacing w:after="0" w:line="276" w:lineRule="auto"/>
              <w:jc w:val="right"/>
              <w:rPr>
                <w:rFonts w:cs="Arial"/>
                <w:b/>
                <w:bCs/>
                <w:sz w:val="16"/>
                <w:szCs w:val="16"/>
              </w:rPr>
            </w:pPr>
            <w:r>
              <w:rPr>
                <w:rFonts w:cs="Arial"/>
                <w:b/>
                <w:bCs/>
                <w:sz w:val="16"/>
                <w:szCs w:val="16"/>
              </w:rPr>
              <w:t>398.070</w:t>
            </w:r>
          </w:p>
        </w:tc>
      </w:tr>
      <w:tr w:rsidR="004D5DEB" w:rsidRPr="00957046" w14:paraId="4C7F187E" w14:textId="77777777" w:rsidTr="00775DA2">
        <w:trPr>
          <w:cantSplit/>
          <w:trHeight w:val="283"/>
          <w:jc w:val="center"/>
        </w:trPr>
        <w:tc>
          <w:tcPr>
            <w:tcW w:w="383" w:type="dxa"/>
            <w:tcBorders>
              <w:left w:val="single" w:sz="2" w:space="0" w:color="A6A6A6" w:themeColor="background1" w:themeShade="A6"/>
            </w:tcBorders>
            <w:shd w:val="clear" w:color="auto" w:fill="auto"/>
            <w:noWrap/>
            <w:vAlign w:val="center"/>
            <w:hideMark/>
          </w:tcPr>
          <w:p w14:paraId="050075C8" w14:textId="77777777" w:rsidR="004D5DEB" w:rsidRPr="00957046" w:rsidRDefault="004D5DEB" w:rsidP="004D5DEB">
            <w:pPr>
              <w:spacing w:after="0" w:line="276" w:lineRule="auto"/>
              <w:jc w:val="center"/>
              <w:rPr>
                <w:rFonts w:cs="Arial"/>
                <w:sz w:val="16"/>
                <w:szCs w:val="16"/>
              </w:rPr>
            </w:pPr>
            <w:r w:rsidRPr="00957046">
              <w:rPr>
                <w:rFonts w:cs="Arial"/>
                <w:sz w:val="16"/>
                <w:szCs w:val="16"/>
              </w:rPr>
              <w:t>Β.</w:t>
            </w:r>
          </w:p>
        </w:tc>
        <w:tc>
          <w:tcPr>
            <w:tcW w:w="5546" w:type="dxa"/>
            <w:shd w:val="clear" w:color="auto" w:fill="auto"/>
            <w:noWrap/>
            <w:vAlign w:val="center"/>
            <w:hideMark/>
          </w:tcPr>
          <w:p w14:paraId="7DB32C61" w14:textId="77777777" w:rsidR="004D5DEB" w:rsidRPr="00957046" w:rsidRDefault="004D5DEB" w:rsidP="004D5DEB">
            <w:pPr>
              <w:spacing w:after="0" w:line="276" w:lineRule="auto"/>
              <w:jc w:val="left"/>
              <w:rPr>
                <w:rFonts w:cs="Arial"/>
                <w:sz w:val="16"/>
                <w:szCs w:val="16"/>
              </w:rPr>
            </w:pPr>
            <w:r w:rsidRPr="00957046">
              <w:rPr>
                <w:rFonts w:cs="Arial"/>
                <w:sz w:val="16"/>
                <w:szCs w:val="16"/>
              </w:rPr>
              <w:t>Χρέος ΝΠ, κέρματα κ.λπ. μείον επενδύσεις σε τίτλους Ε</w:t>
            </w:r>
            <w:r>
              <w:rPr>
                <w:rFonts w:cs="Arial"/>
                <w:sz w:val="16"/>
                <w:szCs w:val="16"/>
              </w:rPr>
              <w:t xml:space="preserve">λληνικού </w:t>
            </w:r>
            <w:r w:rsidRPr="00957046">
              <w:rPr>
                <w:rFonts w:cs="Arial"/>
                <w:sz w:val="16"/>
                <w:szCs w:val="16"/>
              </w:rPr>
              <w:t>Δ</w:t>
            </w:r>
            <w:r>
              <w:rPr>
                <w:rFonts w:cs="Arial"/>
                <w:sz w:val="16"/>
                <w:szCs w:val="16"/>
              </w:rPr>
              <w:t>ημοσίου</w:t>
            </w:r>
          </w:p>
        </w:tc>
        <w:tc>
          <w:tcPr>
            <w:tcW w:w="828" w:type="dxa"/>
            <w:tcBorders>
              <w:top w:val="nil"/>
              <w:left w:val="nil"/>
              <w:bottom w:val="nil"/>
              <w:right w:val="nil"/>
            </w:tcBorders>
            <w:shd w:val="clear" w:color="auto" w:fill="auto"/>
            <w:noWrap/>
            <w:vAlign w:val="center"/>
          </w:tcPr>
          <w:p w14:paraId="5DBA8451" w14:textId="6191EF5A" w:rsidR="004D5DEB" w:rsidRPr="00957046" w:rsidRDefault="004D5DEB" w:rsidP="004D5DEB">
            <w:pPr>
              <w:spacing w:after="0" w:line="276" w:lineRule="auto"/>
              <w:jc w:val="right"/>
              <w:rPr>
                <w:rFonts w:cs="Arial"/>
                <w:sz w:val="16"/>
                <w:szCs w:val="16"/>
              </w:rPr>
            </w:pPr>
            <w:r>
              <w:rPr>
                <w:rFonts w:cs="Arial"/>
                <w:sz w:val="16"/>
                <w:szCs w:val="16"/>
              </w:rPr>
              <w:t>-11.913</w:t>
            </w:r>
          </w:p>
        </w:tc>
        <w:tc>
          <w:tcPr>
            <w:tcW w:w="828" w:type="dxa"/>
            <w:tcBorders>
              <w:top w:val="nil"/>
              <w:left w:val="nil"/>
              <w:bottom w:val="nil"/>
              <w:right w:val="nil"/>
            </w:tcBorders>
            <w:shd w:val="clear" w:color="auto" w:fill="auto"/>
            <w:noWrap/>
            <w:vAlign w:val="center"/>
          </w:tcPr>
          <w:p w14:paraId="5772F3A9" w14:textId="36982B55" w:rsidR="004D5DEB" w:rsidRPr="00957046" w:rsidRDefault="004D5DEB" w:rsidP="004D5DEB">
            <w:pPr>
              <w:spacing w:after="0" w:line="276" w:lineRule="auto"/>
              <w:jc w:val="right"/>
              <w:rPr>
                <w:rFonts w:cs="Arial"/>
                <w:sz w:val="16"/>
                <w:szCs w:val="16"/>
              </w:rPr>
            </w:pPr>
            <w:r>
              <w:rPr>
                <w:rFonts w:cs="Arial"/>
                <w:sz w:val="16"/>
                <w:szCs w:val="16"/>
              </w:rPr>
              <w:t>-14.516</w:t>
            </w:r>
          </w:p>
        </w:tc>
        <w:tc>
          <w:tcPr>
            <w:tcW w:w="828" w:type="dxa"/>
            <w:tcBorders>
              <w:top w:val="nil"/>
              <w:left w:val="nil"/>
              <w:bottom w:val="nil"/>
              <w:right w:val="nil"/>
            </w:tcBorders>
            <w:shd w:val="clear" w:color="auto" w:fill="auto"/>
            <w:noWrap/>
            <w:vAlign w:val="center"/>
          </w:tcPr>
          <w:p w14:paraId="6FFA8B3C" w14:textId="06C33B57" w:rsidR="004D5DEB" w:rsidRPr="00957046" w:rsidRDefault="004D5DEB" w:rsidP="004D5DEB">
            <w:pPr>
              <w:spacing w:after="0" w:line="276" w:lineRule="auto"/>
              <w:jc w:val="right"/>
              <w:rPr>
                <w:rFonts w:cs="Arial"/>
                <w:sz w:val="16"/>
                <w:szCs w:val="16"/>
              </w:rPr>
            </w:pPr>
            <w:r>
              <w:rPr>
                <w:rFonts w:cs="Arial"/>
                <w:sz w:val="16"/>
                <w:szCs w:val="16"/>
              </w:rPr>
              <w:t>-16.271</w:t>
            </w:r>
          </w:p>
        </w:tc>
        <w:tc>
          <w:tcPr>
            <w:tcW w:w="830" w:type="dxa"/>
            <w:tcBorders>
              <w:top w:val="nil"/>
              <w:left w:val="nil"/>
              <w:bottom w:val="nil"/>
              <w:right w:val="single" w:sz="2" w:space="0" w:color="A6A6A6" w:themeColor="background1" w:themeShade="A6"/>
            </w:tcBorders>
            <w:shd w:val="clear" w:color="auto" w:fill="auto"/>
            <w:noWrap/>
            <w:vAlign w:val="center"/>
          </w:tcPr>
          <w:p w14:paraId="79BC6BC3" w14:textId="0AC83BD2" w:rsidR="004D5DEB" w:rsidRPr="00957046" w:rsidRDefault="004D5DEB" w:rsidP="004D5DEB">
            <w:pPr>
              <w:spacing w:after="0" w:line="276" w:lineRule="auto"/>
              <w:jc w:val="right"/>
              <w:rPr>
                <w:rFonts w:cs="Arial"/>
                <w:sz w:val="16"/>
                <w:szCs w:val="16"/>
              </w:rPr>
            </w:pPr>
            <w:r>
              <w:rPr>
                <w:rFonts w:cs="Arial"/>
                <w:sz w:val="16"/>
                <w:szCs w:val="16"/>
              </w:rPr>
              <w:t>-14.390</w:t>
            </w:r>
          </w:p>
        </w:tc>
      </w:tr>
      <w:tr w:rsidR="004D5DEB" w:rsidRPr="00957046" w14:paraId="5050F2F7" w14:textId="77777777" w:rsidTr="00775DA2">
        <w:trPr>
          <w:cantSplit/>
          <w:trHeight w:val="283"/>
          <w:jc w:val="center"/>
        </w:trPr>
        <w:tc>
          <w:tcPr>
            <w:tcW w:w="383" w:type="dxa"/>
            <w:tcBorders>
              <w:left w:val="single" w:sz="2" w:space="0" w:color="A6A6A6" w:themeColor="background1" w:themeShade="A6"/>
            </w:tcBorders>
            <w:shd w:val="clear" w:color="000000" w:fill="D5DCE4"/>
            <w:noWrap/>
            <w:vAlign w:val="center"/>
            <w:hideMark/>
          </w:tcPr>
          <w:p w14:paraId="42DB6EF8" w14:textId="77777777" w:rsidR="004D5DEB" w:rsidRPr="00957046" w:rsidRDefault="004D5DEB" w:rsidP="004D5DEB">
            <w:pPr>
              <w:spacing w:after="0" w:line="276" w:lineRule="auto"/>
              <w:jc w:val="center"/>
              <w:rPr>
                <w:rFonts w:cs="Arial"/>
                <w:b/>
                <w:bCs/>
                <w:sz w:val="16"/>
                <w:szCs w:val="16"/>
              </w:rPr>
            </w:pPr>
            <w:r w:rsidRPr="00957046">
              <w:rPr>
                <w:rFonts w:cs="Arial"/>
                <w:b/>
                <w:bCs/>
                <w:sz w:val="16"/>
                <w:szCs w:val="16"/>
              </w:rPr>
              <w:t>Γ.</w:t>
            </w:r>
          </w:p>
        </w:tc>
        <w:tc>
          <w:tcPr>
            <w:tcW w:w="5546" w:type="dxa"/>
            <w:shd w:val="clear" w:color="000000" w:fill="D5DCE4"/>
            <w:noWrap/>
            <w:vAlign w:val="center"/>
            <w:hideMark/>
          </w:tcPr>
          <w:p w14:paraId="773CE7B9" w14:textId="77777777" w:rsidR="004D5DEB" w:rsidRPr="00957046" w:rsidRDefault="004D5DEB" w:rsidP="004D5DEB">
            <w:pPr>
              <w:spacing w:after="0" w:line="276" w:lineRule="auto"/>
              <w:jc w:val="left"/>
              <w:rPr>
                <w:rFonts w:cs="Arial"/>
                <w:b/>
                <w:bCs/>
                <w:sz w:val="16"/>
                <w:szCs w:val="16"/>
              </w:rPr>
            </w:pPr>
            <w:r w:rsidRPr="00957046">
              <w:rPr>
                <w:rFonts w:cs="Arial"/>
                <w:b/>
                <w:bCs/>
                <w:sz w:val="16"/>
                <w:szCs w:val="16"/>
              </w:rPr>
              <w:t>Χρέος Κεντρικής Κυβέρνησης κατά ESA (A+B)</w:t>
            </w:r>
          </w:p>
        </w:tc>
        <w:tc>
          <w:tcPr>
            <w:tcW w:w="828" w:type="dxa"/>
            <w:tcBorders>
              <w:top w:val="nil"/>
              <w:left w:val="nil"/>
              <w:bottom w:val="nil"/>
              <w:right w:val="nil"/>
            </w:tcBorders>
            <w:shd w:val="clear" w:color="000000" w:fill="D5DCE4"/>
            <w:noWrap/>
            <w:vAlign w:val="center"/>
          </w:tcPr>
          <w:p w14:paraId="769296EB" w14:textId="3EAB9825" w:rsidR="004D5DEB" w:rsidRPr="00957046" w:rsidRDefault="004D5DEB" w:rsidP="004D5DEB">
            <w:pPr>
              <w:spacing w:after="0" w:line="276" w:lineRule="auto"/>
              <w:jc w:val="right"/>
              <w:rPr>
                <w:rFonts w:cs="Arial"/>
                <w:b/>
                <w:bCs/>
                <w:sz w:val="16"/>
                <w:szCs w:val="16"/>
              </w:rPr>
            </w:pPr>
            <w:r>
              <w:rPr>
                <w:rFonts w:cs="Arial"/>
                <w:b/>
                <w:bCs/>
                <w:sz w:val="16"/>
                <w:szCs w:val="16"/>
              </w:rPr>
              <w:t>394.610</w:t>
            </w:r>
          </w:p>
        </w:tc>
        <w:tc>
          <w:tcPr>
            <w:tcW w:w="828" w:type="dxa"/>
            <w:tcBorders>
              <w:top w:val="nil"/>
              <w:left w:val="nil"/>
              <w:bottom w:val="nil"/>
              <w:right w:val="nil"/>
            </w:tcBorders>
            <w:shd w:val="clear" w:color="000000" w:fill="D5DCE4"/>
            <w:noWrap/>
            <w:vAlign w:val="center"/>
          </w:tcPr>
          <w:p w14:paraId="70B4B92B" w14:textId="57F88766" w:rsidR="004D5DEB" w:rsidRPr="00957046" w:rsidRDefault="004D5DEB" w:rsidP="004D5DEB">
            <w:pPr>
              <w:spacing w:after="0" w:line="276" w:lineRule="auto"/>
              <w:jc w:val="right"/>
              <w:rPr>
                <w:rFonts w:cs="Arial"/>
                <w:b/>
                <w:bCs/>
                <w:sz w:val="16"/>
                <w:szCs w:val="16"/>
              </w:rPr>
            </w:pPr>
            <w:r>
              <w:rPr>
                <w:rFonts w:cs="Arial"/>
                <w:b/>
                <w:bCs/>
                <w:sz w:val="16"/>
                <w:szCs w:val="16"/>
              </w:rPr>
              <w:t>389.345</w:t>
            </w:r>
          </w:p>
        </w:tc>
        <w:tc>
          <w:tcPr>
            <w:tcW w:w="828" w:type="dxa"/>
            <w:tcBorders>
              <w:top w:val="nil"/>
              <w:left w:val="nil"/>
              <w:bottom w:val="nil"/>
              <w:right w:val="nil"/>
            </w:tcBorders>
            <w:shd w:val="clear" w:color="000000" w:fill="D5DCE4"/>
            <w:noWrap/>
            <w:vAlign w:val="center"/>
          </w:tcPr>
          <w:p w14:paraId="603093F1" w14:textId="746F4A97" w:rsidR="004D5DEB" w:rsidRPr="00957046" w:rsidRDefault="004D5DEB" w:rsidP="004D5DEB">
            <w:pPr>
              <w:spacing w:after="0" w:line="276" w:lineRule="auto"/>
              <w:jc w:val="right"/>
              <w:rPr>
                <w:rFonts w:cs="Arial"/>
                <w:b/>
                <w:bCs/>
                <w:sz w:val="16"/>
                <w:szCs w:val="16"/>
              </w:rPr>
            </w:pPr>
            <w:r>
              <w:rPr>
                <w:rFonts w:cs="Arial"/>
                <w:b/>
                <w:bCs/>
                <w:sz w:val="16"/>
                <w:szCs w:val="16"/>
              </w:rPr>
              <w:t>387.189</w:t>
            </w:r>
          </w:p>
        </w:tc>
        <w:tc>
          <w:tcPr>
            <w:tcW w:w="830" w:type="dxa"/>
            <w:tcBorders>
              <w:top w:val="nil"/>
              <w:left w:val="nil"/>
              <w:bottom w:val="nil"/>
              <w:right w:val="single" w:sz="2" w:space="0" w:color="A6A6A6" w:themeColor="background1" w:themeShade="A6"/>
            </w:tcBorders>
            <w:shd w:val="clear" w:color="000000" w:fill="D5DCE4"/>
            <w:noWrap/>
            <w:vAlign w:val="center"/>
          </w:tcPr>
          <w:p w14:paraId="42A85EFD" w14:textId="6C8D6A54" w:rsidR="004D5DEB" w:rsidRPr="00957046" w:rsidRDefault="004D5DEB" w:rsidP="004D5DEB">
            <w:pPr>
              <w:spacing w:after="0" w:line="276" w:lineRule="auto"/>
              <w:jc w:val="right"/>
              <w:rPr>
                <w:rFonts w:cs="Arial"/>
                <w:b/>
                <w:bCs/>
                <w:sz w:val="16"/>
                <w:szCs w:val="16"/>
              </w:rPr>
            </w:pPr>
            <w:r>
              <w:rPr>
                <w:rFonts w:cs="Arial"/>
                <w:b/>
                <w:bCs/>
                <w:sz w:val="16"/>
                <w:szCs w:val="16"/>
              </w:rPr>
              <w:t>383.680</w:t>
            </w:r>
          </w:p>
        </w:tc>
      </w:tr>
      <w:tr w:rsidR="004D5DEB" w:rsidRPr="00957046" w14:paraId="193DAFB3" w14:textId="77777777" w:rsidTr="00775DA2">
        <w:trPr>
          <w:cantSplit/>
          <w:trHeight w:val="283"/>
          <w:jc w:val="center"/>
        </w:trPr>
        <w:tc>
          <w:tcPr>
            <w:tcW w:w="383" w:type="dxa"/>
            <w:tcBorders>
              <w:left w:val="single" w:sz="2" w:space="0" w:color="A6A6A6" w:themeColor="background1" w:themeShade="A6"/>
            </w:tcBorders>
            <w:shd w:val="clear" w:color="auto" w:fill="auto"/>
            <w:noWrap/>
            <w:vAlign w:val="center"/>
            <w:hideMark/>
          </w:tcPr>
          <w:p w14:paraId="4C85CC84" w14:textId="77777777" w:rsidR="004D5DEB" w:rsidRPr="00957046" w:rsidRDefault="004D5DEB" w:rsidP="004D5DEB">
            <w:pPr>
              <w:spacing w:after="0" w:line="276" w:lineRule="auto"/>
              <w:jc w:val="center"/>
              <w:rPr>
                <w:rFonts w:cs="Arial"/>
                <w:sz w:val="16"/>
                <w:szCs w:val="16"/>
              </w:rPr>
            </w:pPr>
            <w:r w:rsidRPr="00957046">
              <w:rPr>
                <w:rFonts w:cs="Arial"/>
                <w:sz w:val="16"/>
                <w:szCs w:val="16"/>
              </w:rPr>
              <w:t>Δ.</w:t>
            </w:r>
          </w:p>
        </w:tc>
        <w:tc>
          <w:tcPr>
            <w:tcW w:w="5546" w:type="dxa"/>
            <w:shd w:val="clear" w:color="auto" w:fill="auto"/>
            <w:noWrap/>
            <w:vAlign w:val="center"/>
            <w:hideMark/>
          </w:tcPr>
          <w:p w14:paraId="4403B52D" w14:textId="77777777" w:rsidR="004D5DEB" w:rsidRPr="00957046" w:rsidRDefault="004D5DEB" w:rsidP="004D5DEB">
            <w:pPr>
              <w:spacing w:after="0" w:line="276" w:lineRule="auto"/>
              <w:jc w:val="left"/>
              <w:rPr>
                <w:rFonts w:cs="Arial"/>
                <w:sz w:val="16"/>
                <w:szCs w:val="16"/>
              </w:rPr>
            </w:pPr>
            <w:r w:rsidRPr="00957046">
              <w:rPr>
                <w:rFonts w:cs="Arial"/>
                <w:sz w:val="16"/>
                <w:szCs w:val="16"/>
              </w:rPr>
              <w:t>Χρέος ΟΤΑ, OKA μείον ενδοκυβερνητικό χρέος</w:t>
            </w:r>
          </w:p>
        </w:tc>
        <w:tc>
          <w:tcPr>
            <w:tcW w:w="828" w:type="dxa"/>
            <w:tcBorders>
              <w:top w:val="nil"/>
              <w:left w:val="nil"/>
              <w:bottom w:val="nil"/>
              <w:right w:val="nil"/>
            </w:tcBorders>
            <w:shd w:val="clear" w:color="auto" w:fill="auto"/>
            <w:noWrap/>
            <w:vAlign w:val="center"/>
          </w:tcPr>
          <w:p w14:paraId="5D4A554A" w14:textId="083512E1" w:rsidR="004D5DEB" w:rsidRPr="00957046" w:rsidRDefault="004D5DEB" w:rsidP="004D5DEB">
            <w:pPr>
              <w:spacing w:after="0" w:line="276" w:lineRule="auto"/>
              <w:jc w:val="right"/>
              <w:rPr>
                <w:rFonts w:cs="Arial"/>
                <w:sz w:val="16"/>
                <w:szCs w:val="16"/>
              </w:rPr>
            </w:pPr>
            <w:r>
              <w:rPr>
                <w:rFonts w:cs="Arial"/>
                <w:sz w:val="16"/>
                <w:szCs w:val="16"/>
              </w:rPr>
              <w:t>-25.500</w:t>
            </w:r>
          </w:p>
        </w:tc>
        <w:tc>
          <w:tcPr>
            <w:tcW w:w="828" w:type="dxa"/>
            <w:tcBorders>
              <w:top w:val="nil"/>
              <w:left w:val="nil"/>
              <w:bottom w:val="nil"/>
              <w:right w:val="nil"/>
            </w:tcBorders>
            <w:shd w:val="clear" w:color="auto" w:fill="auto"/>
            <w:noWrap/>
            <w:vAlign w:val="center"/>
          </w:tcPr>
          <w:p w14:paraId="07B6DED7" w14:textId="7721E6AD" w:rsidR="004D5DEB" w:rsidRPr="00957046" w:rsidRDefault="004D5DEB" w:rsidP="004D5DEB">
            <w:pPr>
              <w:spacing w:after="0" w:line="276" w:lineRule="auto"/>
              <w:jc w:val="right"/>
              <w:rPr>
                <w:rFonts w:cs="Arial"/>
                <w:sz w:val="16"/>
                <w:szCs w:val="16"/>
              </w:rPr>
            </w:pPr>
            <w:r>
              <w:rPr>
                <w:rFonts w:cs="Arial"/>
                <w:sz w:val="16"/>
                <w:szCs w:val="16"/>
              </w:rPr>
              <w:t>-24.380</w:t>
            </w:r>
          </w:p>
        </w:tc>
        <w:tc>
          <w:tcPr>
            <w:tcW w:w="828" w:type="dxa"/>
            <w:tcBorders>
              <w:top w:val="nil"/>
              <w:left w:val="nil"/>
              <w:bottom w:val="nil"/>
              <w:right w:val="nil"/>
            </w:tcBorders>
            <w:shd w:val="clear" w:color="auto" w:fill="auto"/>
            <w:noWrap/>
            <w:vAlign w:val="center"/>
          </w:tcPr>
          <w:p w14:paraId="0D8F8140" w14:textId="6A9B69BD" w:rsidR="004D5DEB" w:rsidRPr="00957046" w:rsidRDefault="004D5DEB" w:rsidP="004D5DEB">
            <w:pPr>
              <w:spacing w:after="0" w:line="276" w:lineRule="auto"/>
              <w:jc w:val="right"/>
              <w:rPr>
                <w:rFonts w:cs="Arial"/>
                <w:sz w:val="16"/>
                <w:szCs w:val="16"/>
              </w:rPr>
            </w:pPr>
            <w:r>
              <w:rPr>
                <w:rFonts w:cs="Arial"/>
                <w:sz w:val="16"/>
                <w:szCs w:val="16"/>
              </w:rPr>
              <w:t>-24.389</w:t>
            </w:r>
          </w:p>
        </w:tc>
        <w:tc>
          <w:tcPr>
            <w:tcW w:w="830" w:type="dxa"/>
            <w:tcBorders>
              <w:top w:val="nil"/>
              <w:left w:val="nil"/>
              <w:bottom w:val="nil"/>
              <w:right w:val="single" w:sz="2" w:space="0" w:color="A6A6A6" w:themeColor="background1" w:themeShade="A6"/>
            </w:tcBorders>
            <w:shd w:val="clear" w:color="auto" w:fill="auto"/>
            <w:noWrap/>
            <w:vAlign w:val="center"/>
          </w:tcPr>
          <w:p w14:paraId="555E2EFE" w14:textId="67347144" w:rsidR="004D5DEB" w:rsidRPr="00957046" w:rsidRDefault="004D5DEB" w:rsidP="004D5DEB">
            <w:pPr>
              <w:spacing w:after="0" w:line="276" w:lineRule="auto"/>
              <w:jc w:val="right"/>
              <w:rPr>
                <w:rFonts w:cs="Arial"/>
                <w:sz w:val="16"/>
                <w:szCs w:val="16"/>
              </w:rPr>
            </w:pPr>
            <w:r>
              <w:rPr>
                <w:rFonts w:cs="Arial"/>
                <w:sz w:val="16"/>
                <w:szCs w:val="16"/>
              </w:rPr>
              <w:t>-24.380</w:t>
            </w:r>
          </w:p>
        </w:tc>
      </w:tr>
      <w:tr w:rsidR="004D5DEB" w:rsidRPr="00957046" w14:paraId="27449A50" w14:textId="77777777" w:rsidTr="00775DA2">
        <w:trPr>
          <w:cantSplit/>
          <w:trHeight w:val="283"/>
          <w:jc w:val="center"/>
        </w:trPr>
        <w:tc>
          <w:tcPr>
            <w:tcW w:w="383" w:type="dxa"/>
            <w:tcBorders>
              <w:left w:val="single" w:sz="2" w:space="0" w:color="A6A6A6" w:themeColor="background1" w:themeShade="A6"/>
            </w:tcBorders>
            <w:shd w:val="clear" w:color="000000" w:fill="D5DCE4"/>
            <w:noWrap/>
            <w:vAlign w:val="center"/>
            <w:hideMark/>
          </w:tcPr>
          <w:p w14:paraId="6E8A2F4E" w14:textId="77777777" w:rsidR="004D5DEB" w:rsidRPr="00957046" w:rsidRDefault="004D5DEB" w:rsidP="004D5DEB">
            <w:pPr>
              <w:spacing w:after="0" w:line="276" w:lineRule="auto"/>
              <w:jc w:val="center"/>
              <w:rPr>
                <w:rFonts w:cs="Arial"/>
                <w:b/>
                <w:bCs/>
                <w:sz w:val="16"/>
                <w:szCs w:val="16"/>
              </w:rPr>
            </w:pPr>
            <w:r w:rsidRPr="00957046">
              <w:rPr>
                <w:rFonts w:cs="Arial"/>
                <w:b/>
                <w:bCs/>
                <w:sz w:val="16"/>
                <w:szCs w:val="16"/>
              </w:rPr>
              <w:t>Ε.</w:t>
            </w:r>
          </w:p>
        </w:tc>
        <w:tc>
          <w:tcPr>
            <w:tcW w:w="5546" w:type="dxa"/>
            <w:shd w:val="clear" w:color="000000" w:fill="D5DCE4"/>
            <w:noWrap/>
            <w:vAlign w:val="center"/>
            <w:hideMark/>
          </w:tcPr>
          <w:p w14:paraId="4645B5E7" w14:textId="77777777" w:rsidR="004D5DEB" w:rsidRPr="00957046" w:rsidRDefault="004D5DEB" w:rsidP="004D5DEB">
            <w:pPr>
              <w:spacing w:after="0" w:line="276" w:lineRule="auto"/>
              <w:jc w:val="left"/>
              <w:rPr>
                <w:rFonts w:cs="Arial"/>
                <w:b/>
                <w:bCs/>
                <w:sz w:val="16"/>
                <w:szCs w:val="16"/>
              </w:rPr>
            </w:pPr>
            <w:r w:rsidRPr="00957046">
              <w:rPr>
                <w:rFonts w:cs="Arial"/>
                <w:b/>
                <w:bCs/>
                <w:sz w:val="16"/>
                <w:szCs w:val="16"/>
              </w:rPr>
              <w:t>Χρέος Γενικής Κυβέρνησης (Γ+Δ)</w:t>
            </w:r>
          </w:p>
        </w:tc>
        <w:tc>
          <w:tcPr>
            <w:tcW w:w="828" w:type="dxa"/>
            <w:tcBorders>
              <w:top w:val="nil"/>
              <w:left w:val="nil"/>
              <w:bottom w:val="nil"/>
              <w:right w:val="nil"/>
            </w:tcBorders>
            <w:shd w:val="clear" w:color="000000" w:fill="D5DCE4"/>
            <w:noWrap/>
            <w:vAlign w:val="center"/>
          </w:tcPr>
          <w:p w14:paraId="7B602E6A" w14:textId="61EA3656" w:rsidR="004D5DEB" w:rsidRPr="00957046" w:rsidRDefault="004D5DEB" w:rsidP="004D5DEB">
            <w:pPr>
              <w:spacing w:after="0" w:line="276" w:lineRule="auto"/>
              <w:jc w:val="right"/>
              <w:rPr>
                <w:rFonts w:cs="Arial"/>
                <w:b/>
                <w:bCs/>
                <w:sz w:val="16"/>
                <w:szCs w:val="16"/>
              </w:rPr>
            </w:pPr>
            <w:r>
              <w:rPr>
                <w:rFonts w:cs="Arial"/>
                <w:b/>
                <w:bCs/>
                <w:sz w:val="16"/>
                <w:szCs w:val="16"/>
              </w:rPr>
              <w:t>369.110</w:t>
            </w:r>
          </w:p>
        </w:tc>
        <w:tc>
          <w:tcPr>
            <w:tcW w:w="828" w:type="dxa"/>
            <w:tcBorders>
              <w:top w:val="nil"/>
              <w:left w:val="nil"/>
              <w:bottom w:val="nil"/>
              <w:right w:val="nil"/>
            </w:tcBorders>
            <w:shd w:val="clear" w:color="000000" w:fill="D5DCE4"/>
            <w:noWrap/>
            <w:vAlign w:val="center"/>
          </w:tcPr>
          <w:p w14:paraId="33E18DFF" w14:textId="71336C03" w:rsidR="004D5DEB" w:rsidRPr="00957046" w:rsidRDefault="004D5DEB" w:rsidP="004D5DEB">
            <w:pPr>
              <w:spacing w:after="0" w:line="276" w:lineRule="auto"/>
              <w:jc w:val="right"/>
              <w:rPr>
                <w:rFonts w:cs="Arial"/>
                <w:b/>
                <w:bCs/>
                <w:sz w:val="16"/>
                <w:szCs w:val="16"/>
              </w:rPr>
            </w:pPr>
            <w:r>
              <w:rPr>
                <w:rFonts w:cs="Arial"/>
                <w:b/>
                <w:bCs/>
                <w:sz w:val="16"/>
                <w:szCs w:val="16"/>
              </w:rPr>
              <w:t>364.965</w:t>
            </w:r>
          </w:p>
        </w:tc>
        <w:tc>
          <w:tcPr>
            <w:tcW w:w="828" w:type="dxa"/>
            <w:tcBorders>
              <w:top w:val="nil"/>
              <w:left w:val="nil"/>
              <w:bottom w:val="nil"/>
              <w:right w:val="nil"/>
            </w:tcBorders>
            <w:shd w:val="clear" w:color="000000" w:fill="D5DCE4"/>
            <w:noWrap/>
            <w:vAlign w:val="center"/>
          </w:tcPr>
          <w:p w14:paraId="6F114248" w14:textId="5CC3A912" w:rsidR="004D5DEB" w:rsidRPr="00957046" w:rsidRDefault="004D5DEB" w:rsidP="004D5DEB">
            <w:pPr>
              <w:spacing w:after="0" w:line="276" w:lineRule="auto"/>
              <w:jc w:val="right"/>
              <w:rPr>
                <w:rFonts w:cs="Arial"/>
                <w:b/>
                <w:bCs/>
                <w:sz w:val="16"/>
                <w:szCs w:val="16"/>
              </w:rPr>
            </w:pPr>
            <w:r>
              <w:rPr>
                <w:rFonts w:cs="Arial"/>
                <w:b/>
                <w:bCs/>
                <w:sz w:val="16"/>
                <w:szCs w:val="16"/>
              </w:rPr>
              <w:t>362.800</w:t>
            </w:r>
          </w:p>
        </w:tc>
        <w:tc>
          <w:tcPr>
            <w:tcW w:w="830" w:type="dxa"/>
            <w:tcBorders>
              <w:top w:val="nil"/>
              <w:left w:val="nil"/>
              <w:bottom w:val="nil"/>
              <w:right w:val="single" w:sz="2" w:space="0" w:color="A6A6A6" w:themeColor="background1" w:themeShade="A6"/>
            </w:tcBorders>
            <w:shd w:val="clear" w:color="000000" w:fill="D5DCE4"/>
            <w:noWrap/>
            <w:vAlign w:val="center"/>
          </w:tcPr>
          <w:p w14:paraId="0428AB69" w14:textId="593A0CA7" w:rsidR="004D5DEB" w:rsidRPr="00957046" w:rsidRDefault="004D5DEB" w:rsidP="004D5DEB">
            <w:pPr>
              <w:spacing w:after="0" w:line="276" w:lineRule="auto"/>
              <w:jc w:val="right"/>
              <w:rPr>
                <w:rFonts w:cs="Arial"/>
                <w:b/>
                <w:bCs/>
                <w:sz w:val="16"/>
                <w:szCs w:val="16"/>
              </w:rPr>
            </w:pPr>
            <w:r>
              <w:rPr>
                <w:rFonts w:cs="Arial"/>
                <w:b/>
                <w:bCs/>
                <w:sz w:val="16"/>
                <w:szCs w:val="16"/>
              </w:rPr>
              <w:t>359.300</w:t>
            </w:r>
          </w:p>
        </w:tc>
      </w:tr>
      <w:tr w:rsidR="004D5DEB" w:rsidRPr="00957046" w14:paraId="3EA05187" w14:textId="77777777" w:rsidTr="00775DA2">
        <w:trPr>
          <w:cantSplit/>
          <w:trHeight w:val="283"/>
          <w:jc w:val="center"/>
        </w:trPr>
        <w:tc>
          <w:tcPr>
            <w:tcW w:w="383" w:type="dxa"/>
            <w:tcBorders>
              <w:left w:val="single" w:sz="2" w:space="0" w:color="A6A6A6" w:themeColor="background1" w:themeShade="A6"/>
            </w:tcBorders>
            <w:shd w:val="clear" w:color="000000" w:fill="D5DCE4"/>
            <w:noWrap/>
            <w:vAlign w:val="center"/>
            <w:hideMark/>
          </w:tcPr>
          <w:p w14:paraId="0DE0A743" w14:textId="77777777" w:rsidR="004D5DEB" w:rsidRPr="00957046" w:rsidRDefault="004D5DEB" w:rsidP="004D5DEB">
            <w:pPr>
              <w:spacing w:after="0" w:line="276" w:lineRule="auto"/>
              <w:jc w:val="left"/>
              <w:rPr>
                <w:rFonts w:cs="Arial"/>
                <w:sz w:val="16"/>
                <w:szCs w:val="16"/>
              </w:rPr>
            </w:pPr>
            <w:r w:rsidRPr="00957046">
              <w:rPr>
                <w:rFonts w:cs="Arial"/>
                <w:sz w:val="16"/>
                <w:szCs w:val="16"/>
              </w:rPr>
              <w:t> </w:t>
            </w:r>
          </w:p>
        </w:tc>
        <w:tc>
          <w:tcPr>
            <w:tcW w:w="5546" w:type="dxa"/>
            <w:shd w:val="clear" w:color="000000" w:fill="D5DCE4"/>
            <w:noWrap/>
            <w:vAlign w:val="center"/>
            <w:hideMark/>
          </w:tcPr>
          <w:p w14:paraId="7E7D71A7" w14:textId="77777777" w:rsidR="004D5DEB" w:rsidRPr="00957046" w:rsidRDefault="004D5DEB" w:rsidP="004D5DEB">
            <w:pPr>
              <w:spacing w:after="0" w:line="276" w:lineRule="auto"/>
              <w:jc w:val="left"/>
              <w:rPr>
                <w:rFonts w:cs="Arial"/>
                <w:b/>
                <w:bCs/>
                <w:sz w:val="16"/>
                <w:szCs w:val="16"/>
              </w:rPr>
            </w:pPr>
            <w:r w:rsidRPr="00957046">
              <w:rPr>
                <w:rFonts w:cs="Arial"/>
                <w:b/>
                <w:bCs/>
                <w:sz w:val="16"/>
                <w:szCs w:val="16"/>
              </w:rPr>
              <w:t>(ως % του ΑΕΠ)</w:t>
            </w:r>
          </w:p>
        </w:tc>
        <w:tc>
          <w:tcPr>
            <w:tcW w:w="828" w:type="dxa"/>
            <w:tcBorders>
              <w:top w:val="nil"/>
              <w:left w:val="nil"/>
              <w:bottom w:val="nil"/>
              <w:right w:val="nil"/>
            </w:tcBorders>
            <w:shd w:val="clear" w:color="000000" w:fill="D5DCE4"/>
            <w:noWrap/>
            <w:vAlign w:val="center"/>
          </w:tcPr>
          <w:p w14:paraId="2D7E1C57" w14:textId="230438D6" w:rsidR="004D5DEB" w:rsidRPr="00957046" w:rsidRDefault="004D5DEB" w:rsidP="004D5DEB">
            <w:pPr>
              <w:spacing w:after="0" w:line="276" w:lineRule="auto"/>
              <w:jc w:val="right"/>
              <w:rPr>
                <w:rFonts w:cs="Arial"/>
                <w:b/>
                <w:bCs/>
                <w:sz w:val="16"/>
                <w:szCs w:val="16"/>
              </w:rPr>
            </w:pPr>
            <w:r>
              <w:rPr>
                <w:rFonts w:cs="Arial"/>
                <w:b/>
                <w:bCs/>
                <w:sz w:val="16"/>
                <w:szCs w:val="16"/>
              </w:rPr>
              <w:t>164,3%</w:t>
            </w:r>
          </w:p>
        </w:tc>
        <w:tc>
          <w:tcPr>
            <w:tcW w:w="828" w:type="dxa"/>
            <w:tcBorders>
              <w:top w:val="nil"/>
              <w:left w:val="nil"/>
              <w:bottom w:val="nil"/>
              <w:right w:val="nil"/>
            </w:tcBorders>
            <w:shd w:val="clear" w:color="000000" w:fill="D5DCE4"/>
            <w:noWrap/>
            <w:vAlign w:val="center"/>
          </w:tcPr>
          <w:p w14:paraId="5A11F512" w14:textId="74053F3C" w:rsidR="004D5DEB" w:rsidRPr="00957046" w:rsidRDefault="004D5DEB" w:rsidP="004D5DEB">
            <w:pPr>
              <w:spacing w:after="0" w:line="276" w:lineRule="auto"/>
              <w:jc w:val="right"/>
              <w:rPr>
                <w:rFonts w:cs="Arial"/>
                <w:b/>
                <w:bCs/>
                <w:sz w:val="16"/>
                <w:szCs w:val="16"/>
              </w:rPr>
            </w:pPr>
            <w:r>
              <w:rPr>
                <w:rFonts w:cs="Arial"/>
                <w:b/>
                <w:bCs/>
                <w:sz w:val="16"/>
                <w:szCs w:val="16"/>
              </w:rPr>
              <w:t>154,2%</w:t>
            </w:r>
          </w:p>
        </w:tc>
        <w:tc>
          <w:tcPr>
            <w:tcW w:w="828" w:type="dxa"/>
            <w:tcBorders>
              <w:top w:val="nil"/>
              <w:left w:val="nil"/>
              <w:bottom w:val="nil"/>
              <w:right w:val="nil"/>
            </w:tcBorders>
            <w:shd w:val="clear" w:color="000000" w:fill="D5DCE4"/>
            <w:noWrap/>
            <w:vAlign w:val="center"/>
          </w:tcPr>
          <w:p w14:paraId="7DF3879B" w14:textId="0857C44E" w:rsidR="004D5DEB" w:rsidRPr="00957046" w:rsidRDefault="004D5DEB" w:rsidP="004D5DEB">
            <w:pPr>
              <w:spacing w:after="0" w:line="276" w:lineRule="auto"/>
              <w:jc w:val="right"/>
              <w:rPr>
                <w:rFonts w:cs="Arial"/>
                <w:b/>
                <w:bCs/>
                <w:sz w:val="16"/>
                <w:szCs w:val="16"/>
              </w:rPr>
            </w:pPr>
            <w:r>
              <w:rPr>
                <w:rFonts w:cs="Arial"/>
                <w:b/>
                <w:bCs/>
                <w:sz w:val="16"/>
                <w:szCs w:val="16"/>
              </w:rPr>
              <w:t>145,9%</w:t>
            </w:r>
          </w:p>
        </w:tc>
        <w:tc>
          <w:tcPr>
            <w:tcW w:w="830" w:type="dxa"/>
            <w:tcBorders>
              <w:top w:val="nil"/>
              <w:left w:val="nil"/>
              <w:bottom w:val="nil"/>
              <w:right w:val="single" w:sz="2" w:space="0" w:color="A6A6A6" w:themeColor="background1" w:themeShade="A6"/>
            </w:tcBorders>
            <w:shd w:val="clear" w:color="000000" w:fill="D5DCE4"/>
            <w:noWrap/>
            <w:vAlign w:val="center"/>
          </w:tcPr>
          <w:p w14:paraId="02A63DDF" w14:textId="2A12A035" w:rsidR="004D5DEB" w:rsidRPr="00957046" w:rsidRDefault="004D5DEB" w:rsidP="004D5DEB">
            <w:pPr>
              <w:spacing w:after="0" w:line="276" w:lineRule="auto"/>
              <w:jc w:val="right"/>
              <w:rPr>
                <w:rFonts w:cs="Arial"/>
                <w:b/>
                <w:bCs/>
                <w:sz w:val="16"/>
                <w:szCs w:val="16"/>
              </w:rPr>
            </w:pPr>
            <w:r>
              <w:rPr>
                <w:rFonts w:cs="Arial"/>
                <w:b/>
                <w:bCs/>
                <w:sz w:val="16"/>
                <w:szCs w:val="16"/>
              </w:rPr>
              <w:t>138,2%</w:t>
            </w:r>
          </w:p>
        </w:tc>
      </w:tr>
      <w:tr w:rsidR="004D5DEB" w:rsidRPr="00957046" w14:paraId="537C5DA2" w14:textId="77777777" w:rsidTr="00775DA2">
        <w:trPr>
          <w:cantSplit/>
          <w:trHeight w:val="283"/>
          <w:jc w:val="center"/>
        </w:trPr>
        <w:tc>
          <w:tcPr>
            <w:tcW w:w="383" w:type="dxa"/>
            <w:tcBorders>
              <w:left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276486C2" w14:textId="77777777" w:rsidR="004D5DEB" w:rsidRPr="00957046" w:rsidRDefault="004D5DEB" w:rsidP="004D5DEB">
            <w:pPr>
              <w:spacing w:after="0" w:line="276" w:lineRule="auto"/>
              <w:jc w:val="left"/>
              <w:rPr>
                <w:rFonts w:cs="Arial"/>
                <w:sz w:val="16"/>
                <w:szCs w:val="16"/>
              </w:rPr>
            </w:pPr>
            <w:r w:rsidRPr="00957046">
              <w:rPr>
                <w:rFonts w:cs="Arial"/>
                <w:sz w:val="16"/>
                <w:szCs w:val="16"/>
              </w:rPr>
              <w:t> </w:t>
            </w:r>
          </w:p>
        </w:tc>
        <w:tc>
          <w:tcPr>
            <w:tcW w:w="5546" w:type="dxa"/>
            <w:tcBorders>
              <w:bottom w:val="single" w:sz="2" w:space="0" w:color="A6A6A6" w:themeColor="background1" w:themeShade="A6"/>
            </w:tcBorders>
            <w:shd w:val="clear" w:color="auto" w:fill="F2F2F2" w:themeFill="background1" w:themeFillShade="F2"/>
            <w:noWrap/>
            <w:vAlign w:val="center"/>
            <w:hideMark/>
          </w:tcPr>
          <w:p w14:paraId="56927B5F" w14:textId="77777777" w:rsidR="004D5DEB" w:rsidRPr="00957046" w:rsidRDefault="004D5DEB" w:rsidP="004D5DEB">
            <w:pPr>
              <w:spacing w:after="0" w:line="276" w:lineRule="auto"/>
              <w:jc w:val="left"/>
              <w:rPr>
                <w:rFonts w:cs="Arial"/>
                <w:sz w:val="16"/>
                <w:szCs w:val="16"/>
              </w:rPr>
            </w:pPr>
            <w:r w:rsidRPr="00957046">
              <w:rPr>
                <w:rFonts w:cs="Arial"/>
                <w:sz w:val="16"/>
                <w:szCs w:val="16"/>
              </w:rPr>
              <w:t>ΑΕΠ</w:t>
            </w:r>
          </w:p>
        </w:tc>
        <w:tc>
          <w:tcPr>
            <w:tcW w:w="828" w:type="dxa"/>
            <w:tcBorders>
              <w:top w:val="nil"/>
              <w:left w:val="nil"/>
              <w:bottom w:val="single" w:sz="2" w:space="0" w:color="A6A6A6" w:themeColor="background1" w:themeShade="A6"/>
              <w:right w:val="nil"/>
            </w:tcBorders>
            <w:shd w:val="clear" w:color="auto" w:fill="F2F2F2" w:themeFill="background1" w:themeFillShade="F2"/>
            <w:noWrap/>
            <w:vAlign w:val="center"/>
          </w:tcPr>
          <w:p w14:paraId="4C93BC82" w14:textId="2798C9C0" w:rsidR="004D5DEB" w:rsidRPr="00957046" w:rsidRDefault="004D5DEB" w:rsidP="004D5DEB">
            <w:pPr>
              <w:spacing w:after="0" w:line="276" w:lineRule="auto"/>
              <w:jc w:val="right"/>
              <w:rPr>
                <w:rFonts w:cs="Arial"/>
                <w:sz w:val="16"/>
                <w:szCs w:val="16"/>
              </w:rPr>
            </w:pPr>
            <w:r>
              <w:rPr>
                <w:rFonts w:cs="Arial"/>
                <w:sz w:val="16"/>
                <w:szCs w:val="16"/>
              </w:rPr>
              <w:t>224.686</w:t>
            </w:r>
          </w:p>
        </w:tc>
        <w:tc>
          <w:tcPr>
            <w:tcW w:w="828" w:type="dxa"/>
            <w:tcBorders>
              <w:top w:val="nil"/>
              <w:left w:val="nil"/>
              <w:bottom w:val="single" w:sz="2" w:space="0" w:color="A6A6A6" w:themeColor="background1" w:themeShade="A6"/>
              <w:right w:val="nil"/>
            </w:tcBorders>
            <w:shd w:val="clear" w:color="auto" w:fill="F2F2F2" w:themeFill="background1" w:themeFillShade="F2"/>
            <w:noWrap/>
            <w:vAlign w:val="center"/>
          </w:tcPr>
          <w:p w14:paraId="5AB3AEA0" w14:textId="2B80A2F1" w:rsidR="004D5DEB" w:rsidRPr="00957046" w:rsidRDefault="004D5DEB" w:rsidP="004D5DEB">
            <w:pPr>
              <w:spacing w:after="0" w:line="276" w:lineRule="auto"/>
              <w:jc w:val="right"/>
              <w:rPr>
                <w:rFonts w:cs="Arial"/>
                <w:sz w:val="16"/>
                <w:szCs w:val="16"/>
              </w:rPr>
            </w:pPr>
            <w:r>
              <w:rPr>
                <w:rFonts w:cs="Arial"/>
                <w:sz w:val="16"/>
                <w:szCs w:val="16"/>
              </w:rPr>
              <w:t>236.736</w:t>
            </w:r>
          </w:p>
        </w:tc>
        <w:tc>
          <w:tcPr>
            <w:tcW w:w="828" w:type="dxa"/>
            <w:tcBorders>
              <w:top w:val="nil"/>
              <w:left w:val="nil"/>
              <w:bottom w:val="single" w:sz="2" w:space="0" w:color="A6A6A6" w:themeColor="background1" w:themeShade="A6"/>
              <w:right w:val="nil"/>
            </w:tcBorders>
            <w:shd w:val="clear" w:color="auto" w:fill="F2F2F2" w:themeFill="background1" w:themeFillShade="F2"/>
            <w:noWrap/>
            <w:vAlign w:val="center"/>
          </w:tcPr>
          <w:p w14:paraId="3A3F2371" w14:textId="00F7C960" w:rsidR="004D5DEB" w:rsidRPr="00957046" w:rsidRDefault="004D5DEB" w:rsidP="004D5DEB">
            <w:pPr>
              <w:spacing w:after="0" w:line="276" w:lineRule="auto"/>
              <w:jc w:val="right"/>
              <w:rPr>
                <w:rFonts w:cs="Arial"/>
                <w:sz w:val="16"/>
                <w:szCs w:val="16"/>
              </w:rPr>
            </w:pPr>
            <w:r>
              <w:rPr>
                <w:rFonts w:cs="Arial"/>
                <w:sz w:val="16"/>
                <w:szCs w:val="16"/>
              </w:rPr>
              <w:t>248.697</w:t>
            </w:r>
          </w:p>
        </w:tc>
        <w:tc>
          <w:tcPr>
            <w:tcW w:w="830" w:type="dxa"/>
            <w:tcBorders>
              <w:top w:val="nil"/>
              <w:left w:val="nil"/>
              <w:bottom w:val="single" w:sz="2" w:space="0" w:color="A6A6A6" w:themeColor="background1" w:themeShade="A6"/>
              <w:right w:val="single" w:sz="2" w:space="0" w:color="A6A6A6" w:themeColor="background1" w:themeShade="A6"/>
            </w:tcBorders>
            <w:shd w:val="clear" w:color="auto" w:fill="F2F2F2" w:themeFill="background1" w:themeFillShade="F2"/>
            <w:noWrap/>
            <w:vAlign w:val="center"/>
          </w:tcPr>
          <w:p w14:paraId="233F6E6F" w14:textId="3CF528D7" w:rsidR="004D5DEB" w:rsidRPr="00957046" w:rsidRDefault="004D5DEB" w:rsidP="004D5DEB">
            <w:pPr>
              <w:spacing w:after="0" w:line="276" w:lineRule="auto"/>
              <w:jc w:val="right"/>
              <w:rPr>
                <w:rFonts w:cs="Arial"/>
                <w:sz w:val="16"/>
                <w:szCs w:val="16"/>
              </w:rPr>
            </w:pPr>
            <w:r>
              <w:rPr>
                <w:rFonts w:cs="Arial"/>
                <w:sz w:val="16"/>
                <w:szCs w:val="16"/>
              </w:rPr>
              <w:t>260.035</w:t>
            </w:r>
          </w:p>
        </w:tc>
      </w:tr>
      <w:tr w:rsidR="00BE5952" w:rsidRPr="008B7A2A" w14:paraId="3ACBDBCF" w14:textId="77777777" w:rsidTr="00537B26">
        <w:trPr>
          <w:cantSplit/>
          <w:trHeight w:val="227"/>
          <w:jc w:val="center"/>
        </w:trPr>
        <w:tc>
          <w:tcPr>
            <w:tcW w:w="9243" w:type="dxa"/>
            <w:gridSpan w:val="6"/>
            <w:tcBorders>
              <w:top w:val="single" w:sz="2" w:space="0" w:color="A6A6A6" w:themeColor="background1" w:themeShade="A6"/>
            </w:tcBorders>
            <w:shd w:val="clear" w:color="auto" w:fill="auto"/>
            <w:noWrap/>
            <w:vAlign w:val="bottom"/>
            <w:hideMark/>
          </w:tcPr>
          <w:p w14:paraId="6B812FE3" w14:textId="77777777" w:rsidR="00BE5952" w:rsidRDefault="00BE5952" w:rsidP="00CC2FE5">
            <w:pPr>
              <w:spacing w:before="60" w:after="0" w:line="276" w:lineRule="auto"/>
              <w:jc w:val="left"/>
              <w:rPr>
                <w:rFonts w:cs="Arial"/>
                <w:sz w:val="16"/>
                <w:szCs w:val="16"/>
              </w:rPr>
            </w:pPr>
            <w:r w:rsidRPr="00957046">
              <w:rPr>
                <w:rFonts w:cs="Arial"/>
                <w:sz w:val="16"/>
                <w:szCs w:val="16"/>
              </w:rPr>
              <w:t>* Εκτιμήσεις</w:t>
            </w:r>
            <w:r>
              <w:rPr>
                <w:rFonts w:cs="Arial"/>
                <w:sz w:val="16"/>
                <w:szCs w:val="16"/>
              </w:rPr>
              <w:t xml:space="preserve">, </w:t>
            </w:r>
            <w:r w:rsidRPr="00957046">
              <w:rPr>
                <w:rFonts w:cs="Arial"/>
                <w:sz w:val="16"/>
                <w:szCs w:val="16"/>
              </w:rPr>
              <w:t>** Προβλέψεις</w:t>
            </w:r>
          </w:p>
          <w:p w14:paraId="6520EA5D" w14:textId="37E7998D" w:rsidR="00CC2FE5" w:rsidRPr="00957046" w:rsidRDefault="00CC2FE5" w:rsidP="00CC2FE5">
            <w:pPr>
              <w:spacing w:before="60" w:after="0" w:line="276" w:lineRule="auto"/>
              <w:jc w:val="left"/>
              <w:rPr>
                <w:rFonts w:cs="Arial"/>
                <w:sz w:val="16"/>
                <w:szCs w:val="16"/>
              </w:rPr>
            </w:pPr>
            <w:r w:rsidRPr="00957046">
              <w:rPr>
                <w:rFonts w:cs="Arial"/>
                <w:sz w:val="16"/>
                <w:szCs w:val="16"/>
              </w:rPr>
              <w:t>Πηγή: ΟΔΔΗΧ</w:t>
            </w:r>
          </w:p>
        </w:tc>
      </w:tr>
    </w:tbl>
    <w:p w14:paraId="6CED0092" w14:textId="7FA39797" w:rsidR="00BE5952" w:rsidRDefault="00BE5952" w:rsidP="00BE5952">
      <w:pPr>
        <w:spacing w:after="240"/>
        <w:rPr>
          <w:b/>
        </w:rPr>
      </w:pPr>
    </w:p>
    <w:p w14:paraId="41FB86EC" w14:textId="77777777" w:rsidR="00BE5952" w:rsidRDefault="00BE5952">
      <w:pPr>
        <w:spacing w:after="0" w:line="240" w:lineRule="auto"/>
        <w:jc w:val="left"/>
        <w:rPr>
          <w:b/>
        </w:rPr>
      </w:pPr>
      <w:r>
        <w:rPr>
          <w:b/>
        </w:rPr>
        <w:br w:type="page"/>
      </w:r>
    </w:p>
    <w:tbl>
      <w:tblPr>
        <w:tblW w:w="8991"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76"/>
        <w:gridCol w:w="5435"/>
        <w:gridCol w:w="795"/>
        <w:gridCol w:w="795"/>
        <w:gridCol w:w="795"/>
        <w:gridCol w:w="795"/>
      </w:tblGrid>
      <w:tr w:rsidR="00554C4D" w:rsidRPr="00554C4D" w14:paraId="0E029004" w14:textId="77777777" w:rsidTr="00775DA2">
        <w:trPr>
          <w:cantSplit/>
          <w:trHeight w:val="238"/>
          <w:jc w:val="center"/>
        </w:trPr>
        <w:tc>
          <w:tcPr>
            <w:tcW w:w="8991" w:type="dxa"/>
            <w:gridSpan w:val="6"/>
            <w:vMerge w:val="restart"/>
            <w:shd w:val="clear" w:color="000000" w:fill="D5DCE4"/>
            <w:vAlign w:val="center"/>
            <w:hideMark/>
          </w:tcPr>
          <w:p w14:paraId="4A3C7FE0" w14:textId="074836F4" w:rsidR="00554C4D" w:rsidRPr="00554C4D" w:rsidRDefault="00286803" w:rsidP="00FF5BF4">
            <w:pPr>
              <w:spacing w:after="0" w:line="276" w:lineRule="auto"/>
              <w:jc w:val="center"/>
              <w:rPr>
                <w:rFonts w:cs="Arial"/>
                <w:b/>
                <w:bCs/>
                <w:sz w:val="18"/>
                <w:szCs w:val="18"/>
              </w:rPr>
            </w:pPr>
            <w:bookmarkStart w:id="697" w:name="_Ref213338085"/>
            <w:bookmarkStart w:id="698" w:name="_Toc214474108"/>
            <w:r w:rsidRPr="000D30E5">
              <w:rPr>
                <w:b/>
                <w:sz w:val="18"/>
                <w:szCs w:val="18"/>
              </w:rPr>
              <w:lastRenderedPageBreak/>
              <w:t>Πίνακας 4.</w:t>
            </w:r>
            <w:r w:rsidRPr="000D30E5">
              <w:rPr>
                <w:b/>
                <w:sz w:val="18"/>
                <w:szCs w:val="18"/>
              </w:rPr>
              <w:fldChar w:fldCharType="begin"/>
            </w:r>
            <w:r w:rsidRPr="000D30E5">
              <w:rPr>
                <w:b/>
                <w:sz w:val="18"/>
                <w:szCs w:val="18"/>
              </w:rPr>
              <w:instrText xml:space="preserve"> SEQ Πίνακας_4. \* ARABIC </w:instrText>
            </w:r>
            <w:r w:rsidRPr="000D30E5">
              <w:rPr>
                <w:b/>
                <w:sz w:val="18"/>
                <w:szCs w:val="18"/>
              </w:rPr>
              <w:fldChar w:fldCharType="separate"/>
            </w:r>
            <w:r w:rsidR="00E15678">
              <w:rPr>
                <w:b/>
                <w:noProof/>
                <w:sz w:val="18"/>
                <w:szCs w:val="18"/>
              </w:rPr>
              <w:t>2</w:t>
            </w:r>
            <w:r w:rsidRPr="000D30E5">
              <w:rPr>
                <w:b/>
                <w:sz w:val="18"/>
                <w:szCs w:val="18"/>
              </w:rPr>
              <w:fldChar w:fldCharType="end"/>
            </w:r>
            <w:bookmarkEnd w:id="697"/>
            <w:r w:rsidR="00554C4D" w:rsidRPr="000D30E5">
              <w:rPr>
                <w:rFonts w:cs="Arial"/>
                <w:b/>
                <w:bCs/>
                <w:sz w:val="18"/>
                <w:szCs w:val="18"/>
              </w:rPr>
              <w:t>.: Σύνθεση</w:t>
            </w:r>
            <w:r w:rsidR="00554C4D" w:rsidRPr="00554C4D">
              <w:rPr>
                <w:rFonts w:cs="Arial"/>
                <w:b/>
                <w:bCs/>
                <w:sz w:val="18"/>
                <w:szCs w:val="18"/>
              </w:rPr>
              <w:t xml:space="preserve"> </w:t>
            </w:r>
            <w:r w:rsidR="001B5D2B">
              <w:rPr>
                <w:rFonts w:cs="Arial"/>
                <w:b/>
                <w:bCs/>
                <w:sz w:val="18"/>
                <w:szCs w:val="18"/>
              </w:rPr>
              <w:t xml:space="preserve">του </w:t>
            </w:r>
            <w:r w:rsidR="00554C4D" w:rsidRPr="00554C4D">
              <w:rPr>
                <w:rFonts w:cs="Arial"/>
                <w:b/>
                <w:bCs/>
                <w:sz w:val="18"/>
                <w:szCs w:val="18"/>
              </w:rPr>
              <w:t>χρέους</w:t>
            </w:r>
            <w:r w:rsidR="001B5D2B">
              <w:rPr>
                <w:rFonts w:cs="Arial"/>
                <w:b/>
                <w:bCs/>
                <w:sz w:val="18"/>
                <w:szCs w:val="18"/>
              </w:rPr>
              <w:t xml:space="preserve"> της</w:t>
            </w:r>
            <w:r w:rsidR="00554C4D" w:rsidRPr="00554C4D">
              <w:rPr>
                <w:rFonts w:cs="Arial"/>
                <w:b/>
                <w:bCs/>
                <w:sz w:val="18"/>
                <w:szCs w:val="18"/>
              </w:rPr>
              <w:t xml:space="preserve"> Κεντρικής Διοίκησης</w:t>
            </w:r>
            <w:r w:rsidR="00554C4D" w:rsidRPr="00554C4D">
              <w:rPr>
                <w:rFonts w:cs="Arial"/>
                <w:b/>
                <w:bCs/>
                <w:sz w:val="18"/>
                <w:szCs w:val="18"/>
              </w:rPr>
              <w:br/>
              <w:t>(σε εκατ. ευρώ)</w:t>
            </w:r>
            <w:bookmarkEnd w:id="698"/>
          </w:p>
        </w:tc>
      </w:tr>
      <w:tr w:rsidR="00554C4D" w:rsidRPr="00554C4D" w14:paraId="3D77BE6F" w14:textId="77777777" w:rsidTr="00BE5952">
        <w:trPr>
          <w:cantSplit/>
          <w:trHeight w:val="285"/>
          <w:jc w:val="center"/>
        </w:trPr>
        <w:tc>
          <w:tcPr>
            <w:tcW w:w="8991" w:type="dxa"/>
            <w:gridSpan w:val="6"/>
            <w:vMerge/>
            <w:tcBorders>
              <w:bottom w:val="single" w:sz="2" w:space="0" w:color="A6A6A6" w:themeColor="background1" w:themeShade="A6"/>
            </w:tcBorders>
            <w:vAlign w:val="center"/>
            <w:hideMark/>
          </w:tcPr>
          <w:p w14:paraId="135BA28D" w14:textId="77777777" w:rsidR="00554C4D" w:rsidRPr="00554C4D" w:rsidRDefault="00554C4D" w:rsidP="00554C4D">
            <w:pPr>
              <w:spacing w:after="0" w:line="240" w:lineRule="auto"/>
              <w:jc w:val="left"/>
              <w:rPr>
                <w:rFonts w:cs="Arial"/>
                <w:b/>
                <w:bCs/>
                <w:sz w:val="18"/>
                <w:szCs w:val="18"/>
              </w:rPr>
            </w:pPr>
          </w:p>
        </w:tc>
      </w:tr>
      <w:tr w:rsidR="00554C4D" w:rsidRPr="00267A0C" w14:paraId="6B0698F0" w14:textId="77777777" w:rsidTr="00775DA2">
        <w:trPr>
          <w:cantSplit/>
          <w:trHeight w:val="227"/>
          <w:jc w:val="center"/>
        </w:trPr>
        <w:tc>
          <w:tcPr>
            <w:tcW w:w="376" w:type="dxa"/>
            <w:tcBorders>
              <w:bottom w:val="single" w:sz="2" w:space="0" w:color="A6A6A6" w:themeColor="background1" w:themeShade="A6"/>
              <w:right w:val="nil"/>
            </w:tcBorders>
            <w:shd w:val="clear" w:color="auto" w:fill="auto"/>
            <w:noWrap/>
            <w:vAlign w:val="bottom"/>
            <w:hideMark/>
          </w:tcPr>
          <w:p w14:paraId="35D17F8B" w14:textId="77777777" w:rsidR="00554C4D" w:rsidRPr="00267A0C" w:rsidRDefault="00554C4D" w:rsidP="00554C4D">
            <w:pPr>
              <w:spacing w:after="0" w:line="240" w:lineRule="auto"/>
              <w:jc w:val="left"/>
              <w:rPr>
                <w:rFonts w:cs="Arial"/>
                <w:b/>
                <w:bCs/>
                <w:sz w:val="16"/>
                <w:szCs w:val="16"/>
              </w:rPr>
            </w:pPr>
            <w:r w:rsidRPr="00267A0C">
              <w:rPr>
                <w:rFonts w:cs="Arial"/>
                <w:b/>
                <w:bCs/>
                <w:sz w:val="16"/>
                <w:szCs w:val="16"/>
              </w:rPr>
              <w:t> </w:t>
            </w:r>
          </w:p>
        </w:tc>
        <w:tc>
          <w:tcPr>
            <w:tcW w:w="5435" w:type="dxa"/>
            <w:tcBorders>
              <w:left w:val="nil"/>
              <w:bottom w:val="single" w:sz="2" w:space="0" w:color="A6A6A6" w:themeColor="background1" w:themeShade="A6"/>
              <w:right w:val="nil"/>
            </w:tcBorders>
            <w:shd w:val="clear" w:color="auto" w:fill="auto"/>
            <w:noWrap/>
            <w:vAlign w:val="bottom"/>
            <w:hideMark/>
          </w:tcPr>
          <w:p w14:paraId="4116BB75" w14:textId="77777777" w:rsidR="00554C4D" w:rsidRPr="00267A0C" w:rsidRDefault="00554C4D" w:rsidP="00554C4D">
            <w:pPr>
              <w:spacing w:after="0" w:line="240" w:lineRule="auto"/>
              <w:jc w:val="left"/>
              <w:rPr>
                <w:rFonts w:cs="Arial"/>
                <w:sz w:val="16"/>
                <w:szCs w:val="16"/>
              </w:rPr>
            </w:pPr>
            <w:r w:rsidRPr="00267A0C">
              <w:rPr>
                <w:rFonts w:cs="Arial"/>
                <w:sz w:val="16"/>
                <w:szCs w:val="16"/>
              </w:rPr>
              <w:t> </w:t>
            </w:r>
          </w:p>
        </w:tc>
        <w:tc>
          <w:tcPr>
            <w:tcW w:w="795" w:type="dxa"/>
            <w:tcBorders>
              <w:left w:val="nil"/>
              <w:bottom w:val="single" w:sz="2" w:space="0" w:color="A6A6A6" w:themeColor="background1" w:themeShade="A6"/>
              <w:right w:val="nil"/>
            </w:tcBorders>
            <w:shd w:val="clear" w:color="auto" w:fill="auto"/>
            <w:noWrap/>
            <w:vAlign w:val="center"/>
            <w:hideMark/>
          </w:tcPr>
          <w:p w14:paraId="202247AE" w14:textId="77777777" w:rsidR="00554C4D" w:rsidRPr="00267A0C" w:rsidRDefault="00554C4D" w:rsidP="00267A0C">
            <w:pPr>
              <w:spacing w:after="0" w:line="240" w:lineRule="auto"/>
              <w:jc w:val="center"/>
              <w:rPr>
                <w:rFonts w:cs="Arial"/>
                <w:b/>
                <w:bCs/>
                <w:sz w:val="16"/>
                <w:szCs w:val="16"/>
              </w:rPr>
            </w:pPr>
            <w:r w:rsidRPr="00267A0C">
              <w:rPr>
                <w:rFonts w:cs="Arial"/>
                <w:b/>
                <w:bCs/>
                <w:sz w:val="16"/>
                <w:szCs w:val="16"/>
              </w:rPr>
              <w:t>2023</w:t>
            </w:r>
          </w:p>
        </w:tc>
        <w:tc>
          <w:tcPr>
            <w:tcW w:w="795" w:type="dxa"/>
            <w:tcBorders>
              <w:left w:val="nil"/>
              <w:bottom w:val="single" w:sz="2" w:space="0" w:color="A6A6A6" w:themeColor="background1" w:themeShade="A6"/>
              <w:right w:val="nil"/>
            </w:tcBorders>
            <w:shd w:val="clear" w:color="auto" w:fill="auto"/>
            <w:noWrap/>
            <w:vAlign w:val="center"/>
            <w:hideMark/>
          </w:tcPr>
          <w:p w14:paraId="5E249F52" w14:textId="77777777" w:rsidR="00554C4D" w:rsidRPr="00267A0C" w:rsidRDefault="00554C4D" w:rsidP="00267A0C">
            <w:pPr>
              <w:spacing w:after="0" w:line="240" w:lineRule="auto"/>
              <w:jc w:val="center"/>
              <w:rPr>
                <w:rFonts w:cs="Arial"/>
                <w:b/>
                <w:bCs/>
                <w:sz w:val="16"/>
                <w:szCs w:val="16"/>
              </w:rPr>
            </w:pPr>
            <w:r w:rsidRPr="00267A0C">
              <w:rPr>
                <w:rFonts w:cs="Arial"/>
                <w:b/>
                <w:bCs/>
                <w:sz w:val="16"/>
                <w:szCs w:val="16"/>
              </w:rPr>
              <w:t>2024</w:t>
            </w:r>
          </w:p>
        </w:tc>
        <w:tc>
          <w:tcPr>
            <w:tcW w:w="795" w:type="dxa"/>
            <w:tcBorders>
              <w:left w:val="nil"/>
              <w:bottom w:val="single" w:sz="2" w:space="0" w:color="A6A6A6" w:themeColor="background1" w:themeShade="A6"/>
              <w:right w:val="nil"/>
            </w:tcBorders>
            <w:shd w:val="clear" w:color="auto" w:fill="auto"/>
            <w:noWrap/>
            <w:vAlign w:val="center"/>
            <w:hideMark/>
          </w:tcPr>
          <w:p w14:paraId="3E010713" w14:textId="77777777" w:rsidR="00554C4D" w:rsidRPr="00267A0C" w:rsidRDefault="00554C4D" w:rsidP="00267A0C">
            <w:pPr>
              <w:spacing w:after="0" w:line="240" w:lineRule="auto"/>
              <w:jc w:val="center"/>
              <w:rPr>
                <w:rFonts w:cs="Arial"/>
                <w:b/>
                <w:bCs/>
                <w:sz w:val="16"/>
                <w:szCs w:val="16"/>
              </w:rPr>
            </w:pPr>
            <w:r w:rsidRPr="00267A0C">
              <w:rPr>
                <w:rFonts w:cs="Arial"/>
                <w:b/>
                <w:bCs/>
                <w:sz w:val="16"/>
                <w:szCs w:val="16"/>
              </w:rPr>
              <w:t>2025*</w:t>
            </w:r>
          </w:p>
        </w:tc>
        <w:tc>
          <w:tcPr>
            <w:tcW w:w="795" w:type="dxa"/>
            <w:tcBorders>
              <w:left w:val="nil"/>
              <w:bottom w:val="single" w:sz="2" w:space="0" w:color="A6A6A6" w:themeColor="background1" w:themeShade="A6"/>
            </w:tcBorders>
            <w:shd w:val="clear" w:color="auto" w:fill="auto"/>
            <w:noWrap/>
            <w:vAlign w:val="center"/>
            <w:hideMark/>
          </w:tcPr>
          <w:p w14:paraId="48792829" w14:textId="77777777" w:rsidR="00554C4D" w:rsidRPr="00267A0C" w:rsidRDefault="00554C4D" w:rsidP="00267A0C">
            <w:pPr>
              <w:spacing w:after="0" w:line="240" w:lineRule="auto"/>
              <w:jc w:val="center"/>
              <w:rPr>
                <w:rFonts w:cs="Arial"/>
                <w:b/>
                <w:bCs/>
                <w:sz w:val="16"/>
                <w:szCs w:val="16"/>
              </w:rPr>
            </w:pPr>
            <w:r w:rsidRPr="00267A0C">
              <w:rPr>
                <w:rFonts w:cs="Arial"/>
                <w:b/>
                <w:bCs/>
                <w:sz w:val="16"/>
                <w:szCs w:val="16"/>
              </w:rPr>
              <w:t>2026**</w:t>
            </w:r>
          </w:p>
        </w:tc>
      </w:tr>
      <w:tr w:rsidR="0015334A" w:rsidRPr="00267A0C" w14:paraId="2DF57D6B" w14:textId="77777777" w:rsidTr="00775DA2">
        <w:trPr>
          <w:cantSplit/>
          <w:trHeight w:val="227"/>
          <w:jc w:val="center"/>
        </w:trPr>
        <w:tc>
          <w:tcPr>
            <w:tcW w:w="376" w:type="dxa"/>
            <w:tcBorders>
              <w:bottom w:val="nil"/>
              <w:right w:val="nil"/>
            </w:tcBorders>
            <w:shd w:val="clear" w:color="000000" w:fill="D5DCE4"/>
            <w:noWrap/>
            <w:vAlign w:val="center"/>
            <w:hideMark/>
          </w:tcPr>
          <w:p w14:paraId="77262C8A" w14:textId="77777777" w:rsidR="0015334A" w:rsidRPr="00267A0C" w:rsidRDefault="0015334A" w:rsidP="0015334A">
            <w:pPr>
              <w:spacing w:after="0" w:line="276" w:lineRule="auto"/>
              <w:jc w:val="center"/>
              <w:rPr>
                <w:rFonts w:cs="Arial"/>
                <w:b/>
                <w:bCs/>
                <w:sz w:val="16"/>
                <w:szCs w:val="16"/>
              </w:rPr>
            </w:pPr>
            <w:r w:rsidRPr="00267A0C">
              <w:rPr>
                <w:rFonts w:cs="Arial"/>
                <w:b/>
                <w:bCs/>
                <w:sz w:val="16"/>
                <w:szCs w:val="16"/>
              </w:rPr>
              <w:t>Α.</w:t>
            </w:r>
          </w:p>
        </w:tc>
        <w:tc>
          <w:tcPr>
            <w:tcW w:w="5435" w:type="dxa"/>
            <w:tcBorders>
              <w:left w:val="nil"/>
              <w:bottom w:val="nil"/>
              <w:right w:val="nil"/>
            </w:tcBorders>
            <w:shd w:val="clear" w:color="000000" w:fill="D5DCE4"/>
            <w:noWrap/>
            <w:vAlign w:val="center"/>
            <w:hideMark/>
          </w:tcPr>
          <w:p w14:paraId="0E87A5FE" w14:textId="77777777" w:rsidR="0015334A" w:rsidRPr="00267A0C" w:rsidRDefault="0015334A" w:rsidP="0015334A">
            <w:pPr>
              <w:spacing w:after="0" w:line="276" w:lineRule="auto"/>
              <w:jc w:val="left"/>
              <w:rPr>
                <w:rFonts w:cs="Arial"/>
                <w:b/>
                <w:bCs/>
                <w:sz w:val="16"/>
                <w:szCs w:val="16"/>
              </w:rPr>
            </w:pPr>
            <w:r w:rsidRPr="00267A0C">
              <w:rPr>
                <w:rFonts w:cs="Arial"/>
                <w:b/>
                <w:bCs/>
                <w:sz w:val="16"/>
                <w:szCs w:val="16"/>
              </w:rPr>
              <w:t>Ομόλογα</w:t>
            </w:r>
          </w:p>
        </w:tc>
        <w:tc>
          <w:tcPr>
            <w:tcW w:w="795" w:type="dxa"/>
            <w:tcBorders>
              <w:left w:val="nil"/>
              <w:bottom w:val="nil"/>
              <w:right w:val="nil"/>
            </w:tcBorders>
            <w:shd w:val="clear" w:color="000000" w:fill="D5DCE4"/>
            <w:noWrap/>
            <w:vAlign w:val="center"/>
          </w:tcPr>
          <w:p w14:paraId="04F7BE7E" w14:textId="6D3FFE05" w:rsidR="0015334A" w:rsidRPr="00267A0C" w:rsidRDefault="0015334A" w:rsidP="0015334A">
            <w:pPr>
              <w:spacing w:after="0" w:line="276" w:lineRule="auto"/>
              <w:jc w:val="right"/>
              <w:rPr>
                <w:rFonts w:cs="Arial"/>
                <w:b/>
                <w:bCs/>
                <w:sz w:val="16"/>
                <w:szCs w:val="16"/>
              </w:rPr>
            </w:pPr>
            <w:r>
              <w:rPr>
                <w:rFonts w:cs="Arial"/>
                <w:b/>
                <w:bCs/>
                <w:sz w:val="16"/>
                <w:szCs w:val="16"/>
              </w:rPr>
              <w:t>90.459</w:t>
            </w:r>
          </w:p>
        </w:tc>
        <w:tc>
          <w:tcPr>
            <w:tcW w:w="795" w:type="dxa"/>
            <w:tcBorders>
              <w:left w:val="nil"/>
              <w:bottom w:val="nil"/>
              <w:right w:val="nil"/>
            </w:tcBorders>
            <w:shd w:val="clear" w:color="000000" w:fill="D5DCE4"/>
            <w:noWrap/>
            <w:vAlign w:val="center"/>
          </w:tcPr>
          <w:p w14:paraId="2F53AA9C" w14:textId="4B00F289" w:rsidR="0015334A" w:rsidRPr="00267A0C" w:rsidRDefault="0015334A" w:rsidP="0015334A">
            <w:pPr>
              <w:spacing w:after="0" w:line="276" w:lineRule="auto"/>
              <w:jc w:val="right"/>
              <w:rPr>
                <w:rFonts w:cs="Arial"/>
                <w:b/>
                <w:bCs/>
                <w:sz w:val="16"/>
                <w:szCs w:val="16"/>
              </w:rPr>
            </w:pPr>
            <w:r>
              <w:rPr>
                <w:rFonts w:cs="Arial"/>
                <w:b/>
                <w:bCs/>
                <w:sz w:val="16"/>
                <w:szCs w:val="16"/>
              </w:rPr>
              <w:t>96.870</w:t>
            </w:r>
          </w:p>
        </w:tc>
        <w:tc>
          <w:tcPr>
            <w:tcW w:w="795" w:type="dxa"/>
            <w:tcBorders>
              <w:left w:val="nil"/>
              <w:bottom w:val="nil"/>
              <w:right w:val="nil"/>
            </w:tcBorders>
            <w:shd w:val="clear" w:color="000000" w:fill="D5DCE4"/>
            <w:noWrap/>
            <w:vAlign w:val="center"/>
          </w:tcPr>
          <w:p w14:paraId="37C4FD69" w14:textId="7E65612F" w:rsidR="0015334A" w:rsidRPr="00267A0C" w:rsidRDefault="0015334A" w:rsidP="0015334A">
            <w:pPr>
              <w:spacing w:after="0" w:line="276" w:lineRule="auto"/>
              <w:jc w:val="right"/>
              <w:rPr>
                <w:rFonts w:cs="Arial"/>
                <w:b/>
                <w:bCs/>
                <w:sz w:val="16"/>
                <w:szCs w:val="16"/>
              </w:rPr>
            </w:pPr>
            <w:r>
              <w:rPr>
                <w:rFonts w:cs="Arial"/>
                <w:b/>
                <w:bCs/>
                <w:sz w:val="16"/>
                <w:szCs w:val="16"/>
              </w:rPr>
              <w:t>100.758</w:t>
            </w:r>
          </w:p>
        </w:tc>
        <w:tc>
          <w:tcPr>
            <w:tcW w:w="795" w:type="dxa"/>
            <w:tcBorders>
              <w:left w:val="nil"/>
              <w:bottom w:val="nil"/>
            </w:tcBorders>
            <w:shd w:val="clear" w:color="000000" w:fill="D5DCE4"/>
            <w:noWrap/>
            <w:vAlign w:val="center"/>
          </w:tcPr>
          <w:p w14:paraId="1B3A7DB6" w14:textId="124E4C1A" w:rsidR="0015334A" w:rsidRPr="00267A0C" w:rsidRDefault="0015334A" w:rsidP="0015334A">
            <w:pPr>
              <w:spacing w:after="0" w:line="276" w:lineRule="auto"/>
              <w:jc w:val="right"/>
              <w:rPr>
                <w:rFonts w:cs="Arial"/>
                <w:b/>
                <w:bCs/>
                <w:sz w:val="16"/>
                <w:szCs w:val="16"/>
              </w:rPr>
            </w:pPr>
            <w:r>
              <w:rPr>
                <w:rFonts w:cs="Arial"/>
                <w:b/>
                <w:bCs/>
                <w:sz w:val="16"/>
                <w:szCs w:val="16"/>
              </w:rPr>
              <w:t>100.757</w:t>
            </w:r>
          </w:p>
        </w:tc>
      </w:tr>
      <w:tr w:rsidR="0015334A" w:rsidRPr="00267A0C" w14:paraId="62B0683C" w14:textId="77777777" w:rsidTr="00775DA2">
        <w:trPr>
          <w:cantSplit/>
          <w:trHeight w:val="227"/>
          <w:jc w:val="center"/>
        </w:trPr>
        <w:tc>
          <w:tcPr>
            <w:tcW w:w="376" w:type="dxa"/>
            <w:tcBorders>
              <w:top w:val="nil"/>
              <w:bottom w:val="nil"/>
              <w:right w:val="nil"/>
            </w:tcBorders>
            <w:shd w:val="clear" w:color="auto" w:fill="auto"/>
            <w:noWrap/>
            <w:vAlign w:val="center"/>
            <w:hideMark/>
          </w:tcPr>
          <w:p w14:paraId="3DD94498" w14:textId="0F1400B6"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shd w:val="clear" w:color="auto" w:fill="auto"/>
            <w:noWrap/>
            <w:vAlign w:val="center"/>
            <w:hideMark/>
          </w:tcPr>
          <w:p w14:paraId="53294313" w14:textId="77777777" w:rsidR="0015334A" w:rsidRPr="00267A0C" w:rsidRDefault="0015334A" w:rsidP="0015334A">
            <w:pPr>
              <w:spacing w:after="0" w:line="276" w:lineRule="auto"/>
              <w:jc w:val="left"/>
              <w:rPr>
                <w:rFonts w:cs="Arial"/>
                <w:sz w:val="16"/>
                <w:szCs w:val="16"/>
              </w:rPr>
            </w:pPr>
            <w:r w:rsidRPr="00267A0C">
              <w:rPr>
                <w:rFonts w:cs="Arial"/>
                <w:sz w:val="16"/>
                <w:szCs w:val="16"/>
              </w:rPr>
              <w:t>Ομόλογα στην αγορά εσωτερικού</w:t>
            </w:r>
          </w:p>
        </w:tc>
        <w:tc>
          <w:tcPr>
            <w:tcW w:w="795" w:type="dxa"/>
            <w:tcBorders>
              <w:top w:val="nil"/>
              <w:left w:val="nil"/>
              <w:bottom w:val="nil"/>
              <w:right w:val="nil"/>
            </w:tcBorders>
            <w:shd w:val="clear" w:color="auto" w:fill="auto"/>
            <w:noWrap/>
            <w:vAlign w:val="center"/>
          </w:tcPr>
          <w:p w14:paraId="70FF1128" w14:textId="60CA3704" w:rsidR="0015334A" w:rsidRPr="00267A0C" w:rsidRDefault="0015334A" w:rsidP="0015334A">
            <w:pPr>
              <w:spacing w:after="0" w:line="276" w:lineRule="auto"/>
              <w:jc w:val="right"/>
              <w:rPr>
                <w:rFonts w:cs="Arial"/>
                <w:sz w:val="16"/>
                <w:szCs w:val="16"/>
              </w:rPr>
            </w:pPr>
            <w:r>
              <w:rPr>
                <w:rFonts w:cs="Arial"/>
                <w:sz w:val="16"/>
                <w:szCs w:val="16"/>
              </w:rPr>
              <w:t>88.526</w:t>
            </w:r>
          </w:p>
        </w:tc>
        <w:tc>
          <w:tcPr>
            <w:tcW w:w="795" w:type="dxa"/>
            <w:tcBorders>
              <w:top w:val="nil"/>
              <w:left w:val="nil"/>
              <w:bottom w:val="nil"/>
              <w:right w:val="nil"/>
            </w:tcBorders>
            <w:shd w:val="clear" w:color="auto" w:fill="auto"/>
            <w:noWrap/>
            <w:vAlign w:val="center"/>
          </w:tcPr>
          <w:p w14:paraId="044222E5" w14:textId="48AD8FC9" w:rsidR="0015334A" w:rsidRPr="00267A0C" w:rsidRDefault="0015334A" w:rsidP="0015334A">
            <w:pPr>
              <w:spacing w:after="0" w:line="276" w:lineRule="auto"/>
              <w:jc w:val="right"/>
              <w:rPr>
                <w:rFonts w:cs="Arial"/>
                <w:sz w:val="16"/>
                <w:szCs w:val="16"/>
              </w:rPr>
            </w:pPr>
            <w:r>
              <w:rPr>
                <w:rFonts w:cs="Arial"/>
                <w:sz w:val="16"/>
                <w:szCs w:val="16"/>
              </w:rPr>
              <w:t>94.911</w:t>
            </w:r>
          </w:p>
        </w:tc>
        <w:tc>
          <w:tcPr>
            <w:tcW w:w="795" w:type="dxa"/>
            <w:tcBorders>
              <w:top w:val="nil"/>
              <w:left w:val="nil"/>
              <w:bottom w:val="nil"/>
              <w:right w:val="nil"/>
            </w:tcBorders>
            <w:shd w:val="clear" w:color="auto" w:fill="auto"/>
            <w:noWrap/>
            <w:vAlign w:val="center"/>
          </w:tcPr>
          <w:p w14:paraId="78416C4D" w14:textId="4571EB1C" w:rsidR="0015334A" w:rsidRPr="00267A0C" w:rsidRDefault="0015334A" w:rsidP="0015334A">
            <w:pPr>
              <w:spacing w:after="0" w:line="276" w:lineRule="auto"/>
              <w:jc w:val="right"/>
              <w:rPr>
                <w:rFonts w:cs="Arial"/>
                <w:sz w:val="16"/>
                <w:szCs w:val="16"/>
              </w:rPr>
            </w:pPr>
            <w:r>
              <w:rPr>
                <w:rFonts w:cs="Arial"/>
                <w:sz w:val="16"/>
                <w:szCs w:val="16"/>
              </w:rPr>
              <w:t>98.770</w:t>
            </w:r>
          </w:p>
        </w:tc>
        <w:tc>
          <w:tcPr>
            <w:tcW w:w="795" w:type="dxa"/>
            <w:tcBorders>
              <w:top w:val="nil"/>
              <w:left w:val="nil"/>
              <w:bottom w:val="nil"/>
            </w:tcBorders>
            <w:shd w:val="clear" w:color="auto" w:fill="auto"/>
            <w:noWrap/>
            <w:vAlign w:val="center"/>
          </w:tcPr>
          <w:p w14:paraId="00E4C043" w14:textId="3E5569E3" w:rsidR="0015334A" w:rsidRPr="00267A0C" w:rsidRDefault="0015334A" w:rsidP="0015334A">
            <w:pPr>
              <w:spacing w:after="0" w:line="276" w:lineRule="auto"/>
              <w:jc w:val="right"/>
              <w:rPr>
                <w:rFonts w:cs="Arial"/>
                <w:sz w:val="16"/>
                <w:szCs w:val="16"/>
              </w:rPr>
            </w:pPr>
            <w:r>
              <w:rPr>
                <w:rFonts w:cs="Arial"/>
                <w:sz w:val="16"/>
                <w:szCs w:val="16"/>
              </w:rPr>
              <w:t>98.739</w:t>
            </w:r>
          </w:p>
        </w:tc>
      </w:tr>
      <w:tr w:rsidR="0015334A" w:rsidRPr="00267A0C" w14:paraId="1E397189" w14:textId="77777777" w:rsidTr="00775DA2">
        <w:trPr>
          <w:cantSplit/>
          <w:trHeight w:val="227"/>
          <w:jc w:val="center"/>
        </w:trPr>
        <w:tc>
          <w:tcPr>
            <w:tcW w:w="376" w:type="dxa"/>
            <w:tcBorders>
              <w:top w:val="nil"/>
              <w:bottom w:val="nil"/>
              <w:right w:val="nil"/>
            </w:tcBorders>
            <w:shd w:val="clear" w:color="auto" w:fill="auto"/>
            <w:noWrap/>
            <w:vAlign w:val="center"/>
            <w:hideMark/>
          </w:tcPr>
          <w:p w14:paraId="249BB1D9" w14:textId="0D6C0642"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shd w:val="clear" w:color="auto" w:fill="auto"/>
            <w:noWrap/>
            <w:vAlign w:val="center"/>
            <w:hideMark/>
          </w:tcPr>
          <w:p w14:paraId="04028DEE" w14:textId="77777777" w:rsidR="0015334A" w:rsidRPr="00267A0C" w:rsidRDefault="0015334A" w:rsidP="0015334A">
            <w:pPr>
              <w:spacing w:after="0" w:line="276" w:lineRule="auto"/>
              <w:jc w:val="left"/>
              <w:rPr>
                <w:rFonts w:cs="Arial"/>
                <w:sz w:val="16"/>
                <w:szCs w:val="16"/>
              </w:rPr>
            </w:pPr>
            <w:r w:rsidRPr="00267A0C">
              <w:rPr>
                <w:rFonts w:cs="Arial"/>
                <w:sz w:val="16"/>
                <w:szCs w:val="16"/>
              </w:rPr>
              <w:t>Ομόλογα στις αγορές εξωτερικού</w:t>
            </w:r>
          </w:p>
        </w:tc>
        <w:tc>
          <w:tcPr>
            <w:tcW w:w="795" w:type="dxa"/>
            <w:tcBorders>
              <w:top w:val="nil"/>
              <w:left w:val="nil"/>
              <w:bottom w:val="nil"/>
              <w:right w:val="nil"/>
            </w:tcBorders>
            <w:shd w:val="clear" w:color="auto" w:fill="auto"/>
            <w:noWrap/>
            <w:vAlign w:val="center"/>
          </w:tcPr>
          <w:p w14:paraId="710B8A7F" w14:textId="6DCC05B3" w:rsidR="0015334A" w:rsidRPr="00267A0C" w:rsidRDefault="0015334A" w:rsidP="0015334A">
            <w:pPr>
              <w:spacing w:after="0" w:line="276" w:lineRule="auto"/>
              <w:jc w:val="right"/>
              <w:rPr>
                <w:rFonts w:cs="Arial"/>
                <w:sz w:val="16"/>
                <w:szCs w:val="16"/>
              </w:rPr>
            </w:pPr>
            <w:r>
              <w:rPr>
                <w:rFonts w:cs="Arial"/>
                <w:sz w:val="16"/>
                <w:szCs w:val="16"/>
              </w:rPr>
              <w:t>1.933</w:t>
            </w:r>
          </w:p>
        </w:tc>
        <w:tc>
          <w:tcPr>
            <w:tcW w:w="795" w:type="dxa"/>
            <w:tcBorders>
              <w:top w:val="nil"/>
              <w:left w:val="nil"/>
              <w:bottom w:val="nil"/>
              <w:right w:val="nil"/>
            </w:tcBorders>
            <w:shd w:val="clear" w:color="auto" w:fill="auto"/>
            <w:noWrap/>
            <w:vAlign w:val="center"/>
          </w:tcPr>
          <w:p w14:paraId="62CD1C53" w14:textId="470394DF" w:rsidR="0015334A" w:rsidRPr="00267A0C" w:rsidRDefault="0015334A" w:rsidP="0015334A">
            <w:pPr>
              <w:spacing w:after="0" w:line="276" w:lineRule="auto"/>
              <w:jc w:val="right"/>
              <w:rPr>
                <w:rFonts w:cs="Arial"/>
                <w:sz w:val="16"/>
                <w:szCs w:val="16"/>
              </w:rPr>
            </w:pPr>
            <w:r>
              <w:rPr>
                <w:rFonts w:cs="Arial"/>
                <w:sz w:val="16"/>
                <w:szCs w:val="16"/>
              </w:rPr>
              <w:t>1.959</w:t>
            </w:r>
          </w:p>
        </w:tc>
        <w:tc>
          <w:tcPr>
            <w:tcW w:w="795" w:type="dxa"/>
            <w:tcBorders>
              <w:top w:val="nil"/>
              <w:left w:val="nil"/>
              <w:bottom w:val="nil"/>
              <w:right w:val="nil"/>
            </w:tcBorders>
            <w:shd w:val="clear" w:color="auto" w:fill="auto"/>
            <w:noWrap/>
            <w:vAlign w:val="center"/>
          </w:tcPr>
          <w:p w14:paraId="71C49575" w14:textId="6F72F7C4" w:rsidR="0015334A" w:rsidRPr="00267A0C" w:rsidRDefault="0015334A" w:rsidP="0015334A">
            <w:pPr>
              <w:spacing w:after="0" w:line="276" w:lineRule="auto"/>
              <w:jc w:val="right"/>
              <w:rPr>
                <w:rFonts w:cs="Arial"/>
                <w:sz w:val="16"/>
                <w:szCs w:val="16"/>
              </w:rPr>
            </w:pPr>
            <w:r>
              <w:rPr>
                <w:rFonts w:cs="Arial"/>
                <w:sz w:val="16"/>
                <w:szCs w:val="16"/>
              </w:rPr>
              <w:t>1.988</w:t>
            </w:r>
          </w:p>
        </w:tc>
        <w:tc>
          <w:tcPr>
            <w:tcW w:w="795" w:type="dxa"/>
            <w:tcBorders>
              <w:top w:val="nil"/>
              <w:left w:val="nil"/>
              <w:bottom w:val="nil"/>
            </w:tcBorders>
            <w:shd w:val="clear" w:color="auto" w:fill="auto"/>
            <w:noWrap/>
            <w:vAlign w:val="center"/>
          </w:tcPr>
          <w:p w14:paraId="1DA6ACA1" w14:textId="2898025B" w:rsidR="0015334A" w:rsidRPr="00267A0C" w:rsidRDefault="0015334A" w:rsidP="0015334A">
            <w:pPr>
              <w:spacing w:after="0" w:line="276" w:lineRule="auto"/>
              <w:jc w:val="right"/>
              <w:rPr>
                <w:rFonts w:cs="Arial"/>
                <w:sz w:val="16"/>
                <w:szCs w:val="16"/>
              </w:rPr>
            </w:pPr>
            <w:r>
              <w:rPr>
                <w:rFonts w:cs="Arial"/>
                <w:sz w:val="16"/>
                <w:szCs w:val="16"/>
              </w:rPr>
              <w:t>2.018</w:t>
            </w:r>
          </w:p>
        </w:tc>
      </w:tr>
      <w:tr w:rsidR="0015334A" w:rsidRPr="00267A0C" w14:paraId="5885FD1B" w14:textId="77777777" w:rsidTr="00775DA2">
        <w:trPr>
          <w:cantSplit/>
          <w:trHeight w:val="227"/>
          <w:jc w:val="center"/>
        </w:trPr>
        <w:tc>
          <w:tcPr>
            <w:tcW w:w="376" w:type="dxa"/>
            <w:tcBorders>
              <w:top w:val="nil"/>
              <w:bottom w:val="nil"/>
              <w:right w:val="nil"/>
            </w:tcBorders>
            <w:shd w:val="clear" w:color="000000" w:fill="D5DCE4"/>
            <w:noWrap/>
            <w:vAlign w:val="center"/>
            <w:hideMark/>
          </w:tcPr>
          <w:p w14:paraId="1CC54E77" w14:textId="77777777" w:rsidR="0015334A" w:rsidRPr="00267A0C" w:rsidRDefault="0015334A" w:rsidP="0015334A">
            <w:pPr>
              <w:spacing w:after="0" w:line="276" w:lineRule="auto"/>
              <w:jc w:val="center"/>
              <w:rPr>
                <w:rFonts w:cs="Arial"/>
                <w:b/>
                <w:bCs/>
                <w:sz w:val="16"/>
                <w:szCs w:val="16"/>
              </w:rPr>
            </w:pPr>
            <w:r w:rsidRPr="00267A0C">
              <w:rPr>
                <w:rFonts w:cs="Arial"/>
                <w:b/>
                <w:bCs/>
                <w:sz w:val="16"/>
                <w:szCs w:val="16"/>
              </w:rPr>
              <w:t>Β.</w:t>
            </w:r>
          </w:p>
        </w:tc>
        <w:tc>
          <w:tcPr>
            <w:tcW w:w="5435" w:type="dxa"/>
            <w:tcBorders>
              <w:top w:val="nil"/>
              <w:left w:val="nil"/>
              <w:bottom w:val="nil"/>
              <w:right w:val="nil"/>
            </w:tcBorders>
            <w:shd w:val="clear" w:color="000000" w:fill="D5DCE4"/>
            <w:noWrap/>
            <w:vAlign w:val="center"/>
            <w:hideMark/>
          </w:tcPr>
          <w:p w14:paraId="585FFFD3" w14:textId="5C128879" w:rsidR="0015334A" w:rsidRPr="00267A0C" w:rsidRDefault="0015334A" w:rsidP="0015334A">
            <w:pPr>
              <w:spacing w:after="0" w:line="276" w:lineRule="auto"/>
              <w:jc w:val="left"/>
              <w:rPr>
                <w:rFonts w:cs="Arial"/>
                <w:b/>
                <w:bCs/>
                <w:sz w:val="16"/>
                <w:szCs w:val="16"/>
              </w:rPr>
            </w:pPr>
            <w:r w:rsidRPr="00267A0C">
              <w:rPr>
                <w:rFonts w:cs="Arial"/>
                <w:b/>
                <w:bCs/>
                <w:sz w:val="16"/>
                <w:szCs w:val="16"/>
              </w:rPr>
              <w:t xml:space="preserve">Βραχυπρόθεσμοι </w:t>
            </w:r>
            <w:r>
              <w:rPr>
                <w:rFonts w:cs="Arial"/>
                <w:b/>
                <w:bCs/>
                <w:sz w:val="16"/>
                <w:szCs w:val="16"/>
              </w:rPr>
              <w:t>Τ</w:t>
            </w:r>
            <w:r w:rsidRPr="00267A0C">
              <w:rPr>
                <w:rFonts w:cs="Arial"/>
                <w:b/>
                <w:bCs/>
                <w:sz w:val="16"/>
                <w:szCs w:val="16"/>
              </w:rPr>
              <w:t>ίτλοι</w:t>
            </w:r>
          </w:p>
        </w:tc>
        <w:tc>
          <w:tcPr>
            <w:tcW w:w="795" w:type="dxa"/>
            <w:tcBorders>
              <w:top w:val="nil"/>
              <w:left w:val="nil"/>
              <w:bottom w:val="nil"/>
              <w:right w:val="nil"/>
            </w:tcBorders>
            <w:shd w:val="clear" w:color="000000" w:fill="D5DCE4"/>
            <w:noWrap/>
            <w:vAlign w:val="center"/>
          </w:tcPr>
          <w:p w14:paraId="75E61E43" w14:textId="6A9F231D" w:rsidR="0015334A" w:rsidRPr="00267A0C" w:rsidRDefault="0015334A" w:rsidP="0015334A">
            <w:pPr>
              <w:spacing w:after="0" w:line="276" w:lineRule="auto"/>
              <w:jc w:val="right"/>
              <w:rPr>
                <w:rFonts w:cs="Arial"/>
                <w:b/>
                <w:bCs/>
                <w:sz w:val="16"/>
                <w:szCs w:val="16"/>
              </w:rPr>
            </w:pPr>
            <w:r>
              <w:rPr>
                <w:rFonts w:cs="Arial"/>
                <w:b/>
                <w:bCs/>
                <w:sz w:val="16"/>
                <w:szCs w:val="16"/>
              </w:rPr>
              <w:t>11.988</w:t>
            </w:r>
          </w:p>
        </w:tc>
        <w:tc>
          <w:tcPr>
            <w:tcW w:w="795" w:type="dxa"/>
            <w:tcBorders>
              <w:top w:val="nil"/>
              <w:left w:val="nil"/>
              <w:bottom w:val="nil"/>
              <w:right w:val="nil"/>
            </w:tcBorders>
            <w:shd w:val="clear" w:color="000000" w:fill="D5DCE4"/>
            <w:noWrap/>
            <w:vAlign w:val="center"/>
          </w:tcPr>
          <w:p w14:paraId="1823DDAA" w14:textId="7613095E" w:rsidR="0015334A" w:rsidRPr="00267A0C" w:rsidRDefault="0015334A" w:rsidP="0015334A">
            <w:pPr>
              <w:spacing w:after="0" w:line="276" w:lineRule="auto"/>
              <w:jc w:val="right"/>
              <w:rPr>
                <w:rFonts w:cs="Arial"/>
                <w:b/>
                <w:bCs/>
                <w:sz w:val="16"/>
                <w:szCs w:val="16"/>
              </w:rPr>
            </w:pPr>
            <w:r>
              <w:rPr>
                <w:rFonts w:cs="Arial"/>
                <w:b/>
                <w:bCs/>
                <w:sz w:val="16"/>
                <w:szCs w:val="16"/>
              </w:rPr>
              <w:t>8.416</w:t>
            </w:r>
          </w:p>
        </w:tc>
        <w:tc>
          <w:tcPr>
            <w:tcW w:w="795" w:type="dxa"/>
            <w:tcBorders>
              <w:top w:val="nil"/>
              <w:left w:val="nil"/>
              <w:bottom w:val="nil"/>
              <w:right w:val="nil"/>
            </w:tcBorders>
            <w:shd w:val="clear" w:color="000000" w:fill="D5DCE4"/>
            <w:noWrap/>
            <w:vAlign w:val="center"/>
          </w:tcPr>
          <w:p w14:paraId="32FB76D6" w14:textId="535B4253" w:rsidR="0015334A" w:rsidRPr="00267A0C" w:rsidRDefault="0015334A" w:rsidP="0015334A">
            <w:pPr>
              <w:spacing w:after="0" w:line="276" w:lineRule="auto"/>
              <w:jc w:val="right"/>
              <w:rPr>
                <w:rFonts w:cs="Arial"/>
                <w:b/>
                <w:bCs/>
                <w:sz w:val="16"/>
                <w:szCs w:val="16"/>
              </w:rPr>
            </w:pPr>
            <w:r>
              <w:rPr>
                <w:rFonts w:cs="Arial"/>
                <w:b/>
                <w:bCs/>
                <w:sz w:val="16"/>
                <w:szCs w:val="16"/>
              </w:rPr>
              <w:t>8.100</w:t>
            </w:r>
          </w:p>
        </w:tc>
        <w:tc>
          <w:tcPr>
            <w:tcW w:w="795" w:type="dxa"/>
            <w:tcBorders>
              <w:top w:val="nil"/>
              <w:left w:val="nil"/>
              <w:bottom w:val="nil"/>
            </w:tcBorders>
            <w:shd w:val="clear" w:color="000000" w:fill="D5DCE4"/>
            <w:noWrap/>
            <w:vAlign w:val="center"/>
          </w:tcPr>
          <w:p w14:paraId="740AAC6E" w14:textId="6F0C48A2" w:rsidR="0015334A" w:rsidRPr="00267A0C" w:rsidRDefault="0015334A" w:rsidP="0015334A">
            <w:pPr>
              <w:spacing w:after="0" w:line="276" w:lineRule="auto"/>
              <w:jc w:val="right"/>
              <w:rPr>
                <w:rFonts w:cs="Arial"/>
                <w:b/>
                <w:bCs/>
                <w:sz w:val="16"/>
                <w:szCs w:val="16"/>
              </w:rPr>
            </w:pPr>
            <w:r>
              <w:rPr>
                <w:rFonts w:cs="Arial"/>
                <w:b/>
                <w:bCs/>
                <w:sz w:val="16"/>
                <w:szCs w:val="16"/>
              </w:rPr>
              <w:t>7.100</w:t>
            </w:r>
          </w:p>
        </w:tc>
      </w:tr>
      <w:tr w:rsidR="0015334A" w:rsidRPr="00267A0C" w14:paraId="18A1D3EF" w14:textId="77777777" w:rsidTr="00775DA2">
        <w:trPr>
          <w:cantSplit/>
          <w:trHeight w:val="227"/>
          <w:jc w:val="center"/>
        </w:trPr>
        <w:tc>
          <w:tcPr>
            <w:tcW w:w="376" w:type="dxa"/>
            <w:tcBorders>
              <w:top w:val="nil"/>
              <w:bottom w:val="nil"/>
              <w:right w:val="nil"/>
            </w:tcBorders>
            <w:shd w:val="clear" w:color="auto" w:fill="auto"/>
            <w:noWrap/>
            <w:vAlign w:val="center"/>
            <w:hideMark/>
          </w:tcPr>
          <w:p w14:paraId="274BEC79" w14:textId="0438D80A"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shd w:val="clear" w:color="auto" w:fill="auto"/>
            <w:vAlign w:val="center"/>
            <w:hideMark/>
          </w:tcPr>
          <w:p w14:paraId="26BB9482" w14:textId="77777777" w:rsidR="0015334A" w:rsidRPr="00267A0C" w:rsidRDefault="0015334A" w:rsidP="0015334A">
            <w:pPr>
              <w:spacing w:after="0" w:line="276" w:lineRule="auto"/>
              <w:jc w:val="left"/>
              <w:rPr>
                <w:rFonts w:cs="Arial"/>
                <w:sz w:val="16"/>
                <w:szCs w:val="16"/>
              </w:rPr>
            </w:pPr>
            <w:r w:rsidRPr="00267A0C">
              <w:rPr>
                <w:rFonts w:cs="Arial"/>
                <w:sz w:val="16"/>
                <w:szCs w:val="16"/>
              </w:rPr>
              <w:t>Έντοκα Γραμμάτια</w:t>
            </w:r>
          </w:p>
        </w:tc>
        <w:tc>
          <w:tcPr>
            <w:tcW w:w="795" w:type="dxa"/>
            <w:tcBorders>
              <w:top w:val="nil"/>
              <w:left w:val="nil"/>
              <w:bottom w:val="nil"/>
              <w:right w:val="nil"/>
            </w:tcBorders>
            <w:shd w:val="clear" w:color="auto" w:fill="auto"/>
            <w:noWrap/>
            <w:vAlign w:val="center"/>
          </w:tcPr>
          <w:p w14:paraId="053CFBB3" w14:textId="454B70ED" w:rsidR="0015334A" w:rsidRPr="00267A0C" w:rsidRDefault="0015334A" w:rsidP="0015334A">
            <w:pPr>
              <w:spacing w:after="0" w:line="276" w:lineRule="auto"/>
              <w:jc w:val="right"/>
              <w:rPr>
                <w:rFonts w:cs="Arial"/>
                <w:sz w:val="16"/>
                <w:szCs w:val="16"/>
              </w:rPr>
            </w:pPr>
            <w:r>
              <w:rPr>
                <w:rFonts w:cs="Arial"/>
                <w:sz w:val="16"/>
                <w:szCs w:val="16"/>
              </w:rPr>
              <w:t>11.988</w:t>
            </w:r>
          </w:p>
        </w:tc>
        <w:tc>
          <w:tcPr>
            <w:tcW w:w="795" w:type="dxa"/>
            <w:tcBorders>
              <w:top w:val="nil"/>
              <w:left w:val="nil"/>
              <w:bottom w:val="nil"/>
              <w:right w:val="nil"/>
            </w:tcBorders>
            <w:shd w:val="clear" w:color="auto" w:fill="auto"/>
            <w:noWrap/>
            <w:vAlign w:val="center"/>
          </w:tcPr>
          <w:p w14:paraId="0F90A58C" w14:textId="7A381A85" w:rsidR="0015334A" w:rsidRPr="00267A0C" w:rsidRDefault="0015334A" w:rsidP="0015334A">
            <w:pPr>
              <w:spacing w:after="0" w:line="276" w:lineRule="auto"/>
              <w:jc w:val="right"/>
              <w:rPr>
                <w:rFonts w:cs="Arial"/>
                <w:sz w:val="16"/>
                <w:szCs w:val="16"/>
              </w:rPr>
            </w:pPr>
            <w:r>
              <w:rPr>
                <w:rFonts w:cs="Arial"/>
                <w:sz w:val="16"/>
                <w:szCs w:val="16"/>
              </w:rPr>
              <w:t>8.416</w:t>
            </w:r>
          </w:p>
        </w:tc>
        <w:tc>
          <w:tcPr>
            <w:tcW w:w="795" w:type="dxa"/>
            <w:tcBorders>
              <w:top w:val="nil"/>
              <w:left w:val="nil"/>
              <w:bottom w:val="nil"/>
              <w:right w:val="nil"/>
            </w:tcBorders>
            <w:shd w:val="clear" w:color="auto" w:fill="auto"/>
            <w:noWrap/>
            <w:vAlign w:val="center"/>
          </w:tcPr>
          <w:p w14:paraId="3B2BA315" w14:textId="555E6C22" w:rsidR="0015334A" w:rsidRPr="00267A0C" w:rsidRDefault="0015334A" w:rsidP="0015334A">
            <w:pPr>
              <w:spacing w:after="0" w:line="276" w:lineRule="auto"/>
              <w:jc w:val="right"/>
              <w:rPr>
                <w:rFonts w:cs="Arial"/>
                <w:sz w:val="16"/>
                <w:szCs w:val="16"/>
              </w:rPr>
            </w:pPr>
            <w:r>
              <w:rPr>
                <w:rFonts w:cs="Arial"/>
                <w:sz w:val="16"/>
                <w:szCs w:val="16"/>
              </w:rPr>
              <w:t>8.100</w:t>
            </w:r>
          </w:p>
        </w:tc>
        <w:tc>
          <w:tcPr>
            <w:tcW w:w="795" w:type="dxa"/>
            <w:tcBorders>
              <w:top w:val="nil"/>
              <w:left w:val="nil"/>
              <w:bottom w:val="nil"/>
            </w:tcBorders>
            <w:shd w:val="clear" w:color="auto" w:fill="auto"/>
            <w:noWrap/>
            <w:vAlign w:val="center"/>
          </w:tcPr>
          <w:p w14:paraId="141C3173" w14:textId="22672C18" w:rsidR="0015334A" w:rsidRPr="00267A0C" w:rsidRDefault="0015334A" w:rsidP="0015334A">
            <w:pPr>
              <w:spacing w:after="0" w:line="276" w:lineRule="auto"/>
              <w:jc w:val="right"/>
              <w:rPr>
                <w:rFonts w:cs="Arial"/>
                <w:sz w:val="16"/>
                <w:szCs w:val="16"/>
              </w:rPr>
            </w:pPr>
            <w:r>
              <w:rPr>
                <w:rFonts w:cs="Arial"/>
                <w:sz w:val="16"/>
                <w:szCs w:val="16"/>
              </w:rPr>
              <w:t>7.100</w:t>
            </w:r>
          </w:p>
        </w:tc>
      </w:tr>
      <w:tr w:rsidR="0015334A" w:rsidRPr="00267A0C" w14:paraId="676C8B54" w14:textId="77777777" w:rsidTr="00775DA2">
        <w:trPr>
          <w:cantSplit/>
          <w:trHeight w:val="227"/>
          <w:jc w:val="center"/>
        </w:trPr>
        <w:tc>
          <w:tcPr>
            <w:tcW w:w="376" w:type="dxa"/>
            <w:tcBorders>
              <w:top w:val="nil"/>
              <w:bottom w:val="nil"/>
              <w:right w:val="nil"/>
            </w:tcBorders>
            <w:shd w:val="clear" w:color="000000" w:fill="D5DCE4"/>
            <w:noWrap/>
            <w:vAlign w:val="center"/>
            <w:hideMark/>
          </w:tcPr>
          <w:p w14:paraId="134C326C" w14:textId="77777777" w:rsidR="0015334A" w:rsidRPr="00267A0C" w:rsidRDefault="0015334A" w:rsidP="0015334A">
            <w:pPr>
              <w:spacing w:after="0" w:line="276" w:lineRule="auto"/>
              <w:jc w:val="center"/>
              <w:rPr>
                <w:rFonts w:cs="Arial"/>
                <w:b/>
                <w:bCs/>
                <w:sz w:val="16"/>
                <w:szCs w:val="16"/>
              </w:rPr>
            </w:pPr>
            <w:r w:rsidRPr="00267A0C">
              <w:rPr>
                <w:rFonts w:cs="Arial"/>
                <w:b/>
                <w:bCs/>
                <w:sz w:val="16"/>
                <w:szCs w:val="16"/>
              </w:rPr>
              <w:t>Γ.</w:t>
            </w:r>
          </w:p>
        </w:tc>
        <w:tc>
          <w:tcPr>
            <w:tcW w:w="5435" w:type="dxa"/>
            <w:tcBorders>
              <w:top w:val="nil"/>
              <w:left w:val="nil"/>
              <w:bottom w:val="nil"/>
              <w:right w:val="nil"/>
            </w:tcBorders>
            <w:shd w:val="clear" w:color="000000" w:fill="D5DCE4"/>
            <w:vAlign w:val="center"/>
            <w:hideMark/>
          </w:tcPr>
          <w:p w14:paraId="6D370E5B" w14:textId="77777777" w:rsidR="0015334A" w:rsidRPr="00267A0C" w:rsidRDefault="0015334A" w:rsidP="0015334A">
            <w:pPr>
              <w:spacing w:after="0" w:line="276" w:lineRule="auto"/>
              <w:jc w:val="left"/>
              <w:rPr>
                <w:rFonts w:cs="Arial"/>
                <w:b/>
                <w:bCs/>
                <w:sz w:val="16"/>
                <w:szCs w:val="16"/>
              </w:rPr>
            </w:pPr>
            <w:r w:rsidRPr="00267A0C">
              <w:rPr>
                <w:rFonts w:cs="Arial"/>
                <w:b/>
                <w:bCs/>
                <w:sz w:val="16"/>
                <w:szCs w:val="16"/>
              </w:rPr>
              <w:t>Δάνεια</w:t>
            </w:r>
          </w:p>
        </w:tc>
        <w:tc>
          <w:tcPr>
            <w:tcW w:w="795" w:type="dxa"/>
            <w:tcBorders>
              <w:top w:val="nil"/>
              <w:left w:val="nil"/>
              <w:bottom w:val="nil"/>
              <w:right w:val="nil"/>
            </w:tcBorders>
            <w:shd w:val="clear" w:color="000000" w:fill="D5DCE4"/>
            <w:noWrap/>
            <w:vAlign w:val="center"/>
          </w:tcPr>
          <w:p w14:paraId="742EB0F1" w14:textId="6B136317" w:rsidR="0015334A" w:rsidRPr="00267A0C" w:rsidRDefault="0015334A" w:rsidP="0015334A">
            <w:pPr>
              <w:spacing w:after="0" w:line="276" w:lineRule="auto"/>
              <w:jc w:val="right"/>
              <w:rPr>
                <w:rFonts w:cs="Arial"/>
                <w:b/>
                <w:bCs/>
                <w:sz w:val="16"/>
                <w:szCs w:val="16"/>
              </w:rPr>
            </w:pPr>
            <w:r>
              <w:rPr>
                <w:rFonts w:cs="Arial"/>
                <w:b/>
                <w:bCs/>
                <w:sz w:val="16"/>
                <w:szCs w:val="16"/>
              </w:rPr>
              <w:t>249.537</w:t>
            </w:r>
          </w:p>
        </w:tc>
        <w:tc>
          <w:tcPr>
            <w:tcW w:w="795" w:type="dxa"/>
            <w:tcBorders>
              <w:top w:val="nil"/>
              <w:left w:val="nil"/>
              <w:bottom w:val="nil"/>
              <w:right w:val="nil"/>
            </w:tcBorders>
            <w:shd w:val="clear" w:color="000000" w:fill="D5DCE4"/>
            <w:noWrap/>
            <w:vAlign w:val="center"/>
          </w:tcPr>
          <w:p w14:paraId="3E46FF5E" w14:textId="61CD6968" w:rsidR="0015334A" w:rsidRPr="00267A0C" w:rsidRDefault="0015334A" w:rsidP="0015334A">
            <w:pPr>
              <w:spacing w:after="0" w:line="276" w:lineRule="auto"/>
              <w:jc w:val="right"/>
              <w:rPr>
                <w:rFonts w:cs="Arial"/>
                <w:b/>
                <w:bCs/>
                <w:sz w:val="16"/>
                <w:szCs w:val="16"/>
              </w:rPr>
            </w:pPr>
            <w:r>
              <w:rPr>
                <w:rFonts w:cs="Arial"/>
                <w:b/>
                <w:bCs/>
                <w:sz w:val="16"/>
                <w:szCs w:val="16"/>
              </w:rPr>
              <w:t>241.630</w:t>
            </w:r>
          </w:p>
        </w:tc>
        <w:tc>
          <w:tcPr>
            <w:tcW w:w="795" w:type="dxa"/>
            <w:tcBorders>
              <w:top w:val="nil"/>
              <w:left w:val="nil"/>
              <w:bottom w:val="nil"/>
              <w:right w:val="nil"/>
            </w:tcBorders>
            <w:shd w:val="clear" w:color="000000" w:fill="D5DCE4"/>
            <w:noWrap/>
            <w:vAlign w:val="center"/>
          </w:tcPr>
          <w:p w14:paraId="44BF8FB1" w14:textId="2051A4F5" w:rsidR="0015334A" w:rsidRPr="00267A0C" w:rsidRDefault="0015334A" w:rsidP="0015334A">
            <w:pPr>
              <w:spacing w:after="0" w:line="276" w:lineRule="auto"/>
              <w:jc w:val="right"/>
              <w:rPr>
                <w:rFonts w:cs="Arial"/>
                <w:b/>
                <w:bCs/>
                <w:sz w:val="16"/>
                <w:szCs w:val="16"/>
              </w:rPr>
            </w:pPr>
            <w:r>
              <w:rPr>
                <w:rFonts w:cs="Arial"/>
                <w:b/>
                <w:bCs/>
                <w:sz w:val="16"/>
                <w:szCs w:val="16"/>
              </w:rPr>
              <w:t>234.602</w:t>
            </w:r>
          </w:p>
        </w:tc>
        <w:tc>
          <w:tcPr>
            <w:tcW w:w="795" w:type="dxa"/>
            <w:tcBorders>
              <w:top w:val="nil"/>
              <w:left w:val="nil"/>
              <w:bottom w:val="nil"/>
            </w:tcBorders>
            <w:shd w:val="clear" w:color="000000" w:fill="D5DCE4"/>
            <w:noWrap/>
            <w:vAlign w:val="center"/>
          </w:tcPr>
          <w:p w14:paraId="03F84B47" w14:textId="77320D3D" w:rsidR="0015334A" w:rsidRPr="00267A0C" w:rsidRDefault="0015334A" w:rsidP="0015334A">
            <w:pPr>
              <w:spacing w:after="0" w:line="276" w:lineRule="auto"/>
              <w:jc w:val="right"/>
              <w:rPr>
                <w:rFonts w:cs="Arial"/>
                <w:b/>
                <w:bCs/>
                <w:sz w:val="16"/>
                <w:szCs w:val="16"/>
              </w:rPr>
            </w:pPr>
            <w:r>
              <w:rPr>
                <w:rFonts w:cs="Arial"/>
                <w:b/>
                <w:bCs/>
                <w:sz w:val="16"/>
                <w:szCs w:val="16"/>
              </w:rPr>
              <w:t>230.213</w:t>
            </w:r>
          </w:p>
        </w:tc>
      </w:tr>
      <w:tr w:rsidR="0015334A" w:rsidRPr="00267A0C" w14:paraId="38C72D4B" w14:textId="77777777" w:rsidTr="00775DA2">
        <w:trPr>
          <w:cantSplit/>
          <w:trHeight w:val="227"/>
          <w:jc w:val="center"/>
        </w:trPr>
        <w:tc>
          <w:tcPr>
            <w:tcW w:w="376" w:type="dxa"/>
            <w:tcBorders>
              <w:top w:val="nil"/>
              <w:bottom w:val="nil"/>
              <w:right w:val="nil"/>
            </w:tcBorders>
            <w:shd w:val="clear" w:color="auto" w:fill="auto"/>
            <w:noWrap/>
            <w:vAlign w:val="center"/>
            <w:hideMark/>
          </w:tcPr>
          <w:p w14:paraId="4A29F99F" w14:textId="13C4A4BE"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shd w:val="clear" w:color="auto" w:fill="auto"/>
            <w:noWrap/>
            <w:vAlign w:val="center"/>
            <w:hideMark/>
          </w:tcPr>
          <w:p w14:paraId="475A1603" w14:textId="23E38A44" w:rsidR="0015334A" w:rsidRPr="00267A0C" w:rsidRDefault="0015334A" w:rsidP="0015334A">
            <w:pPr>
              <w:spacing w:after="0" w:line="276" w:lineRule="auto"/>
              <w:jc w:val="left"/>
              <w:rPr>
                <w:rFonts w:cs="Arial"/>
                <w:sz w:val="16"/>
                <w:szCs w:val="16"/>
              </w:rPr>
            </w:pPr>
            <w:r w:rsidRPr="00267A0C">
              <w:rPr>
                <w:rFonts w:cs="Arial"/>
                <w:sz w:val="16"/>
                <w:szCs w:val="16"/>
              </w:rPr>
              <w:t>Δάνεια Τρ</w:t>
            </w:r>
            <w:r>
              <w:rPr>
                <w:rFonts w:cs="Arial"/>
                <w:sz w:val="16"/>
                <w:szCs w:val="16"/>
              </w:rPr>
              <w:t xml:space="preserve">άπεζας της </w:t>
            </w:r>
            <w:r w:rsidRPr="00267A0C">
              <w:rPr>
                <w:rFonts w:cs="Arial"/>
                <w:sz w:val="16"/>
                <w:szCs w:val="16"/>
              </w:rPr>
              <w:t>Ελλάδος</w:t>
            </w:r>
          </w:p>
        </w:tc>
        <w:tc>
          <w:tcPr>
            <w:tcW w:w="795" w:type="dxa"/>
            <w:tcBorders>
              <w:top w:val="nil"/>
              <w:left w:val="nil"/>
              <w:bottom w:val="nil"/>
              <w:right w:val="nil"/>
            </w:tcBorders>
            <w:shd w:val="clear" w:color="auto" w:fill="auto"/>
            <w:noWrap/>
            <w:vAlign w:val="center"/>
          </w:tcPr>
          <w:p w14:paraId="660B5558" w14:textId="5632CCE1" w:rsidR="0015334A" w:rsidRPr="00267A0C" w:rsidRDefault="0015334A" w:rsidP="0015334A">
            <w:pPr>
              <w:spacing w:after="0" w:line="276" w:lineRule="auto"/>
              <w:jc w:val="right"/>
              <w:rPr>
                <w:rFonts w:cs="Arial"/>
                <w:sz w:val="16"/>
                <w:szCs w:val="16"/>
              </w:rPr>
            </w:pPr>
            <w:r>
              <w:rPr>
                <w:rFonts w:cs="Arial"/>
                <w:sz w:val="16"/>
                <w:szCs w:val="16"/>
              </w:rPr>
              <w:t>0</w:t>
            </w:r>
          </w:p>
        </w:tc>
        <w:tc>
          <w:tcPr>
            <w:tcW w:w="795" w:type="dxa"/>
            <w:tcBorders>
              <w:top w:val="nil"/>
              <w:left w:val="nil"/>
              <w:bottom w:val="nil"/>
              <w:right w:val="nil"/>
            </w:tcBorders>
            <w:shd w:val="clear" w:color="auto" w:fill="auto"/>
            <w:noWrap/>
            <w:vAlign w:val="center"/>
          </w:tcPr>
          <w:p w14:paraId="5BD5EC28" w14:textId="75EAA6FB" w:rsidR="0015334A" w:rsidRPr="00267A0C" w:rsidRDefault="0015334A" w:rsidP="0015334A">
            <w:pPr>
              <w:spacing w:after="0" w:line="276" w:lineRule="auto"/>
              <w:jc w:val="right"/>
              <w:rPr>
                <w:rFonts w:cs="Arial"/>
                <w:sz w:val="16"/>
                <w:szCs w:val="16"/>
              </w:rPr>
            </w:pPr>
            <w:r>
              <w:rPr>
                <w:rFonts w:cs="Arial"/>
                <w:sz w:val="16"/>
                <w:szCs w:val="16"/>
              </w:rPr>
              <w:t>0</w:t>
            </w:r>
          </w:p>
        </w:tc>
        <w:tc>
          <w:tcPr>
            <w:tcW w:w="795" w:type="dxa"/>
            <w:tcBorders>
              <w:top w:val="nil"/>
              <w:left w:val="nil"/>
              <w:bottom w:val="nil"/>
              <w:right w:val="nil"/>
            </w:tcBorders>
            <w:shd w:val="clear" w:color="auto" w:fill="auto"/>
            <w:noWrap/>
            <w:vAlign w:val="center"/>
          </w:tcPr>
          <w:p w14:paraId="38D1968B" w14:textId="4614E3D1" w:rsidR="0015334A" w:rsidRPr="00267A0C" w:rsidRDefault="0015334A" w:rsidP="0015334A">
            <w:pPr>
              <w:spacing w:after="0" w:line="276" w:lineRule="auto"/>
              <w:jc w:val="right"/>
              <w:rPr>
                <w:rFonts w:cs="Arial"/>
                <w:sz w:val="16"/>
                <w:szCs w:val="16"/>
              </w:rPr>
            </w:pPr>
            <w:r>
              <w:rPr>
                <w:rFonts w:cs="Arial"/>
                <w:sz w:val="16"/>
                <w:szCs w:val="16"/>
              </w:rPr>
              <w:t>0</w:t>
            </w:r>
          </w:p>
        </w:tc>
        <w:tc>
          <w:tcPr>
            <w:tcW w:w="795" w:type="dxa"/>
            <w:tcBorders>
              <w:top w:val="nil"/>
              <w:left w:val="nil"/>
              <w:bottom w:val="nil"/>
            </w:tcBorders>
            <w:shd w:val="clear" w:color="auto" w:fill="auto"/>
            <w:noWrap/>
            <w:vAlign w:val="center"/>
          </w:tcPr>
          <w:p w14:paraId="5B892E6F" w14:textId="2A74B3DA" w:rsidR="0015334A" w:rsidRPr="00267A0C" w:rsidRDefault="0015334A" w:rsidP="0015334A">
            <w:pPr>
              <w:spacing w:after="0" w:line="276" w:lineRule="auto"/>
              <w:jc w:val="right"/>
              <w:rPr>
                <w:rFonts w:cs="Arial"/>
                <w:sz w:val="16"/>
                <w:szCs w:val="16"/>
              </w:rPr>
            </w:pPr>
            <w:r>
              <w:rPr>
                <w:rFonts w:cs="Arial"/>
                <w:sz w:val="16"/>
                <w:szCs w:val="16"/>
              </w:rPr>
              <w:t>0</w:t>
            </w:r>
          </w:p>
        </w:tc>
      </w:tr>
      <w:tr w:rsidR="0015334A" w:rsidRPr="00267A0C" w14:paraId="3AC758DA" w14:textId="77777777" w:rsidTr="00775DA2">
        <w:trPr>
          <w:cantSplit/>
          <w:trHeight w:val="227"/>
          <w:jc w:val="center"/>
        </w:trPr>
        <w:tc>
          <w:tcPr>
            <w:tcW w:w="376" w:type="dxa"/>
            <w:tcBorders>
              <w:top w:val="nil"/>
              <w:bottom w:val="nil"/>
              <w:right w:val="nil"/>
            </w:tcBorders>
            <w:shd w:val="clear" w:color="auto" w:fill="auto"/>
            <w:noWrap/>
            <w:vAlign w:val="center"/>
            <w:hideMark/>
          </w:tcPr>
          <w:p w14:paraId="4C216F56" w14:textId="79F0CDD5"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shd w:val="clear" w:color="auto" w:fill="auto"/>
            <w:noWrap/>
            <w:vAlign w:val="center"/>
            <w:hideMark/>
          </w:tcPr>
          <w:p w14:paraId="39B90EF5" w14:textId="77777777" w:rsidR="0015334A" w:rsidRPr="00267A0C" w:rsidRDefault="0015334A" w:rsidP="0015334A">
            <w:pPr>
              <w:spacing w:after="0" w:line="276" w:lineRule="auto"/>
              <w:jc w:val="left"/>
              <w:rPr>
                <w:rFonts w:cs="Arial"/>
                <w:sz w:val="16"/>
                <w:szCs w:val="16"/>
              </w:rPr>
            </w:pPr>
            <w:r w:rsidRPr="00267A0C">
              <w:rPr>
                <w:rFonts w:cs="Arial"/>
                <w:sz w:val="16"/>
                <w:szCs w:val="16"/>
              </w:rPr>
              <w:t>Λοιπά Δάνεια Εσωτερικού</w:t>
            </w:r>
          </w:p>
        </w:tc>
        <w:tc>
          <w:tcPr>
            <w:tcW w:w="795" w:type="dxa"/>
            <w:tcBorders>
              <w:top w:val="nil"/>
              <w:left w:val="nil"/>
              <w:bottom w:val="nil"/>
              <w:right w:val="nil"/>
            </w:tcBorders>
            <w:shd w:val="clear" w:color="auto" w:fill="auto"/>
            <w:noWrap/>
            <w:vAlign w:val="center"/>
          </w:tcPr>
          <w:p w14:paraId="0B7FA93F" w14:textId="5A246D63" w:rsidR="0015334A" w:rsidRPr="00267A0C" w:rsidRDefault="0015334A" w:rsidP="0015334A">
            <w:pPr>
              <w:spacing w:after="0" w:line="276" w:lineRule="auto"/>
              <w:jc w:val="right"/>
              <w:rPr>
                <w:rFonts w:cs="Arial"/>
                <w:sz w:val="16"/>
                <w:szCs w:val="16"/>
              </w:rPr>
            </w:pPr>
            <w:r>
              <w:rPr>
                <w:rFonts w:cs="Arial"/>
                <w:sz w:val="16"/>
                <w:szCs w:val="16"/>
              </w:rPr>
              <w:t>154</w:t>
            </w:r>
          </w:p>
        </w:tc>
        <w:tc>
          <w:tcPr>
            <w:tcW w:w="795" w:type="dxa"/>
            <w:tcBorders>
              <w:top w:val="nil"/>
              <w:left w:val="nil"/>
              <w:bottom w:val="nil"/>
              <w:right w:val="nil"/>
            </w:tcBorders>
            <w:shd w:val="clear" w:color="auto" w:fill="auto"/>
            <w:noWrap/>
            <w:vAlign w:val="center"/>
          </w:tcPr>
          <w:p w14:paraId="3B8C7A01" w14:textId="42855BD6" w:rsidR="0015334A" w:rsidRPr="00267A0C" w:rsidRDefault="0015334A" w:rsidP="0015334A">
            <w:pPr>
              <w:spacing w:after="0" w:line="276" w:lineRule="auto"/>
              <w:jc w:val="right"/>
              <w:rPr>
                <w:rFonts w:cs="Arial"/>
                <w:sz w:val="16"/>
                <w:szCs w:val="16"/>
              </w:rPr>
            </w:pPr>
            <w:r>
              <w:rPr>
                <w:rFonts w:cs="Arial"/>
                <w:sz w:val="16"/>
                <w:szCs w:val="16"/>
              </w:rPr>
              <w:t>139</w:t>
            </w:r>
          </w:p>
        </w:tc>
        <w:tc>
          <w:tcPr>
            <w:tcW w:w="795" w:type="dxa"/>
            <w:tcBorders>
              <w:top w:val="nil"/>
              <w:left w:val="nil"/>
              <w:bottom w:val="nil"/>
              <w:right w:val="nil"/>
            </w:tcBorders>
            <w:shd w:val="clear" w:color="auto" w:fill="auto"/>
            <w:noWrap/>
            <w:vAlign w:val="center"/>
          </w:tcPr>
          <w:p w14:paraId="173140F9" w14:textId="1120F7AA" w:rsidR="0015334A" w:rsidRPr="00267A0C" w:rsidRDefault="0015334A" w:rsidP="0015334A">
            <w:pPr>
              <w:spacing w:after="0" w:line="276" w:lineRule="auto"/>
              <w:jc w:val="right"/>
              <w:rPr>
                <w:rFonts w:cs="Arial"/>
                <w:sz w:val="16"/>
                <w:szCs w:val="16"/>
              </w:rPr>
            </w:pPr>
            <w:r>
              <w:rPr>
                <w:rFonts w:cs="Arial"/>
                <w:sz w:val="16"/>
                <w:szCs w:val="16"/>
              </w:rPr>
              <w:t>125</w:t>
            </w:r>
          </w:p>
        </w:tc>
        <w:tc>
          <w:tcPr>
            <w:tcW w:w="795" w:type="dxa"/>
            <w:tcBorders>
              <w:top w:val="nil"/>
              <w:left w:val="nil"/>
              <w:bottom w:val="nil"/>
            </w:tcBorders>
            <w:shd w:val="clear" w:color="auto" w:fill="auto"/>
            <w:noWrap/>
            <w:vAlign w:val="center"/>
          </w:tcPr>
          <w:p w14:paraId="5796444E" w14:textId="38C9DCD8" w:rsidR="0015334A" w:rsidRPr="00267A0C" w:rsidRDefault="0015334A" w:rsidP="0015334A">
            <w:pPr>
              <w:spacing w:after="0" w:line="276" w:lineRule="auto"/>
              <w:jc w:val="right"/>
              <w:rPr>
                <w:rFonts w:cs="Arial"/>
                <w:sz w:val="16"/>
                <w:szCs w:val="16"/>
              </w:rPr>
            </w:pPr>
            <w:r>
              <w:rPr>
                <w:rFonts w:cs="Arial"/>
                <w:sz w:val="16"/>
                <w:szCs w:val="16"/>
              </w:rPr>
              <w:t>110</w:t>
            </w:r>
          </w:p>
        </w:tc>
      </w:tr>
      <w:tr w:rsidR="0015334A" w:rsidRPr="00267A0C" w14:paraId="55C4A2CC" w14:textId="77777777" w:rsidTr="00775DA2">
        <w:trPr>
          <w:cantSplit/>
          <w:trHeight w:val="227"/>
          <w:jc w:val="center"/>
        </w:trPr>
        <w:tc>
          <w:tcPr>
            <w:tcW w:w="376" w:type="dxa"/>
            <w:tcBorders>
              <w:top w:val="nil"/>
              <w:bottom w:val="nil"/>
              <w:right w:val="nil"/>
            </w:tcBorders>
            <w:shd w:val="clear" w:color="auto" w:fill="auto"/>
            <w:noWrap/>
            <w:vAlign w:val="center"/>
            <w:hideMark/>
          </w:tcPr>
          <w:p w14:paraId="0CA867FC" w14:textId="26156927"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shd w:val="clear" w:color="auto" w:fill="auto"/>
            <w:vAlign w:val="center"/>
            <w:hideMark/>
          </w:tcPr>
          <w:p w14:paraId="33A9D848" w14:textId="77777777" w:rsidR="0015334A" w:rsidRPr="00267A0C" w:rsidRDefault="0015334A" w:rsidP="0015334A">
            <w:pPr>
              <w:spacing w:after="0" w:line="276" w:lineRule="auto"/>
              <w:jc w:val="left"/>
              <w:rPr>
                <w:rFonts w:cs="Arial"/>
                <w:sz w:val="16"/>
                <w:szCs w:val="16"/>
              </w:rPr>
            </w:pPr>
            <w:r w:rsidRPr="00267A0C">
              <w:rPr>
                <w:rFonts w:cs="Arial"/>
                <w:sz w:val="16"/>
                <w:szCs w:val="16"/>
              </w:rPr>
              <w:t>Ειδικά και Διακρατικά Δάνεια</w:t>
            </w:r>
          </w:p>
        </w:tc>
        <w:tc>
          <w:tcPr>
            <w:tcW w:w="795" w:type="dxa"/>
            <w:tcBorders>
              <w:top w:val="nil"/>
              <w:left w:val="nil"/>
              <w:bottom w:val="nil"/>
              <w:right w:val="nil"/>
            </w:tcBorders>
            <w:shd w:val="clear" w:color="auto" w:fill="auto"/>
            <w:noWrap/>
            <w:vAlign w:val="center"/>
          </w:tcPr>
          <w:p w14:paraId="15DB22AB" w14:textId="332A2B21" w:rsidR="0015334A" w:rsidRPr="00267A0C" w:rsidRDefault="0015334A" w:rsidP="0015334A">
            <w:pPr>
              <w:spacing w:after="0" w:line="276" w:lineRule="auto"/>
              <w:jc w:val="right"/>
              <w:rPr>
                <w:rFonts w:cs="Arial"/>
                <w:sz w:val="16"/>
                <w:szCs w:val="16"/>
              </w:rPr>
            </w:pPr>
            <w:r>
              <w:rPr>
                <w:rFonts w:cs="Arial"/>
                <w:sz w:val="16"/>
                <w:szCs w:val="16"/>
              </w:rPr>
              <w:t>7.282</w:t>
            </w:r>
          </w:p>
        </w:tc>
        <w:tc>
          <w:tcPr>
            <w:tcW w:w="795" w:type="dxa"/>
            <w:tcBorders>
              <w:top w:val="nil"/>
              <w:left w:val="nil"/>
              <w:bottom w:val="nil"/>
              <w:right w:val="nil"/>
            </w:tcBorders>
            <w:shd w:val="clear" w:color="auto" w:fill="auto"/>
            <w:noWrap/>
            <w:vAlign w:val="center"/>
          </w:tcPr>
          <w:p w14:paraId="12CDABCD" w14:textId="73C55099" w:rsidR="0015334A" w:rsidRPr="00267A0C" w:rsidRDefault="0015334A" w:rsidP="0015334A">
            <w:pPr>
              <w:spacing w:after="0" w:line="276" w:lineRule="auto"/>
              <w:jc w:val="right"/>
              <w:rPr>
                <w:rFonts w:cs="Arial"/>
                <w:sz w:val="16"/>
                <w:szCs w:val="16"/>
              </w:rPr>
            </w:pPr>
            <w:r>
              <w:rPr>
                <w:rFonts w:cs="Arial"/>
                <w:sz w:val="16"/>
                <w:szCs w:val="16"/>
              </w:rPr>
              <w:t>6.875</w:t>
            </w:r>
          </w:p>
        </w:tc>
        <w:tc>
          <w:tcPr>
            <w:tcW w:w="795" w:type="dxa"/>
            <w:tcBorders>
              <w:top w:val="nil"/>
              <w:left w:val="nil"/>
              <w:bottom w:val="nil"/>
              <w:right w:val="nil"/>
            </w:tcBorders>
            <w:shd w:val="clear" w:color="auto" w:fill="auto"/>
            <w:noWrap/>
            <w:vAlign w:val="center"/>
          </w:tcPr>
          <w:p w14:paraId="77449B5B" w14:textId="73B205F3" w:rsidR="0015334A" w:rsidRPr="00267A0C" w:rsidRDefault="0015334A" w:rsidP="0015334A">
            <w:pPr>
              <w:spacing w:after="0" w:line="276" w:lineRule="auto"/>
              <w:jc w:val="right"/>
              <w:rPr>
                <w:rFonts w:cs="Arial"/>
                <w:sz w:val="16"/>
                <w:szCs w:val="16"/>
              </w:rPr>
            </w:pPr>
            <w:r>
              <w:rPr>
                <w:rFonts w:cs="Arial"/>
                <w:sz w:val="16"/>
                <w:szCs w:val="16"/>
              </w:rPr>
              <w:t>6.482</w:t>
            </w:r>
          </w:p>
        </w:tc>
        <w:tc>
          <w:tcPr>
            <w:tcW w:w="795" w:type="dxa"/>
            <w:tcBorders>
              <w:top w:val="nil"/>
              <w:left w:val="nil"/>
              <w:bottom w:val="nil"/>
            </w:tcBorders>
            <w:shd w:val="clear" w:color="auto" w:fill="auto"/>
            <w:noWrap/>
            <w:vAlign w:val="center"/>
          </w:tcPr>
          <w:p w14:paraId="1E08E1A1" w14:textId="0F9B2B99" w:rsidR="0015334A" w:rsidRPr="00267A0C" w:rsidRDefault="0015334A" w:rsidP="0015334A">
            <w:pPr>
              <w:spacing w:after="0" w:line="276" w:lineRule="auto"/>
              <w:jc w:val="right"/>
              <w:rPr>
                <w:rFonts w:cs="Arial"/>
                <w:sz w:val="16"/>
                <w:szCs w:val="16"/>
              </w:rPr>
            </w:pPr>
            <w:r>
              <w:rPr>
                <w:rFonts w:cs="Arial"/>
                <w:sz w:val="16"/>
                <w:szCs w:val="16"/>
              </w:rPr>
              <w:t>5.912</w:t>
            </w:r>
          </w:p>
        </w:tc>
      </w:tr>
      <w:tr w:rsidR="0015334A" w:rsidRPr="00267A0C" w14:paraId="657FE5BC" w14:textId="77777777" w:rsidTr="00775DA2">
        <w:trPr>
          <w:cantSplit/>
          <w:trHeight w:val="227"/>
          <w:jc w:val="center"/>
        </w:trPr>
        <w:tc>
          <w:tcPr>
            <w:tcW w:w="376" w:type="dxa"/>
            <w:tcBorders>
              <w:top w:val="nil"/>
              <w:bottom w:val="nil"/>
              <w:right w:val="nil"/>
            </w:tcBorders>
            <w:shd w:val="clear" w:color="auto" w:fill="auto"/>
            <w:noWrap/>
            <w:vAlign w:val="center"/>
            <w:hideMark/>
          </w:tcPr>
          <w:p w14:paraId="73A6469F" w14:textId="1E6FD1EA"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shd w:val="clear" w:color="auto" w:fill="auto"/>
            <w:vAlign w:val="center"/>
            <w:hideMark/>
          </w:tcPr>
          <w:p w14:paraId="4CF02BC9" w14:textId="77777777" w:rsidR="0015334A" w:rsidRPr="00267A0C" w:rsidRDefault="0015334A" w:rsidP="0015334A">
            <w:pPr>
              <w:spacing w:after="0" w:line="276" w:lineRule="auto"/>
              <w:jc w:val="left"/>
              <w:rPr>
                <w:rFonts w:cs="Arial"/>
                <w:sz w:val="16"/>
                <w:szCs w:val="16"/>
              </w:rPr>
            </w:pPr>
            <w:r w:rsidRPr="00267A0C">
              <w:rPr>
                <w:rFonts w:cs="Arial"/>
                <w:sz w:val="16"/>
                <w:szCs w:val="16"/>
              </w:rPr>
              <w:t>Δάνεια Μηχανισμού Στήριξης</w:t>
            </w:r>
          </w:p>
        </w:tc>
        <w:tc>
          <w:tcPr>
            <w:tcW w:w="795" w:type="dxa"/>
            <w:tcBorders>
              <w:top w:val="nil"/>
              <w:left w:val="nil"/>
              <w:bottom w:val="nil"/>
              <w:right w:val="nil"/>
            </w:tcBorders>
            <w:shd w:val="clear" w:color="auto" w:fill="auto"/>
            <w:noWrap/>
            <w:vAlign w:val="center"/>
          </w:tcPr>
          <w:p w14:paraId="34CC98C2" w14:textId="4EE44AD9" w:rsidR="0015334A" w:rsidRPr="00267A0C" w:rsidRDefault="0015334A" w:rsidP="0015334A">
            <w:pPr>
              <w:spacing w:after="0" w:line="276" w:lineRule="auto"/>
              <w:jc w:val="right"/>
              <w:rPr>
                <w:rFonts w:cs="Arial"/>
                <w:sz w:val="16"/>
                <w:szCs w:val="16"/>
              </w:rPr>
            </w:pPr>
            <w:r>
              <w:rPr>
                <w:rFonts w:cs="Arial"/>
                <w:sz w:val="16"/>
                <w:szCs w:val="16"/>
              </w:rPr>
              <w:t>228.528</w:t>
            </w:r>
          </w:p>
        </w:tc>
        <w:tc>
          <w:tcPr>
            <w:tcW w:w="795" w:type="dxa"/>
            <w:tcBorders>
              <w:top w:val="nil"/>
              <w:left w:val="nil"/>
              <w:bottom w:val="nil"/>
              <w:right w:val="nil"/>
            </w:tcBorders>
            <w:shd w:val="clear" w:color="auto" w:fill="auto"/>
            <w:noWrap/>
            <w:vAlign w:val="center"/>
          </w:tcPr>
          <w:p w14:paraId="280D230B" w14:textId="27183E80" w:rsidR="0015334A" w:rsidRPr="00267A0C" w:rsidRDefault="0015334A" w:rsidP="0015334A">
            <w:pPr>
              <w:spacing w:after="0" w:line="276" w:lineRule="auto"/>
              <w:jc w:val="right"/>
              <w:rPr>
                <w:rFonts w:cs="Arial"/>
                <w:sz w:val="16"/>
                <w:szCs w:val="16"/>
              </w:rPr>
            </w:pPr>
            <w:r>
              <w:rPr>
                <w:rFonts w:cs="Arial"/>
                <w:sz w:val="16"/>
                <w:szCs w:val="16"/>
              </w:rPr>
              <w:t>218.823</w:t>
            </w:r>
          </w:p>
        </w:tc>
        <w:tc>
          <w:tcPr>
            <w:tcW w:w="795" w:type="dxa"/>
            <w:tcBorders>
              <w:top w:val="nil"/>
              <w:left w:val="nil"/>
              <w:bottom w:val="nil"/>
              <w:right w:val="nil"/>
            </w:tcBorders>
            <w:shd w:val="clear" w:color="auto" w:fill="auto"/>
            <w:noWrap/>
            <w:vAlign w:val="center"/>
          </w:tcPr>
          <w:p w14:paraId="1B062B4C" w14:textId="68227BE8" w:rsidR="0015334A" w:rsidRPr="00267A0C" w:rsidRDefault="0015334A" w:rsidP="0015334A">
            <w:pPr>
              <w:spacing w:after="0" w:line="276" w:lineRule="auto"/>
              <w:jc w:val="right"/>
              <w:rPr>
                <w:rFonts w:cs="Arial"/>
                <w:sz w:val="16"/>
                <w:szCs w:val="16"/>
              </w:rPr>
            </w:pPr>
            <w:r>
              <w:rPr>
                <w:rFonts w:cs="Arial"/>
                <w:sz w:val="16"/>
                <w:szCs w:val="16"/>
              </w:rPr>
              <w:t>211.422</w:t>
            </w:r>
          </w:p>
        </w:tc>
        <w:tc>
          <w:tcPr>
            <w:tcW w:w="795" w:type="dxa"/>
            <w:tcBorders>
              <w:top w:val="nil"/>
              <w:left w:val="nil"/>
              <w:bottom w:val="nil"/>
            </w:tcBorders>
            <w:shd w:val="clear" w:color="auto" w:fill="auto"/>
            <w:noWrap/>
            <w:vAlign w:val="center"/>
          </w:tcPr>
          <w:p w14:paraId="56B7D554" w14:textId="0DF85118" w:rsidR="0015334A" w:rsidRPr="00267A0C" w:rsidRDefault="0015334A" w:rsidP="0015334A">
            <w:pPr>
              <w:spacing w:after="0" w:line="276" w:lineRule="auto"/>
              <w:jc w:val="right"/>
              <w:rPr>
                <w:rFonts w:cs="Arial"/>
                <w:sz w:val="16"/>
                <w:szCs w:val="16"/>
              </w:rPr>
            </w:pPr>
            <w:r>
              <w:rPr>
                <w:rFonts w:cs="Arial"/>
                <w:sz w:val="16"/>
                <w:szCs w:val="16"/>
              </w:rPr>
              <w:t>202.894</w:t>
            </w:r>
          </w:p>
        </w:tc>
      </w:tr>
      <w:tr w:rsidR="0015334A" w:rsidRPr="00267A0C" w14:paraId="28F7E8A5" w14:textId="77777777" w:rsidTr="00775DA2">
        <w:trPr>
          <w:cantSplit/>
          <w:trHeight w:val="227"/>
          <w:jc w:val="center"/>
        </w:trPr>
        <w:tc>
          <w:tcPr>
            <w:tcW w:w="376" w:type="dxa"/>
            <w:tcBorders>
              <w:top w:val="nil"/>
              <w:bottom w:val="nil"/>
              <w:right w:val="nil"/>
            </w:tcBorders>
            <w:shd w:val="clear" w:color="auto" w:fill="auto"/>
            <w:noWrap/>
            <w:vAlign w:val="center"/>
            <w:hideMark/>
          </w:tcPr>
          <w:p w14:paraId="769D3E8D" w14:textId="42D4C231"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shd w:val="clear" w:color="auto" w:fill="auto"/>
            <w:noWrap/>
            <w:vAlign w:val="center"/>
            <w:hideMark/>
          </w:tcPr>
          <w:p w14:paraId="09759E96" w14:textId="77777777" w:rsidR="0015334A" w:rsidRPr="00267A0C" w:rsidRDefault="0015334A" w:rsidP="0015334A">
            <w:pPr>
              <w:spacing w:after="0" w:line="276" w:lineRule="auto"/>
              <w:jc w:val="left"/>
              <w:rPr>
                <w:rFonts w:cs="Arial"/>
                <w:sz w:val="16"/>
                <w:szCs w:val="16"/>
              </w:rPr>
            </w:pPr>
            <w:r w:rsidRPr="00267A0C">
              <w:rPr>
                <w:rFonts w:cs="Arial"/>
                <w:sz w:val="16"/>
                <w:szCs w:val="16"/>
              </w:rPr>
              <w:t>Λοιπά Δάνεια Εξωτερικού</w:t>
            </w:r>
          </w:p>
        </w:tc>
        <w:tc>
          <w:tcPr>
            <w:tcW w:w="795" w:type="dxa"/>
            <w:tcBorders>
              <w:top w:val="nil"/>
              <w:left w:val="nil"/>
              <w:bottom w:val="nil"/>
              <w:right w:val="nil"/>
            </w:tcBorders>
            <w:shd w:val="clear" w:color="auto" w:fill="auto"/>
            <w:noWrap/>
            <w:vAlign w:val="center"/>
          </w:tcPr>
          <w:p w14:paraId="0051A19C" w14:textId="0A4BC915" w:rsidR="0015334A" w:rsidRPr="00267A0C" w:rsidRDefault="0015334A" w:rsidP="0015334A">
            <w:pPr>
              <w:spacing w:after="0" w:line="276" w:lineRule="auto"/>
              <w:jc w:val="right"/>
              <w:rPr>
                <w:rFonts w:cs="Arial"/>
                <w:sz w:val="16"/>
                <w:szCs w:val="16"/>
              </w:rPr>
            </w:pPr>
            <w:r>
              <w:rPr>
                <w:rFonts w:cs="Arial"/>
                <w:sz w:val="16"/>
                <w:szCs w:val="16"/>
              </w:rPr>
              <w:t>13.573</w:t>
            </w:r>
          </w:p>
        </w:tc>
        <w:tc>
          <w:tcPr>
            <w:tcW w:w="795" w:type="dxa"/>
            <w:tcBorders>
              <w:top w:val="nil"/>
              <w:left w:val="nil"/>
              <w:bottom w:val="nil"/>
              <w:right w:val="nil"/>
            </w:tcBorders>
            <w:shd w:val="clear" w:color="auto" w:fill="auto"/>
            <w:noWrap/>
            <w:vAlign w:val="center"/>
          </w:tcPr>
          <w:p w14:paraId="56B18B3A" w14:textId="186DE96C" w:rsidR="0015334A" w:rsidRPr="00267A0C" w:rsidRDefault="0015334A" w:rsidP="0015334A">
            <w:pPr>
              <w:spacing w:after="0" w:line="276" w:lineRule="auto"/>
              <w:jc w:val="right"/>
              <w:rPr>
                <w:rFonts w:cs="Arial"/>
                <w:sz w:val="16"/>
                <w:szCs w:val="16"/>
              </w:rPr>
            </w:pPr>
            <w:r>
              <w:rPr>
                <w:rFonts w:cs="Arial"/>
                <w:sz w:val="16"/>
                <w:szCs w:val="16"/>
              </w:rPr>
              <w:t>15.793</w:t>
            </w:r>
          </w:p>
        </w:tc>
        <w:tc>
          <w:tcPr>
            <w:tcW w:w="795" w:type="dxa"/>
            <w:tcBorders>
              <w:top w:val="nil"/>
              <w:left w:val="nil"/>
              <w:bottom w:val="nil"/>
              <w:right w:val="nil"/>
            </w:tcBorders>
            <w:shd w:val="clear" w:color="auto" w:fill="auto"/>
            <w:noWrap/>
            <w:vAlign w:val="center"/>
          </w:tcPr>
          <w:p w14:paraId="74371AB1" w14:textId="4BA08FF4" w:rsidR="0015334A" w:rsidRPr="00267A0C" w:rsidRDefault="0015334A" w:rsidP="0015334A">
            <w:pPr>
              <w:spacing w:after="0" w:line="276" w:lineRule="auto"/>
              <w:jc w:val="right"/>
              <w:rPr>
                <w:rFonts w:cs="Arial"/>
                <w:sz w:val="16"/>
                <w:szCs w:val="16"/>
              </w:rPr>
            </w:pPr>
            <w:r>
              <w:rPr>
                <w:rFonts w:cs="Arial"/>
                <w:sz w:val="16"/>
                <w:szCs w:val="16"/>
              </w:rPr>
              <w:t>16.573</w:t>
            </w:r>
          </w:p>
        </w:tc>
        <w:tc>
          <w:tcPr>
            <w:tcW w:w="795" w:type="dxa"/>
            <w:tcBorders>
              <w:top w:val="nil"/>
              <w:left w:val="nil"/>
              <w:bottom w:val="nil"/>
            </w:tcBorders>
            <w:shd w:val="clear" w:color="auto" w:fill="auto"/>
            <w:noWrap/>
            <w:vAlign w:val="center"/>
          </w:tcPr>
          <w:p w14:paraId="0107F2BD" w14:textId="69BF5490" w:rsidR="0015334A" w:rsidRPr="00267A0C" w:rsidRDefault="0015334A" w:rsidP="0015334A">
            <w:pPr>
              <w:spacing w:after="0" w:line="276" w:lineRule="auto"/>
              <w:jc w:val="right"/>
              <w:rPr>
                <w:rFonts w:cs="Arial"/>
                <w:sz w:val="16"/>
                <w:szCs w:val="16"/>
              </w:rPr>
            </w:pPr>
            <w:r>
              <w:rPr>
                <w:rFonts w:cs="Arial"/>
                <w:sz w:val="16"/>
                <w:szCs w:val="16"/>
              </w:rPr>
              <w:t>21.297</w:t>
            </w:r>
          </w:p>
        </w:tc>
      </w:tr>
      <w:tr w:rsidR="0015334A" w:rsidRPr="00267A0C" w14:paraId="0063AACB" w14:textId="77777777" w:rsidTr="00775DA2">
        <w:trPr>
          <w:cantSplit/>
          <w:trHeight w:val="227"/>
          <w:jc w:val="center"/>
        </w:trPr>
        <w:tc>
          <w:tcPr>
            <w:tcW w:w="376" w:type="dxa"/>
            <w:tcBorders>
              <w:top w:val="nil"/>
              <w:bottom w:val="nil"/>
              <w:right w:val="nil"/>
            </w:tcBorders>
            <w:shd w:val="clear" w:color="000000" w:fill="D5DCE4"/>
            <w:noWrap/>
            <w:vAlign w:val="center"/>
            <w:hideMark/>
          </w:tcPr>
          <w:p w14:paraId="49A4CD52" w14:textId="77777777" w:rsidR="0015334A" w:rsidRPr="00267A0C" w:rsidRDefault="0015334A" w:rsidP="0015334A">
            <w:pPr>
              <w:spacing w:after="0" w:line="276" w:lineRule="auto"/>
              <w:jc w:val="center"/>
              <w:rPr>
                <w:rFonts w:cs="Arial"/>
                <w:b/>
                <w:bCs/>
                <w:sz w:val="16"/>
                <w:szCs w:val="16"/>
              </w:rPr>
            </w:pPr>
            <w:r w:rsidRPr="00267A0C">
              <w:rPr>
                <w:rFonts w:cs="Arial"/>
                <w:b/>
                <w:bCs/>
                <w:sz w:val="16"/>
                <w:szCs w:val="16"/>
              </w:rPr>
              <w:t>Δ.</w:t>
            </w:r>
          </w:p>
        </w:tc>
        <w:tc>
          <w:tcPr>
            <w:tcW w:w="5435" w:type="dxa"/>
            <w:tcBorders>
              <w:top w:val="nil"/>
              <w:left w:val="nil"/>
              <w:bottom w:val="nil"/>
              <w:right w:val="nil"/>
            </w:tcBorders>
            <w:shd w:val="clear" w:color="000000" w:fill="D5DCE4"/>
            <w:vAlign w:val="center"/>
            <w:hideMark/>
          </w:tcPr>
          <w:p w14:paraId="52659DCA" w14:textId="0063F21F" w:rsidR="0015334A" w:rsidRPr="00267A0C" w:rsidRDefault="0015334A" w:rsidP="0015334A">
            <w:pPr>
              <w:spacing w:after="0" w:line="276" w:lineRule="auto"/>
              <w:jc w:val="left"/>
              <w:rPr>
                <w:rFonts w:cs="Arial"/>
                <w:b/>
                <w:bCs/>
                <w:sz w:val="16"/>
                <w:szCs w:val="16"/>
              </w:rPr>
            </w:pPr>
            <w:r w:rsidRPr="00267A0C">
              <w:rPr>
                <w:rFonts w:cs="Arial"/>
                <w:b/>
                <w:bCs/>
                <w:sz w:val="16"/>
                <w:szCs w:val="16"/>
              </w:rPr>
              <w:t xml:space="preserve">Βραχυπρόθεσμα </w:t>
            </w:r>
            <w:r>
              <w:rPr>
                <w:rFonts w:cs="Arial"/>
                <w:b/>
                <w:bCs/>
                <w:sz w:val="16"/>
                <w:szCs w:val="16"/>
              </w:rPr>
              <w:t>Δ</w:t>
            </w:r>
            <w:r w:rsidRPr="00267A0C">
              <w:rPr>
                <w:rFonts w:cs="Arial"/>
                <w:b/>
                <w:bCs/>
                <w:sz w:val="16"/>
                <w:szCs w:val="16"/>
              </w:rPr>
              <w:t>άνεια</w:t>
            </w:r>
          </w:p>
        </w:tc>
        <w:tc>
          <w:tcPr>
            <w:tcW w:w="795" w:type="dxa"/>
            <w:tcBorders>
              <w:top w:val="nil"/>
              <w:left w:val="nil"/>
              <w:bottom w:val="nil"/>
              <w:right w:val="nil"/>
            </w:tcBorders>
            <w:shd w:val="clear" w:color="000000" w:fill="D5DCE4"/>
            <w:noWrap/>
            <w:vAlign w:val="center"/>
          </w:tcPr>
          <w:p w14:paraId="1F632C32" w14:textId="6C1BF8BE" w:rsidR="0015334A" w:rsidRPr="00267A0C" w:rsidRDefault="0015334A" w:rsidP="0015334A">
            <w:pPr>
              <w:spacing w:after="0" w:line="276" w:lineRule="auto"/>
              <w:jc w:val="right"/>
              <w:rPr>
                <w:rFonts w:cs="Arial"/>
                <w:b/>
                <w:bCs/>
                <w:sz w:val="16"/>
                <w:szCs w:val="16"/>
              </w:rPr>
            </w:pPr>
            <w:r>
              <w:rPr>
                <w:rFonts w:cs="Arial"/>
                <w:b/>
                <w:bCs/>
                <w:sz w:val="16"/>
                <w:szCs w:val="16"/>
              </w:rPr>
              <w:t>54.539</w:t>
            </w:r>
          </w:p>
        </w:tc>
        <w:tc>
          <w:tcPr>
            <w:tcW w:w="795" w:type="dxa"/>
            <w:tcBorders>
              <w:top w:val="nil"/>
              <w:left w:val="nil"/>
              <w:bottom w:val="nil"/>
              <w:right w:val="nil"/>
            </w:tcBorders>
            <w:shd w:val="clear" w:color="000000" w:fill="D5DCE4"/>
            <w:noWrap/>
            <w:vAlign w:val="center"/>
          </w:tcPr>
          <w:p w14:paraId="3AA33D86" w14:textId="08228876" w:rsidR="0015334A" w:rsidRPr="00267A0C" w:rsidRDefault="0015334A" w:rsidP="0015334A">
            <w:pPr>
              <w:spacing w:after="0" w:line="276" w:lineRule="auto"/>
              <w:jc w:val="right"/>
              <w:rPr>
                <w:rFonts w:cs="Arial"/>
                <w:b/>
                <w:bCs/>
                <w:sz w:val="16"/>
                <w:szCs w:val="16"/>
              </w:rPr>
            </w:pPr>
            <w:r>
              <w:rPr>
                <w:rFonts w:cs="Arial"/>
                <w:b/>
                <w:bCs/>
                <w:sz w:val="16"/>
                <w:szCs w:val="16"/>
              </w:rPr>
              <w:t>56.945</w:t>
            </w:r>
          </w:p>
        </w:tc>
        <w:tc>
          <w:tcPr>
            <w:tcW w:w="795" w:type="dxa"/>
            <w:tcBorders>
              <w:top w:val="nil"/>
              <w:left w:val="nil"/>
              <w:bottom w:val="nil"/>
              <w:right w:val="nil"/>
            </w:tcBorders>
            <w:shd w:val="clear" w:color="000000" w:fill="D5DCE4"/>
            <w:noWrap/>
            <w:vAlign w:val="center"/>
          </w:tcPr>
          <w:p w14:paraId="237C22D6" w14:textId="2FD9DF06" w:rsidR="0015334A" w:rsidRPr="00267A0C" w:rsidRDefault="0015334A" w:rsidP="0015334A">
            <w:pPr>
              <w:spacing w:after="0" w:line="276" w:lineRule="auto"/>
              <w:jc w:val="right"/>
              <w:rPr>
                <w:rFonts w:cs="Arial"/>
                <w:b/>
                <w:bCs/>
                <w:sz w:val="16"/>
                <w:szCs w:val="16"/>
              </w:rPr>
            </w:pPr>
            <w:r>
              <w:rPr>
                <w:rFonts w:cs="Arial"/>
                <w:b/>
                <w:bCs/>
                <w:sz w:val="16"/>
                <w:szCs w:val="16"/>
              </w:rPr>
              <w:t>60.000</w:t>
            </w:r>
          </w:p>
        </w:tc>
        <w:tc>
          <w:tcPr>
            <w:tcW w:w="795" w:type="dxa"/>
            <w:tcBorders>
              <w:top w:val="nil"/>
              <w:left w:val="nil"/>
              <w:bottom w:val="nil"/>
            </w:tcBorders>
            <w:shd w:val="clear" w:color="000000" w:fill="D5DCE4"/>
            <w:noWrap/>
            <w:vAlign w:val="center"/>
          </w:tcPr>
          <w:p w14:paraId="6C512775" w14:textId="544DBFF2" w:rsidR="0015334A" w:rsidRPr="00267A0C" w:rsidRDefault="0015334A" w:rsidP="0015334A">
            <w:pPr>
              <w:spacing w:after="0" w:line="276" w:lineRule="auto"/>
              <w:jc w:val="right"/>
              <w:rPr>
                <w:rFonts w:cs="Arial"/>
                <w:b/>
                <w:bCs/>
                <w:sz w:val="16"/>
                <w:szCs w:val="16"/>
              </w:rPr>
            </w:pPr>
            <w:r>
              <w:rPr>
                <w:rFonts w:cs="Arial"/>
                <w:b/>
                <w:bCs/>
                <w:sz w:val="16"/>
                <w:szCs w:val="16"/>
              </w:rPr>
              <w:t>60.000</w:t>
            </w:r>
          </w:p>
        </w:tc>
      </w:tr>
      <w:tr w:rsidR="0015334A" w:rsidRPr="00267A0C" w14:paraId="39238F4D" w14:textId="77777777" w:rsidTr="00775DA2">
        <w:trPr>
          <w:cantSplit/>
          <w:trHeight w:val="227"/>
          <w:jc w:val="center"/>
        </w:trPr>
        <w:tc>
          <w:tcPr>
            <w:tcW w:w="376" w:type="dxa"/>
            <w:tcBorders>
              <w:top w:val="nil"/>
              <w:bottom w:val="nil"/>
              <w:right w:val="nil"/>
            </w:tcBorders>
            <w:shd w:val="clear" w:color="auto" w:fill="auto"/>
            <w:noWrap/>
            <w:vAlign w:val="center"/>
            <w:hideMark/>
          </w:tcPr>
          <w:p w14:paraId="0A9BE7D2" w14:textId="772AB6E0"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shd w:val="clear" w:color="auto" w:fill="auto"/>
            <w:noWrap/>
            <w:vAlign w:val="center"/>
            <w:hideMark/>
          </w:tcPr>
          <w:p w14:paraId="1A190E01" w14:textId="77777777" w:rsidR="0015334A" w:rsidRPr="00267A0C" w:rsidRDefault="0015334A" w:rsidP="0015334A">
            <w:pPr>
              <w:spacing w:after="0" w:line="276" w:lineRule="auto"/>
              <w:jc w:val="left"/>
              <w:rPr>
                <w:rFonts w:cs="Arial"/>
                <w:sz w:val="16"/>
                <w:szCs w:val="16"/>
              </w:rPr>
            </w:pPr>
            <w:r w:rsidRPr="00267A0C">
              <w:rPr>
                <w:rFonts w:cs="Arial"/>
                <w:sz w:val="16"/>
                <w:szCs w:val="16"/>
              </w:rPr>
              <w:t>Πώληση τίτλων με σύμφωνο επαναγοράς (repos)</w:t>
            </w:r>
          </w:p>
        </w:tc>
        <w:tc>
          <w:tcPr>
            <w:tcW w:w="795" w:type="dxa"/>
            <w:tcBorders>
              <w:top w:val="nil"/>
              <w:left w:val="nil"/>
              <w:bottom w:val="nil"/>
              <w:right w:val="nil"/>
            </w:tcBorders>
            <w:shd w:val="clear" w:color="auto" w:fill="auto"/>
            <w:noWrap/>
            <w:vAlign w:val="center"/>
          </w:tcPr>
          <w:p w14:paraId="4E3AEC62" w14:textId="45C98DCA" w:rsidR="0015334A" w:rsidRPr="00267A0C" w:rsidRDefault="0015334A" w:rsidP="0015334A">
            <w:pPr>
              <w:spacing w:after="0" w:line="276" w:lineRule="auto"/>
              <w:jc w:val="right"/>
              <w:rPr>
                <w:rFonts w:cs="Arial"/>
                <w:sz w:val="16"/>
                <w:szCs w:val="16"/>
              </w:rPr>
            </w:pPr>
            <w:r>
              <w:rPr>
                <w:rFonts w:cs="Arial"/>
                <w:sz w:val="16"/>
                <w:szCs w:val="16"/>
              </w:rPr>
              <w:t>54.539</w:t>
            </w:r>
          </w:p>
        </w:tc>
        <w:tc>
          <w:tcPr>
            <w:tcW w:w="795" w:type="dxa"/>
            <w:tcBorders>
              <w:top w:val="nil"/>
              <w:left w:val="nil"/>
              <w:bottom w:val="nil"/>
              <w:right w:val="nil"/>
            </w:tcBorders>
            <w:shd w:val="clear" w:color="auto" w:fill="auto"/>
            <w:noWrap/>
            <w:vAlign w:val="center"/>
          </w:tcPr>
          <w:p w14:paraId="458B46C0" w14:textId="60516748" w:rsidR="0015334A" w:rsidRPr="00267A0C" w:rsidRDefault="0015334A" w:rsidP="0015334A">
            <w:pPr>
              <w:spacing w:after="0" w:line="276" w:lineRule="auto"/>
              <w:jc w:val="right"/>
              <w:rPr>
                <w:rFonts w:cs="Arial"/>
                <w:sz w:val="16"/>
                <w:szCs w:val="16"/>
              </w:rPr>
            </w:pPr>
            <w:r>
              <w:rPr>
                <w:rFonts w:cs="Arial"/>
                <w:sz w:val="16"/>
                <w:szCs w:val="16"/>
              </w:rPr>
              <w:t>56.945</w:t>
            </w:r>
          </w:p>
        </w:tc>
        <w:tc>
          <w:tcPr>
            <w:tcW w:w="795" w:type="dxa"/>
            <w:tcBorders>
              <w:top w:val="nil"/>
              <w:left w:val="nil"/>
              <w:bottom w:val="nil"/>
              <w:right w:val="nil"/>
            </w:tcBorders>
            <w:shd w:val="clear" w:color="auto" w:fill="auto"/>
            <w:noWrap/>
            <w:vAlign w:val="center"/>
          </w:tcPr>
          <w:p w14:paraId="0B261F80" w14:textId="2DF41A63" w:rsidR="0015334A" w:rsidRPr="00267A0C" w:rsidRDefault="0015334A" w:rsidP="0015334A">
            <w:pPr>
              <w:spacing w:after="0" w:line="276" w:lineRule="auto"/>
              <w:jc w:val="right"/>
              <w:rPr>
                <w:rFonts w:cs="Arial"/>
                <w:sz w:val="16"/>
                <w:szCs w:val="16"/>
              </w:rPr>
            </w:pPr>
            <w:r>
              <w:rPr>
                <w:rFonts w:cs="Arial"/>
                <w:sz w:val="16"/>
                <w:szCs w:val="16"/>
              </w:rPr>
              <w:t>60.000</w:t>
            </w:r>
          </w:p>
        </w:tc>
        <w:tc>
          <w:tcPr>
            <w:tcW w:w="795" w:type="dxa"/>
            <w:tcBorders>
              <w:top w:val="nil"/>
              <w:left w:val="nil"/>
              <w:bottom w:val="nil"/>
            </w:tcBorders>
            <w:shd w:val="clear" w:color="auto" w:fill="auto"/>
            <w:noWrap/>
            <w:vAlign w:val="center"/>
          </w:tcPr>
          <w:p w14:paraId="50932C9E" w14:textId="08A50AA8" w:rsidR="0015334A" w:rsidRPr="00267A0C" w:rsidRDefault="0015334A" w:rsidP="0015334A">
            <w:pPr>
              <w:spacing w:after="0" w:line="276" w:lineRule="auto"/>
              <w:jc w:val="right"/>
              <w:rPr>
                <w:rFonts w:cs="Arial"/>
                <w:sz w:val="16"/>
                <w:szCs w:val="16"/>
              </w:rPr>
            </w:pPr>
            <w:r>
              <w:rPr>
                <w:rFonts w:cs="Arial"/>
                <w:sz w:val="16"/>
                <w:szCs w:val="16"/>
              </w:rPr>
              <w:t>60.000</w:t>
            </w:r>
          </w:p>
        </w:tc>
      </w:tr>
      <w:tr w:rsidR="0015334A" w:rsidRPr="00267A0C" w14:paraId="17B864E7" w14:textId="77777777" w:rsidTr="00775DA2">
        <w:trPr>
          <w:cantSplit/>
          <w:trHeight w:val="227"/>
          <w:jc w:val="center"/>
        </w:trPr>
        <w:tc>
          <w:tcPr>
            <w:tcW w:w="376" w:type="dxa"/>
            <w:tcBorders>
              <w:top w:val="nil"/>
              <w:bottom w:val="nil"/>
              <w:right w:val="nil"/>
            </w:tcBorders>
            <w:shd w:val="clear" w:color="000000" w:fill="D5DCE4"/>
            <w:noWrap/>
            <w:vAlign w:val="center"/>
            <w:hideMark/>
          </w:tcPr>
          <w:p w14:paraId="243D5803" w14:textId="77777777" w:rsidR="0015334A" w:rsidRPr="00267A0C" w:rsidRDefault="0015334A" w:rsidP="0015334A">
            <w:pPr>
              <w:spacing w:after="0" w:line="276" w:lineRule="auto"/>
              <w:jc w:val="center"/>
              <w:rPr>
                <w:rFonts w:cs="Arial"/>
                <w:b/>
                <w:bCs/>
                <w:sz w:val="16"/>
                <w:szCs w:val="16"/>
              </w:rPr>
            </w:pPr>
            <w:r w:rsidRPr="00267A0C">
              <w:rPr>
                <w:rFonts w:cs="Arial"/>
                <w:b/>
                <w:bCs/>
                <w:sz w:val="16"/>
                <w:szCs w:val="16"/>
              </w:rPr>
              <w:t>Ε.</w:t>
            </w:r>
          </w:p>
        </w:tc>
        <w:tc>
          <w:tcPr>
            <w:tcW w:w="5435" w:type="dxa"/>
            <w:tcBorders>
              <w:top w:val="nil"/>
              <w:left w:val="nil"/>
              <w:bottom w:val="nil"/>
              <w:right w:val="nil"/>
            </w:tcBorders>
            <w:shd w:val="clear" w:color="000000" w:fill="D5DCE4"/>
            <w:noWrap/>
            <w:vAlign w:val="center"/>
            <w:hideMark/>
          </w:tcPr>
          <w:p w14:paraId="6066392A" w14:textId="77777777" w:rsidR="0015334A" w:rsidRPr="00267A0C" w:rsidRDefault="0015334A" w:rsidP="0015334A">
            <w:pPr>
              <w:spacing w:after="0" w:line="276" w:lineRule="auto"/>
              <w:jc w:val="left"/>
              <w:rPr>
                <w:rFonts w:cs="Arial"/>
                <w:b/>
                <w:bCs/>
                <w:sz w:val="16"/>
                <w:szCs w:val="16"/>
              </w:rPr>
            </w:pPr>
            <w:r w:rsidRPr="00267A0C">
              <w:rPr>
                <w:rFonts w:cs="Arial"/>
                <w:b/>
                <w:bCs/>
                <w:sz w:val="16"/>
                <w:szCs w:val="16"/>
              </w:rPr>
              <w:t>Σύνολο χρέους Κεντρικής Διοίκησης (Α+Β+Γ+Δ)</w:t>
            </w:r>
          </w:p>
        </w:tc>
        <w:tc>
          <w:tcPr>
            <w:tcW w:w="795" w:type="dxa"/>
            <w:tcBorders>
              <w:top w:val="nil"/>
              <w:left w:val="nil"/>
              <w:bottom w:val="nil"/>
              <w:right w:val="nil"/>
            </w:tcBorders>
            <w:shd w:val="clear" w:color="000000" w:fill="D5DCE4"/>
            <w:noWrap/>
            <w:vAlign w:val="center"/>
          </w:tcPr>
          <w:p w14:paraId="4CABE470" w14:textId="3E967578" w:rsidR="0015334A" w:rsidRPr="00267A0C" w:rsidRDefault="0015334A" w:rsidP="0015334A">
            <w:pPr>
              <w:spacing w:after="0" w:line="276" w:lineRule="auto"/>
              <w:jc w:val="right"/>
              <w:rPr>
                <w:rFonts w:cs="Arial"/>
                <w:b/>
                <w:bCs/>
                <w:sz w:val="16"/>
                <w:szCs w:val="16"/>
              </w:rPr>
            </w:pPr>
            <w:r>
              <w:rPr>
                <w:rFonts w:cs="Arial"/>
                <w:b/>
                <w:bCs/>
                <w:sz w:val="16"/>
                <w:szCs w:val="16"/>
              </w:rPr>
              <w:t>406.523</w:t>
            </w:r>
          </w:p>
        </w:tc>
        <w:tc>
          <w:tcPr>
            <w:tcW w:w="795" w:type="dxa"/>
            <w:tcBorders>
              <w:top w:val="nil"/>
              <w:left w:val="nil"/>
              <w:bottom w:val="nil"/>
              <w:right w:val="nil"/>
            </w:tcBorders>
            <w:shd w:val="clear" w:color="000000" w:fill="D5DCE4"/>
            <w:noWrap/>
            <w:vAlign w:val="center"/>
          </w:tcPr>
          <w:p w14:paraId="796770E7" w14:textId="2D255D67" w:rsidR="0015334A" w:rsidRPr="00267A0C" w:rsidRDefault="0015334A" w:rsidP="0015334A">
            <w:pPr>
              <w:spacing w:after="0" w:line="276" w:lineRule="auto"/>
              <w:jc w:val="right"/>
              <w:rPr>
                <w:rFonts w:cs="Arial"/>
                <w:b/>
                <w:bCs/>
                <w:sz w:val="16"/>
                <w:szCs w:val="16"/>
              </w:rPr>
            </w:pPr>
            <w:r>
              <w:rPr>
                <w:rFonts w:cs="Arial"/>
                <w:b/>
                <w:bCs/>
                <w:sz w:val="16"/>
                <w:szCs w:val="16"/>
              </w:rPr>
              <w:t>403.861</w:t>
            </w:r>
          </w:p>
        </w:tc>
        <w:tc>
          <w:tcPr>
            <w:tcW w:w="795" w:type="dxa"/>
            <w:tcBorders>
              <w:top w:val="nil"/>
              <w:left w:val="nil"/>
              <w:bottom w:val="nil"/>
              <w:right w:val="nil"/>
            </w:tcBorders>
            <w:shd w:val="clear" w:color="000000" w:fill="D5DCE4"/>
            <w:noWrap/>
            <w:vAlign w:val="center"/>
          </w:tcPr>
          <w:p w14:paraId="1063546B" w14:textId="0D7D05F9" w:rsidR="0015334A" w:rsidRPr="00267A0C" w:rsidRDefault="0015334A" w:rsidP="0015334A">
            <w:pPr>
              <w:spacing w:after="0" w:line="276" w:lineRule="auto"/>
              <w:jc w:val="right"/>
              <w:rPr>
                <w:rFonts w:cs="Arial"/>
                <w:b/>
                <w:bCs/>
                <w:sz w:val="16"/>
                <w:szCs w:val="16"/>
              </w:rPr>
            </w:pPr>
            <w:r>
              <w:rPr>
                <w:rFonts w:cs="Arial"/>
                <w:b/>
                <w:bCs/>
                <w:sz w:val="16"/>
                <w:szCs w:val="16"/>
              </w:rPr>
              <w:t>403.460</w:t>
            </w:r>
          </w:p>
        </w:tc>
        <w:tc>
          <w:tcPr>
            <w:tcW w:w="795" w:type="dxa"/>
            <w:tcBorders>
              <w:top w:val="nil"/>
              <w:left w:val="nil"/>
              <w:bottom w:val="nil"/>
            </w:tcBorders>
            <w:shd w:val="clear" w:color="000000" w:fill="D5DCE4"/>
            <w:noWrap/>
            <w:vAlign w:val="center"/>
          </w:tcPr>
          <w:p w14:paraId="4DAA4225" w14:textId="105AD4DC" w:rsidR="0015334A" w:rsidRPr="00267A0C" w:rsidRDefault="0015334A" w:rsidP="0015334A">
            <w:pPr>
              <w:spacing w:after="0" w:line="276" w:lineRule="auto"/>
              <w:jc w:val="right"/>
              <w:rPr>
                <w:rFonts w:cs="Arial"/>
                <w:b/>
                <w:bCs/>
                <w:sz w:val="16"/>
                <w:szCs w:val="16"/>
              </w:rPr>
            </w:pPr>
            <w:r>
              <w:rPr>
                <w:rFonts w:cs="Arial"/>
                <w:b/>
                <w:bCs/>
                <w:sz w:val="16"/>
                <w:szCs w:val="16"/>
              </w:rPr>
              <w:t>398.070</w:t>
            </w:r>
          </w:p>
        </w:tc>
      </w:tr>
      <w:tr w:rsidR="0015334A" w:rsidRPr="00267A0C" w14:paraId="5B0EDF8B" w14:textId="77777777" w:rsidTr="00775DA2">
        <w:trPr>
          <w:cantSplit/>
          <w:trHeight w:val="227"/>
          <w:jc w:val="center"/>
        </w:trPr>
        <w:tc>
          <w:tcPr>
            <w:tcW w:w="376" w:type="dxa"/>
            <w:tcBorders>
              <w:top w:val="nil"/>
              <w:bottom w:val="nil"/>
              <w:right w:val="nil"/>
            </w:tcBorders>
            <w:shd w:val="clear" w:color="auto" w:fill="D5DCE4"/>
            <w:noWrap/>
            <w:vAlign w:val="center"/>
            <w:hideMark/>
          </w:tcPr>
          <w:p w14:paraId="1803B522" w14:textId="3CB6B0DA"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nil"/>
              <w:right w:val="nil"/>
            </w:tcBorders>
            <w:shd w:val="clear" w:color="auto" w:fill="D5DCE4"/>
            <w:noWrap/>
            <w:vAlign w:val="center"/>
            <w:hideMark/>
          </w:tcPr>
          <w:p w14:paraId="61488A34" w14:textId="77777777" w:rsidR="0015334A" w:rsidRPr="00267A0C" w:rsidRDefault="0015334A" w:rsidP="0015334A">
            <w:pPr>
              <w:spacing w:after="0" w:line="276" w:lineRule="auto"/>
              <w:jc w:val="left"/>
              <w:rPr>
                <w:rFonts w:cs="Arial"/>
                <w:sz w:val="16"/>
                <w:szCs w:val="16"/>
              </w:rPr>
            </w:pPr>
            <w:r w:rsidRPr="00267A0C">
              <w:rPr>
                <w:rFonts w:cs="Arial"/>
                <w:sz w:val="16"/>
                <w:szCs w:val="16"/>
              </w:rPr>
              <w:t>(ως % του ΑΕΠ)</w:t>
            </w:r>
          </w:p>
        </w:tc>
        <w:tc>
          <w:tcPr>
            <w:tcW w:w="795" w:type="dxa"/>
            <w:tcBorders>
              <w:top w:val="nil"/>
              <w:left w:val="nil"/>
              <w:bottom w:val="nil"/>
              <w:right w:val="nil"/>
            </w:tcBorders>
            <w:shd w:val="clear" w:color="auto" w:fill="D5DCE4"/>
            <w:noWrap/>
            <w:vAlign w:val="center"/>
          </w:tcPr>
          <w:p w14:paraId="36EAD737" w14:textId="07A4C6A1" w:rsidR="0015334A" w:rsidRPr="00267A0C" w:rsidRDefault="0015334A" w:rsidP="0015334A">
            <w:pPr>
              <w:spacing w:after="0" w:line="276" w:lineRule="auto"/>
              <w:jc w:val="right"/>
              <w:rPr>
                <w:rFonts w:cs="Arial"/>
                <w:sz w:val="16"/>
                <w:szCs w:val="16"/>
              </w:rPr>
            </w:pPr>
            <w:r>
              <w:rPr>
                <w:rFonts w:cs="Arial"/>
                <w:sz w:val="16"/>
                <w:szCs w:val="16"/>
              </w:rPr>
              <w:t>180,9%</w:t>
            </w:r>
          </w:p>
        </w:tc>
        <w:tc>
          <w:tcPr>
            <w:tcW w:w="795" w:type="dxa"/>
            <w:tcBorders>
              <w:top w:val="nil"/>
              <w:left w:val="nil"/>
              <w:bottom w:val="nil"/>
              <w:right w:val="nil"/>
            </w:tcBorders>
            <w:shd w:val="clear" w:color="auto" w:fill="D5DCE4"/>
            <w:noWrap/>
            <w:vAlign w:val="center"/>
          </w:tcPr>
          <w:p w14:paraId="6A4F2927" w14:textId="5764C5A2" w:rsidR="0015334A" w:rsidRPr="00267A0C" w:rsidRDefault="0015334A" w:rsidP="0015334A">
            <w:pPr>
              <w:spacing w:after="0" w:line="276" w:lineRule="auto"/>
              <w:jc w:val="right"/>
              <w:rPr>
                <w:rFonts w:cs="Arial"/>
                <w:sz w:val="16"/>
                <w:szCs w:val="16"/>
              </w:rPr>
            </w:pPr>
            <w:r>
              <w:rPr>
                <w:rFonts w:cs="Arial"/>
                <w:sz w:val="16"/>
                <w:szCs w:val="16"/>
              </w:rPr>
              <w:t>170,6%</w:t>
            </w:r>
          </w:p>
        </w:tc>
        <w:tc>
          <w:tcPr>
            <w:tcW w:w="795" w:type="dxa"/>
            <w:tcBorders>
              <w:top w:val="nil"/>
              <w:left w:val="nil"/>
              <w:bottom w:val="nil"/>
              <w:right w:val="nil"/>
            </w:tcBorders>
            <w:shd w:val="clear" w:color="auto" w:fill="D5DCE4"/>
            <w:noWrap/>
            <w:vAlign w:val="center"/>
          </w:tcPr>
          <w:p w14:paraId="79EAA4A4" w14:textId="4FFECC11" w:rsidR="0015334A" w:rsidRPr="00267A0C" w:rsidRDefault="0015334A" w:rsidP="0015334A">
            <w:pPr>
              <w:spacing w:after="0" w:line="276" w:lineRule="auto"/>
              <w:jc w:val="right"/>
              <w:rPr>
                <w:rFonts w:cs="Arial"/>
                <w:sz w:val="16"/>
                <w:szCs w:val="16"/>
              </w:rPr>
            </w:pPr>
            <w:r>
              <w:rPr>
                <w:rFonts w:cs="Arial"/>
                <w:sz w:val="16"/>
                <w:szCs w:val="16"/>
              </w:rPr>
              <w:t>162,2%</w:t>
            </w:r>
          </w:p>
        </w:tc>
        <w:tc>
          <w:tcPr>
            <w:tcW w:w="795" w:type="dxa"/>
            <w:tcBorders>
              <w:top w:val="nil"/>
              <w:left w:val="nil"/>
              <w:bottom w:val="nil"/>
            </w:tcBorders>
            <w:shd w:val="clear" w:color="auto" w:fill="D5DCE4"/>
            <w:noWrap/>
            <w:vAlign w:val="center"/>
          </w:tcPr>
          <w:p w14:paraId="39BB21DD" w14:textId="7CE77772" w:rsidR="0015334A" w:rsidRPr="00267A0C" w:rsidRDefault="0015334A" w:rsidP="0015334A">
            <w:pPr>
              <w:spacing w:after="0" w:line="276" w:lineRule="auto"/>
              <w:jc w:val="right"/>
              <w:rPr>
                <w:rFonts w:cs="Arial"/>
                <w:sz w:val="16"/>
                <w:szCs w:val="16"/>
              </w:rPr>
            </w:pPr>
            <w:r>
              <w:rPr>
                <w:rFonts w:cs="Arial"/>
                <w:sz w:val="16"/>
                <w:szCs w:val="16"/>
              </w:rPr>
              <w:t>153,1%</w:t>
            </w:r>
          </w:p>
        </w:tc>
      </w:tr>
      <w:tr w:rsidR="0015334A" w:rsidRPr="00267A0C" w14:paraId="2E2C9F41" w14:textId="77777777" w:rsidTr="00775DA2">
        <w:trPr>
          <w:cantSplit/>
          <w:trHeight w:val="227"/>
          <w:jc w:val="center"/>
        </w:trPr>
        <w:tc>
          <w:tcPr>
            <w:tcW w:w="376" w:type="dxa"/>
            <w:tcBorders>
              <w:top w:val="nil"/>
              <w:bottom w:val="single" w:sz="2" w:space="0" w:color="A6A6A6" w:themeColor="background1" w:themeShade="A6"/>
              <w:right w:val="nil"/>
            </w:tcBorders>
            <w:shd w:val="clear" w:color="auto" w:fill="F2F2F2" w:themeFill="background1" w:themeFillShade="F2"/>
            <w:noWrap/>
            <w:vAlign w:val="center"/>
            <w:hideMark/>
          </w:tcPr>
          <w:p w14:paraId="64A2C38A" w14:textId="47AB703D" w:rsidR="0015334A" w:rsidRPr="00267A0C" w:rsidRDefault="0015334A" w:rsidP="0015334A">
            <w:pPr>
              <w:spacing w:after="0" w:line="276" w:lineRule="auto"/>
              <w:jc w:val="center"/>
              <w:rPr>
                <w:rFonts w:cs="Arial"/>
                <w:b/>
                <w:bCs/>
                <w:sz w:val="16"/>
                <w:szCs w:val="16"/>
              </w:rPr>
            </w:pPr>
          </w:p>
        </w:tc>
        <w:tc>
          <w:tcPr>
            <w:tcW w:w="5435" w:type="dxa"/>
            <w:tcBorders>
              <w:top w:val="nil"/>
              <w:left w:val="nil"/>
              <w:bottom w:val="single" w:sz="2" w:space="0" w:color="A6A6A6" w:themeColor="background1" w:themeShade="A6"/>
              <w:right w:val="nil"/>
            </w:tcBorders>
            <w:shd w:val="clear" w:color="auto" w:fill="F2F2F2" w:themeFill="background1" w:themeFillShade="F2"/>
            <w:noWrap/>
            <w:vAlign w:val="center"/>
            <w:hideMark/>
          </w:tcPr>
          <w:p w14:paraId="5334827D" w14:textId="77777777" w:rsidR="0015334A" w:rsidRPr="00267A0C" w:rsidRDefault="0015334A" w:rsidP="0015334A">
            <w:pPr>
              <w:spacing w:after="0" w:line="276" w:lineRule="auto"/>
              <w:jc w:val="left"/>
              <w:rPr>
                <w:rFonts w:cs="Arial"/>
                <w:sz w:val="16"/>
                <w:szCs w:val="16"/>
              </w:rPr>
            </w:pPr>
            <w:r w:rsidRPr="00267A0C">
              <w:rPr>
                <w:rFonts w:cs="Arial"/>
                <w:sz w:val="16"/>
                <w:szCs w:val="16"/>
              </w:rPr>
              <w:t>ΑΕΠ</w:t>
            </w:r>
          </w:p>
        </w:tc>
        <w:tc>
          <w:tcPr>
            <w:tcW w:w="795" w:type="dxa"/>
            <w:tcBorders>
              <w:top w:val="nil"/>
              <w:left w:val="nil"/>
              <w:bottom w:val="single" w:sz="2" w:space="0" w:color="A6A6A6" w:themeColor="background1" w:themeShade="A6"/>
              <w:right w:val="nil"/>
            </w:tcBorders>
            <w:shd w:val="clear" w:color="auto" w:fill="F2F2F2" w:themeFill="background1" w:themeFillShade="F2"/>
            <w:noWrap/>
            <w:vAlign w:val="center"/>
          </w:tcPr>
          <w:p w14:paraId="207ECAD5" w14:textId="56DE575C" w:rsidR="0015334A" w:rsidRPr="00267A0C" w:rsidRDefault="0015334A" w:rsidP="0015334A">
            <w:pPr>
              <w:spacing w:after="0" w:line="276" w:lineRule="auto"/>
              <w:jc w:val="right"/>
              <w:rPr>
                <w:rFonts w:cs="Arial"/>
                <w:sz w:val="16"/>
                <w:szCs w:val="16"/>
              </w:rPr>
            </w:pPr>
            <w:r>
              <w:rPr>
                <w:rFonts w:cs="Arial"/>
                <w:sz w:val="16"/>
                <w:szCs w:val="16"/>
              </w:rPr>
              <w:t>224.686</w:t>
            </w:r>
          </w:p>
        </w:tc>
        <w:tc>
          <w:tcPr>
            <w:tcW w:w="795" w:type="dxa"/>
            <w:tcBorders>
              <w:top w:val="nil"/>
              <w:left w:val="nil"/>
              <w:bottom w:val="single" w:sz="2" w:space="0" w:color="A6A6A6" w:themeColor="background1" w:themeShade="A6"/>
              <w:right w:val="nil"/>
            </w:tcBorders>
            <w:shd w:val="clear" w:color="auto" w:fill="F2F2F2" w:themeFill="background1" w:themeFillShade="F2"/>
            <w:noWrap/>
            <w:vAlign w:val="center"/>
          </w:tcPr>
          <w:p w14:paraId="3B38038D" w14:textId="2ACA4382" w:rsidR="0015334A" w:rsidRPr="00267A0C" w:rsidRDefault="0015334A" w:rsidP="0015334A">
            <w:pPr>
              <w:spacing w:after="0" w:line="276" w:lineRule="auto"/>
              <w:jc w:val="right"/>
              <w:rPr>
                <w:rFonts w:cs="Arial"/>
                <w:sz w:val="16"/>
                <w:szCs w:val="16"/>
              </w:rPr>
            </w:pPr>
            <w:r>
              <w:rPr>
                <w:rFonts w:cs="Arial"/>
                <w:sz w:val="16"/>
                <w:szCs w:val="16"/>
              </w:rPr>
              <w:t>236.736</w:t>
            </w:r>
          </w:p>
        </w:tc>
        <w:tc>
          <w:tcPr>
            <w:tcW w:w="795" w:type="dxa"/>
            <w:tcBorders>
              <w:top w:val="nil"/>
              <w:left w:val="nil"/>
              <w:bottom w:val="single" w:sz="2" w:space="0" w:color="A6A6A6" w:themeColor="background1" w:themeShade="A6"/>
              <w:right w:val="nil"/>
            </w:tcBorders>
            <w:shd w:val="clear" w:color="auto" w:fill="F2F2F2" w:themeFill="background1" w:themeFillShade="F2"/>
            <w:noWrap/>
            <w:vAlign w:val="center"/>
          </w:tcPr>
          <w:p w14:paraId="6EED1E92" w14:textId="2C8C98F6" w:rsidR="0015334A" w:rsidRPr="00267A0C" w:rsidRDefault="0015334A" w:rsidP="0015334A">
            <w:pPr>
              <w:spacing w:after="0" w:line="276" w:lineRule="auto"/>
              <w:jc w:val="right"/>
              <w:rPr>
                <w:rFonts w:cs="Arial"/>
                <w:sz w:val="16"/>
                <w:szCs w:val="16"/>
              </w:rPr>
            </w:pPr>
            <w:r>
              <w:rPr>
                <w:rFonts w:cs="Arial"/>
                <w:sz w:val="16"/>
                <w:szCs w:val="16"/>
              </w:rPr>
              <w:t>248.697</w:t>
            </w:r>
          </w:p>
        </w:tc>
        <w:tc>
          <w:tcPr>
            <w:tcW w:w="795" w:type="dxa"/>
            <w:tcBorders>
              <w:top w:val="nil"/>
              <w:left w:val="nil"/>
              <w:bottom w:val="single" w:sz="2" w:space="0" w:color="A6A6A6" w:themeColor="background1" w:themeShade="A6"/>
            </w:tcBorders>
            <w:shd w:val="clear" w:color="auto" w:fill="F2F2F2" w:themeFill="background1" w:themeFillShade="F2"/>
            <w:noWrap/>
            <w:vAlign w:val="center"/>
          </w:tcPr>
          <w:p w14:paraId="19BACBE4" w14:textId="28D4DAD4" w:rsidR="0015334A" w:rsidRPr="00267A0C" w:rsidRDefault="0015334A" w:rsidP="0015334A">
            <w:pPr>
              <w:spacing w:after="0" w:line="276" w:lineRule="auto"/>
              <w:jc w:val="right"/>
              <w:rPr>
                <w:rFonts w:cs="Arial"/>
                <w:sz w:val="16"/>
                <w:szCs w:val="16"/>
              </w:rPr>
            </w:pPr>
            <w:r>
              <w:rPr>
                <w:rFonts w:cs="Arial"/>
                <w:sz w:val="16"/>
                <w:szCs w:val="16"/>
              </w:rPr>
              <w:t>260.035</w:t>
            </w:r>
          </w:p>
        </w:tc>
      </w:tr>
      <w:tr w:rsidR="00267A0C" w:rsidRPr="00267A0C" w14:paraId="1E2102F4" w14:textId="77777777" w:rsidTr="00BE5952">
        <w:trPr>
          <w:cantSplit/>
          <w:trHeight w:val="227"/>
          <w:jc w:val="center"/>
        </w:trPr>
        <w:tc>
          <w:tcPr>
            <w:tcW w:w="8991" w:type="dxa"/>
            <w:gridSpan w:val="6"/>
            <w:tcBorders>
              <w:left w:val="nil"/>
              <w:bottom w:val="nil"/>
              <w:right w:val="nil"/>
            </w:tcBorders>
            <w:shd w:val="clear" w:color="auto" w:fill="auto"/>
            <w:noWrap/>
            <w:vAlign w:val="center"/>
            <w:hideMark/>
          </w:tcPr>
          <w:p w14:paraId="0153BBC9" w14:textId="77777777" w:rsidR="00CC2FE5" w:rsidRDefault="00267A0C" w:rsidP="00CC2FE5">
            <w:pPr>
              <w:spacing w:before="60" w:after="0" w:line="276" w:lineRule="auto"/>
              <w:jc w:val="left"/>
              <w:rPr>
                <w:rFonts w:cs="Arial"/>
                <w:sz w:val="16"/>
                <w:szCs w:val="16"/>
              </w:rPr>
            </w:pPr>
            <w:r w:rsidRPr="00267A0C">
              <w:rPr>
                <w:rFonts w:cs="Arial"/>
                <w:sz w:val="16"/>
                <w:szCs w:val="16"/>
              </w:rPr>
              <w:t>* Εκτιμήσεις, ** Προβλέψεις</w:t>
            </w:r>
            <w:r w:rsidR="00CC2FE5" w:rsidRPr="00267A0C">
              <w:rPr>
                <w:rFonts w:cs="Arial"/>
                <w:sz w:val="16"/>
                <w:szCs w:val="16"/>
              </w:rPr>
              <w:t xml:space="preserve"> </w:t>
            </w:r>
          </w:p>
          <w:p w14:paraId="6ED93707" w14:textId="30211C9F" w:rsidR="00267A0C" w:rsidRPr="00267A0C" w:rsidRDefault="00CC2FE5" w:rsidP="00CC2FE5">
            <w:pPr>
              <w:spacing w:before="60" w:after="0" w:line="276" w:lineRule="auto"/>
              <w:jc w:val="left"/>
              <w:rPr>
                <w:rFonts w:cs="Arial"/>
                <w:sz w:val="16"/>
                <w:szCs w:val="16"/>
              </w:rPr>
            </w:pPr>
            <w:r w:rsidRPr="00267A0C">
              <w:rPr>
                <w:rFonts w:cs="Arial"/>
                <w:sz w:val="16"/>
                <w:szCs w:val="16"/>
              </w:rPr>
              <w:t>Πηγή: ΟΔΔΗΧ</w:t>
            </w:r>
          </w:p>
        </w:tc>
      </w:tr>
    </w:tbl>
    <w:p w14:paraId="57FE5E47" w14:textId="14E3EF92" w:rsidR="00303CCE" w:rsidRPr="00A9523D" w:rsidRDefault="00303CCE" w:rsidP="00725870">
      <w:pPr>
        <w:spacing w:before="240" w:after="240"/>
        <w:rPr>
          <w:sz w:val="24"/>
          <w:highlight w:val="yellow"/>
          <w:lang w:val="en-US"/>
        </w:rPr>
      </w:pPr>
    </w:p>
    <w:tbl>
      <w:tblPr>
        <w:tblW w:w="9300" w:type="dxa"/>
        <w:jc w:val="center"/>
        <w:tblLook w:val="04A0" w:firstRow="1" w:lastRow="0" w:firstColumn="1" w:lastColumn="0" w:noHBand="0" w:noVBand="1"/>
      </w:tblPr>
      <w:tblGrid>
        <w:gridCol w:w="266"/>
        <w:gridCol w:w="5707"/>
        <w:gridCol w:w="1095"/>
        <w:gridCol w:w="1095"/>
        <w:gridCol w:w="1137"/>
      </w:tblGrid>
      <w:tr w:rsidR="00A71934" w:rsidRPr="00421883" w14:paraId="743DF5FD" w14:textId="77777777" w:rsidTr="00775DA2">
        <w:trPr>
          <w:cantSplit/>
          <w:trHeight w:val="238"/>
          <w:jc w:val="center"/>
        </w:trPr>
        <w:tc>
          <w:tcPr>
            <w:tcW w:w="9300" w:type="dxa"/>
            <w:gridSpan w:val="5"/>
            <w:vMerge w:val="restart"/>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2E57AABE" w14:textId="65EAD685" w:rsidR="00A71934" w:rsidRPr="00421883" w:rsidRDefault="00A71934" w:rsidP="00FF5BF4">
            <w:pPr>
              <w:spacing w:after="0" w:line="276" w:lineRule="auto"/>
              <w:jc w:val="center"/>
              <w:rPr>
                <w:rFonts w:cs="Arial"/>
                <w:b/>
                <w:bCs/>
                <w:sz w:val="18"/>
                <w:szCs w:val="18"/>
              </w:rPr>
            </w:pPr>
            <w:bookmarkStart w:id="699" w:name="_Ref182651169"/>
            <w:bookmarkStart w:id="700" w:name="_Toc214474109"/>
            <w:r w:rsidRPr="00421883">
              <w:rPr>
                <w:b/>
                <w:sz w:val="18"/>
                <w:szCs w:val="18"/>
              </w:rPr>
              <w:t>Πίνακας 4.</w:t>
            </w:r>
            <w:r w:rsidRPr="00421883">
              <w:rPr>
                <w:b/>
                <w:sz w:val="18"/>
                <w:szCs w:val="18"/>
              </w:rPr>
              <w:fldChar w:fldCharType="begin"/>
            </w:r>
            <w:r w:rsidRPr="00421883">
              <w:rPr>
                <w:b/>
                <w:sz w:val="18"/>
                <w:szCs w:val="18"/>
              </w:rPr>
              <w:instrText xml:space="preserve"> SEQ Πίνακας_4. \* ARABIC </w:instrText>
            </w:r>
            <w:r w:rsidRPr="00421883">
              <w:rPr>
                <w:b/>
                <w:sz w:val="18"/>
                <w:szCs w:val="18"/>
              </w:rPr>
              <w:fldChar w:fldCharType="separate"/>
            </w:r>
            <w:r w:rsidR="00E15678">
              <w:rPr>
                <w:b/>
                <w:noProof/>
                <w:sz w:val="18"/>
                <w:szCs w:val="18"/>
              </w:rPr>
              <w:t>3</w:t>
            </w:r>
            <w:r w:rsidRPr="00421883">
              <w:rPr>
                <w:b/>
                <w:sz w:val="18"/>
                <w:szCs w:val="18"/>
              </w:rPr>
              <w:fldChar w:fldCharType="end"/>
            </w:r>
            <w:bookmarkEnd w:id="699"/>
            <w:r w:rsidRPr="00421883">
              <w:rPr>
                <w:rFonts w:cs="Arial"/>
                <w:b/>
                <w:bCs/>
                <w:sz w:val="18"/>
                <w:szCs w:val="18"/>
              </w:rPr>
              <w:t xml:space="preserve">.: Εξέλιξη </w:t>
            </w:r>
            <w:r w:rsidR="001B5D2B" w:rsidRPr="00421883">
              <w:rPr>
                <w:rFonts w:cs="Arial"/>
                <w:b/>
                <w:bCs/>
                <w:sz w:val="18"/>
                <w:szCs w:val="18"/>
              </w:rPr>
              <w:t xml:space="preserve">του </w:t>
            </w:r>
            <w:r w:rsidRPr="00421883">
              <w:rPr>
                <w:rFonts w:cs="Arial"/>
                <w:b/>
                <w:bCs/>
                <w:sz w:val="18"/>
                <w:szCs w:val="18"/>
              </w:rPr>
              <w:t xml:space="preserve">δημόσιου χρέους </w:t>
            </w:r>
            <w:r w:rsidR="001B5D2B" w:rsidRPr="00421883">
              <w:rPr>
                <w:rFonts w:cs="Arial"/>
                <w:b/>
                <w:bCs/>
                <w:sz w:val="18"/>
                <w:szCs w:val="18"/>
              </w:rPr>
              <w:t xml:space="preserve">της </w:t>
            </w:r>
            <w:r w:rsidRPr="00421883">
              <w:rPr>
                <w:rFonts w:cs="Arial"/>
                <w:b/>
                <w:bCs/>
                <w:sz w:val="18"/>
                <w:szCs w:val="18"/>
              </w:rPr>
              <w:t>Γενικής Κυβέρνησης</w:t>
            </w:r>
            <w:r w:rsidRPr="00421883">
              <w:rPr>
                <w:rFonts w:cs="Arial"/>
                <w:b/>
                <w:bCs/>
                <w:sz w:val="18"/>
                <w:szCs w:val="18"/>
              </w:rPr>
              <w:br/>
              <w:t>(σε εκατ. ευρώ)</w:t>
            </w:r>
            <w:bookmarkEnd w:id="700"/>
          </w:p>
        </w:tc>
      </w:tr>
      <w:tr w:rsidR="00A71934" w:rsidRPr="00421883" w14:paraId="588AAC97" w14:textId="77777777" w:rsidTr="0069441A">
        <w:trPr>
          <w:cantSplit/>
          <w:trHeight w:val="230"/>
          <w:jc w:val="center"/>
        </w:trPr>
        <w:tc>
          <w:tcPr>
            <w:tcW w:w="9300" w:type="dxa"/>
            <w:gridSpan w:val="5"/>
            <w:vMerge/>
            <w:tcBorders>
              <w:left w:val="single" w:sz="2" w:space="0" w:color="A6A6A6" w:themeColor="background1" w:themeShade="A6"/>
              <w:bottom w:val="single" w:sz="2" w:space="0" w:color="A6A6A6" w:themeColor="background1" w:themeShade="A6"/>
              <w:right w:val="single" w:sz="2" w:space="0" w:color="A6A6A6" w:themeColor="background1" w:themeShade="A6"/>
            </w:tcBorders>
            <w:vAlign w:val="center"/>
            <w:hideMark/>
          </w:tcPr>
          <w:p w14:paraId="0812E93E" w14:textId="77777777" w:rsidR="00A71934" w:rsidRPr="00421883" w:rsidRDefault="00A71934" w:rsidP="00FF5BF4">
            <w:pPr>
              <w:spacing w:after="0" w:line="276" w:lineRule="auto"/>
              <w:jc w:val="left"/>
              <w:rPr>
                <w:rFonts w:cs="Arial"/>
                <w:b/>
                <w:bCs/>
                <w:sz w:val="18"/>
                <w:szCs w:val="18"/>
              </w:rPr>
            </w:pPr>
          </w:p>
        </w:tc>
      </w:tr>
      <w:tr w:rsidR="00A71934" w:rsidRPr="00421883" w14:paraId="228A5008" w14:textId="77777777" w:rsidTr="00775DA2">
        <w:trPr>
          <w:cantSplit/>
          <w:trHeight w:val="264"/>
          <w:jc w:val="center"/>
        </w:trPr>
        <w:tc>
          <w:tcPr>
            <w:tcW w:w="5973" w:type="dxa"/>
            <w:gridSpan w:val="2"/>
            <w:vMerge w:val="restart"/>
            <w:tcBorders>
              <w:top w:val="single" w:sz="2" w:space="0" w:color="A6A6A6" w:themeColor="background1" w:themeShade="A6"/>
              <w:left w:val="single" w:sz="2" w:space="0" w:color="A6A6A6" w:themeColor="background1" w:themeShade="A6"/>
            </w:tcBorders>
            <w:shd w:val="clear" w:color="auto" w:fill="auto"/>
            <w:noWrap/>
            <w:vAlign w:val="center"/>
            <w:hideMark/>
          </w:tcPr>
          <w:p w14:paraId="5B0BF81E" w14:textId="77777777" w:rsidR="00A71934" w:rsidRPr="00421883" w:rsidRDefault="00A71934" w:rsidP="00FF5BF4">
            <w:pPr>
              <w:spacing w:after="0" w:line="276" w:lineRule="auto"/>
              <w:jc w:val="center"/>
              <w:rPr>
                <w:rFonts w:ascii="Times New Roman" w:hAnsi="Times New Roman"/>
                <w:szCs w:val="20"/>
              </w:rPr>
            </w:pPr>
            <w:r w:rsidRPr="00421883">
              <w:rPr>
                <w:rFonts w:ascii="Times New Roman" w:hAnsi="Times New Roman"/>
                <w:szCs w:val="20"/>
              </w:rPr>
              <w:t> </w:t>
            </w:r>
          </w:p>
        </w:tc>
        <w:tc>
          <w:tcPr>
            <w:tcW w:w="1095" w:type="dxa"/>
            <w:vMerge w:val="restart"/>
            <w:tcBorders>
              <w:top w:val="single" w:sz="2" w:space="0" w:color="A6A6A6" w:themeColor="background1" w:themeShade="A6"/>
            </w:tcBorders>
            <w:shd w:val="clear" w:color="auto" w:fill="auto"/>
            <w:noWrap/>
            <w:vAlign w:val="center"/>
            <w:hideMark/>
          </w:tcPr>
          <w:p w14:paraId="753A79E0" w14:textId="40A36A40" w:rsidR="00A71934" w:rsidRPr="00421883" w:rsidRDefault="00A71934" w:rsidP="00FF5BF4">
            <w:pPr>
              <w:spacing w:after="0" w:line="276" w:lineRule="auto"/>
              <w:jc w:val="center"/>
              <w:rPr>
                <w:rFonts w:cs="Arial"/>
                <w:b/>
                <w:bCs/>
                <w:sz w:val="16"/>
                <w:szCs w:val="16"/>
              </w:rPr>
            </w:pPr>
            <w:r w:rsidRPr="00421883">
              <w:rPr>
                <w:rFonts w:cs="Arial"/>
                <w:b/>
                <w:bCs/>
                <w:sz w:val="16"/>
                <w:szCs w:val="16"/>
              </w:rPr>
              <w:t>202</w:t>
            </w:r>
            <w:r w:rsidR="00D02F37" w:rsidRPr="00421883">
              <w:rPr>
                <w:rFonts w:cs="Arial"/>
                <w:b/>
                <w:bCs/>
                <w:sz w:val="16"/>
                <w:szCs w:val="16"/>
              </w:rPr>
              <w:t>5</w:t>
            </w:r>
            <w:r w:rsidRPr="00421883">
              <w:rPr>
                <w:rFonts w:cs="Arial"/>
                <w:b/>
                <w:bCs/>
                <w:sz w:val="16"/>
                <w:szCs w:val="16"/>
              </w:rPr>
              <w:t>*</w:t>
            </w:r>
          </w:p>
        </w:tc>
        <w:tc>
          <w:tcPr>
            <w:tcW w:w="1095" w:type="dxa"/>
            <w:vMerge w:val="restart"/>
            <w:tcBorders>
              <w:top w:val="single" w:sz="2" w:space="0" w:color="A6A6A6" w:themeColor="background1" w:themeShade="A6"/>
            </w:tcBorders>
            <w:shd w:val="clear" w:color="auto" w:fill="auto"/>
            <w:vAlign w:val="center"/>
            <w:hideMark/>
          </w:tcPr>
          <w:p w14:paraId="5F62848D" w14:textId="40BEBFD9" w:rsidR="00A71934" w:rsidRPr="00421883" w:rsidRDefault="00A71934" w:rsidP="00FF5BF4">
            <w:pPr>
              <w:spacing w:after="0" w:line="276" w:lineRule="auto"/>
              <w:jc w:val="center"/>
              <w:rPr>
                <w:rFonts w:cs="Arial"/>
                <w:b/>
                <w:bCs/>
                <w:sz w:val="16"/>
                <w:szCs w:val="16"/>
              </w:rPr>
            </w:pPr>
            <w:r w:rsidRPr="00421883">
              <w:rPr>
                <w:rFonts w:cs="Arial"/>
                <w:b/>
                <w:bCs/>
                <w:sz w:val="16"/>
                <w:szCs w:val="16"/>
              </w:rPr>
              <w:t>202</w:t>
            </w:r>
            <w:r w:rsidR="00D02F37" w:rsidRPr="00421883">
              <w:rPr>
                <w:rFonts w:cs="Arial"/>
                <w:b/>
                <w:bCs/>
                <w:sz w:val="16"/>
                <w:szCs w:val="16"/>
              </w:rPr>
              <w:t>6</w:t>
            </w:r>
            <w:r w:rsidRPr="00421883">
              <w:rPr>
                <w:rFonts w:cs="Arial"/>
                <w:b/>
                <w:bCs/>
                <w:sz w:val="16"/>
                <w:szCs w:val="16"/>
              </w:rPr>
              <w:t>**</w:t>
            </w:r>
          </w:p>
        </w:tc>
        <w:tc>
          <w:tcPr>
            <w:tcW w:w="1137" w:type="dxa"/>
            <w:vMerge w:val="restart"/>
            <w:tcBorders>
              <w:top w:val="single" w:sz="2" w:space="0" w:color="A6A6A6" w:themeColor="background1" w:themeShade="A6"/>
              <w:right w:val="single" w:sz="2" w:space="0" w:color="A6A6A6" w:themeColor="background1" w:themeShade="A6"/>
            </w:tcBorders>
            <w:shd w:val="clear" w:color="auto" w:fill="auto"/>
            <w:vAlign w:val="center"/>
            <w:hideMark/>
          </w:tcPr>
          <w:p w14:paraId="618410ED" w14:textId="6AD3C6E0" w:rsidR="00A71934" w:rsidRPr="00421883" w:rsidRDefault="00A71934" w:rsidP="00FF5BF4">
            <w:pPr>
              <w:spacing w:after="0" w:line="276" w:lineRule="auto"/>
              <w:jc w:val="center"/>
              <w:rPr>
                <w:rFonts w:cs="Arial"/>
                <w:b/>
                <w:bCs/>
                <w:sz w:val="16"/>
                <w:szCs w:val="16"/>
              </w:rPr>
            </w:pPr>
            <w:r w:rsidRPr="00421883">
              <w:rPr>
                <w:rFonts w:cs="Arial"/>
                <w:b/>
                <w:bCs/>
                <w:sz w:val="16"/>
                <w:szCs w:val="16"/>
              </w:rPr>
              <w:t>Διαφορά 202</w:t>
            </w:r>
            <w:r w:rsidR="00D02F37" w:rsidRPr="00421883">
              <w:rPr>
                <w:rFonts w:cs="Arial"/>
                <w:b/>
                <w:bCs/>
                <w:sz w:val="16"/>
                <w:szCs w:val="16"/>
              </w:rPr>
              <w:t xml:space="preserve">6 </w:t>
            </w:r>
            <w:r w:rsidRPr="00421883">
              <w:rPr>
                <w:rFonts w:cs="Arial"/>
                <w:b/>
                <w:bCs/>
                <w:sz w:val="16"/>
                <w:szCs w:val="16"/>
              </w:rPr>
              <w:t>-</w:t>
            </w:r>
            <w:r w:rsidR="00D02F37" w:rsidRPr="00421883">
              <w:rPr>
                <w:rFonts w:cs="Arial"/>
                <w:b/>
                <w:bCs/>
                <w:sz w:val="16"/>
                <w:szCs w:val="16"/>
              </w:rPr>
              <w:t xml:space="preserve"> </w:t>
            </w:r>
            <w:r w:rsidRPr="00421883">
              <w:rPr>
                <w:rFonts w:cs="Arial"/>
                <w:b/>
                <w:bCs/>
                <w:sz w:val="16"/>
                <w:szCs w:val="16"/>
              </w:rPr>
              <w:t>202</w:t>
            </w:r>
            <w:r w:rsidR="00D02F37" w:rsidRPr="00421883">
              <w:rPr>
                <w:rFonts w:cs="Arial"/>
                <w:b/>
                <w:bCs/>
                <w:sz w:val="16"/>
                <w:szCs w:val="16"/>
              </w:rPr>
              <w:t>5</w:t>
            </w:r>
          </w:p>
        </w:tc>
      </w:tr>
      <w:tr w:rsidR="00A71934" w:rsidRPr="00421883" w14:paraId="27E88692" w14:textId="77777777" w:rsidTr="00775DA2">
        <w:trPr>
          <w:cantSplit/>
          <w:trHeight w:val="230"/>
          <w:jc w:val="center"/>
        </w:trPr>
        <w:tc>
          <w:tcPr>
            <w:tcW w:w="5973" w:type="dxa"/>
            <w:gridSpan w:val="2"/>
            <w:vMerge/>
            <w:tcBorders>
              <w:left w:val="single" w:sz="2" w:space="0" w:color="A6A6A6" w:themeColor="background1" w:themeShade="A6"/>
            </w:tcBorders>
            <w:vAlign w:val="center"/>
            <w:hideMark/>
          </w:tcPr>
          <w:p w14:paraId="2F2D0704" w14:textId="77777777" w:rsidR="00A71934" w:rsidRPr="00421883" w:rsidRDefault="00A71934" w:rsidP="00FF5BF4">
            <w:pPr>
              <w:spacing w:after="0" w:line="276" w:lineRule="auto"/>
              <w:jc w:val="left"/>
              <w:rPr>
                <w:rFonts w:ascii="Times New Roman" w:hAnsi="Times New Roman"/>
                <w:szCs w:val="20"/>
              </w:rPr>
            </w:pPr>
          </w:p>
        </w:tc>
        <w:tc>
          <w:tcPr>
            <w:tcW w:w="1095" w:type="dxa"/>
            <w:vMerge/>
            <w:vAlign w:val="center"/>
            <w:hideMark/>
          </w:tcPr>
          <w:p w14:paraId="6D730290" w14:textId="77777777" w:rsidR="00A71934" w:rsidRPr="00421883" w:rsidRDefault="00A71934" w:rsidP="00FF5BF4">
            <w:pPr>
              <w:spacing w:after="0" w:line="276" w:lineRule="auto"/>
              <w:jc w:val="center"/>
              <w:rPr>
                <w:rFonts w:cs="Arial"/>
                <w:b/>
                <w:bCs/>
                <w:sz w:val="16"/>
                <w:szCs w:val="16"/>
              </w:rPr>
            </w:pPr>
          </w:p>
        </w:tc>
        <w:tc>
          <w:tcPr>
            <w:tcW w:w="1095" w:type="dxa"/>
            <w:vMerge/>
            <w:vAlign w:val="center"/>
            <w:hideMark/>
          </w:tcPr>
          <w:p w14:paraId="70362D8B" w14:textId="77777777" w:rsidR="00A71934" w:rsidRPr="00421883" w:rsidRDefault="00A71934" w:rsidP="00FF5BF4">
            <w:pPr>
              <w:spacing w:after="0" w:line="276" w:lineRule="auto"/>
              <w:jc w:val="center"/>
              <w:rPr>
                <w:rFonts w:cs="Arial"/>
                <w:b/>
                <w:bCs/>
                <w:sz w:val="16"/>
                <w:szCs w:val="16"/>
              </w:rPr>
            </w:pPr>
          </w:p>
        </w:tc>
        <w:tc>
          <w:tcPr>
            <w:tcW w:w="1137" w:type="dxa"/>
            <w:vMerge/>
            <w:tcBorders>
              <w:right w:val="single" w:sz="2" w:space="0" w:color="A6A6A6" w:themeColor="background1" w:themeShade="A6"/>
            </w:tcBorders>
            <w:vAlign w:val="center"/>
            <w:hideMark/>
          </w:tcPr>
          <w:p w14:paraId="697E289A" w14:textId="77777777" w:rsidR="00A71934" w:rsidRPr="00421883" w:rsidRDefault="00A71934" w:rsidP="00FF5BF4">
            <w:pPr>
              <w:spacing w:after="0" w:line="276" w:lineRule="auto"/>
              <w:jc w:val="center"/>
              <w:rPr>
                <w:rFonts w:cs="Arial"/>
                <w:b/>
                <w:bCs/>
                <w:sz w:val="16"/>
                <w:szCs w:val="16"/>
              </w:rPr>
            </w:pPr>
          </w:p>
        </w:tc>
      </w:tr>
      <w:tr w:rsidR="00A71934" w:rsidRPr="00421883" w14:paraId="77292720" w14:textId="77777777" w:rsidTr="00775DA2">
        <w:trPr>
          <w:cantSplit/>
          <w:trHeight w:val="20"/>
          <w:jc w:val="center"/>
        </w:trPr>
        <w:tc>
          <w:tcPr>
            <w:tcW w:w="5973" w:type="dxa"/>
            <w:gridSpan w:val="2"/>
            <w:vMerge/>
            <w:tcBorders>
              <w:left w:val="single" w:sz="2" w:space="0" w:color="A6A6A6" w:themeColor="background1" w:themeShade="A6"/>
              <w:bottom w:val="single" w:sz="2" w:space="0" w:color="A6A6A6" w:themeColor="background1" w:themeShade="A6"/>
            </w:tcBorders>
            <w:vAlign w:val="center"/>
            <w:hideMark/>
          </w:tcPr>
          <w:p w14:paraId="1E7F54BA" w14:textId="77777777" w:rsidR="00A71934" w:rsidRPr="00421883" w:rsidRDefault="00A71934" w:rsidP="00FF5BF4">
            <w:pPr>
              <w:spacing w:after="0" w:line="276" w:lineRule="auto"/>
              <w:jc w:val="left"/>
              <w:rPr>
                <w:rFonts w:ascii="Times New Roman" w:hAnsi="Times New Roman"/>
                <w:szCs w:val="20"/>
              </w:rPr>
            </w:pPr>
          </w:p>
        </w:tc>
        <w:tc>
          <w:tcPr>
            <w:tcW w:w="1095" w:type="dxa"/>
            <w:tcBorders>
              <w:bottom w:val="single" w:sz="2" w:space="0" w:color="A6A6A6" w:themeColor="background1" w:themeShade="A6"/>
            </w:tcBorders>
            <w:shd w:val="clear" w:color="auto" w:fill="auto"/>
            <w:noWrap/>
            <w:vAlign w:val="center"/>
            <w:hideMark/>
          </w:tcPr>
          <w:p w14:paraId="15E21434" w14:textId="77777777" w:rsidR="00A71934" w:rsidRPr="00421883" w:rsidRDefault="00A71934" w:rsidP="00FF5BF4">
            <w:pPr>
              <w:spacing w:after="0" w:line="276" w:lineRule="auto"/>
              <w:jc w:val="center"/>
              <w:rPr>
                <w:rFonts w:cs="Arial"/>
                <w:b/>
                <w:bCs/>
                <w:sz w:val="16"/>
                <w:szCs w:val="16"/>
              </w:rPr>
            </w:pPr>
            <w:r w:rsidRPr="00421883">
              <w:rPr>
                <w:rFonts w:cs="Arial"/>
                <w:b/>
                <w:bCs/>
                <w:sz w:val="16"/>
                <w:szCs w:val="16"/>
              </w:rPr>
              <w:t>(1)</w:t>
            </w:r>
          </w:p>
        </w:tc>
        <w:tc>
          <w:tcPr>
            <w:tcW w:w="1095" w:type="dxa"/>
            <w:tcBorders>
              <w:bottom w:val="single" w:sz="2" w:space="0" w:color="A6A6A6" w:themeColor="background1" w:themeShade="A6"/>
            </w:tcBorders>
            <w:shd w:val="clear" w:color="auto" w:fill="auto"/>
            <w:vAlign w:val="center"/>
            <w:hideMark/>
          </w:tcPr>
          <w:p w14:paraId="1D2DBDF3" w14:textId="77777777" w:rsidR="00A71934" w:rsidRPr="00421883" w:rsidRDefault="00A71934" w:rsidP="00FF5BF4">
            <w:pPr>
              <w:spacing w:after="0" w:line="276" w:lineRule="auto"/>
              <w:jc w:val="center"/>
              <w:rPr>
                <w:rFonts w:cs="Arial"/>
                <w:b/>
                <w:bCs/>
                <w:sz w:val="16"/>
                <w:szCs w:val="16"/>
              </w:rPr>
            </w:pPr>
            <w:r w:rsidRPr="00421883">
              <w:rPr>
                <w:rFonts w:cs="Arial"/>
                <w:b/>
                <w:bCs/>
                <w:sz w:val="16"/>
                <w:szCs w:val="16"/>
              </w:rPr>
              <w:t>(2)</w:t>
            </w:r>
          </w:p>
        </w:tc>
        <w:tc>
          <w:tcPr>
            <w:tcW w:w="1137" w:type="dxa"/>
            <w:tcBorders>
              <w:bottom w:val="single" w:sz="2" w:space="0" w:color="A6A6A6" w:themeColor="background1" w:themeShade="A6"/>
              <w:right w:val="single" w:sz="2" w:space="0" w:color="A6A6A6" w:themeColor="background1" w:themeShade="A6"/>
            </w:tcBorders>
            <w:shd w:val="clear" w:color="auto" w:fill="auto"/>
            <w:vAlign w:val="center"/>
            <w:hideMark/>
          </w:tcPr>
          <w:p w14:paraId="7EDCC972" w14:textId="77777777" w:rsidR="00A71934" w:rsidRPr="00421883" w:rsidRDefault="00A71934" w:rsidP="00FF5BF4">
            <w:pPr>
              <w:spacing w:after="0" w:line="276" w:lineRule="auto"/>
              <w:jc w:val="center"/>
              <w:rPr>
                <w:rFonts w:cs="Arial"/>
                <w:b/>
                <w:bCs/>
                <w:sz w:val="16"/>
                <w:szCs w:val="16"/>
              </w:rPr>
            </w:pPr>
            <w:r w:rsidRPr="00421883">
              <w:rPr>
                <w:rFonts w:cs="Arial"/>
                <w:b/>
                <w:bCs/>
                <w:sz w:val="16"/>
                <w:szCs w:val="16"/>
              </w:rPr>
              <w:t>(3)=(2)-(1)</w:t>
            </w:r>
          </w:p>
        </w:tc>
      </w:tr>
      <w:tr w:rsidR="00CE4D14" w:rsidRPr="00421883" w14:paraId="605681BE" w14:textId="77777777" w:rsidTr="00775DA2">
        <w:trPr>
          <w:cantSplit/>
          <w:trHeight w:val="227"/>
          <w:jc w:val="center"/>
        </w:trPr>
        <w:tc>
          <w:tcPr>
            <w:tcW w:w="5973" w:type="dxa"/>
            <w:gridSpan w:val="2"/>
            <w:tcBorders>
              <w:top w:val="single" w:sz="2" w:space="0" w:color="A6A6A6" w:themeColor="background1" w:themeShade="A6"/>
              <w:left w:val="single" w:sz="2" w:space="0" w:color="A6A6A6" w:themeColor="background1" w:themeShade="A6"/>
            </w:tcBorders>
            <w:shd w:val="clear" w:color="auto" w:fill="auto"/>
            <w:vAlign w:val="center"/>
            <w:hideMark/>
          </w:tcPr>
          <w:p w14:paraId="00CEFBA0" w14:textId="77777777" w:rsidR="00CE4D14" w:rsidRPr="00421883" w:rsidRDefault="00CE4D14" w:rsidP="00CE4D14">
            <w:pPr>
              <w:spacing w:after="0" w:line="276" w:lineRule="auto"/>
              <w:jc w:val="left"/>
              <w:rPr>
                <w:rFonts w:cs="Arial"/>
                <w:sz w:val="16"/>
                <w:szCs w:val="16"/>
              </w:rPr>
            </w:pPr>
            <w:r w:rsidRPr="00421883">
              <w:rPr>
                <w:rFonts w:cs="Arial"/>
                <w:sz w:val="16"/>
                <w:szCs w:val="16"/>
              </w:rPr>
              <w:t>Ταμειακό αποτέλεσμα Γενικής Κυβέρνησης</w:t>
            </w:r>
          </w:p>
        </w:tc>
        <w:tc>
          <w:tcPr>
            <w:tcW w:w="1095" w:type="dxa"/>
            <w:tcBorders>
              <w:top w:val="single" w:sz="2" w:space="0" w:color="A6A6A6" w:themeColor="background1" w:themeShade="A6"/>
            </w:tcBorders>
            <w:shd w:val="clear" w:color="auto" w:fill="auto"/>
            <w:vAlign w:val="center"/>
            <w:hideMark/>
          </w:tcPr>
          <w:p w14:paraId="1F97EC7D" w14:textId="3FA8FA86" w:rsidR="00CE4D14" w:rsidRPr="00421883" w:rsidRDefault="00CE4D14" w:rsidP="00CE4D14">
            <w:pPr>
              <w:spacing w:after="0" w:line="276" w:lineRule="auto"/>
              <w:jc w:val="right"/>
              <w:rPr>
                <w:rFonts w:cs="Arial"/>
                <w:sz w:val="16"/>
                <w:szCs w:val="16"/>
              </w:rPr>
            </w:pPr>
            <w:r w:rsidRPr="00421883">
              <w:rPr>
                <w:rFonts w:cs="Arial"/>
                <w:sz w:val="16"/>
                <w:szCs w:val="16"/>
              </w:rPr>
              <w:t>-3.864</w:t>
            </w:r>
          </w:p>
        </w:tc>
        <w:tc>
          <w:tcPr>
            <w:tcW w:w="1095" w:type="dxa"/>
            <w:tcBorders>
              <w:top w:val="single" w:sz="2" w:space="0" w:color="A6A6A6" w:themeColor="background1" w:themeShade="A6"/>
            </w:tcBorders>
            <w:shd w:val="clear" w:color="auto" w:fill="auto"/>
            <w:vAlign w:val="center"/>
            <w:hideMark/>
          </w:tcPr>
          <w:p w14:paraId="22583634" w14:textId="1CA0B4DE" w:rsidR="00CE4D14" w:rsidRPr="00421883" w:rsidRDefault="00CE4D14" w:rsidP="00CE4D14">
            <w:pPr>
              <w:spacing w:after="0" w:line="276" w:lineRule="auto"/>
              <w:jc w:val="right"/>
              <w:rPr>
                <w:rFonts w:cs="Arial"/>
                <w:sz w:val="16"/>
                <w:szCs w:val="16"/>
              </w:rPr>
            </w:pPr>
            <w:r w:rsidRPr="00421883">
              <w:rPr>
                <w:rFonts w:cs="Arial"/>
                <w:sz w:val="16"/>
                <w:szCs w:val="16"/>
              </w:rPr>
              <w:t>-479</w:t>
            </w:r>
          </w:p>
        </w:tc>
        <w:tc>
          <w:tcPr>
            <w:tcW w:w="1137" w:type="dxa"/>
            <w:tcBorders>
              <w:top w:val="single" w:sz="2" w:space="0" w:color="A6A6A6" w:themeColor="background1" w:themeShade="A6"/>
              <w:right w:val="single" w:sz="2" w:space="0" w:color="A6A6A6" w:themeColor="background1" w:themeShade="A6"/>
            </w:tcBorders>
            <w:shd w:val="clear" w:color="auto" w:fill="auto"/>
            <w:vAlign w:val="center"/>
            <w:hideMark/>
          </w:tcPr>
          <w:p w14:paraId="2D24301D" w14:textId="3CF5D7A3" w:rsidR="00CE4D14" w:rsidRPr="00421883" w:rsidRDefault="00CE4D14" w:rsidP="00CE4D14">
            <w:pPr>
              <w:spacing w:after="0" w:line="276" w:lineRule="auto"/>
              <w:jc w:val="right"/>
              <w:rPr>
                <w:rFonts w:cs="Arial"/>
                <w:sz w:val="16"/>
                <w:szCs w:val="16"/>
              </w:rPr>
            </w:pPr>
            <w:r w:rsidRPr="00421883">
              <w:rPr>
                <w:rFonts w:cs="Arial"/>
                <w:sz w:val="16"/>
                <w:szCs w:val="16"/>
              </w:rPr>
              <w:t>3.385</w:t>
            </w:r>
          </w:p>
        </w:tc>
      </w:tr>
      <w:tr w:rsidR="001E0632" w:rsidRPr="00421883" w14:paraId="7C330C71" w14:textId="77777777" w:rsidTr="00775DA2">
        <w:trPr>
          <w:cantSplit/>
          <w:trHeight w:val="227"/>
          <w:jc w:val="center"/>
        </w:trPr>
        <w:tc>
          <w:tcPr>
            <w:tcW w:w="266" w:type="dxa"/>
            <w:tcBorders>
              <w:left w:val="single" w:sz="2" w:space="0" w:color="A6A6A6" w:themeColor="background1" w:themeShade="A6"/>
            </w:tcBorders>
            <w:shd w:val="clear" w:color="auto" w:fill="auto"/>
            <w:noWrap/>
            <w:vAlign w:val="center"/>
          </w:tcPr>
          <w:p w14:paraId="71BC36DE" w14:textId="484AB8A7" w:rsidR="001E0632" w:rsidRPr="00421883" w:rsidRDefault="001E0632" w:rsidP="001E0632">
            <w:pPr>
              <w:spacing w:after="0" w:line="276" w:lineRule="auto"/>
              <w:jc w:val="left"/>
              <w:rPr>
                <w:rFonts w:ascii="Times New Roman" w:hAnsi="Times New Roman"/>
                <w:szCs w:val="20"/>
              </w:rPr>
            </w:pPr>
          </w:p>
        </w:tc>
        <w:tc>
          <w:tcPr>
            <w:tcW w:w="5707" w:type="dxa"/>
            <w:shd w:val="clear" w:color="auto" w:fill="auto"/>
            <w:vAlign w:val="center"/>
            <w:hideMark/>
          </w:tcPr>
          <w:p w14:paraId="5C91C6E7" w14:textId="26E00413" w:rsidR="001E0632" w:rsidRPr="00421883" w:rsidRDefault="001E0632" w:rsidP="001E0632">
            <w:pPr>
              <w:spacing w:after="0" w:line="276" w:lineRule="auto"/>
              <w:jc w:val="left"/>
              <w:rPr>
                <w:rFonts w:cs="Arial"/>
                <w:i/>
                <w:iCs/>
                <w:sz w:val="16"/>
                <w:szCs w:val="16"/>
              </w:rPr>
            </w:pPr>
            <w:r w:rsidRPr="001E0632">
              <w:rPr>
                <w:rFonts w:cs="Arial"/>
                <w:i/>
                <w:iCs/>
                <w:sz w:val="16"/>
                <w:szCs w:val="16"/>
              </w:rPr>
              <w:t>Αποτέλεσμα Γενικής Κυβέρνησης κατά ESA</w:t>
            </w:r>
          </w:p>
        </w:tc>
        <w:tc>
          <w:tcPr>
            <w:tcW w:w="1095" w:type="dxa"/>
            <w:shd w:val="clear" w:color="auto" w:fill="auto"/>
            <w:vAlign w:val="center"/>
            <w:hideMark/>
          </w:tcPr>
          <w:p w14:paraId="5F886741" w14:textId="3D6CAD7F" w:rsidR="001E0632" w:rsidRPr="00421883" w:rsidRDefault="001E0632" w:rsidP="001E0632">
            <w:pPr>
              <w:spacing w:after="0" w:line="276" w:lineRule="auto"/>
              <w:jc w:val="right"/>
              <w:rPr>
                <w:rFonts w:cs="Arial"/>
                <w:i/>
                <w:iCs/>
                <w:sz w:val="16"/>
                <w:szCs w:val="16"/>
              </w:rPr>
            </w:pPr>
            <w:r>
              <w:rPr>
                <w:rFonts w:cs="Arial"/>
                <w:i/>
                <w:iCs/>
                <w:sz w:val="16"/>
                <w:szCs w:val="16"/>
              </w:rPr>
              <w:t>-1.473</w:t>
            </w:r>
          </w:p>
        </w:tc>
        <w:tc>
          <w:tcPr>
            <w:tcW w:w="1095" w:type="dxa"/>
            <w:shd w:val="clear" w:color="auto" w:fill="auto"/>
            <w:vAlign w:val="center"/>
            <w:hideMark/>
          </w:tcPr>
          <w:p w14:paraId="0EEE1291" w14:textId="2B00D576" w:rsidR="001E0632" w:rsidRPr="001E0632" w:rsidRDefault="001E0632" w:rsidP="001E0632">
            <w:pPr>
              <w:spacing w:after="0" w:line="276" w:lineRule="auto"/>
              <w:jc w:val="right"/>
              <w:rPr>
                <w:rFonts w:cs="Arial"/>
                <w:i/>
                <w:iCs/>
                <w:sz w:val="16"/>
                <w:szCs w:val="16"/>
                <w:lang w:val="en-US"/>
              </w:rPr>
            </w:pPr>
            <w:r>
              <w:rPr>
                <w:rFonts w:cs="Arial"/>
                <w:i/>
                <w:iCs/>
                <w:sz w:val="16"/>
                <w:szCs w:val="16"/>
                <w:lang w:val="en-US"/>
              </w:rPr>
              <w:t>501</w:t>
            </w:r>
          </w:p>
        </w:tc>
        <w:tc>
          <w:tcPr>
            <w:tcW w:w="1137" w:type="dxa"/>
            <w:tcBorders>
              <w:right w:val="single" w:sz="2" w:space="0" w:color="A6A6A6" w:themeColor="background1" w:themeShade="A6"/>
            </w:tcBorders>
            <w:shd w:val="clear" w:color="auto" w:fill="auto"/>
            <w:vAlign w:val="center"/>
            <w:hideMark/>
          </w:tcPr>
          <w:p w14:paraId="5E4AF202" w14:textId="19B5FC3D" w:rsidR="001E0632" w:rsidRPr="00421883" w:rsidRDefault="001E0632" w:rsidP="001E0632">
            <w:pPr>
              <w:spacing w:after="0" w:line="276" w:lineRule="auto"/>
              <w:jc w:val="right"/>
              <w:rPr>
                <w:rFonts w:cs="Arial"/>
                <w:i/>
                <w:iCs/>
                <w:sz w:val="16"/>
                <w:szCs w:val="16"/>
              </w:rPr>
            </w:pPr>
            <w:r>
              <w:rPr>
                <w:rFonts w:cs="Arial"/>
                <w:i/>
                <w:iCs/>
                <w:sz w:val="16"/>
                <w:szCs w:val="16"/>
                <w:lang w:val="en-US"/>
              </w:rPr>
              <w:t>1.974</w:t>
            </w:r>
          </w:p>
        </w:tc>
      </w:tr>
      <w:tr w:rsidR="001E0632" w:rsidRPr="00421883" w14:paraId="06C60549" w14:textId="77777777" w:rsidTr="00775DA2">
        <w:trPr>
          <w:cantSplit/>
          <w:trHeight w:val="227"/>
          <w:jc w:val="center"/>
        </w:trPr>
        <w:tc>
          <w:tcPr>
            <w:tcW w:w="266" w:type="dxa"/>
            <w:tcBorders>
              <w:left w:val="single" w:sz="2" w:space="0" w:color="A6A6A6" w:themeColor="background1" w:themeShade="A6"/>
            </w:tcBorders>
            <w:shd w:val="clear" w:color="auto" w:fill="auto"/>
            <w:noWrap/>
            <w:vAlign w:val="center"/>
          </w:tcPr>
          <w:p w14:paraId="4D714376" w14:textId="759AC53E" w:rsidR="001E0632" w:rsidRPr="00421883" w:rsidRDefault="001E0632" w:rsidP="001E0632">
            <w:pPr>
              <w:spacing w:after="0" w:line="276" w:lineRule="auto"/>
              <w:jc w:val="left"/>
              <w:rPr>
                <w:rFonts w:ascii="Times New Roman" w:hAnsi="Times New Roman"/>
                <w:szCs w:val="20"/>
              </w:rPr>
            </w:pPr>
          </w:p>
        </w:tc>
        <w:tc>
          <w:tcPr>
            <w:tcW w:w="5707" w:type="dxa"/>
            <w:shd w:val="clear" w:color="auto" w:fill="auto"/>
            <w:vAlign w:val="center"/>
            <w:hideMark/>
          </w:tcPr>
          <w:p w14:paraId="0D35DBD0" w14:textId="4CEE1760" w:rsidR="001E0632" w:rsidRPr="00421883" w:rsidRDefault="001E0632" w:rsidP="001E0632">
            <w:pPr>
              <w:spacing w:after="0" w:line="276" w:lineRule="auto"/>
              <w:jc w:val="left"/>
              <w:rPr>
                <w:rFonts w:cs="Arial"/>
                <w:i/>
                <w:iCs/>
                <w:sz w:val="16"/>
                <w:szCs w:val="16"/>
              </w:rPr>
            </w:pPr>
            <w:r w:rsidRPr="001E0632">
              <w:rPr>
                <w:rFonts w:cs="Arial"/>
                <w:i/>
                <w:iCs/>
                <w:sz w:val="16"/>
                <w:szCs w:val="16"/>
              </w:rPr>
              <w:t>Εθνικολογιστικές προσαρμογές Γενικής Κυβέρνησης</w:t>
            </w:r>
          </w:p>
        </w:tc>
        <w:tc>
          <w:tcPr>
            <w:tcW w:w="1095" w:type="dxa"/>
            <w:shd w:val="clear" w:color="auto" w:fill="auto"/>
            <w:vAlign w:val="center"/>
            <w:hideMark/>
          </w:tcPr>
          <w:p w14:paraId="663E7B26" w14:textId="37543BDC" w:rsidR="001E0632" w:rsidRPr="00421883" w:rsidRDefault="001E0632" w:rsidP="001E0632">
            <w:pPr>
              <w:spacing w:after="0" w:line="276" w:lineRule="auto"/>
              <w:jc w:val="right"/>
              <w:rPr>
                <w:rFonts w:cs="Arial"/>
                <w:i/>
                <w:iCs/>
                <w:sz w:val="16"/>
                <w:szCs w:val="16"/>
              </w:rPr>
            </w:pPr>
            <w:r>
              <w:rPr>
                <w:rFonts w:cs="Arial"/>
                <w:i/>
                <w:iCs/>
                <w:sz w:val="16"/>
                <w:szCs w:val="16"/>
              </w:rPr>
              <w:t>-2.391</w:t>
            </w:r>
          </w:p>
        </w:tc>
        <w:tc>
          <w:tcPr>
            <w:tcW w:w="1095" w:type="dxa"/>
            <w:shd w:val="clear" w:color="auto" w:fill="auto"/>
            <w:vAlign w:val="center"/>
            <w:hideMark/>
          </w:tcPr>
          <w:p w14:paraId="060750AD" w14:textId="02A58AAC" w:rsidR="001E0632" w:rsidRPr="001E0632" w:rsidRDefault="001E0632" w:rsidP="001E0632">
            <w:pPr>
              <w:spacing w:after="0" w:line="276" w:lineRule="auto"/>
              <w:jc w:val="right"/>
              <w:rPr>
                <w:rFonts w:cs="Arial"/>
                <w:i/>
                <w:iCs/>
                <w:sz w:val="16"/>
                <w:szCs w:val="16"/>
                <w:lang w:val="en-US"/>
              </w:rPr>
            </w:pPr>
            <w:r>
              <w:rPr>
                <w:rFonts w:cs="Arial"/>
                <w:i/>
                <w:iCs/>
                <w:sz w:val="16"/>
                <w:szCs w:val="16"/>
                <w:lang w:val="en-US"/>
              </w:rPr>
              <w:t>-980</w:t>
            </w:r>
          </w:p>
        </w:tc>
        <w:tc>
          <w:tcPr>
            <w:tcW w:w="1137" w:type="dxa"/>
            <w:tcBorders>
              <w:right w:val="single" w:sz="2" w:space="0" w:color="A6A6A6" w:themeColor="background1" w:themeShade="A6"/>
            </w:tcBorders>
            <w:shd w:val="clear" w:color="auto" w:fill="auto"/>
            <w:vAlign w:val="center"/>
            <w:hideMark/>
          </w:tcPr>
          <w:p w14:paraId="61AEB797" w14:textId="0E2F2474" w:rsidR="001E0632" w:rsidRPr="001E0632" w:rsidRDefault="001E0632" w:rsidP="001E0632">
            <w:pPr>
              <w:spacing w:after="0" w:line="276" w:lineRule="auto"/>
              <w:jc w:val="right"/>
              <w:rPr>
                <w:rFonts w:cs="Arial"/>
                <w:i/>
                <w:iCs/>
                <w:sz w:val="16"/>
                <w:szCs w:val="16"/>
                <w:lang w:val="en-US"/>
              </w:rPr>
            </w:pPr>
            <w:r>
              <w:rPr>
                <w:rFonts w:cs="Arial"/>
                <w:i/>
                <w:iCs/>
                <w:sz w:val="16"/>
                <w:szCs w:val="16"/>
                <w:lang w:val="en-US"/>
              </w:rPr>
              <w:t>1.411</w:t>
            </w:r>
          </w:p>
        </w:tc>
      </w:tr>
      <w:tr w:rsidR="00CE4D14" w:rsidRPr="00421883" w14:paraId="7567E939" w14:textId="77777777" w:rsidTr="00775DA2">
        <w:trPr>
          <w:cantSplit/>
          <w:trHeight w:val="227"/>
          <w:jc w:val="center"/>
        </w:trPr>
        <w:tc>
          <w:tcPr>
            <w:tcW w:w="5973" w:type="dxa"/>
            <w:gridSpan w:val="2"/>
            <w:tcBorders>
              <w:left w:val="single" w:sz="2" w:space="0" w:color="A6A6A6" w:themeColor="background1" w:themeShade="A6"/>
            </w:tcBorders>
            <w:shd w:val="clear" w:color="auto" w:fill="auto"/>
            <w:vAlign w:val="center"/>
            <w:hideMark/>
          </w:tcPr>
          <w:p w14:paraId="75C5646F" w14:textId="77777777" w:rsidR="00CE4D14" w:rsidRPr="00421883" w:rsidRDefault="00CE4D14" w:rsidP="00CE4D14">
            <w:pPr>
              <w:spacing w:after="0" w:line="276" w:lineRule="auto"/>
              <w:jc w:val="left"/>
              <w:rPr>
                <w:rFonts w:cs="Arial"/>
                <w:sz w:val="16"/>
                <w:szCs w:val="16"/>
              </w:rPr>
            </w:pPr>
            <w:r w:rsidRPr="00421883">
              <w:rPr>
                <w:rFonts w:cs="Arial"/>
                <w:sz w:val="16"/>
                <w:szCs w:val="16"/>
              </w:rPr>
              <w:t>Χρηματοοικονομικά παράγωγα</w:t>
            </w:r>
          </w:p>
        </w:tc>
        <w:tc>
          <w:tcPr>
            <w:tcW w:w="1095" w:type="dxa"/>
            <w:shd w:val="clear" w:color="auto" w:fill="auto"/>
            <w:noWrap/>
            <w:vAlign w:val="center"/>
            <w:hideMark/>
          </w:tcPr>
          <w:p w14:paraId="30AAE8E4" w14:textId="57440252" w:rsidR="00CE4D14" w:rsidRPr="00421883" w:rsidRDefault="00CE4D14" w:rsidP="00CE4D14">
            <w:pPr>
              <w:spacing w:after="0" w:line="276" w:lineRule="auto"/>
              <w:jc w:val="right"/>
              <w:rPr>
                <w:rFonts w:cs="Arial"/>
                <w:sz w:val="16"/>
                <w:szCs w:val="16"/>
              </w:rPr>
            </w:pPr>
            <w:r w:rsidRPr="00421883">
              <w:rPr>
                <w:rFonts w:cs="Arial"/>
                <w:sz w:val="16"/>
                <w:szCs w:val="16"/>
              </w:rPr>
              <w:t>-577</w:t>
            </w:r>
          </w:p>
        </w:tc>
        <w:tc>
          <w:tcPr>
            <w:tcW w:w="1095" w:type="dxa"/>
            <w:shd w:val="clear" w:color="auto" w:fill="auto"/>
            <w:vAlign w:val="center"/>
            <w:hideMark/>
          </w:tcPr>
          <w:p w14:paraId="27B54254" w14:textId="66863917" w:rsidR="00CE4D14" w:rsidRPr="00421883" w:rsidRDefault="00CE4D14" w:rsidP="00CE4D14">
            <w:pPr>
              <w:spacing w:after="0" w:line="276" w:lineRule="auto"/>
              <w:jc w:val="right"/>
              <w:rPr>
                <w:rFonts w:cs="Arial"/>
                <w:sz w:val="16"/>
                <w:szCs w:val="16"/>
              </w:rPr>
            </w:pPr>
            <w:r w:rsidRPr="00421883">
              <w:rPr>
                <w:rFonts w:cs="Arial"/>
                <w:sz w:val="16"/>
                <w:szCs w:val="16"/>
              </w:rPr>
              <w:t>-618</w:t>
            </w:r>
          </w:p>
        </w:tc>
        <w:tc>
          <w:tcPr>
            <w:tcW w:w="1137" w:type="dxa"/>
            <w:tcBorders>
              <w:right w:val="single" w:sz="2" w:space="0" w:color="A6A6A6" w:themeColor="background1" w:themeShade="A6"/>
            </w:tcBorders>
            <w:shd w:val="clear" w:color="auto" w:fill="auto"/>
            <w:vAlign w:val="center"/>
            <w:hideMark/>
          </w:tcPr>
          <w:p w14:paraId="6FBE5FA3" w14:textId="7B4C5AFC" w:rsidR="00CE4D14" w:rsidRPr="00421883" w:rsidRDefault="00CE4D14" w:rsidP="00CE4D14">
            <w:pPr>
              <w:spacing w:after="0" w:line="276" w:lineRule="auto"/>
              <w:jc w:val="right"/>
              <w:rPr>
                <w:rFonts w:cs="Arial"/>
                <w:sz w:val="16"/>
                <w:szCs w:val="16"/>
              </w:rPr>
            </w:pPr>
            <w:r w:rsidRPr="00421883">
              <w:rPr>
                <w:rFonts w:cs="Arial"/>
                <w:sz w:val="16"/>
                <w:szCs w:val="16"/>
              </w:rPr>
              <w:t>-41</w:t>
            </w:r>
          </w:p>
        </w:tc>
      </w:tr>
      <w:tr w:rsidR="00CE4D14" w:rsidRPr="00421883" w14:paraId="5A722C9E" w14:textId="77777777" w:rsidTr="00775DA2">
        <w:trPr>
          <w:cantSplit/>
          <w:trHeight w:val="227"/>
          <w:jc w:val="center"/>
        </w:trPr>
        <w:tc>
          <w:tcPr>
            <w:tcW w:w="5973" w:type="dxa"/>
            <w:gridSpan w:val="2"/>
            <w:tcBorders>
              <w:left w:val="single" w:sz="2" w:space="0" w:color="A6A6A6" w:themeColor="background1" w:themeShade="A6"/>
            </w:tcBorders>
            <w:shd w:val="clear" w:color="auto" w:fill="auto"/>
            <w:vAlign w:val="center"/>
            <w:hideMark/>
          </w:tcPr>
          <w:p w14:paraId="2E6B1709" w14:textId="2CEA5512" w:rsidR="00CE4D14" w:rsidRPr="00421883" w:rsidRDefault="00CE4D14" w:rsidP="00CE4D14">
            <w:pPr>
              <w:spacing w:after="0" w:line="276" w:lineRule="auto"/>
              <w:jc w:val="left"/>
              <w:rPr>
                <w:rFonts w:cs="Arial"/>
                <w:sz w:val="16"/>
                <w:szCs w:val="16"/>
              </w:rPr>
            </w:pPr>
            <w:r w:rsidRPr="00421883">
              <w:rPr>
                <w:rFonts w:cs="Arial"/>
                <w:sz w:val="16"/>
                <w:szCs w:val="16"/>
              </w:rPr>
              <w:t>Αυξήσεις ΜΚ εταιρειών, συμμετοχή στην ΕΤΕπ κ.λπ.</w:t>
            </w:r>
          </w:p>
        </w:tc>
        <w:tc>
          <w:tcPr>
            <w:tcW w:w="1095" w:type="dxa"/>
            <w:shd w:val="clear" w:color="auto" w:fill="auto"/>
            <w:noWrap/>
            <w:vAlign w:val="center"/>
            <w:hideMark/>
          </w:tcPr>
          <w:p w14:paraId="5D5F7A53" w14:textId="59E28DA2" w:rsidR="00CE4D14" w:rsidRPr="00421883" w:rsidRDefault="00CE4D14" w:rsidP="00CE4D14">
            <w:pPr>
              <w:spacing w:after="0" w:line="276" w:lineRule="auto"/>
              <w:jc w:val="right"/>
              <w:rPr>
                <w:rFonts w:cs="Arial"/>
                <w:sz w:val="16"/>
                <w:szCs w:val="16"/>
              </w:rPr>
            </w:pPr>
            <w:r w:rsidRPr="00421883">
              <w:rPr>
                <w:rFonts w:cs="Arial"/>
                <w:sz w:val="16"/>
                <w:szCs w:val="16"/>
              </w:rPr>
              <w:t>1.901</w:t>
            </w:r>
          </w:p>
        </w:tc>
        <w:tc>
          <w:tcPr>
            <w:tcW w:w="1095" w:type="dxa"/>
            <w:shd w:val="clear" w:color="auto" w:fill="auto"/>
            <w:vAlign w:val="center"/>
            <w:hideMark/>
          </w:tcPr>
          <w:p w14:paraId="32E4BBFD" w14:textId="03354347" w:rsidR="00CE4D14" w:rsidRPr="00421883" w:rsidRDefault="00CE4D14" w:rsidP="00CE4D14">
            <w:pPr>
              <w:spacing w:after="0" w:line="276" w:lineRule="auto"/>
              <w:jc w:val="right"/>
              <w:rPr>
                <w:rFonts w:cs="Arial"/>
                <w:sz w:val="16"/>
                <w:szCs w:val="16"/>
              </w:rPr>
            </w:pPr>
            <w:r w:rsidRPr="00421883">
              <w:rPr>
                <w:rFonts w:cs="Arial"/>
                <w:sz w:val="16"/>
                <w:szCs w:val="16"/>
              </w:rPr>
              <w:t>1.587</w:t>
            </w:r>
          </w:p>
        </w:tc>
        <w:tc>
          <w:tcPr>
            <w:tcW w:w="1137" w:type="dxa"/>
            <w:tcBorders>
              <w:right w:val="single" w:sz="2" w:space="0" w:color="A6A6A6" w:themeColor="background1" w:themeShade="A6"/>
            </w:tcBorders>
            <w:shd w:val="clear" w:color="auto" w:fill="auto"/>
            <w:vAlign w:val="center"/>
            <w:hideMark/>
          </w:tcPr>
          <w:p w14:paraId="0C0C99BA" w14:textId="3D5FC344" w:rsidR="00CE4D14" w:rsidRPr="00421883" w:rsidRDefault="00CE4D14" w:rsidP="00CE4D14">
            <w:pPr>
              <w:spacing w:after="0" w:line="276" w:lineRule="auto"/>
              <w:jc w:val="right"/>
              <w:rPr>
                <w:rFonts w:cs="Arial"/>
                <w:i/>
                <w:iCs/>
                <w:sz w:val="16"/>
                <w:szCs w:val="16"/>
              </w:rPr>
            </w:pPr>
            <w:r w:rsidRPr="00421883">
              <w:rPr>
                <w:rFonts w:cs="Arial"/>
                <w:i/>
                <w:iCs/>
                <w:sz w:val="16"/>
                <w:szCs w:val="16"/>
              </w:rPr>
              <w:t>-314</w:t>
            </w:r>
          </w:p>
        </w:tc>
      </w:tr>
      <w:tr w:rsidR="00CE4D14" w:rsidRPr="00421883" w14:paraId="72F9C967" w14:textId="77777777" w:rsidTr="00775DA2">
        <w:trPr>
          <w:cantSplit/>
          <w:trHeight w:val="227"/>
          <w:jc w:val="center"/>
        </w:trPr>
        <w:tc>
          <w:tcPr>
            <w:tcW w:w="5973" w:type="dxa"/>
            <w:gridSpan w:val="2"/>
            <w:tcBorders>
              <w:left w:val="single" w:sz="2" w:space="0" w:color="A6A6A6" w:themeColor="background1" w:themeShade="A6"/>
            </w:tcBorders>
            <w:shd w:val="clear" w:color="auto" w:fill="auto"/>
            <w:vAlign w:val="center"/>
            <w:hideMark/>
          </w:tcPr>
          <w:p w14:paraId="69267E24" w14:textId="4BF0438F" w:rsidR="00CE4D14" w:rsidRPr="00421883" w:rsidRDefault="00CE4D14" w:rsidP="00CE4D14">
            <w:pPr>
              <w:spacing w:after="0" w:line="276" w:lineRule="auto"/>
              <w:jc w:val="left"/>
              <w:rPr>
                <w:rFonts w:cs="Arial"/>
                <w:sz w:val="16"/>
                <w:szCs w:val="16"/>
              </w:rPr>
            </w:pPr>
            <w:r w:rsidRPr="00421883">
              <w:rPr>
                <w:rFonts w:cs="Arial"/>
                <w:sz w:val="16"/>
                <w:szCs w:val="16"/>
              </w:rPr>
              <w:t>Χορηγήσεις δανείων σε επιχειρήσεις από πόρους του ΤΑΑ</w:t>
            </w:r>
          </w:p>
        </w:tc>
        <w:tc>
          <w:tcPr>
            <w:tcW w:w="1095" w:type="dxa"/>
            <w:shd w:val="clear" w:color="auto" w:fill="auto"/>
            <w:noWrap/>
            <w:vAlign w:val="center"/>
            <w:hideMark/>
          </w:tcPr>
          <w:p w14:paraId="04C215A1" w14:textId="40230C26" w:rsidR="00CE4D14" w:rsidRPr="00421883" w:rsidRDefault="00CE4D14" w:rsidP="00CE4D14">
            <w:pPr>
              <w:spacing w:after="0" w:line="276" w:lineRule="auto"/>
              <w:jc w:val="right"/>
              <w:rPr>
                <w:rFonts w:cs="Arial"/>
                <w:sz w:val="16"/>
                <w:szCs w:val="16"/>
              </w:rPr>
            </w:pPr>
            <w:r w:rsidRPr="00421883">
              <w:rPr>
                <w:rFonts w:cs="Arial"/>
                <w:sz w:val="16"/>
                <w:szCs w:val="16"/>
              </w:rPr>
              <w:t>3.478</w:t>
            </w:r>
          </w:p>
        </w:tc>
        <w:tc>
          <w:tcPr>
            <w:tcW w:w="1095" w:type="dxa"/>
            <w:shd w:val="clear" w:color="auto" w:fill="auto"/>
            <w:vAlign w:val="center"/>
            <w:hideMark/>
          </w:tcPr>
          <w:p w14:paraId="24C48035" w14:textId="6020FF68" w:rsidR="00CE4D14" w:rsidRPr="00421883" w:rsidRDefault="00CE4D14" w:rsidP="00CE4D14">
            <w:pPr>
              <w:spacing w:after="0" w:line="276" w:lineRule="auto"/>
              <w:jc w:val="right"/>
              <w:rPr>
                <w:rFonts w:cs="Arial"/>
                <w:sz w:val="16"/>
                <w:szCs w:val="16"/>
              </w:rPr>
            </w:pPr>
            <w:r w:rsidRPr="00421883">
              <w:rPr>
                <w:rFonts w:cs="Arial"/>
                <w:sz w:val="16"/>
                <w:szCs w:val="16"/>
              </w:rPr>
              <w:t>6.739</w:t>
            </w:r>
          </w:p>
        </w:tc>
        <w:tc>
          <w:tcPr>
            <w:tcW w:w="1137" w:type="dxa"/>
            <w:tcBorders>
              <w:right w:val="single" w:sz="2" w:space="0" w:color="A6A6A6" w:themeColor="background1" w:themeShade="A6"/>
            </w:tcBorders>
            <w:shd w:val="clear" w:color="auto" w:fill="auto"/>
            <w:vAlign w:val="center"/>
            <w:hideMark/>
          </w:tcPr>
          <w:p w14:paraId="21772601" w14:textId="45CD5C09" w:rsidR="00CE4D14" w:rsidRPr="00421883" w:rsidRDefault="00CE4D14" w:rsidP="00CE4D14">
            <w:pPr>
              <w:spacing w:after="0" w:line="276" w:lineRule="auto"/>
              <w:jc w:val="right"/>
              <w:rPr>
                <w:rFonts w:cs="Arial"/>
                <w:sz w:val="16"/>
                <w:szCs w:val="16"/>
              </w:rPr>
            </w:pPr>
            <w:r w:rsidRPr="00421883">
              <w:rPr>
                <w:rFonts w:cs="Arial"/>
                <w:sz w:val="16"/>
                <w:szCs w:val="16"/>
              </w:rPr>
              <w:t>3.261</w:t>
            </w:r>
          </w:p>
        </w:tc>
      </w:tr>
      <w:tr w:rsidR="00CE4D14" w:rsidRPr="00421883" w14:paraId="680CB372" w14:textId="77777777" w:rsidTr="00775DA2">
        <w:trPr>
          <w:cantSplit/>
          <w:trHeight w:val="227"/>
          <w:jc w:val="center"/>
        </w:trPr>
        <w:tc>
          <w:tcPr>
            <w:tcW w:w="5973" w:type="dxa"/>
            <w:gridSpan w:val="2"/>
            <w:tcBorders>
              <w:left w:val="single" w:sz="2" w:space="0" w:color="A6A6A6" w:themeColor="background1" w:themeShade="A6"/>
            </w:tcBorders>
            <w:shd w:val="clear" w:color="auto" w:fill="auto"/>
            <w:vAlign w:val="center"/>
          </w:tcPr>
          <w:p w14:paraId="094364FA" w14:textId="0A4736F9" w:rsidR="00CE4D14" w:rsidRPr="00421883" w:rsidRDefault="00CE4D14" w:rsidP="00CE4D14">
            <w:pPr>
              <w:spacing w:after="0" w:line="276" w:lineRule="auto"/>
              <w:jc w:val="left"/>
              <w:rPr>
                <w:rFonts w:cs="Arial"/>
                <w:sz w:val="16"/>
                <w:szCs w:val="16"/>
              </w:rPr>
            </w:pPr>
            <w:r w:rsidRPr="00421883">
              <w:rPr>
                <w:rFonts w:cs="Arial"/>
                <w:sz w:val="16"/>
                <w:szCs w:val="16"/>
              </w:rPr>
              <w:t>Χορηγήσεις βραχυπρόθεσμων δανείων προς πιστωτικά ιδρύματα</w:t>
            </w:r>
          </w:p>
        </w:tc>
        <w:tc>
          <w:tcPr>
            <w:tcW w:w="1095" w:type="dxa"/>
            <w:shd w:val="clear" w:color="auto" w:fill="auto"/>
            <w:noWrap/>
            <w:vAlign w:val="center"/>
          </w:tcPr>
          <w:p w14:paraId="79857933" w14:textId="72509A4F" w:rsidR="00CE4D14" w:rsidRPr="00421883" w:rsidRDefault="00CE4D14" w:rsidP="00CE4D14">
            <w:pPr>
              <w:spacing w:after="0" w:line="276" w:lineRule="auto"/>
              <w:jc w:val="right"/>
              <w:rPr>
                <w:rFonts w:cs="Arial"/>
                <w:sz w:val="16"/>
                <w:szCs w:val="16"/>
              </w:rPr>
            </w:pPr>
            <w:r w:rsidRPr="00421883">
              <w:rPr>
                <w:rFonts w:cs="Arial"/>
                <w:sz w:val="16"/>
                <w:szCs w:val="16"/>
              </w:rPr>
              <w:t>445</w:t>
            </w:r>
          </w:p>
        </w:tc>
        <w:tc>
          <w:tcPr>
            <w:tcW w:w="1095" w:type="dxa"/>
            <w:shd w:val="clear" w:color="auto" w:fill="auto"/>
            <w:vAlign w:val="center"/>
          </w:tcPr>
          <w:p w14:paraId="10878F95" w14:textId="193CCF20" w:rsidR="00CE4D14" w:rsidRPr="00421883" w:rsidRDefault="00CE4D14" w:rsidP="00CE4D14">
            <w:pPr>
              <w:spacing w:after="0" w:line="276" w:lineRule="auto"/>
              <w:jc w:val="right"/>
              <w:rPr>
                <w:rFonts w:cs="Arial"/>
                <w:sz w:val="16"/>
                <w:szCs w:val="16"/>
              </w:rPr>
            </w:pPr>
            <w:r w:rsidRPr="00421883">
              <w:rPr>
                <w:rFonts w:cs="Arial"/>
                <w:sz w:val="16"/>
                <w:szCs w:val="16"/>
              </w:rPr>
              <w:t>0</w:t>
            </w:r>
          </w:p>
        </w:tc>
        <w:tc>
          <w:tcPr>
            <w:tcW w:w="1137" w:type="dxa"/>
            <w:tcBorders>
              <w:right w:val="single" w:sz="2" w:space="0" w:color="A6A6A6" w:themeColor="background1" w:themeShade="A6"/>
            </w:tcBorders>
            <w:shd w:val="clear" w:color="auto" w:fill="auto"/>
            <w:vAlign w:val="center"/>
          </w:tcPr>
          <w:p w14:paraId="3B9BEE2B" w14:textId="4CE2AD01" w:rsidR="00CE4D14" w:rsidRPr="00421883" w:rsidRDefault="00CE4D14" w:rsidP="00CE4D14">
            <w:pPr>
              <w:spacing w:after="0" w:line="276" w:lineRule="auto"/>
              <w:jc w:val="right"/>
              <w:rPr>
                <w:rFonts w:cs="Arial"/>
                <w:sz w:val="16"/>
                <w:szCs w:val="16"/>
              </w:rPr>
            </w:pPr>
            <w:r w:rsidRPr="00421883">
              <w:rPr>
                <w:rFonts w:cs="Arial"/>
                <w:sz w:val="16"/>
                <w:szCs w:val="16"/>
              </w:rPr>
              <w:t>-445</w:t>
            </w:r>
          </w:p>
        </w:tc>
      </w:tr>
      <w:tr w:rsidR="00CE4D14" w:rsidRPr="00421883" w14:paraId="78B45B6D" w14:textId="77777777" w:rsidTr="00775DA2">
        <w:trPr>
          <w:cantSplit/>
          <w:trHeight w:val="227"/>
          <w:jc w:val="center"/>
        </w:trPr>
        <w:tc>
          <w:tcPr>
            <w:tcW w:w="5973" w:type="dxa"/>
            <w:gridSpan w:val="2"/>
            <w:tcBorders>
              <w:left w:val="single" w:sz="2" w:space="0" w:color="A6A6A6" w:themeColor="background1" w:themeShade="A6"/>
            </w:tcBorders>
            <w:shd w:val="clear" w:color="auto" w:fill="auto"/>
            <w:vAlign w:val="center"/>
            <w:hideMark/>
          </w:tcPr>
          <w:p w14:paraId="73B07AD6" w14:textId="77777777" w:rsidR="00CE4D14" w:rsidRPr="00421883" w:rsidRDefault="00CE4D14" w:rsidP="00CE4D14">
            <w:pPr>
              <w:spacing w:after="0" w:line="276" w:lineRule="auto"/>
              <w:jc w:val="left"/>
              <w:rPr>
                <w:rFonts w:cs="Arial"/>
                <w:sz w:val="16"/>
                <w:szCs w:val="16"/>
              </w:rPr>
            </w:pPr>
            <w:r w:rsidRPr="00421883">
              <w:rPr>
                <w:rFonts w:cs="Arial"/>
                <w:sz w:val="16"/>
                <w:szCs w:val="16"/>
              </w:rPr>
              <w:t>Μεταβολή διαθεσίμων και ενδοκυβερνητικού χρέους</w:t>
            </w:r>
          </w:p>
        </w:tc>
        <w:tc>
          <w:tcPr>
            <w:tcW w:w="1095" w:type="dxa"/>
            <w:shd w:val="clear" w:color="auto" w:fill="auto"/>
            <w:noWrap/>
            <w:vAlign w:val="center"/>
            <w:hideMark/>
          </w:tcPr>
          <w:p w14:paraId="54655ED9" w14:textId="2A0174B9" w:rsidR="00CE4D14" w:rsidRPr="00421883" w:rsidRDefault="00CE4D14" w:rsidP="00CE4D14">
            <w:pPr>
              <w:spacing w:after="0" w:line="276" w:lineRule="auto"/>
              <w:jc w:val="right"/>
              <w:rPr>
                <w:rFonts w:cs="Arial"/>
                <w:sz w:val="16"/>
                <w:szCs w:val="16"/>
              </w:rPr>
            </w:pPr>
            <w:r w:rsidRPr="00421883">
              <w:rPr>
                <w:rFonts w:cs="Arial"/>
                <w:sz w:val="16"/>
                <w:szCs w:val="16"/>
              </w:rPr>
              <w:t>-3.685</w:t>
            </w:r>
          </w:p>
        </w:tc>
        <w:tc>
          <w:tcPr>
            <w:tcW w:w="1095" w:type="dxa"/>
            <w:shd w:val="clear" w:color="auto" w:fill="auto"/>
            <w:vAlign w:val="center"/>
            <w:hideMark/>
          </w:tcPr>
          <w:p w14:paraId="4FF49574" w14:textId="1896F6D6" w:rsidR="00CE4D14" w:rsidRPr="00421883" w:rsidRDefault="00CE4D14" w:rsidP="00CE4D14">
            <w:pPr>
              <w:spacing w:after="0" w:line="276" w:lineRule="auto"/>
              <w:jc w:val="right"/>
              <w:rPr>
                <w:rFonts w:cs="Arial"/>
                <w:sz w:val="16"/>
                <w:szCs w:val="16"/>
              </w:rPr>
            </w:pPr>
            <w:r w:rsidRPr="00421883">
              <w:rPr>
                <w:rFonts w:cs="Arial"/>
                <w:sz w:val="16"/>
                <w:szCs w:val="16"/>
              </w:rPr>
              <w:t>-12.042</w:t>
            </w:r>
          </w:p>
        </w:tc>
        <w:tc>
          <w:tcPr>
            <w:tcW w:w="1137" w:type="dxa"/>
            <w:tcBorders>
              <w:right w:val="single" w:sz="2" w:space="0" w:color="A6A6A6" w:themeColor="background1" w:themeShade="A6"/>
            </w:tcBorders>
            <w:shd w:val="clear" w:color="auto" w:fill="auto"/>
            <w:vAlign w:val="center"/>
            <w:hideMark/>
          </w:tcPr>
          <w:p w14:paraId="75166F2F" w14:textId="6CAA8247" w:rsidR="00CE4D14" w:rsidRPr="00421883" w:rsidRDefault="00CE4D14" w:rsidP="00CE4D14">
            <w:pPr>
              <w:spacing w:after="0" w:line="276" w:lineRule="auto"/>
              <w:jc w:val="right"/>
              <w:rPr>
                <w:rFonts w:cs="Arial"/>
                <w:sz w:val="16"/>
                <w:szCs w:val="16"/>
              </w:rPr>
            </w:pPr>
            <w:r w:rsidRPr="00421883">
              <w:rPr>
                <w:rFonts w:cs="Arial"/>
                <w:sz w:val="16"/>
                <w:szCs w:val="16"/>
              </w:rPr>
              <w:t>-8.357</w:t>
            </w:r>
          </w:p>
        </w:tc>
      </w:tr>
      <w:tr w:rsidR="00CE4D14" w:rsidRPr="00421883" w14:paraId="779499DC" w14:textId="77777777" w:rsidTr="00775DA2">
        <w:trPr>
          <w:cantSplit/>
          <w:trHeight w:val="227"/>
          <w:jc w:val="center"/>
        </w:trPr>
        <w:tc>
          <w:tcPr>
            <w:tcW w:w="5973" w:type="dxa"/>
            <w:gridSpan w:val="2"/>
            <w:tcBorders>
              <w:left w:val="single" w:sz="2" w:space="0" w:color="A6A6A6" w:themeColor="background1" w:themeShade="A6"/>
            </w:tcBorders>
            <w:shd w:val="clear" w:color="auto" w:fill="auto"/>
            <w:vAlign w:val="center"/>
            <w:hideMark/>
          </w:tcPr>
          <w:p w14:paraId="3A246074" w14:textId="77777777" w:rsidR="00CE4D14" w:rsidRPr="00421883" w:rsidRDefault="00CE4D14" w:rsidP="00CE4D14">
            <w:pPr>
              <w:spacing w:after="0" w:line="276" w:lineRule="auto"/>
              <w:jc w:val="left"/>
              <w:rPr>
                <w:rFonts w:cs="Arial"/>
                <w:sz w:val="16"/>
                <w:szCs w:val="16"/>
              </w:rPr>
            </w:pPr>
            <w:r w:rsidRPr="00421883">
              <w:rPr>
                <w:rFonts w:cs="Arial"/>
                <w:sz w:val="16"/>
                <w:szCs w:val="16"/>
              </w:rPr>
              <w:t>Πώληση μετοχών κ.λπ.</w:t>
            </w:r>
          </w:p>
        </w:tc>
        <w:tc>
          <w:tcPr>
            <w:tcW w:w="1095" w:type="dxa"/>
            <w:shd w:val="clear" w:color="auto" w:fill="auto"/>
            <w:noWrap/>
            <w:vAlign w:val="center"/>
            <w:hideMark/>
          </w:tcPr>
          <w:p w14:paraId="209525B9" w14:textId="27428C79" w:rsidR="00CE4D14" w:rsidRPr="00421883" w:rsidRDefault="00CE4D14" w:rsidP="00CE4D14">
            <w:pPr>
              <w:spacing w:after="0" w:line="276" w:lineRule="auto"/>
              <w:jc w:val="right"/>
              <w:rPr>
                <w:rFonts w:cs="Arial"/>
                <w:sz w:val="16"/>
                <w:szCs w:val="16"/>
              </w:rPr>
            </w:pPr>
            <w:r w:rsidRPr="00421883">
              <w:rPr>
                <w:rFonts w:cs="Arial"/>
                <w:sz w:val="16"/>
                <w:szCs w:val="16"/>
              </w:rPr>
              <w:t>-1.563</w:t>
            </w:r>
          </w:p>
        </w:tc>
        <w:tc>
          <w:tcPr>
            <w:tcW w:w="1095" w:type="dxa"/>
            <w:shd w:val="clear" w:color="auto" w:fill="auto"/>
            <w:vAlign w:val="center"/>
            <w:hideMark/>
          </w:tcPr>
          <w:p w14:paraId="14D4ED0C" w14:textId="720C1B2C" w:rsidR="00CE4D14" w:rsidRPr="00421883" w:rsidRDefault="00CE4D14" w:rsidP="00CE4D14">
            <w:pPr>
              <w:spacing w:after="0" w:line="276" w:lineRule="auto"/>
              <w:jc w:val="right"/>
              <w:rPr>
                <w:rFonts w:cs="Arial"/>
                <w:sz w:val="16"/>
                <w:szCs w:val="16"/>
              </w:rPr>
            </w:pPr>
            <w:r w:rsidRPr="00421883">
              <w:rPr>
                <w:rFonts w:cs="Arial"/>
                <w:sz w:val="16"/>
                <w:szCs w:val="16"/>
              </w:rPr>
              <w:t>-487</w:t>
            </w:r>
          </w:p>
        </w:tc>
        <w:tc>
          <w:tcPr>
            <w:tcW w:w="1137" w:type="dxa"/>
            <w:tcBorders>
              <w:right w:val="single" w:sz="2" w:space="0" w:color="A6A6A6" w:themeColor="background1" w:themeShade="A6"/>
            </w:tcBorders>
            <w:shd w:val="clear" w:color="auto" w:fill="auto"/>
            <w:vAlign w:val="center"/>
            <w:hideMark/>
          </w:tcPr>
          <w:p w14:paraId="479699BC" w14:textId="41961E14" w:rsidR="00CE4D14" w:rsidRPr="00421883" w:rsidRDefault="00CE4D14" w:rsidP="00CE4D14">
            <w:pPr>
              <w:spacing w:after="0" w:line="276" w:lineRule="auto"/>
              <w:jc w:val="right"/>
              <w:rPr>
                <w:rFonts w:cs="Arial"/>
                <w:sz w:val="16"/>
                <w:szCs w:val="16"/>
              </w:rPr>
            </w:pPr>
            <w:r w:rsidRPr="00421883">
              <w:rPr>
                <w:rFonts w:cs="Arial"/>
                <w:sz w:val="16"/>
                <w:szCs w:val="16"/>
              </w:rPr>
              <w:t>1</w:t>
            </w:r>
            <w:r w:rsidR="001E0632">
              <w:rPr>
                <w:rFonts w:cs="Arial"/>
                <w:sz w:val="16"/>
                <w:szCs w:val="16"/>
                <w:lang w:val="en-US"/>
              </w:rPr>
              <w:t>.</w:t>
            </w:r>
            <w:r w:rsidRPr="00421883">
              <w:rPr>
                <w:rFonts w:cs="Arial"/>
                <w:sz w:val="16"/>
                <w:szCs w:val="16"/>
              </w:rPr>
              <w:t>076</w:t>
            </w:r>
          </w:p>
        </w:tc>
      </w:tr>
      <w:tr w:rsidR="00CE4D14" w:rsidRPr="00421883" w14:paraId="3D292733" w14:textId="77777777" w:rsidTr="00775DA2">
        <w:trPr>
          <w:cantSplit/>
          <w:trHeight w:val="227"/>
          <w:jc w:val="center"/>
        </w:trPr>
        <w:tc>
          <w:tcPr>
            <w:tcW w:w="5973" w:type="dxa"/>
            <w:gridSpan w:val="2"/>
            <w:tcBorders>
              <w:left w:val="single" w:sz="2" w:space="0" w:color="A6A6A6" w:themeColor="background1" w:themeShade="A6"/>
            </w:tcBorders>
            <w:shd w:val="clear" w:color="auto" w:fill="auto"/>
            <w:vAlign w:val="center"/>
            <w:hideMark/>
          </w:tcPr>
          <w:p w14:paraId="1ADF8196" w14:textId="77777777" w:rsidR="00CE4D14" w:rsidRPr="00421883" w:rsidRDefault="00CE4D14" w:rsidP="00CE4D14">
            <w:pPr>
              <w:spacing w:after="0" w:line="276" w:lineRule="auto"/>
              <w:jc w:val="left"/>
              <w:rPr>
                <w:rFonts w:cs="Arial"/>
                <w:sz w:val="16"/>
                <w:szCs w:val="16"/>
              </w:rPr>
            </w:pPr>
            <w:r w:rsidRPr="00421883">
              <w:rPr>
                <w:rFonts w:cs="Arial"/>
                <w:sz w:val="16"/>
                <w:szCs w:val="16"/>
              </w:rPr>
              <w:t>Προσαρμογές στο άρτιο, λοιπές προσαρμογές</w:t>
            </w:r>
          </w:p>
        </w:tc>
        <w:tc>
          <w:tcPr>
            <w:tcW w:w="1095" w:type="dxa"/>
            <w:shd w:val="clear" w:color="auto" w:fill="auto"/>
            <w:noWrap/>
            <w:vAlign w:val="center"/>
            <w:hideMark/>
          </w:tcPr>
          <w:p w14:paraId="0B7B2A4B" w14:textId="17DD537D" w:rsidR="00CE4D14" w:rsidRPr="00421883" w:rsidRDefault="00CE4D14" w:rsidP="00CE4D14">
            <w:pPr>
              <w:spacing w:after="0" w:line="276" w:lineRule="auto"/>
              <w:jc w:val="right"/>
              <w:rPr>
                <w:rFonts w:cs="Arial"/>
                <w:sz w:val="16"/>
                <w:szCs w:val="16"/>
              </w:rPr>
            </w:pPr>
            <w:r w:rsidRPr="00421883">
              <w:rPr>
                <w:rFonts w:cs="Arial"/>
                <w:sz w:val="16"/>
                <w:szCs w:val="16"/>
              </w:rPr>
              <w:t>1.700</w:t>
            </w:r>
          </w:p>
        </w:tc>
        <w:tc>
          <w:tcPr>
            <w:tcW w:w="1095" w:type="dxa"/>
            <w:shd w:val="clear" w:color="auto" w:fill="auto"/>
            <w:noWrap/>
            <w:vAlign w:val="center"/>
            <w:hideMark/>
          </w:tcPr>
          <w:p w14:paraId="0F1227B6" w14:textId="345EE492" w:rsidR="00CE4D14" w:rsidRPr="00421883" w:rsidRDefault="00CE4D14" w:rsidP="00CE4D14">
            <w:pPr>
              <w:spacing w:after="0" w:line="276" w:lineRule="auto"/>
              <w:jc w:val="right"/>
              <w:rPr>
                <w:rFonts w:cs="Arial"/>
                <w:sz w:val="16"/>
                <w:szCs w:val="16"/>
              </w:rPr>
            </w:pPr>
            <w:r w:rsidRPr="00421883">
              <w:rPr>
                <w:rFonts w:cs="Arial"/>
                <w:sz w:val="16"/>
                <w:szCs w:val="16"/>
              </w:rPr>
              <w:t>1.800</w:t>
            </w:r>
          </w:p>
        </w:tc>
        <w:tc>
          <w:tcPr>
            <w:tcW w:w="1137" w:type="dxa"/>
            <w:tcBorders>
              <w:right w:val="single" w:sz="2" w:space="0" w:color="A6A6A6" w:themeColor="background1" w:themeShade="A6"/>
            </w:tcBorders>
            <w:shd w:val="clear" w:color="auto" w:fill="auto"/>
            <w:vAlign w:val="center"/>
            <w:hideMark/>
          </w:tcPr>
          <w:p w14:paraId="468A27E4" w14:textId="67290050" w:rsidR="00CE4D14" w:rsidRPr="00421883" w:rsidRDefault="00CE4D14" w:rsidP="00CE4D14">
            <w:pPr>
              <w:spacing w:after="0" w:line="276" w:lineRule="auto"/>
              <w:jc w:val="right"/>
              <w:rPr>
                <w:rFonts w:cs="Arial"/>
                <w:sz w:val="16"/>
                <w:szCs w:val="16"/>
              </w:rPr>
            </w:pPr>
            <w:r w:rsidRPr="00421883">
              <w:rPr>
                <w:rFonts w:cs="Arial"/>
                <w:sz w:val="16"/>
                <w:szCs w:val="16"/>
              </w:rPr>
              <w:t>100</w:t>
            </w:r>
          </w:p>
        </w:tc>
      </w:tr>
      <w:tr w:rsidR="00CE4D14" w:rsidRPr="00421883" w14:paraId="179801C2" w14:textId="77777777" w:rsidTr="00775DA2">
        <w:trPr>
          <w:cantSplit/>
          <w:trHeight w:val="227"/>
          <w:jc w:val="center"/>
        </w:trPr>
        <w:tc>
          <w:tcPr>
            <w:tcW w:w="5973" w:type="dxa"/>
            <w:gridSpan w:val="2"/>
            <w:tcBorders>
              <w:left w:val="single" w:sz="2" w:space="0" w:color="A6A6A6" w:themeColor="background1" w:themeShade="A6"/>
            </w:tcBorders>
            <w:shd w:val="clear" w:color="000000" w:fill="D5DCE4"/>
            <w:vAlign w:val="center"/>
            <w:hideMark/>
          </w:tcPr>
          <w:p w14:paraId="6ED1B367" w14:textId="77777777" w:rsidR="00CE4D14" w:rsidRPr="00421883" w:rsidRDefault="00CE4D14" w:rsidP="00CE4D14">
            <w:pPr>
              <w:spacing w:after="0" w:line="276" w:lineRule="auto"/>
              <w:jc w:val="left"/>
              <w:rPr>
                <w:rFonts w:cs="Arial"/>
                <w:b/>
                <w:bCs/>
                <w:sz w:val="16"/>
                <w:szCs w:val="16"/>
              </w:rPr>
            </w:pPr>
            <w:r w:rsidRPr="00421883">
              <w:rPr>
                <w:rFonts w:cs="Arial"/>
                <w:b/>
                <w:bCs/>
                <w:sz w:val="16"/>
                <w:szCs w:val="16"/>
              </w:rPr>
              <w:t>Μεταβολή από προηγούμενο έτος</w:t>
            </w:r>
          </w:p>
        </w:tc>
        <w:tc>
          <w:tcPr>
            <w:tcW w:w="1095" w:type="dxa"/>
            <w:shd w:val="clear" w:color="000000" w:fill="D5DCE4"/>
            <w:noWrap/>
            <w:vAlign w:val="center"/>
            <w:hideMark/>
          </w:tcPr>
          <w:p w14:paraId="7DDC7B7D" w14:textId="6B6B9C93" w:rsidR="00CE4D14" w:rsidRPr="00421883" w:rsidRDefault="00CE4D14" w:rsidP="00CE4D14">
            <w:pPr>
              <w:spacing w:after="0" w:line="276" w:lineRule="auto"/>
              <w:jc w:val="right"/>
              <w:rPr>
                <w:rFonts w:cs="Arial"/>
                <w:b/>
                <w:bCs/>
                <w:sz w:val="16"/>
                <w:szCs w:val="16"/>
              </w:rPr>
            </w:pPr>
            <w:r w:rsidRPr="00421883">
              <w:rPr>
                <w:rFonts w:cs="Arial"/>
                <w:b/>
                <w:bCs/>
                <w:sz w:val="16"/>
                <w:szCs w:val="16"/>
              </w:rPr>
              <w:t>-2.165</w:t>
            </w:r>
          </w:p>
        </w:tc>
        <w:tc>
          <w:tcPr>
            <w:tcW w:w="1095" w:type="dxa"/>
            <w:shd w:val="clear" w:color="000000" w:fill="D5DCE4"/>
            <w:vAlign w:val="center"/>
            <w:hideMark/>
          </w:tcPr>
          <w:p w14:paraId="0E7A5B08" w14:textId="5366A2F6" w:rsidR="00CE4D14" w:rsidRPr="00421883" w:rsidRDefault="00CE4D14" w:rsidP="00CE4D14">
            <w:pPr>
              <w:spacing w:after="0" w:line="276" w:lineRule="auto"/>
              <w:jc w:val="right"/>
              <w:rPr>
                <w:rFonts w:cs="Arial"/>
                <w:b/>
                <w:bCs/>
                <w:sz w:val="16"/>
                <w:szCs w:val="16"/>
              </w:rPr>
            </w:pPr>
            <w:r w:rsidRPr="00421883">
              <w:rPr>
                <w:rFonts w:cs="Arial"/>
                <w:b/>
                <w:bCs/>
                <w:sz w:val="16"/>
                <w:szCs w:val="16"/>
              </w:rPr>
              <w:t>-3.500</w:t>
            </w:r>
          </w:p>
        </w:tc>
        <w:tc>
          <w:tcPr>
            <w:tcW w:w="1137" w:type="dxa"/>
            <w:tcBorders>
              <w:right w:val="single" w:sz="2" w:space="0" w:color="A6A6A6" w:themeColor="background1" w:themeShade="A6"/>
            </w:tcBorders>
            <w:shd w:val="clear" w:color="000000" w:fill="D5DCE4"/>
            <w:vAlign w:val="center"/>
            <w:hideMark/>
          </w:tcPr>
          <w:p w14:paraId="0702F5AF" w14:textId="7B949A66" w:rsidR="00CE4D14" w:rsidRPr="00421883" w:rsidRDefault="00CE4D14" w:rsidP="00CE4D14">
            <w:pPr>
              <w:spacing w:after="0" w:line="276" w:lineRule="auto"/>
              <w:jc w:val="right"/>
              <w:rPr>
                <w:rFonts w:cs="Arial"/>
                <w:b/>
                <w:bCs/>
                <w:sz w:val="16"/>
                <w:szCs w:val="16"/>
              </w:rPr>
            </w:pPr>
            <w:r w:rsidRPr="00421883">
              <w:rPr>
                <w:rFonts w:cs="Arial"/>
                <w:b/>
                <w:bCs/>
                <w:sz w:val="16"/>
                <w:szCs w:val="16"/>
              </w:rPr>
              <w:t>-1.335</w:t>
            </w:r>
          </w:p>
        </w:tc>
      </w:tr>
      <w:tr w:rsidR="00CE4D14" w:rsidRPr="00421883" w14:paraId="66264023" w14:textId="77777777" w:rsidTr="00775DA2">
        <w:trPr>
          <w:cantSplit/>
          <w:trHeight w:val="227"/>
          <w:jc w:val="center"/>
        </w:trPr>
        <w:tc>
          <w:tcPr>
            <w:tcW w:w="266" w:type="dxa"/>
            <w:tcBorders>
              <w:left w:val="single" w:sz="2" w:space="0" w:color="A6A6A6" w:themeColor="background1" w:themeShade="A6"/>
            </w:tcBorders>
            <w:shd w:val="clear" w:color="auto" w:fill="auto"/>
            <w:noWrap/>
            <w:vAlign w:val="center"/>
          </w:tcPr>
          <w:p w14:paraId="3D883862" w14:textId="69149CFC" w:rsidR="00CE4D14" w:rsidRPr="00421883" w:rsidRDefault="00CE4D14" w:rsidP="00CE4D14">
            <w:pPr>
              <w:spacing w:after="0" w:line="276" w:lineRule="auto"/>
              <w:jc w:val="left"/>
              <w:rPr>
                <w:rFonts w:ascii="Times New Roman" w:hAnsi="Times New Roman"/>
                <w:szCs w:val="20"/>
              </w:rPr>
            </w:pPr>
          </w:p>
        </w:tc>
        <w:tc>
          <w:tcPr>
            <w:tcW w:w="5707" w:type="dxa"/>
            <w:shd w:val="clear" w:color="auto" w:fill="auto"/>
            <w:vAlign w:val="center"/>
            <w:hideMark/>
          </w:tcPr>
          <w:p w14:paraId="2DE7D754" w14:textId="77777777" w:rsidR="00CE4D14" w:rsidRPr="00421883" w:rsidRDefault="00CE4D14" w:rsidP="00CE4D14">
            <w:pPr>
              <w:spacing w:after="0" w:line="276" w:lineRule="auto"/>
              <w:jc w:val="left"/>
              <w:rPr>
                <w:rFonts w:cs="Arial"/>
                <w:sz w:val="16"/>
                <w:szCs w:val="16"/>
              </w:rPr>
            </w:pPr>
          </w:p>
        </w:tc>
        <w:tc>
          <w:tcPr>
            <w:tcW w:w="1095" w:type="dxa"/>
            <w:shd w:val="clear" w:color="auto" w:fill="auto"/>
            <w:noWrap/>
            <w:vAlign w:val="center"/>
            <w:hideMark/>
          </w:tcPr>
          <w:p w14:paraId="323C6F2F" w14:textId="77777777" w:rsidR="00CE4D14" w:rsidRPr="00421883" w:rsidRDefault="00CE4D14" w:rsidP="00CE4D14">
            <w:pPr>
              <w:spacing w:after="0" w:line="276" w:lineRule="auto"/>
              <w:jc w:val="right"/>
              <w:rPr>
                <w:rFonts w:cs="Arial"/>
                <w:sz w:val="16"/>
                <w:szCs w:val="16"/>
              </w:rPr>
            </w:pPr>
          </w:p>
        </w:tc>
        <w:tc>
          <w:tcPr>
            <w:tcW w:w="1095" w:type="dxa"/>
            <w:shd w:val="clear" w:color="auto" w:fill="auto"/>
            <w:vAlign w:val="center"/>
            <w:hideMark/>
          </w:tcPr>
          <w:p w14:paraId="5382245B" w14:textId="0EF42F59" w:rsidR="00CE4D14" w:rsidRPr="00421883" w:rsidRDefault="00CE4D14" w:rsidP="00CE4D14">
            <w:pPr>
              <w:spacing w:after="0" w:line="276" w:lineRule="auto"/>
              <w:jc w:val="right"/>
              <w:rPr>
                <w:rFonts w:cs="Arial"/>
                <w:sz w:val="16"/>
                <w:szCs w:val="16"/>
              </w:rPr>
            </w:pPr>
            <w:r w:rsidRPr="00421883">
              <w:rPr>
                <w:rFonts w:cs="Arial"/>
                <w:b/>
                <w:bCs/>
                <w:sz w:val="16"/>
                <w:szCs w:val="16"/>
              </w:rPr>
              <w:t> </w:t>
            </w:r>
          </w:p>
        </w:tc>
        <w:tc>
          <w:tcPr>
            <w:tcW w:w="1137" w:type="dxa"/>
            <w:tcBorders>
              <w:right w:val="single" w:sz="2" w:space="0" w:color="A6A6A6" w:themeColor="background1" w:themeShade="A6"/>
            </w:tcBorders>
            <w:shd w:val="clear" w:color="auto" w:fill="auto"/>
            <w:vAlign w:val="center"/>
            <w:hideMark/>
          </w:tcPr>
          <w:p w14:paraId="42B99F6F" w14:textId="77777777" w:rsidR="00CE4D14" w:rsidRPr="00421883" w:rsidRDefault="00CE4D14" w:rsidP="00CE4D14">
            <w:pPr>
              <w:spacing w:after="0" w:line="276" w:lineRule="auto"/>
              <w:jc w:val="right"/>
              <w:rPr>
                <w:rFonts w:cs="Arial"/>
                <w:b/>
                <w:bCs/>
                <w:sz w:val="16"/>
                <w:szCs w:val="16"/>
              </w:rPr>
            </w:pPr>
            <w:r w:rsidRPr="00421883">
              <w:rPr>
                <w:rFonts w:cs="Arial"/>
                <w:b/>
                <w:bCs/>
                <w:sz w:val="16"/>
                <w:szCs w:val="16"/>
              </w:rPr>
              <w:t> </w:t>
            </w:r>
          </w:p>
        </w:tc>
      </w:tr>
      <w:tr w:rsidR="00CE4D14" w:rsidRPr="00421883" w14:paraId="4AE4ACAC" w14:textId="77777777" w:rsidTr="00775DA2">
        <w:trPr>
          <w:cantSplit/>
          <w:trHeight w:val="227"/>
          <w:jc w:val="center"/>
        </w:trPr>
        <w:tc>
          <w:tcPr>
            <w:tcW w:w="5973" w:type="dxa"/>
            <w:gridSpan w:val="2"/>
            <w:tcBorders>
              <w:left w:val="single" w:sz="2" w:space="0" w:color="A6A6A6" w:themeColor="background1" w:themeShade="A6"/>
            </w:tcBorders>
            <w:shd w:val="clear" w:color="000000" w:fill="D5DCE4"/>
            <w:noWrap/>
            <w:vAlign w:val="center"/>
            <w:hideMark/>
          </w:tcPr>
          <w:p w14:paraId="64775E3F" w14:textId="77777777" w:rsidR="00CE4D14" w:rsidRPr="00421883" w:rsidRDefault="00CE4D14" w:rsidP="00CE4D14">
            <w:pPr>
              <w:spacing w:after="0" w:line="276" w:lineRule="auto"/>
              <w:jc w:val="left"/>
              <w:rPr>
                <w:rFonts w:cs="Arial"/>
                <w:b/>
                <w:bCs/>
                <w:sz w:val="16"/>
                <w:szCs w:val="16"/>
              </w:rPr>
            </w:pPr>
            <w:r w:rsidRPr="00421883">
              <w:rPr>
                <w:rFonts w:cs="Arial"/>
                <w:b/>
                <w:bCs/>
                <w:sz w:val="16"/>
                <w:szCs w:val="16"/>
              </w:rPr>
              <w:t xml:space="preserve">Χρέος Γενικής Κυβέρνησης </w:t>
            </w:r>
          </w:p>
        </w:tc>
        <w:tc>
          <w:tcPr>
            <w:tcW w:w="1095" w:type="dxa"/>
            <w:shd w:val="clear" w:color="000000" w:fill="D5DCE4"/>
            <w:vAlign w:val="center"/>
            <w:hideMark/>
          </w:tcPr>
          <w:p w14:paraId="5267876E" w14:textId="65D90914" w:rsidR="00CE4D14" w:rsidRPr="00421883" w:rsidRDefault="00CE4D14" w:rsidP="00CE4D14">
            <w:pPr>
              <w:spacing w:after="0" w:line="276" w:lineRule="auto"/>
              <w:jc w:val="right"/>
              <w:rPr>
                <w:rFonts w:cs="Arial"/>
                <w:b/>
                <w:bCs/>
                <w:sz w:val="16"/>
                <w:szCs w:val="16"/>
              </w:rPr>
            </w:pPr>
            <w:r w:rsidRPr="00421883">
              <w:rPr>
                <w:rFonts w:cs="Arial"/>
                <w:b/>
                <w:bCs/>
                <w:sz w:val="16"/>
                <w:szCs w:val="16"/>
              </w:rPr>
              <w:t>362.800</w:t>
            </w:r>
          </w:p>
        </w:tc>
        <w:tc>
          <w:tcPr>
            <w:tcW w:w="1095" w:type="dxa"/>
            <w:shd w:val="clear" w:color="000000" w:fill="D5DCE4"/>
            <w:noWrap/>
            <w:vAlign w:val="center"/>
            <w:hideMark/>
          </w:tcPr>
          <w:p w14:paraId="68C35A0E" w14:textId="34EA79E9" w:rsidR="00CE4D14" w:rsidRPr="00421883" w:rsidRDefault="00CE4D14" w:rsidP="00CE4D14">
            <w:pPr>
              <w:spacing w:after="0" w:line="276" w:lineRule="auto"/>
              <w:jc w:val="right"/>
              <w:rPr>
                <w:rFonts w:cs="Arial"/>
                <w:b/>
                <w:bCs/>
                <w:sz w:val="16"/>
                <w:szCs w:val="16"/>
              </w:rPr>
            </w:pPr>
            <w:r w:rsidRPr="00421883">
              <w:rPr>
                <w:rFonts w:cs="Arial"/>
                <w:b/>
                <w:bCs/>
                <w:sz w:val="16"/>
                <w:szCs w:val="16"/>
              </w:rPr>
              <w:t>359.300</w:t>
            </w:r>
          </w:p>
        </w:tc>
        <w:tc>
          <w:tcPr>
            <w:tcW w:w="1137" w:type="dxa"/>
            <w:tcBorders>
              <w:right w:val="single" w:sz="2" w:space="0" w:color="A6A6A6" w:themeColor="background1" w:themeShade="A6"/>
            </w:tcBorders>
            <w:shd w:val="clear" w:color="000000" w:fill="D5DCE4"/>
            <w:vAlign w:val="center"/>
            <w:hideMark/>
          </w:tcPr>
          <w:p w14:paraId="2962B5C9" w14:textId="01391923" w:rsidR="00CE4D14" w:rsidRPr="00421883" w:rsidRDefault="00CE4D14" w:rsidP="00CE4D14">
            <w:pPr>
              <w:spacing w:after="0" w:line="276" w:lineRule="auto"/>
              <w:jc w:val="right"/>
              <w:rPr>
                <w:rFonts w:cs="Arial"/>
                <w:b/>
                <w:bCs/>
                <w:sz w:val="16"/>
                <w:szCs w:val="16"/>
              </w:rPr>
            </w:pPr>
            <w:r w:rsidRPr="00421883">
              <w:rPr>
                <w:rFonts w:cs="Arial"/>
                <w:b/>
                <w:bCs/>
                <w:sz w:val="16"/>
                <w:szCs w:val="16"/>
              </w:rPr>
              <w:t>-3.500</w:t>
            </w:r>
          </w:p>
        </w:tc>
      </w:tr>
      <w:tr w:rsidR="00CE4D14" w:rsidRPr="00421883" w14:paraId="14D39625" w14:textId="77777777" w:rsidTr="00775DA2">
        <w:trPr>
          <w:cantSplit/>
          <w:trHeight w:val="227"/>
          <w:jc w:val="center"/>
        </w:trPr>
        <w:tc>
          <w:tcPr>
            <w:tcW w:w="5973" w:type="dxa"/>
            <w:gridSpan w:val="2"/>
            <w:tcBorders>
              <w:left w:val="single" w:sz="2" w:space="0" w:color="A6A6A6" w:themeColor="background1" w:themeShade="A6"/>
            </w:tcBorders>
            <w:shd w:val="clear" w:color="000000" w:fill="D5DCE4"/>
            <w:vAlign w:val="center"/>
            <w:hideMark/>
          </w:tcPr>
          <w:p w14:paraId="41C1155B" w14:textId="77777777" w:rsidR="00CE4D14" w:rsidRPr="00421883" w:rsidRDefault="00CE4D14" w:rsidP="00CE4D14">
            <w:pPr>
              <w:spacing w:after="0" w:line="276" w:lineRule="auto"/>
              <w:jc w:val="left"/>
              <w:rPr>
                <w:rFonts w:cs="Arial"/>
                <w:b/>
                <w:bCs/>
                <w:sz w:val="16"/>
                <w:szCs w:val="16"/>
              </w:rPr>
            </w:pPr>
            <w:r w:rsidRPr="00421883">
              <w:rPr>
                <w:rFonts w:cs="Arial"/>
                <w:b/>
                <w:bCs/>
                <w:sz w:val="16"/>
                <w:szCs w:val="16"/>
              </w:rPr>
              <w:t xml:space="preserve">Χρέος Γενικής Κυβέρνησης ως % του ΑΕΠ </w:t>
            </w:r>
          </w:p>
        </w:tc>
        <w:tc>
          <w:tcPr>
            <w:tcW w:w="1095" w:type="dxa"/>
            <w:shd w:val="clear" w:color="000000" w:fill="D5DCE4"/>
            <w:vAlign w:val="center"/>
            <w:hideMark/>
          </w:tcPr>
          <w:p w14:paraId="275D19DA" w14:textId="5DE2FF14" w:rsidR="00CE4D14" w:rsidRPr="00421883" w:rsidRDefault="00CE4D14" w:rsidP="00CE4D14">
            <w:pPr>
              <w:spacing w:after="0" w:line="276" w:lineRule="auto"/>
              <w:jc w:val="right"/>
              <w:rPr>
                <w:rFonts w:cs="Arial"/>
                <w:b/>
                <w:bCs/>
                <w:sz w:val="16"/>
                <w:szCs w:val="16"/>
              </w:rPr>
            </w:pPr>
            <w:r w:rsidRPr="00421883">
              <w:rPr>
                <w:rFonts w:cs="Arial"/>
                <w:b/>
                <w:bCs/>
                <w:sz w:val="16"/>
                <w:szCs w:val="16"/>
              </w:rPr>
              <w:t>145,9%</w:t>
            </w:r>
          </w:p>
        </w:tc>
        <w:tc>
          <w:tcPr>
            <w:tcW w:w="1095" w:type="dxa"/>
            <w:shd w:val="clear" w:color="000000" w:fill="D5DCE4"/>
            <w:vAlign w:val="center"/>
            <w:hideMark/>
          </w:tcPr>
          <w:p w14:paraId="39B59936" w14:textId="5914051C" w:rsidR="00CE4D14" w:rsidRPr="00421883" w:rsidRDefault="00CE4D14" w:rsidP="00CE4D14">
            <w:pPr>
              <w:spacing w:after="0" w:line="276" w:lineRule="auto"/>
              <w:jc w:val="right"/>
              <w:rPr>
                <w:rFonts w:cs="Arial"/>
                <w:b/>
                <w:bCs/>
                <w:sz w:val="16"/>
                <w:szCs w:val="16"/>
              </w:rPr>
            </w:pPr>
            <w:r w:rsidRPr="00421883">
              <w:rPr>
                <w:rFonts w:cs="Arial"/>
                <w:b/>
                <w:bCs/>
                <w:sz w:val="16"/>
                <w:szCs w:val="16"/>
              </w:rPr>
              <w:t>138,2%</w:t>
            </w:r>
          </w:p>
        </w:tc>
        <w:tc>
          <w:tcPr>
            <w:tcW w:w="1137" w:type="dxa"/>
            <w:tcBorders>
              <w:right w:val="single" w:sz="2" w:space="0" w:color="A6A6A6" w:themeColor="background1" w:themeShade="A6"/>
            </w:tcBorders>
            <w:shd w:val="clear" w:color="000000" w:fill="D5DCE4"/>
            <w:vAlign w:val="center"/>
            <w:hideMark/>
          </w:tcPr>
          <w:p w14:paraId="06C37E5E" w14:textId="6CC87E3D" w:rsidR="00CE4D14" w:rsidRPr="00421883" w:rsidRDefault="00CE4D14" w:rsidP="00CE4D14">
            <w:pPr>
              <w:spacing w:after="0" w:line="276" w:lineRule="auto"/>
              <w:jc w:val="right"/>
              <w:rPr>
                <w:rFonts w:cs="Arial"/>
                <w:b/>
                <w:bCs/>
                <w:sz w:val="16"/>
                <w:szCs w:val="16"/>
              </w:rPr>
            </w:pPr>
            <w:r w:rsidRPr="00421883">
              <w:rPr>
                <w:rFonts w:cs="Arial"/>
                <w:b/>
                <w:bCs/>
                <w:sz w:val="16"/>
                <w:szCs w:val="16"/>
              </w:rPr>
              <w:t>-7,7%</w:t>
            </w:r>
          </w:p>
        </w:tc>
      </w:tr>
      <w:tr w:rsidR="00CE4D14" w:rsidRPr="00421883" w14:paraId="5C3228FD" w14:textId="77777777" w:rsidTr="00775DA2">
        <w:trPr>
          <w:cantSplit/>
          <w:trHeight w:val="227"/>
          <w:jc w:val="center"/>
        </w:trPr>
        <w:tc>
          <w:tcPr>
            <w:tcW w:w="5973" w:type="dxa"/>
            <w:gridSpan w:val="2"/>
            <w:tcBorders>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1433D38C" w14:textId="77777777" w:rsidR="00CE4D14" w:rsidRPr="00421883" w:rsidRDefault="00CE4D14" w:rsidP="00CE4D14">
            <w:pPr>
              <w:spacing w:after="0" w:line="276" w:lineRule="auto"/>
              <w:jc w:val="left"/>
              <w:rPr>
                <w:rFonts w:cs="Arial"/>
                <w:sz w:val="16"/>
                <w:szCs w:val="16"/>
              </w:rPr>
            </w:pPr>
            <w:r w:rsidRPr="00421883">
              <w:rPr>
                <w:rFonts w:cs="Arial"/>
                <w:sz w:val="16"/>
                <w:szCs w:val="16"/>
              </w:rPr>
              <w:t>ΑΕΠ</w:t>
            </w:r>
          </w:p>
        </w:tc>
        <w:tc>
          <w:tcPr>
            <w:tcW w:w="1095" w:type="dxa"/>
            <w:tcBorders>
              <w:bottom w:val="single" w:sz="2" w:space="0" w:color="A6A6A6" w:themeColor="background1" w:themeShade="A6"/>
            </w:tcBorders>
            <w:shd w:val="clear" w:color="auto" w:fill="F2F2F2" w:themeFill="background1" w:themeFillShade="F2"/>
            <w:noWrap/>
            <w:vAlign w:val="center"/>
            <w:hideMark/>
          </w:tcPr>
          <w:p w14:paraId="23476DFD" w14:textId="2C843CCF" w:rsidR="00CE4D14" w:rsidRPr="00421883" w:rsidRDefault="00CE4D14" w:rsidP="00CE4D14">
            <w:pPr>
              <w:spacing w:after="0" w:line="276" w:lineRule="auto"/>
              <w:jc w:val="right"/>
              <w:rPr>
                <w:rFonts w:cs="Arial"/>
                <w:sz w:val="16"/>
                <w:szCs w:val="16"/>
              </w:rPr>
            </w:pPr>
            <w:r w:rsidRPr="00421883">
              <w:rPr>
                <w:rFonts w:cs="Arial"/>
                <w:sz w:val="16"/>
                <w:szCs w:val="16"/>
              </w:rPr>
              <w:t>248.697</w:t>
            </w:r>
          </w:p>
        </w:tc>
        <w:tc>
          <w:tcPr>
            <w:tcW w:w="1095" w:type="dxa"/>
            <w:tcBorders>
              <w:bottom w:val="single" w:sz="2" w:space="0" w:color="A6A6A6" w:themeColor="background1" w:themeShade="A6"/>
            </w:tcBorders>
            <w:shd w:val="clear" w:color="auto" w:fill="F2F2F2" w:themeFill="background1" w:themeFillShade="F2"/>
            <w:noWrap/>
            <w:vAlign w:val="center"/>
            <w:hideMark/>
          </w:tcPr>
          <w:p w14:paraId="06534B5F" w14:textId="52D32BDA" w:rsidR="00CE4D14" w:rsidRPr="00421883" w:rsidRDefault="00CE4D14" w:rsidP="00CE4D14">
            <w:pPr>
              <w:spacing w:after="0" w:line="276" w:lineRule="auto"/>
              <w:jc w:val="right"/>
              <w:rPr>
                <w:rFonts w:cs="Arial"/>
                <w:sz w:val="16"/>
                <w:szCs w:val="16"/>
              </w:rPr>
            </w:pPr>
            <w:r w:rsidRPr="00421883">
              <w:rPr>
                <w:rFonts w:cs="Arial"/>
                <w:sz w:val="16"/>
                <w:szCs w:val="16"/>
              </w:rPr>
              <w:t>260.035</w:t>
            </w:r>
          </w:p>
        </w:tc>
        <w:tc>
          <w:tcPr>
            <w:tcW w:w="1137" w:type="dxa"/>
            <w:tcBorders>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447F216D" w14:textId="3F20A79B" w:rsidR="00CE4D14" w:rsidRPr="00421883" w:rsidRDefault="00CE4D14" w:rsidP="00CE4D14">
            <w:pPr>
              <w:spacing w:after="0" w:line="276" w:lineRule="auto"/>
              <w:jc w:val="right"/>
              <w:rPr>
                <w:rFonts w:cs="Arial"/>
                <w:sz w:val="16"/>
                <w:szCs w:val="16"/>
              </w:rPr>
            </w:pPr>
            <w:r w:rsidRPr="00421883">
              <w:rPr>
                <w:rFonts w:cs="Arial"/>
                <w:sz w:val="16"/>
                <w:szCs w:val="16"/>
              </w:rPr>
              <w:t> </w:t>
            </w:r>
          </w:p>
        </w:tc>
      </w:tr>
      <w:tr w:rsidR="00CC4667" w:rsidRPr="00421883" w14:paraId="323152FF" w14:textId="77777777" w:rsidTr="00FF5BF4">
        <w:trPr>
          <w:cantSplit/>
          <w:trHeight w:val="227"/>
          <w:jc w:val="center"/>
        </w:trPr>
        <w:tc>
          <w:tcPr>
            <w:tcW w:w="9300" w:type="dxa"/>
            <w:gridSpan w:val="5"/>
            <w:tcBorders>
              <w:top w:val="single" w:sz="2" w:space="0" w:color="A6A6A6" w:themeColor="background1" w:themeShade="A6"/>
            </w:tcBorders>
            <w:shd w:val="clear" w:color="auto" w:fill="auto"/>
            <w:noWrap/>
            <w:vAlign w:val="center"/>
            <w:hideMark/>
          </w:tcPr>
          <w:p w14:paraId="054E3764" w14:textId="77777777" w:rsidR="00CC4667" w:rsidRDefault="00CC4667" w:rsidP="00CC2FE5">
            <w:pPr>
              <w:spacing w:before="60" w:after="0" w:line="276" w:lineRule="auto"/>
              <w:rPr>
                <w:rFonts w:cs="Arial"/>
                <w:sz w:val="16"/>
                <w:szCs w:val="16"/>
              </w:rPr>
            </w:pPr>
            <w:r w:rsidRPr="00421883">
              <w:rPr>
                <w:rFonts w:cs="Arial"/>
                <w:sz w:val="16"/>
                <w:szCs w:val="16"/>
              </w:rPr>
              <w:t>* Εκτιμήσεις, ** Προβλέψεις</w:t>
            </w:r>
          </w:p>
          <w:p w14:paraId="2A44F32A" w14:textId="24AFB419" w:rsidR="00CC2FE5" w:rsidRPr="00421883" w:rsidRDefault="00CC2FE5" w:rsidP="00CC2FE5">
            <w:pPr>
              <w:spacing w:before="60" w:after="0" w:line="276" w:lineRule="auto"/>
              <w:rPr>
                <w:rFonts w:cs="Arial"/>
                <w:sz w:val="16"/>
                <w:szCs w:val="16"/>
              </w:rPr>
            </w:pPr>
            <w:r w:rsidRPr="00421883">
              <w:rPr>
                <w:rFonts w:cs="Arial"/>
                <w:sz w:val="16"/>
                <w:szCs w:val="16"/>
              </w:rPr>
              <w:t>Πηγή: ΟΔΔΗΧ</w:t>
            </w:r>
          </w:p>
        </w:tc>
      </w:tr>
    </w:tbl>
    <w:p w14:paraId="76C537E7" w14:textId="4F89A71F" w:rsidR="00197AA2" w:rsidRPr="00F65456" w:rsidRDefault="00197AA2" w:rsidP="00A71934">
      <w:pPr>
        <w:pStyle w:val="5"/>
      </w:pPr>
      <w:bookmarkStart w:id="701" w:name="_Toc214473803"/>
      <w:r w:rsidRPr="00F65456">
        <w:t xml:space="preserve">Δομή και χαρακτηριστικά του χρέους </w:t>
      </w:r>
      <w:r w:rsidR="00241419">
        <w:t xml:space="preserve">της </w:t>
      </w:r>
      <w:r w:rsidRPr="00F65456">
        <w:t>Κεντρικής Διοίκησης</w:t>
      </w:r>
      <w:bookmarkEnd w:id="701"/>
    </w:p>
    <w:p w14:paraId="14C3AF0F" w14:textId="1619D74D" w:rsidR="00623140" w:rsidRDefault="00623140" w:rsidP="00FF5BF4">
      <w:pPr>
        <w:spacing w:after="240"/>
      </w:pPr>
      <w:r w:rsidRPr="00CA052D">
        <w:t>Ο χρονικός ορίζοντας των λήξεων του χρέους της Κεντρικής Διοίκησης στις 30</w:t>
      </w:r>
      <w:r w:rsidR="00B32173" w:rsidRPr="00B32173">
        <w:t>.</w:t>
      </w:r>
      <w:r w:rsidRPr="00CA052D">
        <w:t>9</w:t>
      </w:r>
      <w:r w:rsidR="00B32173" w:rsidRPr="00B32173">
        <w:t>.</w:t>
      </w:r>
      <w:r w:rsidRPr="00CA052D">
        <w:t>202</w:t>
      </w:r>
      <w:r w:rsidRPr="00302028">
        <w:t>5</w:t>
      </w:r>
      <w:r w:rsidRPr="00CA052D">
        <w:t xml:space="preserve"> εκτείνεται μέχρι το έτος </w:t>
      </w:r>
      <w:r w:rsidRPr="00AE64F9">
        <w:t>2070 (</w:t>
      </w:r>
      <w:r w:rsidR="008E5098" w:rsidRPr="00AE64F9">
        <w:fldChar w:fldCharType="begin"/>
      </w:r>
      <w:r w:rsidR="008E5098" w:rsidRPr="00AE64F9">
        <w:instrText xml:space="preserve"> REF _Ref213340795 \h  \* MERGEFORMAT </w:instrText>
      </w:r>
      <w:r w:rsidR="008E5098" w:rsidRPr="00AE64F9">
        <w:fldChar w:fldCharType="separate"/>
      </w:r>
      <w:r w:rsidR="00E15678" w:rsidRPr="00E15678">
        <w:t>Πίνακας 4.4</w:t>
      </w:r>
      <w:r w:rsidR="008E5098" w:rsidRPr="00AE64F9">
        <w:fldChar w:fldCharType="end"/>
      </w:r>
      <w:r w:rsidR="008E5098" w:rsidRPr="00AE64F9">
        <w:t>.</w:t>
      </w:r>
      <w:r w:rsidRPr="00AE64F9">
        <w:t xml:space="preserve">, </w:t>
      </w:r>
      <w:r w:rsidR="00996C76" w:rsidRPr="00AE64F9">
        <w:fldChar w:fldCharType="begin"/>
      </w:r>
      <w:r w:rsidR="00996C76" w:rsidRPr="00AE64F9">
        <w:instrText xml:space="preserve"> REF _Ref213342568 \h  \* MERGEFORMAT </w:instrText>
      </w:r>
      <w:r w:rsidR="00996C76" w:rsidRPr="00AE64F9">
        <w:fldChar w:fldCharType="separate"/>
      </w:r>
      <w:r w:rsidR="00E15678" w:rsidRPr="00E15678">
        <w:t>Διάγραμμα 4.1</w:t>
      </w:r>
      <w:r w:rsidR="00996C76" w:rsidRPr="00AE64F9">
        <w:fldChar w:fldCharType="end"/>
      </w:r>
      <w:r w:rsidR="00FE14D6" w:rsidRPr="00AE64F9">
        <w:t>.</w:t>
      </w:r>
      <w:r w:rsidR="008500E1" w:rsidRPr="00AE64F9">
        <w:rPr>
          <w:rStyle w:val="ab"/>
        </w:rPr>
        <w:footnoteReference w:id="8"/>
      </w:r>
      <w:r w:rsidRPr="00AE64F9">
        <w:t>). Η περαιτέρω δανειοδότηση</w:t>
      </w:r>
      <w:r w:rsidRPr="00CA052D">
        <w:t xml:space="preserve"> του Ελληνικού Δημοσίου μέσω των αγορών τα επόμενα έτη αναμένεται να αντικαταστήσει σταδιακά τα δάνεια με ομόλογα.</w:t>
      </w:r>
    </w:p>
    <w:tbl>
      <w:tblPr>
        <w:tblW w:w="11185"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CellMar>
          <w:left w:w="0" w:type="dxa"/>
          <w:right w:w="0" w:type="dxa"/>
        </w:tblCellMar>
        <w:tblLook w:val="04A0" w:firstRow="1" w:lastRow="0" w:firstColumn="1" w:lastColumn="0" w:noHBand="0" w:noVBand="1"/>
      </w:tblPr>
      <w:tblGrid>
        <w:gridCol w:w="593"/>
        <w:gridCol w:w="825"/>
        <w:gridCol w:w="1013"/>
        <w:gridCol w:w="831"/>
        <w:gridCol w:w="742"/>
        <w:gridCol w:w="831"/>
        <w:gridCol w:w="742"/>
        <w:gridCol w:w="653"/>
        <w:gridCol w:w="742"/>
        <w:gridCol w:w="653"/>
        <w:gridCol w:w="922"/>
        <w:gridCol w:w="884"/>
        <w:gridCol w:w="831"/>
        <w:gridCol w:w="923"/>
      </w:tblGrid>
      <w:tr w:rsidR="007336DC" w14:paraId="37BE4022" w14:textId="77777777" w:rsidTr="009069F4">
        <w:trPr>
          <w:cantSplit/>
          <w:trHeight w:val="230"/>
          <w:tblHeader/>
          <w:jc w:val="center"/>
        </w:trPr>
        <w:tc>
          <w:tcPr>
            <w:tcW w:w="11185" w:type="dxa"/>
            <w:gridSpan w:val="14"/>
            <w:vMerge w:val="restart"/>
            <w:shd w:val="clear" w:color="000000" w:fill="D5DCE4"/>
            <w:tcMar>
              <w:top w:w="15" w:type="dxa"/>
              <w:left w:w="15" w:type="dxa"/>
              <w:bottom w:w="0" w:type="dxa"/>
              <w:right w:w="15" w:type="dxa"/>
            </w:tcMar>
            <w:vAlign w:val="center"/>
            <w:hideMark/>
          </w:tcPr>
          <w:p w14:paraId="17A938AA" w14:textId="36224185" w:rsidR="005E706B" w:rsidRDefault="008E5098" w:rsidP="007727C2">
            <w:pPr>
              <w:spacing w:after="0" w:line="240" w:lineRule="auto"/>
              <w:jc w:val="center"/>
              <w:rPr>
                <w:rFonts w:cs="Arial"/>
                <w:b/>
                <w:bCs/>
                <w:sz w:val="18"/>
                <w:szCs w:val="18"/>
              </w:rPr>
            </w:pPr>
            <w:bookmarkStart w:id="702" w:name="_Ref213340795"/>
            <w:bookmarkStart w:id="703" w:name="_Toc214474110"/>
            <w:bookmarkStart w:id="704" w:name="_Ref119253963"/>
            <w:bookmarkStart w:id="705" w:name="_Ref119253960"/>
            <w:r w:rsidRPr="008E5098">
              <w:rPr>
                <w:b/>
                <w:sz w:val="18"/>
                <w:szCs w:val="18"/>
              </w:rPr>
              <w:lastRenderedPageBreak/>
              <w:t>Πίνακας 4.</w:t>
            </w:r>
            <w:r w:rsidRPr="008E5098">
              <w:rPr>
                <w:b/>
                <w:sz w:val="18"/>
                <w:szCs w:val="18"/>
              </w:rPr>
              <w:fldChar w:fldCharType="begin"/>
            </w:r>
            <w:r w:rsidRPr="008E5098">
              <w:rPr>
                <w:b/>
                <w:sz w:val="18"/>
                <w:szCs w:val="18"/>
              </w:rPr>
              <w:instrText xml:space="preserve"> SEQ Πίνακας_4. \* ARABIC </w:instrText>
            </w:r>
            <w:r w:rsidRPr="008E5098">
              <w:rPr>
                <w:b/>
                <w:sz w:val="18"/>
                <w:szCs w:val="18"/>
              </w:rPr>
              <w:fldChar w:fldCharType="separate"/>
            </w:r>
            <w:r w:rsidR="00E15678">
              <w:rPr>
                <w:b/>
                <w:noProof/>
                <w:sz w:val="18"/>
                <w:szCs w:val="18"/>
              </w:rPr>
              <w:t>4</w:t>
            </w:r>
            <w:r w:rsidRPr="008E5098">
              <w:rPr>
                <w:b/>
                <w:sz w:val="18"/>
                <w:szCs w:val="18"/>
              </w:rPr>
              <w:fldChar w:fldCharType="end"/>
            </w:r>
            <w:bookmarkEnd w:id="702"/>
            <w:r w:rsidR="007336DC" w:rsidRPr="008E5098">
              <w:rPr>
                <w:rFonts w:cs="Arial"/>
                <w:b/>
                <w:bCs/>
                <w:sz w:val="18"/>
                <w:szCs w:val="18"/>
              </w:rPr>
              <w:t xml:space="preserve">.: Χρονοδιάγραμμα λήξης </w:t>
            </w:r>
            <w:r w:rsidR="001B5D2B">
              <w:rPr>
                <w:rFonts w:cs="Arial"/>
                <w:b/>
                <w:bCs/>
                <w:sz w:val="18"/>
                <w:szCs w:val="18"/>
              </w:rPr>
              <w:t xml:space="preserve">του </w:t>
            </w:r>
            <w:r w:rsidR="007336DC" w:rsidRPr="008E5098">
              <w:rPr>
                <w:rFonts w:cs="Arial"/>
                <w:b/>
                <w:bCs/>
                <w:sz w:val="18"/>
                <w:szCs w:val="18"/>
              </w:rPr>
              <w:t>χρέους της Κεντρικής Διοίκησης την 30</w:t>
            </w:r>
            <w:r>
              <w:rPr>
                <w:rFonts w:cs="Arial"/>
                <w:b/>
                <w:bCs/>
                <w:sz w:val="18"/>
                <w:szCs w:val="18"/>
              </w:rPr>
              <w:t>η</w:t>
            </w:r>
            <w:r w:rsidR="00FD1C22" w:rsidRPr="008E5098">
              <w:rPr>
                <w:rFonts w:cs="Arial"/>
                <w:b/>
                <w:bCs/>
                <w:sz w:val="18"/>
                <w:szCs w:val="18"/>
              </w:rPr>
              <w:t>.</w:t>
            </w:r>
            <w:r w:rsidR="007336DC" w:rsidRPr="008E5098">
              <w:rPr>
                <w:rFonts w:cs="Arial"/>
                <w:b/>
                <w:bCs/>
                <w:sz w:val="18"/>
                <w:szCs w:val="18"/>
              </w:rPr>
              <w:t>9</w:t>
            </w:r>
            <w:r w:rsidR="00FD1C22" w:rsidRPr="008E5098">
              <w:rPr>
                <w:rFonts w:cs="Arial"/>
                <w:b/>
                <w:bCs/>
                <w:sz w:val="18"/>
                <w:szCs w:val="18"/>
              </w:rPr>
              <w:t>.</w:t>
            </w:r>
            <w:r w:rsidR="007336DC" w:rsidRPr="008E5098">
              <w:rPr>
                <w:rFonts w:cs="Arial"/>
                <w:b/>
                <w:bCs/>
                <w:sz w:val="18"/>
                <w:szCs w:val="18"/>
              </w:rPr>
              <w:t>2025</w:t>
            </w:r>
            <w:bookmarkEnd w:id="703"/>
          </w:p>
          <w:p w14:paraId="13301C66" w14:textId="2A72F838" w:rsidR="007336DC" w:rsidRPr="008E5098" w:rsidRDefault="007336DC" w:rsidP="007727C2">
            <w:pPr>
              <w:spacing w:after="0" w:line="240" w:lineRule="auto"/>
              <w:jc w:val="center"/>
              <w:rPr>
                <w:rFonts w:cs="Arial"/>
                <w:b/>
                <w:bCs/>
                <w:sz w:val="18"/>
                <w:szCs w:val="18"/>
              </w:rPr>
            </w:pPr>
            <w:r w:rsidRPr="008E5098">
              <w:rPr>
                <w:rFonts w:cs="Arial"/>
                <w:b/>
                <w:bCs/>
                <w:sz w:val="18"/>
                <w:szCs w:val="18"/>
              </w:rPr>
              <w:t>(σε εκατ. ευρώ)</w:t>
            </w:r>
          </w:p>
        </w:tc>
      </w:tr>
      <w:tr w:rsidR="007336DC" w14:paraId="142B1338" w14:textId="77777777" w:rsidTr="008E5098">
        <w:trPr>
          <w:cantSplit/>
          <w:trHeight w:val="230"/>
          <w:tblHeader/>
          <w:jc w:val="center"/>
        </w:trPr>
        <w:tc>
          <w:tcPr>
            <w:tcW w:w="0" w:type="auto"/>
            <w:gridSpan w:val="14"/>
            <w:vMerge/>
            <w:tcBorders>
              <w:bottom w:val="single" w:sz="2" w:space="0" w:color="A6A6A6" w:themeColor="background1" w:themeShade="A6"/>
            </w:tcBorders>
            <w:vAlign w:val="center"/>
            <w:hideMark/>
          </w:tcPr>
          <w:p w14:paraId="18AF3258" w14:textId="77777777" w:rsidR="007336DC" w:rsidRDefault="007336DC" w:rsidP="007727C2">
            <w:pPr>
              <w:spacing w:after="0" w:line="240" w:lineRule="auto"/>
              <w:rPr>
                <w:rFonts w:cs="Arial"/>
                <w:b/>
                <w:bCs/>
                <w:sz w:val="18"/>
                <w:szCs w:val="18"/>
              </w:rPr>
            </w:pPr>
          </w:p>
        </w:tc>
      </w:tr>
      <w:tr w:rsidR="008E5098" w:rsidRPr="00FD5358" w14:paraId="23BC80A9" w14:textId="77777777" w:rsidTr="008E5098">
        <w:trPr>
          <w:cantSplit/>
          <w:trHeight w:val="230"/>
          <w:tblHeader/>
          <w:jc w:val="center"/>
        </w:trPr>
        <w:tc>
          <w:tcPr>
            <w:tcW w:w="593"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538CF620"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Έτος</w:t>
            </w:r>
          </w:p>
        </w:tc>
        <w:tc>
          <w:tcPr>
            <w:tcW w:w="825"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61CB1EF6" w14:textId="6ADF532C" w:rsidR="007336DC" w:rsidRPr="00FD5358" w:rsidRDefault="007336DC" w:rsidP="007727C2">
            <w:pPr>
              <w:spacing w:after="0" w:line="240" w:lineRule="auto"/>
              <w:jc w:val="center"/>
              <w:rPr>
                <w:rFonts w:cs="Arial"/>
                <w:b/>
                <w:bCs/>
                <w:sz w:val="15"/>
                <w:szCs w:val="15"/>
              </w:rPr>
            </w:pPr>
            <w:r w:rsidRPr="00FD5358">
              <w:rPr>
                <w:rFonts w:cs="Arial"/>
                <w:b/>
                <w:bCs/>
                <w:sz w:val="15"/>
                <w:szCs w:val="15"/>
              </w:rPr>
              <w:t>Έντοκα</w:t>
            </w:r>
            <w:r w:rsidR="002429B8">
              <w:rPr>
                <w:rFonts w:cs="Arial"/>
                <w:b/>
                <w:bCs/>
                <w:sz w:val="15"/>
                <w:szCs w:val="15"/>
                <w:lang w:val="en-US"/>
              </w:rPr>
              <w:t xml:space="preserve"> </w:t>
            </w:r>
            <w:r w:rsidRPr="00FD5358">
              <w:rPr>
                <w:rFonts w:cs="Arial"/>
                <w:b/>
                <w:bCs/>
                <w:sz w:val="15"/>
                <w:szCs w:val="15"/>
              </w:rPr>
              <w:t>γραμμάτια</w:t>
            </w:r>
          </w:p>
        </w:tc>
        <w:tc>
          <w:tcPr>
            <w:tcW w:w="1013"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486FAE71" w14:textId="29C435A1" w:rsidR="007336DC" w:rsidRPr="00FD5358" w:rsidRDefault="007336DC" w:rsidP="007727C2">
            <w:pPr>
              <w:spacing w:after="0" w:line="240" w:lineRule="auto"/>
              <w:jc w:val="center"/>
              <w:rPr>
                <w:rFonts w:cs="Arial"/>
                <w:b/>
                <w:bCs/>
                <w:sz w:val="15"/>
                <w:szCs w:val="15"/>
              </w:rPr>
            </w:pPr>
            <w:r w:rsidRPr="00FD5358">
              <w:rPr>
                <w:rFonts w:cs="Arial"/>
                <w:b/>
                <w:bCs/>
                <w:sz w:val="15"/>
                <w:szCs w:val="15"/>
              </w:rPr>
              <w:t>Συμφωνίες</w:t>
            </w:r>
            <w:r w:rsidR="002429B8">
              <w:rPr>
                <w:rFonts w:cs="Arial"/>
                <w:b/>
                <w:bCs/>
                <w:sz w:val="15"/>
                <w:szCs w:val="15"/>
                <w:lang w:val="en-US"/>
              </w:rPr>
              <w:t xml:space="preserve"> </w:t>
            </w:r>
            <w:r w:rsidRPr="00FD5358">
              <w:rPr>
                <w:rFonts w:cs="Arial"/>
                <w:b/>
                <w:bCs/>
                <w:sz w:val="15"/>
                <w:szCs w:val="15"/>
              </w:rPr>
              <w:t>Επαναγοράς</w:t>
            </w:r>
            <w:r w:rsidR="0046193A">
              <w:rPr>
                <w:rFonts w:cs="Arial"/>
                <w:b/>
                <w:bCs/>
                <w:sz w:val="15"/>
                <w:szCs w:val="15"/>
                <w:lang w:val="en-US"/>
              </w:rPr>
              <w:t xml:space="preserve"> </w:t>
            </w:r>
            <w:r w:rsidRPr="00FD5358">
              <w:rPr>
                <w:rFonts w:cs="Arial"/>
                <w:b/>
                <w:bCs/>
                <w:sz w:val="15"/>
                <w:szCs w:val="15"/>
              </w:rPr>
              <w:t>(Repos)</w:t>
            </w:r>
          </w:p>
        </w:tc>
        <w:tc>
          <w:tcPr>
            <w:tcW w:w="831"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7F83EE2D"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Ομόλογα</w:t>
            </w:r>
          </w:p>
        </w:tc>
        <w:tc>
          <w:tcPr>
            <w:tcW w:w="742"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03553F58" w14:textId="1F52CE6C" w:rsidR="007336DC" w:rsidRPr="00FD5358" w:rsidRDefault="007336DC" w:rsidP="007727C2">
            <w:pPr>
              <w:spacing w:after="0" w:line="240" w:lineRule="auto"/>
              <w:jc w:val="center"/>
              <w:rPr>
                <w:rFonts w:cs="Arial"/>
                <w:b/>
                <w:bCs/>
                <w:sz w:val="15"/>
                <w:szCs w:val="15"/>
              </w:rPr>
            </w:pPr>
            <w:r w:rsidRPr="00FD5358">
              <w:rPr>
                <w:rFonts w:cs="Arial"/>
                <w:b/>
                <w:bCs/>
                <w:sz w:val="15"/>
                <w:szCs w:val="15"/>
              </w:rPr>
              <w:t>Δάνεια από</w:t>
            </w:r>
            <w:r w:rsidR="0039432F" w:rsidRPr="00770B27">
              <w:rPr>
                <w:rFonts w:cs="Arial"/>
                <w:b/>
                <w:bCs/>
                <w:sz w:val="15"/>
                <w:szCs w:val="15"/>
              </w:rPr>
              <w:t xml:space="preserve"> </w:t>
            </w:r>
            <w:r w:rsidRPr="00FD5358">
              <w:rPr>
                <w:rFonts w:cs="Arial"/>
                <w:b/>
                <w:bCs/>
                <w:sz w:val="15"/>
                <w:szCs w:val="15"/>
              </w:rPr>
              <w:t>χώρες ΕΕ</w:t>
            </w:r>
            <w:r w:rsidR="00770B27" w:rsidRPr="00770B27">
              <w:rPr>
                <w:rFonts w:cs="Arial"/>
                <w:b/>
                <w:bCs/>
                <w:sz w:val="15"/>
                <w:szCs w:val="15"/>
              </w:rPr>
              <w:t xml:space="preserve"> </w:t>
            </w:r>
            <w:r w:rsidRPr="00FD5358">
              <w:rPr>
                <w:rFonts w:cs="Arial"/>
                <w:b/>
                <w:bCs/>
                <w:sz w:val="15"/>
                <w:szCs w:val="15"/>
              </w:rPr>
              <w:t>(GLF)</w:t>
            </w:r>
          </w:p>
        </w:tc>
        <w:tc>
          <w:tcPr>
            <w:tcW w:w="831"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786BC458"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Δάνεια από EFSF</w:t>
            </w:r>
          </w:p>
        </w:tc>
        <w:tc>
          <w:tcPr>
            <w:tcW w:w="742"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595858B5"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Δάνεια από ESM</w:t>
            </w:r>
          </w:p>
        </w:tc>
        <w:tc>
          <w:tcPr>
            <w:tcW w:w="653"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2D500886"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Δάνεια SURE</w:t>
            </w:r>
          </w:p>
        </w:tc>
        <w:tc>
          <w:tcPr>
            <w:tcW w:w="742"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7263BE50"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Δάνεια RRF</w:t>
            </w:r>
          </w:p>
        </w:tc>
        <w:tc>
          <w:tcPr>
            <w:tcW w:w="653"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778907C2" w14:textId="1FDA0AD1" w:rsidR="007336DC" w:rsidRPr="00FD5358" w:rsidRDefault="007336DC" w:rsidP="007727C2">
            <w:pPr>
              <w:spacing w:after="0" w:line="240" w:lineRule="auto"/>
              <w:jc w:val="center"/>
              <w:rPr>
                <w:rFonts w:cs="Arial"/>
                <w:b/>
                <w:bCs/>
                <w:sz w:val="15"/>
                <w:szCs w:val="15"/>
              </w:rPr>
            </w:pPr>
            <w:r w:rsidRPr="00FD5358">
              <w:rPr>
                <w:rFonts w:cs="Arial"/>
                <w:b/>
                <w:bCs/>
                <w:sz w:val="15"/>
                <w:szCs w:val="15"/>
              </w:rPr>
              <w:t xml:space="preserve">Δάνεια από EIB </w:t>
            </w:r>
            <w:r w:rsidR="00B937B7" w:rsidRPr="00FD5358">
              <w:rPr>
                <w:rFonts w:cs="Arial"/>
                <w:b/>
                <w:bCs/>
                <w:sz w:val="15"/>
                <w:szCs w:val="15"/>
              </w:rPr>
              <w:t>και</w:t>
            </w:r>
            <w:r w:rsidRPr="00FD5358">
              <w:rPr>
                <w:rFonts w:cs="Arial"/>
                <w:b/>
                <w:bCs/>
                <w:sz w:val="15"/>
                <w:szCs w:val="15"/>
              </w:rPr>
              <w:t xml:space="preserve"> CEDB</w:t>
            </w:r>
          </w:p>
        </w:tc>
        <w:tc>
          <w:tcPr>
            <w:tcW w:w="922"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5EFB91B0"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Λοιπά δάνεια εσωτερικού</w:t>
            </w:r>
          </w:p>
        </w:tc>
        <w:tc>
          <w:tcPr>
            <w:tcW w:w="884"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741102A6" w14:textId="23AF8C76" w:rsidR="007336DC" w:rsidRPr="00FD5358" w:rsidRDefault="007336DC" w:rsidP="007727C2">
            <w:pPr>
              <w:spacing w:after="0" w:line="240" w:lineRule="auto"/>
              <w:jc w:val="center"/>
              <w:rPr>
                <w:rFonts w:cs="Arial"/>
                <w:b/>
                <w:bCs/>
                <w:sz w:val="15"/>
                <w:szCs w:val="15"/>
              </w:rPr>
            </w:pPr>
            <w:r w:rsidRPr="00FD5358">
              <w:rPr>
                <w:rFonts w:cs="Arial"/>
                <w:b/>
                <w:bCs/>
                <w:sz w:val="15"/>
                <w:szCs w:val="15"/>
              </w:rPr>
              <w:t>Λοιπά δάνεια εξωτερικού</w:t>
            </w:r>
          </w:p>
        </w:tc>
        <w:tc>
          <w:tcPr>
            <w:tcW w:w="831"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4B9F81DB"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Σύνολο</w:t>
            </w:r>
          </w:p>
        </w:tc>
        <w:tc>
          <w:tcPr>
            <w:tcW w:w="923" w:type="dxa"/>
            <w:vMerge w:val="restart"/>
            <w:tcBorders>
              <w:top w:val="single" w:sz="2" w:space="0" w:color="A6A6A6" w:themeColor="background1" w:themeShade="A6"/>
              <w:bottom w:val="single" w:sz="2" w:space="0" w:color="A6A6A6" w:themeColor="background1" w:themeShade="A6"/>
            </w:tcBorders>
            <w:shd w:val="clear" w:color="auto" w:fill="F2F2F2" w:themeFill="background1" w:themeFillShade="F2"/>
            <w:tcMar>
              <w:top w:w="15" w:type="dxa"/>
              <w:left w:w="15" w:type="dxa"/>
              <w:bottom w:w="0" w:type="dxa"/>
              <w:right w:w="15" w:type="dxa"/>
            </w:tcMar>
            <w:vAlign w:val="center"/>
            <w:hideMark/>
          </w:tcPr>
          <w:p w14:paraId="41458999" w14:textId="77777777" w:rsidR="007336DC" w:rsidRPr="00FD5358" w:rsidRDefault="007336DC" w:rsidP="007727C2">
            <w:pPr>
              <w:spacing w:after="0" w:line="240" w:lineRule="auto"/>
              <w:jc w:val="center"/>
              <w:rPr>
                <w:rFonts w:cs="Arial"/>
                <w:b/>
                <w:bCs/>
                <w:sz w:val="15"/>
                <w:szCs w:val="15"/>
              </w:rPr>
            </w:pPr>
            <w:r w:rsidRPr="00FD5358">
              <w:rPr>
                <w:rFonts w:cs="Arial"/>
                <w:b/>
                <w:bCs/>
                <w:sz w:val="15"/>
                <w:szCs w:val="15"/>
              </w:rPr>
              <w:t>% απόσβεσης</w:t>
            </w:r>
          </w:p>
        </w:tc>
      </w:tr>
      <w:tr w:rsidR="008E5098" w14:paraId="11A559F8" w14:textId="77777777" w:rsidTr="008E5098">
        <w:trPr>
          <w:cantSplit/>
          <w:trHeight w:val="230"/>
          <w:jc w:val="center"/>
        </w:trPr>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11A09137"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57EF98D6"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1DC729E1"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7C9E51EF"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60BA3CAD"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63B6A69E"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7122D935"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60F3AFFA"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7FB2EF0B"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0E89886A"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4D42F118"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1C281477"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48A5DE8A"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1E572EA6" w14:textId="77777777" w:rsidR="007336DC" w:rsidRDefault="007336DC" w:rsidP="007727C2">
            <w:pPr>
              <w:spacing w:after="0" w:line="240" w:lineRule="auto"/>
              <w:rPr>
                <w:rFonts w:cs="Arial"/>
                <w:b/>
                <w:bCs/>
                <w:sz w:val="16"/>
                <w:szCs w:val="16"/>
              </w:rPr>
            </w:pPr>
          </w:p>
        </w:tc>
      </w:tr>
      <w:tr w:rsidR="008E5098" w14:paraId="1BE44015" w14:textId="77777777" w:rsidTr="008E5098">
        <w:trPr>
          <w:cantSplit/>
          <w:trHeight w:val="230"/>
          <w:jc w:val="center"/>
        </w:trPr>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0F793366"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37B57B4A"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4847984E"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7DAABAAE"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19C896F4"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3F53DE4A"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0F8399F2"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46B5A351"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4147426D"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65CC2DEE"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650AF799"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70C99740"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00BC56F5" w14:textId="77777777" w:rsidR="007336DC" w:rsidRDefault="007336DC" w:rsidP="007727C2">
            <w:pPr>
              <w:spacing w:after="0" w:line="240" w:lineRule="auto"/>
              <w:rPr>
                <w:rFonts w:cs="Arial"/>
                <w:b/>
                <w:bCs/>
                <w:sz w:val="16"/>
                <w:szCs w:val="16"/>
              </w:rPr>
            </w:pPr>
          </w:p>
        </w:tc>
        <w:tc>
          <w:tcPr>
            <w:tcW w:w="0" w:type="auto"/>
            <w:vMerge/>
            <w:tcBorders>
              <w:top w:val="nil"/>
              <w:bottom w:val="single" w:sz="2" w:space="0" w:color="A6A6A6" w:themeColor="background1" w:themeShade="A6"/>
            </w:tcBorders>
            <w:shd w:val="clear" w:color="auto" w:fill="F2F2F2" w:themeFill="background1" w:themeFillShade="F2"/>
            <w:vAlign w:val="center"/>
            <w:hideMark/>
          </w:tcPr>
          <w:p w14:paraId="5460AD46" w14:textId="77777777" w:rsidR="007336DC" w:rsidRDefault="007336DC" w:rsidP="007727C2">
            <w:pPr>
              <w:spacing w:after="0" w:line="240" w:lineRule="auto"/>
              <w:rPr>
                <w:rFonts w:cs="Arial"/>
                <w:b/>
                <w:bCs/>
                <w:sz w:val="16"/>
                <w:szCs w:val="16"/>
              </w:rPr>
            </w:pPr>
          </w:p>
        </w:tc>
      </w:tr>
      <w:tr w:rsidR="007336DC" w:rsidRPr="00FD5358" w14:paraId="150B7C9A" w14:textId="77777777" w:rsidTr="008E5098">
        <w:trPr>
          <w:cantSplit/>
          <w:trHeight w:val="227"/>
          <w:jc w:val="center"/>
        </w:trPr>
        <w:tc>
          <w:tcPr>
            <w:tcW w:w="0" w:type="auto"/>
            <w:tcBorders>
              <w:top w:val="single" w:sz="2" w:space="0" w:color="A6A6A6" w:themeColor="background1" w:themeShade="A6"/>
            </w:tcBorders>
            <w:shd w:val="clear" w:color="auto" w:fill="auto"/>
            <w:noWrap/>
            <w:tcMar>
              <w:top w:w="15" w:type="dxa"/>
              <w:left w:w="15" w:type="dxa"/>
              <w:bottom w:w="0" w:type="dxa"/>
              <w:right w:w="15" w:type="dxa"/>
            </w:tcMar>
            <w:vAlign w:val="center"/>
            <w:hideMark/>
          </w:tcPr>
          <w:p w14:paraId="1E7B28EB" w14:textId="77777777" w:rsidR="007336DC" w:rsidRPr="00FD5358" w:rsidRDefault="007336DC" w:rsidP="007727C2">
            <w:pPr>
              <w:spacing w:after="0" w:line="240" w:lineRule="auto"/>
              <w:jc w:val="center"/>
              <w:rPr>
                <w:rFonts w:cs="Arial"/>
                <w:sz w:val="15"/>
                <w:szCs w:val="15"/>
              </w:rPr>
            </w:pPr>
            <w:r w:rsidRPr="00FD5358">
              <w:rPr>
                <w:rFonts w:cs="Arial"/>
                <w:sz w:val="15"/>
                <w:szCs w:val="15"/>
              </w:rPr>
              <w:t>2025</w:t>
            </w:r>
          </w:p>
        </w:tc>
        <w:tc>
          <w:tcPr>
            <w:tcW w:w="0" w:type="auto"/>
            <w:tcBorders>
              <w:top w:val="single" w:sz="2" w:space="0" w:color="A6A6A6" w:themeColor="background1" w:themeShade="A6"/>
            </w:tcBorders>
            <w:shd w:val="clear" w:color="auto" w:fill="auto"/>
            <w:noWrap/>
            <w:tcMar>
              <w:top w:w="15" w:type="dxa"/>
              <w:left w:w="15" w:type="dxa"/>
              <w:bottom w:w="0" w:type="dxa"/>
              <w:right w:w="15" w:type="dxa"/>
            </w:tcMar>
            <w:vAlign w:val="center"/>
            <w:hideMark/>
          </w:tcPr>
          <w:p w14:paraId="75DD7731" w14:textId="77777777" w:rsidR="007336DC" w:rsidRPr="00FD5358" w:rsidRDefault="007336DC" w:rsidP="007727C2">
            <w:pPr>
              <w:spacing w:after="0" w:line="240" w:lineRule="auto"/>
              <w:jc w:val="right"/>
              <w:rPr>
                <w:rFonts w:cs="Arial"/>
                <w:sz w:val="15"/>
                <w:szCs w:val="15"/>
              </w:rPr>
            </w:pPr>
            <w:r w:rsidRPr="00FD5358">
              <w:rPr>
                <w:rFonts w:cs="Arial"/>
                <w:sz w:val="15"/>
                <w:szCs w:val="15"/>
              </w:rPr>
              <w:t>4.023,71</w:t>
            </w:r>
          </w:p>
        </w:tc>
        <w:tc>
          <w:tcPr>
            <w:tcW w:w="0" w:type="auto"/>
            <w:tcBorders>
              <w:top w:val="single" w:sz="2" w:space="0" w:color="A6A6A6" w:themeColor="background1" w:themeShade="A6"/>
            </w:tcBorders>
            <w:shd w:val="clear" w:color="auto" w:fill="auto"/>
            <w:noWrap/>
            <w:tcMar>
              <w:top w:w="15" w:type="dxa"/>
              <w:left w:w="15" w:type="dxa"/>
              <w:bottom w:w="0" w:type="dxa"/>
              <w:right w:w="15" w:type="dxa"/>
            </w:tcMar>
            <w:vAlign w:val="center"/>
            <w:hideMark/>
          </w:tcPr>
          <w:p w14:paraId="4C327901" w14:textId="77777777" w:rsidR="007336DC" w:rsidRPr="00FD5358" w:rsidRDefault="007336DC" w:rsidP="007727C2">
            <w:pPr>
              <w:spacing w:after="0" w:line="240" w:lineRule="auto"/>
              <w:jc w:val="right"/>
              <w:rPr>
                <w:rFonts w:cs="Arial"/>
                <w:sz w:val="15"/>
                <w:szCs w:val="15"/>
              </w:rPr>
            </w:pPr>
            <w:r w:rsidRPr="00FD5358">
              <w:rPr>
                <w:rFonts w:cs="Arial"/>
                <w:sz w:val="15"/>
                <w:szCs w:val="15"/>
              </w:rPr>
              <w:t>52.391,49</w:t>
            </w:r>
          </w:p>
        </w:tc>
        <w:tc>
          <w:tcPr>
            <w:tcW w:w="0" w:type="auto"/>
            <w:tcBorders>
              <w:top w:val="single" w:sz="2" w:space="0" w:color="A6A6A6" w:themeColor="background1" w:themeShade="A6"/>
            </w:tcBorders>
            <w:shd w:val="clear" w:color="auto" w:fill="auto"/>
            <w:noWrap/>
            <w:tcMar>
              <w:top w:w="15" w:type="dxa"/>
              <w:left w:w="15" w:type="dxa"/>
              <w:bottom w:w="0" w:type="dxa"/>
              <w:right w:w="15" w:type="dxa"/>
            </w:tcMar>
            <w:vAlign w:val="center"/>
            <w:hideMark/>
          </w:tcPr>
          <w:p w14:paraId="4758EBE9" w14:textId="77777777" w:rsidR="007336DC" w:rsidRPr="00FD5358" w:rsidRDefault="007336DC" w:rsidP="007727C2">
            <w:pPr>
              <w:spacing w:after="0" w:line="240" w:lineRule="auto"/>
              <w:jc w:val="right"/>
              <w:rPr>
                <w:rFonts w:cs="Arial"/>
                <w:sz w:val="15"/>
                <w:szCs w:val="15"/>
              </w:rPr>
            </w:pPr>
          </w:p>
        </w:tc>
        <w:tc>
          <w:tcPr>
            <w:tcW w:w="0" w:type="auto"/>
            <w:tcBorders>
              <w:top w:val="single" w:sz="2" w:space="0" w:color="A6A6A6" w:themeColor="background1" w:themeShade="A6"/>
            </w:tcBorders>
            <w:shd w:val="clear" w:color="auto" w:fill="auto"/>
            <w:noWrap/>
            <w:tcMar>
              <w:top w:w="15" w:type="dxa"/>
              <w:left w:w="15" w:type="dxa"/>
              <w:bottom w:w="0" w:type="dxa"/>
              <w:right w:w="15" w:type="dxa"/>
            </w:tcMar>
            <w:vAlign w:val="center"/>
            <w:hideMark/>
          </w:tcPr>
          <w:p w14:paraId="395F2D99" w14:textId="77777777" w:rsidR="007336DC" w:rsidRPr="00FD5358" w:rsidRDefault="007336DC" w:rsidP="007727C2">
            <w:pPr>
              <w:spacing w:after="0" w:line="240" w:lineRule="auto"/>
              <w:jc w:val="right"/>
              <w:rPr>
                <w:rFonts w:cs="Arial"/>
                <w:sz w:val="15"/>
                <w:szCs w:val="15"/>
              </w:rPr>
            </w:pPr>
          </w:p>
        </w:tc>
        <w:tc>
          <w:tcPr>
            <w:tcW w:w="0" w:type="auto"/>
            <w:tcBorders>
              <w:top w:val="single" w:sz="2" w:space="0" w:color="A6A6A6" w:themeColor="background1" w:themeShade="A6"/>
            </w:tcBorders>
            <w:shd w:val="clear" w:color="auto" w:fill="auto"/>
            <w:noWrap/>
            <w:tcMar>
              <w:top w:w="15" w:type="dxa"/>
              <w:left w:w="15" w:type="dxa"/>
              <w:bottom w:w="0" w:type="dxa"/>
              <w:right w:w="15" w:type="dxa"/>
            </w:tcMar>
            <w:vAlign w:val="center"/>
            <w:hideMark/>
          </w:tcPr>
          <w:p w14:paraId="13652C43" w14:textId="77777777" w:rsidR="007336DC" w:rsidRPr="00FD5358" w:rsidRDefault="007336DC" w:rsidP="007727C2">
            <w:pPr>
              <w:spacing w:after="0" w:line="240" w:lineRule="auto"/>
              <w:jc w:val="right"/>
              <w:rPr>
                <w:rFonts w:cs="Arial"/>
                <w:sz w:val="15"/>
                <w:szCs w:val="15"/>
              </w:rPr>
            </w:pPr>
          </w:p>
        </w:tc>
        <w:tc>
          <w:tcPr>
            <w:tcW w:w="0" w:type="auto"/>
            <w:tcBorders>
              <w:top w:val="single" w:sz="2" w:space="0" w:color="A6A6A6" w:themeColor="background1" w:themeShade="A6"/>
            </w:tcBorders>
            <w:shd w:val="clear" w:color="auto" w:fill="auto"/>
            <w:noWrap/>
            <w:tcMar>
              <w:top w:w="15" w:type="dxa"/>
              <w:left w:w="15" w:type="dxa"/>
              <w:bottom w:w="0" w:type="dxa"/>
              <w:right w:w="15" w:type="dxa"/>
            </w:tcMar>
            <w:vAlign w:val="center"/>
            <w:hideMark/>
          </w:tcPr>
          <w:p w14:paraId="2B5FCC79" w14:textId="77777777" w:rsidR="007336DC" w:rsidRPr="00FD5358" w:rsidRDefault="007336DC" w:rsidP="007727C2">
            <w:pPr>
              <w:spacing w:after="0" w:line="240" w:lineRule="auto"/>
              <w:jc w:val="right"/>
              <w:rPr>
                <w:rFonts w:cs="Arial"/>
                <w:sz w:val="15"/>
                <w:szCs w:val="15"/>
              </w:rPr>
            </w:pPr>
          </w:p>
        </w:tc>
        <w:tc>
          <w:tcPr>
            <w:tcW w:w="0" w:type="auto"/>
            <w:tcBorders>
              <w:top w:val="single" w:sz="2" w:space="0" w:color="A6A6A6" w:themeColor="background1" w:themeShade="A6"/>
            </w:tcBorders>
            <w:shd w:val="clear" w:color="auto" w:fill="auto"/>
            <w:noWrap/>
            <w:tcMar>
              <w:top w:w="15" w:type="dxa"/>
              <w:left w:w="15" w:type="dxa"/>
              <w:bottom w:w="0" w:type="dxa"/>
              <w:right w:w="15" w:type="dxa"/>
            </w:tcMar>
            <w:vAlign w:val="center"/>
            <w:hideMark/>
          </w:tcPr>
          <w:p w14:paraId="15341866" w14:textId="77777777" w:rsidR="007336DC" w:rsidRPr="00FD5358" w:rsidRDefault="007336DC" w:rsidP="007727C2">
            <w:pPr>
              <w:spacing w:after="0" w:line="240" w:lineRule="auto"/>
              <w:jc w:val="right"/>
              <w:rPr>
                <w:rFonts w:cs="Arial"/>
                <w:sz w:val="15"/>
                <w:szCs w:val="15"/>
              </w:rPr>
            </w:pPr>
            <w:r w:rsidRPr="00FD5358">
              <w:rPr>
                <w:rFonts w:cs="Arial"/>
                <w:sz w:val="15"/>
                <w:szCs w:val="15"/>
              </w:rPr>
              <w:t>1.000,00</w:t>
            </w:r>
          </w:p>
        </w:tc>
        <w:tc>
          <w:tcPr>
            <w:tcW w:w="0" w:type="auto"/>
            <w:tcBorders>
              <w:top w:val="single" w:sz="2" w:space="0" w:color="A6A6A6" w:themeColor="background1" w:themeShade="A6"/>
            </w:tcBorders>
            <w:shd w:val="clear" w:color="auto" w:fill="auto"/>
            <w:noWrap/>
            <w:tcMar>
              <w:top w:w="15" w:type="dxa"/>
              <w:left w:w="15" w:type="dxa"/>
              <w:bottom w:w="0" w:type="dxa"/>
              <w:right w:w="15" w:type="dxa"/>
            </w:tcMar>
            <w:vAlign w:val="center"/>
            <w:hideMark/>
          </w:tcPr>
          <w:p w14:paraId="0A98BDC0" w14:textId="77777777" w:rsidR="007336DC" w:rsidRPr="00FD5358" w:rsidRDefault="007336DC" w:rsidP="007727C2">
            <w:pPr>
              <w:spacing w:after="0" w:line="240" w:lineRule="auto"/>
              <w:jc w:val="right"/>
              <w:rPr>
                <w:rFonts w:cs="Arial"/>
                <w:sz w:val="15"/>
                <w:szCs w:val="15"/>
              </w:rPr>
            </w:pPr>
          </w:p>
        </w:tc>
        <w:tc>
          <w:tcPr>
            <w:tcW w:w="0" w:type="auto"/>
            <w:tcBorders>
              <w:top w:val="single" w:sz="2" w:space="0" w:color="A6A6A6" w:themeColor="background1" w:themeShade="A6"/>
            </w:tcBorders>
            <w:shd w:val="clear" w:color="auto" w:fill="auto"/>
            <w:noWrap/>
            <w:tcMar>
              <w:top w:w="15" w:type="dxa"/>
              <w:left w:w="15" w:type="dxa"/>
              <w:bottom w:w="0" w:type="dxa"/>
              <w:right w:w="15" w:type="dxa"/>
            </w:tcMar>
            <w:vAlign w:val="center"/>
            <w:hideMark/>
          </w:tcPr>
          <w:p w14:paraId="20B4272C" w14:textId="77777777" w:rsidR="007336DC" w:rsidRPr="00FD5358" w:rsidRDefault="007336DC" w:rsidP="007727C2">
            <w:pPr>
              <w:spacing w:after="0" w:line="240" w:lineRule="auto"/>
              <w:jc w:val="right"/>
              <w:rPr>
                <w:rFonts w:cs="Arial"/>
                <w:sz w:val="15"/>
                <w:szCs w:val="15"/>
              </w:rPr>
            </w:pPr>
            <w:r w:rsidRPr="00FD5358">
              <w:rPr>
                <w:rFonts w:cs="Arial"/>
                <w:sz w:val="15"/>
                <w:szCs w:val="15"/>
              </w:rPr>
              <w:t>84,73</w:t>
            </w:r>
          </w:p>
        </w:tc>
        <w:tc>
          <w:tcPr>
            <w:tcW w:w="0" w:type="auto"/>
            <w:tcBorders>
              <w:top w:val="single" w:sz="2" w:space="0" w:color="A6A6A6" w:themeColor="background1" w:themeShade="A6"/>
            </w:tcBorders>
            <w:shd w:val="clear" w:color="auto" w:fill="auto"/>
            <w:noWrap/>
            <w:tcMar>
              <w:top w:w="15" w:type="dxa"/>
              <w:left w:w="15" w:type="dxa"/>
              <w:bottom w:w="0" w:type="dxa"/>
              <w:right w:w="15" w:type="dxa"/>
            </w:tcMar>
            <w:vAlign w:val="center"/>
            <w:hideMark/>
          </w:tcPr>
          <w:p w14:paraId="3A4F9435" w14:textId="77777777" w:rsidR="007336DC" w:rsidRPr="00FD5358" w:rsidRDefault="007336DC" w:rsidP="007727C2">
            <w:pPr>
              <w:spacing w:after="0" w:line="240" w:lineRule="auto"/>
              <w:jc w:val="right"/>
              <w:rPr>
                <w:rFonts w:cs="Arial"/>
                <w:sz w:val="15"/>
                <w:szCs w:val="15"/>
              </w:rPr>
            </w:pPr>
            <w:r w:rsidRPr="00FD5358">
              <w:rPr>
                <w:rFonts w:cs="Arial"/>
                <w:sz w:val="15"/>
                <w:szCs w:val="15"/>
              </w:rPr>
              <w:t>2,46</w:t>
            </w:r>
          </w:p>
        </w:tc>
        <w:tc>
          <w:tcPr>
            <w:tcW w:w="0" w:type="auto"/>
            <w:tcBorders>
              <w:top w:val="single" w:sz="2" w:space="0" w:color="A6A6A6" w:themeColor="background1" w:themeShade="A6"/>
            </w:tcBorders>
            <w:shd w:val="clear" w:color="auto" w:fill="auto"/>
            <w:noWrap/>
            <w:tcMar>
              <w:top w:w="15" w:type="dxa"/>
              <w:left w:w="15" w:type="dxa"/>
              <w:bottom w:w="0" w:type="dxa"/>
              <w:right w:w="15" w:type="dxa"/>
            </w:tcMar>
            <w:vAlign w:val="center"/>
            <w:hideMark/>
          </w:tcPr>
          <w:p w14:paraId="19F58B33" w14:textId="77777777" w:rsidR="007336DC" w:rsidRPr="00FD5358" w:rsidRDefault="007336DC" w:rsidP="007727C2">
            <w:pPr>
              <w:spacing w:after="0" w:line="240" w:lineRule="auto"/>
              <w:jc w:val="right"/>
              <w:rPr>
                <w:rFonts w:cs="Arial"/>
                <w:sz w:val="15"/>
                <w:szCs w:val="15"/>
              </w:rPr>
            </w:pPr>
            <w:r w:rsidRPr="00FD5358">
              <w:rPr>
                <w:rFonts w:cs="Arial"/>
                <w:sz w:val="15"/>
                <w:szCs w:val="15"/>
              </w:rPr>
              <w:t>0,18</w:t>
            </w:r>
          </w:p>
        </w:tc>
        <w:tc>
          <w:tcPr>
            <w:tcW w:w="0" w:type="auto"/>
            <w:tcBorders>
              <w:top w:val="single" w:sz="2" w:space="0" w:color="A6A6A6" w:themeColor="background1" w:themeShade="A6"/>
            </w:tcBorders>
            <w:shd w:val="clear" w:color="auto" w:fill="auto"/>
            <w:noWrap/>
            <w:tcMar>
              <w:top w:w="15" w:type="dxa"/>
              <w:left w:w="15" w:type="dxa"/>
              <w:bottom w:w="0" w:type="dxa"/>
              <w:right w:w="15" w:type="dxa"/>
            </w:tcMar>
            <w:vAlign w:val="center"/>
            <w:hideMark/>
          </w:tcPr>
          <w:p w14:paraId="7BE9E41D"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57.502,56</w:t>
            </w:r>
          </w:p>
        </w:tc>
        <w:tc>
          <w:tcPr>
            <w:tcW w:w="0" w:type="auto"/>
            <w:tcBorders>
              <w:top w:val="single" w:sz="2" w:space="0" w:color="A6A6A6" w:themeColor="background1" w:themeShade="A6"/>
            </w:tcBorders>
            <w:shd w:val="clear" w:color="auto" w:fill="auto"/>
            <w:noWrap/>
            <w:tcMar>
              <w:top w:w="15" w:type="dxa"/>
              <w:left w:w="15" w:type="dxa"/>
              <w:bottom w:w="0" w:type="dxa"/>
              <w:right w:w="15" w:type="dxa"/>
            </w:tcMar>
            <w:vAlign w:val="center"/>
            <w:hideMark/>
          </w:tcPr>
          <w:p w14:paraId="56E11C67"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14,30%</w:t>
            </w:r>
          </w:p>
        </w:tc>
      </w:tr>
      <w:tr w:rsidR="007336DC" w:rsidRPr="00FD5358" w14:paraId="6B42C3BE"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74B7E9F9" w14:textId="77777777" w:rsidR="007336DC" w:rsidRPr="00FD5358" w:rsidRDefault="007336DC" w:rsidP="007727C2">
            <w:pPr>
              <w:spacing w:after="0" w:line="240" w:lineRule="auto"/>
              <w:jc w:val="center"/>
              <w:rPr>
                <w:rFonts w:cs="Arial"/>
                <w:sz w:val="15"/>
                <w:szCs w:val="15"/>
              </w:rPr>
            </w:pPr>
            <w:r w:rsidRPr="00FD5358">
              <w:rPr>
                <w:rFonts w:cs="Arial"/>
                <w:sz w:val="15"/>
                <w:szCs w:val="15"/>
              </w:rPr>
              <w:t>2026</w:t>
            </w:r>
          </w:p>
        </w:tc>
        <w:tc>
          <w:tcPr>
            <w:tcW w:w="0" w:type="auto"/>
            <w:shd w:val="clear" w:color="auto" w:fill="auto"/>
            <w:noWrap/>
            <w:tcMar>
              <w:top w:w="15" w:type="dxa"/>
              <w:left w:w="15" w:type="dxa"/>
              <w:bottom w:w="0" w:type="dxa"/>
              <w:right w:w="15" w:type="dxa"/>
            </w:tcMar>
            <w:vAlign w:val="center"/>
            <w:hideMark/>
          </w:tcPr>
          <w:p w14:paraId="4E97E0FB" w14:textId="77777777" w:rsidR="007336DC" w:rsidRPr="00FD5358" w:rsidRDefault="007336DC" w:rsidP="007727C2">
            <w:pPr>
              <w:spacing w:after="0" w:line="240" w:lineRule="auto"/>
              <w:jc w:val="right"/>
              <w:rPr>
                <w:rFonts w:cs="Arial"/>
                <w:sz w:val="15"/>
                <w:szCs w:val="15"/>
              </w:rPr>
            </w:pPr>
            <w:r w:rsidRPr="00FD5358">
              <w:rPr>
                <w:rFonts w:cs="Arial"/>
                <w:sz w:val="15"/>
                <w:szCs w:val="15"/>
              </w:rPr>
              <w:t>4.056,56</w:t>
            </w:r>
          </w:p>
        </w:tc>
        <w:tc>
          <w:tcPr>
            <w:tcW w:w="0" w:type="auto"/>
            <w:shd w:val="clear" w:color="auto" w:fill="auto"/>
            <w:noWrap/>
            <w:tcMar>
              <w:top w:w="15" w:type="dxa"/>
              <w:left w:w="15" w:type="dxa"/>
              <w:bottom w:w="0" w:type="dxa"/>
              <w:right w:w="15" w:type="dxa"/>
            </w:tcMar>
            <w:vAlign w:val="center"/>
            <w:hideMark/>
          </w:tcPr>
          <w:p w14:paraId="339EC9D6"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DB1E99C" w14:textId="77777777" w:rsidR="007336DC" w:rsidRPr="00FD5358" w:rsidRDefault="007336DC" w:rsidP="007727C2">
            <w:pPr>
              <w:spacing w:after="0" w:line="240" w:lineRule="auto"/>
              <w:jc w:val="right"/>
              <w:rPr>
                <w:rFonts w:cs="Arial"/>
                <w:sz w:val="15"/>
                <w:szCs w:val="15"/>
              </w:rPr>
            </w:pPr>
            <w:r w:rsidRPr="00FD5358">
              <w:rPr>
                <w:rFonts w:cs="Arial"/>
                <w:sz w:val="15"/>
                <w:szCs w:val="15"/>
              </w:rPr>
              <w:t>6.534,88</w:t>
            </w:r>
          </w:p>
        </w:tc>
        <w:tc>
          <w:tcPr>
            <w:tcW w:w="0" w:type="auto"/>
            <w:shd w:val="clear" w:color="auto" w:fill="auto"/>
            <w:noWrap/>
            <w:tcMar>
              <w:top w:w="15" w:type="dxa"/>
              <w:left w:w="15" w:type="dxa"/>
              <w:bottom w:w="0" w:type="dxa"/>
              <w:right w:w="15" w:type="dxa"/>
            </w:tcMar>
            <w:vAlign w:val="center"/>
            <w:hideMark/>
          </w:tcPr>
          <w:p w14:paraId="5D5C01D4"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DBEFB1B" w14:textId="77777777" w:rsidR="007336DC" w:rsidRPr="00FD5358" w:rsidRDefault="007336DC" w:rsidP="007727C2">
            <w:pPr>
              <w:spacing w:after="0" w:line="240" w:lineRule="auto"/>
              <w:jc w:val="right"/>
              <w:rPr>
                <w:rFonts w:cs="Arial"/>
                <w:sz w:val="15"/>
                <w:szCs w:val="15"/>
              </w:rPr>
            </w:pPr>
            <w:r w:rsidRPr="00FD5358">
              <w:rPr>
                <w:rFonts w:cs="Arial"/>
                <w:sz w:val="15"/>
                <w:szCs w:val="15"/>
              </w:rPr>
              <w:t>1.737,98</w:t>
            </w:r>
          </w:p>
        </w:tc>
        <w:tc>
          <w:tcPr>
            <w:tcW w:w="0" w:type="auto"/>
            <w:shd w:val="clear" w:color="auto" w:fill="auto"/>
            <w:noWrap/>
            <w:tcMar>
              <w:top w:w="15" w:type="dxa"/>
              <w:left w:w="15" w:type="dxa"/>
              <w:bottom w:w="0" w:type="dxa"/>
              <w:right w:w="15" w:type="dxa"/>
            </w:tcMar>
            <w:vAlign w:val="center"/>
            <w:hideMark/>
          </w:tcPr>
          <w:p w14:paraId="12B41387"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15DD7EB"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8311CDA"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F2C9FCC" w14:textId="77777777" w:rsidR="007336DC" w:rsidRPr="00FD5358" w:rsidRDefault="007336DC" w:rsidP="007727C2">
            <w:pPr>
              <w:spacing w:after="0" w:line="240" w:lineRule="auto"/>
              <w:jc w:val="right"/>
              <w:rPr>
                <w:rFonts w:cs="Arial"/>
                <w:sz w:val="15"/>
                <w:szCs w:val="15"/>
              </w:rPr>
            </w:pPr>
            <w:r w:rsidRPr="00FD5358">
              <w:rPr>
                <w:rFonts w:cs="Arial"/>
                <w:sz w:val="15"/>
                <w:szCs w:val="15"/>
              </w:rPr>
              <w:t>569,49</w:t>
            </w:r>
          </w:p>
        </w:tc>
        <w:tc>
          <w:tcPr>
            <w:tcW w:w="0" w:type="auto"/>
            <w:shd w:val="clear" w:color="auto" w:fill="auto"/>
            <w:noWrap/>
            <w:tcMar>
              <w:top w:w="15" w:type="dxa"/>
              <w:left w:w="15" w:type="dxa"/>
              <w:bottom w:w="0" w:type="dxa"/>
              <w:right w:w="15" w:type="dxa"/>
            </w:tcMar>
            <w:vAlign w:val="center"/>
            <w:hideMark/>
          </w:tcPr>
          <w:p w14:paraId="6DFB55AF" w14:textId="77777777" w:rsidR="007336DC" w:rsidRPr="00FD5358" w:rsidRDefault="007336DC" w:rsidP="007727C2">
            <w:pPr>
              <w:spacing w:after="0" w:line="240" w:lineRule="auto"/>
              <w:jc w:val="right"/>
              <w:rPr>
                <w:rFonts w:cs="Arial"/>
                <w:sz w:val="15"/>
                <w:szCs w:val="15"/>
              </w:rPr>
            </w:pPr>
            <w:r w:rsidRPr="00FD5358">
              <w:rPr>
                <w:rFonts w:cs="Arial"/>
                <w:sz w:val="15"/>
                <w:szCs w:val="15"/>
              </w:rPr>
              <w:t>14,83</w:t>
            </w:r>
          </w:p>
        </w:tc>
        <w:tc>
          <w:tcPr>
            <w:tcW w:w="0" w:type="auto"/>
            <w:shd w:val="clear" w:color="auto" w:fill="auto"/>
            <w:noWrap/>
            <w:tcMar>
              <w:top w:w="15" w:type="dxa"/>
              <w:left w:w="15" w:type="dxa"/>
              <w:bottom w:w="0" w:type="dxa"/>
              <w:right w:w="15" w:type="dxa"/>
            </w:tcMar>
            <w:vAlign w:val="center"/>
            <w:hideMark/>
          </w:tcPr>
          <w:p w14:paraId="5E130F16" w14:textId="77777777" w:rsidR="007336DC" w:rsidRPr="00FD5358" w:rsidRDefault="007336DC" w:rsidP="007727C2">
            <w:pPr>
              <w:spacing w:after="0" w:line="240" w:lineRule="auto"/>
              <w:jc w:val="right"/>
              <w:rPr>
                <w:rFonts w:cs="Arial"/>
                <w:sz w:val="15"/>
                <w:szCs w:val="15"/>
              </w:rPr>
            </w:pPr>
            <w:r w:rsidRPr="00FD5358">
              <w:rPr>
                <w:rFonts w:cs="Arial"/>
                <w:sz w:val="15"/>
                <w:szCs w:val="15"/>
              </w:rPr>
              <w:t>1,40</w:t>
            </w:r>
          </w:p>
        </w:tc>
        <w:tc>
          <w:tcPr>
            <w:tcW w:w="0" w:type="auto"/>
            <w:shd w:val="clear" w:color="auto" w:fill="auto"/>
            <w:noWrap/>
            <w:tcMar>
              <w:top w:w="15" w:type="dxa"/>
              <w:left w:w="15" w:type="dxa"/>
              <w:bottom w:w="0" w:type="dxa"/>
              <w:right w:w="15" w:type="dxa"/>
            </w:tcMar>
            <w:vAlign w:val="center"/>
            <w:hideMark/>
          </w:tcPr>
          <w:p w14:paraId="1C36AA38"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12.915,13</w:t>
            </w:r>
          </w:p>
        </w:tc>
        <w:tc>
          <w:tcPr>
            <w:tcW w:w="0" w:type="auto"/>
            <w:shd w:val="clear" w:color="auto" w:fill="auto"/>
            <w:noWrap/>
            <w:tcMar>
              <w:top w:w="15" w:type="dxa"/>
              <w:left w:w="15" w:type="dxa"/>
              <w:bottom w:w="0" w:type="dxa"/>
              <w:right w:w="15" w:type="dxa"/>
            </w:tcMar>
            <w:vAlign w:val="center"/>
            <w:hideMark/>
          </w:tcPr>
          <w:p w14:paraId="782CD70B"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3,21%</w:t>
            </w:r>
          </w:p>
        </w:tc>
      </w:tr>
      <w:tr w:rsidR="007336DC" w:rsidRPr="00FD5358" w14:paraId="2932CAD5"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7B5C4EE0" w14:textId="77777777" w:rsidR="007336DC" w:rsidRPr="00FD5358" w:rsidRDefault="007336DC" w:rsidP="007727C2">
            <w:pPr>
              <w:spacing w:after="0" w:line="240" w:lineRule="auto"/>
              <w:jc w:val="center"/>
              <w:rPr>
                <w:rFonts w:cs="Arial"/>
                <w:sz w:val="15"/>
                <w:szCs w:val="15"/>
              </w:rPr>
            </w:pPr>
            <w:r w:rsidRPr="00FD5358">
              <w:rPr>
                <w:rFonts w:cs="Arial"/>
                <w:sz w:val="15"/>
                <w:szCs w:val="15"/>
              </w:rPr>
              <w:t>2027</w:t>
            </w:r>
          </w:p>
        </w:tc>
        <w:tc>
          <w:tcPr>
            <w:tcW w:w="0" w:type="auto"/>
            <w:shd w:val="clear" w:color="auto" w:fill="auto"/>
            <w:noWrap/>
            <w:tcMar>
              <w:top w:w="15" w:type="dxa"/>
              <w:left w:w="15" w:type="dxa"/>
              <w:bottom w:w="0" w:type="dxa"/>
              <w:right w:w="15" w:type="dxa"/>
            </w:tcMar>
            <w:vAlign w:val="center"/>
            <w:hideMark/>
          </w:tcPr>
          <w:p w14:paraId="1F4AD52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14DFCA54"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861C2D8" w14:textId="77777777" w:rsidR="007336DC" w:rsidRPr="00FD5358" w:rsidRDefault="007336DC" w:rsidP="007727C2">
            <w:pPr>
              <w:spacing w:after="0" w:line="240" w:lineRule="auto"/>
              <w:jc w:val="right"/>
              <w:rPr>
                <w:rFonts w:cs="Arial"/>
                <w:sz w:val="15"/>
                <w:szCs w:val="15"/>
              </w:rPr>
            </w:pPr>
            <w:r w:rsidRPr="00FD5358">
              <w:rPr>
                <w:rFonts w:cs="Arial"/>
                <w:sz w:val="15"/>
                <w:szCs w:val="15"/>
              </w:rPr>
              <w:t>6.173,69</w:t>
            </w:r>
          </w:p>
        </w:tc>
        <w:tc>
          <w:tcPr>
            <w:tcW w:w="0" w:type="auto"/>
            <w:shd w:val="clear" w:color="auto" w:fill="auto"/>
            <w:noWrap/>
            <w:tcMar>
              <w:top w:w="15" w:type="dxa"/>
              <w:left w:w="15" w:type="dxa"/>
              <w:bottom w:w="0" w:type="dxa"/>
              <w:right w:w="15" w:type="dxa"/>
            </w:tcMar>
            <w:vAlign w:val="center"/>
            <w:hideMark/>
          </w:tcPr>
          <w:p w14:paraId="097CB981"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0E545F5" w14:textId="77777777" w:rsidR="007336DC" w:rsidRPr="00FD5358" w:rsidRDefault="007336DC" w:rsidP="007727C2">
            <w:pPr>
              <w:spacing w:after="0" w:line="240" w:lineRule="auto"/>
              <w:jc w:val="right"/>
              <w:rPr>
                <w:rFonts w:cs="Arial"/>
                <w:sz w:val="15"/>
                <w:szCs w:val="15"/>
              </w:rPr>
            </w:pPr>
            <w:r w:rsidRPr="00FD5358">
              <w:rPr>
                <w:rFonts w:cs="Arial"/>
                <w:sz w:val="15"/>
                <w:szCs w:val="15"/>
              </w:rPr>
              <w:t>1.737,98</w:t>
            </w:r>
          </w:p>
        </w:tc>
        <w:tc>
          <w:tcPr>
            <w:tcW w:w="0" w:type="auto"/>
            <w:shd w:val="clear" w:color="auto" w:fill="auto"/>
            <w:noWrap/>
            <w:tcMar>
              <w:top w:w="15" w:type="dxa"/>
              <w:left w:w="15" w:type="dxa"/>
              <w:bottom w:w="0" w:type="dxa"/>
              <w:right w:w="15" w:type="dxa"/>
            </w:tcMar>
            <w:vAlign w:val="center"/>
            <w:hideMark/>
          </w:tcPr>
          <w:p w14:paraId="46B99568"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58A5829C"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0906D9E"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FCA2329" w14:textId="77777777" w:rsidR="007336DC" w:rsidRPr="00FD5358" w:rsidRDefault="007336DC" w:rsidP="007727C2">
            <w:pPr>
              <w:spacing w:after="0" w:line="240" w:lineRule="auto"/>
              <w:jc w:val="right"/>
              <w:rPr>
                <w:rFonts w:cs="Arial"/>
                <w:sz w:val="15"/>
                <w:szCs w:val="15"/>
              </w:rPr>
            </w:pPr>
            <w:r w:rsidRPr="00FD5358">
              <w:rPr>
                <w:rFonts w:cs="Arial"/>
                <w:sz w:val="15"/>
                <w:szCs w:val="15"/>
              </w:rPr>
              <w:t>1.436,00</w:t>
            </w:r>
          </w:p>
        </w:tc>
        <w:tc>
          <w:tcPr>
            <w:tcW w:w="0" w:type="auto"/>
            <w:shd w:val="clear" w:color="auto" w:fill="auto"/>
            <w:noWrap/>
            <w:tcMar>
              <w:top w:w="15" w:type="dxa"/>
              <w:left w:w="15" w:type="dxa"/>
              <w:bottom w:w="0" w:type="dxa"/>
              <w:right w:w="15" w:type="dxa"/>
            </w:tcMar>
            <w:vAlign w:val="center"/>
            <w:hideMark/>
          </w:tcPr>
          <w:p w14:paraId="28B3B0CA" w14:textId="77777777" w:rsidR="007336DC" w:rsidRPr="00FD5358" w:rsidRDefault="007336DC" w:rsidP="007727C2">
            <w:pPr>
              <w:spacing w:after="0" w:line="240" w:lineRule="auto"/>
              <w:jc w:val="right"/>
              <w:rPr>
                <w:rFonts w:cs="Arial"/>
                <w:sz w:val="15"/>
                <w:szCs w:val="15"/>
              </w:rPr>
            </w:pPr>
            <w:r w:rsidRPr="00FD5358">
              <w:rPr>
                <w:rFonts w:cs="Arial"/>
                <w:sz w:val="15"/>
                <w:szCs w:val="15"/>
              </w:rPr>
              <w:t>14,83</w:t>
            </w:r>
          </w:p>
        </w:tc>
        <w:tc>
          <w:tcPr>
            <w:tcW w:w="0" w:type="auto"/>
            <w:shd w:val="clear" w:color="auto" w:fill="auto"/>
            <w:noWrap/>
            <w:tcMar>
              <w:top w:w="15" w:type="dxa"/>
              <w:left w:w="15" w:type="dxa"/>
              <w:bottom w:w="0" w:type="dxa"/>
              <w:right w:w="15" w:type="dxa"/>
            </w:tcMar>
            <w:vAlign w:val="center"/>
            <w:hideMark/>
          </w:tcPr>
          <w:p w14:paraId="10920782" w14:textId="77777777" w:rsidR="007336DC" w:rsidRPr="00FD5358" w:rsidRDefault="007336DC" w:rsidP="007727C2">
            <w:pPr>
              <w:spacing w:after="0" w:line="240" w:lineRule="auto"/>
              <w:jc w:val="right"/>
              <w:rPr>
                <w:rFonts w:cs="Arial"/>
                <w:sz w:val="15"/>
                <w:szCs w:val="15"/>
              </w:rPr>
            </w:pPr>
            <w:r w:rsidRPr="00FD5358">
              <w:rPr>
                <w:rFonts w:cs="Arial"/>
                <w:sz w:val="15"/>
                <w:szCs w:val="15"/>
              </w:rPr>
              <w:t>1,40</w:t>
            </w:r>
          </w:p>
        </w:tc>
        <w:tc>
          <w:tcPr>
            <w:tcW w:w="0" w:type="auto"/>
            <w:shd w:val="clear" w:color="auto" w:fill="auto"/>
            <w:noWrap/>
            <w:tcMar>
              <w:top w:w="15" w:type="dxa"/>
              <w:left w:w="15" w:type="dxa"/>
              <w:bottom w:w="0" w:type="dxa"/>
              <w:right w:w="15" w:type="dxa"/>
            </w:tcMar>
            <w:vAlign w:val="center"/>
            <w:hideMark/>
          </w:tcPr>
          <w:p w14:paraId="4D36BCB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9.363,90</w:t>
            </w:r>
          </w:p>
        </w:tc>
        <w:tc>
          <w:tcPr>
            <w:tcW w:w="0" w:type="auto"/>
            <w:shd w:val="clear" w:color="auto" w:fill="auto"/>
            <w:noWrap/>
            <w:tcMar>
              <w:top w:w="15" w:type="dxa"/>
              <w:left w:w="15" w:type="dxa"/>
              <w:bottom w:w="0" w:type="dxa"/>
              <w:right w:w="15" w:type="dxa"/>
            </w:tcMar>
            <w:vAlign w:val="center"/>
            <w:hideMark/>
          </w:tcPr>
          <w:p w14:paraId="47F1FAE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2,33%</w:t>
            </w:r>
          </w:p>
        </w:tc>
      </w:tr>
      <w:tr w:rsidR="007336DC" w:rsidRPr="00FD5358" w14:paraId="1B922E45"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1C9C043B" w14:textId="77777777" w:rsidR="007336DC" w:rsidRPr="00FD5358" w:rsidRDefault="007336DC" w:rsidP="007727C2">
            <w:pPr>
              <w:spacing w:after="0" w:line="240" w:lineRule="auto"/>
              <w:jc w:val="center"/>
              <w:rPr>
                <w:rFonts w:cs="Arial"/>
                <w:sz w:val="15"/>
                <w:szCs w:val="15"/>
              </w:rPr>
            </w:pPr>
            <w:r w:rsidRPr="00FD5358">
              <w:rPr>
                <w:rFonts w:cs="Arial"/>
                <w:sz w:val="15"/>
                <w:szCs w:val="15"/>
              </w:rPr>
              <w:t>2028</w:t>
            </w:r>
          </w:p>
        </w:tc>
        <w:tc>
          <w:tcPr>
            <w:tcW w:w="0" w:type="auto"/>
            <w:shd w:val="clear" w:color="auto" w:fill="auto"/>
            <w:noWrap/>
            <w:tcMar>
              <w:top w:w="15" w:type="dxa"/>
              <w:left w:w="15" w:type="dxa"/>
              <w:bottom w:w="0" w:type="dxa"/>
              <w:right w:w="15" w:type="dxa"/>
            </w:tcMar>
            <w:vAlign w:val="center"/>
            <w:hideMark/>
          </w:tcPr>
          <w:p w14:paraId="285AFD6A"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45B884E7"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52CF7100" w14:textId="77777777" w:rsidR="007336DC" w:rsidRPr="00FD5358" w:rsidRDefault="007336DC" w:rsidP="007727C2">
            <w:pPr>
              <w:spacing w:after="0" w:line="240" w:lineRule="auto"/>
              <w:jc w:val="right"/>
              <w:rPr>
                <w:rFonts w:cs="Arial"/>
                <w:sz w:val="15"/>
                <w:szCs w:val="15"/>
              </w:rPr>
            </w:pPr>
            <w:r w:rsidRPr="00FD5358">
              <w:rPr>
                <w:rFonts w:cs="Arial"/>
                <w:sz w:val="15"/>
                <w:szCs w:val="15"/>
              </w:rPr>
              <w:t>9.816,59</w:t>
            </w:r>
          </w:p>
        </w:tc>
        <w:tc>
          <w:tcPr>
            <w:tcW w:w="0" w:type="auto"/>
            <w:shd w:val="clear" w:color="auto" w:fill="auto"/>
            <w:noWrap/>
            <w:tcMar>
              <w:top w:w="15" w:type="dxa"/>
              <w:left w:w="15" w:type="dxa"/>
              <w:bottom w:w="0" w:type="dxa"/>
              <w:right w:w="15" w:type="dxa"/>
            </w:tcMar>
            <w:vAlign w:val="center"/>
            <w:hideMark/>
          </w:tcPr>
          <w:p w14:paraId="7B2EFA18"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543D568A"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shd w:val="clear" w:color="auto" w:fill="auto"/>
            <w:noWrap/>
            <w:tcMar>
              <w:top w:w="15" w:type="dxa"/>
              <w:left w:w="15" w:type="dxa"/>
              <w:bottom w:w="0" w:type="dxa"/>
              <w:right w:w="15" w:type="dxa"/>
            </w:tcMar>
            <w:vAlign w:val="center"/>
            <w:hideMark/>
          </w:tcPr>
          <w:p w14:paraId="502DD4A8"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94419C9" w14:textId="77777777" w:rsidR="007336DC" w:rsidRPr="00FD5358" w:rsidRDefault="007336DC" w:rsidP="007727C2">
            <w:pPr>
              <w:spacing w:after="0" w:line="240" w:lineRule="auto"/>
              <w:jc w:val="right"/>
              <w:rPr>
                <w:rFonts w:cs="Arial"/>
                <w:sz w:val="15"/>
                <w:szCs w:val="15"/>
              </w:rPr>
            </w:pPr>
            <w:r w:rsidRPr="00FD5358">
              <w:rPr>
                <w:rFonts w:cs="Arial"/>
                <w:sz w:val="15"/>
                <w:szCs w:val="15"/>
              </w:rPr>
              <w:t>728,00</w:t>
            </w:r>
          </w:p>
        </w:tc>
        <w:tc>
          <w:tcPr>
            <w:tcW w:w="0" w:type="auto"/>
            <w:shd w:val="clear" w:color="auto" w:fill="auto"/>
            <w:noWrap/>
            <w:tcMar>
              <w:top w:w="15" w:type="dxa"/>
              <w:left w:w="15" w:type="dxa"/>
              <w:bottom w:w="0" w:type="dxa"/>
              <w:right w:w="15" w:type="dxa"/>
            </w:tcMar>
            <w:vAlign w:val="center"/>
            <w:hideMark/>
          </w:tcPr>
          <w:p w14:paraId="149DE4F3"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8650936" w14:textId="77777777" w:rsidR="007336DC" w:rsidRPr="00FD5358" w:rsidRDefault="007336DC" w:rsidP="007727C2">
            <w:pPr>
              <w:spacing w:after="0" w:line="240" w:lineRule="auto"/>
              <w:jc w:val="right"/>
              <w:rPr>
                <w:rFonts w:cs="Arial"/>
                <w:sz w:val="15"/>
                <w:szCs w:val="15"/>
              </w:rPr>
            </w:pPr>
            <w:r w:rsidRPr="00FD5358">
              <w:rPr>
                <w:rFonts w:cs="Arial"/>
                <w:sz w:val="15"/>
                <w:szCs w:val="15"/>
              </w:rPr>
              <w:t>722,06</w:t>
            </w:r>
          </w:p>
        </w:tc>
        <w:tc>
          <w:tcPr>
            <w:tcW w:w="0" w:type="auto"/>
            <w:shd w:val="clear" w:color="auto" w:fill="auto"/>
            <w:noWrap/>
            <w:tcMar>
              <w:top w:w="15" w:type="dxa"/>
              <w:left w:w="15" w:type="dxa"/>
              <w:bottom w:w="0" w:type="dxa"/>
              <w:right w:w="15" w:type="dxa"/>
            </w:tcMar>
            <w:vAlign w:val="center"/>
            <w:hideMark/>
          </w:tcPr>
          <w:p w14:paraId="271F024F" w14:textId="77777777" w:rsidR="007336DC" w:rsidRPr="00FD5358" w:rsidRDefault="007336DC" w:rsidP="007727C2">
            <w:pPr>
              <w:spacing w:after="0" w:line="240" w:lineRule="auto"/>
              <w:jc w:val="right"/>
              <w:rPr>
                <w:rFonts w:cs="Arial"/>
                <w:sz w:val="15"/>
                <w:szCs w:val="15"/>
              </w:rPr>
            </w:pPr>
            <w:r w:rsidRPr="00FD5358">
              <w:rPr>
                <w:rFonts w:cs="Arial"/>
                <w:sz w:val="15"/>
                <w:szCs w:val="15"/>
              </w:rPr>
              <w:t>14,83</w:t>
            </w:r>
          </w:p>
        </w:tc>
        <w:tc>
          <w:tcPr>
            <w:tcW w:w="0" w:type="auto"/>
            <w:shd w:val="clear" w:color="auto" w:fill="auto"/>
            <w:noWrap/>
            <w:tcMar>
              <w:top w:w="15" w:type="dxa"/>
              <w:left w:w="15" w:type="dxa"/>
              <w:bottom w:w="0" w:type="dxa"/>
              <w:right w:w="15" w:type="dxa"/>
            </w:tcMar>
            <w:vAlign w:val="center"/>
            <w:hideMark/>
          </w:tcPr>
          <w:p w14:paraId="6BA8522F" w14:textId="77777777" w:rsidR="007336DC" w:rsidRPr="00FD5358" w:rsidRDefault="007336DC" w:rsidP="007727C2">
            <w:pPr>
              <w:spacing w:after="0" w:line="240" w:lineRule="auto"/>
              <w:jc w:val="right"/>
              <w:rPr>
                <w:rFonts w:cs="Arial"/>
                <w:sz w:val="15"/>
                <w:szCs w:val="15"/>
              </w:rPr>
            </w:pPr>
            <w:r w:rsidRPr="00FD5358">
              <w:rPr>
                <w:rFonts w:cs="Arial"/>
                <w:sz w:val="15"/>
                <w:szCs w:val="15"/>
              </w:rPr>
              <w:t>1,41</w:t>
            </w:r>
          </w:p>
        </w:tc>
        <w:tc>
          <w:tcPr>
            <w:tcW w:w="0" w:type="auto"/>
            <w:shd w:val="clear" w:color="auto" w:fill="auto"/>
            <w:noWrap/>
            <w:tcMar>
              <w:top w:w="15" w:type="dxa"/>
              <w:left w:w="15" w:type="dxa"/>
              <w:bottom w:w="0" w:type="dxa"/>
              <w:right w:w="15" w:type="dxa"/>
            </w:tcMar>
            <w:vAlign w:val="center"/>
            <w:hideMark/>
          </w:tcPr>
          <w:p w14:paraId="3365CBD6"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13.115,12</w:t>
            </w:r>
          </w:p>
        </w:tc>
        <w:tc>
          <w:tcPr>
            <w:tcW w:w="0" w:type="auto"/>
            <w:shd w:val="clear" w:color="auto" w:fill="auto"/>
            <w:noWrap/>
            <w:tcMar>
              <w:top w:w="15" w:type="dxa"/>
              <w:left w:w="15" w:type="dxa"/>
              <w:bottom w:w="0" w:type="dxa"/>
              <w:right w:w="15" w:type="dxa"/>
            </w:tcMar>
            <w:vAlign w:val="center"/>
            <w:hideMark/>
          </w:tcPr>
          <w:p w14:paraId="6349A6D5"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3,26%</w:t>
            </w:r>
          </w:p>
        </w:tc>
      </w:tr>
      <w:tr w:rsidR="007336DC" w:rsidRPr="00FD5358" w14:paraId="2BA13235"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5205CE54" w14:textId="77777777" w:rsidR="007336DC" w:rsidRPr="00FD5358" w:rsidRDefault="007336DC" w:rsidP="007727C2">
            <w:pPr>
              <w:spacing w:after="0" w:line="240" w:lineRule="auto"/>
              <w:jc w:val="center"/>
              <w:rPr>
                <w:rFonts w:cs="Arial"/>
                <w:sz w:val="15"/>
                <w:szCs w:val="15"/>
              </w:rPr>
            </w:pPr>
            <w:r w:rsidRPr="00FD5358">
              <w:rPr>
                <w:rFonts w:cs="Arial"/>
                <w:sz w:val="15"/>
                <w:szCs w:val="15"/>
              </w:rPr>
              <w:t>2029</w:t>
            </w:r>
          </w:p>
        </w:tc>
        <w:tc>
          <w:tcPr>
            <w:tcW w:w="0" w:type="auto"/>
            <w:shd w:val="clear" w:color="auto" w:fill="auto"/>
            <w:noWrap/>
            <w:tcMar>
              <w:top w:w="15" w:type="dxa"/>
              <w:left w:w="15" w:type="dxa"/>
              <w:bottom w:w="0" w:type="dxa"/>
              <w:right w:w="15" w:type="dxa"/>
            </w:tcMar>
            <w:vAlign w:val="center"/>
            <w:hideMark/>
          </w:tcPr>
          <w:p w14:paraId="43C94E5F"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1CD074E5"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4213BA1" w14:textId="77777777" w:rsidR="007336DC" w:rsidRPr="00FD5358" w:rsidRDefault="007336DC" w:rsidP="007727C2">
            <w:pPr>
              <w:spacing w:after="0" w:line="240" w:lineRule="auto"/>
              <w:jc w:val="right"/>
              <w:rPr>
                <w:rFonts w:cs="Arial"/>
                <w:sz w:val="15"/>
                <w:szCs w:val="15"/>
              </w:rPr>
            </w:pPr>
            <w:r w:rsidRPr="00FD5358">
              <w:rPr>
                <w:rFonts w:cs="Arial"/>
                <w:sz w:val="15"/>
                <w:szCs w:val="15"/>
              </w:rPr>
              <w:t>4.770,45</w:t>
            </w:r>
          </w:p>
        </w:tc>
        <w:tc>
          <w:tcPr>
            <w:tcW w:w="0" w:type="auto"/>
            <w:shd w:val="clear" w:color="auto" w:fill="auto"/>
            <w:noWrap/>
            <w:tcMar>
              <w:top w:w="15" w:type="dxa"/>
              <w:left w:w="15" w:type="dxa"/>
              <w:bottom w:w="0" w:type="dxa"/>
              <w:right w:w="15" w:type="dxa"/>
            </w:tcMar>
            <w:vAlign w:val="center"/>
            <w:hideMark/>
          </w:tcPr>
          <w:p w14:paraId="09F93914"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shd w:val="clear" w:color="auto" w:fill="auto"/>
            <w:noWrap/>
            <w:tcMar>
              <w:top w:w="15" w:type="dxa"/>
              <w:left w:w="15" w:type="dxa"/>
              <w:bottom w:w="0" w:type="dxa"/>
              <w:right w:w="15" w:type="dxa"/>
            </w:tcMar>
            <w:vAlign w:val="center"/>
            <w:hideMark/>
          </w:tcPr>
          <w:p w14:paraId="390F6079"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shd w:val="clear" w:color="auto" w:fill="auto"/>
            <w:noWrap/>
            <w:tcMar>
              <w:top w:w="15" w:type="dxa"/>
              <w:left w:w="15" w:type="dxa"/>
              <w:bottom w:w="0" w:type="dxa"/>
              <w:right w:w="15" w:type="dxa"/>
            </w:tcMar>
            <w:vAlign w:val="center"/>
            <w:hideMark/>
          </w:tcPr>
          <w:p w14:paraId="1DF4E23E"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569827A8" w14:textId="77777777" w:rsidR="007336DC" w:rsidRPr="00FD5358" w:rsidRDefault="007336DC" w:rsidP="007727C2">
            <w:pPr>
              <w:spacing w:after="0" w:line="240" w:lineRule="auto"/>
              <w:jc w:val="right"/>
              <w:rPr>
                <w:rFonts w:cs="Arial"/>
                <w:sz w:val="15"/>
                <w:szCs w:val="15"/>
              </w:rPr>
            </w:pPr>
            <w:r w:rsidRPr="00FD5358">
              <w:rPr>
                <w:rFonts w:cs="Arial"/>
                <w:sz w:val="15"/>
                <w:szCs w:val="15"/>
              </w:rPr>
              <w:t>1.637,00</w:t>
            </w:r>
          </w:p>
        </w:tc>
        <w:tc>
          <w:tcPr>
            <w:tcW w:w="0" w:type="auto"/>
            <w:shd w:val="clear" w:color="auto" w:fill="auto"/>
            <w:noWrap/>
            <w:tcMar>
              <w:top w:w="15" w:type="dxa"/>
              <w:left w:w="15" w:type="dxa"/>
              <w:bottom w:w="0" w:type="dxa"/>
              <w:right w:w="15" w:type="dxa"/>
            </w:tcMar>
            <w:vAlign w:val="center"/>
            <w:hideMark/>
          </w:tcPr>
          <w:p w14:paraId="26364EA5"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C73D807" w14:textId="77777777" w:rsidR="007336DC" w:rsidRPr="00FD5358" w:rsidRDefault="007336DC" w:rsidP="007727C2">
            <w:pPr>
              <w:spacing w:after="0" w:line="240" w:lineRule="auto"/>
              <w:jc w:val="right"/>
              <w:rPr>
                <w:rFonts w:cs="Arial"/>
                <w:sz w:val="15"/>
                <w:szCs w:val="15"/>
              </w:rPr>
            </w:pPr>
            <w:r w:rsidRPr="00FD5358">
              <w:rPr>
                <w:rFonts w:cs="Arial"/>
                <w:sz w:val="15"/>
                <w:szCs w:val="15"/>
              </w:rPr>
              <w:t>177,95</w:t>
            </w:r>
          </w:p>
        </w:tc>
        <w:tc>
          <w:tcPr>
            <w:tcW w:w="0" w:type="auto"/>
            <w:shd w:val="clear" w:color="auto" w:fill="auto"/>
            <w:noWrap/>
            <w:tcMar>
              <w:top w:w="15" w:type="dxa"/>
              <w:left w:w="15" w:type="dxa"/>
              <w:bottom w:w="0" w:type="dxa"/>
              <w:right w:w="15" w:type="dxa"/>
            </w:tcMar>
            <w:vAlign w:val="center"/>
            <w:hideMark/>
          </w:tcPr>
          <w:p w14:paraId="53332DFA" w14:textId="77777777" w:rsidR="007336DC" w:rsidRPr="00FD5358" w:rsidRDefault="007336DC" w:rsidP="007727C2">
            <w:pPr>
              <w:spacing w:after="0" w:line="240" w:lineRule="auto"/>
              <w:jc w:val="right"/>
              <w:rPr>
                <w:rFonts w:cs="Arial"/>
                <w:sz w:val="15"/>
                <w:szCs w:val="15"/>
              </w:rPr>
            </w:pPr>
            <w:r w:rsidRPr="00FD5358">
              <w:rPr>
                <w:rFonts w:cs="Arial"/>
                <w:sz w:val="15"/>
                <w:szCs w:val="15"/>
              </w:rPr>
              <w:t>14,83</w:t>
            </w:r>
          </w:p>
        </w:tc>
        <w:tc>
          <w:tcPr>
            <w:tcW w:w="0" w:type="auto"/>
            <w:shd w:val="clear" w:color="auto" w:fill="auto"/>
            <w:noWrap/>
            <w:tcMar>
              <w:top w:w="15" w:type="dxa"/>
              <w:left w:w="15" w:type="dxa"/>
              <w:bottom w:w="0" w:type="dxa"/>
              <w:right w:w="15" w:type="dxa"/>
            </w:tcMar>
            <w:vAlign w:val="center"/>
            <w:hideMark/>
          </w:tcPr>
          <w:p w14:paraId="6D77BAD1" w14:textId="77777777" w:rsidR="007336DC" w:rsidRPr="00FD5358" w:rsidRDefault="007336DC" w:rsidP="007727C2">
            <w:pPr>
              <w:spacing w:after="0" w:line="240" w:lineRule="auto"/>
              <w:jc w:val="right"/>
              <w:rPr>
                <w:rFonts w:cs="Arial"/>
                <w:sz w:val="15"/>
                <w:szCs w:val="15"/>
              </w:rPr>
            </w:pPr>
            <w:r w:rsidRPr="00FD5358">
              <w:rPr>
                <w:rFonts w:cs="Arial"/>
                <w:sz w:val="15"/>
                <w:szCs w:val="15"/>
              </w:rPr>
              <w:t>1,41</w:t>
            </w:r>
          </w:p>
        </w:tc>
        <w:tc>
          <w:tcPr>
            <w:tcW w:w="0" w:type="auto"/>
            <w:shd w:val="clear" w:color="auto" w:fill="auto"/>
            <w:noWrap/>
            <w:tcMar>
              <w:top w:w="15" w:type="dxa"/>
              <w:left w:w="15" w:type="dxa"/>
              <w:bottom w:w="0" w:type="dxa"/>
              <w:right w:w="15" w:type="dxa"/>
            </w:tcMar>
            <w:vAlign w:val="center"/>
            <w:hideMark/>
          </w:tcPr>
          <w:p w14:paraId="2546CC7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11.078,87</w:t>
            </w:r>
          </w:p>
        </w:tc>
        <w:tc>
          <w:tcPr>
            <w:tcW w:w="0" w:type="auto"/>
            <w:shd w:val="clear" w:color="auto" w:fill="auto"/>
            <w:noWrap/>
            <w:tcMar>
              <w:top w:w="15" w:type="dxa"/>
              <w:left w:w="15" w:type="dxa"/>
              <w:bottom w:w="0" w:type="dxa"/>
              <w:right w:w="15" w:type="dxa"/>
            </w:tcMar>
            <w:vAlign w:val="center"/>
            <w:hideMark/>
          </w:tcPr>
          <w:p w14:paraId="281E409B"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2,76%</w:t>
            </w:r>
          </w:p>
        </w:tc>
      </w:tr>
      <w:tr w:rsidR="007336DC" w:rsidRPr="00FD5358" w14:paraId="093ABA12"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620FE20F"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2030</w:t>
            </w:r>
          </w:p>
        </w:tc>
        <w:tc>
          <w:tcPr>
            <w:tcW w:w="0" w:type="auto"/>
            <w:shd w:val="clear" w:color="auto" w:fill="auto"/>
            <w:noWrap/>
            <w:tcMar>
              <w:top w:w="15" w:type="dxa"/>
              <w:left w:w="15" w:type="dxa"/>
              <w:bottom w:w="0" w:type="dxa"/>
              <w:right w:w="15" w:type="dxa"/>
            </w:tcMar>
            <w:vAlign w:val="center"/>
            <w:hideMark/>
          </w:tcPr>
          <w:p w14:paraId="16604C3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0759A47E"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5083192" w14:textId="77777777" w:rsidR="007336DC" w:rsidRPr="00FD5358" w:rsidRDefault="007336DC" w:rsidP="007727C2">
            <w:pPr>
              <w:spacing w:after="0" w:line="240" w:lineRule="auto"/>
              <w:jc w:val="right"/>
              <w:rPr>
                <w:rFonts w:cs="Arial"/>
                <w:sz w:val="15"/>
                <w:szCs w:val="15"/>
              </w:rPr>
            </w:pPr>
            <w:r w:rsidRPr="00FD5358">
              <w:rPr>
                <w:rFonts w:cs="Arial"/>
                <w:sz w:val="15"/>
                <w:szCs w:val="15"/>
              </w:rPr>
              <w:t>5.673,39</w:t>
            </w:r>
          </w:p>
        </w:tc>
        <w:tc>
          <w:tcPr>
            <w:tcW w:w="0" w:type="auto"/>
            <w:shd w:val="clear" w:color="auto" w:fill="auto"/>
            <w:noWrap/>
            <w:tcMar>
              <w:top w:w="15" w:type="dxa"/>
              <w:left w:w="15" w:type="dxa"/>
              <w:bottom w:w="0" w:type="dxa"/>
              <w:right w:w="15" w:type="dxa"/>
            </w:tcMar>
            <w:vAlign w:val="center"/>
            <w:hideMark/>
          </w:tcPr>
          <w:p w14:paraId="76625F90"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shd w:val="clear" w:color="auto" w:fill="auto"/>
            <w:noWrap/>
            <w:tcMar>
              <w:top w:w="15" w:type="dxa"/>
              <w:left w:w="15" w:type="dxa"/>
              <w:bottom w:w="0" w:type="dxa"/>
              <w:right w:w="15" w:type="dxa"/>
            </w:tcMar>
            <w:vAlign w:val="center"/>
            <w:hideMark/>
          </w:tcPr>
          <w:p w14:paraId="36F919FD"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shd w:val="clear" w:color="auto" w:fill="auto"/>
            <w:noWrap/>
            <w:tcMar>
              <w:top w:w="15" w:type="dxa"/>
              <w:left w:w="15" w:type="dxa"/>
              <w:bottom w:w="0" w:type="dxa"/>
              <w:right w:w="15" w:type="dxa"/>
            </w:tcMar>
            <w:vAlign w:val="center"/>
            <w:hideMark/>
          </w:tcPr>
          <w:p w14:paraId="0D66D05C"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C541DE8"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20C27E0"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76260A4" w14:textId="77777777" w:rsidR="007336DC" w:rsidRPr="00FD5358" w:rsidRDefault="007336DC" w:rsidP="007727C2">
            <w:pPr>
              <w:spacing w:after="0" w:line="240" w:lineRule="auto"/>
              <w:jc w:val="right"/>
              <w:rPr>
                <w:rFonts w:cs="Arial"/>
                <w:sz w:val="15"/>
                <w:szCs w:val="15"/>
              </w:rPr>
            </w:pPr>
            <w:r w:rsidRPr="00FD5358">
              <w:rPr>
                <w:rFonts w:cs="Arial"/>
                <w:sz w:val="15"/>
                <w:szCs w:val="15"/>
              </w:rPr>
              <w:t>739,39</w:t>
            </w:r>
          </w:p>
        </w:tc>
        <w:tc>
          <w:tcPr>
            <w:tcW w:w="0" w:type="auto"/>
            <w:shd w:val="clear" w:color="auto" w:fill="auto"/>
            <w:noWrap/>
            <w:tcMar>
              <w:top w:w="15" w:type="dxa"/>
              <w:left w:w="15" w:type="dxa"/>
              <w:bottom w:w="0" w:type="dxa"/>
              <w:right w:w="15" w:type="dxa"/>
            </w:tcMar>
            <w:vAlign w:val="center"/>
            <w:hideMark/>
          </w:tcPr>
          <w:p w14:paraId="04224A20" w14:textId="77777777" w:rsidR="007336DC" w:rsidRPr="00FD5358" w:rsidRDefault="007336DC" w:rsidP="007727C2">
            <w:pPr>
              <w:spacing w:after="0" w:line="240" w:lineRule="auto"/>
              <w:jc w:val="right"/>
              <w:rPr>
                <w:rFonts w:cs="Arial"/>
                <w:sz w:val="15"/>
                <w:szCs w:val="15"/>
              </w:rPr>
            </w:pPr>
            <w:r w:rsidRPr="00FD5358">
              <w:rPr>
                <w:rFonts w:cs="Arial"/>
                <w:sz w:val="15"/>
                <w:szCs w:val="15"/>
              </w:rPr>
              <w:t>14,83</w:t>
            </w:r>
          </w:p>
        </w:tc>
        <w:tc>
          <w:tcPr>
            <w:tcW w:w="0" w:type="auto"/>
            <w:shd w:val="clear" w:color="auto" w:fill="auto"/>
            <w:noWrap/>
            <w:tcMar>
              <w:top w:w="15" w:type="dxa"/>
              <w:left w:w="15" w:type="dxa"/>
              <w:bottom w:w="0" w:type="dxa"/>
              <w:right w:w="15" w:type="dxa"/>
            </w:tcMar>
            <w:vAlign w:val="center"/>
            <w:hideMark/>
          </w:tcPr>
          <w:p w14:paraId="3282703D" w14:textId="77777777" w:rsidR="007336DC" w:rsidRPr="00FD5358" w:rsidRDefault="007336DC" w:rsidP="007727C2">
            <w:pPr>
              <w:spacing w:after="0" w:line="240" w:lineRule="auto"/>
              <w:jc w:val="right"/>
              <w:rPr>
                <w:rFonts w:cs="Arial"/>
                <w:sz w:val="15"/>
                <w:szCs w:val="15"/>
              </w:rPr>
            </w:pPr>
            <w:r w:rsidRPr="00FD5358">
              <w:rPr>
                <w:rFonts w:cs="Arial"/>
                <w:sz w:val="15"/>
                <w:szCs w:val="15"/>
              </w:rPr>
              <w:t>1,41</w:t>
            </w:r>
          </w:p>
        </w:tc>
        <w:tc>
          <w:tcPr>
            <w:tcW w:w="0" w:type="auto"/>
            <w:shd w:val="clear" w:color="auto" w:fill="auto"/>
            <w:noWrap/>
            <w:tcMar>
              <w:top w:w="15" w:type="dxa"/>
              <w:left w:w="15" w:type="dxa"/>
              <w:bottom w:w="0" w:type="dxa"/>
              <w:right w:w="15" w:type="dxa"/>
            </w:tcMar>
            <w:vAlign w:val="center"/>
            <w:hideMark/>
          </w:tcPr>
          <w:p w14:paraId="511899FE"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10.906,25</w:t>
            </w:r>
          </w:p>
        </w:tc>
        <w:tc>
          <w:tcPr>
            <w:tcW w:w="0" w:type="auto"/>
            <w:shd w:val="clear" w:color="auto" w:fill="auto"/>
            <w:noWrap/>
            <w:tcMar>
              <w:top w:w="15" w:type="dxa"/>
              <w:left w:w="15" w:type="dxa"/>
              <w:bottom w:w="0" w:type="dxa"/>
              <w:right w:w="15" w:type="dxa"/>
            </w:tcMar>
            <w:vAlign w:val="center"/>
            <w:hideMark/>
          </w:tcPr>
          <w:p w14:paraId="37D88A3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2,71%</w:t>
            </w:r>
          </w:p>
        </w:tc>
      </w:tr>
      <w:tr w:rsidR="007336DC" w:rsidRPr="00FD5358" w14:paraId="7D6BACBA"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2D00FB77"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2031</w:t>
            </w:r>
          </w:p>
        </w:tc>
        <w:tc>
          <w:tcPr>
            <w:tcW w:w="0" w:type="auto"/>
            <w:shd w:val="clear" w:color="auto" w:fill="auto"/>
            <w:noWrap/>
            <w:tcMar>
              <w:top w:w="15" w:type="dxa"/>
              <w:left w:w="15" w:type="dxa"/>
              <w:bottom w:w="0" w:type="dxa"/>
              <w:right w:w="15" w:type="dxa"/>
            </w:tcMar>
            <w:vAlign w:val="center"/>
            <w:hideMark/>
          </w:tcPr>
          <w:p w14:paraId="19BBBD2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525542FC"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BF79D02" w14:textId="77777777" w:rsidR="007336DC" w:rsidRPr="00FD5358" w:rsidRDefault="007336DC" w:rsidP="007727C2">
            <w:pPr>
              <w:spacing w:after="0" w:line="240" w:lineRule="auto"/>
              <w:jc w:val="right"/>
              <w:rPr>
                <w:rFonts w:cs="Arial"/>
                <w:sz w:val="15"/>
                <w:szCs w:val="15"/>
              </w:rPr>
            </w:pPr>
            <w:r w:rsidRPr="00FD5358">
              <w:rPr>
                <w:rFonts w:cs="Arial"/>
                <w:sz w:val="15"/>
                <w:szCs w:val="15"/>
              </w:rPr>
              <w:t>6.046,18</w:t>
            </w:r>
          </w:p>
        </w:tc>
        <w:tc>
          <w:tcPr>
            <w:tcW w:w="0" w:type="auto"/>
            <w:shd w:val="clear" w:color="auto" w:fill="auto"/>
            <w:noWrap/>
            <w:tcMar>
              <w:top w:w="15" w:type="dxa"/>
              <w:left w:w="15" w:type="dxa"/>
              <w:bottom w:w="0" w:type="dxa"/>
              <w:right w:w="15" w:type="dxa"/>
            </w:tcMar>
            <w:vAlign w:val="center"/>
            <w:hideMark/>
          </w:tcPr>
          <w:p w14:paraId="554F18F0"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shd w:val="clear" w:color="auto" w:fill="auto"/>
            <w:noWrap/>
            <w:tcMar>
              <w:top w:w="15" w:type="dxa"/>
              <w:left w:w="15" w:type="dxa"/>
              <w:bottom w:w="0" w:type="dxa"/>
              <w:right w:w="15" w:type="dxa"/>
            </w:tcMar>
            <w:vAlign w:val="center"/>
            <w:hideMark/>
          </w:tcPr>
          <w:p w14:paraId="567C8667"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shd w:val="clear" w:color="auto" w:fill="auto"/>
            <w:noWrap/>
            <w:tcMar>
              <w:top w:w="15" w:type="dxa"/>
              <w:left w:w="15" w:type="dxa"/>
              <w:bottom w:w="0" w:type="dxa"/>
              <w:right w:w="15" w:type="dxa"/>
            </w:tcMar>
            <w:vAlign w:val="center"/>
            <w:hideMark/>
          </w:tcPr>
          <w:p w14:paraId="023D07BF"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A5ED432"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2FF69A5"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B84A380" w14:textId="77777777" w:rsidR="007336DC" w:rsidRPr="00FD5358" w:rsidRDefault="007336DC" w:rsidP="007727C2">
            <w:pPr>
              <w:spacing w:after="0" w:line="240" w:lineRule="auto"/>
              <w:jc w:val="right"/>
              <w:rPr>
                <w:rFonts w:cs="Arial"/>
                <w:sz w:val="15"/>
                <w:szCs w:val="15"/>
              </w:rPr>
            </w:pPr>
            <w:r w:rsidRPr="00FD5358">
              <w:rPr>
                <w:rFonts w:cs="Arial"/>
                <w:sz w:val="15"/>
                <w:szCs w:val="15"/>
              </w:rPr>
              <w:t>530,54</w:t>
            </w:r>
          </w:p>
        </w:tc>
        <w:tc>
          <w:tcPr>
            <w:tcW w:w="0" w:type="auto"/>
            <w:shd w:val="clear" w:color="auto" w:fill="auto"/>
            <w:noWrap/>
            <w:tcMar>
              <w:top w:w="15" w:type="dxa"/>
              <w:left w:w="15" w:type="dxa"/>
              <w:bottom w:w="0" w:type="dxa"/>
              <w:right w:w="15" w:type="dxa"/>
            </w:tcMar>
            <w:vAlign w:val="center"/>
            <w:hideMark/>
          </w:tcPr>
          <w:p w14:paraId="6A81470E" w14:textId="77777777" w:rsidR="007336DC" w:rsidRPr="00FD5358" w:rsidRDefault="007336DC" w:rsidP="007727C2">
            <w:pPr>
              <w:spacing w:after="0" w:line="240" w:lineRule="auto"/>
              <w:jc w:val="right"/>
              <w:rPr>
                <w:rFonts w:cs="Arial"/>
                <w:sz w:val="15"/>
                <w:szCs w:val="15"/>
              </w:rPr>
            </w:pPr>
            <w:r w:rsidRPr="00FD5358">
              <w:rPr>
                <w:rFonts w:cs="Arial"/>
                <w:sz w:val="15"/>
                <w:szCs w:val="15"/>
              </w:rPr>
              <w:t>14,83</w:t>
            </w:r>
          </w:p>
        </w:tc>
        <w:tc>
          <w:tcPr>
            <w:tcW w:w="0" w:type="auto"/>
            <w:shd w:val="clear" w:color="auto" w:fill="auto"/>
            <w:noWrap/>
            <w:tcMar>
              <w:top w:w="15" w:type="dxa"/>
              <w:left w:w="15" w:type="dxa"/>
              <w:bottom w:w="0" w:type="dxa"/>
              <w:right w:w="15" w:type="dxa"/>
            </w:tcMar>
            <w:vAlign w:val="center"/>
            <w:hideMark/>
          </w:tcPr>
          <w:p w14:paraId="7C8FD0F4" w14:textId="77777777" w:rsidR="007336DC" w:rsidRPr="00FD5358" w:rsidRDefault="007336DC" w:rsidP="007727C2">
            <w:pPr>
              <w:spacing w:after="0" w:line="240" w:lineRule="auto"/>
              <w:jc w:val="right"/>
              <w:rPr>
                <w:rFonts w:cs="Arial"/>
                <w:sz w:val="15"/>
                <w:szCs w:val="15"/>
              </w:rPr>
            </w:pPr>
            <w:r w:rsidRPr="00FD5358">
              <w:rPr>
                <w:rFonts w:cs="Arial"/>
                <w:sz w:val="15"/>
                <w:szCs w:val="15"/>
              </w:rPr>
              <w:t>1,42</w:t>
            </w:r>
          </w:p>
        </w:tc>
        <w:tc>
          <w:tcPr>
            <w:tcW w:w="0" w:type="auto"/>
            <w:shd w:val="clear" w:color="auto" w:fill="auto"/>
            <w:noWrap/>
            <w:tcMar>
              <w:top w:w="15" w:type="dxa"/>
              <w:left w:w="15" w:type="dxa"/>
              <w:bottom w:w="0" w:type="dxa"/>
              <w:right w:w="15" w:type="dxa"/>
            </w:tcMar>
            <w:vAlign w:val="center"/>
            <w:hideMark/>
          </w:tcPr>
          <w:p w14:paraId="34501DEC"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11.070,20</w:t>
            </w:r>
          </w:p>
        </w:tc>
        <w:tc>
          <w:tcPr>
            <w:tcW w:w="0" w:type="auto"/>
            <w:shd w:val="clear" w:color="auto" w:fill="auto"/>
            <w:noWrap/>
            <w:tcMar>
              <w:top w:w="15" w:type="dxa"/>
              <w:left w:w="15" w:type="dxa"/>
              <w:bottom w:w="0" w:type="dxa"/>
              <w:right w:w="15" w:type="dxa"/>
            </w:tcMar>
            <w:vAlign w:val="center"/>
            <w:hideMark/>
          </w:tcPr>
          <w:p w14:paraId="0098B53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2,75%</w:t>
            </w:r>
          </w:p>
        </w:tc>
      </w:tr>
      <w:tr w:rsidR="007336DC" w:rsidRPr="00FD5358" w14:paraId="68559779"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26CE67EA"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2032</w:t>
            </w:r>
          </w:p>
        </w:tc>
        <w:tc>
          <w:tcPr>
            <w:tcW w:w="0" w:type="auto"/>
            <w:shd w:val="clear" w:color="auto" w:fill="auto"/>
            <w:noWrap/>
            <w:tcMar>
              <w:top w:w="15" w:type="dxa"/>
              <w:left w:w="15" w:type="dxa"/>
              <w:bottom w:w="0" w:type="dxa"/>
              <w:right w:w="15" w:type="dxa"/>
            </w:tcMar>
            <w:vAlign w:val="center"/>
            <w:hideMark/>
          </w:tcPr>
          <w:p w14:paraId="57754343"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48A25794"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706945F" w14:textId="77777777" w:rsidR="007336DC" w:rsidRPr="00FD5358" w:rsidRDefault="007336DC" w:rsidP="007727C2">
            <w:pPr>
              <w:spacing w:after="0" w:line="240" w:lineRule="auto"/>
              <w:jc w:val="right"/>
              <w:rPr>
                <w:rFonts w:cs="Arial"/>
                <w:sz w:val="15"/>
                <w:szCs w:val="15"/>
              </w:rPr>
            </w:pPr>
            <w:r w:rsidRPr="00FD5358">
              <w:rPr>
                <w:rFonts w:cs="Arial"/>
                <w:sz w:val="15"/>
                <w:szCs w:val="15"/>
              </w:rPr>
              <w:t>3.746,20</w:t>
            </w:r>
          </w:p>
        </w:tc>
        <w:tc>
          <w:tcPr>
            <w:tcW w:w="0" w:type="auto"/>
            <w:shd w:val="clear" w:color="auto" w:fill="auto"/>
            <w:noWrap/>
            <w:tcMar>
              <w:top w:w="15" w:type="dxa"/>
              <w:left w:w="15" w:type="dxa"/>
              <w:bottom w:w="0" w:type="dxa"/>
              <w:right w:w="15" w:type="dxa"/>
            </w:tcMar>
            <w:vAlign w:val="center"/>
            <w:hideMark/>
          </w:tcPr>
          <w:p w14:paraId="7276BE8D"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shd w:val="clear" w:color="auto" w:fill="auto"/>
            <w:noWrap/>
            <w:tcMar>
              <w:top w:w="15" w:type="dxa"/>
              <w:left w:w="15" w:type="dxa"/>
              <w:bottom w:w="0" w:type="dxa"/>
              <w:right w:w="15" w:type="dxa"/>
            </w:tcMar>
            <w:vAlign w:val="center"/>
            <w:hideMark/>
          </w:tcPr>
          <w:p w14:paraId="50791059"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shd w:val="clear" w:color="auto" w:fill="auto"/>
            <w:noWrap/>
            <w:tcMar>
              <w:top w:w="15" w:type="dxa"/>
              <w:left w:w="15" w:type="dxa"/>
              <w:bottom w:w="0" w:type="dxa"/>
              <w:right w:w="15" w:type="dxa"/>
            </w:tcMar>
            <w:vAlign w:val="center"/>
            <w:hideMark/>
          </w:tcPr>
          <w:p w14:paraId="4F74FA2D"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55AE7400"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0A5142B" w14:textId="77777777" w:rsidR="007336DC" w:rsidRPr="00FD5358" w:rsidRDefault="007336DC" w:rsidP="007727C2">
            <w:pPr>
              <w:spacing w:after="0" w:line="240" w:lineRule="auto"/>
              <w:jc w:val="right"/>
              <w:rPr>
                <w:rFonts w:cs="Arial"/>
                <w:sz w:val="15"/>
                <w:szCs w:val="15"/>
              </w:rPr>
            </w:pPr>
            <w:r w:rsidRPr="00FD5358">
              <w:rPr>
                <w:rFonts w:cs="Arial"/>
                <w:sz w:val="15"/>
                <w:szCs w:val="15"/>
              </w:rPr>
              <w:t>82,73</w:t>
            </w:r>
          </w:p>
        </w:tc>
        <w:tc>
          <w:tcPr>
            <w:tcW w:w="0" w:type="auto"/>
            <w:shd w:val="clear" w:color="auto" w:fill="auto"/>
            <w:noWrap/>
            <w:tcMar>
              <w:top w:w="15" w:type="dxa"/>
              <w:left w:w="15" w:type="dxa"/>
              <w:bottom w:w="0" w:type="dxa"/>
              <w:right w:w="15" w:type="dxa"/>
            </w:tcMar>
            <w:vAlign w:val="center"/>
            <w:hideMark/>
          </w:tcPr>
          <w:p w14:paraId="78038C3C" w14:textId="77777777" w:rsidR="007336DC" w:rsidRPr="00FD5358" w:rsidRDefault="007336DC" w:rsidP="007727C2">
            <w:pPr>
              <w:spacing w:after="0" w:line="240" w:lineRule="auto"/>
              <w:jc w:val="right"/>
              <w:rPr>
                <w:rFonts w:cs="Arial"/>
                <w:sz w:val="15"/>
                <w:szCs w:val="15"/>
              </w:rPr>
            </w:pPr>
            <w:r w:rsidRPr="00FD5358">
              <w:rPr>
                <w:rFonts w:cs="Arial"/>
                <w:sz w:val="15"/>
                <w:szCs w:val="15"/>
              </w:rPr>
              <w:t>725,56</w:t>
            </w:r>
          </w:p>
        </w:tc>
        <w:tc>
          <w:tcPr>
            <w:tcW w:w="0" w:type="auto"/>
            <w:shd w:val="clear" w:color="auto" w:fill="auto"/>
            <w:noWrap/>
            <w:tcMar>
              <w:top w:w="15" w:type="dxa"/>
              <w:left w:w="15" w:type="dxa"/>
              <w:bottom w:w="0" w:type="dxa"/>
              <w:right w:w="15" w:type="dxa"/>
            </w:tcMar>
            <w:vAlign w:val="center"/>
            <w:hideMark/>
          </w:tcPr>
          <w:p w14:paraId="3B27D91A" w14:textId="77777777" w:rsidR="007336DC" w:rsidRPr="00FD5358" w:rsidRDefault="007336DC" w:rsidP="007727C2">
            <w:pPr>
              <w:spacing w:after="0" w:line="240" w:lineRule="auto"/>
              <w:jc w:val="right"/>
              <w:rPr>
                <w:rFonts w:cs="Arial"/>
                <w:sz w:val="15"/>
                <w:szCs w:val="15"/>
              </w:rPr>
            </w:pPr>
            <w:r w:rsidRPr="00FD5358">
              <w:rPr>
                <w:rFonts w:cs="Arial"/>
                <w:sz w:val="15"/>
                <w:szCs w:val="15"/>
              </w:rPr>
              <w:t>14,83</w:t>
            </w:r>
          </w:p>
        </w:tc>
        <w:tc>
          <w:tcPr>
            <w:tcW w:w="0" w:type="auto"/>
            <w:shd w:val="clear" w:color="auto" w:fill="auto"/>
            <w:noWrap/>
            <w:tcMar>
              <w:top w:w="15" w:type="dxa"/>
              <w:left w:w="15" w:type="dxa"/>
              <w:bottom w:w="0" w:type="dxa"/>
              <w:right w:w="15" w:type="dxa"/>
            </w:tcMar>
            <w:vAlign w:val="center"/>
            <w:hideMark/>
          </w:tcPr>
          <w:p w14:paraId="02C0854E" w14:textId="77777777" w:rsidR="007336DC" w:rsidRPr="00FD5358" w:rsidRDefault="007336DC" w:rsidP="007727C2">
            <w:pPr>
              <w:spacing w:after="0" w:line="240" w:lineRule="auto"/>
              <w:jc w:val="right"/>
              <w:rPr>
                <w:rFonts w:cs="Arial"/>
                <w:sz w:val="15"/>
                <w:szCs w:val="15"/>
              </w:rPr>
            </w:pPr>
            <w:r w:rsidRPr="00FD5358">
              <w:rPr>
                <w:rFonts w:cs="Arial"/>
                <w:sz w:val="15"/>
                <w:szCs w:val="15"/>
              </w:rPr>
              <w:t>1,42</w:t>
            </w:r>
          </w:p>
        </w:tc>
        <w:tc>
          <w:tcPr>
            <w:tcW w:w="0" w:type="auto"/>
            <w:shd w:val="clear" w:color="auto" w:fill="auto"/>
            <w:noWrap/>
            <w:tcMar>
              <w:top w:w="15" w:type="dxa"/>
              <w:left w:w="15" w:type="dxa"/>
              <w:bottom w:w="0" w:type="dxa"/>
              <w:right w:w="15" w:type="dxa"/>
            </w:tcMar>
            <w:vAlign w:val="center"/>
            <w:hideMark/>
          </w:tcPr>
          <w:p w14:paraId="2EC6A00F"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9.047,97</w:t>
            </w:r>
          </w:p>
        </w:tc>
        <w:tc>
          <w:tcPr>
            <w:tcW w:w="0" w:type="auto"/>
            <w:shd w:val="clear" w:color="auto" w:fill="auto"/>
            <w:noWrap/>
            <w:tcMar>
              <w:top w:w="15" w:type="dxa"/>
              <w:left w:w="15" w:type="dxa"/>
              <w:bottom w:w="0" w:type="dxa"/>
              <w:right w:w="15" w:type="dxa"/>
            </w:tcMar>
            <w:vAlign w:val="center"/>
            <w:hideMark/>
          </w:tcPr>
          <w:p w14:paraId="14F7251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2,25%</w:t>
            </w:r>
          </w:p>
        </w:tc>
      </w:tr>
      <w:tr w:rsidR="007336DC" w:rsidRPr="00FD5358" w14:paraId="0FDF1964"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36A0F3CB"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2033</w:t>
            </w:r>
          </w:p>
        </w:tc>
        <w:tc>
          <w:tcPr>
            <w:tcW w:w="0" w:type="auto"/>
            <w:shd w:val="clear" w:color="auto" w:fill="auto"/>
            <w:noWrap/>
            <w:tcMar>
              <w:top w:w="15" w:type="dxa"/>
              <w:left w:w="15" w:type="dxa"/>
              <w:bottom w:w="0" w:type="dxa"/>
              <w:right w:w="15" w:type="dxa"/>
            </w:tcMar>
            <w:vAlign w:val="center"/>
            <w:hideMark/>
          </w:tcPr>
          <w:p w14:paraId="57B58FB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B57E2BB"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5A20C0F" w14:textId="77777777" w:rsidR="007336DC" w:rsidRPr="00FD5358" w:rsidRDefault="007336DC" w:rsidP="007727C2">
            <w:pPr>
              <w:spacing w:after="0" w:line="240" w:lineRule="auto"/>
              <w:jc w:val="right"/>
              <w:rPr>
                <w:rFonts w:cs="Arial"/>
                <w:sz w:val="15"/>
                <w:szCs w:val="15"/>
              </w:rPr>
            </w:pPr>
            <w:r w:rsidRPr="00FD5358">
              <w:rPr>
                <w:rFonts w:cs="Arial"/>
                <w:sz w:val="15"/>
                <w:szCs w:val="15"/>
              </w:rPr>
              <w:t>12.013,43</w:t>
            </w:r>
          </w:p>
        </w:tc>
        <w:tc>
          <w:tcPr>
            <w:tcW w:w="0" w:type="auto"/>
            <w:shd w:val="clear" w:color="auto" w:fill="auto"/>
            <w:noWrap/>
            <w:tcMar>
              <w:top w:w="15" w:type="dxa"/>
              <w:left w:w="15" w:type="dxa"/>
              <w:bottom w:w="0" w:type="dxa"/>
              <w:right w:w="15" w:type="dxa"/>
            </w:tcMar>
            <w:vAlign w:val="center"/>
            <w:hideMark/>
          </w:tcPr>
          <w:p w14:paraId="54B5531F"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shd w:val="clear" w:color="auto" w:fill="auto"/>
            <w:noWrap/>
            <w:tcMar>
              <w:top w:w="15" w:type="dxa"/>
              <w:left w:w="15" w:type="dxa"/>
              <w:bottom w:w="0" w:type="dxa"/>
              <w:right w:w="15" w:type="dxa"/>
            </w:tcMar>
            <w:vAlign w:val="center"/>
            <w:hideMark/>
          </w:tcPr>
          <w:p w14:paraId="4B42A487"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shd w:val="clear" w:color="auto" w:fill="auto"/>
            <w:noWrap/>
            <w:tcMar>
              <w:top w:w="15" w:type="dxa"/>
              <w:left w:w="15" w:type="dxa"/>
              <w:bottom w:w="0" w:type="dxa"/>
              <w:right w:w="15" w:type="dxa"/>
            </w:tcMar>
            <w:vAlign w:val="center"/>
            <w:hideMark/>
          </w:tcPr>
          <w:p w14:paraId="56AEA7D5"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5697996"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A6A35DA" w14:textId="77777777" w:rsidR="007336DC" w:rsidRPr="00FD5358" w:rsidRDefault="007336DC" w:rsidP="007727C2">
            <w:pPr>
              <w:spacing w:after="0" w:line="240" w:lineRule="auto"/>
              <w:jc w:val="right"/>
              <w:rPr>
                <w:rFonts w:cs="Arial"/>
                <w:sz w:val="15"/>
                <w:szCs w:val="15"/>
              </w:rPr>
            </w:pPr>
            <w:r w:rsidRPr="00FD5358">
              <w:rPr>
                <w:rFonts w:cs="Arial"/>
                <w:sz w:val="15"/>
                <w:szCs w:val="15"/>
              </w:rPr>
              <w:t>175,00</w:t>
            </w:r>
          </w:p>
        </w:tc>
        <w:tc>
          <w:tcPr>
            <w:tcW w:w="0" w:type="auto"/>
            <w:shd w:val="clear" w:color="auto" w:fill="auto"/>
            <w:noWrap/>
            <w:tcMar>
              <w:top w:w="15" w:type="dxa"/>
              <w:left w:w="15" w:type="dxa"/>
              <w:bottom w:w="0" w:type="dxa"/>
              <w:right w:w="15" w:type="dxa"/>
            </w:tcMar>
            <w:vAlign w:val="center"/>
            <w:hideMark/>
          </w:tcPr>
          <w:p w14:paraId="17A0B52E" w14:textId="77777777" w:rsidR="007336DC" w:rsidRPr="00FD5358" w:rsidRDefault="007336DC" w:rsidP="007727C2">
            <w:pPr>
              <w:spacing w:after="0" w:line="240" w:lineRule="auto"/>
              <w:jc w:val="right"/>
              <w:rPr>
                <w:rFonts w:cs="Arial"/>
                <w:sz w:val="15"/>
                <w:szCs w:val="15"/>
              </w:rPr>
            </w:pPr>
            <w:r w:rsidRPr="00FD5358">
              <w:rPr>
                <w:rFonts w:cs="Arial"/>
                <w:sz w:val="15"/>
                <w:szCs w:val="15"/>
              </w:rPr>
              <w:t>590,31</w:t>
            </w:r>
          </w:p>
        </w:tc>
        <w:tc>
          <w:tcPr>
            <w:tcW w:w="0" w:type="auto"/>
            <w:shd w:val="clear" w:color="auto" w:fill="auto"/>
            <w:noWrap/>
            <w:tcMar>
              <w:top w:w="15" w:type="dxa"/>
              <w:left w:w="15" w:type="dxa"/>
              <w:bottom w:w="0" w:type="dxa"/>
              <w:right w:w="15" w:type="dxa"/>
            </w:tcMar>
            <w:vAlign w:val="center"/>
            <w:hideMark/>
          </w:tcPr>
          <w:p w14:paraId="0B53560B" w14:textId="77777777" w:rsidR="007336DC" w:rsidRPr="00FD5358" w:rsidRDefault="007336DC" w:rsidP="007727C2">
            <w:pPr>
              <w:spacing w:after="0" w:line="240" w:lineRule="auto"/>
              <w:jc w:val="right"/>
              <w:rPr>
                <w:rFonts w:cs="Arial"/>
                <w:sz w:val="15"/>
                <w:szCs w:val="15"/>
              </w:rPr>
            </w:pPr>
            <w:r w:rsidRPr="00FD5358">
              <w:rPr>
                <w:rFonts w:cs="Arial"/>
                <w:sz w:val="15"/>
                <w:szCs w:val="15"/>
              </w:rPr>
              <w:t>9,65</w:t>
            </w:r>
          </w:p>
        </w:tc>
        <w:tc>
          <w:tcPr>
            <w:tcW w:w="0" w:type="auto"/>
            <w:shd w:val="clear" w:color="auto" w:fill="auto"/>
            <w:noWrap/>
            <w:tcMar>
              <w:top w:w="15" w:type="dxa"/>
              <w:left w:w="15" w:type="dxa"/>
              <w:bottom w:w="0" w:type="dxa"/>
              <w:right w:w="15" w:type="dxa"/>
            </w:tcMar>
            <w:vAlign w:val="center"/>
            <w:hideMark/>
          </w:tcPr>
          <w:p w14:paraId="17189D8B" w14:textId="77777777" w:rsidR="007336DC" w:rsidRPr="00FD5358" w:rsidRDefault="007336DC" w:rsidP="007727C2">
            <w:pPr>
              <w:spacing w:after="0" w:line="240" w:lineRule="auto"/>
              <w:jc w:val="right"/>
              <w:rPr>
                <w:rFonts w:cs="Arial"/>
                <w:sz w:val="15"/>
                <w:szCs w:val="15"/>
              </w:rPr>
            </w:pPr>
            <w:r w:rsidRPr="00FD5358">
              <w:rPr>
                <w:rFonts w:cs="Arial"/>
                <w:sz w:val="15"/>
                <w:szCs w:val="15"/>
              </w:rPr>
              <w:t>0,21</w:t>
            </w:r>
          </w:p>
        </w:tc>
        <w:tc>
          <w:tcPr>
            <w:tcW w:w="0" w:type="auto"/>
            <w:shd w:val="clear" w:color="auto" w:fill="auto"/>
            <w:noWrap/>
            <w:tcMar>
              <w:top w:w="15" w:type="dxa"/>
              <w:left w:w="15" w:type="dxa"/>
              <w:bottom w:w="0" w:type="dxa"/>
              <w:right w:w="15" w:type="dxa"/>
            </w:tcMar>
            <w:vAlign w:val="center"/>
            <w:hideMark/>
          </w:tcPr>
          <w:p w14:paraId="2660A428"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17.265,82</w:t>
            </w:r>
          </w:p>
        </w:tc>
        <w:tc>
          <w:tcPr>
            <w:tcW w:w="0" w:type="auto"/>
            <w:shd w:val="clear" w:color="auto" w:fill="auto"/>
            <w:noWrap/>
            <w:tcMar>
              <w:top w:w="15" w:type="dxa"/>
              <w:left w:w="15" w:type="dxa"/>
              <w:bottom w:w="0" w:type="dxa"/>
              <w:right w:w="15" w:type="dxa"/>
            </w:tcMar>
            <w:vAlign w:val="center"/>
            <w:hideMark/>
          </w:tcPr>
          <w:p w14:paraId="64865105"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4,29%</w:t>
            </w:r>
          </w:p>
        </w:tc>
      </w:tr>
      <w:tr w:rsidR="007336DC" w:rsidRPr="00FD5358" w14:paraId="5AE5DCD1"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7CDDCC5E"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2034</w:t>
            </w:r>
          </w:p>
        </w:tc>
        <w:tc>
          <w:tcPr>
            <w:tcW w:w="0" w:type="auto"/>
            <w:shd w:val="clear" w:color="auto" w:fill="auto"/>
            <w:noWrap/>
            <w:tcMar>
              <w:top w:w="15" w:type="dxa"/>
              <w:left w:w="15" w:type="dxa"/>
              <w:bottom w:w="0" w:type="dxa"/>
              <w:right w:w="15" w:type="dxa"/>
            </w:tcMar>
            <w:vAlign w:val="center"/>
            <w:hideMark/>
          </w:tcPr>
          <w:p w14:paraId="63F63772"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77B9EFA5"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32B87FA" w14:textId="77777777" w:rsidR="007336DC" w:rsidRPr="00FD5358" w:rsidRDefault="007336DC" w:rsidP="007727C2">
            <w:pPr>
              <w:spacing w:after="0" w:line="240" w:lineRule="auto"/>
              <w:jc w:val="right"/>
              <w:rPr>
                <w:rFonts w:cs="Arial"/>
                <w:sz w:val="15"/>
                <w:szCs w:val="15"/>
              </w:rPr>
            </w:pPr>
            <w:r w:rsidRPr="00FD5358">
              <w:rPr>
                <w:rFonts w:cs="Arial"/>
                <w:sz w:val="15"/>
                <w:szCs w:val="15"/>
              </w:rPr>
              <w:t>5.306,39</w:t>
            </w:r>
          </w:p>
        </w:tc>
        <w:tc>
          <w:tcPr>
            <w:tcW w:w="0" w:type="auto"/>
            <w:shd w:val="clear" w:color="auto" w:fill="auto"/>
            <w:noWrap/>
            <w:tcMar>
              <w:top w:w="15" w:type="dxa"/>
              <w:left w:w="15" w:type="dxa"/>
              <w:bottom w:w="0" w:type="dxa"/>
              <w:right w:w="15" w:type="dxa"/>
            </w:tcMar>
            <w:vAlign w:val="center"/>
            <w:hideMark/>
          </w:tcPr>
          <w:p w14:paraId="280C3F30"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shd w:val="clear" w:color="auto" w:fill="auto"/>
            <w:noWrap/>
            <w:tcMar>
              <w:top w:w="15" w:type="dxa"/>
              <w:left w:w="15" w:type="dxa"/>
              <w:bottom w:w="0" w:type="dxa"/>
              <w:right w:w="15" w:type="dxa"/>
            </w:tcMar>
            <w:vAlign w:val="center"/>
            <w:hideMark/>
          </w:tcPr>
          <w:p w14:paraId="78E0E535"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shd w:val="clear" w:color="auto" w:fill="auto"/>
            <w:noWrap/>
            <w:tcMar>
              <w:top w:w="15" w:type="dxa"/>
              <w:left w:w="15" w:type="dxa"/>
              <w:bottom w:w="0" w:type="dxa"/>
              <w:right w:w="15" w:type="dxa"/>
            </w:tcMar>
            <w:vAlign w:val="center"/>
            <w:hideMark/>
          </w:tcPr>
          <w:p w14:paraId="66C61B1C" w14:textId="77777777" w:rsidR="007336DC" w:rsidRPr="00FD5358" w:rsidRDefault="007336DC" w:rsidP="007727C2">
            <w:pPr>
              <w:spacing w:after="0" w:line="240" w:lineRule="auto"/>
              <w:jc w:val="right"/>
              <w:rPr>
                <w:rFonts w:cs="Arial"/>
                <w:sz w:val="15"/>
                <w:szCs w:val="15"/>
              </w:rPr>
            </w:pPr>
            <w:r w:rsidRPr="00FD5358">
              <w:rPr>
                <w:rFonts w:cs="Arial"/>
                <w:sz w:val="15"/>
                <w:szCs w:val="15"/>
              </w:rPr>
              <w:t>661,51</w:t>
            </w:r>
          </w:p>
        </w:tc>
        <w:tc>
          <w:tcPr>
            <w:tcW w:w="0" w:type="auto"/>
            <w:shd w:val="clear" w:color="auto" w:fill="auto"/>
            <w:noWrap/>
            <w:tcMar>
              <w:top w:w="15" w:type="dxa"/>
              <w:left w:w="15" w:type="dxa"/>
              <w:bottom w:w="0" w:type="dxa"/>
              <w:right w:w="15" w:type="dxa"/>
            </w:tcMar>
            <w:vAlign w:val="center"/>
            <w:hideMark/>
          </w:tcPr>
          <w:p w14:paraId="590B00EC"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62F5253" w14:textId="77777777" w:rsidR="007336DC" w:rsidRPr="00FD5358" w:rsidRDefault="007336DC" w:rsidP="007727C2">
            <w:pPr>
              <w:spacing w:after="0" w:line="240" w:lineRule="auto"/>
              <w:jc w:val="right"/>
              <w:rPr>
                <w:rFonts w:cs="Arial"/>
                <w:sz w:val="15"/>
                <w:szCs w:val="15"/>
              </w:rPr>
            </w:pPr>
            <w:r w:rsidRPr="00FD5358">
              <w:rPr>
                <w:rFonts w:cs="Arial"/>
                <w:sz w:val="15"/>
                <w:szCs w:val="15"/>
              </w:rPr>
              <w:t>364,67</w:t>
            </w:r>
          </w:p>
        </w:tc>
        <w:tc>
          <w:tcPr>
            <w:tcW w:w="0" w:type="auto"/>
            <w:shd w:val="clear" w:color="auto" w:fill="auto"/>
            <w:noWrap/>
            <w:tcMar>
              <w:top w:w="15" w:type="dxa"/>
              <w:left w:w="15" w:type="dxa"/>
              <w:bottom w:w="0" w:type="dxa"/>
              <w:right w:w="15" w:type="dxa"/>
            </w:tcMar>
            <w:vAlign w:val="center"/>
            <w:hideMark/>
          </w:tcPr>
          <w:p w14:paraId="307605E8" w14:textId="77777777" w:rsidR="007336DC" w:rsidRPr="00FD5358" w:rsidRDefault="007336DC" w:rsidP="007727C2">
            <w:pPr>
              <w:spacing w:after="0" w:line="240" w:lineRule="auto"/>
              <w:jc w:val="right"/>
              <w:rPr>
                <w:rFonts w:cs="Arial"/>
                <w:sz w:val="15"/>
                <w:szCs w:val="15"/>
              </w:rPr>
            </w:pPr>
            <w:r w:rsidRPr="00FD5358">
              <w:rPr>
                <w:rFonts w:cs="Arial"/>
                <w:sz w:val="15"/>
                <w:szCs w:val="15"/>
              </w:rPr>
              <w:t>84,17</w:t>
            </w:r>
          </w:p>
        </w:tc>
        <w:tc>
          <w:tcPr>
            <w:tcW w:w="0" w:type="auto"/>
            <w:shd w:val="clear" w:color="auto" w:fill="auto"/>
            <w:noWrap/>
            <w:tcMar>
              <w:top w:w="15" w:type="dxa"/>
              <w:left w:w="15" w:type="dxa"/>
              <w:bottom w:w="0" w:type="dxa"/>
              <w:right w:w="15" w:type="dxa"/>
            </w:tcMar>
            <w:vAlign w:val="center"/>
            <w:hideMark/>
          </w:tcPr>
          <w:p w14:paraId="3ACD6142" w14:textId="77777777" w:rsidR="007336DC" w:rsidRPr="00FD5358" w:rsidRDefault="007336DC" w:rsidP="007727C2">
            <w:pPr>
              <w:spacing w:after="0" w:line="240" w:lineRule="auto"/>
              <w:jc w:val="right"/>
              <w:rPr>
                <w:rFonts w:cs="Arial"/>
                <w:sz w:val="15"/>
                <w:szCs w:val="15"/>
              </w:rPr>
            </w:pPr>
            <w:r w:rsidRPr="00FD5358">
              <w:rPr>
                <w:rFonts w:cs="Arial"/>
                <w:sz w:val="15"/>
                <w:szCs w:val="15"/>
              </w:rPr>
              <w:t>8,82</w:t>
            </w:r>
          </w:p>
        </w:tc>
        <w:tc>
          <w:tcPr>
            <w:tcW w:w="0" w:type="auto"/>
            <w:shd w:val="clear" w:color="auto" w:fill="auto"/>
            <w:noWrap/>
            <w:tcMar>
              <w:top w:w="15" w:type="dxa"/>
              <w:left w:w="15" w:type="dxa"/>
              <w:bottom w:w="0" w:type="dxa"/>
              <w:right w:w="15" w:type="dxa"/>
            </w:tcMar>
            <w:vAlign w:val="center"/>
            <w:hideMark/>
          </w:tcPr>
          <w:p w14:paraId="741901DB" w14:textId="77777777" w:rsidR="007336DC" w:rsidRPr="00FD5358" w:rsidRDefault="007336DC" w:rsidP="007727C2">
            <w:pPr>
              <w:spacing w:after="0" w:line="240" w:lineRule="auto"/>
              <w:jc w:val="right"/>
              <w:rPr>
                <w:rFonts w:cs="Arial"/>
                <w:sz w:val="15"/>
                <w:szCs w:val="15"/>
              </w:rPr>
            </w:pPr>
            <w:r w:rsidRPr="00FD5358">
              <w:rPr>
                <w:rFonts w:cs="Arial"/>
                <w:sz w:val="15"/>
                <w:szCs w:val="15"/>
              </w:rPr>
              <w:t>0,21</w:t>
            </w:r>
          </w:p>
        </w:tc>
        <w:tc>
          <w:tcPr>
            <w:tcW w:w="0" w:type="auto"/>
            <w:shd w:val="clear" w:color="auto" w:fill="auto"/>
            <w:noWrap/>
            <w:tcMar>
              <w:top w:w="15" w:type="dxa"/>
              <w:left w:w="15" w:type="dxa"/>
              <w:bottom w:w="0" w:type="dxa"/>
              <w:right w:w="15" w:type="dxa"/>
            </w:tcMar>
            <w:vAlign w:val="center"/>
            <w:hideMark/>
          </w:tcPr>
          <w:p w14:paraId="7E69297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10.903,00</w:t>
            </w:r>
          </w:p>
        </w:tc>
        <w:tc>
          <w:tcPr>
            <w:tcW w:w="0" w:type="auto"/>
            <w:shd w:val="clear" w:color="auto" w:fill="auto"/>
            <w:noWrap/>
            <w:tcMar>
              <w:top w:w="15" w:type="dxa"/>
              <w:left w:w="15" w:type="dxa"/>
              <w:bottom w:w="0" w:type="dxa"/>
              <w:right w:w="15" w:type="dxa"/>
            </w:tcMar>
            <w:vAlign w:val="center"/>
            <w:hideMark/>
          </w:tcPr>
          <w:p w14:paraId="2367A9B2"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2,71%</w:t>
            </w:r>
          </w:p>
        </w:tc>
      </w:tr>
      <w:tr w:rsidR="007336DC" w:rsidRPr="00FD5358" w14:paraId="3A97EF8B"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3F551EE2"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2035</w:t>
            </w:r>
          </w:p>
        </w:tc>
        <w:tc>
          <w:tcPr>
            <w:tcW w:w="0" w:type="auto"/>
            <w:shd w:val="clear" w:color="auto" w:fill="auto"/>
            <w:noWrap/>
            <w:tcMar>
              <w:top w:w="15" w:type="dxa"/>
              <w:left w:w="15" w:type="dxa"/>
              <w:bottom w:w="0" w:type="dxa"/>
              <w:right w:w="15" w:type="dxa"/>
            </w:tcMar>
            <w:vAlign w:val="center"/>
            <w:hideMark/>
          </w:tcPr>
          <w:p w14:paraId="3F8E9F97"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5D8D3560"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D4595B2" w14:textId="77777777" w:rsidR="007336DC" w:rsidRPr="00FD5358" w:rsidRDefault="007336DC" w:rsidP="007727C2">
            <w:pPr>
              <w:spacing w:after="0" w:line="240" w:lineRule="auto"/>
              <w:jc w:val="right"/>
              <w:rPr>
                <w:rFonts w:cs="Arial"/>
                <w:sz w:val="15"/>
                <w:szCs w:val="15"/>
              </w:rPr>
            </w:pPr>
            <w:r w:rsidRPr="00FD5358">
              <w:rPr>
                <w:rFonts w:cs="Arial"/>
                <w:sz w:val="15"/>
                <w:szCs w:val="15"/>
              </w:rPr>
              <w:t>9.243,83</w:t>
            </w:r>
          </w:p>
        </w:tc>
        <w:tc>
          <w:tcPr>
            <w:tcW w:w="0" w:type="auto"/>
            <w:shd w:val="clear" w:color="auto" w:fill="auto"/>
            <w:noWrap/>
            <w:tcMar>
              <w:top w:w="15" w:type="dxa"/>
              <w:left w:w="15" w:type="dxa"/>
              <w:bottom w:w="0" w:type="dxa"/>
              <w:right w:w="15" w:type="dxa"/>
            </w:tcMar>
            <w:vAlign w:val="center"/>
            <w:hideMark/>
          </w:tcPr>
          <w:p w14:paraId="418C7DC5"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shd w:val="clear" w:color="auto" w:fill="auto"/>
            <w:noWrap/>
            <w:tcMar>
              <w:top w:w="15" w:type="dxa"/>
              <w:left w:w="15" w:type="dxa"/>
              <w:bottom w:w="0" w:type="dxa"/>
              <w:right w:w="15" w:type="dxa"/>
            </w:tcMar>
            <w:vAlign w:val="center"/>
            <w:hideMark/>
          </w:tcPr>
          <w:p w14:paraId="45C1B992"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shd w:val="clear" w:color="auto" w:fill="auto"/>
            <w:noWrap/>
            <w:tcMar>
              <w:top w:w="15" w:type="dxa"/>
              <w:left w:w="15" w:type="dxa"/>
              <w:bottom w:w="0" w:type="dxa"/>
              <w:right w:w="15" w:type="dxa"/>
            </w:tcMar>
            <w:vAlign w:val="center"/>
            <w:hideMark/>
          </w:tcPr>
          <w:p w14:paraId="33F8E910" w14:textId="77777777" w:rsidR="007336DC" w:rsidRPr="00FD5358" w:rsidRDefault="007336DC" w:rsidP="007727C2">
            <w:pPr>
              <w:spacing w:after="0" w:line="240" w:lineRule="auto"/>
              <w:jc w:val="right"/>
              <w:rPr>
                <w:rFonts w:cs="Arial"/>
                <w:sz w:val="15"/>
                <w:szCs w:val="15"/>
              </w:rPr>
            </w:pPr>
            <w:r w:rsidRPr="00FD5358">
              <w:rPr>
                <w:rFonts w:cs="Arial"/>
                <w:sz w:val="15"/>
                <w:szCs w:val="15"/>
              </w:rPr>
              <w:t>1.143,68</w:t>
            </w:r>
          </w:p>
        </w:tc>
        <w:tc>
          <w:tcPr>
            <w:tcW w:w="0" w:type="auto"/>
            <w:shd w:val="clear" w:color="auto" w:fill="auto"/>
            <w:noWrap/>
            <w:tcMar>
              <w:top w:w="15" w:type="dxa"/>
              <w:left w:w="15" w:type="dxa"/>
              <w:bottom w:w="0" w:type="dxa"/>
              <w:right w:w="15" w:type="dxa"/>
            </w:tcMar>
            <w:vAlign w:val="center"/>
            <w:hideMark/>
          </w:tcPr>
          <w:p w14:paraId="6F11C82D"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8395D7D" w14:textId="77777777" w:rsidR="007336DC" w:rsidRPr="00FD5358" w:rsidRDefault="007336DC" w:rsidP="007727C2">
            <w:pPr>
              <w:spacing w:after="0" w:line="240" w:lineRule="auto"/>
              <w:jc w:val="right"/>
              <w:rPr>
                <w:rFonts w:cs="Arial"/>
                <w:sz w:val="15"/>
                <w:szCs w:val="15"/>
              </w:rPr>
            </w:pPr>
            <w:r w:rsidRPr="00FD5358">
              <w:rPr>
                <w:rFonts w:cs="Arial"/>
                <w:sz w:val="15"/>
                <w:szCs w:val="15"/>
              </w:rPr>
              <w:t>481,03</w:t>
            </w:r>
          </w:p>
        </w:tc>
        <w:tc>
          <w:tcPr>
            <w:tcW w:w="0" w:type="auto"/>
            <w:shd w:val="clear" w:color="auto" w:fill="auto"/>
            <w:noWrap/>
            <w:tcMar>
              <w:top w:w="15" w:type="dxa"/>
              <w:left w:w="15" w:type="dxa"/>
              <w:bottom w:w="0" w:type="dxa"/>
              <w:right w:w="15" w:type="dxa"/>
            </w:tcMar>
            <w:vAlign w:val="center"/>
            <w:hideMark/>
          </w:tcPr>
          <w:p w14:paraId="6BC430B1" w14:textId="77777777" w:rsidR="007336DC" w:rsidRPr="00FD5358" w:rsidRDefault="007336DC" w:rsidP="007727C2">
            <w:pPr>
              <w:spacing w:after="0" w:line="240" w:lineRule="auto"/>
              <w:jc w:val="right"/>
              <w:rPr>
                <w:rFonts w:cs="Arial"/>
                <w:sz w:val="15"/>
                <w:szCs w:val="15"/>
              </w:rPr>
            </w:pPr>
            <w:r w:rsidRPr="00FD5358">
              <w:rPr>
                <w:rFonts w:cs="Arial"/>
                <w:sz w:val="15"/>
                <w:szCs w:val="15"/>
              </w:rPr>
              <w:t>220,80</w:t>
            </w:r>
          </w:p>
        </w:tc>
        <w:tc>
          <w:tcPr>
            <w:tcW w:w="0" w:type="auto"/>
            <w:shd w:val="clear" w:color="auto" w:fill="auto"/>
            <w:noWrap/>
            <w:tcMar>
              <w:top w:w="15" w:type="dxa"/>
              <w:left w:w="15" w:type="dxa"/>
              <w:bottom w:w="0" w:type="dxa"/>
              <w:right w:w="15" w:type="dxa"/>
            </w:tcMar>
            <w:vAlign w:val="center"/>
            <w:hideMark/>
          </w:tcPr>
          <w:p w14:paraId="608CDD8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171C4FC1" w14:textId="77777777" w:rsidR="007336DC" w:rsidRPr="00FD5358" w:rsidRDefault="007336DC" w:rsidP="007727C2">
            <w:pPr>
              <w:spacing w:after="0" w:line="240" w:lineRule="auto"/>
              <w:jc w:val="right"/>
              <w:rPr>
                <w:rFonts w:cs="Arial"/>
                <w:sz w:val="15"/>
                <w:szCs w:val="15"/>
              </w:rPr>
            </w:pPr>
            <w:r w:rsidRPr="00FD5358">
              <w:rPr>
                <w:rFonts w:cs="Arial"/>
                <w:sz w:val="15"/>
                <w:szCs w:val="15"/>
              </w:rPr>
              <w:t>0,22</w:t>
            </w:r>
          </w:p>
        </w:tc>
        <w:tc>
          <w:tcPr>
            <w:tcW w:w="0" w:type="auto"/>
            <w:shd w:val="clear" w:color="auto" w:fill="auto"/>
            <w:noWrap/>
            <w:tcMar>
              <w:top w:w="15" w:type="dxa"/>
              <w:left w:w="15" w:type="dxa"/>
              <w:bottom w:w="0" w:type="dxa"/>
              <w:right w:w="15" w:type="dxa"/>
            </w:tcMar>
            <w:vAlign w:val="center"/>
            <w:hideMark/>
          </w:tcPr>
          <w:p w14:paraId="342C575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15.566,77</w:t>
            </w:r>
          </w:p>
        </w:tc>
        <w:tc>
          <w:tcPr>
            <w:tcW w:w="0" w:type="auto"/>
            <w:shd w:val="clear" w:color="auto" w:fill="auto"/>
            <w:noWrap/>
            <w:tcMar>
              <w:top w:w="15" w:type="dxa"/>
              <w:left w:w="15" w:type="dxa"/>
              <w:bottom w:w="0" w:type="dxa"/>
              <w:right w:w="15" w:type="dxa"/>
            </w:tcMar>
            <w:vAlign w:val="center"/>
            <w:hideMark/>
          </w:tcPr>
          <w:p w14:paraId="241E5462"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3,87%</w:t>
            </w:r>
          </w:p>
        </w:tc>
      </w:tr>
      <w:tr w:rsidR="007336DC" w:rsidRPr="00FD5358" w14:paraId="6463D619"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71CD8D52"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2036</w:t>
            </w:r>
          </w:p>
        </w:tc>
        <w:tc>
          <w:tcPr>
            <w:tcW w:w="0" w:type="auto"/>
            <w:shd w:val="clear" w:color="auto" w:fill="auto"/>
            <w:noWrap/>
            <w:tcMar>
              <w:top w:w="15" w:type="dxa"/>
              <w:left w:w="15" w:type="dxa"/>
              <w:bottom w:w="0" w:type="dxa"/>
              <w:right w:w="15" w:type="dxa"/>
            </w:tcMar>
            <w:vAlign w:val="center"/>
            <w:hideMark/>
          </w:tcPr>
          <w:p w14:paraId="75B37D3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01D7C60F"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DD5D28A" w14:textId="77777777" w:rsidR="007336DC" w:rsidRPr="00FD5358" w:rsidRDefault="007336DC" w:rsidP="007727C2">
            <w:pPr>
              <w:spacing w:after="0" w:line="240" w:lineRule="auto"/>
              <w:jc w:val="right"/>
              <w:rPr>
                <w:rFonts w:cs="Arial"/>
                <w:sz w:val="15"/>
                <w:szCs w:val="15"/>
              </w:rPr>
            </w:pPr>
            <w:r w:rsidRPr="00FD5358">
              <w:rPr>
                <w:rFonts w:cs="Arial"/>
                <w:sz w:val="15"/>
                <w:szCs w:val="15"/>
              </w:rPr>
              <w:t>44,20</w:t>
            </w:r>
          </w:p>
        </w:tc>
        <w:tc>
          <w:tcPr>
            <w:tcW w:w="0" w:type="auto"/>
            <w:shd w:val="clear" w:color="auto" w:fill="auto"/>
            <w:noWrap/>
            <w:tcMar>
              <w:top w:w="15" w:type="dxa"/>
              <w:left w:w="15" w:type="dxa"/>
              <w:bottom w:w="0" w:type="dxa"/>
              <w:right w:w="15" w:type="dxa"/>
            </w:tcMar>
            <w:vAlign w:val="center"/>
            <w:hideMark/>
          </w:tcPr>
          <w:p w14:paraId="1EFACE9B"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shd w:val="clear" w:color="auto" w:fill="auto"/>
            <w:noWrap/>
            <w:tcMar>
              <w:top w:w="15" w:type="dxa"/>
              <w:left w:w="15" w:type="dxa"/>
              <w:bottom w:w="0" w:type="dxa"/>
              <w:right w:w="15" w:type="dxa"/>
            </w:tcMar>
            <w:vAlign w:val="center"/>
            <w:hideMark/>
          </w:tcPr>
          <w:p w14:paraId="16D4CBF4"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shd w:val="clear" w:color="auto" w:fill="auto"/>
            <w:noWrap/>
            <w:tcMar>
              <w:top w:w="15" w:type="dxa"/>
              <w:left w:w="15" w:type="dxa"/>
              <w:bottom w:w="0" w:type="dxa"/>
              <w:right w:w="15" w:type="dxa"/>
            </w:tcMar>
            <w:vAlign w:val="center"/>
            <w:hideMark/>
          </w:tcPr>
          <w:p w14:paraId="7CA11997" w14:textId="77777777" w:rsidR="007336DC" w:rsidRPr="00FD5358" w:rsidRDefault="007336DC" w:rsidP="007727C2">
            <w:pPr>
              <w:spacing w:after="0" w:line="240" w:lineRule="auto"/>
              <w:jc w:val="right"/>
              <w:rPr>
                <w:rFonts w:cs="Arial"/>
                <w:sz w:val="15"/>
                <w:szCs w:val="15"/>
              </w:rPr>
            </w:pPr>
            <w:r w:rsidRPr="00FD5358">
              <w:rPr>
                <w:rFonts w:cs="Arial"/>
                <w:sz w:val="15"/>
                <w:szCs w:val="15"/>
              </w:rPr>
              <w:t>1.161,08</w:t>
            </w:r>
          </w:p>
        </w:tc>
        <w:tc>
          <w:tcPr>
            <w:tcW w:w="0" w:type="auto"/>
            <w:shd w:val="clear" w:color="auto" w:fill="auto"/>
            <w:noWrap/>
            <w:tcMar>
              <w:top w:w="15" w:type="dxa"/>
              <w:left w:w="15" w:type="dxa"/>
              <w:bottom w:w="0" w:type="dxa"/>
              <w:right w:w="15" w:type="dxa"/>
            </w:tcMar>
            <w:vAlign w:val="center"/>
            <w:hideMark/>
          </w:tcPr>
          <w:p w14:paraId="4B5FC0C6"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3733CC7"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shd w:val="clear" w:color="auto" w:fill="auto"/>
            <w:noWrap/>
            <w:tcMar>
              <w:top w:w="15" w:type="dxa"/>
              <w:left w:w="15" w:type="dxa"/>
              <w:bottom w:w="0" w:type="dxa"/>
              <w:right w:w="15" w:type="dxa"/>
            </w:tcMar>
            <w:vAlign w:val="center"/>
            <w:hideMark/>
          </w:tcPr>
          <w:p w14:paraId="66EF77C1" w14:textId="77777777" w:rsidR="007336DC" w:rsidRPr="00FD5358" w:rsidRDefault="007336DC" w:rsidP="007727C2">
            <w:pPr>
              <w:spacing w:after="0" w:line="240" w:lineRule="auto"/>
              <w:jc w:val="right"/>
              <w:rPr>
                <w:rFonts w:cs="Arial"/>
                <w:sz w:val="15"/>
                <w:szCs w:val="15"/>
              </w:rPr>
            </w:pPr>
            <w:r w:rsidRPr="00FD5358">
              <w:rPr>
                <w:rFonts w:cs="Arial"/>
                <w:sz w:val="15"/>
                <w:szCs w:val="15"/>
              </w:rPr>
              <w:t>401,16</w:t>
            </w:r>
          </w:p>
        </w:tc>
        <w:tc>
          <w:tcPr>
            <w:tcW w:w="0" w:type="auto"/>
            <w:shd w:val="clear" w:color="auto" w:fill="auto"/>
            <w:noWrap/>
            <w:tcMar>
              <w:top w:w="15" w:type="dxa"/>
              <w:left w:w="15" w:type="dxa"/>
              <w:bottom w:w="0" w:type="dxa"/>
              <w:right w:w="15" w:type="dxa"/>
            </w:tcMar>
            <w:vAlign w:val="center"/>
            <w:hideMark/>
          </w:tcPr>
          <w:p w14:paraId="0BD222AC"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1788E81E" w14:textId="77777777" w:rsidR="007336DC" w:rsidRPr="00FD5358" w:rsidRDefault="007336DC" w:rsidP="007727C2">
            <w:pPr>
              <w:spacing w:after="0" w:line="240" w:lineRule="auto"/>
              <w:jc w:val="right"/>
              <w:rPr>
                <w:rFonts w:cs="Arial"/>
                <w:sz w:val="15"/>
                <w:szCs w:val="15"/>
              </w:rPr>
            </w:pPr>
            <w:r w:rsidRPr="00FD5358">
              <w:rPr>
                <w:rFonts w:cs="Arial"/>
                <w:sz w:val="15"/>
                <w:szCs w:val="15"/>
              </w:rPr>
              <w:t>0,22</w:t>
            </w:r>
          </w:p>
        </w:tc>
        <w:tc>
          <w:tcPr>
            <w:tcW w:w="0" w:type="auto"/>
            <w:shd w:val="clear" w:color="auto" w:fill="auto"/>
            <w:noWrap/>
            <w:tcMar>
              <w:top w:w="15" w:type="dxa"/>
              <w:left w:w="15" w:type="dxa"/>
              <w:bottom w:w="0" w:type="dxa"/>
              <w:right w:w="15" w:type="dxa"/>
            </w:tcMar>
            <w:vAlign w:val="center"/>
            <w:hideMark/>
          </w:tcPr>
          <w:p w14:paraId="7A3D933F"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6.653,97</w:t>
            </w:r>
          </w:p>
        </w:tc>
        <w:tc>
          <w:tcPr>
            <w:tcW w:w="0" w:type="auto"/>
            <w:shd w:val="clear" w:color="auto" w:fill="auto"/>
            <w:noWrap/>
            <w:tcMar>
              <w:top w:w="15" w:type="dxa"/>
              <w:left w:w="15" w:type="dxa"/>
              <w:bottom w:w="0" w:type="dxa"/>
              <w:right w:w="15" w:type="dxa"/>
            </w:tcMar>
            <w:vAlign w:val="center"/>
            <w:hideMark/>
          </w:tcPr>
          <w:p w14:paraId="2746DB9D"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1,65%</w:t>
            </w:r>
          </w:p>
        </w:tc>
      </w:tr>
      <w:tr w:rsidR="007336DC" w:rsidRPr="00FD5358" w14:paraId="53887A38"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65196288"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2037</w:t>
            </w:r>
          </w:p>
        </w:tc>
        <w:tc>
          <w:tcPr>
            <w:tcW w:w="0" w:type="auto"/>
            <w:shd w:val="clear" w:color="auto" w:fill="auto"/>
            <w:noWrap/>
            <w:tcMar>
              <w:top w:w="15" w:type="dxa"/>
              <w:left w:w="15" w:type="dxa"/>
              <w:bottom w:w="0" w:type="dxa"/>
              <w:right w:w="15" w:type="dxa"/>
            </w:tcMar>
            <w:vAlign w:val="center"/>
            <w:hideMark/>
          </w:tcPr>
          <w:p w14:paraId="19E5F95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69C253A"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F4CDDA3" w14:textId="77777777" w:rsidR="007336DC" w:rsidRPr="00FD5358" w:rsidRDefault="007336DC" w:rsidP="007727C2">
            <w:pPr>
              <w:spacing w:after="0" w:line="240" w:lineRule="auto"/>
              <w:jc w:val="right"/>
              <w:rPr>
                <w:rFonts w:cs="Arial"/>
                <w:sz w:val="15"/>
                <w:szCs w:val="15"/>
              </w:rPr>
            </w:pPr>
            <w:r w:rsidRPr="00FD5358">
              <w:rPr>
                <w:rFonts w:cs="Arial"/>
                <w:sz w:val="15"/>
                <w:szCs w:val="15"/>
              </w:rPr>
              <w:t>5.804,54</w:t>
            </w:r>
          </w:p>
        </w:tc>
        <w:tc>
          <w:tcPr>
            <w:tcW w:w="0" w:type="auto"/>
            <w:shd w:val="clear" w:color="auto" w:fill="auto"/>
            <w:noWrap/>
            <w:tcMar>
              <w:top w:w="15" w:type="dxa"/>
              <w:left w:w="15" w:type="dxa"/>
              <w:bottom w:w="0" w:type="dxa"/>
              <w:right w:w="15" w:type="dxa"/>
            </w:tcMar>
            <w:vAlign w:val="center"/>
            <w:hideMark/>
          </w:tcPr>
          <w:p w14:paraId="52DF9F90"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shd w:val="clear" w:color="auto" w:fill="auto"/>
            <w:noWrap/>
            <w:tcMar>
              <w:top w:w="15" w:type="dxa"/>
              <w:left w:w="15" w:type="dxa"/>
              <w:bottom w:w="0" w:type="dxa"/>
              <w:right w:w="15" w:type="dxa"/>
            </w:tcMar>
            <w:vAlign w:val="center"/>
            <w:hideMark/>
          </w:tcPr>
          <w:p w14:paraId="67F93FFC" w14:textId="77777777" w:rsidR="007336DC" w:rsidRPr="00FD5358" w:rsidRDefault="007336DC" w:rsidP="007727C2">
            <w:pPr>
              <w:spacing w:after="0" w:line="240" w:lineRule="auto"/>
              <w:jc w:val="right"/>
              <w:rPr>
                <w:rFonts w:cs="Arial"/>
                <w:sz w:val="15"/>
                <w:szCs w:val="15"/>
              </w:rPr>
            </w:pPr>
            <w:r w:rsidRPr="00FD5358">
              <w:rPr>
                <w:rFonts w:cs="Arial"/>
                <w:sz w:val="15"/>
                <w:szCs w:val="15"/>
              </w:rPr>
              <w:t>1.832,23</w:t>
            </w:r>
          </w:p>
        </w:tc>
        <w:tc>
          <w:tcPr>
            <w:tcW w:w="0" w:type="auto"/>
            <w:shd w:val="clear" w:color="auto" w:fill="auto"/>
            <w:noWrap/>
            <w:tcMar>
              <w:top w:w="15" w:type="dxa"/>
              <w:left w:w="15" w:type="dxa"/>
              <w:bottom w:w="0" w:type="dxa"/>
              <w:right w:w="15" w:type="dxa"/>
            </w:tcMar>
            <w:vAlign w:val="center"/>
            <w:hideMark/>
          </w:tcPr>
          <w:p w14:paraId="60189D3B" w14:textId="77777777" w:rsidR="007336DC" w:rsidRPr="00FD5358" w:rsidRDefault="007336DC" w:rsidP="007727C2">
            <w:pPr>
              <w:spacing w:after="0" w:line="240" w:lineRule="auto"/>
              <w:jc w:val="right"/>
              <w:rPr>
                <w:rFonts w:cs="Arial"/>
                <w:sz w:val="15"/>
                <w:szCs w:val="15"/>
              </w:rPr>
            </w:pPr>
            <w:r w:rsidRPr="00FD5358">
              <w:rPr>
                <w:rFonts w:cs="Arial"/>
                <w:sz w:val="15"/>
                <w:szCs w:val="15"/>
              </w:rPr>
              <w:t>1.178,48</w:t>
            </w:r>
          </w:p>
        </w:tc>
        <w:tc>
          <w:tcPr>
            <w:tcW w:w="0" w:type="auto"/>
            <w:shd w:val="clear" w:color="auto" w:fill="auto"/>
            <w:noWrap/>
            <w:tcMar>
              <w:top w:w="15" w:type="dxa"/>
              <w:left w:w="15" w:type="dxa"/>
              <w:bottom w:w="0" w:type="dxa"/>
              <w:right w:w="15" w:type="dxa"/>
            </w:tcMar>
            <w:vAlign w:val="center"/>
            <w:hideMark/>
          </w:tcPr>
          <w:p w14:paraId="2B54D5D9" w14:textId="77777777" w:rsidR="007336DC" w:rsidRPr="00FD5358" w:rsidRDefault="007336DC" w:rsidP="007727C2">
            <w:pPr>
              <w:spacing w:after="0" w:line="240" w:lineRule="auto"/>
              <w:jc w:val="right"/>
              <w:rPr>
                <w:rFonts w:cs="Arial"/>
                <w:sz w:val="15"/>
                <w:szCs w:val="15"/>
              </w:rPr>
            </w:pPr>
            <w:r w:rsidRPr="00FD5358">
              <w:rPr>
                <w:rFonts w:cs="Arial"/>
                <w:sz w:val="15"/>
                <w:szCs w:val="15"/>
              </w:rPr>
              <w:t>900,00</w:t>
            </w:r>
          </w:p>
        </w:tc>
        <w:tc>
          <w:tcPr>
            <w:tcW w:w="0" w:type="auto"/>
            <w:shd w:val="clear" w:color="auto" w:fill="auto"/>
            <w:noWrap/>
            <w:tcMar>
              <w:top w:w="15" w:type="dxa"/>
              <w:left w:w="15" w:type="dxa"/>
              <w:bottom w:w="0" w:type="dxa"/>
              <w:right w:w="15" w:type="dxa"/>
            </w:tcMar>
            <w:vAlign w:val="center"/>
            <w:hideMark/>
          </w:tcPr>
          <w:p w14:paraId="709CB182"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shd w:val="clear" w:color="auto" w:fill="auto"/>
            <w:noWrap/>
            <w:tcMar>
              <w:top w:w="15" w:type="dxa"/>
              <w:left w:w="15" w:type="dxa"/>
              <w:bottom w:w="0" w:type="dxa"/>
              <w:right w:w="15" w:type="dxa"/>
            </w:tcMar>
            <w:vAlign w:val="center"/>
            <w:hideMark/>
          </w:tcPr>
          <w:p w14:paraId="4652B399" w14:textId="77777777" w:rsidR="007336DC" w:rsidRPr="00FD5358" w:rsidRDefault="007336DC" w:rsidP="007727C2">
            <w:pPr>
              <w:spacing w:after="0" w:line="240" w:lineRule="auto"/>
              <w:jc w:val="right"/>
              <w:rPr>
                <w:rFonts w:cs="Arial"/>
                <w:sz w:val="15"/>
                <w:szCs w:val="15"/>
              </w:rPr>
            </w:pPr>
            <w:r w:rsidRPr="00FD5358">
              <w:rPr>
                <w:rFonts w:cs="Arial"/>
                <w:sz w:val="15"/>
                <w:szCs w:val="15"/>
              </w:rPr>
              <w:t>225,81</w:t>
            </w:r>
          </w:p>
        </w:tc>
        <w:tc>
          <w:tcPr>
            <w:tcW w:w="0" w:type="auto"/>
            <w:shd w:val="clear" w:color="auto" w:fill="auto"/>
            <w:noWrap/>
            <w:tcMar>
              <w:top w:w="15" w:type="dxa"/>
              <w:left w:w="15" w:type="dxa"/>
              <w:bottom w:w="0" w:type="dxa"/>
              <w:right w:w="15" w:type="dxa"/>
            </w:tcMar>
            <w:vAlign w:val="center"/>
            <w:hideMark/>
          </w:tcPr>
          <w:p w14:paraId="6DC0D9A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1A6B0383" w14:textId="77777777" w:rsidR="007336DC" w:rsidRPr="00FD5358" w:rsidRDefault="007336DC" w:rsidP="007727C2">
            <w:pPr>
              <w:spacing w:after="0" w:line="240" w:lineRule="auto"/>
              <w:jc w:val="right"/>
              <w:rPr>
                <w:rFonts w:cs="Arial"/>
                <w:sz w:val="15"/>
                <w:szCs w:val="15"/>
              </w:rPr>
            </w:pPr>
            <w:r w:rsidRPr="00FD5358">
              <w:rPr>
                <w:rFonts w:cs="Arial"/>
                <w:sz w:val="15"/>
                <w:szCs w:val="15"/>
              </w:rPr>
              <w:t>0,22</w:t>
            </w:r>
          </w:p>
        </w:tc>
        <w:tc>
          <w:tcPr>
            <w:tcW w:w="0" w:type="auto"/>
            <w:shd w:val="clear" w:color="auto" w:fill="auto"/>
            <w:noWrap/>
            <w:tcMar>
              <w:top w:w="15" w:type="dxa"/>
              <w:left w:w="15" w:type="dxa"/>
              <w:bottom w:w="0" w:type="dxa"/>
              <w:right w:w="15" w:type="dxa"/>
            </w:tcMar>
            <w:vAlign w:val="center"/>
            <w:hideMark/>
          </w:tcPr>
          <w:p w14:paraId="16726746"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13.156,36</w:t>
            </w:r>
          </w:p>
        </w:tc>
        <w:tc>
          <w:tcPr>
            <w:tcW w:w="0" w:type="auto"/>
            <w:shd w:val="clear" w:color="auto" w:fill="auto"/>
            <w:noWrap/>
            <w:tcMar>
              <w:top w:w="15" w:type="dxa"/>
              <w:left w:w="15" w:type="dxa"/>
              <w:bottom w:w="0" w:type="dxa"/>
              <w:right w:w="15" w:type="dxa"/>
            </w:tcMar>
            <w:vAlign w:val="center"/>
            <w:hideMark/>
          </w:tcPr>
          <w:p w14:paraId="3DF0A22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3,27%</w:t>
            </w:r>
          </w:p>
        </w:tc>
      </w:tr>
      <w:tr w:rsidR="007336DC" w:rsidRPr="00FD5358" w14:paraId="6423259A"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35C592F5"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2038</w:t>
            </w:r>
          </w:p>
        </w:tc>
        <w:tc>
          <w:tcPr>
            <w:tcW w:w="0" w:type="auto"/>
            <w:shd w:val="clear" w:color="auto" w:fill="auto"/>
            <w:noWrap/>
            <w:tcMar>
              <w:top w:w="15" w:type="dxa"/>
              <w:left w:w="15" w:type="dxa"/>
              <w:bottom w:w="0" w:type="dxa"/>
              <w:right w:w="15" w:type="dxa"/>
            </w:tcMar>
            <w:vAlign w:val="center"/>
            <w:hideMark/>
          </w:tcPr>
          <w:p w14:paraId="77A387F5"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57A3C2BB"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0725C2C" w14:textId="77777777" w:rsidR="007336DC" w:rsidRPr="00FD5358" w:rsidRDefault="007336DC" w:rsidP="007727C2">
            <w:pPr>
              <w:spacing w:after="0" w:line="240" w:lineRule="auto"/>
              <w:jc w:val="right"/>
              <w:rPr>
                <w:rFonts w:cs="Arial"/>
                <w:sz w:val="15"/>
                <w:szCs w:val="15"/>
              </w:rPr>
            </w:pPr>
            <w:r w:rsidRPr="00FD5358">
              <w:rPr>
                <w:rFonts w:cs="Arial"/>
                <w:sz w:val="15"/>
                <w:szCs w:val="15"/>
              </w:rPr>
              <w:t>5.546,26</w:t>
            </w:r>
          </w:p>
        </w:tc>
        <w:tc>
          <w:tcPr>
            <w:tcW w:w="0" w:type="auto"/>
            <w:shd w:val="clear" w:color="auto" w:fill="auto"/>
            <w:noWrap/>
            <w:tcMar>
              <w:top w:w="15" w:type="dxa"/>
              <w:left w:w="15" w:type="dxa"/>
              <w:bottom w:w="0" w:type="dxa"/>
              <w:right w:w="15" w:type="dxa"/>
            </w:tcMar>
            <w:vAlign w:val="center"/>
            <w:hideMark/>
          </w:tcPr>
          <w:p w14:paraId="7E46CE76"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shd w:val="clear" w:color="auto" w:fill="auto"/>
            <w:noWrap/>
            <w:tcMar>
              <w:top w:w="15" w:type="dxa"/>
              <w:left w:w="15" w:type="dxa"/>
              <w:bottom w:w="0" w:type="dxa"/>
              <w:right w:w="15" w:type="dxa"/>
            </w:tcMar>
            <w:vAlign w:val="center"/>
            <w:hideMark/>
          </w:tcPr>
          <w:p w14:paraId="7D6B73D5" w14:textId="77777777" w:rsidR="007336DC" w:rsidRPr="00FD5358" w:rsidRDefault="007336DC" w:rsidP="007727C2">
            <w:pPr>
              <w:spacing w:after="0" w:line="240" w:lineRule="auto"/>
              <w:jc w:val="right"/>
              <w:rPr>
                <w:rFonts w:cs="Arial"/>
                <w:sz w:val="15"/>
                <w:szCs w:val="15"/>
              </w:rPr>
            </w:pPr>
            <w:r w:rsidRPr="00FD5358">
              <w:rPr>
                <w:rFonts w:cs="Arial"/>
                <w:sz w:val="15"/>
                <w:szCs w:val="15"/>
              </w:rPr>
              <w:t>1.508,01</w:t>
            </w:r>
          </w:p>
        </w:tc>
        <w:tc>
          <w:tcPr>
            <w:tcW w:w="0" w:type="auto"/>
            <w:shd w:val="clear" w:color="auto" w:fill="auto"/>
            <w:noWrap/>
            <w:tcMar>
              <w:top w:w="15" w:type="dxa"/>
              <w:left w:w="15" w:type="dxa"/>
              <w:bottom w:w="0" w:type="dxa"/>
              <w:right w:w="15" w:type="dxa"/>
            </w:tcMar>
            <w:vAlign w:val="center"/>
            <w:hideMark/>
          </w:tcPr>
          <w:p w14:paraId="1E47B308" w14:textId="77777777" w:rsidR="007336DC" w:rsidRPr="00FD5358" w:rsidRDefault="007336DC" w:rsidP="007727C2">
            <w:pPr>
              <w:spacing w:after="0" w:line="240" w:lineRule="auto"/>
              <w:jc w:val="right"/>
              <w:rPr>
                <w:rFonts w:cs="Arial"/>
                <w:sz w:val="15"/>
                <w:szCs w:val="15"/>
              </w:rPr>
            </w:pPr>
            <w:r w:rsidRPr="00FD5358">
              <w:rPr>
                <w:rFonts w:cs="Arial"/>
                <w:sz w:val="15"/>
                <w:szCs w:val="15"/>
              </w:rPr>
              <w:t>1.199,36</w:t>
            </w:r>
          </w:p>
        </w:tc>
        <w:tc>
          <w:tcPr>
            <w:tcW w:w="0" w:type="auto"/>
            <w:shd w:val="clear" w:color="auto" w:fill="auto"/>
            <w:noWrap/>
            <w:tcMar>
              <w:top w:w="15" w:type="dxa"/>
              <w:left w:w="15" w:type="dxa"/>
              <w:bottom w:w="0" w:type="dxa"/>
              <w:right w:w="15" w:type="dxa"/>
            </w:tcMar>
            <w:vAlign w:val="center"/>
            <w:hideMark/>
          </w:tcPr>
          <w:p w14:paraId="3FAC0F1A"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6CC2014"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shd w:val="clear" w:color="auto" w:fill="auto"/>
            <w:noWrap/>
            <w:tcMar>
              <w:top w:w="15" w:type="dxa"/>
              <w:left w:w="15" w:type="dxa"/>
              <w:bottom w:w="0" w:type="dxa"/>
              <w:right w:w="15" w:type="dxa"/>
            </w:tcMar>
            <w:vAlign w:val="center"/>
            <w:hideMark/>
          </w:tcPr>
          <w:p w14:paraId="1FF76B9F" w14:textId="77777777" w:rsidR="007336DC" w:rsidRPr="00FD5358" w:rsidRDefault="007336DC" w:rsidP="007727C2">
            <w:pPr>
              <w:spacing w:after="0" w:line="240" w:lineRule="auto"/>
              <w:jc w:val="right"/>
              <w:rPr>
                <w:rFonts w:cs="Arial"/>
                <w:sz w:val="15"/>
                <w:szCs w:val="15"/>
              </w:rPr>
            </w:pPr>
            <w:r w:rsidRPr="00FD5358">
              <w:rPr>
                <w:rFonts w:cs="Arial"/>
                <w:sz w:val="15"/>
                <w:szCs w:val="15"/>
              </w:rPr>
              <w:t>9,29</w:t>
            </w:r>
          </w:p>
        </w:tc>
        <w:tc>
          <w:tcPr>
            <w:tcW w:w="0" w:type="auto"/>
            <w:shd w:val="clear" w:color="auto" w:fill="auto"/>
            <w:noWrap/>
            <w:tcMar>
              <w:top w:w="15" w:type="dxa"/>
              <w:left w:w="15" w:type="dxa"/>
              <w:bottom w:w="0" w:type="dxa"/>
              <w:right w:w="15" w:type="dxa"/>
            </w:tcMar>
            <w:vAlign w:val="center"/>
            <w:hideMark/>
          </w:tcPr>
          <w:p w14:paraId="71E869C2"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7C2E1DC0" w14:textId="77777777" w:rsidR="007336DC" w:rsidRPr="00FD5358" w:rsidRDefault="007336DC" w:rsidP="007727C2">
            <w:pPr>
              <w:spacing w:after="0" w:line="240" w:lineRule="auto"/>
              <w:jc w:val="right"/>
              <w:rPr>
                <w:rFonts w:cs="Arial"/>
                <w:sz w:val="15"/>
                <w:szCs w:val="15"/>
              </w:rPr>
            </w:pPr>
            <w:r w:rsidRPr="00FD5358">
              <w:rPr>
                <w:rFonts w:cs="Arial"/>
                <w:sz w:val="15"/>
                <w:szCs w:val="15"/>
              </w:rPr>
              <w:t>0,23</w:t>
            </w:r>
          </w:p>
        </w:tc>
        <w:tc>
          <w:tcPr>
            <w:tcW w:w="0" w:type="auto"/>
            <w:shd w:val="clear" w:color="auto" w:fill="auto"/>
            <w:noWrap/>
            <w:tcMar>
              <w:top w:w="15" w:type="dxa"/>
              <w:left w:w="15" w:type="dxa"/>
              <w:bottom w:w="0" w:type="dxa"/>
              <w:right w:w="15" w:type="dxa"/>
            </w:tcMar>
            <w:vAlign w:val="center"/>
            <w:hideMark/>
          </w:tcPr>
          <w:p w14:paraId="10384CB5"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11.478,24</w:t>
            </w:r>
          </w:p>
        </w:tc>
        <w:tc>
          <w:tcPr>
            <w:tcW w:w="0" w:type="auto"/>
            <w:shd w:val="clear" w:color="auto" w:fill="auto"/>
            <w:noWrap/>
            <w:tcMar>
              <w:top w:w="15" w:type="dxa"/>
              <w:left w:w="15" w:type="dxa"/>
              <w:bottom w:w="0" w:type="dxa"/>
              <w:right w:w="15" w:type="dxa"/>
            </w:tcMar>
            <w:vAlign w:val="center"/>
            <w:hideMark/>
          </w:tcPr>
          <w:p w14:paraId="5AE37C4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2,85%</w:t>
            </w:r>
          </w:p>
        </w:tc>
      </w:tr>
      <w:tr w:rsidR="007336DC" w:rsidRPr="00FD5358" w14:paraId="6B6D60D3"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33666A2D" w14:textId="77777777" w:rsidR="007336DC" w:rsidRPr="00FD5358" w:rsidRDefault="007336DC" w:rsidP="007727C2">
            <w:pPr>
              <w:spacing w:after="0" w:line="240" w:lineRule="auto"/>
              <w:jc w:val="center"/>
              <w:rPr>
                <w:rFonts w:cs="Arial"/>
                <w:sz w:val="15"/>
                <w:szCs w:val="15"/>
              </w:rPr>
            </w:pPr>
            <w:r w:rsidRPr="00FD5358">
              <w:rPr>
                <w:rFonts w:cs="Arial"/>
                <w:sz w:val="15"/>
                <w:szCs w:val="15"/>
              </w:rPr>
              <w:t>2039</w:t>
            </w:r>
          </w:p>
        </w:tc>
        <w:tc>
          <w:tcPr>
            <w:tcW w:w="0" w:type="auto"/>
            <w:shd w:val="clear" w:color="auto" w:fill="auto"/>
            <w:noWrap/>
            <w:tcMar>
              <w:top w:w="15" w:type="dxa"/>
              <w:left w:w="15" w:type="dxa"/>
              <w:bottom w:w="0" w:type="dxa"/>
              <w:right w:w="15" w:type="dxa"/>
            </w:tcMar>
            <w:vAlign w:val="center"/>
            <w:hideMark/>
          </w:tcPr>
          <w:p w14:paraId="7B04030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3F53D12"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5234BC6C" w14:textId="77777777" w:rsidR="007336DC" w:rsidRPr="00FD5358" w:rsidRDefault="007336DC" w:rsidP="007727C2">
            <w:pPr>
              <w:spacing w:after="0" w:line="240" w:lineRule="auto"/>
              <w:jc w:val="right"/>
              <w:rPr>
                <w:rFonts w:cs="Arial"/>
                <w:sz w:val="15"/>
                <w:szCs w:val="15"/>
              </w:rPr>
            </w:pPr>
            <w:r w:rsidRPr="00FD5358">
              <w:rPr>
                <w:rFonts w:cs="Arial"/>
                <w:sz w:val="15"/>
                <w:szCs w:val="15"/>
              </w:rPr>
              <w:t>45,60</w:t>
            </w:r>
          </w:p>
        </w:tc>
        <w:tc>
          <w:tcPr>
            <w:tcW w:w="0" w:type="auto"/>
            <w:shd w:val="clear" w:color="auto" w:fill="auto"/>
            <w:noWrap/>
            <w:tcMar>
              <w:top w:w="15" w:type="dxa"/>
              <w:left w:w="15" w:type="dxa"/>
              <w:bottom w:w="0" w:type="dxa"/>
              <w:right w:w="15" w:type="dxa"/>
            </w:tcMar>
            <w:vAlign w:val="center"/>
            <w:hideMark/>
          </w:tcPr>
          <w:p w14:paraId="4C2D4FC1" w14:textId="77777777" w:rsidR="007336DC" w:rsidRPr="00FD5358" w:rsidRDefault="007336DC" w:rsidP="007727C2">
            <w:pPr>
              <w:spacing w:after="0" w:line="240" w:lineRule="auto"/>
              <w:jc w:val="right"/>
              <w:rPr>
                <w:rFonts w:cs="Arial"/>
                <w:sz w:val="15"/>
                <w:szCs w:val="15"/>
              </w:rPr>
            </w:pPr>
            <w:r w:rsidRPr="00FD5358">
              <w:rPr>
                <w:rFonts w:cs="Arial"/>
                <w:sz w:val="15"/>
                <w:szCs w:val="15"/>
              </w:rPr>
              <w:t>2.645,00</w:t>
            </w:r>
          </w:p>
        </w:tc>
        <w:tc>
          <w:tcPr>
            <w:tcW w:w="0" w:type="auto"/>
            <w:shd w:val="clear" w:color="auto" w:fill="auto"/>
            <w:noWrap/>
            <w:tcMar>
              <w:top w:w="15" w:type="dxa"/>
              <w:left w:w="15" w:type="dxa"/>
              <w:bottom w:w="0" w:type="dxa"/>
              <w:right w:w="15" w:type="dxa"/>
            </w:tcMar>
            <w:vAlign w:val="center"/>
            <w:hideMark/>
          </w:tcPr>
          <w:p w14:paraId="015974C3" w14:textId="77777777" w:rsidR="007336DC" w:rsidRPr="00FD5358" w:rsidRDefault="007336DC" w:rsidP="007727C2">
            <w:pPr>
              <w:spacing w:after="0" w:line="240" w:lineRule="auto"/>
              <w:jc w:val="right"/>
              <w:rPr>
                <w:rFonts w:cs="Arial"/>
                <w:sz w:val="15"/>
                <w:szCs w:val="15"/>
              </w:rPr>
            </w:pPr>
            <w:r w:rsidRPr="00FD5358">
              <w:rPr>
                <w:rFonts w:cs="Arial"/>
                <w:sz w:val="15"/>
                <w:szCs w:val="15"/>
              </w:rPr>
              <w:t>1.508,01</w:t>
            </w:r>
          </w:p>
        </w:tc>
        <w:tc>
          <w:tcPr>
            <w:tcW w:w="0" w:type="auto"/>
            <w:shd w:val="clear" w:color="auto" w:fill="auto"/>
            <w:noWrap/>
            <w:tcMar>
              <w:top w:w="15" w:type="dxa"/>
              <w:left w:w="15" w:type="dxa"/>
              <w:bottom w:w="0" w:type="dxa"/>
              <w:right w:w="15" w:type="dxa"/>
            </w:tcMar>
            <w:vAlign w:val="center"/>
            <w:hideMark/>
          </w:tcPr>
          <w:p w14:paraId="5FE1018E" w14:textId="77777777" w:rsidR="007336DC" w:rsidRPr="00FD5358" w:rsidRDefault="007336DC" w:rsidP="007727C2">
            <w:pPr>
              <w:spacing w:after="0" w:line="240" w:lineRule="auto"/>
              <w:jc w:val="right"/>
              <w:rPr>
                <w:rFonts w:cs="Arial"/>
                <w:sz w:val="15"/>
                <w:szCs w:val="15"/>
              </w:rPr>
            </w:pPr>
            <w:r w:rsidRPr="00FD5358">
              <w:rPr>
                <w:rFonts w:cs="Arial"/>
                <w:sz w:val="15"/>
                <w:szCs w:val="15"/>
              </w:rPr>
              <w:t>1.216,76</w:t>
            </w:r>
          </w:p>
        </w:tc>
        <w:tc>
          <w:tcPr>
            <w:tcW w:w="0" w:type="auto"/>
            <w:shd w:val="clear" w:color="auto" w:fill="auto"/>
            <w:noWrap/>
            <w:tcMar>
              <w:top w:w="15" w:type="dxa"/>
              <w:left w:w="15" w:type="dxa"/>
              <w:bottom w:w="0" w:type="dxa"/>
              <w:right w:w="15" w:type="dxa"/>
            </w:tcMar>
            <w:vAlign w:val="center"/>
            <w:hideMark/>
          </w:tcPr>
          <w:p w14:paraId="56057E93"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BD5B87A"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shd w:val="clear" w:color="auto" w:fill="auto"/>
            <w:noWrap/>
            <w:tcMar>
              <w:top w:w="15" w:type="dxa"/>
              <w:left w:w="15" w:type="dxa"/>
              <w:bottom w:w="0" w:type="dxa"/>
              <w:right w:w="15" w:type="dxa"/>
            </w:tcMar>
            <w:vAlign w:val="center"/>
            <w:hideMark/>
          </w:tcPr>
          <w:p w14:paraId="4112E973" w14:textId="77777777" w:rsidR="007336DC" w:rsidRPr="00FD5358" w:rsidRDefault="007336DC" w:rsidP="007727C2">
            <w:pPr>
              <w:spacing w:after="0" w:line="240" w:lineRule="auto"/>
              <w:jc w:val="right"/>
              <w:rPr>
                <w:rFonts w:cs="Arial"/>
                <w:sz w:val="15"/>
                <w:szCs w:val="15"/>
              </w:rPr>
            </w:pPr>
            <w:r w:rsidRPr="00FD5358">
              <w:rPr>
                <w:rFonts w:cs="Arial"/>
                <w:sz w:val="15"/>
                <w:szCs w:val="15"/>
              </w:rPr>
              <w:t>9,29</w:t>
            </w:r>
          </w:p>
        </w:tc>
        <w:tc>
          <w:tcPr>
            <w:tcW w:w="0" w:type="auto"/>
            <w:shd w:val="clear" w:color="auto" w:fill="auto"/>
            <w:noWrap/>
            <w:tcMar>
              <w:top w:w="15" w:type="dxa"/>
              <w:left w:w="15" w:type="dxa"/>
              <w:bottom w:w="0" w:type="dxa"/>
              <w:right w:w="15" w:type="dxa"/>
            </w:tcMar>
            <w:vAlign w:val="center"/>
            <w:hideMark/>
          </w:tcPr>
          <w:p w14:paraId="0D92C569"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52ABFE72" w14:textId="77777777" w:rsidR="007336DC" w:rsidRPr="00FD5358" w:rsidRDefault="007336DC" w:rsidP="007727C2">
            <w:pPr>
              <w:spacing w:after="0" w:line="240" w:lineRule="auto"/>
              <w:jc w:val="right"/>
              <w:rPr>
                <w:rFonts w:cs="Arial"/>
                <w:sz w:val="15"/>
                <w:szCs w:val="15"/>
              </w:rPr>
            </w:pPr>
            <w:r w:rsidRPr="00FD5358">
              <w:rPr>
                <w:rFonts w:cs="Arial"/>
                <w:sz w:val="15"/>
                <w:szCs w:val="15"/>
              </w:rPr>
              <w:t>0,23</w:t>
            </w:r>
          </w:p>
        </w:tc>
        <w:tc>
          <w:tcPr>
            <w:tcW w:w="0" w:type="auto"/>
            <w:shd w:val="clear" w:color="auto" w:fill="auto"/>
            <w:noWrap/>
            <w:tcMar>
              <w:top w:w="15" w:type="dxa"/>
              <w:left w:w="15" w:type="dxa"/>
              <w:bottom w:w="0" w:type="dxa"/>
              <w:right w:w="15" w:type="dxa"/>
            </w:tcMar>
            <w:vAlign w:val="center"/>
            <w:hideMark/>
          </w:tcPr>
          <w:p w14:paraId="2B4D493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5.994,98</w:t>
            </w:r>
          </w:p>
        </w:tc>
        <w:tc>
          <w:tcPr>
            <w:tcW w:w="0" w:type="auto"/>
            <w:shd w:val="clear" w:color="auto" w:fill="auto"/>
            <w:noWrap/>
            <w:tcMar>
              <w:top w:w="15" w:type="dxa"/>
              <w:left w:w="15" w:type="dxa"/>
              <w:bottom w:w="0" w:type="dxa"/>
              <w:right w:w="15" w:type="dxa"/>
            </w:tcMar>
            <w:vAlign w:val="center"/>
            <w:hideMark/>
          </w:tcPr>
          <w:p w14:paraId="4EFD6DE2"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1,49%</w:t>
            </w:r>
          </w:p>
        </w:tc>
      </w:tr>
      <w:tr w:rsidR="007336DC" w:rsidRPr="00FD5358" w14:paraId="0989A06C"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5E2863CE"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2040</w:t>
            </w:r>
          </w:p>
        </w:tc>
        <w:tc>
          <w:tcPr>
            <w:tcW w:w="0" w:type="auto"/>
            <w:shd w:val="clear" w:color="auto" w:fill="auto"/>
            <w:noWrap/>
            <w:tcMar>
              <w:top w:w="15" w:type="dxa"/>
              <w:left w:w="15" w:type="dxa"/>
              <w:bottom w:w="0" w:type="dxa"/>
              <w:right w:w="15" w:type="dxa"/>
            </w:tcMar>
            <w:vAlign w:val="center"/>
            <w:hideMark/>
          </w:tcPr>
          <w:p w14:paraId="4E89B81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1467430A"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58838875" w14:textId="77777777" w:rsidR="007336DC" w:rsidRPr="00FD5358" w:rsidRDefault="007336DC" w:rsidP="007727C2">
            <w:pPr>
              <w:spacing w:after="0" w:line="240" w:lineRule="auto"/>
              <w:jc w:val="right"/>
              <w:rPr>
                <w:rFonts w:cs="Arial"/>
                <w:sz w:val="15"/>
                <w:szCs w:val="15"/>
              </w:rPr>
            </w:pPr>
            <w:r w:rsidRPr="00FD5358">
              <w:rPr>
                <w:rFonts w:cs="Arial"/>
                <w:sz w:val="15"/>
                <w:szCs w:val="15"/>
              </w:rPr>
              <w:t>50,23</w:t>
            </w:r>
          </w:p>
        </w:tc>
        <w:tc>
          <w:tcPr>
            <w:tcW w:w="0" w:type="auto"/>
            <w:shd w:val="clear" w:color="auto" w:fill="auto"/>
            <w:noWrap/>
            <w:tcMar>
              <w:top w:w="15" w:type="dxa"/>
              <w:left w:w="15" w:type="dxa"/>
              <w:bottom w:w="0" w:type="dxa"/>
              <w:right w:w="15" w:type="dxa"/>
            </w:tcMar>
            <w:vAlign w:val="center"/>
            <w:hideMark/>
          </w:tcPr>
          <w:p w14:paraId="4916E8B0" w14:textId="77777777" w:rsidR="007336DC" w:rsidRPr="00FD5358" w:rsidRDefault="007336DC" w:rsidP="007727C2">
            <w:pPr>
              <w:spacing w:after="0" w:line="240" w:lineRule="auto"/>
              <w:jc w:val="right"/>
              <w:rPr>
                <w:rFonts w:cs="Arial"/>
                <w:sz w:val="15"/>
                <w:szCs w:val="15"/>
              </w:rPr>
            </w:pPr>
            <w:r w:rsidRPr="00FD5358">
              <w:rPr>
                <w:rFonts w:cs="Arial"/>
                <w:sz w:val="15"/>
                <w:szCs w:val="15"/>
              </w:rPr>
              <w:t>1.938,75</w:t>
            </w:r>
          </w:p>
        </w:tc>
        <w:tc>
          <w:tcPr>
            <w:tcW w:w="0" w:type="auto"/>
            <w:shd w:val="clear" w:color="auto" w:fill="auto"/>
            <w:noWrap/>
            <w:tcMar>
              <w:top w:w="15" w:type="dxa"/>
              <w:left w:w="15" w:type="dxa"/>
              <w:bottom w:w="0" w:type="dxa"/>
              <w:right w:w="15" w:type="dxa"/>
            </w:tcMar>
            <w:vAlign w:val="center"/>
            <w:hideMark/>
          </w:tcPr>
          <w:p w14:paraId="0EE98F44" w14:textId="77777777" w:rsidR="007336DC" w:rsidRPr="00FD5358" w:rsidRDefault="007336DC" w:rsidP="007727C2">
            <w:pPr>
              <w:spacing w:after="0" w:line="240" w:lineRule="auto"/>
              <w:jc w:val="right"/>
              <w:rPr>
                <w:rFonts w:cs="Arial"/>
                <w:sz w:val="15"/>
                <w:szCs w:val="15"/>
              </w:rPr>
            </w:pPr>
            <w:r w:rsidRPr="00FD5358">
              <w:rPr>
                <w:rFonts w:cs="Arial"/>
                <w:sz w:val="15"/>
                <w:szCs w:val="15"/>
              </w:rPr>
              <w:t>1.508,01</w:t>
            </w:r>
          </w:p>
        </w:tc>
        <w:tc>
          <w:tcPr>
            <w:tcW w:w="0" w:type="auto"/>
            <w:shd w:val="clear" w:color="auto" w:fill="auto"/>
            <w:noWrap/>
            <w:tcMar>
              <w:top w:w="15" w:type="dxa"/>
              <w:left w:w="15" w:type="dxa"/>
              <w:bottom w:w="0" w:type="dxa"/>
              <w:right w:w="15" w:type="dxa"/>
            </w:tcMar>
            <w:vAlign w:val="center"/>
            <w:hideMark/>
          </w:tcPr>
          <w:p w14:paraId="3129E9B0" w14:textId="77777777" w:rsidR="007336DC" w:rsidRPr="00FD5358" w:rsidRDefault="007336DC" w:rsidP="007727C2">
            <w:pPr>
              <w:spacing w:after="0" w:line="240" w:lineRule="auto"/>
              <w:jc w:val="right"/>
              <w:rPr>
                <w:rFonts w:cs="Arial"/>
                <w:sz w:val="15"/>
                <w:szCs w:val="15"/>
              </w:rPr>
            </w:pPr>
            <w:r w:rsidRPr="00FD5358">
              <w:rPr>
                <w:rFonts w:cs="Arial"/>
                <w:sz w:val="15"/>
                <w:szCs w:val="15"/>
              </w:rPr>
              <w:t>1.234,16</w:t>
            </w:r>
          </w:p>
        </w:tc>
        <w:tc>
          <w:tcPr>
            <w:tcW w:w="0" w:type="auto"/>
            <w:shd w:val="clear" w:color="auto" w:fill="auto"/>
            <w:noWrap/>
            <w:tcMar>
              <w:top w:w="15" w:type="dxa"/>
              <w:left w:w="15" w:type="dxa"/>
              <w:bottom w:w="0" w:type="dxa"/>
              <w:right w:w="15" w:type="dxa"/>
            </w:tcMar>
            <w:vAlign w:val="center"/>
            <w:hideMark/>
          </w:tcPr>
          <w:p w14:paraId="2FF6D171"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ACDA0FD"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shd w:val="clear" w:color="auto" w:fill="auto"/>
            <w:noWrap/>
            <w:tcMar>
              <w:top w:w="15" w:type="dxa"/>
              <w:left w:w="15" w:type="dxa"/>
              <w:bottom w:w="0" w:type="dxa"/>
              <w:right w:w="15" w:type="dxa"/>
            </w:tcMar>
            <w:vAlign w:val="center"/>
            <w:hideMark/>
          </w:tcPr>
          <w:p w14:paraId="2DA5C195" w14:textId="77777777" w:rsidR="007336DC" w:rsidRPr="00FD5358" w:rsidRDefault="007336DC" w:rsidP="007727C2">
            <w:pPr>
              <w:spacing w:after="0" w:line="240" w:lineRule="auto"/>
              <w:jc w:val="right"/>
              <w:rPr>
                <w:rFonts w:cs="Arial"/>
                <w:sz w:val="15"/>
                <w:szCs w:val="15"/>
              </w:rPr>
            </w:pPr>
            <w:r w:rsidRPr="00FD5358">
              <w:rPr>
                <w:rFonts w:cs="Arial"/>
                <w:sz w:val="15"/>
                <w:szCs w:val="15"/>
              </w:rPr>
              <w:t>9,29</w:t>
            </w:r>
          </w:p>
        </w:tc>
        <w:tc>
          <w:tcPr>
            <w:tcW w:w="0" w:type="auto"/>
            <w:shd w:val="clear" w:color="auto" w:fill="auto"/>
            <w:noWrap/>
            <w:tcMar>
              <w:top w:w="15" w:type="dxa"/>
              <w:left w:w="15" w:type="dxa"/>
              <w:bottom w:w="0" w:type="dxa"/>
              <w:right w:w="15" w:type="dxa"/>
            </w:tcMar>
            <w:vAlign w:val="center"/>
            <w:hideMark/>
          </w:tcPr>
          <w:p w14:paraId="4B004965"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50C807B" w14:textId="77777777" w:rsidR="007336DC" w:rsidRPr="00FD5358" w:rsidRDefault="007336DC" w:rsidP="007727C2">
            <w:pPr>
              <w:spacing w:after="0" w:line="240" w:lineRule="auto"/>
              <w:jc w:val="right"/>
              <w:rPr>
                <w:rFonts w:cs="Arial"/>
                <w:sz w:val="15"/>
                <w:szCs w:val="15"/>
              </w:rPr>
            </w:pPr>
            <w:r w:rsidRPr="00FD5358">
              <w:rPr>
                <w:rFonts w:cs="Arial"/>
                <w:sz w:val="15"/>
                <w:szCs w:val="15"/>
              </w:rPr>
              <w:t>0,24</w:t>
            </w:r>
          </w:p>
        </w:tc>
        <w:tc>
          <w:tcPr>
            <w:tcW w:w="0" w:type="auto"/>
            <w:shd w:val="clear" w:color="auto" w:fill="auto"/>
            <w:noWrap/>
            <w:tcMar>
              <w:top w:w="15" w:type="dxa"/>
              <w:left w:w="15" w:type="dxa"/>
              <w:bottom w:w="0" w:type="dxa"/>
              <w:right w:w="15" w:type="dxa"/>
            </w:tcMar>
            <w:vAlign w:val="center"/>
            <w:hideMark/>
          </w:tcPr>
          <w:p w14:paraId="2BA9D1E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5.310,76</w:t>
            </w:r>
          </w:p>
        </w:tc>
        <w:tc>
          <w:tcPr>
            <w:tcW w:w="0" w:type="auto"/>
            <w:shd w:val="clear" w:color="auto" w:fill="auto"/>
            <w:noWrap/>
            <w:tcMar>
              <w:top w:w="15" w:type="dxa"/>
              <w:left w:w="15" w:type="dxa"/>
              <w:bottom w:w="0" w:type="dxa"/>
              <w:right w:w="15" w:type="dxa"/>
            </w:tcMar>
            <w:vAlign w:val="center"/>
            <w:hideMark/>
          </w:tcPr>
          <w:p w14:paraId="2CE5DE3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1,32%</w:t>
            </w:r>
          </w:p>
        </w:tc>
      </w:tr>
      <w:tr w:rsidR="007336DC" w:rsidRPr="00FD5358" w14:paraId="3B30D8F6"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7FDBFF8F"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2041</w:t>
            </w:r>
          </w:p>
        </w:tc>
        <w:tc>
          <w:tcPr>
            <w:tcW w:w="0" w:type="auto"/>
            <w:shd w:val="clear" w:color="auto" w:fill="auto"/>
            <w:noWrap/>
            <w:tcMar>
              <w:top w:w="15" w:type="dxa"/>
              <w:left w:w="15" w:type="dxa"/>
              <w:bottom w:w="0" w:type="dxa"/>
              <w:right w:w="15" w:type="dxa"/>
            </w:tcMar>
            <w:vAlign w:val="center"/>
            <w:hideMark/>
          </w:tcPr>
          <w:p w14:paraId="35E81739"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3CFAC5E"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11450A3" w14:textId="77777777" w:rsidR="007336DC" w:rsidRPr="00FD5358" w:rsidRDefault="007336DC" w:rsidP="007727C2">
            <w:pPr>
              <w:spacing w:after="0" w:line="240" w:lineRule="auto"/>
              <w:jc w:val="right"/>
              <w:rPr>
                <w:rFonts w:cs="Arial"/>
                <w:sz w:val="15"/>
                <w:szCs w:val="15"/>
              </w:rPr>
            </w:pPr>
            <w:r w:rsidRPr="00FD5358">
              <w:rPr>
                <w:rFonts w:cs="Arial"/>
                <w:sz w:val="15"/>
                <w:szCs w:val="15"/>
              </w:rPr>
              <w:t>50,85</w:t>
            </w:r>
          </w:p>
        </w:tc>
        <w:tc>
          <w:tcPr>
            <w:tcW w:w="0" w:type="auto"/>
            <w:shd w:val="clear" w:color="auto" w:fill="auto"/>
            <w:noWrap/>
            <w:tcMar>
              <w:top w:w="15" w:type="dxa"/>
              <w:left w:w="15" w:type="dxa"/>
              <w:bottom w:w="0" w:type="dxa"/>
              <w:right w:w="15" w:type="dxa"/>
            </w:tcMar>
            <w:vAlign w:val="center"/>
            <w:hideMark/>
          </w:tcPr>
          <w:p w14:paraId="336669C9" w14:textId="77777777" w:rsidR="007336DC" w:rsidRPr="00FD5358" w:rsidRDefault="007336DC" w:rsidP="007727C2">
            <w:pPr>
              <w:spacing w:after="0" w:line="240" w:lineRule="auto"/>
              <w:jc w:val="right"/>
              <w:rPr>
                <w:rFonts w:cs="Arial"/>
                <w:sz w:val="15"/>
                <w:szCs w:val="15"/>
              </w:rPr>
            </w:pPr>
            <w:r w:rsidRPr="00FD5358">
              <w:rPr>
                <w:rFonts w:cs="Arial"/>
                <w:sz w:val="15"/>
                <w:szCs w:val="15"/>
              </w:rPr>
              <w:t>571,25</w:t>
            </w:r>
          </w:p>
        </w:tc>
        <w:tc>
          <w:tcPr>
            <w:tcW w:w="0" w:type="auto"/>
            <w:shd w:val="clear" w:color="auto" w:fill="auto"/>
            <w:noWrap/>
            <w:tcMar>
              <w:top w:w="15" w:type="dxa"/>
              <w:left w:w="15" w:type="dxa"/>
              <w:bottom w:w="0" w:type="dxa"/>
              <w:right w:w="15" w:type="dxa"/>
            </w:tcMar>
            <w:vAlign w:val="center"/>
            <w:hideMark/>
          </w:tcPr>
          <w:p w14:paraId="7AF5257F" w14:textId="77777777" w:rsidR="007336DC" w:rsidRPr="00FD5358" w:rsidRDefault="007336DC" w:rsidP="007727C2">
            <w:pPr>
              <w:spacing w:after="0" w:line="240" w:lineRule="auto"/>
              <w:jc w:val="right"/>
              <w:rPr>
                <w:rFonts w:cs="Arial"/>
                <w:sz w:val="15"/>
                <w:szCs w:val="15"/>
              </w:rPr>
            </w:pPr>
            <w:r w:rsidRPr="00FD5358">
              <w:rPr>
                <w:rFonts w:cs="Arial"/>
                <w:sz w:val="15"/>
                <w:szCs w:val="15"/>
              </w:rPr>
              <w:t>1.508,01</w:t>
            </w:r>
          </w:p>
        </w:tc>
        <w:tc>
          <w:tcPr>
            <w:tcW w:w="0" w:type="auto"/>
            <w:shd w:val="clear" w:color="auto" w:fill="auto"/>
            <w:noWrap/>
            <w:tcMar>
              <w:top w:w="15" w:type="dxa"/>
              <w:left w:w="15" w:type="dxa"/>
              <w:bottom w:w="0" w:type="dxa"/>
              <w:right w:w="15" w:type="dxa"/>
            </w:tcMar>
            <w:vAlign w:val="center"/>
            <w:hideMark/>
          </w:tcPr>
          <w:p w14:paraId="29AC8567" w14:textId="77777777" w:rsidR="007336DC" w:rsidRPr="00FD5358" w:rsidRDefault="007336DC" w:rsidP="007727C2">
            <w:pPr>
              <w:spacing w:after="0" w:line="240" w:lineRule="auto"/>
              <w:jc w:val="right"/>
              <w:rPr>
                <w:rFonts w:cs="Arial"/>
                <w:sz w:val="15"/>
                <w:szCs w:val="15"/>
              </w:rPr>
            </w:pPr>
            <w:r w:rsidRPr="00FD5358">
              <w:rPr>
                <w:rFonts w:cs="Arial"/>
                <w:sz w:val="15"/>
                <w:szCs w:val="15"/>
              </w:rPr>
              <w:t>1.255,04</w:t>
            </w:r>
          </w:p>
        </w:tc>
        <w:tc>
          <w:tcPr>
            <w:tcW w:w="0" w:type="auto"/>
            <w:shd w:val="clear" w:color="auto" w:fill="auto"/>
            <w:noWrap/>
            <w:tcMar>
              <w:top w:w="15" w:type="dxa"/>
              <w:left w:w="15" w:type="dxa"/>
              <w:bottom w:w="0" w:type="dxa"/>
              <w:right w:w="15" w:type="dxa"/>
            </w:tcMar>
            <w:vAlign w:val="center"/>
            <w:hideMark/>
          </w:tcPr>
          <w:p w14:paraId="5A869B74"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906A593"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shd w:val="clear" w:color="auto" w:fill="auto"/>
            <w:noWrap/>
            <w:tcMar>
              <w:top w:w="15" w:type="dxa"/>
              <w:left w:w="15" w:type="dxa"/>
              <w:bottom w:w="0" w:type="dxa"/>
              <w:right w:w="15" w:type="dxa"/>
            </w:tcMar>
            <w:vAlign w:val="center"/>
            <w:hideMark/>
          </w:tcPr>
          <w:p w14:paraId="0F0B02F3" w14:textId="77777777" w:rsidR="007336DC" w:rsidRPr="00FD5358" w:rsidRDefault="007336DC" w:rsidP="007727C2">
            <w:pPr>
              <w:spacing w:after="0" w:line="240" w:lineRule="auto"/>
              <w:jc w:val="right"/>
              <w:rPr>
                <w:rFonts w:cs="Arial"/>
                <w:sz w:val="15"/>
                <w:szCs w:val="15"/>
              </w:rPr>
            </w:pPr>
            <w:r w:rsidRPr="00FD5358">
              <w:rPr>
                <w:rFonts w:cs="Arial"/>
                <w:sz w:val="15"/>
                <w:szCs w:val="15"/>
              </w:rPr>
              <w:t>26,29</w:t>
            </w:r>
          </w:p>
        </w:tc>
        <w:tc>
          <w:tcPr>
            <w:tcW w:w="0" w:type="auto"/>
            <w:shd w:val="clear" w:color="auto" w:fill="auto"/>
            <w:noWrap/>
            <w:tcMar>
              <w:top w:w="15" w:type="dxa"/>
              <w:left w:w="15" w:type="dxa"/>
              <w:bottom w:w="0" w:type="dxa"/>
              <w:right w:w="15" w:type="dxa"/>
            </w:tcMar>
            <w:vAlign w:val="center"/>
            <w:hideMark/>
          </w:tcPr>
          <w:p w14:paraId="347CD23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3399225B" w14:textId="77777777" w:rsidR="007336DC" w:rsidRPr="00FD5358" w:rsidRDefault="007336DC" w:rsidP="007727C2">
            <w:pPr>
              <w:spacing w:after="0" w:line="240" w:lineRule="auto"/>
              <w:jc w:val="right"/>
              <w:rPr>
                <w:rFonts w:cs="Arial"/>
                <w:sz w:val="15"/>
                <w:szCs w:val="15"/>
              </w:rPr>
            </w:pPr>
            <w:r w:rsidRPr="00FD5358">
              <w:rPr>
                <w:rFonts w:cs="Arial"/>
                <w:sz w:val="15"/>
                <w:szCs w:val="15"/>
              </w:rPr>
              <w:t>0,24</w:t>
            </w:r>
          </w:p>
        </w:tc>
        <w:tc>
          <w:tcPr>
            <w:tcW w:w="0" w:type="auto"/>
            <w:shd w:val="clear" w:color="auto" w:fill="auto"/>
            <w:noWrap/>
            <w:tcMar>
              <w:top w:w="15" w:type="dxa"/>
              <w:left w:w="15" w:type="dxa"/>
              <w:bottom w:w="0" w:type="dxa"/>
              <w:right w:w="15" w:type="dxa"/>
            </w:tcMar>
            <w:vAlign w:val="center"/>
            <w:hideMark/>
          </w:tcPr>
          <w:p w14:paraId="14C7D481"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3.981,77</w:t>
            </w:r>
          </w:p>
        </w:tc>
        <w:tc>
          <w:tcPr>
            <w:tcW w:w="0" w:type="auto"/>
            <w:shd w:val="clear" w:color="auto" w:fill="auto"/>
            <w:noWrap/>
            <w:tcMar>
              <w:top w:w="15" w:type="dxa"/>
              <w:left w:w="15" w:type="dxa"/>
              <w:bottom w:w="0" w:type="dxa"/>
              <w:right w:w="15" w:type="dxa"/>
            </w:tcMar>
            <w:vAlign w:val="center"/>
            <w:hideMark/>
          </w:tcPr>
          <w:p w14:paraId="51300B5D"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0,99%</w:t>
            </w:r>
          </w:p>
        </w:tc>
      </w:tr>
      <w:tr w:rsidR="007336DC" w:rsidRPr="00FD5358" w14:paraId="206655B1"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5C00179A"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2042</w:t>
            </w:r>
          </w:p>
        </w:tc>
        <w:tc>
          <w:tcPr>
            <w:tcW w:w="0" w:type="auto"/>
            <w:shd w:val="clear" w:color="auto" w:fill="auto"/>
            <w:noWrap/>
            <w:tcMar>
              <w:top w:w="15" w:type="dxa"/>
              <w:left w:w="15" w:type="dxa"/>
              <w:bottom w:w="0" w:type="dxa"/>
              <w:right w:w="15" w:type="dxa"/>
            </w:tcMar>
            <w:vAlign w:val="center"/>
            <w:hideMark/>
          </w:tcPr>
          <w:p w14:paraId="0A965EA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45BA72EE"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CD7DFC4" w14:textId="77777777" w:rsidR="007336DC" w:rsidRPr="00FD5358" w:rsidRDefault="007336DC" w:rsidP="007727C2">
            <w:pPr>
              <w:spacing w:after="0" w:line="240" w:lineRule="auto"/>
              <w:jc w:val="right"/>
              <w:rPr>
                <w:rFonts w:cs="Arial"/>
                <w:sz w:val="15"/>
                <w:szCs w:val="15"/>
              </w:rPr>
            </w:pPr>
            <w:r w:rsidRPr="00FD5358">
              <w:rPr>
                <w:rFonts w:cs="Arial"/>
                <w:sz w:val="15"/>
                <w:szCs w:val="15"/>
              </w:rPr>
              <w:t>5.553,66</w:t>
            </w:r>
          </w:p>
        </w:tc>
        <w:tc>
          <w:tcPr>
            <w:tcW w:w="0" w:type="auto"/>
            <w:shd w:val="clear" w:color="auto" w:fill="auto"/>
            <w:noWrap/>
            <w:tcMar>
              <w:top w:w="15" w:type="dxa"/>
              <w:left w:w="15" w:type="dxa"/>
              <w:bottom w:w="0" w:type="dxa"/>
              <w:right w:w="15" w:type="dxa"/>
            </w:tcMar>
            <w:vAlign w:val="center"/>
            <w:hideMark/>
          </w:tcPr>
          <w:p w14:paraId="20B02ABC"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164418B" w14:textId="77777777" w:rsidR="007336DC" w:rsidRPr="00FD5358" w:rsidRDefault="007336DC" w:rsidP="007727C2">
            <w:pPr>
              <w:spacing w:after="0" w:line="240" w:lineRule="auto"/>
              <w:jc w:val="right"/>
              <w:rPr>
                <w:rFonts w:cs="Arial"/>
                <w:sz w:val="15"/>
                <w:szCs w:val="15"/>
              </w:rPr>
            </w:pPr>
            <w:r w:rsidRPr="00FD5358">
              <w:rPr>
                <w:rFonts w:cs="Arial"/>
                <w:sz w:val="15"/>
                <w:szCs w:val="15"/>
              </w:rPr>
              <w:t>1.508,01</w:t>
            </w:r>
          </w:p>
        </w:tc>
        <w:tc>
          <w:tcPr>
            <w:tcW w:w="0" w:type="auto"/>
            <w:shd w:val="clear" w:color="auto" w:fill="auto"/>
            <w:noWrap/>
            <w:tcMar>
              <w:top w:w="15" w:type="dxa"/>
              <w:left w:w="15" w:type="dxa"/>
              <w:bottom w:w="0" w:type="dxa"/>
              <w:right w:w="15" w:type="dxa"/>
            </w:tcMar>
            <w:vAlign w:val="center"/>
            <w:hideMark/>
          </w:tcPr>
          <w:p w14:paraId="1E3343C5" w14:textId="77777777" w:rsidR="007336DC" w:rsidRPr="00FD5358" w:rsidRDefault="007336DC" w:rsidP="007727C2">
            <w:pPr>
              <w:spacing w:after="0" w:line="240" w:lineRule="auto"/>
              <w:jc w:val="right"/>
              <w:rPr>
                <w:rFonts w:cs="Arial"/>
                <w:sz w:val="15"/>
                <w:szCs w:val="15"/>
              </w:rPr>
            </w:pPr>
            <w:r w:rsidRPr="00FD5358">
              <w:rPr>
                <w:rFonts w:cs="Arial"/>
                <w:sz w:val="15"/>
                <w:szCs w:val="15"/>
              </w:rPr>
              <w:t>1.275,92</w:t>
            </w:r>
          </w:p>
        </w:tc>
        <w:tc>
          <w:tcPr>
            <w:tcW w:w="0" w:type="auto"/>
            <w:shd w:val="clear" w:color="auto" w:fill="auto"/>
            <w:noWrap/>
            <w:tcMar>
              <w:top w:w="15" w:type="dxa"/>
              <w:left w:w="15" w:type="dxa"/>
              <w:bottom w:w="0" w:type="dxa"/>
              <w:right w:w="15" w:type="dxa"/>
            </w:tcMar>
            <w:vAlign w:val="center"/>
            <w:hideMark/>
          </w:tcPr>
          <w:p w14:paraId="2FBBA0FA"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C1B6A71"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shd w:val="clear" w:color="auto" w:fill="auto"/>
            <w:noWrap/>
            <w:tcMar>
              <w:top w:w="15" w:type="dxa"/>
              <w:left w:w="15" w:type="dxa"/>
              <w:bottom w:w="0" w:type="dxa"/>
              <w:right w:w="15" w:type="dxa"/>
            </w:tcMar>
            <w:vAlign w:val="center"/>
            <w:hideMark/>
          </w:tcPr>
          <w:p w14:paraId="52CF3FC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73CF71A3"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78477611" w14:textId="77777777" w:rsidR="007336DC" w:rsidRPr="00FD5358" w:rsidRDefault="007336DC" w:rsidP="007727C2">
            <w:pPr>
              <w:spacing w:after="0" w:line="240" w:lineRule="auto"/>
              <w:jc w:val="right"/>
              <w:rPr>
                <w:rFonts w:cs="Arial"/>
                <w:sz w:val="15"/>
                <w:szCs w:val="15"/>
              </w:rPr>
            </w:pPr>
            <w:r w:rsidRPr="00FD5358">
              <w:rPr>
                <w:rFonts w:cs="Arial"/>
                <w:sz w:val="15"/>
                <w:szCs w:val="15"/>
              </w:rPr>
              <w:t>0,25</w:t>
            </w:r>
          </w:p>
        </w:tc>
        <w:tc>
          <w:tcPr>
            <w:tcW w:w="0" w:type="auto"/>
            <w:shd w:val="clear" w:color="auto" w:fill="auto"/>
            <w:noWrap/>
            <w:tcMar>
              <w:top w:w="15" w:type="dxa"/>
              <w:left w:w="15" w:type="dxa"/>
              <w:bottom w:w="0" w:type="dxa"/>
              <w:right w:w="15" w:type="dxa"/>
            </w:tcMar>
            <w:vAlign w:val="center"/>
            <w:hideMark/>
          </w:tcPr>
          <w:p w14:paraId="6889741E"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8.907,93</w:t>
            </w:r>
          </w:p>
        </w:tc>
        <w:tc>
          <w:tcPr>
            <w:tcW w:w="0" w:type="auto"/>
            <w:shd w:val="clear" w:color="auto" w:fill="auto"/>
            <w:noWrap/>
            <w:tcMar>
              <w:top w:w="15" w:type="dxa"/>
              <w:left w:w="15" w:type="dxa"/>
              <w:bottom w:w="0" w:type="dxa"/>
              <w:right w:w="15" w:type="dxa"/>
            </w:tcMar>
            <w:vAlign w:val="center"/>
            <w:hideMark/>
          </w:tcPr>
          <w:p w14:paraId="7C388C2B"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2,22%</w:t>
            </w:r>
          </w:p>
        </w:tc>
      </w:tr>
      <w:tr w:rsidR="007336DC" w:rsidRPr="00FD5358" w14:paraId="0BC61538"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10F23BC0"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2043</w:t>
            </w:r>
          </w:p>
        </w:tc>
        <w:tc>
          <w:tcPr>
            <w:tcW w:w="0" w:type="auto"/>
            <w:shd w:val="clear" w:color="auto" w:fill="auto"/>
            <w:noWrap/>
            <w:tcMar>
              <w:top w:w="15" w:type="dxa"/>
              <w:left w:w="15" w:type="dxa"/>
              <w:bottom w:w="0" w:type="dxa"/>
              <w:right w:w="15" w:type="dxa"/>
            </w:tcMar>
            <w:vAlign w:val="center"/>
            <w:hideMark/>
          </w:tcPr>
          <w:p w14:paraId="37EADD10"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482F7E03"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10212B4"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7946686"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32DE213" w14:textId="77777777" w:rsidR="007336DC" w:rsidRPr="00FD5358" w:rsidRDefault="007336DC" w:rsidP="007727C2">
            <w:pPr>
              <w:spacing w:after="0" w:line="240" w:lineRule="auto"/>
              <w:jc w:val="right"/>
              <w:rPr>
                <w:rFonts w:cs="Arial"/>
                <w:sz w:val="15"/>
                <w:szCs w:val="15"/>
              </w:rPr>
            </w:pPr>
            <w:r w:rsidRPr="00FD5358">
              <w:rPr>
                <w:rFonts w:cs="Arial"/>
                <w:sz w:val="15"/>
                <w:szCs w:val="15"/>
              </w:rPr>
              <w:t>1.681,30</w:t>
            </w:r>
          </w:p>
        </w:tc>
        <w:tc>
          <w:tcPr>
            <w:tcW w:w="0" w:type="auto"/>
            <w:shd w:val="clear" w:color="auto" w:fill="auto"/>
            <w:noWrap/>
            <w:tcMar>
              <w:top w:w="15" w:type="dxa"/>
              <w:left w:w="15" w:type="dxa"/>
              <w:bottom w:w="0" w:type="dxa"/>
              <w:right w:w="15" w:type="dxa"/>
            </w:tcMar>
            <w:vAlign w:val="center"/>
            <w:hideMark/>
          </w:tcPr>
          <w:p w14:paraId="124699A5" w14:textId="77777777" w:rsidR="007336DC" w:rsidRPr="00FD5358" w:rsidRDefault="007336DC" w:rsidP="007727C2">
            <w:pPr>
              <w:spacing w:after="0" w:line="240" w:lineRule="auto"/>
              <w:jc w:val="right"/>
              <w:rPr>
                <w:rFonts w:cs="Arial"/>
                <w:sz w:val="15"/>
                <w:szCs w:val="15"/>
              </w:rPr>
            </w:pPr>
            <w:r w:rsidRPr="00FD5358">
              <w:rPr>
                <w:rFonts w:cs="Arial"/>
                <w:sz w:val="15"/>
                <w:szCs w:val="15"/>
              </w:rPr>
              <w:t>1.943,32</w:t>
            </w:r>
          </w:p>
        </w:tc>
        <w:tc>
          <w:tcPr>
            <w:tcW w:w="0" w:type="auto"/>
            <w:shd w:val="clear" w:color="auto" w:fill="auto"/>
            <w:noWrap/>
            <w:tcMar>
              <w:top w:w="15" w:type="dxa"/>
              <w:left w:w="15" w:type="dxa"/>
              <w:bottom w:w="0" w:type="dxa"/>
              <w:right w:w="15" w:type="dxa"/>
            </w:tcMar>
            <w:vAlign w:val="center"/>
            <w:hideMark/>
          </w:tcPr>
          <w:p w14:paraId="3980FEE6"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4BF91A0"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shd w:val="clear" w:color="auto" w:fill="auto"/>
            <w:noWrap/>
            <w:tcMar>
              <w:top w:w="15" w:type="dxa"/>
              <w:left w:w="15" w:type="dxa"/>
              <w:bottom w:w="0" w:type="dxa"/>
              <w:right w:w="15" w:type="dxa"/>
            </w:tcMar>
            <w:vAlign w:val="center"/>
            <w:hideMark/>
          </w:tcPr>
          <w:p w14:paraId="64427952"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5352297"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427CF8F6" w14:textId="77777777" w:rsidR="007336DC" w:rsidRPr="00FD5358" w:rsidRDefault="007336DC" w:rsidP="007727C2">
            <w:pPr>
              <w:spacing w:after="0" w:line="240" w:lineRule="auto"/>
              <w:jc w:val="right"/>
              <w:rPr>
                <w:rFonts w:cs="Arial"/>
                <w:sz w:val="15"/>
                <w:szCs w:val="15"/>
              </w:rPr>
            </w:pPr>
            <w:r w:rsidRPr="00FD5358">
              <w:rPr>
                <w:rFonts w:cs="Arial"/>
                <w:sz w:val="15"/>
                <w:szCs w:val="15"/>
              </w:rPr>
              <w:t>0,25</w:t>
            </w:r>
          </w:p>
        </w:tc>
        <w:tc>
          <w:tcPr>
            <w:tcW w:w="0" w:type="auto"/>
            <w:shd w:val="clear" w:color="auto" w:fill="auto"/>
            <w:noWrap/>
            <w:tcMar>
              <w:top w:w="15" w:type="dxa"/>
              <w:left w:w="15" w:type="dxa"/>
              <w:bottom w:w="0" w:type="dxa"/>
              <w:right w:w="15" w:type="dxa"/>
            </w:tcMar>
            <w:vAlign w:val="center"/>
            <w:hideMark/>
          </w:tcPr>
          <w:p w14:paraId="4F67C3BE"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4.194,96</w:t>
            </w:r>
          </w:p>
        </w:tc>
        <w:tc>
          <w:tcPr>
            <w:tcW w:w="0" w:type="auto"/>
            <w:shd w:val="clear" w:color="auto" w:fill="auto"/>
            <w:noWrap/>
            <w:tcMar>
              <w:top w:w="15" w:type="dxa"/>
              <w:left w:w="15" w:type="dxa"/>
              <w:bottom w:w="0" w:type="dxa"/>
              <w:right w:w="15" w:type="dxa"/>
            </w:tcMar>
            <w:vAlign w:val="center"/>
            <w:hideMark/>
          </w:tcPr>
          <w:p w14:paraId="5ACD29B6"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1,04%</w:t>
            </w:r>
          </w:p>
        </w:tc>
      </w:tr>
      <w:tr w:rsidR="007336DC" w:rsidRPr="00FD5358" w14:paraId="5FC54FCC"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4928C09D"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2044</w:t>
            </w:r>
          </w:p>
        </w:tc>
        <w:tc>
          <w:tcPr>
            <w:tcW w:w="0" w:type="auto"/>
            <w:shd w:val="clear" w:color="auto" w:fill="auto"/>
            <w:noWrap/>
            <w:tcMar>
              <w:top w:w="15" w:type="dxa"/>
              <w:left w:w="15" w:type="dxa"/>
              <w:bottom w:w="0" w:type="dxa"/>
              <w:right w:w="15" w:type="dxa"/>
            </w:tcMar>
            <w:vAlign w:val="center"/>
            <w:hideMark/>
          </w:tcPr>
          <w:p w14:paraId="3B721483"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289B863"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8737CCB"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1872E85"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5A1075B0" w14:textId="77777777" w:rsidR="007336DC" w:rsidRPr="00FD5358" w:rsidRDefault="007336DC" w:rsidP="007727C2">
            <w:pPr>
              <w:spacing w:after="0" w:line="240" w:lineRule="auto"/>
              <w:jc w:val="right"/>
              <w:rPr>
                <w:rFonts w:cs="Arial"/>
                <w:sz w:val="15"/>
                <w:szCs w:val="15"/>
              </w:rPr>
            </w:pPr>
            <w:r w:rsidRPr="00FD5358">
              <w:rPr>
                <w:rFonts w:cs="Arial"/>
                <w:sz w:val="15"/>
                <w:szCs w:val="15"/>
              </w:rPr>
              <w:t>1.731,74</w:t>
            </w:r>
          </w:p>
        </w:tc>
        <w:tc>
          <w:tcPr>
            <w:tcW w:w="0" w:type="auto"/>
            <w:shd w:val="clear" w:color="auto" w:fill="auto"/>
            <w:noWrap/>
            <w:tcMar>
              <w:top w:w="15" w:type="dxa"/>
              <w:left w:w="15" w:type="dxa"/>
              <w:bottom w:w="0" w:type="dxa"/>
              <w:right w:w="15" w:type="dxa"/>
            </w:tcMar>
            <w:vAlign w:val="center"/>
            <w:hideMark/>
          </w:tcPr>
          <w:p w14:paraId="447FC4D1" w14:textId="77777777" w:rsidR="007336DC" w:rsidRPr="00FD5358" w:rsidRDefault="007336DC" w:rsidP="007727C2">
            <w:pPr>
              <w:spacing w:after="0" w:line="240" w:lineRule="auto"/>
              <w:jc w:val="right"/>
              <w:rPr>
                <w:rFonts w:cs="Arial"/>
                <w:sz w:val="15"/>
                <w:szCs w:val="15"/>
              </w:rPr>
            </w:pPr>
            <w:r w:rsidRPr="00FD5358">
              <w:rPr>
                <w:rFonts w:cs="Arial"/>
                <w:sz w:val="15"/>
                <w:szCs w:val="15"/>
              </w:rPr>
              <w:t>1.964,20</w:t>
            </w:r>
          </w:p>
        </w:tc>
        <w:tc>
          <w:tcPr>
            <w:tcW w:w="0" w:type="auto"/>
            <w:shd w:val="clear" w:color="auto" w:fill="auto"/>
            <w:noWrap/>
            <w:tcMar>
              <w:top w:w="15" w:type="dxa"/>
              <w:left w:w="15" w:type="dxa"/>
              <w:bottom w:w="0" w:type="dxa"/>
              <w:right w:w="15" w:type="dxa"/>
            </w:tcMar>
            <w:vAlign w:val="center"/>
            <w:hideMark/>
          </w:tcPr>
          <w:p w14:paraId="74AE64A2"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1578B78"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shd w:val="clear" w:color="auto" w:fill="auto"/>
            <w:noWrap/>
            <w:tcMar>
              <w:top w:w="15" w:type="dxa"/>
              <w:left w:w="15" w:type="dxa"/>
              <w:bottom w:w="0" w:type="dxa"/>
              <w:right w:w="15" w:type="dxa"/>
            </w:tcMar>
            <w:vAlign w:val="center"/>
            <w:hideMark/>
          </w:tcPr>
          <w:p w14:paraId="768E54B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4D55777A"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2D572BD" w14:textId="77777777" w:rsidR="007336DC" w:rsidRPr="00FD5358" w:rsidRDefault="007336DC" w:rsidP="007727C2">
            <w:pPr>
              <w:spacing w:after="0" w:line="240" w:lineRule="auto"/>
              <w:jc w:val="right"/>
              <w:rPr>
                <w:rFonts w:cs="Arial"/>
                <w:sz w:val="15"/>
                <w:szCs w:val="15"/>
              </w:rPr>
            </w:pPr>
            <w:r w:rsidRPr="00FD5358">
              <w:rPr>
                <w:rFonts w:cs="Arial"/>
                <w:sz w:val="15"/>
                <w:szCs w:val="15"/>
              </w:rPr>
              <w:t>0,26</w:t>
            </w:r>
          </w:p>
        </w:tc>
        <w:tc>
          <w:tcPr>
            <w:tcW w:w="0" w:type="auto"/>
            <w:shd w:val="clear" w:color="auto" w:fill="auto"/>
            <w:noWrap/>
            <w:tcMar>
              <w:top w:w="15" w:type="dxa"/>
              <w:left w:w="15" w:type="dxa"/>
              <w:bottom w:w="0" w:type="dxa"/>
              <w:right w:w="15" w:type="dxa"/>
            </w:tcMar>
            <w:vAlign w:val="center"/>
            <w:hideMark/>
          </w:tcPr>
          <w:p w14:paraId="319F9A52"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4.266,28</w:t>
            </w:r>
          </w:p>
        </w:tc>
        <w:tc>
          <w:tcPr>
            <w:tcW w:w="0" w:type="auto"/>
            <w:shd w:val="clear" w:color="auto" w:fill="auto"/>
            <w:noWrap/>
            <w:tcMar>
              <w:top w:w="15" w:type="dxa"/>
              <w:left w:w="15" w:type="dxa"/>
              <w:bottom w:w="0" w:type="dxa"/>
              <w:right w:w="15" w:type="dxa"/>
            </w:tcMar>
            <w:vAlign w:val="center"/>
            <w:hideMark/>
          </w:tcPr>
          <w:p w14:paraId="52F0179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1,06%</w:t>
            </w:r>
          </w:p>
        </w:tc>
      </w:tr>
      <w:tr w:rsidR="007336DC" w:rsidRPr="00FD5358" w14:paraId="15CBB73E"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2F932671"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2045</w:t>
            </w:r>
          </w:p>
        </w:tc>
        <w:tc>
          <w:tcPr>
            <w:tcW w:w="0" w:type="auto"/>
            <w:shd w:val="clear" w:color="auto" w:fill="auto"/>
            <w:noWrap/>
            <w:tcMar>
              <w:top w:w="15" w:type="dxa"/>
              <w:left w:w="15" w:type="dxa"/>
              <w:bottom w:w="0" w:type="dxa"/>
              <w:right w:w="15" w:type="dxa"/>
            </w:tcMar>
            <w:vAlign w:val="center"/>
            <w:hideMark/>
          </w:tcPr>
          <w:p w14:paraId="3B369504"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37FF9DBC"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453029F"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5F9878FC"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766329C" w14:textId="77777777" w:rsidR="007336DC" w:rsidRPr="00FD5358" w:rsidRDefault="007336DC" w:rsidP="007727C2">
            <w:pPr>
              <w:spacing w:after="0" w:line="240" w:lineRule="auto"/>
              <w:jc w:val="right"/>
              <w:rPr>
                <w:rFonts w:cs="Arial"/>
                <w:sz w:val="15"/>
                <w:szCs w:val="15"/>
              </w:rPr>
            </w:pPr>
            <w:r w:rsidRPr="00FD5358">
              <w:rPr>
                <w:rFonts w:cs="Arial"/>
                <w:sz w:val="15"/>
                <w:szCs w:val="15"/>
              </w:rPr>
              <w:t>1.783,69</w:t>
            </w:r>
          </w:p>
        </w:tc>
        <w:tc>
          <w:tcPr>
            <w:tcW w:w="0" w:type="auto"/>
            <w:shd w:val="clear" w:color="auto" w:fill="auto"/>
            <w:noWrap/>
            <w:tcMar>
              <w:top w:w="15" w:type="dxa"/>
              <w:left w:w="15" w:type="dxa"/>
              <w:bottom w:w="0" w:type="dxa"/>
              <w:right w:w="15" w:type="dxa"/>
            </w:tcMar>
            <w:vAlign w:val="center"/>
            <w:hideMark/>
          </w:tcPr>
          <w:p w14:paraId="26B08D6C" w14:textId="77777777" w:rsidR="007336DC" w:rsidRPr="00FD5358" w:rsidRDefault="007336DC" w:rsidP="007727C2">
            <w:pPr>
              <w:spacing w:after="0" w:line="240" w:lineRule="auto"/>
              <w:jc w:val="right"/>
              <w:rPr>
                <w:rFonts w:cs="Arial"/>
                <w:sz w:val="15"/>
                <w:szCs w:val="15"/>
              </w:rPr>
            </w:pPr>
            <w:r w:rsidRPr="00FD5358">
              <w:rPr>
                <w:rFonts w:cs="Arial"/>
                <w:sz w:val="15"/>
                <w:szCs w:val="15"/>
              </w:rPr>
              <w:t>1.985,08</w:t>
            </w:r>
          </w:p>
        </w:tc>
        <w:tc>
          <w:tcPr>
            <w:tcW w:w="0" w:type="auto"/>
            <w:shd w:val="clear" w:color="auto" w:fill="auto"/>
            <w:noWrap/>
            <w:tcMar>
              <w:top w:w="15" w:type="dxa"/>
              <w:left w:w="15" w:type="dxa"/>
              <w:bottom w:w="0" w:type="dxa"/>
              <w:right w:w="15" w:type="dxa"/>
            </w:tcMar>
            <w:vAlign w:val="center"/>
            <w:hideMark/>
          </w:tcPr>
          <w:p w14:paraId="5E2E40B9"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F75E6E7"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shd w:val="clear" w:color="auto" w:fill="auto"/>
            <w:noWrap/>
            <w:tcMar>
              <w:top w:w="15" w:type="dxa"/>
              <w:left w:w="15" w:type="dxa"/>
              <w:bottom w:w="0" w:type="dxa"/>
              <w:right w:w="15" w:type="dxa"/>
            </w:tcMar>
            <w:vAlign w:val="center"/>
            <w:hideMark/>
          </w:tcPr>
          <w:p w14:paraId="592802C2"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EFEBA52"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3D3EC091" w14:textId="77777777" w:rsidR="007336DC" w:rsidRPr="00FD5358" w:rsidRDefault="007336DC" w:rsidP="007727C2">
            <w:pPr>
              <w:spacing w:after="0" w:line="240" w:lineRule="auto"/>
              <w:jc w:val="right"/>
              <w:rPr>
                <w:rFonts w:cs="Arial"/>
                <w:sz w:val="15"/>
                <w:szCs w:val="15"/>
              </w:rPr>
            </w:pPr>
            <w:r w:rsidRPr="00FD5358">
              <w:rPr>
                <w:rFonts w:cs="Arial"/>
                <w:sz w:val="15"/>
                <w:szCs w:val="15"/>
              </w:rPr>
              <w:t>0,26</w:t>
            </w:r>
          </w:p>
        </w:tc>
        <w:tc>
          <w:tcPr>
            <w:tcW w:w="0" w:type="auto"/>
            <w:shd w:val="clear" w:color="auto" w:fill="auto"/>
            <w:noWrap/>
            <w:tcMar>
              <w:top w:w="15" w:type="dxa"/>
              <w:left w:w="15" w:type="dxa"/>
              <w:bottom w:w="0" w:type="dxa"/>
              <w:right w:w="15" w:type="dxa"/>
            </w:tcMar>
            <w:vAlign w:val="center"/>
            <w:hideMark/>
          </w:tcPr>
          <w:p w14:paraId="2B6E605B"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4.339,12</w:t>
            </w:r>
          </w:p>
        </w:tc>
        <w:tc>
          <w:tcPr>
            <w:tcW w:w="0" w:type="auto"/>
            <w:shd w:val="clear" w:color="auto" w:fill="auto"/>
            <w:noWrap/>
            <w:tcMar>
              <w:top w:w="15" w:type="dxa"/>
              <w:left w:w="15" w:type="dxa"/>
              <w:bottom w:w="0" w:type="dxa"/>
              <w:right w:w="15" w:type="dxa"/>
            </w:tcMar>
            <w:vAlign w:val="center"/>
            <w:hideMark/>
          </w:tcPr>
          <w:p w14:paraId="44734931"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1,08%</w:t>
            </w:r>
          </w:p>
        </w:tc>
      </w:tr>
      <w:tr w:rsidR="007336DC" w:rsidRPr="00FD5358" w14:paraId="0406C833"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43418237"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2046</w:t>
            </w:r>
          </w:p>
        </w:tc>
        <w:tc>
          <w:tcPr>
            <w:tcW w:w="0" w:type="auto"/>
            <w:shd w:val="clear" w:color="auto" w:fill="auto"/>
            <w:noWrap/>
            <w:tcMar>
              <w:top w:w="15" w:type="dxa"/>
              <w:left w:w="15" w:type="dxa"/>
              <w:bottom w:w="0" w:type="dxa"/>
              <w:right w:w="15" w:type="dxa"/>
            </w:tcMar>
            <w:vAlign w:val="center"/>
            <w:hideMark/>
          </w:tcPr>
          <w:p w14:paraId="432D56C4"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3D666E6D"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DA7218B"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FBE9216"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CF71F7F" w14:textId="77777777" w:rsidR="007336DC" w:rsidRPr="00FD5358" w:rsidRDefault="007336DC" w:rsidP="007727C2">
            <w:pPr>
              <w:spacing w:after="0" w:line="240" w:lineRule="auto"/>
              <w:jc w:val="right"/>
              <w:rPr>
                <w:rFonts w:cs="Arial"/>
                <w:sz w:val="15"/>
                <w:szCs w:val="15"/>
              </w:rPr>
            </w:pPr>
            <w:r w:rsidRPr="00FD5358">
              <w:rPr>
                <w:rFonts w:cs="Arial"/>
                <w:sz w:val="15"/>
                <w:szCs w:val="15"/>
              </w:rPr>
              <w:t>1.837,20</w:t>
            </w:r>
          </w:p>
        </w:tc>
        <w:tc>
          <w:tcPr>
            <w:tcW w:w="0" w:type="auto"/>
            <w:shd w:val="clear" w:color="auto" w:fill="auto"/>
            <w:noWrap/>
            <w:tcMar>
              <w:top w:w="15" w:type="dxa"/>
              <w:left w:w="15" w:type="dxa"/>
              <w:bottom w:w="0" w:type="dxa"/>
              <w:right w:w="15" w:type="dxa"/>
            </w:tcMar>
            <w:vAlign w:val="center"/>
            <w:hideMark/>
          </w:tcPr>
          <w:p w14:paraId="6F802C3E" w14:textId="77777777" w:rsidR="007336DC" w:rsidRPr="00FD5358" w:rsidRDefault="007336DC" w:rsidP="007727C2">
            <w:pPr>
              <w:spacing w:after="0" w:line="240" w:lineRule="auto"/>
              <w:jc w:val="right"/>
              <w:rPr>
                <w:rFonts w:cs="Arial"/>
                <w:sz w:val="15"/>
                <w:szCs w:val="15"/>
              </w:rPr>
            </w:pPr>
            <w:r w:rsidRPr="00FD5358">
              <w:rPr>
                <w:rFonts w:cs="Arial"/>
                <w:sz w:val="15"/>
                <w:szCs w:val="15"/>
              </w:rPr>
              <w:t>2.005,96</w:t>
            </w:r>
          </w:p>
        </w:tc>
        <w:tc>
          <w:tcPr>
            <w:tcW w:w="0" w:type="auto"/>
            <w:shd w:val="clear" w:color="auto" w:fill="auto"/>
            <w:noWrap/>
            <w:tcMar>
              <w:top w:w="15" w:type="dxa"/>
              <w:left w:w="15" w:type="dxa"/>
              <w:bottom w:w="0" w:type="dxa"/>
              <w:right w:w="15" w:type="dxa"/>
            </w:tcMar>
            <w:vAlign w:val="center"/>
            <w:hideMark/>
          </w:tcPr>
          <w:p w14:paraId="232E2FF3" w14:textId="77777777" w:rsidR="007336DC" w:rsidRPr="00FD5358" w:rsidRDefault="007336DC" w:rsidP="007727C2">
            <w:pPr>
              <w:spacing w:after="0" w:line="240" w:lineRule="auto"/>
              <w:jc w:val="right"/>
              <w:rPr>
                <w:rFonts w:cs="Arial"/>
                <w:sz w:val="15"/>
                <w:szCs w:val="15"/>
              </w:rPr>
            </w:pPr>
            <w:r w:rsidRPr="00FD5358">
              <w:rPr>
                <w:rFonts w:cs="Arial"/>
                <w:sz w:val="15"/>
                <w:szCs w:val="15"/>
              </w:rPr>
              <w:t>900,00</w:t>
            </w:r>
          </w:p>
        </w:tc>
        <w:tc>
          <w:tcPr>
            <w:tcW w:w="0" w:type="auto"/>
            <w:shd w:val="clear" w:color="auto" w:fill="auto"/>
            <w:noWrap/>
            <w:tcMar>
              <w:top w:w="15" w:type="dxa"/>
              <w:left w:w="15" w:type="dxa"/>
              <w:bottom w:w="0" w:type="dxa"/>
              <w:right w:w="15" w:type="dxa"/>
            </w:tcMar>
            <w:vAlign w:val="center"/>
            <w:hideMark/>
          </w:tcPr>
          <w:p w14:paraId="3DF246A2"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shd w:val="clear" w:color="auto" w:fill="auto"/>
            <w:noWrap/>
            <w:tcMar>
              <w:top w:w="15" w:type="dxa"/>
              <w:left w:w="15" w:type="dxa"/>
              <w:bottom w:w="0" w:type="dxa"/>
              <w:right w:w="15" w:type="dxa"/>
            </w:tcMar>
            <w:vAlign w:val="center"/>
            <w:hideMark/>
          </w:tcPr>
          <w:p w14:paraId="128C880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344B197C"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401D7294" w14:textId="77777777" w:rsidR="007336DC" w:rsidRPr="00FD5358" w:rsidRDefault="007336DC" w:rsidP="007727C2">
            <w:pPr>
              <w:spacing w:after="0" w:line="240" w:lineRule="auto"/>
              <w:jc w:val="right"/>
              <w:rPr>
                <w:rFonts w:cs="Arial"/>
                <w:sz w:val="15"/>
                <w:szCs w:val="15"/>
              </w:rPr>
            </w:pPr>
            <w:r w:rsidRPr="00FD5358">
              <w:rPr>
                <w:rFonts w:cs="Arial"/>
                <w:sz w:val="15"/>
                <w:szCs w:val="15"/>
              </w:rPr>
              <w:t>0,27</w:t>
            </w:r>
          </w:p>
        </w:tc>
        <w:tc>
          <w:tcPr>
            <w:tcW w:w="0" w:type="auto"/>
            <w:shd w:val="clear" w:color="auto" w:fill="auto"/>
            <w:noWrap/>
            <w:tcMar>
              <w:top w:w="15" w:type="dxa"/>
              <w:left w:w="15" w:type="dxa"/>
              <w:bottom w:w="0" w:type="dxa"/>
              <w:right w:w="15" w:type="dxa"/>
            </w:tcMar>
            <w:vAlign w:val="center"/>
            <w:hideMark/>
          </w:tcPr>
          <w:p w14:paraId="44C16B0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5.313,52</w:t>
            </w:r>
          </w:p>
        </w:tc>
        <w:tc>
          <w:tcPr>
            <w:tcW w:w="0" w:type="auto"/>
            <w:shd w:val="clear" w:color="auto" w:fill="auto"/>
            <w:noWrap/>
            <w:tcMar>
              <w:top w:w="15" w:type="dxa"/>
              <w:left w:w="15" w:type="dxa"/>
              <w:bottom w:w="0" w:type="dxa"/>
              <w:right w:w="15" w:type="dxa"/>
            </w:tcMar>
            <w:vAlign w:val="center"/>
            <w:hideMark/>
          </w:tcPr>
          <w:p w14:paraId="4B33245C"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1,32%</w:t>
            </w:r>
          </w:p>
        </w:tc>
      </w:tr>
      <w:tr w:rsidR="007336DC" w:rsidRPr="00FD5358" w14:paraId="0AD19AB7"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133AF9C9"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2047</w:t>
            </w:r>
          </w:p>
        </w:tc>
        <w:tc>
          <w:tcPr>
            <w:tcW w:w="0" w:type="auto"/>
            <w:shd w:val="clear" w:color="auto" w:fill="auto"/>
            <w:noWrap/>
            <w:tcMar>
              <w:top w:w="15" w:type="dxa"/>
              <w:left w:w="15" w:type="dxa"/>
              <w:bottom w:w="0" w:type="dxa"/>
              <w:right w:w="15" w:type="dxa"/>
            </w:tcMar>
            <w:vAlign w:val="center"/>
            <w:hideMark/>
          </w:tcPr>
          <w:p w14:paraId="588D62C5"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4312F5BC"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96A02CA"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2F9E2E4"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78200B2" w14:textId="77777777" w:rsidR="007336DC" w:rsidRPr="00FD5358" w:rsidRDefault="007336DC" w:rsidP="007727C2">
            <w:pPr>
              <w:spacing w:after="0" w:line="240" w:lineRule="auto"/>
              <w:jc w:val="right"/>
              <w:rPr>
                <w:rFonts w:cs="Arial"/>
                <w:sz w:val="15"/>
                <w:szCs w:val="15"/>
              </w:rPr>
            </w:pPr>
            <w:r w:rsidRPr="00FD5358">
              <w:rPr>
                <w:rFonts w:cs="Arial"/>
                <w:sz w:val="15"/>
                <w:szCs w:val="15"/>
              </w:rPr>
              <w:t>1.892,32</w:t>
            </w:r>
          </w:p>
        </w:tc>
        <w:tc>
          <w:tcPr>
            <w:tcW w:w="0" w:type="auto"/>
            <w:shd w:val="clear" w:color="auto" w:fill="auto"/>
            <w:noWrap/>
            <w:tcMar>
              <w:top w:w="15" w:type="dxa"/>
              <w:left w:w="15" w:type="dxa"/>
              <w:bottom w:w="0" w:type="dxa"/>
              <w:right w:w="15" w:type="dxa"/>
            </w:tcMar>
            <w:vAlign w:val="center"/>
            <w:hideMark/>
          </w:tcPr>
          <w:p w14:paraId="61618B86" w14:textId="77777777" w:rsidR="007336DC" w:rsidRPr="00FD5358" w:rsidRDefault="007336DC" w:rsidP="007727C2">
            <w:pPr>
              <w:spacing w:after="0" w:line="240" w:lineRule="auto"/>
              <w:jc w:val="right"/>
              <w:rPr>
                <w:rFonts w:cs="Arial"/>
                <w:sz w:val="15"/>
                <w:szCs w:val="15"/>
              </w:rPr>
            </w:pPr>
            <w:r w:rsidRPr="00FD5358">
              <w:rPr>
                <w:rFonts w:cs="Arial"/>
                <w:sz w:val="15"/>
                <w:szCs w:val="15"/>
              </w:rPr>
              <w:t>2.026,84</w:t>
            </w:r>
          </w:p>
        </w:tc>
        <w:tc>
          <w:tcPr>
            <w:tcW w:w="0" w:type="auto"/>
            <w:shd w:val="clear" w:color="auto" w:fill="auto"/>
            <w:noWrap/>
            <w:tcMar>
              <w:top w:w="15" w:type="dxa"/>
              <w:left w:w="15" w:type="dxa"/>
              <w:bottom w:w="0" w:type="dxa"/>
              <w:right w:w="15" w:type="dxa"/>
            </w:tcMar>
            <w:vAlign w:val="center"/>
            <w:hideMark/>
          </w:tcPr>
          <w:p w14:paraId="763282DF"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AD39422"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shd w:val="clear" w:color="auto" w:fill="auto"/>
            <w:noWrap/>
            <w:tcMar>
              <w:top w:w="15" w:type="dxa"/>
              <w:left w:w="15" w:type="dxa"/>
              <w:bottom w:w="0" w:type="dxa"/>
              <w:right w:w="15" w:type="dxa"/>
            </w:tcMar>
            <w:vAlign w:val="center"/>
            <w:hideMark/>
          </w:tcPr>
          <w:p w14:paraId="71E69E3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375070DC"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406697C" w14:textId="77777777" w:rsidR="007336DC" w:rsidRPr="00FD5358" w:rsidRDefault="007336DC" w:rsidP="007727C2">
            <w:pPr>
              <w:spacing w:after="0" w:line="240" w:lineRule="auto"/>
              <w:jc w:val="right"/>
              <w:rPr>
                <w:rFonts w:cs="Arial"/>
                <w:sz w:val="15"/>
                <w:szCs w:val="15"/>
              </w:rPr>
            </w:pPr>
            <w:r w:rsidRPr="00FD5358">
              <w:rPr>
                <w:rFonts w:cs="Arial"/>
                <w:sz w:val="15"/>
                <w:szCs w:val="15"/>
              </w:rPr>
              <w:t>0,27</w:t>
            </w:r>
          </w:p>
        </w:tc>
        <w:tc>
          <w:tcPr>
            <w:tcW w:w="0" w:type="auto"/>
            <w:shd w:val="clear" w:color="auto" w:fill="auto"/>
            <w:noWrap/>
            <w:tcMar>
              <w:top w:w="15" w:type="dxa"/>
              <w:left w:w="15" w:type="dxa"/>
              <w:bottom w:w="0" w:type="dxa"/>
              <w:right w:w="15" w:type="dxa"/>
            </w:tcMar>
            <w:vAlign w:val="center"/>
            <w:hideMark/>
          </w:tcPr>
          <w:p w14:paraId="2509916A"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4.489,52</w:t>
            </w:r>
          </w:p>
        </w:tc>
        <w:tc>
          <w:tcPr>
            <w:tcW w:w="0" w:type="auto"/>
            <w:shd w:val="clear" w:color="auto" w:fill="auto"/>
            <w:noWrap/>
            <w:tcMar>
              <w:top w:w="15" w:type="dxa"/>
              <w:left w:w="15" w:type="dxa"/>
              <w:bottom w:w="0" w:type="dxa"/>
              <w:right w:w="15" w:type="dxa"/>
            </w:tcMar>
            <w:vAlign w:val="center"/>
            <w:hideMark/>
          </w:tcPr>
          <w:p w14:paraId="7B1C6167"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1,12%</w:t>
            </w:r>
          </w:p>
        </w:tc>
      </w:tr>
      <w:tr w:rsidR="007336DC" w:rsidRPr="00FD5358" w14:paraId="3B5D6B80"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26292058"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2048</w:t>
            </w:r>
          </w:p>
        </w:tc>
        <w:tc>
          <w:tcPr>
            <w:tcW w:w="0" w:type="auto"/>
            <w:shd w:val="clear" w:color="auto" w:fill="auto"/>
            <w:noWrap/>
            <w:tcMar>
              <w:top w:w="15" w:type="dxa"/>
              <w:left w:w="15" w:type="dxa"/>
              <w:bottom w:w="0" w:type="dxa"/>
              <w:right w:w="15" w:type="dxa"/>
            </w:tcMar>
            <w:vAlign w:val="center"/>
            <w:hideMark/>
          </w:tcPr>
          <w:p w14:paraId="12CA9CD9"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01EFF240"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D2D2450"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7D71190"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0C9C5DD" w14:textId="77777777" w:rsidR="007336DC" w:rsidRPr="00FD5358" w:rsidRDefault="007336DC" w:rsidP="007727C2">
            <w:pPr>
              <w:spacing w:after="0" w:line="240" w:lineRule="auto"/>
              <w:jc w:val="right"/>
              <w:rPr>
                <w:rFonts w:cs="Arial"/>
                <w:sz w:val="15"/>
                <w:szCs w:val="15"/>
              </w:rPr>
            </w:pPr>
            <w:r w:rsidRPr="00FD5358">
              <w:rPr>
                <w:rFonts w:cs="Arial"/>
                <w:sz w:val="15"/>
                <w:szCs w:val="15"/>
              </w:rPr>
              <w:t>1.949,09</w:t>
            </w:r>
          </w:p>
        </w:tc>
        <w:tc>
          <w:tcPr>
            <w:tcW w:w="0" w:type="auto"/>
            <w:shd w:val="clear" w:color="auto" w:fill="auto"/>
            <w:noWrap/>
            <w:tcMar>
              <w:top w:w="15" w:type="dxa"/>
              <w:left w:w="15" w:type="dxa"/>
              <w:bottom w:w="0" w:type="dxa"/>
              <w:right w:w="15" w:type="dxa"/>
            </w:tcMar>
            <w:vAlign w:val="center"/>
            <w:hideMark/>
          </w:tcPr>
          <w:p w14:paraId="27B86F33" w14:textId="77777777" w:rsidR="007336DC" w:rsidRPr="00FD5358" w:rsidRDefault="007336DC" w:rsidP="007727C2">
            <w:pPr>
              <w:spacing w:after="0" w:line="240" w:lineRule="auto"/>
              <w:jc w:val="right"/>
              <w:rPr>
                <w:rFonts w:cs="Arial"/>
                <w:sz w:val="15"/>
                <w:szCs w:val="15"/>
              </w:rPr>
            </w:pPr>
            <w:r w:rsidRPr="00FD5358">
              <w:rPr>
                <w:rFonts w:cs="Arial"/>
                <w:sz w:val="15"/>
                <w:szCs w:val="15"/>
              </w:rPr>
              <w:t>2.047,72</w:t>
            </w:r>
          </w:p>
        </w:tc>
        <w:tc>
          <w:tcPr>
            <w:tcW w:w="0" w:type="auto"/>
            <w:shd w:val="clear" w:color="auto" w:fill="auto"/>
            <w:noWrap/>
            <w:tcMar>
              <w:top w:w="15" w:type="dxa"/>
              <w:left w:w="15" w:type="dxa"/>
              <w:bottom w:w="0" w:type="dxa"/>
              <w:right w:w="15" w:type="dxa"/>
            </w:tcMar>
            <w:vAlign w:val="center"/>
            <w:hideMark/>
          </w:tcPr>
          <w:p w14:paraId="698ECF0B"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6A9B8D5"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shd w:val="clear" w:color="auto" w:fill="auto"/>
            <w:noWrap/>
            <w:tcMar>
              <w:top w:w="15" w:type="dxa"/>
              <w:left w:w="15" w:type="dxa"/>
              <w:bottom w:w="0" w:type="dxa"/>
              <w:right w:w="15" w:type="dxa"/>
            </w:tcMar>
            <w:vAlign w:val="center"/>
            <w:hideMark/>
          </w:tcPr>
          <w:p w14:paraId="5824831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0BC50C27"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16FFA01" w14:textId="77777777" w:rsidR="007336DC" w:rsidRPr="00FD5358" w:rsidRDefault="007336DC" w:rsidP="007727C2">
            <w:pPr>
              <w:spacing w:after="0" w:line="240" w:lineRule="auto"/>
              <w:jc w:val="right"/>
              <w:rPr>
                <w:rFonts w:cs="Arial"/>
                <w:sz w:val="15"/>
                <w:szCs w:val="15"/>
              </w:rPr>
            </w:pPr>
            <w:r w:rsidRPr="00FD5358">
              <w:rPr>
                <w:rFonts w:cs="Arial"/>
                <w:sz w:val="15"/>
                <w:szCs w:val="15"/>
              </w:rPr>
              <w:t>0,08</w:t>
            </w:r>
          </w:p>
        </w:tc>
        <w:tc>
          <w:tcPr>
            <w:tcW w:w="0" w:type="auto"/>
            <w:shd w:val="clear" w:color="auto" w:fill="auto"/>
            <w:noWrap/>
            <w:tcMar>
              <w:top w:w="15" w:type="dxa"/>
              <w:left w:w="15" w:type="dxa"/>
              <w:bottom w:w="0" w:type="dxa"/>
              <w:right w:w="15" w:type="dxa"/>
            </w:tcMar>
            <w:vAlign w:val="center"/>
            <w:hideMark/>
          </w:tcPr>
          <w:p w14:paraId="5FD6B6ED"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4.566,97</w:t>
            </w:r>
          </w:p>
        </w:tc>
        <w:tc>
          <w:tcPr>
            <w:tcW w:w="0" w:type="auto"/>
            <w:shd w:val="clear" w:color="auto" w:fill="auto"/>
            <w:noWrap/>
            <w:tcMar>
              <w:top w:w="15" w:type="dxa"/>
              <w:left w:w="15" w:type="dxa"/>
              <w:bottom w:w="0" w:type="dxa"/>
              <w:right w:w="15" w:type="dxa"/>
            </w:tcMar>
            <w:vAlign w:val="center"/>
            <w:hideMark/>
          </w:tcPr>
          <w:p w14:paraId="4B3495A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1,14%</w:t>
            </w:r>
          </w:p>
        </w:tc>
      </w:tr>
      <w:tr w:rsidR="007336DC" w:rsidRPr="00FD5358" w14:paraId="0C835BC6"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09F1ECD0" w14:textId="77777777" w:rsidR="007336DC" w:rsidRPr="00FD5358" w:rsidRDefault="007336DC" w:rsidP="007727C2">
            <w:pPr>
              <w:spacing w:after="0" w:line="240" w:lineRule="auto"/>
              <w:jc w:val="center"/>
              <w:rPr>
                <w:rFonts w:cs="Arial"/>
                <w:sz w:val="15"/>
                <w:szCs w:val="15"/>
              </w:rPr>
            </w:pPr>
            <w:r w:rsidRPr="00FD5358">
              <w:rPr>
                <w:rFonts w:cs="Arial"/>
                <w:sz w:val="15"/>
                <w:szCs w:val="15"/>
              </w:rPr>
              <w:t>2049</w:t>
            </w:r>
          </w:p>
        </w:tc>
        <w:tc>
          <w:tcPr>
            <w:tcW w:w="0" w:type="auto"/>
            <w:shd w:val="clear" w:color="auto" w:fill="auto"/>
            <w:noWrap/>
            <w:tcMar>
              <w:top w:w="15" w:type="dxa"/>
              <w:left w:w="15" w:type="dxa"/>
              <w:bottom w:w="0" w:type="dxa"/>
              <w:right w:w="15" w:type="dxa"/>
            </w:tcMar>
            <w:vAlign w:val="center"/>
            <w:hideMark/>
          </w:tcPr>
          <w:p w14:paraId="21169CD7"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7B8B9D33"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61A971A"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52397BD"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180F897" w14:textId="77777777" w:rsidR="007336DC" w:rsidRPr="00FD5358" w:rsidRDefault="007336DC" w:rsidP="007727C2">
            <w:pPr>
              <w:spacing w:after="0" w:line="240" w:lineRule="auto"/>
              <w:jc w:val="right"/>
              <w:rPr>
                <w:rFonts w:cs="Arial"/>
                <w:sz w:val="15"/>
                <w:szCs w:val="15"/>
              </w:rPr>
            </w:pPr>
            <w:r w:rsidRPr="00FD5358">
              <w:rPr>
                <w:rFonts w:cs="Arial"/>
                <w:sz w:val="15"/>
                <w:szCs w:val="15"/>
              </w:rPr>
              <w:t>2.007,56</w:t>
            </w:r>
          </w:p>
        </w:tc>
        <w:tc>
          <w:tcPr>
            <w:tcW w:w="0" w:type="auto"/>
            <w:shd w:val="clear" w:color="auto" w:fill="auto"/>
            <w:noWrap/>
            <w:tcMar>
              <w:top w:w="15" w:type="dxa"/>
              <w:left w:w="15" w:type="dxa"/>
              <w:bottom w:w="0" w:type="dxa"/>
              <w:right w:w="15" w:type="dxa"/>
            </w:tcMar>
            <w:vAlign w:val="center"/>
            <w:hideMark/>
          </w:tcPr>
          <w:p w14:paraId="3BCD84E9" w14:textId="77777777" w:rsidR="007336DC" w:rsidRPr="00FD5358" w:rsidRDefault="007336DC" w:rsidP="007727C2">
            <w:pPr>
              <w:spacing w:after="0" w:line="240" w:lineRule="auto"/>
              <w:jc w:val="right"/>
              <w:rPr>
                <w:rFonts w:cs="Arial"/>
                <w:sz w:val="15"/>
                <w:szCs w:val="15"/>
              </w:rPr>
            </w:pPr>
            <w:r w:rsidRPr="00FD5358">
              <w:rPr>
                <w:rFonts w:cs="Arial"/>
                <w:sz w:val="15"/>
                <w:szCs w:val="15"/>
              </w:rPr>
              <w:t>2.068,60</w:t>
            </w:r>
          </w:p>
        </w:tc>
        <w:tc>
          <w:tcPr>
            <w:tcW w:w="0" w:type="auto"/>
            <w:shd w:val="clear" w:color="auto" w:fill="auto"/>
            <w:noWrap/>
            <w:tcMar>
              <w:top w:w="15" w:type="dxa"/>
              <w:left w:w="15" w:type="dxa"/>
              <w:bottom w:w="0" w:type="dxa"/>
              <w:right w:w="15" w:type="dxa"/>
            </w:tcMar>
            <w:vAlign w:val="center"/>
            <w:hideMark/>
          </w:tcPr>
          <w:p w14:paraId="5670A021"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9BC08C0"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shd w:val="clear" w:color="auto" w:fill="auto"/>
            <w:noWrap/>
            <w:tcMar>
              <w:top w:w="15" w:type="dxa"/>
              <w:left w:w="15" w:type="dxa"/>
              <w:bottom w:w="0" w:type="dxa"/>
              <w:right w:w="15" w:type="dxa"/>
            </w:tcMar>
            <w:vAlign w:val="center"/>
            <w:hideMark/>
          </w:tcPr>
          <w:p w14:paraId="7DA883C4"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44D3E41F"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0FE3651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1A9BF15"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4.646,25</w:t>
            </w:r>
          </w:p>
        </w:tc>
        <w:tc>
          <w:tcPr>
            <w:tcW w:w="0" w:type="auto"/>
            <w:shd w:val="clear" w:color="auto" w:fill="auto"/>
            <w:noWrap/>
            <w:tcMar>
              <w:top w:w="15" w:type="dxa"/>
              <w:left w:w="15" w:type="dxa"/>
              <w:bottom w:w="0" w:type="dxa"/>
              <w:right w:w="15" w:type="dxa"/>
            </w:tcMar>
            <w:vAlign w:val="center"/>
            <w:hideMark/>
          </w:tcPr>
          <w:p w14:paraId="0814440D"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1,16%</w:t>
            </w:r>
          </w:p>
        </w:tc>
      </w:tr>
      <w:tr w:rsidR="007336DC" w:rsidRPr="00FD5358" w14:paraId="03636F95"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2664857C"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2050</w:t>
            </w:r>
          </w:p>
        </w:tc>
        <w:tc>
          <w:tcPr>
            <w:tcW w:w="0" w:type="auto"/>
            <w:shd w:val="clear" w:color="auto" w:fill="auto"/>
            <w:noWrap/>
            <w:tcMar>
              <w:top w:w="15" w:type="dxa"/>
              <w:left w:w="15" w:type="dxa"/>
              <w:bottom w:w="0" w:type="dxa"/>
              <w:right w:w="15" w:type="dxa"/>
            </w:tcMar>
            <w:vAlign w:val="center"/>
            <w:hideMark/>
          </w:tcPr>
          <w:p w14:paraId="7961B59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34816ADB"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3ED2228" w14:textId="77777777" w:rsidR="007336DC" w:rsidRPr="00FD5358" w:rsidRDefault="007336DC" w:rsidP="007727C2">
            <w:pPr>
              <w:spacing w:after="0" w:line="240" w:lineRule="auto"/>
              <w:jc w:val="right"/>
              <w:rPr>
                <w:rFonts w:cs="Arial"/>
                <w:sz w:val="15"/>
                <w:szCs w:val="15"/>
              </w:rPr>
            </w:pPr>
            <w:r w:rsidRPr="00FD5358">
              <w:rPr>
                <w:rFonts w:cs="Arial"/>
                <w:sz w:val="15"/>
                <w:szCs w:val="15"/>
              </w:rPr>
              <w:t>5.364,25</w:t>
            </w:r>
          </w:p>
        </w:tc>
        <w:tc>
          <w:tcPr>
            <w:tcW w:w="0" w:type="auto"/>
            <w:shd w:val="clear" w:color="auto" w:fill="auto"/>
            <w:noWrap/>
            <w:tcMar>
              <w:top w:w="15" w:type="dxa"/>
              <w:left w:w="15" w:type="dxa"/>
              <w:bottom w:w="0" w:type="dxa"/>
              <w:right w:w="15" w:type="dxa"/>
            </w:tcMar>
            <w:vAlign w:val="center"/>
            <w:hideMark/>
          </w:tcPr>
          <w:p w14:paraId="1B444721"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569745D" w14:textId="77777777" w:rsidR="007336DC" w:rsidRPr="00FD5358" w:rsidRDefault="007336DC" w:rsidP="007727C2">
            <w:pPr>
              <w:spacing w:after="0" w:line="240" w:lineRule="auto"/>
              <w:jc w:val="right"/>
              <w:rPr>
                <w:rFonts w:cs="Arial"/>
                <w:sz w:val="15"/>
                <w:szCs w:val="15"/>
              </w:rPr>
            </w:pPr>
            <w:r w:rsidRPr="00FD5358">
              <w:rPr>
                <w:rFonts w:cs="Arial"/>
                <w:sz w:val="15"/>
                <w:szCs w:val="15"/>
              </w:rPr>
              <w:t>2.067,79</w:t>
            </w:r>
          </w:p>
        </w:tc>
        <w:tc>
          <w:tcPr>
            <w:tcW w:w="0" w:type="auto"/>
            <w:shd w:val="clear" w:color="auto" w:fill="auto"/>
            <w:noWrap/>
            <w:tcMar>
              <w:top w:w="15" w:type="dxa"/>
              <w:left w:w="15" w:type="dxa"/>
              <w:bottom w:w="0" w:type="dxa"/>
              <w:right w:w="15" w:type="dxa"/>
            </w:tcMar>
            <w:vAlign w:val="center"/>
            <w:hideMark/>
          </w:tcPr>
          <w:p w14:paraId="59A1D02D" w14:textId="77777777" w:rsidR="007336DC" w:rsidRPr="00FD5358" w:rsidRDefault="007336DC" w:rsidP="007727C2">
            <w:pPr>
              <w:spacing w:after="0" w:line="240" w:lineRule="auto"/>
              <w:jc w:val="right"/>
              <w:rPr>
                <w:rFonts w:cs="Arial"/>
                <w:sz w:val="15"/>
                <w:szCs w:val="15"/>
              </w:rPr>
            </w:pPr>
            <w:r w:rsidRPr="00FD5358">
              <w:rPr>
                <w:rFonts w:cs="Arial"/>
                <w:sz w:val="15"/>
                <w:szCs w:val="15"/>
              </w:rPr>
              <w:t>2.092,96</w:t>
            </w:r>
          </w:p>
        </w:tc>
        <w:tc>
          <w:tcPr>
            <w:tcW w:w="0" w:type="auto"/>
            <w:shd w:val="clear" w:color="auto" w:fill="auto"/>
            <w:noWrap/>
            <w:tcMar>
              <w:top w:w="15" w:type="dxa"/>
              <w:left w:w="15" w:type="dxa"/>
              <w:bottom w:w="0" w:type="dxa"/>
              <w:right w:w="15" w:type="dxa"/>
            </w:tcMar>
            <w:vAlign w:val="center"/>
            <w:hideMark/>
          </w:tcPr>
          <w:p w14:paraId="2FBC37A0" w14:textId="77777777" w:rsidR="007336DC" w:rsidRPr="00FD5358" w:rsidRDefault="007336DC" w:rsidP="007727C2">
            <w:pPr>
              <w:spacing w:after="0" w:line="240" w:lineRule="auto"/>
              <w:jc w:val="right"/>
              <w:rPr>
                <w:rFonts w:cs="Arial"/>
                <w:sz w:val="15"/>
                <w:szCs w:val="15"/>
              </w:rPr>
            </w:pPr>
            <w:r w:rsidRPr="00FD5358">
              <w:rPr>
                <w:rFonts w:cs="Arial"/>
                <w:sz w:val="15"/>
                <w:szCs w:val="15"/>
              </w:rPr>
              <w:t>1.000,00</w:t>
            </w:r>
          </w:p>
        </w:tc>
        <w:tc>
          <w:tcPr>
            <w:tcW w:w="0" w:type="auto"/>
            <w:shd w:val="clear" w:color="auto" w:fill="auto"/>
            <w:noWrap/>
            <w:tcMar>
              <w:top w:w="15" w:type="dxa"/>
              <w:left w:w="15" w:type="dxa"/>
              <w:bottom w:w="0" w:type="dxa"/>
              <w:right w:w="15" w:type="dxa"/>
            </w:tcMar>
            <w:vAlign w:val="center"/>
            <w:hideMark/>
          </w:tcPr>
          <w:p w14:paraId="62AEB077"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shd w:val="clear" w:color="auto" w:fill="auto"/>
            <w:noWrap/>
            <w:tcMar>
              <w:top w:w="15" w:type="dxa"/>
              <w:left w:w="15" w:type="dxa"/>
              <w:bottom w:w="0" w:type="dxa"/>
              <w:right w:w="15" w:type="dxa"/>
            </w:tcMar>
            <w:vAlign w:val="center"/>
            <w:hideMark/>
          </w:tcPr>
          <w:p w14:paraId="62B4C009"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4B380E4F"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4089BBE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7EFA402A"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11.095,09</w:t>
            </w:r>
          </w:p>
        </w:tc>
        <w:tc>
          <w:tcPr>
            <w:tcW w:w="0" w:type="auto"/>
            <w:shd w:val="clear" w:color="auto" w:fill="auto"/>
            <w:noWrap/>
            <w:tcMar>
              <w:top w:w="15" w:type="dxa"/>
              <w:left w:w="15" w:type="dxa"/>
              <w:bottom w:w="0" w:type="dxa"/>
              <w:right w:w="15" w:type="dxa"/>
            </w:tcMar>
            <w:vAlign w:val="center"/>
            <w:hideMark/>
          </w:tcPr>
          <w:p w14:paraId="617C94C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2,76%</w:t>
            </w:r>
          </w:p>
        </w:tc>
      </w:tr>
      <w:tr w:rsidR="007336DC" w:rsidRPr="00FD5358" w14:paraId="466629AF"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18BC54D7"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2051</w:t>
            </w:r>
          </w:p>
        </w:tc>
        <w:tc>
          <w:tcPr>
            <w:tcW w:w="0" w:type="auto"/>
            <w:shd w:val="clear" w:color="auto" w:fill="auto"/>
            <w:noWrap/>
            <w:tcMar>
              <w:top w:w="15" w:type="dxa"/>
              <w:left w:w="15" w:type="dxa"/>
              <w:bottom w:w="0" w:type="dxa"/>
              <w:right w:w="15" w:type="dxa"/>
            </w:tcMar>
            <w:vAlign w:val="center"/>
            <w:hideMark/>
          </w:tcPr>
          <w:p w14:paraId="0C0F67F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461345FE"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C70F903"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50DDCD4"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FDD8ADB" w14:textId="77777777" w:rsidR="007336DC" w:rsidRPr="00FD5358" w:rsidRDefault="007336DC" w:rsidP="007727C2">
            <w:pPr>
              <w:spacing w:after="0" w:line="240" w:lineRule="auto"/>
              <w:jc w:val="right"/>
              <w:rPr>
                <w:rFonts w:cs="Arial"/>
                <w:sz w:val="15"/>
                <w:szCs w:val="15"/>
              </w:rPr>
            </w:pPr>
            <w:r w:rsidRPr="00FD5358">
              <w:rPr>
                <w:rFonts w:cs="Arial"/>
                <w:sz w:val="15"/>
                <w:szCs w:val="15"/>
              </w:rPr>
              <w:t>3.029,59</w:t>
            </w:r>
          </w:p>
        </w:tc>
        <w:tc>
          <w:tcPr>
            <w:tcW w:w="0" w:type="auto"/>
            <w:shd w:val="clear" w:color="auto" w:fill="auto"/>
            <w:noWrap/>
            <w:tcMar>
              <w:top w:w="15" w:type="dxa"/>
              <w:left w:w="15" w:type="dxa"/>
              <w:bottom w:w="0" w:type="dxa"/>
              <w:right w:w="15" w:type="dxa"/>
            </w:tcMar>
            <w:vAlign w:val="center"/>
            <w:hideMark/>
          </w:tcPr>
          <w:p w14:paraId="3124C53B" w14:textId="77777777" w:rsidR="007336DC" w:rsidRPr="00FD5358" w:rsidRDefault="007336DC" w:rsidP="007727C2">
            <w:pPr>
              <w:spacing w:after="0" w:line="240" w:lineRule="auto"/>
              <w:jc w:val="right"/>
              <w:rPr>
                <w:rFonts w:cs="Arial"/>
                <w:sz w:val="15"/>
                <w:szCs w:val="15"/>
              </w:rPr>
            </w:pPr>
            <w:r w:rsidRPr="00FD5358">
              <w:rPr>
                <w:rFonts w:cs="Arial"/>
                <w:sz w:val="15"/>
                <w:szCs w:val="15"/>
              </w:rPr>
              <w:t>3.187,04</w:t>
            </w:r>
          </w:p>
        </w:tc>
        <w:tc>
          <w:tcPr>
            <w:tcW w:w="0" w:type="auto"/>
            <w:shd w:val="clear" w:color="auto" w:fill="auto"/>
            <w:noWrap/>
            <w:tcMar>
              <w:top w:w="15" w:type="dxa"/>
              <w:left w:w="15" w:type="dxa"/>
              <w:bottom w:w="0" w:type="dxa"/>
              <w:right w:w="15" w:type="dxa"/>
            </w:tcMar>
            <w:vAlign w:val="center"/>
            <w:hideMark/>
          </w:tcPr>
          <w:p w14:paraId="6AAF41D2"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07D09E0" w14:textId="77777777" w:rsidR="007336DC" w:rsidRPr="00FD5358" w:rsidRDefault="007336DC" w:rsidP="007727C2">
            <w:pPr>
              <w:spacing w:after="0" w:line="240" w:lineRule="auto"/>
              <w:jc w:val="right"/>
              <w:rPr>
                <w:rFonts w:cs="Arial"/>
                <w:sz w:val="15"/>
                <w:szCs w:val="15"/>
              </w:rPr>
            </w:pPr>
            <w:r w:rsidRPr="00FD5358">
              <w:rPr>
                <w:rFonts w:cs="Arial"/>
                <w:sz w:val="15"/>
                <w:szCs w:val="15"/>
              </w:rPr>
              <w:t>570,09</w:t>
            </w:r>
          </w:p>
        </w:tc>
        <w:tc>
          <w:tcPr>
            <w:tcW w:w="0" w:type="auto"/>
            <w:shd w:val="clear" w:color="auto" w:fill="auto"/>
            <w:noWrap/>
            <w:tcMar>
              <w:top w:w="15" w:type="dxa"/>
              <w:left w:w="15" w:type="dxa"/>
              <w:bottom w:w="0" w:type="dxa"/>
              <w:right w:w="15" w:type="dxa"/>
            </w:tcMar>
            <w:vAlign w:val="center"/>
            <w:hideMark/>
          </w:tcPr>
          <w:p w14:paraId="37F0C87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B4855C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110E87A3"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7576265E"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6.786,72</w:t>
            </w:r>
          </w:p>
        </w:tc>
        <w:tc>
          <w:tcPr>
            <w:tcW w:w="0" w:type="auto"/>
            <w:shd w:val="clear" w:color="auto" w:fill="auto"/>
            <w:noWrap/>
            <w:tcMar>
              <w:top w:w="15" w:type="dxa"/>
              <w:left w:w="15" w:type="dxa"/>
              <w:bottom w:w="0" w:type="dxa"/>
              <w:right w:w="15" w:type="dxa"/>
            </w:tcMar>
            <w:vAlign w:val="center"/>
            <w:hideMark/>
          </w:tcPr>
          <w:p w14:paraId="50AAE027"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1,69%</w:t>
            </w:r>
          </w:p>
        </w:tc>
      </w:tr>
      <w:tr w:rsidR="007336DC" w:rsidRPr="00FD5358" w14:paraId="045AA472"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5859FF88"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2052</w:t>
            </w:r>
          </w:p>
        </w:tc>
        <w:tc>
          <w:tcPr>
            <w:tcW w:w="0" w:type="auto"/>
            <w:shd w:val="clear" w:color="auto" w:fill="auto"/>
            <w:noWrap/>
            <w:tcMar>
              <w:top w:w="15" w:type="dxa"/>
              <w:left w:w="15" w:type="dxa"/>
              <w:bottom w:w="0" w:type="dxa"/>
              <w:right w:w="15" w:type="dxa"/>
            </w:tcMar>
            <w:vAlign w:val="center"/>
            <w:hideMark/>
          </w:tcPr>
          <w:p w14:paraId="0FACDFE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761625B6"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AB1A8EF" w14:textId="77777777" w:rsidR="007336DC" w:rsidRPr="00FD5358" w:rsidRDefault="007336DC" w:rsidP="007727C2">
            <w:pPr>
              <w:spacing w:after="0" w:line="240" w:lineRule="auto"/>
              <w:jc w:val="right"/>
              <w:rPr>
                <w:rFonts w:cs="Arial"/>
                <w:sz w:val="15"/>
                <w:szCs w:val="15"/>
              </w:rPr>
            </w:pPr>
            <w:r w:rsidRPr="00FD5358">
              <w:rPr>
                <w:rFonts w:cs="Arial"/>
                <w:sz w:val="15"/>
                <w:szCs w:val="15"/>
              </w:rPr>
              <w:t>3.500,00</w:t>
            </w:r>
          </w:p>
        </w:tc>
        <w:tc>
          <w:tcPr>
            <w:tcW w:w="0" w:type="auto"/>
            <w:shd w:val="clear" w:color="auto" w:fill="auto"/>
            <w:noWrap/>
            <w:tcMar>
              <w:top w:w="15" w:type="dxa"/>
              <w:left w:w="15" w:type="dxa"/>
              <w:bottom w:w="0" w:type="dxa"/>
              <w:right w:w="15" w:type="dxa"/>
            </w:tcMar>
            <w:vAlign w:val="center"/>
            <w:hideMark/>
          </w:tcPr>
          <w:p w14:paraId="1CAAAF5E"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5B167B1E" w14:textId="77777777" w:rsidR="007336DC" w:rsidRPr="00FD5358" w:rsidRDefault="007336DC" w:rsidP="007727C2">
            <w:pPr>
              <w:spacing w:after="0" w:line="240" w:lineRule="auto"/>
              <w:jc w:val="right"/>
              <w:rPr>
                <w:rFonts w:cs="Arial"/>
                <w:sz w:val="15"/>
                <w:szCs w:val="15"/>
              </w:rPr>
            </w:pPr>
            <w:r w:rsidRPr="00FD5358">
              <w:rPr>
                <w:rFonts w:cs="Arial"/>
                <w:sz w:val="15"/>
                <w:szCs w:val="15"/>
              </w:rPr>
              <w:t>3.120,48</w:t>
            </w:r>
          </w:p>
        </w:tc>
        <w:tc>
          <w:tcPr>
            <w:tcW w:w="0" w:type="auto"/>
            <w:shd w:val="clear" w:color="auto" w:fill="auto"/>
            <w:noWrap/>
            <w:tcMar>
              <w:top w:w="15" w:type="dxa"/>
              <w:left w:w="15" w:type="dxa"/>
              <w:bottom w:w="0" w:type="dxa"/>
              <w:right w:w="15" w:type="dxa"/>
            </w:tcMar>
            <w:vAlign w:val="center"/>
            <w:hideMark/>
          </w:tcPr>
          <w:p w14:paraId="087E232A" w14:textId="77777777" w:rsidR="007336DC" w:rsidRPr="00FD5358" w:rsidRDefault="007336DC" w:rsidP="007727C2">
            <w:pPr>
              <w:spacing w:after="0" w:line="240" w:lineRule="auto"/>
              <w:jc w:val="right"/>
              <w:rPr>
                <w:rFonts w:cs="Arial"/>
                <w:sz w:val="15"/>
                <w:szCs w:val="15"/>
              </w:rPr>
            </w:pPr>
            <w:r w:rsidRPr="00FD5358">
              <w:rPr>
                <w:rFonts w:cs="Arial"/>
                <w:sz w:val="15"/>
                <w:szCs w:val="15"/>
              </w:rPr>
              <w:t>3.213,04</w:t>
            </w:r>
          </w:p>
        </w:tc>
        <w:tc>
          <w:tcPr>
            <w:tcW w:w="0" w:type="auto"/>
            <w:shd w:val="clear" w:color="auto" w:fill="auto"/>
            <w:noWrap/>
            <w:tcMar>
              <w:top w:w="15" w:type="dxa"/>
              <w:left w:w="15" w:type="dxa"/>
              <w:bottom w:w="0" w:type="dxa"/>
              <w:right w:w="15" w:type="dxa"/>
            </w:tcMar>
            <w:vAlign w:val="center"/>
            <w:hideMark/>
          </w:tcPr>
          <w:p w14:paraId="6A17BFFF"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C2D8D41" w14:textId="77777777" w:rsidR="007336DC" w:rsidRPr="00FD5358" w:rsidRDefault="007336DC" w:rsidP="007727C2">
            <w:pPr>
              <w:spacing w:after="0" w:line="240" w:lineRule="auto"/>
              <w:jc w:val="right"/>
              <w:rPr>
                <w:rFonts w:cs="Arial"/>
                <w:sz w:val="15"/>
                <w:szCs w:val="15"/>
              </w:rPr>
            </w:pPr>
            <w:r w:rsidRPr="00FD5358">
              <w:rPr>
                <w:rFonts w:cs="Arial"/>
                <w:sz w:val="15"/>
                <w:szCs w:val="15"/>
              </w:rPr>
              <w:t>487,36</w:t>
            </w:r>
          </w:p>
        </w:tc>
        <w:tc>
          <w:tcPr>
            <w:tcW w:w="0" w:type="auto"/>
            <w:shd w:val="clear" w:color="auto" w:fill="auto"/>
            <w:noWrap/>
            <w:tcMar>
              <w:top w:w="15" w:type="dxa"/>
              <w:left w:w="15" w:type="dxa"/>
              <w:bottom w:w="0" w:type="dxa"/>
              <w:right w:w="15" w:type="dxa"/>
            </w:tcMar>
            <w:vAlign w:val="center"/>
            <w:hideMark/>
          </w:tcPr>
          <w:p w14:paraId="6A90B480"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4C69940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096192B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7F47123B"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10.320,88</w:t>
            </w:r>
          </w:p>
        </w:tc>
        <w:tc>
          <w:tcPr>
            <w:tcW w:w="0" w:type="auto"/>
            <w:shd w:val="clear" w:color="auto" w:fill="auto"/>
            <w:noWrap/>
            <w:tcMar>
              <w:top w:w="15" w:type="dxa"/>
              <w:left w:w="15" w:type="dxa"/>
              <w:bottom w:w="0" w:type="dxa"/>
              <w:right w:w="15" w:type="dxa"/>
            </w:tcMar>
            <w:vAlign w:val="center"/>
            <w:hideMark/>
          </w:tcPr>
          <w:p w14:paraId="64935CC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2,57%</w:t>
            </w:r>
          </w:p>
        </w:tc>
      </w:tr>
      <w:tr w:rsidR="007336DC" w:rsidRPr="00FD5358" w14:paraId="41346897"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246369B4"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2053</w:t>
            </w:r>
          </w:p>
        </w:tc>
        <w:tc>
          <w:tcPr>
            <w:tcW w:w="0" w:type="auto"/>
            <w:shd w:val="clear" w:color="auto" w:fill="auto"/>
            <w:noWrap/>
            <w:tcMar>
              <w:top w:w="15" w:type="dxa"/>
              <w:left w:w="15" w:type="dxa"/>
              <w:bottom w:w="0" w:type="dxa"/>
              <w:right w:w="15" w:type="dxa"/>
            </w:tcMar>
            <w:vAlign w:val="center"/>
            <w:hideMark/>
          </w:tcPr>
          <w:p w14:paraId="14DAF263"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E918B32"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095BEBB"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BC2BCF0"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8D71515" w14:textId="77777777" w:rsidR="007336DC" w:rsidRPr="00FD5358" w:rsidRDefault="007336DC" w:rsidP="007727C2">
            <w:pPr>
              <w:spacing w:after="0" w:line="240" w:lineRule="auto"/>
              <w:jc w:val="right"/>
              <w:rPr>
                <w:rFonts w:cs="Arial"/>
                <w:sz w:val="15"/>
                <w:szCs w:val="15"/>
              </w:rPr>
            </w:pPr>
            <w:r w:rsidRPr="00FD5358">
              <w:rPr>
                <w:rFonts w:cs="Arial"/>
                <w:sz w:val="15"/>
                <w:szCs w:val="15"/>
              </w:rPr>
              <w:t>3.214,09</w:t>
            </w:r>
          </w:p>
        </w:tc>
        <w:tc>
          <w:tcPr>
            <w:tcW w:w="0" w:type="auto"/>
            <w:shd w:val="clear" w:color="auto" w:fill="auto"/>
            <w:noWrap/>
            <w:tcMar>
              <w:top w:w="15" w:type="dxa"/>
              <w:left w:w="15" w:type="dxa"/>
              <w:bottom w:w="0" w:type="dxa"/>
              <w:right w:w="15" w:type="dxa"/>
            </w:tcMar>
            <w:vAlign w:val="center"/>
            <w:hideMark/>
          </w:tcPr>
          <w:p w14:paraId="1E50B4ED" w14:textId="77777777" w:rsidR="007336DC" w:rsidRPr="00FD5358" w:rsidRDefault="007336DC" w:rsidP="007727C2">
            <w:pPr>
              <w:spacing w:after="0" w:line="240" w:lineRule="auto"/>
              <w:jc w:val="right"/>
              <w:rPr>
                <w:rFonts w:cs="Arial"/>
                <w:sz w:val="15"/>
                <w:szCs w:val="15"/>
              </w:rPr>
            </w:pPr>
            <w:r w:rsidRPr="00FD5358">
              <w:rPr>
                <w:rFonts w:cs="Arial"/>
                <w:sz w:val="15"/>
                <w:szCs w:val="15"/>
              </w:rPr>
              <w:t>3.229,04</w:t>
            </w:r>
          </w:p>
        </w:tc>
        <w:tc>
          <w:tcPr>
            <w:tcW w:w="0" w:type="auto"/>
            <w:shd w:val="clear" w:color="auto" w:fill="auto"/>
            <w:noWrap/>
            <w:tcMar>
              <w:top w:w="15" w:type="dxa"/>
              <w:left w:w="15" w:type="dxa"/>
              <w:bottom w:w="0" w:type="dxa"/>
              <w:right w:w="15" w:type="dxa"/>
            </w:tcMar>
            <w:vAlign w:val="center"/>
            <w:hideMark/>
          </w:tcPr>
          <w:p w14:paraId="1939A9F6"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543A0F3E" w14:textId="77777777" w:rsidR="007336DC" w:rsidRPr="00FD5358" w:rsidRDefault="007336DC" w:rsidP="007727C2">
            <w:pPr>
              <w:spacing w:after="0" w:line="240" w:lineRule="auto"/>
              <w:jc w:val="right"/>
              <w:rPr>
                <w:rFonts w:cs="Arial"/>
                <w:sz w:val="15"/>
                <w:szCs w:val="15"/>
              </w:rPr>
            </w:pPr>
            <w:r w:rsidRPr="00FD5358">
              <w:rPr>
                <w:rFonts w:cs="Arial"/>
                <w:sz w:val="15"/>
                <w:szCs w:val="15"/>
              </w:rPr>
              <w:t>395,09</w:t>
            </w:r>
          </w:p>
        </w:tc>
        <w:tc>
          <w:tcPr>
            <w:tcW w:w="0" w:type="auto"/>
            <w:shd w:val="clear" w:color="auto" w:fill="auto"/>
            <w:noWrap/>
            <w:tcMar>
              <w:top w:w="15" w:type="dxa"/>
              <w:left w:w="15" w:type="dxa"/>
              <w:bottom w:w="0" w:type="dxa"/>
              <w:right w:w="15" w:type="dxa"/>
            </w:tcMar>
            <w:vAlign w:val="center"/>
            <w:hideMark/>
          </w:tcPr>
          <w:p w14:paraId="5267A54C"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D3D446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275FD8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38D1E3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6.838,22</w:t>
            </w:r>
          </w:p>
        </w:tc>
        <w:tc>
          <w:tcPr>
            <w:tcW w:w="0" w:type="auto"/>
            <w:shd w:val="clear" w:color="auto" w:fill="auto"/>
            <w:noWrap/>
            <w:tcMar>
              <w:top w:w="15" w:type="dxa"/>
              <w:left w:w="15" w:type="dxa"/>
              <w:bottom w:w="0" w:type="dxa"/>
              <w:right w:w="15" w:type="dxa"/>
            </w:tcMar>
            <w:vAlign w:val="center"/>
            <w:hideMark/>
          </w:tcPr>
          <w:p w14:paraId="37CCA721"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1,70%</w:t>
            </w:r>
          </w:p>
        </w:tc>
      </w:tr>
      <w:tr w:rsidR="007336DC" w:rsidRPr="00FD5358" w14:paraId="69FF351F"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129D4D43"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2054</w:t>
            </w:r>
          </w:p>
        </w:tc>
        <w:tc>
          <w:tcPr>
            <w:tcW w:w="0" w:type="auto"/>
            <w:shd w:val="clear" w:color="auto" w:fill="auto"/>
            <w:noWrap/>
            <w:tcMar>
              <w:top w:w="15" w:type="dxa"/>
              <w:left w:w="15" w:type="dxa"/>
              <w:bottom w:w="0" w:type="dxa"/>
              <w:right w:w="15" w:type="dxa"/>
            </w:tcMar>
            <w:vAlign w:val="center"/>
            <w:hideMark/>
          </w:tcPr>
          <w:p w14:paraId="37A9C61A"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0721A738"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118C5AB" w14:textId="77777777" w:rsidR="007336DC" w:rsidRPr="00FD5358" w:rsidRDefault="007336DC" w:rsidP="007727C2">
            <w:pPr>
              <w:spacing w:after="0" w:line="240" w:lineRule="auto"/>
              <w:jc w:val="right"/>
              <w:rPr>
                <w:rFonts w:cs="Arial"/>
                <w:sz w:val="15"/>
                <w:szCs w:val="15"/>
              </w:rPr>
            </w:pPr>
            <w:r w:rsidRPr="00FD5358">
              <w:rPr>
                <w:rFonts w:cs="Arial"/>
                <w:sz w:val="15"/>
                <w:szCs w:val="15"/>
              </w:rPr>
              <w:t>4.000,00</w:t>
            </w:r>
          </w:p>
        </w:tc>
        <w:tc>
          <w:tcPr>
            <w:tcW w:w="0" w:type="auto"/>
            <w:shd w:val="clear" w:color="auto" w:fill="auto"/>
            <w:noWrap/>
            <w:tcMar>
              <w:top w:w="15" w:type="dxa"/>
              <w:left w:w="15" w:type="dxa"/>
              <w:bottom w:w="0" w:type="dxa"/>
              <w:right w:w="15" w:type="dxa"/>
            </w:tcMar>
            <w:vAlign w:val="center"/>
            <w:hideMark/>
          </w:tcPr>
          <w:p w14:paraId="1E63FF0D"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D3C4599" w14:textId="77777777" w:rsidR="007336DC" w:rsidRPr="00FD5358" w:rsidRDefault="007336DC" w:rsidP="007727C2">
            <w:pPr>
              <w:spacing w:after="0" w:line="240" w:lineRule="auto"/>
              <w:jc w:val="right"/>
              <w:rPr>
                <w:rFonts w:cs="Arial"/>
                <w:sz w:val="15"/>
                <w:szCs w:val="15"/>
              </w:rPr>
            </w:pPr>
            <w:r w:rsidRPr="00FD5358">
              <w:rPr>
                <w:rFonts w:cs="Arial"/>
                <w:sz w:val="15"/>
                <w:szCs w:val="15"/>
              </w:rPr>
              <w:t>3.310,51</w:t>
            </w:r>
          </w:p>
        </w:tc>
        <w:tc>
          <w:tcPr>
            <w:tcW w:w="0" w:type="auto"/>
            <w:shd w:val="clear" w:color="auto" w:fill="auto"/>
            <w:noWrap/>
            <w:tcMar>
              <w:top w:w="15" w:type="dxa"/>
              <w:left w:w="15" w:type="dxa"/>
              <w:bottom w:w="0" w:type="dxa"/>
              <w:right w:w="15" w:type="dxa"/>
            </w:tcMar>
            <w:vAlign w:val="center"/>
            <w:hideMark/>
          </w:tcPr>
          <w:p w14:paraId="0C470169" w14:textId="77777777" w:rsidR="007336DC" w:rsidRPr="00FD5358" w:rsidRDefault="007336DC" w:rsidP="007727C2">
            <w:pPr>
              <w:spacing w:after="0" w:line="240" w:lineRule="auto"/>
              <w:jc w:val="right"/>
              <w:rPr>
                <w:rFonts w:cs="Arial"/>
                <w:sz w:val="15"/>
                <w:szCs w:val="15"/>
              </w:rPr>
            </w:pPr>
            <w:r w:rsidRPr="00FD5358">
              <w:rPr>
                <w:rFonts w:cs="Arial"/>
                <w:sz w:val="15"/>
                <w:szCs w:val="15"/>
              </w:rPr>
              <w:t>3.255,04</w:t>
            </w:r>
          </w:p>
        </w:tc>
        <w:tc>
          <w:tcPr>
            <w:tcW w:w="0" w:type="auto"/>
            <w:shd w:val="clear" w:color="auto" w:fill="auto"/>
            <w:noWrap/>
            <w:tcMar>
              <w:top w:w="15" w:type="dxa"/>
              <w:left w:w="15" w:type="dxa"/>
              <w:bottom w:w="0" w:type="dxa"/>
              <w:right w:w="15" w:type="dxa"/>
            </w:tcMar>
            <w:vAlign w:val="center"/>
            <w:hideMark/>
          </w:tcPr>
          <w:p w14:paraId="1B0DD251"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C4A379A" w14:textId="77777777" w:rsidR="007336DC" w:rsidRPr="00FD5358" w:rsidRDefault="007336DC" w:rsidP="007727C2">
            <w:pPr>
              <w:spacing w:after="0" w:line="240" w:lineRule="auto"/>
              <w:jc w:val="right"/>
              <w:rPr>
                <w:rFonts w:cs="Arial"/>
                <w:sz w:val="15"/>
                <w:szCs w:val="15"/>
              </w:rPr>
            </w:pPr>
            <w:r w:rsidRPr="00FD5358">
              <w:rPr>
                <w:rFonts w:cs="Arial"/>
                <w:sz w:val="15"/>
                <w:szCs w:val="15"/>
              </w:rPr>
              <w:t>205,43</w:t>
            </w:r>
          </w:p>
        </w:tc>
        <w:tc>
          <w:tcPr>
            <w:tcW w:w="0" w:type="auto"/>
            <w:shd w:val="clear" w:color="auto" w:fill="auto"/>
            <w:noWrap/>
            <w:tcMar>
              <w:top w:w="15" w:type="dxa"/>
              <w:left w:w="15" w:type="dxa"/>
              <w:bottom w:w="0" w:type="dxa"/>
              <w:right w:w="15" w:type="dxa"/>
            </w:tcMar>
            <w:vAlign w:val="center"/>
            <w:hideMark/>
          </w:tcPr>
          <w:p w14:paraId="46440867"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3B03423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070F256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B1B6EFB"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10.770,98</w:t>
            </w:r>
          </w:p>
        </w:tc>
        <w:tc>
          <w:tcPr>
            <w:tcW w:w="0" w:type="auto"/>
            <w:shd w:val="clear" w:color="auto" w:fill="auto"/>
            <w:noWrap/>
            <w:tcMar>
              <w:top w:w="15" w:type="dxa"/>
              <w:left w:w="15" w:type="dxa"/>
              <w:bottom w:w="0" w:type="dxa"/>
              <w:right w:w="15" w:type="dxa"/>
            </w:tcMar>
            <w:vAlign w:val="center"/>
            <w:hideMark/>
          </w:tcPr>
          <w:p w14:paraId="167D8FB8"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2,68%</w:t>
            </w:r>
          </w:p>
        </w:tc>
      </w:tr>
      <w:tr w:rsidR="007336DC" w:rsidRPr="00FD5358" w14:paraId="1A96D481"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7EA5D7B3"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2055</w:t>
            </w:r>
          </w:p>
        </w:tc>
        <w:tc>
          <w:tcPr>
            <w:tcW w:w="0" w:type="auto"/>
            <w:shd w:val="clear" w:color="auto" w:fill="auto"/>
            <w:noWrap/>
            <w:tcMar>
              <w:top w:w="15" w:type="dxa"/>
              <w:left w:w="15" w:type="dxa"/>
              <w:bottom w:w="0" w:type="dxa"/>
              <w:right w:w="15" w:type="dxa"/>
            </w:tcMar>
            <w:vAlign w:val="center"/>
            <w:hideMark/>
          </w:tcPr>
          <w:p w14:paraId="3B50EE6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AD5DEEC"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9D5DBD9"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C60050C"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AAE88CF" w14:textId="77777777" w:rsidR="007336DC" w:rsidRPr="00FD5358" w:rsidRDefault="007336DC" w:rsidP="007727C2">
            <w:pPr>
              <w:spacing w:after="0" w:line="240" w:lineRule="auto"/>
              <w:jc w:val="right"/>
              <w:rPr>
                <w:rFonts w:cs="Arial"/>
                <w:sz w:val="15"/>
                <w:szCs w:val="15"/>
              </w:rPr>
            </w:pPr>
            <w:r w:rsidRPr="00FD5358">
              <w:rPr>
                <w:rFonts w:cs="Arial"/>
                <w:sz w:val="15"/>
                <w:szCs w:val="15"/>
              </w:rPr>
              <w:t>3.409,83</w:t>
            </w:r>
          </w:p>
        </w:tc>
        <w:tc>
          <w:tcPr>
            <w:tcW w:w="0" w:type="auto"/>
            <w:shd w:val="clear" w:color="auto" w:fill="auto"/>
            <w:noWrap/>
            <w:tcMar>
              <w:top w:w="15" w:type="dxa"/>
              <w:left w:w="15" w:type="dxa"/>
              <w:bottom w:w="0" w:type="dxa"/>
              <w:right w:w="15" w:type="dxa"/>
            </w:tcMar>
            <w:vAlign w:val="center"/>
            <w:hideMark/>
          </w:tcPr>
          <w:p w14:paraId="34C332CF" w14:textId="77777777" w:rsidR="007336DC" w:rsidRPr="00FD5358" w:rsidRDefault="007336DC" w:rsidP="007727C2">
            <w:pPr>
              <w:spacing w:after="0" w:line="240" w:lineRule="auto"/>
              <w:jc w:val="right"/>
              <w:rPr>
                <w:rFonts w:cs="Arial"/>
                <w:sz w:val="15"/>
                <w:szCs w:val="15"/>
              </w:rPr>
            </w:pPr>
            <w:r w:rsidRPr="00FD5358">
              <w:rPr>
                <w:rFonts w:cs="Arial"/>
                <w:sz w:val="15"/>
                <w:szCs w:val="15"/>
              </w:rPr>
              <w:t>3.280,88</w:t>
            </w:r>
          </w:p>
        </w:tc>
        <w:tc>
          <w:tcPr>
            <w:tcW w:w="0" w:type="auto"/>
            <w:shd w:val="clear" w:color="auto" w:fill="auto"/>
            <w:noWrap/>
            <w:tcMar>
              <w:top w:w="15" w:type="dxa"/>
              <w:left w:w="15" w:type="dxa"/>
              <w:bottom w:w="0" w:type="dxa"/>
              <w:right w:w="15" w:type="dxa"/>
            </w:tcMar>
            <w:vAlign w:val="center"/>
            <w:hideMark/>
          </w:tcPr>
          <w:p w14:paraId="3F80FF39"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52CC073F" w14:textId="77777777" w:rsidR="007336DC" w:rsidRPr="00FD5358" w:rsidRDefault="007336DC" w:rsidP="007727C2">
            <w:pPr>
              <w:spacing w:after="0" w:line="240" w:lineRule="auto"/>
              <w:jc w:val="right"/>
              <w:rPr>
                <w:rFonts w:cs="Arial"/>
                <w:sz w:val="15"/>
                <w:szCs w:val="15"/>
              </w:rPr>
            </w:pPr>
            <w:r w:rsidRPr="00FD5358">
              <w:rPr>
                <w:rFonts w:cs="Arial"/>
                <w:sz w:val="15"/>
                <w:szCs w:val="15"/>
              </w:rPr>
              <w:t>89,07</w:t>
            </w:r>
          </w:p>
        </w:tc>
        <w:tc>
          <w:tcPr>
            <w:tcW w:w="0" w:type="auto"/>
            <w:shd w:val="clear" w:color="auto" w:fill="auto"/>
            <w:noWrap/>
            <w:tcMar>
              <w:top w:w="15" w:type="dxa"/>
              <w:left w:w="15" w:type="dxa"/>
              <w:bottom w:w="0" w:type="dxa"/>
              <w:right w:w="15" w:type="dxa"/>
            </w:tcMar>
            <w:vAlign w:val="center"/>
            <w:hideMark/>
          </w:tcPr>
          <w:p w14:paraId="783ED80C"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1DF32E3C"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1541809A"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0CEF4E65"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6.779,78</w:t>
            </w:r>
          </w:p>
        </w:tc>
        <w:tc>
          <w:tcPr>
            <w:tcW w:w="0" w:type="auto"/>
            <w:shd w:val="clear" w:color="auto" w:fill="auto"/>
            <w:noWrap/>
            <w:tcMar>
              <w:top w:w="15" w:type="dxa"/>
              <w:left w:w="15" w:type="dxa"/>
              <w:bottom w:w="0" w:type="dxa"/>
              <w:right w:w="15" w:type="dxa"/>
            </w:tcMar>
            <w:vAlign w:val="center"/>
            <w:hideMark/>
          </w:tcPr>
          <w:p w14:paraId="539F1FE1"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1,69%</w:t>
            </w:r>
          </w:p>
        </w:tc>
      </w:tr>
      <w:tr w:rsidR="007336DC" w:rsidRPr="00FD5358" w14:paraId="4210515B"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27632392"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2056</w:t>
            </w:r>
          </w:p>
        </w:tc>
        <w:tc>
          <w:tcPr>
            <w:tcW w:w="0" w:type="auto"/>
            <w:shd w:val="clear" w:color="auto" w:fill="auto"/>
            <w:noWrap/>
            <w:tcMar>
              <w:top w:w="15" w:type="dxa"/>
              <w:left w:w="15" w:type="dxa"/>
              <w:bottom w:w="0" w:type="dxa"/>
              <w:right w:w="15" w:type="dxa"/>
            </w:tcMar>
            <w:vAlign w:val="center"/>
            <w:hideMark/>
          </w:tcPr>
          <w:p w14:paraId="21584F30"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53E2B249"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ADE9028"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74D2F1E"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7154A8C" w14:textId="77777777" w:rsidR="007336DC" w:rsidRPr="00FD5358" w:rsidRDefault="007336DC" w:rsidP="007727C2">
            <w:pPr>
              <w:spacing w:after="0" w:line="240" w:lineRule="auto"/>
              <w:jc w:val="right"/>
              <w:rPr>
                <w:rFonts w:cs="Arial"/>
                <w:sz w:val="15"/>
                <w:szCs w:val="15"/>
              </w:rPr>
            </w:pPr>
            <w:r w:rsidRPr="00FD5358">
              <w:rPr>
                <w:rFonts w:cs="Arial"/>
                <w:sz w:val="15"/>
                <w:szCs w:val="15"/>
              </w:rPr>
              <w:t>3.512,12</w:t>
            </w:r>
          </w:p>
        </w:tc>
        <w:tc>
          <w:tcPr>
            <w:tcW w:w="0" w:type="auto"/>
            <w:shd w:val="clear" w:color="auto" w:fill="auto"/>
            <w:noWrap/>
            <w:tcMar>
              <w:top w:w="15" w:type="dxa"/>
              <w:left w:w="15" w:type="dxa"/>
              <w:bottom w:w="0" w:type="dxa"/>
              <w:right w:w="15" w:type="dxa"/>
            </w:tcMar>
            <w:vAlign w:val="center"/>
            <w:hideMark/>
          </w:tcPr>
          <w:p w14:paraId="46D99CA0" w14:textId="77777777" w:rsidR="007336DC" w:rsidRPr="00FD5358" w:rsidRDefault="007336DC" w:rsidP="007727C2">
            <w:pPr>
              <w:spacing w:after="0" w:line="240" w:lineRule="auto"/>
              <w:jc w:val="right"/>
              <w:rPr>
                <w:rFonts w:cs="Arial"/>
                <w:sz w:val="15"/>
                <w:szCs w:val="15"/>
              </w:rPr>
            </w:pPr>
            <w:r w:rsidRPr="00FD5358">
              <w:rPr>
                <w:rFonts w:cs="Arial"/>
                <w:sz w:val="15"/>
                <w:szCs w:val="15"/>
              </w:rPr>
              <w:t>3.306,83</w:t>
            </w:r>
          </w:p>
        </w:tc>
        <w:tc>
          <w:tcPr>
            <w:tcW w:w="0" w:type="auto"/>
            <w:shd w:val="clear" w:color="auto" w:fill="auto"/>
            <w:noWrap/>
            <w:tcMar>
              <w:top w:w="15" w:type="dxa"/>
              <w:left w:w="15" w:type="dxa"/>
              <w:bottom w:w="0" w:type="dxa"/>
              <w:right w:w="15" w:type="dxa"/>
            </w:tcMar>
            <w:vAlign w:val="center"/>
            <w:hideMark/>
          </w:tcPr>
          <w:p w14:paraId="255A6FB5"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97C3478"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CF59E8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05CFB76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0CBC994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3A5119FA"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6.818,96</w:t>
            </w:r>
          </w:p>
        </w:tc>
        <w:tc>
          <w:tcPr>
            <w:tcW w:w="0" w:type="auto"/>
            <w:shd w:val="clear" w:color="auto" w:fill="auto"/>
            <w:noWrap/>
            <w:tcMar>
              <w:top w:w="15" w:type="dxa"/>
              <w:left w:w="15" w:type="dxa"/>
              <w:bottom w:w="0" w:type="dxa"/>
              <w:right w:w="15" w:type="dxa"/>
            </w:tcMar>
            <w:vAlign w:val="center"/>
            <w:hideMark/>
          </w:tcPr>
          <w:p w14:paraId="545E55D9"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1,70%</w:t>
            </w:r>
          </w:p>
        </w:tc>
      </w:tr>
      <w:tr w:rsidR="007336DC" w:rsidRPr="00FD5358" w14:paraId="39924B88"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070DDCA4"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2057</w:t>
            </w:r>
          </w:p>
        </w:tc>
        <w:tc>
          <w:tcPr>
            <w:tcW w:w="0" w:type="auto"/>
            <w:shd w:val="clear" w:color="auto" w:fill="auto"/>
            <w:noWrap/>
            <w:tcMar>
              <w:top w:w="15" w:type="dxa"/>
              <w:left w:w="15" w:type="dxa"/>
              <w:bottom w:w="0" w:type="dxa"/>
              <w:right w:w="15" w:type="dxa"/>
            </w:tcMar>
            <w:vAlign w:val="center"/>
            <w:hideMark/>
          </w:tcPr>
          <w:p w14:paraId="39D6251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75AC9CF"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0FD0934" w14:textId="77777777" w:rsidR="007336DC" w:rsidRPr="00FD5358" w:rsidRDefault="007336DC" w:rsidP="007727C2">
            <w:pPr>
              <w:spacing w:after="0" w:line="240" w:lineRule="auto"/>
              <w:jc w:val="right"/>
              <w:rPr>
                <w:rFonts w:cs="Arial"/>
                <w:sz w:val="15"/>
                <w:szCs w:val="15"/>
              </w:rPr>
            </w:pPr>
            <w:r w:rsidRPr="00FD5358">
              <w:rPr>
                <w:rFonts w:cs="Arial"/>
                <w:sz w:val="15"/>
                <w:szCs w:val="15"/>
              </w:rPr>
              <w:t>1.468,13</w:t>
            </w:r>
          </w:p>
        </w:tc>
        <w:tc>
          <w:tcPr>
            <w:tcW w:w="0" w:type="auto"/>
            <w:shd w:val="clear" w:color="auto" w:fill="auto"/>
            <w:noWrap/>
            <w:tcMar>
              <w:top w:w="15" w:type="dxa"/>
              <w:left w:w="15" w:type="dxa"/>
              <w:bottom w:w="0" w:type="dxa"/>
              <w:right w:w="15" w:type="dxa"/>
            </w:tcMar>
            <w:vAlign w:val="center"/>
            <w:hideMark/>
          </w:tcPr>
          <w:p w14:paraId="2656E529"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EA2247E" w14:textId="77777777" w:rsidR="007336DC" w:rsidRPr="00FD5358" w:rsidRDefault="007336DC" w:rsidP="007727C2">
            <w:pPr>
              <w:spacing w:after="0" w:line="240" w:lineRule="auto"/>
              <w:jc w:val="right"/>
              <w:rPr>
                <w:rFonts w:cs="Arial"/>
                <w:sz w:val="15"/>
                <w:szCs w:val="15"/>
              </w:rPr>
            </w:pPr>
            <w:r w:rsidRPr="00FD5358">
              <w:rPr>
                <w:rFonts w:cs="Arial"/>
                <w:sz w:val="15"/>
                <w:szCs w:val="15"/>
              </w:rPr>
              <w:t>3.617,49</w:t>
            </w:r>
          </w:p>
        </w:tc>
        <w:tc>
          <w:tcPr>
            <w:tcW w:w="0" w:type="auto"/>
            <w:shd w:val="clear" w:color="auto" w:fill="auto"/>
            <w:noWrap/>
            <w:tcMar>
              <w:top w:w="15" w:type="dxa"/>
              <w:left w:w="15" w:type="dxa"/>
              <w:bottom w:w="0" w:type="dxa"/>
              <w:right w:w="15" w:type="dxa"/>
            </w:tcMar>
            <w:vAlign w:val="center"/>
            <w:hideMark/>
          </w:tcPr>
          <w:p w14:paraId="5D5EE45E" w14:textId="77777777" w:rsidR="007336DC" w:rsidRPr="00FD5358" w:rsidRDefault="007336DC" w:rsidP="007727C2">
            <w:pPr>
              <w:spacing w:after="0" w:line="240" w:lineRule="auto"/>
              <w:jc w:val="right"/>
              <w:rPr>
                <w:rFonts w:cs="Arial"/>
                <w:sz w:val="15"/>
                <w:szCs w:val="15"/>
              </w:rPr>
            </w:pPr>
            <w:r w:rsidRPr="00FD5358">
              <w:rPr>
                <w:rFonts w:cs="Arial"/>
                <w:sz w:val="15"/>
                <w:szCs w:val="15"/>
              </w:rPr>
              <w:t>3.332,78</w:t>
            </w:r>
          </w:p>
        </w:tc>
        <w:tc>
          <w:tcPr>
            <w:tcW w:w="0" w:type="auto"/>
            <w:shd w:val="clear" w:color="auto" w:fill="auto"/>
            <w:noWrap/>
            <w:tcMar>
              <w:top w:w="15" w:type="dxa"/>
              <w:left w:w="15" w:type="dxa"/>
              <w:bottom w:w="0" w:type="dxa"/>
              <w:right w:w="15" w:type="dxa"/>
            </w:tcMar>
            <w:vAlign w:val="center"/>
            <w:hideMark/>
          </w:tcPr>
          <w:p w14:paraId="1C6BC7E3"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DE00BDB"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733B9D5"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66D022A"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3EF8BA4F"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710334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8.418,40</w:t>
            </w:r>
          </w:p>
        </w:tc>
        <w:tc>
          <w:tcPr>
            <w:tcW w:w="0" w:type="auto"/>
            <w:shd w:val="clear" w:color="auto" w:fill="auto"/>
            <w:noWrap/>
            <w:tcMar>
              <w:top w:w="15" w:type="dxa"/>
              <w:left w:w="15" w:type="dxa"/>
              <w:bottom w:w="0" w:type="dxa"/>
              <w:right w:w="15" w:type="dxa"/>
            </w:tcMar>
            <w:vAlign w:val="center"/>
            <w:hideMark/>
          </w:tcPr>
          <w:p w14:paraId="738B142F"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2,09%</w:t>
            </w:r>
          </w:p>
        </w:tc>
      </w:tr>
      <w:tr w:rsidR="007336DC" w:rsidRPr="00FD5358" w14:paraId="5CE88173"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3C686F02"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2058</w:t>
            </w:r>
          </w:p>
        </w:tc>
        <w:tc>
          <w:tcPr>
            <w:tcW w:w="0" w:type="auto"/>
            <w:shd w:val="clear" w:color="auto" w:fill="auto"/>
            <w:noWrap/>
            <w:tcMar>
              <w:top w:w="15" w:type="dxa"/>
              <w:left w:w="15" w:type="dxa"/>
              <w:bottom w:w="0" w:type="dxa"/>
              <w:right w:w="15" w:type="dxa"/>
            </w:tcMar>
            <w:vAlign w:val="center"/>
            <w:hideMark/>
          </w:tcPr>
          <w:p w14:paraId="0D7767F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38DBFFBD"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AEED86A"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7F143C8"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DC23170" w14:textId="77777777" w:rsidR="007336DC" w:rsidRPr="00FD5358" w:rsidRDefault="007336DC" w:rsidP="007727C2">
            <w:pPr>
              <w:spacing w:after="0" w:line="240" w:lineRule="auto"/>
              <w:jc w:val="right"/>
              <w:rPr>
                <w:rFonts w:cs="Arial"/>
                <w:sz w:val="15"/>
                <w:szCs w:val="15"/>
              </w:rPr>
            </w:pPr>
            <w:r w:rsidRPr="00FD5358">
              <w:rPr>
                <w:rFonts w:cs="Arial"/>
                <w:sz w:val="15"/>
                <w:szCs w:val="15"/>
              </w:rPr>
              <w:t>3.726,01</w:t>
            </w:r>
          </w:p>
        </w:tc>
        <w:tc>
          <w:tcPr>
            <w:tcW w:w="0" w:type="auto"/>
            <w:shd w:val="clear" w:color="auto" w:fill="auto"/>
            <w:noWrap/>
            <w:tcMar>
              <w:top w:w="15" w:type="dxa"/>
              <w:left w:w="15" w:type="dxa"/>
              <w:bottom w:w="0" w:type="dxa"/>
              <w:right w:w="15" w:type="dxa"/>
            </w:tcMar>
            <w:vAlign w:val="center"/>
            <w:hideMark/>
          </w:tcPr>
          <w:p w14:paraId="0DEF711A" w14:textId="77777777" w:rsidR="007336DC" w:rsidRPr="00FD5358" w:rsidRDefault="007336DC" w:rsidP="007727C2">
            <w:pPr>
              <w:spacing w:after="0" w:line="240" w:lineRule="auto"/>
              <w:jc w:val="right"/>
              <w:rPr>
                <w:rFonts w:cs="Arial"/>
                <w:sz w:val="15"/>
                <w:szCs w:val="15"/>
              </w:rPr>
            </w:pPr>
            <w:r w:rsidRPr="00FD5358">
              <w:rPr>
                <w:rFonts w:cs="Arial"/>
                <w:sz w:val="15"/>
                <w:szCs w:val="15"/>
              </w:rPr>
              <w:t>3.358,73</w:t>
            </w:r>
          </w:p>
        </w:tc>
        <w:tc>
          <w:tcPr>
            <w:tcW w:w="0" w:type="auto"/>
            <w:shd w:val="clear" w:color="auto" w:fill="auto"/>
            <w:noWrap/>
            <w:tcMar>
              <w:top w:w="15" w:type="dxa"/>
              <w:left w:w="15" w:type="dxa"/>
              <w:bottom w:w="0" w:type="dxa"/>
              <w:right w:w="15" w:type="dxa"/>
            </w:tcMar>
            <w:vAlign w:val="center"/>
            <w:hideMark/>
          </w:tcPr>
          <w:p w14:paraId="35D2BD00"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0A97892"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083757F"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3E3F57B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1F15B5E5"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1EEFC991"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7.084,74</w:t>
            </w:r>
          </w:p>
        </w:tc>
        <w:tc>
          <w:tcPr>
            <w:tcW w:w="0" w:type="auto"/>
            <w:shd w:val="clear" w:color="auto" w:fill="auto"/>
            <w:noWrap/>
            <w:tcMar>
              <w:top w:w="15" w:type="dxa"/>
              <w:left w:w="15" w:type="dxa"/>
              <w:bottom w:w="0" w:type="dxa"/>
              <w:right w:w="15" w:type="dxa"/>
            </w:tcMar>
            <w:vAlign w:val="center"/>
            <w:hideMark/>
          </w:tcPr>
          <w:p w14:paraId="70147C11"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1,76%</w:t>
            </w:r>
          </w:p>
        </w:tc>
      </w:tr>
      <w:tr w:rsidR="007336DC" w:rsidRPr="00FD5358" w14:paraId="3752DC41"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5EBAFA8F" w14:textId="77777777" w:rsidR="007336DC" w:rsidRPr="00FD5358" w:rsidRDefault="007336DC" w:rsidP="007727C2">
            <w:pPr>
              <w:spacing w:after="0" w:line="240" w:lineRule="auto"/>
              <w:jc w:val="center"/>
              <w:rPr>
                <w:rFonts w:cs="Arial"/>
                <w:sz w:val="15"/>
                <w:szCs w:val="15"/>
              </w:rPr>
            </w:pPr>
            <w:r w:rsidRPr="00FD5358">
              <w:rPr>
                <w:rFonts w:cs="Arial"/>
                <w:sz w:val="15"/>
                <w:szCs w:val="15"/>
              </w:rPr>
              <w:t>2059</w:t>
            </w:r>
          </w:p>
        </w:tc>
        <w:tc>
          <w:tcPr>
            <w:tcW w:w="0" w:type="auto"/>
            <w:shd w:val="clear" w:color="auto" w:fill="auto"/>
            <w:noWrap/>
            <w:tcMar>
              <w:top w:w="15" w:type="dxa"/>
              <w:left w:w="15" w:type="dxa"/>
              <w:bottom w:w="0" w:type="dxa"/>
              <w:right w:w="15" w:type="dxa"/>
            </w:tcMar>
            <w:vAlign w:val="center"/>
            <w:hideMark/>
          </w:tcPr>
          <w:p w14:paraId="462B1B5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7EC58956"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B329E2D"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5FEB20F4"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5A5C0D2D" w14:textId="77777777" w:rsidR="007336DC" w:rsidRPr="00FD5358" w:rsidRDefault="007336DC" w:rsidP="007727C2">
            <w:pPr>
              <w:spacing w:after="0" w:line="240" w:lineRule="auto"/>
              <w:jc w:val="right"/>
              <w:rPr>
                <w:rFonts w:cs="Arial"/>
                <w:sz w:val="15"/>
                <w:szCs w:val="15"/>
              </w:rPr>
            </w:pPr>
            <w:r w:rsidRPr="00FD5358">
              <w:rPr>
                <w:rFonts w:cs="Arial"/>
                <w:sz w:val="15"/>
                <w:szCs w:val="15"/>
              </w:rPr>
              <w:t>3.837,79</w:t>
            </w:r>
          </w:p>
        </w:tc>
        <w:tc>
          <w:tcPr>
            <w:tcW w:w="0" w:type="auto"/>
            <w:shd w:val="clear" w:color="auto" w:fill="auto"/>
            <w:noWrap/>
            <w:tcMar>
              <w:top w:w="15" w:type="dxa"/>
              <w:left w:w="15" w:type="dxa"/>
              <w:bottom w:w="0" w:type="dxa"/>
              <w:right w:w="15" w:type="dxa"/>
            </w:tcMar>
            <w:vAlign w:val="center"/>
            <w:hideMark/>
          </w:tcPr>
          <w:p w14:paraId="18725DB4" w14:textId="77777777" w:rsidR="007336DC" w:rsidRPr="00FD5358" w:rsidRDefault="007336DC" w:rsidP="007727C2">
            <w:pPr>
              <w:spacing w:after="0" w:line="240" w:lineRule="auto"/>
              <w:jc w:val="right"/>
              <w:rPr>
                <w:rFonts w:cs="Arial"/>
                <w:sz w:val="15"/>
                <w:szCs w:val="15"/>
              </w:rPr>
            </w:pPr>
            <w:r w:rsidRPr="00FD5358">
              <w:rPr>
                <w:rFonts w:cs="Arial"/>
                <w:sz w:val="15"/>
                <w:szCs w:val="15"/>
              </w:rPr>
              <w:t>3.377,03</w:t>
            </w:r>
          </w:p>
        </w:tc>
        <w:tc>
          <w:tcPr>
            <w:tcW w:w="0" w:type="auto"/>
            <w:shd w:val="clear" w:color="auto" w:fill="auto"/>
            <w:noWrap/>
            <w:tcMar>
              <w:top w:w="15" w:type="dxa"/>
              <w:left w:w="15" w:type="dxa"/>
              <w:bottom w:w="0" w:type="dxa"/>
              <w:right w:w="15" w:type="dxa"/>
            </w:tcMar>
            <w:vAlign w:val="center"/>
            <w:hideMark/>
          </w:tcPr>
          <w:p w14:paraId="76817A82"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045CF4D"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12EA36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53F6582"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0C2603F9"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9730F78"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7.214,82</w:t>
            </w:r>
          </w:p>
        </w:tc>
        <w:tc>
          <w:tcPr>
            <w:tcW w:w="0" w:type="auto"/>
            <w:shd w:val="clear" w:color="auto" w:fill="auto"/>
            <w:noWrap/>
            <w:tcMar>
              <w:top w:w="15" w:type="dxa"/>
              <w:left w:w="15" w:type="dxa"/>
              <w:bottom w:w="0" w:type="dxa"/>
              <w:right w:w="15" w:type="dxa"/>
            </w:tcMar>
            <w:vAlign w:val="center"/>
            <w:hideMark/>
          </w:tcPr>
          <w:p w14:paraId="3E254849"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1,79%</w:t>
            </w:r>
          </w:p>
        </w:tc>
      </w:tr>
      <w:tr w:rsidR="007336DC" w:rsidRPr="00FD5358" w14:paraId="2DD0252F"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00D88B40"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2060</w:t>
            </w:r>
          </w:p>
        </w:tc>
        <w:tc>
          <w:tcPr>
            <w:tcW w:w="0" w:type="auto"/>
            <w:shd w:val="clear" w:color="auto" w:fill="auto"/>
            <w:noWrap/>
            <w:tcMar>
              <w:top w:w="15" w:type="dxa"/>
              <w:left w:w="15" w:type="dxa"/>
              <w:bottom w:w="0" w:type="dxa"/>
              <w:right w:w="15" w:type="dxa"/>
            </w:tcMar>
            <w:vAlign w:val="center"/>
            <w:hideMark/>
          </w:tcPr>
          <w:p w14:paraId="0E62BD5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7D076B94"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0B70D75"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98C06F7"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BF3F3D0" w14:textId="77777777" w:rsidR="007336DC" w:rsidRPr="00FD5358" w:rsidRDefault="007336DC" w:rsidP="007727C2">
            <w:pPr>
              <w:spacing w:after="0" w:line="240" w:lineRule="auto"/>
              <w:jc w:val="right"/>
              <w:rPr>
                <w:rFonts w:cs="Arial"/>
                <w:sz w:val="15"/>
                <w:szCs w:val="15"/>
              </w:rPr>
            </w:pPr>
            <w:r w:rsidRPr="00FD5358">
              <w:rPr>
                <w:rFonts w:cs="Arial"/>
                <w:sz w:val="15"/>
                <w:szCs w:val="15"/>
              </w:rPr>
              <w:t>3.952,93</w:t>
            </w:r>
          </w:p>
        </w:tc>
        <w:tc>
          <w:tcPr>
            <w:tcW w:w="0" w:type="auto"/>
            <w:shd w:val="clear" w:color="auto" w:fill="auto"/>
            <w:noWrap/>
            <w:tcMar>
              <w:top w:w="15" w:type="dxa"/>
              <w:left w:w="15" w:type="dxa"/>
              <w:bottom w:w="0" w:type="dxa"/>
              <w:right w:w="15" w:type="dxa"/>
            </w:tcMar>
            <w:vAlign w:val="center"/>
            <w:hideMark/>
          </w:tcPr>
          <w:p w14:paraId="58DD7AB5" w14:textId="77777777" w:rsidR="007336DC" w:rsidRPr="00FD5358" w:rsidRDefault="007336DC" w:rsidP="007727C2">
            <w:pPr>
              <w:spacing w:after="0" w:line="240" w:lineRule="auto"/>
              <w:jc w:val="right"/>
              <w:rPr>
                <w:rFonts w:cs="Arial"/>
                <w:sz w:val="15"/>
                <w:szCs w:val="15"/>
              </w:rPr>
            </w:pPr>
            <w:r w:rsidRPr="00FD5358">
              <w:rPr>
                <w:rFonts w:cs="Arial"/>
                <w:sz w:val="15"/>
                <w:szCs w:val="15"/>
              </w:rPr>
              <w:t>3.407,44</w:t>
            </w:r>
          </w:p>
        </w:tc>
        <w:tc>
          <w:tcPr>
            <w:tcW w:w="0" w:type="auto"/>
            <w:shd w:val="clear" w:color="auto" w:fill="auto"/>
            <w:noWrap/>
            <w:tcMar>
              <w:top w:w="15" w:type="dxa"/>
              <w:left w:w="15" w:type="dxa"/>
              <w:bottom w:w="0" w:type="dxa"/>
              <w:right w:w="15" w:type="dxa"/>
            </w:tcMar>
            <w:vAlign w:val="center"/>
            <w:hideMark/>
          </w:tcPr>
          <w:p w14:paraId="43B94D3E"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6D5150C"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79538D0"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2B15A0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08D7AFEA"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558450AA"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7.360,36</w:t>
            </w:r>
          </w:p>
        </w:tc>
        <w:tc>
          <w:tcPr>
            <w:tcW w:w="0" w:type="auto"/>
            <w:shd w:val="clear" w:color="auto" w:fill="auto"/>
            <w:noWrap/>
            <w:tcMar>
              <w:top w:w="15" w:type="dxa"/>
              <w:left w:w="15" w:type="dxa"/>
              <w:bottom w:w="0" w:type="dxa"/>
              <w:right w:w="15" w:type="dxa"/>
            </w:tcMar>
            <w:vAlign w:val="center"/>
            <w:hideMark/>
          </w:tcPr>
          <w:p w14:paraId="50176D7D"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1,83%</w:t>
            </w:r>
          </w:p>
        </w:tc>
      </w:tr>
      <w:tr w:rsidR="007336DC" w:rsidRPr="00FD5358" w14:paraId="6E13C32B"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252F4E92"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2061</w:t>
            </w:r>
          </w:p>
        </w:tc>
        <w:tc>
          <w:tcPr>
            <w:tcW w:w="0" w:type="auto"/>
            <w:shd w:val="clear" w:color="auto" w:fill="auto"/>
            <w:noWrap/>
            <w:tcMar>
              <w:top w:w="15" w:type="dxa"/>
              <w:left w:w="15" w:type="dxa"/>
              <w:bottom w:w="0" w:type="dxa"/>
              <w:right w:w="15" w:type="dxa"/>
            </w:tcMar>
            <w:vAlign w:val="center"/>
            <w:hideMark/>
          </w:tcPr>
          <w:p w14:paraId="22E6105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F0E3A50"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FE0054D"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03826BA"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532798D" w14:textId="77777777" w:rsidR="007336DC" w:rsidRPr="00FD5358" w:rsidRDefault="007336DC" w:rsidP="007727C2">
            <w:pPr>
              <w:spacing w:after="0" w:line="240" w:lineRule="auto"/>
              <w:jc w:val="right"/>
              <w:rPr>
                <w:rFonts w:cs="Arial"/>
                <w:sz w:val="15"/>
                <w:szCs w:val="15"/>
              </w:rPr>
            </w:pPr>
            <w:r w:rsidRPr="00FD5358">
              <w:rPr>
                <w:rFonts w:cs="Arial"/>
                <w:sz w:val="15"/>
                <w:szCs w:val="15"/>
              </w:rPr>
              <w:t>4.071,51</w:t>
            </w:r>
          </w:p>
        </w:tc>
        <w:tc>
          <w:tcPr>
            <w:tcW w:w="0" w:type="auto"/>
            <w:shd w:val="clear" w:color="auto" w:fill="auto"/>
            <w:noWrap/>
            <w:tcMar>
              <w:top w:w="15" w:type="dxa"/>
              <w:left w:w="15" w:type="dxa"/>
              <w:bottom w:w="0" w:type="dxa"/>
              <w:right w:w="15" w:type="dxa"/>
            </w:tcMar>
            <w:vAlign w:val="center"/>
            <w:hideMark/>
          </w:tcPr>
          <w:p w14:paraId="1C6DD0BF"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BEDDD8B"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F58F324"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2747729"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490C1385"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F55B4E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460AD03F"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4.071,51</w:t>
            </w:r>
          </w:p>
        </w:tc>
        <w:tc>
          <w:tcPr>
            <w:tcW w:w="0" w:type="auto"/>
            <w:shd w:val="clear" w:color="auto" w:fill="auto"/>
            <w:noWrap/>
            <w:tcMar>
              <w:top w:w="15" w:type="dxa"/>
              <w:left w:w="15" w:type="dxa"/>
              <w:bottom w:w="0" w:type="dxa"/>
              <w:right w:w="15" w:type="dxa"/>
            </w:tcMar>
            <w:vAlign w:val="center"/>
            <w:hideMark/>
          </w:tcPr>
          <w:p w14:paraId="27E3ED4F"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1,01%</w:t>
            </w:r>
          </w:p>
        </w:tc>
      </w:tr>
      <w:tr w:rsidR="007336DC" w:rsidRPr="00FD5358" w14:paraId="573508FD"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07332FCD"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2062</w:t>
            </w:r>
          </w:p>
        </w:tc>
        <w:tc>
          <w:tcPr>
            <w:tcW w:w="0" w:type="auto"/>
            <w:shd w:val="clear" w:color="auto" w:fill="auto"/>
            <w:noWrap/>
            <w:tcMar>
              <w:top w:w="15" w:type="dxa"/>
              <w:left w:w="15" w:type="dxa"/>
              <w:bottom w:w="0" w:type="dxa"/>
              <w:right w:w="15" w:type="dxa"/>
            </w:tcMar>
            <w:vAlign w:val="center"/>
            <w:hideMark/>
          </w:tcPr>
          <w:p w14:paraId="51BD839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E6E39EE"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5B145E4"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CD2FAFE"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54F3C0D5" w14:textId="77777777" w:rsidR="007336DC" w:rsidRPr="00FD5358" w:rsidRDefault="007336DC" w:rsidP="007727C2">
            <w:pPr>
              <w:spacing w:after="0" w:line="240" w:lineRule="auto"/>
              <w:jc w:val="right"/>
              <w:rPr>
                <w:rFonts w:cs="Arial"/>
                <w:sz w:val="15"/>
                <w:szCs w:val="15"/>
              </w:rPr>
            </w:pPr>
            <w:r w:rsidRPr="00FD5358">
              <w:rPr>
                <w:rFonts w:cs="Arial"/>
                <w:sz w:val="15"/>
                <w:szCs w:val="15"/>
              </w:rPr>
              <w:t>4.193,66</w:t>
            </w:r>
          </w:p>
        </w:tc>
        <w:tc>
          <w:tcPr>
            <w:tcW w:w="0" w:type="auto"/>
            <w:shd w:val="clear" w:color="auto" w:fill="auto"/>
            <w:noWrap/>
            <w:tcMar>
              <w:top w:w="15" w:type="dxa"/>
              <w:left w:w="15" w:type="dxa"/>
              <w:bottom w:w="0" w:type="dxa"/>
              <w:right w:w="15" w:type="dxa"/>
            </w:tcMar>
            <w:vAlign w:val="center"/>
            <w:hideMark/>
          </w:tcPr>
          <w:p w14:paraId="26398E10"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90BB7C2"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1954CF1"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7B58D9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0B06DEF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1A440E3"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3559FCD0"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4.193,66</w:t>
            </w:r>
          </w:p>
        </w:tc>
        <w:tc>
          <w:tcPr>
            <w:tcW w:w="0" w:type="auto"/>
            <w:shd w:val="clear" w:color="auto" w:fill="auto"/>
            <w:noWrap/>
            <w:tcMar>
              <w:top w:w="15" w:type="dxa"/>
              <w:left w:w="15" w:type="dxa"/>
              <w:bottom w:w="0" w:type="dxa"/>
              <w:right w:w="15" w:type="dxa"/>
            </w:tcMar>
            <w:vAlign w:val="center"/>
            <w:hideMark/>
          </w:tcPr>
          <w:p w14:paraId="584481D1"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1,04%</w:t>
            </w:r>
          </w:p>
        </w:tc>
      </w:tr>
      <w:tr w:rsidR="007336DC" w:rsidRPr="00FD5358" w14:paraId="4F5E2C48"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28A6B87D"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2063</w:t>
            </w:r>
          </w:p>
        </w:tc>
        <w:tc>
          <w:tcPr>
            <w:tcW w:w="0" w:type="auto"/>
            <w:shd w:val="clear" w:color="auto" w:fill="auto"/>
            <w:noWrap/>
            <w:tcMar>
              <w:top w:w="15" w:type="dxa"/>
              <w:left w:w="15" w:type="dxa"/>
              <w:bottom w:w="0" w:type="dxa"/>
              <w:right w:w="15" w:type="dxa"/>
            </w:tcMar>
            <w:vAlign w:val="center"/>
            <w:hideMark/>
          </w:tcPr>
          <w:p w14:paraId="1F006070"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C807809"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789D8D3"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E4FCB54"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6382397" w14:textId="77777777" w:rsidR="007336DC" w:rsidRPr="00FD5358" w:rsidRDefault="007336DC" w:rsidP="007727C2">
            <w:pPr>
              <w:spacing w:after="0" w:line="240" w:lineRule="auto"/>
              <w:jc w:val="right"/>
              <w:rPr>
                <w:rFonts w:cs="Arial"/>
                <w:sz w:val="15"/>
                <w:szCs w:val="15"/>
              </w:rPr>
            </w:pPr>
            <w:r w:rsidRPr="00FD5358">
              <w:rPr>
                <w:rFonts w:cs="Arial"/>
                <w:sz w:val="15"/>
                <w:szCs w:val="15"/>
              </w:rPr>
              <w:t>4.319,47</w:t>
            </w:r>
          </w:p>
        </w:tc>
        <w:tc>
          <w:tcPr>
            <w:tcW w:w="0" w:type="auto"/>
            <w:shd w:val="clear" w:color="auto" w:fill="auto"/>
            <w:noWrap/>
            <w:tcMar>
              <w:top w:w="15" w:type="dxa"/>
              <w:left w:w="15" w:type="dxa"/>
              <w:bottom w:w="0" w:type="dxa"/>
              <w:right w:w="15" w:type="dxa"/>
            </w:tcMar>
            <w:vAlign w:val="center"/>
            <w:hideMark/>
          </w:tcPr>
          <w:p w14:paraId="62BA3C08"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D9DF991"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507BF06A"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DC2E9F3"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7995E824"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06F7974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3725AEC"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4.319,47</w:t>
            </w:r>
          </w:p>
        </w:tc>
        <w:tc>
          <w:tcPr>
            <w:tcW w:w="0" w:type="auto"/>
            <w:shd w:val="clear" w:color="auto" w:fill="auto"/>
            <w:noWrap/>
            <w:tcMar>
              <w:top w:w="15" w:type="dxa"/>
              <w:left w:w="15" w:type="dxa"/>
              <w:bottom w:w="0" w:type="dxa"/>
              <w:right w:w="15" w:type="dxa"/>
            </w:tcMar>
            <w:vAlign w:val="center"/>
            <w:hideMark/>
          </w:tcPr>
          <w:p w14:paraId="3517066C"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1,07%</w:t>
            </w:r>
          </w:p>
        </w:tc>
      </w:tr>
      <w:tr w:rsidR="007336DC" w:rsidRPr="00FD5358" w14:paraId="7AC2A059"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6AD5B832"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2064</w:t>
            </w:r>
          </w:p>
        </w:tc>
        <w:tc>
          <w:tcPr>
            <w:tcW w:w="0" w:type="auto"/>
            <w:shd w:val="clear" w:color="auto" w:fill="auto"/>
            <w:noWrap/>
            <w:tcMar>
              <w:top w:w="15" w:type="dxa"/>
              <w:left w:w="15" w:type="dxa"/>
              <w:bottom w:w="0" w:type="dxa"/>
              <w:right w:w="15" w:type="dxa"/>
            </w:tcMar>
            <w:vAlign w:val="center"/>
            <w:hideMark/>
          </w:tcPr>
          <w:p w14:paraId="2408418A"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BC709D8"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DD1A4F2"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EB1ACF4"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1451311" w14:textId="77777777" w:rsidR="007336DC" w:rsidRPr="00FD5358" w:rsidRDefault="007336DC" w:rsidP="007727C2">
            <w:pPr>
              <w:spacing w:after="0" w:line="240" w:lineRule="auto"/>
              <w:jc w:val="right"/>
              <w:rPr>
                <w:rFonts w:cs="Arial"/>
                <w:sz w:val="15"/>
                <w:szCs w:val="15"/>
              </w:rPr>
            </w:pPr>
            <w:r w:rsidRPr="00FD5358">
              <w:rPr>
                <w:rFonts w:cs="Arial"/>
                <w:sz w:val="15"/>
                <w:szCs w:val="15"/>
              </w:rPr>
              <w:t>4.449,05</w:t>
            </w:r>
          </w:p>
        </w:tc>
        <w:tc>
          <w:tcPr>
            <w:tcW w:w="0" w:type="auto"/>
            <w:shd w:val="clear" w:color="auto" w:fill="auto"/>
            <w:noWrap/>
            <w:tcMar>
              <w:top w:w="15" w:type="dxa"/>
              <w:left w:w="15" w:type="dxa"/>
              <w:bottom w:w="0" w:type="dxa"/>
              <w:right w:w="15" w:type="dxa"/>
            </w:tcMar>
            <w:vAlign w:val="center"/>
            <w:hideMark/>
          </w:tcPr>
          <w:p w14:paraId="51F9218E"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5D892F22"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2E21BE4"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6754F349"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4106224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35E6AD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78369565"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4.449,05</w:t>
            </w:r>
          </w:p>
        </w:tc>
        <w:tc>
          <w:tcPr>
            <w:tcW w:w="0" w:type="auto"/>
            <w:shd w:val="clear" w:color="auto" w:fill="auto"/>
            <w:noWrap/>
            <w:tcMar>
              <w:top w:w="15" w:type="dxa"/>
              <w:left w:w="15" w:type="dxa"/>
              <w:bottom w:w="0" w:type="dxa"/>
              <w:right w:w="15" w:type="dxa"/>
            </w:tcMar>
            <w:vAlign w:val="center"/>
            <w:hideMark/>
          </w:tcPr>
          <w:p w14:paraId="610E4038"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1,11%</w:t>
            </w:r>
          </w:p>
        </w:tc>
      </w:tr>
      <w:tr w:rsidR="007336DC" w:rsidRPr="00FD5358" w14:paraId="0602ADF9"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178E67C7"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2065</w:t>
            </w:r>
          </w:p>
        </w:tc>
        <w:tc>
          <w:tcPr>
            <w:tcW w:w="0" w:type="auto"/>
            <w:shd w:val="clear" w:color="auto" w:fill="auto"/>
            <w:noWrap/>
            <w:tcMar>
              <w:top w:w="15" w:type="dxa"/>
              <w:left w:w="15" w:type="dxa"/>
              <w:bottom w:w="0" w:type="dxa"/>
              <w:right w:w="15" w:type="dxa"/>
            </w:tcMar>
            <w:vAlign w:val="center"/>
            <w:hideMark/>
          </w:tcPr>
          <w:p w14:paraId="4D2FF11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434006B9"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A4EB01E"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7C71843"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BFA8001" w14:textId="77777777" w:rsidR="007336DC" w:rsidRPr="00FD5358" w:rsidRDefault="007336DC" w:rsidP="007727C2">
            <w:pPr>
              <w:spacing w:after="0" w:line="240" w:lineRule="auto"/>
              <w:jc w:val="right"/>
              <w:rPr>
                <w:rFonts w:cs="Arial"/>
                <w:sz w:val="15"/>
                <w:szCs w:val="15"/>
              </w:rPr>
            </w:pPr>
            <w:r w:rsidRPr="00FD5358">
              <w:rPr>
                <w:rFonts w:cs="Arial"/>
                <w:sz w:val="15"/>
                <w:szCs w:val="15"/>
              </w:rPr>
              <w:t>4.582,53</w:t>
            </w:r>
          </w:p>
        </w:tc>
        <w:tc>
          <w:tcPr>
            <w:tcW w:w="0" w:type="auto"/>
            <w:shd w:val="clear" w:color="auto" w:fill="auto"/>
            <w:noWrap/>
            <w:tcMar>
              <w:top w:w="15" w:type="dxa"/>
              <w:left w:w="15" w:type="dxa"/>
              <w:bottom w:w="0" w:type="dxa"/>
              <w:right w:w="15" w:type="dxa"/>
            </w:tcMar>
            <w:vAlign w:val="center"/>
            <w:hideMark/>
          </w:tcPr>
          <w:p w14:paraId="540D9302"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7CD9C41"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5F02C01"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9D4D34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34BAAF2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78DF1D6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277B9E8"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4.582,53</w:t>
            </w:r>
          </w:p>
        </w:tc>
        <w:tc>
          <w:tcPr>
            <w:tcW w:w="0" w:type="auto"/>
            <w:shd w:val="clear" w:color="auto" w:fill="auto"/>
            <w:noWrap/>
            <w:tcMar>
              <w:top w:w="15" w:type="dxa"/>
              <w:left w:w="15" w:type="dxa"/>
              <w:bottom w:w="0" w:type="dxa"/>
              <w:right w:w="15" w:type="dxa"/>
            </w:tcMar>
            <w:vAlign w:val="center"/>
            <w:hideMark/>
          </w:tcPr>
          <w:p w14:paraId="6623C9D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1,14%</w:t>
            </w:r>
          </w:p>
        </w:tc>
      </w:tr>
      <w:tr w:rsidR="007336DC" w:rsidRPr="00FD5358" w14:paraId="250BA1B3"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2FD8E8C6"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2066</w:t>
            </w:r>
          </w:p>
        </w:tc>
        <w:tc>
          <w:tcPr>
            <w:tcW w:w="0" w:type="auto"/>
            <w:shd w:val="clear" w:color="auto" w:fill="auto"/>
            <w:noWrap/>
            <w:tcMar>
              <w:top w:w="15" w:type="dxa"/>
              <w:left w:w="15" w:type="dxa"/>
              <w:bottom w:w="0" w:type="dxa"/>
              <w:right w:w="15" w:type="dxa"/>
            </w:tcMar>
            <w:vAlign w:val="center"/>
            <w:hideMark/>
          </w:tcPr>
          <w:p w14:paraId="2F66BA10"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12FCD241"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81AC44F"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5E9C320"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3EF4D7B" w14:textId="77777777" w:rsidR="007336DC" w:rsidRPr="00FD5358" w:rsidRDefault="007336DC" w:rsidP="007727C2">
            <w:pPr>
              <w:spacing w:after="0" w:line="240" w:lineRule="auto"/>
              <w:jc w:val="right"/>
              <w:rPr>
                <w:rFonts w:cs="Arial"/>
                <w:sz w:val="15"/>
                <w:szCs w:val="15"/>
              </w:rPr>
            </w:pPr>
            <w:r w:rsidRPr="00FD5358">
              <w:rPr>
                <w:rFonts w:cs="Arial"/>
                <w:sz w:val="15"/>
                <w:szCs w:val="15"/>
              </w:rPr>
              <w:t>4.720,00</w:t>
            </w:r>
          </w:p>
        </w:tc>
        <w:tc>
          <w:tcPr>
            <w:tcW w:w="0" w:type="auto"/>
            <w:shd w:val="clear" w:color="auto" w:fill="auto"/>
            <w:noWrap/>
            <w:tcMar>
              <w:top w:w="15" w:type="dxa"/>
              <w:left w:w="15" w:type="dxa"/>
              <w:bottom w:w="0" w:type="dxa"/>
              <w:right w:w="15" w:type="dxa"/>
            </w:tcMar>
            <w:vAlign w:val="center"/>
            <w:hideMark/>
          </w:tcPr>
          <w:p w14:paraId="3E7C63FD"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514C7F0"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94712A9"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6A3BA61"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1232050A"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3F81665"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7F7FD849"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4.720,00</w:t>
            </w:r>
          </w:p>
        </w:tc>
        <w:tc>
          <w:tcPr>
            <w:tcW w:w="0" w:type="auto"/>
            <w:shd w:val="clear" w:color="auto" w:fill="auto"/>
            <w:noWrap/>
            <w:tcMar>
              <w:top w:w="15" w:type="dxa"/>
              <w:left w:w="15" w:type="dxa"/>
              <w:bottom w:w="0" w:type="dxa"/>
              <w:right w:w="15" w:type="dxa"/>
            </w:tcMar>
            <w:vAlign w:val="center"/>
            <w:hideMark/>
          </w:tcPr>
          <w:p w14:paraId="6699602E"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1,17%</w:t>
            </w:r>
          </w:p>
        </w:tc>
      </w:tr>
      <w:tr w:rsidR="007336DC" w:rsidRPr="00FD5358" w14:paraId="6E78E7E9"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4A471376"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2067</w:t>
            </w:r>
          </w:p>
        </w:tc>
        <w:tc>
          <w:tcPr>
            <w:tcW w:w="0" w:type="auto"/>
            <w:shd w:val="clear" w:color="auto" w:fill="auto"/>
            <w:noWrap/>
            <w:tcMar>
              <w:top w:w="15" w:type="dxa"/>
              <w:left w:w="15" w:type="dxa"/>
              <w:bottom w:w="0" w:type="dxa"/>
              <w:right w:w="15" w:type="dxa"/>
            </w:tcMar>
            <w:vAlign w:val="center"/>
            <w:hideMark/>
          </w:tcPr>
          <w:p w14:paraId="23C281FE"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7801A4DE"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721ED04E"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32A43B0"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7737A73" w14:textId="77777777" w:rsidR="007336DC" w:rsidRPr="00FD5358" w:rsidRDefault="007336DC" w:rsidP="007727C2">
            <w:pPr>
              <w:spacing w:after="0" w:line="240" w:lineRule="auto"/>
              <w:jc w:val="right"/>
              <w:rPr>
                <w:rFonts w:cs="Arial"/>
                <w:sz w:val="15"/>
                <w:szCs w:val="15"/>
              </w:rPr>
            </w:pPr>
            <w:r w:rsidRPr="00FD5358">
              <w:rPr>
                <w:rFonts w:cs="Arial"/>
                <w:sz w:val="15"/>
                <w:szCs w:val="15"/>
              </w:rPr>
              <w:t>4.861,60</w:t>
            </w:r>
          </w:p>
        </w:tc>
        <w:tc>
          <w:tcPr>
            <w:tcW w:w="0" w:type="auto"/>
            <w:shd w:val="clear" w:color="auto" w:fill="auto"/>
            <w:noWrap/>
            <w:tcMar>
              <w:top w:w="15" w:type="dxa"/>
              <w:left w:w="15" w:type="dxa"/>
              <w:bottom w:w="0" w:type="dxa"/>
              <w:right w:w="15" w:type="dxa"/>
            </w:tcMar>
            <w:vAlign w:val="center"/>
            <w:hideMark/>
          </w:tcPr>
          <w:p w14:paraId="142D5A82"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AF5E0B4"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5BA2B10"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212DE34"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68E33F1D"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70F92DA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2592BA6"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4.861,60</w:t>
            </w:r>
          </w:p>
        </w:tc>
        <w:tc>
          <w:tcPr>
            <w:tcW w:w="0" w:type="auto"/>
            <w:shd w:val="clear" w:color="auto" w:fill="auto"/>
            <w:noWrap/>
            <w:tcMar>
              <w:top w:w="15" w:type="dxa"/>
              <w:left w:w="15" w:type="dxa"/>
              <w:bottom w:w="0" w:type="dxa"/>
              <w:right w:w="15" w:type="dxa"/>
            </w:tcMar>
            <w:vAlign w:val="center"/>
            <w:hideMark/>
          </w:tcPr>
          <w:p w14:paraId="51EC39F9"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1,21%</w:t>
            </w:r>
          </w:p>
        </w:tc>
      </w:tr>
      <w:tr w:rsidR="007336DC" w:rsidRPr="00FD5358" w14:paraId="2E08F8A4"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2F65C969"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2068</w:t>
            </w:r>
          </w:p>
        </w:tc>
        <w:tc>
          <w:tcPr>
            <w:tcW w:w="0" w:type="auto"/>
            <w:shd w:val="clear" w:color="auto" w:fill="auto"/>
            <w:noWrap/>
            <w:tcMar>
              <w:top w:w="15" w:type="dxa"/>
              <w:left w:w="15" w:type="dxa"/>
              <w:bottom w:w="0" w:type="dxa"/>
              <w:right w:w="15" w:type="dxa"/>
            </w:tcMar>
            <w:vAlign w:val="center"/>
            <w:hideMark/>
          </w:tcPr>
          <w:p w14:paraId="6EEC8D0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03EBDF47"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AE15913"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222DCD0"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E7DBFCD" w14:textId="77777777" w:rsidR="007336DC" w:rsidRPr="00FD5358" w:rsidRDefault="007336DC" w:rsidP="007727C2">
            <w:pPr>
              <w:spacing w:after="0" w:line="240" w:lineRule="auto"/>
              <w:jc w:val="right"/>
              <w:rPr>
                <w:rFonts w:cs="Arial"/>
                <w:sz w:val="15"/>
                <w:szCs w:val="15"/>
              </w:rPr>
            </w:pPr>
            <w:r w:rsidRPr="00FD5358">
              <w:rPr>
                <w:rFonts w:cs="Arial"/>
                <w:sz w:val="15"/>
                <w:szCs w:val="15"/>
              </w:rPr>
              <w:t>5.007,45</w:t>
            </w:r>
          </w:p>
        </w:tc>
        <w:tc>
          <w:tcPr>
            <w:tcW w:w="0" w:type="auto"/>
            <w:shd w:val="clear" w:color="auto" w:fill="auto"/>
            <w:noWrap/>
            <w:tcMar>
              <w:top w:w="15" w:type="dxa"/>
              <w:left w:w="15" w:type="dxa"/>
              <w:bottom w:w="0" w:type="dxa"/>
              <w:right w:w="15" w:type="dxa"/>
            </w:tcMar>
            <w:vAlign w:val="center"/>
            <w:hideMark/>
          </w:tcPr>
          <w:p w14:paraId="0933E3B6"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26B36521"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B3B7CAD"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42AE2F2"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3C513F8C"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13FFAB57"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525CD50A"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5.007,45</w:t>
            </w:r>
          </w:p>
        </w:tc>
        <w:tc>
          <w:tcPr>
            <w:tcW w:w="0" w:type="auto"/>
            <w:shd w:val="clear" w:color="auto" w:fill="auto"/>
            <w:noWrap/>
            <w:tcMar>
              <w:top w:w="15" w:type="dxa"/>
              <w:left w:w="15" w:type="dxa"/>
              <w:bottom w:w="0" w:type="dxa"/>
              <w:right w:w="15" w:type="dxa"/>
            </w:tcMar>
            <w:vAlign w:val="center"/>
            <w:hideMark/>
          </w:tcPr>
          <w:p w14:paraId="4E65AF75"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1,25%</w:t>
            </w:r>
          </w:p>
        </w:tc>
      </w:tr>
      <w:tr w:rsidR="007336DC" w:rsidRPr="00FD5358" w14:paraId="6F6838CC" w14:textId="77777777" w:rsidTr="008E5098">
        <w:trPr>
          <w:cantSplit/>
          <w:trHeight w:val="227"/>
          <w:jc w:val="center"/>
        </w:trPr>
        <w:tc>
          <w:tcPr>
            <w:tcW w:w="0" w:type="auto"/>
            <w:shd w:val="clear" w:color="auto" w:fill="auto"/>
            <w:noWrap/>
            <w:tcMar>
              <w:top w:w="15" w:type="dxa"/>
              <w:left w:w="15" w:type="dxa"/>
              <w:bottom w:w="0" w:type="dxa"/>
              <w:right w:w="15" w:type="dxa"/>
            </w:tcMar>
            <w:vAlign w:val="center"/>
            <w:hideMark/>
          </w:tcPr>
          <w:p w14:paraId="29377CF4" w14:textId="77777777" w:rsidR="007336DC" w:rsidRPr="00FD5358" w:rsidRDefault="007336DC" w:rsidP="007727C2">
            <w:pPr>
              <w:spacing w:after="0" w:line="240" w:lineRule="auto"/>
              <w:jc w:val="center"/>
              <w:rPr>
                <w:rFonts w:cs="Arial"/>
                <w:sz w:val="15"/>
                <w:szCs w:val="15"/>
              </w:rPr>
            </w:pPr>
            <w:r w:rsidRPr="00FD5358">
              <w:rPr>
                <w:rFonts w:cs="Arial"/>
                <w:sz w:val="15"/>
                <w:szCs w:val="15"/>
              </w:rPr>
              <w:t>2069</w:t>
            </w:r>
          </w:p>
        </w:tc>
        <w:tc>
          <w:tcPr>
            <w:tcW w:w="0" w:type="auto"/>
            <w:shd w:val="clear" w:color="auto" w:fill="auto"/>
            <w:noWrap/>
            <w:tcMar>
              <w:top w:w="15" w:type="dxa"/>
              <w:left w:w="15" w:type="dxa"/>
              <w:bottom w:w="0" w:type="dxa"/>
              <w:right w:w="15" w:type="dxa"/>
            </w:tcMar>
            <w:vAlign w:val="center"/>
            <w:hideMark/>
          </w:tcPr>
          <w:p w14:paraId="50C15A2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24AC8F3E"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0B0007C8"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B37375C"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305384A3" w14:textId="77777777" w:rsidR="007336DC" w:rsidRPr="00FD5358" w:rsidRDefault="007336DC" w:rsidP="007727C2">
            <w:pPr>
              <w:spacing w:after="0" w:line="240" w:lineRule="auto"/>
              <w:jc w:val="right"/>
              <w:rPr>
                <w:rFonts w:cs="Arial"/>
                <w:sz w:val="15"/>
                <w:szCs w:val="15"/>
              </w:rPr>
            </w:pPr>
            <w:r w:rsidRPr="00FD5358">
              <w:rPr>
                <w:rFonts w:cs="Arial"/>
                <w:sz w:val="15"/>
                <w:szCs w:val="15"/>
              </w:rPr>
              <w:t>5.157,67</w:t>
            </w:r>
          </w:p>
        </w:tc>
        <w:tc>
          <w:tcPr>
            <w:tcW w:w="0" w:type="auto"/>
            <w:shd w:val="clear" w:color="auto" w:fill="auto"/>
            <w:noWrap/>
            <w:tcMar>
              <w:top w:w="15" w:type="dxa"/>
              <w:left w:w="15" w:type="dxa"/>
              <w:bottom w:w="0" w:type="dxa"/>
              <w:right w:w="15" w:type="dxa"/>
            </w:tcMar>
            <w:vAlign w:val="center"/>
            <w:hideMark/>
          </w:tcPr>
          <w:p w14:paraId="0F142E3F"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43ECFE0"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48B98590" w14:textId="77777777" w:rsidR="007336DC" w:rsidRPr="00FD5358" w:rsidRDefault="007336DC" w:rsidP="007727C2">
            <w:pPr>
              <w:spacing w:after="0" w:line="240" w:lineRule="auto"/>
              <w:jc w:val="right"/>
              <w:rPr>
                <w:rFonts w:cs="Arial"/>
                <w:sz w:val="15"/>
                <w:szCs w:val="15"/>
              </w:rPr>
            </w:pPr>
          </w:p>
        </w:tc>
        <w:tc>
          <w:tcPr>
            <w:tcW w:w="0" w:type="auto"/>
            <w:shd w:val="clear" w:color="auto" w:fill="auto"/>
            <w:noWrap/>
            <w:tcMar>
              <w:top w:w="15" w:type="dxa"/>
              <w:left w:w="15" w:type="dxa"/>
              <w:bottom w:w="0" w:type="dxa"/>
              <w:right w:w="15" w:type="dxa"/>
            </w:tcMar>
            <w:vAlign w:val="center"/>
            <w:hideMark/>
          </w:tcPr>
          <w:p w14:paraId="1045C034"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5EEB4B07"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03AA37F8"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shd w:val="clear" w:color="auto" w:fill="auto"/>
            <w:noWrap/>
            <w:tcMar>
              <w:top w:w="15" w:type="dxa"/>
              <w:left w:w="15" w:type="dxa"/>
              <w:bottom w:w="0" w:type="dxa"/>
              <w:right w:w="15" w:type="dxa"/>
            </w:tcMar>
            <w:vAlign w:val="center"/>
            <w:hideMark/>
          </w:tcPr>
          <w:p w14:paraId="3431D23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5.157,67</w:t>
            </w:r>
          </w:p>
        </w:tc>
        <w:tc>
          <w:tcPr>
            <w:tcW w:w="0" w:type="auto"/>
            <w:shd w:val="clear" w:color="auto" w:fill="auto"/>
            <w:noWrap/>
            <w:tcMar>
              <w:top w:w="15" w:type="dxa"/>
              <w:left w:w="15" w:type="dxa"/>
              <w:bottom w:w="0" w:type="dxa"/>
              <w:right w:w="15" w:type="dxa"/>
            </w:tcMar>
            <w:vAlign w:val="center"/>
            <w:hideMark/>
          </w:tcPr>
          <w:p w14:paraId="7659D5B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1,28%</w:t>
            </w:r>
          </w:p>
        </w:tc>
      </w:tr>
      <w:tr w:rsidR="007336DC" w:rsidRPr="00FD5358" w14:paraId="093039F2" w14:textId="77777777" w:rsidTr="008E5098">
        <w:trPr>
          <w:cantSplit/>
          <w:trHeight w:val="227"/>
          <w:jc w:val="center"/>
        </w:trPr>
        <w:tc>
          <w:tcPr>
            <w:tcW w:w="0" w:type="auto"/>
            <w:tcBorders>
              <w:bottom w:val="single" w:sz="2" w:space="0" w:color="A6A6A6" w:themeColor="background1" w:themeShade="A6"/>
            </w:tcBorders>
            <w:shd w:val="clear" w:color="auto" w:fill="auto"/>
            <w:noWrap/>
            <w:tcMar>
              <w:top w:w="15" w:type="dxa"/>
              <w:left w:w="15" w:type="dxa"/>
              <w:bottom w:w="0" w:type="dxa"/>
              <w:right w:w="15" w:type="dxa"/>
            </w:tcMar>
            <w:vAlign w:val="center"/>
            <w:hideMark/>
          </w:tcPr>
          <w:p w14:paraId="0C57E538" w14:textId="77777777" w:rsidR="007336DC" w:rsidRPr="00FD5358" w:rsidRDefault="007336DC" w:rsidP="007727C2">
            <w:pPr>
              <w:spacing w:after="0" w:line="240" w:lineRule="auto"/>
              <w:jc w:val="center"/>
              <w:rPr>
                <w:rFonts w:cs="Arial"/>
                <w:sz w:val="15"/>
                <w:szCs w:val="15"/>
              </w:rPr>
            </w:pPr>
            <w:r w:rsidRPr="00FD5358">
              <w:rPr>
                <w:rFonts w:cs="Arial"/>
                <w:sz w:val="15"/>
                <w:szCs w:val="15"/>
              </w:rPr>
              <w:t>2070</w:t>
            </w:r>
          </w:p>
        </w:tc>
        <w:tc>
          <w:tcPr>
            <w:tcW w:w="0" w:type="auto"/>
            <w:tcBorders>
              <w:bottom w:val="single" w:sz="2" w:space="0" w:color="A6A6A6" w:themeColor="background1" w:themeShade="A6"/>
            </w:tcBorders>
            <w:shd w:val="clear" w:color="auto" w:fill="auto"/>
            <w:noWrap/>
            <w:tcMar>
              <w:top w:w="15" w:type="dxa"/>
              <w:left w:w="15" w:type="dxa"/>
              <w:bottom w:w="0" w:type="dxa"/>
              <w:right w:w="15" w:type="dxa"/>
            </w:tcMar>
            <w:vAlign w:val="center"/>
            <w:hideMark/>
          </w:tcPr>
          <w:p w14:paraId="2301599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tcBorders>
              <w:bottom w:val="single" w:sz="2" w:space="0" w:color="A6A6A6" w:themeColor="background1" w:themeShade="A6"/>
            </w:tcBorders>
            <w:shd w:val="clear" w:color="auto" w:fill="auto"/>
            <w:noWrap/>
            <w:tcMar>
              <w:top w:w="15" w:type="dxa"/>
              <w:left w:w="15" w:type="dxa"/>
              <w:bottom w:w="0" w:type="dxa"/>
              <w:right w:w="15" w:type="dxa"/>
            </w:tcMar>
            <w:vAlign w:val="center"/>
            <w:hideMark/>
          </w:tcPr>
          <w:p w14:paraId="05D754FF" w14:textId="77777777" w:rsidR="007336DC" w:rsidRPr="00FD5358" w:rsidRDefault="007336DC" w:rsidP="007727C2">
            <w:pPr>
              <w:spacing w:after="0" w:line="240" w:lineRule="auto"/>
              <w:jc w:val="right"/>
              <w:rPr>
                <w:rFonts w:cs="Arial"/>
                <w:sz w:val="15"/>
                <w:szCs w:val="15"/>
              </w:rPr>
            </w:pPr>
          </w:p>
        </w:tc>
        <w:tc>
          <w:tcPr>
            <w:tcW w:w="0" w:type="auto"/>
            <w:tcBorders>
              <w:bottom w:val="single" w:sz="2" w:space="0" w:color="A6A6A6" w:themeColor="background1" w:themeShade="A6"/>
            </w:tcBorders>
            <w:shd w:val="clear" w:color="auto" w:fill="auto"/>
            <w:noWrap/>
            <w:tcMar>
              <w:top w:w="15" w:type="dxa"/>
              <w:left w:w="15" w:type="dxa"/>
              <w:bottom w:w="0" w:type="dxa"/>
              <w:right w:w="15" w:type="dxa"/>
            </w:tcMar>
            <w:vAlign w:val="center"/>
            <w:hideMark/>
          </w:tcPr>
          <w:p w14:paraId="30E46B44" w14:textId="77777777" w:rsidR="007336DC" w:rsidRPr="00FD5358" w:rsidRDefault="007336DC" w:rsidP="007727C2">
            <w:pPr>
              <w:spacing w:after="0" w:line="240" w:lineRule="auto"/>
              <w:jc w:val="right"/>
              <w:rPr>
                <w:rFonts w:cs="Arial"/>
                <w:sz w:val="15"/>
                <w:szCs w:val="15"/>
              </w:rPr>
            </w:pPr>
          </w:p>
        </w:tc>
        <w:tc>
          <w:tcPr>
            <w:tcW w:w="0" w:type="auto"/>
            <w:tcBorders>
              <w:bottom w:val="single" w:sz="2" w:space="0" w:color="A6A6A6" w:themeColor="background1" w:themeShade="A6"/>
            </w:tcBorders>
            <w:shd w:val="clear" w:color="auto" w:fill="auto"/>
            <w:noWrap/>
            <w:tcMar>
              <w:top w:w="15" w:type="dxa"/>
              <w:left w:w="15" w:type="dxa"/>
              <w:bottom w:w="0" w:type="dxa"/>
              <w:right w:w="15" w:type="dxa"/>
            </w:tcMar>
            <w:vAlign w:val="center"/>
            <w:hideMark/>
          </w:tcPr>
          <w:p w14:paraId="45F3E51F" w14:textId="77777777" w:rsidR="007336DC" w:rsidRPr="00FD5358" w:rsidRDefault="007336DC" w:rsidP="007727C2">
            <w:pPr>
              <w:spacing w:after="0" w:line="240" w:lineRule="auto"/>
              <w:jc w:val="right"/>
              <w:rPr>
                <w:rFonts w:cs="Arial"/>
                <w:sz w:val="15"/>
                <w:szCs w:val="15"/>
              </w:rPr>
            </w:pPr>
          </w:p>
        </w:tc>
        <w:tc>
          <w:tcPr>
            <w:tcW w:w="0" w:type="auto"/>
            <w:tcBorders>
              <w:bottom w:val="single" w:sz="2" w:space="0" w:color="A6A6A6" w:themeColor="background1" w:themeShade="A6"/>
            </w:tcBorders>
            <w:shd w:val="clear" w:color="auto" w:fill="auto"/>
            <w:noWrap/>
            <w:tcMar>
              <w:top w:w="15" w:type="dxa"/>
              <w:left w:w="15" w:type="dxa"/>
              <w:bottom w:w="0" w:type="dxa"/>
              <w:right w:w="15" w:type="dxa"/>
            </w:tcMar>
            <w:vAlign w:val="center"/>
            <w:hideMark/>
          </w:tcPr>
          <w:p w14:paraId="38A9B2CD" w14:textId="77777777" w:rsidR="007336DC" w:rsidRPr="00FD5358" w:rsidRDefault="007336DC" w:rsidP="007727C2">
            <w:pPr>
              <w:spacing w:after="0" w:line="240" w:lineRule="auto"/>
              <w:jc w:val="right"/>
              <w:rPr>
                <w:rFonts w:cs="Arial"/>
                <w:sz w:val="15"/>
                <w:szCs w:val="15"/>
              </w:rPr>
            </w:pPr>
            <w:r w:rsidRPr="00FD5358">
              <w:rPr>
                <w:rFonts w:cs="Arial"/>
                <w:sz w:val="15"/>
                <w:szCs w:val="15"/>
              </w:rPr>
              <w:t>5.312,40</w:t>
            </w:r>
          </w:p>
        </w:tc>
        <w:tc>
          <w:tcPr>
            <w:tcW w:w="0" w:type="auto"/>
            <w:tcBorders>
              <w:bottom w:val="single" w:sz="2" w:space="0" w:color="A6A6A6" w:themeColor="background1" w:themeShade="A6"/>
            </w:tcBorders>
            <w:shd w:val="clear" w:color="auto" w:fill="auto"/>
            <w:noWrap/>
            <w:tcMar>
              <w:top w:w="15" w:type="dxa"/>
              <w:left w:w="15" w:type="dxa"/>
              <w:bottom w:w="0" w:type="dxa"/>
              <w:right w:w="15" w:type="dxa"/>
            </w:tcMar>
            <w:vAlign w:val="center"/>
            <w:hideMark/>
          </w:tcPr>
          <w:p w14:paraId="613D2276" w14:textId="77777777" w:rsidR="007336DC" w:rsidRPr="00FD5358" w:rsidRDefault="007336DC" w:rsidP="007727C2">
            <w:pPr>
              <w:spacing w:after="0" w:line="240" w:lineRule="auto"/>
              <w:jc w:val="right"/>
              <w:rPr>
                <w:rFonts w:cs="Arial"/>
                <w:sz w:val="15"/>
                <w:szCs w:val="15"/>
              </w:rPr>
            </w:pPr>
          </w:p>
        </w:tc>
        <w:tc>
          <w:tcPr>
            <w:tcW w:w="0" w:type="auto"/>
            <w:tcBorders>
              <w:bottom w:val="single" w:sz="2" w:space="0" w:color="A6A6A6" w:themeColor="background1" w:themeShade="A6"/>
            </w:tcBorders>
            <w:shd w:val="clear" w:color="auto" w:fill="auto"/>
            <w:noWrap/>
            <w:tcMar>
              <w:top w:w="15" w:type="dxa"/>
              <w:left w:w="15" w:type="dxa"/>
              <w:bottom w:w="0" w:type="dxa"/>
              <w:right w:w="15" w:type="dxa"/>
            </w:tcMar>
            <w:vAlign w:val="center"/>
            <w:hideMark/>
          </w:tcPr>
          <w:p w14:paraId="015FE75B" w14:textId="77777777" w:rsidR="007336DC" w:rsidRPr="00FD5358" w:rsidRDefault="007336DC" w:rsidP="007727C2">
            <w:pPr>
              <w:spacing w:after="0" w:line="240" w:lineRule="auto"/>
              <w:jc w:val="right"/>
              <w:rPr>
                <w:rFonts w:cs="Arial"/>
                <w:sz w:val="15"/>
                <w:szCs w:val="15"/>
              </w:rPr>
            </w:pPr>
          </w:p>
        </w:tc>
        <w:tc>
          <w:tcPr>
            <w:tcW w:w="0" w:type="auto"/>
            <w:tcBorders>
              <w:bottom w:val="single" w:sz="2" w:space="0" w:color="A6A6A6" w:themeColor="background1" w:themeShade="A6"/>
            </w:tcBorders>
            <w:shd w:val="clear" w:color="auto" w:fill="auto"/>
            <w:noWrap/>
            <w:tcMar>
              <w:top w:w="15" w:type="dxa"/>
              <w:left w:w="15" w:type="dxa"/>
              <w:bottom w:w="0" w:type="dxa"/>
              <w:right w:w="15" w:type="dxa"/>
            </w:tcMar>
            <w:vAlign w:val="center"/>
            <w:hideMark/>
          </w:tcPr>
          <w:p w14:paraId="573B4368" w14:textId="77777777" w:rsidR="007336DC" w:rsidRPr="00FD5358" w:rsidRDefault="007336DC" w:rsidP="007727C2">
            <w:pPr>
              <w:spacing w:after="0" w:line="240" w:lineRule="auto"/>
              <w:jc w:val="right"/>
              <w:rPr>
                <w:rFonts w:cs="Arial"/>
                <w:sz w:val="15"/>
                <w:szCs w:val="15"/>
              </w:rPr>
            </w:pPr>
          </w:p>
        </w:tc>
        <w:tc>
          <w:tcPr>
            <w:tcW w:w="0" w:type="auto"/>
            <w:tcBorders>
              <w:bottom w:val="single" w:sz="2" w:space="0" w:color="A6A6A6" w:themeColor="background1" w:themeShade="A6"/>
            </w:tcBorders>
            <w:shd w:val="clear" w:color="auto" w:fill="auto"/>
            <w:noWrap/>
            <w:tcMar>
              <w:top w:w="15" w:type="dxa"/>
              <w:left w:w="15" w:type="dxa"/>
              <w:bottom w:w="0" w:type="dxa"/>
              <w:right w:w="15" w:type="dxa"/>
            </w:tcMar>
            <w:vAlign w:val="center"/>
            <w:hideMark/>
          </w:tcPr>
          <w:p w14:paraId="1795D336"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tcBorders>
              <w:bottom w:val="single" w:sz="2" w:space="0" w:color="A6A6A6" w:themeColor="background1" w:themeShade="A6"/>
            </w:tcBorders>
            <w:shd w:val="clear" w:color="auto" w:fill="auto"/>
            <w:noWrap/>
            <w:tcMar>
              <w:top w:w="15" w:type="dxa"/>
              <w:left w:w="15" w:type="dxa"/>
              <w:bottom w:w="0" w:type="dxa"/>
              <w:right w:w="15" w:type="dxa"/>
            </w:tcMar>
            <w:vAlign w:val="center"/>
            <w:hideMark/>
          </w:tcPr>
          <w:p w14:paraId="69D4892B"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tcBorders>
              <w:bottom w:val="single" w:sz="2" w:space="0" w:color="A6A6A6" w:themeColor="background1" w:themeShade="A6"/>
            </w:tcBorders>
            <w:shd w:val="clear" w:color="auto" w:fill="auto"/>
            <w:noWrap/>
            <w:tcMar>
              <w:top w:w="15" w:type="dxa"/>
              <w:left w:w="15" w:type="dxa"/>
              <w:bottom w:w="0" w:type="dxa"/>
              <w:right w:w="15" w:type="dxa"/>
            </w:tcMar>
            <w:vAlign w:val="center"/>
            <w:hideMark/>
          </w:tcPr>
          <w:p w14:paraId="199F2C90" w14:textId="77777777" w:rsidR="007336DC" w:rsidRPr="00FD5358" w:rsidRDefault="007336DC" w:rsidP="007727C2">
            <w:pPr>
              <w:spacing w:after="0" w:line="240" w:lineRule="auto"/>
              <w:jc w:val="right"/>
              <w:rPr>
                <w:rFonts w:cs="Arial"/>
                <w:sz w:val="15"/>
                <w:szCs w:val="15"/>
              </w:rPr>
            </w:pPr>
            <w:r w:rsidRPr="00FD5358">
              <w:rPr>
                <w:rFonts w:cs="Arial"/>
                <w:sz w:val="15"/>
                <w:szCs w:val="15"/>
              </w:rPr>
              <w:t>0,0</w:t>
            </w:r>
          </w:p>
        </w:tc>
        <w:tc>
          <w:tcPr>
            <w:tcW w:w="0" w:type="auto"/>
            <w:tcBorders>
              <w:bottom w:val="single" w:sz="2" w:space="0" w:color="A6A6A6" w:themeColor="background1" w:themeShade="A6"/>
            </w:tcBorders>
            <w:shd w:val="clear" w:color="auto" w:fill="auto"/>
            <w:noWrap/>
            <w:tcMar>
              <w:top w:w="15" w:type="dxa"/>
              <w:left w:w="15" w:type="dxa"/>
              <w:bottom w:w="0" w:type="dxa"/>
              <w:right w:w="15" w:type="dxa"/>
            </w:tcMar>
            <w:vAlign w:val="center"/>
            <w:hideMark/>
          </w:tcPr>
          <w:p w14:paraId="0A7D400C"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5.312,40</w:t>
            </w:r>
          </w:p>
        </w:tc>
        <w:tc>
          <w:tcPr>
            <w:tcW w:w="0" w:type="auto"/>
            <w:tcBorders>
              <w:bottom w:val="single" w:sz="2" w:space="0" w:color="A6A6A6" w:themeColor="background1" w:themeShade="A6"/>
            </w:tcBorders>
            <w:shd w:val="clear" w:color="auto" w:fill="auto"/>
            <w:noWrap/>
            <w:tcMar>
              <w:top w:w="15" w:type="dxa"/>
              <w:left w:w="15" w:type="dxa"/>
              <w:bottom w:w="0" w:type="dxa"/>
              <w:right w:w="15" w:type="dxa"/>
            </w:tcMar>
            <w:vAlign w:val="center"/>
            <w:hideMark/>
          </w:tcPr>
          <w:p w14:paraId="020EB486"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1,32%</w:t>
            </w:r>
          </w:p>
        </w:tc>
      </w:tr>
      <w:tr w:rsidR="007336DC" w:rsidRPr="00FD5358" w14:paraId="2B0E8474" w14:textId="77777777" w:rsidTr="001D5063">
        <w:trPr>
          <w:cantSplit/>
          <w:trHeight w:val="227"/>
          <w:jc w:val="center"/>
        </w:trPr>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1A2BB469" w14:textId="77777777" w:rsidR="007336DC" w:rsidRPr="00FD5358" w:rsidRDefault="007336DC" w:rsidP="007727C2">
            <w:pPr>
              <w:spacing w:after="0" w:line="240" w:lineRule="auto"/>
              <w:jc w:val="left"/>
              <w:rPr>
                <w:rFonts w:cs="Arial"/>
                <w:b/>
                <w:bCs/>
                <w:sz w:val="15"/>
                <w:szCs w:val="15"/>
              </w:rPr>
            </w:pPr>
            <w:r w:rsidRPr="00FD5358">
              <w:rPr>
                <w:rFonts w:cs="Arial"/>
                <w:b/>
                <w:bCs/>
                <w:sz w:val="15"/>
                <w:szCs w:val="15"/>
              </w:rPr>
              <w:t>Σύνολο</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19B4F329"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8.080,27</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4DE11A0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52.391,49</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4FAFCA6E"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100.752,74</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25F5BE52"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31.605,00</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5F9319E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125.695,19</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29553252"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59.408,47</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44783C3F"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6.165,00</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53AC092A"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11.401,81</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09E866A7"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6.562,10</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33B6D8B4"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124,73</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08A44889"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13,71</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217F6CC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402.200,52</w:t>
            </w:r>
          </w:p>
        </w:tc>
        <w:tc>
          <w:tcPr>
            <w:tcW w:w="0" w:type="auto"/>
            <w:tcBorders>
              <w:top w:val="single" w:sz="2" w:space="0" w:color="A6A6A6" w:themeColor="background1" w:themeShade="A6"/>
              <w:bottom w:val="single" w:sz="2" w:space="0" w:color="A6A6A6" w:themeColor="background1" w:themeShade="A6"/>
            </w:tcBorders>
            <w:shd w:val="clear" w:color="000000" w:fill="D5DCE4"/>
            <w:noWrap/>
            <w:tcMar>
              <w:top w:w="15" w:type="dxa"/>
              <w:left w:w="15" w:type="dxa"/>
              <w:bottom w:w="0" w:type="dxa"/>
              <w:right w:w="15" w:type="dxa"/>
            </w:tcMar>
            <w:vAlign w:val="center"/>
            <w:hideMark/>
          </w:tcPr>
          <w:p w14:paraId="307C4923" w14:textId="77777777" w:rsidR="007336DC" w:rsidRPr="00FD5358" w:rsidRDefault="007336DC" w:rsidP="007727C2">
            <w:pPr>
              <w:spacing w:after="0" w:line="240" w:lineRule="auto"/>
              <w:jc w:val="right"/>
              <w:rPr>
                <w:rFonts w:cs="Arial"/>
                <w:b/>
                <w:bCs/>
                <w:sz w:val="15"/>
                <w:szCs w:val="15"/>
              </w:rPr>
            </w:pPr>
            <w:r w:rsidRPr="00FD5358">
              <w:rPr>
                <w:rFonts w:cs="Arial"/>
                <w:b/>
                <w:bCs/>
                <w:sz w:val="15"/>
                <w:szCs w:val="15"/>
              </w:rPr>
              <w:t>100,00%</w:t>
            </w:r>
          </w:p>
        </w:tc>
      </w:tr>
      <w:tr w:rsidR="00FC3D47" w:rsidRPr="009623EE" w14:paraId="42EFEB87" w14:textId="77777777" w:rsidTr="001D5063">
        <w:trPr>
          <w:cantSplit/>
          <w:trHeight w:val="227"/>
          <w:jc w:val="center"/>
        </w:trPr>
        <w:tc>
          <w:tcPr>
            <w:tcW w:w="0" w:type="auto"/>
            <w:gridSpan w:val="14"/>
            <w:tcBorders>
              <w:top w:val="single" w:sz="2" w:space="0" w:color="A6A6A6" w:themeColor="background1" w:themeShade="A6"/>
              <w:left w:val="nil"/>
              <w:bottom w:val="nil"/>
              <w:right w:val="nil"/>
            </w:tcBorders>
            <w:shd w:val="clear" w:color="auto" w:fill="auto"/>
            <w:noWrap/>
            <w:tcMar>
              <w:top w:w="15" w:type="dxa"/>
              <w:left w:w="15" w:type="dxa"/>
              <w:bottom w:w="0" w:type="dxa"/>
              <w:right w:w="15" w:type="dxa"/>
            </w:tcMar>
            <w:vAlign w:val="center"/>
          </w:tcPr>
          <w:p w14:paraId="6B8E08AE" w14:textId="0917A008" w:rsidR="00FC3D47" w:rsidRPr="009623EE" w:rsidRDefault="009623EE" w:rsidP="00E6308E">
            <w:pPr>
              <w:spacing w:before="60" w:after="0" w:line="276" w:lineRule="auto"/>
              <w:rPr>
                <w:rFonts w:cs="Arial"/>
                <w:bCs/>
                <w:sz w:val="16"/>
                <w:szCs w:val="15"/>
              </w:rPr>
            </w:pPr>
            <w:r w:rsidRPr="009623EE">
              <w:rPr>
                <w:rFonts w:cs="Arial"/>
                <w:bCs/>
                <w:sz w:val="16"/>
                <w:szCs w:val="15"/>
              </w:rPr>
              <w:t>Πηγή: ΟΔΔΗΧ</w:t>
            </w:r>
          </w:p>
        </w:tc>
      </w:tr>
    </w:tbl>
    <w:p w14:paraId="78B6463B" w14:textId="7F6978B5" w:rsidR="0050213E" w:rsidRPr="00996C76" w:rsidRDefault="00197AA2" w:rsidP="009069F4">
      <w:pPr>
        <w:pStyle w:val="afe"/>
        <w:keepNext/>
        <w:tabs>
          <w:tab w:val="center" w:pos="4535"/>
        </w:tabs>
        <w:spacing w:before="240" w:after="60" w:line="276" w:lineRule="auto"/>
      </w:pPr>
      <w:bookmarkStart w:id="706" w:name="_Ref213342568"/>
      <w:bookmarkStart w:id="707" w:name="_Toc214474883"/>
      <w:r w:rsidRPr="00996C76">
        <w:rPr>
          <w:sz w:val="18"/>
          <w:szCs w:val="18"/>
        </w:rPr>
        <w:lastRenderedPageBreak/>
        <w:t>Διάγραμμα 4.</w:t>
      </w:r>
      <w:r w:rsidR="00962DE1" w:rsidRPr="00996C76">
        <w:rPr>
          <w:sz w:val="18"/>
          <w:szCs w:val="18"/>
        </w:rPr>
        <w:fldChar w:fldCharType="begin"/>
      </w:r>
      <w:r w:rsidR="00962DE1" w:rsidRPr="00996C76">
        <w:rPr>
          <w:sz w:val="18"/>
          <w:szCs w:val="18"/>
        </w:rPr>
        <w:instrText xml:space="preserve"> SEQ Διάγραμμα_4. \* ARABIC </w:instrText>
      </w:r>
      <w:r w:rsidR="00962DE1" w:rsidRPr="00996C76">
        <w:rPr>
          <w:sz w:val="18"/>
          <w:szCs w:val="18"/>
        </w:rPr>
        <w:fldChar w:fldCharType="separate"/>
      </w:r>
      <w:r w:rsidR="00E15678">
        <w:rPr>
          <w:noProof/>
          <w:sz w:val="18"/>
          <w:szCs w:val="18"/>
        </w:rPr>
        <w:t>1</w:t>
      </w:r>
      <w:r w:rsidR="00962DE1" w:rsidRPr="00996C76">
        <w:rPr>
          <w:sz w:val="18"/>
          <w:szCs w:val="18"/>
        </w:rPr>
        <w:fldChar w:fldCharType="end"/>
      </w:r>
      <w:bookmarkEnd w:id="704"/>
      <w:bookmarkEnd w:id="706"/>
      <w:r w:rsidRPr="00996C76">
        <w:rPr>
          <w:sz w:val="18"/>
          <w:szCs w:val="18"/>
        </w:rPr>
        <w:t>.: Χρονοδιάγραμμα λήξης</w:t>
      </w:r>
      <w:r w:rsidR="001B5D2B">
        <w:rPr>
          <w:sz w:val="18"/>
          <w:szCs w:val="18"/>
        </w:rPr>
        <w:t xml:space="preserve"> του</w:t>
      </w:r>
      <w:r w:rsidRPr="00996C76">
        <w:rPr>
          <w:sz w:val="18"/>
          <w:szCs w:val="18"/>
        </w:rPr>
        <w:t xml:space="preserve"> χρέους της Κεντρικής Διοίκησης </w:t>
      </w:r>
      <w:r w:rsidR="003721F5">
        <w:rPr>
          <w:sz w:val="18"/>
          <w:szCs w:val="18"/>
        </w:rPr>
        <w:t>την</w:t>
      </w:r>
      <w:r w:rsidRPr="00996C76">
        <w:rPr>
          <w:sz w:val="18"/>
          <w:szCs w:val="18"/>
        </w:rPr>
        <w:t xml:space="preserve"> 30</w:t>
      </w:r>
      <w:r w:rsidR="003721F5">
        <w:rPr>
          <w:sz w:val="18"/>
          <w:szCs w:val="18"/>
        </w:rPr>
        <w:t>η</w:t>
      </w:r>
      <w:r w:rsidR="00594CC4" w:rsidRPr="00996C76">
        <w:rPr>
          <w:sz w:val="18"/>
          <w:szCs w:val="18"/>
        </w:rPr>
        <w:t>.</w:t>
      </w:r>
      <w:r w:rsidRPr="00996C76">
        <w:rPr>
          <w:sz w:val="18"/>
          <w:szCs w:val="18"/>
        </w:rPr>
        <w:t>9</w:t>
      </w:r>
      <w:r w:rsidR="00594CC4" w:rsidRPr="00996C76">
        <w:rPr>
          <w:sz w:val="18"/>
          <w:szCs w:val="18"/>
        </w:rPr>
        <w:t>.</w:t>
      </w:r>
      <w:r w:rsidRPr="00996C76">
        <w:rPr>
          <w:sz w:val="18"/>
          <w:szCs w:val="18"/>
        </w:rPr>
        <w:t>202</w:t>
      </w:r>
      <w:r w:rsidR="00A63A47" w:rsidRPr="00996C76">
        <w:rPr>
          <w:sz w:val="18"/>
          <w:szCs w:val="18"/>
        </w:rPr>
        <w:t>5</w:t>
      </w:r>
      <w:r w:rsidRPr="00996C76">
        <w:rPr>
          <w:sz w:val="18"/>
          <w:szCs w:val="18"/>
        </w:rPr>
        <w:t xml:space="preserve"> (σε εκατ. ευρώ)</w:t>
      </w:r>
      <w:bookmarkEnd w:id="705"/>
      <w:bookmarkEnd w:id="707"/>
    </w:p>
    <w:p w14:paraId="404E0C9E" w14:textId="5FD31C99" w:rsidR="0050213E" w:rsidRDefault="0050213E" w:rsidP="006B60DE">
      <w:pPr>
        <w:spacing w:after="0"/>
        <w:jc w:val="center"/>
        <w:rPr>
          <w:highlight w:val="yellow"/>
        </w:rPr>
      </w:pPr>
      <w:r>
        <w:rPr>
          <w:noProof/>
        </w:rPr>
        <w:drawing>
          <wp:inline distT="0" distB="0" distL="0" distR="0" wp14:anchorId="40FD0238" wp14:editId="21DBB839">
            <wp:extent cx="5759450" cy="2670048"/>
            <wp:effectExtent l="0" t="0" r="12700" b="16510"/>
            <wp:docPr id="5" name="Γράφημα 5">
              <a:extLst xmlns:a="http://schemas.openxmlformats.org/drawingml/2006/main">
                <a:ext uri="{FF2B5EF4-FFF2-40B4-BE49-F238E27FC236}">
                  <a16:creationId xmlns:a16="http://schemas.microsoft.com/office/drawing/2014/main" id="{27B9AF1B-CD7F-42FE-8941-54665562C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ECDD34E" w14:textId="0CA3508F" w:rsidR="006E26D4" w:rsidRPr="00AE64F9" w:rsidRDefault="006E26D4" w:rsidP="00550378">
      <w:pPr>
        <w:spacing w:before="240" w:after="240"/>
      </w:pPr>
      <w:r w:rsidRPr="006E26D4">
        <w:t>Στις 30</w:t>
      </w:r>
      <w:r w:rsidR="00B32173" w:rsidRPr="00B32173">
        <w:t>.</w:t>
      </w:r>
      <w:r w:rsidRPr="006E26D4">
        <w:t>9</w:t>
      </w:r>
      <w:r w:rsidR="00B32173" w:rsidRPr="00B32173">
        <w:t>.</w:t>
      </w:r>
      <w:r w:rsidRPr="006E26D4">
        <w:t xml:space="preserve">2025 το ύψος των Ομολόγων Εσωτερικού του Ελληνικού Δημοσίου αντιπροσώπευε το 24,6% του χρέους </w:t>
      </w:r>
      <w:r w:rsidR="009069F4">
        <w:t xml:space="preserve">της </w:t>
      </w:r>
      <w:r w:rsidRPr="006E26D4">
        <w:t>Κεντρικής Διοίκησης (έναντι 91% το 2009)</w:t>
      </w:r>
      <w:r w:rsidR="009069F4">
        <w:t>,</w:t>
      </w:r>
      <w:r w:rsidRPr="006E26D4">
        <w:t xml:space="preserve"> ενώ τα δάνεια τα οποία ελήφθησαν από τον Μηχανισμό Στήριξης αντιπροσώπευαν το 53,9% του χρέους</w:t>
      </w:r>
      <w:r w:rsidR="009069F4">
        <w:t xml:space="preserve"> της</w:t>
      </w:r>
      <w:r w:rsidRPr="006E26D4">
        <w:t xml:space="preserve"> Κεντρικής </w:t>
      </w:r>
      <w:r w:rsidRPr="00AE64F9">
        <w:t>Διοίκησης (</w:t>
      </w:r>
      <w:r w:rsidR="00F4006C" w:rsidRPr="00AE64F9">
        <w:fldChar w:fldCharType="begin"/>
      </w:r>
      <w:r w:rsidR="00F4006C" w:rsidRPr="00AE64F9">
        <w:instrText xml:space="preserve"> REF _Ref119254019 \h  \* MERGEFORMAT </w:instrText>
      </w:r>
      <w:r w:rsidR="00F4006C" w:rsidRPr="00AE64F9">
        <w:fldChar w:fldCharType="separate"/>
      </w:r>
      <w:r w:rsidR="00E15678" w:rsidRPr="00E15678">
        <w:t>Διάγραμμα 4.2</w:t>
      </w:r>
      <w:r w:rsidR="00F4006C" w:rsidRPr="00AE64F9">
        <w:fldChar w:fldCharType="end"/>
      </w:r>
      <w:r w:rsidR="00FE14D6" w:rsidRPr="00AE64F9">
        <w:t>.</w:t>
      </w:r>
      <w:r w:rsidRPr="00AE64F9">
        <w:t>).</w:t>
      </w:r>
    </w:p>
    <w:p w14:paraId="404F9C33" w14:textId="6B727A1F" w:rsidR="00197AA2" w:rsidRDefault="00197AA2" w:rsidP="006B60DE">
      <w:pPr>
        <w:pStyle w:val="afe"/>
        <w:keepNext/>
        <w:spacing w:after="60" w:line="276" w:lineRule="auto"/>
        <w:rPr>
          <w:sz w:val="18"/>
          <w:szCs w:val="18"/>
        </w:rPr>
      </w:pPr>
      <w:bookmarkStart w:id="708" w:name="_Ref119254019"/>
      <w:bookmarkStart w:id="709" w:name="_Toc214474884"/>
      <w:r w:rsidRPr="00F4006C">
        <w:rPr>
          <w:sz w:val="18"/>
          <w:szCs w:val="18"/>
        </w:rPr>
        <w:t>Διάγραμμα 4.</w:t>
      </w:r>
      <w:r w:rsidR="00962DE1" w:rsidRPr="00F4006C">
        <w:rPr>
          <w:sz w:val="18"/>
          <w:szCs w:val="18"/>
        </w:rPr>
        <w:fldChar w:fldCharType="begin"/>
      </w:r>
      <w:r w:rsidR="00962DE1" w:rsidRPr="00F4006C">
        <w:rPr>
          <w:sz w:val="18"/>
          <w:szCs w:val="18"/>
        </w:rPr>
        <w:instrText xml:space="preserve"> SEQ Διάγραμμα_4. \* ARABIC </w:instrText>
      </w:r>
      <w:r w:rsidR="00962DE1" w:rsidRPr="00F4006C">
        <w:rPr>
          <w:sz w:val="18"/>
          <w:szCs w:val="18"/>
        </w:rPr>
        <w:fldChar w:fldCharType="separate"/>
      </w:r>
      <w:r w:rsidR="00E15678">
        <w:rPr>
          <w:noProof/>
          <w:sz w:val="18"/>
          <w:szCs w:val="18"/>
        </w:rPr>
        <w:t>2</w:t>
      </w:r>
      <w:r w:rsidR="00962DE1" w:rsidRPr="00F4006C">
        <w:rPr>
          <w:sz w:val="18"/>
          <w:szCs w:val="18"/>
        </w:rPr>
        <w:fldChar w:fldCharType="end"/>
      </w:r>
      <w:bookmarkEnd w:id="708"/>
      <w:r w:rsidRPr="00F4006C">
        <w:rPr>
          <w:sz w:val="18"/>
          <w:szCs w:val="18"/>
        </w:rPr>
        <w:t xml:space="preserve">.: Σύνθεση </w:t>
      </w:r>
      <w:r w:rsidR="001B5D2B">
        <w:rPr>
          <w:sz w:val="18"/>
          <w:szCs w:val="18"/>
        </w:rPr>
        <w:t xml:space="preserve">του </w:t>
      </w:r>
      <w:r w:rsidRPr="00F4006C">
        <w:rPr>
          <w:sz w:val="18"/>
          <w:szCs w:val="18"/>
        </w:rPr>
        <w:t xml:space="preserve">χρέους </w:t>
      </w:r>
      <w:r w:rsidR="001B5D2B">
        <w:rPr>
          <w:sz w:val="18"/>
          <w:szCs w:val="18"/>
        </w:rPr>
        <w:t xml:space="preserve">της </w:t>
      </w:r>
      <w:r w:rsidRPr="00F4006C">
        <w:rPr>
          <w:sz w:val="18"/>
          <w:szCs w:val="18"/>
        </w:rPr>
        <w:t xml:space="preserve">Κεντρικής Διοίκησης </w:t>
      </w:r>
      <w:r w:rsidR="003721F5">
        <w:rPr>
          <w:sz w:val="18"/>
          <w:szCs w:val="18"/>
        </w:rPr>
        <w:t>την</w:t>
      </w:r>
      <w:r w:rsidRPr="00F4006C">
        <w:rPr>
          <w:sz w:val="18"/>
          <w:szCs w:val="18"/>
        </w:rPr>
        <w:t xml:space="preserve"> 30</w:t>
      </w:r>
      <w:r w:rsidR="003721F5">
        <w:rPr>
          <w:sz w:val="18"/>
          <w:szCs w:val="18"/>
        </w:rPr>
        <w:t>η</w:t>
      </w:r>
      <w:r w:rsidR="00594CC4" w:rsidRPr="00F4006C">
        <w:rPr>
          <w:sz w:val="18"/>
          <w:szCs w:val="18"/>
        </w:rPr>
        <w:t>.</w:t>
      </w:r>
      <w:r w:rsidRPr="00F4006C">
        <w:rPr>
          <w:sz w:val="18"/>
          <w:szCs w:val="18"/>
        </w:rPr>
        <w:t>9</w:t>
      </w:r>
      <w:r w:rsidR="00594CC4" w:rsidRPr="00F4006C">
        <w:rPr>
          <w:sz w:val="18"/>
          <w:szCs w:val="18"/>
        </w:rPr>
        <w:t>.</w:t>
      </w:r>
      <w:r w:rsidRPr="00F4006C">
        <w:rPr>
          <w:sz w:val="18"/>
          <w:szCs w:val="18"/>
        </w:rPr>
        <w:t>202</w:t>
      </w:r>
      <w:r w:rsidR="00550378" w:rsidRPr="00F4006C">
        <w:rPr>
          <w:sz w:val="18"/>
          <w:szCs w:val="18"/>
        </w:rPr>
        <w:t>5</w:t>
      </w:r>
      <w:bookmarkEnd w:id="709"/>
    </w:p>
    <w:p w14:paraId="3CC81E91" w14:textId="28DD0B1A" w:rsidR="00234784" w:rsidRDefault="005603D3" w:rsidP="00331F35">
      <w:pPr>
        <w:jc w:val="center"/>
      </w:pPr>
      <w:r>
        <w:rPr>
          <w:noProof/>
        </w:rPr>
        <w:drawing>
          <wp:inline distT="0" distB="0" distL="0" distR="0" wp14:anchorId="42FFB25F" wp14:editId="54FD2C2D">
            <wp:extent cx="5305425" cy="2721600"/>
            <wp:effectExtent l="0" t="0" r="9525" b="3175"/>
            <wp:docPr id="13" name="Γράφημα 13">
              <a:extLst xmlns:a="http://schemas.openxmlformats.org/drawingml/2006/main">
                <a:ext uri="{FF2B5EF4-FFF2-40B4-BE49-F238E27FC236}">
                  <a16:creationId xmlns:a16="http://schemas.microsoft.com/office/drawing/2014/main" id="{4D5DC7A5-8EBE-4E72-974D-993293F589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3EA521CC" w14:textId="13976834" w:rsidR="006E26D4" w:rsidRPr="00595D6B" w:rsidRDefault="006E26D4" w:rsidP="006B60DE">
      <w:pPr>
        <w:spacing w:before="240" w:after="240"/>
      </w:pPr>
      <w:r w:rsidRPr="00595D6B">
        <w:t>Η μέση υπολειπόμενη φυσική διάρκεια του χρέους της Κεντρικής Διοίκησης ήταν 6,3 έτη το 2011, ενώ στις 30</w:t>
      </w:r>
      <w:r w:rsidR="00B32173" w:rsidRPr="00B32173">
        <w:t>.</w:t>
      </w:r>
      <w:r w:rsidRPr="00595D6B">
        <w:t>9</w:t>
      </w:r>
      <w:r w:rsidR="00B32173" w:rsidRPr="00B32173">
        <w:t>.</w:t>
      </w:r>
      <w:r w:rsidRPr="00595D6B">
        <w:t>2025 έχει υπερδιπλασιαστεί και διαμορφώνεται σ</w:t>
      </w:r>
      <w:r w:rsidR="009069F4">
        <w:t>ε</w:t>
      </w:r>
      <w:r w:rsidRPr="00595D6B">
        <w:t xml:space="preserve"> 16,</w:t>
      </w:r>
      <w:r>
        <w:t>38</w:t>
      </w:r>
      <w:r w:rsidRPr="00595D6B">
        <w:t xml:space="preserve"> </w:t>
      </w:r>
      <w:r w:rsidRPr="00AE64F9">
        <w:t>έτη (</w:t>
      </w:r>
      <w:r w:rsidR="006348B7" w:rsidRPr="00AE64F9">
        <w:fldChar w:fldCharType="begin"/>
      </w:r>
      <w:r w:rsidR="006348B7" w:rsidRPr="00AE64F9">
        <w:instrText xml:space="preserve"> REF _Ref182655535 \h  \* MERGEFORMAT </w:instrText>
      </w:r>
      <w:r w:rsidR="006348B7" w:rsidRPr="00AE64F9">
        <w:fldChar w:fldCharType="separate"/>
      </w:r>
      <w:r w:rsidR="00E15678" w:rsidRPr="00E15678">
        <w:t>Πίνακας 4.5</w:t>
      </w:r>
      <w:r w:rsidR="006348B7" w:rsidRPr="00AE64F9">
        <w:fldChar w:fldCharType="end"/>
      </w:r>
      <w:r w:rsidR="006348B7" w:rsidRPr="00AE64F9">
        <w:t>.</w:t>
      </w:r>
      <w:r w:rsidRPr="00AE64F9">
        <w:t>).</w:t>
      </w:r>
    </w:p>
    <w:p w14:paraId="19E31A7C" w14:textId="77777777" w:rsidR="008C4A8D" w:rsidRDefault="008C4A8D">
      <w:pPr>
        <w:spacing w:after="0" w:line="240" w:lineRule="auto"/>
        <w:jc w:val="left"/>
        <w:rPr>
          <w:szCs w:val="20"/>
          <w:highlight w:val="cyan"/>
        </w:rPr>
      </w:pPr>
      <w:r>
        <w:rPr>
          <w:szCs w:val="20"/>
          <w:highlight w:val="cyan"/>
        </w:rPr>
        <w:br w:type="page"/>
      </w:r>
    </w:p>
    <w:tbl>
      <w:tblPr>
        <w:tblW w:w="7220"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1502"/>
        <w:gridCol w:w="3589"/>
        <w:gridCol w:w="2129"/>
      </w:tblGrid>
      <w:tr w:rsidR="009718EC" w:rsidRPr="00FD594B" w14:paraId="2843CBF1" w14:textId="77777777" w:rsidTr="00B727F7">
        <w:trPr>
          <w:cantSplit/>
          <w:trHeight w:val="340"/>
          <w:tblHeader/>
          <w:jc w:val="center"/>
        </w:trPr>
        <w:tc>
          <w:tcPr>
            <w:tcW w:w="7220" w:type="dxa"/>
            <w:gridSpan w:val="3"/>
            <w:tcBorders>
              <w:bottom w:val="nil"/>
            </w:tcBorders>
            <w:shd w:val="clear" w:color="000000" w:fill="D5DCE4"/>
            <w:vAlign w:val="center"/>
            <w:hideMark/>
          </w:tcPr>
          <w:p w14:paraId="275522FC" w14:textId="357292E1" w:rsidR="00C10AF2" w:rsidRDefault="009718EC" w:rsidP="00B727F7">
            <w:pPr>
              <w:spacing w:after="0" w:line="276" w:lineRule="auto"/>
              <w:jc w:val="center"/>
              <w:rPr>
                <w:rFonts w:cs="Arial"/>
                <w:b/>
                <w:bCs/>
                <w:sz w:val="18"/>
                <w:szCs w:val="18"/>
              </w:rPr>
            </w:pPr>
            <w:bookmarkStart w:id="710" w:name="_Ref182655535"/>
            <w:bookmarkStart w:id="711" w:name="_Toc214474111"/>
            <w:r w:rsidRPr="00304BA1">
              <w:rPr>
                <w:b/>
                <w:sz w:val="18"/>
                <w:szCs w:val="18"/>
              </w:rPr>
              <w:lastRenderedPageBreak/>
              <w:t>Πίνακας 4.</w:t>
            </w:r>
            <w:r w:rsidRPr="00304BA1">
              <w:rPr>
                <w:b/>
                <w:sz w:val="18"/>
                <w:szCs w:val="18"/>
              </w:rPr>
              <w:fldChar w:fldCharType="begin"/>
            </w:r>
            <w:r w:rsidRPr="00304BA1">
              <w:rPr>
                <w:b/>
                <w:sz w:val="18"/>
                <w:szCs w:val="18"/>
              </w:rPr>
              <w:instrText xml:space="preserve"> SEQ Πίνακας_4. \* ARABIC </w:instrText>
            </w:r>
            <w:r w:rsidRPr="00304BA1">
              <w:rPr>
                <w:b/>
                <w:sz w:val="18"/>
                <w:szCs w:val="18"/>
              </w:rPr>
              <w:fldChar w:fldCharType="separate"/>
            </w:r>
            <w:r w:rsidR="00E15678">
              <w:rPr>
                <w:b/>
                <w:noProof/>
                <w:sz w:val="18"/>
                <w:szCs w:val="18"/>
              </w:rPr>
              <w:t>5</w:t>
            </w:r>
            <w:r w:rsidRPr="00304BA1">
              <w:rPr>
                <w:b/>
                <w:sz w:val="18"/>
                <w:szCs w:val="18"/>
              </w:rPr>
              <w:fldChar w:fldCharType="end"/>
            </w:r>
            <w:bookmarkEnd w:id="710"/>
            <w:r w:rsidRPr="00304BA1">
              <w:rPr>
                <w:b/>
                <w:sz w:val="18"/>
                <w:szCs w:val="18"/>
              </w:rPr>
              <w:t>.</w:t>
            </w:r>
            <w:r w:rsidRPr="00304BA1">
              <w:rPr>
                <w:rFonts w:cs="Arial"/>
                <w:b/>
                <w:bCs/>
                <w:sz w:val="18"/>
                <w:szCs w:val="18"/>
              </w:rPr>
              <w:t>: Μέση υπολειπόμενη φυσική διάρκεια</w:t>
            </w:r>
            <w:r w:rsidR="00703696" w:rsidRPr="00304BA1">
              <w:rPr>
                <w:rFonts w:cs="Arial"/>
                <w:b/>
                <w:bCs/>
                <w:sz w:val="18"/>
                <w:szCs w:val="18"/>
              </w:rPr>
              <w:t xml:space="preserve"> </w:t>
            </w:r>
            <w:r w:rsidR="001B5D2B">
              <w:rPr>
                <w:rFonts w:cs="Arial"/>
                <w:b/>
                <w:bCs/>
                <w:sz w:val="18"/>
                <w:szCs w:val="18"/>
              </w:rPr>
              <w:t xml:space="preserve">του </w:t>
            </w:r>
            <w:r w:rsidRPr="00304BA1">
              <w:rPr>
                <w:rFonts w:cs="Arial"/>
                <w:b/>
                <w:bCs/>
                <w:sz w:val="18"/>
                <w:szCs w:val="18"/>
              </w:rPr>
              <w:t>χρέους</w:t>
            </w:r>
            <w:bookmarkEnd w:id="711"/>
          </w:p>
          <w:p w14:paraId="024EE8C0" w14:textId="5063FFB2" w:rsidR="009718EC" w:rsidRPr="00304BA1" w:rsidRDefault="001B5D2B" w:rsidP="00B727F7">
            <w:pPr>
              <w:spacing w:after="0" w:line="276" w:lineRule="auto"/>
              <w:jc w:val="center"/>
              <w:rPr>
                <w:rFonts w:cs="Arial"/>
                <w:b/>
                <w:bCs/>
                <w:sz w:val="18"/>
                <w:szCs w:val="18"/>
              </w:rPr>
            </w:pPr>
            <w:r>
              <w:rPr>
                <w:rFonts w:cs="Arial"/>
                <w:b/>
                <w:bCs/>
                <w:sz w:val="18"/>
                <w:szCs w:val="18"/>
              </w:rPr>
              <w:t xml:space="preserve">της </w:t>
            </w:r>
            <w:r w:rsidR="009718EC" w:rsidRPr="00304BA1">
              <w:rPr>
                <w:rFonts w:cs="Arial"/>
                <w:b/>
                <w:bCs/>
                <w:sz w:val="18"/>
                <w:szCs w:val="18"/>
              </w:rPr>
              <w:t>Κεντρικής Διοίκησης</w:t>
            </w:r>
          </w:p>
        </w:tc>
      </w:tr>
      <w:tr w:rsidR="009718EC" w:rsidRPr="009718EC" w14:paraId="64569706" w14:textId="77777777" w:rsidTr="00B727F7">
        <w:trPr>
          <w:cantSplit/>
          <w:trHeight w:val="283"/>
          <w:tblHeader/>
          <w:jc w:val="center"/>
        </w:trPr>
        <w:tc>
          <w:tcPr>
            <w:tcW w:w="1502" w:type="dxa"/>
            <w:vMerge w:val="restart"/>
            <w:tcBorders>
              <w:top w:val="nil"/>
              <w:bottom w:val="nil"/>
            </w:tcBorders>
            <w:shd w:val="clear" w:color="auto" w:fill="auto"/>
            <w:vAlign w:val="center"/>
            <w:hideMark/>
          </w:tcPr>
          <w:p w14:paraId="4BF3AD40" w14:textId="77777777" w:rsidR="009718EC" w:rsidRPr="009718EC" w:rsidRDefault="009718EC" w:rsidP="00B727F7">
            <w:pPr>
              <w:spacing w:after="0" w:line="276" w:lineRule="auto"/>
              <w:jc w:val="center"/>
              <w:rPr>
                <w:rFonts w:cs="Arial"/>
                <w:b/>
                <w:bCs/>
                <w:sz w:val="16"/>
                <w:szCs w:val="16"/>
              </w:rPr>
            </w:pPr>
            <w:r w:rsidRPr="009718EC">
              <w:rPr>
                <w:rFonts w:cs="Arial"/>
                <w:b/>
                <w:bCs/>
                <w:sz w:val="16"/>
                <w:szCs w:val="16"/>
              </w:rPr>
              <w:t>Ημερομηνία</w:t>
            </w:r>
          </w:p>
        </w:tc>
        <w:tc>
          <w:tcPr>
            <w:tcW w:w="5718" w:type="dxa"/>
            <w:gridSpan w:val="2"/>
            <w:tcBorders>
              <w:top w:val="nil"/>
              <w:bottom w:val="nil"/>
            </w:tcBorders>
            <w:shd w:val="clear" w:color="auto" w:fill="auto"/>
            <w:vAlign w:val="center"/>
            <w:hideMark/>
          </w:tcPr>
          <w:p w14:paraId="5E4A52C7" w14:textId="77777777" w:rsidR="009718EC" w:rsidRPr="009718EC" w:rsidRDefault="009718EC" w:rsidP="00B727F7">
            <w:pPr>
              <w:spacing w:after="0" w:line="276" w:lineRule="auto"/>
              <w:jc w:val="center"/>
              <w:rPr>
                <w:rFonts w:cs="Arial"/>
                <w:b/>
                <w:bCs/>
                <w:sz w:val="16"/>
                <w:szCs w:val="16"/>
              </w:rPr>
            </w:pPr>
            <w:r w:rsidRPr="009718EC">
              <w:rPr>
                <w:rFonts w:cs="Arial"/>
                <w:b/>
                <w:bCs/>
                <w:sz w:val="16"/>
                <w:szCs w:val="16"/>
              </w:rPr>
              <w:t xml:space="preserve">Μέση Διάρκεια σε έτη </w:t>
            </w:r>
          </w:p>
        </w:tc>
      </w:tr>
      <w:tr w:rsidR="00703696" w:rsidRPr="009718EC" w14:paraId="3783C172" w14:textId="77777777" w:rsidTr="00B727F7">
        <w:trPr>
          <w:cantSplit/>
          <w:trHeight w:val="283"/>
          <w:tblHeader/>
          <w:jc w:val="center"/>
        </w:trPr>
        <w:tc>
          <w:tcPr>
            <w:tcW w:w="1502" w:type="dxa"/>
            <w:vMerge/>
            <w:tcBorders>
              <w:top w:val="nil"/>
              <w:bottom w:val="single" w:sz="2" w:space="0" w:color="A6A6A6" w:themeColor="background1" w:themeShade="A6"/>
            </w:tcBorders>
            <w:vAlign w:val="center"/>
            <w:hideMark/>
          </w:tcPr>
          <w:p w14:paraId="68ECAF3F" w14:textId="77777777" w:rsidR="009718EC" w:rsidRPr="009718EC" w:rsidRDefault="009718EC" w:rsidP="00B727F7">
            <w:pPr>
              <w:spacing w:after="0" w:line="276" w:lineRule="auto"/>
              <w:jc w:val="left"/>
              <w:rPr>
                <w:rFonts w:cs="Arial"/>
                <w:b/>
                <w:bCs/>
                <w:sz w:val="16"/>
                <w:szCs w:val="16"/>
              </w:rPr>
            </w:pPr>
          </w:p>
        </w:tc>
        <w:tc>
          <w:tcPr>
            <w:tcW w:w="3589" w:type="dxa"/>
            <w:tcBorders>
              <w:top w:val="nil"/>
              <w:bottom w:val="single" w:sz="2" w:space="0" w:color="A6A6A6" w:themeColor="background1" w:themeShade="A6"/>
            </w:tcBorders>
            <w:shd w:val="clear" w:color="auto" w:fill="auto"/>
            <w:vAlign w:val="center"/>
            <w:hideMark/>
          </w:tcPr>
          <w:p w14:paraId="5B0BFD92" w14:textId="77777777" w:rsidR="009718EC" w:rsidRPr="009718EC" w:rsidRDefault="009718EC" w:rsidP="00B727F7">
            <w:pPr>
              <w:spacing w:after="0" w:line="276" w:lineRule="auto"/>
              <w:jc w:val="center"/>
              <w:rPr>
                <w:rFonts w:cs="Arial"/>
                <w:b/>
                <w:bCs/>
                <w:sz w:val="16"/>
                <w:szCs w:val="16"/>
              </w:rPr>
            </w:pPr>
            <w:r w:rsidRPr="009718EC">
              <w:rPr>
                <w:rFonts w:cs="Arial"/>
                <w:b/>
                <w:bCs/>
                <w:sz w:val="16"/>
                <w:szCs w:val="16"/>
              </w:rPr>
              <w:t>Διαπραγματεύσιμο χρέος πάνω από 1 έτος</w:t>
            </w:r>
          </w:p>
        </w:tc>
        <w:tc>
          <w:tcPr>
            <w:tcW w:w="2129" w:type="dxa"/>
            <w:tcBorders>
              <w:top w:val="nil"/>
              <w:bottom w:val="single" w:sz="2" w:space="0" w:color="A6A6A6" w:themeColor="background1" w:themeShade="A6"/>
            </w:tcBorders>
            <w:shd w:val="clear" w:color="auto" w:fill="auto"/>
            <w:vAlign w:val="center"/>
            <w:hideMark/>
          </w:tcPr>
          <w:p w14:paraId="760BA347" w14:textId="77777777" w:rsidR="009718EC" w:rsidRPr="009718EC" w:rsidRDefault="009718EC" w:rsidP="00B727F7">
            <w:pPr>
              <w:spacing w:after="0" w:line="276" w:lineRule="auto"/>
              <w:jc w:val="center"/>
              <w:rPr>
                <w:rFonts w:cs="Arial"/>
                <w:b/>
                <w:bCs/>
                <w:sz w:val="16"/>
                <w:szCs w:val="16"/>
              </w:rPr>
            </w:pPr>
            <w:r w:rsidRPr="009718EC">
              <w:rPr>
                <w:rFonts w:cs="Arial"/>
                <w:b/>
                <w:bCs/>
                <w:sz w:val="16"/>
                <w:szCs w:val="16"/>
              </w:rPr>
              <w:t>Συνολικό χρέος</w:t>
            </w:r>
          </w:p>
        </w:tc>
      </w:tr>
      <w:tr w:rsidR="006348B7" w:rsidRPr="006348B7" w14:paraId="79D07175" w14:textId="77777777" w:rsidTr="00B727F7">
        <w:trPr>
          <w:cantSplit/>
          <w:trHeight w:val="283"/>
          <w:jc w:val="center"/>
        </w:trPr>
        <w:tc>
          <w:tcPr>
            <w:tcW w:w="1502" w:type="dxa"/>
            <w:tcBorders>
              <w:top w:val="single" w:sz="2" w:space="0" w:color="A6A6A6" w:themeColor="background1" w:themeShade="A6"/>
            </w:tcBorders>
            <w:shd w:val="clear" w:color="auto" w:fill="auto"/>
            <w:vAlign w:val="center"/>
          </w:tcPr>
          <w:p w14:paraId="54A1068F" w14:textId="65170F39" w:rsidR="006348B7" w:rsidRPr="006348B7" w:rsidRDefault="006348B7" w:rsidP="00B727F7">
            <w:pPr>
              <w:spacing w:after="0" w:line="276" w:lineRule="auto"/>
              <w:jc w:val="center"/>
              <w:rPr>
                <w:rFonts w:cs="Arial"/>
                <w:sz w:val="16"/>
                <w:szCs w:val="16"/>
              </w:rPr>
            </w:pPr>
            <w:r w:rsidRPr="006348B7">
              <w:rPr>
                <w:rFonts w:cs="Arial"/>
                <w:sz w:val="16"/>
                <w:szCs w:val="16"/>
              </w:rPr>
              <w:t>31/12/2011</w:t>
            </w:r>
          </w:p>
        </w:tc>
        <w:tc>
          <w:tcPr>
            <w:tcW w:w="3589" w:type="dxa"/>
            <w:tcBorders>
              <w:top w:val="single" w:sz="2" w:space="0" w:color="A6A6A6" w:themeColor="background1" w:themeShade="A6"/>
            </w:tcBorders>
            <w:shd w:val="clear" w:color="auto" w:fill="auto"/>
            <w:vAlign w:val="center"/>
          </w:tcPr>
          <w:p w14:paraId="4085751D" w14:textId="0D0B9637" w:rsidR="006348B7" w:rsidRPr="006348B7" w:rsidRDefault="006348B7" w:rsidP="00B727F7">
            <w:pPr>
              <w:spacing w:after="0" w:line="276" w:lineRule="auto"/>
              <w:jc w:val="right"/>
              <w:rPr>
                <w:rFonts w:cs="Arial"/>
                <w:sz w:val="16"/>
                <w:szCs w:val="16"/>
              </w:rPr>
            </w:pPr>
            <w:r w:rsidRPr="006348B7">
              <w:rPr>
                <w:rFonts w:cs="Arial"/>
                <w:sz w:val="16"/>
                <w:szCs w:val="16"/>
              </w:rPr>
              <w:t>7,3</w:t>
            </w:r>
            <w:r w:rsidR="0084284B">
              <w:rPr>
                <w:rFonts w:cs="Arial"/>
                <w:sz w:val="16"/>
                <w:szCs w:val="16"/>
              </w:rPr>
              <w:t>0</w:t>
            </w:r>
          </w:p>
        </w:tc>
        <w:tc>
          <w:tcPr>
            <w:tcW w:w="2129" w:type="dxa"/>
            <w:tcBorders>
              <w:top w:val="single" w:sz="2" w:space="0" w:color="A6A6A6" w:themeColor="background1" w:themeShade="A6"/>
            </w:tcBorders>
            <w:shd w:val="clear" w:color="auto" w:fill="auto"/>
            <w:vAlign w:val="center"/>
          </w:tcPr>
          <w:p w14:paraId="5AEAB938" w14:textId="108E72E8" w:rsidR="006348B7" w:rsidRPr="006348B7" w:rsidRDefault="006348B7" w:rsidP="00B727F7">
            <w:pPr>
              <w:spacing w:after="0" w:line="276" w:lineRule="auto"/>
              <w:jc w:val="right"/>
              <w:rPr>
                <w:rFonts w:cs="Arial"/>
                <w:sz w:val="16"/>
                <w:szCs w:val="16"/>
              </w:rPr>
            </w:pPr>
            <w:r w:rsidRPr="006348B7">
              <w:rPr>
                <w:rFonts w:cs="Arial"/>
                <w:sz w:val="16"/>
                <w:szCs w:val="16"/>
              </w:rPr>
              <w:t>6,3</w:t>
            </w:r>
            <w:r w:rsidR="0084284B">
              <w:rPr>
                <w:rFonts w:cs="Arial"/>
                <w:sz w:val="16"/>
                <w:szCs w:val="16"/>
              </w:rPr>
              <w:t>0</w:t>
            </w:r>
          </w:p>
        </w:tc>
      </w:tr>
      <w:tr w:rsidR="006348B7" w:rsidRPr="006348B7" w14:paraId="2D0D5179" w14:textId="77777777" w:rsidTr="00B727F7">
        <w:trPr>
          <w:cantSplit/>
          <w:trHeight w:val="283"/>
          <w:jc w:val="center"/>
        </w:trPr>
        <w:tc>
          <w:tcPr>
            <w:tcW w:w="1502" w:type="dxa"/>
            <w:shd w:val="clear" w:color="auto" w:fill="auto"/>
            <w:vAlign w:val="center"/>
          </w:tcPr>
          <w:p w14:paraId="4C9D86B8" w14:textId="751EE5BA" w:rsidR="006348B7" w:rsidRPr="006348B7" w:rsidRDefault="006348B7" w:rsidP="00B727F7">
            <w:pPr>
              <w:spacing w:after="0" w:line="276" w:lineRule="auto"/>
              <w:jc w:val="center"/>
              <w:rPr>
                <w:rFonts w:cs="Arial"/>
                <w:sz w:val="16"/>
                <w:szCs w:val="16"/>
              </w:rPr>
            </w:pPr>
            <w:r w:rsidRPr="006348B7">
              <w:rPr>
                <w:rFonts w:cs="Arial"/>
                <w:sz w:val="16"/>
                <w:szCs w:val="16"/>
              </w:rPr>
              <w:t>31/12/2012</w:t>
            </w:r>
          </w:p>
        </w:tc>
        <w:tc>
          <w:tcPr>
            <w:tcW w:w="3589" w:type="dxa"/>
            <w:shd w:val="clear" w:color="auto" w:fill="auto"/>
            <w:vAlign w:val="center"/>
          </w:tcPr>
          <w:p w14:paraId="52462C5D" w14:textId="3D5FF919" w:rsidR="006348B7" w:rsidRPr="006348B7" w:rsidRDefault="006348B7" w:rsidP="00B727F7">
            <w:pPr>
              <w:spacing w:after="0" w:line="276" w:lineRule="auto"/>
              <w:jc w:val="right"/>
              <w:rPr>
                <w:rFonts w:cs="Arial"/>
                <w:sz w:val="16"/>
                <w:szCs w:val="16"/>
              </w:rPr>
            </w:pPr>
            <w:r w:rsidRPr="006348B7">
              <w:rPr>
                <w:rFonts w:cs="Arial"/>
                <w:sz w:val="16"/>
                <w:szCs w:val="16"/>
              </w:rPr>
              <w:t>9,43</w:t>
            </w:r>
          </w:p>
        </w:tc>
        <w:tc>
          <w:tcPr>
            <w:tcW w:w="2129" w:type="dxa"/>
            <w:shd w:val="clear" w:color="auto" w:fill="auto"/>
            <w:vAlign w:val="center"/>
          </w:tcPr>
          <w:p w14:paraId="6920DEB9" w14:textId="25E3F68C" w:rsidR="006348B7" w:rsidRPr="006348B7" w:rsidRDefault="006348B7" w:rsidP="00B727F7">
            <w:pPr>
              <w:spacing w:after="0" w:line="276" w:lineRule="auto"/>
              <w:jc w:val="right"/>
              <w:rPr>
                <w:rFonts w:cs="Arial"/>
                <w:sz w:val="16"/>
                <w:szCs w:val="16"/>
              </w:rPr>
            </w:pPr>
            <w:r w:rsidRPr="006348B7">
              <w:rPr>
                <w:rFonts w:cs="Arial"/>
                <w:sz w:val="16"/>
                <w:szCs w:val="16"/>
              </w:rPr>
              <w:t>15,29</w:t>
            </w:r>
          </w:p>
        </w:tc>
      </w:tr>
      <w:tr w:rsidR="006348B7" w:rsidRPr="006348B7" w14:paraId="7268D7A8" w14:textId="77777777" w:rsidTr="00B727F7">
        <w:trPr>
          <w:cantSplit/>
          <w:trHeight w:val="283"/>
          <w:jc w:val="center"/>
        </w:trPr>
        <w:tc>
          <w:tcPr>
            <w:tcW w:w="1502" w:type="dxa"/>
            <w:shd w:val="clear" w:color="auto" w:fill="auto"/>
            <w:vAlign w:val="center"/>
          </w:tcPr>
          <w:p w14:paraId="72FB68DE" w14:textId="357610C2" w:rsidR="006348B7" w:rsidRPr="006348B7" w:rsidRDefault="006348B7" w:rsidP="00B727F7">
            <w:pPr>
              <w:spacing w:after="0" w:line="276" w:lineRule="auto"/>
              <w:jc w:val="center"/>
              <w:rPr>
                <w:rFonts w:cs="Arial"/>
                <w:sz w:val="16"/>
                <w:szCs w:val="16"/>
              </w:rPr>
            </w:pPr>
            <w:r w:rsidRPr="006348B7">
              <w:rPr>
                <w:rFonts w:cs="Arial"/>
                <w:sz w:val="16"/>
                <w:szCs w:val="16"/>
              </w:rPr>
              <w:t>31/12/2013</w:t>
            </w:r>
          </w:p>
        </w:tc>
        <w:tc>
          <w:tcPr>
            <w:tcW w:w="3589" w:type="dxa"/>
            <w:shd w:val="clear" w:color="auto" w:fill="auto"/>
            <w:vAlign w:val="center"/>
          </w:tcPr>
          <w:p w14:paraId="31F30BA7" w14:textId="0D6DA94A" w:rsidR="006348B7" w:rsidRPr="006348B7" w:rsidRDefault="006348B7" w:rsidP="00B727F7">
            <w:pPr>
              <w:spacing w:after="0" w:line="276" w:lineRule="auto"/>
              <w:jc w:val="right"/>
              <w:rPr>
                <w:rFonts w:cs="Arial"/>
                <w:sz w:val="16"/>
                <w:szCs w:val="16"/>
              </w:rPr>
            </w:pPr>
            <w:r w:rsidRPr="006348B7">
              <w:rPr>
                <w:rFonts w:cs="Arial"/>
                <w:sz w:val="16"/>
                <w:szCs w:val="16"/>
              </w:rPr>
              <w:t>9,67</w:t>
            </w:r>
          </w:p>
        </w:tc>
        <w:tc>
          <w:tcPr>
            <w:tcW w:w="2129" w:type="dxa"/>
            <w:shd w:val="clear" w:color="auto" w:fill="auto"/>
            <w:vAlign w:val="center"/>
          </w:tcPr>
          <w:p w14:paraId="5412DB03" w14:textId="430421F2" w:rsidR="006348B7" w:rsidRPr="006348B7" w:rsidRDefault="006348B7" w:rsidP="00B727F7">
            <w:pPr>
              <w:spacing w:after="0" w:line="276" w:lineRule="auto"/>
              <w:jc w:val="right"/>
              <w:rPr>
                <w:rFonts w:cs="Arial"/>
                <w:sz w:val="16"/>
                <w:szCs w:val="16"/>
              </w:rPr>
            </w:pPr>
            <w:r w:rsidRPr="006348B7">
              <w:rPr>
                <w:rFonts w:cs="Arial"/>
                <w:sz w:val="16"/>
                <w:szCs w:val="16"/>
              </w:rPr>
              <w:t>16,02</w:t>
            </w:r>
          </w:p>
        </w:tc>
      </w:tr>
      <w:tr w:rsidR="006348B7" w:rsidRPr="006348B7" w14:paraId="71A313DC" w14:textId="77777777" w:rsidTr="00B727F7">
        <w:trPr>
          <w:cantSplit/>
          <w:trHeight w:val="283"/>
          <w:jc w:val="center"/>
        </w:trPr>
        <w:tc>
          <w:tcPr>
            <w:tcW w:w="1502" w:type="dxa"/>
            <w:shd w:val="clear" w:color="auto" w:fill="auto"/>
            <w:vAlign w:val="center"/>
          </w:tcPr>
          <w:p w14:paraId="3B263281" w14:textId="1097253F" w:rsidR="006348B7" w:rsidRPr="006348B7" w:rsidRDefault="006348B7" w:rsidP="00B727F7">
            <w:pPr>
              <w:spacing w:after="0" w:line="276" w:lineRule="auto"/>
              <w:jc w:val="center"/>
              <w:rPr>
                <w:rFonts w:cs="Arial"/>
                <w:sz w:val="16"/>
                <w:szCs w:val="16"/>
              </w:rPr>
            </w:pPr>
            <w:r w:rsidRPr="006348B7">
              <w:rPr>
                <w:rFonts w:cs="Arial"/>
                <w:sz w:val="16"/>
                <w:szCs w:val="16"/>
              </w:rPr>
              <w:t>31/12/2014</w:t>
            </w:r>
          </w:p>
        </w:tc>
        <w:tc>
          <w:tcPr>
            <w:tcW w:w="3589" w:type="dxa"/>
            <w:shd w:val="clear" w:color="auto" w:fill="auto"/>
            <w:vAlign w:val="center"/>
          </w:tcPr>
          <w:p w14:paraId="436C5D0C" w14:textId="117C9DAF" w:rsidR="006348B7" w:rsidRPr="006348B7" w:rsidRDefault="006348B7" w:rsidP="00B727F7">
            <w:pPr>
              <w:spacing w:after="0" w:line="276" w:lineRule="auto"/>
              <w:jc w:val="right"/>
              <w:rPr>
                <w:rFonts w:cs="Arial"/>
                <w:sz w:val="16"/>
                <w:szCs w:val="16"/>
              </w:rPr>
            </w:pPr>
            <w:r w:rsidRPr="006348B7">
              <w:rPr>
                <w:rFonts w:cs="Arial"/>
                <w:sz w:val="16"/>
                <w:szCs w:val="16"/>
              </w:rPr>
              <w:t>10,48</w:t>
            </w:r>
          </w:p>
        </w:tc>
        <w:tc>
          <w:tcPr>
            <w:tcW w:w="2129" w:type="dxa"/>
            <w:shd w:val="clear" w:color="auto" w:fill="auto"/>
            <w:vAlign w:val="center"/>
          </w:tcPr>
          <w:p w14:paraId="2F3A7B90" w14:textId="74B9F419" w:rsidR="006348B7" w:rsidRPr="006348B7" w:rsidRDefault="006348B7" w:rsidP="00B727F7">
            <w:pPr>
              <w:spacing w:after="0" w:line="276" w:lineRule="auto"/>
              <w:jc w:val="right"/>
              <w:rPr>
                <w:rFonts w:cs="Arial"/>
                <w:sz w:val="16"/>
                <w:szCs w:val="16"/>
              </w:rPr>
            </w:pPr>
            <w:r w:rsidRPr="006348B7">
              <w:rPr>
                <w:rFonts w:cs="Arial"/>
                <w:sz w:val="16"/>
                <w:szCs w:val="16"/>
              </w:rPr>
              <w:t>16,16</w:t>
            </w:r>
          </w:p>
        </w:tc>
      </w:tr>
      <w:tr w:rsidR="006348B7" w:rsidRPr="006348B7" w14:paraId="0E3E4E91" w14:textId="77777777" w:rsidTr="00B727F7">
        <w:trPr>
          <w:cantSplit/>
          <w:trHeight w:val="283"/>
          <w:jc w:val="center"/>
        </w:trPr>
        <w:tc>
          <w:tcPr>
            <w:tcW w:w="1502" w:type="dxa"/>
            <w:shd w:val="clear" w:color="auto" w:fill="auto"/>
            <w:vAlign w:val="center"/>
          </w:tcPr>
          <w:p w14:paraId="183DC2E1" w14:textId="1CD665C2" w:rsidR="006348B7" w:rsidRPr="006348B7" w:rsidRDefault="006348B7" w:rsidP="00B727F7">
            <w:pPr>
              <w:spacing w:after="0" w:line="276" w:lineRule="auto"/>
              <w:jc w:val="center"/>
              <w:rPr>
                <w:rFonts w:cs="Arial"/>
                <w:sz w:val="16"/>
                <w:szCs w:val="16"/>
              </w:rPr>
            </w:pPr>
            <w:r w:rsidRPr="006348B7">
              <w:rPr>
                <w:rFonts w:cs="Arial"/>
                <w:sz w:val="16"/>
                <w:szCs w:val="16"/>
              </w:rPr>
              <w:t>31/12/2015</w:t>
            </w:r>
          </w:p>
        </w:tc>
        <w:tc>
          <w:tcPr>
            <w:tcW w:w="3589" w:type="dxa"/>
            <w:shd w:val="clear" w:color="auto" w:fill="auto"/>
            <w:vAlign w:val="center"/>
          </w:tcPr>
          <w:p w14:paraId="1469F135" w14:textId="680A94EC" w:rsidR="006348B7" w:rsidRPr="006348B7" w:rsidRDefault="006348B7" w:rsidP="00B727F7">
            <w:pPr>
              <w:spacing w:after="0" w:line="276" w:lineRule="auto"/>
              <w:jc w:val="right"/>
              <w:rPr>
                <w:rFonts w:cs="Arial"/>
                <w:sz w:val="16"/>
                <w:szCs w:val="16"/>
              </w:rPr>
            </w:pPr>
            <w:r w:rsidRPr="006348B7">
              <w:rPr>
                <w:rFonts w:cs="Arial"/>
                <w:sz w:val="16"/>
                <w:szCs w:val="16"/>
              </w:rPr>
              <w:t>10,58</w:t>
            </w:r>
          </w:p>
        </w:tc>
        <w:tc>
          <w:tcPr>
            <w:tcW w:w="2129" w:type="dxa"/>
            <w:shd w:val="clear" w:color="auto" w:fill="auto"/>
            <w:vAlign w:val="center"/>
          </w:tcPr>
          <w:p w14:paraId="3F572BF6" w14:textId="79000C94" w:rsidR="006348B7" w:rsidRPr="006348B7" w:rsidRDefault="006348B7" w:rsidP="00B727F7">
            <w:pPr>
              <w:spacing w:after="0" w:line="276" w:lineRule="auto"/>
              <w:jc w:val="right"/>
              <w:rPr>
                <w:rFonts w:cs="Arial"/>
                <w:sz w:val="16"/>
                <w:szCs w:val="16"/>
              </w:rPr>
            </w:pPr>
            <w:r w:rsidRPr="006348B7">
              <w:rPr>
                <w:rFonts w:cs="Arial"/>
                <w:sz w:val="16"/>
                <w:szCs w:val="16"/>
              </w:rPr>
              <w:t>16,76</w:t>
            </w:r>
          </w:p>
        </w:tc>
      </w:tr>
      <w:tr w:rsidR="006348B7" w:rsidRPr="006348B7" w14:paraId="0AF2337C" w14:textId="77777777" w:rsidTr="00B727F7">
        <w:trPr>
          <w:cantSplit/>
          <w:trHeight w:val="283"/>
          <w:jc w:val="center"/>
        </w:trPr>
        <w:tc>
          <w:tcPr>
            <w:tcW w:w="1502" w:type="dxa"/>
            <w:shd w:val="clear" w:color="auto" w:fill="auto"/>
            <w:vAlign w:val="center"/>
          </w:tcPr>
          <w:p w14:paraId="0758CE1F" w14:textId="11EF8AB8" w:rsidR="006348B7" w:rsidRPr="006348B7" w:rsidRDefault="006348B7" w:rsidP="00B727F7">
            <w:pPr>
              <w:spacing w:after="0" w:line="276" w:lineRule="auto"/>
              <w:jc w:val="center"/>
              <w:rPr>
                <w:rFonts w:cs="Arial"/>
                <w:sz w:val="16"/>
                <w:szCs w:val="16"/>
              </w:rPr>
            </w:pPr>
            <w:r w:rsidRPr="006348B7">
              <w:rPr>
                <w:rFonts w:cs="Arial"/>
                <w:sz w:val="16"/>
                <w:szCs w:val="16"/>
              </w:rPr>
              <w:t>31/12/2016</w:t>
            </w:r>
          </w:p>
        </w:tc>
        <w:tc>
          <w:tcPr>
            <w:tcW w:w="3589" w:type="dxa"/>
            <w:shd w:val="clear" w:color="auto" w:fill="auto"/>
            <w:vAlign w:val="center"/>
          </w:tcPr>
          <w:p w14:paraId="74E82CA3" w14:textId="2DA97F8C" w:rsidR="006348B7" w:rsidRPr="006348B7" w:rsidRDefault="006348B7" w:rsidP="00B727F7">
            <w:pPr>
              <w:spacing w:after="0" w:line="276" w:lineRule="auto"/>
              <w:jc w:val="right"/>
              <w:rPr>
                <w:rFonts w:cs="Arial"/>
                <w:sz w:val="16"/>
                <w:szCs w:val="16"/>
              </w:rPr>
            </w:pPr>
            <w:r w:rsidRPr="006348B7">
              <w:rPr>
                <w:rFonts w:cs="Arial"/>
                <w:sz w:val="16"/>
                <w:szCs w:val="16"/>
              </w:rPr>
              <w:t>10,13</w:t>
            </w:r>
          </w:p>
        </w:tc>
        <w:tc>
          <w:tcPr>
            <w:tcW w:w="2129" w:type="dxa"/>
            <w:shd w:val="clear" w:color="auto" w:fill="auto"/>
            <w:vAlign w:val="center"/>
          </w:tcPr>
          <w:p w14:paraId="0A055DF5" w14:textId="041D5F89" w:rsidR="006348B7" w:rsidRPr="006348B7" w:rsidRDefault="006348B7" w:rsidP="00B727F7">
            <w:pPr>
              <w:spacing w:after="0" w:line="276" w:lineRule="auto"/>
              <w:jc w:val="right"/>
              <w:rPr>
                <w:rFonts w:cs="Arial"/>
                <w:sz w:val="16"/>
                <w:szCs w:val="16"/>
              </w:rPr>
            </w:pPr>
            <w:r w:rsidRPr="006348B7">
              <w:rPr>
                <w:rFonts w:cs="Arial"/>
                <w:sz w:val="16"/>
                <w:szCs w:val="16"/>
              </w:rPr>
              <w:t>16,6</w:t>
            </w:r>
            <w:r w:rsidR="00021908">
              <w:rPr>
                <w:rFonts w:cs="Arial"/>
                <w:sz w:val="16"/>
                <w:szCs w:val="16"/>
              </w:rPr>
              <w:t>0</w:t>
            </w:r>
          </w:p>
        </w:tc>
      </w:tr>
      <w:tr w:rsidR="006348B7" w:rsidRPr="006348B7" w14:paraId="37A6D31E" w14:textId="77777777" w:rsidTr="00B727F7">
        <w:trPr>
          <w:cantSplit/>
          <w:trHeight w:val="283"/>
          <w:jc w:val="center"/>
        </w:trPr>
        <w:tc>
          <w:tcPr>
            <w:tcW w:w="1502" w:type="dxa"/>
            <w:shd w:val="clear" w:color="auto" w:fill="auto"/>
            <w:vAlign w:val="center"/>
          </w:tcPr>
          <w:p w14:paraId="08ADC75C" w14:textId="3A4E395D" w:rsidR="006348B7" w:rsidRPr="006348B7" w:rsidRDefault="006348B7" w:rsidP="00B727F7">
            <w:pPr>
              <w:spacing w:after="0" w:line="276" w:lineRule="auto"/>
              <w:jc w:val="center"/>
              <w:rPr>
                <w:rFonts w:cs="Arial"/>
                <w:sz w:val="16"/>
                <w:szCs w:val="16"/>
              </w:rPr>
            </w:pPr>
            <w:r w:rsidRPr="006348B7">
              <w:rPr>
                <w:rFonts w:cs="Arial"/>
                <w:sz w:val="16"/>
                <w:szCs w:val="16"/>
              </w:rPr>
              <w:t>31/12/2017</w:t>
            </w:r>
          </w:p>
        </w:tc>
        <w:tc>
          <w:tcPr>
            <w:tcW w:w="3589" w:type="dxa"/>
            <w:shd w:val="clear" w:color="auto" w:fill="auto"/>
            <w:vAlign w:val="center"/>
          </w:tcPr>
          <w:p w14:paraId="0DC5C774" w14:textId="65FB740F" w:rsidR="006348B7" w:rsidRPr="006348B7" w:rsidRDefault="006348B7" w:rsidP="00B727F7">
            <w:pPr>
              <w:spacing w:after="0" w:line="276" w:lineRule="auto"/>
              <w:jc w:val="right"/>
              <w:rPr>
                <w:rFonts w:cs="Arial"/>
                <w:sz w:val="16"/>
                <w:szCs w:val="16"/>
              </w:rPr>
            </w:pPr>
            <w:r w:rsidRPr="006348B7">
              <w:rPr>
                <w:rFonts w:cs="Arial"/>
                <w:sz w:val="16"/>
                <w:szCs w:val="16"/>
              </w:rPr>
              <w:t>10,68</w:t>
            </w:r>
          </w:p>
        </w:tc>
        <w:tc>
          <w:tcPr>
            <w:tcW w:w="2129" w:type="dxa"/>
            <w:shd w:val="clear" w:color="auto" w:fill="auto"/>
            <w:vAlign w:val="center"/>
          </w:tcPr>
          <w:p w14:paraId="77815500" w14:textId="7AA04407" w:rsidR="006348B7" w:rsidRPr="006348B7" w:rsidRDefault="006348B7" w:rsidP="00B727F7">
            <w:pPr>
              <w:spacing w:after="0" w:line="276" w:lineRule="auto"/>
              <w:jc w:val="right"/>
              <w:rPr>
                <w:rFonts w:cs="Arial"/>
                <w:sz w:val="16"/>
                <w:szCs w:val="16"/>
              </w:rPr>
            </w:pPr>
            <w:r w:rsidRPr="006348B7">
              <w:rPr>
                <w:rFonts w:cs="Arial"/>
                <w:sz w:val="16"/>
                <w:szCs w:val="16"/>
              </w:rPr>
              <w:t>18,32</w:t>
            </w:r>
          </w:p>
        </w:tc>
      </w:tr>
      <w:tr w:rsidR="006348B7" w:rsidRPr="006348B7" w14:paraId="79DC3CFB" w14:textId="77777777" w:rsidTr="00B727F7">
        <w:trPr>
          <w:cantSplit/>
          <w:trHeight w:val="283"/>
          <w:jc w:val="center"/>
        </w:trPr>
        <w:tc>
          <w:tcPr>
            <w:tcW w:w="1502" w:type="dxa"/>
            <w:shd w:val="clear" w:color="auto" w:fill="auto"/>
            <w:vAlign w:val="center"/>
          </w:tcPr>
          <w:p w14:paraId="15FDF1F4" w14:textId="715EC5EA" w:rsidR="006348B7" w:rsidRPr="006348B7" w:rsidRDefault="006348B7" w:rsidP="00B727F7">
            <w:pPr>
              <w:spacing w:after="0" w:line="276" w:lineRule="auto"/>
              <w:jc w:val="center"/>
              <w:rPr>
                <w:rFonts w:cs="Arial"/>
                <w:sz w:val="16"/>
                <w:szCs w:val="16"/>
              </w:rPr>
            </w:pPr>
            <w:r w:rsidRPr="006348B7">
              <w:rPr>
                <w:rFonts w:cs="Arial"/>
                <w:sz w:val="16"/>
                <w:szCs w:val="16"/>
              </w:rPr>
              <w:t>31/12/2018</w:t>
            </w:r>
          </w:p>
        </w:tc>
        <w:tc>
          <w:tcPr>
            <w:tcW w:w="3589" w:type="dxa"/>
            <w:shd w:val="clear" w:color="auto" w:fill="auto"/>
            <w:vAlign w:val="center"/>
          </w:tcPr>
          <w:p w14:paraId="4A37DF21" w14:textId="5BDB8822" w:rsidR="006348B7" w:rsidRPr="006348B7" w:rsidRDefault="006348B7" w:rsidP="00B727F7">
            <w:pPr>
              <w:spacing w:after="0" w:line="276" w:lineRule="auto"/>
              <w:jc w:val="right"/>
              <w:rPr>
                <w:rFonts w:cs="Arial"/>
                <w:sz w:val="16"/>
                <w:szCs w:val="16"/>
              </w:rPr>
            </w:pPr>
            <w:r w:rsidRPr="006348B7">
              <w:rPr>
                <w:rFonts w:cs="Arial"/>
                <w:sz w:val="16"/>
                <w:szCs w:val="16"/>
              </w:rPr>
              <w:t>9,87</w:t>
            </w:r>
          </w:p>
        </w:tc>
        <w:tc>
          <w:tcPr>
            <w:tcW w:w="2129" w:type="dxa"/>
            <w:shd w:val="clear" w:color="auto" w:fill="auto"/>
            <w:vAlign w:val="center"/>
          </w:tcPr>
          <w:p w14:paraId="5C77C563" w14:textId="1002705F" w:rsidR="006348B7" w:rsidRPr="006348B7" w:rsidRDefault="006348B7" w:rsidP="00B727F7">
            <w:pPr>
              <w:spacing w:after="0" w:line="276" w:lineRule="auto"/>
              <w:jc w:val="right"/>
              <w:rPr>
                <w:rFonts w:cs="Arial"/>
                <w:sz w:val="16"/>
                <w:szCs w:val="16"/>
              </w:rPr>
            </w:pPr>
            <w:r w:rsidRPr="006348B7">
              <w:rPr>
                <w:rFonts w:cs="Arial"/>
                <w:sz w:val="16"/>
                <w:szCs w:val="16"/>
              </w:rPr>
              <w:t>18,17</w:t>
            </w:r>
          </w:p>
        </w:tc>
      </w:tr>
      <w:tr w:rsidR="006348B7" w:rsidRPr="006348B7" w14:paraId="28339AF3" w14:textId="77777777" w:rsidTr="00B727F7">
        <w:trPr>
          <w:cantSplit/>
          <w:trHeight w:val="283"/>
          <w:jc w:val="center"/>
        </w:trPr>
        <w:tc>
          <w:tcPr>
            <w:tcW w:w="1502" w:type="dxa"/>
            <w:shd w:val="clear" w:color="auto" w:fill="auto"/>
            <w:vAlign w:val="center"/>
          </w:tcPr>
          <w:p w14:paraId="111C571B" w14:textId="489DB531" w:rsidR="006348B7" w:rsidRPr="006348B7" w:rsidRDefault="006348B7" w:rsidP="00B727F7">
            <w:pPr>
              <w:spacing w:after="0" w:line="276" w:lineRule="auto"/>
              <w:jc w:val="center"/>
              <w:rPr>
                <w:rFonts w:cs="Arial"/>
                <w:sz w:val="16"/>
                <w:szCs w:val="16"/>
              </w:rPr>
            </w:pPr>
            <w:r w:rsidRPr="006348B7">
              <w:rPr>
                <w:rFonts w:cs="Arial"/>
                <w:sz w:val="16"/>
                <w:szCs w:val="16"/>
              </w:rPr>
              <w:t>31/12/2019</w:t>
            </w:r>
          </w:p>
        </w:tc>
        <w:tc>
          <w:tcPr>
            <w:tcW w:w="3589" w:type="dxa"/>
            <w:shd w:val="clear" w:color="auto" w:fill="auto"/>
            <w:vAlign w:val="center"/>
          </w:tcPr>
          <w:p w14:paraId="07466C45" w14:textId="75E6B879" w:rsidR="006348B7" w:rsidRPr="006348B7" w:rsidRDefault="006348B7" w:rsidP="00B727F7">
            <w:pPr>
              <w:spacing w:after="0" w:line="276" w:lineRule="auto"/>
              <w:jc w:val="right"/>
              <w:rPr>
                <w:rFonts w:cs="Arial"/>
                <w:sz w:val="16"/>
                <w:szCs w:val="16"/>
              </w:rPr>
            </w:pPr>
            <w:r w:rsidRPr="006348B7">
              <w:rPr>
                <w:rFonts w:cs="Arial"/>
                <w:sz w:val="16"/>
                <w:szCs w:val="16"/>
              </w:rPr>
              <w:t>9,8</w:t>
            </w:r>
            <w:r w:rsidR="00021908">
              <w:rPr>
                <w:rFonts w:cs="Arial"/>
                <w:sz w:val="16"/>
                <w:szCs w:val="16"/>
              </w:rPr>
              <w:t>0</w:t>
            </w:r>
          </w:p>
        </w:tc>
        <w:tc>
          <w:tcPr>
            <w:tcW w:w="2129" w:type="dxa"/>
            <w:shd w:val="clear" w:color="auto" w:fill="auto"/>
            <w:vAlign w:val="center"/>
          </w:tcPr>
          <w:p w14:paraId="33B45527" w14:textId="6F4F0293" w:rsidR="006348B7" w:rsidRPr="006348B7" w:rsidRDefault="006348B7" w:rsidP="00B727F7">
            <w:pPr>
              <w:spacing w:after="0" w:line="276" w:lineRule="auto"/>
              <w:jc w:val="right"/>
              <w:rPr>
                <w:rFonts w:cs="Arial"/>
                <w:sz w:val="16"/>
                <w:szCs w:val="16"/>
              </w:rPr>
            </w:pPr>
            <w:r w:rsidRPr="006348B7">
              <w:rPr>
                <w:rFonts w:cs="Arial"/>
                <w:sz w:val="16"/>
                <w:szCs w:val="16"/>
              </w:rPr>
              <w:t>20,53</w:t>
            </w:r>
          </w:p>
        </w:tc>
      </w:tr>
      <w:tr w:rsidR="006348B7" w:rsidRPr="006348B7" w14:paraId="026E4E73" w14:textId="77777777" w:rsidTr="00B727F7">
        <w:trPr>
          <w:cantSplit/>
          <w:trHeight w:val="283"/>
          <w:jc w:val="center"/>
        </w:trPr>
        <w:tc>
          <w:tcPr>
            <w:tcW w:w="1502" w:type="dxa"/>
            <w:shd w:val="clear" w:color="auto" w:fill="auto"/>
            <w:vAlign w:val="center"/>
          </w:tcPr>
          <w:p w14:paraId="5ECC37B0" w14:textId="4522ACED" w:rsidR="006348B7" w:rsidRPr="006348B7" w:rsidRDefault="006348B7" w:rsidP="00B727F7">
            <w:pPr>
              <w:spacing w:after="0" w:line="276" w:lineRule="auto"/>
              <w:jc w:val="center"/>
              <w:rPr>
                <w:rFonts w:cs="Arial"/>
                <w:sz w:val="16"/>
                <w:szCs w:val="16"/>
              </w:rPr>
            </w:pPr>
            <w:r w:rsidRPr="006348B7">
              <w:rPr>
                <w:rFonts w:cs="Arial"/>
                <w:sz w:val="16"/>
                <w:szCs w:val="16"/>
              </w:rPr>
              <w:t>31/12/2020</w:t>
            </w:r>
          </w:p>
        </w:tc>
        <w:tc>
          <w:tcPr>
            <w:tcW w:w="3589" w:type="dxa"/>
            <w:shd w:val="clear" w:color="auto" w:fill="auto"/>
            <w:vAlign w:val="center"/>
          </w:tcPr>
          <w:p w14:paraId="5B814BDA" w14:textId="5E50CCBF" w:rsidR="006348B7" w:rsidRPr="006348B7" w:rsidRDefault="006348B7" w:rsidP="00B727F7">
            <w:pPr>
              <w:spacing w:after="0" w:line="276" w:lineRule="auto"/>
              <w:jc w:val="right"/>
              <w:rPr>
                <w:rFonts w:cs="Arial"/>
                <w:sz w:val="16"/>
                <w:szCs w:val="16"/>
              </w:rPr>
            </w:pPr>
            <w:r w:rsidRPr="006348B7">
              <w:rPr>
                <w:rFonts w:cs="Arial"/>
                <w:sz w:val="16"/>
                <w:szCs w:val="16"/>
              </w:rPr>
              <w:t>10,74</w:t>
            </w:r>
          </w:p>
        </w:tc>
        <w:tc>
          <w:tcPr>
            <w:tcW w:w="2129" w:type="dxa"/>
            <w:shd w:val="clear" w:color="auto" w:fill="auto"/>
            <w:vAlign w:val="center"/>
          </w:tcPr>
          <w:p w14:paraId="0A47E023" w14:textId="5CCBB49F" w:rsidR="006348B7" w:rsidRPr="006348B7" w:rsidRDefault="006348B7" w:rsidP="00B727F7">
            <w:pPr>
              <w:spacing w:after="0" w:line="276" w:lineRule="auto"/>
              <w:jc w:val="right"/>
              <w:rPr>
                <w:rFonts w:cs="Arial"/>
                <w:sz w:val="16"/>
                <w:szCs w:val="16"/>
              </w:rPr>
            </w:pPr>
            <w:r w:rsidRPr="006348B7">
              <w:rPr>
                <w:rFonts w:cs="Arial"/>
                <w:sz w:val="16"/>
                <w:szCs w:val="16"/>
              </w:rPr>
              <w:t>19,43</w:t>
            </w:r>
          </w:p>
        </w:tc>
      </w:tr>
      <w:tr w:rsidR="006348B7" w:rsidRPr="006348B7" w14:paraId="2E1F87A0" w14:textId="77777777" w:rsidTr="00B727F7">
        <w:trPr>
          <w:cantSplit/>
          <w:trHeight w:val="283"/>
          <w:jc w:val="center"/>
        </w:trPr>
        <w:tc>
          <w:tcPr>
            <w:tcW w:w="1502" w:type="dxa"/>
            <w:shd w:val="clear" w:color="auto" w:fill="auto"/>
            <w:vAlign w:val="center"/>
          </w:tcPr>
          <w:p w14:paraId="5CC439F0" w14:textId="0DDD0D8F" w:rsidR="006348B7" w:rsidRPr="006348B7" w:rsidRDefault="006348B7" w:rsidP="00B727F7">
            <w:pPr>
              <w:spacing w:after="0" w:line="276" w:lineRule="auto"/>
              <w:jc w:val="center"/>
              <w:rPr>
                <w:rFonts w:cs="Arial"/>
                <w:sz w:val="16"/>
                <w:szCs w:val="16"/>
              </w:rPr>
            </w:pPr>
            <w:r w:rsidRPr="006348B7">
              <w:rPr>
                <w:rFonts w:cs="Arial"/>
                <w:sz w:val="16"/>
                <w:szCs w:val="16"/>
              </w:rPr>
              <w:t>31/12/2021</w:t>
            </w:r>
          </w:p>
        </w:tc>
        <w:tc>
          <w:tcPr>
            <w:tcW w:w="3589" w:type="dxa"/>
            <w:shd w:val="clear" w:color="auto" w:fill="auto"/>
            <w:vAlign w:val="center"/>
          </w:tcPr>
          <w:p w14:paraId="6EEF93D0" w14:textId="745DD999" w:rsidR="006348B7" w:rsidRPr="006348B7" w:rsidRDefault="006348B7" w:rsidP="00B727F7">
            <w:pPr>
              <w:spacing w:after="0" w:line="276" w:lineRule="auto"/>
              <w:jc w:val="right"/>
              <w:rPr>
                <w:rFonts w:cs="Arial"/>
                <w:sz w:val="16"/>
                <w:szCs w:val="16"/>
              </w:rPr>
            </w:pPr>
            <w:r w:rsidRPr="006348B7">
              <w:rPr>
                <w:rFonts w:cs="Arial"/>
                <w:sz w:val="16"/>
                <w:szCs w:val="16"/>
              </w:rPr>
              <w:t>10,83</w:t>
            </w:r>
          </w:p>
        </w:tc>
        <w:tc>
          <w:tcPr>
            <w:tcW w:w="2129" w:type="dxa"/>
            <w:shd w:val="clear" w:color="auto" w:fill="auto"/>
            <w:vAlign w:val="center"/>
          </w:tcPr>
          <w:p w14:paraId="78068B6B" w14:textId="4F71BAB1" w:rsidR="006348B7" w:rsidRPr="006348B7" w:rsidRDefault="006348B7" w:rsidP="00B727F7">
            <w:pPr>
              <w:spacing w:after="0" w:line="276" w:lineRule="auto"/>
              <w:jc w:val="right"/>
              <w:rPr>
                <w:rFonts w:cs="Arial"/>
                <w:sz w:val="16"/>
                <w:szCs w:val="16"/>
              </w:rPr>
            </w:pPr>
            <w:r w:rsidRPr="006348B7">
              <w:rPr>
                <w:rFonts w:cs="Arial"/>
                <w:sz w:val="16"/>
                <w:szCs w:val="16"/>
              </w:rPr>
              <w:t>18,65</w:t>
            </w:r>
          </w:p>
        </w:tc>
      </w:tr>
      <w:tr w:rsidR="006348B7" w:rsidRPr="006348B7" w14:paraId="27394F33" w14:textId="77777777" w:rsidTr="00B727F7">
        <w:trPr>
          <w:cantSplit/>
          <w:trHeight w:val="283"/>
          <w:jc w:val="center"/>
        </w:trPr>
        <w:tc>
          <w:tcPr>
            <w:tcW w:w="1502" w:type="dxa"/>
            <w:shd w:val="clear" w:color="auto" w:fill="auto"/>
            <w:vAlign w:val="center"/>
          </w:tcPr>
          <w:p w14:paraId="0AA2D36E" w14:textId="5913F8BB" w:rsidR="006348B7" w:rsidRPr="006348B7" w:rsidRDefault="006348B7" w:rsidP="00B727F7">
            <w:pPr>
              <w:spacing w:after="0" w:line="276" w:lineRule="auto"/>
              <w:jc w:val="center"/>
              <w:rPr>
                <w:rFonts w:cs="Arial"/>
                <w:sz w:val="16"/>
                <w:szCs w:val="16"/>
              </w:rPr>
            </w:pPr>
            <w:r w:rsidRPr="006348B7">
              <w:rPr>
                <w:rFonts w:cs="Arial"/>
                <w:sz w:val="16"/>
                <w:szCs w:val="16"/>
              </w:rPr>
              <w:t>31/12/2022</w:t>
            </w:r>
          </w:p>
        </w:tc>
        <w:tc>
          <w:tcPr>
            <w:tcW w:w="3589" w:type="dxa"/>
            <w:shd w:val="clear" w:color="auto" w:fill="auto"/>
            <w:vAlign w:val="center"/>
          </w:tcPr>
          <w:p w14:paraId="2395CF52" w14:textId="6E3A155E" w:rsidR="006348B7" w:rsidRPr="006348B7" w:rsidRDefault="006348B7" w:rsidP="00B727F7">
            <w:pPr>
              <w:spacing w:after="0" w:line="276" w:lineRule="auto"/>
              <w:jc w:val="right"/>
              <w:rPr>
                <w:rFonts w:cs="Arial"/>
                <w:sz w:val="16"/>
                <w:szCs w:val="16"/>
              </w:rPr>
            </w:pPr>
            <w:r w:rsidRPr="006348B7">
              <w:rPr>
                <w:rFonts w:cs="Arial"/>
                <w:sz w:val="16"/>
                <w:szCs w:val="16"/>
              </w:rPr>
              <w:t>10,18</w:t>
            </w:r>
          </w:p>
        </w:tc>
        <w:tc>
          <w:tcPr>
            <w:tcW w:w="2129" w:type="dxa"/>
            <w:shd w:val="clear" w:color="auto" w:fill="auto"/>
            <w:vAlign w:val="center"/>
          </w:tcPr>
          <w:p w14:paraId="453F44A5" w14:textId="4552A585" w:rsidR="006348B7" w:rsidRPr="006348B7" w:rsidRDefault="006348B7" w:rsidP="00B727F7">
            <w:pPr>
              <w:spacing w:after="0" w:line="276" w:lineRule="auto"/>
              <w:jc w:val="right"/>
              <w:rPr>
                <w:rFonts w:cs="Arial"/>
                <w:sz w:val="16"/>
                <w:szCs w:val="16"/>
              </w:rPr>
            </w:pPr>
            <w:r w:rsidRPr="006348B7">
              <w:rPr>
                <w:rFonts w:cs="Arial"/>
                <w:sz w:val="16"/>
                <w:szCs w:val="16"/>
              </w:rPr>
              <w:t>17,54</w:t>
            </w:r>
          </w:p>
        </w:tc>
      </w:tr>
      <w:tr w:rsidR="006348B7" w:rsidRPr="006348B7" w14:paraId="5F2CAA82" w14:textId="77777777" w:rsidTr="00B727F7">
        <w:trPr>
          <w:cantSplit/>
          <w:trHeight w:val="283"/>
          <w:jc w:val="center"/>
        </w:trPr>
        <w:tc>
          <w:tcPr>
            <w:tcW w:w="1502" w:type="dxa"/>
            <w:shd w:val="clear" w:color="auto" w:fill="auto"/>
            <w:vAlign w:val="center"/>
          </w:tcPr>
          <w:p w14:paraId="5CA02886" w14:textId="0EA4A83A" w:rsidR="006348B7" w:rsidRPr="006348B7" w:rsidRDefault="006348B7" w:rsidP="00B727F7">
            <w:pPr>
              <w:spacing w:after="0" w:line="276" w:lineRule="auto"/>
              <w:jc w:val="center"/>
              <w:rPr>
                <w:rFonts w:cs="Arial"/>
                <w:sz w:val="16"/>
                <w:szCs w:val="16"/>
              </w:rPr>
            </w:pPr>
            <w:r w:rsidRPr="006348B7">
              <w:rPr>
                <w:rFonts w:cs="Arial"/>
                <w:sz w:val="16"/>
                <w:szCs w:val="16"/>
              </w:rPr>
              <w:t>31/12/2023</w:t>
            </w:r>
          </w:p>
        </w:tc>
        <w:tc>
          <w:tcPr>
            <w:tcW w:w="3589" w:type="dxa"/>
            <w:shd w:val="clear" w:color="auto" w:fill="auto"/>
            <w:vAlign w:val="center"/>
          </w:tcPr>
          <w:p w14:paraId="073F8416" w14:textId="5DD6626E" w:rsidR="006348B7" w:rsidRPr="006348B7" w:rsidRDefault="006348B7" w:rsidP="00B727F7">
            <w:pPr>
              <w:spacing w:after="0" w:line="276" w:lineRule="auto"/>
              <w:jc w:val="right"/>
              <w:rPr>
                <w:rFonts w:cs="Arial"/>
                <w:sz w:val="16"/>
                <w:szCs w:val="16"/>
              </w:rPr>
            </w:pPr>
            <w:r w:rsidRPr="006348B7">
              <w:rPr>
                <w:rFonts w:cs="Arial"/>
                <w:sz w:val="16"/>
                <w:szCs w:val="16"/>
              </w:rPr>
              <w:t>9,92</w:t>
            </w:r>
          </w:p>
        </w:tc>
        <w:tc>
          <w:tcPr>
            <w:tcW w:w="2129" w:type="dxa"/>
            <w:shd w:val="clear" w:color="auto" w:fill="auto"/>
            <w:vAlign w:val="center"/>
          </w:tcPr>
          <w:p w14:paraId="2ABAE695" w14:textId="048AF9FF" w:rsidR="006348B7" w:rsidRPr="006348B7" w:rsidRDefault="006348B7" w:rsidP="00B727F7">
            <w:pPr>
              <w:spacing w:after="0" w:line="276" w:lineRule="auto"/>
              <w:jc w:val="right"/>
              <w:rPr>
                <w:rFonts w:cs="Arial"/>
                <w:sz w:val="16"/>
                <w:szCs w:val="16"/>
              </w:rPr>
            </w:pPr>
            <w:r w:rsidRPr="006348B7">
              <w:rPr>
                <w:rFonts w:cs="Arial"/>
                <w:sz w:val="16"/>
                <w:szCs w:val="16"/>
              </w:rPr>
              <w:t>16,91</w:t>
            </w:r>
          </w:p>
        </w:tc>
      </w:tr>
      <w:tr w:rsidR="006348B7" w:rsidRPr="006348B7" w14:paraId="06168732" w14:textId="77777777" w:rsidTr="00B727F7">
        <w:trPr>
          <w:cantSplit/>
          <w:trHeight w:val="283"/>
          <w:jc w:val="center"/>
        </w:trPr>
        <w:tc>
          <w:tcPr>
            <w:tcW w:w="1502" w:type="dxa"/>
            <w:tcBorders>
              <w:bottom w:val="nil"/>
            </w:tcBorders>
            <w:shd w:val="clear" w:color="auto" w:fill="auto"/>
            <w:vAlign w:val="center"/>
          </w:tcPr>
          <w:p w14:paraId="4F9628E6" w14:textId="62A54B8E" w:rsidR="006348B7" w:rsidRPr="006348B7" w:rsidRDefault="006348B7" w:rsidP="00B727F7">
            <w:pPr>
              <w:spacing w:after="0" w:line="276" w:lineRule="auto"/>
              <w:jc w:val="center"/>
              <w:rPr>
                <w:rFonts w:cs="Arial"/>
                <w:sz w:val="16"/>
                <w:szCs w:val="16"/>
              </w:rPr>
            </w:pPr>
            <w:r w:rsidRPr="006348B7">
              <w:rPr>
                <w:rFonts w:cs="Arial"/>
                <w:sz w:val="16"/>
                <w:szCs w:val="16"/>
              </w:rPr>
              <w:t>31/12/2024</w:t>
            </w:r>
          </w:p>
        </w:tc>
        <w:tc>
          <w:tcPr>
            <w:tcW w:w="3589" w:type="dxa"/>
            <w:tcBorders>
              <w:bottom w:val="nil"/>
            </w:tcBorders>
            <w:shd w:val="clear" w:color="auto" w:fill="auto"/>
            <w:vAlign w:val="center"/>
          </w:tcPr>
          <w:p w14:paraId="4EABDA11" w14:textId="7A506EF5" w:rsidR="006348B7" w:rsidRPr="006348B7" w:rsidRDefault="006348B7" w:rsidP="00B727F7">
            <w:pPr>
              <w:spacing w:after="0" w:line="276" w:lineRule="auto"/>
              <w:jc w:val="right"/>
              <w:rPr>
                <w:rFonts w:cs="Arial"/>
                <w:sz w:val="16"/>
                <w:szCs w:val="16"/>
              </w:rPr>
            </w:pPr>
            <w:r w:rsidRPr="006348B7">
              <w:rPr>
                <w:rFonts w:cs="Arial"/>
                <w:sz w:val="16"/>
                <w:szCs w:val="16"/>
              </w:rPr>
              <w:t>9,07</w:t>
            </w:r>
          </w:p>
        </w:tc>
        <w:tc>
          <w:tcPr>
            <w:tcW w:w="2129" w:type="dxa"/>
            <w:tcBorders>
              <w:bottom w:val="nil"/>
            </w:tcBorders>
            <w:shd w:val="clear" w:color="auto" w:fill="auto"/>
            <w:vAlign w:val="center"/>
          </w:tcPr>
          <w:p w14:paraId="31D9A833" w14:textId="7ABDAE2D" w:rsidR="006348B7" w:rsidRPr="006348B7" w:rsidRDefault="006348B7" w:rsidP="00B727F7">
            <w:pPr>
              <w:spacing w:after="0" w:line="276" w:lineRule="auto"/>
              <w:jc w:val="right"/>
              <w:rPr>
                <w:rFonts w:cs="Arial"/>
                <w:sz w:val="16"/>
                <w:szCs w:val="16"/>
              </w:rPr>
            </w:pPr>
            <w:r w:rsidRPr="006348B7">
              <w:rPr>
                <w:rFonts w:cs="Arial"/>
                <w:sz w:val="16"/>
                <w:szCs w:val="16"/>
              </w:rPr>
              <w:t>16,49</w:t>
            </w:r>
          </w:p>
        </w:tc>
      </w:tr>
      <w:tr w:rsidR="006348B7" w:rsidRPr="006348B7" w14:paraId="5BA826E6" w14:textId="77777777" w:rsidTr="00B727F7">
        <w:trPr>
          <w:cantSplit/>
          <w:trHeight w:val="283"/>
          <w:jc w:val="center"/>
        </w:trPr>
        <w:tc>
          <w:tcPr>
            <w:tcW w:w="1502" w:type="dxa"/>
            <w:tcBorders>
              <w:top w:val="nil"/>
              <w:bottom w:val="single" w:sz="2" w:space="0" w:color="A6A6A6" w:themeColor="background1" w:themeShade="A6"/>
            </w:tcBorders>
            <w:shd w:val="clear" w:color="auto" w:fill="auto"/>
            <w:vAlign w:val="center"/>
          </w:tcPr>
          <w:p w14:paraId="53B1D38E" w14:textId="59CFFA3E" w:rsidR="006348B7" w:rsidRPr="006348B7" w:rsidRDefault="006348B7" w:rsidP="00B727F7">
            <w:pPr>
              <w:spacing w:after="0" w:line="276" w:lineRule="auto"/>
              <w:jc w:val="center"/>
              <w:rPr>
                <w:rFonts w:cs="Arial"/>
                <w:sz w:val="16"/>
                <w:szCs w:val="16"/>
              </w:rPr>
            </w:pPr>
            <w:r w:rsidRPr="006348B7">
              <w:rPr>
                <w:rFonts w:cs="Arial"/>
                <w:sz w:val="16"/>
                <w:szCs w:val="16"/>
              </w:rPr>
              <w:t>30/9/2025</w:t>
            </w:r>
          </w:p>
        </w:tc>
        <w:tc>
          <w:tcPr>
            <w:tcW w:w="3589" w:type="dxa"/>
            <w:tcBorders>
              <w:top w:val="nil"/>
              <w:bottom w:val="single" w:sz="2" w:space="0" w:color="A6A6A6" w:themeColor="background1" w:themeShade="A6"/>
            </w:tcBorders>
            <w:shd w:val="clear" w:color="auto" w:fill="auto"/>
            <w:vAlign w:val="center"/>
          </w:tcPr>
          <w:p w14:paraId="680DD682" w14:textId="1AC00D25" w:rsidR="006348B7" w:rsidRPr="006348B7" w:rsidRDefault="006348B7" w:rsidP="00B727F7">
            <w:pPr>
              <w:spacing w:after="0" w:line="276" w:lineRule="auto"/>
              <w:jc w:val="right"/>
              <w:rPr>
                <w:rFonts w:cs="Arial"/>
                <w:sz w:val="16"/>
                <w:szCs w:val="16"/>
              </w:rPr>
            </w:pPr>
            <w:r w:rsidRPr="006348B7">
              <w:rPr>
                <w:rFonts w:cs="Arial"/>
                <w:sz w:val="16"/>
                <w:szCs w:val="16"/>
              </w:rPr>
              <w:t>9,74</w:t>
            </w:r>
          </w:p>
        </w:tc>
        <w:tc>
          <w:tcPr>
            <w:tcW w:w="2129" w:type="dxa"/>
            <w:tcBorders>
              <w:top w:val="nil"/>
              <w:bottom w:val="single" w:sz="2" w:space="0" w:color="A6A6A6" w:themeColor="background1" w:themeShade="A6"/>
            </w:tcBorders>
            <w:shd w:val="clear" w:color="auto" w:fill="auto"/>
            <w:vAlign w:val="center"/>
          </w:tcPr>
          <w:p w14:paraId="75EB36F4" w14:textId="54C4F824" w:rsidR="006348B7" w:rsidRPr="006348B7" w:rsidRDefault="006348B7" w:rsidP="00B727F7">
            <w:pPr>
              <w:spacing w:after="0" w:line="276" w:lineRule="auto"/>
              <w:jc w:val="right"/>
              <w:rPr>
                <w:rFonts w:cs="Arial"/>
                <w:sz w:val="16"/>
                <w:szCs w:val="16"/>
              </w:rPr>
            </w:pPr>
            <w:r w:rsidRPr="006348B7">
              <w:rPr>
                <w:rFonts w:cs="Arial"/>
                <w:sz w:val="16"/>
                <w:szCs w:val="16"/>
              </w:rPr>
              <w:t>16,38</w:t>
            </w:r>
          </w:p>
        </w:tc>
      </w:tr>
      <w:tr w:rsidR="00703696" w:rsidRPr="009718EC" w14:paraId="3C711480" w14:textId="77777777" w:rsidTr="00B727F7">
        <w:trPr>
          <w:cantSplit/>
          <w:trHeight w:val="227"/>
          <w:jc w:val="center"/>
        </w:trPr>
        <w:tc>
          <w:tcPr>
            <w:tcW w:w="7220" w:type="dxa"/>
            <w:gridSpan w:val="3"/>
            <w:tcBorders>
              <w:top w:val="single" w:sz="2" w:space="0" w:color="A6A6A6" w:themeColor="background1" w:themeShade="A6"/>
              <w:left w:val="nil"/>
              <w:bottom w:val="nil"/>
              <w:right w:val="nil"/>
            </w:tcBorders>
            <w:shd w:val="clear" w:color="auto" w:fill="auto"/>
            <w:noWrap/>
            <w:vAlign w:val="center"/>
            <w:hideMark/>
          </w:tcPr>
          <w:p w14:paraId="5958BDAA" w14:textId="2071689B" w:rsidR="00703696" w:rsidRPr="009718EC" w:rsidRDefault="00703696" w:rsidP="00E6308E">
            <w:pPr>
              <w:spacing w:before="60" w:after="0" w:line="276" w:lineRule="auto"/>
              <w:rPr>
                <w:rFonts w:cs="Arial"/>
                <w:szCs w:val="20"/>
              </w:rPr>
            </w:pPr>
            <w:r w:rsidRPr="009718EC">
              <w:rPr>
                <w:rFonts w:cs="Arial"/>
                <w:sz w:val="16"/>
                <w:szCs w:val="16"/>
              </w:rPr>
              <w:t>Πηγή: ΟΔΔΗΧ</w:t>
            </w:r>
          </w:p>
        </w:tc>
      </w:tr>
    </w:tbl>
    <w:p w14:paraId="49FF8335" w14:textId="31A883D3" w:rsidR="006E26D4" w:rsidRPr="00EF507E" w:rsidRDefault="006E26D4" w:rsidP="006E26D4">
      <w:pPr>
        <w:spacing w:before="240" w:after="240"/>
      </w:pPr>
      <w:r w:rsidRPr="00EF507E">
        <w:t>Στις 30</w:t>
      </w:r>
      <w:r w:rsidR="00B32173" w:rsidRPr="00B32173">
        <w:t>.</w:t>
      </w:r>
      <w:r w:rsidRPr="00EF507E">
        <w:t>9</w:t>
      </w:r>
      <w:r w:rsidR="00B32173" w:rsidRPr="00B32173">
        <w:t>.</w:t>
      </w:r>
      <w:r w:rsidRPr="00EF507E">
        <w:t xml:space="preserve">2025 ποσοστό 71,8% του χρέους της Κεντρικής Διοίκησης είχε υπολειπόμενη φυσική διάρκεια μεγαλύτερη των πέντε ετών λόγω της επιμήκυνσης των δανείων του Μηχανισμού Στήριξης, της έκδοσης νέων ομολόγων του Ελληνικού Δημοσίου στο πλαίσιο της ανταλλαγής ομολόγων (PSI) και των πρόσφατων εκδόσεων μεσοπρόθεσμων και μακροπρόθεσμων </w:t>
      </w:r>
      <w:r w:rsidRPr="00AE64F9">
        <w:t>τίτλων (</w:t>
      </w:r>
      <w:r w:rsidR="004A1EA2" w:rsidRPr="00AE64F9">
        <w:fldChar w:fldCharType="begin"/>
      </w:r>
      <w:r w:rsidR="004A1EA2" w:rsidRPr="00AE64F9">
        <w:instrText xml:space="preserve"> REF _Ref182655805 \h  \* MERGEFORMAT </w:instrText>
      </w:r>
      <w:r w:rsidR="004A1EA2" w:rsidRPr="00AE64F9">
        <w:fldChar w:fldCharType="separate"/>
      </w:r>
      <w:r w:rsidR="00E15678" w:rsidRPr="00E15678">
        <w:t>Πίνακας 4.6</w:t>
      </w:r>
      <w:r w:rsidR="004A1EA2" w:rsidRPr="00AE64F9">
        <w:fldChar w:fldCharType="end"/>
      </w:r>
      <w:r w:rsidR="00FE14D6" w:rsidRPr="00AE64F9">
        <w:t>.</w:t>
      </w:r>
      <w:r w:rsidRPr="00AE64F9">
        <w:t>).</w:t>
      </w:r>
    </w:p>
    <w:tbl>
      <w:tblPr>
        <w:tblW w:w="8218" w:type="dxa"/>
        <w:jc w:val="center"/>
        <w:tblLook w:val="04A0" w:firstRow="1" w:lastRow="0" w:firstColumn="1" w:lastColumn="0" w:noHBand="0" w:noVBand="1"/>
      </w:tblPr>
      <w:tblGrid>
        <w:gridCol w:w="4079"/>
        <w:gridCol w:w="4139"/>
      </w:tblGrid>
      <w:tr w:rsidR="00700EF5" w:rsidRPr="00FD594B" w14:paraId="111F89C1" w14:textId="77777777" w:rsidTr="00B727F7">
        <w:trPr>
          <w:cantSplit/>
          <w:trHeight w:val="340"/>
          <w:jc w:val="center"/>
        </w:trPr>
        <w:tc>
          <w:tcPr>
            <w:tcW w:w="8218"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4AB4A504" w14:textId="3066D930" w:rsidR="00BC67EB" w:rsidRDefault="001E106C" w:rsidP="00B727F7">
            <w:pPr>
              <w:spacing w:after="0" w:line="276" w:lineRule="auto"/>
              <w:jc w:val="center"/>
              <w:rPr>
                <w:rFonts w:cs="Arial"/>
                <w:b/>
                <w:bCs/>
                <w:sz w:val="18"/>
                <w:szCs w:val="18"/>
              </w:rPr>
            </w:pPr>
            <w:bookmarkStart w:id="712" w:name="_Ref182655805"/>
            <w:bookmarkStart w:id="713" w:name="_Toc214474112"/>
            <w:r w:rsidRPr="004A1EA2">
              <w:rPr>
                <w:b/>
                <w:sz w:val="18"/>
                <w:szCs w:val="18"/>
              </w:rPr>
              <w:t>Πίνακας 4.</w:t>
            </w:r>
            <w:r w:rsidRPr="004A1EA2">
              <w:rPr>
                <w:b/>
                <w:sz w:val="18"/>
                <w:szCs w:val="18"/>
              </w:rPr>
              <w:fldChar w:fldCharType="begin"/>
            </w:r>
            <w:r w:rsidRPr="004A1EA2">
              <w:rPr>
                <w:b/>
                <w:sz w:val="18"/>
                <w:szCs w:val="18"/>
              </w:rPr>
              <w:instrText xml:space="preserve"> SEQ Πίνακας_4. \* ARABIC </w:instrText>
            </w:r>
            <w:r w:rsidRPr="004A1EA2">
              <w:rPr>
                <w:b/>
                <w:sz w:val="18"/>
                <w:szCs w:val="18"/>
              </w:rPr>
              <w:fldChar w:fldCharType="separate"/>
            </w:r>
            <w:r w:rsidR="00E15678">
              <w:rPr>
                <w:b/>
                <w:noProof/>
                <w:sz w:val="18"/>
                <w:szCs w:val="18"/>
              </w:rPr>
              <w:t>6</w:t>
            </w:r>
            <w:r w:rsidRPr="004A1EA2">
              <w:rPr>
                <w:b/>
                <w:sz w:val="18"/>
                <w:szCs w:val="18"/>
              </w:rPr>
              <w:fldChar w:fldCharType="end"/>
            </w:r>
            <w:bookmarkEnd w:id="712"/>
            <w:r w:rsidRPr="004A1EA2">
              <w:rPr>
                <w:b/>
                <w:sz w:val="18"/>
                <w:szCs w:val="18"/>
              </w:rPr>
              <w:t>.</w:t>
            </w:r>
            <w:r w:rsidR="00700EF5" w:rsidRPr="004A1EA2">
              <w:rPr>
                <w:rFonts w:cs="Arial"/>
                <w:b/>
                <w:bCs/>
                <w:sz w:val="18"/>
                <w:szCs w:val="18"/>
              </w:rPr>
              <w:t xml:space="preserve">: Χρέος </w:t>
            </w:r>
            <w:r w:rsidR="00BC67EB">
              <w:rPr>
                <w:rFonts w:cs="Arial"/>
                <w:b/>
                <w:bCs/>
                <w:sz w:val="18"/>
                <w:szCs w:val="18"/>
              </w:rPr>
              <w:t xml:space="preserve">της </w:t>
            </w:r>
            <w:r w:rsidR="00700EF5" w:rsidRPr="004A1EA2">
              <w:rPr>
                <w:rFonts w:cs="Arial"/>
                <w:b/>
                <w:bCs/>
                <w:sz w:val="18"/>
                <w:szCs w:val="18"/>
              </w:rPr>
              <w:t>Κεντρικής Διοίκησης</w:t>
            </w:r>
            <w:bookmarkEnd w:id="713"/>
          </w:p>
          <w:p w14:paraId="7DDC8D24" w14:textId="1AC0753C" w:rsidR="00700EF5" w:rsidRPr="004A1EA2" w:rsidRDefault="00700EF5" w:rsidP="00B727F7">
            <w:pPr>
              <w:spacing w:after="0" w:line="276" w:lineRule="auto"/>
              <w:jc w:val="center"/>
              <w:rPr>
                <w:rFonts w:cs="Arial"/>
                <w:b/>
                <w:bCs/>
                <w:sz w:val="18"/>
                <w:szCs w:val="18"/>
              </w:rPr>
            </w:pPr>
            <w:r w:rsidRPr="004A1EA2">
              <w:rPr>
                <w:rFonts w:cs="Arial"/>
                <w:b/>
                <w:bCs/>
                <w:sz w:val="18"/>
                <w:szCs w:val="18"/>
              </w:rPr>
              <w:t>ως προς την υπολειπόμενη φυσική διάρκεια (%)</w:t>
            </w:r>
          </w:p>
        </w:tc>
      </w:tr>
      <w:tr w:rsidR="00700EF5" w:rsidRPr="00700EF5" w14:paraId="1B642558" w14:textId="77777777" w:rsidTr="00B727F7">
        <w:trPr>
          <w:cantSplit/>
          <w:trHeight w:val="283"/>
          <w:jc w:val="center"/>
        </w:trPr>
        <w:tc>
          <w:tcPr>
            <w:tcW w:w="4079" w:type="dxa"/>
            <w:tcBorders>
              <w:top w:val="single" w:sz="2" w:space="0" w:color="A6A6A6" w:themeColor="background1" w:themeShade="A6"/>
              <w:left w:val="single" w:sz="2" w:space="0" w:color="A6A6A6" w:themeColor="background1" w:themeShade="A6"/>
              <w:bottom w:val="single" w:sz="2" w:space="0" w:color="A6A6A6" w:themeColor="background1" w:themeShade="A6"/>
              <w:right w:val="nil"/>
            </w:tcBorders>
            <w:shd w:val="clear" w:color="auto" w:fill="auto"/>
            <w:vAlign w:val="center"/>
            <w:hideMark/>
          </w:tcPr>
          <w:p w14:paraId="01F46558" w14:textId="77777777" w:rsidR="00700EF5" w:rsidRPr="00700EF5" w:rsidRDefault="00700EF5" w:rsidP="00B727F7">
            <w:pPr>
              <w:spacing w:after="0" w:line="276" w:lineRule="auto"/>
              <w:jc w:val="left"/>
              <w:rPr>
                <w:rFonts w:cs="Arial"/>
                <w:b/>
                <w:bCs/>
                <w:sz w:val="16"/>
                <w:szCs w:val="16"/>
              </w:rPr>
            </w:pPr>
            <w:r w:rsidRPr="00700EF5">
              <w:rPr>
                <w:rFonts w:cs="Arial"/>
                <w:b/>
                <w:bCs/>
                <w:sz w:val="16"/>
                <w:szCs w:val="16"/>
              </w:rPr>
              <w:t>Διάρκεια</w:t>
            </w:r>
          </w:p>
        </w:tc>
        <w:tc>
          <w:tcPr>
            <w:tcW w:w="4139"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shd w:val="clear" w:color="auto" w:fill="auto"/>
            <w:vAlign w:val="center"/>
            <w:hideMark/>
          </w:tcPr>
          <w:p w14:paraId="17E0853D" w14:textId="5E5AFDF6" w:rsidR="00700EF5" w:rsidRPr="004A1EA2" w:rsidRDefault="00700EF5" w:rsidP="00B727F7">
            <w:pPr>
              <w:spacing w:after="0" w:line="276" w:lineRule="auto"/>
              <w:jc w:val="center"/>
              <w:rPr>
                <w:rFonts w:cs="Arial"/>
                <w:b/>
                <w:bCs/>
                <w:sz w:val="16"/>
                <w:szCs w:val="16"/>
                <w:lang w:val="en-US"/>
              </w:rPr>
            </w:pPr>
            <w:r w:rsidRPr="00700EF5">
              <w:rPr>
                <w:rFonts w:cs="Arial"/>
                <w:b/>
                <w:bCs/>
                <w:sz w:val="16"/>
                <w:szCs w:val="16"/>
              </w:rPr>
              <w:t>30</w:t>
            </w:r>
            <w:r>
              <w:rPr>
                <w:rFonts w:cs="Arial"/>
                <w:b/>
                <w:bCs/>
                <w:sz w:val="16"/>
                <w:szCs w:val="16"/>
              </w:rPr>
              <w:t>.</w:t>
            </w:r>
            <w:r w:rsidRPr="00700EF5">
              <w:rPr>
                <w:rFonts w:cs="Arial"/>
                <w:b/>
                <w:bCs/>
                <w:sz w:val="16"/>
                <w:szCs w:val="16"/>
              </w:rPr>
              <w:t>9</w:t>
            </w:r>
            <w:r>
              <w:rPr>
                <w:rFonts w:cs="Arial"/>
                <w:b/>
                <w:bCs/>
                <w:sz w:val="16"/>
                <w:szCs w:val="16"/>
              </w:rPr>
              <w:t>.</w:t>
            </w:r>
            <w:r w:rsidRPr="00700EF5">
              <w:rPr>
                <w:rFonts w:cs="Arial"/>
                <w:b/>
                <w:bCs/>
                <w:sz w:val="16"/>
                <w:szCs w:val="16"/>
              </w:rPr>
              <w:t>202</w:t>
            </w:r>
            <w:r w:rsidR="004A1EA2">
              <w:rPr>
                <w:rFonts w:cs="Arial"/>
                <w:b/>
                <w:bCs/>
                <w:sz w:val="16"/>
                <w:szCs w:val="16"/>
                <w:lang w:val="en-US"/>
              </w:rPr>
              <w:t>5</w:t>
            </w:r>
          </w:p>
        </w:tc>
      </w:tr>
      <w:tr w:rsidR="004A1EA2" w:rsidRPr="00700EF5" w14:paraId="6E8D924B" w14:textId="77777777" w:rsidTr="00B727F7">
        <w:trPr>
          <w:cantSplit/>
          <w:trHeight w:val="283"/>
          <w:jc w:val="center"/>
        </w:trPr>
        <w:tc>
          <w:tcPr>
            <w:tcW w:w="4079" w:type="dxa"/>
            <w:tcBorders>
              <w:top w:val="single" w:sz="2" w:space="0" w:color="A6A6A6" w:themeColor="background1" w:themeShade="A6"/>
              <w:left w:val="single" w:sz="2" w:space="0" w:color="A6A6A6" w:themeColor="background1" w:themeShade="A6"/>
              <w:bottom w:val="nil"/>
              <w:right w:val="nil"/>
            </w:tcBorders>
            <w:shd w:val="clear" w:color="auto" w:fill="auto"/>
            <w:vAlign w:val="center"/>
            <w:hideMark/>
          </w:tcPr>
          <w:p w14:paraId="6BF96394" w14:textId="77777777" w:rsidR="004A1EA2" w:rsidRPr="00700EF5" w:rsidRDefault="004A1EA2" w:rsidP="00B727F7">
            <w:pPr>
              <w:spacing w:after="0" w:line="276" w:lineRule="auto"/>
              <w:jc w:val="left"/>
              <w:rPr>
                <w:rFonts w:cs="Arial"/>
                <w:sz w:val="16"/>
                <w:szCs w:val="16"/>
              </w:rPr>
            </w:pPr>
            <w:bookmarkStart w:id="714" w:name="OLE_LINK5"/>
            <w:r w:rsidRPr="00700EF5">
              <w:rPr>
                <w:rFonts w:cs="Arial"/>
                <w:sz w:val="16"/>
                <w:szCs w:val="16"/>
              </w:rPr>
              <w:t>Βραχυπρόθεσμο (μέχρι 1 έτος)</w:t>
            </w:r>
          </w:p>
        </w:tc>
        <w:tc>
          <w:tcPr>
            <w:tcW w:w="4139" w:type="dxa"/>
            <w:tcBorders>
              <w:top w:val="single" w:sz="2" w:space="0" w:color="A6A6A6" w:themeColor="background1" w:themeShade="A6"/>
              <w:left w:val="nil"/>
              <w:bottom w:val="nil"/>
              <w:right w:val="single" w:sz="2" w:space="0" w:color="A6A6A6" w:themeColor="background1" w:themeShade="A6"/>
            </w:tcBorders>
            <w:shd w:val="clear" w:color="auto" w:fill="auto"/>
            <w:vAlign w:val="center"/>
          </w:tcPr>
          <w:p w14:paraId="596E10F6" w14:textId="4C419748" w:rsidR="004A1EA2" w:rsidRPr="004A1EA2" w:rsidRDefault="004A1EA2" w:rsidP="00B727F7">
            <w:pPr>
              <w:spacing w:after="0" w:line="276" w:lineRule="auto"/>
              <w:jc w:val="center"/>
              <w:rPr>
                <w:rFonts w:cs="Arial"/>
                <w:sz w:val="16"/>
                <w:szCs w:val="16"/>
              </w:rPr>
            </w:pPr>
            <w:r w:rsidRPr="004A1EA2">
              <w:rPr>
                <w:sz w:val="16"/>
              </w:rPr>
              <w:t>17,5%</w:t>
            </w:r>
          </w:p>
        </w:tc>
      </w:tr>
      <w:tr w:rsidR="004A1EA2" w:rsidRPr="00700EF5" w14:paraId="65656562" w14:textId="77777777" w:rsidTr="00B727F7">
        <w:trPr>
          <w:cantSplit/>
          <w:trHeight w:val="283"/>
          <w:jc w:val="center"/>
        </w:trPr>
        <w:tc>
          <w:tcPr>
            <w:tcW w:w="4079" w:type="dxa"/>
            <w:tcBorders>
              <w:top w:val="nil"/>
              <w:left w:val="single" w:sz="2" w:space="0" w:color="A6A6A6" w:themeColor="background1" w:themeShade="A6"/>
              <w:bottom w:val="nil"/>
              <w:right w:val="nil"/>
            </w:tcBorders>
            <w:shd w:val="clear" w:color="auto" w:fill="auto"/>
            <w:vAlign w:val="center"/>
            <w:hideMark/>
          </w:tcPr>
          <w:p w14:paraId="48323AC9" w14:textId="77777777" w:rsidR="004A1EA2" w:rsidRPr="00700EF5" w:rsidRDefault="004A1EA2" w:rsidP="00B727F7">
            <w:pPr>
              <w:spacing w:after="0" w:line="276" w:lineRule="auto"/>
              <w:jc w:val="left"/>
              <w:rPr>
                <w:rFonts w:cs="Arial"/>
                <w:sz w:val="16"/>
                <w:szCs w:val="16"/>
              </w:rPr>
            </w:pPr>
            <w:r w:rsidRPr="00700EF5">
              <w:rPr>
                <w:rFonts w:cs="Arial"/>
                <w:sz w:val="16"/>
                <w:szCs w:val="16"/>
              </w:rPr>
              <w:t>Μεσοπρόθεσμο (1 έως 5 έτη)</w:t>
            </w:r>
          </w:p>
        </w:tc>
        <w:tc>
          <w:tcPr>
            <w:tcW w:w="4139" w:type="dxa"/>
            <w:tcBorders>
              <w:top w:val="nil"/>
              <w:left w:val="nil"/>
              <w:bottom w:val="nil"/>
              <w:right w:val="single" w:sz="2" w:space="0" w:color="A6A6A6" w:themeColor="background1" w:themeShade="A6"/>
            </w:tcBorders>
            <w:shd w:val="clear" w:color="auto" w:fill="auto"/>
            <w:vAlign w:val="center"/>
          </w:tcPr>
          <w:p w14:paraId="4A060E74" w14:textId="0B557449" w:rsidR="004A1EA2" w:rsidRPr="004A1EA2" w:rsidRDefault="004A1EA2" w:rsidP="00B727F7">
            <w:pPr>
              <w:spacing w:after="0" w:line="276" w:lineRule="auto"/>
              <w:jc w:val="center"/>
              <w:rPr>
                <w:rFonts w:cs="Arial"/>
                <w:sz w:val="16"/>
                <w:szCs w:val="16"/>
              </w:rPr>
            </w:pPr>
            <w:r w:rsidRPr="004A1EA2">
              <w:rPr>
                <w:sz w:val="16"/>
              </w:rPr>
              <w:t>10,7%</w:t>
            </w:r>
          </w:p>
        </w:tc>
      </w:tr>
      <w:tr w:rsidR="004A1EA2" w:rsidRPr="00700EF5" w14:paraId="254A1205" w14:textId="77777777" w:rsidTr="00B727F7">
        <w:trPr>
          <w:cantSplit/>
          <w:trHeight w:val="283"/>
          <w:jc w:val="center"/>
        </w:trPr>
        <w:tc>
          <w:tcPr>
            <w:tcW w:w="4079" w:type="dxa"/>
            <w:tcBorders>
              <w:top w:val="nil"/>
              <w:left w:val="single" w:sz="2" w:space="0" w:color="A6A6A6" w:themeColor="background1" w:themeShade="A6"/>
              <w:bottom w:val="nil"/>
              <w:right w:val="nil"/>
            </w:tcBorders>
            <w:shd w:val="clear" w:color="auto" w:fill="auto"/>
            <w:vAlign w:val="center"/>
            <w:hideMark/>
          </w:tcPr>
          <w:p w14:paraId="7DEF5A5B" w14:textId="77777777" w:rsidR="004A1EA2" w:rsidRPr="00700EF5" w:rsidRDefault="004A1EA2" w:rsidP="00B727F7">
            <w:pPr>
              <w:spacing w:after="0" w:line="276" w:lineRule="auto"/>
              <w:jc w:val="left"/>
              <w:rPr>
                <w:rFonts w:cs="Arial"/>
                <w:sz w:val="16"/>
                <w:szCs w:val="16"/>
              </w:rPr>
            </w:pPr>
            <w:r w:rsidRPr="00700EF5">
              <w:rPr>
                <w:rFonts w:cs="Arial"/>
                <w:sz w:val="16"/>
                <w:szCs w:val="16"/>
              </w:rPr>
              <w:t>Μακροπρόθεσμο (άνω των 5 ετών)</w:t>
            </w:r>
          </w:p>
        </w:tc>
        <w:tc>
          <w:tcPr>
            <w:tcW w:w="4139" w:type="dxa"/>
            <w:tcBorders>
              <w:top w:val="nil"/>
              <w:left w:val="nil"/>
              <w:bottom w:val="nil"/>
              <w:right w:val="single" w:sz="2" w:space="0" w:color="A6A6A6" w:themeColor="background1" w:themeShade="A6"/>
            </w:tcBorders>
            <w:shd w:val="clear" w:color="auto" w:fill="auto"/>
            <w:vAlign w:val="center"/>
          </w:tcPr>
          <w:p w14:paraId="626A5BA1" w14:textId="685AC0CD" w:rsidR="004A1EA2" w:rsidRPr="004A1EA2" w:rsidRDefault="004A1EA2" w:rsidP="00B727F7">
            <w:pPr>
              <w:spacing w:after="0" w:line="276" w:lineRule="auto"/>
              <w:jc w:val="center"/>
              <w:rPr>
                <w:rFonts w:cs="Arial"/>
                <w:sz w:val="16"/>
                <w:szCs w:val="16"/>
              </w:rPr>
            </w:pPr>
            <w:r w:rsidRPr="004A1EA2">
              <w:rPr>
                <w:sz w:val="16"/>
              </w:rPr>
              <w:t>71,8%</w:t>
            </w:r>
          </w:p>
        </w:tc>
      </w:tr>
      <w:tr w:rsidR="00700EF5" w:rsidRPr="00700EF5" w14:paraId="06B961C4" w14:textId="77777777" w:rsidTr="00B727F7">
        <w:trPr>
          <w:cantSplit/>
          <w:trHeight w:val="283"/>
          <w:jc w:val="center"/>
        </w:trPr>
        <w:tc>
          <w:tcPr>
            <w:tcW w:w="4079" w:type="dxa"/>
            <w:tcBorders>
              <w:top w:val="nil"/>
              <w:left w:val="single" w:sz="2" w:space="0" w:color="A6A6A6" w:themeColor="background1" w:themeShade="A6"/>
              <w:bottom w:val="single" w:sz="2" w:space="0" w:color="A6A6A6" w:themeColor="background1" w:themeShade="A6"/>
              <w:right w:val="nil"/>
            </w:tcBorders>
            <w:shd w:val="clear" w:color="000000" w:fill="D5DCE4"/>
            <w:vAlign w:val="center"/>
            <w:hideMark/>
          </w:tcPr>
          <w:p w14:paraId="25A21E30" w14:textId="77777777" w:rsidR="00700EF5" w:rsidRPr="00700EF5" w:rsidRDefault="00700EF5" w:rsidP="00B727F7">
            <w:pPr>
              <w:spacing w:after="0" w:line="276" w:lineRule="auto"/>
              <w:jc w:val="left"/>
              <w:rPr>
                <w:rFonts w:cs="Arial"/>
                <w:b/>
                <w:bCs/>
                <w:sz w:val="16"/>
                <w:szCs w:val="16"/>
              </w:rPr>
            </w:pPr>
            <w:r w:rsidRPr="00700EF5">
              <w:rPr>
                <w:rFonts w:cs="Arial"/>
                <w:b/>
                <w:bCs/>
                <w:sz w:val="16"/>
                <w:szCs w:val="16"/>
              </w:rPr>
              <w:t>Σύνολο</w:t>
            </w:r>
          </w:p>
        </w:tc>
        <w:tc>
          <w:tcPr>
            <w:tcW w:w="4139" w:type="dxa"/>
            <w:tcBorders>
              <w:top w:val="nil"/>
              <w:left w:val="nil"/>
              <w:bottom w:val="single" w:sz="2" w:space="0" w:color="A6A6A6" w:themeColor="background1" w:themeShade="A6"/>
              <w:right w:val="single" w:sz="2" w:space="0" w:color="A6A6A6" w:themeColor="background1" w:themeShade="A6"/>
            </w:tcBorders>
            <w:shd w:val="clear" w:color="000000" w:fill="D5DCE4"/>
            <w:vAlign w:val="center"/>
            <w:hideMark/>
          </w:tcPr>
          <w:p w14:paraId="576CDF25" w14:textId="77777777" w:rsidR="00700EF5" w:rsidRPr="00700EF5" w:rsidRDefault="00700EF5" w:rsidP="00B727F7">
            <w:pPr>
              <w:spacing w:after="0" w:line="276" w:lineRule="auto"/>
              <w:jc w:val="center"/>
              <w:rPr>
                <w:rFonts w:cs="Arial"/>
                <w:b/>
                <w:bCs/>
                <w:sz w:val="16"/>
                <w:szCs w:val="16"/>
              </w:rPr>
            </w:pPr>
            <w:r w:rsidRPr="00700EF5">
              <w:rPr>
                <w:rFonts w:cs="Arial"/>
                <w:b/>
                <w:bCs/>
                <w:sz w:val="16"/>
                <w:szCs w:val="16"/>
              </w:rPr>
              <w:t>100,0%</w:t>
            </w:r>
          </w:p>
        </w:tc>
      </w:tr>
      <w:bookmarkEnd w:id="714"/>
      <w:tr w:rsidR="00700EF5" w:rsidRPr="00700EF5" w14:paraId="05AD435F" w14:textId="77777777" w:rsidTr="00B727F7">
        <w:trPr>
          <w:cantSplit/>
          <w:trHeight w:val="227"/>
          <w:jc w:val="center"/>
        </w:trPr>
        <w:tc>
          <w:tcPr>
            <w:tcW w:w="8218" w:type="dxa"/>
            <w:gridSpan w:val="2"/>
            <w:tcBorders>
              <w:top w:val="single" w:sz="2" w:space="0" w:color="A6A6A6" w:themeColor="background1" w:themeShade="A6"/>
              <w:left w:val="nil"/>
              <w:bottom w:val="nil"/>
              <w:right w:val="nil"/>
            </w:tcBorders>
            <w:shd w:val="clear" w:color="auto" w:fill="auto"/>
            <w:noWrap/>
            <w:vAlign w:val="center"/>
            <w:hideMark/>
          </w:tcPr>
          <w:p w14:paraId="3B2E98EB" w14:textId="7A20F81E" w:rsidR="00700EF5" w:rsidRPr="00700EF5" w:rsidRDefault="00700EF5" w:rsidP="00E6308E">
            <w:pPr>
              <w:spacing w:before="60" w:after="0" w:line="276" w:lineRule="auto"/>
              <w:rPr>
                <w:rFonts w:cs="Arial"/>
                <w:sz w:val="16"/>
                <w:szCs w:val="16"/>
              </w:rPr>
            </w:pPr>
            <w:r w:rsidRPr="00700EF5">
              <w:rPr>
                <w:rFonts w:cs="Arial"/>
                <w:sz w:val="16"/>
                <w:szCs w:val="16"/>
              </w:rPr>
              <w:t>Πηγή: ΟΔΔΗΧ</w:t>
            </w:r>
          </w:p>
        </w:tc>
      </w:tr>
    </w:tbl>
    <w:p w14:paraId="26EC3995" w14:textId="7A450C15" w:rsidR="00197AA2" w:rsidRPr="00FD594B" w:rsidRDefault="00197AA2" w:rsidP="00300BBF">
      <w:pPr>
        <w:pStyle w:val="4"/>
      </w:pPr>
      <w:bookmarkStart w:id="715" w:name="_Toc214473804"/>
      <w:r w:rsidRPr="00FD594B">
        <w:t>Δαπάνες εξυπηρέτησης</w:t>
      </w:r>
      <w:r w:rsidR="00241419" w:rsidRPr="00FD594B">
        <w:t xml:space="preserve"> του</w:t>
      </w:r>
      <w:r w:rsidRPr="00FD594B">
        <w:t xml:space="preserve"> χρέους </w:t>
      </w:r>
      <w:r w:rsidR="00241419" w:rsidRPr="00FD594B">
        <w:t xml:space="preserve">της </w:t>
      </w:r>
      <w:r w:rsidRPr="00FD594B">
        <w:t>Κεντρικής Διοίκησης</w:t>
      </w:r>
      <w:bookmarkEnd w:id="715"/>
    </w:p>
    <w:p w14:paraId="7E188545" w14:textId="077BFE1C" w:rsidR="00EB3700" w:rsidRPr="00AE64F9" w:rsidRDefault="006E26D4" w:rsidP="006E26D4">
      <w:pPr>
        <w:spacing w:after="240"/>
      </w:pPr>
      <w:r w:rsidRPr="00EF507E">
        <w:t>Οι δαπάνες εξυπηρέτησης του χρέους της Κεντρικής Διοίκησης το 202</w:t>
      </w:r>
      <w:r>
        <w:t>5</w:t>
      </w:r>
      <w:r w:rsidRPr="00EF507E">
        <w:t xml:space="preserve"> εκτιμάται ότι θα διαμορφωθούν σε 20.</w:t>
      </w:r>
      <w:r>
        <w:t>592</w:t>
      </w:r>
      <w:r w:rsidRPr="00EF507E">
        <w:t xml:space="preserve"> εκατ. ευρώ έναντι 20.</w:t>
      </w:r>
      <w:r>
        <w:t>521</w:t>
      </w:r>
      <w:r w:rsidRPr="00EF507E">
        <w:t xml:space="preserve"> εκατ. ευρώ το έτος </w:t>
      </w:r>
      <w:r w:rsidRPr="00AE64F9">
        <w:t>2024 (</w:t>
      </w:r>
      <w:r w:rsidR="00635793" w:rsidRPr="00AE64F9">
        <w:fldChar w:fldCharType="begin"/>
      </w:r>
      <w:r w:rsidR="00635793" w:rsidRPr="00AE64F9">
        <w:instrText xml:space="preserve"> REF _Ref182656038 \h  \* MERGEFORMAT </w:instrText>
      </w:r>
      <w:r w:rsidR="00635793" w:rsidRPr="00AE64F9">
        <w:fldChar w:fldCharType="separate"/>
      </w:r>
      <w:r w:rsidR="00E15678" w:rsidRPr="00E15678">
        <w:t>Πίνακας 4.7</w:t>
      </w:r>
      <w:r w:rsidR="00635793" w:rsidRPr="00AE64F9">
        <w:fldChar w:fldCharType="end"/>
      </w:r>
      <w:r w:rsidR="00517A55" w:rsidRPr="00AE64F9">
        <w:t>.</w:t>
      </w:r>
      <w:r w:rsidRPr="00AE64F9">
        <w:t>).</w:t>
      </w:r>
    </w:p>
    <w:p w14:paraId="5EF91F42" w14:textId="77777777" w:rsidR="00EB3700" w:rsidRDefault="00EB3700">
      <w:pPr>
        <w:spacing w:after="0" w:line="240" w:lineRule="auto"/>
        <w:jc w:val="left"/>
        <w:rPr>
          <w:highlight w:val="cyan"/>
        </w:rPr>
      </w:pPr>
      <w:r>
        <w:rPr>
          <w:highlight w:val="cyan"/>
        </w:rPr>
        <w:br w:type="page"/>
      </w:r>
    </w:p>
    <w:tbl>
      <w:tblPr>
        <w:tblW w:w="9212" w:type="dxa"/>
        <w:jc w:val="center"/>
        <w:tblLook w:val="04A0" w:firstRow="1" w:lastRow="0" w:firstColumn="1" w:lastColumn="0" w:noHBand="0" w:noVBand="1"/>
      </w:tblPr>
      <w:tblGrid>
        <w:gridCol w:w="834"/>
        <w:gridCol w:w="726"/>
        <w:gridCol w:w="924"/>
        <w:gridCol w:w="779"/>
        <w:gridCol w:w="726"/>
        <w:gridCol w:w="1069"/>
        <w:gridCol w:w="932"/>
        <w:gridCol w:w="1152"/>
        <w:gridCol w:w="1159"/>
        <w:gridCol w:w="911"/>
      </w:tblGrid>
      <w:tr w:rsidR="00403DFC" w:rsidRPr="00403DFC" w14:paraId="43345CE6" w14:textId="77777777" w:rsidTr="00B727F7">
        <w:trPr>
          <w:cantSplit/>
          <w:trHeight w:val="340"/>
          <w:jc w:val="center"/>
        </w:trPr>
        <w:tc>
          <w:tcPr>
            <w:tcW w:w="9212" w:type="dxa"/>
            <w:gridSpan w:val="10"/>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000000" w:fill="D5DCE4"/>
            <w:vAlign w:val="center"/>
            <w:hideMark/>
          </w:tcPr>
          <w:p w14:paraId="411A32A1" w14:textId="44F82DA7" w:rsidR="005E706B" w:rsidRDefault="008C4A8D" w:rsidP="00B727F7">
            <w:pPr>
              <w:spacing w:after="0" w:line="276" w:lineRule="auto"/>
              <w:jc w:val="center"/>
              <w:rPr>
                <w:rFonts w:cs="Arial"/>
                <w:b/>
                <w:bCs/>
                <w:sz w:val="18"/>
                <w:szCs w:val="18"/>
              </w:rPr>
            </w:pPr>
            <w:bookmarkStart w:id="716" w:name="_Ref182656038"/>
            <w:bookmarkStart w:id="717" w:name="_Toc214474113"/>
            <w:r w:rsidRPr="003F2122">
              <w:rPr>
                <w:b/>
                <w:sz w:val="18"/>
                <w:szCs w:val="18"/>
              </w:rPr>
              <w:lastRenderedPageBreak/>
              <w:t>Πίνακας 4.</w:t>
            </w:r>
            <w:r w:rsidRPr="003F2122">
              <w:rPr>
                <w:b/>
                <w:sz w:val="18"/>
                <w:szCs w:val="18"/>
              </w:rPr>
              <w:fldChar w:fldCharType="begin"/>
            </w:r>
            <w:r w:rsidRPr="003F2122">
              <w:rPr>
                <w:b/>
                <w:sz w:val="18"/>
                <w:szCs w:val="18"/>
              </w:rPr>
              <w:instrText xml:space="preserve"> SEQ Πίνακας_4. \* ARABIC </w:instrText>
            </w:r>
            <w:r w:rsidRPr="003F2122">
              <w:rPr>
                <w:b/>
                <w:sz w:val="18"/>
                <w:szCs w:val="18"/>
              </w:rPr>
              <w:fldChar w:fldCharType="separate"/>
            </w:r>
            <w:r w:rsidR="00E15678">
              <w:rPr>
                <w:b/>
                <w:noProof/>
                <w:sz w:val="18"/>
                <w:szCs w:val="18"/>
              </w:rPr>
              <w:t>7</w:t>
            </w:r>
            <w:r w:rsidRPr="003F2122">
              <w:rPr>
                <w:b/>
                <w:sz w:val="18"/>
                <w:szCs w:val="18"/>
              </w:rPr>
              <w:fldChar w:fldCharType="end"/>
            </w:r>
            <w:bookmarkEnd w:id="716"/>
            <w:r w:rsidRPr="003F2122">
              <w:rPr>
                <w:b/>
                <w:sz w:val="18"/>
                <w:szCs w:val="18"/>
              </w:rPr>
              <w:t>.</w:t>
            </w:r>
            <w:r w:rsidR="00403DFC" w:rsidRPr="003F2122">
              <w:rPr>
                <w:rFonts w:cs="Arial"/>
                <w:b/>
                <w:bCs/>
                <w:sz w:val="18"/>
                <w:szCs w:val="18"/>
              </w:rPr>
              <w:t>: Δαπάνες εξυπηρέτησης</w:t>
            </w:r>
            <w:r w:rsidR="000463FD">
              <w:rPr>
                <w:rFonts w:cs="Arial"/>
                <w:b/>
                <w:bCs/>
                <w:sz w:val="18"/>
                <w:szCs w:val="18"/>
              </w:rPr>
              <w:t xml:space="preserve"> του</w:t>
            </w:r>
            <w:r w:rsidR="00403DFC" w:rsidRPr="003F2122">
              <w:rPr>
                <w:rFonts w:cs="Arial"/>
                <w:b/>
                <w:bCs/>
                <w:sz w:val="18"/>
                <w:szCs w:val="18"/>
              </w:rPr>
              <w:t xml:space="preserve"> χρέους </w:t>
            </w:r>
            <w:r w:rsidR="000463FD">
              <w:rPr>
                <w:rFonts w:cs="Arial"/>
                <w:b/>
                <w:bCs/>
                <w:sz w:val="18"/>
                <w:szCs w:val="18"/>
              </w:rPr>
              <w:t xml:space="preserve">της </w:t>
            </w:r>
            <w:r w:rsidR="00403DFC" w:rsidRPr="003F2122">
              <w:rPr>
                <w:rFonts w:cs="Arial"/>
                <w:b/>
                <w:bCs/>
                <w:sz w:val="18"/>
                <w:szCs w:val="18"/>
              </w:rPr>
              <w:t>Κεντρικής Διοίκησης</w:t>
            </w:r>
            <w:bookmarkEnd w:id="717"/>
          </w:p>
          <w:p w14:paraId="6F8B0464" w14:textId="6E1BF1DA" w:rsidR="00403DFC" w:rsidRPr="00403DFC" w:rsidRDefault="00403DFC" w:rsidP="00B727F7">
            <w:pPr>
              <w:spacing w:after="0" w:line="276" w:lineRule="auto"/>
              <w:jc w:val="center"/>
              <w:rPr>
                <w:rFonts w:cs="Arial"/>
                <w:b/>
                <w:bCs/>
                <w:sz w:val="18"/>
                <w:szCs w:val="18"/>
              </w:rPr>
            </w:pPr>
            <w:r w:rsidRPr="003F2122">
              <w:rPr>
                <w:rFonts w:cs="Arial"/>
                <w:b/>
                <w:bCs/>
                <w:sz w:val="18"/>
                <w:szCs w:val="18"/>
              </w:rPr>
              <w:t>(σε εκατ. ευρώ)</w:t>
            </w:r>
          </w:p>
        </w:tc>
      </w:tr>
      <w:tr w:rsidR="00403DFC" w:rsidRPr="00403DFC" w14:paraId="410126DD" w14:textId="77777777" w:rsidTr="00635793">
        <w:trPr>
          <w:cantSplit/>
          <w:trHeight w:val="238"/>
          <w:jc w:val="center"/>
        </w:trPr>
        <w:tc>
          <w:tcPr>
            <w:tcW w:w="834" w:type="dxa"/>
            <w:vMerge w:val="restart"/>
            <w:tcBorders>
              <w:left w:val="single" w:sz="2" w:space="0" w:color="A6A6A6" w:themeColor="background1" w:themeShade="A6"/>
            </w:tcBorders>
            <w:shd w:val="clear" w:color="auto" w:fill="F2F2F2" w:themeFill="background1" w:themeFillShade="F2"/>
            <w:noWrap/>
            <w:vAlign w:val="center"/>
            <w:hideMark/>
          </w:tcPr>
          <w:p w14:paraId="4ADCC509"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Έτος</w:t>
            </w:r>
          </w:p>
        </w:tc>
        <w:tc>
          <w:tcPr>
            <w:tcW w:w="2429" w:type="dxa"/>
            <w:gridSpan w:val="3"/>
            <w:shd w:val="clear" w:color="000000" w:fill="D9D9D9"/>
            <w:noWrap/>
            <w:vAlign w:val="center"/>
            <w:hideMark/>
          </w:tcPr>
          <w:p w14:paraId="127FD02D"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Χρεολύσια</w:t>
            </w:r>
          </w:p>
        </w:tc>
        <w:tc>
          <w:tcPr>
            <w:tcW w:w="2727" w:type="dxa"/>
            <w:gridSpan w:val="3"/>
            <w:shd w:val="clear" w:color="000000" w:fill="D9D9D9"/>
            <w:noWrap/>
            <w:vAlign w:val="center"/>
            <w:hideMark/>
          </w:tcPr>
          <w:p w14:paraId="4C620306"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Τόκοι</w:t>
            </w:r>
          </w:p>
        </w:tc>
        <w:tc>
          <w:tcPr>
            <w:tcW w:w="1152" w:type="dxa"/>
            <w:vMerge w:val="restart"/>
            <w:shd w:val="clear" w:color="auto" w:fill="F2F2F2" w:themeFill="background1" w:themeFillShade="F2"/>
            <w:vAlign w:val="center"/>
            <w:hideMark/>
          </w:tcPr>
          <w:p w14:paraId="671ACB41"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Παράλληλες δαπάνες</w:t>
            </w:r>
            <w:r w:rsidRPr="008C4A8D">
              <w:rPr>
                <w:rFonts w:cs="Arial"/>
                <w:b/>
                <w:bCs/>
                <w:sz w:val="16"/>
                <w:szCs w:val="16"/>
              </w:rPr>
              <w:br/>
              <w:t>(3)</w:t>
            </w:r>
          </w:p>
        </w:tc>
        <w:tc>
          <w:tcPr>
            <w:tcW w:w="1159" w:type="dxa"/>
            <w:vMerge w:val="restart"/>
            <w:shd w:val="clear" w:color="auto" w:fill="F2F2F2" w:themeFill="background1" w:themeFillShade="F2"/>
            <w:vAlign w:val="center"/>
            <w:hideMark/>
          </w:tcPr>
          <w:p w14:paraId="09F460CC" w14:textId="32CE4701" w:rsidR="00403DFC" w:rsidRPr="008C4A8D" w:rsidRDefault="00403DFC" w:rsidP="00B727F7">
            <w:pPr>
              <w:spacing w:after="0" w:line="276" w:lineRule="auto"/>
              <w:jc w:val="center"/>
              <w:rPr>
                <w:rFonts w:cs="Arial"/>
                <w:b/>
                <w:bCs/>
                <w:sz w:val="16"/>
                <w:szCs w:val="16"/>
              </w:rPr>
            </w:pPr>
            <w:r w:rsidRPr="008C4A8D">
              <w:rPr>
                <w:rFonts w:cs="Arial"/>
                <w:b/>
                <w:bCs/>
                <w:sz w:val="16"/>
                <w:szCs w:val="16"/>
              </w:rPr>
              <w:t xml:space="preserve">Τόκοι και </w:t>
            </w:r>
            <w:r w:rsidRPr="00241419">
              <w:rPr>
                <w:rFonts w:cs="Arial"/>
                <w:b/>
                <w:bCs/>
                <w:sz w:val="16"/>
                <w:szCs w:val="16"/>
              </w:rPr>
              <w:t>παρ</w:t>
            </w:r>
            <w:r w:rsidR="00A66893" w:rsidRPr="00241419">
              <w:rPr>
                <w:rFonts w:cs="Arial"/>
                <w:b/>
                <w:bCs/>
                <w:sz w:val="16"/>
                <w:szCs w:val="16"/>
              </w:rPr>
              <w:t>άλληλες</w:t>
            </w:r>
            <w:r w:rsidRPr="008C4A8D">
              <w:rPr>
                <w:rFonts w:cs="Arial"/>
                <w:b/>
                <w:bCs/>
                <w:sz w:val="16"/>
                <w:szCs w:val="16"/>
              </w:rPr>
              <w:t xml:space="preserve"> δαπάνες</w:t>
            </w:r>
            <w:r w:rsidRPr="008C4A8D">
              <w:rPr>
                <w:rFonts w:cs="Arial"/>
                <w:b/>
                <w:bCs/>
                <w:sz w:val="16"/>
                <w:szCs w:val="16"/>
              </w:rPr>
              <w:br/>
              <w:t>(2+3)</w:t>
            </w:r>
          </w:p>
        </w:tc>
        <w:tc>
          <w:tcPr>
            <w:tcW w:w="911" w:type="dxa"/>
            <w:vMerge w:val="restart"/>
            <w:tcBorders>
              <w:right w:val="single" w:sz="2" w:space="0" w:color="A6A6A6" w:themeColor="background1" w:themeShade="A6"/>
            </w:tcBorders>
            <w:shd w:val="clear" w:color="auto" w:fill="F2F2F2" w:themeFill="background1" w:themeFillShade="F2"/>
            <w:vAlign w:val="center"/>
            <w:hideMark/>
          </w:tcPr>
          <w:p w14:paraId="7F321FF6"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Γενικό σύνολο</w:t>
            </w:r>
            <w:r w:rsidRPr="008C4A8D">
              <w:rPr>
                <w:rFonts w:cs="Arial"/>
                <w:b/>
                <w:bCs/>
                <w:sz w:val="16"/>
                <w:szCs w:val="16"/>
              </w:rPr>
              <w:br/>
              <w:t>(1+2+3)</w:t>
            </w:r>
          </w:p>
        </w:tc>
      </w:tr>
      <w:tr w:rsidR="00A66893" w:rsidRPr="00403DFC" w14:paraId="5971461C" w14:textId="77777777" w:rsidTr="00A246C9">
        <w:trPr>
          <w:cantSplit/>
          <w:trHeight w:val="644"/>
          <w:jc w:val="center"/>
        </w:trPr>
        <w:tc>
          <w:tcPr>
            <w:tcW w:w="834" w:type="dxa"/>
            <w:vMerge/>
            <w:tcBorders>
              <w:top w:val="nil"/>
              <w:left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643CC7EC" w14:textId="77777777" w:rsidR="00403DFC" w:rsidRPr="008C4A8D" w:rsidRDefault="00403DFC" w:rsidP="00B727F7">
            <w:pPr>
              <w:spacing w:after="0" w:line="276" w:lineRule="auto"/>
              <w:jc w:val="left"/>
              <w:rPr>
                <w:rFonts w:cs="Arial"/>
                <w:b/>
                <w:bCs/>
                <w:sz w:val="16"/>
                <w:szCs w:val="16"/>
              </w:rPr>
            </w:pPr>
          </w:p>
        </w:tc>
        <w:tc>
          <w:tcPr>
            <w:tcW w:w="726" w:type="dxa"/>
            <w:tcBorders>
              <w:top w:val="nil"/>
              <w:bottom w:val="single" w:sz="2" w:space="0" w:color="A6A6A6" w:themeColor="background1" w:themeShade="A6"/>
            </w:tcBorders>
            <w:shd w:val="clear" w:color="auto" w:fill="F2F2F2" w:themeFill="background1" w:themeFillShade="F2"/>
            <w:noWrap/>
            <w:vAlign w:val="center"/>
            <w:hideMark/>
          </w:tcPr>
          <w:p w14:paraId="0ACE8832"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Συναλ.</w:t>
            </w:r>
          </w:p>
        </w:tc>
        <w:tc>
          <w:tcPr>
            <w:tcW w:w="924" w:type="dxa"/>
            <w:tcBorders>
              <w:top w:val="nil"/>
              <w:bottom w:val="single" w:sz="2" w:space="0" w:color="A6A6A6" w:themeColor="background1" w:themeShade="A6"/>
            </w:tcBorders>
            <w:shd w:val="clear" w:color="auto" w:fill="F2F2F2" w:themeFill="background1" w:themeFillShade="F2"/>
            <w:noWrap/>
            <w:vAlign w:val="center"/>
            <w:hideMark/>
          </w:tcPr>
          <w:p w14:paraId="304BA960" w14:textId="01DC6BF6" w:rsidR="00403DFC" w:rsidRPr="008C4A8D" w:rsidRDefault="00403DFC" w:rsidP="00B727F7">
            <w:pPr>
              <w:spacing w:after="0" w:line="276" w:lineRule="auto"/>
              <w:jc w:val="center"/>
              <w:rPr>
                <w:rFonts w:cs="Arial"/>
                <w:b/>
                <w:bCs/>
                <w:sz w:val="16"/>
                <w:szCs w:val="16"/>
              </w:rPr>
            </w:pPr>
            <w:r w:rsidRPr="008C4A8D">
              <w:rPr>
                <w:rFonts w:cs="Arial"/>
                <w:b/>
                <w:bCs/>
                <w:sz w:val="16"/>
                <w:szCs w:val="16"/>
              </w:rPr>
              <w:t>Εθν</w:t>
            </w:r>
            <w:r w:rsidR="00143800">
              <w:rPr>
                <w:rFonts w:cs="Arial"/>
                <w:b/>
                <w:bCs/>
                <w:sz w:val="16"/>
                <w:szCs w:val="16"/>
              </w:rPr>
              <w:t>ικό</w:t>
            </w:r>
            <w:r w:rsidRPr="008C4A8D">
              <w:rPr>
                <w:rFonts w:cs="Arial"/>
                <w:b/>
                <w:bCs/>
                <w:sz w:val="16"/>
                <w:szCs w:val="16"/>
              </w:rPr>
              <w:t xml:space="preserve"> ν</w:t>
            </w:r>
            <w:r w:rsidR="00143800">
              <w:rPr>
                <w:rFonts w:cs="Arial"/>
                <w:b/>
                <w:bCs/>
                <w:sz w:val="16"/>
                <w:szCs w:val="16"/>
              </w:rPr>
              <w:t>όμισμα</w:t>
            </w:r>
          </w:p>
        </w:tc>
        <w:tc>
          <w:tcPr>
            <w:tcW w:w="779" w:type="dxa"/>
            <w:tcBorders>
              <w:top w:val="nil"/>
              <w:bottom w:val="single" w:sz="2" w:space="0" w:color="A6A6A6" w:themeColor="background1" w:themeShade="A6"/>
            </w:tcBorders>
            <w:shd w:val="clear" w:color="auto" w:fill="F2F2F2" w:themeFill="background1" w:themeFillShade="F2"/>
            <w:vAlign w:val="center"/>
            <w:hideMark/>
          </w:tcPr>
          <w:p w14:paraId="61AD9F17"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Σύνολο</w:t>
            </w:r>
            <w:r w:rsidRPr="008C4A8D">
              <w:rPr>
                <w:rFonts w:cs="Arial"/>
                <w:b/>
                <w:bCs/>
                <w:sz w:val="16"/>
                <w:szCs w:val="16"/>
              </w:rPr>
              <w:br/>
              <w:t>(1)</w:t>
            </w:r>
          </w:p>
        </w:tc>
        <w:tc>
          <w:tcPr>
            <w:tcW w:w="726" w:type="dxa"/>
            <w:tcBorders>
              <w:top w:val="nil"/>
              <w:bottom w:val="single" w:sz="2" w:space="0" w:color="A6A6A6" w:themeColor="background1" w:themeShade="A6"/>
            </w:tcBorders>
            <w:shd w:val="clear" w:color="auto" w:fill="F2F2F2" w:themeFill="background1" w:themeFillShade="F2"/>
            <w:noWrap/>
            <w:vAlign w:val="center"/>
            <w:hideMark/>
          </w:tcPr>
          <w:p w14:paraId="5CBD1FAD"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Συναλ.</w:t>
            </w:r>
          </w:p>
        </w:tc>
        <w:tc>
          <w:tcPr>
            <w:tcW w:w="1069" w:type="dxa"/>
            <w:tcBorders>
              <w:top w:val="nil"/>
              <w:bottom w:val="single" w:sz="2" w:space="0" w:color="A6A6A6" w:themeColor="background1" w:themeShade="A6"/>
            </w:tcBorders>
            <w:shd w:val="clear" w:color="auto" w:fill="F2F2F2" w:themeFill="background1" w:themeFillShade="F2"/>
            <w:noWrap/>
            <w:vAlign w:val="center"/>
            <w:hideMark/>
          </w:tcPr>
          <w:p w14:paraId="5E752662" w14:textId="5F1C648B" w:rsidR="00403DFC" w:rsidRPr="008C4A8D" w:rsidRDefault="00403DFC" w:rsidP="00B727F7">
            <w:pPr>
              <w:spacing w:after="0" w:line="276" w:lineRule="auto"/>
              <w:jc w:val="center"/>
              <w:rPr>
                <w:rFonts w:cs="Arial"/>
                <w:b/>
                <w:bCs/>
                <w:sz w:val="16"/>
                <w:szCs w:val="16"/>
              </w:rPr>
            </w:pPr>
            <w:r w:rsidRPr="008C4A8D">
              <w:rPr>
                <w:rFonts w:cs="Arial"/>
                <w:b/>
                <w:bCs/>
                <w:sz w:val="16"/>
                <w:szCs w:val="16"/>
              </w:rPr>
              <w:t>Εθν</w:t>
            </w:r>
            <w:r w:rsidR="00143800">
              <w:rPr>
                <w:rFonts w:cs="Arial"/>
                <w:b/>
                <w:bCs/>
                <w:sz w:val="16"/>
                <w:szCs w:val="16"/>
              </w:rPr>
              <w:t>ικό</w:t>
            </w:r>
            <w:r w:rsidRPr="008C4A8D">
              <w:rPr>
                <w:rFonts w:cs="Arial"/>
                <w:b/>
                <w:bCs/>
                <w:sz w:val="16"/>
                <w:szCs w:val="16"/>
              </w:rPr>
              <w:t xml:space="preserve"> ν</w:t>
            </w:r>
            <w:r w:rsidR="00143800">
              <w:rPr>
                <w:rFonts w:cs="Arial"/>
                <w:b/>
                <w:bCs/>
                <w:sz w:val="16"/>
                <w:szCs w:val="16"/>
              </w:rPr>
              <w:t>όμισμα</w:t>
            </w:r>
          </w:p>
        </w:tc>
        <w:tc>
          <w:tcPr>
            <w:tcW w:w="932" w:type="dxa"/>
            <w:tcBorders>
              <w:top w:val="nil"/>
              <w:bottom w:val="single" w:sz="2" w:space="0" w:color="A6A6A6" w:themeColor="background1" w:themeShade="A6"/>
            </w:tcBorders>
            <w:shd w:val="clear" w:color="auto" w:fill="F2F2F2" w:themeFill="background1" w:themeFillShade="F2"/>
            <w:vAlign w:val="center"/>
            <w:hideMark/>
          </w:tcPr>
          <w:p w14:paraId="4F4E6514" w14:textId="77777777" w:rsidR="00403DFC" w:rsidRPr="008C4A8D" w:rsidRDefault="00403DFC" w:rsidP="00B727F7">
            <w:pPr>
              <w:spacing w:after="0" w:line="276" w:lineRule="auto"/>
              <w:jc w:val="center"/>
              <w:rPr>
                <w:rFonts w:cs="Arial"/>
                <w:b/>
                <w:bCs/>
                <w:sz w:val="16"/>
                <w:szCs w:val="16"/>
              </w:rPr>
            </w:pPr>
            <w:r w:rsidRPr="008C4A8D">
              <w:rPr>
                <w:rFonts w:cs="Arial"/>
                <w:b/>
                <w:bCs/>
                <w:sz w:val="16"/>
                <w:szCs w:val="16"/>
              </w:rPr>
              <w:t>Σύνολο</w:t>
            </w:r>
            <w:r w:rsidRPr="008C4A8D">
              <w:rPr>
                <w:rFonts w:cs="Arial"/>
                <w:b/>
                <w:bCs/>
                <w:sz w:val="16"/>
                <w:szCs w:val="16"/>
              </w:rPr>
              <w:br/>
              <w:t>(2)</w:t>
            </w:r>
          </w:p>
        </w:tc>
        <w:tc>
          <w:tcPr>
            <w:tcW w:w="1152" w:type="dxa"/>
            <w:vMerge/>
            <w:tcBorders>
              <w:top w:val="nil"/>
              <w:bottom w:val="single" w:sz="2" w:space="0" w:color="A6A6A6" w:themeColor="background1" w:themeShade="A6"/>
            </w:tcBorders>
            <w:shd w:val="clear" w:color="auto" w:fill="F2F2F2" w:themeFill="background1" w:themeFillShade="F2"/>
            <w:vAlign w:val="center"/>
            <w:hideMark/>
          </w:tcPr>
          <w:p w14:paraId="0D888430" w14:textId="77777777" w:rsidR="00403DFC" w:rsidRPr="008C4A8D" w:rsidRDefault="00403DFC" w:rsidP="00B727F7">
            <w:pPr>
              <w:spacing w:after="0" w:line="276" w:lineRule="auto"/>
              <w:jc w:val="left"/>
              <w:rPr>
                <w:rFonts w:cs="Arial"/>
                <w:b/>
                <w:bCs/>
                <w:sz w:val="16"/>
                <w:szCs w:val="16"/>
              </w:rPr>
            </w:pPr>
          </w:p>
        </w:tc>
        <w:tc>
          <w:tcPr>
            <w:tcW w:w="1159" w:type="dxa"/>
            <w:vMerge/>
            <w:tcBorders>
              <w:top w:val="nil"/>
              <w:bottom w:val="single" w:sz="2" w:space="0" w:color="A6A6A6" w:themeColor="background1" w:themeShade="A6"/>
            </w:tcBorders>
            <w:shd w:val="clear" w:color="auto" w:fill="F2F2F2" w:themeFill="background1" w:themeFillShade="F2"/>
            <w:vAlign w:val="center"/>
            <w:hideMark/>
          </w:tcPr>
          <w:p w14:paraId="4943E9B2" w14:textId="77777777" w:rsidR="00403DFC" w:rsidRPr="008C4A8D" w:rsidRDefault="00403DFC" w:rsidP="00B727F7">
            <w:pPr>
              <w:spacing w:after="0" w:line="276" w:lineRule="auto"/>
              <w:jc w:val="left"/>
              <w:rPr>
                <w:rFonts w:cs="Arial"/>
                <w:b/>
                <w:bCs/>
                <w:sz w:val="16"/>
                <w:szCs w:val="16"/>
              </w:rPr>
            </w:pPr>
          </w:p>
        </w:tc>
        <w:tc>
          <w:tcPr>
            <w:tcW w:w="911" w:type="dxa"/>
            <w:vMerge/>
            <w:tcBorders>
              <w:top w:val="nil"/>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4D693DB6" w14:textId="77777777" w:rsidR="00403DFC" w:rsidRPr="008C4A8D" w:rsidRDefault="00403DFC" w:rsidP="00B727F7">
            <w:pPr>
              <w:spacing w:after="0" w:line="276" w:lineRule="auto"/>
              <w:jc w:val="left"/>
              <w:rPr>
                <w:rFonts w:cs="Arial"/>
                <w:b/>
                <w:bCs/>
                <w:sz w:val="16"/>
                <w:szCs w:val="16"/>
              </w:rPr>
            </w:pPr>
          </w:p>
        </w:tc>
      </w:tr>
      <w:tr w:rsidR="005B62C7" w:rsidRPr="004C7B3C" w14:paraId="502BABB4" w14:textId="77777777" w:rsidTr="00A246C9">
        <w:trPr>
          <w:cantSplit/>
          <w:trHeight w:val="238"/>
          <w:jc w:val="center"/>
        </w:trPr>
        <w:tc>
          <w:tcPr>
            <w:tcW w:w="834" w:type="dxa"/>
            <w:tcBorders>
              <w:top w:val="single" w:sz="2" w:space="0" w:color="A6A6A6" w:themeColor="background1" w:themeShade="A6"/>
              <w:left w:val="single" w:sz="2" w:space="0" w:color="A6A6A6" w:themeColor="background1" w:themeShade="A6"/>
              <w:bottom w:val="nil"/>
              <w:right w:val="nil"/>
            </w:tcBorders>
            <w:shd w:val="clear" w:color="auto" w:fill="auto"/>
            <w:noWrap/>
            <w:vAlign w:val="center"/>
          </w:tcPr>
          <w:p w14:paraId="699B7597" w14:textId="1F0059ED" w:rsidR="005B62C7" w:rsidRPr="004C7B3C" w:rsidRDefault="005B62C7" w:rsidP="00B727F7">
            <w:pPr>
              <w:spacing w:after="0" w:line="276" w:lineRule="auto"/>
              <w:jc w:val="center"/>
              <w:rPr>
                <w:rFonts w:cs="Arial"/>
                <w:sz w:val="16"/>
                <w:szCs w:val="16"/>
              </w:rPr>
            </w:pPr>
            <w:r w:rsidRPr="004C7B3C">
              <w:rPr>
                <w:rFonts w:cs="Arial"/>
                <w:sz w:val="16"/>
                <w:szCs w:val="16"/>
              </w:rPr>
              <w:t>2004</w:t>
            </w:r>
          </w:p>
        </w:tc>
        <w:tc>
          <w:tcPr>
            <w:tcW w:w="726" w:type="dxa"/>
            <w:tcBorders>
              <w:top w:val="single" w:sz="2" w:space="0" w:color="A6A6A6" w:themeColor="background1" w:themeShade="A6"/>
              <w:left w:val="nil"/>
              <w:bottom w:val="nil"/>
              <w:right w:val="nil"/>
            </w:tcBorders>
            <w:shd w:val="clear" w:color="auto" w:fill="auto"/>
            <w:noWrap/>
            <w:vAlign w:val="center"/>
          </w:tcPr>
          <w:p w14:paraId="0BFAFE65" w14:textId="6B86A7C5" w:rsidR="005B62C7" w:rsidRPr="004C7B3C" w:rsidRDefault="005B62C7" w:rsidP="00B727F7">
            <w:pPr>
              <w:spacing w:after="0" w:line="276" w:lineRule="auto"/>
              <w:jc w:val="right"/>
              <w:rPr>
                <w:rFonts w:cs="Arial"/>
                <w:sz w:val="16"/>
                <w:szCs w:val="16"/>
              </w:rPr>
            </w:pPr>
            <w:r w:rsidRPr="004C7B3C">
              <w:rPr>
                <w:rFonts w:cs="Arial"/>
                <w:sz w:val="16"/>
                <w:szCs w:val="16"/>
              </w:rPr>
              <w:t>667</w:t>
            </w:r>
          </w:p>
        </w:tc>
        <w:tc>
          <w:tcPr>
            <w:tcW w:w="924" w:type="dxa"/>
            <w:tcBorders>
              <w:top w:val="single" w:sz="2" w:space="0" w:color="A6A6A6" w:themeColor="background1" w:themeShade="A6"/>
              <w:left w:val="nil"/>
              <w:bottom w:val="nil"/>
              <w:right w:val="nil"/>
            </w:tcBorders>
            <w:shd w:val="clear" w:color="auto" w:fill="auto"/>
            <w:noWrap/>
            <w:vAlign w:val="center"/>
          </w:tcPr>
          <w:p w14:paraId="36FE28AE" w14:textId="27DF2621" w:rsidR="005B62C7" w:rsidRPr="004C7B3C" w:rsidRDefault="005B62C7" w:rsidP="00B727F7">
            <w:pPr>
              <w:spacing w:after="0" w:line="276" w:lineRule="auto"/>
              <w:jc w:val="right"/>
              <w:rPr>
                <w:rFonts w:cs="Arial"/>
                <w:sz w:val="16"/>
                <w:szCs w:val="16"/>
              </w:rPr>
            </w:pPr>
            <w:r w:rsidRPr="004C7B3C">
              <w:rPr>
                <w:rFonts w:cs="Arial"/>
                <w:sz w:val="16"/>
                <w:szCs w:val="16"/>
              </w:rPr>
              <w:t>17.777</w:t>
            </w:r>
          </w:p>
        </w:tc>
        <w:tc>
          <w:tcPr>
            <w:tcW w:w="779" w:type="dxa"/>
            <w:tcBorders>
              <w:top w:val="single" w:sz="2" w:space="0" w:color="A6A6A6" w:themeColor="background1" w:themeShade="A6"/>
              <w:left w:val="nil"/>
              <w:bottom w:val="nil"/>
              <w:right w:val="nil"/>
            </w:tcBorders>
            <w:shd w:val="clear" w:color="auto" w:fill="auto"/>
            <w:noWrap/>
            <w:vAlign w:val="center"/>
          </w:tcPr>
          <w:p w14:paraId="4F6B79B2" w14:textId="36C699AE" w:rsidR="005B62C7" w:rsidRPr="004C7B3C" w:rsidRDefault="005B62C7" w:rsidP="00B727F7">
            <w:pPr>
              <w:spacing w:after="0" w:line="276" w:lineRule="auto"/>
              <w:jc w:val="right"/>
              <w:rPr>
                <w:rFonts w:cs="Arial"/>
                <w:sz w:val="16"/>
                <w:szCs w:val="16"/>
              </w:rPr>
            </w:pPr>
            <w:r w:rsidRPr="004C7B3C">
              <w:rPr>
                <w:rFonts w:cs="Arial"/>
                <w:sz w:val="16"/>
                <w:szCs w:val="16"/>
              </w:rPr>
              <w:t>18.444</w:t>
            </w:r>
          </w:p>
        </w:tc>
        <w:tc>
          <w:tcPr>
            <w:tcW w:w="726" w:type="dxa"/>
            <w:tcBorders>
              <w:top w:val="single" w:sz="2" w:space="0" w:color="A6A6A6" w:themeColor="background1" w:themeShade="A6"/>
              <w:left w:val="nil"/>
              <w:bottom w:val="nil"/>
              <w:right w:val="nil"/>
            </w:tcBorders>
            <w:shd w:val="clear" w:color="auto" w:fill="auto"/>
            <w:noWrap/>
            <w:vAlign w:val="center"/>
          </w:tcPr>
          <w:p w14:paraId="69287D60" w14:textId="7C026BF1" w:rsidR="005B62C7" w:rsidRPr="004C7B3C" w:rsidRDefault="005B62C7" w:rsidP="00B727F7">
            <w:pPr>
              <w:spacing w:after="0" w:line="276" w:lineRule="auto"/>
              <w:jc w:val="right"/>
              <w:rPr>
                <w:rFonts w:cs="Arial"/>
                <w:sz w:val="16"/>
                <w:szCs w:val="16"/>
              </w:rPr>
            </w:pPr>
            <w:r w:rsidRPr="004C7B3C">
              <w:rPr>
                <w:rFonts w:cs="Arial"/>
                <w:sz w:val="16"/>
                <w:szCs w:val="16"/>
              </w:rPr>
              <w:t>85</w:t>
            </w:r>
          </w:p>
        </w:tc>
        <w:tc>
          <w:tcPr>
            <w:tcW w:w="1069" w:type="dxa"/>
            <w:tcBorders>
              <w:top w:val="single" w:sz="2" w:space="0" w:color="A6A6A6" w:themeColor="background1" w:themeShade="A6"/>
              <w:left w:val="nil"/>
              <w:bottom w:val="nil"/>
              <w:right w:val="nil"/>
            </w:tcBorders>
            <w:shd w:val="clear" w:color="auto" w:fill="auto"/>
            <w:noWrap/>
            <w:vAlign w:val="center"/>
          </w:tcPr>
          <w:p w14:paraId="515EB24D" w14:textId="03F4048D" w:rsidR="005B62C7" w:rsidRPr="004C7B3C" w:rsidRDefault="005B62C7" w:rsidP="00B727F7">
            <w:pPr>
              <w:spacing w:after="0" w:line="276" w:lineRule="auto"/>
              <w:jc w:val="right"/>
              <w:rPr>
                <w:rFonts w:cs="Arial"/>
                <w:sz w:val="16"/>
                <w:szCs w:val="16"/>
              </w:rPr>
            </w:pPr>
            <w:r w:rsidRPr="004C7B3C">
              <w:rPr>
                <w:rFonts w:cs="Arial"/>
                <w:sz w:val="16"/>
                <w:szCs w:val="16"/>
              </w:rPr>
              <w:t>9.198</w:t>
            </w:r>
          </w:p>
        </w:tc>
        <w:tc>
          <w:tcPr>
            <w:tcW w:w="932" w:type="dxa"/>
            <w:tcBorders>
              <w:top w:val="single" w:sz="2" w:space="0" w:color="A6A6A6" w:themeColor="background1" w:themeShade="A6"/>
              <w:left w:val="nil"/>
              <w:bottom w:val="nil"/>
              <w:right w:val="nil"/>
            </w:tcBorders>
            <w:shd w:val="clear" w:color="auto" w:fill="auto"/>
            <w:noWrap/>
            <w:vAlign w:val="center"/>
          </w:tcPr>
          <w:p w14:paraId="38EB196D" w14:textId="435F3C69" w:rsidR="005B62C7" w:rsidRPr="004C7B3C" w:rsidRDefault="005B62C7" w:rsidP="00B727F7">
            <w:pPr>
              <w:spacing w:after="0" w:line="276" w:lineRule="auto"/>
              <w:jc w:val="right"/>
              <w:rPr>
                <w:rFonts w:cs="Arial"/>
                <w:sz w:val="16"/>
                <w:szCs w:val="16"/>
              </w:rPr>
            </w:pPr>
            <w:r w:rsidRPr="004C7B3C">
              <w:rPr>
                <w:rFonts w:cs="Arial"/>
                <w:sz w:val="16"/>
                <w:szCs w:val="16"/>
              </w:rPr>
              <w:t>9.283</w:t>
            </w:r>
          </w:p>
        </w:tc>
        <w:tc>
          <w:tcPr>
            <w:tcW w:w="1152" w:type="dxa"/>
            <w:tcBorders>
              <w:top w:val="single" w:sz="2" w:space="0" w:color="A6A6A6" w:themeColor="background1" w:themeShade="A6"/>
              <w:left w:val="nil"/>
              <w:bottom w:val="nil"/>
              <w:right w:val="nil"/>
            </w:tcBorders>
            <w:shd w:val="clear" w:color="auto" w:fill="auto"/>
            <w:noWrap/>
            <w:vAlign w:val="center"/>
          </w:tcPr>
          <w:p w14:paraId="2E3B4231" w14:textId="379D61E9" w:rsidR="005B62C7" w:rsidRPr="004C7B3C" w:rsidRDefault="005B62C7" w:rsidP="00B727F7">
            <w:pPr>
              <w:spacing w:after="0" w:line="276" w:lineRule="auto"/>
              <w:jc w:val="right"/>
              <w:rPr>
                <w:rFonts w:cs="Arial"/>
                <w:sz w:val="16"/>
                <w:szCs w:val="16"/>
              </w:rPr>
            </w:pPr>
            <w:r w:rsidRPr="004C7B3C">
              <w:rPr>
                <w:rFonts w:cs="Arial"/>
                <w:sz w:val="16"/>
                <w:szCs w:val="16"/>
              </w:rPr>
              <w:t>72</w:t>
            </w:r>
          </w:p>
        </w:tc>
        <w:tc>
          <w:tcPr>
            <w:tcW w:w="1159" w:type="dxa"/>
            <w:tcBorders>
              <w:top w:val="single" w:sz="2" w:space="0" w:color="A6A6A6" w:themeColor="background1" w:themeShade="A6"/>
              <w:left w:val="nil"/>
              <w:bottom w:val="nil"/>
              <w:right w:val="nil"/>
            </w:tcBorders>
            <w:shd w:val="clear" w:color="auto" w:fill="auto"/>
            <w:noWrap/>
            <w:vAlign w:val="center"/>
          </w:tcPr>
          <w:p w14:paraId="3267123E" w14:textId="2BC1F259" w:rsidR="005B62C7" w:rsidRPr="004C7B3C" w:rsidRDefault="005B62C7" w:rsidP="00B727F7">
            <w:pPr>
              <w:spacing w:after="0" w:line="276" w:lineRule="auto"/>
              <w:jc w:val="right"/>
              <w:rPr>
                <w:rFonts w:cs="Arial"/>
                <w:sz w:val="16"/>
                <w:szCs w:val="16"/>
              </w:rPr>
            </w:pPr>
            <w:r w:rsidRPr="004C7B3C">
              <w:rPr>
                <w:rFonts w:cs="Arial"/>
                <w:sz w:val="16"/>
                <w:szCs w:val="16"/>
              </w:rPr>
              <w:t>9.355</w:t>
            </w:r>
          </w:p>
        </w:tc>
        <w:tc>
          <w:tcPr>
            <w:tcW w:w="911" w:type="dxa"/>
            <w:tcBorders>
              <w:top w:val="single" w:sz="2" w:space="0" w:color="A6A6A6" w:themeColor="background1" w:themeShade="A6"/>
              <w:left w:val="nil"/>
              <w:bottom w:val="nil"/>
              <w:right w:val="single" w:sz="2" w:space="0" w:color="A6A6A6" w:themeColor="background1" w:themeShade="A6"/>
            </w:tcBorders>
            <w:shd w:val="clear" w:color="auto" w:fill="auto"/>
            <w:noWrap/>
            <w:vAlign w:val="center"/>
          </w:tcPr>
          <w:p w14:paraId="37339018" w14:textId="4A7B1DD8" w:rsidR="005B62C7" w:rsidRPr="004C7B3C" w:rsidRDefault="005B62C7" w:rsidP="00B727F7">
            <w:pPr>
              <w:spacing w:after="0" w:line="276" w:lineRule="auto"/>
              <w:jc w:val="right"/>
              <w:rPr>
                <w:rFonts w:cs="Arial"/>
                <w:sz w:val="16"/>
                <w:szCs w:val="16"/>
              </w:rPr>
            </w:pPr>
            <w:r w:rsidRPr="004C7B3C">
              <w:rPr>
                <w:rFonts w:cs="Arial"/>
                <w:sz w:val="16"/>
                <w:szCs w:val="16"/>
              </w:rPr>
              <w:t>27.799</w:t>
            </w:r>
          </w:p>
        </w:tc>
      </w:tr>
      <w:tr w:rsidR="005B62C7" w:rsidRPr="004C7B3C" w14:paraId="2B0DAB81" w14:textId="77777777" w:rsidTr="00635793">
        <w:trPr>
          <w:cantSplit/>
          <w:trHeight w:val="238"/>
          <w:jc w:val="center"/>
        </w:trPr>
        <w:tc>
          <w:tcPr>
            <w:tcW w:w="834" w:type="dxa"/>
            <w:tcBorders>
              <w:top w:val="nil"/>
              <w:left w:val="single" w:sz="2" w:space="0" w:color="A6A6A6" w:themeColor="background1" w:themeShade="A6"/>
              <w:bottom w:val="nil"/>
              <w:right w:val="nil"/>
            </w:tcBorders>
            <w:shd w:val="clear" w:color="auto" w:fill="auto"/>
            <w:noWrap/>
            <w:vAlign w:val="center"/>
          </w:tcPr>
          <w:p w14:paraId="36670111" w14:textId="7034B551" w:rsidR="005B62C7" w:rsidRPr="004C7B3C" w:rsidRDefault="005B62C7" w:rsidP="00B727F7">
            <w:pPr>
              <w:spacing w:after="0" w:line="276" w:lineRule="auto"/>
              <w:jc w:val="center"/>
              <w:rPr>
                <w:rFonts w:cs="Arial"/>
                <w:sz w:val="16"/>
                <w:szCs w:val="16"/>
              </w:rPr>
            </w:pPr>
            <w:r w:rsidRPr="004C7B3C">
              <w:rPr>
                <w:rFonts w:cs="Arial"/>
                <w:sz w:val="16"/>
                <w:szCs w:val="16"/>
              </w:rPr>
              <w:t>2005</w:t>
            </w:r>
          </w:p>
        </w:tc>
        <w:tc>
          <w:tcPr>
            <w:tcW w:w="726" w:type="dxa"/>
            <w:tcBorders>
              <w:top w:val="nil"/>
              <w:left w:val="nil"/>
              <w:bottom w:val="nil"/>
              <w:right w:val="nil"/>
            </w:tcBorders>
            <w:shd w:val="clear" w:color="auto" w:fill="auto"/>
            <w:noWrap/>
            <w:vAlign w:val="center"/>
          </w:tcPr>
          <w:p w14:paraId="28A0B980" w14:textId="311CDA10" w:rsidR="005B62C7" w:rsidRPr="004C7B3C" w:rsidRDefault="005B62C7" w:rsidP="00B727F7">
            <w:pPr>
              <w:spacing w:after="0" w:line="276" w:lineRule="auto"/>
              <w:jc w:val="right"/>
              <w:rPr>
                <w:rFonts w:cs="Arial"/>
                <w:sz w:val="16"/>
                <w:szCs w:val="16"/>
              </w:rPr>
            </w:pPr>
            <w:r w:rsidRPr="004C7B3C">
              <w:rPr>
                <w:rFonts w:cs="Arial"/>
                <w:sz w:val="16"/>
                <w:szCs w:val="16"/>
              </w:rPr>
              <w:t>751</w:t>
            </w:r>
          </w:p>
        </w:tc>
        <w:tc>
          <w:tcPr>
            <w:tcW w:w="924" w:type="dxa"/>
            <w:tcBorders>
              <w:top w:val="nil"/>
              <w:left w:val="nil"/>
              <w:bottom w:val="nil"/>
              <w:right w:val="nil"/>
            </w:tcBorders>
            <w:shd w:val="clear" w:color="auto" w:fill="auto"/>
            <w:noWrap/>
            <w:vAlign w:val="center"/>
          </w:tcPr>
          <w:p w14:paraId="38F9328D" w14:textId="3AE6788C" w:rsidR="005B62C7" w:rsidRPr="004C7B3C" w:rsidRDefault="005B62C7" w:rsidP="00B727F7">
            <w:pPr>
              <w:spacing w:after="0" w:line="276" w:lineRule="auto"/>
              <w:jc w:val="right"/>
              <w:rPr>
                <w:rFonts w:cs="Arial"/>
                <w:sz w:val="16"/>
                <w:szCs w:val="16"/>
              </w:rPr>
            </w:pPr>
            <w:r w:rsidRPr="004C7B3C">
              <w:rPr>
                <w:rFonts w:cs="Arial"/>
                <w:sz w:val="16"/>
                <w:szCs w:val="16"/>
              </w:rPr>
              <w:t>19.628</w:t>
            </w:r>
          </w:p>
        </w:tc>
        <w:tc>
          <w:tcPr>
            <w:tcW w:w="779" w:type="dxa"/>
            <w:tcBorders>
              <w:top w:val="nil"/>
              <w:left w:val="nil"/>
              <w:bottom w:val="nil"/>
              <w:right w:val="nil"/>
            </w:tcBorders>
            <w:shd w:val="clear" w:color="auto" w:fill="auto"/>
            <w:noWrap/>
            <w:vAlign w:val="center"/>
          </w:tcPr>
          <w:p w14:paraId="4B1516E6" w14:textId="36AB5971" w:rsidR="005B62C7" w:rsidRPr="004C7B3C" w:rsidRDefault="005B62C7" w:rsidP="00B727F7">
            <w:pPr>
              <w:spacing w:after="0" w:line="276" w:lineRule="auto"/>
              <w:jc w:val="right"/>
              <w:rPr>
                <w:rFonts w:cs="Arial"/>
                <w:sz w:val="16"/>
                <w:szCs w:val="16"/>
              </w:rPr>
            </w:pPr>
            <w:r w:rsidRPr="004C7B3C">
              <w:rPr>
                <w:rFonts w:cs="Arial"/>
                <w:sz w:val="16"/>
                <w:szCs w:val="16"/>
              </w:rPr>
              <w:t>20.379</w:t>
            </w:r>
          </w:p>
        </w:tc>
        <w:tc>
          <w:tcPr>
            <w:tcW w:w="726" w:type="dxa"/>
            <w:tcBorders>
              <w:top w:val="nil"/>
              <w:left w:val="nil"/>
              <w:bottom w:val="nil"/>
              <w:right w:val="nil"/>
            </w:tcBorders>
            <w:shd w:val="clear" w:color="auto" w:fill="auto"/>
            <w:noWrap/>
            <w:vAlign w:val="center"/>
          </w:tcPr>
          <w:p w14:paraId="031C60EE" w14:textId="669321EF" w:rsidR="005B62C7" w:rsidRPr="004C7B3C" w:rsidRDefault="005B62C7" w:rsidP="00B727F7">
            <w:pPr>
              <w:spacing w:after="0" w:line="276" w:lineRule="auto"/>
              <w:jc w:val="right"/>
              <w:rPr>
                <w:rFonts w:cs="Arial"/>
                <w:sz w:val="16"/>
                <w:szCs w:val="16"/>
              </w:rPr>
            </w:pPr>
            <w:r w:rsidRPr="004C7B3C">
              <w:rPr>
                <w:rFonts w:cs="Arial"/>
                <w:sz w:val="16"/>
                <w:szCs w:val="16"/>
              </w:rPr>
              <w:t>108</w:t>
            </w:r>
          </w:p>
        </w:tc>
        <w:tc>
          <w:tcPr>
            <w:tcW w:w="1069" w:type="dxa"/>
            <w:tcBorders>
              <w:top w:val="nil"/>
              <w:left w:val="nil"/>
              <w:bottom w:val="nil"/>
              <w:right w:val="nil"/>
            </w:tcBorders>
            <w:shd w:val="clear" w:color="auto" w:fill="auto"/>
            <w:noWrap/>
            <w:vAlign w:val="center"/>
          </w:tcPr>
          <w:p w14:paraId="72BF4919" w14:textId="3589BE84" w:rsidR="005B62C7" w:rsidRPr="004C7B3C" w:rsidRDefault="005B62C7" w:rsidP="00B727F7">
            <w:pPr>
              <w:spacing w:after="0" w:line="276" w:lineRule="auto"/>
              <w:jc w:val="right"/>
              <w:rPr>
                <w:rFonts w:cs="Arial"/>
                <w:sz w:val="16"/>
                <w:szCs w:val="16"/>
              </w:rPr>
            </w:pPr>
            <w:r w:rsidRPr="004C7B3C">
              <w:rPr>
                <w:rFonts w:cs="Arial"/>
                <w:sz w:val="16"/>
                <w:szCs w:val="16"/>
              </w:rPr>
              <w:t>9.508</w:t>
            </w:r>
          </w:p>
        </w:tc>
        <w:tc>
          <w:tcPr>
            <w:tcW w:w="932" w:type="dxa"/>
            <w:tcBorders>
              <w:top w:val="nil"/>
              <w:left w:val="nil"/>
              <w:bottom w:val="nil"/>
              <w:right w:val="nil"/>
            </w:tcBorders>
            <w:shd w:val="clear" w:color="auto" w:fill="auto"/>
            <w:noWrap/>
            <w:vAlign w:val="center"/>
          </w:tcPr>
          <w:p w14:paraId="2F643E98" w14:textId="005EAEFD" w:rsidR="005B62C7" w:rsidRPr="004C7B3C" w:rsidRDefault="005B62C7" w:rsidP="00B727F7">
            <w:pPr>
              <w:spacing w:after="0" w:line="276" w:lineRule="auto"/>
              <w:jc w:val="right"/>
              <w:rPr>
                <w:rFonts w:cs="Arial"/>
                <w:sz w:val="16"/>
                <w:szCs w:val="16"/>
              </w:rPr>
            </w:pPr>
            <w:r w:rsidRPr="004C7B3C">
              <w:rPr>
                <w:rFonts w:cs="Arial"/>
                <w:sz w:val="16"/>
                <w:szCs w:val="16"/>
              </w:rPr>
              <w:t>9.616</w:t>
            </w:r>
          </w:p>
        </w:tc>
        <w:tc>
          <w:tcPr>
            <w:tcW w:w="1152" w:type="dxa"/>
            <w:tcBorders>
              <w:top w:val="nil"/>
              <w:left w:val="nil"/>
              <w:bottom w:val="nil"/>
              <w:right w:val="nil"/>
            </w:tcBorders>
            <w:shd w:val="clear" w:color="auto" w:fill="auto"/>
            <w:noWrap/>
            <w:vAlign w:val="center"/>
          </w:tcPr>
          <w:p w14:paraId="33C21706" w14:textId="4B6BDC01" w:rsidR="005B62C7" w:rsidRPr="004C7B3C" w:rsidRDefault="005B62C7" w:rsidP="00B727F7">
            <w:pPr>
              <w:spacing w:after="0" w:line="276" w:lineRule="auto"/>
              <w:jc w:val="right"/>
              <w:rPr>
                <w:rFonts w:cs="Arial"/>
                <w:sz w:val="16"/>
                <w:szCs w:val="16"/>
              </w:rPr>
            </w:pPr>
            <w:r w:rsidRPr="004C7B3C">
              <w:rPr>
                <w:rFonts w:cs="Arial"/>
                <w:sz w:val="16"/>
                <w:szCs w:val="16"/>
              </w:rPr>
              <w:t>71</w:t>
            </w:r>
          </w:p>
        </w:tc>
        <w:tc>
          <w:tcPr>
            <w:tcW w:w="1159" w:type="dxa"/>
            <w:tcBorders>
              <w:top w:val="nil"/>
              <w:left w:val="nil"/>
              <w:bottom w:val="nil"/>
              <w:right w:val="nil"/>
            </w:tcBorders>
            <w:shd w:val="clear" w:color="auto" w:fill="auto"/>
            <w:noWrap/>
            <w:vAlign w:val="center"/>
          </w:tcPr>
          <w:p w14:paraId="37FA17CC" w14:textId="03E3DFC5" w:rsidR="005B62C7" w:rsidRPr="004C7B3C" w:rsidRDefault="005B62C7" w:rsidP="00B727F7">
            <w:pPr>
              <w:spacing w:after="0" w:line="276" w:lineRule="auto"/>
              <w:jc w:val="right"/>
              <w:rPr>
                <w:rFonts w:cs="Arial"/>
                <w:sz w:val="16"/>
                <w:szCs w:val="16"/>
              </w:rPr>
            </w:pPr>
            <w:r w:rsidRPr="004C7B3C">
              <w:rPr>
                <w:rFonts w:cs="Arial"/>
                <w:sz w:val="16"/>
                <w:szCs w:val="16"/>
              </w:rPr>
              <w:t>9.687</w:t>
            </w:r>
          </w:p>
        </w:tc>
        <w:tc>
          <w:tcPr>
            <w:tcW w:w="911" w:type="dxa"/>
            <w:tcBorders>
              <w:top w:val="nil"/>
              <w:left w:val="nil"/>
              <w:bottom w:val="nil"/>
              <w:right w:val="single" w:sz="2" w:space="0" w:color="A6A6A6" w:themeColor="background1" w:themeShade="A6"/>
            </w:tcBorders>
            <w:shd w:val="clear" w:color="auto" w:fill="auto"/>
            <w:noWrap/>
            <w:vAlign w:val="center"/>
          </w:tcPr>
          <w:p w14:paraId="106FC60D" w14:textId="580C3C6A" w:rsidR="005B62C7" w:rsidRPr="004C7B3C" w:rsidRDefault="005B62C7" w:rsidP="00B727F7">
            <w:pPr>
              <w:spacing w:after="0" w:line="276" w:lineRule="auto"/>
              <w:jc w:val="right"/>
              <w:rPr>
                <w:rFonts w:cs="Arial"/>
                <w:sz w:val="16"/>
                <w:szCs w:val="16"/>
              </w:rPr>
            </w:pPr>
            <w:r w:rsidRPr="004C7B3C">
              <w:rPr>
                <w:rFonts w:cs="Arial"/>
                <w:sz w:val="16"/>
                <w:szCs w:val="16"/>
              </w:rPr>
              <w:t>30.066</w:t>
            </w:r>
          </w:p>
        </w:tc>
      </w:tr>
      <w:tr w:rsidR="005B62C7" w:rsidRPr="004C7B3C" w14:paraId="0FCF6165" w14:textId="77777777" w:rsidTr="00635793">
        <w:trPr>
          <w:cantSplit/>
          <w:trHeight w:val="253"/>
          <w:jc w:val="center"/>
        </w:trPr>
        <w:tc>
          <w:tcPr>
            <w:tcW w:w="834" w:type="dxa"/>
            <w:tcBorders>
              <w:top w:val="nil"/>
              <w:left w:val="single" w:sz="2" w:space="0" w:color="A6A6A6" w:themeColor="background1" w:themeShade="A6"/>
              <w:bottom w:val="nil"/>
              <w:right w:val="nil"/>
            </w:tcBorders>
            <w:shd w:val="clear" w:color="auto" w:fill="auto"/>
            <w:noWrap/>
            <w:vAlign w:val="center"/>
          </w:tcPr>
          <w:p w14:paraId="467931FB" w14:textId="6876A305" w:rsidR="005B62C7" w:rsidRPr="004C7B3C" w:rsidRDefault="005B62C7" w:rsidP="00B727F7">
            <w:pPr>
              <w:spacing w:after="0" w:line="276" w:lineRule="auto"/>
              <w:jc w:val="center"/>
              <w:rPr>
                <w:rFonts w:cs="Arial"/>
                <w:sz w:val="16"/>
                <w:szCs w:val="16"/>
              </w:rPr>
            </w:pPr>
            <w:r w:rsidRPr="004C7B3C">
              <w:rPr>
                <w:rFonts w:cs="Arial"/>
                <w:sz w:val="16"/>
                <w:szCs w:val="16"/>
              </w:rPr>
              <w:t>2006</w:t>
            </w:r>
          </w:p>
        </w:tc>
        <w:tc>
          <w:tcPr>
            <w:tcW w:w="726" w:type="dxa"/>
            <w:tcBorders>
              <w:top w:val="nil"/>
              <w:left w:val="nil"/>
              <w:bottom w:val="nil"/>
              <w:right w:val="nil"/>
            </w:tcBorders>
            <w:shd w:val="clear" w:color="auto" w:fill="auto"/>
            <w:noWrap/>
            <w:vAlign w:val="center"/>
          </w:tcPr>
          <w:p w14:paraId="327F33EA" w14:textId="2A58E1F7" w:rsidR="005B62C7" w:rsidRPr="004C7B3C" w:rsidRDefault="005B62C7" w:rsidP="00B727F7">
            <w:pPr>
              <w:spacing w:after="0" w:line="276" w:lineRule="auto"/>
              <w:jc w:val="right"/>
              <w:rPr>
                <w:rFonts w:cs="Arial"/>
                <w:sz w:val="16"/>
                <w:szCs w:val="16"/>
              </w:rPr>
            </w:pPr>
            <w:r w:rsidRPr="004C7B3C">
              <w:rPr>
                <w:rFonts w:cs="Arial"/>
                <w:sz w:val="16"/>
                <w:szCs w:val="16"/>
              </w:rPr>
              <w:t>65</w:t>
            </w:r>
          </w:p>
        </w:tc>
        <w:tc>
          <w:tcPr>
            <w:tcW w:w="924" w:type="dxa"/>
            <w:tcBorders>
              <w:top w:val="nil"/>
              <w:left w:val="nil"/>
              <w:bottom w:val="nil"/>
              <w:right w:val="nil"/>
            </w:tcBorders>
            <w:shd w:val="clear" w:color="auto" w:fill="auto"/>
            <w:noWrap/>
            <w:vAlign w:val="center"/>
          </w:tcPr>
          <w:p w14:paraId="54F767A8" w14:textId="2EE190D5" w:rsidR="005B62C7" w:rsidRPr="004C7B3C" w:rsidRDefault="005B62C7" w:rsidP="00B727F7">
            <w:pPr>
              <w:spacing w:after="0" w:line="276" w:lineRule="auto"/>
              <w:jc w:val="right"/>
              <w:rPr>
                <w:rFonts w:cs="Arial"/>
                <w:sz w:val="16"/>
                <w:szCs w:val="16"/>
              </w:rPr>
            </w:pPr>
            <w:r w:rsidRPr="004C7B3C">
              <w:rPr>
                <w:rFonts w:cs="Arial"/>
                <w:sz w:val="16"/>
                <w:szCs w:val="16"/>
              </w:rPr>
              <w:t>16.524</w:t>
            </w:r>
          </w:p>
        </w:tc>
        <w:tc>
          <w:tcPr>
            <w:tcW w:w="779" w:type="dxa"/>
            <w:tcBorders>
              <w:top w:val="nil"/>
              <w:left w:val="nil"/>
              <w:bottom w:val="nil"/>
              <w:right w:val="nil"/>
            </w:tcBorders>
            <w:shd w:val="clear" w:color="auto" w:fill="auto"/>
            <w:noWrap/>
            <w:vAlign w:val="center"/>
          </w:tcPr>
          <w:p w14:paraId="32507518" w14:textId="1E7DF587" w:rsidR="005B62C7" w:rsidRPr="004C7B3C" w:rsidRDefault="005B62C7" w:rsidP="00B727F7">
            <w:pPr>
              <w:spacing w:after="0" w:line="276" w:lineRule="auto"/>
              <w:jc w:val="right"/>
              <w:rPr>
                <w:rFonts w:cs="Arial"/>
                <w:sz w:val="16"/>
                <w:szCs w:val="16"/>
              </w:rPr>
            </w:pPr>
            <w:r w:rsidRPr="004C7B3C">
              <w:rPr>
                <w:rFonts w:cs="Arial"/>
                <w:sz w:val="16"/>
                <w:szCs w:val="16"/>
              </w:rPr>
              <w:t>16.589</w:t>
            </w:r>
          </w:p>
        </w:tc>
        <w:tc>
          <w:tcPr>
            <w:tcW w:w="726" w:type="dxa"/>
            <w:tcBorders>
              <w:top w:val="nil"/>
              <w:left w:val="nil"/>
              <w:bottom w:val="nil"/>
              <w:right w:val="nil"/>
            </w:tcBorders>
            <w:shd w:val="clear" w:color="auto" w:fill="auto"/>
            <w:noWrap/>
            <w:vAlign w:val="center"/>
          </w:tcPr>
          <w:p w14:paraId="53A8E41F" w14:textId="6140EDB8" w:rsidR="005B62C7" w:rsidRPr="004C7B3C" w:rsidRDefault="005B62C7" w:rsidP="00B727F7">
            <w:pPr>
              <w:spacing w:after="0" w:line="276" w:lineRule="auto"/>
              <w:jc w:val="right"/>
              <w:rPr>
                <w:rFonts w:cs="Arial"/>
                <w:sz w:val="16"/>
                <w:szCs w:val="16"/>
              </w:rPr>
            </w:pPr>
            <w:r w:rsidRPr="004C7B3C">
              <w:rPr>
                <w:rFonts w:cs="Arial"/>
                <w:sz w:val="16"/>
                <w:szCs w:val="16"/>
              </w:rPr>
              <w:t>92</w:t>
            </w:r>
          </w:p>
        </w:tc>
        <w:tc>
          <w:tcPr>
            <w:tcW w:w="1069" w:type="dxa"/>
            <w:tcBorders>
              <w:top w:val="nil"/>
              <w:left w:val="nil"/>
              <w:bottom w:val="nil"/>
              <w:right w:val="nil"/>
            </w:tcBorders>
            <w:shd w:val="clear" w:color="auto" w:fill="auto"/>
            <w:noWrap/>
            <w:vAlign w:val="center"/>
          </w:tcPr>
          <w:p w14:paraId="11446144" w14:textId="12EC9618" w:rsidR="005B62C7" w:rsidRPr="004C7B3C" w:rsidRDefault="005B62C7" w:rsidP="00B727F7">
            <w:pPr>
              <w:spacing w:after="0" w:line="276" w:lineRule="auto"/>
              <w:jc w:val="right"/>
              <w:rPr>
                <w:rFonts w:cs="Arial"/>
                <w:sz w:val="16"/>
                <w:szCs w:val="16"/>
              </w:rPr>
            </w:pPr>
            <w:r w:rsidRPr="004C7B3C">
              <w:rPr>
                <w:rFonts w:cs="Arial"/>
                <w:sz w:val="16"/>
                <w:szCs w:val="16"/>
              </w:rPr>
              <w:t>9.349</w:t>
            </w:r>
          </w:p>
        </w:tc>
        <w:tc>
          <w:tcPr>
            <w:tcW w:w="932" w:type="dxa"/>
            <w:tcBorders>
              <w:top w:val="nil"/>
              <w:left w:val="nil"/>
              <w:bottom w:val="nil"/>
              <w:right w:val="nil"/>
            </w:tcBorders>
            <w:shd w:val="clear" w:color="auto" w:fill="auto"/>
            <w:noWrap/>
            <w:vAlign w:val="center"/>
          </w:tcPr>
          <w:p w14:paraId="075425AE" w14:textId="1946DFED" w:rsidR="005B62C7" w:rsidRPr="004C7B3C" w:rsidRDefault="005B62C7" w:rsidP="00B727F7">
            <w:pPr>
              <w:spacing w:after="0" w:line="276" w:lineRule="auto"/>
              <w:jc w:val="right"/>
              <w:rPr>
                <w:rFonts w:cs="Arial"/>
                <w:sz w:val="16"/>
                <w:szCs w:val="16"/>
              </w:rPr>
            </w:pPr>
            <w:r w:rsidRPr="004C7B3C">
              <w:rPr>
                <w:rFonts w:cs="Arial"/>
                <w:sz w:val="16"/>
                <w:szCs w:val="16"/>
              </w:rPr>
              <w:t>9.441</w:t>
            </w:r>
          </w:p>
        </w:tc>
        <w:tc>
          <w:tcPr>
            <w:tcW w:w="1152" w:type="dxa"/>
            <w:tcBorders>
              <w:top w:val="nil"/>
              <w:left w:val="nil"/>
              <w:bottom w:val="nil"/>
              <w:right w:val="nil"/>
            </w:tcBorders>
            <w:shd w:val="clear" w:color="auto" w:fill="auto"/>
            <w:noWrap/>
            <w:vAlign w:val="center"/>
          </w:tcPr>
          <w:p w14:paraId="42362BA0" w14:textId="4F094C55" w:rsidR="005B62C7" w:rsidRPr="004C7B3C" w:rsidRDefault="005B62C7" w:rsidP="00B727F7">
            <w:pPr>
              <w:spacing w:after="0" w:line="276" w:lineRule="auto"/>
              <w:jc w:val="right"/>
              <w:rPr>
                <w:rFonts w:cs="Arial"/>
                <w:sz w:val="16"/>
                <w:szCs w:val="16"/>
              </w:rPr>
            </w:pPr>
            <w:r w:rsidRPr="004C7B3C">
              <w:rPr>
                <w:rFonts w:cs="Arial"/>
                <w:sz w:val="16"/>
                <w:szCs w:val="16"/>
              </w:rPr>
              <w:t>56</w:t>
            </w:r>
          </w:p>
        </w:tc>
        <w:tc>
          <w:tcPr>
            <w:tcW w:w="1159" w:type="dxa"/>
            <w:tcBorders>
              <w:top w:val="nil"/>
              <w:left w:val="nil"/>
              <w:bottom w:val="nil"/>
              <w:right w:val="nil"/>
            </w:tcBorders>
            <w:shd w:val="clear" w:color="auto" w:fill="auto"/>
            <w:noWrap/>
            <w:vAlign w:val="center"/>
          </w:tcPr>
          <w:p w14:paraId="3334616F" w14:textId="32C22C6D" w:rsidR="005B62C7" w:rsidRPr="004C7B3C" w:rsidRDefault="005B62C7" w:rsidP="00B727F7">
            <w:pPr>
              <w:spacing w:after="0" w:line="276" w:lineRule="auto"/>
              <w:jc w:val="right"/>
              <w:rPr>
                <w:rFonts w:cs="Arial"/>
                <w:sz w:val="16"/>
                <w:szCs w:val="16"/>
              </w:rPr>
            </w:pPr>
            <w:r w:rsidRPr="004C7B3C">
              <w:rPr>
                <w:rFonts w:cs="Arial"/>
                <w:sz w:val="16"/>
                <w:szCs w:val="16"/>
              </w:rPr>
              <w:t>9.497</w:t>
            </w:r>
          </w:p>
        </w:tc>
        <w:tc>
          <w:tcPr>
            <w:tcW w:w="911" w:type="dxa"/>
            <w:tcBorders>
              <w:top w:val="nil"/>
              <w:left w:val="nil"/>
              <w:bottom w:val="nil"/>
              <w:right w:val="single" w:sz="2" w:space="0" w:color="A6A6A6" w:themeColor="background1" w:themeShade="A6"/>
            </w:tcBorders>
            <w:shd w:val="clear" w:color="auto" w:fill="auto"/>
            <w:noWrap/>
            <w:vAlign w:val="center"/>
          </w:tcPr>
          <w:p w14:paraId="7B8A9DA9" w14:textId="5E2F1961" w:rsidR="005B62C7" w:rsidRPr="004C7B3C" w:rsidRDefault="005B62C7" w:rsidP="00B727F7">
            <w:pPr>
              <w:spacing w:after="0" w:line="276" w:lineRule="auto"/>
              <w:jc w:val="right"/>
              <w:rPr>
                <w:rFonts w:cs="Arial"/>
                <w:sz w:val="16"/>
                <w:szCs w:val="16"/>
              </w:rPr>
            </w:pPr>
            <w:r w:rsidRPr="004C7B3C">
              <w:rPr>
                <w:rFonts w:cs="Arial"/>
                <w:sz w:val="16"/>
                <w:szCs w:val="16"/>
              </w:rPr>
              <w:t>26.086</w:t>
            </w:r>
          </w:p>
        </w:tc>
      </w:tr>
      <w:tr w:rsidR="005B62C7" w:rsidRPr="004C7B3C" w14:paraId="38925AB3" w14:textId="77777777" w:rsidTr="00635793">
        <w:trPr>
          <w:cantSplit/>
          <w:trHeight w:val="238"/>
          <w:jc w:val="center"/>
        </w:trPr>
        <w:tc>
          <w:tcPr>
            <w:tcW w:w="834" w:type="dxa"/>
            <w:tcBorders>
              <w:top w:val="nil"/>
              <w:left w:val="single" w:sz="2" w:space="0" w:color="A6A6A6" w:themeColor="background1" w:themeShade="A6"/>
              <w:bottom w:val="nil"/>
              <w:right w:val="nil"/>
            </w:tcBorders>
            <w:shd w:val="clear" w:color="auto" w:fill="auto"/>
            <w:noWrap/>
            <w:vAlign w:val="center"/>
          </w:tcPr>
          <w:p w14:paraId="21D8230E" w14:textId="4FED7887" w:rsidR="005B62C7" w:rsidRPr="004C7B3C" w:rsidRDefault="005B62C7" w:rsidP="00B727F7">
            <w:pPr>
              <w:spacing w:after="0" w:line="276" w:lineRule="auto"/>
              <w:jc w:val="center"/>
              <w:rPr>
                <w:rFonts w:cs="Arial"/>
                <w:sz w:val="16"/>
                <w:szCs w:val="16"/>
              </w:rPr>
            </w:pPr>
            <w:r w:rsidRPr="004C7B3C">
              <w:rPr>
                <w:rFonts w:cs="Arial"/>
                <w:sz w:val="16"/>
                <w:szCs w:val="16"/>
              </w:rPr>
              <w:t>2007</w:t>
            </w:r>
          </w:p>
        </w:tc>
        <w:tc>
          <w:tcPr>
            <w:tcW w:w="726" w:type="dxa"/>
            <w:tcBorders>
              <w:top w:val="nil"/>
              <w:left w:val="nil"/>
              <w:bottom w:val="nil"/>
              <w:right w:val="nil"/>
            </w:tcBorders>
            <w:shd w:val="clear" w:color="auto" w:fill="auto"/>
            <w:noWrap/>
            <w:vAlign w:val="center"/>
          </w:tcPr>
          <w:p w14:paraId="7BC58EDF" w14:textId="6435A829" w:rsidR="005B62C7" w:rsidRPr="004C7B3C" w:rsidRDefault="005B62C7" w:rsidP="00B727F7">
            <w:pPr>
              <w:spacing w:after="0" w:line="276" w:lineRule="auto"/>
              <w:jc w:val="right"/>
              <w:rPr>
                <w:rFonts w:cs="Arial"/>
                <w:sz w:val="16"/>
                <w:szCs w:val="16"/>
              </w:rPr>
            </w:pPr>
            <w:r w:rsidRPr="004C7B3C">
              <w:rPr>
                <w:rFonts w:cs="Arial"/>
                <w:sz w:val="16"/>
                <w:szCs w:val="16"/>
              </w:rPr>
              <w:t>43</w:t>
            </w:r>
          </w:p>
        </w:tc>
        <w:tc>
          <w:tcPr>
            <w:tcW w:w="924" w:type="dxa"/>
            <w:tcBorders>
              <w:top w:val="nil"/>
              <w:left w:val="nil"/>
              <w:bottom w:val="nil"/>
              <w:right w:val="nil"/>
            </w:tcBorders>
            <w:shd w:val="clear" w:color="auto" w:fill="auto"/>
            <w:noWrap/>
            <w:vAlign w:val="center"/>
          </w:tcPr>
          <w:p w14:paraId="65070974" w14:textId="798113EB" w:rsidR="005B62C7" w:rsidRPr="004C7B3C" w:rsidRDefault="005B62C7" w:rsidP="00B727F7">
            <w:pPr>
              <w:spacing w:after="0" w:line="276" w:lineRule="auto"/>
              <w:jc w:val="right"/>
              <w:rPr>
                <w:rFonts w:cs="Arial"/>
                <w:sz w:val="16"/>
                <w:szCs w:val="16"/>
              </w:rPr>
            </w:pPr>
            <w:r w:rsidRPr="004C7B3C">
              <w:rPr>
                <w:rFonts w:cs="Arial"/>
                <w:sz w:val="16"/>
                <w:szCs w:val="16"/>
              </w:rPr>
              <w:t>22.152</w:t>
            </w:r>
          </w:p>
        </w:tc>
        <w:tc>
          <w:tcPr>
            <w:tcW w:w="779" w:type="dxa"/>
            <w:tcBorders>
              <w:top w:val="nil"/>
              <w:left w:val="nil"/>
              <w:bottom w:val="nil"/>
              <w:right w:val="nil"/>
            </w:tcBorders>
            <w:shd w:val="clear" w:color="auto" w:fill="auto"/>
            <w:noWrap/>
            <w:vAlign w:val="center"/>
          </w:tcPr>
          <w:p w14:paraId="5A029E80" w14:textId="67E61535" w:rsidR="005B62C7" w:rsidRPr="004C7B3C" w:rsidRDefault="005B62C7" w:rsidP="00B727F7">
            <w:pPr>
              <w:spacing w:after="0" w:line="276" w:lineRule="auto"/>
              <w:jc w:val="right"/>
              <w:rPr>
                <w:rFonts w:cs="Arial"/>
                <w:sz w:val="16"/>
                <w:szCs w:val="16"/>
              </w:rPr>
            </w:pPr>
            <w:r w:rsidRPr="004C7B3C">
              <w:rPr>
                <w:rFonts w:cs="Arial"/>
                <w:sz w:val="16"/>
                <w:szCs w:val="16"/>
              </w:rPr>
              <w:t>22.195</w:t>
            </w:r>
          </w:p>
        </w:tc>
        <w:tc>
          <w:tcPr>
            <w:tcW w:w="726" w:type="dxa"/>
            <w:tcBorders>
              <w:top w:val="nil"/>
              <w:left w:val="nil"/>
              <w:bottom w:val="nil"/>
              <w:right w:val="nil"/>
            </w:tcBorders>
            <w:shd w:val="clear" w:color="auto" w:fill="auto"/>
            <w:noWrap/>
            <w:vAlign w:val="center"/>
          </w:tcPr>
          <w:p w14:paraId="31877BE7" w14:textId="00C86F65" w:rsidR="005B62C7" w:rsidRPr="004C7B3C" w:rsidRDefault="005B62C7" w:rsidP="00B727F7">
            <w:pPr>
              <w:spacing w:after="0" w:line="276" w:lineRule="auto"/>
              <w:jc w:val="right"/>
              <w:rPr>
                <w:rFonts w:cs="Arial"/>
                <w:sz w:val="16"/>
                <w:szCs w:val="16"/>
              </w:rPr>
            </w:pPr>
            <w:r w:rsidRPr="004C7B3C">
              <w:rPr>
                <w:rFonts w:cs="Arial"/>
                <w:sz w:val="16"/>
                <w:szCs w:val="16"/>
              </w:rPr>
              <w:t>74</w:t>
            </w:r>
          </w:p>
        </w:tc>
        <w:tc>
          <w:tcPr>
            <w:tcW w:w="1069" w:type="dxa"/>
            <w:tcBorders>
              <w:top w:val="nil"/>
              <w:left w:val="nil"/>
              <w:bottom w:val="nil"/>
              <w:right w:val="nil"/>
            </w:tcBorders>
            <w:shd w:val="clear" w:color="auto" w:fill="auto"/>
            <w:noWrap/>
            <w:vAlign w:val="center"/>
          </w:tcPr>
          <w:p w14:paraId="35A919DF" w14:textId="246620B4" w:rsidR="005B62C7" w:rsidRPr="004C7B3C" w:rsidRDefault="005B62C7" w:rsidP="00B727F7">
            <w:pPr>
              <w:spacing w:after="0" w:line="276" w:lineRule="auto"/>
              <w:jc w:val="right"/>
              <w:rPr>
                <w:rFonts w:cs="Arial"/>
                <w:sz w:val="16"/>
                <w:szCs w:val="16"/>
              </w:rPr>
            </w:pPr>
            <w:r w:rsidRPr="004C7B3C">
              <w:rPr>
                <w:rFonts w:cs="Arial"/>
                <w:sz w:val="16"/>
                <w:szCs w:val="16"/>
              </w:rPr>
              <w:t>9.583</w:t>
            </w:r>
          </w:p>
        </w:tc>
        <w:tc>
          <w:tcPr>
            <w:tcW w:w="932" w:type="dxa"/>
            <w:tcBorders>
              <w:top w:val="nil"/>
              <w:left w:val="nil"/>
              <w:bottom w:val="nil"/>
              <w:right w:val="nil"/>
            </w:tcBorders>
            <w:shd w:val="clear" w:color="auto" w:fill="auto"/>
            <w:noWrap/>
            <w:vAlign w:val="center"/>
          </w:tcPr>
          <w:p w14:paraId="33524865" w14:textId="7D0156E8" w:rsidR="005B62C7" w:rsidRPr="004C7B3C" w:rsidRDefault="005B62C7" w:rsidP="00B727F7">
            <w:pPr>
              <w:spacing w:after="0" w:line="276" w:lineRule="auto"/>
              <w:jc w:val="right"/>
              <w:rPr>
                <w:rFonts w:cs="Arial"/>
                <w:sz w:val="16"/>
                <w:szCs w:val="16"/>
              </w:rPr>
            </w:pPr>
            <w:r w:rsidRPr="004C7B3C">
              <w:rPr>
                <w:rFonts w:cs="Arial"/>
                <w:sz w:val="16"/>
                <w:szCs w:val="16"/>
              </w:rPr>
              <w:t>9.657</w:t>
            </w:r>
          </w:p>
        </w:tc>
        <w:tc>
          <w:tcPr>
            <w:tcW w:w="1152" w:type="dxa"/>
            <w:tcBorders>
              <w:top w:val="nil"/>
              <w:left w:val="nil"/>
              <w:bottom w:val="nil"/>
              <w:right w:val="nil"/>
            </w:tcBorders>
            <w:shd w:val="clear" w:color="auto" w:fill="auto"/>
            <w:noWrap/>
            <w:vAlign w:val="center"/>
          </w:tcPr>
          <w:p w14:paraId="76B00FFF" w14:textId="376FEC7E" w:rsidR="005B62C7" w:rsidRPr="004C7B3C" w:rsidRDefault="005B62C7" w:rsidP="00B727F7">
            <w:pPr>
              <w:spacing w:after="0" w:line="276" w:lineRule="auto"/>
              <w:jc w:val="right"/>
              <w:rPr>
                <w:rFonts w:cs="Arial"/>
                <w:sz w:val="16"/>
                <w:szCs w:val="16"/>
              </w:rPr>
            </w:pPr>
            <w:r w:rsidRPr="004C7B3C">
              <w:rPr>
                <w:rFonts w:cs="Arial"/>
                <w:sz w:val="16"/>
                <w:szCs w:val="16"/>
              </w:rPr>
              <w:t>71</w:t>
            </w:r>
          </w:p>
        </w:tc>
        <w:tc>
          <w:tcPr>
            <w:tcW w:w="1159" w:type="dxa"/>
            <w:tcBorders>
              <w:top w:val="nil"/>
              <w:left w:val="nil"/>
              <w:bottom w:val="nil"/>
              <w:right w:val="nil"/>
            </w:tcBorders>
            <w:shd w:val="clear" w:color="auto" w:fill="auto"/>
            <w:noWrap/>
            <w:vAlign w:val="center"/>
          </w:tcPr>
          <w:p w14:paraId="5B62AA83" w14:textId="5BD076B6" w:rsidR="005B62C7" w:rsidRPr="004C7B3C" w:rsidRDefault="005B62C7" w:rsidP="00B727F7">
            <w:pPr>
              <w:spacing w:after="0" w:line="276" w:lineRule="auto"/>
              <w:jc w:val="right"/>
              <w:rPr>
                <w:rFonts w:cs="Arial"/>
                <w:sz w:val="16"/>
                <w:szCs w:val="16"/>
              </w:rPr>
            </w:pPr>
            <w:r w:rsidRPr="004C7B3C">
              <w:rPr>
                <w:rFonts w:cs="Arial"/>
                <w:sz w:val="16"/>
                <w:szCs w:val="16"/>
              </w:rPr>
              <w:t>9.728</w:t>
            </w:r>
          </w:p>
        </w:tc>
        <w:tc>
          <w:tcPr>
            <w:tcW w:w="911" w:type="dxa"/>
            <w:tcBorders>
              <w:top w:val="nil"/>
              <w:left w:val="nil"/>
              <w:bottom w:val="nil"/>
              <w:right w:val="single" w:sz="2" w:space="0" w:color="A6A6A6" w:themeColor="background1" w:themeShade="A6"/>
            </w:tcBorders>
            <w:shd w:val="clear" w:color="auto" w:fill="auto"/>
            <w:noWrap/>
            <w:vAlign w:val="center"/>
          </w:tcPr>
          <w:p w14:paraId="73344D9C" w14:textId="67671542" w:rsidR="005B62C7" w:rsidRPr="004C7B3C" w:rsidRDefault="005B62C7" w:rsidP="00B727F7">
            <w:pPr>
              <w:spacing w:after="0" w:line="276" w:lineRule="auto"/>
              <w:jc w:val="right"/>
              <w:rPr>
                <w:rFonts w:cs="Arial"/>
                <w:sz w:val="16"/>
                <w:szCs w:val="16"/>
              </w:rPr>
            </w:pPr>
            <w:r w:rsidRPr="004C7B3C">
              <w:rPr>
                <w:rFonts w:cs="Arial"/>
                <w:sz w:val="16"/>
                <w:szCs w:val="16"/>
              </w:rPr>
              <w:t>31.923</w:t>
            </w:r>
          </w:p>
        </w:tc>
      </w:tr>
      <w:tr w:rsidR="005B62C7" w:rsidRPr="004C7B3C" w14:paraId="386B0E27" w14:textId="77777777" w:rsidTr="00635793">
        <w:trPr>
          <w:cantSplit/>
          <w:trHeight w:val="238"/>
          <w:jc w:val="center"/>
        </w:trPr>
        <w:tc>
          <w:tcPr>
            <w:tcW w:w="834" w:type="dxa"/>
            <w:tcBorders>
              <w:top w:val="nil"/>
              <w:left w:val="single" w:sz="2" w:space="0" w:color="A6A6A6" w:themeColor="background1" w:themeShade="A6"/>
              <w:bottom w:val="nil"/>
              <w:right w:val="nil"/>
            </w:tcBorders>
            <w:shd w:val="clear" w:color="auto" w:fill="auto"/>
            <w:noWrap/>
            <w:vAlign w:val="center"/>
          </w:tcPr>
          <w:p w14:paraId="61AE56C6" w14:textId="78A76974" w:rsidR="005B62C7" w:rsidRPr="004C7B3C" w:rsidRDefault="005B62C7" w:rsidP="00B727F7">
            <w:pPr>
              <w:spacing w:after="0" w:line="276" w:lineRule="auto"/>
              <w:jc w:val="center"/>
              <w:rPr>
                <w:rFonts w:cs="Arial"/>
                <w:sz w:val="16"/>
                <w:szCs w:val="16"/>
              </w:rPr>
            </w:pPr>
            <w:r w:rsidRPr="004C7B3C">
              <w:rPr>
                <w:rFonts w:cs="Arial"/>
                <w:sz w:val="16"/>
                <w:szCs w:val="16"/>
              </w:rPr>
              <w:t>2008</w:t>
            </w:r>
          </w:p>
        </w:tc>
        <w:tc>
          <w:tcPr>
            <w:tcW w:w="726" w:type="dxa"/>
            <w:tcBorders>
              <w:top w:val="nil"/>
              <w:left w:val="nil"/>
              <w:bottom w:val="nil"/>
              <w:right w:val="nil"/>
            </w:tcBorders>
            <w:shd w:val="clear" w:color="auto" w:fill="auto"/>
            <w:noWrap/>
            <w:vAlign w:val="center"/>
          </w:tcPr>
          <w:p w14:paraId="7843CA49" w14:textId="4985773C" w:rsidR="005B62C7" w:rsidRPr="004C7B3C" w:rsidRDefault="005B62C7" w:rsidP="00B727F7">
            <w:pPr>
              <w:spacing w:after="0" w:line="276" w:lineRule="auto"/>
              <w:jc w:val="right"/>
              <w:rPr>
                <w:rFonts w:cs="Arial"/>
                <w:sz w:val="16"/>
                <w:szCs w:val="16"/>
              </w:rPr>
            </w:pPr>
            <w:r w:rsidRPr="004C7B3C">
              <w:rPr>
                <w:rFonts w:cs="Arial"/>
                <w:sz w:val="16"/>
                <w:szCs w:val="16"/>
              </w:rPr>
              <w:t>424</w:t>
            </w:r>
          </w:p>
        </w:tc>
        <w:tc>
          <w:tcPr>
            <w:tcW w:w="924" w:type="dxa"/>
            <w:tcBorders>
              <w:top w:val="nil"/>
              <w:left w:val="nil"/>
              <w:bottom w:val="nil"/>
              <w:right w:val="nil"/>
            </w:tcBorders>
            <w:shd w:val="clear" w:color="auto" w:fill="auto"/>
            <w:noWrap/>
            <w:vAlign w:val="center"/>
          </w:tcPr>
          <w:p w14:paraId="5BB442FC" w14:textId="203C0873" w:rsidR="005B62C7" w:rsidRPr="004C7B3C" w:rsidRDefault="005B62C7" w:rsidP="00B727F7">
            <w:pPr>
              <w:spacing w:after="0" w:line="276" w:lineRule="auto"/>
              <w:jc w:val="right"/>
              <w:rPr>
                <w:rFonts w:cs="Arial"/>
                <w:sz w:val="16"/>
                <w:szCs w:val="16"/>
              </w:rPr>
            </w:pPr>
            <w:r w:rsidRPr="004C7B3C">
              <w:rPr>
                <w:rFonts w:cs="Arial"/>
                <w:sz w:val="16"/>
                <w:szCs w:val="16"/>
              </w:rPr>
              <w:t>25.822</w:t>
            </w:r>
          </w:p>
        </w:tc>
        <w:tc>
          <w:tcPr>
            <w:tcW w:w="779" w:type="dxa"/>
            <w:tcBorders>
              <w:top w:val="nil"/>
              <w:left w:val="nil"/>
              <w:bottom w:val="nil"/>
              <w:right w:val="nil"/>
            </w:tcBorders>
            <w:shd w:val="clear" w:color="auto" w:fill="auto"/>
            <w:noWrap/>
            <w:vAlign w:val="center"/>
          </w:tcPr>
          <w:p w14:paraId="2D7AB01D" w14:textId="3A1CDA7A" w:rsidR="005B62C7" w:rsidRPr="004C7B3C" w:rsidRDefault="005B62C7" w:rsidP="00B727F7">
            <w:pPr>
              <w:spacing w:after="0" w:line="276" w:lineRule="auto"/>
              <w:jc w:val="right"/>
              <w:rPr>
                <w:rFonts w:cs="Arial"/>
                <w:sz w:val="16"/>
                <w:szCs w:val="16"/>
              </w:rPr>
            </w:pPr>
            <w:r w:rsidRPr="004C7B3C">
              <w:rPr>
                <w:rFonts w:cs="Arial"/>
                <w:sz w:val="16"/>
                <w:szCs w:val="16"/>
              </w:rPr>
              <w:t>26.246</w:t>
            </w:r>
          </w:p>
        </w:tc>
        <w:tc>
          <w:tcPr>
            <w:tcW w:w="726" w:type="dxa"/>
            <w:tcBorders>
              <w:top w:val="nil"/>
              <w:left w:val="nil"/>
              <w:bottom w:val="nil"/>
              <w:right w:val="nil"/>
            </w:tcBorders>
            <w:shd w:val="clear" w:color="auto" w:fill="auto"/>
            <w:noWrap/>
            <w:vAlign w:val="center"/>
          </w:tcPr>
          <w:p w14:paraId="56C317F5" w14:textId="7FF644B8" w:rsidR="005B62C7" w:rsidRPr="004C7B3C" w:rsidRDefault="005B62C7" w:rsidP="00B727F7">
            <w:pPr>
              <w:spacing w:after="0" w:line="276" w:lineRule="auto"/>
              <w:jc w:val="right"/>
              <w:rPr>
                <w:rFonts w:cs="Arial"/>
                <w:sz w:val="16"/>
                <w:szCs w:val="16"/>
              </w:rPr>
            </w:pPr>
            <w:r w:rsidRPr="004C7B3C">
              <w:rPr>
                <w:rFonts w:cs="Arial"/>
                <w:sz w:val="16"/>
                <w:szCs w:val="16"/>
              </w:rPr>
              <w:t>82</w:t>
            </w:r>
          </w:p>
        </w:tc>
        <w:tc>
          <w:tcPr>
            <w:tcW w:w="1069" w:type="dxa"/>
            <w:tcBorders>
              <w:top w:val="nil"/>
              <w:left w:val="nil"/>
              <w:bottom w:val="nil"/>
              <w:right w:val="nil"/>
            </w:tcBorders>
            <w:shd w:val="clear" w:color="auto" w:fill="auto"/>
            <w:noWrap/>
            <w:vAlign w:val="center"/>
          </w:tcPr>
          <w:p w14:paraId="157B0087" w14:textId="25B75536" w:rsidR="005B62C7" w:rsidRPr="004C7B3C" w:rsidRDefault="005B62C7" w:rsidP="00B727F7">
            <w:pPr>
              <w:spacing w:after="0" w:line="276" w:lineRule="auto"/>
              <w:jc w:val="right"/>
              <w:rPr>
                <w:rFonts w:cs="Arial"/>
                <w:sz w:val="16"/>
                <w:szCs w:val="16"/>
              </w:rPr>
            </w:pPr>
            <w:r w:rsidRPr="004C7B3C">
              <w:rPr>
                <w:rFonts w:cs="Arial"/>
                <w:sz w:val="16"/>
                <w:szCs w:val="16"/>
              </w:rPr>
              <w:t>11.052</w:t>
            </w:r>
          </w:p>
        </w:tc>
        <w:tc>
          <w:tcPr>
            <w:tcW w:w="932" w:type="dxa"/>
            <w:tcBorders>
              <w:top w:val="nil"/>
              <w:left w:val="nil"/>
              <w:bottom w:val="nil"/>
              <w:right w:val="nil"/>
            </w:tcBorders>
            <w:shd w:val="clear" w:color="auto" w:fill="auto"/>
            <w:noWrap/>
            <w:vAlign w:val="center"/>
          </w:tcPr>
          <w:p w14:paraId="2ACFEB73" w14:textId="054CB098" w:rsidR="005B62C7" w:rsidRPr="004C7B3C" w:rsidRDefault="005B62C7" w:rsidP="00B727F7">
            <w:pPr>
              <w:spacing w:after="0" w:line="276" w:lineRule="auto"/>
              <w:jc w:val="right"/>
              <w:rPr>
                <w:rFonts w:cs="Arial"/>
                <w:sz w:val="16"/>
                <w:szCs w:val="16"/>
              </w:rPr>
            </w:pPr>
            <w:r w:rsidRPr="004C7B3C">
              <w:rPr>
                <w:rFonts w:cs="Arial"/>
                <w:sz w:val="16"/>
                <w:szCs w:val="16"/>
              </w:rPr>
              <w:t>11.134</w:t>
            </w:r>
          </w:p>
        </w:tc>
        <w:tc>
          <w:tcPr>
            <w:tcW w:w="1152" w:type="dxa"/>
            <w:tcBorders>
              <w:top w:val="nil"/>
              <w:left w:val="nil"/>
              <w:bottom w:val="nil"/>
              <w:right w:val="nil"/>
            </w:tcBorders>
            <w:shd w:val="clear" w:color="auto" w:fill="auto"/>
            <w:noWrap/>
            <w:vAlign w:val="center"/>
          </w:tcPr>
          <w:p w14:paraId="05885B4B" w14:textId="6A1F5EA1" w:rsidR="005B62C7" w:rsidRPr="004C7B3C" w:rsidRDefault="005B62C7" w:rsidP="00B727F7">
            <w:pPr>
              <w:spacing w:after="0" w:line="276" w:lineRule="auto"/>
              <w:jc w:val="right"/>
              <w:rPr>
                <w:rFonts w:cs="Arial"/>
                <w:sz w:val="16"/>
                <w:szCs w:val="16"/>
              </w:rPr>
            </w:pPr>
            <w:r w:rsidRPr="004C7B3C">
              <w:rPr>
                <w:rFonts w:cs="Arial"/>
                <w:sz w:val="16"/>
                <w:szCs w:val="16"/>
              </w:rPr>
              <w:t>72</w:t>
            </w:r>
          </w:p>
        </w:tc>
        <w:tc>
          <w:tcPr>
            <w:tcW w:w="1159" w:type="dxa"/>
            <w:tcBorders>
              <w:top w:val="nil"/>
              <w:left w:val="nil"/>
              <w:bottom w:val="nil"/>
              <w:right w:val="nil"/>
            </w:tcBorders>
            <w:shd w:val="clear" w:color="auto" w:fill="auto"/>
            <w:noWrap/>
            <w:vAlign w:val="center"/>
          </w:tcPr>
          <w:p w14:paraId="5B230EC8" w14:textId="507E3528" w:rsidR="005B62C7" w:rsidRPr="004C7B3C" w:rsidRDefault="005B62C7" w:rsidP="00B727F7">
            <w:pPr>
              <w:spacing w:after="0" w:line="276" w:lineRule="auto"/>
              <w:jc w:val="right"/>
              <w:rPr>
                <w:rFonts w:cs="Arial"/>
                <w:sz w:val="16"/>
                <w:szCs w:val="16"/>
              </w:rPr>
            </w:pPr>
            <w:r w:rsidRPr="004C7B3C">
              <w:rPr>
                <w:rFonts w:cs="Arial"/>
                <w:sz w:val="16"/>
                <w:szCs w:val="16"/>
              </w:rPr>
              <w:t>11.206</w:t>
            </w:r>
          </w:p>
        </w:tc>
        <w:tc>
          <w:tcPr>
            <w:tcW w:w="911" w:type="dxa"/>
            <w:tcBorders>
              <w:top w:val="nil"/>
              <w:left w:val="nil"/>
              <w:bottom w:val="nil"/>
              <w:right w:val="single" w:sz="2" w:space="0" w:color="A6A6A6" w:themeColor="background1" w:themeShade="A6"/>
            </w:tcBorders>
            <w:shd w:val="clear" w:color="auto" w:fill="auto"/>
            <w:noWrap/>
            <w:vAlign w:val="center"/>
          </w:tcPr>
          <w:p w14:paraId="6AFAF3E2" w14:textId="14CA243D" w:rsidR="005B62C7" w:rsidRPr="004C7B3C" w:rsidRDefault="005B62C7" w:rsidP="00B727F7">
            <w:pPr>
              <w:spacing w:after="0" w:line="276" w:lineRule="auto"/>
              <w:jc w:val="right"/>
              <w:rPr>
                <w:rFonts w:cs="Arial"/>
                <w:sz w:val="16"/>
                <w:szCs w:val="16"/>
              </w:rPr>
            </w:pPr>
            <w:r w:rsidRPr="004C7B3C">
              <w:rPr>
                <w:rFonts w:cs="Arial"/>
                <w:sz w:val="16"/>
                <w:szCs w:val="16"/>
              </w:rPr>
              <w:t>37.452</w:t>
            </w:r>
          </w:p>
        </w:tc>
      </w:tr>
      <w:tr w:rsidR="005B62C7" w:rsidRPr="004C7B3C" w14:paraId="69819F6B" w14:textId="77777777" w:rsidTr="00635793">
        <w:trPr>
          <w:cantSplit/>
          <w:trHeight w:val="253"/>
          <w:jc w:val="center"/>
        </w:trPr>
        <w:tc>
          <w:tcPr>
            <w:tcW w:w="834" w:type="dxa"/>
            <w:tcBorders>
              <w:top w:val="nil"/>
              <w:left w:val="single" w:sz="2" w:space="0" w:color="A6A6A6" w:themeColor="background1" w:themeShade="A6"/>
              <w:bottom w:val="nil"/>
              <w:right w:val="nil"/>
            </w:tcBorders>
            <w:shd w:val="clear" w:color="auto" w:fill="auto"/>
            <w:noWrap/>
            <w:vAlign w:val="center"/>
          </w:tcPr>
          <w:p w14:paraId="7E0ABB1E" w14:textId="29DCF06F" w:rsidR="005B62C7" w:rsidRPr="004C7B3C" w:rsidRDefault="005B62C7" w:rsidP="00B727F7">
            <w:pPr>
              <w:spacing w:after="0" w:line="276" w:lineRule="auto"/>
              <w:jc w:val="center"/>
              <w:rPr>
                <w:rFonts w:cs="Arial"/>
                <w:sz w:val="16"/>
                <w:szCs w:val="16"/>
              </w:rPr>
            </w:pPr>
            <w:r w:rsidRPr="004C7B3C">
              <w:rPr>
                <w:rFonts w:cs="Arial"/>
                <w:sz w:val="16"/>
                <w:szCs w:val="16"/>
              </w:rPr>
              <w:t>2009</w:t>
            </w:r>
          </w:p>
        </w:tc>
        <w:tc>
          <w:tcPr>
            <w:tcW w:w="726" w:type="dxa"/>
            <w:tcBorders>
              <w:top w:val="nil"/>
              <w:left w:val="nil"/>
              <w:bottom w:val="nil"/>
              <w:right w:val="nil"/>
            </w:tcBorders>
            <w:shd w:val="clear" w:color="auto" w:fill="auto"/>
            <w:noWrap/>
            <w:vAlign w:val="center"/>
          </w:tcPr>
          <w:p w14:paraId="7CB95CA4" w14:textId="1C00959D" w:rsidR="005B62C7" w:rsidRPr="004C7B3C" w:rsidRDefault="005B62C7" w:rsidP="00B727F7">
            <w:pPr>
              <w:spacing w:after="0" w:line="276" w:lineRule="auto"/>
              <w:jc w:val="right"/>
              <w:rPr>
                <w:rFonts w:cs="Arial"/>
                <w:sz w:val="16"/>
                <w:szCs w:val="16"/>
              </w:rPr>
            </w:pPr>
            <w:r w:rsidRPr="004C7B3C">
              <w:rPr>
                <w:rFonts w:cs="Arial"/>
                <w:sz w:val="16"/>
                <w:szCs w:val="16"/>
              </w:rPr>
              <w:t>375</w:t>
            </w:r>
          </w:p>
        </w:tc>
        <w:tc>
          <w:tcPr>
            <w:tcW w:w="924" w:type="dxa"/>
            <w:tcBorders>
              <w:top w:val="nil"/>
              <w:left w:val="nil"/>
              <w:bottom w:val="nil"/>
              <w:right w:val="nil"/>
            </w:tcBorders>
            <w:shd w:val="clear" w:color="auto" w:fill="auto"/>
            <w:noWrap/>
            <w:vAlign w:val="center"/>
          </w:tcPr>
          <w:p w14:paraId="6E23EB66" w14:textId="5D785FDB" w:rsidR="005B62C7" w:rsidRPr="004C7B3C" w:rsidRDefault="005B62C7" w:rsidP="00B727F7">
            <w:pPr>
              <w:spacing w:after="0" w:line="276" w:lineRule="auto"/>
              <w:jc w:val="right"/>
              <w:rPr>
                <w:rFonts w:cs="Arial"/>
                <w:sz w:val="16"/>
                <w:szCs w:val="16"/>
              </w:rPr>
            </w:pPr>
            <w:r w:rsidRPr="004C7B3C">
              <w:rPr>
                <w:rFonts w:cs="Arial"/>
                <w:sz w:val="16"/>
                <w:szCs w:val="16"/>
              </w:rPr>
              <w:t>28.760</w:t>
            </w:r>
          </w:p>
        </w:tc>
        <w:tc>
          <w:tcPr>
            <w:tcW w:w="779" w:type="dxa"/>
            <w:tcBorders>
              <w:top w:val="nil"/>
              <w:left w:val="nil"/>
              <w:bottom w:val="nil"/>
              <w:right w:val="nil"/>
            </w:tcBorders>
            <w:shd w:val="clear" w:color="auto" w:fill="auto"/>
            <w:noWrap/>
            <w:vAlign w:val="center"/>
          </w:tcPr>
          <w:p w14:paraId="730A9094" w14:textId="6E023AC2" w:rsidR="005B62C7" w:rsidRPr="004C7B3C" w:rsidRDefault="005B62C7" w:rsidP="00B727F7">
            <w:pPr>
              <w:spacing w:after="0" w:line="276" w:lineRule="auto"/>
              <w:jc w:val="right"/>
              <w:rPr>
                <w:rFonts w:cs="Arial"/>
                <w:sz w:val="16"/>
                <w:szCs w:val="16"/>
              </w:rPr>
            </w:pPr>
            <w:r w:rsidRPr="004C7B3C">
              <w:rPr>
                <w:rFonts w:cs="Arial"/>
                <w:sz w:val="16"/>
                <w:szCs w:val="16"/>
              </w:rPr>
              <w:t>29.135</w:t>
            </w:r>
          </w:p>
        </w:tc>
        <w:tc>
          <w:tcPr>
            <w:tcW w:w="726" w:type="dxa"/>
            <w:tcBorders>
              <w:top w:val="nil"/>
              <w:left w:val="nil"/>
              <w:bottom w:val="nil"/>
              <w:right w:val="nil"/>
            </w:tcBorders>
            <w:shd w:val="clear" w:color="auto" w:fill="auto"/>
            <w:noWrap/>
            <w:vAlign w:val="center"/>
          </w:tcPr>
          <w:p w14:paraId="77596696" w14:textId="66951B63" w:rsidR="005B62C7" w:rsidRPr="004C7B3C" w:rsidRDefault="005B62C7" w:rsidP="00B727F7">
            <w:pPr>
              <w:spacing w:after="0" w:line="276" w:lineRule="auto"/>
              <w:jc w:val="right"/>
              <w:rPr>
                <w:rFonts w:cs="Arial"/>
                <w:sz w:val="16"/>
                <w:szCs w:val="16"/>
              </w:rPr>
            </w:pPr>
            <w:r w:rsidRPr="004C7B3C">
              <w:rPr>
                <w:rFonts w:cs="Arial"/>
                <w:sz w:val="16"/>
                <w:szCs w:val="16"/>
              </w:rPr>
              <w:t>39</w:t>
            </w:r>
          </w:p>
        </w:tc>
        <w:tc>
          <w:tcPr>
            <w:tcW w:w="1069" w:type="dxa"/>
            <w:tcBorders>
              <w:top w:val="nil"/>
              <w:left w:val="nil"/>
              <w:bottom w:val="nil"/>
              <w:right w:val="nil"/>
            </w:tcBorders>
            <w:shd w:val="clear" w:color="auto" w:fill="auto"/>
            <w:noWrap/>
            <w:vAlign w:val="center"/>
          </w:tcPr>
          <w:p w14:paraId="3BC18D31" w14:textId="01488900" w:rsidR="005B62C7" w:rsidRPr="004C7B3C" w:rsidRDefault="005B62C7" w:rsidP="00B727F7">
            <w:pPr>
              <w:spacing w:after="0" w:line="276" w:lineRule="auto"/>
              <w:jc w:val="right"/>
              <w:rPr>
                <w:rFonts w:cs="Arial"/>
                <w:sz w:val="16"/>
                <w:szCs w:val="16"/>
              </w:rPr>
            </w:pPr>
            <w:r w:rsidRPr="004C7B3C">
              <w:rPr>
                <w:rFonts w:cs="Arial"/>
                <w:sz w:val="16"/>
                <w:szCs w:val="16"/>
              </w:rPr>
              <w:t>12.145</w:t>
            </w:r>
          </w:p>
        </w:tc>
        <w:tc>
          <w:tcPr>
            <w:tcW w:w="932" w:type="dxa"/>
            <w:tcBorders>
              <w:top w:val="nil"/>
              <w:left w:val="nil"/>
              <w:bottom w:val="nil"/>
              <w:right w:val="nil"/>
            </w:tcBorders>
            <w:shd w:val="clear" w:color="auto" w:fill="auto"/>
            <w:noWrap/>
            <w:vAlign w:val="center"/>
          </w:tcPr>
          <w:p w14:paraId="0B525EA8" w14:textId="56BC64EB" w:rsidR="005B62C7" w:rsidRPr="004C7B3C" w:rsidRDefault="005B62C7" w:rsidP="00B727F7">
            <w:pPr>
              <w:spacing w:after="0" w:line="276" w:lineRule="auto"/>
              <w:jc w:val="right"/>
              <w:rPr>
                <w:rFonts w:cs="Arial"/>
                <w:sz w:val="16"/>
                <w:szCs w:val="16"/>
              </w:rPr>
            </w:pPr>
            <w:r w:rsidRPr="004C7B3C">
              <w:rPr>
                <w:rFonts w:cs="Arial"/>
                <w:sz w:val="16"/>
                <w:szCs w:val="16"/>
              </w:rPr>
              <w:t>12.184</w:t>
            </w:r>
          </w:p>
        </w:tc>
        <w:tc>
          <w:tcPr>
            <w:tcW w:w="1152" w:type="dxa"/>
            <w:tcBorders>
              <w:top w:val="nil"/>
              <w:left w:val="nil"/>
              <w:bottom w:val="nil"/>
              <w:right w:val="nil"/>
            </w:tcBorders>
            <w:shd w:val="clear" w:color="auto" w:fill="auto"/>
            <w:noWrap/>
            <w:vAlign w:val="center"/>
          </w:tcPr>
          <w:p w14:paraId="7205FBF0" w14:textId="147873C0" w:rsidR="005B62C7" w:rsidRPr="004C7B3C" w:rsidRDefault="005B62C7" w:rsidP="00B727F7">
            <w:pPr>
              <w:spacing w:after="0" w:line="276" w:lineRule="auto"/>
              <w:jc w:val="right"/>
              <w:rPr>
                <w:rFonts w:cs="Arial"/>
                <w:sz w:val="16"/>
                <w:szCs w:val="16"/>
              </w:rPr>
            </w:pPr>
            <w:r w:rsidRPr="004C7B3C">
              <w:rPr>
                <w:rFonts w:cs="Arial"/>
                <w:sz w:val="16"/>
                <w:szCs w:val="16"/>
              </w:rPr>
              <w:t>141</w:t>
            </w:r>
          </w:p>
        </w:tc>
        <w:tc>
          <w:tcPr>
            <w:tcW w:w="1159" w:type="dxa"/>
            <w:tcBorders>
              <w:top w:val="nil"/>
              <w:left w:val="nil"/>
              <w:bottom w:val="nil"/>
              <w:right w:val="nil"/>
            </w:tcBorders>
            <w:shd w:val="clear" w:color="auto" w:fill="auto"/>
            <w:noWrap/>
            <w:vAlign w:val="center"/>
          </w:tcPr>
          <w:p w14:paraId="6A9F2D22" w14:textId="6BFD4CA9" w:rsidR="005B62C7" w:rsidRPr="004C7B3C" w:rsidRDefault="005B62C7" w:rsidP="00B727F7">
            <w:pPr>
              <w:spacing w:after="0" w:line="276" w:lineRule="auto"/>
              <w:jc w:val="right"/>
              <w:rPr>
                <w:rFonts w:cs="Arial"/>
                <w:sz w:val="16"/>
                <w:szCs w:val="16"/>
              </w:rPr>
            </w:pPr>
            <w:r w:rsidRPr="004C7B3C">
              <w:rPr>
                <w:rFonts w:cs="Arial"/>
                <w:sz w:val="16"/>
                <w:szCs w:val="16"/>
              </w:rPr>
              <w:t>12.325</w:t>
            </w:r>
          </w:p>
        </w:tc>
        <w:tc>
          <w:tcPr>
            <w:tcW w:w="911" w:type="dxa"/>
            <w:tcBorders>
              <w:top w:val="nil"/>
              <w:left w:val="nil"/>
              <w:bottom w:val="nil"/>
              <w:right w:val="single" w:sz="2" w:space="0" w:color="A6A6A6" w:themeColor="background1" w:themeShade="A6"/>
            </w:tcBorders>
            <w:shd w:val="clear" w:color="auto" w:fill="auto"/>
            <w:noWrap/>
            <w:vAlign w:val="center"/>
          </w:tcPr>
          <w:p w14:paraId="7793506F" w14:textId="6F72ED46" w:rsidR="005B62C7" w:rsidRPr="004C7B3C" w:rsidRDefault="005B62C7" w:rsidP="00B727F7">
            <w:pPr>
              <w:spacing w:after="0" w:line="276" w:lineRule="auto"/>
              <w:jc w:val="right"/>
              <w:rPr>
                <w:rFonts w:cs="Arial"/>
                <w:sz w:val="16"/>
                <w:szCs w:val="16"/>
              </w:rPr>
            </w:pPr>
            <w:r w:rsidRPr="004C7B3C">
              <w:rPr>
                <w:rFonts w:cs="Arial"/>
                <w:sz w:val="16"/>
                <w:szCs w:val="16"/>
              </w:rPr>
              <w:t>41.460</w:t>
            </w:r>
          </w:p>
        </w:tc>
      </w:tr>
      <w:tr w:rsidR="005B62C7" w:rsidRPr="004C7B3C" w14:paraId="38FC1F51" w14:textId="77777777" w:rsidTr="00635793">
        <w:trPr>
          <w:cantSplit/>
          <w:trHeight w:val="238"/>
          <w:jc w:val="center"/>
        </w:trPr>
        <w:tc>
          <w:tcPr>
            <w:tcW w:w="834" w:type="dxa"/>
            <w:tcBorders>
              <w:top w:val="nil"/>
              <w:left w:val="single" w:sz="2" w:space="0" w:color="A6A6A6" w:themeColor="background1" w:themeShade="A6"/>
              <w:bottom w:val="nil"/>
              <w:right w:val="nil"/>
            </w:tcBorders>
            <w:shd w:val="clear" w:color="auto" w:fill="auto"/>
            <w:noWrap/>
            <w:vAlign w:val="center"/>
          </w:tcPr>
          <w:p w14:paraId="2CCDB7B2" w14:textId="27057644" w:rsidR="005B62C7" w:rsidRPr="004C7B3C" w:rsidRDefault="005B62C7" w:rsidP="00B727F7">
            <w:pPr>
              <w:spacing w:after="0" w:line="276" w:lineRule="auto"/>
              <w:jc w:val="center"/>
              <w:rPr>
                <w:rFonts w:cs="Arial"/>
                <w:sz w:val="16"/>
                <w:szCs w:val="16"/>
              </w:rPr>
            </w:pPr>
            <w:r w:rsidRPr="004C7B3C">
              <w:rPr>
                <w:rFonts w:cs="Arial"/>
                <w:sz w:val="16"/>
                <w:szCs w:val="16"/>
              </w:rPr>
              <w:t>2010</w:t>
            </w:r>
          </w:p>
        </w:tc>
        <w:tc>
          <w:tcPr>
            <w:tcW w:w="726" w:type="dxa"/>
            <w:tcBorders>
              <w:top w:val="nil"/>
              <w:left w:val="nil"/>
              <w:bottom w:val="nil"/>
              <w:right w:val="nil"/>
            </w:tcBorders>
            <w:shd w:val="clear" w:color="auto" w:fill="auto"/>
            <w:noWrap/>
            <w:vAlign w:val="center"/>
          </w:tcPr>
          <w:p w14:paraId="6B0CE9C0" w14:textId="1796CE78" w:rsidR="005B62C7" w:rsidRPr="004C7B3C" w:rsidRDefault="005B62C7" w:rsidP="00B727F7">
            <w:pPr>
              <w:spacing w:after="0" w:line="276" w:lineRule="auto"/>
              <w:jc w:val="right"/>
              <w:rPr>
                <w:rFonts w:cs="Arial"/>
                <w:sz w:val="16"/>
                <w:szCs w:val="16"/>
              </w:rPr>
            </w:pPr>
            <w:r w:rsidRPr="004C7B3C">
              <w:rPr>
                <w:rFonts w:cs="Arial"/>
                <w:sz w:val="16"/>
                <w:szCs w:val="16"/>
              </w:rPr>
              <w:t>159</w:t>
            </w:r>
          </w:p>
        </w:tc>
        <w:tc>
          <w:tcPr>
            <w:tcW w:w="924" w:type="dxa"/>
            <w:tcBorders>
              <w:top w:val="nil"/>
              <w:left w:val="nil"/>
              <w:bottom w:val="nil"/>
              <w:right w:val="nil"/>
            </w:tcBorders>
            <w:shd w:val="clear" w:color="auto" w:fill="auto"/>
            <w:noWrap/>
            <w:vAlign w:val="center"/>
          </w:tcPr>
          <w:p w14:paraId="69704C87" w14:textId="0F7B9B2D" w:rsidR="005B62C7" w:rsidRPr="004C7B3C" w:rsidRDefault="005B62C7" w:rsidP="00B727F7">
            <w:pPr>
              <w:spacing w:after="0" w:line="276" w:lineRule="auto"/>
              <w:jc w:val="right"/>
              <w:rPr>
                <w:rFonts w:cs="Arial"/>
                <w:sz w:val="16"/>
                <w:szCs w:val="16"/>
              </w:rPr>
            </w:pPr>
            <w:r w:rsidRPr="004C7B3C">
              <w:rPr>
                <w:rFonts w:cs="Arial"/>
                <w:sz w:val="16"/>
                <w:szCs w:val="16"/>
              </w:rPr>
              <w:t>19.390</w:t>
            </w:r>
          </w:p>
        </w:tc>
        <w:tc>
          <w:tcPr>
            <w:tcW w:w="779" w:type="dxa"/>
            <w:tcBorders>
              <w:top w:val="nil"/>
              <w:left w:val="nil"/>
              <w:bottom w:val="nil"/>
              <w:right w:val="nil"/>
            </w:tcBorders>
            <w:shd w:val="clear" w:color="auto" w:fill="auto"/>
            <w:noWrap/>
            <w:vAlign w:val="center"/>
          </w:tcPr>
          <w:p w14:paraId="1434D8E6" w14:textId="13FCCF10" w:rsidR="005B62C7" w:rsidRPr="004C7B3C" w:rsidRDefault="005B62C7" w:rsidP="00B727F7">
            <w:pPr>
              <w:spacing w:after="0" w:line="276" w:lineRule="auto"/>
              <w:jc w:val="right"/>
              <w:rPr>
                <w:rFonts w:cs="Arial"/>
                <w:sz w:val="16"/>
                <w:szCs w:val="16"/>
              </w:rPr>
            </w:pPr>
            <w:r w:rsidRPr="004C7B3C">
              <w:rPr>
                <w:rFonts w:cs="Arial"/>
                <w:sz w:val="16"/>
                <w:szCs w:val="16"/>
              </w:rPr>
              <w:t>19.549</w:t>
            </w:r>
          </w:p>
        </w:tc>
        <w:tc>
          <w:tcPr>
            <w:tcW w:w="726" w:type="dxa"/>
            <w:tcBorders>
              <w:top w:val="nil"/>
              <w:left w:val="nil"/>
              <w:bottom w:val="nil"/>
              <w:right w:val="nil"/>
            </w:tcBorders>
            <w:shd w:val="clear" w:color="auto" w:fill="auto"/>
            <w:noWrap/>
            <w:vAlign w:val="center"/>
          </w:tcPr>
          <w:p w14:paraId="4A719AB7" w14:textId="64A057C0" w:rsidR="005B62C7" w:rsidRPr="004C7B3C" w:rsidRDefault="005B62C7" w:rsidP="00B727F7">
            <w:pPr>
              <w:spacing w:after="0" w:line="276" w:lineRule="auto"/>
              <w:jc w:val="right"/>
              <w:rPr>
                <w:rFonts w:cs="Arial"/>
                <w:sz w:val="16"/>
                <w:szCs w:val="16"/>
              </w:rPr>
            </w:pPr>
            <w:r w:rsidRPr="004C7B3C">
              <w:rPr>
                <w:rFonts w:cs="Arial"/>
                <w:sz w:val="16"/>
                <w:szCs w:val="16"/>
              </w:rPr>
              <w:t>104</w:t>
            </w:r>
          </w:p>
        </w:tc>
        <w:tc>
          <w:tcPr>
            <w:tcW w:w="1069" w:type="dxa"/>
            <w:tcBorders>
              <w:top w:val="nil"/>
              <w:left w:val="nil"/>
              <w:bottom w:val="nil"/>
              <w:right w:val="nil"/>
            </w:tcBorders>
            <w:shd w:val="clear" w:color="auto" w:fill="auto"/>
            <w:noWrap/>
            <w:vAlign w:val="center"/>
          </w:tcPr>
          <w:p w14:paraId="034929F0" w14:textId="765350C4" w:rsidR="005B62C7" w:rsidRPr="004C7B3C" w:rsidRDefault="005B62C7" w:rsidP="00B727F7">
            <w:pPr>
              <w:spacing w:after="0" w:line="276" w:lineRule="auto"/>
              <w:jc w:val="right"/>
              <w:rPr>
                <w:rFonts w:cs="Arial"/>
                <w:sz w:val="16"/>
                <w:szCs w:val="16"/>
              </w:rPr>
            </w:pPr>
            <w:r w:rsidRPr="004C7B3C">
              <w:rPr>
                <w:rFonts w:cs="Arial"/>
                <w:sz w:val="16"/>
                <w:szCs w:val="16"/>
              </w:rPr>
              <w:t>12.873</w:t>
            </w:r>
          </w:p>
        </w:tc>
        <w:tc>
          <w:tcPr>
            <w:tcW w:w="932" w:type="dxa"/>
            <w:tcBorders>
              <w:top w:val="nil"/>
              <w:left w:val="nil"/>
              <w:bottom w:val="nil"/>
              <w:right w:val="nil"/>
            </w:tcBorders>
            <w:shd w:val="clear" w:color="auto" w:fill="auto"/>
            <w:noWrap/>
            <w:vAlign w:val="center"/>
          </w:tcPr>
          <w:p w14:paraId="28DA8C4B" w14:textId="754E5E3E" w:rsidR="005B62C7" w:rsidRPr="004C7B3C" w:rsidRDefault="005B62C7" w:rsidP="00B727F7">
            <w:pPr>
              <w:spacing w:after="0" w:line="276" w:lineRule="auto"/>
              <w:jc w:val="right"/>
              <w:rPr>
                <w:rFonts w:cs="Arial"/>
                <w:sz w:val="16"/>
                <w:szCs w:val="16"/>
              </w:rPr>
            </w:pPr>
            <w:r w:rsidRPr="004C7B3C">
              <w:rPr>
                <w:rFonts w:cs="Arial"/>
                <w:sz w:val="16"/>
                <w:szCs w:val="16"/>
              </w:rPr>
              <w:t>12.977</w:t>
            </w:r>
          </w:p>
        </w:tc>
        <w:tc>
          <w:tcPr>
            <w:tcW w:w="1152" w:type="dxa"/>
            <w:tcBorders>
              <w:top w:val="nil"/>
              <w:left w:val="nil"/>
              <w:bottom w:val="nil"/>
              <w:right w:val="nil"/>
            </w:tcBorders>
            <w:shd w:val="clear" w:color="auto" w:fill="auto"/>
            <w:noWrap/>
            <w:vAlign w:val="center"/>
          </w:tcPr>
          <w:p w14:paraId="6344E440" w14:textId="5A827838" w:rsidR="005B62C7" w:rsidRPr="004C7B3C" w:rsidRDefault="005B62C7" w:rsidP="00B727F7">
            <w:pPr>
              <w:spacing w:after="0" w:line="276" w:lineRule="auto"/>
              <w:jc w:val="right"/>
              <w:rPr>
                <w:rFonts w:cs="Arial"/>
                <w:sz w:val="16"/>
                <w:szCs w:val="16"/>
              </w:rPr>
            </w:pPr>
            <w:r w:rsidRPr="004C7B3C">
              <w:rPr>
                <w:rFonts w:cs="Arial"/>
                <w:sz w:val="16"/>
                <w:szCs w:val="16"/>
              </w:rPr>
              <w:t>246</w:t>
            </w:r>
          </w:p>
        </w:tc>
        <w:tc>
          <w:tcPr>
            <w:tcW w:w="1159" w:type="dxa"/>
            <w:tcBorders>
              <w:top w:val="nil"/>
              <w:left w:val="nil"/>
              <w:bottom w:val="nil"/>
              <w:right w:val="nil"/>
            </w:tcBorders>
            <w:shd w:val="clear" w:color="auto" w:fill="auto"/>
            <w:noWrap/>
            <w:vAlign w:val="center"/>
          </w:tcPr>
          <w:p w14:paraId="64F55546" w14:textId="5A4AD462" w:rsidR="005B62C7" w:rsidRPr="004C7B3C" w:rsidRDefault="005B62C7" w:rsidP="00B727F7">
            <w:pPr>
              <w:spacing w:after="0" w:line="276" w:lineRule="auto"/>
              <w:jc w:val="right"/>
              <w:rPr>
                <w:rFonts w:cs="Arial"/>
                <w:sz w:val="16"/>
                <w:szCs w:val="16"/>
              </w:rPr>
            </w:pPr>
            <w:r w:rsidRPr="004C7B3C">
              <w:rPr>
                <w:rFonts w:cs="Arial"/>
                <w:sz w:val="16"/>
                <w:szCs w:val="16"/>
              </w:rPr>
              <w:t>13.223</w:t>
            </w:r>
          </w:p>
        </w:tc>
        <w:tc>
          <w:tcPr>
            <w:tcW w:w="911" w:type="dxa"/>
            <w:tcBorders>
              <w:top w:val="nil"/>
              <w:left w:val="nil"/>
              <w:bottom w:val="nil"/>
              <w:right w:val="single" w:sz="2" w:space="0" w:color="A6A6A6" w:themeColor="background1" w:themeShade="A6"/>
            </w:tcBorders>
            <w:shd w:val="clear" w:color="auto" w:fill="auto"/>
            <w:noWrap/>
            <w:vAlign w:val="center"/>
          </w:tcPr>
          <w:p w14:paraId="32D53918" w14:textId="03C29DDB" w:rsidR="005B62C7" w:rsidRPr="004C7B3C" w:rsidRDefault="005B62C7" w:rsidP="00B727F7">
            <w:pPr>
              <w:spacing w:after="0" w:line="276" w:lineRule="auto"/>
              <w:jc w:val="right"/>
              <w:rPr>
                <w:rFonts w:cs="Arial"/>
                <w:sz w:val="16"/>
                <w:szCs w:val="16"/>
              </w:rPr>
            </w:pPr>
            <w:r w:rsidRPr="004C7B3C">
              <w:rPr>
                <w:rFonts w:cs="Arial"/>
                <w:sz w:val="16"/>
                <w:szCs w:val="16"/>
              </w:rPr>
              <w:t>32.772</w:t>
            </w:r>
          </w:p>
        </w:tc>
      </w:tr>
      <w:tr w:rsidR="005B62C7" w:rsidRPr="004C7B3C" w14:paraId="449CC71F" w14:textId="77777777" w:rsidTr="00635793">
        <w:trPr>
          <w:cantSplit/>
          <w:trHeight w:val="253"/>
          <w:jc w:val="center"/>
        </w:trPr>
        <w:tc>
          <w:tcPr>
            <w:tcW w:w="834" w:type="dxa"/>
            <w:tcBorders>
              <w:top w:val="nil"/>
              <w:left w:val="single" w:sz="2" w:space="0" w:color="A6A6A6" w:themeColor="background1" w:themeShade="A6"/>
              <w:bottom w:val="nil"/>
              <w:right w:val="nil"/>
            </w:tcBorders>
            <w:shd w:val="clear" w:color="auto" w:fill="auto"/>
            <w:noWrap/>
            <w:vAlign w:val="center"/>
          </w:tcPr>
          <w:p w14:paraId="3B4A38D9" w14:textId="5C2E7D66" w:rsidR="005B62C7" w:rsidRPr="004C7B3C" w:rsidRDefault="005B62C7" w:rsidP="00B727F7">
            <w:pPr>
              <w:spacing w:after="0" w:line="276" w:lineRule="auto"/>
              <w:jc w:val="center"/>
              <w:rPr>
                <w:rFonts w:cs="Arial"/>
                <w:sz w:val="16"/>
                <w:szCs w:val="16"/>
              </w:rPr>
            </w:pPr>
            <w:r w:rsidRPr="004C7B3C">
              <w:rPr>
                <w:rFonts w:cs="Arial"/>
                <w:sz w:val="16"/>
                <w:szCs w:val="16"/>
              </w:rPr>
              <w:t>2011</w:t>
            </w:r>
          </w:p>
        </w:tc>
        <w:tc>
          <w:tcPr>
            <w:tcW w:w="726" w:type="dxa"/>
            <w:tcBorders>
              <w:top w:val="nil"/>
              <w:left w:val="nil"/>
              <w:bottom w:val="nil"/>
              <w:right w:val="nil"/>
            </w:tcBorders>
            <w:shd w:val="clear" w:color="auto" w:fill="auto"/>
            <w:noWrap/>
            <w:vAlign w:val="center"/>
          </w:tcPr>
          <w:p w14:paraId="2973AF2E" w14:textId="7E8D9DA6" w:rsidR="005B62C7" w:rsidRPr="004C7B3C" w:rsidRDefault="005B62C7" w:rsidP="00B727F7">
            <w:pPr>
              <w:spacing w:after="0" w:line="276" w:lineRule="auto"/>
              <w:jc w:val="right"/>
              <w:rPr>
                <w:rFonts w:cs="Arial"/>
                <w:sz w:val="16"/>
                <w:szCs w:val="16"/>
              </w:rPr>
            </w:pPr>
            <w:r w:rsidRPr="004C7B3C">
              <w:rPr>
                <w:rFonts w:cs="Arial"/>
                <w:sz w:val="16"/>
                <w:szCs w:val="16"/>
              </w:rPr>
              <w:t>-129</w:t>
            </w:r>
          </w:p>
        </w:tc>
        <w:tc>
          <w:tcPr>
            <w:tcW w:w="924" w:type="dxa"/>
            <w:tcBorders>
              <w:top w:val="nil"/>
              <w:left w:val="nil"/>
              <w:bottom w:val="nil"/>
              <w:right w:val="nil"/>
            </w:tcBorders>
            <w:shd w:val="clear" w:color="auto" w:fill="auto"/>
            <w:noWrap/>
            <w:vAlign w:val="center"/>
          </w:tcPr>
          <w:p w14:paraId="56144316" w14:textId="19E5E337" w:rsidR="005B62C7" w:rsidRPr="004C7B3C" w:rsidRDefault="005B62C7" w:rsidP="00B727F7">
            <w:pPr>
              <w:spacing w:after="0" w:line="276" w:lineRule="auto"/>
              <w:jc w:val="right"/>
              <w:rPr>
                <w:rFonts w:cs="Arial"/>
                <w:sz w:val="16"/>
                <w:szCs w:val="16"/>
              </w:rPr>
            </w:pPr>
            <w:r w:rsidRPr="004C7B3C">
              <w:rPr>
                <w:rFonts w:cs="Arial"/>
                <w:sz w:val="16"/>
                <w:szCs w:val="16"/>
              </w:rPr>
              <w:t>28.976</w:t>
            </w:r>
          </w:p>
        </w:tc>
        <w:tc>
          <w:tcPr>
            <w:tcW w:w="779" w:type="dxa"/>
            <w:tcBorders>
              <w:top w:val="nil"/>
              <w:left w:val="nil"/>
              <w:bottom w:val="nil"/>
              <w:right w:val="nil"/>
            </w:tcBorders>
            <w:shd w:val="clear" w:color="auto" w:fill="auto"/>
            <w:noWrap/>
            <w:vAlign w:val="center"/>
          </w:tcPr>
          <w:p w14:paraId="625E98DA" w14:textId="234A7CD7" w:rsidR="005B62C7" w:rsidRPr="004C7B3C" w:rsidRDefault="005B62C7" w:rsidP="00B727F7">
            <w:pPr>
              <w:spacing w:after="0" w:line="276" w:lineRule="auto"/>
              <w:jc w:val="right"/>
              <w:rPr>
                <w:rFonts w:cs="Arial"/>
                <w:sz w:val="16"/>
                <w:szCs w:val="16"/>
              </w:rPr>
            </w:pPr>
            <w:r w:rsidRPr="004C7B3C">
              <w:rPr>
                <w:rFonts w:cs="Arial"/>
                <w:sz w:val="16"/>
                <w:szCs w:val="16"/>
              </w:rPr>
              <w:t>28.847</w:t>
            </w:r>
          </w:p>
        </w:tc>
        <w:tc>
          <w:tcPr>
            <w:tcW w:w="726" w:type="dxa"/>
            <w:tcBorders>
              <w:top w:val="nil"/>
              <w:left w:val="nil"/>
              <w:bottom w:val="nil"/>
              <w:right w:val="nil"/>
            </w:tcBorders>
            <w:shd w:val="clear" w:color="auto" w:fill="auto"/>
            <w:noWrap/>
            <w:vAlign w:val="center"/>
          </w:tcPr>
          <w:p w14:paraId="621AD8AE" w14:textId="7BA3FEFF" w:rsidR="005B62C7" w:rsidRPr="004C7B3C" w:rsidRDefault="005B62C7" w:rsidP="00B727F7">
            <w:pPr>
              <w:spacing w:after="0" w:line="276" w:lineRule="auto"/>
              <w:jc w:val="right"/>
              <w:rPr>
                <w:rFonts w:cs="Arial"/>
                <w:sz w:val="16"/>
                <w:szCs w:val="16"/>
              </w:rPr>
            </w:pPr>
            <w:r w:rsidRPr="004C7B3C">
              <w:rPr>
                <w:rFonts w:cs="Arial"/>
                <w:sz w:val="16"/>
                <w:szCs w:val="16"/>
              </w:rPr>
              <w:t>372</w:t>
            </w:r>
          </w:p>
        </w:tc>
        <w:tc>
          <w:tcPr>
            <w:tcW w:w="1069" w:type="dxa"/>
            <w:tcBorders>
              <w:top w:val="nil"/>
              <w:left w:val="nil"/>
              <w:bottom w:val="nil"/>
              <w:right w:val="nil"/>
            </w:tcBorders>
            <w:shd w:val="clear" w:color="auto" w:fill="auto"/>
            <w:noWrap/>
            <w:vAlign w:val="center"/>
          </w:tcPr>
          <w:p w14:paraId="3AF78439" w14:textId="5D7A73FF" w:rsidR="005B62C7" w:rsidRPr="004C7B3C" w:rsidRDefault="005B62C7" w:rsidP="00B727F7">
            <w:pPr>
              <w:spacing w:after="0" w:line="276" w:lineRule="auto"/>
              <w:jc w:val="right"/>
              <w:rPr>
                <w:rFonts w:cs="Arial"/>
                <w:sz w:val="16"/>
                <w:szCs w:val="16"/>
              </w:rPr>
            </w:pPr>
            <w:r w:rsidRPr="004C7B3C">
              <w:rPr>
                <w:rFonts w:cs="Arial"/>
                <w:sz w:val="16"/>
                <w:szCs w:val="16"/>
              </w:rPr>
              <w:t>15.758</w:t>
            </w:r>
          </w:p>
        </w:tc>
        <w:tc>
          <w:tcPr>
            <w:tcW w:w="932" w:type="dxa"/>
            <w:tcBorders>
              <w:top w:val="nil"/>
              <w:left w:val="nil"/>
              <w:bottom w:val="nil"/>
              <w:right w:val="nil"/>
            </w:tcBorders>
            <w:shd w:val="clear" w:color="auto" w:fill="auto"/>
            <w:noWrap/>
            <w:vAlign w:val="center"/>
          </w:tcPr>
          <w:p w14:paraId="44983F98" w14:textId="3DC0E51D" w:rsidR="005B62C7" w:rsidRPr="004C7B3C" w:rsidRDefault="005B62C7" w:rsidP="00B727F7">
            <w:pPr>
              <w:spacing w:after="0" w:line="276" w:lineRule="auto"/>
              <w:jc w:val="right"/>
              <w:rPr>
                <w:rFonts w:cs="Arial"/>
                <w:sz w:val="16"/>
                <w:szCs w:val="16"/>
              </w:rPr>
            </w:pPr>
            <w:r w:rsidRPr="004C7B3C">
              <w:rPr>
                <w:rFonts w:cs="Arial"/>
                <w:sz w:val="16"/>
                <w:szCs w:val="16"/>
              </w:rPr>
              <w:t>16.130</w:t>
            </w:r>
          </w:p>
        </w:tc>
        <w:tc>
          <w:tcPr>
            <w:tcW w:w="1152" w:type="dxa"/>
            <w:tcBorders>
              <w:top w:val="nil"/>
              <w:left w:val="nil"/>
              <w:bottom w:val="nil"/>
              <w:right w:val="nil"/>
            </w:tcBorders>
            <w:shd w:val="clear" w:color="auto" w:fill="auto"/>
            <w:noWrap/>
            <w:vAlign w:val="center"/>
          </w:tcPr>
          <w:p w14:paraId="1FCC8F99" w14:textId="2C225D75" w:rsidR="005B62C7" w:rsidRPr="004C7B3C" w:rsidRDefault="005B62C7" w:rsidP="00B727F7">
            <w:pPr>
              <w:spacing w:after="0" w:line="276" w:lineRule="auto"/>
              <w:jc w:val="right"/>
              <w:rPr>
                <w:rFonts w:cs="Arial"/>
                <w:sz w:val="16"/>
                <w:szCs w:val="16"/>
              </w:rPr>
            </w:pPr>
            <w:r w:rsidRPr="004C7B3C">
              <w:rPr>
                <w:rFonts w:cs="Arial"/>
                <w:sz w:val="16"/>
                <w:szCs w:val="16"/>
              </w:rPr>
              <w:t>218</w:t>
            </w:r>
          </w:p>
        </w:tc>
        <w:tc>
          <w:tcPr>
            <w:tcW w:w="1159" w:type="dxa"/>
            <w:tcBorders>
              <w:top w:val="nil"/>
              <w:left w:val="nil"/>
              <w:bottom w:val="nil"/>
              <w:right w:val="nil"/>
            </w:tcBorders>
            <w:shd w:val="clear" w:color="auto" w:fill="auto"/>
            <w:noWrap/>
            <w:vAlign w:val="center"/>
          </w:tcPr>
          <w:p w14:paraId="05ADB135" w14:textId="3D6815C4" w:rsidR="005B62C7" w:rsidRPr="004C7B3C" w:rsidRDefault="005B62C7" w:rsidP="00B727F7">
            <w:pPr>
              <w:spacing w:after="0" w:line="276" w:lineRule="auto"/>
              <w:jc w:val="right"/>
              <w:rPr>
                <w:rFonts w:cs="Arial"/>
                <w:sz w:val="16"/>
                <w:szCs w:val="16"/>
              </w:rPr>
            </w:pPr>
            <w:r w:rsidRPr="004C7B3C">
              <w:rPr>
                <w:rFonts w:cs="Arial"/>
                <w:sz w:val="16"/>
                <w:szCs w:val="16"/>
              </w:rPr>
              <w:t>16.348</w:t>
            </w:r>
          </w:p>
        </w:tc>
        <w:tc>
          <w:tcPr>
            <w:tcW w:w="911" w:type="dxa"/>
            <w:tcBorders>
              <w:top w:val="nil"/>
              <w:left w:val="nil"/>
              <w:bottom w:val="nil"/>
              <w:right w:val="single" w:sz="2" w:space="0" w:color="A6A6A6" w:themeColor="background1" w:themeShade="A6"/>
            </w:tcBorders>
            <w:shd w:val="clear" w:color="auto" w:fill="auto"/>
            <w:noWrap/>
            <w:vAlign w:val="center"/>
          </w:tcPr>
          <w:p w14:paraId="737402CF" w14:textId="5D17C5E3" w:rsidR="005B62C7" w:rsidRPr="004C7B3C" w:rsidRDefault="005B62C7" w:rsidP="00B727F7">
            <w:pPr>
              <w:spacing w:after="0" w:line="276" w:lineRule="auto"/>
              <w:jc w:val="right"/>
              <w:rPr>
                <w:rFonts w:cs="Arial"/>
                <w:sz w:val="16"/>
                <w:szCs w:val="16"/>
              </w:rPr>
            </w:pPr>
            <w:r w:rsidRPr="004C7B3C">
              <w:rPr>
                <w:rFonts w:cs="Arial"/>
                <w:sz w:val="16"/>
                <w:szCs w:val="16"/>
              </w:rPr>
              <w:t>45.195</w:t>
            </w:r>
          </w:p>
        </w:tc>
      </w:tr>
      <w:tr w:rsidR="005B62C7" w:rsidRPr="004C7B3C" w14:paraId="18CC8AAB" w14:textId="77777777" w:rsidTr="00635793">
        <w:trPr>
          <w:cantSplit/>
          <w:trHeight w:val="238"/>
          <w:jc w:val="center"/>
        </w:trPr>
        <w:tc>
          <w:tcPr>
            <w:tcW w:w="834" w:type="dxa"/>
            <w:tcBorders>
              <w:top w:val="nil"/>
              <w:left w:val="single" w:sz="2" w:space="0" w:color="A6A6A6" w:themeColor="background1" w:themeShade="A6"/>
              <w:bottom w:val="nil"/>
              <w:right w:val="nil"/>
            </w:tcBorders>
            <w:shd w:val="clear" w:color="auto" w:fill="auto"/>
            <w:noWrap/>
            <w:vAlign w:val="center"/>
          </w:tcPr>
          <w:p w14:paraId="4D8FB6EB" w14:textId="740F6C74" w:rsidR="005B62C7" w:rsidRPr="004C7B3C" w:rsidRDefault="005B62C7" w:rsidP="00B727F7">
            <w:pPr>
              <w:spacing w:after="0" w:line="276" w:lineRule="auto"/>
              <w:jc w:val="center"/>
              <w:rPr>
                <w:rFonts w:cs="Arial"/>
                <w:sz w:val="16"/>
                <w:szCs w:val="16"/>
              </w:rPr>
            </w:pPr>
            <w:r w:rsidRPr="004C7B3C">
              <w:rPr>
                <w:rFonts w:cs="Arial"/>
                <w:sz w:val="16"/>
                <w:szCs w:val="16"/>
              </w:rPr>
              <w:t>2012</w:t>
            </w:r>
          </w:p>
        </w:tc>
        <w:tc>
          <w:tcPr>
            <w:tcW w:w="726" w:type="dxa"/>
            <w:tcBorders>
              <w:top w:val="nil"/>
              <w:left w:val="nil"/>
              <w:bottom w:val="nil"/>
              <w:right w:val="nil"/>
            </w:tcBorders>
            <w:shd w:val="clear" w:color="auto" w:fill="auto"/>
            <w:noWrap/>
            <w:vAlign w:val="center"/>
          </w:tcPr>
          <w:p w14:paraId="1D693A3A" w14:textId="0EC099ED" w:rsidR="005B62C7" w:rsidRPr="004C7B3C" w:rsidRDefault="005B62C7" w:rsidP="00B727F7">
            <w:pPr>
              <w:spacing w:after="0" w:line="276" w:lineRule="auto"/>
              <w:jc w:val="right"/>
              <w:rPr>
                <w:rFonts w:cs="Arial"/>
                <w:sz w:val="16"/>
                <w:szCs w:val="16"/>
              </w:rPr>
            </w:pPr>
            <w:r w:rsidRPr="004C7B3C">
              <w:rPr>
                <w:rFonts w:cs="Arial"/>
                <w:sz w:val="16"/>
                <w:szCs w:val="16"/>
              </w:rPr>
              <w:t>-1.353</w:t>
            </w:r>
          </w:p>
        </w:tc>
        <w:tc>
          <w:tcPr>
            <w:tcW w:w="924" w:type="dxa"/>
            <w:tcBorders>
              <w:top w:val="nil"/>
              <w:left w:val="nil"/>
              <w:bottom w:val="nil"/>
              <w:right w:val="nil"/>
            </w:tcBorders>
            <w:shd w:val="clear" w:color="auto" w:fill="auto"/>
            <w:noWrap/>
            <w:vAlign w:val="center"/>
          </w:tcPr>
          <w:p w14:paraId="68EB8947" w14:textId="0DDDCF46" w:rsidR="005B62C7" w:rsidRPr="004C7B3C" w:rsidRDefault="005B62C7" w:rsidP="00B727F7">
            <w:pPr>
              <w:spacing w:after="0" w:line="276" w:lineRule="auto"/>
              <w:jc w:val="right"/>
              <w:rPr>
                <w:rFonts w:cs="Arial"/>
                <w:sz w:val="16"/>
                <w:szCs w:val="16"/>
              </w:rPr>
            </w:pPr>
            <w:r w:rsidRPr="004C7B3C">
              <w:rPr>
                <w:rFonts w:cs="Arial"/>
                <w:sz w:val="16"/>
                <w:szCs w:val="16"/>
              </w:rPr>
              <w:t>25.261</w:t>
            </w:r>
          </w:p>
        </w:tc>
        <w:tc>
          <w:tcPr>
            <w:tcW w:w="779" w:type="dxa"/>
            <w:tcBorders>
              <w:top w:val="nil"/>
              <w:left w:val="nil"/>
              <w:bottom w:val="nil"/>
              <w:right w:val="nil"/>
            </w:tcBorders>
            <w:shd w:val="clear" w:color="auto" w:fill="auto"/>
            <w:noWrap/>
            <w:vAlign w:val="center"/>
          </w:tcPr>
          <w:p w14:paraId="2EFE4A33" w14:textId="1165706C" w:rsidR="005B62C7" w:rsidRPr="004C7B3C" w:rsidRDefault="005B62C7" w:rsidP="00B727F7">
            <w:pPr>
              <w:spacing w:after="0" w:line="276" w:lineRule="auto"/>
              <w:jc w:val="right"/>
              <w:rPr>
                <w:rFonts w:cs="Arial"/>
                <w:sz w:val="16"/>
                <w:szCs w:val="16"/>
              </w:rPr>
            </w:pPr>
            <w:r w:rsidRPr="004C7B3C">
              <w:rPr>
                <w:rFonts w:cs="Arial"/>
                <w:sz w:val="16"/>
                <w:szCs w:val="16"/>
              </w:rPr>
              <w:t>23.908</w:t>
            </w:r>
          </w:p>
        </w:tc>
        <w:tc>
          <w:tcPr>
            <w:tcW w:w="726" w:type="dxa"/>
            <w:tcBorders>
              <w:top w:val="nil"/>
              <w:left w:val="nil"/>
              <w:bottom w:val="nil"/>
              <w:right w:val="nil"/>
            </w:tcBorders>
            <w:shd w:val="clear" w:color="auto" w:fill="auto"/>
            <w:noWrap/>
            <w:vAlign w:val="center"/>
          </w:tcPr>
          <w:p w14:paraId="6C716576" w14:textId="7B96975A" w:rsidR="005B62C7" w:rsidRPr="004C7B3C" w:rsidRDefault="005B62C7" w:rsidP="00B727F7">
            <w:pPr>
              <w:spacing w:after="0" w:line="276" w:lineRule="auto"/>
              <w:jc w:val="right"/>
              <w:rPr>
                <w:rFonts w:cs="Arial"/>
                <w:sz w:val="16"/>
                <w:szCs w:val="16"/>
              </w:rPr>
            </w:pPr>
            <w:r w:rsidRPr="004C7B3C">
              <w:rPr>
                <w:rFonts w:cs="Arial"/>
                <w:sz w:val="16"/>
                <w:szCs w:val="16"/>
              </w:rPr>
              <w:t>603</w:t>
            </w:r>
          </w:p>
        </w:tc>
        <w:tc>
          <w:tcPr>
            <w:tcW w:w="1069" w:type="dxa"/>
            <w:tcBorders>
              <w:top w:val="nil"/>
              <w:left w:val="nil"/>
              <w:bottom w:val="nil"/>
              <w:right w:val="nil"/>
            </w:tcBorders>
            <w:shd w:val="clear" w:color="auto" w:fill="auto"/>
            <w:noWrap/>
            <w:vAlign w:val="center"/>
          </w:tcPr>
          <w:p w14:paraId="554E3F06" w14:textId="5B3959C5" w:rsidR="005B62C7" w:rsidRPr="004C7B3C" w:rsidRDefault="005B62C7" w:rsidP="00B727F7">
            <w:pPr>
              <w:spacing w:after="0" w:line="276" w:lineRule="auto"/>
              <w:jc w:val="right"/>
              <w:rPr>
                <w:rFonts w:cs="Arial"/>
                <w:sz w:val="16"/>
                <w:szCs w:val="16"/>
              </w:rPr>
            </w:pPr>
            <w:r w:rsidRPr="004C7B3C">
              <w:rPr>
                <w:rFonts w:cs="Arial"/>
                <w:sz w:val="16"/>
                <w:szCs w:val="16"/>
              </w:rPr>
              <w:t>11.530</w:t>
            </w:r>
          </w:p>
        </w:tc>
        <w:tc>
          <w:tcPr>
            <w:tcW w:w="932" w:type="dxa"/>
            <w:tcBorders>
              <w:top w:val="nil"/>
              <w:left w:val="nil"/>
              <w:bottom w:val="nil"/>
              <w:right w:val="nil"/>
            </w:tcBorders>
            <w:shd w:val="clear" w:color="auto" w:fill="auto"/>
            <w:noWrap/>
            <w:vAlign w:val="center"/>
          </w:tcPr>
          <w:p w14:paraId="35D4BD65" w14:textId="4235C0FE" w:rsidR="005B62C7" w:rsidRPr="004C7B3C" w:rsidRDefault="005B62C7" w:rsidP="00B727F7">
            <w:pPr>
              <w:spacing w:after="0" w:line="276" w:lineRule="auto"/>
              <w:jc w:val="right"/>
              <w:rPr>
                <w:rFonts w:cs="Arial"/>
                <w:sz w:val="16"/>
                <w:szCs w:val="16"/>
              </w:rPr>
            </w:pPr>
            <w:r w:rsidRPr="004C7B3C">
              <w:rPr>
                <w:rFonts w:cs="Arial"/>
                <w:sz w:val="16"/>
                <w:szCs w:val="16"/>
              </w:rPr>
              <w:t>12.133</w:t>
            </w:r>
          </w:p>
        </w:tc>
        <w:tc>
          <w:tcPr>
            <w:tcW w:w="1152" w:type="dxa"/>
            <w:tcBorders>
              <w:top w:val="nil"/>
              <w:left w:val="nil"/>
              <w:bottom w:val="nil"/>
              <w:right w:val="nil"/>
            </w:tcBorders>
            <w:shd w:val="clear" w:color="auto" w:fill="auto"/>
            <w:noWrap/>
            <w:vAlign w:val="center"/>
          </w:tcPr>
          <w:p w14:paraId="3D729AF7" w14:textId="2339B5BA" w:rsidR="005B62C7" w:rsidRPr="004C7B3C" w:rsidRDefault="005B62C7" w:rsidP="00B727F7">
            <w:pPr>
              <w:spacing w:after="0" w:line="276" w:lineRule="auto"/>
              <w:jc w:val="right"/>
              <w:rPr>
                <w:rFonts w:cs="Arial"/>
                <w:sz w:val="16"/>
                <w:szCs w:val="16"/>
              </w:rPr>
            </w:pPr>
            <w:r w:rsidRPr="004C7B3C">
              <w:rPr>
                <w:rFonts w:cs="Arial"/>
                <w:sz w:val="16"/>
                <w:szCs w:val="16"/>
              </w:rPr>
              <w:t>631</w:t>
            </w:r>
          </w:p>
        </w:tc>
        <w:tc>
          <w:tcPr>
            <w:tcW w:w="1159" w:type="dxa"/>
            <w:tcBorders>
              <w:top w:val="nil"/>
              <w:left w:val="nil"/>
              <w:bottom w:val="nil"/>
              <w:right w:val="nil"/>
            </w:tcBorders>
            <w:shd w:val="clear" w:color="auto" w:fill="auto"/>
            <w:noWrap/>
            <w:vAlign w:val="center"/>
          </w:tcPr>
          <w:p w14:paraId="70AFD64F" w14:textId="77FD7829" w:rsidR="005B62C7" w:rsidRPr="004C7B3C" w:rsidRDefault="005B62C7" w:rsidP="00B727F7">
            <w:pPr>
              <w:spacing w:after="0" w:line="276" w:lineRule="auto"/>
              <w:jc w:val="right"/>
              <w:rPr>
                <w:rFonts w:cs="Arial"/>
                <w:sz w:val="16"/>
                <w:szCs w:val="16"/>
              </w:rPr>
            </w:pPr>
            <w:r w:rsidRPr="004C7B3C">
              <w:rPr>
                <w:rFonts w:cs="Arial"/>
                <w:sz w:val="16"/>
                <w:szCs w:val="16"/>
              </w:rPr>
              <w:t>12.764</w:t>
            </w:r>
          </w:p>
        </w:tc>
        <w:tc>
          <w:tcPr>
            <w:tcW w:w="911" w:type="dxa"/>
            <w:tcBorders>
              <w:top w:val="nil"/>
              <w:left w:val="nil"/>
              <w:bottom w:val="nil"/>
              <w:right w:val="single" w:sz="2" w:space="0" w:color="A6A6A6" w:themeColor="background1" w:themeShade="A6"/>
            </w:tcBorders>
            <w:shd w:val="clear" w:color="auto" w:fill="auto"/>
            <w:noWrap/>
            <w:vAlign w:val="center"/>
          </w:tcPr>
          <w:p w14:paraId="24BD9A13" w14:textId="51F7A3B2" w:rsidR="005B62C7" w:rsidRPr="004C7B3C" w:rsidRDefault="005B62C7" w:rsidP="00B727F7">
            <w:pPr>
              <w:spacing w:after="0" w:line="276" w:lineRule="auto"/>
              <w:jc w:val="right"/>
              <w:rPr>
                <w:rFonts w:cs="Arial"/>
                <w:sz w:val="16"/>
                <w:szCs w:val="16"/>
              </w:rPr>
            </w:pPr>
            <w:r w:rsidRPr="004C7B3C">
              <w:rPr>
                <w:rFonts w:cs="Arial"/>
                <w:sz w:val="16"/>
                <w:szCs w:val="16"/>
              </w:rPr>
              <w:t>36.672</w:t>
            </w:r>
          </w:p>
        </w:tc>
      </w:tr>
      <w:tr w:rsidR="005B62C7" w:rsidRPr="004C7B3C" w14:paraId="5EAA7B2E" w14:textId="77777777" w:rsidTr="00635793">
        <w:trPr>
          <w:cantSplit/>
          <w:trHeight w:val="238"/>
          <w:jc w:val="center"/>
        </w:trPr>
        <w:tc>
          <w:tcPr>
            <w:tcW w:w="834" w:type="dxa"/>
            <w:tcBorders>
              <w:top w:val="nil"/>
              <w:left w:val="single" w:sz="2" w:space="0" w:color="A6A6A6" w:themeColor="background1" w:themeShade="A6"/>
              <w:bottom w:val="nil"/>
              <w:right w:val="nil"/>
            </w:tcBorders>
            <w:shd w:val="clear" w:color="auto" w:fill="auto"/>
            <w:noWrap/>
            <w:vAlign w:val="center"/>
          </w:tcPr>
          <w:p w14:paraId="79F08BB3" w14:textId="244FC599" w:rsidR="005B62C7" w:rsidRPr="004C7B3C" w:rsidRDefault="005B62C7" w:rsidP="00B727F7">
            <w:pPr>
              <w:spacing w:after="0" w:line="276" w:lineRule="auto"/>
              <w:jc w:val="center"/>
              <w:rPr>
                <w:rFonts w:cs="Arial"/>
                <w:sz w:val="16"/>
                <w:szCs w:val="16"/>
              </w:rPr>
            </w:pPr>
            <w:r w:rsidRPr="004C7B3C">
              <w:rPr>
                <w:rFonts w:cs="Arial"/>
                <w:sz w:val="16"/>
                <w:szCs w:val="16"/>
              </w:rPr>
              <w:t>2013</w:t>
            </w:r>
          </w:p>
        </w:tc>
        <w:tc>
          <w:tcPr>
            <w:tcW w:w="726" w:type="dxa"/>
            <w:tcBorders>
              <w:top w:val="nil"/>
              <w:left w:val="nil"/>
              <w:bottom w:val="nil"/>
              <w:right w:val="nil"/>
            </w:tcBorders>
            <w:shd w:val="clear" w:color="auto" w:fill="auto"/>
            <w:noWrap/>
            <w:vAlign w:val="center"/>
          </w:tcPr>
          <w:p w14:paraId="1C2C3A1B" w14:textId="235C4192" w:rsidR="005B62C7" w:rsidRPr="004C7B3C" w:rsidRDefault="005B62C7" w:rsidP="00B727F7">
            <w:pPr>
              <w:spacing w:after="0" w:line="276" w:lineRule="auto"/>
              <w:jc w:val="right"/>
              <w:rPr>
                <w:rFonts w:cs="Arial"/>
                <w:sz w:val="16"/>
                <w:szCs w:val="16"/>
              </w:rPr>
            </w:pPr>
            <w:r w:rsidRPr="004C7B3C">
              <w:rPr>
                <w:rFonts w:cs="Arial"/>
                <w:sz w:val="16"/>
                <w:szCs w:val="16"/>
              </w:rPr>
              <w:t>2.110</w:t>
            </w:r>
          </w:p>
        </w:tc>
        <w:tc>
          <w:tcPr>
            <w:tcW w:w="924" w:type="dxa"/>
            <w:tcBorders>
              <w:top w:val="nil"/>
              <w:left w:val="nil"/>
              <w:bottom w:val="nil"/>
              <w:right w:val="nil"/>
            </w:tcBorders>
            <w:shd w:val="clear" w:color="auto" w:fill="auto"/>
            <w:noWrap/>
            <w:vAlign w:val="center"/>
          </w:tcPr>
          <w:p w14:paraId="67BDDCD2" w14:textId="254C405A" w:rsidR="005B62C7" w:rsidRPr="004C7B3C" w:rsidRDefault="005B62C7" w:rsidP="00B727F7">
            <w:pPr>
              <w:spacing w:after="0" w:line="276" w:lineRule="auto"/>
              <w:jc w:val="right"/>
              <w:rPr>
                <w:rFonts w:cs="Arial"/>
                <w:sz w:val="16"/>
                <w:szCs w:val="16"/>
              </w:rPr>
            </w:pPr>
            <w:r w:rsidRPr="004C7B3C">
              <w:rPr>
                <w:rFonts w:cs="Arial"/>
                <w:sz w:val="16"/>
                <w:szCs w:val="16"/>
              </w:rPr>
              <w:t>10.647</w:t>
            </w:r>
          </w:p>
        </w:tc>
        <w:tc>
          <w:tcPr>
            <w:tcW w:w="779" w:type="dxa"/>
            <w:tcBorders>
              <w:top w:val="nil"/>
              <w:left w:val="nil"/>
              <w:bottom w:val="nil"/>
              <w:right w:val="nil"/>
            </w:tcBorders>
            <w:shd w:val="clear" w:color="auto" w:fill="auto"/>
            <w:noWrap/>
            <w:vAlign w:val="center"/>
          </w:tcPr>
          <w:p w14:paraId="79CD5B46" w14:textId="794D8D04" w:rsidR="005B62C7" w:rsidRPr="004C7B3C" w:rsidRDefault="005B62C7" w:rsidP="00B727F7">
            <w:pPr>
              <w:spacing w:after="0" w:line="276" w:lineRule="auto"/>
              <w:jc w:val="right"/>
              <w:rPr>
                <w:rFonts w:cs="Arial"/>
                <w:sz w:val="16"/>
                <w:szCs w:val="16"/>
              </w:rPr>
            </w:pPr>
            <w:r w:rsidRPr="004C7B3C">
              <w:rPr>
                <w:rFonts w:cs="Arial"/>
                <w:sz w:val="16"/>
                <w:szCs w:val="16"/>
              </w:rPr>
              <w:t>12.757</w:t>
            </w:r>
          </w:p>
        </w:tc>
        <w:tc>
          <w:tcPr>
            <w:tcW w:w="726" w:type="dxa"/>
            <w:tcBorders>
              <w:top w:val="nil"/>
              <w:left w:val="nil"/>
              <w:bottom w:val="nil"/>
              <w:right w:val="nil"/>
            </w:tcBorders>
            <w:shd w:val="clear" w:color="auto" w:fill="auto"/>
            <w:noWrap/>
            <w:vAlign w:val="center"/>
          </w:tcPr>
          <w:p w14:paraId="5633775A" w14:textId="2F27C7DE" w:rsidR="005B62C7" w:rsidRPr="004C7B3C" w:rsidRDefault="005B62C7" w:rsidP="00B727F7">
            <w:pPr>
              <w:spacing w:after="0" w:line="276" w:lineRule="auto"/>
              <w:jc w:val="right"/>
              <w:rPr>
                <w:rFonts w:cs="Arial"/>
                <w:sz w:val="16"/>
                <w:szCs w:val="16"/>
              </w:rPr>
            </w:pPr>
            <w:r w:rsidRPr="004C7B3C">
              <w:rPr>
                <w:rFonts w:cs="Arial"/>
                <w:sz w:val="16"/>
                <w:szCs w:val="16"/>
              </w:rPr>
              <w:t>848</w:t>
            </w:r>
          </w:p>
        </w:tc>
        <w:tc>
          <w:tcPr>
            <w:tcW w:w="1069" w:type="dxa"/>
            <w:tcBorders>
              <w:top w:val="nil"/>
              <w:left w:val="nil"/>
              <w:bottom w:val="nil"/>
              <w:right w:val="nil"/>
            </w:tcBorders>
            <w:shd w:val="clear" w:color="auto" w:fill="auto"/>
            <w:noWrap/>
            <w:vAlign w:val="center"/>
          </w:tcPr>
          <w:p w14:paraId="0F769955" w14:textId="242B5B67" w:rsidR="005B62C7" w:rsidRPr="004C7B3C" w:rsidRDefault="005B62C7" w:rsidP="00B727F7">
            <w:pPr>
              <w:spacing w:after="0" w:line="276" w:lineRule="auto"/>
              <w:jc w:val="right"/>
              <w:rPr>
                <w:rFonts w:cs="Arial"/>
                <w:sz w:val="16"/>
                <w:szCs w:val="16"/>
              </w:rPr>
            </w:pPr>
            <w:r w:rsidRPr="004C7B3C">
              <w:rPr>
                <w:rFonts w:cs="Arial"/>
                <w:sz w:val="16"/>
                <w:szCs w:val="16"/>
              </w:rPr>
              <w:t>5.173</w:t>
            </w:r>
          </w:p>
        </w:tc>
        <w:tc>
          <w:tcPr>
            <w:tcW w:w="932" w:type="dxa"/>
            <w:tcBorders>
              <w:top w:val="nil"/>
              <w:left w:val="nil"/>
              <w:bottom w:val="nil"/>
              <w:right w:val="nil"/>
            </w:tcBorders>
            <w:shd w:val="clear" w:color="auto" w:fill="auto"/>
            <w:noWrap/>
            <w:vAlign w:val="center"/>
          </w:tcPr>
          <w:p w14:paraId="53E4F8FE" w14:textId="2E5E4A66" w:rsidR="005B62C7" w:rsidRPr="004C7B3C" w:rsidRDefault="005B62C7" w:rsidP="00B727F7">
            <w:pPr>
              <w:spacing w:after="0" w:line="276" w:lineRule="auto"/>
              <w:jc w:val="right"/>
              <w:rPr>
                <w:rFonts w:cs="Arial"/>
                <w:sz w:val="16"/>
                <w:szCs w:val="16"/>
              </w:rPr>
            </w:pPr>
            <w:r w:rsidRPr="004C7B3C">
              <w:rPr>
                <w:rFonts w:cs="Arial"/>
                <w:sz w:val="16"/>
                <w:szCs w:val="16"/>
              </w:rPr>
              <w:t>6.021</w:t>
            </w:r>
          </w:p>
        </w:tc>
        <w:tc>
          <w:tcPr>
            <w:tcW w:w="1152" w:type="dxa"/>
            <w:tcBorders>
              <w:top w:val="nil"/>
              <w:left w:val="nil"/>
              <w:bottom w:val="nil"/>
              <w:right w:val="nil"/>
            </w:tcBorders>
            <w:shd w:val="clear" w:color="auto" w:fill="auto"/>
            <w:noWrap/>
            <w:vAlign w:val="center"/>
          </w:tcPr>
          <w:p w14:paraId="1230FB13" w14:textId="7258E592" w:rsidR="005B62C7" w:rsidRPr="004C7B3C" w:rsidRDefault="005B62C7" w:rsidP="00B727F7">
            <w:pPr>
              <w:spacing w:after="0" w:line="276" w:lineRule="auto"/>
              <w:jc w:val="right"/>
              <w:rPr>
                <w:rFonts w:cs="Arial"/>
                <w:sz w:val="16"/>
                <w:szCs w:val="16"/>
              </w:rPr>
            </w:pPr>
            <w:r w:rsidRPr="004C7B3C">
              <w:rPr>
                <w:rFonts w:cs="Arial"/>
                <w:sz w:val="16"/>
                <w:szCs w:val="16"/>
              </w:rPr>
              <w:t>150</w:t>
            </w:r>
          </w:p>
        </w:tc>
        <w:tc>
          <w:tcPr>
            <w:tcW w:w="1159" w:type="dxa"/>
            <w:tcBorders>
              <w:top w:val="nil"/>
              <w:left w:val="nil"/>
              <w:bottom w:val="nil"/>
              <w:right w:val="nil"/>
            </w:tcBorders>
            <w:shd w:val="clear" w:color="auto" w:fill="auto"/>
            <w:noWrap/>
            <w:vAlign w:val="center"/>
          </w:tcPr>
          <w:p w14:paraId="7C1CB05C" w14:textId="576C0CEC" w:rsidR="005B62C7" w:rsidRPr="004C7B3C" w:rsidRDefault="005B62C7" w:rsidP="00B727F7">
            <w:pPr>
              <w:spacing w:after="0" w:line="276" w:lineRule="auto"/>
              <w:jc w:val="right"/>
              <w:rPr>
                <w:rFonts w:cs="Arial"/>
                <w:sz w:val="16"/>
                <w:szCs w:val="16"/>
              </w:rPr>
            </w:pPr>
            <w:r w:rsidRPr="004C7B3C">
              <w:rPr>
                <w:rFonts w:cs="Arial"/>
                <w:sz w:val="16"/>
                <w:szCs w:val="16"/>
              </w:rPr>
              <w:t>6.171</w:t>
            </w:r>
          </w:p>
        </w:tc>
        <w:tc>
          <w:tcPr>
            <w:tcW w:w="911" w:type="dxa"/>
            <w:tcBorders>
              <w:top w:val="nil"/>
              <w:left w:val="nil"/>
              <w:bottom w:val="nil"/>
              <w:right w:val="single" w:sz="2" w:space="0" w:color="A6A6A6" w:themeColor="background1" w:themeShade="A6"/>
            </w:tcBorders>
            <w:shd w:val="clear" w:color="auto" w:fill="auto"/>
            <w:noWrap/>
            <w:vAlign w:val="center"/>
          </w:tcPr>
          <w:p w14:paraId="73A6BCEB" w14:textId="67388F60" w:rsidR="005B62C7" w:rsidRPr="004C7B3C" w:rsidRDefault="005B62C7" w:rsidP="00B727F7">
            <w:pPr>
              <w:spacing w:after="0" w:line="276" w:lineRule="auto"/>
              <w:jc w:val="right"/>
              <w:rPr>
                <w:rFonts w:cs="Arial"/>
                <w:sz w:val="16"/>
                <w:szCs w:val="16"/>
              </w:rPr>
            </w:pPr>
            <w:r w:rsidRPr="004C7B3C">
              <w:rPr>
                <w:rFonts w:cs="Arial"/>
                <w:sz w:val="16"/>
                <w:szCs w:val="16"/>
              </w:rPr>
              <w:t>18.928</w:t>
            </w:r>
          </w:p>
        </w:tc>
      </w:tr>
      <w:tr w:rsidR="005B62C7" w:rsidRPr="004C7B3C" w14:paraId="42245612" w14:textId="77777777" w:rsidTr="00635793">
        <w:trPr>
          <w:cantSplit/>
          <w:trHeight w:val="253"/>
          <w:jc w:val="center"/>
        </w:trPr>
        <w:tc>
          <w:tcPr>
            <w:tcW w:w="834" w:type="dxa"/>
            <w:tcBorders>
              <w:top w:val="nil"/>
              <w:left w:val="single" w:sz="2" w:space="0" w:color="A6A6A6" w:themeColor="background1" w:themeShade="A6"/>
              <w:bottom w:val="nil"/>
              <w:right w:val="nil"/>
            </w:tcBorders>
            <w:shd w:val="clear" w:color="auto" w:fill="auto"/>
            <w:noWrap/>
            <w:vAlign w:val="center"/>
          </w:tcPr>
          <w:p w14:paraId="4D447EA2" w14:textId="7FE14750" w:rsidR="005B62C7" w:rsidRPr="004C7B3C" w:rsidRDefault="005B62C7" w:rsidP="00B727F7">
            <w:pPr>
              <w:spacing w:after="0" w:line="276" w:lineRule="auto"/>
              <w:jc w:val="center"/>
              <w:rPr>
                <w:rFonts w:cs="Arial"/>
                <w:sz w:val="16"/>
                <w:szCs w:val="16"/>
              </w:rPr>
            </w:pPr>
            <w:r w:rsidRPr="004C7B3C">
              <w:rPr>
                <w:rFonts w:cs="Arial"/>
                <w:sz w:val="16"/>
                <w:szCs w:val="16"/>
              </w:rPr>
              <w:t>2014</w:t>
            </w:r>
          </w:p>
        </w:tc>
        <w:tc>
          <w:tcPr>
            <w:tcW w:w="726" w:type="dxa"/>
            <w:tcBorders>
              <w:top w:val="nil"/>
              <w:left w:val="nil"/>
              <w:bottom w:val="nil"/>
              <w:right w:val="nil"/>
            </w:tcBorders>
            <w:shd w:val="clear" w:color="auto" w:fill="auto"/>
            <w:noWrap/>
            <w:vAlign w:val="center"/>
          </w:tcPr>
          <w:p w14:paraId="57BAEE68" w14:textId="0079C86B" w:rsidR="005B62C7" w:rsidRPr="004C7B3C" w:rsidRDefault="005B62C7" w:rsidP="00B727F7">
            <w:pPr>
              <w:spacing w:after="0" w:line="276" w:lineRule="auto"/>
              <w:jc w:val="right"/>
              <w:rPr>
                <w:rFonts w:cs="Arial"/>
                <w:sz w:val="16"/>
                <w:szCs w:val="16"/>
              </w:rPr>
            </w:pPr>
            <w:r w:rsidRPr="004C7B3C">
              <w:rPr>
                <w:rFonts w:cs="Arial"/>
                <w:sz w:val="16"/>
                <w:szCs w:val="16"/>
              </w:rPr>
              <w:t>2.367</w:t>
            </w:r>
          </w:p>
        </w:tc>
        <w:tc>
          <w:tcPr>
            <w:tcW w:w="924" w:type="dxa"/>
            <w:tcBorders>
              <w:top w:val="nil"/>
              <w:left w:val="nil"/>
              <w:bottom w:val="nil"/>
              <w:right w:val="nil"/>
            </w:tcBorders>
            <w:shd w:val="clear" w:color="auto" w:fill="auto"/>
            <w:noWrap/>
            <w:vAlign w:val="center"/>
          </w:tcPr>
          <w:p w14:paraId="3958F8A7" w14:textId="5B0A6A31" w:rsidR="005B62C7" w:rsidRPr="004C7B3C" w:rsidRDefault="005B62C7" w:rsidP="00B727F7">
            <w:pPr>
              <w:spacing w:after="0" w:line="276" w:lineRule="auto"/>
              <w:jc w:val="right"/>
              <w:rPr>
                <w:rFonts w:cs="Arial"/>
                <w:sz w:val="16"/>
                <w:szCs w:val="16"/>
              </w:rPr>
            </w:pPr>
            <w:r w:rsidRPr="004C7B3C">
              <w:rPr>
                <w:rFonts w:cs="Arial"/>
                <w:sz w:val="16"/>
                <w:szCs w:val="16"/>
              </w:rPr>
              <w:t>22.453</w:t>
            </w:r>
          </w:p>
        </w:tc>
        <w:tc>
          <w:tcPr>
            <w:tcW w:w="779" w:type="dxa"/>
            <w:tcBorders>
              <w:top w:val="nil"/>
              <w:left w:val="nil"/>
              <w:bottom w:val="nil"/>
              <w:right w:val="nil"/>
            </w:tcBorders>
            <w:shd w:val="clear" w:color="auto" w:fill="auto"/>
            <w:noWrap/>
            <w:vAlign w:val="center"/>
          </w:tcPr>
          <w:p w14:paraId="2547F596" w14:textId="3998B1EB" w:rsidR="005B62C7" w:rsidRPr="004C7B3C" w:rsidRDefault="005B62C7" w:rsidP="00B727F7">
            <w:pPr>
              <w:spacing w:after="0" w:line="276" w:lineRule="auto"/>
              <w:jc w:val="right"/>
              <w:rPr>
                <w:rFonts w:cs="Arial"/>
                <w:sz w:val="16"/>
                <w:szCs w:val="16"/>
              </w:rPr>
            </w:pPr>
            <w:r w:rsidRPr="004C7B3C">
              <w:rPr>
                <w:rFonts w:cs="Arial"/>
                <w:sz w:val="16"/>
                <w:szCs w:val="16"/>
              </w:rPr>
              <w:t>24.820</w:t>
            </w:r>
          </w:p>
        </w:tc>
        <w:tc>
          <w:tcPr>
            <w:tcW w:w="726" w:type="dxa"/>
            <w:tcBorders>
              <w:top w:val="nil"/>
              <w:left w:val="nil"/>
              <w:bottom w:val="nil"/>
              <w:right w:val="nil"/>
            </w:tcBorders>
            <w:shd w:val="clear" w:color="auto" w:fill="auto"/>
            <w:noWrap/>
            <w:vAlign w:val="center"/>
          </w:tcPr>
          <w:p w14:paraId="54A549F1" w14:textId="31EE5AB1" w:rsidR="005B62C7" w:rsidRPr="004C7B3C" w:rsidRDefault="005B62C7" w:rsidP="00B727F7">
            <w:pPr>
              <w:spacing w:after="0" w:line="276" w:lineRule="auto"/>
              <w:jc w:val="right"/>
              <w:rPr>
                <w:rFonts w:cs="Arial"/>
                <w:sz w:val="16"/>
                <w:szCs w:val="16"/>
              </w:rPr>
            </w:pPr>
            <w:r w:rsidRPr="004C7B3C">
              <w:rPr>
                <w:rFonts w:cs="Arial"/>
                <w:sz w:val="16"/>
                <w:szCs w:val="16"/>
              </w:rPr>
              <w:t>955</w:t>
            </w:r>
          </w:p>
        </w:tc>
        <w:tc>
          <w:tcPr>
            <w:tcW w:w="1069" w:type="dxa"/>
            <w:tcBorders>
              <w:top w:val="nil"/>
              <w:left w:val="nil"/>
              <w:bottom w:val="nil"/>
              <w:right w:val="nil"/>
            </w:tcBorders>
            <w:shd w:val="clear" w:color="auto" w:fill="auto"/>
            <w:noWrap/>
            <w:vAlign w:val="center"/>
          </w:tcPr>
          <w:p w14:paraId="64128335" w14:textId="2019F55F" w:rsidR="005B62C7" w:rsidRPr="004C7B3C" w:rsidRDefault="005B62C7" w:rsidP="00B727F7">
            <w:pPr>
              <w:spacing w:after="0" w:line="276" w:lineRule="auto"/>
              <w:jc w:val="right"/>
              <w:rPr>
                <w:rFonts w:cs="Arial"/>
                <w:sz w:val="16"/>
                <w:szCs w:val="16"/>
              </w:rPr>
            </w:pPr>
            <w:r w:rsidRPr="004C7B3C">
              <w:rPr>
                <w:rFonts w:cs="Arial"/>
                <w:sz w:val="16"/>
                <w:szCs w:val="16"/>
              </w:rPr>
              <w:t>4.573</w:t>
            </w:r>
          </w:p>
        </w:tc>
        <w:tc>
          <w:tcPr>
            <w:tcW w:w="932" w:type="dxa"/>
            <w:tcBorders>
              <w:top w:val="nil"/>
              <w:left w:val="nil"/>
              <w:bottom w:val="nil"/>
              <w:right w:val="nil"/>
            </w:tcBorders>
            <w:shd w:val="clear" w:color="auto" w:fill="auto"/>
            <w:noWrap/>
            <w:vAlign w:val="center"/>
          </w:tcPr>
          <w:p w14:paraId="35406E3B" w14:textId="1EE6F26A" w:rsidR="005B62C7" w:rsidRPr="004C7B3C" w:rsidRDefault="005B62C7" w:rsidP="00B727F7">
            <w:pPr>
              <w:spacing w:after="0" w:line="276" w:lineRule="auto"/>
              <w:jc w:val="right"/>
              <w:rPr>
                <w:rFonts w:cs="Arial"/>
                <w:sz w:val="16"/>
                <w:szCs w:val="16"/>
              </w:rPr>
            </w:pPr>
            <w:r w:rsidRPr="004C7B3C">
              <w:rPr>
                <w:rFonts w:cs="Arial"/>
                <w:sz w:val="16"/>
                <w:szCs w:val="16"/>
              </w:rPr>
              <w:t>5.528</w:t>
            </w:r>
          </w:p>
        </w:tc>
        <w:tc>
          <w:tcPr>
            <w:tcW w:w="1152" w:type="dxa"/>
            <w:tcBorders>
              <w:top w:val="nil"/>
              <w:left w:val="nil"/>
              <w:bottom w:val="nil"/>
              <w:right w:val="nil"/>
            </w:tcBorders>
            <w:shd w:val="clear" w:color="auto" w:fill="auto"/>
            <w:noWrap/>
            <w:vAlign w:val="center"/>
          </w:tcPr>
          <w:p w14:paraId="03D1AF72" w14:textId="1CEE8921" w:rsidR="005B62C7" w:rsidRPr="004C7B3C" w:rsidRDefault="005B62C7" w:rsidP="00B727F7">
            <w:pPr>
              <w:spacing w:after="0" w:line="276" w:lineRule="auto"/>
              <w:jc w:val="right"/>
              <w:rPr>
                <w:rFonts w:cs="Arial"/>
                <w:sz w:val="16"/>
                <w:szCs w:val="16"/>
              </w:rPr>
            </w:pPr>
            <w:r w:rsidRPr="004C7B3C">
              <w:rPr>
                <w:rFonts w:cs="Arial"/>
                <w:sz w:val="16"/>
                <w:szCs w:val="16"/>
              </w:rPr>
              <w:t>82</w:t>
            </w:r>
          </w:p>
        </w:tc>
        <w:tc>
          <w:tcPr>
            <w:tcW w:w="1159" w:type="dxa"/>
            <w:tcBorders>
              <w:top w:val="nil"/>
              <w:left w:val="nil"/>
              <w:bottom w:val="nil"/>
              <w:right w:val="nil"/>
            </w:tcBorders>
            <w:shd w:val="clear" w:color="auto" w:fill="auto"/>
            <w:noWrap/>
            <w:vAlign w:val="center"/>
          </w:tcPr>
          <w:p w14:paraId="1E444C02" w14:textId="060F6872" w:rsidR="005B62C7" w:rsidRPr="004C7B3C" w:rsidRDefault="005B62C7" w:rsidP="00B727F7">
            <w:pPr>
              <w:spacing w:after="0" w:line="276" w:lineRule="auto"/>
              <w:jc w:val="right"/>
              <w:rPr>
                <w:rFonts w:cs="Arial"/>
                <w:sz w:val="16"/>
                <w:szCs w:val="16"/>
              </w:rPr>
            </w:pPr>
            <w:r w:rsidRPr="004C7B3C">
              <w:rPr>
                <w:rFonts w:cs="Arial"/>
                <w:sz w:val="16"/>
                <w:szCs w:val="16"/>
              </w:rPr>
              <w:t>5.610</w:t>
            </w:r>
          </w:p>
        </w:tc>
        <w:tc>
          <w:tcPr>
            <w:tcW w:w="911" w:type="dxa"/>
            <w:tcBorders>
              <w:top w:val="nil"/>
              <w:left w:val="nil"/>
              <w:bottom w:val="nil"/>
              <w:right w:val="single" w:sz="2" w:space="0" w:color="A6A6A6" w:themeColor="background1" w:themeShade="A6"/>
            </w:tcBorders>
            <w:shd w:val="clear" w:color="auto" w:fill="auto"/>
            <w:noWrap/>
            <w:vAlign w:val="center"/>
          </w:tcPr>
          <w:p w14:paraId="3D24A6EB" w14:textId="18268C66" w:rsidR="005B62C7" w:rsidRPr="004C7B3C" w:rsidRDefault="005B62C7" w:rsidP="00B727F7">
            <w:pPr>
              <w:spacing w:after="0" w:line="276" w:lineRule="auto"/>
              <w:jc w:val="right"/>
              <w:rPr>
                <w:rFonts w:cs="Arial"/>
                <w:sz w:val="16"/>
                <w:szCs w:val="16"/>
              </w:rPr>
            </w:pPr>
            <w:r w:rsidRPr="004C7B3C">
              <w:rPr>
                <w:rFonts w:cs="Arial"/>
                <w:sz w:val="16"/>
                <w:szCs w:val="16"/>
              </w:rPr>
              <w:t>30.430</w:t>
            </w:r>
          </w:p>
        </w:tc>
      </w:tr>
      <w:tr w:rsidR="005B62C7" w:rsidRPr="004C7B3C" w14:paraId="6CE3B79A" w14:textId="77777777" w:rsidTr="00635793">
        <w:trPr>
          <w:cantSplit/>
          <w:trHeight w:val="238"/>
          <w:jc w:val="center"/>
        </w:trPr>
        <w:tc>
          <w:tcPr>
            <w:tcW w:w="834" w:type="dxa"/>
            <w:tcBorders>
              <w:top w:val="nil"/>
              <w:left w:val="single" w:sz="2" w:space="0" w:color="A6A6A6" w:themeColor="background1" w:themeShade="A6"/>
              <w:bottom w:val="nil"/>
              <w:right w:val="nil"/>
            </w:tcBorders>
            <w:shd w:val="clear" w:color="auto" w:fill="auto"/>
            <w:noWrap/>
            <w:vAlign w:val="center"/>
          </w:tcPr>
          <w:p w14:paraId="0706BC12" w14:textId="19E4D443" w:rsidR="005B62C7" w:rsidRPr="004C7B3C" w:rsidRDefault="005B62C7" w:rsidP="00B727F7">
            <w:pPr>
              <w:spacing w:after="0" w:line="276" w:lineRule="auto"/>
              <w:jc w:val="center"/>
              <w:rPr>
                <w:rFonts w:cs="Arial"/>
                <w:sz w:val="16"/>
                <w:szCs w:val="16"/>
              </w:rPr>
            </w:pPr>
            <w:r w:rsidRPr="004C7B3C">
              <w:rPr>
                <w:rFonts w:cs="Arial"/>
                <w:sz w:val="16"/>
                <w:szCs w:val="16"/>
              </w:rPr>
              <w:t>2015</w:t>
            </w:r>
          </w:p>
        </w:tc>
        <w:tc>
          <w:tcPr>
            <w:tcW w:w="726" w:type="dxa"/>
            <w:tcBorders>
              <w:top w:val="nil"/>
              <w:left w:val="nil"/>
              <w:bottom w:val="nil"/>
              <w:right w:val="nil"/>
            </w:tcBorders>
            <w:shd w:val="clear" w:color="auto" w:fill="auto"/>
            <w:noWrap/>
            <w:vAlign w:val="center"/>
          </w:tcPr>
          <w:p w14:paraId="2869B59D" w14:textId="7AAFD272" w:rsidR="005B62C7" w:rsidRPr="004C7B3C" w:rsidRDefault="005B62C7" w:rsidP="00B727F7">
            <w:pPr>
              <w:spacing w:after="0" w:line="276" w:lineRule="auto"/>
              <w:jc w:val="right"/>
              <w:rPr>
                <w:rFonts w:cs="Arial"/>
                <w:sz w:val="16"/>
                <w:szCs w:val="16"/>
              </w:rPr>
            </w:pPr>
            <w:r w:rsidRPr="004C7B3C">
              <w:rPr>
                <w:rFonts w:cs="Arial"/>
                <w:sz w:val="16"/>
                <w:szCs w:val="16"/>
              </w:rPr>
              <w:t>3.242</w:t>
            </w:r>
          </w:p>
        </w:tc>
        <w:tc>
          <w:tcPr>
            <w:tcW w:w="924" w:type="dxa"/>
            <w:tcBorders>
              <w:top w:val="nil"/>
              <w:left w:val="nil"/>
              <w:bottom w:val="nil"/>
              <w:right w:val="nil"/>
            </w:tcBorders>
            <w:shd w:val="clear" w:color="auto" w:fill="auto"/>
            <w:noWrap/>
            <w:vAlign w:val="center"/>
          </w:tcPr>
          <w:p w14:paraId="7A690EEA" w14:textId="462963E3" w:rsidR="005B62C7" w:rsidRPr="004C7B3C" w:rsidRDefault="005B62C7" w:rsidP="00B727F7">
            <w:pPr>
              <w:spacing w:after="0" w:line="276" w:lineRule="auto"/>
              <w:jc w:val="right"/>
              <w:rPr>
                <w:rFonts w:cs="Arial"/>
                <w:sz w:val="16"/>
                <w:szCs w:val="16"/>
              </w:rPr>
            </w:pPr>
            <w:r w:rsidRPr="004C7B3C">
              <w:rPr>
                <w:rFonts w:cs="Arial"/>
                <w:sz w:val="16"/>
                <w:szCs w:val="16"/>
              </w:rPr>
              <w:t>23.981</w:t>
            </w:r>
          </w:p>
        </w:tc>
        <w:tc>
          <w:tcPr>
            <w:tcW w:w="779" w:type="dxa"/>
            <w:tcBorders>
              <w:top w:val="nil"/>
              <w:left w:val="nil"/>
              <w:bottom w:val="nil"/>
              <w:right w:val="nil"/>
            </w:tcBorders>
            <w:shd w:val="clear" w:color="auto" w:fill="auto"/>
            <w:noWrap/>
            <w:vAlign w:val="center"/>
          </w:tcPr>
          <w:p w14:paraId="2B6E20C5" w14:textId="3CE9DAB3" w:rsidR="005B62C7" w:rsidRPr="004C7B3C" w:rsidRDefault="005B62C7" w:rsidP="00B727F7">
            <w:pPr>
              <w:spacing w:after="0" w:line="276" w:lineRule="auto"/>
              <w:jc w:val="right"/>
              <w:rPr>
                <w:rFonts w:cs="Arial"/>
                <w:sz w:val="16"/>
                <w:szCs w:val="16"/>
              </w:rPr>
            </w:pPr>
            <w:r w:rsidRPr="004C7B3C">
              <w:rPr>
                <w:rFonts w:cs="Arial"/>
                <w:sz w:val="16"/>
                <w:szCs w:val="16"/>
              </w:rPr>
              <w:t>27.223</w:t>
            </w:r>
          </w:p>
        </w:tc>
        <w:tc>
          <w:tcPr>
            <w:tcW w:w="726" w:type="dxa"/>
            <w:tcBorders>
              <w:top w:val="nil"/>
              <w:left w:val="nil"/>
              <w:bottom w:val="nil"/>
              <w:right w:val="nil"/>
            </w:tcBorders>
            <w:shd w:val="clear" w:color="auto" w:fill="auto"/>
            <w:noWrap/>
            <w:vAlign w:val="center"/>
          </w:tcPr>
          <w:p w14:paraId="3AEBDF7D" w14:textId="7277D9B2" w:rsidR="005B62C7" w:rsidRPr="004C7B3C" w:rsidRDefault="005B62C7" w:rsidP="00B727F7">
            <w:pPr>
              <w:spacing w:after="0" w:line="276" w:lineRule="auto"/>
              <w:jc w:val="right"/>
              <w:rPr>
                <w:rFonts w:cs="Arial"/>
                <w:sz w:val="16"/>
                <w:szCs w:val="16"/>
              </w:rPr>
            </w:pPr>
            <w:r w:rsidRPr="004C7B3C">
              <w:rPr>
                <w:rFonts w:cs="Arial"/>
                <w:sz w:val="16"/>
                <w:szCs w:val="16"/>
              </w:rPr>
              <w:t>760</w:t>
            </w:r>
          </w:p>
        </w:tc>
        <w:tc>
          <w:tcPr>
            <w:tcW w:w="1069" w:type="dxa"/>
            <w:tcBorders>
              <w:top w:val="nil"/>
              <w:left w:val="nil"/>
              <w:bottom w:val="nil"/>
              <w:right w:val="nil"/>
            </w:tcBorders>
            <w:shd w:val="clear" w:color="auto" w:fill="auto"/>
            <w:noWrap/>
            <w:vAlign w:val="center"/>
          </w:tcPr>
          <w:p w14:paraId="05E9818D" w14:textId="7AE7653E" w:rsidR="005B62C7" w:rsidRPr="004C7B3C" w:rsidRDefault="005B62C7" w:rsidP="00B727F7">
            <w:pPr>
              <w:spacing w:after="0" w:line="276" w:lineRule="auto"/>
              <w:jc w:val="right"/>
              <w:rPr>
                <w:rFonts w:cs="Arial"/>
                <w:sz w:val="16"/>
                <w:szCs w:val="16"/>
              </w:rPr>
            </w:pPr>
            <w:r w:rsidRPr="004C7B3C">
              <w:rPr>
                <w:rFonts w:cs="Arial"/>
                <w:sz w:val="16"/>
                <w:szCs w:val="16"/>
              </w:rPr>
              <w:t>5.040</w:t>
            </w:r>
          </w:p>
        </w:tc>
        <w:tc>
          <w:tcPr>
            <w:tcW w:w="932" w:type="dxa"/>
            <w:tcBorders>
              <w:top w:val="nil"/>
              <w:left w:val="nil"/>
              <w:bottom w:val="nil"/>
              <w:right w:val="nil"/>
            </w:tcBorders>
            <w:shd w:val="clear" w:color="auto" w:fill="auto"/>
            <w:noWrap/>
            <w:vAlign w:val="center"/>
          </w:tcPr>
          <w:p w14:paraId="6A1BA81B" w14:textId="1A23E4CD" w:rsidR="005B62C7" w:rsidRPr="004C7B3C" w:rsidRDefault="005B62C7" w:rsidP="00B727F7">
            <w:pPr>
              <w:spacing w:after="0" w:line="276" w:lineRule="auto"/>
              <w:jc w:val="right"/>
              <w:rPr>
                <w:rFonts w:cs="Arial"/>
                <w:sz w:val="16"/>
                <w:szCs w:val="16"/>
              </w:rPr>
            </w:pPr>
            <w:r w:rsidRPr="004C7B3C">
              <w:rPr>
                <w:rFonts w:cs="Arial"/>
                <w:sz w:val="16"/>
                <w:szCs w:val="16"/>
              </w:rPr>
              <w:t>5.800</w:t>
            </w:r>
          </w:p>
        </w:tc>
        <w:tc>
          <w:tcPr>
            <w:tcW w:w="1152" w:type="dxa"/>
            <w:tcBorders>
              <w:top w:val="nil"/>
              <w:left w:val="nil"/>
              <w:bottom w:val="nil"/>
              <w:right w:val="nil"/>
            </w:tcBorders>
            <w:shd w:val="clear" w:color="auto" w:fill="auto"/>
            <w:noWrap/>
            <w:vAlign w:val="center"/>
          </w:tcPr>
          <w:p w14:paraId="420D0241" w14:textId="6E0D47E3" w:rsidR="005B62C7" w:rsidRPr="004C7B3C" w:rsidRDefault="005B62C7" w:rsidP="00B727F7">
            <w:pPr>
              <w:spacing w:after="0" w:line="276" w:lineRule="auto"/>
              <w:jc w:val="right"/>
              <w:rPr>
                <w:rFonts w:cs="Arial"/>
                <w:sz w:val="16"/>
                <w:szCs w:val="16"/>
              </w:rPr>
            </w:pPr>
            <w:r w:rsidRPr="004C7B3C">
              <w:rPr>
                <w:rFonts w:cs="Arial"/>
                <w:sz w:val="16"/>
                <w:szCs w:val="16"/>
              </w:rPr>
              <w:t>178</w:t>
            </w:r>
          </w:p>
        </w:tc>
        <w:tc>
          <w:tcPr>
            <w:tcW w:w="1159" w:type="dxa"/>
            <w:tcBorders>
              <w:top w:val="nil"/>
              <w:left w:val="nil"/>
              <w:bottom w:val="nil"/>
              <w:right w:val="nil"/>
            </w:tcBorders>
            <w:shd w:val="clear" w:color="auto" w:fill="auto"/>
            <w:noWrap/>
            <w:vAlign w:val="center"/>
          </w:tcPr>
          <w:p w14:paraId="081C476A" w14:textId="0E8BD13E" w:rsidR="005B62C7" w:rsidRPr="004C7B3C" w:rsidRDefault="005B62C7" w:rsidP="00B727F7">
            <w:pPr>
              <w:spacing w:after="0" w:line="276" w:lineRule="auto"/>
              <w:jc w:val="right"/>
              <w:rPr>
                <w:rFonts w:cs="Arial"/>
                <w:sz w:val="16"/>
                <w:szCs w:val="16"/>
              </w:rPr>
            </w:pPr>
            <w:r w:rsidRPr="004C7B3C">
              <w:rPr>
                <w:rFonts w:cs="Arial"/>
                <w:sz w:val="16"/>
                <w:szCs w:val="16"/>
              </w:rPr>
              <w:t>5.978</w:t>
            </w:r>
          </w:p>
        </w:tc>
        <w:tc>
          <w:tcPr>
            <w:tcW w:w="911" w:type="dxa"/>
            <w:tcBorders>
              <w:top w:val="nil"/>
              <w:left w:val="nil"/>
              <w:bottom w:val="nil"/>
              <w:right w:val="single" w:sz="2" w:space="0" w:color="A6A6A6" w:themeColor="background1" w:themeShade="A6"/>
            </w:tcBorders>
            <w:shd w:val="clear" w:color="auto" w:fill="auto"/>
            <w:noWrap/>
            <w:vAlign w:val="center"/>
          </w:tcPr>
          <w:p w14:paraId="3FEC7224" w14:textId="24E70214" w:rsidR="005B62C7" w:rsidRPr="004C7B3C" w:rsidRDefault="005B62C7" w:rsidP="00B727F7">
            <w:pPr>
              <w:spacing w:after="0" w:line="276" w:lineRule="auto"/>
              <w:jc w:val="right"/>
              <w:rPr>
                <w:rFonts w:cs="Arial"/>
                <w:sz w:val="16"/>
                <w:szCs w:val="16"/>
              </w:rPr>
            </w:pPr>
            <w:r w:rsidRPr="004C7B3C">
              <w:rPr>
                <w:rFonts w:cs="Arial"/>
                <w:sz w:val="16"/>
                <w:szCs w:val="16"/>
              </w:rPr>
              <w:t>33.201</w:t>
            </w:r>
          </w:p>
        </w:tc>
      </w:tr>
      <w:tr w:rsidR="005B62C7" w:rsidRPr="004C7B3C" w14:paraId="418A6C2C" w14:textId="77777777" w:rsidTr="00635793">
        <w:trPr>
          <w:cantSplit/>
          <w:trHeight w:val="238"/>
          <w:jc w:val="center"/>
        </w:trPr>
        <w:tc>
          <w:tcPr>
            <w:tcW w:w="834" w:type="dxa"/>
            <w:tcBorders>
              <w:top w:val="nil"/>
              <w:left w:val="single" w:sz="2" w:space="0" w:color="A6A6A6" w:themeColor="background1" w:themeShade="A6"/>
              <w:bottom w:val="nil"/>
              <w:right w:val="nil"/>
            </w:tcBorders>
            <w:shd w:val="clear" w:color="auto" w:fill="auto"/>
            <w:noWrap/>
            <w:vAlign w:val="center"/>
          </w:tcPr>
          <w:p w14:paraId="770777B1" w14:textId="4D4788D7" w:rsidR="005B62C7" w:rsidRPr="004C7B3C" w:rsidRDefault="005B62C7" w:rsidP="00B727F7">
            <w:pPr>
              <w:spacing w:after="0" w:line="276" w:lineRule="auto"/>
              <w:jc w:val="center"/>
              <w:rPr>
                <w:rFonts w:cs="Arial"/>
                <w:sz w:val="16"/>
                <w:szCs w:val="16"/>
              </w:rPr>
            </w:pPr>
            <w:r w:rsidRPr="004C7B3C">
              <w:rPr>
                <w:rFonts w:cs="Arial"/>
                <w:sz w:val="16"/>
                <w:szCs w:val="16"/>
              </w:rPr>
              <w:t>2016</w:t>
            </w:r>
          </w:p>
        </w:tc>
        <w:tc>
          <w:tcPr>
            <w:tcW w:w="726" w:type="dxa"/>
            <w:tcBorders>
              <w:top w:val="nil"/>
              <w:left w:val="nil"/>
              <w:bottom w:val="nil"/>
              <w:right w:val="nil"/>
            </w:tcBorders>
            <w:shd w:val="clear" w:color="auto" w:fill="auto"/>
            <w:noWrap/>
            <w:vAlign w:val="center"/>
          </w:tcPr>
          <w:p w14:paraId="7487BF1A" w14:textId="4C597633" w:rsidR="005B62C7" w:rsidRPr="004C7B3C" w:rsidRDefault="005B62C7" w:rsidP="00B727F7">
            <w:pPr>
              <w:spacing w:after="0" w:line="276" w:lineRule="auto"/>
              <w:jc w:val="right"/>
              <w:rPr>
                <w:rFonts w:cs="Arial"/>
                <w:sz w:val="16"/>
                <w:szCs w:val="16"/>
              </w:rPr>
            </w:pPr>
            <w:r w:rsidRPr="004C7B3C">
              <w:rPr>
                <w:rFonts w:cs="Arial"/>
                <w:sz w:val="16"/>
                <w:szCs w:val="16"/>
              </w:rPr>
              <w:t>1.159</w:t>
            </w:r>
          </w:p>
        </w:tc>
        <w:tc>
          <w:tcPr>
            <w:tcW w:w="924" w:type="dxa"/>
            <w:tcBorders>
              <w:top w:val="nil"/>
              <w:left w:val="nil"/>
              <w:bottom w:val="nil"/>
              <w:right w:val="nil"/>
            </w:tcBorders>
            <w:shd w:val="clear" w:color="auto" w:fill="auto"/>
            <w:noWrap/>
            <w:vAlign w:val="center"/>
          </w:tcPr>
          <w:p w14:paraId="16BB47C0" w14:textId="1F18510E" w:rsidR="005B62C7" w:rsidRPr="004C7B3C" w:rsidRDefault="005B62C7" w:rsidP="00B727F7">
            <w:pPr>
              <w:spacing w:after="0" w:line="276" w:lineRule="auto"/>
              <w:jc w:val="right"/>
              <w:rPr>
                <w:rFonts w:cs="Arial"/>
                <w:sz w:val="16"/>
                <w:szCs w:val="16"/>
              </w:rPr>
            </w:pPr>
            <w:r w:rsidRPr="004C7B3C">
              <w:rPr>
                <w:rFonts w:cs="Arial"/>
                <w:sz w:val="16"/>
                <w:szCs w:val="16"/>
              </w:rPr>
              <w:t>6.401</w:t>
            </w:r>
          </w:p>
        </w:tc>
        <w:tc>
          <w:tcPr>
            <w:tcW w:w="779" w:type="dxa"/>
            <w:tcBorders>
              <w:top w:val="nil"/>
              <w:left w:val="nil"/>
              <w:bottom w:val="nil"/>
              <w:right w:val="nil"/>
            </w:tcBorders>
            <w:shd w:val="clear" w:color="auto" w:fill="auto"/>
            <w:noWrap/>
            <w:vAlign w:val="center"/>
          </w:tcPr>
          <w:p w14:paraId="29BC5B9B" w14:textId="02EA475A" w:rsidR="005B62C7" w:rsidRPr="004C7B3C" w:rsidRDefault="005B62C7" w:rsidP="00B727F7">
            <w:pPr>
              <w:spacing w:after="0" w:line="276" w:lineRule="auto"/>
              <w:jc w:val="right"/>
              <w:rPr>
                <w:rFonts w:cs="Arial"/>
                <w:sz w:val="16"/>
                <w:szCs w:val="16"/>
              </w:rPr>
            </w:pPr>
            <w:r w:rsidRPr="004C7B3C">
              <w:rPr>
                <w:rFonts w:cs="Arial"/>
                <w:sz w:val="16"/>
                <w:szCs w:val="16"/>
              </w:rPr>
              <w:t>7.560</w:t>
            </w:r>
          </w:p>
        </w:tc>
        <w:tc>
          <w:tcPr>
            <w:tcW w:w="726" w:type="dxa"/>
            <w:tcBorders>
              <w:top w:val="nil"/>
              <w:left w:val="nil"/>
              <w:bottom w:val="nil"/>
              <w:right w:val="nil"/>
            </w:tcBorders>
            <w:shd w:val="clear" w:color="auto" w:fill="auto"/>
            <w:noWrap/>
            <w:vAlign w:val="center"/>
          </w:tcPr>
          <w:p w14:paraId="3A130E65" w14:textId="70C00330" w:rsidR="005B62C7" w:rsidRPr="004C7B3C" w:rsidRDefault="005B62C7" w:rsidP="00B727F7">
            <w:pPr>
              <w:spacing w:after="0" w:line="276" w:lineRule="auto"/>
              <w:jc w:val="right"/>
              <w:rPr>
                <w:rFonts w:cs="Arial"/>
                <w:sz w:val="16"/>
                <w:szCs w:val="16"/>
              </w:rPr>
            </w:pPr>
            <w:r w:rsidRPr="004C7B3C">
              <w:rPr>
                <w:rFonts w:cs="Arial"/>
                <w:sz w:val="16"/>
                <w:szCs w:val="16"/>
              </w:rPr>
              <w:t>426</w:t>
            </w:r>
          </w:p>
        </w:tc>
        <w:tc>
          <w:tcPr>
            <w:tcW w:w="1069" w:type="dxa"/>
            <w:tcBorders>
              <w:top w:val="nil"/>
              <w:left w:val="nil"/>
              <w:bottom w:val="nil"/>
              <w:right w:val="nil"/>
            </w:tcBorders>
            <w:shd w:val="clear" w:color="auto" w:fill="auto"/>
            <w:noWrap/>
            <w:vAlign w:val="center"/>
          </w:tcPr>
          <w:p w14:paraId="081BFE4E" w14:textId="11472AD3" w:rsidR="005B62C7" w:rsidRPr="004C7B3C" w:rsidRDefault="005B62C7" w:rsidP="00B727F7">
            <w:pPr>
              <w:spacing w:after="0" w:line="276" w:lineRule="auto"/>
              <w:jc w:val="right"/>
              <w:rPr>
                <w:rFonts w:cs="Arial"/>
                <w:sz w:val="16"/>
                <w:szCs w:val="16"/>
              </w:rPr>
            </w:pPr>
            <w:r w:rsidRPr="004C7B3C">
              <w:rPr>
                <w:rFonts w:cs="Arial"/>
                <w:sz w:val="16"/>
                <w:szCs w:val="16"/>
              </w:rPr>
              <w:t>5.162</w:t>
            </w:r>
          </w:p>
        </w:tc>
        <w:tc>
          <w:tcPr>
            <w:tcW w:w="932" w:type="dxa"/>
            <w:tcBorders>
              <w:top w:val="nil"/>
              <w:left w:val="nil"/>
              <w:bottom w:val="nil"/>
              <w:right w:val="nil"/>
            </w:tcBorders>
            <w:shd w:val="clear" w:color="auto" w:fill="auto"/>
            <w:noWrap/>
            <w:vAlign w:val="center"/>
          </w:tcPr>
          <w:p w14:paraId="34F79FFF" w14:textId="724297B9" w:rsidR="005B62C7" w:rsidRPr="004C7B3C" w:rsidRDefault="005B62C7" w:rsidP="00B727F7">
            <w:pPr>
              <w:spacing w:after="0" w:line="276" w:lineRule="auto"/>
              <w:jc w:val="right"/>
              <w:rPr>
                <w:rFonts w:cs="Arial"/>
                <w:sz w:val="16"/>
                <w:szCs w:val="16"/>
              </w:rPr>
            </w:pPr>
            <w:r w:rsidRPr="004C7B3C">
              <w:rPr>
                <w:rFonts w:cs="Arial"/>
                <w:sz w:val="16"/>
                <w:szCs w:val="16"/>
              </w:rPr>
              <w:t>5.588</w:t>
            </w:r>
          </w:p>
        </w:tc>
        <w:tc>
          <w:tcPr>
            <w:tcW w:w="1152" w:type="dxa"/>
            <w:tcBorders>
              <w:top w:val="nil"/>
              <w:left w:val="nil"/>
              <w:bottom w:val="nil"/>
              <w:right w:val="nil"/>
            </w:tcBorders>
            <w:shd w:val="clear" w:color="auto" w:fill="auto"/>
            <w:noWrap/>
            <w:vAlign w:val="center"/>
          </w:tcPr>
          <w:p w14:paraId="1AC1D32E" w14:textId="7FC38173" w:rsidR="005B62C7" w:rsidRPr="004C7B3C" w:rsidRDefault="005B62C7" w:rsidP="00B727F7">
            <w:pPr>
              <w:spacing w:after="0" w:line="276" w:lineRule="auto"/>
              <w:jc w:val="right"/>
              <w:rPr>
                <w:rFonts w:cs="Arial"/>
                <w:sz w:val="16"/>
                <w:szCs w:val="16"/>
              </w:rPr>
            </w:pPr>
            <w:r w:rsidRPr="004C7B3C">
              <w:rPr>
                <w:rFonts w:cs="Arial"/>
                <w:sz w:val="16"/>
                <w:szCs w:val="16"/>
              </w:rPr>
              <w:t>55</w:t>
            </w:r>
          </w:p>
        </w:tc>
        <w:tc>
          <w:tcPr>
            <w:tcW w:w="1159" w:type="dxa"/>
            <w:tcBorders>
              <w:top w:val="nil"/>
              <w:left w:val="nil"/>
              <w:bottom w:val="nil"/>
              <w:right w:val="nil"/>
            </w:tcBorders>
            <w:shd w:val="clear" w:color="auto" w:fill="auto"/>
            <w:noWrap/>
            <w:vAlign w:val="center"/>
          </w:tcPr>
          <w:p w14:paraId="18CF4183" w14:textId="0A4A12B0" w:rsidR="005B62C7" w:rsidRPr="004C7B3C" w:rsidRDefault="005B62C7" w:rsidP="00B727F7">
            <w:pPr>
              <w:spacing w:after="0" w:line="276" w:lineRule="auto"/>
              <w:jc w:val="right"/>
              <w:rPr>
                <w:rFonts w:cs="Arial"/>
                <w:sz w:val="16"/>
                <w:szCs w:val="16"/>
              </w:rPr>
            </w:pPr>
            <w:r w:rsidRPr="004C7B3C">
              <w:rPr>
                <w:rFonts w:cs="Arial"/>
                <w:sz w:val="16"/>
                <w:szCs w:val="16"/>
              </w:rPr>
              <w:t>5.643</w:t>
            </w:r>
          </w:p>
        </w:tc>
        <w:tc>
          <w:tcPr>
            <w:tcW w:w="911" w:type="dxa"/>
            <w:tcBorders>
              <w:top w:val="nil"/>
              <w:left w:val="nil"/>
              <w:bottom w:val="nil"/>
              <w:right w:val="single" w:sz="2" w:space="0" w:color="A6A6A6" w:themeColor="background1" w:themeShade="A6"/>
            </w:tcBorders>
            <w:shd w:val="clear" w:color="auto" w:fill="auto"/>
            <w:noWrap/>
            <w:vAlign w:val="center"/>
          </w:tcPr>
          <w:p w14:paraId="62110219" w14:textId="56BBB1CB" w:rsidR="005B62C7" w:rsidRPr="004C7B3C" w:rsidRDefault="005B62C7" w:rsidP="00B727F7">
            <w:pPr>
              <w:spacing w:after="0" w:line="276" w:lineRule="auto"/>
              <w:jc w:val="right"/>
              <w:rPr>
                <w:rFonts w:cs="Arial"/>
                <w:sz w:val="16"/>
                <w:szCs w:val="16"/>
              </w:rPr>
            </w:pPr>
            <w:r w:rsidRPr="004C7B3C">
              <w:rPr>
                <w:rFonts w:cs="Arial"/>
                <w:sz w:val="16"/>
                <w:szCs w:val="16"/>
              </w:rPr>
              <w:t>13.203</w:t>
            </w:r>
          </w:p>
        </w:tc>
      </w:tr>
      <w:tr w:rsidR="005B62C7" w:rsidRPr="004C7B3C" w14:paraId="767F6E30" w14:textId="77777777" w:rsidTr="00635793">
        <w:trPr>
          <w:cantSplit/>
          <w:trHeight w:val="253"/>
          <w:jc w:val="center"/>
        </w:trPr>
        <w:tc>
          <w:tcPr>
            <w:tcW w:w="834" w:type="dxa"/>
            <w:tcBorders>
              <w:top w:val="nil"/>
              <w:left w:val="single" w:sz="2" w:space="0" w:color="A6A6A6" w:themeColor="background1" w:themeShade="A6"/>
              <w:bottom w:val="nil"/>
              <w:right w:val="nil"/>
            </w:tcBorders>
            <w:shd w:val="clear" w:color="auto" w:fill="auto"/>
            <w:noWrap/>
            <w:vAlign w:val="center"/>
          </w:tcPr>
          <w:p w14:paraId="7664ADD2" w14:textId="79A09A00" w:rsidR="005B62C7" w:rsidRPr="004C7B3C" w:rsidRDefault="005B62C7" w:rsidP="00B727F7">
            <w:pPr>
              <w:spacing w:after="0" w:line="276" w:lineRule="auto"/>
              <w:jc w:val="center"/>
              <w:rPr>
                <w:rFonts w:cs="Arial"/>
                <w:sz w:val="16"/>
                <w:szCs w:val="16"/>
              </w:rPr>
            </w:pPr>
            <w:r w:rsidRPr="004C7B3C">
              <w:rPr>
                <w:rFonts w:cs="Arial"/>
                <w:sz w:val="16"/>
                <w:szCs w:val="16"/>
              </w:rPr>
              <w:t>2017</w:t>
            </w:r>
          </w:p>
        </w:tc>
        <w:tc>
          <w:tcPr>
            <w:tcW w:w="726" w:type="dxa"/>
            <w:tcBorders>
              <w:top w:val="nil"/>
              <w:left w:val="nil"/>
              <w:bottom w:val="nil"/>
              <w:right w:val="nil"/>
            </w:tcBorders>
            <w:shd w:val="clear" w:color="auto" w:fill="auto"/>
            <w:noWrap/>
            <w:vAlign w:val="center"/>
          </w:tcPr>
          <w:p w14:paraId="0F6D4954" w14:textId="2140E95D" w:rsidR="005B62C7" w:rsidRPr="004C7B3C" w:rsidRDefault="005B62C7" w:rsidP="00B727F7">
            <w:pPr>
              <w:spacing w:after="0" w:line="276" w:lineRule="auto"/>
              <w:jc w:val="right"/>
              <w:rPr>
                <w:rFonts w:cs="Arial"/>
                <w:sz w:val="16"/>
                <w:szCs w:val="16"/>
              </w:rPr>
            </w:pPr>
            <w:r w:rsidRPr="004C7B3C">
              <w:rPr>
                <w:rFonts w:cs="Arial"/>
                <w:sz w:val="16"/>
                <w:szCs w:val="16"/>
              </w:rPr>
              <w:t>790</w:t>
            </w:r>
          </w:p>
        </w:tc>
        <w:tc>
          <w:tcPr>
            <w:tcW w:w="924" w:type="dxa"/>
            <w:tcBorders>
              <w:top w:val="nil"/>
              <w:left w:val="nil"/>
              <w:bottom w:val="nil"/>
              <w:right w:val="nil"/>
            </w:tcBorders>
            <w:shd w:val="clear" w:color="auto" w:fill="auto"/>
            <w:noWrap/>
            <w:vAlign w:val="center"/>
          </w:tcPr>
          <w:p w14:paraId="6EA2CEB0" w14:textId="524555E6" w:rsidR="005B62C7" w:rsidRPr="004C7B3C" w:rsidRDefault="005B62C7" w:rsidP="00B727F7">
            <w:pPr>
              <w:spacing w:after="0" w:line="276" w:lineRule="auto"/>
              <w:jc w:val="right"/>
              <w:rPr>
                <w:rFonts w:cs="Arial"/>
                <w:sz w:val="16"/>
                <w:szCs w:val="16"/>
              </w:rPr>
            </w:pPr>
            <w:r w:rsidRPr="004C7B3C">
              <w:rPr>
                <w:rFonts w:cs="Arial"/>
                <w:sz w:val="16"/>
                <w:szCs w:val="16"/>
              </w:rPr>
              <w:t>94.575</w:t>
            </w:r>
          </w:p>
        </w:tc>
        <w:tc>
          <w:tcPr>
            <w:tcW w:w="779" w:type="dxa"/>
            <w:tcBorders>
              <w:top w:val="nil"/>
              <w:left w:val="nil"/>
              <w:bottom w:val="nil"/>
              <w:right w:val="nil"/>
            </w:tcBorders>
            <w:shd w:val="clear" w:color="auto" w:fill="auto"/>
            <w:noWrap/>
            <w:vAlign w:val="center"/>
          </w:tcPr>
          <w:p w14:paraId="76E03876" w14:textId="48FD2C79" w:rsidR="005B62C7" w:rsidRPr="004C7B3C" w:rsidRDefault="005B62C7" w:rsidP="00B727F7">
            <w:pPr>
              <w:spacing w:after="0" w:line="276" w:lineRule="auto"/>
              <w:jc w:val="right"/>
              <w:rPr>
                <w:rFonts w:cs="Arial"/>
                <w:sz w:val="16"/>
                <w:szCs w:val="16"/>
              </w:rPr>
            </w:pPr>
            <w:r w:rsidRPr="004C7B3C">
              <w:rPr>
                <w:rFonts w:cs="Arial"/>
                <w:sz w:val="16"/>
                <w:szCs w:val="16"/>
              </w:rPr>
              <w:t>95.365</w:t>
            </w:r>
          </w:p>
        </w:tc>
        <w:tc>
          <w:tcPr>
            <w:tcW w:w="726" w:type="dxa"/>
            <w:tcBorders>
              <w:top w:val="nil"/>
              <w:left w:val="nil"/>
              <w:bottom w:val="nil"/>
              <w:right w:val="nil"/>
            </w:tcBorders>
            <w:shd w:val="clear" w:color="auto" w:fill="auto"/>
            <w:noWrap/>
            <w:vAlign w:val="center"/>
          </w:tcPr>
          <w:p w14:paraId="12E2F0E5" w14:textId="33A00895" w:rsidR="005B62C7" w:rsidRPr="004C7B3C" w:rsidRDefault="005B62C7" w:rsidP="00B727F7">
            <w:pPr>
              <w:spacing w:after="0" w:line="276" w:lineRule="auto"/>
              <w:jc w:val="right"/>
              <w:rPr>
                <w:rFonts w:cs="Arial"/>
                <w:sz w:val="16"/>
                <w:szCs w:val="16"/>
              </w:rPr>
            </w:pPr>
            <w:r w:rsidRPr="004C7B3C">
              <w:rPr>
                <w:rFonts w:cs="Arial"/>
                <w:sz w:val="16"/>
                <w:szCs w:val="16"/>
              </w:rPr>
              <w:t>370</w:t>
            </w:r>
          </w:p>
        </w:tc>
        <w:tc>
          <w:tcPr>
            <w:tcW w:w="1069" w:type="dxa"/>
            <w:tcBorders>
              <w:top w:val="nil"/>
              <w:left w:val="nil"/>
              <w:bottom w:val="nil"/>
              <w:right w:val="nil"/>
            </w:tcBorders>
            <w:shd w:val="clear" w:color="auto" w:fill="auto"/>
            <w:noWrap/>
            <w:vAlign w:val="center"/>
          </w:tcPr>
          <w:p w14:paraId="27403591" w14:textId="1D7601D1" w:rsidR="005B62C7" w:rsidRPr="004C7B3C" w:rsidRDefault="005B62C7" w:rsidP="00B727F7">
            <w:pPr>
              <w:spacing w:after="0" w:line="276" w:lineRule="auto"/>
              <w:jc w:val="right"/>
              <w:rPr>
                <w:rFonts w:cs="Arial"/>
                <w:sz w:val="16"/>
                <w:szCs w:val="16"/>
              </w:rPr>
            </w:pPr>
            <w:r w:rsidRPr="004C7B3C">
              <w:rPr>
                <w:rFonts w:cs="Arial"/>
                <w:sz w:val="16"/>
                <w:szCs w:val="16"/>
              </w:rPr>
              <w:t>5.838</w:t>
            </w:r>
          </w:p>
        </w:tc>
        <w:tc>
          <w:tcPr>
            <w:tcW w:w="932" w:type="dxa"/>
            <w:tcBorders>
              <w:top w:val="nil"/>
              <w:left w:val="nil"/>
              <w:bottom w:val="nil"/>
              <w:right w:val="nil"/>
            </w:tcBorders>
            <w:shd w:val="clear" w:color="auto" w:fill="auto"/>
            <w:noWrap/>
            <w:vAlign w:val="center"/>
          </w:tcPr>
          <w:p w14:paraId="6553D43D" w14:textId="53305F8E" w:rsidR="005B62C7" w:rsidRPr="004C7B3C" w:rsidRDefault="005B62C7" w:rsidP="00B727F7">
            <w:pPr>
              <w:spacing w:after="0" w:line="276" w:lineRule="auto"/>
              <w:jc w:val="right"/>
              <w:rPr>
                <w:rFonts w:cs="Arial"/>
                <w:sz w:val="16"/>
                <w:szCs w:val="16"/>
              </w:rPr>
            </w:pPr>
            <w:r w:rsidRPr="004C7B3C">
              <w:rPr>
                <w:rFonts w:cs="Arial"/>
                <w:sz w:val="16"/>
                <w:szCs w:val="16"/>
              </w:rPr>
              <w:t>6.208</w:t>
            </w:r>
          </w:p>
        </w:tc>
        <w:tc>
          <w:tcPr>
            <w:tcW w:w="1152" w:type="dxa"/>
            <w:tcBorders>
              <w:top w:val="nil"/>
              <w:left w:val="nil"/>
              <w:bottom w:val="nil"/>
              <w:right w:val="nil"/>
            </w:tcBorders>
            <w:shd w:val="clear" w:color="auto" w:fill="auto"/>
            <w:noWrap/>
            <w:vAlign w:val="center"/>
          </w:tcPr>
          <w:p w14:paraId="5C021CD2" w14:textId="01CEA002" w:rsidR="005B62C7" w:rsidRPr="004C7B3C" w:rsidRDefault="005B62C7" w:rsidP="00B727F7">
            <w:pPr>
              <w:spacing w:after="0" w:line="276" w:lineRule="auto"/>
              <w:jc w:val="right"/>
              <w:rPr>
                <w:rFonts w:cs="Arial"/>
                <w:sz w:val="16"/>
                <w:szCs w:val="16"/>
              </w:rPr>
            </w:pPr>
            <w:r w:rsidRPr="004C7B3C">
              <w:rPr>
                <w:rFonts w:cs="Arial"/>
                <w:sz w:val="16"/>
                <w:szCs w:val="16"/>
              </w:rPr>
              <w:t>69</w:t>
            </w:r>
          </w:p>
        </w:tc>
        <w:tc>
          <w:tcPr>
            <w:tcW w:w="1159" w:type="dxa"/>
            <w:tcBorders>
              <w:top w:val="nil"/>
              <w:left w:val="nil"/>
              <w:bottom w:val="nil"/>
              <w:right w:val="nil"/>
            </w:tcBorders>
            <w:shd w:val="clear" w:color="auto" w:fill="auto"/>
            <w:noWrap/>
            <w:vAlign w:val="center"/>
          </w:tcPr>
          <w:p w14:paraId="58189D5F" w14:textId="6EDD22E6" w:rsidR="005B62C7" w:rsidRPr="004C7B3C" w:rsidRDefault="005B62C7" w:rsidP="00B727F7">
            <w:pPr>
              <w:spacing w:after="0" w:line="276" w:lineRule="auto"/>
              <w:jc w:val="right"/>
              <w:rPr>
                <w:rFonts w:cs="Arial"/>
                <w:sz w:val="16"/>
                <w:szCs w:val="16"/>
              </w:rPr>
            </w:pPr>
            <w:r w:rsidRPr="004C7B3C">
              <w:rPr>
                <w:rFonts w:cs="Arial"/>
                <w:sz w:val="16"/>
                <w:szCs w:val="16"/>
              </w:rPr>
              <w:t>6.277</w:t>
            </w:r>
          </w:p>
        </w:tc>
        <w:tc>
          <w:tcPr>
            <w:tcW w:w="911" w:type="dxa"/>
            <w:tcBorders>
              <w:top w:val="nil"/>
              <w:left w:val="nil"/>
              <w:bottom w:val="nil"/>
              <w:right w:val="single" w:sz="2" w:space="0" w:color="A6A6A6" w:themeColor="background1" w:themeShade="A6"/>
            </w:tcBorders>
            <w:shd w:val="clear" w:color="auto" w:fill="auto"/>
            <w:noWrap/>
            <w:vAlign w:val="center"/>
          </w:tcPr>
          <w:p w14:paraId="435A33BB" w14:textId="3490B7E9" w:rsidR="005B62C7" w:rsidRPr="004C7B3C" w:rsidRDefault="005B62C7" w:rsidP="00B727F7">
            <w:pPr>
              <w:spacing w:after="0" w:line="276" w:lineRule="auto"/>
              <w:jc w:val="right"/>
              <w:rPr>
                <w:rFonts w:cs="Arial"/>
                <w:sz w:val="16"/>
                <w:szCs w:val="16"/>
              </w:rPr>
            </w:pPr>
            <w:r w:rsidRPr="004C7B3C">
              <w:rPr>
                <w:rFonts w:cs="Arial"/>
                <w:sz w:val="16"/>
                <w:szCs w:val="16"/>
              </w:rPr>
              <w:t>101.642</w:t>
            </w:r>
          </w:p>
        </w:tc>
      </w:tr>
      <w:tr w:rsidR="005B62C7" w:rsidRPr="004C7B3C" w14:paraId="48CB1060" w14:textId="77777777" w:rsidTr="00635793">
        <w:trPr>
          <w:cantSplit/>
          <w:trHeight w:val="238"/>
          <w:jc w:val="center"/>
        </w:trPr>
        <w:tc>
          <w:tcPr>
            <w:tcW w:w="834" w:type="dxa"/>
            <w:tcBorders>
              <w:top w:val="nil"/>
              <w:left w:val="single" w:sz="2" w:space="0" w:color="A6A6A6" w:themeColor="background1" w:themeShade="A6"/>
              <w:bottom w:val="nil"/>
              <w:right w:val="nil"/>
            </w:tcBorders>
            <w:shd w:val="clear" w:color="auto" w:fill="auto"/>
            <w:noWrap/>
            <w:vAlign w:val="center"/>
          </w:tcPr>
          <w:p w14:paraId="11B31ECD" w14:textId="2EEC34D8" w:rsidR="005B62C7" w:rsidRPr="004C7B3C" w:rsidRDefault="005B62C7" w:rsidP="00B727F7">
            <w:pPr>
              <w:spacing w:after="0" w:line="276" w:lineRule="auto"/>
              <w:jc w:val="center"/>
              <w:rPr>
                <w:rFonts w:cs="Arial"/>
                <w:sz w:val="16"/>
                <w:szCs w:val="16"/>
              </w:rPr>
            </w:pPr>
            <w:r w:rsidRPr="004C7B3C">
              <w:rPr>
                <w:rFonts w:cs="Arial"/>
                <w:sz w:val="16"/>
                <w:szCs w:val="16"/>
              </w:rPr>
              <w:t>2018</w:t>
            </w:r>
          </w:p>
        </w:tc>
        <w:tc>
          <w:tcPr>
            <w:tcW w:w="726" w:type="dxa"/>
            <w:tcBorders>
              <w:top w:val="nil"/>
              <w:left w:val="nil"/>
              <w:bottom w:val="nil"/>
              <w:right w:val="nil"/>
            </w:tcBorders>
            <w:shd w:val="clear" w:color="auto" w:fill="auto"/>
            <w:noWrap/>
            <w:vAlign w:val="center"/>
          </w:tcPr>
          <w:p w14:paraId="1FB15F96" w14:textId="36B41C15" w:rsidR="005B62C7" w:rsidRPr="004C7B3C" w:rsidRDefault="005B62C7" w:rsidP="00B727F7">
            <w:pPr>
              <w:spacing w:after="0" w:line="276" w:lineRule="auto"/>
              <w:jc w:val="right"/>
              <w:rPr>
                <w:rFonts w:cs="Arial"/>
                <w:sz w:val="16"/>
                <w:szCs w:val="16"/>
              </w:rPr>
            </w:pPr>
            <w:r w:rsidRPr="004C7B3C">
              <w:rPr>
                <w:rFonts w:cs="Arial"/>
                <w:sz w:val="16"/>
                <w:szCs w:val="16"/>
              </w:rPr>
              <w:t>1.325</w:t>
            </w:r>
          </w:p>
        </w:tc>
        <w:tc>
          <w:tcPr>
            <w:tcW w:w="924" w:type="dxa"/>
            <w:tcBorders>
              <w:top w:val="nil"/>
              <w:left w:val="nil"/>
              <w:bottom w:val="nil"/>
              <w:right w:val="nil"/>
            </w:tcBorders>
            <w:shd w:val="clear" w:color="auto" w:fill="auto"/>
            <w:noWrap/>
            <w:vAlign w:val="center"/>
          </w:tcPr>
          <w:p w14:paraId="72ACD169" w14:textId="36A634C3" w:rsidR="005B62C7" w:rsidRPr="004C7B3C" w:rsidRDefault="005B62C7" w:rsidP="00B727F7">
            <w:pPr>
              <w:spacing w:after="0" w:line="276" w:lineRule="auto"/>
              <w:jc w:val="right"/>
              <w:rPr>
                <w:rFonts w:cs="Arial"/>
                <w:sz w:val="16"/>
                <w:szCs w:val="16"/>
              </w:rPr>
            </w:pPr>
            <w:r w:rsidRPr="004C7B3C">
              <w:rPr>
                <w:rFonts w:cs="Arial"/>
                <w:sz w:val="16"/>
                <w:szCs w:val="16"/>
              </w:rPr>
              <w:t>6.264</w:t>
            </w:r>
          </w:p>
        </w:tc>
        <w:tc>
          <w:tcPr>
            <w:tcW w:w="779" w:type="dxa"/>
            <w:tcBorders>
              <w:top w:val="nil"/>
              <w:left w:val="nil"/>
              <w:bottom w:val="nil"/>
              <w:right w:val="nil"/>
            </w:tcBorders>
            <w:shd w:val="clear" w:color="auto" w:fill="auto"/>
            <w:noWrap/>
            <w:vAlign w:val="center"/>
          </w:tcPr>
          <w:p w14:paraId="6AEA93C4" w14:textId="2142DC3B" w:rsidR="005B62C7" w:rsidRPr="004C7B3C" w:rsidRDefault="005B62C7" w:rsidP="00B727F7">
            <w:pPr>
              <w:spacing w:after="0" w:line="276" w:lineRule="auto"/>
              <w:jc w:val="right"/>
              <w:rPr>
                <w:rFonts w:cs="Arial"/>
                <w:sz w:val="16"/>
                <w:szCs w:val="16"/>
              </w:rPr>
            </w:pPr>
            <w:r w:rsidRPr="004C7B3C">
              <w:rPr>
                <w:rFonts w:cs="Arial"/>
                <w:sz w:val="16"/>
                <w:szCs w:val="16"/>
              </w:rPr>
              <w:t>7.589</w:t>
            </w:r>
          </w:p>
        </w:tc>
        <w:tc>
          <w:tcPr>
            <w:tcW w:w="726" w:type="dxa"/>
            <w:tcBorders>
              <w:top w:val="nil"/>
              <w:left w:val="nil"/>
              <w:bottom w:val="nil"/>
              <w:right w:val="nil"/>
            </w:tcBorders>
            <w:shd w:val="clear" w:color="auto" w:fill="auto"/>
            <w:noWrap/>
            <w:vAlign w:val="center"/>
          </w:tcPr>
          <w:p w14:paraId="4433B253" w14:textId="1D07908A" w:rsidR="005B62C7" w:rsidRPr="004C7B3C" w:rsidRDefault="005B62C7" w:rsidP="00B727F7">
            <w:pPr>
              <w:spacing w:after="0" w:line="276" w:lineRule="auto"/>
              <w:jc w:val="right"/>
              <w:rPr>
                <w:rFonts w:cs="Arial"/>
                <w:sz w:val="16"/>
                <w:szCs w:val="16"/>
              </w:rPr>
            </w:pPr>
            <w:r w:rsidRPr="004C7B3C">
              <w:rPr>
                <w:rFonts w:cs="Arial"/>
                <w:sz w:val="16"/>
                <w:szCs w:val="16"/>
              </w:rPr>
              <w:t>342</w:t>
            </w:r>
          </w:p>
        </w:tc>
        <w:tc>
          <w:tcPr>
            <w:tcW w:w="1069" w:type="dxa"/>
            <w:tcBorders>
              <w:top w:val="nil"/>
              <w:left w:val="nil"/>
              <w:bottom w:val="nil"/>
              <w:right w:val="nil"/>
            </w:tcBorders>
            <w:shd w:val="clear" w:color="auto" w:fill="auto"/>
            <w:noWrap/>
            <w:vAlign w:val="center"/>
          </w:tcPr>
          <w:p w14:paraId="0E4CF831" w14:textId="4640AE16" w:rsidR="005B62C7" w:rsidRPr="004C7B3C" w:rsidRDefault="005B62C7" w:rsidP="00B727F7">
            <w:pPr>
              <w:spacing w:after="0" w:line="276" w:lineRule="auto"/>
              <w:jc w:val="right"/>
              <w:rPr>
                <w:rFonts w:cs="Arial"/>
                <w:sz w:val="16"/>
                <w:szCs w:val="16"/>
              </w:rPr>
            </w:pPr>
            <w:r w:rsidRPr="004C7B3C">
              <w:rPr>
                <w:rFonts w:cs="Arial"/>
                <w:sz w:val="16"/>
                <w:szCs w:val="16"/>
              </w:rPr>
              <w:t>5.212</w:t>
            </w:r>
          </w:p>
        </w:tc>
        <w:tc>
          <w:tcPr>
            <w:tcW w:w="932" w:type="dxa"/>
            <w:tcBorders>
              <w:top w:val="nil"/>
              <w:left w:val="nil"/>
              <w:bottom w:val="nil"/>
              <w:right w:val="nil"/>
            </w:tcBorders>
            <w:shd w:val="clear" w:color="auto" w:fill="auto"/>
            <w:noWrap/>
            <w:vAlign w:val="center"/>
          </w:tcPr>
          <w:p w14:paraId="39DA21B4" w14:textId="3A63656C" w:rsidR="005B62C7" w:rsidRPr="004C7B3C" w:rsidRDefault="005B62C7" w:rsidP="00B727F7">
            <w:pPr>
              <w:spacing w:after="0" w:line="276" w:lineRule="auto"/>
              <w:jc w:val="right"/>
              <w:rPr>
                <w:rFonts w:cs="Arial"/>
                <w:sz w:val="16"/>
                <w:szCs w:val="16"/>
              </w:rPr>
            </w:pPr>
            <w:r w:rsidRPr="004C7B3C">
              <w:rPr>
                <w:rFonts w:cs="Arial"/>
                <w:sz w:val="16"/>
                <w:szCs w:val="16"/>
              </w:rPr>
              <w:t>5.554</w:t>
            </w:r>
          </w:p>
        </w:tc>
        <w:tc>
          <w:tcPr>
            <w:tcW w:w="1152" w:type="dxa"/>
            <w:tcBorders>
              <w:top w:val="nil"/>
              <w:left w:val="nil"/>
              <w:bottom w:val="nil"/>
              <w:right w:val="nil"/>
            </w:tcBorders>
            <w:shd w:val="clear" w:color="auto" w:fill="auto"/>
            <w:noWrap/>
            <w:vAlign w:val="center"/>
          </w:tcPr>
          <w:p w14:paraId="004BCF2F" w14:textId="1236BB80" w:rsidR="005B62C7" w:rsidRPr="004C7B3C" w:rsidRDefault="005B62C7" w:rsidP="00B727F7">
            <w:pPr>
              <w:spacing w:after="0" w:line="276" w:lineRule="auto"/>
              <w:jc w:val="right"/>
              <w:rPr>
                <w:rFonts w:cs="Arial"/>
                <w:sz w:val="16"/>
                <w:szCs w:val="16"/>
              </w:rPr>
            </w:pPr>
            <w:r w:rsidRPr="004C7B3C">
              <w:rPr>
                <w:rFonts w:cs="Arial"/>
                <w:sz w:val="16"/>
                <w:szCs w:val="16"/>
              </w:rPr>
              <w:t>139</w:t>
            </w:r>
          </w:p>
        </w:tc>
        <w:tc>
          <w:tcPr>
            <w:tcW w:w="1159" w:type="dxa"/>
            <w:tcBorders>
              <w:top w:val="nil"/>
              <w:left w:val="nil"/>
              <w:bottom w:val="nil"/>
              <w:right w:val="nil"/>
            </w:tcBorders>
            <w:shd w:val="clear" w:color="auto" w:fill="auto"/>
            <w:noWrap/>
            <w:vAlign w:val="center"/>
          </w:tcPr>
          <w:p w14:paraId="7757FAEA" w14:textId="58C3DA1E" w:rsidR="005B62C7" w:rsidRPr="004C7B3C" w:rsidRDefault="005B62C7" w:rsidP="00B727F7">
            <w:pPr>
              <w:spacing w:after="0" w:line="276" w:lineRule="auto"/>
              <w:jc w:val="right"/>
              <w:rPr>
                <w:rFonts w:cs="Arial"/>
                <w:sz w:val="16"/>
                <w:szCs w:val="16"/>
              </w:rPr>
            </w:pPr>
            <w:r w:rsidRPr="004C7B3C">
              <w:rPr>
                <w:rFonts w:cs="Arial"/>
                <w:sz w:val="16"/>
                <w:szCs w:val="16"/>
              </w:rPr>
              <w:t>5.693</w:t>
            </w:r>
          </w:p>
        </w:tc>
        <w:tc>
          <w:tcPr>
            <w:tcW w:w="911" w:type="dxa"/>
            <w:tcBorders>
              <w:top w:val="nil"/>
              <w:left w:val="nil"/>
              <w:bottom w:val="nil"/>
              <w:right w:val="single" w:sz="2" w:space="0" w:color="A6A6A6" w:themeColor="background1" w:themeShade="A6"/>
            </w:tcBorders>
            <w:shd w:val="clear" w:color="auto" w:fill="auto"/>
            <w:noWrap/>
            <w:vAlign w:val="center"/>
          </w:tcPr>
          <w:p w14:paraId="0541CFBC" w14:textId="6C9388B6" w:rsidR="005B62C7" w:rsidRPr="004C7B3C" w:rsidRDefault="005B62C7" w:rsidP="00B727F7">
            <w:pPr>
              <w:spacing w:after="0" w:line="276" w:lineRule="auto"/>
              <w:jc w:val="right"/>
              <w:rPr>
                <w:rFonts w:cs="Arial"/>
                <w:sz w:val="16"/>
                <w:szCs w:val="16"/>
              </w:rPr>
            </w:pPr>
            <w:r w:rsidRPr="004C7B3C">
              <w:rPr>
                <w:rFonts w:cs="Arial"/>
                <w:sz w:val="16"/>
                <w:szCs w:val="16"/>
              </w:rPr>
              <w:t>13.282</w:t>
            </w:r>
          </w:p>
        </w:tc>
      </w:tr>
      <w:tr w:rsidR="005B62C7" w:rsidRPr="004C7B3C" w14:paraId="4EB9D9A6" w14:textId="77777777" w:rsidTr="00635793">
        <w:trPr>
          <w:cantSplit/>
          <w:trHeight w:val="253"/>
          <w:jc w:val="center"/>
        </w:trPr>
        <w:tc>
          <w:tcPr>
            <w:tcW w:w="834" w:type="dxa"/>
            <w:tcBorders>
              <w:top w:val="nil"/>
              <w:left w:val="single" w:sz="2" w:space="0" w:color="A6A6A6" w:themeColor="background1" w:themeShade="A6"/>
              <w:bottom w:val="nil"/>
              <w:right w:val="nil"/>
            </w:tcBorders>
            <w:shd w:val="clear" w:color="auto" w:fill="auto"/>
            <w:noWrap/>
            <w:vAlign w:val="center"/>
          </w:tcPr>
          <w:p w14:paraId="31400BBE" w14:textId="72F0A9D2" w:rsidR="005B62C7" w:rsidRPr="004C7B3C" w:rsidRDefault="005B62C7" w:rsidP="00B727F7">
            <w:pPr>
              <w:spacing w:after="0" w:line="276" w:lineRule="auto"/>
              <w:jc w:val="center"/>
              <w:rPr>
                <w:rFonts w:cs="Arial"/>
                <w:sz w:val="16"/>
                <w:szCs w:val="16"/>
              </w:rPr>
            </w:pPr>
            <w:r w:rsidRPr="004C7B3C">
              <w:rPr>
                <w:rFonts w:cs="Arial"/>
                <w:sz w:val="16"/>
                <w:szCs w:val="16"/>
              </w:rPr>
              <w:t>2019</w:t>
            </w:r>
          </w:p>
        </w:tc>
        <w:tc>
          <w:tcPr>
            <w:tcW w:w="726" w:type="dxa"/>
            <w:tcBorders>
              <w:top w:val="nil"/>
              <w:left w:val="nil"/>
              <w:bottom w:val="nil"/>
              <w:right w:val="nil"/>
            </w:tcBorders>
            <w:shd w:val="clear" w:color="auto" w:fill="auto"/>
            <w:noWrap/>
            <w:vAlign w:val="center"/>
          </w:tcPr>
          <w:p w14:paraId="010F3BD6" w14:textId="15AFD94C" w:rsidR="005B62C7" w:rsidRPr="004C7B3C" w:rsidRDefault="005B62C7" w:rsidP="00B727F7">
            <w:pPr>
              <w:spacing w:after="0" w:line="276" w:lineRule="auto"/>
              <w:jc w:val="right"/>
              <w:rPr>
                <w:rFonts w:cs="Arial"/>
                <w:sz w:val="16"/>
                <w:szCs w:val="16"/>
              </w:rPr>
            </w:pPr>
            <w:r w:rsidRPr="004C7B3C">
              <w:rPr>
                <w:rFonts w:cs="Arial"/>
                <w:sz w:val="16"/>
                <w:szCs w:val="16"/>
              </w:rPr>
              <w:t>3.816</w:t>
            </w:r>
          </w:p>
        </w:tc>
        <w:tc>
          <w:tcPr>
            <w:tcW w:w="924" w:type="dxa"/>
            <w:tcBorders>
              <w:top w:val="nil"/>
              <w:left w:val="nil"/>
              <w:bottom w:val="nil"/>
              <w:right w:val="nil"/>
            </w:tcBorders>
            <w:shd w:val="clear" w:color="auto" w:fill="auto"/>
            <w:noWrap/>
            <w:vAlign w:val="center"/>
          </w:tcPr>
          <w:p w14:paraId="407742FB" w14:textId="163003C4" w:rsidR="005B62C7" w:rsidRPr="004C7B3C" w:rsidRDefault="005B62C7" w:rsidP="00B727F7">
            <w:pPr>
              <w:spacing w:after="0" w:line="276" w:lineRule="auto"/>
              <w:jc w:val="right"/>
              <w:rPr>
                <w:rFonts w:cs="Arial"/>
                <w:sz w:val="16"/>
                <w:szCs w:val="16"/>
              </w:rPr>
            </w:pPr>
            <w:r w:rsidRPr="004C7B3C">
              <w:rPr>
                <w:rFonts w:cs="Arial"/>
                <w:sz w:val="16"/>
                <w:szCs w:val="16"/>
              </w:rPr>
              <w:t>14.113</w:t>
            </w:r>
          </w:p>
        </w:tc>
        <w:tc>
          <w:tcPr>
            <w:tcW w:w="779" w:type="dxa"/>
            <w:tcBorders>
              <w:top w:val="nil"/>
              <w:left w:val="nil"/>
              <w:bottom w:val="nil"/>
              <w:right w:val="nil"/>
            </w:tcBorders>
            <w:shd w:val="clear" w:color="auto" w:fill="auto"/>
            <w:noWrap/>
            <w:vAlign w:val="center"/>
          </w:tcPr>
          <w:p w14:paraId="3A51608A" w14:textId="4B0D30CC" w:rsidR="005B62C7" w:rsidRPr="004C7B3C" w:rsidRDefault="005B62C7" w:rsidP="00B727F7">
            <w:pPr>
              <w:spacing w:after="0" w:line="276" w:lineRule="auto"/>
              <w:jc w:val="right"/>
              <w:rPr>
                <w:rFonts w:cs="Arial"/>
                <w:sz w:val="16"/>
                <w:szCs w:val="16"/>
              </w:rPr>
            </w:pPr>
            <w:r w:rsidRPr="004C7B3C">
              <w:rPr>
                <w:rFonts w:cs="Arial"/>
                <w:sz w:val="16"/>
                <w:szCs w:val="16"/>
              </w:rPr>
              <w:t>17.929</w:t>
            </w:r>
          </w:p>
        </w:tc>
        <w:tc>
          <w:tcPr>
            <w:tcW w:w="726" w:type="dxa"/>
            <w:tcBorders>
              <w:top w:val="nil"/>
              <w:left w:val="nil"/>
              <w:bottom w:val="nil"/>
              <w:right w:val="nil"/>
            </w:tcBorders>
            <w:shd w:val="clear" w:color="auto" w:fill="auto"/>
            <w:noWrap/>
            <w:vAlign w:val="center"/>
          </w:tcPr>
          <w:p w14:paraId="5EF16CC4" w14:textId="5415DD99" w:rsidR="005B62C7" w:rsidRPr="004C7B3C" w:rsidRDefault="005B62C7" w:rsidP="00B727F7">
            <w:pPr>
              <w:spacing w:after="0" w:line="276" w:lineRule="auto"/>
              <w:jc w:val="right"/>
              <w:rPr>
                <w:rFonts w:cs="Arial"/>
                <w:sz w:val="16"/>
                <w:szCs w:val="16"/>
              </w:rPr>
            </w:pPr>
            <w:r w:rsidRPr="004C7B3C">
              <w:rPr>
                <w:rFonts w:cs="Arial"/>
                <w:sz w:val="16"/>
                <w:szCs w:val="16"/>
              </w:rPr>
              <w:t>277</w:t>
            </w:r>
          </w:p>
        </w:tc>
        <w:tc>
          <w:tcPr>
            <w:tcW w:w="1069" w:type="dxa"/>
            <w:tcBorders>
              <w:top w:val="nil"/>
              <w:left w:val="nil"/>
              <w:bottom w:val="nil"/>
              <w:right w:val="nil"/>
            </w:tcBorders>
            <w:shd w:val="clear" w:color="auto" w:fill="auto"/>
            <w:noWrap/>
            <w:vAlign w:val="center"/>
          </w:tcPr>
          <w:p w14:paraId="6EE684D9" w14:textId="65E3081A" w:rsidR="005B62C7" w:rsidRPr="004C7B3C" w:rsidRDefault="005B62C7" w:rsidP="00B727F7">
            <w:pPr>
              <w:spacing w:after="0" w:line="276" w:lineRule="auto"/>
              <w:jc w:val="right"/>
              <w:rPr>
                <w:rFonts w:cs="Arial"/>
                <w:sz w:val="16"/>
                <w:szCs w:val="16"/>
              </w:rPr>
            </w:pPr>
            <w:r w:rsidRPr="004C7B3C">
              <w:rPr>
                <w:rFonts w:cs="Arial"/>
                <w:sz w:val="16"/>
                <w:szCs w:val="16"/>
              </w:rPr>
              <w:t>5.724</w:t>
            </w:r>
          </w:p>
        </w:tc>
        <w:tc>
          <w:tcPr>
            <w:tcW w:w="932" w:type="dxa"/>
            <w:tcBorders>
              <w:top w:val="nil"/>
              <w:left w:val="nil"/>
              <w:bottom w:val="nil"/>
              <w:right w:val="nil"/>
            </w:tcBorders>
            <w:shd w:val="clear" w:color="auto" w:fill="auto"/>
            <w:noWrap/>
            <w:vAlign w:val="center"/>
          </w:tcPr>
          <w:p w14:paraId="1C837D62" w14:textId="51BABF43" w:rsidR="005B62C7" w:rsidRPr="004C7B3C" w:rsidRDefault="005B62C7" w:rsidP="00B727F7">
            <w:pPr>
              <w:spacing w:after="0" w:line="276" w:lineRule="auto"/>
              <w:jc w:val="right"/>
              <w:rPr>
                <w:rFonts w:cs="Arial"/>
                <w:sz w:val="16"/>
                <w:szCs w:val="16"/>
              </w:rPr>
            </w:pPr>
            <w:r w:rsidRPr="004C7B3C">
              <w:rPr>
                <w:rFonts w:cs="Arial"/>
                <w:sz w:val="16"/>
                <w:szCs w:val="16"/>
              </w:rPr>
              <w:t>6.001</w:t>
            </w:r>
          </w:p>
        </w:tc>
        <w:tc>
          <w:tcPr>
            <w:tcW w:w="1152" w:type="dxa"/>
            <w:tcBorders>
              <w:top w:val="nil"/>
              <w:left w:val="nil"/>
              <w:bottom w:val="nil"/>
              <w:right w:val="nil"/>
            </w:tcBorders>
            <w:shd w:val="clear" w:color="auto" w:fill="auto"/>
            <w:noWrap/>
            <w:vAlign w:val="center"/>
          </w:tcPr>
          <w:p w14:paraId="7B6DD883" w14:textId="044843D0" w:rsidR="005B62C7" w:rsidRPr="004C7B3C" w:rsidRDefault="005B62C7" w:rsidP="00B727F7">
            <w:pPr>
              <w:spacing w:after="0" w:line="276" w:lineRule="auto"/>
              <w:jc w:val="right"/>
              <w:rPr>
                <w:rFonts w:cs="Arial"/>
                <w:sz w:val="16"/>
                <w:szCs w:val="16"/>
              </w:rPr>
            </w:pPr>
            <w:r w:rsidRPr="004C7B3C">
              <w:rPr>
                <w:rFonts w:cs="Arial"/>
                <w:sz w:val="16"/>
                <w:szCs w:val="16"/>
              </w:rPr>
              <w:t>35</w:t>
            </w:r>
          </w:p>
        </w:tc>
        <w:tc>
          <w:tcPr>
            <w:tcW w:w="1159" w:type="dxa"/>
            <w:tcBorders>
              <w:top w:val="nil"/>
              <w:left w:val="nil"/>
              <w:bottom w:val="nil"/>
              <w:right w:val="nil"/>
            </w:tcBorders>
            <w:shd w:val="clear" w:color="auto" w:fill="auto"/>
            <w:noWrap/>
            <w:vAlign w:val="center"/>
          </w:tcPr>
          <w:p w14:paraId="40181778" w14:textId="635E2733" w:rsidR="005B62C7" w:rsidRPr="004C7B3C" w:rsidRDefault="005B62C7" w:rsidP="00B727F7">
            <w:pPr>
              <w:spacing w:after="0" w:line="276" w:lineRule="auto"/>
              <w:jc w:val="right"/>
              <w:rPr>
                <w:rFonts w:cs="Arial"/>
                <w:sz w:val="16"/>
                <w:szCs w:val="16"/>
              </w:rPr>
            </w:pPr>
            <w:r w:rsidRPr="004C7B3C">
              <w:rPr>
                <w:rFonts w:cs="Arial"/>
                <w:sz w:val="16"/>
                <w:szCs w:val="16"/>
              </w:rPr>
              <w:t>6.036</w:t>
            </w:r>
          </w:p>
        </w:tc>
        <w:tc>
          <w:tcPr>
            <w:tcW w:w="911" w:type="dxa"/>
            <w:tcBorders>
              <w:top w:val="nil"/>
              <w:left w:val="nil"/>
              <w:bottom w:val="nil"/>
              <w:right w:val="single" w:sz="2" w:space="0" w:color="A6A6A6" w:themeColor="background1" w:themeShade="A6"/>
            </w:tcBorders>
            <w:shd w:val="clear" w:color="auto" w:fill="auto"/>
            <w:noWrap/>
            <w:vAlign w:val="center"/>
          </w:tcPr>
          <w:p w14:paraId="7749366D" w14:textId="2E12C8EA" w:rsidR="005B62C7" w:rsidRPr="004C7B3C" w:rsidRDefault="005B62C7" w:rsidP="00B727F7">
            <w:pPr>
              <w:spacing w:after="0" w:line="276" w:lineRule="auto"/>
              <w:jc w:val="right"/>
              <w:rPr>
                <w:rFonts w:cs="Arial"/>
                <w:sz w:val="16"/>
                <w:szCs w:val="16"/>
              </w:rPr>
            </w:pPr>
            <w:r w:rsidRPr="004C7B3C">
              <w:rPr>
                <w:rFonts w:cs="Arial"/>
                <w:sz w:val="16"/>
                <w:szCs w:val="16"/>
              </w:rPr>
              <w:t>23.965</w:t>
            </w:r>
          </w:p>
        </w:tc>
      </w:tr>
      <w:tr w:rsidR="005B62C7" w:rsidRPr="004C7B3C" w14:paraId="4027BA30" w14:textId="77777777" w:rsidTr="00635793">
        <w:trPr>
          <w:cantSplit/>
          <w:trHeight w:val="238"/>
          <w:jc w:val="center"/>
        </w:trPr>
        <w:tc>
          <w:tcPr>
            <w:tcW w:w="834" w:type="dxa"/>
            <w:tcBorders>
              <w:top w:val="nil"/>
              <w:left w:val="single" w:sz="2" w:space="0" w:color="A6A6A6" w:themeColor="background1" w:themeShade="A6"/>
              <w:bottom w:val="nil"/>
              <w:right w:val="nil"/>
            </w:tcBorders>
            <w:shd w:val="clear" w:color="auto" w:fill="auto"/>
            <w:noWrap/>
            <w:vAlign w:val="center"/>
          </w:tcPr>
          <w:p w14:paraId="4ADF9E6E" w14:textId="21B27660" w:rsidR="005B62C7" w:rsidRPr="004C7B3C" w:rsidRDefault="005B62C7" w:rsidP="00B727F7">
            <w:pPr>
              <w:spacing w:after="0" w:line="276" w:lineRule="auto"/>
              <w:jc w:val="center"/>
              <w:rPr>
                <w:rFonts w:cs="Arial"/>
                <w:sz w:val="16"/>
                <w:szCs w:val="16"/>
              </w:rPr>
            </w:pPr>
            <w:r w:rsidRPr="004C7B3C">
              <w:rPr>
                <w:rFonts w:cs="Arial"/>
                <w:sz w:val="16"/>
                <w:szCs w:val="16"/>
              </w:rPr>
              <w:t>2020</w:t>
            </w:r>
          </w:p>
        </w:tc>
        <w:tc>
          <w:tcPr>
            <w:tcW w:w="726" w:type="dxa"/>
            <w:tcBorders>
              <w:top w:val="nil"/>
              <w:left w:val="nil"/>
              <w:bottom w:val="nil"/>
              <w:right w:val="nil"/>
            </w:tcBorders>
            <w:shd w:val="clear" w:color="auto" w:fill="auto"/>
            <w:noWrap/>
            <w:vAlign w:val="center"/>
          </w:tcPr>
          <w:p w14:paraId="7FCDB5BA" w14:textId="567411A6" w:rsidR="005B62C7" w:rsidRPr="004C7B3C" w:rsidRDefault="005B62C7" w:rsidP="00B727F7">
            <w:pPr>
              <w:spacing w:after="0" w:line="276" w:lineRule="auto"/>
              <w:jc w:val="right"/>
              <w:rPr>
                <w:rFonts w:cs="Arial"/>
                <w:sz w:val="16"/>
                <w:szCs w:val="16"/>
              </w:rPr>
            </w:pPr>
            <w:r w:rsidRPr="004C7B3C">
              <w:rPr>
                <w:rFonts w:cs="Arial"/>
                <w:sz w:val="16"/>
                <w:szCs w:val="16"/>
              </w:rPr>
              <w:t>-521</w:t>
            </w:r>
          </w:p>
        </w:tc>
        <w:tc>
          <w:tcPr>
            <w:tcW w:w="924" w:type="dxa"/>
            <w:tcBorders>
              <w:top w:val="nil"/>
              <w:left w:val="nil"/>
              <w:bottom w:val="nil"/>
              <w:right w:val="nil"/>
            </w:tcBorders>
            <w:shd w:val="clear" w:color="auto" w:fill="auto"/>
            <w:noWrap/>
            <w:vAlign w:val="center"/>
          </w:tcPr>
          <w:p w14:paraId="11C1A39F" w14:textId="3DD5DFCD" w:rsidR="005B62C7" w:rsidRPr="004C7B3C" w:rsidRDefault="005B62C7" w:rsidP="00B727F7">
            <w:pPr>
              <w:spacing w:after="0" w:line="276" w:lineRule="auto"/>
              <w:jc w:val="right"/>
              <w:rPr>
                <w:rFonts w:cs="Arial"/>
                <w:sz w:val="16"/>
                <w:szCs w:val="16"/>
              </w:rPr>
            </w:pPr>
            <w:r w:rsidRPr="004C7B3C">
              <w:rPr>
                <w:rFonts w:cs="Arial"/>
                <w:sz w:val="16"/>
                <w:szCs w:val="16"/>
              </w:rPr>
              <w:t>12.087</w:t>
            </w:r>
          </w:p>
        </w:tc>
        <w:tc>
          <w:tcPr>
            <w:tcW w:w="779" w:type="dxa"/>
            <w:tcBorders>
              <w:top w:val="nil"/>
              <w:left w:val="nil"/>
              <w:bottom w:val="nil"/>
              <w:right w:val="nil"/>
            </w:tcBorders>
            <w:shd w:val="clear" w:color="auto" w:fill="auto"/>
            <w:noWrap/>
            <w:vAlign w:val="center"/>
          </w:tcPr>
          <w:p w14:paraId="4CAED8C3" w14:textId="50F794C9" w:rsidR="005B62C7" w:rsidRPr="004C7B3C" w:rsidRDefault="005B62C7" w:rsidP="00B727F7">
            <w:pPr>
              <w:spacing w:after="0" w:line="276" w:lineRule="auto"/>
              <w:jc w:val="right"/>
              <w:rPr>
                <w:rFonts w:cs="Arial"/>
                <w:sz w:val="16"/>
                <w:szCs w:val="16"/>
              </w:rPr>
            </w:pPr>
            <w:r w:rsidRPr="004C7B3C">
              <w:rPr>
                <w:rFonts w:cs="Arial"/>
                <w:sz w:val="16"/>
                <w:szCs w:val="16"/>
              </w:rPr>
              <w:t>11.566</w:t>
            </w:r>
          </w:p>
        </w:tc>
        <w:tc>
          <w:tcPr>
            <w:tcW w:w="726" w:type="dxa"/>
            <w:tcBorders>
              <w:top w:val="nil"/>
              <w:left w:val="nil"/>
              <w:bottom w:val="nil"/>
              <w:right w:val="nil"/>
            </w:tcBorders>
            <w:shd w:val="clear" w:color="auto" w:fill="auto"/>
            <w:noWrap/>
            <w:vAlign w:val="center"/>
          </w:tcPr>
          <w:p w14:paraId="6ABE8E0C" w14:textId="4513D0A4" w:rsidR="005B62C7" w:rsidRPr="004C7B3C" w:rsidRDefault="005B62C7" w:rsidP="00B727F7">
            <w:pPr>
              <w:spacing w:after="0" w:line="276" w:lineRule="auto"/>
              <w:jc w:val="right"/>
              <w:rPr>
                <w:rFonts w:cs="Arial"/>
                <w:sz w:val="16"/>
                <w:szCs w:val="16"/>
              </w:rPr>
            </w:pPr>
            <w:r w:rsidRPr="004C7B3C">
              <w:rPr>
                <w:rFonts w:cs="Arial"/>
                <w:sz w:val="16"/>
                <w:szCs w:val="16"/>
              </w:rPr>
              <w:t>75</w:t>
            </w:r>
          </w:p>
        </w:tc>
        <w:tc>
          <w:tcPr>
            <w:tcW w:w="1069" w:type="dxa"/>
            <w:tcBorders>
              <w:top w:val="nil"/>
              <w:left w:val="nil"/>
              <w:bottom w:val="nil"/>
              <w:right w:val="nil"/>
            </w:tcBorders>
            <w:shd w:val="clear" w:color="auto" w:fill="auto"/>
            <w:noWrap/>
            <w:vAlign w:val="center"/>
          </w:tcPr>
          <w:p w14:paraId="2B5C6111" w14:textId="2437F374" w:rsidR="005B62C7" w:rsidRPr="004C7B3C" w:rsidRDefault="005B62C7" w:rsidP="00B727F7">
            <w:pPr>
              <w:spacing w:after="0" w:line="276" w:lineRule="auto"/>
              <w:jc w:val="right"/>
              <w:rPr>
                <w:rFonts w:cs="Arial"/>
                <w:sz w:val="16"/>
                <w:szCs w:val="16"/>
              </w:rPr>
            </w:pPr>
            <w:r w:rsidRPr="004C7B3C">
              <w:rPr>
                <w:rFonts w:cs="Arial"/>
                <w:sz w:val="16"/>
                <w:szCs w:val="16"/>
              </w:rPr>
              <w:t>6.201</w:t>
            </w:r>
          </w:p>
        </w:tc>
        <w:tc>
          <w:tcPr>
            <w:tcW w:w="932" w:type="dxa"/>
            <w:tcBorders>
              <w:top w:val="nil"/>
              <w:left w:val="nil"/>
              <w:bottom w:val="nil"/>
              <w:right w:val="nil"/>
            </w:tcBorders>
            <w:shd w:val="clear" w:color="auto" w:fill="auto"/>
            <w:noWrap/>
            <w:vAlign w:val="center"/>
          </w:tcPr>
          <w:p w14:paraId="12048293" w14:textId="118374BF" w:rsidR="005B62C7" w:rsidRPr="004C7B3C" w:rsidRDefault="005B62C7" w:rsidP="00B727F7">
            <w:pPr>
              <w:spacing w:after="0" w:line="276" w:lineRule="auto"/>
              <w:jc w:val="right"/>
              <w:rPr>
                <w:rFonts w:cs="Arial"/>
                <w:sz w:val="16"/>
                <w:szCs w:val="16"/>
              </w:rPr>
            </w:pPr>
            <w:r w:rsidRPr="004C7B3C">
              <w:rPr>
                <w:rFonts w:cs="Arial"/>
                <w:sz w:val="16"/>
                <w:szCs w:val="16"/>
              </w:rPr>
              <w:t>6.276</w:t>
            </w:r>
          </w:p>
        </w:tc>
        <w:tc>
          <w:tcPr>
            <w:tcW w:w="1152" w:type="dxa"/>
            <w:tcBorders>
              <w:top w:val="nil"/>
              <w:left w:val="nil"/>
              <w:bottom w:val="nil"/>
              <w:right w:val="nil"/>
            </w:tcBorders>
            <w:shd w:val="clear" w:color="auto" w:fill="auto"/>
            <w:noWrap/>
            <w:vAlign w:val="center"/>
          </w:tcPr>
          <w:p w14:paraId="5211FA1F" w14:textId="7B22816D" w:rsidR="005B62C7" w:rsidRPr="004C7B3C" w:rsidRDefault="005B62C7" w:rsidP="00B727F7">
            <w:pPr>
              <w:spacing w:after="0" w:line="276" w:lineRule="auto"/>
              <w:jc w:val="right"/>
              <w:rPr>
                <w:rFonts w:cs="Arial"/>
                <w:sz w:val="16"/>
                <w:szCs w:val="16"/>
              </w:rPr>
            </w:pPr>
            <w:r w:rsidRPr="004C7B3C">
              <w:rPr>
                <w:rFonts w:cs="Arial"/>
                <w:sz w:val="16"/>
                <w:szCs w:val="16"/>
              </w:rPr>
              <w:t>48</w:t>
            </w:r>
          </w:p>
        </w:tc>
        <w:tc>
          <w:tcPr>
            <w:tcW w:w="1159" w:type="dxa"/>
            <w:tcBorders>
              <w:top w:val="nil"/>
              <w:left w:val="nil"/>
              <w:bottom w:val="nil"/>
              <w:right w:val="nil"/>
            </w:tcBorders>
            <w:shd w:val="clear" w:color="auto" w:fill="auto"/>
            <w:noWrap/>
            <w:vAlign w:val="center"/>
          </w:tcPr>
          <w:p w14:paraId="16B5645C" w14:textId="75CC1BB8" w:rsidR="005B62C7" w:rsidRPr="004C7B3C" w:rsidRDefault="005B62C7" w:rsidP="00B727F7">
            <w:pPr>
              <w:spacing w:after="0" w:line="276" w:lineRule="auto"/>
              <w:jc w:val="right"/>
              <w:rPr>
                <w:rFonts w:cs="Arial"/>
                <w:sz w:val="16"/>
                <w:szCs w:val="16"/>
              </w:rPr>
            </w:pPr>
            <w:r w:rsidRPr="004C7B3C">
              <w:rPr>
                <w:rFonts w:cs="Arial"/>
                <w:sz w:val="16"/>
                <w:szCs w:val="16"/>
              </w:rPr>
              <w:t>6.324</w:t>
            </w:r>
          </w:p>
        </w:tc>
        <w:tc>
          <w:tcPr>
            <w:tcW w:w="911" w:type="dxa"/>
            <w:tcBorders>
              <w:top w:val="nil"/>
              <w:left w:val="nil"/>
              <w:bottom w:val="nil"/>
              <w:right w:val="single" w:sz="2" w:space="0" w:color="A6A6A6" w:themeColor="background1" w:themeShade="A6"/>
            </w:tcBorders>
            <w:shd w:val="clear" w:color="auto" w:fill="auto"/>
            <w:noWrap/>
            <w:vAlign w:val="center"/>
          </w:tcPr>
          <w:p w14:paraId="47D7E2E1" w14:textId="32505C0E" w:rsidR="005B62C7" w:rsidRPr="004C7B3C" w:rsidRDefault="005B62C7" w:rsidP="00B727F7">
            <w:pPr>
              <w:spacing w:after="0" w:line="276" w:lineRule="auto"/>
              <w:jc w:val="right"/>
              <w:rPr>
                <w:rFonts w:cs="Arial"/>
                <w:sz w:val="16"/>
                <w:szCs w:val="16"/>
              </w:rPr>
            </w:pPr>
            <w:r w:rsidRPr="004C7B3C">
              <w:rPr>
                <w:rFonts w:cs="Arial"/>
                <w:sz w:val="16"/>
                <w:szCs w:val="16"/>
              </w:rPr>
              <w:t>17.890</w:t>
            </w:r>
          </w:p>
        </w:tc>
      </w:tr>
      <w:tr w:rsidR="005B62C7" w:rsidRPr="004C7B3C" w14:paraId="375CDD32" w14:textId="77777777" w:rsidTr="00635793">
        <w:trPr>
          <w:cantSplit/>
          <w:trHeight w:val="238"/>
          <w:jc w:val="center"/>
        </w:trPr>
        <w:tc>
          <w:tcPr>
            <w:tcW w:w="834" w:type="dxa"/>
            <w:tcBorders>
              <w:top w:val="nil"/>
              <w:left w:val="single" w:sz="2" w:space="0" w:color="A6A6A6" w:themeColor="background1" w:themeShade="A6"/>
              <w:bottom w:val="nil"/>
              <w:right w:val="nil"/>
            </w:tcBorders>
            <w:shd w:val="clear" w:color="auto" w:fill="auto"/>
            <w:noWrap/>
            <w:vAlign w:val="center"/>
          </w:tcPr>
          <w:p w14:paraId="4F1EA538" w14:textId="4FE84274" w:rsidR="005B62C7" w:rsidRPr="004C7B3C" w:rsidRDefault="005B62C7" w:rsidP="00B727F7">
            <w:pPr>
              <w:spacing w:after="0" w:line="276" w:lineRule="auto"/>
              <w:jc w:val="center"/>
              <w:rPr>
                <w:rFonts w:cs="Arial"/>
                <w:sz w:val="16"/>
                <w:szCs w:val="16"/>
              </w:rPr>
            </w:pPr>
            <w:r w:rsidRPr="004C7B3C">
              <w:rPr>
                <w:rFonts w:cs="Arial"/>
                <w:sz w:val="16"/>
                <w:szCs w:val="16"/>
              </w:rPr>
              <w:t>2021</w:t>
            </w:r>
          </w:p>
        </w:tc>
        <w:tc>
          <w:tcPr>
            <w:tcW w:w="726" w:type="dxa"/>
            <w:tcBorders>
              <w:top w:val="nil"/>
              <w:left w:val="nil"/>
              <w:bottom w:val="nil"/>
              <w:right w:val="nil"/>
            </w:tcBorders>
            <w:shd w:val="clear" w:color="auto" w:fill="auto"/>
            <w:noWrap/>
            <w:vAlign w:val="center"/>
          </w:tcPr>
          <w:p w14:paraId="65B530C1" w14:textId="1C4A2CEA" w:rsidR="005B62C7" w:rsidRPr="004C7B3C" w:rsidRDefault="005B62C7" w:rsidP="00B727F7">
            <w:pPr>
              <w:spacing w:after="0" w:line="276" w:lineRule="auto"/>
              <w:jc w:val="right"/>
              <w:rPr>
                <w:rFonts w:cs="Arial"/>
                <w:sz w:val="16"/>
                <w:szCs w:val="16"/>
              </w:rPr>
            </w:pPr>
            <w:r w:rsidRPr="004C7B3C">
              <w:rPr>
                <w:rFonts w:cs="Arial"/>
                <w:sz w:val="16"/>
                <w:szCs w:val="16"/>
              </w:rPr>
              <w:t>3.145</w:t>
            </w:r>
          </w:p>
        </w:tc>
        <w:tc>
          <w:tcPr>
            <w:tcW w:w="924" w:type="dxa"/>
            <w:tcBorders>
              <w:top w:val="nil"/>
              <w:left w:val="nil"/>
              <w:bottom w:val="nil"/>
              <w:right w:val="nil"/>
            </w:tcBorders>
            <w:shd w:val="clear" w:color="auto" w:fill="auto"/>
            <w:noWrap/>
            <w:vAlign w:val="center"/>
          </w:tcPr>
          <w:p w14:paraId="731C4D07" w14:textId="64A9DF80" w:rsidR="005B62C7" w:rsidRPr="004C7B3C" w:rsidRDefault="005B62C7" w:rsidP="00B727F7">
            <w:pPr>
              <w:spacing w:after="0" w:line="276" w:lineRule="auto"/>
              <w:jc w:val="right"/>
              <w:rPr>
                <w:rFonts w:cs="Arial"/>
                <w:sz w:val="16"/>
                <w:szCs w:val="16"/>
              </w:rPr>
            </w:pPr>
            <w:r w:rsidRPr="004C7B3C">
              <w:rPr>
                <w:rFonts w:cs="Arial"/>
                <w:sz w:val="16"/>
                <w:szCs w:val="16"/>
              </w:rPr>
              <w:t>12.502</w:t>
            </w:r>
          </w:p>
        </w:tc>
        <w:tc>
          <w:tcPr>
            <w:tcW w:w="779" w:type="dxa"/>
            <w:tcBorders>
              <w:top w:val="nil"/>
              <w:left w:val="nil"/>
              <w:bottom w:val="nil"/>
              <w:right w:val="nil"/>
            </w:tcBorders>
            <w:shd w:val="clear" w:color="auto" w:fill="auto"/>
            <w:noWrap/>
            <w:vAlign w:val="center"/>
          </w:tcPr>
          <w:p w14:paraId="1FC3FB7B" w14:textId="63F0312D" w:rsidR="005B62C7" w:rsidRPr="004C7B3C" w:rsidRDefault="005B62C7" w:rsidP="00B727F7">
            <w:pPr>
              <w:spacing w:after="0" w:line="276" w:lineRule="auto"/>
              <w:jc w:val="right"/>
              <w:rPr>
                <w:rFonts w:cs="Arial"/>
                <w:sz w:val="16"/>
                <w:szCs w:val="16"/>
              </w:rPr>
            </w:pPr>
            <w:r w:rsidRPr="004C7B3C">
              <w:rPr>
                <w:rFonts w:cs="Arial"/>
                <w:sz w:val="16"/>
                <w:szCs w:val="16"/>
              </w:rPr>
              <w:t>15.647</w:t>
            </w:r>
          </w:p>
        </w:tc>
        <w:tc>
          <w:tcPr>
            <w:tcW w:w="726" w:type="dxa"/>
            <w:tcBorders>
              <w:top w:val="nil"/>
              <w:left w:val="nil"/>
              <w:bottom w:val="nil"/>
              <w:right w:val="nil"/>
            </w:tcBorders>
            <w:shd w:val="clear" w:color="auto" w:fill="auto"/>
            <w:noWrap/>
            <w:vAlign w:val="center"/>
          </w:tcPr>
          <w:p w14:paraId="3C9373ED" w14:textId="109B78F9" w:rsidR="005B62C7" w:rsidRPr="004C7B3C" w:rsidRDefault="005B62C7" w:rsidP="00B727F7">
            <w:pPr>
              <w:spacing w:after="0" w:line="276" w:lineRule="auto"/>
              <w:jc w:val="right"/>
              <w:rPr>
                <w:rFonts w:cs="Arial"/>
                <w:sz w:val="16"/>
                <w:szCs w:val="16"/>
              </w:rPr>
            </w:pPr>
            <w:r w:rsidRPr="004C7B3C">
              <w:rPr>
                <w:rFonts w:cs="Arial"/>
                <w:sz w:val="16"/>
                <w:szCs w:val="16"/>
              </w:rPr>
              <w:t>33</w:t>
            </w:r>
          </w:p>
        </w:tc>
        <w:tc>
          <w:tcPr>
            <w:tcW w:w="1069" w:type="dxa"/>
            <w:tcBorders>
              <w:top w:val="nil"/>
              <w:left w:val="nil"/>
              <w:bottom w:val="nil"/>
              <w:right w:val="nil"/>
            </w:tcBorders>
            <w:shd w:val="clear" w:color="auto" w:fill="auto"/>
            <w:noWrap/>
            <w:vAlign w:val="center"/>
          </w:tcPr>
          <w:p w14:paraId="7FD3278E" w14:textId="377C91F8" w:rsidR="005B62C7" w:rsidRPr="004C7B3C" w:rsidRDefault="005B62C7" w:rsidP="00B727F7">
            <w:pPr>
              <w:spacing w:after="0" w:line="276" w:lineRule="auto"/>
              <w:jc w:val="right"/>
              <w:rPr>
                <w:rFonts w:cs="Arial"/>
                <w:sz w:val="16"/>
                <w:szCs w:val="16"/>
              </w:rPr>
            </w:pPr>
            <w:r w:rsidRPr="004C7B3C">
              <w:rPr>
                <w:rFonts w:cs="Arial"/>
                <w:sz w:val="16"/>
                <w:szCs w:val="16"/>
              </w:rPr>
              <w:t>5.934</w:t>
            </w:r>
          </w:p>
        </w:tc>
        <w:tc>
          <w:tcPr>
            <w:tcW w:w="932" w:type="dxa"/>
            <w:tcBorders>
              <w:top w:val="nil"/>
              <w:left w:val="nil"/>
              <w:bottom w:val="nil"/>
              <w:right w:val="nil"/>
            </w:tcBorders>
            <w:shd w:val="clear" w:color="auto" w:fill="auto"/>
            <w:noWrap/>
            <w:vAlign w:val="center"/>
          </w:tcPr>
          <w:p w14:paraId="62A17855" w14:textId="40F8A2B2" w:rsidR="005B62C7" w:rsidRPr="004C7B3C" w:rsidRDefault="005B62C7" w:rsidP="00B727F7">
            <w:pPr>
              <w:spacing w:after="0" w:line="276" w:lineRule="auto"/>
              <w:jc w:val="right"/>
              <w:rPr>
                <w:rFonts w:cs="Arial"/>
                <w:sz w:val="16"/>
                <w:szCs w:val="16"/>
              </w:rPr>
            </w:pPr>
            <w:r w:rsidRPr="004C7B3C">
              <w:rPr>
                <w:rFonts w:cs="Arial"/>
                <w:sz w:val="16"/>
                <w:szCs w:val="16"/>
              </w:rPr>
              <w:t>5.967</w:t>
            </w:r>
          </w:p>
        </w:tc>
        <w:tc>
          <w:tcPr>
            <w:tcW w:w="1152" w:type="dxa"/>
            <w:tcBorders>
              <w:top w:val="nil"/>
              <w:left w:val="nil"/>
              <w:bottom w:val="nil"/>
              <w:right w:val="nil"/>
            </w:tcBorders>
            <w:shd w:val="clear" w:color="auto" w:fill="auto"/>
            <w:noWrap/>
            <w:vAlign w:val="center"/>
          </w:tcPr>
          <w:p w14:paraId="6792378F" w14:textId="1D866B12" w:rsidR="005B62C7" w:rsidRPr="004C7B3C" w:rsidRDefault="005B62C7" w:rsidP="00B727F7">
            <w:pPr>
              <w:spacing w:after="0" w:line="276" w:lineRule="auto"/>
              <w:jc w:val="right"/>
              <w:rPr>
                <w:rFonts w:cs="Arial"/>
                <w:sz w:val="16"/>
                <w:szCs w:val="16"/>
              </w:rPr>
            </w:pPr>
            <w:r w:rsidRPr="004C7B3C">
              <w:rPr>
                <w:rFonts w:cs="Arial"/>
                <w:sz w:val="16"/>
                <w:szCs w:val="16"/>
              </w:rPr>
              <w:t>60</w:t>
            </w:r>
          </w:p>
        </w:tc>
        <w:tc>
          <w:tcPr>
            <w:tcW w:w="1159" w:type="dxa"/>
            <w:tcBorders>
              <w:top w:val="nil"/>
              <w:left w:val="nil"/>
              <w:bottom w:val="nil"/>
              <w:right w:val="nil"/>
            </w:tcBorders>
            <w:shd w:val="clear" w:color="auto" w:fill="auto"/>
            <w:noWrap/>
            <w:vAlign w:val="center"/>
          </w:tcPr>
          <w:p w14:paraId="6F6A4B41" w14:textId="48C6544D" w:rsidR="005B62C7" w:rsidRPr="004C7B3C" w:rsidRDefault="005B62C7" w:rsidP="00B727F7">
            <w:pPr>
              <w:spacing w:after="0" w:line="276" w:lineRule="auto"/>
              <w:jc w:val="right"/>
              <w:rPr>
                <w:rFonts w:cs="Arial"/>
                <w:sz w:val="16"/>
                <w:szCs w:val="16"/>
              </w:rPr>
            </w:pPr>
            <w:r w:rsidRPr="004C7B3C">
              <w:rPr>
                <w:rFonts w:cs="Arial"/>
                <w:sz w:val="16"/>
                <w:szCs w:val="16"/>
              </w:rPr>
              <w:t>6.027</w:t>
            </w:r>
          </w:p>
        </w:tc>
        <w:tc>
          <w:tcPr>
            <w:tcW w:w="911" w:type="dxa"/>
            <w:tcBorders>
              <w:top w:val="nil"/>
              <w:left w:val="nil"/>
              <w:bottom w:val="nil"/>
              <w:right w:val="single" w:sz="2" w:space="0" w:color="A6A6A6" w:themeColor="background1" w:themeShade="A6"/>
            </w:tcBorders>
            <w:shd w:val="clear" w:color="auto" w:fill="auto"/>
            <w:noWrap/>
            <w:vAlign w:val="center"/>
          </w:tcPr>
          <w:p w14:paraId="5BD5E271" w14:textId="7B9CE1BD" w:rsidR="005B62C7" w:rsidRPr="004C7B3C" w:rsidRDefault="005B62C7" w:rsidP="00B727F7">
            <w:pPr>
              <w:spacing w:after="0" w:line="276" w:lineRule="auto"/>
              <w:jc w:val="right"/>
              <w:rPr>
                <w:rFonts w:cs="Arial"/>
                <w:sz w:val="16"/>
                <w:szCs w:val="16"/>
              </w:rPr>
            </w:pPr>
            <w:r w:rsidRPr="004C7B3C">
              <w:rPr>
                <w:rFonts w:cs="Arial"/>
                <w:sz w:val="16"/>
                <w:szCs w:val="16"/>
              </w:rPr>
              <w:t>21.674</w:t>
            </w:r>
          </w:p>
        </w:tc>
      </w:tr>
      <w:tr w:rsidR="005B62C7" w:rsidRPr="004C7B3C" w14:paraId="0C3D7E5F" w14:textId="77777777" w:rsidTr="00635793">
        <w:trPr>
          <w:cantSplit/>
          <w:trHeight w:val="253"/>
          <w:jc w:val="center"/>
        </w:trPr>
        <w:tc>
          <w:tcPr>
            <w:tcW w:w="834" w:type="dxa"/>
            <w:tcBorders>
              <w:top w:val="nil"/>
              <w:left w:val="single" w:sz="2" w:space="0" w:color="A6A6A6" w:themeColor="background1" w:themeShade="A6"/>
              <w:bottom w:val="nil"/>
              <w:right w:val="nil"/>
            </w:tcBorders>
            <w:shd w:val="clear" w:color="auto" w:fill="auto"/>
            <w:noWrap/>
            <w:vAlign w:val="center"/>
          </w:tcPr>
          <w:p w14:paraId="009EA055" w14:textId="4C8D12B6" w:rsidR="005B62C7" w:rsidRPr="004C7B3C" w:rsidRDefault="005B62C7" w:rsidP="00B727F7">
            <w:pPr>
              <w:spacing w:after="0" w:line="276" w:lineRule="auto"/>
              <w:jc w:val="center"/>
              <w:rPr>
                <w:rFonts w:cs="Arial"/>
                <w:sz w:val="16"/>
                <w:szCs w:val="16"/>
              </w:rPr>
            </w:pPr>
            <w:r w:rsidRPr="004C7B3C">
              <w:rPr>
                <w:rFonts w:cs="Arial"/>
                <w:sz w:val="16"/>
                <w:szCs w:val="16"/>
              </w:rPr>
              <w:t>2022</w:t>
            </w:r>
          </w:p>
        </w:tc>
        <w:tc>
          <w:tcPr>
            <w:tcW w:w="726" w:type="dxa"/>
            <w:tcBorders>
              <w:top w:val="nil"/>
              <w:left w:val="nil"/>
              <w:bottom w:val="nil"/>
              <w:right w:val="nil"/>
            </w:tcBorders>
            <w:shd w:val="clear" w:color="auto" w:fill="auto"/>
            <w:noWrap/>
            <w:vAlign w:val="center"/>
          </w:tcPr>
          <w:p w14:paraId="60799633" w14:textId="5B139E1E" w:rsidR="005B62C7" w:rsidRPr="004C7B3C" w:rsidRDefault="005B62C7" w:rsidP="00B727F7">
            <w:pPr>
              <w:spacing w:after="0" w:line="276" w:lineRule="auto"/>
              <w:jc w:val="right"/>
              <w:rPr>
                <w:rFonts w:cs="Arial"/>
                <w:sz w:val="16"/>
                <w:szCs w:val="16"/>
              </w:rPr>
            </w:pPr>
            <w:r w:rsidRPr="004C7B3C">
              <w:rPr>
                <w:rFonts w:cs="Arial"/>
                <w:sz w:val="16"/>
                <w:szCs w:val="16"/>
              </w:rPr>
              <w:t>1.773</w:t>
            </w:r>
          </w:p>
        </w:tc>
        <w:tc>
          <w:tcPr>
            <w:tcW w:w="924" w:type="dxa"/>
            <w:tcBorders>
              <w:top w:val="nil"/>
              <w:left w:val="nil"/>
              <w:bottom w:val="nil"/>
              <w:right w:val="nil"/>
            </w:tcBorders>
            <w:shd w:val="clear" w:color="auto" w:fill="auto"/>
            <w:noWrap/>
            <w:vAlign w:val="center"/>
          </w:tcPr>
          <w:p w14:paraId="3383FAA5" w14:textId="1AA5C21D" w:rsidR="005B62C7" w:rsidRPr="004C7B3C" w:rsidRDefault="005B62C7" w:rsidP="00B727F7">
            <w:pPr>
              <w:spacing w:after="0" w:line="276" w:lineRule="auto"/>
              <w:jc w:val="right"/>
              <w:rPr>
                <w:rFonts w:cs="Arial"/>
                <w:sz w:val="16"/>
                <w:szCs w:val="16"/>
              </w:rPr>
            </w:pPr>
            <w:r w:rsidRPr="004C7B3C">
              <w:rPr>
                <w:rFonts w:cs="Arial"/>
                <w:sz w:val="16"/>
                <w:szCs w:val="16"/>
              </w:rPr>
              <w:t>10.509</w:t>
            </w:r>
          </w:p>
        </w:tc>
        <w:tc>
          <w:tcPr>
            <w:tcW w:w="779" w:type="dxa"/>
            <w:tcBorders>
              <w:top w:val="nil"/>
              <w:left w:val="nil"/>
              <w:bottom w:val="nil"/>
              <w:right w:val="nil"/>
            </w:tcBorders>
            <w:shd w:val="clear" w:color="auto" w:fill="auto"/>
            <w:noWrap/>
            <w:vAlign w:val="center"/>
          </w:tcPr>
          <w:p w14:paraId="69336242" w14:textId="64148483" w:rsidR="005B62C7" w:rsidRPr="004C7B3C" w:rsidRDefault="005B62C7" w:rsidP="00B727F7">
            <w:pPr>
              <w:spacing w:after="0" w:line="276" w:lineRule="auto"/>
              <w:jc w:val="right"/>
              <w:rPr>
                <w:rFonts w:cs="Arial"/>
                <w:sz w:val="16"/>
                <w:szCs w:val="16"/>
              </w:rPr>
            </w:pPr>
            <w:r w:rsidRPr="004C7B3C">
              <w:rPr>
                <w:rFonts w:cs="Arial"/>
                <w:sz w:val="16"/>
                <w:szCs w:val="16"/>
              </w:rPr>
              <w:t>12.282</w:t>
            </w:r>
          </w:p>
        </w:tc>
        <w:tc>
          <w:tcPr>
            <w:tcW w:w="726" w:type="dxa"/>
            <w:tcBorders>
              <w:top w:val="nil"/>
              <w:left w:val="nil"/>
              <w:bottom w:val="nil"/>
              <w:right w:val="nil"/>
            </w:tcBorders>
            <w:shd w:val="clear" w:color="auto" w:fill="auto"/>
            <w:noWrap/>
            <w:vAlign w:val="center"/>
          </w:tcPr>
          <w:p w14:paraId="734D6167" w14:textId="022C755A" w:rsidR="005B62C7" w:rsidRPr="004C7B3C" w:rsidRDefault="005B62C7" w:rsidP="00B727F7">
            <w:pPr>
              <w:spacing w:after="0" w:line="276" w:lineRule="auto"/>
              <w:jc w:val="right"/>
              <w:rPr>
                <w:rFonts w:cs="Arial"/>
                <w:sz w:val="16"/>
                <w:szCs w:val="16"/>
              </w:rPr>
            </w:pPr>
            <w:r w:rsidRPr="004C7B3C">
              <w:rPr>
                <w:rFonts w:cs="Arial"/>
                <w:sz w:val="16"/>
                <w:szCs w:val="16"/>
              </w:rPr>
              <w:t>30</w:t>
            </w:r>
          </w:p>
        </w:tc>
        <w:tc>
          <w:tcPr>
            <w:tcW w:w="1069" w:type="dxa"/>
            <w:tcBorders>
              <w:top w:val="nil"/>
              <w:left w:val="nil"/>
              <w:bottom w:val="nil"/>
              <w:right w:val="nil"/>
            </w:tcBorders>
            <w:shd w:val="clear" w:color="auto" w:fill="auto"/>
            <w:noWrap/>
            <w:vAlign w:val="center"/>
          </w:tcPr>
          <w:p w14:paraId="7A9EAE0A" w14:textId="7E9EB66A" w:rsidR="005B62C7" w:rsidRPr="004C7B3C" w:rsidRDefault="005B62C7" w:rsidP="00B727F7">
            <w:pPr>
              <w:spacing w:after="0" w:line="276" w:lineRule="auto"/>
              <w:jc w:val="right"/>
              <w:rPr>
                <w:rFonts w:cs="Arial"/>
                <w:sz w:val="16"/>
                <w:szCs w:val="16"/>
              </w:rPr>
            </w:pPr>
            <w:r w:rsidRPr="004C7B3C">
              <w:rPr>
                <w:rFonts w:cs="Arial"/>
                <w:sz w:val="16"/>
                <w:szCs w:val="16"/>
              </w:rPr>
              <w:t>6.030</w:t>
            </w:r>
          </w:p>
        </w:tc>
        <w:tc>
          <w:tcPr>
            <w:tcW w:w="932" w:type="dxa"/>
            <w:tcBorders>
              <w:top w:val="nil"/>
              <w:left w:val="nil"/>
              <w:bottom w:val="nil"/>
              <w:right w:val="nil"/>
            </w:tcBorders>
            <w:shd w:val="clear" w:color="auto" w:fill="auto"/>
            <w:noWrap/>
            <w:vAlign w:val="center"/>
          </w:tcPr>
          <w:p w14:paraId="3487BF21" w14:textId="29C8ED9C" w:rsidR="005B62C7" w:rsidRPr="004C7B3C" w:rsidRDefault="005B62C7" w:rsidP="00B727F7">
            <w:pPr>
              <w:spacing w:after="0" w:line="276" w:lineRule="auto"/>
              <w:jc w:val="right"/>
              <w:rPr>
                <w:rFonts w:cs="Arial"/>
                <w:sz w:val="16"/>
                <w:szCs w:val="16"/>
              </w:rPr>
            </w:pPr>
            <w:r w:rsidRPr="004C7B3C">
              <w:rPr>
                <w:rFonts w:cs="Arial"/>
                <w:sz w:val="16"/>
                <w:szCs w:val="16"/>
              </w:rPr>
              <w:t>6.060</w:t>
            </w:r>
          </w:p>
        </w:tc>
        <w:tc>
          <w:tcPr>
            <w:tcW w:w="1152" w:type="dxa"/>
            <w:tcBorders>
              <w:top w:val="nil"/>
              <w:left w:val="nil"/>
              <w:bottom w:val="nil"/>
              <w:right w:val="nil"/>
            </w:tcBorders>
            <w:shd w:val="clear" w:color="auto" w:fill="auto"/>
            <w:noWrap/>
            <w:vAlign w:val="center"/>
          </w:tcPr>
          <w:p w14:paraId="56BC1474" w14:textId="1C502FD9" w:rsidR="005B62C7" w:rsidRPr="004C7B3C" w:rsidRDefault="005B62C7" w:rsidP="00B727F7">
            <w:pPr>
              <w:spacing w:after="0" w:line="276" w:lineRule="auto"/>
              <w:jc w:val="right"/>
              <w:rPr>
                <w:rFonts w:cs="Arial"/>
                <w:sz w:val="16"/>
                <w:szCs w:val="16"/>
              </w:rPr>
            </w:pPr>
            <w:r w:rsidRPr="004C7B3C">
              <w:rPr>
                <w:rFonts w:cs="Arial"/>
                <w:sz w:val="16"/>
                <w:szCs w:val="16"/>
              </w:rPr>
              <w:t>27</w:t>
            </w:r>
          </w:p>
        </w:tc>
        <w:tc>
          <w:tcPr>
            <w:tcW w:w="1159" w:type="dxa"/>
            <w:tcBorders>
              <w:top w:val="nil"/>
              <w:left w:val="nil"/>
              <w:bottom w:val="nil"/>
              <w:right w:val="nil"/>
            </w:tcBorders>
            <w:shd w:val="clear" w:color="auto" w:fill="auto"/>
            <w:noWrap/>
            <w:vAlign w:val="center"/>
          </w:tcPr>
          <w:p w14:paraId="08697A37" w14:textId="4B4857D2" w:rsidR="005B62C7" w:rsidRPr="004C7B3C" w:rsidRDefault="005B62C7" w:rsidP="00B727F7">
            <w:pPr>
              <w:spacing w:after="0" w:line="276" w:lineRule="auto"/>
              <w:jc w:val="right"/>
              <w:rPr>
                <w:rFonts w:cs="Arial"/>
                <w:sz w:val="16"/>
                <w:szCs w:val="16"/>
              </w:rPr>
            </w:pPr>
            <w:r w:rsidRPr="004C7B3C">
              <w:rPr>
                <w:rFonts w:cs="Arial"/>
                <w:sz w:val="16"/>
                <w:szCs w:val="16"/>
              </w:rPr>
              <w:t>6.087</w:t>
            </w:r>
          </w:p>
        </w:tc>
        <w:tc>
          <w:tcPr>
            <w:tcW w:w="911" w:type="dxa"/>
            <w:tcBorders>
              <w:top w:val="nil"/>
              <w:left w:val="nil"/>
              <w:bottom w:val="nil"/>
              <w:right w:val="single" w:sz="2" w:space="0" w:color="A6A6A6" w:themeColor="background1" w:themeShade="A6"/>
            </w:tcBorders>
            <w:shd w:val="clear" w:color="auto" w:fill="auto"/>
            <w:noWrap/>
            <w:vAlign w:val="center"/>
          </w:tcPr>
          <w:p w14:paraId="51823BD0" w14:textId="315DF1C6" w:rsidR="005B62C7" w:rsidRPr="004C7B3C" w:rsidRDefault="005B62C7" w:rsidP="00B727F7">
            <w:pPr>
              <w:spacing w:after="0" w:line="276" w:lineRule="auto"/>
              <w:jc w:val="right"/>
              <w:rPr>
                <w:rFonts w:cs="Arial"/>
                <w:sz w:val="16"/>
                <w:szCs w:val="16"/>
              </w:rPr>
            </w:pPr>
            <w:r w:rsidRPr="004C7B3C">
              <w:rPr>
                <w:rFonts w:cs="Arial"/>
                <w:sz w:val="16"/>
                <w:szCs w:val="16"/>
              </w:rPr>
              <w:t>18.369</w:t>
            </w:r>
          </w:p>
        </w:tc>
      </w:tr>
      <w:tr w:rsidR="005B62C7" w:rsidRPr="004C7B3C" w14:paraId="0084075D" w14:textId="77777777" w:rsidTr="00635793">
        <w:trPr>
          <w:cantSplit/>
          <w:trHeight w:val="238"/>
          <w:jc w:val="center"/>
        </w:trPr>
        <w:tc>
          <w:tcPr>
            <w:tcW w:w="834" w:type="dxa"/>
            <w:tcBorders>
              <w:top w:val="nil"/>
              <w:left w:val="single" w:sz="2" w:space="0" w:color="A6A6A6" w:themeColor="background1" w:themeShade="A6"/>
              <w:bottom w:val="nil"/>
              <w:right w:val="nil"/>
            </w:tcBorders>
            <w:shd w:val="clear" w:color="auto" w:fill="auto"/>
            <w:noWrap/>
            <w:vAlign w:val="center"/>
          </w:tcPr>
          <w:p w14:paraId="2E25B3E4" w14:textId="7C1114A3" w:rsidR="005B62C7" w:rsidRPr="004C7B3C" w:rsidRDefault="005B62C7" w:rsidP="00B727F7">
            <w:pPr>
              <w:spacing w:after="0" w:line="276" w:lineRule="auto"/>
              <w:jc w:val="center"/>
              <w:rPr>
                <w:rFonts w:cs="Arial"/>
                <w:sz w:val="16"/>
                <w:szCs w:val="16"/>
              </w:rPr>
            </w:pPr>
            <w:r w:rsidRPr="004C7B3C">
              <w:rPr>
                <w:rFonts w:cs="Arial"/>
                <w:sz w:val="16"/>
                <w:szCs w:val="16"/>
              </w:rPr>
              <w:t>2023</w:t>
            </w:r>
          </w:p>
        </w:tc>
        <w:tc>
          <w:tcPr>
            <w:tcW w:w="726" w:type="dxa"/>
            <w:tcBorders>
              <w:top w:val="nil"/>
              <w:left w:val="nil"/>
              <w:bottom w:val="nil"/>
              <w:right w:val="nil"/>
            </w:tcBorders>
            <w:shd w:val="clear" w:color="auto" w:fill="auto"/>
            <w:noWrap/>
            <w:vAlign w:val="center"/>
          </w:tcPr>
          <w:p w14:paraId="77730033" w14:textId="3651BE02" w:rsidR="005B62C7" w:rsidRPr="004C7B3C" w:rsidRDefault="005B62C7" w:rsidP="00B727F7">
            <w:pPr>
              <w:spacing w:after="0" w:line="276" w:lineRule="auto"/>
              <w:jc w:val="right"/>
              <w:rPr>
                <w:rFonts w:cs="Arial"/>
                <w:sz w:val="16"/>
                <w:szCs w:val="16"/>
              </w:rPr>
            </w:pPr>
            <w:r w:rsidRPr="004C7B3C">
              <w:rPr>
                <w:rFonts w:cs="Arial"/>
                <w:sz w:val="16"/>
                <w:szCs w:val="16"/>
              </w:rPr>
              <w:t>-12</w:t>
            </w:r>
          </w:p>
        </w:tc>
        <w:tc>
          <w:tcPr>
            <w:tcW w:w="924" w:type="dxa"/>
            <w:tcBorders>
              <w:top w:val="nil"/>
              <w:left w:val="nil"/>
              <w:bottom w:val="nil"/>
              <w:right w:val="nil"/>
            </w:tcBorders>
            <w:shd w:val="clear" w:color="auto" w:fill="auto"/>
            <w:noWrap/>
            <w:vAlign w:val="center"/>
          </w:tcPr>
          <w:p w14:paraId="11DBA495" w14:textId="78F311E3" w:rsidR="005B62C7" w:rsidRPr="004C7B3C" w:rsidRDefault="005B62C7" w:rsidP="00B727F7">
            <w:pPr>
              <w:spacing w:after="0" w:line="276" w:lineRule="auto"/>
              <w:jc w:val="right"/>
              <w:rPr>
                <w:rFonts w:cs="Arial"/>
                <w:sz w:val="16"/>
                <w:szCs w:val="16"/>
              </w:rPr>
            </w:pPr>
            <w:r w:rsidRPr="004C7B3C">
              <w:rPr>
                <w:rFonts w:cs="Arial"/>
                <w:sz w:val="16"/>
                <w:szCs w:val="16"/>
              </w:rPr>
              <w:t>13.959</w:t>
            </w:r>
          </w:p>
        </w:tc>
        <w:tc>
          <w:tcPr>
            <w:tcW w:w="779" w:type="dxa"/>
            <w:tcBorders>
              <w:top w:val="nil"/>
              <w:left w:val="nil"/>
              <w:bottom w:val="nil"/>
              <w:right w:val="nil"/>
            </w:tcBorders>
            <w:shd w:val="clear" w:color="auto" w:fill="auto"/>
            <w:noWrap/>
            <w:vAlign w:val="center"/>
          </w:tcPr>
          <w:p w14:paraId="3245ABF1" w14:textId="20023664" w:rsidR="005B62C7" w:rsidRPr="004C7B3C" w:rsidRDefault="005B62C7" w:rsidP="00B727F7">
            <w:pPr>
              <w:spacing w:after="0" w:line="276" w:lineRule="auto"/>
              <w:jc w:val="right"/>
              <w:rPr>
                <w:rFonts w:cs="Arial"/>
                <w:sz w:val="16"/>
                <w:szCs w:val="16"/>
              </w:rPr>
            </w:pPr>
            <w:r w:rsidRPr="004C7B3C">
              <w:rPr>
                <w:rFonts w:cs="Arial"/>
                <w:sz w:val="16"/>
                <w:szCs w:val="16"/>
              </w:rPr>
              <w:t>13.947</w:t>
            </w:r>
          </w:p>
        </w:tc>
        <w:tc>
          <w:tcPr>
            <w:tcW w:w="726" w:type="dxa"/>
            <w:tcBorders>
              <w:top w:val="nil"/>
              <w:left w:val="nil"/>
              <w:bottom w:val="nil"/>
              <w:right w:val="nil"/>
            </w:tcBorders>
            <w:shd w:val="clear" w:color="auto" w:fill="auto"/>
            <w:noWrap/>
            <w:vAlign w:val="center"/>
          </w:tcPr>
          <w:p w14:paraId="35E1FECA" w14:textId="0FED56CC" w:rsidR="005B62C7" w:rsidRPr="004C7B3C" w:rsidRDefault="005B62C7" w:rsidP="00B727F7">
            <w:pPr>
              <w:spacing w:after="0" w:line="276" w:lineRule="auto"/>
              <w:jc w:val="right"/>
              <w:rPr>
                <w:rFonts w:cs="Arial"/>
                <w:sz w:val="16"/>
                <w:szCs w:val="16"/>
              </w:rPr>
            </w:pPr>
            <w:r w:rsidRPr="004C7B3C">
              <w:rPr>
                <w:rFonts w:cs="Arial"/>
                <w:sz w:val="16"/>
                <w:szCs w:val="16"/>
              </w:rPr>
              <w:t>102</w:t>
            </w:r>
          </w:p>
        </w:tc>
        <w:tc>
          <w:tcPr>
            <w:tcW w:w="1069" w:type="dxa"/>
            <w:tcBorders>
              <w:top w:val="nil"/>
              <w:left w:val="nil"/>
              <w:bottom w:val="nil"/>
              <w:right w:val="nil"/>
            </w:tcBorders>
            <w:shd w:val="clear" w:color="auto" w:fill="auto"/>
            <w:noWrap/>
            <w:vAlign w:val="center"/>
          </w:tcPr>
          <w:p w14:paraId="39F854BD" w14:textId="1F2799FE" w:rsidR="005B62C7" w:rsidRPr="004C7B3C" w:rsidRDefault="005B62C7" w:rsidP="00B727F7">
            <w:pPr>
              <w:spacing w:after="0" w:line="276" w:lineRule="auto"/>
              <w:jc w:val="right"/>
              <w:rPr>
                <w:rFonts w:cs="Arial"/>
                <w:sz w:val="16"/>
                <w:szCs w:val="16"/>
              </w:rPr>
            </w:pPr>
            <w:r w:rsidRPr="004C7B3C">
              <w:rPr>
                <w:rFonts w:cs="Arial"/>
                <w:sz w:val="16"/>
                <w:szCs w:val="16"/>
              </w:rPr>
              <w:t>6.373</w:t>
            </w:r>
          </w:p>
        </w:tc>
        <w:tc>
          <w:tcPr>
            <w:tcW w:w="932" w:type="dxa"/>
            <w:tcBorders>
              <w:top w:val="nil"/>
              <w:left w:val="nil"/>
              <w:bottom w:val="nil"/>
              <w:right w:val="nil"/>
            </w:tcBorders>
            <w:shd w:val="clear" w:color="auto" w:fill="auto"/>
            <w:noWrap/>
            <w:vAlign w:val="center"/>
          </w:tcPr>
          <w:p w14:paraId="06D7A9D6" w14:textId="4D4B5C7F" w:rsidR="005B62C7" w:rsidRPr="004C7B3C" w:rsidRDefault="005B62C7" w:rsidP="00B727F7">
            <w:pPr>
              <w:spacing w:after="0" w:line="276" w:lineRule="auto"/>
              <w:jc w:val="right"/>
              <w:rPr>
                <w:rFonts w:cs="Arial"/>
                <w:sz w:val="16"/>
                <w:szCs w:val="16"/>
              </w:rPr>
            </w:pPr>
            <w:r w:rsidRPr="004C7B3C">
              <w:rPr>
                <w:rFonts w:cs="Arial"/>
                <w:sz w:val="16"/>
                <w:szCs w:val="16"/>
              </w:rPr>
              <w:t>6.475</w:t>
            </w:r>
          </w:p>
        </w:tc>
        <w:tc>
          <w:tcPr>
            <w:tcW w:w="1152" w:type="dxa"/>
            <w:tcBorders>
              <w:top w:val="nil"/>
              <w:left w:val="nil"/>
              <w:bottom w:val="nil"/>
              <w:right w:val="nil"/>
            </w:tcBorders>
            <w:shd w:val="clear" w:color="auto" w:fill="auto"/>
            <w:noWrap/>
            <w:vAlign w:val="center"/>
          </w:tcPr>
          <w:p w14:paraId="1A9B1BAF" w14:textId="5F2848F4" w:rsidR="005B62C7" w:rsidRPr="004C7B3C" w:rsidRDefault="005B62C7" w:rsidP="00B727F7">
            <w:pPr>
              <w:spacing w:after="0" w:line="276" w:lineRule="auto"/>
              <w:jc w:val="right"/>
              <w:rPr>
                <w:rFonts w:cs="Arial"/>
                <w:sz w:val="16"/>
                <w:szCs w:val="16"/>
              </w:rPr>
            </w:pPr>
            <w:r w:rsidRPr="004C7B3C">
              <w:rPr>
                <w:rFonts w:cs="Arial"/>
                <w:sz w:val="16"/>
                <w:szCs w:val="16"/>
              </w:rPr>
              <w:t>36</w:t>
            </w:r>
          </w:p>
        </w:tc>
        <w:tc>
          <w:tcPr>
            <w:tcW w:w="1159" w:type="dxa"/>
            <w:tcBorders>
              <w:top w:val="nil"/>
              <w:left w:val="nil"/>
              <w:bottom w:val="nil"/>
              <w:right w:val="nil"/>
            </w:tcBorders>
            <w:shd w:val="clear" w:color="auto" w:fill="auto"/>
            <w:noWrap/>
            <w:vAlign w:val="center"/>
          </w:tcPr>
          <w:p w14:paraId="4B81D11B" w14:textId="2783AA29" w:rsidR="005B62C7" w:rsidRPr="004C7B3C" w:rsidRDefault="005B62C7" w:rsidP="00B727F7">
            <w:pPr>
              <w:spacing w:after="0" w:line="276" w:lineRule="auto"/>
              <w:jc w:val="right"/>
              <w:rPr>
                <w:rFonts w:cs="Arial"/>
                <w:sz w:val="16"/>
                <w:szCs w:val="16"/>
              </w:rPr>
            </w:pPr>
            <w:r w:rsidRPr="004C7B3C">
              <w:rPr>
                <w:rFonts w:cs="Arial"/>
                <w:sz w:val="16"/>
                <w:szCs w:val="16"/>
              </w:rPr>
              <w:t>6.511</w:t>
            </w:r>
          </w:p>
        </w:tc>
        <w:tc>
          <w:tcPr>
            <w:tcW w:w="911" w:type="dxa"/>
            <w:tcBorders>
              <w:top w:val="nil"/>
              <w:left w:val="nil"/>
              <w:bottom w:val="nil"/>
              <w:right w:val="single" w:sz="2" w:space="0" w:color="A6A6A6" w:themeColor="background1" w:themeShade="A6"/>
            </w:tcBorders>
            <w:shd w:val="clear" w:color="auto" w:fill="auto"/>
            <w:noWrap/>
            <w:vAlign w:val="center"/>
          </w:tcPr>
          <w:p w14:paraId="4E3FCC0E" w14:textId="0123A17E" w:rsidR="005B62C7" w:rsidRPr="004C7B3C" w:rsidRDefault="005B62C7" w:rsidP="00B727F7">
            <w:pPr>
              <w:spacing w:after="0" w:line="276" w:lineRule="auto"/>
              <w:jc w:val="right"/>
              <w:rPr>
                <w:rFonts w:cs="Arial"/>
                <w:sz w:val="16"/>
                <w:szCs w:val="16"/>
              </w:rPr>
            </w:pPr>
            <w:r w:rsidRPr="004C7B3C">
              <w:rPr>
                <w:rFonts w:cs="Arial"/>
                <w:sz w:val="16"/>
                <w:szCs w:val="16"/>
              </w:rPr>
              <w:t>20.458</w:t>
            </w:r>
          </w:p>
        </w:tc>
      </w:tr>
      <w:tr w:rsidR="005B62C7" w:rsidRPr="004C7B3C" w14:paraId="60439BFF" w14:textId="77777777" w:rsidTr="00635793">
        <w:trPr>
          <w:cantSplit/>
          <w:trHeight w:val="238"/>
          <w:jc w:val="center"/>
        </w:trPr>
        <w:tc>
          <w:tcPr>
            <w:tcW w:w="834" w:type="dxa"/>
            <w:tcBorders>
              <w:top w:val="nil"/>
              <w:left w:val="single" w:sz="2" w:space="0" w:color="A6A6A6" w:themeColor="background1" w:themeShade="A6"/>
              <w:bottom w:val="nil"/>
              <w:right w:val="nil"/>
            </w:tcBorders>
            <w:shd w:val="clear" w:color="auto" w:fill="auto"/>
            <w:noWrap/>
            <w:vAlign w:val="center"/>
          </w:tcPr>
          <w:p w14:paraId="641B18D4" w14:textId="4EF713E6" w:rsidR="005B62C7" w:rsidRPr="004C7B3C" w:rsidRDefault="005B62C7" w:rsidP="00B727F7">
            <w:pPr>
              <w:spacing w:after="0" w:line="276" w:lineRule="auto"/>
              <w:jc w:val="center"/>
              <w:rPr>
                <w:rFonts w:cs="Arial"/>
                <w:sz w:val="16"/>
                <w:szCs w:val="16"/>
              </w:rPr>
            </w:pPr>
            <w:r w:rsidRPr="004C7B3C">
              <w:rPr>
                <w:rFonts w:cs="Arial"/>
                <w:sz w:val="16"/>
                <w:szCs w:val="16"/>
              </w:rPr>
              <w:t>2024</w:t>
            </w:r>
          </w:p>
        </w:tc>
        <w:tc>
          <w:tcPr>
            <w:tcW w:w="726" w:type="dxa"/>
            <w:tcBorders>
              <w:top w:val="nil"/>
              <w:left w:val="nil"/>
              <w:bottom w:val="nil"/>
              <w:right w:val="nil"/>
            </w:tcBorders>
            <w:shd w:val="clear" w:color="auto" w:fill="auto"/>
            <w:noWrap/>
            <w:vAlign w:val="center"/>
          </w:tcPr>
          <w:p w14:paraId="7E9476FF" w14:textId="77C33013" w:rsidR="005B62C7" w:rsidRPr="004C7B3C" w:rsidRDefault="005B62C7" w:rsidP="00B727F7">
            <w:pPr>
              <w:spacing w:after="0" w:line="276" w:lineRule="auto"/>
              <w:jc w:val="right"/>
              <w:rPr>
                <w:rFonts w:cs="Arial"/>
                <w:sz w:val="16"/>
                <w:szCs w:val="16"/>
              </w:rPr>
            </w:pPr>
            <w:r w:rsidRPr="004C7B3C">
              <w:rPr>
                <w:rFonts w:cs="Arial"/>
                <w:sz w:val="16"/>
                <w:szCs w:val="16"/>
              </w:rPr>
              <w:t>0</w:t>
            </w:r>
          </w:p>
        </w:tc>
        <w:tc>
          <w:tcPr>
            <w:tcW w:w="924" w:type="dxa"/>
            <w:tcBorders>
              <w:top w:val="nil"/>
              <w:left w:val="nil"/>
              <w:bottom w:val="nil"/>
              <w:right w:val="nil"/>
            </w:tcBorders>
            <w:shd w:val="clear" w:color="auto" w:fill="auto"/>
            <w:noWrap/>
            <w:vAlign w:val="center"/>
          </w:tcPr>
          <w:p w14:paraId="20A61537" w14:textId="1618462F" w:rsidR="005B62C7" w:rsidRPr="004C7B3C" w:rsidRDefault="005B62C7" w:rsidP="00B727F7">
            <w:pPr>
              <w:spacing w:after="0" w:line="276" w:lineRule="auto"/>
              <w:jc w:val="right"/>
              <w:rPr>
                <w:rFonts w:cs="Arial"/>
                <w:sz w:val="16"/>
                <w:szCs w:val="16"/>
              </w:rPr>
            </w:pPr>
            <w:r w:rsidRPr="004C7B3C">
              <w:rPr>
                <w:rFonts w:cs="Arial"/>
                <w:sz w:val="16"/>
                <w:szCs w:val="16"/>
              </w:rPr>
              <w:t>13.443</w:t>
            </w:r>
          </w:p>
        </w:tc>
        <w:tc>
          <w:tcPr>
            <w:tcW w:w="779" w:type="dxa"/>
            <w:tcBorders>
              <w:top w:val="nil"/>
              <w:left w:val="nil"/>
              <w:bottom w:val="nil"/>
              <w:right w:val="nil"/>
            </w:tcBorders>
            <w:shd w:val="clear" w:color="auto" w:fill="auto"/>
            <w:noWrap/>
            <w:vAlign w:val="center"/>
          </w:tcPr>
          <w:p w14:paraId="1E88AD22" w14:textId="3C494786" w:rsidR="005B62C7" w:rsidRPr="004C7B3C" w:rsidRDefault="005B62C7" w:rsidP="00B727F7">
            <w:pPr>
              <w:spacing w:after="0" w:line="276" w:lineRule="auto"/>
              <w:jc w:val="right"/>
              <w:rPr>
                <w:rFonts w:cs="Arial"/>
                <w:sz w:val="16"/>
                <w:szCs w:val="16"/>
              </w:rPr>
            </w:pPr>
            <w:r w:rsidRPr="004C7B3C">
              <w:rPr>
                <w:rFonts w:cs="Arial"/>
                <w:sz w:val="16"/>
                <w:szCs w:val="16"/>
              </w:rPr>
              <w:t>13.443</w:t>
            </w:r>
          </w:p>
        </w:tc>
        <w:tc>
          <w:tcPr>
            <w:tcW w:w="726" w:type="dxa"/>
            <w:tcBorders>
              <w:top w:val="nil"/>
              <w:left w:val="nil"/>
              <w:bottom w:val="nil"/>
              <w:right w:val="nil"/>
            </w:tcBorders>
            <w:shd w:val="clear" w:color="auto" w:fill="auto"/>
            <w:noWrap/>
            <w:vAlign w:val="center"/>
          </w:tcPr>
          <w:p w14:paraId="7C66B622" w14:textId="6249C056" w:rsidR="005B62C7" w:rsidRPr="004C7B3C" w:rsidRDefault="005B62C7" w:rsidP="00B727F7">
            <w:pPr>
              <w:spacing w:after="0" w:line="276" w:lineRule="auto"/>
              <w:jc w:val="right"/>
              <w:rPr>
                <w:rFonts w:cs="Arial"/>
                <w:sz w:val="16"/>
                <w:szCs w:val="16"/>
              </w:rPr>
            </w:pPr>
            <w:r w:rsidRPr="004C7B3C">
              <w:rPr>
                <w:rFonts w:cs="Arial"/>
                <w:sz w:val="16"/>
                <w:szCs w:val="16"/>
              </w:rPr>
              <w:t>112</w:t>
            </w:r>
          </w:p>
        </w:tc>
        <w:tc>
          <w:tcPr>
            <w:tcW w:w="1069" w:type="dxa"/>
            <w:tcBorders>
              <w:top w:val="nil"/>
              <w:left w:val="nil"/>
              <w:bottom w:val="nil"/>
              <w:right w:val="nil"/>
            </w:tcBorders>
            <w:shd w:val="clear" w:color="auto" w:fill="auto"/>
            <w:noWrap/>
            <w:vAlign w:val="center"/>
          </w:tcPr>
          <w:p w14:paraId="0B662CD1" w14:textId="42648938" w:rsidR="005B62C7" w:rsidRPr="004C7B3C" w:rsidRDefault="005B62C7" w:rsidP="00B727F7">
            <w:pPr>
              <w:spacing w:after="0" w:line="276" w:lineRule="auto"/>
              <w:jc w:val="right"/>
              <w:rPr>
                <w:rFonts w:cs="Arial"/>
                <w:sz w:val="16"/>
                <w:szCs w:val="16"/>
              </w:rPr>
            </w:pPr>
            <w:r w:rsidRPr="004C7B3C">
              <w:rPr>
                <w:rFonts w:cs="Arial"/>
                <w:sz w:val="16"/>
                <w:szCs w:val="16"/>
              </w:rPr>
              <w:t>6.933</w:t>
            </w:r>
          </w:p>
        </w:tc>
        <w:tc>
          <w:tcPr>
            <w:tcW w:w="932" w:type="dxa"/>
            <w:tcBorders>
              <w:top w:val="nil"/>
              <w:left w:val="nil"/>
              <w:bottom w:val="nil"/>
              <w:right w:val="nil"/>
            </w:tcBorders>
            <w:shd w:val="clear" w:color="auto" w:fill="auto"/>
            <w:noWrap/>
            <w:vAlign w:val="center"/>
          </w:tcPr>
          <w:p w14:paraId="69D20825" w14:textId="25F10B5A" w:rsidR="005B62C7" w:rsidRPr="004C7B3C" w:rsidRDefault="005B62C7" w:rsidP="00B727F7">
            <w:pPr>
              <w:spacing w:after="0" w:line="276" w:lineRule="auto"/>
              <w:jc w:val="right"/>
              <w:rPr>
                <w:rFonts w:cs="Arial"/>
                <w:sz w:val="16"/>
                <w:szCs w:val="16"/>
              </w:rPr>
            </w:pPr>
            <w:r w:rsidRPr="004C7B3C">
              <w:rPr>
                <w:rFonts w:cs="Arial"/>
                <w:sz w:val="16"/>
                <w:szCs w:val="16"/>
              </w:rPr>
              <w:t>7.045</w:t>
            </w:r>
          </w:p>
        </w:tc>
        <w:tc>
          <w:tcPr>
            <w:tcW w:w="1152" w:type="dxa"/>
            <w:tcBorders>
              <w:top w:val="nil"/>
              <w:left w:val="nil"/>
              <w:bottom w:val="nil"/>
              <w:right w:val="nil"/>
            </w:tcBorders>
            <w:shd w:val="clear" w:color="auto" w:fill="auto"/>
            <w:noWrap/>
            <w:vAlign w:val="center"/>
          </w:tcPr>
          <w:p w14:paraId="398F5274" w14:textId="2B4D45A7" w:rsidR="005B62C7" w:rsidRPr="004C7B3C" w:rsidRDefault="005B62C7" w:rsidP="00B727F7">
            <w:pPr>
              <w:spacing w:after="0" w:line="276" w:lineRule="auto"/>
              <w:jc w:val="right"/>
              <w:rPr>
                <w:rFonts w:cs="Arial"/>
                <w:sz w:val="16"/>
                <w:szCs w:val="16"/>
              </w:rPr>
            </w:pPr>
            <w:r w:rsidRPr="004C7B3C">
              <w:rPr>
                <w:rFonts w:cs="Arial"/>
                <w:sz w:val="16"/>
                <w:szCs w:val="16"/>
              </w:rPr>
              <w:t>33</w:t>
            </w:r>
          </w:p>
        </w:tc>
        <w:tc>
          <w:tcPr>
            <w:tcW w:w="1159" w:type="dxa"/>
            <w:tcBorders>
              <w:top w:val="nil"/>
              <w:left w:val="nil"/>
              <w:bottom w:val="nil"/>
              <w:right w:val="nil"/>
            </w:tcBorders>
            <w:shd w:val="clear" w:color="auto" w:fill="auto"/>
            <w:noWrap/>
            <w:vAlign w:val="center"/>
          </w:tcPr>
          <w:p w14:paraId="4A5AEBE8" w14:textId="4E75D5DC" w:rsidR="005B62C7" w:rsidRPr="004C7B3C" w:rsidRDefault="005B62C7" w:rsidP="00B727F7">
            <w:pPr>
              <w:spacing w:after="0" w:line="276" w:lineRule="auto"/>
              <w:jc w:val="right"/>
              <w:rPr>
                <w:rFonts w:cs="Arial"/>
                <w:sz w:val="16"/>
                <w:szCs w:val="16"/>
              </w:rPr>
            </w:pPr>
            <w:r w:rsidRPr="004C7B3C">
              <w:rPr>
                <w:rFonts w:cs="Arial"/>
                <w:sz w:val="16"/>
                <w:szCs w:val="16"/>
              </w:rPr>
              <w:t>7.078</w:t>
            </w:r>
          </w:p>
        </w:tc>
        <w:tc>
          <w:tcPr>
            <w:tcW w:w="911" w:type="dxa"/>
            <w:tcBorders>
              <w:top w:val="nil"/>
              <w:left w:val="nil"/>
              <w:bottom w:val="nil"/>
              <w:right w:val="single" w:sz="2" w:space="0" w:color="A6A6A6" w:themeColor="background1" w:themeShade="A6"/>
            </w:tcBorders>
            <w:shd w:val="clear" w:color="auto" w:fill="auto"/>
            <w:noWrap/>
            <w:vAlign w:val="center"/>
          </w:tcPr>
          <w:p w14:paraId="1D18ECDD" w14:textId="199A299F" w:rsidR="005B62C7" w:rsidRPr="004C7B3C" w:rsidRDefault="005B62C7" w:rsidP="00B727F7">
            <w:pPr>
              <w:spacing w:after="0" w:line="276" w:lineRule="auto"/>
              <w:jc w:val="right"/>
              <w:rPr>
                <w:rFonts w:cs="Arial"/>
                <w:sz w:val="16"/>
                <w:szCs w:val="16"/>
              </w:rPr>
            </w:pPr>
            <w:r w:rsidRPr="004C7B3C">
              <w:rPr>
                <w:rFonts w:cs="Arial"/>
                <w:sz w:val="16"/>
                <w:szCs w:val="16"/>
              </w:rPr>
              <w:t>20.521</w:t>
            </w:r>
          </w:p>
        </w:tc>
      </w:tr>
      <w:tr w:rsidR="005B62C7" w:rsidRPr="004C7B3C" w14:paraId="5F0713D7" w14:textId="77777777" w:rsidTr="00A246C9">
        <w:trPr>
          <w:cantSplit/>
          <w:trHeight w:val="253"/>
          <w:jc w:val="center"/>
        </w:trPr>
        <w:tc>
          <w:tcPr>
            <w:tcW w:w="834" w:type="dxa"/>
            <w:tcBorders>
              <w:top w:val="nil"/>
              <w:left w:val="single" w:sz="2" w:space="0" w:color="A6A6A6" w:themeColor="background1" w:themeShade="A6"/>
              <w:bottom w:val="single" w:sz="2" w:space="0" w:color="A6A6A6" w:themeColor="background1" w:themeShade="A6"/>
              <w:right w:val="nil"/>
            </w:tcBorders>
            <w:shd w:val="clear" w:color="auto" w:fill="auto"/>
            <w:noWrap/>
            <w:vAlign w:val="center"/>
          </w:tcPr>
          <w:p w14:paraId="1CC46AF1" w14:textId="4A3B844A" w:rsidR="005B62C7" w:rsidRPr="004C7B3C" w:rsidRDefault="005B62C7" w:rsidP="00B727F7">
            <w:pPr>
              <w:spacing w:after="0" w:line="276" w:lineRule="auto"/>
              <w:jc w:val="center"/>
              <w:rPr>
                <w:rFonts w:cs="Arial"/>
                <w:sz w:val="16"/>
                <w:szCs w:val="16"/>
              </w:rPr>
            </w:pPr>
            <w:r w:rsidRPr="004C7B3C">
              <w:rPr>
                <w:rFonts w:cs="Arial"/>
                <w:sz w:val="16"/>
                <w:szCs w:val="16"/>
              </w:rPr>
              <w:t>2025*</w:t>
            </w:r>
          </w:p>
        </w:tc>
        <w:tc>
          <w:tcPr>
            <w:tcW w:w="726" w:type="dxa"/>
            <w:tcBorders>
              <w:top w:val="nil"/>
              <w:left w:val="nil"/>
              <w:bottom w:val="single" w:sz="2" w:space="0" w:color="A6A6A6" w:themeColor="background1" w:themeShade="A6"/>
              <w:right w:val="nil"/>
            </w:tcBorders>
            <w:shd w:val="clear" w:color="auto" w:fill="auto"/>
            <w:noWrap/>
            <w:vAlign w:val="center"/>
          </w:tcPr>
          <w:p w14:paraId="36476935" w14:textId="684EE851" w:rsidR="005B62C7" w:rsidRPr="004C7B3C" w:rsidRDefault="005B62C7" w:rsidP="00B727F7">
            <w:pPr>
              <w:spacing w:after="0" w:line="276" w:lineRule="auto"/>
              <w:jc w:val="right"/>
              <w:rPr>
                <w:rFonts w:cs="Arial"/>
                <w:sz w:val="16"/>
                <w:szCs w:val="16"/>
              </w:rPr>
            </w:pPr>
            <w:r w:rsidRPr="004C7B3C">
              <w:rPr>
                <w:rFonts w:cs="Arial"/>
                <w:sz w:val="16"/>
                <w:szCs w:val="16"/>
              </w:rPr>
              <w:t>0</w:t>
            </w:r>
          </w:p>
        </w:tc>
        <w:tc>
          <w:tcPr>
            <w:tcW w:w="924" w:type="dxa"/>
            <w:tcBorders>
              <w:top w:val="nil"/>
              <w:left w:val="nil"/>
              <w:bottom w:val="single" w:sz="2" w:space="0" w:color="A6A6A6" w:themeColor="background1" w:themeShade="A6"/>
              <w:right w:val="nil"/>
            </w:tcBorders>
            <w:shd w:val="clear" w:color="auto" w:fill="auto"/>
            <w:noWrap/>
            <w:vAlign w:val="center"/>
          </w:tcPr>
          <w:p w14:paraId="6C9BDEEF" w14:textId="363358AC" w:rsidR="005B62C7" w:rsidRPr="004C7B3C" w:rsidRDefault="005B62C7" w:rsidP="00B727F7">
            <w:pPr>
              <w:spacing w:after="0" w:line="276" w:lineRule="auto"/>
              <w:jc w:val="right"/>
              <w:rPr>
                <w:rFonts w:cs="Arial"/>
                <w:sz w:val="16"/>
                <w:szCs w:val="16"/>
              </w:rPr>
            </w:pPr>
            <w:r w:rsidRPr="004C7B3C">
              <w:rPr>
                <w:rFonts w:cs="Arial"/>
                <w:sz w:val="16"/>
                <w:szCs w:val="16"/>
              </w:rPr>
              <w:t>12.686</w:t>
            </w:r>
          </w:p>
        </w:tc>
        <w:tc>
          <w:tcPr>
            <w:tcW w:w="779" w:type="dxa"/>
            <w:tcBorders>
              <w:top w:val="nil"/>
              <w:left w:val="nil"/>
              <w:bottom w:val="single" w:sz="2" w:space="0" w:color="A6A6A6" w:themeColor="background1" w:themeShade="A6"/>
              <w:right w:val="nil"/>
            </w:tcBorders>
            <w:shd w:val="clear" w:color="auto" w:fill="auto"/>
            <w:noWrap/>
            <w:vAlign w:val="center"/>
          </w:tcPr>
          <w:p w14:paraId="32C45802" w14:textId="6ADD91E1" w:rsidR="005B62C7" w:rsidRPr="004C7B3C" w:rsidRDefault="005B62C7" w:rsidP="00B727F7">
            <w:pPr>
              <w:spacing w:after="0" w:line="276" w:lineRule="auto"/>
              <w:jc w:val="right"/>
              <w:rPr>
                <w:rFonts w:cs="Arial"/>
                <w:sz w:val="16"/>
                <w:szCs w:val="16"/>
              </w:rPr>
            </w:pPr>
            <w:r w:rsidRPr="004C7B3C">
              <w:rPr>
                <w:rFonts w:cs="Arial"/>
                <w:sz w:val="16"/>
                <w:szCs w:val="16"/>
              </w:rPr>
              <w:t>12.686</w:t>
            </w:r>
          </w:p>
        </w:tc>
        <w:tc>
          <w:tcPr>
            <w:tcW w:w="726" w:type="dxa"/>
            <w:tcBorders>
              <w:top w:val="nil"/>
              <w:left w:val="nil"/>
              <w:bottom w:val="single" w:sz="2" w:space="0" w:color="A6A6A6" w:themeColor="background1" w:themeShade="A6"/>
              <w:right w:val="nil"/>
            </w:tcBorders>
            <w:shd w:val="clear" w:color="auto" w:fill="auto"/>
            <w:noWrap/>
            <w:vAlign w:val="center"/>
          </w:tcPr>
          <w:p w14:paraId="31710ED5" w14:textId="513244F2" w:rsidR="005B62C7" w:rsidRPr="004C7B3C" w:rsidRDefault="005B62C7" w:rsidP="00B727F7">
            <w:pPr>
              <w:spacing w:after="0" w:line="276" w:lineRule="auto"/>
              <w:jc w:val="right"/>
              <w:rPr>
                <w:rFonts w:cs="Arial"/>
                <w:sz w:val="16"/>
                <w:szCs w:val="16"/>
              </w:rPr>
            </w:pPr>
            <w:r w:rsidRPr="004C7B3C">
              <w:rPr>
                <w:rFonts w:cs="Arial"/>
                <w:sz w:val="16"/>
                <w:szCs w:val="16"/>
              </w:rPr>
              <w:t>85</w:t>
            </w:r>
          </w:p>
        </w:tc>
        <w:tc>
          <w:tcPr>
            <w:tcW w:w="1069" w:type="dxa"/>
            <w:tcBorders>
              <w:top w:val="nil"/>
              <w:left w:val="nil"/>
              <w:bottom w:val="single" w:sz="2" w:space="0" w:color="A6A6A6" w:themeColor="background1" w:themeShade="A6"/>
              <w:right w:val="nil"/>
            </w:tcBorders>
            <w:shd w:val="clear" w:color="auto" w:fill="auto"/>
            <w:noWrap/>
            <w:vAlign w:val="center"/>
          </w:tcPr>
          <w:p w14:paraId="5952CD81" w14:textId="108BDA73" w:rsidR="005B62C7" w:rsidRPr="004C7B3C" w:rsidRDefault="005B62C7" w:rsidP="00B727F7">
            <w:pPr>
              <w:spacing w:after="0" w:line="276" w:lineRule="auto"/>
              <w:jc w:val="right"/>
              <w:rPr>
                <w:rFonts w:cs="Arial"/>
                <w:sz w:val="16"/>
                <w:szCs w:val="16"/>
              </w:rPr>
            </w:pPr>
            <w:r w:rsidRPr="004C7B3C">
              <w:rPr>
                <w:rFonts w:cs="Arial"/>
                <w:sz w:val="16"/>
                <w:szCs w:val="16"/>
              </w:rPr>
              <w:t>7.786</w:t>
            </w:r>
          </w:p>
        </w:tc>
        <w:tc>
          <w:tcPr>
            <w:tcW w:w="932" w:type="dxa"/>
            <w:tcBorders>
              <w:top w:val="nil"/>
              <w:left w:val="nil"/>
              <w:bottom w:val="single" w:sz="2" w:space="0" w:color="A6A6A6" w:themeColor="background1" w:themeShade="A6"/>
              <w:right w:val="nil"/>
            </w:tcBorders>
            <w:shd w:val="clear" w:color="auto" w:fill="auto"/>
            <w:noWrap/>
            <w:vAlign w:val="center"/>
          </w:tcPr>
          <w:p w14:paraId="58A2BCAE" w14:textId="60481BC8" w:rsidR="005B62C7" w:rsidRPr="004C7B3C" w:rsidRDefault="005B62C7" w:rsidP="00B727F7">
            <w:pPr>
              <w:spacing w:after="0" w:line="276" w:lineRule="auto"/>
              <w:jc w:val="right"/>
              <w:rPr>
                <w:rFonts w:cs="Arial"/>
                <w:sz w:val="16"/>
                <w:szCs w:val="16"/>
              </w:rPr>
            </w:pPr>
            <w:r w:rsidRPr="004C7B3C">
              <w:rPr>
                <w:rFonts w:cs="Arial"/>
                <w:sz w:val="16"/>
                <w:szCs w:val="16"/>
              </w:rPr>
              <w:t>7.871</w:t>
            </w:r>
          </w:p>
        </w:tc>
        <w:tc>
          <w:tcPr>
            <w:tcW w:w="1152" w:type="dxa"/>
            <w:tcBorders>
              <w:top w:val="nil"/>
              <w:left w:val="nil"/>
              <w:bottom w:val="single" w:sz="2" w:space="0" w:color="A6A6A6" w:themeColor="background1" w:themeShade="A6"/>
              <w:right w:val="nil"/>
            </w:tcBorders>
            <w:shd w:val="clear" w:color="auto" w:fill="auto"/>
            <w:noWrap/>
            <w:vAlign w:val="center"/>
          </w:tcPr>
          <w:p w14:paraId="762D51D9" w14:textId="495EB5BA" w:rsidR="005B62C7" w:rsidRPr="004C7B3C" w:rsidRDefault="005B62C7" w:rsidP="00B727F7">
            <w:pPr>
              <w:spacing w:after="0" w:line="276" w:lineRule="auto"/>
              <w:jc w:val="right"/>
              <w:rPr>
                <w:rFonts w:cs="Arial"/>
                <w:sz w:val="16"/>
                <w:szCs w:val="16"/>
              </w:rPr>
            </w:pPr>
            <w:r w:rsidRPr="004C7B3C">
              <w:rPr>
                <w:rFonts w:cs="Arial"/>
                <w:sz w:val="16"/>
                <w:szCs w:val="16"/>
              </w:rPr>
              <w:t>35</w:t>
            </w:r>
          </w:p>
        </w:tc>
        <w:tc>
          <w:tcPr>
            <w:tcW w:w="1159" w:type="dxa"/>
            <w:tcBorders>
              <w:top w:val="nil"/>
              <w:left w:val="nil"/>
              <w:bottom w:val="single" w:sz="2" w:space="0" w:color="A6A6A6" w:themeColor="background1" w:themeShade="A6"/>
              <w:right w:val="nil"/>
            </w:tcBorders>
            <w:shd w:val="clear" w:color="auto" w:fill="auto"/>
            <w:noWrap/>
            <w:vAlign w:val="center"/>
          </w:tcPr>
          <w:p w14:paraId="43A9EE96" w14:textId="516E73E4" w:rsidR="005B62C7" w:rsidRPr="004C7B3C" w:rsidRDefault="005B62C7" w:rsidP="00B727F7">
            <w:pPr>
              <w:spacing w:after="0" w:line="276" w:lineRule="auto"/>
              <w:jc w:val="right"/>
              <w:rPr>
                <w:rFonts w:cs="Arial"/>
                <w:sz w:val="16"/>
                <w:szCs w:val="16"/>
              </w:rPr>
            </w:pPr>
            <w:r w:rsidRPr="004C7B3C">
              <w:rPr>
                <w:rFonts w:cs="Arial"/>
                <w:sz w:val="16"/>
                <w:szCs w:val="16"/>
              </w:rPr>
              <w:t>7.906</w:t>
            </w:r>
          </w:p>
        </w:tc>
        <w:tc>
          <w:tcPr>
            <w:tcW w:w="911" w:type="dxa"/>
            <w:tcBorders>
              <w:top w:val="nil"/>
              <w:left w:val="nil"/>
              <w:bottom w:val="single" w:sz="2" w:space="0" w:color="A6A6A6" w:themeColor="background1" w:themeShade="A6"/>
              <w:right w:val="single" w:sz="2" w:space="0" w:color="A6A6A6" w:themeColor="background1" w:themeShade="A6"/>
            </w:tcBorders>
            <w:shd w:val="clear" w:color="auto" w:fill="auto"/>
            <w:noWrap/>
            <w:vAlign w:val="center"/>
          </w:tcPr>
          <w:p w14:paraId="6932DAF7" w14:textId="1560CB12" w:rsidR="005B62C7" w:rsidRPr="004C7B3C" w:rsidRDefault="005B62C7" w:rsidP="00B727F7">
            <w:pPr>
              <w:spacing w:after="0" w:line="276" w:lineRule="auto"/>
              <w:jc w:val="right"/>
              <w:rPr>
                <w:rFonts w:cs="Arial"/>
                <w:sz w:val="16"/>
                <w:szCs w:val="16"/>
              </w:rPr>
            </w:pPr>
            <w:r w:rsidRPr="004C7B3C">
              <w:rPr>
                <w:rFonts w:cs="Arial"/>
                <w:sz w:val="16"/>
                <w:szCs w:val="16"/>
              </w:rPr>
              <w:t>20.592</w:t>
            </w:r>
          </w:p>
        </w:tc>
      </w:tr>
      <w:tr w:rsidR="008C4A8D" w:rsidRPr="00403DFC" w14:paraId="680FEC70" w14:textId="77777777" w:rsidTr="00A246C9">
        <w:trPr>
          <w:cantSplit/>
          <w:trHeight w:val="20"/>
          <w:jc w:val="center"/>
        </w:trPr>
        <w:tc>
          <w:tcPr>
            <w:tcW w:w="9212" w:type="dxa"/>
            <w:gridSpan w:val="10"/>
            <w:tcBorders>
              <w:top w:val="single" w:sz="2" w:space="0" w:color="A6A6A6" w:themeColor="background1" w:themeShade="A6"/>
            </w:tcBorders>
            <w:shd w:val="clear" w:color="auto" w:fill="auto"/>
            <w:noWrap/>
            <w:vAlign w:val="center"/>
            <w:hideMark/>
          </w:tcPr>
          <w:p w14:paraId="6E9A2B0E" w14:textId="77777777" w:rsidR="008C4A8D" w:rsidRDefault="008C4A8D" w:rsidP="00E6308E">
            <w:pPr>
              <w:spacing w:before="60" w:after="0" w:line="276" w:lineRule="auto"/>
              <w:rPr>
                <w:rFonts w:cs="Arial"/>
                <w:sz w:val="16"/>
                <w:szCs w:val="16"/>
              </w:rPr>
            </w:pPr>
            <w:r w:rsidRPr="008C4A8D">
              <w:rPr>
                <w:rFonts w:cs="Arial"/>
                <w:sz w:val="16"/>
                <w:szCs w:val="16"/>
              </w:rPr>
              <w:t>* Εκτιμήσεις</w:t>
            </w:r>
          </w:p>
          <w:p w14:paraId="5A1A08A3" w14:textId="19CF3378" w:rsidR="00E6308E" w:rsidRDefault="00E6308E" w:rsidP="00F151DE">
            <w:pPr>
              <w:spacing w:before="60" w:after="0" w:line="276" w:lineRule="auto"/>
              <w:ind w:left="284" w:hanging="284"/>
              <w:rPr>
                <w:rFonts w:cs="Arial"/>
                <w:sz w:val="16"/>
                <w:szCs w:val="16"/>
              </w:rPr>
            </w:pPr>
            <w:r w:rsidRPr="008C4A8D">
              <w:rPr>
                <w:rFonts w:cs="Arial"/>
                <w:sz w:val="16"/>
                <w:szCs w:val="16"/>
              </w:rPr>
              <w:t>Σημειώσεις:</w:t>
            </w:r>
          </w:p>
          <w:p w14:paraId="6E705C3F" w14:textId="77777777" w:rsidR="00E6308E" w:rsidRPr="008C4A8D" w:rsidRDefault="00E6308E" w:rsidP="00F151DE">
            <w:pPr>
              <w:tabs>
                <w:tab w:val="left" w:pos="284"/>
              </w:tabs>
              <w:spacing w:before="60" w:after="0" w:line="276" w:lineRule="auto"/>
              <w:ind w:left="284" w:hanging="284"/>
              <w:rPr>
                <w:rFonts w:cs="Arial"/>
                <w:sz w:val="16"/>
                <w:szCs w:val="16"/>
              </w:rPr>
            </w:pPr>
            <w:r>
              <w:rPr>
                <w:rFonts w:cs="Arial"/>
                <w:sz w:val="16"/>
                <w:szCs w:val="16"/>
              </w:rPr>
              <w:t>(</w:t>
            </w:r>
            <w:r w:rsidRPr="008C4A8D">
              <w:rPr>
                <w:rFonts w:cs="Arial"/>
                <w:sz w:val="16"/>
                <w:szCs w:val="16"/>
              </w:rPr>
              <w:t>α)</w:t>
            </w:r>
            <w:r>
              <w:rPr>
                <w:rFonts w:cs="Arial"/>
                <w:sz w:val="16"/>
                <w:szCs w:val="16"/>
              </w:rPr>
              <w:tab/>
            </w:r>
            <w:r w:rsidRPr="008C4A8D">
              <w:rPr>
                <w:rFonts w:cs="Arial"/>
                <w:sz w:val="16"/>
                <w:szCs w:val="16"/>
              </w:rPr>
              <w:t>Από το 2008 και εξής περιλαμβάνονται και οι δαπάνες προσαρμογών ESA 95.</w:t>
            </w:r>
          </w:p>
          <w:p w14:paraId="678FBD78" w14:textId="411D35B0" w:rsidR="00E6308E" w:rsidRPr="00AE64F9" w:rsidRDefault="00E6308E" w:rsidP="00F151DE">
            <w:pPr>
              <w:tabs>
                <w:tab w:val="left" w:pos="284"/>
              </w:tabs>
              <w:spacing w:before="60" w:after="0" w:line="276" w:lineRule="auto"/>
              <w:ind w:left="284" w:hanging="284"/>
              <w:rPr>
                <w:rFonts w:cs="Arial"/>
                <w:sz w:val="16"/>
                <w:szCs w:val="16"/>
              </w:rPr>
            </w:pPr>
            <w:r>
              <w:rPr>
                <w:rFonts w:cs="Arial"/>
                <w:sz w:val="16"/>
                <w:szCs w:val="16"/>
              </w:rPr>
              <w:t>(</w:t>
            </w:r>
            <w:r w:rsidRPr="008C4A8D">
              <w:rPr>
                <w:rFonts w:cs="Arial"/>
                <w:sz w:val="16"/>
                <w:szCs w:val="16"/>
              </w:rPr>
              <w:t>β)</w:t>
            </w:r>
            <w:r>
              <w:rPr>
                <w:rFonts w:cs="Arial"/>
                <w:sz w:val="16"/>
                <w:szCs w:val="16"/>
              </w:rPr>
              <w:tab/>
            </w:r>
            <w:r w:rsidRPr="008C4A8D">
              <w:rPr>
                <w:rFonts w:cs="Arial"/>
                <w:sz w:val="16"/>
                <w:szCs w:val="16"/>
              </w:rPr>
              <w:t xml:space="preserve">Δεν περιλαμβάνονται εξοφλήσεις βραχυπρόθεσμου χρέους (έντοκα γραμμάτια ιδιωτικού τομέα, βραχυπρόθεσμοι τίτλοι εξωτερικού, ταμειακές διευκολύνσεις και repos), οι οποίες εμφανίζονται </w:t>
            </w:r>
            <w:r w:rsidRPr="00AE64F9">
              <w:rPr>
                <w:rFonts w:cs="Arial"/>
                <w:sz w:val="16"/>
                <w:szCs w:val="16"/>
              </w:rPr>
              <w:t>κατωτέρω (</w:t>
            </w:r>
            <w:r w:rsidRPr="00AE64F9">
              <w:rPr>
                <w:rFonts w:cs="Arial"/>
                <w:sz w:val="16"/>
                <w:szCs w:val="16"/>
              </w:rPr>
              <w:fldChar w:fldCharType="begin"/>
            </w:r>
            <w:r w:rsidRPr="00AE64F9">
              <w:rPr>
                <w:rFonts w:cs="Arial"/>
                <w:sz w:val="16"/>
                <w:szCs w:val="16"/>
              </w:rPr>
              <w:instrText xml:space="preserve"> REF _Ref182657072 \h  \* MERGEFORMAT </w:instrText>
            </w:r>
            <w:r w:rsidRPr="00AE64F9">
              <w:rPr>
                <w:rFonts w:cs="Arial"/>
                <w:sz w:val="16"/>
                <w:szCs w:val="16"/>
              </w:rPr>
            </w:r>
            <w:r w:rsidRPr="00AE64F9">
              <w:rPr>
                <w:rFonts w:cs="Arial"/>
                <w:sz w:val="16"/>
                <w:szCs w:val="16"/>
              </w:rPr>
              <w:fldChar w:fldCharType="separate"/>
            </w:r>
            <w:r w:rsidR="00E15678" w:rsidRPr="00E15678">
              <w:rPr>
                <w:sz w:val="16"/>
                <w:szCs w:val="16"/>
              </w:rPr>
              <w:t>Πίνακας 4.8</w:t>
            </w:r>
            <w:r w:rsidRPr="00AE64F9">
              <w:rPr>
                <w:rFonts w:cs="Arial"/>
                <w:sz w:val="16"/>
                <w:szCs w:val="16"/>
              </w:rPr>
              <w:fldChar w:fldCharType="end"/>
            </w:r>
            <w:r w:rsidRPr="00AE64F9">
              <w:rPr>
                <w:rFonts w:cs="Arial"/>
                <w:sz w:val="16"/>
                <w:szCs w:val="16"/>
              </w:rPr>
              <w:t>.).</w:t>
            </w:r>
          </w:p>
          <w:p w14:paraId="106483AE" w14:textId="77777777" w:rsidR="00E6308E" w:rsidRDefault="00E6308E" w:rsidP="00F151DE">
            <w:pPr>
              <w:tabs>
                <w:tab w:val="left" w:pos="284"/>
              </w:tabs>
              <w:spacing w:before="60" w:after="0" w:line="276" w:lineRule="auto"/>
              <w:ind w:left="284" w:hanging="284"/>
              <w:rPr>
                <w:rFonts w:cs="Arial"/>
                <w:sz w:val="16"/>
                <w:szCs w:val="16"/>
              </w:rPr>
            </w:pPr>
            <w:r>
              <w:rPr>
                <w:rFonts w:cs="Arial"/>
                <w:sz w:val="16"/>
                <w:szCs w:val="16"/>
              </w:rPr>
              <w:t>(</w:t>
            </w:r>
            <w:r w:rsidRPr="008C4A8D">
              <w:rPr>
                <w:rFonts w:cs="Arial"/>
                <w:sz w:val="16"/>
                <w:szCs w:val="16"/>
              </w:rPr>
              <w:t>γ)</w:t>
            </w:r>
            <w:r>
              <w:rPr>
                <w:rFonts w:cs="Arial"/>
                <w:sz w:val="16"/>
                <w:szCs w:val="16"/>
              </w:rPr>
              <w:tab/>
            </w:r>
            <w:r w:rsidRPr="008C4A8D">
              <w:rPr>
                <w:rFonts w:cs="Arial"/>
                <w:sz w:val="16"/>
                <w:szCs w:val="16"/>
              </w:rPr>
              <w:t>Από το 2012 στις παράλληλες δαπάνες περιλαμβάνονται και προμήθειες εκταμίευσης δανείων από το ΕΤΧΣ</w:t>
            </w:r>
            <w:r>
              <w:rPr>
                <w:rFonts w:cs="Arial"/>
                <w:sz w:val="16"/>
                <w:szCs w:val="16"/>
              </w:rPr>
              <w:t>.</w:t>
            </w:r>
          </w:p>
          <w:p w14:paraId="7B1C70F1" w14:textId="07193CD4" w:rsidR="00E6308E" w:rsidRDefault="00E6308E" w:rsidP="00F151DE">
            <w:pPr>
              <w:tabs>
                <w:tab w:val="left" w:pos="284"/>
              </w:tabs>
              <w:spacing w:before="60" w:after="0" w:line="276" w:lineRule="auto"/>
              <w:ind w:left="284" w:hanging="284"/>
              <w:rPr>
                <w:rFonts w:cs="Arial"/>
                <w:sz w:val="16"/>
                <w:szCs w:val="16"/>
              </w:rPr>
            </w:pPr>
            <w:r>
              <w:rPr>
                <w:rFonts w:cs="Arial"/>
                <w:sz w:val="16"/>
                <w:szCs w:val="16"/>
              </w:rPr>
              <w:t>(</w:t>
            </w:r>
            <w:r w:rsidRPr="008C4A8D">
              <w:rPr>
                <w:rFonts w:cs="Arial"/>
                <w:sz w:val="16"/>
                <w:szCs w:val="16"/>
              </w:rPr>
              <w:t>δ)</w:t>
            </w:r>
            <w:r>
              <w:rPr>
                <w:rFonts w:cs="Arial"/>
                <w:sz w:val="16"/>
                <w:szCs w:val="16"/>
              </w:rPr>
              <w:tab/>
            </w:r>
            <w:r w:rsidRPr="008C4A8D">
              <w:rPr>
                <w:rFonts w:cs="Arial"/>
                <w:sz w:val="16"/>
                <w:szCs w:val="16"/>
              </w:rPr>
              <w:t>Οι δαπάνες είναι μετά swap.</w:t>
            </w:r>
          </w:p>
          <w:p w14:paraId="3B072BD8" w14:textId="7C638A50" w:rsidR="00E6308E" w:rsidRDefault="00E6308E" w:rsidP="00F151DE">
            <w:pPr>
              <w:tabs>
                <w:tab w:val="left" w:pos="284"/>
              </w:tabs>
              <w:spacing w:before="60" w:after="0" w:line="276" w:lineRule="auto"/>
              <w:ind w:left="284" w:hanging="284"/>
              <w:rPr>
                <w:rFonts w:cs="Arial"/>
                <w:sz w:val="16"/>
                <w:szCs w:val="16"/>
              </w:rPr>
            </w:pPr>
            <w:r>
              <w:rPr>
                <w:rFonts w:cs="Arial"/>
                <w:sz w:val="16"/>
                <w:szCs w:val="16"/>
              </w:rPr>
              <w:t>(</w:t>
            </w:r>
            <w:r w:rsidRPr="008C4A8D">
              <w:rPr>
                <w:rFonts w:cs="Arial"/>
                <w:sz w:val="16"/>
                <w:szCs w:val="16"/>
              </w:rPr>
              <w:t>ε)</w:t>
            </w:r>
            <w:r>
              <w:rPr>
                <w:rFonts w:cs="Arial"/>
                <w:sz w:val="16"/>
                <w:szCs w:val="16"/>
              </w:rPr>
              <w:tab/>
            </w:r>
            <w:r w:rsidRPr="008C4A8D">
              <w:rPr>
                <w:rFonts w:cs="Arial"/>
                <w:sz w:val="16"/>
                <w:szCs w:val="16"/>
              </w:rPr>
              <w:t>Η αύξηση των χρεολ</w:t>
            </w:r>
            <w:r>
              <w:rPr>
                <w:rFonts w:cs="Arial"/>
                <w:sz w:val="16"/>
                <w:szCs w:val="16"/>
              </w:rPr>
              <w:t>ύ</w:t>
            </w:r>
            <w:r w:rsidRPr="008C4A8D">
              <w:rPr>
                <w:rFonts w:cs="Arial"/>
                <w:sz w:val="16"/>
                <w:szCs w:val="16"/>
              </w:rPr>
              <w:t>σ</w:t>
            </w:r>
            <w:r>
              <w:rPr>
                <w:rFonts w:cs="Arial"/>
                <w:sz w:val="16"/>
                <w:szCs w:val="16"/>
              </w:rPr>
              <w:t>ι</w:t>
            </w:r>
            <w:r w:rsidRPr="008C4A8D">
              <w:rPr>
                <w:rFonts w:cs="Arial"/>
                <w:sz w:val="16"/>
                <w:szCs w:val="16"/>
              </w:rPr>
              <w:t>ων το 2017 οφείλεται στην εφαρμογή των βραχυπρόθεσμων μέτρων και στις ανταλλαγές ομολόγων.</w:t>
            </w:r>
          </w:p>
          <w:p w14:paraId="1FD27645" w14:textId="1D29C148" w:rsidR="00E6308E" w:rsidRPr="008C4A8D" w:rsidRDefault="00E6308E" w:rsidP="00F151DE">
            <w:pPr>
              <w:spacing w:before="60" w:after="0" w:line="276" w:lineRule="auto"/>
              <w:ind w:left="284" w:hanging="284"/>
              <w:rPr>
                <w:rFonts w:cs="Arial"/>
                <w:sz w:val="16"/>
                <w:szCs w:val="16"/>
              </w:rPr>
            </w:pPr>
            <w:r w:rsidRPr="008C4A8D">
              <w:rPr>
                <w:rFonts w:cs="Arial"/>
                <w:sz w:val="16"/>
                <w:szCs w:val="16"/>
              </w:rPr>
              <w:t>Πηγή: ΟΔΔΗΧ</w:t>
            </w:r>
          </w:p>
        </w:tc>
      </w:tr>
    </w:tbl>
    <w:p w14:paraId="133959B3" w14:textId="092BD3FF" w:rsidR="006E26D4" w:rsidRDefault="006E26D4" w:rsidP="003344F2">
      <w:pPr>
        <w:spacing w:before="240" w:after="240"/>
      </w:pPr>
      <w:r w:rsidRPr="004E7360">
        <w:t xml:space="preserve">Οι δαπάνες για </w:t>
      </w:r>
      <w:r w:rsidR="000B6BA3">
        <w:t xml:space="preserve">την </w:t>
      </w:r>
      <w:r w:rsidRPr="004E7360">
        <w:t xml:space="preserve">εξόφληση </w:t>
      </w:r>
      <w:r w:rsidR="000B6BA3">
        <w:t xml:space="preserve">των </w:t>
      </w:r>
      <w:r w:rsidRPr="004E7360">
        <w:t>βραχυπρόθεσμων τίτλων του Ελληνικού Δημοσίου, οι οποίες από το 2014 περιλαμβάνουν έντοκα γραμμάτια ιδιωτικού τομέα και repos, εκτιμάται ότι το 2025 θα διαμορφωθούν σε 1.602.361 εκατ. ευρώ έναντι 1.437.935 εκατ. ευρώ το 2024, ενώ το ανεξόφλητο υπόλοιπο αυτών το 2025 εκτιμάται ότι θα διαμορφωθεί σε 63.000 εκατ. ευρώ. Τα</w:t>
      </w:r>
      <w:r w:rsidRPr="002A1902">
        <w:t xml:space="preserve"> βραχυπρόθεσμα χρηματοοικονομικά εργαλεία δανεισμού υπόκεινται στη διαδικασία συνεχούς αναχρηματοδότησης (rollover) κατά τη διάρκεια ενός έτους</w:t>
      </w:r>
      <w:r w:rsidR="00452DBB">
        <w:t>,</w:t>
      </w:r>
      <w:r w:rsidRPr="002A1902">
        <w:t xml:space="preserve"> </w:t>
      </w:r>
      <w:r w:rsidR="000B6BA3">
        <w:t xml:space="preserve">με αποτέλεσμα </w:t>
      </w:r>
      <w:r w:rsidRPr="002A1902">
        <w:t xml:space="preserve">η ορθή αποτύπωση της πραγματικής εικόνας του νέου καθαρού δανεισμού </w:t>
      </w:r>
      <w:r w:rsidR="000B6BA3">
        <w:t xml:space="preserve">να </w:t>
      </w:r>
      <w:r w:rsidRPr="002A1902">
        <w:t xml:space="preserve">είναι εφικτή </w:t>
      </w:r>
      <w:r w:rsidR="000B6BA3">
        <w:t xml:space="preserve">κατόπιν του </w:t>
      </w:r>
      <w:r w:rsidRPr="002A1902">
        <w:t>συμψηφισμ</w:t>
      </w:r>
      <w:r w:rsidR="000B6BA3">
        <w:t>ού</w:t>
      </w:r>
      <w:r w:rsidRPr="002A1902">
        <w:t xml:space="preserve"> των λογαριασμών ταξινόμησης εξόδων και εσόδων. Ο βραχυπρόθεσμος δανεισμός διαμορφώνεται σύμφωνα με τις ταμειακές ανάγκες που προκύπτουν στη διάρκεια του έτους, ανανεώνεται και αναχρηματοδοτείται πολλές φορές μέσα στο έτος, ιδιαίτερα τα repos</w:t>
      </w:r>
      <w:r w:rsidR="000B6BA3">
        <w:t>,</w:t>
      </w:r>
      <w:r w:rsidRPr="002A1902">
        <w:t xml:space="preserve"> και ως εκ τούτου τόσο τα πιστωτικά έσοδα όσο και τα χρεολύσια (έξοδα) εμφανίζονται αυξημένα, χωρίς όμως να αντικατοπτρίζουν ουσιαστική μεταβολή στο ύψος του χρέους </w:t>
      </w:r>
      <w:r w:rsidRPr="00AE64F9">
        <w:t>(</w:t>
      </w:r>
      <w:r w:rsidR="003344F2" w:rsidRPr="00AE64F9">
        <w:fldChar w:fldCharType="begin"/>
      </w:r>
      <w:r w:rsidR="003344F2" w:rsidRPr="00AE64F9">
        <w:instrText xml:space="preserve"> REF _Ref182657072 \h  \* MERGEFORMAT </w:instrText>
      </w:r>
      <w:r w:rsidR="003344F2" w:rsidRPr="00AE64F9">
        <w:fldChar w:fldCharType="separate"/>
      </w:r>
      <w:r w:rsidR="00E15678" w:rsidRPr="00E15678">
        <w:t>Πίνακας 4.8</w:t>
      </w:r>
      <w:r w:rsidR="003344F2" w:rsidRPr="00AE64F9">
        <w:fldChar w:fldCharType="end"/>
      </w:r>
      <w:r w:rsidR="00517A55" w:rsidRPr="00AE64F9">
        <w:t>.</w:t>
      </w:r>
      <w:r w:rsidRPr="00AE64F9">
        <w:t>).</w:t>
      </w:r>
    </w:p>
    <w:p w14:paraId="5D9BA868" w14:textId="77777777" w:rsidR="00F65714" w:rsidRDefault="00F65714">
      <w:pPr>
        <w:spacing w:after="0" w:line="240" w:lineRule="auto"/>
        <w:jc w:val="left"/>
        <w:rPr>
          <w:szCs w:val="20"/>
          <w:highlight w:val="cyan"/>
        </w:rPr>
      </w:pPr>
      <w:r>
        <w:rPr>
          <w:szCs w:val="20"/>
          <w:highlight w:val="cyan"/>
        </w:rPr>
        <w:br w:type="page"/>
      </w:r>
    </w:p>
    <w:tbl>
      <w:tblPr>
        <w:tblW w:w="7688" w:type="dxa"/>
        <w:jc w:val="center"/>
        <w:tblLook w:val="04A0" w:firstRow="1" w:lastRow="0" w:firstColumn="1" w:lastColumn="0" w:noHBand="0" w:noVBand="1"/>
      </w:tblPr>
      <w:tblGrid>
        <w:gridCol w:w="1218"/>
        <w:gridCol w:w="992"/>
        <w:gridCol w:w="1182"/>
        <w:gridCol w:w="2180"/>
        <w:gridCol w:w="2116"/>
      </w:tblGrid>
      <w:tr w:rsidR="00FA550F" w:rsidRPr="00FD594B" w14:paraId="7162AB04" w14:textId="77777777" w:rsidTr="00B727F7">
        <w:trPr>
          <w:cantSplit/>
          <w:trHeight w:val="283"/>
          <w:jc w:val="center"/>
        </w:trPr>
        <w:tc>
          <w:tcPr>
            <w:tcW w:w="7688" w:type="dxa"/>
            <w:gridSpan w:val="5"/>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000000" w:fill="D5DCE4"/>
            <w:vAlign w:val="center"/>
            <w:hideMark/>
          </w:tcPr>
          <w:p w14:paraId="45413387" w14:textId="03A5C781" w:rsidR="00FA550F" w:rsidRPr="00FD594B" w:rsidRDefault="00FA550F" w:rsidP="00B727F7">
            <w:pPr>
              <w:spacing w:after="0" w:line="276" w:lineRule="auto"/>
              <w:jc w:val="center"/>
              <w:rPr>
                <w:rFonts w:cs="Arial"/>
                <w:b/>
                <w:bCs/>
                <w:sz w:val="18"/>
                <w:szCs w:val="18"/>
                <w:highlight w:val="yellow"/>
              </w:rPr>
            </w:pPr>
            <w:bookmarkStart w:id="718" w:name="_Ref182657072"/>
            <w:bookmarkStart w:id="719" w:name="_Toc214474114"/>
            <w:r w:rsidRPr="00A246C9">
              <w:rPr>
                <w:b/>
                <w:sz w:val="18"/>
                <w:szCs w:val="18"/>
              </w:rPr>
              <w:lastRenderedPageBreak/>
              <w:t>Πίνακας 4.</w:t>
            </w:r>
            <w:r w:rsidRPr="00A246C9">
              <w:rPr>
                <w:b/>
                <w:sz w:val="18"/>
                <w:szCs w:val="18"/>
              </w:rPr>
              <w:fldChar w:fldCharType="begin"/>
            </w:r>
            <w:r w:rsidRPr="00A246C9">
              <w:rPr>
                <w:b/>
                <w:sz w:val="18"/>
                <w:szCs w:val="18"/>
              </w:rPr>
              <w:instrText xml:space="preserve"> SEQ Πίνακας_4. \* ARABIC </w:instrText>
            </w:r>
            <w:r w:rsidRPr="00A246C9">
              <w:rPr>
                <w:b/>
                <w:sz w:val="18"/>
                <w:szCs w:val="18"/>
              </w:rPr>
              <w:fldChar w:fldCharType="separate"/>
            </w:r>
            <w:r w:rsidR="00E15678">
              <w:rPr>
                <w:b/>
                <w:noProof/>
                <w:sz w:val="18"/>
                <w:szCs w:val="18"/>
              </w:rPr>
              <w:t>8</w:t>
            </w:r>
            <w:r w:rsidRPr="00A246C9">
              <w:rPr>
                <w:b/>
                <w:sz w:val="18"/>
                <w:szCs w:val="18"/>
              </w:rPr>
              <w:fldChar w:fldCharType="end"/>
            </w:r>
            <w:bookmarkEnd w:id="718"/>
            <w:r w:rsidRPr="00A246C9">
              <w:rPr>
                <w:b/>
                <w:sz w:val="18"/>
                <w:szCs w:val="18"/>
              </w:rPr>
              <w:t>.</w:t>
            </w:r>
            <w:r w:rsidRPr="00A246C9">
              <w:rPr>
                <w:rFonts w:cs="Arial"/>
                <w:b/>
                <w:bCs/>
                <w:sz w:val="18"/>
                <w:szCs w:val="18"/>
              </w:rPr>
              <w:t>: Καθαρή</w:t>
            </w:r>
            <w:r w:rsidRPr="00A246C9">
              <w:rPr>
                <w:rFonts w:cs="Arial"/>
                <w:b/>
                <w:bCs/>
                <w:szCs w:val="18"/>
              </w:rPr>
              <w:t xml:space="preserve"> </w:t>
            </w:r>
            <w:r w:rsidRPr="00A246C9">
              <w:rPr>
                <w:rFonts w:cs="Arial"/>
                <w:b/>
                <w:bCs/>
                <w:sz w:val="18"/>
                <w:szCs w:val="18"/>
              </w:rPr>
              <w:t>επίπτωση του βραχυπρόθεσμου δανεισμού</w:t>
            </w:r>
            <w:r w:rsidRPr="00A246C9">
              <w:rPr>
                <w:rFonts w:cs="Arial"/>
                <w:b/>
                <w:bCs/>
                <w:sz w:val="18"/>
                <w:szCs w:val="18"/>
              </w:rPr>
              <w:br/>
              <w:t>(ΕΓΕΔ και Repos) στο χρέος (σε εκατ. ευρώ)</w:t>
            </w:r>
            <w:bookmarkEnd w:id="719"/>
          </w:p>
        </w:tc>
      </w:tr>
      <w:tr w:rsidR="00FA550F" w:rsidRPr="00FA550F" w14:paraId="1331D0B9" w14:textId="77777777" w:rsidTr="003344F2">
        <w:trPr>
          <w:cantSplit/>
          <w:trHeight w:val="230"/>
          <w:jc w:val="center"/>
        </w:trPr>
        <w:tc>
          <w:tcPr>
            <w:tcW w:w="1218" w:type="dxa"/>
            <w:vMerge w:val="restart"/>
            <w:tcBorders>
              <w:left w:val="single" w:sz="2" w:space="0" w:color="A6A6A6" w:themeColor="background1" w:themeShade="A6"/>
              <w:bottom w:val="single" w:sz="2" w:space="0" w:color="A6A6A6" w:themeColor="background1" w:themeShade="A6"/>
            </w:tcBorders>
            <w:shd w:val="clear" w:color="auto" w:fill="auto"/>
            <w:vAlign w:val="center"/>
            <w:hideMark/>
          </w:tcPr>
          <w:p w14:paraId="7147A4A6" w14:textId="77777777" w:rsidR="00FA550F" w:rsidRPr="00FA550F" w:rsidRDefault="00FA550F" w:rsidP="00B727F7">
            <w:pPr>
              <w:spacing w:after="0" w:line="276" w:lineRule="auto"/>
              <w:jc w:val="center"/>
              <w:rPr>
                <w:rFonts w:cs="Arial"/>
                <w:b/>
                <w:bCs/>
                <w:sz w:val="16"/>
                <w:szCs w:val="16"/>
              </w:rPr>
            </w:pPr>
            <w:r w:rsidRPr="00FA550F">
              <w:rPr>
                <w:rFonts w:cs="Arial"/>
                <w:b/>
                <w:bCs/>
                <w:sz w:val="16"/>
                <w:szCs w:val="16"/>
              </w:rPr>
              <w:t>Έτος</w:t>
            </w:r>
          </w:p>
        </w:tc>
        <w:tc>
          <w:tcPr>
            <w:tcW w:w="992" w:type="dxa"/>
            <w:vMerge w:val="restart"/>
            <w:tcBorders>
              <w:bottom w:val="single" w:sz="2" w:space="0" w:color="A6A6A6" w:themeColor="background1" w:themeShade="A6"/>
            </w:tcBorders>
            <w:shd w:val="clear" w:color="auto" w:fill="auto"/>
            <w:vAlign w:val="center"/>
            <w:hideMark/>
          </w:tcPr>
          <w:p w14:paraId="6484593B" w14:textId="77777777" w:rsidR="00FA550F" w:rsidRPr="00FA550F" w:rsidRDefault="00FA550F" w:rsidP="00B727F7">
            <w:pPr>
              <w:spacing w:after="0" w:line="276" w:lineRule="auto"/>
              <w:jc w:val="center"/>
              <w:rPr>
                <w:rFonts w:cs="Arial"/>
                <w:b/>
                <w:bCs/>
                <w:sz w:val="16"/>
                <w:szCs w:val="16"/>
              </w:rPr>
            </w:pPr>
            <w:r w:rsidRPr="00FA550F">
              <w:rPr>
                <w:rFonts w:cs="Arial"/>
                <w:b/>
                <w:bCs/>
                <w:sz w:val="16"/>
                <w:szCs w:val="16"/>
              </w:rPr>
              <w:t>Εκδόσεις</w:t>
            </w:r>
          </w:p>
        </w:tc>
        <w:tc>
          <w:tcPr>
            <w:tcW w:w="1182" w:type="dxa"/>
            <w:vMerge w:val="restart"/>
            <w:tcBorders>
              <w:bottom w:val="single" w:sz="2" w:space="0" w:color="A6A6A6" w:themeColor="background1" w:themeShade="A6"/>
            </w:tcBorders>
            <w:shd w:val="clear" w:color="auto" w:fill="auto"/>
            <w:vAlign w:val="center"/>
            <w:hideMark/>
          </w:tcPr>
          <w:p w14:paraId="4460200C" w14:textId="77777777" w:rsidR="00FA550F" w:rsidRPr="00FA550F" w:rsidRDefault="00FA550F" w:rsidP="00B727F7">
            <w:pPr>
              <w:spacing w:after="0" w:line="276" w:lineRule="auto"/>
              <w:jc w:val="center"/>
              <w:rPr>
                <w:rFonts w:cs="Arial"/>
                <w:b/>
                <w:bCs/>
                <w:sz w:val="16"/>
                <w:szCs w:val="16"/>
              </w:rPr>
            </w:pPr>
            <w:r w:rsidRPr="00FA550F">
              <w:rPr>
                <w:rFonts w:cs="Arial"/>
                <w:b/>
                <w:bCs/>
                <w:sz w:val="16"/>
                <w:szCs w:val="16"/>
              </w:rPr>
              <w:t>Εξοφλήσεις</w:t>
            </w:r>
          </w:p>
        </w:tc>
        <w:tc>
          <w:tcPr>
            <w:tcW w:w="2180" w:type="dxa"/>
            <w:vMerge w:val="restart"/>
            <w:tcBorders>
              <w:bottom w:val="single" w:sz="2" w:space="0" w:color="A6A6A6" w:themeColor="background1" w:themeShade="A6"/>
            </w:tcBorders>
            <w:shd w:val="clear" w:color="auto" w:fill="auto"/>
            <w:vAlign w:val="center"/>
            <w:hideMark/>
          </w:tcPr>
          <w:p w14:paraId="36BA509D" w14:textId="77777777" w:rsidR="00FA550F" w:rsidRPr="00FA550F" w:rsidRDefault="00FA550F" w:rsidP="00B727F7">
            <w:pPr>
              <w:spacing w:after="0" w:line="276" w:lineRule="auto"/>
              <w:jc w:val="center"/>
              <w:rPr>
                <w:rFonts w:cs="Arial"/>
                <w:b/>
                <w:bCs/>
                <w:sz w:val="16"/>
                <w:szCs w:val="16"/>
              </w:rPr>
            </w:pPr>
            <w:r w:rsidRPr="00FA550F">
              <w:rPr>
                <w:rFonts w:cs="Arial"/>
                <w:b/>
                <w:bCs/>
                <w:sz w:val="16"/>
                <w:szCs w:val="16"/>
              </w:rPr>
              <w:t>Διαφορά</w:t>
            </w:r>
            <w:r w:rsidRPr="00FA550F">
              <w:rPr>
                <w:rFonts w:cs="Arial"/>
                <w:b/>
                <w:bCs/>
                <w:sz w:val="16"/>
                <w:szCs w:val="16"/>
              </w:rPr>
              <w:br/>
              <w:t>(εκδόσεις - εξοφλήσεις)</w:t>
            </w:r>
          </w:p>
        </w:tc>
        <w:tc>
          <w:tcPr>
            <w:tcW w:w="2116" w:type="dxa"/>
            <w:vMerge w:val="restart"/>
            <w:tcBorders>
              <w:bottom w:val="single" w:sz="2" w:space="0" w:color="A6A6A6" w:themeColor="background1" w:themeShade="A6"/>
              <w:right w:val="single" w:sz="2" w:space="0" w:color="A6A6A6" w:themeColor="background1" w:themeShade="A6"/>
            </w:tcBorders>
            <w:shd w:val="clear" w:color="auto" w:fill="auto"/>
            <w:vAlign w:val="center"/>
            <w:hideMark/>
          </w:tcPr>
          <w:p w14:paraId="24B3723A" w14:textId="6E55C0B9" w:rsidR="00FA550F" w:rsidRPr="00FA550F" w:rsidRDefault="00FA550F" w:rsidP="00B727F7">
            <w:pPr>
              <w:spacing w:after="0" w:line="276" w:lineRule="auto"/>
              <w:jc w:val="center"/>
              <w:rPr>
                <w:rFonts w:cs="Arial"/>
                <w:b/>
                <w:bCs/>
                <w:sz w:val="16"/>
                <w:szCs w:val="16"/>
              </w:rPr>
            </w:pPr>
            <w:r w:rsidRPr="00FA550F">
              <w:rPr>
                <w:rFonts w:cs="Arial"/>
                <w:b/>
                <w:bCs/>
                <w:sz w:val="16"/>
                <w:szCs w:val="16"/>
              </w:rPr>
              <w:t xml:space="preserve">Ανεξόφλητο Υπόλοιπο </w:t>
            </w:r>
            <w:r w:rsidRPr="00734F23">
              <w:rPr>
                <w:rFonts w:cs="Arial"/>
                <w:b/>
                <w:bCs/>
                <w:sz w:val="16"/>
                <w:szCs w:val="16"/>
              </w:rPr>
              <w:t>31 - Δεκ.</w:t>
            </w:r>
          </w:p>
        </w:tc>
      </w:tr>
      <w:tr w:rsidR="00FA550F" w:rsidRPr="00FA550F" w14:paraId="5DA2D119" w14:textId="77777777" w:rsidTr="003344F2">
        <w:trPr>
          <w:cantSplit/>
          <w:trHeight w:val="230"/>
          <w:jc w:val="center"/>
        </w:trPr>
        <w:tc>
          <w:tcPr>
            <w:tcW w:w="1218" w:type="dxa"/>
            <w:vMerge/>
            <w:tcBorders>
              <w:left w:val="single" w:sz="2" w:space="0" w:color="A6A6A6" w:themeColor="background1" w:themeShade="A6"/>
              <w:bottom w:val="single" w:sz="2" w:space="0" w:color="A6A6A6" w:themeColor="background1" w:themeShade="A6"/>
            </w:tcBorders>
            <w:vAlign w:val="center"/>
            <w:hideMark/>
          </w:tcPr>
          <w:p w14:paraId="7920FEC7" w14:textId="77777777" w:rsidR="00FA550F" w:rsidRPr="00FA550F" w:rsidRDefault="00FA550F" w:rsidP="00B727F7">
            <w:pPr>
              <w:spacing w:after="0" w:line="276" w:lineRule="auto"/>
              <w:jc w:val="center"/>
              <w:rPr>
                <w:rFonts w:cs="Arial"/>
                <w:b/>
                <w:bCs/>
                <w:sz w:val="16"/>
                <w:szCs w:val="16"/>
              </w:rPr>
            </w:pPr>
          </w:p>
        </w:tc>
        <w:tc>
          <w:tcPr>
            <w:tcW w:w="992" w:type="dxa"/>
            <w:vMerge/>
            <w:tcBorders>
              <w:bottom w:val="single" w:sz="2" w:space="0" w:color="A6A6A6" w:themeColor="background1" w:themeShade="A6"/>
            </w:tcBorders>
            <w:vAlign w:val="center"/>
            <w:hideMark/>
          </w:tcPr>
          <w:p w14:paraId="01DB13A1" w14:textId="77777777" w:rsidR="00FA550F" w:rsidRPr="00FA550F" w:rsidRDefault="00FA550F" w:rsidP="00B727F7">
            <w:pPr>
              <w:spacing w:after="0" w:line="276" w:lineRule="auto"/>
              <w:jc w:val="left"/>
              <w:rPr>
                <w:rFonts w:cs="Arial"/>
                <w:b/>
                <w:bCs/>
                <w:sz w:val="16"/>
                <w:szCs w:val="16"/>
              </w:rPr>
            </w:pPr>
          </w:p>
        </w:tc>
        <w:tc>
          <w:tcPr>
            <w:tcW w:w="1182" w:type="dxa"/>
            <w:vMerge/>
            <w:tcBorders>
              <w:bottom w:val="single" w:sz="2" w:space="0" w:color="A6A6A6" w:themeColor="background1" w:themeShade="A6"/>
            </w:tcBorders>
            <w:vAlign w:val="center"/>
            <w:hideMark/>
          </w:tcPr>
          <w:p w14:paraId="4C8CBA5D" w14:textId="77777777" w:rsidR="00FA550F" w:rsidRPr="00FA550F" w:rsidRDefault="00FA550F" w:rsidP="00B727F7">
            <w:pPr>
              <w:spacing w:after="0" w:line="276" w:lineRule="auto"/>
              <w:jc w:val="left"/>
              <w:rPr>
                <w:rFonts w:cs="Arial"/>
                <w:b/>
                <w:bCs/>
                <w:sz w:val="16"/>
                <w:szCs w:val="16"/>
              </w:rPr>
            </w:pPr>
          </w:p>
        </w:tc>
        <w:tc>
          <w:tcPr>
            <w:tcW w:w="2180" w:type="dxa"/>
            <w:vMerge/>
            <w:tcBorders>
              <w:bottom w:val="single" w:sz="2" w:space="0" w:color="A6A6A6" w:themeColor="background1" w:themeShade="A6"/>
            </w:tcBorders>
            <w:vAlign w:val="center"/>
            <w:hideMark/>
          </w:tcPr>
          <w:p w14:paraId="4DD66870" w14:textId="77777777" w:rsidR="00FA550F" w:rsidRPr="00FA550F" w:rsidRDefault="00FA550F" w:rsidP="00B727F7">
            <w:pPr>
              <w:spacing w:after="0" w:line="276" w:lineRule="auto"/>
              <w:jc w:val="left"/>
              <w:rPr>
                <w:rFonts w:cs="Arial"/>
                <w:b/>
                <w:bCs/>
                <w:sz w:val="16"/>
                <w:szCs w:val="16"/>
              </w:rPr>
            </w:pPr>
          </w:p>
        </w:tc>
        <w:tc>
          <w:tcPr>
            <w:tcW w:w="2116" w:type="dxa"/>
            <w:vMerge/>
            <w:tcBorders>
              <w:bottom w:val="single" w:sz="2" w:space="0" w:color="A6A6A6" w:themeColor="background1" w:themeShade="A6"/>
              <w:right w:val="single" w:sz="2" w:space="0" w:color="A6A6A6" w:themeColor="background1" w:themeShade="A6"/>
            </w:tcBorders>
            <w:vAlign w:val="center"/>
            <w:hideMark/>
          </w:tcPr>
          <w:p w14:paraId="35717BB0" w14:textId="77777777" w:rsidR="00FA550F" w:rsidRPr="00FA550F" w:rsidRDefault="00FA550F" w:rsidP="00B727F7">
            <w:pPr>
              <w:spacing w:after="0" w:line="276" w:lineRule="auto"/>
              <w:jc w:val="left"/>
              <w:rPr>
                <w:rFonts w:cs="Arial"/>
                <w:b/>
                <w:bCs/>
                <w:sz w:val="16"/>
                <w:szCs w:val="16"/>
              </w:rPr>
            </w:pPr>
          </w:p>
        </w:tc>
      </w:tr>
      <w:tr w:rsidR="00A246C9" w:rsidRPr="00A246C9" w14:paraId="43A342DF" w14:textId="77777777" w:rsidTr="00B727F7">
        <w:trPr>
          <w:cantSplit/>
          <w:trHeight w:val="283"/>
          <w:jc w:val="center"/>
        </w:trPr>
        <w:tc>
          <w:tcPr>
            <w:tcW w:w="1218" w:type="dxa"/>
            <w:tcBorders>
              <w:top w:val="single" w:sz="2" w:space="0" w:color="A6A6A6" w:themeColor="background1" w:themeShade="A6"/>
              <w:left w:val="single" w:sz="2" w:space="0" w:color="A6A6A6" w:themeColor="background1" w:themeShade="A6"/>
            </w:tcBorders>
            <w:shd w:val="clear" w:color="auto" w:fill="auto"/>
            <w:noWrap/>
            <w:vAlign w:val="center"/>
          </w:tcPr>
          <w:p w14:paraId="4A3C94D5" w14:textId="4A485CD5" w:rsidR="00A246C9" w:rsidRPr="00A246C9" w:rsidRDefault="00A246C9" w:rsidP="00B727F7">
            <w:pPr>
              <w:spacing w:after="0" w:line="276" w:lineRule="auto"/>
              <w:jc w:val="center"/>
              <w:rPr>
                <w:rFonts w:cs="Arial"/>
                <w:sz w:val="16"/>
                <w:szCs w:val="16"/>
              </w:rPr>
            </w:pPr>
            <w:r w:rsidRPr="00A246C9">
              <w:rPr>
                <w:rFonts w:cs="Arial"/>
                <w:sz w:val="16"/>
                <w:szCs w:val="16"/>
              </w:rPr>
              <w:t>2016</w:t>
            </w:r>
          </w:p>
        </w:tc>
        <w:tc>
          <w:tcPr>
            <w:tcW w:w="992" w:type="dxa"/>
            <w:tcBorders>
              <w:top w:val="single" w:sz="2" w:space="0" w:color="A6A6A6" w:themeColor="background1" w:themeShade="A6"/>
            </w:tcBorders>
            <w:shd w:val="clear" w:color="auto" w:fill="auto"/>
            <w:noWrap/>
            <w:vAlign w:val="center"/>
          </w:tcPr>
          <w:p w14:paraId="112686AC" w14:textId="551E2321" w:rsidR="00A246C9" w:rsidRPr="00A246C9" w:rsidRDefault="00A246C9" w:rsidP="00B727F7">
            <w:pPr>
              <w:spacing w:after="0" w:line="276" w:lineRule="auto"/>
              <w:jc w:val="right"/>
              <w:rPr>
                <w:rFonts w:cs="Arial"/>
                <w:sz w:val="16"/>
                <w:szCs w:val="16"/>
              </w:rPr>
            </w:pPr>
            <w:r w:rsidRPr="00A246C9">
              <w:rPr>
                <w:rFonts w:cs="Arial"/>
                <w:sz w:val="16"/>
                <w:szCs w:val="16"/>
              </w:rPr>
              <w:t>532.682</w:t>
            </w:r>
          </w:p>
        </w:tc>
        <w:tc>
          <w:tcPr>
            <w:tcW w:w="1182" w:type="dxa"/>
            <w:tcBorders>
              <w:top w:val="single" w:sz="2" w:space="0" w:color="A6A6A6" w:themeColor="background1" w:themeShade="A6"/>
            </w:tcBorders>
            <w:shd w:val="clear" w:color="auto" w:fill="auto"/>
            <w:vAlign w:val="center"/>
          </w:tcPr>
          <w:p w14:paraId="0E093F6B" w14:textId="00369B55" w:rsidR="00A246C9" w:rsidRPr="00A246C9" w:rsidRDefault="00A246C9" w:rsidP="00B727F7">
            <w:pPr>
              <w:spacing w:after="0" w:line="276" w:lineRule="auto"/>
              <w:jc w:val="right"/>
              <w:rPr>
                <w:rFonts w:cs="Arial"/>
                <w:sz w:val="16"/>
                <w:szCs w:val="16"/>
              </w:rPr>
            </w:pPr>
            <w:r w:rsidRPr="00A246C9">
              <w:rPr>
                <w:rFonts w:cs="Arial"/>
                <w:sz w:val="16"/>
                <w:szCs w:val="16"/>
              </w:rPr>
              <w:t>531.263</w:t>
            </w:r>
          </w:p>
        </w:tc>
        <w:tc>
          <w:tcPr>
            <w:tcW w:w="2180" w:type="dxa"/>
            <w:tcBorders>
              <w:top w:val="single" w:sz="2" w:space="0" w:color="A6A6A6" w:themeColor="background1" w:themeShade="A6"/>
            </w:tcBorders>
            <w:shd w:val="clear" w:color="auto" w:fill="auto"/>
            <w:vAlign w:val="center"/>
          </w:tcPr>
          <w:p w14:paraId="13D29190" w14:textId="49F1C666" w:rsidR="00A246C9" w:rsidRPr="00A246C9" w:rsidRDefault="00A246C9" w:rsidP="00B727F7">
            <w:pPr>
              <w:spacing w:after="0" w:line="276" w:lineRule="auto"/>
              <w:jc w:val="right"/>
              <w:rPr>
                <w:rFonts w:cs="Arial"/>
                <w:sz w:val="16"/>
                <w:szCs w:val="16"/>
              </w:rPr>
            </w:pPr>
            <w:r w:rsidRPr="00A246C9">
              <w:rPr>
                <w:rFonts w:cs="Arial"/>
                <w:sz w:val="16"/>
                <w:szCs w:val="16"/>
              </w:rPr>
              <w:t>1.419</w:t>
            </w:r>
          </w:p>
        </w:tc>
        <w:tc>
          <w:tcPr>
            <w:tcW w:w="2116" w:type="dxa"/>
            <w:tcBorders>
              <w:top w:val="single" w:sz="2" w:space="0" w:color="A6A6A6" w:themeColor="background1" w:themeShade="A6"/>
              <w:right w:val="single" w:sz="2" w:space="0" w:color="A6A6A6" w:themeColor="background1" w:themeShade="A6"/>
            </w:tcBorders>
            <w:shd w:val="clear" w:color="auto" w:fill="auto"/>
            <w:vAlign w:val="center"/>
          </w:tcPr>
          <w:p w14:paraId="102702CE" w14:textId="5B550B93" w:rsidR="00A246C9" w:rsidRPr="00A246C9" w:rsidRDefault="00A246C9" w:rsidP="00B727F7">
            <w:pPr>
              <w:spacing w:after="0" w:line="276" w:lineRule="auto"/>
              <w:jc w:val="right"/>
              <w:rPr>
                <w:rFonts w:cs="Arial"/>
                <w:sz w:val="16"/>
                <w:szCs w:val="16"/>
              </w:rPr>
            </w:pPr>
            <w:r w:rsidRPr="00A246C9">
              <w:rPr>
                <w:rFonts w:cs="Arial"/>
                <w:sz w:val="16"/>
                <w:szCs w:val="16"/>
              </w:rPr>
              <w:t>26.252</w:t>
            </w:r>
          </w:p>
        </w:tc>
      </w:tr>
      <w:tr w:rsidR="00A246C9" w:rsidRPr="00A246C9" w14:paraId="461FE899" w14:textId="77777777" w:rsidTr="00B727F7">
        <w:trPr>
          <w:cantSplit/>
          <w:trHeight w:val="283"/>
          <w:jc w:val="center"/>
        </w:trPr>
        <w:tc>
          <w:tcPr>
            <w:tcW w:w="1218" w:type="dxa"/>
            <w:tcBorders>
              <w:left w:val="single" w:sz="2" w:space="0" w:color="A6A6A6" w:themeColor="background1" w:themeShade="A6"/>
            </w:tcBorders>
            <w:shd w:val="clear" w:color="auto" w:fill="auto"/>
            <w:noWrap/>
            <w:vAlign w:val="center"/>
          </w:tcPr>
          <w:p w14:paraId="69493B07" w14:textId="68A9EA6E" w:rsidR="00A246C9" w:rsidRPr="00A246C9" w:rsidRDefault="00A246C9" w:rsidP="00B727F7">
            <w:pPr>
              <w:spacing w:after="0" w:line="276" w:lineRule="auto"/>
              <w:jc w:val="center"/>
              <w:rPr>
                <w:rFonts w:cs="Arial"/>
                <w:sz w:val="16"/>
                <w:szCs w:val="16"/>
              </w:rPr>
            </w:pPr>
            <w:r w:rsidRPr="00A246C9">
              <w:rPr>
                <w:rFonts w:cs="Arial"/>
                <w:sz w:val="16"/>
                <w:szCs w:val="16"/>
              </w:rPr>
              <w:t>2017</w:t>
            </w:r>
          </w:p>
        </w:tc>
        <w:tc>
          <w:tcPr>
            <w:tcW w:w="992" w:type="dxa"/>
            <w:shd w:val="clear" w:color="auto" w:fill="auto"/>
            <w:noWrap/>
            <w:vAlign w:val="center"/>
          </w:tcPr>
          <w:p w14:paraId="396A6977" w14:textId="59936A9B" w:rsidR="00A246C9" w:rsidRPr="00A246C9" w:rsidRDefault="00A246C9" w:rsidP="00B727F7">
            <w:pPr>
              <w:spacing w:after="0" w:line="276" w:lineRule="auto"/>
              <w:jc w:val="right"/>
              <w:rPr>
                <w:rFonts w:cs="Arial"/>
                <w:sz w:val="16"/>
                <w:szCs w:val="16"/>
              </w:rPr>
            </w:pPr>
            <w:r w:rsidRPr="00A246C9">
              <w:rPr>
                <w:rFonts w:cs="Arial"/>
                <w:sz w:val="16"/>
                <w:szCs w:val="16"/>
              </w:rPr>
              <w:t>570.620</w:t>
            </w:r>
          </w:p>
        </w:tc>
        <w:tc>
          <w:tcPr>
            <w:tcW w:w="1182" w:type="dxa"/>
            <w:shd w:val="clear" w:color="auto" w:fill="auto"/>
            <w:vAlign w:val="center"/>
          </w:tcPr>
          <w:p w14:paraId="425CBF9D" w14:textId="076DA4B0" w:rsidR="00A246C9" w:rsidRPr="00A246C9" w:rsidRDefault="00A246C9" w:rsidP="00B727F7">
            <w:pPr>
              <w:spacing w:after="0" w:line="276" w:lineRule="auto"/>
              <w:jc w:val="right"/>
              <w:rPr>
                <w:rFonts w:cs="Arial"/>
                <w:sz w:val="16"/>
                <w:szCs w:val="16"/>
              </w:rPr>
            </w:pPr>
            <w:r w:rsidRPr="00A246C9">
              <w:rPr>
                <w:rFonts w:cs="Arial"/>
                <w:sz w:val="16"/>
                <w:szCs w:val="16"/>
              </w:rPr>
              <w:t>566.998</w:t>
            </w:r>
          </w:p>
        </w:tc>
        <w:tc>
          <w:tcPr>
            <w:tcW w:w="2180" w:type="dxa"/>
            <w:shd w:val="clear" w:color="auto" w:fill="auto"/>
            <w:vAlign w:val="center"/>
          </w:tcPr>
          <w:p w14:paraId="7B2FCB83" w14:textId="1453A864" w:rsidR="00A246C9" w:rsidRPr="00A246C9" w:rsidRDefault="00A246C9" w:rsidP="00B727F7">
            <w:pPr>
              <w:spacing w:after="0" w:line="276" w:lineRule="auto"/>
              <w:jc w:val="right"/>
              <w:rPr>
                <w:rFonts w:cs="Arial"/>
                <w:sz w:val="16"/>
                <w:szCs w:val="16"/>
              </w:rPr>
            </w:pPr>
            <w:r w:rsidRPr="00A246C9">
              <w:rPr>
                <w:rFonts w:cs="Arial"/>
                <w:sz w:val="16"/>
                <w:szCs w:val="16"/>
              </w:rPr>
              <w:t>3.622</w:t>
            </w:r>
          </w:p>
        </w:tc>
        <w:tc>
          <w:tcPr>
            <w:tcW w:w="2116" w:type="dxa"/>
            <w:tcBorders>
              <w:right w:val="single" w:sz="2" w:space="0" w:color="A6A6A6" w:themeColor="background1" w:themeShade="A6"/>
            </w:tcBorders>
            <w:shd w:val="clear" w:color="auto" w:fill="auto"/>
            <w:vAlign w:val="center"/>
          </w:tcPr>
          <w:p w14:paraId="739F6CDA" w14:textId="686FBD7F" w:rsidR="00A246C9" w:rsidRPr="00A246C9" w:rsidRDefault="00A246C9" w:rsidP="00B727F7">
            <w:pPr>
              <w:spacing w:after="0" w:line="276" w:lineRule="auto"/>
              <w:jc w:val="right"/>
              <w:rPr>
                <w:rFonts w:cs="Arial"/>
                <w:sz w:val="16"/>
                <w:szCs w:val="16"/>
              </w:rPr>
            </w:pPr>
            <w:r w:rsidRPr="00A246C9">
              <w:rPr>
                <w:rFonts w:cs="Arial"/>
                <w:sz w:val="16"/>
                <w:szCs w:val="16"/>
              </w:rPr>
              <w:t>29.874</w:t>
            </w:r>
          </w:p>
        </w:tc>
      </w:tr>
      <w:tr w:rsidR="00A246C9" w:rsidRPr="00A246C9" w14:paraId="58EA3079" w14:textId="77777777" w:rsidTr="00B727F7">
        <w:trPr>
          <w:cantSplit/>
          <w:trHeight w:val="283"/>
          <w:jc w:val="center"/>
        </w:trPr>
        <w:tc>
          <w:tcPr>
            <w:tcW w:w="1218" w:type="dxa"/>
            <w:tcBorders>
              <w:left w:val="single" w:sz="2" w:space="0" w:color="A6A6A6" w:themeColor="background1" w:themeShade="A6"/>
            </w:tcBorders>
            <w:shd w:val="clear" w:color="auto" w:fill="auto"/>
            <w:noWrap/>
            <w:vAlign w:val="center"/>
          </w:tcPr>
          <w:p w14:paraId="512B03BB" w14:textId="21C5A1AE" w:rsidR="00A246C9" w:rsidRPr="00A246C9" w:rsidRDefault="00A246C9" w:rsidP="00B727F7">
            <w:pPr>
              <w:spacing w:after="0" w:line="276" w:lineRule="auto"/>
              <w:jc w:val="center"/>
              <w:rPr>
                <w:rFonts w:cs="Arial"/>
                <w:sz w:val="16"/>
                <w:szCs w:val="16"/>
              </w:rPr>
            </w:pPr>
            <w:r w:rsidRPr="00A246C9">
              <w:rPr>
                <w:rFonts w:cs="Arial"/>
                <w:sz w:val="16"/>
                <w:szCs w:val="16"/>
              </w:rPr>
              <w:t>2018</w:t>
            </w:r>
          </w:p>
        </w:tc>
        <w:tc>
          <w:tcPr>
            <w:tcW w:w="992" w:type="dxa"/>
            <w:shd w:val="clear" w:color="auto" w:fill="auto"/>
            <w:noWrap/>
            <w:vAlign w:val="center"/>
          </w:tcPr>
          <w:p w14:paraId="7A3B0814" w14:textId="35D8634F" w:rsidR="00A246C9" w:rsidRPr="00A246C9" w:rsidRDefault="00A246C9" w:rsidP="00B727F7">
            <w:pPr>
              <w:spacing w:after="0" w:line="276" w:lineRule="auto"/>
              <w:jc w:val="right"/>
              <w:rPr>
                <w:rFonts w:cs="Arial"/>
                <w:sz w:val="16"/>
                <w:szCs w:val="16"/>
              </w:rPr>
            </w:pPr>
            <w:r w:rsidRPr="00A246C9">
              <w:rPr>
                <w:rFonts w:cs="Arial"/>
                <w:sz w:val="16"/>
                <w:szCs w:val="16"/>
              </w:rPr>
              <w:t>817.199</w:t>
            </w:r>
          </w:p>
        </w:tc>
        <w:tc>
          <w:tcPr>
            <w:tcW w:w="1182" w:type="dxa"/>
            <w:shd w:val="clear" w:color="auto" w:fill="auto"/>
            <w:vAlign w:val="center"/>
          </w:tcPr>
          <w:p w14:paraId="45B1DDBA" w14:textId="49669209" w:rsidR="00A246C9" w:rsidRPr="00A246C9" w:rsidRDefault="00A246C9" w:rsidP="00B727F7">
            <w:pPr>
              <w:spacing w:after="0" w:line="276" w:lineRule="auto"/>
              <w:jc w:val="right"/>
              <w:rPr>
                <w:rFonts w:cs="Arial"/>
                <w:sz w:val="16"/>
                <w:szCs w:val="16"/>
              </w:rPr>
            </w:pPr>
            <w:r w:rsidRPr="00A246C9">
              <w:rPr>
                <w:rFonts w:cs="Arial"/>
                <w:sz w:val="16"/>
                <w:szCs w:val="16"/>
              </w:rPr>
              <w:t>807.272</w:t>
            </w:r>
          </w:p>
        </w:tc>
        <w:tc>
          <w:tcPr>
            <w:tcW w:w="2180" w:type="dxa"/>
            <w:shd w:val="clear" w:color="auto" w:fill="auto"/>
            <w:vAlign w:val="center"/>
          </w:tcPr>
          <w:p w14:paraId="53940927" w14:textId="7EFD2FEB" w:rsidR="00A246C9" w:rsidRPr="00A246C9" w:rsidRDefault="00A246C9" w:rsidP="00B727F7">
            <w:pPr>
              <w:spacing w:after="0" w:line="276" w:lineRule="auto"/>
              <w:jc w:val="right"/>
              <w:rPr>
                <w:rFonts w:cs="Arial"/>
                <w:sz w:val="16"/>
                <w:szCs w:val="16"/>
              </w:rPr>
            </w:pPr>
            <w:r w:rsidRPr="00A246C9">
              <w:rPr>
                <w:rFonts w:cs="Arial"/>
                <w:sz w:val="16"/>
                <w:szCs w:val="16"/>
              </w:rPr>
              <w:t>9.927</w:t>
            </w:r>
          </w:p>
        </w:tc>
        <w:tc>
          <w:tcPr>
            <w:tcW w:w="2116" w:type="dxa"/>
            <w:tcBorders>
              <w:right w:val="single" w:sz="2" w:space="0" w:color="A6A6A6" w:themeColor="background1" w:themeShade="A6"/>
            </w:tcBorders>
            <w:shd w:val="clear" w:color="auto" w:fill="auto"/>
            <w:vAlign w:val="center"/>
          </w:tcPr>
          <w:p w14:paraId="712FFC2D" w14:textId="5224439B" w:rsidR="00A246C9" w:rsidRPr="00A246C9" w:rsidRDefault="00A246C9" w:rsidP="00B727F7">
            <w:pPr>
              <w:spacing w:after="0" w:line="276" w:lineRule="auto"/>
              <w:jc w:val="right"/>
              <w:rPr>
                <w:rFonts w:cs="Arial"/>
                <w:sz w:val="16"/>
                <w:szCs w:val="16"/>
              </w:rPr>
            </w:pPr>
            <w:r w:rsidRPr="00A246C9">
              <w:rPr>
                <w:rFonts w:cs="Arial"/>
                <w:sz w:val="16"/>
                <w:szCs w:val="16"/>
              </w:rPr>
              <w:t>39.801</w:t>
            </w:r>
          </w:p>
        </w:tc>
      </w:tr>
      <w:tr w:rsidR="00A246C9" w:rsidRPr="00A246C9" w14:paraId="46B8ED2C" w14:textId="77777777" w:rsidTr="00B727F7">
        <w:trPr>
          <w:cantSplit/>
          <w:trHeight w:val="283"/>
          <w:jc w:val="center"/>
        </w:trPr>
        <w:tc>
          <w:tcPr>
            <w:tcW w:w="1218" w:type="dxa"/>
            <w:tcBorders>
              <w:left w:val="single" w:sz="2" w:space="0" w:color="A6A6A6" w:themeColor="background1" w:themeShade="A6"/>
            </w:tcBorders>
            <w:shd w:val="clear" w:color="auto" w:fill="auto"/>
            <w:noWrap/>
            <w:vAlign w:val="center"/>
          </w:tcPr>
          <w:p w14:paraId="2B5281FA" w14:textId="54426740" w:rsidR="00A246C9" w:rsidRPr="00A246C9" w:rsidRDefault="00A246C9" w:rsidP="00B727F7">
            <w:pPr>
              <w:spacing w:after="0" w:line="276" w:lineRule="auto"/>
              <w:jc w:val="center"/>
              <w:rPr>
                <w:rFonts w:cs="Arial"/>
                <w:sz w:val="16"/>
                <w:szCs w:val="16"/>
              </w:rPr>
            </w:pPr>
            <w:r w:rsidRPr="00A246C9">
              <w:rPr>
                <w:rFonts w:cs="Arial"/>
                <w:sz w:val="16"/>
                <w:szCs w:val="16"/>
              </w:rPr>
              <w:t>2019</w:t>
            </w:r>
          </w:p>
        </w:tc>
        <w:tc>
          <w:tcPr>
            <w:tcW w:w="992" w:type="dxa"/>
            <w:shd w:val="clear" w:color="auto" w:fill="auto"/>
            <w:noWrap/>
            <w:vAlign w:val="center"/>
          </w:tcPr>
          <w:p w14:paraId="17511C81" w14:textId="127FE934" w:rsidR="00A246C9" w:rsidRPr="00A246C9" w:rsidRDefault="00A246C9" w:rsidP="00B727F7">
            <w:pPr>
              <w:spacing w:after="0" w:line="276" w:lineRule="auto"/>
              <w:jc w:val="right"/>
              <w:rPr>
                <w:rFonts w:cs="Arial"/>
                <w:sz w:val="16"/>
                <w:szCs w:val="16"/>
              </w:rPr>
            </w:pPr>
            <w:r w:rsidRPr="00A246C9">
              <w:rPr>
                <w:rFonts w:cs="Arial"/>
                <w:sz w:val="16"/>
                <w:szCs w:val="16"/>
              </w:rPr>
              <w:t>1.089.619</w:t>
            </w:r>
          </w:p>
        </w:tc>
        <w:tc>
          <w:tcPr>
            <w:tcW w:w="1182" w:type="dxa"/>
            <w:shd w:val="clear" w:color="auto" w:fill="auto"/>
            <w:vAlign w:val="center"/>
          </w:tcPr>
          <w:p w14:paraId="1DBF3BAF" w14:textId="50223965" w:rsidR="00A246C9" w:rsidRPr="00A246C9" w:rsidRDefault="00A246C9" w:rsidP="00B727F7">
            <w:pPr>
              <w:spacing w:after="0" w:line="276" w:lineRule="auto"/>
              <w:jc w:val="right"/>
              <w:rPr>
                <w:rFonts w:cs="Arial"/>
                <w:sz w:val="16"/>
                <w:szCs w:val="16"/>
              </w:rPr>
            </w:pPr>
            <w:r w:rsidRPr="00A246C9">
              <w:rPr>
                <w:rFonts w:cs="Arial"/>
                <w:sz w:val="16"/>
                <w:szCs w:val="16"/>
              </w:rPr>
              <w:t>1.087.904</w:t>
            </w:r>
          </w:p>
        </w:tc>
        <w:tc>
          <w:tcPr>
            <w:tcW w:w="2180" w:type="dxa"/>
            <w:shd w:val="clear" w:color="auto" w:fill="auto"/>
            <w:vAlign w:val="center"/>
          </w:tcPr>
          <w:p w14:paraId="4C61729A" w14:textId="4C00B8CC" w:rsidR="00A246C9" w:rsidRPr="00A246C9" w:rsidRDefault="00A246C9" w:rsidP="00B727F7">
            <w:pPr>
              <w:spacing w:after="0" w:line="276" w:lineRule="auto"/>
              <w:jc w:val="right"/>
              <w:rPr>
                <w:rFonts w:cs="Arial"/>
                <w:sz w:val="16"/>
                <w:szCs w:val="16"/>
              </w:rPr>
            </w:pPr>
            <w:r w:rsidRPr="00A246C9">
              <w:rPr>
                <w:rFonts w:cs="Arial"/>
                <w:sz w:val="16"/>
                <w:szCs w:val="16"/>
              </w:rPr>
              <w:t>1.715</w:t>
            </w:r>
          </w:p>
        </w:tc>
        <w:tc>
          <w:tcPr>
            <w:tcW w:w="2116" w:type="dxa"/>
            <w:tcBorders>
              <w:right w:val="single" w:sz="2" w:space="0" w:color="A6A6A6" w:themeColor="background1" w:themeShade="A6"/>
            </w:tcBorders>
            <w:shd w:val="clear" w:color="auto" w:fill="auto"/>
            <w:vAlign w:val="center"/>
          </w:tcPr>
          <w:p w14:paraId="51766977" w14:textId="52BE5388" w:rsidR="00A246C9" w:rsidRPr="00A246C9" w:rsidRDefault="00A246C9" w:rsidP="00B727F7">
            <w:pPr>
              <w:spacing w:after="0" w:line="276" w:lineRule="auto"/>
              <w:jc w:val="right"/>
              <w:rPr>
                <w:rFonts w:cs="Arial"/>
                <w:sz w:val="16"/>
                <w:szCs w:val="16"/>
              </w:rPr>
            </w:pPr>
            <w:r w:rsidRPr="00A246C9">
              <w:rPr>
                <w:rFonts w:cs="Arial"/>
                <w:sz w:val="16"/>
                <w:szCs w:val="16"/>
              </w:rPr>
              <w:t>41.516</w:t>
            </w:r>
          </w:p>
        </w:tc>
      </w:tr>
      <w:tr w:rsidR="00A246C9" w:rsidRPr="00A246C9" w14:paraId="55AFD1BF" w14:textId="77777777" w:rsidTr="00B727F7">
        <w:trPr>
          <w:cantSplit/>
          <w:trHeight w:val="283"/>
          <w:jc w:val="center"/>
        </w:trPr>
        <w:tc>
          <w:tcPr>
            <w:tcW w:w="1218" w:type="dxa"/>
            <w:tcBorders>
              <w:left w:val="single" w:sz="2" w:space="0" w:color="A6A6A6" w:themeColor="background1" w:themeShade="A6"/>
            </w:tcBorders>
            <w:shd w:val="clear" w:color="auto" w:fill="auto"/>
            <w:noWrap/>
            <w:vAlign w:val="center"/>
          </w:tcPr>
          <w:p w14:paraId="3F6F7CE3" w14:textId="6A97780C" w:rsidR="00A246C9" w:rsidRPr="00A246C9" w:rsidRDefault="00A246C9" w:rsidP="00B727F7">
            <w:pPr>
              <w:spacing w:after="0" w:line="276" w:lineRule="auto"/>
              <w:jc w:val="center"/>
              <w:rPr>
                <w:rFonts w:cs="Arial"/>
                <w:sz w:val="16"/>
                <w:szCs w:val="16"/>
              </w:rPr>
            </w:pPr>
            <w:r w:rsidRPr="00A246C9">
              <w:rPr>
                <w:rFonts w:cs="Arial"/>
                <w:sz w:val="16"/>
                <w:szCs w:val="16"/>
              </w:rPr>
              <w:t>2020</w:t>
            </w:r>
          </w:p>
        </w:tc>
        <w:tc>
          <w:tcPr>
            <w:tcW w:w="992" w:type="dxa"/>
            <w:shd w:val="clear" w:color="auto" w:fill="auto"/>
            <w:noWrap/>
            <w:vAlign w:val="center"/>
          </w:tcPr>
          <w:p w14:paraId="3316EA61" w14:textId="4FE556ED" w:rsidR="00A246C9" w:rsidRPr="00A246C9" w:rsidRDefault="00A246C9" w:rsidP="00B727F7">
            <w:pPr>
              <w:spacing w:after="0" w:line="276" w:lineRule="auto"/>
              <w:jc w:val="right"/>
              <w:rPr>
                <w:rFonts w:cs="Arial"/>
                <w:sz w:val="16"/>
                <w:szCs w:val="16"/>
              </w:rPr>
            </w:pPr>
            <w:r w:rsidRPr="00A246C9">
              <w:rPr>
                <w:rFonts w:cs="Arial"/>
                <w:sz w:val="16"/>
                <w:szCs w:val="16"/>
              </w:rPr>
              <w:t>1.285.099</w:t>
            </w:r>
          </w:p>
        </w:tc>
        <w:tc>
          <w:tcPr>
            <w:tcW w:w="1182" w:type="dxa"/>
            <w:shd w:val="clear" w:color="auto" w:fill="auto"/>
            <w:vAlign w:val="center"/>
          </w:tcPr>
          <w:p w14:paraId="112A63E2" w14:textId="2C449186" w:rsidR="00A246C9" w:rsidRPr="00A246C9" w:rsidRDefault="00A246C9" w:rsidP="00B727F7">
            <w:pPr>
              <w:spacing w:after="0" w:line="276" w:lineRule="auto"/>
              <w:jc w:val="right"/>
              <w:rPr>
                <w:rFonts w:cs="Arial"/>
                <w:sz w:val="16"/>
                <w:szCs w:val="16"/>
              </w:rPr>
            </w:pPr>
            <w:r w:rsidRPr="00A246C9">
              <w:rPr>
                <w:rFonts w:cs="Arial"/>
                <w:sz w:val="16"/>
                <w:szCs w:val="16"/>
              </w:rPr>
              <w:t>1.279.458</w:t>
            </w:r>
          </w:p>
        </w:tc>
        <w:tc>
          <w:tcPr>
            <w:tcW w:w="2180" w:type="dxa"/>
            <w:shd w:val="clear" w:color="auto" w:fill="auto"/>
            <w:vAlign w:val="center"/>
          </w:tcPr>
          <w:p w14:paraId="22468402" w14:textId="5D8F89D6" w:rsidR="00A246C9" w:rsidRPr="00A246C9" w:rsidRDefault="00A246C9" w:rsidP="00B727F7">
            <w:pPr>
              <w:spacing w:after="0" w:line="276" w:lineRule="auto"/>
              <w:jc w:val="right"/>
              <w:rPr>
                <w:rFonts w:cs="Arial"/>
                <w:sz w:val="16"/>
                <w:szCs w:val="16"/>
              </w:rPr>
            </w:pPr>
            <w:r w:rsidRPr="00A246C9">
              <w:rPr>
                <w:rFonts w:cs="Arial"/>
                <w:sz w:val="16"/>
                <w:szCs w:val="16"/>
              </w:rPr>
              <w:t>5.641</w:t>
            </w:r>
          </w:p>
        </w:tc>
        <w:tc>
          <w:tcPr>
            <w:tcW w:w="2116" w:type="dxa"/>
            <w:tcBorders>
              <w:right w:val="single" w:sz="2" w:space="0" w:color="A6A6A6" w:themeColor="background1" w:themeShade="A6"/>
            </w:tcBorders>
            <w:shd w:val="clear" w:color="auto" w:fill="auto"/>
            <w:vAlign w:val="center"/>
          </w:tcPr>
          <w:p w14:paraId="06430F55" w14:textId="66A7AD82" w:rsidR="00A246C9" w:rsidRPr="00A246C9" w:rsidRDefault="00A246C9" w:rsidP="00B727F7">
            <w:pPr>
              <w:spacing w:after="0" w:line="276" w:lineRule="auto"/>
              <w:jc w:val="right"/>
              <w:rPr>
                <w:rFonts w:cs="Arial"/>
                <w:sz w:val="16"/>
                <w:szCs w:val="16"/>
              </w:rPr>
            </w:pPr>
            <w:r w:rsidRPr="00A246C9">
              <w:rPr>
                <w:rFonts w:cs="Arial"/>
                <w:sz w:val="16"/>
                <w:szCs w:val="16"/>
              </w:rPr>
              <w:t>47.157</w:t>
            </w:r>
          </w:p>
        </w:tc>
      </w:tr>
      <w:tr w:rsidR="00A246C9" w:rsidRPr="00A246C9" w14:paraId="18F4C7D6" w14:textId="77777777" w:rsidTr="00B727F7">
        <w:trPr>
          <w:cantSplit/>
          <w:trHeight w:val="283"/>
          <w:jc w:val="center"/>
        </w:trPr>
        <w:tc>
          <w:tcPr>
            <w:tcW w:w="1218" w:type="dxa"/>
            <w:tcBorders>
              <w:left w:val="single" w:sz="2" w:space="0" w:color="A6A6A6" w:themeColor="background1" w:themeShade="A6"/>
            </w:tcBorders>
            <w:shd w:val="clear" w:color="auto" w:fill="auto"/>
            <w:noWrap/>
            <w:vAlign w:val="center"/>
          </w:tcPr>
          <w:p w14:paraId="550E6A1F" w14:textId="49B83B1A" w:rsidR="00A246C9" w:rsidRPr="00A246C9" w:rsidRDefault="00A246C9" w:rsidP="00B727F7">
            <w:pPr>
              <w:spacing w:after="0" w:line="276" w:lineRule="auto"/>
              <w:jc w:val="center"/>
              <w:rPr>
                <w:rFonts w:cs="Arial"/>
                <w:sz w:val="16"/>
                <w:szCs w:val="16"/>
              </w:rPr>
            </w:pPr>
            <w:r w:rsidRPr="00A246C9">
              <w:rPr>
                <w:rFonts w:cs="Arial"/>
                <w:sz w:val="16"/>
                <w:szCs w:val="16"/>
              </w:rPr>
              <w:t>2021</w:t>
            </w:r>
          </w:p>
        </w:tc>
        <w:tc>
          <w:tcPr>
            <w:tcW w:w="992" w:type="dxa"/>
            <w:shd w:val="clear" w:color="auto" w:fill="auto"/>
            <w:noWrap/>
            <w:vAlign w:val="center"/>
          </w:tcPr>
          <w:p w14:paraId="250A0A05" w14:textId="3BC03D58" w:rsidR="00A246C9" w:rsidRPr="00A246C9" w:rsidRDefault="00A246C9" w:rsidP="00B727F7">
            <w:pPr>
              <w:spacing w:after="0" w:line="276" w:lineRule="auto"/>
              <w:jc w:val="right"/>
              <w:rPr>
                <w:rFonts w:cs="Arial"/>
                <w:sz w:val="16"/>
                <w:szCs w:val="16"/>
              </w:rPr>
            </w:pPr>
            <w:r w:rsidRPr="00A246C9">
              <w:rPr>
                <w:rFonts w:cs="Arial"/>
                <w:sz w:val="16"/>
                <w:szCs w:val="16"/>
              </w:rPr>
              <w:t>1.104.188</w:t>
            </w:r>
          </w:p>
        </w:tc>
        <w:tc>
          <w:tcPr>
            <w:tcW w:w="1182" w:type="dxa"/>
            <w:shd w:val="clear" w:color="auto" w:fill="auto"/>
            <w:vAlign w:val="center"/>
          </w:tcPr>
          <w:p w14:paraId="0D2F24BB" w14:textId="58FE3E32" w:rsidR="00A246C9" w:rsidRPr="00A246C9" w:rsidRDefault="00A246C9" w:rsidP="00B727F7">
            <w:pPr>
              <w:spacing w:after="0" w:line="276" w:lineRule="auto"/>
              <w:jc w:val="right"/>
              <w:rPr>
                <w:rFonts w:cs="Arial"/>
                <w:sz w:val="16"/>
                <w:szCs w:val="16"/>
              </w:rPr>
            </w:pPr>
            <w:r w:rsidRPr="00A246C9">
              <w:rPr>
                <w:rFonts w:cs="Arial"/>
                <w:sz w:val="16"/>
                <w:szCs w:val="16"/>
              </w:rPr>
              <w:t>1.102.588</w:t>
            </w:r>
          </w:p>
        </w:tc>
        <w:tc>
          <w:tcPr>
            <w:tcW w:w="2180" w:type="dxa"/>
            <w:shd w:val="clear" w:color="auto" w:fill="auto"/>
            <w:vAlign w:val="center"/>
          </w:tcPr>
          <w:p w14:paraId="64A0D546" w14:textId="2CA4ED37" w:rsidR="00A246C9" w:rsidRPr="00A246C9" w:rsidRDefault="00A246C9" w:rsidP="00B727F7">
            <w:pPr>
              <w:spacing w:after="0" w:line="276" w:lineRule="auto"/>
              <w:jc w:val="right"/>
              <w:rPr>
                <w:rFonts w:cs="Arial"/>
                <w:sz w:val="16"/>
                <w:szCs w:val="16"/>
              </w:rPr>
            </w:pPr>
            <w:r w:rsidRPr="00A246C9">
              <w:rPr>
                <w:rFonts w:cs="Arial"/>
                <w:sz w:val="16"/>
                <w:szCs w:val="16"/>
              </w:rPr>
              <w:t>1.600</w:t>
            </w:r>
          </w:p>
        </w:tc>
        <w:tc>
          <w:tcPr>
            <w:tcW w:w="2116" w:type="dxa"/>
            <w:tcBorders>
              <w:right w:val="single" w:sz="2" w:space="0" w:color="A6A6A6" w:themeColor="background1" w:themeShade="A6"/>
            </w:tcBorders>
            <w:shd w:val="clear" w:color="auto" w:fill="auto"/>
            <w:vAlign w:val="center"/>
          </w:tcPr>
          <w:p w14:paraId="0922D93E" w14:textId="4E2D23C8" w:rsidR="00A246C9" w:rsidRPr="00A246C9" w:rsidRDefault="00A246C9" w:rsidP="00B727F7">
            <w:pPr>
              <w:spacing w:after="0" w:line="276" w:lineRule="auto"/>
              <w:jc w:val="right"/>
              <w:rPr>
                <w:rFonts w:cs="Arial"/>
                <w:sz w:val="16"/>
                <w:szCs w:val="16"/>
              </w:rPr>
            </w:pPr>
            <w:r w:rsidRPr="00A246C9">
              <w:rPr>
                <w:rFonts w:cs="Arial"/>
                <w:sz w:val="16"/>
                <w:szCs w:val="16"/>
              </w:rPr>
              <w:t>48.757</w:t>
            </w:r>
          </w:p>
        </w:tc>
      </w:tr>
      <w:tr w:rsidR="00A246C9" w:rsidRPr="00A246C9" w14:paraId="47B9E949" w14:textId="77777777" w:rsidTr="00B727F7">
        <w:trPr>
          <w:cantSplit/>
          <w:trHeight w:val="283"/>
          <w:jc w:val="center"/>
        </w:trPr>
        <w:tc>
          <w:tcPr>
            <w:tcW w:w="1218" w:type="dxa"/>
            <w:tcBorders>
              <w:left w:val="single" w:sz="2" w:space="0" w:color="A6A6A6" w:themeColor="background1" w:themeShade="A6"/>
            </w:tcBorders>
            <w:shd w:val="clear" w:color="auto" w:fill="auto"/>
            <w:noWrap/>
            <w:vAlign w:val="center"/>
          </w:tcPr>
          <w:p w14:paraId="01A32BF2" w14:textId="34C29077" w:rsidR="00A246C9" w:rsidRPr="00A246C9" w:rsidRDefault="00A246C9" w:rsidP="00B727F7">
            <w:pPr>
              <w:spacing w:after="0" w:line="276" w:lineRule="auto"/>
              <w:jc w:val="center"/>
              <w:rPr>
                <w:rFonts w:cs="Arial"/>
                <w:sz w:val="16"/>
                <w:szCs w:val="16"/>
              </w:rPr>
            </w:pPr>
            <w:r w:rsidRPr="00A246C9">
              <w:rPr>
                <w:rFonts w:cs="Arial"/>
                <w:sz w:val="16"/>
                <w:szCs w:val="16"/>
              </w:rPr>
              <w:t>2022</w:t>
            </w:r>
          </w:p>
        </w:tc>
        <w:tc>
          <w:tcPr>
            <w:tcW w:w="992" w:type="dxa"/>
            <w:shd w:val="clear" w:color="auto" w:fill="auto"/>
            <w:noWrap/>
            <w:vAlign w:val="center"/>
          </w:tcPr>
          <w:p w14:paraId="6BD9962A" w14:textId="272CF2C8" w:rsidR="00A246C9" w:rsidRPr="00A246C9" w:rsidRDefault="00A246C9" w:rsidP="00B727F7">
            <w:pPr>
              <w:spacing w:after="0" w:line="276" w:lineRule="auto"/>
              <w:jc w:val="right"/>
              <w:rPr>
                <w:rFonts w:cs="Arial"/>
                <w:sz w:val="16"/>
                <w:szCs w:val="16"/>
              </w:rPr>
            </w:pPr>
            <w:r w:rsidRPr="00A246C9">
              <w:rPr>
                <w:rFonts w:cs="Arial"/>
                <w:sz w:val="16"/>
                <w:szCs w:val="16"/>
              </w:rPr>
              <w:t>1.163.309</w:t>
            </w:r>
          </w:p>
        </w:tc>
        <w:tc>
          <w:tcPr>
            <w:tcW w:w="1182" w:type="dxa"/>
            <w:shd w:val="clear" w:color="auto" w:fill="auto"/>
            <w:vAlign w:val="center"/>
          </w:tcPr>
          <w:p w14:paraId="1562AC64" w14:textId="026ABC6D" w:rsidR="00A246C9" w:rsidRPr="00A246C9" w:rsidRDefault="00A246C9" w:rsidP="00B727F7">
            <w:pPr>
              <w:spacing w:after="0" w:line="276" w:lineRule="auto"/>
              <w:jc w:val="right"/>
              <w:rPr>
                <w:rFonts w:cs="Arial"/>
                <w:sz w:val="16"/>
                <w:szCs w:val="16"/>
              </w:rPr>
            </w:pPr>
            <w:r w:rsidRPr="00A246C9">
              <w:rPr>
                <w:rFonts w:cs="Arial"/>
                <w:sz w:val="16"/>
                <w:szCs w:val="16"/>
              </w:rPr>
              <w:t>1.150.341</w:t>
            </w:r>
          </w:p>
        </w:tc>
        <w:tc>
          <w:tcPr>
            <w:tcW w:w="2180" w:type="dxa"/>
            <w:shd w:val="clear" w:color="auto" w:fill="auto"/>
            <w:vAlign w:val="center"/>
          </w:tcPr>
          <w:p w14:paraId="057C4356" w14:textId="53CB45F0" w:rsidR="00A246C9" w:rsidRPr="00A246C9" w:rsidRDefault="00A246C9" w:rsidP="00B727F7">
            <w:pPr>
              <w:spacing w:after="0" w:line="276" w:lineRule="auto"/>
              <w:jc w:val="right"/>
              <w:rPr>
                <w:rFonts w:cs="Arial"/>
                <w:sz w:val="16"/>
                <w:szCs w:val="16"/>
              </w:rPr>
            </w:pPr>
            <w:r w:rsidRPr="00A246C9">
              <w:rPr>
                <w:rFonts w:cs="Arial"/>
                <w:sz w:val="16"/>
                <w:szCs w:val="16"/>
              </w:rPr>
              <w:t>12.968</w:t>
            </w:r>
          </w:p>
        </w:tc>
        <w:tc>
          <w:tcPr>
            <w:tcW w:w="2116" w:type="dxa"/>
            <w:tcBorders>
              <w:right w:val="single" w:sz="2" w:space="0" w:color="A6A6A6" w:themeColor="background1" w:themeShade="A6"/>
            </w:tcBorders>
            <w:shd w:val="clear" w:color="auto" w:fill="auto"/>
            <w:vAlign w:val="center"/>
          </w:tcPr>
          <w:p w14:paraId="0B2FE6E7" w14:textId="3846E5B3" w:rsidR="00A246C9" w:rsidRPr="00A246C9" w:rsidRDefault="00A246C9" w:rsidP="00B727F7">
            <w:pPr>
              <w:spacing w:after="0" w:line="276" w:lineRule="auto"/>
              <w:jc w:val="right"/>
              <w:rPr>
                <w:rFonts w:cs="Arial"/>
                <w:sz w:val="16"/>
                <w:szCs w:val="16"/>
              </w:rPr>
            </w:pPr>
            <w:r w:rsidRPr="00A246C9">
              <w:rPr>
                <w:rFonts w:cs="Arial"/>
                <w:sz w:val="16"/>
                <w:szCs w:val="16"/>
              </w:rPr>
              <w:t>61.725</w:t>
            </w:r>
          </w:p>
        </w:tc>
      </w:tr>
      <w:tr w:rsidR="00A246C9" w:rsidRPr="00A246C9" w14:paraId="34A81493" w14:textId="77777777" w:rsidTr="00B727F7">
        <w:trPr>
          <w:cantSplit/>
          <w:trHeight w:val="283"/>
          <w:jc w:val="center"/>
        </w:trPr>
        <w:tc>
          <w:tcPr>
            <w:tcW w:w="1218" w:type="dxa"/>
            <w:tcBorders>
              <w:left w:val="single" w:sz="2" w:space="0" w:color="A6A6A6" w:themeColor="background1" w:themeShade="A6"/>
            </w:tcBorders>
            <w:shd w:val="clear" w:color="auto" w:fill="auto"/>
            <w:noWrap/>
            <w:vAlign w:val="center"/>
          </w:tcPr>
          <w:p w14:paraId="4237664B" w14:textId="12E6E8E2" w:rsidR="00A246C9" w:rsidRPr="00A246C9" w:rsidRDefault="00A246C9" w:rsidP="00B727F7">
            <w:pPr>
              <w:spacing w:after="0" w:line="276" w:lineRule="auto"/>
              <w:jc w:val="center"/>
              <w:rPr>
                <w:rFonts w:cs="Arial"/>
                <w:sz w:val="16"/>
                <w:szCs w:val="16"/>
              </w:rPr>
            </w:pPr>
            <w:r w:rsidRPr="00A246C9">
              <w:rPr>
                <w:rFonts w:cs="Arial"/>
                <w:sz w:val="16"/>
                <w:szCs w:val="16"/>
              </w:rPr>
              <w:t>2023</w:t>
            </w:r>
          </w:p>
        </w:tc>
        <w:tc>
          <w:tcPr>
            <w:tcW w:w="992" w:type="dxa"/>
            <w:shd w:val="clear" w:color="auto" w:fill="auto"/>
            <w:noWrap/>
            <w:vAlign w:val="center"/>
          </w:tcPr>
          <w:p w14:paraId="625C1DBE" w14:textId="3F80EC4F" w:rsidR="00A246C9" w:rsidRPr="00A246C9" w:rsidRDefault="00A246C9" w:rsidP="00B727F7">
            <w:pPr>
              <w:spacing w:after="0" w:line="276" w:lineRule="auto"/>
              <w:jc w:val="right"/>
              <w:rPr>
                <w:rFonts w:cs="Arial"/>
                <w:sz w:val="16"/>
                <w:szCs w:val="16"/>
              </w:rPr>
            </w:pPr>
            <w:r w:rsidRPr="00A246C9">
              <w:rPr>
                <w:rFonts w:cs="Arial"/>
                <w:sz w:val="16"/>
                <w:szCs w:val="16"/>
              </w:rPr>
              <w:t>1.606.413</w:t>
            </w:r>
          </w:p>
        </w:tc>
        <w:tc>
          <w:tcPr>
            <w:tcW w:w="1182" w:type="dxa"/>
            <w:shd w:val="clear" w:color="auto" w:fill="auto"/>
            <w:vAlign w:val="center"/>
          </w:tcPr>
          <w:p w14:paraId="02EDDB58" w14:textId="4FF6741B" w:rsidR="00A246C9" w:rsidRPr="00A246C9" w:rsidRDefault="00A246C9" w:rsidP="00B727F7">
            <w:pPr>
              <w:spacing w:after="0" w:line="276" w:lineRule="auto"/>
              <w:jc w:val="right"/>
              <w:rPr>
                <w:rFonts w:cs="Arial"/>
                <w:sz w:val="16"/>
                <w:szCs w:val="16"/>
              </w:rPr>
            </w:pPr>
            <w:r w:rsidRPr="00A246C9">
              <w:rPr>
                <w:rFonts w:cs="Arial"/>
                <w:sz w:val="16"/>
                <w:szCs w:val="16"/>
              </w:rPr>
              <w:t>1.601.611</w:t>
            </w:r>
          </w:p>
        </w:tc>
        <w:tc>
          <w:tcPr>
            <w:tcW w:w="2180" w:type="dxa"/>
            <w:shd w:val="clear" w:color="auto" w:fill="auto"/>
            <w:vAlign w:val="center"/>
          </w:tcPr>
          <w:p w14:paraId="7A045FDC" w14:textId="3CD10EBE" w:rsidR="00A246C9" w:rsidRPr="00A246C9" w:rsidRDefault="00A246C9" w:rsidP="00B727F7">
            <w:pPr>
              <w:spacing w:after="0" w:line="276" w:lineRule="auto"/>
              <w:jc w:val="right"/>
              <w:rPr>
                <w:rFonts w:cs="Arial"/>
                <w:sz w:val="16"/>
                <w:szCs w:val="16"/>
              </w:rPr>
            </w:pPr>
            <w:r w:rsidRPr="00A246C9">
              <w:rPr>
                <w:rFonts w:cs="Arial"/>
                <w:sz w:val="16"/>
                <w:szCs w:val="16"/>
              </w:rPr>
              <w:t>4.802</w:t>
            </w:r>
          </w:p>
        </w:tc>
        <w:tc>
          <w:tcPr>
            <w:tcW w:w="2116" w:type="dxa"/>
            <w:tcBorders>
              <w:right w:val="single" w:sz="2" w:space="0" w:color="A6A6A6" w:themeColor="background1" w:themeShade="A6"/>
            </w:tcBorders>
            <w:shd w:val="clear" w:color="auto" w:fill="auto"/>
            <w:vAlign w:val="center"/>
          </w:tcPr>
          <w:p w14:paraId="14DE712A" w14:textId="3B2F6E2F" w:rsidR="00A246C9" w:rsidRPr="00A246C9" w:rsidRDefault="00A246C9" w:rsidP="00B727F7">
            <w:pPr>
              <w:spacing w:after="0" w:line="276" w:lineRule="auto"/>
              <w:jc w:val="right"/>
              <w:rPr>
                <w:rFonts w:cs="Arial"/>
                <w:sz w:val="16"/>
                <w:szCs w:val="16"/>
              </w:rPr>
            </w:pPr>
            <w:r w:rsidRPr="00A246C9">
              <w:rPr>
                <w:rFonts w:cs="Arial"/>
                <w:sz w:val="16"/>
                <w:szCs w:val="16"/>
              </w:rPr>
              <w:t>66.527</w:t>
            </w:r>
          </w:p>
        </w:tc>
      </w:tr>
      <w:tr w:rsidR="00A246C9" w:rsidRPr="00A246C9" w14:paraId="00296701" w14:textId="77777777" w:rsidTr="00B727F7">
        <w:trPr>
          <w:cantSplit/>
          <w:trHeight w:val="283"/>
          <w:jc w:val="center"/>
        </w:trPr>
        <w:tc>
          <w:tcPr>
            <w:tcW w:w="1218" w:type="dxa"/>
            <w:tcBorders>
              <w:left w:val="single" w:sz="2" w:space="0" w:color="A6A6A6" w:themeColor="background1" w:themeShade="A6"/>
            </w:tcBorders>
            <w:shd w:val="clear" w:color="auto" w:fill="auto"/>
            <w:noWrap/>
            <w:vAlign w:val="center"/>
          </w:tcPr>
          <w:p w14:paraId="2F2A2DB6" w14:textId="25A2CEC7" w:rsidR="00A246C9" w:rsidRPr="00A246C9" w:rsidRDefault="00A246C9" w:rsidP="00B727F7">
            <w:pPr>
              <w:spacing w:after="0" w:line="276" w:lineRule="auto"/>
              <w:jc w:val="center"/>
              <w:rPr>
                <w:rFonts w:cs="Arial"/>
                <w:sz w:val="16"/>
                <w:szCs w:val="16"/>
              </w:rPr>
            </w:pPr>
            <w:r w:rsidRPr="00A246C9">
              <w:rPr>
                <w:rFonts w:cs="Arial"/>
                <w:sz w:val="16"/>
                <w:szCs w:val="16"/>
              </w:rPr>
              <w:t>2024</w:t>
            </w:r>
          </w:p>
        </w:tc>
        <w:tc>
          <w:tcPr>
            <w:tcW w:w="992" w:type="dxa"/>
            <w:shd w:val="clear" w:color="auto" w:fill="auto"/>
            <w:noWrap/>
            <w:vAlign w:val="center"/>
          </w:tcPr>
          <w:p w14:paraId="00285E96" w14:textId="71E369A1" w:rsidR="00A246C9" w:rsidRPr="00A246C9" w:rsidRDefault="00A246C9" w:rsidP="00B727F7">
            <w:pPr>
              <w:spacing w:after="0" w:line="276" w:lineRule="auto"/>
              <w:jc w:val="right"/>
              <w:rPr>
                <w:rFonts w:cs="Arial"/>
                <w:sz w:val="16"/>
                <w:szCs w:val="16"/>
              </w:rPr>
            </w:pPr>
            <w:r w:rsidRPr="00A246C9">
              <w:rPr>
                <w:rFonts w:cs="Arial"/>
                <w:sz w:val="16"/>
                <w:szCs w:val="16"/>
              </w:rPr>
              <w:t>1.436.769</w:t>
            </w:r>
          </w:p>
        </w:tc>
        <w:tc>
          <w:tcPr>
            <w:tcW w:w="1182" w:type="dxa"/>
            <w:shd w:val="clear" w:color="auto" w:fill="auto"/>
            <w:vAlign w:val="center"/>
          </w:tcPr>
          <w:p w14:paraId="27C14E33" w14:textId="3C582E50" w:rsidR="00A246C9" w:rsidRPr="00A246C9" w:rsidRDefault="00A246C9" w:rsidP="00B727F7">
            <w:pPr>
              <w:spacing w:after="0" w:line="276" w:lineRule="auto"/>
              <w:jc w:val="right"/>
              <w:rPr>
                <w:rFonts w:cs="Arial"/>
                <w:sz w:val="16"/>
                <w:szCs w:val="16"/>
              </w:rPr>
            </w:pPr>
            <w:r w:rsidRPr="00A246C9">
              <w:rPr>
                <w:rFonts w:cs="Arial"/>
                <w:sz w:val="16"/>
                <w:szCs w:val="16"/>
              </w:rPr>
              <w:t>1.437.935</w:t>
            </w:r>
          </w:p>
        </w:tc>
        <w:tc>
          <w:tcPr>
            <w:tcW w:w="2180" w:type="dxa"/>
            <w:shd w:val="clear" w:color="auto" w:fill="auto"/>
            <w:vAlign w:val="center"/>
          </w:tcPr>
          <w:p w14:paraId="3DE1CCBA" w14:textId="1DF59166" w:rsidR="00A246C9" w:rsidRPr="00A246C9" w:rsidRDefault="00A246C9" w:rsidP="00B727F7">
            <w:pPr>
              <w:spacing w:after="0" w:line="276" w:lineRule="auto"/>
              <w:jc w:val="right"/>
              <w:rPr>
                <w:rFonts w:cs="Arial"/>
                <w:sz w:val="16"/>
                <w:szCs w:val="16"/>
              </w:rPr>
            </w:pPr>
            <w:r w:rsidRPr="00A246C9">
              <w:rPr>
                <w:rFonts w:cs="Arial"/>
                <w:sz w:val="16"/>
                <w:szCs w:val="16"/>
              </w:rPr>
              <w:t>-1.166</w:t>
            </w:r>
          </w:p>
        </w:tc>
        <w:tc>
          <w:tcPr>
            <w:tcW w:w="2116" w:type="dxa"/>
            <w:tcBorders>
              <w:right w:val="single" w:sz="2" w:space="0" w:color="A6A6A6" w:themeColor="background1" w:themeShade="A6"/>
            </w:tcBorders>
            <w:shd w:val="clear" w:color="auto" w:fill="auto"/>
            <w:vAlign w:val="center"/>
          </w:tcPr>
          <w:p w14:paraId="1A77C766" w14:textId="70D7C3D4" w:rsidR="00A246C9" w:rsidRPr="00A246C9" w:rsidRDefault="00A246C9" w:rsidP="00B727F7">
            <w:pPr>
              <w:spacing w:after="0" w:line="276" w:lineRule="auto"/>
              <w:jc w:val="right"/>
              <w:rPr>
                <w:rFonts w:cs="Arial"/>
                <w:sz w:val="16"/>
                <w:szCs w:val="16"/>
              </w:rPr>
            </w:pPr>
            <w:r w:rsidRPr="00A246C9">
              <w:rPr>
                <w:rFonts w:cs="Arial"/>
                <w:sz w:val="16"/>
                <w:szCs w:val="16"/>
              </w:rPr>
              <w:t>65.361</w:t>
            </w:r>
          </w:p>
        </w:tc>
      </w:tr>
      <w:tr w:rsidR="00A246C9" w:rsidRPr="00A246C9" w14:paraId="705B6C97" w14:textId="77777777" w:rsidTr="00B727F7">
        <w:trPr>
          <w:cantSplit/>
          <w:trHeight w:val="283"/>
          <w:jc w:val="center"/>
        </w:trPr>
        <w:tc>
          <w:tcPr>
            <w:tcW w:w="1218" w:type="dxa"/>
            <w:tcBorders>
              <w:left w:val="single" w:sz="2" w:space="0" w:color="A6A6A6" w:themeColor="background1" w:themeShade="A6"/>
              <w:bottom w:val="single" w:sz="2" w:space="0" w:color="A6A6A6" w:themeColor="background1" w:themeShade="A6"/>
            </w:tcBorders>
            <w:shd w:val="clear" w:color="auto" w:fill="auto"/>
            <w:noWrap/>
            <w:vAlign w:val="center"/>
          </w:tcPr>
          <w:p w14:paraId="42486AD5" w14:textId="20808AB0" w:rsidR="00A246C9" w:rsidRPr="00A246C9" w:rsidRDefault="00A246C9" w:rsidP="00B727F7">
            <w:pPr>
              <w:spacing w:after="0" w:line="276" w:lineRule="auto"/>
              <w:jc w:val="center"/>
              <w:rPr>
                <w:rFonts w:cs="Arial"/>
                <w:sz w:val="16"/>
                <w:szCs w:val="16"/>
              </w:rPr>
            </w:pPr>
            <w:r w:rsidRPr="00A246C9">
              <w:rPr>
                <w:rFonts w:cs="Arial"/>
                <w:sz w:val="16"/>
                <w:szCs w:val="16"/>
              </w:rPr>
              <w:t>2025*</w:t>
            </w:r>
          </w:p>
        </w:tc>
        <w:tc>
          <w:tcPr>
            <w:tcW w:w="992" w:type="dxa"/>
            <w:tcBorders>
              <w:bottom w:val="single" w:sz="2" w:space="0" w:color="A6A6A6" w:themeColor="background1" w:themeShade="A6"/>
            </w:tcBorders>
            <w:shd w:val="clear" w:color="auto" w:fill="auto"/>
            <w:noWrap/>
            <w:vAlign w:val="center"/>
          </w:tcPr>
          <w:p w14:paraId="6F373BAD" w14:textId="7E554059" w:rsidR="00A246C9" w:rsidRPr="00A246C9" w:rsidRDefault="00A246C9" w:rsidP="00B727F7">
            <w:pPr>
              <w:spacing w:after="0" w:line="276" w:lineRule="auto"/>
              <w:jc w:val="right"/>
              <w:rPr>
                <w:rFonts w:cs="Arial"/>
                <w:sz w:val="16"/>
                <w:szCs w:val="16"/>
              </w:rPr>
            </w:pPr>
            <w:r w:rsidRPr="00A246C9">
              <w:rPr>
                <w:rFonts w:cs="Arial"/>
                <w:sz w:val="16"/>
                <w:szCs w:val="16"/>
              </w:rPr>
              <w:t>1.600.000</w:t>
            </w:r>
          </w:p>
        </w:tc>
        <w:tc>
          <w:tcPr>
            <w:tcW w:w="1182" w:type="dxa"/>
            <w:tcBorders>
              <w:bottom w:val="single" w:sz="2" w:space="0" w:color="A6A6A6" w:themeColor="background1" w:themeShade="A6"/>
            </w:tcBorders>
            <w:shd w:val="clear" w:color="auto" w:fill="auto"/>
            <w:vAlign w:val="center"/>
          </w:tcPr>
          <w:p w14:paraId="34F954EF" w14:textId="2792A24D" w:rsidR="00A246C9" w:rsidRPr="00A246C9" w:rsidRDefault="00A246C9" w:rsidP="00B727F7">
            <w:pPr>
              <w:spacing w:after="0" w:line="276" w:lineRule="auto"/>
              <w:jc w:val="right"/>
              <w:rPr>
                <w:rFonts w:cs="Arial"/>
                <w:sz w:val="16"/>
                <w:szCs w:val="16"/>
              </w:rPr>
            </w:pPr>
            <w:r w:rsidRPr="00A246C9">
              <w:rPr>
                <w:rFonts w:cs="Arial"/>
                <w:sz w:val="16"/>
                <w:szCs w:val="16"/>
              </w:rPr>
              <w:t>1.602.361</w:t>
            </w:r>
          </w:p>
        </w:tc>
        <w:tc>
          <w:tcPr>
            <w:tcW w:w="2180" w:type="dxa"/>
            <w:tcBorders>
              <w:bottom w:val="single" w:sz="2" w:space="0" w:color="A6A6A6" w:themeColor="background1" w:themeShade="A6"/>
            </w:tcBorders>
            <w:shd w:val="clear" w:color="auto" w:fill="auto"/>
            <w:vAlign w:val="center"/>
          </w:tcPr>
          <w:p w14:paraId="5C3C1CAE" w14:textId="3F692323" w:rsidR="00A246C9" w:rsidRPr="00A246C9" w:rsidRDefault="00A246C9" w:rsidP="00B727F7">
            <w:pPr>
              <w:spacing w:after="0" w:line="276" w:lineRule="auto"/>
              <w:jc w:val="right"/>
              <w:rPr>
                <w:rFonts w:cs="Arial"/>
                <w:sz w:val="16"/>
                <w:szCs w:val="16"/>
              </w:rPr>
            </w:pPr>
            <w:r w:rsidRPr="00A246C9">
              <w:rPr>
                <w:rFonts w:cs="Arial"/>
                <w:sz w:val="16"/>
                <w:szCs w:val="16"/>
              </w:rPr>
              <w:t>-2.361</w:t>
            </w:r>
          </w:p>
        </w:tc>
        <w:tc>
          <w:tcPr>
            <w:tcW w:w="2116" w:type="dxa"/>
            <w:tcBorders>
              <w:bottom w:val="single" w:sz="2" w:space="0" w:color="A6A6A6" w:themeColor="background1" w:themeShade="A6"/>
              <w:right w:val="single" w:sz="2" w:space="0" w:color="A6A6A6" w:themeColor="background1" w:themeShade="A6"/>
            </w:tcBorders>
            <w:shd w:val="clear" w:color="auto" w:fill="auto"/>
            <w:vAlign w:val="center"/>
          </w:tcPr>
          <w:p w14:paraId="09252079" w14:textId="3F75D446" w:rsidR="00A246C9" w:rsidRPr="00A246C9" w:rsidRDefault="00A246C9" w:rsidP="00B727F7">
            <w:pPr>
              <w:spacing w:after="0" w:line="276" w:lineRule="auto"/>
              <w:jc w:val="right"/>
              <w:rPr>
                <w:rFonts w:cs="Arial"/>
                <w:sz w:val="16"/>
                <w:szCs w:val="16"/>
              </w:rPr>
            </w:pPr>
            <w:r w:rsidRPr="00A246C9">
              <w:rPr>
                <w:rFonts w:cs="Arial"/>
                <w:sz w:val="16"/>
                <w:szCs w:val="16"/>
              </w:rPr>
              <w:t>63.000</w:t>
            </w:r>
          </w:p>
        </w:tc>
      </w:tr>
      <w:tr w:rsidR="00FA550F" w:rsidRPr="00FA550F" w14:paraId="2AE8EC55" w14:textId="77777777" w:rsidTr="00B727F7">
        <w:trPr>
          <w:cantSplit/>
          <w:trHeight w:val="227"/>
          <w:jc w:val="center"/>
        </w:trPr>
        <w:tc>
          <w:tcPr>
            <w:tcW w:w="7688" w:type="dxa"/>
            <w:gridSpan w:val="5"/>
            <w:tcBorders>
              <w:top w:val="single" w:sz="2" w:space="0" w:color="A6A6A6" w:themeColor="background1" w:themeShade="A6"/>
            </w:tcBorders>
            <w:shd w:val="clear" w:color="auto" w:fill="auto"/>
            <w:noWrap/>
            <w:vAlign w:val="center"/>
            <w:hideMark/>
          </w:tcPr>
          <w:p w14:paraId="329940CC" w14:textId="77777777" w:rsidR="00FA550F" w:rsidRDefault="00FA550F" w:rsidP="00F151DE">
            <w:pPr>
              <w:spacing w:before="60" w:after="0" w:line="276" w:lineRule="auto"/>
              <w:rPr>
                <w:rFonts w:cs="Arial"/>
                <w:sz w:val="16"/>
                <w:szCs w:val="16"/>
              </w:rPr>
            </w:pPr>
            <w:r w:rsidRPr="00FA550F">
              <w:rPr>
                <w:rFonts w:cs="Arial"/>
                <w:sz w:val="16"/>
                <w:szCs w:val="16"/>
              </w:rPr>
              <w:t>* Εκτιμήσεις</w:t>
            </w:r>
          </w:p>
          <w:p w14:paraId="77203D9F" w14:textId="3C57AFFF" w:rsidR="00F151DE" w:rsidRPr="00FA550F" w:rsidRDefault="00F151DE" w:rsidP="00F151DE">
            <w:pPr>
              <w:spacing w:before="60" w:after="0" w:line="276" w:lineRule="auto"/>
              <w:rPr>
                <w:rFonts w:cs="Arial"/>
                <w:sz w:val="16"/>
                <w:szCs w:val="16"/>
              </w:rPr>
            </w:pPr>
            <w:r w:rsidRPr="00FA550F">
              <w:rPr>
                <w:rFonts w:cs="Arial"/>
                <w:sz w:val="16"/>
                <w:szCs w:val="16"/>
              </w:rPr>
              <w:t>Πηγή: ΟΔΔΗΧ</w:t>
            </w:r>
          </w:p>
        </w:tc>
      </w:tr>
    </w:tbl>
    <w:p w14:paraId="56B1EFEB" w14:textId="49C5CC63" w:rsidR="00A02E69" w:rsidRPr="00A02E69" w:rsidRDefault="00945EB8" w:rsidP="00945EB8">
      <w:pPr>
        <w:spacing w:before="240" w:after="240"/>
      </w:pPr>
      <w:r w:rsidRPr="00E6174F">
        <w:t xml:space="preserve">Όπως </w:t>
      </w:r>
      <w:r w:rsidRPr="00AE64F9">
        <w:t xml:space="preserve">φαίνεται </w:t>
      </w:r>
      <w:r w:rsidR="00B32173" w:rsidRPr="00AE64F9">
        <w:t>παρακάτω (</w:t>
      </w:r>
      <w:r w:rsidR="004375EC" w:rsidRPr="00AE64F9">
        <w:fldChar w:fldCharType="begin"/>
      </w:r>
      <w:r w:rsidR="004375EC" w:rsidRPr="00AE64F9">
        <w:instrText xml:space="preserve"> REF _Ref182657693 \h  \* MERGEFORMAT </w:instrText>
      </w:r>
      <w:r w:rsidR="004375EC" w:rsidRPr="00AE64F9">
        <w:fldChar w:fldCharType="separate"/>
      </w:r>
      <w:r w:rsidR="00E15678" w:rsidRPr="00E15678">
        <w:t>Πίνακας 4.9</w:t>
      </w:r>
      <w:r w:rsidR="004375EC" w:rsidRPr="00AE64F9">
        <w:fldChar w:fldCharType="end"/>
      </w:r>
      <w:r w:rsidR="00B32173" w:rsidRPr="00AE64F9">
        <w:t>.</w:t>
      </w:r>
      <w:r w:rsidR="00432F13" w:rsidRPr="00AE64F9">
        <w:t xml:space="preserve">, </w:t>
      </w:r>
      <w:r w:rsidR="00432F13" w:rsidRPr="00AE64F9">
        <w:fldChar w:fldCharType="begin"/>
      </w:r>
      <w:r w:rsidR="00432F13" w:rsidRPr="00AE64F9">
        <w:instrText xml:space="preserve"> REF _Ref213670049 \h  \* MERGEFORMAT </w:instrText>
      </w:r>
      <w:r w:rsidR="00432F13" w:rsidRPr="00AE64F9">
        <w:fldChar w:fldCharType="separate"/>
      </w:r>
      <w:r w:rsidR="00E15678" w:rsidRPr="00E15678">
        <w:t>Διάγραμμα 4.3</w:t>
      </w:r>
      <w:r w:rsidR="00432F13" w:rsidRPr="00AE64F9">
        <w:fldChar w:fldCharType="end"/>
      </w:r>
      <w:r w:rsidR="00432F13" w:rsidRPr="00AE64F9">
        <w:t>.</w:t>
      </w:r>
      <w:r w:rsidR="00B32173" w:rsidRPr="00AE64F9">
        <w:t>)</w:t>
      </w:r>
      <w:r w:rsidRPr="00AE64F9">
        <w:t xml:space="preserve"> οι δαπάνες</w:t>
      </w:r>
      <w:r w:rsidRPr="00E6174F">
        <w:t xml:space="preserve"> για τόκους μετά swap του χρέους της Κεντρικής Διοίκησης μετά το 2021 διαμορφώνονται κοντά στα επίπεδα των 6.000 - 7.</w:t>
      </w:r>
      <w:r>
        <w:t>3</w:t>
      </w:r>
      <w:r w:rsidRPr="00E6174F">
        <w:t xml:space="preserve">00 εκατ. ευρώ, </w:t>
      </w:r>
      <w:r w:rsidRPr="002550B4">
        <w:t>ήτοι 2,</w:t>
      </w:r>
      <w:r w:rsidR="002550B4" w:rsidRPr="002550B4">
        <w:t>8</w:t>
      </w:r>
      <w:r w:rsidRPr="002550B4">
        <w:t>%</w:t>
      </w:r>
      <w:r w:rsidR="00B32173" w:rsidRPr="002550B4">
        <w:t xml:space="preserve"> </w:t>
      </w:r>
      <w:r w:rsidRPr="002550B4">
        <w:t>-</w:t>
      </w:r>
      <w:r w:rsidR="00B32173" w:rsidRPr="002550B4">
        <w:t xml:space="preserve"> </w:t>
      </w:r>
      <w:r w:rsidRPr="002550B4">
        <w:t>3,0% ως ποσοστό</w:t>
      </w:r>
      <w:r w:rsidRPr="00E6174F">
        <w:t xml:space="preserve"> του ΑΕΠ. Σε επίπεδο Γενικής Κυβέρνησης οι δαπάνες για τόκους μετά swap αναμένεται να διαμορφωθούν κοντά στα επίπεδα των 5.200</w:t>
      </w:r>
      <w:r w:rsidRPr="00B166E1">
        <w:t xml:space="preserve"> εκατ. ευρώ για τα έτη 2025 και 2026. Οι μειωμένες δαπάνες τόκων τα τελευταία </w:t>
      </w:r>
      <w:r w:rsidR="006159C2">
        <w:t>έτη</w:t>
      </w:r>
      <w:r w:rsidRPr="00B166E1">
        <w:t xml:space="preserve"> οφείλονται στη μείωση του ύψους του δημόσιου χρέους μετά την ανταλλαγή των ομολόγων (PSI) του Μαρτίου 2012 και την επαναγορά του Δεκεμβρίου 2012, στη μείωση των επιτοκίων των δανείων του Μηχανισμού Στήριξης και </w:t>
      </w:r>
      <w:r w:rsidR="006159C2">
        <w:t>σ</w:t>
      </w:r>
      <w:r w:rsidRPr="00B166E1">
        <w:t>την αναβολή</w:t>
      </w:r>
      <w:r w:rsidR="006159C2">
        <w:t xml:space="preserve"> της</w:t>
      </w:r>
      <w:r w:rsidRPr="00B166E1">
        <w:t xml:space="preserve"> καταβολής τόκων για τα δάνεια που χορηγήθηκαν από το Ε</w:t>
      </w:r>
      <w:r w:rsidRPr="00F17D25">
        <w:t>ΤΧΣ</w:t>
      </w:r>
      <w:r w:rsidRPr="00B166E1">
        <w:t xml:space="preserve"> καθώς επίσης και στις συμφωνίες ανταλλαγής επιτοκίων</w:t>
      </w:r>
      <w:r w:rsidRPr="007E2784">
        <w:t xml:space="preserve">. Τέλος, οι διαχρονικές διαφορές στο ύψος ετήσιων δαπανών τόκων προ και μετά swap που </w:t>
      </w:r>
      <w:r w:rsidRPr="00AE64F9">
        <w:t xml:space="preserve">εμφανίζονται </w:t>
      </w:r>
      <w:r w:rsidR="00517A55" w:rsidRPr="00AE64F9">
        <w:t>παρακάτω (</w:t>
      </w:r>
      <w:r w:rsidR="00896CC9" w:rsidRPr="00AE64F9">
        <w:fldChar w:fldCharType="begin"/>
      </w:r>
      <w:r w:rsidR="00896CC9" w:rsidRPr="00AE64F9">
        <w:instrText xml:space="preserve"> REF _Ref182657693 \h  \* MERGEFORMAT </w:instrText>
      </w:r>
      <w:r w:rsidR="00896CC9" w:rsidRPr="00AE64F9">
        <w:fldChar w:fldCharType="separate"/>
      </w:r>
      <w:r w:rsidR="00E15678" w:rsidRPr="00E15678">
        <w:t>Πίνακας 4.9</w:t>
      </w:r>
      <w:r w:rsidR="00896CC9" w:rsidRPr="00AE64F9">
        <w:fldChar w:fldCharType="end"/>
      </w:r>
      <w:r w:rsidR="00517A55" w:rsidRPr="00AE64F9">
        <w:t>.)</w:t>
      </w:r>
      <w:r w:rsidRPr="00AE64F9">
        <w:t xml:space="preserve"> οφε</w:t>
      </w:r>
      <w:r w:rsidRPr="007E2784">
        <w:t>ίλονται κυρίως</w:t>
      </w:r>
      <w:r w:rsidR="00517A55">
        <w:t>:</w:t>
      </w:r>
      <w:r w:rsidRPr="007E2784">
        <w:t xml:space="preserve"> </w:t>
      </w:r>
      <w:r w:rsidR="00517A55">
        <w:t>(α</w:t>
      </w:r>
      <w:r w:rsidRPr="007E2784">
        <w:t>) σε υφιστάμενες διαχειριστικές πράξεις αντιστάθμισης επιτοκιακού κινδύνου</w:t>
      </w:r>
      <w:r w:rsidR="006159C2">
        <w:t>,</w:t>
      </w:r>
      <w:r w:rsidRPr="007E2784">
        <w:t xml:space="preserve"> </w:t>
      </w:r>
      <w:r w:rsidR="006159C2">
        <w:t>που</w:t>
      </w:r>
      <w:r w:rsidRPr="007E2784">
        <w:t xml:space="preserve"> προέρχονται από την προ</w:t>
      </w:r>
      <w:r w:rsidR="00517A55">
        <w:t xml:space="preserve"> </w:t>
      </w:r>
      <w:r w:rsidRPr="007E2784">
        <w:t xml:space="preserve">PSI εποχή και των οποίων οι υποκείμενες υποχρεώσεις δεν υφίστανται πλέον λόγω της αναδιάρθρωσης χρέους που έλαβε χώρα το 2012, </w:t>
      </w:r>
      <w:r w:rsidR="00517A55">
        <w:t>(β</w:t>
      </w:r>
      <w:r w:rsidRPr="007E2784">
        <w:t>) σε προκαταβολές τόκων που το Ε</w:t>
      </w:r>
      <w:r w:rsidR="00517A55">
        <w:t xml:space="preserve">λληνικό </w:t>
      </w:r>
      <w:r w:rsidRPr="007E2784">
        <w:t>Δ</w:t>
      </w:r>
      <w:r w:rsidR="00517A55">
        <w:t>ημόσιο</w:t>
      </w:r>
      <w:r w:rsidRPr="007E2784">
        <w:t xml:space="preserve"> κατέβαλε από το έτος 2018 και μετά, στο πλαίσιο του αντίστοιχου διαχειριστικού προγράμματος, οι οποίες έλαβαν χώρα </w:t>
      </w:r>
      <w:r w:rsidR="006159C2">
        <w:t>με σκοπό τη</w:t>
      </w:r>
      <w:r w:rsidRPr="007E2784">
        <w:t xml:space="preserve"> βέλτιστη διαχείριση των ταμειακών διαθεσίμων του Ε</w:t>
      </w:r>
      <w:r w:rsidR="008A67F9">
        <w:t xml:space="preserve">λληνικού </w:t>
      </w:r>
      <w:r w:rsidRPr="007E2784">
        <w:t>Δ</w:t>
      </w:r>
      <w:r w:rsidR="008A67F9">
        <w:t>ημοσίου</w:t>
      </w:r>
      <w:r w:rsidRPr="007E2784">
        <w:t xml:space="preserve">, </w:t>
      </w:r>
      <w:r w:rsidR="003A46D4">
        <w:t xml:space="preserve">τη </w:t>
      </w:r>
      <w:r w:rsidRPr="007E2784">
        <w:t xml:space="preserve">διαχρονική εξομάλυνση των ετήσιων χρηματοδοτικών αναγκών του και </w:t>
      </w:r>
      <w:r w:rsidR="003A46D4">
        <w:t xml:space="preserve">την </w:t>
      </w:r>
      <w:r w:rsidRPr="007E2784">
        <w:t xml:space="preserve">περαιτέρω μείωση του κινδύνου αναχρηματοδότησης και </w:t>
      </w:r>
      <w:r w:rsidR="008A67F9">
        <w:t>(γ</w:t>
      </w:r>
      <w:r w:rsidRPr="007E2784">
        <w:t>) στη</w:t>
      </w:r>
      <w:r w:rsidR="00A02E69">
        <w:t>ν πρόωρη αποπληρωμή δανειακών υποχρεώσεων (</w:t>
      </w:r>
      <w:r w:rsidR="00A02E69">
        <w:rPr>
          <w:lang w:val="en-US"/>
        </w:rPr>
        <w:t>GLF</w:t>
      </w:r>
      <w:r w:rsidR="00A02E69">
        <w:t xml:space="preserve">) καθώς και στη μείωση των </w:t>
      </w:r>
      <w:r w:rsidR="00A02E69">
        <w:rPr>
          <w:lang w:val="en-US"/>
        </w:rPr>
        <w:t>spreads</w:t>
      </w:r>
      <w:r w:rsidR="00A02E69">
        <w:t xml:space="preserve"> συνεπεία της αναβάθμισης του αξιόχρεου της ελληνικής οικονομίας.</w:t>
      </w:r>
    </w:p>
    <w:tbl>
      <w:tblPr>
        <w:tblW w:w="8990" w:type="dxa"/>
        <w:jc w:val="center"/>
        <w:tblLook w:val="04A0" w:firstRow="1" w:lastRow="0" w:firstColumn="1" w:lastColumn="0" w:noHBand="0" w:noVBand="1"/>
      </w:tblPr>
      <w:tblGrid>
        <w:gridCol w:w="3798"/>
        <w:gridCol w:w="717"/>
        <w:gridCol w:w="717"/>
        <w:gridCol w:w="717"/>
        <w:gridCol w:w="966"/>
        <w:gridCol w:w="1054"/>
        <w:gridCol w:w="1021"/>
      </w:tblGrid>
      <w:tr w:rsidR="006E4C24" w:rsidRPr="00FD594B" w14:paraId="3BF158B3" w14:textId="77777777" w:rsidTr="00B727F7">
        <w:trPr>
          <w:cantSplit/>
          <w:trHeight w:val="283"/>
          <w:jc w:val="center"/>
        </w:trPr>
        <w:tc>
          <w:tcPr>
            <w:tcW w:w="8990" w:type="dxa"/>
            <w:gridSpan w:val="7"/>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5DCE4"/>
            <w:vAlign w:val="center"/>
            <w:hideMark/>
          </w:tcPr>
          <w:p w14:paraId="74FA2884" w14:textId="26A96CF7" w:rsidR="006E4C24" w:rsidRPr="00FD594B" w:rsidRDefault="00CD0502" w:rsidP="00B727F7">
            <w:pPr>
              <w:spacing w:after="0" w:line="276" w:lineRule="auto"/>
              <w:jc w:val="center"/>
              <w:rPr>
                <w:rFonts w:cs="Arial"/>
                <w:b/>
                <w:bCs/>
                <w:sz w:val="18"/>
                <w:szCs w:val="18"/>
                <w:highlight w:val="yellow"/>
              </w:rPr>
            </w:pPr>
            <w:bookmarkStart w:id="720" w:name="_Ref182657693"/>
            <w:bookmarkStart w:id="721" w:name="_Toc214474115"/>
            <w:r w:rsidRPr="0088006A">
              <w:rPr>
                <w:b/>
                <w:sz w:val="18"/>
                <w:szCs w:val="18"/>
              </w:rPr>
              <w:t>Πίνακας 4.</w:t>
            </w:r>
            <w:r w:rsidRPr="0088006A">
              <w:rPr>
                <w:b/>
                <w:sz w:val="18"/>
                <w:szCs w:val="18"/>
              </w:rPr>
              <w:fldChar w:fldCharType="begin"/>
            </w:r>
            <w:r w:rsidRPr="0088006A">
              <w:rPr>
                <w:b/>
                <w:sz w:val="18"/>
                <w:szCs w:val="18"/>
              </w:rPr>
              <w:instrText xml:space="preserve"> SEQ Πίνακας_4. \* ARABIC </w:instrText>
            </w:r>
            <w:r w:rsidRPr="0088006A">
              <w:rPr>
                <w:b/>
                <w:sz w:val="18"/>
                <w:szCs w:val="18"/>
              </w:rPr>
              <w:fldChar w:fldCharType="separate"/>
            </w:r>
            <w:r w:rsidR="00E15678">
              <w:rPr>
                <w:b/>
                <w:noProof/>
                <w:sz w:val="18"/>
                <w:szCs w:val="18"/>
              </w:rPr>
              <w:t>9</w:t>
            </w:r>
            <w:r w:rsidRPr="0088006A">
              <w:rPr>
                <w:b/>
                <w:sz w:val="18"/>
                <w:szCs w:val="18"/>
              </w:rPr>
              <w:fldChar w:fldCharType="end"/>
            </w:r>
            <w:bookmarkEnd w:id="720"/>
            <w:r w:rsidR="005F25D9" w:rsidRPr="0088006A">
              <w:rPr>
                <w:b/>
                <w:sz w:val="18"/>
                <w:szCs w:val="18"/>
              </w:rPr>
              <w:t>.:</w:t>
            </w:r>
            <w:r w:rsidR="006E4C24" w:rsidRPr="0088006A">
              <w:rPr>
                <w:rFonts w:cs="Arial"/>
                <w:b/>
                <w:bCs/>
                <w:sz w:val="18"/>
                <w:szCs w:val="18"/>
              </w:rPr>
              <w:t xml:space="preserve"> Ύψος δαπανών για τόκους χρέους</w:t>
            </w:r>
            <w:r w:rsidR="007D73CB">
              <w:rPr>
                <w:rFonts w:cs="Arial"/>
                <w:b/>
                <w:bCs/>
                <w:sz w:val="18"/>
                <w:szCs w:val="18"/>
              </w:rPr>
              <w:t xml:space="preserve"> της</w:t>
            </w:r>
            <w:r w:rsidR="006E4C24" w:rsidRPr="0088006A">
              <w:rPr>
                <w:rFonts w:cs="Arial"/>
                <w:b/>
                <w:bCs/>
                <w:sz w:val="18"/>
                <w:szCs w:val="18"/>
              </w:rPr>
              <w:t xml:space="preserve"> Κεντρικής Διοίκησης</w:t>
            </w:r>
            <w:r w:rsidR="006E4C24" w:rsidRPr="0088006A">
              <w:rPr>
                <w:rFonts w:cs="Arial"/>
                <w:b/>
                <w:bCs/>
                <w:sz w:val="18"/>
                <w:szCs w:val="18"/>
              </w:rPr>
              <w:br/>
              <w:t>(σε εκατ. ευρώ)</w:t>
            </w:r>
            <w:bookmarkEnd w:id="721"/>
          </w:p>
        </w:tc>
      </w:tr>
      <w:tr w:rsidR="006A7FE7" w:rsidRPr="000463FD" w14:paraId="050F3939" w14:textId="77777777" w:rsidTr="00B727F7">
        <w:trPr>
          <w:cantSplit/>
          <w:trHeight w:val="283"/>
          <w:jc w:val="center"/>
        </w:trPr>
        <w:tc>
          <w:tcPr>
            <w:tcW w:w="3798"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noWrap/>
            <w:vAlign w:val="center"/>
            <w:hideMark/>
          </w:tcPr>
          <w:p w14:paraId="34E49189" w14:textId="6677AFFC" w:rsidR="006A7FE7" w:rsidRPr="000463FD" w:rsidRDefault="006A7FE7" w:rsidP="00B727F7">
            <w:pPr>
              <w:spacing w:after="0" w:line="276" w:lineRule="auto"/>
              <w:jc w:val="center"/>
              <w:rPr>
                <w:rFonts w:cs="Arial"/>
                <w:b/>
                <w:bCs/>
                <w:sz w:val="16"/>
                <w:szCs w:val="16"/>
              </w:rPr>
            </w:pPr>
          </w:p>
        </w:tc>
        <w:tc>
          <w:tcPr>
            <w:tcW w:w="717" w:type="dxa"/>
            <w:tcBorders>
              <w:top w:val="single" w:sz="2" w:space="0" w:color="A6A6A6" w:themeColor="background1" w:themeShade="A6"/>
              <w:bottom w:val="single" w:sz="2" w:space="0" w:color="A6A6A6" w:themeColor="background1" w:themeShade="A6"/>
            </w:tcBorders>
            <w:shd w:val="clear" w:color="auto" w:fill="auto"/>
            <w:noWrap/>
            <w:vAlign w:val="center"/>
          </w:tcPr>
          <w:p w14:paraId="3FB00BB0" w14:textId="49275B96" w:rsidR="006A7FE7" w:rsidRPr="000463FD" w:rsidRDefault="006A7FE7" w:rsidP="00B727F7">
            <w:pPr>
              <w:spacing w:after="0" w:line="276" w:lineRule="auto"/>
              <w:jc w:val="center"/>
              <w:rPr>
                <w:rFonts w:cs="Arial"/>
                <w:b/>
                <w:bCs/>
                <w:sz w:val="16"/>
                <w:szCs w:val="16"/>
              </w:rPr>
            </w:pPr>
            <w:r w:rsidRPr="000463FD">
              <w:rPr>
                <w:b/>
                <w:sz w:val="16"/>
                <w:szCs w:val="16"/>
              </w:rPr>
              <w:t>2021</w:t>
            </w:r>
          </w:p>
        </w:tc>
        <w:tc>
          <w:tcPr>
            <w:tcW w:w="717" w:type="dxa"/>
            <w:tcBorders>
              <w:top w:val="single" w:sz="2" w:space="0" w:color="A6A6A6" w:themeColor="background1" w:themeShade="A6"/>
              <w:bottom w:val="single" w:sz="2" w:space="0" w:color="A6A6A6" w:themeColor="background1" w:themeShade="A6"/>
            </w:tcBorders>
            <w:shd w:val="clear" w:color="auto" w:fill="auto"/>
            <w:noWrap/>
            <w:vAlign w:val="center"/>
          </w:tcPr>
          <w:p w14:paraId="5FBD2D63" w14:textId="05F174DE" w:rsidR="006A7FE7" w:rsidRPr="000463FD" w:rsidRDefault="006A7FE7" w:rsidP="00B727F7">
            <w:pPr>
              <w:spacing w:after="0" w:line="276" w:lineRule="auto"/>
              <w:jc w:val="center"/>
              <w:rPr>
                <w:rFonts w:cs="Arial"/>
                <w:b/>
                <w:bCs/>
                <w:sz w:val="16"/>
                <w:szCs w:val="16"/>
              </w:rPr>
            </w:pPr>
            <w:r w:rsidRPr="000463FD">
              <w:rPr>
                <w:b/>
                <w:sz w:val="16"/>
                <w:szCs w:val="16"/>
              </w:rPr>
              <w:t>2022</w:t>
            </w:r>
          </w:p>
        </w:tc>
        <w:tc>
          <w:tcPr>
            <w:tcW w:w="717" w:type="dxa"/>
            <w:tcBorders>
              <w:top w:val="single" w:sz="2" w:space="0" w:color="A6A6A6" w:themeColor="background1" w:themeShade="A6"/>
              <w:bottom w:val="single" w:sz="2" w:space="0" w:color="A6A6A6" w:themeColor="background1" w:themeShade="A6"/>
            </w:tcBorders>
            <w:shd w:val="clear" w:color="auto" w:fill="auto"/>
            <w:noWrap/>
            <w:vAlign w:val="center"/>
          </w:tcPr>
          <w:p w14:paraId="77830F9F" w14:textId="1B1D274B" w:rsidR="006A7FE7" w:rsidRPr="000463FD" w:rsidRDefault="006A7FE7" w:rsidP="00B727F7">
            <w:pPr>
              <w:spacing w:after="0" w:line="276" w:lineRule="auto"/>
              <w:jc w:val="center"/>
              <w:rPr>
                <w:rFonts w:cs="Arial"/>
                <w:b/>
                <w:bCs/>
                <w:sz w:val="16"/>
                <w:szCs w:val="16"/>
              </w:rPr>
            </w:pPr>
            <w:r w:rsidRPr="000463FD">
              <w:rPr>
                <w:b/>
                <w:sz w:val="16"/>
                <w:szCs w:val="16"/>
              </w:rPr>
              <w:t>2023</w:t>
            </w:r>
          </w:p>
        </w:tc>
        <w:tc>
          <w:tcPr>
            <w:tcW w:w="966" w:type="dxa"/>
            <w:tcBorders>
              <w:top w:val="single" w:sz="2" w:space="0" w:color="A6A6A6" w:themeColor="background1" w:themeShade="A6"/>
              <w:bottom w:val="single" w:sz="2" w:space="0" w:color="A6A6A6" w:themeColor="background1" w:themeShade="A6"/>
            </w:tcBorders>
            <w:shd w:val="clear" w:color="auto" w:fill="auto"/>
            <w:vAlign w:val="center"/>
          </w:tcPr>
          <w:p w14:paraId="79FB2CBC" w14:textId="48791607" w:rsidR="006A7FE7" w:rsidRPr="000463FD" w:rsidRDefault="006A7FE7" w:rsidP="00B727F7">
            <w:pPr>
              <w:spacing w:after="0" w:line="276" w:lineRule="auto"/>
              <w:jc w:val="center"/>
              <w:rPr>
                <w:rFonts w:cs="Arial"/>
                <w:b/>
                <w:bCs/>
                <w:sz w:val="16"/>
                <w:szCs w:val="16"/>
              </w:rPr>
            </w:pPr>
            <w:r w:rsidRPr="000463FD">
              <w:rPr>
                <w:b/>
                <w:sz w:val="16"/>
                <w:szCs w:val="16"/>
              </w:rPr>
              <w:t>2024</w:t>
            </w:r>
          </w:p>
        </w:tc>
        <w:tc>
          <w:tcPr>
            <w:tcW w:w="1054" w:type="dxa"/>
            <w:tcBorders>
              <w:top w:val="single" w:sz="2" w:space="0" w:color="A6A6A6" w:themeColor="background1" w:themeShade="A6"/>
              <w:bottom w:val="single" w:sz="2" w:space="0" w:color="A6A6A6" w:themeColor="background1" w:themeShade="A6"/>
            </w:tcBorders>
            <w:shd w:val="clear" w:color="auto" w:fill="auto"/>
            <w:noWrap/>
            <w:vAlign w:val="center"/>
          </w:tcPr>
          <w:p w14:paraId="33F030BE" w14:textId="684EE3B5" w:rsidR="006A7FE7" w:rsidRPr="000463FD" w:rsidRDefault="006A7FE7" w:rsidP="00B727F7">
            <w:pPr>
              <w:spacing w:after="0" w:line="276" w:lineRule="auto"/>
              <w:jc w:val="center"/>
              <w:rPr>
                <w:rFonts w:cs="Arial"/>
                <w:b/>
                <w:bCs/>
                <w:sz w:val="16"/>
                <w:szCs w:val="16"/>
              </w:rPr>
            </w:pPr>
            <w:r w:rsidRPr="000463FD">
              <w:rPr>
                <w:b/>
                <w:sz w:val="16"/>
                <w:szCs w:val="16"/>
              </w:rPr>
              <w:t>2025*</w:t>
            </w:r>
          </w:p>
        </w:tc>
        <w:tc>
          <w:tcPr>
            <w:tcW w:w="1021"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208ABA06" w14:textId="35827670" w:rsidR="006A7FE7" w:rsidRPr="000463FD" w:rsidRDefault="006A7FE7" w:rsidP="00B727F7">
            <w:pPr>
              <w:spacing w:after="0" w:line="276" w:lineRule="auto"/>
              <w:jc w:val="center"/>
              <w:rPr>
                <w:rFonts w:cs="Arial"/>
                <w:b/>
                <w:bCs/>
                <w:sz w:val="16"/>
                <w:szCs w:val="16"/>
              </w:rPr>
            </w:pPr>
            <w:r w:rsidRPr="000463FD">
              <w:rPr>
                <w:b/>
                <w:sz w:val="16"/>
                <w:szCs w:val="16"/>
              </w:rPr>
              <w:t>2026**</w:t>
            </w:r>
          </w:p>
        </w:tc>
      </w:tr>
      <w:tr w:rsidR="006A7FE7" w:rsidRPr="006E4C24" w14:paraId="2881727D" w14:textId="77777777" w:rsidTr="00B727F7">
        <w:trPr>
          <w:cantSplit/>
          <w:trHeight w:val="283"/>
          <w:jc w:val="center"/>
        </w:trPr>
        <w:tc>
          <w:tcPr>
            <w:tcW w:w="3798" w:type="dxa"/>
            <w:tcBorders>
              <w:top w:val="single" w:sz="2" w:space="0" w:color="A6A6A6" w:themeColor="background1" w:themeShade="A6"/>
              <w:left w:val="single" w:sz="2" w:space="0" w:color="A6A6A6" w:themeColor="background1" w:themeShade="A6"/>
            </w:tcBorders>
            <w:shd w:val="clear" w:color="auto" w:fill="auto"/>
            <w:noWrap/>
            <w:vAlign w:val="center"/>
            <w:hideMark/>
          </w:tcPr>
          <w:p w14:paraId="3412E64C" w14:textId="77777777" w:rsidR="006A7FE7" w:rsidRPr="006E4C24" w:rsidRDefault="006A7FE7" w:rsidP="00B727F7">
            <w:pPr>
              <w:spacing w:after="0" w:line="276" w:lineRule="auto"/>
              <w:jc w:val="left"/>
              <w:rPr>
                <w:rFonts w:cs="Arial"/>
                <w:sz w:val="16"/>
                <w:szCs w:val="16"/>
              </w:rPr>
            </w:pPr>
            <w:r w:rsidRPr="006E4C24">
              <w:rPr>
                <w:rFonts w:cs="Arial"/>
                <w:sz w:val="16"/>
                <w:szCs w:val="16"/>
              </w:rPr>
              <w:t>Τόκοι προ Swap</w:t>
            </w:r>
          </w:p>
        </w:tc>
        <w:tc>
          <w:tcPr>
            <w:tcW w:w="717" w:type="dxa"/>
            <w:tcBorders>
              <w:top w:val="single" w:sz="2" w:space="0" w:color="A6A6A6" w:themeColor="background1" w:themeShade="A6"/>
            </w:tcBorders>
            <w:shd w:val="clear" w:color="auto" w:fill="auto"/>
            <w:noWrap/>
            <w:vAlign w:val="center"/>
          </w:tcPr>
          <w:p w14:paraId="5419B9FD" w14:textId="69067ECD" w:rsidR="006A7FE7" w:rsidRPr="006A7FE7" w:rsidRDefault="006A7FE7" w:rsidP="00B727F7">
            <w:pPr>
              <w:spacing w:after="0" w:line="276" w:lineRule="auto"/>
              <w:jc w:val="right"/>
              <w:rPr>
                <w:rFonts w:cs="Arial"/>
                <w:sz w:val="16"/>
                <w:szCs w:val="16"/>
              </w:rPr>
            </w:pPr>
            <w:r w:rsidRPr="006A7FE7">
              <w:rPr>
                <w:sz w:val="16"/>
                <w:szCs w:val="16"/>
              </w:rPr>
              <w:t>4.504</w:t>
            </w:r>
          </w:p>
        </w:tc>
        <w:tc>
          <w:tcPr>
            <w:tcW w:w="717" w:type="dxa"/>
            <w:tcBorders>
              <w:top w:val="single" w:sz="2" w:space="0" w:color="A6A6A6" w:themeColor="background1" w:themeShade="A6"/>
            </w:tcBorders>
            <w:shd w:val="clear" w:color="auto" w:fill="auto"/>
            <w:noWrap/>
            <w:vAlign w:val="center"/>
          </w:tcPr>
          <w:p w14:paraId="7A010A94" w14:textId="393B6FB1" w:rsidR="006A7FE7" w:rsidRPr="006A7FE7" w:rsidRDefault="006A7FE7" w:rsidP="00B727F7">
            <w:pPr>
              <w:spacing w:after="0" w:line="276" w:lineRule="auto"/>
              <w:jc w:val="right"/>
              <w:rPr>
                <w:rFonts w:cs="Arial"/>
                <w:sz w:val="16"/>
                <w:szCs w:val="16"/>
              </w:rPr>
            </w:pPr>
            <w:r w:rsidRPr="006A7FE7">
              <w:rPr>
                <w:sz w:val="16"/>
                <w:szCs w:val="16"/>
              </w:rPr>
              <w:t>4.917</w:t>
            </w:r>
          </w:p>
        </w:tc>
        <w:tc>
          <w:tcPr>
            <w:tcW w:w="717" w:type="dxa"/>
            <w:tcBorders>
              <w:top w:val="single" w:sz="2" w:space="0" w:color="A6A6A6" w:themeColor="background1" w:themeShade="A6"/>
            </w:tcBorders>
            <w:shd w:val="clear" w:color="auto" w:fill="auto"/>
            <w:noWrap/>
            <w:vAlign w:val="center"/>
          </w:tcPr>
          <w:p w14:paraId="14FFD0A5" w14:textId="38389E63" w:rsidR="006A7FE7" w:rsidRPr="006A7FE7" w:rsidRDefault="006A7FE7" w:rsidP="00B727F7">
            <w:pPr>
              <w:spacing w:after="0" w:line="276" w:lineRule="auto"/>
              <w:jc w:val="right"/>
              <w:rPr>
                <w:rFonts w:cs="Arial"/>
                <w:sz w:val="16"/>
                <w:szCs w:val="16"/>
              </w:rPr>
            </w:pPr>
            <w:r w:rsidRPr="006A7FE7">
              <w:rPr>
                <w:sz w:val="16"/>
                <w:szCs w:val="16"/>
              </w:rPr>
              <w:t>7.652</w:t>
            </w:r>
          </w:p>
        </w:tc>
        <w:tc>
          <w:tcPr>
            <w:tcW w:w="966" w:type="dxa"/>
            <w:tcBorders>
              <w:top w:val="single" w:sz="2" w:space="0" w:color="A6A6A6" w:themeColor="background1" w:themeShade="A6"/>
            </w:tcBorders>
            <w:shd w:val="clear" w:color="auto" w:fill="auto"/>
            <w:vAlign w:val="center"/>
          </w:tcPr>
          <w:p w14:paraId="34F40D9A" w14:textId="6F210192" w:rsidR="006A7FE7" w:rsidRPr="006A7FE7" w:rsidRDefault="006A7FE7" w:rsidP="00B727F7">
            <w:pPr>
              <w:spacing w:after="0" w:line="276" w:lineRule="auto"/>
              <w:jc w:val="right"/>
              <w:rPr>
                <w:rFonts w:cs="Arial"/>
                <w:sz w:val="16"/>
                <w:szCs w:val="16"/>
              </w:rPr>
            </w:pPr>
            <w:r w:rsidRPr="006A7FE7">
              <w:rPr>
                <w:sz w:val="16"/>
                <w:szCs w:val="16"/>
              </w:rPr>
              <w:t>8.279</w:t>
            </w:r>
          </w:p>
        </w:tc>
        <w:tc>
          <w:tcPr>
            <w:tcW w:w="1054" w:type="dxa"/>
            <w:tcBorders>
              <w:top w:val="single" w:sz="2" w:space="0" w:color="A6A6A6" w:themeColor="background1" w:themeShade="A6"/>
            </w:tcBorders>
            <w:shd w:val="clear" w:color="auto" w:fill="auto"/>
            <w:noWrap/>
            <w:vAlign w:val="center"/>
          </w:tcPr>
          <w:p w14:paraId="11BAA79D" w14:textId="6046346D" w:rsidR="006A7FE7" w:rsidRPr="006A7FE7" w:rsidRDefault="006A7FE7" w:rsidP="00B727F7">
            <w:pPr>
              <w:spacing w:after="0" w:line="276" w:lineRule="auto"/>
              <w:jc w:val="right"/>
              <w:rPr>
                <w:rFonts w:cs="Arial"/>
                <w:sz w:val="16"/>
                <w:szCs w:val="16"/>
              </w:rPr>
            </w:pPr>
            <w:r w:rsidRPr="006A7FE7">
              <w:rPr>
                <w:sz w:val="16"/>
                <w:szCs w:val="16"/>
              </w:rPr>
              <w:t>7.871</w:t>
            </w:r>
          </w:p>
        </w:tc>
        <w:tc>
          <w:tcPr>
            <w:tcW w:w="1021" w:type="dxa"/>
            <w:tcBorders>
              <w:top w:val="single" w:sz="2" w:space="0" w:color="A6A6A6" w:themeColor="background1" w:themeShade="A6"/>
              <w:right w:val="single" w:sz="2" w:space="0" w:color="A6A6A6" w:themeColor="background1" w:themeShade="A6"/>
            </w:tcBorders>
            <w:shd w:val="clear" w:color="auto" w:fill="auto"/>
            <w:vAlign w:val="center"/>
          </w:tcPr>
          <w:p w14:paraId="40BCDD45" w14:textId="00561324" w:rsidR="006A7FE7" w:rsidRPr="006A7FE7" w:rsidRDefault="006A7FE7" w:rsidP="00B727F7">
            <w:pPr>
              <w:spacing w:after="0" w:line="276" w:lineRule="auto"/>
              <w:jc w:val="right"/>
              <w:rPr>
                <w:rFonts w:cs="Arial"/>
                <w:sz w:val="16"/>
                <w:szCs w:val="16"/>
              </w:rPr>
            </w:pPr>
            <w:r w:rsidRPr="006A7FE7">
              <w:rPr>
                <w:sz w:val="16"/>
                <w:szCs w:val="16"/>
              </w:rPr>
              <w:t>7.916</w:t>
            </w:r>
          </w:p>
        </w:tc>
      </w:tr>
      <w:tr w:rsidR="006A7FE7" w:rsidRPr="006E4C24" w14:paraId="340F516C" w14:textId="77777777" w:rsidTr="00B727F7">
        <w:trPr>
          <w:cantSplit/>
          <w:trHeight w:val="283"/>
          <w:jc w:val="center"/>
        </w:trPr>
        <w:tc>
          <w:tcPr>
            <w:tcW w:w="3798" w:type="dxa"/>
            <w:tcBorders>
              <w:left w:val="single" w:sz="2" w:space="0" w:color="A6A6A6" w:themeColor="background1" w:themeShade="A6"/>
            </w:tcBorders>
            <w:shd w:val="clear" w:color="auto" w:fill="auto"/>
            <w:noWrap/>
            <w:vAlign w:val="center"/>
            <w:hideMark/>
          </w:tcPr>
          <w:p w14:paraId="0911F7C3" w14:textId="77777777" w:rsidR="006A7FE7" w:rsidRPr="006E4C24" w:rsidRDefault="006A7FE7" w:rsidP="00B727F7">
            <w:pPr>
              <w:spacing w:after="0" w:line="276" w:lineRule="auto"/>
              <w:jc w:val="left"/>
              <w:rPr>
                <w:rFonts w:cs="Arial"/>
                <w:sz w:val="16"/>
                <w:szCs w:val="16"/>
              </w:rPr>
            </w:pPr>
            <w:r w:rsidRPr="006E4C24">
              <w:rPr>
                <w:rFonts w:cs="Arial"/>
                <w:sz w:val="16"/>
                <w:szCs w:val="16"/>
              </w:rPr>
              <w:t>Τόκοι μετά Swap</w:t>
            </w:r>
          </w:p>
        </w:tc>
        <w:tc>
          <w:tcPr>
            <w:tcW w:w="717" w:type="dxa"/>
            <w:shd w:val="clear" w:color="auto" w:fill="auto"/>
            <w:noWrap/>
            <w:vAlign w:val="center"/>
          </w:tcPr>
          <w:p w14:paraId="115A98DC" w14:textId="012901E1" w:rsidR="006A7FE7" w:rsidRPr="006A7FE7" w:rsidRDefault="006A7FE7" w:rsidP="00B727F7">
            <w:pPr>
              <w:spacing w:after="0" w:line="276" w:lineRule="auto"/>
              <w:jc w:val="right"/>
              <w:rPr>
                <w:rFonts w:cs="Arial"/>
                <w:sz w:val="16"/>
                <w:szCs w:val="16"/>
              </w:rPr>
            </w:pPr>
            <w:r w:rsidRPr="006A7FE7">
              <w:rPr>
                <w:sz w:val="16"/>
                <w:szCs w:val="16"/>
              </w:rPr>
              <w:t>5.967</w:t>
            </w:r>
          </w:p>
        </w:tc>
        <w:tc>
          <w:tcPr>
            <w:tcW w:w="717" w:type="dxa"/>
            <w:shd w:val="clear" w:color="auto" w:fill="auto"/>
            <w:noWrap/>
            <w:vAlign w:val="center"/>
          </w:tcPr>
          <w:p w14:paraId="5BA6D90E" w14:textId="1D39D841" w:rsidR="006A7FE7" w:rsidRPr="006A7FE7" w:rsidRDefault="006A7FE7" w:rsidP="00B727F7">
            <w:pPr>
              <w:spacing w:after="0" w:line="276" w:lineRule="auto"/>
              <w:jc w:val="right"/>
              <w:rPr>
                <w:rFonts w:cs="Arial"/>
                <w:sz w:val="16"/>
                <w:szCs w:val="16"/>
              </w:rPr>
            </w:pPr>
            <w:r w:rsidRPr="006A7FE7">
              <w:rPr>
                <w:sz w:val="16"/>
                <w:szCs w:val="16"/>
              </w:rPr>
              <w:t>6.060</w:t>
            </w:r>
          </w:p>
        </w:tc>
        <w:tc>
          <w:tcPr>
            <w:tcW w:w="717" w:type="dxa"/>
            <w:shd w:val="clear" w:color="auto" w:fill="auto"/>
            <w:noWrap/>
            <w:vAlign w:val="center"/>
          </w:tcPr>
          <w:p w14:paraId="2AE1E393" w14:textId="4F29EA59" w:rsidR="006A7FE7" w:rsidRPr="006A7FE7" w:rsidRDefault="006A7FE7" w:rsidP="00B727F7">
            <w:pPr>
              <w:spacing w:after="0" w:line="276" w:lineRule="auto"/>
              <w:jc w:val="right"/>
              <w:rPr>
                <w:rFonts w:cs="Arial"/>
                <w:sz w:val="16"/>
                <w:szCs w:val="16"/>
              </w:rPr>
            </w:pPr>
            <w:r w:rsidRPr="006A7FE7">
              <w:rPr>
                <w:sz w:val="16"/>
                <w:szCs w:val="16"/>
              </w:rPr>
              <w:t>6.475</w:t>
            </w:r>
          </w:p>
        </w:tc>
        <w:tc>
          <w:tcPr>
            <w:tcW w:w="966" w:type="dxa"/>
            <w:shd w:val="clear" w:color="auto" w:fill="auto"/>
            <w:vAlign w:val="center"/>
          </w:tcPr>
          <w:p w14:paraId="36E4510D" w14:textId="1610485A" w:rsidR="006A7FE7" w:rsidRPr="006A7FE7" w:rsidRDefault="006A7FE7" w:rsidP="00B727F7">
            <w:pPr>
              <w:spacing w:after="0" w:line="276" w:lineRule="auto"/>
              <w:jc w:val="right"/>
              <w:rPr>
                <w:rFonts w:cs="Arial"/>
                <w:sz w:val="16"/>
                <w:szCs w:val="16"/>
              </w:rPr>
            </w:pPr>
            <w:r w:rsidRPr="006A7FE7">
              <w:rPr>
                <w:sz w:val="16"/>
                <w:szCs w:val="16"/>
              </w:rPr>
              <w:t>7.045</w:t>
            </w:r>
          </w:p>
        </w:tc>
        <w:tc>
          <w:tcPr>
            <w:tcW w:w="1054" w:type="dxa"/>
            <w:shd w:val="clear" w:color="auto" w:fill="auto"/>
            <w:noWrap/>
            <w:vAlign w:val="center"/>
          </w:tcPr>
          <w:p w14:paraId="7006209C" w14:textId="09B46D61" w:rsidR="006A7FE7" w:rsidRPr="006A7FE7" w:rsidRDefault="006A7FE7" w:rsidP="00B727F7">
            <w:pPr>
              <w:spacing w:after="0" w:line="276" w:lineRule="auto"/>
              <w:jc w:val="right"/>
              <w:rPr>
                <w:rFonts w:cs="Arial"/>
                <w:sz w:val="16"/>
                <w:szCs w:val="16"/>
              </w:rPr>
            </w:pPr>
            <w:r w:rsidRPr="006A7FE7">
              <w:rPr>
                <w:sz w:val="16"/>
                <w:szCs w:val="16"/>
              </w:rPr>
              <w:t>7.294</w:t>
            </w:r>
          </w:p>
        </w:tc>
        <w:tc>
          <w:tcPr>
            <w:tcW w:w="1021" w:type="dxa"/>
            <w:tcBorders>
              <w:right w:val="single" w:sz="2" w:space="0" w:color="A6A6A6" w:themeColor="background1" w:themeShade="A6"/>
            </w:tcBorders>
            <w:shd w:val="clear" w:color="auto" w:fill="auto"/>
            <w:vAlign w:val="center"/>
          </w:tcPr>
          <w:p w14:paraId="361DE60D" w14:textId="69D4DD0E" w:rsidR="006A7FE7" w:rsidRPr="006A7FE7" w:rsidRDefault="006A7FE7" w:rsidP="00B727F7">
            <w:pPr>
              <w:spacing w:after="0" w:line="276" w:lineRule="auto"/>
              <w:jc w:val="right"/>
              <w:rPr>
                <w:rFonts w:cs="Arial"/>
                <w:sz w:val="16"/>
                <w:szCs w:val="16"/>
              </w:rPr>
            </w:pPr>
            <w:r w:rsidRPr="006A7FE7">
              <w:rPr>
                <w:sz w:val="16"/>
                <w:szCs w:val="16"/>
              </w:rPr>
              <w:t>7.298</w:t>
            </w:r>
          </w:p>
        </w:tc>
      </w:tr>
      <w:tr w:rsidR="006A7FE7" w:rsidRPr="006E4C24" w14:paraId="6FE99585" w14:textId="77777777" w:rsidTr="00B727F7">
        <w:trPr>
          <w:cantSplit/>
          <w:trHeight w:val="283"/>
          <w:jc w:val="center"/>
        </w:trPr>
        <w:tc>
          <w:tcPr>
            <w:tcW w:w="3798" w:type="dxa"/>
            <w:tcBorders>
              <w:left w:val="single" w:sz="2" w:space="0" w:color="A6A6A6" w:themeColor="background1" w:themeShade="A6"/>
            </w:tcBorders>
            <w:shd w:val="clear" w:color="auto" w:fill="auto"/>
            <w:noWrap/>
            <w:vAlign w:val="center"/>
            <w:hideMark/>
          </w:tcPr>
          <w:p w14:paraId="4AB367C3" w14:textId="432A9C98" w:rsidR="006A7FE7" w:rsidRPr="006E4C24" w:rsidRDefault="006A7FE7" w:rsidP="00B727F7">
            <w:pPr>
              <w:spacing w:after="0" w:line="276" w:lineRule="auto"/>
              <w:jc w:val="left"/>
              <w:rPr>
                <w:rFonts w:cs="Arial"/>
                <w:sz w:val="16"/>
                <w:szCs w:val="16"/>
              </w:rPr>
            </w:pPr>
            <w:r w:rsidRPr="006E4C24">
              <w:rPr>
                <w:rFonts w:cs="Arial"/>
                <w:sz w:val="16"/>
                <w:szCs w:val="16"/>
              </w:rPr>
              <w:t>Τόκοι μετά Swap ως % του ΑΕΠ</w:t>
            </w:r>
          </w:p>
        </w:tc>
        <w:tc>
          <w:tcPr>
            <w:tcW w:w="717" w:type="dxa"/>
            <w:shd w:val="clear" w:color="auto" w:fill="auto"/>
            <w:noWrap/>
            <w:vAlign w:val="center"/>
          </w:tcPr>
          <w:p w14:paraId="5FA08146" w14:textId="2631527B" w:rsidR="006A7FE7" w:rsidRPr="006A7FE7" w:rsidRDefault="006A7FE7" w:rsidP="00B727F7">
            <w:pPr>
              <w:spacing w:after="0" w:line="276" w:lineRule="auto"/>
              <w:jc w:val="right"/>
              <w:rPr>
                <w:rFonts w:cs="Arial"/>
                <w:sz w:val="16"/>
                <w:szCs w:val="16"/>
              </w:rPr>
            </w:pPr>
            <w:r w:rsidRPr="006A7FE7">
              <w:rPr>
                <w:sz w:val="16"/>
                <w:szCs w:val="16"/>
              </w:rPr>
              <w:t>3,2%</w:t>
            </w:r>
          </w:p>
        </w:tc>
        <w:tc>
          <w:tcPr>
            <w:tcW w:w="717" w:type="dxa"/>
            <w:shd w:val="clear" w:color="auto" w:fill="auto"/>
            <w:noWrap/>
            <w:vAlign w:val="center"/>
          </w:tcPr>
          <w:p w14:paraId="2B8C47AD" w14:textId="4D35FDD8" w:rsidR="006A7FE7" w:rsidRPr="006A7FE7" w:rsidRDefault="006A7FE7" w:rsidP="00B727F7">
            <w:pPr>
              <w:spacing w:after="0" w:line="276" w:lineRule="auto"/>
              <w:jc w:val="right"/>
              <w:rPr>
                <w:rFonts w:cs="Arial"/>
                <w:sz w:val="16"/>
                <w:szCs w:val="16"/>
              </w:rPr>
            </w:pPr>
            <w:r w:rsidRPr="006A7FE7">
              <w:rPr>
                <w:sz w:val="16"/>
                <w:szCs w:val="16"/>
              </w:rPr>
              <w:t>2,9%</w:t>
            </w:r>
          </w:p>
        </w:tc>
        <w:tc>
          <w:tcPr>
            <w:tcW w:w="717" w:type="dxa"/>
            <w:shd w:val="clear" w:color="auto" w:fill="auto"/>
            <w:noWrap/>
            <w:vAlign w:val="center"/>
          </w:tcPr>
          <w:p w14:paraId="3FA68B3E" w14:textId="2B58140C" w:rsidR="006A7FE7" w:rsidRPr="006A7FE7" w:rsidRDefault="006A7FE7" w:rsidP="00B727F7">
            <w:pPr>
              <w:spacing w:after="0" w:line="276" w:lineRule="auto"/>
              <w:jc w:val="right"/>
              <w:rPr>
                <w:rFonts w:cs="Arial"/>
                <w:sz w:val="16"/>
                <w:szCs w:val="16"/>
              </w:rPr>
            </w:pPr>
            <w:r w:rsidRPr="006A7FE7">
              <w:rPr>
                <w:sz w:val="16"/>
                <w:szCs w:val="16"/>
              </w:rPr>
              <w:t>2,9%</w:t>
            </w:r>
          </w:p>
        </w:tc>
        <w:tc>
          <w:tcPr>
            <w:tcW w:w="966" w:type="dxa"/>
            <w:shd w:val="clear" w:color="auto" w:fill="auto"/>
            <w:vAlign w:val="center"/>
          </w:tcPr>
          <w:p w14:paraId="7338A9BB" w14:textId="6D05DC42" w:rsidR="006A7FE7" w:rsidRPr="006A7FE7" w:rsidRDefault="006A7FE7" w:rsidP="00B727F7">
            <w:pPr>
              <w:spacing w:after="0" w:line="276" w:lineRule="auto"/>
              <w:jc w:val="right"/>
              <w:rPr>
                <w:rFonts w:cs="Arial"/>
                <w:sz w:val="16"/>
                <w:szCs w:val="16"/>
              </w:rPr>
            </w:pPr>
            <w:r w:rsidRPr="006A7FE7">
              <w:rPr>
                <w:sz w:val="16"/>
                <w:szCs w:val="16"/>
              </w:rPr>
              <w:t>3,0%</w:t>
            </w:r>
          </w:p>
        </w:tc>
        <w:tc>
          <w:tcPr>
            <w:tcW w:w="1054" w:type="dxa"/>
            <w:shd w:val="clear" w:color="auto" w:fill="auto"/>
            <w:noWrap/>
            <w:vAlign w:val="center"/>
          </w:tcPr>
          <w:p w14:paraId="5FD44D76" w14:textId="14DFD042" w:rsidR="006A7FE7" w:rsidRPr="006A7FE7" w:rsidRDefault="006A7FE7" w:rsidP="00B727F7">
            <w:pPr>
              <w:spacing w:after="0" w:line="276" w:lineRule="auto"/>
              <w:jc w:val="right"/>
              <w:rPr>
                <w:rFonts w:cs="Arial"/>
                <w:sz w:val="16"/>
                <w:szCs w:val="16"/>
              </w:rPr>
            </w:pPr>
            <w:r w:rsidRPr="006A7FE7">
              <w:rPr>
                <w:sz w:val="16"/>
                <w:szCs w:val="16"/>
              </w:rPr>
              <w:t>2,9%</w:t>
            </w:r>
          </w:p>
        </w:tc>
        <w:tc>
          <w:tcPr>
            <w:tcW w:w="1021" w:type="dxa"/>
            <w:tcBorders>
              <w:right w:val="single" w:sz="2" w:space="0" w:color="A6A6A6" w:themeColor="background1" w:themeShade="A6"/>
            </w:tcBorders>
            <w:shd w:val="clear" w:color="auto" w:fill="auto"/>
            <w:vAlign w:val="center"/>
          </w:tcPr>
          <w:p w14:paraId="6EACA2AC" w14:textId="69452640" w:rsidR="006A7FE7" w:rsidRPr="006A7FE7" w:rsidRDefault="006A7FE7" w:rsidP="00B727F7">
            <w:pPr>
              <w:spacing w:after="0" w:line="276" w:lineRule="auto"/>
              <w:jc w:val="right"/>
              <w:rPr>
                <w:rFonts w:cs="Arial"/>
                <w:sz w:val="16"/>
                <w:szCs w:val="16"/>
              </w:rPr>
            </w:pPr>
            <w:r w:rsidRPr="006A7FE7">
              <w:rPr>
                <w:sz w:val="16"/>
                <w:szCs w:val="16"/>
              </w:rPr>
              <w:t>2,8%</w:t>
            </w:r>
          </w:p>
        </w:tc>
      </w:tr>
      <w:tr w:rsidR="00CD0502" w:rsidRPr="006E4C24" w14:paraId="4845F024" w14:textId="77777777" w:rsidTr="00B727F7">
        <w:trPr>
          <w:cantSplit/>
          <w:trHeight w:val="283"/>
          <w:jc w:val="center"/>
        </w:trPr>
        <w:tc>
          <w:tcPr>
            <w:tcW w:w="3798" w:type="dxa"/>
            <w:tcBorders>
              <w:left w:val="single" w:sz="2" w:space="0" w:color="A6A6A6" w:themeColor="background1" w:themeShade="A6"/>
            </w:tcBorders>
            <w:shd w:val="clear" w:color="auto" w:fill="auto"/>
            <w:noWrap/>
            <w:vAlign w:val="center"/>
            <w:hideMark/>
          </w:tcPr>
          <w:p w14:paraId="6F1A0507" w14:textId="77777777" w:rsidR="006E4C24" w:rsidRPr="006E4C24" w:rsidRDefault="006E4C24" w:rsidP="00B727F7">
            <w:pPr>
              <w:spacing w:after="0" w:line="276" w:lineRule="auto"/>
              <w:jc w:val="left"/>
              <w:rPr>
                <w:rFonts w:cs="Arial"/>
                <w:sz w:val="16"/>
                <w:szCs w:val="16"/>
              </w:rPr>
            </w:pPr>
          </w:p>
        </w:tc>
        <w:tc>
          <w:tcPr>
            <w:tcW w:w="717" w:type="dxa"/>
            <w:shd w:val="clear" w:color="auto" w:fill="auto"/>
            <w:noWrap/>
            <w:vAlign w:val="center"/>
          </w:tcPr>
          <w:p w14:paraId="543FC52B" w14:textId="77777777" w:rsidR="006E4C24" w:rsidRPr="006A7FE7" w:rsidRDefault="006E4C24" w:rsidP="00B727F7">
            <w:pPr>
              <w:spacing w:after="0" w:line="276" w:lineRule="auto"/>
              <w:jc w:val="right"/>
              <w:rPr>
                <w:rFonts w:ascii="Times New Roman" w:hAnsi="Times New Roman"/>
                <w:sz w:val="16"/>
                <w:szCs w:val="16"/>
              </w:rPr>
            </w:pPr>
          </w:p>
        </w:tc>
        <w:tc>
          <w:tcPr>
            <w:tcW w:w="717" w:type="dxa"/>
            <w:shd w:val="clear" w:color="auto" w:fill="auto"/>
            <w:noWrap/>
            <w:vAlign w:val="center"/>
          </w:tcPr>
          <w:p w14:paraId="2D7BE48E" w14:textId="77777777" w:rsidR="006E4C24" w:rsidRPr="006A7FE7" w:rsidRDefault="006E4C24" w:rsidP="00B727F7">
            <w:pPr>
              <w:spacing w:after="0" w:line="276" w:lineRule="auto"/>
              <w:jc w:val="right"/>
              <w:rPr>
                <w:rFonts w:ascii="Times New Roman" w:hAnsi="Times New Roman"/>
                <w:sz w:val="16"/>
                <w:szCs w:val="16"/>
              </w:rPr>
            </w:pPr>
          </w:p>
        </w:tc>
        <w:tc>
          <w:tcPr>
            <w:tcW w:w="717" w:type="dxa"/>
            <w:shd w:val="clear" w:color="auto" w:fill="auto"/>
            <w:noWrap/>
            <w:vAlign w:val="center"/>
          </w:tcPr>
          <w:p w14:paraId="04FBDE93" w14:textId="77777777" w:rsidR="006E4C24" w:rsidRPr="006A7FE7" w:rsidRDefault="006E4C24" w:rsidP="00B727F7">
            <w:pPr>
              <w:spacing w:after="0" w:line="276" w:lineRule="auto"/>
              <w:jc w:val="right"/>
              <w:rPr>
                <w:rFonts w:ascii="Times New Roman" w:hAnsi="Times New Roman"/>
                <w:sz w:val="16"/>
                <w:szCs w:val="16"/>
              </w:rPr>
            </w:pPr>
          </w:p>
        </w:tc>
        <w:tc>
          <w:tcPr>
            <w:tcW w:w="966" w:type="dxa"/>
            <w:shd w:val="clear" w:color="auto" w:fill="auto"/>
            <w:vAlign w:val="center"/>
          </w:tcPr>
          <w:p w14:paraId="4D966FB7" w14:textId="77777777" w:rsidR="006E4C24" w:rsidRPr="006A7FE7" w:rsidRDefault="006E4C24" w:rsidP="00B727F7">
            <w:pPr>
              <w:spacing w:after="0" w:line="276" w:lineRule="auto"/>
              <w:jc w:val="right"/>
              <w:rPr>
                <w:rFonts w:ascii="Times New Roman" w:hAnsi="Times New Roman"/>
                <w:sz w:val="16"/>
                <w:szCs w:val="16"/>
              </w:rPr>
            </w:pPr>
          </w:p>
        </w:tc>
        <w:tc>
          <w:tcPr>
            <w:tcW w:w="1054" w:type="dxa"/>
            <w:shd w:val="clear" w:color="auto" w:fill="auto"/>
            <w:noWrap/>
            <w:vAlign w:val="center"/>
          </w:tcPr>
          <w:p w14:paraId="1F488FCE" w14:textId="77777777" w:rsidR="006E4C24" w:rsidRPr="006A7FE7" w:rsidRDefault="006E4C24" w:rsidP="00B727F7">
            <w:pPr>
              <w:spacing w:after="0" w:line="276" w:lineRule="auto"/>
              <w:jc w:val="right"/>
              <w:rPr>
                <w:rFonts w:ascii="Times New Roman" w:hAnsi="Times New Roman"/>
                <w:sz w:val="16"/>
                <w:szCs w:val="16"/>
              </w:rPr>
            </w:pPr>
          </w:p>
        </w:tc>
        <w:tc>
          <w:tcPr>
            <w:tcW w:w="1021" w:type="dxa"/>
            <w:tcBorders>
              <w:right w:val="single" w:sz="2" w:space="0" w:color="A6A6A6" w:themeColor="background1" w:themeShade="A6"/>
            </w:tcBorders>
            <w:shd w:val="clear" w:color="auto" w:fill="auto"/>
            <w:vAlign w:val="center"/>
          </w:tcPr>
          <w:p w14:paraId="3DC1A0E3" w14:textId="77777777" w:rsidR="006E4C24" w:rsidRPr="006A7FE7" w:rsidRDefault="006E4C24" w:rsidP="00B727F7">
            <w:pPr>
              <w:spacing w:after="0" w:line="276" w:lineRule="auto"/>
              <w:jc w:val="right"/>
              <w:rPr>
                <w:rFonts w:ascii="Times New Roman" w:hAnsi="Times New Roman"/>
                <w:sz w:val="16"/>
                <w:szCs w:val="16"/>
              </w:rPr>
            </w:pPr>
          </w:p>
        </w:tc>
      </w:tr>
      <w:tr w:rsidR="006A7FE7" w:rsidRPr="006E4C24" w14:paraId="4F29DBB1" w14:textId="77777777" w:rsidTr="00B727F7">
        <w:trPr>
          <w:cantSplit/>
          <w:trHeight w:val="283"/>
          <w:jc w:val="center"/>
        </w:trPr>
        <w:tc>
          <w:tcPr>
            <w:tcW w:w="3798" w:type="dxa"/>
            <w:tcBorders>
              <w:left w:val="single" w:sz="2" w:space="0" w:color="A6A6A6" w:themeColor="background1" w:themeShade="A6"/>
              <w:bottom w:val="single" w:sz="2" w:space="0" w:color="A6A6A6" w:themeColor="background1" w:themeShade="A6"/>
            </w:tcBorders>
            <w:shd w:val="clear" w:color="auto" w:fill="auto"/>
            <w:noWrap/>
            <w:vAlign w:val="center"/>
            <w:hideMark/>
          </w:tcPr>
          <w:p w14:paraId="3E1A8073" w14:textId="0F818543" w:rsidR="006A7FE7" w:rsidRPr="006E4C24" w:rsidRDefault="006A7FE7" w:rsidP="00B727F7">
            <w:pPr>
              <w:spacing w:after="0" w:line="276" w:lineRule="auto"/>
              <w:jc w:val="left"/>
              <w:rPr>
                <w:rFonts w:cs="Arial"/>
                <w:sz w:val="16"/>
                <w:szCs w:val="16"/>
              </w:rPr>
            </w:pPr>
            <w:r w:rsidRPr="006E4C24">
              <w:rPr>
                <w:rFonts w:cs="Arial"/>
                <w:sz w:val="16"/>
                <w:szCs w:val="16"/>
              </w:rPr>
              <w:t xml:space="preserve">Τόκοι </w:t>
            </w:r>
            <w:r>
              <w:rPr>
                <w:rFonts w:cs="Arial"/>
                <w:sz w:val="16"/>
                <w:szCs w:val="16"/>
              </w:rPr>
              <w:t>Γ</w:t>
            </w:r>
            <w:r w:rsidRPr="006E4C24">
              <w:rPr>
                <w:rFonts w:cs="Arial"/>
                <w:sz w:val="16"/>
                <w:szCs w:val="16"/>
              </w:rPr>
              <w:t xml:space="preserve">ενικής </w:t>
            </w:r>
            <w:r>
              <w:rPr>
                <w:rFonts w:cs="Arial"/>
                <w:sz w:val="16"/>
                <w:szCs w:val="16"/>
              </w:rPr>
              <w:t>Κ</w:t>
            </w:r>
            <w:r w:rsidRPr="006E4C24">
              <w:rPr>
                <w:rFonts w:cs="Arial"/>
                <w:sz w:val="16"/>
                <w:szCs w:val="16"/>
              </w:rPr>
              <w:t xml:space="preserve">υβέρνησης μετά </w:t>
            </w:r>
            <w:r w:rsidR="003A46D4" w:rsidRPr="006E4C24">
              <w:rPr>
                <w:rFonts w:cs="Arial"/>
                <w:sz w:val="16"/>
                <w:szCs w:val="16"/>
              </w:rPr>
              <w:t>Swap</w:t>
            </w:r>
          </w:p>
        </w:tc>
        <w:tc>
          <w:tcPr>
            <w:tcW w:w="717" w:type="dxa"/>
            <w:tcBorders>
              <w:bottom w:val="single" w:sz="2" w:space="0" w:color="A6A6A6" w:themeColor="background1" w:themeShade="A6"/>
            </w:tcBorders>
            <w:shd w:val="clear" w:color="auto" w:fill="auto"/>
            <w:noWrap/>
            <w:vAlign w:val="center"/>
          </w:tcPr>
          <w:p w14:paraId="19BEA0C9" w14:textId="0FCA8FEB" w:rsidR="006A7FE7" w:rsidRPr="006A7FE7" w:rsidRDefault="006A7FE7" w:rsidP="00B727F7">
            <w:pPr>
              <w:spacing w:after="0" w:line="276" w:lineRule="auto"/>
              <w:jc w:val="right"/>
              <w:rPr>
                <w:rFonts w:cs="Arial"/>
                <w:sz w:val="16"/>
                <w:szCs w:val="16"/>
              </w:rPr>
            </w:pPr>
          </w:p>
        </w:tc>
        <w:tc>
          <w:tcPr>
            <w:tcW w:w="717" w:type="dxa"/>
            <w:tcBorders>
              <w:bottom w:val="single" w:sz="2" w:space="0" w:color="A6A6A6" w:themeColor="background1" w:themeShade="A6"/>
            </w:tcBorders>
            <w:shd w:val="clear" w:color="auto" w:fill="auto"/>
            <w:noWrap/>
            <w:vAlign w:val="center"/>
          </w:tcPr>
          <w:p w14:paraId="412AECCD" w14:textId="3FE35898" w:rsidR="006A7FE7" w:rsidRPr="006A7FE7" w:rsidRDefault="006A7FE7" w:rsidP="00B727F7">
            <w:pPr>
              <w:spacing w:after="0" w:line="276" w:lineRule="auto"/>
              <w:jc w:val="right"/>
              <w:rPr>
                <w:rFonts w:cs="Arial"/>
                <w:sz w:val="16"/>
                <w:szCs w:val="16"/>
              </w:rPr>
            </w:pPr>
          </w:p>
        </w:tc>
        <w:tc>
          <w:tcPr>
            <w:tcW w:w="717" w:type="dxa"/>
            <w:tcBorders>
              <w:bottom w:val="single" w:sz="2" w:space="0" w:color="A6A6A6" w:themeColor="background1" w:themeShade="A6"/>
            </w:tcBorders>
            <w:shd w:val="clear" w:color="auto" w:fill="auto"/>
            <w:noWrap/>
            <w:vAlign w:val="center"/>
          </w:tcPr>
          <w:p w14:paraId="26CB4DA4" w14:textId="7B09BEA2" w:rsidR="006A7FE7" w:rsidRPr="006A7FE7" w:rsidRDefault="006A7FE7" w:rsidP="00B727F7">
            <w:pPr>
              <w:spacing w:after="0" w:line="276" w:lineRule="auto"/>
              <w:jc w:val="right"/>
              <w:rPr>
                <w:rFonts w:cs="Arial"/>
                <w:sz w:val="16"/>
                <w:szCs w:val="16"/>
              </w:rPr>
            </w:pPr>
          </w:p>
        </w:tc>
        <w:tc>
          <w:tcPr>
            <w:tcW w:w="966" w:type="dxa"/>
            <w:tcBorders>
              <w:bottom w:val="single" w:sz="2" w:space="0" w:color="A6A6A6" w:themeColor="background1" w:themeShade="A6"/>
            </w:tcBorders>
            <w:shd w:val="clear" w:color="auto" w:fill="auto"/>
            <w:vAlign w:val="center"/>
          </w:tcPr>
          <w:p w14:paraId="606E45E6" w14:textId="09ED98C0" w:rsidR="006A7FE7" w:rsidRPr="006A7FE7" w:rsidRDefault="006A7FE7" w:rsidP="00B727F7">
            <w:pPr>
              <w:spacing w:after="0" w:line="276" w:lineRule="auto"/>
              <w:jc w:val="right"/>
              <w:rPr>
                <w:rFonts w:cs="Arial"/>
                <w:sz w:val="16"/>
                <w:szCs w:val="16"/>
              </w:rPr>
            </w:pPr>
          </w:p>
        </w:tc>
        <w:tc>
          <w:tcPr>
            <w:tcW w:w="1054" w:type="dxa"/>
            <w:tcBorders>
              <w:bottom w:val="single" w:sz="2" w:space="0" w:color="A6A6A6" w:themeColor="background1" w:themeShade="A6"/>
            </w:tcBorders>
            <w:shd w:val="clear" w:color="auto" w:fill="auto"/>
            <w:noWrap/>
            <w:vAlign w:val="center"/>
          </w:tcPr>
          <w:p w14:paraId="017C60AD" w14:textId="36F141B4" w:rsidR="006A7FE7" w:rsidRPr="006A7FE7" w:rsidRDefault="006A7FE7" w:rsidP="00B727F7">
            <w:pPr>
              <w:spacing w:after="0" w:line="276" w:lineRule="auto"/>
              <w:jc w:val="right"/>
              <w:rPr>
                <w:rFonts w:cs="Arial"/>
                <w:sz w:val="16"/>
                <w:szCs w:val="16"/>
              </w:rPr>
            </w:pPr>
            <w:r w:rsidRPr="006A7FE7">
              <w:rPr>
                <w:sz w:val="16"/>
                <w:szCs w:val="16"/>
              </w:rPr>
              <w:t>5.200</w:t>
            </w:r>
          </w:p>
        </w:tc>
        <w:tc>
          <w:tcPr>
            <w:tcW w:w="1021" w:type="dxa"/>
            <w:tcBorders>
              <w:bottom w:val="single" w:sz="2" w:space="0" w:color="A6A6A6" w:themeColor="background1" w:themeShade="A6"/>
              <w:right w:val="single" w:sz="2" w:space="0" w:color="A6A6A6" w:themeColor="background1" w:themeShade="A6"/>
            </w:tcBorders>
            <w:shd w:val="clear" w:color="auto" w:fill="auto"/>
            <w:vAlign w:val="center"/>
          </w:tcPr>
          <w:p w14:paraId="1B957157" w14:textId="607263DD" w:rsidR="006A7FE7" w:rsidRPr="006A7FE7" w:rsidRDefault="006A7FE7" w:rsidP="00B727F7">
            <w:pPr>
              <w:spacing w:after="0" w:line="276" w:lineRule="auto"/>
              <w:jc w:val="right"/>
              <w:rPr>
                <w:rFonts w:cs="Arial"/>
                <w:sz w:val="16"/>
                <w:szCs w:val="16"/>
              </w:rPr>
            </w:pPr>
            <w:r w:rsidRPr="006A7FE7">
              <w:rPr>
                <w:sz w:val="16"/>
                <w:szCs w:val="16"/>
              </w:rPr>
              <w:t>5.200</w:t>
            </w:r>
          </w:p>
        </w:tc>
      </w:tr>
      <w:tr w:rsidR="006A7FE7" w:rsidRPr="006E4C24" w14:paraId="13E45EFB" w14:textId="77777777" w:rsidTr="00896CC9">
        <w:trPr>
          <w:cantSplit/>
          <w:trHeight w:val="247"/>
          <w:jc w:val="center"/>
        </w:trPr>
        <w:tc>
          <w:tcPr>
            <w:tcW w:w="8990" w:type="dxa"/>
            <w:gridSpan w:val="7"/>
            <w:tcBorders>
              <w:top w:val="single" w:sz="2" w:space="0" w:color="A6A6A6" w:themeColor="background1" w:themeShade="A6"/>
            </w:tcBorders>
            <w:shd w:val="clear" w:color="auto" w:fill="auto"/>
            <w:noWrap/>
            <w:vAlign w:val="center"/>
          </w:tcPr>
          <w:p w14:paraId="3BB7CB51" w14:textId="77777777" w:rsidR="006A7FE7" w:rsidRDefault="006A7FE7" w:rsidP="00F151DE">
            <w:pPr>
              <w:spacing w:before="60" w:after="0" w:line="276" w:lineRule="auto"/>
              <w:rPr>
                <w:rFonts w:cs="Arial"/>
                <w:sz w:val="16"/>
                <w:szCs w:val="16"/>
              </w:rPr>
            </w:pPr>
            <w:r w:rsidRPr="006A7FE7">
              <w:rPr>
                <w:rFonts w:cs="Arial"/>
                <w:sz w:val="16"/>
                <w:szCs w:val="16"/>
              </w:rPr>
              <w:t>* Εκτιμήσεις, ** Προβλέψεις</w:t>
            </w:r>
          </w:p>
          <w:p w14:paraId="32594934" w14:textId="519D933C" w:rsidR="00F151DE" w:rsidRDefault="00F151DE" w:rsidP="00F151DE">
            <w:pPr>
              <w:spacing w:before="60" w:after="0" w:line="276" w:lineRule="auto"/>
              <w:rPr>
                <w:sz w:val="16"/>
                <w:szCs w:val="16"/>
              </w:rPr>
            </w:pPr>
            <w:r w:rsidRPr="006A7FE7">
              <w:rPr>
                <w:rFonts w:cs="Arial"/>
                <w:sz w:val="16"/>
                <w:szCs w:val="16"/>
              </w:rPr>
              <w:t xml:space="preserve">Σημείωση: Οι τόκοι προ Swap υπολογίζονται συμψηφιστικά και αφορούν </w:t>
            </w:r>
            <w:r>
              <w:rPr>
                <w:rFonts w:cs="Arial"/>
                <w:sz w:val="16"/>
                <w:szCs w:val="16"/>
              </w:rPr>
              <w:t>σ</w:t>
            </w:r>
            <w:r w:rsidRPr="006A7FE7">
              <w:rPr>
                <w:rFonts w:cs="Arial"/>
                <w:sz w:val="16"/>
                <w:szCs w:val="16"/>
              </w:rPr>
              <w:t>τις πληρωμές τόκων μείον τις εισπράξεις από επανεκδόσεις ομολόγων, αρνητικά επιτόκια κ.λπ.</w:t>
            </w:r>
          </w:p>
          <w:p w14:paraId="0F24DAA3" w14:textId="26EA24A3" w:rsidR="00F151DE" w:rsidRPr="006A7FE7" w:rsidRDefault="00F151DE" w:rsidP="00F151DE">
            <w:pPr>
              <w:spacing w:before="60" w:after="0" w:line="276" w:lineRule="auto"/>
              <w:rPr>
                <w:sz w:val="16"/>
                <w:szCs w:val="16"/>
              </w:rPr>
            </w:pPr>
            <w:r w:rsidRPr="006E4C24">
              <w:rPr>
                <w:rFonts w:cs="Arial"/>
                <w:sz w:val="16"/>
                <w:szCs w:val="16"/>
              </w:rPr>
              <w:t>Πηγή: ΟΔΔΗΧ</w:t>
            </w:r>
          </w:p>
        </w:tc>
      </w:tr>
    </w:tbl>
    <w:p w14:paraId="458024EB" w14:textId="4A882548" w:rsidR="00197AA2" w:rsidRPr="0005219F" w:rsidRDefault="00197AA2" w:rsidP="009310B7">
      <w:pPr>
        <w:pStyle w:val="afe"/>
        <w:keepNext/>
        <w:spacing w:before="240" w:after="60" w:line="276" w:lineRule="auto"/>
        <w:rPr>
          <w:sz w:val="18"/>
          <w:szCs w:val="18"/>
        </w:rPr>
      </w:pPr>
      <w:bookmarkStart w:id="722" w:name="_Ref119433219"/>
      <w:bookmarkStart w:id="723" w:name="_Ref213670049"/>
      <w:bookmarkStart w:id="724" w:name="_Toc214474885"/>
      <w:r w:rsidRPr="0005219F">
        <w:rPr>
          <w:sz w:val="18"/>
          <w:szCs w:val="18"/>
        </w:rPr>
        <w:lastRenderedPageBreak/>
        <w:t>Διάγραμμα 4.</w:t>
      </w:r>
      <w:r w:rsidR="00962DE1" w:rsidRPr="0005219F">
        <w:rPr>
          <w:sz w:val="18"/>
          <w:szCs w:val="18"/>
        </w:rPr>
        <w:fldChar w:fldCharType="begin"/>
      </w:r>
      <w:r w:rsidR="00962DE1" w:rsidRPr="0005219F">
        <w:rPr>
          <w:sz w:val="18"/>
          <w:szCs w:val="18"/>
        </w:rPr>
        <w:instrText xml:space="preserve"> SEQ Διάγραμμα_4. \* ARABIC </w:instrText>
      </w:r>
      <w:r w:rsidR="00962DE1" w:rsidRPr="0005219F">
        <w:rPr>
          <w:sz w:val="18"/>
          <w:szCs w:val="18"/>
        </w:rPr>
        <w:fldChar w:fldCharType="separate"/>
      </w:r>
      <w:r w:rsidR="00E15678">
        <w:rPr>
          <w:noProof/>
          <w:sz w:val="18"/>
          <w:szCs w:val="18"/>
        </w:rPr>
        <w:t>3</w:t>
      </w:r>
      <w:r w:rsidR="00962DE1" w:rsidRPr="0005219F">
        <w:rPr>
          <w:sz w:val="18"/>
          <w:szCs w:val="18"/>
        </w:rPr>
        <w:fldChar w:fldCharType="end"/>
      </w:r>
      <w:bookmarkEnd w:id="722"/>
      <w:bookmarkEnd w:id="723"/>
      <w:r w:rsidRPr="0005219F">
        <w:rPr>
          <w:sz w:val="18"/>
          <w:szCs w:val="18"/>
        </w:rPr>
        <w:t>.: Δαπάνες για τόκους χρέους</w:t>
      </w:r>
      <w:r w:rsidR="000463FD">
        <w:rPr>
          <w:sz w:val="18"/>
          <w:szCs w:val="18"/>
        </w:rPr>
        <w:t xml:space="preserve"> της</w:t>
      </w:r>
      <w:r w:rsidRPr="0005219F">
        <w:rPr>
          <w:sz w:val="18"/>
          <w:szCs w:val="18"/>
        </w:rPr>
        <w:t xml:space="preserve"> Κεντρικής Διοίκησης (</w:t>
      </w:r>
      <w:r w:rsidR="00650AD9">
        <w:rPr>
          <w:sz w:val="18"/>
          <w:szCs w:val="18"/>
        </w:rPr>
        <w:t xml:space="preserve">ως </w:t>
      </w:r>
      <w:r w:rsidR="000642D8" w:rsidRPr="0005219F">
        <w:rPr>
          <w:sz w:val="18"/>
          <w:szCs w:val="18"/>
        </w:rPr>
        <w:t>%</w:t>
      </w:r>
      <w:r w:rsidR="00650AD9">
        <w:rPr>
          <w:sz w:val="18"/>
          <w:szCs w:val="18"/>
        </w:rPr>
        <w:t xml:space="preserve"> του </w:t>
      </w:r>
      <w:r w:rsidR="000642D8" w:rsidRPr="0005219F">
        <w:rPr>
          <w:sz w:val="18"/>
          <w:szCs w:val="18"/>
        </w:rPr>
        <w:t>ΑΕΠ)</w:t>
      </w:r>
      <w:bookmarkEnd w:id="724"/>
    </w:p>
    <w:p w14:paraId="5692C592" w14:textId="000D61B8" w:rsidR="009278E1" w:rsidRDefault="009278E1" w:rsidP="00876DEC">
      <w:pPr>
        <w:spacing w:after="0"/>
        <w:jc w:val="center"/>
        <w:rPr>
          <w:highlight w:val="yellow"/>
        </w:rPr>
      </w:pPr>
      <w:r>
        <w:rPr>
          <w:noProof/>
        </w:rPr>
        <w:drawing>
          <wp:inline distT="0" distB="0" distL="0" distR="0" wp14:anchorId="1C6A82CC" wp14:editId="23517D04">
            <wp:extent cx="5065395" cy="2406701"/>
            <wp:effectExtent l="0" t="0" r="1905" b="12700"/>
            <wp:docPr id="8" name="Γράφημα 8">
              <a:extLst xmlns:a="http://schemas.openxmlformats.org/drawingml/2006/main">
                <a:ext uri="{FF2B5EF4-FFF2-40B4-BE49-F238E27FC236}">
                  <a16:creationId xmlns:a16="http://schemas.microsoft.com/office/drawing/2014/main" id="{D9695451-F5C0-4277-8FA8-A1C6307B29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264FB9A5" w14:textId="77777777" w:rsidR="00197AA2" w:rsidRPr="00AC5EF9" w:rsidRDefault="00197AA2" w:rsidP="00300BBF">
      <w:pPr>
        <w:pStyle w:val="4"/>
      </w:pPr>
      <w:bookmarkStart w:id="725" w:name="_Toc214473805"/>
      <w:r w:rsidRPr="00AC5EF9">
        <w:t>Η ενοποιημένη αγορά ευρωομολόγων</w:t>
      </w:r>
      <w:bookmarkEnd w:id="725"/>
    </w:p>
    <w:p w14:paraId="066FEF98" w14:textId="77777777" w:rsidR="00945EB8" w:rsidRPr="00F17D25" w:rsidRDefault="00945EB8" w:rsidP="00945EB8">
      <w:r w:rsidRPr="00F17D25">
        <w:t>Η ΕΚΤ εξακολούθησε την επεκτατική νομισματική πολιτική της και κατά το τρέχον έτος, ανακοινώνοντας τέσσερις επιπρόσθετες μειώσεις του επιτοκίου καταθέσεων εντός του πρώτου εξαμήνου</w:t>
      </w:r>
      <w:r>
        <w:t>.</w:t>
      </w:r>
      <w:r w:rsidRPr="00F17D25">
        <w:t xml:space="preserve"> </w:t>
      </w:r>
      <w:r w:rsidRPr="00937CDA">
        <w:t xml:space="preserve">Το εν λόγω επιτόκιο, </w:t>
      </w:r>
      <w:r w:rsidRPr="00F17D25">
        <w:t>το οποίο διαμορφώνεται πλέον σε 2%, μειώθηκε οκτώ συναπτές φορές από τα μέσα Μαΐου 2024 έως τις αρχές Ιουνίου 2025, επιστρέφοντας στα επίπεδα του Δεκεμβρίου 2022. Παράλληλα, από τα τέλη του 2024 η ΕΚΤ έχει παύσει πλήρως να επανεπενδύει κατά τη λήξη τους τα ποσά κεφαλαίου από την εξόφληση των τίτλων που αποκτήθηκαν στο πλαίσιο του έκτακτου προγράμματος αγοράς κρατικών χρεογράφων (“Pandemic Emergency Purchase Programme” - PEPP).</w:t>
      </w:r>
    </w:p>
    <w:p w14:paraId="5B91B3B9" w14:textId="59AE7C22" w:rsidR="008A76EB" w:rsidRPr="00FD594B" w:rsidRDefault="00945EB8" w:rsidP="0096001D">
      <w:pPr>
        <w:rPr>
          <w:bCs/>
          <w:highlight w:val="yellow"/>
        </w:rPr>
      </w:pPr>
      <w:r w:rsidRPr="00F17D25">
        <w:t>H συνολική συμμετοχή των ελληνικών ομολόγων στο έκτακτο πρόγραμμα ποσοτικής χαλάρωσης της ΕΚΤ εξακολουθεί να παραμένει σχετικά υψηλή παρά τη μη επανεπένδυση των ποσών των επερχόμενων λήξεων</w:t>
      </w:r>
      <w:r w:rsidR="0084625F">
        <w:t xml:space="preserve">, </w:t>
      </w:r>
      <w:r w:rsidRPr="00F17D25">
        <w:t>εκτιμάται</w:t>
      </w:r>
      <w:r w:rsidR="0084625F">
        <w:t xml:space="preserve"> δε</w:t>
      </w:r>
      <w:r w:rsidRPr="00F17D25">
        <w:t xml:space="preserve"> σε 32 δισ. ευρώ</w:t>
      </w:r>
      <w:r w:rsidR="0084625F" w:rsidRPr="0084625F">
        <w:t xml:space="preserve"> </w:t>
      </w:r>
      <w:r w:rsidR="0084625F" w:rsidRPr="00F17D25">
        <w:t>περίπου</w:t>
      </w:r>
      <w:r w:rsidRPr="00F17D25">
        <w:t xml:space="preserve">, </w:t>
      </w:r>
      <w:r w:rsidR="00454ED3">
        <w:t>με αποτέλεσμα να καθίσταται</w:t>
      </w:r>
      <w:r w:rsidRPr="00F17D25">
        <w:t xml:space="preserve"> αναγκαία η κατά το δυνατόν συχνότερη έκδοση νέων τίτλων από το Ελληνικό Δημόσιο, προκειμένου να διασφαλίζεται η επάρκειά τους για διαπραγμάτευση στη δευτερογενή αγορά. Κατά το τρέχον έτος οι αποδόσεις των μακροπρόθεσμων κρατικών τίτλων των χωρών της Ευρωζώνης παρουσίασαν ανοδική τάση συγκριτικά με το προηγούμενο έτος.</w:t>
      </w:r>
    </w:p>
    <w:p w14:paraId="06749EA2" w14:textId="437F4E8A" w:rsidR="00197AA2" w:rsidRPr="00AC5EF9" w:rsidRDefault="00197AA2" w:rsidP="00300BBF">
      <w:pPr>
        <w:pStyle w:val="4"/>
      </w:pPr>
      <w:bookmarkStart w:id="726" w:name="_Toc214473806"/>
      <w:r w:rsidRPr="00AC5EF9">
        <w:t>Αγορά τίτλων του Ελληνικού Δημοσίου</w:t>
      </w:r>
      <w:bookmarkEnd w:id="726"/>
    </w:p>
    <w:p w14:paraId="10BFBDB7" w14:textId="0D59E25C" w:rsidR="00945EB8" w:rsidRDefault="00945EB8" w:rsidP="00945EB8">
      <w:r w:rsidRPr="00F17D25">
        <w:t>Το βραχυχρόνιο κόστος δανεισμού του Ελληνικού Δημοσίου, όπως διαμορφώνεται στις δημοπρασίες εντόκων γραμματίων 13, 26 και 52 εβδομάδων, παρουσίασε σημαντική πτώση κατά τη διάρκεια του 2025, ακολουθώντας παρόμοια πορεία με αυτή των αντίστοιχων ευρωπαϊκών επιτοκίων βραχυπρόθεσμης διάρκειας</w:t>
      </w:r>
      <w:r>
        <w:t>.</w:t>
      </w:r>
      <w:r w:rsidRPr="00F17D25">
        <w:t xml:space="preserve"> </w:t>
      </w:r>
      <w:r w:rsidRPr="00937CDA">
        <w:t xml:space="preserve">H πτωτική τάση των βραχυπρόθεσμων επιτοκίων αποτυπώθηκε και στις πρόσφατες </w:t>
      </w:r>
      <w:r w:rsidRPr="006B03C1">
        <w:t xml:space="preserve">δημοπρασίες του Σεπτεμβρίου και του Οκτωβρίου 2025, δεδομένου ότι τα επιτόκια διαμορφώθηκαν σε 1,78% για τα τρίμηνα, </w:t>
      </w:r>
      <w:r w:rsidR="00452DBB">
        <w:t xml:space="preserve">σε </w:t>
      </w:r>
      <w:r w:rsidRPr="006B03C1">
        <w:t xml:space="preserve">1,79% για τα εξάμηνα και </w:t>
      </w:r>
      <w:r w:rsidR="00452DBB">
        <w:t xml:space="preserve">σε </w:t>
      </w:r>
      <w:r w:rsidRPr="006B03C1">
        <w:t>1,97% για τα ετήσια έντοκα γραμμάτια.</w:t>
      </w:r>
    </w:p>
    <w:p w14:paraId="26DDC583" w14:textId="01E0EFDF" w:rsidR="00945EB8" w:rsidRPr="00397107" w:rsidRDefault="00945EB8" w:rsidP="003B2E40">
      <w:pPr>
        <w:spacing w:after="240"/>
      </w:pPr>
      <w:r w:rsidRPr="006B5480">
        <w:t xml:space="preserve">Η καμπύλη αποδόσεων τίτλων του Ελληνικού Δημοσίου είναι σχεδόν επίπεδη για βραχυπρόθεσμες διάρκειες έως ένα έτος, ενώ έχει θετική κλίση (steepening curve) για μεσοπρόθεσμες και μακροπρόθεσμες διάρκειες από 5 έως 30 </w:t>
      </w:r>
      <w:r w:rsidRPr="00AE64F9">
        <w:t>έτη (</w:t>
      </w:r>
      <w:r w:rsidR="00E733F3" w:rsidRPr="00AE64F9">
        <w:fldChar w:fldCharType="begin"/>
      </w:r>
      <w:r w:rsidR="00E733F3" w:rsidRPr="00AE64F9">
        <w:instrText xml:space="preserve"> REF _Ref119254522 \h  \* MERGEFORMAT </w:instrText>
      </w:r>
      <w:r w:rsidR="00E733F3" w:rsidRPr="00AE64F9">
        <w:fldChar w:fldCharType="separate"/>
      </w:r>
      <w:r w:rsidR="00E15678" w:rsidRPr="00E15678">
        <w:t>Διάγραμμα 4.4</w:t>
      </w:r>
      <w:r w:rsidR="00E733F3" w:rsidRPr="00AE64F9">
        <w:fldChar w:fldCharType="end"/>
      </w:r>
      <w:r w:rsidR="00807F21" w:rsidRPr="00AE64F9">
        <w:t>.</w:t>
      </w:r>
      <w:r w:rsidRPr="00AE64F9">
        <w:t>).</w:t>
      </w:r>
    </w:p>
    <w:p w14:paraId="7A764573" w14:textId="122F29DF" w:rsidR="00197AA2" w:rsidRPr="00A7467C" w:rsidRDefault="00197AA2" w:rsidP="009310B7">
      <w:pPr>
        <w:pStyle w:val="afe"/>
        <w:keepNext/>
        <w:spacing w:before="240" w:after="60" w:line="276" w:lineRule="auto"/>
        <w:rPr>
          <w:sz w:val="18"/>
          <w:szCs w:val="18"/>
        </w:rPr>
      </w:pPr>
      <w:bookmarkStart w:id="727" w:name="_Ref119254522"/>
      <w:bookmarkStart w:id="728" w:name="_Toc214474886"/>
      <w:r w:rsidRPr="00A7467C">
        <w:rPr>
          <w:sz w:val="18"/>
          <w:szCs w:val="18"/>
        </w:rPr>
        <w:lastRenderedPageBreak/>
        <w:t>Διάγραμμα 4.</w:t>
      </w:r>
      <w:r w:rsidR="00962DE1" w:rsidRPr="00A7467C">
        <w:rPr>
          <w:sz w:val="18"/>
          <w:szCs w:val="18"/>
        </w:rPr>
        <w:fldChar w:fldCharType="begin"/>
      </w:r>
      <w:r w:rsidR="00962DE1" w:rsidRPr="00A7467C">
        <w:rPr>
          <w:sz w:val="18"/>
          <w:szCs w:val="18"/>
        </w:rPr>
        <w:instrText xml:space="preserve"> SEQ Διάγραμμα_4. \* ARABIC </w:instrText>
      </w:r>
      <w:r w:rsidR="00962DE1" w:rsidRPr="00A7467C">
        <w:rPr>
          <w:sz w:val="18"/>
          <w:szCs w:val="18"/>
        </w:rPr>
        <w:fldChar w:fldCharType="separate"/>
      </w:r>
      <w:r w:rsidR="00E15678">
        <w:rPr>
          <w:noProof/>
          <w:sz w:val="18"/>
          <w:szCs w:val="18"/>
        </w:rPr>
        <w:t>4</w:t>
      </w:r>
      <w:r w:rsidR="00962DE1" w:rsidRPr="00A7467C">
        <w:rPr>
          <w:sz w:val="18"/>
          <w:szCs w:val="18"/>
        </w:rPr>
        <w:fldChar w:fldCharType="end"/>
      </w:r>
      <w:bookmarkEnd w:id="727"/>
      <w:r w:rsidRPr="00A7467C">
        <w:rPr>
          <w:sz w:val="18"/>
          <w:szCs w:val="18"/>
        </w:rPr>
        <w:t xml:space="preserve">.: Καμπύλη αποδόσεων τίτλων </w:t>
      </w:r>
      <w:r w:rsidR="00454ED3">
        <w:rPr>
          <w:sz w:val="18"/>
          <w:szCs w:val="18"/>
        </w:rPr>
        <w:t xml:space="preserve">του </w:t>
      </w:r>
      <w:r w:rsidRPr="00A7467C">
        <w:rPr>
          <w:sz w:val="18"/>
          <w:szCs w:val="18"/>
        </w:rPr>
        <w:t>Ελληνικού Δημοσίου</w:t>
      </w:r>
      <w:bookmarkEnd w:id="728"/>
    </w:p>
    <w:p w14:paraId="3F1DF905" w14:textId="1BE1772A" w:rsidR="00A7467C" w:rsidRDefault="00A7467C" w:rsidP="00E733F3">
      <w:pPr>
        <w:spacing w:after="0"/>
        <w:jc w:val="center"/>
        <w:rPr>
          <w:highlight w:val="yellow"/>
        </w:rPr>
      </w:pPr>
      <w:r>
        <w:rPr>
          <w:noProof/>
        </w:rPr>
        <w:drawing>
          <wp:inline distT="0" distB="0" distL="0" distR="0" wp14:anchorId="33A5359D" wp14:editId="779BC159">
            <wp:extent cx="4857750" cy="2533650"/>
            <wp:effectExtent l="0" t="0" r="0" b="0"/>
            <wp:docPr id="12" name="Γράφημα 12">
              <a:extLst xmlns:a="http://schemas.openxmlformats.org/drawingml/2006/main">
                <a:ext uri="{FF2B5EF4-FFF2-40B4-BE49-F238E27FC236}">
                  <a16:creationId xmlns:a16="http://schemas.microsoft.com/office/drawing/2014/main" id="{B5B12401-9AB7-463A-968C-E11921380A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5F4275CA" w14:textId="59C5B2D5" w:rsidR="00945EB8" w:rsidRDefault="00945EB8" w:rsidP="00945EB8">
      <w:pPr>
        <w:spacing w:before="240"/>
      </w:pPr>
      <w:r w:rsidRPr="00937CDA">
        <w:t xml:space="preserve">Η διαφορά απόδοσης (yield spread) μεταξύ του δεκαετούς ελληνικού και του αντίστοιχου γερμανικού ομολόγου αναφοράς κινήθηκε σε αρκετά χαμηλότερα επίπεδα συγκριτικά με το προηγούμενο έτος και διαμορφώθηκε κατά μέσο όρο στα επίπεδα </w:t>
      </w:r>
      <w:r w:rsidRPr="000A346B">
        <w:t>των 76 μ</w:t>
      </w:r>
      <w:r w:rsidRPr="00937CDA">
        <w:t xml:space="preserve">ονάδων βάσης κατά τη διάρκεια του 2025. Στο τέλος </w:t>
      </w:r>
      <w:r>
        <w:t>Οκτωβρίου η</w:t>
      </w:r>
      <w:r w:rsidRPr="00937CDA">
        <w:t xml:space="preserve"> </w:t>
      </w:r>
      <w:r w:rsidRPr="00F17D25">
        <w:t>διαφορά απόδοσης διαμορφώνεται στα επίπεδα των 6</w:t>
      </w:r>
      <w:r w:rsidR="002550B4">
        <w:t>2</w:t>
      </w:r>
      <w:r w:rsidRPr="00F17D25">
        <w:t xml:space="preserve"> μονάδων βάσης, με την τρέχουσα απόδοση του δεκαετούς ομολόγου να διαμορφώνεται σε </w:t>
      </w:r>
      <w:r w:rsidRPr="002550B4">
        <w:t>ποσοστό 3,2</w:t>
      </w:r>
      <w:r w:rsidR="002550B4" w:rsidRPr="002550B4">
        <w:t>7</w:t>
      </w:r>
      <w:r w:rsidRPr="002550B4">
        <w:t>% περίπου</w:t>
      </w:r>
      <w:r w:rsidRPr="00F17D25">
        <w:t>.</w:t>
      </w:r>
    </w:p>
    <w:p w14:paraId="4F1FF149" w14:textId="7F255361" w:rsidR="00082AAC" w:rsidRPr="00AE64F9" w:rsidRDefault="00945EB8" w:rsidP="0096001D">
      <w:pPr>
        <w:spacing w:after="240"/>
      </w:pPr>
      <w:r w:rsidRPr="00C6717C">
        <w:t xml:space="preserve">Κατά τη διάρκεια του 2025 οι αποδόσεις των </w:t>
      </w:r>
      <w:r w:rsidR="00AB68A8">
        <w:t>δεκαετών</w:t>
      </w:r>
      <w:r w:rsidRPr="00C6717C">
        <w:t xml:space="preserve"> κρατικών τίτλων των υπόλοιπων χωρών της </w:t>
      </w:r>
      <w:r w:rsidR="00807F21">
        <w:t>Ε</w:t>
      </w:r>
      <w:r w:rsidRPr="00C6717C">
        <w:t>υρωζώνης διαμορφώθηκαν σε ελαφρώς υψηλότερα επίπεδα συγκριτικά με το προηγούμενο έτος, με τάσεις σταθεροποίησης, ενώ είναι αξιοσημείωτο πως καθ</w:t>
      </w:r>
      <w:r w:rsidR="004B2C1D" w:rsidRPr="004B2C1D">
        <w:t xml:space="preserve">’ </w:t>
      </w:r>
      <w:r w:rsidRPr="00C6717C">
        <w:t>όλη τη διάρκεια του έτους το ελληνικό δεκαετές ομόλογο αναφοράς διαπραγματεύεται με χαμηλότερη απόδοση έναντι του ιταλικού και προσεγγίζει την απόδοση του δεκαετούς γαλλικού ομολόγου αναφοράς</w:t>
      </w:r>
      <w:r w:rsidR="002550B4">
        <w:t xml:space="preserve">, υπερβαίνοντας ελάχιστα το ισπανικό ομόλογο </w:t>
      </w:r>
      <w:r w:rsidR="002550B4" w:rsidRPr="00AE64F9">
        <w:t>αναφοράς</w:t>
      </w:r>
      <w:r w:rsidRPr="00AE64F9">
        <w:t xml:space="preserve"> (</w:t>
      </w:r>
      <w:r w:rsidR="00F96B9F" w:rsidRPr="00AE64F9">
        <w:fldChar w:fldCharType="begin"/>
      </w:r>
      <w:r w:rsidR="00F96B9F" w:rsidRPr="00AE64F9">
        <w:instrText xml:space="preserve"> REF _Ref119254565 \h  \* MERGEFORMAT </w:instrText>
      </w:r>
      <w:r w:rsidR="00F96B9F" w:rsidRPr="00AE64F9">
        <w:fldChar w:fldCharType="separate"/>
      </w:r>
      <w:r w:rsidR="00E15678" w:rsidRPr="00E15678">
        <w:t>Διάγραμμα 4.5</w:t>
      </w:r>
      <w:r w:rsidR="00F96B9F" w:rsidRPr="00AE64F9">
        <w:fldChar w:fldCharType="end"/>
      </w:r>
      <w:r w:rsidR="00F96B9F" w:rsidRPr="00AE64F9">
        <w:t>.</w:t>
      </w:r>
      <w:r w:rsidRPr="00AE64F9">
        <w:t>).</w:t>
      </w:r>
    </w:p>
    <w:p w14:paraId="2C345FE8" w14:textId="30B0D0F2" w:rsidR="00197AA2" w:rsidRPr="007A1626" w:rsidRDefault="00197AA2" w:rsidP="009310B7">
      <w:pPr>
        <w:pStyle w:val="afe"/>
        <w:keepNext/>
        <w:spacing w:before="240" w:after="60" w:line="276" w:lineRule="auto"/>
        <w:rPr>
          <w:sz w:val="18"/>
          <w:szCs w:val="18"/>
        </w:rPr>
      </w:pPr>
      <w:bookmarkStart w:id="729" w:name="_Ref119254565"/>
      <w:bookmarkStart w:id="730" w:name="_Toc214474887"/>
      <w:r w:rsidRPr="00EE2FAD">
        <w:rPr>
          <w:sz w:val="18"/>
          <w:szCs w:val="18"/>
        </w:rPr>
        <w:t>Διάγραμμα 4.</w:t>
      </w:r>
      <w:r w:rsidR="00962DE1" w:rsidRPr="00EE2FAD">
        <w:rPr>
          <w:sz w:val="18"/>
          <w:szCs w:val="18"/>
        </w:rPr>
        <w:fldChar w:fldCharType="begin"/>
      </w:r>
      <w:r w:rsidR="00962DE1" w:rsidRPr="00EE2FAD">
        <w:rPr>
          <w:sz w:val="18"/>
          <w:szCs w:val="18"/>
        </w:rPr>
        <w:instrText xml:space="preserve"> SEQ Διάγραμμα_4. \* ARABIC </w:instrText>
      </w:r>
      <w:r w:rsidR="00962DE1" w:rsidRPr="00EE2FAD">
        <w:rPr>
          <w:sz w:val="18"/>
          <w:szCs w:val="18"/>
        </w:rPr>
        <w:fldChar w:fldCharType="separate"/>
      </w:r>
      <w:r w:rsidR="00E15678">
        <w:rPr>
          <w:noProof/>
          <w:sz w:val="18"/>
          <w:szCs w:val="18"/>
        </w:rPr>
        <w:t>5</w:t>
      </w:r>
      <w:r w:rsidR="00962DE1" w:rsidRPr="00EE2FAD">
        <w:rPr>
          <w:sz w:val="18"/>
          <w:szCs w:val="18"/>
        </w:rPr>
        <w:fldChar w:fldCharType="end"/>
      </w:r>
      <w:bookmarkEnd w:id="729"/>
      <w:r w:rsidRPr="00EE2FAD">
        <w:rPr>
          <w:sz w:val="18"/>
          <w:szCs w:val="18"/>
        </w:rPr>
        <w:t>.: Αποδόσεις</w:t>
      </w:r>
      <w:r w:rsidR="00082AAC" w:rsidRPr="00EE2FAD">
        <w:rPr>
          <w:sz w:val="18"/>
          <w:szCs w:val="18"/>
        </w:rPr>
        <w:t xml:space="preserve"> (%)</w:t>
      </w:r>
      <w:r w:rsidRPr="00EE2FAD">
        <w:rPr>
          <w:sz w:val="18"/>
          <w:szCs w:val="18"/>
        </w:rPr>
        <w:t xml:space="preserve"> </w:t>
      </w:r>
      <w:r w:rsidR="00E93E43" w:rsidRPr="00EE2FAD">
        <w:rPr>
          <w:sz w:val="18"/>
          <w:szCs w:val="18"/>
        </w:rPr>
        <w:t>δεκα</w:t>
      </w:r>
      <w:r w:rsidRPr="00EE2FAD">
        <w:rPr>
          <w:sz w:val="18"/>
          <w:szCs w:val="18"/>
        </w:rPr>
        <w:t xml:space="preserve">ετών κρατικών </w:t>
      </w:r>
      <w:r w:rsidRPr="007A1626">
        <w:rPr>
          <w:sz w:val="18"/>
          <w:szCs w:val="18"/>
        </w:rPr>
        <w:t>τίτλων (ημερήσια στοιχεία</w:t>
      </w:r>
      <w:r w:rsidR="00E93E43" w:rsidRPr="007A1626">
        <w:rPr>
          <w:sz w:val="18"/>
          <w:szCs w:val="18"/>
        </w:rPr>
        <w:t xml:space="preserve"> - </w:t>
      </w:r>
      <w:r w:rsidRPr="007A1626">
        <w:rPr>
          <w:sz w:val="18"/>
          <w:szCs w:val="18"/>
        </w:rPr>
        <w:t>αποδόσεις)</w:t>
      </w:r>
      <w:bookmarkEnd w:id="730"/>
    </w:p>
    <w:p w14:paraId="0DFDFFF7" w14:textId="7BB10905" w:rsidR="00BD2E5E" w:rsidRDefault="00BD2E5E" w:rsidP="004E0233">
      <w:pPr>
        <w:spacing w:after="0"/>
      </w:pPr>
      <w:r>
        <w:rPr>
          <w:noProof/>
        </w:rPr>
        <w:drawing>
          <wp:inline distT="0" distB="0" distL="0" distR="0" wp14:anchorId="51B40338" wp14:editId="55DD72AD">
            <wp:extent cx="5759450" cy="3305175"/>
            <wp:effectExtent l="0" t="0" r="12700" b="9525"/>
            <wp:docPr id="3" name="Γράφημα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49843CEE" w14:textId="7969BBCB" w:rsidR="00197AA2" w:rsidRDefault="00197AA2" w:rsidP="00300BBF">
      <w:pPr>
        <w:pStyle w:val="5"/>
      </w:pPr>
      <w:bookmarkStart w:id="731" w:name="_Toc214473807"/>
      <w:r w:rsidRPr="00AC5EF9">
        <w:lastRenderedPageBreak/>
        <w:t>Πρωτογενής αγορά τίτλων</w:t>
      </w:r>
      <w:bookmarkEnd w:id="731"/>
    </w:p>
    <w:p w14:paraId="20964FEE" w14:textId="5C815F92" w:rsidR="00945EB8" w:rsidRDefault="00945EB8" w:rsidP="00945EB8">
      <w:r w:rsidRPr="00F17D25">
        <w:t>Το Ελληνικό Δημόσιο πραγματοποίησε τον Ιανουάριο 2025 κοινοπρακτική έκδοση δεκαετούς ομολόγου ονομαστικής αξίας 4.000 εκατ. ευρώ με σταθερό επιτόκιο 3,625% και ακολούθησε τον Μάρτιο 2025 κοινοπρακτική επανέκδοση ομολόγων δεκαπενταετούς και τριακονταετούς διάρκειας, αντίστοιχης ονομαστικής αξίας 2.000 εκατ. ευρώ και 1.000 εκατ. ευρώ και με απόδοση 4,057% και 4,408%, αντίστοιχα. Επιπλέον, τον Φεβρουάριο, τον Απρίλιο και τον Σεπτέμβριο του τρέχοντος έτους πραγματοποιήθηκαν μέσω δημοπρασίας επανεκδόσεις ομολόγων λήξεως 15.6.2035, 12.3.2029 και 15.6.2035, συνολικής ονομαστικής αξίας 700 εκατ. ευρώ, με αποδόσεις 3,237%, 2,34% και 3,26%, αντίστοιχα.</w:t>
      </w:r>
    </w:p>
    <w:p w14:paraId="4185313B" w14:textId="07126BF1" w:rsidR="00945EB8" w:rsidRDefault="00945EB8" w:rsidP="00945EB8">
      <w:r w:rsidRPr="00C75CA4">
        <w:t xml:space="preserve">Η έκδοση τίτλων βραχυπρόθεσμης διάρκειας από το Ελληνικό Δημόσιο συνεχίστηκε κατά τη διάρκεια του τρέχοντος έτους. Η βραχυπρόθεσμη χρηματοδότηση πραγματοποιήθηκε με μηνιαίες εκδόσεις εντόκων γραμματίων διάρκειας 13 και 26 εβδομάδων και τριμηνιαίες 52 εβδομάδων καθώς επίσης και </w:t>
      </w:r>
      <w:r w:rsidR="00452DBB">
        <w:t xml:space="preserve">με </w:t>
      </w:r>
      <w:r w:rsidRPr="00C75CA4">
        <w:t xml:space="preserve">σύναψη συμφωνιών repos κυρίως με τους φορείς της Γενικής Κυβέρνησης. Στις </w:t>
      </w:r>
      <w:r>
        <w:t>30.9.</w:t>
      </w:r>
      <w:r w:rsidRPr="00C75CA4">
        <w:t xml:space="preserve">2025 το ανεξόφλητο υπόλοιπο των </w:t>
      </w:r>
      <w:r w:rsidR="007B04C7">
        <w:t>Έντοκων Γραμματίων</w:t>
      </w:r>
      <w:r w:rsidR="007B04C7" w:rsidRPr="00326015">
        <w:t xml:space="preserve"> </w:t>
      </w:r>
      <w:r w:rsidR="007B04C7">
        <w:t>του Ελληνικού Δημοσίου</w:t>
      </w:r>
      <w:r w:rsidR="007B04C7" w:rsidRPr="009E1D8D">
        <w:t xml:space="preserve"> </w:t>
      </w:r>
      <w:r w:rsidR="007B04C7">
        <w:t>(</w:t>
      </w:r>
      <w:r w:rsidRPr="00C75CA4">
        <w:t>ΕΓΕΔ</w:t>
      </w:r>
      <w:r w:rsidR="007B04C7">
        <w:t>)</w:t>
      </w:r>
      <w:r w:rsidRPr="00C75CA4">
        <w:t xml:space="preserve"> ανερχόταν σε </w:t>
      </w:r>
      <w:r>
        <w:t>8.080,3</w:t>
      </w:r>
      <w:r w:rsidRPr="00C75CA4">
        <w:t xml:space="preserve"> εκατ. ευρώ, ενώ τα repos ανήλθαν σε 5</w:t>
      </w:r>
      <w:r>
        <w:t>2</w:t>
      </w:r>
      <w:r w:rsidRPr="00C75CA4">
        <w:t>.</w:t>
      </w:r>
      <w:r>
        <w:t>391</w:t>
      </w:r>
      <w:r w:rsidRPr="00C75CA4">
        <w:t>,</w:t>
      </w:r>
      <w:r w:rsidRPr="00BD6626">
        <w:t>5</w:t>
      </w:r>
      <w:r w:rsidRPr="00C75CA4">
        <w:t xml:space="preserve"> εκατ. ευρώ.</w:t>
      </w:r>
    </w:p>
    <w:p w14:paraId="638E8BEC" w14:textId="38693E0D" w:rsidR="00197AA2" w:rsidRPr="00945EB8" w:rsidRDefault="00945EB8" w:rsidP="0096001D">
      <w:r w:rsidRPr="009313E7">
        <w:t>Ο μεσοσταθμικός συντελεστής κάλυψης των δημοπρασιών ΕΓΕΔ διαμορφώθηκε σ</w:t>
      </w:r>
      <w:r w:rsidR="0041023D">
        <w:t>ε</w:t>
      </w:r>
      <w:r w:rsidRPr="009313E7">
        <w:t xml:space="preserve"> 1,99, ενώ </w:t>
      </w:r>
      <w:r w:rsidR="007B04C7">
        <w:t>εά</w:t>
      </w:r>
      <w:r w:rsidRPr="009313E7">
        <w:t xml:space="preserve">ν συμπεριληφθούν και οι δημοπρασίες των </w:t>
      </w:r>
      <w:r w:rsidR="007B04C7">
        <w:t>Ομολόγων Ελληνικού Δημοσίου (</w:t>
      </w:r>
      <w:r w:rsidRPr="009313E7">
        <w:t>ΟΕΔ</w:t>
      </w:r>
      <w:r w:rsidR="007B04C7">
        <w:t>)</w:t>
      </w:r>
      <w:r w:rsidR="0041023D">
        <w:t>,</w:t>
      </w:r>
      <w:r w:rsidRPr="009313E7">
        <w:t xml:space="preserve"> ανέρχεται σε </w:t>
      </w:r>
      <w:r w:rsidRPr="00314A8C">
        <w:t>2,17. Το μέσο σταθμικό επιτόκιο νέου δανεισμού</w:t>
      </w:r>
      <w:r w:rsidR="0041023D">
        <w:t>,</w:t>
      </w:r>
      <w:r w:rsidRPr="00314A8C">
        <w:t xml:space="preserve"> το οποίο αποτελείται από τις εκδόσεις εντόκων γραμματίων και ομολόγων καθώς επίσης και από τα δάνεια τ</w:t>
      </w:r>
      <w:r>
        <w:t>ου</w:t>
      </w:r>
      <w:r w:rsidRPr="00314A8C">
        <w:t xml:space="preserve"> </w:t>
      </w:r>
      <w:r>
        <w:t>Τ</w:t>
      </w:r>
      <w:r w:rsidR="0041023D">
        <w:t>ΑΑ</w:t>
      </w:r>
      <w:r w:rsidRPr="00314A8C">
        <w:t xml:space="preserve"> (NGEU), </w:t>
      </w:r>
      <w:r w:rsidR="00DE745A" w:rsidRPr="00314A8C">
        <w:t xml:space="preserve">διαμορφώθηκε </w:t>
      </w:r>
      <w:r w:rsidRPr="00314A8C">
        <w:t>έως</w:t>
      </w:r>
      <w:r w:rsidR="00DE745A" w:rsidRPr="00DE745A">
        <w:t xml:space="preserve"> </w:t>
      </w:r>
      <w:r w:rsidR="00DE745A">
        <w:t>τις</w:t>
      </w:r>
      <w:r w:rsidRPr="00314A8C">
        <w:t xml:space="preserve"> 30</w:t>
      </w:r>
      <w:r>
        <w:t>.</w:t>
      </w:r>
      <w:r w:rsidRPr="00314A8C">
        <w:t>9</w:t>
      </w:r>
      <w:r>
        <w:t>.</w:t>
      </w:r>
      <w:r w:rsidRPr="00314A8C">
        <w:t>2025 σ</w:t>
      </w:r>
      <w:r w:rsidR="00DE745A">
        <w:t>ε</w:t>
      </w:r>
      <w:r w:rsidRPr="00314A8C">
        <w:t xml:space="preserve"> 2,</w:t>
      </w:r>
      <w:r>
        <w:t>90</w:t>
      </w:r>
      <w:r w:rsidRPr="00314A8C">
        <w:t xml:space="preserve">%, </w:t>
      </w:r>
      <w:r w:rsidRPr="00D04882">
        <w:t xml:space="preserve">ενώ η μέση σταθμική φυσική διάρκεια του νέου δανεισμού από τις αγορές κεφαλαίου διαμορφώθηκε σε </w:t>
      </w:r>
      <w:r>
        <w:t xml:space="preserve">14,60 </w:t>
      </w:r>
      <w:r w:rsidRPr="00D04882">
        <w:t>έτη έναντι 16,</w:t>
      </w:r>
      <w:r>
        <w:t>77</w:t>
      </w:r>
      <w:r w:rsidRPr="00D04882">
        <w:t xml:space="preserve"> έτη την αντίστοιχη περυσινή περίοδο.</w:t>
      </w:r>
    </w:p>
    <w:p w14:paraId="6E9AD990" w14:textId="77777777" w:rsidR="00197AA2" w:rsidRPr="00AC5EF9" w:rsidRDefault="00197AA2" w:rsidP="00300BBF">
      <w:pPr>
        <w:pStyle w:val="5"/>
      </w:pPr>
      <w:bookmarkStart w:id="732" w:name="_Toc214473808"/>
      <w:r w:rsidRPr="00AC5EF9">
        <w:t>Δευτερογενής αγορά τίτλων</w:t>
      </w:r>
      <w:bookmarkEnd w:id="732"/>
    </w:p>
    <w:p w14:paraId="40C9AC9D" w14:textId="09080988" w:rsidR="00945EB8" w:rsidRPr="002B0CF6" w:rsidRDefault="00945EB8" w:rsidP="00945EB8">
      <w:pPr>
        <w:rPr>
          <w:highlight w:val="lightGray"/>
        </w:rPr>
      </w:pPr>
      <w:r w:rsidRPr="00857E1D">
        <w:t xml:space="preserve">Η </w:t>
      </w:r>
      <w:r w:rsidR="00DE745A">
        <w:t xml:space="preserve">καταγραφείσα </w:t>
      </w:r>
      <w:r w:rsidRPr="00857E1D">
        <w:t xml:space="preserve">συνολική αξία των συναλλαγών στο Σύστημα Άυλων Τίτλων της </w:t>
      </w:r>
      <w:r w:rsidRPr="00F17D25">
        <w:t>ΤτΕ</w:t>
      </w:r>
      <w:r w:rsidRPr="00857E1D">
        <w:t xml:space="preserve">, η οποία περιλαμβάνει τις αγοραπωλησίες τίτλων και τις συμφωνίες επαναγοράς στην εξωχρηματιστηριακή αγορά (over-the-counter) και </w:t>
      </w:r>
      <w:r w:rsidR="00DE745A">
        <w:t>σ</w:t>
      </w:r>
      <w:r w:rsidRPr="00857E1D">
        <w:t xml:space="preserve">τις ηλεκτρονικές πλατφόρμες διαπραγμάτευσης, διαμορφώθηκε σε </w:t>
      </w:r>
      <w:r>
        <w:t>878,5</w:t>
      </w:r>
      <w:r w:rsidRPr="00857E1D">
        <w:t xml:space="preserve"> δισ. ευρώ το </w:t>
      </w:r>
      <w:r>
        <w:t>3ο</w:t>
      </w:r>
      <w:r w:rsidRPr="00857E1D">
        <w:t xml:space="preserve"> τρίμηνο του 202</w:t>
      </w:r>
      <w:r>
        <w:t>5</w:t>
      </w:r>
      <w:r w:rsidRPr="00857E1D">
        <w:t xml:space="preserve"> έναντι </w:t>
      </w:r>
      <w:r>
        <w:t>948,2</w:t>
      </w:r>
      <w:r w:rsidRPr="00857E1D">
        <w:t xml:space="preserve"> δισ. ευρώ το </w:t>
      </w:r>
      <w:r>
        <w:t>2ο</w:t>
      </w:r>
      <w:r w:rsidRPr="00857E1D">
        <w:t xml:space="preserve"> τρίμηνο του 202</w:t>
      </w:r>
      <w:r>
        <w:t>5</w:t>
      </w:r>
      <w:r w:rsidRPr="00857E1D">
        <w:t xml:space="preserve">, ενώ το </w:t>
      </w:r>
      <w:r>
        <w:t>3ο</w:t>
      </w:r>
      <w:r w:rsidRPr="00857E1D">
        <w:t xml:space="preserve"> τρίμηνο του 202</w:t>
      </w:r>
      <w:r>
        <w:t>4</w:t>
      </w:r>
      <w:r w:rsidRPr="00857E1D">
        <w:t xml:space="preserve"> είχε διαμορφωθεί σε </w:t>
      </w:r>
      <w:r>
        <w:t>800</w:t>
      </w:r>
      <w:r w:rsidRPr="00857E1D">
        <w:t>,</w:t>
      </w:r>
      <w:r>
        <w:t>1</w:t>
      </w:r>
      <w:r w:rsidRPr="00857E1D">
        <w:t xml:space="preserve"> δισ. ευρώ.</w:t>
      </w:r>
    </w:p>
    <w:p w14:paraId="13EFD9A8" w14:textId="14624CC6" w:rsidR="00945EB8" w:rsidRPr="00A23495" w:rsidRDefault="00945EB8" w:rsidP="00945EB8">
      <w:r w:rsidRPr="00A23495">
        <w:t xml:space="preserve">Κατά το </w:t>
      </w:r>
      <w:r>
        <w:t xml:space="preserve">3ο </w:t>
      </w:r>
      <w:r w:rsidRPr="00A23495">
        <w:t>τρίμηνο του 202</w:t>
      </w:r>
      <w:r>
        <w:t>5</w:t>
      </w:r>
      <w:r w:rsidRPr="00A23495">
        <w:t xml:space="preserve"> </w:t>
      </w:r>
      <w:r w:rsidRPr="0040178D">
        <w:t>το 7</w:t>
      </w:r>
      <w:r>
        <w:t>3</w:t>
      </w:r>
      <w:r w:rsidRPr="0040178D">
        <w:t>,</w:t>
      </w:r>
      <w:r>
        <w:t>0</w:t>
      </w:r>
      <w:r w:rsidRPr="0040178D">
        <w:t>%</w:t>
      </w:r>
      <w:r w:rsidRPr="00A23495">
        <w:t xml:space="preserve"> της συναλλακτικής δραστηριότητας στην Ηλεκτρονική Δευτερογενή Αγορά Τίτλων (ΗΔΑΤ) επικεντρώθηκε στους τίτλους με διάρκεια από 5 έως 10 έτη</w:t>
      </w:r>
      <w:r>
        <w:t xml:space="preserve">, </w:t>
      </w:r>
      <w:r w:rsidRPr="0040178D">
        <w:t>το 7,1% στους</w:t>
      </w:r>
      <w:r w:rsidRPr="00A23495">
        <w:t xml:space="preserve"> τίτλους με διάρκεια </w:t>
      </w:r>
      <w:r w:rsidRPr="00035E3F">
        <w:t xml:space="preserve">έως 5 έτη </w:t>
      </w:r>
      <w:r w:rsidRPr="0040178D">
        <w:t>και το 19,9% σε</w:t>
      </w:r>
      <w:r w:rsidRPr="00A23495">
        <w:t xml:space="preserve"> τίτλους με διάρκεια από 10 έως 30 έτη.</w:t>
      </w:r>
    </w:p>
    <w:p w14:paraId="15A7CCED" w14:textId="79C181DF" w:rsidR="00197AA2" w:rsidRPr="00AE64F9" w:rsidRDefault="00945EB8" w:rsidP="00F37078">
      <w:pPr>
        <w:spacing w:after="240"/>
        <w:rPr>
          <w:bCs/>
        </w:rPr>
      </w:pPr>
      <w:r w:rsidRPr="00036D25">
        <w:t xml:space="preserve">Η κατανομή της αξίας των συναλλαγών της ΗΔΑΤ ανάλογα με την εναπομένουσα διάρκεια των τίτλων κατά το </w:t>
      </w:r>
      <w:r w:rsidR="006E026F">
        <w:t>3ο</w:t>
      </w:r>
      <w:r w:rsidRPr="00036D25">
        <w:t xml:space="preserve"> τρίμηνο του 2025 </w:t>
      </w:r>
      <w:r w:rsidRPr="00AE64F9">
        <w:t xml:space="preserve">παρουσιάζεται στο </w:t>
      </w:r>
      <w:r w:rsidR="0085235C" w:rsidRPr="00AE64F9">
        <w:fldChar w:fldCharType="begin"/>
      </w:r>
      <w:r w:rsidR="0085235C" w:rsidRPr="00AE64F9">
        <w:instrText xml:space="preserve"> REF _Ref119254756 \h  \* MERGEFORMAT </w:instrText>
      </w:r>
      <w:r w:rsidR="0085235C" w:rsidRPr="00AE64F9">
        <w:fldChar w:fldCharType="separate"/>
      </w:r>
      <w:r w:rsidR="00E15678" w:rsidRPr="00E15678">
        <w:t>Διάγραμμα 4.6</w:t>
      </w:r>
      <w:r w:rsidR="0085235C" w:rsidRPr="00AE64F9">
        <w:fldChar w:fldCharType="end"/>
      </w:r>
      <w:r w:rsidRPr="00AE64F9">
        <w:t>.</w:t>
      </w:r>
    </w:p>
    <w:p w14:paraId="616D4C9A" w14:textId="0E9A86A2" w:rsidR="00197AA2" w:rsidRPr="00592766" w:rsidRDefault="00197AA2" w:rsidP="007015B9">
      <w:pPr>
        <w:pStyle w:val="afe"/>
        <w:keepNext/>
        <w:tabs>
          <w:tab w:val="left" w:pos="0"/>
        </w:tabs>
        <w:spacing w:after="60" w:line="276" w:lineRule="auto"/>
        <w:jc w:val="left"/>
        <w:rPr>
          <w:sz w:val="18"/>
          <w:szCs w:val="18"/>
        </w:rPr>
      </w:pPr>
      <w:bookmarkStart w:id="733" w:name="_Ref119254756"/>
      <w:bookmarkStart w:id="734" w:name="_Toc214474888"/>
      <w:r w:rsidRPr="00592766">
        <w:rPr>
          <w:sz w:val="18"/>
          <w:szCs w:val="18"/>
        </w:rPr>
        <w:lastRenderedPageBreak/>
        <w:t>Διάγραμμα 4.</w:t>
      </w:r>
      <w:r w:rsidR="00962DE1" w:rsidRPr="00592766">
        <w:rPr>
          <w:sz w:val="18"/>
          <w:szCs w:val="18"/>
        </w:rPr>
        <w:fldChar w:fldCharType="begin"/>
      </w:r>
      <w:r w:rsidR="00962DE1" w:rsidRPr="00592766">
        <w:rPr>
          <w:sz w:val="18"/>
          <w:szCs w:val="18"/>
        </w:rPr>
        <w:instrText xml:space="preserve"> SEQ Διάγραμμα_4. \* ARABIC </w:instrText>
      </w:r>
      <w:r w:rsidR="00962DE1" w:rsidRPr="00592766">
        <w:rPr>
          <w:sz w:val="18"/>
          <w:szCs w:val="18"/>
        </w:rPr>
        <w:fldChar w:fldCharType="separate"/>
      </w:r>
      <w:r w:rsidR="00E15678">
        <w:rPr>
          <w:noProof/>
          <w:sz w:val="18"/>
          <w:szCs w:val="18"/>
        </w:rPr>
        <w:t>6</w:t>
      </w:r>
      <w:r w:rsidR="00962DE1" w:rsidRPr="00592766">
        <w:rPr>
          <w:sz w:val="18"/>
          <w:szCs w:val="18"/>
        </w:rPr>
        <w:fldChar w:fldCharType="end"/>
      </w:r>
      <w:bookmarkEnd w:id="733"/>
      <w:r w:rsidRPr="00592766">
        <w:rPr>
          <w:sz w:val="18"/>
          <w:szCs w:val="18"/>
        </w:rPr>
        <w:t>.:</w:t>
      </w:r>
      <w:r w:rsidR="004B58E5" w:rsidRPr="004B58E5">
        <w:rPr>
          <w:sz w:val="18"/>
          <w:szCs w:val="18"/>
        </w:rPr>
        <w:t xml:space="preserve"> </w:t>
      </w:r>
      <w:r w:rsidRPr="00592766">
        <w:rPr>
          <w:sz w:val="18"/>
          <w:szCs w:val="18"/>
        </w:rPr>
        <w:t xml:space="preserve">Αξία συναλλαγών στην ΗΔΑΤ </w:t>
      </w:r>
      <w:r w:rsidR="00A90CD9">
        <w:rPr>
          <w:sz w:val="18"/>
          <w:szCs w:val="18"/>
        </w:rPr>
        <w:t xml:space="preserve">- </w:t>
      </w:r>
      <w:r w:rsidR="0004332B" w:rsidRPr="00592766">
        <w:rPr>
          <w:sz w:val="18"/>
          <w:szCs w:val="18"/>
        </w:rPr>
        <w:t>τρίτο</w:t>
      </w:r>
      <w:r w:rsidRPr="00592766">
        <w:rPr>
          <w:sz w:val="18"/>
          <w:szCs w:val="18"/>
        </w:rPr>
        <w:t xml:space="preserve"> τρίμηνο 202</w:t>
      </w:r>
      <w:r w:rsidR="00592766" w:rsidRPr="00592766">
        <w:rPr>
          <w:sz w:val="18"/>
          <w:szCs w:val="18"/>
        </w:rPr>
        <w:t>5</w:t>
      </w:r>
      <w:r w:rsidRPr="00592766">
        <w:rPr>
          <w:sz w:val="18"/>
          <w:szCs w:val="18"/>
        </w:rPr>
        <w:t xml:space="preserve"> </w:t>
      </w:r>
      <w:r w:rsidR="00567A8A" w:rsidRPr="00592766">
        <w:rPr>
          <w:sz w:val="18"/>
          <w:szCs w:val="18"/>
        </w:rPr>
        <w:t>(</w:t>
      </w:r>
      <w:r w:rsidRPr="00592766">
        <w:rPr>
          <w:sz w:val="18"/>
          <w:szCs w:val="18"/>
        </w:rPr>
        <w:t>με βάση την εναπομένουσα διάρκεια</w:t>
      </w:r>
      <w:r w:rsidR="0004332B" w:rsidRPr="00592766">
        <w:rPr>
          <w:sz w:val="18"/>
          <w:szCs w:val="18"/>
        </w:rPr>
        <w:t xml:space="preserve"> </w:t>
      </w:r>
      <w:r w:rsidRPr="00592766">
        <w:rPr>
          <w:sz w:val="18"/>
          <w:szCs w:val="18"/>
        </w:rPr>
        <w:t xml:space="preserve">των </w:t>
      </w:r>
      <w:r w:rsidR="00567A8A" w:rsidRPr="00592766">
        <w:rPr>
          <w:sz w:val="18"/>
          <w:szCs w:val="18"/>
        </w:rPr>
        <w:t>τ</w:t>
      </w:r>
      <w:r w:rsidRPr="00592766">
        <w:rPr>
          <w:sz w:val="18"/>
          <w:szCs w:val="18"/>
        </w:rPr>
        <w:t>ίτλων)</w:t>
      </w:r>
      <w:bookmarkEnd w:id="734"/>
    </w:p>
    <w:p w14:paraId="54E17014" w14:textId="51C9A024" w:rsidR="00AA7D12" w:rsidRDefault="00AA7D12" w:rsidP="00FE0E1B">
      <w:pPr>
        <w:spacing w:after="0"/>
        <w:jc w:val="center"/>
        <w:rPr>
          <w:highlight w:val="yellow"/>
        </w:rPr>
      </w:pPr>
      <w:r>
        <w:rPr>
          <w:noProof/>
        </w:rPr>
        <w:drawing>
          <wp:inline distT="0" distB="0" distL="0" distR="0" wp14:anchorId="3F115A92" wp14:editId="576FE810">
            <wp:extent cx="5046980" cy="2484000"/>
            <wp:effectExtent l="0" t="0" r="1270" b="12700"/>
            <wp:docPr id="22" name="Γράφημα 22">
              <a:extLst xmlns:a="http://schemas.openxmlformats.org/drawingml/2006/main">
                <a:ext uri="{FF2B5EF4-FFF2-40B4-BE49-F238E27FC236}">
                  <a16:creationId xmlns:a16="http://schemas.microsoft.com/office/drawing/2014/main" id="{626E383E-5800-4DED-8FBF-D2D3BDEBDC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3A0A929D" w14:textId="66586A0F" w:rsidR="00197AA2" w:rsidRPr="00AE64F9" w:rsidRDefault="00EB4EF9" w:rsidP="00EA65E5">
      <w:pPr>
        <w:spacing w:before="240" w:after="240"/>
      </w:pPr>
      <w:r w:rsidRPr="003F58F1">
        <w:t xml:space="preserve">Η συναλλακτική δραστηριότητα στην ΗΔΑΤ παρουσιάζεται </w:t>
      </w:r>
      <w:r>
        <w:t>μειωμένη</w:t>
      </w:r>
      <w:r w:rsidRPr="003F58F1">
        <w:t xml:space="preserve"> κατά το </w:t>
      </w:r>
      <w:r w:rsidR="006E026F">
        <w:t>3ο</w:t>
      </w:r>
      <w:r w:rsidRPr="003F58F1">
        <w:t xml:space="preserve"> τρίμηνο του τρέχοντος έτους. Η εξέλιξη της αξίας των συναλλαγών που πραγματοποιήθηκε στην ΗΔΑΤ για τα εννεάμηνα των ετών 2024 και 2025, ανά μήνα, παρουσιάζεται </w:t>
      </w:r>
      <w:r w:rsidRPr="00AE64F9">
        <w:t xml:space="preserve">στο </w:t>
      </w:r>
      <w:r w:rsidR="001964E9" w:rsidRPr="00AE64F9">
        <w:fldChar w:fldCharType="begin"/>
      </w:r>
      <w:r w:rsidR="001964E9" w:rsidRPr="00AE64F9">
        <w:instrText xml:space="preserve"> REF _Ref119254814 \h  \* MERGEFORMAT </w:instrText>
      </w:r>
      <w:r w:rsidR="001964E9" w:rsidRPr="00AE64F9">
        <w:fldChar w:fldCharType="separate"/>
      </w:r>
      <w:r w:rsidR="00E15678" w:rsidRPr="00E15678">
        <w:t>Διάγραμμα 4.7</w:t>
      </w:r>
      <w:r w:rsidR="001964E9" w:rsidRPr="00AE64F9">
        <w:fldChar w:fldCharType="end"/>
      </w:r>
      <w:r w:rsidRPr="00AE64F9">
        <w:t>.</w:t>
      </w:r>
    </w:p>
    <w:p w14:paraId="42A77165" w14:textId="1E76A51F" w:rsidR="00197AA2" w:rsidRPr="00525AC9" w:rsidRDefault="00197AA2" w:rsidP="009310B7">
      <w:pPr>
        <w:pStyle w:val="afe"/>
        <w:keepNext/>
        <w:spacing w:before="240" w:after="60" w:line="276" w:lineRule="auto"/>
        <w:rPr>
          <w:sz w:val="18"/>
          <w:szCs w:val="18"/>
        </w:rPr>
      </w:pPr>
      <w:bookmarkStart w:id="735" w:name="_Ref119254814"/>
      <w:bookmarkStart w:id="736" w:name="_Toc214474889"/>
      <w:r w:rsidRPr="00525AC9">
        <w:rPr>
          <w:sz w:val="18"/>
          <w:szCs w:val="18"/>
        </w:rPr>
        <w:t>Διάγραμμα 4.</w:t>
      </w:r>
      <w:r w:rsidR="00962DE1" w:rsidRPr="00525AC9">
        <w:rPr>
          <w:sz w:val="18"/>
          <w:szCs w:val="18"/>
        </w:rPr>
        <w:fldChar w:fldCharType="begin"/>
      </w:r>
      <w:r w:rsidR="00962DE1" w:rsidRPr="00525AC9">
        <w:rPr>
          <w:sz w:val="18"/>
          <w:szCs w:val="18"/>
        </w:rPr>
        <w:instrText xml:space="preserve"> SEQ Διάγραμμα_4. \* ARABIC </w:instrText>
      </w:r>
      <w:r w:rsidR="00962DE1" w:rsidRPr="00525AC9">
        <w:rPr>
          <w:sz w:val="18"/>
          <w:szCs w:val="18"/>
        </w:rPr>
        <w:fldChar w:fldCharType="separate"/>
      </w:r>
      <w:r w:rsidR="00E15678">
        <w:rPr>
          <w:noProof/>
          <w:sz w:val="18"/>
          <w:szCs w:val="18"/>
        </w:rPr>
        <w:t>7</w:t>
      </w:r>
      <w:r w:rsidR="00962DE1" w:rsidRPr="00525AC9">
        <w:rPr>
          <w:sz w:val="18"/>
          <w:szCs w:val="18"/>
        </w:rPr>
        <w:fldChar w:fldCharType="end"/>
      </w:r>
      <w:bookmarkEnd w:id="735"/>
      <w:r w:rsidRPr="00525AC9">
        <w:rPr>
          <w:sz w:val="18"/>
          <w:szCs w:val="18"/>
        </w:rPr>
        <w:t>.: Μηνιαίος όγκος συναλλαγών επί τίτλων του Δημοσίου στην ΗΔΑΤ (σε εκατ. ευρώ)</w:t>
      </w:r>
      <w:bookmarkEnd w:id="736"/>
    </w:p>
    <w:p w14:paraId="08BF75BB" w14:textId="38183AA3" w:rsidR="00FE0E1B" w:rsidRDefault="00FE0E1B" w:rsidP="001964E9">
      <w:pPr>
        <w:spacing w:after="0"/>
        <w:rPr>
          <w:highlight w:val="yellow"/>
        </w:rPr>
      </w:pPr>
      <w:r>
        <w:rPr>
          <w:noProof/>
        </w:rPr>
        <w:drawing>
          <wp:inline distT="0" distB="0" distL="0" distR="0" wp14:anchorId="148E474D" wp14:editId="06B03F6B">
            <wp:extent cx="5759450" cy="2412000"/>
            <wp:effectExtent l="0" t="0" r="12700" b="7620"/>
            <wp:docPr id="44" name="Γράφημα 44">
              <a:extLst xmlns:a="http://schemas.openxmlformats.org/drawingml/2006/main">
                <a:ext uri="{FF2B5EF4-FFF2-40B4-BE49-F238E27FC236}">
                  <a16:creationId xmlns:a16="http://schemas.microsoft.com/office/drawing/2014/main" id="{DBBCEC53-A8DB-449E-81E0-96A1F38BC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4241E603" w14:textId="764C4CDA" w:rsidR="00E80A67" w:rsidRPr="00EB4EF9" w:rsidRDefault="00EB4EF9" w:rsidP="00A220A0">
      <w:pPr>
        <w:spacing w:before="240"/>
      </w:pPr>
      <w:r w:rsidRPr="008951E3">
        <w:t xml:space="preserve">Η σύνθεση της ομάδας των βασικών διαπραγματευτών αγοράς κατά το τρέχον έτος αποτελείται από τέσσερα ελληνικά και </w:t>
      </w:r>
      <w:r>
        <w:t xml:space="preserve">δεκατέσσερα </w:t>
      </w:r>
      <w:r w:rsidRPr="008951E3">
        <w:t>διεθνή πιστωτικά ιδρύματα.</w:t>
      </w:r>
    </w:p>
    <w:p w14:paraId="2480939E" w14:textId="73059B74" w:rsidR="00197AA2" w:rsidRPr="00E26546" w:rsidRDefault="00197AA2" w:rsidP="00300BBF">
      <w:pPr>
        <w:pStyle w:val="4"/>
      </w:pPr>
      <w:bookmarkStart w:id="737" w:name="_Toc214473809"/>
      <w:r w:rsidRPr="00E26546">
        <w:t>Βασικές κατευθύνσεις δανεισμού και διαχειριστικ</w:t>
      </w:r>
      <w:r w:rsidR="00A546C9">
        <w:t>οί</w:t>
      </w:r>
      <w:r w:rsidRPr="00E26546">
        <w:t xml:space="preserve"> στόχοι </w:t>
      </w:r>
      <w:r w:rsidR="00E80A67">
        <w:t>έτους 2</w:t>
      </w:r>
      <w:r w:rsidR="001A23D2">
        <w:t>02</w:t>
      </w:r>
      <w:r w:rsidR="00EB4EF9" w:rsidRPr="00EB4EF9">
        <w:t>6</w:t>
      </w:r>
      <w:bookmarkEnd w:id="737"/>
    </w:p>
    <w:p w14:paraId="14D47149" w14:textId="22BB6A75" w:rsidR="00EB4EF9" w:rsidRDefault="00EB4EF9" w:rsidP="00EB4EF9">
      <w:r w:rsidRPr="00F17D25">
        <w:t>Κατά το έτος 2025 το χρέος της Γενικής Κυβέρνησης παρουσιάζεται μειωμένο σε απόλυτο μέγεθος, ενώ συνεχίστηκε η μείωσή του και ως ποσοστού του ΑΕΠ λόγω της νέας αύξησης τόσο του ονομαστικού όσο και του πραγματικού ΑΕΠ. Παράλληλα, το ύψος των συνολικών ταμειακών διαθεσίμων του Ελληνικού Δημοσίου διατηρήθηκε στα υψηλά επίπεδα των προηγούμενων ετών.</w:t>
      </w:r>
    </w:p>
    <w:p w14:paraId="350ABEA2" w14:textId="0AEFC028" w:rsidR="00EB4EF9" w:rsidRPr="003F58F1" w:rsidRDefault="00EB4EF9" w:rsidP="00EB4EF9">
      <w:r w:rsidRPr="00F17D25">
        <w:t xml:space="preserve">Η βραχυπρόθεσμη χρηματοδότηση του Ελληνικού Δημοσίου για όλο το έτος 2025 εξασφάλισε συνεχή εκδοτική παρουσία σε όλο το βραχυχρόνιο τμήμα της καμπύλης αποδόσεων, σταθεροποιώντας παράλληλα τη μέση σταθμική ωρίμανση του βραχυχρόνιου δανεισμού καθώς και τους δείκτες κινδύνου αναχρηματοδότησης σε χαμηλά επίπεδα. Επιπλέον, συνεχίστηκε και το τρέχον έτος η διαδικασία των </w:t>
      </w:r>
      <w:r w:rsidRPr="00F17D25">
        <w:lastRenderedPageBreak/>
        <w:t>δημόσιων εγγραφών για ιδιώτες μικροεπενδυτές στις δημοπρασίες ΕΓΕΔ, διάρκειας 3, 6 και 12 μηνών, για απόκτηση τίτλων έως του ποσού των 15.000 ευρώ ανά ΑΦΜ.</w:t>
      </w:r>
    </w:p>
    <w:p w14:paraId="784020C5" w14:textId="4528DB10" w:rsidR="00EB4EF9" w:rsidRDefault="00EB4EF9" w:rsidP="00EB4EF9">
      <w:r w:rsidRPr="008C7F2A">
        <w:t>Οι μικτές χρηματοδοτικές ανάγκες του Ελληνικού Δημοσίου για το 2025, περιλαμβανομένης και της επικείμενης πρόωρης εξόφλησης των διμερών δανείων με τις χώρες της Ευρωζώνης (GLF), ύψους 5.2</w:t>
      </w:r>
      <w:r>
        <w:t>87</w:t>
      </w:r>
      <w:r w:rsidRPr="008C7F2A">
        <w:t xml:space="preserve"> εκατ. ευρώ, που αφορά αναλογικά (pro rata) στις λήξεις από το 2033 έως και το 20</w:t>
      </w:r>
      <w:r>
        <w:t xml:space="preserve">39 και </w:t>
      </w:r>
      <w:r w:rsidR="00404ABE">
        <w:t>σ</w:t>
      </w:r>
      <w:r>
        <w:t>την πλήρη εξόφληση των λήξεων για τα έτη 2040 και 2041</w:t>
      </w:r>
      <w:r w:rsidRPr="008C7F2A">
        <w:t>, καλύφθηκαν κυρίως από δύο κοινοπρακτικές εκδόσεις ομολόγων σταθερού επιτοκίου. Συγκεκριμένα, η πρώτη έκδοση ύψους 4.000 εκατ. ευρώ αφορούσε σε νέο δεκαετές ομόλογο λήξης 2035, ενώ η δεύτερη αφορούσε σε διπλή έκδοση συνολικού ύψους 3.000 εκατ. ευρώ με επανέκδοση (re-opening) υφιστάμενων ομολόγων δεκαπενταετούς και τριακονταετούς διάρκειας, λήξης 2038 και 2054 αντίστοιχα, σε συνδυασμό με επαναγορά υφιστάμενων ομολόγων ύψους 1.500 εκατ. ευρώ, λήξης 2026 (dual tranc</w:t>
      </w:r>
      <w:r>
        <w:rPr>
          <w:lang w:val="en-US"/>
        </w:rPr>
        <w:t>h</w:t>
      </w:r>
      <w:r w:rsidRPr="008C7F2A">
        <w:t>e + switch and tender offer).</w:t>
      </w:r>
    </w:p>
    <w:p w14:paraId="4F361030" w14:textId="0E9204C8" w:rsidR="00EB4EF9" w:rsidRDefault="00EB4EF9" w:rsidP="00EB4EF9">
      <w:r w:rsidRPr="008C7F2A">
        <w:t>Με τις ανωτέρω εκδόσεις σε συνδυασμό με τη χρήση μέρους των ταμειακών διαθεσίμων, υλοποιήθηκε το σύνολο σχεδόν του εγκεκριμένου δανειακού προγράμματος του έτους, περιλαμβανομένων και των ποσών για πρόωρες εξοφλήσεις δημόσιου χρέους, με ταυτόχρονη κάλυψη των κενών ληκτότητας της καμπύλης αποδόσεων με επαρκούς ρευστότητας ομολογιακές εκδόσεις αναφοράς (benchmark issues) και με περαιτέρω βελτίωση των όγκων συναλλαγών της δευτερογενούς αγοράς ελληνικών κρατικών χρεογράφων. Επιπλέον, διενεργήθηκαν τρεις δημοπρασίες επανέκδοσης ομολόγων σε προκαθορισμένα τακτά χρονικά διαστήματα (3η εβδομάδα κάθε μήνα), μέσω των οποίων αντλήθηκε συνολικό ποσό 700 εκατ. ευρώ. Οι εν λόγω δημοπρασίες αποσκοπούν κυρίως στην ικανοποίηση της επενδυτικής ζήτησης και ταυτόχρονα στην ευχερέστερη λειτουργία της δευτερογενούς αγοράς ομολόγων, με παροχή περαιτέρω ρευστότητας σε επιλεγμένα σημεία της καμπύλης αποδόσεων, ενώ η ανακοίνωση του χρονικού προγραμματισμού τους πιστοποιεί την επιστροφή του Ελληνικού Δημοσίου στην εκδοτική κανονικότητα.</w:t>
      </w:r>
    </w:p>
    <w:p w14:paraId="6817ED8F" w14:textId="276CF529" w:rsidR="00EB4EF9" w:rsidRPr="003F58F1" w:rsidRDefault="00EB4EF9" w:rsidP="00EB4EF9">
      <w:r w:rsidRPr="008C7F2A">
        <w:t>Δεδομένων των υψηλών ταμειακών διαθεσίμων του Ελληνικού Δημοσίου καθώς και των σχετικά περιορισμένων χρηματοδοτικών αναγκών του για το έτος 2026 συνεπεία και των προαναφερόμενων πρ</w:t>
      </w:r>
      <w:r w:rsidR="00452DBB">
        <w:t>όωρων αποπλη</w:t>
      </w:r>
      <w:r w:rsidRPr="008C7F2A">
        <w:t>ρωμών, η δανειακή στρατηγική για το επόμενο έτος αναμένεται να είναι και πάλι περιορισμένη</w:t>
      </w:r>
      <w:r>
        <w:t>.</w:t>
      </w:r>
      <w:r w:rsidRPr="003F58F1">
        <w:t xml:space="preserve"> </w:t>
      </w:r>
      <w:r w:rsidRPr="008C7F2A">
        <w:t xml:space="preserve">Συγκεκριμένα, η στόχευση της δανειακής στρατηγικής συνίσταται στη διασφάλιση της συνεχούς εκδοτικής παρουσίας του Ελληνικού Δημοσίου στις διεθνείς αγορές κεφαλαίων, στην περαιτέρω παροχή εκδόσεων υψηλής ρευστότητας με διατήρηση κατά το δυνατόν της ήδη εκτεταμένης φυσικής ωρίμανσής τους, στη μείωση των περιθωρίων δανεισμού του Ελληνικού Δημοσίου καθώς και στην επιπρόσθετη διασφάλιση της συνέπειας του Ελληνικού Δημοσίου ως κρατικού εκδότη με χαρακτηριστικά χώρας της Ευρωζώνης. Ταυτόχρονα, στο πλαίσιο των ευκαιριών που παρέχονται στο βραχυχρόνιο τμήμα της ευρωπαϊκής καμπύλης, θα αξιοποιηθούν στον μέγιστο δυνατό βαθμό οι υφιστάμενες θέσεις και τα χαρακτηριστικά του ελληνικού χαρτοφυλακίου δημόσιου χρέους. Τέλος, θα συνεχιστεί η πολιτική πρόωρων αποπληρωμών χρέους με χρήση και μέρους των ταμειακών διαθεσίμων και συγκεκριμένα των δανείων που προέρχονται από τον επίσημο τομέα, </w:t>
      </w:r>
      <w:r w:rsidR="000F6EA1">
        <w:t>περιλαμβανομένων</w:t>
      </w:r>
      <w:r w:rsidRPr="008C7F2A">
        <w:t xml:space="preserve"> των διμερών δανείων με τις χώρες της Ευρωζώνης. Κύριος στόχος είναι η αποπληρωμή των εν λόγω διμερών δανείων μία δεκαετία νωρίτερα από την τελική ημερομηνία λήξης τους, ήτοι το αργότερο έως το 2031, ούτως ώστε το χρέος της Γενικής Κυβέρνησης να μειωθεί τόσο ως απόλυτο μέγεθος όσο και ως ποσοστό</w:t>
      </w:r>
      <w:r w:rsidR="00656D0D">
        <w:t xml:space="preserve"> του ΑΕΠ</w:t>
      </w:r>
      <w:r w:rsidRPr="008C7F2A">
        <w:t>.</w:t>
      </w:r>
    </w:p>
    <w:p w14:paraId="790164E8" w14:textId="4B68E14F" w:rsidR="00EB4EF9" w:rsidRPr="008C7F2A" w:rsidRDefault="00EB4EF9" w:rsidP="00EB4EF9">
      <w:r w:rsidRPr="008C7F2A">
        <w:t>Για την επίτευξη των ανωτέρω στόχων θα επιδιωχθεί στο πλαίσιο λειτουργίας της πρωτογενούς αγοράς, πλέον της εκδοτικής δραστηριότητας, η εφαρμογή της πολιτικής διαχείρισης χαρτοφυλακίου</w:t>
      </w:r>
      <w:r w:rsidR="00404ABE">
        <w:t>,</w:t>
      </w:r>
      <w:r w:rsidRPr="008C7F2A">
        <w:t xml:space="preserve"> μέσω της οποίας θα διασφαλίζονται ο αναγκαίος χώρος για τη συνεχή παρουσία του Ελληνικού Δημοσίου στις αγορές, η περαιτέρω μείωση του κινδύνου αναχρηματοδότησης, η παροχή της αναγκαίας ρευστότητας και η βελτίωση της λειτουργίας της δευτερογενούς αγοράς των ελληνικών ομολόγων, με ταυτόχρονη αξιοποίηση της εκάστοτε κλίσης της ελληνικής καμπύλης αποδόσεων για τη διασφάλιση βέλτιστου αποτελέσματος αναφορικά με το κόστος δανεισμού.</w:t>
      </w:r>
    </w:p>
    <w:p w14:paraId="45890FF1" w14:textId="77777777" w:rsidR="00EB4EF9" w:rsidRPr="00024A80" w:rsidRDefault="00EB4EF9" w:rsidP="00EB4EF9">
      <w:r w:rsidRPr="008C7F2A">
        <w:lastRenderedPageBreak/>
        <w:t>Κατά το επόμενο έτος θα διατηρηθούν οι βασικοί μεσοπρόθεσμοι στόχοι διαχείρισης του χαρτοφυλακίου δημόσιου χρέους, όπως είναι η πλήρης αντιστάθμιση του συναλλαγματικού κινδύνου για τα δάνεια εκτός ευρώ και η διατήρηση της υφιστάμενης αναλογίας χρέους σταθερού επιτοκίου στο σύνολο του χαρτοφυλακίου.</w:t>
      </w:r>
    </w:p>
    <w:p w14:paraId="7F608B4E" w14:textId="6674F028" w:rsidR="00627C31" w:rsidRDefault="00627C31" w:rsidP="00300BBF">
      <w:pPr>
        <w:pStyle w:val="3"/>
      </w:pPr>
      <w:bookmarkStart w:id="738" w:name="_Toc116042580"/>
      <w:bookmarkStart w:id="739" w:name="_Toc116042683"/>
      <w:bookmarkStart w:id="740" w:name="_Toc116044194"/>
      <w:bookmarkStart w:id="741" w:name="_Toc116044296"/>
      <w:bookmarkStart w:id="742" w:name="_Toc118991015"/>
      <w:bookmarkStart w:id="743" w:name="_Toc119082309"/>
      <w:bookmarkStart w:id="744" w:name="_Toc214473810"/>
      <w:bookmarkEnd w:id="666"/>
      <w:bookmarkEnd w:id="738"/>
      <w:bookmarkEnd w:id="739"/>
      <w:bookmarkEnd w:id="740"/>
      <w:bookmarkEnd w:id="741"/>
      <w:bookmarkEnd w:id="742"/>
      <w:bookmarkEnd w:id="743"/>
      <w:r>
        <w:t>Εγγυήσεις</w:t>
      </w:r>
      <w:bookmarkEnd w:id="744"/>
    </w:p>
    <w:p w14:paraId="6B67A5BF" w14:textId="7D9AFD47" w:rsidR="001F2668" w:rsidRPr="00A334D1" w:rsidRDefault="001F2668" w:rsidP="001F2668">
      <w:r w:rsidRPr="00A334D1">
        <w:t>Η παροχή εγγυήσεων από το Ε</w:t>
      </w:r>
      <w:r>
        <w:t xml:space="preserve">λληνικό </w:t>
      </w:r>
      <w:r w:rsidRPr="00A334D1">
        <w:t>Δ</w:t>
      </w:r>
      <w:r>
        <w:t>ημόσιο</w:t>
      </w:r>
      <w:r w:rsidRPr="00A334D1">
        <w:t xml:space="preserve"> αποτελεί εργαλείο άσκησης οικονομικής πολιτικής για τη χρηματοδότηση δημόσιων και ιδιωτικών φορέων καθώς και για την άντληση ρευστότητας, χωρίς την άμεση επιβάρυνση του κρατικού προϋπολογισμού.</w:t>
      </w:r>
    </w:p>
    <w:p w14:paraId="024E741F" w14:textId="17655FFB" w:rsidR="001F2668" w:rsidRPr="00A334D1" w:rsidRDefault="001F2668" w:rsidP="001F2668">
      <w:r w:rsidRPr="00A334D1">
        <w:t>Το Ε</w:t>
      </w:r>
      <w:r>
        <w:t xml:space="preserve">λληνικό </w:t>
      </w:r>
      <w:r w:rsidRPr="00A334D1">
        <w:t>Δ</w:t>
      </w:r>
      <w:r>
        <w:t>ημόσιο</w:t>
      </w:r>
      <w:r w:rsidRPr="00A334D1">
        <w:t xml:space="preserve"> παρέχει την εγγύησή του με διαφανή και αντικειμενικά κριτήρια, </w:t>
      </w:r>
      <w:r w:rsidR="006D647D">
        <w:t xml:space="preserve">κατ’ εφαρμογή </w:t>
      </w:r>
      <w:r>
        <w:t>του ν.</w:t>
      </w:r>
      <w:r w:rsidRPr="00A334D1">
        <w:t>4549/2018</w:t>
      </w:r>
      <w:r w:rsidR="003A555E">
        <w:t xml:space="preserve"> (</w:t>
      </w:r>
      <w:r w:rsidR="001D326A">
        <w:t>άρθρ</w:t>
      </w:r>
      <w:r w:rsidR="003A555E">
        <w:t>α</w:t>
      </w:r>
      <w:r w:rsidR="001D326A">
        <w:t xml:space="preserve"> 91 </w:t>
      </w:r>
      <w:r w:rsidR="003A555E">
        <w:t>-</w:t>
      </w:r>
      <w:r w:rsidR="001D326A">
        <w:t xml:space="preserve"> 108</w:t>
      </w:r>
      <w:r w:rsidR="003A555E">
        <w:t>)</w:t>
      </w:r>
      <w:r>
        <w:t>, το</w:t>
      </w:r>
      <w:r w:rsidR="00112864">
        <w:t>υ</w:t>
      </w:r>
      <w:r>
        <w:t xml:space="preserve"> ν.</w:t>
      </w:r>
      <w:r w:rsidRPr="00A334D1">
        <w:t>4649/2019</w:t>
      </w:r>
      <w:r>
        <w:t xml:space="preserve"> (</w:t>
      </w:r>
      <w:r w:rsidR="00880B0F">
        <w:t xml:space="preserve">Α’ 206, </w:t>
      </w:r>
      <w:r w:rsidRPr="00A334D1">
        <w:t>Σχήμα «ΗΡΑΚΛΗΣ»</w:t>
      </w:r>
      <w:r>
        <w:t>)</w:t>
      </w:r>
      <w:r w:rsidRPr="00A334D1">
        <w:t xml:space="preserve"> και τη</w:t>
      </w:r>
      <w:r w:rsidR="00C23F03">
        <w:t>ς</w:t>
      </w:r>
      <w:r w:rsidRPr="00A334D1">
        <w:t xml:space="preserve"> ευρωπαϊκή</w:t>
      </w:r>
      <w:r w:rsidR="00C23F03">
        <w:t>ς</w:t>
      </w:r>
      <w:r w:rsidRPr="00A334D1">
        <w:t xml:space="preserve"> νομοθεσία</w:t>
      </w:r>
      <w:r w:rsidR="00C23F03">
        <w:t>ς</w:t>
      </w:r>
      <w:r w:rsidRPr="00A334D1">
        <w:t xml:space="preserve"> περί κρατικών ενισχύσεων (άρθρα 107 και 108 της Σ</w:t>
      </w:r>
      <w:r>
        <w:t xml:space="preserve">υνθήκης για τη λειτουργία της </w:t>
      </w:r>
      <w:r w:rsidRPr="00A334D1">
        <w:t>Ε</w:t>
      </w:r>
      <w:r>
        <w:t>υρωπαϊκής Ένωσης</w:t>
      </w:r>
      <w:r w:rsidR="00880B0F">
        <w:t xml:space="preserve"> - ΣΛΕΕ</w:t>
      </w:r>
      <w:r w:rsidRPr="00A334D1">
        <w:t>).</w:t>
      </w:r>
    </w:p>
    <w:p w14:paraId="16C973C0" w14:textId="28F4B552" w:rsidR="001F2668" w:rsidRPr="00D90236" w:rsidRDefault="001F2668" w:rsidP="001F2668">
      <w:pPr>
        <w:rPr>
          <w:rFonts w:cs="Arial"/>
          <w:color w:val="000000"/>
          <w:szCs w:val="20"/>
        </w:rPr>
      </w:pPr>
      <w:r w:rsidRPr="00A334D1">
        <w:rPr>
          <w:rFonts w:cs="Arial"/>
          <w:color w:val="000000"/>
          <w:szCs w:val="20"/>
        </w:rPr>
        <w:t>Το 202</w:t>
      </w:r>
      <w:r>
        <w:rPr>
          <w:rFonts w:cs="Arial"/>
          <w:color w:val="000000"/>
          <w:szCs w:val="20"/>
        </w:rPr>
        <w:t>5</w:t>
      </w:r>
      <w:r w:rsidRPr="00A334D1">
        <w:rPr>
          <w:rFonts w:cs="Arial"/>
          <w:color w:val="000000"/>
          <w:szCs w:val="20"/>
        </w:rPr>
        <w:t xml:space="preserve"> παρασχέθηκαν</w:t>
      </w:r>
      <w:r w:rsidRPr="00466314">
        <w:t xml:space="preserve"> </w:t>
      </w:r>
      <w:r w:rsidRPr="00A334D1">
        <w:t>εγγυήσεις</w:t>
      </w:r>
      <w:r w:rsidRPr="00466314">
        <w:rPr>
          <w:rFonts w:cs="Arial"/>
          <w:color w:val="000000"/>
          <w:szCs w:val="20"/>
        </w:rPr>
        <w:t xml:space="preserve"> </w:t>
      </w:r>
      <w:r w:rsidR="00857F1E">
        <w:rPr>
          <w:szCs w:val="20"/>
        </w:rPr>
        <w:t xml:space="preserve">προς την </w:t>
      </w:r>
      <w:r>
        <w:rPr>
          <w:szCs w:val="20"/>
        </w:rPr>
        <w:t xml:space="preserve">ΕΤΕπ </w:t>
      </w:r>
      <w:r w:rsidRPr="00D75F2B">
        <w:rPr>
          <w:szCs w:val="20"/>
        </w:rPr>
        <w:t>για δάνεια που χορηγ</w:t>
      </w:r>
      <w:r w:rsidR="00857F1E">
        <w:rPr>
          <w:szCs w:val="20"/>
        </w:rPr>
        <w:t>εί</w:t>
      </w:r>
      <w:r w:rsidRPr="00D75F2B">
        <w:rPr>
          <w:szCs w:val="20"/>
        </w:rPr>
        <w:t xml:space="preserve"> σε δημόσιες επιχειρήσεις και οργανισμούς για επενδυτικούς και κοινωνικούς σκοπούς</w:t>
      </w:r>
      <w:r>
        <w:rPr>
          <w:szCs w:val="20"/>
        </w:rPr>
        <w:t xml:space="preserve"> στο πλαίσιο του ν.4549/2018</w:t>
      </w:r>
      <w:r w:rsidRPr="00466314">
        <w:rPr>
          <w:szCs w:val="20"/>
        </w:rPr>
        <w:t xml:space="preserve"> </w:t>
      </w:r>
      <w:r>
        <w:rPr>
          <w:szCs w:val="20"/>
        </w:rPr>
        <w:t>καθώς</w:t>
      </w:r>
      <w:r w:rsidRPr="00A334D1">
        <w:rPr>
          <w:rFonts w:cs="Arial"/>
          <w:color w:val="000000"/>
          <w:szCs w:val="20"/>
        </w:rPr>
        <w:t xml:space="preserve"> </w:t>
      </w:r>
      <w:r>
        <w:rPr>
          <w:rFonts w:cs="Arial"/>
          <w:color w:val="000000"/>
          <w:szCs w:val="20"/>
        </w:rPr>
        <w:t xml:space="preserve">και </w:t>
      </w:r>
      <w:r w:rsidRPr="00A334D1">
        <w:rPr>
          <w:rFonts w:cs="Arial"/>
          <w:color w:val="000000"/>
          <w:szCs w:val="20"/>
        </w:rPr>
        <w:t>εγγυήσεις</w:t>
      </w:r>
      <w:r>
        <w:rPr>
          <w:rFonts w:cs="Arial"/>
          <w:color w:val="000000"/>
          <w:szCs w:val="20"/>
        </w:rPr>
        <w:t xml:space="preserve"> </w:t>
      </w:r>
      <w:r w:rsidRPr="00A334D1">
        <w:rPr>
          <w:szCs w:val="20"/>
        </w:rPr>
        <w:t xml:space="preserve">σε </w:t>
      </w:r>
      <w:r>
        <w:rPr>
          <w:szCs w:val="20"/>
        </w:rPr>
        <w:t>Τ</w:t>
      </w:r>
      <w:r w:rsidRPr="00A334D1">
        <w:rPr>
          <w:szCs w:val="20"/>
        </w:rPr>
        <w:t xml:space="preserve">ιτλοποιήσεις </w:t>
      </w:r>
      <w:r>
        <w:rPr>
          <w:szCs w:val="20"/>
        </w:rPr>
        <w:t>Μ</w:t>
      </w:r>
      <w:r w:rsidRPr="00A334D1">
        <w:rPr>
          <w:szCs w:val="20"/>
        </w:rPr>
        <w:t xml:space="preserve">η </w:t>
      </w:r>
      <w:r>
        <w:rPr>
          <w:szCs w:val="20"/>
        </w:rPr>
        <w:t>Ε</w:t>
      </w:r>
      <w:r w:rsidRPr="00A334D1">
        <w:rPr>
          <w:szCs w:val="20"/>
        </w:rPr>
        <w:t xml:space="preserve">ξυπηρετούμενων </w:t>
      </w:r>
      <w:r>
        <w:rPr>
          <w:szCs w:val="20"/>
        </w:rPr>
        <w:t>Δ</w:t>
      </w:r>
      <w:r w:rsidRPr="00A334D1">
        <w:rPr>
          <w:szCs w:val="20"/>
        </w:rPr>
        <w:t>ανείων</w:t>
      </w:r>
      <w:r>
        <w:rPr>
          <w:szCs w:val="20"/>
        </w:rPr>
        <w:t xml:space="preserve"> στο πλαίσιο του </w:t>
      </w:r>
      <w:r w:rsidRPr="00A334D1">
        <w:rPr>
          <w:szCs w:val="20"/>
        </w:rPr>
        <w:t>ν.4649/2019</w:t>
      </w:r>
      <w:r>
        <w:rPr>
          <w:szCs w:val="20"/>
        </w:rPr>
        <w:t xml:space="preserve">. </w:t>
      </w:r>
      <w:r w:rsidRPr="00A334D1">
        <w:t>Ο</w:t>
      </w:r>
      <w:r>
        <w:t xml:space="preserve">ι ανωτέρω </w:t>
      </w:r>
      <w:bookmarkStart w:id="745" w:name="_Hlk212449073"/>
      <w:r w:rsidRPr="00A334D1">
        <w:t xml:space="preserve">εγγυήσεις </w:t>
      </w:r>
      <w:bookmarkEnd w:id="745"/>
      <w:r w:rsidRPr="00A334D1">
        <w:t>εξαιρούνται από το ανώτατο ετήσιο όριο εγγυήσεων, όπως αυτό ορίζεται στο</w:t>
      </w:r>
      <w:r>
        <w:t xml:space="preserve"> </w:t>
      </w:r>
      <w:r w:rsidRPr="00A334D1">
        <w:t>άρθρο 104 του ν.4549/2018.</w:t>
      </w:r>
    </w:p>
    <w:p w14:paraId="496A3FDA" w14:textId="77777777" w:rsidR="001F2668" w:rsidRPr="00A334D1" w:rsidRDefault="001F2668" w:rsidP="001F2668">
      <w:r w:rsidRPr="00A334D1">
        <w:t>Για το έτος 202</w:t>
      </w:r>
      <w:r>
        <w:t>5</w:t>
      </w:r>
      <w:r w:rsidRPr="00A334D1">
        <w:t xml:space="preserve"> τα στοιχεία των εγγυήσεων</w:t>
      </w:r>
      <w:r>
        <w:t xml:space="preserve"> σε</w:t>
      </w:r>
      <w:r w:rsidRPr="00A334D1">
        <w:t xml:space="preserve"> φορείς εντός και εκτός Γενικής Κυβέρνησης εκτιμάται ότι θα διαμορφωθούν ως εξής:</w:t>
      </w:r>
    </w:p>
    <w:p w14:paraId="0C207A65" w14:textId="314E95B4" w:rsidR="001F2668" w:rsidRPr="00365BAE" w:rsidRDefault="00224BA7" w:rsidP="00EC630C">
      <w:pPr>
        <w:numPr>
          <w:ilvl w:val="0"/>
          <w:numId w:val="2"/>
        </w:numPr>
        <w:spacing w:before="120" w:after="60"/>
        <w:ind w:left="568" w:hanging="284"/>
        <w:rPr>
          <w:szCs w:val="20"/>
        </w:rPr>
      </w:pPr>
      <w:r>
        <w:rPr>
          <w:szCs w:val="20"/>
        </w:rPr>
        <w:t>ο</w:t>
      </w:r>
      <w:r w:rsidR="001F2668">
        <w:rPr>
          <w:szCs w:val="20"/>
        </w:rPr>
        <w:t xml:space="preserve">ι εγγυήσεις που θα έχουν παρασχεθεί </w:t>
      </w:r>
      <w:r w:rsidR="001F2668" w:rsidRPr="00365BAE">
        <w:rPr>
          <w:szCs w:val="20"/>
        </w:rPr>
        <w:t xml:space="preserve">μέχρι τη λήξη του </w:t>
      </w:r>
      <w:r w:rsidR="001F2668">
        <w:rPr>
          <w:szCs w:val="20"/>
        </w:rPr>
        <w:t xml:space="preserve">εν λόγω έτους θα ανέλθουν σε </w:t>
      </w:r>
      <w:r w:rsidR="001F2668" w:rsidRPr="00365BAE">
        <w:rPr>
          <w:szCs w:val="20"/>
        </w:rPr>
        <w:t>174,9 εκατ. ευρώ,</w:t>
      </w:r>
    </w:p>
    <w:p w14:paraId="55043341" w14:textId="77777777" w:rsidR="001F2668" w:rsidRPr="00365BAE" w:rsidRDefault="001F2668" w:rsidP="00EC630C">
      <w:pPr>
        <w:numPr>
          <w:ilvl w:val="0"/>
          <w:numId w:val="2"/>
        </w:numPr>
        <w:spacing w:before="60" w:after="60"/>
        <w:ind w:left="568" w:hanging="284"/>
        <w:rPr>
          <w:szCs w:val="20"/>
        </w:rPr>
      </w:pPr>
      <w:r w:rsidRPr="00365BAE">
        <w:rPr>
          <w:szCs w:val="20"/>
        </w:rPr>
        <w:t>οι πληρωμές από καταπτώσεις εγγυήσεων θα ανέλθουν σε 0,12% του ΑΕΠ έναντι 0,18% το 2024 και</w:t>
      </w:r>
    </w:p>
    <w:p w14:paraId="1D2F3828" w14:textId="77777777" w:rsidR="001F2668" w:rsidRPr="00365BAE" w:rsidRDefault="001F2668" w:rsidP="00EC630C">
      <w:pPr>
        <w:numPr>
          <w:ilvl w:val="0"/>
          <w:numId w:val="2"/>
        </w:numPr>
        <w:spacing w:before="60"/>
        <w:ind w:left="568" w:hanging="284"/>
        <w:rPr>
          <w:szCs w:val="20"/>
        </w:rPr>
      </w:pPr>
      <w:r w:rsidRPr="00365BAE">
        <w:rPr>
          <w:szCs w:val="20"/>
        </w:rPr>
        <w:t>το ανεξόφλητο εγγυημένο υπόλοιπο δανείων θα ανέλθει σε 2,54% του ΑΕΠ έναντι 2,88% το 2024.</w:t>
      </w:r>
    </w:p>
    <w:p w14:paraId="4632FA73" w14:textId="4F6EA758" w:rsidR="001F2668" w:rsidRDefault="001F2668" w:rsidP="00F01357">
      <w:pPr>
        <w:spacing w:after="240"/>
      </w:pPr>
      <w:r w:rsidRPr="003235D5">
        <w:t xml:space="preserve">Σε εξέλιξη είναι η διαδικασία </w:t>
      </w:r>
      <w:r>
        <w:t>υλοποίησης</w:t>
      </w:r>
      <w:r w:rsidRPr="003235D5">
        <w:t xml:space="preserve"> </w:t>
      </w:r>
      <w:r w:rsidRPr="00182DF1">
        <w:rPr>
          <w:color w:val="000000"/>
        </w:rPr>
        <w:t xml:space="preserve">της 2ης εκτελεστικής </w:t>
      </w:r>
      <w:r w:rsidRPr="003235D5">
        <w:t xml:space="preserve">σύμβασης με τίτλο «Σχεδιασμός, Υλοποίηση και Λειτουργία του Ολοκληρωμένου Πληροφοριακού Συστήματος Δημοσιονομικής Διαχείρισης (ΟΠΣΥΔΔ)» </w:t>
      </w:r>
      <w:r w:rsidRPr="008A48E5">
        <w:t>της αριθ. 1872</w:t>
      </w:r>
      <w:r w:rsidRPr="003235D5">
        <w:t>/06.5.2022 Συμφωνίας - Πλαίσιο για το Έργο «Μεταρρύθμιση του Δημοσιονομικού Συστήματος στην Κεντρική Διοίκηση και τη λοιπή Γενική Κυβέρνηση (gov-ERP)». Η νέα πλατφόρμα SAP S/4 HANA θα συ</w:t>
      </w:r>
      <w:r>
        <w:t xml:space="preserve">ντελέσει </w:t>
      </w:r>
      <w:r w:rsidRPr="003235D5">
        <w:t xml:space="preserve">στη </w:t>
      </w:r>
      <w:r w:rsidR="00DA482E">
        <w:t xml:space="preserve">βελτιστοποιημένη </w:t>
      </w:r>
      <w:r w:rsidRPr="003235D5">
        <w:t xml:space="preserve">διαχείριση των κρατικών εγγυήσεων, </w:t>
      </w:r>
      <w:r w:rsidR="00DA482E">
        <w:t xml:space="preserve">δεδομένου ότι </w:t>
      </w:r>
      <w:r w:rsidRPr="003235D5">
        <w:t xml:space="preserve">θα είναι σε θέση να υποστηρίζει σε πραγματικό χρόνο τη διαχείριση των εγγυήσεων - εξασφαλίσεων σε ένα φιλικό για τον χρήστη περιβάλλον. Η </w:t>
      </w:r>
      <w:r>
        <w:t>λειτουργικότητα του συστήματος</w:t>
      </w:r>
      <w:r w:rsidRPr="003235D5">
        <w:t xml:space="preserve"> εστιάζει σε τρεις επιμέρους οντότητες και ειδικότερα στο είδος και τη μορφή της εγγύησης (δάνεια, πιστώσεις, εγγυητικές επιστολές), στις συμβάσεις εγγύησης - εξασφάλισης και στους όρους παροχής εγγύησης. </w:t>
      </w:r>
      <w:r>
        <w:t>Σ</w:t>
      </w:r>
      <w:r w:rsidRPr="003235D5">
        <w:t>τις σημαντικότερες δυνατότητες του νέου συστήματος συγκαταλέγονται η δυνατότητα παρακολούθησης των ηλεκτρονικών αρχείων των τραπεζών (π.χ.</w:t>
      </w:r>
      <w:r>
        <w:t xml:space="preserve"> </w:t>
      </w:r>
      <w:r w:rsidRPr="003235D5">
        <w:t>χορηγήσεις δανείων, ανεξόφλητο υπόλοιπο, πληρωμές οφειλετών) καθώς και ο υπολογισμός και η παρακολούθηση των προμηθειών ασφαλείας που εισπράττει το Ε</w:t>
      </w:r>
      <w:r>
        <w:t xml:space="preserve">λληνικό </w:t>
      </w:r>
      <w:r w:rsidRPr="003235D5">
        <w:t>Δ</w:t>
      </w:r>
      <w:r>
        <w:t>ημόσιο</w:t>
      </w:r>
      <w:r w:rsidRPr="003235D5">
        <w:t xml:space="preserve"> ως εγγυητής</w:t>
      </w:r>
      <w:r>
        <w:t>.</w:t>
      </w:r>
    </w:p>
    <w:tbl>
      <w:tblPr>
        <w:tblW w:w="10128"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665"/>
        <w:gridCol w:w="890"/>
        <w:gridCol w:w="915"/>
        <w:gridCol w:w="1003"/>
        <w:gridCol w:w="910"/>
        <w:gridCol w:w="890"/>
        <w:gridCol w:w="861"/>
        <w:gridCol w:w="1374"/>
        <w:gridCol w:w="777"/>
        <w:gridCol w:w="878"/>
        <w:gridCol w:w="965"/>
      </w:tblGrid>
      <w:tr w:rsidR="00A334D1" w:rsidRPr="00FD594B" w14:paraId="7D2FD071" w14:textId="77777777" w:rsidTr="009310B7">
        <w:trPr>
          <w:cantSplit/>
          <w:trHeight w:val="283"/>
          <w:jc w:val="center"/>
        </w:trPr>
        <w:tc>
          <w:tcPr>
            <w:tcW w:w="10128" w:type="dxa"/>
            <w:gridSpan w:val="11"/>
            <w:shd w:val="clear" w:color="000000" w:fill="D5DCE4"/>
            <w:vAlign w:val="center"/>
            <w:hideMark/>
          </w:tcPr>
          <w:p w14:paraId="7440F174" w14:textId="327BF890" w:rsidR="00A334D1" w:rsidRPr="00704CBB" w:rsidRDefault="00674957" w:rsidP="009310B7">
            <w:pPr>
              <w:keepNext/>
              <w:spacing w:after="0" w:line="276" w:lineRule="auto"/>
              <w:jc w:val="center"/>
              <w:rPr>
                <w:rFonts w:cs="Arial"/>
                <w:b/>
                <w:bCs/>
                <w:sz w:val="18"/>
                <w:szCs w:val="18"/>
              </w:rPr>
            </w:pPr>
            <w:bookmarkStart w:id="746" w:name="_Ref181890485"/>
            <w:bookmarkStart w:id="747" w:name="_Toc214474116"/>
            <w:bookmarkStart w:id="748" w:name="_Hlk182744035"/>
            <w:r w:rsidRPr="00704CBB">
              <w:rPr>
                <w:b/>
                <w:sz w:val="18"/>
                <w:szCs w:val="18"/>
              </w:rPr>
              <w:lastRenderedPageBreak/>
              <w:t>Πίνακας 4.</w:t>
            </w:r>
            <w:r w:rsidRPr="00704CBB">
              <w:rPr>
                <w:b/>
                <w:sz w:val="18"/>
                <w:szCs w:val="18"/>
              </w:rPr>
              <w:fldChar w:fldCharType="begin"/>
            </w:r>
            <w:r w:rsidRPr="00704CBB">
              <w:rPr>
                <w:b/>
                <w:sz w:val="18"/>
                <w:szCs w:val="18"/>
              </w:rPr>
              <w:instrText xml:space="preserve"> SEQ Πίνακας_4. \* ARABIC </w:instrText>
            </w:r>
            <w:r w:rsidRPr="00704CBB">
              <w:rPr>
                <w:b/>
                <w:sz w:val="18"/>
                <w:szCs w:val="18"/>
              </w:rPr>
              <w:fldChar w:fldCharType="separate"/>
            </w:r>
            <w:r w:rsidR="00E15678">
              <w:rPr>
                <w:b/>
                <w:noProof/>
                <w:sz w:val="18"/>
                <w:szCs w:val="18"/>
              </w:rPr>
              <w:t>10</w:t>
            </w:r>
            <w:r w:rsidRPr="00704CBB">
              <w:rPr>
                <w:b/>
                <w:sz w:val="18"/>
                <w:szCs w:val="18"/>
              </w:rPr>
              <w:fldChar w:fldCharType="end"/>
            </w:r>
            <w:bookmarkEnd w:id="746"/>
            <w:r w:rsidR="00A334D1" w:rsidRPr="00704CBB">
              <w:rPr>
                <w:rFonts w:cs="Arial"/>
                <w:b/>
                <w:bCs/>
                <w:sz w:val="18"/>
                <w:szCs w:val="18"/>
              </w:rPr>
              <w:t>.: Εγγυήσεις, ανεξόφλητο εγγυημένο υπόλοιπο, καταπτώσεις και προμήθειες εγγυήσεων</w:t>
            </w:r>
            <w:bookmarkEnd w:id="747"/>
          </w:p>
          <w:p w14:paraId="7A7BDF3B" w14:textId="0FC80B4D" w:rsidR="00A334D1" w:rsidRPr="00FD594B" w:rsidRDefault="00A334D1" w:rsidP="009310B7">
            <w:pPr>
              <w:keepNext/>
              <w:spacing w:after="0" w:line="276" w:lineRule="auto"/>
              <w:jc w:val="center"/>
              <w:rPr>
                <w:rFonts w:cs="Arial"/>
                <w:sz w:val="18"/>
                <w:szCs w:val="18"/>
                <w:highlight w:val="yellow"/>
              </w:rPr>
            </w:pPr>
            <w:r w:rsidRPr="00704CBB">
              <w:rPr>
                <w:rFonts w:cs="Arial"/>
                <w:b/>
                <w:bCs/>
                <w:sz w:val="18"/>
                <w:szCs w:val="18"/>
              </w:rPr>
              <w:t>κατά τα έτη 2010</w:t>
            </w:r>
            <w:r w:rsidR="00674957" w:rsidRPr="00704CBB">
              <w:rPr>
                <w:rFonts w:cs="Arial"/>
                <w:b/>
                <w:bCs/>
                <w:sz w:val="18"/>
                <w:szCs w:val="18"/>
              </w:rPr>
              <w:t xml:space="preserve"> </w:t>
            </w:r>
            <w:r w:rsidRPr="00704CBB">
              <w:rPr>
                <w:rFonts w:cs="Arial"/>
                <w:b/>
                <w:bCs/>
                <w:sz w:val="18"/>
                <w:szCs w:val="18"/>
              </w:rPr>
              <w:t>- 202</w:t>
            </w:r>
            <w:r w:rsidR="00704CBB">
              <w:rPr>
                <w:rFonts w:cs="Arial"/>
                <w:b/>
                <w:bCs/>
                <w:sz w:val="18"/>
                <w:szCs w:val="18"/>
              </w:rPr>
              <w:t>5</w:t>
            </w:r>
            <w:r w:rsidRPr="00704CBB">
              <w:rPr>
                <w:rFonts w:cs="Arial"/>
                <w:b/>
                <w:bCs/>
                <w:sz w:val="18"/>
                <w:szCs w:val="18"/>
              </w:rPr>
              <w:t xml:space="preserve"> (σε εκατ. ευρώ)</w:t>
            </w:r>
          </w:p>
        </w:tc>
      </w:tr>
      <w:tr w:rsidR="00A334D1" w:rsidRPr="003235D5" w14:paraId="277C3A39" w14:textId="77777777" w:rsidTr="009310B7">
        <w:trPr>
          <w:cantSplit/>
          <w:trHeight w:val="1531"/>
          <w:jc w:val="center"/>
        </w:trPr>
        <w:tc>
          <w:tcPr>
            <w:tcW w:w="665" w:type="dxa"/>
            <w:vMerge w:val="restart"/>
            <w:noWrap/>
            <w:vAlign w:val="center"/>
            <w:hideMark/>
          </w:tcPr>
          <w:p w14:paraId="2E5C828D"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Έτος</w:t>
            </w:r>
          </w:p>
        </w:tc>
        <w:tc>
          <w:tcPr>
            <w:tcW w:w="1805" w:type="dxa"/>
            <w:gridSpan w:val="2"/>
            <w:vAlign w:val="center"/>
            <w:hideMark/>
          </w:tcPr>
          <w:p w14:paraId="2E092CAC"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Εγγυήσεις</w:t>
            </w:r>
          </w:p>
        </w:tc>
        <w:tc>
          <w:tcPr>
            <w:tcW w:w="1913" w:type="dxa"/>
            <w:gridSpan w:val="2"/>
            <w:vAlign w:val="center"/>
            <w:hideMark/>
          </w:tcPr>
          <w:p w14:paraId="310386F8"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Ανεξόφλητο Εγγυημένο</w:t>
            </w:r>
          </w:p>
          <w:p w14:paraId="6F5DB2AE"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Υπόλοιπο</w:t>
            </w:r>
          </w:p>
        </w:tc>
        <w:tc>
          <w:tcPr>
            <w:tcW w:w="1751" w:type="dxa"/>
            <w:gridSpan w:val="2"/>
            <w:vAlign w:val="center"/>
            <w:hideMark/>
          </w:tcPr>
          <w:p w14:paraId="789CAE33"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Καταπτώσεις</w:t>
            </w:r>
          </w:p>
        </w:tc>
        <w:tc>
          <w:tcPr>
            <w:tcW w:w="1374" w:type="dxa"/>
            <w:vAlign w:val="center"/>
            <w:hideMark/>
          </w:tcPr>
          <w:p w14:paraId="2DD3D76F" w14:textId="4BA0F8B1" w:rsidR="00A334D1" w:rsidRPr="00DB3D0F" w:rsidRDefault="00A334D1" w:rsidP="009310B7">
            <w:pPr>
              <w:spacing w:after="0" w:line="276" w:lineRule="auto"/>
              <w:jc w:val="center"/>
              <w:rPr>
                <w:rFonts w:cs="Arial"/>
                <w:b/>
                <w:bCs/>
                <w:sz w:val="16"/>
                <w:szCs w:val="16"/>
              </w:rPr>
            </w:pPr>
            <w:r w:rsidRPr="00DB3D0F">
              <w:rPr>
                <w:rFonts w:cs="Arial"/>
                <w:b/>
                <w:bCs/>
                <w:sz w:val="16"/>
                <w:szCs w:val="16"/>
              </w:rPr>
              <w:t xml:space="preserve">Έσοδα από Προμήθειες Εγγυήσεων του Δημοσίου </w:t>
            </w:r>
            <w:r w:rsidR="00DB3D0F">
              <w:rPr>
                <w:rFonts w:cs="Arial"/>
                <w:b/>
                <w:bCs/>
                <w:sz w:val="16"/>
                <w:szCs w:val="16"/>
              </w:rPr>
              <w:t>και</w:t>
            </w:r>
            <w:r w:rsidRPr="00DB3D0F">
              <w:rPr>
                <w:rFonts w:cs="Arial"/>
                <w:b/>
                <w:bCs/>
                <w:sz w:val="16"/>
                <w:szCs w:val="16"/>
              </w:rPr>
              <w:t xml:space="preserve"> Εισπράξεις από </w:t>
            </w:r>
            <w:r w:rsidR="005D0267">
              <w:rPr>
                <w:rFonts w:cs="Arial"/>
                <w:b/>
                <w:bCs/>
                <w:sz w:val="16"/>
                <w:szCs w:val="16"/>
              </w:rPr>
              <w:t>ΔΟΥ</w:t>
            </w:r>
          </w:p>
        </w:tc>
        <w:tc>
          <w:tcPr>
            <w:tcW w:w="1655" w:type="dxa"/>
            <w:gridSpan w:val="2"/>
            <w:vAlign w:val="center"/>
            <w:hideMark/>
          </w:tcPr>
          <w:p w14:paraId="32FC8F5F"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 xml:space="preserve">Καταπτώσεις που τελικά βαρύνουν </w:t>
            </w:r>
            <w:r w:rsidRPr="00DB3D0F">
              <w:rPr>
                <w:rFonts w:cs="Arial"/>
                <w:b/>
                <w:bCs/>
                <w:sz w:val="16"/>
                <w:szCs w:val="16"/>
              </w:rPr>
              <w:br/>
              <w:t>το Δημόσιο</w:t>
            </w:r>
          </w:p>
        </w:tc>
        <w:tc>
          <w:tcPr>
            <w:tcW w:w="965" w:type="dxa"/>
            <w:vMerge w:val="restart"/>
            <w:vAlign w:val="center"/>
            <w:hideMark/>
          </w:tcPr>
          <w:p w14:paraId="1E150562"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ΑΕΠ</w:t>
            </w:r>
          </w:p>
        </w:tc>
      </w:tr>
      <w:tr w:rsidR="00A334D1" w:rsidRPr="003235D5" w14:paraId="63CE006C" w14:textId="77777777" w:rsidTr="009B5B1E">
        <w:trPr>
          <w:cantSplit/>
          <w:trHeight w:val="285"/>
          <w:jc w:val="center"/>
        </w:trPr>
        <w:tc>
          <w:tcPr>
            <w:tcW w:w="665" w:type="dxa"/>
            <w:vMerge/>
            <w:vAlign w:val="center"/>
            <w:hideMark/>
          </w:tcPr>
          <w:p w14:paraId="63D26A55" w14:textId="77777777" w:rsidR="00A334D1" w:rsidRPr="00DB3D0F" w:rsidRDefault="00A334D1" w:rsidP="009310B7">
            <w:pPr>
              <w:spacing w:after="0" w:line="276" w:lineRule="auto"/>
              <w:rPr>
                <w:rFonts w:cs="Arial"/>
                <w:b/>
                <w:bCs/>
                <w:sz w:val="16"/>
                <w:szCs w:val="16"/>
              </w:rPr>
            </w:pPr>
          </w:p>
        </w:tc>
        <w:tc>
          <w:tcPr>
            <w:tcW w:w="1805" w:type="dxa"/>
            <w:gridSpan w:val="2"/>
            <w:vAlign w:val="center"/>
            <w:hideMark/>
          </w:tcPr>
          <w:p w14:paraId="1A461F9D"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(1)</w:t>
            </w:r>
          </w:p>
        </w:tc>
        <w:tc>
          <w:tcPr>
            <w:tcW w:w="1913" w:type="dxa"/>
            <w:gridSpan w:val="2"/>
            <w:vAlign w:val="center"/>
            <w:hideMark/>
          </w:tcPr>
          <w:p w14:paraId="0F37909F"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(2)</w:t>
            </w:r>
          </w:p>
        </w:tc>
        <w:tc>
          <w:tcPr>
            <w:tcW w:w="1751" w:type="dxa"/>
            <w:gridSpan w:val="2"/>
            <w:vAlign w:val="center"/>
            <w:hideMark/>
          </w:tcPr>
          <w:p w14:paraId="61B3DB48"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(3)</w:t>
            </w:r>
          </w:p>
        </w:tc>
        <w:tc>
          <w:tcPr>
            <w:tcW w:w="1374" w:type="dxa"/>
            <w:vAlign w:val="center"/>
            <w:hideMark/>
          </w:tcPr>
          <w:p w14:paraId="4BF049D9"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(4)</w:t>
            </w:r>
          </w:p>
        </w:tc>
        <w:tc>
          <w:tcPr>
            <w:tcW w:w="1655" w:type="dxa"/>
            <w:gridSpan w:val="2"/>
            <w:vAlign w:val="center"/>
            <w:hideMark/>
          </w:tcPr>
          <w:p w14:paraId="5C4DEADD"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(5) = (3) - (4)</w:t>
            </w:r>
          </w:p>
        </w:tc>
        <w:tc>
          <w:tcPr>
            <w:tcW w:w="965" w:type="dxa"/>
            <w:vMerge/>
            <w:vAlign w:val="center"/>
            <w:hideMark/>
          </w:tcPr>
          <w:p w14:paraId="343802BE" w14:textId="77777777" w:rsidR="00A334D1" w:rsidRPr="00DB3D0F" w:rsidRDefault="00A334D1" w:rsidP="009310B7">
            <w:pPr>
              <w:spacing w:after="0" w:line="276" w:lineRule="auto"/>
              <w:rPr>
                <w:rFonts w:cs="Arial"/>
                <w:b/>
                <w:bCs/>
                <w:sz w:val="16"/>
                <w:szCs w:val="16"/>
              </w:rPr>
            </w:pPr>
          </w:p>
        </w:tc>
      </w:tr>
      <w:tr w:rsidR="00A334D1" w:rsidRPr="003235D5" w14:paraId="33C2DDA4" w14:textId="77777777" w:rsidTr="009310B7">
        <w:trPr>
          <w:cantSplit/>
          <w:trHeight w:val="283"/>
          <w:jc w:val="center"/>
        </w:trPr>
        <w:tc>
          <w:tcPr>
            <w:tcW w:w="665" w:type="dxa"/>
            <w:vMerge/>
            <w:vAlign w:val="center"/>
            <w:hideMark/>
          </w:tcPr>
          <w:p w14:paraId="70F3216C" w14:textId="77777777" w:rsidR="00A334D1" w:rsidRPr="00DB3D0F" w:rsidRDefault="00A334D1" w:rsidP="009310B7">
            <w:pPr>
              <w:spacing w:after="0" w:line="276" w:lineRule="auto"/>
              <w:rPr>
                <w:rFonts w:cs="Arial"/>
                <w:b/>
                <w:bCs/>
                <w:sz w:val="16"/>
                <w:szCs w:val="16"/>
              </w:rPr>
            </w:pPr>
          </w:p>
        </w:tc>
        <w:tc>
          <w:tcPr>
            <w:tcW w:w="1805" w:type="dxa"/>
            <w:gridSpan w:val="2"/>
            <w:noWrap/>
            <w:vAlign w:val="center"/>
            <w:hideMark/>
          </w:tcPr>
          <w:p w14:paraId="3A56258B" w14:textId="51128B91" w:rsidR="00A334D1" w:rsidRPr="00DB3D0F" w:rsidRDefault="00DB3D0F" w:rsidP="009310B7">
            <w:pPr>
              <w:spacing w:after="0" w:line="276" w:lineRule="auto"/>
              <w:jc w:val="center"/>
              <w:rPr>
                <w:rFonts w:cs="Arial"/>
                <w:b/>
                <w:bCs/>
                <w:sz w:val="16"/>
                <w:szCs w:val="16"/>
              </w:rPr>
            </w:pPr>
            <w:r>
              <w:rPr>
                <w:rFonts w:cs="Arial"/>
                <w:b/>
                <w:bCs/>
                <w:sz w:val="16"/>
                <w:szCs w:val="16"/>
              </w:rPr>
              <w:t>0</w:t>
            </w:r>
            <w:r w:rsidR="00A334D1" w:rsidRPr="00DB3D0F">
              <w:rPr>
                <w:rFonts w:cs="Arial"/>
                <w:b/>
                <w:bCs/>
                <w:sz w:val="16"/>
                <w:szCs w:val="16"/>
              </w:rPr>
              <w:t>1/</w:t>
            </w:r>
            <w:r>
              <w:rPr>
                <w:rFonts w:cs="Arial"/>
                <w:b/>
                <w:bCs/>
                <w:sz w:val="16"/>
                <w:szCs w:val="16"/>
              </w:rPr>
              <w:t>0</w:t>
            </w:r>
            <w:r w:rsidR="00A334D1" w:rsidRPr="00DB3D0F">
              <w:rPr>
                <w:rFonts w:cs="Arial"/>
                <w:b/>
                <w:bCs/>
                <w:sz w:val="16"/>
                <w:szCs w:val="16"/>
              </w:rPr>
              <w:t>1 - 31/12</w:t>
            </w:r>
          </w:p>
        </w:tc>
        <w:tc>
          <w:tcPr>
            <w:tcW w:w="1913" w:type="dxa"/>
            <w:gridSpan w:val="2"/>
            <w:noWrap/>
            <w:vAlign w:val="center"/>
            <w:hideMark/>
          </w:tcPr>
          <w:p w14:paraId="15EB2256"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την 31η/12</w:t>
            </w:r>
          </w:p>
        </w:tc>
        <w:tc>
          <w:tcPr>
            <w:tcW w:w="1751" w:type="dxa"/>
            <w:gridSpan w:val="2"/>
            <w:noWrap/>
            <w:vAlign w:val="center"/>
            <w:hideMark/>
          </w:tcPr>
          <w:p w14:paraId="7890F2BD" w14:textId="24A00E98" w:rsidR="00A334D1" w:rsidRPr="00DB3D0F" w:rsidRDefault="00DB3D0F" w:rsidP="009310B7">
            <w:pPr>
              <w:spacing w:after="0" w:line="276" w:lineRule="auto"/>
              <w:jc w:val="center"/>
              <w:rPr>
                <w:rFonts w:cs="Arial"/>
                <w:b/>
                <w:bCs/>
                <w:sz w:val="16"/>
                <w:szCs w:val="16"/>
              </w:rPr>
            </w:pPr>
            <w:r>
              <w:rPr>
                <w:rFonts w:cs="Arial"/>
                <w:b/>
                <w:bCs/>
                <w:sz w:val="16"/>
                <w:szCs w:val="16"/>
              </w:rPr>
              <w:t>0</w:t>
            </w:r>
            <w:r w:rsidR="00A334D1" w:rsidRPr="00DB3D0F">
              <w:rPr>
                <w:rFonts w:cs="Arial"/>
                <w:b/>
                <w:bCs/>
                <w:sz w:val="16"/>
                <w:szCs w:val="16"/>
              </w:rPr>
              <w:t>1/</w:t>
            </w:r>
            <w:r>
              <w:rPr>
                <w:rFonts w:cs="Arial"/>
                <w:b/>
                <w:bCs/>
                <w:sz w:val="16"/>
                <w:szCs w:val="16"/>
              </w:rPr>
              <w:t>0</w:t>
            </w:r>
            <w:r w:rsidR="00A334D1" w:rsidRPr="00DB3D0F">
              <w:rPr>
                <w:rFonts w:cs="Arial"/>
                <w:b/>
                <w:bCs/>
                <w:sz w:val="16"/>
                <w:szCs w:val="16"/>
              </w:rPr>
              <w:t>1 - 31/12</w:t>
            </w:r>
          </w:p>
        </w:tc>
        <w:tc>
          <w:tcPr>
            <w:tcW w:w="1374" w:type="dxa"/>
            <w:noWrap/>
            <w:vAlign w:val="center"/>
            <w:hideMark/>
          </w:tcPr>
          <w:p w14:paraId="6BBD3105" w14:textId="7698C632" w:rsidR="00A334D1" w:rsidRPr="00DB3D0F" w:rsidRDefault="00DB3D0F" w:rsidP="009310B7">
            <w:pPr>
              <w:spacing w:after="0" w:line="276" w:lineRule="auto"/>
              <w:jc w:val="center"/>
              <w:rPr>
                <w:rFonts w:cs="Arial"/>
                <w:b/>
                <w:bCs/>
                <w:sz w:val="16"/>
                <w:szCs w:val="16"/>
              </w:rPr>
            </w:pPr>
            <w:r>
              <w:rPr>
                <w:rFonts w:cs="Arial"/>
                <w:b/>
                <w:bCs/>
                <w:sz w:val="16"/>
                <w:szCs w:val="16"/>
              </w:rPr>
              <w:t>0</w:t>
            </w:r>
            <w:r w:rsidR="00A334D1" w:rsidRPr="00DB3D0F">
              <w:rPr>
                <w:rFonts w:cs="Arial"/>
                <w:b/>
                <w:bCs/>
                <w:sz w:val="16"/>
                <w:szCs w:val="16"/>
              </w:rPr>
              <w:t>1/</w:t>
            </w:r>
            <w:r>
              <w:rPr>
                <w:rFonts w:cs="Arial"/>
                <w:b/>
                <w:bCs/>
                <w:sz w:val="16"/>
                <w:szCs w:val="16"/>
              </w:rPr>
              <w:t>0</w:t>
            </w:r>
            <w:r w:rsidR="00A334D1" w:rsidRPr="00DB3D0F">
              <w:rPr>
                <w:rFonts w:cs="Arial"/>
                <w:b/>
                <w:bCs/>
                <w:sz w:val="16"/>
                <w:szCs w:val="16"/>
              </w:rPr>
              <w:t>1</w:t>
            </w:r>
            <w:r w:rsidR="005B09CE">
              <w:rPr>
                <w:rFonts w:cs="Arial"/>
                <w:b/>
                <w:bCs/>
                <w:sz w:val="16"/>
                <w:szCs w:val="16"/>
              </w:rPr>
              <w:t xml:space="preserve"> </w:t>
            </w:r>
            <w:r w:rsidR="00A334D1" w:rsidRPr="00DB3D0F">
              <w:rPr>
                <w:rFonts w:cs="Arial"/>
                <w:b/>
                <w:bCs/>
                <w:sz w:val="16"/>
                <w:szCs w:val="16"/>
              </w:rPr>
              <w:t>-</w:t>
            </w:r>
            <w:r w:rsidR="005B09CE">
              <w:rPr>
                <w:rFonts w:cs="Arial"/>
                <w:b/>
                <w:bCs/>
                <w:sz w:val="16"/>
                <w:szCs w:val="16"/>
              </w:rPr>
              <w:t xml:space="preserve"> </w:t>
            </w:r>
            <w:r w:rsidR="00A334D1" w:rsidRPr="00DB3D0F">
              <w:rPr>
                <w:rFonts w:cs="Arial"/>
                <w:b/>
                <w:bCs/>
                <w:sz w:val="16"/>
                <w:szCs w:val="16"/>
              </w:rPr>
              <w:t>31/12</w:t>
            </w:r>
          </w:p>
        </w:tc>
        <w:tc>
          <w:tcPr>
            <w:tcW w:w="1655" w:type="dxa"/>
            <w:gridSpan w:val="2"/>
            <w:noWrap/>
            <w:vAlign w:val="center"/>
            <w:hideMark/>
          </w:tcPr>
          <w:p w14:paraId="540E9077" w14:textId="1F3F79DD" w:rsidR="00A334D1" w:rsidRPr="00DB3D0F" w:rsidRDefault="00DB3D0F" w:rsidP="009310B7">
            <w:pPr>
              <w:spacing w:after="0" w:line="276" w:lineRule="auto"/>
              <w:jc w:val="center"/>
              <w:rPr>
                <w:rFonts w:cs="Arial"/>
                <w:b/>
                <w:bCs/>
                <w:sz w:val="16"/>
                <w:szCs w:val="16"/>
              </w:rPr>
            </w:pPr>
            <w:r>
              <w:rPr>
                <w:rFonts w:cs="Arial"/>
                <w:b/>
                <w:bCs/>
                <w:sz w:val="16"/>
                <w:szCs w:val="16"/>
              </w:rPr>
              <w:t>0</w:t>
            </w:r>
            <w:r w:rsidR="00A334D1" w:rsidRPr="00DB3D0F">
              <w:rPr>
                <w:rFonts w:cs="Arial"/>
                <w:b/>
                <w:bCs/>
                <w:sz w:val="16"/>
                <w:szCs w:val="16"/>
              </w:rPr>
              <w:t>1/</w:t>
            </w:r>
            <w:r>
              <w:rPr>
                <w:rFonts w:cs="Arial"/>
                <w:b/>
                <w:bCs/>
                <w:sz w:val="16"/>
                <w:szCs w:val="16"/>
              </w:rPr>
              <w:t>0</w:t>
            </w:r>
            <w:r w:rsidR="00A334D1" w:rsidRPr="00DB3D0F">
              <w:rPr>
                <w:rFonts w:cs="Arial"/>
                <w:b/>
                <w:bCs/>
                <w:sz w:val="16"/>
                <w:szCs w:val="16"/>
              </w:rPr>
              <w:t>1</w:t>
            </w:r>
            <w:r w:rsidR="005B09CE">
              <w:rPr>
                <w:rFonts w:cs="Arial"/>
                <w:b/>
                <w:bCs/>
                <w:sz w:val="16"/>
                <w:szCs w:val="16"/>
              </w:rPr>
              <w:t xml:space="preserve"> </w:t>
            </w:r>
            <w:r w:rsidR="00A334D1" w:rsidRPr="00DB3D0F">
              <w:rPr>
                <w:rFonts w:cs="Arial"/>
                <w:b/>
                <w:bCs/>
                <w:sz w:val="16"/>
                <w:szCs w:val="16"/>
              </w:rPr>
              <w:t>-</w:t>
            </w:r>
            <w:r w:rsidR="005B09CE">
              <w:rPr>
                <w:rFonts w:cs="Arial"/>
                <w:b/>
                <w:bCs/>
                <w:sz w:val="16"/>
                <w:szCs w:val="16"/>
              </w:rPr>
              <w:t xml:space="preserve"> </w:t>
            </w:r>
            <w:r w:rsidR="00A334D1" w:rsidRPr="00DB3D0F">
              <w:rPr>
                <w:rFonts w:cs="Arial"/>
                <w:b/>
                <w:bCs/>
                <w:sz w:val="16"/>
                <w:szCs w:val="16"/>
              </w:rPr>
              <w:t>31/12</w:t>
            </w:r>
          </w:p>
        </w:tc>
        <w:tc>
          <w:tcPr>
            <w:tcW w:w="965" w:type="dxa"/>
            <w:vMerge/>
            <w:vAlign w:val="center"/>
            <w:hideMark/>
          </w:tcPr>
          <w:p w14:paraId="4DC9049D" w14:textId="77777777" w:rsidR="00A334D1" w:rsidRPr="00DB3D0F" w:rsidRDefault="00A334D1" w:rsidP="009310B7">
            <w:pPr>
              <w:spacing w:after="0" w:line="276" w:lineRule="auto"/>
              <w:rPr>
                <w:rFonts w:cs="Arial"/>
                <w:b/>
                <w:bCs/>
                <w:sz w:val="16"/>
                <w:szCs w:val="16"/>
              </w:rPr>
            </w:pPr>
          </w:p>
        </w:tc>
      </w:tr>
      <w:tr w:rsidR="00A334D1" w:rsidRPr="003235D5" w14:paraId="5E8AAD50" w14:textId="77777777" w:rsidTr="009310B7">
        <w:trPr>
          <w:cantSplit/>
          <w:trHeight w:val="510"/>
          <w:jc w:val="center"/>
        </w:trPr>
        <w:tc>
          <w:tcPr>
            <w:tcW w:w="665" w:type="dxa"/>
            <w:vMerge/>
            <w:tcBorders>
              <w:bottom w:val="single" w:sz="2" w:space="0" w:color="A6A6A6" w:themeColor="background1" w:themeShade="A6"/>
            </w:tcBorders>
            <w:vAlign w:val="center"/>
            <w:hideMark/>
          </w:tcPr>
          <w:p w14:paraId="55BDB7EA" w14:textId="77777777" w:rsidR="00A334D1" w:rsidRPr="00DB3D0F" w:rsidRDefault="00A334D1" w:rsidP="009310B7">
            <w:pPr>
              <w:spacing w:after="0" w:line="276" w:lineRule="auto"/>
              <w:rPr>
                <w:rFonts w:cs="Arial"/>
                <w:b/>
                <w:bCs/>
                <w:sz w:val="16"/>
                <w:szCs w:val="16"/>
              </w:rPr>
            </w:pPr>
          </w:p>
        </w:tc>
        <w:tc>
          <w:tcPr>
            <w:tcW w:w="890" w:type="dxa"/>
            <w:tcBorders>
              <w:bottom w:val="single" w:sz="2" w:space="0" w:color="A6A6A6" w:themeColor="background1" w:themeShade="A6"/>
            </w:tcBorders>
            <w:noWrap/>
            <w:vAlign w:val="center"/>
            <w:hideMark/>
          </w:tcPr>
          <w:p w14:paraId="6A4575F4"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Ποσά</w:t>
            </w:r>
          </w:p>
        </w:tc>
        <w:tc>
          <w:tcPr>
            <w:tcW w:w="915" w:type="dxa"/>
            <w:tcBorders>
              <w:bottom w:val="single" w:sz="2" w:space="0" w:color="A6A6A6" w:themeColor="background1" w:themeShade="A6"/>
            </w:tcBorders>
            <w:vAlign w:val="center"/>
            <w:hideMark/>
          </w:tcPr>
          <w:p w14:paraId="05CB0BB4" w14:textId="2D211C3A" w:rsidR="00A334D1" w:rsidRPr="00DB3D0F" w:rsidRDefault="00A334D1" w:rsidP="009310B7">
            <w:pPr>
              <w:spacing w:after="0" w:line="276" w:lineRule="auto"/>
              <w:jc w:val="center"/>
              <w:rPr>
                <w:rFonts w:cs="Arial"/>
                <w:b/>
                <w:bCs/>
                <w:sz w:val="16"/>
                <w:szCs w:val="16"/>
              </w:rPr>
            </w:pPr>
            <w:r w:rsidRPr="00DB3D0F">
              <w:rPr>
                <w:rFonts w:cs="Arial"/>
                <w:b/>
                <w:bCs/>
                <w:sz w:val="16"/>
                <w:szCs w:val="16"/>
              </w:rPr>
              <w:t>ως %</w:t>
            </w:r>
          </w:p>
          <w:p w14:paraId="598CA7BE"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του ΑΕΠ</w:t>
            </w:r>
          </w:p>
        </w:tc>
        <w:tc>
          <w:tcPr>
            <w:tcW w:w="1003" w:type="dxa"/>
            <w:tcBorders>
              <w:bottom w:val="single" w:sz="2" w:space="0" w:color="A6A6A6" w:themeColor="background1" w:themeShade="A6"/>
            </w:tcBorders>
            <w:noWrap/>
            <w:vAlign w:val="center"/>
            <w:hideMark/>
          </w:tcPr>
          <w:p w14:paraId="040C1C70"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Ποσά</w:t>
            </w:r>
          </w:p>
        </w:tc>
        <w:tc>
          <w:tcPr>
            <w:tcW w:w="910" w:type="dxa"/>
            <w:tcBorders>
              <w:bottom w:val="single" w:sz="2" w:space="0" w:color="A6A6A6" w:themeColor="background1" w:themeShade="A6"/>
            </w:tcBorders>
            <w:vAlign w:val="center"/>
            <w:hideMark/>
          </w:tcPr>
          <w:p w14:paraId="5FABA431" w14:textId="6A44A00E" w:rsidR="00A334D1" w:rsidRPr="00DB3D0F" w:rsidRDefault="00A334D1" w:rsidP="009310B7">
            <w:pPr>
              <w:spacing w:after="0" w:line="276" w:lineRule="auto"/>
              <w:jc w:val="center"/>
              <w:rPr>
                <w:rFonts w:cs="Arial"/>
                <w:b/>
                <w:bCs/>
                <w:sz w:val="16"/>
                <w:szCs w:val="16"/>
              </w:rPr>
            </w:pPr>
            <w:r w:rsidRPr="00DB3D0F">
              <w:rPr>
                <w:rFonts w:cs="Arial"/>
                <w:b/>
                <w:bCs/>
                <w:sz w:val="16"/>
                <w:szCs w:val="16"/>
              </w:rPr>
              <w:t>ως %</w:t>
            </w:r>
          </w:p>
          <w:p w14:paraId="56C6CBC8"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του ΑΕΠ</w:t>
            </w:r>
          </w:p>
        </w:tc>
        <w:tc>
          <w:tcPr>
            <w:tcW w:w="890" w:type="dxa"/>
            <w:tcBorders>
              <w:bottom w:val="single" w:sz="2" w:space="0" w:color="A6A6A6" w:themeColor="background1" w:themeShade="A6"/>
            </w:tcBorders>
            <w:noWrap/>
            <w:vAlign w:val="center"/>
            <w:hideMark/>
          </w:tcPr>
          <w:p w14:paraId="2384ABA6"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Ποσά</w:t>
            </w:r>
          </w:p>
        </w:tc>
        <w:tc>
          <w:tcPr>
            <w:tcW w:w="861" w:type="dxa"/>
            <w:tcBorders>
              <w:bottom w:val="single" w:sz="2" w:space="0" w:color="A6A6A6" w:themeColor="background1" w:themeShade="A6"/>
            </w:tcBorders>
            <w:vAlign w:val="center"/>
            <w:hideMark/>
          </w:tcPr>
          <w:p w14:paraId="33B9B9AD" w14:textId="6B9C4D1C" w:rsidR="00A334D1" w:rsidRPr="00DB3D0F" w:rsidRDefault="00255098" w:rsidP="009310B7">
            <w:pPr>
              <w:spacing w:after="0" w:line="276" w:lineRule="auto"/>
              <w:jc w:val="center"/>
              <w:rPr>
                <w:rFonts w:cs="Arial"/>
                <w:b/>
                <w:bCs/>
                <w:sz w:val="16"/>
                <w:szCs w:val="16"/>
              </w:rPr>
            </w:pPr>
            <w:r>
              <w:rPr>
                <w:rFonts w:cs="Arial"/>
                <w:b/>
                <w:bCs/>
                <w:sz w:val="16"/>
                <w:szCs w:val="16"/>
              </w:rPr>
              <w:t>ω</w:t>
            </w:r>
            <w:r w:rsidR="00A334D1" w:rsidRPr="00DB3D0F">
              <w:rPr>
                <w:rFonts w:cs="Arial"/>
                <w:b/>
                <w:bCs/>
                <w:sz w:val="16"/>
                <w:szCs w:val="16"/>
              </w:rPr>
              <w:t>ς</w:t>
            </w:r>
            <w:r>
              <w:rPr>
                <w:rFonts w:cs="Arial"/>
                <w:b/>
                <w:bCs/>
                <w:sz w:val="16"/>
                <w:szCs w:val="16"/>
              </w:rPr>
              <w:t xml:space="preserve"> </w:t>
            </w:r>
            <w:r w:rsidR="00A334D1" w:rsidRPr="00DB3D0F">
              <w:rPr>
                <w:rFonts w:cs="Arial"/>
                <w:b/>
                <w:bCs/>
                <w:sz w:val="16"/>
                <w:szCs w:val="16"/>
              </w:rPr>
              <w:t>%</w:t>
            </w:r>
            <w:r>
              <w:rPr>
                <w:rFonts w:cs="Arial"/>
                <w:b/>
                <w:bCs/>
                <w:sz w:val="16"/>
                <w:szCs w:val="16"/>
              </w:rPr>
              <w:t xml:space="preserve"> </w:t>
            </w:r>
            <w:r w:rsidR="00A334D1" w:rsidRPr="00DB3D0F">
              <w:rPr>
                <w:rFonts w:cs="Arial"/>
                <w:b/>
                <w:bCs/>
                <w:sz w:val="16"/>
                <w:szCs w:val="16"/>
              </w:rPr>
              <w:t>του ΑΕΠ</w:t>
            </w:r>
          </w:p>
        </w:tc>
        <w:tc>
          <w:tcPr>
            <w:tcW w:w="1374" w:type="dxa"/>
            <w:tcBorders>
              <w:bottom w:val="single" w:sz="2" w:space="0" w:color="A6A6A6" w:themeColor="background1" w:themeShade="A6"/>
            </w:tcBorders>
            <w:vAlign w:val="center"/>
            <w:hideMark/>
          </w:tcPr>
          <w:p w14:paraId="7714E86D"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Ποσά</w:t>
            </w:r>
          </w:p>
        </w:tc>
        <w:tc>
          <w:tcPr>
            <w:tcW w:w="777" w:type="dxa"/>
            <w:tcBorders>
              <w:bottom w:val="single" w:sz="2" w:space="0" w:color="A6A6A6" w:themeColor="background1" w:themeShade="A6"/>
            </w:tcBorders>
            <w:vAlign w:val="center"/>
            <w:hideMark/>
          </w:tcPr>
          <w:p w14:paraId="7825A1D8" w14:textId="77777777" w:rsidR="00A334D1" w:rsidRPr="00DB3D0F" w:rsidRDefault="00A334D1" w:rsidP="009310B7">
            <w:pPr>
              <w:spacing w:after="0" w:line="276" w:lineRule="auto"/>
              <w:jc w:val="center"/>
              <w:rPr>
                <w:rFonts w:cs="Arial"/>
                <w:b/>
                <w:bCs/>
                <w:sz w:val="16"/>
                <w:szCs w:val="16"/>
              </w:rPr>
            </w:pPr>
            <w:r w:rsidRPr="00DB3D0F">
              <w:rPr>
                <w:rFonts w:cs="Arial"/>
                <w:b/>
                <w:bCs/>
                <w:sz w:val="16"/>
                <w:szCs w:val="16"/>
              </w:rPr>
              <w:t>Ποσά</w:t>
            </w:r>
          </w:p>
        </w:tc>
        <w:tc>
          <w:tcPr>
            <w:tcW w:w="878" w:type="dxa"/>
            <w:tcBorders>
              <w:bottom w:val="single" w:sz="2" w:space="0" w:color="A6A6A6" w:themeColor="background1" w:themeShade="A6"/>
            </w:tcBorders>
            <w:vAlign w:val="center"/>
            <w:hideMark/>
          </w:tcPr>
          <w:p w14:paraId="56BECC3C" w14:textId="23957B2A" w:rsidR="00A334D1" w:rsidRPr="00DB3D0F" w:rsidRDefault="00255098" w:rsidP="009310B7">
            <w:pPr>
              <w:spacing w:after="0" w:line="276" w:lineRule="auto"/>
              <w:jc w:val="center"/>
              <w:rPr>
                <w:rFonts w:cs="Arial"/>
                <w:b/>
                <w:bCs/>
                <w:sz w:val="16"/>
                <w:szCs w:val="16"/>
              </w:rPr>
            </w:pPr>
            <w:r>
              <w:rPr>
                <w:rFonts w:cs="Arial"/>
                <w:b/>
                <w:bCs/>
                <w:sz w:val="16"/>
                <w:szCs w:val="16"/>
              </w:rPr>
              <w:t>ω</w:t>
            </w:r>
            <w:r w:rsidR="00A334D1" w:rsidRPr="00DB3D0F">
              <w:rPr>
                <w:rFonts w:cs="Arial"/>
                <w:b/>
                <w:bCs/>
                <w:sz w:val="16"/>
                <w:szCs w:val="16"/>
              </w:rPr>
              <w:t>ς</w:t>
            </w:r>
            <w:r>
              <w:rPr>
                <w:rFonts w:cs="Arial"/>
                <w:b/>
                <w:bCs/>
                <w:sz w:val="16"/>
                <w:szCs w:val="16"/>
              </w:rPr>
              <w:t xml:space="preserve"> </w:t>
            </w:r>
            <w:r w:rsidR="00A334D1" w:rsidRPr="00DB3D0F">
              <w:rPr>
                <w:rFonts w:cs="Arial"/>
                <w:b/>
                <w:bCs/>
                <w:sz w:val="16"/>
                <w:szCs w:val="16"/>
              </w:rPr>
              <w:t>% του ΑΕΠ</w:t>
            </w:r>
          </w:p>
        </w:tc>
        <w:tc>
          <w:tcPr>
            <w:tcW w:w="965" w:type="dxa"/>
            <w:vMerge/>
            <w:tcBorders>
              <w:bottom w:val="single" w:sz="2" w:space="0" w:color="A6A6A6" w:themeColor="background1" w:themeShade="A6"/>
            </w:tcBorders>
            <w:vAlign w:val="center"/>
            <w:hideMark/>
          </w:tcPr>
          <w:p w14:paraId="70AE01DF" w14:textId="77777777" w:rsidR="00A334D1" w:rsidRPr="00DB3D0F" w:rsidRDefault="00A334D1" w:rsidP="009310B7">
            <w:pPr>
              <w:spacing w:after="0" w:line="276" w:lineRule="auto"/>
              <w:rPr>
                <w:rFonts w:cs="Arial"/>
                <w:b/>
                <w:bCs/>
                <w:sz w:val="16"/>
                <w:szCs w:val="16"/>
              </w:rPr>
            </w:pPr>
          </w:p>
        </w:tc>
      </w:tr>
      <w:tr w:rsidR="00947AF3" w:rsidRPr="00E47A31" w14:paraId="021ABA65" w14:textId="77777777" w:rsidTr="009310B7">
        <w:trPr>
          <w:cantSplit/>
          <w:trHeight w:val="283"/>
          <w:jc w:val="center"/>
        </w:trPr>
        <w:tc>
          <w:tcPr>
            <w:tcW w:w="665" w:type="dxa"/>
            <w:tcBorders>
              <w:bottom w:val="nil"/>
              <w:right w:val="nil"/>
            </w:tcBorders>
            <w:shd w:val="clear" w:color="auto" w:fill="auto"/>
            <w:noWrap/>
            <w:vAlign w:val="center"/>
          </w:tcPr>
          <w:p w14:paraId="0927C615"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2010</w:t>
            </w:r>
          </w:p>
        </w:tc>
        <w:tc>
          <w:tcPr>
            <w:tcW w:w="890" w:type="dxa"/>
            <w:tcBorders>
              <w:left w:val="nil"/>
              <w:bottom w:val="nil"/>
              <w:right w:val="nil"/>
            </w:tcBorders>
            <w:shd w:val="clear" w:color="auto" w:fill="auto"/>
            <w:noWrap/>
            <w:vAlign w:val="center"/>
          </w:tcPr>
          <w:p w14:paraId="55E6DC4F" w14:textId="1CF3E3CA" w:rsidR="00947AF3" w:rsidRPr="009B5B1E" w:rsidRDefault="00947AF3" w:rsidP="009310B7">
            <w:pPr>
              <w:tabs>
                <w:tab w:val="left" w:pos="255"/>
              </w:tabs>
              <w:spacing w:after="0" w:line="276" w:lineRule="auto"/>
              <w:jc w:val="right"/>
              <w:rPr>
                <w:rFonts w:cs="Arial"/>
                <w:sz w:val="16"/>
                <w:szCs w:val="16"/>
              </w:rPr>
            </w:pPr>
            <w:r w:rsidRPr="009B5B1E">
              <w:rPr>
                <w:rFonts w:cs="Arial"/>
                <w:sz w:val="16"/>
                <w:szCs w:val="16"/>
              </w:rPr>
              <w:t>1.254,4</w:t>
            </w:r>
          </w:p>
        </w:tc>
        <w:tc>
          <w:tcPr>
            <w:tcW w:w="915" w:type="dxa"/>
            <w:tcBorders>
              <w:left w:val="nil"/>
              <w:bottom w:val="nil"/>
              <w:right w:val="nil"/>
            </w:tcBorders>
            <w:shd w:val="clear" w:color="auto" w:fill="auto"/>
            <w:noWrap/>
            <w:vAlign w:val="center"/>
          </w:tcPr>
          <w:p w14:paraId="149EA3E2" w14:textId="420FFA01" w:rsidR="00947AF3" w:rsidRPr="009B5B1E" w:rsidRDefault="00947AF3" w:rsidP="009310B7">
            <w:pPr>
              <w:spacing w:after="0" w:line="276" w:lineRule="auto"/>
              <w:jc w:val="right"/>
              <w:rPr>
                <w:rFonts w:cs="Arial"/>
                <w:sz w:val="16"/>
                <w:szCs w:val="16"/>
              </w:rPr>
            </w:pPr>
            <w:r w:rsidRPr="009B5B1E">
              <w:rPr>
                <w:rFonts w:cs="Arial"/>
                <w:sz w:val="16"/>
                <w:szCs w:val="16"/>
              </w:rPr>
              <w:t>0,56%</w:t>
            </w:r>
          </w:p>
        </w:tc>
        <w:tc>
          <w:tcPr>
            <w:tcW w:w="1003" w:type="dxa"/>
            <w:tcBorders>
              <w:left w:val="nil"/>
              <w:bottom w:val="nil"/>
              <w:right w:val="nil"/>
            </w:tcBorders>
            <w:shd w:val="clear" w:color="auto" w:fill="auto"/>
            <w:noWrap/>
            <w:vAlign w:val="center"/>
          </w:tcPr>
          <w:p w14:paraId="2501DF22" w14:textId="51B31686" w:rsidR="00947AF3" w:rsidRPr="009B5B1E" w:rsidRDefault="00947AF3" w:rsidP="009310B7">
            <w:pPr>
              <w:spacing w:after="0" w:line="276" w:lineRule="auto"/>
              <w:jc w:val="right"/>
              <w:rPr>
                <w:rFonts w:cs="Arial"/>
                <w:sz w:val="16"/>
                <w:szCs w:val="16"/>
              </w:rPr>
            </w:pPr>
            <w:r w:rsidRPr="009B5B1E">
              <w:rPr>
                <w:rFonts w:cs="Arial"/>
                <w:sz w:val="16"/>
                <w:szCs w:val="16"/>
              </w:rPr>
              <w:t>22.438,2</w:t>
            </w:r>
          </w:p>
        </w:tc>
        <w:tc>
          <w:tcPr>
            <w:tcW w:w="910" w:type="dxa"/>
            <w:tcBorders>
              <w:left w:val="nil"/>
              <w:bottom w:val="nil"/>
              <w:right w:val="nil"/>
            </w:tcBorders>
            <w:shd w:val="clear" w:color="auto" w:fill="auto"/>
            <w:noWrap/>
            <w:vAlign w:val="center"/>
          </w:tcPr>
          <w:p w14:paraId="53D9E082" w14:textId="17B63A82" w:rsidR="00947AF3" w:rsidRPr="009B5B1E" w:rsidRDefault="00947AF3" w:rsidP="009310B7">
            <w:pPr>
              <w:spacing w:after="0" w:line="276" w:lineRule="auto"/>
              <w:jc w:val="right"/>
              <w:rPr>
                <w:rFonts w:cs="Arial"/>
                <w:sz w:val="16"/>
                <w:szCs w:val="16"/>
              </w:rPr>
            </w:pPr>
            <w:r w:rsidRPr="009B5B1E">
              <w:rPr>
                <w:rFonts w:cs="Arial"/>
                <w:sz w:val="16"/>
                <w:szCs w:val="16"/>
              </w:rPr>
              <w:t>10,04%</w:t>
            </w:r>
          </w:p>
        </w:tc>
        <w:tc>
          <w:tcPr>
            <w:tcW w:w="890" w:type="dxa"/>
            <w:tcBorders>
              <w:left w:val="nil"/>
              <w:bottom w:val="nil"/>
              <w:right w:val="nil"/>
            </w:tcBorders>
            <w:shd w:val="clear" w:color="auto" w:fill="auto"/>
            <w:noWrap/>
            <w:vAlign w:val="center"/>
          </w:tcPr>
          <w:p w14:paraId="6886CE2A" w14:textId="43E09273" w:rsidR="00947AF3" w:rsidRPr="009B5B1E" w:rsidRDefault="00947AF3" w:rsidP="009310B7">
            <w:pPr>
              <w:spacing w:after="0" w:line="276" w:lineRule="auto"/>
              <w:jc w:val="right"/>
              <w:rPr>
                <w:rFonts w:cs="Arial"/>
                <w:sz w:val="16"/>
                <w:szCs w:val="16"/>
              </w:rPr>
            </w:pPr>
            <w:r w:rsidRPr="009B5B1E">
              <w:rPr>
                <w:rFonts w:cs="Arial"/>
                <w:sz w:val="16"/>
                <w:szCs w:val="16"/>
              </w:rPr>
              <w:t>974,2</w:t>
            </w:r>
          </w:p>
        </w:tc>
        <w:tc>
          <w:tcPr>
            <w:tcW w:w="861" w:type="dxa"/>
            <w:tcBorders>
              <w:left w:val="nil"/>
              <w:bottom w:val="nil"/>
              <w:right w:val="nil"/>
            </w:tcBorders>
            <w:shd w:val="clear" w:color="auto" w:fill="auto"/>
            <w:noWrap/>
            <w:vAlign w:val="center"/>
          </w:tcPr>
          <w:p w14:paraId="16A01387" w14:textId="195F191A" w:rsidR="00947AF3" w:rsidRPr="009B5B1E" w:rsidRDefault="00947AF3" w:rsidP="009310B7">
            <w:pPr>
              <w:spacing w:after="0" w:line="276" w:lineRule="auto"/>
              <w:jc w:val="right"/>
              <w:rPr>
                <w:rFonts w:cs="Arial"/>
                <w:sz w:val="16"/>
                <w:szCs w:val="16"/>
              </w:rPr>
            </w:pPr>
            <w:r w:rsidRPr="009B5B1E">
              <w:rPr>
                <w:rFonts w:cs="Arial"/>
                <w:sz w:val="16"/>
                <w:szCs w:val="16"/>
              </w:rPr>
              <w:t>0,44%</w:t>
            </w:r>
          </w:p>
        </w:tc>
        <w:tc>
          <w:tcPr>
            <w:tcW w:w="1374" w:type="dxa"/>
            <w:tcBorders>
              <w:left w:val="nil"/>
              <w:bottom w:val="nil"/>
              <w:right w:val="nil"/>
            </w:tcBorders>
            <w:shd w:val="clear" w:color="auto" w:fill="auto"/>
            <w:noWrap/>
            <w:vAlign w:val="center"/>
          </w:tcPr>
          <w:p w14:paraId="1619D599" w14:textId="283B328C" w:rsidR="00947AF3" w:rsidRPr="009B5B1E" w:rsidRDefault="00947AF3" w:rsidP="009310B7">
            <w:pPr>
              <w:spacing w:after="0" w:line="276" w:lineRule="auto"/>
              <w:jc w:val="right"/>
              <w:rPr>
                <w:rFonts w:cs="Arial"/>
                <w:sz w:val="16"/>
                <w:szCs w:val="16"/>
              </w:rPr>
            </w:pPr>
            <w:r w:rsidRPr="009B5B1E">
              <w:rPr>
                <w:rFonts w:cs="Arial"/>
                <w:sz w:val="16"/>
                <w:szCs w:val="16"/>
              </w:rPr>
              <w:t>78,5</w:t>
            </w:r>
          </w:p>
        </w:tc>
        <w:tc>
          <w:tcPr>
            <w:tcW w:w="777" w:type="dxa"/>
            <w:tcBorders>
              <w:left w:val="nil"/>
              <w:bottom w:val="nil"/>
              <w:right w:val="nil"/>
            </w:tcBorders>
            <w:shd w:val="clear" w:color="auto" w:fill="auto"/>
            <w:noWrap/>
            <w:vAlign w:val="center"/>
          </w:tcPr>
          <w:p w14:paraId="782400DB" w14:textId="020EF4D0" w:rsidR="00947AF3" w:rsidRPr="009B5B1E" w:rsidRDefault="00947AF3" w:rsidP="009310B7">
            <w:pPr>
              <w:spacing w:after="0" w:line="276" w:lineRule="auto"/>
              <w:jc w:val="right"/>
              <w:rPr>
                <w:rFonts w:cs="Arial"/>
                <w:sz w:val="16"/>
                <w:szCs w:val="16"/>
              </w:rPr>
            </w:pPr>
            <w:r w:rsidRPr="009B5B1E">
              <w:rPr>
                <w:rFonts w:cs="Arial"/>
                <w:sz w:val="16"/>
                <w:szCs w:val="16"/>
              </w:rPr>
              <w:t>895,7</w:t>
            </w:r>
          </w:p>
        </w:tc>
        <w:tc>
          <w:tcPr>
            <w:tcW w:w="878" w:type="dxa"/>
            <w:tcBorders>
              <w:left w:val="nil"/>
              <w:bottom w:val="nil"/>
              <w:right w:val="nil"/>
            </w:tcBorders>
            <w:shd w:val="clear" w:color="auto" w:fill="auto"/>
            <w:noWrap/>
            <w:vAlign w:val="center"/>
          </w:tcPr>
          <w:p w14:paraId="1841CD31" w14:textId="12D27BC6" w:rsidR="00947AF3" w:rsidRPr="009B5B1E" w:rsidRDefault="00947AF3" w:rsidP="009310B7">
            <w:pPr>
              <w:spacing w:after="0" w:line="276" w:lineRule="auto"/>
              <w:jc w:val="right"/>
              <w:rPr>
                <w:rFonts w:cs="Arial"/>
                <w:sz w:val="16"/>
                <w:szCs w:val="16"/>
              </w:rPr>
            </w:pPr>
            <w:r w:rsidRPr="009B5B1E">
              <w:rPr>
                <w:rFonts w:cs="Arial"/>
                <w:sz w:val="16"/>
                <w:szCs w:val="16"/>
              </w:rPr>
              <w:t>0,40%</w:t>
            </w:r>
          </w:p>
        </w:tc>
        <w:tc>
          <w:tcPr>
            <w:tcW w:w="965" w:type="dxa"/>
            <w:tcBorders>
              <w:left w:val="nil"/>
              <w:bottom w:val="nil"/>
            </w:tcBorders>
            <w:shd w:val="clear" w:color="auto" w:fill="auto"/>
            <w:noWrap/>
            <w:vAlign w:val="center"/>
          </w:tcPr>
          <w:p w14:paraId="2F699F8D" w14:textId="2FE314DA" w:rsidR="00947AF3" w:rsidRPr="009B5B1E" w:rsidRDefault="00947AF3" w:rsidP="009310B7">
            <w:pPr>
              <w:spacing w:after="0" w:line="276" w:lineRule="auto"/>
              <w:jc w:val="right"/>
              <w:rPr>
                <w:rFonts w:cs="Arial"/>
                <w:sz w:val="16"/>
                <w:szCs w:val="16"/>
              </w:rPr>
            </w:pPr>
            <w:r w:rsidRPr="009B5B1E">
              <w:rPr>
                <w:rFonts w:cs="Arial"/>
                <w:sz w:val="16"/>
                <w:szCs w:val="16"/>
              </w:rPr>
              <w:t>223.590</w:t>
            </w:r>
          </w:p>
        </w:tc>
      </w:tr>
      <w:tr w:rsidR="00947AF3" w:rsidRPr="00E47A31" w14:paraId="4AA114F2" w14:textId="77777777" w:rsidTr="009310B7">
        <w:trPr>
          <w:cantSplit/>
          <w:trHeight w:val="283"/>
          <w:jc w:val="center"/>
        </w:trPr>
        <w:tc>
          <w:tcPr>
            <w:tcW w:w="665" w:type="dxa"/>
            <w:tcBorders>
              <w:top w:val="nil"/>
              <w:bottom w:val="nil"/>
              <w:right w:val="nil"/>
            </w:tcBorders>
            <w:shd w:val="clear" w:color="auto" w:fill="auto"/>
            <w:noWrap/>
            <w:vAlign w:val="center"/>
          </w:tcPr>
          <w:p w14:paraId="566D63D2"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2011</w:t>
            </w:r>
          </w:p>
        </w:tc>
        <w:tc>
          <w:tcPr>
            <w:tcW w:w="890" w:type="dxa"/>
            <w:tcBorders>
              <w:top w:val="nil"/>
              <w:left w:val="nil"/>
              <w:bottom w:val="nil"/>
              <w:right w:val="nil"/>
            </w:tcBorders>
            <w:shd w:val="clear" w:color="auto" w:fill="auto"/>
            <w:noWrap/>
            <w:vAlign w:val="center"/>
          </w:tcPr>
          <w:p w14:paraId="3D9B52CC" w14:textId="53766AC3" w:rsidR="00947AF3" w:rsidRPr="009B5B1E" w:rsidRDefault="00947AF3" w:rsidP="009310B7">
            <w:pPr>
              <w:spacing w:after="0" w:line="276" w:lineRule="auto"/>
              <w:jc w:val="right"/>
              <w:rPr>
                <w:rFonts w:cs="Arial"/>
                <w:sz w:val="16"/>
                <w:szCs w:val="16"/>
              </w:rPr>
            </w:pPr>
            <w:r w:rsidRPr="009B5B1E">
              <w:rPr>
                <w:rFonts w:cs="Arial"/>
                <w:sz w:val="16"/>
                <w:szCs w:val="16"/>
              </w:rPr>
              <w:t>1.804,9</w:t>
            </w:r>
          </w:p>
        </w:tc>
        <w:tc>
          <w:tcPr>
            <w:tcW w:w="915" w:type="dxa"/>
            <w:tcBorders>
              <w:top w:val="nil"/>
              <w:left w:val="nil"/>
              <w:bottom w:val="nil"/>
              <w:right w:val="nil"/>
            </w:tcBorders>
            <w:shd w:val="clear" w:color="auto" w:fill="auto"/>
            <w:noWrap/>
            <w:vAlign w:val="center"/>
          </w:tcPr>
          <w:p w14:paraId="0AC42EFC" w14:textId="79F6C563" w:rsidR="00947AF3" w:rsidRPr="009B5B1E" w:rsidRDefault="00947AF3" w:rsidP="009310B7">
            <w:pPr>
              <w:spacing w:after="0" w:line="276" w:lineRule="auto"/>
              <w:jc w:val="right"/>
              <w:rPr>
                <w:rFonts w:cs="Arial"/>
                <w:sz w:val="16"/>
                <w:szCs w:val="16"/>
              </w:rPr>
            </w:pPr>
            <w:r w:rsidRPr="009B5B1E">
              <w:rPr>
                <w:rFonts w:cs="Arial"/>
                <w:sz w:val="16"/>
                <w:szCs w:val="16"/>
              </w:rPr>
              <w:t>0,89%</w:t>
            </w:r>
          </w:p>
        </w:tc>
        <w:tc>
          <w:tcPr>
            <w:tcW w:w="1003" w:type="dxa"/>
            <w:tcBorders>
              <w:top w:val="nil"/>
              <w:left w:val="nil"/>
              <w:bottom w:val="nil"/>
              <w:right w:val="nil"/>
            </w:tcBorders>
            <w:shd w:val="clear" w:color="auto" w:fill="auto"/>
            <w:noWrap/>
            <w:vAlign w:val="center"/>
          </w:tcPr>
          <w:p w14:paraId="234B28FB" w14:textId="5E73FBA7" w:rsidR="00947AF3" w:rsidRPr="009B5B1E" w:rsidRDefault="00947AF3" w:rsidP="009310B7">
            <w:pPr>
              <w:spacing w:after="0" w:line="276" w:lineRule="auto"/>
              <w:jc w:val="right"/>
              <w:rPr>
                <w:rFonts w:cs="Arial"/>
                <w:sz w:val="16"/>
                <w:szCs w:val="16"/>
              </w:rPr>
            </w:pPr>
            <w:r w:rsidRPr="009B5B1E">
              <w:rPr>
                <w:rFonts w:cs="Arial"/>
                <w:sz w:val="16"/>
                <w:szCs w:val="16"/>
              </w:rPr>
              <w:t>19.950,8</w:t>
            </w:r>
          </w:p>
        </w:tc>
        <w:tc>
          <w:tcPr>
            <w:tcW w:w="910" w:type="dxa"/>
            <w:tcBorders>
              <w:top w:val="nil"/>
              <w:left w:val="nil"/>
              <w:bottom w:val="nil"/>
              <w:right w:val="nil"/>
            </w:tcBorders>
            <w:shd w:val="clear" w:color="auto" w:fill="auto"/>
            <w:noWrap/>
            <w:vAlign w:val="center"/>
          </w:tcPr>
          <w:p w14:paraId="156FD7D7" w14:textId="44EF511D" w:rsidR="00947AF3" w:rsidRPr="009B5B1E" w:rsidRDefault="00947AF3" w:rsidP="009310B7">
            <w:pPr>
              <w:spacing w:after="0" w:line="276" w:lineRule="auto"/>
              <w:jc w:val="right"/>
              <w:rPr>
                <w:rFonts w:cs="Arial"/>
                <w:sz w:val="16"/>
                <w:szCs w:val="16"/>
              </w:rPr>
            </w:pPr>
            <w:r w:rsidRPr="009B5B1E">
              <w:rPr>
                <w:rFonts w:cs="Arial"/>
                <w:sz w:val="16"/>
                <w:szCs w:val="16"/>
              </w:rPr>
              <w:t>9,81%</w:t>
            </w:r>
          </w:p>
        </w:tc>
        <w:tc>
          <w:tcPr>
            <w:tcW w:w="890" w:type="dxa"/>
            <w:tcBorders>
              <w:top w:val="nil"/>
              <w:left w:val="nil"/>
              <w:bottom w:val="nil"/>
              <w:right w:val="nil"/>
            </w:tcBorders>
            <w:shd w:val="clear" w:color="auto" w:fill="auto"/>
            <w:noWrap/>
            <w:vAlign w:val="center"/>
          </w:tcPr>
          <w:p w14:paraId="7EB7FE7C" w14:textId="7052AD52" w:rsidR="00947AF3" w:rsidRPr="009B5B1E" w:rsidRDefault="00947AF3" w:rsidP="009310B7">
            <w:pPr>
              <w:spacing w:after="0" w:line="276" w:lineRule="auto"/>
              <w:jc w:val="right"/>
              <w:rPr>
                <w:rFonts w:cs="Arial"/>
                <w:sz w:val="16"/>
                <w:szCs w:val="16"/>
              </w:rPr>
            </w:pPr>
            <w:r w:rsidRPr="009B5B1E">
              <w:rPr>
                <w:rFonts w:cs="Arial"/>
                <w:sz w:val="16"/>
                <w:szCs w:val="16"/>
              </w:rPr>
              <w:t>1.442,0</w:t>
            </w:r>
          </w:p>
        </w:tc>
        <w:tc>
          <w:tcPr>
            <w:tcW w:w="861" w:type="dxa"/>
            <w:tcBorders>
              <w:top w:val="nil"/>
              <w:left w:val="nil"/>
              <w:bottom w:val="nil"/>
              <w:right w:val="nil"/>
            </w:tcBorders>
            <w:shd w:val="clear" w:color="auto" w:fill="auto"/>
            <w:noWrap/>
            <w:vAlign w:val="center"/>
          </w:tcPr>
          <w:p w14:paraId="73AAE1C4" w14:textId="2ED00971" w:rsidR="00947AF3" w:rsidRPr="009B5B1E" w:rsidRDefault="00947AF3" w:rsidP="009310B7">
            <w:pPr>
              <w:spacing w:after="0" w:line="276" w:lineRule="auto"/>
              <w:jc w:val="right"/>
              <w:rPr>
                <w:rFonts w:cs="Arial"/>
                <w:sz w:val="16"/>
                <w:szCs w:val="16"/>
              </w:rPr>
            </w:pPr>
            <w:r w:rsidRPr="009B5B1E">
              <w:rPr>
                <w:rFonts w:cs="Arial"/>
                <w:sz w:val="16"/>
                <w:szCs w:val="16"/>
              </w:rPr>
              <w:t>0,71%</w:t>
            </w:r>
          </w:p>
        </w:tc>
        <w:tc>
          <w:tcPr>
            <w:tcW w:w="1374" w:type="dxa"/>
            <w:tcBorders>
              <w:top w:val="nil"/>
              <w:left w:val="nil"/>
              <w:bottom w:val="nil"/>
              <w:right w:val="nil"/>
            </w:tcBorders>
            <w:shd w:val="clear" w:color="auto" w:fill="auto"/>
            <w:noWrap/>
            <w:vAlign w:val="center"/>
          </w:tcPr>
          <w:p w14:paraId="7DA40CD1" w14:textId="35A3C956" w:rsidR="00947AF3" w:rsidRPr="009B5B1E" w:rsidRDefault="00947AF3" w:rsidP="009310B7">
            <w:pPr>
              <w:spacing w:after="0" w:line="276" w:lineRule="auto"/>
              <w:jc w:val="right"/>
              <w:rPr>
                <w:rFonts w:cs="Arial"/>
                <w:sz w:val="16"/>
                <w:szCs w:val="16"/>
              </w:rPr>
            </w:pPr>
            <w:r w:rsidRPr="009B5B1E">
              <w:rPr>
                <w:rFonts w:cs="Arial"/>
                <w:sz w:val="16"/>
                <w:szCs w:val="16"/>
              </w:rPr>
              <w:t>135,8</w:t>
            </w:r>
          </w:p>
        </w:tc>
        <w:tc>
          <w:tcPr>
            <w:tcW w:w="777" w:type="dxa"/>
            <w:tcBorders>
              <w:top w:val="nil"/>
              <w:left w:val="nil"/>
              <w:bottom w:val="nil"/>
              <w:right w:val="nil"/>
            </w:tcBorders>
            <w:shd w:val="clear" w:color="auto" w:fill="auto"/>
            <w:noWrap/>
            <w:vAlign w:val="center"/>
          </w:tcPr>
          <w:p w14:paraId="198CAE6E" w14:textId="676FAF6C" w:rsidR="00947AF3" w:rsidRPr="009B5B1E" w:rsidRDefault="00947AF3" w:rsidP="009310B7">
            <w:pPr>
              <w:spacing w:after="0" w:line="276" w:lineRule="auto"/>
              <w:jc w:val="right"/>
              <w:rPr>
                <w:rFonts w:cs="Arial"/>
                <w:sz w:val="16"/>
                <w:szCs w:val="16"/>
              </w:rPr>
            </w:pPr>
            <w:r w:rsidRPr="009B5B1E">
              <w:rPr>
                <w:rFonts w:cs="Arial"/>
                <w:sz w:val="16"/>
                <w:szCs w:val="16"/>
              </w:rPr>
              <w:t>1.306,2</w:t>
            </w:r>
          </w:p>
        </w:tc>
        <w:tc>
          <w:tcPr>
            <w:tcW w:w="878" w:type="dxa"/>
            <w:tcBorders>
              <w:top w:val="nil"/>
              <w:left w:val="nil"/>
              <w:bottom w:val="nil"/>
              <w:right w:val="nil"/>
            </w:tcBorders>
            <w:shd w:val="clear" w:color="auto" w:fill="auto"/>
            <w:noWrap/>
            <w:vAlign w:val="center"/>
          </w:tcPr>
          <w:p w14:paraId="450C7938" w14:textId="42A9B181" w:rsidR="00947AF3" w:rsidRPr="009B5B1E" w:rsidRDefault="00947AF3" w:rsidP="009310B7">
            <w:pPr>
              <w:spacing w:after="0" w:line="276" w:lineRule="auto"/>
              <w:jc w:val="right"/>
              <w:rPr>
                <w:rFonts w:cs="Arial"/>
                <w:sz w:val="16"/>
                <w:szCs w:val="16"/>
              </w:rPr>
            </w:pPr>
            <w:r w:rsidRPr="009B5B1E">
              <w:rPr>
                <w:rFonts w:cs="Arial"/>
                <w:sz w:val="16"/>
                <w:szCs w:val="16"/>
              </w:rPr>
              <w:t>0,64%</w:t>
            </w:r>
          </w:p>
        </w:tc>
        <w:tc>
          <w:tcPr>
            <w:tcW w:w="965" w:type="dxa"/>
            <w:tcBorders>
              <w:top w:val="nil"/>
              <w:left w:val="nil"/>
              <w:bottom w:val="nil"/>
            </w:tcBorders>
            <w:shd w:val="clear" w:color="auto" w:fill="auto"/>
            <w:noWrap/>
            <w:vAlign w:val="center"/>
          </w:tcPr>
          <w:p w14:paraId="0A932939" w14:textId="030B7197" w:rsidR="00947AF3" w:rsidRPr="009B5B1E" w:rsidRDefault="00947AF3" w:rsidP="009310B7">
            <w:pPr>
              <w:spacing w:after="0" w:line="276" w:lineRule="auto"/>
              <w:jc w:val="right"/>
              <w:rPr>
                <w:rFonts w:cs="Arial"/>
                <w:sz w:val="16"/>
                <w:szCs w:val="16"/>
              </w:rPr>
            </w:pPr>
            <w:r w:rsidRPr="009B5B1E">
              <w:rPr>
                <w:rFonts w:cs="Arial"/>
                <w:sz w:val="16"/>
                <w:szCs w:val="16"/>
              </w:rPr>
              <w:t>203.475</w:t>
            </w:r>
          </w:p>
        </w:tc>
      </w:tr>
      <w:tr w:rsidR="00947AF3" w:rsidRPr="00E47A31" w14:paraId="0FF9EDE8" w14:textId="77777777" w:rsidTr="009310B7">
        <w:trPr>
          <w:cantSplit/>
          <w:trHeight w:val="283"/>
          <w:jc w:val="center"/>
        </w:trPr>
        <w:tc>
          <w:tcPr>
            <w:tcW w:w="665" w:type="dxa"/>
            <w:tcBorders>
              <w:top w:val="nil"/>
              <w:bottom w:val="nil"/>
              <w:right w:val="nil"/>
            </w:tcBorders>
            <w:shd w:val="clear" w:color="auto" w:fill="auto"/>
            <w:noWrap/>
            <w:vAlign w:val="center"/>
          </w:tcPr>
          <w:p w14:paraId="20AD6C52"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2012</w:t>
            </w:r>
          </w:p>
        </w:tc>
        <w:tc>
          <w:tcPr>
            <w:tcW w:w="890" w:type="dxa"/>
            <w:tcBorders>
              <w:top w:val="nil"/>
              <w:left w:val="nil"/>
              <w:bottom w:val="nil"/>
              <w:right w:val="nil"/>
            </w:tcBorders>
            <w:shd w:val="clear" w:color="auto" w:fill="auto"/>
            <w:noWrap/>
            <w:vAlign w:val="center"/>
          </w:tcPr>
          <w:p w14:paraId="3821488D" w14:textId="00EAA564" w:rsidR="00947AF3" w:rsidRPr="009B5B1E" w:rsidRDefault="00947AF3" w:rsidP="009310B7">
            <w:pPr>
              <w:spacing w:after="0" w:line="276" w:lineRule="auto"/>
              <w:jc w:val="right"/>
              <w:rPr>
                <w:rFonts w:cs="Arial"/>
                <w:sz w:val="16"/>
                <w:szCs w:val="16"/>
              </w:rPr>
            </w:pPr>
            <w:r w:rsidRPr="009B5B1E">
              <w:rPr>
                <w:rFonts w:cs="Arial"/>
                <w:sz w:val="16"/>
                <w:szCs w:val="16"/>
              </w:rPr>
              <w:t>688,0</w:t>
            </w:r>
          </w:p>
        </w:tc>
        <w:tc>
          <w:tcPr>
            <w:tcW w:w="915" w:type="dxa"/>
            <w:tcBorders>
              <w:top w:val="nil"/>
              <w:left w:val="nil"/>
              <w:bottom w:val="nil"/>
              <w:right w:val="nil"/>
            </w:tcBorders>
            <w:shd w:val="clear" w:color="auto" w:fill="auto"/>
            <w:noWrap/>
            <w:vAlign w:val="center"/>
          </w:tcPr>
          <w:p w14:paraId="6FE91CFD" w14:textId="0AFF5CAE" w:rsidR="00947AF3" w:rsidRPr="009B5B1E" w:rsidRDefault="00947AF3" w:rsidP="009310B7">
            <w:pPr>
              <w:spacing w:after="0" w:line="276" w:lineRule="auto"/>
              <w:jc w:val="right"/>
              <w:rPr>
                <w:rFonts w:cs="Arial"/>
                <w:sz w:val="16"/>
                <w:szCs w:val="16"/>
              </w:rPr>
            </w:pPr>
            <w:r w:rsidRPr="009B5B1E">
              <w:rPr>
                <w:rFonts w:cs="Arial"/>
                <w:sz w:val="16"/>
                <w:szCs w:val="16"/>
              </w:rPr>
              <w:t>0,37%</w:t>
            </w:r>
          </w:p>
        </w:tc>
        <w:tc>
          <w:tcPr>
            <w:tcW w:w="1003" w:type="dxa"/>
            <w:tcBorders>
              <w:top w:val="nil"/>
              <w:left w:val="nil"/>
              <w:bottom w:val="nil"/>
              <w:right w:val="nil"/>
            </w:tcBorders>
            <w:shd w:val="clear" w:color="auto" w:fill="auto"/>
            <w:noWrap/>
            <w:vAlign w:val="center"/>
          </w:tcPr>
          <w:p w14:paraId="5D0A18F5" w14:textId="228A21DE" w:rsidR="00947AF3" w:rsidRPr="009B5B1E" w:rsidRDefault="00947AF3" w:rsidP="009310B7">
            <w:pPr>
              <w:spacing w:after="0" w:line="276" w:lineRule="auto"/>
              <w:jc w:val="right"/>
              <w:rPr>
                <w:rFonts w:cs="Arial"/>
                <w:sz w:val="16"/>
                <w:szCs w:val="16"/>
              </w:rPr>
            </w:pPr>
            <w:r w:rsidRPr="009B5B1E">
              <w:rPr>
                <w:rFonts w:cs="Arial"/>
                <w:sz w:val="16"/>
                <w:szCs w:val="16"/>
              </w:rPr>
              <w:t>19.314,7</w:t>
            </w:r>
          </w:p>
        </w:tc>
        <w:tc>
          <w:tcPr>
            <w:tcW w:w="910" w:type="dxa"/>
            <w:tcBorders>
              <w:top w:val="nil"/>
              <w:left w:val="nil"/>
              <w:bottom w:val="nil"/>
              <w:right w:val="nil"/>
            </w:tcBorders>
            <w:shd w:val="clear" w:color="auto" w:fill="auto"/>
            <w:noWrap/>
            <w:vAlign w:val="center"/>
          </w:tcPr>
          <w:p w14:paraId="676C635E" w14:textId="2C078EBE" w:rsidR="00947AF3" w:rsidRPr="009B5B1E" w:rsidRDefault="00947AF3" w:rsidP="009310B7">
            <w:pPr>
              <w:spacing w:after="0" w:line="276" w:lineRule="auto"/>
              <w:jc w:val="right"/>
              <w:rPr>
                <w:rFonts w:cs="Arial"/>
                <w:sz w:val="16"/>
                <w:szCs w:val="16"/>
              </w:rPr>
            </w:pPr>
            <w:r w:rsidRPr="009B5B1E">
              <w:rPr>
                <w:rFonts w:cs="Arial"/>
                <w:sz w:val="16"/>
                <w:szCs w:val="16"/>
              </w:rPr>
              <w:t>10,39%</w:t>
            </w:r>
          </w:p>
        </w:tc>
        <w:tc>
          <w:tcPr>
            <w:tcW w:w="890" w:type="dxa"/>
            <w:tcBorders>
              <w:top w:val="nil"/>
              <w:left w:val="nil"/>
              <w:bottom w:val="nil"/>
              <w:right w:val="nil"/>
            </w:tcBorders>
            <w:shd w:val="clear" w:color="auto" w:fill="auto"/>
            <w:noWrap/>
            <w:vAlign w:val="center"/>
          </w:tcPr>
          <w:p w14:paraId="442CEA5C" w14:textId="7E070831" w:rsidR="00947AF3" w:rsidRPr="009B5B1E" w:rsidRDefault="00947AF3" w:rsidP="009310B7">
            <w:pPr>
              <w:spacing w:after="0" w:line="276" w:lineRule="auto"/>
              <w:jc w:val="right"/>
              <w:rPr>
                <w:rFonts w:cs="Arial"/>
                <w:sz w:val="16"/>
                <w:szCs w:val="16"/>
              </w:rPr>
            </w:pPr>
            <w:r w:rsidRPr="009B5B1E">
              <w:rPr>
                <w:rFonts w:cs="Arial"/>
                <w:sz w:val="16"/>
                <w:szCs w:val="16"/>
              </w:rPr>
              <w:t>796,0</w:t>
            </w:r>
          </w:p>
        </w:tc>
        <w:tc>
          <w:tcPr>
            <w:tcW w:w="861" w:type="dxa"/>
            <w:tcBorders>
              <w:top w:val="nil"/>
              <w:left w:val="nil"/>
              <w:bottom w:val="nil"/>
              <w:right w:val="nil"/>
            </w:tcBorders>
            <w:shd w:val="clear" w:color="auto" w:fill="auto"/>
            <w:noWrap/>
            <w:vAlign w:val="center"/>
          </w:tcPr>
          <w:p w14:paraId="0A27A3C4" w14:textId="6ED23F54" w:rsidR="00947AF3" w:rsidRPr="009B5B1E" w:rsidRDefault="00947AF3" w:rsidP="009310B7">
            <w:pPr>
              <w:spacing w:after="0" w:line="276" w:lineRule="auto"/>
              <w:jc w:val="right"/>
              <w:rPr>
                <w:rFonts w:cs="Arial"/>
                <w:sz w:val="16"/>
                <w:szCs w:val="16"/>
              </w:rPr>
            </w:pPr>
            <w:r w:rsidRPr="009B5B1E">
              <w:rPr>
                <w:rFonts w:cs="Arial"/>
                <w:sz w:val="16"/>
                <w:szCs w:val="16"/>
              </w:rPr>
              <w:t>0,43%</w:t>
            </w:r>
          </w:p>
        </w:tc>
        <w:tc>
          <w:tcPr>
            <w:tcW w:w="1374" w:type="dxa"/>
            <w:tcBorders>
              <w:top w:val="nil"/>
              <w:left w:val="nil"/>
              <w:bottom w:val="nil"/>
              <w:right w:val="nil"/>
            </w:tcBorders>
            <w:shd w:val="clear" w:color="auto" w:fill="auto"/>
            <w:noWrap/>
            <w:vAlign w:val="center"/>
          </w:tcPr>
          <w:p w14:paraId="2DC24F9A" w14:textId="69116B85" w:rsidR="00947AF3" w:rsidRPr="009B5B1E" w:rsidRDefault="00947AF3" w:rsidP="009310B7">
            <w:pPr>
              <w:spacing w:after="0" w:line="276" w:lineRule="auto"/>
              <w:jc w:val="right"/>
              <w:rPr>
                <w:rFonts w:cs="Arial"/>
                <w:sz w:val="16"/>
                <w:szCs w:val="16"/>
              </w:rPr>
            </w:pPr>
            <w:r w:rsidRPr="009B5B1E">
              <w:rPr>
                <w:rFonts w:cs="Arial"/>
                <w:sz w:val="16"/>
                <w:szCs w:val="16"/>
              </w:rPr>
              <w:t>72,6</w:t>
            </w:r>
          </w:p>
        </w:tc>
        <w:tc>
          <w:tcPr>
            <w:tcW w:w="777" w:type="dxa"/>
            <w:tcBorders>
              <w:top w:val="nil"/>
              <w:left w:val="nil"/>
              <w:bottom w:val="nil"/>
              <w:right w:val="nil"/>
            </w:tcBorders>
            <w:shd w:val="clear" w:color="auto" w:fill="auto"/>
            <w:noWrap/>
            <w:vAlign w:val="center"/>
          </w:tcPr>
          <w:p w14:paraId="12747FAB" w14:textId="5C56B9F7" w:rsidR="00947AF3" w:rsidRPr="009B5B1E" w:rsidRDefault="00947AF3" w:rsidP="009310B7">
            <w:pPr>
              <w:spacing w:after="0" w:line="276" w:lineRule="auto"/>
              <w:jc w:val="right"/>
              <w:rPr>
                <w:rFonts w:cs="Arial"/>
                <w:sz w:val="16"/>
                <w:szCs w:val="16"/>
              </w:rPr>
            </w:pPr>
            <w:r w:rsidRPr="009B5B1E">
              <w:rPr>
                <w:rFonts w:cs="Arial"/>
                <w:sz w:val="16"/>
                <w:szCs w:val="16"/>
              </w:rPr>
              <w:t>723,4</w:t>
            </w:r>
          </w:p>
        </w:tc>
        <w:tc>
          <w:tcPr>
            <w:tcW w:w="878" w:type="dxa"/>
            <w:tcBorders>
              <w:top w:val="nil"/>
              <w:left w:val="nil"/>
              <w:bottom w:val="nil"/>
              <w:right w:val="nil"/>
            </w:tcBorders>
            <w:shd w:val="clear" w:color="auto" w:fill="auto"/>
            <w:noWrap/>
            <w:vAlign w:val="center"/>
          </w:tcPr>
          <w:p w14:paraId="1A5289DB" w14:textId="062911C0" w:rsidR="00947AF3" w:rsidRPr="009B5B1E" w:rsidRDefault="00947AF3" w:rsidP="009310B7">
            <w:pPr>
              <w:spacing w:after="0" w:line="276" w:lineRule="auto"/>
              <w:jc w:val="right"/>
              <w:rPr>
                <w:rFonts w:cs="Arial"/>
                <w:sz w:val="16"/>
                <w:szCs w:val="16"/>
              </w:rPr>
            </w:pPr>
            <w:r w:rsidRPr="009B5B1E">
              <w:rPr>
                <w:rFonts w:cs="Arial"/>
                <w:sz w:val="16"/>
                <w:szCs w:val="16"/>
              </w:rPr>
              <w:t>0,39%</w:t>
            </w:r>
          </w:p>
        </w:tc>
        <w:tc>
          <w:tcPr>
            <w:tcW w:w="965" w:type="dxa"/>
            <w:tcBorders>
              <w:top w:val="nil"/>
              <w:left w:val="nil"/>
              <w:bottom w:val="nil"/>
            </w:tcBorders>
            <w:shd w:val="clear" w:color="auto" w:fill="auto"/>
            <w:noWrap/>
            <w:vAlign w:val="center"/>
          </w:tcPr>
          <w:p w14:paraId="6B7F5C04" w14:textId="709A9E21" w:rsidR="00947AF3" w:rsidRPr="009B5B1E" w:rsidRDefault="00947AF3" w:rsidP="009310B7">
            <w:pPr>
              <w:spacing w:after="0" w:line="276" w:lineRule="auto"/>
              <w:jc w:val="right"/>
              <w:rPr>
                <w:rFonts w:cs="Arial"/>
                <w:sz w:val="16"/>
                <w:szCs w:val="16"/>
              </w:rPr>
            </w:pPr>
            <w:r w:rsidRPr="009B5B1E">
              <w:rPr>
                <w:rFonts w:cs="Arial"/>
                <w:sz w:val="16"/>
                <w:szCs w:val="16"/>
              </w:rPr>
              <w:t>185.899</w:t>
            </w:r>
          </w:p>
        </w:tc>
      </w:tr>
      <w:tr w:rsidR="00947AF3" w:rsidRPr="00E47A31" w14:paraId="20D1C776" w14:textId="77777777" w:rsidTr="009310B7">
        <w:trPr>
          <w:cantSplit/>
          <w:trHeight w:val="283"/>
          <w:jc w:val="center"/>
        </w:trPr>
        <w:tc>
          <w:tcPr>
            <w:tcW w:w="665" w:type="dxa"/>
            <w:tcBorders>
              <w:top w:val="nil"/>
              <w:bottom w:val="nil"/>
              <w:right w:val="nil"/>
            </w:tcBorders>
            <w:shd w:val="clear" w:color="auto" w:fill="auto"/>
            <w:noWrap/>
            <w:vAlign w:val="center"/>
          </w:tcPr>
          <w:p w14:paraId="022898DA"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2013</w:t>
            </w:r>
          </w:p>
        </w:tc>
        <w:tc>
          <w:tcPr>
            <w:tcW w:w="890" w:type="dxa"/>
            <w:tcBorders>
              <w:top w:val="nil"/>
              <w:left w:val="nil"/>
              <w:bottom w:val="nil"/>
              <w:right w:val="nil"/>
            </w:tcBorders>
            <w:shd w:val="clear" w:color="auto" w:fill="auto"/>
            <w:noWrap/>
            <w:vAlign w:val="center"/>
          </w:tcPr>
          <w:p w14:paraId="6A7CA62E" w14:textId="44D7AC0B" w:rsidR="00947AF3" w:rsidRPr="009B5B1E" w:rsidRDefault="00947AF3" w:rsidP="009310B7">
            <w:pPr>
              <w:spacing w:after="0" w:line="276" w:lineRule="auto"/>
              <w:jc w:val="right"/>
              <w:rPr>
                <w:rFonts w:cs="Arial"/>
                <w:sz w:val="16"/>
                <w:szCs w:val="16"/>
              </w:rPr>
            </w:pPr>
            <w:r w:rsidRPr="009B5B1E">
              <w:rPr>
                <w:rFonts w:cs="Arial"/>
                <w:sz w:val="16"/>
                <w:szCs w:val="16"/>
              </w:rPr>
              <w:t>634,7</w:t>
            </w:r>
          </w:p>
        </w:tc>
        <w:tc>
          <w:tcPr>
            <w:tcW w:w="915" w:type="dxa"/>
            <w:tcBorders>
              <w:top w:val="nil"/>
              <w:left w:val="nil"/>
              <w:bottom w:val="nil"/>
              <w:right w:val="nil"/>
            </w:tcBorders>
            <w:shd w:val="clear" w:color="auto" w:fill="auto"/>
            <w:noWrap/>
            <w:vAlign w:val="center"/>
          </w:tcPr>
          <w:p w14:paraId="4B001B63" w14:textId="0193407A" w:rsidR="00947AF3" w:rsidRPr="009B5B1E" w:rsidRDefault="00947AF3" w:rsidP="009310B7">
            <w:pPr>
              <w:spacing w:after="0" w:line="276" w:lineRule="auto"/>
              <w:jc w:val="right"/>
              <w:rPr>
                <w:rFonts w:cs="Arial"/>
                <w:sz w:val="16"/>
                <w:szCs w:val="16"/>
              </w:rPr>
            </w:pPr>
            <w:r w:rsidRPr="009B5B1E">
              <w:rPr>
                <w:rFonts w:cs="Arial"/>
                <w:sz w:val="16"/>
                <w:szCs w:val="16"/>
              </w:rPr>
              <w:t>0,36%</w:t>
            </w:r>
          </w:p>
        </w:tc>
        <w:tc>
          <w:tcPr>
            <w:tcW w:w="1003" w:type="dxa"/>
            <w:tcBorders>
              <w:top w:val="nil"/>
              <w:left w:val="nil"/>
              <w:bottom w:val="nil"/>
              <w:right w:val="nil"/>
            </w:tcBorders>
            <w:shd w:val="clear" w:color="auto" w:fill="auto"/>
            <w:noWrap/>
            <w:vAlign w:val="center"/>
          </w:tcPr>
          <w:p w14:paraId="5E278C4A" w14:textId="28420037" w:rsidR="00947AF3" w:rsidRPr="009B5B1E" w:rsidRDefault="00947AF3" w:rsidP="009310B7">
            <w:pPr>
              <w:spacing w:after="0" w:line="276" w:lineRule="auto"/>
              <w:jc w:val="right"/>
              <w:rPr>
                <w:rFonts w:cs="Arial"/>
                <w:sz w:val="16"/>
                <w:szCs w:val="16"/>
              </w:rPr>
            </w:pPr>
            <w:r w:rsidRPr="009B5B1E">
              <w:rPr>
                <w:rFonts w:cs="Arial"/>
                <w:sz w:val="16"/>
                <w:szCs w:val="16"/>
              </w:rPr>
              <w:t>17.234,4</w:t>
            </w:r>
          </w:p>
        </w:tc>
        <w:tc>
          <w:tcPr>
            <w:tcW w:w="910" w:type="dxa"/>
            <w:tcBorders>
              <w:top w:val="nil"/>
              <w:left w:val="nil"/>
              <w:bottom w:val="nil"/>
              <w:right w:val="nil"/>
            </w:tcBorders>
            <w:shd w:val="clear" w:color="auto" w:fill="auto"/>
            <w:noWrap/>
            <w:vAlign w:val="center"/>
          </w:tcPr>
          <w:p w14:paraId="2E3DDF3B" w14:textId="38FBD442" w:rsidR="00947AF3" w:rsidRPr="009B5B1E" w:rsidRDefault="00947AF3" w:rsidP="009310B7">
            <w:pPr>
              <w:spacing w:after="0" w:line="276" w:lineRule="auto"/>
              <w:jc w:val="right"/>
              <w:rPr>
                <w:rFonts w:cs="Arial"/>
                <w:sz w:val="16"/>
                <w:szCs w:val="16"/>
              </w:rPr>
            </w:pPr>
            <w:r w:rsidRPr="009B5B1E">
              <w:rPr>
                <w:rFonts w:cs="Arial"/>
                <w:sz w:val="16"/>
                <w:szCs w:val="16"/>
              </w:rPr>
              <w:t>9,68%</w:t>
            </w:r>
          </w:p>
        </w:tc>
        <w:tc>
          <w:tcPr>
            <w:tcW w:w="890" w:type="dxa"/>
            <w:tcBorders>
              <w:top w:val="nil"/>
              <w:left w:val="nil"/>
              <w:bottom w:val="nil"/>
              <w:right w:val="nil"/>
            </w:tcBorders>
            <w:shd w:val="clear" w:color="auto" w:fill="auto"/>
            <w:noWrap/>
            <w:vAlign w:val="center"/>
          </w:tcPr>
          <w:p w14:paraId="16A9A6F0" w14:textId="12D4595A" w:rsidR="00947AF3" w:rsidRPr="009B5B1E" w:rsidRDefault="00947AF3" w:rsidP="009310B7">
            <w:pPr>
              <w:spacing w:after="0" w:line="276" w:lineRule="auto"/>
              <w:jc w:val="right"/>
              <w:rPr>
                <w:rFonts w:cs="Arial"/>
                <w:sz w:val="16"/>
                <w:szCs w:val="16"/>
              </w:rPr>
            </w:pPr>
            <w:r w:rsidRPr="009B5B1E">
              <w:rPr>
                <w:rFonts w:cs="Arial"/>
                <w:sz w:val="16"/>
                <w:szCs w:val="16"/>
              </w:rPr>
              <w:t>877,5</w:t>
            </w:r>
          </w:p>
        </w:tc>
        <w:tc>
          <w:tcPr>
            <w:tcW w:w="861" w:type="dxa"/>
            <w:tcBorders>
              <w:top w:val="nil"/>
              <w:left w:val="nil"/>
              <w:bottom w:val="nil"/>
              <w:right w:val="nil"/>
            </w:tcBorders>
            <w:shd w:val="clear" w:color="auto" w:fill="auto"/>
            <w:noWrap/>
            <w:vAlign w:val="center"/>
          </w:tcPr>
          <w:p w14:paraId="05760A20" w14:textId="77749175" w:rsidR="00947AF3" w:rsidRPr="009B5B1E" w:rsidRDefault="00947AF3" w:rsidP="009310B7">
            <w:pPr>
              <w:spacing w:after="0" w:line="276" w:lineRule="auto"/>
              <w:jc w:val="right"/>
              <w:rPr>
                <w:rFonts w:cs="Arial"/>
                <w:sz w:val="16"/>
                <w:szCs w:val="16"/>
              </w:rPr>
            </w:pPr>
            <w:r w:rsidRPr="009B5B1E">
              <w:rPr>
                <w:rFonts w:cs="Arial"/>
                <w:sz w:val="16"/>
                <w:szCs w:val="16"/>
              </w:rPr>
              <w:t>0,49%</w:t>
            </w:r>
          </w:p>
        </w:tc>
        <w:tc>
          <w:tcPr>
            <w:tcW w:w="1374" w:type="dxa"/>
            <w:tcBorders>
              <w:top w:val="nil"/>
              <w:left w:val="nil"/>
              <w:bottom w:val="nil"/>
              <w:right w:val="nil"/>
            </w:tcBorders>
            <w:shd w:val="clear" w:color="auto" w:fill="auto"/>
            <w:noWrap/>
            <w:vAlign w:val="center"/>
          </w:tcPr>
          <w:p w14:paraId="1C6F254D" w14:textId="76B15EB5" w:rsidR="00947AF3" w:rsidRPr="009B5B1E" w:rsidRDefault="00947AF3" w:rsidP="009310B7">
            <w:pPr>
              <w:spacing w:after="0" w:line="276" w:lineRule="auto"/>
              <w:jc w:val="right"/>
              <w:rPr>
                <w:rFonts w:cs="Arial"/>
                <w:sz w:val="16"/>
                <w:szCs w:val="16"/>
              </w:rPr>
            </w:pPr>
            <w:r w:rsidRPr="009B5B1E">
              <w:rPr>
                <w:rFonts w:cs="Arial"/>
                <w:sz w:val="16"/>
                <w:szCs w:val="16"/>
              </w:rPr>
              <w:t>170,0</w:t>
            </w:r>
          </w:p>
        </w:tc>
        <w:tc>
          <w:tcPr>
            <w:tcW w:w="777" w:type="dxa"/>
            <w:tcBorders>
              <w:top w:val="nil"/>
              <w:left w:val="nil"/>
              <w:bottom w:val="nil"/>
              <w:right w:val="nil"/>
            </w:tcBorders>
            <w:shd w:val="clear" w:color="auto" w:fill="auto"/>
            <w:noWrap/>
            <w:vAlign w:val="center"/>
          </w:tcPr>
          <w:p w14:paraId="6EF6ACDF" w14:textId="0D8B3660" w:rsidR="00947AF3" w:rsidRPr="009B5B1E" w:rsidRDefault="00947AF3" w:rsidP="009310B7">
            <w:pPr>
              <w:spacing w:after="0" w:line="276" w:lineRule="auto"/>
              <w:jc w:val="right"/>
              <w:rPr>
                <w:rFonts w:cs="Arial"/>
                <w:sz w:val="16"/>
                <w:szCs w:val="16"/>
              </w:rPr>
            </w:pPr>
            <w:r w:rsidRPr="009B5B1E">
              <w:rPr>
                <w:rFonts w:cs="Arial"/>
                <w:sz w:val="16"/>
                <w:szCs w:val="16"/>
              </w:rPr>
              <w:t>707,5</w:t>
            </w:r>
          </w:p>
        </w:tc>
        <w:tc>
          <w:tcPr>
            <w:tcW w:w="878" w:type="dxa"/>
            <w:tcBorders>
              <w:top w:val="nil"/>
              <w:left w:val="nil"/>
              <w:bottom w:val="nil"/>
              <w:right w:val="nil"/>
            </w:tcBorders>
            <w:shd w:val="clear" w:color="auto" w:fill="auto"/>
            <w:noWrap/>
            <w:vAlign w:val="center"/>
          </w:tcPr>
          <w:p w14:paraId="0852E62B" w14:textId="30B1B4A7" w:rsidR="00947AF3" w:rsidRPr="009B5B1E" w:rsidRDefault="00947AF3" w:rsidP="009310B7">
            <w:pPr>
              <w:spacing w:after="0" w:line="276" w:lineRule="auto"/>
              <w:jc w:val="right"/>
              <w:rPr>
                <w:rFonts w:cs="Arial"/>
                <w:sz w:val="16"/>
                <w:szCs w:val="16"/>
              </w:rPr>
            </w:pPr>
            <w:r w:rsidRPr="009B5B1E">
              <w:rPr>
                <w:rFonts w:cs="Arial"/>
                <w:sz w:val="16"/>
                <w:szCs w:val="16"/>
              </w:rPr>
              <w:t>0,40%</w:t>
            </w:r>
          </w:p>
        </w:tc>
        <w:tc>
          <w:tcPr>
            <w:tcW w:w="965" w:type="dxa"/>
            <w:tcBorders>
              <w:top w:val="nil"/>
              <w:left w:val="nil"/>
              <w:bottom w:val="nil"/>
            </w:tcBorders>
            <w:shd w:val="clear" w:color="auto" w:fill="auto"/>
            <w:noWrap/>
            <w:vAlign w:val="center"/>
          </w:tcPr>
          <w:p w14:paraId="6F54BC89" w14:textId="2C6C31DA" w:rsidR="00947AF3" w:rsidRPr="009B5B1E" w:rsidRDefault="00947AF3" w:rsidP="009310B7">
            <w:pPr>
              <w:spacing w:after="0" w:line="276" w:lineRule="auto"/>
              <w:jc w:val="right"/>
              <w:rPr>
                <w:rFonts w:cs="Arial"/>
                <w:sz w:val="16"/>
                <w:szCs w:val="16"/>
              </w:rPr>
            </w:pPr>
            <w:r w:rsidRPr="009B5B1E">
              <w:rPr>
                <w:rFonts w:cs="Arial"/>
                <w:sz w:val="16"/>
                <w:szCs w:val="16"/>
              </w:rPr>
              <w:t>178.114</w:t>
            </w:r>
          </w:p>
        </w:tc>
      </w:tr>
      <w:tr w:rsidR="00947AF3" w:rsidRPr="00E47A31" w14:paraId="0A8E5A6C" w14:textId="77777777" w:rsidTr="009310B7">
        <w:trPr>
          <w:cantSplit/>
          <w:trHeight w:val="283"/>
          <w:jc w:val="center"/>
        </w:trPr>
        <w:tc>
          <w:tcPr>
            <w:tcW w:w="665" w:type="dxa"/>
            <w:tcBorders>
              <w:top w:val="nil"/>
              <w:bottom w:val="nil"/>
              <w:right w:val="nil"/>
            </w:tcBorders>
            <w:shd w:val="clear" w:color="auto" w:fill="auto"/>
            <w:noWrap/>
            <w:vAlign w:val="center"/>
          </w:tcPr>
          <w:p w14:paraId="2ADDBEBA"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2014</w:t>
            </w:r>
          </w:p>
        </w:tc>
        <w:tc>
          <w:tcPr>
            <w:tcW w:w="890" w:type="dxa"/>
            <w:tcBorders>
              <w:top w:val="nil"/>
              <w:left w:val="nil"/>
              <w:bottom w:val="nil"/>
              <w:right w:val="nil"/>
            </w:tcBorders>
            <w:shd w:val="clear" w:color="auto" w:fill="auto"/>
            <w:noWrap/>
            <w:vAlign w:val="center"/>
          </w:tcPr>
          <w:p w14:paraId="17EABCA4" w14:textId="20EFFD1D" w:rsidR="00947AF3" w:rsidRPr="009B5B1E" w:rsidRDefault="00947AF3" w:rsidP="009310B7">
            <w:pPr>
              <w:spacing w:after="0" w:line="276" w:lineRule="auto"/>
              <w:jc w:val="right"/>
              <w:rPr>
                <w:rFonts w:cs="Arial"/>
                <w:sz w:val="16"/>
                <w:szCs w:val="16"/>
              </w:rPr>
            </w:pPr>
            <w:r w:rsidRPr="009B5B1E">
              <w:rPr>
                <w:rFonts w:cs="Arial"/>
                <w:sz w:val="16"/>
                <w:szCs w:val="16"/>
              </w:rPr>
              <w:t>536,6</w:t>
            </w:r>
          </w:p>
        </w:tc>
        <w:tc>
          <w:tcPr>
            <w:tcW w:w="915" w:type="dxa"/>
            <w:tcBorders>
              <w:top w:val="nil"/>
              <w:left w:val="nil"/>
              <w:bottom w:val="nil"/>
              <w:right w:val="nil"/>
            </w:tcBorders>
            <w:shd w:val="clear" w:color="auto" w:fill="auto"/>
            <w:noWrap/>
            <w:vAlign w:val="center"/>
          </w:tcPr>
          <w:p w14:paraId="2353959A" w14:textId="091D43D1" w:rsidR="00947AF3" w:rsidRPr="009B5B1E" w:rsidRDefault="00947AF3" w:rsidP="009310B7">
            <w:pPr>
              <w:spacing w:after="0" w:line="276" w:lineRule="auto"/>
              <w:jc w:val="right"/>
              <w:rPr>
                <w:rFonts w:cs="Arial"/>
                <w:sz w:val="16"/>
                <w:szCs w:val="16"/>
              </w:rPr>
            </w:pPr>
            <w:r w:rsidRPr="009B5B1E">
              <w:rPr>
                <w:rFonts w:cs="Arial"/>
                <w:sz w:val="16"/>
                <w:szCs w:val="16"/>
              </w:rPr>
              <w:t>0,30%</w:t>
            </w:r>
          </w:p>
        </w:tc>
        <w:tc>
          <w:tcPr>
            <w:tcW w:w="1003" w:type="dxa"/>
            <w:tcBorders>
              <w:top w:val="nil"/>
              <w:left w:val="nil"/>
              <w:bottom w:val="nil"/>
              <w:right w:val="nil"/>
            </w:tcBorders>
            <w:shd w:val="clear" w:color="auto" w:fill="auto"/>
            <w:noWrap/>
            <w:vAlign w:val="center"/>
          </w:tcPr>
          <w:p w14:paraId="589F0D5C" w14:textId="070F0B29" w:rsidR="00947AF3" w:rsidRPr="009B5B1E" w:rsidRDefault="00947AF3" w:rsidP="009310B7">
            <w:pPr>
              <w:spacing w:after="0" w:line="276" w:lineRule="auto"/>
              <w:jc w:val="right"/>
              <w:rPr>
                <w:rFonts w:cs="Arial"/>
                <w:sz w:val="16"/>
                <w:szCs w:val="16"/>
              </w:rPr>
            </w:pPr>
            <w:r w:rsidRPr="009B5B1E">
              <w:rPr>
                <w:rFonts w:cs="Arial"/>
                <w:sz w:val="16"/>
                <w:szCs w:val="16"/>
              </w:rPr>
              <w:t>16.315,0</w:t>
            </w:r>
          </w:p>
        </w:tc>
        <w:tc>
          <w:tcPr>
            <w:tcW w:w="910" w:type="dxa"/>
            <w:tcBorders>
              <w:top w:val="nil"/>
              <w:left w:val="nil"/>
              <w:bottom w:val="nil"/>
              <w:right w:val="nil"/>
            </w:tcBorders>
            <w:shd w:val="clear" w:color="auto" w:fill="auto"/>
            <w:noWrap/>
            <w:vAlign w:val="center"/>
          </w:tcPr>
          <w:p w14:paraId="68D06925" w14:textId="300ABB86" w:rsidR="00947AF3" w:rsidRPr="009B5B1E" w:rsidRDefault="00947AF3" w:rsidP="009310B7">
            <w:pPr>
              <w:spacing w:after="0" w:line="276" w:lineRule="auto"/>
              <w:jc w:val="right"/>
              <w:rPr>
                <w:rFonts w:cs="Arial"/>
                <w:sz w:val="16"/>
                <w:szCs w:val="16"/>
              </w:rPr>
            </w:pPr>
            <w:r w:rsidRPr="009B5B1E">
              <w:rPr>
                <w:rFonts w:cs="Arial"/>
                <w:sz w:val="16"/>
                <w:szCs w:val="16"/>
              </w:rPr>
              <w:t>9,27%</w:t>
            </w:r>
          </w:p>
        </w:tc>
        <w:tc>
          <w:tcPr>
            <w:tcW w:w="890" w:type="dxa"/>
            <w:tcBorders>
              <w:top w:val="nil"/>
              <w:left w:val="nil"/>
              <w:bottom w:val="nil"/>
              <w:right w:val="nil"/>
            </w:tcBorders>
            <w:shd w:val="clear" w:color="auto" w:fill="auto"/>
            <w:noWrap/>
            <w:vAlign w:val="center"/>
          </w:tcPr>
          <w:p w14:paraId="1E5EB1C5" w14:textId="4DFD2572" w:rsidR="00947AF3" w:rsidRPr="009B5B1E" w:rsidRDefault="00947AF3" w:rsidP="009310B7">
            <w:pPr>
              <w:spacing w:after="0" w:line="276" w:lineRule="auto"/>
              <w:jc w:val="right"/>
              <w:rPr>
                <w:rFonts w:cs="Arial"/>
                <w:sz w:val="16"/>
                <w:szCs w:val="16"/>
              </w:rPr>
            </w:pPr>
            <w:r w:rsidRPr="009B5B1E">
              <w:rPr>
                <w:rFonts w:cs="Arial"/>
                <w:sz w:val="16"/>
                <w:szCs w:val="16"/>
              </w:rPr>
              <w:t>588,2</w:t>
            </w:r>
          </w:p>
        </w:tc>
        <w:tc>
          <w:tcPr>
            <w:tcW w:w="861" w:type="dxa"/>
            <w:tcBorders>
              <w:top w:val="nil"/>
              <w:left w:val="nil"/>
              <w:bottom w:val="nil"/>
              <w:right w:val="nil"/>
            </w:tcBorders>
            <w:shd w:val="clear" w:color="auto" w:fill="auto"/>
            <w:noWrap/>
            <w:vAlign w:val="center"/>
          </w:tcPr>
          <w:p w14:paraId="31D699AD" w14:textId="03926EA5" w:rsidR="00947AF3" w:rsidRPr="009B5B1E" w:rsidRDefault="00947AF3" w:rsidP="009310B7">
            <w:pPr>
              <w:spacing w:after="0" w:line="276" w:lineRule="auto"/>
              <w:jc w:val="right"/>
              <w:rPr>
                <w:rFonts w:cs="Arial"/>
                <w:sz w:val="16"/>
                <w:szCs w:val="16"/>
              </w:rPr>
            </w:pPr>
            <w:r w:rsidRPr="009B5B1E">
              <w:rPr>
                <w:rFonts w:cs="Arial"/>
                <w:sz w:val="16"/>
                <w:szCs w:val="16"/>
              </w:rPr>
              <w:t>0,33%</w:t>
            </w:r>
          </w:p>
        </w:tc>
        <w:tc>
          <w:tcPr>
            <w:tcW w:w="1374" w:type="dxa"/>
            <w:tcBorders>
              <w:top w:val="nil"/>
              <w:left w:val="nil"/>
              <w:bottom w:val="nil"/>
              <w:right w:val="nil"/>
            </w:tcBorders>
            <w:shd w:val="clear" w:color="auto" w:fill="auto"/>
            <w:noWrap/>
            <w:vAlign w:val="center"/>
          </w:tcPr>
          <w:p w14:paraId="10D243CA" w14:textId="4DC1411A" w:rsidR="00947AF3" w:rsidRPr="009B5B1E" w:rsidRDefault="00947AF3" w:rsidP="009310B7">
            <w:pPr>
              <w:spacing w:after="0" w:line="276" w:lineRule="auto"/>
              <w:jc w:val="right"/>
              <w:rPr>
                <w:rFonts w:cs="Arial"/>
                <w:sz w:val="16"/>
                <w:szCs w:val="16"/>
              </w:rPr>
            </w:pPr>
            <w:r w:rsidRPr="009B5B1E">
              <w:rPr>
                <w:rFonts w:cs="Arial"/>
                <w:sz w:val="16"/>
                <w:szCs w:val="16"/>
              </w:rPr>
              <w:t>83,0</w:t>
            </w:r>
          </w:p>
        </w:tc>
        <w:tc>
          <w:tcPr>
            <w:tcW w:w="777" w:type="dxa"/>
            <w:tcBorders>
              <w:top w:val="nil"/>
              <w:left w:val="nil"/>
              <w:bottom w:val="nil"/>
              <w:right w:val="nil"/>
            </w:tcBorders>
            <w:shd w:val="clear" w:color="auto" w:fill="auto"/>
            <w:noWrap/>
            <w:vAlign w:val="center"/>
          </w:tcPr>
          <w:p w14:paraId="6D7F49DD" w14:textId="09EB522C" w:rsidR="00947AF3" w:rsidRPr="009B5B1E" w:rsidRDefault="00947AF3" w:rsidP="009310B7">
            <w:pPr>
              <w:spacing w:after="0" w:line="276" w:lineRule="auto"/>
              <w:jc w:val="right"/>
              <w:rPr>
                <w:rFonts w:cs="Arial"/>
                <w:sz w:val="16"/>
                <w:szCs w:val="16"/>
              </w:rPr>
            </w:pPr>
            <w:r w:rsidRPr="009B5B1E">
              <w:rPr>
                <w:rFonts w:cs="Arial"/>
                <w:sz w:val="16"/>
                <w:szCs w:val="16"/>
              </w:rPr>
              <w:t>505,2</w:t>
            </w:r>
          </w:p>
        </w:tc>
        <w:tc>
          <w:tcPr>
            <w:tcW w:w="878" w:type="dxa"/>
            <w:tcBorders>
              <w:top w:val="nil"/>
              <w:left w:val="nil"/>
              <w:bottom w:val="nil"/>
              <w:right w:val="nil"/>
            </w:tcBorders>
            <w:shd w:val="clear" w:color="auto" w:fill="auto"/>
            <w:noWrap/>
            <w:vAlign w:val="center"/>
          </w:tcPr>
          <w:p w14:paraId="474186F1" w14:textId="23BC1FA7" w:rsidR="00947AF3" w:rsidRPr="009B5B1E" w:rsidRDefault="00947AF3" w:rsidP="009310B7">
            <w:pPr>
              <w:spacing w:after="0" w:line="276" w:lineRule="auto"/>
              <w:jc w:val="right"/>
              <w:rPr>
                <w:rFonts w:cs="Arial"/>
                <w:sz w:val="16"/>
                <w:szCs w:val="16"/>
              </w:rPr>
            </w:pPr>
            <w:r w:rsidRPr="009B5B1E">
              <w:rPr>
                <w:rFonts w:cs="Arial"/>
                <w:sz w:val="16"/>
                <w:szCs w:val="16"/>
              </w:rPr>
              <w:t>0,29%</w:t>
            </w:r>
          </w:p>
        </w:tc>
        <w:tc>
          <w:tcPr>
            <w:tcW w:w="965" w:type="dxa"/>
            <w:tcBorders>
              <w:top w:val="nil"/>
              <w:left w:val="nil"/>
              <w:bottom w:val="nil"/>
            </w:tcBorders>
            <w:shd w:val="clear" w:color="auto" w:fill="auto"/>
            <w:noWrap/>
            <w:vAlign w:val="center"/>
          </w:tcPr>
          <w:p w14:paraId="37E29581" w14:textId="03170FF4" w:rsidR="00947AF3" w:rsidRPr="009B5B1E" w:rsidRDefault="00947AF3" w:rsidP="009310B7">
            <w:pPr>
              <w:spacing w:after="0" w:line="276" w:lineRule="auto"/>
              <w:jc w:val="right"/>
              <w:rPr>
                <w:rFonts w:cs="Arial"/>
                <w:sz w:val="16"/>
                <w:szCs w:val="16"/>
              </w:rPr>
            </w:pPr>
            <w:r w:rsidRPr="009B5B1E">
              <w:rPr>
                <w:rFonts w:cs="Arial"/>
                <w:sz w:val="16"/>
                <w:szCs w:val="16"/>
              </w:rPr>
              <w:t>176.072</w:t>
            </w:r>
          </w:p>
        </w:tc>
      </w:tr>
      <w:tr w:rsidR="00947AF3" w:rsidRPr="00E47A31" w14:paraId="5EAF0A51" w14:textId="77777777" w:rsidTr="009310B7">
        <w:trPr>
          <w:cantSplit/>
          <w:trHeight w:val="283"/>
          <w:jc w:val="center"/>
        </w:trPr>
        <w:tc>
          <w:tcPr>
            <w:tcW w:w="665" w:type="dxa"/>
            <w:tcBorders>
              <w:top w:val="nil"/>
              <w:bottom w:val="nil"/>
              <w:right w:val="nil"/>
            </w:tcBorders>
            <w:shd w:val="clear" w:color="auto" w:fill="auto"/>
            <w:noWrap/>
            <w:vAlign w:val="center"/>
          </w:tcPr>
          <w:p w14:paraId="122F8B92"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2015</w:t>
            </w:r>
          </w:p>
        </w:tc>
        <w:tc>
          <w:tcPr>
            <w:tcW w:w="890" w:type="dxa"/>
            <w:tcBorders>
              <w:top w:val="nil"/>
              <w:left w:val="nil"/>
              <w:bottom w:val="nil"/>
              <w:right w:val="nil"/>
            </w:tcBorders>
            <w:shd w:val="clear" w:color="auto" w:fill="auto"/>
            <w:noWrap/>
            <w:vAlign w:val="center"/>
          </w:tcPr>
          <w:p w14:paraId="450A2B91" w14:textId="31CDFBAE" w:rsidR="00947AF3" w:rsidRPr="009B5B1E" w:rsidRDefault="00947AF3" w:rsidP="009310B7">
            <w:pPr>
              <w:spacing w:after="0" w:line="276" w:lineRule="auto"/>
              <w:jc w:val="right"/>
              <w:rPr>
                <w:rFonts w:cs="Arial"/>
                <w:sz w:val="16"/>
                <w:szCs w:val="16"/>
              </w:rPr>
            </w:pPr>
            <w:r w:rsidRPr="009B5B1E">
              <w:rPr>
                <w:rFonts w:cs="Arial"/>
                <w:sz w:val="16"/>
                <w:szCs w:val="16"/>
              </w:rPr>
              <w:t>65,0</w:t>
            </w:r>
          </w:p>
        </w:tc>
        <w:tc>
          <w:tcPr>
            <w:tcW w:w="915" w:type="dxa"/>
            <w:tcBorders>
              <w:top w:val="nil"/>
              <w:left w:val="nil"/>
              <w:bottom w:val="nil"/>
              <w:right w:val="nil"/>
            </w:tcBorders>
            <w:shd w:val="clear" w:color="auto" w:fill="auto"/>
            <w:noWrap/>
            <w:vAlign w:val="center"/>
          </w:tcPr>
          <w:p w14:paraId="3236371D" w14:textId="42BF64F2" w:rsidR="00947AF3" w:rsidRPr="009B5B1E" w:rsidRDefault="00947AF3" w:rsidP="009310B7">
            <w:pPr>
              <w:spacing w:after="0" w:line="276" w:lineRule="auto"/>
              <w:jc w:val="right"/>
              <w:rPr>
                <w:rFonts w:cs="Arial"/>
                <w:sz w:val="16"/>
                <w:szCs w:val="16"/>
              </w:rPr>
            </w:pPr>
            <w:r w:rsidRPr="009B5B1E">
              <w:rPr>
                <w:rFonts w:cs="Arial"/>
                <w:sz w:val="16"/>
                <w:szCs w:val="16"/>
              </w:rPr>
              <w:t>0,04%</w:t>
            </w:r>
          </w:p>
        </w:tc>
        <w:tc>
          <w:tcPr>
            <w:tcW w:w="1003" w:type="dxa"/>
            <w:tcBorders>
              <w:top w:val="nil"/>
              <w:left w:val="nil"/>
              <w:bottom w:val="nil"/>
              <w:right w:val="nil"/>
            </w:tcBorders>
            <w:shd w:val="clear" w:color="auto" w:fill="auto"/>
            <w:noWrap/>
            <w:vAlign w:val="center"/>
          </w:tcPr>
          <w:p w14:paraId="64ED1A6A" w14:textId="672BDAD1" w:rsidR="00947AF3" w:rsidRPr="009B5B1E" w:rsidRDefault="00947AF3" w:rsidP="009310B7">
            <w:pPr>
              <w:spacing w:after="0" w:line="276" w:lineRule="auto"/>
              <w:jc w:val="right"/>
              <w:rPr>
                <w:rFonts w:cs="Arial"/>
                <w:sz w:val="16"/>
                <w:szCs w:val="16"/>
              </w:rPr>
            </w:pPr>
            <w:r w:rsidRPr="009B5B1E">
              <w:rPr>
                <w:rFonts w:cs="Arial"/>
                <w:sz w:val="16"/>
                <w:szCs w:val="16"/>
              </w:rPr>
              <w:t>15.121,2</w:t>
            </w:r>
          </w:p>
        </w:tc>
        <w:tc>
          <w:tcPr>
            <w:tcW w:w="910" w:type="dxa"/>
            <w:tcBorders>
              <w:top w:val="nil"/>
              <w:left w:val="nil"/>
              <w:bottom w:val="nil"/>
              <w:right w:val="nil"/>
            </w:tcBorders>
            <w:shd w:val="clear" w:color="auto" w:fill="auto"/>
            <w:noWrap/>
            <w:vAlign w:val="center"/>
          </w:tcPr>
          <w:p w14:paraId="771B4E43" w14:textId="26C8CB76" w:rsidR="00947AF3" w:rsidRPr="009B5B1E" w:rsidRDefault="00947AF3" w:rsidP="009310B7">
            <w:pPr>
              <w:spacing w:after="0" w:line="276" w:lineRule="auto"/>
              <w:jc w:val="right"/>
              <w:rPr>
                <w:rFonts w:cs="Arial"/>
                <w:sz w:val="16"/>
                <w:szCs w:val="16"/>
              </w:rPr>
            </w:pPr>
            <w:r w:rsidRPr="009B5B1E">
              <w:rPr>
                <w:rFonts w:cs="Arial"/>
                <w:sz w:val="16"/>
                <w:szCs w:val="16"/>
              </w:rPr>
              <w:t>8,62%</w:t>
            </w:r>
          </w:p>
        </w:tc>
        <w:tc>
          <w:tcPr>
            <w:tcW w:w="890" w:type="dxa"/>
            <w:tcBorders>
              <w:top w:val="nil"/>
              <w:left w:val="nil"/>
              <w:bottom w:val="nil"/>
              <w:right w:val="nil"/>
            </w:tcBorders>
            <w:shd w:val="clear" w:color="auto" w:fill="auto"/>
            <w:noWrap/>
            <w:vAlign w:val="center"/>
          </w:tcPr>
          <w:p w14:paraId="6D9666E9" w14:textId="23AB5675" w:rsidR="00947AF3" w:rsidRPr="009B5B1E" w:rsidRDefault="00947AF3" w:rsidP="009310B7">
            <w:pPr>
              <w:spacing w:after="0" w:line="276" w:lineRule="auto"/>
              <w:jc w:val="right"/>
              <w:rPr>
                <w:rFonts w:cs="Arial"/>
                <w:sz w:val="16"/>
                <w:szCs w:val="16"/>
              </w:rPr>
            </w:pPr>
            <w:r w:rsidRPr="009B5B1E">
              <w:rPr>
                <w:rFonts w:cs="Arial"/>
                <w:sz w:val="16"/>
                <w:szCs w:val="16"/>
              </w:rPr>
              <w:t>702,1</w:t>
            </w:r>
          </w:p>
        </w:tc>
        <w:tc>
          <w:tcPr>
            <w:tcW w:w="861" w:type="dxa"/>
            <w:tcBorders>
              <w:top w:val="nil"/>
              <w:left w:val="nil"/>
              <w:bottom w:val="nil"/>
              <w:right w:val="nil"/>
            </w:tcBorders>
            <w:shd w:val="clear" w:color="auto" w:fill="auto"/>
            <w:noWrap/>
            <w:vAlign w:val="center"/>
          </w:tcPr>
          <w:p w14:paraId="3DF6DB2D" w14:textId="7F2087EA" w:rsidR="00947AF3" w:rsidRPr="009B5B1E" w:rsidRDefault="00947AF3" w:rsidP="009310B7">
            <w:pPr>
              <w:spacing w:after="0" w:line="276" w:lineRule="auto"/>
              <w:jc w:val="right"/>
              <w:rPr>
                <w:rFonts w:cs="Arial"/>
                <w:sz w:val="16"/>
                <w:szCs w:val="16"/>
              </w:rPr>
            </w:pPr>
            <w:r w:rsidRPr="009B5B1E">
              <w:rPr>
                <w:rFonts w:cs="Arial"/>
                <w:sz w:val="16"/>
                <w:szCs w:val="16"/>
              </w:rPr>
              <w:t>0,40%</w:t>
            </w:r>
          </w:p>
        </w:tc>
        <w:tc>
          <w:tcPr>
            <w:tcW w:w="1374" w:type="dxa"/>
            <w:tcBorders>
              <w:top w:val="nil"/>
              <w:left w:val="nil"/>
              <w:bottom w:val="nil"/>
              <w:right w:val="nil"/>
            </w:tcBorders>
            <w:shd w:val="clear" w:color="auto" w:fill="auto"/>
            <w:noWrap/>
            <w:vAlign w:val="center"/>
          </w:tcPr>
          <w:p w14:paraId="424321CB" w14:textId="26CBC5A8" w:rsidR="00947AF3" w:rsidRPr="009B5B1E" w:rsidRDefault="00947AF3" w:rsidP="009310B7">
            <w:pPr>
              <w:spacing w:after="0" w:line="276" w:lineRule="auto"/>
              <w:jc w:val="right"/>
              <w:rPr>
                <w:rFonts w:cs="Arial"/>
                <w:sz w:val="16"/>
                <w:szCs w:val="16"/>
              </w:rPr>
            </w:pPr>
            <w:r w:rsidRPr="009B5B1E">
              <w:rPr>
                <w:rFonts w:cs="Arial"/>
                <w:sz w:val="16"/>
                <w:szCs w:val="16"/>
              </w:rPr>
              <w:t>72,0</w:t>
            </w:r>
          </w:p>
        </w:tc>
        <w:tc>
          <w:tcPr>
            <w:tcW w:w="777" w:type="dxa"/>
            <w:tcBorders>
              <w:top w:val="nil"/>
              <w:left w:val="nil"/>
              <w:bottom w:val="nil"/>
              <w:right w:val="nil"/>
            </w:tcBorders>
            <w:shd w:val="clear" w:color="auto" w:fill="auto"/>
            <w:noWrap/>
            <w:vAlign w:val="center"/>
          </w:tcPr>
          <w:p w14:paraId="2474376C" w14:textId="726A727B" w:rsidR="00947AF3" w:rsidRPr="009B5B1E" w:rsidRDefault="00947AF3" w:rsidP="009310B7">
            <w:pPr>
              <w:spacing w:after="0" w:line="276" w:lineRule="auto"/>
              <w:jc w:val="right"/>
              <w:rPr>
                <w:rFonts w:cs="Arial"/>
                <w:sz w:val="16"/>
                <w:szCs w:val="16"/>
              </w:rPr>
            </w:pPr>
            <w:r w:rsidRPr="009B5B1E">
              <w:rPr>
                <w:rFonts w:cs="Arial"/>
                <w:sz w:val="16"/>
                <w:szCs w:val="16"/>
              </w:rPr>
              <w:t>630,1</w:t>
            </w:r>
          </w:p>
        </w:tc>
        <w:tc>
          <w:tcPr>
            <w:tcW w:w="878" w:type="dxa"/>
            <w:tcBorders>
              <w:top w:val="nil"/>
              <w:left w:val="nil"/>
              <w:bottom w:val="nil"/>
              <w:right w:val="nil"/>
            </w:tcBorders>
            <w:shd w:val="clear" w:color="auto" w:fill="auto"/>
            <w:noWrap/>
            <w:vAlign w:val="center"/>
          </w:tcPr>
          <w:p w14:paraId="197EF970" w14:textId="78B6CF38" w:rsidR="00947AF3" w:rsidRPr="009B5B1E" w:rsidRDefault="00947AF3" w:rsidP="009310B7">
            <w:pPr>
              <w:spacing w:after="0" w:line="276" w:lineRule="auto"/>
              <w:jc w:val="right"/>
              <w:rPr>
                <w:rFonts w:cs="Arial"/>
                <w:sz w:val="16"/>
                <w:szCs w:val="16"/>
              </w:rPr>
            </w:pPr>
            <w:r w:rsidRPr="009B5B1E">
              <w:rPr>
                <w:rFonts w:cs="Arial"/>
                <w:sz w:val="16"/>
                <w:szCs w:val="16"/>
              </w:rPr>
              <w:t>0,36%</w:t>
            </w:r>
          </w:p>
        </w:tc>
        <w:tc>
          <w:tcPr>
            <w:tcW w:w="965" w:type="dxa"/>
            <w:tcBorders>
              <w:top w:val="nil"/>
              <w:left w:val="nil"/>
              <w:bottom w:val="nil"/>
            </w:tcBorders>
            <w:shd w:val="clear" w:color="auto" w:fill="auto"/>
            <w:noWrap/>
            <w:vAlign w:val="center"/>
          </w:tcPr>
          <w:p w14:paraId="3733F0F0" w14:textId="18387EF9" w:rsidR="00947AF3" w:rsidRPr="009B5B1E" w:rsidRDefault="00947AF3" w:rsidP="009310B7">
            <w:pPr>
              <w:spacing w:after="0" w:line="276" w:lineRule="auto"/>
              <w:jc w:val="right"/>
              <w:rPr>
                <w:rFonts w:cs="Arial"/>
                <w:sz w:val="16"/>
                <w:szCs w:val="16"/>
              </w:rPr>
            </w:pPr>
            <w:r w:rsidRPr="009B5B1E">
              <w:rPr>
                <w:rFonts w:cs="Arial"/>
                <w:sz w:val="16"/>
                <w:szCs w:val="16"/>
              </w:rPr>
              <w:t>175.363</w:t>
            </w:r>
          </w:p>
        </w:tc>
      </w:tr>
      <w:tr w:rsidR="00947AF3" w:rsidRPr="00E47A31" w14:paraId="09AE1BFF" w14:textId="77777777" w:rsidTr="009310B7">
        <w:trPr>
          <w:cantSplit/>
          <w:trHeight w:val="283"/>
          <w:jc w:val="center"/>
        </w:trPr>
        <w:tc>
          <w:tcPr>
            <w:tcW w:w="665" w:type="dxa"/>
            <w:tcBorders>
              <w:top w:val="nil"/>
              <w:bottom w:val="nil"/>
              <w:right w:val="nil"/>
            </w:tcBorders>
            <w:shd w:val="clear" w:color="auto" w:fill="auto"/>
            <w:noWrap/>
            <w:vAlign w:val="center"/>
          </w:tcPr>
          <w:p w14:paraId="7C2BAB2D"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2016</w:t>
            </w:r>
          </w:p>
        </w:tc>
        <w:tc>
          <w:tcPr>
            <w:tcW w:w="890" w:type="dxa"/>
            <w:tcBorders>
              <w:top w:val="nil"/>
              <w:left w:val="nil"/>
              <w:bottom w:val="nil"/>
              <w:right w:val="nil"/>
            </w:tcBorders>
            <w:shd w:val="clear" w:color="auto" w:fill="auto"/>
            <w:noWrap/>
            <w:vAlign w:val="center"/>
          </w:tcPr>
          <w:p w14:paraId="3252D0D0" w14:textId="463D1A40" w:rsidR="00947AF3" w:rsidRPr="009B5B1E" w:rsidRDefault="00947AF3" w:rsidP="009310B7">
            <w:pPr>
              <w:spacing w:after="0" w:line="276" w:lineRule="auto"/>
              <w:jc w:val="right"/>
              <w:rPr>
                <w:rFonts w:cs="Arial"/>
                <w:sz w:val="16"/>
                <w:szCs w:val="16"/>
              </w:rPr>
            </w:pPr>
            <w:r w:rsidRPr="009B5B1E">
              <w:rPr>
                <w:rFonts w:cs="Arial"/>
                <w:sz w:val="16"/>
                <w:szCs w:val="16"/>
              </w:rPr>
              <w:t>162,9</w:t>
            </w:r>
          </w:p>
        </w:tc>
        <w:tc>
          <w:tcPr>
            <w:tcW w:w="915" w:type="dxa"/>
            <w:tcBorders>
              <w:top w:val="nil"/>
              <w:left w:val="nil"/>
              <w:bottom w:val="nil"/>
              <w:right w:val="nil"/>
            </w:tcBorders>
            <w:shd w:val="clear" w:color="auto" w:fill="auto"/>
            <w:noWrap/>
            <w:vAlign w:val="center"/>
          </w:tcPr>
          <w:p w14:paraId="2E2191F5" w14:textId="439069D9" w:rsidR="00947AF3" w:rsidRPr="009B5B1E" w:rsidRDefault="00947AF3" w:rsidP="009310B7">
            <w:pPr>
              <w:spacing w:after="0" w:line="276" w:lineRule="auto"/>
              <w:jc w:val="right"/>
              <w:rPr>
                <w:rFonts w:cs="Arial"/>
                <w:sz w:val="16"/>
                <w:szCs w:val="16"/>
              </w:rPr>
            </w:pPr>
            <w:r w:rsidRPr="009B5B1E">
              <w:rPr>
                <w:rFonts w:cs="Arial"/>
                <w:sz w:val="16"/>
                <w:szCs w:val="16"/>
              </w:rPr>
              <w:t>0,09%</w:t>
            </w:r>
          </w:p>
        </w:tc>
        <w:tc>
          <w:tcPr>
            <w:tcW w:w="1003" w:type="dxa"/>
            <w:tcBorders>
              <w:top w:val="nil"/>
              <w:left w:val="nil"/>
              <w:bottom w:val="nil"/>
              <w:right w:val="nil"/>
            </w:tcBorders>
            <w:shd w:val="clear" w:color="auto" w:fill="auto"/>
            <w:noWrap/>
            <w:vAlign w:val="center"/>
          </w:tcPr>
          <w:p w14:paraId="58E9280A" w14:textId="1876633D" w:rsidR="00947AF3" w:rsidRPr="009B5B1E" w:rsidRDefault="00947AF3" w:rsidP="009310B7">
            <w:pPr>
              <w:spacing w:after="0" w:line="276" w:lineRule="auto"/>
              <w:jc w:val="right"/>
              <w:rPr>
                <w:rFonts w:cs="Arial"/>
                <w:sz w:val="16"/>
                <w:szCs w:val="16"/>
              </w:rPr>
            </w:pPr>
            <w:r w:rsidRPr="009B5B1E">
              <w:rPr>
                <w:rFonts w:cs="Arial"/>
                <w:sz w:val="16"/>
                <w:szCs w:val="16"/>
              </w:rPr>
              <w:t>13.122,9</w:t>
            </w:r>
          </w:p>
        </w:tc>
        <w:tc>
          <w:tcPr>
            <w:tcW w:w="910" w:type="dxa"/>
            <w:tcBorders>
              <w:top w:val="nil"/>
              <w:left w:val="nil"/>
              <w:bottom w:val="nil"/>
              <w:right w:val="nil"/>
            </w:tcBorders>
            <w:shd w:val="clear" w:color="auto" w:fill="auto"/>
            <w:noWrap/>
            <w:vAlign w:val="center"/>
          </w:tcPr>
          <w:p w14:paraId="03B1DEC7" w14:textId="00324829" w:rsidR="00947AF3" w:rsidRPr="009B5B1E" w:rsidRDefault="00947AF3" w:rsidP="009310B7">
            <w:pPr>
              <w:spacing w:after="0" w:line="276" w:lineRule="auto"/>
              <w:jc w:val="right"/>
              <w:rPr>
                <w:rFonts w:cs="Arial"/>
                <w:sz w:val="16"/>
                <w:szCs w:val="16"/>
              </w:rPr>
            </w:pPr>
            <w:r w:rsidRPr="009B5B1E">
              <w:rPr>
                <w:rFonts w:cs="Arial"/>
                <w:sz w:val="16"/>
                <w:szCs w:val="16"/>
              </w:rPr>
              <w:t>7,52%</w:t>
            </w:r>
          </w:p>
        </w:tc>
        <w:tc>
          <w:tcPr>
            <w:tcW w:w="890" w:type="dxa"/>
            <w:tcBorders>
              <w:top w:val="nil"/>
              <w:left w:val="nil"/>
              <w:bottom w:val="nil"/>
              <w:right w:val="nil"/>
            </w:tcBorders>
            <w:shd w:val="clear" w:color="auto" w:fill="auto"/>
            <w:noWrap/>
            <w:vAlign w:val="center"/>
          </w:tcPr>
          <w:p w14:paraId="59BC3549" w14:textId="1E0B0BCE" w:rsidR="00947AF3" w:rsidRPr="009B5B1E" w:rsidRDefault="00947AF3" w:rsidP="009310B7">
            <w:pPr>
              <w:spacing w:after="0" w:line="276" w:lineRule="auto"/>
              <w:jc w:val="right"/>
              <w:rPr>
                <w:rFonts w:cs="Arial"/>
                <w:sz w:val="16"/>
                <w:szCs w:val="16"/>
              </w:rPr>
            </w:pPr>
            <w:r w:rsidRPr="009B5B1E">
              <w:rPr>
                <w:rFonts w:cs="Arial"/>
                <w:sz w:val="16"/>
                <w:szCs w:val="16"/>
              </w:rPr>
              <w:t>412,3</w:t>
            </w:r>
          </w:p>
        </w:tc>
        <w:tc>
          <w:tcPr>
            <w:tcW w:w="861" w:type="dxa"/>
            <w:tcBorders>
              <w:top w:val="nil"/>
              <w:left w:val="nil"/>
              <w:bottom w:val="nil"/>
              <w:right w:val="nil"/>
            </w:tcBorders>
            <w:shd w:val="clear" w:color="auto" w:fill="auto"/>
            <w:noWrap/>
            <w:vAlign w:val="center"/>
          </w:tcPr>
          <w:p w14:paraId="245505D1" w14:textId="28D0919D" w:rsidR="00947AF3" w:rsidRPr="009B5B1E" w:rsidRDefault="00947AF3" w:rsidP="009310B7">
            <w:pPr>
              <w:spacing w:after="0" w:line="276" w:lineRule="auto"/>
              <w:jc w:val="right"/>
              <w:rPr>
                <w:rFonts w:cs="Arial"/>
                <w:sz w:val="16"/>
                <w:szCs w:val="16"/>
              </w:rPr>
            </w:pPr>
            <w:r w:rsidRPr="009B5B1E">
              <w:rPr>
                <w:rFonts w:cs="Arial"/>
                <w:sz w:val="16"/>
                <w:szCs w:val="16"/>
              </w:rPr>
              <w:t>0,24%</w:t>
            </w:r>
          </w:p>
        </w:tc>
        <w:tc>
          <w:tcPr>
            <w:tcW w:w="1374" w:type="dxa"/>
            <w:tcBorders>
              <w:top w:val="nil"/>
              <w:left w:val="nil"/>
              <w:bottom w:val="nil"/>
              <w:right w:val="nil"/>
            </w:tcBorders>
            <w:shd w:val="clear" w:color="auto" w:fill="auto"/>
            <w:noWrap/>
            <w:vAlign w:val="center"/>
          </w:tcPr>
          <w:p w14:paraId="6CCCE3A9" w14:textId="4A6BD206" w:rsidR="00947AF3" w:rsidRPr="009B5B1E" w:rsidRDefault="00947AF3" w:rsidP="009310B7">
            <w:pPr>
              <w:spacing w:after="0" w:line="276" w:lineRule="auto"/>
              <w:jc w:val="right"/>
              <w:rPr>
                <w:rFonts w:cs="Arial"/>
                <w:sz w:val="16"/>
                <w:szCs w:val="16"/>
              </w:rPr>
            </w:pPr>
            <w:r w:rsidRPr="009B5B1E">
              <w:rPr>
                <w:rFonts w:cs="Arial"/>
                <w:sz w:val="16"/>
                <w:szCs w:val="16"/>
              </w:rPr>
              <w:t>108,4</w:t>
            </w:r>
          </w:p>
        </w:tc>
        <w:tc>
          <w:tcPr>
            <w:tcW w:w="777" w:type="dxa"/>
            <w:tcBorders>
              <w:top w:val="nil"/>
              <w:left w:val="nil"/>
              <w:bottom w:val="nil"/>
              <w:right w:val="nil"/>
            </w:tcBorders>
            <w:shd w:val="clear" w:color="auto" w:fill="auto"/>
            <w:noWrap/>
            <w:vAlign w:val="center"/>
          </w:tcPr>
          <w:p w14:paraId="0B46C834" w14:textId="25651988" w:rsidR="00947AF3" w:rsidRPr="009B5B1E" w:rsidRDefault="00947AF3" w:rsidP="009310B7">
            <w:pPr>
              <w:spacing w:after="0" w:line="276" w:lineRule="auto"/>
              <w:jc w:val="right"/>
              <w:rPr>
                <w:rFonts w:cs="Arial"/>
                <w:sz w:val="16"/>
                <w:szCs w:val="16"/>
              </w:rPr>
            </w:pPr>
            <w:r w:rsidRPr="009B5B1E">
              <w:rPr>
                <w:rFonts w:cs="Arial"/>
                <w:sz w:val="16"/>
                <w:szCs w:val="16"/>
              </w:rPr>
              <w:t>303,9</w:t>
            </w:r>
          </w:p>
        </w:tc>
        <w:tc>
          <w:tcPr>
            <w:tcW w:w="878" w:type="dxa"/>
            <w:tcBorders>
              <w:top w:val="nil"/>
              <w:left w:val="nil"/>
              <w:bottom w:val="nil"/>
              <w:right w:val="nil"/>
            </w:tcBorders>
            <w:shd w:val="clear" w:color="auto" w:fill="auto"/>
            <w:noWrap/>
            <w:vAlign w:val="center"/>
          </w:tcPr>
          <w:p w14:paraId="357B2578" w14:textId="329138B8" w:rsidR="00947AF3" w:rsidRPr="009B5B1E" w:rsidRDefault="00947AF3" w:rsidP="009310B7">
            <w:pPr>
              <w:spacing w:after="0" w:line="276" w:lineRule="auto"/>
              <w:jc w:val="right"/>
              <w:rPr>
                <w:rFonts w:cs="Arial"/>
                <w:sz w:val="16"/>
                <w:szCs w:val="16"/>
              </w:rPr>
            </w:pPr>
            <w:r w:rsidRPr="009B5B1E">
              <w:rPr>
                <w:rFonts w:cs="Arial"/>
                <w:sz w:val="16"/>
                <w:szCs w:val="16"/>
              </w:rPr>
              <w:t>0,17%</w:t>
            </w:r>
          </w:p>
        </w:tc>
        <w:tc>
          <w:tcPr>
            <w:tcW w:w="965" w:type="dxa"/>
            <w:tcBorders>
              <w:top w:val="nil"/>
              <w:left w:val="nil"/>
              <w:bottom w:val="nil"/>
            </w:tcBorders>
            <w:shd w:val="clear" w:color="auto" w:fill="auto"/>
            <w:noWrap/>
            <w:vAlign w:val="center"/>
          </w:tcPr>
          <w:p w14:paraId="5059375F" w14:textId="0839BB2C" w:rsidR="00947AF3" w:rsidRPr="009B5B1E" w:rsidRDefault="00947AF3" w:rsidP="009310B7">
            <w:pPr>
              <w:spacing w:after="0" w:line="276" w:lineRule="auto"/>
              <w:jc w:val="right"/>
              <w:rPr>
                <w:rFonts w:cs="Arial"/>
                <w:sz w:val="16"/>
                <w:szCs w:val="16"/>
              </w:rPr>
            </w:pPr>
            <w:r w:rsidRPr="009B5B1E">
              <w:rPr>
                <w:rFonts w:cs="Arial"/>
                <w:sz w:val="16"/>
                <w:szCs w:val="16"/>
              </w:rPr>
              <w:t>174.448</w:t>
            </w:r>
          </w:p>
        </w:tc>
      </w:tr>
      <w:tr w:rsidR="00947AF3" w:rsidRPr="00E47A31" w14:paraId="0B75ACCF" w14:textId="77777777" w:rsidTr="009310B7">
        <w:trPr>
          <w:cantSplit/>
          <w:trHeight w:val="283"/>
          <w:jc w:val="center"/>
        </w:trPr>
        <w:tc>
          <w:tcPr>
            <w:tcW w:w="665" w:type="dxa"/>
            <w:tcBorders>
              <w:top w:val="nil"/>
              <w:bottom w:val="nil"/>
              <w:right w:val="nil"/>
            </w:tcBorders>
            <w:shd w:val="clear" w:color="auto" w:fill="auto"/>
            <w:noWrap/>
            <w:vAlign w:val="center"/>
          </w:tcPr>
          <w:p w14:paraId="7774A900"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2017</w:t>
            </w:r>
          </w:p>
        </w:tc>
        <w:tc>
          <w:tcPr>
            <w:tcW w:w="890" w:type="dxa"/>
            <w:tcBorders>
              <w:top w:val="nil"/>
              <w:left w:val="nil"/>
              <w:bottom w:val="nil"/>
              <w:right w:val="nil"/>
            </w:tcBorders>
            <w:shd w:val="clear" w:color="auto" w:fill="auto"/>
            <w:noWrap/>
            <w:vAlign w:val="center"/>
          </w:tcPr>
          <w:p w14:paraId="51845B03" w14:textId="3124F380" w:rsidR="00947AF3" w:rsidRPr="009B5B1E" w:rsidRDefault="00947AF3" w:rsidP="009310B7">
            <w:pPr>
              <w:spacing w:after="0" w:line="276" w:lineRule="auto"/>
              <w:jc w:val="right"/>
              <w:rPr>
                <w:rFonts w:cs="Arial"/>
                <w:sz w:val="16"/>
                <w:szCs w:val="16"/>
              </w:rPr>
            </w:pPr>
            <w:r w:rsidRPr="009B5B1E">
              <w:rPr>
                <w:rFonts w:cs="Arial"/>
                <w:sz w:val="16"/>
                <w:szCs w:val="16"/>
              </w:rPr>
              <w:t>266,6</w:t>
            </w:r>
          </w:p>
        </w:tc>
        <w:tc>
          <w:tcPr>
            <w:tcW w:w="915" w:type="dxa"/>
            <w:tcBorders>
              <w:top w:val="nil"/>
              <w:left w:val="nil"/>
              <w:bottom w:val="nil"/>
              <w:right w:val="nil"/>
            </w:tcBorders>
            <w:shd w:val="clear" w:color="auto" w:fill="auto"/>
            <w:noWrap/>
            <w:vAlign w:val="center"/>
          </w:tcPr>
          <w:p w14:paraId="5DA45F39" w14:textId="16398865" w:rsidR="00947AF3" w:rsidRPr="009B5B1E" w:rsidRDefault="00947AF3" w:rsidP="009310B7">
            <w:pPr>
              <w:spacing w:after="0" w:line="276" w:lineRule="auto"/>
              <w:jc w:val="right"/>
              <w:rPr>
                <w:rFonts w:cs="Arial"/>
                <w:sz w:val="16"/>
                <w:szCs w:val="16"/>
              </w:rPr>
            </w:pPr>
            <w:r w:rsidRPr="009B5B1E">
              <w:rPr>
                <w:rFonts w:cs="Arial"/>
                <w:sz w:val="16"/>
                <w:szCs w:val="16"/>
              </w:rPr>
              <w:t>0,15%</w:t>
            </w:r>
          </w:p>
        </w:tc>
        <w:tc>
          <w:tcPr>
            <w:tcW w:w="1003" w:type="dxa"/>
            <w:tcBorders>
              <w:top w:val="nil"/>
              <w:left w:val="nil"/>
              <w:bottom w:val="nil"/>
              <w:right w:val="nil"/>
            </w:tcBorders>
            <w:shd w:val="clear" w:color="auto" w:fill="auto"/>
            <w:noWrap/>
            <w:vAlign w:val="center"/>
          </w:tcPr>
          <w:p w14:paraId="05E60572" w14:textId="10C9D070" w:rsidR="00947AF3" w:rsidRPr="009B5B1E" w:rsidRDefault="00947AF3" w:rsidP="009310B7">
            <w:pPr>
              <w:spacing w:after="0" w:line="276" w:lineRule="auto"/>
              <w:jc w:val="right"/>
              <w:rPr>
                <w:rFonts w:cs="Arial"/>
                <w:sz w:val="16"/>
                <w:szCs w:val="16"/>
              </w:rPr>
            </w:pPr>
            <w:r w:rsidRPr="009B5B1E">
              <w:rPr>
                <w:rFonts w:cs="Arial"/>
                <w:sz w:val="16"/>
                <w:szCs w:val="16"/>
              </w:rPr>
              <w:t>11.546,4</w:t>
            </w:r>
          </w:p>
        </w:tc>
        <w:tc>
          <w:tcPr>
            <w:tcW w:w="910" w:type="dxa"/>
            <w:tcBorders>
              <w:top w:val="nil"/>
              <w:left w:val="nil"/>
              <w:bottom w:val="nil"/>
              <w:right w:val="nil"/>
            </w:tcBorders>
            <w:shd w:val="clear" w:color="auto" w:fill="auto"/>
            <w:noWrap/>
            <w:vAlign w:val="center"/>
          </w:tcPr>
          <w:p w14:paraId="646BA3EE" w14:textId="2406FBA7" w:rsidR="00947AF3" w:rsidRPr="009B5B1E" w:rsidRDefault="00947AF3" w:rsidP="009310B7">
            <w:pPr>
              <w:spacing w:after="0" w:line="276" w:lineRule="auto"/>
              <w:jc w:val="right"/>
              <w:rPr>
                <w:rFonts w:cs="Arial"/>
                <w:sz w:val="16"/>
                <w:szCs w:val="16"/>
              </w:rPr>
            </w:pPr>
            <w:r w:rsidRPr="009B5B1E">
              <w:rPr>
                <w:rFonts w:cs="Arial"/>
                <w:sz w:val="16"/>
                <w:szCs w:val="16"/>
              </w:rPr>
              <w:t>6,51%</w:t>
            </w:r>
          </w:p>
        </w:tc>
        <w:tc>
          <w:tcPr>
            <w:tcW w:w="890" w:type="dxa"/>
            <w:tcBorders>
              <w:top w:val="nil"/>
              <w:left w:val="nil"/>
              <w:bottom w:val="nil"/>
              <w:right w:val="nil"/>
            </w:tcBorders>
            <w:shd w:val="clear" w:color="auto" w:fill="auto"/>
            <w:noWrap/>
            <w:vAlign w:val="center"/>
          </w:tcPr>
          <w:p w14:paraId="107CC02C" w14:textId="646EFB37" w:rsidR="00947AF3" w:rsidRPr="009B5B1E" w:rsidRDefault="00947AF3" w:rsidP="009310B7">
            <w:pPr>
              <w:spacing w:after="0" w:line="276" w:lineRule="auto"/>
              <w:jc w:val="right"/>
              <w:rPr>
                <w:rFonts w:cs="Arial"/>
                <w:sz w:val="16"/>
                <w:szCs w:val="16"/>
              </w:rPr>
            </w:pPr>
            <w:r w:rsidRPr="009B5B1E">
              <w:rPr>
                <w:rFonts w:cs="Arial"/>
                <w:sz w:val="16"/>
                <w:szCs w:val="16"/>
              </w:rPr>
              <w:t>676,7</w:t>
            </w:r>
          </w:p>
        </w:tc>
        <w:tc>
          <w:tcPr>
            <w:tcW w:w="861" w:type="dxa"/>
            <w:tcBorders>
              <w:top w:val="nil"/>
              <w:left w:val="nil"/>
              <w:bottom w:val="nil"/>
              <w:right w:val="nil"/>
            </w:tcBorders>
            <w:shd w:val="clear" w:color="auto" w:fill="auto"/>
            <w:noWrap/>
            <w:vAlign w:val="center"/>
          </w:tcPr>
          <w:p w14:paraId="1CE5223E" w14:textId="10A85C41" w:rsidR="00947AF3" w:rsidRPr="009B5B1E" w:rsidRDefault="00947AF3" w:rsidP="009310B7">
            <w:pPr>
              <w:spacing w:after="0" w:line="276" w:lineRule="auto"/>
              <w:jc w:val="right"/>
              <w:rPr>
                <w:rFonts w:cs="Arial"/>
                <w:sz w:val="16"/>
                <w:szCs w:val="16"/>
              </w:rPr>
            </w:pPr>
            <w:r w:rsidRPr="009B5B1E">
              <w:rPr>
                <w:rFonts w:cs="Arial"/>
                <w:sz w:val="16"/>
                <w:szCs w:val="16"/>
              </w:rPr>
              <w:t>0,38%</w:t>
            </w:r>
          </w:p>
        </w:tc>
        <w:tc>
          <w:tcPr>
            <w:tcW w:w="1374" w:type="dxa"/>
            <w:tcBorders>
              <w:top w:val="nil"/>
              <w:left w:val="nil"/>
              <w:bottom w:val="nil"/>
              <w:right w:val="nil"/>
            </w:tcBorders>
            <w:shd w:val="clear" w:color="auto" w:fill="auto"/>
            <w:noWrap/>
            <w:vAlign w:val="center"/>
          </w:tcPr>
          <w:p w14:paraId="1D5F583A" w14:textId="29CE2FAC" w:rsidR="00947AF3" w:rsidRPr="009B5B1E" w:rsidRDefault="00947AF3" w:rsidP="009310B7">
            <w:pPr>
              <w:spacing w:after="0" w:line="276" w:lineRule="auto"/>
              <w:jc w:val="right"/>
              <w:rPr>
                <w:rFonts w:cs="Arial"/>
                <w:sz w:val="16"/>
                <w:szCs w:val="16"/>
              </w:rPr>
            </w:pPr>
            <w:r w:rsidRPr="009B5B1E">
              <w:rPr>
                <w:rFonts w:cs="Arial"/>
                <w:sz w:val="16"/>
                <w:szCs w:val="16"/>
              </w:rPr>
              <w:t>57,4</w:t>
            </w:r>
          </w:p>
        </w:tc>
        <w:tc>
          <w:tcPr>
            <w:tcW w:w="777" w:type="dxa"/>
            <w:tcBorders>
              <w:top w:val="nil"/>
              <w:left w:val="nil"/>
              <w:bottom w:val="nil"/>
              <w:right w:val="nil"/>
            </w:tcBorders>
            <w:shd w:val="clear" w:color="auto" w:fill="auto"/>
            <w:noWrap/>
            <w:vAlign w:val="center"/>
          </w:tcPr>
          <w:p w14:paraId="6DC86948" w14:textId="6607A529" w:rsidR="00947AF3" w:rsidRPr="009B5B1E" w:rsidRDefault="00947AF3" w:rsidP="009310B7">
            <w:pPr>
              <w:spacing w:after="0" w:line="276" w:lineRule="auto"/>
              <w:jc w:val="right"/>
              <w:rPr>
                <w:rFonts w:cs="Arial"/>
                <w:sz w:val="16"/>
                <w:szCs w:val="16"/>
              </w:rPr>
            </w:pPr>
            <w:r w:rsidRPr="009B5B1E">
              <w:rPr>
                <w:rFonts w:cs="Arial"/>
                <w:sz w:val="16"/>
                <w:szCs w:val="16"/>
              </w:rPr>
              <w:t>619,3</w:t>
            </w:r>
          </w:p>
        </w:tc>
        <w:tc>
          <w:tcPr>
            <w:tcW w:w="878" w:type="dxa"/>
            <w:tcBorders>
              <w:top w:val="nil"/>
              <w:left w:val="nil"/>
              <w:bottom w:val="nil"/>
              <w:right w:val="nil"/>
            </w:tcBorders>
            <w:shd w:val="clear" w:color="auto" w:fill="auto"/>
            <w:noWrap/>
            <w:vAlign w:val="center"/>
          </w:tcPr>
          <w:p w14:paraId="3C7BE28C" w14:textId="4E580144" w:rsidR="00947AF3" w:rsidRPr="009B5B1E" w:rsidRDefault="00947AF3" w:rsidP="009310B7">
            <w:pPr>
              <w:spacing w:after="0" w:line="276" w:lineRule="auto"/>
              <w:jc w:val="right"/>
              <w:rPr>
                <w:rFonts w:cs="Arial"/>
                <w:sz w:val="16"/>
                <w:szCs w:val="16"/>
              </w:rPr>
            </w:pPr>
            <w:r w:rsidRPr="009B5B1E">
              <w:rPr>
                <w:rFonts w:cs="Arial"/>
                <w:sz w:val="16"/>
                <w:szCs w:val="16"/>
              </w:rPr>
              <w:t>0,35%</w:t>
            </w:r>
          </w:p>
        </w:tc>
        <w:tc>
          <w:tcPr>
            <w:tcW w:w="965" w:type="dxa"/>
            <w:tcBorders>
              <w:top w:val="nil"/>
              <w:left w:val="nil"/>
              <w:bottom w:val="nil"/>
            </w:tcBorders>
            <w:shd w:val="clear" w:color="auto" w:fill="auto"/>
            <w:noWrap/>
            <w:vAlign w:val="center"/>
          </w:tcPr>
          <w:p w14:paraId="77AEE435" w14:textId="213572B5" w:rsidR="00947AF3" w:rsidRPr="009B5B1E" w:rsidRDefault="00947AF3" w:rsidP="009310B7">
            <w:pPr>
              <w:spacing w:after="0" w:line="276" w:lineRule="auto"/>
              <w:jc w:val="right"/>
              <w:rPr>
                <w:rFonts w:cs="Arial"/>
                <w:sz w:val="16"/>
                <w:szCs w:val="16"/>
              </w:rPr>
            </w:pPr>
            <w:r w:rsidRPr="009B5B1E">
              <w:rPr>
                <w:rFonts w:cs="Arial"/>
                <w:sz w:val="16"/>
                <w:szCs w:val="16"/>
              </w:rPr>
              <w:t>177.378</w:t>
            </w:r>
          </w:p>
        </w:tc>
      </w:tr>
      <w:tr w:rsidR="00947AF3" w:rsidRPr="00E47A31" w14:paraId="71E84C2B" w14:textId="77777777" w:rsidTr="009310B7">
        <w:trPr>
          <w:cantSplit/>
          <w:trHeight w:val="283"/>
          <w:jc w:val="center"/>
        </w:trPr>
        <w:tc>
          <w:tcPr>
            <w:tcW w:w="665" w:type="dxa"/>
            <w:tcBorders>
              <w:top w:val="nil"/>
              <w:bottom w:val="nil"/>
              <w:right w:val="nil"/>
            </w:tcBorders>
            <w:shd w:val="clear" w:color="auto" w:fill="auto"/>
            <w:noWrap/>
            <w:vAlign w:val="center"/>
          </w:tcPr>
          <w:p w14:paraId="3C7335E0"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2018</w:t>
            </w:r>
          </w:p>
        </w:tc>
        <w:tc>
          <w:tcPr>
            <w:tcW w:w="890" w:type="dxa"/>
            <w:tcBorders>
              <w:top w:val="nil"/>
              <w:left w:val="nil"/>
              <w:bottom w:val="nil"/>
              <w:right w:val="nil"/>
            </w:tcBorders>
            <w:shd w:val="clear" w:color="auto" w:fill="auto"/>
            <w:noWrap/>
            <w:vAlign w:val="center"/>
          </w:tcPr>
          <w:p w14:paraId="2AE6A074" w14:textId="719E3EB4" w:rsidR="00947AF3" w:rsidRPr="009B5B1E" w:rsidRDefault="00947AF3" w:rsidP="009310B7">
            <w:pPr>
              <w:spacing w:after="0" w:line="276" w:lineRule="auto"/>
              <w:jc w:val="right"/>
              <w:rPr>
                <w:rFonts w:cs="Arial"/>
                <w:sz w:val="16"/>
                <w:szCs w:val="16"/>
              </w:rPr>
            </w:pPr>
            <w:r w:rsidRPr="009B5B1E">
              <w:rPr>
                <w:rFonts w:cs="Arial"/>
                <w:sz w:val="16"/>
                <w:szCs w:val="16"/>
              </w:rPr>
              <w:t>184,9</w:t>
            </w:r>
          </w:p>
        </w:tc>
        <w:tc>
          <w:tcPr>
            <w:tcW w:w="915" w:type="dxa"/>
            <w:tcBorders>
              <w:top w:val="nil"/>
              <w:left w:val="nil"/>
              <w:bottom w:val="nil"/>
              <w:right w:val="nil"/>
            </w:tcBorders>
            <w:shd w:val="clear" w:color="auto" w:fill="auto"/>
            <w:noWrap/>
            <w:vAlign w:val="center"/>
          </w:tcPr>
          <w:p w14:paraId="6CA63FF4" w14:textId="38324702" w:rsidR="00947AF3" w:rsidRPr="009B5B1E" w:rsidRDefault="00947AF3" w:rsidP="009310B7">
            <w:pPr>
              <w:spacing w:after="0" w:line="276" w:lineRule="auto"/>
              <w:jc w:val="right"/>
              <w:rPr>
                <w:rFonts w:cs="Arial"/>
                <w:sz w:val="16"/>
                <w:szCs w:val="16"/>
              </w:rPr>
            </w:pPr>
            <w:r w:rsidRPr="009B5B1E">
              <w:rPr>
                <w:rFonts w:cs="Arial"/>
                <w:sz w:val="16"/>
                <w:szCs w:val="16"/>
              </w:rPr>
              <w:t>0,10%</w:t>
            </w:r>
          </w:p>
        </w:tc>
        <w:tc>
          <w:tcPr>
            <w:tcW w:w="1003" w:type="dxa"/>
            <w:tcBorders>
              <w:top w:val="nil"/>
              <w:left w:val="nil"/>
              <w:bottom w:val="nil"/>
              <w:right w:val="nil"/>
            </w:tcBorders>
            <w:shd w:val="clear" w:color="auto" w:fill="auto"/>
            <w:noWrap/>
            <w:vAlign w:val="center"/>
          </w:tcPr>
          <w:p w14:paraId="40F06E39" w14:textId="294E11C9" w:rsidR="00947AF3" w:rsidRPr="009B5B1E" w:rsidRDefault="00947AF3" w:rsidP="009310B7">
            <w:pPr>
              <w:spacing w:after="0" w:line="276" w:lineRule="auto"/>
              <w:jc w:val="right"/>
              <w:rPr>
                <w:rFonts w:cs="Arial"/>
                <w:sz w:val="16"/>
                <w:szCs w:val="16"/>
              </w:rPr>
            </w:pPr>
            <w:r w:rsidRPr="009B5B1E">
              <w:rPr>
                <w:rFonts w:cs="Arial"/>
                <w:sz w:val="16"/>
                <w:szCs w:val="16"/>
              </w:rPr>
              <w:t>10.326,7</w:t>
            </w:r>
          </w:p>
        </w:tc>
        <w:tc>
          <w:tcPr>
            <w:tcW w:w="910" w:type="dxa"/>
            <w:tcBorders>
              <w:top w:val="nil"/>
              <w:left w:val="nil"/>
              <w:bottom w:val="nil"/>
              <w:right w:val="nil"/>
            </w:tcBorders>
            <w:shd w:val="clear" w:color="auto" w:fill="auto"/>
            <w:noWrap/>
            <w:vAlign w:val="center"/>
          </w:tcPr>
          <w:p w14:paraId="62C160D7" w14:textId="3AF0F655" w:rsidR="00947AF3" w:rsidRPr="009B5B1E" w:rsidRDefault="00947AF3" w:rsidP="009310B7">
            <w:pPr>
              <w:spacing w:after="0" w:line="276" w:lineRule="auto"/>
              <w:jc w:val="right"/>
              <w:rPr>
                <w:rFonts w:cs="Arial"/>
                <w:sz w:val="16"/>
                <w:szCs w:val="16"/>
              </w:rPr>
            </w:pPr>
            <w:r w:rsidRPr="009B5B1E">
              <w:rPr>
                <w:rFonts w:cs="Arial"/>
                <w:sz w:val="16"/>
                <w:szCs w:val="16"/>
              </w:rPr>
              <w:t>5,72%</w:t>
            </w:r>
          </w:p>
        </w:tc>
        <w:tc>
          <w:tcPr>
            <w:tcW w:w="890" w:type="dxa"/>
            <w:tcBorders>
              <w:top w:val="nil"/>
              <w:left w:val="nil"/>
              <w:bottom w:val="nil"/>
              <w:right w:val="nil"/>
            </w:tcBorders>
            <w:shd w:val="clear" w:color="auto" w:fill="auto"/>
            <w:noWrap/>
            <w:vAlign w:val="center"/>
          </w:tcPr>
          <w:p w14:paraId="2FACF3AB" w14:textId="25E7D2FA" w:rsidR="00947AF3" w:rsidRPr="009B5B1E" w:rsidRDefault="00947AF3" w:rsidP="009310B7">
            <w:pPr>
              <w:spacing w:after="0" w:line="276" w:lineRule="auto"/>
              <w:jc w:val="right"/>
              <w:rPr>
                <w:rFonts w:cs="Arial"/>
                <w:sz w:val="16"/>
                <w:szCs w:val="16"/>
              </w:rPr>
            </w:pPr>
            <w:r w:rsidRPr="009B5B1E">
              <w:rPr>
                <w:rFonts w:cs="Arial"/>
                <w:sz w:val="16"/>
                <w:szCs w:val="16"/>
              </w:rPr>
              <w:t>85,6</w:t>
            </w:r>
          </w:p>
        </w:tc>
        <w:tc>
          <w:tcPr>
            <w:tcW w:w="861" w:type="dxa"/>
            <w:tcBorders>
              <w:top w:val="nil"/>
              <w:left w:val="nil"/>
              <w:bottom w:val="nil"/>
              <w:right w:val="nil"/>
            </w:tcBorders>
            <w:shd w:val="clear" w:color="auto" w:fill="auto"/>
            <w:noWrap/>
            <w:vAlign w:val="center"/>
          </w:tcPr>
          <w:p w14:paraId="190CBF9D" w14:textId="49957E7C" w:rsidR="00947AF3" w:rsidRPr="009B5B1E" w:rsidRDefault="00947AF3" w:rsidP="009310B7">
            <w:pPr>
              <w:spacing w:after="0" w:line="276" w:lineRule="auto"/>
              <w:jc w:val="right"/>
              <w:rPr>
                <w:rFonts w:cs="Arial"/>
                <w:sz w:val="16"/>
                <w:szCs w:val="16"/>
              </w:rPr>
            </w:pPr>
            <w:r w:rsidRPr="009B5B1E">
              <w:rPr>
                <w:rFonts w:cs="Arial"/>
                <w:sz w:val="16"/>
                <w:szCs w:val="16"/>
              </w:rPr>
              <w:t>0,05%</w:t>
            </w:r>
          </w:p>
        </w:tc>
        <w:tc>
          <w:tcPr>
            <w:tcW w:w="1374" w:type="dxa"/>
            <w:tcBorders>
              <w:top w:val="nil"/>
              <w:left w:val="nil"/>
              <w:bottom w:val="nil"/>
              <w:right w:val="nil"/>
            </w:tcBorders>
            <w:shd w:val="clear" w:color="auto" w:fill="auto"/>
            <w:noWrap/>
            <w:vAlign w:val="center"/>
          </w:tcPr>
          <w:p w14:paraId="191FB15F" w14:textId="1A7E5DE7" w:rsidR="00947AF3" w:rsidRPr="009B5B1E" w:rsidRDefault="00947AF3" w:rsidP="009310B7">
            <w:pPr>
              <w:spacing w:after="0" w:line="276" w:lineRule="auto"/>
              <w:jc w:val="right"/>
              <w:rPr>
                <w:rFonts w:cs="Arial"/>
                <w:sz w:val="16"/>
                <w:szCs w:val="16"/>
              </w:rPr>
            </w:pPr>
            <w:r w:rsidRPr="009B5B1E">
              <w:rPr>
                <w:rFonts w:cs="Arial"/>
                <w:sz w:val="16"/>
                <w:szCs w:val="16"/>
              </w:rPr>
              <w:t>58,5</w:t>
            </w:r>
          </w:p>
        </w:tc>
        <w:tc>
          <w:tcPr>
            <w:tcW w:w="777" w:type="dxa"/>
            <w:tcBorders>
              <w:top w:val="nil"/>
              <w:left w:val="nil"/>
              <w:bottom w:val="nil"/>
              <w:right w:val="nil"/>
            </w:tcBorders>
            <w:shd w:val="clear" w:color="auto" w:fill="auto"/>
            <w:noWrap/>
            <w:vAlign w:val="center"/>
          </w:tcPr>
          <w:p w14:paraId="6FE439FD" w14:textId="7CE519B7" w:rsidR="00947AF3" w:rsidRPr="009B5B1E" w:rsidRDefault="00947AF3" w:rsidP="009310B7">
            <w:pPr>
              <w:spacing w:after="0" w:line="276" w:lineRule="auto"/>
              <w:jc w:val="right"/>
              <w:rPr>
                <w:rFonts w:cs="Arial"/>
                <w:sz w:val="16"/>
                <w:szCs w:val="16"/>
              </w:rPr>
            </w:pPr>
            <w:r w:rsidRPr="009B5B1E">
              <w:rPr>
                <w:rFonts w:cs="Arial"/>
                <w:sz w:val="16"/>
                <w:szCs w:val="16"/>
              </w:rPr>
              <w:t>27,1</w:t>
            </w:r>
          </w:p>
        </w:tc>
        <w:tc>
          <w:tcPr>
            <w:tcW w:w="878" w:type="dxa"/>
            <w:tcBorders>
              <w:top w:val="nil"/>
              <w:left w:val="nil"/>
              <w:bottom w:val="nil"/>
              <w:right w:val="nil"/>
            </w:tcBorders>
            <w:shd w:val="clear" w:color="auto" w:fill="auto"/>
            <w:noWrap/>
            <w:vAlign w:val="center"/>
          </w:tcPr>
          <w:p w14:paraId="21918CC2" w14:textId="7C188786" w:rsidR="00947AF3" w:rsidRPr="009B5B1E" w:rsidRDefault="00947AF3" w:rsidP="009310B7">
            <w:pPr>
              <w:spacing w:after="0" w:line="276" w:lineRule="auto"/>
              <w:jc w:val="right"/>
              <w:rPr>
                <w:rFonts w:cs="Arial"/>
                <w:sz w:val="16"/>
                <w:szCs w:val="16"/>
              </w:rPr>
            </w:pPr>
            <w:r w:rsidRPr="009B5B1E">
              <w:rPr>
                <w:rFonts w:cs="Arial"/>
                <w:sz w:val="16"/>
                <w:szCs w:val="16"/>
              </w:rPr>
              <w:t>0,02%</w:t>
            </w:r>
          </w:p>
        </w:tc>
        <w:tc>
          <w:tcPr>
            <w:tcW w:w="965" w:type="dxa"/>
            <w:tcBorders>
              <w:top w:val="nil"/>
              <w:left w:val="nil"/>
              <w:bottom w:val="nil"/>
            </w:tcBorders>
            <w:shd w:val="clear" w:color="auto" w:fill="auto"/>
            <w:noWrap/>
            <w:vAlign w:val="center"/>
          </w:tcPr>
          <w:p w14:paraId="67D1AD0A" w14:textId="54141E3C" w:rsidR="00947AF3" w:rsidRPr="009B5B1E" w:rsidRDefault="00947AF3" w:rsidP="009310B7">
            <w:pPr>
              <w:spacing w:after="0" w:line="276" w:lineRule="auto"/>
              <w:jc w:val="right"/>
              <w:rPr>
                <w:rFonts w:cs="Arial"/>
                <w:sz w:val="16"/>
                <w:szCs w:val="16"/>
              </w:rPr>
            </w:pPr>
            <w:r w:rsidRPr="009B5B1E">
              <w:rPr>
                <w:rFonts w:cs="Arial"/>
                <w:sz w:val="16"/>
                <w:szCs w:val="16"/>
              </w:rPr>
              <w:t>180.616</w:t>
            </w:r>
          </w:p>
        </w:tc>
      </w:tr>
      <w:tr w:rsidR="00947AF3" w:rsidRPr="00E47A31" w14:paraId="5A752275" w14:textId="77777777" w:rsidTr="009310B7">
        <w:trPr>
          <w:cantSplit/>
          <w:trHeight w:val="283"/>
          <w:jc w:val="center"/>
        </w:trPr>
        <w:tc>
          <w:tcPr>
            <w:tcW w:w="665" w:type="dxa"/>
            <w:tcBorders>
              <w:top w:val="nil"/>
              <w:bottom w:val="nil"/>
              <w:right w:val="nil"/>
            </w:tcBorders>
            <w:shd w:val="clear" w:color="auto" w:fill="auto"/>
            <w:noWrap/>
            <w:vAlign w:val="center"/>
          </w:tcPr>
          <w:p w14:paraId="77BF1144" w14:textId="77777777" w:rsidR="00947AF3" w:rsidRPr="00E47A31" w:rsidRDefault="00947AF3" w:rsidP="009310B7">
            <w:pPr>
              <w:spacing w:after="0" w:line="276" w:lineRule="auto"/>
              <w:jc w:val="center"/>
              <w:rPr>
                <w:rFonts w:cs="Arial"/>
                <w:sz w:val="16"/>
                <w:szCs w:val="16"/>
              </w:rPr>
            </w:pPr>
            <w:r w:rsidRPr="00E47A31">
              <w:rPr>
                <w:rFonts w:cs="Arial"/>
                <w:sz w:val="16"/>
                <w:szCs w:val="16"/>
              </w:rPr>
              <w:t>2019</w:t>
            </w:r>
          </w:p>
        </w:tc>
        <w:tc>
          <w:tcPr>
            <w:tcW w:w="890" w:type="dxa"/>
            <w:tcBorders>
              <w:top w:val="nil"/>
              <w:left w:val="nil"/>
              <w:bottom w:val="nil"/>
              <w:right w:val="nil"/>
            </w:tcBorders>
            <w:shd w:val="clear" w:color="auto" w:fill="auto"/>
            <w:noWrap/>
            <w:vAlign w:val="center"/>
          </w:tcPr>
          <w:p w14:paraId="78066372" w14:textId="5ED86AFC" w:rsidR="00947AF3" w:rsidRPr="009B5B1E" w:rsidRDefault="00947AF3" w:rsidP="009310B7">
            <w:pPr>
              <w:spacing w:after="0" w:line="276" w:lineRule="auto"/>
              <w:jc w:val="right"/>
              <w:rPr>
                <w:rFonts w:cs="Arial"/>
                <w:sz w:val="16"/>
                <w:szCs w:val="16"/>
              </w:rPr>
            </w:pPr>
            <w:r w:rsidRPr="009B5B1E">
              <w:rPr>
                <w:rFonts w:cs="Arial"/>
                <w:sz w:val="16"/>
                <w:szCs w:val="16"/>
              </w:rPr>
              <w:t>428,9</w:t>
            </w:r>
          </w:p>
        </w:tc>
        <w:tc>
          <w:tcPr>
            <w:tcW w:w="915" w:type="dxa"/>
            <w:tcBorders>
              <w:top w:val="nil"/>
              <w:left w:val="nil"/>
              <w:bottom w:val="nil"/>
              <w:right w:val="nil"/>
            </w:tcBorders>
            <w:shd w:val="clear" w:color="auto" w:fill="auto"/>
            <w:noWrap/>
            <w:vAlign w:val="center"/>
          </w:tcPr>
          <w:p w14:paraId="28221576" w14:textId="7BDAFA07" w:rsidR="00947AF3" w:rsidRPr="009B5B1E" w:rsidRDefault="00947AF3" w:rsidP="009310B7">
            <w:pPr>
              <w:spacing w:after="0" w:line="276" w:lineRule="auto"/>
              <w:jc w:val="right"/>
              <w:rPr>
                <w:rFonts w:cs="Arial"/>
                <w:sz w:val="16"/>
                <w:szCs w:val="16"/>
              </w:rPr>
            </w:pPr>
            <w:r w:rsidRPr="009B5B1E">
              <w:rPr>
                <w:rFonts w:cs="Arial"/>
                <w:sz w:val="16"/>
                <w:szCs w:val="16"/>
              </w:rPr>
              <w:t>0,23%</w:t>
            </w:r>
          </w:p>
        </w:tc>
        <w:tc>
          <w:tcPr>
            <w:tcW w:w="1003" w:type="dxa"/>
            <w:tcBorders>
              <w:top w:val="nil"/>
              <w:left w:val="nil"/>
              <w:bottom w:val="nil"/>
              <w:right w:val="nil"/>
            </w:tcBorders>
            <w:shd w:val="clear" w:color="auto" w:fill="auto"/>
            <w:noWrap/>
            <w:vAlign w:val="center"/>
          </w:tcPr>
          <w:p w14:paraId="3E9E0BE3" w14:textId="330D0F3B" w:rsidR="00947AF3" w:rsidRPr="009B5B1E" w:rsidRDefault="00947AF3" w:rsidP="009310B7">
            <w:pPr>
              <w:spacing w:after="0" w:line="276" w:lineRule="auto"/>
              <w:jc w:val="right"/>
              <w:rPr>
                <w:rFonts w:cs="Arial"/>
                <w:sz w:val="16"/>
                <w:szCs w:val="16"/>
              </w:rPr>
            </w:pPr>
            <w:r w:rsidRPr="009B5B1E">
              <w:rPr>
                <w:rFonts w:cs="Arial"/>
                <w:sz w:val="16"/>
                <w:szCs w:val="16"/>
              </w:rPr>
              <w:t>9.823,5</w:t>
            </w:r>
          </w:p>
        </w:tc>
        <w:tc>
          <w:tcPr>
            <w:tcW w:w="910" w:type="dxa"/>
            <w:tcBorders>
              <w:top w:val="nil"/>
              <w:left w:val="nil"/>
              <w:bottom w:val="nil"/>
              <w:right w:val="nil"/>
            </w:tcBorders>
            <w:shd w:val="clear" w:color="auto" w:fill="auto"/>
            <w:noWrap/>
            <w:vAlign w:val="center"/>
          </w:tcPr>
          <w:p w14:paraId="503AC9E6" w14:textId="4926F9BD" w:rsidR="00947AF3" w:rsidRPr="009B5B1E" w:rsidRDefault="00947AF3" w:rsidP="009310B7">
            <w:pPr>
              <w:spacing w:after="0" w:line="276" w:lineRule="auto"/>
              <w:jc w:val="right"/>
              <w:rPr>
                <w:rFonts w:cs="Arial"/>
                <w:sz w:val="16"/>
                <w:szCs w:val="16"/>
              </w:rPr>
            </w:pPr>
            <w:r w:rsidRPr="009B5B1E">
              <w:rPr>
                <w:rFonts w:cs="Arial"/>
                <w:sz w:val="16"/>
                <w:szCs w:val="16"/>
              </w:rPr>
              <w:t>5,30%</w:t>
            </w:r>
          </w:p>
        </w:tc>
        <w:tc>
          <w:tcPr>
            <w:tcW w:w="890" w:type="dxa"/>
            <w:tcBorders>
              <w:top w:val="nil"/>
              <w:left w:val="nil"/>
              <w:bottom w:val="nil"/>
              <w:right w:val="nil"/>
            </w:tcBorders>
            <w:shd w:val="clear" w:color="auto" w:fill="auto"/>
            <w:noWrap/>
            <w:vAlign w:val="center"/>
          </w:tcPr>
          <w:p w14:paraId="7A604C80" w14:textId="072247B2" w:rsidR="00947AF3" w:rsidRPr="009B5B1E" w:rsidRDefault="00947AF3" w:rsidP="009310B7">
            <w:pPr>
              <w:spacing w:after="0" w:line="276" w:lineRule="auto"/>
              <w:jc w:val="right"/>
              <w:rPr>
                <w:rFonts w:cs="Arial"/>
                <w:sz w:val="16"/>
                <w:szCs w:val="16"/>
              </w:rPr>
            </w:pPr>
            <w:r w:rsidRPr="009B5B1E">
              <w:rPr>
                <w:rFonts w:cs="Arial"/>
                <w:sz w:val="16"/>
                <w:szCs w:val="16"/>
              </w:rPr>
              <w:t>13,4</w:t>
            </w:r>
          </w:p>
        </w:tc>
        <w:tc>
          <w:tcPr>
            <w:tcW w:w="861" w:type="dxa"/>
            <w:tcBorders>
              <w:top w:val="nil"/>
              <w:left w:val="nil"/>
              <w:bottom w:val="nil"/>
              <w:right w:val="nil"/>
            </w:tcBorders>
            <w:shd w:val="clear" w:color="auto" w:fill="auto"/>
            <w:noWrap/>
            <w:vAlign w:val="center"/>
          </w:tcPr>
          <w:p w14:paraId="5B63C36F" w14:textId="492539AD" w:rsidR="00947AF3" w:rsidRPr="009B5B1E" w:rsidRDefault="00947AF3" w:rsidP="009310B7">
            <w:pPr>
              <w:spacing w:after="0" w:line="276" w:lineRule="auto"/>
              <w:jc w:val="right"/>
              <w:rPr>
                <w:rFonts w:cs="Arial"/>
                <w:sz w:val="16"/>
                <w:szCs w:val="16"/>
              </w:rPr>
            </w:pPr>
            <w:r w:rsidRPr="009B5B1E">
              <w:rPr>
                <w:rFonts w:cs="Arial"/>
                <w:sz w:val="16"/>
                <w:szCs w:val="16"/>
              </w:rPr>
              <w:t>0,01%</w:t>
            </w:r>
          </w:p>
        </w:tc>
        <w:tc>
          <w:tcPr>
            <w:tcW w:w="1374" w:type="dxa"/>
            <w:tcBorders>
              <w:top w:val="nil"/>
              <w:left w:val="nil"/>
              <w:bottom w:val="nil"/>
              <w:right w:val="nil"/>
            </w:tcBorders>
            <w:shd w:val="clear" w:color="auto" w:fill="auto"/>
            <w:noWrap/>
            <w:vAlign w:val="center"/>
          </w:tcPr>
          <w:p w14:paraId="1D4D59C2" w14:textId="22D8B5B2" w:rsidR="00947AF3" w:rsidRPr="009B5B1E" w:rsidRDefault="00947AF3" w:rsidP="009310B7">
            <w:pPr>
              <w:spacing w:after="0" w:line="276" w:lineRule="auto"/>
              <w:jc w:val="right"/>
              <w:rPr>
                <w:rFonts w:cs="Arial"/>
                <w:sz w:val="16"/>
                <w:szCs w:val="16"/>
              </w:rPr>
            </w:pPr>
            <w:r w:rsidRPr="009B5B1E">
              <w:rPr>
                <w:rFonts w:cs="Arial"/>
                <w:sz w:val="16"/>
                <w:szCs w:val="16"/>
              </w:rPr>
              <w:t>71,2</w:t>
            </w:r>
          </w:p>
        </w:tc>
        <w:tc>
          <w:tcPr>
            <w:tcW w:w="777" w:type="dxa"/>
            <w:tcBorders>
              <w:top w:val="nil"/>
              <w:left w:val="nil"/>
              <w:bottom w:val="nil"/>
              <w:right w:val="nil"/>
            </w:tcBorders>
            <w:shd w:val="clear" w:color="auto" w:fill="auto"/>
            <w:noWrap/>
            <w:vAlign w:val="center"/>
          </w:tcPr>
          <w:p w14:paraId="3B79388D" w14:textId="6EBF3598" w:rsidR="00947AF3" w:rsidRPr="009B5B1E" w:rsidRDefault="00947AF3" w:rsidP="009310B7">
            <w:pPr>
              <w:spacing w:after="0" w:line="276" w:lineRule="auto"/>
              <w:jc w:val="right"/>
              <w:rPr>
                <w:rFonts w:cs="Arial"/>
                <w:sz w:val="16"/>
                <w:szCs w:val="16"/>
              </w:rPr>
            </w:pPr>
            <w:r w:rsidRPr="009B5B1E">
              <w:rPr>
                <w:rFonts w:cs="Arial"/>
                <w:sz w:val="16"/>
                <w:szCs w:val="16"/>
              </w:rPr>
              <w:t>-57,8</w:t>
            </w:r>
          </w:p>
        </w:tc>
        <w:tc>
          <w:tcPr>
            <w:tcW w:w="878" w:type="dxa"/>
            <w:tcBorders>
              <w:top w:val="nil"/>
              <w:left w:val="nil"/>
              <w:bottom w:val="nil"/>
              <w:right w:val="nil"/>
            </w:tcBorders>
            <w:shd w:val="clear" w:color="auto" w:fill="auto"/>
            <w:noWrap/>
            <w:vAlign w:val="center"/>
          </w:tcPr>
          <w:p w14:paraId="347B413B" w14:textId="3877F072" w:rsidR="00947AF3" w:rsidRPr="009B5B1E" w:rsidRDefault="00947AF3" w:rsidP="009310B7">
            <w:pPr>
              <w:spacing w:after="0" w:line="276" w:lineRule="auto"/>
              <w:jc w:val="right"/>
              <w:rPr>
                <w:rFonts w:cs="Arial"/>
                <w:sz w:val="16"/>
                <w:szCs w:val="16"/>
              </w:rPr>
            </w:pPr>
            <w:r w:rsidRPr="009B5B1E">
              <w:rPr>
                <w:rFonts w:cs="Arial"/>
                <w:sz w:val="16"/>
                <w:szCs w:val="16"/>
              </w:rPr>
              <w:t>-0,03%</w:t>
            </w:r>
          </w:p>
        </w:tc>
        <w:tc>
          <w:tcPr>
            <w:tcW w:w="965" w:type="dxa"/>
            <w:tcBorders>
              <w:top w:val="nil"/>
              <w:left w:val="nil"/>
              <w:bottom w:val="nil"/>
            </w:tcBorders>
            <w:shd w:val="clear" w:color="auto" w:fill="auto"/>
            <w:noWrap/>
            <w:vAlign w:val="center"/>
          </w:tcPr>
          <w:p w14:paraId="77823D43" w14:textId="6C50125D" w:rsidR="00947AF3" w:rsidRPr="009B5B1E" w:rsidRDefault="00947AF3" w:rsidP="009310B7">
            <w:pPr>
              <w:spacing w:after="0" w:line="276" w:lineRule="auto"/>
              <w:jc w:val="right"/>
              <w:rPr>
                <w:rFonts w:cs="Arial"/>
                <w:sz w:val="16"/>
                <w:szCs w:val="16"/>
              </w:rPr>
            </w:pPr>
            <w:r w:rsidRPr="009B5B1E">
              <w:rPr>
                <w:rFonts w:cs="Arial"/>
                <w:sz w:val="16"/>
                <w:szCs w:val="16"/>
              </w:rPr>
              <w:t>185.181</w:t>
            </w:r>
          </w:p>
        </w:tc>
      </w:tr>
      <w:tr w:rsidR="00947AF3" w:rsidRPr="00E47A31" w14:paraId="53813387" w14:textId="77777777" w:rsidTr="009310B7">
        <w:trPr>
          <w:cantSplit/>
          <w:trHeight w:val="283"/>
          <w:jc w:val="center"/>
        </w:trPr>
        <w:tc>
          <w:tcPr>
            <w:tcW w:w="665" w:type="dxa"/>
            <w:tcBorders>
              <w:top w:val="nil"/>
              <w:bottom w:val="nil"/>
              <w:right w:val="nil"/>
            </w:tcBorders>
            <w:shd w:val="clear" w:color="auto" w:fill="auto"/>
            <w:noWrap/>
            <w:vAlign w:val="center"/>
          </w:tcPr>
          <w:p w14:paraId="5AB7CABA" w14:textId="77777777" w:rsidR="00947AF3" w:rsidRPr="00E47A31" w:rsidRDefault="00947AF3" w:rsidP="009310B7">
            <w:pPr>
              <w:spacing w:after="0" w:line="276" w:lineRule="auto"/>
              <w:jc w:val="center"/>
              <w:rPr>
                <w:rFonts w:cs="Arial"/>
                <w:sz w:val="16"/>
                <w:szCs w:val="16"/>
              </w:rPr>
            </w:pPr>
            <w:r w:rsidRPr="00E47A31">
              <w:rPr>
                <w:rFonts w:cs="Arial"/>
                <w:sz w:val="16"/>
                <w:szCs w:val="16"/>
              </w:rPr>
              <w:t>2020</w:t>
            </w:r>
          </w:p>
        </w:tc>
        <w:tc>
          <w:tcPr>
            <w:tcW w:w="890" w:type="dxa"/>
            <w:tcBorders>
              <w:top w:val="nil"/>
              <w:left w:val="nil"/>
              <w:bottom w:val="nil"/>
              <w:right w:val="nil"/>
            </w:tcBorders>
            <w:shd w:val="clear" w:color="auto" w:fill="auto"/>
            <w:noWrap/>
            <w:vAlign w:val="center"/>
          </w:tcPr>
          <w:p w14:paraId="57E934CF" w14:textId="2F8D3F75" w:rsidR="00947AF3" w:rsidRPr="009B5B1E" w:rsidRDefault="00947AF3" w:rsidP="009310B7">
            <w:pPr>
              <w:spacing w:after="0" w:line="276" w:lineRule="auto"/>
              <w:jc w:val="right"/>
              <w:rPr>
                <w:rFonts w:cs="Arial"/>
                <w:sz w:val="16"/>
                <w:szCs w:val="16"/>
              </w:rPr>
            </w:pPr>
            <w:r w:rsidRPr="009B5B1E">
              <w:rPr>
                <w:rFonts w:cs="Arial"/>
                <w:sz w:val="16"/>
                <w:szCs w:val="16"/>
              </w:rPr>
              <w:t>434,2</w:t>
            </w:r>
          </w:p>
        </w:tc>
        <w:tc>
          <w:tcPr>
            <w:tcW w:w="915" w:type="dxa"/>
            <w:tcBorders>
              <w:top w:val="nil"/>
              <w:left w:val="nil"/>
              <w:bottom w:val="nil"/>
              <w:right w:val="nil"/>
            </w:tcBorders>
            <w:shd w:val="clear" w:color="auto" w:fill="auto"/>
            <w:noWrap/>
            <w:vAlign w:val="center"/>
          </w:tcPr>
          <w:p w14:paraId="289BD0FA" w14:textId="1AB6EABD" w:rsidR="00947AF3" w:rsidRPr="009B5B1E" w:rsidRDefault="00947AF3" w:rsidP="009310B7">
            <w:pPr>
              <w:spacing w:after="0" w:line="276" w:lineRule="auto"/>
              <w:jc w:val="right"/>
              <w:rPr>
                <w:rFonts w:cs="Arial"/>
                <w:sz w:val="16"/>
                <w:szCs w:val="16"/>
              </w:rPr>
            </w:pPr>
            <w:r w:rsidRPr="009B5B1E">
              <w:rPr>
                <w:rFonts w:cs="Arial"/>
                <w:sz w:val="16"/>
                <w:szCs w:val="16"/>
              </w:rPr>
              <w:t>0,26%</w:t>
            </w:r>
          </w:p>
        </w:tc>
        <w:tc>
          <w:tcPr>
            <w:tcW w:w="1003" w:type="dxa"/>
            <w:tcBorders>
              <w:top w:val="nil"/>
              <w:left w:val="nil"/>
              <w:bottom w:val="nil"/>
              <w:right w:val="nil"/>
            </w:tcBorders>
            <w:shd w:val="clear" w:color="auto" w:fill="auto"/>
            <w:noWrap/>
            <w:vAlign w:val="center"/>
          </w:tcPr>
          <w:p w14:paraId="7CACD03F" w14:textId="170E21A7" w:rsidR="00947AF3" w:rsidRPr="009B5B1E" w:rsidRDefault="00947AF3" w:rsidP="009310B7">
            <w:pPr>
              <w:spacing w:after="0" w:line="276" w:lineRule="auto"/>
              <w:jc w:val="right"/>
              <w:rPr>
                <w:rFonts w:cs="Arial"/>
                <w:sz w:val="16"/>
                <w:szCs w:val="16"/>
              </w:rPr>
            </w:pPr>
            <w:r w:rsidRPr="009B5B1E">
              <w:rPr>
                <w:rFonts w:cs="Arial"/>
                <w:sz w:val="16"/>
                <w:szCs w:val="16"/>
              </w:rPr>
              <w:t>9.207,2</w:t>
            </w:r>
          </w:p>
        </w:tc>
        <w:tc>
          <w:tcPr>
            <w:tcW w:w="910" w:type="dxa"/>
            <w:tcBorders>
              <w:top w:val="nil"/>
              <w:left w:val="nil"/>
              <w:bottom w:val="nil"/>
              <w:right w:val="nil"/>
            </w:tcBorders>
            <w:shd w:val="clear" w:color="auto" w:fill="auto"/>
            <w:noWrap/>
            <w:vAlign w:val="center"/>
          </w:tcPr>
          <w:p w14:paraId="0CBE0164" w14:textId="77479FD9" w:rsidR="00947AF3" w:rsidRPr="009B5B1E" w:rsidRDefault="00947AF3" w:rsidP="009310B7">
            <w:pPr>
              <w:spacing w:after="0" w:line="276" w:lineRule="auto"/>
              <w:jc w:val="right"/>
              <w:rPr>
                <w:rFonts w:cs="Arial"/>
                <w:sz w:val="16"/>
                <w:szCs w:val="16"/>
              </w:rPr>
            </w:pPr>
            <w:r w:rsidRPr="009B5B1E">
              <w:rPr>
                <w:rFonts w:cs="Arial"/>
                <w:sz w:val="16"/>
                <w:szCs w:val="16"/>
              </w:rPr>
              <w:t>5,50%</w:t>
            </w:r>
          </w:p>
        </w:tc>
        <w:tc>
          <w:tcPr>
            <w:tcW w:w="890" w:type="dxa"/>
            <w:tcBorders>
              <w:top w:val="nil"/>
              <w:left w:val="nil"/>
              <w:bottom w:val="nil"/>
              <w:right w:val="nil"/>
            </w:tcBorders>
            <w:shd w:val="clear" w:color="auto" w:fill="auto"/>
            <w:noWrap/>
            <w:vAlign w:val="center"/>
          </w:tcPr>
          <w:p w14:paraId="70482095" w14:textId="34227CA9" w:rsidR="00947AF3" w:rsidRPr="009B5B1E" w:rsidRDefault="00947AF3" w:rsidP="009310B7">
            <w:pPr>
              <w:spacing w:after="0" w:line="276" w:lineRule="auto"/>
              <w:jc w:val="right"/>
              <w:rPr>
                <w:rFonts w:cs="Arial"/>
                <w:sz w:val="16"/>
                <w:szCs w:val="16"/>
              </w:rPr>
            </w:pPr>
            <w:r w:rsidRPr="009B5B1E">
              <w:rPr>
                <w:rFonts w:cs="Arial"/>
                <w:sz w:val="16"/>
                <w:szCs w:val="16"/>
              </w:rPr>
              <w:t>17,3</w:t>
            </w:r>
          </w:p>
        </w:tc>
        <w:tc>
          <w:tcPr>
            <w:tcW w:w="861" w:type="dxa"/>
            <w:tcBorders>
              <w:top w:val="nil"/>
              <w:left w:val="nil"/>
              <w:bottom w:val="nil"/>
              <w:right w:val="nil"/>
            </w:tcBorders>
            <w:shd w:val="clear" w:color="auto" w:fill="auto"/>
            <w:noWrap/>
            <w:vAlign w:val="center"/>
          </w:tcPr>
          <w:p w14:paraId="1A16EA5E" w14:textId="2A153EEE" w:rsidR="00947AF3" w:rsidRPr="009B5B1E" w:rsidRDefault="00947AF3" w:rsidP="009310B7">
            <w:pPr>
              <w:spacing w:after="0" w:line="276" w:lineRule="auto"/>
              <w:jc w:val="right"/>
              <w:rPr>
                <w:rFonts w:cs="Arial"/>
                <w:sz w:val="16"/>
                <w:szCs w:val="16"/>
              </w:rPr>
            </w:pPr>
            <w:r w:rsidRPr="009B5B1E">
              <w:rPr>
                <w:rFonts w:cs="Arial"/>
                <w:sz w:val="16"/>
                <w:szCs w:val="16"/>
              </w:rPr>
              <w:t>0,01%</w:t>
            </w:r>
          </w:p>
        </w:tc>
        <w:tc>
          <w:tcPr>
            <w:tcW w:w="1374" w:type="dxa"/>
            <w:tcBorders>
              <w:top w:val="nil"/>
              <w:left w:val="nil"/>
              <w:bottom w:val="nil"/>
              <w:right w:val="nil"/>
            </w:tcBorders>
            <w:shd w:val="clear" w:color="auto" w:fill="auto"/>
            <w:noWrap/>
            <w:vAlign w:val="center"/>
          </w:tcPr>
          <w:p w14:paraId="7C29E3E6" w14:textId="56DD6887" w:rsidR="00947AF3" w:rsidRPr="009B5B1E" w:rsidRDefault="00947AF3" w:rsidP="009310B7">
            <w:pPr>
              <w:spacing w:after="0" w:line="276" w:lineRule="auto"/>
              <w:jc w:val="right"/>
              <w:rPr>
                <w:rFonts w:cs="Arial"/>
                <w:sz w:val="16"/>
                <w:szCs w:val="16"/>
              </w:rPr>
            </w:pPr>
            <w:r w:rsidRPr="009B5B1E">
              <w:rPr>
                <w:rFonts w:cs="Arial"/>
                <w:sz w:val="16"/>
                <w:szCs w:val="16"/>
              </w:rPr>
              <w:t>69,3</w:t>
            </w:r>
          </w:p>
        </w:tc>
        <w:tc>
          <w:tcPr>
            <w:tcW w:w="777" w:type="dxa"/>
            <w:tcBorders>
              <w:top w:val="nil"/>
              <w:left w:val="nil"/>
              <w:bottom w:val="nil"/>
              <w:right w:val="nil"/>
            </w:tcBorders>
            <w:shd w:val="clear" w:color="auto" w:fill="auto"/>
            <w:noWrap/>
            <w:vAlign w:val="center"/>
          </w:tcPr>
          <w:p w14:paraId="6E18E0E5" w14:textId="06FFEEDE" w:rsidR="00947AF3" w:rsidRPr="009B5B1E" w:rsidRDefault="00947AF3" w:rsidP="009310B7">
            <w:pPr>
              <w:spacing w:after="0" w:line="276" w:lineRule="auto"/>
              <w:jc w:val="right"/>
              <w:rPr>
                <w:rFonts w:cs="Arial"/>
                <w:sz w:val="16"/>
                <w:szCs w:val="16"/>
              </w:rPr>
            </w:pPr>
            <w:r w:rsidRPr="009B5B1E">
              <w:rPr>
                <w:rFonts w:cs="Arial"/>
                <w:sz w:val="16"/>
                <w:szCs w:val="16"/>
              </w:rPr>
              <w:t>-52,0</w:t>
            </w:r>
          </w:p>
        </w:tc>
        <w:tc>
          <w:tcPr>
            <w:tcW w:w="878" w:type="dxa"/>
            <w:tcBorders>
              <w:top w:val="nil"/>
              <w:left w:val="nil"/>
              <w:bottom w:val="nil"/>
              <w:right w:val="nil"/>
            </w:tcBorders>
            <w:shd w:val="clear" w:color="auto" w:fill="auto"/>
            <w:noWrap/>
            <w:vAlign w:val="center"/>
          </w:tcPr>
          <w:p w14:paraId="4B789239" w14:textId="237B7CBD" w:rsidR="00947AF3" w:rsidRPr="009B5B1E" w:rsidRDefault="00947AF3" w:rsidP="009310B7">
            <w:pPr>
              <w:spacing w:after="0" w:line="276" w:lineRule="auto"/>
              <w:jc w:val="right"/>
              <w:rPr>
                <w:rFonts w:cs="Arial"/>
                <w:sz w:val="16"/>
                <w:szCs w:val="16"/>
              </w:rPr>
            </w:pPr>
            <w:r w:rsidRPr="009B5B1E">
              <w:rPr>
                <w:rFonts w:cs="Arial"/>
                <w:sz w:val="16"/>
                <w:szCs w:val="16"/>
              </w:rPr>
              <w:t>-0,03%</w:t>
            </w:r>
          </w:p>
        </w:tc>
        <w:tc>
          <w:tcPr>
            <w:tcW w:w="965" w:type="dxa"/>
            <w:tcBorders>
              <w:top w:val="nil"/>
              <w:left w:val="nil"/>
              <w:bottom w:val="nil"/>
            </w:tcBorders>
            <w:shd w:val="clear" w:color="auto" w:fill="auto"/>
            <w:noWrap/>
            <w:vAlign w:val="center"/>
          </w:tcPr>
          <w:p w14:paraId="6B8E773C" w14:textId="536D1A14" w:rsidR="00947AF3" w:rsidRPr="009B5B1E" w:rsidRDefault="00947AF3" w:rsidP="009310B7">
            <w:pPr>
              <w:spacing w:after="0" w:line="276" w:lineRule="auto"/>
              <w:jc w:val="right"/>
              <w:rPr>
                <w:rFonts w:cs="Arial"/>
                <w:sz w:val="16"/>
                <w:szCs w:val="16"/>
              </w:rPr>
            </w:pPr>
            <w:r w:rsidRPr="009B5B1E">
              <w:rPr>
                <w:rFonts w:cs="Arial"/>
                <w:sz w:val="16"/>
                <w:szCs w:val="16"/>
              </w:rPr>
              <w:t>167.540</w:t>
            </w:r>
          </w:p>
        </w:tc>
      </w:tr>
      <w:tr w:rsidR="00947AF3" w:rsidRPr="00E47A31" w14:paraId="5DA3D133" w14:textId="77777777" w:rsidTr="009310B7">
        <w:trPr>
          <w:cantSplit/>
          <w:trHeight w:val="283"/>
          <w:jc w:val="center"/>
        </w:trPr>
        <w:tc>
          <w:tcPr>
            <w:tcW w:w="665" w:type="dxa"/>
            <w:tcBorders>
              <w:top w:val="nil"/>
              <w:bottom w:val="nil"/>
              <w:right w:val="nil"/>
            </w:tcBorders>
            <w:shd w:val="clear" w:color="auto" w:fill="auto"/>
            <w:noWrap/>
            <w:vAlign w:val="center"/>
          </w:tcPr>
          <w:p w14:paraId="1EA2B044" w14:textId="77777777" w:rsidR="00947AF3" w:rsidRPr="00E47A31" w:rsidRDefault="00947AF3" w:rsidP="009310B7">
            <w:pPr>
              <w:spacing w:after="0" w:line="276" w:lineRule="auto"/>
              <w:jc w:val="center"/>
              <w:rPr>
                <w:rFonts w:cs="Arial"/>
                <w:sz w:val="16"/>
                <w:szCs w:val="16"/>
              </w:rPr>
            </w:pPr>
            <w:r w:rsidRPr="00E47A31">
              <w:rPr>
                <w:rFonts w:cs="Arial"/>
                <w:sz w:val="16"/>
                <w:szCs w:val="16"/>
              </w:rPr>
              <w:t>2021</w:t>
            </w:r>
          </w:p>
        </w:tc>
        <w:tc>
          <w:tcPr>
            <w:tcW w:w="890" w:type="dxa"/>
            <w:tcBorders>
              <w:top w:val="nil"/>
              <w:left w:val="nil"/>
              <w:bottom w:val="nil"/>
              <w:right w:val="nil"/>
            </w:tcBorders>
            <w:shd w:val="clear" w:color="auto" w:fill="auto"/>
            <w:noWrap/>
            <w:vAlign w:val="center"/>
          </w:tcPr>
          <w:p w14:paraId="6250DB98" w14:textId="58C83349" w:rsidR="00947AF3" w:rsidRPr="009B5B1E" w:rsidRDefault="00947AF3" w:rsidP="009310B7">
            <w:pPr>
              <w:spacing w:after="0" w:line="276" w:lineRule="auto"/>
              <w:jc w:val="right"/>
              <w:rPr>
                <w:rFonts w:cs="Arial"/>
                <w:sz w:val="16"/>
                <w:szCs w:val="16"/>
              </w:rPr>
            </w:pPr>
            <w:r w:rsidRPr="009B5B1E">
              <w:rPr>
                <w:rFonts w:cs="Arial"/>
                <w:sz w:val="16"/>
                <w:szCs w:val="16"/>
              </w:rPr>
              <w:t>158,5</w:t>
            </w:r>
          </w:p>
        </w:tc>
        <w:tc>
          <w:tcPr>
            <w:tcW w:w="915" w:type="dxa"/>
            <w:tcBorders>
              <w:top w:val="nil"/>
              <w:left w:val="nil"/>
              <w:bottom w:val="nil"/>
              <w:right w:val="nil"/>
            </w:tcBorders>
            <w:shd w:val="clear" w:color="auto" w:fill="auto"/>
            <w:noWrap/>
            <w:vAlign w:val="center"/>
          </w:tcPr>
          <w:p w14:paraId="53054D94" w14:textId="76580270" w:rsidR="00947AF3" w:rsidRPr="009B5B1E" w:rsidRDefault="00947AF3" w:rsidP="009310B7">
            <w:pPr>
              <w:spacing w:after="0" w:line="276" w:lineRule="auto"/>
              <w:jc w:val="right"/>
              <w:rPr>
                <w:rFonts w:cs="Arial"/>
                <w:sz w:val="16"/>
                <w:szCs w:val="16"/>
              </w:rPr>
            </w:pPr>
            <w:r w:rsidRPr="009B5B1E">
              <w:rPr>
                <w:rFonts w:cs="Arial"/>
                <w:sz w:val="16"/>
                <w:szCs w:val="16"/>
              </w:rPr>
              <w:t>0,09%</w:t>
            </w:r>
          </w:p>
        </w:tc>
        <w:tc>
          <w:tcPr>
            <w:tcW w:w="1003" w:type="dxa"/>
            <w:tcBorders>
              <w:top w:val="nil"/>
              <w:left w:val="nil"/>
              <w:bottom w:val="nil"/>
              <w:right w:val="nil"/>
            </w:tcBorders>
            <w:shd w:val="clear" w:color="auto" w:fill="auto"/>
            <w:noWrap/>
            <w:vAlign w:val="center"/>
          </w:tcPr>
          <w:p w14:paraId="0D7E0E2C" w14:textId="142DC7A2" w:rsidR="00947AF3" w:rsidRPr="009B5B1E" w:rsidRDefault="00947AF3" w:rsidP="009310B7">
            <w:pPr>
              <w:spacing w:after="0" w:line="276" w:lineRule="auto"/>
              <w:jc w:val="right"/>
              <w:rPr>
                <w:rFonts w:cs="Arial"/>
                <w:sz w:val="16"/>
                <w:szCs w:val="16"/>
              </w:rPr>
            </w:pPr>
            <w:r w:rsidRPr="009B5B1E">
              <w:rPr>
                <w:rFonts w:cs="Arial"/>
                <w:sz w:val="16"/>
                <w:szCs w:val="16"/>
              </w:rPr>
              <w:t>7.950,1</w:t>
            </w:r>
          </w:p>
        </w:tc>
        <w:tc>
          <w:tcPr>
            <w:tcW w:w="910" w:type="dxa"/>
            <w:tcBorders>
              <w:top w:val="nil"/>
              <w:left w:val="nil"/>
              <w:bottom w:val="nil"/>
              <w:right w:val="nil"/>
            </w:tcBorders>
            <w:shd w:val="clear" w:color="auto" w:fill="auto"/>
            <w:noWrap/>
            <w:vAlign w:val="center"/>
          </w:tcPr>
          <w:p w14:paraId="37F25493" w14:textId="11CC4005" w:rsidR="00947AF3" w:rsidRPr="009B5B1E" w:rsidRDefault="00947AF3" w:rsidP="009310B7">
            <w:pPr>
              <w:spacing w:after="0" w:line="276" w:lineRule="auto"/>
              <w:jc w:val="right"/>
              <w:rPr>
                <w:rFonts w:cs="Arial"/>
                <w:sz w:val="16"/>
                <w:szCs w:val="16"/>
              </w:rPr>
            </w:pPr>
            <w:r w:rsidRPr="009B5B1E">
              <w:rPr>
                <w:rFonts w:cs="Arial"/>
                <w:sz w:val="16"/>
                <w:szCs w:val="16"/>
              </w:rPr>
              <w:t>4,31%</w:t>
            </w:r>
          </w:p>
        </w:tc>
        <w:tc>
          <w:tcPr>
            <w:tcW w:w="890" w:type="dxa"/>
            <w:tcBorders>
              <w:top w:val="nil"/>
              <w:left w:val="nil"/>
              <w:bottom w:val="nil"/>
              <w:right w:val="nil"/>
            </w:tcBorders>
            <w:shd w:val="clear" w:color="auto" w:fill="auto"/>
            <w:noWrap/>
            <w:vAlign w:val="center"/>
          </w:tcPr>
          <w:p w14:paraId="66A353C8" w14:textId="0C1BFAA5" w:rsidR="00947AF3" w:rsidRPr="009B5B1E" w:rsidRDefault="00947AF3" w:rsidP="009310B7">
            <w:pPr>
              <w:spacing w:after="0" w:line="276" w:lineRule="auto"/>
              <w:jc w:val="right"/>
              <w:rPr>
                <w:rFonts w:cs="Arial"/>
                <w:sz w:val="16"/>
                <w:szCs w:val="16"/>
              </w:rPr>
            </w:pPr>
            <w:r w:rsidRPr="009B5B1E">
              <w:rPr>
                <w:rFonts w:cs="Arial"/>
                <w:sz w:val="16"/>
                <w:szCs w:val="16"/>
              </w:rPr>
              <w:t>69,3</w:t>
            </w:r>
          </w:p>
        </w:tc>
        <w:tc>
          <w:tcPr>
            <w:tcW w:w="861" w:type="dxa"/>
            <w:tcBorders>
              <w:top w:val="nil"/>
              <w:left w:val="nil"/>
              <w:bottom w:val="nil"/>
              <w:right w:val="nil"/>
            </w:tcBorders>
            <w:shd w:val="clear" w:color="auto" w:fill="auto"/>
            <w:noWrap/>
            <w:vAlign w:val="center"/>
          </w:tcPr>
          <w:p w14:paraId="22D20B55" w14:textId="286B38AD" w:rsidR="00947AF3" w:rsidRPr="009B5B1E" w:rsidRDefault="00947AF3" w:rsidP="009310B7">
            <w:pPr>
              <w:spacing w:after="0" w:line="276" w:lineRule="auto"/>
              <w:jc w:val="right"/>
              <w:rPr>
                <w:rFonts w:cs="Arial"/>
                <w:sz w:val="16"/>
                <w:szCs w:val="16"/>
              </w:rPr>
            </w:pPr>
            <w:r w:rsidRPr="009B5B1E">
              <w:rPr>
                <w:rFonts w:cs="Arial"/>
                <w:sz w:val="16"/>
                <w:szCs w:val="16"/>
              </w:rPr>
              <w:t>0,04%</w:t>
            </w:r>
          </w:p>
        </w:tc>
        <w:tc>
          <w:tcPr>
            <w:tcW w:w="1374" w:type="dxa"/>
            <w:tcBorders>
              <w:top w:val="nil"/>
              <w:left w:val="nil"/>
              <w:bottom w:val="nil"/>
              <w:right w:val="nil"/>
            </w:tcBorders>
            <w:shd w:val="clear" w:color="auto" w:fill="auto"/>
            <w:noWrap/>
            <w:vAlign w:val="center"/>
          </w:tcPr>
          <w:p w14:paraId="6F097007" w14:textId="1B8E4CAE" w:rsidR="00947AF3" w:rsidRPr="009B5B1E" w:rsidRDefault="00947AF3" w:rsidP="009310B7">
            <w:pPr>
              <w:spacing w:after="0" w:line="276" w:lineRule="auto"/>
              <w:jc w:val="right"/>
              <w:rPr>
                <w:rFonts w:cs="Arial"/>
                <w:sz w:val="16"/>
                <w:szCs w:val="16"/>
              </w:rPr>
            </w:pPr>
            <w:r w:rsidRPr="009B5B1E">
              <w:rPr>
                <w:rFonts w:cs="Arial"/>
                <w:sz w:val="16"/>
                <w:szCs w:val="16"/>
              </w:rPr>
              <w:t>84,4</w:t>
            </w:r>
          </w:p>
        </w:tc>
        <w:tc>
          <w:tcPr>
            <w:tcW w:w="777" w:type="dxa"/>
            <w:tcBorders>
              <w:top w:val="nil"/>
              <w:left w:val="nil"/>
              <w:bottom w:val="nil"/>
              <w:right w:val="nil"/>
            </w:tcBorders>
            <w:shd w:val="clear" w:color="auto" w:fill="auto"/>
            <w:noWrap/>
            <w:vAlign w:val="center"/>
          </w:tcPr>
          <w:p w14:paraId="581BA691" w14:textId="3D2079C4" w:rsidR="00947AF3" w:rsidRPr="009B5B1E" w:rsidRDefault="00947AF3" w:rsidP="009310B7">
            <w:pPr>
              <w:spacing w:after="0" w:line="276" w:lineRule="auto"/>
              <w:jc w:val="right"/>
              <w:rPr>
                <w:rFonts w:cs="Arial"/>
                <w:sz w:val="16"/>
                <w:szCs w:val="16"/>
              </w:rPr>
            </w:pPr>
            <w:r w:rsidRPr="009B5B1E">
              <w:rPr>
                <w:rFonts w:cs="Arial"/>
                <w:sz w:val="16"/>
                <w:szCs w:val="16"/>
              </w:rPr>
              <w:t>-15,1</w:t>
            </w:r>
          </w:p>
        </w:tc>
        <w:tc>
          <w:tcPr>
            <w:tcW w:w="878" w:type="dxa"/>
            <w:tcBorders>
              <w:top w:val="nil"/>
              <w:left w:val="nil"/>
              <w:bottom w:val="nil"/>
              <w:right w:val="nil"/>
            </w:tcBorders>
            <w:shd w:val="clear" w:color="auto" w:fill="auto"/>
            <w:noWrap/>
            <w:vAlign w:val="center"/>
          </w:tcPr>
          <w:p w14:paraId="37D1E36A" w14:textId="21EC23C7" w:rsidR="00947AF3" w:rsidRPr="009B5B1E" w:rsidRDefault="00947AF3" w:rsidP="009310B7">
            <w:pPr>
              <w:spacing w:after="0" w:line="276" w:lineRule="auto"/>
              <w:jc w:val="right"/>
              <w:rPr>
                <w:rFonts w:cs="Arial"/>
                <w:sz w:val="16"/>
                <w:szCs w:val="16"/>
              </w:rPr>
            </w:pPr>
            <w:r w:rsidRPr="009B5B1E">
              <w:rPr>
                <w:rFonts w:cs="Arial"/>
                <w:sz w:val="16"/>
                <w:szCs w:val="16"/>
              </w:rPr>
              <w:t>-0,01%</w:t>
            </w:r>
          </w:p>
        </w:tc>
        <w:tc>
          <w:tcPr>
            <w:tcW w:w="965" w:type="dxa"/>
            <w:tcBorders>
              <w:top w:val="nil"/>
              <w:left w:val="nil"/>
              <w:bottom w:val="nil"/>
            </w:tcBorders>
            <w:shd w:val="clear" w:color="auto" w:fill="auto"/>
            <w:noWrap/>
            <w:vAlign w:val="center"/>
          </w:tcPr>
          <w:p w14:paraId="0A0E3214" w14:textId="7B255F62" w:rsidR="00947AF3" w:rsidRPr="009B5B1E" w:rsidRDefault="00947AF3" w:rsidP="009310B7">
            <w:pPr>
              <w:spacing w:after="0" w:line="276" w:lineRule="auto"/>
              <w:jc w:val="right"/>
              <w:rPr>
                <w:rFonts w:cs="Arial"/>
                <w:sz w:val="16"/>
                <w:szCs w:val="16"/>
              </w:rPr>
            </w:pPr>
            <w:r w:rsidRPr="009B5B1E">
              <w:rPr>
                <w:rFonts w:cs="Arial"/>
                <w:sz w:val="16"/>
                <w:szCs w:val="16"/>
              </w:rPr>
              <w:t>184.575</w:t>
            </w:r>
          </w:p>
        </w:tc>
      </w:tr>
      <w:tr w:rsidR="00947AF3" w:rsidRPr="00E47A31" w14:paraId="10E83D7A" w14:textId="77777777" w:rsidTr="009310B7">
        <w:trPr>
          <w:cantSplit/>
          <w:trHeight w:val="283"/>
          <w:jc w:val="center"/>
        </w:trPr>
        <w:tc>
          <w:tcPr>
            <w:tcW w:w="665" w:type="dxa"/>
            <w:tcBorders>
              <w:top w:val="nil"/>
              <w:bottom w:val="nil"/>
              <w:right w:val="nil"/>
            </w:tcBorders>
            <w:shd w:val="clear" w:color="auto" w:fill="auto"/>
            <w:noWrap/>
            <w:vAlign w:val="center"/>
          </w:tcPr>
          <w:p w14:paraId="709D8A9C" w14:textId="77777777" w:rsidR="00947AF3" w:rsidRPr="00E47A31" w:rsidRDefault="00947AF3" w:rsidP="009310B7">
            <w:pPr>
              <w:spacing w:after="0" w:line="276" w:lineRule="auto"/>
              <w:jc w:val="center"/>
              <w:rPr>
                <w:rFonts w:cs="Arial"/>
                <w:sz w:val="16"/>
                <w:szCs w:val="16"/>
              </w:rPr>
            </w:pPr>
            <w:r w:rsidRPr="00E47A31">
              <w:rPr>
                <w:rFonts w:cs="Arial"/>
                <w:sz w:val="16"/>
                <w:szCs w:val="16"/>
              </w:rPr>
              <w:t>2022</w:t>
            </w:r>
          </w:p>
        </w:tc>
        <w:tc>
          <w:tcPr>
            <w:tcW w:w="890" w:type="dxa"/>
            <w:tcBorders>
              <w:top w:val="nil"/>
              <w:left w:val="nil"/>
              <w:bottom w:val="nil"/>
              <w:right w:val="nil"/>
            </w:tcBorders>
            <w:shd w:val="clear" w:color="auto" w:fill="auto"/>
            <w:noWrap/>
            <w:vAlign w:val="center"/>
          </w:tcPr>
          <w:p w14:paraId="66DB70E4" w14:textId="136451D0" w:rsidR="00947AF3" w:rsidRPr="009B5B1E" w:rsidRDefault="00947AF3" w:rsidP="009310B7">
            <w:pPr>
              <w:spacing w:after="0" w:line="276" w:lineRule="auto"/>
              <w:jc w:val="right"/>
              <w:rPr>
                <w:rFonts w:cs="Arial"/>
                <w:sz w:val="16"/>
                <w:szCs w:val="16"/>
              </w:rPr>
            </w:pPr>
            <w:r w:rsidRPr="009B5B1E">
              <w:rPr>
                <w:rFonts w:cs="Arial"/>
                <w:sz w:val="16"/>
                <w:szCs w:val="16"/>
              </w:rPr>
              <w:t>367,0</w:t>
            </w:r>
          </w:p>
        </w:tc>
        <w:tc>
          <w:tcPr>
            <w:tcW w:w="915" w:type="dxa"/>
            <w:tcBorders>
              <w:top w:val="nil"/>
              <w:left w:val="nil"/>
              <w:bottom w:val="nil"/>
              <w:right w:val="nil"/>
            </w:tcBorders>
            <w:shd w:val="clear" w:color="auto" w:fill="auto"/>
            <w:noWrap/>
            <w:vAlign w:val="center"/>
          </w:tcPr>
          <w:p w14:paraId="0B86BC2A" w14:textId="29628238" w:rsidR="00947AF3" w:rsidRPr="009B5B1E" w:rsidRDefault="00947AF3" w:rsidP="009310B7">
            <w:pPr>
              <w:spacing w:after="0" w:line="276" w:lineRule="auto"/>
              <w:jc w:val="right"/>
              <w:rPr>
                <w:rFonts w:cs="Arial"/>
                <w:sz w:val="16"/>
                <w:szCs w:val="16"/>
              </w:rPr>
            </w:pPr>
            <w:r w:rsidRPr="009B5B1E">
              <w:rPr>
                <w:rFonts w:cs="Arial"/>
                <w:sz w:val="16"/>
                <w:szCs w:val="16"/>
              </w:rPr>
              <w:t>0,18%</w:t>
            </w:r>
          </w:p>
        </w:tc>
        <w:tc>
          <w:tcPr>
            <w:tcW w:w="1003" w:type="dxa"/>
            <w:tcBorders>
              <w:top w:val="nil"/>
              <w:left w:val="nil"/>
              <w:bottom w:val="nil"/>
              <w:right w:val="nil"/>
            </w:tcBorders>
            <w:shd w:val="clear" w:color="auto" w:fill="auto"/>
            <w:noWrap/>
            <w:vAlign w:val="center"/>
          </w:tcPr>
          <w:p w14:paraId="4AED48DC" w14:textId="3B503BAA" w:rsidR="00947AF3" w:rsidRPr="009B5B1E" w:rsidRDefault="00947AF3" w:rsidP="009310B7">
            <w:pPr>
              <w:spacing w:after="0" w:line="276" w:lineRule="auto"/>
              <w:jc w:val="right"/>
              <w:rPr>
                <w:rFonts w:cs="Arial"/>
                <w:sz w:val="16"/>
                <w:szCs w:val="16"/>
              </w:rPr>
            </w:pPr>
            <w:r w:rsidRPr="009B5B1E">
              <w:rPr>
                <w:rFonts w:cs="Arial"/>
                <w:sz w:val="16"/>
                <w:szCs w:val="16"/>
              </w:rPr>
              <w:t>7.564,5</w:t>
            </w:r>
          </w:p>
        </w:tc>
        <w:tc>
          <w:tcPr>
            <w:tcW w:w="910" w:type="dxa"/>
            <w:tcBorders>
              <w:top w:val="nil"/>
              <w:left w:val="nil"/>
              <w:bottom w:val="nil"/>
              <w:right w:val="nil"/>
            </w:tcBorders>
            <w:shd w:val="clear" w:color="auto" w:fill="auto"/>
            <w:noWrap/>
            <w:vAlign w:val="center"/>
          </w:tcPr>
          <w:p w14:paraId="0C110335" w14:textId="63C0C0C7" w:rsidR="00947AF3" w:rsidRPr="009B5B1E" w:rsidRDefault="00947AF3" w:rsidP="009310B7">
            <w:pPr>
              <w:spacing w:after="0" w:line="276" w:lineRule="auto"/>
              <w:jc w:val="right"/>
              <w:rPr>
                <w:rFonts w:cs="Arial"/>
                <w:sz w:val="16"/>
                <w:szCs w:val="16"/>
              </w:rPr>
            </w:pPr>
            <w:r w:rsidRPr="009B5B1E">
              <w:rPr>
                <w:rFonts w:cs="Arial"/>
                <w:sz w:val="16"/>
                <w:szCs w:val="16"/>
              </w:rPr>
              <w:t>3,65%</w:t>
            </w:r>
          </w:p>
        </w:tc>
        <w:tc>
          <w:tcPr>
            <w:tcW w:w="890" w:type="dxa"/>
            <w:tcBorders>
              <w:top w:val="nil"/>
              <w:left w:val="nil"/>
              <w:bottom w:val="nil"/>
              <w:right w:val="nil"/>
            </w:tcBorders>
            <w:shd w:val="clear" w:color="auto" w:fill="auto"/>
            <w:noWrap/>
            <w:vAlign w:val="center"/>
          </w:tcPr>
          <w:p w14:paraId="03B4AF38" w14:textId="346A092F" w:rsidR="00947AF3" w:rsidRPr="009B5B1E" w:rsidRDefault="00947AF3" w:rsidP="009310B7">
            <w:pPr>
              <w:spacing w:after="0" w:line="276" w:lineRule="auto"/>
              <w:jc w:val="right"/>
              <w:rPr>
                <w:rFonts w:cs="Arial"/>
                <w:sz w:val="16"/>
                <w:szCs w:val="16"/>
              </w:rPr>
            </w:pPr>
            <w:r w:rsidRPr="009B5B1E">
              <w:rPr>
                <w:rFonts w:cs="Arial"/>
                <w:sz w:val="16"/>
                <w:szCs w:val="16"/>
              </w:rPr>
              <w:t>231,9</w:t>
            </w:r>
          </w:p>
        </w:tc>
        <w:tc>
          <w:tcPr>
            <w:tcW w:w="861" w:type="dxa"/>
            <w:tcBorders>
              <w:top w:val="nil"/>
              <w:left w:val="nil"/>
              <w:bottom w:val="nil"/>
              <w:right w:val="nil"/>
            </w:tcBorders>
            <w:shd w:val="clear" w:color="auto" w:fill="auto"/>
            <w:noWrap/>
            <w:vAlign w:val="center"/>
          </w:tcPr>
          <w:p w14:paraId="45B2BC34" w14:textId="62EF1CB9" w:rsidR="00947AF3" w:rsidRPr="009B5B1E" w:rsidRDefault="00947AF3" w:rsidP="009310B7">
            <w:pPr>
              <w:spacing w:after="0" w:line="276" w:lineRule="auto"/>
              <w:jc w:val="right"/>
              <w:rPr>
                <w:rFonts w:cs="Arial"/>
                <w:sz w:val="16"/>
                <w:szCs w:val="16"/>
              </w:rPr>
            </w:pPr>
            <w:r w:rsidRPr="009B5B1E">
              <w:rPr>
                <w:rFonts w:cs="Arial"/>
                <w:sz w:val="16"/>
                <w:szCs w:val="16"/>
              </w:rPr>
              <w:t>0,11%</w:t>
            </w:r>
          </w:p>
        </w:tc>
        <w:tc>
          <w:tcPr>
            <w:tcW w:w="1374" w:type="dxa"/>
            <w:tcBorders>
              <w:top w:val="nil"/>
              <w:left w:val="nil"/>
              <w:bottom w:val="nil"/>
              <w:right w:val="nil"/>
            </w:tcBorders>
            <w:shd w:val="clear" w:color="auto" w:fill="auto"/>
            <w:noWrap/>
            <w:vAlign w:val="center"/>
          </w:tcPr>
          <w:p w14:paraId="74EAEDF4" w14:textId="63C9277D" w:rsidR="00947AF3" w:rsidRPr="009B5B1E" w:rsidRDefault="00947AF3" w:rsidP="009310B7">
            <w:pPr>
              <w:spacing w:after="0" w:line="276" w:lineRule="auto"/>
              <w:jc w:val="right"/>
              <w:rPr>
                <w:rFonts w:cs="Arial"/>
                <w:sz w:val="16"/>
                <w:szCs w:val="16"/>
              </w:rPr>
            </w:pPr>
            <w:r w:rsidRPr="009B5B1E">
              <w:rPr>
                <w:rFonts w:cs="Arial"/>
                <w:sz w:val="16"/>
                <w:szCs w:val="16"/>
              </w:rPr>
              <w:t>84,5</w:t>
            </w:r>
          </w:p>
        </w:tc>
        <w:tc>
          <w:tcPr>
            <w:tcW w:w="777" w:type="dxa"/>
            <w:tcBorders>
              <w:top w:val="nil"/>
              <w:left w:val="nil"/>
              <w:bottom w:val="nil"/>
              <w:right w:val="nil"/>
            </w:tcBorders>
            <w:shd w:val="clear" w:color="auto" w:fill="auto"/>
            <w:noWrap/>
            <w:vAlign w:val="center"/>
          </w:tcPr>
          <w:p w14:paraId="73B7AC63" w14:textId="36FCCE09" w:rsidR="00947AF3" w:rsidRPr="009B5B1E" w:rsidRDefault="00947AF3" w:rsidP="009310B7">
            <w:pPr>
              <w:spacing w:after="0" w:line="276" w:lineRule="auto"/>
              <w:jc w:val="right"/>
              <w:rPr>
                <w:rFonts w:cs="Arial"/>
                <w:sz w:val="16"/>
                <w:szCs w:val="16"/>
              </w:rPr>
            </w:pPr>
            <w:r w:rsidRPr="009B5B1E">
              <w:rPr>
                <w:rFonts w:cs="Arial"/>
                <w:sz w:val="16"/>
                <w:szCs w:val="16"/>
              </w:rPr>
              <w:t>147,4</w:t>
            </w:r>
          </w:p>
        </w:tc>
        <w:tc>
          <w:tcPr>
            <w:tcW w:w="878" w:type="dxa"/>
            <w:tcBorders>
              <w:top w:val="nil"/>
              <w:left w:val="nil"/>
              <w:bottom w:val="nil"/>
              <w:right w:val="nil"/>
            </w:tcBorders>
            <w:shd w:val="clear" w:color="auto" w:fill="auto"/>
            <w:noWrap/>
            <w:vAlign w:val="center"/>
          </w:tcPr>
          <w:p w14:paraId="685D50D1" w14:textId="1B791121" w:rsidR="00947AF3" w:rsidRPr="009B5B1E" w:rsidRDefault="00947AF3" w:rsidP="009310B7">
            <w:pPr>
              <w:spacing w:after="0" w:line="276" w:lineRule="auto"/>
              <w:jc w:val="right"/>
              <w:rPr>
                <w:rFonts w:cs="Arial"/>
                <w:sz w:val="16"/>
                <w:szCs w:val="16"/>
              </w:rPr>
            </w:pPr>
            <w:r w:rsidRPr="009B5B1E">
              <w:rPr>
                <w:rFonts w:cs="Arial"/>
                <w:sz w:val="16"/>
                <w:szCs w:val="16"/>
              </w:rPr>
              <w:t>0,07%</w:t>
            </w:r>
          </w:p>
        </w:tc>
        <w:tc>
          <w:tcPr>
            <w:tcW w:w="965" w:type="dxa"/>
            <w:tcBorders>
              <w:top w:val="nil"/>
              <w:left w:val="nil"/>
              <w:bottom w:val="nil"/>
            </w:tcBorders>
            <w:shd w:val="clear" w:color="auto" w:fill="auto"/>
            <w:noWrap/>
            <w:vAlign w:val="center"/>
          </w:tcPr>
          <w:p w14:paraId="5EF24FB2" w14:textId="0E92DB02" w:rsidR="00947AF3" w:rsidRPr="009B5B1E" w:rsidRDefault="00947AF3" w:rsidP="009310B7">
            <w:pPr>
              <w:spacing w:after="0" w:line="276" w:lineRule="auto"/>
              <w:jc w:val="right"/>
              <w:rPr>
                <w:rFonts w:cs="Arial"/>
                <w:sz w:val="16"/>
                <w:szCs w:val="16"/>
              </w:rPr>
            </w:pPr>
            <w:r w:rsidRPr="009B5B1E">
              <w:rPr>
                <w:rFonts w:cs="Arial"/>
                <w:sz w:val="16"/>
                <w:szCs w:val="16"/>
              </w:rPr>
              <w:t>207.009</w:t>
            </w:r>
          </w:p>
        </w:tc>
      </w:tr>
      <w:tr w:rsidR="00947AF3" w:rsidRPr="00E47A31" w14:paraId="1259E019" w14:textId="77777777" w:rsidTr="009310B7">
        <w:trPr>
          <w:cantSplit/>
          <w:trHeight w:val="283"/>
          <w:jc w:val="center"/>
        </w:trPr>
        <w:tc>
          <w:tcPr>
            <w:tcW w:w="665" w:type="dxa"/>
            <w:tcBorders>
              <w:top w:val="nil"/>
              <w:bottom w:val="nil"/>
              <w:right w:val="nil"/>
            </w:tcBorders>
            <w:shd w:val="clear" w:color="auto" w:fill="auto"/>
            <w:noWrap/>
            <w:vAlign w:val="center"/>
          </w:tcPr>
          <w:p w14:paraId="388B34AE" w14:textId="77777777" w:rsidR="00947AF3" w:rsidRPr="00E47A31" w:rsidRDefault="00947AF3" w:rsidP="009310B7">
            <w:pPr>
              <w:spacing w:after="0" w:line="276" w:lineRule="auto"/>
              <w:jc w:val="center"/>
              <w:rPr>
                <w:rFonts w:cs="Arial"/>
                <w:sz w:val="16"/>
                <w:szCs w:val="16"/>
              </w:rPr>
            </w:pPr>
            <w:r w:rsidRPr="00E47A31">
              <w:rPr>
                <w:rFonts w:cs="Arial"/>
                <w:sz w:val="16"/>
                <w:szCs w:val="16"/>
              </w:rPr>
              <w:t>2023</w:t>
            </w:r>
          </w:p>
        </w:tc>
        <w:tc>
          <w:tcPr>
            <w:tcW w:w="890" w:type="dxa"/>
            <w:tcBorders>
              <w:top w:val="nil"/>
              <w:left w:val="nil"/>
              <w:bottom w:val="nil"/>
              <w:right w:val="nil"/>
            </w:tcBorders>
            <w:shd w:val="clear" w:color="auto" w:fill="auto"/>
            <w:noWrap/>
            <w:vAlign w:val="center"/>
          </w:tcPr>
          <w:p w14:paraId="4F70DC5D" w14:textId="0AA34752" w:rsidR="00947AF3" w:rsidRPr="009B5B1E" w:rsidRDefault="00947AF3" w:rsidP="009310B7">
            <w:pPr>
              <w:spacing w:after="0" w:line="276" w:lineRule="auto"/>
              <w:jc w:val="right"/>
              <w:rPr>
                <w:rFonts w:cs="Arial"/>
                <w:sz w:val="16"/>
                <w:szCs w:val="16"/>
              </w:rPr>
            </w:pPr>
            <w:r w:rsidRPr="009B5B1E">
              <w:rPr>
                <w:rFonts w:cs="Arial"/>
                <w:sz w:val="16"/>
                <w:szCs w:val="16"/>
              </w:rPr>
              <w:t>611,5</w:t>
            </w:r>
          </w:p>
        </w:tc>
        <w:tc>
          <w:tcPr>
            <w:tcW w:w="915" w:type="dxa"/>
            <w:tcBorders>
              <w:top w:val="nil"/>
              <w:left w:val="nil"/>
              <w:bottom w:val="nil"/>
              <w:right w:val="nil"/>
            </w:tcBorders>
            <w:shd w:val="clear" w:color="auto" w:fill="auto"/>
            <w:noWrap/>
            <w:vAlign w:val="center"/>
          </w:tcPr>
          <w:p w14:paraId="37C2BDDE" w14:textId="432A57D0" w:rsidR="00947AF3" w:rsidRPr="009B5B1E" w:rsidRDefault="00947AF3" w:rsidP="009310B7">
            <w:pPr>
              <w:spacing w:after="0" w:line="276" w:lineRule="auto"/>
              <w:jc w:val="right"/>
              <w:rPr>
                <w:rFonts w:cs="Arial"/>
                <w:sz w:val="16"/>
                <w:szCs w:val="16"/>
              </w:rPr>
            </w:pPr>
            <w:r w:rsidRPr="009B5B1E">
              <w:rPr>
                <w:rFonts w:cs="Arial"/>
                <w:sz w:val="16"/>
                <w:szCs w:val="16"/>
              </w:rPr>
              <w:t>0,27%</w:t>
            </w:r>
          </w:p>
        </w:tc>
        <w:tc>
          <w:tcPr>
            <w:tcW w:w="1003" w:type="dxa"/>
            <w:tcBorders>
              <w:top w:val="nil"/>
              <w:left w:val="nil"/>
              <w:bottom w:val="nil"/>
              <w:right w:val="nil"/>
            </w:tcBorders>
            <w:shd w:val="clear" w:color="auto" w:fill="auto"/>
            <w:noWrap/>
            <w:vAlign w:val="center"/>
          </w:tcPr>
          <w:p w14:paraId="44FABE92" w14:textId="100DA9E0" w:rsidR="00947AF3" w:rsidRPr="009B5B1E" w:rsidRDefault="00947AF3" w:rsidP="009310B7">
            <w:pPr>
              <w:spacing w:after="0" w:line="276" w:lineRule="auto"/>
              <w:jc w:val="right"/>
              <w:rPr>
                <w:rFonts w:cs="Arial"/>
                <w:sz w:val="16"/>
                <w:szCs w:val="16"/>
              </w:rPr>
            </w:pPr>
            <w:r w:rsidRPr="009B5B1E">
              <w:rPr>
                <w:rFonts w:cs="Arial"/>
                <w:sz w:val="16"/>
                <w:szCs w:val="16"/>
              </w:rPr>
              <w:t>7.476,8</w:t>
            </w:r>
          </w:p>
        </w:tc>
        <w:tc>
          <w:tcPr>
            <w:tcW w:w="910" w:type="dxa"/>
            <w:tcBorders>
              <w:top w:val="nil"/>
              <w:left w:val="nil"/>
              <w:bottom w:val="nil"/>
              <w:right w:val="nil"/>
            </w:tcBorders>
            <w:shd w:val="clear" w:color="auto" w:fill="auto"/>
            <w:noWrap/>
            <w:vAlign w:val="center"/>
          </w:tcPr>
          <w:p w14:paraId="626DC778" w14:textId="74B07EA3" w:rsidR="00947AF3" w:rsidRPr="009B5B1E" w:rsidRDefault="00947AF3" w:rsidP="009310B7">
            <w:pPr>
              <w:spacing w:after="0" w:line="276" w:lineRule="auto"/>
              <w:jc w:val="right"/>
              <w:rPr>
                <w:rFonts w:cs="Arial"/>
                <w:sz w:val="16"/>
                <w:szCs w:val="16"/>
              </w:rPr>
            </w:pPr>
            <w:r w:rsidRPr="009B5B1E">
              <w:rPr>
                <w:rFonts w:cs="Arial"/>
                <w:sz w:val="16"/>
                <w:szCs w:val="16"/>
              </w:rPr>
              <w:t>3,33%</w:t>
            </w:r>
          </w:p>
        </w:tc>
        <w:tc>
          <w:tcPr>
            <w:tcW w:w="890" w:type="dxa"/>
            <w:tcBorders>
              <w:top w:val="nil"/>
              <w:left w:val="nil"/>
              <w:bottom w:val="nil"/>
              <w:right w:val="nil"/>
            </w:tcBorders>
            <w:shd w:val="clear" w:color="auto" w:fill="auto"/>
            <w:noWrap/>
            <w:vAlign w:val="center"/>
          </w:tcPr>
          <w:p w14:paraId="288A3E08" w14:textId="0A2DDE72" w:rsidR="00947AF3" w:rsidRPr="00255098" w:rsidRDefault="00947AF3" w:rsidP="009310B7">
            <w:pPr>
              <w:spacing w:after="0" w:line="276" w:lineRule="auto"/>
              <w:jc w:val="right"/>
              <w:rPr>
                <w:rFonts w:cs="Arial"/>
                <w:sz w:val="16"/>
                <w:szCs w:val="16"/>
              </w:rPr>
            </w:pPr>
            <w:r w:rsidRPr="00255098">
              <w:rPr>
                <w:rFonts w:cs="Arial"/>
                <w:bCs/>
                <w:sz w:val="16"/>
                <w:szCs w:val="16"/>
              </w:rPr>
              <w:t>344,3</w:t>
            </w:r>
          </w:p>
        </w:tc>
        <w:tc>
          <w:tcPr>
            <w:tcW w:w="861" w:type="dxa"/>
            <w:tcBorders>
              <w:top w:val="nil"/>
              <w:left w:val="nil"/>
              <w:bottom w:val="nil"/>
              <w:right w:val="nil"/>
            </w:tcBorders>
            <w:shd w:val="clear" w:color="auto" w:fill="auto"/>
            <w:noWrap/>
            <w:vAlign w:val="center"/>
          </w:tcPr>
          <w:p w14:paraId="5A7A80E9" w14:textId="1CBB6AD9" w:rsidR="00947AF3" w:rsidRPr="009B5B1E" w:rsidRDefault="00947AF3" w:rsidP="009310B7">
            <w:pPr>
              <w:spacing w:after="0" w:line="276" w:lineRule="auto"/>
              <w:jc w:val="right"/>
              <w:rPr>
                <w:rFonts w:cs="Arial"/>
                <w:sz w:val="16"/>
                <w:szCs w:val="16"/>
              </w:rPr>
            </w:pPr>
            <w:r w:rsidRPr="009B5B1E">
              <w:rPr>
                <w:rFonts w:cs="Arial"/>
                <w:sz w:val="16"/>
                <w:szCs w:val="16"/>
              </w:rPr>
              <w:t>0,15%</w:t>
            </w:r>
          </w:p>
        </w:tc>
        <w:tc>
          <w:tcPr>
            <w:tcW w:w="1374" w:type="dxa"/>
            <w:tcBorders>
              <w:top w:val="nil"/>
              <w:left w:val="nil"/>
              <w:bottom w:val="nil"/>
              <w:right w:val="nil"/>
            </w:tcBorders>
            <w:shd w:val="clear" w:color="auto" w:fill="auto"/>
            <w:noWrap/>
            <w:vAlign w:val="center"/>
          </w:tcPr>
          <w:p w14:paraId="28B059D7" w14:textId="32E8A229" w:rsidR="00947AF3" w:rsidRPr="009B5B1E" w:rsidRDefault="00947AF3" w:rsidP="009310B7">
            <w:pPr>
              <w:spacing w:after="0" w:line="276" w:lineRule="auto"/>
              <w:jc w:val="right"/>
              <w:rPr>
                <w:rFonts w:cs="Arial"/>
                <w:sz w:val="16"/>
                <w:szCs w:val="16"/>
              </w:rPr>
            </w:pPr>
            <w:r w:rsidRPr="009B5B1E">
              <w:rPr>
                <w:rFonts w:cs="Arial"/>
                <w:sz w:val="16"/>
                <w:szCs w:val="16"/>
              </w:rPr>
              <w:t>103,5</w:t>
            </w:r>
          </w:p>
        </w:tc>
        <w:tc>
          <w:tcPr>
            <w:tcW w:w="777" w:type="dxa"/>
            <w:tcBorders>
              <w:top w:val="nil"/>
              <w:left w:val="nil"/>
              <w:bottom w:val="nil"/>
              <w:right w:val="nil"/>
            </w:tcBorders>
            <w:shd w:val="clear" w:color="auto" w:fill="auto"/>
            <w:noWrap/>
            <w:vAlign w:val="center"/>
          </w:tcPr>
          <w:p w14:paraId="107355DD" w14:textId="21A1CED8" w:rsidR="00947AF3" w:rsidRPr="009B5B1E" w:rsidRDefault="00947AF3" w:rsidP="009310B7">
            <w:pPr>
              <w:spacing w:after="0" w:line="276" w:lineRule="auto"/>
              <w:jc w:val="right"/>
              <w:rPr>
                <w:rFonts w:cs="Arial"/>
                <w:sz w:val="16"/>
                <w:szCs w:val="16"/>
              </w:rPr>
            </w:pPr>
            <w:r w:rsidRPr="009B5B1E">
              <w:rPr>
                <w:rFonts w:cs="Arial"/>
                <w:sz w:val="16"/>
                <w:szCs w:val="16"/>
              </w:rPr>
              <w:t>240,8</w:t>
            </w:r>
          </w:p>
        </w:tc>
        <w:tc>
          <w:tcPr>
            <w:tcW w:w="878" w:type="dxa"/>
            <w:tcBorders>
              <w:top w:val="nil"/>
              <w:left w:val="nil"/>
              <w:bottom w:val="nil"/>
              <w:right w:val="nil"/>
            </w:tcBorders>
            <w:shd w:val="clear" w:color="auto" w:fill="auto"/>
            <w:noWrap/>
            <w:vAlign w:val="center"/>
          </w:tcPr>
          <w:p w14:paraId="33B1C113" w14:textId="5789070A" w:rsidR="00947AF3" w:rsidRPr="009B5B1E" w:rsidRDefault="00947AF3" w:rsidP="009310B7">
            <w:pPr>
              <w:spacing w:after="0" w:line="276" w:lineRule="auto"/>
              <w:jc w:val="right"/>
              <w:rPr>
                <w:rFonts w:cs="Arial"/>
                <w:sz w:val="16"/>
                <w:szCs w:val="16"/>
              </w:rPr>
            </w:pPr>
            <w:r w:rsidRPr="009B5B1E">
              <w:rPr>
                <w:rFonts w:cs="Arial"/>
                <w:sz w:val="16"/>
                <w:szCs w:val="16"/>
              </w:rPr>
              <w:t>0,11%</w:t>
            </w:r>
          </w:p>
        </w:tc>
        <w:tc>
          <w:tcPr>
            <w:tcW w:w="965" w:type="dxa"/>
            <w:tcBorders>
              <w:top w:val="nil"/>
              <w:left w:val="nil"/>
              <w:bottom w:val="nil"/>
            </w:tcBorders>
            <w:shd w:val="clear" w:color="auto" w:fill="auto"/>
            <w:noWrap/>
            <w:vAlign w:val="center"/>
          </w:tcPr>
          <w:p w14:paraId="4548BBCF" w14:textId="3EDFEAEB" w:rsidR="00947AF3" w:rsidRPr="009B5B1E" w:rsidRDefault="00947AF3" w:rsidP="009310B7">
            <w:pPr>
              <w:spacing w:after="0" w:line="276" w:lineRule="auto"/>
              <w:jc w:val="right"/>
              <w:rPr>
                <w:rFonts w:cs="Arial"/>
                <w:sz w:val="16"/>
                <w:szCs w:val="16"/>
              </w:rPr>
            </w:pPr>
            <w:r w:rsidRPr="009B5B1E">
              <w:rPr>
                <w:rFonts w:cs="Arial"/>
                <w:sz w:val="16"/>
                <w:szCs w:val="16"/>
              </w:rPr>
              <w:t>224.686</w:t>
            </w:r>
          </w:p>
        </w:tc>
      </w:tr>
      <w:tr w:rsidR="00947AF3" w:rsidRPr="00E47A31" w14:paraId="6E506A64" w14:textId="77777777" w:rsidTr="009310B7">
        <w:trPr>
          <w:cantSplit/>
          <w:trHeight w:val="283"/>
          <w:jc w:val="center"/>
        </w:trPr>
        <w:tc>
          <w:tcPr>
            <w:tcW w:w="665" w:type="dxa"/>
            <w:tcBorders>
              <w:top w:val="nil"/>
              <w:bottom w:val="nil"/>
              <w:right w:val="nil"/>
            </w:tcBorders>
            <w:shd w:val="clear" w:color="auto" w:fill="auto"/>
            <w:noWrap/>
            <w:vAlign w:val="center"/>
          </w:tcPr>
          <w:p w14:paraId="1CF6E824" w14:textId="77777777" w:rsidR="00947AF3" w:rsidRPr="00E47A31" w:rsidRDefault="00947AF3" w:rsidP="009310B7">
            <w:pPr>
              <w:spacing w:after="0" w:line="276" w:lineRule="auto"/>
              <w:jc w:val="center"/>
              <w:rPr>
                <w:rFonts w:cs="Arial"/>
                <w:sz w:val="16"/>
                <w:szCs w:val="16"/>
              </w:rPr>
            </w:pPr>
            <w:r w:rsidRPr="00E47A31">
              <w:rPr>
                <w:rFonts w:cs="Arial"/>
                <w:sz w:val="16"/>
                <w:szCs w:val="16"/>
              </w:rPr>
              <w:t>2024</w:t>
            </w:r>
          </w:p>
        </w:tc>
        <w:tc>
          <w:tcPr>
            <w:tcW w:w="890" w:type="dxa"/>
            <w:tcBorders>
              <w:top w:val="nil"/>
              <w:left w:val="nil"/>
              <w:bottom w:val="nil"/>
              <w:right w:val="nil"/>
            </w:tcBorders>
            <w:shd w:val="clear" w:color="auto" w:fill="auto"/>
            <w:noWrap/>
            <w:vAlign w:val="center"/>
          </w:tcPr>
          <w:p w14:paraId="47346460" w14:textId="34F3D574" w:rsidR="00947AF3" w:rsidRPr="009B5B1E" w:rsidRDefault="00947AF3" w:rsidP="009310B7">
            <w:pPr>
              <w:spacing w:after="0" w:line="276" w:lineRule="auto"/>
              <w:jc w:val="right"/>
              <w:rPr>
                <w:rFonts w:cs="Arial"/>
                <w:sz w:val="16"/>
                <w:szCs w:val="16"/>
              </w:rPr>
            </w:pPr>
            <w:r w:rsidRPr="009B5B1E">
              <w:rPr>
                <w:rFonts w:cs="Arial"/>
                <w:sz w:val="16"/>
                <w:szCs w:val="16"/>
              </w:rPr>
              <w:t>300,0</w:t>
            </w:r>
          </w:p>
        </w:tc>
        <w:tc>
          <w:tcPr>
            <w:tcW w:w="915" w:type="dxa"/>
            <w:tcBorders>
              <w:top w:val="nil"/>
              <w:left w:val="nil"/>
              <w:bottom w:val="nil"/>
              <w:right w:val="nil"/>
            </w:tcBorders>
            <w:shd w:val="clear" w:color="auto" w:fill="auto"/>
            <w:noWrap/>
            <w:vAlign w:val="center"/>
          </w:tcPr>
          <w:p w14:paraId="3FFB92AA" w14:textId="4A77AC9D" w:rsidR="00947AF3" w:rsidRPr="009B5B1E" w:rsidRDefault="00947AF3" w:rsidP="009310B7">
            <w:pPr>
              <w:spacing w:after="0" w:line="276" w:lineRule="auto"/>
              <w:jc w:val="right"/>
              <w:rPr>
                <w:rFonts w:cs="Arial"/>
                <w:sz w:val="16"/>
                <w:szCs w:val="16"/>
              </w:rPr>
            </w:pPr>
            <w:r w:rsidRPr="009B5B1E">
              <w:rPr>
                <w:rFonts w:cs="Arial"/>
                <w:sz w:val="16"/>
                <w:szCs w:val="16"/>
              </w:rPr>
              <w:t>0,13%</w:t>
            </w:r>
          </w:p>
        </w:tc>
        <w:tc>
          <w:tcPr>
            <w:tcW w:w="1003" w:type="dxa"/>
            <w:tcBorders>
              <w:top w:val="nil"/>
              <w:left w:val="nil"/>
              <w:bottom w:val="nil"/>
              <w:right w:val="nil"/>
            </w:tcBorders>
            <w:shd w:val="clear" w:color="auto" w:fill="auto"/>
            <w:noWrap/>
            <w:vAlign w:val="center"/>
          </w:tcPr>
          <w:p w14:paraId="31364ACB" w14:textId="773AA3EE" w:rsidR="00947AF3" w:rsidRPr="009B5B1E" w:rsidRDefault="00947AF3" w:rsidP="009310B7">
            <w:pPr>
              <w:spacing w:after="0" w:line="276" w:lineRule="auto"/>
              <w:jc w:val="right"/>
              <w:rPr>
                <w:rFonts w:cs="Arial"/>
                <w:sz w:val="16"/>
                <w:szCs w:val="16"/>
              </w:rPr>
            </w:pPr>
            <w:r w:rsidRPr="009B5B1E">
              <w:rPr>
                <w:rFonts w:cs="Arial"/>
                <w:sz w:val="16"/>
                <w:szCs w:val="16"/>
              </w:rPr>
              <w:t>6.820,8</w:t>
            </w:r>
          </w:p>
        </w:tc>
        <w:tc>
          <w:tcPr>
            <w:tcW w:w="910" w:type="dxa"/>
            <w:tcBorders>
              <w:top w:val="nil"/>
              <w:left w:val="nil"/>
              <w:bottom w:val="nil"/>
              <w:right w:val="nil"/>
            </w:tcBorders>
            <w:shd w:val="clear" w:color="auto" w:fill="auto"/>
            <w:noWrap/>
            <w:vAlign w:val="center"/>
          </w:tcPr>
          <w:p w14:paraId="0AE008B8" w14:textId="31F72615" w:rsidR="00947AF3" w:rsidRPr="009B5B1E" w:rsidRDefault="00947AF3" w:rsidP="009310B7">
            <w:pPr>
              <w:spacing w:after="0" w:line="276" w:lineRule="auto"/>
              <w:jc w:val="right"/>
              <w:rPr>
                <w:rFonts w:cs="Arial"/>
                <w:sz w:val="16"/>
                <w:szCs w:val="16"/>
              </w:rPr>
            </w:pPr>
            <w:r w:rsidRPr="009B5B1E">
              <w:rPr>
                <w:rFonts w:cs="Arial"/>
                <w:sz w:val="16"/>
                <w:szCs w:val="16"/>
              </w:rPr>
              <w:t>2,88%</w:t>
            </w:r>
          </w:p>
        </w:tc>
        <w:tc>
          <w:tcPr>
            <w:tcW w:w="890" w:type="dxa"/>
            <w:tcBorders>
              <w:top w:val="nil"/>
              <w:left w:val="nil"/>
              <w:bottom w:val="nil"/>
              <w:right w:val="nil"/>
            </w:tcBorders>
            <w:shd w:val="clear" w:color="auto" w:fill="auto"/>
            <w:noWrap/>
            <w:vAlign w:val="center"/>
          </w:tcPr>
          <w:p w14:paraId="4FBB2C72" w14:textId="5CFEB97B" w:rsidR="00947AF3" w:rsidRPr="00255098" w:rsidRDefault="00947AF3" w:rsidP="009310B7">
            <w:pPr>
              <w:spacing w:after="0" w:line="276" w:lineRule="auto"/>
              <w:jc w:val="right"/>
              <w:rPr>
                <w:rFonts w:cs="Arial"/>
                <w:sz w:val="16"/>
                <w:szCs w:val="16"/>
              </w:rPr>
            </w:pPr>
            <w:r w:rsidRPr="00255098">
              <w:rPr>
                <w:rFonts w:cs="Arial"/>
                <w:bCs/>
                <w:sz w:val="16"/>
                <w:szCs w:val="16"/>
              </w:rPr>
              <w:t>419,6</w:t>
            </w:r>
          </w:p>
        </w:tc>
        <w:tc>
          <w:tcPr>
            <w:tcW w:w="861" w:type="dxa"/>
            <w:tcBorders>
              <w:top w:val="nil"/>
              <w:left w:val="nil"/>
              <w:bottom w:val="nil"/>
              <w:right w:val="nil"/>
            </w:tcBorders>
            <w:shd w:val="clear" w:color="auto" w:fill="auto"/>
            <w:noWrap/>
            <w:vAlign w:val="center"/>
          </w:tcPr>
          <w:p w14:paraId="5AA4F4B1" w14:textId="331E9BCB" w:rsidR="00947AF3" w:rsidRPr="009B5B1E" w:rsidRDefault="00947AF3" w:rsidP="009310B7">
            <w:pPr>
              <w:spacing w:after="0" w:line="276" w:lineRule="auto"/>
              <w:jc w:val="right"/>
              <w:rPr>
                <w:rFonts w:cs="Arial"/>
                <w:sz w:val="16"/>
                <w:szCs w:val="16"/>
              </w:rPr>
            </w:pPr>
            <w:r w:rsidRPr="009B5B1E">
              <w:rPr>
                <w:rFonts w:cs="Arial"/>
                <w:sz w:val="16"/>
                <w:szCs w:val="16"/>
              </w:rPr>
              <w:t>0,18%</w:t>
            </w:r>
          </w:p>
        </w:tc>
        <w:tc>
          <w:tcPr>
            <w:tcW w:w="1374" w:type="dxa"/>
            <w:tcBorders>
              <w:top w:val="nil"/>
              <w:left w:val="nil"/>
              <w:bottom w:val="nil"/>
              <w:right w:val="nil"/>
            </w:tcBorders>
            <w:shd w:val="clear" w:color="auto" w:fill="auto"/>
            <w:noWrap/>
            <w:vAlign w:val="center"/>
          </w:tcPr>
          <w:p w14:paraId="054C1DFE" w14:textId="2F43FC82" w:rsidR="00947AF3" w:rsidRPr="009B5B1E" w:rsidRDefault="00947AF3" w:rsidP="009310B7">
            <w:pPr>
              <w:spacing w:after="0" w:line="276" w:lineRule="auto"/>
              <w:jc w:val="right"/>
              <w:rPr>
                <w:rFonts w:cs="Arial"/>
                <w:sz w:val="16"/>
                <w:szCs w:val="16"/>
              </w:rPr>
            </w:pPr>
            <w:r w:rsidRPr="009B5B1E">
              <w:rPr>
                <w:rFonts w:cs="Arial"/>
                <w:sz w:val="16"/>
                <w:szCs w:val="16"/>
              </w:rPr>
              <w:t>116,6</w:t>
            </w:r>
          </w:p>
        </w:tc>
        <w:tc>
          <w:tcPr>
            <w:tcW w:w="777" w:type="dxa"/>
            <w:tcBorders>
              <w:top w:val="nil"/>
              <w:left w:val="nil"/>
              <w:bottom w:val="nil"/>
              <w:right w:val="nil"/>
            </w:tcBorders>
            <w:shd w:val="clear" w:color="auto" w:fill="auto"/>
            <w:noWrap/>
            <w:vAlign w:val="center"/>
          </w:tcPr>
          <w:p w14:paraId="54275E22" w14:textId="5E3AD779" w:rsidR="00947AF3" w:rsidRPr="009B5B1E" w:rsidRDefault="00947AF3" w:rsidP="009310B7">
            <w:pPr>
              <w:spacing w:after="0" w:line="276" w:lineRule="auto"/>
              <w:jc w:val="right"/>
              <w:rPr>
                <w:rFonts w:cs="Arial"/>
                <w:sz w:val="16"/>
                <w:szCs w:val="16"/>
              </w:rPr>
            </w:pPr>
            <w:r w:rsidRPr="009B5B1E">
              <w:rPr>
                <w:rFonts w:cs="Arial"/>
                <w:sz w:val="16"/>
                <w:szCs w:val="16"/>
              </w:rPr>
              <w:t>303,0</w:t>
            </w:r>
          </w:p>
        </w:tc>
        <w:tc>
          <w:tcPr>
            <w:tcW w:w="878" w:type="dxa"/>
            <w:tcBorders>
              <w:top w:val="nil"/>
              <w:left w:val="nil"/>
              <w:bottom w:val="nil"/>
              <w:right w:val="nil"/>
            </w:tcBorders>
            <w:shd w:val="clear" w:color="auto" w:fill="auto"/>
            <w:noWrap/>
            <w:vAlign w:val="center"/>
          </w:tcPr>
          <w:p w14:paraId="0553156C" w14:textId="12692B68" w:rsidR="00947AF3" w:rsidRPr="009B5B1E" w:rsidRDefault="00947AF3" w:rsidP="009310B7">
            <w:pPr>
              <w:spacing w:after="0" w:line="276" w:lineRule="auto"/>
              <w:jc w:val="right"/>
              <w:rPr>
                <w:rFonts w:cs="Arial"/>
                <w:sz w:val="16"/>
                <w:szCs w:val="16"/>
              </w:rPr>
            </w:pPr>
            <w:r w:rsidRPr="009B5B1E">
              <w:rPr>
                <w:rFonts w:cs="Arial"/>
                <w:sz w:val="16"/>
                <w:szCs w:val="16"/>
              </w:rPr>
              <w:t>0,13%</w:t>
            </w:r>
          </w:p>
        </w:tc>
        <w:tc>
          <w:tcPr>
            <w:tcW w:w="965" w:type="dxa"/>
            <w:tcBorders>
              <w:top w:val="nil"/>
              <w:left w:val="nil"/>
              <w:bottom w:val="nil"/>
            </w:tcBorders>
            <w:shd w:val="clear" w:color="auto" w:fill="auto"/>
            <w:noWrap/>
            <w:vAlign w:val="center"/>
          </w:tcPr>
          <w:p w14:paraId="5F698642" w14:textId="67B2DE37" w:rsidR="00947AF3" w:rsidRPr="009B5B1E" w:rsidRDefault="00947AF3" w:rsidP="009310B7">
            <w:pPr>
              <w:spacing w:after="0" w:line="276" w:lineRule="auto"/>
              <w:jc w:val="right"/>
              <w:rPr>
                <w:rFonts w:cs="Arial"/>
                <w:sz w:val="16"/>
                <w:szCs w:val="16"/>
              </w:rPr>
            </w:pPr>
            <w:r w:rsidRPr="009B5B1E">
              <w:rPr>
                <w:rFonts w:cs="Arial"/>
                <w:sz w:val="16"/>
                <w:szCs w:val="16"/>
              </w:rPr>
              <w:t>236.736</w:t>
            </w:r>
          </w:p>
        </w:tc>
      </w:tr>
      <w:tr w:rsidR="00947AF3" w:rsidRPr="00947AF3" w14:paraId="67F01F69" w14:textId="77777777" w:rsidTr="009310B7">
        <w:trPr>
          <w:cantSplit/>
          <w:trHeight w:val="283"/>
          <w:jc w:val="center"/>
        </w:trPr>
        <w:tc>
          <w:tcPr>
            <w:tcW w:w="665" w:type="dxa"/>
            <w:tcBorders>
              <w:top w:val="nil"/>
              <w:bottom w:val="single" w:sz="2" w:space="0" w:color="A6A6A6" w:themeColor="background1" w:themeShade="A6"/>
              <w:right w:val="nil"/>
            </w:tcBorders>
            <w:shd w:val="clear" w:color="auto" w:fill="auto"/>
            <w:noWrap/>
            <w:vAlign w:val="center"/>
          </w:tcPr>
          <w:p w14:paraId="488425C2" w14:textId="7E23790F" w:rsidR="00947AF3" w:rsidRPr="00E47A31" w:rsidRDefault="00947AF3" w:rsidP="009310B7">
            <w:pPr>
              <w:spacing w:after="0" w:line="276" w:lineRule="auto"/>
              <w:jc w:val="center"/>
              <w:rPr>
                <w:rFonts w:cs="Arial"/>
                <w:sz w:val="16"/>
                <w:szCs w:val="16"/>
              </w:rPr>
            </w:pPr>
            <w:r w:rsidRPr="00E47A31">
              <w:rPr>
                <w:rFonts w:cs="Arial"/>
                <w:sz w:val="16"/>
                <w:szCs w:val="16"/>
              </w:rPr>
              <w:t>2025</w:t>
            </w:r>
          </w:p>
        </w:tc>
        <w:tc>
          <w:tcPr>
            <w:tcW w:w="890" w:type="dxa"/>
            <w:tcBorders>
              <w:top w:val="nil"/>
              <w:left w:val="nil"/>
              <w:bottom w:val="single" w:sz="2" w:space="0" w:color="A6A6A6" w:themeColor="background1" w:themeShade="A6"/>
              <w:right w:val="nil"/>
            </w:tcBorders>
            <w:shd w:val="clear" w:color="auto" w:fill="auto"/>
            <w:noWrap/>
            <w:vAlign w:val="center"/>
          </w:tcPr>
          <w:p w14:paraId="10A95706" w14:textId="0950939E" w:rsidR="00947AF3" w:rsidRPr="009B5B1E" w:rsidRDefault="00947AF3" w:rsidP="009310B7">
            <w:pPr>
              <w:spacing w:after="0" w:line="276" w:lineRule="auto"/>
              <w:jc w:val="right"/>
              <w:rPr>
                <w:rFonts w:cs="Arial"/>
                <w:sz w:val="16"/>
                <w:szCs w:val="16"/>
              </w:rPr>
            </w:pPr>
            <w:r w:rsidRPr="009B5B1E">
              <w:rPr>
                <w:rFonts w:cs="Arial"/>
                <w:sz w:val="16"/>
                <w:szCs w:val="16"/>
              </w:rPr>
              <w:t>174,9</w:t>
            </w:r>
          </w:p>
        </w:tc>
        <w:tc>
          <w:tcPr>
            <w:tcW w:w="915" w:type="dxa"/>
            <w:tcBorders>
              <w:top w:val="nil"/>
              <w:left w:val="nil"/>
              <w:bottom w:val="single" w:sz="2" w:space="0" w:color="A6A6A6" w:themeColor="background1" w:themeShade="A6"/>
              <w:right w:val="nil"/>
            </w:tcBorders>
            <w:shd w:val="clear" w:color="auto" w:fill="auto"/>
            <w:noWrap/>
            <w:vAlign w:val="center"/>
          </w:tcPr>
          <w:p w14:paraId="4B7C48F6" w14:textId="6C25EC02" w:rsidR="00947AF3" w:rsidRPr="009B5B1E" w:rsidRDefault="00947AF3" w:rsidP="009310B7">
            <w:pPr>
              <w:spacing w:after="0" w:line="276" w:lineRule="auto"/>
              <w:jc w:val="right"/>
              <w:rPr>
                <w:rFonts w:cs="Arial"/>
                <w:sz w:val="16"/>
                <w:szCs w:val="16"/>
              </w:rPr>
            </w:pPr>
            <w:r w:rsidRPr="009B5B1E">
              <w:rPr>
                <w:rFonts w:cs="Arial"/>
                <w:sz w:val="16"/>
                <w:szCs w:val="16"/>
              </w:rPr>
              <w:t>0,07%</w:t>
            </w:r>
          </w:p>
        </w:tc>
        <w:tc>
          <w:tcPr>
            <w:tcW w:w="1003" w:type="dxa"/>
            <w:tcBorders>
              <w:top w:val="nil"/>
              <w:left w:val="nil"/>
              <w:bottom w:val="single" w:sz="2" w:space="0" w:color="A6A6A6" w:themeColor="background1" w:themeShade="A6"/>
              <w:right w:val="nil"/>
            </w:tcBorders>
            <w:shd w:val="clear" w:color="auto" w:fill="auto"/>
            <w:noWrap/>
            <w:vAlign w:val="center"/>
          </w:tcPr>
          <w:p w14:paraId="7A07DFA7" w14:textId="1FAFCC16" w:rsidR="00947AF3" w:rsidRPr="009B5B1E" w:rsidRDefault="00947AF3" w:rsidP="009310B7">
            <w:pPr>
              <w:spacing w:after="0" w:line="276" w:lineRule="auto"/>
              <w:jc w:val="right"/>
              <w:rPr>
                <w:rFonts w:cs="Arial"/>
                <w:sz w:val="16"/>
                <w:szCs w:val="16"/>
              </w:rPr>
            </w:pPr>
            <w:r w:rsidRPr="009B5B1E">
              <w:rPr>
                <w:rFonts w:cs="Arial"/>
                <w:sz w:val="16"/>
                <w:szCs w:val="16"/>
              </w:rPr>
              <w:t>6.312,1</w:t>
            </w:r>
          </w:p>
        </w:tc>
        <w:tc>
          <w:tcPr>
            <w:tcW w:w="910" w:type="dxa"/>
            <w:tcBorders>
              <w:top w:val="nil"/>
              <w:left w:val="nil"/>
              <w:bottom w:val="single" w:sz="2" w:space="0" w:color="A6A6A6" w:themeColor="background1" w:themeShade="A6"/>
              <w:right w:val="nil"/>
            </w:tcBorders>
            <w:shd w:val="clear" w:color="auto" w:fill="auto"/>
            <w:noWrap/>
            <w:vAlign w:val="center"/>
          </w:tcPr>
          <w:p w14:paraId="1B1C0527" w14:textId="717CB8A3" w:rsidR="00947AF3" w:rsidRPr="009B5B1E" w:rsidRDefault="00947AF3" w:rsidP="009310B7">
            <w:pPr>
              <w:spacing w:after="0" w:line="276" w:lineRule="auto"/>
              <w:jc w:val="right"/>
              <w:rPr>
                <w:rFonts w:cs="Arial"/>
                <w:sz w:val="16"/>
                <w:szCs w:val="16"/>
              </w:rPr>
            </w:pPr>
            <w:r w:rsidRPr="009B5B1E">
              <w:rPr>
                <w:rFonts w:cs="Arial"/>
                <w:sz w:val="16"/>
                <w:szCs w:val="16"/>
              </w:rPr>
              <w:t>2,54%</w:t>
            </w:r>
          </w:p>
        </w:tc>
        <w:tc>
          <w:tcPr>
            <w:tcW w:w="890" w:type="dxa"/>
            <w:tcBorders>
              <w:top w:val="nil"/>
              <w:left w:val="nil"/>
              <w:bottom w:val="single" w:sz="2" w:space="0" w:color="A6A6A6" w:themeColor="background1" w:themeShade="A6"/>
              <w:right w:val="nil"/>
            </w:tcBorders>
            <w:shd w:val="clear" w:color="auto" w:fill="auto"/>
            <w:noWrap/>
            <w:vAlign w:val="center"/>
          </w:tcPr>
          <w:p w14:paraId="1CFE69D5" w14:textId="384B9B1B" w:rsidR="00947AF3" w:rsidRPr="009B5B1E" w:rsidRDefault="00947AF3" w:rsidP="009310B7">
            <w:pPr>
              <w:spacing w:after="0" w:line="276" w:lineRule="auto"/>
              <w:jc w:val="right"/>
              <w:rPr>
                <w:rFonts w:cs="Arial"/>
                <w:sz w:val="16"/>
                <w:szCs w:val="16"/>
              </w:rPr>
            </w:pPr>
            <w:r w:rsidRPr="009B5B1E">
              <w:rPr>
                <w:rFonts w:cs="Arial"/>
                <w:sz w:val="16"/>
                <w:szCs w:val="16"/>
              </w:rPr>
              <w:t>291,0</w:t>
            </w:r>
          </w:p>
        </w:tc>
        <w:tc>
          <w:tcPr>
            <w:tcW w:w="861" w:type="dxa"/>
            <w:tcBorders>
              <w:top w:val="nil"/>
              <w:left w:val="nil"/>
              <w:bottom w:val="single" w:sz="2" w:space="0" w:color="A6A6A6" w:themeColor="background1" w:themeShade="A6"/>
              <w:right w:val="nil"/>
            </w:tcBorders>
            <w:shd w:val="clear" w:color="auto" w:fill="auto"/>
            <w:noWrap/>
            <w:vAlign w:val="center"/>
          </w:tcPr>
          <w:p w14:paraId="672EE0DA" w14:textId="478A24EA" w:rsidR="00947AF3" w:rsidRPr="009B5B1E" w:rsidRDefault="00947AF3" w:rsidP="009310B7">
            <w:pPr>
              <w:spacing w:after="0" w:line="276" w:lineRule="auto"/>
              <w:jc w:val="right"/>
              <w:rPr>
                <w:rFonts w:cs="Arial"/>
                <w:sz w:val="16"/>
                <w:szCs w:val="16"/>
              </w:rPr>
            </w:pPr>
            <w:r w:rsidRPr="009B5B1E">
              <w:rPr>
                <w:rFonts w:cs="Arial"/>
                <w:sz w:val="16"/>
                <w:szCs w:val="16"/>
              </w:rPr>
              <w:t>0,12%</w:t>
            </w:r>
          </w:p>
        </w:tc>
        <w:tc>
          <w:tcPr>
            <w:tcW w:w="1374" w:type="dxa"/>
            <w:tcBorders>
              <w:top w:val="nil"/>
              <w:left w:val="nil"/>
              <w:bottom w:val="single" w:sz="2" w:space="0" w:color="A6A6A6" w:themeColor="background1" w:themeShade="A6"/>
              <w:right w:val="nil"/>
            </w:tcBorders>
            <w:shd w:val="clear" w:color="auto" w:fill="auto"/>
            <w:noWrap/>
            <w:vAlign w:val="center"/>
          </w:tcPr>
          <w:p w14:paraId="0C74E82F" w14:textId="5403CEFA" w:rsidR="00947AF3" w:rsidRPr="009B5B1E" w:rsidRDefault="00947AF3" w:rsidP="009310B7">
            <w:pPr>
              <w:spacing w:after="0" w:line="276" w:lineRule="auto"/>
              <w:jc w:val="right"/>
              <w:rPr>
                <w:rFonts w:cs="Arial"/>
                <w:sz w:val="16"/>
                <w:szCs w:val="16"/>
              </w:rPr>
            </w:pPr>
            <w:r w:rsidRPr="009B5B1E">
              <w:rPr>
                <w:rFonts w:cs="Arial"/>
                <w:sz w:val="16"/>
                <w:szCs w:val="16"/>
              </w:rPr>
              <w:t>116,8</w:t>
            </w:r>
          </w:p>
        </w:tc>
        <w:tc>
          <w:tcPr>
            <w:tcW w:w="777" w:type="dxa"/>
            <w:tcBorders>
              <w:top w:val="nil"/>
              <w:left w:val="nil"/>
              <w:bottom w:val="single" w:sz="2" w:space="0" w:color="A6A6A6" w:themeColor="background1" w:themeShade="A6"/>
              <w:right w:val="nil"/>
            </w:tcBorders>
            <w:shd w:val="clear" w:color="auto" w:fill="auto"/>
            <w:noWrap/>
            <w:vAlign w:val="center"/>
          </w:tcPr>
          <w:p w14:paraId="7BFC1682" w14:textId="31283559" w:rsidR="00947AF3" w:rsidRPr="009B5B1E" w:rsidRDefault="00947AF3" w:rsidP="009310B7">
            <w:pPr>
              <w:spacing w:after="0" w:line="276" w:lineRule="auto"/>
              <w:jc w:val="right"/>
              <w:rPr>
                <w:rFonts w:cs="Arial"/>
                <w:sz w:val="16"/>
                <w:szCs w:val="16"/>
              </w:rPr>
            </w:pPr>
            <w:r w:rsidRPr="009B5B1E">
              <w:rPr>
                <w:rFonts w:cs="Arial"/>
                <w:sz w:val="16"/>
                <w:szCs w:val="16"/>
              </w:rPr>
              <w:t>174,2</w:t>
            </w:r>
          </w:p>
        </w:tc>
        <w:tc>
          <w:tcPr>
            <w:tcW w:w="878" w:type="dxa"/>
            <w:tcBorders>
              <w:top w:val="nil"/>
              <w:left w:val="nil"/>
              <w:bottom w:val="single" w:sz="2" w:space="0" w:color="A6A6A6" w:themeColor="background1" w:themeShade="A6"/>
              <w:right w:val="nil"/>
            </w:tcBorders>
            <w:shd w:val="clear" w:color="auto" w:fill="auto"/>
            <w:noWrap/>
            <w:vAlign w:val="center"/>
          </w:tcPr>
          <w:p w14:paraId="10F8655A" w14:textId="6E9359B7" w:rsidR="00947AF3" w:rsidRPr="009B5B1E" w:rsidRDefault="00947AF3" w:rsidP="009310B7">
            <w:pPr>
              <w:spacing w:after="0" w:line="276" w:lineRule="auto"/>
              <w:jc w:val="right"/>
              <w:rPr>
                <w:rFonts w:cs="Arial"/>
                <w:sz w:val="16"/>
                <w:szCs w:val="16"/>
              </w:rPr>
            </w:pPr>
            <w:r w:rsidRPr="009B5B1E">
              <w:rPr>
                <w:rFonts w:cs="Arial"/>
                <w:sz w:val="16"/>
                <w:szCs w:val="16"/>
              </w:rPr>
              <w:t>0,07%</w:t>
            </w:r>
          </w:p>
        </w:tc>
        <w:tc>
          <w:tcPr>
            <w:tcW w:w="965" w:type="dxa"/>
            <w:tcBorders>
              <w:top w:val="nil"/>
              <w:left w:val="nil"/>
              <w:bottom w:val="single" w:sz="2" w:space="0" w:color="A6A6A6" w:themeColor="background1" w:themeShade="A6"/>
            </w:tcBorders>
            <w:shd w:val="clear" w:color="auto" w:fill="auto"/>
            <w:noWrap/>
            <w:vAlign w:val="center"/>
          </w:tcPr>
          <w:p w14:paraId="2454E55E" w14:textId="25E5BF23" w:rsidR="00947AF3" w:rsidRPr="009B5B1E" w:rsidRDefault="00947AF3" w:rsidP="009310B7">
            <w:pPr>
              <w:spacing w:after="0" w:line="276" w:lineRule="auto"/>
              <w:jc w:val="right"/>
              <w:rPr>
                <w:rFonts w:cs="Arial"/>
                <w:sz w:val="16"/>
                <w:szCs w:val="16"/>
              </w:rPr>
            </w:pPr>
            <w:r w:rsidRPr="009B5B1E">
              <w:rPr>
                <w:rFonts w:cs="Arial"/>
                <w:sz w:val="16"/>
                <w:szCs w:val="16"/>
              </w:rPr>
              <w:t>248.697</w:t>
            </w:r>
          </w:p>
        </w:tc>
      </w:tr>
      <w:tr w:rsidR="00947AF3" w:rsidRPr="00F151DE" w14:paraId="3C968AB3" w14:textId="77777777" w:rsidTr="00704CBB">
        <w:trPr>
          <w:cantSplit/>
          <w:trHeight w:val="20"/>
          <w:jc w:val="center"/>
        </w:trPr>
        <w:tc>
          <w:tcPr>
            <w:tcW w:w="10128" w:type="dxa"/>
            <w:gridSpan w:val="11"/>
            <w:tcBorders>
              <w:left w:val="nil"/>
              <w:bottom w:val="nil"/>
              <w:right w:val="nil"/>
            </w:tcBorders>
            <w:shd w:val="clear" w:color="auto" w:fill="auto"/>
            <w:noWrap/>
            <w:vAlign w:val="bottom"/>
            <w:hideMark/>
          </w:tcPr>
          <w:p w14:paraId="49AD8B1A" w14:textId="77777777" w:rsidR="00947AF3" w:rsidRPr="00F151DE" w:rsidRDefault="00947AF3" w:rsidP="00F151DE">
            <w:pPr>
              <w:spacing w:before="60" w:after="0" w:line="276" w:lineRule="auto"/>
              <w:rPr>
                <w:rFonts w:cs="Arial"/>
                <w:sz w:val="16"/>
                <w:szCs w:val="16"/>
              </w:rPr>
            </w:pPr>
            <w:r w:rsidRPr="00F151DE">
              <w:rPr>
                <w:rFonts w:cs="Arial"/>
                <w:sz w:val="16"/>
                <w:szCs w:val="16"/>
              </w:rPr>
              <w:t>Σημειώσεις:</w:t>
            </w:r>
          </w:p>
          <w:p w14:paraId="0E793564" w14:textId="55E53953" w:rsidR="00F151DE" w:rsidRPr="00F151DE" w:rsidRDefault="00F151DE" w:rsidP="00F151DE">
            <w:pPr>
              <w:pStyle w:val="af0"/>
              <w:numPr>
                <w:ilvl w:val="2"/>
                <w:numId w:val="15"/>
              </w:numPr>
              <w:spacing w:before="60" w:after="0"/>
              <w:ind w:left="169" w:hanging="169"/>
              <w:contextualSpacing w:val="0"/>
              <w:rPr>
                <w:rFonts w:ascii="Arial" w:hAnsi="Arial" w:cs="Arial"/>
                <w:sz w:val="16"/>
                <w:szCs w:val="16"/>
              </w:rPr>
            </w:pPr>
            <w:r w:rsidRPr="00F151DE">
              <w:rPr>
                <w:rFonts w:ascii="Arial" w:hAnsi="Arial" w:cs="Arial"/>
                <w:sz w:val="16"/>
                <w:szCs w:val="16"/>
              </w:rPr>
              <w:t>Τα στοιχεία για το έτος 2025 αποτελούν εκτιμήσεις.</w:t>
            </w:r>
          </w:p>
          <w:p w14:paraId="72C5346C" w14:textId="19C96651" w:rsidR="00F151DE" w:rsidRPr="00F151DE" w:rsidRDefault="00F151DE" w:rsidP="00F151DE">
            <w:pPr>
              <w:pStyle w:val="af0"/>
              <w:numPr>
                <w:ilvl w:val="2"/>
                <w:numId w:val="15"/>
              </w:numPr>
              <w:spacing w:before="60" w:after="0"/>
              <w:ind w:left="169" w:hanging="169"/>
              <w:contextualSpacing w:val="0"/>
              <w:rPr>
                <w:rFonts w:ascii="Arial" w:hAnsi="Arial" w:cs="Arial"/>
                <w:sz w:val="16"/>
                <w:szCs w:val="16"/>
              </w:rPr>
            </w:pPr>
            <w:r w:rsidRPr="00F151DE">
              <w:rPr>
                <w:rFonts w:ascii="Arial" w:hAnsi="Arial" w:cs="Arial"/>
                <w:sz w:val="16"/>
                <w:szCs w:val="16"/>
              </w:rPr>
              <w:t>Το ποσό των καταπτώσεων αφορά σε παρασχεθείσες εγγυήσεις προηγούμενων ετών.</w:t>
            </w:r>
          </w:p>
          <w:p w14:paraId="2947A520" w14:textId="717317E6" w:rsidR="00F151DE" w:rsidRPr="00F151DE" w:rsidRDefault="00F151DE" w:rsidP="00F151DE">
            <w:pPr>
              <w:pStyle w:val="af0"/>
              <w:numPr>
                <w:ilvl w:val="2"/>
                <w:numId w:val="15"/>
              </w:numPr>
              <w:spacing w:before="60" w:after="0"/>
              <w:ind w:left="169" w:hanging="169"/>
              <w:contextualSpacing w:val="0"/>
              <w:rPr>
                <w:rFonts w:ascii="Arial" w:hAnsi="Arial" w:cs="Arial"/>
                <w:sz w:val="16"/>
                <w:szCs w:val="16"/>
              </w:rPr>
            </w:pPr>
            <w:r w:rsidRPr="00F151DE">
              <w:rPr>
                <w:rFonts w:ascii="Arial" w:hAnsi="Arial" w:cs="Arial"/>
                <w:sz w:val="16"/>
                <w:szCs w:val="16"/>
              </w:rPr>
              <w:t>O πίνακας αφορά μόνο στους φορείς εντός και εκτός Γενικής Κυβέρνησης.</w:t>
            </w:r>
          </w:p>
        </w:tc>
      </w:tr>
      <w:bookmarkEnd w:id="748"/>
    </w:tbl>
    <w:p w14:paraId="5610EC49" w14:textId="62458276" w:rsidR="00A334D1" w:rsidRPr="00FD594B" w:rsidRDefault="00A334D1" w:rsidP="00A334D1">
      <w:pPr>
        <w:rPr>
          <w:highlight w:val="yellow"/>
        </w:rPr>
      </w:pPr>
    </w:p>
    <w:p w14:paraId="6DECB071" w14:textId="78230B91" w:rsidR="00962DE1" w:rsidRPr="00841BFE" w:rsidRDefault="00962DE1" w:rsidP="00841BFE">
      <w:pPr>
        <w:pStyle w:val="afe"/>
        <w:keepNext/>
        <w:spacing w:after="60" w:line="276" w:lineRule="auto"/>
        <w:rPr>
          <w:sz w:val="18"/>
          <w:szCs w:val="18"/>
        </w:rPr>
      </w:pPr>
      <w:bookmarkStart w:id="749" w:name="_Ref181889693"/>
      <w:bookmarkStart w:id="750" w:name="_Toc214474890"/>
      <w:r w:rsidRPr="00841BFE">
        <w:rPr>
          <w:bCs w:val="0"/>
          <w:sz w:val="18"/>
          <w:szCs w:val="18"/>
        </w:rPr>
        <w:t>Διάγραμμα 4.</w:t>
      </w:r>
      <w:r w:rsidRPr="00841BFE">
        <w:rPr>
          <w:bCs w:val="0"/>
          <w:sz w:val="18"/>
          <w:szCs w:val="18"/>
        </w:rPr>
        <w:fldChar w:fldCharType="begin"/>
      </w:r>
      <w:r w:rsidRPr="00841BFE">
        <w:rPr>
          <w:bCs w:val="0"/>
          <w:sz w:val="18"/>
          <w:szCs w:val="18"/>
        </w:rPr>
        <w:instrText xml:space="preserve"> SEQ Διάγραμμα_4. \* ARABIC </w:instrText>
      </w:r>
      <w:r w:rsidRPr="00841BFE">
        <w:rPr>
          <w:bCs w:val="0"/>
          <w:sz w:val="18"/>
          <w:szCs w:val="18"/>
        </w:rPr>
        <w:fldChar w:fldCharType="separate"/>
      </w:r>
      <w:r w:rsidR="00E15678">
        <w:rPr>
          <w:bCs w:val="0"/>
          <w:noProof/>
          <w:sz w:val="18"/>
          <w:szCs w:val="18"/>
        </w:rPr>
        <w:t>8</w:t>
      </w:r>
      <w:r w:rsidRPr="00841BFE">
        <w:rPr>
          <w:bCs w:val="0"/>
          <w:sz w:val="18"/>
          <w:szCs w:val="18"/>
        </w:rPr>
        <w:fldChar w:fldCharType="end"/>
      </w:r>
      <w:bookmarkEnd w:id="749"/>
      <w:r w:rsidRPr="00841BFE">
        <w:rPr>
          <w:bCs w:val="0"/>
          <w:sz w:val="18"/>
          <w:szCs w:val="18"/>
        </w:rPr>
        <w:t>.:</w:t>
      </w:r>
      <w:r w:rsidR="00841BFE">
        <w:rPr>
          <w:bCs w:val="0"/>
          <w:sz w:val="18"/>
          <w:szCs w:val="18"/>
        </w:rPr>
        <w:t xml:space="preserve"> </w:t>
      </w:r>
      <w:r w:rsidRPr="00841BFE">
        <w:rPr>
          <w:sz w:val="18"/>
          <w:szCs w:val="18"/>
        </w:rPr>
        <w:t>Εγγυήσεις, καταπτώσεις και ανεξόφλητο εγγυημένο υπόλοιπο κατά τα έτη 2010 - 202</w:t>
      </w:r>
      <w:r w:rsidR="00D16F0C" w:rsidRPr="00D16F0C">
        <w:rPr>
          <w:sz w:val="18"/>
          <w:szCs w:val="18"/>
        </w:rPr>
        <w:t>5</w:t>
      </w:r>
      <w:r w:rsidR="005327ED" w:rsidRPr="00841BFE">
        <w:rPr>
          <w:sz w:val="18"/>
          <w:szCs w:val="18"/>
        </w:rPr>
        <w:t xml:space="preserve"> </w:t>
      </w:r>
      <w:r w:rsidRPr="00841BFE">
        <w:rPr>
          <w:sz w:val="18"/>
          <w:szCs w:val="18"/>
        </w:rPr>
        <w:t>(ως % του ΑΕΠ)</w:t>
      </w:r>
      <w:bookmarkEnd w:id="750"/>
    </w:p>
    <w:p w14:paraId="02B9CA59" w14:textId="77777777" w:rsidR="00B25291" w:rsidRDefault="0013430A" w:rsidP="009310B7">
      <w:pPr>
        <w:spacing w:after="0"/>
        <w:jc w:val="center"/>
        <w:rPr>
          <w:rFonts w:cs="Arial"/>
          <w:b/>
          <w:szCs w:val="20"/>
        </w:rPr>
      </w:pPr>
      <w:r w:rsidRPr="00C25249">
        <w:rPr>
          <w:noProof/>
          <w:sz w:val="16"/>
        </w:rPr>
        <w:drawing>
          <wp:inline distT="0" distB="0" distL="0" distR="0" wp14:anchorId="172C6A07" wp14:editId="17D488DC">
            <wp:extent cx="5759450" cy="2515870"/>
            <wp:effectExtent l="0" t="0" r="12700" b="17780"/>
            <wp:docPr id="4" name="Γράφημα 4">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283E4621" w14:textId="242E1019" w:rsidR="00F01357" w:rsidRDefault="00F01357" w:rsidP="00F01357">
      <w:pPr>
        <w:spacing w:before="240"/>
        <w:rPr>
          <w:rFonts w:cs="Arial"/>
          <w:b/>
          <w:szCs w:val="20"/>
        </w:rPr>
      </w:pPr>
      <w:r w:rsidRPr="00AE64F9">
        <w:lastRenderedPageBreak/>
        <w:t xml:space="preserve">Τα παραπάνω </w:t>
      </w:r>
      <w:r w:rsidRPr="00AE64F9">
        <w:rPr>
          <w:color w:val="000000" w:themeColor="text1"/>
        </w:rPr>
        <w:t xml:space="preserve">στοιχεία </w:t>
      </w:r>
      <w:r w:rsidRPr="00AE64F9">
        <w:rPr>
          <w:color w:val="000000" w:themeColor="text1"/>
          <w:szCs w:val="20"/>
        </w:rPr>
        <w:t>(</w:t>
      </w:r>
      <w:r w:rsidRPr="00AE64F9">
        <w:rPr>
          <w:szCs w:val="20"/>
        </w:rPr>
        <w:fldChar w:fldCharType="begin"/>
      </w:r>
      <w:r w:rsidRPr="00AE64F9">
        <w:rPr>
          <w:szCs w:val="20"/>
        </w:rPr>
        <w:instrText xml:space="preserve"> REF _Ref181890485 \h  \* MERGEFORMAT </w:instrText>
      </w:r>
      <w:r w:rsidRPr="00AE64F9">
        <w:rPr>
          <w:szCs w:val="20"/>
        </w:rPr>
      </w:r>
      <w:r w:rsidRPr="00AE64F9">
        <w:rPr>
          <w:szCs w:val="20"/>
        </w:rPr>
        <w:fldChar w:fldCharType="separate"/>
      </w:r>
      <w:r w:rsidR="00E15678" w:rsidRPr="00E15678">
        <w:rPr>
          <w:szCs w:val="20"/>
        </w:rPr>
        <w:t>Πίνακας 4.10</w:t>
      </w:r>
      <w:r w:rsidRPr="00AE64F9">
        <w:rPr>
          <w:szCs w:val="20"/>
        </w:rPr>
        <w:fldChar w:fldCharType="end"/>
      </w:r>
      <w:r w:rsidRPr="00AE64F9">
        <w:rPr>
          <w:szCs w:val="20"/>
        </w:rPr>
        <w:t>.,</w:t>
      </w:r>
      <w:r w:rsidRPr="00AE64F9">
        <w:t xml:space="preserve"> </w:t>
      </w:r>
      <w:r w:rsidRPr="00AE64F9">
        <w:rPr>
          <w:szCs w:val="20"/>
        </w:rPr>
        <w:fldChar w:fldCharType="begin"/>
      </w:r>
      <w:r w:rsidRPr="00AE64F9">
        <w:rPr>
          <w:szCs w:val="20"/>
        </w:rPr>
        <w:instrText xml:space="preserve"> REF _Ref181889693 \h  \* MERGEFORMAT </w:instrText>
      </w:r>
      <w:r w:rsidRPr="00AE64F9">
        <w:rPr>
          <w:szCs w:val="20"/>
        </w:rPr>
      </w:r>
      <w:r w:rsidRPr="00AE64F9">
        <w:rPr>
          <w:szCs w:val="20"/>
        </w:rPr>
        <w:fldChar w:fldCharType="separate"/>
      </w:r>
      <w:r w:rsidR="00E15678" w:rsidRPr="00E15678">
        <w:rPr>
          <w:bCs/>
          <w:szCs w:val="20"/>
        </w:rPr>
        <w:t>Διάγραμμα 4.8</w:t>
      </w:r>
      <w:r w:rsidRPr="00AE64F9">
        <w:rPr>
          <w:szCs w:val="20"/>
        </w:rPr>
        <w:fldChar w:fldCharType="end"/>
      </w:r>
      <w:r w:rsidRPr="00AE64F9">
        <w:rPr>
          <w:color w:val="000000" w:themeColor="text1"/>
          <w:szCs w:val="20"/>
        </w:rPr>
        <w:t xml:space="preserve">.) </w:t>
      </w:r>
      <w:r w:rsidRPr="00AE64F9">
        <w:t>περιλαμβάνουν</w:t>
      </w:r>
      <w:r w:rsidRPr="003235D5">
        <w:t xml:space="preserve"> </w:t>
      </w:r>
      <w:r>
        <w:t xml:space="preserve">μόνο </w:t>
      </w:r>
      <w:r w:rsidRPr="003235D5">
        <w:t xml:space="preserve">τις εγγυήσεις για τους φορείς εντός και εκτός Γενικής Κυβέρνησης. Αντιθέτως, δεν </w:t>
      </w:r>
      <w:r w:rsidRPr="000263AD">
        <w:t xml:space="preserve">περιλαμβάνονται </w:t>
      </w:r>
      <w:r w:rsidR="00452DBB" w:rsidRPr="000263AD">
        <w:t xml:space="preserve">οι </w:t>
      </w:r>
      <w:r w:rsidRPr="000263AD">
        <w:t xml:space="preserve">εγγυήσεις </w:t>
      </w:r>
      <w:r w:rsidR="00452DBB" w:rsidRPr="000263AD">
        <w:t>που παρουσιάζονται στη συνέχεια και αφορούν</w:t>
      </w:r>
      <w:r w:rsidRPr="000263AD">
        <w:t xml:space="preserve">: (α) </w:t>
      </w:r>
      <w:r w:rsidR="00452DBB" w:rsidRPr="000263AD">
        <w:t>σ</w:t>
      </w:r>
      <w:r w:rsidRPr="000263AD">
        <w:t>τις Τιτλοποιήσεις των Μη Εξυπηρετούμενων</w:t>
      </w:r>
      <w:r w:rsidRPr="003235D5">
        <w:t xml:space="preserve"> </w:t>
      </w:r>
      <w:r>
        <w:t>Δ</w:t>
      </w:r>
      <w:r w:rsidRPr="003235D5">
        <w:t>ανείων (</w:t>
      </w:r>
      <w:r>
        <w:t xml:space="preserve">Σχήμα </w:t>
      </w:r>
      <w:r w:rsidRPr="003235D5">
        <w:rPr>
          <w:color w:val="000000"/>
        </w:rPr>
        <w:t>«ΗΡΑΚΛΗΣ»</w:t>
      </w:r>
      <w:r w:rsidRPr="003235D5">
        <w:t xml:space="preserve">), </w:t>
      </w:r>
      <w:r>
        <w:t>(β</w:t>
      </w:r>
      <w:r w:rsidRPr="003235D5">
        <w:t xml:space="preserve">) </w:t>
      </w:r>
      <w:r w:rsidR="00452DBB">
        <w:t>σ</w:t>
      </w:r>
      <w:r w:rsidRPr="003235D5">
        <w:t xml:space="preserve">τα προγράμματα της ΕΤΕπ για την ενίσχυση της επιχειρηματικότητας, </w:t>
      </w:r>
      <w:r>
        <w:t>(γ</w:t>
      </w:r>
      <w:r w:rsidRPr="003235D5">
        <w:t xml:space="preserve">) </w:t>
      </w:r>
      <w:r w:rsidR="004E6392">
        <w:t>σ</w:t>
      </w:r>
      <w:r w:rsidRPr="003235D5">
        <w:t xml:space="preserve">το πρόγραμμα SURE και </w:t>
      </w:r>
      <w:r w:rsidR="00AD6B97">
        <w:t>σ</w:t>
      </w:r>
      <w:r w:rsidRPr="003235D5">
        <w:t>το Πανευρωπαϊκό Ταμείο Εγγυήσεων</w:t>
      </w:r>
      <w:r w:rsidR="000263AD">
        <w:t>,</w:t>
      </w:r>
      <w:r w:rsidRPr="003235D5">
        <w:t xml:space="preserve"> στο πλαίσιο της αντιμετώπισης της πανδημίας Covid-1</w:t>
      </w:r>
      <w:r>
        <w:t>9, (δ</w:t>
      </w:r>
      <w:r w:rsidRPr="003235D5">
        <w:t xml:space="preserve">) </w:t>
      </w:r>
      <w:r w:rsidR="004E6392">
        <w:t>σ</w:t>
      </w:r>
      <w:r w:rsidRPr="003235D5">
        <w:t>τη χορήγηση έκτακτης Μακροοικονομικής Χρηματοδοτικής Συνδρομής στην Ουκρανία</w:t>
      </w:r>
      <w:r>
        <w:t xml:space="preserve"> και (ε) </w:t>
      </w:r>
      <w:r w:rsidR="004E6392">
        <w:t>σ</w:t>
      </w:r>
      <w:r>
        <w:t>τις</w:t>
      </w:r>
      <w:r w:rsidRPr="00B653C1">
        <w:t xml:space="preserve"> </w:t>
      </w:r>
      <w:r>
        <w:t>διεθνείς συμφωνίες Κοτονού Ι, ΙΙ και ΙΙΙ</w:t>
      </w:r>
      <w:r w:rsidRPr="00C54793">
        <w:t>.</w:t>
      </w:r>
    </w:p>
    <w:p w14:paraId="625EDB3B" w14:textId="4BE195D7" w:rsidR="00AD3669" w:rsidRDefault="00AD3669" w:rsidP="00D1259A">
      <w:pPr>
        <w:spacing w:before="240" w:after="240"/>
        <w:rPr>
          <w:rFonts w:cs="Arial"/>
          <w:b/>
          <w:szCs w:val="20"/>
        </w:rPr>
      </w:pPr>
      <w:r w:rsidRPr="003235D5">
        <w:rPr>
          <w:rFonts w:cs="Arial"/>
          <w:b/>
          <w:szCs w:val="20"/>
        </w:rPr>
        <w:t>Παροχή εγγύησης του Ε</w:t>
      </w:r>
      <w:r>
        <w:rPr>
          <w:rFonts w:cs="Arial"/>
          <w:b/>
          <w:szCs w:val="20"/>
        </w:rPr>
        <w:t xml:space="preserve">λληνικού </w:t>
      </w:r>
      <w:r w:rsidRPr="003235D5">
        <w:rPr>
          <w:rFonts w:cs="Arial"/>
          <w:b/>
          <w:szCs w:val="20"/>
        </w:rPr>
        <w:t>Δ</w:t>
      </w:r>
      <w:r>
        <w:rPr>
          <w:rFonts w:cs="Arial"/>
          <w:b/>
          <w:szCs w:val="20"/>
        </w:rPr>
        <w:t>ημοσίου</w:t>
      </w:r>
      <w:r w:rsidRPr="003235D5">
        <w:rPr>
          <w:rFonts w:cs="Arial"/>
          <w:b/>
          <w:szCs w:val="20"/>
        </w:rPr>
        <w:t xml:space="preserve"> σε </w:t>
      </w:r>
      <w:r>
        <w:rPr>
          <w:rFonts w:cs="Arial"/>
          <w:b/>
          <w:szCs w:val="20"/>
        </w:rPr>
        <w:t>Τ</w:t>
      </w:r>
      <w:r w:rsidRPr="003235D5">
        <w:rPr>
          <w:rFonts w:cs="Arial"/>
          <w:b/>
          <w:szCs w:val="20"/>
        </w:rPr>
        <w:t xml:space="preserve">ιτλοποιήσεις </w:t>
      </w:r>
      <w:r>
        <w:rPr>
          <w:rFonts w:cs="Arial"/>
          <w:b/>
          <w:szCs w:val="20"/>
        </w:rPr>
        <w:t>Μ</w:t>
      </w:r>
      <w:r w:rsidRPr="003235D5">
        <w:rPr>
          <w:rFonts w:cs="Arial"/>
          <w:b/>
          <w:szCs w:val="20"/>
        </w:rPr>
        <w:t>η</w:t>
      </w:r>
      <w:r>
        <w:rPr>
          <w:rFonts w:cs="Arial"/>
          <w:b/>
          <w:szCs w:val="20"/>
        </w:rPr>
        <w:t xml:space="preserve"> Ε</w:t>
      </w:r>
      <w:r w:rsidRPr="003235D5">
        <w:rPr>
          <w:rFonts w:cs="Arial"/>
          <w:b/>
          <w:szCs w:val="20"/>
        </w:rPr>
        <w:t xml:space="preserve">ξυπηρετούμενων </w:t>
      </w:r>
      <w:r>
        <w:rPr>
          <w:rFonts w:cs="Arial"/>
          <w:b/>
          <w:szCs w:val="20"/>
        </w:rPr>
        <w:t>Δ</w:t>
      </w:r>
      <w:r w:rsidRPr="003235D5">
        <w:rPr>
          <w:rFonts w:cs="Arial"/>
          <w:b/>
          <w:szCs w:val="20"/>
        </w:rPr>
        <w:t xml:space="preserve">ανείων τραπεζών, για την ενίσχυση της επιχειρηματικότητας μέσω πιστωτικών ιδρυμάτων και λοιπές </w:t>
      </w:r>
      <w:r w:rsidRPr="009114D7">
        <w:rPr>
          <w:rFonts w:cs="Arial"/>
          <w:b/>
          <w:szCs w:val="20"/>
        </w:rPr>
        <w:t>εγγυήσεις</w:t>
      </w:r>
    </w:p>
    <w:p w14:paraId="204516B1" w14:textId="77777777" w:rsidR="00AD3669" w:rsidRPr="00AD3669" w:rsidRDefault="00AD3669" w:rsidP="00EC630C">
      <w:pPr>
        <w:pStyle w:val="af0"/>
        <w:numPr>
          <w:ilvl w:val="0"/>
          <w:numId w:val="10"/>
        </w:numPr>
        <w:tabs>
          <w:tab w:val="left" w:pos="426"/>
        </w:tabs>
        <w:spacing w:after="120" w:line="300" w:lineRule="auto"/>
        <w:ind w:left="0" w:firstLine="0"/>
        <w:contextualSpacing w:val="0"/>
        <w:rPr>
          <w:rFonts w:ascii="Arial" w:hAnsi="Arial" w:cs="Arial"/>
        </w:rPr>
      </w:pPr>
      <w:r w:rsidRPr="00552C9B">
        <w:rPr>
          <w:rFonts w:ascii="Arial" w:hAnsi="Arial" w:cs="Arial"/>
          <w:sz w:val="20"/>
          <w:szCs w:val="20"/>
        </w:rPr>
        <w:t>Με τον ν.4649/2019 το Ελληνικό Δημόσιο δύναται να παρέχει την εγγύησή του σε Τιτλοποιήσεις</w:t>
      </w:r>
      <w:r w:rsidRPr="00AD3669">
        <w:rPr>
          <w:rFonts w:ascii="Arial" w:hAnsi="Arial" w:cs="Arial"/>
          <w:sz w:val="20"/>
          <w:szCs w:val="20"/>
        </w:rPr>
        <w:t xml:space="preserve"> Μη Εξυπηρετούμενων Δανείων.</w:t>
      </w:r>
    </w:p>
    <w:p w14:paraId="37F600B6" w14:textId="3F75B987" w:rsidR="006114E2" w:rsidRPr="002137A2" w:rsidRDefault="006114E2" w:rsidP="006114E2">
      <w:pPr>
        <w:spacing w:after="240"/>
      </w:pPr>
      <w:r w:rsidRPr="002137A2">
        <w:t xml:space="preserve">Οι κρατικές εγγυήσεις που έχουν παρασχεθεί στο πλαίσιο του ανωτέρω νόμου ανέρχονται συνολικά </w:t>
      </w:r>
      <w:r>
        <w:t xml:space="preserve">σε </w:t>
      </w:r>
      <w:r w:rsidRPr="002137A2">
        <w:t>21,5 δισ. ευρώ</w:t>
      </w:r>
      <w:r w:rsidR="00D1259A" w:rsidRPr="00D1259A">
        <w:t xml:space="preserve"> </w:t>
      </w:r>
      <w:r w:rsidR="00D1259A" w:rsidRPr="002137A2">
        <w:t>περίπου</w:t>
      </w:r>
      <w:r w:rsidRPr="002137A2">
        <w:t>, το δε ανεξόφλητο υπόλοιπό τους στις 30.9.2025 αντιστοιχούσε σε 17,5 δισ. ευρώ</w:t>
      </w:r>
      <w:r w:rsidR="00D1259A" w:rsidRPr="00D1259A">
        <w:t xml:space="preserve"> </w:t>
      </w:r>
      <w:r w:rsidR="00D1259A" w:rsidRPr="002137A2">
        <w:t>περίπου</w:t>
      </w:r>
      <w:r w:rsidRPr="002137A2">
        <w:t xml:space="preserve">. Για τις εγγυήσεις αυτές εισπράττεται από το Ελληνικό Δημόσιο προμήθεια, όπως </w:t>
      </w:r>
      <w:r w:rsidRPr="00AE64F9">
        <w:t>αποτυπώνεται κατωτέρω (</w:t>
      </w:r>
      <w:r w:rsidRPr="00AE64F9">
        <w:fldChar w:fldCharType="begin"/>
      </w:r>
      <w:r w:rsidRPr="00AE64F9">
        <w:instrText xml:space="preserve"> REF _Ref181879394 \h  \* MERGEFORMAT </w:instrText>
      </w:r>
      <w:r w:rsidRPr="00AE64F9">
        <w:fldChar w:fldCharType="separate"/>
      </w:r>
      <w:r w:rsidR="00E15678" w:rsidRPr="00E15678">
        <w:t>Πίνακας 4.11</w:t>
      </w:r>
      <w:r w:rsidRPr="00AE64F9">
        <w:fldChar w:fldCharType="end"/>
      </w:r>
      <w:r w:rsidRPr="00AE64F9">
        <w:t>.).</w:t>
      </w:r>
    </w:p>
    <w:tbl>
      <w:tblPr>
        <w:tblW w:w="7477"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3894"/>
        <w:gridCol w:w="3583"/>
      </w:tblGrid>
      <w:tr w:rsidR="0000751E" w:rsidRPr="00FD594B" w14:paraId="4FBBE369" w14:textId="77777777" w:rsidTr="00F105BE">
        <w:trPr>
          <w:trHeight w:val="340"/>
          <w:jc w:val="center"/>
        </w:trPr>
        <w:tc>
          <w:tcPr>
            <w:tcW w:w="7477" w:type="dxa"/>
            <w:gridSpan w:val="2"/>
            <w:shd w:val="clear" w:color="auto" w:fill="D5DCE4"/>
            <w:noWrap/>
            <w:vAlign w:val="center"/>
            <w:hideMark/>
          </w:tcPr>
          <w:p w14:paraId="14EC7E74" w14:textId="597EE688" w:rsidR="0000751E" w:rsidRPr="000E29CA" w:rsidRDefault="0004015E" w:rsidP="0004015E">
            <w:pPr>
              <w:spacing w:after="0" w:line="240" w:lineRule="auto"/>
              <w:jc w:val="center"/>
              <w:rPr>
                <w:rFonts w:cs="Arial"/>
                <w:b/>
                <w:bCs/>
                <w:color w:val="000000"/>
                <w:sz w:val="18"/>
                <w:szCs w:val="18"/>
              </w:rPr>
            </w:pPr>
            <w:bookmarkStart w:id="751" w:name="_Ref181879394"/>
            <w:bookmarkStart w:id="752" w:name="_Toc214474117"/>
            <w:r w:rsidRPr="000E29CA">
              <w:rPr>
                <w:rFonts w:cs="Arial"/>
                <w:b/>
                <w:sz w:val="18"/>
                <w:szCs w:val="18"/>
              </w:rPr>
              <w:t>Πίνακας 4.</w:t>
            </w:r>
            <w:r w:rsidRPr="000E29CA">
              <w:rPr>
                <w:rFonts w:cs="Arial"/>
                <w:b/>
                <w:sz w:val="18"/>
                <w:szCs w:val="18"/>
              </w:rPr>
              <w:fldChar w:fldCharType="begin"/>
            </w:r>
            <w:r w:rsidRPr="000E29CA">
              <w:rPr>
                <w:rFonts w:cs="Arial"/>
                <w:b/>
                <w:sz w:val="18"/>
                <w:szCs w:val="18"/>
              </w:rPr>
              <w:instrText xml:space="preserve"> SEQ Πίνακας_4. \* ARABIC </w:instrText>
            </w:r>
            <w:r w:rsidRPr="000E29CA">
              <w:rPr>
                <w:rFonts w:cs="Arial"/>
                <w:b/>
                <w:sz w:val="18"/>
                <w:szCs w:val="18"/>
              </w:rPr>
              <w:fldChar w:fldCharType="separate"/>
            </w:r>
            <w:r w:rsidR="00E15678">
              <w:rPr>
                <w:rFonts w:cs="Arial"/>
                <w:b/>
                <w:noProof/>
                <w:sz w:val="18"/>
                <w:szCs w:val="18"/>
              </w:rPr>
              <w:t>11</w:t>
            </w:r>
            <w:r w:rsidRPr="000E29CA">
              <w:rPr>
                <w:rFonts w:cs="Arial"/>
                <w:b/>
                <w:sz w:val="18"/>
                <w:szCs w:val="18"/>
              </w:rPr>
              <w:fldChar w:fldCharType="end"/>
            </w:r>
            <w:bookmarkEnd w:id="751"/>
            <w:r w:rsidRPr="000E29CA">
              <w:rPr>
                <w:rFonts w:cs="Arial"/>
                <w:b/>
                <w:sz w:val="18"/>
                <w:szCs w:val="18"/>
              </w:rPr>
              <w:t xml:space="preserve">.: </w:t>
            </w:r>
            <w:r w:rsidRPr="000E29CA">
              <w:rPr>
                <w:rFonts w:cs="Arial"/>
                <w:b/>
                <w:bCs/>
                <w:color w:val="000000"/>
                <w:sz w:val="18"/>
                <w:szCs w:val="18"/>
              </w:rPr>
              <w:t xml:space="preserve">Εισπραχθείσες </w:t>
            </w:r>
            <w:r w:rsidR="0078482F" w:rsidRPr="000E29CA">
              <w:rPr>
                <w:rFonts w:cs="Arial"/>
                <w:b/>
                <w:bCs/>
                <w:color w:val="000000"/>
                <w:sz w:val="18"/>
                <w:szCs w:val="18"/>
              </w:rPr>
              <w:t>π</w:t>
            </w:r>
            <w:r w:rsidRPr="000E29CA">
              <w:rPr>
                <w:rFonts w:cs="Arial"/>
                <w:b/>
                <w:bCs/>
                <w:color w:val="000000"/>
                <w:sz w:val="18"/>
                <w:szCs w:val="18"/>
              </w:rPr>
              <w:t xml:space="preserve">ρομήθειες από το Σχήμα </w:t>
            </w:r>
            <w:r w:rsidR="00DA1289" w:rsidRPr="000E29CA">
              <w:rPr>
                <w:rFonts w:cs="Arial"/>
                <w:b/>
                <w:bCs/>
                <w:color w:val="000000"/>
                <w:sz w:val="18"/>
                <w:szCs w:val="18"/>
              </w:rPr>
              <w:t>«</w:t>
            </w:r>
            <w:r w:rsidRPr="000E29CA">
              <w:rPr>
                <w:rFonts w:cs="Arial"/>
                <w:b/>
                <w:bCs/>
                <w:color w:val="000000"/>
                <w:sz w:val="18"/>
                <w:szCs w:val="18"/>
              </w:rPr>
              <w:t>Ηρακλής</w:t>
            </w:r>
            <w:r w:rsidR="00DA1289" w:rsidRPr="000E29CA">
              <w:rPr>
                <w:rFonts w:cs="Arial"/>
                <w:b/>
                <w:bCs/>
                <w:color w:val="000000"/>
                <w:sz w:val="18"/>
                <w:szCs w:val="18"/>
              </w:rPr>
              <w:t>»</w:t>
            </w:r>
            <w:r w:rsidRPr="000E29CA">
              <w:rPr>
                <w:rFonts w:cs="Arial"/>
                <w:b/>
                <w:bCs/>
                <w:color w:val="000000"/>
                <w:sz w:val="18"/>
                <w:szCs w:val="18"/>
              </w:rPr>
              <w:t xml:space="preserve"> ανά έτος</w:t>
            </w:r>
            <w:bookmarkEnd w:id="752"/>
          </w:p>
        </w:tc>
      </w:tr>
      <w:tr w:rsidR="0000751E" w:rsidRPr="00F5413B" w14:paraId="5EC3E670" w14:textId="77777777" w:rsidTr="009310B7">
        <w:trPr>
          <w:trHeight w:val="283"/>
          <w:jc w:val="center"/>
        </w:trPr>
        <w:tc>
          <w:tcPr>
            <w:tcW w:w="3894" w:type="dxa"/>
            <w:tcBorders>
              <w:bottom w:val="single" w:sz="2" w:space="0" w:color="A6A6A6" w:themeColor="background1" w:themeShade="A6"/>
            </w:tcBorders>
            <w:shd w:val="clear" w:color="auto" w:fill="F2F2F2" w:themeFill="background1" w:themeFillShade="F2"/>
            <w:noWrap/>
            <w:vAlign w:val="center"/>
            <w:hideMark/>
          </w:tcPr>
          <w:p w14:paraId="6AA68AD9" w14:textId="71C08E06" w:rsidR="0000751E" w:rsidRPr="00F5413B" w:rsidRDefault="0004015E" w:rsidP="0004015E">
            <w:pPr>
              <w:spacing w:after="0" w:line="240" w:lineRule="auto"/>
              <w:jc w:val="center"/>
              <w:rPr>
                <w:rFonts w:cs="Arial"/>
                <w:b/>
                <w:bCs/>
                <w:color w:val="000000"/>
                <w:sz w:val="16"/>
                <w:szCs w:val="16"/>
              </w:rPr>
            </w:pPr>
            <w:r w:rsidRPr="00F5413B">
              <w:rPr>
                <w:rFonts w:cs="Arial"/>
                <w:b/>
                <w:bCs/>
                <w:color w:val="000000"/>
                <w:sz w:val="16"/>
                <w:szCs w:val="16"/>
              </w:rPr>
              <w:t>Έτος</w:t>
            </w:r>
          </w:p>
        </w:tc>
        <w:tc>
          <w:tcPr>
            <w:tcW w:w="3583" w:type="dxa"/>
            <w:tcBorders>
              <w:bottom w:val="single" w:sz="2" w:space="0" w:color="A6A6A6" w:themeColor="background1" w:themeShade="A6"/>
            </w:tcBorders>
            <w:shd w:val="clear" w:color="auto" w:fill="F2F2F2" w:themeFill="background1" w:themeFillShade="F2"/>
            <w:noWrap/>
            <w:vAlign w:val="center"/>
            <w:hideMark/>
          </w:tcPr>
          <w:p w14:paraId="12298AF0" w14:textId="4073630C" w:rsidR="0000751E" w:rsidRPr="00F5413B" w:rsidRDefault="0004015E" w:rsidP="0004015E">
            <w:pPr>
              <w:spacing w:after="0" w:line="240" w:lineRule="auto"/>
              <w:jc w:val="center"/>
              <w:rPr>
                <w:rFonts w:cs="Arial"/>
                <w:b/>
                <w:bCs/>
                <w:color w:val="000000"/>
                <w:sz w:val="16"/>
                <w:szCs w:val="16"/>
              </w:rPr>
            </w:pPr>
            <w:r w:rsidRPr="00F5413B">
              <w:rPr>
                <w:rFonts w:cs="Arial"/>
                <w:b/>
                <w:bCs/>
                <w:color w:val="000000"/>
                <w:sz w:val="16"/>
                <w:szCs w:val="16"/>
              </w:rPr>
              <w:t>Προμήθειες</w:t>
            </w:r>
          </w:p>
        </w:tc>
      </w:tr>
      <w:tr w:rsidR="000E29CA" w:rsidRPr="00F5413B" w14:paraId="337059FB" w14:textId="77777777" w:rsidTr="009310B7">
        <w:trPr>
          <w:trHeight w:val="283"/>
          <w:jc w:val="center"/>
        </w:trPr>
        <w:tc>
          <w:tcPr>
            <w:tcW w:w="3894" w:type="dxa"/>
            <w:tcBorders>
              <w:bottom w:val="nil"/>
              <w:right w:val="nil"/>
            </w:tcBorders>
            <w:shd w:val="clear" w:color="auto" w:fill="auto"/>
            <w:noWrap/>
            <w:vAlign w:val="center"/>
          </w:tcPr>
          <w:p w14:paraId="07E8326D" w14:textId="7F5695D3" w:rsidR="000E29CA" w:rsidRPr="00F5413B" w:rsidRDefault="000E29CA" w:rsidP="000E29CA">
            <w:pPr>
              <w:spacing w:after="0" w:line="240" w:lineRule="auto"/>
              <w:jc w:val="center"/>
              <w:rPr>
                <w:rFonts w:cs="Arial"/>
                <w:color w:val="000000"/>
                <w:sz w:val="16"/>
                <w:szCs w:val="16"/>
              </w:rPr>
            </w:pPr>
            <w:r w:rsidRPr="002137A2">
              <w:rPr>
                <w:rFonts w:cs="Arial"/>
                <w:sz w:val="16"/>
                <w:szCs w:val="16"/>
              </w:rPr>
              <w:t>2021</w:t>
            </w:r>
          </w:p>
        </w:tc>
        <w:tc>
          <w:tcPr>
            <w:tcW w:w="3583" w:type="dxa"/>
            <w:tcBorders>
              <w:left w:val="nil"/>
              <w:bottom w:val="nil"/>
            </w:tcBorders>
            <w:shd w:val="clear" w:color="auto" w:fill="auto"/>
            <w:noWrap/>
            <w:vAlign w:val="center"/>
          </w:tcPr>
          <w:p w14:paraId="71E32E33" w14:textId="37BEB72A" w:rsidR="000E29CA" w:rsidRPr="00F5413B" w:rsidRDefault="000E29CA" w:rsidP="000E29CA">
            <w:pPr>
              <w:spacing w:after="0" w:line="240" w:lineRule="auto"/>
              <w:jc w:val="right"/>
              <w:rPr>
                <w:rFonts w:cs="Arial"/>
                <w:color w:val="000000"/>
                <w:sz w:val="16"/>
                <w:szCs w:val="16"/>
              </w:rPr>
            </w:pPr>
            <w:r w:rsidRPr="002137A2">
              <w:rPr>
                <w:rFonts w:cs="Arial"/>
                <w:sz w:val="16"/>
                <w:szCs w:val="16"/>
              </w:rPr>
              <w:t>75,0</w:t>
            </w:r>
          </w:p>
        </w:tc>
      </w:tr>
      <w:tr w:rsidR="000E29CA" w:rsidRPr="00F5413B" w14:paraId="77AD611D" w14:textId="77777777" w:rsidTr="009310B7">
        <w:trPr>
          <w:trHeight w:val="283"/>
          <w:jc w:val="center"/>
        </w:trPr>
        <w:tc>
          <w:tcPr>
            <w:tcW w:w="3894" w:type="dxa"/>
            <w:tcBorders>
              <w:top w:val="nil"/>
              <w:bottom w:val="nil"/>
              <w:right w:val="nil"/>
            </w:tcBorders>
            <w:shd w:val="clear" w:color="auto" w:fill="auto"/>
            <w:noWrap/>
            <w:vAlign w:val="center"/>
          </w:tcPr>
          <w:p w14:paraId="7838CAF8" w14:textId="2A85954F" w:rsidR="000E29CA" w:rsidRPr="00F5413B" w:rsidRDefault="000E29CA" w:rsidP="000E29CA">
            <w:pPr>
              <w:spacing w:after="0" w:line="240" w:lineRule="auto"/>
              <w:jc w:val="center"/>
              <w:rPr>
                <w:rFonts w:cs="Arial"/>
                <w:color w:val="000000"/>
                <w:sz w:val="16"/>
                <w:szCs w:val="16"/>
              </w:rPr>
            </w:pPr>
            <w:r w:rsidRPr="002137A2">
              <w:rPr>
                <w:rFonts w:cs="Arial"/>
                <w:sz w:val="16"/>
                <w:szCs w:val="16"/>
              </w:rPr>
              <w:t>2022</w:t>
            </w:r>
          </w:p>
        </w:tc>
        <w:tc>
          <w:tcPr>
            <w:tcW w:w="3583" w:type="dxa"/>
            <w:tcBorders>
              <w:top w:val="nil"/>
              <w:left w:val="nil"/>
              <w:bottom w:val="nil"/>
            </w:tcBorders>
            <w:shd w:val="clear" w:color="auto" w:fill="auto"/>
            <w:noWrap/>
            <w:vAlign w:val="center"/>
          </w:tcPr>
          <w:p w14:paraId="35CF95AA" w14:textId="61BDC360" w:rsidR="000E29CA" w:rsidRPr="00F5413B" w:rsidRDefault="000E29CA" w:rsidP="000E29CA">
            <w:pPr>
              <w:spacing w:after="0" w:line="240" w:lineRule="auto"/>
              <w:jc w:val="right"/>
              <w:rPr>
                <w:rFonts w:cs="Arial"/>
                <w:color w:val="000000"/>
                <w:sz w:val="16"/>
                <w:szCs w:val="16"/>
              </w:rPr>
            </w:pPr>
            <w:r w:rsidRPr="002137A2">
              <w:rPr>
                <w:rFonts w:cs="Arial"/>
                <w:sz w:val="16"/>
                <w:szCs w:val="16"/>
              </w:rPr>
              <w:t>125,5</w:t>
            </w:r>
          </w:p>
        </w:tc>
      </w:tr>
      <w:tr w:rsidR="000E29CA" w:rsidRPr="00F5413B" w14:paraId="7825D884" w14:textId="77777777" w:rsidTr="009310B7">
        <w:trPr>
          <w:trHeight w:val="283"/>
          <w:jc w:val="center"/>
        </w:trPr>
        <w:tc>
          <w:tcPr>
            <w:tcW w:w="3894" w:type="dxa"/>
            <w:tcBorders>
              <w:top w:val="nil"/>
              <w:bottom w:val="nil"/>
              <w:right w:val="nil"/>
            </w:tcBorders>
            <w:shd w:val="clear" w:color="auto" w:fill="auto"/>
            <w:noWrap/>
            <w:vAlign w:val="center"/>
          </w:tcPr>
          <w:p w14:paraId="3AB1DC8A" w14:textId="19B913DB" w:rsidR="000E29CA" w:rsidRPr="000E29CA" w:rsidRDefault="000E29CA" w:rsidP="000E29CA">
            <w:pPr>
              <w:spacing w:after="0" w:line="240" w:lineRule="auto"/>
              <w:jc w:val="center"/>
              <w:rPr>
                <w:rFonts w:cs="Arial"/>
                <w:color w:val="000000"/>
                <w:sz w:val="16"/>
                <w:szCs w:val="16"/>
                <w:lang w:val="en-US"/>
              </w:rPr>
            </w:pPr>
            <w:r w:rsidRPr="002137A2">
              <w:rPr>
                <w:rFonts w:cs="Arial"/>
                <w:sz w:val="16"/>
                <w:szCs w:val="16"/>
              </w:rPr>
              <w:t>2023</w:t>
            </w:r>
          </w:p>
        </w:tc>
        <w:tc>
          <w:tcPr>
            <w:tcW w:w="3583" w:type="dxa"/>
            <w:tcBorders>
              <w:top w:val="nil"/>
              <w:left w:val="nil"/>
              <w:bottom w:val="nil"/>
            </w:tcBorders>
            <w:shd w:val="clear" w:color="auto" w:fill="auto"/>
            <w:noWrap/>
            <w:vAlign w:val="center"/>
          </w:tcPr>
          <w:p w14:paraId="54666B0E" w14:textId="6C3B7985" w:rsidR="000E29CA" w:rsidRPr="00F5413B" w:rsidRDefault="000E29CA" w:rsidP="000E29CA">
            <w:pPr>
              <w:spacing w:after="0" w:line="240" w:lineRule="auto"/>
              <w:jc w:val="right"/>
              <w:rPr>
                <w:rFonts w:cs="Arial"/>
                <w:color w:val="000000"/>
                <w:sz w:val="16"/>
                <w:szCs w:val="16"/>
              </w:rPr>
            </w:pPr>
            <w:r w:rsidRPr="002137A2">
              <w:rPr>
                <w:rFonts w:cs="Arial"/>
                <w:sz w:val="16"/>
                <w:szCs w:val="16"/>
              </w:rPr>
              <w:t>124,2</w:t>
            </w:r>
          </w:p>
        </w:tc>
      </w:tr>
      <w:tr w:rsidR="000E29CA" w:rsidRPr="00F5413B" w14:paraId="2D04B7A8" w14:textId="77777777" w:rsidTr="009310B7">
        <w:trPr>
          <w:trHeight w:val="283"/>
          <w:jc w:val="center"/>
        </w:trPr>
        <w:tc>
          <w:tcPr>
            <w:tcW w:w="3894" w:type="dxa"/>
            <w:tcBorders>
              <w:top w:val="nil"/>
              <w:bottom w:val="nil"/>
              <w:right w:val="nil"/>
            </w:tcBorders>
            <w:shd w:val="clear" w:color="auto" w:fill="auto"/>
            <w:noWrap/>
            <w:vAlign w:val="center"/>
          </w:tcPr>
          <w:p w14:paraId="77BE7154" w14:textId="5739B4C3" w:rsidR="000E29CA" w:rsidRPr="002137A2" w:rsidRDefault="000E29CA" w:rsidP="000E29CA">
            <w:pPr>
              <w:spacing w:after="0" w:line="240" w:lineRule="auto"/>
              <w:jc w:val="center"/>
              <w:rPr>
                <w:rFonts w:cs="Arial"/>
                <w:sz w:val="16"/>
                <w:szCs w:val="16"/>
              </w:rPr>
            </w:pPr>
            <w:r w:rsidRPr="002137A2">
              <w:rPr>
                <w:rFonts w:cs="Arial"/>
                <w:sz w:val="16"/>
                <w:szCs w:val="16"/>
                <w:lang w:val="en-US"/>
              </w:rPr>
              <w:t>2024</w:t>
            </w:r>
          </w:p>
        </w:tc>
        <w:tc>
          <w:tcPr>
            <w:tcW w:w="3583" w:type="dxa"/>
            <w:tcBorders>
              <w:top w:val="nil"/>
              <w:left w:val="nil"/>
              <w:bottom w:val="nil"/>
            </w:tcBorders>
            <w:shd w:val="clear" w:color="auto" w:fill="auto"/>
            <w:noWrap/>
            <w:vAlign w:val="center"/>
          </w:tcPr>
          <w:p w14:paraId="600EA60A" w14:textId="6DBA28B8" w:rsidR="000E29CA" w:rsidRPr="002137A2" w:rsidRDefault="000E29CA" w:rsidP="000E29CA">
            <w:pPr>
              <w:spacing w:after="0" w:line="240" w:lineRule="auto"/>
              <w:jc w:val="right"/>
              <w:rPr>
                <w:rFonts w:cs="Arial"/>
                <w:sz w:val="16"/>
                <w:szCs w:val="16"/>
              </w:rPr>
            </w:pPr>
            <w:r w:rsidRPr="002137A2">
              <w:rPr>
                <w:rFonts w:cs="Arial"/>
                <w:sz w:val="16"/>
                <w:szCs w:val="16"/>
                <w:lang w:val="en-US"/>
              </w:rPr>
              <w:t>195,</w:t>
            </w:r>
            <w:r>
              <w:rPr>
                <w:rFonts w:cs="Arial"/>
                <w:sz w:val="16"/>
                <w:szCs w:val="16"/>
                <w:lang w:val="en-US"/>
              </w:rPr>
              <w:t>4</w:t>
            </w:r>
          </w:p>
        </w:tc>
      </w:tr>
      <w:tr w:rsidR="000E29CA" w:rsidRPr="00F5413B" w14:paraId="1C47559D" w14:textId="77777777" w:rsidTr="009310B7">
        <w:trPr>
          <w:trHeight w:val="283"/>
          <w:jc w:val="center"/>
        </w:trPr>
        <w:tc>
          <w:tcPr>
            <w:tcW w:w="3894" w:type="dxa"/>
            <w:tcBorders>
              <w:top w:val="nil"/>
              <w:bottom w:val="nil"/>
              <w:right w:val="nil"/>
            </w:tcBorders>
            <w:shd w:val="clear" w:color="auto" w:fill="auto"/>
            <w:noWrap/>
            <w:vAlign w:val="center"/>
          </w:tcPr>
          <w:p w14:paraId="517384E1" w14:textId="00C30DF8" w:rsidR="000E29CA" w:rsidRPr="00F5413B" w:rsidRDefault="003A555E" w:rsidP="000E29CA">
            <w:pPr>
              <w:spacing w:after="0" w:line="240" w:lineRule="auto"/>
              <w:jc w:val="center"/>
              <w:rPr>
                <w:rFonts w:cs="Arial"/>
                <w:color w:val="000000"/>
                <w:sz w:val="16"/>
                <w:szCs w:val="16"/>
              </w:rPr>
            </w:pPr>
            <w:r>
              <w:rPr>
                <w:rFonts w:cs="Arial"/>
                <w:color w:val="000000"/>
                <w:sz w:val="16"/>
                <w:szCs w:val="16"/>
              </w:rPr>
              <w:t>2025*</w:t>
            </w:r>
          </w:p>
        </w:tc>
        <w:tc>
          <w:tcPr>
            <w:tcW w:w="3583" w:type="dxa"/>
            <w:tcBorders>
              <w:top w:val="nil"/>
              <w:left w:val="nil"/>
              <w:bottom w:val="nil"/>
            </w:tcBorders>
            <w:shd w:val="clear" w:color="auto" w:fill="auto"/>
            <w:noWrap/>
            <w:vAlign w:val="center"/>
          </w:tcPr>
          <w:p w14:paraId="57BD8294" w14:textId="67FCC187" w:rsidR="000E29CA" w:rsidRPr="00F5413B" w:rsidRDefault="000E29CA" w:rsidP="000E29CA">
            <w:pPr>
              <w:spacing w:after="0" w:line="240" w:lineRule="auto"/>
              <w:jc w:val="right"/>
              <w:rPr>
                <w:rFonts w:cs="Arial"/>
                <w:color w:val="000000"/>
                <w:sz w:val="16"/>
                <w:szCs w:val="16"/>
              </w:rPr>
            </w:pPr>
            <w:r w:rsidRPr="00D651F8">
              <w:rPr>
                <w:rFonts w:cs="Arial"/>
                <w:sz w:val="16"/>
                <w:szCs w:val="16"/>
              </w:rPr>
              <w:t>215,9</w:t>
            </w:r>
          </w:p>
        </w:tc>
      </w:tr>
      <w:tr w:rsidR="000E29CA" w:rsidRPr="00F5413B" w14:paraId="562B41C4" w14:textId="77777777" w:rsidTr="00E23A45">
        <w:trPr>
          <w:trHeight w:val="283"/>
          <w:jc w:val="center"/>
        </w:trPr>
        <w:tc>
          <w:tcPr>
            <w:tcW w:w="3894" w:type="dxa"/>
            <w:tcBorders>
              <w:top w:val="nil"/>
              <w:bottom w:val="single" w:sz="2" w:space="0" w:color="A6A6A6" w:themeColor="background1" w:themeShade="A6"/>
              <w:right w:val="nil"/>
            </w:tcBorders>
            <w:shd w:val="clear" w:color="auto" w:fill="auto"/>
            <w:noWrap/>
            <w:vAlign w:val="center"/>
          </w:tcPr>
          <w:p w14:paraId="77AC2673" w14:textId="66994942" w:rsidR="000E29CA" w:rsidRPr="00F5413B" w:rsidRDefault="000E29CA" w:rsidP="000E29CA">
            <w:pPr>
              <w:spacing w:after="0" w:line="240" w:lineRule="auto"/>
              <w:jc w:val="center"/>
              <w:rPr>
                <w:rFonts w:cs="Arial"/>
                <w:b/>
                <w:color w:val="000000"/>
                <w:sz w:val="16"/>
                <w:szCs w:val="16"/>
              </w:rPr>
            </w:pPr>
            <w:r w:rsidRPr="002137A2">
              <w:rPr>
                <w:rFonts w:cs="Arial"/>
                <w:b/>
                <w:sz w:val="16"/>
                <w:szCs w:val="16"/>
              </w:rPr>
              <w:t>Σύνολο</w:t>
            </w:r>
          </w:p>
        </w:tc>
        <w:tc>
          <w:tcPr>
            <w:tcW w:w="3583" w:type="dxa"/>
            <w:tcBorders>
              <w:top w:val="nil"/>
              <w:left w:val="nil"/>
              <w:bottom w:val="single" w:sz="2" w:space="0" w:color="A6A6A6" w:themeColor="background1" w:themeShade="A6"/>
            </w:tcBorders>
            <w:shd w:val="clear" w:color="auto" w:fill="auto"/>
            <w:noWrap/>
            <w:vAlign w:val="center"/>
          </w:tcPr>
          <w:p w14:paraId="224BEF62" w14:textId="193790EC" w:rsidR="000E29CA" w:rsidRPr="00C03531" w:rsidRDefault="000E29CA" w:rsidP="000E29CA">
            <w:pPr>
              <w:spacing w:after="0" w:line="240" w:lineRule="auto"/>
              <w:jc w:val="right"/>
              <w:rPr>
                <w:rFonts w:cs="Arial"/>
                <w:b/>
                <w:color w:val="000000"/>
                <w:sz w:val="16"/>
                <w:szCs w:val="16"/>
              </w:rPr>
            </w:pPr>
            <w:r w:rsidRPr="002137A2">
              <w:rPr>
                <w:rFonts w:cs="Arial"/>
                <w:b/>
                <w:sz w:val="16"/>
                <w:szCs w:val="16"/>
                <w:lang w:val="en-US"/>
              </w:rPr>
              <w:t>736</w:t>
            </w:r>
            <w:r w:rsidR="00C03531">
              <w:rPr>
                <w:rFonts w:cs="Arial"/>
                <w:b/>
                <w:sz w:val="16"/>
                <w:szCs w:val="16"/>
              </w:rPr>
              <w:t>,0</w:t>
            </w:r>
          </w:p>
        </w:tc>
      </w:tr>
      <w:tr w:rsidR="003A555E" w:rsidRPr="00F5413B" w14:paraId="265D577F" w14:textId="77777777" w:rsidTr="00E23A45">
        <w:trPr>
          <w:trHeight w:val="283"/>
          <w:jc w:val="center"/>
        </w:trPr>
        <w:tc>
          <w:tcPr>
            <w:tcW w:w="7477" w:type="dxa"/>
            <w:gridSpan w:val="2"/>
            <w:tcBorders>
              <w:top w:val="single" w:sz="2" w:space="0" w:color="A6A6A6" w:themeColor="background1" w:themeShade="A6"/>
              <w:left w:val="nil"/>
              <w:bottom w:val="nil"/>
              <w:right w:val="nil"/>
            </w:tcBorders>
            <w:shd w:val="clear" w:color="auto" w:fill="auto"/>
            <w:noWrap/>
            <w:vAlign w:val="center"/>
          </w:tcPr>
          <w:p w14:paraId="6A9D0F35" w14:textId="25827B85" w:rsidR="003A555E" w:rsidRPr="003A555E" w:rsidRDefault="003A555E" w:rsidP="003A555E">
            <w:pPr>
              <w:spacing w:before="60" w:after="0" w:line="276" w:lineRule="auto"/>
              <w:rPr>
                <w:rFonts w:cs="Arial"/>
                <w:b/>
                <w:sz w:val="16"/>
                <w:szCs w:val="16"/>
              </w:rPr>
            </w:pPr>
            <w:r>
              <w:rPr>
                <w:rFonts w:cs="Arial"/>
                <w:sz w:val="16"/>
                <w:szCs w:val="16"/>
              </w:rPr>
              <w:t xml:space="preserve">* Αφορά στην περίοδο από </w:t>
            </w:r>
            <w:r w:rsidRPr="00D651F8">
              <w:rPr>
                <w:rFonts w:cs="Arial"/>
                <w:sz w:val="16"/>
                <w:szCs w:val="16"/>
              </w:rPr>
              <w:t>01.01.202</w:t>
            </w:r>
            <w:r w:rsidRPr="002B486A">
              <w:rPr>
                <w:rFonts w:cs="Arial"/>
                <w:sz w:val="16"/>
                <w:szCs w:val="16"/>
              </w:rPr>
              <w:t>5</w:t>
            </w:r>
            <w:r w:rsidRPr="00D651F8">
              <w:rPr>
                <w:rFonts w:cs="Arial"/>
                <w:sz w:val="16"/>
                <w:szCs w:val="16"/>
              </w:rPr>
              <w:t xml:space="preserve"> </w:t>
            </w:r>
            <w:r>
              <w:rPr>
                <w:rFonts w:cs="Arial"/>
                <w:sz w:val="16"/>
                <w:szCs w:val="16"/>
              </w:rPr>
              <w:t xml:space="preserve">έως </w:t>
            </w:r>
            <w:r w:rsidRPr="00D651F8">
              <w:rPr>
                <w:rFonts w:cs="Arial"/>
                <w:sz w:val="16"/>
                <w:szCs w:val="16"/>
              </w:rPr>
              <w:t>30.9.202</w:t>
            </w:r>
            <w:r w:rsidRPr="002B486A">
              <w:rPr>
                <w:rFonts w:cs="Arial"/>
                <w:sz w:val="16"/>
                <w:szCs w:val="16"/>
              </w:rPr>
              <w:t>5</w:t>
            </w:r>
            <w:r>
              <w:rPr>
                <w:rFonts w:cs="Arial"/>
                <w:sz w:val="16"/>
                <w:szCs w:val="16"/>
              </w:rPr>
              <w:t>.</w:t>
            </w:r>
          </w:p>
        </w:tc>
      </w:tr>
    </w:tbl>
    <w:p w14:paraId="32677C0B" w14:textId="0009A5B6" w:rsidR="006114E2" w:rsidRPr="006114E2" w:rsidRDefault="006114E2" w:rsidP="006114E2">
      <w:pPr>
        <w:spacing w:before="240"/>
        <w:rPr>
          <w:rFonts w:cs="Arial"/>
          <w:szCs w:val="20"/>
        </w:rPr>
      </w:pPr>
      <w:r w:rsidRPr="006114E2">
        <w:t>Οι νέες εγγυήσεις που παρασχέθηκαν σε Τιτλοποιήσεις Μη Εξυπηρετούμενων Δανείων τραπεζών κατά το έτος 2025 ανέρχονται σε 1,12 δισ. ευρώ</w:t>
      </w:r>
      <w:r w:rsidR="001C281F" w:rsidRPr="001C281F">
        <w:t xml:space="preserve"> </w:t>
      </w:r>
      <w:r w:rsidR="001C281F" w:rsidRPr="006114E2">
        <w:t>περίπου</w:t>
      </w:r>
      <w:r w:rsidRPr="006114E2">
        <w:t>.</w:t>
      </w:r>
    </w:p>
    <w:p w14:paraId="11C17D51" w14:textId="42599B96" w:rsidR="006114E2" w:rsidRPr="006114E2" w:rsidRDefault="006114E2" w:rsidP="00EC630C">
      <w:pPr>
        <w:pStyle w:val="af0"/>
        <w:numPr>
          <w:ilvl w:val="0"/>
          <w:numId w:val="10"/>
        </w:numPr>
        <w:tabs>
          <w:tab w:val="left" w:pos="426"/>
        </w:tabs>
        <w:spacing w:before="120" w:after="120" w:line="300" w:lineRule="auto"/>
        <w:ind w:left="0" w:firstLine="0"/>
        <w:contextualSpacing w:val="0"/>
        <w:rPr>
          <w:rFonts w:ascii="Arial" w:hAnsi="Arial" w:cs="Arial"/>
          <w:sz w:val="20"/>
          <w:szCs w:val="20"/>
        </w:rPr>
      </w:pPr>
      <w:r w:rsidRPr="006114E2">
        <w:rPr>
          <w:rFonts w:ascii="Arial" w:hAnsi="Arial" w:cs="Arial"/>
          <w:sz w:val="20"/>
          <w:szCs w:val="20"/>
        </w:rPr>
        <w:t xml:space="preserve">Στο πλαίσιο προγραμμάτων ενίσχυσης της επιχειρηματικότητας η ΕΤΕπ χορηγεί δάνεια στα πιστωτικά ιδρύματα, με αποκλειστικό σκοπό τη χρηματοδότηση μικρών και μεσαίων επιχειρήσεων για την εκτέλεση επενδυτικών έργων και την αντιμετώπιση των επιπτώσεων της πανδημίας Covid-19. Οι εγγυήσεις που έχουν παρασχεθεί προς την ΕΤΕπ για την κάλυψη των ανωτέρω δανείων ανέρχονται συνολικά σε 2,91 δισ. ευρώ. Στις 30.9.2025 το ανεξόφλητο υπόλοιπο των </w:t>
      </w:r>
      <w:r w:rsidR="001C281F">
        <w:rPr>
          <w:rFonts w:ascii="Arial" w:hAnsi="Arial" w:cs="Arial"/>
          <w:sz w:val="20"/>
          <w:szCs w:val="20"/>
        </w:rPr>
        <w:t xml:space="preserve">εν λόγω </w:t>
      </w:r>
      <w:r w:rsidRPr="006114E2">
        <w:rPr>
          <w:rFonts w:ascii="Arial" w:hAnsi="Arial" w:cs="Arial"/>
          <w:sz w:val="20"/>
          <w:szCs w:val="20"/>
        </w:rPr>
        <w:t>δανείων αν</w:t>
      </w:r>
      <w:r w:rsidR="001C281F">
        <w:rPr>
          <w:rFonts w:ascii="Arial" w:hAnsi="Arial" w:cs="Arial"/>
          <w:sz w:val="20"/>
          <w:szCs w:val="20"/>
        </w:rPr>
        <w:t>ερχόταν</w:t>
      </w:r>
      <w:r w:rsidRPr="006114E2">
        <w:rPr>
          <w:rFonts w:ascii="Arial" w:hAnsi="Arial" w:cs="Arial"/>
          <w:sz w:val="20"/>
          <w:szCs w:val="20"/>
        </w:rPr>
        <w:t xml:space="preserve"> σε 1,03 δισ. ευρώ</w:t>
      </w:r>
      <w:r w:rsidR="00023DA9">
        <w:rPr>
          <w:rFonts w:ascii="Arial" w:hAnsi="Arial" w:cs="Arial"/>
          <w:sz w:val="20"/>
          <w:szCs w:val="20"/>
        </w:rPr>
        <w:t>,</w:t>
      </w:r>
      <w:r w:rsidRPr="006114E2">
        <w:rPr>
          <w:rFonts w:ascii="Arial" w:hAnsi="Arial" w:cs="Arial"/>
          <w:sz w:val="20"/>
          <w:szCs w:val="20"/>
        </w:rPr>
        <w:t xml:space="preserve"> </w:t>
      </w:r>
      <w:r w:rsidR="00552C9B" w:rsidRPr="001C281F">
        <w:rPr>
          <w:rFonts w:ascii="Arial" w:hAnsi="Arial" w:cs="Arial"/>
          <w:sz w:val="20"/>
          <w:szCs w:val="20"/>
        </w:rPr>
        <w:t>ενώ</w:t>
      </w:r>
      <w:r w:rsidR="00552C9B">
        <w:rPr>
          <w:rFonts w:ascii="Arial" w:hAnsi="Arial" w:cs="Arial"/>
          <w:sz w:val="20"/>
          <w:szCs w:val="20"/>
        </w:rPr>
        <w:t xml:space="preserve"> </w:t>
      </w:r>
      <w:r w:rsidRPr="006114E2">
        <w:rPr>
          <w:rFonts w:ascii="Arial" w:hAnsi="Arial" w:cs="Arial"/>
          <w:sz w:val="20"/>
          <w:szCs w:val="20"/>
        </w:rPr>
        <w:t xml:space="preserve">από </w:t>
      </w:r>
      <w:r w:rsidR="00023DA9">
        <w:rPr>
          <w:rFonts w:ascii="Arial" w:hAnsi="Arial" w:cs="Arial"/>
          <w:sz w:val="20"/>
          <w:szCs w:val="20"/>
        </w:rPr>
        <w:t xml:space="preserve">την </w:t>
      </w:r>
      <w:r w:rsidRPr="006114E2">
        <w:rPr>
          <w:rFonts w:ascii="Arial" w:hAnsi="Arial" w:cs="Arial"/>
          <w:sz w:val="20"/>
          <w:szCs w:val="20"/>
        </w:rPr>
        <w:t>01</w:t>
      </w:r>
      <w:r w:rsidR="00023DA9">
        <w:rPr>
          <w:rFonts w:ascii="Arial" w:hAnsi="Arial" w:cs="Arial"/>
          <w:sz w:val="20"/>
          <w:szCs w:val="20"/>
        </w:rPr>
        <w:t>η</w:t>
      </w:r>
      <w:r w:rsidRPr="006114E2">
        <w:rPr>
          <w:rFonts w:ascii="Arial" w:hAnsi="Arial" w:cs="Arial"/>
          <w:sz w:val="20"/>
          <w:szCs w:val="20"/>
        </w:rPr>
        <w:t xml:space="preserve">.01.2025 έως </w:t>
      </w:r>
      <w:r w:rsidR="00023DA9">
        <w:rPr>
          <w:rFonts w:ascii="Arial" w:hAnsi="Arial" w:cs="Arial"/>
          <w:sz w:val="20"/>
          <w:szCs w:val="20"/>
        </w:rPr>
        <w:t xml:space="preserve">την </w:t>
      </w:r>
      <w:r w:rsidRPr="006114E2">
        <w:rPr>
          <w:rFonts w:ascii="Arial" w:hAnsi="Arial" w:cs="Arial"/>
          <w:sz w:val="20"/>
          <w:szCs w:val="20"/>
        </w:rPr>
        <w:t>30</w:t>
      </w:r>
      <w:r w:rsidR="00023DA9">
        <w:rPr>
          <w:rFonts w:ascii="Arial" w:hAnsi="Arial" w:cs="Arial"/>
          <w:sz w:val="20"/>
          <w:szCs w:val="20"/>
        </w:rPr>
        <w:t>η</w:t>
      </w:r>
      <w:r w:rsidRPr="006114E2">
        <w:rPr>
          <w:rFonts w:ascii="Arial" w:hAnsi="Arial" w:cs="Arial"/>
          <w:sz w:val="20"/>
          <w:szCs w:val="20"/>
        </w:rPr>
        <w:t>.9.2025 έχει εισπραχθεί από το Ελληνικό Δημόσιο προμήθεια ύψους 8,43 εκατ. ευρώ.</w:t>
      </w:r>
    </w:p>
    <w:p w14:paraId="75F6FFB6" w14:textId="3CC8E12A" w:rsidR="006114E2" w:rsidRPr="006114E2" w:rsidRDefault="006114E2" w:rsidP="00EC630C">
      <w:pPr>
        <w:pStyle w:val="af0"/>
        <w:numPr>
          <w:ilvl w:val="0"/>
          <w:numId w:val="10"/>
        </w:numPr>
        <w:tabs>
          <w:tab w:val="left" w:pos="426"/>
        </w:tabs>
        <w:spacing w:before="120" w:after="120" w:line="300" w:lineRule="auto"/>
        <w:ind w:left="0" w:firstLine="0"/>
        <w:contextualSpacing w:val="0"/>
        <w:rPr>
          <w:rFonts w:ascii="Arial" w:hAnsi="Arial" w:cs="Arial"/>
          <w:sz w:val="20"/>
          <w:szCs w:val="20"/>
        </w:rPr>
      </w:pPr>
      <w:r w:rsidRPr="006114E2">
        <w:rPr>
          <w:rFonts w:ascii="Arial" w:hAnsi="Arial" w:cs="Arial"/>
          <w:sz w:val="20"/>
          <w:szCs w:val="20"/>
        </w:rPr>
        <w:t xml:space="preserve">Για την αντιμετώπιση της πανδημίας Covid-19 το Ελληνικό Δημόσιο παρείχε εγγύηση στο πλαίσιο του προγράμματος SURE </w:t>
      </w:r>
      <w:r w:rsidR="0070194C">
        <w:rPr>
          <w:rFonts w:ascii="Arial" w:hAnsi="Arial" w:cs="Arial"/>
          <w:sz w:val="20"/>
          <w:szCs w:val="20"/>
        </w:rPr>
        <w:t xml:space="preserve">ύψους </w:t>
      </w:r>
      <w:r w:rsidRPr="006114E2">
        <w:rPr>
          <w:rFonts w:ascii="Arial" w:hAnsi="Arial" w:cs="Arial"/>
          <w:sz w:val="20"/>
          <w:szCs w:val="20"/>
        </w:rPr>
        <w:t>342,6 εκατ. ευρώ</w:t>
      </w:r>
      <w:r w:rsidR="0070194C">
        <w:rPr>
          <w:rFonts w:ascii="Arial" w:hAnsi="Arial" w:cs="Arial"/>
          <w:sz w:val="20"/>
          <w:szCs w:val="20"/>
        </w:rPr>
        <w:t>, το οποίο παραμένει αμετάβλητο από τον χρόνο παροχής (Ιούνιος 2020),</w:t>
      </w:r>
      <w:r w:rsidRPr="006114E2">
        <w:rPr>
          <w:rFonts w:ascii="Arial" w:hAnsi="Arial" w:cs="Arial"/>
          <w:sz w:val="20"/>
          <w:szCs w:val="20"/>
        </w:rPr>
        <w:t xml:space="preserve"> καθώς και </w:t>
      </w:r>
      <w:r w:rsidRPr="000E4B21">
        <w:rPr>
          <w:rFonts w:ascii="Arial" w:hAnsi="Arial" w:cs="Arial"/>
          <w:sz w:val="20"/>
          <w:szCs w:val="20"/>
        </w:rPr>
        <w:t>στο Π</w:t>
      </w:r>
      <w:r w:rsidR="004E6392" w:rsidRPr="000E4B21">
        <w:rPr>
          <w:rFonts w:ascii="Arial" w:hAnsi="Arial" w:cs="Arial"/>
          <w:sz w:val="20"/>
          <w:szCs w:val="20"/>
        </w:rPr>
        <w:t xml:space="preserve">ανευρωπαϊκό </w:t>
      </w:r>
      <w:r w:rsidR="00023DA9" w:rsidRPr="000E4B21">
        <w:rPr>
          <w:rFonts w:ascii="Arial" w:hAnsi="Arial" w:cs="Arial"/>
          <w:sz w:val="20"/>
          <w:szCs w:val="20"/>
        </w:rPr>
        <w:t>Τ</w:t>
      </w:r>
      <w:r w:rsidR="004E6392" w:rsidRPr="000E4B21">
        <w:rPr>
          <w:rFonts w:ascii="Arial" w:hAnsi="Arial" w:cs="Arial"/>
          <w:sz w:val="20"/>
          <w:szCs w:val="20"/>
        </w:rPr>
        <w:t xml:space="preserve">αμείο </w:t>
      </w:r>
      <w:r w:rsidR="00023DA9" w:rsidRPr="000E4B21">
        <w:rPr>
          <w:rFonts w:ascii="Arial" w:hAnsi="Arial" w:cs="Arial"/>
          <w:sz w:val="20"/>
          <w:szCs w:val="20"/>
        </w:rPr>
        <w:t>Ε</w:t>
      </w:r>
      <w:r w:rsidR="004E6392" w:rsidRPr="000E4B21">
        <w:rPr>
          <w:rFonts w:ascii="Arial" w:hAnsi="Arial" w:cs="Arial"/>
          <w:sz w:val="20"/>
          <w:szCs w:val="20"/>
        </w:rPr>
        <w:t>γγυήσεων</w:t>
      </w:r>
      <w:r w:rsidR="00023DA9" w:rsidRPr="000E4B21">
        <w:rPr>
          <w:rFonts w:ascii="Arial" w:hAnsi="Arial" w:cs="Arial"/>
          <w:sz w:val="20"/>
          <w:szCs w:val="20"/>
        </w:rPr>
        <w:t xml:space="preserve"> </w:t>
      </w:r>
      <w:r w:rsidR="0070194C" w:rsidRPr="000E4B21">
        <w:rPr>
          <w:rFonts w:ascii="Arial" w:hAnsi="Arial" w:cs="Arial"/>
          <w:sz w:val="20"/>
          <w:szCs w:val="20"/>
        </w:rPr>
        <w:t>ύψους</w:t>
      </w:r>
      <w:r w:rsidRPr="000E4B21">
        <w:rPr>
          <w:rFonts w:ascii="Arial" w:hAnsi="Arial" w:cs="Arial"/>
          <w:sz w:val="20"/>
          <w:szCs w:val="20"/>
        </w:rPr>
        <w:t xml:space="preserve"> 266,11</w:t>
      </w:r>
      <w:r w:rsidRPr="006114E2">
        <w:rPr>
          <w:rFonts w:ascii="Arial" w:hAnsi="Arial" w:cs="Arial"/>
          <w:sz w:val="20"/>
          <w:szCs w:val="20"/>
        </w:rPr>
        <w:t xml:space="preserve"> εκατ. ευρώ. Σημειώνεται ότι η εγγύηση για το εν λόγω Ταμείο περιορίστηκε στο </w:t>
      </w:r>
      <w:r w:rsidR="0070194C">
        <w:rPr>
          <w:rFonts w:ascii="Arial" w:hAnsi="Arial" w:cs="Arial"/>
          <w:sz w:val="20"/>
          <w:szCs w:val="20"/>
        </w:rPr>
        <w:t xml:space="preserve">ανωτέρω </w:t>
      </w:r>
      <w:r w:rsidRPr="006114E2">
        <w:rPr>
          <w:rFonts w:ascii="Arial" w:hAnsi="Arial" w:cs="Arial"/>
          <w:sz w:val="20"/>
          <w:szCs w:val="20"/>
        </w:rPr>
        <w:t xml:space="preserve">ποσό έναντι του αρχικού ποσού </w:t>
      </w:r>
      <w:r w:rsidR="0070194C">
        <w:rPr>
          <w:rFonts w:ascii="Arial" w:hAnsi="Arial" w:cs="Arial"/>
          <w:sz w:val="20"/>
          <w:szCs w:val="20"/>
        </w:rPr>
        <w:t>των</w:t>
      </w:r>
      <w:r w:rsidRPr="006114E2">
        <w:rPr>
          <w:rFonts w:ascii="Arial" w:hAnsi="Arial" w:cs="Arial"/>
          <w:sz w:val="20"/>
          <w:szCs w:val="20"/>
        </w:rPr>
        <w:t xml:space="preserve"> 353 εκατ. ευρώ τον Αύγουστο 2020.</w:t>
      </w:r>
    </w:p>
    <w:p w14:paraId="1CA7CD5A" w14:textId="5F9B7623" w:rsidR="006114E2" w:rsidRPr="006114E2" w:rsidRDefault="006114E2" w:rsidP="00EC630C">
      <w:pPr>
        <w:pStyle w:val="af0"/>
        <w:numPr>
          <w:ilvl w:val="0"/>
          <w:numId w:val="10"/>
        </w:numPr>
        <w:tabs>
          <w:tab w:val="left" w:pos="426"/>
        </w:tabs>
        <w:spacing w:before="120" w:after="120" w:line="300" w:lineRule="auto"/>
        <w:ind w:left="0" w:firstLine="0"/>
        <w:contextualSpacing w:val="0"/>
        <w:rPr>
          <w:rFonts w:ascii="Arial" w:hAnsi="Arial" w:cs="Arial"/>
          <w:sz w:val="20"/>
          <w:szCs w:val="20"/>
        </w:rPr>
      </w:pPr>
      <w:r w:rsidRPr="006114E2">
        <w:rPr>
          <w:rFonts w:ascii="Arial" w:hAnsi="Arial" w:cs="Arial"/>
          <w:sz w:val="20"/>
          <w:szCs w:val="20"/>
        </w:rPr>
        <w:t>Το Ελληνικό Δημόσιο παρείχε εγγύηση προς την ΕΕ ύψους 45,3 εκατ. ευρώ για τη χορήγηση έκτακτης Μακροοικονομικής Χρηματοδοτικής Συνδρομής στην Ουκρανία.</w:t>
      </w:r>
    </w:p>
    <w:p w14:paraId="484C55E6" w14:textId="266AFBA4" w:rsidR="00627C31" w:rsidRPr="0061266E" w:rsidRDefault="006114E2" w:rsidP="006E2CA1">
      <w:pPr>
        <w:pStyle w:val="af0"/>
        <w:numPr>
          <w:ilvl w:val="0"/>
          <w:numId w:val="10"/>
        </w:numPr>
        <w:tabs>
          <w:tab w:val="left" w:pos="426"/>
        </w:tabs>
        <w:spacing w:before="120" w:after="120" w:line="300" w:lineRule="auto"/>
        <w:ind w:left="0" w:firstLine="0"/>
        <w:contextualSpacing w:val="0"/>
      </w:pPr>
      <w:r w:rsidRPr="0061266E">
        <w:rPr>
          <w:rFonts w:ascii="Arial" w:hAnsi="Arial" w:cs="Arial"/>
          <w:sz w:val="20"/>
          <w:szCs w:val="20"/>
        </w:rPr>
        <w:lastRenderedPageBreak/>
        <w:t xml:space="preserve">Το Ελληνικό Δημόσιο στο παρελθόν παρείχε εγγύηση προς την ΕΤΕπ ύψους 21,12 εκατ. ευρώ (υπόλοιπο 30.6.2025) στο πλαίσιο των διεθνών συμφωνιών Κοτονού Ι, </w:t>
      </w:r>
      <w:r w:rsidR="008C4B0C" w:rsidRPr="0061266E">
        <w:rPr>
          <w:rFonts w:ascii="Arial" w:hAnsi="Arial" w:cs="Arial"/>
          <w:sz w:val="20"/>
          <w:szCs w:val="20"/>
        </w:rPr>
        <w:t>ΙΙ</w:t>
      </w:r>
      <w:r w:rsidRPr="0061266E">
        <w:rPr>
          <w:rFonts w:ascii="Arial" w:hAnsi="Arial" w:cs="Arial"/>
          <w:sz w:val="20"/>
          <w:szCs w:val="20"/>
        </w:rPr>
        <w:t xml:space="preserve"> και ΙΙΙ, με σκοπό την οικονομική βοήθεια και </w:t>
      </w:r>
      <w:r w:rsidR="00023DA9" w:rsidRPr="0061266E">
        <w:rPr>
          <w:rFonts w:ascii="Arial" w:hAnsi="Arial" w:cs="Arial"/>
          <w:sz w:val="20"/>
          <w:szCs w:val="20"/>
        </w:rPr>
        <w:t xml:space="preserve">την </w:t>
      </w:r>
      <w:r w:rsidRPr="0061266E">
        <w:rPr>
          <w:rFonts w:ascii="Arial" w:hAnsi="Arial" w:cs="Arial"/>
          <w:sz w:val="20"/>
          <w:szCs w:val="20"/>
        </w:rPr>
        <w:t xml:space="preserve">ανάπτυξη των χωρών </w:t>
      </w:r>
      <w:r w:rsidR="008C4B0C" w:rsidRPr="0061266E">
        <w:rPr>
          <w:rFonts w:ascii="Arial" w:hAnsi="Arial" w:cs="Arial"/>
          <w:sz w:val="20"/>
          <w:szCs w:val="20"/>
        </w:rPr>
        <w:t xml:space="preserve">της </w:t>
      </w:r>
      <w:r w:rsidRPr="0061266E">
        <w:rPr>
          <w:rFonts w:ascii="Arial" w:hAnsi="Arial" w:cs="Arial"/>
          <w:sz w:val="20"/>
          <w:szCs w:val="20"/>
        </w:rPr>
        <w:t xml:space="preserve">Αφρικής, </w:t>
      </w:r>
      <w:r w:rsidR="008C4B0C" w:rsidRPr="0061266E">
        <w:rPr>
          <w:rFonts w:ascii="Arial" w:hAnsi="Arial" w:cs="Arial"/>
          <w:sz w:val="20"/>
          <w:szCs w:val="20"/>
        </w:rPr>
        <w:t xml:space="preserve">της </w:t>
      </w:r>
      <w:r w:rsidRPr="0061266E">
        <w:rPr>
          <w:rFonts w:ascii="Arial" w:hAnsi="Arial" w:cs="Arial"/>
          <w:sz w:val="20"/>
          <w:szCs w:val="20"/>
        </w:rPr>
        <w:t xml:space="preserve">Καραϊβικής και </w:t>
      </w:r>
      <w:r w:rsidR="008C4B0C" w:rsidRPr="0061266E">
        <w:rPr>
          <w:rFonts w:ascii="Arial" w:hAnsi="Arial" w:cs="Arial"/>
          <w:sz w:val="20"/>
          <w:szCs w:val="20"/>
        </w:rPr>
        <w:t xml:space="preserve">του </w:t>
      </w:r>
      <w:r w:rsidRPr="0061266E">
        <w:rPr>
          <w:rFonts w:ascii="Arial" w:hAnsi="Arial" w:cs="Arial"/>
          <w:sz w:val="20"/>
          <w:szCs w:val="20"/>
        </w:rPr>
        <w:t>Ειρηνικού.</w:t>
      </w:r>
    </w:p>
    <w:p w14:paraId="67F2AE1A" w14:textId="019386FF" w:rsidR="0061266E" w:rsidRDefault="0061266E">
      <w:pPr>
        <w:spacing w:after="0" w:line="240" w:lineRule="auto"/>
        <w:jc w:val="left"/>
      </w:pPr>
      <w:r>
        <w:br w:type="page"/>
      </w:r>
    </w:p>
    <w:p w14:paraId="08175138" w14:textId="77777777" w:rsidR="0061266E" w:rsidRPr="00627C31" w:rsidRDefault="0061266E" w:rsidP="0061266E">
      <w:pPr>
        <w:tabs>
          <w:tab w:val="left" w:pos="426"/>
        </w:tabs>
        <w:spacing w:before="120"/>
      </w:pPr>
    </w:p>
    <w:p w14:paraId="33883DA2" w14:textId="77777777" w:rsidR="00BF54B4" w:rsidRDefault="00BF54B4" w:rsidP="006B7EDA">
      <w:pPr>
        <w:sectPr w:rsidR="00BF54B4" w:rsidSect="008E7E86">
          <w:headerReference w:type="even" r:id="rId120"/>
          <w:headerReference w:type="default" r:id="rId121"/>
          <w:footerReference w:type="even" r:id="rId122"/>
          <w:footerReference w:type="default" r:id="rId123"/>
          <w:footnotePr>
            <w:numRestart w:val="eachSect"/>
          </w:footnotePr>
          <w:pgSz w:w="11906" w:h="16838" w:code="9"/>
          <w:pgMar w:top="1310" w:right="1418" w:bottom="1310" w:left="1418" w:header="652" w:footer="652" w:gutter="0"/>
          <w:cols w:space="708"/>
          <w:docGrid w:linePitch="360"/>
        </w:sectPr>
      </w:pPr>
    </w:p>
    <w:p w14:paraId="0CB14AF8" w14:textId="0828006A" w:rsidR="00627C31" w:rsidRPr="007F2BDC" w:rsidRDefault="00627C31" w:rsidP="0032045E">
      <w:pPr>
        <w:pStyle w:val="1"/>
        <w:tabs>
          <w:tab w:val="clear" w:pos="8932"/>
        </w:tabs>
        <w:ind w:left="0"/>
      </w:pPr>
      <w:bookmarkStart w:id="753" w:name="_Toc214473811"/>
      <w:bookmarkEnd w:id="753"/>
    </w:p>
    <w:p w14:paraId="0895BAC7" w14:textId="4B969DD9" w:rsidR="00627C31" w:rsidRDefault="00F4129D" w:rsidP="00F4129D">
      <w:pPr>
        <w:pStyle w:val="2"/>
        <w:jc w:val="left"/>
      </w:pPr>
      <w:bookmarkStart w:id="754" w:name="_Toc214473812"/>
      <w:r w:rsidRPr="007F2BDC">
        <w:t xml:space="preserve">ΠΕΡΙΟΥΣΙΑΚΑ ΣΤΟΙΧΕΙΑ ΕΛΛΗΝΙΚΟΥ ΔΗΜΟΣΙΟΥ </w:t>
      </w:r>
      <w:r w:rsidR="003E1006">
        <w:t>-</w:t>
      </w:r>
      <w:r w:rsidRPr="007F2BDC">
        <w:t xml:space="preserve"> ΑΠΟΚΡΑΤΙΚΟΠΟΙΗΣΕΙΣ</w:t>
      </w:r>
      <w:bookmarkEnd w:id="754"/>
    </w:p>
    <w:p w14:paraId="29A55D57" w14:textId="77234EED" w:rsidR="00E07186" w:rsidRDefault="0058051D" w:rsidP="005F00B6">
      <w:r w:rsidRPr="00F44EBA">
        <w:t xml:space="preserve">Σημαντικό μέρος της διαχείρισης των περιουσιακών στοιχείων του Ελληνικού Δημοσίου έχει μεταβιβαστεί στην Ελληνική Εταιρεία Συμμετοχών και Περιουσίας (ΕΕΣΥΠ), με σκοπό τη γενικότερη ανάπτυξή τους και την επαύξηση της αξίας τους. </w:t>
      </w:r>
      <w:r w:rsidR="007314EE">
        <w:t xml:space="preserve">Η </w:t>
      </w:r>
      <w:r w:rsidR="007314EE">
        <w:rPr>
          <w:rFonts w:cs="Arial"/>
        </w:rPr>
        <w:t>αναδιάρθρωση της ΕΕΣΥΠ και των θυγατρικών της αποτέλεσε τον πυρήνα του ρυθμιστικού πεδίου του ν.5131/2024 (Α’ 128)</w:t>
      </w:r>
      <w:r w:rsidR="0026670C">
        <w:rPr>
          <w:rFonts w:cs="Arial"/>
        </w:rPr>
        <w:t>,</w:t>
      </w:r>
      <w:r w:rsidR="000C1F15">
        <w:rPr>
          <w:rFonts w:cs="Arial"/>
        </w:rPr>
        <w:t xml:space="preserve"> καθιστώντας τον </w:t>
      </w:r>
      <w:r w:rsidR="007314EE">
        <w:rPr>
          <w:rFonts w:cs="Arial"/>
        </w:rPr>
        <w:t>θεσμικό ορόσημο για τη</w:t>
      </w:r>
      <w:r w:rsidR="000C1F15">
        <w:rPr>
          <w:rFonts w:cs="Arial"/>
        </w:rPr>
        <w:t>ν</w:t>
      </w:r>
      <w:r w:rsidR="007314EE">
        <w:rPr>
          <w:rFonts w:cs="Arial"/>
        </w:rPr>
        <w:t xml:space="preserve"> </w:t>
      </w:r>
      <w:r w:rsidR="000C1F15">
        <w:rPr>
          <w:rFonts w:cs="Arial"/>
        </w:rPr>
        <w:t>αναβάθμιση της</w:t>
      </w:r>
      <w:r w:rsidR="007314EE">
        <w:rPr>
          <w:rFonts w:cs="Arial"/>
        </w:rPr>
        <w:t xml:space="preserve"> λειτουργία</w:t>
      </w:r>
      <w:r w:rsidR="000C1F15">
        <w:rPr>
          <w:rFonts w:cs="Arial"/>
        </w:rPr>
        <w:t>ς</w:t>
      </w:r>
      <w:r w:rsidR="007314EE">
        <w:rPr>
          <w:rFonts w:cs="Arial"/>
        </w:rPr>
        <w:t xml:space="preserve"> της και την ενίσχυση της επενδυτικής της δραστηριότητας. Συγκεκριμένα, </w:t>
      </w:r>
      <w:r w:rsidR="000C1F15">
        <w:rPr>
          <w:rFonts w:cs="Arial"/>
        </w:rPr>
        <w:t>α</w:t>
      </w:r>
      <w:r w:rsidR="000C1F15" w:rsidRPr="00F44EBA">
        <w:t>πό την 31η.12.2024 η αποστολή της ΕΕΣΥΠ διευρύνθηκε με την απορρόφηση</w:t>
      </w:r>
      <w:r w:rsidR="00E32369">
        <w:t xml:space="preserve"> </w:t>
      </w:r>
      <w:r w:rsidR="000C1F15" w:rsidRPr="00F44EBA">
        <w:t xml:space="preserve">του Ταμείου Αξιοποίησης Ιδιωτικής Περιουσίας του Δημοσίου - ΤΑΙΠΕΔ και του Ταμείου Χρηματοπιστωτικής Σταθερότητας </w:t>
      </w:r>
      <w:r w:rsidR="00E07186">
        <w:t>-</w:t>
      </w:r>
      <w:r w:rsidR="000C1F15" w:rsidRPr="00F44EBA">
        <w:t xml:space="preserve"> ΤΧΣ (άρθρο 5 του ν.5131/2024</w:t>
      </w:r>
      <w:r w:rsidR="000C1F15">
        <w:t>)</w:t>
      </w:r>
      <w:r w:rsidR="000C1F15" w:rsidRPr="00F44EBA">
        <w:t>.</w:t>
      </w:r>
    </w:p>
    <w:p w14:paraId="6FC7CFD3" w14:textId="07CC4901" w:rsidR="005F00B6" w:rsidRPr="00047C88" w:rsidRDefault="00BA0FC1" w:rsidP="005F00B6">
      <w:r w:rsidRPr="00F44EBA">
        <w:t xml:space="preserve">Η παρακολούθηση των εσόδων από τις </w:t>
      </w:r>
      <w:r w:rsidR="00E07186">
        <w:t xml:space="preserve">υλοποιούμενες </w:t>
      </w:r>
      <w:r w:rsidRPr="00F44EBA">
        <w:t>αποκρατικοποιήσεις πραγματοποιείται από τη Μονάδα Αποκρατικοποιήσεων, Διαχείρισης Κινητών Αξιών και Επιχειρησιακού Σχεδιασμού (ΜΑΔΚΑΕΣ)</w:t>
      </w:r>
      <w:r w:rsidR="00D342FB" w:rsidRPr="00F44EBA">
        <w:t xml:space="preserve"> του Υπουργείου Εθνικής Οικονομίας και Οικονομικών</w:t>
      </w:r>
      <w:r w:rsidRPr="00F44EBA">
        <w:t xml:space="preserve">, στις αρμοδιότητες της οποίας περιλαμβάνεται και η αποτελεσματική διαχείριση των κινητών αξιών του Ελληνικού Δημοσίου </w:t>
      </w:r>
      <w:r w:rsidR="00626AA8" w:rsidRPr="00F44EBA">
        <w:t xml:space="preserve">με </w:t>
      </w:r>
      <w:r w:rsidRPr="00F44EBA">
        <w:t>σκοπό τη</w:t>
      </w:r>
      <w:r w:rsidR="00626AA8" w:rsidRPr="00F44EBA">
        <w:t>ν</w:t>
      </w:r>
      <w:r w:rsidRPr="00F44EBA">
        <w:t xml:space="preserve"> επίτευξη του μέγιστου δημοσιονομικού οφέλους.</w:t>
      </w:r>
    </w:p>
    <w:p w14:paraId="25B67B26" w14:textId="21B616DA" w:rsidR="00F4129D" w:rsidRPr="006258B0" w:rsidRDefault="00F4129D" w:rsidP="00300BBF">
      <w:pPr>
        <w:pStyle w:val="3"/>
      </w:pPr>
      <w:bookmarkStart w:id="755" w:name="_Toc116042596"/>
      <w:bookmarkStart w:id="756" w:name="_Toc116042699"/>
      <w:bookmarkStart w:id="757" w:name="_Toc116044210"/>
      <w:bookmarkStart w:id="758" w:name="_Toc116044312"/>
      <w:bookmarkStart w:id="759" w:name="_Toc118991031"/>
      <w:bookmarkStart w:id="760" w:name="_Toc119082325"/>
      <w:bookmarkStart w:id="761" w:name="_Toc119607220"/>
      <w:bookmarkStart w:id="762" w:name="_Toc119607513"/>
      <w:bookmarkStart w:id="763" w:name="_Toc119778028"/>
      <w:bookmarkStart w:id="764" w:name="_Toc119778134"/>
      <w:bookmarkStart w:id="765" w:name="_Toc150175918"/>
      <w:bookmarkStart w:id="766" w:name="_Toc150177211"/>
      <w:bookmarkStart w:id="767" w:name="_Toc150516275"/>
      <w:bookmarkStart w:id="768" w:name="_Toc150516416"/>
      <w:bookmarkStart w:id="769" w:name="_Toc150853476"/>
      <w:bookmarkStart w:id="770" w:name="_Toc150853584"/>
      <w:bookmarkStart w:id="771" w:name="_Toc151100838"/>
      <w:bookmarkStart w:id="772" w:name="_Toc118991032"/>
      <w:bookmarkStart w:id="773" w:name="_Toc119082326"/>
      <w:bookmarkStart w:id="774" w:name="_Toc119607221"/>
      <w:bookmarkStart w:id="775" w:name="_Toc119607514"/>
      <w:bookmarkStart w:id="776" w:name="_Toc119778029"/>
      <w:bookmarkStart w:id="777" w:name="_Toc119778135"/>
      <w:bookmarkStart w:id="778" w:name="_Toc150175919"/>
      <w:bookmarkStart w:id="779" w:name="_Toc150177212"/>
      <w:bookmarkStart w:id="780" w:name="_Toc150516276"/>
      <w:bookmarkStart w:id="781" w:name="_Toc150516417"/>
      <w:bookmarkStart w:id="782" w:name="_Toc150853477"/>
      <w:bookmarkStart w:id="783" w:name="_Toc150853585"/>
      <w:bookmarkStart w:id="784" w:name="_Toc151100839"/>
      <w:bookmarkStart w:id="785" w:name="_Toc151401192"/>
      <w:bookmarkStart w:id="786" w:name="_Toc214473813"/>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r w:rsidRPr="006258B0">
        <w:t>Ελληνική Εταιρεία Συμμετοχών και Περιουσίας</w:t>
      </w:r>
      <w:bookmarkEnd w:id="786"/>
    </w:p>
    <w:p w14:paraId="0671A7A8" w14:textId="7243ADBA" w:rsidR="00370AA9" w:rsidRPr="007D6382" w:rsidRDefault="00370AA9" w:rsidP="00370AA9">
      <w:r w:rsidRPr="007D6382">
        <w:t>Η ΕΕΣΥΠ από την ίδρυσή της, και ακόμη περισσότερο από τις αρχές του 2018, οπότε και της μεταβιβάσ</w:t>
      </w:r>
      <w:r w:rsidR="00543AEA">
        <w:t>τ</w:t>
      </w:r>
      <w:r w:rsidRPr="007D6382">
        <w:t xml:space="preserve">ηκε σημαντικός αριθμός </w:t>
      </w:r>
      <w:r w:rsidR="00543AEA">
        <w:t>δ</w:t>
      </w:r>
      <w:r w:rsidRPr="007D6382">
        <w:t xml:space="preserve">ημόσιων </w:t>
      </w:r>
      <w:r w:rsidR="00543AEA">
        <w:t>ε</w:t>
      </w:r>
      <w:r w:rsidRPr="007D6382">
        <w:t>πιχειρήσεων, αποτελεί τον φορέα της ενιαίας διαχείρισης σημαντικού μέρους των περιουσιακών στοιχείων του Ελληνικού Δημοσίου. Στο χαρτοφυλάκιό της έχουν ενταχθεί δημόσιες επιχειρήσεις που δραστηριοποιούνται σε κομβικούς τομείς της εθνικής οικονομίας, συμμετοχές σε εισηγμένες επιχειρήσεις, υποδομές στρατηγικής σημασίας</w:t>
      </w:r>
      <w:r w:rsidR="00F44EBA">
        <w:t>,</w:t>
      </w:r>
      <w:r w:rsidRPr="007D6382">
        <w:t xml:space="preserve"> όπως περιφερειακά λιμάνια και αεροδρόμια, καθώς και σημαντικός αριθμός ακινήτων της ιδιωτικής περιουσίας του Ελληνικού Δημοσίου. Η αξιοποίηση των περιουσιακών στοιχείων και η </w:t>
      </w:r>
      <w:r w:rsidR="00F44EBA">
        <w:t xml:space="preserve">αναβάθμιση </w:t>
      </w:r>
      <w:r w:rsidRPr="007D6382">
        <w:t>της λειτουργίας των θυγατρικών εταιρειών στο χαρτοφυλάκιο της ΕΕΣΥΠ λειτουργ</w:t>
      </w:r>
      <w:r w:rsidR="00F44EBA">
        <w:t>ούν</w:t>
      </w:r>
      <w:r w:rsidRPr="007D6382">
        <w:t xml:space="preserve"> ως μοχλός οικονομικής ανάπτυξης, δημιουργώντας </w:t>
      </w:r>
      <w:r w:rsidR="0011132C">
        <w:t>τις κατάλληλες προϋποθέσεις για τη</w:t>
      </w:r>
      <w:r w:rsidR="00F04BC7">
        <w:t>ν</w:t>
      </w:r>
      <w:r w:rsidR="0011132C">
        <w:t xml:space="preserve"> επίτευξη τοπικών και ευρύτερων οικονομιών κλίμακας </w:t>
      </w:r>
      <w:r w:rsidRPr="007D6382">
        <w:t>με</w:t>
      </w:r>
      <w:r w:rsidR="0011132C">
        <w:t xml:space="preserve"> στόχο </w:t>
      </w:r>
      <w:r w:rsidRPr="007D6382">
        <w:t xml:space="preserve">τη </w:t>
      </w:r>
      <w:r w:rsidR="0011132C">
        <w:t xml:space="preserve">γενικότερη ανάπτυξη, τη </w:t>
      </w:r>
      <w:r w:rsidRPr="007D6382">
        <w:t>βελτίωση της καθημερινότητας των πολιτών και την αντιμετώπιση των επιπτώσεων της κλιματικής κρίσης.</w:t>
      </w:r>
      <w:r w:rsidR="00CC0751">
        <w:t xml:space="preserve"> Η ΕΕΣΥΠ έχει αναλάβει σημαντικό ρόλο, αφενός ως προς τη βελτίωση της λειτουργίας των δημόσιων επιχειρήσεων και την ενίσχυση </w:t>
      </w:r>
      <w:r w:rsidR="00CC0751" w:rsidRPr="00754CC3">
        <w:t>της α</w:t>
      </w:r>
      <w:r w:rsidR="00754CC3" w:rsidRPr="00754CC3">
        <w:t>ποτελεσματικότητ</w:t>
      </w:r>
      <w:r w:rsidR="00754CC3">
        <w:t>ά</w:t>
      </w:r>
      <w:r w:rsidR="00754CC3" w:rsidRPr="00754CC3">
        <w:t>ς</w:t>
      </w:r>
      <w:r w:rsidR="00CC0751" w:rsidRPr="00754CC3">
        <w:t xml:space="preserve"> τους</w:t>
      </w:r>
      <w:r w:rsidR="0011132C" w:rsidRPr="00754CC3">
        <w:t>,</w:t>
      </w:r>
      <w:r w:rsidR="00CC0751" w:rsidRPr="00754CC3">
        <w:t xml:space="preserve"> αφετέρου ως προς τη δημιουργία πόρων οι οποίοι θα κατευθύνονται σε</w:t>
      </w:r>
      <w:r w:rsidR="00CC0751">
        <w:t xml:space="preserve"> επενδύσεις.</w:t>
      </w:r>
    </w:p>
    <w:p w14:paraId="513993E6" w14:textId="477B5DD2" w:rsidR="00370AA9" w:rsidRPr="007D6382" w:rsidRDefault="0011132C" w:rsidP="00370AA9">
      <w:r>
        <w:t xml:space="preserve">Ειδικότερα, η </w:t>
      </w:r>
      <w:r w:rsidR="00370AA9" w:rsidRPr="007D6382">
        <w:t xml:space="preserve">σταδιακή δημιουργία εσόδων, μέσω της εφαρμογής της μερισματικής και επενδυτικής πολιτικής, </w:t>
      </w:r>
      <w:r>
        <w:t xml:space="preserve">θα διοχετεύσει </w:t>
      </w:r>
      <w:r w:rsidR="00370AA9" w:rsidRPr="007D6382">
        <w:t xml:space="preserve">κεφάλαια για επενδύσεις στην ελληνική οικονομία ή στις θυγατρικές της ΕΕΣΥΠ, ώστε η εταιρεία να συνεισφέρει στη δημιουργία ενός νέου, βιώσιμου και σύγχρονου παραγωγικού μοντέλου ανάπτυξης με συνεχώς βελτιούμενους οικονομικούς και κοινωνικούς δείκτες. Παράλληλα, η ΕΕΣΥΠ εστιάζει στην επίλυση θεμάτων αλλά και στον εντοπισμό ευκαιριών που θα επιτρέψουν τη μακροχρόνια ανάπτυξη των εταιρειών στο χαρτοφυλάκιό της. Η βελτίωση της λειτουργίας και της </w:t>
      </w:r>
      <w:r w:rsidR="00D92CDE">
        <w:t>αποτελεσματικότητας</w:t>
      </w:r>
      <w:r w:rsidR="00370AA9" w:rsidRPr="007D6382">
        <w:t xml:space="preserve"> των δημόσιων επιχειρήσεων υπό την εποπτεία της ΕΕΣΥΠ </w:t>
      </w:r>
      <w:r w:rsidR="001C281C">
        <w:t>συν</w:t>
      </w:r>
      <w:r w:rsidR="00F44EBA">
        <w:t>επάγεται</w:t>
      </w:r>
      <w:r w:rsidR="00370AA9" w:rsidRPr="007D6382">
        <w:t xml:space="preserve"> σημαντικό αναπτυξιακό όφελος, δεδομένου ότι έχει θετικό αντίκτυπο στις επενδυτικές και καταναλωτικές αποφάσεις του ιδιωτικού τομέα καθώς και σε άλλα κρίσιμα μεγέθη, όπως η ιδιωτική κατανάλωση, η απασχόληση και η εν γένει ανταγωνιστικότητα και </w:t>
      </w:r>
      <w:r w:rsidR="00F44EBA">
        <w:t xml:space="preserve">η </w:t>
      </w:r>
      <w:r w:rsidR="00370AA9" w:rsidRPr="007D6382">
        <w:t xml:space="preserve">μεγαλύτερη εξωστρέφεια της ελληνικής οικονομίας. </w:t>
      </w:r>
      <w:r w:rsidR="00370AA9" w:rsidRPr="007D6382">
        <w:lastRenderedPageBreak/>
        <w:t xml:space="preserve">Στόχος της ΕΕΣΥΠ είναι να λειτουργεί ως ενεργός μέτοχος, ώστε να αποτελεί μοχλό ανάπτυξης για τον απαραίτητο εκσυγχρονισμό και </w:t>
      </w:r>
      <w:r w:rsidR="00F44EBA">
        <w:t xml:space="preserve">τον </w:t>
      </w:r>
      <w:r w:rsidR="00370AA9" w:rsidRPr="007D6382">
        <w:t xml:space="preserve">ψηφιακό μετασχηματισμό των συμμετοχών και </w:t>
      </w:r>
      <w:r w:rsidR="00F44EBA">
        <w:t xml:space="preserve">των </w:t>
      </w:r>
      <w:r w:rsidR="00370AA9" w:rsidRPr="007D6382">
        <w:t>θυγατρικών της.</w:t>
      </w:r>
    </w:p>
    <w:p w14:paraId="31F44738" w14:textId="77FF0E39" w:rsidR="00F4129D" w:rsidRPr="006258B0" w:rsidRDefault="00FD30E4" w:rsidP="00300BBF">
      <w:pPr>
        <w:pStyle w:val="4"/>
      </w:pPr>
      <w:bookmarkStart w:id="787" w:name="_Toc214473814"/>
      <w:r>
        <w:t>Οικονομικές ε</w:t>
      </w:r>
      <w:r w:rsidR="001128D4">
        <w:t xml:space="preserve">πιδόσεις </w:t>
      </w:r>
      <w:r w:rsidR="00F4129D" w:rsidRPr="006258B0">
        <w:t>202</w:t>
      </w:r>
      <w:r w:rsidR="00C6444B">
        <w:t>4</w:t>
      </w:r>
      <w:bookmarkEnd w:id="787"/>
    </w:p>
    <w:p w14:paraId="6C94596E" w14:textId="64B2DE85" w:rsidR="00000766" w:rsidRPr="007D6382" w:rsidRDefault="00000766" w:rsidP="00000766">
      <w:r w:rsidRPr="007D6382">
        <w:t xml:space="preserve">Το 2024 αποτέλεσε για την ΕΕΣΥΠ, τόσο σε επίπεδο εταιρείας όσο και σε επίπεδο Ομίλου, ένα καθοριστικό έτος, </w:t>
      </w:r>
      <w:r w:rsidR="00C82D98">
        <w:t>δεδομένου ότι</w:t>
      </w:r>
      <w:r w:rsidRPr="007D6382">
        <w:t>:</w:t>
      </w:r>
    </w:p>
    <w:p w14:paraId="1237B91D" w14:textId="74252E0A" w:rsidR="00000766" w:rsidRPr="00000766" w:rsidRDefault="00000766" w:rsidP="00A020D3">
      <w:pPr>
        <w:numPr>
          <w:ilvl w:val="0"/>
          <w:numId w:val="2"/>
        </w:numPr>
        <w:spacing w:before="120" w:after="60"/>
        <w:ind w:left="568" w:hanging="284"/>
      </w:pPr>
      <w:r>
        <w:t>α</w:t>
      </w:r>
      <w:r w:rsidRPr="00000766">
        <w:t>ποφασίσ</w:t>
      </w:r>
      <w:r w:rsidR="004F6E96">
        <w:t>τ</w:t>
      </w:r>
      <w:r w:rsidRPr="00000766">
        <w:t xml:space="preserve">ηκε η συγχώνευση/απορρόφηση του ΤΑΙΠΕΔ και των περιουσιακών στοιχείων και </w:t>
      </w:r>
      <w:r w:rsidR="00754CC3">
        <w:t xml:space="preserve">των </w:t>
      </w:r>
      <w:r w:rsidRPr="00000766">
        <w:t>υποχρεώσεων του ΤΧΣ με καταληκτική ημερομηνία την 31</w:t>
      </w:r>
      <w:r w:rsidR="004F6E96">
        <w:t>η</w:t>
      </w:r>
      <w:r w:rsidRPr="00000766">
        <w:t>.12.2024</w:t>
      </w:r>
      <w:r>
        <w:t>,</w:t>
      </w:r>
    </w:p>
    <w:p w14:paraId="7EC55397" w14:textId="345C0F6D" w:rsidR="00000766" w:rsidRPr="00000766" w:rsidRDefault="00000766" w:rsidP="00EC630C">
      <w:pPr>
        <w:numPr>
          <w:ilvl w:val="0"/>
          <w:numId w:val="2"/>
        </w:numPr>
        <w:spacing w:before="60" w:after="60"/>
        <w:ind w:left="568" w:hanging="284"/>
      </w:pPr>
      <w:r>
        <w:t>τ</w:t>
      </w:r>
      <w:r w:rsidRPr="00000766">
        <w:t>έθηκαν οι βάσεις για την ίδρυση του νέου Επενδυτικού Ταμείου Καινοτομίας και Υποδομών</w:t>
      </w:r>
      <w:r>
        <w:t>,</w:t>
      </w:r>
    </w:p>
    <w:p w14:paraId="7324C1B0" w14:textId="7EA68E9C" w:rsidR="00000766" w:rsidRPr="00000766" w:rsidRDefault="00000766" w:rsidP="00EC630C">
      <w:pPr>
        <w:numPr>
          <w:ilvl w:val="0"/>
          <w:numId w:val="2"/>
        </w:numPr>
        <w:spacing w:before="60" w:after="60"/>
        <w:ind w:left="568" w:hanging="284"/>
      </w:pPr>
      <w:r>
        <w:t>υ</w:t>
      </w:r>
      <w:r w:rsidRPr="00000766">
        <w:t>πήρξε σημαντική βελτίωση στις οικονομικές επιδόσεις της πλειοψηφίας των εταιρειών στις οποίες συμμετέχει</w:t>
      </w:r>
      <w:r>
        <w:t xml:space="preserve"> και</w:t>
      </w:r>
    </w:p>
    <w:p w14:paraId="64276443" w14:textId="7E6AE38D" w:rsidR="00000766" w:rsidRPr="00000766" w:rsidRDefault="00000766" w:rsidP="00EC630C">
      <w:pPr>
        <w:numPr>
          <w:ilvl w:val="0"/>
          <w:numId w:val="2"/>
        </w:numPr>
        <w:spacing w:before="60"/>
        <w:ind w:left="568" w:hanging="284"/>
      </w:pPr>
      <w:r>
        <w:t>π</w:t>
      </w:r>
      <w:r w:rsidRPr="00000766">
        <w:t>ροετοιμάσθηκε το Στρατηγικό Πλάνο 2025</w:t>
      </w:r>
      <w:r>
        <w:t xml:space="preserve"> </w:t>
      </w:r>
      <w:r w:rsidR="004F6E96">
        <w:t>-</w:t>
      </w:r>
      <w:r>
        <w:t xml:space="preserve"> </w:t>
      </w:r>
      <w:r w:rsidRPr="00000766">
        <w:t>2027</w:t>
      </w:r>
      <w:r w:rsidR="004F6E96">
        <w:t>.</w:t>
      </w:r>
    </w:p>
    <w:p w14:paraId="563E4AC3" w14:textId="0A3E842B" w:rsidR="00000766" w:rsidRDefault="00000766" w:rsidP="00000766">
      <w:r w:rsidRPr="00000766">
        <w:t xml:space="preserve">Στον τομέα των οικονομικών επιδόσεων η ΕΕΣΥΠ κατέγραψε </w:t>
      </w:r>
      <w:r w:rsidRPr="00322A43">
        <w:t xml:space="preserve">κέρδη ύψους 30,9 εκατ. ευρώ και σε ενοποιημένο επίπεδο κέρδη </w:t>
      </w:r>
      <w:r>
        <w:t xml:space="preserve">ύψους </w:t>
      </w:r>
      <w:r w:rsidRPr="00322A43">
        <w:t>211,1 εκατ. ευρώ.</w:t>
      </w:r>
    </w:p>
    <w:p w14:paraId="34ADF5EA" w14:textId="18448BA2" w:rsidR="00BA0FC1" w:rsidRDefault="00BA0FC1" w:rsidP="00300BBF">
      <w:pPr>
        <w:pStyle w:val="4"/>
      </w:pPr>
      <w:bookmarkStart w:id="788" w:name="_Toc214473815"/>
      <w:r>
        <w:t>Οικονομικές επιδόσεις 202</w:t>
      </w:r>
      <w:r w:rsidR="00000766">
        <w:t>5</w:t>
      </w:r>
      <w:bookmarkEnd w:id="788"/>
    </w:p>
    <w:p w14:paraId="30A72FCE" w14:textId="2E50A851" w:rsidR="00000766" w:rsidRPr="007D6382" w:rsidRDefault="00000766" w:rsidP="00000766">
      <w:r w:rsidRPr="007D6382">
        <w:t xml:space="preserve">Το 2025 η ΕΕΣΥΠ </w:t>
      </w:r>
      <w:r w:rsidR="004F6E96">
        <w:t>εξακολουθεί</w:t>
      </w:r>
      <w:r w:rsidRPr="007D6382">
        <w:t xml:space="preserve"> να </w:t>
      </w:r>
      <w:r w:rsidR="00D92CDE">
        <w:t xml:space="preserve">διαδραματίζει ρόλο σταθερότητας </w:t>
      </w:r>
      <w:r w:rsidRPr="007D6382">
        <w:t xml:space="preserve">και ανάπτυξης, προωθώντας </w:t>
      </w:r>
      <w:r w:rsidR="004F6E96">
        <w:t xml:space="preserve">μία </w:t>
      </w:r>
      <w:r w:rsidRPr="007D6382">
        <w:t xml:space="preserve">σειρά πρωτοβουλιών και θεσμικών μεταρρυθμίσεων ως ενεργός μέτοχος και ολοκληρώνοντας τον στρατηγικό μετασχηματισμό της, με απώτερο στόχο τη σταδιακή μετατροπή της σε Sovereign Wealth Fund, σύμφωνα με τα διεθνή πρότυπα. </w:t>
      </w:r>
      <w:r>
        <w:t>Περαιτέρω</w:t>
      </w:r>
      <w:r w:rsidR="004F6E96">
        <w:t>,</w:t>
      </w:r>
      <w:r>
        <w:t xml:space="preserve"> εντός του έτους 2025 λειτουργεί έχοντας </w:t>
      </w:r>
      <w:r w:rsidR="004F6E96">
        <w:t xml:space="preserve">πλέον </w:t>
      </w:r>
      <w:r>
        <w:t>απορροφήσει τις δραστηριότητες του ΤΑΙΠΕΔ και του Τ</w:t>
      </w:r>
      <w:r w:rsidR="004F6E96">
        <w:t>ΧΣ</w:t>
      </w:r>
      <w:r>
        <w:t xml:space="preserve"> </w:t>
      </w:r>
      <w:r w:rsidR="004F6E96">
        <w:t xml:space="preserve">και </w:t>
      </w:r>
      <w:r w:rsidR="00754CC3">
        <w:t>ενισχύοντας</w:t>
      </w:r>
      <w:r w:rsidR="004F6E96">
        <w:t xml:space="preserve"> συνεπώς</w:t>
      </w:r>
      <w:r>
        <w:t xml:space="preserve"> σημαντικά το μέγεθος και την περιπλοκότητα των δραστηριοτήτων της.</w:t>
      </w:r>
    </w:p>
    <w:p w14:paraId="18E1B56D" w14:textId="77777777" w:rsidR="00000766" w:rsidRPr="007D6382" w:rsidRDefault="00000766" w:rsidP="00000766">
      <w:r w:rsidRPr="007D6382">
        <w:t>Μεταξύ άλλων, εντός του 2025:</w:t>
      </w:r>
    </w:p>
    <w:p w14:paraId="25F9C3EE" w14:textId="151C1777" w:rsidR="00000766" w:rsidRPr="0003353E" w:rsidRDefault="00341A3C" w:rsidP="00C029BE">
      <w:pPr>
        <w:numPr>
          <w:ilvl w:val="0"/>
          <w:numId w:val="2"/>
        </w:numPr>
        <w:spacing w:before="120" w:after="60"/>
        <w:ind w:left="568" w:hanging="284"/>
      </w:pPr>
      <w:r>
        <w:t>ο</w:t>
      </w:r>
      <w:r w:rsidR="00000766" w:rsidRPr="0003353E">
        <w:t>λοκληρώθηκαν οι διαδικασίες συγχώνευσης και απορρόφησης του ΤΑΙΠΕΔ και των περιουσιακών στοιχείων και υποχρεώσεων του Τ</w:t>
      </w:r>
      <w:r w:rsidR="004F6E96">
        <w:t>ΧΣ</w:t>
      </w:r>
      <w:r w:rsidR="00000766" w:rsidRPr="0003353E">
        <w:t xml:space="preserve"> </w:t>
      </w:r>
      <w:r w:rsidR="004F6E96">
        <w:t>με τη δημιουργία μίας</w:t>
      </w:r>
      <w:r w:rsidR="00000766" w:rsidRPr="0003353E">
        <w:t xml:space="preserve"> ενιαία</w:t>
      </w:r>
      <w:r w:rsidR="004F6E96">
        <w:t>ς</w:t>
      </w:r>
      <w:r w:rsidR="00000766" w:rsidRPr="0003353E">
        <w:t xml:space="preserve"> εταιρεία</w:t>
      </w:r>
      <w:r w:rsidR="004F6E96">
        <w:t>ς</w:t>
      </w:r>
      <w:r w:rsidR="00000766" w:rsidRPr="0003353E">
        <w:t xml:space="preserve"> συνολικ</w:t>
      </w:r>
      <w:r w:rsidR="008B6248">
        <w:t xml:space="preserve">ού </w:t>
      </w:r>
      <w:r w:rsidR="00000766" w:rsidRPr="0003353E">
        <w:t>ενεργητικ</w:t>
      </w:r>
      <w:r w:rsidR="008B6248">
        <w:t>ού</w:t>
      </w:r>
      <w:r w:rsidR="00000766" w:rsidRPr="0003353E">
        <w:t xml:space="preserve"> 7,1 δισ. ευρώ και συνολικ</w:t>
      </w:r>
      <w:r w:rsidR="008B6248">
        <w:t>ών</w:t>
      </w:r>
      <w:r w:rsidR="00000766" w:rsidRPr="0003353E">
        <w:t xml:space="preserve"> </w:t>
      </w:r>
      <w:r w:rsidR="008B6248">
        <w:t xml:space="preserve">ιδίων </w:t>
      </w:r>
      <w:r w:rsidR="00000766" w:rsidRPr="0003353E">
        <w:t>κεφ</w:t>
      </w:r>
      <w:r w:rsidR="008B6248">
        <w:t>α</w:t>
      </w:r>
      <w:r w:rsidR="00000766" w:rsidRPr="0003353E">
        <w:t>λα</w:t>
      </w:r>
      <w:r w:rsidR="008B6248">
        <w:t>ίων</w:t>
      </w:r>
      <w:r w:rsidR="00000766" w:rsidRPr="0003353E">
        <w:t xml:space="preserve"> 6,3 δισ. ευρώ κατά την 30</w:t>
      </w:r>
      <w:r w:rsidR="004F6E96">
        <w:t>η</w:t>
      </w:r>
      <w:r w:rsidR="00000766" w:rsidRPr="0003353E">
        <w:t>.6.2025</w:t>
      </w:r>
      <w:r>
        <w:t>,</w:t>
      </w:r>
    </w:p>
    <w:p w14:paraId="79DE572D" w14:textId="3737910D" w:rsidR="00000766" w:rsidRPr="0003353E" w:rsidRDefault="00341A3C" w:rsidP="00EC630C">
      <w:pPr>
        <w:numPr>
          <w:ilvl w:val="0"/>
          <w:numId w:val="2"/>
        </w:numPr>
        <w:spacing w:before="60" w:after="60"/>
        <w:ind w:left="568" w:hanging="284"/>
      </w:pPr>
      <w:r>
        <w:t>ι</w:t>
      </w:r>
      <w:r w:rsidR="00000766" w:rsidRPr="0003353E">
        <w:t>δρύθηκε ο νέος επενδυτικός βραχίονας της ΕΕΣΥΠ, το Επενδυτικό Ταμείο Καινοτομίας και Υποδομών. Με την ενεργοποίησή του η ΕΕΣΥΠ δημιουργεί μ</w:t>
      </w:r>
      <w:r w:rsidR="004F6E96">
        <w:t>ί</w:t>
      </w:r>
      <w:r w:rsidR="00000766" w:rsidRPr="0003353E">
        <w:t xml:space="preserve">α ολοκληρωμένη πλατφόρμα για την προσέλκυση επενδύσεων με ενισχυμένη εταιρική διακυβέρνηση, διαφάνεια και συνεργασία. Ο στόχος του Επενδυτικού Ταμείου Καινοτομίας και Υποδομών είναι η υλοποίηση επενδύσεων σε συνεργασία με αξιόπιστους διεθνείς και εγχώριους εταίρους στη Νέα Οικονομία </w:t>
      </w:r>
      <w:r>
        <w:t>-</w:t>
      </w:r>
      <w:r w:rsidR="00000766" w:rsidRPr="0003353E">
        <w:t xml:space="preserve"> τεχνολογία, καινοτομία, γαλάζια οικονομία, κυκλική οικονομία, βιοτεχνολογία, αγροτεχνολογία και διαχείριση υδ</w:t>
      </w:r>
      <w:r w:rsidR="002C0D54">
        <w:t>άτινων</w:t>
      </w:r>
      <w:r w:rsidR="00000766" w:rsidRPr="0003353E">
        <w:t xml:space="preserve"> πόρων</w:t>
      </w:r>
      <w:r>
        <w:t>,</w:t>
      </w:r>
    </w:p>
    <w:p w14:paraId="61C351C1" w14:textId="3B3ED1AF" w:rsidR="00000766" w:rsidRPr="0003353E" w:rsidRDefault="00341A3C" w:rsidP="00EC630C">
      <w:pPr>
        <w:numPr>
          <w:ilvl w:val="0"/>
          <w:numId w:val="2"/>
        </w:numPr>
        <w:spacing w:before="60" w:after="60"/>
        <w:ind w:left="568" w:hanging="284"/>
      </w:pPr>
      <w:r>
        <w:t>π</w:t>
      </w:r>
      <w:r w:rsidR="00000766" w:rsidRPr="0003353E">
        <w:t>ραγματοποιήθηκαν σημαντικά βήματα για τη βελτίωση των υπηρεσιών των αστικών συγκοινωνιών της Αθήνας με</w:t>
      </w:r>
      <w:r w:rsidR="000B29D5">
        <w:t>:</w:t>
      </w:r>
      <w:r w:rsidR="00000766" w:rsidRPr="0003353E">
        <w:t xml:space="preserve"> </w:t>
      </w:r>
      <w:r w:rsidR="000B29D5">
        <w:t xml:space="preserve">(α) </w:t>
      </w:r>
      <w:r w:rsidR="00000766" w:rsidRPr="0003353E">
        <w:t xml:space="preserve">τη σταδιακή παράδοση περισσότερων </w:t>
      </w:r>
      <w:r w:rsidR="000B29D5">
        <w:t>των</w:t>
      </w:r>
      <w:r w:rsidR="00000766" w:rsidRPr="0003353E">
        <w:t xml:space="preserve"> 700 νέων λεωφορείων, </w:t>
      </w:r>
      <w:r w:rsidR="000B29D5">
        <w:t xml:space="preserve">(β) </w:t>
      </w:r>
      <w:r w:rsidR="00000766" w:rsidRPr="0003353E">
        <w:t xml:space="preserve">την 24ωρη λειτουργία του μετρό, του τραμ και επιλεγμένων λεωφορειακών γραμμών </w:t>
      </w:r>
      <w:r w:rsidR="002C0D54">
        <w:t>κάθε</w:t>
      </w:r>
      <w:r w:rsidR="00000766" w:rsidRPr="0003353E">
        <w:t xml:space="preserve"> Σάββατ</w:t>
      </w:r>
      <w:r w:rsidR="002C0D54">
        <w:t>ο</w:t>
      </w:r>
      <w:r w:rsidR="000B29D5">
        <w:t xml:space="preserve"> και</w:t>
      </w:r>
      <w:r w:rsidR="00000766" w:rsidRPr="0003353E">
        <w:t xml:space="preserve"> </w:t>
      </w:r>
      <w:r w:rsidR="000B29D5">
        <w:t xml:space="preserve">(γ) </w:t>
      </w:r>
      <w:r w:rsidR="00000766" w:rsidRPr="0003353E">
        <w:t>την έναρξη λειτουργίας του προγράμματος «Αριάδνη» για την ενίσχυση της ασφάλειας στα μέσα μεταφοράς και τη δυνατότητα ανέπαφων πληρωμών (tap2ride)</w:t>
      </w:r>
      <w:r>
        <w:t>,</w:t>
      </w:r>
    </w:p>
    <w:p w14:paraId="1D24556C" w14:textId="6E5BC5DF" w:rsidR="00000766" w:rsidRPr="0003353E" w:rsidRDefault="00341A3C" w:rsidP="00EC630C">
      <w:pPr>
        <w:numPr>
          <w:ilvl w:val="0"/>
          <w:numId w:val="2"/>
        </w:numPr>
        <w:spacing w:before="60" w:after="60"/>
        <w:ind w:left="568" w:hanging="284"/>
      </w:pPr>
      <w:r>
        <w:t>ο</w:t>
      </w:r>
      <w:r w:rsidR="00000766" w:rsidRPr="0003353E">
        <w:t>ριστικοποιήθηκε το σχέδιο ανάπλασης της ΔΕΘ, που θα αποτελέσει το μεγαλύτερο έργο αστικής ανάπλασης στη Βόρεια Ελλάδα</w:t>
      </w:r>
      <w:r>
        <w:t>,</w:t>
      </w:r>
    </w:p>
    <w:p w14:paraId="15EDD0D3" w14:textId="71BCDAB6" w:rsidR="00000766" w:rsidRPr="0003353E" w:rsidRDefault="000B29D5" w:rsidP="00EC630C">
      <w:pPr>
        <w:numPr>
          <w:ilvl w:val="0"/>
          <w:numId w:val="2"/>
        </w:numPr>
        <w:spacing w:before="60" w:after="60"/>
        <w:ind w:left="568" w:hanging="284"/>
      </w:pPr>
      <w:r>
        <w:lastRenderedPageBreak/>
        <w:t xml:space="preserve">εξελίσσεται </w:t>
      </w:r>
      <w:r w:rsidR="00000766" w:rsidRPr="0003353E">
        <w:t>το φιλόδοξο έργο της καταγραφής 36.000 ακινήτων της Ε</w:t>
      </w:r>
      <w:r>
        <w:t>ταιρείας Ακινήτων του Δημοσίου (Ε</w:t>
      </w:r>
      <w:r w:rsidR="00000766" w:rsidRPr="0003353E">
        <w:t>ΤΑΔ</w:t>
      </w:r>
      <w:r>
        <w:t>),</w:t>
      </w:r>
      <w:r w:rsidR="00000766" w:rsidRPr="0003353E">
        <w:t xml:space="preserve"> </w:t>
      </w:r>
      <w:r>
        <w:t>το οποίο</w:t>
      </w:r>
      <w:r w:rsidR="00000766" w:rsidRPr="0003353E">
        <w:t xml:space="preserve"> αναμένεται να αποτελέσει σημείο αναφοράς συμβάλλοντας καθοριστικά στην ανάπτυξη και </w:t>
      </w:r>
      <w:r>
        <w:t xml:space="preserve">την </w:t>
      </w:r>
      <w:r w:rsidR="00000766" w:rsidRPr="0003353E">
        <w:t>αξιοποίηση της δημόσιας ακίνητης περιουσίας</w:t>
      </w:r>
      <w:r w:rsidR="00341A3C">
        <w:t xml:space="preserve"> και</w:t>
      </w:r>
    </w:p>
    <w:p w14:paraId="5F70F828" w14:textId="7318ABDF" w:rsidR="00000766" w:rsidRPr="0003353E" w:rsidRDefault="00DC2E84" w:rsidP="00EC630C">
      <w:pPr>
        <w:numPr>
          <w:ilvl w:val="0"/>
          <w:numId w:val="2"/>
        </w:numPr>
        <w:spacing w:before="60"/>
        <w:ind w:left="568" w:hanging="284"/>
      </w:pPr>
      <w:r>
        <w:t xml:space="preserve">συνέχισαν απρόσκοπτα </w:t>
      </w:r>
      <w:r w:rsidRPr="0003353E">
        <w:t>η ωρίμανση και</w:t>
      </w:r>
      <w:r>
        <w:t xml:space="preserve"> η</w:t>
      </w:r>
      <w:r w:rsidRPr="0003353E">
        <w:t xml:space="preserve"> δημοπράτηση εμβληματικών έργων </w:t>
      </w:r>
      <w:r>
        <w:t>από τη</w:t>
      </w:r>
      <w:r w:rsidR="00000766" w:rsidRPr="0003353E">
        <w:t xml:space="preserve"> Μονάδα Συμβάσεων </w:t>
      </w:r>
      <w:r w:rsidR="000B29D5">
        <w:t>Στρατηγικής Σημασίας</w:t>
      </w:r>
      <w:r w:rsidR="00D43C63">
        <w:t xml:space="preserve"> (</w:t>
      </w:r>
      <w:r>
        <w:t>ΜΣΣΣ</w:t>
      </w:r>
      <w:r w:rsidR="00D43C63">
        <w:t>) -</w:t>
      </w:r>
      <w:r>
        <w:t xml:space="preserve"> </w:t>
      </w:r>
      <w:r w:rsidR="00000766" w:rsidRPr="0003353E">
        <w:t xml:space="preserve">Project Preparation Facility </w:t>
      </w:r>
      <w:r w:rsidR="00D43C63">
        <w:t>(</w:t>
      </w:r>
      <w:r w:rsidR="00000766" w:rsidRPr="0003353E">
        <w:t>PPF)</w:t>
      </w:r>
      <w:r>
        <w:t xml:space="preserve">, τα οποία καθιστούν </w:t>
      </w:r>
      <w:r w:rsidR="00000766" w:rsidRPr="0003353E">
        <w:t xml:space="preserve">ανταγωνιστικότερη την ελληνική οικονομία συμβάλλοντας στη μετάβαση σε ένα βιώσιμο παραγωγικό υπόδειγμα. Στη Μονάδα έχουν ανατεθεί έργα συνολικού προϋπολογισμού άνω των 10 δισ. ευρώ από την Κυβερνητική Επιτροπή Συμβάσεων Στρατηγικής Σημασίας. Μεταξύ των έργων </w:t>
      </w:r>
      <w:r w:rsidR="002C0D54">
        <w:t>περιλαμβάνονται</w:t>
      </w:r>
      <w:r w:rsidR="00000766" w:rsidRPr="0003353E">
        <w:t xml:space="preserve"> επενδύσεις με βαθύ κοινωνικό, περιβαλλοντικό και αναπτυξιακό αποτύπωμα, όπως το πρόγραμμα Anti</w:t>
      </w:r>
      <w:r w:rsidR="008B6248">
        <w:rPr>
          <w:lang w:val="en-US"/>
        </w:rPr>
        <w:t>n</w:t>
      </w:r>
      <w:r w:rsidR="00000766" w:rsidRPr="0003353E">
        <w:t xml:space="preserve">ero για την προστασία δασικών οικοσυστημάτων από την κλιματική κρίση, το πρόγραμμα «ΑΙΓΙΣ» για την ενίσχυση του μηχανισμού Πολιτικής Προστασίας, η αποκατάσταση και </w:t>
      </w:r>
      <w:r w:rsidR="001A11C0">
        <w:t xml:space="preserve">η </w:t>
      </w:r>
      <w:r w:rsidR="00000766" w:rsidRPr="0003353E">
        <w:t xml:space="preserve">αναβάθμιση του συγκροτήματος του ΟΑΚΑ, η αναβάθμιση περισσότερων </w:t>
      </w:r>
      <w:r w:rsidR="008B6248">
        <w:t>των</w:t>
      </w:r>
      <w:r w:rsidR="00000766" w:rsidRPr="0003353E">
        <w:t xml:space="preserve"> 90 </w:t>
      </w:r>
      <w:r w:rsidR="008B6248">
        <w:t>ν</w:t>
      </w:r>
      <w:r w:rsidR="00000766" w:rsidRPr="0003353E">
        <w:t xml:space="preserve">οσοκομείων και 150 </w:t>
      </w:r>
      <w:r w:rsidR="008B6248">
        <w:t>κ</w:t>
      </w:r>
      <w:r w:rsidR="00000766" w:rsidRPr="0003353E">
        <w:t xml:space="preserve">έντρων </w:t>
      </w:r>
      <w:r w:rsidR="008B6248">
        <w:t>υ</w:t>
      </w:r>
      <w:r w:rsidR="00000766" w:rsidRPr="0003353E">
        <w:t>γείας σε όλη τη χώρα και η δημιουργία νέων Επιχειρηματικών Κέντρων Logistics στ</w:t>
      </w:r>
      <w:r w:rsidR="002C0D54">
        <w:t>ον Δήμο</w:t>
      </w:r>
      <w:r w:rsidR="00000766" w:rsidRPr="0003353E">
        <w:t xml:space="preserve"> Φυλή</w:t>
      </w:r>
      <w:r w:rsidR="002C0D54">
        <w:t>ς</w:t>
      </w:r>
      <w:r w:rsidR="00000766" w:rsidRPr="0003353E">
        <w:t xml:space="preserve"> και </w:t>
      </w:r>
      <w:r w:rsidR="002C0D54">
        <w:t>στον Δήμο</w:t>
      </w:r>
      <w:r w:rsidR="00000766" w:rsidRPr="0003353E">
        <w:t xml:space="preserve"> Θεσσαλονίκη</w:t>
      </w:r>
      <w:r w:rsidR="002C0D54">
        <w:t>ς</w:t>
      </w:r>
      <w:r w:rsidR="00000766" w:rsidRPr="0003353E">
        <w:t>.</w:t>
      </w:r>
    </w:p>
    <w:p w14:paraId="0A5F6858" w14:textId="24F14D71" w:rsidR="00BA0FC1" w:rsidRPr="00FD594B" w:rsidRDefault="002C0D54" w:rsidP="00BA0FC1">
      <w:pPr>
        <w:rPr>
          <w:highlight w:val="yellow"/>
        </w:rPr>
      </w:pPr>
      <w:r>
        <w:t>Στον τομέα των οικονομικών επιδόσεων</w:t>
      </w:r>
      <w:r w:rsidR="00000766" w:rsidRPr="007D6382">
        <w:t xml:space="preserve"> της ΕΕΣΥΠ, μαζί με τις δραστηριότητες του πρώην ΤΑΙΠΕΔ και </w:t>
      </w:r>
      <w:r w:rsidR="008B6248">
        <w:t xml:space="preserve">του </w:t>
      </w:r>
      <w:r w:rsidR="00000766" w:rsidRPr="007D6382">
        <w:t xml:space="preserve">ΤΧΣ, η εταιρεία έχει </w:t>
      </w:r>
      <w:r w:rsidR="00000766" w:rsidRPr="00CF280B">
        <w:t xml:space="preserve">επιτύχει </w:t>
      </w:r>
      <w:r w:rsidR="00CF280B" w:rsidRPr="00CF280B">
        <w:t xml:space="preserve">υψηλό </w:t>
      </w:r>
      <w:r w:rsidR="00000766" w:rsidRPr="00CF280B">
        <w:t>ιστορικό κερδοφορίας</w:t>
      </w:r>
      <w:r w:rsidR="00EE1B51" w:rsidRPr="00CF280B">
        <w:t>, η</w:t>
      </w:r>
      <w:r w:rsidR="00EE1B51" w:rsidRPr="00EE1B51">
        <w:t xml:space="preserve"> οποία ανήλθε</w:t>
      </w:r>
      <w:r w:rsidR="00EE1B51" w:rsidRPr="00357AD3">
        <w:t xml:space="preserve"> </w:t>
      </w:r>
      <w:r w:rsidR="00357AD3" w:rsidRPr="00357AD3">
        <w:t xml:space="preserve">το 1ο εξάμηνο του 2025 στο ποσό των </w:t>
      </w:r>
      <w:r w:rsidR="001A11C0" w:rsidRPr="007D6382">
        <w:t>209,5 εκατ. ευρώ</w:t>
      </w:r>
      <w:r w:rsidR="00357AD3">
        <w:t xml:space="preserve">. Η κερδοφορία </w:t>
      </w:r>
      <w:r w:rsidR="00000766" w:rsidRPr="007D6382">
        <w:t xml:space="preserve">αναμένεται να αυξηθεί περαιτέρω έως το τέλος του έτους. </w:t>
      </w:r>
      <w:r w:rsidR="00F04BC7">
        <w:t xml:space="preserve">Οι περισσότερες εταιρείες </w:t>
      </w:r>
      <w:r w:rsidR="00000766" w:rsidRPr="007D6382">
        <w:t xml:space="preserve">στις οποίες συμμετέχει η ΕΕΣΥΠ </w:t>
      </w:r>
      <w:r w:rsidR="00357AD3">
        <w:t xml:space="preserve">σε επίπεδο Ομίλου </w:t>
      </w:r>
      <w:r w:rsidR="00000766" w:rsidRPr="007D6382">
        <w:t>βελτιών</w:t>
      </w:r>
      <w:r w:rsidR="00F04BC7">
        <w:t>ουν</w:t>
      </w:r>
      <w:r w:rsidR="00000766" w:rsidRPr="007D6382">
        <w:t xml:space="preserve"> έτι περαιτέρω τις επιδόσεις τους σε σχέση με το έτος 2024.</w:t>
      </w:r>
    </w:p>
    <w:p w14:paraId="4227F60E" w14:textId="57C7EBAB" w:rsidR="004A42E5" w:rsidRPr="00C5113D" w:rsidRDefault="004A42E5" w:rsidP="00300BBF">
      <w:pPr>
        <w:pStyle w:val="4"/>
      </w:pPr>
      <w:bookmarkStart w:id="789" w:name="_Toc214473816"/>
      <w:r w:rsidRPr="00C5113D">
        <w:t>Προοπτικές 202</w:t>
      </w:r>
      <w:r w:rsidR="00341A3C">
        <w:t>6</w:t>
      </w:r>
      <w:bookmarkEnd w:id="789"/>
    </w:p>
    <w:p w14:paraId="667890AC" w14:textId="5709EE64" w:rsidR="00341A3C" w:rsidRPr="007D6382" w:rsidRDefault="00341A3C" w:rsidP="00A33CAB">
      <w:r w:rsidRPr="007D6382">
        <w:t xml:space="preserve">Το 2026 αναμένεται να αποτελέσει έτος περαιτέρω </w:t>
      </w:r>
      <w:r w:rsidR="00357AD3">
        <w:t xml:space="preserve">καθιέρωσης </w:t>
      </w:r>
      <w:r w:rsidRPr="007D6382">
        <w:t xml:space="preserve">του ρόλου της ΕΕΣΥΠ ως Sovereign Wealth Fund, με την υλοποίηση επενδύσεων μέσω του Επενδυτικού Ταμείου Καινοτομίας και Υποδομών, την επιτάχυνση του μετασχηματισμού των θυγατρικών εταιρειών, την αξιοποίηση περιουσιακών στοιχείων και τη δημοπράτηση νέων έργων στρατηγικής σημασίας από το </w:t>
      </w:r>
      <w:r w:rsidRPr="007D6382">
        <w:rPr>
          <w:lang w:val="en-US"/>
        </w:rPr>
        <w:t>PPF</w:t>
      </w:r>
      <w:r w:rsidRPr="007D6382">
        <w:t>.</w:t>
      </w:r>
    </w:p>
    <w:p w14:paraId="3A52FBA3" w14:textId="22569AD3" w:rsidR="00341A3C" w:rsidRPr="007D6382" w:rsidRDefault="00341A3C" w:rsidP="00A33CAB">
      <w:r w:rsidRPr="007D6382">
        <w:t>Επιπλέον, προβλέπ</w:t>
      </w:r>
      <w:r w:rsidR="00CC7553">
        <w:t>ονται</w:t>
      </w:r>
      <w:r w:rsidRPr="007D6382">
        <w:t>:</w:t>
      </w:r>
    </w:p>
    <w:p w14:paraId="1C8C7E4C" w14:textId="1B1FE76E" w:rsidR="00341A3C" w:rsidRPr="00A33CAB" w:rsidRDefault="00EE226C" w:rsidP="00C029BE">
      <w:pPr>
        <w:numPr>
          <w:ilvl w:val="0"/>
          <w:numId w:val="2"/>
        </w:numPr>
        <w:spacing w:before="120" w:after="60"/>
        <w:ind w:left="568" w:hanging="284"/>
      </w:pPr>
      <w:r>
        <w:t>η</w:t>
      </w:r>
      <w:r w:rsidR="00341A3C" w:rsidRPr="00A33CAB">
        <w:t xml:space="preserve"> έναρξη νέων σημαντικών έργων, όπως η ανάπλαση της ΔΕΘ, η είσοδος στρατηγικού επενδυτή στις Ελληνικές Αλυκές ΑΕ και η δημιουργία της </w:t>
      </w:r>
      <w:r w:rsidR="00703E42">
        <w:t>μ</w:t>
      </w:r>
      <w:r w:rsidR="00341A3C" w:rsidRPr="00A33CAB">
        <w:t xml:space="preserve">αρίνας </w:t>
      </w:r>
      <w:r w:rsidR="008B6248">
        <w:rPr>
          <w:lang w:val="en-US"/>
        </w:rPr>
        <w:t>M</w:t>
      </w:r>
      <w:r w:rsidR="00341A3C" w:rsidRPr="00A33CAB">
        <w:t xml:space="preserve">ega </w:t>
      </w:r>
      <w:r w:rsidR="008B6248">
        <w:rPr>
          <w:lang w:val="en-US"/>
        </w:rPr>
        <w:t>Y</w:t>
      </w:r>
      <w:r w:rsidR="00341A3C" w:rsidRPr="00A33CAB">
        <w:t>acht στην Κέρκυρα</w:t>
      </w:r>
      <w:r>
        <w:t>,</w:t>
      </w:r>
    </w:p>
    <w:p w14:paraId="54D5FA88" w14:textId="36C75DD5" w:rsidR="00341A3C" w:rsidRPr="00EE226C" w:rsidRDefault="00EE226C" w:rsidP="00EC630C">
      <w:pPr>
        <w:numPr>
          <w:ilvl w:val="0"/>
          <w:numId w:val="2"/>
        </w:numPr>
        <w:spacing w:before="60" w:after="60"/>
        <w:ind w:left="568" w:hanging="284"/>
      </w:pPr>
      <w:r>
        <w:t>η</w:t>
      </w:r>
      <w:r w:rsidR="00341A3C" w:rsidRPr="00EE226C">
        <w:t xml:space="preserve"> συνέχιση της ψηφιακής καταγραφής 36.000 ακινήτων της ΕΤΑΔ και η εκκίνηση της διαδικασίας αξιοποίησης 1.000 εξ αυτών</w:t>
      </w:r>
      <w:r>
        <w:t>,</w:t>
      </w:r>
    </w:p>
    <w:p w14:paraId="2FF913D7" w14:textId="35FC732E" w:rsidR="00341A3C" w:rsidRPr="00EE226C" w:rsidRDefault="00EE226C" w:rsidP="00EC630C">
      <w:pPr>
        <w:numPr>
          <w:ilvl w:val="0"/>
          <w:numId w:val="2"/>
        </w:numPr>
        <w:spacing w:before="60" w:after="60"/>
        <w:ind w:left="568" w:hanging="284"/>
      </w:pPr>
      <w:r>
        <w:t>η</w:t>
      </w:r>
      <w:r w:rsidR="00341A3C" w:rsidRPr="00EE226C">
        <w:t xml:space="preserve"> περαιτέρω αναβάθμιση των αστικών συγκοινωνιών της Αθήνας με την παραλαβή επιπλέον νέων οχημάτων αντιρρυπαντικής τεχνολογίας,</w:t>
      </w:r>
      <w:r w:rsidR="009E38B2" w:rsidRPr="009E38B2">
        <w:t xml:space="preserve"> </w:t>
      </w:r>
      <w:r w:rsidR="009E38B2">
        <w:t xml:space="preserve">η οποία συμβάλλει </w:t>
      </w:r>
      <w:r w:rsidR="00341A3C" w:rsidRPr="00EE226C">
        <w:t>στην αποτελεσματικότερη εξυπηρέτηση των πολιτών</w:t>
      </w:r>
      <w:r>
        <w:t>,</w:t>
      </w:r>
    </w:p>
    <w:p w14:paraId="645CDCB7" w14:textId="1AD3F817" w:rsidR="00341A3C" w:rsidRPr="00EE226C" w:rsidRDefault="00EE226C" w:rsidP="00EC630C">
      <w:pPr>
        <w:numPr>
          <w:ilvl w:val="0"/>
          <w:numId w:val="2"/>
        </w:numPr>
        <w:spacing w:before="60" w:after="60"/>
        <w:ind w:left="568" w:hanging="284"/>
      </w:pPr>
      <w:r>
        <w:t>η</w:t>
      </w:r>
      <w:r w:rsidR="00341A3C" w:rsidRPr="00EE226C">
        <w:t xml:space="preserve"> έναρξη επενδύσεων από το Επενδυτικό Ταμείο Καινοτομίας και Υποδομών</w:t>
      </w:r>
      <w:r>
        <w:t xml:space="preserve"> και</w:t>
      </w:r>
    </w:p>
    <w:p w14:paraId="75D61F49" w14:textId="45B47F25" w:rsidR="005143DA" w:rsidRDefault="00EE1B51" w:rsidP="00367F48">
      <w:pPr>
        <w:numPr>
          <w:ilvl w:val="0"/>
          <w:numId w:val="2"/>
        </w:numPr>
        <w:spacing w:before="60" w:after="240"/>
        <w:ind w:left="568" w:hanging="284"/>
      </w:pPr>
      <w:r w:rsidRPr="00EE226C">
        <w:t>η βελτίωση των παρεχόμενων υπηρεσιών και της αποδοτικότητ</w:t>
      </w:r>
      <w:r>
        <w:t>α</w:t>
      </w:r>
      <w:r w:rsidRPr="00EE226C">
        <w:t xml:space="preserve">ς </w:t>
      </w:r>
      <w:r w:rsidR="00341A3C" w:rsidRPr="00EE226C">
        <w:t xml:space="preserve">των εταιρειών του χαρτοφυλακίου της </w:t>
      </w:r>
      <w:r>
        <w:t>μέσω ε</w:t>
      </w:r>
      <w:r w:rsidRPr="00EE226C">
        <w:t>πενδύσε</w:t>
      </w:r>
      <w:r>
        <w:t>ων</w:t>
      </w:r>
      <w:r w:rsidR="00A33CAB" w:rsidRPr="00EE226C">
        <w:t>.</w:t>
      </w:r>
    </w:p>
    <w:p w14:paraId="67A46A93" w14:textId="77777777" w:rsidR="005143DA" w:rsidRDefault="005143DA">
      <w:pPr>
        <w:spacing w:after="0" w:line="240" w:lineRule="auto"/>
        <w:jc w:val="left"/>
      </w:pPr>
      <w:r>
        <w:br w:type="page"/>
      </w:r>
    </w:p>
    <w:tbl>
      <w:tblPr>
        <w:tblW w:w="5000" w:type="pct"/>
        <w:jc w:val="center"/>
        <w:tblLook w:val="04A0" w:firstRow="1" w:lastRow="0" w:firstColumn="1" w:lastColumn="0" w:noHBand="0" w:noVBand="1"/>
      </w:tblPr>
      <w:tblGrid>
        <w:gridCol w:w="3183"/>
        <w:gridCol w:w="1825"/>
        <w:gridCol w:w="2272"/>
        <w:gridCol w:w="1784"/>
      </w:tblGrid>
      <w:tr w:rsidR="005143DA" w:rsidRPr="005143DA" w14:paraId="1A924A61" w14:textId="77777777" w:rsidTr="00B47EF3">
        <w:trPr>
          <w:cantSplit/>
          <w:jc w:val="center"/>
        </w:trPr>
        <w:tc>
          <w:tcPr>
            <w:tcW w:w="9064" w:type="dxa"/>
            <w:gridSpan w:val="4"/>
            <w:tcBorders>
              <w:top w:val="single" w:sz="2" w:space="0" w:color="A6A6A6" w:themeColor="background1" w:themeShade="A6"/>
              <w:left w:val="single" w:sz="2" w:space="0" w:color="A6A6A6" w:themeColor="background1" w:themeShade="A6"/>
              <w:right w:val="single" w:sz="2" w:space="0" w:color="A6A6A6" w:themeColor="background1" w:themeShade="A6"/>
            </w:tcBorders>
            <w:shd w:val="clear" w:color="auto" w:fill="D5DCE4"/>
            <w:tcMar>
              <w:left w:w="0" w:type="dxa"/>
              <w:right w:w="0" w:type="dxa"/>
            </w:tcMar>
            <w:vAlign w:val="center"/>
            <w:hideMark/>
          </w:tcPr>
          <w:p w14:paraId="6C3FD510" w14:textId="6DBF5E25" w:rsidR="005143DA" w:rsidRPr="00B47EF3" w:rsidRDefault="00B47EF3" w:rsidP="005143DA">
            <w:pPr>
              <w:spacing w:after="0" w:line="276" w:lineRule="auto"/>
              <w:jc w:val="center"/>
              <w:rPr>
                <w:rFonts w:cs="Arial"/>
                <w:b/>
                <w:bCs/>
                <w:sz w:val="18"/>
                <w:szCs w:val="18"/>
                <w:lang w:eastAsia="en-GB"/>
              </w:rPr>
            </w:pPr>
            <w:bookmarkStart w:id="790" w:name="_Toc214474135"/>
            <w:r w:rsidRPr="00B47EF3">
              <w:rPr>
                <w:b/>
                <w:sz w:val="18"/>
                <w:szCs w:val="18"/>
              </w:rPr>
              <w:lastRenderedPageBreak/>
              <w:t>Πίνακας 5.</w:t>
            </w:r>
            <w:r w:rsidRPr="00B47EF3">
              <w:rPr>
                <w:b/>
                <w:sz w:val="18"/>
                <w:szCs w:val="18"/>
              </w:rPr>
              <w:fldChar w:fldCharType="begin"/>
            </w:r>
            <w:r w:rsidRPr="00B47EF3">
              <w:rPr>
                <w:b/>
                <w:sz w:val="18"/>
                <w:szCs w:val="18"/>
              </w:rPr>
              <w:instrText xml:space="preserve"> SEQ Πίνακας_5. \* ARABIC </w:instrText>
            </w:r>
            <w:r w:rsidRPr="00B47EF3">
              <w:rPr>
                <w:b/>
                <w:sz w:val="18"/>
                <w:szCs w:val="18"/>
              </w:rPr>
              <w:fldChar w:fldCharType="separate"/>
            </w:r>
            <w:r w:rsidR="00E15678">
              <w:rPr>
                <w:b/>
                <w:noProof/>
                <w:sz w:val="18"/>
                <w:szCs w:val="18"/>
              </w:rPr>
              <w:t>1</w:t>
            </w:r>
            <w:r w:rsidRPr="00B47EF3">
              <w:rPr>
                <w:b/>
                <w:sz w:val="18"/>
                <w:szCs w:val="18"/>
              </w:rPr>
              <w:fldChar w:fldCharType="end"/>
            </w:r>
            <w:r w:rsidRPr="00B47EF3">
              <w:rPr>
                <w:b/>
                <w:sz w:val="18"/>
                <w:szCs w:val="18"/>
              </w:rPr>
              <w:t xml:space="preserve">.: </w:t>
            </w:r>
            <w:r w:rsidR="00F14A00" w:rsidRPr="00B47EF3">
              <w:rPr>
                <w:rFonts w:cs="Arial"/>
                <w:b/>
                <w:bCs/>
                <w:sz w:val="18"/>
                <w:szCs w:val="18"/>
                <w:lang w:eastAsia="en-GB"/>
              </w:rPr>
              <w:t xml:space="preserve">Μετοχολόγιο </w:t>
            </w:r>
            <w:r w:rsidR="00B86F20">
              <w:rPr>
                <w:rFonts w:cs="Arial"/>
                <w:b/>
                <w:bCs/>
                <w:sz w:val="18"/>
                <w:szCs w:val="18"/>
                <w:lang w:eastAsia="en-GB"/>
              </w:rPr>
              <w:t>ΕΕΣΥΠ</w:t>
            </w:r>
            <w:r w:rsidR="005143DA" w:rsidRPr="00B47EF3">
              <w:rPr>
                <w:rFonts w:cs="Arial"/>
                <w:b/>
                <w:bCs/>
                <w:sz w:val="18"/>
                <w:szCs w:val="18"/>
                <w:lang w:eastAsia="en-GB"/>
              </w:rPr>
              <w:t xml:space="preserve"> Α</w:t>
            </w:r>
            <w:r w:rsidR="00F14A00" w:rsidRPr="00B47EF3">
              <w:rPr>
                <w:rFonts w:cs="Arial"/>
                <w:b/>
                <w:bCs/>
                <w:sz w:val="18"/>
                <w:szCs w:val="18"/>
                <w:lang w:eastAsia="en-GB"/>
              </w:rPr>
              <w:t>Ε</w:t>
            </w:r>
            <w:bookmarkEnd w:id="790"/>
          </w:p>
          <w:p w14:paraId="4DE689FA" w14:textId="77777777" w:rsidR="00C029BE" w:rsidRDefault="00F14A00" w:rsidP="005143DA">
            <w:pPr>
              <w:spacing w:after="0" w:line="276" w:lineRule="auto"/>
              <w:jc w:val="center"/>
              <w:rPr>
                <w:rFonts w:cs="Arial"/>
                <w:bCs/>
                <w:sz w:val="18"/>
                <w:szCs w:val="16"/>
                <w:lang w:eastAsia="en-GB"/>
              </w:rPr>
            </w:pPr>
            <w:r w:rsidRPr="005143DA">
              <w:rPr>
                <w:rFonts w:cs="Arial"/>
                <w:bCs/>
                <w:sz w:val="18"/>
                <w:szCs w:val="16"/>
                <w:lang w:eastAsia="en-GB"/>
              </w:rPr>
              <w:t>(περιλαμβάνει και τις συμμετοχές του πρώην ΤΧΣ)</w:t>
            </w:r>
          </w:p>
          <w:p w14:paraId="5D18C6DF" w14:textId="20480879" w:rsidR="00F14A00" w:rsidRPr="005143DA" w:rsidRDefault="00C029BE" w:rsidP="005143DA">
            <w:pPr>
              <w:spacing w:after="0" w:line="276" w:lineRule="auto"/>
              <w:jc w:val="center"/>
              <w:rPr>
                <w:rFonts w:cs="Arial"/>
                <w:bCs/>
                <w:sz w:val="18"/>
                <w:szCs w:val="16"/>
                <w:lang w:eastAsia="en-GB"/>
              </w:rPr>
            </w:pPr>
            <w:r w:rsidRPr="005143DA">
              <w:rPr>
                <w:rFonts w:cs="Arial"/>
                <w:sz w:val="18"/>
                <w:szCs w:val="16"/>
                <w:lang w:eastAsia="en-GB"/>
              </w:rPr>
              <w:t>(ημερομηνία αναφοράς 30.6.2025)</w:t>
            </w:r>
          </w:p>
        </w:tc>
      </w:tr>
      <w:tr w:rsidR="00F14A00" w:rsidRPr="00F14A00" w14:paraId="7DB09268" w14:textId="77777777" w:rsidTr="00C029BE">
        <w:trPr>
          <w:cantSplit/>
          <w:trHeight w:val="283"/>
          <w:jc w:val="center"/>
        </w:trPr>
        <w:tc>
          <w:tcPr>
            <w:tcW w:w="9064"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right w:w="0" w:type="dxa"/>
            </w:tcMar>
            <w:vAlign w:val="center"/>
            <w:hideMark/>
          </w:tcPr>
          <w:p w14:paraId="400AE99A" w14:textId="7DF105EE" w:rsidR="00F14A00" w:rsidRPr="00F14A00" w:rsidRDefault="00F14A00" w:rsidP="005143DA">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ΕΙΣΗΓΜΕΝΕΣ ΣΤΟ ΧΑ</w:t>
            </w:r>
          </w:p>
        </w:tc>
      </w:tr>
      <w:tr w:rsidR="00DC27A9" w:rsidRPr="00F14A00" w14:paraId="3AD0E0A6" w14:textId="77777777" w:rsidTr="007E40D2">
        <w:trPr>
          <w:cantSplit/>
          <w:jc w:val="center"/>
        </w:trPr>
        <w:tc>
          <w:tcPr>
            <w:tcW w:w="3192"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tcMar>
              <w:left w:w="0" w:type="dxa"/>
              <w:right w:w="0" w:type="dxa"/>
            </w:tcMar>
            <w:vAlign w:val="center"/>
            <w:hideMark/>
          </w:tcPr>
          <w:p w14:paraId="79ED9B56" w14:textId="77777777" w:rsidR="00F14A00" w:rsidRPr="00F14A00" w:rsidRDefault="00F14A00" w:rsidP="00D95D8B">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Εταιρεία</w:t>
            </w:r>
          </w:p>
        </w:tc>
        <w:tc>
          <w:tcPr>
            <w:tcW w:w="1819" w:type="dxa"/>
            <w:tcBorders>
              <w:top w:val="single" w:sz="2" w:space="0" w:color="A6A6A6" w:themeColor="background1" w:themeShade="A6"/>
              <w:bottom w:val="single" w:sz="2" w:space="0" w:color="A6A6A6" w:themeColor="background1" w:themeShade="A6"/>
            </w:tcBorders>
            <w:tcMar>
              <w:left w:w="0" w:type="dxa"/>
              <w:right w:w="0" w:type="dxa"/>
            </w:tcMar>
            <w:vAlign w:val="center"/>
            <w:hideMark/>
          </w:tcPr>
          <w:p w14:paraId="2B6D2050" w14:textId="77777777" w:rsidR="00F14A00" w:rsidRPr="00F14A00" w:rsidRDefault="00F14A00" w:rsidP="005143DA">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Συνολικός αριθμός μετοχών</w:t>
            </w:r>
          </w:p>
        </w:tc>
        <w:tc>
          <w:tcPr>
            <w:tcW w:w="2268" w:type="dxa"/>
            <w:tcBorders>
              <w:top w:val="single" w:sz="2" w:space="0" w:color="A6A6A6" w:themeColor="background1" w:themeShade="A6"/>
              <w:bottom w:val="single" w:sz="2" w:space="0" w:color="A6A6A6" w:themeColor="background1" w:themeShade="A6"/>
            </w:tcBorders>
            <w:tcMar>
              <w:left w:w="0" w:type="dxa"/>
              <w:right w:w="0" w:type="dxa"/>
            </w:tcMar>
            <w:vAlign w:val="center"/>
            <w:hideMark/>
          </w:tcPr>
          <w:p w14:paraId="147D7076" w14:textId="77777777" w:rsidR="00F14A00" w:rsidRPr="00F14A00" w:rsidRDefault="00F14A00" w:rsidP="005143DA">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Αριθμός μετοχών κυριότητας ΕΕΣΥΠ</w:t>
            </w:r>
          </w:p>
        </w:tc>
        <w:tc>
          <w:tcPr>
            <w:tcW w:w="1785" w:type="dxa"/>
            <w:tcBorders>
              <w:top w:val="single" w:sz="2" w:space="0" w:color="A6A6A6" w:themeColor="background1" w:themeShade="A6"/>
              <w:bottom w:val="single" w:sz="2" w:space="0" w:color="A6A6A6" w:themeColor="background1" w:themeShade="A6"/>
              <w:right w:val="single" w:sz="2" w:space="0" w:color="A6A6A6" w:themeColor="background1" w:themeShade="A6"/>
            </w:tcBorders>
            <w:tcMar>
              <w:left w:w="0" w:type="dxa"/>
              <w:right w:w="0" w:type="dxa"/>
            </w:tcMar>
            <w:vAlign w:val="center"/>
            <w:hideMark/>
          </w:tcPr>
          <w:p w14:paraId="2B5018B7" w14:textId="77777777" w:rsidR="00F14A00" w:rsidRPr="00F14A00" w:rsidRDefault="00F14A00" w:rsidP="005143DA">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Ποσοστό ΕΕΣΥΠ επί του ΜΚ (%)</w:t>
            </w:r>
          </w:p>
        </w:tc>
      </w:tr>
      <w:tr w:rsidR="00307043" w:rsidRPr="00F14A00" w14:paraId="696E89DB" w14:textId="77777777" w:rsidTr="007E40D2">
        <w:trPr>
          <w:cantSplit/>
          <w:jc w:val="center"/>
        </w:trPr>
        <w:tc>
          <w:tcPr>
            <w:tcW w:w="3192" w:type="dxa"/>
            <w:tcBorders>
              <w:top w:val="single" w:sz="2" w:space="0" w:color="A6A6A6" w:themeColor="background1" w:themeShade="A6"/>
              <w:left w:val="single" w:sz="2" w:space="0" w:color="A6A6A6" w:themeColor="background1" w:themeShade="A6"/>
            </w:tcBorders>
            <w:shd w:val="clear" w:color="auto" w:fill="F2F2F2" w:themeFill="background1" w:themeFillShade="F2"/>
            <w:noWrap/>
            <w:tcMar>
              <w:left w:w="0" w:type="dxa"/>
              <w:right w:w="0" w:type="dxa"/>
            </w:tcMar>
            <w:vAlign w:val="center"/>
            <w:hideMark/>
          </w:tcPr>
          <w:p w14:paraId="7A4714AC" w14:textId="1A2DC7F8"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Δημόσια Επιχείρηση Ηλεκτρισμού (ΔΕΗ)</w:t>
            </w:r>
            <w:r w:rsidR="00307043">
              <w:rPr>
                <w:rFonts w:cs="Arial"/>
                <w:color w:val="000000"/>
                <w:sz w:val="16"/>
                <w:szCs w:val="16"/>
                <w:lang w:eastAsia="en-GB"/>
              </w:rPr>
              <w:t xml:space="preserve"> ΑΕ</w:t>
            </w:r>
          </w:p>
        </w:tc>
        <w:tc>
          <w:tcPr>
            <w:tcW w:w="1819" w:type="dxa"/>
            <w:tcBorders>
              <w:top w:val="single" w:sz="2" w:space="0" w:color="A6A6A6" w:themeColor="background1" w:themeShade="A6"/>
            </w:tcBorders>
            <w:shd w:val="clear" w:color="auto" w:fill="F2F2F2" w:themeFill="background1" w:themeFillShade="F2"/>
            <w:noWrap/>
            <w:tcMar>
              <w:left w:w="0" w:type="dxa"/>
              <w:right w:w="0" w:type="dxa"/>
            </w:tcMar>
            <w:vAlign w:val="center"/>
            <w:hideMark/>
          </w:tcPr>
          <w:p w14:paraId="13F0F88F"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369.270.000</w:t>
            </w:r>
          </w:p>
        </w:tc>
        <w:tc>
          <w:tcPr>
            <w:tcW w:w="2268" w:type="dxa"/>
            <w:tcBorders>
              <w:top w:val="single" w:sz="2" w:space="0" w:color="A6A6A6" w:themeColor="background1" w:themeShade="A6"/>
            </w:tcBorders>
            <w:shd w:val="clear" w:color="auto" w:fill="F2F2F2" w:themeFill="background1" w:themeFillShade="F2"/>
            <w:noWrap/>
            <w:tcMar>
              <w:left w:w="0" w:type="dxa"/>
              <w:right w:w="0" w:type="dxa"/>
            </w:tcMar>
            <w:vAlign w:val="center"/>
            <w:hideMark/>
          </w:tcPr>
          <w:p w14:paraId="1E7C32FC"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130.349.860</w:t>
            </w:r>
          </w:p>
        </w:tc>
        <w:tc>
          <w:tcPr>
            <w:tcW w:w="1785" w:type="dxa"/>
            <w:tcBorders>
              <w:top w:val="single" w:sz="2" w:space="0" w:color="A6A6A6" w:themeColor="background1" w:themeShade="A6"/>
              <w:right w:val="single" w:sz="2" w:space="0" w:color="A6A6A6" w:themeColor="background1" w:themeShade="A6"/>
            </w:tcBorders>
            <w:shd w:val="clear" w:color="auto" w:fill="F2F2F2" w:themeFill="background1" w:themeFillShade="F2"/>
            <w:noWrap/>
            <w:tcMar>
              <w:left w:w="0" w:type="dxa"/>
              <w:right w:w="0" w:type="dxa"/>
            </w:tcMar>
            <w:vAlign w:val="center"/>
            <w:hideMark/>
          </w:tcPr>
          <w:p w14:paraId="1DBCA765"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35,3</w:t>
            </w:r>
          </w:p>
        </w:tc>
      </w:tr>
      <w:tr w:rsidR="00DC27A9" w:rsidRPr="00F14A00" w14:paraId="24156EF6" w14:textId="77777777" w:rsidTr="007E40D2">
        <w:trPr>
          <w:cantSplit/>
          <w:jc w:val="center"/>
        </w:trPr>
        <w:tc>
          <w:tcPr>
            <w:tcW w:w="3192" w:type="dxa"/>
            <w:tcBorders>
              <w:left w:val="single" w:sz="2" w:space="0" w:color="A6A6A6" w:themeColor="background1" w:themeShade="A6"/>
            </w:tcBorders>
            <w:shd w:val="clear" w:color="auto" w:fill="auto"/>
            <w:noWrap/>
            <w:tcMar>
              <w:left w:w="0" w:type="dxa"/>
              <w:right w:w="0" w:type="dxa"/>
            </w:tcMar>
            <w:vAlign w:val="center"/>
            <w:hideMark/>
          </w:tcPr>
          <w:p w14:paraId="50AB914A" w14:textId="4B4CC243" w:rsidR="00F14A00" w:rsidRPr="00B040AB" w:rsidRDefault="00F14A00" w:rsidP="005143DA">
            <w:pPr>
              <w:spacing w:after="0" w:line="276" w:lineRule="auto"/>
              <w:jc w:val="left"/>
              <w:rPr>
                <w:rFonts w:cs="Arial"/>
                <w:color w:val="000000"/>
                <w:sz w:val="16"/>
                <w:szCs w:val="16"/>
                <w:lang w:eastAsia="en-GB"/>
              </w:rPr>
            </w:pPr>
            <w:r w:rsidRPr="00B040AB">
              <w:rPr>
                <w:rFonts w:cs="Arial"/>
                <w:color w:val="000000"/>
                <w:sz w:val="16"/>
                <w:szCs w:val="16"/>
                <w:lang w:eastAsia="en-GB"/>
              </w:rPr>
              <w:t>Διεθνής Αερολιμένας Αθηνών ΑΕ</w:t>
            </w:r>
          </w:p>
        </w:tc>
        <w:tc>
          <w:tcPr>
            <w:tcW w:w="1819" w:type="dxa"/>
            <w:shd w:val="clear" w:color="auto" w:fill="auto"/>
            <w:noWrap/>
            <w:tcMar>
              <w:left w:w="0" w:type="dxa"/>
              <w:right w:w="0" w:type="dxa"/>
            </w:tcMar>
            <w:vAlign w:val="center"/>
            <w:hideMark/>
          </w:tcPr>
          <w:p w14:paraId="60F1B1F3" w14:textId="77777777" w:rsidR="00F14A00" w:rsidRPr="00B040AB" w:rsidRDefault="00F14A00" w:rsidP="005143DA">
            <w:pPr>
              <w:spacing w:after="0" w:line="276" w:lineRule="auto"/>
              <w:jc w:val="right"/>
              <w:rPr>
                <w:rFonts w:cs="Arial"/>
                <w:color w:val="000000"/>
                <w:sz w:val="16"/>
                <w:szCs w:val="16"/>
                <w:lang w:eastAsia="en-GB"/>
              </w:rPr>
            </w:pPr>
            <w:r w:rsidRPr="00B040AB">
              <w:rPr>
                <w:rFonts w:cs="Arial"/>
                <w:color w:val="000000"/>
                <w:sz w:val="16"/>
                <w:szCs w:val="16"/>
                <w:lang w:eastAsia="en-GB"/>
              </w:rPr>
              <w:t>313.500.000</w:t>
            </w:r>
          </w:p>
        </w:tc>
        <w:tc>
          <w:tcPr>
            <w:tcW w:w="2268" w:type="dxa"/>
            <w:shd w:val="clear" w:color="auto" w:fill="auto"/>
            <w:noWrap/>
            <w:tcMar>
              <w:left w:w="0" w:type="dxa"/>
              <w:right w:w="0" w:type="dxa"/>
            </w:tcMar>
            <w:vAlign w:val="center"/>
            <w:hideMark/>
          </w:tcPr>
          <w:p w14:paraId="3344B0F6" w14:textId="77777777" w:rsidR="00F14A00" w:rsidRPr="00B040AB" w:rsidRDefault="00F14A00" w:rsidP="005143DA">
            <w:pPr>
              <w:spacing w:after="0" w:line="276" w:lineRule="auto"/>
              <w:jc w:val="right"/>
              <w:rPr>
                <w:rFonts w:cs="Arial"/>
                <w:color w:val="000000"/>
                <w:sz w:val="16"/>
                <w:szCs w:val="16"/>
                <w:lang w:eastAsia="en-GB"/>
              </w:rPr>
            </w:pPr>
            <w:r w:rsidRPr="00B040AB">
              <w:rPr>
                <w:rFonts w:cs="Arial"/>
                <w:color w:val="000000"/>
                <w:sz w:val="16"/>
                <w:szCs w:val="16"/>
                <w:lang w:eastAsia="en-GB"/>
              </w:rPr>
              <w:t>79.228.039</w:t>
            </w:r>
          </w:p>
        </w:tc>
        <w:tc>
          <w:tcPr>
            <w:tcW w:w="1785" w:type="dxa"/>
            <w:tcBorders>
              <w:right w:val="single" w:sz="2" w:space="0" w:color="A6A6A6" w:themeColor="background1" w:themeShade="A6"/>
            </w:tcBorders>
            <w:shd w:val="clear" w:color="auto" w:fill="auto"/>
            <w:noWrap/>
            <w:tcMar>
              <w:left w:w="0" w:type="dxa"/>
              <w:right w:w="0" w:type="dxa"/>
            </w:tcMar>
            <w:vAlign w:val="center"/>
            <w:hideMark/>
          </w:tcPr>
          <w:p w14:paraId="6D45A69B" w14:textId="77777777" w:rsidR="00F14A00" w:rsidRPr="00F14A00" w:rsidRDefault="00F14A00" w:rsidP="005143DA">
            <w:pPr>
              <w:spacing w:after="0" w:line="276" w:lineRule="auto"/>
              <w:jc w:val="right"/>
              <w:rPr>
                <w:rFonts w:cs="Arial"/>
                <w:color w:val="000000"/>
                <w:sz w:val="16"/>
                <w:szCs w:val="16"/>
                <w:lang w:eastAsia="en-GB"/>
              </w:rPr>
            </w:pPr>
            <w:r w:rsidRPr="00B040AB">
              <w:rPr>
                <w:rFonts w:cs="Arial"/>
                <w:color w:val="000000"/>
                <w:sz w:val="16"/>
                <w:szCs w:val="16"/>
                <w:lang w:eastAsia="en-GB"/>
              </w:rPr>
              <w:t>25,6</w:t>
            </w:r>
          </w:p>
        </w:tc>
      </w:tr>
      <w:tr w:rsidR="00307043" w:rsidRPr="00F14A00" w14:paraId="3EA019ED" w14:textId="77777777" w:rsidTr="007E40D2">
        <w:trPr>
          <w:cantSplit/>
          <w:jc w:val="center"/>
        </w:trPr>
        <w:tc>
          <w:tcPr>
            <w:tcW w:w="3192" w:type="dxa"/>
            <w:tcBorders>
              <w:left w:val="single" w:sz="2" w:space="0" w:color="A6A6A6" w:themeColor="background1" w:themeShade="A6"/>
            </w:tcBorders>
            <w:shd w:val="clear" w:color="auto" w:fill="F2F2F2" w:themeFill="background1" w:themeFillShade="F2"/>
            <w:noWrap/>
            <w:tcMar>
              <w:left w:w="0" w:type="dxa"/>
              <w:right w:w="0" w:type="dxa"/>
            </w:tcMar>
            <w:vAlign w:val="center"/>
            <w:hideMark/>
          </w:tcPr>
          <w:p w14:paraId="654EA782" w14:textId="6410E40C" w:rsidR="00F14A00" w:rsidRPr="00F14A00" w:rsidRDefault="00301A44" w:rsidP="005143DA">
            <w:pPr>
              <w:spacing w:after="0" w:line="276" w:lineRule="auto"/>
              <w:jc w:val="left"/>
              <w:rPr>
                <w:rFonts w:cs="Arial"/>
                <w:color w:val="000000"/>
                <w:sz w:val="16"/>
                <w:szCs w:val="16"/>
                <w:lang w:eastAsia="en-GB"/>
              </w:rPr>
            </w:pPr>
            <w:r w:rsidRPr="00F14A00">
              <w:rPr>
                <w:rFonts w:cs="Arial"/>
                <w:color w:val="000000"/>
                <w:sz w:val="16"/>
                <w:szCs w:val="16"/>
                <w:lang w:eastAsia="en-GB"/>
              </w:rPr>
              <w:t xml:space="preserve">Εθνική Τράπεζα </w:t>
            </w:r>
            <w:r>
              <w:rPr>
                <w:rFonts w:cs="Arial"/>
                <w:color w:val="000000"/>
                <w:sz w:val="16"/>
                <w:szCs w:val="16"/>
                <w:lang w:eastAsia="en-GB"/>
              </w:rPr>
              <w:t>τ</w:t>
            </w:r>
            <w:r w:rsidRPr="00F14A00">
              <w:rPr>
                <w:rFonts w:cs="Arial"/>
                <w:color w:val="000000"/>
                <w:sz w:val="16"/>
                <w:szCs w:val="16"/>
                <w:lang w:eastAsia="en-GB"/>
              </w:rPr>
              <w:t>ης Ελλ</w:t>
            </w:r>
            <w:r>
              <w:rPr>
                <w:rFonts w:cs="Arial"/>
                <w:color w:val="000000"/>
                <w:sz w:val="16"/>
                <w:szCs w:val="16"/>
                <w:lang w:eastAsia="en-GB"/>
              </w:rPr>
              <w:t>ά</w:t>
            </w:r>
            <w:r w:rsidRPr="00F14A00">
              <w:rPr>
                <w:rFonts w:cs="Arial"/>
                <w:color w:val="000000"/>
                <w:sz w:val="16"/>
                <w:szCs w:val="16"/>
                <w:lang w:eastAsia="en-GB"/>
              </w:rPr>
              <w:t>δος</w:t>
            </w:r>
            <w:r w:rsidRPr="00F14A00">
              <w:rPr>
                <w:rFonts w:cs="Arial"/>
                <w:color w:val="000000"/>
                <w:sz w:val="16"/>
                <w:szCs w:val="16"/>
                <w:vertAlign w:val="superscript"/>
                <w:lang w:eastAsia="en-GB"/>
              </w:rPr>
              <w:t>2</w:t>
            </w:r>
          </w:p>
        </w:tc>
        <w:tc>
          <w:tcPr>
            <w:tcW w:w="1819" w:type="dxa"/>
            <w:shd w:val="clear" w:color="auto" w:fill="F2F2F2" w:themeFill="background1" w:themeFillShade="F2"/>
            <w:noWrap/>
            <w:tcMar>
              <w:left w:w="0" w:type="dxa"/>
              <w:right w:w="0" w:type="dxa"/>
            </w:tcMar>
            <w:vAlign w:val="center"/>
            <w:hideMark/>
          </w:tcPr>
          <w:p w14:paraId="157D25C2"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914.715.153</w:t>
            </w:r>
          </w:p>
        </w:tc>
        <w:tc>
          <w:tcPr>
            <w:tcW w:w="2268" w:type="dxa"/>
            <w:shd w:val="clear" w:color="auto" w:fill="F2F2F2" w:themeFill="background1" w:themeFillShade="F2"/>
            <w:noWrap/>
            <w:tcMar>
              <w:left w:w="0" w:type="dxa"/>
              <w:right w:w="0" w:type="dxa"/>
            </w:tcMar>
            <w:vAlign w:val="center"/>
            <w:hideMark/>
          </w:tcPr>
          <w:p w14:paraId="7D1E3CCB"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76.759.926</w:t>
            </w:r>
          </w:p>
        </w:tc>
        <w:tc>
          <w:tcPr>
            <w:tcW w:w="1785" w:type="dxa"/>
            <w:tcBorders>
              <w:right w:val="single" w:sz="2" w:space="0" w:color="A6A6A6" w:themeColor="background1" w:themeShade="A6"/>
            </w:tcBorders>
            <w:shd w:val="clear" w:color="auto" w:fill="F2F2F2" w:themeFill="background1" w:themeFillShade="F2"/>
            <w:noWrap/>
            <w:tcMar>
              <w:left w:w="0" w:type="dxa"/>
              <w:right w:w="0" w:type="dxa"/>
            </w:tcMar>
            <w:vAlign w:val="center"/>
            <w:hideMark/>
          </w:tcPr>
          <w:p w14:paraId="0C0F363B"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8,39</w:t>
            </w:r>
          </w:p>
        </w:tc>
      </w:tr>
      <w:tr w:rsidR="00DC27A9" w:rsidRPr="00F14A00" w14:paraId="5D26AB6C" w14:textId="77777777" w:rsidTr="007E40D2">
        <w:trPr>
          <w:cantSplit/>
          <w:jc w:val="center"/>
        </w:trPr>
        <w:tc>
          <w:tcPr>
            <w:tcW w:w="3192" w:type="dxa"/>
            <w:tcBorders>
              <w:left w:val="single" w:sz="2" w:space="0" w:color="A6A6A6" w:themeColor="background1" w:themeShade="A6"/>
            </w:tcBorders>
            <w:shd w:val="clear" w:color="auto" w:fill="auto"/>
            <w:noWrap/>
            <w:tcMar>
              <w:left w:w="0" w:type="dxa"/>
              <w:right w:w="0" w:type="dxa"/>
            </w:tcMar>
            <w:vAlign w:val="center"/>
            <w:hideMark/>
          </w:tcPr>
          <w:p w14:paraId="1F0F5E2F" w14:textId="2CD45399" w:rsidR="00F14A00" w:rsidRPr="00F14A00" w:rsidRDefault="00F14A00" w:rsidP="005143DA">
            <w:pPr>
              <w:spacing w:after="0" w:line="276" w:lineRule="auto"/>
              <w:jc w:val="left"/>
              <w:rPr>
                <w:rFonts w:cs="Arial"/>
                <w:color w:val="000000"/>
                <w:sz w:val="16"/>
                <w:szCs w:val="16"/>
                <w:lang w:val="en-US" w:eastAsia="en-GB"/>
              </w:rPr>
            </w:pPr>
            <w:r w:rsidRPr="00F14A00">
              <w:rPr>
                <w:rFonts w:cs="Arial"/>
                <w:color w:val="000000"/>
                <w:sz w:val="16"/>
                <w:szCs w:val="16"/>
                <w:lang w:val="en-US" w:eastAsia="en-GB"/>
              </w:rPr>
              <w:t xml:space="preserve">ATTICA BANK </w:t>
            </w:r>
            <w:r w:rsidRPr="00F14A00">
              <w:rPr>
                <w:rFonts w:cs="Arial"/>
                <w:color w:val="000000"/>
                <w:sz w:val="16"/>
                <w:szCs w:val="16"/>
                <w:lang w:eastAsia="en-GB"/>
              </w:rPr>
              <w:t>ΑΤΕ</w:t>
            </w:r>
            <w:r w:rsidRPr="00F14A00">
              <w:rPr>
                <w:rFonts w:cs="Arial"/>
                <w:color w:val="000000"/>
                <w:sz w:val="16"/>
                <w:szCs w:val="16"/>
                <w:vertAlign w:val="superscript"/>
                <w:lang w:val="en-US" w:eastAsia="en-GB"/>
              </w:rPr>
              <w:t xml:space="preserve"> 2</w:t>
            </w:r>
          </w:p>
        </w:tc>
        <w:tc>
          <w:tcPr>
            <w:tcW w:w="1819" w:type="dxa"/>
            <w:shd w:val="clear" w:color="auto" w:fill="auto"/>
            <w:noWrap/>
            <w:tcMar>
              <w:left w:w="0" w:type="dxa"/>
              <w:right w:w="0" w:type="dxa"/>
            </w:tcMar>
            <w:vAlign w:val="center"/>
            <w:hideMark/>
          </w:tcPr>
          <w:p w14:paraId="2B9CF6AF"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1.617.995.358</w:t>
            </w:r>
          </w:p>
        </w:tc>
        <w:tc>
          <w:tcPr>
            <w:tcW w:w="2268" w:type="dxa"/>
            <w:shd w:val="clear" w:color="auto" w:fill="auto"/>
            <w:noWrap/>
            <w:tcMar>
              <w:left w:w="0" w:type="dxa"/>
              <w:right w:w="0" w:type="dxa"/>
            </w:tcMar>
            <w:vAlign w:val="center"/>
            <w:hideMark/>
          </w:tcPr>
          <w:p w14:paraId="3FB06799"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585.074.648</w:t>
            </w:r>
          </w:p>
        </w:tc>
        <w:tc>
          <w:tcPr>
            <w:tcW w:w="1785" w:type="dxa"/>
            <w:tcBorders>
              <w:right w:val="single" w:sz="2" w:space="0" w:color="A6A6A6" w:themeColor="background1" w:themeShade="A6"/>
            </w:tcBorders>
            <w:shd w:val="clear" w:color="auto" w:fill="auto"/>
            <w:noWrap/>
            <w:tcMar>
              <w:left w:w="0" w:type="dxa"/>
              <w:right w:w="0" w:type="dxa"/>
            </w:tcMar>
            <w:vAlign w:val="center"/>
            <w:hideMark/>
          </w:tcPr>
          <w:p w14:paraId="6D83321E"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36,16</w:t>
            </w:r>
          </w:p>
        </w:tc>
      </w:tr>
      <w:tr w:rsidR="00307043" w:rsidRPr="00F14A00" w14:paraId="59A562E9" w14:textId="77777777" w:rsidTr="007E40D2">
        <w:trPr>
          <w:cantSplit/>
          <w:jc w:val="center"/>
        </w:trPr>
        <w:tc>
          <w:tcPr>
            <w:tcW w:w="3192" w:type="dxa"/>
            <w:tcBorders>
              <w:left w:val="single" w:sz="2" w:space="0" w:color="A6A6A6" w:themeColor="background1" w:themeShade="A6"/>
            </w:tcBorders>
            <w:shd w:val="clear" w:color="auto" w:fill="F2F2F2" w:themeFill="background1" w:themeFillShade="F2"/>
            <w:noWrap/>
            <w:tcMar>
              <w:left w:w="0" w:type="dxa"/>
              <w:right w:w="0" w:type="dxa"/>
            </w:tcMar>
            <w:vAlign w:val="center"/>
            <w:hideMark/>
          </w:tcPr>
          <w:p w14:paraId="2F8B3842" w14:textId="77777777"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PHOENIX VEGA MEZZ PLC</w:t>
            </w:r>
            <w:r w:rsidRPr="00F14A00">
              <w:rPr>
                <w:rFonts w:cs="Arial"/>
                <w:color w:val="000000"/>
                <w:sz w:val="16"/>
                <w:szCs w:val="16"/>
                <w:vertAlign w:val="superscript"/>
                <w:lang w:eastAsia="en-GB"/>
              </w:rPr>
              <w:t>2</w:t>
            </w:r>
          </w:p>
        </w:tc>
        <w:tc>
          <w:tcPr>
            <w:tcW w:w="1819" w:type="dxa"/>
            <w:shd w:val="clear" w:color="auto" w:fill="F2F2F2" w:themeFill="background1" w:themeFillShade="F2"/>
            <w:noWrap/>
            <w:tcMar>
              <w:left w:w="0" w:type="dxa"/>
              <w:right w:w="0" w:type="dxa"/>
            </w:tcMar>
            <w:vAlign w:val="center"/>
            <w:hideMark/>
          </w:tcPr>
          <w:p w14:paraId="0AFA16A5"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1.250.367.229</w:t>
            </w:r>
          </w:p>
        </w:tc>
        <w:tc>
          <w:tcPr>
            <w:tcW w:w="2268" w:type="dxa"/>
            <w:shd w:val="clear" w:color="auto" w:fill="F2F2F2" w:themeFill="background1" w:themeFillShade="F2"/>
            <w:noWrap/>
            <w:tcMar>
              <w:left w:w="0" w:type="dxa"/>
              <w:right w:w="0" w:type="dxa"/>
            </w:tcMar>
            <w:vAlign w:val="center"/>
            <w:hideMark/>
          </w:tcPr>
          <w:p w14:paraId="3743632D"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337.599.150</w:t>
            </w:r>
          </w:p>
        </w:tc>
        <w:tc>
          <w:tcPr>
            <w:tcW w:w="1785" w:type="dxa"/>
            <w:tcBorders>
              <w:right w:val="single" w:sz="2" w:space="0" w:color="A6A6A6" w:themeColor="background1" w:themeShade="A6"/>
            </w:tcBorders>
            <w:shd w:val="clear" w:color="auto" w:fill="F2F2F2" w:themeFill="background1" w:themeFillShade="F2"/>
            <w:noWrap/>
            <w:tcMar>
              <w:left w:w="0" w:type="dxa"/>
              <w:right w:w="0" w:type="dxa"/>
            </w:tcMar>
            <w:vAlign w:val="center"/>
            <w:hideMark/>
          </w:tcPr>
          <w:p w14:paraId="2F4087C5"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27,0</w:t>
            </w:r>
          </w:p>
        </w:tc>
      </w:tr>
      <w:tr w:rsidR="00DC27A9" w:rsidRPr="00F14A00" w14:paraId="4861B4A4" w14:textId="77777777" w:rsidTr="007E40D2">
        <w:trPr>
          <w:cantSplit/>
          <w:jc w:val="center"/>
        </w:trPr>
        <w:tc>
          <w:tcPr>
            <w:tcW w:w="3192" w:type="dxa"/>
            <w:tcBorders>
              <w:left w:val="single" w:sz="2" w:space="0" w:color="A6A6A6" w:themeColor="background1" w:themeShade="A6"/>
            </w:tcBorders>
            <w:shd w:val="clear" w:color="auto" w:fill="auto"/>
            <w:noWrap/>
            <w:tcMar>
              <w:left w:w="0" w:type="dxa"/>
              <w:right w:w="0" w:type="dxa"/>
            </w:tcMar>
            <w:vAlign w:val="center"/>
            <w:hideMark/>
          </w:tcPr>
          <w:p w14:paraId="38D07663" w14:textId="77777777"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SUNRISEMEZZ</w:t>
            </w:r>
            <w:r w:rsidRPr="00F14A00">
              <w:rPr>
                <w:rFonts w:cs="Arial"/>
                <w:color w:val="000000"/>
                <w:sz w:val="16"/>
                <w:szCs w:val="16"/>
                <w:vertAlign w:val="superscript"/>
                <w:lang w:eastAsia="en-GB"/>
              </w:rPr>
              <w:t>2</w:t>
            </w:r>
          </w:p>
        </w:tc>
        <w:tc>
          <w:tcPr>
            <w:tcW w:w="1819" w:type="dxa"/>
            <w:shd w:val="clear" w:color="auto" w:fill="auto"/>
            <w:noWrap/>
            <w:tcMar>
              <w:left w:w="0" w:type="dxa"/>
              <w:right w:w="0" w:type="dxa"/>
            </w:tcMar>
            <w:vAlign w:val="center"/>
            <w:hideMark/>
          </w:tcPr>
          <w:p w14:paraId="305A8377"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178.623.895</w:t>
            </w:r>
          </w:p>
        </w:tc>
        <w:tc>
          <w:tcPr>
            <w:tcW w:w="2268" w:type="dxa"/>
            <w:shd w:val="clear" w:color="auto" w:fill="auto"/>
            <w:noWrap/>
            <w:tcMar>
              <w:left w:w="0" w:type="dxa"/>
              <w:right w:w="0" w:type="dxa"/>
            </w:tcMar>
            <w:vAlign w:val="center"/>
            <w:hideMark/>
          </w:tcPr>
          <w:p w14:paraId="1B723B5B"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48.228.450</w:t>
            </w:r>
          </w:p>
        </w:tc>
        <w:tc>
          <w:tcPr>
            <w:tcW w:w="1785" w:type="dxa"/>
            <w:tcBorders>
              <w:right w:val="single" w:sz="2" w:space="0" w:color="A6A6A6" w:themeColor="background1" w:themeShade="A6"/>
            </w:tcBorders>
            <w:shd w:val="clear" w:color="auto" w:fill="auto"/>
            <w:noWrap/>
            <w:tcMar>
              <w:left w:w="0" w:type="dxa"/>
              <w:right w:w="0" w:type="dxa"/>
            </w:tcMar>
            <w:vAlign w:val="center"/>
            <w:hideMark/>
          </w:tcPr>
          <w:p w14:paraId="085BE4B5"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27,0</w:t>
            </w:r>
          </w:p>
        </w:tc>
      </w:tr>
      <w:tr w:rsidR="00307043" w:rsidRPr="00F14A00" w14:paraId="5B2DE307" w14:textId="77777777" w:rsidTr="007E40D2">
        <w:trPr>
          <w:cantSplit/>
          <w:jc w:val="center"/>
        </w:trPr>
        <w:tc>
          <w:tcPr>
            <w:tcW w:w="3192" w:type="dxa"/>
            <w:tcBorders>
              <w:left w:val="single" w:sz="2" w:space="0" w:color="A6A6A6" w:themeColor="background1" w:themeShade="A6"/>
            </w:tcBorders>
            <w:shd w:val="clear" w:color="auto" w:fill="F2F2F2" w:themeFill="background1" w:themeFillShade="F2"/>
            <w:noWrap/>
            <w:tcMar>
              <w:left w:w="0" w:type="dxa"/>
              <w:right w:w="0" w:type="dxa"/>
            </w:tcMar>
            <w:vAlign w:val="center"/>
            <w:hideMark/>
          </w:tcPr>
          <w:p w14:paraId="675BDCF4" w14:textId="1A49BA08"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GALAXY COSMOS MEZZ</w:t>
            </w:r>
            <w:r w:rsidR="00A67E6E">
              <w:rPr>
                <w:rFonts w:cs="Arial"/>
                <w:color w:val="000000"/>
                <w:sz w:val="16"/>
                <w:szCs w:val="16"/>
                <w:lang w:eastAsia="en-GB"/>
              </w:rPr>
              <w:t xml:space="preserve"> </w:t>
            </w:r>
            <w:r w:rsidR="00A67E6E">
              <w:rPr>
                <w:rFonts w:cs="Arial"/>
                <w:color w:val="000000"/>
                <w:sz w:val="16"/>
                <w:szCs w:val="16"/>
                <w:lang w:val="en-US" w:eastAsia="en-GB"/>
              </w:rPr>
              <w:t>PLC</w:t>
            </w:r>
            <w:r w:rsidRPr="00F14A00">
              <w:rPr>
                <w:rFonts w:cs="Arial"/>
                <w:color w:val="000000"/>
                <w:sz w:val="16"/>
                <w:szCs w:val="16"/>
                <w:vertAlign w:val="superscript"/>
                <w:lang w:eastAsia="en-GB"/>
              </w:rPr>
              <w:t>2</w:t>
            </w:r>
          </w:p>
        </w:tc>
        <w:tc>
          <w:tcPr>
            <w:tcW w:w="1819" w:type="dxa"/>
            <w:shd w:val="clear" w:color="auto" w:fill="F2F2F2" w:themeFill="background1" w:themeFillShade="F2"/>
            <w:noWrap/>
            <w:tcMar>
              <w:left w:w="0" w:type="dxa"/>
              <w:right w:w="0" w:type="dxa"/>
            </w:tcMar>
            <w:vAlign w:val="center"/>
            <w:hideMark/>
          </w:tcPr>
          <w:p w14:paraId="4A3873A0"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86.941.164</w:t>
            </w:r>
          </w:p>
        </w:tc>
        <w:tc>
          <w:tcPr>
            <w:tcW w:w="2268" w:type="dxa"/>
            <w:shd w:val="clear" w:color="auto" w:fill="F2F2F2" w:themeFill="background1" w:themeFillShade="F2"/>
            <w:noWrap/>
            <w:tcMar>
              <w:left w:w="0" w:type="dxa"/>
              <w:right w:w="0" w:type="dxa"/>
            </w:tcMar>
            <w:vAlign w:val="center"/>
            <w:hideMark/>
          </w:tcPr>
          <w:p w14:paraId="72B8AC0B"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7.819.937</w:t>
            </w:r>
          </w:p>
        </w:tc>
        <w:tc>
          <w:tcPr>
            <w:tcW w:w="1785" w:type="dxa"/>
            <w:tcBorders>
              <w:right w:val="single" w:sz="2" w:space="0" w:color="A6A6A6" w:themeColor="background1" w:themeShade="A6"/>
            </w:tcBorders>
            <w:shd w:val="clear" w:color="auto" w:fill="F2F2F2" w:themeFill="background1" w:themeFillShade="F2"/>
            <w:noWrap/>
            <w:tcMar>
              <w:left w:w="0" w:type="dxa"/>
              <w:right w:w="0" w:type="dxa"/>
            </w:tcMar>
            <w:vAlign w:val="center"/>
            <w:hideMark/>
          </w:tcPr>
          <w:p w14:paraId="31AD29EB"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8,99</w:t>
            </w:r>
          </w:p>
        </w:tc>
      </w:tr>
      <w:tr w:rsidR="00DC27A9" w:rsidRPr="00F14A00" w14:paraId="3029A4F3" w14:textId="77777777" w:rsidTr="007E40D2">
        <w:trPr>
          <w:cantSplit/>
          <w:jc w:val="center"/>
        </w:trPr>
        <w:tc>
          <w:tcPr>
            <w:tcW w:w="3192" w:type="dxa"/>
            <w:tcBorders>
              <w:left w:val="single" w:sz="2" w:space="0" w:color="A6A6A6" w:themeColor="background1" w:themeShade="A6"/>
              <w:bottom w:val="single" w:sz="2" w:space="0" w:color="A6A6A6" w:themeColor="background1" w:themeShade="A6"/>
            </w:tcBorders>
            <w:shd w:val="clear" w:color="auto" w:fill="auto"/>
            <w:noWrap/>
            <w:tcMar>
              <w:left w:w="0" w:type="dxa"/>
              <w:right w:w="0" w:type="dxa"/>
            </w:tcMar>
            <w:vAlign w:val="center"/>
            <w:hideMark/>
          </w:tcPr>
          <w:p w14:paraId="0A6B6866" w14:textId="6897DA1D"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CAIRO MEZZ PLC -</w:t>
            </w:r>
            <w:r w:rsidR="00307043">
              <w:rPr>
                <w:rFonts w:cs="Arial"/>
                <w:color w:val="000000"/>
                <w:sz w:val="16"/>
                <w:szCs w:val="16"/>
                <w:lang w:eastAsia="en-GB"/>
              </w:rPr>
              <w:t xml:space="preserve"> </w:t>
            </w:r>
            <w:r w:rsidRPr="00F14A00">
              <w:rPr>
                <w:rFonts w:cs="Arial"/>
                <w:color w:val="000000"/>
                <w:sz w:val="16"/>
                <w:szCs w:val="16"/>
                <w:lang w:eastAsia="en-GB"/>
              </w:rPr>
              <w:t>ΚΟ</w:t>
            </w:r>
            <w:r w:rsidRPr="00F14A00">
              <w:rPr>
                <w:rFonts w:cs="Arial"/>
                <w:color w:val="000000"/>
                <w:sz w:val="16"/>
                <w:szCs w:val="16"/>
                <w:vertAlign w:val="superscript"/>
                <w:lang w:eastAsia="en-GB"/>
              </w:rPr>
              <w:t>2</w:t>
            </w:r>
          </w:p>
        </w:tc>
        <w:tc>
          <w:tcPr>
            <w:tcW w:w="1819" w:type="dxa"/>
            <w:tcBorders>
              <w:bottom w:val="single" w:sz="2" w:space="0" w:color="A6A6A6" w:themeColor="background1" w:themeShade="A6"/>
            </w:tcBorders>
            <w:shd w:val="clear" w:color="auto" w:fill="auto"/>
            <w:noWrap/>
            <w:tcMar>
              <w:left w:w="0" w:type="dxa"/>
              <w:right w:w="0" w:type="dxa"/>
            </w:tcMar>
            <w:vAlign w:val="center"/>
            <w:hideMark/>
          </w:tcPr>
          <w:p w14:paraId="5590D743"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309.096.827</w:t>
            </w:r>
          </w:p>
        </w:tc>
        <w:tc>
          <w:tcPr>
            <w:tcW w:w="2268" w:type="dxa"/>
            <w:tcBorders>
              <w:bottom w:val="single" w:sz="2" w:space="0" w:color="A6A6A6" w:themeColor="background1" w:themeShade="A6"/>
            </w:tcBorders>
            <w:shd w:val="clear" w:color="auto" w:fill="auto"/>
            <w:noWrap/>
            <w:tcMar>
              <w:left w:w="0" w:type="dxa"/>
              <w:right w:w="0" w:type="dxa"/>
            </w:tcMar>
            <w:vAlign w:val="center"/>
            <w:hideMark/>
          </w:tcPr>
          <w:p w14:paraId="309F06BF"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4.340.056</w:t>
            </w:r>
          </w:p>
        </w:tc>
        <w:tc>
          <w:tcPr>
            <w:tcW w:w="1785" w:type="dxa"/>
            <w:tcBorders>
              <w:bottom w:val="single" w:sz="2" w:space="0" w:color="A6A6A6" w:themeColor="background1" w:themeShade="A6"/>
              <w:right w:val="single" w:sz="2" w:space="0" w:color="A6A6A6" w:themeColor="background1" w:themeShade="A6"/>
            </w:tcBorders>
            <w:shd w:val="clear" w:color="auto" w:fill="auto"/>
            <w:noWrap/>
            <w:tcMar>
              <w:left w:w="0" w:type="dxa"/>
              <w:right w:w="0" w:type="dxa"/>
            </w:tcMar>
            <w:vAlign w:val="center"/>
            <w:hideMark/>
          </w:tcPr>
          <w:p w14:paraId="5FD2AC52" w14:textId="77777777" w:rsidR="00F14A00" w:rsidRPr="00F14A00" w:rsidRDefault="00F14A00" w:rsidP="005143DA">
            <w:pPr>
              <w:spacing w:after="0" w:line="276" w:lineRule="auto"/>
              <w:jc w:val="right"/>
              <w:rPr>
                <w:rFonts w:cs="Arial"/>
                <w:color w:val="000000"/>
                <w:sz w:val="16"/>
                <w:szCs w:val="16"/>
                <w:lang w:eastAsia="en-GB"/>
              </w:rPr>
            </w:pPr>
            <w:r w:rsidRPr="00F14A00">
              <w:rPr>
                <w:rFonts w:cs="Arial"/>
                <w:color w:val="000000"/>
                <w:sz w:val="16"/>
                <w:szCs w:val="16"/>
                <w:lang w:eastAsia="en-GB"/>
              </w:rPr>
              <w:t>1,4</w:t>
            </w:r>
          </w:p>
        </w:tc>
      </w:tr>
      <w:tr w:rsidR="00F14A00" w:rsidRPr="00F14A00" w14:paraId="35031D86" w14:textId="77777777" w:rsidTr="00C029BE">
        <w:trPr>
          <w:cantSplit/>
          <w:trHeight w:val="283"/>
          <w:jc w:val="center"/>
        </w:trPr>
        <w:tc>
          <w:tcPr>
            <w:tcW w:w="9064" w:type="dxa"/>
            <w:gridSpan w:val="4"/>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right w:w="0" w:type="dxa"/>
            </w:tcMar>
            <w:vAlign w:val="center"/>
            <w:hideMark/>
          </w:tcPr>
          <w:p w14:paraId="48A9CBFA" w14:textId="77777777" w:rsidR="00F14A00" w:rsidRPr="00F14A00" w:rsidRDefault="00F14A00" w:rsidP="00307043">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ΜΗ ΕΙΣΗΓΜΕΝΕΣ ΣΤΟ ΧΑ</w:t>
            </w:r>
          </w:p>
        </w:tc>
      </w:tr>
      <w:tr w:rsidR="00DC27A9" w:rsidRPr="00F14A00" w14:paraId="1075EA28" w14:textId="77777777" w:rsidTr="007E40D2">
        <w:trPr>
          <w:cantSplit/>
          <w:jc w:val="center"/>
        </w:trPr>
        <w:tc>
          <w:tcPr>
            <w:tcW w:w="3192" w:type="dxa"/>
            <w:tcBorders>
              <w:top w:val="single" w:sz="2" w:space="0" w:color="A6A6A6" w:themeColor="background1" w:themeShade="A6"/>
              <w:left w:val="single" w:sz="2" w:space="0" w:color="A6A6A6" w:themeColor="background1" w:themeShade="A6"/>
              <w:bottom w:val="single" w:sz="2" w:space="0" w:color="A6A6A6" w:themeColor="background1" w:themeShade="A6"/>
            </w:tcBorders>
            <w:noWrap/>
            <w:tcMar>
              <w:left w:w="0" w:type="dxa"/>
              <w:right w:w="0" w:type="dxa"/>
            </w:tcMar>
            <w:vAlign w:val="center"/>
            <w:hideMark/>
          </w:tcPr>
          <w:p w14:paraId="53906024" w14:textId="77777777" w:rsidR="00F14A00" w:rsidRPr="00F14A00" w:rsidRDefault="00F14A00" w:rsidP="00D95D8B">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Εταιρεία</w:t>
            </w:r>
          </w:p>
        </w:tc>
        <w:tc>
          <w:tcPr>
            <w:tcW w:w="1819" w:type="dxa"/>
            <w:tcBorders>
              <w:top w:val="single" w:sz="2" w:space="0" w:color="A6A6A6" w:themeColor="background1" w:themeShade="A6"/>
              <w:bottom w:val="single" w:sz="2" w:space="0" w:color="A6A6A6" w:themeColor="background1" w:themeShade="A6"/>
            </w:tcBorders>
            <w:tcMar>
              <w:left w:w="0" w:type="dxa"/>
              <w:right w:w="0" w:type="dxa"/>
            </w:tcMar>
            <w:vAlign w:val="center"/>
            <w:hideMark/>
          </w:tcPr>
          <w:p w14:paraId="64C52356" w14:textId="77777777" w:rsidR="00F14A00" w:rsidRPr="00F14A00" w:rsidRDefault="00F14A00" w:rsidP="005143DA">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Συνολικό μετοχικό κεφάλαιο (σε ευρώ)</w:t>
            </w:r>
          </w:p>
        </w:tc>
        <w:tc>
          <w:tcPr>
            <w:tcW w:w="2268" w:type="dxa"/>
            <w:tcBorders>
              <w:top w:val="single" w:sz="2" w:space="0" w:color="A6A6A6" w:themeColor="background1" w:themeShade="A6"/>
              <w:bottom w:val="single" w:sz="2" w:space="0" w:color="A6A6A6" w:themeColor="background1" w:themeShade="A6"/>
            </w:tcBorders>
            <w:tcMar>
              <w:left w:w="0" w:type="dxa"/>
              <w:right w:w="0" w:type="dxa"/>
            </w:tcMar>
            <w:vAlign w:val="center"/>
            <w:hideMark/>
          </w:tcPr>
          <w:p w14:paraId="79E98769" w14:textId="77777777" w:rsidR="00F14A00" w:rsidRPr="00F14A00" w:rsidRDefault="00F14A00" w:rsidP="005143DA">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Μετοχικό κεφάλαιο κυριότητας ΕΕΣΥΠ (σε ευρώ)</w:t>
            </w:r>
          </w:p>
        </w:tc>
        <w:tc>
          <w:tcPr>
            <w:tcW w:w="1785" w:type="dxa"/>
            <w:tcBorders>
              <w:top w:val="single" w:sz="2" w:space="0" w:color="A6A6A6" w:themeColor="background1" w:themeShade="A6"/>
              <w:bottom w:val="single" w:sz="2" w:space="0" w:color="A6A6A6" w:themeColor="background1" w:themeShade="A6"/>
              <w:right w:val="single" w:sz="2" w:space="0" w:color="A6A6A6" w:themeColor="background1" w:themeShade="A6"/>
            </w:tcBorders>
            <w:tcMar>
              <w:left w:w="0" w:type="dxa"/>
              <w:right w:w="0" w:type="dxa"/>
            </w:tcMar>
            <w:vAlign w:val="center"/>
            <w:hideMark/>
          </w:tcPr>
          <w:p w14:paraId="0EFCB9F0" w14:textId="77777777" w:rsidR="00F14A00" w:rsidRPr="00F14A00" w:rsidRDefault="00F14A00" w:rsidP="005143DA">
            <w:pPr>
              <w:spacing w:after="0" w:line="276" w:lineRule="auto"/>
              <w:jc w:val="center"/>
              <w:rPr>
                <w:rFonts w:cs="Arial"/>
                <w:b/>
                <w:bCs/>
                <w:color w:val="000000"/>
                <w:sz w:val="16"/>
                <w:szCs w:val="16"/>
                <w:lang w:eastAsia="en-GB"/>
              </w:rPr>
            </w:pPr>
            <w:r w:rsidRPr="00F14A00">
              <w:rPr>
                <w:rFonts w:cs="Arial"/>
                <w:b/>
                <w:bCs/>
                <w:color w:val="000000"/>
                <w:sz w:val="16"/>
                <w:szCs w:val="16"/>
                <w:lang w:eastAsia="en-GB"/>
              </w:rPr>
              <w:t>Ποσοστό ΕΕΣΥΠ επί του ΜΚ (%)</w:t>
            </w:r>
          </w:p>
        </w:tc>
      </w:tr>
      <w:tr w:rsidR="009C3B7B" w:rsidRPr="00F14A00" w14:paraId="72357449" w14:textId="77777777" w:rsidTr="007E40D2">
        <w:trPr>
          <w:cantSplit/>
          <w:jc w:val="center"/>
        </w:trPr>
        <w:tc>
          <w:tcPr>
            <w:tcW w:w="3192" w:type="dxa"/>
            <w:tcBorders>
              <w:top w:val="single" w:sz="2" w:space="0" w:color="A6A6A6" w:themeColor="background1" w:themeShade="A6"/>
              <w:left w:val="single" w:sz="2" w:space="0" w:color="A6A6A6" w:themeColor="background1" w:themeShade="A6"/>
            </w:tcBorders>
            <w:shd w:val="clear" w:color="000000" w:fill="F2F2F2"/>
            <w:tcMar>
              <w:left w:w="0" w:type="dxa"/>
              <w:right w:w="0" w:type="dxa"/>
            </w:tcMar>
            <w:vAlign w:val="center"/>
            <w:hideMark/>
          </w:tcPr>
          <w:p w14:paraId="16A4BC54" w14:textId="2302A0E8"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Εταιρεία Ακινήτων Δημοσίου (ΕΤΑΔ)</w:t>
            </w:r>
            <w:r w:rsidR="00307043">
              <w:rPr>
                <w:rFonts w:cs="Arial"/>
                <w:color w:val="000000"/>
                <w:sz w:val="16"/>
                <w:szCs w:val="16"/>
                <w:lang w:eastAsia="en-GB"/>
              </w:rPr>
              <w:t xml:space="preserve"> ΑΕ</w:t>
            </w:r>
          </w:p>
        </w:tc>
        <w:tc>
          <w:tcPr>
            <w:tcW w:w="1819" w:type="dxa"/>
            <w:tcBorders>
              <w:top w:val="single" w:sz="2" w:space="0" w:color="A6A6A6" w:themeColor="background1" w:themeShade="A6"/>
            </w:tcBorders>
            <w:shd w:val="clear" w:color="000000" w:fill="F2F2F2"/>
            <w:noWrap/>
            <w:tcMar>
              <w:left w:w="0" w:type="dxa"/>
              <w:right w:w="0" w:type="dxa"/>
            </w:tcMar>
            <w:vAlign w:val="center"/>
            <w:hideMark/>
          </w:tcPr>
          <w:p w14:paraId="48D9940B"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309.050.000</w:t>
            </w:r>
          </w:p>
        </w:tc>
        <w:tc>
          <w:tcPr>
            <w:tcW w:w="2268" w:type="dxa"/>
            <w:tcBorders>
              <w:top w:val="single" w:sz="2" w:space="0" w:color="A6A6A6" w:themeColor="background1" w:themeShade="A6"/>
            </w:tcBorders>
            <w:shd w:val="clear" w:color="000000" w:fill="F2F2F2"/>
            <w:noWrap/>
            <w:tcMar>
              <w:left w:w="0" w:type="dxa"/>
              <w:right w:w="0" w:type="dxa"/>
            </w:tcMar>
            <w:vAlign w:val="center"/>
            <w:hideMark/>
          </w:tcPr>
          <w:p w14:paraId="5E11464E"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309.050.000</w:t>
            </w:r>
          </w:p>
        </w:tc>
        <w:tc>
          <w:tcPr>
            <w:tcW w:w="1785" w:type="dxa"/>
            <w:tcBorders>
              <w:top w:val="single" w:sz="2" w:space="0" w:color="A6A6A6" w:themeColor="background1" w:themeShade="A6"/>
              <w:right w:val="single" w:sz="2" w:space="0" w:color="A6A6A6" w:themeColor="background1" w:themeShade="A6"/>
            </w:tcBorders>
            <w:shd w:val="clear" w:color="000000" w:fill="F2F2F2"/>
            <w:noWrap/>
            <w:tcMar>
              <w:left w:w="0" w:type="dxa"/>
              <w:right w:w="0" w:type="dxa"/>
            </w:tcMar>
            <w:vAlign w:val="center"/>
            <w:hideMark/>
          </w:tcPr>
          <w:p w14:paraId="57C31625"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DC27A9" w:rsidRPr="00F14A00" w14:paraId="469B62A0" w14:textId="77777777" w:rsidTr="007E40D2">
        <w:trPr>
          <w:cantSplit/>
          <w:jc w:val="center"/>
        </w:trPr>
        <w:tc>
          <w:tcPr>
            <w:tcW w:w="3192" w:type="dxa"/>
            <w:tcBorders>
              <w:left w:val="single" w:sz="2" w:space="0" w:color="A6A6A6" w:themeColor="background1" w:themeShade="A6"/>
            </w:tcBorders>
            <w:tcMar>
              <w:left w:w="0" w:type="dxa"/>
              <w:right w:w="0" w:type="dxa"/>
            </w:tcMar>
            <w:vAlign w:val="center"/>
            <w:hideMark/>
          </w:tcPr>
          <w:p w14:paraId="07BB157A" w14:textId="1714B83C"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Οργανισμός Αστικών Συγκοινωνιών Αθηνών (ΟΑΣΑ)</w:t>
            </w:r>
            <w:r w:rsidR="00307043">
              <w:rPr>
                <w:rFonts w:cs="Arial"/>
                <w:color w:val="000000"/>
                <w:sz w:val="16"/>
                <w:szCs w:val="16"/>
                <w:lang w:eastAsia="en-GB"/>
              </w:rPr>
              <w:t xml:space="preserve"> </w:t>
            </w:r>
            <w:r w:rsidR="00307043" w:rsidRPr="00F14A00">
              <w:rPr>
                <w:rFonts w:cs="Arial"/>
                <w:color w:val="000000"/>
                <w:sz w:val="16"/>
                <w:szCs w:val="16"/>
                <w:lang w:eastAsia="en-GB"/>
              </w:rPr>
              <w:t>ΑΕ</w:t>
            </w:r>
          </w:p>
        </w:tc>
        <w:tc>
          <w:tcPr>
            <w:tcW w:w="1819" w:type="dxa"/>
            <w:noWrap/>
            <w:tcMar>
              <w:left w:w="0" w:type="dxa"/>
              <w:right w:w="0" w:type="dxa"/>
            </w:tcMar>
            <w:vAlign w:val="center"/>
            <w:hideMark/>
          </w:tcPr>
          <w:p w14:paraId="2F338DA9"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1.754.937.035</w:t>
            </w:r>
          </w:p>
        </w:tc>
        <w:tc>
          <w:tcPr>
            <w:tcW w:w="2268" w:type="dxa"/>
            <w:noWrap/>
            <w:tcMar>
              <w:left w:w="0" w:type="dxa"/>
              <w:right w:w="0" w:type="dxa"/>
            </w:tcMar>
            <w:vAlign w:val="center"/>
            <w:hideMark/>
          </w:tcPr>
          <w:p w14:paraId="67CE69E7"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1.754.937.035</w:t>
            </w:r>
          </w:p>
        </w:tc>
        <w:tc>
          <w:tcPr>
            <w:tcW w:w="1785" w:type="dxa"/>
            <w:tcBorders>
              <w:right w:val="single" w:sz="2" w:space="0" w:color="A6A6A6" w:themeColor="background1" w:themeShade="A6"/>
            </w:tcBorders>
            <w:noWrap/>
            <w:tcMar>
              <w:left w:w="0" w:type="dxa"/>
              <w:right w:w="0" w:type="dxa"/>
            </w:tcMar>
            <w:vAlign w:val="center"/>
            <w:hideMark/>
          </w:tcPr>
          <w:p w14:paraId="74C1B721"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9C3B7B" w:rsidRPr="00F14A00" w14:paraId="34ACDC4C" w14:textId="77777777" w:rsidTr="007E40D2">
        <w:trPr>
          <w:cantSplit/>
          <w:jc w:val="center"/>
        </w:trPr>
        <w:tc>
          <w:tcPr>
            <w:tcW w:w="3192" w:type="dxa"/>
            <w:tcBorders>
              <w:left w:val="single" w:sz="2" w:space="0" w:color="A6A6A6" w:themeColor="background1" w:themeShade="A6"/>
            </w:tcBorders>
            <w:shd w:val="clear" w:color="000000" w:fill="F2F2F2"/>
            <w:tcMar>
              <w:left w:w="0" w:type="dxa"/>
              <w:right w:w="0" w:type="dxa"/>
            </w:tcMar>
            <w:vAlign w:val="center"/>
            <w:hideMark/>
          </w:tcPr>
          <w:p w14:paraId="522374DB" w14:textId="2D256F6B"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Ανώνυμος Εταιρεία Διώρυγ</w:t>
            </w:r>
            <w:r w:rsidR="00307043">
              <w:rPr>
                <w:rFonts w:cs="Arial"/>
                <w:color w:val="000000"/>
                <w:sz w:val="16"/>
                <w:szCs w:val="16"/>
                <w:lang w:eastAsia="en-GB"/>
              </w:rPr>
              <w:t>α</w:t>
            </w:r>
            <w:r w:rsidRPr="00F14A00">
              <w:rPr>
                <w:rFonts w:cs="Arial"/>
                <w:color w:val="000000"/>
                <w:sz w:val="16"/>
                <w:szCs w:val="16"/>
                <w:lang w:eastAsia="en-GB"/>
              </w:rPr>
              <w:t>ς Κορίνθου (ΑΕΔΙΚ)</w:t>
            </w:r>
            <w:r w:rsidR="00307043">
              <w:rPr>
                <w:rFonts w:cs="Arial"/>
                <w:color w:val="000000"/>
                <w:sz w:val="16"/>
                <w:szCs w:val="16"/>
                <w:lang w:eastAsia="en-GB"/>
              </w:rPr>
              <w:t xml:space="preserve"> </w:t>
            </w:r>
            <w:r w:rsidR="00307043" w:rsidRPr="00F14A00">
              <w:rPr>
                <w:rFonts w:cs="Arial"/>
                <w:color w:val="000000"/>
                <w:sz w:val="16"/>
                <w:szCs w:val="16"/>
                <w:lang w:eastAsia="en-GB"/>
              </w:rPr>
              <w:t>ΑΕ</w:t>
            </w:r>
          </w:p>
        </w:tc>
        <w:tc>
          <w:tcPr>
            <w:tcW w:w="1819" w:type="dxa"/>
            <w:shd w:val="clear" w:color="000000" w:fill="F2F2F2"/>
            <w:noWrap/>
            <w:tcMar>
              <w:left w:w="0" w:type="dxa"/>
              <w:right w:w="0" w:type="dxa"/>
            </w:tcMar>
            <w:vAlign w:val="center"/>
            <w:hideMark/>
          </w:tcPr>
          <w:p w14:paraId="3546E281"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11.818.950</w:t>
            </w:r>
          </w:p>
        </w:tc>
        <w:tc>
          <w:tcPr>
            <w:tcW w:w="2268" w:type="dxa"/>
            <w:shd w:val="clear" w:color="000000" w:fill="F2F2F2"/>
            <w:noWrap/>
            <w:tcMar>
              <w:left w:w="0" w:type="dxa"/>
              <w:right w:w="0" w:type="dxa"/>
            </w:tcMar>
            <w:vAlign w:val="center"/>
            <w:hideMark/>
          </w:tcPr>
          <w:p w14:paraId="7B6C4CBF"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11.818.950</w:t>
            </w:r>
          </w:p>
        </w:tc>
        <w:tc>
          <w:tcPr>
            <w:tcW w:w="1785" w:type="dxa"/>
            <w:tcBorders>
              <w:right w:val="single" w:sz="2" w:space="0" w:color="A6A6A6" w:themeColor="background1" w:themeShade="A6"/>
            </w:tcBorders>
            <w:shd w:val="clear" w:color="000000" w:fill="F2F2F2"/>
            <w:noWrap/>
            <w:tcMar>
              <w:left w:w="0" w:type="dxa"/>
              <w:right w:w="0" w:type="dxa"/>
            </w:tcMar>
            <w:vAlign w:val="center"/>
            <w:hideMark/>
          </w:tcPr>
          <w:p w14:paraId="04C92C15"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DC27A9" w:rsidRPr="00F14A00" w14:paraId="67902A04" w14:textId="77777777" w:rsidTr="007E40D2">
        <w:trPr>
          <w:cantSplit/>
          <w:jc w:val="center"/>
        </w:trPr>
        <w:tc>
          <w:tcPr>
            <w:tcW w:w="3192" w:type="dxa"/>
            <w:tcBorders>
              <w:left w:val="single" w:sz="2" w:space="0" w:color="A6A6A6" w:themeColor="background1" w:themeShade="A6"/>
            </w:tcBorders>
            <w:tcMar>
              <w:left w:w="0" w:type="dxa"/>
              <w:right w:w="0" w:type="dxa"/>
            </w:tcMar>
            <w:vAlign w:val="center"/>
            <w:hideMark/>
          </w:tcPr>
          <w:p w14:paraId="668C3210" w14:textId="058FFD3C"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Ελληνικά Ταχυδρομεία (ΕΛΤΑ)</w:t>
            </w:r>
            <w:r w:rsidR="00307043">
              <w:rPr>
                <w:rFonts w:cs="Arial"/>
                <w:color w:val="000000"/>
                <w:sz w:val="16"/>
                <w:szCs w:val="16"/>
                <w:lang w:eastAsia="en-GB"/>
              </w:rPr>
              <w:t xml:space="preserve"> </w:t>
            </w:r>
            <w:r w:rsidR="00307043" w:rsidRPr="00F14A00">
              <w:rPr>
                <w:rFonts w:cs="Arial"/>
                <w:color w:val="000000"/>
                <w:sz w:val="16"/>
                <w:szCs w:val="16"/>
                <w:lang w:eastAsia="en-GB"/>
              </w:rPr>
              <w:t>ΑΕ</w:t>
            </w:r>
          </w:p>
        </w:tc>
        <w:tc>
          <w:tcPr>
            <w:tcW w:w="1819" w:type="dxa"/>
            <w:noWrap/>
            <w:tcMar>
              <w:left w:w="0" w:type="dxa"/>
              <w:right w:w="0" w:type="dxa"/>
            </w:tcMar>
            <w:vAlign w:val="center"/>
            <w:hideMark/>
          </w:tcPr>
          <w:p w14:paraId="2B698394"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40.000.000</w:t>
            </w:r>
          </w:p>
        </w:tc>
        <w:tc>
          <w:tcPr>
            <w:tcW w:w="2268" w:type="dxa"/>
            <w:noWrap/>
            <w:tcMar>
              <w:left w:w="0" w:type="dxa"/>
              <w:right w:w="0" w:type="dxa"/>
            </w:tcMar>
            <w:vAlign w:val="center"/>
            <w:hideMark/>
          </w:tcPr>
          <w:p w14:paraId="09E99099"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40.000.000</w:t>
            </w:r>
          </w:p>
        </w:tc>
        <w:tc>
          <w:tcPr>
            <w:tcW w:w="1785" w:type="dxa"/>
            <w:tcBorders>
              <w:right w:val="single" w:sz="2" w:space="0" w:color="A6A6A6" w:themeColor="background1" w:themeShade="A6"/>
            </w:tcBorders>
            <w:noWrap/>
            <w:tcMar>
              <w:left w:w="0" w:type="dxa"/>
              <w:right w:w="0" w:type="dxa"/>
            </w:tcMar>
            <w:vAlign w:val="center"/>
            <w:hideMark/>
          </w:tcPr>
          <w:p w14:paraId="605CEA2A"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9C3B7B" w:rsidRPr="00F14A00" w14:paraId="0E18B481" w14:textId="77777777" w:rsidTr="007E40D2">
        <w:trPr>
          <w:cantSplit/>
          <w:jc w:val="center"/>
        </w:trPr>
        <w:tc>
          <w:tcPr>
            <w:tcW w:w="3192" w:type="dxa"/>
            <w:tcBorders>
              <w:left w:val="single" w:sz="2" w:space="0" w:color="A6A6A6" w:themeColor="background1" w:themeShade="A6"/>
            </w:tcBorders>
            <w:shd w:val="clear" w:color="000000" w:fill="F2F2F2"/>
            <w:tcMar>
              <w:left w:w="0" w:type="dxa"/>
              <w:right w:w="0" w:type="dxa"/>
            </w:tcMar>
            <w:vAlign w:val="center"/>
            <w:hideMark/>
          </w:tcPr>
          <w:p w14:paraId="20A8D6B6" w14:textId="73B841DA"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Οργανισμός Κεντρικών Αγορών και Αλιείας (ΟΚΑΑ)</w:t>
            </w:r>
            <w:r w:rsidR="00307043">
              <w:rPr>
                <w:rFonts w:cs="Arial"/>
                <w:color w:val="000000"/>
                <w:sz w:val="16"/>
                <w:szCs w:val="16"/>
                <w:lang w:eastAsia="en-GB"/>
              </w:rPr>
              <w:t xml:space="preserve"> </w:t>
            </w:r>
            <w:r w:rsidR="00307043" w:rsidRPr="00F14A00">
              <w:rPr>
                <w:rFonts w:cs="Arial"/>
                <w:color w:val="000000"/>
                <w:sz w:val="16"/>
                <w:szCs w:val="16"/>
                <w:lang w:eastAsia="en-GB"/>
              </w:rPr>
              <w:t>ΑΕ</w:t>
            </w:r>
          </w:p>
        </w:tc>
        <w:tc>
          <w:tcPr>
            <w:tcW w:w="1819" w:type="dxa"/>
            <w:shd w:val="clear" w:color="000000" w:fill="F2F2F2"/>
            <w:noWrap/>
            <w:tcMar>
              <w:left w:w="0" w:type="dxa"/>
              <w:right w:w="0" w:type="dxa"/>
            </w:tcMar>
            <w:vAlign w:val="center"/>
            <w:hideMark/>
          </w:tcPr>
          <w:p w14:paraId="0841D63E"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37.667.065</w:t>
            </w:r>
          </w:p>
        </w:tc>
        <w:tc>
          <w:tcPr>
            <w:tcW w:w="2268" w:type="dxa"/>
            <w:shd w:val="clear" w:color="000000" w:fill="F2F2F2"/>
            <w:noWrap/>
            <w:tcMar>
              <w:left w:w="0" w:type="dxa"/>
              <w:right w:w="0" w:type="dxa"/>
            </w:tcMar>
            <w:vAlign w:val="center"/>
            <w:hideMark/>
          </w:tcPr>
          <w:p w14:paraId="60C4BEFF"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37.667.065</w:t>
            </w:r>
          </w:p>
        </w:tc>
        <w:tc>
          <w:tcPr>
            <w:tcW w:w="1785" w:type="dxa"/>
            <w:tcBorders>
              <w:right w:val="single" w:sz="2" w:space="0" w:color="A6A6A6" w:themeColor="background1" w:themeShade="A6"/>
            </w:tcBorders>
            <w:shd w:val="clear" w:color="000000" w:fill="F2F2F2"/>
            <w:noWrap/>
            <w:tcMar>
              <w:left w:w="0" w:type="dxa"/>
              <w:right w:w="0" w:type="dxa"/>
            </w:tcMar>
            <w:vAlign w:val="center"/>
            <w:hideMark/>
          </w:tcPr>
          <w:p w14:paraId="76E0187F"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DC27A9" w:rsidRPr="00F14A00" w14:paraId="412B75D9" w14:textId="77777777" w:rsidTr="007E40D2">
        <w:trPr>
          <w:cantSplit/>
          <w:jc w:val="center"/>
        </w:trPr>
        <w:tc>
          <w:tcPr>
            <w:tcW w:w="3192" w:type="dxa"/>
            <w:tcBorders>
              <w:left w:val="single" w:sz="2" w:space="0" w:color="A6A6A6" w:themeColor="background1" w:themeShade="A6"/>
            </w:tcBorders>
            <w:tcMar>
              <w:left w:w="0" w:type="dxa"/>
              <w:right w:w="0" w:type="dxa"/>
            </w:tcMar>
            <w:vAlign w:val="center"/>
            <w:hideMark/>
          </w:tcPr>
          <w:p w14:paraId="64D16FC9" w14:textId="34E06B51"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Κεντρική Αγορά Θεσσαλονίκης (ΚΑΘ)</w:t>
            </w:r>
            <w:r w:rsidR="00307043">
              <w:rPr>
                <w:rFonts w:cs="Arial"/>
                <w:color w:val="000000"/>
                <w:sz w:val="16"/>
                <w:szCs w:val="16"/>
                <w:lang w:eastAsia="en-GB"/>
              </w:rPr>
              <w:t xml:space="preserve"> </w:t>
            </w:r>
            <w:r w:rsidR="00307043" w:rsidRPr="00F14A00">
              <w:rPr>
                <w:rFonts w:cs="Arial"/>
                <w:color w:val="000000"/>
                <w:sz w:val="16"/>
                <w:szCs w:val="16"/>
                <w:lang w:eastAsia="en-GB"/>
              </w:rPr>
              <w:t>ΑΕ</w:t>
            </w:r>
          </w:p>
        </w:tc>
        <w:tc>
          <w:tcPr>
            <w:tcW w:w="1819" w:type="dxa"/>
            <w:noWrap/>
            <w:tcMar>
              <w:left w:w="0" w:type="dxa"/>
              <w:right w:w="0" w:type="dxa"/>
            </w:tcMar>
            <w:vAlign w:val="center"/>
            <w:hideMark/>
          </w:tcPr>
          <w:p w14:paraId="51BA5154"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18.953.760</w:t>
            </w:r>
          </w:p>
        </w:tc>
        <w:tc>
          <w:tcPr>
            <w:tcW w:w="2268" w:type="dxa"/>
            <w:noWrap/>
            <w:tcMar>
              <w:left w:w="0" w:type="dxa"/>
              <w:right w:w="0" w:type="dxa"/>
            </w:tcMar>
            <w:vAlign w:val="center"/>
            <w:hideMark/>
          </w:tcPr>
          <w:p w14:paraId="73CEDF26"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18.953.760</w:t>
            </w:r>
          </w:p>
        </w:tc>
        <w:tc>
          <w:tcPr>
            <w:tcW w:w="1785" w:type="dxa"/>
            <w:tcBorders>
              <w:right w:val="single" w:sz="2" w:space="0" w:color="A6A6A6" w:themeColor="background1" w:themeShade="A6"/>
            </w:tcBorders>
            <w:noWrap/>
            <w:tcMar>
              <w:left w:w="0" w:type="dxa"/>
              <w:right w:w="0" w:type="dxa"/>
            </w:tcMar>
            <w:vAlign w:val="center"/>
            <w:hideMark/>
          </w:tcPr>
          <w:p w14:paraId="6253BAA0"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9C3B7B" w:rsidRPr="00F14A00" w14:paraId="0AFC26D7" w14:textId="77777777" w:rsidTr="007E40D2">
        <w:trPr>
          <w:cantSplit/>
          <w:jc w:val="center"/>
        </w:trPr>
        <w:tc>
          <w:tcPr>
            <w:tcW w:w="3192" w:type="dxa"/>
            <w:tcBorders>
              <w:left w:val="single" w:sz="2" w:space="0" w:color="A6A6A6" w:themeColor="background1" w:themeShade="A6"/>
            </w:tcBorders>
            <w:shd w:val="clear" w:color="000000" w:fill="F2F2F2"/>
            <w:tcMar>
              <w:left w:w="0" w:type="dxa"/>
              <w:right w:w="0" w:type="dxa"/>
            </w:tcMar>
            <w:vAlign w:val="center"/>
            <w:hideMark/>
          </w:tcPr>
          <w:p w14:paraId="3B54EAFC" w14:textId="2506B638"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Διεθνής Έκθεση Θεσσαλονίκης Helexpo (ΔΕΘ Helexpo)</w:t>
            </w:r>
            <w:r w:rsidR="009C3B7B">
              <w:rPr>
                <w:rFonts w:cs="Arial"/>
                <w:color w:val="000000"/>
                <w:sz w:val="16"/>
                <w:szCs w:val="16"/>
                <w:lang w:eastAsia="en-GB"/>
              </w:rPr>
              <w:t xml:space="preserve"> </w:t>
            </w:r>
            <w:r w:rsidR="009C3B7B" w:rsidRPr="00F14A00">
              <w:rPr>
                <w:rFonts w:cs="Arial"/>
                <w:color w:val="000000"/>
                <w:sz w:val="16"/>
                <w:szCs w:val="16"/>
                <w:lang w:eastAsia="en-GB"/>
              </w:rPr>
              <w:t>ΑΕ</w:t>
            </w:r>
          </w:p>
        </w:tc>
        <w:tc>
          <w:tcPr>
            <w:tcW w:w="1819" w:type="dxa"/>
            <w:shd w:val="clear" w:color="000000" w:fill="F2F2F2"/>
            <w:noWrap/>
            <w:tcMar>
              <w:left w:w="0" w:type="dxa"/>
              <w:right w:w="0" w:type="dxa"/>
            </w:tcMar>
            <w:vAlign w:val="center"/>
            <w:hideMark/>
          </w:tcPr>
          <w:p w14:paraId="43C7A7A1"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136.747.600</w:t>
            </w:r>
          </w:p>
        </w:tc>
        <w:tc>
          <w:tcPr>
            <w:tcW w:w="2268" w:type="dxa"/>
            <w:shd w:val="clear" w:color="000000" w:fill="F2F2F2"/>
            <w:noWrap/>
            <w:tcMar>
              <w:left w:w="0" w:type="dxa"/>
              <w:right w:w="0" w:type="dxa"/>
            </w:tcMar>
            <w:vAlign w:val="center"/>
            <w:hideMark/>
          </w:tcPr>
          <w:p w14:paraId="5D769C69"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136.747.600</w:t>
            </w:r>
          </w:p>
        </w:tc>
        <w:tc>
          <w:tcPr>
            <w:tcW w:w="1785" w:type="dxa"/>
            <w:tcBorders>
              <w:right w:val="single" w:sz="2" w:space="0" w:color="A6A6A6" w:themeColor="background1" w:themeShade="A6"/>
            </w:tcBorders>
            <w:shd w:val="clear" w:color="000000" w:fill="F2F2F2"/>
            <w:noWrap/>
            <w:tcMar>
              <w:left w:w="0" w:type="dxa"/>
              <w:right w:w="0" w:type="dxa"/>
            </w:tcMar>
            <w:vAlign w:val="center"/>
            <w:hideMark/>
          </w:tcPr>
          <w:p w14:paraId="2A5B4894"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DC27A9" w:rsidRPr="00F14A00" w14:paraId="5B674772" w14:textId="77777777" w:rsidTr="007E40D2">
        <w:trPr>
          <w:cantSplit/>
          <w:jc w:val="center"/>
        </w:trPr>
        <w:tc>
          <w:tcPr>
            <w:tcW w:w="3192" w:type="dxa"/>
            <w:tcBorders>
              <w:left w:val="single" w:sz="2" w:space="0" w:color="A6A6A6" w:themeColor="background1" w:themeShade="A6"/>
            </w:tcBorders>
            <w:tcMar>
              <w:left w:w="0" w:type="dxa"/>
              <w:right w:w="0" w:type="dxa"/>
            </w:tcMar>
            <w:vAlign w:val="center"/>
            <w:hideMark/>
          </w:tcPr>
          <w:p w14:paraId="066ACE1E" w14:textId="67C51E36"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Ελληνικές Αλυκές ΑΕ</w:t>
            </w:r>
          </w:p>
        </w:tc>
        <w:tc>
          <w:tcPr>
            <w:tcW w:w="1819" w:type="dxa"/>
            <w:noWrap/>
            <w:tcMar>
              <w:left w:w="0" w:type="dxa"/>
              <w:right w:w="0" w:type="dxa"/>
            </w:tcMar>
            <w:vAlign w:val="center"/>
            <w:hideMark/>
          </w:tcPr>
          <w:p w14:paraId="4A71F75D"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6.966.167</w:t>
            </w:r>
          </w:p>
        </w:tc>
        <w:tc>
          <w:tcPr>
            <w:tcW w:w="2268" w:type="dxa"/>
            <w:noWrap/>
            <w:tcMar>
              <w:left w:w="0" w:type="dxa"/>
              <w:right w:w="0" w:type="dxa"/>
            </w:tcMar>
            <w:vAlign w:val="center"/>
            <w:hideMark/>
          </w:tcPr>
          <w:p w14:paraId="112B99E8"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5.572.933</w:t>
            </w:r>
          </w:p>
        </w:tc>
        <w:tc>
          <w:tcPr>
            <w:tcW w:w="1785" w:type="dxa"/>
            <w:tcBorders>
              <w:right w:val="single" w:sz="2" w:space="0" w:color="A6A6A6" w:themeColor="background1" w:themeShade="A6"/>
            </w:tcBorders>
            <w:noWrap/>
            <w:tcMar>
              <w:left w:w="0" w:type="dxa"/>
              <w:right w:w="0" w:type="dxa"/>
            </w:tcMar>
            <w:vAlign w:val="center"/>
            <w:hideMark/>
          </w:tcPr>
          <w:p w14:paraId="50BC1B11"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80</w:t>
            </w:r>
          </w:p>
        </w:tc>
      </w:tr>
      <w:tr w:rsidR="009C3B7B" w:rsidRPr="00F14A00" w14:paraId="65D344B1" w14:textId="77777777" w:rsidTr="007E40D2">
        <w:trPr>
          <w:cantSplit/>
          <w:jc w:val="center"/>
        </w:trPr>
        <w:tc>
          <w:tcPr>
            <w:tcW w:w="3192" w:type="dxa"/>
            <w:tcBorders>
              <w:left w:val="single" w:sz="2" w:space="0" w:color="A6A6A6" w:themeColor="background1" w:themeShade="A6"/>
            </w:tcBorders>
            <w:shd w:val="clear" w:color="000000" w:fill="F2F2F2"/>
            <w:tcMar>
              <w:left w:w="0" w:type="dxa"/>
              <w:right w:w="0" w:type="dxa"/>
            </w:tcMar>
            <w:vAlign w:val="center"/>
            <w:hideMark/>
          </w:tcPr>
          <w:p w14:paraId="242CCC50" w14:textId="7521BEDB"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ΓΑΙΑΟΣΕ ΑΕ</w:t>
            </w:r>
          </w:p>
        </w:tc>
        <w:tc>
          <w:tcPr>
            <w:tcW w:w="1819" w:type="dxa"/>
            <w:shd w:val="clear" w:color="000000" w:fill="F2F2F2"/>
            <w:noWrap/>
            <w:tcMar>
              <w:left w:w="0" w:type="dxa"/>
              <w:right w:w="0" w:type="dxa"/>
            </w:tcMar>
            <w:vAlign w:val="center"/>
            <w:hideMark/>
          </w:tcPr>
          <w:p w14:paraId="65A6E21E"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42.149.200</w:t>
            </w:r>
          </w:p>
        </w:tc>
        <w:tc>
          <w:tcPr>
            <w:tcW w:w="2268" w:type="dxa"/>
            <w:shd w:val="clear" w:color="000000" w:fill="F2F2F2"/>
            <w:noWrap/>
            <w:tcMar>
              <w:left w:w="0" w:type="dxa"/>
              <w:right w:w="0" w:type="dxa"/>
            </w:tcMar>
            <w:vAlign w:val="center"/>
            <w:hideMark/>
          </w:tcPr>
          <w:p w14:paraId="4E3D768F"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42.149.200</w:t>
            </w:r>
          </w:p>
        </w:tc>
        <w:tc>
          <w:tcPr>
            <w:tcW w:w="1785" w:type="dxa"/>
            <w:tcBorders>
              <w:right w:val="single" w:sz="2" w:space="0" w:color="A6A6A6" w:themeColor="background1" w:themeShade="A6"/>
            </w:tcBorders>
            <w:shd w:val="clear" w:color="000000" w:fill="F2F2F2"/>
            <w:noWrap/>
            <w:tcMar>
              <w:left w:w="0" w:type="dxa"/>
              <w:right w:w="0" w:type="dxa"/>
            </w:tcMar>
            <w:vAlign w:val="center"/>
            <w:hideMark/>
          </w:tcPr>
          <w:p w14:paraId="26FA27BD"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DC27A9" w:rsidRPr="00F14A00" w14:paraId="2F9210A4" w14:textId="77777777" w:rsidTr="007E40D2">
        <w:trPr>
          <w:cantSplit/>
          <w:jc w:val="center"/>
        </w:trPr>
        <w:tc>
          <w:tcPr>
            <w:tcW w:w="3192" w:type="dxa"/>
            <w:tcBorders>
              <w:left w:val="single" w:sz="2" w:space="0" w:color="A6A6A6" w:themeColor="background1" w:themeShade="A6"/>
            </w:tcBorders>
            <w:tcMar>
              <w:left w:w="0" w:type="dxa"/>
              <w:right w:w="0" w:type="dxa"/>
            </w:tcMar>
            <w:vAlign w:val="center"/>
            <w:hideMark/>
          </w:tcPr>
          <w:p w14:paraId="74FF1BA1" w14:textId="69DB6E1F"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ΕΤΒΑ Βιομηχανικές Περιοχές ΑΕ</w:t>
            </w:r>
          </w:p>
        </w:tc>
        <w:tc>
          <w:tcPr>
            <w:tcW w:w="1819" w:type="dxa"/>
            <w:noWrap/>
            <w:tcMar>
              <w:left w:w="0" w:type="dxa"/>
              <w:right w:w="0" w:type="dxa"/>
            </w:tcMar>
            <w:vAlign w:val="center"/>
            <w:hideMark/>
          </w:tcPr>
          <w:p w14:paraId="79D3EDD0"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191.155.200</w:t>
            </w:r>
          </w:p>
        </w:tc>
        <w:tc>
          <w:tcPr>
            <w:tcW w:w="2268" w:type="dxa"/>
            <w:noWrap/>
            <w:tcMar>
              <w:left w:w="0" w:type="dxa"/>
              <w:right w:w="0" w:type="dxa"/>
            </w:tcMar>
            <w:vAlign w:val="center"/>
            <w:hideMark/>
          </w:tcPr>
          <w:p w14:paraId="52574E5B"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66.904.320</w:t>
            </w:r>
          </w:p>
        </w:tc>
        <w:tc>
          <w:tcPr>
            <w:tcW w:w="1785" w:type="dxa"/>
            <w:tcBorders>
              <w:right w:val="single" w:sz="2" w:space="0" w:color="A6A6A6" w:themeColor="background1" w:themeShade="A6"/>
            </w:tcBorders>
            <w:noWrap/>
            <w:tcMar>
              <w:left w:w="0" w:type="dxa"/>
              <w:right w:w="0" w:type="dxa"/>
            </w:tcMar>
            <w:vAlign w:val="center"/>
            <w:hideMark/>
          </w:tcPr>
          <w:p w14:paraId="7A65D465"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35</w:t>
            </w:r>
          </w:p>
        </w:tc>
      </w:tr>
      <w:tr w:rsidR="009C3B7B" w:rsidRPr="00F14A00" w14:paraId="5F7E3288" w14:textId="77777777" w:rsidTr="007E40D2">
        <w:trPr>
          <w:cantSplit/>
          <w:jc w:val="center"/>
        </w:trPr>
        <w:tc>
          <w:tcPr>
            <w:tcW w:w="3192" w:type="dxa"/>
            <w:tcBorders>
              <w:left w:val="single" w:sz="2" w:space="0" w:color="A6A6A6" w:themeColor="background1" w:themeShade="A6"/>
            </w:tcBorders>
            <w:shd w:val="clear" w:color="000000" w:fill="F2F2F2"/>
            <w:tcMar>
              <w:left w:w="0" w:type="dxa"/>
              <w:right w:w="0" w:type="dxa"/>
            </w:tcMar>
            <w:vAlign w:val="center"/>
            <w:hideMark/>
          </w:tcPr>
          <w:p w14:paraId="1195376D" w14:textId="3A4386EB"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Συμμετοχές 5G ΑΕ</w:t>
            </w:r>
          </w:p>
        </w:tc>
        <w:tc>
          <w:tcPr>
            <w:tcW w:w="1819" w:type="dxa"/>
            <w:shd w:val="clear" w:color="000000" w:fill="F2F2F2"/>
            <w:noWrap/>
            <w:tcMar>
              <w:left w:w="0" w:type="dxa"/>
              <w:right w:w="0" w:type="dxa"/>
            </w:tcMar>
            <w:vAlign w:val="center"/>
            <w:hideMark/>
          </w:tcPr>
          <w:p w14:paraId="247C0DE4"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100.000</w:t>
            </w:r>
          </w:p>
        </w:tc>
        <w:tc>
          <w:tcPr>
            <w:tcW w:w="2268" w:type="dxa"/>
            <w:shd w:val="clear" w:color="000000" w:fill="F2F2F2"/>
            <w:noWrap/>
            <w:tcMar>
              <w:left w:w="0" w:type="dxa"/>
              <w:right w:w="0" w:type="dxa"/>
            </w:tcMar>
            <w:vAlign w:val="center"/>
            <w:hideMark/>
          </w:tcPr>
          <w:p w14:paraId="462DADA2"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100.000</w:t>
            </w:r>
          </w:p>
        </w:tc>
        <w:tc>
          <w:tcPr>
            <w:tcW w:w="1785" w:type="dxa"/>
            <w:tcBorders>
              <w:right w:val="single" w:sz="2" w:space="0" w:color="A6A6A6" w:themeColor="background1" w:themeShade="A6"/>
            </w:tcBorders>
            <w:shd w:val="clear" w:color="000000" w:fill="F2F2F2"/>
            <w:noWrap/>
            <w:tcMar>
              <w:left w:w="0" w:type="dxa"/>
              <w:right w:w="0" w:type="dxa"/>
            </w:tcMar>
            <w:vAlign w:val="center"/>
            <w:hideMark/>
          </w:tcPr>
          <w:p w14:paraId="616AF678"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100</w:t>
            </w:r>
          </w:p>
        </w:tc>
      </w:tr>
      <w:tr w:rsidR="00DC27A9" w:rsidRPr="00F14A00" w14:paraId="329DF3E4" w14:textId="77777777" w:rsidTr="007E40D2">
        <w:trPr>
          <w:cantSplit/>
          <w:jc w:val="center"/>
        </w:trPr>
        <w:tc>
          <w:tcPr>
            <w:tcW w:w="3192" w:type="dxa"/>
            <w:tcBorders>
              <w:left w:val="single" w:sz="2" w:space="0" w:color="A6A6A6" w:themeColor="background1" w:themeShade="A6"/>
            </w:tcBorders>
            <w:tcMar>
              <w:left w:w="0" w:type="dxa"/>
              <w:right w:w="0" w:type="dxa"/>
            </w:tcMar>
            <w:vAlign w:val="center"/>
            <w:hideMark/>
          </w:tcPr>
          <w:p w14:paraId="07657C8D" w14:textId="54C4E844"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 xml:space="preserve">Ελληνικό Κέντρο </w:t>
            </w:r>
            <w:r w:rsidR="00A67E6E">
              <w:rPr>
                <w:rFonts w:cs="Arial"/>
                <w:color w:val="000000"/>
                <w:sz w:val="16"/>
                <w:szCs w:val="16"/>
                <w:lang w:eastAsia="en-GB"/>
              </w:rPr>
              <w:t xml:space="preserve">Αμυντικής </w:t>
            </w:r>
            <w:r w:rsidRPr="00F14A00">
              <w:rPr>
                <w:rFonts w:cs="Arial"/>
                <w:color w:val="000000"/>
                <w:sz w:val="16"/>
                <w:szCs w:val="16"/>
                <w:lang w:eastAsia="en-GB"/>
              </w:rPr>
              <w:t>Καινοτομίας (ΕΛΚΑΚ)</w:t>
            </w:r>
            <w:r w:rsidR="009C3B7B">
              <w:rPr>
                <w:rFonts w:cs="Arial"/>
                <w:color w:val="000000"/>
                <w:sz w:val="16"/>
                <w:szCs w:val="16"/>
                <w:lang w:eastAsia="en-GB"/>
              </w:rPr>
              <w:t xml:space="preserve"> </w:t>
            </w:r>
            <w:r w:rsidR="009C3B7B" w:rsidRPr="00F14A00">
              <w:rPr>
                <w:rFonts w:cs="Arial"/>
                <w:color w:val="000000"/>
                <w:sz w:val="16"/>
                <w:szCs w:val="16"/>
                <w:lang w:eastAsia="en-GB"/>
              </w:rPr>
              <w:t>ΑΕ</w:t>
            </w:r>
          </w:p>
        </w:tc>
        <w:tc>
          <w:tcPr>
            <w:tcW w:w="1819" w:type="dxa"/>
            <w:noWrap/>
            <w:tcMar>
              <w:left w:w="0" w:type="dxa"/>
              <w:right w:w="0" w:type="dxa"/>
            </w:tcMar>
            <w:vAlign w:val="center"/>
            <w:hideMark/>
          </w:tcPr>
          <w:p w14:paraId="5B67EB56"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1.500.000</w:t>
            </w:r>
          </w:p>
        </w:tc>
        <w:tc>
          <w:tcPr>
            <w:tcW w:w="2268" w:type="dxa"/>
            <w:noWrap/>
            <w:tcMar>
              <w:left w:w="0" w:type="dxa"/>
              <w:right w:w="0" w:type="dxa"/>
            </w:tcMar>
            <w:vAlign w:val="center"/>
            <w:hideMark/>
          </w:tcPr>
          <w:p w14:paraId="3CBC3256"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495.000</w:t>
            </w:r>
          </w:p>
        </w:tc>
        <w:tc>
          <w:tcPr>
            <w:tcW w:w="1785" w:type="dxa"/>
            <w:tcBorders>
              <w:right w:val="single" w:sz="2" w:space="0" w:color="A6A6A6" w:themeColor="background1" w:themeShade="A6"/>
            </w:tcBorders>
            <w:noWrap/>
            <w:tcMar>
              <w:left w:w="0" w:type="dxa"/>
              <w:right w:w="0" w:type="dxa"/>
            </w:tcMar>
            <w:vAlign w:val="center"/>
            <w:hideMark/>
          </w:tcPr>
          <w:p w14:paraId="1AE3DCE5"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33</w:t>
            </w:r>
          </w:p>
        </w:tc>
      </w:tr>
      <w:tr w:rsidR="009C3B7B" w:rsidRPr="00F14A00" w14:paraId="5EB8944A" w14:textId="77777777" w:rsidTr="007E40D2">
        <w:trPr>
          <w:cantSplit/>
          <w:jc w:val="center"/>
        </w:trPr>
        <w:tc>
          <w:tcPr>
            <w:tcW w:w="3192" w:type="dxa"/>
            <w:tcBorders>
              <w:left w:val="single" w:sz="2" w:space="0" w:color="A6A6A6" w:themeColor="background1" w:themeShade="A6"/>
              <w:bottom w:val="single" w:sz="2" w:space="0" w:color="A6A6A6" w:themeColor="background1" w:themeShade="A6"/>
            </w:tcBorders>
            <w:shd w:val="clear" w:color="000000" w:fill="F2F2F2"/>
            <w:tcMar>
              <w:left w:w="0" w:type="dxa"/>
              <w:right w:w="0" w:type="dxa"/>
            </w:tcMar>
            <w:vAlign w:val="center"/>
            <w:hideMark/>
          </w:tcPr>
          <w:p w14:paraId="70A23C3B" w14:textId="5F3515AF" w:rsidR="00F14A00" w:rsidRPr="00F14A00" w:rsidRDefault="00F14A00" w:rsidP="005143DA">
            <w:pPr>
              <w:spacing w:after="0" w:line="276" w:lineRule="auto"/>
              <w:jc w:val="left"/>
              <w:rPr>
                <w:rFonts w:cs="Arial"/>
                <w:color w:val="000000"/>
                <w:sz w:val="16"/>
                <w:szCs w:val="16"/>
                <w:lang w:eastAsia="en-GB"/>
              </w:rPr>
            </w:pPr>
            <w:r w:rsidRPr="00F14A00">
              <w:rPr>
                <w:rFonts w:cs="Arial"/>
                <w:color w:val="000000"/>
                <w:sz w:val="16"/>
                <w:szCs w:val="16"/>
                <w:lang w:eastAsia="en-GB"/>
              </w:rPr>
              <w:t>Folli Follie ΑΕ</w:t>
            </w:r>
          </w:p>
        </w:tc>
        <w:tc>
          <w:tcPr>
            <w:tcW w:w="1819" w:type="dxa"/>
            <w:tcBorders>
              <w:bottom w:val="single" w:sz="2" w:space="0" w:color="A6A6A6" w:themeColor="background1" w:themeShade="A6"/>
            </w:tcBorders>
            <w:shd w:val="clear" w:color="000000" w:fill="F2F2F2"/>
            <w:noWrap/>
            <w:tcMar>
              <w:left w:w="0" w:type="dxa"/>
              <w:right w:w="0" w:type="dxa"/>
            </w:tcMar>
            <w:vAlign w:val="center"/>
            <w:hideMark/>
          </w:tcPr>
          <w:p w14:paraId="1AED8B70"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66.948.210</w:t>
            </w:r>
          </w:p>
        </w:tc>
        <w:tc>
          <w:tcPr>
            <w:tcW w:w="2268" w:type="dxa"/>
            <w:tcBorders>
              <w:bottom w:val="single" w:sz="2" w:space="0" w:color="A6A6A6" w:themeColor="background1" w:themeShade="A6"/>
            </w:tcBorders>
            <w:shd w:val="clear" w:color="000000" w:fill="F2F2F2"/>
            <w:noWrap/>
            <w:tcMar>
              <w:left w:w="0" w:type="dxa"/>
              <w:right w:w="0" w:type="dxa"/>
            </w:tcMar>
            <w:vAlign w:val="center"/>
            <w:hideMark/>
          </w:tcPr>
          <w:p w14:paraId="260AFFA9"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643.887</w:t>
            </w:r>
          </w:p>
        </w:tc>
        <w:tc>
          <w:tcPr>
            <w:tcW w:w="1785" w:type="dxa"/>
            <w:tcBorders>
              <w:bottom w:val="single" w:sz="2" w:space="0" w:color="A6A6A6" w:themeColor="background1" w:themeShade="A6"/>
              <w:right w:val="single" w:sz="2" w:space="0" w:color="A6A6A6" w:themeColor="background1" w:themeShade="A6"/>
            </w:tcBorders>
            <w:shd w:val="clear" w:color="000000" w:fill="F2F2F2"/>
            <w:noWrap/>
            <w:tcMar>
              <w:left w:w="0" w:type="dxa"/>
              <w:right w:w="0" w:type="dxa"/>
            </w:tcMar>
            <w:vAlign w:val="center"/>
            <w:hideMark/>
          </w:tcPr>
          <w:p w14:paraId="0EFEC42C" w14:textId="77777777" w:rsidR="00F14A00" w:rsidRPr="00F14A00" w:rsidRDefault="00F14A00" w:rsidP="00307043">
            <w:pPr>
              <w:spacing w:after="0" w:line="276" w:lineRule="auto"/>
              <w:jc w:val="right"/>
              <w:rPr>
                <w:rFonts w:cs="Arial"/>
                <w:color w:val="000000"/>
                <w:sz w:val="16"/>
                <w:szCs w:val="16"/>
                <w:lang w:eastAsia="en-GB"/>
              </w:rPr>
            </w:pPr>
            <w:r w:rsidRPr="00F14A00">
              <w:rPr>
                <w:rFonts w:cs="Arial"/>
                <w:color w:val="000000"/>
                <w:sz w:val="16"/>
                <w:szCs w:val="16"/>
                <w:lang w:eastAsia="en-GB"/>
              </w:rPr>
              <w:t>0,96</w:t>
            </w:r>
          </w:p>
        </w:tc>
      </w:tr>
      <w:tr w:rsidR="009C3B7B" w:rsidRPr="009C3B7B" w14:paraId="7B61E054" w14:textId="77777777" w:rsidTr="00B47EF3">
        <w:trPr>
          <w:cantSplit/>
          <w:jc w:val="center"/>
        </w:trPr>
        <w:tc>
          <w:tcPr>
            <w:tcW w:w="9064" w:type="dxa"/>
            <w:gridSpan w:val="4"/>
            <w:tcBorders>
              <w:top w:val="single" w:sz="2" w:space="0" w:color="A6A6A6" w:themeColor="background1" w:themeShade="A6"/>
            </w:tcBorders>
            <w:shd w:val="clear" w:color="auto" w:fill="auto"/>
            <w:tcMar>
              <w:left w:w="0" w:type="dxa"/>
              <w:right w:w="0" w:type="dxa"/>
            </w:tcMar>
            <w:vAlign w:val="center"/>
          </w:tcPr>
          <w:p w14:paraId="2EB81AAC" w14:textId="77777777" w:rsidR="009C3B7B" w:rsidRPr="009C3B7B" w:rsidRDefault="009C3B7B" w:rsidP="00DC27A9">
            <w:pPr>
              <w:spacing w:before="60" w:after="0" w:line="276" w:lineRule="auto"/>
              <w:ind w:left="142" w:hanging="142"/>
              <w:rPr>
                <w:sz w:val="16"/>
                <w:szCs w:val="16"/>
              </w:rPr>
            </w:pPr>
            <w:r w:rsidRPr="009C3B7B">
              <w:rPr>
                <w:sz w:val="16"/>
                <w:szCs w:val="16"/>
              </w:rPr>
              <w:t>Σημειώσεις:</w:t>
            </w:r>
          </w:p>
          <w:p w14:paraId="67E412EC" w14:textId="73B62C5E" w:rsidR="009C3B7B" w:rsidRPr="009C3B7B" w:rsidRDefault="009C3B7B" w:rsidP="00F151DE">
            <w:pPr>
              <w:tabs>
                <w:tab w:val="left" w:pos="227"/>
              </w:tabs>
              <w:spacing w:before="60" w:after="0" w:line="276" w:lineRule="auto"/>
              <w:ind w:left="227" w:hanging="227"/>
              <w:rPr>
                <w:sz w:val="16"/>
                <w:szCs w:val="16"/>
              </w:rPr>
            </w:pPr>
            <w:r w:rsidRPr="009C3B7B">
              <w:rPr>
                <w:sz w:val="16"/>
                <w:szCs w:val="16"/>
              </w:rPr>
              <w:t>1.</w:t>
            </w:r>
            <w:r w:rsidR="00D67890">
              <w:rPr>
                <w:sz w:val="16"/>
                <w:szCs w:val="16"/>
              </w:rPr>
              <w:tab/>
            </w:r>
            <w:r w:rsidRPr="009C3B7B">
              <w:rPr>
                <w:sz w:val="16"/>
                <w:szCs w:val="16"/>
              </w:rPr>
              <w:t>Την 31</w:t>
            </w:r>
            <w:r w:rsidR="00DC27A9">
              <w:rPr>
                <w:sz w:val="16"/>
                <w:szCs w:val="16"/>
              </w:rPr>
              <w:t>η</w:t>
            </w:r>
            <w:r w:rsidR="009E38B2">
              <w:rPr>
                <w:sz w:val="16"/>
                <w:szCs w:val="16"/>
              </w:rPr>
              <w:t>.12.</w:t>
            </w:r>
            <w:r w:rsidRPr="009C3B7B">
              <w:rPr>
                <w:sz w:val="16"/>
                <w:szCs w:val="16"/>
              </w:rPr>
              <w:t xml:space="preserve">2024, βάσει του άρθρου 5 του </w:t>
            </w:r>
            <w:r w:rsidR="00DC27A9">
              <w:rPr>
                <w:sz w:val="16"/>
                <w:szCs w:val="16"/>
              </w:rPr>
              <w:t>ν</w:t>
            </w:r>
            <w:r w:rsidRPr="009C3B7B">
              <w:rPr>
                <w:sz w:val="16"/>
                <w:szCs w:val="16"/>
              </w:rPr>
              <w:t xml:space="preserve">.5131/2024, </w:t>
            </w:r>
            <w:r w:rsidR="009E38B2">
              <w:rPr>
                <w:sz w:val="16"/>
                <w:szCs w:val="16"/>
              </w:rPr>
              <w:t>η ΕΕΣΥΠ</w:t>
            </w:r>
            <w:r w:rsidRPr="009C3B7B">
              <w:rPr>
                <w:sz w:val="16"/>
                <w:szCs w:val="16"/>
              </w:rPr>
              <w:t xml:space="preserve"> απορρόφησε το ΤΑΙΠΕΔ και ενσωμάτωσε το ΤΧΣ, με αποτέλεσμα οι συγκεκριμένες εταιρείες να μην εμφανίζονται πλέον στο ανωτέρω χαρτοφυλάκιο</w:t>
            </w:r>
            <w:r w:rsidR="007044C1">
              <w:rPr>
                <w:sz w:val="16"/>
                <w:szCs w:val="16"/>
              </w:rPr>
              <w:t>.</w:t>
            </w:r>
          </w:p>
          <w:p w14:paraId="33B6CACA" w14:textId="33D09F55" w:rsidR="009C3B7B" w:rsidRPr="009C3B7B" w:rsidRDefault="009C3B7B" w:rsidP="003D4511">
            <w:pPr>
              <w:tabs>
                <w:tab w:val="left" w:pos="227"/>
              </w:tabs>
              <w:spacing w:before="60" w:after="0" w:line="276" w:lineRule="auto"/>
              <w:ind w:left="227" w:hanging="227"/>
              <w:rPr>
                <w:sz w:val="16"/>
                <w:szCs w:val="16"/>
              </w:rPr>
            </w:pPr>
            <w:r w:rsidRPr="009C3B7B">
              <w:rPr>
                <w:sz w:val="16"/>
                <w:szCs w:val="16"/>
              </w:rPr>
              <w:t>2.</w:t>
            </w:r>
            <w:r w:rsidR="00D67890">
              <w:rPr>
                <w:sz w:val="16"/>
                <w:szCs w:val="16"/>
              </w:rPr>
              <w:tab/>
            </w:r>
            <w:r w:rsidRPr="009C3B7B">
              <w:rPr>
                <w:sz w:val="16"/>
                <w:szCs w:val="16"/>
              </w:rPr>
              <w:t xml:space="preserve">Στον ανωτέρω πίνακα περιλαμβάνονται και οι συμμετοχές του πρώην ΤΧΣ, ενώ οι συμμετοχές του πρώην ΤΑΙΠΕΔ </w:t>
            </w:r>
            <w:r w:rsidRPr="00AE64F9">
              <w:rPr>
                <w:sz w:val="16"/>
                <w:szCs w:val="16"/>
              </w:rPr>
              <w:t xml:space="preserve">περιλαμβάνονται </w:t>
            </w:r>
            <w:r w:rsidR="00B47EF3" w:rsidRPr="00AE64F9">
              <w:rPr>
                <w:sz w:val="16"/>
              </w:rPr>
              <w:t>παρακάτω (</w:t>
            </w:r>
            <w:r w:rsidR="00B47EF3" w:rsidRPr="00AE64F9">
              <w:rPr>
                <w:sz w:val="16"/>
              </w:rPr>
              <w:fldChar w:fldCharType="begin"/>
            </w:r>
            <w:r w:rsidR="00B47EF3" w:rsidRPr="00AE64F9">
              <w:rPr>
                <w:sz w:val="16"/>
              </w:rPr>
              <w:instrText xml:space="preserve"> REF _Ref213510011 \h  \* MERGEFORMAT </w:instrText>
            </w:r>
            <w:r w:rsidR="00B47EF3" w:rsidRPr="00AE64F9">
              <w:rPr>
                <w:sz w:val="16"/>
              </w:rPr>
            </w:r>
            <w:r w:rsidR="00B47EF3" w:rsidRPr="00AE64F9">
              <w:rPr>
                <w:sz w:val="16"/>
              </w:rPr>
              <w:fldChar w:fldCharType="separate"/>
            </w:r>
            <w:r w:rsidR="00E15678" w:rsidRPr="00E15678">
              <w:rPr>
                <w:sz w:val="16"/>
              </w:rPr>
              <w:t>Πίνακας 5.8</w:t>
            </w:r>
            <w:r w:rsidR="00B47EF3" w:rsidRPr="00AE64F9">
              <w:rPr>
                <w:sz w:val="16"/>
              </w:rPr>
              <w:fldChar w:fldCharType="end"/>
            </w:r>
            <w:r w:rsidRPr="00AE64F9">
              <w:rPr>
                <w:sz w:val="16"/>
              </w:rPr>
              <w:t>.</w:t>
            </w:r>
            <w:r w:rsidR="00B47EF3" w:rsidRPr="00AE64F9">
              <w:rPr>
                <w:sz w:val="16"/>
              </w:rPr>
              <w:t>).</w:t>
            </w:r>
          </w:p>
          <w:p w14:paraId="3EAC4B10" w14:textId="52AFFF35" w:rsidR="009C3B7B" w:rsidRDefault="009C3B7B" w:rsidP="003D4511">
            <w:pPr>
              <w:tabs>
                <w:tab w:val="left" w:pos="227"/>
              </w:tabs>
              <w:spacing w:before="60" w:after="0" w:line="276" w:lineRule="auto"/>
              <w:ind w:left="227" w:hanging="227"/>
              <w:rPr>
                <w:sz w:val="16"/>
                <w:szCs w:val="16"/>
              </w:rPr>
            </w:pPr>
            <w:r w:rsidRPr="009C3B7B">
              <w:rPr>
                <w:sz w:val="16"/>
                <w:szCs w:val="16"/>
              </w:rPr>
              <w:t>3.</w:t>
            </w:r>
            <w:r w:rsidR="00D67890">
              <w:rPr>
                <w:sz w:val="16"/>
                <w:szCs w:val="16"/>
              </w:rPr>
              <w:tab/>
            </w:r>
            <w:r w:rsidRPr="009C3B7B">
              <w:rPr>
                <w:sz w:val="16"/>
                <w:szCs w:val="16"/>
              </w:rPr>
              <w:t>Την 10</w:t>
            </w:r>
            <w:r w:rsidRPr="00DC27A9">
              <w:rPr>
                <w:sz w:val="16"/>
                <w:szCs w:val="16"/>
              </w:rPr>
              <w:t>η</w:t>
            </w:r>
            <w:r w:rsidR="007044C1">
              <w:rPr>
                <w:sz w:val="16"/>
                <w:szCs w:val="16"/>
              </w:rPr>
              <w:t>.7.</w:t>
            </w:r>
            <w:r w:rsidRPr="009C3B7B">
              <w:rPr>
                <w:sz w:val="16"/>
                <w:szCs w:val="16"/>
              </w:rPr>
              <w:t xml:space="preserve">2025 έλαβε νομική υπόσταση το Ελληνικό Ταμείο Καινοτομίας </w:t>
            </w:r>
            <w:r w:rsidR="00DC27A9">
              <w:rPr>
                <w:sz w:val="16"/>
                <w:szCs w:val="16"/>
              </w:rPr>
              <w:t>και</w:t>
            </w:r>
            <w:r w:rsidRPr="009C3B7B">
              <w:rPr>
                <w:sz w:val="16"/>
                <w:szCs w:val="16"/>
              </w:rPr>
              <w:t xml:space="preserve"> Υποδομών (HIIF), 100% άμεση θυγατρική εταιρεία τ</w:t>
            </w:r>
            <w:r w:rsidR="007044C1">
              <w:rPr>
                <w:sz w:val="16"/>
                <w:szCs w:val="16"/>
              </w:rPr>
              <w:t>ης</w:t>
            </w:r>
            <w:r w:rsidRPr="009C3B7B">
              <w:rPr>
                <w:sz w:val="16"/>
                <w:szCs w:val="16"/>
              </w:rPr>
              <w:t xml:space="preserve"> </w:t>
            </w:r>
            <w:r w:rsidR="007044C1">
              <w:rPr>
                <w:sz w:val="16"/>
                <w:szCs w:val="16"/>
              </w:rPr>
              <w:t>ΕΕΣΥΠ,</w:t>
            </w:r>
            <w:r w:rsidR="007044C1" w:rsidRPr="009C3B7B">
              <w:rPr>
                <w:sz w:val="16"/>
                <w:szCs w:val="16"/>
              </w:rPr>
              <w:t xml:space="preserve"> </w:t>
            </w:r>
            <w:r w:rsidRPr="009C3B7B">
              <w:rPr>
                <w:sz w:val="16"/>
                <w:szCs w:val="16"/>
              </w:rPr>
              <w:t>το</w:t>
            </w:r>
            <w:r w:rsidR="007044C1">
              <w:rPr>
                <w:sz w:val="16"/>
                <w:szCs w:val="16"/>
              </w:rPr>
              <w:t xml:space="preserve"> </w:t>
            </w:r>
            <w:r w:rsidRPr="009C3B7B">
              <w:rPr>
                <w:sz w:val="16"/>
                <w:szCs w:val="16"/>
              </w:rPr>
              <w:t xml:space="preserve">μετοχικό κεφάλαιο </w:t>
            </w:r>
            <w:r w:rsidR="007044C1">
              <w:rPr>
                <w:sz w:val="16"/>
                <w:szCs w:val="16"/>
              </w:rPr>
              <w:t xml:space="preserve">του οποίου </w:t>
            </w:r>
            <w:r w:rsidRPr="009C3B7B">
              <w:rPr>
                <w:sz w:val="16"/>
                <w:szCs w:val="16"/>
              </w:rPr>
              <w:t xml:space="preserve">ανήλθε </w:t>
            </w:r>
            <w:r w:rsidR="003D4511">
              <w:rPr>
                <w:sz w:val="16"/>
                <w:szCs w:val="16"/>
              </w:rPr>
              <w:t xml:space="preserve">στο ποσό των </w:t>
            </w:r>
            <w:r w:rsidRPr="009C3B7B">
              <w:rPr>
                <w:sz w:val="16"/>
                <w:szCs w:val="16"/>
              </w:rPr>
              <w:t>303,5 εκατ.</w:t>
            </w:r>
            <w:r w:rsidR="00DC27A9">
              <w:rPr>
                <w:sz w:val="16"/>
                <w:szCs w:val="16"/>
              </w:rPr>
              <w:t xml:space="preserve"> ευρώ</w:t>
            </w:r>
            <w:r w:rsidR="003D4511">
              <w:rPr>
                <w:sz w:val="16"/>
                <w:szCs w:val="16"/>
              </w:rPr>
              <w:t xml:space="preserve">, το οποίο </w:t>
            </w:r>
            <w:r w:rsidRPr="009C3B7B">
              <w:rPr>
                <w:sz w:val="16"/>
                <w:szCs w:val="16"/>
              </w:rPr>
              <w:t xml:space="preserve">καταβλήθηκε </w:t>
            </w:r>
            <w:r w:rsidR="007044C1">
              <w:rPr>
                <w:sz w:val="16"/>
                <w:szCs w:val="16"/>
              </w:rPr>
              <w:t xml:space="preserve">την </w:t>
            </w:r>
            <w:r w:rsidRPr="009C3B7B">
              <w:rPr>
                <w:sz w:val="16"/>
                <w:szCs w:val="16"/>
              </w:rPr>
              <w:t>01</w:t>
            </w:r>
            <w:r w:rsidR="007044C1">
              <w:rPr>
                <w:sz w:val="16"/>
                <w:szCs w:val="16"/>
              </w:rPr>
              <w:t>η</w:t>
            </w:r>
            <w:r w:rsidRPr="009C3B7B">
              <w:rPr>
                <w:sz w:val="16"/>
                <w:szCs w:val="16"/>
              </w:rPr>
              <w:t>.8.2025.</w:t>
            </w:r>
          </w:p>
          <w:p w14:paraId="4F654701" w14:textId="6D79D1BD" w:rsidR="003A3539" w:rsidRPr="009C3B7B" w:rsidRDefault="003A3539" w:rsidP="003A3539">
            <w:pPr>
              <w:spacing w:before="60" w:after="0" w:line="276" w:lineRule="auto"/>
              <w:ind w:left="142" w:hanging="142"/>
              <w:rPr>
                <w:rFonts w:cs="Arial"/>
                <w:color w:val="000000"/>
                <w:sz w:val="16"/>
                <w:szCs w:val="16"/>
                <w:lang w:eastAsia="en-GB"/>
              </w:rPr>
            </w:pPr>
            <w:r w:rsidRPr="00B86F20">
              <w:rPr>
                <w:rFonts w:cs="Arial"/>
                <w:color w:val="000000"/>
                <w:sz w:val="16"/>
                <w:szCs w:val="16"/>
                <w:lang w:eastAsia="en-GB"/>
              </w:rPr>
              <w:t>Πηγή: ΕΕΣΥΠ</w:t>
            </w:r>
          </w:p>
        </w:tc>
      </w:tr>
    </w:tbl>
    <w:p w14:paraId="1567562D" w14:textId="466ACFCF" w:rsidR="00F4129D" w:rsidRPr="00540913" w:rsidRDefault="00E513CE" w:rsidP="00D570B4">
      <w:pPr>
        <w:pStyle w:val="3"/>
      </w:pPr>
      <w:bookmarkStart w:id="791" w:name="_Toc214473817"/>
      <w:r w:rsidRPr="006258B0">
        <w:t>Ελληνική Εταιρεία Συμμετοχών και Περιουσίας</w:t>
      </w:r>
      <w:r w:rsidR="002C56EA">
        <w:t xml:space="preserve"> - Κλάδος </w:t>
      </w:r>
      <w:r w:rsidR="002C56EA" w:rsidRPr="00540913">
        <w:t xml:space="preserve">πρώην </w:t>
      </w:r>
      <w:r w:rsidR="00F4129D" w:rsidRPr="00540913">
        <w:t>Τ</w:t>
      </w:r>
      <w:r w:rsidR="002C56EA" w:rsidRPr="00540913">
        <w:t>ΑΙΠΕΔ</w:t>
      </w:r>
      <w:bookmarkEnd w:id="791"/>
    </w:p>
    <w:p w14:paraId="1F99B18D" w14:textId="2B64908B" w:rsidR="00EF4F27" w:rsidRDefault="00210433" w:rsidP="00EF4F27">
      <w:r>
        <w:t xml:space="preserve">Σύμφωνα με τον </w:t>
      </w:r>
      <w:r w:rsidR="00EF4F27">
        <w:t>ν.5131/2024</w:t>
      </w:r>
      <w:r>
        <w:t>,</w:t>
      </w:r>
      <w:r w:rsidR="00EF4F27">
        <w:t xml:space="preserve"> η ΕΕΣΥΠ απορροφά</w:t>
      </w:r>
      <w:r w:rsidRPr="00210433">
        <w:t xml:space="preserve"> </w:t>
      </w:r>
      <w:r>
        <w:t>μέχρι την 31η.12.2024</w:t>
      </w:r>
      <w:r w:rsidR="00EF4F27">
        <w:t xml:space="preserve"> το ΤΑΙΠΕΔ, δι</w:t>
      </w:r>
      <w:r w:rsidR="005A5E62">
        <w:t>ά</w:t>
      </w:r>
      <w:r w:rsidR="00EF4F27">
        <w:t xml:space="preserve"> συγχωνεύσεως, υπεισερχόμενη ως καθολικός διάδοχος στην περιουσία, τα δικαιώματα, τις υποχρεώσεις, τις αρμοδιότητες και τις έννομες σχέσεις </w:t>
      </w:r>
      <w:r w:rsidR="00EF4F27" w:rsidRPr="00594631">
        <w:t>αυτού</w:t>
      </w:r>
      <w:r>
        <w:t xml:space="preserve">. </w:t>
      </w:r>
      <w:r w:rsidR="00EF4F27">
        <w:t>Παράλληλα, για την εκπλήρωση του σκοπού του ΤΑΙΠΕΔ εξακολουθεί να εφαρμόζεται ο ν.3986/2011 (Α’ 152), ενώ η ΜΣΣΣ</w:t>
      </w:r>
      <w:r>
        <w:t xml:space="preserve"> </w:t>
      </w:r>
      <w:r w:rsidR="00EF4F27">
        <w:t>διατηρείται εντός της ΕΕΣΥΠ ως διακριτή λειτουργική και λογιστική μονάδα, εφαρμοζόμενου του πλέγματος διατάξεων που διέπουν τη λειτουργία της.</w:t>
      </w:r>
    </w:p>
    <w:p w14:paraId="41B3C5AD" w14:textId="2BCC85C6" w:rsidR="002C56EA" w:rsidRDefault="002C56EA" w:rsidP="002C56EA">
      <w:r w:rsidRPr="00EA196C">
        <w:t>Το πρόγραμμα αξιοποίησης της περιουσίας του Ελληνικού Δημοσίου</w:t>
      </w:r>
      <w:r>
        <w:t xml:space="preserve"> είναι ιδιαίτερα φιλόδοξο</w:t>
      </w:r>
      <w:r w:rsidRPr="00EA196C">
        <w:t>. Ο κύριος στόχος του προγράμματος είναι</w:t>
      </w:r>
      <w:r w:rsidR="00B64757">
        <w:t xml:space="preserve"> η ε</w:t>
      </w:r>
      <w:r w:rsidRPr="00EA196C">
        <w:t>ν</w:t>
      </w:r>
      <w:r w:rsidR="00B64757">
        <w:t xml:space="preserve">ίσχυση </w:t>
      </w:r>
      <w:r w:rsidRPr="00EA196C">
        <w:t>τη</w:t>
      </w:r>
      <w:r w:rsidR="00B64757">
        <w:t>ς</w:t>
      </w:r>
      <w:r w:rsidRPr="00EA196C">
        <w:t xml:space="preserve"> αξία</w:t>
      </w:r>
      <w:r w:rsidR="00B64757">
        <w:t>ς</w:t>
      </w:r>
      <w:r w:rsidRPr="00EA196C">
        <w:t xml:space="preserve"> της δημόσιας περιουσίας</w:t>
      </w:r>
      <w:r w:rsidR="00B64757">
        <w:t xml:space="preserve"> μέσω της </w:t>
      </w:r>
      <w:r w:rsidRPr="00EA196C">
        <w:t>προσέλκυση</w:t>
      </w:r>
      <w:r w:rsidR="00B64757">
        <w:t>ς</w:t>
      </w:r>
      <w:r w:rsidRPr="00EA196C">
        <w:t xml:space="preserve"> σημαντικών διεθνών και εσωτερικών ροών κεφαλαίου</w:t>
      </w:r>
      <w:r w:rsidR="00B64757">
        <w:t xml:space="preserve"> καθώς και η </w:t>
      </w:r>
      <w:r w:rsidRPr="00EA196C">
        <w:t>διασφ</w:t>
      </w:r>
      <w:r w:rsidR="00B64757">
        <w:t xml:space="preserve">άλιση </w:t>
      </w:r>
      <w:r w:rsidRPr="00EA196C">
        <w:t>τη</w:t>
      </w:r>
      <w:r w:rsidR="00B64757">
        <w:t>ς</w:t>
      </w:r>
      <w:r w:rsidRPr="00EA196C">
        <w:t xml:space="preserve"> αξιοποίησ</w:t>
      </w:r>
      <w:r w:rsidR="00B64757">
        <w:t>ής</w:t>
      </w:r>
      <w:r w:rsidRPr="00EA196C">
        <w:t xml:space="preserve"> της </w:t>
      </w:r>
      <w:r w:rsidRPr="00EA196C">
        <w:lastRenderedPageBreak/>
        <w:t>μέσ</w:t>
      </w:r>
      <w:r w:rsidR="00F54CDB">
        <w:t xml:space="preserve">ω της διενέργειας </w:t>
      </w:r>
      <w:r w:rsidRPr="00EA196C">
        <w:t>διαγωνιστικ</w:t>
      </w:r>
      <w:r w:rsidR="00F54CDB">
        <w:t xml:space="preserve">ών </w:t>
      </w:r>
      <w:r w:rsidRPr="00EA196C">
        <w:t>διαδικασ</w:t>
      </w:r>
      <w:r w:rsidR="00F54CDB">
        <w:t>ιών</w:t>
      </w:r>
      <w:r w:rsidRPr="00EA196C">
        <w:t xml:space="preserve"> υψηλών προδιαγραφών και διαφάνειας</w:t>
      </w:r>
      <w:r>
        <w:t>.</w:t>
      </w:r>
      <w:r w:rsidRPr="00EA196C">
        <w:t xml:space="preserve"> </w:t>
      </w:r>
      <w:r w:rsidR="00B00B3D">
        <w:t>Στόχος των επενδύσεων είναι</w:t>
      </w:r>
      <w:r>
        <w:t>:</w:t>
      </w:r>
    </w:p>
    <w:p w14:paraId="28B3603B" w14:textId="4853CAFE" w:rsidR="002C56EA" w:rsidRPr="003A0C6D" w:rsidRDefault="003A0C6D" w:rsidP="003A0C6D">
      <w:pPr>
        <w:tabs>
          <w:tab w:val="left" w:pos="567"/>
        </w:tabs>
        <w:spacing w:before="120" w:after="60"/>
        <w:ind w:left="568" w:hanging="284"/>
      </w:pPr>
      <w:r>
        <w:t>(α)</w:t>
      </w:r>
      <w:r w:rsidR="00FA6328">
        <w:t xml:space="preserve"> </w:t>
      </w:r>
      <w:r w:rsidR="002C56EA" w:rsidRPr="003A0C6D">
        <w:t>ο οικονομικό</w:t>
      </w:r>
      <w:r w:rsidR="00FA6328">
        <w:t>ς</w:t>
      </w:r>
      <w:r w:rsidR="002C56EA" w:rsidRPr="003A0C6D">
        <w:t xml:space="preserve"> εξορθολογισμό</w:t>
      </w:r>
      <w:r w:rsidR="00FA6328">
        <w:t>ς</w:t>
      </w:r>
      <w:r w:rsidR="002C56EA" w:rsidRPr="003A0C6D">
        <w:t xml:space="preserve"> και η δημιουργία αξίας στην ελληνική οικονομία,</w:t>
      </w:r>
    </w:p>
    <w:p w14:paraId="4323CC4A" w14:textId="519F4A77" w:rsidR="003A0C6D" w:rsidRDefault="003A0C6D" w:rsidP="003A0C6D">
      <w:pPr>
        <w:tabs>
          <w:tab w:val="left" w:pos="567"/>
        </w:tabs>
        <w:spacing w:before="60" w:after="60"/>
        <w:ind w:left="568" w:hanging="284"/>
      </w:pPr>
      <w:r>
        <w:t>(β)</w:t>
      </w:r>
      <w:r w:rsidR="00FA6328">
        <w:t xml:space="preserve"> </w:t>
      </w:r>
      <w:r w:rsidR="00F54CDB">
        <w:t xml:space="preserve">η </w:t>
      </w:r>
      <w:r w:rsidR="002C56EA" w:rsidRPr="003A0C6D">
        <w:t>τροφοδ</w:t>
      </w:r>
      <w:r w:rsidR="00F54CDB">
        <w:t>ότηση</w:t>
      </w:r>
      <w:r w:rsidR="002C56EA" w:rsidRPr="003A0C6D">
        <w:t xml:space="preserve"> τη</w:t>
      </w:r>
      <w:r w:rsidR="00F54CDB">
        <w:t>ς</w:t>
      </w:r>
      <w:r w:rsidR="002C56EA" w:rsidRPr="003A0C6D">
        <w:t xml:space="preserve"> βιώσιμη</w:t>
      </w:r>
      <w:r w:rsidR="00F54CDB">
        <w:t>ς</w:t>
      </w:r>
      <w:r w:rsidR="002C56EA" w:rsidRPr="003A0C6D">
        <w:t xml:space="preserve"> και διαρκ</w:t>
      </w:r>
      <w:r w:rsidR="00F54CDB">
        <w:t>ούς</w:t>
      </w:r>
      <w:r w:rsidR="002C56EA" w:rsidRPr="003A0C6D">
        <w:t xml:space="preserve"> οικονομική</w:t>
      </w:r>
      <w:r w:rsidR="00F54CDB">
        <w:t>ς</w:t>
      </w:r>
      <w:r w:rsidR="002C56EA" w:rsidRPr="003A0C6D">
        <w:t xml:space="preserve"> ανάπτυξη</w:t>
      </w:r>
      <w:r w:rsidR="00F54CDB">
        <w:t>ς</w:t>
      </w:r>
      <w:r w:rsidR="002C56EA" w:rsidRPr="003A0C6D">
        <w:t xml:space="preserve"> της </w:t>
      </w:r>
      <w:r>
        <w:t>χ</w:t>
      </w:r>
      <w:r w:rsidR="002C56EA" w:rsidRPr="003A0C6D">
        <w:t>ώρας και</w:t>
      </w:r>
    </w:p>
    <w:p w14:paraId="2A0C7D99" w14:textId="37063B51" w:rsidR="002C56EA" w:rsidRPr="003A0C6D" w:rsidRDefault="003A0C6D" w:rsidP="003A0C6D">
      <w:pPr>
        <w:tabs>
          <w:tab w:val="left" w:pos="567"/>
        </w:tabs>
        <w:spacing w:before="60"/>
        <w:ind w:left="568" w:hanging="284"/>
      </w:pPr>
      <w:r>
        <w:rPr>
          <w:rFonts w:cstheme="minorHAnsi"/>
        </w:rPr>
        <w:t>(γ)</w:t>
      </w:r>
      <w:r w:rsidR="00FA6328">
        <w:rPr>
          <w:rFonts w:cstheme="minorHAnsi"/>
        </w:rPr>
        <w:t xml:space="preserve"> </w:t>
      </w:r>
      <w:r w:rsidR="00F54CDB">
        <w:rPr>
          <w:rFonts w:cstheme="minorHAnsi"/>
        </w:rPr>
        <w:t>η</w:t>
      </w:r>
      <w:r w:rsidR="00AD54B8">
        <w:rPr>
          <w:rFonts w:cstheme="minorHAnsi"/>
        </w:rPr>
        <w:t xml:space="preserve"> αξιοποίηση </w:t>
      </w:r>
      <w:r w:rsidR="008A08E4">
        <w:rPr>
          <w:rFonts w:cstheme="minorHAnsi"/>
        </w:rPr>
        <w:t xml:space="preserve">πόρων </w:t>
      </w:r>
      <w:r w:rsidR="00024ED4">
        <w:rPr>
          <w:rFonts w:cstheme="minorHAnsi"/>
        </w:rPr>
        <w:t>των</w:t>
      </w:r>
      <w:r w:rsidR="002C56EA">
        <w:rPr>
          <w:rFonts w:cstheme="minorHAnsi"/>
        </w:rPr>
        <w:t xml:space="preserve"> λιμενικών υποδομών σε συνεργασία με ιδιώτες επενδυτές</w:t>
      </w:r>
      <w:r w:rsidR="008A08E4">
        <w:rPr>
          <w:rFonts w:cstheme="minorHAnsi"/>
        </w:rPr>
        <w:t xml:space="preserve"> για </w:t>
      </w:r>
      <w:r w:rsidR="00AD54B8">
        <w:rPr>
          <w:rFonts w:cstheme="minorHAnsi"/>
        </w:rPr>
        <w:t>τ</w:t>
      </w:r>
      <w:r w:rsidR="002C56EA">
        <w:rPr>
          <w:rFonts w:cstheme="minorHAnsi"/>
        </w:rPr>
        <w:t xml:space="preserve">ην </w:t>
      </w:r>
      <w:r w:rsidR="002C56EA" w:rsidRPr="00312B15">
        <w:rPr>
          <w:rFonts w:cstheme="minorHAnsi"/>
        </w:rPr>
        <w:t xml:space="preserve">ωρίμανση και </w:t>
      </w:r>
      <w:r w:rsidR="00AD54B8">
        <w:rPr>
          <w:rFonts w:cstheme="minorHAnsi"/>
        </w:rPr>
        <w:t xml:space="preserve">τη </w:t>
      </w:r>
      <w:r w:rsidR="002C56EA" w:rsidRPr="00312B15">
        <w:rPr>
          <w:rFonts w:cstheme="minorHAnsi"/>
        </w:rPr>
        <w:t xml:space="preserve">διενέργεια διαγωνιστικών διαδικασιών </w:t>
      </w:r>
      <w:r w:rsidR="00AD54B8">
        <w:rPr>
          <w:rFonts w:cstheme="minorHAnsi"/>
        </w:rPr>
        <w:t xml:space="preserve">καθώς </w:t>
      </w:r>
      <w:r w:rsidR="002C56EA" w:rsidRPr="00312B15">
        <w:rPr>
          <w:rFonts w:cstheme="minorHAnsi"/>
        </w:rPr>
        <w:t xml:space="preserve">και την εκτέλεση έργων και μελετών </w:t>
      </w:r>
      <w:r w:rsidR="002C56EA">
        <w:rPr>
          <w:rFonts w:cstheme="minorHAnsi"/>
        </w:rPr>
        <w:t>που αφορούν στην αναβάθμιση περιφερειακών λιμένων υπό δημόσιο έλεγχο.</w:t>
      </w:r>
    </w:p>
    <w:p w14:paraId="3C3B2927" w14:textId="3A331581" w:rsidR="002C56EA" w:rsidRDefault="002C56EA" w:rsidP="002C56EA">
      <w:r>
        <w:t>Το πρόγραμμα αξιοποίησης των περιουσιακών στοιχείων της ΕΕΣΥΠ</w:t>
      </w:r>
      <w:r w:rsidRPr="00EA196C">
        <w:t xml:space="preserve"> συμβάλλει</w:t>
      </w:r>
      <w:r>
        <w:t>,</w:t>
      </w:r>
      <w:r w:rsidRPr="00EA196C">
        <w:t xml:space="preserve"> μεταξύ άλλων</w:t>
      </w:r>
      <w:r>
        <w:t>,</w:t>
      </w:r>
      <w:r w:rsidRPr="00EA196C">
        <w:t xml:space="preserve"> στη δημιουργία νέων και ποιοτικών θέσεων εργασίας, στην αύξηση των επενδύσεων, στη βελτίωση της εξωστρέφειας και </w:t>
      </w:r>
      <w:r w:rsidR="000752B9">
        <w:t xml:space="preserve">της </w:t>
      </w:r>
      <w:r w:rsidRPr="00EA196C">
        <w:t xml:space="preserve">ανταγωνιστικότητας βασικών τομέων της </w:t>
      </w:r>
      <w:r w:rsidR="00875C00">
        <w:t>ε</w:t>
      </w:r>
      <w:r w:rsidRPr="00EA196C">
        <w:t xml:space="preserve">λληνικής οικονομίας </w:t>
      </w:r>
      <w:r w:rsidR="003D4511">
        <w:t xml:space="preserve">καθώς </w:t>
      </w:r>
      <w:r>
        <w:t xml:space="preserve">και στην ενίσχυση της </w:t>
      </w:r>
      <w:r w:rsidR="008D5B0C">
        <w:t xml:space="preserve">διεθνούς </w:t>
      </w:r>
      <w:r w:rsidRPr="00EA196C">
        <w:t xml:space="preserve">αξιοπιστίας της </w:t>
      </w:r>
      <w:r w:rsidR="00875C00">
        <w:t>χ</w:t>
      </w:r>
      <w:r w:rsidRPr="00EA196C">
        <w:t>ώρας</w:t>
      </w:r>
      <w:r w:rsidR="008D5B0C">
        <w:t xml:space="preserve">, </w:t>
      </w:r>
      <w:r>
        <w:t xml:space="preserve">ειδικά </w:t>
      </w:r>
      <w:r w:rsidR="008D5B0C">
        <w:t xml:space="preserve">όσον αφορά </w:t>
      </w:r>
      <w:r>
        <w:t>στην επενδυτική κοινότητα του εξωτερικού.</w:t>
      </w:r>
    </w:p>
    <w:p w14:paraId="44A69D73" w14:textId="07D88181" w:rsidR="002C56EA" w:rsidRPr="00EA196C" w:rsidRDefault="002C56EA" w:rsidP="002C56EA">
      <w:r w:rsidRPr="00EA196C">
        <w:t xml:space="preserve">Η αξιοποίηση επιλεγμένων περιουσιακών στοιχείων από τον ιδιωτικό τομέα έχει πολλαπλασιαστικά οφέλη για την </w:t>
      </w:r>
      <w:r w:rsidR="00875C00">
        <w:t>ε</w:t>
      </w:r>
      <w:r w:rsidRPr="00EA196C">
        <w:t>λληνική οικονομία</w:t>
      </w:r>
      <w:r>
        <w:t>,</w:t>
      </w:r>
      <w:r w:rsidRPr="00EA196C">
        <w:t xml:space="preserve"> </w:t>
      </w:r>
      <w:r>
        <w:t>σημαντικότερα</w:t>
      </w:r>
      <w:r w:rsidR="008D5B0C">
        <w:t xml:space="preserve"> εκ των οποίων είναι τα ακόλουθα</w:t>
      </w:r>
      <w:r w:rsidRPr="00EA196C">
        <w:t>:</w:t>
      </w:r>
    </w:p>
    <w:p w14:paraId="46F32E47" w14:textId="7851D350" w:rsidR="002C56EA" w:rsidRPr="003A0C6D" w:rsidRDefault="002C56EA" w:rsidP="00EC630C">
      <w:pPr>
        <w:numPr>
          <w:ilvl w:val="0"/>
          <w:numId w:val="2"/>
        </w:numPr>
        <w:spacing w:before="120" w:after="60"/>
        <w:ind w:left="568" w:hanging="284"/>
      </w:pPr>
      <w:r w:rsidRPr="003A0C6D">
        <w:t>η άμεση μείωση του δημόσιου χρέους,</w:t>
      </w:r>
    </w:p>
    <w:p w14:paraId="7A432A0A" w14:textId="14A490FB" w:rsidR="002C56EA" w:rsidRPr="003A0C6D" w:rsidRDefault="002C56EA" w:rsidP="00EC630C">
      <w:pPr>
        <w:numPr>
          <w:ilvl w:val="0"/>
          <w:numId w:val="2"/>
        </w:numPr>
        <w:spacing w:before="60" w:after="60"/>
        <w:ind w:left="568" w:hanging="284"/>
      </w:pPr>
      <w:r w:rsidRPr="003A0C6D">
        <w:t>η μείωση</w:t>
      </w:r>
      <w:r w:rsidR="00875C00">
        <w:t xml:space="preserve"> </w:t>
      </w:r>
      <w:r w:rsidR="008D5B0C">
        <w:t xml:space="preserve">ή η </w:t>
      </w:r>
      <w:r w:rsidRPr="003A0C6D">
        <w:t>εξάλειψη των οικονομικών υποχρεώσεων</w:t>
      </w:r>
      <w:r w:rsidR="0095756C">
        <w:t xml:space="preserve"> </w:t>
      </w:r>
      <w:r w:rsidR="00FA6328">
        <w:t xml:space="preserve">καθώς και της οποιασδήποτε μορφής </w:t>
      </w:r>
      <w:r w:rsidRPr="003A0C6D">
        <w:t xml:space="preserve">κρατικής χρηματοδότησης </w:t>
      </w:r>
      <w:r w:rsidR="00FA6328">
        <w:t>με τη συνεπακόλουθη μείωση</w:t>
      </w:r>
      <w:r w:rsidR="0095756C">
        <w:t xml:space="preserve"> των </w:t>
      </w:r>
      <w:r w:rsidRPr="003A0C6D">
        <w:t>ελλειμμάτων του προϋπολογισμού,</w:t>
      </w:r>
    </w:p>
    <w:p w14:paraId="7DB0B013" w14:textId="54ACB175" w:rsidR="002C56EA" w:rsidRPr="003A0C6D" w:rsidRDefault="002C56EA" w:rsidP="00EC630C">
      <w:pPr>
        <w:numPr>
          <w:ilvl w:val="0"/>
          <w:numId w:val="2"/>
        </w:numPr>
        <w:spacing w:before="60" w:after="60"/>
        <w:ind w:left="568" w:hanging="284"/>
      </w:pPr>
      <w:r w:rsidRPr="003A0C6D">
        <w:t xml:space="preserve">το </w:t>
      </w:r>
      <w:r w:rsidR="00315A02">
        <w:t>«</w:t>
      </w:r>
      <w:r w:rsidRPr="003A0C6D">
        <w:t>άνοιγμα</w:t>
      </w:r>
      <w:r w:rsidR="00315A02">
        <w:t>»</w:t>
      </w:r>
      <w:r w:rsidRPr="003A0C6D">
        <w:t xml:space="preserve"> των αγορών και η ενίσχυση του ανταγωνισμού,</w:t>
      </w:r>
    </w:p>
    <w:p w14:paraId="7E5FBF36" w14:textId="3EB56156" w:rsidR="002C56EA" w:rsidRPr="003A0C6D" w:rsidRDefault="002C56EA" w:rsidP="00EC630C">
      <w:pPr>
        <w:numPr>
          <w:ilvl w:val="0"/>
          <w:numId w:val="2"/>
        </w:numPr>
        <w:spacing w:before="60" w:after="60"/>
        <w:ind w:left="568" w:hanging="284"/>
      </w:pPr>
      <w:r w:rsidRPr="003A0C6D">
        <w:t>ο εμπλουτισμό</w:t>
      </w:r>
      <w:r w:rsidR="0095756C">
        <w:t>ς</w:t>
      </w:r>
      <w:r w:rsidRPr="003A0C6D">
        <w:t xml:space="preserve"> και</w:t>
      </w:r>
      <w:r w:rsidR="0095756C">
        <w:t xml:space="preserve"> η</w:t>
      </w:r>
      <w:r w:rsidRPr="003A0C6D">
        <w:t xml:space="preserve"> εμβάθυνση του χρηματιστηριακού προϊόντος της χώρας,</w:t>
      </w:r>
    </w:p>
    <w:p w14:paraId="3A3773A1" w14:textId="7D6466FB" w:rsidR="002C56EA" w:rsidRPr="003A0C6D" w:rsidRDefault="002C56EA" w:rsidP="00EC630C">
      <w:pPr>
        <w:numPr>
          <w:ilvl w:val="0"/>
          <w:numId w:val="2"/>
        </w:numPr>
        <w:spacing w:before="60" w:after="60"/>
        <w:ind w:left="568" w:hanging="284"/>
      </w:pPr>
      <w:r w:rsidRPr="003A0C6D">
        <w:t>η αναδιαμόρφωση και</w:t>
      </w:r>
      <w:r w:rsidR="0095756C">
        <w:t xml:space="preserve"> ο</w:t>
      </w:r>
      <w:r w:rsidRPr="003A0C6D">
        <w:t xml:space="preserve"> επαναπροσδιορισμό</w:t>
      </w:r>
      <w:r w:rsidR="0095756C">
        <w:t>ς</w:t>
      </w:r>
      <w:r w:rsidRPr="003A0C6D">
        <w:t xml:space="preserve"> (reframing) των επενδύσεων,</w:t>
      </w:r>
    </w:p>
    <w:p w14:paraId="7C5BA873" w14:textId="298D8DB7" w:rsidR="002C56EA" w:rsidRPr="003A0C6D" w:rsidRDefault="002C56EA" w:rsidP="00EC630C">
      <w:pPr>
        <w:numPr>
          <w:ilvl w:val="0"/>
          <w:numId w:val="2"/>
        </w:numPr>
        <w:spacing w:before="60" w:after="60"/>
        <w:ind w:left="568" w:hanging="284"/>
      </w:pPr>
      <w:r w:rsidRPr="003A0C6D">
        <w:t xml:space="preserve">η εξωστρέφεια της </w:t>
      </w:r>
      <w:r w:rsidR="00875C00">
        <w:t>ε</w:t>
      </w:r>
      <w:r w:rsidRPr="003A0C6D">
        <w:t>λληνικής οικονομίας,</w:t>
      </w:r>
    </w:p>
    <w:p w14:paraId="635A301F" w14:textId="39075448" w:rsidR="002C56EA" w:rsidRPr="003A0C6D" w:rsidRDefault="002C56EA" w:rsidP="00EC630C">
      <w:pPr>
        <w:numPr>
          <w:ilvl w:val="0"/>
          <w:numId w:val="2"/>
        </w:numPr>
        <w:spacing w:before="60" w:after="60"/>
        <w:ind w:left="568" w:hanging="284"/>
      </w:pPr>
      <w:r w:rsidRPr="003A0C6D">
        <w:t xml:space="preserve">η αναδιοργάνωση, </w:t>
      </w:r>
      <w:r w:rsidR="0095756C">
        <w:t xml:space="preserve">ο </w:t>
      </w:r>
      <w:r w:rsidRPr="003A0C6D">
        <w:t>εκσυγχρονισμό</w:t>
      </w:r>
      <w:r w:rsidR="0095756C">
        <w:t>ς</w:t>
      </w:r>
      <w:r w:rsidRPr="003A0C6D">
        <w:t xml:space="preserve"> και</w:t>
      </w:r>
      <w:r w:rsidR="0095756C">
        <w:t xml:space="preserve"> η</w:t>
      </w:r>
      <w:r w:rsidRPr="003A0C6D">
        <w:t xml:space="preserve"> αξιοποίηση των περιουσιακών στοιχείων του Ελληνικού Δημοσίου, που θα ενισχύσουν την οικονομική δραστηριότητα της </w:t>
      </w:r>
      <w:r w:rsidR="00875C00">
        <w:t>χ</w:t>
      </w:r>
      <w:r w:rsidRPr="003A0C6D">
        <w:t>ώρας</w:t>
      </w:r>
      <w:r w:rsidR="0095756C">
        <w:t xml:space="preserve"> και</w:t>
      </w:r>
      <w:r w:rsidRPr="003A0C6D">
        <w:t xml:space="preserve"> ιδιαίτερα της περιφέρειας, </w:t>
      </w:r>
      <w:r w:rsidR="0095756C">
        <w:t xml:space="preserve">μέσω της </w:t>
      </w:r>
      <w:r w:rsidRPr="003A0C6D">
        <w:t>δημιουργία</w:t>
      </w:r>
      <w:r w:rsidR="0095756C">
        <w:t>ς</w:t>
      </w:r>
      <w:r w:rsidRPr="003A0C6D">
        <w:t xml:space="preserve"> νέων θέσεων εργασίας</w:t>
      </w:r>
      <w:r w:rsidR="00713074">
        <w:t xml:space="preserve"> </w:t>
      </w:r>
      <w:r w:rsidRPr="003A0C6D">
        <w:t xml:space="preserve">και </w:t>
      </w:r>
      <w:r w:rsidR="00315A02">
        <w:t>τ</w:t>
      </w:r>
      <w:r w:rsidR="00713074">
        <w:t xml:space="preserve">ης παροχής ποιοτικότερων </w:t>
      </w:r>
      <w:r w:rsidRPr="003A0C6D">
        <w:t>υπηρεσ</w:t>
      </w:r>
      <w:r w:rsidR="00713074">
        <w:t xml:space="preserve">ιών </w:t>
      </w:r>
      <w:r w:rsidRPr="003A0C6D">
        <w:t>προς τους πολίτες,</w:t>
      </w:r>
    </w:p>
    <w:p w14:paraId="15F50848" w14:textId="7F9FD672" w:rsidR="002C56EA" w:rsidRPr="003A0C6D" w:rsidRDefault="002C56EA" w:rsidP="00EC630C">
      <w:pPr>
        <w:numPr>
          <w:ilvl w:val="0"/>
          <w:numId w:val="2"/>
        </w:numPr>
        <w:spacing w:before="60" w:after="60"/>
        <w:ind w:left="568" w:hanging="284"/>
      </w:pPr>
      <w:r w:rsidRPr="003A0C6D">
        <w:t>η προσέλκυση επενδύσεων και η δημιουργία καινοτόμων έργων, τα οποία θα συμβάλλουν περαιτέρω στη βιώσιμη</w:t>
      </w:r>
      <w:r w:rsidR="00561F96">
        <w:t>,</w:t>
      </w:r>
      <w:r w:rsidRPr="003A0C6D">
        <w:t xml:space="preserve"> μακροπρόθεσμη ανάπτυξη της </w:t>
      </w:r>
      <w:r w:rsidR="00875C00">
        <w:t>ε</w:t>
      </w:r>
      <w:r w:rsidRPr="003A0C6D">
        <w:t xml:space="preserve">λληνικής οικονομίας καθώς και </w:t>
      </w:r>
      <w:r w:rsidR="00561F96">
        <w:t>στην</w:t>
      </w:r>
      <w:r w:rsidRPr="003A0C6D">
        <w:t xml:space="preserve"> αναβάθμιση </w:t>
      </w:r>
      <w:r w:rsidR="00315A02" w:rsidRPr="003A0C6D">
        <w:t xml:space="preserve">κλάδων </w:t>
      </w:r>
      <w:r w:rsidRPr="003A0C6D">
        <w:t>στρατηγικ</w:t>
      </w:r>
      <w:r w:rsidR="00315A02">
        <w:t>ής σημασίας</w:t>
      </w:r>
      <w:r w:rsidR="00561F96">
        <w:t>,</w:t>
      </w:r>
      <w:r w:rsidRPr="003A0C6D">
        <w:t xml:space="preserve"> όπως οι υποδομές, οι μεταφορές, η ενέργεια και ο τουρισμός,</w:t>
      </w:r>
    </w:p>
    <w:p w14:paraId="744B5EA9" w14:textId="381952AF" w:rsidR="002C56EA" w:rsidRPr="003A0C6D" w:rsidRDefault="002C56EA" w:rsidP="00EC630C">
      <w:pPr>
        <w:numPr>
          <w:ilvl w:val="0"/>
          <w:numId w:val="2"/>
        </w:numPr>
        <w:spacing w:before="60" w:after="60"/>
        <w:ind w:left="568" w:hanging="284"/>
      </w:pPr>
      <w:r w:rsidRPr="003A0C6D">
        <w:t>η εισαγωγή νέων και επενδυτικά ελκυστικών μηχανισμών ανάπτυξης του τουριστικού προϊόντος (Ειδικό Σχέδιο Χωρικής Ανάπτυξης Δημοσίου Ακινήτου - ΕΣΧΑΔΑ, Ειδικό Σχέδιο Χωρικής Ανάπτυξης Στρατηγικής Επένδυσης - ΕΣΧΑΣΕ κ</w:t>
      </w:r>
      <w:r w:rsidR="00875C00">
        <w:t>.λπ</w:t>
      </w:r>
      <w:r w:rsidRPr="003A0C6D">
        <w:t>.)</w:t>
      </w:r>
      <w:r w:rsidR="00875C00">
        <w:t xml:space="preserve"> και</w:t>
      </w:r>
    </w:p>
    <w:p w14:paraId="0A7B758E" w14:textId="56C87438" w:rsidR="002C56EA" w:rsidRPr="003A0C6D" w:rsidRDefault="002C56EA" w:rsidP="00EC630C">
      <w:pPr>
        <w:numPr>
          <w:ilvl w:val="0"/>
          <w:numId w:val="2"/>
        </w:numPr>
        <w:spacing w:before="60"/>
        <w:ind w:left="568" w:hanging="284"/>
      </w:pPr>
      <w:r w:rsidRPr="003A0C6D">
        <w:t>η συνδρομή στη διαμόρφωση ενός σύγχρονου, σταθερού, αποτελεσματικού και λειτουργικού ρυθμιστικού και κανονιστικού πλαισίου επενδύσεων.</w:t>
      </w:r>
    </w:p>
    <w:p w14:paraId="2CDC84C7" w14:textId="6E3D0CFD" w:rsidR="002C56EA" w:rsidRPr="00EA196C" w:rsidRDefault="00561F96" w:rsidP="002C56EA">
      <w:r>
        <w:t xml:space="preserve">Η ΕΕΣΥΠ - </w:t>
      </w:r>
      <w:r w:rsidR="002C56EA">
        <w:t xml:space="preserve">κλάδος πρώην ΤΑΙΠΕΔ </w:t>
      </w:r>
      <w:r w:rsidR="00EB6624">
        <w:t xml:space="preserve">επιδιώκει να διαμορφώσει τις καλύτερες δυνατές προϋποθέσεις </w:t>
      </w:r>
      <w:r w:rsidR="002C56EA" w:rsidRPr="00EA196C">
        <w:t>που θα συμβάλλουν στη μεγιστοποίηση των ωφελειών για το Ελληνικό Δημόσιο.</w:t>
      </w:r>
      <w:r w:rsidR="005C69AE">
        <w:t xml:space="preserve"> </w:t>
      </w:r>
      <w:r w:rsidR="00EB6624">
        <w:t>Τα περιουσι</w:t>
      </w:r>
      <w:r w:rsidR="009C0D85">
        <w:t>α</w:t>
      </w:r>
      <w:r w:rsidR="00EB6624">
        <w:t xml:space="preserve">κά στοιχεία που περιήλθαν </w:t>
      </w:r>
      <w:r w:rsidR="003D4511" w:rsidRPr="00EA196C">
        <w:t xml:space="preserve">έως σήμερα </w:t>
      </w:r>
      <w:r w:rsidR="00EB6624">
        <w:t xml:space="preserve">στην ΕΕΣΥΠ </w:t>
      </w:r>
      <w:r w:rsidR="009C0D85">
        <w:t>-</w:t>
      </w:r>
      <w:r w:rsidR="00EB6624">
        <w:t xml:space="preserve"> κλάδος πρώην ΤΑΙΠΕΔ </w:t>
      </w:r>
      <w:r w:rsidR="002C56EA" w:rsidRPr="00EA196C">
        <w:t>κατηγοριοποιούνται ως εξής:</w:t>
      </w:r>
    </w:p>
    <w:p w14:paraId="22DEA288" w14:textId="7C4214EB" w:rsidR="002C56EA" w:rsidRPr="00E717D2" w:rsidRDefault="002C56EA" w:rsidP="00C029BE">
      <w:pPr>
        <w:numPr>
          <w:ilvl w:val="0"/>
          <w:numId w:val="2"/>
        </w:numPr>
        <w:spacing w:before="120" w:after="60"/>
        <w:ind w:left="568" w:hanging="284"/>
      </w:pPr>
      <w:r w:rsidRPr="003D1F0B">
        <w:rPr>
          <w:b/>
        </w:rPr>
        <w:t>υποδομές</w:t>
      </w:r>
      <w:r w:rsidRPr="00E717D2">
        <w:t>, στις οποίες εντάσσονται μαρίνες, λιμάνια, αεροδρόμια, αυτοκινητόδρομοι κ</w:t>
      </w:r>
      <w:r w:rsidR="00875C00">
        <w:t>.</w:t>
      </w:r>
      <w:r w:rsidRPr="00E717D2">
        <w:t>λπ.</w:t>
      </w:r>
    </w:p>
    <w:p w14:paraId="520E05E2" w14:textId="02B9C68E" w:rsidR="002C56EA" w:rsidRPr="00E717D2" w:rsidRDefault="002C56EA" w:rsidP="00EC630C">
      <w:pPr>
        <w:numPr>
          <w:ilvl w:val="0"/>
          <w:numId w:val="2"/>
        </w:numPr>
        <w:spacing w:before="60" w:after="60"/>
        <w:ind w:left="568" w:hanging="284"/>
      </w:pPr>
      <w:r w:rsidRPr="003D1F0B">
        <w:rPr>
          <w:b/>
        </w:rPr>
        <w:t>ενέργεια</w:t>
      </w:r>
      <w:r w:rsidRPr="00E717D2">
        <w:t>, στην οποία εντάσσονται περιουσιακά στοιχεία των κλάδων διανομής</w:t>
      </w:r>
      <w:r w:rsidR="00E862CC">
        <w:t xml:space="preserve"> </w:t>
      </w:r>
      <w:r w:rsidRPr="00E717D2">
        <w:t>-</w:t>
      </w:r>
      <w:r w:rsidR="00E862CC">
        <w:t xml:space="preserve"> </w:t>
      </w:r>
      <w:r w:rsidRPr="00E717D2">
        <w:t>αποθήκευσης αερίου, διύλισης πετρελαίου</w:t>
      </w:r>
      <w:r w:rsidR="00E862CC">
        <w:t xml:space="preserve"> και παραγωγής ηλεκτρισμού</w:t>
      </w:r>
      <w:r w:rsidRPr="00E717D2">
        <w:t xml:space="preserve"> (HELLENiQ ENERGY - πρώην Ε</w:t>
      </w:r>
      <w:r w:rsidR="00B664DF">
        <w:t>λληνικά Πετρέλαια/ΕΛ</w:t>
      </w:r>
      <w:r w:rsidRPr="00E717D2">
        <w:t>ΠΕ, ΔΕΗ</w:t>
      </w:r>
      <w:r w:rsidR="00275479" w:rsidRPr="00234100">
        <w:t xml:space="preserve">, </w:t>
      </w:r>
      <w:r w:rsidRPr="00E717D2">
        <w:t>ΔΕΠΑ),</w:t>
      </w:r>
    </w:p>
    <w:p w14:paraId="7F049E11" w14:textId="129F41C4" w:rsidR="002C56EA" w:rsidRPr="00AE64F9" w:rsidRDefault="002C56EA" w:rsidP="00EC630C">
      <w:pPr>
        <w:numPr>
          <w:ilvl w:val="0"/>
          <w:numId w:val="2"/>
        </w:numPr>
        <w:spacing w:before="60" w:after="60"/>
        <w:ind w:left="568" w:hanging="284"/>
      </w:pPr>
      <w:r w:rsidRPr="00AE64F9">
        <w:rPr>
          <w:b/>
        </w:rPr>
        <w:lastRenderedPageBreak/>
        <w:t>μετοχές εταιρ</w:t>
      </w:r>
      <w:r w:rsidR="003D1F0B" w:rsidRPr="00AE64F9">
        <w:rPr>
          <w:b/>
        </w:rPr>
        <w:t>ε</w:t>
      </w:r>
      <w:r w:rsidRPr="00AE64F9">
        <w:rPr>
          <w:b/>
        </w:rPr>
        <w:t>ιών</w:t>
      </w:r>
      <w:r w:rsidRPr="00AE64F9">
        <w:t xml:space="preserve">, όπως των </w:t>
      </w:r>
      <w:r w:rsidR="00605A1C" w:rsidRPr="00AE64F9">
        <w:t>Οργανισμών Λιμένων Πειραιώς, Θεσσαλονίκης και Ηρακλείου</w:t>
      </w:r>
      <w:r w:rsidRPr="00AE64F9">
        <w:t xml:space="preserve">, της ΤΡΑΙΝΟΣΕ, της </w:t>
      </w:r>
      <w:r w:rsidR="00907AFE" w:rsidRPr="00AE64F9">
        <w:t xml:space="preserve">Ελληνικής Εταιρείας Συντήρησης Σιδηροδρομικού Τροχαίου Υλικού </w:t>
      </w:r>
      <w:r w:rsidR="00605A1C" w:rsidRPr="00AE64F9">
        <w:t>(</w:t>
      </w:r>
      <w:r w:rsidRPr="00AE64F9">
        <w:t>ΕΕΣΣΤΥ</w:t>
      </w:r>
      <w:r w:rsidR="00605A1C" w:rsidRPr="00AE64F9">
        <w:t>)</w:t>
      </w:r>
      <w:r w:rsidRPr="00AE64F9">
        <w:t>, των ΕΥΔΑΠ και ΕΥΑΘ, της ΔΕΠΑ Εμπορίας κ</w:t>
      </w:r>
      <w:r w:rsidR="00234100" w:rsidRPr="00AE64F9">
        <w:t>.</w:t>
      </w:r>
      <w:r w:rsidR="00875C00" w:rsidRPr="00AE64F9">
        <w:t>λπ.</w:t>
      </w:r>
      <w:r w:rsidRPr="00AE64F9">
        <w:t xml:space="preserve"> </w:t>
      </w:r>
      <w:r w:rsidR="0086764F" w:rsidRPr="00AE64F9">
        <w:t>(</w:t>
      </w:r>
      <w:r w:rsidR="0086764F" w:rsidRPr="00AE64F9">
        <w:fldChar w:fldCharType="begin"/>
      </w:r>
      <w:r w:rsidR="0086764F" w:rsidRPr="00AE64F9">
        <w:instrText xml:space="preserve"> REF _Ref213510011 \h  \* MERGEFORMAT </w:instrText>
      </w:r>
      <w:r w:rsidR="0086764F" w:rsidRPr="00AE64F9">
        <w:fldChar w:fldCharType="separate"/>
      </w:r>
      <w:r w:rsidR="00E15678" w:rsidRPr="00E15678">
        <w:t>Πίνακας 5.8</w:t>
      </w:r>
      <w:r w:rsidR="0086764F" w:rsidRPr="00AE64F9">
        <w:fldChar w:fldCharType="end"/>
      </w:r>
      <w:r w:rsidR="003F4EE7" w:rsidRPr="00AE64F9">
        <w:t>.</w:t>
      </w:r>
      <w:r w:rsidR="0086764F" w:rsidRPr="00AE64F9">
        <w:t>)</w:t>
      </w:r>
      <w:r w:rsidRPr="00AE64F9">
        <w:t>,</w:t>
      </w:r>
    </w:p>
    <w:p w14:paraId="6F30F2C0" w14:textId="1C21C366" w:rsidR="002C56EA" w:rsidRPr="00E717D2" w:rsidRDefault="002C56EA" w:rsidP="00EC630C">
      <w:pPr>
        <w:numPr>
          <w:ilvl w:val="0"/>
          <w:numId w:val="2"/>
        </w:numPr>
        <w:spacing w:before="60" w:after="60"/>
        <w:ind w:left="568" w:hanging="284"/>
      </w:pPr>
      <w:r w:rsidRPr="00AE64F9">
        <w:rPr>
          <w:b/>
        </w:rPr>
        <w:t>λοιπά περιουσιακά στοιχεία</w:t>
      </w:r>
      <w:r w:rsidRPr="00AE64F9">
        <w:t>, στα οποία περιλαμβάνονται</w:t>
      </w:r>
      <w:r w:rsidR="00605A1C" w:rsidRPr="00AE64F9">
        <w:t>,</w:t>
      </w:r>
      <w:r w:rsidRPr="00AE64F9">
        <w:t xml:space="preserve"> μεταξύ άλλων,</w:t>
      </w:r>
      <w:r w:rsidRPr="00E717D2">
        <w:t xml:space="preserve"> οι άδειες εκμετάλλευσης των κρατικών λαχείων, </w:t>
      </w:r>
      <w:r w:rsidR="003D4511">
        <w:t xml:space="preserve">της </w:t>
      </w:r>
      <w:r w:rsidRPr="00E717D2">
        <w:t>χρήσης ραδιοσυχνοτήτων κ</w:t>
      </w:r>
      <w:r w:rsidR="00875C00">
        <w:t>.λπ</w:t>
      </w:r>
      <w:r w:rsidRPr="00E717D2">
        <w:t>.</w:t>
      </w:r>
      <w:r w:rsidR="00875C00">
        <w:t xml:space="preserve"> και</w:t>
      </w:r>
    </w:p>
    <w:p w14:paraId="43DDA443" w14:textId="6FD33E9B" w:rsidR="002C56EA" w:rsidRPr="00E717D2" w:rsidRDefault="002C56EA" w:rsidP="00EC630C">
      <w:pPr>
        <w:numPr>
          <w:ilvl w:val="0"/>
          <w:numId w:val="2"/>
        </w:numPr>
        <w:spacing w:before="60"/>
        <w:ind w:left="568" w:hanging="284"/>
      </w:pPr>
      <w:r w:rsidRPr="003D1F0B">
        <w:rPr>
          <w:b/>
        </w:rPr>
        <w:t>επιλεγμένα ακίνητα του Ελληνικού Δημοσίου</w:t>
      </w:r>
      <w:r w:rsidRPr="00E717D2">
        <w:t xml:space="preserve">: Για το σύνολο των ακινήτων που έχουν περιέλθει στο ΤΑΙΠΕΔ στο παρελθόν </w:t>
      </w:r>
      <w:r w:rsidR="00605A1C">
        <w:t xml:space="preserve">καθώς </w:t>
      </w:r>
      <w:r w:rsidRPr="00E717D2">
        <w:t>και για εκείνα που παραμένουν στο χαρτοφυλάκιό του</w:t>
      </w:r>
      <w:r w:rsidR="00605A1C">
        <w:t>,</w:t>
      </w:r>
      <w:r w:rsidRPr="00E717D2">
        <w:t xml:space="preserve"> σύμφωνα με το </w:t>
      </w:r>
      <w:r w:rsidR="00605A1C">
        <w:t>Π</w:t>
      </w:r>
      <w:r w:rsidRPr="00E717D2">
        <w:t xml:space="preserve">αράρτημα Γ του </w:t>
      </w:r>
      <w:r w:rsidR="003D1F0B">
        <w:t>ν.</w:t>
      </w:r>
      <w:r w:rsidRPr="00E717D2">
        <w:t>4389/2016 (</w:t>
      </w:r>
      <w:r w:rsidR="003D1F0B">
        <w:t xml:space="preserve">Α’ </w:t>
      </w:r>
      <w:r w:rsidRPr="00E717D2">
        <w:t>94</w:t>
      </w:r>
      <w:r w:rsidR="003D1F0B">
        <w:t>)</w:t>
      </w:r>
      <w:r w:rsidR="0000731E">
        <w:t>,</w:t>
      </w:r>
      <w:r w:rsidRPr="00E717D2">
        <w:t xml:space="preserve"> απαιτείται συνήθως μ</w:t>
      </w:r>
      <w:r w:rsidR="0000731E">
        <w:t>ί</w:t>
      </w:r>
      <w:r w:rsidRPr="00E717D2">
        <w:t xml:space="preserve">α μακρά περίοδος ενεργειών νομικής και τεχνικής ωρίμανσης, ώστε να είναι εφικτή η έναρξη της διαδικασίας αξιοποίησης. Σημαντικά έσοδα προήλθαν από έναν μεγάλο αριθμό ακινήτων μέχρι σήμερα, ενώ μετά το 2016 παρέμειναν </w:t>
      </w:r>
      <w:r w:rsidRPr="0000731E">
        <w:t>στ</w:t>
      </w:r>
      <w:r w:rsidR="0000731E" w:rsidRPr="0000731E">
        <w:t>ην</w:t>
      </w:r>
      <w:r w:rsidRPr="00E717D2">
        <w:t xml:space="preserve"> ΕΕΣΥΠ </w:t>
      </w:r>
      <w:r w:rsidR="003D1F0B">
        <w:t>-</w:t>
      </w:r>
      <w:r w:rsidRPr="00E717D2">
        <w:t xml:space="preserve"> </w:t>
      </w:r>
      <w:r w:rsidR="0000731E" w:rsidRPr="00E717D2">
        <w:t xml:space="preserve">κλάδος </w:t>
      </w:r>
      <w:r w:rsidRPr="00E717D2">
        <w:t xml:space="preserve">πρώην ΤΑΙΠΕΔ περί τα 87 ακίνητα (ή clusters ακινήτων). Εξ αυτών ήδη έχουν αξιοποιηθεί τα 56, ενώ </w:t>
      </w:r>
      <w:r w:rsidR="004605EE">
        <w:t>τελούν</w:t>
      </w:r>
      <w:r w:rsidRPr="00E717D2">
        <w:t xml:space="preserve"> σε διαγωνιστική διαδικασία και σε ώριμη φάση προς αξιοποίηση άλλα 17. Τα λοιπά ακίνητα διανύουν τη φάση της νομικής και τεχνικής ωρίμανσης.</w:t>
      </w:r>
    </w:p>
    <w:p w14:paraId="7C38AD07" w14:textId="3A3A8334" w:rsidR="003D1F0B" w:rsidRPr="003D1F0B" w:rsidRDefault="004605EE" w:rsidP="00E65934">
      <w:pPr>
        <w:spacing w:after="240"/>
      </w:pPr>
      <w:r>
        <w:t>Παράλληλα, σ</w:t>
      </w:r>
      <w:r w:rsidR="0000731E" w:rsidRPr="003D1F0B">
        <w:t xml:space="preserve">ύμφωνα με </w:t>
      </w:r>
      <w:r w:rsidR="00DC733D">
        <w:t>τις</w:t>
      </w:r>
      <w:r w:rsidR="0000731E" w:rsidRPr="003D1F0B">
        <w:t xml:space="preserve"> </w:t>
      </w:r>
      <w:r w:rsidR="00DC733D">
        <w:t xml:space="preserve">συνεδριάσεις </w:t>
      </w:r>
      <w:r w:rsidR="0000731E" w:rsidRPr="003D1F0B">
        <w:t>της Κυβερνητικής Επιτροπής Συμβάσεων Στρατηγικής Σημασίας</w:t>
      </w:r>
      <w:r w:rsidR="00DC733D">
        <w:t xml:space="preserve"> (1η έως και 13η)</w:t>
      </w:r>
      <w:r w:rsidR="0000731E">
        <w:t>,</w:t>
      </w:r>
      <w:r w:rsidR="0000731E" w:rsidRPr="003D1F0B">
        <w:t xml:space="preserve"> έχουν ανατεθεί </w:t>
      </w:r>
      <w:r w:rsidR="0000731E">
        <w:t>σ</w:t>
      </w:r>
      <w:r w:rsidR="003D1F0B" w:rsidRPr="003D1F0B">
        <w:t xml:space="preserve">τη </w:t>
      </w:r>
      <w:bookmarkStart w:id="792" w:name="_Hlk213432916"/>
      <w:r w:rsidR="003D1F0B" w:rsidRPr="003D1F0B">
        <w:t>Μ</w:t>
      </w:r>
      <w:r w:rsidR="0000731E">
        <w:t>ΣΣΣ</w:t>
      </w:r>
      <w:bookmarkEnd w:id="792"/>
      <w:r w:rsidR="0000731E">
        <w:t xml:space="preserve"> </w:t>
      </w:r>
      <w:r w:rsidR="003D1F0B" w:rsidRPr="003D1F0B">
        <w:t>τα έργα</w:t>
      </w:r>
      <w:r w:rsidR="0000731E">
        <w:t xml:space="preserve"> τα οποία </w:t>
      </w:r>
      <w:r w:rsidR="00DC733D" w:rsidRPr="00AE64F9">
        <w:t>παρουσιάζονται παρακάτω (</w:t>
      </w:r>
      <w:r w:rsidR="00DC733D" w:rsidRPr="00AE64F9">
        <w:fldChar w:fldCharType="begin"/>
      </w:r>
      <w:r w:rsidR="00DC733D" w:rsidRPr="00AE64F9">
        <w:instrText xml:space="preserve"> REF _Ref119508885 \h  \* MERGEFORMAT </w:instrText>
      </w:r>
      <w:r w:rsidR="00DC733D" w:rsidRPr="00AE64F9">
        <w:fldChar w:fldCharType="separate"/>
      </w:r>
      <w:r w:rsidR="00E15678" w:rsidRPr="00E15678">
        <w:t>Πίνακας 5.2</w:t>
      </w:r>
      <w:r w:rsidR="00DC733D" w:rsidRPr="00AE64F9">
        <w:fldChar w:fldCharType="end"/>
      </w:r>
      <w:r w:rsidR="00DC733D" w:rsidRPr="00AE64F9">
        <w:t xml:space="preserve">.) και </w:t>
      </w:r>
      <w:r w:rsidR="003D1F0B" w:rsidRPr="00AE64F9">
        <w:t>έχουν ενταχθεί στο «Αναπτυξιακό Πρόγραμμα Συμβάσεων Στρατηγικής Σημασίας»:</w:t>
      </w:r>
    </w:p>
    <w:tbl>
      <w:tblPr>
        <w:tblW w:w="9353"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ayout w:type="fixed"/>
        <w:tblLook w:val="04A0" w:firstRow="1" w:lastRow="0" w:firstColumn="1" w:lastColumn="0" w:noHBand="0" w:noVBand="1"/>
      </w:tblPr>
      <w:tblGrid>
        <w:gridCol w:w="564"/>
        <w:gridCol w:w="3402"/>
        <w:gridCol w:w="5387"/>
      </w:tblGrid>
      <w:tr w:rsidR="0040795B" w:rsidRPr="00BA5BBF" w14:paraId="291764E5" w14:textId="77777777" w:rsidTr="00737954">
        <w:trPr>
          <w:cantSplit/>
          <w:trHeight w:val="340"/>
          <w:tblHeader/>
          <w:jc w:val="center"/>
        </w:trPr>
        <w:tc>
          <w:tcPr>
            <w:tcW w:w="9353" w:type="dxa"/>
            <w:gridSpan w:val="3"/>
            <w:tcBorders>
              <w:bottom w:val="single" w:sz="2" w:space="0" w:color="A6A6A6" w:themeColor="background1" w:themeShade="A6"/>
            </w:tcBorders>
            <w:shd w:val="clear" w:color="auto" w:fill="D5DCE4"/>
            <w:vAlign w:val="center"/>
          </w:tcPr>
          <w:p w14:paraId="2F3BED9D" w14:textId="2FC10886" w:rsidR="0040795B" w:rsidRPr="00BA5BBF" w:rsidRDefault="0040795B" w:rsidP="00FC0EA0">
            <w:pPr>
              <w:spacing w:after="0" w:line="276" w:lineRule="auto"/>
              <w:jc w:val="center"/>
              <w:rPr>
                <w:rFonts w:cs="Arial"/>
                <w:b/>
                <w:bCs/>
                <w:sz w:val="18"/>
                <w:szCs w:val="18"/>
              </w:rPr>
            </w:pPr>
            <w:bookmarkStart w:id="793" w:name="_Ref119508885"/>
            <w:bookmarkStart w:id="794" w:name="_Ref150175487"/>
            <w:bookmarkStart w:id="795" w:name="_Toc214474136"/>
            <w:r w:rsidRPr="003F4EE7">
              <w:rPr>
                <w:b/>
                <w:sz w:val="18"/>
                <w:szCs w:val="18"/>
              </w:rPr>
              <w:t>Πίνακας 5.</w:t>
            </w:r>
            <w:r w:rsidRPr="003F4EE7">
              <w:rPr>
                <w:b/>
                <w:sz w:val="18"/>
                <w:szCs w:val="18"/>
              </w:rPr>
              <w:fldChar w:fldCharType="begin"/>
            </w:r>
            <w:r w:rsidRPr="003F4EE7">
              <w:rPr>
                <w:b/>
                <w:sz w:val="18"/>
                <w:szCs w:val="18"/>
              </w:rPr>
              <w:instrText xml:space="preserve"> SEQ Πίνακας_5. \* ARABIC </w:instrText>
            </w:r>
            <w:r w:rsidRPr="003F4EE7">
              <w:rPr>
                <w:b/>
                <w:sz w:val="18"/>
                <w:szCs w:val="18"/>
              </w:rPr>
              <w:fldChar w:fldCharType="separate"/>
            </w:r>
            <w:r w:rsidR="00E15678">
              <w:rPr>
                <w:b/>
                <w:noProof/>
                <w:sz w:val="18"/>
                <w:szCs w:val="18"/>
              </w:rPr>
              <w:t>2</w:t>
            </w:r>
            <w:r w:rsidRPr="003F4EE7">
              <w:rPr>
                <w:b/>
                <w:sz w:val="18"/>
                <w:szCs w:val="18"/>
              </w:rPr>
              <w:fldChar w:fldCharType="end"/>
            </w:r>
            <w:bookmarkEnd w:id="793"/>
            <w:r w:rsidRPr="003F4EE7">
              <w:rPr>
                <w:rFonts w:cs="Arial"/>
                <w:b/>
                <w:bCs/>
                <w:sz w:val="18"/>
                <w:szCs w:val="18"/>
              </w:rPr>
              <w:t xml:space="preserve">.: Έργα ενταγμένα </w:t>
            </w:r>
            <w:r w:rsidRPr="003F4EE7">
              <w:rPr>
                <w:b/>
                <w:sz w:val="18"/>
                <w:szCs w:val="18"/>
              </w:rPr>
              <w:t>στο «Αναπτυξιακό Πρόγραμμα Συμβάσεων Στρατηγικής Σημασίας»</w:t>
            </w:r>
            <w:bookmarkEnd w:id="794"/>
            <w:bookmarkEnd w:id="795"/>
          </w:p>
        </w:tc>
      </w:tr>
      <w:tr w:rsidR="0040795B" w:rsidRPr="00A94ADF" w14:paraId="0A9C6AC2" w14:textId="77777777" w:rsidTr="008751D8">
        <w:trPr>
          <w:cantSplit/>
          <w:trHeight w:val="227"/>
          <w:tblHeader/>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hideMark/>
          </w:tcPr>
          <w:p w14:paraId="01867C43" w14:textId="77777777" w:rsidR="0040795B" w:rsidRPr="00A94ADF" w:rsidRDefault="0040795B" w:rsidP="001819C2">
            <w:pPr>
              <w:spacing w:after="0" w:line="276" w:lineRule="auto"/>
              <w:jc w:val="center"/>
              <w:rPr>
                <w:rFonts w:cs="Arial"/>
                <w:b/>
                <w:bCs/>
                <w:sz w:val="18"/>
                <w:szCs w:val="18"/>
              </w:rPr>
            </w:pPr>
            <w:r>
              <w:rPr>
                <w:rFonts w:cs="Arial"/>
                <w:b/>
                <w:bCs/>
                <w:sz w:val="18"/>
                <w:szCs w:val="18"/>
              </w:rPr>
              <w:t>α</w:t>
            </w:r>
            <w:r w:rsidRPr="00A94ADF">
              <w:rPr>
                <w:rFonts w:cs="Arial"/>
                <w:b/>
                <w:bCs/>
                <w:sz w:val="18"/>
                <w:szCs w:val="18"/>
              </w:rPr>
              <w:t>/</w:t>
            </w:r>
            <w:r>
              <w:rPr>
                <w:rFonts w:cs="Arial"/>
                <w:b/>
                <w:bCs/>
                <w:sz w:val="18"/>
                <w:szCs w:val="18"/>
              </w:rPr>
              <w:t>α</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hideMark/>
          </w:tcPr>
          <w:p w14:paraId="1F59CC5E" w14:textId="77777777" w:rsidR="0040795B" w:rsidRPr="00A94ADF" w:rsidRDefault="0040795B" w:rsidP="00C91CFD">
            <w:pPr>
              <w:spacing w:after="0" w:line="276" w:lineRule="auto"/>
              <w:ind w:right="39"/>
              <w:jc w:val="center"/>
              <w:rPr>
                <w:rFonts w:cs="Arial"/>
                <w:b/>
                <w:bCs/>
                <w:sz w:val="18"/>
                <w:szCs w:val="18"/>
              </w:rPr>
            </w:pPr>
            <w:r w:rsidRPr="00A94ADF">
              <w:rPr>
                <w:rFonts w:cs="Arial"/>
                <w:b/>
                <w:bCs/>
                <w:sz w:val="18"/>
                <w:szCs w:val="18"/>
              </w:rPr>
              <w:t xml:space="preserve">Φορέας Χρηματοδότησης </w:t>
            </w:r>
            <w:r>
              <w:rPr>
                <w:rFonts w:cs="Arial"/>
                <w:b/>
                <w:bCs/>
                <w:sz w:val="18"/>
                <w:szCs w:val="18"/>
              </w:rPr>
              <w:t>-</w:t>
            </w:r>
            <w:r w:rsidRPr="00A94ADF">
              <w:rPr>
                <w:rFonts w:cs="Arial"/>
                <w:b/>
                <w:bCs/>
                <w:sz w:val="18"/>
                <w:szCs w:val="18"/>
              </w:rPr>
              <w:t xml:space="preserve"> Δικαιούχος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hideMark/>
          </w:tcPr>
          <w:p w14:paraId="5301E433" w14:textId="77777777" w:rsidR="0040795B" w:rsidRPr="00A94ADF" w:rsidRDefault="0040795B" w:rsidP="00C91CFD">
            <w:pPr>
              <w:spacing w:after="0" w:line="276" w:lineRule="auto"/>
              <w:jc w:val="center"/>
              <w:rPr>
                <w:rFonts w:cs="Arial"/>
                <w:b/>
                <w:bCs/>
                <w:sz w:val="18"/>
                <w:szCs w:val="18"/>
              </w:rPr>
            </w:pPr>
            <w:r w:rsidRPr="00A94ADF">
              <w:rPr>
                <w:rFonts w:cs="Arial"/>
                <w:b/>
                <w:bCs/>
                <w:sz w:val="18"/>
                <w:szCs w:val="18"/>
              </w:rPr>
              <w:t>Έργο</w:t>
            </w:r>
          </w:p>
        </w:tc>
      </w:tr>
      <w:tr w:rsidR="009F621F" w:rsidRPr="00A94ADF" w14:paraId="28FF5E27" w14:textId="77777777" w:rsidTr="008751D8">
        <w:trPr>
          <w:cantSplit/>
          <w:trHeight w:val="2116"/>
          <w:jc w:val="center"/>
        </w:trPr>
        <w:tc>
          <w:tcPr>
            <w:tcW w:w="564" w:type="dxa"/>
            <w:vMerge w:val="restart"/>
            <w:tcBorders>
              <w:top w:val="single" w:sz="2" w:space="0" w:color="A6A6A6" w:themeColor="background1" w:themeShade="A6"/>
              <w:right w:val="single" w:sz="2" w:space="0" w:color="A6A6A6" w:themeColor="background1" w:themeShade="A6"/>
            </w:tcBorders>
            <w:shd w:val="clear" w:color="auto" w:fill="auto"/>
            <w:vAlign w:val="center"/>
            <w:hideMark/>
          </w:tcPr>
          <w:p w14:paraId="2DB857C3" w14:textId="77777777" w:rsidR="009F621F" w:rsidRPr="00A94ADF" w:rsidRDefault="009F621F" w:rsidP="001819C2">
            <w:pPr>
              <w:spacing w:after="0" w:line="276" w:lineRule="auto"/>
              <w:jc w:val="center"/>
              <w:rPr>
                <w:rFonts w:cs="Arial"/>
                <w:sz w:val="16"/>
                <w:szCs w:val="16"/>
              </w:rPr>
            </w:pPr>
            <w:r w:rsidRPr="00A94ADF">
              <w:rPr>
                <w:rFonts w:cs="Arial"/>
                <w:sz w:val="16"/>
                <w:szCs w:val="16"/>
              </w:rPr>
              <w:t>1</w:t>
            </w:r>
          </w:p>
        </w:tc>
        <w:tc>
          <w:tcPr>
            <w:tcW w:w="3402" w:type="dxa"/>
            <w:tcBorders>
              <w:top w:val="single" w:sz="2" w:space="0" w:color="A6A6A6" w:themeColor="background1" w:themeShade="A6"/>
              <w:left w:val="single" w:sz="2" w:space="0" w:color="A6A6A6" w:themeColor="background1" w:themeShade="A6"/>
              <w:bottom w:val="nil"/>
              <w:right w:val="single" w:sz="2" w:space="0" w:color="A6A6A6" w:themeColor="background1" w:themeShade="A6"/>
            </w:tcBorders>
            <w:shd w:val="clear" w:color="auto" w:fill="auto"/>
            <w:vAlign w:val="center"/>
            <w:hideMark/>
          </w:tcPr>
          <w:p w14:paraId="140BB207" w14:textId="77777777" w:rsidR="009F621F" w:rsidRPr="00A94ADF" w:rsidRDefault="009F621F" w:rsidP="00C91CFD">
            <w:pPr>
              <w:spacing w:after="0" w:line="276" w:lineRule="auto"/>
              <w:jc w:val="left"/>
              <w:rPr>
                <w:rFonts w:cs="Arial"/>
                <w:sz w:val="16"/>
                <w:szCs w:val="16"/>
              </w:rPr>
            </w:pPr>
            <w:r>
              <w:rPr>
                <w:rFonts w:cs="Arial"/>
                <w:sz w:val="16"/>
                <w:szCs w:val="16"/>
              </w:rPr>
              <w:t>Υπουργείο Εθνικής Οικονομίας και Οικονομικών</w:t>
            </w:r>
          </w:p>
        </w:tc>
        <w:tc>
          <w:tcPr>
            <w:tcW w:w="5387" w:type="dxa"/>
            <w:tcBorders>
              <w:top w:val="single" w:sz="2" w:space="0" w:color="A6A6A6" w:themeColor="background1" w:themeShade="A6"/>
              <w:left w:val="single" w:sz="2" w:space="0" w:color="A6A6A6" w:themeColor="background1" w:themeShade="A6"/>
              <w:bottom w:val="nil"/>
            </w:tcBorders>
            <w:shd w:val="clear" w:color="auto" w:fill="auto"/>
            <w:vAlign w:val="center"/>
            <w:hideMark/>
          </w:tcPr>
          <w:p w14:paraId="72ABCEFE" w14:textId="5DFF494F" w:rsidR="009F621F" w:rsidRPr="00627C47" w:rsidRDefault="009F621F" w:rsidP="00627C47">
            <w:pPr>
              <w:tabs>
                <w:tab w:val="left" w:pos="373"/>
              </w:tabs>
              <w:spacing w:after="0" w:line="276" w:lineRule="auto"/>
              <w:ind w:left="374" w:hanging="374"/>
              <w:jc w:val="left"/>
              <w:rPr>
                <w:rFonts w:cs="Arial"/>
                <w:sz w:val="16"/>
                <w:szCs w:val="16"/>
              </w:rPr>
            </w:pPr>
            <w:r>
              <w:rPr>
                <w:rFonts w:eastAsiaTheme="majorEastAsia" w:cs="Arial"/>
                <w:color w:val="000000"/>
                <w:sz w:val="16"/>
                <w:szCs w:val="16"/>
              </w:rPr>
              <w:t>(</w:t>
            </w:r>
            <w:r w:rsidRPr="00627C47">
              <w:rPr>
                <w:rFonts w:cs="Arial"/>
                <w:sz w:val="16"/>
                <w:szCs w:val="16"/>
              </w:rPr>
              <w:t>α)</w:t>
            </w:r>
            <w:r w:rsidR="00627C47">
              <w:rPr>
                <w:rFonts w:cs="Arial"/>
                <w:sz w:val="16"/>
                <w:szCs w:val="16"/>
              </w:rPr>
              <w:tab/>
            </w:r>
            <w:r w:rsidRPr="00627C47">
              <w:rPr>
                <w:rFonts w:cs="Arial"/>
                <w:sz w:val="16"/>
                <w:szCs w:val="16"/>
              </w:rPr>
              <w:t>Μετεγκατάσταση δραστηριοτήτων ΕΑΣ Υμηττού</w:t>
            </w:r>
          </w:p>
          <w:p w14:paraId="29DF5CE1" w14:textId="5B1E7A56" w:rsidR="009F621F" w:rsidRPr="00627C47" w:rsidRDefault="009F621F" w:rsidP="00627C47">
            <w:pPr>
              <w:tabs>
                <w:tab w:val="left" w:pos="373"/>
              </w:tabs>
              <w:spacing w:after="0" w:line="276" w:lineRule="auto"/>
              <w:ind w:left="374" w:hanging="374"/>
              <w:jc w:val="left"/>
              <w:rPr>
                <w:rFonts w:cs="Arial"/>
                <w:sz w:val="16"/>
                <w:szCs w:val="16"/>
              </w:rPr>
            </w:pPr>
            <w:r w:rsidRPr="00627C47">
              <w:rPr>
                <w:rFonts w:cs="Arial"/>
                <w:sz w:val="16"/>
                <w:szCs w:val="16"/>
              </w:rPr>
              <w:t>(β)</w:t>
            </w:r>
            <w:r w:rsidR="00627C47">
              <w:rPr>
                <w:rFonts w:cs="Arial"/>
                <w:sz w:val="16"/>
                <w:szCs w:val="16"/>
              </w:rPr>
              <w:tab/>
            </w:r>
            <w:r w:rsidRPr="00627C47">
              <w:rPr>
                <w:rFonts w:cs="Arial"/>
                <w:sz w:val="16"/>
                <w:szCs w:val="16"/>
              </w:rPr>
              <w:t>Ανέγερση και λειτουργία του κυβερνητικού πάρκου «Ανδρέας Λεντάκης»</w:t>
            </w:r>
          </w:p>
          <w:p w14:paraId="388BA1B9" w14:textId="2B3E2933" w:rsidR="009F621F" w:rsidRPr="00627C47" w:rsidRDefault="009F621F" w:rsidP="00627C47">
            <w:pPr>
              <w:tabs>
                <w:tab w:val="left" w:pos="373"/>
              </w:tabs>
              <w:spacing w:after="0" w:line="276" w:lineRule="auto"/>
              <w:ind w:left="374" w:hanging="374"/>
              <w:jc w:val="left"/>
              <w:rPr>
                <w:rFonts w:cs="Arial"/>
                <w:sz w:val="16"/>
                <w:szCs w:val="16"/>
              </w:rPr>
            </w:pPr>
            <w:r w:rsidRPr="00627C47">
              <w:rPr>
                <w:rFonts w:cs="Arial"/>
                <w:sz w:val="16"/>
                <w:szCs w:val="16"/>
              </w:rPr>
              <w:t>(γ)</w:t>
            </w:r>
            <w:r w:rsidR="00627C47">
              <w:rPr>
                <w:rFonts w:cs="Arial"/>
                <w:sz w:val="16"/>
                <w:szCs w:val="16"/>
              </w:rPr>
              <w:tab/>
            </w:r>
            <w:r w:rsidRPr="00627C47">
              <w:rPr>
                <w:rFonts w:cs="Arial"/>
                <w:sz w:val="16"/>
                <w:szCs w:val="16"/>
              </w:rPr>
              <w:t xml:space="preserve">Ολοκλήρωση των διαδικασιών καταγραφής στο Εθνικό Κτηματολόγιο, προστασία και αξιοποίηση της </w:t>
            </w:r>
            <w:r w:rsidR="00125DC6">
              <w:rPr>
                <w:rFonts w:cs="Arial"/>
                <w:sz w:val="16"/>
                <w:szCs w:val="16"/>
              </w:rPr>
              <w:t>δ</w:t>
            </w:r>
            <w:r w:rsidRPr="00627C47">
              <w:rPr>
                <w:rFonts w:cs="Arial"/>
                <w:sz w:val="16"/>
                <w:szCs w:val="16"/>
              </w:rPr>
              <w:t xml:space="preserve">ημόσιας </w:t>
            </w:r>
            <w:r w:rsidR="00125DC6">
              <w:rPr>
                <w:rFonts w:cs="Arial"/>
                <w:sz w:val="16"/>
                <w:szCs w:val="16"/>
              </w:rPr>
              <w:t>π</w:t>
            </w:r>
            <w:r w:rsidRPr="00627C47">
              <w:rPr>
                <w:rFonts w:cs="Arial"/>
                <w:sz w:val="16"/>
                <w:szCs w:val="16"/>
              </w:rPr>
              <w:t>εριουσίας αρμοδιότητας της Γενικής Γραμματείας Δημόσιας Περιουσίας του Υπουργείου Εθνικής Οικονομίας και Οικονομικών</w:t>
            </w:r>
          </w:p>
          <w:p w14:paraId="5FC818A9" w14:textId="09B2C7FC" w:rsidR="009F621F" w:rsidRPr="00627C47" w:rsidRDefault="009F621F" w:rsidP="00627C47">
            <w:pPr>
              <w:tabs>
                <w:tab w:val="left" w:pos="373"/>
              </w:tabs>
              <w:spacing w:after="0" w:line="276" w:lineRule="auto"/>
              <w:ind w:left="374" w:hanging="374"/>
              <w:jc w:val="left"/>
              <w:rPr>
                <w:rFonts w:cs="Arial"/>
                <w:sz w:val="16"/>
                <w:szCs w:val="16"/>
              </w:rPr>
            </w:pPr>
            <w:r w:rsidRPr="00627C47">
              <w:rPr>
                <w:rFonts w:cs="Arial"/>
                <w:sz w:val="16"/>
                <w:szCs w:val="16"/>
              </w:rPr>
              <w:t>(δ)</w:t>
            </w:r>
            <w:r w:rsidR="00627C47">
              <w:rPr>
                <w:rFonts w:cs="Arial"/>
                <w:sz w:val="16"/>
                <w:szCs w:val="16"/>
              </w:rPr>
              <w:tab/>
            </w:r>
            <w:r w:rsidRPr="00627C47">
              <w:rPr>
                <w:rFonts w:cs="Arial"/>
                <w:sz w:val="16"/>
                <w:szCs w:val="16"/>
              </w:rPr>
              <w:t xml:space="preserve">Δίκαιη Αναπτυξιακή Μετάβαση (ΔΑΜ). Η Δράση αφορά σε </w:t>
            </w:r>
            <w:r w:rsidR="00125DC6">
              <w:rPr>
                <w:rFonts w:cs="Arial"/>
                <w:sz w:val="16"/>
                <w:szCs w:val="16"/>
              </w:rPr>
              <w:t>δύο</w:t>
            </w:r>
            <w:r w:rsidRPr="00627C47">
              <w:rPr>
                <w:rFonts w:cs="Arial"/>
                <w:sz w:val="16"/>
                <w:szCs w:val="16"/>
              </w:rPr>
              <w:t xml:space="preserve"> έργα:</w:t>
            </w:r>
          </w:p>
          <w:p w14:paraId="1A66FF29" w14:textId="5CADC45A" w:rsidR="009F621F" w:rsidRPr="00627C47" w:rsidRDefault="00627C47" w:rsidP="00627C47">
            <w:pPr>
              <w:tabs>
                <w:tab w:val="left" w:pos="373"/>
              </w:tabs>
              <w:spacing w:after="0" w:line="276" w:lineRule="auto"/>
              <w:ind w:left="374" w:hanging="374"/>
              <w:jc w:val="left"/>
              <w:rPr>
                <w:rFonts w:cs="Arial"/>
                <w:sz w:val="16"/>
                <w:szCs w:val="16"/>
              </w:rPr>
            </w:pPr>
            <w:r>
              <w:rPr>
                <w:rFonts w:cs="Arial"/>
                <w:sz w:val="16"/>
                <w:szCs w:val="16"/>
              </w:rPr>
              <w:tab/>
            </w:r>
            <w:r w:rsidRPr="00627C47">
              <w:rPr>
                <w:rFonts w:cs="Arial"/>
                <w:sz w:val="16"/>
                <w:szCs w:val="16"/>
              </w:rPr>
              <w:t xml:space="preserve">- </w:t>
            </w:r>
            <w:r w:rsidR="009F621F" w:rsidRPr="00627C47">
              <w:rPr>
                <w:rFonts w:cs="Arial"/>
                <w:sz w:val="16"/>
                <w:szCs w:val="16"/>
              </w:rPr>
              <w:t xml:space="preserve">Κέντρα Ανάπτυξης Δεξιοτήτων και Απασχόλησης στις </w:t>
            </w:r>
            <w:r w:rsidR="00125DC6">
              <w:rPr>
                <w:rFonts w:cs="Arial"/>
                <w:sz w:val="16"/>
                <w:szCs w:val="16"/>
              </w:rPr>
              <w:t>π</w:t>
            </w:r>
            <w:r w:rsidR="009F621F" w:rsidRPr="00627C47">
              <w:rPr>
                <w:rFonts w:cs="Arial"/>
                <w:sz w:val="16"/>
                <w:szCs w:val="16"/>
              </w:rPr>
              <w:t>εριοχές ΔΑΜ</w:t>
            </w:r>
            <w:r w:rsidR="00125DC6">
              <w:rPr>
                <w:rFonts w:cs="Arial"/>
                <w:sz w:val="16"/>
                <w:szCs w:val="16"/>
              </w:rPr>
              <w:t xml:space="preserve"> και</w:t>
            </w:r>
          </w:p>
          <w:p w14:paraId="393D8053" w14:textId="4F399BA8" w:rsidR="009F621F" w:rsidRPr="00627C47" w:rsidRDefault="00627C47" w:rsidP="00627C47">
            <w:pPr>
              <w:tabs>
                <w:tab w:val="left" w:pos="373"/>
              </w:tabs>
              <w:spacing w:after="0" w:line="276" w:lineRule="auto"/>
              <w:ind w:left="374" w:hanging="374"/>
              <w:jc w:val="left"/>
              <w:rPr>
                <w:rFonts w:cs="Arial"/>
                <w:sz w:val="16"/>
                <w:szCs w:val="16"/>
              </w:rPr>
            </w:pPr>
            <w:r>
              <w:rPr>
                <w:rFonts w:cs="Arial"/>
                <w:sz w:val="16"/>
                <w:szCs w:val="16"/>
              </w:rPr>
              <w:tab/>
            </w:r>
            <w:r w:rsidRPr="00627C47">
              <w:rPr>
                <w:rFonts w:cs="Arial"/>
                <w:sz w:val="16"/>
                <w:szCs w:val="16"/>
              </w:rPr>
              <w:t xml:space="preserve">- </w:t>
            </w:r>
            <w:r w:rsidR="009F621F" w:rsidRPr="00627C47">
              <w:rPr>
                <w:rFonts w:cs="Arial"/>
                <w:sz w:val="16"/>
                <w:szCs w:val="16"/>
              </w:rPr>
              <w:t>Μηχανισμός Στήριξης της Επιχειρηματικότητας για τη ΔΑΜ</w:t>
            </w:r>
          </w:p>
          <w:p w14:paraId="0158F280" w14:textId="00F31681" w:rsidR="009F621F" w:rsidRPr="00627C47" w:rsidRDefault="009F621F" w:rsidP="00627C47">
            <w:pPr>
              <w:tabs>
                <w:tab w:val="left" w:pos="373"/>
              </w:tabs>
              <w:spacing w:after="0" w:line="276" w:lineRule="auto"/>
              <w:ind w:left="374" w:hanging="374"/>
              <w:jc w:val="left"/>
              <w:rPr>
                <w:rFonts w:cs="Arial"/>
                <w:sz w:val="16"/>
                <w:szCs w:val="16"/>
              </w:rPr>
            </w:pPr>
            <w:r w:rsidRPr="00627C47">
              <w:rPr>
                <w:rFonts w:cs="Arial"/>
                <w:sz w:val="16"/>
                <w:szCs w:val="16"/>
              </w:rPr>
              <w:t>(ε)</w:t>
            </w:r>
            <w:r w:rsidR="00627C47">
              <w:rPr>
                <w:rFonts w:cs="Arial"/>
                <w:sz w:val="16"/>
                <w:szCs w:val="16"/>
              </w:rPr>
              <w:tab/>
            </w:r>
            <w:r w:rsidRPr="00627C47">
              <w:rPr>
                <w:rFonts w:cs="Arial"/>
                <w:sz w:val="16"/>
                <w:szCs w:val="16"/>
              </w:rPr>
              <w:t>Πρόσκληση Εξειδικευμένου Συμβούλου Ποιοτικού Ελέγχου (ΕΣΠΕΛ)</w:t>
            </w:r>
          </w:p>
          <w:p w14:paraId="5A054085" w14:textId="28A02E74" w:rsidR="009F621F" w:rsidRPr="00627C47" w:rsidRDefault="009F621F" w:rsidP="00627C47">
            <w:pPr>
              <w:tabs>
                <w:tab w:val="left" w:pos="373"/>
              </w:tabs>
              <w:spacing w:after="0" w:line="276" w:lineRule="auto"/>
              <w:ind w:left="374" w:hanging="374"/>
              <w:jc w:val="left"/>
              <w:rPr>
                <w:rFonts w:cs="Arial"/>
                <w:sz w:val="16"/>
                <w:szCs w:val="16"/>
                <w:lang w:val="en-US"/>
              </w:rPr>
            </w:pPr>
            <w:r w:rsidRPr="00627C47">
              <w:rPr>
                <w:rFonts w:cs="Arial"/>
                <w:sz w:val="16"/>
                <w:szCs w:val="16"/>
                <w:lang w:val="en-US"/>
              </w:rPr>
              <w:t>(</w:t>
            </w:r>
            <w:r w:rsidRPr="00627C47">
              <w:rPr>
                <w:rFonts w:cs="Arial"/>
                <w:sz w:val="16"/>
                <w:szCs w:val="16"/>
              </w:rPr>
              <w:t>στ</w:t>
            </w:r>
            <w:r w:rsidRPr="00627C47">
              <w:rPr>
                <w:rFonts w:cs="Arial"/>
                <w:sz w:val="16"/>
                <w:szCs w:val="16"/>
                <w:lang w:val="en-US"/>
              </w:rPr>
              <w:t>)</w:t>
            </w:r>
            <w:r w:rsidR="009274A1">
              <w:rPr>
                <w:rFonts w:cs="Arial"/>
                <w:sz w:val="16"/>
                <w:szCs w:val="16"/>
                <w:lang w:val="en-US"/>
              </w:rPr>
              <w:tab/>
            </w:r>
            <w:r w:rsidR="00672D9A">
              <w:rPr>
                <w:rFonts w:cs="Arial"/>
                <w:sz w:val="16"/>
                <w:szCs w:val="16"/>
                <w:lang w:val="en-US"/>
              </w:rPr>
              <w:t>“</w:t>
            </w:r>
            <w:r w:rsidRPr="00627C47">
              <w:rPr>
                <w:rFonts w:cs="Arial"/>
                <w:sz w:val="16"/>
                <w:szCs w:val="16"/>
                <w:lang w:val="en-US"/>
              </w:rPr>
              <w:t xml:space="preserve">PROject Development of InteGrated Energy Efficiency renovations" (PRODIGEE) </w:t>
            </w:r>
            <w:r w:rsidRPr="00627C47">
              <w:rPr>
                <w:rFonts w:cs="Arial"/>
                <w:sz w:val="16"/>
                <w:szCs w:val="16"/>
              </w:rPr>
              <w:t>στο</w:t>
            </w:r>
            <w:r w:rsidRPr="00627C47">
              <w:rPr>
                <w:rFonts w:cs="Arial"/>
                <w:sz w:val="16"/>
                <w:szCs w:val="16"/>
                <w:lang w:val="en-US"/>
              </w:rPr>
              <w:t xml:space="preserve"> </w:t>
            </w:r>
            <w:r w:rsidRPr="00627C47">
              <w:rPr>
                <w:rFonts w:cs="Arial"/>
                <w:sz w:val="16"/>
                <w:szCs w:val="16"/>
              </w:rPr>
              <w:t>πλαίσιο</w:t>
            </w:r>
            <w:r w:rsidRPr="00627C47">
              <w:rPr>
                <w:rFonts w:cs="Arial"/>
                <w:sz w:val="16"/>
                <w:szCs w:val="16"/>
                <w:lang w:val="en-US"/>
              </w:rPr>
              <w:t xml:space="preserve"> </w:t>
            </w:r>
            <w:r w:rsidRPr="00627C47">
              <w:rPr>
                <w:rFonts w:cs="Arial"/>
                <w:sz w:val="16"/>
                <w:szCs w:val="16"/>
              </w:rPr>
              <w:t>του</w:t>
            </w:r>
            <w:r w:rsidRPr="00627C47">
              <w:rPr>
                <w:rFonts w:cs="Arial"/>
                <w:sz w:val="16"/>
                <w:szCs w:val="16"/>
                <w:lang w:val="en-US"/>
              </w:rPr>
              <w:t xml:space="preserve"> </w:t>
            </w:r>
            <w:r w:rsidRPr="00627C47">
              <w:rPr>
                <w:rFonts w:cs="Arial"/>
                <w:sz w:val="16"/>
                <w:szCs w:val="16"/>
              </w:rPr>
              <w:t>μηχανισμού</w:t>
            </w:r>
            <w:r w:rsidRPr="00627C47">
              <w:rPr>
                <w:rFonts w:cs="Arial"/>
                <w:sz w:val="16"/>
                <w:szCs w:val="16"/>
                <w:lang w:val="en-US"/>
              </w:rPr>
              <w:t xml:space="preserve"> ELENA </w:t>
            </w:r>
            <w:r w:rsidRPr="00627C47">
              <w:rPr>
                <w:rFonts w:cs="Arial"/>
                <w:sz w:val="16"/>
                <w:szCs w:val="16"/>
              </w:rPr>
              <w:t>της</w:t>
            </w:r>
            <w:r w:rsidRPr="00627C47">
              <w:rPr>
                <w:rFonts w:cs="Arial"/>
                <w:sz w:val="16"/>
                <w:szCs w:val="16"/>
                <w:lang w:val="en-US"/>
              </w:rPr>
              <w:t xml:space="preserve"> </w:t>
            </w:r>
            <w:r w:rsidRPr="00627C47">
              <w:rPr>
                <w:rFonts w:cs="Arial"/>
                <w:sz w:val="16"/>
                <w:szCs w:val="16"/>
              </w:rPr>
              <w:t>ΕΤΕ</w:t>
            </w:r>
            <w:r w:rsidR="00125DC6">
              <w:rPr>
                <w:rFonts w:cs="Arial"/>
                <w:sz w:val="16"/>
                <w:szCs w:val="16"/>
              </w:rPr>
              <w:t>π</w:t>
            </w:r>
          </w:p>
          <w:p w14:paraId="67C39873" w14:textId="6C9C6723" w:rsidR="009F621F" w:rsidRPr="00627C47" w:rsidRDefault="009F621F" w:rsidP="00627C47">
            <w:pPr>
              <w:tabs>
                <w:tab w:val="left" w:pos="373"/>
              </w:tabs>
              <w:spacing w:after="0" w:line="276" w:lineRule="auto"/>
              <w:ind w:left="374" w:hanging="374"/>
              <w:jc w:val="left"/>
              <w:rPr>
                <w:rFonts w:cs="Arial"/>
                <w:sz w:val="16"/>
                <w:szCs w:val="16"/>
              </w:rPr>
            </w:pPr>
            <w:r w:rsidRPr="00627C47">
              <w:rPr>
                <w:rFonts w:cs="Arial"/>
                <w:sz w:val="16"/>
                <w:szCs w:val="16"/>
              </w:rPr>
              <w:t>(</w:t>
            </w:r>
            <w:r w:rsidR="00125DC6">
              <w:rPr>
                <w:rFonts w:cs="Arial"/>
                <w:sz w:val="16"/>
                <w:szCs w:val="16"/>
              </w:rPr>
              <w:t>ζ</w:t>
            </w:r>
            <w:r w:rsidRPr="00627C47">
              <w:rPr>
                <w:rFonts w:cs="Arial"/>
                <w:sz w:val="16"/>
                <w:szCs w:val="16"/>
              </w:rPr>
              <w:t>)</w:t>
            </w:r>
            <w:r w:rsidR="009274A1">
              <w:rPr>
                <w:rFonts w:cs="Arial"/>
                <w:sz w:val="16"/>
                <w:szCs w:val="16"/>
              </w:rPr>
              <w:tab/>
            </w:r>
            <w:r w:rsidRPr="00627C47">
              <w:rPr>
                <w:rFonts w:cs="Arial"/>
                <w:sz w:val="16"/>
                <w:szCs w:val="16"/>
              </w:rPr>
              <w:t>Πολυκαναλικό σύστημα ενημέρωσης και εξυπηρέτησης πολιτών του Υπουργείου Εθνικής Οικονομίας και Οικονομικών</w:t>
            </w:r>
          </w:p>
          <w:p w14:paraId="1FB97662" w14:textId="59456D24" w:rsidR="009F621F" w:rsidRPr="004D2586" w:rsidRDefault="009F621F" w:rsidP="00627C47">
            <w:pPr>
              <w:tabs>
                <w:tab w:val="left" w:pos="373"/>
              </w:tabs>
              <w:spacing w:after="0" w:line="276" w:lineRule="auto"/>
              <w:ind w:left="374" w:hanging="374"/>
              <w:jc w:val="left"/>
              <w:rPr>
                <w:rFonts w:cs="Arial"/>
                <w:sz w:val="16"/>
                <w:szCs w:val="16"/>
              </w:rPr>
            </w:pPr>
            <w:r w:rsidRPr="00627C47">
              <w:rPr>
                <w:rFonts w:cs="Arial"/>
                <w:sz w:val="16"/>
                <w:szCs w:val="16"/>
              </w:rPr>
              <w:t>(</w:t>
            </w:r>
            <w:r w:rsidR="00125DC6">
              <w:rPr>
                <w:rFonts w:cs="Arial"/>
                <w:sz w:val="16"/>
                <w:szCs w:val="16"/>
              </w:rPr>
              <w:t>η</w:t>
            </w:r>
            <w:r w:rsidRPr="00627C47">
              <w:rPr>
                <w:rFonts w:cs="Arial"/>
                <w:sz w:val="16"/>
                <w:szCs w:val="16"/>
              </w:rPr>
              <w:t>)</w:t>
            </w:r>
            <w:r w:rsidR="009274A1">
              <w:rPr>
                <w:rFonts w:cs="Arial"/>
                <w:sz w:val="16"/>
                <w:szCs w:val="16"/>
              </w:rPr>
              <w:tab/>
            </w:r>
            <w:r w:rsidRPr="00627C47">
              <w:rPr>
                <w:rFonts w:cs="Arial"/>
                <w:sz w:val="16"/>
                <w:szCs w:val="16"/>
              </w:rPr>
              <w:t xml:space="preserve">Τεχνική </w:t>
            </w:r>
            <w:r w:rsidR="003D4511">
              <w:rPr>
                <w:rFonts w:cs="Arial"/>
                <w:sz w:val="16"/>
                <w:szCs w:val="16"/>
              </w:rPr>
              <w:t>υ</w:t>
            </w:r>
            <w:r w:rsidRPr="00627C47">
              <w:rPr>
                <w:rFonts w:cs="Arial"/>
                <w:sz w:val="16"/>
                <w:szCs w:val="16"/>
              </w:rPr>
              <w:t>ποστήριξη της Γενικής Γραμματείας ΠΔΕ και ΕΠΑ για την υλοποίηση της μεταρρύθμισης του ν.5140/2024 «Νέο Αναπτυξιακό Πρόγραμμα Δημοσίων Επενδύσεων»</w:t>
            </w:r>
            <w:r w:rsidR="008479A4">
              <w:rPr>
                <w:rFonts w:cs="Arial"/>
                <w:sz w:val="16"/>
                <w:szCs w:val="16"/>
              </w:rPr>
              <w:t xml:space="preserve"> (Α’ 154)</w:t>
            </w:r>
            <w:r w:rsidRPr="00627C47">
              <w:rPr>
                <w:rFonts w:cs="Arial"/>
                <w:sz w:val="16"/>
                <w:szCs w:val="16"/>
              </w:rPr>
              <w:t xml:space="preserve"> και για τον σχεδιασμό της νέας </w:t>
            </w:r>
            <w:r w:rsidR="00847D4C">
              <w:rPr>
                <w:rFonts w:cs="Arial"/>
                <w:sz w:val="16"/>
                <w:szCs w:val="16"/>
              </w:rPr>
              <w:t>π</w:t>
            </w:r>
            <w:r w:rsidRPr="00627C47">
              <w:rPr>
                <w:rFonts w:cs="Arial"/>
                <w:sz w:val="16"/>
                <w:szCs w:val="16"/>
              </w:rPr>
              <w:t xml:space="preserve">ρογραμματικής </w:t>
            </w:r>
            <w:r w:rsidR="00847D4C">
              <w:rPr>
                <w:rFonts w:cs="Arial"/>
                <w:sz w:val="16"/>
                <w:szCs w:val="16"/>
              </w:rPr>
              <w:t>π</w:t>
            </w:r>
            <w:r w:rsidRPr="00627C47">
              <w:rPr>
                <w:rFonts w:cs="Arial"/>
                <w:sz w:val="16"/>
                <w:szCs w:val="16"/>
              </w:rPr>
              <w:t>εριόδου του Εθνικού Προγράμματος Ανάπτυξης</w:t>
            </w:r>
          </w:p>
        </w:tc>
      </w:tr>
      <w:tr w:rsidR="009F621F" w:rsidRPr="00A94ADF" w14:paraId="3B2A9BEB" w14:textId="77777777" w:rsidTr="008751D8">
        <w:trPr>
          <w:cantSplit/>
          <w:trHeight w:val="577"/>
          <w:jc w:val="center"/>
        </w:trPr>
        <w:tc>
          <w:tcPr>
            <w:tcW w:w="564" w:type="dxa"/>
            <w:vMerge/>
            <w:tcBorders>
              <w:bottom w:val="single" w:sz="2" w:space="0" w:color="A6A6A6" w:themeColor="background1" w:themeShade="A6"/>
              <w:right w:val="single" w:sz="2" w:space="0" w:color="A6A6A6" w:themeColor="background1" w:themeShade="A6"/>
            </w:tcBorders>
            <w:shd w:val="clear" w:color="auto" w:fill="auto"/>
            <w:vAlign w:val="center"/>
          </w:tcPr>
          <w:p w14:paraId="6DFCBF55" w14:textId="77777777" w:rsidR="009F621F" w:rsidRPr="00A94ADF" w:rsidRDefault="009F621F" w:rsidP="001819C2">
            <w:pPr>
              <w:spacing w:after="0" w:line="276" w:lineRule="auto"/>
              <w:jc w:val="center"/>
              <w:rPr>
                <w:rFonts w:cs="Arial"/>
                <w:sz w:val="16"/>
                <w:szCs w:val="16"/>
              </w:rPr>
            </w:pPr>
          </w:p>
        </w:tc>
        <w:tc>
          <w:tcPr>
            <w:tcW w:w="3402" w:type="dxa"/>
            <w:tcBorders>
              <w:top w:val="nil"/>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14451C30" w14:textId="2C6C83DC" w:rsidR="009F621F" w:rsidRPr="009F621F" w:rsidRDefault="009F621F" w:rsidP="00C91CFD">
            <w:pPr>
              <w:spacing w:after="0" w:line="276" w:lineRule="auto"/>
              <w:jc w:val="left"/>
              <w:rPr>
                <w:rFonts w:cs="Arial"/>
                <w:sz w:val="16"/>
                <w:szCs w:val="16"/>
              </w:rPr>
            </w:pPr>
            <w:r w:rsidRPr="009F621F">
              <w:rPr>
                <w:rFonts w:cs="Arial"/>
                <w:sz w:val="16"/>
                <w:szCs w:val="16"/>
              </w:rPr>
              <w:t>Υπουργείο Εθνικής Οικονομίας και Οικονομικών/ΑΑΔΕ</w:t>
            </w:r>
          </w:p>
        </w:tc>
        <w:tc>
          <w:tcPr>
            <w:tcW w:w="5387" w:type="dxa"/>
            <w:tcBorders>
              <w:top w:val="nil"/>
              <w:left w:val="single" w:sz="2" w:space="0" w:color="A6A6A6" w:themeColor="background1" w:themeShade="A6"/>
              <w:bottom w:val="single" w:sz="2" w:space="0" w:color="A6A6A6" w:themeColor="background1" w:themeShade="A6"/>
            </w:tcBorders>
            <w:shd w:val="clear" w:color="auto" w:fill="auto"/>
            <w:vAlign w:val="center"/>
          </w:tcPr>
          <w:p w14:paraId="3A571E1A" w14:textId="27110F53" w:rsidR="009F621F" w:rsidRDefault="009F621F" w:rsidP="00C91CFD">
            <w:pPr>
              <w:spacing w:after="0" w:line="276" w:lineRule="auto"/>
              <w:jc w:val="left"/>
              <w:rPr>
                <w:rFonts w:eastAsiaTheme="majorEastAsia" w:cs="Arial"/>
                <w:color w:val="000000"/>
                <w:sz w:val="16"/>
                <w:szCs w:val="16"/>
              </w:rPr>
            </w:pPr>
            <w:r w:rsidRPr="00E65934">
              <w:rPr>
                <w:rFonts w:cs="Arial"/>
                <w:sz w:val="16"/>
                <w:szCs w:val="16"/>
              </w:rPr>
              <w:t>Ενσωμάτωση της λειτουργίας του ΟΠΕΚΕΠΕ στην ΑΑΔΕ</w:t>
            </w:r>
          </w:p>
        </w:tc>
      </w:tr>
      <w:tr w:rsidR="0040795B" w:rsidRPr="00A94ADF" w14:paraId="0C7A356E"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191319AA" w14:textId="23927C16" w:rsidR="0040795B" w:rsidRPr="00A94ADF" w:rsidRDefault="0040795B" w:rsidP="001819C2">
            <w:pPr>
              <w:spacing w:after="0" w:line="276" w:lineRule="auto"/>
              <w:jc w:val="center"/>
              <w:rPr>
                <w:rFonts w:cs="Arial"/>
                <w:sz w:val="16"/>
                <w:szCs w:val="16"/>
              </w:rPr>
            </w:pPr>
            <w:r>
              <w:rPr>
                <w:rFonts w:cs="Arial"/>
                <w:sz w:val="16"/>
                <w:szCs w:val="16"/>
              </w:rPr>
              <w:t>2</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168E0183" w14:textId="77777777" w:rsidR="0040795B" w:rsidRPr="00B05320" w:rsidRDefault="0040795B" w:rsidP="00C91CFD">
            <w:pPr>
              <w:spacing w:after="0" w:line="276" w:lineRule="auto"/>
              <w:jc w:val="left"/>
              <w:rPr>
                <w:rFonts w:cs="Arial"/>
                <w:sz w:val="16"/>
                <w:szCs w:val="16"/>
              </w:rPr>
            </w:pPr>
            <w:r>
              <w:rPr>
                <w:rFonts w:cs="Arial"/>
                <w:sz w:val="16"/>
                <w:szCs w:val="16"/>
              </w:rPr>
              <w:t>Υπουργείο Πολιτισμού</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60DCAA32" w14:textId="7981C277" w:rsidR="0040795B" w:rsidRDefault="004D2586" w:rsidP="00C91CFD">
            <w:pPr>
              <w:spacing w:after="0" w:line="276" w:lineRule="auto"/>
              <w:jc w:val="left"/>
              <w:rPr>
                <w:rFonts w:cs="Arial"/>
                <w:sz w:val="16"/>
                <w:szCs w:val="16"/>
              </w:rPr>
            </w:pPr>
            <w:r w:rsidRPr="004D2586">
              <w:rPr>
                <w:rFonts w:cs="Arial"/>
                <w:sz w:val="16"/>
                <w:szCs w:val="16"/>
              </w:rPr>
              <w:t>Ωρίμανση και διενέργεια διαγωνιστικής διαδικασίας για τους χώρους εστίασης και φιλοξενίας εντός του πρώην βασιλικού κτήματος Τατοΐου</w:t>
            </w:r>
          </w:p>
        </w:tc>
      </w:tr>
      <w:tr w:rsidR="00676DA8" w:rsidRPr="00A94ADF" w14:paraId="430DD991" w14:textId="77777777" w:rsidTr="008751D8">
        <w:trPr>
          <w:cantSplit/>
          <w:trHeight w:val="2327"/>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hideMark/>
          </w:tcPr>
          <w:p w14:paraId="47607AB4" w14:textId="77777777" w:rsidR="00676DA8" w:rsidRPr="00A94ADF" w:rsidRDefault="00676DA8" w:rsidP="001819C2">
            <w:pPr>
              <w:spacing w:after="0" w:line="276" w:lineRule="auto"/>
              <w:jc w:val="center"/>
              <w:rPr>
                <w:rFonts w:cs="Arial"/>
                <w:sz w:val="16"/>
                <w:szCs w:val="16"/>
              </w:rPr>
            </w:pPr>
            <w:r>
              <w:rPr>
                <w:rFonts w:cs="Arial"/>
                <w:sz w:val="16"/>
                <w:szCs w:val="16"/>
              </w:rPr>
              <w:lastRenderedPageBreak/>
              <w:t>3</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hideMark/>
          </w:tcPr>
          <w:p w14:paraId="5B5018A4" w14:textId="66F52DBE" w:rsidR="00676DA8" w:rsidRPr="00A94ADF" w:rsidRDefault="00676DA8" w:rsidP="00C91CFD">
            <w:pPr>
              <w:spacing w:after="0" w:line="276" w:lineRule="auto"/>
              <w:jc w:val="left"/>
              <w:rPr>
                <w:rFonts w:cs="Arial"/>
                <w:sz w:val="16"/>
                <w:szCs w:val="16"/>
              </w:rPr>
            </w:pPr>
            <w:r w:rsidRPr="00A94ADF">
              <w:rPr>
                <w:rFonts w:cs="Arial"/>
                <w:sz w:val="16"/>
                <w:szCs w:val="16"/>
              </w:rPr>
              <w:t>Υπουργείο Υγείας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hideMark/>
          </w:tcPr>
          <w:p w14:paraId="00606DE2" w14:textId="2810EBF1" w:rsidR="00676DA8" w:rsidRPr="009508EC" w:rsidRDefault="009508EC" w:rsidP="009274A1">
            <w:pPr>
              <w:tabs>
                <w:tab w:val="left" w:pos="373"/>
              </w:tabs>
              <w:spacing w:after="0" w:line="276" w:lineRule="auto"/>
              <w:ind w:left="374" w:hanging="374"/>
              <w:jc w:val="left"/>
              <w:rPr>
                <w:rFonts w:cs="Arial"/>
                <w:sz w:val="16"/>
                <w:szCs w:val="16"/>
              </w:rPr>
            </w:pPr>
            <w:r w:rsidRPr="009508EC">
              <w:rPr>
                <w:rFonts w:cs="Arial"/>
                <w:sz w:val="16"/>
                <w:szCs w:val="16"/>
              </w:rPr>
              <w:t>(α)</w:t>
            </w:r>
            <w:r w:rsidR="009274A1">
              <w:rPr>
                <w:rFonts w:cs="Arial"/>
                <w:sz w:val="16"/>
                <w:szCs w:val="16"/>
              </w:rPr>
              <w:tab/>
            </w:r>
            <w:r w:rsidR="00676DA8" w:rsidRPr="009508EC">
              <w:rPr>
                <w:rFonts w:cs="Arial"/>
                <w:sz w:val="16"/>
                <w:szCs w:val="16"/>
              </w:rPr>
              <w:t>Μεταρρύθμιση Π</w:t>
            </w:r>
            <w:r w:rsidR="005276AF">
              <w:rPr>
                <w:rFonts w:cs="Arial"/>
                <w:sz w:val="16"/>
                <w:szCs w:val="16"/>
              </w:rPr>
              <w:t>ΦΥ</w:t>
            </w:r>
          </w:p>
          <w:p w14:paraId="0E64299B" w14:textId="67DEA330" w:rsidR="00676DA8" w:rsidRPr="009508EC" w:rsidRDefault="00676DA8" w:rsidP="009274A1">
            <w:pPr>
              <w:tabs>
                <w:tab w:val="left" w:pos="373"/>
              </w:tabs>
              <w:spacing w:after="0" w:line="276" w:lineRule="auto"/>
              <w:ind w:left="374" w:hanging="374"/>
              <w:jc w:val="left"/>
              <w:rPr>
                <w:rFonts w:cs="Arial"/>
                <w:sz w:val="16"/>
                <w:szCs w:val="16"/>
              </w:rPr>
            </w:pPr>
            <w:r w:rsidRPr="009508EC">
              <w:rPr>
                <w:rFonts w:cs="Arial"/>
                <w:sz w:val="16"/>
                <w:szCs w:val="16"/>
              </w:rPr>
              <w:t>(</w:t>
            </w:r>
            <w:r w:rsidR="009508EC" w:rsidRPr="009508EC">
              <w:rPr>
                <w:rFonts w:cs="Arial"/>
                <w:sz w:val="16"/>
                <w:szCs w:val="16"/>
              </w:rPr>
              <w:t>β</w:t>
            </w:r>
            <w:r w:rsidRPr="009508EC">
              <w:rPr>
                <w:rFonts w:cs="Arial"/>
                <w:sz w:val="16"/>
                <w:szCs w:val="16"/>
              </w:rPr>
              <w:t>)</w:t>
            </w:r>
            <w:r w:rsidR="009274A1">
              <w:rPr>
                <w:rFonts w:cs="Arial"/>
                <w:sz w:val="16"/>
                <w:szCs w:val="16"/>
              </w:rPr>
              <w:tab/>
            </w:r>
            <w:r w:rsidRPr="009508EC">
              <w:rPr>
                <w:rFonts w:cs="Arial"/>
                <w:sz w:val="16"/>
                <w:szCs w:val="16"/>
              </w:rPr>
              <w:t xml:space="preserve">Ανακαίνιση και αναβάθμιση </w:t>
            </w:r>
            <w:r w:rsidR="00E36776">
              <w:rPr>
                <w:rFonts w:cs="Arial"/>
                <w:sz w:val="16"/>
                <w:szCs w:val="16"/>
              </w:rPr>
              <w:t xml:space="preserve">της </w:t>
            </w:r>
            <w:r w:rsidRPr="009508EC">
              <w:rPr>
                <w:rFonts w:cs="Arial"/>
                <w:sz w:val="16"/>
                <w:szCs w:val="16"/>
              </w:rPr>
              <w:t>υποδομής των νοσοκομείων του ΕΣΥ</w:t>
            </w:r>
          </w:p>
          <w:p w14:paraId="339CE31F" w14:textId="622531D1" w:rsidR="00676DA8" w:rsidRPr="009508EC" w:rsidRDefault="00676DA8" w:rsidP="009274A1">
            <w:pPr>
              <w:tabs>
                <w:tab w:val="left" w:pos="373"/>
              </w:tabs>
              <w:spacing w:after="0" w:line="276" w:lineRule="auto"/>
              <w:ind w:left="374" w:hanging="374"/>
              <w:jc w:val="left"/>
              <w:rPr>
                <w:rFonts w:cs="Arial"/>
                <w:sz w:val="16"/>
                <w:szCs w:val="16"/>
              </w:rPr>
            </w:pPr>
            <w:r w:rsidRPr="009508EC">
              <w:rPr>
                <w:rFonts w:cs="Arial"/>
                <w:sz w:val="16"/>
                <w:szCs w:val="16"/>
              </w:rPr>
              <w:t>(</w:t>
            </w:r>
            <w:r w:rsidR="009508EC" w:rsidRPr="009508EC">
              <w:rPr>
                <w:rFonts w:cs="Arial"/>
                <w:sz w:val="16"/>
                <w:szCs w:val="16"/>
              </w:rPr>
              <w:t>γ</w:t>
            </w:r>
            <w:r w:rsidRPr="009508EC">
              <w:rPr>
                <w:rFonts w:cs="Arial"/>
                <w:sz w:val="16"/>
                <w:szCs w:val="16"/>
              </w:rPr>
              <w:t>)</w:t>
            </w:r>
            <w:r w:rsidR="009274A1">
              <w:rPr>
                <w:rFonts w:cs="Arial"/>
                <w:sz w:val="16"/>
                <w:szCs w:val="16"/>
              </w:rPr>
              <w:tab/>
            </w:r>
            <w:r w:rsidRPr="009508EC">
              <w:rPr>
                <w:rFonts w:cs="Arial"/>
                <w:sz w:val="16"/>
                <w:szCs w:val="16"/>
              </w:rPr>
              <w:t>Κτ</w:t>
            </w:r>
            <w:r w:rsidR="003F204F">
              <w:rPr>
                <w:rFonts w:cs="Arial"/>
                <w:sz w:val="16"/>
                <w:szCs w:val="16"/>
              </w:rPr>
              <w:t>ή</w:t>
            </w:r>
            <w:r w:rsidRPr="009508EC">
              <w:rPr>
                <w:rFonts w:cs="Arial"/>
                <w:sz w:val="16"/>
                <w:szCs w:val="16"/>
              </w:rPr>
              <w:t>ριο Γονιδιακών - Κυτταρικών Θεραπειών και Εργαστηρίων Αιματολογικής Κλινικής του Νοσοκομείου «Γ. Παπανικολάου»</w:t>
            </w:r>
          </w:p>
          <w:p w14:paraId="24C1ECDE" w14:textId="3D845712" w:rsidR="00676DA8" w:rsidRPr="009508EC" w:rsidRDefault="00676DA8" w:rsidP="009274A1">
            <w:pPr>
              <w:tabs>
                <w:tab w:val="left" w:pos="373"/>
              </w:tabs>
              <w:spacing w:after="0" w:line="276" w:lineRule="auto"/>
              <w:ind w:left="374" w:hanging="374"/>
              <w:jc w:val="left"/>
              <w:rPr>
                <w:rFonts w:cs="Arial"/>
                <w:sz w:val="16"/>
                <w:szCs w:val="16"/>
              </w:rPr>
            </w:pPr>
            <w:r w:rsidRPr="009508EC">
              <w:rPr>
                <w:rFonts w:cs="Arial"/>
                <w:sz w:val="16"/>
                <w:szCs w:val="16"/>
              </w:rPr>
              <w:t>(</w:t>
            </w:r>
            <w:r w:rsidR="009508EC" w:rsidRPr="009508EC">
              <w:rPr>
                <w:rFonts w:cs="Arial"/>
                <w:sz w:val="16"/>
                <w:szCs w:val="16"/>
              </w:rPr>
              <w:t>δ</w:t>
            </w:r>
            <w:r w:rsidRPr="009508EC">
              <w:rPr>
                <w:rFonts w:cs="Arial"/>
                <w:sz w:val="16"/>
                <w:szCs w:val="16"/>
              </w:rPr>
              <w:t>)</w:t>
            </w:r>
            <w:r w:rsidR="009274A1">
              <w:rPr>
                <w:rFonts w:cs="Arial"/>
                <w:sz w:val="16"/>
                <w:szCs w:val="16"/>
              </w:rPr>
              <w:tab/>
            </w:r>
            <w:r w:rsidRPr="009508EC">
              <w:rPr>
                <w:rFonts w:cs="Arial"/>
                <w:sz w:val="16"/>
                <w:szCs w:val="16"/>
              </w:rPr>
              <w:t>Ίδρυση Κέντρου Ακτινοθεραπείας στο Γενικό Νοσοκομείο Θώρακος Αθηνών «Η Σωτηρία»</w:t>
            </w:r>
          </w:p>
          <w:p w14:paraId="24118A72" w14:textId="2593299B" w:rsidR="00676DA8" w:rsidRDefault="00676DA8" w:rsidP="009274A1">
            <w:pPr>
              <w:tabs>
                <w:tab w:val="left" w:pos="373"/>
              </w:tabs>
              <w:spacing w:after="0" w:line="276" w:lineRule="auto"/>
              <w:ind w:left="374" w:hanging="374"/>
              <w:jc w:val="left"/>
              <w:rPr>
                <w:rFonts w:cs="Arial"/>
                <w:sz w:val="16"/>
                <w:szCs w:val="16"/>
              </w:rPr>
            </w:pPr>
            <w:r w:rsidRPr="009508EC">
              <w:rPr>
                <w:rFonts w:cs="Arial"/>
                <w:sz w:val="16"/>
                <w:szCs w:val="16"/>
              </w:rPr>
              <w:t>(</w:t>
            </w:r>
            <w:r w:rsidR="009508EC" w:rsidRPr="009508EC">
              <w:rPr>
                <w:rFonts w:cs="Arial"/>
                <w:sz w:val="16"/>
                <w:szCs w:val="16"/>
              </w:rPr>
              <w:t>ε</w:t>
            </w:r>
            <w:r w:rsidRPr="009508EC">
              <w:rPr>
                <w:rFonts w:cs="Arial"/>
                <w:sz w:val="16"/>
                <w:szCs w:val="16"/>
              </w:rPr>
              <w:t>)</w:t>
            </w:r>
            <w:r w:rsidR="009274A1">
              <w:rPr>
                <w:rFonts w:cs="Arial"/>
                <w:sz w:val="16"/>
                <w:szCs w:val="16"/>
              </w:rPr>
              <w:tab/>
            </w:r>
            <w:r w:rsidRPr="009508EC">
              <w:rPr>
                <w:rFonts w:cs="Arial"/>
                <w:sz w:val="16"/>
                <w:szCs w:val="16"/>
              </w:rPr>
              <w:t>Επικοινωνία και προβολή των δράσεων του Υπουργείου Υγείας για την αναβάθμιση του ΕΣΥ που χρηματοδοτούνται από το ΤΑΑ</w:t>
            </w:r>
          </w:p>
          <w:p w14:paraId="2ACE2FD5" w14:textId="0CDF5089" w:rsidR="004D2586" w:rsidRPr="009508EC" w:rsidRDefault="004D2586" w:rsidP="009274A1">
            <w:pPr>
              <w:tabs>
                <w:tab w:val="left" w:pos="373"/>
              </w:tabs>
              <w:spacing w:after="0" w:line="276" w:lineRule="auto"/>
              <w:ind w:left="374" w:hanging="374"/>
              <w:jc w:val="left"/>
              <w:rPr>
                <w:rFonts w:cs="Arial"/>
                <w:sz w:val="16"/>
                <w:szCs w:val="16"/>
              </w:rPr>
            </w:pPr>
            <w:r>
              <w:rPr>
                <w:rFonts w:cs="Arial"/>
                <w:sz w:val="16"/>
                <w:szCs w:val="16"/>
              </w:rPr>
              <w:t>(στ)</w:t>
            </w:r>
            <w:r w:rsidR="009274A1">
              <w:rPr>
                <w:rFonts w:cs="Arial"/>
                <w:sz w:val="16"/>
                <w:szCs w:val="16"/>
              </w:rPr>
              <w:tab/>
            </w:r>
            <w:r w:rsidRPr="004D2586">
              <w:rPr>
                <w:rFonts w:cs="Arial"/>
                <w:sz w:val="16"/>
                <w:szCs w:val="16"/>
              </w:rPr>
              <w:t>Ανάπτυξη και Λειτουργία Μηχανισμού Συντονισμού, Πλοήγησης και Πολυκαναλικής Εξυπηρέτησης του Υπουργείου Υγείας</w:t>
            </w:r>
          </w:p>
        </w:tc>
      </w:tr>
      <w:tr w:rsidR="0040795B" w:rsidRPr="00A94ADF" w14:paraId="19198CB4"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hideMark/>
          </w:tcPr>
          <w:p w14:paraId="241C3435" w14:textId="78D34EA0" w:rsidR="0040795B" w:rsidRPr="00A94ADF" w:rsidRDefault="00676DA8" w:rsidP="001819C2">
            <w:pPr>
              <w:spacing w:after="0" w:line="276" w:lineRule="auto"/>
              <w:jc w:val="center"/>
              <w:rPr>
                <w:rFonts w:cs="Arial"/>
                <w:sz w:val="16"/>
                <w:szCs w:val="16"/>
              </w:rPr>
            </w:pPr>
            <w:r>
              <w:rPr>
                <w:rFonts w:cs="Arial"/>
                <w:sz w:val="16"/>
                <w:szCs w:val="16"/>
              </w:rPr>
              <w:t>4</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hideMark/>
          </w:tcPr>
          <w:p w14:paraId="690BA99F" w14:textId="77777777" w:rsidR="0040795B" w:rsidRPr="00A94ADF" w:rsidRDefault="0040795B" w:rsidP="00C91CFD">
            <w:pPr>
              <w:spacing w:after="0" w:line="276" w:lineRule="auto"/>
              <w:jc w:val="left"/>
              <w:rPr>
                <w:rFonts w:cs="Arial"/>
                <w:sz w:val="16"/>
                <w:szCs w:val="16"/>
              </w:rPr>
            </w:pPr>
            <w:r w:rsidRPr="00A94ADF">
              <w:rPr>
                <w:rFonts w:cs="Arial"/>
                <w:sz w:val="16"/>
                <w:szCs w:val="16"/>
              </w:rPr>
              <w:t>Υπουργείο Δικαιοσύνης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hideMark/>
          </w:tcPr>
          <w:p w14:paraId="7F7726D4" w14:textId="26BD99CD" w:rsidR="0040795B" w:rsidRPr="00A94ADF" w:rsidRDefault="0040795B" w:rsidP="00C91CFD">
            <w:pPr>
              <w:spacing w:after="0" w:line="276" w:lineRule="auto"/>
              <w:jc w:val="left"/>
              <w:rPr>
                <w:rFonts w:cs="Arial"/>
                <w:sz w:val="16"/>
                <w:szCs w:val="16"/>
              </w:rPr>
            </w:pPr>
            <w:r w:rsidRPr="00A94ADF">
              <w:rPr>
                <w:rFonts w:cs="Arial"/>
                <w:sz w:val="16"/>
                <w:szCs w:val="16"/>
              </w:rPr>
              <w:t xml:space="preserve">Αναβάθμιση υποδομών απονομής </w:t>
            </w:r>
            <w:r w:rsidR="00676DA8">
              <w:rPr>
                <w:rFonts w:cs="Arial"/>
                <w:sz w:val="16"/>
                <w:szCs w:val="16"/>
              </w:rPr>
              <w:t>δ</w:t>
            </w:r>
            <w:r w:rsidRPr="00A94ADF">
              <w:rPr>
                <w:rFonts w:cs="Arial"/>
                <w:sz w:val="16"/>
                <w:szCs w:val="16"/>
              </w:rPr>
              <w:t xml:space="preserve">ικαιοσύνης </w:t>
            </w:r>
            <w:r w:rsidR="00676DA8">
              <w:rPr>
                <w:rFonts w:cs="Arial"/>
                <w:sz w:val="16"/>
                <w:szCs w:val="16"/>
              </w:rPr>
              <w:t>(</w:t>
            </w:r>
            <w:r w:rsidRPr="00A94ADF">
              <w:rPr>
                <w:rFonts w:cs="Arial"/>
                <w:sz w:val="16"/>
                <w:szCs w:val="16"/>
              </w:rPr>
              <w:t>Πρωτοδικείο Αθηνών</w:t>
            </w:r>
            <w:r w:rsidR="00676DA8">
              <w:rPr>
                <w:rFonts w:cs="Arial"/>
                <w:sz w:val="16"/>
                <w:szCs w:val="16"/>
              </w:rPr>
              <w:t>)</w:t>
            </w:r>
          </w:p>
        </w:tc>
      </w:tr>
      <w:tr w:rsidR="0040795B" w:rsidRPr="00A94ADF" w14:paraId="280649DD"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04378845" w14:textId="04B25D3C" w:rsidR="0040795B" w:rsidRPr="00A94ADF" w:rsidRDefault="00676DA8" w:rsidP="001819C2">
            <w:pPr>
              <w:spacing w:after="0" w:line="276" w:lineRule="auto"/>
              <w:jc w:val="center"/>
              <w:rPr>
                <w:rFonts w:cs="Arial"/>
                <w:sz w:val="16"/>
                <w:szCs w:val="16"/>
              </w:rPr>
            </w:pPr>
            <w:r>
              <w:rPr>
                <w:rFonts w:cs="Arial"/>
                <w:sz w:val="16"/>
                <w:szCs w:val="16"/>
              </w:rPr>
              <w:t>5</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61737F5A" w14:textId="77777777" w:rsidR="0040795B" w:rsidRPr="00A94ADF" w:rsidRDefault="0040795B" w:rsidP="00C91CFD">
            <w:pPr>
              <w:spacing w:after="0" w:line="276" w:lineRule="auto"/>
              <w:jc w:val="left"/>
              <w:rPr>
                <w:rFonts w:cs="Arial"/>
                <w:sz w:val="16"/>
                <w:szCs w:val="16"/>
              </w:rPr>
            </w:pPr>
            <w:r w:rsidRPr="00A94ADF">
              <w:rPr>
                <w:rFonts w:cs="Arial"/>
                <w:sz w:val="16"/>
                <w:szCs w:val="16"/>
              </w:rPr>
              <w:t>Υπουργείο Ανάπτυξης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26E99A0E" w14:textId="6977543B" w:rsidR="0040795B" w:rsidRPr="00A94ADF"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40795B" w:rsidRPr="00A94ADF">
              <w:rPr>
                <w:rFonts w:cs="Arial"/>
                <w:sz w:val="16"/>
                <w:szCs w:val="16"/>
              </w:rPr>
              <w:t>α)</w:t>
            </w:r>
            <w:r w:rsidR="009274A1">
              <w:rPr>
                <w:rFonts w:cs="Arial"/>
                <w:sz w:val="16"/>
                <w:szCs w:val="16"/>
              </w:rPr>
              <w:tab/>
            </w:r>
            <w:r w:rsidR="0040795B" w:rsidRPr="00A94ADF">
              <w:rPr>
                <w:rFonts w:cs="Arial"/>
                <w:sz w:val="16"/>
                <w:szCs w:val="16"/>
              </w:rPr>
              <w:t>Δημιουργία</w:t>
            </w:r>
            <w:r w:rsidR="0040795B">
              <w:rPr>
                <w:rFonts w:cs="Arial"/>
                <w:sz w:val="16"/>
                <w:szCs w:val="16"/>
              </w:rPr>
              <w:t xml:space="preserve"> - ε</w:t>
            </w:r>
            <w:r w:rsidR="0040795B" w:rsidRPr="00A94ADF">
              <w:rPr>
                <w:rFonts w:cs="Arial"/>
                <w:sz w:val="16"/>
                <w:szCs w:val="16"/>
              </w:rPr>
              <w:t>πέκταση</w:t>
            </w:r>
            <w:r w:rsidR="0040795B">
              <w:rPr>
                <w:rFonts w:cs="Arial"/>
                <w:sz w:val="16"/>
                <w:szCs w:val="16"/>
              </w:rPr>
              <w:t xml:space="preserve"> </w:t>
            </w:r>
            <w:r w:rsidR="0040795B" w:rsidRPr="00A94ADF">
              <w:rPr>
                <w:rFonts w:cs="Arial"/>
                <w:sz w:val="16"/>
                <w:szCs w:val="16"/>
              </w:rPr>
              <w:t>-</w:t>
            </w:r>
            <w:r w:rsidR="0040795B">
              <w:rPr>
                <w:rFonts w:cs="Arial"/>
                <w:sz w:val="16"/>
                <w:szCs w:val="16"/>
              </w:rPr>
              <w:t xml:space="preserve"> α</w:t>
            </w:r>
            <w:r w:rsidR="0040795B" w:rsidRPr="00A94ADF">
              <w:rPr>
                <w:rFonts w:cs="Arial"/>
                <w:sz w:val="16"/>
                <w:szCs w:val="16"/>
              </w:rPr>
              <w:t>ναβάθμιση των Ερευνητικών Κέντρων Εποπτείας ΓΓΕΚ</w:t>
            </w:r>
          </w:p>
          <w:p w14:paraId="6AC7D650" w14:textId="29D60581" w:rsidR="0040795B" w:rsidRPr="00A94ADF"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40795B" w:rsidRPr="00A94ADF">
              <w:rPr>
                <w:rFonts w:cs="Arial"/>
                <w:sz w:val="16"/>
                <w:szCs w:val="16"/>
              </w:rPr>
              <w:t>β)</w:t>
            </w:r>
            <w:r w:rsidR="009274A1">
              <w:rPr>
                <w:rFonts w:cs="Arial"/>
                <w:sz w:val="16"/>
                <w:szCs w:val="16"/>
              </w:rPr>
              <w:tab/>
            </w:r>
            <w:r w:rsidR="0040795B" w:rsidRPr="00A94ADF">
              <w:rPr>
                <w:rFonts w:cs="Arial"/>
                <w:sz w:val="16"/>
                <w:szCs w:val="16"/>
              </w:rPr>
              <w:t xml:space="preserve">Οριζόντια </w:t>
            </w:r>
            <w:r w:rsidR="00676DA8">
              <w:rPr>
                <w:rFonts w:cs="Arial"/>
                <w:sz w:val="16"/>
                <w:szCs w:val="16"/>
              </w:rPr>
              <w:t>τ</w:t>
            </w:r>
            <w:r w:rsidR="0040795B" w:rsidRPr="00A94ADF">
              <w:rPr>
                <w:rFonts w:cs="Arial"/>
                <w:sz w:val="16"/>
                <w:szCs w:val="16"/>
              </w:rPr>
              <w:t xml:space="preserve">εχνική </w:t>
            </w:r>
            <w:r w:rsidR="00676DA8">
              <w:rPr>
                <w:rFonts w:cs="Arial"/>
                <w:sz w:val="16"/>
                <w:szCs w:val="16"/>
              </w:rPr>
              <w:t>υ</w:t>
            </w:r>
            <w:r w:rsidR="0040795B" w:rsidRPr="00A94ADF">
              <w:rPr>
                <w:rFonts w:cs="Arial"/>
                <w:sz w:val="16"/>
                <w:szCs w:val="16"/>
              </w:rPr>
              <w:t>ποστήριξη του Υπουργείου για τις εξής εννέα δράσεις</w:t>
            </w:r>
            <w:r w:rsidR="00847D4C">
              <w:rPr>
                <w:rFonts w:cs="Arial"/>
                <w:sz w:val="16"/>
                <w:szCs w:val="16"/>
              </w:rPr>
              <w:t>:</w:t>
            </w:r>
            <w:r w:rsidR="0040795B" w:rsidRPr="00A94ADF">
              <w:rPr>
                <w:rFonts w:cs="Arial"/>
                <w:sz w:val="16"/>
                <w:szCs w:val="16"/>
              </w:rPr>
              <w:t xml:space="preserve"> 16703, 16711, 16634, 16624, 16618,</w:t>
            </w:r>
            <w:r w:rsidR="00E52048" w:rsidRPr="00E52048">
              <w:rPr>
                <w:rFonts w:cs="Arial"/>
                <w:sz w:val="16"/>
                <w:szCs w:val="16"/>
              </w:rPr>
              <w:t xml:space="preserve"> </w:t>
            </w:r>
            <w:r w:rsidR="0040795B" w:rsidRPr="00A94ADF">
              <w:rPr>
                <w:rFonts w:cs="Arial"/>
                <w:sz w:val="16"/>
                <w:szCs w:val="16"/>
              </w:rPr>
              <w:t>16</w:t>
            </w:r>
            <w:r w:rsidR="0040795B">
              <w:rPr>
                <w:rFonts w:cs="Arial"/>
                <w:sz w:val="16"/>
                <w:szCs w:val="16"/>
              </w:rPr>
              <w:t>6</w:t>
            </w:r>
            <w:r w:rsidR="0040795B" w:rsidRPr="00A94ADF">
              <w:rPr>
                <w:rFonts w:cs="Arial"/>
                <w:sz w:val="16"/>
                <w:szCs w:val="16"/>
              </w:rPr>
              <w:t>54,</w:t>
            </w:r>
            <w:r w:rsidR="00E52048" w:rsidRPr="00E52048">
              <w:rPr>
                <w:rFonts w:cs="Arial"/>
                <w:sz w:val="16"/>
                <w:szCs w:val="16"/>
              </w:rPr>
              <w:t xml:space="preserve"> </w:t>
            </w:r>
            <w:r w:rsidR="0040795B" w:rsidRPr="00A94ADF">
              <w:rPr>
                <w:rFonts w:cs="Arial"/>
                <w:sz w:val="16"/>
                <w:szCs w:val="16"/>
              </w:rPr>
              <w:t>16621, 16593</w:t>
            </w:r>
            <w:r w:rsidR="00847D4C">
              <w:rPr>
                <w:rFonts w:cs="Arial"/>
                <w:sz w:val="16"/>
                <w:szCs w:val="16"/>
              </w:rPr>
              <w:t xml:space="preserve"> και</w:t>
            </w:r>
            <w:r w:rsidR="003D4511">
              <w:rPr>
                <w:rFonts w:cs="Arial"/>
                <w:sz w:val="16"/>
                <w:szCs w:val="16"/>
              </w:rPr>
              <w:t xml:space="preserve"> </w:t>
            </w:r>
            <w:r w:rsidR="0040795B" w:rsidRPr="00A94ADF">
              <w:rPr>
                <w:rFonts w:cs="Arial"/>
                <w:sz w:val="16"/>
                <w:szCs w:val="16"/>
              </w:rPr>
              <w:t>16543</w:t>
            </w:r>
          </w:p>
          <w:p w14:paraId="0F75A2FE" w14:textId="69A4C9F8" w:rsidR="0040795B"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40795B" w:rsidRPr="00A94ADF">
              <w:rPr>
                <w:rFonts w:cs="Arial"/>
                <w:sz w:val="16"/>
                <w:szCs w:val="16"/>
              </w:rPr>
              <w:t>γ)</w:t>
            </w:r>
            <w:r w:rsidR="009274A1">
              <w:rPr>
                <w:rFonts w:cs="Arial"/>
                <w:sz w:val="16"/>
                <w:szCs w:val="16"/>
              </w:rPr>
              <w:tab/>
            </w:r>
            <w:r w:rsidR="0040795B" w:rsidRPr="00A94ADF">
              <w:rPr>
                <w:rFonts w:cs="Arial"/>
                <w:sz w:val="16"/>
                <w:szCs w:val="16"/>
              </w:rPr>
              <w:t>Νέα Βιομηχανικά Πάρκα (Γενική Γραμματεία Βιομηχανίας)</w:t>
            </w:r>
          </w:p>
          <w:p w14:paraId="2EFA9B5A" w14:textId="7B32A361" w:rsidR="0040795B" w:rsidRPr="004221A3"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40795B">
              <w:rPr>
                <w:rFonts w:cs="Arial"/>
                <w:sz w:val="16"/>
                <w:szCs w:val="16"/>
              </w:rPr>
              <w:t>δ</w:t>
            </w:r>
            <w:r w:rsidR="0040795B" w:rsidRPr="004221A3">
              <w:rPr>
                <w:rFonts w:cs="Arial"/>
                <w:sz w:val="16"/>
                <w:szCs w:val="16"/>
              </w:rPr>
              <w:t>)</w:t>
            </w:r>
            <w:r w:rsidR="009274A1">
              <w:rPr>
                <w:rFonts w:cs="Arial"/>
                <w:sz w:val="16"/>
                <w:szCs w:val="16"/>
              </w:rPr>
              <w:tab/>
            </w:r>
            <w:r w:rsidR="0040795B" w:rsidRPr="004221A3">
              <w:rPr>
                <w:rFonts w:cs="Arial"/>
                <w:sz w:val="16"/>
                <w:szCs w:val="16"/>
              </w:rPr>
              <w:t>Καταπολέμηση του παραεμπορίου και προστασία πνευματικών δικαιωμάτων</w:t>
            </w:r>
            <w:r w:rsidR="0040795B">
              <w:rPr>
                <w:rFonts w:cs="Arial"/>
                <w:sz w:val="16"/>
                <w:szCs w:val="16"/>
              </w:rPr>
              <w:t xml:space="preserve"> (ΔΙΜΕΑ)</w:t>
            </w:r>
          </w:p>
          <w:p w14:paraId="7AD4BD54" w14:textId="45063B5E" w:rsidR="00642F9A"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40795B">
              <w:rPr>
                <w:rFonts w:cs="Arial"/>
                <w:sz w:val="16"/>
                <w:szCs w:val="16"/>
              </w:rPr>
              <w:t>ε</w:t>
            </w:r>
            <w:r w:rsidR="0040795B" w:rsidRPr="004221A3">
              <w:rPr>
                <w:rFonts w:cs="Arial"/>
                <w:sz w:val="16"/>
                <w:szCs w:val="16"/>
              </w:rPr>
              <w:t>)</w:t>
            </w:r>
            <w:r w:rsidR="009274A1">
              <w:rPr>
                <w:rFonts w:cs="Arial"/>
                <w:sz w:val="16"/>
                <w:szCs w:val="16"/>
              </w:rPr>
              <w:tab/>
            </w:r>
            <w:r w:rsidR="0040795B" w:rsidRPr="004221A3">
              <w:rPr>
                <w:rFonts w:cs="Arial"/>
                <w:sz w:val="16"/>
                <w:szCs w:val="16"/>
              </w:rPr>
              <w:t>Δημιουργία ενός ολοκληρωμένου πληροφοριακού</w:t>
            </w:r>
            <w:r w:rsidR="00EB6670">
              <w:rPr>
                <w:rFonts w:cs="Arial"/>
                <w:sz w:val="16"/>
                <w:szCs w:val="16"/>
              </w:rPr>
              <w:t xml:space="preserve"> </w:t>
            </w:r>
            <w:r w:rsidR="0040795B" w:rsidRPr="004221A3">
              <w:rPr>
                <w:rFonts w:cs="Arial"/>
                <w:sz w:val="16"/>
                <w:szCs w:val="16"/>
              </w:rPr>
              <w:t>συστήματος (Στρατηγικές Επενδύσεις)</w:t>
            </w:r>
          </w:p>
          <w:p w14:paraId="236155BA" w14:textId="41F1D837" w:rsidR="00642F9A" w:rsidRPr="00642F9A" w:rsidRDefault="00642F9A" w:rsidP="009274A1">
            <w:pPr>
              <w:tabs>
                <w:tab w:val="left" w:pos="373"/>
              </w:tabs>
              <w:spacing w:after="0" w:line="276" w:lineRule="auto"/>
              <w:ind w:left="374" w:hanging="374"/>
              <w:jc w:val="left"/>
              <w:rPr>
                <w:rFonts w:cs="Arial"/>
                <w:sz w:val="16"/>
                <w:szCs w:val="16"/>
              </w:rPr>
            </w:pPr>
            <w:r>
              <w:rPr>
                <w:rFonts w:cs="Arial"/>
                <w:sz w:val="16"/>
                <w:szCs w:val="16"/>
              </w:rPr>
              <w:t>(στ)</w:t>
            </w:r>
            <w:r w:rsidR="009274A1">
              <w:rPr>
                <w:rFonts w:cs="Arial"/>
                <w:sz w:val="16"/>
                <w:szCs w:val="16"/>
              </w:rPr>
              <w:tab/>
            </w:r>
            <w:r w:rsidRPr="00642F9A">
              <w:rPr>
                <w:rFonts w:cs="Arial"/>
                <w:sz w:val="16"/>
                <w:szCs w:val="16"/>
              </w:rPr>
              <w:t xml:space="preserve">Επαγγελματοποίηση του τομέα των </w:t>
            </w:r>
            <w:r>
              <w:rPr>
                <w:rFonts w:cs="Arial"/>
                <w:sz w:val="16"/>
                <w:szCs w:val="16"/>
              </w:rPr>
              <w:t>δ</w:t>
            </w:r>
            <w:r w:rsidRPr="00642F9A">
              <w:rPr>
                <w:rFonts w:cs="Arial"/>
                <w:sz w:val="16"/>
                <w:szCs w:val="16"/>
              </w:rPr>
              <w:t>ημ</w:t>
            </w:r>
            <w:r>
              <w:rPr>
                <w:rFonts w:cs="Arial"/>
                <w:sz w:val="16"/>
                <w:szCs w:val="16"/>
              </w:rPr>
              <w:t>όσιων</w:t>
            </w:r>
            <w:r w:rsidRPr="00642F9A">
              <w:rPr>
                <w:rFonts w:cs="Arial"/>
                <w:sz w:val="16"/>
                <w:szCs w:val="16"/>
              </w:rPr>
              <w:t xml:space="preserve"> συμβάσεων</w:t>
            </w:r>
          </w:p>
          <w:p w14:paraId="1FAEC6FC" w14:textId="0D60EB10" w:rsidR="00E36776"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642F9A">
              <w:rPr>
                <w:rFonts w:cs="Arial"/>
                <w:sz w:val="16"/>
                <w:szCs w:val="16"/>
              </w:rPr>
              <w:t>ζ</w:t>
            </w:r>
            <w:r w:rsidR="0040795B">
              <w:rPr>
                <w:rFonts w:cs="Arial"/>
                <w:sz w:val="16"/>
                <w:szCs w:val="16"/>
              </w:rPr>
              <w:t>)</w:t>
            </w:r>
            <w:r w:rsidR="009274A1">
              <w:rPr>
                <w:rFonts w:cs="Arial"/>
                <w:sz w:val="16"/>
                <w:szCs w:val="16"/>
              </w:rPr>
              <w:tab/>
            </w:r>
            <w:r w:rsidR="0040795B">
              <w:rPr>
                <w:rFonts w:cs="Arial"/>
                <w:sz w:val="16"/>
                <w:szCs w:val="16"/>
              </w:rPr>
              <w:t xml:space="preserve">Απλούστευση </w:t>
            </w:r>
            <w:r w:rsidR="00676DA8">
              <w:rPr>
                <w:rFonts w:cs="Arial"/>
                <w:sz w:val="16"/>
                <w:szCs w:val="16"/>
              </w:rPr>
              <w:t>ε</w:t>
            </w:r>
            <w:r w:rsidR="0040795B">
              <w:rPr>
                <w:rFonts w:cs="Arial"/>
                <w:sz w:val="16"/>
                <w:szCs w:val="16"/>
              </w:rPr>
              <w:t xml:space="preserve">πιχειρηματικού </w:t>
            </w:r>
            <w:r w:rsidR="00676DA8">
              <w:rPr>
                <w:rFonts w:cs="Arial"/>
                <w:sz w:val="16"/>
                <w:szCs w:val="16"/>
              </w:rPr>
              <w:t>π</w:t>
            </w:r>
            <w:r w:rsidR="0040795B">
              <w:rPr>
                <w:rFonts w:cs="Arial"/>
                <w:sz w:val="16"/>
                <w:szCs w:val="16"/>
              </w:rPr>
              <w:t>εριβάλλοντος</w:t>
            </w:r>
          </w:p>
          <w:p w14:paraId="6883EC1F" w14:textId="4BE53C84" w:rsidR="00E36776" w:rsidRPr="00A94ADF" w:rsidRDefault="00E36776" w:rsidP="009274A1">
            <w:pPr>
              <w:tabs>
                <w:tab w:val="left" w:pos="373"/>
              </w:tabs>
              <w:spacing w:after="0" w:line="276" w:lineRule="auto"/>
              <w:ind w:left="374" w:hanging="374"/>
              <w:jc w:val="left"/>
              <w:rPr>
                <w:rFonts w:cs="Arial"/>
                <w:sz w:val="16"/>
                <w:szCs w:val="16"/>
              </w:rPr>
            </w:pPr>
            <w:r w:rsidRPr="00E36776">
              <w:rPr>
                <w:rFonts w:cs="Arial"/>
                <w:sz w:val="16"/>
                <w:szCs w:val="16"/>
              </w:rPr>
              <w:t>(</w:t>
            </w:r>
            <w:r w:rsidR="00642F9A">
              <w:rPr>
                <w:rFonts w:cs="Arial"/>
                <w:sz w:val="16"/>
                <w:szCs w:val="16"/>
              </w:rPr>
              <w:t>η</w:t>
            </w:r>
            <w:r w:rsidRPr="00E36776">
              <w:rPr>
                <w:rFonts w:cs="Arial"/>
                <w:sz w:val="16"/>
                <w:szCs w:val="16"/>
              </w:rPr>
              <w:t>)</w:t>
            </w:r>
            <w:r w:rsidR="009274A1">
              <w:rPr>
                <w:rFonts w:cs="Arial"/>
                <w:sz w:val="16"/>
                <w:szCs w:val="16"/>
              </w:rPr>
              <w:tab/>
            </w:r>
            <w:r w:rsidR="00847D4C">
              <w:rPr>
                <w:rFonts w:cs="Arial"/>
                <w:sz w:val="16"/>
                <w:szCs w:val="16"/>
              </w:rPr>
              <w:t>Α</w:t>
            </w:r>
            <w:r w:rsidR="00847D4C" w:rsidRPr="00E36776">
              <w:rPr>
                <w:rFonts w:cs="Arial"/>
                <w:sz w:val="16"/>
                <w:szCs w:val="16"/>
              </w:rPr>
              <w:t xml:space="preserve">ναβάθμιση και επέκταση </w:t>
            </w:r>
            <w:r w:rsidR="00847D4C">
              <w:rPr>
                <w:rFonts w:cs="Arial"/>
                <w:sz w:val="16"/>
                <w:szCs w:val="16"/>
              </w:rPr>
              <w:t xml:space="preserve">της </w:t>
            </w:r>
            <w:r w:rsidR="00847D4C" w:rsidRPr="00E36776">
              <w:rPr>
                <w:rFonts w:cs="Arial"/>
                <w:sz w:val="16"/>
                <w:szCs w:val="16"/>
              </w:rPr>
              <w:t xml:space="preserve">πλατφόρμας </w:t>
            </w:r>
            <w:r w:rsidRPr="00E36776">
              <w:rPr>
                <w:rFonts w:cs="Arial"/>
                <w:sz w:val="16"/>
                <w:szCs w:val="16"/>
              </w:rPr>
              <w:t>e-katanalotis</w:t>
            </w:r>
          </w:p>
        </w:tc>
      </w:tr>
      <w:tr w:rsidR="0040795B" w:rsidRPr="00A94ADF" w14:paraId="4937C09E"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144C6CA5" w14:textId="6CF83555" w:rsidR="0040795B" w:rsidRPr="00A94ADF" w:rsidRDefault="00676DA8" w:rsidP="001819C2">
            <w:pPr>
              <w:spacing w:after="0" w:line="276" w:lineRule="auto"/>
              <w:jc w:val="center"/>
              <w:rPr>
                <w:rFonts w:cs="Arial"/>
                <w:sz w:val="16"/>
                <w:szCs w:val="16"/>
              </w:rPr>
            </w:pPr>
            <w:r>
              <w:rPr>
                <w:rFonts w:cs="Arial"/>
                <w:sz w:val="16"/>
                <w:szCs w:val="16"/>
              </w:rPr>
              <w:t>6</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52F0A2BF" w14:textId="77777777" w:rsidR="0040795B" w:rsidRPr="00A94ADF" w:rsidRDefault="0040795B" w:rsidP="00C91CFD">
            <w:pPr>
              <w:spacing w:after="0" w:line="276" w:lineRule="auto"/>
              <w:jc w:val="left"/>
              <w:rPr>
                <w:rFonts w:cs="Arial"/>
                <w:sz w:val="16"/>
                <w:szCs w:val="16"/>
              </w:rPr>
            </w:pPr>
            <w:r w:rsidRPr="00A94ADF">
              <w:rPr>
                <w:rFonts w:cs="Arial"/>
                <w:sz w:val="16"/>
                <w:szCs w:val="16"/>
              </w:rPr>
              <w:t>Υπουργείο Π</w:t>
            </w:r>
            <w:r>
              <w:rPr>
                <w:rFonts w:cs="Arial"/>
                <w:sz w:val="16"/>
                <w:szCs w:val="16"/>
              </w:rPr>
              <w:t xml:space="preserve">αιδείας, Θρησκευμάτων και </w:t>
            </w:r>
            <w:r w:rsidRPr="00A94ADF">
              <w:rPr>
                <w:rFonts w:cs="Arial"/>
                <w:sz w:val="16"/>
                <w:szCs w:val="16"/>
              </w:rPr>
              <w:t>Αθλητισμού</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74A06B0D" w14:textId="6648F0FF" w:rsidR="0040795B" w:rsidRPr="00A94ADF" w:rsidRDefault="0040795B" w:rsidP="00C91CFD">
            <w:pPr>
              <w:spacing w:after="0" w:line="276" w:lineRule="auto"/>
              <w:jc w:val="left"/>
              <w:rPr>
                <w:rFonts w:cs="Arial"/>
                <w:sz w:val="16"/>
                <w:szCs w:val="16"/>
              </w:rPr>
            </w:pPr>
            <w:r w:rsidRPr="00A94ADF">
              <w:rPr>
                <w:rFonts w:cs="Arial"/>
                <w:sz w:val="16"/>
                <w:szCs w:val="16"/>
              </w:rPr>
              <w:t xml:space="preserve">Συντήρηση και </w:t>
            </w:r>
            <w:r>
              <w:rPr>
                <w:rFonts w:cs="Arial"/>
                <w:sz w:val="16"/>
                <w:szCs w:val="16"/>
              </w:rPr>
              <w:t>ε</w:t>
            </w:r>
            <w:r w:rsidRPr="00A94ADF">
              <w:rPr>
                <w:rFonts w:cs="Arial"/>
                <w:sz w:val="16"/>
                <w:szCs w:val="16"/>
              </w:rPr>
              <w:t xml:space="preserve">νεργειακή επέκταση </w:t>
            </w:r>
            <w:r>
              <w:rPr>
                <w:rFonts w:cs="Arial"/>
                <w:sz w:val="16"/>
                <w:szCs w:val="16"/>
              </w:rPr>
              <w:t xml:space="preserve">του </w:t>
            </w:r>
            <w:r w:rsidRPr="00A94ADF">
              <w:rPr>
                <w:rFonts w:cs="Arial"/>
                <w:sz w:val="16"/>
                <w:szCs w:val="16"/>
              </w:rPr>
              <w:t>ΟΑΚΑ</w:t>
            </w:r>
            <w:r w:rsidR="006E6BE8">
              <w:rPr>
                <w:rFonts w:cs="Arial"/>
                <w:sz w:val="16"/>
                <w:szCs w:val="16"/>
              </w:rPr>
              <w:t xml:space="preserve"> «Σπύρος Λούης»</w:t>
            </w:r>
          </w:p>
        </w:tc>
      </w:tr>
      <w:tr w:rsidR="0040795B" w:rsidRPr="00A94ADF" w14:paraId="69C78BE3"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7AE540A4" w14:textId="19F3D16C" w:rsidR="0040795B" w:rsidRPr="00A94ADF" w:rsidRDefault="00676DA8" w:rsidP="001819C2">
            <w:pPr>
              <w:spacing w:after="0" w:line="276" w:lineRule="auto"/>
              <w:jc w:val="center"/>
              <w:rPr>
                <w:rFonts w:cs="Arial"/>
                <w:sz w:val="16"/>
                <w:szCs w:val="16"/>
              </w:rPr>
            </w:pPr>
            <w:r>
              <w:rPr>
                <w:rFonts w:cs="Arial"/>
                <w:sz w:val="16"/>
                <w:szCs w:val="16"/>
              </w:rPr>
              <w:t>7</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47EDCC36" w14:textId="77777777" w:rsidR="0040795B" w:rsidRPr="00A94ADF" w:rsidRDefault="0040795B" w:rsidP="00C91CFD">
            <w:pPr>
              <w:spacing w:after="0" w:line="276" w:lineRule="auto"/>
              <w:jc w:val="left"/>
              <w:rPr>
                <w:rFonts w:cs="Arial"/>
                <w:sz w:val="16"/>
                <w:szCs w:val="16"/>
              </w:rPr>
            </w:pPr>
            <w:r w:rsidRPr="00A94ADF">
              <w:rPr>
                <w:rFonts w:cs="Arial"/>
                <w:sz w:val="16"/>
                <w:szCs w:val="16"/>
              </w:rPr>
              <w:t>Υπουργείο Περιβάλλοντος και Ενέργειας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08C01E8B" w14:textId="0B164BE0" w:rsidR="0040795B" w:rsidRPr="004221A3" w:rsidRDefault="00FC0EA0" w:rsidP="00627C47">
            <w:pPr>
              <w:tabs>
                <w:tab w:val="left" w:pos="373"/>
              </w:tabs>
              <w:spacing w:after="0" w:line="276" w:lineRule="auto"/>
              <w:ind w:left="374" w:hanging="374"/>
              <w:jc w:val="left"/>
              <w:rPr>
                <w:rFonts w:cs="Arial"/>
                <w:sz w:val="16"/>
                <w:szCs w:val="16"/>
              </w:rPr>
            </w:pPr>
            <w:r>
              <w:rPr>
                <w:rFonts w:cs="Arial"/>
                <w:sz w:val="16"/>
                <w:szCs w:val="16"/>
              </w:rPr>
              <w:t>(</w:t>
            </w:r>
            <w:r w:rsidR="0040795B">
              <w:rPr>
                <w:rFonts w:cs="Arial"/>
                <w:sz w:val="16"/>
                <w:szCs w:val="16"/>
              </w:rPr>
              <w:t>α)</w:t>
            </w:r>
            <w:r w:rsidR="00627C47">
              <w:rPr>
                <w:rFonts w:cs="Arial"/>
                <w:sz w:val="16"/>
                <w:szCs w:val="16"/>
              </w:rPr>
              <w:tab/>
            </w:r>
            <w:r w:rsidR="0040795B" w:rsidRPr="004221A3">
              <w:rPr>
                <w:rFonts w:cs="Arial"/>
                <w:sz w:val="16"/>
                <w:szCs w:val="16"/>
              </w:rPr>
              <w:t>Antinero Ι</w:t>
            </w:r>
          </w:p>
          <w:p w14:paraId="4D6075B0" w14:textId="65DF10A2" w:rsidR="0040795B" w:rsidRPr="004221A3" w:rsidRDefault="00FC0EA0" w:rsidP="00627C47">
            <w:pPr>
              <w:tabs>
                <w:tab w:val="left" w:pos="373"/>
              </w:tabs>
              <w:spacing w:after="0" w:line="276" w:lineRule="auto"/>
              <w:ind w:left="374" w:hanging="374"/>
              <w:jc w:val="left"/>
              <w:rPr>
                <w:rFonts w:cs="Arial"/>
                <w:sz w:val="16"/>
                <w:szCs w:val="16"/>
              </w:rPr>
            </w:pPr>
            <w:r>
              <w:rPr>
                <w:rFonts w:cs="Arial"/>
                <w:sz w:val="16"/>
                <w:szCs w:val="16"/>
              </w:rPr>
              <w:t>(</w:t>
            </w:r>
            <w:r w:rsidR="0040795B">
              <w:rPr>
                <w:rFonts w:cs="Arial"/>
                <w:sz w:val="16"/>
                <w:szCs w:val="16"/>
              </w:rPr>
              <w:t>β)</w:t>
            </w:r>
            <w:r w:rsidR="00627C47">
              <w:rPr>
                <w:rFonts w:cs="Arial"/>
                <w:sz w:val="16"/>
                <w:szCs w:val="16"/>
              </w:rPr>
              <w:tab/>
            </w:r>
            <w:r w:rsidR="0040795B" w:rsidRPr="004221A3">
              <w:rPr>
                <w:rFonts w:cs="Arial"/>
                <w:sz w:val="16"/>
                <w:szCs w:val="16"/>
              </w:rPr>
              <w:t>Πρόγραμμα Προστασίας Δασών Antinero ΙΙ</w:t>
            </w:r>
          </w:p>
          <w:p w14:paraId="088FCDD0" w14:textId="1A9E8B31" w:rsidR="0040795B" w:rsidRDefault="00FC0EA0" w:rsidP="00627C47">
            <w:pPr>
              <w:tabs>
                <w:tab w:val="left" w:pos="373"/>
              </w:tabs>
              <w:spacing w:after="0" w:line="276" w:lineRule="auto"/>
              <w:ind w:left="374" w:hanging="374"/>
              <w:jc w:val="left"/>
              <w:rPr>
                <w:rFonts w:cs="Arial"/>
                <w:sz w:val="16"/>
                <w:szCs w:val="16"/>
              </w:rPr>
            </w:pPr>
            <w:r>
              <w:rPr>
                <w:rFonts w:cs="Arial"/>
                <w:sz w:val="16"/>
                <w:szCs w:val="16"/>
              </w:rPr>
              <w:t>(</w:t>
            </w:r>
            <w:r w:rsidR="0040795B">
              <w:rPr>
                <w:rFonts w:cs="Arial"/>
                <w:sz w:val="16"/>
                <w:szCs w:val="16"/>
              </w:rPr>
              <w:t>γ)</w:t>
            </w:r>
            <w:r w:rsidR="00627C47">
              <w:rPr>
                <w:rFonts w:cs="Arial"/>
                <w:sz w:val="16"/>
                <w:szCs w:val="16"/>
              </w:rPr>
              <w:tab/>
            </w:r>
            <w:r w:rsidR="0040795B">
              <w:rPr>
                <w:rFonts w:cs="Arial"/>
                <w:sz w:val="16"/>
                <w:szCs w:val="16"/>
              </w:rPr>
              <w:t>Εθνικό Σχέδιο Αναδάσωσης</w:t>
            </w:r>
          </w:p>
          <w:p w14:paraId="0FD7551F" w14:textId="15FB765C" w:rsidR="0040795B" w:rsidRDefault="00FC0EA0" w:rsidP="00627C47">
            <w:pPr>
              <w:tabs>
                <w:tab w:val="left" w:pos="373"/>
              </w:tabs>
              <w:spacing w:after="0" w:line="276" w:lineRule="auto"/>
              <w:ind w:left="374" w:hanging="374"/>
              <w:jc w:val="left"/>
              <w:rPr>
                <w:rFonts w:cs="Arial"/>
                <w:sz w:val="16"/>
                <w:szCs w:val="16"/>
              </w:rPr>
            </w:pPr>
            <w:r>
              <w:rPr>
                <w:rFonts w:cs="Arial"/>
                <w:sz w:val="16"/>
                <w:szCs w:val="16"/>
              </w:rPr>
              <w:t>(δ</w:t>
            </w:r>
            <w:r w:rsidR="0040795B">
              <w:rPr>
                <w:rFonts w:cs="Arial"/>
                <w:sz w:val="16"/>
                <w:szCs w:val="16"/>
              </w:rPr>
              <w:t>)</w:t>
            </w:r>
            <w:r w:rsidR="00627C47">
              <w:rPr>
                <w:rFonts w:cs="Arial"/>
                <w:sz w:val="16"/>
                <w:szCs w:val="16"/>
              </w:rPr>
              <w:tab/>
            </w:r>
            <w:r w:rsidR="0040795B">
              <w:rPr>
                <w:rFonts w:cs="Arial"/>
                <w:sz w:val="16"/>
                <w:szCs w:val="16"/>
              </w:rPr>
              <w:t>Αντιδιαβρωτικά και αντιπλημμυρικά έργα</w:t>
            </w:r>
          </w:p>
          <w:p w14:paraId="38C89DED" w14:textId="57929AE5" w:rsidR="00745583" w:rsidRPr="00745583" w:rsidRDefault="00FC0EA0" w:rsidP="00627C47">
            <w:pPr>
              <w:tabs>
                <w:tab w:val="left" w:pos="373"/>
              </w:tabs>
              <w:spacing w:after="0" w:line="276" w:lineRule="auto"/>
              <w:ind w:left="374" w:hanging="374"/>
              <w:jc w:val="left"/>
              <w:rPr>
                <w:rFonts w:cs="Arial"/>
                <w:sz w:val="16"/>
                <w:szCs w:val="16"/>
              </w:rPr>
            </w:pPr>
            <w:r>
              <w:rPr>
                <w:rFonts w:cs="Arial"/>
                <w:sz w:val="16"/>
                <w:szCs w:val="16"/>
              </w:rPr>
              <w:t>(ε</w:t>
            </w:r>
            <w:r w:rsidR="0040795B">
              <w:rPr>
                <w:rFonts w:cs="Arial"/>
                <w:sz w:val="16"/>
                <w:szCs w:val="16"/>
              </w:rPr>
              <w:t>)</w:t>
            </w:r>
            <w:r w:rsidR="00627C47">
              <w:rPr>
                <w:rFonts w:cs="Arial"/>
                <w:sz w:val="16"/>
                <w:szCs w:val="16"/>
              </w:rPr>
              <w:tab/>
            </w:r>
            <w:r w:rsidR="0040795B" w:rsidRPr="004221A3">
              <w:rPr>
                <w:rFonts w:cs="Arial"/>
                <w:sz w:val="16"/>
                <w:szCs w:val="16"/>
              </w:rPr>
              <w:t>Πρόγραμμα Προστασίας Δασών Antinero ΙΙ</w:t>
            </w:r>
            <w:r w:rsidR="0040795B" w:rsidRPr="00627C47">
              <w:rPr>
                <w:rFonts w:cs="Arial"/>
                <w:sz w:val="16"/>
                <w:szCs w:val="16"/>
              </w:rPr>
              <w:t>I</w:t>
            </w:r>
          </w:p>
          <w:p w14:paraId="275491B5" w14:textId="38DC610A" w:rsidR="00745583" w:rsidRDefault="00745583" w:rsidP="00627C47">
            <w:pPr>
              <w:tabs>
                <w:tab w:val="left" w:pos="373"/>
              </w:tabs>
              <w:spacing w:after="0" w:line="276" w:lineRule="auto"/>
              <w:ind w:left="374" w:hanging="374"/>
              <w:jc w:val="left"/>
              <w:rPr>
                <w:rFonts w:cs="Arial"/>
                <w:sz w:val="16"/>
                <w:szCs w:val="16"/>
              </w:rPr>
            </w:pPr>
            <w:r>
              <w:rPr>
                <w:rFonts w:cs="Arial"/>
                <w:sz w:val="16"/>
                <w:szCs w:val="16"/>
              </w:rPr>
              <w:t>(στ)</w:t>
            </w:r>
            <w:r w:rsidR="00627C47">
              <w:rPr>
                <w:rFonts w:cs="Arial"/>
                <w:sz w:val="16"/>
                <w:szCs w:val="16"/>
              </w:rPr>
              <w:tab/>
            </w:r>
            <w:r w:rsidRPr="00745583">
              <w:rPr>
                <w:rFonts w:cs="Arial"/>
                <w:sz w:val="16"/>
                <w:szCs w:val="16"/>
              </w:rPr>
              <w:t>Οριζόντια τεχνική υποστήριξη του Υπουργείου Περιβάλλοντος και Ενέργειας για τα Υποέργα 2 και 3 της δράσης 16874 και για το Υποέργο 1 της δράσης 16831 «Παραγωγικές Επενδύσεις Πράσινης Οικονομίας - Produc-E Green»</w:t>
            </w:r>
          </w:p>
          <w:p w14:paraId="42A0433E" w14:textId="2E4D2221" w:rsidR="00745583" w:rsidRDefault="00745583" w:rsidP="00627C47">
            <w:pPr>
              <w:tabs>
                <w:tab w:val="left" w:pos="373"/>
              </w:tabs>
              <w:spacing w:after="0" w:line="276" w:lineRule="auto"/>
              <w:ind w:left="374" w:hanging="374"/>
              <w:jc w:val="left"/>
              <w:rPr>
                <w:rFonts w:cs="Arial"/>
                <w:sz w:val="16"/>
                <w:szCs w:val="16"/>
              </w:rPr>
            </w:pPr>
            <w:r>
              <w:rPr>
                <w:rFonts w:cs="Arial"/>
                <w:sz w:val="16"/>
                <w:szCs w:val="16"/>
              </w:rPr>
              <w:t xml:space="preserve">(ζ) </w:t>
            </w:r>
            <w:r w:rsidR="00627C47">
              <w:rPr>
                <w:rFonts w:cs="Arial"/>
                <w:sz w:val="16"/>
                <w:szCs w:val="16"/>
              </w:rPr>
              <w:tab/>
            </w:r>
            <w:r w:rsidRPr="00745583">
              <w:rPr>
                <w:rFonts w:cs="Arial"/>
                <w:sz w:val="16"/>
                <w:szCs w:val="16"/>
              </w:rPr>
              <w:t xml:space="preserve">Αξιολόγηση και </w:t>
            </w:r>
            <w:r>
              <w:rPr>
                <w:rFonts w:cs="Arial"/>
                <w:sz w:val="16"/>
                <w:szCs w:val="16"/>
              </w:rPr>
              <w:t>α</w:t>
            </w:r>
            <w:r w:rsidRPr="00745583">
              <w:rPr>
                <w:rFonts w:cs="Arial"/>
                <w:sz w:val="16"/>
                <w:szCs w:val="16"/>
              </w:rPr>
              <w:t>ναθεώρηση του Νέου Ρυθμιστικού Σχεδίου Αθήνας</w:t>
            </w:r>
            <w:r>
              <w:rPr>
                <w:rFonts w:cs="Arial"/>
                <w:sz w:val="16"/>
                <w:szCs w:val="16"/>
              </w:rPr>
              <w:t xml:space="preserve"> </w:t>
            </w:r>
            <w:r w:rsidRPr="00745583">
              <w:rPr>
                <w:rFonts w:cs="Arial"/>
                <w:sz w:val="16"/>
                <w:szCs w:val="16"/>
              </w:rPr>
              <w:t>-</w:t>
            </w:r>
            <w:r>
              <w:rPr>
                <w:rFonts w:cs="Arial"/>
                <w:sz w:val="16"/>
                <w:szCs w:val="16"/>
              </w:rPr>
              <w:t xml:space="preserve"> </w:t>
            </w:r>
            <w:r w:rsidRPr="00745583">
              <w:rPr>
                <w:rFonts w:cs="Arial"/>
                <w:sz w:val="16"/>
                <w:szCs w:val="16"/>
              </w:rPr>
              <w:t>Αττικής</w:t>
            </w:r>
          </w:p>
          <w:p w14:paraId="3F7258E1" w14:textId="7B0BD593" w:rsidR="00745583" w:rsidRDefault="00745583" w:rsidP="00627C47">
            <w:pPr>
              <w:tabs>
                <w:tab w:val="left" w:pos="373"/>
              </w:tabs>
              <w:spacing w:after="0" w:line="276" w:lineRule="auto"/>
              <w:ind w:left="374" w:hanging="374"/>
              <w:jc w:val="left"/>
              <w:rPr>
                <w:rFonts w:cs="Arial"/>
                <w:sz w:val="16"/>
                <w:szCs w:val="16"/>
              </w:rPr>
            </w:pPr>
            <w:r>
              <w:rPr>
                <w:rFonts w:cs="Arial"/>
                <w:sz w:val="16"/>
                <w:szCs w:val="16"/>
              </w:rPr>
              <w:t xml:space="preserve">(η) </w:t>
            </w:r>
            <w:r w:rsidR="00627C47">
              <w:rPr>
                <w:rFonts w:cs="Arial"/>
                <w:sz w:val="16"/>
                <w:szCs w:val="16"/>
              </w:rPr>
              <w:tab/>
            </w:r>
            <w:r w:rsidRPr="00745583">
              <w:rPr>
                <w:rFonts w:cs="Arial"/>
                <w:sz w:val="16"/>
                <w:szCs w:val="16"/>
              </w:rPr>
              <w:t xml:space="preserve">Μελέτη </w:t>
            </w:r>
            <w:r>
              <w:rPr>
                <w:rFonts w:cs="Arial"/>
                <w:sz w:val="16"/>
                <w:szCs w:val="16"/>
              </w:rPr>
              <w:t>π</w:t>
            </w:r>
            <w:r w:rsidRPr="00745583">
              <w:rPr>
                <w:rFonts w:cs="Arial"/>
                <w:sz w:val="16"/>
                <w:szCs w:val="16"/>
              </w:rPr>
              <w:t xml:space="preserve">ροστασίας </w:t>
            </w:r>
            <w:r w:rsidR="00A974B2">
              <w:rPr>
                <w:rFonts w:cs="Arial"/>
                <w:sz w:val="16"/>
                <w:szCs w:val="16"/>
              </w:rPr>
              <w:t xml:space="preserve">του </w:t>
            </w:r>
            <w:r>
              <w:rPr>
                <w:rFonts w:cs="Arial"/>
                <w:sz w:val="16"/>
                <w:szCs w:val="16"/>
              </w:rPr>
              <w:t>ό</w:t>
            </w:r>
            <w:r w:rsidRPr="00745583">
              <w:rPr>
                <w:rFonts w:cs="Arial"/>
                <w:sz w:val="16"/>
                <w:szCs w:val="16"/>
              </w:rPr>
              <w:t>ρους Αιγάλεω - Ποικίλου και ΣΜΠΕ</w:t>
            </w:r>
          </w:p>
          <w:p w14:paraId="03441BF3" w14:textId="29EB7769" w:rsidR="00745583" w:rsidRDefault="00656AAA" w:rsidP="00627C47">
            <w:pPr>
              <w:tabs>
                <w:tab w:val="left" w:pos="373"/>
              </w:tabs>
              <w:spacing w:after="0" w:line="276" w:lineRule="auto"/>
              <w:ind w:left="374" w:hanging="374"/>
              <w:jc w:val="left"/>
              <w:rPr>
                <w:rFonts w:cs="Arial"/>
                <w:sz w:val="16"/>
                <w:szCs w:val="16"/>
              </w:rPr>
            </w:pPr>
            <w:r>
              <w:rPr>
                <w:rFonts w:cs="Arial"/>
                <w:sz w:val="16"/>
                <w:szCs w:val="16"/>
              </w:rPr>
              <w:t xml:space="preserve">(θ) </w:t>
            </w:r>
            <w:r w:rsidR="00627C47">
              <w:rPr>
                <w:rFonts w:cs="Arial"/>
                <w:sz w:val="16"/>
                <w:szCs w:val="16"/>
              </w:rPr>
              <w:tab/>
            </w:r>
            <w:r w:rsidR="00745583" w:rsidRPr="00745583">
              <w:rPr>
                <w:rFonts w:cs="Arial"/>
                <w:sz w:val="16"/>
                <w:szCs w:val="16"/>
              </w:rPr>
              <w:t xml:space="preserve">Δασοπονικές </w:t>
            </w:r>
            <w:r w:rsidR="00A974B2">
              <w:rPr>
                <w:rFonts w:cs="Arial"/>
                <w:sz w:val="16"/>
                <w:szCs w:val="16"/>
              </w:rPr>
              <w:t>μ</w:t>
            </w:r>
            <w:r w:rsidR="00745583" w:rsidRPr="00745583">
              <w:rPr>
                <w:rFonts w:cs="Arial"/>
                <w:sz w:val="16"/>
                <w:szCs w:val="16"/>
              </w:rPr>
              <w:t xml:space="preserve">ελέτες </w:t>
            </w:r>
            <w:r w:rsidR="00A974B2">
              <w:rPr>
                <w:rFonts w:cs="Arial"/>
                <w:sz w:val="16"/>
                <w:szCs w:val="16"/>
              </w:rPr>
              <w:t>δ</w:t>
            </w:r>
            <w:r w:rsidR="00745583" w:rsidRPr="00745583">
              <w:rPr>
                <w:rFonts w:cs="Arial"/>
                <w:sz w:val="16"/>
                <w:szCs w:val="16"/>
              </w:rPr>
              <w:t>ιαχ</w:t>
            </w:r>
            <w:r w:rsidR="00745583">
              <w:rPr>
                <w:rFonts w:cs="Arial"/>
                <w:sz w:val="16"/>
                <w:szCs w:val="16"/>
              </w:rPr>
              <w:t xml:space="preserve">είρισης </w:t>
            </w:r>
            <w:r w:rsidR="00A974B2">
              <w:rPr>
                <w:rFonts w:cs="Arial"/>
                <w:sz w:val="16"/>
                <w:szCs w:val="16"/>
              </w:rPr>
              <w:t>δ</w:t>
            </w:r>
            <w:r w:rsidR="00745583" w:rsidRPr="00745583">
              <w:rPr>
                <w:rFonts w:cs="Arial"/>
                <w:sz w:val="16"/>
                <w:szCs w:val="16"/>
              </w:rPr>
              <w:t xml:space="preserve">ασικών </w:t>
            </w:r>
            <w:r w:rsidR="00A974B2">
              <w:rPr>
                <w:rFonts w:cs="Arial"/>
                <w:sz w:val="16"/>
                <w:szCs w:val="16"/>
              </w:rPr>
              <w:t>ο</w:t>
            </w:r>
            <w:r w:rsidR="00745583" w:rsidRPr="00745583">
              <w:rPr>
                <w:rFonts w:cs="Arial"/>
                <w:sz w:val="16"/>
                <w:szCs w:val="16"/>
              </w:rPr>
              <w:t>ικοσυστημάτων</w:t>
            </w:r>
          </w:p>
          <w:p w14:paraId="02BFD4BD" w14:textId="6C1FD0DA" w:rsidR="00745583" w:rsidRDefault="00745583" w:rsidP="00627C47">
            <w:pPr>
              <w:tabs>
                <w:tab w:val="left" w:pos="373"/>
              </w:tabs>
              <w:spacing w:after="0" w:line="276" w:lineRule="auto"/>
              <w:ind w:left="374" w:hanging="374"/>
              <w:jc w:val="left"/>
              <w:rPr>
                <w:rFonts w:cs="Arial"/>
                <w:sz w:val="16"/>
                <w:szCs w:val="16"/>
              </w:rPr>
            </w:pPr>
            <w:r>
              <w:rPr>
                <w:rFonts w:cs="Arial"/>
                <w:sz w:val="16"/>
                <w:szCs w:val="16"/>
              </w:rPr>
              <w:t>(</w:t>
            </w:r>
            <w:r w:rsidR="00656AAA">
              <w:rPr>
                <w:rFonts w:cs="Arial"/>
                <w:sz w:val="16"/>
                <w:szCs w:val="16"/>
              </w:rPr>
              <w:t>ι</w:t>
            </w:r>
            <w:r>
              <w:rPr>
                <w:rFonts w:cs="Arial"/>
                <w:sz w:val="16"/>
                <w:szCs w:val="16"/>
              </w:rPr>
              <w:t xml:space="preserve">) </w:t>
            </w:r>
            <w:r w:rsidR="00627C47">
              <w:rPr>
                <w:rFonts w:cs="Arial"/>
                <w:sz w:val="16"/>
                <w:szCs w:val="16"/>
              </w:rPr>
              <w:tab/>
            </w:r>
            <w:r w:rsidRPr="00745583">
              <w:rPr>
                <w:rFonts w:cs="Arial"/>
                <w:sz w:val="16"/>
                <w:szCs w:val="16"/>
              </w:rPr>
              <w:t>Έργα ορεινής υδρονομ</w:t>
            </w:r>
            <w:r w:rsidR="00A974B2">
              <w:rPr>
                <w:rFonts w:cs="Arial"/>
                <w:sz w:val="16"/>
                <w:szCs w:val="16"/>
              </w:rPr>
              <w:t>ί</w:t>
            </w:r>
            <w:r w:rsidRPr="00745583">
              <w:rPr>
                <w:rFonts w:cs="Arial"/>
                <w:sz w:val="16"/>
                <w:szCs w:val="16"/>
              </w:rPr>
              <w:t>ας - πρόγραμμα Aqua Montis</w:t>
            </w:r>
          </w:p>
          <w:p w14:paraId="51948A4F" w14:textId="79984D7D" w:rsidR="00745583" w:rsidRDefault="00745583" w:rsidP="00627C47">
            <w:pPr>
              <w:tabs>
                <w:tab w:val="left" w:pos="373"/>
              </w:tabs>
              <w:spacing w:after="0" w:line="276" w:lineRule="auto"/>
              <w:ind w:left="374" w:hanging="374"/>
              <w:jc w:val="left"/>
              <w:rPr>
                <w:rFonts w:cs="Arial"/>
                <w:sz w:val="16"/>
                <w:szCs w:val="16"/>
              </w:rPr>
            </w:pPr>
            <w:r>
              <w:rPr>
                <w:rFonts w:cs="Arial"/>
                <w:sz w:val="16"/>
                <w:szCs w:val="16"/>
              </w:rPr>
              <w:t>(ι</w:t>
            </w:r>
            <w:r w:rsidR="00656AAA">
              <w:rPr>
                <w:rFonts w:cs="Arial"/>
                <w:sz w:val="16"/>
                <w:szCs w:val="16"/>
              </w:rPr>
              <w:t>α</w:t>
            </w:r>
            <w:r>
              <w:rPr>
                <w:rFonts w:cs="Arial"/>
                <w:sz w:val="16"/>
                <w:szCs w:val="16"/>
              </w:rPr>
              <w:t>)</w:t>
            </w:r>
            <w:r w:rsidR="00627C47">
              <w:rPr>
                <w:rFonts w:cs="Arial"/>
                <w:sz w:val="16"/>
                <w:szCs w:val="16"/>
              </w:rPr>
              <w:tab/>
            </w:r>
            <w:r w:rsidRPr="00745583">
              <w:rPr>
                <w:rFonts w:cs="Arial"/>
                <w:sz w:val="16"/>
                <w:szCs w:val="16"/>
              </w:rPr>
              <w:t>16960</w:t>
            </w:r>
            <w:r>
              <w:rPr>
                <w:rFonts w:cs="Arial"/>
                <w:sz w:val="16"/>
                <w:szCs w:val="16"/>
              </w:rPr>
              <w:t xml:space="preserve"> </w:t>
            </w:r>
            <w:r w:rsidRPr="00745583">
              <w:rPr>
                <w:rFonts w:cs="Arial"/>
                <w:sz w:val="16"/>
                <w:szCs w:val="16"/>
              </w:rPr>
              <w:t xml:space="preserve">- Ψηφιακή δράση παρακολούθησης και ελέγχου ατμοσφαιρικής και θαλάσσιας ρύπανσης (Air </w:t>
            </w:r>
            <w:r w:rsidR="009B56DE">
              <w:rPr>
                <w:rFonts w:cs="Arial"/>
                <w:sz w:val="16"/>
                <w:szCs w:val="16"/>
              </w:rPr>
              <w:t>&amp;</w:t>
            </w:r>
            <w:r w:rsidRPr="00745583">
              <w:rPr>
                <w:rFonts w:cs="Arial"/>
                <w:sz w:val="16"/>
                <w:szCs w:val="16"/>
              </w:rPr>
              <w:t xml:space="preserve"> Marine pollution)</w:t>
            </w:r>
          </w:p>
          <w:p w14:paraId="171BB760" w14:textId="2E62F5D6" w:rsidR="00745583" w:rsidRDefault="00745583" w:rsidP="00627C47">
            <w:pPr>
              <w:tabs>
                <w:tab w:val="left" w:pos="373"/>
              </w:tabs>
              <w:spacing w:after="0" w:line="276" w:lineRule="auto"/>
              <w:ind w:left="374" w:hanging="374"/>
              <w:jc w:val="left"/>
              <w:rPr>
                <w:rFonts w:cs="Arial"/>
                <w:sz w:val="16"/>
                <w:szCs w:val="16"/>
              </w:rPr>
            </w:pPr>
            <w:r w:rsidRPr="00745583">
              <w:rPr>
                <w:rFonts w:cs="Arial"/>
                <w:sz w:val="16"/>
                <w:szCs w:val="16"/>
              </w:rPr>
              <w:t>(</w:t>
            </w:r>
            <w:r>
              <w:rPr>
                <w:rFonts w:cs="Arial"/>
                <w:sz w:val="16"/>
                <w:szCs w:val="16"/>
              </w:rPr>
              <w:t>ι</w:t>
            </w:r>
            <w:r w:rsidR="00656AAA">
              <w:rPr>
                <w:rFonts w:cs="Arial"/>
                <w:sz w:val="16"/>
                <w:szCs w:val="16"/>
              </w:rPr>
              <w:t>β</w:t>
            </w:r>
            <w:r>
              <w:rPr>
                <w:rFonts w:cs="Arial"/>
                <w:sz w:val="16"/>
                <w:szCs w:val="16"/>
              </w:rPr>
              <w:t>)</w:t>
            </w:r>
            <w:r w:rsidR="00627C47">
              <w:rPr>
                <w:rFonts w:cs="Arial"/>
                <w:sz w:val="16"/>
                <w:szCs w:val="16"/>
              </w:rPr>
              <w:tab/>
            </w:r>
            <w:r w:rsidRPr="00745583">
              <w:rPr>
                <w:rFonts w:cs="Arial"/>
                <w:sz w:val="16"/>
                <w:szCs w:val="16"/>
              </w:rPr>
              <w:t>Δημοτικά Σχέδια Μείωσης Εκπομπών (ΔηΣΜΕ) και Σχέδια Ενεργειακής Απόδοσης Κτιρίων (ΣΕΑΚ) για την υποστήριξη των ΟΤΑ</w:t>
            </w:r>
          </w:p>
          <w:p w14:paraId="1C2284B4" w14:textId="66BC91E8" w:rsidR="00745583" w:rsidRPr="00745583" w:rsidRDefault="00745583" w:rsidP="00627C47">
            <w:pPr>
              <w:tabs>
                <w:tab w:val="left" w:pos="373"/>
              </w:tabs>
              <w:spacing w:after="0" w:line="276" w:lineRule="auto"/>
              <w:ind w:left="374" w:hanging="374"/>
              <w:jc w:val="left"/>
              <w:rPr>
                <w:rFonts w:cs="Arial"/>
                <w:sz w:val="16"/>
                <w:szCs w:val="16"/>
              </w:rPr>
            </w:pPr>
            <w:r>
              <w:rPr>
                <w:rFonts w:cs="Arial"/>
                <w:sz w:val="16"/>
                <w:szCs w:val="16"/>
              </w:rPr>
              <w:t>(ι</w:t>
            </w:r>
            <w:r w:rsidR="00656AAA">
              <w:rPr>
                <w:rFonts w:cs="Arial"/>
                <w:sz w:val="16"/>
                <w:szCs w:val="16"/>
              </w:rPr>
              <w:t>γ</w:t>
            </w:r>
            <w:r>
              <w:rPr>
                <w:rFonts w:cs="Arial"/>
                <w:sz w:val="16"/>
                <w:szCs w:val="16"/>
              </w:rPr>
              <w:t>)</w:t>
            </w:r>
            <w:r w:rsidR="00627C47">
              <w:rPr>
                <w:rFonts w:cs="Arial"/>
                <w:sz w:val="16"/>
                <w:szCs w:val="16"/>
              </w:rPr>
              <w:tab/>
            </w:r>
            <w:r w:rsidRPr="00745583">
              <w:rPr>
                <w:rFonts w:cs="Arial"/>
                <w:sz w:val="16"/>
                <w:szCs w:val="16"/>
              </w:rPr>
              <w:t>Ταμείο εκσυγχρονισμού (Modernisation Fund)</w:t>
            </w:r>
          </w:p>
          <w:p w14:paraId="56A3ECFD" w14:textId="493941B8" w:rsidR="0040795B" w:rsidRPr="00A94ADF" w:rsidRDefault="00910F97" w:rsidP="00627C47">
            <w:pPr>
              <w:tabs>
                <w:tab w:val="left" w:pos="373"/>
              </w:tabs>
              <w:spacing w:after="0" w:line="276" w:lineRule="auto"/>
              <w:ind w:left="374" w:hanging="374"/>
              <w:jc w:val="left"/>
              <w:rPr>
                <w:rFonts w:cs="Arial"/>
                <w:sz w:val="16"/>
                <w:szCs w:val="16"/>
              </w:rPr>
            </w:pPr>
            <w:r>
              <w:rPr>
                <w:rFonts w:cs="Arial"/>
                <w:sz w:val="16"/>
                <w:szCs w:val="16"/>
              </w:rPr>
              <w:t>(ι</w:t>
            </w:r>
            <w:r w:rsidR="00656AAA">
              <w:rPr>
                <w:rFonts w:cs="Arial"/>
                <w:sz w:val="16"/>
                <w:szCs w:val="16"/>
              </w:rPr>
              <w:t>δ</w:t>
            </w:r>
            <w:r>
              <w:rPr>
                <w:rFonts w:cs="Arial"/>
                <w:sz w:val="16"/>
                <w:szCs w:val="16"/>
              </w:rPr>
              <w:t>)</w:t>
            </w:r>
            <w:r w:rsidR="00627C47">
              <w:rPr>
                <w:rFonts w:cs="Arial"/>
                <w:sz w:val="16"/>
                <w:szCs w:val="16"/>
              </w:rPr>
              <w:tab/>
            </w:r>
            <w:r w:rsidR="00745583" w:rsidRPr="00745583">
              <w:rPr>
                <w:rFonts w:cs="Arial"/>
                <w:sz w:val="16"/>
                <w:szCs w:val="16"/>
              </w:rPr>
              <w:t xml:space="preserve">Ταμείο Απανθρακοποίησης των </w:t>
            </w:r>
            <w:r>
              <w:rPr>
                <w:rFonts w:cs="Arial"/>
                <w:sz w:val="16"/>
                <w:szCs w:val="16"/>
              </w:rPr>
              <w:t>ε</w:t>
            </w:r>
            <w:r w:rsidR="00745583" w:rsidRPr="00745583">
              <w:rPr>
                <w:rFonts w:cs="Arial"/>
                <w:sz w:val="16"/>
                <w:szCs w:val="16"/>
              </w:rPr>
              <w:t xml:space="preserve">λληνικών </w:t>
            </w:r>
            <w:r>
              <w:rPr>
                <w:rFonts w:cs="Arial"/>
                <w:sz w:val="16"/>
                <w:szCs w:val="16"/>
              </w:rPr>
              <w:t>ν</w:t>
            </w:r>
            <w:r w:rsidR="00745583" w:rsidRPr="00745583">
              <w:rPr>
                <w:rFonts w:cs="Arial"/>
                <w:sz w:val="16"/>
                <w:szCs w:val="16"/>
              </w:rPr>
              <w:t>ησιών</w:t>
            </w:r>
            <w:r w:rsidR="00467E64">
              <w:rPr>
                <w:rFonts w:cs="Arial"/>
                <w:sz w:val="16"/>
                <w:szCs w:val="16"/>
              </w:rPr>
              <w:t xml:space="preserve"> </w:t>
            </w:r>
            <w:r w:rsidR="00745583" w:rsidRPr="00745583">
              <w:rPr>
                <w:rFonts w:cs="Arial"/>
                <w:sz w:val="16"/>
                <w:szCs w:val="16"/>
              </w:rPr>
              <w:t>(Decarbonisation Fund)</w:t>
            </w:r>
          </w:p>
        </w:tc>
      </w:tr>
      <w:tr w:rsidR="0040795B" w:rsidRPr="00A94ADF" w14:paraId="59FC1B04"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hideMark/>
          </w:tcPr>
          <w:p w14:paraId="274E6579" w14:textId="1089584C" w:rsidR="0040795B" w:rsidRPr="00A94ADF" w:rsidRDefault="00676DA8" w:rsidP="001819C2">
            <w:pPr>
              <w:spacing w:after="0" w:line="276" w:lineRule="auto"/>
              <w:jc w:val="center"/>
              <w:rPr>
                <w:rFonts w:cs="Arial"/>
                <w:sz w:val="16"/>
                <w:szCs w:val="16"/>
              </w:rPr>
            </w:pPr>
            <w:r>
              <w:rPr>
                <w:rFonts w:cs="Arial"/>
                <w:sz w:val="16"/>
                <w:szCs w:val="16"/>
              </w:rPr>
              <w:t>8</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hideMark/>
          </w:tcPr>
          <w:p w14:paraId="05979CEA" w14:textId="77777777" w:rsidR="0040795B" w:rsidRPr="00A94ADF" w:rsidRDefault="0040795B" w:rsidP="00C91CFD">
            <w:pPr>
              <w:spacing w:after="0" w:line="276" w:lineRule="auto"/>
              <w:jc w:val="left"/>
              <w:rPr>
                <w:rFonts w:cs="Arial"/>
                <w:sz w:val="16"/>
                <w:szCs w:val="16"/>
              </w:rPr>
            </w:pPr>
            <w:r w:rsidRPr="00A94ADF">
              <w:rPr>
                <w:rFonts w:cs="Arial"/>
                <w:sz w:val="16"/>
                <w:szCs w:val="16"/>
              </w:rPr>
              <w:t>Υπουργείο Προστασίας του Πολίτη</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hideMark/>
          </w:tcPr>
          <w:p w14:paraId="246B7B33" w14:textId="47FD25D2" w:rsidR="0040795B"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40795B">
              <w:rPr>
                <w:rFonts w:cs="Arial"/>
                <w:sz w:val="16"/>
                <w:szCs w:val="16"/>
              </w:rPr>
              <w:t>α)</w:t>
            </w:r>
            <w:r w:rsidR="009274A1">
              <w:rPr>
                <w:rFonts w:cs="Arial"/>
                <w:sz w:val="16"/>
                <w:szCs w:val="16"/>
              </w:rPr>
              <w:tab/>
            </w:r>
            <w:r w:rsidR="0040795B" w:rsidRPr="00A94ADF">
              <w:rPr>
                <w:rFonts w:cs="Arial"/>
                <w:sz w:val="16"/>
                <w:szCs w:val="16"/>
              </w:rPr>
              <w:t>Μετεγκατάσταση του Συγκροτήματος των Καταστημάτων Κράτησης Κορυδαλλού</w:t>
            </w:r>
          </w:p>
          <w:p w14:paraId="32149099" w14:textId="50806DC1" w:rsidR="0040795B" w:rsidRPr="00A94ADF"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40795B" w:rsidRPr="006F59F5">
              <w:rPr>
                <w:rFonts w:cs="Arial"/>
                <w:sz w:val="16"/>
                <w:szCs w:val="16"/>
              </w:rPr>
              <w:t>β)</w:t>
            </w:r>
            <w:r w:rsidR="009274A1">
              <w:rPr>
                <w:rFonts w:cs="Arial"/>
                <w:sz w:val="16"/>
                <w:szCs w:val="16"/>
              </w:rPr>
              <w:tab/>
            </w:r>
            <w:r w:rsidR="0040795B" w:rsidRPr="006F59F5">
              <w:rPr>
                <w:rFonts w:cs="Arial"/>
                <w:sz w:val="16"/>
                <w:szCs w:val="16"/>
              </w:rPr>
              <w:t>Υλοποίηση πλέγματος στοχευμένων παρεμβάσεων για την ενίσχυση κτ</w:t>
            </w:r>
            <w:r w:rsidR="00A974B2">
              <w:rPr>
                <w:rFonts w:cs="Arial"/>
                <w:sz w:val="16"/>
                <w:szCs w:val="16"/>
              </w:rPr>
              <w:t>η</w:t>
            </w:r>
            <w:r w:rsidR="0040795B" w:rsidRPr="006F59F5">
              <w:rPr>
                <w:rFonts w:cs="Arial"/>
                <w:sz w:val="16"/>
                <w:szCs w:val="16"/>
              </w:rPr>
              <w:t>ριακών και λοιπών υποδομών</w:t>
            </w:r>
            <w:r w:rsidR="006E6BE8">
              <w:rPr>
                <w:rFonts w:cs="Arial"/>
                <w:sz w:val="16"/>
                <w:szCs w:val="16"/>
              </w:rPr>
              <w:t xml:space="preserve"> καθώς και </w:t>
            </w:r>
            <w:r w:rsidR="0040795B" w:rsidRPr="006F59F5">
              <w:rPr>
                <w:rFonts w:cs="Arial"/>
                <w:sz w:val="16"/>
                <w:szCs w:val="16"/>
              </w:rPr>
              <w:t xml:space="preserve">του τεχνικού και επιχειρησιακού εξοπλισμού, την ενσωμάτωση των </w:t>
            </w:r>
            <w:r w:rsidR="006E6BE8">
              <w:rPr>
                <w:rFonts w:cs="Arial"/>
                <w:sz w:val="16"/>
                <w:szCs w:val="16"/>
              </w:rPr>
              <w:t>Τ</w:t>
            </w:r>
            <w:r w:rsidR="0040795B" w:rsidRPr="006F59F5">
              <w:rPr>
                <w:rFonts w:cs="Arial"/>
                <w:sz w:val="16"/>
                <w:szCs w:val="16"/>
              </w:rPr>
              <w:t xml:space="preserve">εχνολογιών </w:t>
            </w:r>
            <w:r w:rsidR="006E6BE8">
              <w:rPr>
                <w:rFonts w:cs="Arial"/>
                <w:sz w:val="16"/>
                <w:szCs w:val="16"/>
              </w:rPr>
              <w:t>Π</w:t>
            </w:r>
            <w:r w:rsidR="0040795B" w:rsidRPr="006F59F5">
              <w:rPr>
                <w:rFonts w:cs="Arial"/>
                <w:sz w:val="16"/>
                <w:szCs w:val="16"/>
              </w:rPr>
              <w:t xml:space="preserve">ληροφορικής και </w:t>
            </w:r>
            <w:r w:rsidR="006E6BE8">
              <w:rPr>
                <w:rFonts w:cs="Arial"/>
                <w:sz w:val="16"/>
                <w:szCs w:val="16"/>
              </w:rPr>
              <w:t>Ε</w:t>
            </w:r>
            <w:r w:rsidR="0040795B" w:rsidRPr="006F59F5">
              <w:rPr>
                <w:rFonts w:cs="Arial"/>
                <w:sz w:val="16"/>
                <w:szCs w:val="16"/>
              </w:rPr>
              <w:t>πικοινωνιών (ΤΠΕ) και την προώθηση εν γένει νέων τεχνολογιών με σκοπό την ενίσχυση της Γενικής Γραμματείας Δημόσιας Τάξης του Υπουργείου Προστασίας του Πολίτη</w:t>
            </w:r>
          </w:p>
        </w:tc>
      </w:tr>
      <w:tr w:rsidR="0040795B" w:rsidRPr="00A94ADF" w14:paraId="17791936"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hideMark/>
          </w:tcPr>
          <w:p w14:paraId="37A555B3" w14:textId="13A34727" w:rsidR="0040795B" w:rsidRPr="00A94ADF" w:rsidRDefault="00676DA8" w:rsidP="001819C2">
            <w:pPr>
              <w:spacing w:after="0" w:line="276" w:lineRule="auto"/>
              <w:jc w:val="center"/>
              <w:rPr>
                <w:rFonts w:cs="Arial"/>
                <w:sz w:val="16"/>
                <w:szCs w:val="16"/>
              </w:rPr>
            </w:pPr>
            <w:r>
              <w:rPr>
                <w:rFonts w:cs="Arial"/>
                <w:sz w:val="16"/>
                <w:szCs w:val="16"/>
              </w:rPr>
              <w:t>9</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hideMark/>
          </w:tcPr>
          <w:p w14:paraId="5CD5876C" w14:textId="77777777" w:rsidR="0040795B" w:rsidRPr="00A94ADF" w:rsidRDefault="0040795B" w:rsidP="00C91CFD">
            <w:pPr>
              <w:spacing w:after="0" w:line="276" w:lineRule="auto"/>
              <w:jc w:val="left"/>
              <w:rPr>
                <w:rFonts w:cs="Arial"/>
                <w:sz w:val="16"/>
                <w:szCs w:val="16"/>
              </w:rPr>
            </w:pPr>
            <w:r w:rsidRPr="00A94ADF">
              <w:rPr>
                <w:rFonts w:cs="Arial"/>
                <w:sz w:val="16"/>
                <w:szCs w:val="16"/>
              </w:rPr>
              <w:t>Υπουργείο Κλιματικής Κρίσης και Πολιτικής Προστασίας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hideMark/>
          </w:tcPr>
          <w:p w14:paraId="06B91A72" w14:textId="492F2E86" w:rsidR="0040795B" w:rsidRDefault="00FC0EA0" w:rsidP="009274A1">
            <w:pPr>
              <w:tabs>
                <w:tab w:val="left" w:pos="373"/>
              </w:tabs>
              <w:spacing w:after="0" w:line="276" w:lineRule="auto"/>
              <w:ind w:left="374" w:hanging="374"/>
              <w:jc w:val="left"/>
              <w:rPr>
                <w:rFonts w:cs="Arial"/>
                <w:sz w:val="16"/>
                <w:szCs w:val="16"/>
              </w:rPr>
            </w:pPr>
            <w:r>
              <w:rPr>
                <w:rFonts w:cs="Arial"/>
                <w:sz w:val="16"/>
                <w:szCs w:val="16"/>
              </w:rPr>
              <w:t>(</w:t>
            </w:r>
            <w:r w:rsidR="0040795B">
              <w:rPr>
                <w:rFonts w:cs="Arial"/>
                <w:sz w:val="16"/>
                <w:szCs w:val="16"/>
              </w:rPr>
              <w:t>α)</w:t>
            </w:r>
            <w:r w:rsidR="009274A1">
              <w:rPr>
                <w:rFonts w:cs="Arial"/>
                <w:sz w:val="16"/>
                <w:szCs w:val="16"/>
              </w:rPr>
              <w:tab/>
            </w:r>
            <w:r w:rsidR="0040795B" w:rsidRPr="00A94ADF">
              <w:rPr>
                <w:rFonts w:cs="Arial"/>
                <w:sz w:val="16"/>
                <w:szCs w:val="16"/>
              </w:rPr>
              <w:t>Εθνικό Πρόγραμμα Πολιτικής Προστασίας «ΑΙΓΙΣ» - Οριζόντια Τεχνική Υποστήριξη για τις Δράσεις 16909,</w:t>
            </w:r>
            <w:r w:rsidR="0040795B">
              <w:rPr>
                <w:rFonts w:cs="Arial"/>
                <w:sz w:val="16"/>
                <w:szCs w:val="16"/>
              </w:rPr>
              <w:t xml:space="preserve"> </w:t>
            </w:r>
            <w:r w:rsidR="0040795B" w:rsidRPr="00A94ADF">
              <w:rPr>
                <w:rFonts w:cs="Arial"/>
                <w:sz w:val="16"/>
                <w:szCs w:val="16"/>
              </w:rPr>
              <w:t>16910,</w:t>
            </w:r>
            <w:r w:rsidR="0040795B">
              <w:rPr>
                <w:rFonts w:cs="Arial"/>
                <w:sz w:val="16"/>
                <w:szCs w:val="16"/>
              </w:rPr>
              <w:t xml:space="preserve"> </w:t>
            </w:r>
            <w:r w:rsidR="0040795B" w:rsidRPr="00A94ADF">
              <w:rPr>
                <w:rFonts w:cs="Arial"/>
                <w:sz w:val="16"/>
                <w:szCs w:val="16"/>
              </w:rPr>
              <w:t>16911</w:t>
            </w:r>
            <w:r w:rsidR="00FA6D46">
              <w:rPr>
                <w:rFonts w:cs="Arial"/>
                <w:sz w:val="16"/>
                <w:szCs w:val="16"/>
              </w:rPr>
              <w:t xml:space="preserve"> και</w:t>
            </w:r>
            <w:r w:rsidR="0040795B" w:rsidRPr="00A94ADF">
              <w:rPr>
                <w:rFonts w:cs="Arial"/>
                <w:sz w:val="16"/>
                <w:szCs w:val="16"/>
              </w:rPr>
              <w:t xml:space="preserve"> 16912</w:t>
            </w:r>
          </w:p>
          <w:p w14:paraId="37857F80" w14:textId="2A1480F8" w:rsidR="0040795B" w:rsidRPr="00A94ADF" w:rsidRDefault="00FC0EA0" w:rsidP="00E255C2">
            <w:pPr>
              <w:tabs>
                <w:tab w:val="left" w:pos="373"/>
              </w:tabs>
              <w:spacing w:after="0" w:line="276" w:lineRule="auto"/>
              <w:ind w:left="374" w:hanging="374"/>
              <w:jc w:val="left"/>
              <w:rPr>
                <w:rFonts w:cs="Arial"/>
                <w:sz w:val="16"/>
                <w:szCs w:val="16"/>
              </w:rPr>
            </w:pPr>
            <w:r>
              <w:rPr>
                <w:rFonts w:cs="Arial"/>
                <w:sz w:val="16"/>
                <w:szCs w:val="16"/>
              </w:rPr>
              <w:t>(</w:t>
            </w:r>
            <w:r w:rsidR="0040795B">
              <w:rPr>
                <w:rFonts w:cs="Arial"/>
                <w:sz w:val="16"/>
                <w:szCs w:val="16"/>
              </w:rPr>
              <w:t>β)</w:t>
            </w:r>
            <w:r w:rsidR="009274A1">
              <w:rPr>
                <w:rFonts w:cs="Arial"/>
                <w:sz w:val="16"/>
                <w:szCs w:val="16"/>
              </w:rPr>
              <w:tab/>
            </w:r>
            <w:r w:rsidR="0040795B">
              <w:rPr>
                <w:rFonts w:cs="Arial"/>
                <w:sz w:val="16"/>
                <w:szCs w:val="16"/>
              </w:rPr>
              <w:t>Υποστήριξη των υπηρεσιών της Γενικής Γραμματείας</w:t>
            </w:r>
            <w:r w:rsidR="00E255C2" w:rsidRPr="00E255C2">
              <w:rPr>
                <w:rFonts w:cs="Arial"/>
                <w:sz w:val="16"/>
                <w:szCs w:val="16"/>
              </w:rPr>
              <w:t xml:space="preserve"> </w:t>
            </w:r>
            <w:r w:rsidR="0040795B">
              <w:rPr>
                <w:rFonts w:cs="Arial"/>
                <w:sz w:val="16"/>
                <w:szCs w:val="16"/>
              </w:rPr>
              <w:t>Αποκατάσταση</w:t>
            </w:r>
            <w:r w:rsidR="006E6BE8">
              <w:rPr>
                <w:rFonts w:cs="Arial"/>
                <w:sz w:val="16"/>
                <w:szCs w:val="16"/>
              </w:rPr>
              <w:t>ς</w:t>
            </w:r>
            <w:r w:rsidR="0040795B">
              <w:rPr>
                <w:rFonts w:cs="Arial"/>
                <w:sz w:val="16"/>
                <w:szCs w:val="16"/>
              </w:rPr>
              <w:t xml:space="preserve"> Φυσικών Καταστροφών και Κρατικής Αρωγής</w:t>
            </w:r>
            <w:r w:rsidR="00910F97">
              <w:rPr>
                <w:rFonts w:cs="Arial"/>
                <w:sz w:val="16"/>
                <w:szCs w:val="16"/>
              </w:rPr>
              <w:t xml:space="preserve"> </w:t>
            </w:r>
            <w:r w:rsidR="00FA6D46">
              <w:rPr>
                <w:rFonts w:cs="Arial"/>
                <w:sz w:val="16"/>
                <w:szCs w:val="16"/>
              </w:rPr>
              <w:t>(</w:t>
            </w:r>
            <w:r w:rsidR="00910F97">
              <w:rPr>
                <w:rFonts w:cs="Arial"/>
                <w:sz w:val="16"/>
                <w:szCs w:val="16"/>
              </w:rPr>
              <w:t>Φάση Α και Φάση Β</w:t>
            </w:r>
            <w:r w:rsidR="00FA6D46">
              <w:rPr>
                <w:rFonts w:cs="Arial"/>
                <w:sz w:val="16"/>
                <w:szCs w:val="16"/>
              </w:rPr>
              <w:t>)</w:t>
            </w:r>
          </w:p>
        </w:tc>
      </w:tr>
      <w:tr w:rsidR="0040795B" w:rsidRPr="00B07A2B" w14:paraId="05051A6F"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1BC8D994" w14:textId="3B8967AB" w:rsidR="0040795B" w:rsidRPr="00A94ADF" w:rsidRDefault="00676DA8" w:rsidP="001819C2">
            <w:pPr>
              <w:spacing w:after="0" w:line="276" w:lineRule="auto"/>
              <w:jc w:val="center"/>
              <w:rPr>
                <w:rFonts w:cs="Arial"/>
                <w:sz w:val="16"/>
                <w:szCs w:val="16"/>
              </w:rPr>
            </w:pPr>
            <w:r>
              <w:rPr>
                <w:rFonts w:cs="Arial"/>
                <w:sz w:val="16"/>
                <w:szCs w:val="16"/>
              </w:rPr>
              <w:lastRenderedPageBreak/>
              <w:t>10</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034FB5A5" w14:textId="77777777" w:rsidR="0040795B" w:rsidRPr="00A94ADF" w:rsidRDefault="0040795B" w:rsidP="00C91CFD">
            <w:pPr>
              <w:spacing w:after="0" w:line="276" w:lineRule="auto"/>
              <w:jc w:val="left"/>
              <w:rPr>
                <w:rFonts w:cs="Arial"/>
                <w:sz w:val="16"/>
                <w:szCs w:val="16"/>
              </w:rPr>
            </w:pPr>
            <w:r w:rsidRPr="00B07A2B">
              <w:rPr>
                <w:rFonts w:cs="Arial"/>
                <w:sz w:val="16"/>
                <w:szCs w:val="16"/>
              </w:rPr>
              <w:t>Υπουργείο Υποδομών και Μεταφορών</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23F83B3B" w14:textId="77777777" w:rsidR="0040795B" w:rsidRPr="00A94ADF" w:rsidRDefault="0040795B" w:rsidP="00C91CFD">
            <w:pPr>
              <w:spacing w:after="0" w:line="276" w:lineRule="auto"/>
              <w:jc w:val="left"/>
              <w:rPr>
                <w:rFonts w:cs="Arial"/>
                <w:sz w:val="16"/>
                <w:szCs w:val="16"/>
              </w:rPr>
            </w:pPr>
            <w:r w:rsidRPr="00B07A2B">
              <w:rPr>
                <w:rFonts w:cs="Arial"/>
                <w:sz w:val="16"/>
                <w:szCs w:val="16"/>
              </w:rPr>
              <w:t xml:space="preserve">Οδικός χάρτης για την αξιοποίηση του πρώην Αεροδρομίου </w:t>
            </w:r>
            <w:r>
              <w:rPr>
                <w:rFonts w:cs="Arial"/>
                <w:sz w:val="16"/>
                <w:szCs w:val="16"/>
              </w:rPr>
              <w:t>«</w:t>
            </w:r>
            <w:r w:rsidRPr="00B07A2B">
              <w:rPr>
                <w:rFonts w:cs="Arial"/>
                <w:sz w:val="16"/>
                <w:szCs w:val="16"/>
              </w:rPr>
              <w:t>Νίκος Καζαντζάκης</w:t>
            </w:r>
            <w:r>
              <w:rPr>
                <w:rFonts w:cs="Arial"/>
                <w:sz w:val="16"/>
                <w:szCs w:val="16"/>
              </w:rPr>
              <w:t>»</w:t>
            </w:r>
          </w:p>
        </w:tc>
      </w:tr>
      <w:tr w:rsidR="0040795B" w:rsidRPr="00B07A2B" w14:paraId="2B658C21" w14:textId="77777777" w:rsidTr="008751D8">
        <w:trPr>
          <w:cantSplit/>
          <w:jc w:val="center"/>
        </w:trPr>
        <w:tc>
          <w:tcPr>
            <w:tcW w:w="564" w:type="dxa"/>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20802934" w14:textId="068490F6" w:rsidR="0040795B" w:rsidRPr="00A94ADF" w:rsidRDefault="0040795B" w:rsidP="001819C2">
            <w:pPr>
              <w:spacing w:after="0" w:line="276" w:lineRule="auto"/>
              <w:jc w:val="center"/>
              <w:rPr>
                <w:rFonts w:cs="Arial"/>
                <w:sz w:val="16"/>
                <w:szCs w:val="16"/>
              </w:rPr>
            </w:pPr>
            <w:r>
              <w:rPr>
                <w:rFonts w:cs="Arial"/>
                <w:sz w:val="16"/>
                <w:szCs w:val="16"/>
              </w:rPr>
              <w:t>1</w:t>
            </w:r>
            <w:r w:rsidR="00676DA8">
              <w:rPr>
                <w:rFonts w:cs="Arial"/>
                <w:sz w:val="16"/>
                <w:szCs w:val="16"/>
              </w:rPr>
              <w:t>1</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6FB97CC4" w14:textId="77777777" w:rsidR="0040795B" w:rsidRPr="00A94ADF" w:rsidRDefault="0040795B" w:rsidP="00C91CFD">
            <w:pPr>
              <w:spacing w:after="0" w:line="276" w:lineRule="auto"/>
              <w:jc w:val="left"/>
              <w:rPr>
                <w:rFonts w:cs="Arial"/>
                <w:sz w:val="16"/>
                <w:szCs w:val="16"/>
              </w:rPr>
            </w:pPr>
            <w:r w:rsidRPr="00B07A2B">
              <w:rPr>
                <w:rFonts w:cs="Arial"/>
                <w:sz w:val="16"/>
                <w:szCs w:val="16"/>
              </w:rPr>
              <w:t>Υπουργείο Ναυτιλίας και Νησιωτικής Πολιτικής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auto"/>
            <w:vAlign w:val="center"/>
          </w:tcPr>
          <w:p w14:paraId="07E3F1F8" w14:textId="294BE431" w:rsidR="00910F97" w:rsidRPr="00B040AB" w:rsidRDefault="00FC0EA0"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α)</w:t>
            </w:r>
            <w:r w:rsidR="00E255C2" w:rsidRPr="00B040AB">
              <w:rPr>
                <w:rFonts w:cs="Arial"/>
                <w:sz w:val="16"/>
                <w:szCs w:val="16"/>
              </w:rPr>
              <w:tab/>
            </w:r>
            <w:r w:rsidR="0040795B" w:rsidRPr="00B040AB">
              <w:rPr>
                <w:rFonts w:cs="Arial"/>
                <w:sz w:val="16"/>
                <w:szCs w:val="16"/>
              </w:rPr>
              <w:t>Αναβάθμιση υποδομών λιμένος Αλεξανδρούπολης:</w:t>
            </w:r>
            <w:r w:rsidR="00EB6670" w:rsidRPr="00B040AB">
              <w:rPr>
                <w:rFonts w:cs="Arial"/>
                <w:sz w:val="16"/>
                <w:szCs w:val="16"/>
              </w:rPr>
              <w:t xml:space="preserve"> </w:t>
            </w:r>
            <w:r w:rsidR="0040795B" w:rsidRPr="00B040AB">
              <w:rPr>
                <w:rFonts w:cs="Arial"/>
                <w:sz w:val="16"/>
                <w:szCs w:val="16"/>
              </w:rPr>
              <w:t>Αποκατάσταση βαθών στη λιμενολεκάνη και τον δίαυλο ναυσιπλοΐας</w:t>
            </w:r>
          </w:p>
          <w:p w14:paraId="552A2870" w14:textId="635341F4" w:rsidR="00910F97" w:rsidRPr="00B040AB" w:rsidRDefault="00FC0EA0"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β)</w:t>
            </w:r>
            <w:r w:rsidR="00E255C2" w:rsidRPr="00B040AB">
              <w:rPr>
                <w:rFonts w:cs="Arial"/>
                <w:sz w:val="16"/>
                <w:szCs w:val="16"/>
              </w:rPr>
              <w:tab/>
            </w:r>
            <w:r w:rsidR="0040795B" w:rsidRPr="00B040AB">
              <w:rPr>
                <w:rFonts w:cs="Arial"/>
                <w:sz w:val="16"/>
                <w:szCs w:val="16"/>
              </w:rPr>
              <w:t>Οδική σύνδεση με νέα Περιφερειακή Οδό</w:t>
            </w:r>
            <w:r w:rsidR="00910F97" w:rsidRPr="00B040AB">
              <w:rPr>
                <w:rFonts w:cs="Arial"/>
                <w:sz w:val="16"/>
                <w:szCs w:val="16"/>
              </w:rPr>
              <w:t xml:space="preserve"> - Οδική σύνδεση με νέα </w:t>
            </w:r>
            <w:r w:rsidR="00FA6D46" w:rsidRPr="00B040AB">
              <w:rPr>
                <w:rFonts w:cs="Arial"/>
                <w:sz w:val="16"/>
                <w:szCs w:val="16"/>
              </w:rPr>
              <w:t>Π</w:t>
            </w:r>
            <w:r w:rsidR="00910F97" w:rsidRPr="00B040AB">
              <w:rPr>
                <w:rFonts w:cs="Arial"/>
                <w:sz w:val="16"/>
                <w:szCs w:val="16"/>
              </w:rPr>
              <w:t xml:space="preserve">εριφερειακή </w:t>
            </w:r>
            <w:r w:rsidR="00FA6D46" w:rsidRPr="00B040AB">
              <w:rPr>
                <w:rFonts w:cs="Arial"/>
                <w:sz w:val="16"/>
                <w:szCs w:val="16"/>
              </w:rPr>
              <w:t>Ο</w:t>
            </w:r>
            <w:r w:rsidR="00910F97" w:rsidRPr="00B040AB">
              <w:rPr>
                <w:rFonts w:cs="Arial"/>
                <w:sz w:val="16"/>
                <w:szCs w:val="16"/>
              </w:rPr>
              <w:t>δό (υποέργο Β</w:t>
            </w:r>
            <w:r w:rsidR="00910F97" w:rsidRPr="00B040AB">
              <w:rPr>
                <w:rFonts w:eastAsiaTheme="majorEastAsia" w:cstheme="minorHAnsi"/>
                <w:color w:val="000000"/>
              </w:rPr>
              <w:t>)</w:t>
            </w:r>
          </w:p>
          <w:p w14:paraId="06F8B10C" w14:textId="26D6FE3E" w:rsidR="0040795B"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γ)</w:t>
            </w:r>
            <w:r w:rsidR="00E255C2" w:rsidRPr="00B040AB">
              <w:rPr>
                <w:rFonts w:cs="Arial"/>
                <w:sz w:val="16"/>
                <w:szCs w:val="16"/>
              </w:rPr>
              <w:tab/>
            </w:r>
            <w:r w:rsidR="0040795B" w:rsidRPr="00B040AB">
              <w:rPr>
                <w:rFonts w:cs="Arial"/>
                <w:sz w:val="16"/>
                <w:szCs w:val="16"/>
              </w:rPr>
              <w:t>Διαγωνιστική διαδικασία για την «Αναβάθμιση υποδομών λιμένος Αλεξανδρούπολης: Αποκατάσταση βαθών στη λιμενολεκάνη και τον δίαυλο ναυσιπλοΐας (Υποέργο Α)»</w:t>
            </w:r>
          </w:p>
          <w:p w14:paraId="0DACDC6C" w14:textId="229CB60D" w:rsidR="0040795B"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δ)</w:t>
            </w:r>
            <w:r w:rsidR="00E255C2" w:rsidRPr="00B040AB">
              <w:rPr>
                <w:rFonts w:cs="Arial"/>
                <w:sz w:val="16"/>
                <w:szCs w:val="16"/>
              </w:rPr>
              <w:tab/>
            </w:r>
            <w:r w:rsidR="0040795B" w:rsidRPr="00B040AB">
              <w:rPr>
                <w:rFonts w:cs="Arial"/>
                <w:sz w:val="16"/>
                <w:szCs w:val="16"/>
              </w:rPr>
              <w:t>Ανέγερση νέου σταθμού επιβατών λιμέν</w:t>
            </w:r>
            <w:r w:rsidR="00FA6D46" w:rsidRPr="00B040AB">
              <w:rPr>
                <w:rFonts w:cs="Arial"/>
                <w:sz w:val="16"/>
                <w:szCs w:val="16"/>
              </w:rPr>
              <w:t>ος</w:t>
            </w:r>
            <w:r w:rsidR="0040795B" w:rsidRPr="00B040AB">
              <w:rPr>
                <w:rFonts w:cs="Arial"/>
                <w:sz w:val="16"/>
                <w:szCs w:val="16"/>
              </w:rPr>
              <w:t xml:space="preserve"> Σούδας</w:t>
            </w:r>
          </w:p>
          <w:p w14:paraId="3B90E484" w14:textId="6D576E92" w:rsidR="0040795B"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ε)</w:t>
            </w:r>
            <w:r w:rsidR="00E255C2" w:rsidRPr="00B040AB">
              <w:rPr>
                <w:rFonts w:cs="Arial"/>
                <w:sz w:val="16"/>
                <w:szCs w:val="16"/>
              </w:rPr>
              <w:tab/>
            </w:r>
            <w:r w:rsidR="0040795B" w:rsidRPr="00B040AB">
              <w:rPr>
                <w:rFonts w:cs="Arial"/>
                <w:sz w:val="16"/>
                <w:szCs w:val="16"/>
              </w:rPr>
              <w:t>Έργα εκβάθυνση</w:t>
            </w:r>
            <w:r w:rsidR="00427B7B" w:rsidRPr="00B040AB">
              <w:rPr>
                <w:rFonts w:cs="Arial"/>
                <w:sz w:val="16"/>
                <w:szCs w:val="16"/>
              </w:rPr>
              <w:t>ς</w:t>
            </w:r>
            <w:r w:rsidR="0040795B" w:rsidRPr="00B040AB">
              <w:rPr>
                <w:rFonts w:cs="Arial"/>
                <w:sz w:val="16"/>
                <w:szCs w:val="16"/>
              </w:rPr>
              <w:t xml:space="preserve"> και επέκταση</w:t>
            </w:r>
            <w:r w:rsidR="00427B7B" w:rsidRPr="00B040AB">
              <w:rPr>
                <w:rFonts w:cs="Arial"/>
                <w:sz w:val="16"/>
                <w:szCs w:val="16"/>
              </w:rPr>
              <w:t>ς</w:t>
            </w:r>
            <w:r w:rsidR="0040795B" w:rsidRPr="00B040AB">
              <w:rPr>
                <w:rFonts w:cs="Arial"/>
                <w:sz w:val="16"/>
                <w:szCs w:val="16"/>
              </w:rPr>
              <w:t xml:space="preserve"> λιμέν</w:t>
            </w:r>
            <w:r w:rsidR="00FA6D46" w:rsidRPr="00B040AB">
              <w:rPr>
                <w:rFonts w:cs="Arial"/>
                <w:sz w:val="16"/>
                <w:szCs w:val="16"/>
              </w:rPr>
              <w:t>ος</w:t>
            </w:r>
            <w:r w:rsidR="0040795B" w:rsidRPr="00B040AB">
              <w:rPr>
                <w:rFonts w:cs="Arial"/>
                <w:sz w:val="16"/>
                <w:szCs w:val="16"/>
              </w:rPr>
              <w:t xml:space="preserve"> Στυλίδας</w:t>
            </w:r>
          </w:p>
          <w:p w14:paraId="409B6828" w14:textId="45E13F0D" w:rsidR="0040795B" w:rsidRPr="00B040AB" w:rsidRDefault="00E740A3" w:rsidP="009274A1">
            <w:pPr>
              <w:tabs>
                <w:tab w:val="left" w:pos="373"/>
              </w:tabs>
              <w:spacing w:after="0" w:line="276" w:lineRule="auto"/>
              <w:ind w:left="374" w:hanging="374"/>
              <w:jc w:val="left"/>
              <w:rPr>
                <w:rFonts w:cs="Arial"/>
                <w:sz w:val="16"/>
                <w:szCs w:val="16"/>
              </w:rPr>
            </w:pPr>
            <w:r w:rsidRPr="00B040AB">
              <w:rPr>
                <w:rFonts w:cs="Arial"/>
                <w:sz w:val="16"/>
                <w:szCs w:val="16"/>
              </w:rPr>
              <w:t>(στ)</w:t>
            </w:r>
            <w:r w:rsidR="00E255C2" w:rsidRPr="00B040AB">
              <w:rPr>
                <w:rFonts w:cs="Arial"/>
                <w:sz w:val="16"/>
                <w:szCs w:val="16"/>
              </w:rPr>
              <w:tab/>
            </w:r>
            <w:r w:rsidRPr="00B040AB">
              <w:rPr>
                <w:rFonts w:cs="Arial"/>
                <w:sz w:val="16"/>
                <w:szCs w:val="16"/>
              </w:rPr>
              <w:t xml:space="preserve">Σχέδιο για την αντικατάσταση του στόλου επιβατηγού ναυτιλίας και μείωση του αποτυπώματος </w:t>
            </w:r>
            <w:r w:rsidR="00235E36" w:rsidRPr="00B040AB">
              <w:rPr>
                <w:rFonts w:cs="Arial"/>
                <w:sz w:val="16"/>
                <w:szCs w:val="16"/>
              </w:rPr>
              <w:t xml:space="preserve">του </w:t>
            </w:r>
            <w:r w:rsidR="00FA6D46" w:rsidRPr="00B040AB">
              <w:rPr>
                <w:rFonts w:cs="Arial"/>
                <w:sz w:val="16"/>
                <w:szCs w:val="16"/>
              </w:rPr>
              <w:t>διοξειδίου του άνθρακα</w:t>
            </w:r>
            <w:r w:rsidRPr="00B040AB">
              <w:rPr>
                <w:rFonts w:cs="Arial"/>
                <w:sz w:val="16"/>
                <w:szCs w:val="16"/>
              </w:rPr>
              <w:t xml:space="preserve"> (Master Plan ακτοπλοΐας)</w:t>
            </w:r>
          </w:p>
          <w:p w14:paraId="24F795F5" w14:textId="54CDFA93" w:rsidR="0040795B"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ζ)</w:t>
            </w:r>
            <w:r w:rsidR="00E255C2" w:rsidRPr="00B040AB">
              <w:rPr>
                <w:rFonts w:cs="Arial"/>
                <w:sz w:val="16"/>
                <w:szCs w:val="16"/>
              </w:rPr>
              <w:tab/>
            </w:r>
            <w:r w:rsidR="0040795B" w:rsidRPr="00B040AB">
              <w:rPr>
                <w:rFonts w:cs="Arial"/>
                <w:sz w:val="16"/>
                <w:szCs w:val="16"/>
              </w:rPr>
              <w:t xml:space="preserve">Δημιουργία </w:t>
            </w:r>
            <w:r w:rsidR="00235E36" w:rsidRPr="00B040AB">
              <w:rPr>
                <w:rFonts w:cs="Arial"/>
                <w:sz w:val="16"/>
                <w:szCs w:val="16"/>
              </w:rPr>
              <w:t>κ</w:t>
            </w:r>
            <w:r w:rsidR="0040795B" w:rsidRPr="00B040AB">
              <w:rPr>
                <w:rFonts w:cs="Arial"/>
                <w:sz w:val="16"/>
                <w:szCs w:val="16"/>
              </w:rPr>
              <w:t xml:space="preserve">αταφυγίου </w:t>
            </w:r>
            <w:r w:rsidR="00235E36" w:rsidRPr="00B040AB">
              <w:rPr>
                <w:rFonts w:cs="Arial"/>
                <w:sz w:val="16"/>
                <w:szCs w:val="16"/>
              </w:rPr>
              <w:t>τ</w:t>
            </w:r>
            <w:r w:rsidR="0040795B" w:rsidRPr="00B040AB">
              <w:rPr>
                <w:rFonts w:cs="Arial"/>
                <w:sz w:val="16"/>
                <w:szCs w:val="16"/>
              </w:rPr>
              <w:t xml:space="preserve">ουριστικών </w:t>
            </w:r>
            <w:r w:rsidR="00235E36" w:rsidRPr="00B040AB">
              <w:rPr>
                <w:rFonts w:cs="Arial"/>
                <w:sz w:val="16"/>
                <w:szCs w:val="16"/>
              </w:rPr>
              <w:t>σ</w:t>
            </w:r>
            <w:r w:rsidR="0040795B" w:rsidRPr="00B040AB">
              <w:rPr>
                <w:rFonts w:cs="Arial"/>
                <w:sz w:val="16"/>
                <w:szCs w:val="16"/>
              </w:rPr>
              <w:t>καφών Αμμουλιανής</w:t>
            </w:r>
          </w:p>
          <w:p w14:paraId="4940A029" w14:textId="18186BD4" w:rsidR="0040795B"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η)</w:t>
            </w:r>
            <w:r w:rsidR="00E255C2" w:rsidRPr="00B040AB">
              <w:rPr>
                <w:rFonts w:cs="Arial"/>
                <w:sz w:val="16"/>
                <w:szCs w:val="16"/>
              </w:rPr>
              <w:tab/>
            </w:r>
            <w:r w:rsidR="00427B7B" w:rsidRPr="00B040AB">
              <w:rPr>
                <w:rFonts w:cs="Arial"/>
                <w:sz w:val="16"/>
                <w:szCs w:val="16"/>
              </w:rPr>
              <w:t>Έ</w:t>
            </w:r>
            <w:r w:rsidR="0040795B" w:rsidRPr="00B040AB">
              <w:rPr>
                <w:rFonts w:cs="Arial"/>
                <w:sz w:val="16"/>
                <w:szCs w:val="16"/>
              </w:rPr>
              <w:t>ργα αναβάθμισης λιμέν</w:t>
            </w:r>
            <w:r w:rsidR="00235E36" w:rsidRPr="00B040AB">
              <w:rPr>
                <w:rFonts w:cs="Arial"/>
                <w:sz w:val="16"/>
                <w:szCs w:val="16"/>
              </w:rPr>
              <w:t>ος</w:t>
            </w:r>
            <w:r w:rsidR="0040795B" w:rsidRPr="00B040AB">
              <w:rPr>
                <w:rFonts w:cs="Arial"/>
                <w:sz w:val="16"/>
                <w:szCs w:val="16"/>
              </w:rPr>
              <w:t xml:space="preserve"> Αγίας Ευφημίας</w:t>
            </w:r>
          </w:p>
          <w:p w14:paraId="4F4D1BA9" w14:textId="0C1AB11D" w:rsidR="0040795B"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θ)</w:t>
            </w:r>
            <w:r w:rsidR="00E255C2" w:rsidRPr="00B040AB">
              <w:rPr>
                <w:rFonts w:cs="Arial"/>
                <w:sz w:val="16"/>
                <w:szCs w:val="16"/>
              </w:rPr>
              <w:tab/>
            </w:r>
            <w:r w:rsidR="0040795B" w:rsidRPr="00B040AB">
              <w:rPr>
                <w:rFonts w:cs="Arial"/>
                <w:sz w:val="16"/>
                <w:szCs w:val="16"/>
              </w:rPr>
              <w:t>Ανάπλαση, αντιδιαβρωτική προστασία της χερσαίας λιμενικής ζώνης Χερσονήσου και προστασία λιμέν</w:t>
            </w:r>
            <w:r w:rsidR="00235E36" w:rsidRPr="00B040AB">
              <w:rPr>
                <w:rFonts w:cs="Arial"/>
                <w:sz w:val="16"/>
                <w:szCs w:val="16"/>
              </w:rPr>
              <w:t>ος</w:t>
            </w:r>
            <w:r w:rsidR="0040795B" w:rsidRPr="00B040AB">
              <w:rPr>
                <w:rFonts w:cs="Arial"/>
                <w:sz w:val="16"/>
                <w:szCs w:val="16"/>
              </w:rPr>
              <w:t xml:space="preserve"> έναντι προσάμμωσης</w:t>
            </w:r>
          </w:p>
          <w:p w14:paraId="5C2B0945" w14:textId="3E81E744" w:rsidR="0040795B"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ι)</w:t>
            </w:r>
            <w:r w:rsidR="00E255C2" w:rsidRPr="00B040AB">
              <w:rPr>
                <w:rFonts w:cs="Arial"/>
                <w:sz w:val="16"/>
                <w:szCs w:val="16"/>
              </w:rPr>
              <w:tab/>
            </w:r>
            <w:r w:rsidR="0040795B" w:rsidRPr="00B040AB">
              <w:rPr>
                <w:rFonts w:cs="Arial"/>
                <w:sz w:val="16"/>
                <w:szCs w:val="16"/>
              </w:rPr>
              <w:t>Ολοκληρωμένη παρέμβαση ανάκτησης λειτουργικότητας λιμέν</w:t>
            </w:r>
            <w:r w:rsidR="00235E36" w:rsidRPr="00B040AB">
              <w:rPr>
                <w:rFonts w:cs="Arial"/>
                <w:sz w:val="16"/>
                <w:szCs w:val="16"/>
              </w:rPr>
              <w:t>ος</w:t>
            </w:r>
            <w:r w:rsidR="0040795B" w:rsidRPr="00B040AB">
              <w:rPr>
                <w:rFonts w:cs="Arial"/>
                <w:sz w:val="16"/>
                <w:szCs w:val="16"/>
              </w:rPr>
              <w:t xml:space="preserve"> Μακρύ Γιαλού Ιεράπετρας</w:t>
            </w:r>
          </w:p>
          <w:p w14:paraId="7A0F84F6" w14:textId="39C3A4B6" w:rsidR="0040795B"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ια)</w:t>
            </w:r>
            <w:r w:rsidR="00E255C2" w:rsidRPr="00B040AB">
              <w:rPr>
                <w:rFonts w:cs="Arial"/>
                <w:sz w:val="16"/>
                <w:szCs w:val="16"/>
              </w:rPr>
              <w:tab/>
            </w:r>
            <w:r w:rsidR="0040795B" w:rsidRPr="00B040AB">
              <w:rPr>
                <w:rFonts w:cs="Arial"/>
                <w:sz w:val="16"/>
                <w:szCs w:val="16"/>
              </w:rPr>
              <w:t>Οριζόντια Τεχνική Βοήθεια Υπουργείου Ναυτιλίας και Νησιωτικής Πολιτικής</w:t>
            </w:r>
          </w:p>
          <w:p w14:paraId="2AFAEAEF" w14:textId="1891E1FD" w:rsidR="00E740A3" w:rsidRPr="00B040AB" w:rsidRDefault="00244931" w:rsidP="009274A1">
            <w:pPr>
              <w:tabs>
                <w:tab w:val="left" w:pos="373"/>
              </w:tabs>
              <w:spacing w:after="0" w:line="276" w:lineRule="auto"/>
              <w:ind w:left="374" w:hanging="374"/>
              <w:jc w:val="left"/>
              <w:rPr>
                <w:rFonts w:cs="Arial"/>
                <w:sz w:val="16"/>
                <w:szCs w:val="16"/>
              </w:rPr>
            </w:pPr>
            <w:r w:rsidRPr="00B040AB">
              <w:rPr>
                <w:rFonts w:cs="Arial"/>
                <w:sz w:val="16"/>
                <w:szCs w:val="16"/>
              </w:rPr>
              <w:t>(</w:t>
            </w:r>
            <w:r w:rsidR="0040795B" w:rsidRPr="00B040AB">
              <w:rPr>
                <w:rFonts w:cs="Arial"/>
                <w:sz w:val="16"/>
                <w:szCs w:val="16"/>
              </w:rPr>
              <w:t>ιβ)</w:t>
            </w:r>
            <w:r w:rsidR="00E255C2" w:rsidRPr="00B040AB">
              <w:rPr>
                <w:rFonts w:cs="Arial"/>
                <w:sz w:val="16"/>
                <w:szCs w:val="16"/>
              </w:rPr>
              <w:tab/>
            </w:r>
            <w:r w:rsidR="0040795B" w:rsidRPr="00B040AB">
              <w:rPr>
                <w:rFonts w:cs="Arial"/>
                <w:sz w:val="16"/>
                <w:szCs w:val="16"/>
              </w:rPr>
              <w:t xml:space="preserve">Λιμένας Βόλου - Αποκατάσταση λειτουργικών βαθών μετά τις κακοκαιρίες </w:t>
            </w:r>
            <w:r w:rsidR="00253E83" w:rsidRPr="00B040AB">
              <w:rPr>
                <w:rFonts w:cs="Arial"/>
                <w:sz w:val="16"/>
                <w:szCs w:val="16"/>
              </w:rPr>
              <w:t>“</w:t>
            </w:r>
            <w:r w:rsidR="0040795B" w:rsidRPr="00B040AB">
              <w:rPr>
                <w:rFonts w:cs="Arial"/>
                <w:sz w:val="16"/>
                <w:szCs w:val="16"/>
                <w:lang w:val="en-US"/>
              </w:rPr>
              <w:t>Daniel</w:t>
            </w:r>
            <w:r w:rsidR="00253E83" w:rsidRPr="00B040AB">
              <w:rPr>
                <w:rFonts w:cs="Arial"/>
                <w:sz w:val="16"/>
                <w:szCs w:val="16"/>
              </w:rPr>
              <w:t>”</w:t>
            </w:r>
            <w:r w:rsidR="0040795B" w:rsidRPr="00B040AB">
              <w:rPr>
                <w:rFonts w:cs="Arial"/>
                <w:sz w:val="16"/>
                <w:szCs w:val="16"/>
              </w:rPr>
              <w:t xml:space="preserve"> </w:t>
            </w:r>
            <w:r w:rsidR="006E6BE8" w:rsidRPr="00B040AB">
              <w:rPr>
                <w:rFonts w:cs="Arial"/>
                <w:sz w:val="16"/>
                <w:szCs w:val="16"/>
              </w:rPr>
              <w:t>και</w:t>
            </w:r>
            <w:r w:rsidR="0040795B" w:rsidRPr="00B040AB">
              <w:rPr>
                <w:rFonts w:cs="Arial"/>
                <w:sz w:val="16"/>
                <w:szCs w:val="16"/>
              </w:rPr>
              <w:t xml:space="preserve"> </w:t>
            </w:r>
            <w:r w:rsidR="00253E83" w:rsidRPr="00B040AB">
              <w:rPr>
                <w:rFonts w:cs="Arial"/>
                <w:sz w:val="16"/>
                <w:szCs w:val="16"/>
              </w:rPr>
              <w:t>“</w:t>
            </w:r>
            <w:r w:rsidR="0040795B" w:rsidRPr="00B040AB">
              <w:rPr>
                <w:rFonts w:cs="Arial"/>
                <w:sz w:val="16"/>
                <w:szCs w:val="16"/>
                <w:lang w:val="en-US"/>
              </w:rPr>
              <w:t>El</w:t>
            </w:r>
            <w:r w:rsidR="0040795B" w:rsidRPr="00B040AB">
              <w:rPr>
                <w:rFonts w:cs="Arial"/>
                <w:sz w:val="16"/>
                <w:szCs w:val="16"/>
              </w:rPr>
              <w:t>i</w:t>
            </w:r>
            <w:r w:rsidR="0040795B" w:rsidRPr="00B040AB">
              <w:rPr>
                <w:rFonts w:cs="Arial"/>
                <w:sz w:val="16"/>
                <w:szCs w:val="16"/>
                <w:lang w:val="en-US"/>
              </w:rPr>
              <w:t>as</w:t>
            </w:r>
            <w:r w:rsidR="00253E83" w:rsidRPr="00B040AB">
              <w:rPr>
                <w:rFonts w:cs="Arial"/>
                <w:sz w:val="16"/>
                <w:szCs w:val="16"/>
              </w:rPr>
              <w:t>”</w:t>
            </w:r>
          </w:p>
          <w:p w14:paraId="406CDCF5" w14:textId="2F9768EC" w:rsidR="00E740A3" w:rsidRPr="00B040AB" w:rsidRDefault="00E740A3" w:rsidP="009274A1">
            <w:pPr>
              <w:tabs>
                <w:tab w:val="left" w:pos="373"/>
              </w:tabs>
              <w:spacing w:after="0" w:line="276" w:lineRule="auto"/>
              <w:ind w:left="374" w:hanging="374"/>
              <w:jc w:val="left"/>
              <w:rPr>
                <w:rFonts w:cs="Arial"/>
                <w:sz w:val="16"/>
                <w:szCs w:val="16"/>
              </w:rPr>
            </w:pPr>
            <w:r w:rsidRPr="00B040AB">
              <w:rPr>
                <w:rFonts w:cs="Arial"/>
                <w:sz w:val="16"/>
                <w:szCs w:val="16"/>
              </w:rPr>
              <w:t>(ιγ)</w:t>
            </w:r>
            <w:r w:rsidR="00E255C2" w:rsidRPr="00B040AB">
              <w:rPr>
                <w:rFonts w:cs="Arial"/>
                <w:sz w:val="16"/>
                <w:szCs w:val="16"/>
              </w:rPr>
              <w:tab/>
            </w:r>
            <w:r w:rsidRPr="00B040AB">
              <w:rPr>
                <w:rFonts w:cs="Arial"/>
                <w:sz w:val="16"/>
                <w:szCs w:val="16"/>
              </w:rPr>
              <w:t xml:space="preserve">Εξοπλιστικό πρόγραμμα για την ενίσχυση των επιχειρησιακών δυνατοτήτων του ΛΣ </w:t>
            </w:r>
            <w:r w:rsidR="003F4EE7" w:rsidRPr="00B040AB">
              <w:rPr>
                <w:rFonts w:cs="Arial"/>
                <w:sz w:val="16"/>
                <w:szCs w:val="16"/>
              </w:rPr>
              <w:t>-</w:t>
            </w:r>
            <w:r w:rsidRPr="00B040AB">
              <w:rPr>
                <w:rFonts w:cs="Arial"/>
                <w:sz w:val="16"/>
                <w:szCs w:val="16"/>
              </w:rPr>
              <w:t xml:space="preserve"> ΕΛΑΚΤ</w:t>
            </w:r>
          </w:p>
        </w:tc>
      </w:tr>
      <w:tr w:rsidR="0040795B" w:rsidRPr="00E65934" w14:paraId="6492E3C7" w14:textId="77777777" w:rsidTr="008751D8">
        <w:trPr>
          <w:cantSplit/>
          <w:jc w:val="center"/>
        </w:trPr>
        <w:tc>
          <w:tcPr>
            <w:tcW w:w="56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71BDA1C1" w14:textId="5EA1008C" w:rsidR="0040795B" w:rsidRPr="00E255C2" w:rsidRDefault="00E255C2" w:rsidP="001819C2">
            <w:pPr>
              <w:spacing w:after="0" w:line="276" w:lineRule="auto"/>
              <w:jc w:val="center"/>
              <w:rPr>
                <w:rFonts w:cs="Arial"/>
                <w:sz w:val="16"/>
                <w:szCs w:val="16"/>
                <w:lang w:val="en-US"/>
              </w:rPr>
            </w:pPr>
            <w:r>
              <w:rPr>
                <w:rFonts w:cs="Arial"/>
                <w:sz w:val="16"/>
                <w:szCs w:val="16"/>
                <w:lang w:val="en-US"/>
              </w:rPr>
              <w:t>12</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12F36C2A" w14:textId="77777777" w:rsidR="0040795B" w:rsidRPr="00E65934" w:rsidRDefault="0040795B" w:rsidP="00C91CFD">
            <w:pPr>
              <w:spacing w:after="0" w:line="276" w:lineRule="auto"/>
              <w:jc w:val="left"/>
              <w:rPr>
                <w:rFonts w:cs="Arial"/>
                <w:sz w:val="16"/>
                <w:szCs w:val="16"/>
              </w:rPr>
            </w:pPr>
            <w:r w:rsidRPr="00E65934">
              <w:rPr>
                <w:rFonts w:cs="Arial"/>
                <w:sz w:val="16"/>
                <w:szCs w:val="16"/>
              </w:rPr>
              <w:t>Υπουργείο Εσωτερικών</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615C5663" w14:textId="49DB2C4A" w:rsidR="0040795B" w:rsidRPr="00E65934" w:rsidRDefault="00E740A3" w:rsidP="009274A1">
            <w:pPr>
              <w:tabs>
                <w:tab w:val="left" w:pos="373"/>
              </w:tabs>
              <w:spacing w:after="0" w:line="276" w:lineRule="auto"/>
              <w:ind w:left="374" w:hanging="374"/>
              <w:jc w:val="left"/>
              <w:rPr>
                <w:rFonts w:cs="Arial"/>
                <w:sz w:val="16"/>
                <w:szCs w:val="16"/>
              </w:rPr>
            </w:pPr>
            <w:r w:rsidRPr="00E65934">
              <w:rPr>
                <w:rFonts w:cs="Arial"/>
                <w:sz w:val="16"/>
                <w:szCs w:val="16"/>
              </w:rPr>
              <w:t>(α)</w:t>
            </w:r>
            <w:r w:rsidR="00E255C2">
              <w:rPr>
                <w:rFonts w:cs="Arial"/>
                <w:sz w:val="16"/>
                <w:szCs w:val="16"/>
              </w:rPr>
              <w:tab/>
            </w:r>
            <w:r w:rsidR="0040795B" w:rsidRPr="00E65934">
              <w:rPr>
                <w:rFonts w:cs="Arial"/>
                <w:sz w:val="16"/>
                <w:szCs w:val="16"/>
              </w:rPr>
              <w:t>Αναβάθμιση οδικού συνοριακού σταθμού Κήπων Έβρου</w:t>
            </w:r>
          </w:p>
          <w:p w14:paraId="7298A22F" w14:textId="20B32AE4" w:rsidR="00E740A3" w:rsidRPr="00E65934" w:rsidRDefault="00E740A3" w:rsidP="009274A1">
            <w:pPr>
              <w:tabs>
                <w:tab w:val="left" w:pos="373"/>
              </w:tabs>
              <w:spacing w:after="0" w:line="276" w:lineRule="auto"/>
              <w:ind w:left="374" w:hanging="374"/>
              <w:jc w:val="left"/>
              <w:rPr>
                <w:rFonts w:cs="Arial"/>
                <w:sz w:val="16"/>
                <w:szCs w:val="16"/>
              </w:rPr>
            </w:pPr>
            <w:r w:rsidRPr="00E65934">
              <w:rPr>
                <w:rFonts w:cs="Arial"/>
                <w:sz w:val="16"/>
                <w:szCs w:val="16"/>
              </w:rPr>
              <w:t>(β)</w:t>
            </w:r>
            <w:r w:rsidR="00E255C2">
              <w:rPr>
                <w:rFonts w:cs="Arial"/>
                <w:sz w:val="16"/>
                <w:szCs w:val="16"/>
              </w:rPr>
              <w:tab/>
            </w:r>
            <w:r w:rsidRPr="00E65934">
              <w:rPr>
                <w:rFonts w:cs="Arial"/>
                <w:sz w:val="16"/>
                <w:szCs w:val="16"/>
              </w:rPr>
              <w:t>Αναβάθμιση οδικού συνοριακού σταθμού Ευζώνων Κιλκίς</w:t>
            </w:r>
          </w:p>
        </w:tc>
      </w:tr>
      <w:tr w:rsidR="00CA11FA" w:rsidRPr="00E65934" w14:paraId="1CEC784B" w14:textId="77777777" w:rsidTr="008751D8">
        <w:trPr>
          <w:cantSplit/>
          <w:jc w:val="center"/>
        </w:trPr>
        <w:tc>
          <w:tcPr>
            <w:tcW w:w="56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619DE822" w14:textId="7282F01A" w:rsidR="00CA11FA" w:rsidRPr="00E65934" w:rsidRDefault="00CA11FA" w:rsidP="001819C2">
            <w:pPr>
              <w:spacing w:after="0" w:line="276" w:lineRule="auto"/>
              <w:jc w:val="center"/>
              <w:rPr>
                <w:rFonts w:cs="Arial"/>
                <w:sz w:val="16"/>
                <w:szCs w:val="16"/>
              </w:rPr>
            </w:pPr>
            <w:r w:rsidRPr="00E65934">
              <w:rPr>
                <w:rFonts w:cs="Arial"/>
                <w:sz w:val="16"/>
                <w:szCs w:val="16"/>
              </w:rPr>
              <w:t>13</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01DF4117" w14:textId="53DC65F2" w:rsidR="00CA11FA" w:rsidRPr="00E65934" w:rsidRDefault="00CA11FA" w:rsidP="00C91CFD">
            <w:pPr>
              <w:spacing w:after="0" w:line="276" w:lineRule="auto"/>
              <w:jc w:val="left"/>
              <w:rPr>
                <w:rFonts w:cs="Arial"/>
                <w:sz w:val="16"/>
                <w:szCs w:val="16"/>
              </w:rPr>
            </w:pPr>
            <w:r w:rsidRPr="00E65934">
              <w:rPr>
                <w:rFonts w:cs="Arial"/>
                <w:sz w:val="16"/>
                <w:szCs w:val="16"/>
              </w:rPr>
              <w:t>Υπουργείο Μετανάστευσης και Ασύλου</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329586EB" w14:textId="461392DE" w:rsidR="00CA11FA" w:rsidRPr="00E65934" w:rsidRDefault="00CA11FA" w:rsidP="009274A1">
            <w:pPr>
              <w:tabs>
                <w:tab w:val="left" w:pos="373"/>
              </w:tabs>
              <w:spacing w:after="0" w:line="276" w:lineRule="auto"/>
              <w:ind w:left="374" w:hanging="374"/>
              <w:jc w:val="left"/>
              <w:rPr>
                <w:rFonts w:cs="Arial"/>
                <w:sz w:val="16"/>
                <w:szCs w:val="16"/>
              </w:rPr>
            </w:pPr>
            <w:r w:rsidRPr="00E65934">
              <w:rPr>
                <w:rFonts w:cs="Arial"/>
                <w:sz w:val="16"/>
                <w:szCs w:val="16"/>
              </w:rPr>
              <w:t>(α)</w:t>
            </w:r>
            <w:r w:rsidR="00E255C2">
              <w:rPr>
                <w:rFonts w:cs="Arial"/>
                <w:sz w:val="16"/>
                <w:szCs w:val="16"/>
              </w:rPr>
              <w:tab/>
            </w:r>
            <w:r w:rsidRPr="00E65934">
              <w:rPr>
                <w:rFonts w:cs="Arial"/>
                <w:sz w:val="16"/>
                <w:szCs w:val="16"/>
              </w:rPr>
              <w:t>Παροχή υπηρεσιών σίτισης αρμοδιότητας του Υπουργείου</w:t>
            </w:r>
          </w:p>
          <w:p w14:paraId="6CD0AF92" w14:textId="393CD7EE" w:rsidR="00CA11FA" w:rsidRPr="00E65934" w:rsidRDefault="00CA11FA" w:rsidP="009274A1">
            <w:pPr>
              <w:tabs>
                <w:tab w:val="left" w:pos="373"/>
              </w:tabs>
              <w:spacing w:after="0" w:line="276" w:lineRule="auto"/>
              <w:ind w:left="374" w:hanging="374"/>
              <w:jc w:val="left"/>
              <w:rPr>
                <w:rFonts w:cs="Arial"/>
                <w:sz w:val="16"/>
                <w:szCs w:val="16"/>
              </w:rPr>
            </w:pPr>
            <w:r w:rsidRPr="00E65934">
              <w:rPr>
                <w:rFonts w:cs="Arial"/>
                <w:sz w:val="16"/>
                <w:szCs w:val="16"/>
              </w:rPr>
              <w:t>(β)</w:t>
            </w:r>
            <w:r w:rsidR="00E255C2">
              <w:rPr>
                <w:rFonts w:cs="Arial"/>
                <w:sz w:val="16"/>
                <w:szCs w:val="16"/>
              </w:rPr>
              <w:tab/>
            </w:r>
            <w:r w:rsidRPr="00E65934">
              <w:rPr>
                <w:rFonts w:cs="Arial"/>
                <w:sz w:val="16"/>
                <w:szCs w:val="16"/>
              </w:rPr>
              <w:t>Παροχή υπηρεσιών διαχείρισης εγκαταστάσεων αρμοδιότητας του Υπουργείου</w:t>
            </w:r>
          </w:p>
        </w:tc>
      </w:tr>
      <w:tr w:rsidR="0040795B" w:rsidRPr="00E65934" w14:paraId="49A24B3A" w14:textId="77777777" w:rsidTr="008751D8">
        <w:trPr>
          <w:cantSplit/>
          <w:jc w:val="center"/>
        </w:trPr>
        <w:tc>
          <w:tcPr>
            <w:tcW w:w="56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72392920" w14:textId="2099546B" w:rsidR="0040795B" w:rsidRPr="00E65934" w:rsidRDefault="00CA11FA" w:rsidP="001819C2">
            <w:pPr>
              <w:spacing w:after="0" w:line="276" w:lineRule="auto"/>
              <w:jc w:val="center"/>
              <w:rPr>
                <w:rFonts w:cs="Arial"/>
                <w:sz w:val="16"/>
                <w:szCs w:val="16"/>
              </w:rPr>
            </w:pPr>
            <w:r w:rsidRPr="00E65934">
              <w:rPr>
                <w:rFonts w:cs="Arial"/>
                <w:sz w:val="16"/>
                <w:szCs w:val="16"/>
              </w:rPr>
              <w:t>1</w:t>
            </w:r>
            <w:r w:rsidR="0004149D">
              <w:rPr>
                <w:rFonts w:cs="Arial"/>
                <w:sz w:val="16"/>
                <w:szCs w:val="16"/>
              </w:rPr>
              <w:t>4</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15EB96AE" w14:textId="77777777" w:rsidR="0040795B" w:rsidRPr="00E65934" w:rsidRDefault="0040795B" w:rsidP="00C91CFD">
            <w:pPr>
              <w:spacing w:after="0" w:line="276" w:lineRule="auto"/>
              <w:jc w:val="left"/>
              <w:rPr>
                <w:rFonts w:cs="Arial"/>
                <w:sz w:val="16"/>
                <w:szCs w:val="16"/>
              </w:rPr>
            </w:pPr>
            <w:r w:rsidRPr="00E65934">
              <w:rPr>
                <w:rFonts w:cs="Arial"/>
                <w:sz w:val="16"/>
                <w:szCs w:val="16"/>
              </w:rPr>
              <w:t>Δημόσια Υπηρεσία Απασχόλησης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0A0053FA" w14:textId="7015C994" w:rsidR="0040795B" w:rsidRPr="00E65934" w:rsidRDefault="0040795B" w:rsidP="00C91CFD">
            <w:pPr>
              <w:spacing w:after="0" w:line="276" w:lineRule="auto"/>
              <w:jc w:val="left"/>
              <w:rPr>
                <w:rFonts w:cs="Arial"/>
                <w:sz w:val="16"/>
                <w:szCs w:val="16"/>
              </w:rPr>
            </w:pPr>
            <w:r w:rsidRPr="00E65934">
              <w:rPr>
                <w:rFonts w:cs="Arial"/>
                <w:sz w:val="16"/>
                <w:szCs w:val="16"/>
              </w:rPr>
              <w:t>Ανακαίνιση των κτ</w:t>
            </w:r>
            <w:r w:rsidR="00827B55">
              <w:rPr>
                <w:rFonts w:cs="Arial"/>
                <w:sz w:val="16"/>
                <w:szCs w:val="16"/>
              </w:rPr>
              <w:t>η</w:t>
            </w:r>
            <w:r w:rsidRPr="00E65934">
              <w:rPr>
                <w:rFonts w:cs="Arial"/>
                <w:sz w:val="16"/>
                <w:szCs w:val="16"/>
              </w:rPr>
              <w:t>ρίων ΕΠΑΣ για τη βελτίωση της ενεργειακής απόδοσης και της χωρικής λειτουργικότητας</w:t>
            </w:r>
          </w:p>
        </w:tc>
      </w:tr>
      <w:tr w:rsidR="0040795B" w:rsidRPr="00E65934" w14:paraId="632A1CDB" w14:textId="77777777" w:rsidTr="008751D8">
        <w:trPr>
          <w:cantSplit/>
          <w:jc w:val="center"/>
        </w:trPr>
        <w:tc>
          <w:tcPr>
            <w:tcW w:w="56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722CCCC1" w14:textId="32C7A640" w:rsidR="0040795B" w:rsidRPr="00E65934" w:rsidRDefault="0040795B" w:rsidP="001819C2">
            <w:pPr>
              <w:spacing w:after="0" w:line="276" w:lineRule="auto"/>
              <w:jc w:val="center"/>
              <w:rPr>
                <w:rFonts w:cs="Arial"/>
                <w:sz w:val="16"/>
                <w:szCs w:val="16"/>
              </w:rPr>
            </w:pPr>
            <w:r w:rsidRPr="00E65934">
              <w:rPr>
                <w:rFonts w:cs="Arial"/>
                <w:sz w:val="16"/>
                <w:szCs w:val="16"/>
              </w:rPr>
              <w:t>1</w:t>
            </w:r>
            <w:r w:rsidR="0004149D">
              <w:rPr>
                <w:rFonts w:cs="Arial"/>
                <w:sz w:val="16"/>
                <w:szCs w:val="16"/>
              </w:rPr>
              <w:t>5</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3BB7FC67" w14:textId="03F09242" w:rsidR="0040795B" w:rsidRPr="00E65934" w:rsidRDefault="0040795B" w:rsidP="00C91CFD">
            <w:pPr>
              <w:spacing w:after="0" w:line="276" w:lineRule="auto"/>
              <w:jc w:val="left"/>
              <w:rPr>
                <w:rFonts w:cs="Arial"/>
                <w:sz w:val="16"/>
                <w:szCs w:val="16"/>
              </w:rPr>
            </w:pPr>
            <w:r w:rsidRPr="00E65934">
              <w:rPr>
                <w:rFonts w:cs="Arial"/>
                <w:sz w:val="16"/>
                <w:szCs w:val="16"/>
              </w:rPr>
              <w:t>Περιφέρεια Αττικής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1C5AD1AA" w14:textId="5C89B280" w:rsidR="0040795B" w:rsidRPr="00E65934" w:rsidRDefault="0040795B" w:rsidP="00C91CFD">
            <w:pPr>
              <w:spacing w:after="0" w:line="276" w:lineRule="auto"/>
              <w:jc w:val="left"/>
              <w:rPr>
                <w:rFonts w:cs="Arial"/>
                <w:sz w:val="16"/>
                <w:szCs w:val="16"/>
              </w:rPr>
            </w:pPr>
            <w:r w:rsidRPr="00E65934">
              <w:rPr>
                <w:rFonts w:cs="Arial"/>
                <w:sz w:val="16"/>
                <w:szCs w:val="16"/>
              </w:rPr>
              <w:t>Αθηναϊκή Ριβιέρα - Υποέργο 3: Αθηνα</w:t>
            </w:r>
            <w:r w:rsidR="00427B7B" w:rsidRPr="00E65934">
              <w:rPr>
                <w:rFonts w:cs="Arial"/>
                <w:sz w:val="16"/>
                <w:szCs w:val="16"/>
              </w:rPr>
              <w:t>ϊ</w:t>
            </w:r>
            <w:r w:rsidRPr="00E65934">
              <w:rPr>
                <w:rFonts w:cs="Arial"/>
                <w:sz w:val="16"/>
                <w:szCs w:val="16"/>
              </w:rPr>
              <w:t>κή Ριβιέρα 1. Αστικός περίπατος (τμήμα από</w:t>
            </w:r>
            <w:r w:rsidR="00F044CE" w:rsidRPr="00E65934">
              <w:rPr>
                <w:rFonts w:cs="Arial"/>
                <w:sz w:val="16"/>
                <w:szCs w:val="16"/>
              </w:rPr>
              <w:t xml:space="preserve"> τον</w:t>
            </w:r>
            <w:r w:rsidRPr="00E65934">
              <w:rPr>
                <w:rFonts w:cs="Arial"/>
                <w:sz w:val="16"/>
                <w:szCs w:val="16"/>
              </w:rPr>
              <w:t xml:space="preserve"> Δ</w:t>
            </w:r>
            <w:r w:rsidR="00F044CE" w:rsidRPr="00E65934">
              <w:rPr>
                <w:rFonts w:cs="Arial"/>
                <w:sz w:val="16"/>
                <w:szCs w:val="16"/>
              </w:rPr>
              <w:t>ήμο</w:t>
            </w:r>
            <w:r w:rsidRPr="00E65934">
              <w:rPr>
                <w:rFonts w:cs="Arial"/>
                <w:sz w:val="16"/>
                <w:szCs w:val="16"/>
              </w:rPr>
              <w:t xml:space="preserve"> Καλλιθέας έως </w:t>
            </w:r>
            <w:r w:rsidR="00F044CE" w:rsidRPr="00E65934">
              <w:rPr>
                <w:rFonts w:cs="Arial"/>
                <w:sz w:val="16"/>
                <w:szCs w:val="16"/>
              </w:rPr>
              <w:t xml:space="preserve">τον </w:t>
            </w:r>
            <w:r w:rsidRPr="00E65934">
              <w:rPr>
                <w:rFonts w:cs="Arial"/>
                <w:sz w:val="16"/>
                <w:szCs w:val="16"/>
              </w:rPr>
              <w:t>Δ</w:t>
            </w:r>
            <w:r w:rsidR="00F044CE" w:rsidRPr="00E65934">
              <w:rPr>
                <w:rFonts w:cs="Arial"/>
                <w:sz w:val="16"/>
                <w:szCs w:val="16"/>
              </w:rPr>
              <w:t>ήμο</w:t>
            </w:r>
            <w:r w:rsidRPr="00E65934">
              <w:rPr>
                <w:rFonts w:cs="Arial"/>
                <w:sz w:val="16"/>
                <w:szCs w:val="16"/>
              </w:rPr>
              <w:t xml:space="preserve"> Βάρης - Βούλας - Βουλιαγμένης)</w:t>
            </w:r>
          </w:p>
        </w:tc>
      </w:tr>
      <w:tr w:rsidR="0040795B" w:rsidRPr="00E65934" w14:paraId="73BF4F98" w14:textId="77777777" w:rsidTr="008751D8">
        <w:trPr>
          <w:cantSplit/>
          <w:jc w:val="center"/>
        </w:trPr>
        <w:tc>
          <w:tcPr>
            <w:tcW w:w="56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61A1DCF1" w14:textId="03D039AB" w:rsidR="0040795B" w:rsidRPr="00E65934" w:rsidRDefault="0004149D" w:rsidP="001819C2">
            <w:pPr>
              <w:spacing w:after="0" w:line="276" w:lineRule="auto"/>
              <w:jc w:val="center"/>
              <w:rPr>
                <w:rFonts w:cs="Arial"/>
                <w:sz w:val="16"/>
                <w:szCs w:val="16"/>
              </w:rPr>
            </w:pPr>
            <w:r>
              <w:rPr>
                <w:rFonts w:cs="Arial"/>
                <w:sz w:val="16"/>
                <w:szCs w:val="16"/>
              </w:rPr>
              <w:t>16</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19A5EC29" w14:textId="77777777" w:rsidR="0040795B" w:rsidRPr="00E65934" w:rsidRDefault="0040795B" w:rsidP="00C91CFD">
            <w:pPr>
              <w:spacing w:after="0" w:line="276" w:lineRule="auto"/>
              <w:jc w:val="left"/>
              <w:rPr>
                <w:rFonts w:cs="Arial"/>
                <w:sz w:val="16"/>
                <w:szCs w:val="16"/>
              </w:rPr>
            </w:pPr>
            <w:r w:rsidRPr="00E65934">
              <w:rPr>
                <w:rFonts w:cs="Arial"/>
                <w:sz w:val="16"/>
                <w:szCs w:val="16"/>
              </w:rPr>
              <w:t>Δήμος Φυλής</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0D6195DF" w14:textId="77777777" w:rsidR="0040795B" w:rsidRPr="00E65934" w:rsidRDefault="0040795B" w:rsidP="00C91CFD">
            <w:pPr>
              <w:spacing w:after="0" w:line="276" w:lineRule="auto"/>
              <w:jc w:val="left"/>
              <w:rPr>
                <w:rFonts w:cs="Arial"/>
                <w:sz w:val="16"/>
                <w:szCs w:val="16"/>
              </w:rPr>
            </w:pPr>
            <w:r w:rsidRPr="00E65934">
              <w:rPr>
                <w:rFonts w:cs="Arial"/>
                <w:sz w:val="16"/>
                <w:szCs w:val="16"/>
              </w:rPr>
              <w:t>Μετεγκατάσταση μεταφορικών επιχειρήσεων Ελαιώνα σε ακίνητο του Δήμου Φυλής</w:t>
            </w:r>
          </w:p>
        </w:tc>
      </w:tr>
      <w:tr w:rsidR="0040795B" w:rsidRPr="00B07A2B" w14:paraId="777DB8F8" w14:textId="77777777" w:rsidTr="008751D8">
        <w:trPr>
          <w:cantSplit/>
          <w:jc w:val="center"/>
        </w:trPr>
        <w:tc>
          <w:tcPr>
            <w:tcW w:w="564"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0D5D7448" w14:textId="793438A2" w:rsidR="0040795B" w:rsidRPr="00E65934" w:rsidRDefault="0004149D" w:rsidP="001819C2">
            <w:pPr>
              <w:spacing w:after="0" w:line="276" w:lineRule="auto"/>
              <w:jc w:val="center"/>
              <w:rPr>
                <w:rFonts w:cs="Arial"/>
                <w:sz w:val="16"/>
                <w:szCs w:val="16"/>
              </w:rPr>
            </w:pPr>
            <w:r>
              <w:rPr>
                <w:rFonts w:cs="Arial"/>
                <w:sz w:val="16"/>
                <w:szCs w:val="16"/>
              </w:rPr>
              <w:t>17</w:t>
            </w:r>
          </w:p>
        </w:tc>
        <w:tc>
          <w:tcPr>
            <w:tcW w:w="34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55429D96" w14:textId="77777777" w:rsidR="0040795B" w:rsidRPr="00E65934" w:rsidRDefault="0040795B" w:rsidP="00C91CFD">
            <w:pPr>
              <w:spacing w:after="0" w:line="276" w:lineRule="auto"/>
              <w:jc w:val="left"/>
              <w:rPr>
                <w:rFonts w:cs="Arial"/>
                <w:sz w:val="16"/>
                <w:szCs w:val="16"/>
              </w:rPr>
            </w:pPr>
            <w:r w:rsidRPr="00E65934">
              <w:rPr>
                <w:rFonts w:cs="Arial"/>
                <w:sz w:val="16"/>
                <w:szCs w:val="16"/>
              </w:rPr>
              <w:t>ΓΑΙΑΟΣΕ ΑΕ</w:t>
            </w:r>
          </w:p>
        </w:tc>
        <w:tc>
          <w:tcPr>
            <w:tcW w:w="5387"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vAlign w:val="center"/>
          </w:tcPr>
          <w:p w14:paraId="77A45C81" w14:textId="77777777" w:rsidR="0040795B" w:rsidRPr="00A94ADF" w:rsidRDefault="0040795B" w:rsidP="00C91CFD">
            <w:pPr>
              <w:spacing w:after="0" w:line="276" w:lineRule="auto"/>
              <w:jc w:val="left"/>
              <w:rPr>
                <w:rFonts w:cs="Arial"/>
                <w:sz w:val="16"/>
                <w:szCs w:val="16"/>
              </w:rPr>
            </w:pPr>
            <w:r w:rsidRPr="00E65934">
              <w:rPr>
                <w:rFonts w:cs="Arial"/>
                <w:sz w:val="16"/>
                <w:szCs w:val="16"/>
              </w:rPr>
              <w:t>Αξιοποίηση πρώην Στρατοπέδου Γκόνου</w:t>
            </w:r>
          </w:p>
        </w:tc>
      </w:tr>
      <w:tr w:rsidR="00E62489" w:rsidRPr="00B07A2B" w14:paraId="579064FF" w14:textId="77777777" w:rsidTr="00E62489">
        <w:trPr>
          <w:cantSplit/>
          <w:jc w:val="center"/>
        </w:trPr>
        <w:tc>
          <w:tcPr>
            <w:tcW w:w="9353" w:type="dxa"/>
            <w:gridSpan w:val="3"/>
            <w:tcBorders>
              <w:top w:val="single" w:sz="2" w:space="0" w:color="A6A6A6" w:themeColor="background1" w:themeShade="A6"/>
              <w:left w:val="nil"/>
              <w:bottom w:val="nil"/>
              <w:right w:val="nil"/>
            </w:tcBorders>
            <w:shd w:val="clear" w:color="auto" w:fill="auto"/>
            <w:vAlign w:val="center"/>
          </w:tcPr>
          <w:p w14:paraId="2129B1A2" w14:textId="07891A6D" w:rsidR="00E62489" w:rsidRPr="00E65934" w:rsidRDefault="00E62489" w:rsidP="00E62489">
            <w:pPr>
              <w:spacing w:before="60" w:after="0" w:line="276" w:lineRule="auto"/>
              <w:jc w:val="left"/>
              <w:rPr>
                <w:rFonts w:cs="Arial"/>
                <w:sz w:val="16"/>
                <w:szCs w:val="16"/>
              </w:rPr>
            </w:pPr>
            <w:r w:rsidRPr="000F33A6">
              <w:rPr>
                <w:rFonts w:cs="Arial"/>
                <w:sz w:val="16"/>
                <w:szCs w:val="16"/>
              </w:rPr>
              <w:t>Πηγή: ΕΕΣΥΠ - κλάδος πρώην ΤΑΙΠΕΔ</w:t>
            </w:r>
          </w:p>
        </w:tc>
      </w:tr>
    </w:tbl>
    <w:p w14:paraId="48A1E2BD" w14:textId="731728C5" w:rsidR="003B581B" w:rsidRPr="0004583C" w:rsidRDefault="003B581B" w:rsidP="00CC3F48">
      <w:pPr>
        <w:spacing w:before="240"/>
        <w:rPr>
          <w:szCs w:val="20"/>
        </w:rPr>
      </w:pPr>
      <w:bookmarkStart w:id="796" w:name="_Hlk23235905"/>
      <w:r w:rsidRPr="0004583C">
        <w:rPr>
          <w:szCs w:val="20"/>
        </w:rPr>
        <w:t xml:space="preserve">Τα έσοδα από τα ανωτέρω έργα, που θα ανέλθουν έως 0,5% επί του προϋπολογισμού τους, θα </w:t>
      </w:r>
      <w:r w:rsidR="00CC3F48" w:rsidRPr="0004583C">
        <w:rPr>
          <w:szCs w:val="20"/>
        </w:rPr>
        <w:t xml:space="preserve">διατεθούν </w:t>
      </w:r>
      <w:r w:rsidRPr="0004583C">
        <w:rPr>
          <w:szCs w:val="20"/>
        </w:rPr>
        <w:t>για την κάλυψη των λειτουργικών αναγκών της ΜΣΣΣ.</w:t>
      </w:r>
    </w:p>
    <w:p w14:paraId="05845231" w14:textId="71E598C7" w:rsidR="003B581B" w:rsidRPr="0004583C" w:rsidRDefault="003B581B" w:rsidP="00D570B4">
      <w:pPr>
        <w:rPr>
          <w:szCs w:val="20"/>
        </w:rPr>
      </w:pPr>
      <w:r w:rsidRPr="0004583C">
        <w:rPr>
          <w:szCs w:val="20"/>
        </w:rPr>
        <w:t xml:space="preserve">Όσον αφορά </w:t>
      </w:r>
      <w:r w:rsidR="00CC3F48" w:rsidRPr="0004583C">
        <w:rPr>
          <w:szCs w:val="20"/>
        </w:rPr>
        <w:t>σ</w:t>
      </w:r>
      <w:r w:rsidRPr="0004583C">
        <w:rPr>
          <w:szCs w:val="20"/>
        </w:rPr>
        <w:t>τις αποκρατικοποιήσεις, κατά τη λειτουργία του Τ</w:t>
      </w:r>
      <w:r w:rsidR="00971809" w:rsidRPr="0004583C">
        <w:rPr>
          <w:szCs w:val="20"/>
        </w:rPr>
        <w:t>ΑΙΠΕΔ</w:t>
      </w:r>
      <w:r w:rsidRPr="0004583C">
        <w:rPr>
          <w:szCs w:val="20"/>
        </w:rPr>
        <w:t xml:space="preserve"> από το 2011 έως και το 2025:</w:t>
      </w:r>
    </w:p>
    <w:p w14:paraId="4051D9FF" w14:textId="14E36968" w:rsidR="003B581B" w:rsidRPr="0004583C" w:rsidRDefault="003B581B" w:rsidP="00EC630C">
      <w:pPr>
        <w:pStyle w:val="af0"/>
        <w:numPr>
          <w:ilvl w:val="0"/>
          <w:numId w:val="17"/>
        </w:numPr>
        <w:spacing w:before="120" w:after="60" w:line="360" w:lineRule="auto"/>
        <w:rPr>
          <w:rFonts w:ascii="Arial" w:hAnsi="Arial" w:cs="Arial"/>
          <w:sz w:val="20"/>
          <w:szCs w:val="20"/>
        </w:rPr>
      </w:pPr>
      <w:r w:rsidRPr="0004583C">
        <w:rPr>
          <w:rFonts w:ascii="Arial" w:hAnsi="Arial" w:cs="Arial"/>
          <w:b/>
          <w:bCs/>
          <w:sz w:val="20"/>
          <w:szCs w:val="20"/>
        </w:rPr>
        <w:t>υλοποιήθηκαν 76 έργα</w:t>
      </w:r>
      <w:r w:rsidRPr="0004583C">
        <w:rPr>
          <w:rFonts w:ascii="Arial" w:hAnsi="Arial" w:cs="Arial"/>
          <w:sz w:val="20"/>
          <w:szCs w:val="20"/>
        </w:rPr>
        <w:t xml:space="preserve"> με την υποβολή δεσμευτικών προσφορών</w:t>
      </w:r>
      <w:r w:rsidR="00CC3F48" w:rsidRPr="0004583C">
        <w:rPr>
          <w:rFonts w:ascii="Arial" w:hAnsi="Arial" w:cs="Arial"/>
          <w:sz w:val="20"/>
          <w:szCs w:val="20"/>
        </w:rPr>
        <w:t>,</w:t>
      </w:r>
      <w:r w:rsidRPr="0004583C">
        <w:rPr>
          <w:rFonts w:ascii="Arial" w:hAnsi="Arial" w:cs="Arial"/>
          <w:sz w:val="20"/>
          <w:szCs w:val="20"/>
        </w:rPr>
        <w:t xml:space="preserve"> συνολικής αξίας </w:t>
      </w:r>
      <w:r w:rsidRPr="0004583C">
        <w:rPr>
          <w:rFonts w:ascii="Arial" w:hAnsi="Arial" w:cs="Arial"/>
          <w:b/>
          <w:bCs/>
          <w:sz w:val="20"/>
          <w:szCs w:val="20"/>
        </w:rPr>
        <w:t>15.732,5 εκατ.</w:t>
      </w:r>
      <w:r w:rsidR="00B930CB" w:rsidRPr="0004583C">
        <w:rPr>
          <w:rFonts w:ascii="Arial" w:hAnsi="Arial" w:cs="Arial"/>
          <w:b/>
          <w:bCs/>
          <w:sz w:val="20"/>
          <w:szCs w:val="20"/>
        </w:rPr>
        <w:t xml:space="preserve"> ευρώ</w:t>
      </w:r>
      <w:r w:rsidR="00B930CB" w:rsidRPr="0004583C">
        <w:rPr>
          <w:rFonts w:ascii="Arial" w:hAnsi="Arial" w:cs="Arial"/>
          <w:bCs/>
          <w:sz w:val="20"/>
          <w:szCs w:val="20"/>
        </w:rPr>
        <w:t xml:space="preserve"> και</w:t>
      </w:r>
    </w:p>
    <w:p w14:paraId="1F24EE52" w14:textId="280B13DC" w:rsidR="003B581B" w:rsidRPr="0004583C" w:rsidRDefault="003B581B" w:rsidP="00EC630C">
      <w:pPr>
        <w:pStyle w:val="af0"/>
        <w:numPr>
          <w:ilvl w:val="0"/>
          <w:numId w:val="17"/>
        </w:numPr>
        <w:spacing w:before="60" w:after="120" w:line="360" w:lineRule="auto"/>
        <w:rPr>
          <w:rFonts w:ascii="Arial" w:hAnsi="Arial" w:cs="Arial"/>
          <w:sz w:val="20"/>
          <w:szCs w:val="20"/>
        </w:rPr>
      </w:pPr>
      <w:r w:rsidRPr="0004583C">
        <w:rPr>
          <w:rFonts w:ascii="Arial" w:hAnsi="Arial" w:cs="Arial"/>
          <w:b/>
          <w:bCs/>
          <w:sz w:val="20"/>
          <w:szCs w:val="20"/>
        </w:rPr>
        <w:t>εισπράχθηκαν</w:t>
      </w:r>
      <w:r w:rsidRPr="0004583C">
        <w:rPr>
          <w:rFonts w:ascii="Arial" w:hAnsi="Arial" w:cs="Arial"/>
          <w:sz w:val="20"/>
          <w:szCs w:val="20"/>
        </w:rPr>
        <w:t xml:space="preserve"> </w:t>
      </w:r>
      <w:r w:rsidR="00CC3F48" w:rsidRPr="0004583C">
        <w:rPr>
          <w:rFonts w:ascii="Arial" w:hAnsi="Arial" w:cs="Arial"/>
          <w:sz w:val="20"/>
          <w:szCs w:val="20"/>
        </w:rPr>
        <w:t>έσοδα (</w:t>
      </w:r>
      <w:r w:rsidRPr="0004583C">
        <w:rPr>
          <w:rFonts w:ascii="Arial" w:hAnsi="Arial" w:cs="Arial"/>
          <w:sz w:val="20"/>
          <w:szCs w:val="20"/>
        </w:rPr>
        <w:t>σε ταμειακή βάση</w:t>
      </w:r>
      <w:r w:rsidR="00CC3F48" w:rsidRPr="0004583C">
        <w:rPr>
          <w:rFonts w:ascii="Arial" w:hAnsi="Arial" w:cs="Arial"/>
          <w:sz w:val="20"/>
          <w:szCs w:val="20"/>
        </w:rPr>
        <w:t xml:space="preserve">) </w:t>
      </w:r>
      <w:r w:rsidRPr="0004583C">
        <w:rPr>
          <w:rFonts w:ascii="Arial" w:hAnsi="Arial" w:cs="Arial"/>
          <w:sz w:val="20"/>
          <w:szCs w:val="20"/>
        </w:rPr>
        <w:t>από ολοκληρωμένες συναλλαγές</w:t>
      </w:r>
      <w:r w:rsidR="00D71A6D" w:rsidRPr="0004583C">
        <w:rPr>
          <w:rFonts w:ascii="Arial" w:hAnsi="Arial" w:cs="Arial"/>
          <w:sz w:val="20"/>
          <w:szCs w:val="20"/>
        </w:rPr>
        <w:t>,</w:t>
      </w:r>
      <w:r w:rsidRPr="0004583C">
        <w:rPr>
          <w:rFonts w:ascii="Arial" w:hAnsi="Arial" w:cs="Arial"/>
          <w:sz w:val="20"/>
          <w:szCs w:val="20"/>
        </w:rPr>
        <w:t xml:space="preserve"> συνολικής αξίας </w:t>
      </w:r>
      <w:r w:rsidRPr="0004583C">
        <w:rPr>
          <w:rFonts w:ascii="Arial" w:hAnsi="Arial" w:cs="Arial"/>
          <w:b/>
          <w:bCs/>
          <w:sz w:val="20"/>
          <w:szCs w:val="20"/>
        </w:rPr>
        <w:t>14.315,2 εκατ.</w:t>
      </w:r>
      <w:r w:rsidR="00B930CB" w:rsidRPr="0004583C">
        <w:rPr>
          <w:rFonts w:ascii="Arial" w:hAnsi="Arial" w:cs="Arial"/>
          <w:b/>
          <w:bCs/>
          <w:sz w:val="20"/>
          <w:szCs w:val="20"/>
        </w:rPr>
        <w:t xml:space="preserve"> </w:t>
      </w:r>
      <w:r w:rsidR="00B930CB" w:rsidRPr="0004583C">
        <w:rPr>
          <w:rFonts w:ascii="Arial" w:hAnsi="Arial" w:cs="Arial"/>
          <w:b/>
          <w:sz w:val="20"/>
          <w:szCs w:val="20"/>
        </w:rPr>
        <w:t>ευρώ</w:t>
      </w:r>
      <w:r w:rsidR="00833091" w:rsidRPr="0004583C">
        <w:rPr>
          <w:sz w:val="20"/>
          <w:szCs w:val="20"/>
        </w:rPr>
        <w:t xml:space="preserve"> </w:t>
      </w:r>
      <w:r w:rsidR="00833091" w:rsidRPr="0004583C">
        <w:rPr>
          <w:rFonts w:ascii="Arial" w:hAnsi="Arial" w:cs="Arial"/>
          <w:sz w:val="20"/>
          <w:szCs w:val="20"/>
        </w:rPr>
        <w:t>(</w:t>
      </w:r>
      <w:r w:rsidR="00833091" w:rsidRPr="0004583C">
        <w:rPr>
          <w:rFonts w:ascii="Arial" w:hAnsi="Arial" w:cs="Arial"/>
          <w:sz w:val="20"/>
          <w:szCs w:val="20"/>
        </w:rPr>
        <w:fldChar w:fldCharType="begin"/>
      </w:r>
      <w:r w:rsidR="00833091" w:rsidRPr="0004583C">
        <w:rPr>
          <w:rFonts w:ascii="Arial" w:hAnsi="Arial" w:cs="Arial"/>
          <w:sz w:val="20"/>
          <w:szCs w:val="20"/>
        </w:rPr>
        <w:instrText xml:space="preserve"> REF _Ref213522379 \h  \* MERGEFORMAT </w:instrText>
      </w:r>
      <w:r w:rsidR="00833091" w:rsidRPr="0004583C">
        <w:rPr>
          <w:rFonts w:ascii="Arial" w:hAnsi="Arial" w:cs="Arial"/>
          <w:sz w:val="20"/>
          <w:szCs w:val="20"/>
        </w:rPr>
      </w:r>
      <w:r w:rsidR="00833091" w:rsidRPr="0004583C">
        <w:rPr>
          <w:rFonts w:ascii="Arial" w:hAnsi="Arial" w:cs="Arial"/>
          <w:sz w:val="20"/>
          <w:szCs w:val="20"/>
        </w:rPr>
        <w:fldChar w:fldCharType="separate"/>
      </w:r>
      <w:r w:rsidR="00E15678" w:rsidRPr="00E15678">
        <w:rPr>
          <w:rFonts w:ascii="Arial" w:hAnsi="Arial" w:cs="Arial"/>
          <w:sz w:val="20"/>
          <w:szCs w:val="20"/>
        </w:rPr>
        <w:t>Πίνακας 5.5</w:t>
      </w:r>
      <w:r w:rsidR="00833091" w:rsidRPr="0004583C">
        <w:rPr>
          <w:rFonts w:ascii="Arial" w:hAnsi="Arial" w:cs="Arial"/>
          <w:sz w:val="20"/>
          <w:szCs w:val="20"/>
        </w:rPr>
        <w:fldChar w:fldCharType="end"/>
      </w:r>
      <w:r w:rsidR="00833091" w:rsidRPr="0004583C">
        <w:rPr>
          <w:rFonts w:ascii="Arial" w:hAnsi="Arial" w:cs="Arial"/>
          <w:sz w:val="20"/>
          <w:szCs w:val="20"/>
        </w:rPr>
        <w:t>.).</w:t>
      </w:r>
    </w:p>
    <w:p w14:paraId="66D77BBB" w14:textId="6AFD2213" w:rsidR="003B581B" w:rsidRPr="00EA196C" w:rsidRDefault="003B581B" w:rsidP="003B581B">
      <w:pPr>
        <w:spacing w:line="360" w:lineRule="auto"/>
      </w:pPr>
      <w:r w:rsidRPr="00EA196C">
        <w:t xml:space="preserve">Σημειώνεται πως η διαφορά </w:t>
      </w:r>
      <w:r w:rsidRPr="00640DAB">
        <w:t xml:space="preserve">των </w:t>
      </w:r>
      <w:r w:rsidRPr="00DE78F3">
        <w:rPr>
          <w:b/>
          <w:bCs/>
        </w:rPr>
        <w:t>1.417,3</w:t>
      </w:r>
      <w:r w:rsidRPr="00DE78F3">
        <w:rPr>
          <w:b/>
        </w:rPr>
        <w:t xml:space="preserve"> εκατ. </w:t>
      </w:r>
      <w:r w:rsidR="00B930CB" w:rsidRPr="00DE78F3">
        <w:rPr>
          <w:b/>
        </w:rPr>
        <w:t>ευρώ</w:t>
      </w:r>
      <w:r w:rsidR="00B930CB" w:rsidRPr="00DE78F3">
        <w:t xml:space="preserve"> </w:t>
      </w:r>
      <w:r w:rsidRPr="00DE78F3">
        <w:t>έγκειται</w:t>
      </w:r>
      <w:r w:rsidRPr="00EA196C">
        <w:t xml:space="preserve"> αφενός, σε προγραμματισμένη κατανομή δόσεων για έργα, στα οποία το οικονομικό κλείσιμο έχει ήδη </w:t>
      </w:r>
      <w:r w:rsidR="00092B54">
        <w:t xml:space="preserve">συντελεστεί </w:t>
      </w:r>
      <w:r w:rsidRPr="00EA196C">
        <w:t>και αφετέρου, σε έργα για τα οποία υπάρχει δεσμευτική προσφορά και το οικονομικό κλείσιμο αναμένεται σε επόμενο χρόνο.</w:t>
      </w:r>
    </w:p>
    <w:p w14:paraId="73B29AC2" w14:textId="0C112EC3" w:rsidR="003B581B" w:rsidRPr="00EA196C" w:rsidRDefault="003B581B" w:rsidP="003B581B">
      <w:pPr>
        <w:spacing w:line="360" w:lineRule="auto"/>
        <w:rPr>
          <w:rFonts w:cstheme="minorHAnsi"/>
        </w:rPr>
      </w:pPr>
      <w:r w:rsidRPr="00EA196C">
        <w:rPr>
          <w:rFonts w:cstheme="minorHAnsi"/>
        </w:rPr>
        <w:t xml:space="preserve">Επιπρόσθετα, σημειώνεται ότι πέραν του συνολικού τιμήματος που καταβάλλεται για ένα περιουσιακό στοιχείο, οι επενδυτές ανάλογα με το είδος της συναλλαγής και εφόσον το επιτρέπει η φύση του </w:t>
      </w:r>
      <w:r w:rsidRPr="00EA196C">
        <w:rPr>
          <w:rFonts w:cstheme="minorHAnsi"/>
        </w:rPr>
        <w:lastRenderedPageBreak/>
        <w:t xml:space="preserve">περιουσιακού στοιχείου, δεσμεύονται σε ένα ελάχιστο ύψος </w:t>
      </w:r>
      <w:r w:rsidRPr="00EA196C">
        <w:rPr>
          <w:rFonts w:cstheme="minorHAnsi"/>
          <w:b/>
        </w:rPr>
        <w:t>επενδυτικών και αναπτυξιακών προγραμμάτων.</w:t>
      </w:r>
    </w:p>
    <w:p w14:paraId="25E7FEE9" w14:textId="62C2917F" w:rsidR="003B581B" w:rsidRPr="00EA196C" w:rsidRDefault="008E30B2" w:rsidP="003B581B">
      <w:pPr>
        <w:spacing w:line="360" w:lineRule="auto"/>
      </w:pPr>
      <w:r>
        <w:rPr>
          <w:b/>
          <w:bCs/>
        </w:rPr>
        <w:t>Το</w:t>
      </w:r>
      <w:r w:rsidR="003B581B" w:rsidRPr="00EA196C">
        <w:rPr>
          <w:b/>
          <w:bCs/>
        </w:rPr>
        <w:t xml:space="preserve"> 202</w:t>
      </w:r>
      <w:r w:rsidR="003B581B">
        <w:rPr>
          <w:b/>
          <w:bCs/>
        </w:rPr>
        <w:t>5</w:t>
      </w:r>
      <w:r w:rsidR="003B581B" w:rsidRPr="00294643">
        <w:rPr>
          <w:b/>
          <w:bCs/>
        </w:rPr>
        <w:t xml:space="preserve"> </w:t>
      </w:r>
      <w:r w:rsidR="003B581B">
        <w:rPr>
          <w:b/>
          <w:bCs/>
        </w:rPr>
        <w:t>έλαβαν χώρα τα ακόλουθα</w:t>
      </w:r>
      <w:r w:rsidR="003B581B" w:rsidRPr="00EA196C">
        <w:t>:</w:t>
      </w:r>
    </w:p>
    <w:p w14:paraId="502B02FD" w14:textId="5D54F2CA" w:rsidR="003B581B" w:rsidRPr="00B930CB" w:rsidRDefault="00754CC3" w:rsidP="00EC630C">
      <w:pPr>
        <w:numPr>
          <w:ilvl w:val="0"/>
          <w:numId w:val="2"/>
        </w:numPr>
        <w:spacing w:before="120" w:after="60"/>
        <w:ind w:left="568" w:hanging="284"/>
      </w:pPr>
      <w:r>
        <w:t xml:space="preserve">η </w:t>
      </w:r>
      <w:r w:rsidR="00092B54" w:rsidRPr="00B930CB">
        <w:t>έναρξη</w:t>
      </w:r>
      <w:r w:rsidR="003B581B" w:rsidRPr="00B930CB">
        <w:t xml:space="preserve"> της υποπαραχώρησης του </w:t>
      </w:r>
      <w:r w:rsidR="00D76647" w:rsidRPr="00B930CB">
        <w:t xml:space="preserve">Οργανισμού Λιμένος Καβάλας </w:t>
      </w:r>
      <w:r w:rsidR="003B581B" w:rsidRPr="00B930CB">
        <w:t xml:space="preserve">ΑΕ </w:t>
      </w:r>
      <w:r w:rsidR="00092B54">
        <w:t>-</w:t>
      </w:r>
      <w:r w:rsidR="003B581B" w:rsidRPr="00B930CB">
        <w:t xml:space="preserve"> </w:t>
      </w:r>
      <w:r w:rsidR="00D76647" w:rsidRPr="00B930CB">
        <w:t>Σταθμ</w:t>
      </w:r>
      <w:r w:rsidR="00D76647">
        <w:t>ό</w:t>
      </w:r>
      <w:r w:rsidR="00D76647" w:rsidRPr="00B930CB">
        <w:t>ς Πολλαπλ</w:t>
      </w:r>
      <w:r w:rsidR="00D76647">
        <w:t>ώ</w:t>
      </w:r>
      <w:r w:rsidR="00D76647" w:rsidRPr="00B930CB">
        <w:t>ν Χρ</w:t>
      </w:r>
      <w:r w:rsidR="00D76647">
        <w:t>ή</w:t>
      </w:r>
      <w:r w:rsidR="00D76647" w:rsidRPr="00B930CB">
        <w:t>σεων</w:t>
      </w:r>
      <w:r w:rsidR="003B581B" w:rsidRPr="00B930CB">
        <w:t xml:space="preserve"> </w:t>
      </w:r>
      <w:r w:rsidR="00D76647">
        <w:t>«</w:t>
      </w:r>
      <w:r w:rsidR="003B581B" w:rsidRPr="00B930CB">
        <w:t>ΦΙΛΙΠΠΟΣ Β’</w:t>
      </w:r>
      <w:r w:rsidR="00D76647">
        <w:t>»,</w:t>
      </w:r>
    </w:p>
    <w:p w14:paraId="1D1E95A7" w14:textId="4E771016" w:rsidR="003B581B" w:rsidRPr="00D76647" w:rsidRDefault="00754CC3" w:rsidP="00EC630C">
      <w:pPr>
        <w:numPr>
          <w:ilvl w:val="0"/>
          <w:numId w:val="2"/>
        </w:numPr>
        <w:spacing w:before="60" w:after="60"/>
        <w:ind w:left="568" w:hanging="284"/>
      </w:pPr>
      <w:r>
        <w:t xml:space="preserve">η </w:t>
      </w:r>
      <w:r w:rsidR="00D76647">
        <w:t>ο</w:t>
      </w:r>
      <w:r w:rsidR="003B581B" w:rsidRPr="00D76647">
        <w:t xml:space="preserve">λοκλήρωση μεταβίβασης </w:t>
      </w:r>
      <w:r w:rsidR="00092B54" w:rsidRPr="00D76647">
        <w:t>στ</w:t>
      </w:r>
      <w:r w:rsidR="00092B54">
        <w:t>ην ΕΕΣΥΠ</w:t>
      </w:r>
      <w:r w:rsidR="00092B54" w:rsidRPr="00D76647">
        <w:t xml:space="preserve"> </w:t>
      </w:r>
      <w:r w:rsidR="003B581B" w:rsidRPr="00D76647">
        <w:t>του 35% του μετοχικού κεφαλαίου της ΔΕΠΑ Εμπορίας ΑΕ, που κατείχε η HELLENiQ ENERGY Holdings,</w:t>
      </w:r>
    </w:p>
    <w:p w14:paraId="395FF72B" w14:textId="46A30BC2" w:rsidR="003B581B" w:rsidRPr="00D76647" w:rsidRDefault="00754CC3" w:rsidP="00EC630C">
      <w:pPr>
        <w:numPr>
          <w:ilvl w:val="0"/>
          <w:numId w:val="2"/>
        </w:numPr>
        <w:spacing w:before="60" w:after="60"/>
        <w:ind w:left="568" w:hanging="284"/>
      </w:pPr>
      <w:r>
        <w:t xml:space="preserve">η </w:t>
      </w:r>
      <w:r w:rsidR="00D76647">
        <w:t>υ</w:t>
      </w:r>
      <w:r w:rsidR="003B581B" w:rsidRPr="00D76647">
        <w:t xml:space="preserve">ποβολή πέντε δεσμευτικών προσφορών για τον </w:t>
      </w:r>
      <w:r w:rsidR="00D76647" w:rsidRPr="00D76647">
        <w:t xml:space="preserve">Οργανισμό Λιμένος Λαυρίου </w:t>
      </w:r>
      <w:r w:rsidR="003B581B" w:rsidRPr="00D76647">
        <w:t>ΑΕ</w:t>
      </w:r>
      <w:r w:rsidR="00D76647">
        <w:t>,</w:t>
      </w:r>
    </w:p>
    <w:p w14:paraId="3199FBBF" w14:textId="3EA63B44" w:rsidR="003B581B" w:rsidRPr="00D76647" w:rsidRDefault="00754CC3" w:rsidP="00EC630C">
      <w:pPr>
        <w:numPr>
          <w:ilvl w:val="0"/>
          <w:numId w:val="2"/>
        </w:numPr>
        <w:spacing w:before="60" w:after="60"/>
        <w:ind w:left="568" w:hanging="284"/>
      </w:pPr>
      <w:r>
        <w:t xml:space="preserve">η </w:t>
      </w:r>
      <w:r w:rsidR="00D76647">
        <w:t>α</w:t>
      </w:r>
      <w:r w:rsidR="003B581B" w:rsidRPr="00D76647">
        <w:t xml:space="preserve">νακήρυξη </w:t>
      </w:r>
      <w:r w:rsidR="00D76647">
        <w:t>ε</w:t>
      </w:r>
      <w:r w:rsidR="003B581B" w:rsidRPr="00D76647">
        <w:t xml:space="preserve">πενδυτή για την παραχώρηση της </w:t>
      </w:r>
      <w:r w:rsidR="00C56F33">
        <w:t>μ</w:t>
      </w:r>
      <w:r w:rsidR="00D76647" w:rsidRPr="00D76647">
        <w:t>αρίνας Αργοστολίου</w:t>
      </w:r>
      <w:r w:rsidR="00D76647">
        <w:t>,</w:t>
      </w:r>
    </w:p>
    <w:p w14:paraId="053D9729" w14:textId="65EC196F" w:rsidR="003B581B" w:rsidRPr="00D76647" w:rsidRDefault="00754CC3" w:rsidP="00EC630C">
      <w:pPr>
        <w:numPr>
          <w:ilvl w:val="0"/>
          <w:numId w:val="2"/>
        </w:numPr>
        <w:spacing w:before="60" w:after="60"/>
        <w:ind w:left="568" w:hanging="284"/>
      </w:pPr>
      <w:r>
        <w:t xml:space="preserve">η </w:t>
      </w:r>
      <w:r w:rsidR="00D76647">
        <w:t>υ</w:t>
      </w:r>
      <w:r w:rsidR="003B581B" w:rsidRPr="00D76647">
        <w:t xml:space="preserve">ποβολή </w:t>
      </w:r>
      <w:r w:rsidR="00D76647">
        <w:t>ε</w:t>
      </w:r>
      <w:r w:rsidR="003B581B" w:rsidRPr="00D76647">
        <w:t xml:space="preserve">κδήλωσης </w:t>
      </w:r>
      <w:r w:rsidR="00D76647">
        <w:t>ε</w:t>
      </w:r>
      <w:r w:rsidR="003B581B" w:rsidRPr="00D76647">
        <w:t xml:space="preserve">νδιαφέροντος τεσσάρων επενδυτικών σχημάτων για την αξιοποίηση του </w:t>
      </w:r>
      <w:r w:rsidR="00877EA1">
        <w:t xml:space="preserve">έργου </w:t>
      </w:r>
      <w:r w:rsidR="00C56F33" w:rsidRPr="00D76647">
        <w:t>«Λιμένες Κρουαζιέρας: (Τμήμα 1) Κατάκολο - Πάτρα, (Τμήμα 2) Καβ</w:t>
      </w:r>
      <w:r w:rsidR="00C56F33">
        <w:t>ά</w:t>
      </w:r>
      <w:r w:rsidR="00C56F33" w:rsidRPr="00D76647">
        <w:t>λ</w:t>
      </w:r>
      <w:r w:rsidR="00C56F33">
        <w:t>α</w:t>
      </w:r>
      <w:r w:rsidR="00C56F33" w:rsidRPr="00D76647">
        <w:t xml:space="preserve"> </w:t>
      </w:r>
      <w:r w:rsidR="00C56F33" w:rsidRPr="00C56F33">
        <w:t>“</w:t>
      </w:r>
      <w:r w:rsidR="00C56F33" w:rsidRPr="00D76647">
        <w:t>Απ</w:t>
      </w:r>
      <w:r w:rsidR="00C56F33">
        <w:t>ό</w:t>
      </w:r>
      <w:r w:rsidR="00C56F33" w:rsidRPr="00D76647">
        <w:t>στολος Πα</w:t>
      </w:r>
      <w:r w:rsidR="00C56F33">
        <w:t>ύ</w:t>
      </w:r>
      <w:r w:rsidR="00C56F33" w:rsidRPr="00D76647">
        <w:t>λος</w:t>
      </w:r>
      <w:r w:rsidR="00C56F33" w:rsidRPr="00C56F33">
        <w:t>”</w:t>
      </w:r>
      <w:r w:rsidR="00C56F33" w:rsidRPr="00D76647">
        <w:t>»</w:t>
      </w:r>
      <w:r w:rsidR="00C56F33" w:rsidRPr="00C56F33">
        <w:t xml:space="preserve"> </w:t>
      </w:r>
      <w:r w:rsidR="00C56F33">
        <w:t>και</w:t>
      </w:r>
    </w:p>
    <w:p w14:paraId="26DCBF10" w14:textId="532DB119" w:rsidR="003B581B" w:rsidRPr="00294643" w:rsidRDefault="00754CC3" w:rsidP="00EC630C">
      <w:pPr>
        <w:numPr>
          <w:ilvl w:val="0"/>
          <w:numId w:val="2"/>
        </w:numPr>
        <w:spacing w:before="60"/>
        <w:ind w:left="568" w:hanging="284"/>
        <w:rPr>
          <w:rFonts w:cstheme="minorHAnsi"/>
        </w:rPr>
      </w:pPr>
      <w:r>
        <w:rPr>
          <w:rFonts w:cstheme="minorHAnsi"/>
        </w:rPr>
        <w:t xml:space="preserve">η </w:t>
      </w:r>
      <w:r w:rsidR="00C56F33">
        <w:rPr>
          <w:rFonts w:cstheme="minorHAnsi"/>
        </w:rPr>
        <w:t>π</w:t>
      </w:r>
      <w:r w:rsidR="003B581B" w:rsidRPr="00294643">
        <w:rPr>
          <w:rFonts w:cstheme="minorHAnsi"/>
        </w:rPr>
        <w:t xml:space="preserve">ώληση του ακινήτου </w:t>
      </w:r>
      <w:r w:rsidR="00135A3B">
        <w:rPr>
          <w:rFonts w:cstheme="minorHAnsi"/>
        </w:rPr>
        <w:t>Ακτή και κάμπινγκ Αγίας Τριάδας</w:t>
      </w:r>
      <w:r w:rsidR="003B581B" w:rsidRPr="00294643">
        <w:rPr>
          <w:rFonts w:cstheme="minorHAnsi"/>
        </w:rPr>
        <w:t>.</w:t>
      </w:r>
    </w:p>
    <w:p w14:paraId="7D9A8101" w14:textId="7830157F" w:rsidR="003B581B" w:rsidRPr="00A67B71" w:rsidRDefault="001F1DAE" w:rsidP="003B581B">
      <w:pPr>
        <w:spacing w:line="360" w:lineRule="auto"/>
        <w:ind w:left="66"/>
      </w:pPr>
      <w:bookmarkStart w:id="797" w:name="_Hlk23251903"/>
      <w:bookmarkEnd w:id="797"/>
      <w:r>
        <w:t xml:space="preserve">Παράλληλα, </w:t>
      </w:r>
      <w:r w:rsidR="003B581B" w:rsidRPr="00EA196C">
        <w:t>εντός του 202</w:t>
      </w:r>
      <w:r w:rsidR="003B581B">
        <w:t>5</w:t>
      </w:r>
      <w:r>
        <w:t xml:space="preserve"> ε</w:t>
      </w:r>
      <w:r w:rsidRPr="00EA196C">
        <w:t>ίναι σε εξέλιξη</w:t>
      </w:r>
      <w:r>
        <w:t>, σε</w:t>
      </w:r>
      <w:r w:rsidR="003B581B" w:rsidRPr="00EA196C">
        <w:t xml:space="preserve"> διάφορες φάσεις </w:t>
      </w:r>
      <w:r w:rsidR="003B581B">
        <w:t>ανάπτυξης</w:t>
      </w:r>
      <w:r w:rsidR="00EE0158">
        <w:t>,</w:t>
      </w:r>
      <w:r w:rsidR="003B581B" w:rsidRPr="00EA196C">
        <w:t xml:space="preserve"> οι εξής διαγωνισμοί:</w:t>
      </w:r>
    </w:p>
    <w:p w14:paraId="2B540C69" w14:textId="3BDB66A2" w:rsidR="003B581B" w:rsidRPr="00462BF1" w:rsidRDefault="001F1DAE" w:rsidP="00EC630C">
      <w:pPr>
        <w:numPr>
          <w:ilvl w:val="0"/>
          <w:numId w:val="2"/>
        </w:numPr>
        <w:spacing w:before="120" w:after="60"/>
        <w:ind w:left="568" w:hanging="284"/>
      </w:pPr>
      <w:r>
        <w:t xml:space="preserve">η </w:t>
      </w:r>
      <w:r w:rsidR="00C56F33" w:rsidRPr="00462BF1">
        <w:t>π</w:t>
      </w:r>
      <w:r w:rsidR="003B581B" w:rsidRPr="00462BF1">
        <w:t>ώληση μετοχών του Οργανισμού Λιμένος Λαυρίου</w:t>
      </w:r>
      <w:r w:rsidR="00C56F33" w:rsidRPr="00462BF1">
        <w:t xml:space="preserve"> ΑΕ,</w:t>
      </w:r>
    </w:p>
    <w:p w14:paraId="526CD429" w14:textId="608242BA" w:rsidR="003B581B" w:rsidRPr="00462BF1" w:rsidRDefault="001F1DAE" w:rsidP="00EC630C">
      <w:pPr>
        <w:numPr>
          <w:ilvl w:val="0"/>
          <w:numId w:val="2"/>
        </w:numPr>
        <w:spacing w:before="60" w:after="60"/>
        <w:ind w:left="568" w:hanging="284"/>
      </w:pPr>
      <w:r>
        <w:t>η</w:t>
      </w:r>
      <w:r w:rsidRPr="00462BF1">
        <w:t xml:space="preserve"> </w:t>
      </w:r>
      <w:r w:rsidR="00C56F33" w:rsidRPr="00462BF1">
        <w:t>ο</w:t>
      </w:r>
      <w:r w:rsidR="003B581B" w:rsidRPr="00462BF1">
        <w:t xml:space="preserve">λοκλήρωση </w:t>
      </w:r>
      <w:r>
        <w:t xml:space="preserve">του </w:t>
      </w:r>
      <w:r w:rsidR="003B581B" w:rsidRPr="00462BF1">
        <w:t xml:space="preserve">διαγωνισμού μακροχρόνιας παραχώρησης </w:t>
      </w:r>
      <w:r w:rsidR="00EE0158">
        <w:t xml:space="preserve">του </w:t>
      </w:r>
      <w:r w:rsidR="00C56F33" w:rsidRPr="00462BF1">
        <w:t>α</w:t>
      </w:r>
      <w:r w:rsidR="003B581B" w:rsidRPr="00462BF1">
        <w:t>εροδρομίου Καλαμάτας</w:t>
      </w:r>
      <w:r w:rsidR="00C56F33" w:rsidRPr="00462BF1">
        <w:t>,</w:t>
      </w:r>
    </w:p>
    <w:p w14:paraId="341415B1" w14:textId="2258749C" w:rsidR="003B581B" w:rsidRPr="00462BF1" w:rsidRDefault="001F1DAE" w:rsidP="00EC630C">
      <w:pPr>
        <w:numPr>
          <w:ilvl w:val="0"/>
          <w:numId w:val="2"/>
        </w:numPr>
        <w:spacing w:before="60" w:after="60"/>
        <w:ind w:left="568" w:hanging="284"/>
      </w:pPr>
      <w:r>
        <w:t>η</w:t>
      </w:r>
      <w:r w:rsidRPr="00462BF1">
        <w:t xml:space="preserve"> </w:t>
      </w:r>
      <w:r w:rsidR="00C56F33" w:rsidRPr="00462BF1">
        <w:t>α</w:t>
      </w:r>
      <w:r w:rsidR="003B581B" w:rsidRPr="00462BF1">
        <w:t xml:space="preserve">ξιοποίηση των 22 </w:t>
      </w:r>
      <w:r w:rsidR="00EE0158">
        <w:t>π</w:t>
      </w:r>
      <w:r w:rsidR="003B581B" w:rsidRPr="00462BF1">
        <w:t xml:space="preserve">εριφερειακών </w:t>
      </w:r>
      <w:r w:rsidR="00EE0158">
        <w:t>α</w:t>
      </w:r>
      <w:r w:rsidR="003B581B" w:rsidRPr="00462BF1">
        <w:t>εροδρομίων της χώρας</w:t>
      </w:r>
      <w:r w:rsidR="00C56F33" w:rsidRPr="00462BF1">
        <w:t>,</w:t>
      </w:r>
    </w:p>
    <w:p w14:paraId="0190F741" w14:textId="369894F0" w:rsidR="003B581B" w:rsidRPr="006C71E2" w:rsidRDefault="001F1DAE" w:rsidP="00EC630C">
      <w:pPr>
        <w:numPr>
          <w:ilvl w:val="0"/>
          <w:numId w:val="2"/>
        </w:numPr>
        <w:spacing w:before="60" w:after="60"/>
        <w:ind w:left="568" w:hanging="284"/>
      </w:pPr>
      <w:r>
        <w:t>η</w:t>
      </w:r>
      <w:r w:rsidRPr="006C71E2">
        <w:t xml:space="preserve"> </w:t>
      </w:r>
      <w:r w:rsidR="00EE0158" w:rsidRPr="006C71E2">
        <w:t>δεκαετής</w:t>
      </w:r>
      <w:r w:rsidR="003B581B" w:rsidRPr="006C71E2">
        <w:t xml:space="preserve"> παραχώρηση των </w:t>
      </w:r>
      <w:r w:rsidR="00EE0158" w:rsidRPr="006C71E2">
        <w:t>κρατικών λαχείων</w:t>
      </w:r>
      <w:r w:rsidR="00C56F33" w:rsidRPr="006C71E2">
        <w:t>,</w:t>
      </w:r>
    </w:p>
    <w:p w14:paraId="316A24D2" w14:textId="288F5E2E" w:rsidR="003B581B" w:rsidRPr="00462BF1" w:rsidRDefault="001F1DAE" w:rsidP="00EC630C">
      <w:pPr>
        <w:numPr>
          <w:ilvl w:val="0"/>
          <w:numId w:val="2"/>
        </w:numPr>
        <w:spacing w:before="60" w:after="60"/>
        <w:ind w:left="568" w:hanging="284"/>
      </w:pPr>
      <w:r>
        <w:t>η</w:t>
      </w:r>
      <w:r w:rsidRPr="00462BF1">
        <w:t xml:space="preserve"> </w:t>
      </w:r>
      <w:r w:rsidR="00C56F33" w:rsidRPr="00462BF1">
        <w:t>π</w:t>
      </w:r>
      <w:r w:rsidR="003B581B" w:rsidRPr="00462BF1">
        <w:t xml:space="preserve">αραχώρηση της </w:t>
      </w:r>
      <w:r w:rsidR="007642C1" w:rsidRPr="00462BF1">
        <w:t>μ</w:t>
      </w:r>
      <w:r w:rsidR="003B581B" w:rsidRPr="00462BF1">
        <w:t>αρίνας Αργοστολίου</w:t>
      </w:r>
      <w:r w:rsidR="003F2B7B">
        <w:t>,</w:t>
      </w:r>
    </w:p>
    <w:p w14:paraId="50136C93" w14:textId="2D208475" w:rsidR="003B581B" w:rsidRPr="00462BF1" w:rsidRDefault="001F1DAE" w:rsidP="00EC630C">
      <w:pPr>
        <w:numPr>
          <w:ilvl w:val="0"/>
          <w:numId w:val="2"/>
        </w:numPr>
        <w:spacing w:before="60" w:after="60"/>
        <w:ind w:left="568" w:hanging="284"/>
      </w:pPr>
      <w:r>
        <w:t>η</w:t>
      </w:r>
      <w:r w:rsidRPr="00462BF1">
        <w:t xml:space="preserve"> </w:t>
      </w:r>
      <w:r w:rsidR="007642C1" w:rsidRPr="00462BF1">
        <w:t>π</w:t>
      </w:r>
      <w:r w:rsidR="003B581B" w:rsidRPr="00462BF1">
        <w:t xml:space="preserve">αραχώρηση της </w:t>
      </w:r>
      <w:r w:rsidR="007642C1" w:rsidRPr="00462BF1">
        <w:t>μ</w:t>
      </w:r>
      <w:r w:rsidR="003B581B" w:rsidRPr="00462BF1">
        <w:t>αρίνας Πύλου</w:t>
      </w:r>
      <w:r w:rsidR="007642C1" w:rsidRPr="00462BF1">
        <w:t>,</w:t>
      </w:r>
    </w:p>
    <w:p w14:paraId="1439120B" w14:textId="3429ABA3" w:rsidR="003B581B" w:rsidRPr="00462BF1" w:rsidRDefault="001F1DAE" w:rsidP="00EC630C">
      <w:pPr>
        <w:numPr>
          <w:ilvl w:val="0"/>
          <w:numId w:val="2"/>
        </w:numPr>
        <w:spacing w:before="60" w:after="60"/>
        <w:ind w:left="568" w:hanging="284"/>
      </w:pPr>
      <w:r>
        <w:t>η</w:t>
      </w:r>
      <w:r w:rsidRPr="00462BF1">
        <w:t xml:space="preserve"> </w:t>
      </w:r>
      <w:r w:rsidR="007642C1" w:rsidRPr="00462BF1">
        <w:t>υ</w:t>
      </w:r>
      <w:r w:rsidR="003B581B" w:rsidRPr="00462BF1">
        <w:t xml:space="preserve">ποπαραχώρηση της </w:t>
      </w:r>
      <w:r w:rsidR="007642C1" w:rsidRPr="00462BF1">
        <w:t>μ</w:t>
      </w:r>
      <w:r w:rsidR="003B581B" w:rsidRPr="00462BF1">
        <w:t>αρίνα</w:t>
      </w:r>
      <w:r w:rsidR="007642C1" w:rsidRPr="00462BF1">
        <w:t>ς</w:t>
      </w:r>
      <w:r w:rsidR="003B581B" w:rsidRPr="00462BF1">
        <w:t xml:space="preserve"> Mega Yacht</w:t>
      </w:r>
      <w:r w:rsidR="007642C1" w:rsidRPr="00462BF1">
        <w:t xml:space="preserve"> </w:t>
      </w:r>
      <w:r w:rsidR="003B581B" w:rsidRPr="00462BF1">
        <w:t>Κέρκυρας του Οργανισμού Λιμένος Κέρκυρας</w:t>
      </w:r>
      <w:r w:rsidR="007642C1" w:rsidRPr="00462BF1">
        <w:t xml:space="preserve"> ΑΕ,</w:t>
      </w:r>
    </w:p>
    <w:p w14:paraId="6C75E87D" w14:textId="69A4B012" w:rsidR="003B581B" w:rsidRPr="00462BF1" w:rsidRDefault="001F1DAE" w:rsidP="00EC630C">
      <w:pPr>
        <w:numPr>
          <w:ilvl w:val="0"/>
          <w:numId w:val="2"/>
        </w:numPr>
        <w:spacing w:before="60" w:after="60"/>
        <w:ind w:left="568" w:hanging="284"/>
      </w:pPr>
      <w:r>
        <w:t>η</w:t>
      </w:r>
      <w:r w:rsidRPr="00462BF1">
        <w:t xml:space="preserve"> </w:t>
      </w:r>
      <w:r w:rsidR="007642C1" w:rsidRPr="00462BF1">
        <w:t>π</w:t>
      </w:r>
      <w:r w:rsidR="003B581B" w:rsidRPr="00462BF1">
        <w:t>αραχώρηση της Εγνατίας Οδού</w:t>
      </w:r>
      <w:r w:rsidR="007642C1" w:rsidRPr="00462BF1">
        <w:t>,</w:t>
      </w:r>
    </w:p>
    <w:p w14:paraId="026501F8" w14:textId="1C30E894" w:rsidR="003B581B" w:rsidRPr="00462BF1" w:rsidRDefault="001F1DAE" w:rsidP="00EC630C">
      <w:pPr>
        <w:numPr>
          <w:ilvl w:val="0"/>
          <w:numId w:val="2"/>
        </w:numPr>
        <w:spacing w:before="60" w:after="60"/>
        <w:ind w:left="568" w:hanging="284"/>
      </w:pPr>
      <w:r>
        <w:t>η</w:t>
      </w:r>
      <w:r w:rsidRPr="00462BF1">
        <w:t xml:space="preserve"> </w:t>
      </w:r>
      <w:r w:rsidR="007642C1" w:rsidRPr="00462BF1">
        <w:t>α</w:t>
      </w:r>
      <w:r w:rsidR="003B581B" w:rsidRPr="00462BF1">
        <w:t xml:space="preserve">νάπτυξη του </w:t>
      </w:r>
      <w:r w:rsidR="009B56DE">
        <w:t>κ</w:t>
      </w:r>
      <w:r w:rsidR="003B581B" w:rsidRPr="00462BF1">
        <w:t xml:space="preserve">υβερνητικού </w:t>
      </w:r>
      <w:r w:rsidR="009B56DE">
        <w:t>π</w:t>
      </w:r>
      <w:r w:rsidR="003B581B" w:rsidRPr="00462BF1">
        <w:t xml:space="preserve">άρκου «Ανδρέας Λεντάκης» μέσω Σύμπραξης Δημοσίου - Ιδιωτικού Τομέα (ΣΔΙΤ) </w:t>
      </w:r>
      <w:r w:rsidR="007642C1" w:rsidRPr="00462BF1">
        <w:t>-</w:t>
      </w:r>
      <w:r w:rsidR="003B581B" w:rsidRPr="00462BF1">
        <w:t xml:space="preserve"> Μ</w:t>
      </w:r>
      <w:r w:rsidR="00916604">
        <w:t>ΣΣΣ</w:t>
      </w:r>
      <w:r w:rsidR="007642C1" w:rsidRPr="00462BF1">
        <w:t>,</w:t>
      </w:r>
    </w:p>
    <w:p w14:paraId="780932A0" w14:textId="6E1B2293" w:rsidR="003B581B" w:rsidRPr="00462BF1" w:rsidRDefault="001F1DAE" w:rsidP="00EC630C">
      <w:pPr>
        <w:numPr>
          <w:ilvl w:val="0"/>
          <w:numId w:val="2"/>
        </w:numPr>
        <w:spacing w:before="60" w:after="60"/>
        <w:ind w:left="568" w:hanging="284"/>
      </w:pPr>
      <w:r>
        <w:t>η</w:t>
      </w:r>
      <w:r w:rsidRPr="00462BF1">
        <w:t xml:space="preserve"> </w:t>
      </w:r>
      <w:r w:rsidR="007642C1" w:rsidRPr="00462BF1">
        <w:t>π</w:t>
      </w:r>
      <w:r w:rsidR="003B581B" w:rsidRPr="00462BF1">
        <w:t xml:space="preserve">αραχώρηση </w:t>
      </w:r>
      <w:r>
        <w:t xml:space="preserve">του </w:t>
      </w:r>
      <w:r w:rsidR="007642C1" w:rsidRPr="00462BF1">
        <w:t>ε</w:t>
      </w:r>
      <w:r w:rsidR="003B581B" w:rsidRPr="00462BF1">
        <w:t xml:space="preserve">πιχειρηματικού </w:t>
      </w:r>
      <w:r w:rsidR="007642C1" w:rsidRPr="00462BF1">
        <w:t>π</w:t>
      </w:r>
      <w:r w:rsidR="003B581B" w:rsidRPr="00462BF1">
        <w:t xml:space="preserve">άρκου </w:t>
      </w:r>
      <w:r w:rsidR="007642C1" w:rsidRPr="00462BF1">
        <w:t>-</w:t>
      </w:r>
      <w:r w:rsidR="003B581B" w:rsidRPr="00462BF1">
        <w:t xml:space="preserve"> </w:t>
      </w:r>
      <w:r w:rsidR="00916604">
        <w:t>π</w:t>
      </w:r>
      <w:r w:rsidR="003B581B" w:rsidRPr="00462BF1">
        <w:t xml:space="preserve">ρώην Στρατοπέδου Γκόνου </w:t>
      </w:r>
      <w:r w:rsidR="007642C1" w:rsidRPr="00462BF1">
        <w:t>-</w:t>
      </w:r>
      <w:r w:rsidR="003B581B" w:rsidRPr="00462BF1">
        <w:t xml:space="preserve"> Θεσσαλονίκη (ΜΣΣΣ</w:t>
      </w:r>
      <w:r w:rsidR="00916604">
        <w:t>)</w:t>
      </w:r>
      <w:r w:rsidR="007642C1" w:rsidRPr="00462BF1">
        <w:t>,</w:t>
      </w:r>
    </w:p>
    <w:p w14:paraId="13E8126D" w14:textId="31F31A5C" w:rsidR="003B581B" w:rsidRPr="00462BF1" w:rsidRDefault="001F1DAE" w:rsidP="00EC630C">
      <w:pPr>
        <w:numPr>
          <w:ilvl w:val="0"/>
          <w:numId w:val="2"/>
        </w:numPr>
        <w:spacing w:before="60" w:after="60"/>
        <w:ind w:left="568" w:hanging="284"/>
      </w:pPr>
      <w:r>
        <w:t>η</w:t>
      </w:r>
      <w:r w:rsidRPr="00462BF1">
        <w:t xml:space="preserve"> </w:t>
      </w:r>
      <w:r w:rsidR="007642C1" w:rsidRPr="00462BF1">
        <w:t>π</w:t>
      </w:r>
      <w:r w:rsidR="003B581B" w:rsidRPr="00462BF1">
        <w:t xml:space="preserve">αραχώρηση </w:t>
      </w:r>
      <w:r>
        <w:t xml:space="preserve">του </w:t>
      </w:r>
      <w:r w:rsidR="007642C1" w:rsidRPr="00462BF1">
        <w:t>ε</w:t>
      </w:r>
      <w:r w:rsidR="003B581B" w:rsidRPr="00462BF1">
        <w:t xml:space="preserve">πιχειρηματικού </w:t>
      </w:r>
      <w:r w:rsidR="007642C1" w:rsidRPr="00462BF1">
        <w:t>π</w:t>
      </w:r>
      <w:r w:rsidR="003B581B" w:rsidRPr="00462BF1">
        <w:t xml:space="preserve">άρκου </w:t>
      </w:r>
      <w:r w:rsidR="007642C1" w:rsidRPr="00462BF1">
        <w:t>-</w:t>
      </w:r>
      <w:r w:rsidR="003B581B" w:rsidRPr="00462BF1">
        <w:t xml:space="preserve"> Φυλή </w:t>
      </w:r>
      <w:r w:rsidR="007642C1" w:rsidRPr="00462BF1">
        <w:t>-</w:t>
      </w:r>
      <w:r w:rsidR="003B581B" w:rsidRPr="00462BF1">
        <w:t xml:space="preserve"> Αττική (ΜΣΣΣ</w:t>
      </w:r>
      <w:r w:rsidR="005B54DF">
        <w:t>)</w:t>
      </w:r>
      <w:r w:rsidR="007642C1" w:rsidRPr="00462BF1">
        <w:t>,</w:t>
      </w:r>
    </w:p>
    <w:p w14:paraId="4917922D" w14:textId="6EE54F30" w:rsidR="003B581B" w:rsidRPr="00462BF1" w:rsidRDefault="001F1DAE" w:rsidP="00EC630C">
      <w:pPr>
        <w:numPr>
          <w:ilvl w:val="0"/>
          <w:numId w:val="2"/>
        </w:numPr>
        <w:spacing w:before="60" w:after="60"/>
        <w:ind w:left="568" w:hanging="284"/>
      </w:pPr>
      <w:r>
        <w:t>η</w:t>
      </w:r>
      <w:r w:rsidRPr="00462BF1">
        <w:t xml:space="preserve"> </w:t>
      </w:r>
      <w:r w:rsidR="007642C1" w:rsidRPr="00462BF1">
        <w:t>α</w:t>
      </w:r>
      <w:r w:rsidR="003B581B" w:rsidRPr="00462BF1">
        <w:t>νάπλαση της έκτασης της ΔΕΘ</w:t>
      </w:r>
      <w:r w:rsidR="007642C1" w:rsidRPr="00462BF1">
        <w:t xml:space="preserve"> </w:t>
      </w:r>
      <w:r w:rsidR="003B581B" w:rsidRPr="00462BF1">
        <w:t>-</w:t>
      </w:r>
      <w:r w:rsidR="007642C1" w:rsidRPr="00462BF1">
        <w:t xml:space="preserve"> </w:t>
      </w:r>
      <w:r w:rsidR="003B581B" w:rsidRPr="00462BF1">
        <w:t>HELEXPO (ΜΣΣΣ</w:t>
      </w:r>
      <w:r w:rsidR="005B54DF">
        <w:t>)</w:t>
      </w:r>
      <w:r w:rsidR="007642C1" w:rsidRPr="00462BF1">
        <w:t>,</w:t>
      </w:r>
    </w:p>
    <w:p w14:paraId="284F9321" w14:textId="5BFCCF54" w:rsidR="003B581B" w:rsidRPr="00462BF1" w:rsidRDefault="001F1DAE" w:rsidP="00EC630C">
      <w:pPr>
        <w:numPr>
          <w:ilvl w:val="0"/>
          <w:numId w:val="2"/>
        </w:numPr>
        <w:spacing w:before="60" w:after="60"/>
        <w:ind w:left="568" w:hanging="284"/>
      </w:pPr>
      <w:r>
        <w:t>η</w:t>
      </w:r>
      <w:r w:rsidRPr="00462BF1">
        <w:t xml:space="preserve"> </w:t>
      </w:r>
      <w:r w:rsidR="007642C1" w:rsidRPr="00462BF1">
        <w:t>α</w:t>
      </w:r>
      <w:r w:rsidR="003B581B" w:rsidRPr="00462BF1">
        <w:t xml:space="preserve">ξιοποίηση του </w:t>
      </w:r>
      <w:r w:rsidR="007642C1" w:rsidRPr="00462BF1">
        <w:t>κ</w:t>
      </w:r>
      <w:r w:rsidR="003B581B" w:rsidRPr="00462BF1">
        <w:t xml:space="preserve">τήματος Τατοΐου με </w:t>
      </w:r>
      <w:r w:rsidR="00785A85">
        <w:t xml:space="preserve">τη </w:t>
      </w:r>
      <w:r w:rsidR="003B581B" w:rsidRPr="00462BF1">
        <w:t>δημιουργία ξενώνων, εστιατορίων, θερμοκηπίου, οινοποιείου, ελαιουργείου, κέντρου ιππασίας κ</w:t>
      </w:r>
      <w:r w:rsidR="007642C1" w:rsidRPr="00462BF1">
        <w:t>.</w:t>
      </w:r>
      <w:r w:rsidR="003B581B" w:rsidRPr="00462BF1">
        <w:t>λπ. (ΜΣΣΣ</w:t>
      </w:r>
      <w:r w:rsidR="005B54DF">
        <w:t>)</w:t>
      </w:r>
      <w:r w:rsidR="007642C1" w:rsidRPr="00462BF1">
        <w:t>,</w:t>
      </w:r>
    </w:p>
    <w:p w14:paraId="0FCC171B" w14:textId="42B2FF1A" w:rsidR="003B581B" w:rsidRPr="00462BF1" w:rsidRDefault="001F1DAE" w:rsidP="00EC630C">
      <w:pPr>
        <w:numPr>
          <w:ilvl w:val="0"/>
          <w:numId w:val="2"/>
        </w:numPr>
        <w:spacing w:before="60" w:after="60"/>
        <w:ind w:left="568" w:hanging="284"/>
      </w:pPr>
      <w:r>
        <w:t>η</w:t>
      </w:r>
      <w:r w:rsidRPr="00462BF1">
        <w:t xml:space="preserve"> </w:t>
      </w:r>
      <w:r w:rsidR="007642C1" w:rsidRPr="00462BF1">
        <w:t>μ</w:t>
      </w:r>
      <w:r w:rsidR="003B581B" w:rsidRPr="00462BF1">
        <w:t xml:space="preserve">ακροχρόνια </w:t>
      </w:r>
      <w:r w:rsidR="007642C1" w:rsidRPr="00462BF1">
        <w:t>μ</w:t>
      </w:r>
      <w:r w:rsidR="003B581B" w:rsidRPr="00462BF1">
        <w:t xml:space="preserve">ίσθωση </w:t>
      </w:r>
      <w:r w:rsidR="005B54DF">
        <w:t xml:space="preserve">του </w:t>
      </w:r>
      <w:r w:rsidR="003B581B" w:rsidRPr="00462BF1">
        <w:t xml:space="preserve">Ολυμπιακού </w:t>
      </w:r>
      <w:r w:rsidR="005B54DF">
        <w:t xml:space="preserve">Ιππικού </w:t>
      </w:r>
      <w:r w:rsidR="003B581B" w:rsidRPr="00462BF1">
        <w:t>Κέντρου Μαρκόπουλου</w:t>
      </w:r>
      <w:r w:rsidR="007642C1" w:rsidRPr="00462BF1">
        <w:t>,</w:t>
      </w:r>
    </w:p>
    <w:p w14:paraId="239F308A" w14:textId="4D68479D" w:rsidR="003B581B" w:rsidRPr="00462BF1" w:rsidRDefault="001F1DAE" w:rsidP="00EC630C">
      <w:pPr>
        <w:numPr>
          <w:ilvl w:val="0"/>
          <w:numId w:val="2"/>
        </w:numPr>
        <w:spacing w:before="60" w:after="60"/>
        <w:ind w:left="568" w:hanging="284"/>
      </w:pPr>
      <w:r>
        <w:t>η</w:t>
      </w:r>
      <w:r w:rsidRPr="00462BF1">
        <w:t xml:space="preserve"> </w:t>
      </w:r>
      <w:r w:rsidR="007642C1" w:rsidRPr="00462BF1">
        <w:t>μ</w:t>
      </w:r>
      <w:r w:rsidR="003B581B" w:rsidRPr="00462BF1">
        <w:t xml:space="preserve">ίσθωση </w:t>
      </w:r>
      <w:r w:rsidR="007642C1" w:rsidRPr="00462BF1">
        <w:t>ι</w:t>
      </w:r>
      <w:r w:rsidR="003B581B" w:rsidRPr="00462BF1">
        <w:t xml:space="preserve">αματικής </w:t>
      </w:r>
      <w:r w:rsidR="007642C1" w:rsidRPr="00462BF1">
        <w:t>π</w:t>
      </w:r>
      <w:r w:rsidR="003B581B" w:rsidRPr="00462BF1">
        <w:t xml:space="preserve">ηγής και </w:t>
      </w:r>
      <w:r w:rsidR="00E52048">
        <w:t xml:space="preserve">η </w:t>
      </w:r>
      <w:r w:rsidR="003B581B" w:rsidRPr="00462BF1">
        <w:t xml:space="preserve">πώληση </w:t>
      </w:r>
      <w:r w:rsidR="005B54DF">
        <w:t xml:space="preserve">του </w:t>
      </w:r>
      <w:r w:rsidR="003B581B" w:rsidRPr="00462BF1">
        <w:t>παραθαλ</w:t>
      </w:r>
      <w:r w:rsidR="005B54DF">
        <w:t>ά</w:t>
      </w:r>
      <w:r w:rsidR="003B581B" w:rsidRPr="00462BF1">
        <w:t>σσ</w:t>
      </w:r>
      <w:r w:rsidR="005B54DF">
        <w:t>ι</w:t>
      </w:r>
      <w:r w:rsidR="003B581B" w:rsidRPr="00462BF1">
        <w:t xml:space="preserve">ου ακινήτου </w:t>
      </w:r>
      <w:r w:rsidR="007642C1" w:rsidRPr="00462BF1">
        <w:t>κ</w:t>
      </w:r>
      <w:r w:rsidR="003B581B" w:rsidRPr="00462BF1">
        <w:t xml:space="preserve">άμπινγκ Καμένων Βούρλων </w:t>
      </w:r>
      <w:r w:rsidR="00785A85">
        <w:t>-</w:t>
      </w:r>
      <w:r w:rsidR="003B581B" w:rsidRPr="00462BF1">
        <w:t xml:space="preserve"> Kονιαβίτη</w:t>
      </w:r>
      <w:r w:rsidR="005B54DF">
        <w:t>, κατόπιν της έ</w:t>
      </w:r>
      <w:r w:rsidR="003B581B" w:rsidRPr="00462BF1">
        <w:t>γκριση</w:t>
      </w:r>
      <w:r w:rsidR="005B54DF">
        <w:t>ς</w:t>
      </w:r>
      <w:r w:rsidR="003B581B" w:rsidRPr="00462BF1">
        <w:t xml:space="preserve"> του σχεδίου </w:t>
      </w:r>
      <w:r w:rsidR="005B54DF">
        <w:t xml:space="preserve">π.δ. </w:t>
      </w:r>
      <w:r w:rsidR="003B581B" w:rsidRPr="00462BF1">
        <w:t>του ΕΣΧΑΔΑ από το Συμβούλιο της Επικρατείας (ΣτΕ)</w:t>
      </w:r>
      <w:r w:rsidR="00462BF1" w:rsidRPr="00462BF1">
        <w:t>,</w:t>
      </w:r>
    </w:p>
    <w:p w14:paraId="2D15EDC8" w14:textId="3B0034A0" w:rsidR="003B581B" w:rsidRPr="00462BF1" w:rsidRDefault="001F1DAE" w:rsidP="00EC630C">
      <w:pPr>
        <w:numPr>
          <w:ilvl w:val="0"/>
          <w:numId w:val="2"/>
        </w:numPr>
        <w:spacing w:before="60" w:after="60"/>
        <w:ind w:left="568" w:hanging="284"/>
      </w:pPr>
      <w:r>
        <w:t>η</w:t>
      </w:r>
      <w:r w:rsidRPr="00462BF1">
        <w:t xml:space="preserve"> </w:t>
      </w:r>
      <w:r w:rsidR="00462BF1" w:rsidRPr="00462BF1">
        <w:t>α</w:t>
      </w:r>
      <w:r w:rsidR="003B581B" w:rsidRPr="00462BF1">
        <w:t>ξιοποίηση</w:t>
      </w:r>
      <w:r w:rsidR="00622DFE">
        <w:t xml:space="preserve"> </w:t>
      </w:r>
      <w:r w:rsidR="00785A85">
        <w:t xml:space="preserve">του </w:t>
      </w:r>
      <w:r w:rsidR="003B581B" w:rsidRPr="00462BF1">
        <w:t xml:space="preserve">ακινήτου Ακτή και </w:t>
      </w:r>
      <w:r w:rsidR="00622DFE">
        <w:t>κ</w:t>
      </w:r>
      <w:r w:rsidR="003B581B" w:rsidRPr="00462BF1">
        <w:t>άμπινγκ Ποσειδίου Κασσάνδρας</w:t>
      </w:r>
      <w:r w:rsidR="00462BF1" w:rsidRPr="00462BF1">
        <w:t>,</w:t>
      </w:r>
    </w:p>
    <w:p w14:paraId="3D4FEEB8" w14:textId="7BF18832" w:rsidR="003B581B" w:rsidRPr="00462BF1" w:rsidRDefault="001F1DAE" w:rsidP="00EC630C">
      <w:pPr>
        <w:numPr>
          <w:ilvl w:val="0"/>
          <w:numId w:val="2"/>
        </w:numPr>
        <w:spacing w:before="60" w:after="60"/>
        <w:ind w:left="568" w:hanging="284"/>
      </w:pPr>
      <w:r>
        <w:t>η</w:t>
      </w:r>
      <w:r w:rsidRPr="00462BF1">
        <w:t xml:space="preserve"> </w:t>
      </w:r>
      <w:r w:rsidR="00462BF1" w:rsidRPr="00462BF1">
        <w:t>μ</w:t>
      </w:r>
      <w:r w:rsidR="003B581B" w:rsidRPr="00462BF1">
        <w:t>ίσθωση</w:t>
      </w:r>
      <w:r w:rsidR="00785A85">
        <w:t xml:space="preserve"> του</w:t>
      </w:r>
      <w:r w:rsidR="003B581B" w:rsidRPr="00462BF1">
        <w:t xml:space="preserve"> ακινήτου </w:t>
      </w:r>
      <w:r w:rsidR="00462BF1" w:rsidRPr="00462BF1">
        <w:t>ι</w:t>
      </w:r>
      <w:r w:rsidR="003B581B" w:rsidRPr="00462BF1">
        <w:t xml:space="preserve">αματικής </w:t>
      </w:r>
      <w:r w:rsidR="00462BF1" w:rsidRPr="00462BF1">
        <w:t>π</w:t>
      </w:r>
      <w:r w:rsidR="003B581B" w:rsidRPr="00462BF1">
        <w:t xml:space="preserve">ηγής Καμένων Βούρλων </w:t>
      </w:r>
      <w:r w:rsidR="00622DFE">
        <w:t>-</w:t>
      </w:r>
      <w:r w:rsidR="003B581B" w:rsidRPr="00462BF1">
        <w:t xml:space="preserve"> Λουτρόπολης</w:t>
      </w:r>
      <w:r w:rsidR="00622DFE">
        <w:t xml:space="preserve">, </w:t>
      </w:r>
      <w:r w:rsidR="00D16728">
        <w:t xml:space="preserve">σύμφωνα με το </w:t>
      </w:r>
      <w:r w:rsidR="00622DFE">
        <w:t>π.δ. 12/2025</w:t>
      </w:r>
      <w:r w:rsidR="00D16728">
        <w:t xml:space="preserve"> (Δ’ 671)</w:t>
      </w:r>
      <w:r w:rsidR="00462BF1" w:rsidRPr="00462BF1">
        <w:t>,</w:t>
      </w:r>
    </w:p>
    <w:p w14:paraId="3E85D33F" w14:textId="2C4ABF7A" w:rsidR="003B581B" w:rsidRPr="00462BF1" w:rsidRDefault="001F1DAE" w:rsidP="00EC630C">
      <w:pPr>
        <w:numPr>
          <w:ilvl w:val="0"/>
          <w:numId w:val="2"/>
        </w:numPr>
        <w:spacing w:before="60" w:after="60"/>
        <w:ind w:left="568" w:hanging="284"/>
      </w:pPr>
      <w:r>
        <w:t xml:space="preserve">η </w:t>
      </w:r>
      <w:r w:rsidR="008A08E4">
        <w:t>α</w:t>
      </w:r>
      <w:r w:rsidR="003B581B" w:rsidRPr="00462BF1">
        <w:t xml:space="preserve">ξιοποίηση </w:t>
      </w:r>
      <w:r w:rsidR="00785A85">
        <w:t xml:space="preserve">του </w:t>
      </w:r>
      <w:r w:rsidR="003B581B" w:rsidRPr="00462BF1">
        <w:t xml:space="preserve">ακινήτου </w:t>
      </w:r>
      <w:r w:rsidR="00462BF1" w:rsidRPr="00462BF1">
        <w:t>ι</w:t>
      </w:r>
      <w:r w:rsidR="003B581B" w:rsidRPr="00462BF1">
        <w:t xml:space="preserve">αματικής </w:t>
      </w:r>
      <w:r w:rsidR="00462BF1" w:rsidRPr="00462BF1">
        <w:t>π</w:t>
      </w:r>
      <w:r w:rsidR="003B581B" w:rsidRPr="00462BF1">
        <w:t>ηγής Θερμοπυλών</w:t>
      </w:r>
      <w:r w:rsidR="00D16728">
        <w:t>, κατόπιν της έ</w:t>
      </w:r>
      <w:r w:rsidR="003B581B" w:rsidRPr="00462BF1">
        <w:t>γκριση</w:t>
      </w:r>
      <w:r w:rsidR="00D16728">
        <w:t>ς</w:t>
      </w:r>
      <w:r w:rsidR="003B581B" w:rsidRPr="00462BF1">
        <w:t xml:space="preserve"> του σχεδίου </w:t>
      </w:r>
      <w:r w:rsidR="00D16728">
        <w:t xml:space="preserve">π.δ. </w:t>
      </w:r>
      <w:r w:rsidR="003B581B" w:rsidRPr="00462BF1">
        <w:t>του ΕΣΧΑΔΑ από το ΣτΕ</w:t>
      </w:r>
      <w:r w:rsidR="00462BF1" w:rsidRPr="00462BF1">
        <w:t>,</w:t>
      </w:r>
    </w:p>
    <w:p w14:paraId="2F05FFE3" w14:textId="531CD541" w:rsidR="003B581B" w:rsidRDefault="001F1DAE" w:rsidP="00EC630C">
      <w:pPr>
        <w:numPr>
          <w:ilvl w:val="0"/>
          <w:numId w:val="2"/>
        </w:numPr>
        <w:spacing w:before="60" w:after="60"/>
        <w:ind w:left="568" w:hanging="284"/>
      </w:pPr>
      <w:r>
        <w:t xml:space="preserve">η </w:t>
      </w:r>
      <w:r w:rsidR="008A08E4">
        <w:t>α</w:t>
      </w:r>
      <w:r w:rsidR="003B581B" w:rsidRPr="00462BF1">
        <w:t xml:space="preserve">ξιοποίηση </w:t>
      </w:r>
      <w:r w:rsidR="00785A85">
        <w:t xml:space="preserve">του </w:t>
      </w:r>
      <w:r w:rsidR="003B581B" w:rsidRPr="00462BF1">
        <w:t xml:space="preserve">ακινήτου </w:t>
      </w:r>
      <w:bookmarkStart w:id="798" w:name="_Hlk148462546"/>
      <w:r w:rsidR="00462BF1" w:rsidRPr="00462BF1">
        <w:t>ι</w:t>
      </w:r>
      <w:r w:rsidR="003B581B" w:rsidRPr="00462BF1">
        <w:t xml:space="preserve">αματικής </w:t>
      </w:r>
      <w:r w:rsidR="00462BF1" w:rsidRPr="00462BF1">
        <w:t>π</w:t>
      </w:r>
      <w:r w:rsidR="003B581B" w:rsidRPr="00462BF1">
        <w:t xml:space="preserve">ηγής </w:t>
      </w:r>
      <w:bookmarkEnd w:id="798"/>
      <w:r w:rsidR="003B581B" w:rsidRPr="00462BF1">
        <w:t>Υπάτης</w:t>
      </w:r>
      <w:r w:rsidR="00462BF1" w:rsidRPr="00462BF1">
        <w:t xml:space="preserve"> και</w:t>
      </w:r>
    </w:p>
    <w:p w14:paraId="143685CD" w14:textId="6DB8A2B4" w:rsidR="003B581B" w:rsidRDefault="001F1DAE" w:rsidP="00EC630C">
      <w:pPr>
        <w:numPr>
          <w:ilvl w:val="0"/>
          <w:numId w:val="2"/>
        </w:numPr>
        <w:spacing w:before="60"/>
        <w:ind w:left="568" w:hanging="284"/>
        <w:rPr>
          <w:rFonts w:cstheme="minorHAnsi"/>
        </w:rPr>
      </w:pPr>
      <w:r>
        <w:lastRenderedPageBreak/>
        <w:t>η</w:t>
      </w:r>
      <w:r>
        <w:rPr>
          <w:rFonts w:cstheme="minorHAnsi"/>
        </w:rPr>
        <w:t xml:space="preserve"> </w:t>
      </w:r>
      <w:r w:rsidR="00462BF1">
        <w:rPr>
          <w:rFonts w:cstheme="minorHAnsi"/>
        </w:rPr>
        <w:t>έ</w:t>
      </w:r>
      <w:r w:rsidR="003B581B" w:rsidRPr="002A6A62">
        <w:rPr>
          <w:rFonts w:cstheme="minorHAnsi"/>
        </w:rPr>
        <w:t xml:space="preserve">ναρξη διαγωνιστικής διαδικασίας για την αξιοποίηση </w:t>
      </w:r>
      <w:r w:rsidR="00D16728">
        <w:rPr>
          <w:rFonts w:cstheme="minorHAnsi"/>
        </w:rPr>
        <w:t xml:space="preserve">του </w:t>
      </w:r>
      <w:r w:rsidR="00462BF1" w:rsidRPr="002A6A62">
        <w:rPr>
          <w:rFonts w:cstheme="minorHAnsi"/>
        </w:rPr>
        <w:t>ακ</w:t>
      </w:r>
      <w:r w:rsidR="00D16728">
        <w:rPr>
          <w:rFonts w:cstheme="minorHAnsi"/>
        </w:rPr>
        <w:t xml:space="preserve">ινήτου </w:t>
      </w:r>
      <w:r w:rsidR="00D16728" w:rsidRPr="002A6A62">
        <w:rPr>
          <w:rFonts w:cstheme="minorHAnsi"/>
        </w:rPr>
        <w:t>Σ</w:t>
      </w:r>
      <w:r w:rsidR="00D16728">
        <w:rPr>
          <w:rFonts w:cstheme="minorHAnsi"/>
        </w:rPr>
        <w:t>ά</w:t>
      </w:r>
      <w:r w:rsidR="00D16728" w:rsidRPr="002A6A62">
        <w:rPr>
          <w:rFonts w:cstheme="minorHAnsi"/>
        </w:rPr>
        <w:t>νη - Κασσ</w:t>
      </w:r>
      <w:r w:rsidR="00D16728">
        <w:rPr>
          <w:rFonts w:cstheme="minorHAnsi"/>
        </w:rPr>
        <w:t>ά</w:t>
      </w:r>
      <w:r w:rsidR="00D16728" w:rsidRPr="002A6A62">
        <w:rPr>
          <w:rFonts w:cstheme="minorHAnsi"/>
        </w:rPr>
        <w:t>νδρα - Χαλκιδικ</w:t>
      </w:r>
      <w:r w:rsidR="00D16728">
        <w:rPr>
          <w:rFonts w:cstheme="minorHAnsi"/>
        </w:rPr>
        <w:t>ή</w:t>
      </w:r>
      <w:r w:rsidR="00D16728" w:rsidRPr="002A6A62">
        <w:rPr>
          <w:rFonts w:cstheme="minorHAnsi"/>
        </w:rPr>
        <w:t xml:space="preserve"> </w:t>
      </w:r>
      <w:r w:rsidR="00D16728">
        <w:rPr>
          <w:rFonts w:cstheme="minorHAnsi"/>
        </w:rPr>
        <w:t>-</w:t>
      </w:r>
      <w:r w:rsidR="00D16728" w:rsidRPr="002A6A62">
        <w:rPr>
          <w:rFonts w:cstheme="minorHAnsi"/>
        </w:rPr>
        <w:t xml:space="preserve"> Β</w:t>
      </w:r>
      <w:r w:rsidR="00D16728">
        <w:rPr>
          <w:rFonts w:cstheme="minorHAnsi"/>
        </w:rPr>
        <w:t>ό</w:t>
      </w:r>
      <w:r w:rsidR="00D16728" w:rsidRPr="002A6A62">
        <w:rPr>
          <w:rFonts w:cstheme="minorHAnsi"/>
        </w:rPr>
        <w:t>ρειο Τμ</w:t>
      </w:r>
      <w:r w:rsidR="00D16728">
        <w:rPr>
          <w:rFonts w:cstheme="minorHAnsi"/>
        </w:rPr>
        <w:t>ήμ</w:t>
      </w:r>
      <w:r w:rsidR="00D16728" w:rsidRPr="002A6A62">
        <w:rPr>
          <w:rFonts w:cstheme="minorHAnsi"/>
        </w:rPr>
        <w:t>α Αγροτικού Σωφρονιστικού Καταστήματος Κασσάνδρας.</w:t>
      </w:r>
    </w:p>
    <w:p w14:paraId="0AB7D740" w14:textId="29A4E36F" w:rsidR="003B581B" w:rsidRPr="00EA196C" w:rsidRDefault="003B581B" w:rsidP="00EE2CC6">
      <w:r w:rsidRPr="00EA196C">
        <w:t xml:space="preserve">Τέλος, </w:t>
      </w:r>
      <w:r w:rsidR="00D16728">
        <w:t>τελεί</w:t>
      </w:r>
      <w:r w:rsidRPr="00EA196C">
        <w:t xml:space="preserve"> σε προπαρασκευ</w:t>
      </w:r>
      <w:r w:rsidR="00D16728">
        <w:t xml:space="preserve">αστικό στάδιο </w:t>
      </w:r>
      <w:r w:rsidRPr="00EA196C">
        <w:t xml:space="preserve">και η ωρίμανση </w:t>
      </w:r>
      <w:r w:rsidR="00EE2CC6" w:rsidRPr="000F6223">
        <w:t>των διαγωνιστικών διαδικασιών παραχώρησης/υποπαραχώρησης</w:t>
      </w:r>
      <w:r w:rsidR="000F6223">
        <w:t xml:space="preserve"> των</w:t>
      </w:r>
      <w:r w:rsidR="00EE2CC6" w:rsidRPr="000F6223">
        <w:t>:</w:t>
      </w:r>
    </w:p>
    <w:p w14:paraId="49C97A8E" w14:textId="740FD131" w:rsidR="003B581B" w:rsidRPr="00462BF1" w:rsidRDefault="003B581B" w:rsidP="00EC630C">
      <w:pPr>
        <w:numPr>
          <w:ilvl w:val="0"/>
          <w:numId w:val="2"/>
        </w:numPr>
        <w:spacing w:before="120" w:after="60"/>
        <w:ind w:left="568" w:hanging="284"/>
      </w:pPr>
      <w:r w:rsidRPr="00EE2CC6">
        <w:rPr>
          <w:b/>
        </w:rPr>
        <w:t xml:space="preserve">περιφερειακών λιμένων </w:t>
      </w:r>
      <w:r w:rsidRPr="00462BF1">
        <w:t xml:space="preserve">και </w:t>
      </w:r>
      <w:r w:rsidRPr="00EE2CC6">
        <w:rPr>
          <w:b/>
        </w:rPr>
        <w:t>μαρ</w:t>
      </w:r>
      <w:r w:rsidR="000F6223">
        <w:rPr>
          <w:b/>
        </w:rPr>
        <w:t>ι</w:t>
      </w:r>
      <w:r w:rsidRPr="00EE2CC6">
        <w:rPr>
          <w:b/>
        </w:rPr>
        <w:t>ν</w:t>
      </w:r>
      <w:r w:rsidR="000F6223">
        <w:rPr>
          <w:b/>
        </w:rPr>
        <w:t>ώ</w:t>
      </w:r>
      <w:r w:rsidRPr="00EE2CC6">
        <w:rPr>
          <w:b/>
        </w:rPr>
        <w:t>ν</w:t>
      </w:r>
      <w:r w:rsidR="00361789">
        <w:rPr>
          <w:b/>
        </w:rPr>
        <w:t>:</w:t>
      </w:r>
      <w:r w:rsidRPr="00462BF1">
        <w:t xml:space="preserve"> </w:t>
      </w:r>
      <w:r w:rsidR="00361789">
        <w:t xml:space="preserve">μαρίνα </w:t>
      </w:r>
      <w:r w:rsidRPr="00462BF1">
        <w:t xml:space="preserve">Ιτέας, </w:t>
      </w:r>
      <w:r w:rsidR="00361789">
        <w:t xml:space="preserve">μαρίνα </w:t>
      </w:r>
      <w:r w:rsidRPr="00462BF1">
        <w:t xml:space="preserve">Ζακύνθου, </w:t>
      </w:r>
      <w:r w:rsidR="00361789">
        <w:t xml:space="preserve">μαρίνα </w:t>
      </w:r>
      <w:r w:rsidRPr="00462BF1">
        <w:t xml:space="preserve">Σκιάθου, </w:t>
      </w:r>
      <w:r w:rsidR="00361789">
        <w:t xml:space="preserve">μαρίνα </w:t>
      </w:r>
      <w:r w:rsidRPr="00462BF1">
        <w:t xml:space="preserve">Μανδρακίου Ρόδου, </w:t>
      </w:r>
      <w:r w:rsidR="00361789">
        <w:t xml:space="preserve">μαρίνα </w:t>
      </w:r>
      <w:r w:rsidRPr="00462BF1">
        <w:t xml:space="preserve">Καλαμαριάς (Αρετσού), </w:t>
      </w:r>
      <w:r w:rsidR="00361789">
        <w:t xml:space="preserve">μαρίνα </w:t>
      </w:r>
      <w:r w:rsidRPr="00462BF1">
        <w:t xml:space="preserve">Ημερολιάς </w:t>
      </w:r>
      <w:r w:rsidR="00785A85">
        <w:t>-</w:t>
      </w:r>
      <w:r w:rsidRPr="00462BF1">
        <w:t xml:space="preserve"> Κέρκυρα</w:t>
      </w:r>
      <w:r w:rsidR="00785A85">
        <w:t xml:space="preserve"> καθώς και της </w:t>
      </w:r>
      <w:r w:rsidR="00361789">
        <w:t>υ</w:t>
      </w:r>
      <w:r w:rsidRPr="00462BF1">
        <w:t>ποπαραχώρηση</w:t>
      </w:r>
      <w:r w:rsidR="00785A85">
        <w:t>ς</w:t>
      </w:r>
      <w:r w:rsidRPr="00462BF1">
        <w:t xml:space="preserve"> </w:t>
      </w:r>
      <w:r w:rsidR="00361789">
        <w:t xml:space="preserve">της μαρίνας </w:t>
      </w:r>
      <w:r w:rsidRPr="00462BF1">
        <w:t>Πάτρας του Οργανισμού Λιμένος Πάτρας κ</w:t>
      </w:r>
      <w:r w:rsidR="00462BF1">
        <w:t>.</w:t>
      </w:r>
      <w:r w:rsidRPr="00462BF1">
        <w:t>λπ.</w:t>
      </w:r>
      <w:r w:rsidR="00462BF1">
        <w:t xml:space="preserve"> και</w:t>
      </w:r>
    </w:p>
    <w:p w14:paraId="516F7E4A" w14:textId="459079B4" w:rsidR="003B581B" w:rsidRPr="00462BF1" w:rsidRDefault="003B581B" w:rsidP="00EC630C">
      <w:pPr>
        <w:numPr>
          <w:ilvl w:val="0"/>
          <w:numId w:val="2"/>
        </w:numPr>
        <w:spacing w:before="60"/>
        <w:ind w:left="568" w:hanging="284"/>
        <w:rPr>
          <w:rFonts w:cstheme="minorHAnsi"/>
        </w:rPr>
      </w:pPr>
      <w:r w:rsidRPr="00EA196C">
        <w:rPr>
          <w:rFonts w:cstheme="minorHAnsi"/>
        </w:rPr>
        <w:t xml:space="preserve">λοιπών ακινήτων που εμπεριέχονται στο χαρτοφυλάκιο </w:t>
      </w:r>
      <w:r>
        <w:rPr>
          <w:rFonts w:cstheme="minorHAnsi"/>
        </w:rPr>
        <w:t xml:space="preserve">της ΕΕΣΥΠ - </w:t>
      </w:r>
      <w:r w:rsidR="00361789">
        <w:rPr>
          <w:rFonts w:cstheme="minorHAnsi"/>
        </w:rPr>
        <w:t>κλάδος</w:t>
      </w:r>
      <w:r w:rsidR="00361789" w:rsidRPr="00EA196C">
        <w:rPr>
          <w:rFonts w:cstheme="minorHAnsi"/>
        </w:rPr>
        <w:t xml:space="preserve"> </w:t>
      </w:r>
      <w:r>
        <w:rPr>
          <w:rFonts w:cstheme="minorHAnsi"/>
        </w:rPr>
        <w:t xml:space="preserve">πρώην </w:t>
      </w:r>
      <w:r w:rsidRPr="00EA196C">
        <w:rPr>
          <w:rFonts w:cstheme="minorHAnsi"/>
        </w:rPr>
        <w:t>ΤΑΙΠΕΔ, όπως είναι τα τουριστικά ακίνητα,</w:t>
      </w:r>
      <w:r w:rsidR="00785A85">
        <w:rPr>
          <w:rFonts w:cstheme="minorHAnsi"/>
        </w:rPr>
        <w:t xml:space="preserve"> τα</w:t>
      </w:r>
      <w:r w:rsidRPr="00EA196C">
        <w:rPr>
          <w:rFonts w:cstheme="minorHAnsi"/>
        </w:rPr>
        <w:t xml:space="preserve"> </w:t>
      </w:r>
      <w:r>
        <w:rPr>
          <w:rFonts w:cstheme="minorHAnsi"/>
        </w:rPr>
        <w:t xml:space="preserve">ακίνητα </w:t>
      </w:r>
      <w:r w:rsidRPr="00EA196C">
        <w:rPr>
          <w:rFonts w:cstheme="minorHAnsi"/>
        </w:rPr>
        <w:t xml:space="preserve">με </w:t>
      </w:r>
      <w:r w:rsidR="00361789">
        <w:rPr>
          <w:rFonts w:cstheme="minorHAnsi"/>
        </w:rPr>
        <w:t>ι</w:t>
      </w:r>
      <w:r w:rsidRPr="00EA196C">
        <w:rPr>
          <w:rFonts w:cstheme="minorHAnsi"/>
        </w:rPr>
        <w:t xml:space="preserve">αματικές </w:t>
      </w:r>
      <w:r w:rsidR="00361789">
        <w:rPr>
          <w:rFonts w:cstheme="minorHAnsi"/>
        </w:rPr>
        <w:t>π</w:t>
      </w:r>
      <w:r w:rsidRPr="00EA196C">
        <w:rPr>
          <w:rFonts w:cstheme="minorHAnsi"/>
        </w:rPr>
        <w:t>ηγές κ</w:t>
      </w:r>
      <w:r w:rsidR="00361789">
        <w:rPr>
          <w:rFonts w:cstheme="minorHAnsi"/>
        </w:rPr>
        <w:t>.</w:t>
      </w:r>
      <w:r w:rsidRPr="00EA196C">
        <w:rPr>
          <w:rFonts w:cstheme="minorHAnsi"/>
        </w:rPr>
        <w:t>λπ.</w:t>
      </w:r>
    </w:p>
    <w:p w14:paraId="3D4CBB85" w14:textId="7683BD84" w:rsidR="003B581B" w:rsidRPr="00093D5A" w:rsidRDefault="003B581B" w:rsidP="00423A52">
      <w:pPr>
        <w:spacing w:after="240" w:line="360" w:lineRule="auto"/>
      </w:pPr>
      <w:r w:rsidRPr="00EA196C">
        <w:t xml:space="preserve">Τα συνολικά έσοδα για </w:t>
      </w:r>
      <w:r w:rsidRPr="00361789">
        <w:rPr>
          <w:bCs/>
        </w:rPr>
        <w:t>το</w:t>
      </w:r>
      <w:r w:rsidRPr="00EA196C">
        <w:rPr>
          <w:b/>
          <w:bCs/>
        </w:rPr>
        <w:t xml:space="preserve"> </w:t>
      </w:r>
      <w:r w:rsidRPr="00267451">
        <w:rPr>
          <w:b/>
          <w:bCs/>
        </w:rPr>
        <w:t>202</w:t>
      </w:r>
      <w:r>
        <w:rPr>
          <w:b/>
          <w:bCs/>
        </w:rPr>
        <w:t>6</w:t>
      </w:r>
      <w:r w:rsidRPr="00EA196C">
        <w:t xml:space="preserve">, τα οποία αναμένεται να πραγματοποιηθούν από </w:t>
      </w:r>
      <w:r w:rsidRPr="00ED77EC">
        <w:t>τη</w:t>
      </w:r>
      <w:r>
        <w:t>ν</w:t>
      </w:r>
      <w:r w:rsidRPr="00ED77EC">
        <w:t xml:space="preserve"> ΕΕΣΥΠ - </w:t>
      </w:r>
      <w:r w:rsidR="00361789">
        <w:t>κλάδος</w:t>
      </w:r>
      <w:r w:rsidR="00361789" w:rsidRPr="00ED77EC">
        <w:t xml:space="preserve"> </w:t>
      </w:r>
      <w:r>
        <w:t xml:space="preserve">πρώην </w:t>
      </w:r>
      <w:r w:rsidRPr="00ED77EC">
        <w:t>ΤΑΙΠΕΔ</w:t>
      </w:r>
      <w:r w:rsidRPr="00EA196C">
        <w:t xml:space="preserve">, ανέρχονται </w:t>
      </w:r>
      <w:r w:rsidRPr="00776C7E">
        <w:t xml:space="preserve">σε </w:t>
      </w:r>
      <w:r w:rsidRPr="00294643">
        <w:rPr>
          <w:b/>
          <w:bCs/>
        </w:rPr>
        <w:t>322,1</w:t>
      </w:r>
      <w:r w:rsidRPr="00776C7E">
        <w:rPr>
          <w:b/>
          <w:bCs/>
        </w:rPr>
        <w:t xml:space="preserve"> εκατ</w:t>
      </w:r>
      <w:r w:rsidRPr="00EA196C">
        <w:rPr>
          <w:b/>
          <w:bCs/>
        </w:rPr>
        <w:t>.</w:t>
      </w:r>
      <w:r w:rsidR="00462BF1">
        <w:rPr>
          <w:b/>
          <w:bCs/>
        </w:rPr>
        <w:t xml:space="preserve"> ευρώ</w:t>
      </w:r>
      <w:r w:rsidRPr="00EA196C">
        <w:t xml:space="preserve">, όπως </w:t>
      </w:r>
      <w:r w:rsidRPr="0004583C">
        <w:t xml:space="preserve">παρουσιάζονται παρακάτω </w:t>
      </w:r>
      <w:r w:rsidR="00462BF1" w:rsidRPr="0004583C">
        <w:t>(</w:t>
      </w:r>
      <w:r w:rsidR="005E65DB" w:rsidRPr="0004583C">
        <w:fldChar w:fldCharType="begin"/>
      </w:r>
      <w:r w:rsidR="005E65DB" w:rsidRPr="0004583C">
        <w:instrText xml:space="preserve"> REF _Ref182220093 \h  \* MERGEFORMAT </w:instrText>
      </w:r>
      <w:r w:rsidR="005E65DB" w:rsidRPr="0004583C">
        <w:fldChar w:fldCharType="separate"/>
      </w:r>
      <w:r w:rsidR="00E15678" w:rsidRPr="00E15678">
        <w:t>Πίνακας 5.3</w:t>
      </w:r>
      <w:r w:rsidR="005E65DB" w:rsidRPr="0004583C">
        <w:fldChar w:fldCharType="end"/>
      </w:r>
      <w:r w:rsidR="00462BF1" w:rsidRPr="0004583C">
        <w:t>.</w:t>
      </w:r>
      <w:r w:rsidR="003B5700" w:rsidRPr="0004583C">
        <w:t xml:space="preserve">, </w:t>
      </w:r>
      <w:r w:rsidR="00093D5A" w:rsidRPr="0004583C">
        <w:fldChar w:fldCharType="begin"/>
      </w:r>
      <w:r w:rsidR="00093D5A" w:rsidRPr="0004583C">
        <w:instrText xml:space="preserve"> REF _Ref213522379 \h  \* MERGEFORMAT </w:instrText>
      </w:r>
      <w:r w:rsidR="00093D5A" w:rsidRPr="0004583C">
        <w:fldChar w:fldCharType="separate"/>
      </w:r>
      <w:r w:rsidR="00E15678" w:rsidRPr="00E15678">
        <w:t>Πίνακας 5.5</w:t>
      </w:r>
      <w:r w:rsidR="00093D5A" w:rsidRPr="0004583C">
        <w:fldChar w:fldCharType="end"/>
      </w:r>
      <w:r w:rsidR="00093D5A" w:rsidRPr="0004583C">
        <w:t>.</w:t>
      </w:r>
      <w:r w:rsidR="005E65DB" w:rsidRPr="0004583C">
        <w:t>).</w:t>
      </w:r>
    </w:p>
    <w:tbl>
      <w:tblPr>
        <w:tblW w:w="8867"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tblBorders>
        <w:tblLayout w:type="fixed"/>
        <w:tblCellMar>
          <w:left w:w="10" w:type="dxa"/>
          <w:right w:w="10" w:type="dxa"/>
        </w:tblCellMar>
        <w:tblLook w:val="00A0" w:firstRow="1" w:lastRow="0" w:firstColumn="1" w:lastColumn="0" w:noHBand="0" w:noVBand="0"/>
      </w:tblPr>
      <w:tblGrid>
        <w:gridCol w:w="902"/>
        <w:gridCol w:w="7106"/>
        <w:gridCol w:w="859"/>
      </w:tblGrid>
      <w:tr w:rsidR="0040795B" w:rsidRPr="00FD594B" w14:paraId="307C7A10" w14:textId="77777777" w:rsidTr="00737954">
        <w:trPr>
          <w:cantSplit/>
          <w:trHeight w:val="340"/>
          <w:jc w:val="center"/>
        </w:trPr>
        <w:tc>
          <w:tcPr>
            <w:tcW w:w="8867" w:type="dxa"/>
            <w:gridSpan w:val="3"/>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tcMar>
              <w:top w:w="0" w:type="dxa"/>
              <w:left w:w="108" w:type="dxa"/>
              <w:bottom w:w="0" w:type="dxa"/>
              <w:right w:w="108" w:type="dxa"/>
            </w:tcMar>
            <w:vAlign w:val="center"/>
          </w:tcPr>
          <w:p w14:paraId="2CE053DE" w14:textId="5C6E1235" w:rsidR="007E40D2" w:rsidRDefault="0040795B" w:rsidP="007513B3">
            <w:pPr>
              <w:spacing w:after="0" w:line="276" w:lineRule="auto"/>
              <w:jc w:val="center"/>
              <w:rPr>
                <w:rFonts w:cs="Arial"/>
                <w:b/>
                <w:sz w:val="18"/>
                <w:szCs w:val="18"/>
              </w:rPr>
            </w:pPr>
            <w:bookmarkStart w:id="799" w:name="_Ref182220093"/>
            <w:bookmarkStart w:id="800" w:name="_Toc214474137"/>
            <w:r w:rsidRPr="007513B3">
              <w:rPr>
                <w:b/>
                <w:sz w:val="18"/>
                <w:szCs w:val="18"/>
              </w:rPr>
              <w:t>Πίνακας 5.</w:t>
            </w:r>
            <w:r w:rsidRPr="007513B3">
              <w:rPr>
                <w:b/>
                <w:sz w:val="18"/>
                <w:szCs w:val="18"/>
              </w:rPr>
              <w:fldChar w:fldCharType="begin"/>
            </w:r>
            <w:r w:rsidRPr="007513B3">
              <w:rPr>
                <w:b/>
                <w:sz w:val="18"/>
                <w:szCs w:val="18"/>
              </w:rPr>
              <w:instrText xml:space="preserve"> SEQ Πίνακας_5. \* ARABIC </w:instrText>
            </w:r>
            <w:r w:rsidRPr="007513B3">
              <w:rPr>
                <w:b/>
                <w:sz w:val="18"/>
                <w:szCs w:val="18"/>
              </w:rPr>
              <w:fldChar w:fldCharType="separate"/>
            </w:r>
            <w:r w:rsidR="00E15678">
              <w:rPr>
                <w:b/>
                <w:noProof/>
                <w:sz w:val="18"/>
                <w:szCs w:val="18"/>
              </w:rPr>
              <w:t>3</w:t>
            </w:r>
            <w:r w:rsidRPr="007513B3">
              <w:rPr>
                <w:b/>
                <w:sz w:val="18"/>
                <w:szCs w:val="18"/>
              </w:rPr>
              <w:fldChar w:fldCharType="end"/>
            </w:r>
            <w:bookmarkEnd w:id="799"/>
            <w:r w:rsidRPr="007513B3">
              <w:rPr>
                <w:b/>
                <w:sz w:val="18"/>
                <w:szCs w:val="18"/>
              </w:rPr>
              <w:t xml:space="preserve">.: </w:t>
            </w:r>
            <w:r w:rsidRPr="007513B3">
              <w:rPr>
                <w:rFonts w:cs="Arial"/>
                <w:b/>
                <w:sz w:val="18"/>
                <w:szCs w:val="18"/>
              </w:rPr>
              <w:t>Στόχος εσόδων 202</w:t>
            </w:r>
            <w:r w:rsidR="003B5700" w:rsidRPr="007513B3">
              <w:rPr>
                <w:rFonts w:cs="Arial"/>
                <w:b/>
                <w:sz w:val="18"/>
                <w:szCs w:val="18"/>
              </w:rPr>
              <w:t>6</w:t>
            </w:r>
            <w:r w:rsidRPr="007513B3">
              <w:rPr>
                <w:rFonts w:cs="Arial"/>
                <w:b/>
                <w:sz w:val="18"/>
                <w:szCs w:val="18"/>
              </w:rPr>
              <w:t>*</w:t>
            </w:r>
            <w:bookmarkEnd w:id="800"/>
          </w:p>
          <w:p w14:paraId="4AA17E70" w14:textId="797F8A0F" w:rsidR="0040795B" w:rsidRPr="007513B3" w:rsidRDefault="0040795B" w:rsidP="007513B3">
            <w:pPr>
              <w:spacing w:after="0" w:line="276" w:lineRule="auto"/>
              <w:jc w:val="center"/>
              <w:rPr>
                <w:rFonts w:cs="Arial"/>
                <w:b/>
                <w:sz w:val="18"/>
                <w:szCs w:val="18"/>
              </w:rPr>
            </w:pPr>
            <w:r w:rsidRPr="007513B3">
              <w:rPr>
                <w:rFonts w:cs="Arial"/>
                <w:b/>
                <w:sz w:val="18"/>
                <w:szCs w:val="18"/>
              </w:rPr>
              <w:t>(σε εκατ. ευρώ)</w:t>
            </w:r>
          </w:p>
        </w:tc>
      </w:tr>
      <w:tr w:rsidR="0040795B" w:rsidRPr="00792175" w14:paraId="4F58D242" w14:textId="77777777" w:rsidTr="007E40D2">
        <w:trPr>
          <w:cantSplit/>
          <w:trHeight w:val="20"/>
          <w:jc w:val="center"/>
        </w:trPr>
        <w:tc>
          <w:tcPr>
            <w:tcW w:w="9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0" w:type="dxa"/>
              <w:left w:w="108" w:type="dxa"/>
              <w:bottom w:w="0" w:type="dxa"/>
              <w:right w:w="108" w:type="dxa"/>
            </w:tcMar>
            <w:vAlign w:val="center"/>
          </w:tcPr>
          <w:p w14:paraId="32637674" w14:textId="77777777" w:rsidR="0040795B" w:rsidRPr="00DA6C61" w:rsidRDefault="0040795B" w:rsidP="007513B3">
            <w:pPr>
              <w:tabs>
                <w:tab w:val="decimal" w:pos="259"/>
              </w:tabs>
              <w:spacing w:after="0" w:line="276" w:lineRule="auto"/>
              <w:ind w:right="-1"/>
              <w:jc w:val="center"/>
              <w:rPr>
                <w:rFonts w:cs="Arial"/>
                <w:sz w:val="16"/>
                <w:szCs w:val="16"/>
              </w:rPr>
            </w:pPr>
            <w:r w:rsidRPr="00DA6C61">
              <w:rPr>
                <w:rFonts w:cs="Arial"/>
                <w:sz w:val="16"/>
                <w:szCs w:val="16"/>
              </w:rPr>
              <w:t>1</w:t>
            </w:r>
          </w:p>
        </w:tc>
        <w:tc>
          <w:tcPr>
            <w:tcW w:w="710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0" w:type="dxa"/>
              <w:left w:w="108" w:type="dxa"/>
              <w:bottom w:w="0" w:type="dxa"/>
              <w:right w:w="108" w:type="dxa"/>
            </w:tcMar>
            <w:vAlign w:val="center"/>
          </w:tcPr>
          <w:p w14:paraId="2CC41449" w14:textId="75EC31C3" w:rsidR="0040795B" w:rsidRPr="00DA6C61" w:rsidRDefault="0040795B" w:rsidP="007513B3">
            <w:pPr>
              <w:spacing w:after="0" w:line="276" w:lineRule="auto"/>
              <w:jc w:val="left"/>
              <w:rPr>
                <w:rFonts w:cs="Arial"/>
                <w:sz w:val="16"/>
                <w:szCs w:val="16"/>
              </w:rPr>
            </w:pPr>
            <w:r w:rsidRPr="00DA6C61">
              <w:rPr>
                <w:rFonts w:cs="Arial"/>
                <w:sz w:val="16"/>
                <w:szCs w:val="16"/>
              </w:rPr>
              <w:t>Προσδοκώμενα έσοδα από διαγωνισμούς για τους οποίους έχουν υποβληθεί δεσμευτικές προσφορές, με αναμενόμενη πρώτη εκταμίευση το 202</w:t>
            </w:r>
            <w:r w:rsidR="003B5700">
              <w:rPr>
                <w:rFonts w:cs="Arial"/>
                <w:sz w:val="16"/>
                <w:szCs w:val="16"/>
              </w:rPr>
              <w:t>6</w:t>
            </w:r>
          </w:p>
        </w:tc>
        <w:tc>
          <w:tcPr>
            <w:tcW w:w="8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Mar>
              <w:top w:w="0" w:type="dxa"/>
              <w:left w:w="108" w:type="dxa"/>
              <w:bottom w:w="0" w:type="dxa"/>
              <w:right w:w="108" w:type="dxa"/>
            </w:tcMar>
            <w:vAlign w:val="center"/>
          </w:tcPr>
          <w:p w14:paraId="794B0DAE" w14:textId="31FA6D8A" w:rsidR="0040795B" w:rsidRPr="005B6D6A" w:rsidRDefault="003B5700" w:rsidP="007513B3">
            <w:pPr>
              <w:tabs>
                <w:tab w:val="decimal" w:pos="601"/>
              </w:tabs>
              <w:spacing w:after="0" w:line="276" w:lineRule="auto"/>
              <w:ind w:right="-1"/>
              <w:jc w:val="right"/>
              <w:rPr>
                <w:rFonts w:cs="Arial"/>
                <w:sz w:val="16"/>
                <w:szCs w:val="16"/>
                <w:lang w:val="en-US"/>
              </w:rPr>
            </w:pPr>
            <w:r w:rsidRPr="005B6D6A">
              <w:rPr>
                <w:rFonts w:cstheme="minorHAnsi"/>
                <w:sz w:val="16"/>
                <w:szCs w:val="16"/>
              </w:rPr>
              <w:t>9,7</w:t>
            </w:r>
          </w:p>
        </w:tc>
      </w:tr>
      <w:tr w:rsidR="0040795B" w:rsidRPr="00792175" w14:paraId="5C9FC638" w14:textId="77777777" w:rsidTr="007E40D2">
        <w:trPr>
          <w:cantSplit/>
          <w:trHeight w:val="227"/>
          <w:jc w:val="center"/>
        </w:trPr>
        <w:tc>
          <w:tcPr>
            <w:tcW w:w="9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0" w:type="dxa"/>
              <w:left w:w="108" w:type="dxa"/>
              <w:bottom w:w="0" w:type="dxa"/>
              <w:right w:w="108" w:type="dxa"/>
            </w:tcMar>
            <w:vAlign w:val="center"/>
          </w:tcPr>
          <w:p w14:paraId="1D87062B" w14:textId="77777777" w:rsidR="0040795B" w:rsidRPr="00DA6C61" w:rsidRDefault="0040795B" w:rsidP="007513B3">
            <w:pPr>
              <w:tabs>
                <w:tab w:val="decimal" w:pos="259"/>
              </w:tabs>
              <w:spacing w:after="0" w:line="276" w:lineRule="auto"/>
              <w:ind w:right="-1"/>
              <w:jc w:val="center"/>
              <w:rPr>
                <w:rFonts w:cs="Arial"/>
                <w:sz w:val="16"/>
                <w:szCs w:val="16"/>
              </w:rPr>
            </w:pPr>
            <w:r w:rsidRPr="00DA6C61">
              <w:rPr>
                <w:rFonts w:cs="Arial"/>
                <w:sz w:val="16"/>
                <w:szCs w:val="16"/>
              </w:rPr>
              <w:t>2</w:t>
            </w:r>
          </w:p>
        </w:tc>
        <w:tc>
          <w:tcPr>
            <w:tcW w:w="710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0" w:type="dxa"/>
              <w:left w:w="108" w:type="dxa"/>
              <w:bottom w:w="0" w:type="dxa"/>
              <w:right w:w="108" w:type="dxa"/>
            </w:tcMar>
            <w:vAlign w:val="center"/>
          </w:tcPr>
          <w:p w14:paraId="60047171" w14:textId="333E8B89" w:rsidR="0040795B" w:rsidRPr="00DA6C61" w:rsidRDefault="0040795B" w:rsidP="007513B3">
            <w:pPr>
              <w:spacing w:after="0" w:line="276" w:lineRule="auto"/>
              <w:jc w:val="left"/>
              <w:rPr>
                <w:rFonts w:cs="Arial"/>
                <w:sz w:val="16"/>
                <w:szCs w:val="16"/>
              </w:rPr>
            </w:pPr>
            <w:r w:rsidRPr="00DA6C61">
              <w:rPr>
                <w:rFonts w:cs="Arial"/>
                <w:sz w:val="16"/>
                <w:szCs w:val="16"/>
              </w:rPr>
              <w:t>Έσοδα από καταβολές δόσεων, ολοκληρωμένων συναλλαγών προηγούμενων ετών</w:t>
            </w:r>
          </w:p>
        </w:tc>
        <w:tc>
          <w:tcPr>
            <w:tcW w:w="8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0" w:type="dxa"/>
              <w:left w:w="108" w:type="dxa"/>
              <w:bottom w:w="0" w:type="dxa"/>
              <w:right w:w="108" w:type="dxa"/>
            </w:tcMar>
            <w:vAlign w:val="center"/>
          </w:tcPr>
          <w:p w14:paraId="2580E361" w14:textId="6DA21AA1" w:rsidR="0040795B" w:rsidRPr="005B6D6A" w:rsidRDefault="003B5700" w:rsidP="007513B3">
            <w:pPr>
              <w:tabs>
                <w:tab w:val="decimal" w:pos="601"/>
              </w:tabs>
              <w:spacing w:after="0" w:line="276" w:lineRule="auto"/>
              <w:ind w:right="-1"/>
              <w:jc w:val="right"/>
              <w:rPr>
                <w:rFonts w:cs="Arial"/>
                <w:sz w:val="16"/>
                <w:szCs w:val="16"/>
                <w:lang w:val="en-US"/>
              </w:rPr>
            </w:pPr>
            <w:r w:rsidRPr="005B6D6A">
              <w:rPr>
                <w:rFonts w:cstheme="minorHAnsi"/>
                <w:sz w:val="16"/>
                <w:szCs w:val="16"/>
              </w:rPr>
              <w:t>43,2</w:t>
            </w:r>
          </w:p>
        </w:tc>
      </w:tr>
      <w:tr w:rsidR="0040795B" w:rsidRPr="00792175" w14:paraId="5F94743E" w14:textId="77777777" w:rsidTr="007E40D2">
        <w:trPr>
          <w:cantSplit/>
          <w:trHeight w:val="20"/>
          <w:jc w:val="center"/>
        </w:trPr>
        <w:tc>
          <w:tcPr>
            <w:tcW w:w="9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tcMar>
              <w:top w:w="0" w:type="dxa"/>
              <w:left w:w="108" w:type="dxa"/>
              <w:bottom w:w="0" w:type="dxa"/>
              <w:right w:w="108" w:type="dxa"/>
            </w:tcMar>
            <w:vAlign w:val="center"/>
          </w:tcPr>
          <w:p w14:paraId="78844535" w14:textId="2399BA04" w:rsidR="0040795B" w:rsidRPr="00DA6C61" w:rsidRDefault="003B5700" w:rsidP="007513B3">
            <w:pPr>
              <w:tabs>
                <w:tab w:val="decimal" w:pos="259"/>
              </w:tabs>
              <w:spacing w:after="0" w:line="276" w:lineRule="auto"/>
              <w:ind w:right="-1"/>
              <w:jc w:val="center"/>
              <w:rPr>
                <w:rFonts w:cs="Arial"/>
                <w:b/>
                <w:sz w:val="16"/>
                <w:szCs w:val="16"/>
              </w:rPr>
            </w:pPr>
            <w:r>
              <w:rPr>
                <w:rFonts w:cs="Arial"/>
                <w:b/>
                <w:sz w:val="16"/>
                <w:szCs w:val="16"/>
              </w:rPr>
              <w:t>3=</w:t>
            </w:r>
            <w:r w:rsidR="0040795B" w:rsidRPr="00DA6C61">
              <w:rPr>
                <w:rFonts w:cs="Arial"/>
                <w:b/>
                <w:sz w:val="16"/>
                <w:szCs w:val="16"/>
              </w:rPr>
              <w:t>(1+2)</w:t>
            </w:r>
          </w:p>
        </w:tc>
        <w:tc>
          <w:tcPr>
            <w:tcW w:w="710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tcMar>
              <w:top w:w="0" w:type="dxa"/>
              <w:left w:w="108" w:type="dxa"/>
              <w:bottom w:w="0" w:type="dxa"/>
              <w:right w:w="108" w:type="dxa"/>
            </w:tcMar>
            <w:vAlign w:val="center"/>
          </w:tcPr>
          <w:p w14:paraId="055FED8E" w14:textId="6F4903F9" w:rsidR="0040795B" w:rsidRPr="00DA6C61" w:rsidRDefault="0040795B" w:rsidP="007513B3">
            <w:pPr>
              <w:spacing w:after="0" w:line="276" w:lineRule="auto"/>
              <w:jc w:val="left"/>
              <w:rPr>
                <w:rFonts w:cs="Arial"/>
                <w:b/>
                <w:sz w:val="16"/>
                <w:szCs w:val="16"/>
              </w:rPr>
            </w:pPr>
            <w:r w:rsidRPr="00DA6C61">
              <w:rPr>
                <w:rFonts w:cs="Arial"/>
                <w:b/>
                <w:sz w:val="16"/>
                <w:szCs w:val="16"/>
              </w:rPr>
              <w:t>Σύνολο</w:t>
            </w:r>
            <w:r w:rsidR="006A5A97">
              <w:rPr>
                <w:rFonts w:cs="Arial"/>
                <w:b/>
                <w:sz w:val="16"/>
                <w:szCs w:val="16"/>
              </w:rPr>
              <w:t xml:space="preserve"> </w:t>
            </w:r>
            <w:r w:rsidR="006A5A97" w:rsidRPr="00730C50">
              <w:rPr>
                <w:rFonts w:cs="Arial"/>
                <w:b/>
                <w:sz w:val="16"/>
                <w:szCs w:val="16"/>
              </w:rPr>
              <w:t>Α</w:t>
            </w:r>
          </w:p>
        </w:tc>
        <w:tc>
          <w:tcPr>
            <w:tcW w:w="8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tcMar>
              <w:top w:w="0" w:type="dxa"/>
              <w:left w:w="108" w:type="dxa"/>
              <w:bottom w:w="0" w:type="dxa"/>
              <w:right w:w="108" w:type="dxa"/>
            </w:tcMar>
            <w:vAlign w:val="center"/>
          </w:tcPr>
          <w:p w14:paraId="4C291842" w14:textId="75B41FA7" w:rsidR="0040795B" w:rsidRPr="005B6D6A" w:rsidRDefault="003B5700" w:rsidP="007513B3">
            <w:pPr>
              <w:tabs>
                <w:tab w:val="decimal" w:pos="601"/>
              </w:tabs>
              <w:spacing w:after="0" w:line="276" w:lineRule="auto"/>
              <w:ind w:right="-1"/>
              <w:jc w:val="right"/>
              <w:rPr>
                <w:rFonts w:cs="Arial"/>
                <w:b/>
                <w:sz w:val="16"/>
                <w:szCs w:val="16"/>
              </w:rPr>
            </w:pPr>
            <w:r w:rsidRPr="005B6D6A">
              <w:rPr>
                <w:rFonts w:cstheme="minorHAnsi"/>
                <w:b/>
                <w:bCs/>
                <w:iCs/>
                <w:sz w:val="16"/>
                <w:szCs w:val="16"/>
              </w:rPr>
              <w:t>52,9</w:t>
            </w:r>
          </w:p>
        </w:tc>
      </w:tr>
      <w:tr w:rsidR="0040795B" w:rsidRPr="00792175" w14:paraId="135DEAA8" w14:textId="77777777" w:rsidTr="007E40D2">
        <w:trPr>
          <w:cantSplit/>
          <w:trHeight w:val="227"/>
          <w:jc w:val="center"/>
        </w:trPr>
        <w:tc>
          <w:tcPr>
            <w:tcW w:w="9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0" w:type="dxa"/>
              <w:left w:w="108" w:type="dxa"/>
              <w:bottom w:w="0" w:type="dxa"/>
              <w:right w:w="108" w:type="dxa"/>
            </w:tcMar>
            <w:vAlign w:val="center"/>
          </w:tcPr>
          <w:p w14:paraId="5D3C4750" w14:textId="77777777" w:rsidR="0040795B" w:rsidRPr="00DA6C61" w:rsidRDefault="0040795B" w:rsidP="007513B3">
            <w:pPr>
              <w:tabs>
                <w:tab w:val="decimal" w:pos="259"/>
              </w:tabs>
              <w:spacing w:after="0" w:line="276" w:lineRule="auto"/>
              <w:ind w:right="-1"/>
              <w:jc w:val="center"/>
              <w:rPr>
                <w:rFonts w:cs="Arial"/>
                <w:sz w:val="16"/>
                <w:szCs w:val="16"/>
              </w:rPr>
            </w:pPr>
            <w:r w:rsidRPr="00DA6C61">
              <w:rPr>
                <w:rFonts w:cs="Arial"/>
                <w:sz w:val="16"/>
                <w:szCs w:val="16"/>
              </w:rPr>
              <w:t>4</w:t>
            </w:r>
          </w:p>
        </w:tc>
        <w:tc>
          <w:tcPr>
            <w:tcW w:w="710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0" w:type="dxa"/>
              <w:left w:w="108" w:type="dxa"/>
              <w:bottom w:w="0" w:type="dxa"/>
              <w:right w:w="108" w:type="dxa"/>
            </w:tcMar>
            <w:vAlign w:val="center"/>
          </w:tcPr>
          <w:p w14:paraId="6C88AB44" w14:textId="40AA9AD0" w:rsidR="0040795B" w:rsidRPr="00DA6C61" w:rsidRDefault="003B5700" w:rsidP="007513B3">
            <w:pPr>
              <w:spacing w:after="0" w:line="276" w:lineRule="auto"/>
              <w:jc w:val="left"/>
              <w:rPr>
                <w:rFonts w:cs="Arial"/>
                <w:sz w:val="16"/>
                <w:szCs w:val="16"/>
              </w:rPr>
            </w:pPr>
            <w:r w:rsidRPr="003B5700">
              <w:rPr>
                <w:rFonts w:cs="Arial"/>
                <w:sz w:val="16"/>
                <w:szCs w:val="16"/>
              </w:rPr>
              <w:t>Εκτιμώμενα έσοδα από διαγωνισμούς έργων οι οποίοι αναμένεται να ολοκληρωθούν το 2026</w:t>
            </w:r>
          </w:p>
        </w:tc>
        <w:tc>
          <w:tcPr>
            <w:tcW w:w="8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0" w:type="dxa"/>
              <w:left w:w="108" w:type="dxa"/>
              <w:bottom w:w="0" w:type="dxa"/>
              <w:right w:w="108" w:type="dxa"/>
            </w:tcMar>
            <w:vAlign w:val="center"/>
          </w:tcPr>
          <w:p w14:paraId="521F3C6C" w14:textId="7AD8FDD0" w:rsidR="0040795B" w:rsidRPr="005B6D6A" w:rsidRDefault="003B5700" w:rsidP="007513B3">
            <w:pPr>
              <w:tabs>
                <w:tab w:val="decimal" w:pos="601"/>
              </w:tabs>
              <w:spacing w:after="0" w:line="276" w:lineRule="auto"/>
              <w:ind w:right="-1"/>
              <w:jc w:val="right"/>
              <w:rPr>
                <w:rFonts w:cs="Arial"/>
                <w:sz w:val="16"/>
                <w:szCs w:val="16"/>
                <w:lang w:val="en-US"/>
              </w:rPr>
            </w:pPr>
            <w:r w:rsidRPr="005B6D6A">
              <w:rPr>
                <w:rFonts w:cstheme="minorHAnsi"/>
                <w:sz w:val="16"/>
                <w:szCs w:val="16"/>
              </w:rPr>
              <w:t>269,2</w:t>
            </w:r>
          </w:p>
        </w:tc>
      </w:tr>
      <w:tr w:rsidR="0040795B" w:rsidRPr="00792175" w14:paraId="197C327C" w14:textId="77777777" w:rsidTr="007E40D2">
        <w:trPr>
          <w:cantSplit/>
          <w:trHeight w:val="20"/>
          <w:jc w:val="center"/>
        </w:trPr>
        <w:tc>
          <w:tcPr>
            <w:tcW w:w="90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tcMar>
              <w:top w:w="0" w:type="dxa"/>
              <w:left w:w="108" w:type="dxa"/>
              <w:bottom w:w="0" w:type="dxa"/>
              <w:right w:w="108" w:type="dxa"/>
            </w:tcMar>
            <w:vAlign w:val="center"/>
          </w:tcPr>
          <w:p w14:paraId="14FFE655" w14:textId="46AB63FC" w:rsidR="0040795B" w:rsidRPr="00DA6C61" w:rsidRDefault="0040795B" w:rsidP="007513B3">
            <w:pPr>
              <w:tabs>
                <w:tab w:val="decimal" w:pos="259"/>
              </w:tabs>
              <w:spacing w:after="0" w:line="276" w:lineRule="auto"/>
              <w:ind w:right="-1"/>
              <w:jc w:val="center"/>
              <w:rPr>
                <w:rFonts w:cs="Arial"/>
                <w:b/>
                <w:sz w:val="16"/>
                <w:szCs w:val="16"/>
              </w:rPr>
            </w:pPr>
            <w:r w:rsidRPr="00DA6C61">
              <w:rPr>
                <w:rFonts w:cs="Arial"/>
                <w:b/>
                <w:sz w:val="16"/>
                <w:szCs w:val="16"/>
              </w:rPr>
              <w:t>5</w:t>
            </w:r>
            <w:r w:rsidR="003B5700">
              <w:rPr>
                <w:rFonts w:cs="Arial"/>
                <w:b/>
                <w:sz w:val="16"/>
                <w:szCs w:val="16"/>
              </w:rPr>
              <w:t>=</w:t>
            </w:r>
            <w:r w:rsidRPr="00DA6C61">
              <w:rPr>
                <w:rFonts w:cs="Arial"/>
                <w:b/>
                <w:sz w:val="16"/>
                <w:szCs w:val="16"/>
              </w:rPr>
              <w:t>(</w:t>
            </w:r>
            <w:r w:rsidR="00612F53">
              <w:rPr>
                <w:rFonts w:cs="Arial"/>
                <w:b/>
                <w:sz w:val="16"/>
                <w:szCs w:val="16"/>
              </w:rPr>
              <w:t>3</w:t>
            </w:r>
            <w:r w:rsidR="003B5700">
              <w:rPr>
                <w:rFonts w:cs="Arial"/>
                <w:b/>
                <w:sz w:val="16"/>
                <w:szCs w:val="16"/>
              </w:rPr>
              <w:t>+</w:t>
            </w:r>
            <w:r w:rsidR="00612F53">
              <w:rPr>
                <w:rFonts w:cs="Arial"/>
                <w:b/>
                <w:sz w:val="16"/>
                <w:szCs w:val="16"/>
              </w:rPr>
              <w:t>4</w:t>
            </w:r>
            <w:r w:rsidRPr="00DA6C61">
              <w:rPr>
                <w:rFonts w:cs="Arial"/>
                <w:b/>
                <w:sz w:val="16"/>
                <w:szCs w:val="16"/>
              </w:rPr>
              <w:t>)</w:t>
            </w:r>
          </w:p>
        </w:tc>
        <w:tc>
          <w:tcPr>
            <w:tcW w:w="710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tcMar>
              <w:top w:w="0" w:type="dxa"/>
              <w:left w:w="108" w:type="dxa"/>
              <w:bottom w:w="0" w:type="dxa"/>
              <w:right w:w="108" w:type="dxa"/>
            </w:tcMar>
            <w:vAlign w:val="center"/>
          </w:tcPr>
          <w:p w14:paraId="3834004E" w14:textId="5F2A542D" w:rsidR="0040795B" w:rsidRPr="00DA6C61" w:rsidRDefault="003B5700" w:rsidP="007513B3">
            <w:pPr>
              <w:spacing w:after="0" w:line="276" w:lineRule="auto"/>
              <w:jc w:val="left"/>
              <w:rPr>
                <w:rFonts w:cs="Arial"/>
                <w:b/>
                <w:sz w:val="16"/>
                <w:szCs w:val="16"/>
              </w:rPr>
            </w:pPr>
            <w:r w:rsidRPr="003B5700">
              <w:rPr>
                <w:rFonts w:cs="Arial"/>
                <w:b/>
                <w:sz w:val="16"/>
                <w:szCs w:val="16"/>
              </w:rPr>
              <w:t>Σύνολο εσόδων 2026</w:t>
            </w:r>
          </w:p>
        </w:tc>
        <w:tc>
          <w:tcPr>
            <w:tcW w:w="8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tcMar>
              <w:top w:w="0" w:type="dxa"/>
              <w:left w:w="108" w:type="dxa"/>
              <w:bottom w:w="0" w:type="dxa"/>
              <w:right w:w="108" w:type="dxa"/>
            </w:tcMar>
            <w:vAlign w:val="center"/>
          </w:tcPr>
          <w:p w14:paraId="3DFC775E" w14:textId="180FF043" w:rsidR="0040795B" w:rsidRPr="005B6D6A" w:rsidRDefault="003B5700" w:rsidP="007513B3">
            <w:pPr>
              <w:tabs>
                <w:tab w:val="decimal" w:pos="601"/>
              </w:tabs>
              <w:spacing w:after="0" w:line="276" w:lineRule="auto"/>
              <w:ind w:right="-1"/>
              <w:jc w:val="right"/>
              <w:rPr>
                <w:rFonts w:cs="Arial"/>
                <w:b/>
                <w:sz w:val="16"/>
                <w:szCs w:val="16"/>
              </w:rPr>
            </w:pPr>
            <w:r w:rsidRPr="005B6D6A">
              <w:rPr>
                <w:rFonts w:cstheme="minorHAnsi"/>
                <w:b/>
                <w:bCs/>
                <w:sz w:val="16"/>
                <w:szCs w:val="16"/>
              </w:rPr>
              <w:t>322,1</w:t>
            </w:r>
          </w:p>
        </w:tc>
      </w:tr>
      <w:tr w:rsidR="006A2C3C" w:rsidRPr="00792175" w14:paraId="6B860ED1" w14:textId="77777777" w:rsidTr="00DD0F3F">
        <w:trPr>
          <w:cantSplit/>
          <w:trHeight w:val="113"/>
          <w:jc w:val="center"/>
        </w:trPr>
        <w:tc>
          <w:tcPr>
            <w:tcW w:w="8867" w:type="dxa"/>
            <w:gridSpan w:val="3"/>
            <w:tcBorders>
              <w:top w:val="single" w:sz="2" w:space="0" w:color="A6A6A6" w:themeColor="background1" w:themeShade="A6"/>
              <w:left w:val="nil"/>
              <w:bottom w:val="nil"/>
              <w:right w:val="nil"/>
            </w:tcBorders>
            <w:shd w:val="clear" w:color="auto" w:fill="auto"/>
            <w:tcMar>
              <w:top w:w="0" w:type="dxa"/>
              <w:left w:w="108" w:type="dxa"/>
              <w:bottom w:w="0" w:type="dxa"/>
              <w:right w:w="108" w:type="dxa"/>
            </w:tcMar>
          </w:tcPr>
          <w:p w14:paraId="695B582B" w14:textId="77777777" w:rsidR="006A2C3C" w:rsidRPr="000F6223" w:rsidRDefault="006A2C3C" w:rsidP="006A2C3C">
            <w:pPr>
              <w:spacing w:before="60" w:after="0" w:line="276" w:lineRule="auto"/>
              <w:rPr>
                <w:sz w:val="16"/>
                <w:szCs w:val="16"/>
              </w:rPr>
            </w:pPr>
            <w:r w:rsidRPr="000F6223">
              <w:rPr>
                <w:sz w:val="16"/>
                <w:szCs w:val="16"/>
              </w:rPr>
              <w:t>* σε ταμειακή βάση</w:t>
            </w:r>
          </w:p>
          <w:p w14:paraId="1B537396" w14:textId="70524688" w:rsidR="006A2C3C" w:rsidRPr="007513B3" w:rsidRDefault="006A2C3C" w:rsidP="006A2C3C">
            <w:pPr>
              <w:tabs>
                <w:tab w:val="decimal" w:pos="601"/>
              </w:tabs>
              <w:spacing w:before="60" w:after="0" w:line="276" w:lineRule="auto"/>
              <w:ind w:right="-1"/>
              <w:rPr>
                <w:rFonts w:cs="Arial"/>
                <w:b/>
                <w:sz w:val="16"/>
                <w:szCs w:val="16"/>
              </w:rPr>
            </w:pPr>
            <w:r w:rsidRPr="000F6223">
              <w:rPr>
                <w:rFonts w:cs="Arial"/>
                <w:sz w:val="16"/>
                <w:szCs w:val="16"/>
              </w:rPr>
              <w:t>Πηγή: ΕΕΣΥΠ - κλάδος πρώην ΤΑΙΠΕΔ</w:t>
            </w:r>
          </w:p>
        </w:tc>
      </w:tr>
    </w:tbl>
    <w:p w14:paraId="74D6E927" w14:textId="2EE103CF" w:rsidR="00E127E4" w:rsidRDefault="00E127E4" w:rsidP="003B7998">
      <w:pPr>
        <w:tabs>
          <w:tab w:val="left" w:pos="4820"/>
        </w:tabs>
        <w:spacing w:after="360"/>
        <w:rPr>
          <w:szCs w:val="20"/>
        </w:rPr>
      </w:pPr>
    </w:p>
    <w:tbl>
      <w:tblPr>
        <w:tblW w:w="10113"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3499"/>
        <w:gridCol w:w="528"/>
        <w:gridCol w:w="617"/>
        <w:gridCol w:w="528"/>
        <w:gridCol w:w="750"/>
        <w:gridCol w:w="995"/>
        <w:gridCol w:w="528"/>
        <w:gridCol w:w="617"/>
        <w:gridCol w:w="528"/>
        <w:gridCol w:w="528"/>
        <w:gridCol w:w="995"/>
      </w:tblGrid>
      <w:tr w:rsidR="00B42E68" w:rsidRPr="006C20F0" w14:paraId="5E340187" w14:textId="77777777" w:rsidTr="00737954">
        <w:trPr>
          <w:cantSplit/>
          <w:trHeight w:val="340"/>
          <w:jc w:val="center"/>
        </w:trPr>
        <w:tc>
          <w:tcPr>
            <w:tcW w:w="10113" w:type="dxa"/>
            <w:gridSpan w:val="11"/>
            <w:tcBorders>
              <w:top w:val="single" w:sz="2" w:space="0" w:color="A6A6A6" w:themeColor="background1" w:themeShade="A6"/>
              <w:bottom w:val="single" w:sz="2" w:space="0" w:color="A6A6A6" w:themeColor="background1" w:themeShade="A6"/>
            </w:tcBorders>
            <w:shd w:val="clear" w:color="auto" w:fill="D5DCE4"/>
            <w:vAlign w:val="center"/>
            <w:hideMark/>
          </w:tcPr>
          <w:p w14:paraId="62EB6071" w14:textId="2AC6899F" w:rsidR="007E40D2" w:rsidRDefault="005E65DB" w:rsidP="002B0A5B">
            <w:pPr>
              <w:spacing w:after="0" w:line="276" w:lineRule="auto"/>
              <w:jc w:val="center"/>
              <w:rPr>
                <w:rFonts w:cs="Arial"/>
                <w:b/>
                <w:bCs/>
                <w:sz w:val="18"/>
                <w:szCs w:val="16"/>
              </w:rPr>
            </w:pPr>
            <w:bookmarkStart w:id="801" w:name="_Ref213517516"/>
            <w:bookmarkStart w:id="802" w:name="_Toc214474138"/>
            <w:r w:rsidRPr="005E65DB">
              <w:rPr>
                <w:b/>
                <w:sz w:val="18"/>
                <w:szCs w:val="18"/>
              </w:rPr>
              <w:t>Πίνακας 5.</w:t>
            </w:r>
            <w:r w:rsidRPr="005E65DB">
              <w:rPr>
                <w:b/>
                <w:sz w:val="18"/>
                <w:szCs w:val="18"/>
              </w:rPr>
              <w:fldChar w:fldCharType="begin"/>
            </w:r>
            <w:r w:rsidRPr="005E65DB">
              <w:rPr>
                <w:b/>
                <w:sz w:val="18"/>
                <w:szCs w:val="18"/>
              </w:rPr>
              <w:instrText xml:space="preserve"> SEQ Πίνακας_5. \* ARABIC </w:instrText>
            </w:r>
            <w:r w:rsidRPr="005E65DB">
              <w:rPr>
                <w:b/>
                <w:sz w:val="18"/>
                <w:szCs w:val="18"/>
              </w:rPr>
              <w:fldChar w:fldCharType="separate"/>
            </w:r>
            <w:r w:rsidR="00E15678">
              <w:rPr>
                <w:b/>
                <w:noProof/>
                <w:sz w:val="18"/>
                <w:szCs w:val="18"/>
              </w:rPr>
              <w:t>4</w:t>
            </w:r>
            <w:r w:rsidRPr="005E65DB">
              <w:rPr>
                <w:b/>
                <w:sz w:val="18"/>
                <w:szCs w:val="18"/>
              </w:rPr>
              <w:fldChar w:fldCharType="end"/>
            </w:r>
            <w:bookmarkEnd w:id="801"/>
            <w:r>
              <w:rPr>
                <w:b/>
                <w:sz w:val="18"/>
                <w:szCs w:val="18"/>
              </w:rPr>
              <w:t xml:space="preserve">.: </w:t>
            </w:r>
            <w:r w:rsidR="00B42E68" w:rsidRPr="005E65DB">
              <w:rPr>
                <w:rFonts w:cs="Arial"/>
                <w:b/>
                <w:bCs/>
                <w:sz w:val="18"/>
                <w:szCs w:val="18"/>
              </w:rPr>
              <w:t>Προβολή</w:t>
            </w:r>
            <w:r w:rsidR="00B42E68" w:rsidRPr="006C20F0">
              <w:rPr>
                <w:rFonts w:cs="Arial"/>
                <w:b/>
                <w:bCs/>
                <w:sz w:val="18"/>
                <w:szCs w:val="16"/>
              </w:rPr>
              <w:t xml:space="preserve"> τριμηνιαίων εσόδων</w:t>
            </w:r>
            <w:bookmarkEnd w:id="802"/>
          </w:p>
          <w:p w14:paraId="506F704C" w14:textId="161947FD" w:rsidR="00B42E68" w:rsidRPr="006C20F0" w:rsidRDefault="00B42E68" w:rsidP="002B0A5B">
            <w:pPr>
              <w:spacing w:after="0" w:line="276" w:lineRule="auto"/>
              <w:jc w:val="center"/>
              <w:rPr>
                <w:rFonts w:cs="Arial"/>
                <w:b/>
                <w:bCs/>
                <w:sz w:val="18"/>
                <w:szCs w:val="16"/>
              </w:rPr>
            </w:pPr>
            <w:r w:rsidRPr="006C20F0">
              <w:rPr>
                <w:rFonts w:cs="Arial"/>
                <w:b/>
                <w:bCs/>
                <w:sz w:val="18"/>
                <w:szCs w:val="16"/>
              </w:rPr>
              <w:t>(σε εκατ. ευρώ)</w:t>
            </w:r>
          </w:p>
        </w:tc>
      </w:tr>
      <w:tr w:rsidR="00EA63E1" w:rsidRPr="00EA63E1" w14:paraId="0D83E57B" w14:textId="77777777" w:rsidTr="00E62489">
        <w:trPr>
          <w:cantSplit/>
          <w:trHeight w:val="227"/>
          <w:jc w:val="center"/>
        </w:trPr>
        <w:tc>
          <w:tcPr>
            <w:tcW w:w="3499" w:type="dxa"/>
            <w:tcBorders>
              <w:top w:val="single" w:sz="2" w:space="0" w:color="A6A6A6" w:themeColor="background1" w:themeShade="A6"/>
              <w:bottom w:val="nil"/>
            </w:tcBorders>
            <w:shd w:val="clear" w:color="auto" w:fill="F2F2F2" w:themeFill="background1" w:themeFillShade="F2"/>
            <w:noWrap/>
            <w:vAlign w:val="bottom"/>
            <w:hideMark/>
          </w:tcPr>
          <w:p w14:paraId="0C2B83CB" w14:textId="4AA295B9" w:rsidR="00EA63E1" w:rsidRPr="00EA63E1" w:rsidRDefault="00EA63E1" w:rsidP="002B0A5B">
            <w:pPr>
              <w:spacing w:after="0" w:line="276" w:lineRule="auto"/>
              <w:jc w:val="left"/>
              <w:rPr>
                <w:rFonts w:cs="Arial"/>
                <w:sz w:val="16"/>
                <w:szCs w:val="16"/>
              </w:rPr>
            </w:pPr>
          </w:p>
        </w:tc>
        <w:tc>
          <w:tcPr>
            <w:tcW w:w="3418" w:type="dxa"/>
            <w:gridSpan w:val="5"/>
            <w:tcBorders>
              <w:top w:val="single" w:sz="2" w:space="0" w:color="A6A6A6" w:themeColor="background1" w:themeShade="A6"/>
              <w:bottom w:val="nil"/>
            </w:tcBorders>
            <w:shd w:val="clear" w:color="auto" w:fill="F2F2F2" w:themeFill="background1" w:themeFillShade="F2"/>
            <w:noWrap/>
            <w:vAlign w:val="center"/>
            <w:hideMark/>
          </w:tcPr>
          <w:p w14:paraId="7C6BBDDC"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2025</w:t>
            </w:r>
          </w:p>
        </w:tc>
        <w:tc>
          <w:tcPr>
            <w:tcW w:w="3196" w:type="dxa"/>
            <w:gridSpan w:val="5"/>
            <w:tcBorders>
              <w:top w:val="single" w:sz="2" w:space="0" w:color="A6A6A6" w:themeColor="background1" w:themeShade="A6"/>
              <w:bottom w:val="nil"/>
            </w:tcBorders>
            <w:shd w:val="clear" w:color="auto" w:fill="F2F2F2" w:themeFill="background1" w:themeFillShade="F2"/>
            <w:noWrap/>
            <w:vAlign w:val="center"/>
            <w:hideMark/>
          </w:tcPr>
          <w:p w14:paraId="4C5FAD30"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2026</w:t>
            </w:r>
          </w:p>
        </w:tc>
      </w:tr>
      <w:tr w:rsidR="002B0A5B" w:rsidRPr="00EA63E1" w14:paraId="01B2F7AF" w14:textId="77777777" w:rsidTr="00E62489">
        <w:trPr>
          <w:cantSplit/>
          <w:trHeight w:val="227"/>
          <w:jc w:val="center"/>
        </w:trPr>
        <w:tc>
          <w:tcPr>
            <w:tcW w:w="3499" w:type="dxa"/>
            <w:tcBorders>
              <w:top w:val="nil"/>
              <w:bottom w:val="single" w:sz="2" w:space="0" w:color="A6A6A6" w:themeColor="background1" w:themeShade="A6"/>
            </w:tcBorders>
            <w:shd w:val="clear" w:color="auto" w:fill="F2F2F2" w:themeFill="background1" w:themeFillShade="F2"/>
            <w:noWrap/>
            <w:vAlign w:val="bottom"/>
            <w:hideMark/>
          </w:tcPr>
          <w:p w14:paraId="18074766" w14:textId="5A56BDDC" w:rsidR="00EA63E1" w:rsidRPr="00EA63E1" w:rsidRDefault="00EA63E1" w:rsidP="002B0A5B">
            <w:pPr>
              <w:spacing w:after="0" w:line="276" w:lineRule="auto"/>
              <w:jc w:val="left"/>
              <w:rPr>
                <w:rFonts w:cs="Arial"/>
                <w:sz w:val="16"/>
                <w:szCs w:val="16"/>
              </w:rPr>
            </w:pPr>
          </w:p>
        </w:tc>
        <w:tc>
          <w:tcPr>
            <w:tcW w:w="528" w:type="dxa"/>
            <w:tcBorders>
              <w:top w:val="nil"/>
              <w:bottom w:val="single" w:sz="2" w:space="0" w:color="A6A6A6" w:themeColor="background1" w:themeShade="A6"/>
            </w:tcBorders>
            <w:shd w:val="clear" w:color="auto" w:fill="F2F2F2" w:themeFill="background1" w:themeFillShade="F2"/>
            <w:noWrap/>
            <w:vAlign w:val="center"/>
            <w:hideMark/>
          </w:tcPr>
          <w:p w14:paraId="6A4AD1DE"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Q1</w:t>
            </w:r>
          </w:p>
        </w:tc>
        <w:tc>
          <w:tcPr>
            <w:tcW w:w="617" w:type="dxa"/>
            <w:tcBorders>
              <w:top w:val="nil"/>
              <w:bottom w:val="single" w:sz="2" w:space="0" w:color="A6A6A6" w:themeColor="background1" w:themeShade="A6"/>
            </w:tcBorders>
            <w:shd w:val="clear" w:color="auto" w:fill="F2F2F2" w:themeFill="background1" w:themeFillShade="F2"/>
            <w:noWrap/>
            <w:vAlign w:val="center"/>
            <w:hideMark/>
          </w:tcPr>
          <w:p w14:paraId="53622C3B"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Q2</w:t>
            </w:r>
          </w:p>
        </w:tc>
        <w:tc>
          <w:tcPr>
            <w:tcW w:w="528" w:type="dxa"/>
            <w:tcBorders>
              <w:top w:val="nil"/>
              <w:bottom w:val="single" w:sz="2" w:space="0" w:color="A6A6A6" w:themeColor="background1" w:themeShade="A6"/>
            </w:tcBorders>
            <w:shd w:val="clear" w:color="auto" w:fill="F2F2F2" w:themeFill="background1" w:themeFillShade="F2"/>
            <w:noWrap/>
            <w:vAlign w:val="center"/>
            <w:hideMark/>
          </w:tcPr>
          <w:p w14:paraId="7847B390"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Q3</w:t>
            </w:r>
          </w:p>
        </w:tc>
        <w:tc>
          <w:tcPr>
            <w:tcW w:w="750" w:type="dxa"/>
            <w:tcBorders>
              <w:top w:val="nil"/>
              <w:bottom w:val="single" w:sz="2" w:space="0" w:color="A6A6A6" w:themeColor="background1" w:themeShade="A6"/>
            </w:tcBorders>
            <w:shd w:val="clear" w:color="auto" w:fill="F2F2F2" w:themeFill="background1" w:themeFillShade="F2"/>
            <w:noWrap/>
            <w:vAlign w:val="center"/>
            <w:hideMark/>
          </w:tcPr>
          <w:p w14:paraId="71C09D3C"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Q4</w:t>
            </w:r>
          </w:p>
        </w:tc>
        <w:tc>
          <w:tcPr>
            <w:tcW w:w="995" w:type="dxa"/>
            <w:tcBorders>
              <w:top w:val="nil"/>
              <w:bottom w:val="single" w:sz="2" w:space="0" w:color="A6A6A6" w:themeColor="background1" w:themeShade="A6"/>
            </w:tcBorders>
            <w:shd w:val="clear" w:color="auto" w:fill="F2F2F2" w:themeFill="background1" w:themeFillShade="F2"/>
            <w:vAlign w:val="center"/>
            <w:hideMark/>
          </w:tcPr>
          <w:p w14:paraId="055D05CE" w14:textId="1E4FAC18" w:rsidR="00EA63E1" w:rsidRPr="00EA63E1" w:rsidRDefault="00EA63E1" w:rsidP="002B0A5B">
            <w:pPr>
              <w:spacing w:after="0" w:line="276" w:lineRule="auto"/>
              <w:jc w:val="center"/>
              <w:rPr>
                <w:rFonts w:cs="Arial"/>
                <w:b/>
                <w:bCs/>
                <w:sz w:val="16"/>
                <w:szCs w:val="16"/>
              </w:rPr>
            </w:pPr>
            <w:r w:rsidRPr="00EA63E1">
              <w:rPr>
                <w:rFonts w:cs="Arial"/>
                <w:b/>
                <w:bCs/>
                <w:sz w:val="16"/>
                <w:szCs w:val="16"/>
              </w:rPr>
              <w:t>Σύνολο</w:t>
            </w:r>
          </w:p>
        </w:tc>
        <w:tc>
          <w:tcPr>
            <w:tcW w:w="528" w:type="dxa"/>
            <w:tcBorders>
              <w:top w:val="nil"/>
              <w:bottom w:val="single" w:sz="2" w:space="0" w:color="A6A6A6" w:themeColor="background1" w:themeShade="A6"/>
            </w:tcBorders>
            <w:shd w:val="clear" w:color="auto" w:fill="F2F2F2" w:themeFill="background1" w:themeFillShade="F2"/>
            <w:noWrap/>
            <w:vAlign w:val="center"/>
            <w:hideMark/>
          </w:tcPr>
          <w:p w14:paraId="5CB45ED1"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Q1</w:t>
            </w:r>
          </w:p>
        </w:tc>
        <w:tc>
          <w:tcPr>
            <w:tcW w:w="617" w:type="dxa"/>
            <w:tcBorders>
              <w:top w:val="nil"/>
              <w:bottom w:val="single" w:sz="2" w:space="0" w:color="A6A6A6" w:themeColor="background1" w:themeShade="A6"/>
            </w:tcBorders>
            <w:shd w:val="clear" w:color="auto" w:fill="F2F2F2" w:themeFill="background1" w:themeFillShade="F2"/>
            <w:noWrap/>
            <w:vAlign w:val="center"/>
            <w:hideMark/>
          </w:tcPr>
          <w:p w14:paraId="0EA64D7F"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Q2</w:t>
            </w:r>
          </w:p>
        </w:tc>
        <w:tc>
          <w:tcPr>
            <w:tcW w:w="528" w:type="dxa"/>
            <w:tcBorders>
              <w:top w:val="nil"/>
              <w:bottom w:val="single" w:sz="2" w:space="0" w:color="A6A6A6" w:themeColor="background1" w:themeShade="A6"/>
            </w:tcBorders>
            <w:shd w:val="clear" w:color="auto" w:fill="F2F2F2" w:themeFill="background1" w:themeFillShade="F2"/>
            <w:noWrap/>
            <w:vAlign w:val="center"/>
            <w:hideMark/>
          </w:tcPr>
          <w:p w14:paraId="1CF7C540"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Q3</w:t>
            </w:r>
          </w:p>
        </w:tc>
        <w:tc>
          <w:tcPr>
            <w:tcW w:w="528" w:type="dxa"/>
            <w:tcBorders>
              <w:top w:val="nil"/>
              <w:bottom w:val="single" w:sz="2" w:space="0" w:color="A6A6A6" w:themeColor="background1" w:themeShade="A6"/>
            </w:tcBorders>
            <w:shd w:val="clear" w:color="auto" w:fill="F2F2F2" w:themeFill="background1" w:themeFillShade="F2"/>
            <w:noWrap/>
            <w:vAlign w:val="center"/>
            <w:hideMark/>
          </w:tcPr>
          <w:p w14:paraId="6856DFFF" w14:textId="77777777" w:rsidR="00EA63E1" w:rsidRPr="00EA63E1" w:rsidRDefault="00EA63E1" w:rsidP="002B0A5B">
            <w:pPr>
              <w:spacing w:after="0" w:line="276" w:lineRule="auto"/>
              <w:jc w:val="center"/>
              <w:rPr>
                <w:rFonts w:cs="Arial"/>
                <w:b/>
                <w:bCs/>
                <w:sz w:val="16"/>
                <w:szCs w:val="16"/>
              </w:rPr>
            </w:pPr>
            <w:r w:rsidRPr="00EA63E1">
              <w:rPr>
                <w:rFonts w:cs="Arial"/>
                <w:b/>
                <w:bCs/>
                <w:sz w:val="16"/>
                <w:szCs w:val="16"/>
              </w:rPr>
              <w:t>Q4</w:t>
            </w:r>
          </w:p>
        </w:tc>
        <w:tc>
          <w:tcPr>
            <w:tcW w:w="995" w:type="dxa"/>
            <w:tcBorders>
              <w:top w:val="nil"/>
              <w:bottom w:val="single" w:sz="2" w:space="0" w:color="A6A6A6" w:themeColor="background1" w:themeShade="A6"/>
            </w:tcBorders>
            <w:shd w:val="clear" w:color="auto" w:fill="F2F2F2" w:themeFill="background1" w:themeFillShade="F2"/>
            <w:vAlign w:val="center"/>
            <w:hideMark/>
          </w:tcPr>
          <w:p w14:paraId="67DC18DE" w14:textId="305EBAF5" w:rsidR="00EA63E1" w:rsidRPr="00EA63E1" w:rsidRDefault="00EA63E1" w:rsidP="002B0A5B">
            <w:pPr>
              <w:spacing w:after="0" w:line="276" w:lineRule="auto"/>
              <w:jc w:val="center"/>
              <w:rPr>
                <w:rFonts w:cs="Arial"/>
                <w:b/>
                <w:bCs/>
                <w:sz w:val="16"/>
                <w:szCs w:val="16"/>
              </w:rPr>
            </w:pPr>
            <w:r w:rsidRPr="00EA63E1">
              <w:rPr>
                <w:rFonts w:cs="Arial"/>
                <w:b/>
                <w:bCs/>
                <w:sz w:val="16"/>
                <w:szCs w:val="16"/>
              </w:rPr>
              <w:t>Σύνολο</w:t>
            </w:r>
          </w:p>
        </w:tc>
      </w:tr>
      <w:tr w:rsidR="00EA63E1" w:rsidRPr="00EA63E1" w14:paraId="5BBD9550" w14:textId="77777777" w:rsidTr="00E62489">
        <w:trPr>
          <w:cantSplit/>
          <w:trHeight w:val="227"/>
          <w:jc w:val="center"/>
        </w:trPr>
        <w:tc>
          <w:tcPr>
            <w:tcW w:w="3499"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49D4B1CA" w14:textId="77777777" w:rsidR="00EA63E1" w:rsidRPr="00EA63E1" w:rsidRDefault="00EA63E1" w:rsidP="002B0A5B">
            <w:pPr>
              <w:spacing w:after="0" w:line="276" w:lineRule="auto"/>
              <w:jc w:val="left"/>
              <w:rPr>
                <w:rFonts w:cs="Arial"/>
                <w:b/>
                <w:bCs/>
                <w:sz w:val="16"/>
                <w:szCs w:val="16"/>
              </w:rPr>
            </w:pPr>
            <w:r w:rsidRPr="00EA63E1">
              <w:rPr>
                <w:rFonts w:cs="Arial"/>
                <w:b/>
                <w:bCs/>
                <w:sz w:val="16"/>
                <w:szCs w:val="16"/>
              </w:rPr>
              <w:t>Έσοδα ανά τρίμηνο</w:t>
            </w:r>
          </w:p>
        </w:tc>
        <w:tc>
          <w:tcPr>
            <w:tcW w:w="528"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7FB57B95" w14:textId="77777777" w:rsidR="00EA63E1" w:rsidRPr="002B0A5B" w:rsidRDefault="00EA63E1" w:rsidP="002B0A5B">
            <w:pPr>
              <w:spacing w:after="0" w:line="276" w:lineRule="auto"/>
              <w:jc w:val="right"/>
              <w:rPr>
                <w:rFonts w:cs="Arial"/>
                <w:sz w:val="16"/>
                <w:szCs w:val="16"/>
              </w:rPr>
            </w:pPr>
            <w:r w:rsidRPr="002B0A5B">
              <w:rPr>
                <w:rFonts w:cs="Arial"/>
                <w:sz w:val="16"/>
                <w:szCs w:val="16"/>
              </w:rPr>
              <w:t>24,2</w:t>
            </w:r>
          </w:p>
        </w:tc>
        <w:tc>
          <w:tcPr>
            <w:tcW w:w="617"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7052F4DE" w14:textId="77777777" w:rsidR="00EA63E1" w:rsidRPr="002B0A5B" w:rsidRDefault="00EA63E1" w:rsidP="002B0A5B">
            <w:pPr>
              <w:spacing w:after="0" w:line="276" w:lineRule="auto"/>
              <w:jc w:val="right"/>
              <w:rPr>
                <w:rFonts w:cs="Arial"/>
                <w:sz w:val="16"/>
                <w:szCs w:val="16"/>
              </w:rPr>
            </w:pPr>
            <w:r w:rsidRPr="002B0A5B">
              <w:rPr>
                <w:rFonts w:cs="Arial"/>
                <w:sz w:val="16"/>
                <w:szCs w:val="16"/>
              </w:rPr>
              <w:t>138,8</w:t>
            </w:r>
          </w:p>
        </w:tc>
        <w:tc>
          <w:tcPr>
            <w:tcW w:w="528"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3988DEA9" w14:textId="77777777" w:rsidR="00EA63E1" w:rsidRPr="002B0A5B" w:rsidRDefault="00EA63E1" w:rsidP="002B0A5B">
            <w:pPr>
              <w:spacing w:after="0" w:line="276" w:lineRule="auto"/>
              <w:jc w:val="right"/>
              <w:rPr>
                <w:rFonts w:cs="Arial"/>
                <w:sz w:val="16"/>
                <w:szCs w:val="16"/>
              </w:rPr>
            </w:pPr>
            <w:r w:rsidRPr="002B0A5B">
              <w:rPr>
                <w:rFonts w:cs="Arial"/>
                <w:sz w:val="16"/>
                <w:szCs w:val="16"/>
              </w:rPr>
              <w:t>22,2</w:t>
            </w:r>
          </w:p>
        </w:tc>
        <w:tc>
          <w:tcPr>
            <w:tcW w:w="750"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52D2D688" w14:textId="44A92F5A" w:rsidR="00EA63E1" w:rsidRPr="002B0A5B" w:rsidRDefault="00EA63E1" w:rsidP="002B0A5B">
            <w:pPr>
              <w:spacing w:after="0" w:line="276" w:lineRule="auto"/>
              <w:jc w:val="right"/>
              <w:rPr>
                <w:rFonts w:cs="Arial"/>
                <w:sz w:val="16"/>
                <w:szCs w:val="16"/>
              </w:rPr>
            </w:pPr>
            <w:r w:rsidRPr="002B0A5B">
              <w:rPr>
                <w:rFonts w:cs="Arial"/>
                <w:sz w:val="16"/>
                <w:szCs w:val="16"/>
              </w:rPr>
              <w:t>1</w:t>
            </w:r>
            <w:r w:rsidR="004C7FAC">
              <w:rPr>
                <w:rFonts w:cs="Arial"/>
                <w:sz w:val="16"/>
                <w:szCs w:val="16"/>
              </w:rPr>
              <w:t>.</w:t>
            </w:r>
            <w:r w:rsidRPr="002B0A5B">
              <w:rPr>
                <w:rFonts w:cs="Arial"/>
                <w:sz w:val="16"/>
                <w:szCs w:val="16"/>
              </w:rPr>
              <w:t>376,2</w:t>
            </w:r>
          </w:p>
        </w:tc>
        <w:tc>
          <w:tcPr>
            <w:tcW w:w="995"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7D7CF0C6" w14:textId="298A5801" w:rsidR="00EA63E1" w:rsidRPr="002B0A5B" w:rsidRDefault="00EA63E1" w:rsidP="002B0A5B">
            <w:pPr>
              <w:spacing w:after="0" w:line="276" w:lineRule="auto"/>
              <w:jc w:val="right"/>
              <w:rPr>
                <w:rFonts w:cs="Arial"/>
                <w:b/>
                <w:bCs/>
                <w:sz w:val="16"/>
                <w:szCs w:val="16"/>
              </w:rPr>
            </w:pPr>
            <w:r w:rsidRPr="002B0A5B">
              <w:rPr>
                <w:rFonts w:cs="Arial"/>
                <w:b/>
                <w:bCs/>
                <w:sz w:val="16"/>
                <w:szCs w:val="16"/>
              </w:rPr>
              <w:t>1</w:t>
            </w:r>
            <w:r w:rsidR="004C7FAC">
              <w:rPr>
                <w:rFonts w:cs="Arial"/>
                <w:b/>
                <w:bCs/>
                <w:sz w:val="16"/>
                <w:szCs w:val="16"/>
              </w:rPr>
              <w:t>.</w:t>
            </w:r>
            <w:r w:rsidRPr="002B0A5B">
              <w:rPr>
                <w:rFonts w:cs="Arial"/>
                <w:b/>
                <w:bCs/>
                <w:sz w:val="16"/>
                <w:szCs w:val="16"/>
              </w:rPr>
              <w:t>561,4</w:t>
            </w:r>
          </w:p>
        </w:tc>
        <w:tc>
          <w:tcPr>
            <w:tcW w:w="528"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3D2DE62C" w14:textId="77777777" w:rsidR="00EA63E1" w:rsidRPr="002B0A5B" w:rsidRDefault="00EA63E1" w:rsidP="002B0A5B">
            <w:pPr>
              <w:spacing w:after="0" w:line="276" w:lineRule="auto"/>
              <w:jc w:val="right"/>
              <w:rPr>
                <w:rFonts w:cs="Arial"/>
                <w:sz w:val="16"/>
                <w:szCs w:val="16"/>
              </w:rPr>
            </w:pPr>
            <w:r w:rsidRPr="002B0A5B">
              <w:rPr>
                <w:rFonts w:cs="Arial"/>
                <w:sz w:val="16"/>
                <w:szCs w:val="16"/>
              </w:rPr>
              <w:t>11,2</w:t>
            </w:r>
          </w:p>
        </w:tc>
        <w:tc>
          <w:tcPr>
            <w:tcW w:w="617"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24E404C5" w14:textId="77777777" w:rsidR="00EA63E1" w:rsidRPr="002B0A5B" w:rsidRDefault="00EA63E1" w:rsidP="002B0A5B">
            <w:pPr>
              <w:spacing w:after="0" w:line="276" w:lineRule="auto"/>
              <w:jc w:val="right"/>
              <w:rPr>
                <w:rFonts w:cs="Arial"/>
                <w:sz w:val="16"/>
                <w:szCs w:val="16"/>
              </w:rPr>
            </w:pPr>
            <w:r w:rsidRPr="002B0A5B">
              <w:rPr>
                <w:rFonts w:cs="Arial"/>
                <w:sz w:val="16"/>
                <w:szCs w:val="16"/>
              </w:rPr>
              <w:t>176,0</w:t>
            </w:r>
          </w:p>
        </w:tc>
        <w:tc>
          <w:tcPr>
            <w:tcW w:w="528"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5A97CACA" w14:textId="77777777" w:rsidR="00EA63E1" w:rsidRPr="002B0A5B" w:rsidRDefault="00EA63E1" w:rsidP="002B0A5B">
            <w:pPr>
              <w:spacing w:after="0" w:line="276" w:lineRule="auto"/>
              <w:jc w:val="right"/>
              <w:rPr>
                <w:rFonts w:cs="Arial"/>
                <w:sz w:val="16"/>
                <w:szCs w:val="16"/>
              </w:rPr>
            </w:pPr>
            <w:r w:rsidRPr="002B0A5B">
              <w:rPr>
                <w:rFonts w:cs="Arial"/>
                <w:sz w:val="16"/>
                <w:szCs w:val="16"/>
              </w:rPr>
              <w:t>94,5</w:t>
            </w:r>
          </w:p>
        </w:tc>
        <w:tc>
          <w:tcPr>
            <w:tcW w:w="528"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0C4B7D54" w14:textId="77777777" w:rsidR="00EA63E1" w:rsidRPr="002B0A5B" w:rsidRDefault="00EA63E1" w:rsidP="002B0A5B">
            <w:pPr>
              <w:spacing w:after="0" w:line="276" w:lineRule="auto"/>
              <w:jc w:val="right"/>
              <w:rPr>
                <w:rFonts w:cs="Arial"/>
                <w:sz w:val="16"/>
                <w:szCs w:val="16"/>
              </w:rPr>
            </w:pPr>
            <w:r w:rsidRPr="002B0A5B">
              <w:rPr>
                <w:rFonts w:cs="Arial"/>
                <w:sz w:val="16"/>
                <w:szCs w:val="16"/>
              </w:rPr>
              <w:t>40,4</w:t>
            </w:r>
          </w:p>
        </w:tc>
        <w:tc>
          <w:tcPr>
            <w:tcW w:w="995"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4713C01B"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322,1</w:t>
            </w:r>
          </w:p>
        </w:tc>
      </w:tr>
      <w:tr w:rsidR="00EA63E1" w:rsidRPr="00EA63E1" w14:paraId="3E5DE39B" w14:textId="77777777" w:rsidTr="00E62489">
        <w:trPr>
          <w:cantSplit/>
          <w:trHeight w:val="227"/>
          <w:jc w:val="center"/>
        </w:trPr>
        <w:tc>
          <w:tcPr>
            <w:tcW w:w="3499" w:type="dxa"/>
            <w:tcBorders>
              <w:top w:val="single" w:sz="2" w:space="0" w:color="A6A6A6" w:themeColor="background1" w:themeShade="A6"/>
              <w:bottom w:val="single" w:sz="2" w:space="0" w:color="A6A6A6" w:themeColor="background1" w:themeShade="A6"/>
            </w:tcBorders>
            <w:shd w:val="clear" w:color="auto" w:fill="D5DCE4"/>
            <w:noWrap/>
            <w:vAlign w:val="center"/>
            <w:hideMark/>
          </w:tcPr>
          <w:p w14:paraId="494CBE66" w14:textId="01F23137" w:rsidR="00EA63E1" w:rsidRPr="00EA63E1" w:rsidRDefault="00B42E68" w:rsidP="002B0A5B">
            <w:pPr>
              <w:spacing w:after="0" w:line="276" w:lineRule="auto"/>
              <w:jc w:val="left"/>
              <w:rPr>
                <w:rFonts w:cs="Arial"/>
                <w:b/>
                <w:bCs/>
                <w:sz w:val="16"/>
                <w:szCs w:val="16"/>
              </w:rPr>
            </w:pPr>
            <w:r w:rsidRPr="00EA63E1">
              <w:rPr>
                <w:rFonts w:cs="Arial"/>
                <w:b/>
                <w:bCs/>
                <w:sz w:val="16"/>
                <w:szCs w:val="16"/>
              </w:rPr>
              <w:t xml:space="preserve">Εταιρικά </w:t>
            </w:r>
            <w:r>
              <w:rPr>
                <w:rFonts w:cs="Arial"/>
                <w:b/>
                <w:bCs/>
                <w:sz w:val="16"/>
                <w:szCs w:val="16"/>
              </w:rPr>
              <w:t xml:space="preserve">και </w:t>
            </w:r>
            <w:r w:rsidRPr="00EA63E1">
              <w:rPr>
                <w:rFonts w:cs="Arial"/>
                <w:b/>
                <w:bCs/>
                <w:sz w:val="16"/>
                <w:szCs w:val="16"/>
              </w:rPr>
              <w:t>Υποδομ</w:t>
            </w:r>
            <w:r>
              <w:rPr>
                <w:rFonts w:cs="Arial"/>
                <w:b/>
                <w:bCs/>
                <w:sz w:val="16"/>
                <w:szCs w:val="16"/>
              </w:rPr>
              <w:t>έ</w:t>
            </w:r>
            <w:r w:rsidRPr="00EA63E1">
              <w:rPr>
                <w:rFonts w:cs="Arial"/>
                <w:b/>
                <w:bCs/>
                <w:sz w:val="16"/>
                <w:szCs w:val="16"/>
              </w:rPr>
              <w:t>ς</w:t>
            </w:r>
          </w:p>
        </w:tc>
        <w:tc>
          <w:tcPr>
            <w:tcW w:w="3418" w:type="dxa"/>
            <w:gridSpan w:val="5"/>
            <w:tcBorders>
              <w:top w:val="single" w:sz="2" w:space="0" w:color="A6A6A6" w:themeColor="background1" w:themeShade="A6"/>
              <w:bottom w:val="single" w:sz="2" w:space="0" w:color="A6A6A6" w:themeColor="background1" w:themeShade="A6"/>
            </w:tcBorders>
            <w:shd w:val="clear" w:color="auto" w:fill="D5DCE4"/>
            <w:noWrap/>
            <w:vAlign w:val="center"/>
            <w:hideMark/>
          </w:tcPr>
          <w:p w14:paraId="20311C9C" w14:textId="73A5DF64" w:rsidR="00EA63E1" w:rsidRPr="002B0A5B" w:rsidRDefault="00EA63E1" w:rsidP="002B0A5B">
            <w:pPr>
              <w:spacing w:after="0" w:line="276" w:lineRule="auto"/>
              <w:jc w:val="right"/>
              <w:rPr>
                <w:rFonts w:cs="Arial"/>
                <w:sz w:val="16"/>
                <w:szCs w:val="16"/>
              </w:rPr>
            </w:pPr>
          </w:p>
        </w:tc>
        <w:tc>
          <w:tcPr>
            <w:tcW w:w="3196" w:type="dxa"/>
            <w:gridSpan w:val="5"/>
            <w:tcBorders>
              <w:top w:val="single" w:sz="2" w:space="0" w:color="A6A6A6" w:themeColor="background1" w:themeShade="A6"/>
              <w:bottom w:val="single" w:sz="2" w:space="0" w:color="A6A6A6" w:themeColor="background1" w:themeShade="A6"/>
            </w:tcBorders>
            <w:shd w:val="clear" w:color="auto" w:fill="D5DCE4"/>
            <w:noWrap/>
            <w:vAlign w:val="center"/>
            <w:hideMark/>
          </w:tcPr>
          <w:p w14:paraId="17234013" w14:textId="3D77FFFB" w:rsidR="00EA63E1" w:rsidRPr="002B0A5B" w:rsidRDefault="00EA63E1" w:rsidP="002B0A5B">
            <w:pPr>
              <w:spacing w:after="0" w:line="276" w:lineRule="auto"/>
              <w:jc w:val="right"/>
              <w:rPr>
                <w:rFonts w:cs="Arial"/>
                <w:sz w:val="16"/>
                <w:szCs w:val="16"/>
              </w:rPr>
            </w:pPr>
          </w:p>
        </w:tc>
      </w:tr>
      <w:tr w:rsidR="00EA63E1" w:rsidRPr="00EA63E1" w14:paraId="0C96DDDC" w14:textId="77777777" w:rsidTr="00E62489">
        <w:trPr>
          <w:cantSplit/>
          <w:trHeight w:val="227"/>
          <w:jc w:val="center"/>
        </w:trPr>
        <w:tc>
          <w:tcPr>
            <w:tcW w:w="3499" w:type="dxa"/>
            <w:tcBorders>
              <w:top w:val="single" w:sz="2" w:space="0" w:color="A6A6A6" w:themeColor="background1" w:themeShade="A6"/>
            </w:tcBorders>
            <w:shd w:val="clear" w:color="auto" w:fill="auto"/>
            <w:noWrap/>
            <w:vAlign w:val="center"/>
            <w:hideMark/>
          </w:tcPr>
          <w:p w14:paraId="32F18ED2" w14:textId="77777777" w:rsidR="00EA63E1" w:rsidRPr="00EA63E1" w:rsidRDefault="00EA63E1" w:rsidP="002B0A5B">
            <w:pPr>
              <w:spacing w:after="0" w:line="276" w:lineRule="auto"/>
              <w:jc w:val="left"/>
              <w:rPr>
                <w:rFonts w:cs="Arial"/>
                <w:sz w:val="16"/>
                <w:szCs w:val="16"/>
              </w:rPr>
            </w:pPr>
            <w:r w:rsidRPr="00EA63E1">
              <w:rPr>
                <w:rFonts w:cs="Arial"/>
                <w:sz w:val="16"/>
                <w:szCs w:val="16"/>
              </w:rPr>
              <w:t>Δικαιώματα Συχνοτήτων (Κινητή Τηλεφωνία)</w:t>
            </w:r>
          </w:p>
        </w:tc>
        <w:tc>
          <w:tcPr>
            <w:tcW w:w="528" w:type="dxa"/>
            <w:tcBorders>
              <w:top w:val="single" w:sz="2" w:space="0" w:color="A6A6A6" w:themeColor="background1" w:themeShade="A6"/>
            </w:tcBorders>
            <w:shd w:val="clear" w:color="auto" w:fill="auto"/>
            <w:noWrap/>
            <w:vAlign w:val="center"/>
            <w:hideMark/>
          </w:tcPr>
          <w:p w14:paraId="7800DC23" w14:textId="77777777" w:rsidR="00EA63E1" w:rsidRPr="002B0A5B" w:rsidRDefault="00EA63E1" w:rsidP="002B0A5B">
            <w:pPr>
              <w:spacing w:after="0" w:line="276" w:lineRule="auto"/>
              <w:jc w:val="right"/>
              <w:rPr>
                <w:rFonts w:cs="Arial"/>
                <w:sz w:val="16"/>
                <w:szCs w:val="16"/>
              </w:rPr>
            </w:pPr>
            <w:r w:rsidRPr="002B0A5B">
              <w:rPr>
                <w:rFonts w:cs="Arial"/>
                <w:sz w:val="16"/>
                <w:szCs w:val="16"/>
              </w:rPr>
              <w:t>11,0</w:t>
            </w:r>
          </w:p>
        </w:tc>
        <w:tc>
          <w:tcPr>
            <w:tcW w:w="617" w:type="dxa"/>
            <w:tcBorders>
              <w:top w:val="single" w:sz="2" w:space="0" w:color="A6A6A6" w:themeColor="background1" w:themeShade="A6"/>
            </w:tcBorders>
            <w:shd w:val="clear" w:color="auto" w:fill="auto"/>
            <w:noWrap/>
            <w:vAlign w:val="center"/>
            <w:hideMark/>
          </w:tcPr>
          <w:p w14:paraId="540A205A" w14:textId="3FA41561" w:rsidR="00EA63E1" w:rsidRPr="002B0A5B" w:rsidRDefault="00EA63E1" w:rsidP="002B0A5B">
            <w:pPr>
              <w:spacing w:after="0" w:line="276" w:lineRule="auto"/>
              <w:jc w:val="right"/>
              <w:rPr>
                <w:rFonts w:cs="Arial"/>
                <w:sz w:val="16"/>
                <w:szCs w:val="16"/>
              </w:rPr>
            </w:pPr>
          </w:p>
        </w:tc>
        <w:tc>
          <w:tcPr>
            <w:tcW w:w="528" w:type="dxa"/>
            <w:tcBorders>
              <w:top w:val="single" w:sz="2" w:space="0" w:color="A6A6A6" w:themeColor="background1" w:themeShade="A6"/>
            </w:tcBorders>
            <w:shd w:val="clear" w:color="auto" w:fill="auto"/>
            <w:noWrap/>
            <w:vAlign w:val="center"/>
            <w:hideMark/>
          </w:tcPr>
          <w:p w14:paraId="2387FD6E" w14:textId="14D4F1DF" w:rsidR="00EA63E1" w:rsidRPr="002B0A5B" w:rsidRDefault="00EA63E1" w:rsidP="002B0A5B">
            <w:pPr>
              <w:spacing w:after="0" w:line="276" w:lineRule="auto"/>
              <w:jc w:val="right"/>
              <w:rPr>
                <w:rFonts w:cs="Arial"/>
                <w:sz w:val="16"/>
                <w:szCs w:val="16"/>
              </w:rPr>
            </w:pPr>
          </w:p>
        </w:tc>
        <w:tc>
          <w:tcPr>
            <w:tcW w:w="750" w:type="dxa"/>
            <w:tcBorders>
              <w:top w:val="single" w:sz="2" w:space="0" w:color="A6A6A6" w:themeColor="background1" w:themeShade="A6"/>
            </w:tcBorders>
            <w:shd w:val="clear" w:color="auto" w:fill="auto"/>
            <w:noWrap/>
            <w:vAlign w:val="center"/>
            <w:hideMark/>
          </w:tcPr>
          <w:p w14:paraId="33122B8B" w14:textId="77777777" w:rsidR="00EA63E1" w:rsidRPr="002B0A5B" w:rsidRDefault="00EA63E1" w:rsidP="002B0A5B">
            <w:pPr>
              <w:spacing w:after="0" w:line="276" w:lineRule="auto"/>
              <w:jc w:val="right"/>
              <w:rPr>
                <w:rFonts w:cs="Arial"/>
                <w:sz w:val="16"/>
                <w:szCs w:val="16"/>
              </w:rPr>
            </w:pPr>
            <w:r w:rsidRPr="002B0A5B">
              <w:rPr>
                <w:rFonts w:cs="Arial"/>
                <w:sz w:val="16"/>
                <w:szCs w:val="16"/>
              </w:rPr>
              <w:t>7,1</w:t>
            </w:r>
          </w:p>
        </w:tc>
        <w:tc>
          <w:tcPr>
            <w:tcW w:w="995" w:type="dxa"/>
            <w:tcBorders>
              <w:top w:val="single" w:sz="2" w:space="0" w:color="A6A6A6" w:themeColor="background1" w:themeShade="A6"/>
            </w:tcBorders>
            <w:shd w:val="clear" w:color="000000" w:fill="D9D9D9"/>
            <w:noWrap/>
            <w:vAlign w:val="center"/>
            <w:hideMark/>
          </w:tcPr>
          <w:p w14:paraId="5B1D5161"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18,1</w:t>
            </w:r>
          </w:p>
        </w:tc>
        <w:tc>
          <w:tcPr>
            <w:tcW w:w="528" w:type="dxa"/>
            <w:tcBorders>
              <w:top w:val="single" w:sz="2" w:space="0" w:color="A6A6A6" w:themeColor="background1" w:themeShade="A6"/>
            </w:tcBorders>
            <w:shd w:val="clear" w:color="auto" w:fill="auto"/>
            <w:noWrap/>
            <w:vAlign w:val="center"/>
            <w:hideMark/>
          </w:tcPr>
          <w:p w14:paraId="0EC7E6EF" w14:textId="77777777" w:rsidR="00EA63E1" w:rsidRPr="002B0A5B" w:rsidRDefault="00EA63E1" w:rsidP="002B0A5B">
            <w:pPr>
              <w:spacing w:after="0" w:line="276" w:lineRule="auto"/>
              <w:jc w:val="right"/>
              <w:rPr>
                <w:rFonts w:cs="Arial"/>
                <w:sz w:val="16"/>
                <w:szCs w:val="16"/>
              </w:rPr>
            </w:pPr>
            <w:r w:rsidRPr="002B0A5B">
              <w:rPr>
                <w:rFonts w:cs="Arial"/>
                <w:sz w:val="16"/>
                <w:szCs w:val="16"/>
              </w:rPr>
              <w:t>8,3</w:t>
            </w:r>
          </w:p>
        </w:tc>
        <w:tc>
          <w:tcPr>
            <w:tcW w:w="617" w:type="dxa"/>
            <w:tcBorders>
              <w:top w:val="single" w:sz="2" w:space="0" w:color="A6A6A6" w:themeColor="background1" w:themeShade="A6"/>
            </w:tcBorders>
            <w:shd w:val="clear" w:color="auto" w:fill="auto"/>
            <w:noWrap/>
            <w:vAlign w:val="center"/>
            <w:hideMark/>
          </w:tcPr>
          <w:p w14:paraId="25F3197F" w14:textId="484FC45D" w:rsidR="00EA63E1" w:rsidRPr="002B0A5B" w:rsidRDefault="00EA63E1" w:rsidP="002B0A5B">
            <w:pPr>
              <w:spacing w:after="0" w:line="276" w:lineRule="auto"/>
              <w:jc w:val="right"/>
              <w:rPr>
                <w:rFonts w:cs="Arial"/>
                <w:sz w:val="16"/>
                <w:szCs w:val="16"/>
              </w:rPr>
            </w:pPr>
          </w:p>
        </w:tc>
        <w:tc>
          <w:tcPr>
            <w:tcW w:w="528" w:type="dxa"/>
            <w:tcBorders>
              <w:top w:val="single" w:sz="2" w:space="0" w:color="A6A6A6" w:themeColor="background1" w:themeShade="A6"/>
            </w:tcBorders>
            <w:shd w:val="clear" w:color="auto" w:fill="auto"/>
            <w:noWrap/>
            <w:vAlign w:val="center"/>
            <w:hideMark/>
          </w:tcPr>
          <w:p w14:paraId="7A25D93A" w14:textId="372D0126" w:rsidR="00EA63E1" w:rsidRPr="002B0A5B" w:rsidRDefault="00EA63E1" w:rsidP="002B0A5B">
            <w:pPr>
              <w:spacing w:after="0" w:line="276" w:lineRule="auto"/>
              <w:jc w:val="right"/>
              <w:rPr>
                <w:rFonts w:cs="Arial"/>
                <w:sz w:val="16"/>
                <w:szCs w:val="16"/>
              </w:rPr>
            </w:pPr>
          </w:p>
        </w:tc>
        <w:tc>
          <w:tcPr>
            <w:tcW w:w="528" w:type="dxa"/>
            <w:tcBorders>
              <w:top w:val="single" w:sz="2" w:space="0" w:color="A6A6A6" w:themeColor="background1" w:themeShade="A6"/>
            </w:tcBorders>
            <w:shd w:val="clear" w:color="auto" w:fill="auto"/>
            <w:noWrap/>
            <w:vAlign w:val="center"/>
            <w:hideMark/>
          </w:tcPr>
          <w:p w14:paraId="190B79D6" w14:textId="5491CEB8" w:rsidR="00EA63E1" w:rsidRPr="002B0A5B" w:rsidRDefault="00EA63E1" w:rsidP="002B0A5B">
            <w:pPr>
              <w:spacing w:after="0" w:line="276" w:lineRule="auto"/>
              <w:jc w:val="right"/>
              <w:rPr>
                <w:rFonts w:cs="Arial"/>
                <w:sz w:val="16"/>
                <w:szCs w:val="16"/>
              </w:rPr>
            </w:pPr>
          </w:p>
        </w:tc>
        <w:tc>
          <w:tcPr>
            <w:tcW w:w="995" w:type="dxa"/>
            <w:tcBorders>
              <w:top w:val="single" w:sz="2" w:space="0" w:color="A6A6A6" w:themeColor="background1" w:themeShade="A6"/>
            </w:tcBorders>
            <w:shd w:val="clear" w:color="000000" w:fill="D9D9D9"/>
            <w:noWrap/>
            <w:vAlign w:val="center"/>
            <w:hideMark/>
          </w:tcPr>
          <w:p w14:paraId="684DD2A4"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8,3</w:t>
            </w:r>
          </w:p>
        </w:tc>
      </w:tr>
      <w:tr w:rsidR="00EA63E1" w:rsidRPr="00EA63E1" w14:paraId="54B2E30A" w14:textId="77777777" w:rsidTr="00E62489">
        <w:trPr>
          <w:cantSplit/>
          <w:trHeight w:val="227"/>
          <w:jc w:val="center"/>
        </w:trPr>
        <w:tc>
          <w:tcPr>
            <w:tcW w:w="3499" w:type="dxa"/>
            <w:shd w:val="clear" w:color="auto" w:fill="auto"/>
            <w:noWrap/>
            <w:vAlign w:val="center"/>
            <w:hideMark/>
          </w:tcPr>
          <w:p w14:paraId="12C9F334" w14:textId="77777777" w:rsidR="00EA63E1" w:rsidRPr="00EA63E1" w:rsidRDefault="00EA63E1" w:rsidP="002B0A5B">
            <w:pPr>
              <w:spacing w:after="0" w:line="276" w:lineRule="auto"/>
              <w:jc w:val="left"/>
              <w:rPr>
                <w:rFonts w:cs="Arial"/>
                <w:sz w:val="16"/>
                <w:szCs w:val="16"/>
              </w:rPr>
            </w:pPr>
            <w:r w:rsidRPr="00EA63E1">
              <w:rPr>
                <w:rFonts w:cs="Arial"/>
                <w:sz w:val="16"/>
                <w:szCs w:val="16"/>
              </w:rPr>
              <w:t>Περιφερειακά Αεροδρόμια</w:t>
            </w:r>
          </w:p>
        </w:tc>
        <w:tc>
          <w:tcPr>
            <w:tcW w:w="528" w:type="dxa"/>
            <w:shd w:val="clear" w:color="000000" w:fill="FFFFFF"/>
            <w:noWrap/>
            <w:vAlign w:val="center"/>
            <w:hideMark/>
          </w:tcPr>
          <w:p w14:paraId="6883C0CB" w14:textId="78B4405B"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218820B6" w14:textId="77777777" w:rsidR="00EA63E1" w:rsidRPr="002B0A5B" w:rsidRDefault="00EA63E1" w:rsidP="002B0A5B">
            <w:pPr>
              <w:spacing w:after="0" w:line="276" w:lineRule="auto"/>
              <w:jc w:val="right"/>
              <w:rPr>
                <w:rFonts w:cs="Arial"/>
                <w:sz w:val="16"/>
                <w:szCs w:val="16"/>
              </w:rPr>
            </w:pPr>
            <w:r w:rsidRPr="002B0A5B">
              <w:rPr>
                <w:rFonts w:cs="Arial"/>
                <w:sz w:val="16"/>
                <w:szCs w:val="16"/>
              </w:rPr>
              <w:t>129,6</w:t>
            </w:r>
          </w:p>
        </w:tc>
        <w:tc>
          <w:tcPr>
            <w:tcW w:w="528" w:type="dxa"/>
            <w:shd w:val="clear" w:color="auto" w:fill="auto"/>
            <w:noWrap/>
            <w:vAlign w:val="center"/>
            <w:hideMark/>
          </w:tcPr>
          <w:p w14:paraId="7E5BAE58" w14:textId="3615E942" w:rsidR="00EA63E1" w:rsidRPr="002B0A5B" w:rsidRDefault="00EA63E1" w:rsidP="002B0A5B">
            <w:pPr>
              <w:spacing w:after="0" w:line="276" w:lineRule="auto"/>
              <w:jc w:val="right"/>
              <w:rPr>
                <w:rFonts w:cs="Arial"/>
                <w:sz w:val="16"/>
                <w:szCs w:val="16"/>
              </w:rPr>
            </w:pPr>
          </w:p>
        </w:tc>
        <w:tc>
          <w:tcPr>
            <w:tcW w:w="750" w:type="dxa"/>
            <w:shd w:val="clear" w:color="auto" w:fill="auto"/>
            <w:noWrap/>
            <w:vAlign w:val="center"/>
            <w:hideMark/>
          </w:tcPr>
          <w:p w14:paraId="1E3C6A12" w14:textId="01A248BF"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0EBDF102"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129,6</w:t>
            </w:r>
          </w:p>
        </w:tc>
        <w:tc>
          <w:tcPr>
            <w:tcW w:w="528" w:type="dxa"/>
            <w:shd w:val="clear" w:color="auto" w:fill="auto"/>
            <w:noWrap/>
            <w:vAlign w:val="center"/>
            <w:hideMark/>
          </w:tcPr>
          <w:p w14:paraId="27D3A39C" w14:textId="49CD6A9A"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7D384EE4" w14:textId="77777777" w:rsidR="00EA63E1" w:rsidRPr="002B0A5B" w:rsidRDefault="00EA63E1" w:rsidP="002B0A5B">
            <w:pPr>
              <w:spacing w:after="0" w:line="276" w:lineRule="auto"/>
              <w:jc w:val="right"/>
              <w:rPr>
                <w:rFonts w:cs="Arial"/>
                <w:sz w:val="16"/>
                <w:szCs w:val="16"/>
              </w:rPr>
            </w:pPr>
            <w:r w:rsidRPr="002B0A5B">
              <w:rPr>
                <w:rFonts w:cs="Arial"/>
                <w:sz w:val="16"/>
                <w:szCs w:val="16"/>
              </w:rPr>
              <w:t>22,0</w:t>
            </w:r>
          </w:p>
        </w:tc>
        <w:tc>
          <w:tcPr>
            <w:tcW w:w="528" w:type="dxa"/>
            <w:shd w:val="clear" w:color="auto" w:fill="auto"/>
            <w:noWrap/>
            <w:vAlign w:val="center"/>
            <w:hideMark/>
          </w:tcPr>
          <w:p w14:paraId="74377C02" w14:textId="687F7E05"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0F9D4A3F" w14:textId="7E127694"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20360D8F"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22,0</w:t>
            </w:r>
          </w:p>
        </w:tc>
      </w:tr>
      <w:tr w:rsidR="00EA63E1" w:rsidRPr="00EA63E1" w14:paraId="3AE387C5" w14:textId="77777777" w:rsidTr="00E62489">
        <w:trPr>
          <w:cantSplit/>
          <w:trHeight w:val="227"/>
          <w:jc w:val="center"/>
        </w:trPr>
        <w:tc>
          <w:tcPr>
            <w:tcW w:w="3499" w:type="dxa"/>
            <w:shd w:val="clear" w:color="000000" w:fill="FFFFFF"/>
            <w:noWrap/>
            <w:vAlign w:val="center"/>
            <w:hideMark/>
          </w:tcPr>
          <w:p w14:paraId="6DBCEA65" w14:textId="77777777" w:rsidR="00EA63E1" w:rsidRPr="00EA63E1" w:rsidRDefault="00EA63E1" w:rsidP="002B0A5B">
            <w:pPr>
              <w:spacing w:after="0" w:line="276" w:lineRule="auto"/>
              <w:jc w:val="left"/>
              <w:rPr>
                <w:rFonts w:cs="Arial"/>
                <w:sz w:val="16"/>
                <w:szCs w:val="16"/>
              </w:rPr>
            </w:pPr>
            <w:r w:rsidRPr="00EA63E1">
              <w:rPr>
                <w:rFonts w:cs="Arial"/>
                <w:sz w:val="16"/>
                <w:szCs w:val="16"/>
              </w:rPr>
              <w:t>Μαρίνα Χίου</w:t>
            </w:r>
          </w:p>
        </w:tc>
        <w:tc>
          <w:tcPr>
            <w:tcW w:w="528" w:type="dxa"/>
            <w:shd w:val="clear" w:color="auto" w:fill="auto"/>
            <w:noWrap/>
            <w:vAlign w:val="center"/>
            <w:hideMark/>
          </w:tcPr>
          <w:p w14:paraId="037916E3" w14:textId="255C1A22"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576FAF0C" w14:textId="59634252"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729B3C1E" w14:textId="4FF437ED" w:rsidR="00EA63E1" w:rsidRPr="002B0A5B" w:rsidRDefault="00EA63E1" w:rsidP="002B0A5B">
            <w:pPr>
              <w:spacing w:after="0" w:line="276" w:lineRule="auto"/>
              <w:jc w:val="right"/>
              <w:rPr>
                <w:rFonts w:cs="Arial"/>
                <w:sz w:val="16"/>
                <w:szCs w:val="16"/>
              </w:rPr>
            </w:pPr>
          </w:p>
        </w:tc>
        <w:tc>
          <w:tcPr>
            <w:tcW w:w="750" w:type="dxa"/>
            <w:shd w:val="clear" w:color="auto" w:fill="auto"/>
            <w:noWrap/>
            <w:vAlign w:val="center"/>
            <w:hideMark/>
          </w:tcPr>
          <w:p w14:paraId="485E4628" w14:textId="77777777" w:rsidR="00EA63E1" w:rsidRPr="002B0A5B" w:rsidRDefault="00EA63E1" w:rsidP="002B0A5B">
            <w:pPr>
              <w:spacing w:after="0" w:line="276" w:lineRule="auto"/>
              <w:jc w:val="right"/>
              <w:rPr>
                <w:rFonts w:cs="Arial"/>
                <w:sz w:val="16"/>
                <w:szCs w:val="16"/>
              </w:rPr>
            </w:pPr>
            <w:r w:rsidRPr="002B0A5B">
              <w:rPr>
                <w:rFonts w:cs="Arial"/>
                <w:sz w:val="16"/>
                <w:szCs w:val="16"/>
              </w:rPr>
              <w:t>0,1</w:t>
            </w:r>
          </w:p>
        </w:tc>
        <w:tc>
          <w:tcPr>
            <w:tcW w:w="995" w:type="dxa"/>
            <w:shd w:val="clear" w:color="000000" w:fill="D9D9D9"/>
            <w:noWrap/>
            <w:vAlign w:val="center"/>
            <w:hideMark/>
          </w:tcPr>
          <w:p w14:paraId="63B63EBA"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0,1</w:t>
            </w:r>
          </w:p>
        </w:tc>
        <w:tc>
          <w:tcPr>
            <w:tcW w:w="528" w:type="dxa"/>
            <w:shd w:val="clear" w:color="auto" w:fill="auto"/>
            <w:noWrap/>
            <w:vAlign w:val="center"/>
            <w:hideMark/>
          </w:tcPr>
          <w:p w14:paraId="61914960" w14:textId="67126DC4"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1DB8BF9E" w14:textId="4909DCE8"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539BDEC6" w14:textId="1A6C8EEB"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1DBE2B9F" w14:textId="51B390A8"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239C3680"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3F16C308" w14:textId="77777777" w:rsidTr="00E62489">
        <w:trPr>
          <w:cantSplit/>
          <w:trHeight w:val="227"/>
          <w:jc w:val="center"/>
        </w:trPr>
        <w:tc>
          <w:tcPr>
            <w:tcW w:w="3499" w:type="dxa"/>
            <w:shd w:val="clear" w:color="000000" w:fill="FFFFFF"/>
            <w:noWrap/>
            <w:vAlign w:val="center"/>
            <w:hideMark/>
          </w:tcPr>
          <w:p w14:paraId="45DC5E0B" w14:textId="77777777" w:rsidR="00EA63E1" w:rsidRPr="00EA63E1" w:rsidRDefault="00EA63E1" w:rsidP="002B0A5B">
            <w:pPr>
              <w:spacing w:after="0" w:line="276" w:lineRule="auto"/>
              <w:jc w:val="left"/>
              <w:rPr>
                <w:rFonts w:cs="Arial"/>
                <w:sz w:val="16"/>
                <w:szCs w:val="16"/>
              </w:rPr>
            </w:pPr>
            <w:r w:rsidRPr="00EA63E1">
              <w:rPr>
                <w:rFonts w:cs="Arial"/>
                <w:sz w:val="16"/>
                <w:szCs w:val="16"/>
              </w:rPr>
              <w:t>Μαρίνα Αλίμου</w:t>
            </w:r>
          </w:p>
        </w:tc>
        <w:tc>
          <w:tcPr>
            <w:tcW w:w="528" w:type="dxa"/>
            <w:shd w:val="clear" w:color="auto" w:fill="auto"/>
            <w:noWrap/>
            <w:vAlign w:val="center"/>
            <w:hideMark/>
          </w:tcPr>
          <w:p w14:paraId="32109ECB" w14:textId="77777777" w:rsidR="00EA63E1" w:rsidRPr="002B0A5B" w:rsidRDefault="00EA63E1" w:rsidP="002B0A5B">
            <w:pPr>
              <w:spacing w:after="0" w:line="276" w:lineRule="auto"/>
              <w:jc w:val="right"/>
              <w:rPr>
                <w:rFonts w:cs="Arial"/>
                <w:sz w:val="16"/>
                <w:szCs w:val="16"/>
              </w:rPr>
            </w:pPr>
            <w:r w:rsidRPr="002B0A5B">
              <w:rPr>
                <w:rFonts w:cs="Arial"/>
                <w:sz w:val="16"/>
                <w:szCs w:val="16"/>
              </w:rPr>
              <w:t>3,9</w:t>
            </w:r>
          </w:p>
        </w:tc>
        <w:tc>
          <w:tcPr>
            <w:tcW w:w="617" w:type="dxa"/>
            <w:shd w:val="clear" w:color="auto" w:fill="auto"/>
            <w:noWrap/>
            <w:vAlign w:val="center"/>
            <w:hideMark/>
          </w:tcPr>
          <w:p w14:paraId="42A8A092" w14:textId="70C15B37"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5A24DE2C" w14:textId="44D5332F" w:rsidR="00EA63E1" w:rsidRPr="002B0A5B" w:rsidRDefault="00EA63E1" w:rsidP="002B0A5B">
            <w:pPr>
              <w:spacing w:after="0" w:line="276" w:lineRule="auto"/>
              <w:jc w:val="right"/>
              <w:rPr>
                <w:rFonts w:cs="Arial"/>
                <w:sz w:val="16"/>
                <w:szCs w:val="16"/>
              </w:rPr>
            </w:pPr>
          </w:p>
        </w:tc>
        <w:tc>
          <w:tcPr>
            <w:tcW w:w="750" w:type="dxa"/>
            <w:shd w:val="clear" w:color="000000" w:fill="FFFFFF"/>
            <w:noWrap/>
            <w:vAlign w:val="center"/>
            <w:hideMark/>
          </w:tcPr>
          <w:p w14:paraId="536C35B8" w14:textId="4219629F"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7955B7B8"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3,9</w:t>
            </w:r>
          </w:p>
        </w:tc>
        <w:tc>
          <w:tcPr>
            <w:tcW w:w="528" w:type="dxa"/>
            <w:shd w:val="clear" w:color="000000" w:fill="FFFFFF"/>
            <w:noWrap/>
            <w:vAlign w:val="center"/>
            <w:hideMark/>
          </w:tcPr>
          <w:p w14:paraId="687612EA" w14:textId="77777777" w:rsidR="00EA63E1" w:rsidRPr="002B0A5B" w:rsidRDefault="00EA63E1" w:rsidP="002B0A5B">
            <w:pPr>
              <w:spacing w:after="0" w:line="276" w:lineRule="auto"/>
              <w:jc w:val="right"/>
              <w:rPr>
                <w:rFonts w:cs="Arial"/>
                <w:sz w:val="16"/>
                <w:szCs w:val="16"/>
              </w:rPr>
            </w:pPr>
            <w:r w:rsidRPr="002B0A5B">
              <w:rPr>
                <w:rFonts w:cs="Arial"/>
                <w:sz w:val="16"/>
                <w:szCs w:val="16"/>
              </w:rPr>
              <w:t>2,9</w:t>
            </w:r>
          </w:p>
        </w:tc>
        <w:tc>
          <w:tcPr>
            <w:tcW w:w="617" w:type="dxa"/>
            <w:shd w:val="clear" w:color="auto" w:fill="auto"/>
            <w:noWrap/>
            <w:vAlign w:val="center"/>
            <w:hideMark/>
          </w:tcPr>
          <w:p w14:paraId="14C08BA1" w14:textId="62E951B7"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39B95331" w14:textId="2BF0BF29"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15B93F04" w14:textId="4DE24E07"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7EB3497A"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2,9</w:t>
            </w:r>
          </w:p>
        </w:tc>
      </w:tr>
      <w:tr w:rsidR="00EA63E1" w:rsidRPr="00EA63E1" w14:paraId="5D6FD739" w14:textId="77777777" w:rsidTr="00E62489">
        <w:trPr>
          <w:cantSplit/>
          <w:trHeight w:val="227"/>
          <w:jc w:val="center"/>
        </w:trPr>
        <w:tc>
          <w:tcPr>
            <w:tcW w:w="3499" w:type="dxa"/>
            <w:shd w:val="clear" w:color="auto" w:fill="auto"/>
            <w:noWrap/>
            <w:vAlign w:val="center"/>
            <w:hideMark/>
          </w:tcPr>
          <w:p w14:paraId="6744F188" w14:textId="77777777" w:rsidR="00EA63E1" w:rsidRPr="00EA63E1" w:rsidRDefault="00EA63E1" w:rsidP="002B0A5B">
            <w:pPr>
              <w:spacing w:after="0" w:line="276" w:lineRule="auto"/>
              <w:jc w:val="left"/>
              <w:rPr>
                <w:rFonts w:cs="Arial"/>
                <w:sz w:val="16"/>
                <w:szCs w:val="16"/>
              </w:rPr>
            </w:pPr>
            <w:r w:rsidRPr="00EA63E1">
              <w:rPr>
                <w:rFonts w:cs="Arial"/>
                <w:sz w:val="16"/>
                <w:szCs w:val="16"/>
              </w:rPr>
              <w:t>MEGA YAGHT KERKYRA</w:t>
            </w:r>
          </w:p>
        </w:tc>
        <w:tc>
          <w:tcPr>
            <w:tcW w:w="528" w:type="dxa"/>
            <w:shd w:val="clear" w:color="auto" w:fill="auto"/>
            <w:noWrap/>
            <w:vAlign w:val="center"/>
            <w:hideMark/>
          </w:tcPr>
          <w:p w14:paraId="5AF2D043" w14:textId="7DD83CFA"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302C7CB9" w14:textId="6BA84C3D"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35B98BA4" w14:textId="32819F18" w:rsidR="00EA63E1" w:rsidRPr="002B0A5B" w:rsidRDefault="00EA63E1" w:rsidP="002B0A5B">
            <w:pPr>
              <w:spacing w:after="0" w:line="276" w:lineRule="auto"/>
              <w:jc w:val="right"/>
              <w:rPr>
                <w:rFonts w:cs="Arial"/>
                <w:sz w:val="16"/>
                <w:szCs w:val="16"/>
              </w:rPr>
            </w:pPr>
          </w:p>
        </w:tc>
        <w:tc>
          <w:tcPr>
            <w:tcW w:w="750" w:type="dxa"/>
            <w:shd w:val="clear" w:color="auto" w:fill="auto"/>
            <w:noWrap/>
            <w:vAlign w:val="center"/>
            <w:hideMark/>
          </w:tcPr>
          <w:p w14:paraId="2A2EE287" w14:textId="31C13AF4" w:rsidR="00EA63E1" w:rsidRPr="002F40E5"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63B5279D"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c>
          <w:tcPr>
            <w:tcW w:w="528" w:type="dxa"/>
            <w:shd w:val="clear" w:color="auto" w:fill="auto"/>
            <w:noWrap/>
            <w:vAlign w:val="center"/>
            <w:hideMark/>
          </w:tcPr>
          <w:p w14:paraId="37BD9252" w14:textId="5CFF774F"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7EA316EC" w14:textId="77777777" w:rsidR="00EA63E1" w:rsidRPr="002B0A5B" w:rsidRDefault="00EA63E1" w:rsidP="002B0A5B">
            <w:pPr>
              <w:spacing w:after="0" w:line="276" w:lineRule="auto"/>
              <w:jc w:val="right"/>
              <w:rPr>
                <w:rFonts w:cs="Arial"/>
                <w:sz w:val="16"/>
                <w:szCs w:val="16"/>
              </w:rPr>
            </w:pPr>
            <w:r w:rsidRPr="002B0A5B">
              <w:rPr>
                <w:rFonts w:cs="Arial"/>
                <w:sz w:val="16"/>
                <w:szCs w:val="16"/>
              </w:rPr>
              <w:t>9,7</w:t>
            </w:r>
          </w:p>
        </w:tc>
        <w:tc>
          <w:tcPr>
            <w:tcW w:w="528" w:type="dxa"/>
            <w:shd w:val="clear" w:color="auto" w:fill="auto"/>
            <w:noWrap/>
            <w:vAlign w:val="center"/>
            <w:hideMark/>
          </w:tcPr>
          <w:p w14:paraId="51B35258" w14:textId="4F90F547"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676AE87C" w14:textId="071E8DFF"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0B65DA2E"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9,7</w:t>
            </w:r>
          </w:p>
        </w:tc>
      </w:tr>
      <w:tr w:rsidR="00EA63E1" w:rsidRPr="00EA63E1" w14:paraId="0834CAF5" w14:textId="77777777" w:rsidTr="00E62489">
        <w:trPr>
          <w:cantSplit/>
          <w:trHeight w:val="227"/>
          <w:jc w:val="center"/>
        </w:trPr>
        <w:tc>
          <w:tcPr>
            <w:tcW w:w="3499" w:type="dxa"/>
            <w:shd w:val="clear" w:color="000000" w:fill="FFFFFF"/>
            <w:noWrap/>
            <w:vAlign w:val="center"/>
            <w:hideMark/>
          </w:tcPr>
          <w:p w14:paraId="26A08E9C" w14:textId="77777777" w:rsidR="00EA63E1" w:rsidRPr="00EA63E1" w:rsidRDefault="00EA63E1" w:rsidP="002B0A5B">
            <w:pPr>
              <w:spacing w:after="0" w:line="276" w:lineRule="auto"/>
              <w:jc w:val="left"/>
              <w:rPr>
                <w:rFonts w:cs="Arial"/>
                <w:sz w:val="16"/>
                <w:szCs w:val="16"/>
              </w:rPr>
            </w:pPr>
            <w:r w:rsidRPr="00EA63E1">
              <w:rPr>
                <w:rFonts w:cs="Arial"/>
                <w:sz w:val="16"/>
                <w:szCs w:val="16"/>
              </w:rPr>
              <w:t>Ηγουμενίτσα</w:t>
            </w:r>
          </w:p>
        </w:tc>
        <w:tc>
          <w:tcPr>
            <w:tcW w:w="528" w:type="dxa"/>
            <w:shd w:val="clear" w:color="auto" w:fill="auto"/>
            <w:noWrap/>
            <w:vAlign w:val="center"/>
            <w:hideMark/>
          </w:tcPr>
          <w:p w14:paraId="788BB589" w14:textId="3A3A2403"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22C031D2" w14:textId="77777777" w:rsidR="00EA63E1" w:rsidRPr="002B0A5B" w:rsidRDefault="00EA63E1" w:rsidP="002B0A5B">
            <w:pPr>
              <w:spacing w:after="0" w:line="276" w:lineRule="auto"/>
              <w:jc w:val="right"/>
              <w:rPr>
                <w:rFonts w:cs="Arial"/>
                <w:sz w:val="16"/>
                <w:szCs w:val="16"/>
              </w:rPr>
            </w:pPr>
            <w:r w:rsidRPr="002B0A5B">
              <w:rPr>
                <w:rFonts w:cs="Arial"/>
                <w:sz w:val="16"/>
                <w:szCs w:val="16"/>
              </w:rPr>
              <w:t>1,0</w:t>
            </w:r>
          </w:p>
        </w:tc>
        <w:tc>
          <w:tcPr>
            <w:tcW w:w="528" w:type="dxa"/>
            <w:shd w:val="clear" w:color="auto" w:fill="auto"/>
            <w:noWrap/>
            <w:vAlign w:val="center"/>
            <w:hideMark/>
          </w:tcPr>
          <w:p w14:paraId="4244123E" w14:textId="63845FA7" w:rsidR="00EA63E1" w:rsidRPr="002B0A5B" w:rsidRDefault="00EA63E1" w:rsidP="002B0A5B">
            <w:pPr>
              <w:spacing w:after="0" w:line="276" w:lineRule="auto"/>
              <w:jc w:val="right"/>
              <w:rPr>
                <w:rFonts w:cs="Arial"/>
                <w:sz w:val="16"/>
                <w:szCs w:val="16"/>
              </w:rPr>
            </w:pPr>
          </w:p>
        </w:tc>
        <w:tc>
          <w:tcPr>
            <w:tcW w:w="750" w:type="dxa"/>
            <w:shd w:val="clear" w:color="000000" w:fill="FFFFFF"/>
            <w:noWrap/>
            <w:vAlign w:val="center"/>
            <w:hideMark/>
          </w:tcPr>
          <w:p w14:paraId="487C9CE7" w14:textId="68567E54"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6F9C3596"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1,0</w:t>
            </w:r>
          </w:p>
        </w:tc>
        <w:tc>
          <w:tcPr>
            <w:tcW w:w="528" w:type="dxa"/>
            <w:shd w:val="clear" w:color="000000" w:fill="FFFFFF"/>
            <w:noWrap/>
            <w:vAlign w:val="center"/>
            <w:hideMark/>
          </w:tcPr>
          <w:p w14:paraId="56C0BC5E" w14:textId="59395599"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3B074C2C" w14:textId="0795BCCE"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22020EA6" w14:textId="1678E5BC"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43F8C7E7" w14:textId="371207EF"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3A19BB57"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0B8278B1" w14:textId="77777777" w:rsidTr="00E62489">
        <w:trPr>
          <w:cantSplit/>
          <w:trHeight w:val="227"/>
          <w:jc w:val="center"/>
        </w:trPr>
        <w:tc>
          <w:tcPr>
            <w:tcW w:w="3499" w:type="dxa"/>
            <w:shd w:val="clear" w:color="000000" w:fill="FFFFFF"/>
            <w:noWrap/>
            <w:vAlign w:val="center"/>
            <w:hideMark/>
          </w:tcPr>
          <w:p w14:paraId="6C5ABE04" w14:textId="77777777" w:rsidR="00EA63E1" w:rsidRPr="00EA63E1" w:rsidRDefault="00EA63E1" w:rsidP="002B0A5B">
            <w:pPr>
              <w:spacing w:after="0" w:line="276" w:lineRule="auto"/>
              <w:jc w:val="left"/>
              <w:rPr>
                <w:rFonts w:cs="Arial"/>
                <w:sz w:val="16"/>
                <w:szCs w:val="16"/>
              </w:rPr>
            </w:pPr>
            <w:r w:rsidRPr="00EA63E1">
              <w:rPr>
                <w:rFonts w:cs="Arial"/>
                <w:sz w:val="16"/>
                <w:szCs w:val="16"/>
              </w:rPr>
              <w:t>Ηράκλειο</w:t>
            </w:r>
          </w:p>
        </w:tc>
        <w:tc>
          <w:tcPr>
            <w:tcW w:w="528" w:type="dxa"/>
            <w:shd w:val="clear" w:color="auto" w:fill="auto"/>
            <w:noWrap/>
            <w:vAlign w:val="center"/>
            <w:hideMark/>
          </w:tcPr>
          <w:p w14:paraId="70389550" w14:textId="49C71CDD"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45C513A0" w14:textId="76AB173C"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348EBAD1" w14:textId="77777777" w:rsidR="00EA63E1" w:rsidRPr="002B0A5B" w:rsidRDefault="00EA63E1" w:rsidP="002B0A5B">
            <w:pPr>
              <w:spacing w:after="0" w:line="276" w:lineRule="auto"/>
              <w:jc w:val="right"/>
              <w:rPr>
                <w:rFonts w:cs="Arial"/>
                <w:sz w:val="16"/>
                <w:szCs w:val="16"/>
              </w:rPr>
            </w:pPr>
            <w:r w:rsidRPr="002B0A5B">
              <w:rPr>
                <w:rFonts w:cs="Arial"/>
                <w:sz w:val="16"/>
                <w:szCs w:val="16"/>
              </w:rPr>
              <w:t>2,7</w:t>
            </w:r>
          </w:p>
        </w:tc>
        <w:tc>
          <w:tcPr>
            <w:tcW w:w="750" w:type="dxa"/>
            <w:shd w:val="clear" w:color="000000" w:fill="FFFFFF"/>
            <w:noWrap/>
            <w:vAlign w:val="center"/>
            <w:hideMark/>
          </w:tcPr>
          <w:p w14:paraId="62A1A7A9" w14:textId="1CA7478B"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6EA9E006"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2,7</w:t>
            </w:r>
          </w:p>
        </w:tc>
        <w:tc>
          <w:tcPr>
            <w:tcW w:w="528" w:type="dxa"/>
            <w:shd w:val="clear" w:color="000000" w:fill="FFFFFF"/>
            <w:noWrap/>
            <w:vAlign w:val="center"/>
            <w:hideMark/>
          </w:tcPr>
          <w:p w14:paraId="06043A06" w14:textId="587064F4"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6B32A4C2" w14:textId="6ADDCD17"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10E7A99B" w14:textId="5A11CD23"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22624DFE" w14:textId="77F79333"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3056C2F8"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58BE7ADA" w14:textId="77777777" w:rsidTr="00E62489">
        <w:trPr>
          <w:cantSplit/>
          <w:trHeight w:val="227"/>
          <w:jc w:val="center"/>
        </w:trPr>
        <w:tc>
          <w:tcPr>
            <w:tcW w:w="3499" w:type="dxa"/>
            <w:shd w:val="clear" w:color="000000" w:fill="FFFFFF"/>
            <w:noWrap/>
            <w:vAlign w:val="center"/>
            <w:hideMark/>
          </w:tcPr>
          <w:p w14:paraId="275CD48D" w14:textId="77777777" w:rsidR="00EA63E1" w:rsidRPr="00EA63E1" w:rsidRDefault="00EA63E1" w:rsidP="002B0A5B">
            <w:pPr>
              <w:spacing w:after="0" w:line="276" w:lineRule="auto"/>
              <w:jc w:val="left"/>
              <w:rPr>
                <w:rFonts w:cs="Arial"/>
                <w:sz w:val="16"/>
                <w:szCs w:val="16"/>
              </w:rPr>
            </w:pPr>
            <w:r w:rsidRPr="00EA63E1">
              <w:rPr>
                <w:rFonts w:cs="Arial"/>
                <w:sz w:val="16"/>
                <w:szCs w:val="16"/>
              </w:rPr>
              <w:t>ΕΓΝΑΤΙΑ</w:t>
            </w:r>
          </w:p>
        </w:tc>
        <w:tc>
          <w:tcPr>
            <w:tcW w:w="528" w:type="dxa"/>
            <w:shd w:val="clear" w:color="auto" w:fill="auto"/>
            <w:noWrap/>
            <w:vAlign w:val="center"/>
            <w:hideMark/>
          </w:tcPr>
          <w:p w14:paraId="2F52EC2E" w14:textId="6FD70369"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1B3B7B14" w14:textId="26AAC4F6"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53ED63FD" w14:textId="0052E7EA" w:rsidR="00EA63E1" w:rsidRPr="002B0A5B" w:rsidRDefault="00EA63E1" w:rsidP="002B0A5B">
            <w:pPr>
              <w:spacing w:after="0" w:line="276" w:lineRule="auto"/>
              <w:jc w:val="right"/>
              <w:rPr>
                <w:rFonts w:cs="Arial"/>
                <w:sz w:val="16"/>
                <w:szCs w:val="16"/>
              </w:rPr>
            </w:pPr>
          </w:p>
        </w:tc>
        <w:tc>
          <w:tcPr>
            <w:tcW w:w="750" w:type="dxa"/>
            <w:shd w:val="clear" w:color="000000" w:fill="FFFFFF"/>
            <w:noWrap/>
            <w:vAlign w:val="center"/>
            <w:hideMark/>
          </w:tcPr>
          <w:p w14:paraId="5521C3D1" w14:textId="3B5EDCB4" w:rsidR="00EA63E1" w:rsidRPr="002B0A5B" w:rsidRDefault="00EA63E1" w:rsidP="002B0A5B">
            <w:pPr>
              <w:spacing w:after="0" w:line="276" w:lineRule="auto"/>
              <w:jc w:val="right"/>
              <w:rPr>
                <w:rFonts w:cs="Arial"/>
                <w:sz w:val="16"/>
                <w:szCs w:val="16"/>
              </w:rPr>
            </w:pPr>
            <w:r w:rsidRPr="002B0A5B">
              <w:rPr>
                <w:rFonts w:cs="Arial"/>
                <w:sz w:val="16"/>
                <w:szCs w:val="16"/>
              </w:rPr>
              <w:t>1</w:t>
            </w:r>
            <w:r w:rsidR="004C7FAC">
              <w:rPr>
                <w:rFonts w:cs="Arial"/>
                <w:sz w:val="16"/>
                <w:szCs w:val="16"/>
              </w:rPr>
              <w:t>.</w:t>
            </w:r>
            <w:r w:rsidRPr="002B0A5B">
              <w:rPr>
                <w:rFonts w:cs="Arial"/>
                <w:sz w:val="16"/>
                <w:szCs w:val="16"/>
              </w:rPr>
              <w:t>350,0</w:t>
            </w:r>
          </w:p>
        </w:tc>
        <w:tc>
          <w:tcPr>
            <w:tcW w:w="995" w:type="dxa"/>
            <w:shd w:val="clear" w:color="000000" w:fill="D9D9D9"/>
            <w:noWrap/>
            <w:vAlign w:val="center"/>
            <w:hideMark/>
          </w:tcPr>
          <w:p w14:paraId="0B61F9C7" w14:textId="4145C406" w:rsidR="00EA63E1" w:rsidRPr="002B0A5B" w:rsidRDefault="00EA63E1" w:rsidP="002B0A5B">
            <w:pPr>
              <w:spacing w:after="0" w:line="276" w:lineRule="auto"/>
              <w:jc w:val="right"/>
              <w:rPr>
                <w:rFonts w:cs="Arial"/>
                <w:b/>
                <w:bCs/>
                <w:sz w:val="16"/>
                <w:szCs w:val="16"/>
              </w:rPr>
            </w:pPr>
            <w:r w:rsidRPr="002B0A5B">
              <w:rPr>
                <w:rFonts w:cs="Arial"/>
                <w:b/>
                <w:bCs/>
                <w:sz w:val="16"/>
                <w:szCs w:val="16"/>
              </w:rPr>
              <w:t>1</w:t>
            </w:r>
            <w:r w:rsidR="004C7FAC">
              <w:rPr>
                <w:rFonts w:cs="Arial"/>
                <w:b/>
                <w:bCs/>
                <w:sz w:val="16"/>
                <w:szCs w:val="16"/>
              </w:rPr>
              <w:t>.</w:t>
            </w:r>
            <w:r w:rsidRPr="002B0A5B">
              <w:rPr>
                <w:rFonts w:cs="Arial"/>
                <w:b/>
                <w:bCs/>
                <w:sz w:val="16"/>
                <w:szCs w:val="16"/>
              </w:rPr>
              <w:t>350,0</w:t>
            </w:r>
          </w:p>
        </w:tc>
        <w:tc>
          <w:tcPr>
            <w:tcW w:w="528" w:type="dxa"/>
            <w:shd w:val="clear" w:color="000000" w:fill="FFFFFF"/>
            <w:noWrap/>
            <w:vAlign w:val="center"/>
            <w:hideMark/>
          </w:tcPr>
          <w:p w14:paraId="48B7FA65" w14:textId="0797A79F"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550DC9E2" w14:textId="6006274C"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0D06D11A" w14:textId="671E8117"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5990786F" w14:textId="184B2EE4"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166917B0"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7C77D6E4" w14:textId="77777777" w:rsidTr="00E62489">
        <w:trPr>
          <w:cantSplit/>
          <w:trHeight w:val="227"/>
          <w:jc w:val="center"/>
        </w:trPr>
        <w:tc>
          <w:tcPr>
            <w:tcW w:w="3499" w:type="dxa"/>
            <w:shd w:val="clear" w:color="auto" w:fill="auto"/>
            <w:noWrap/>
            <w:vAlign w:val="center"/>
            <w:hideMark/>
          </w:tcPr>
          <w:p w14:paraId="1E7BD4B7" w14:textId="77777777" w:rsidR="00EA63E1" w:rsidRPr="00EA63E1" w:rsidRDefault="00EA63E1" w:rsidP="002B0A5B">
            <w:pPr>
              <w:spacing w:after="0" w:line="276" w:lineRule="auto"/>
              <w:jc w:val="left"/>
              <w:rPr>
                <w:rFonts w:cs="Arial"/>
                <w:sz w:val="16"/>
                <w:szCs w:val="16"/>
              </w:rPr>
            </w:pPr>
            <w:r w:rsidRPr="00EA63E1">
              <w:rPr>
                <w:rFonts w:cs="Arial"/>
                <w:sz w:val="16"/>
                <w:szCs w:val="16"/>
              </w:rPr>
              <w:t>(10 ΟΛ) Οργανισμός Λιμένος Καβάλας</w:t>
            </w:r>
          </w:p>
        </w:tc>
        <w:tc>
          <w:tcPr>
            <w:tcW w:w="528" w:type="dxa"/>
            <w:shd w:val="clear" w:color="auto" w:fill="auto"/>
            <w:noWrap/>
            <w:vAlign w:val="center"/>
            <w:hideMark/>
          </w:tcPr>
          <w:p w14:paraId="0F9C29F4" w14:textId="77777777" w:rsidR="00EA63E1" w:rsidRPr="002B0A5B" w:rsidRDefault="00EA63E1" w:rsidP="002B0A5B">
            <w:pPr>
              <w:spacing w:after="0" w:line="276" w:lineRule="auto"/>
              <w:jc w:val="right"/>
              <w:rPr>
                <w:rFonts w:cs="Arial"/>
                <w:sz w:val="16"/>
                <w:szCs w:val="16"/>
              </w:rPr>
            </w:pPr>
            <w:r w:rsidRPr="002B0A5B">
              <w:rPr>
                <w:rFonts w:cs="Arial"/>
                <w:sz w:val="16"/>
                <w:szCs w:val="16"/>
              </w:rPr>
              <w:t>2,2</w:t>
            </w:r>
          </w:p>
        </w:tc>
        <w:tc>
          <w:tcPr>
            <w:tcW w:w="617" w:type="dxa"/>
            <w:shd w:val="clear" w:color="auto" w:fill="auto"/>
            <w:noWrap/>
            <w:vAlign w:val="center"/>
            <w:hideMark/>
          </w:tcPr>
          <w:p w14:paraId="75023554" w14:textId="1752AB03"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70C4C07D" w14:textId="59773ED2" w:rsidR="00EA63E1" w:rsidRPr="002B0A5B" w:rsidRDefault="00EA63E1" w:rsidP="002B0A5B">
            <w:pPr>
              <w:spacing w:after="0" w:line="276" w:lineRule="auto"/>
              <w:jc w:val="right"/>
              <w:rPr>
                <w:rFonts w:cs="Arial"/>
                <w:sz w:val="16"/>
                <w:szCs w:val="16"/>
              </w:rPr>
            </w:pPr>
          </w:p>
        </w:tc>
        <w:tc>
          <w:tcPr>
            <w:tcW w:w="750" w:type="dxa"/>
            <w:shd w:val="clear" w:color="auto" w:fill="auto"/>
            <w:noWrap/>
            <w:vAlign w:val="center"/>
            <w:hideMark/>
          </w:tcPr>
          <w:p w14:paraId="471967AE" w14:textId="4EB1E8FD"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34AB6A2F"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2,2</w:t>
            </w:r>
          </w:p>
        </w:tc>
        <w:tc>
          <w:tcPr>
            <w:tcW w:w="528" w:type="dxa"/>
            <w:shd w:val="clear" w:color="auto" w:fill="auto"/>
            <w:noWrap/>
            <w:vAlign w:val="center"/>
            <w:hideMark/>
          </w:tcPr>
          <w:p w14:paraId="2F155D19" w14:textId="1A43FE90"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61A1619F" w14:textId="3D89AD2F"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072AECED" w14:textId="65C5B9DD"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14D0039C" w14:textId="6D7852A9"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0B274467"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0CBE6BF1" w14:textId="77777777" w:rsidTr="00E62489">
        <w:trPr>
          <w:cantSplit/>
          <w:trHeight w:val="227"/>
          <w:jc w:val="center"/>
        </w:trPr>
        <w:tc>
          <w:tcPr>
            <w:tcW w:w="3499" w:type="dxa"/>
            <w:shd w:val="clear" w:color="auto" w:fill="auto"/>
            <w:noWrap/>
            <w:vAlign w:val="center"/>
            <w:hideMark/>
          </w:tcPr>
          <w:p w14:paraId="1C7BE0DE" w14:textId="77777777" w:rsidR="00EA63E1" w:rsidRPr="00EA63E1" w:rsidRDefault="00EA63E1" w:rsidP="002B0A5B">
            <w:pPr>
              <w:spacing w:after="0" w:line="276" w:lineRule="auto"/>
              <w:jc w:val="left"/>
              <w:rPr>
                <w:rFonts w:cs="Arial"/>
                <w:sz w:val="16"/>
                <w:szCs w:val="16"/>
              </w:rPr>
            </w:pPr>
            <w:r w:rsidRPr="00EA63E1">
              <w:rPr>
                <w:rFonts w:cs="Arial"/>
                <w:sz w:val="16"/>
                <w:szCs w:val="16"/>
              </w:rPr>
              <w:t>PYLOS</w:t>
            </w:r>
          </w:p>
        </w:tc>
        <w:tc>
          <w:tcPr>
            <w:tcW w:w="528" w:type="dxa"/>
            <w:shd w:val="clear" w:color="auto" w:fill="auto"/>
            <w:noWrap/>
            <w:vAlign w:val="center"/>
            <w:hideMark/>
          </w:tcPr>
          <w:p w14:paraId="576E57D3" w14:textId="3C081581"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3F2C15D1" w14:textId="1D2DD64C"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194DB670" w14:textId="0282F2B0" w:rsidR="00EA63E1" w:rsidRPr="002B0A5B" w:rsidRDefault="00EA63E1" w:rsidP="002B0A5B">
            <w:pPr>
              <w:spacing w:after="0" w:line="276" w:lineRule="auto"/>
              <w:jc w:val="right"/>
              <w:rPr>
                <w:rFonts w:cs="Arial"/>
                <w:sz w:val="16"/>
                <w:szCs w:val="16"/>
              </w:rPr>
            </w:pPr>
          </w:p>
        </w:tc>
        <w:tc>
          <w:tcPr>
            <w:tcW w:w="750" w:type="dxa"/>
            <w:shd w:val="clear" w:color="auto" w:fill="auto"/>
            <w:noWrap/>
            <w:vAlign w:val="center"/>
            <w:hideMark/>
          </w:tcPr>
          <w:p w14:paraId="555CB36A" w14:textId="77777777" w:rsidR="00EA63E1" w:rsidRPr="002B0A5B" w:rsidRDefault="00EA63E1" w:rsidP="002B0A5B">
            <w:pPr>
              <w:spacing w:after="0" w:line="276" w:lineRule="auto"/>
              <w:jc w:val="right"/>
              <w:rPr>
                <w:rFonts w:cs="Arial"/>
                <w:sz w:val="16"/>
                <w:szCs w:val="16"/>
              </w:rPr>
            </w:pPr>
            <w:r w:rsidRPr="002B0A5B">
              <w:rPr>
                <w:rFonts w:cs="Arial"/>
                <w:sz w:val="16"/>
                <w:szCs w:val="16"/>
              </w:rPr>
              <w:t>1,5</w:t>
            </w:r>
          </w:p>
        </w:tc>
        <w:tc>
          <w:tcPr>
            <w:tcW w:w="995" w:type="dxa"/>
            <w:shd w:val="clear" w:color="000000" w:fill="D9D9D9"/>
            <w:noWrap/>
            <w:vAlign w:val="center"/>
            <w:hideMark/>
          </w:tcPr>
          <w:p w14:paraId="605BC358"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1,5</w:t>
            </w:r>
          </w:p>
        </w:tc>
        <w:tc>
          <w:tcPr>
            <w:tcW w:w="528" w:type="dxa"/>
            <w:shd w:val="clear" w:color="auto" w:fill="auto"/>
            <w:noWrap/>
            <w:vAlign w:val="center"/>
            <w:hideMark/>
          </w:tcPr>
          <w:p w14:paraId="3B61FF01" w14:textId="74A4EB94"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3980A2C1" w14:textId="75EE7BF5"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16F09457" w14:textId="59166C33"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2677995C" w14:textId="4C41C6A7"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55432A66"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45E611F1" w14:textId="77777777" w:rsidTr="00E62489">
        <w:trPr>
          <w:cantSplit/>
          <w:trHeight w:val="227"/>
          <w:jc w:val="center"/>
        </w:trPr>
        <w:tc>
          <w:tcPr>
            <w:tcW w:w="3499" w:type="dxa"/>
            <w:shd w:val="clear" w:color="auto" w:fill="auto"/>
            <w:noWrap/>
            <w:vAlign w:val="center"/>
            <w:hideMark/>
          </w:tcPr>
          <w:p w14:paraId="003FAAB6" w14:textId="77777777" w:rsidR="00EA63E1" w:rsidRPr="00EA63E1" w:rsidRDefault="00EA63E1" w:rsidP="002B0A5B">
            <w:pPr>
              <w:spacing w:after="0" w:line="276" w:lineRule="auto"/>
              <w:jc w:val="left"/>
              <w:rPr>
                <w:rFonts w:cs="Arial"/>
                <w:sz w:val="16"/>
                <w:szCs w:val="16"/>
              </w:rPr>
            </w:pPr>
            <w:r w:rsidRPr="00EA63E1">
              <w:rPr>
                <w:rFonts w:cs="Arial"/>
                <w:sz w:val="16"/>
                <w:szCs w:val="16"/>
              </w:rPr>
              <w:t>ARGOSTOLI</w:t>
            </w:r>
          </w:p>
        </w:tc>
        <w:tc>
          <w:tcPr>
            <w:tcW w:w="528" w:type="dxa"/>
            <w:shd w:val="clear" w:color="auto" w:fill="auto"/>
            <w:noWrap/>
            <w:vAlign w:val="center"/>
            <w:hideMark/>
          </w:tcPr>
          <w:p w14:paraId="2584B766" w14:textId="126EE49D"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6F7C8F22" w14:textId="43451CBF"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188BF3BB" w14:textId="4D6CB0B0" w:rsidR="00EA63E1" w:rsidRPr="002B0A5B" w:rsidRDefault="00EA63E1" w:rsidP="002B0A5B">
            <w:pPr>
              <w:spacing w:after="0" w:line="276" w:lineRule="auto"/>
              <w:jc w:val="right"/>
              <w:rPr>
                <w:rFonts w:cs="Arial"/>
                <w:sz w:val="16"/>
                <w:szCs w:val="16"/>
              </w:rPr>
            </w:pPr>
          </w:p>
        </w:tc>
        <w:tc>
          <w:tcPr>
            <w:tcW w:w="750" w:type="dxa"/>
            <w:shd w:val="clear" w:color="auto" w:fill="auto"/>
            <w:noWrap/>
            <w:vAlign w:val="center"/>
            <w:hideMark/>
          </w:tcPr>
          <w:p w14:paraId="4C120175" w14:textId="77777777" w:rsidR="00EA63E1" w:rsidRPr="002B0A5B" w:rsidRDefault="00EA63E1" w:rsidP="002B0A5B">
            <w:pPr>
              <w:spacing w:after="0" w:line="276" w:lineRule="auto"/>
              <w:jc w:val="right"/>
              <w:rPr>
                <w:rFonts w:cs="Arial"/>
                <w:sz w:val="16"/>
                <w:szCs w:val="16"/>
              </w:rPr>
            </w:pPr>
            <w:r w:rsidRPr="002B0A5B">
              <w:rPr>
                <w:rFonts w:cs="Arial"/>
                <w:sz w:val="16"/>
                <w:szCs w:val="16"/>
              </w:rPr>
              <w:t>2,4</w:t>
            </w:r>
          </w:p>
        </w:tc>
        <w:tc>
          <w:tcPr>
            <w:tcW w:w="995" w:type="dxa"/>
            <w:shd w:val="clear" w:color="000000" w:fill="D9D9D9"/>
            <w:noWrap/>
            <w:vAlign w:val="center"/>
            <w:hideMark/>
          </w:tcPr>
          <w:p w14:paraId="69CECC01"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2,4</w:t>
            </w:r>
          </w:p>
        </w:tc>
        <w:tc>
          <w:tcPr>
            <w:tcW w:w="528" w:type="dxa"/>
            <w:shd w:val="clear" w:color="auto" w:fill="auto"/>
            <w:noWrap/>
            <w:vAlign w:val="center"/>
            <w:hideMark/>
          </w:tcPr>
          <w:p w14:paraId="3D752EC9" w14:textId="5DC33FF4"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5390A87D" w14:textId="267962B0"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6F9CAA95" w14:textId="19CBB4C2"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68491AE6" w14:textId="36E24082"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5799E4A9"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2B0A5B" w:rsidRPr="00EA63E1" w14:paraId="791F6764" w14:textId="77777777" w:rsidTr="00E62489">
        <w:trPr>
          <w:cantSplit/>
          <w:trHeight w:val="227"/>
          <w:jc w:val="center"/>
        </w:trPr>
        <w:tc>
          <w:tcPr>
            <w:tcW w:w="3499" w:type="dxa"/>
            <w:shd w:val="clear" w:color="auto" w:fill="F2F2F2" w:themeFill="background1" w:themeFillShade="F2"/>
            <w:noWrap/>
            <w:vAlign w:val="center"/>
            <w:hideMark/>
          </w:tcPr>
          <w:p w14:paraId="264B2FA2" w14:textId="78B93151" w:rsidR="00EA63E1" w:rsidRPr="00EA63E1" w:rsidRDefault="00EA63E1" w:rsidP="002B0A5B">
            <w:pPr>
              <w:spacing w:after="0" w:line="276" w:lineRule="auto"/>
              <w:jc w:val="left"/>
              <w:rPr>
                <w:rFonts w:cs="Arial"/>
                <w:sz w:val="16"/>
                <w:szCs w:val="16"/>
              </w:rPr>
            </w:pPr>
            <w:r w:rsidRPr="00EA63E1">
              <w:rPr>
                <w:rFonts w:cs="Arial"/>
                <w:sz w:val="16"/>
                <w:szCs w:val="16"/>
              </w:rPr>
              <w:t>Έργα σε στάδιο προετοιμασίας</w:t>
            </w:r>
          </w:p>
        </w:tc>
        <w:tc>
          <w:tcPr>
            <w:tcW w:w="528" w:type="dxa"/>
            <w:shd w:val="clear" w:color="auto" w:fill="F2F2F2" w:themeFill="background1" w:themeFillShade="F2"/>
            <w:noWrap/>
            <w:vAlign w:val="center"/>
            <w:hideMark/>
          </w:tcPr>
          <w:p w14:paraId="2D6F0E9A" w14:textId="20D18063" w:rsidR="00EA63E1" w:rsidRPr="002B0A5B" w:rsidRDefault="00EA63E1" w:rsidP="002B0A5B">
            <w:pPr>
              <w:spacing w:after="0" w:line="276" w:lineRule="auto"/>
              <w:jc w:val="right"/>
              <w:rPr>
                <w:rFonts w:cs="Arial"/>
                <w:sz w:val="16"/>
                <w:szCs w:val="16"/>
              </w:rPr>
            </w:pPr>
          </w:p>
        </w:tc>
        <w:tc>
          <w:tcPr>
            <w:tcW w:w="617" w:type="dxa"/>
            <w:shd w:val="clear" w:color="auto" w:fill="F2F2F2" w:themeFill="background1" w:themeFillShade="F2"/>
            <w:noWrap/>
            <w:vAlign w:val="center"/>
            <w:hideMark/>
          </w:tcPr>
          <w:p w14:paraId="188FFEFE" w14:textId="2037228B" w:rsidR="00EA63E1" w:rsidRPr="002B0A5B" w:rsidRDefault="00EA63E1" w:rsidP="002B0A5B">
            <w:pPr>
              <w:spacing w:after="0" w:line="276" w:lineRule="auto"/>
              <w:jc w:val="right"/>
              <w:rPr>
                <w:rFonts w:cs="Arial"/>
                <w:sz w:val="16"/>
                <w:szCs w:val="16"/>
              </w:rPr>
            </w:pPr>
          </w:p>
        </w:tc>
        <w:tc>
          <w:tcPr>
            <w:tcW w:w="528" w:type="dxa"/>
            <w:shd w:val="clear" w:color="auto" w:fill="F2F2F2" w:themeFill="background1" w:themeFillShade="F2"/>
            <w:noWrap/>
            <w:vAlign w:val="center"/>
            <w:hideMark/>
          </w:tcPr>
          <w:p w14:paraId="67360FF7" w14:textId="7E34FA65" w:rsidR="00EA63E1" w:rsidRPr="002B0A5B" w:rsidRDefault="00EA63E1" w:rsidP="002B0A5B">
            <w:pPr>
              <w:spacing w:after="0" w:line="276" w:lineRule="auto"/>
              <w:jc w:val="right"/>
              <w:rPr>
                <w:rFonts w:cs="Arial"/>
                <w:sz w:val="16"/>
                <w:szCs w:val="16"/>
              </w:rPr>
            </w:pPr>
          </w:p>
        </w:tc>
        <w:tc>
          <w:tcPr>
            <w:tcW w:w="750" w:type="dxa"/>
            <w:shd w:val="clear" w:color="auto" w:fill="F2F2F2" w:themeFill="background1" w:themeFillShade="F2"/>
            <w:noWrap/>
            <w:vAlign w:val="center"/>
            <w:hideMark/>
          </w:tcPr>
          <w:p w14:paraId="200F71B1" w14:textId="5176F4F8" w:rsidR="00EA63E1" w:rsidRPr="002B0A5B" w:rsidRDefault="00EA63E1" w:rsidP="002B0A5B">
            <w:pPr>
              <w:spacing w:after="0" w:line="276" w:lineRule="auto"/>
              <w:jc w:val="right"/>
              <w:rPr>
                <w:rFonts w:cs="Arial"/>
                <w:sz w:val="16"/>
                <w:szCs w:val="16"/>
              </w:rPr>
            </w:pPr>
          </w:p>
        </w:tc>
        <w:tc>
          <w:tcPr>
            <w:tcW w:w="995" w:type="dxa"/>
            <w:shd w:val="clear" w:color="auto" w:fill="D9D9D9" w:themeFill="background1" w:themeFillShade="D9"/>
            <w:noWrap/>
            <w:vAlign w:val="center"/>
            <w:hideMark/>
          </w:tcPr>
          <w:p w14:paraId="0B89498D"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c>
          <w:tcPr>
            <w:tcW w:w="528" w:type="dxa"/>
            <w:shd w:val="clear" w:color="auto" w:fill="F2F2F2" w:themeFill="background1" w:themeFillShade="F2"/>
            <w:noWrap/>
            <w:vAlign w:val="center"/>
            <w:hideMark/>
          </w:tcPr>
          <w:p w14:paraId="2CD76D2E" w14:textId="5BA0A6BC" w:rsidR="00EA63E1" w:rsidRPr="002B0A5B" w:rsidRDefault="00EA63E1" w:rsidP="002B0A5B">
            <w:pPr>
              <w:spacing w:after="0" w:line="276" w:lineRule="auto"/>
              <w:jc w:val="right"/>
              <w:rPr>
                <w:rFonts w:cs="Arial"/>
                <w:sz w:val="16"/>
                <w:szCs w:val="16"/>
              </w:rPr>
            </w:pPr>
          </w:p>
        </w:tc>
        <w:tc>
          <w:tcPr>
            <w:tcW w:w="617" w:type="dxa"/>
            <w:shd w:val="clear" w:color="auto" w:fill="F2F2F2" w:themeFill="background1" w:themeFillShade="F2"/>
            <w:noWrap/>
            <w:vAlign w:val="center"/>
            <w:hideMark/>
          </w:tcPr>
          <w:p w14:paraId="5F845813" w14:textId="77777777" w:rsidR="00EA63E1" w:rsidRPr="002B0A5B" w:rsidRDefault="00EA63E1" w:rsidP="002B0A5B">
            <w:pPr>
              <w:spacing w:after="0" w:line="276" w:lineRule="auto"/>
              <w:jc w:val="right"/>
              <w:rPr>
                <w:rFonts w:cs="Arial"/>
                <w:sz w:val="16"/>
                <w:szCs w:val="16"/>
              </w:rPr>
            </w:pPr>
            <w:r w:rsidRPr="002B0A5B">
              <w:rPr>
                <w:rFonts w:cs="Arial"/>
                <w:sz w:val="16"/>
                <w:szCs w:val="16"/>
              </w:rPr>
              <w:t>127,8</w:t>
            </w:r>
          </w:p>
        </w:tc>
        <w:tc>
          <w:tcPr>
            <w:tcW w:w="528" w:type="dxa"/>
            <w:shd w:val="clear" w:color="auto" w:fill="F2F2F2" w:themeFill="background1" w:themeFillShade="F2"/>
            <w:noWrap/>
            <w:vAlign w:val="center"/>
            <w:hideMark/>
          </w:tcPr>
          <w:p w14:paraId="7333ACFD" w14:textId="77777777" w:rsidR="00EA63E1" w:rsidRPr="002B0A5B" w:rsidRDefault="00EA63E1" w:rsidP="002B0A5B">
            <w:pPr>
              <w:spacing w:after="0" w:line="276" w:lineRule="auto"/>
              <w:jc w:val="right"/>
              <w:rPr>
                <w:rFonts w:cs="Arial"/>
                <w:sz w:val="16"/>
                <w:szCs w:val="16"/>
              </w:rPr>
            </w:pPr>
            <w:r w:rsidRPr="002B0A5B">
              <w:rPr>
                <w:rFonts w:cs="Arial"/>
                <w:sz w:val="16"/>
                <w:szCs w:val="16"/>
              </w:rPr>
              <w:t>92,0</w:t>
            </w:r>
          </w:p>
        </w:tc>
        <w:tc>
          <w:tcPr>
            <w:tcW w:w="528" w:type="dxa"/>
            <w:shd w:val="clear" w:color="auto" w:fill="F2F2F2" w:themeFill="background1" w:themeFillShade="F2"/>
            <w:noWrap/>
            <w:vAlign w:val="center"/>
            <w:hideMark/>
          </w:tcPr>
          <w:p w14:paraId="208048D1" w14:textId="77777777" w:rsidR="00EA63E1" w:rsidRPr="002B0A5B" w:rsidRDefault="00EA63E1" w:rsidP="002B0A5B">
            <w:pPr>
              <w:spacing w:after="0" w:line="276" w:lineRule="auto"/>
              <w:jc w:val="right"/>
              <w:rPr>
                <w:rFonts w:cs="Arial"/>
                <w:sz w:val="16"/>
                <w:szCs w:val="16"/>
              </w:rPr>
            </w:pPr>
            <w:r w:rsidRPr="002B0A5B">
              <w:rPr>
                <w:rFonts w:cs="Arial"/>
                <w:sz w:val="16"/>
                <w:szCs w:val="16"/>
              </w:rPr>
              <w:t>8,0</w:t>
            </w:r>
          </w:p>
        </w:tc>
        <w:tc>
          <w:tcPr>
            <w:tcW w:w="995" w:type="dxa"/>
            <w:shd w:val="clear" w:color="auto" w:fill="D9D9D9" w:themeFill="background1" w:themeFillShade="D9"/>
            <w:noWrap/>
            <w:vAlign w:val="center"/>
            <w:hideMark/>
          </w:tcPr>
          <w:p w14:paraId="74764AC5"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227,8</w:t>
            </w:r>
          </w:p>
        </w:tc>
      </w:tr>
      <w:tr w:rsidR="00EA63E1" w:rsidRPr="00EA63E1" w14:paraId="6C5BABF9" w14:textId="77777777" w:rsidTr="00E62489">
        <w:trPr>
          <w:cantSplit/>
          <w:trHeight w:val="227"/>
          <w:jc w:val="center"/>
        </w:trPr>
        <w:tc>
          <w:tcPr>
            <w:tcW w:w="3499" w:type="dxa"/>
            <w:tcBorders>
              <w:bottom w:val="single" w:sz="2" w:space="0" w:color="A6A6A6" w:themeColor="background1" w:themeShade="A6"/>
            </w:tcBorders>
            <w:shd w:val="clear" w:color="000000" w:fill="D9D9D9"/>
            <w:noWrap/>
            <w:vAlign w:val="center"/>
            <w:hideMark/>
          </w:tcPr>
          <w:p w14:paraId="44CE6309" w14:textId="1FC49E18" w:rsidR="00EA63E1" w:rsidRPr="00EA63E1" w:rsidRDefault="00EA63E1" w:rsidP="002B0A5B">
            <w:pPr>
              <w:spacing w:after="0" w:line="276" w:lineRule="auto"/>
              <w:jc w:val="left"/>
              <w:rPr>
                <w:rFonts w:cs="Arial"/>
                <w:b/>
                <w:bCs/>
                <w:sz w:val="16"/>
                <w:szCs w:val="16"/>
              </w:rPr>
            </w:pPr>
            <w:r w:rsidRPr="00EA63E1">
              <w:rPr>
                <w:rFonts w:cs="Arial"/>
                <w:b/>
                <w:bCs/>
                <w:sz w:val="16"/>
                <w:szCs w:val="16"/>
              </w:rPr>
              <w:t xml:space="preserve">Σύνολο Εταιρικών </w:t>
            </w:r>
            <w:r w:rsidR="002B0A5B">
              <w:rPr>
                <w:rFonts w:cs="Arial"/>
                <w:b/>
                <w:bCs/>
                <w:sz w:val="16"/>
                <w:szCs w:val="16"/>
              </w:rPr>
              <w:t>και</w:t>
            </w:r>
            <w:r w:rsidRPr="00EA63E1">
              <w:rPr>
                <w:rFonts w:cs="Arial"/>
                <w:b/>
                <w:bCs/>
                <w:sz w:val="16"/>
                <w:szCs w:val="16"/>
              </w:rPr>
              <w:t xml:space="preserve"> Υποδομών</w:t>
            </w:r>
          </w:p>
        </w:tc>
        <w:tc>
          <w:tcPr>
            <w:tcW w:w="528" w:type="dxa"/>
            <w:tcBorders>
              <w:bottom w:val="single" w:sz="2" w:space="0" w:color="A6A6A6" w:themeColor="background1" w:themeShade="A6"/>
            </w:tcBorders>
            <w:shd w:val="clear" w:color="000000" w:fill="D9D9D9"/>
            <w:noWrap/>
            <w:vAlign w:val="center"/>
            <w:hideMark/>
          </w:tcPr>
          <w:p w14:paraId="3CBA25EA"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17,1</w:t>
            </w:r>
          </w:p>
        </w:tc>
        <w:tc>
          <w:tcPr>
            <w:tcW w:w="617" w:type="dxa"/>
            <w:tcBorders>
              <w:bottom w:val="single" w:sz="2" w:space="0" w:color="A6A6A6" w:themeColor="background1" w:themeShade="A6"/>
            </w:tcBorders>
            <w:shd w:val="clear" w:color="000000" w:fill="D9D9D9"/>
            <w:noWrap/>
            <w:vAlign w:val="center"/>
            <w:hideMark/>
          </w:tcPr>
          <w:p w14:paraId="4C4D4D16"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130,6</w:t>
            </w:r>
          </w:p>
        </w:tc>
        <w:tc>
          <w:tcPr>
            <w:tcW w:w="528" w:type="dxa"/>
            <w:tcBorders>
              <w:bottom w:val="single" w:sz="2" w:space="0" w:color="A6A6A6" w:themeColor="background1" w:themeShade="A6"/>
            </w:tcBorders>
            <w:shd w:val="clear" w:color="000000" w:fill="D9D9D9"/>
            <w:noWrap/>
            <w:vAlign w:val="center"/>
            <w:hideMark/>
          </w:tcPr>
          <w:p w14:paraId="4C931EFB"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2,7</w:t>
            </w:r>
          </w:p>
        </w:tc>
        <w:tc>
          <w:tcPr>
            <w:tcW w:w="750" w:type="dxa"/>
            <w:tcBorders>
              <w:bottom w:val="single" w:sz="2" w:space="0" w:color="A6A6A6" w:themeColor="background1" w:themeShade="A6"/>
            </w:tcBorders>
            <w:shd w:val="clear" w:color="000000" w:fill="D9D9D9"/>
            <w:noWrap/>
            <w:vAlign w:val="center"/>
            <w:hideMark/>
          </w:tcPr>
          <w:p w14:paraId="431862CB" w14:textId="2C7E03D5" w:rsidR="00EA63E1" w:rsidRPr="002B0A5B" w:rsidRDefault="00EA63E1" w:rsidP="002B0A5B">
            <w:pPr>
              <w:spacing w:after="0" w:line="276" w:lineRule="auto"/>
              <w:jc w:val="right"/>
              <w:rPr>
                <w:rFonts w:cs="Arial"/>
                <w:b/>
                <w:bCs/>
                <w:sz w:val="16"/>
                <w:szCs w:val="16"/>
              </w:rPr>
            </w:pPr>
            <w:r w:rsidRPr="002B0A5B">
              <w:rPr>
                <w:rFonts w:cs="Arial"/>
                <w:b/>
                <w:bCs/>
                <w:sz w:val="16"/>
                <w:szCs w:val="16"/>
              </w:rPr>
              <w:t>1</w:t>
            </w:r>
            <w:r w:rsidR="004C7FAC">
              <w:rPr>
                <w:rFonts w:cs="Arial"/>
                <w:b/>
                <w:bCs/>
                <w:sz w:val="16"/>
                <w:szCs w:val="16"/>
              </w:rPr>
              <w:t>.</w:t>
            </w:r>
            <w:r w:rsidRPr="002B0A5B">
              <w:rPr>
                <w:rFonts w:cs="Arial"/>
                <w:b/>
                <w:bCs/>
                <w:sz w:val="16"/>
                <w:szCs w:val="16"/>
              </w:rPr>
              <w:t>361,1</w:t>
            </w:r>
          </w:p>
        </w:tc>
        <w:tc>
          <w:tcPr>
            <w:tcW w:w="995" w:type="dxa"/>
            <w:tcBorders>
              <w:bottom w:val="single" w:sz="2" w:space="0" w:color="A6A6A6" w:themeColor="background1" w:themeShade="A6"/>
            </w:tcBorders>
            <w:shd w:val="clear" w:color="000000" w:fill="D9D9D9"/>
            <w:noWrap/>
            <w:vAlign w:val="center"/>
            <w:hideMark/>
          </w:tcPr>
          <w:p w14:paraId="1992D6E5" w14:textId="7965BA33" w:rsidR="00EA63E1" w:rsidRPr="002B0A5B" w:rsidRDefault="00EA63E1" w:rsidP="002B0A5B">
            <w:pPr>
              <w:spacing w:after="0" w:line="276" w:lineRule="auto"/>
              <w:jc w:val="right"/>
              <w:rPr>
                <w:rFonts w:cs="Arial"/>
                <w:b/>
                <w:bCs/>
                <w:sz w:val="16"/>
                <w:szCs w:val="16"/>
              </w:rPr>
            </w:pPr>
            <w:r w:rsidRPr="002B0A5B">
              <w:rPr>
                <w:rFonts w:cs="Arial"/>
                <w:b/>
                <w:bCs/>
                <w:sz w:val="16"/>
                <w:szCs w:val="16"/>
              </w:rPr>
              <w:t>1</w:t>
            </w:r>
            <w:r w:rsidR="004C7FAC">
              <w:rPr>
                <w:rFonts w:cs="Arial"/>
                <w:b/>
                <w:bCs/>
                <w:sz w:val="16"/>
                <w:szCs w:val="16"/>
              </w:rPr>
              <w:t>.</w:t>
            </w:r>
            <w:r w:rsidRPr="002B0A5B">
              <w:rPr>
                <w:rFonts w:cs="Arial"/>
                <w:b/>
                <w:bCs/>
                <w:sz w:val="16"/>
                <w:szCs w:val="16"/>
              </w:rPr>
              <w:t>511,5</w:t>
            </w:r>
          </w:p>
        </w:tc>
        <w:tc>
          <w:tcPr>
            <w:tcW w:w="528" w:type="dxa"/>
            <w:tcBorders>
              <w:bottom w:val="single" w:sz="2" w:space="0" w:color="A6A6A6" w:themeColor="background1" w:themeShade="A6"/>
            </w:tcBorders>
            <w:shd w:val="clear" w:color="000000" w:fill="D9D9D9"/>
            <w:noWrap/>
            <w:vAlign w:val="center"/>
            <w:hideMark/>
          </w:tcPr>
          <w:p w14:paraId="314ADE2B"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11,2</w:t>
            </w:r>
          </w:p>
        </w:tc>
        <w:tc>
          <w:tcPr>
            <w:tcW w:w="617" w:type="dxa"/>
            <w:tcBorders>
              <w:bottom w:val="single" w:sz="2" w:space="0" w:color="A6A6A6" w:themeColor="background1" w:themeShade="A6"/>
            </w:tcBorders>
            <w:shd w:val="clear" w:color="000000" w:fill="D9D9D9"/>
            <w:noWrap/>
            <w:vAlign w:val="center"/>
            <w:hideMark/>
          </w:tcPr>
          <w:p w14:paraId="2039DC55"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159,5</w:t>
            </w:r>
          </w:p>
        </w:tc>
        <w:tc>
          <w:tcPr>
            <w:tcW w:w="528" w:type="dxa"/>
            <w:tcBorders>
              <w:bottom w:val="single" w:sz="2" w:space="0" w:color="A6A6A6" w:themeColor="background1" w:themeShade="A6"/>
            </w:tcBorders>
            <w:shd w:val="clear" w:color="000000" w:fill="D9D9D9"/>
            <w:noWrap/>
            <w:vAlign w:val="center"/>
            <w:hideMark/>
          </w:tcPr>
          <w:p w14:paraId="66C67202"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92,0</w:t>
            </w:r>
          </w:p>
        </w:tc>
        <w:tc>
          <w:tcPr>
            <w:tcW w:w="528" w:type="dxa"/>
            <w:tcBorders>
              <w:bottom w:val="single" w:sz="2" w:space="0" w:color="A6A6A6" w:themeColor="background1" w:themeShade="A6"/>
            </w:tcBorders>
            <w:shd w:val="clear" w:color="000000" w:fill="D9D9D9"/>
            <w:noWrap/>
            <w:vAlign w:val="center"/>
            <w:hideMark/>
          </w:tcPr>
          <w:p w14:paraId="66109B5A"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8,0</w:t>
            </w:r>
          </w:p>
        </w:tc>
        <w:tc>
          <w:tcPr>
            <w:tcW w:w="995" w:type="dxa"/>
            <w:tcBorders>
              <w:bottom w:val="single" w:sz="2" w:space="0" w:color="A6A6A6" w:themeColor="background1" w:themeShade="A6"/>
            </w:tcBorders>
            <w:shd w:val="clear" w:color="000000" w:fill="D9D9D9"/>
            <w:noWrap/>
            <w:vAlign w:val="center"/>
            <w:hideMark/>
          </w:tcPr>
          <w:p w14:paraId="2624C9BA"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270,7</w:t>
            </w:r>
          </w:p>
        </w:tc>
      </w:tr>
      <w:tr w:rsidR="00EA63E1" w:rsidRPr="00EA63E1" w14:paraId="0D6E58AC" w14:textId="77777777" w:rsidTr="00E62489">
        <w:trPr>
          <w:cantSplit/>
          <w:trHeight w:val="227"/>
          <w:jc w:val="center"/>
        </w:trPr>
        <w:tc>
          <w:tcPr>
            <w:tcW w:w="3499" w:type="dxa"/>
            <w:tcBorders>
              <w:top w:val="single" w:sz="2" w:space="0" w:color="A6A6A6" w:themeColor="background1" w:themeShade="A6"/>
              <w:bottom w:val="single" w:sz="2" w:space="0" w:color="A6A6A6" w:themeColor="background1" w:themeShade="A6"/>
            </w:tcBorders>
            <w:shd w:val="clear" w:color="auto" w:fill="D5DCE4"/>
            <w:noWrap/>
            <w:vAlign w:val="center"/>
            <w:hideMark/>
          </w:tcPr>
          <w:p w14:paraId="7823A936" w14:textId="1E68985A" w:rsidR="00EA63E1" w:rsidRPr="00EA63E1" w:rsidRDefault="00B42E68" w:rsidP="002B0A5B">
            <w:pPr>
              <w:spacing w:after="0" w:line="276" w:lineRule="auto"/>
              <w:jc w:val="left"/>
              <w:rPr>
                <w:rFonts w:cs="Arial"/>
                <w:b/>
                <w:bCs/>
                <w:sz w:val="16"/>
                <w:szCs w:val="16"/>
              </w:rPr>
            </w:pPr>
            <w:r w:rsidRPr="00EA63E1">
              <w:rPr>
                <w:rFonts w:cs="Arial"/>
                <w:b/>
                <w:bCs/>
                <w:sz w:val="16"/>
                <w:szCs w:val="16"/>
              </w:rPr>
              <w:t>Ακίνητα</w:t>
            </w:r>
          </w:p>
        </w:tc>
        <w:tc>
          <w:tcPr>
            <w:tcW w:w="3418" w:type="dxa"/>
            <w:gridSpan w:val="5"/>
            <w:tcBorders>
              <w:top w:val="single" w:sz="2" w:space="0" w:color="A6A6A6" w:themeColor="background1" w:themeShade="A6"/>
              <w:bottom w:val="single" w:sz="2" w:space="0" w:color="A6A6A6" w:themeColor="background1" w:themeShade="A6"/>
            </w:tcBorders>
            <w:shd w:val="clear" w:color="auto" w:fill="D5DCE4"/>
            <w:noWrap/>
            <w:vAlign w:val="center"/>
            <w:hideMark/>
          </w:tcPr>
          <w:p w14:paraId="0B1F7AA6" w14:textId="3D294F91" w:rsidR="00EA63E1" w:rsidRPr="002B0A5B" w:rsidRDefault="00EA63E1" w:rsidP="002B0A5B">
            <w:pPr>
              <w:spacing w:after="0" w:line="276" w:lineRule="auto"/>
              <w:jc w:val="right"/>
              <w:rPr>
                <w:rFonts w:cs="Arial"/>
                <w:sz w:val="16"/>
                <w:szCs w:val="16"/>
              </w:rPr>
            </w:pPr>
          </w:p>
        </w:tc>
        <w:tc>
          <w:tcPr>
            <w:tcW w:w="3196" w:type="dxa"/>
            <w:gridSpan w:val="5"/>
            <w:tcBorders>
              <w:top w:val="single" w:sz="2" w:space="0" w:color="A6A6A6" w:themeColor="background1" w:themeShade="A6"/>
              <w:bottom w:val="single" w:sz="2" w:space="0" w:color="A6A6A6" w:themeColor="background1" w:themeShade="A6"/>
            </w:tcBorders>
            <w:shd w:val="clear" w:color="auto" w:fill="D5DCE4"/>
            <w:noWrap/>
            <w:vAlign w:val="center"/>
            <w:hideMark/>
          </w:tcPr>
          <w:p w14:paraId="51B0F9DC" w14:textId="74DE3C46" w:rsidR="00EA63E1" w:rsidRPr="002B0A5B" w:rsidRDefault="00EA63E1" w:rsidP="002B0A5B">
            <w:pPr>
              <w:spacing w:after="0" w:line="276" w:lineRule="auto"/>
              <w:jc w:val="right"/>
              <w:rPr>
                <w:rFonts w:cs="Arial"/>
                <w:sz w:val="16"/>
                <w:szCs w:val="16"/>
              </w:rPr>
            </w:pPr>
          </w:p>
        </w:tc>
      </w:tr>
      <w:tr w:rsidR="00EA63E1" w:rsidRPr="00EA63E1" w14:paraId="22311445" w14:textId="77777777" w:rsidTr="00E62489">
        <w:trPr>
          <w:cantSplit/>
          <w:trHeight w:val="227"/>
          <w:jc w:val="center"/>
        </w:trPr>
        <w:tc>
          <w:tcPr>
            <w:tcW w:w="3499" w:type="dxa"/>
            <w:tcBorders>
              <w:top w:val="single" w:sz="2" w:space="0" w:color="A6A6A6" w:themeColor="background1" w:themeShade="A6"/>
            </w:tcBorders>
            <w:shd w:val="clear" w:color="auto" w:fill="auto"/>
            <w:noWrap/>
            <w:vAlign w:val="center"/>
            <w:hideMark/>
          </w:tcPr>
          <w:p w14:paraId="5D4C799A" w14:textId="06747166" w:rsidR="00EA63E1" w:rsidRPr="00EA63E1" w:rsidRDefault="00EA63E1" w:rsidP="002B0A5B">
            <w:pPr>
              <w:spacing w:after="0" w:line="276" w:lineRule="auto"/>
              <w:jc w:val="left"/>
              <w:rPr>
                <w:rFonts w:cs="Arial"/>
                <w:sz w:val="16"/>
                <w:szCs w:val="16"/>
              </w:rPr>
            </w:pPr>
            <w:r w:rsidRPr="00EA63E1">
              <w:rPr>
                <w:rFonts w:cs="Arial"/>
                <w:sz w:val="16"/>
                <w:szCs w:val="16"/>
              </w:rPr>
              <w:t>E-</w:t>
            </w:r>
            <w:r w:rsidR="00CB2C72">
              <w:rPr>
                <w:rFonts w:cs="Arial"/>
                <w:sz w:val="16"/>
                <w:szCs w:val="16"/>
                <w:lang w:val="en-US"/>
              </w:rPr>
              <w:t>A</w:t>
            </w:r>
            <w:r w:rsidRPr="00EA63E1">
              <w:rPr>
                <w:rFonts w:cs="Arial"/>
                <w:sz w:val="16"/>
                <w:szCs w:val="16"/>
              </w:rPr>
              <w:t>uction I - X</w:t>
            </w:r>
          </w:p>
        </w:tc>
        <w:tc>
          <w:tcPr>
            <w:tcW w:w="528" w:type="dxa"/>
            <w:tcBorders>
              <w:top w:val="single" w:sz="2" w:space="0" w:color="A6A6A6" w:themeColor="background1" w:themeShade="A6"/>
            </w:tcBorders>
            <w:shd w:val="clear" w:color="000000" w:fill="FFFFFF"/>
            <w:noWrap/>
            <w:vAlign w:val="center"/>
            <w:hideMark/>
          </w:tcPr>
          <w:p w14:paraId="59E1EED9" w14:textId="0CBB3807" w:rsidR="00EA63E1" w:rsidRPr="002B0A5B" w:rsidRDefault="00EA63E1" w:rsidP="002B0A5B">
            <w:pPr>
              <w:spacing w:after="0" w:line="276" w:lineRule="auto"/>
              <w:jc w:val="right"/>
              <w:rPr>
                <w:rFonts w:cs="Arial"/>
                <w:sz w:val="16"/>
                <w:szCs w:val="16"/>
              </w:rPr>
            </w:pPr>
          </w:p>
        </w:tc>
        <w:tc>
          <w:tcPr>
            <w:tcW w:w="617" w:type="dxa"/>
            <w:tcBorders>
              <w:top w:val="single" w:sz="2" w:space="0" w:color="A6A6A6" w:themeColor="background1" w:themeShade="A6"/>
            </w:tcBorders>
            <w:shd w:val="clear" w:color="auto" w:fill="auto"/>
            <w:noWrap/>
            <w:vAlign w:val="center"/>
            <w:hideMark/>
          </w:tcPr>
          <w:p w14:paraId="4B94D5DF" w14:textId="77777777" w:rsidR="00EA63E1" w:rsidRPr="002B0A5B" w:rsidRDefault="00EA63E1" w:rsidP="002B0A5B">
            <w:pPr>
              <w:spacing w:after="0" w:line="276" w:lineRule="auto"/>
              <w:jc w:val="right"/>
              <w:rPr>
                <w:rFonts w:cs="Arial"/>
                <w:sz w:val="16"/>
                <w:szCs w:val="16"/>
              </w:rPr>
            </w:pPr>
            <w:r w:rsidRPr="002B0A5B">
              <w:rPr>
                <w:rFonts w:cs="Arial"/>
                <w:sz w:val="16"/>
                <w:szCs w:val="16"/>
              </w:rPr>
              <w:t>1,2</w:t>
            </w:r>
          </w:p>
        </w:tc>
        <w:tc>
          <w:tcPr>
            <w:tcW w:w="528" w:type="dxa"/>
            <w:tcBorders>
              <w:top w:val="single" w:sz="2" w:space="0" w:color="A6A6A6" w:themeColor="background1" w:themeShade="A6"/>
            </w:tcBorders>
            <w:shd w:val="clear" w:color="auto" w:fill="auto"/>
            <w:noWrap/>
            <w:vAlign w:val="center"/>
            <w:hideMark/>
          </w:tcPr>
          <w:p w14:paraId="27DD9A17" w14:textId="05611BEB" w:rsidR="00EA63E1" w:rsidRPr="002B0A5B" w:rsidRDefault="00EA63E1" w:rsidP="002B0A5B">
            <w:pPr>
              <w:spacing w:after="0" w:line="276" w:lineRule="auto"/>
              <w:jc w:val="right"/>
              <w:rPr>
                <w:rFonts w:cs="Arial"/>
                <w:sz w:val="16"/>
                <w:szCs w:val="16"/>
              </w:rPr>
            </w:pPr>
          </w:p>
        </w:tc>
        <w:tc>
          <w:tcPr>
            <w:tcW w:w="750" w:type="dxa"/>
            <w:tcBorders>
              <w:top w:val="single" w:sz="2" w:space="0" w:color="A6A6A6" w:themeColor="background1" w:themeShade="A6"/>
            </w:tcBorders>
            <w:shd w:val="clear" w:color="000000" w:fill="FFFFFF"/>
            <w:noWrap/>
            <w:vAlign w:val="center"/>
            <w:hideMark/>
          </w:tcPr>
          <w:p w14:paraId="7B6D222B" w14:textId="77777777" w:rsidR="00EA63E1" w:rsidRPr="002B0A5B" w:rsidRDefault="00EA63E1" w:rsidP="002B0A5B">
            <w:pPr>
              <w:spacing w:after="0" w:line="276" w:lineRule="auto"/>
              <w:jc w:val="right"/>
              <w:rPr>
                <w:rFonts w:cs="Arial"/>
                <w:sz w:val="16"/>
                <w:szCs w:val="16"/>
              </w:rPr>
            </w:pPr>
            <w:r w:rsidRPr="002B0A5B">
              <w:rPr>
                <w:rFonts w:cs="Arial"/>
                <w:sz w:val="16"/>
                <w:szCs w:val="16"/>
              </w:rPr>
              <w:t>3,3</w:t>
            </w:r>
          </w:p>
        </w:tc>
        <w:tc>
          <w:tcPr>
            <w:tcW w:w="995" w:type="dxa"/>
            <w:tcBorders>
              <w:top w:val="single" w:sz="2" w:space="0" w:color="A6A6A6" w:themeColor="background1" w:themeShade="A6"/>
            </w:tcBorders>
            <w:shd w:val="clear" w:color="000000" w:fill="D9D9D9"/>
            <w:noWrap/>
            <w:vAlign w:val="center"/>
            <w:hideMark/>
          </w:tcPr>
          <w:p w14:paraId="24C4C635"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4,5</w:t>
            </w:r>
          </w:p>
        </w:tc>
        <w:tc>
          <w:tcPr>
            <w:tcW w:w="528" w:type="dxa"/>
            <w:tcBorders>
              <w:top w:val="single" w:sz="2" w:space="0" w:color="A6A6A6" w:themeColor="background1" w:themeShade="A6"/>
            </w:tcBorders>
            <w:shd w:val="clear" w:color="auto" w:fill="auto"/>
            <w:noWrap/>
            <w:vAlign w:val="center"/>
            <w:hideMark/>
          </w:tcPr>
          <w:p w14:paraId="2BF49906" w14:textId="7978C2C3" w:rsidR="00EA63E1" w:rsidRPr="002B0A5B" w:rsidRDefault="00EA63E1" w:rsidP="002B0A5B">
            <w:pPr>
              <w:spacing w:after="0" w:line="276" w:lineRule="auto"/>
              <w:jc w:val="right"/>
              <w:rPr>
                <w:rFonts w:cs="Arial"/>
                <w:sz w:val="16"/>
                <w:szCs w:val="16"/>
              </w:rPr>
            </w:pPr>
          </w:p>
        </w:tc>
        <w:tc>
          <w:tcPr>
            <w:tcW w:w="617" w:type="dxa"/>
            <w:tcBorders>
              <w:top w:val="single" w:sz="2" w:space="0" w:color="A6A6A6" w:themeColor="background1" w:themeShade="A6"/>
            </w:tcBorders>
            <w:shd w:val="clear" w:color="auto" w:fill="auto"/>
            <w:noWrap/>
            <w:vAlign w:val="center"/>
            <w:hideMark/>
          </w:tcPr>
          <w:p w14:paraId="619F56BE" w14:textId="28D49C1E" w:rsidR="00EA63E1" w:rsidRPr="002B0A5B" w:rsidRDefault="00EA63E1" w:rsidP="002B0A5B">
            <w:pPr>
              <w:spacing w:after="0" w:line="276" w:lineRule="auto"/>
              <w:jc w:val="right"/>
              <w:rPr>
                <w:rFonts w:cs="Arial"/>
                <w:sz w:val="16"/>
                <w:szCs w:val="16"/>
              </w:rPr>
            </w:pPr>
          </w:p>
        </w:tc>
        <w:tc>
          <w:tcPr>
            <w:tcW w:w="528" w:type="dxa"/>
            <w:tcBorders>
              <w:top w:val="single" w:sz="2" w:space="0" w:color="A6A6A6" w:themeColor="background1" w:themeShade="A6"/>
            </w:tcBorders>
            <w:shd w:val="clear" w:color="auto" w:fill="auto"/>
            <w:noWrap/>
            <w:vAlign w:val="center"/>
            <w:hideMark/>
          </w:tcPr>
          <w:p w14:paraId="38CF8F84" w14:textId="7F75E650" w:rsidR="00EA63E1" w:rsidRPr="002B0A5B" w:rsidRDefault="00EA63E1" w:rsidP="002B0A5B">
            <w:pPr>
              <w:spacing w:after="0" w:line="276" w:lineRule="auto"/>
              <w:jc w:val="right"/>
              <w:rPr>
                <w:rFonts w:cs="Arial"/>
                <w:sz w:val="16"/>
                <w:szCs w:val="16"/>
              </w:rPr>
            </w:pPr>
          </w:p>
        </w:tc>
        <w:tc>
          <w:tcPr>
            <w:tcW w:w="528" w:type="dxa"/>
            <w:tcBorders>
              <w:top w:val="single" w:sz="2" w:space="0" w:color="A6A6A6" w:themeColor="background1" w:themeShade="A6"/>
            </w:tcBorders>
            <w:shd w:val="clear" w:color="auto" w:fill="auto"/>
            <w:noWrap/>
            <w:vAlign w:val="center"/>
            <w:hideMark/>
          </w:tcPr>
          <w:p w14:paraId="0DC1824A" w14:textId="77777777" w:rsidR="00EA63E1" w:rsidRPr="002B0A5B" w:rsidRDefault="00EA63E1" w:rsidP="002B0A5B">
            <w:pPr>
              <w:spacing w:after="0" w:line="276" w:lineRule="auto"/>
              <w:jc w:val="right"/>
              <w:rPr>
                <w:rFonts w:cs="Arial"/>
                <w:sz w:val="16"/>
                <w:szCs w:val="16"/>
              </w:rPr>
            </w:pPr>
            <w:r w:rsidRPr="002B0A5B">
              <w:rPr>
                <w:rFonts w:cs="Arial"/>
                <w:sz w:val="16"/>
                <w:szCs w:val="16"/>
              </w:rPr>
              <w:t>4,5</w:t>
            </w:r>
          </w:p>
        </w:tc>
        <w:tc>
          <w:tcPr>
            <w:tcW w:w="995" w:type="dxa"/>
            <w:tcBorders>
              <w:top w:val="single" w:sz="2" w:space="0" w:color="A6A6A6" w:themeColor="background1" w:themeShade="A6"/>
            </w:tcBorders>
            <w:shd w:val="clear" w:color="000000" w:fill="D9D9D9"/>
            <w:noWrap/>
            <w:vAlign w:val="center"/>
            <w:hideMark/>
          </w:tcPr>
          <w:p w14:paraId="53B0015C"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4,5</w:t>
            </w:r>
          </w:p>
        </w:tc>
      </w:tr>
      <w:tr w:rsidR="00EA63E1" w:rsidRPr="00EA63E1" w14:paraId="30E20EE9" w14:textId="77777777" w:rsidTr="00E62489">
        <w:trPr>
          <w:cantSplit/>
          <w:trHeight w:val="227"/>
          <w:jc w:val="center"/>
        </w:trPr>
        <w:tc>
          <w:tcPr>
            <w:tcW w:w="3499" w:type="dxa"/>
            <w:shd w:val="clear" w:color="auto" w:fill="auto"/>
            <w:noWrap/>
            <w:vAlign w:val="center"/>
            <w:hideMark/>
          </w:tcPr>
          <w:p w14:paraId="4FE3597B" w14:textId="524D9973" w:rsidR="00EA63E1" w:rsidRPr="00EA63E1" w:rsidRDefault="00EA63E1" w:rsidP="002B0A5B">
            <w:pPr>
              <w:spacing w:after="0" w:line="276" w:lineRule="auto"/>
              <w:jc w:val="left"/>
              <w:rPr>
                <w:rFonts w:cs="Arial"/>
                <w:sz w:val="16"/>
                <w:szCs w:val="16"/>
              </w:rPr>
            </w:pPr>
            <w:r w:rsidRPr="00EA63E1">
              <w:rPr>
                <w:rFonts w:cs="Arial"/>
                <w:sz w:val="16"/>
                <w:szCs w:val="16"/>
              </w:rPr>
              <w:t>Σ</w:t>
            </w:r>
            <w:r w:rsidR="00CB2C72">
              <w:rPr>
                <w:rFonts w:cs="Arial"/>
                <w:sz w:val="16"/>
                <w:szCs w:val="16"/>
              </w:rPr>
              <w:t>ά</w:t>
            </w:r>
            <w:r w:rsidRPr="00EA63E1">
              <w:rPr>
                <w:rFonts w:cs="Arial"/>
                <w:sz w:val="16"/>
                <w:szCs w:val="16"/>
              </w:rPr>
              <w:t>νη (Βόρειο Τμήμα)</w:t>
            </w:r>
          </w:p>
        </w:tc>
        <w:tc>
          <w:tcPr>
            <w:tcW w:w="528" w:type="dxa"/>
            <w:shd w:val="clear" w:color="auto" w:fill="auto"/>
            <w:noWrap/>
            <w:vAlign w:val="center"/>
            <w:hideMark/>
          </w:tcPr>
          <w:p w14:paraId="5FECA949" w14:textId="69118CD6"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15273B0D" w14:textId="6154DEA8"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1D1119EC" w14:textId="0FEEC8F9" w:rsidR="00EA63E1" w:rsidRPr="002B0A5B" w:rsidRDefault="00EA63E1" w:rsidP="002B0A5B">
            <w:pPr>
              <w:spacing w:after="0" w:line="276" w:lineRule="auto"/>
              <w:jc w:val="right"/>
              <w:rPr>
                <w:rFonts w:cs="Arial"/>
                <w:sz w:val="16"/>
                <w:szCs w:val="16"/>
              </w:rPr>
            </w:pPr>
          </w:p>
        </w:tc>
        <w:tc>
          <w:tcPr>
            <w:tcW w:w="750" w:type="dxa"/>
            <w:shd w:val="clear" w:color="auto" w:fill="auto"/>
            <w:noWrap/>
            <w:vAlign w:val="center"/>
            <w:hideMark/>
          </w:tcPr>
          <w:p w14:paraId="341C2F0D" w14:textId="77777777" w:rsidR="00EA63E1" w:rsidRPr="002B0A5B" w:rsidRDefault="00EA63E1" w:rsidP="002B0A5B">
            <w:pPr>
              <w:spacing w:after="0" w:line="276" w:lineRule="auto"/>
              <w:jc w:val="right"/>
              <w:rPr>
                <w:rFonts w:cs="Arial"/>
                <w:sz w:val="16"/>
                <w:szCs w:val="16"/>
              </w:rPr>
            </w:pPr>
            <w:r w:rsidRPr="002B0A5B">
              <w:rPr>
                <w:rFonts w:cs="Arial"/>
                <w:sz w:val="16"/>
                <w:szCs w:val="16"/>
              </w:rPr>
              <w:t>4,0</w:t>
            </w:r>
          </w:p>
        </w:tc>
        <w:tc>
          <w:tcPr>
            <w:tcW w:w="995" w:type="dxa"/>
            <w:shd w:val="clear" w:color="000000" w:fill="D9D9D9"/>
            <w:noWrap/>
            <w:vAlign w:val="center"/>
            <w:hideMark/>
          </w:tcPr>
          <w:p w14:paraId="3845E808"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4,0</w:t>
            </w:r>
          </w:p>
        </w:tc>
        <w:tc>
          <w:tcPr>
            <w:tcW w:w="528" w:type="dxa"/>
            <w:shd w:val="clear" w:color="auto" w:fill="auto"/>
            <w:noWrap/>
            <w:vAlign w:val="center"/>
            <w:hideMark/>
          </w:tcPr>
          <w:p w14:paraId="6CE33A5E" w14:textId="56A0A82F"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64432294" w14:textId="6C6107F6"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7E928079" w14:textId="617B4FFE"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555793B2" w14:textId="52B8A534"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1BCA09AE"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4540EBEA" w14:textId="77777777" w:rsidTr="00E62489">
        <w:trPr>
          <w:cantSplit/>
          <w:trHeight w:val="227"/>
          <w:jc w:val="center"/>
        </w:trPr>
        <w:tc>
          <w:tcPr>
            <w:tcW w:w="3499" w:type="dxa"/>
            <w:shd w:val="clear" w:color="000000" w:fill="FFFFFF"/>
            <w:noWrap/>
            <w:vAlign w:val="center"/>
            <w:hideMark/>
          </w:tcPr>
          <w:p w14:paraId="6B62CB0C" w14:textId="6B879AC0" w:rsidR="00EA63E1" w:rsidRPr="00EA63E1" w:rsidRDefault="00EA63E1" w:rsidP="002B0A5B">
            <w:pPr>
              <w:spacing w:after="0" w:line="276" w:lineRule="auto"/>
              <w:jc w:val="left"/>
              <w:rPr>
                <w:rFonts w:cs="Arial"/>
                <w:sz w:val="16"/>
                <w:szCs w:val="16"/>
              </w:rPr>
            </w:pPr>
            <w:r w:rsidRPr="00EA63E1">
              <w:rPr>
                <w:rFonts w:cs="Arial"/>
                <w:sz w:val="16"/>
                <w:szCs w:val="16"/>
              </w:rPr>
              <w:t>Γούρνες Ηρ</w:t>
            </w:r>
            <w:r w:rsidR="00CB2C72">
              <w:rPr>
                <w:rFonts w:cs="Arial"/>
                <w:sz w:val="16"/>
                <w:szCs w:val="16"/>
              </w:rPr>
              <w:t>α</w:t>
            </w:r>
            <w:r w:rsidRPr="00EA63E1">
              <w:rPr>
                <w:rFonts w:cs="Arial"/>
                <w:sz w:val="16"/>
                <w:szCs w:val="16"/>
              </w:rPr>
              <w:t>κλε</w:t>
            </w:r>
            <w:r w:rsidR="00CB2C72">
              <w:rPr>
                <w:rFonts w:cs="Arial"/>
                <w:sz w:val="16"/>
                <w:szCs w:val="16"/>
              </w:rPr>
              <w:t>ίου</w:t>
            </w:r>
          </w:p>
        </w:tc>
        <w:tc>
          <w:tcPr>
            <w:tcW w:w="528" w:type="dxa"/>
            <w:shd w:val="clear" w:color="auto" w:fill="auto"/>
            <w:noWrap/>
            <w:vAlign w:val="center"/>
            <w:hideMark/>
          </w:tcPr>
          <w:p w14:paraId="4814735C" w14:textId="77777777" w:rsidR="00EA63E1" w:rsidRPr="002B0A5B" w:rsidRDefault="00EA63E1" w:rsidP="002B0A5B">
            <w:pPr>
              <w:spacing w:after="0" w:line="276" w:lineRule="auto"/>
              <w:jc w:val="right"/>
              <w:rPr>
                <w:rFonts w:cs="Arial"/>
                <w:sz w:val="16"/>
                <w:szCs w:val="16"/>
              </w:rPr>
            </w:pPr>
            <w:r w:rsidRPr="002B0A5B">
              <w:rPr>
                <w:rFonts w:cs="Arial"/>
                <w:sz w:val="16"/>
                <w:szCs w:val="16"/>
              </w:rPr>
              <w:t>7,1</w:t>
            </w:r>
          </w:p>
        </w:tc>
        <w:tc>
          <w:tcPr>
            <w:tcW w:w="617" w:type="dxa"/>
            <w:shd w:val="clear" w:color="auto" w:fill="auto"/>
            <w:noWrap/>
            <w:vAlign w:val="center"/>
            <w:hideMark/>
          </w:tcPr>
          <w:p w14:paraId="539A6EC1" w14:textId="77777777" w:rsidR="00EA63E1" w:rsidRPr="002B0A5B" w:rsidRDefault="00EA63E1" w:rsidP="002B0A5B">
            <w:pPr>
              <w:spacing w:after="0" w:line="276" w:lineRule="auto"/>
              <w:jc w:val="right"/>
              <w:rPr>
                <w:rFonts w:cs="Arial"/>
                <w:sz w:val="16"/>
                <w:szCs w:val="16"/>
              </w:rPr>
            </w:pPr>
            <w:r w:rsidRPr="002B0A5B">
              <w:rPr>
                <w:rFonts w:cs="Arial"/>
                <w:sz w:val="16"/>
                <w:szCs w:val="16"/>
              </w:rPr>
              <w:t>7,0</w:t>
            </w:r>
          </w:p>
        </w:tc>
        <w:tc>
          <w:tcPr>
            <w:tcW w:w="528" w:type="dxa"/>
            <w:shd w:val="clear" w:color="auto" w:fill="auto"/>
            <w:noWrap/>
            <w:vAlign w:val="center"/>
            <w:hideMark/>
          </w:tcPr>
          <w:p w14:paraId="6697D640" w14:textId="10A6A53E" w:rsidR="00EA63E1" w:rsidRPr="002B0A5B" w:rsidRDefault="00EA63E1" w:rsidP="002B0A5B">
            <w:pPr>
              <w:spacing w:after="0" w:line="276" w:lineRule="auto"/>
              <w:jc w:val="right"/>
              <w:rPr>
                <w:rFonts w:cs="Arial"/>
                <w:sz w:val="16"/>
                <w:szCs w:val="16"/>
              </w:rPr>
            </w:pPr>
          </w:p>
        </w:tc>
        <w:tc>
          <w:tcPr>
            <w:tcW w:w="750" w:type="dxa"/>
            <w:shd w:val="clear" w:color="auto" w:fill="auto"/>
            <w:noWrap/>
            <w:vAlign w:val="center"/>
            <w:hideMark/>
          </w:tcPr>
          <w:p w14:paraId="6A0343EB" w14:textId="641DFDD5"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1A517314"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14,1</w:t>
            </w:r>
          </w:p>
        </w:tc>
        <w:tc>
          <w:tcPr>
            <w:tcW w:w="528" w:type="dxa"/>
            <w:shd w:val="clear" w:color="auto" w:fill="auto"/>
            <w:noWrap/>
            <w:vAlign w:val="center"/>
            <w:hideMark/>
          </w:tcPr>
          <w:p w14:paraId="41B87E89" w14:textId="6D9FCB10"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5DDB376B" w14:textId="263E1A3A"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3DE9E20E" w14:textId="3780EED3"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5092194A" w14:textId="6856E0A1"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0FE0FC6F"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6B27BAD7" w14:textId="77777777" w:rsidTr="00E62489">
        <w:trPr>
          <w:cantSplit/>
          <w:trHeight w:val="227"/>
          <w:jc w:val="center"/>
        </w:trPr>
        <w:tc>
          <w:tcPr>
            <w:tcW w:w="3499" w:type="dxa"/>
            <w:shd w:val="clear" w:color="auto" w:fill="auto"/>
            <w:noWrap/>
            <w:vAlign w:val="center"/>
            <w:hideMark/>
          </w:tcPr>
          <w:p w14:paraId="66A755AF" w14:textId="367E4818" w:rsidR="00EA63E1" w:rsidRPr="00EA63E1" w:rsidRDefault="00EA63E1" w:rsidP="002B0A5B">
            <w:pPr>
              <w:spacing w:after="0" w:line="276" w:lineRule="auto"/>
              <w:jc w:val="left"/>
              <w:rPr>
                <w:rFonts w:cs="Arial"/>
                <w:sz w:val="16"/>
                <w:szCs w:val="16"/>
              </w:rPr>
            </w:pPr>
            <w:r w:rsidRPr="00EA63E1">
              <w:rPr>
                <w:rFonts w:cs="Arial"/>
                <w:sz w:val="16"/>
                <w:szCs w:val="16"/>
              </w:rPr>
              <w:t>Πηγές Καμ</w:t>
            </w:r>
            <w:r w:rsidR="008A0157">
              <w:rPr>
                <w:rFonts w:cs="Arial"/>
                <w:sz w:val="16"/>
                <w:szCs w:val="16"/>
              </w:rPr>
              <w:t>έ</w:t>
            </w:r>
            <w:r w:rsidRPr="00EA63E1">
              <w:rPr>
                <w:rFonts w:cs="Arial"/>
                <w:sz w:val="16"/>
                <w:szCs w:val="16"/>
              </w:rPr>
              <w:t>να Βούρλα</w:t>
            </w:r>
          </w:p>
        </w:tc>
        <w:tc>
          <w:tcPr>
            <w:tcW w:w="528" w:type="dxa"/>
            <w:shd w:val="clear" w:color="auto" w:fill="auto"/>
            <w:noWrap/>
            <w:vAlign w:val="center"/>
            <w:hideMark/>
          </w:tcPr>
          <w:p w14:paraId="3C8F0712" w14:textId="67F4615E"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560F17FA" w14:textId="25484E08"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1C17B4E1" w14:textId="61E65E8C" w:rsidR="00EA63E1" w:rsidRPr="002B0A5B" w:rsidRDefault="00EA63E1" w:rsidP="002B0A5B">
            <w:pPr>
              <w:spacing w:after="0" w:line="276" w:lineRule="auto"/>
              <w:jc w:val="right"/>
              <w:rPr>
                <w:rFonts w:cs="Arial"/>
                <w:sz w:val="16"/>
                <w:szCs w:val="16"/>
              </w:rPr>
            </w:pPr>
          </w:p>
        </w:tc>
        <w:tc>
          <w:tcPr>
            <w:tcW w:w="750" w:type="dxa"/>
            <w:shd w:val="clear" w:color="auto" w:fill="auto"/>
            <w:noWrap/>
            <w:vAlign w:val="center"/>
            <w:hideMark/>
          </w:tcPr>
          <w:p w14:paraId="5482D429" w14:textId="77777777" w:rsidR="00EA63E1" w:rsidRPr="002B0A5B" w:rsidRDefault="00EA63E1" w:rsidP="002B0A5B">
            <w:pPr>
              <w:spacing w:after="0" w:line="276" w:lineRule="auto"/>
              <w:jc w:val="right"/>
              <w:rPr>
                <w:rFonts w:cs="Arial"/>
                <w:sz w:val="16"/>
                <w:szCs w:val="16"/>
              </w:rPr>
            </w:pPr>
            <w:r w:rsidRPr="002B0A5B">
              <w:rPr>
                <w:rFonts w:cs="Arial"/>
                <w:sz w:val="16"/>
                <w:szCs w:val="16"/>
              </w:rPr>
              <w:t>4,3</w:t>
            </w:r>
          </w:p>
        </w:tc>
        <w:tc>
          <w:tcPr>
            <w:tcW w:w="995" w:type="dxa"/>
            <w:shd w:val="clear" w:color="000000" w:fill="D9D9D9"/>
            <w:noWrap/>
            <w:vAlign w:val="center"/>
            <w:hideMark/>
          </w:tcPr>
          <w:p w14:paraId="3A11FA1E"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4,3</w:t>
            </w:r>
          </w:p>
        </w:tc>
        <w:tc>
          <w:tcPr>
            <w:tcW w:w="528" w:type="dxa"/>
            <w:shd w:val="clear" w:color="auto" w:fill="auto"/>
            <w:noWrap/>
            <w:vAlign w:val="center"/>
            <w:hideMark/>
          </w:tcPr>
          <w:p w14:paraId="5EB526D7" w14:textId="5DC6124D"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669FED0E" w14:textId="12B8EDF7"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205621F5" w14:textId="5B8DD5F9"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23616EC0" w14:textId="77777777" w:rsidR="00EA63E1" w:rsidRPr="002B0A5B" w:rsidRDefault="00EA63E1" w:rsidP="002B0A5B">
            <w:pPr>
              <w:spacing w:after="0" w:line="276" w:lineRule="auto"/>
              <w:jc w:val="right"/>
              <w:rPr>
                <w:rFonts w:cs="Arial"/>
                <w:sz w:val="16"/>
                <w:szCs w:val="16"/>
              </w:rPr>
            </w:pPr>
            <w:r w:rsidRPr="002B0A5B">
              <w:rPr>
                <w:rFonts w:cs="Arial"/>
                <w:sz w:val="16"/>
                <w:szCs w:val="16"/>
              </w:rPr>
              <w:t>2,0</w:t>
            </w:r>
          </w:p>
        </w:tc>
        <w:tc>
          <w:tcPr>
            <w:tcW w:w="995" w:type="dxa"/>
            <w:shd w:val="clear" w:color="000000" w:fill="D9D9D9"/>
            <w:noWrap/>
            <w:vAlign w:val="center"/>
            <w:hideMark/>
          </w:tcPr>
          <w:p w14:paraId="6BE27ECF"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2,0</w:t>
            </w:r>
          </w:p>
        </w:tc>
      </w:tr>
      <w:tr w:rsidR="00EA63E1" w:rsidRPr="00EA63E1" w14:paraId="259E6286" w14:textId="77777777" w:rsidTr="00E62489">
        <w:trPr>
          <w:cantSplit/>
          <w:trHeight w:val="227"/>
          <w:jc w:val="center"/>
        </w:trPr>
        <w:tc>
          <w:tcPr>
            <w:tcW w:w="3499" w:type="dxa"/>
            <w:shd w:val="clear" w:color="auto" w:fill="auto"/>
            <w:noWrap/>
            <w:vAlign w:val="center"/>
            <w:hideMark/>
          </w:tcPr>
          <w:p w14:paraId="6E37BCD1" w14:textId="02454540" w:rsidR="00EA63E1" w:rsidRPr="00EA63E1" w:rsidRDefault="00EA63E1" w:rsidP="002B0A5B">
            <w:pPr>
              <w:spacing w:after="0" w:line="276" w:lineRule="auto"/>
              <w:jc w:val="left"/>
              <w:rPr>
                <w:rFonts w:cs="Arial"/>
                <w:sz w:val="16"/>
                <w:szCs w:val="16"/>
              </w:rPr>
            </w:pPr>
            <w:r w:rsidRPr="00EA63E1">
              <w:rPr>
                <w:rFonts w:cs="Arial"/>
                <w:sz w:val="16"/>
                <w:szCs w:val="16"/>
              </w:rPr>
              <w:t>Camping Κα</w:t>
            </w:r>
            <w:r w:rsidR="00CB2C72">
              <w:rPr>
                <w:rFonts w:cs="Arial"/>
                <w:sz w:val="16"/>
                <w:szCs w:val="16"/>
              </w:rPr>
              <w:t>μ</w:t>
            </w:r>
            <w:r w:rsidRPr="00EA63E1">
              <w:rPr>
                <w:rFonts w:cs="Arial"/>
                <w:sz w:val="16"/>
                <w:szCs w:val="16"/>
              </w:rPr>
              <w:t>ένα Βούρλα</w:t>
            </w:r>
          </w:p>
        </w:tc>
        <w:tc>
          <w:tcPr>
            <w:tcW w:w="528" w:type="dxa"/>
            <w:shd w:val="clear" w:color="auto" w:fill="auto"/>
            <w:noWrap/>
            <w:vAlign w:val="center"/>
            <w:hideMark/>
          </w:tcPr>
          <w:p w14:paraId="6B53A1B9" w14:textId="6B56A8F7"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02702388" w14:textId="769D0111"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230FCC7C" w14:textId="003ED467" w:rsidR="00EA63E1" w:rsidRPr="002B0A5B" w:rsidRDefault="00EA63E1" w:rsidP="002B0A5B">
            <w:pPr>
              <w:spacing w:after="0" w:line="276" w:lineRule="auto"/>
              <w:jc w:val="right"/>
              <w:rPr>
                <w:rFonts w:cs="Arial"/>
                <w:sz w:val="16"/>
                <w:szCs w:val="16"/>
              </w:rPr>
            </w:pPr>
          </w:p>
        </w:tc>
        <w:tc>
          <w:tcPr>
            <w:tcW w:w="750" w:type="dxa"/>
            <w:shd w:val="clear" w:color="auto" w:fill="auto"/>
            <w:noWrap/>
            <w:vAlign w:val="center"/>
            <w:hideMark/>
          </w:tcPr>
          <w:p w14:paraId="30246DBE" w14:textId="77777777" w:rsidR="00EA63E1" w:rsidRPr="002B0A5B" w:rsidRDefault="00EA63E1" w:rsidP="002B0A5B">
            <w:pPr>
              <w:spacing w:after="0" w:line="276" w:lineRule="auto"/>
              <w:jc w:val="right"/>
              <w:rPr>
                <w:rFonts w:cs="Arial"/>
                <w:sz w:val="16"/>
                <w:szCs w:val="16"/>
              </w:rPr>
            </w:pPr>
            <w:r w:rsidRPr="002B0A5B">
              <w:rPr>
                <w:rFonts w:cs="Arial"/>
                <w:sz w:val="16"/>
                <w:szCs w:val="16"/>
              </w:rPr>
              <w:t>3,5</w:t>
            </w:r>
          </w:p>
        </w:tc>
        <w:tc>
          <w:tcPr>
            <w:tcW w:w="995" w:type="dxa"/>
            <w:shd w:val="clear" w:color="000000" w:fill="D9D9D9"/>
            <w:noWrap/>
            <w:vAlign w:val="center"/>
            <w:hideMark/>
          </w:tcPr>
          <w:p w14:paraId="0092E174"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3,5</w:t>
            </w:r>
          </w:p>
        </w:tc>
        <w:tc>
          <w:tcPr>
            <w:tcW w:w="528" w:type="dxa"/>
            <w:shd w:val="clear" w:color="auto" w:fill="auto"/>
            <w:noWrap/>
            <w:vAlign w:val="center"/>
            <w:hideMark/>
          </w:tcPr>
          <w:p w14:paraId="1DDFC0F0" w14:textId="05672433"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2BF96798" w14:textId="60E47585"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1A07FE3C" w14:textId="377D51FC"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3FB114FB" w14:textId="77777777" w:rsidR="00EA63E1" w:rsidRPr="002B0A5B" w:rsidRDefault="00EA63E1" w:rsidP="002B0A5B">
            <w:pPr>
              <w:spacing w:after="0" w:line="276" w:lineRule="auto"/>
              <w:jc w:val="right"/>
              <w:rPr>
                <w:rFonts w:cs="Arial"/>
                <w:sz w:val="16"/>
                <w:szCs w:val="16"/>
              </w:rPr>
            </w:pPr>
            <w:r w:rsidRPr="002B0A5B">
              <w:rPr>
                <w:rFonts w:cs="Arial"/>
                <w:sz w:val="16"/>
                <w:szCs w:val="16"/>
              </w:rPr>
              <w:t>3,5</w:t>
            </w:r>
          </w:p>
        </w:tc>
        <w:tc>
          <w:tcPr>
            <w:tcW w:w="995" w:type="dxa"/>
            <w:shd w:val="clear" w:color="000000" w:fill="D9D9D9"/>
            <w:noWrap/>
            <w:vAlign w:val="center"/>
            <w:hideMark/>
          </w:tcPr>
          <w:p w14:paraId="077EC6D4"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3,5</w:t>
            </w:r>
          </w:p>
        </w:tc>
      </w:tr>
      <w:tr w:rsidR="00EA63E1" w:rsidRPr="00EA63E1" w14:paraId="014612C4" w14:textId="77777777" w:rsidTr="00E62489">
        <w:trPr>
          <w:cantSplit/>
          <w:trHeight w:val="227"/>
          <w:jc w:val="center"/>
        </w:trPr>
        <w:tc>
          <w:tcPr>
            <w:tcW w:w="3499" w:type="dxa"/>
            <w:shd w:val="clear" w:color="auto" w:fill="auto"/>
            <w:noWrap/>
            <w:vAlign w:val="center"/>
            <w:hideMark/>
          </w:tcPr>
          <w:p w14:paraId="4836684D" w14:textId="77777777" w:rsidR="00EA63E1" w:rsidRPr="00EA63E1" w:rsidRDefault="00EA63E1" w:rsidP="002B0A5B">
            <w:pPr>
              <w:spacing w:after="0" w:line="276" w:lineRule="auto"/>
              <w:jc w:val="left"/>
              <w:rPr>
                <w:rFonts w:cs="Arial"/>
                <w:sz w:val="16"/>
                <w:szCs w:val="16"/>
              </w:rPr>
            </w:pPr>
            <w:r w:rsidRPr="00EA63E1">
              <w:rPr>
                <w:rFonts w:cs="Arial"/>
                <w:sz w:val="16"/>
                <w:szCs w:val="16"/>
              </w:rPr>
              <w:t>Camping Αγία Τριάδα</w:t>
            </w:r>
          </w:p>
        </w:tc>
        <w:tc>
          <w:tcPr>
            <w:tcW w:w="528" w:type="dxa"/>
            <w:shd w:val="clear" w:color="auto" w:fill="auto"/>
            <w:noWrap/>
            <w:vAlign w:val="center"/>
            <w:hideMark/>
          </w:tcPr>
          <w:p w14:paraId="6A4C1F99" w14:textId="5DBEFC00"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05651151" w14:textId="02D66279"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11561703" w14:textId="77777777" w:rsidR="00EA63E1" w:rsidRPr="002B0A5B" w:rsidRDefault="00EA63E1" w:rsidP="002B0A5B">
            <w:pPr>
              <w:spacing w:after="0" w:line="276" w:lineRule="auto"/>
              <w:jc w:val="right"/>
              <w:rPr>
                <w:rFonts w:cs="Arial"/>
                <w:sz w:val="16"/>
                <w:szCs w:val="16"/>
              </w:rPr>
            </w:pPr>
            <w:r w:rsidRPr="002B0A5B">
              <w:rPr>
                <w:rFonts w:cs="Arial"/>
                <w:sz w:val="16"/>
                <w:szCs w:val="16"/>
              </w:rPr>
              <w:t>19,5</w:t>
            </w:r>
          </w:p>
        </w:tc>
        <w:tc>
          <w:tcPr>
            <w:tcW w:w="750" w:type="dxa"/>
            <w:shd w:val="clear" w:color="auto" w:fill="auto"/>
            <w:noWrap/>
            <w:vAlign w:val="center"/>
            <w:hideMark/>
          </w:tcPr>
          <w:p w14:paraId="2EBD859D" w14:textId="758C6098"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37BBA25D"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19,5</w:t>
            </w:r>
          </w:p>
        </w:tc>
        <w:tc>
          <w:tcPr>
            <w:tcW w:w="528" w:type="dxa"/>
            <w:shd w:val="clear" w:color="auto" w:fill="auto"/>
            <w:noWrap/>
            <w:vAlign w:val="center"/>
            <w:hideMark/>
          </w:tcPr>
          <w:p w14:paraId="3450AAD1" w14:textId="2562A09B" w:rsidR="00EA63E1" w:rsidRPr="002B0A5B" w:rsidRDefault="00EA63E1" w:rsidP="002B0A5B">
            <w:pPr>
              <w:spacing w:after="0" w:line="276" w:lineRule="auto"/>
              <w:jc w:val="right"/>
              <w:rPr>
                <w:rFonts w:cs="Arial"/>
                <w:sz w:val="16"/>
                <w:szCs w:val="16"/>
              </w:rPr>
            </w:pPr>
          </w:p>
        </w:tc>
        <w:tc>
          <w:tcPr>
            <w:tcW w:w="617" w:type="dxa"/>
            <w:shd w:val="clear" w:color="auto" w:fill="auto"/>
            <w:noWrap/>
            <w:vAlign w:val="center"/>
            <w:hideMark/>
          </w:tcPr>
          <w:p w14:paraId="15B5F662" w14:textId="53B82EC0"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00B9DB02" w14:textId="5BE670C9" w:rsidR="00EA63E1" w:rsidRPr="002B0A5B" w:rsidRDefault="00EA63E1" w:rsidP="002B0A5B">
            <w:pPr>
              <w:spacing w:after="0" w:line="276" w:lineRule="auto"/>
              <w:jc w:val="right"/>
              <w:rPr>
                <w:rFonts w:cs="Arial"/>
                <w:sz w:val="16"/>
                <w:szCs w:val="16"/>
              </w:rPr>
            </w:pPr>
          </w:p>
        </w:tc>
        <w:tc>
          <w:tcPr>
            <w:tcW w:w="528" w:type="dxa"/>
            <w:shd w:val="clear" w:color="auto" w:fill="auto"/>
            <w:noWrap/>
            <w:vAlign w:val="center"/>
            <w:hideMark/>
          </w:tcPr>
          <w:p w14:paraId="75138130" w14:textId="3281C495" w:rsidR="00EA63E1" w:rsidRPr="002B0A5B" w:rsidRDefault="00EA63E1" w:rsidP="002B0A5B">
            <w:pPr>
              <w:spacing w:after="0" w:line="276" w:lineRule="auto"/>
              <w:jc w:val="right"/>
              <w:rPr>
                <w:rFonts w:cs="Arial"/>
                <w:sz w:val="16"/>
                <w:szCs w:val="16"/>
              </w:rPr>
            </w:pPr>
          </w:p>
        </w:tc>
        <w:tc>
          <w:tcPr>
            <w:tcW w:w="995" w:type="dxa"/>
            <w:shd w:val="clear" w:color="000000" w:fill="D9D9D9"/>
            <w:noWrap/>
            <w:vAlign w:val="center"/>
            <w:hideMark/>
          </w:tcPr>
          <w:p w14:paraId="085007C0"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r>
      <w:tr w:rsidR="00EA63E1" w:rsidRPr="00EA63E1" w14:paraId="6F7F719D" w14:textId="77777777" w:rsidTr="00E62489">
        <w:trPr>
          <w:cantSplit/>
          <w:trHeight w:val="227"/>
          <w:jc w:val="center"/>
        </w:trPr>
        <w:tc>
          <w:tcPr>
            <w:tcW w:w="3499" w:type="dxa"/>
            <w:tcBorders>
              <w:bottom w:val="nil"/>
            </w:tcBorders>
            <w:shd w:val="clear" w:color="auto" w:fill="F2F2F2" w:themeFill="background1" w:themeFillShade="F2"/>
            <w:noWrap/>
            <w:vAlign w:val="center"/>
            <w:hideMark/>
          </w:tcPr>
          <w:p w14:paraId="784A9DA6" w14:textId="77777777" w:rsidR="00EA63E1" w:rsidRPr="00EA63E1" w:rsidRDefault="00EA63E1" w:rsidP="002B0A5B">
            <w:pPr>
              <w:spacing w:after="0" w:line="276" w:lineRule="auto"/>
              <w:jc w:val="left"/>
              <w:rPr>
                <w:rFonts w:cs="Arial"/>
                <w:sz w:val="16"/>
                <w:szCs w:val="16"/>
              </w:rPr>
            </w:pPr>
            <w:r w:rsidRPr="00EA63E1">
              <w:rPr>
                <w:rFonts w:cs="Arial"/>
                <w:sz w:val="16"/>
                <w:szCs w:val="16"/>
              </w:rPr>
              <w:t>Λοιπά ακίνητα σε στάδιο προετοιμασίας</w:t>
            </w:r>
          </w:p>
        </w:tc>
        <w:tc>
          <w:tcPr>
            <w:tcW w:w="528" w:type="dxa"/>
            <w:tcBorders>
              <w:bottom w:val="nil"/>
            </w:tcBorders>
            <w:shd w:val="clear" w:color="auto" w:fill="F2F2F2" w:themeFill="background1" w:themeFillShade="F2"/>
            <w:noWrap/>
            <w:vAlign w:val="center"/>
            <w:hideMark/>
          </w:tcPr>
          <w:p w14:paraId="618EEF33" w14:textId="375F61BE" w:rsidR="00EA63E1" w:rsidRPr="002B0A5B" w:rsidRDefault="00EA63E1" w:rsidP="002B0A5B">
            <w:pPr>
              <w:spacing w:after="0" w:line="276" w:lineRule="auto"/>
              <w:jc w:val="right"/>
              <w:rPr>
                <w:rFonts w:cs="Arial"/>
                <w:sz w:val="16"/>
                <w:szCs w:val="16"/>
              </w:rPr>
            </w:pPr>
          </w:p>
        </w:tc>
        <w:tc>
          <w:tcPr>
            <w:tcW w:w="617" w:type="dxa"/>
            <w:tcBorders>
              <w:bottom w:val="nil"/>
            </w:tcBorders>
            <w:shd w:val="clear" w:color="auto" w:fill="F2F2F2" w:themeFill="background1" w:themeFillShade="F2"/>
            <w:noWrap/>
            <w:vAlign w:val="center"/>
            <w:hideMark/>
          </w:tcPr>
          <w:p w14:paraId="437B73AF" w14:textId="61359927" w:rsidR="00EA63E1" w:rsidRPr="002B0A5B" w:rsidRDefault="00EA63E1" w:rsidP="002B0A5B">
            <w:pPr>
              <w:spacing w:after="0" w:line="276" w:lineRule="auto"/>
              <w:jc w:val="right"/>
              <w:rPr>
                <w:rFonts w:cs="Arial"/>
                <w:sz w:val="16"/>
                <w:szCs w:val="16"/>
              </w:rPr>
            </w:pPr>
          </w:p>
        </w:tc>
        <w:tc>
          <w:tcPr>
            <w:tcW w:w="528" w:type="dxa"/>
            <w:tcBorders>
              <w:bottom w:val="nil"/>
            </w:tcBorders>
            <w:shd w:val="clear" w:color="auto" w:fill="F2F2F2" w:themeFill="background1" w:themeFillShade="F2"/>
            <w:noWrap/>
            <w:vAlign w:val="center"/>
            <w:hideMark/>
          </w:tcPr>
          <w:p w14:paraId="7211D996" w14:textId="604152EB" w:rsidR="00EA63E1" w:rsidRPr="002B0A5B" w:rsidRDefault="00EA63E1" w:rsidP="002B0A5B">
            <w:pPr>
              <w:spacing w:after="0" w:line="276" w:lineRule="auto"/>
              <w:jc w:val="right"/>
              <w:rPr>
                <w:rFonts w:cs="Arial"/>
                <w:sz w:val="16"/>
                <w:szCs w:val="16"/>
              </w:rPr>
            </w:pPr>
          </w:p>
        </w:tc>
        <w:tc>
          <w:tcPr>
            <w:tcW w:w="750" w:type="dxa"/>
            <w:tcBorders>
              <w:bottom w:val="nil"/>
            </w:tcBorders>
            <w:shd w:val="clear" w:color="auto" w:fill="F2F2F2" w:themeFill="background1" w:themeFillShade="F2"/>
            <w:noWrap/>
            <w:vAlign w:val="center"/>
            <w:hideMark/>
          </w:tcPr>
          <w:p w14:paraId="31D5479A" w14:textId="4516F4D6" w:rsidR="00EA63E1" w:rsidRPr="002B0A5B" w:rsidRDefault="00EA63E1" w:rsidP="002B0A5B">
            <w:pPr>
              <w:spacing w:after="0" w:line="276" w:lineRule="auto"/>
              <w:jc w:val="right"/>
              <w:rPr>
                <w:rFonts w:cs="Arial"/>
                <w:sz w:val="16"/>
                <w:szCs w:val="16"/>
              </w:rPr>
            </w:pPr>
          </w:p>
        </w:tc>
        <w:tc>
          <w:tcPr>
            <w:tcW w:w="995" w:type="dxa"/>
            <w:tcBorders>
              <w:bottom w:val="nil"/>
            </w:tcBorders>
            <w:shd w:val="clear" w:color="auto" w:fill="D9D9D9" w:themeFill="background1" w:themeFillShade="D9"/>
            <w:noWrap/>
            <w:vAlign w:val="center"/>
            <w:hideMark/>
          </w:tcPr>
          <w:p w14:paraId="5E28BF60"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c>
          <w:tcPr>
            <w:tcW w:w="528" w:type="dxa"/>
            <w:tcBorders>
              <w:bottom w:val="nil"/>
            </w:tcBorders>
            <w:shd w:val="clear" w:color="auto" w:fill="F2F2F2" w:themeFill="background1" w:themeFillShade="F2"/>
            <w:noWrap/>
            <w:vAlign w:val="center"/>
            <w:hideMark/>
          </w:tcPr>
          <w:p w14:paraId="5C42BD4F" w14:textId="1CBB8C10" w:rsidR="00EA63E1" w:rsidRPr="002B0A5B" w:rsidRDefault="00EA63E1" w:rsidP="002B0A5B">
            <w:pPr>
              <w:spacing w:after="0" w:line="276" w:lineRule="auto"/>
              <w:jc w:val="right"/>
              <w:rPr>
                <w:rFonts w:cs="Arial"/>
                <w:sz w:val="16"/>
                <w:szCs w:val="16"/>
              </w:rPr>
            </w:pPr>
          </w:p>
        </w:tc>
        <w:tc>
          <w:tcPr>
            <w:tcW w:w="617" w:type="dxa"/>
            <w:tcBorders>
              <w:bottom w:val="nil"/>
            </w:tcBorders>
            <w:shd w:val="clear" w:color="auto" w:fill="F2F2F2" w:themeFill="background1" w:themeFillShade="F2"/>
            <w:noWrap/>
            <w:vAlign w:val="center"/>
            <w:hideMark/>
          </w:tcPr>
          <w:p w14:paraId="07656E13" w14:textId="77777777" w:rsidR="00EA63E1" w:rsidRPr="002B0A5B" w:rsidRDefault="00EA63E1" w:rsidP="002B0A5B">
            <w:pPr>
              <w:spacing w:after="0" w:line="276" w:lineRule="auto"/>
              <w:jc w:val="right"/>
              <w:rPr>
                <w:rFonts w:cs="Arial"/>
                <w:sz w:val="16"/>
                <w:szCs w:val="16"/>
              </w:rPr>
            </w:pPr>
            <w:r w:rsidRPr="002B0A5B">
              <w:rPr>
                <w:rFonts w:cs="Arial"/>
                <w:sz w:val="16"/>
                <w:szCs w:val="16"/>
              </w:rPr>
              <w:t>16,5</w:t>
            </w:r>
          </w:p>
        </w:tc>
        <w:tc>
          <w:tcPr>
            <w:tcW w:w="528" w:type="dxa"/>
            <w:tcBorders>
              <w:bottom w:val="nil"/>
            </w:tcBorders>
            <w:shd w:val="clear" w:color="auto" w:fill="F2F2F2" w:themeFill="background1" w:themeFillShade="F2"/>
            <w:noWrap/>
            <w:vAlign w:val="center"/>
            <w:hideMark/>
          </w:tcPr>
          <w:p w14:paraId="593C715E" w14:textId="77777777" w:rsidR="00EA63E1" w:rsidRPr="002B0A5B" w:rsidRDefault="00EA63E1" w:rsidP="002B0A5B">
            <w:pPr>
              <w:spacing w:after="0" w:line="276" w:lineRule="auto"/>
              <w:jc w:val="right"/>
              <w:rPr>
                <w:rFonts w:cs="Arial"/>
                <w:sz w:val="16"/>
                <w:szCs w:val="16"/>
              </w:rPr>
            </w:pPr>
            <w:r w:rsidRPr="002B0A5B">
              <w:rPr>
                <w:rFonts w:cs="Arial"/>
                <w:sz w:val="16"/>
                <w:szCs w:val="16"/>
              </w:rPr>
              <w:t>2,5</w:t>
            </w:r>
          </w:p>
        </w:tc>
        <w:tc>
          <w:tcPr>
            <w:tcW w:w="528" w:type="dxa"/>
            <w:tcBorders>
              <w:bottom w:val="nil"/>
            </w:tcBorders>
            <w:shd w:val="clear" w:color="auto" w:fill="F2F2F2" w:themeFill="background1" w:themeFillShade="F2"/>
            <w:noWrap/>
            <w:vAlign w:val="center"/>
            <w:hideMark/>
          </w:tcPr>
          <w:p w14:paraId="7ED61243" w14:textId="77777777" w:rsidR="00EA63E1" w:rsidRPr="002B0A5B" w:rsidRDefault="00EA63E1" w:rsidP="002B0A5B">
            <w:pPr>
              <w:spacing w:after="0" w:line="276" w:lineRule="auto"/>
              <w:jc w:val="right"/>
              <w:rPr>
                <w:rFonts w:cs="Arial"/>
                <w:sz w:val="16"/>
                <w:szCs w:val="16"/>
              </w:rPr>
            </w:pPr>
            <w:r w:rsidRPr="002B0A5B">
              <w:rPr>
                <w:rFonts w:cs="Arial"/>
                <w:sz w:val="16"/>
                <w:szCs w:val="16"/>
              </w:rPr>
              <w:t>22,4</w:t>
            </w:r>
          </w:p>
        </w:tc>
        <w:tc>
          <w:tcPr>
            <w:tcW w:w="995" w:type="dxa"/>
            <w:tcBorders>
              <w:bottom w:val="nil"/>
            </w:tcBorders>
            <w:shd w:val="clear" w:color="auto" w:fill="D9D9D9" w:themeFill="background1" w:themeFillShade="D9"/>
            <w:noWrap/>
            <w:vAlign w:val="center"/>
            <w:hideMark/>
          </w:tcPr>
          <w:p w14:paraId="7587A2DA"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41,4</w:t>
            </w:r>
          </w:p>
        </w:tc>
      </w:tr>
      <w:tr w:rsidR="00EA63E1" w:rsidRPr="00EA63E1" w14:paraId="67FBE7C3" w14:textId="77777777" w:rsidTr="006A2C3C">
        <w:trPr>
          <w:cantSplit/>
          <w:trHeight w:val="227"/>
          <w:jc w:val="center"/>
        </w:trPr>
        <w:tc>
          <w:tcPr>
            <w:tcW w:w="3499" w:type="dxa"/>
            <w:tcBorders>
              <w:top w:val="nil"/>
              <w:bottom w:val="single" w:sz="2" w:space="0" w:color="A6A6A6" w:themeColor="background1" w:themeShade="A6"/>
            </w:tcBorders>
            <w:shd w:val="clear" w:color="000000" w:fill="D9D9D9"/>
            <w:noWrap/>
            <w:vAlign w:val="center"/>
            <w:hideMark/>
          </w:tcPr>
          <w:p w14:paraId="07368DF3" w14:textId="77777777" w:rsidR="00EA63E1" w:rsidRPr="00EA63E1" w:rsidRDefault="00EA63E1" w:rsidP="002B0A5B">
            <w:pPr>
              <w:spacing w:after="0" w:line="276" w:lineRule="auto"/>
              <w:jc w:val="left"/>
              <w:rPr>
                <w:rFonts w:cs="Arial"/>
                <w:b/>
                <w:bCs/>
                <w:sz w:val="16"/>
                <w:szCs w:val="16"/>
              </w:rPr>
            </w:pPr>
            <w:r w:rsidRPr="00EA63E1">
              <w:rPr>
                <w:rFonts w:cs="Arial"/>
                <w:b/>
                <w:bCs/>
                <w:sz w:val="16"/>
                <w:szCs w:val="16"/>
              </w:rPr>
              <w:t>Σύνολο Ακινήτων</w:t>
            </w:r>
          </w:p>
        </w:tc>
        <w:tc>
          <w:tcPr>
            <w:tcW w:w="528" w:type="dxa"/>
            <w:tcBorders>
              <w:top w:val="nil"/>
              <w:bottom w:val="single" w:sz="2" w:space="0" w:color="A6A6A6" w:themeColor="background1" w:themeShade="A6"/>
            </w:tcBorders>
            <w:shd w:val="clear" w:color="000000" w:fill="D9D9D9"/>
            <w:noWrap/>
            <w:vAlign w:val="center"/>
            <w:hideMark/>
          </w:tcPr>
          <w:p w14:paraId="52F044C5"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7,1</w:t>
            </w:r>
          </w:p>
        </w:tc>
        <w:tc>
          <w:tcPr>
            <w:tcW w:w="617" w:type="dxa"/>
            <w:tcBorders>
              <w:top w:val="nil"/>
              <w:bottom w:val="single" w:sz="2" w:space="0" w:color="A6A6A6" w:themeColor="background1" w:themeShade="A6"/>
            </w:tcBorders>
            <w:shd w:val="clear" w:color="000000" w:fill="D9D9D9"/>
            <w:noWrap/>
            <w:vAlign w:val="center"/>
            <w:hideMark/>
          </w:tcPr>
          <w:p w14:paraId="668B1AD2"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8,2</w:t>
            </w:r>
          </w:p>
        </w:tc>
        <w:tc>
          <w:tcPr>
            <w:tcW w:w="528" w:type="dxa"/>
            <w:tcBorders>
              <w:top w:val="nil"/>
              <w:bottom w:val="single" w:sz="2" w:space="0" w:color="A6A6A6" w:themeColor="background1" w:themeShade="A6"/>
            </w:tcBorders>
            <w:shd w:val="clear" w:color="000000" w:fill="D9D9D9"/>
            <w:noWrap/>
            <w:vAlign w:val="center"/>
            <w:hideMark/>
          </w:tcPr>
          <w:p w14:paraId="0190E1A7"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19,5</w:t>
            </w:r>
          </w:p>
        </w:tc>
        <w:tc>
          <w:tcPr>
            <w:tcW w:w="750" w:type="dxa"/>
            <w:tcBorders>
              <w:top w:val="nil"/>
              <w:bottom w:val="single" w:sz="2" w:space="0" w:color="A6A6A6" w:themeColor="background1" w:themeShade="A6"/>
            </w:tcBorders>
            <w:shd w:val="clear" w:color="000000" w:fill="D9D9D9"/>
            <w:noWrap/>
            <w:vAlign w:val="center"/>
            <w:hideMark/>
          </w:tcPr>
          <w:p w14:paraId="2E2D84B5"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15,1</w:t>
            </w:r>
          </w:p>
        </w:tc>
        <w:tc>
          <w:tcPr>
            <w:tcW w:w="995" w:type="dxa"/>
            <w:tcBorders>
              <w:top w:val="nil"/>
              <w:bottom w:val="single" w:sz="2" w:space="0" w:color="A6A6A6" w:themeColor="background1" w:themeShade="A6"/>
            </w:tcBorders>
            <w:shd w:val="clear" w:color="000000" w:fill="D9D9D9"/>
            <w:noWrap/>
            <w:vAlign w:val="center"/>
            <w:hideMark/>
          </w:tcPr>
          <w:p w14:paraId="2348E0B5"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49,9</w:t>
            </w:r>
          </w:p>
        </w:tc>
        <w:tc>
          <w:tcPr>
            <w:tcW w:w="528" w:type="dxa"/>
            <w:tcBorders>
              <w:top w:val="nil"/>
              <w:bottom w:val="single" w:sz="2" w:space="0" w:color="A6A6A6" w:themeColor="background1" w:themeShade="A6"/>
            </w:tcBorders>
            <w:shd w:val="clear" w:color="000000" w:fill="D9D9D9"/>
            <w:noWrap/>
            <w:vAlign w:val="center"/>
            <w:hideMark/>
          </w:tcPr>
          <w:p w14:paraId="3DE153A3"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0,0</w:t>
            </w:r>
          </w:p>
        </w:tc>
        <w:tc>
          <w:tcPr>
            <w:tcW w:w="617" w:type="dxa"/>
            <w:tcBorders>
              <w:top w:val="nil"/>
              <w:bottom w:val="single" w:sz="2" w:space="0" w:color="A6A6A6" w:themeColor="background1" w:themeShade="A6"/>
            </w:tcBorders>
            <w:shd w:val="clear" w:color="000000" w:fill="D9D9D9"/>
            <w:noWrap/>
            <w:vAlign w:val="center"/>
            <w:hideMark/>
          </w:tcPr>
          <w:p w14:paraId="0852682D"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16,5</w:t>
            </w:r>
          </w:p>
        </w:tc>
        <w:tc>
          <w:tcPr>
            <w:tcW w:w="528" w:type="dxa"/>
            <w:tcBorders>
              <w:top w:val="nil"/>
              <w:bottom w:val="single" w:sz="2" w:space="0" w:color="A6A6A6" w:themeColor="background1" w:themeShade="A6"/>
            </w:tcBorders>
            <w:shd w:val="clear" w:color="000000" w:fill="D9D9D9"/>
            <w:noWrap/>
            <w:vAlign w:val="center"/>
            <w:hideMark/>
          </w:tcPr>
          <w:p w14:paraId="5C733AF2"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2,5</w:t>
            </w:r>
          </w:p>
        </w:tc>
        <w:tc>
          <w:tcPr>
            <w:tcW w:w="528" w:type="dxa"/>
            <w:tcBorders>
              <w:top w:val="nil"/>
              <w:bottom w:val="single" w:sz="2" w:space="0" w:color="A6A6A6" w:themeColor="background1" w:themeShade="A6"/>
            </w:tcBorders>
            <w:shd w:val="clear" w:color="000000" w:fill="D9D9D9"/>
            <w:noWrap/>
            <w:vAlign w:val="center"/>
            <w:hideMark/>
          </w:tcPr>
          <w:p w14:paraId="4BA94362"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32,4</w:t>
            </w:r>
          </w:p>
        </w:tc>
        <w:tc>
          <w:tcPr>
            <w:tcW w:w="995" w:type="dxa"/>
            <w:tcBorders>
              <w:top w:val="nil"/>
              <w:bottom w:val="single" w:sz="2" w:space="0" w:color="A6A6A6" w:themeColor="background1" w:themeShade="A6"/>
            </w:tcBorders>
            <w:shd w:val="clear" w:color="000000" w:fill="D9D9D9"/>
            <w:noWrap/>
            <w:vAlign w:val="center"/>
            <w:hideMark/>
          </w:tcPr>
          <w:p w14:paraId="378AEEE7" w14:textId="77777777" w:rsidR="00EA63E1" w:rsidRPr="002B0A5B" w:rsidRDefault="00EA63E1" w:rsidP="002B0A5B">
            <w:pPr>
              <w:spacing w:after="0" w:line="276" w:lineRule="auto"/>
              <w:jc w:val="right"/>
              <w:rPr>
                <w:rFonts w:cs="Arial"/>
                <w:b/>
                <w:bCs/>
                <w:sz w:val="16"/>
                <w:szCs w:val="16"/>
              </w:rPr>
            </w:pPr>
            <w:r w:rsidRPr="002B0A5B">
              <w:rPr>
                <w:rFonts w:cs="Arial"/>
                <w:b/>
                <w:bCs/>
                <w:sz w:val="16"/>
                <w:szCs w:val="16"/>
              </w:rPr>
              <w:t>51,4</w:t>
            </w:r>
          </w:p>
        </w:tc>
      </w:tr>
      <w:tr w:rsidR="00E62489" w:rsidRPr="00EA63E1" w14:paraId="66E9CD87" w14:textId="77777777" w:rsidTr="006A2C3C">
        <w:trPr>
          <w:cantSplit/>
          <w:trHeight w:val="227"/>
          <w:jc w:val="center"/>
        </w:trPr>
        <w:tc>
          <w:tcPr>
            <w:tcW w:w="10113" w:type="dxa"/>
            <w:gridSpan w:val="11"/>
            <w:tcBorders>
              <w:top w:val="single" w:sz="2" w:space="0" w:color="A6A6A6" w:themeColor="background1" w:themeShade="A6"/>
              <w:left w:val="nil"/>
              <w:bottom w:val="nil"/>
              <w:right w:val="nil"/>
            </w:tcBorders>
            <w:shd w:val="clear" w:color="auto" w:fill="auto"/>
            <w:noWrap/>
            <w:vAlign w:val="bottom"/>
            <w:hideMark/>
          </w:tcPr>
          <w:p w14:paraId="0F486225" w14:textId="25A0A221" w:rsidR="00E62489" w:rsidRPr="00EA63E1" w:rsidRDefault="00E62489" w:rsidP="00F151DE">
            <w:pPr>
              <w:spacing w:before="60" w:after="0" w:line="276" w:lineRule="auto"/>
              <w:rPr>
                <w:rFonts w:cs="Arial"/>
                <w:sz w:val="16"/>
                <w:szCs w:val="16"/>
              </w:rPr>
            </w:pPr>
            <w:r w:rsidRPr="000F6223">
              <w:rPr>
                <w:rFonts w:cs="Arial"/>
                <w:sz w:val="16"/>
                <w:szCs w:val="16"/>
              </w:rPr>
              <w:t>Πηγή: ΕΕΣΥΠ - κλάδος πρώην ΤΑΙΠΕΔ</w:t>
            </w:r>
          </w:p>
        </w:tc>
      </w:tr>
    </w:tbl>
    <w:p w14:paraId="70CAAFD3" w14:textId="31B29712" w:rsidR="0040795B" w:rsidRPr="0004583C" w:rsidRDefault="0040795B" w:rsidP="0002796C">
      <w:pPr>
        <w:spacing w:before="240" w:after="240"/>
      </w:pPr>
      <w:r w:rsidRPr="002F40E5">
        <w:lastRenderedPageBreak/>
        <w:t xml:space="preserve">Η διαχρονική εξέλιξη των εσόδων από αποκρατικοποιήσεις απεικονίζεται </w:t>
      </w:r>
      <w:r w:rsidRPr="0004583C">
        <w:t>παρακάτω (</w:t>
      </w:r>
      <w:r w:rsidR="003168B5" w:rsidRPr="0004583C">
        <w:fldChar w:fldCharType="begin"/>
      </w:r>
      <w:r w:rsidR="003168B5" w:rsidRPr="0004583C">
        <w:instrText xml:space="preserve"> REF _Ref213522379 \h  \* MERGEFORMAT </w:instrText>
      </w:r>
      <w:r w:rsidR="003168B5" w:rsidRPr="0004583C">
        <w:fldChar w:fldCharType="separate"/>
      </w:r>
      <w:r w:rsidR="00E15678" w:rsidRPr="00E15678">
        <w:t>Πίνακας 5.5</w:t>
      </w:r>
      <w:r w:rsidR="003168B5" w:rsidRPr="0004583C">
        <w:fldChar w:fldCharType="end"/>
      </w:r>
      <w:r w:rsidR="003168B5" w:rsidRPr="0004583C">
        <w:t>.</w:t>
      </w:r>
      <w:r w:rsidR="0002796C" w:rsidRPr="0004583C">
        <w:t>,</w:t>
      </w:r>
      <w:r w:rsidR="003168B5" w:rsidRPr="0004583C">
        <w:t xml:space="preserve"> </w:t>
      </w:r>
      <w:r w:rsidR="00093D5A" w:rsidRPr="0004583C">
        <w:fldChar w:fldCharType="begin"/>
      </w:r>
      <w:r w:rsidR="00093D5A" w:rsidRPr="0004583C">
        <w:instrText xml:space="preserve"> REF _Ref213525708 \h  \* MERGEFORMAT </w:instrText>
      </w:r>
      <w:r w:rsidR="00093D5A" w:rsidRPr="0004583C">
        <w:fldChar w:fldCharType="separate"/>
      </w:r>
      <w:r w:rsidR="00E15678" w:rsidRPr="00E15678">
        <w:t>Πίνακας 5.6</w:t>
      </w:r>
      <w:r w:rsidR="00093D5A" w:rsidRPr="0004583C">
        <w:fldChar w:fldCharType="end"/>
      </w:r>
      <w:r w:rsidR="00093D5A" w:rsidRPr="0004583C">
        <w:t>.</w:t>
      </w:r>
      <w:r w:rsidR="0002796C" w:rsidRPr="0004583C">
        <w:t xml:space="preserve">, </w:t>
      </w:r>
      <w:r w:rsidR="0002796C" w:rsidRPr="0004583C">
        <w:fldChar w:fldCharType="begin"/>
      </w:r>
      <w:r w:rsidR="0002796C" w:rsidRPr="0004583C">
        <w:instrText xml:space="preserve"> REF _Ref182220820 \h  \* MERGEFORMAT </w:instrText>
      </w:r>
      <w:r w:rsidR="0002796C" w:rsidRPr="0004583C">
        <w:fldChar w:fldCharType="separate"/>
      </w:r>
      <w:r w:rsidR="00E15678" w:rsidRPr="00E15678">
        <w:t>Πίνακας 5.7</w:t>
      </w:r>
      <w:r w:rsidR="0002796C" w:rsidRPr="0004583C">
        <w:fldChar w:fldCharType="end"/>
      </w:r>
      <w:r w:rsidR="0002796C" w:rsidRPr="0004583C">
        <w:t>.</w:t>
      </w:r>
      <w:r w:rsidRPr="0004583C">
        <w:t>).</w:t>
      </w:r>
    </w:p>
    <w:tbl>
      <w:tblPr>
        <w:tblW w:w="11297"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tblBorders>
        <w:tblLayout w:type="fixed"/>
        <w:tblLook w:val="04A0" w:firstRow="1" w:lastRow="0" w:firstColumn="1" w:lastColumn="0" w:noHBand="0" w:noVBand="1"/>
      </w:tblPr>
      <w:tblGrid>
        <w:gridCol w:w="1702"/>
        <w:gridCol w:w="850"/>
        <w:gridCol w:w="922"/>
        <w:gridCol w:w="1023"/>
        <w:gridCol w:w="680"/>
        <w:gridCol w:w="680"/>
        <w:gridCol w:w="680"/>
        <w:gridCol w:w="680"/>
        <w:gridCol w:w="680"/>
        <w:gridCol w:w="680"/>
        <w:gridCol w:w="680"/>
        <w:gridCol w:w="680"/>
        <w:gridCol w:w="680"/>
        <w:gridCol w:w="680"/>
      </w:tblGrid>
      <w:tr w:rsidR="00E53607" w:rsidRPr="00EE1F79" w14:paraId="3EC1945B" w14:textId="77777777" w:rsidTr="00737954">
        <w:trPr>
          <w:cantSplit/>
          <w:trHeight w:val="340"/>
          <w:tblHeader/>
          <w:jc w:val="center"/>
        </w:trPr>
        <w:tc>
          <w:tcPr>
            <w:tcW w:w="11297" w:type="dxa"/>
            <w:gridSpan w:val="14"/>
            <w:shd w:val="clear" w:color="auto" w:fill="D5DCE4"/>
            <w:vAlign w:val="center"/>
          </w:tcPr>
          <w:p w14:paraId="077704FE" w14:textId="3A4DE229" w:rsidR="00EB3408" w:rsidRDefault="00E53607" w:rsidP="00737954">
            <w:pPr>
              <w:spacing w:after="0" w:line="276" w:lineRule="auto"/>
              <w:jc w:val="center"/>
              <w:rPr>
                <w:rFonts w:cs="Arial"/>
                <w:b/>
                <w:bCs/>
                <w:sz w:val="18"/>
                <w:szCs w:val="14"/>
              </w:rPr>
            </w:pPr>
            <w:bookmarkStart w:id="803" w:name="_Ref213522379"/>
            <w:bookmarkStart w:id="804" w:name="_Toc214474139"/>
            <w:r w:rsidRPr="00E07483">
              <w:rPr>
                <w:b/>
                <w:sz w:val="18"/>
                <w:szCs w:val="14"/>
              </w:rPr>
              <w:t>Πίνακας 5.</w:t>
            </w:r>
            <w:r w:rsidRPr="00E07483">
              <w:rPr>
                <w:b/>
                <w:sz w:val="18"/>
                <w:szCs w:val="14"/>
              </w:rPr>
              <w:fldChar w:fldCharType="begin"/>
            </w:r>
            <w:r w:rsidRPr="00E07483">
              <w:rPr>
                <w:b/>
                <w:sz w:val="18"/>
                <w:szCs w:val="14"/>
              </w:rPr>
              <w:instrText xml:space="preserve"> SEQ Πίνακας_5. \* ARABIC </w:instrText>
            </w:r>
            <w:r w:rsidRPr="00E07483">
              <w:rPr>
                <w:b/>
                <w:sz w:val="18"/>
                <w:szCs w:val="14"/>
              </w:rPr>
              <w:fldChar w:fldCharType="separate"/>
            </w:r>
            <w:r w:rsidR="00E15678">
              <w:rPr>
                <w:b/>
                <w:noProof/>
                <w:sz w:val="18"/>
                <w:szCs w:val="14"/>
              </w:rPr>
              <w:t>5</w:t>
            </w:r>
            <w:r w:rsidRPr="00E07483">
              <w:rPr>
                <w:b/>
                <w:sz w:val="18"/>
                <w:szCs w:val="14"/>
              </w:rPr>
              <w:fldChar w:fldCharType="end"/>
            </w:r>
            <w:bookmarkEnd w:id="803"/>
            <w:r w:rsidRPr="00E07483">
              <w:rPr>
                <w:b/>
                <w:sz w:val="18"/>
                <w:szCs w:val="14"/>
              </w:rPr>
              <w:t xml:space="preserve">.: </w:t>
            </w:r>
            <w:r w:rsidRPr="00E07483">
              <w:rPr>
                <w:rFonts w:cs="Arial"/>
                <w:b/>
                <w:bCs/>
                <w:sz w:val="18"/>
                <w:szCs w:val="14"/>
              </w:rPr>
              <w:t>Έσοδα από αποκρατικοποιήσεις</w:t>
            </w:r>
            <w:bookmarkEnd w:id="804"/>
          </w:p>
          <w:p w14:paraId="20823896" w14:textId="48F8AFA4" w:rsidR="00E53607" w:rsidRPr="00BA453D" w:rsidRDefault="00E53607" w:rsidP="00737954">
            <w:pPr>
              <w:spacing w:after="0" w:line="276" w:lineRule="auto"/>
              <w:jc w:val="center"/>
              <w:rPr>
                <w:rFonts w:ascii="Calibri" w:hAnsi="Calibri" w:cs="Calibri"/>
                <w:b/>
                <w:bCs/>
                <w:sz w:val="14"/>
                <w:szCs w:val="14"/>
              </w:rPr>
            </w:pPr>
            <w:r w:rsidRPr="00E07483">
              <w:rPr>
                <w:rFonts w:cs="Arial"/>
                <w:b/>
                <w:bCs/>
                <w:sz w:val="18"/>
                <w:szCs w:val="14"/>
              </w:rPr>
              <w:t>(σε εκατ. ευρώ)</w:t>
            </w:r>
          </w:p>
        </w:tc>
      </w:tr>
      <w:tr w:rsidR="00C175C7" w:rsidRPr="00EE1F79" w14:paraId="0640FBBA" w14:textId="77777777" w:rsidTr="00737954">
        <w:trPr>
          <w:cantSplit/>
          <w:trHeight w:val="20"/>
          <w:tblHeader/>
          <w:jc w:val="center"/>
        </w:trPr>
        <w:tc>
          <w:tcPr>
            <w:tcW w:w="1702" w:type="dxa"/>
            <w:shd w:val="clear" w:color="auto" w:fill="F2F2F2" w:themeFill="background1" w:themeFillShade="F2"/>
            <w:vAlign w:val="center"/>
            <w:hideMark/>
          </w:tcPr>
          <w:p w14:paraId="3B51F75A" w14:textId="134B998F" w:rsidR="00BA453D" w:rsidRPr="00BA453D" w:rsidRDefault="00BA453D" w:rsidP="00737954">
            <w:pPr>
              <w:spacing w:after="0" w:line="276" w:lineRule="auto"/>
              <w:jc w:val="center"/>
              <w:rPr>
                <w:rFonts w:cs="Arial"/>
                <w:b/>
                <w:bCs/>
                <w:sz w:val="14"/>
                <w:szCs w:val="14"/>
              </w:rPr>
            </w:pPr>
            <w:r w:rsidRPr="00BA453D">
              <w:rPr>
                <w:rFonts w:cs="Arial"/>
                <w:b/>
                <w:bCs/>
                <w:sz w:val="14"/>
                <w:szCs w:val="14"/>
              </w:rPr>
              <w:t>Έργο</w:t>
            </w:r>
          </w:p>
        </w:tc>
        <w:tc>
          <w:tcPr>
            <w:tcW w:w="850" w:type="dxa"/>
            <w:shd w:val="clear" w:color="auto" w:fill="F2F2F2" w:themeFill="background1" w:themeFillShade="F2"/>
            <w:noWrap/>
            <w:vAlign w:val="center"/>
            <w:hideMark/>
          </w:tcPr>
          <w:p w14:paraId="528AF9B5" w14:textId="213FB0C8" w:rsidR="00BA453D" w:rsidRPr="00BA453D" w:rsidRDefault="00BA453D" w:rsidP="00737954">
            <w:pPr>
              <w:spacing w:after="0" w:line="276" w:lineRule="auto"/>
              <w:jc w:val="center"/>
              <w:rPr>
                <w:rFonts w:cs="Arial"/>
                <w:b/>
                <w:bCs/>
                <w:sz w:val="14"/>
                <w:szCs w:val="14"/>
              </w:rPr>
            </w:pPr>
            <w:r w:rsidRPr="00BA453D">
              <w:rPr>
                <w:rFonts w:cs="Arial"/>
                <w:b/>
                <w:bCs/>
                <w:sz w:val="14"/>
                <w:szCs w:val="14"/>
              </w:rPr>
              <w:t>Συν.</w:t>
            </w:r>
            <w:r w:rsidR="00467E64">
              <w:rPr>
                <w:rFonts w:cs="Arial"/>
                <w:b/>
                <w:bCs/>
                <w:sz w:val="14"/>
                <w:szCs w:val="14"/>
              </w:rPr>
              <w:t xml:space="preserve"> </w:t>
            </w:r>
            <w:r w:rsidRPr="00BA453D">
              <w:rPr>
                <w:rFonts w:cs="Arial"/>
                <w:b/>
                <w:bCs/>
                <w:sz w:val="14"/>
                <w:szCs w:val="14"/>
              </w:rPr>
              <w:t>Τίμημα</w:t>
            </w:r>
          </w:p>
        </w:tc>
        <w:tc>
          <w:tcPr>
            <w:tcW w:w="922" w:type="dxa"/>
            <w:shd w:val="clear" w:color="auto" w:fill="F2F2F2" w:themeFill="background1" w:themeFillShade="F2"/>
            <w:noWrap/>
            <w:vAlign w:val="center"/>
            <w:hideMark/>
          </w:tcPr>
          <w:p w14:paraId="389A6F91" w14:textId="47815C9C" w:rsidR="00BA453D" w:rsidRPr="00BA453D" w:rsidRDefault="00BA453D" w:rsidP="00737954">
            <w:pPr>
              <w:spacing w:after="0" w:line="276" w:lineRule="auto"/>
              <w:jc w:val="center"/>
              <w:rPr>
                <w:rFonts w:cs="Arial"/>
                <w:b/>
                <w:bCs/>
                <w:sz w:val="14"/>
                <w:szCs w:val="14"/>
              </w:rPr>
            </w:pPr>
            <w:r w:rsidRPr="00491A9F">
              <w:rPr>
                <w:rFonts w:cs="Arial"/>
                <w:b/>
                <w:bCs/>
                <w:sz w:val="14"/>
                <w:szCs w:val="14"/>
              </w:rPr>
              <w:t>Καταβε-βλημενο</w:t>
            </w:r>
            <w:r w:rsidR="004E498C" w:rsidRPr="00491A9F">
              <w:rPr>
                <w:rFonts w:cs="Arial"/>
                <w:b/>
                <w:bCs/>
                <w:sz w:val="14"/>
                <w:szCs w:val="14"/>
              </w:rPr>
              <w:t>*</w:t>
            </w:r>
          </w:p>
        </w:tc>
        <w:tc>
          <w:tcPr>
            <w:tcW w:w="1023" w:type="dxa"/>
            <w:shd w:val="clear" w:color="auto" w:fill="F2F2F2" w:themeFill="background1" w:themeFillShade="F2"/>
            <w:vAlign w:val="center"/>
            <w:hideMark/>
          </w:tcPr>
          <w:p w14:paraId="17B6ED36" w14:textId="564EB30D" w:rsidR="00BA453D" w:rsidRPr="00BA453D" w:rsidRDefault="00BA453D" w:rsidP="00737954">
            <w:pPr>
              <w:spacing w:after="0" w:line="276" w:lineRule="auto"/>
              <w:ind w:right="-150"/>
              <w:jc w:val="center"/>
              <w:rPr>
                <w:rFonts w:cs="Arial"/>
                <w:b/>
                <w:bCs/>
                <w:sz w:val="14"/>
                <w:szCs w:val="14"/>
              </w:rPr>
            </w:pPr>
            <w:r w:rsidRPr="00BA453D">
              <w:rPr>
                <w:rFonts w:cs="Arial"/>
                <w:b/>
                <w:bCs/>
                <w:sz w:val="14"/>
                <w:szCs w:val="14"/>
              </w:rPr>
              <w:t xml:space="preserve">Οικονομικό Κλείσιμο Συναλλαγής </w:t>
            </w:r>
            <w:r w:rsidR="00C175C7">
              <w:rPr>
                <w:rFonts w:cs="Arial"/>
                <w:b/>
                <w:bCs/>
                <w:sz w:val="14"/>
                <w:szCs w:val="14"/>
              </w:rPr>
              <w:t>-</w:t>
            </w:r>
            <w:r w:rsidRPr="00BA453D">
              <w:rPr>
                <w:rFonts w:cs="Arial"/>
                <w:b/>
                <w:bCs/>
                <w:sz w:val="14"/>
                <w:szCs w:val="14"/>
              </w:rPr>
              <w:t xml:space="preserve"> Α’ Καταβολή Τιμήματος</w:t>
            </w:r>
          </w:p>
        </w:tc>
        <w:tc>
          <w:tcPr>
            <w:tcW w:w="680" w:type="dxa"/>
            <w:shd w:val="clear" w:color="auto" w:fill="F2F2F2" w:themeFill="background1" w:themeFillShade="F2"/>
            <w:noWrap/>
            <w:vAlign w:val="center"/>
            <w:hideMark/>
          </w:tcPr>
          <w:p w14:paraId="2A33510D" w14:textId="77777777" w:rsidR="00BA453D" w:rsidRPr="00BA453D" w:rsidRDefault="00BA453D" w:rsidP="00737954">
            <w:pPr>
              <w:spacing w:after="0" w:line="276" w:lineRule="auto"/>
              <w:jc w:val="center"/>
              <w:rPr>
                <w:rFonts w:cs="Arial"/>
                <w:b/>
                <w:bCs/>
                <w:sz w:val="14"/>
                <w:szCs w:val="14"/>
              </w:rPr>
            </w:pPr>
            <w:r w:rsidRPr="00BA453D">
              <w:rPr>
                <w:rFonts w:cs="Arial"/>
                <w:b/>
                <w:bCs/>
                <w:sz w:val="14"/>
                <w:szCs w:val="14"/>
              </w:rPr>
              <w:t>2017</w:t>
            </w:r>
          </w:p>
          <w:p w14:paraId="5FB6FACB" w14:textId="2437EB17"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55E6C5F2" w14:textId="77777777" w:rsidR="00BA453D" w:rsidRPr="00BA453D" w:rsidRDefault="00BA453D" w:rsidP="00737954">
            <w:pPr>
              <w:spacing w:after="0" w:line="276" w:lineRule="auto"/>
              <w:jc w:val="center"/>
              <w:rPr>
                <w:rFonts w:cs="Arial"/>
                <w:b/>
                <w:bCs/>
                <w:sz w:val="14"/>
                <w:szCs w:val="14"/>
              </w:rPr>
            </w:pPr>
            <w:r w:rsidRPr="00BA453D">
              <w:rPr>
                <w:rFonts w:cs="Arial"/>
                <w:b/>
                <w:bCs/>
                <w:sz w:val="14"/>
                <w:szCs w:val="14"/>
              </w:rPr>
              <w:t>2018</w:t>
            </w:r>
          </w:p>
          <w:p w14:paraId="09C03735" w14:textId="1042A461"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15D54526" w14:textId="77777777" w:rsidR="00BA453D" w:rsidRPr="00BA453D" w:rsidRDefault="00BA453D" w:rsidP="00737954">
            <w:pPr>
              <w:spacing w:after="0" w:line="276" w:lineRule="auto"/>
              <w:jc w:val="center"/>
              <w:rPr>
                <w:rFonts w:cs="Arial"/>
                <w:b/>
                <w:bCs/>
                <w:sz w:val="14"/>
                <w:szCs w:val="14"/>
              </w:rPr>
            </w:pPr>
            <w:r w:rsidRPr="00BA453D">
              <w:rPr>
                <w:rFonts w:cs="Arial"/>
                <w:b/>
                <w:bCs/>
                <w:sz w:val="14"/>
                <w:szCs w:val="14"/>
              </w:rPr>
              <w:t>2019</w:t>
            </w:r>
          </w:p>
          <w:p w14:paraId="2E12B097" w14:textId="67A8DA9A"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5E76A835" w14:textId="77777777" w:rsidR="00BA453D" w:rsidRPr="00BA453D" w:rsidRDefault="00BA453D" w:rsidP="00737954">
            <w:pPr>
              <w:spacing w:after="0" w:line="276" w:lineRule="auto"/>
              <w:ind w:right="-38"/>
              <w:jc w:val="center"/>
              <w:rPr>
                <w:rFonts w:cs="Arial"/>
                <w:b/>
                <w:bCs/>
                <w:sz w:val="14"/>
                <w:szCs w:val="14"/>
              </w:rPr>
            </w:pPr>
            <w:r w:rsidRPr="00BA453D">
              <w:rPr>
                <w:rFonts w:cs="Arial"/>
                <w:b/>
                <w:bCs/>
                <w:sz w:val="14"/>
                <w:szCs w:val="14"/>
              </w:rPr>
              <w:t>2020</w:t>
            </w:r>
          </w:p>
          <w:p w14:paraId="1E0D5D82" w14:textId="53D73D15"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2E2ADF41" w14:textId="77777777" w:rsidR="00BA453D" w:rsidRPr="00BA453D" w:rsidRDefault="00BA453D" w:rsidP="00737954">
            <w:pPr>
              <w:spacing w:after="0" w:line="276" w:lineRule="auto"/>
              <w:jc w:val="center"/>
              <w:rPr>
                <w:rFonts w:cs="Arial"/>
                <w:b/>
                <w:bCs/>
                <w:sz w:val="14"/>
                <w:szCs w:val="14"/>
              </w:rPr>
            </w:pPr>
            <w:r w:rsidRPr="00BA453D">
              <w:rPr>
                <w:rFonts w:cs="Arial"/>
                <w:b/>
                <w:bCs/>
                <w:sz w:val="14"/>
                <w:szCs w:val="14"/>
              </w:rPr>
              <w:t>2021</w:t>
            </w:r>
          </w:p>
          <w:p w14:paraId="01C9171A" w14:textId="034F2121"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4CF10BBB" w14:textId="77777777" w:rsidR="00BA453D" w:rsidRPr="00BA453D" w:rsidRDefault="00BA453D" w:rsidP="00737954">
            <w:pPr>
              <w:spacing w:after="0" w:line="276" w:lineRule="auto"/>
              <w:jc w:val="center"/>
              <w:rPr>
                <w:rFonts w:cs="Arial"/>
                <w:b/>
                <w:bCs/>
                <w:sz w:val="14"/>
                <w:szCs w:val="14"/>
              </w:rPr>
            </w:pPr>
            <w:r w:rsidRPr="00BA453D">
              <w:rPr>
                <w:rFonts w:cs="Arial"/>
                <w:b/>
                <w:bCs/>
                <w:sz w:val="14"/>
                <w:szCs w:val="14"/>
              </w:rPr>
              <w:t>2022</w:t>
            </w:r>
          </w:p>
          <w:p w14:paraId="1A87EFE1" w14:textId="0DB6A1F1"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62E031D6" w14:textId="77777777" w:rsidR="00BA453D" w:rsidRPr="00BA453D" w:rsidRDefault="00BA453D" w:rsidP="00737954">
            <w:pPr>
              <w:spacing w:after="0" w:line="276" w:lineRule="auto"/>
              <w:jc w:val="center"/>
              <w:rPr>
                <w:rFonts w:cs="Arial"/>
                <w:b/>
                <w:bCs/>
                <w:sz w:val="14"/>
                <w:szCs w:val="14"/>
              </w:rPr>
            </w:pPr>
            <w:r w:rsidRPr="00BA453D">
              <w:rPr>
                <w:rFonts w:cs="Arial"/>
                <w:b/>
                <w:bCs/>
                <w:sz w:val="14"/>
                <w:szCs w:val="14"/>
              </w:rPr>
              <w:t>2023</w:t>
            </w:r>
          </w:p>
          <w:p w14:paraId="6C0A3D64" w14:textId="326F61D0"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40A4E4F8" w14:textId="77777777" w:rsidR="00BA453D" w:rsidRPr="00BA453D" w:rsidRDefault="00BA453D" w:rsidP="00737954">
            <w:pPr>
              <w:spacing w:after="0" w:line="276" w:lineRule="auto"/>
              <w:jc w:val="center"/>
              <w:rPr>
                <w:rFonts w:cs="Arial"/>
                <w:b/>
                <w:bCs/>
                <w:sz w:val="14"/>
                <w:szCs w:val="14"/>
              </w:rPr>
            </w:pPr>
            <w:r w:rsidRPr="00BA453D">
              <w:rPr>
                <w:rFonts w:cs="Arial"/>
                <w:b/>
                <w:bCs/>
                <w:sz w:val="14"/>
                <w:szCs w:val="14"/>
              </w:rPr>
              <w:t>2024</w:t>
            </w:r>
          </w:p>
          <w:p w14:paraId="5FE20E14" w14:textId="76082913"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549D2F4B" w14:textId="77777777" w:rsidR="00BA453D" w:rsidRPr="00BA453D" w:rsidRDefault="00BA453D" w:rsidP="00737954">
            <w:pPr>
              <w:spacing w:after="0" w:line="276" w:lineRule="auto"/>
              <w:jc w:val="center"/>
              <w:rPr>
                <w:rFonts w:cs="Arial"/>
                <w:b/>
                <w:bCs/>
                <w:sz w:val="14"/>
                <w:szCs w:val="14"/>
              </w:rPr>
            </w:pPr>
            <w:r w:rsidRPr="00BA453D">
              <w:rPr>
                <w:rFonts w:cs="Arial"/>
                <w:b/>
                <w:bCs/>
                <w:sz w:val="14"/>
                <w:szCs w:val="14"/>
              </w:rPr>
              <w:t>2025</w:t>
            </w:r>
          </w:p>
          <w:p w14:paraId="7E42ECB4" w14:textId="321CA6CE" w:rsidR="00BA453D" w:rsidRPr="00BA453D" w:rsidRDefault="00BA453D" w:rsidP="00737954">
            <w:pPr>
              <w:spacing w:after="0" w:line="276" w:lineRule="auto"/>
              <w:jc w:val="center"/>
              <w:rPr>
                <w:rFonts w:cs="Arial"/>
                <w:b/>
                <w:bCs/>
                <w:sz w:val="14"/>
                <w:szCs w:val="14"/>
              </w:rPr>
            </w:pPr>
          </w:p>
        </w:tc>
        <w:tc>
          <w:tcPr>
            <w:tcW w:w="680" w:type="dxa"/>
            <w:shd w:val="clear" w:color="auto" w:fill="F2F2F2" w:themeFill="background1" w:themeFillShade="F2"/>
            <w:noWrap/>
            <w:vAlign w:val="center"/>
            <w:hideMark/>
          </w:tcPr>
          <w:p w14:paraId="11B89069" w14:textId="77777777" w:rsidR="00BA453D" w:rsidRPr="00915714" w:rsidRDefault="00BA453D" w:rsidP="00737954">
            <w:pPr>
              <w:spacing w:after="0" w:line="276" w:lineRule="auto"/>
              <w:jc w:val="center"/>
              <w:rPr>
                <w:rFonts w:cs="Arial"/>
                <w:b/>
                <w:bCs/>
                <w:sz w:val="14"/>
                <w:szCs w:val="14"/>
              </w:rPr>
            </w:pPr>
            <w:r w:rsidRPr="00915714">
              <w:rPr>
                <w:rFonts w:cs="Arial"/>
                <w:b/>
                <w:bCs/>
                <w:sz w:val="14"/>
                <w:szCs w:val="14"/>
              </w:rPr>
              <w:t>2026</w:t>
            </w:r>
          </w:p>
          <w:p w14:paraId="687FB49E" w14:textId="1037EBB4" w:rsidR="00BA453D" w:rsidRPr="00BA453D" w:rsidRDefault="00BA453D" w:rsidP="00737954">
            <w:pPr>
              <w:spacing w:after="0" w:line="276" w:lineRule="auto"/>
              <w:jc w:val="center"/>
              <w:rPr>
                <w:rFonts w:ascii="Calibri" w:hAnsi="Calibri" w:cs="Calibri"/>
                <w:b/>
                <w:bCs/>
                <w:sz w:val="14"/>
                <w:szCs w:val="14"/>
              </w:rPr>
            </w:pPr>
          </w:p>
        </w:tc>
      </w:tr>
      <w:tr w:rsidR="00E07483" w:rsidRPr="00121CFC" w14:paraId="40384FF1" w14:textId="77777777" w:rsidTr="00737954">
        <w:trPr>
          <w:cantSplit/>
          <w:trHeight w:val="20"/>
          <w:jc w:val="center"/>
        </w:trPr>
        <w:tc>
          <w:tcPr>
            <w:tcW w:w="1702" w:type="dxa"/>
            <w:shd w:val="clear" w:color="auto" w:fill="auto"/>
            <w:vAlign w:val="center"/>
            <w:hideMark/>
          </w:tcPr>
          <w:p w14:paraId="186D225D" w14:textId="77777777" w:rsidR="00121CFC" w:rsidRPr="00C175C7" w:rsidRDefault="00121CFC" w:rsidP="00737954">
            <w:pPr>
              <w:spacing w:after="0" w:line="276" w:lineRule="auto"/>
              <w:jc w:val="left"/>
              <w:rPr>
                <w:rFonts w:cs="Arial"/>
                <w:bCs/>
                <w:sz w:val="14"/>
                <w:szCs w:val="14"/>
              </w:rPr>
            </w:pPr>
            <w:r w:rsidRPr="00C175C7">
              <w:rPr>
                <w:rFonts w:cs="Arial"/>
                <w:bCs/>
                <w:sz w:val="14"/>
                <w:szCs w:val="14"/>
              </w:rPr>
              <w:t>Χορήγηση δικαιωμάτων χρήσεως ραδιοσυχνοτήτων στις ζώνες των 900 MHz και 1800 MHZ</w:t>
            </w:r>
          </w:p>
        </w:tc>
        <w:tc>
          <w:tcPr>
            <w:tcW w:w="850" w:type="dxa"/>
            <w:shd w:val="clear" w:color="auto" w:fill="auto"/>
            <w:vAlign w:val="center"/>
            <w:hideMark/>
          </w:tcPr>
          <w:p w14:paraId="2DCC0175" w14:textId="77777777" w:rsidR="00121CFC" w:rsidRPr="000B4910" w:rsidRDefault="00121CFC" w:rsidP="00737954">
            <w:pPr>
              <w:spacing w:after="0" w:line="276" w:lineRule="auto"/>
              <w:ind w:right="-57"/>
              <w:jc w:val="right"/>
              <w:rPr>
                <w:rFonts w:cs="Arial"/>
                <w:sz w:val="14"/>
                <w:szCs w:val="14"/>
              </w:rPr>
            </w:pPr>
            <w:r w:rsidRPr="000B4910">
              <w:rPr>
                <w:rFonts w:cs="Arial"/>
                <w:sz w:val="14"/>
                <w:szCs w:val="14"/>
              </w:rPr>
              <w:t>408,3</w:t>
            </w:r>
          </w:p>
        </w:tc>
        <w:tc>
          <w:tcPr>
            <w:tcW w:w="922" w:type="dxa"/>
            <w:shd w:val="clear" w:color="auto" w:fill="auto"/>
            <w:vAlign w:val="center"/>
            <w:hideMark/>
          </w:tcPr>
          <w:p w14:paraId="0660BDC6" w14:textId="680687DD" w:rsidR="00121CFC" w:rsidRPr="000B4910" w:rsidRDefault="00954EBE" w:rsidP="00737954">
            <w:pPr>
              <w:spacing w:after="0" w:line="276" w:lineRule="auto"/>
              <w:ind w:right="-57"/>
              <w:jc w:val="right"/>
              <w:rPr>
                <w:rFonts w:cs="Arial"/>
                <w:sz w:val="14"/>
                <w:szCs w:val="14"/>
              </w:rPr>
            </w:pPr>
            <w:r w:rsidRPr="000B4910">
              <w:rPr>
                <w:rFonts w:cs="Arial"/>
                <w:sz w:val="14"/>
                <w:szCs w:val="14"/>
                <w:lang w:val="en-US"/>
              </w:rPr>
              <w:t>408,3</w:t>
            </w:r>
          </w:p>
        </w:tc>
        <w:tc>
          <w:tcPr>
            <w:tcW w:w="1023" w:type="dxa"/>
            <w:shd w:val="clear" w:color="auto" w:fill="auto"/>
            <w:vAlign w:val="center"/>
            <w:hideMark/>
          </w:tcPr>
          <w:p w14:paraId="485D075B" w14:textId="77777777" w:rsidR="00121CFC" w:rsidRPr="000B4910" w:rsidRDefault="00121CFC" w:rsidP="00737954">
            <w:pPr>
              <w:spacing w:after="0" w:line="276" w:lineRule="auto"/>
              <w:jc w:val="center"/>
              <w:rPr>
                <w:rFonts w:cs="Arial"/>
                <w:sz w:val="14"/>
                <w:szCs w:val="14"/>
              </w:rPr>
            </w:pPr>
            <w:r w:rsidRPr="000B4910">
              <w:rPr>
                <w:rFonts w:cs="Arial"/>
                <w:sz w:val="14"/>
                <w:szCs w:val="14"/>
              </w:rPr>
              <w:t>2011</w:t>
            </w:r>
          </w:p>
        </w:tc>
        <w:tc>
          <w:tcPr>
            <w:tcW w:w="680" w:type="dxa"/>
            <w:shd w:val="clear" w:color="auto" w:fill="auto"/>
            <w:noWrap/>
            <w:vAlign w:val="center"/>
            <w:hideMark/>
          </w:tcPr>
          <w:p w14:paraId="33F01144" w14:textId="77777777" w:rsidR="00121CFC" w:rsidRPr="000B4910" w:rsidRDefault="00121CFC" w:rsidP="00737954">
            <w:pPr>
              <w:spacing w:after="0" w:line="276" w:lineRule="auto"/>
              <w:ind w:right="-41"/>
              <w:jc w:val="right"/>
              <w:rPr>
                <w:rFonts w:cs="Arial"/>
                <w:sz w:val="14"/>
                <w:szCs w:val="14"/>
              </w:rPr>
            </w:pPr>
            <w:r w:rsidRPr="000B4910">
              <w:rPr>
                <w:rFonts w:cs="Arial"/>
                <w:bCs/>
                <w:color w:val="000000"/>
                <w:sz w:val="14"/>
                <w:szCs w:val="14"/>
              </w:rPr>
              <w:t>22</w:t>
            </w:r>
            <w:r w:rsidRPr="000B4910">
              <w:rPr>
                <w:rFonts w:cs="Arial"/>
                <w:sz w:val="14"/>
                <w:szCs w:val="14"/>
              </w:rPr>
              <w:t>,3</w:t>
            </w:r>
          </w:p>
        </w:tc>
        <w:tc>
          <w:tcPr>
            <w:tcW w:w="680" w:type="dxa"/>
            <w:shd w:val="clear" w:color="auto" w:fill="auto"/>
            <w:noWrap/>
            <w:vAlign w:val="center"/>
            <w:hideMark/>
          </w:tcPr>
          <w:p w14:paraId="1BD32410" w14:textId="1C2496DE"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0E1B42CC" w14:textId="42BC930C"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46DE3C70" w14:textId="57620960"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56C17498" w14:textId="670E95CB"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56A2D83D" w14:textId="3595787E"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404E8104" w14:textId="423C5B41"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1EB83CAA" w14:textId="2085B285"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1CFC00CE" w14:textId="441E4CFE"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0AB79769" w14:textId="597C7A59" w:rsidR="00121CFC" w:rsidRPr="000B4910" w:rsidRDefault="00121CFC" w:rsidP="00737954">
            <w:pPr>
              <w:spacing w:after="0" w:line="276" w:lineRule="auto"/>
              <w:jc w:val="right"/>
              <w:rPr>
                <w:rFonts w:cs="Arial"/>
                <w:sz w:val="14"/>
                <w:szCs w:val="14"/>
              </w:rPr>
            </w:pPr>
          </w:p>
        </w:tc>
      </w:tr>
      <w:tr w:rsidR="00E07483" w:rsidRPr="00121CFC" w14:paraId="4B46BAA2" w14:textId="77777777" w:rsidTr="00737954">
        <w:trPr>
          <w:cantSplit/>
          <w:trHeight w:val="20"/>
          <w:jc w:val="center"/>
        </w:trPr>
        <w:tc>
          <w:tcPr>
            <w:tcW w:w="1702" w:type="dxa"/>
            <w:shd w:val="clear" w:color="auto" w:fill="F2F2F2" w:themeFill="background1" w:themeFillShade="F2"/>
            <w:vAlign w:val="center"/>
            <w:hideMark/>
          </w:tcPr>
          <w:p w14:paraId="4B5F9E40" w14:textId="77777777" w:rsidR="00121CFC" w:rsidRPr="00C175C7" w:rsidRDefault="00121CFC" w:rsidP="00737954">
            <w:pPr>
              <w:spacing w:after="0" w:line="276" w:lineRule="auto"/>
              <w:jc w:val="left"/>
              <w:rPr>
                <w:rFonts w:cs="Arial"/>
                <w:bCs/>
                <w:sz w:val="14"/>
                <w:szCs w:val="14"/>
              </w:rPr>
            </w:pPr>
            <w:r w:rsidRPr="00C175C7">
              <w:rPr>
                <w:rFonts w:cs="Arial"/>
                <w:bCs/>
                <w:sz w:val="14"/>
                <w:szCs w:val="14"/>
              </w:rPr>
              <w:t>Πώληση άδειας εγκατάστασης και λειτουργίας παιγνιομηχανημάτων (VLTs)</w:t>
            </w:r>
          </w:p>
        </w:tc>
        <w:tc>
          <w:tcPr>
            <w:tcW w:w="850" w:type="dxa"/>
            <w:shd w:val="clear" w:color="auto" w:fill="F2F2F2" w:themeFill="background1" w:themeFillShade="F2"/>
            <w:vAlign w:val="center"/>
            <w:hideMark/>
          </w:tcPr>
          <w:p w14:paraId="2E46E4F4" w14:textId="77777777" w:rsidR="00121CFC" w:rsidRPr="000B4910" w:rsidRDefault="00121CFC" w:rsidP="00737954">
            <w:pPr>
              <w:spacing w:after="0" w:line="276" w:lineRule="auto"/>
              <w:ind w:right="-57"/>
              <w:jc w:val="right"/>
              <w:rPr>
                <w:rFonts w:cs="Arial"/>
                <w:sz w:val="14"/>
                <w:szCs w:val="14"/>
              </w:rPr>
            </w:pPr>
            <w:r w:rsidRPr="000B4910">
              <w:rPr>
                <w:rFonts w:cs="Arial"/>
                <w:sz w:val="14"/>
                <w:szCs w:val="14"/>
              </w:rPr>
              <w:t>560,0</w:t>
            </w:r>
          </w:p>
        </w:tc>
        <w:tc>
          <w:tcPr>
            <w:tcW w:w="922" w:type="dxa"/>
            <w:shd w:val="clear" w:color="auto" w:fill="F2F2F2" w:themeFill="background1" w:themeFillShade="F2"/>
            <w:vAlign w:val="center"/>
            <w:hideMark/>
          </w:tcPr>
          <w:p w14:paraId="70CA2719" w14:textId="1244432E" w:rsidR="00B7166B" w:rsidRPr="000B4910" w:rsidRDefault="00B7166B" w:rsidP="00737954">
            <w:pPr>
              <w:spacing w:after="0" w:line="276" w:lineRule="auto"/>
              <w:ind w:right="-57"/>
              <w:jc w:val="right"/>
              <w:rPr>
                <w:rFonts w:cs="Arial"/>
                <w:sz w:val="14"/>
                <w:szCs w:val="14"/>
              </w:rPr>
            </w:pPr>
            <w:r w:rsidRPr="000B4910">
              <w:rPr>
                <w:rFonts w:cs="Arial"/>
                <w:sz w:val="14"/>
                <w:szCs w:val="14"/>
              </w:rPr>
              <w:t>560,0</w:t>
            </w:r>
          </w:p>
        </w:tc>
        <w:tc>
          <w:tcPr>
            <w:tcW w:w="1023" w:type="dxa"/>
            <w:shd w:val="clear" w:color="auto" w:fill="F2F2F2" w:themeFill="background1" w:themeFillShade="F2"/>
            <w:vAlign w:val="center"/>
            <w:hideMark/>
          </w:tcPr>
          <w:p w14:paraId="164AEEB5" w14:textId="77777777" w:rsidR="00121CFC" w:rsidRPr="000B4910" w:rsidRDefault="00121CFC" w:rsidP="00737954">
            <w:pPr>
              <w:spacing w:after="0" w:line="276" w:lineRule="auto"/>
              <w:jc w:val="center"/>
              <w:rPr>
                <w:rFonts w:cs="Arial"/>
                <w:sz w:val="14"/>
                <w:szCs w:val="14"/>
              </w:rPr>
            </w:pPr>
            <w:r w:rsidRPr="000B4910">
              <w:rPr>
                <w:rFonts w:cs="Arial"/>
                <w:sz w:val="14"/>
                <w:szCs w:val="14"/>
              </w:rPr>
              <w:t>2011</w:t>
            </w:r>
          </w:p>
        </w:tc>
        <w:tc>
          <w:tcPr>
            <w:tcW w:w="680" w:type="dxa"/>
            <w:shd w:val="clear" w:color="auto" w:fill="F2F2F2" w:themeFill="background1" w:themeFillShade="F2"/>
            <w:noWrap/>
            <w:vAlign w:val="center"/>
            <w:hideMark/>
          </w:tcPr>
          <w:p w14:paraId="53B45CB6"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49558C7B"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71FB26C5"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4B0B3679"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083590CF"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0A01084E"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64A8472A"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26BF0441"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0912FDF8"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38A5CA18" w14:textId="176E8C84" w:rsidR="00121CFC" w:rsidRPr="000B4910" w:rsidRDefault="00121CFC" w:rsidP="00737954">
            <w:pPr>
              <w:spacing w:after="0" w:line="276" w:lineRule="auto"/>
              <w:jc w:val="right"/>
              <w:rPr>
                <w:rFonts w:cs="Arial"/>
                <w:sz w:val="14"/>
                <w:szCs w:val="14"/>
              </w:rPr>
            </w:pPr>
          </w:p>
        </w:tc>
      </w:tr>
      <w:tr w:rsidR="00E07483" w:rsidRPr="00121CFC" w14:paraId="4702DDE4" w14:textId="77777777" w:rsidTr="00737954">
        <w:trPr>
          <w:cantSplit/>
          <w:trHeight w:val="20"/>
          <w:jc w:val="center"/>
        </w:trPr>
        <w:tc>
          <w:tcPr>
            <w:tcW w:w="1702" w:type="dxa"/>
            <w:shd w:val="clear" w:color="auto" w:fill="auto"/>
            <w:vAlign w:val="center"/>
            <w:hideMark/>
          </w:tcPr>
          <w:p w14:paraId="7372B05D" w14:textId="77777777" w:rsidR="00121CFC" w:rsidRPr="00C175C7" w:rsidRDefault="00121CFC" w:rsidP="00737954">
            <w:pPr>
              <w:spacing w:after="0" w:line="276" w:lineRule="auto"/>
              <w:jc w:val="left"/>
              <w:rPr>
                <w:rFonts w:cs="Arial"/>
                <w:bCs/>
                <w:sz w:val="14"/>
                <w:szCs w:val="14"/>
              </w:rPr>
            </w:pPr>
            <w:r w:rsidRPr="00C175C7">
              <w:rPr>
                <w:rFonts w:cs="Arial"/>
                <w:bCs/>
                <w:sz w:val="14"/>
                <w:szCs w:val="14"/>
              </w:rPr>
              <w:t>Επέκταση διάρκειας σύμβασης δικαιώματος διεξαγωγής παιγνίων μεταξύ Ελληνικού Δημοσίου και ΟΠΑΠ για 10 χρόνια</w:t>
            </w:r>
          </w:p>
        </w:tc>
        <w:tc>
          <w:tcPr>
            <w:tcW w:w="850" w:type="dxa"/>
            <w:shd w:val="clear" w:color="auto" w:fill="auto"/>
            <w:vAlign w:val="center"/>
            <w:hideMark/>
          </w:tcPr>
          <w:p w14:paraId="11E4E5FC" w14:textId="77777777" w:rsidR="00121CFC" w:rsidRPr="000B4910" w:rsidRDefault="00121CFC" w:rsidP="00737954">
            <w:pPr>
              <w:spacing w:after="0" w:line="276" w:lineRule="auto"/>
              <w:ind w:right="-57"/>
              <w:jc w:val="right"/>
              <w:rPr>
                <w:rFonts w:cs="Arial"/>
                <w:sz w:val="14"/>
                <w:szCs w:val="14"/>
              </w:rPr>
            </w:pPr>
            <w:r w:rsidRPr="000B4910">
              <w:rPr>
                <w:rFonts w:cs="Arial"/>
                <w:sz w:val="14"/>
                <w:szCs w:val="14"/>
              </w:rPr>
              <w:t>375,0</w:t>
            </w:r>
          </w:p>
        </w:tc>
        <w:tc>
          <w:tcPr>
            <w:tcW w:w="922" w:type="dxa"/>
            <w:shd w:val="clear" w:color="auto" w:fill="auto"/>
            <w:vAlign w:val="center"/>
            <w:hideMark/>
          </w:tcPr>
          <w:p w14:paraId="1557B450" w14:textId="6FA95646" w:rsidR="00121CFC" w:rsidRPr="000B4910" w:rsidRDefault="00B7166B" w:rsidP="00737954">
            <w:pPr>
              <w:spacing w:after="0" w:line="276" w:lineRule="auto"/>
              <w:ind w:right="-57"/>
              <w:jc w:val="right"/>
              <w:rPr>
                <w:rFonts w:cs="Arial"/>
                <w:sz w:val="14"/>
                <w:szCs w:val="14"/>
              </w:rPr>
            </w:pPr>
            <w:r w:rsidRPr="000B4910">
              <w:rPr>
                <w:rFonts w:cs="Arial"/>
                <w:sz w:val="14"/>
                <w:szCs w:val="14"/>
              </w:rPr>
              <w:t>375,0</w:t>
            </w:r>
          </w:p>
        </w:tc>
        <w:tc>
          <w:tcPr>
            <w:tcW w:w="1023" w:type="dxa"/>
            <w:shd w:val="clear" w:color="auto" w:fill="auto"/>
            <w:vAlign w:val="center"/>
            <w:hideMark/>
          </w:tcPr>
          <w:p w14:paraId="60AD2AA4" w14:textId="77777777" w:rsidR="00121CFC" w:rsidRPr="000B4910" w:rsidRDefault="00121CFC" w:rsidP="00737954">
            <w:pPr>
              <w:spacing w:after="0" w:line="276" w:lineRule="auto"/>
              <w:jc w:val="center"/>
              <w:rPr>
                <w:rFonts w:cs="Arial"/>
                <w:sz w:val="14"/>
                <w:szCs w:val="14"/>
              </w:rPr>
            </w:pPr>
            <w:r w:rsidRPr="000B4910">
              <w:rPr>
                <w:rFonts w:cs="Arial"/>
                <w:sz w:val="14"/>
                <w:szCs w:val="14"/>
              </w:rPr>
              <w:t>2011</w:t>
            </w:r>
          </w:p>
        </w:tc>
        <w:tc>
          <w:tcPr>
            <w:tcW w:w="680" w:type="dxa"/>
            <w:shd w:val="clear" w:color="auto" w:fill="auto"/>
            <w:noWrap/>
            <w:vAlign w:val="center"/>
            <w:hideMark/>
          </w:tcPr>
          <w:p w14:paraId="6E49BDA7" w14:textId="77777777"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1DFD94F9" w14:textId="77777777"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2448DE1D" w14:textId="77777777"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1A7DC738" w14:textId="77777777"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66506A29" w14:textId="77777777"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3605974A" w14:textId="77777777"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0F89B70B" w14:textId="071151D0"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313FED93" w14:textId="77777777"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7C89EC4D" w14:textId="77777777"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523B4640" w14:textId="3E7C5255" w:rsidR="00121CFC" w:rsidRPr="000B4910" w:rsidRDefault="00121CFC" w:rsidP="00737954">
            <w:pPr>
              <w:spacing w:after="0" w:line="276" w:lineRule="auto"/>
              <w:jc w:val="right"/>
              <w:rPr>
                <w:rFonts w:cs="Arial"/>
                <w:sz w:val="14"/>
                <w:szCs w:val="14"/>
              </w:rPr>
            </w:pPr>
          </w:p>
        </w:tc>
      </w:tr>
      <w:tr w:rsidR="00E07483" w:rsidRPr="00121CFC" w14:paraId="7F315DA5" w14:textId="77777777" w:rsidTr="00737954">
        <w:trPr>
          <w:cantSplit/>
          <w:trHeight w:val="20"/>
          <w:jc w:val="center"/>
        </w:trPr>
        <w:tc>
          <w:tcPr>
            <w:tcW w:w="1702" w:type="dxa"/>
            <w:shd w:val="clear" w:color="auto" w:fill="F2F2F2" w:themeFill="background1" w:themeFillShade="F2"/>
            <w:vAlign w:val="center"/>
            <w:hideMark/>
          </w:tcPr>
          <w:p w14:paraId="54074918" w14:textId="77777777" w:rsidR="00121CFC" w:rsidRPr="00C175C7" w:rsidRDefault="00121CFC" w:rsidP="00737954">
            <w:pPr>
              <w:spacing w:after="0" w:line="276" w:lineRule="auto"/>
              <w:jc w:val="left"/>
              <w:rPr>
                <w:rFonts w:cs="Arial"/>
                <w:bCs/>
                <w:sz w:val="14"/>
                <w:szCs w:val="14"/>
              </w:rPr>
            </w:pPr>
            <w:r w:rsidRPr="00C175C7">
              <w:rPr>
                <w:rFonts w:cs="Arial"/>
                <w:bCs/>
                <w:sz w:val="14"/>
                <w:szCs w:val="14"/>
              </w:rPr>
              <w:t>Μετοχές ΕΤΕ - ALPHA - ΠΕΙΡΑΙΩΣ</w:t>
            </w:r>
          </w:p>
        </w:tc>
        <w:tc>
          <w:tcPr>
            <w:tcW w:w="850" w:type="dxa"/>
            <w:shd w:val="clear" w:color="auto" w:fill="F2F2F2" w:themeFill="background1" w:themeFillShade="F2"/>
            <w:vAlign w:val="center"/>
            <w:hideMark/>
          </w:tcPr>
          <w:p w14:paraId="368C12AF" w14:textId="77777777" w:rsidR="00121CFC" w:rsidRPr="000B4910" w:rsidRDefault="00121CFC" w:rsidP="00737954">
            <w:pPr>
              <w:spacing w:after="0" w:line="276" w:lineRule="auto"/>
              <w:ind w:right="-57"/>
              <w:jc w:val="right"/>
              <w:rPr>
                <w:rFonts w:cs="Arial"/>
                <w:sz w:val="14"/>
                <w:szCs w:val="14"/>
              </w:rPr>
            </w:pPr>
            <w:r w:rsidRPr="000B4910">
              <w:rPr>
                <w:rFonts w:cs="Arial"/>
                <w:sz w:val="14"/>
                <w:szCs w:val="14"/>
              </w:rPr>
              <w:t>14,7</w:t>
            </w:r>
          </w:p>
        </w:tc>
        <w:tc>
          <w:tcPr>
            <w:tcW w:w="922" w:type="dxa"/>
            <w:shd w:val="clear" w:color="auto" w:fill="F2F2F2" w:themeFill="background1" w:themeFillShade="F2"/>
            <w:vAlign w:val="center"/>
            <w:hideMark/>
          </w:tcPr>
          <w:p w14:paraId="36B58BCE" w14:textId="4E5FB543" w:rsidR="00121CFC" w:rsidRPr="000B4910" w:rsidRDefault="00B7166B" w:rsidP="00737954">
            <w:pPr>
              <w:spacing w:after="0" w:line="276" w:lineRule="auto"/>
              <w:ind w:right="-57"/>
              <w:jc w:val="right"/>
              <w:rPr>
                <w:rFonts w:cs="Arial"/>
                <w:sz w:val="14"/>
                <w:szCs w:val="14"/>
              </w:rPr>
            </w:pPr>
            <w:r w:rsidRPr="000B4910">
              <w:rPr>
                <w:rFonts w:cs="Arial"/>
                <w:sz w:val="14"/>
                <w:szCs w:val="14"/>
              </w:rPr>
              <w:t>14,7</w:t>
            </w:r>
          </w:p>
        </w:tc>
        <w:tc>
          <w:tcPr>
            <w:tcW w:w="1023" w:type="dxa"/>
            <w:shd w:val="clear" w:color="auto" w:fill="F2F2F2" w:themeFill="background1" w:themeFillShade="F2"/>
            <w:vAlign w:val="center"/>
            <w:hideMark/>
          </w:tcPr>
          <w:p w14:paraId="6DC13B92" w14:textId="77777777" w:rsidR="00121CFC" w:rsidRPr="000B4910" w:rsidRDefault="00121CFC" w:rsidP="00737954">
            <w:pPr>
              <w:spacing w:after="0" w:line="276" w:lineRule="auto"/>
              <w:jc w:val="center"/>
              <w:rPr>
                <w:rFonts w:cs="Arial"/>
                <w:sz w:val="14"/>
                <w:szCs w:val="14"/>
              </w:rPr>
            </w:pPr>
            <w:r w:rsidRPr="000B4910">
              <w:rPr>
                <w:rFonts w:cs="Arial"/>
                <w:sz w:val="14"/>
                <w:szCs w:val="14"/>
              </w:rPr>
              <w:t>2012</w:t>
            </w:r>
          </w:p>
        </w:tc>
        <w:tc>
          <w:tcPr>
            <w:tcW w:w="680" w:type="dxa"/>
            <w:shd w:val="clear" w:color="auto" w:fill="F2F2F2" w:themeFill="background1" w:themeFillShade="F2"/>
            <w:noWrap/>
            <w:vAlign w:val="center"/>
            <w:hideMark/>
          </w:tcPr>
          <w:p w14:paraId="291732CC"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7A047F2B"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198F8444"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31D1F10E"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E198372"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13D492B2"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D0C67D1"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3FF79CC2"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1945A488" w14:textId="77777777" w:rsidR="00121CFC" w:rsidRPr="000B4910" w:rsidRDefault="00121CFC"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1FC5B805" w14:textId="426F6271" w:rsidR="00121CFC" w:rsidRPr="000B4910" w:rsidRDefault="00121CFC" w:rsidP="00737954">
            <w:pPr>
              <w:spacing w:after="0" w:line="276" w:lineRule="auto"/>
              <w:jc w:val="right"/>
              <w:rPr>
                <w:rFonts w:cs="Arial"/>
                <w:sz w:val="14"/>
                <w:szCs w:val="14"/>
              </w:rPr>
            </w:pPr>
          </w:p>
        </w:tc>
      </w:tr>
      <w:tr w:rsidR="00E07483" w:rsidRPr="00121CFC" w14:paraId="6C48486F" w14:textId="77777777" w:rsidTr="00737954">
        <w:trPr>
          <w:cantSplit/>
          <w:trHeight w:val="20"/>
          <w:jc w:val="center"/>
        </w:trPr>
        <w:tc>
          <w:tcPr>
            <w:tcW w:w="1702" w:type="dxa"/>
            <w:shd w:val="clear" w:color="auto" w:fill="auto"/>
            <w:vAlign w:val="center"/>
            <w:hideMark/>
          </w:tcPr>
          <w:p w14:paraId="23E28E3C" w14:textId="0ECF8D0A" w:rsidR="00121CFC" w:rsidRPr="00C175C7" w:rsidRDefault="00121CFC" w:rsidP="00737954">
            <w:pPr>
              <w:spacing w:after="0" w:line="276" w:lineRule="auto"/>
              <w:jc w:val="left"/>
              <w:rPr>
                <w:rFonts w:cs="Arial"/>
                <w:bCs/>
                <w:sz w:val="14"/>
                <w:szCs w:val="14"/>
              </w:rPr>
            </w:pPr>
            <w:r w:rsidRPr="00C175C7">
              <w:rPr>
                <w:rFonts w:cs="Arial"/>
                <w:bCs/>
                <w:sz w:val="14"/>
                <w:szCs w:val="14"/>
              </w:rPr>
              <w:t>Πώληση επιλεγμένων κτ</w:t>
            </w:r>
            <w:r w:rsidR="003027A7">
              <w:rPr>
                <w:rFonts w:cs="Arial"/>
                <w:bCs/>
                <w:sz w:val="14"/>
                <w:szCs w:val="14"/>
              </w:rPr>
              <w:t>η</w:t>
            </w:r>
            <w:r w:rsidRPr="00C175C7">
              <w:rPr>
                <w:rFonts w:cs="Arial"/>
                <w:bCs/>
                <w:sz w:val="14"/>
                <w:szCs w:val="14"/>
              </w:rPr>
              <w:t xml:space="preserve">ρίων εξωτερικού (Λονδίνο, Τασκένδη, </w:t>
            </w:r>
            <w:r w:rsidR="001950CF">
              <w:rPr>
                <w:rFonts w:cs="Arial"/>
                <w:bCs/>
                <w:sz w:val="14"/>
                <w:szCs w:val="14"/>
              </w:rPr>
              <w:t>Β</w:t>
            </w:r>
            <w:r w:rsidRPr="00C175C7">
              <w:rPr>
                <w:rFonts w:cs="Arial"/>
                <w:bCs/>
                <w:sz w:val="14"/>
                <w:szCs w:val="14"/>
              </w:rPr>
              <w:t>ρυξέλλες)</w:t>
            </w:r>
          </w:p>
        </w:tc>
        <w:tc>
          <w:tcPr>
            <w:tcW w:w="850" w:type="dxa"/>
            <w:shd w:val="clear" w:color="auto" w:fill="auto"/>
            <w:vAlign w:val="center"/>
            <w:hideMark/>
          </w:tcPr>
          <w:p w14:paraId="4577610C" w14:textId="77777777" w:rsidR="00121CFC" w:rsidRPr="000B4910" w:rsidRDefault="00121CFC" w:rsidP="00737954">
            <w:pPr>
              <w:spacing w:after="0" w:line="276" w:lineRule="auto"/>
              <w:ind w:right="-57"/>
              <w:jc w:val="right"/>
              <w:rPr>
                <w:rFonts w:cs="Arial"/>
                <w:sz w:val="14"/>
                <w:szCs w:val="14"/>
              </w:rPr>
            </w:pPr>
            <w:r w:rsidRPr="000B4910">
              <w:rPr>
                <w:rFonts w:cs="Arial"/>
                <w:sz w:val="14"/>
                <w:szCs w:val="14"/>
              </w:rPr>
              <w:t>30,3</w:t>
            </w:r>
          </w:p>
        </w:tc>
        <w:tc>
          <w:tcPr>
            <w:tcW w:w="922" w:type="dxa"/>
            <w:shd w:val="clear" w:color="auto" w:fill="auto"/>
            <w:vAlign w:val="center"/>
            <w:hideMark/>
          </w:tcPr>
          <w:p w14:paraId="0FD2ED9E" w14:textId="32840F41" w:rsidR="00121CFC" w:rsidRPr="000B4910" w:rsidRDefault="00B7166B" w:rsidP="00737954">
            <w:pPr>
              <w:spacing w:after="0" w:line="276" w:lineRule="auto"/>
              <w:ind w:right="-57"/>
              <w:jc w:val="right"/>
              <w:rPr>
                <w:rFonts w:cs="Arial"/>
                <w:sz w:val="14"/>
                <w:szCs w:val="14"/>
              </w:rPr>
            </w:pPr>
            <w:r w:rsidRPr="000B4910">
              <w:rPr>
                <w:rFonts w:cs="Arial"/>
                <w:sz w:val="14"/>
                <w:szCs w:val="14"/>
              </w:rPr>
              <w:t>30,3</w:t>
            </w:r>
          </w:p>
        </w:tc>
        <w:tc>
          <w:tcPr>
            <w:tcW w:w="1023" w:type="dxa"/>
            <w:shd w:val="clear" w:color="auto" w:fill="auto"/>
            <w:vAlign w:val="center"/>
            <w:hideMark/>
          </w:tcPr>
          <w:p w14:paraId="29F27B39" w14:textId="77777777" w:rsidR="00121CFC" w:rsidRPr="000B4910" w:rsidRDefault="00121CFC" w:rsidP="00737954">
            <w:pPr>
              <w:spacing w:after="0" w:line="276" w:lineRule="auto"/>
              <w:jc w:val="center"/>
              <w:rPr>
                <w:rFonts w:cs="Arial"/>
                <w:sz w:val="14"/>
                <w:szCs w:val="14"/>
              </w:rPr>
            </w:pPr>
            <w:r w:rsidRPr="000B4910">
              <w:rPr>
                <w:rFonts w:cs="Arial"/>
                <w:sz w:val="14"/>
                <w:szCs w:val="14"/>
              </w:rPr>
              <w:t>2013</w:t>
            </w:r>
          </w:p>
        </w:tc>
        <w:tc>
          <w:tcPr>
            <w:tcW w:w="680" w:type="dxa"/>
            <w:shd w:val="clear" w:color="auto" w:fill="auto"/>
            <w:noWrap/>
            <w:vAlign w:val="center"/>
            <w:hideMark/>
          </w:tcPr>
          <w:p w14:paraId="566E15B8" w14:textId="77777777"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58440FC8" w14:textId="77777777"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461E40A0" w14:textId="77777777"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11A21338" w14:textId="77777777"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11C7FDB3" w14:textId="77777777"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405C71E7" w14:textId="77777777"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358A7566" w14:textId="77777777"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1BC692AA" w14:textId="77777777"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2BF5379C" w14:textId="77777777" w:rsidR="00121CFC" w:rsidRPr="000B4910" w:rsidRDefault="00121CFC" w:rsidP="00737954">
            <w:pPr>
              <w:spacing w:after="0" w:line="276" w:lineRule="auto"/>
              <w:jc w:val="right"/>
              <w:rPr>
                <w:rFonts w:cs="Arial"/>
                <w:sz w:val="14"/>
                <w:szCs w:val="14"/>
              </w:rPr>
            </w:pPr>
          </w:p>
        </w:tc>
        <w:tc>
          <w:tcPr>
            <w:tcW w:w="680" w:type="dxa"/>
            <w:shd w:val="clear" w:color="auto" w:fill="auto"/>
            <w:noWrap/>
            <w:vAlign w:val="center"/>
            <w:hideMark/>
          </w:tcPr>
          <w:p w14:paraId="796329D2" w14:textId="4620618B" w:rsidR="00121CFC" w:rsidRPr="000B4910" w:rsidRDefault="00121CFC" w:rsidP="00737954">
            <w:pPr>
              <w:spacing w:after="0" w:line="276" w:lineRule="auto"/>
              <w:jc w:val="right"/>
              <w:rPr>
                <w:rFonts w:cs="Arial"/>
                <w:sz w:val="14"/>
                <w:szCs w:val="14"/>
              </w:rPr>
            </w:pPr>
          </w:p>
        </w:tc>
      </w:tr>
      <w:tr w:rsidR="006323ED" w:rsidRPr="00121CFC" w14:paraId="30802040" w14:textId="77777777" w:rsidTr="00737954">
        <w:trPr>
          <w:cantSplit/>
          <w:trHeight w:val="20"/>
          <w:jc w:val="center"/>
        </w:trPr>
        <w:tc>
          <w:tcPr>
            <w:tcW w:w="1702" w:type="dxa"/>
            <w:shd w:val="clear" w:color="auto" w:fill="F2F2F2" w:themeFill="background1" w:themeFillShade="F2"/>
            <w:vAlign w:val="center"/>
            <w:hideMark/>
          </w:tcPr>
          <w:p w14:paraId="2C0FC0F0"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άδειας Κρατικών Λαχείων</w:t>
            </w:r>
          </w:p>
        </w:tc>
        <w:tc>
          <w:tcPr>
            <w:tcW w:w="850" w:type="dxa"/>
            <w:shd w:val="clear" w:color="auto" w:fill="F2F2F2" w:themeFill="background1" w:themeFillShade="F2"/>
            <w:vAlign w:val="center"/>
            <w:hideMark/>
          </w:tcPr>
          <w:p w14:paraId="73697F57"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190,0</w:t>
            </w:r>
          </w:p>
        </w:tc>
        <w:tc>
          <w:tcPr>
            <w:tcW w:w="922" w:type="dxa"/>
            <w:shd w:val="clear" w:color="auto" w:fill="F2F2F2" w:themeFill="background1" w:themeFillShade="F2"/>
            <w:vAlign w:val="center"/>
            <w:hideMark/>
          </w:tcPr>
          <w:p w14:paraId="314729BD" w14:textId="2FB80964" w:rsidR="006323ED" w:rsidRPr="00724C36" w:rsidRDefault="006323ED" w:rsidP="00737954">
            <w:pPr>
              <w:spacing w:after="0" w:line="276" w:lineRule="auto"/>
              <w:ind w:right="-57"/>
              <w:jc w:val="right"/>
              <w:rPr>
                <w:rFonts w:cs="Arial"/>
                <w:sz w:val="14"/>
                <w:szCs w:val="14"/>
              </w:rPr>
            </w:pPr>
            <w:r w:rsidRPr="00724C36">
              <w:rPr>
                <w:rFonts w:cs="Arial"/>
                <w:sz w:val="14"/>
                <w:szCs w:val="14"/>
              </w:rPr>
              <w:t>190,0</w:t>
            </w:r>
          </w:p>
        </w:tc>
        <w:tc>
          <w:tcPr>
            <w:tcW w:w="1023" w:type="dxa"/>
            <w:shd w:val="clear" w:color="auto" w:fill="F2F2F2" w:themeFill="background1" w:themeFillShade="F2"/>
            <w:vAlign w:val="center"/>
            <w:hideMark/>
          </w:tcPr>
          <w:p w14:paraId="1218F854"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2013</w:t>
            </w:r>
          </w:p>
        </w:tc>
        <w:tc>
          <w:tcPr>
            <w:tcW w:w="680" w:type="dxa"/>
            <w:shd w:val="clear" w:color="auto" w:fill="F2F2F2" w:themeFill="background1" w:themeFillShade="F2"/>
            <w:noWrap/>
            <w:vAlign w:val="center"/>
            <w:hideMark/>
          </w:tcPr>
          <w:p w14:paraId="62FB58A0"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F83CF1C"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EAD4EF8"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39BB6C37"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663357F0"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AC189D9"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4DD226BE"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122529DB"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36C38070" w14:textId="77777777" w:rsidR="006323ED" w:rsidRPr="000B4910"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05232647" w14:textId="634AD8D3" w:rsidR="006323ED" w:rsidRPr="000B4910" w:rsidRDefault="006323ED" w:rsidP="00737954">
            <w:pPr>
              <w:spacing w:after="0" w:line="276" w:lineRule="auto"/>
              <w:jc w:val="right"/>
              <w:rPr>
                <w:rFonts w:cs="Arial"/>
                <w:sz w:val="14"/>
                <w:szCs w:val="14"/>
              </w:rPr>
            </w:pPr>
          </w:p>
        </w:tc>
      </w:tr>
      <w:tr w:rsidR="006323ED" w:rsidRPr="00121CFC" w14:paraId="112FCF8A" w14:textId="77777777" w:rsidTr="00737954">
        <w:trPr>
          <w:cantSplit/>
          <w:trHeight w:val="20"/>
          <w:jc w:val="center"/>
        </w:trPr>
        <w:tc>
          <w:tcPr>
            <w:tcW w:w="1702" w:type="dxa"/>
            <w:shd w:val="clear" w:color="auto" w:fill="auto"/>
            <w:vAlign w:val="center"/>
            <w:hideMark/>
          </w:tcPr>
          <w:p w14:paraId="3E620267"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33% μετοχών ΟΠΑΠ</w:t>
            </w:r>
          </w:p>
        </w:tc>
        <w:tc>
          <w:tcPr>
            <w:tcW w:w="850" w:type="dxa"/>
            <w:shd w:val="clear" w:color="auto" w:fill="auto"/>
            <w:vAlign w:val="center"/>
            <w:hideMark/>
          </w:tcPr>
          <w:p w14:paraId="51030A60"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652,0</w:t>
            </w:r>
          </w:p>
        </w:tc>
        <w:tc>
          <w:tcPr>
            <w:tcW w:w="922" w:type="dxa"/>
            <w:shd w:val="clear" w:color="auto" w:fill="auto"/>
            <w:vAlign w:val="center"/>
            <w:hideMark/>
          </w:tcPr>
          <w:p w14:paraId="7CB1E05C" w14:textId="2196E3A0" w:rsidR="006323ED" w:rsidRPr="00724C36" w:rsidRDefault="006323ED" w:rsidP="00737954">
            <w:pPr>
              <w:spacing w:after="0" w:line="276" w:lineRule="auto"/>
              <w:ind w:right="-57"/>
              <w:jc w:val="right"/>
              <w:rPr>
                <w:rFonts w:cs="Arial"/>
                <w:sz w:val="14"/>
                <w:szCs w:val="14"/>
              </w:rPr>
            </w:pPr>
            <w:r w:rsidRPr="00724C36">
              <w:rPr>
                <w:rFonts w:cs="Arial"/>
                <w:sz w:val="14"/>
                <w:szCs w:val="14"/>
              </w:rPr>
              <w:t>652,0</w:t>
            </w:r>
          </w:p>
        </w:tc>
        <w:tc>
          <w:tcPr>
            <w:tcW w:w="1023" w:type="dxa"/>
            <w:shd w:val="clear" w:color="auto" w:fill="auto"/>
            <w:vAlign w:val="center"/>
            <w:hideMark/>
          </w:tcPr>
          <w:p w14:paraId="4EF9214E"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2013</w:t>
            </w:r>
          </w:p>
        </w:tc>
        <w:tc>
          <w:tcPr>
            <w:tcW w:w="680" w:type="dxa"/>
            <w:shd w:val="clear" w:color="auto" w:fill="auto"/>
            <w:noWrap/>
            <w:vAlign w:val="center"/>
            <w:hideMark/>
          </w:tcPr>
          <w:p w14:paraId="467F9F27"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3,0</w:t>
            </w:r>
          </w:p>
        </w:tc>
        <w:tc>
          <w:tcPr>
            <w:tcW w:w="680" w:type="dxa"/>
            <w:shd w:val="clear" w:color="auto" w:fill="auto"/>
            <w:noWrap/>
            <w:vAlign w:val="center"/>
            <w:hideMark/>
          </w:tcPr>
          <w:p w14:paraId="290971A3"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3,0</w:t>
            </w:r>
          </w:p>
        </w:tc>
        <w:tc>
          <w:tcPr>
            <w:tcW w:w="680" w:type="dxa"/>
            <w:shd w:val="clear" w:color="auto" w:fill="auto"/>
            <w:noWrap/>
            <w:vAlign w:val="center"/>
            <w:hideMark/>
          </w:tcPr>
          <w:p w14:paraId="6A594537"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3,0</w:t>
            </w:r>
          </w:p>
        </w:tc>
        <w:tc>
          <w:tcPr>
            <w:tcW w:w="680" w:type="dxa"/>
            <w:shd w:val="clear" w:color="auto" w:fill="auto"/>
            <w:noWrap/>
            <w:vAlign w:val="center"/>
            <w:hideMark/>
          </w:tcPr>
          <w:p w14:paraId="7DC1485C"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3,0</w:t>
            </w:r>
          </w:p>
        </w:tc>
        <w:tc>
          <w:tcPr>
            <w:tcW w:w="680" w:type="dxa"/>
            <w:shd w:val="clear" w:color="auto" w:fill="auto"/>
            <w:noWrap/>
            <w:vAlign w:val="center"/>
            <w:hideMark/>
          </w:tcPr>
          <w:p w14:paraId="7B01FB83"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3,0</w:t>
            </w:r>
          </w:p>
        </w:tc>
        <w:tc>
          <w:tcPr>
            <w:tcW w:w="680" w:type="dxa"/>
            <w:shd w:val="clear" w:color="auto" w:fill="auto"/>
            <w:noWrap/>
            <w:vAlign w:val="center"/>
            <w:hideMark/>
          </w:tcPr>
          <w:p w14:paraId="161AC7CE"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3,0</w:t>
            </w:r>
          </w:p>
        </w:tc>
        <w:tc>
          <w:tcPr>
            <w:tcW w:w="680" w:type="dxa"/>
            <w:shd w:val="clear" w:color="auto" w:fill="auto"/>
            <w:noWrap/>
            <w:vAlign w:val="center"/>
            <w:hideMark/>
          </w:tcPr>
          <w:p w14:paraId="1C6FDD04"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3,0</w:t>
            </w:r>
          </w:p>
        </w:tc>
        <w:tc>
          <w:tcPr>
            <w:tcW w:w="680" w:type="dxa"/>
            <w:shd w:val="clear" w:color="auto" w:fill="auto"/>
            <w:noWrap/>
            <w:vAlign w:val="center"/>
            <w:hideMark/>
          </w:tcPr>
          <w:p w14:paraId="0A7E9841"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35A3B920"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6501CD5A" w14:textId="496D13DB" w:rsidR="006323ED" w:rsidRPr="00724C36" w:rsidRDefault="006323ED" w:rsidP="00737954">
            <w:pPr>
              <w:spacing w:after="0" w:line="276" w:lineRule="auto"/>
              <w:jc w:val="right"/>
              <w:rPr>
                <w:rFonts w:cs="Arial"/>
                <w:sz w:val="14"/>
                <w:szCs w:val="14"/>
              </w:rPr>
            </w:pPr>
          </w:p>
        </w:tc>
      </w:tr>
      <w:tr w:rsidR="006323ED" w:rsidRPr="00121CFC" w14:paraId="2F9BC323" w14:textId="77777777" w:rsidTr="00737954">
        <w:trPr>
          <w:cantSplit/>
          <w:trHeight w:val="20"/>
          <w:jc w:val="center"/>
        </w:trPr>
        <w:tc>
          <w:tcPr>
            <w:tcW w:w="1702" w:type="dxa"/>
            <w:shd w:val="clear" w:color="auto" w:fill="F2F2F2" w:themeFill="background1" w:themeFillShade="F2"/>
            <w:vAlign w:val="center"/>
            <w:hideMark/>
          </w:tcPr>
          <w:p w14:paraId="72398C70"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Μετοχές ΟΠΑΠ 1%</w:t>
            </w:r>
          </w:p>
        </w:tc>
        <w:tc>
          <w:tcPr>
            <w:tcW w:w="850" w:type="dxa"/>
            <w:shd w:val="clear" w:color="auto" w:fill="F2F2F2" w:themeFill="background1" w:themeFillShade="F2"/>
            <w:vAlign w:val="center"/>
            <w:hideMark/>
          </w:tcPr>
          <w:p w14:paraId="24CDA471"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21,6</w:t>
            </w:r>
          </w:p>
        </w:tc>
        <w:tc>
          <w:tcPr>
            <w:tcW w:w="922" w:type="dxa"/>
            <w:shd w:val="clear" w:color="auto" w:fill="F2F2F2" w:themeFill="background1" w:themeFillShade="F2"/>
            <w:vAlign w:val="center"/>
            <w:hideMark/>
          </w:tcPr>
          <w:p w14:paraId="002A515B" w14:textId="0D676046" w:rsidR="006323ED" w:rsidRPr="00724C36" w:rsidRDefault="006323ED" w:rsidP="00737954">
            <w:pPr>
              <w:spacing w:after="0" w:line="276" w:lineRule="auto"/>
              <w:ind w:right="-57"/>
              <w:jc w:val="right"/>
              <w:rPr>
                <w:rFonts w:cs="Arial"/>
                <w:sz w:val="14"/>
                <w:szCs w:val="14"/>
              </w:rPr>
            </w:pPr>
            <w:r w:rsidRPr="00724C36">
              <w:rPr>
                <w:rFonts w:cs="Arial"/>
                <w:sz w:val="14"/>
                <w:szCs w:val="14"/>
              </w:rPr>
              <w:t>21,6</w:t>
            </w:r>
          </w:p>
        </w:tc>
        <w:tc>
          <w:tcPr>
            <w:tcW w:w="1023" w:type="dxa"/>
            <w:shd w:val="clear" w:color="auto" w:fill="F2F2F2" w:themeFill="background1" w:themeFillShade="F2"/>
            <w:vAlign w:val="center"/>
            <w:hideMark/>
          </w:tcPr>
          <w:p w14:paraId="727FBC6A"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2013</w:t>
            </w:r>
          </w:p>
        </w:tc>
        <w:tc>
          <w:tcPr>
            <w:tcW w:w="680" w:type="dxa"/>
            <w:shd w:val="clear" w:color="auto" w:fill="F2F2F2" w:themeFill="background1" w:themeFillShade="F2"/>
            <w:noWrap/>
            <w:vAlign w:val="center"/>
            <w:hideMark/>
          </w:tcPr>
          <w:p w14:paraId="296C1CB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396FB4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233190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D54F96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FF039D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DE8802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B89C3F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0F2FCC7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7C40D7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74510A0" w14:textId="789FA666" w:rsidR="006323ED" w:rsidRPr="00724C36" w:rsidRDefault="006323ED" w:rsidP="00737954">
            <w:pPr>
              <w:spacing w:after="0" w:line="276" w:lineRule="auto"/>
              <w:jc w:val="right"/>
              <w:rPr>
                <w:rFonts w:cs="Arial"/>
                <w:sz w:val="14"/>
                <w:szCs w:val="14"/>
              </w:rPr>
            </w:pPr>
          </w:p>
        </w:tc>
      </w:tr>
      <w:tr w:rsidR="006323ED" w:rsidRPr="00121CFC" w14:paraId="0BCF730F" w14:textId="77777777" w:rsidTr="00737954">
        <w:trPr>
          <w:cantSplit/>
          <w:trHeight w:val="20"/>
          <w:jc w:val="center"/>
        </w:trPr>
        <w:tc>
          <w:tcPr>
            <w:tcW w:w="1702" w:type="dxa"/>
            <w:shd w:val="clear" w:color="auto" w:fill="auto"/>
            <w:vAlign w:val="center"/>
            <w:hideMark/>
          </w:tcPr>
          <w:p w14:paraId="0599D6AE" w14:textId="71272045" w:rsidR="006323ED" w:rsidRPr="00C175C7" w:rsidRDefault="006323ED" w:rsidP="00737954">
            <w:pPr>
              <w:spacing w:after="0" w:line="276" w:lineRule="auto"/>
              <w:jc w:val="left"/>
              <w:rPr>
                <w:rFonts w:cs="Arial"/>
                <w:bCs/>
                <w:sz w:val="14"/>
                <w:szCs w:val="14"/>
              </w:rPr>
            </w:pPr>
            <w:r w:rsidRPr="00C175C7">
              <w:rPr>
                <w:rFonts w:cs="Arial"/>
                <w:bCs/>
                <w:sz w:val="14"/>
                <w:szCs w:val="14"/>
              </w:rPr>
              <w:t>Εκμίσθωση για 90 έτη του κτ</w:t>
            </w:r>
            <w:r w:rsidR="002A3870">
              <w:rPr>
                <w:rFonts w:cs="Arial"/>
                <w:bCs/>
                <w:sz w:val="14"/>
                <w:szCs w:val="14"/>
              </w:rPr>
              <w:t>η</w:t>
            </w:r>
            <w:r w:rsidRPr="00C175C7">
              <w:rPr>
                <w:rFonts w:cs="Arial"/>
                <w:bCs/>
                <w:sz w:val="14"/>
                <w:szCs w:val="14"/>
              </w:rPr>
              <w:t>ρίου Διεθνούς Κέντρου Ραδιοτηλεόρασης (IBC)</w:t>
            </w:r>
          </w:p>
        </w:tc>
        <w:tc>
          <w:tcPr>
            <w:tcW w:w="850" w:type="dxa"/>
            <w:shd w:val="clear" w:color="auto" w:fill="auto"/>
            <w:vAlign w:val="center"/>
            <w:hideMark/>
          </w:tcPr>
          <w:p w14:paraId="79CD9731"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81,0</w:t>
            </w:r>
          </w:p>
        </w:tc>
        <w:tc>
          <w:tcPr>
            <w:tcW w:w="922" w:type="dxa"/>
            <w:shd w:val="clear" w:color="auto" w:fill="auto"/>
            <w:vAlign w:val="center"/>
            <w:hideMark/>
          </w:tcPr>
          <w:p w14:paraId="5F2E25AA" w14:textId="5B64AA59" w:rsidR="006323ED" w:rsidRPr="00724C36" w:rsidRDefault="006323ED" w:rsidP="00737954">
            <w:pPr>
              <w:spacing w:after="0" w:line="276" w:lineRule="auto"/>
              <w:ind w:right="-57"/>
              <w:jc w:val="right"/>
              <w:rPr>
                <w:rFonts w:cs="Arial"/>
                <w:sz w:val="14"/>
                <w:szCs w:val="14"/>
              </w:rPr>
            </w:pPr>
            <w:r w:rsidRPr="00724C36">
              <w:rPr>
                <w:rFonts w:cs="Arial"/>
                <w:sz w:val="14"/>
                <w:szCs w:val="14"/>
              </w:rPr>
              <w:t>81,0</w:t>
            </w:r>
          </w:p>
        </w:tc>
        <w:tc>
          <w:tcPr>
            <w:tcW w:w="1023" w:type="dxa"/>
            <w:shd w:val="clear" w:color="auto" w:fill="auto"/>
            <w:vAlign w:val="center"/>
            <w:hideMark/>
          </w:tcPr>
          <w:p w14:paraId="0867D622"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2013</w:t>
            </w:r>
          </w:p>
        </w:tc>
        <w:tc>
          <w:tcPr>
            <w:tcW w:w="680" w:type="dxa"/>
            <w:shd w:val="clear" w:color="auto" w:fill="auto"/>
            <w:noWrap/>
            <w:vAlign w:val="center"/>
            <w:hideMark/>
          </w:tcPr>
          <w:p w14:paraId="128E94FF"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2F6A86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BA7EA0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3CA3AF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04491C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198A7A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863916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ECDC9F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7CA401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5092B50" w14:textId="1FBFA233" w:rsidR="006323ED" w:rsidRPr="00724C36" w:rsidRDefault="006323ED" w:rsidP="00737954">
            <w:pPr>
              <w:spacing w:after="0" w:line="276" w:lineRule="auto"/>
              <w:jc w:val="right"/>
              <w:rPr>
                <w:rFonts w:cs="Arial"/>
                <w:sz w:val="14"/>
                <w:szCs w:val="14"/>
              </w:rPr>
            </w:pPr>
          </w:p>
        </w:tc>
      </w:tr>
      <w:tr w:rsidR="006323ED" w:rsidRPr="00121CFC" w14:paraId="430166D9" w14:textId="77777777" w:rsidTr="00737954">
        <w:trPr>
          <w:cantSplit/>
          <w:trHeight w:val="20"/>
          <w:jc w:val="center"/>
        </w:trPr>
        <w:tc>
          <w:tcPr>
            <w:tcW w:w="1702" w:type="dxa"/>
            <w:shd w:val="clear" w:color="auto" w:fill="F2F2F2" w:themeFill="background1" w:themeFillShade="F2"/>
            <w:vAlign w:val="center"/>
            <w:hideMark/>
          </w:tcPr>
          <w:p w14:paraId="307DB581" w14:textId="1708101B" w:rsidR="006323ED" w:rsidRPr="00C175C7" w:rsidRDefault="006323ED" w:rsidP="00737954">
            <w:pPr>
              <w:spacing w:after="0" w:line="276" w:lineRule="auto"/>
              <w:jc w:val="left"/>
              <w:rPr>
                <w:rFonts w:cs="Arial"/>
                <w:bCs/>
                <w:sz w:val="14"/>
                <w:szCs w:val="14"/>
              </w:rPr>
            </w:pPr>
            <w:r w:rsidRPr="00C175C7">
              <w:rPr>
                <w:rFonts w:cs="Arial"/>
                <w:bCs/>
                <w:sz w:val="14"/>
                <w:szCs w:val="14"/>
              </w:rPr>
              <w:t>E-AUCTION I</w:t>
            </w:r>
          </w:p>
        </w:tc>
        <w:tc>
          <w:tcPr>
            <w:tcW w:w="850" w:type="dxa"/>
            <w:shd w:val="clear" w:color="auto" w:fill="F2F2F2" w:themeFill="background1" w:themeFillShade="F2"/>
            <w:vAlign w:val="center"/>
            <w:hideMark/>
          </w:tcPr>
          <w:p w14:paraId="61A8F266"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11,0</w:t>
            </w:r>
          </w:p>
        </w:tc>
        <w:tc>
          <w:tcPr>
            <w:tcW w:w="922" w:type="dxa"/>
            <w:shd w:val="clear" w:color="auto" w:fill="F2F2F2" w:themeFill="background1" w:themeFillShade="F2"/>
            <w:vAlign w:val="center"/>
            <w:hideMark/>
          </w:tcPr>
          <w:p w14:paraId="29681969" w14:textId="43F1293D" w:rsidR="006323ED" w:rsidRPr="00724C36" w:rsidRDefault="006323ED" w:rsidP="00737954">
            <w:pPr>
              <w:spacing w:after="0" w:line="276" w:lineRule="auto"/>
              <w:ind w:right="-57"/>
              <w:jc w:val="right"/>
              <w:rPr>
                <w:rFonts w:cs="Arial"/>
                <w:sz w:val="14"/>
                <w:szCs w:val="14"/>
              </w:rPr>
            </w:pPr>
            <w:r w:rsidRPr="00724C36">
              <w:rPr>
                <w:rFonts w:cs="Arial"/>
                <w:sz w:val="14"/>
                <w:szCs w:val="14"/>
              </w:rPr>
              <w:t>11,2</w:t>
            </w:r>
          </w:p>
        </w:tc>
        <w:tc>
          <w:tcPr>
            <w:tcW w:w="1023" w:type="dxa"/>
            <w:shd w:val="clear" w:color="auto" w:fill="F2F2F2" w:themeFill="background1" w:themeFillShade="F2"/>
            <w:vAlign w:val="center"/>
            <w:hideMark/>
          </w:tcPr>
          <w:p w14:paraId="19A38945"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2014</w:t>
            </w:r>
          </w:p>
        </w:tc>
        <w:tc>
          <w:tcPr>
            <w:tcW w:w="680" w:type="dxa"/>
            <w:shd w:val="clear" w:color="auto" w:fill="F2F2F2" w:themeFill="background1" w:themeFillShade="F2"/>
            <w:noWrap/>
            <w:vAlign w:val="center"/>
            <w:hideMark/>
          </w:tcPr>
          <w:p w14:paraId="31D5D16B"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0,4</w:t>
            </w:r>
          </w:p>
        </w:tc>
        <w:tc>
          <w:tcPr>
            <w:tcW w:w="680" w:type="dxa"/>
            <w:shd w:val="clear" w:color="auto" w:fill="F2F2F2" w:themeFill="background1" w:themeFillShade="F2"/>
            <w:noWrap/>
            <w:vAlign w:val="center"/>
            <w:hideMark/>
          </w:tcPr>
          <w:p w14:paraId="72CFB5EF"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0,3</w:t>
            </w:r>
          </w:p>
        </w:tc>
        <w:tc>
          <w:tcPr>
            <w:tcW w:w="680" w:type="dxa"/>
            <w:shd w:val="clear" w:color="auto" w:fill="F2F2F2" w:themeFill="background1" w:themeFillShade="F2"/>
            <w:noWrap/>
            <w:vAlign w:val="center"/>
            <w:hideMark/>
          </w:tcPr>
          <w:p w14:paraId="25837747"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0,1</w:t>
            </w:r>
          </w:p>
        </w:tc>
        <w:tc>
          <w:tcPr>
            <w:tcW w:w="680" w:type="dxa"/>
            <w:shd w:val="clear" w:color="auto" w:fill="F2F2F2" w:themeFill="background1" w:themeFillShade="F2"/>
            <w:noWrap/>
            <w:vAlign w:val="center"/>
            <w:hideMark/>
          </w:tcPr>
          <w:p w14:paraId="3F83B689"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3AFE7425"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EBA8921"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52BA116"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55CFAA9F"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AD1899A"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7398ABBD" w14:textId="15BE3DD8" w:rsidR="006323ED" w:rsidRPr="00724C36" w:rsidRDefault="006323ED" w:rsidP="00737954">
            <w:pPr>
              <w:spacing w:after="0" w:line="276" w:lineRule="auto"/>
              <w:jc w:val="right"/>
              <w:rPr>
                <w:rFonts w:cs="Arial"/>
                <w:sz w:val="14"/>
                <w:szCs w:val="14"/>
              </w:rPr>
            </w:pPr>
          </w:p>
        </w:tc>
      </w:tr>
      <w:tr w:rsidR="006323ED" w:rsidRPr="00121CFC" w14:paraId="510E8618" w14:textId="77777777" w:rsidTr="00737954">
        <w:trPr>
          <w:cantSplit/>
          <w:trHeight w:val="20"/>
          <w:jc w:val="center"/>
        </w:trPr>
        <w:tc>
          <w:tcPr>
            <w:tcW w:w="1702" w:type="dxa"/>
            <w:shd w:val="clear" w:color="auto" w:fill="auto"/>
            <w:vAlign w:val="center"/>
            <w:hideMark/>
          </w:tcPr>
          <w:p w14:paraId="27D36FF8" w14:textId="7FE5D113"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επιλεγμένων κτ</w:t>
            </w:r>
            <w:r w:rsidR="002A3870">
              <w:rPr>
                <w:rFonts w:cs="Arial"/>
                <w:bCs/>
                <w:sz w:val="14"/>
                <w:szCs w:val="14"/>
              </w:rPr>
              <w:t>η</w:t>
            </w:r>
            <w:r w:rsidRPr="00C175C7">
              <w:rPr>
                <w:rFonts w:cs="Arial"/>
                <w:bCs/>
                <w:sz w:val="14"/>
                <w:szCs w:val="14"/>
              </w:rPr>
              <w:t>ρίων εξωτερικού (Ντίσελντορφ)</w:t>
            </w:r>
          </w:p>
        </w:tc>
        <w:tc>
          <w:tcPr>
            <w:tcW w:w="850" w:type="dxa"/>
            <w:shd w:val="clear" w:color="auto" w:fill="auto"/>
            <w:vAlign w:val="center"/>
            <w:hideMark/>
          </w:tcPr>
          <w:p w14:paraId="757B4E77"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0,8</w:t>
            </w:r>
          </w:p>
        </w:tc>
        <w:tc>
          <w:tcPr>
            <w:tcW w:w="922" w:type="dxa"/>
            <w:shd w:val="clear" w:color="auto" w:fill="auto"/>
            <w:vAlign w:val="center"/>
            <w:hideMark/>
          </w:tcPr>
          <w:p w14:paraId="167E0F1D" w14:textId="2EF218F8" w:rsidR="006323ED" w:rsidRPr="00724C36" w:rsidRDefault="006323ED" w:rsidP="00737954">
            <w:pPr>
              <w:spacing w:after="0" w:line="276" w:lineRule="auto"/>
              <w:ind w:right="-57"/>
              <w:jc w:val="right"/>
              <w:rPr>
                <w:rFonts w:cs="Arial"/>
                <w:sz w:val="14"/>
                <w:szCs w:val="14"/>
              </w:rPr>
            </w:pPr>
            <w:r w:rsidRPr="00724C36">
              <w:rPr>
                <w:rFonts w:cs="Arial"/>
                <w:sz w:val="14"/>
                <w:szCs w:val="14"/>
              </w:rPr>
              <w:t>0,8</w:t>
            </w:r>
          </w:p>
        </w:tc>
        <w:tc>
          <w:tcPr>
            <w:tcW w:w="1023" w:type="dxa"/>
            <w:shd w:val="clear" w:color="auto" w:fill="auto"/>
            <w:vAlign w:val="center"/>
            <w:hideMark/>
          </w:tcPr>
          <w:p w14:paraId="7D1683F4"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2014</w:t>
            </w:r>
          </w:p>
        </w:tc>
        <w:tc>
          <w:tcPr>
            <w:tcW w:w="680" w:type="dxa"/>
            <w:shd w:val="clear" w:color="auto" w:fill="auto"/>
            <w:noWrap/>
            <w:vAlign w:val="center"/>
            <w:hideMark/>
          </w:tcPr>
          <w:p w14:paraId="63D11F3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8A7CA0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7FDBC0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C23BB8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71DCFE9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62069B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4851AA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15C4BD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CD6426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2BE7EAD" w14:textId="3E574D9A" w:rsidR="006323ED" w:rsidRPr="00724C36" w:rsidRDefault="006323ED" w:rsidP="00737954">
            <w:pPr>
              <w:spacing w:after="0" w:line="276" w:lineRule="auto"/>
              <w:jc w:val="right"/>
              <w:rPr>
                <w:rFonts w:cs="Arial"/>
                <w:sz w:val="14"/>
                <w:szCs w:val="14"/>
              </w:rPr>
            </w:pPr>
          </w:p>
        </w:tc>
      </w:tr>
      <w:tr w:rsidR="006323ED" w:rsidRPr="00121CFC" w14:paraId="0B69648B" w14:textId="77777777" w:rsidTr="00737954">
        <w:trPr>
          <w:cantSplit/>
          <w:trHeight w:val="20"/>
          <w:jc w:val="center"/>
        </w:trPr>
        <w:tc>
          <w:tcPr>
            <w:tcW w:w="1702" w:type="dxa"/>
            <w:shd w:val="clear" w:color="auto" w:fill="F2F2F2" w:themeFill="background1" w:themeFillShade="F2"/>
            <w:vAlign w:val="center"/>
            <w:hideMark/>
          </w:tcPr>
          <w:p w14:paraId="353B18FE"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Παλιούρι</w:t>
            </w:r>
          </w:p>
        </w:tc>
        <w:tc>
          <w:tcPr>
            <w:tcW w:w="850" w:type="dxa"/>
            <w:shd w:val="clear" w:color="auto" w:fill="F2F2F2" w:themeFill="background1" w:themeFillShade="F2"/>
            <w:vAlign w:val="center"/>
            <w:hideMark/>
          </w:tcPr>
          <w:p w14:paraId="373A8CAF"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14,0</w:t>
            </w:r>
          </w:p>
        </w:tc>
        <w:tc>
          <w:tcPr>
            <w:tcW w:w="922" w:type="dxa"/>
            <w:shd w:val="clear" w:color="auto" w:fill="F2F2F2" w:themeFill="background1" w:themeFillShade="F2"/>
            <w:vAlign w:val="center"/>
            <w:hideMark/>
          </w:tcPr>
          <w:p w14:paraId="5C33E931" w14:textId="65DD310D" w:rsidR="006323ED" w:rsidRPr="00724C36" w:rsidRDefault="006323ED" w:rsidP="00737954">
            <w:pPr>
              <w:spacing w:after="0" w:line="276" w:lineRule="auto"/>
              <w:ind w:right="-57"/>
              <w:jc w:val="right"/>
              <w:rPr>
                <w:rFonts w:cs="Arial"/>
                <w:sz w:val="14"/>
                <w:szCs w:val="14"/>
              </w:rPr>
            </w:pPr>
            <w:r w:rsidRPr="00724C36">
              <w:rPr>
                <w:rFonts w:cs="Arial"/>
                <w:sz w:val="14"/>
                <w:szCs w:val="14"/>
              </w:rPr>
              <w:t>14,0</w:t>
            </w:r>
          </w:p>
        </w:tc>
        <w:tc>
          <w:tcPr>
            <w:tcW w:w="1023" w:type="dxa"/>
            <w:shd w:val="clear" w:color="auto" w:fill="F2F2F2" w:themeFill="background1" w:themeFillShade="F2"/>
            <w:vAlign w:val="center"/>
            <w:hideMark/>
          </w:tcPr>
          <w:p w14:paraId="4E85F1EA"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2014</w:t>
            </w:r>
          </w:p>
        </w:tc>
        <w:tc>
          <w:tcPr>
            <w:tcW w:w="680" w:type="dxa"/>
            <w:shd w:val="clear" w:color="auto" w:fill="F2F2F2" w:themeFill="background1" w:themeFillShade="F2"/>
            <w:vAlign w:val="center"/>
            <w:hideMark/>
          </w:tcPr>
          <w:p w14:paraId="039E742E"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2,0</w:t>
            </w:r>
          </w:p>
        </w:tc>
        <w:tc>
          <w:tcPr>
            <w:tcW w:w="680" w:type="dxa"/>
            <w:shd w:val="clear" w:color="auto" w:fill="F2F2F2" w:themeFill="background1" w:themeFillShade="F2"/>
            <w:vAlign w:val="center"/>
            <w:hideMark/>
          </w:tcPr>
          <w:p w14:paraId="70DBB7D7"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vAlign w:val="center"/>
            <w:hideMark/>
          </w:tcPr>
          <w:p w14:paraId="3828969C"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vAlign w:val="center"/>
            <w:hideMark/>
          </w:tcPr>
          <w:p w14:paraId="0826C0E8"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vAlign w:val="center"/>
            <w:hideMark/>
          </w:tcPr>
          <w:p w14:paraId="51C33CC7"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vAlign w:val="center"/>
            <w:hideMark/>
          </w:tcPr>
          <w:p w14:paraId="49FF767C"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vAlign w:val="center"/>
            <w:hideMark/>
          </w:tcPr>
          <w:p w14:paraId="687144DE"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vAlign w:val="center"/>
            <w:hideMark/>
          </w:tcPr>
          <w:p w14:paraId="5C6BDFF9"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vAlign w:val="center"/>
            <w:hideMark/>
          </w:tcPr>
          <w:p w14:paraId="317C3FCE"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vAlign w:val="center"/>
            <w:hideMark/>
          </w:tcPr>
          <w:p w14:paraId="06A88E57" w14:textId="3648E762" w:rsidR="006323ED" w:rsidRPr="00724C36" w:rsidRDefault="006323ED" w:rsidP="00737954">
            <w:pPr>
              <w:spacing w:after="0" w:line="276" w:lineRule="auto"/>
              <w:jc w:val="right"/>
              <w:rPr>
                <w:rFonts w:cs="Arial"/>
                <w:sz w:val="14"/>
                <w:szCs w:val="14"/>
              </w:rPr>
            </w:pPr>
          </w:p>
        </w:tc>
      </w:tr>
      <w:tr w:rsidR="006323ED" w:rsidRPr="00121CFC" w14:paraId="220231A6" w14:textId="77777777" w:rsidTr="00737954">
        <w:trPr>
          <w:cantSplit/>
          <w:trHeight w:val="20"/>
          <w:jc w:val="center"/>
        </w:trPr>
        <w:tc>
          <w:tcPr>
            <w:tcW w:w="1702" w:type="dxa"/>
            <w:shd w:val="clear" w:color="auto" w:fill="auto"/>
            <w:vAlign w:val="center"/>
            <w:hideMark/>
          </w:tcPr>
          <w:p w14:paraId="6542E02A" w14:textId="2B5EA850" w:rsidR="006323ED" w:rsidRPr="00C175C7" w:rsidRDefault="006323ED" w:rsidP="00737954">
            <w:pPr>
              <w:spacing w:after="0" w:line="276" w:lineRule="auto"/>
              <w:jc w:val="left"/>
              <w:rPr>
                <w:rFonts w:cs="Arial"/>
                <w:bCs/>
                <w:sz w:val="14"/>
                <w:szCs w:val="14"/>
              </w:rPr>
            </w:pPr>
            <w:r w:rsidRPr="00C175C7">
              <w:rPr>
                <w:rFonts w:cs="Arial"/>
                <w:bCs/>
                <w:sz w:val="14"/>
                <w:szCs w:val="14"/>
              </w:rPr>
              <w:t>Ψηφιακό Μέρισμα</w:t>
            </w:r>
          </w:p>
        </w:tc>
        <w:tc>
          <w:tcPr>
            <w:tcW w:w="850" w:type="dxa"/>
            <w:shd w:val="clear" w:color="auto" w:fill="auto"/>
            <w:vAlign w:val="center"/>
            <w:hideMark/>
          </w:tcPr>
          <w:p w14:paraId="519EA9E3"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388,6</w:t>
            </w:r>
          </w:p>
        </w:tc>
        <w:tc>
          <w:tcPr>
            <w:tcW w:w="922" w:type="dxa"/>
            <w:shd w:val="clear" w:color="auto" w:fill="auto"/>
            <w:vAlign w:val="center"/>
            <w:hideMark/>
          </w:tcPr>
          <w:p w14:paraId="4EE84241" w14:textId="79C82DCA" w:rsidR="006323ED" w:rsidRPr="00724C36" w:rsidRDefault="006323ED" w:rsidP="00737954">
            <w:pPr>
              <w:spacing w:after="0" w:line="276" w:lineRule="auto"/>
              <w:ind w:right="-57"/>
              <w:jc w:val="right"/>
              <w:rPr>
                <w:rFonts w:cs="Arial"/>
                <w:sz w:val="14"/>
                <w:szCs w:val="14"/>
              </w:rPr>
            </w:pPr>
            <w:r w:rsidRPr="00724C36">
              <w:rPr>
                <w:rFonts w:cs="Arial"/>
                <w:sz w:val="14"/>
                <w:szCs w:val="14"/>
              </w:rPr>
              <w:t>388,6</w:t>
            </w:r>
          </w:p>
        </w:tc>
        <w:tc>
          <w:tcPr>
            <w:tcW w:w="1023" w:type="dxa"/>
            <w:shd w:val="clear" w:color="auto" w:fill="auto"/>
            <w:vAlign w:val="center"/>
            <w:hideMark/>
          </w:tcPr>
          <w:p w14:paraId="3F429AD2"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2014</w:t>
            </w:r>
          </w:p>
        </w:tc>
        <w:tc>
          <w:tcPr>
            <w:tcW w:w="680" w:type="dxa"/>
            <w:shd w:val="clear" w:color="auto" w:fill="auto"/>
            <w:noWrap/>
            <w:vAlign w:val="center"/>
            <w:hideMark/>
          </w:tcPr>
          <w:p w14:paraId="793A30A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28,3</w:t>
            </w:r>
          </w:p>
        </w:tc>
        <w:tc>
          <w:tcPr>
            <w:tcW w:w="680" w:type="dxa"/>
            <w:shd w:val="clear" w:color="auto" w:fill="auto"/>
            <w:noWrap/>
            <w:vAlign w:val="center"/>
            <w:hideMark/>
          </w:tcPr>
          <w:p w14:paraId="48691949"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26,9</w:t>
            </w:r>
          </w:p>
        </w:tc>
        <w:tc>
          <w:tcPr>
            <w:tcW w:w="680" w:type="dxa"/>
            <w:shd w:val="clear" w:color="auto" w:fill="auto"/>
            <w:noWrap/>
            <w:vAlign w:val="center"/>
            <w:hideMark/>
          </w:tcPr>
          <w:p w14:paraId="02FBDC5E"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1341A345"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58214C7C"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1080074B"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1AA47E59"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338FD55B"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2FF8C04D"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74F6254F" w14:textId="25E17DA9" w:rsidR="006323ED" w:rsidRPr="00724C36" w:rsidRDefault="006323ED" w:rsidP="00737954">
            <w:pPr>
              <w:spacing w:after="0" w:line="276" w:lineRule="auto"/>
              <w:jc w:val="right"/>
              <w:rPr>
                <w:rFonts w:cs="Arial"/>
                <w:sz w:val="14"/>
                <w:szCs w:val="14"/>
              </w:rPr>
            </w:pPr>
          </w:p>
        </w:tc>
      </w:tr>
      <w:tr w:rsidR="006323ED" w:rsidRPr="00121CFC" w14:paraId="5F3E6470" w14:textId="77777777" w:rsidTr="00737954">
        <w:trPr>
          <w:cantSplit/>
          <w:trHeight w:val="20"/>
          <w:jc w:val="center"/>
        </w:trPr>
        <w:tc>
          <w:tcPr>
            <w:tcW w:w="1702" w:type="dxa"/>
            <w:shd w:val="clear" w:color="auto" w:fill="F2F2F2" w:themeFill="background1" w:themeFillShade="F2"/>
            <w:vAlign w:val="center"/>
            <w:hideMark/>
          </w:tcPr>
          <w:p w14:paraId="49378126" w14:textId="4E70BADF"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και επαναμίσθωση επιλεγμένων κτ</w:t>
            </w:r>
            <w:r w:rsidR="002A3870">
              <w:rPr>
                <w:rFonts w:cs="Arial"/>
                <w:bCs/>
                <w:sz w:val="14"/>
                <w:szCs w:val="14"/>
              </w:rPr>
              <w:t>η</w:t>
            </w:r>
            <w:r w:rsidRPr="00C175C7">
              <w:rPr>
                <w:rFonts w:cs="Arial"/>
                <w:bCs/>
                <w:sz w:val="14"/>
                <w:szCs w:val="14"/>
              </w:rPr>
              <w:t>ρίων του Δημοσίου (28 ακίνητα)</w:t>
            </w:r>
          </w:p>
        </w:tc>
        <w:tc>
          <w:tcPr>
            <w:tcW w:w="850" w:type="dxa"/>
            <w:shd w:val="clear" w:color="auto" w:fill="F2F2F2" w:themeFill="background1" w:themeFillShade="F2"/>
            <w:vAlign w:val="center"/>
            <w:hideMark/>
          </w:tcPr>
          <w:p w14:paraId="71627275"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261,3</w:t>
            </w:r>
          </w:p>
        </w:tc>
        <w:tc>
          <w:tcPr>
            <w:tcW w:w="922" w:type="dxa"/>
            <w:shd w:val="clear" w:color="auto" w:fill="F2F2F2" w:themeFill="background1" w:themeFillShade="F2"/>
            <w:vAlign w:val="center"/>
            <w:hideMark/>
          </w:tcPr>
          <w:p w14:paraId="68CDE2AB" w14:textId="60ABB02B" w:rsidR="006323ED" w:rsidRPr="00724C36" w:rsidRDefault="006323ED" w:rsidP="00737954">
            <w:pPr>
              <w:spacing w:after="0" w:line="276" w:lineRule="auto"/>
              <w:ind w:right="-57"/>
              <w:jc w:val="right"/>
              <w:rPr>
                <w:rFonts w:cs="Arial"/>
                <w:sz w:val="14"/>
                <w:szCs w:val="14"/>
              </w:rPr>
            </w:pPr>
            <w:r w:rsidRPr="00724C36">
              <w:rPr>
                <w:rFonts w:cs="Arial"/>
                <w:sz w:val="14"/>
                <w:szCs w:val="14"/>
              </w:rPr>
              <w:t>261,3</w:t>
            </w:r>
          </w:p>
        </w:tc>
        <w:tc>
          <w:tcPr>
            <w:tcW w:w="1023" w:type="dxa"/>
            <w:shd w:val="clear" w:color="auto" w:fill="F2F2F2" w:themeFill="background1" w:themeFillShade="F2"/>
            <w:vAlign w:val="center"/>
            <w:hideMark/>
          </w:tcPr>
          <w:p w14:paraId="3D7DB72D"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2014</w:t>
            </w:r>
          </w:p>
        </w:tc>
        <w:tc>
          <w:tcPr>
            <w:tcW w:w="680" w:type="dxa"/>
            <w:shd w:val="clear" w:color="auto" w:fill="F2F2F2" w:themeFill="background1" w:themeFillShade="F2"/>
            <w:noWrap/>
            <w:vAlign w:val="center"/>
            <w:hideMark/>
          </w:tcPr>
          <w:p w14:paraId="1AE9194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B7ABFA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F168EB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0F6D7C1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63F2D8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0C1F7A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C4654E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134D5C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2FADAD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CA92006" w14:textId="569E74D1" w:rsidR="006323ED" w:rsidRPr="00724C36" w:rsidRDefault="006323ED" w:rsidP="00737954">
            <w:pPr>
              <w:spacing w:after="0" w:line="276" w:lineRule="auto"/>
              <w:jc w:val="right"/>
              <w:rPr>
                <w:rFonts w:cs="Arial"/>
                <w:sz w:val="14"/>
                <w:szCs w:val="14"/>
              </w:rPr>
            </w:pPr>
          </w:p>
        </w:tc>
      </w:tr>
      <w:tr w:rsidR="006323ED" w:rsidRPr="00121CFC" w14:paraId="6913DE6B" w14:textId="77777777" w:rsidTr="00737954">
        <w:trPr>
          <w:cantSplit/>
          <w:trHeight w:val="20"/>
          <w:jc w:val="center"/>
        </w:trPr>
        <w:tc>
          <w:tcPr>
            <w:tcW w:w="1702" w:type="dxa"/>
            <w:shd w:val="clear" w:color="auto" w:fill="auto"/>
            <w:vAlign w:val="center"/>
            <w:hideMark/>
          </w:tcPr>
          <w:p w14:paraId="77A009DB"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E-AUCTION II</w:t>
            </w:r>
          </w:p>
        </w:tc>
        <w:tc>
          <w:tcPr>
            <w:tcW w:w="850" w:type="dxa"/>
            <w:shd w:val="clear" w:color="auto" w:fill="auto"/>
            <w:vAlign w:val="center"/>
            <w:hideMark/>
          </w:tcPr>
          <w:p w14:paraId="51A70959"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1,8</w:t>
            </w:r>
          </w:p>
        </w:tc>
        <w:tc>
          <w:tcPr>
            <w:tcW w:w="922" w:type="dxa"/>
            <w:shd w:val="clear" w:color="auto" w:fill="auto"/>
            <w:vAlign w:val="center"/>
            <w:hideMark/>
          </w:tcPr>
          <w:p w14:paraId="101E7FAA" w14:textId="4897F1AA" w:rsidR="006323ED" w:rsidRPr="00724C36" w:rsidRDefault="006323ED" w:rsidP="00737954">
            <w:pPr>
              <w:spacing w:after="0" w:line="276" w:lineRule="auto"/>
              <w:ind w:right="-57"/>
              <w:jc w:val="right"/>
              <w:rPr>
                <w:rFonts w:cs="Arial"/>
                <w:sz w:val="14"/>
                <w:szCs w:val="14"/>
              </w:rPr>
            </w:pPr>
            <w:r w:rsidRPr="00724C36">
              <w:rPr>
                <w:rFonts w:cs="Arial"/>
                <w:sz w:val="14"/>
                <w:szCs w:val="14"/>
              </w:rPr>
              <w:t>2,0</w:t>
            </w:r>
          </w:p>
        </w:tc>
        <w:tc>
          <w:tcPr>
            <w:tcW w:w="1023" w:type="dxa"/>
            <w:shd w:val="clear" w:color="auto" w:fill="auto"/>
            <w:vAlign w:val="center"/>
            <w:hideMark/>
          </w:tcPr>
          <w:p w14:paraId="7D14588C"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2015</w:t>
            </w:r>
          </w:p>
        </w:tc>
        <w:tc>
          <w:tcPr>
            <w:tcW w:w="680" w:type="dxa"/>
            <w:shd w:val="clear" w:color="auto" w:fill="auto"/>
            <w:noWrap/>
            <w:vAlign w:val="center"/>
            <w:hideMark/>
          </w:tcPr>
          <w:p w14:paraId="1095F11E"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0,3</w:t>
            </w:r>
          </w:p>
        </w:tc>
        <w:tc>
          <w:tcPr>
            <w:tcW w:w="680" w:type="dxa"/>
            <w:shd w:val="clear" w:color="auto" w:fill="auto"/>
            <w:noWrap/>
            <w:vAlign w:val="center"/>
            <w:hideMark/>
          </w:tcPr>
          <w:p w14:paraId="634FC1EB"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0,8</w:t>
            </w:r>
          </w:p>
        </w:tc>
        <w:tc>
          <w:tcPr>
            <w:tcW w:w="680" w:type="dxa"/>
            <w:shd w:val="clear" w:color="auto" w:fill="auto"/>
            <w:noWrap/>
            <w:vAlign w:val="center"/>
            <w:hideMark/>
          </w:tcPr>
          <w:p w14:paraId="05CF5327"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0,2</w:t>
            </w:r>
          </w:p>
        </w:tc>
        <w:tc>
          <w:tcPr>
            <w:tcW w:w="680" w:type="dxa"/>
            <w:shd w:val="clear" w:color="auto" w:fill="auto"/>
            <w:noWrap/>
            <w:vAlign w:val="center"/>
            <w:hideMark/>
          </w:tcPr>
          <w:p w14:paraId="7DB5BF87"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40819F5F"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47CBC6C5"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6F954370"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4C4911A7"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2A371826"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1EA63389" w14:textId="17F44727" w:rsidR="006323ED" w:rsidRPr="00724C36" w:rsidRDefault="006323ED" w:rsidP="00737954">
            <w:pPr>
              <w:spacing w:after="0" w:line="276" w:lineRule="auto"/>
              <w:jc w:val="right"/>
              <w:rPr>
                <w:rFonts w:cs="Arial"/>
                <w:sz w:val="14"/>
                <w:szCs w:val="14"/>
              </w:rPr>
            </w:pPr>
          </w:p>
        </w:tc>
      </w:tr>
      <w:tr w:rsidR="006323ED" w:rsidRPr="00121CFC" w14:paraId="70275D94" w14:textId="77777777" w:rsidTr="00737954">
        <w:trPr>
          <w:cantSplit/>
          <w:trHeight w:val="20"/>
          <w:jc w:val="center"/>
        </w:trPr>
        <w:tc>
          <w:tcPr>
            <w:tcW w:w="1702" w:type="dxa"/>
            <w:shd w:val="clear" w:color="auto" w:fill="F2F2F2" w:themeFill="background1" w:themeFillShade="F2"/>
            <w:vAlign w:val="center"/>
            <w:hideMark/>
          </w:tcPr>
          <w:p w14:paraId="3A488BEF"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E-AUCTION III</w:t>
            </w:r>
          </w:p>
        </w:tc>
        <w:tc>
          <w:tcPr>
            <w:tcW w:w="850" w:type="dxa"/>
            <w:shd w:val="clear" w:color="auto" w:fill="F2F2F2" w:themeFill="background1" w:themeFillShade="F2"/>
            <w:vAlign w:val="center"/>
            <w:hideMark/>
          </w:tcPr>
          <w:p w14:paraId="0C2D1A3B"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10,3</w:t>
            </w:r>
          </w:p>
        </w:tc>
        <w:tc>
          <w:tcPr>
            <w:tcW w:w="922" w:type="dxa"/>
            <w:shd w:val="clear" w:color="auto" w:fill="F2F2F2" w:themeFill="background1" w:themeFillShade="F2"/>
            <w:vAlign w:val="center"/>
            <w:hideMark/>
          </w:tcPr>
          <w:p w14:paraId="39540B12" w14:textId="249AF3BF" w:rsidR="006323ED" w:rsidRPr="00724C36" w:rsidRDefault="006323ED" w:rsidP="00737954">
            <w:pPr>
              <w:spacing w:after="0" w:line="276" w:lineRule="auto"/>
              <w:ind w:right="-57"/>
              <w:jc w:val="right"/>
              <w:rPr>
                <w:rFonts w:cs="Arial"/>
                <w:sz w:val="14"/>
                <w:szCs w:val="14"/>
              </w:rPr>
            </w:pPr>
            <w:r w:rsidRPr="00724C36">
              <w:rPr>
                <w:rFonts w:cs="Arial"/>
                <w:sz w:val="14"/>
                <w:szCs w:val="14"/>
              </w:rPr>
              <w:t>10,9</w:t>
            </w:r>
          </w:p>
        </w:tc>
        <w:tc>
          <w:tcPr>
            <w:tcW w:w="1023" w:type="dxa"/>
            <w:shd w:val="clear" w:color="auto" w:fill="F2F2F2" w:themeFill="background1" w:themeFillShade="F2"/>
            <w:vAlign w:val="center"/>
            <w:hideMark/>
          </w:tcPr>
          <w:p w14:paraId="68398FDF"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2015</w:t>
            </w:r>
          </w:p>
        </w:tc>
        <w:tc>
          <w:tcPr>
            <w:tcW w:w="680" w:type="dxa"/>
            <w:shd w:val="clear" w:color="auto" w:fill="F2F2F2" w:themeFill="background1" w:themeFillShade="F2"/>
            <w:noWrap/>
            <w:vAlign w:val="center"/>
            <w:hideMark/>
          </w:tcPr>
          <w:p w14:paraId="03515228"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2,0</w:t>
            </w:r>
          </w:p>
        </w:tc>
        <w:tc>
          <w:tcPr>
            <w:tcW w:w="680" w:type="dxa"/>
            <w:shd w:val="clear" w:color="auto" w:fill="F2F2F2" w:themeFill="background1" w:themeFillShade="F2"/>
            <w:noWrap/>
            <w:vAlign w:val="center"/>
            <w:hideMark/>
          </w:tcPr>
          <w:p w14:paraId="61C96A79"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2,1</w:t>
            </w:r>
          </w:p>
        </w:tc>
        <w:tc>
          <w:tcPr>
            <w:tcW w:w="680" w:type="dxa"/>
            <w:shd w:val="clear" w:color="auto" w:fill="F2F2F2" w:themeFill="background1" w:themeFillShade="F2"/>
            <w:noWrap/>
            <w:vAlign w:val="center"/>
            <w:hideMark/>
          </w:tcPr>
          <w:p w14:paraId="070688AB"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0,5</w:t>
            </w:r>
          </w:p>
        </w:tc>
        <w:tc>
          <w:tcPr>
            <w:tcW w:w="680" w:type="dxa"/>
            <w:shd w:val="clear" w:color="auto" w:fill="F2F2F2" w:themeFill="background1" w:themeFillShade="F2"/>
            <w:noWrap/>
            <w:vAlign w:val="center"/>
            <w:hideMark/>
          </w:tcPr>
          <w:p w14:paraId="20B5B109"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7555607C"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7637A6B"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E5C40FF"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4366694"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60A23FE"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E139427" w14:textId="115A52C0" w:rsidR="006323ED" w:rsidRPr="00724C36" w:rsidRDefault="006323ED" w:rsidP="00737954">
            <w:pPr>
              <w:spacing w:after="0" w:line="276" w:lineRule="auto"/>
              <w:jc w:val="right"/>
              <w:rPr>
                <w:rFonts w:cs="Arial"/>
                <w:sz w:val="14"/>
                <w:szCs w:val="14"/>
              </w:rPr>
            </w:pPr>
          </w:p>
        </w:tc>
      </w:tr>
      <w:tr w:rsidR="006323ED" w:rsidRPr="00121CFC" w14:paraId="1ED459FE" w14:textId="77777777" w:rsidTr="00737954">
        <w:trPr>
          <w:cantSplit/>
          <w:trHeight w:val="20"/>
          <w:jc w:val="center"/>
        </w:trPr>
        <w:tc>
          <w:tcPr>
            <w:tcW w:w="1702" w:type="dxa"/>
            <w:shd w:val="clear" w:color="auto" w:fill="auto"/>
            <w:vAlign w:val="center"/>
            <w:hideMark/>
          </w:tcPr>
          <w:p w14:paraId="313DE68F" w14:textId="6D97E9FF"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επιλεγμένων κτ</w:t>
            </w:r>
            <w:r w:rsidR="002A3870">
              <w:rPr>
                <w:rFonts w:cs="Arial"/>
                <w:bCs/>
                <w:sz w:val="14"/>
                <w:szCs w:val="14"/>
              </w:rPr>
              <w:t>η</w:t>
            </w:r>
            <w:r w:rsidRPr="00C175C7">
              <w:rPr>
                <w:rFonts w:cs="Arial"/>
                <w:bCs/>
                <w:sz w:val="14"/>
                <w:szCs w:val="14"/>
              </w:rPr>
              <w:t>ρίων εξωτερικού (Βελιγράδι)</w:t>
            </w:r>
          </w:p>
        </w:tc>
        <w:tc>
          <w:tcPr>
            <w:tcW w:w="850" w:type="dxa"/>
            <w:shd w:val="clear" w:color="auto" w:fill="auto"/>
            <w:vAlign w:val="center"/>
            <w:hideMark/>
          </w:tcPr>
          <w:p w14:paraId="2EC2D617"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2,4</w:t>
            </w:r>
          </w:p>
        </w:tc>
        <w:tc>
          <w:tcPr>
            <w:tcW w:w="922" w:type="dxa"/>
            <w:shd w:val="clear" w:color="auto" w:fill="auto"/>
            <w:vAlign w:val="center"/>
            <w:hideMark/>
          </w:tcPr>
          <w:p w14:paraId="039BF78B" w14:textId="0DE208A3" w:rsidR="006323ED" w:rsidRPr="00724C36" w:rsidRDefault="006323ED" w:rsidP="00737954">
            <w:pPr>
              <w:spacing w:after="0" w:line="276" w:lineRule="auto"/>
              <w:ind w:right="-57"/>
              <w:jc w:val="right"/>
              <w:rPr>
                <w:rFonts w:cs="Arial"/>
                <w:sz w:val="14"/>
                <w:szCs w:val="14"/>
              </w:rPr>
            </w:pPr>
            <w:r w:rsidRPr="00724C36">
              <w:rPr>
                <w:rFonts w:cs="Arial"/>
                <w:sz w:val="14"/>
                <w:szCs w:val="14"/>
              </w:rPr>
              <w:t>2,4</w:t>
            </w:r>
          </w:p>
        </w:tc>
        <w:tc>
          <w:tcPr>
            <w:tcW w:w="1023" w:type="dxa"/>
            <w:shd w:val="clear" w:color="auto" w:fill="auto"/>
            <w:vAlign w:val="center"/>
            <w:hideMark/>
          </w:tcPr>
          <w:p w14:paraId="1174320B"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2015</w:t>
            </w:r>
          </w:p>
        </w:tc>
        <w:tc>
          <w:tcPr>
            <w:tcW w:w="680" w:type="dxa"/>
            <w:shd w:val="clear" w:color="auto" w:fill="auto"/>
            <w:noWrap/>
            <w:vAlign w:val="center"/>
            <w:hideMark/>
          </w:tcPr>
          <w:p w14:paraId="31B0795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A2C7C1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77A144A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0D3099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B23C0B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5A61F8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1144F9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733D392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EC57D7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96ABCA8" w14:textId="51255056" w:rsidR="006323ED" w:rsidRPr="00724C36" w:rsidRDefault="006323ED" w:rsidP="00737954">
            <w:pPr>
              <w:spacing w:after="0" w:line="276" w:lineRule="auto"/>
              <w:jc w:val="right"/>
              <w:rPr>
                <w:rFonts w:cs="Arial"/>
                <w:sz w:val="14"/>
                <w:szCs w:val="14"/>
              </w:rPr>
            </w:pPr>
          </w:p>
        </w:tc>
      </w:tr>
      <w:tr w:rsidR="006323ED" w:rsidRPr="00121CFC" w14:paraId="7CE9D6DD" w14:textId="77777777" w:rsidTr="00737954">
        <w:trPr>
          <w:cantSplit/>
          <w:trHeight w:val="20"/>
          <w:jc w:val="center"/>
        </w:trPr>
        <w:tc>
          <w:tcPr>
            <w:tcW w:w="1702" w:type="dxa"/>
            <w:shd w:val="clear" w:color="auto" w:fill="F2F2F2" w:themeFill="background1" w:themeFillShade="F2"/>
            <w:vAlign w:val="center"/>
            <w:hideMark/>
          </w:tcPr>
          <w:p w14:paraId="538D1A66"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Ξενία Σκιάθου</w:t>
            </w:r>
          </w:p>
        </w:tc>
        <w:tc>
          <w:tcPr>
            <w:tcW w:w="850" w:type="dxa"/>
            <w:shd w:val="clear" w:color="auto" w:fill="F2F2F2" w:themeFill="background1" w:themeFillShade="F2"/>
            <w:vAlign w:val="center"/>
            <w:hideMark/>
          </w:tcPr>
          <w:p w14:paraId="673A8C93"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2,6</w:t>
            </w:r>
          </w:p>
        </w:tc>
        <w:tc>
          <w:tcPr>
            <w:tcW w:w="922" w:type="dxa"/>
            <w:shd w:val="clear" w:color="auto" w:fill="F2F2F2" w:themeFill="background1" w:themeFillShade="F2"/>
            <w:vAlign w:val="center"/>
            <w:hideMark/>
          </w:tcPr>
          <w:p w14:paraId="4C2FD538" w14:textId="3B6D8153" w:rsidR="006323ED" w:rsidRPr="00724C36" w:rsidRDefault="006323ED" w:rsidP="00737954">
            <w:pPr>
              <w:spacing w:after="0" w:line="276" w:lineRule="auto"/>
              <w:ind w:right="-57"/>
              <w:jc w:val="right"/>
              <w:rPr>
                <w:rFonts w:cs="Arial"/>
                <w:sz w:val="14"/>
                <w:szCs w:val="14"/>
              </w:rPr>
            </w:pPr>
            <w:r w:rsidRPr="00724C36">
              <w:rPr>
                <w:rFonts w:cs="Arial"/>
                <w:sz w:val="14"/>
                <w:szCs w:val="14"/>
              </w:rPr>
              <w:t>2,6</w:t>
            </w:r>
          </w:p>
        </w:tc>
        <w:tc>
          <w:tcPr>
            <w:tcW w:w="1023" w:type="dxa"/>
            <w:shd w:val="clear" w:color="auto" w:fill="F2F2F2" w:themeFill="background1" w:themeFillShade="F2"/>
            <w:vAlign w:val="center"/>
            <w:hideMark/>
          </w:tcPr>
          <w:p w14:paraId="62139BCF"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2015</w:t>
            </w:r>
          </w:p>
        </w:tc>
        <w:tc>
          <w:tcPr>
            <w:tcW w:w="680" w:type="dxa"/>
            <w:shd w:val="clear" w:color="auto" w:fill="F2F2F2" w:themeFill="background1" w:themeFillShade="F2"/>
            <w:noWrap/>
            <w:vAlign w:val="center"/>
            <w:hideMark/>
          </w:tcPr>
          <w:p w14:paraId="254D459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0729EB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83EF66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27F517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96514B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5D8FCE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06A57B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AB4241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BD9053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FAA8CD6" w14:textId="1F87E31D" w:rsidR="006323ED" w:rsidRPr="00724C36" w:rsidRDefault="006323ED" w:rsidP="00737954">
            <w:pPr>
              <w:spacing w:after="0" w:line="276" w:lineRule="auto"/>
              <w:jc w:val="right"/>
              <w:rPr>
                <w:rFonts w:cs="Arial"/>
                <w:sz w:val="14"/>
                <w:szCs w:val="14"/>
              </w:rPr>
            </w:pPr>
          </w:p>
        </w:tc>
      </w:tr>
      <w:tr w:rsidR="006323ED" w:rsidRPr="00121CFC" w14:paraId="2A90D629" w14:textId="77777777" w:rsidTr="00737954">
        <w:trPr>
          <w:cantSplit/>
          <w:trHeight w:val="20"/>
          <w:jc w:val="center"/>
        </w:trPr>
        <w:tc>
          <w:tcPr>
            <w:tcW w:w="1702" w:type="dxa"/>
            <w:shd w:val="clear" w:color="auto" w:fill="auto"/>
            <w:vAlign w:val="center"/>
            <w:hideMark/>
          </w:tcPr>
          <w:p w14:paraId="31E4D67F"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Άγιος Ιωάννης</w:t>
            </w:r>
          </w:p>
        </w:tc>
        <w:tc>
          <w:tcPr>
            <w:tcW w:w="850" w:type="dxa"/>
            <w:shd w:val="clear" w:color="auto" w:fill="auto"/>
            <w:vAlign w:val="center"/>
            <w:hideMark/>
          </w:tcPr>
          <w:p w14:paraId="33058381"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9,6</w:t>
            </w:r>
          </w:p>
        </w:tc>
        <w:tc>
          <w:tcPr>
            <w:tcW w:w="922" w:type="dxa"/>
            <w:shd w:val="clear" w:color="auto" w:fill="auto"/>
            <w:vAlign w:val="center"/>
            <w:hideMark/>
          </w:tcPr>
          <w:p w14:paraId="7592BCA2" w14:textId="71BAEF1C" w:rsidR="006323ED" w:rsidRPr="00724C36" w:rsidRDefault="006323ED" w:rsidP="00737954">
            <w:pPr>
              <w:spacing w:after="0" w:line="276" w:lineRule="auto"/>
              <w:ind w:right="-57"/>
              <w:jc w:val="right"/>
              <w:rPr>
                <w:rFonts w:cs="Arial"/>
                <w:sz w:val="14"/>
                <w:szCs w:val="14"/>
              </w:rPr>
            </w:pPr>
            <w:r w:rsidRPr="00724C36">
              <w:rPr>
                <w:rFonts w:cs="Arial"/>
                <w:sz w:val="14"/>
                <w:szCs w:val="14"/>
              </w:rPr>
              <w:t>9,6</w:t>
            </w:r>
          </w:p>
        </w:tc>
        <w:tc>
          <w:tcPr>
            <w:tcW w:w="1023" w:type="dxa"/>
            <w:shd w:val="clear" w:color="auto" w:fill="auto"/>
            <w:vAlign w:val="center"/>
            <w:hideMark/>
          </w:tcPr>
          <w:p w14:paraId="195B8BB7"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2015</w:t>
            </w:r>
          </w:p>
        </w:tc>
        <w:tc>
          <w:tcPr>
            <w:tcW w:w="680" w:type="dxa"/>
            <w:shd w:val="clear" w:color="auto" w:fill="auto"/>
            <w:noWrap/>
            <w:vAlign w:val="center"/>
            <w:hideMark/>
          </w:tcPr>
          <w:p w14:paraId="680B9E8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0CCAF7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773C0E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EBBDD2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8209B8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5FA786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4E91D3F"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E13C4F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77811B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44C9F87" w14:textId="3B208A48" w:rsidR="006323ED" w:rsidRPr="00724C36" w:rsidRDefault="006323ED" w:rsidP="00737954">
            <w:pPr>
              <w:spacing w:after="0" w:line="276" w:lineRule="auto"/>
              <w:jc w:val="right"/>
              <w:rPr>
                <w:rFonts w:cs="Arial"/>
                <w:sz w:val="14"/>
                <w:szCs w:val="14"/>
              </w:rPr>
            </w:pPr>
          </w:p>
        </w:tc>
      </w:tr>
      <w:tr w:rsidR="006323ED" w:rsidRPr="00121CFC" w14:paraId="23BB6176" w14:textId="77777777" w:rsidTr="00737954">
        <w:trPr>
          <w:cantSplit/>
          <w:trHeight w:val="20"/>
          <w:jc w:val="center"/>
        </w:trPr>
        <w:tc>
          <w:tcPr>
            <w:tcW w:w="1702" w:type="dxa"/>
            <w:shd w:val="clear" w:color="auto" w:fill="F2F2F2" w:themeFill="background1" w:themeFillShade="F2"/>
            <w:vAlign w:val="center"/>
            <w:hideMark/>
          </w:tcPr>
          <w:p w14:paraId="1174ADC0"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Αμοιβαίο Ιπποδρομιακό Στοίχημα</w:t>
            </w:r>
          </w:p>
        </w:tc>
        <w:tc>
          <w:tcPr>
            <w:tcW w:w="850" w:type="dxa"/>
            <w:shd w:val="clear" w:color="auto" w:fill="F2F2F2" w:themeFill="background1" w:themeFillShade="F2"/>
            <w:vAlign w:val="center"/>
            <w:hideMark/>
          </w:tcPr>
          <w:p w14:paraId="443A63D5"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40,5</w:t>
            </w:r>
          </w:p>
        </w:tc>
        <w:tc>
          <w:tcPr>
            <w:tcW w:w="922" w:type="dxa"/>
            <w:shd w:val="clear" w:color="auto" w:fill="F2F2F2" w:themeFill="background1" w:themeFillShade="F2"/>
            <w:vAlign w:val="center"/>
            <w:hideMark/>
          </w:tcPr>
          <w:p w14:paraId="0F14CE5B" w14:textId="1C4CCDA4" w:rsidR="006323ED" w:rsidRPr="00724C36" w:rsidRDefault="006323ED" w:rsidP="00737954">
            <w:pPr>
              <w:spacing w:after="0" w:line="276" w:lineRule="auto"/>
              <w:ind w:right="-57"/>
              <w:jc w:val="right"/>
              <w:rPr>
                <w:rFonts w:cs="Arial"/>
                <w:sz w:val="14"/>
                <w:szCs w:val="14"/>
              </w:rPr>
            </w:pPr>
            <w:r w:rsidRPr="00724C36">
              <w:rPr>
                <w:rFonts w:cs="Arial"/>
                <w:sz w:val="14"/>
                <w:szCs w:val="14"/>
              </w:rPr>
              <w:t>40,5</w:t>
            </w:r>
          </w:p>
        </w:tc>
        <w:tc>
          <w:tcPr>
            <w:tcW w:w="1023" w:type="dxa"/>
            <w:shd w:val="clear" w:color="auto" w:fill="F2F2F2" w:themeFill="background1" w:themeFillShade="F2"/>
            <w:vAlign w:val="center"/>
            <w:hideMark/>
          </w:tcPr>
          <w:p w14:paraId="2C3D22B8"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2015</w:t>
            </w:r>
          </w:p>
        </w:tc>
        <w:tc>
          <w:tcPr>
            <w:tcW w:w="680" w:type="dxa"/>
            <w:shd w:val="clear" w:color="auto" w:fill="F2F2F2" w:themeFill="background1" w:themeFillShade="F2"/>
            <w:noWrap/>
            <w:vAlign w:val="center"/>
            <w:hideMark/>
          </w:tcPr>
          <w:p w14:paraId="4069C662"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20,2</w:t>
            </w:r>
          </w:p>
        </w:tc>
        <w:tc>
          <w:tcPr>
            <w:tcW w:w="680" w:type="dxa"/>
            <w:shd w:val="clear" w:color="auto" w:fill="F2F2F2" w:themeFill="background1" w:themeFillShade="F2"/>
            <w:noWrap/>
            <w:vAlign w:val="center"/>
            <w:hideMark/>
          </w:tcPr>
          <w:p w14:paraId="34EC79C4"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F0817B6"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24829436"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07C8F18"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058A5D65"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282D9EB8"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792EC711"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297C94B"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4120E4C" w14:textId="6A65AF37" w:rsidR="006323ED" w:rsidRPr="00724C36" w:rsidRDefault="006323ED" w:rsidP="00737954">
            <w:pPr>
              <w:spacing w:after="0" w:line="276" w:lineRule="auto"/>
              <w:jc w:val="right"/>
              <w:rPr>
                <w:rFonts w:cs="Arial"/>
                <w:sz w:val="14"/>
                <w:szCs w:val="14"/>
              </w:rPr>
            </w:pPr>
          </w:p>
        </w:tc>
      </w:tr>
      <w:tr w:rsidR="006323ED" w:rsidRPr="00121CFC" w14:paraId="320923F8" w14:textId="77777777" w:rsidTr="00737954">
        <w:trPr>
          <w:cantSplit/>
          <w:trHeight w:val="20"/>
          <w:jc w:val="center"/>
        </w:trPr>
        <w:tc>
          <w:tcPr>
            <w:tcW w:w="1702" w:type="dxa"/>
            <w:shd w:val="clear" w:color="auto" w:fill="auto"/>
            <w:vAlign w:val="center"/>
            <w:hideMark/>
          </w:tcPr>
          <w:p w14:paraId="6696BC43"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Σανατόριο Μάνα</w:t>
            </w:r>
          </w:p>
        </w:tc>
        <w:tc>
          <w:tcPr>
            <w:tcW w:w="850" w:type="dxa"/>
            <w:shd w:val="clear" w:color="auto" w:fill="auto"/>
            <w:vAlign w:val="center"/>
            <w:hideMark/>
          </w:tcPr>
          <w:p w14:paraId="3FC152B9"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0,8</w:t>
            </w:r>
          </w:p>
        </w:tc>
        <w:tc>
          <w:tcPr>
            <w:tcW w:w="922" w:type="dxa"/>
            <w:shd w:val="clear" w:color="auto" w:fill="auto"/>
            <w:vAlign w:val="center"/>
            <w:hideMark/>
          </w:tcPr>
          <w:p w14:paraId="768F4AC3" w14:textId="638F53CB" w:rsidR="006323ED" w:rsidRPr="00724C36" w:rsidRDefault="006323ED" w:rsidP="00737954">
            <w:pPr>
              <w:spacing w:after="0" w:line="276" w:lineRule="auto"/>
              <w:ind w:right="-57"/>
              <w:jc w:val="right"/>
              <w:rPr>
                <w:rFonts w:cs="Arial"/>
                <w:sz w:val="14"/>
                <w:szCs w:val="14"/>
              </w:rPr>
            </w:pPr>
            <w:r w:rsidRPr="00724C36">
              <w:rPr>
                <w:rFonts w:cs="Arial"/>
                <w:sz w:val="14"/>
                <w:szCs w:val="14"/>
              </w:rPr>
              <w:t>0,2</w:t>
            </w:r>
          </w:p>
        </w:tc>
        <w:tc>
          <w:tcPr>
            <w:tcW w:w="1023" w:type="dxa"/>
            <w:shd w:val="clear" w:color="auto" w:fill="auto"/>
            <w:vAlign w:val="center"/>
            <w:hideMark/>
          </w:tcPr>
          <w:p w14:paraId="72340696"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2015</w:t>
            </w:r>
          </w:p>
        </w:tc>
        <w:tc>
          <w:tcPr>
            <w:tcW w:w="680" w:type="dxa"/>
            <w:shd w:val="clear" w:color="auto" w:fill="auto"/>
            <w:noWrap/>
            <w:vAlign w:val="center"/>
            <w:hideMark/>
          </w:tcPr>
          <w:p w14:paraId="50ED8A20"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0,0</w:t>
            </w:r>
          </w:p>
        </w:tc>
        <w:tc>
          <w:tcPr>
            <w:tcW w:w="680" w:type="dxa"/>
            <w:shd w:val="clear" w:color="auto" w:fill="auto"/>
            <w:noWrap/>
            <w:vAlign w:val="center"/>
            <w:hideMark/>
          </w:tcPr>
          <w:p w14:paraId="43D8BB2D"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w:t>
            </w:r>
          </w:p>
        </w:tc>
        <w:tc>
          <w:tcPr>
            <w:tcW w:w="680" w:type="dxa"/>
            <w:shd w:val="clear" w:color="auto" w:fill="auto"/>
            <w:noWrap/>
            <w:vAlign w:val="center"/>
            <w:hideMark/>
          </w:tcPr>
          <w:p w14:paraId="6C91871C"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w:t>
            </w:r>
          </w:p>
        </w:tc>
        <w:tc>
          <w:tcPr>
            <w:tcW w:w="680" w:type="dxa"/>
            <w:shd w:val="clear" w:color="auto" w:fill="auto"/>
            <w:noWrap/>
            <w:vAlign w:val="center"/>
            <w:hideMark/>
          </w:tcPr>
          <w:p w14:paraId="25F92E3E"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w:t>
            </w:r>
          </w:p>
        </w:tc>
        <w:tc>
          <w:tcPr>
            <w:tcW w:w="680" w:type="dxa"/>
            <w:shd w:val="clear" w:color="auto" w:fill="auto"/>
            <w:noWrap/>
            <w:vAlign w:val="center"/>
            <w:hideMark/>
          </w:tcPr>
          <w:p w14:paraId="636FB7BE"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w:t>
            </w:r>
          </w:p>
        </w:tc>
        <w:tc>
          <w:tcPr>
            <w:tcW w:w="680" w:type="dxa"/>
            <w:shd w:val="clear" w:color="auto" w:fill="auto"/>
            <w:noWrap/>
            <w:vAlign w:val="center"/>
            <w:hideMark/>
          </w:tcPr>
          <w:p w14:paraId="4FE8EF34"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w:t>
            </w:r>
          </w:p>
        </w:tc>
        <w:tc>
          <w:tcPr>
            <w:tcW w:w="680" w:type="dxa"/>
            <w:shd w:val="clear" w:color="auto" w:fill="auto"/>
            <w:noWrap/>
            <w:vAlign w:val="center"/>
            <w:hideMark/>
          </w:tcPr>
          <w:p w14:paraId="362D8F68"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w:t>
            </w:r>
          </w:p>
        </w:tc>
        <w:tc>
          <w:tcPr>
            <w:tcW w:w="680" w:type="dxa"/>
            <w:shd w:val="clear" w:color="auto" w:fill="auto"/>
            <w:noWrap/>
            <w:vAlign w:val="center"/>
            <w:hideMark/>
          </w:tcPr>
          <w:p w14:paraId="0CE369BE"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0B5C5327"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6FEEAA53" w14:textId="59FFC09F" w:rsidR="006323ED" w:rsidRPr="00724C36" w:rsidRDefault="006323ED" w:rsidP="00737954">
            <w:pPr>
              <w:spacing w:after="0" w:line="276" w:lineRule="auto"/>
              <w:jc w:val="right"/>
              <w:rPr>
                <w:rFonts w:cs="Arial"/>
                <w:sz w:val="14"/>
                <w:szCs w:val="14"/>
              </w:rPr>
            </w:pPr>
          </w:p>
        </w:tc>
      </w:tr>
      <w:tr w:rsidR="006323ED" w:rsidRPr="00121CFC" w14:paraId="48626872" w14:textId="77777777" w:rsidTr="00737954">
        <w:trPr>
          <w:cantSplit/>
          <w:trHeight w:val="20"/>
          <w:jc w:val="center"/>
        </w:trPr>
        <w:tc>
          <w:tcPr>
            <w:tcW w:w="1702" w:type="dxa"/>
            <w:shd w:val="clear" w:color="auto" w:fill="F2F2F2" w:themeFill="background1" w:themeFillShade="F2"/>
            <w:vAlign w:val="center"/>
            <w:hideMark/>
          </w:tcPr>
          <w:p w14:paraId="23B5B7A3" w14:textId="18E84D2C" w:rsidR="006323ED" w:rsidRPr="00C175C7" w:rsidRDefault="006323ED" w:rsidP="00737954">
            <w:pPr>
              <w:spacing w:after="0" w:line="276" w:lineRule="auto"/>
              <w:jc w:val="left"/>
              <w:rPr>
                <w:rFonts w:cs="Arial"/>
                <w:bCs/>
                <w:sz w:val="14"/>
                <w:szCs w:val="14"/>
              </w:rPr>
            </w:pPr>
            <w:r w:rsidRPr="00C175C7">
              <w:rPr>
                <w:rFonts w:cs="Arial"/>
                <w:bCs/>
                <w:sz w:val="14"/>
                <w:szCs w:val="14"/>
              </w:rPr>
              <w:t>E-AUCTION IV</w:t>
            </w:r>
          </w:p>
        </w:tc>
        <w:tc>
          <w:tcPr>
            <w:tcW w:w="850" w:type="dxa"/>
            <w:shd w:val="clear" w:color="auto" w:fill="F2F2F2" w:themeFill="background1" w:themeFillShade="F2"/>
            <w:noWrap/>
            <w:vAlign w:val="center"/>
            <w:hideMark/>
          </w:tcPr>
          <w:p w14:paraId="0D52BA31"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0,5</w:t>
            </w:r>
          </w:p>
        </w:tc>
        <w:tc>
          <w:tcPr>
            <w:tcW w:w="922" w:type="dxa"/>
            <w:shd w:val="clear" w:color="auto" w:fill="F2F2F2" w:themeFill="background1" w:themeFillShade="F2"/>
            <w:vAlign w:val="center"/>
            <w:hideMark/>
          </w:tcPr>
          <w:p w14:paraId="39BD9256" w14:textId="50D4120C" w:rsidR="006323ED" w:rsidRPr="00724C36" w:rsidRDefault="006323ED" w:rsidP="00737954">
            <w:pPr>
              <w:spacing w:after="0" w:line="276" w:lineRule="auto"/>
              <w:ind w:right="-57"/>
              <w:jc w:val="right"/>
              <w:rPr>
                <w:rFonts w:cs="Arial"/>
                <w:sz w:val="14"/>
                <w:szCs w:val="14"/>
              </w:rPr>
            </w:pPr>
            <w:r w:rsidRPr="00724C36">
              <w:rPr>
                <w:rFonts w:cs="Arial"/>
                <w:sz w:val="14"/>
                <w:szCs w:val="14"/>
              </w:rPr>
              <w:t>0,5</w:t>
            </w:r>
          </w:p>
        </w:tc>
        <w:tc>
          <w:tcPr>
            <w:tcW w:w="1023" w:type="dxa"/>
            <w:shd w:val="clear" w:color="auto" w:fill="F2F2F2" w:themeFill="background1" w:themeFillShade="F2"/>
            <w:vAlign w:val="center"/>
            <w:hideMark/>
          </w:tcPr>
          <w:p w14:paraId="38A3D159"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2015</w:t>
            </w:r>
          </w:p>
        </w:tc>
        <w:tc>
          <w:tcPr>
            <w:tcW w:w="680" w:type="dxa"/>
            <w:shd w:val="clear" w:color="auto" w:fill="F2F2F2" w:themeFill="background1" w:themeFillShade="F2"/>
            <w:noWrap/>
            <w:vAlign w:val="center"/>
            <w:hideMark/>
          </w:tcPr>
          <w:p w14:paraId="7FA31094"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0,06</w:t>
            </w:r>
          </w:p>
        </w:tc>
        <w:tc>
          <w:tcPr>
            <w:tcW w:w="680" w:type="dxa"/>
            <w:shd w:val="clear" w:color="auto" w:fill="F2F2F2" w:themeFill="background1" w:themeFillShade="F2"/>
            <w:noWrap/>
            <w:vAlign w:val="center"/>
            <w:hideMark/>
          </w:tcPr>
          <w:p w14:paraId="2DC00862"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0,05</w:t>
            </w:r>
          </w:p>
        </w:tc>
        <w:tc>
          <w:tcPr>
            <w:tcW w:w="680" w:type="dxa"/>
            <w:shd w:val="clear" w:color="auto" w:fill="F2F2F2" w:themeFill="background1" w:themeFillShade="F2"/>
            <w:noWrap/>
            <w:vAlign w:val="center"/>
            <w:hideMark/>
          </w:tcPr>
          <w:p w14:paraId="3B0E72F1"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0,05</w:t>
            </w:r>
          </w:p>
        </w:tc>
        <w:tc>
          <w:tcPr>
            <w:tcW w:w="680" w:type="dxa"/>
            <w:shd w:val="clear" w:color="auto" w:fill="F2F2F2" w:themeFill="background1" w:themeFillShade="F2"/>
            <w:noWrap/>
            <w:vAlign w:val="center"/>
            <w:hideMark/>
          </w:tcPr>
          <w:p w14:paraId="345C4B23"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0,05</w:t>
            </w:r>
          </w:p>
        </w:tc>
        <w:tc>
          <w:tcPr>
            <w:tcW w:w="680" w:type="dxa"/>
            <w:shd w:val="clear" w:color="auto" w:fill="F2F2F2" w:themeFill="background1" w:themeFillShade="F2"/>
            <w:noWrap/>
            <w:vAlign w:val="center"/>
            <w:hideMark/>
          </w:tcPr>
          <w:p w14:paraId="53BB5169"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542EFEDD"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29F43655"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8D530C0"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5BBEF5F"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55DADD23" w14:textId="438D8654" w:rsidR="006323ED" w:rsidRPr="00724C36" w:rsidRDefault="006323ED" w:rsidP="00737954">
            <w:pPr>
              <w:spacing w:after="0" w:line="276" w:lineRule="auto"/>
              <w:jc w:val="right"/>
              <w:rPr>
                <w:rFonts w:cs="Arial"/>
                <w:sz w:val="14"/>
                <w:szCs w:val="14"/>
              </w:rPr>
            </w:pPr>
          </w:p>
        </w:tc>
      </w:tr>
      <w:tr w:rsidR="006323ED" w:rsidRPr="00121CFC" w14:paraId="6C8CEE3B" w14:textId="77777777" w:rsidTr="00737954">
        <w:trPr>
          <w:cantSplit/>
          <w:trHeight w:val="20"/>
          <w:jc w:val="center"/>
        </w:trPr>
        <w:tc>
          <w:tcPr>
            <w:tcW w:w="1702" w:type="dxa"/>
            <w:shd w:val="clear" w:color="auto" w:fill="auto"/>
            <w:vAlign w:val="center"/>
          </w:tcPr>
          <w:p w14:paraId="45C79F54" w14:textId="1E8A1623"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επιλεγμένων κτ</w:t>
            </w:r>
            <w:r w:rsidR="002A3870">
              <w:rPr>
                <w:rFonts w:cs="Arial"/>
                <w:bCs/>
                <w:sz w:val="14"/>
                <w:szCs w:val="14"/>
              </w:rPr>
              <w:t>η</w:t>
            </w:r>
            <w:r w:rsidRPr="00C175C7">
              <w:rPr>
                <w:rFonts w:cs="Arial"/>
                <w:bCs/>
                <w:sz w:val="14"/>
                <w:szCs w:val="14"/>
              </w:rPr>
              <w:t>ρίων εξωτερικού (Νέα Υόρκη, Ουάσιγκτον</w:t>
            </w:r>
            <w:r>
              <w:rPr>
                <w:rFonts w:cs="Arial"/>
                <w:bCs/>
                <w:sz w:val="14"/>
                <w:szCs w:val="14"/>
              </w:rPr>
              <w:t>)</w:t>
            </w:r>
          </w:p>
        </w:tc>
        <w:tc>
          <w:tcPr>
            <w:tcW w:w="850" w:type="dxa"/>
            <w:shd w:val="clear" w:color="auto" w:fill="auto"/>
            <w:noWrap/>
            <w:vAlign w:val="center"/>
          </w:tcPr>
          <w:p w14:paraId="163831DC" w14:textId="188A3BDE" w:rsidR="006323ED" w:rsidRPr="00BA453D" w:rsidRDefault="006323ED" w:rsidP="00737954">
            <w:pPr>
              <w:spacing w:after="0" w:line="276" w:lineRule="auto"/>
              <w:ind w:right="-57"/>
              <w:jc w:val="right"/>
              <w:rPr>
                <w:rFonts w:cs="Arial"/>
                <w:sz w:val="14"/>
                <w:szCs w:val="14"/>
              </w:rPr>
            </w:pPr>
            <w:r w:rsidRPr="00BA453D">
              <w:rPr>
                <w:rFonts w:cs="Arial"/>
                <w:sz w:val="14"/>
                <w:szCs w:val="14"/>
              </w:rPr>
              <w:t>10,6</w:t>
            </w:r>
          </w:p>
        </w:tc>
        <w:tc>
          <w:tcPr>
            <w:tcW w:w="922" w:type="dxa"/>
            <w:shd w:val="clear" w:color="auto" w:fill="auto"/>
            <w:vAlign w:val="center"/>
          </w:tcPr>
          <w:p w14:paraId="04DD7E52" w14:textId="15661D35" w:rsidR="006323ED" w:rsidRPr="00724C36" w:rsidRDefault="006323ED" w:rsidP="00737954">
            <w:pPr>
              <w:spacing w:after="0" w:line="276" w:lineRule="auto"/>
              <w:ind w:right="-57"/>
              <w:jc w:val="right"/>
              <w:rPr>
                <w:rFonts w:cs="Arial"/>
                <w:sz w:val="14"/>
                <w:szCs w:val="14"/>
              </w:rPr>
            </w:pPr>
            <w:r w:rsidRPr="00724C36">
              <w:rPr>
                <w:rFonts w:cs="Arial"/>
                <w:sz w:val="14"/>
                <w:szCs w:val="14"/>
              </w:rPr>
              <w:t>10,6</w:t>
            </w:r>
          </w:p>
        </w:tc>
        <w:tc>
          <w:tcPr>
            <w:tcW w:w="1023" w:type="dxa"/>
            <w:shd w:val="clear" w:color="auto" w:fill="auto"/>
            <w:vAlign w:val="center"/>
          </w:tcPr>
          <w:p w14:paraId="4043C883" w14:textId="25612027" w:rsidR="006323ED" w:rsidRPr="00724C36" w:rsidRDefault="006323ED" w:rsidP="00737954">
            <w:pPr>
              <w:spacing w:after="0" w:line="276" w:lineRule="auto"/>
              <w:jc w:val="center"/>
              <w:rPr>
                <w:rFonts w:cs="Arial"/>
                <w:sz w:val="14"/>
                <w:szCs w:val="14"/>
              </w:rPr>
            </w:pPr>
            <w:r w:rsidRPr="00724C36">
              <w:rPr>
                <w:rFonts w:cs="Arial"/>
                <w:sz w:val="14"/>
                <w:szCs w:val="14"/>
              </w:rPr>
              <w:t>2016</w:t>
            </w:r>
          </w:p>
        </w:tc>
        <w:tc>
          <w:tcPr>
            <w:tcW w:w="680" w:type="dxa"/>
            <w:shd w:val="clear" w:color="auto" w:fill="auto"/>
            <w:noWrap/>
            <w:vAlign w:val="center"/>
          </w:tcPr>
          <w:p w14:paraId="03701054" w14:textId="77777777" w:rsidR="006323ED" w:rsidRPr="00724C36" w:rsidRDefault="006323ED" w:rsidP="00737954">
            <w:pPr>
              <w:spacing w:after="0" w:line="276" w:lineRule="auto"/>
              <w:jc w:val="right"/>
              <w:rPr>
                <w:rFonts w:cs="Arial"/>
                <w:sz w:val="14"/>
                <w:szCs w:val="14"/>
              </w:rPr>
            </w:pPr>
          </w:p>
        </w:tc>
        <w:tc>
          <w:tcPr>
            <w:tcW w:w="680" w:type="dxa"/>
            <w:shd w:val="clear" w:color="auto" w:fill="auto"/>
            <w:noWrap/>
            <w:vAlign w:val="center"/>
          </w:tcPr>
          <w:p w14:paraId="7D2F059C" w14:textId="77777777" w:rsidR="006323ED" w:rsidRPr="00724C36" w:rsidRDefault="006323ED" w:rsidP="00737954">
            <w:pPr>
              <w:spacing w:after="0" w:line="276" w:lineRule="auto"/>
              <w:jc w:val="right"/>
              <w:rPr>
                <w:rFonts w:cs="Arial"/>
                <w:sz w:val="14"/>
                <w:szCs w:val="14"/>
              </w:rPr>
            </w:pPr>
          </w:p>
        </w:tc>
        <w:tc>
          <w:tcPr>
            <w:tcW w:w="680" w:type="dxa"/>
            <w:shd w:val="clear" w:color="auto" w:fill="auto"/>
            <w:noWrap/>
            <w:vAlign w:val="center"/>
          </w:tcPr>
          <w:p w14:paraId="0FF71A20" w14:textId="77777777" w:rsidR="006323ED" w:rsidRPr="00724C36" w:rsidRDefault="006323ED" w:rsidP="00737954">
            <w:pPr>
              <w:spacing w:after="0" w:line="276" w:lineRule="auto"/>
              <w:jc w:val="right"/>
              <w:rPr>
                <w:rFonts w:cs="Arial"/>
                <w:sz w:val="14"/>
                <w:szCs w:val="14"/>
              </w:rPr>
            </w:pPr>
          </w:p>
        </w:tc>
        <w:tc>
          <w:tcPr>
            <w:tcW w:w="680" w:type="dxa"/>
            <w:shd w:val="clear" w:color="auto" w:fill="auto"/>
            <w:noWrap/>
            <w:vAlign w:val="center"/>
          </w:tcPr>
          <w:p w14:paraId="15B1F932" w14:textId="77777777" w:rsidR="006323ED" w:rsidRPr="00724C36" w:rsidRDefault="006323ED" w:rsidP="00737954">
            <w:pPr>
              <w:spacing w:after="0" w:line="276" w:lineRule="auto"/>
              <w:jc w:val="right"/>
              <w:rPr>
                <w:rFonts w:cs="Arial"/>
                <w:sz w:val="14"/>
                <w:szCs w:val="14"/>
              </w:rPr>
            </w:pPr>
          </w:p>
        </w:tc>
        <w:tc>
          <w:tcPr>
            <w:tcW w:w="680" w:type="dxa"/>
            <w:shd w:val="clear" w:color="auto" w:fill="auto"/>
            <w:noWrap/>
            <w:vAlign w:val="center"/>
          </w:tcPr>
          <w:p w14:paraId="67B1B626" w14:textId="77777777" w:rsidR="006323ED" w:rsidRPr="00724C36" w:rsidRDefault="006323ED" w:rsidP="00737954">
            <w:pPr>
              <w:spacing w:after="0" w:line="276" w:lineRule="auto"/>
              <w:jc w:val="right"/>
              <w:rPr>
                <w:rFonts w:cs="Arial"/>
                <w:sz w:val="14"/>
                <w:szCs w:val="14"/>
              </w:rPr>
            </w:pPr>
          </w:p>
        </w:tc>
        <w:tc>
          <w:tcPr>
            <w:tcW w:w="680" w:type="dxa"/>
            <w:shd w:val="clear" w:color="auto" w:fill="auto"/>
            <w:noWrap/>
            <w:vAlign w:val="center"/>
          </w:tcPr>
          <w:p w14:paraId="27A5B87B" w14:textId="77777777" w:rsidR="006323ED" w:rsidRPr="002B17A3" w:rsidRDefault="006323ED" w:rsidP="00737954">
            <w:pPr>
              <w:spacing w:after="0" w:line="276" w:lineRule="auto"/>
              <w:jc w:val="right"/>
              <w:rPr>
                <w:rFonts w:cs="Arial"/>
                <w:sz w:val="14"/>
                <w:szCs w:val="14"/>
              </w:rPr>
            </w:pPr>
          </w:p>
        </w:tc>
        <w:tc>
          <w:tcPr>
            <w:tcW w:w="680" w:type="dxa"/>
            <w:shd w:val="clear" w:color="auto" w:fill="auto"/>
            <w:noWrap/>
            <w:vAlign w:val="center"/>
          </w:tcPr>
          <w:p w14:paraId="1BA31702" w14:textId="77777777" w:rsidR="006323ED" w:rsidRPr="002B17A3" w:rsidRDefault="006323ED" w:rsidP="00737954">
            <w:pPr>
              <w:spacing w:after="0" w:line="276" w:lineRule="auto"/>
              <w:jc w:val="right"/>
              <w:rPr>
                <w:rFonts w:cs="Arial"/>
                <w:sz w:val="14"/>
                <w:szCs w:val="14"/>
              </w:rPr>
            </w:pPr>
          </w:p>
        </w:tc>
        <w:tc>
          <w:tcPr>
            <w:tcW w:w="680" w:type="dxa"/>
            <w:shd w:val="clear" w:color="auto" w:fill="auto"/>
            <w:noWrap/>
            <w:vAlign w:val="center"/>
          </w:tcPr>
          <w:p w14:paraId="5AB676C6" w14:textId="77777777" w:rsidR="006323ED" w:rsidRPr="002B17A3" w:rsidRDefault="006323ED" w:rsidP="00737954">
            <w:pPr>
              <w:spacing w:after="0" w:line="276" w:lineRule="auto"/>
              <w:jc w:val="right"/>
              <w:rPr>
                <w:rFonts w:cs="Arial"/>
                <w:sz w:val="14"/>
                <w:szCs w:val="14"/>
              </w:rPr>
            </w:pPr>
          </w:p>
        </w:tc>
        <w:tc>
          <w:tcPr>
            <w:tcW w:w="680" w:type="dxa"/>
            <w:shd w:val="clear" w:color="auto" w:fill="auto"/>
            <w:noWrap/>
            <w:vAlign w:val="center"/>
          </w:tcPr>
          <w:p w14:paraId="24F77BF9" w14:textId="77777777" w:rsidR="006323ED" w:rsidRPr="002B17A3" w:rsidRDefault="006323ED" w:rsidP="00737954">
            <w:pPr>
              <w:spacing w:after="0" w:line="276" w:lineRule="auto"/>
              <w:jc w:val="right"/>
              <w:rPr>
                <w:rFonts w:cs="Arial"/>
                <w:sz w:val="14"/>
                <w:szCs w:val="14"/>
              </w:rPr>
            </w:pPr>
          </w:p>
        </w:tc>
        <w:tc>
          <w:tcPr>
            <w:tcW w:w="680" w:type="dxa"/>
            <w:shd w:val="clear" w:color="auto" w:fill="auto"/>
            <w:noWrap/>
            <w:vAlign w:val="center"/>
          </w:tcPr>
          <w:p w14:paraId="455BC477" w14:textId="77777777" w:rsidR="006323ED" w:rsidRPr="00724C36" w:rsidRDefault="006323ED" w:rsidP="00737954">
            <w:pPr>
              <w:spacing w:after="0" w:line="276" w:lineRule="auto"/>
              <w:jc w:val="right"/>
              <w:rPr>
                <w:rFonts w:cs="Arial"/>
                <w:sz w:val="14"/>
                <w:szCs w:val="14"/>
              </w:rPr>
            </w:pPr>
          </w:p>
        </w:tc>
      </w:tr>
      <w:tr w:rsidR="006323ED" w:rsidRPr="00121CFC" w14:paraId="29F8DB16" w14:textId="77777777" w:rsidTr="00737954">
        <w:trPr>
          <w:cantSplit/>
          <w:trHeight w:val="20"/>
          <w:jc w:val="center"/>
        </w:trPr>
        <w:tc>
          <w:tcPr>
            <w:tcW w:w="1702" w:type="dxa"/>
            <w:shd w:val="clear" w:color="auto" w:fill="F2F2F2" w:themeFill="background1" w:themeFillShade="F2"/>
            <w:vAlign w:val="center"/>
            <w:hideMark/>
          </w:tcPr>
          <w:p w14:paraId="52D538C6" w14:textId="735640A4"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επιλεγμένων κτ</w:t>
            </w:r>
            <w:r w:rsidR="002A3870">
              <w:rPr>
                <w:rFonts w:cs="Arial"/>
                <w:bCs/>
                <w:sz w:val="14"/>
                <w:szCs w:val="14"/>
              </w:rPr>
              <w:t>η</w:t>
            </w:r>
            <w:r w:rsidRPr="00C175C7">
              <w:rPr>
                <w:rFonts w:cs="Arial"/>
                <w:bCs/>
                <w:sz w:val="14"/>
                <w:szCs w:val="14"/>
              </w:rPr>
              <w:t>ρίων εξωτερικού (Ρώμη, Ερεβάν)</w:t>
            </w:r>
          </w:p>
        </w:tc>
        <w:tc>
          <w:tcPr>
            <w:tcW w:w="850" w:type="dxa"/>
            <w:shd w:val="clear" w:color="auto" w:fill="F2F2F2" w:themeFill="background1" w:themeFillShade="F2"/>
            <w:noWrap/>
            <w:vAlign w:val="center"/>
            <w:hideMark/>
          </w:tcPr>
          <w:p w14:paraId="58EFF046"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10,2</w:t>
            </w:r>
          </w:p>
        </w:tc>
        <w:tc>
          <w:tcPr>
            <w:tcW w:w="922" w:type="dxa"/>
            <w:shd w:val="clear" w:color="auto" w:fill="F2F2F2" w:themeFill="background1" w:themeFillShade="F2"/>
            <w:vAlign w:val="center"/>
            <w:hideMark/>
          </w:tcPr>
          <w:p w14:paraId="07E1A04C" w14:textId="553A34BE" w:rsidR="006323ED" w:rsidRPr="00724C36" w:rsidRDefault="006323ED" w:rsidP="00737954">
            <w:pPr>
              <w:spacing w:after="0" w:line="276" w:lineRule="auto"/>
              <w:ind w:right="-57"/>
              <w:jc w:val="right"/>
              <w:rPr>
                <w:rFonts w:cs="Arial"/>
                <w:sz w:val="14"/>
                <w:szCs w:val="14"/>
              </w:rPr>
            </w:pPr>
            <w:r w:rsidRPr="00724C36">
              <w:rPr>
                <w:rFonts w:cs="Arial"/>
                <w:sz w:val="14"/>
                <w:szCs w:val="14"/>
              </w:rPr>
              <w:t>10,2</w:t>
            </w:r>
          </w:p>
        </w:tc>
        <w:tc>
          <w:tcPr>
            <w:tcW w:w="1023" w:type="dxa"/>
            <w:shd w:val="clear" w:color="auto" w:fill="F2F2F2" w:themeFill="background1" w:themeFillShade="F2"/>
            <w:noWrap/>
            <w:vAlign w:val="center"/>
            <w:hideMark/>
          </w:tcPr>
          <w:p w14:paraId="75CF488A"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2016</w:t>
            </w:r>
          </w:p>
        </w:tc>
        <w:tc>
          <w:tcPr>
            <w:tcW w:w="680" w:type="dxa"/>
            <w:shd w:val="clear" w:color="auto" w:fill="F2F2F2" w:themeFill="background1" w:themeFillShade="F2"/>
            <w:noWrap/>
            <w:vAlign w:val="center"/>
            <w:hideMark/>
          </w:tcPr>
          <w:p w14:paraId="2C1EDA88"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36B26BBF" w14:textId="77777777" w:rsidR="006323ED" w:rsidRPr="002B17A3"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75DC5E24" w14:textId="77777777" w:rsidR="006323ED" w:rsidRPr="002B17A3"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22149087" w14:textId="77777777" w:rsidR="006323ED" w:rsidRPr="002B17A3"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09F951DB" w14:textId="77777777" w:rsidR="006323ED" w:rsidRPr="002B17A3"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3CC5E49F" w14:textId="77777777" w:rsidR="006323ED" w:rsidRPr="002B17A3"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0EE08C18" w14:textId="77777777" w:rsidR="006323ED" w:rsidRPr="002B17A3"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76B3083" w14:textId="77777777" w:rsidR="006323ED" w:rsidRPr="002B17A3"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4630E97B" w14:textId="77777777" w:rsidR="006323ED" w:rsidRPr="002B17A3"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D79EFFE" w14:textId="276713F1" w:rsidR="006323ED" w:rsidRPr="00724C36" w:rsidRDefault="006323ED" w:rsidP="00737954">
            <w:pPr>
              <w:spacing w:after="0" w:line="276" w:lineRule="auto"/>
              <w:jc w:val="right"/>
              <w:rPr>
                <w:rFonts w:cs="Arial"/>
                <w:sz w:val="14"/>
                <w:szCs w:val="14"/>
              </w:rPr>
            </w:pPr>
          </w:p>
        </w:tc>
      </w:tr>
      <w:tr w:rsidR="006323ED" w:rsidRPr="00121CFC" w14:paraId="2E778B1B" w14:textId="77777777" w:rsidTr="00737954">
        <w:trPr>
          <w:cantSplit/>
          <w:trHeight w:val="20"/>
          <w:jc w:val="center"/>
        </w:trPr>
        <w:tc>
          <w:tcPr>
            <w:tcW w:w="1702" w:type="dxa"/>
            <w:shd w:val="clear" w:color="auto" w:fill="auto"/>
            <w:vAlign w:val="center"/>
            <w:hideMark/>
          </w:tcPr>
          <w:p w14:paraId="4AF99F7A" w14:textId="03F25B91"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επιλεγμένων κτ</w:t>
            </w:r>
            <w:r w:rsidR="002A3870">
              <w:rPr>
                <w:rFonts w:cs="Arial"/>
                <w:bCs/>
                <w:sz w:val="14"/>
                <w:szCs w:val="14"/>
              </w:rPr>
              <w:t>η</w:t>
            </w:r>
            <w:r w:rsidRPr="00C175C7">
              <w:rPr>
                <w:rFonts w:cs="Arial"/>
                <w:bCs/>
                <w:sz w:val="14"/>
                <w:szCs w:val="14"/>
              </w:rPr>
              <w:t>ρίων εξωτερικού (Λ</w:t>
            </w:r>
            <w:r w:rsidR="008F6F3C">
              <w:rPr>
                <w:rFonts w:cs="Arial"/>
                <w:bCs/>
                <w:sz w:val="14"/>
                <w:szCs w:val="14"/>
              </w:rPr>
              <w:t>ι</w:t>
            </w:r>
            <w:r w:rsidRPr="00C175C7">
              <w:rPr>
                <w:rFonts w:cs="Arial"/>
                <w:bCs/>
                <w:sz w:val="14"/>
                <w:szCs w:val="14"/>
              </w:rPr>
              <w:t>ουμπλιάνα)</w:t>
            </w:r>
          </w:p>
        </w:tc>
        <w:tc>
          <w:tcPr>
            <w:tcW w:w="850" w:type="dxa"/>
            <w:shd w:val="clear" w:color="auto" w:fill="auto"/>
            <w:vAlign w:val="center"/>
            <w:hideMark/>
          </w:tcPr>
          <w:p w14:paraId="6567E5E8"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0,6</w:t>
            </w:r>
          </w:p>
        </w:tc>
        <w:tc>
          <w:tcPr>
            <w:tcW w:w="922" w:type="dxa"/>
            <w:shd w:val="clear" w:color="auto" w:fill="auto"/>
            <w:vAlign w:val="center"/>
            <w:hideMark/>
          </w:tcPr>
          <w:p w14:paraId="5DEBE646" w14:textId="4CE631C3" w:rsidR="006323ED" w:rsidRPr="00724C36" w:rsidRDefault="006323ED" w:rsidP="00737954">
            <w:pPr>
              <w:spacing w:after="0" w:line="276" w:lineRule="auto"/>
              <w:ind w:right="-57"/>
              <w:jc w:val="right"/>
              <w:rPr>
                <w:rFonts w:cs="Arial"/>
                <w:sz w:val="14"/>
                <w:szCs w:val="14"/>
              </w:rPr>
            </w:pPr>
            <w:r w:rsidRPr="00724C36">
              <w:rPr>
                <w:rFonts w:cs="Arial"/>
                <w:sz w:val="14"/>
                <w:szCs w:val="14"/>
              </w:rPr>
              <w:t>0,6</w:t>
            </w:r>
          </w:p>
        </w:tc>
        <w:tc>
          <w:tcPr>
            <w:tcW w:w="1023" w:type="dxa"/>
            <w:shd w:val="clear" w:color="auto" w:fill="auto"/>
            <w:vAlign w:val="center"/>
            <w:hideMark/>
          </w:tcPr>
          <w:p w14:paraId="3DEDE1F9"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2016</w:t>
            </w:r>
          </w:p>
        </w:tc>
        <w:tc>
          <w:tcPr>
            <w:tcW w:w="680" w:type="dxa"/>
            <w:shd w:val="clear" w:color="auto" w:fill="auto"/>
            <w:noWrap/>
            <w:vAlign w:val="center"/>
            <w:hideMark/>
          </w:tcPr>
          <w:p w14:paraId="6A02DF6D" w14:textId="77777777" w:rsidR="006323ED" w:rsidRPr="00724C36"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0B424DDD" w14:textId="77777777" w:rsidR="006323ED" w:rsidRPr="002B17A3"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09B1D508" w14:textId="77777777" w:rsidR="006323ED" w:rsidRPr="002B17A3"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06463ACC" w14:textId="77777777" w:rsidR="006323ED" w:rsidRPr="002B17A3"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4F4A6200" w14:textId="77777777" w:rsidR="006323ED" w:rsidRPr="002B17A3"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739E752F" w14:textId="77777777" w:rsidR="006323ED" w:rsidRPr="002B17A3"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21028E74" w14:textId="77777777" w:rsidR="006323ED" w:rsidRPr="002B17A3"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7A1FADB6" w14:textId="77777777" w:rsidR="006323ED" w:rsidRPr="002B17A3"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2C581A73" w14:textId="77777777" w:rsidR="006323ED" w:rsidRPr="002B17A3"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4AFB8704" w14:textId="3874CCB5" w:rsidR="006323ED" w:rsidRPr="00724C36" w:rsidRDefault="006323ED" w:rsidP="00737954">
            <w:pPr>
              <w:spacing w:after="0" w:line="276" w:lineRule="auto"/>
              <w:jc w:val="right"/>
              <w:rPr>
                <w:rFonts w:cs="Arial"/>
                <w:sz w:val="14"/>
                <w:szCs w:val="14"/>
              </w:rPr>
            </w:pPr>
          </w:p>
        </w:tc>
      </w:tr>
      <w:tr w:rsidR="006323ED" w:rsidRPr="00121CFC" w14:paraId="69A69361" w14:textId="77777777" w:rsidTr="00737954">
        <w:trPr>
          <w:cantSplit/>
          <w:trHeight w:val="20"/>
          <w:jc w:val="center"/>
        </w:trPr>
        <w:tc>
          <w:tcPr>
            <w:tcW w:w="1702" w:type="dxa"/>
            <w:shd w:val="clear" w:color="auto" w:fill="F2F2F2" w:themeFill="background1" w:themeFillShade="F2"/>
            <w:vAlign w:val="center"/>
            <w:hideMark/>
          </w:tcPr>
          <w:p w14:paraId="3B205ECE"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lastRenderedPageBreak/>
              <w:t>Οργανισμός Λιμένος Πειραιά (51% + 16%)</w:t>
            </w:r>
          </w:p>
        </w:tc>
        <w:tc>
          <w:tcPr>
            <w:tcW w:w="850" w:type="dxa"/>
            <w:shd w:val="clear" w:color="auto" w:fill="F2F2F2" w:themeFill="background1" w:themeFillShade="F2"/>
            <w:vAlign w:val="center"/>
            <w:hideMark/>
          </w:tcPr>
          <w:p w14:paraId="63E1D010"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368,5</w:t>
            </w:r>
          </w:p>
        </w:tc>
        <w:tc>
          <w:tcPr>
            <w:tcW w:w="922" w:type="dxa"/>
            <w:shd w:val="clear" w:color="auto" w:fill="F2F2F2" w:themeFill="background1" w:themeFillShade="F2"/>
            <w:vAlign w:val="center"/>
            <w:hideMark/>
          </w:tcPr>
          <w:p w14:paraId="68F7DDBC" w14:textId="1D4C421F" w:rsidR="006323ED" w:rsidRPr="00724C36" w:rsidRDefault="006323ED" w:rsidP="00737954">
            <w:pPr>
              <w:spacing w:after="0" w:line="276" w:lineRule="auto"/>
              <w:ind w:right="-57"/>
              <w:jc w:val="right"/>
              <w:rPr>
                <w:rFonts w:cs="Arial"/>
                <w:sz w:val="14"/>
                <w:szCs w:val="14"/>
              </w:rPr>
            </w:pPr>
            <w:r w:rsidRPr="00724C36">
              <w:rPr>
                <w:rFonts w:cs="Arial"/>
                <w:sz w:val="14"/>
                <w:szCs w:val="14"/>
              </w:rPr>
              <w:t>368,5</w:t>
            </w:r>
          </w:p>
        </w:tc>
        <w:tc>
          <w:tcPr>
            <w:tcW w:w="1023" w:type="dxa"/>
            <w:shd w:val="clear" w:color="auto" w:fill="F2F2F2" w:themeFill="background1" w:themeFillShade="F2"/>
            <w:vAlign w:val="center"/>
            <w:hideMark/>
          </w:tcPr>
          <w:p w14:paraId="08027308"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2016</w:t>
            </w:r>
          </w:p>
        </w:tc>
        <w:tc>
          <w:tcPr>
            <w:tcW w:w="680" w:type="dxa"/>
            <w:shd w:val="clear" w:color="auto" w:fill="F2F2F2" w:themeFill="background1" w:themeFillShade="F2"/>
            <w:noWrap/>
            <w:vAlign w:val="center"/>
            <w:hideMark/>
          </w:tcPr>
          <w:p w14:paraId="6103A57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3EEA7F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5AF306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CE0F90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DBE1C98"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88,0</w:t>
            </w:r>
          </w:p>
        </w:tc>
        <w:tc>
          <w:tcPr>
            <w:tcW w:w="680" w:type="dxa"/>
            <w:shd w:val="clear" w:color="auto" w:fill="F2F2F2" w:themeFill="background1" w:themeFillShade="F2"/>
            <w:noWrap/>
            <w:vAlign w:val="center"/>
            <w:hideMark/>
          </w:tcPr>
          <w:p w14:paraId="215BBCA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761067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0410A9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A40587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18F8323" w14:textId="73DE1285" w:rsidR="006323ED" w:rsidRPr="00724C36" w:rsidRDefault="006323ED" w:rsidP="00737954">
            <w:pPr>
              <w:spacing w:after="0" w:line="276" w:lineRule="auto"/>
              <w:ind w:right="-41"/>
              <w:jc w:val="right"/>
              <w:rPr>
                <w:rFonts w:cs="Arial"/>
                <w:bCs/>
                <w:color w:val="000000"/>
                <w:sz w:val="14"/>
                <w:szCs w:val="14"/>
              </w:rPr>
            </w:pPr>
          </w:p>
        </w:tc>
      </w:tr>
      <w:tr w:rsidR="006323ED" w:rsidRPr="00121CFC" w14:paraId="3A98BADF" w14:textId="77777777" w:rsidTr="00737954">
        <w:trPr>
          <w:cantSplit/>
          <w:trHeight w:val="20"/>
          <w:jc w:val="center"/>
        </w:trPr>
        <w:tc>
          <w:tcPr>
            <w:tcW w:w="1702" w:type="dxa"/>
            <w:shd w:val="clear" w:color="auto" w:fill="auto"/>
            <w:vAlign w:val="center"/>
            <w:hideMark/>
          </w:tcPr>
          <w:p w14:paraId="3670DCE3" w14:textId="1485C408" w:rsidR="006323ED" w:rsidRPr="00C175C7" w:rsidRDefault="006323ED" w:rsidP="00737954">
            <w:pPr>
              <w:spacing w:after="0" w:line="276" w:lineRule="auto"/>
              <w:jc w:val="left"/>
              <w:rPr>
                <w:rFonts w:cs="Arial"/>
                <w:bCs/>
                <w:sz w:val="14"/>
                <w:szCs w:val="14"/>
              </w:rPr>
            </w:pPr>
            <w:r w:rsidRPr="00C175C7">
              <w:rPr>
                <w:rFonts w:cs="Arial"/>
                <w:bCs/>
                <w:sz w:val="14"/>
                <w:szCs w:val="14"/>
              </w:rPr>
              <w:t>Τ</w:t>
            </w:r>
            <w:r w:rsidR="00B044D6">
              <w:rPr>
                <w:rFonts w:cs="Arial"/>
                <w:bCs/>
                <w:sz w:val="14"/>
                <w:szCs w:val="14"/>
              </w:rPr>
              <w:t>ό</w:t>
            </w:r>
            <w:r w:rsidRPr="00C175C7">
              <w:rPr>
                <w:rFonts w:cs="Arial"/>
                <w:bCs/>
                <w:sz w:val="14"/>
                <w:szCs w:val="14"/>
              </w:rPr>
              <w:t>κοι ΟΛΠ</w:t>
            </w:r>
          </w:p>
        </w:tc>
        <w:tc>
          <w:tcPr>
            <w:tcW w:w="850" w:type="dxa"/>
            <w:shd w:val="clear" w:color="auto" w:fill="auto"/>
            <w:vAlign w:val="center"/>
            <w:hideMark/>
          </w:tcPr>
          <w:p w14:paraId="22D6B27B" w14:textId="77777777" w:rsidR="006323ED" w:rsidRPr="00E96EE8" w:rsidRDefault="006323ED" w:rsidP="00737954">
            <w:pPr>
              <w:spacing w:after="0" w:line="276" w:lineRule="auto"/>
              <w:ind w:right="-57"/>
              <w:jc w:val="right"/>
              <w:rPr>
                <w:rFonts w:cs="Arial"/>
                <w:sz w:val="14"/>
                <w:szCs w:val="14"/>
              </w:rPr>
            </w:pPr>
          </w:p>
        </w:tc>
        <w:tc>
          <w:tcPr>
            <w:tcW w:w="922" w:type="dxa"/>
            <w:shd w:val="clear" w:color="auto" w:fill="auto"/>
            <w:vAlign w:val="center"/>
            <w:hideMark/>
          </w:tcPr>
          <w:p w14:paraId="2189CD23" w14:textId="12B20536" w:rsidR="006323ED" w:rsidRPr="00724C36" w:rsidRDefault="006323ED" w:rsidP="00737954">
            <w:pPr>
              <w:spacing w:after="0" w:line="276" w:lineRule="auto"/>
              <w:ind w:right="-57"/>
              <w:jc w:val="right"/>
              <w:rPr>
                <w:rFonts w:cs="Arial"/>
                <w:sz w:val="14"/>
                <w:szCs w:val="14"/>
              </w:rPr>
            </w:pPr>
            <w:r w:rsidRPr="00724C36">
              <w:rPr>
                <w:rFonts w:cs="Arial"/>
                <w:sz w:val="14"/>
                <w:szCs w:val="14"/>
              </w:rPr>
              <w:t>13,5</w:t>
            </w:r>
          </w:p>
        </w:tc>
        <w:tc>
          <w:tcPr>
            <w:tcW w:w="1023" w:type="dxa"/>
            <w:shd w:val="clear" w:color="auto" w:fill="auto"/>
            <w:vAlign w:val="center"/>
            <w:hideMark/>
          </w:tcPr>
          <w:p w14:paraId="3E8F70E3" w14:textId="77777777" w:rsidR="006323ED" w:rsidRPr="00724C36" w:rsidRDefault="006323ED" w:rsidP="00737954">
            <w:pPr>
              <w:spacing w:after="0" w:line="276" w:lineRule="auto"/>
              <w:jc w:val="center"/>
              <w:rPr>
                <w:rFonts w:cs="Arial"/>
                <w:sz w:val="14"/>
                <w:szCs w:val="14"/>
              </w:rPr>
            </w:pPr>
          </w:p>
        </w:tc>
        <w:tc>
          <w:tcPr>
            <w:tcW w:w="680" w:type="dxa"/>
            <w:shd w:val="clear" w:color="auto" w:fill="auto"/>
            <w:noWrap/>
            <w:vAlign w:val="center"/>
            <w:hideMark/>
          </w:tcPr>
          <w:p w14:paraId="1FEA7EA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209530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AC36AF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75EB78BF"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5842142"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11,9</w:t>
            </w:r>
          </w:p>
        </w:tc>
        <w:tc>
          <w:tcPr>
            <w:tcW w:w="680" w:type="dxa"/>
            <w:shd w:val="clear" w:color="auto" w:fill="auto"/>
            <w:noWrap/>
            <w:vAlign w:val="center"/>
            <w:hideMark/>
          </w:tcPr>
          <w:p w14:paraId="18FCD42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1,6</w:t>
            </w:r>
          </w:p>
        </w:tc>
        <w:tc>
          <w:tcPr>
            <w:tcW w:w="680" w:type="dxa"/>
            <w:shd w:val="clear" w:color="auto" w:fill="auto"/>
            <w:noWrap/>
            <w:vAlign w:val="center"/>
            <w:hideMark/>
          </w:tcPr>
          <w:p w14:paraId="366349E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A16570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6150E3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0CF450C" w14:textId="29795F32" w:rsidR="006323ED" w:rsidRPr="00724C36" w:rsidRDefault="006323ED" w:rsidP="00737954">
            <w:pPr>
              <w:spacing w:after="0" w:line="276" w:lineRule="auto"/>
              <w:ind w:right="-41"/>
              <w:jc w:val="right"/>
              <w:rPr>
                <w:rFonts w:cs="Arial"/>
                <w:bCs/>
                <w:color w:val="000000"/>
                <w:sz w:val="14"/>
                <w:szCs w:val="14"/>
              </w:rPr>
            </w:pPr>
          </w:p>
        </w:tc>
      </w:tr>
      <w:tr w:rsidR="006323ED" w:rsidRPr="00121CFC" w14:paraId="113D1CC3" w14:textId="77777777" w:rsidTr="00737954">
        <w:trPr>
          <w:cantSplit/>
          <w:trHeight w:val="20"/>
          <w:jc w:val="center"/>
        </w:trPr>
        <w:tc>
          <w:tcPr>
            <w:tcW w:w="1702" w:type="dxa"/>
            <w:shd w:val="clear" w:color="auto" w:fill="F2F2F2" w:themeFill="background1" w:themeFillShade="F2"/>
            <w:vAlign w:val="center"/>
            <w:hideMark/>
          </w:tcPr>
          <w:p w14:paraId="1045CADE"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E-AUCTION VI</w:t>
            </w:r>
          </w:p>
        </w:tc>
        <w:tc>
          <w:tcPr>
            <w:tcW w:w="850" w:type="dxa"/>
            <w:shd w:val="clear" w:color="auto" w:fill="F2F2F2" w:themeFill="background1" w:themeFillShade="F2"/>
            <w:vAlign w:val="center"/>
            <w:hideMark/>
          </w:tcPr>
          <w:p w14:paraId="60844F8F"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22,5</w:t>
            </w:r>
          </w:p>
        </w:tc>
        <w:tc>
          <w:tcPr>
            <w:tcW w:w="922" w:type="dxa"/>
            <w:shd w:val="clear" w:color="auto" w:fill="F2F2F2" w:themeFill="background1" w:themeFillShade="F2"/>
            <w:vAlign w:val="center"/>
            <w:hideMark/>
          </w:tcPr>
          <w:p w14:paraId="4EED0188" w14:textId="5D3A21C5" w:rsidR="006323ED" w:rsidRPr="00724C36" w:rsidRDefault="006323ED" w:rsidP="00737954">
            <w:pPr>
              <w:spacing w:after="0" w:line="276" w:lineRule="auto"/>
              <w:ind w:right="-57"/>
              <w:jc w:val="right"/>
              <w:rPr>
                <w:rFonts w:cs="Arial"/>
                <w:sz w:val="14"/>
                <w:szCs w:val="14"/>
              </w:rPr>
            </w:pPr>
            <w:r w:rsidRPr="00724C36">
              <w:rPr>
                <w:rFonts w:cs="Arial"/>
                <w:sz w:val="14"/>
                <w:szCs w:val="14"/>
              </w:rPr>
              <w:t>25,0</w:t>
            </w:r>
          </w:p>
        </w:tc>
        <w:tc>
          <w:tcPr>
            <w:tcW w:w="1023" w:type="dxa"/>
            <w:shd w:val="clear" w:color="auto" w:fill="F2F2F2" w:themeFill="background1" w:themeFillShade="F2"/>
            <w:vAlign w:val="center"/>
            <w:hideMark/>
          </w:tcPr>
          <w:p w14:paraId="75609D6A"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2016</w:t>
            </w:r>
          </w:p>
        </w:tc>
        <w:tc>
          <w:tcPr>
            <w:tcW w:w="680" w:type="dxa"/>
            <w:shd w:val="clear" w:color="auto" w:fill="F2F2F2" w:themeFill="background1" w:themeFillShade="F2"/>
            <w:noWrap/>
            <w:vAlign w:val="center"/>
            <w:hideMark/>
          </w:tcPr>
          <w:p w14:paraId="1683D1A3"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3,7</w:t>
            </w:r>
          </w:p>
        </w:tc>
        <w:tc>
          <w:tcPr>
            <w:tcW w:w="680" w:type="dxa"/>
            <w:shd w:val="clear" w:color="auto" w:fill="F2F2F2" w:themeFill="background1" w:themeFillShade="F2"/>
            <w:noWrap/>
            <w:vAlign w:val="center"/>
            <w:hideMark/>
          </w:tcPr>
          <w:p w14:paraId="5A0E23DE"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4,5</w:t>
            </w:r>
          </w:p>
        </w:tc>
        <w:tc>
          <w:tcPr>
            <w:tcW w:w="680" w:type="dxa"/>
            <w:shd w:val="clear" w:color="auto" w:fill="F2F2F2" w:themeFill="background1" w:themeFillShade="F2"/>
            <w:noWrap/>
            <w:vAlign w:val="center"/>
            <w:hideMark/>
          </w:tcPr>
          <w:p w14:paraId="6B82EAB1"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4,5</w:t>
            </w:r>
          </w:p>
        </w:tc>
        <w:tc>
          <w:tcPr>
            <w:tcW w:w="680" w:type="dxa"/>
            <w:shd w:val="clear" w:color="auto" w:fill="F2F2F2" w:themeFill="background1" w:themeFillShade="F2"/>
            <w:noWrap/>
            <w:vAlign w:val="center"/>
            <w:hideMark/>
          </w:tcPr>
          <w:p w14:paraId="1872697C"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4,0</w:t>
            </w:r>
          </w:p>
        </w:tc>
        <w:tc>
          <w:tcPr>
            <w:tcW w:w="680" w:type="dxa"/>
            <w:shd w:val="clear" w:color="auto" w:fill="F2F2F2" w:themeFill="background1" w:themeFillShade="F2"/>
            <w:noWrap/>
            <w:vAlign w:val="center"/>
            <w:hideMark/>
          </w:tcPr>
          <w:p w14:paraId="78458426" w14:textId="52E3E958" w:rsidR="006323ED" w:rsidRPr="00724C36" w:rsidRDefault="00FF787E" w:rsidP="00737954">
            <w:pPr>
              <w:spacing w:after="0" w:line="276" w:lineRule="auto"/>
              <w:jc w:val="right"/>
              <w:rPr>
                <w:rFonts w:cs="Arial"/>
                <w:bCs/>
                <w:color w:val="000000"/>
                <w:sz w:val="14"/>
                <w:szCs w:val="14"/>
              </w:rPr>
            </w:pPr>
            <w:r>
              <w:rPr>
                <w:rFonts w:cs="Arial"/>
                <w:bCs/>
                <w:color w:val="000000"/>
                <w:sz w:val="14"/>
                <w:szCs w:val="14"/>
              </w:rPr>
              <w:t>4,2</w:t>
            </w:r>
          </w:p>
        </w:tc>
        <w:tc>
          <w:tcPr>
            <w:tcW w:w="680" w:type="dxa"/>
            <w:shd w:val="clear" w:color="auto" w:fill="F2F2F2" w:themeFill="background1" w:themeFillShade="F2"/>
            <w:noWrap/>
            <w:vAlign w:val="center"/>
            <w:hideMark/>
          </w:tcPr>
          <w:p w14:paraId="1DEB984C"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723E6410"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5E91AC74"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591B4B0"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1CD6F8D" w14:textId="3045C3C7" w:rsidR="006323ED" w:rsidRPr="00724C36" w:rsidRDefault="006323ED" w:rsidP="00737954">
            <w:pPr>
              <w:spacing w:after="0" w:line="276" w:lineRule="auto"/>
              <w:jc w:val="right"/>
              <w:rPr>
                <w:rFonts w:cs="Arial"/>
                <w:bCs/>
                <w:color w:val="000000"/>
                <w:sz w:val="14"/>
                <w:szCs w:val="14"/>
              </w:rPr>
            </w:pPr>
          </w:p>
        </w:tc>
      </w:tr>
      <w:tr w:rsidR="006323ED" w:rsidRPr="00121CFC" w14:paraId="472884D9" w14:textId="77777777" w:rsidTr="00737954">
        <w:trPr>
          <w:cantSplit/>
          <w:trHeight w:val="20"/>
          <w:jc w:val="center"/>
        </w:trPr>
        <w:tc>
          <w:tcPr>
            <w:tcW w:w="1702" w:type="dxa"/>
            <w:shd w:val="clear" w:color="auto" w:fill="auto"/>
            <w:vAlign w:val="center"/>
            <w:hideMark/>
          </w:tcPr>
          <w:p w14:paraId="70852294"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Αστήρ Βουλιαγμένης</w:t>
            </w:r>
          </w:p>
        </w:tc>
        <w:tc>
          <w:tcPr>
            <w:tcW w:w="850" w:type="dxa"/>
            <w:shd w:val="clear" w:color="auto" w:fill="auto"/>
            <w:vAlign w:val="center"/>
            <w:hideMark/>
          </w:tcPr>
          <w:p w14:paraId="3E8C7B61"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94,4</w:t>
            </w:r>
          </w:p>
        </w:tc>
        <w:tc>
          <w:tcPr>
            <w:tcW w:w="922" w:type="dxa"/>
            <w:shd w:val="clear" w:color="auto" w:fill="auto"/>
            <w:vAlign w:val="center"/>
            <w:hideMark/>
          </w:tcPr>
          <w:p w14:paraId="2E661C92" w14:textId="0225763B" w:rsidR="006323ED" w:rsidRPr="00724C36" w:rsidRDefault="006323ED" w:rsidP="00737954">
            <w:pPr>
              <w:spacing w:after="0" w:line="276" w:lineRule="auto"/>
              <w:ind w:right="-57"/>
              <w:jc w:val="right"/>
              <w:rPr>
                <w:rFonts w:cs="Arial"/>
                <w:sz w:val="14"/>
                <w:szCs w:val="14"/>
              </w:rPr>
            </w:pPr>
            <w:r w:rsidRPr="00724C36">
              <w:rPr>
                <w:rFonts w:cs="Arial"/>
                <w:sz w:val="14"/>
                <w:szCs w:val="14"/>
              </w:rPr>
              <w:t>94,4</w:t>
            </w:r>
          </w:p>
        </w:tc>
        <w:tc>
          <w:tcPr>
            <w:tcW w:w="1023" w:type="dxa"/>
            <w:shd w:val="clear" w:color="auto" w:fill="auto"/>
            <w:vAlign w:val="center"/>
            <w:hideMark/>
          </w:tcPr>
          <w:p w14:paraId="1E62C8D6"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2016</w:t>
            </w:r>
          </w:p>
        </w:tc>
        <w:tc>
          <w:tcPr>
            <w:tcW w:w="680" w:type="dxa"/>
            <w:shd w:val="clear" w:color="auto" w:fill="auto"/>
            <w:noWrap/>
            <w:vAlign w:val="center"/>
            <w:hideMark/>
          </w:tcPr>
          <w:p w14:paraId="4EBF6B4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083126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F64E4AF"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CA5F86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63821D3" w14:textId="77777777" w:rsidR="006323ED" w:rsidRPr="002B17A3"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72766647" w14:textId="77777777" w:rsidR="006323ED" w:rsidRPr="002B17A3"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433EAEB3" w14:textId="77777777" w:rsidR="006323ED" w:rsidRPr="002B17A3"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56C0DB13" w14:textId="77777777" w:rsidR="006323ED" w:rsidRPr="002B17A3"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3FA13DC5" w14:textId="77777777" w:rsidR="006323ED" w:rsidRPr="002B17A3"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27CB8E8D" w14:textId="7F746F1F" w:rsidR="006323ED" w:rsidRPr="002B17A3" w:rsidRDefault="006323ED" w:rsidP="00737954">
            <w:pPr>
              <w:spacing w:after="0" w:line="276" w:lineRule="auto"/>
              <w:jc w:val="right"/>
              <w:rPr>
                <w:rFonts w:cs="Arial"/>
                <w:sz w:val="14"/>
                <w:szCs w:val="14"/>
              </w:rPr>
            </w:pPr>
          </w:p>
        </w:tc>
      </w:tr>
      <w:tr w:rsidR="006323ED" w:rsidRPr="00121CFC" w14:paraId="0E6933F0" w14:textId="77777777" w:rsidTr="00737954">
        <w:trPr>
          <w:cantSplit/>
          <w:trHeight w:val="20"/>
          <w:jc w:val="center"/>
        </w:trPr>
        <w:tc>
          <w:tcPr>
            <w:tcW w:w="1702" w:type="dxa"/>
            <w:shd w:val="clear" w:color="auto" w:fill="F2F2F2" w:themeFill="background1" w:themeFillShade="F2"/>
            <w:vAlign w:val="center"/>
            <w:hideMark/>
          </w:tcPr>
          <w:p w14:paraId="787D5990" w14:textId="70A589EE" w:rsidR="006323ED" w:rsidRPr="00C175C7" w:rsidRDefault="006323ED" w:rsidP="00737954">
            <w:pPr>
              <w:spacing w:after="0" w:line="276" w:lineRule="auto"/>
              <w:jc w:val="left"/>
              <w:rPr>
                <w:rFonts w:cs="Arial"/>
                <w:bCs/>
                <w:sz w:val="14"/>
                <w:szCs w:val="14"/>
              </w:rPr>
            </w:pPr>
            <w:r w:rsidRPr="00C175C7">
              <w:rPr>
                <w:rFonts w:cs="Arial"/>
                <w:bCs/>
                <w:sz w:val="14"/>
                <w:szCs w:val="14"/>
              </w:rPr>
              <w:t>Κασσι</w:t>
            </w:r>
            <w:r w:rsidR="008F6F3C">
              <w:rPr>
                <w:rFonts w:cs="Arial"/>
                <w:bCs/>
                <w:sz w:val="14"/>
                <w:szCs w:val="14"/>
              </w:rPr>
              <w:t>ό</w:t>
            </w:r>
            <w:r w:rsidRPr="00C175C7">
              <w:rPr>
                <w:rFonts w:cs="Arial"/>
                <w:bCs/>
                <w:sz w:val="14"/>
                <w:szCs w:val="14"/>
              </w:rPr>
              <w:t>πη</w:t>
            </w:r>
          </w:p>
        </w:tc>
        <w:tc>
          <w:tcPr>
            <w:tcW w:w="850" w:type="dxa"/>
            <w:shd w:val="clear" w:color="auto" w:fill="F2F2F2" w:themeFill="background1" w:themeFillShade="F2"/>
            <w:vAlign w:val="center"/>
            <w:hideMark/>
          </w:tcPr>
          <w:p w14:paraId="7BE1D641"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23,0</w:t>
            </w:r>
          </w:p>
        </w:tc>
        <w:tc>
          <w:tcPr>
            <w:tcW w:w="922" w:type="dxa"/>
            <w:shd w:val="clear" w:color="auto" w:fill="F2F2F2" w:themeFill="background1" w:themeFillShade="F2"/>
            <w:vAlign w:val="center"/>
            <w:hideMark/>
          </w:tcPr>
          <w:p w14:paraId="21E58004" w14:textId="045D1777" w:rsidR="006323ED" w:rsidRPr="00724C36" w:rsidRDefault="006323ED" w:rsidP="00737954">
            <w:pPr>
              <w:spacing w:after="0" w:line="276" w:lineRule="auto"/>
              <w:ind w:right="-57"/>
              <w:jc w:val="right"/>
              <w:rPr>
                <w:rFonts w:cs="Arial"/>
                <w:sz w:val="14"/>
                <w:szCs w:val="14"/>
              </w:rPr>
            </w:pPr>
            <w:r w:rsidRPr="00724C36">
              <w:rPr>
                <w:rFonts w:cs="Arial"/>
                <w:sz w:val="14"/>
                <w:szCs w:val="14"/>
              </w:rPr>
              <w:t>27,0</w:t>
            </w:r>
          </w:p>
        </w:tc>
        <w:tc>
          <w:tcPr>
            <w:tcW w:w="1023" w:type="dxa"/>
            <w:shd w:val="clear" w:color="auto" w:fill="F2F2F2" w:themeFill="background1" w:themeFillShade="F2"/>
            <w:vAlign w:val="center"/>
            <w:hideMark/>
          </w:tcPr>
          <w:p w14:paraId="7C6CCB6D"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2016</w:t>
            </w:r>
          </w:p>
        </w:tc>
        <w:tc>
          <w:tcPr>
            <w:tcW w:w="680" w:type="dxa"/>
            <w:shd w:val="clear" w:color="auto" w:fill="F2F2F2" w:themeFill="background1" w:themeFillShade="F2"/>
            <w:noWrap/>
            <w:vAlign w:val="center"/>
            <w:hideMark/>
          </w:tcPr>
          <w:p w14:paraId="74C51AB7"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3,0</w:t>
            </w:r>
          </w:p>
        </w:tc>
        <w:tc>
          <w:tcPr>
            <w:tcW w:w="680" w:type="dxa"/>
            <w:shd w:val="clear" w:color="auto" w:fill="F2F2F2" w:themeFill="background1" w:themeFillShade="F2"/>
            <w:noWrap/>
            <w:vAlign w:val="center"/>
            <w:hideMark/>
          </w:tcPr>
          <w:p w14:paraId="489EE414"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4,0</w:t>
            </w:r>
          </w:p>
        </w:tc>
        <w:tc>
          <w:tcPr>
            <w:tcW w:w="680" w:type="dxa"/>
            <w:shd w:val="clear" w:color="auto" w:fill="F2F2F2" w:themeFill="background1" w:themeFillShade="F2"/>
            <w:noWrap/>
            <w:vAlign w:val="center"/>
            <w:hideMark/>
          </w:tcPr>
          <w:p w14:paraId="12A0A803"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2,0</w:t>
            </w:r>
          </w:p>
        </w:tc>
        <w:tc>
          <w:tcPr>
            <w:tcW w:w="680" w:type="dxa"/>
            <w:shd w:val="clear" w:color="auto" w:fill="F2F2F2" w:themeFill="background1" w:themeFillShade="F2"/>
            <w:noWrap/>
            <w:vAlign w:val="center"/>
            <w:hideMark/>
          </w:tcPr>
          <w:p w14:paraId="385A3F46"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2,0</w:t>
            </w:r>
          </w:p>
        </w:tc>
        <w:tc>
          <w:tcPr>
            <w:tcW w:w="680" w:type="dxa"/>
            <w:shd w:val="clear" w:color="auto" w:fill="F2F2F2" w:themeFill="background1" w:themeFillShade="F2"/>
            <w:noWrap/>
            <w:vAlign w:val="center"/>
            <w:hideMark/>
          </w:tcPr>
          <w:p w14:paraId="793A4581"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2,0</w:t>
            </w:r>
          </w:p>
        </w:tc>
        <w:tc>
          <w:tcPr>
            <w:tcW w:w="680" w:type="dxa"/>
            <w:shd w:val="clear" w:color="auto" w:fill="F2F2F2" w:themeFill="background1" w:themeFillShade="F2"/>
            <w:noWrap/>
            <w:vAlign w:val="center"/>
            <w:hideMark/>
          </w:tcPr>
          <w:p w14:paraId="4B896757"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4,0</w:t>
            </w:r>
          </w:p>
        </w:tc>
        <w:tc>
          <w:tcPr>
            <w:tcW w:w="680" w:type="dxa"/>
            <w:shd w:val="clear" w:color="auto" w:fill="F2F2F2" w:themeFill="background1" w:themeFillShade="F2"/>
            <w:noWrap/>
            <w:vAlign w:val="center"/>
            <w:hideMark/>
          </w:tcPr>
          <w:p w14:paraId="714E49A5" w14:textId="66B91E31" w:rsidR="006323ED" w:rsidRPr="00724C36" w:rsidRDefault="002B6360" w:rsidP="00737954">
            <w:pPr>
              <w:spacing w:after="0" w:line="276" w:lineRule="auto"/>
              <w:jc w:val="right"/>
              <w:rPr>
                <w:rFonts w:cs="Arial"/>
                <w:bCs/>
                <w:color w:val="000000"/>
                <w:sz w:val="14"/>
                <w:szCs w:val="14"/>
              </w:rPr>
            </w:pPr>
            <w:r>
              <w:rPr>
                <w:rFonts w:cs="Arial"/>
                <w:bCs/>
                <w:color w:val="000000"/>
                <w:sz w:val="14"/>
                <w:szCs w:val="14"/>
              </w:rPr>
              <w:t>0,3</w:t>
            </w:r>
          </w:p>
        </w:tc>
        <w:tc>
          <w:tcPr>
            <w:tcW w:w="680" w:type="dxa"/>
            <w:shd w:val="clear" w:color="auto" w:fill="F2F2F2" w:themeFill="background1" w:themeFillShade="F2"/>
            <w:noWrap/>
            <w:vAlign w:val="center"/>
            <w:hideMark/>
          </w:tcPr>
          <w:p w14:paraId="636C455C"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BADD587"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6E58697" w14:textId="30D8038E" w:rsidR="006323ED" w:rsidRPr="00724C36" w:rsidRDefault="006323ED" w:rsidP="00737954">
            <w:pPr>
              <w:spacing w:after="0" w:line="276" w:lineRule="auto"/>
              <w:jc w:val="right"/>
              <w:rPr>
                <w:rFonts w:cs="Arial"/>
                <w:bCs/>
                <w:color w:val="000000"/>
                <w:sz w:val="14"/>
                <w:szCs w:val="14"/>
              </w:rPr>
            </w:pPr>
          </w:p>
        </w:tc>
      </w:tr>
      <w:tr w:rsidR="006323ED" w:rsidRPr="00121CFC" w14:paraId="46646CA2" w14:textId="77777777" w:rsidTr="00737954">
        <w:trPr>
          <w:cantSplit/>
          <w:trHeight w:val="20"/>
          <w:jc w:val="center"/>
        </w:trPr>
        <w:tc>
          <w:tcPr>
            <w:tcW w:w="1702" w:type="dxa"/>
            <w:shd w:val="clear" w:color="auto" w:fill="auto"/>
            <w:vAlign w:val="center"/>
            <w:hideMark/>
          </w:tcPr>
          <w:p w14:paraId="74FA32EF" w14:textId="05BCF2FF" w:rsidR="006323ED" w:rsidRPr="00C175C7" w:rsidRDefault="006323ED" w:rsidP="00737954">
            <w:pPr>
              <w:spacing w:after="0" w:line="276" w:lineRule="auto"/>
              <w:jc w:val="left"/>
              <w:rPr>
                <w:rFonts w:cs="Arial"/>
                <w:bCs/>
                <w:sz w:val="14"/>
                <w:szCs w:val="14"/>
              </w:rPr>
            </w:pPr>
            <w:r w:rsidRPr="00C175C7">
              <w:rPr>
                <w:rFonts w:cs="Arial"/>
                <w:bCs/>
                <w:sz w:val="14"/>
                <w:szCs w:val="14"/>
              </w:rPr>
              <w:t xml:space="preserve">Πώληση </w:t>
            </w:r>
            <w:r w:rsidR="00B044D6">
              <w:rPr>
                <w:rFonts w:cs="Arial"/>
                <w:bCs/>
                <w:sz w:val="14"/>
                <w:szCs w:val="14"/>
              </w:rPr>
              <w:t>2</w:t>
            </w:r>
            <w:r w:rsidRPr="00C175C7">
              <w:rPr>
                <w:rFonts w:cs="Arial"/>
                <w:bCs/>
                <w:sz w:val="14"/>
                <w:szCs w:val="14"/>
              </w:rPr>
              <w:t xml:space="preserve"> Airbus</w:t>
            </w:r>
          </w:p>
        </w:tc>
        <w:tc>
          <w:tcPr>
            <w:tcW w:w="850" w:type="dxa"/>
            <w:shd w:val="clear" w:color="auto" w:fill="auto"/>
            <w:noWrap/>
            <w:vAlign w:val="center"/>
            <w:hideMark/>
          </w:tcPr>
          <w:p w14:paraId="3D80F63B"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3,8</w:t>
            </w:r>
          </w:p>
        </w:tc>
        <w:tc>
          <w:tcPr>
            <w:tcW w:w="922" w:type="dxa"/>
            <w:shd w:val="clear" w:color="auto" w:fill="auto"/>
            <w:vAlign w:val="center"/>
            <w:hideMark/>
          </w:tcPr>
          <w:p w14:paraId="17731592" w14:textId="4A904A4F" w:rsidR="006323ED" w:rsidRPr="00724C36" w:rsidRDefault="006323ED" w:rsidP="00737954">
            <w:pPr>
              <w:spacing w:after="0" w:line="276" w:lineRule="auto"/>
              <w:ind w:right="-57"/>
              <w:jc w:val="right"/>
              <w:rPr>
                <w:rFonts w:cs="Arial"/>
                <w:sz w:val="14"/>
                <w:szCs w:val="14"/>
              </w:rPr>
            </w:pPr>
            <w:r w:rsidRPr="00724C36">
              <w:rPr>
                <w:rFonts w:cs="Arial"/>
                <w:sz w:val="14"/>
                <w:szCs w:val="14"/>
              </w:rPr>
              <w:t>3,8</w:t>
            </w:r>
          </w:p>
        </w:tc>
        <w:tc>
          <w:tcPr>
            <w:tcW w:w="1023" w:type="dxa"/>
            <w:shd w:val="clear" w:color="auto" w:fill="auto"/>
            <w:noWrap/>
            <w:vAlign w:val="center"/>
            <w:hideMark/>
          </w:tcPr>
          <w:p w14:paraId="350F373D"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2016</w:t>
            </w:r>
          </w:p>
        </w:tc>
        <w:tc>
          <w:tcPr>
            <w:tcW w:w="680" w:type="dxa"/>
            <w:shd w:val="clear" w:color="auto" w:fill="auto"/>
            <w:noWrap/>
            <w:vAlign w:val="center"/>
            <w:hideMark/>
          </w:tcPr>
          <w:p w14:paraId="23C6F7A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317890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8EF9BD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7B3A74F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CA5730F"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23BC5C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A1EB65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745DBA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E09854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E4A607D" w14:textId="6A0D2BD6" w:rsidR="006323ED" w:rsidRPr="00724C36" w:rsidRDefault="006323ED" w:rsidP="00737954">
            <w:pPr>
              <w:spacing w:after="0" w:line="276" w:lineRule="auto"/>
              <w:ind w:right="-41"/>
              <w:jc w:val="right"/>
              <w:rPr>
                <w:rFonts w:cs="Arial"/>
                <w:bCs/>
                <w:color w:val="000000"/>
                <w:sz w:val="14"/>
                <w:szCs w:val="14"/>
              </w:rPr>
            </w:pPr>
          </w:p>
        </w:tc>
      </w:tr>
      <w:tr w:rsidR="006323ED" w:rsidRPr="00121CFC" w14:paraId="7D38C970" w14:textId="77777777" w:rsidTr="00737954">
        <w:trPr>
          <w:cantSplit/>
          <w:trHeight w:val="20"/>
          <w:jc w:val="center"/>
        </w:trPr>
        <w:tc>
          <w:tcPr>
            <w:tcW w:w="1702" w:type="dxa"/>
            <w:shd w:val="clear" w:color="auto" w:fill="F2F2F2" w:themeFill="background1" w:themeFillShade="F2"/>
            <w:vAlign w:val="center"/>
            <w:hideMark/>
          </w:tcPr>
          <w:p w14:paraId="15A858CC"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Αγορά Μοδιάνο, Θεσσαλονίκη</w:t>
            </w:r>
          </w:p>
        </w:tc>
        <w:tc>
          <w:tcPr>
            <w:tcW w:w="850" w:type="dxa"/>
            <w:shd w:val="clear" w:color="auto" w:fill="F2F2F2" w:themeFill="background1" w:themeFillShade="F2"/>
            <w:vAlign w:val="center"/>
            <w:hideMark/>
          </w:tcPr>
          <w:p w14:paraId="76634AB2"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1,9</w:t>
            </w:r>
          </w:p>
        </w:tc>
        <w:tc>
          <w:tcPr>
            <w:tcW w:w="922" w:type="dxa"/>
            <w:shd w:val="clear" w:color="auto" w:fill="F2F2F2" w:themeFill="background1" w:themeFillShade="F2"/>
            <w:vAlign w:val="center"/>
            <w:hideMark/>
          </w:tcPr>
          <w:p w14:paraId="5A357E88" w14:textId="65E91803" w:rsidR="006323ED" w:rsidRPr="00724C36" w:rsidRDefault="006323ED" w:rsidP="00737954">
            <w:pPr>
              <w:spacing w:after="0" w:line="276" w:lineRule="auto"/>
              <w:ind w:right="-57"/>
              <w:jc w:val="right"/>
              <w:rPr>
                <w:rFonts w:cs="Arial"/>
                <w:sz w:val="14"/>
                <w:szCs w:val="14"/>
              </w:rPr>
            </w:pPr>
            <w:r w:rsidRPr="00724C36">
              <w:rPr>
                <w:rFonts w:cs="Arial"/>
                <w:sz w:val="14"/>
                <w:szCs w:val="14"/>
              </w:rPr>
              <w:t>1,9</w:t>
            </w:r>
          </w:p>
        </w:tc>
        <w:tc>
          <w:tcPr>
            <w:tcW w:w="1023" w:type="dxa"/>
            <w:shd w:val="clear" w:color="auto" w:fill="F2F2F2" w:themeFill="background1" w:themeFillShade="F2"/>
            <w:vAlign w:val="center"/>
            <w:hideMark/>
          </w:tcPr>
          <w:p w14:paraId="51440896"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2017</w:t>
            </w:r>
          </w:p>
        </w:tc>
        <w:tc>
          <w:tcPr>
            <w:tcW w:w="680" w:type="dxa"/>
            <w:shd w:val="clear" w:color="auto" w:fill="F2F2F2" w:themeFill="background1" w:themeFillShade="F2"/>
            <w:noWrap/>
            <w:vAlign w:val="center"/>
            <w:hideMark/>
          </w:tcPr>
          <w:p w14:paraId="3A0A52E3"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0,4</w:t>
            </w:r>
          </w:p>
        </w:tc>
        <w:tc>
          <w:tcPr>
            <w:tcW w:w="680" w:type="dxa"/>
            <w:shd w:val="clear" w:color="auto" w:fill="F2F2F2" w:themeFill="background1" w:themeFillShade="F2"/>
            <w:noWrap/>
            <w:vAlign w:val="center"/>
            <w:hideMark/>
          </w:tcPr>
          <w:p w14:paraId="391A93A0"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B9E2DB4"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0E4C1E4C"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0,4</w:t>
            </w:r>
          </w:p>
        </w:tc>
        <w:tc>
          <w:tcPr>
            <w:tcW w:w="680" w:type="dxa"/>
            <w:shd w:val="clear" w:color="auto" w:fill="F2F2F2" w:themeFill="background1" w:themeFillShade="F2"/>
            <w:noWrap/>
            <w:vAlign w:val="center"/>
            <w:hideMark/>
          </w:tcPr>
          <w:p w14:paraId="1932FD2A"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0,4</w:t>
            </w:r>
          </w:p>
        </w:tc>
        <w:tc>
          <w:tcPr>
            <w:tcW w:w="680" w:type="dxa"/>
            <w:shd w:val="clear" w:color="auto" w:fill="F2F2F2" w:themeFill="background1" w:themeFillShade="F2"/>
            <w:noWrap/>
            <w:vAlign w:val="center"/>
            <w:hideMark/>
          </w:tcPr>
          <w:p w14:paraId="5426E689"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0,4</w:t>
            </w:r>
          </w:p>
        </w:tc>
        <w:tc>
          <w:tcPr>
            <w:tcW w:w="680" w:type="dxa"/>
            <w:shd w:val="clear" w:color="auto" w:fill="F2F2F2" w:themeFill="background1" w:themeFillShade="F2"/>
            <w:noWrap/>
            <w:vAlign w:val="center"/>
            <w:hideMark/>
          </w:tcPr>
          <w:p w14:paraId="7366EB09"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0,4</w:t>
            </w:r>
          </w:p>
        </w:tc>
        <w:tc>
          <w:tcPr>
            <w:tcW w:w="680" w:type="dxa"/>
            <w:shd w:val="clear" w:color="auto" w:fill="F2F2F2" w:themeFill="background1" w:themeFillShade="F2"/>
            <w:noWrap/>
            <w:vAlign w:val="center"/>
            <w:hideMark/>
          </w:tcPr>
          <w:p w14:paraId="4E53AD3B"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7B299F19"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06C98D27" w14:textId="16579500" w:rsidR="006323ED" w:rsidRPr="00724C36" w:rsidRDefault="006323ED" w:rsidP="00737954">
            <w:pPr>
              <w:spacing w:after="0" w:line="276" w:lineRule="auto"/>
              <w:jc w:val="right"/>
              <w:rPr>
                <w:rFonts w:cs="Arial"/>
                <w:bCs/>
                <w:color w:val="000000"/>
                <w:sz w:val="14"/>
                <w:szCs w:val="14"/>
              </w:rPr>
            </w:pPr>
          </w:p>
        </w:tc>
      </w:tr>
      <w:tr w:rsidR="006323ED" w:rsidRPr="00121CFC" w14:paraId="36BCEA33" w14:textId="77777777" w:rsidTr="00737954">
        <w:trPr>
          <w:cantSplit/>
          <w:trHeight w:val="20"/>
          <w:jc w:val="center"/>
        </w:trPr>
        <w:tc>
          <w:tcPr>
            <w:tcW w:w="1702" w:type="dxa"/>
            <w:shd w:val="clear" w:color="auto" w:fill="auto"/>
            <w:noWrap/>
            <w:vAlign w:val="center"/>
            <w:hideMark/>
          </w:tcPr>
          <w:p w14:paraId="0694B757"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E-AUCTION V</w:t>
            </w:r>
          </w:p>
        </w:tc>
        <w:tc>
          <w:tcPr>
            <w:tcW w:w="850" w:type="dxa"/>
            <w:shd w:val="clear" w:color="auto" w:fill="auto"/>
            <w:vAlign w:val="center"/>
            <w:hideMark/>
          </w:tcPr>
          <w:p w14:paraId="124A3C94"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0,8</w:t>
            </w:r>
          </w:p>
        </w:tc>
        <w:tc>
          <w:tcPr>
            <w:tcW w:w="922" w:type="dxa"/>
            <w:shd w:val="clear" w:color="auto" w:fill="auto"/>
            <w:vAlign w:val="center"/>
            <w:hideMark/>
          </w:tcPr>
          <w:p w14:paraId="4502C78B" w14:textId="6D9B3284" w:rsidR="006323ED" w:rsidRPr="00724C36" w:rsidRDefault="006323ED" w:rsidP="00737954">
            <w:pPr>
              <w:spacing w:after="0" w:line="276" w:lineRule="auto"/>
              <w:ind w:right="-57"/>
              <w:jc w:val="right"/>
              <w:rPr>
                <w:rFonts w:cs="Arial"/>
                <w:sz w:val="14"/>
                <w:szCs w:val="14"/>
              </w:rPr>
            </w:pPr>
            <w:r w:rsidRPr="00724C36">
              <w:rPr>
                <w:rFonts w:cs="Arial"/>
                <w:sz w:val="14"/>
                <w:szCs w:val="14"/>
              </w:rPr>
              <w:t>0,9</w:t>
            </w:r>
          </w:p>
        </w:tc>
        <w:tc>
          <w:tcPr>
            <w:tcW w:w="1023" w:type="dxa"/>
            <w:shd w:val="clear" w:color="auto" w:fill="auto"/>
            <w:noWrap/>
            <w:vAlign w:val="center"/>
            <w:hideMark/>
          </w:tcPr>
          <w:p w14:paraId="16ADE7CE"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2017</w:t>
            </w:r>
          </w:p>
        </w:tc>
        <w:tc>
          <w:tcPr>
            <w:tcW w:w="680" w:type="dxa"/>
            <w:shd w:val="clear" w:color="auto" w:fill="auto"/>
            <w:noWrap/>
            <w:vAlign w:val="center"/>
            <w:hideMark/>
          </w:tcPr>
          <w:p w14:paraId="28A2882E"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0,8</w:t>
            </w:r>
          </w:p>
        </w:tc>
        <w:tc>
          <w:tcPr>
            <w:tcW w:w="680" w:type="dxa"/>
            <w:shd w:val="clear" w:color="auto" w:fill="auto"/>
            <w:noWrap/>
            <w:vAlign w:val="center"/>
            <w:hideMark/>
          </w:tcPr>
          <w:p w14:paraId="7E4F04FB"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387EFAD5"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0,1</w:t>
            </w:r>
          </w:p>
        </w:tc>
        <w:tc>
          <w:tcPr>
            <w:tcW w:w="680" w:type="dxa"/>
            <w:shd w:val="clear" w:color="auto" w:fill="auto"/>
            <w:noWrap/>
            <w:vAlign w:val="center"/>
            <w:hideMark/>
          </w:tcPr>
          <w:p w14:paraId="7A699BB6"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40878942"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2AA9716F"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41717B9A"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399F9957"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3ACA62A4"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013704B9" w14:textId="38FBD5D3" w:rsidR="006323ED" w:rsidRPr="00724C36" w:rsidRDefault="006323ED" w:rsidP="00737954">
            <w:pPr>
              <w:spacing w:after="0" w:line="276" w:lineRule="auto"/>
              <w:jc w:val="right"/>
              <w:rPr>
                <w:rFonts w:cs="Arial"/>
                <w:bCs/>
                <w:color w:val="000000"/>
                <w:sz w:val="14"/>
                <w:szCs w:val="14"/>
              </w:rPr>
            </w:pPr>
          </w:p>
        </w:tc>
      </w:tr>
      <w:tr w:rsidR="006323ED" w:rsidRPr="00121CFC" w14:paraId="33498857" w14:textId="77777777" w:rsidTr="00737954">
        <w:trPr>
          <w:cantSplit/>
          <w:trHeight w:val="20"/>
          <w:jc w:val="center"/>
        </w:trPr>
        <w:tc>
          <w:tcPr>
            <w:tcW w:w="1702" w:type="dxa"/>
            <w:shd w:val="clear" w:color="auto" w:fill="F2F2F2" w:themeFill="background1" w:themeFillShade="F2"/>
            <w:vAlign w:val="center"/>
            <w:hideMark/>
          </w:tcPr>
          <w:p w14:paraId="08717AD4"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Περιφερειακά Αεροδρόμια</w:t>
            </w:r>
          </w:p>
        </w:tc>
        <w:tc>
          <w:tcPr>
            <w:tcW w:w="850" w:type="dxa"/>
            <w:shd w:val="clear" w:color="auto" w:fill="F2F2F2" w:themeFill="background1" w:themeFillShade="F2"/>
            <w:vAlign w:val="center"/>
            <w:hideMark/>
          </w:tcPr>
          <w:p w14:paraId="0481BCDC"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2.150,0</w:t>
            </w:r>
          </w:p>
        </w:tc>
        <w:tc>
          <w:tcPr>
            <w:tcW w:w="922" w:type="dxa"/>
            <w:shd w:val="clear" w:color="auto" w:fill="F2F2F2" w:themeFill="background1" w:themeFillShade="F2"/>
            <w:vAlign w:val="center"/>
            <w:hideMark/>
          </w:tcPr>
          <w:p w14:paraId="0036ECFD" w14:textId="40EC02D5" w:rsidR="006323ED" w:rsidRPr="00724C36" w:rsidRDefault="006323ED" w:rsidP="00737954">
            <w:pPr>
              <w:spacing w:after="0" w:line="276" w:lineRule="auto"/>
              <w:ind w:right="-57"/>
              <w:jc w:val="right"/>
              <w:rPr>
                <w:rFonts w:cs="Arial"/>
                <w:sz w:val="14"/>
                <w:szCs w:val="14"/>
              </w:rPr>
            </w:pPr>
            <w:r w:rsidRPr="00724C36">
              <w:rPr>
                <w:rFonts w:cs="Arial"/>
                <w:sz w:val="14"/>
                <w:szCs w:val="14"/>
              </w:rPr>
              <w:t>1.452,8</w:t>
            </w:r>
          </w:p>
        </w:tc>
        <w:tc>
          <w:tcPr>
            <w:tcW w:w="1023" w:type="dxa"/>
            <w:shd w:val="clear" w:color="auto" w:fill="F2F2F2" w:themeFill="background1" w:themeFillShade="F2"/>
            <w:vAlign w:val="center"/>
            <w:hideMark/>
          </w:tcPr>
          <w:p w14:paraId="562E47B4"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2017</w:t>
            </w:r>
          </w:p>
        </w:tc>
        <w:tc>
          <w:tcPr>
            <w:tcW w:w="680" w:type="dxa"/>
            <w:shd w:val="clear" w:color="auto" w:fill="F2F2F2" w:themeFill="background1" w:themeFillShade="F2"/>
            <w:noWrap/>
            <w:vAlign w:val="center"/>
            <w:hideMark/>
          </w:tcPr>
          <w:p w14:paraId="48819B29" w14:textId="7721899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1,234,0</w:t>
            </w:r>
          </w:p>
        </w:tc>
        <w:tc>
          <w:tcPr>
            <w:tcW w:w="680" w:type="dxa"/>
            <w:shd w:val="clear" w:color="auto" w:fill="F2F2F2" w:themeFill="background1" w:themeFillShade="F2"/>
            <w:noWrap/>
            <w:vAlign w:val="center"/>
            <w:hideMark/>
          </w:tcPr>
          <w:p w14:paraId="2F2A42CC"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16,7</w:t>
            </w:r>
          </w:p>
        </w:tc>
        <w:tc>
          <w:tcPr>
            <w:tcW w:w="680" w:type="dxa"/>
            <w:shd w:val="clear" w:color="auto" w:fill="F2F2F2" w:themeFill="background1" w:themeFillShade="F2"/>
            <w:noWrap/>
            <w:vAlign w:val="center"/>
            <w:hideMark/>
          </w:tcPr>
          <w:p w14:paraId="035149DB"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23,2</w:t>
            </w:r>
          </w:p>
        </w:tc>
        <w:tc>
          <w:tcPr>
            <w:tcW w:w="680" w:type="dxa"/>
            <w:shd w:val="clear" w:color="auto" w:fill="F2F2F2" w:themeFill="background1" w:themeFillShade="F2"/>
            <w:noWrap/>
            <w:vAlign w:val="center"/>
            <w:hideMark/>
          </w:tcPr>
          <w:p w14:paraId="608AFD72"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F29E2AB"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4E9AC51"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3844C02"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27,3</w:t>
            </w:r>
          </w:p>
        </w:tc>
        <w:tc>
          <w:tcPr>
            <w:tcW w:w="680" w:type="dxa"/>
            <w:shd w:val="clear" w:color="auto" w:fill="F2F2F2" w:themeFill="background1" w:themeFillShade="F2"/>
            <w:noWrap/>
            <w:vAlign w:val="center"/>
            <w:hideMark/>
          </w:tcPr>
          <w:p w14:paraId="6564C57C"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5F9214D"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129,6</w:t>
            </w:r>
          </w:p>
        </w:tc>
        <w:tc>
          <w:tcPr>
            <w:tcW w:w="680" w:type="dxa"/>
            <w:shd w:val="clear" w:color="auto" w:fill="F2F2F2" w:themeFill="background1" w:themeFillShade="F2"/>
            <w:noWrap/>
            <w:vAlign w:val="center"/>
            <w:hideMark/>
          </w:tcPr>
          <w:p w14:paraId="217F7F76"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22,0</w:t>
            </w:r>
          </w:p>
        </w:tc>
      </w:tr>
      <w:tr w:rsidR="006323ED" w:rsidRPr="00121CFC" w14:paraId="705B84A2" w14:textId="77777777" w:rsidTr="00737954">
        <w:trPr>
          <w:cantSplit/>
          <w:trHeight w:val="20"/>
          <w:jc w:val="center"/>
        </w:trPr>
        <w:tc>
          <w:tcPr>
            <w:tcW w:w="1702" w:type="dxa"/>
            <w:shd w:val="clear" w:color="auto" w:fill="auto"/>
            <w:vAlign w:val="center"/>
            <w:hideMark/>
          </w:tcPr>
          <w:p w14:paraId="27004D78"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ΤΡΑΙΝΟΣΕ</w:t>
            </w:r>
          </w:p>
        </w:tc>
        <w:tc>
          <w:tcPr>
            <w:tcW w:w="850" w:type="dxa"/>
            <w:shd w:val="clear" w:color="auto" w:fill="auto"/>
            <w:noWrap/>
            <w:vAlign w:val="center"/>
            <w:hideMark/>
          </w:tcPr>
          <w:p w14:paraId="51A8C298"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45,0</w:t>
            </w:r>
          </w:p>
        </w:tc>
        <w:tc>
          <w:tcPr>
            <w:tcW w:w="922" w:type="dxa"/>
            <w:shd w:val="clear" w:color="auto" w:fill="auto"/>
            <w:vAlign w:val="center"/>
            <w:hideMark/>
          </w:tcPr>
          <w:p w14:paraId="523E1E6E" w14:textId="543BDA91" w:rsidR="006323ED" w:rsidRPr="00724C36" w:rsidRDefault="006323ED" w:rsidP="00737954">
            <w:pPr>
              <w:spacing w:after="0" w:line="276" w:lineRule="auto"/>
              <w:ind w:right="-57"/>
              <w:jc w:val="right"/>
              <w:rPr>
                <w:rFonts w:cs="Arial"/>
                <w:sz w:val="14"/>
                <w:szCs w:val="14"/>
              </w:rPr>
            </w:pPr>
            <w:r w:rsidRPr="00724C36">
              <w:rPr>
                <w:rFonts w:cs="Arial"/>
                <w:sz w:val="14"/>
                <w:szCs w:val="14"/>
              </w:rPr>
              <w:t>45,0</w:t>
            </w:r>
          </w:p>
        </w:tc>
        <w:tc>
          <w:tcPr>
            <w:tcW w:w="1023" w:type="dxa"/>
            <w:shd w:val="clear" w:color="auto" w:fill="auto"/>
            <w:noWrap/>
            <w:vAlign w:val="center"/>
            <w:hideMark/>
          </w:tcPr>
          <w:p w14:paraId="34223A4D"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2017</w:t>
            </w:r>
          </w:p>
        </w:tc>
        <w:tc>
          <w:tcPr>
            <w:tcW w:w="680" w:type="dxa"/>
            <w:shd w:val="clear" w:color="auto" w:fill="auto"/>
            <w:noWrap/>
            <w:vAlign w:val="center"/>
            <w:hideMark/>
          </w:tcPr>
          <w:p w14:paraId="20237BBC"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45,0</w:t>
            </w:r>
          </w:p>
        </w:tc>
        <w:tc>
          <w:tcPr>
            <w:tcW w:w="680" w:type="dxa"/>
            <w:shd w:val="clear" w:color="auto" w:fill="auto"/>
            <w:noWrap/>
            <w:vAlign w:val="center"/>
            <w:hideMark/>
          </w:tcPr>
          <w:p w14:paraId="0C4E9405"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3D914A8D"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09E5C8AF"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4F50A3A9"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63A36C2D"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0F79D5C3"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500A6465"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39BA4644"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3A2674CC" w14:textId="3046DBAA" w:rsidR="006323ED" w:rsidRPr="00724C36" w:rsidRDefault="006323ED" w:rsidP="00737954">
            <w:pPr>
              <w:spacing w:after="0" w:line="276" w:lineRule="auto"/>
              <w:jc w:val="right"/>
              <w:rPr>
                <w:rFonts w:cs="Arial"/>
                <w:bCs/>
                <w:color w:val="000000"/>
                <w:sz w:val="14"/>
                <w:szCs w:val="14"/>
              </w:rPr>
            </w:pPr>
          </w:p>
        </w:tc>
      </w:tr>
      <w:tr w:rsidR="006323ED" w:rsidRPr="00121CFC" w14:paraId="37E17974" w14:textId="77777777" w:rsidTr="00737954">
        <w:trPr>
          <w:cantSplit/>
          <w:trHeight w:val="20"/>
          <w:jc w:val="center"/>
        </w:trPr>
        <w:tc>
          <w:tcPr>
            <w:tcW w:w="1702" w:type="dxa"/>
            <w:shd w:val="clear" w:color="auto" w:fill="F2F2F2" w:themeFill="background1" w:themeFillShade="F2"/>
            <w:vAlign w:val="center"/>
            <w:hideMark/>
          </w:tcPr>
          <w:p w14:paraId="01FC227B" w14:textId="127E71E8" w:rsidR="006323ED" w:rsidRPr="00C175C7" w:rsidRDefault="006323ED" w:rsidP="00737954">
            <w:pPr>
              <w:spacing w:after="0" w:line="276" w:lineRule="auto"/>
              <w:jc w:val="left"/>
              <w:rPr>
                <w:rFonts w:cs="Arial"/>
                <w:bCs/>
                <w:sz w:val="14"/>
                <w:szCs w:val="14"/>
              </w:rPr>
            </w:pPr>
            <w:r w:rsidRPr="00C175C7">
              <w:rPr>
                <w:rFonts w:cs="Arial"/>
                <w:bCs/>
                <w:sz w:val="14"/>
                <w:szCs w:val="14"/>
              </w:rPr>
              <w:t xml:space="preserve">Πώληση </w:t>
            </w:r>
            <w:r w:rsidR="008F6F3C">
              <w:rPr>
                <w:rFonts w:cs="Arial"/>
                <w:bCs/>
                <w:sz w:val="14"/>
                <w:szCs w:val="14"/>
              </w:rPr>
              <w:t>μ</w:t>
            </w:r>
            <w:r w:rsidRPr="00C175C7">
              <w:rPr>
                <w:rFonts w:cs="Arial"/>
                <w:bCs/>
                <w:sz w:val="14"/>
                <w:szCs w:val="14"/>
              </w:rPr>
              <w:t>ετοχών ΑΔΜΗΕ</w:t>
            </w:r>
          </w:p>
        </w:tc>
        <w:tc>
          <w:tcPr>
            <w:tcW w:w="850" w:type="dxa"/>
            <w:shd w:val="clear" w:color="auto" w:fill="F2F2F2" w:themeFill="background1" w:themeFillShade="F2"/>
            <w:vAlign w:val="center"/>
            <w:hideMark/>
          </w:tcPr>
          <w:p w14:paraId="40C38440"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0,4</w:t>
            </w:r>
          </w:p>
        </w:tc>
        <w:tc>
          <w:tcPr>
            <w:tcW w:w="922" w:type="dxa"/>
            <w:shd w:val="clear" w:color="auto" w:fill="F2F2F2" w:themeFill="background1" w:themeFillShade="F2"/>
            <w:vAlign w:val="center"/>
            <w:hideMark/>
          </w:tcPr>
          <w:p w14:paraId="27B5749A" w14:textId="1330B544" w:rsidR="006323ED" w:rsidRPr="00724C36" w:rsidRDefault="006323ED" w:rsidP="00737954">
            <w:pPr>
              <w:spacing w:after="0" w:line="276" w:lineRule="auto"/>
              <w:ind w:right="-57"/>
              <w:jc w:val="right"/>
              <w:rPr>
                <w:rFonts w:cs="Arial"/>
                <w:sz w:val="14"/>
                <w:szCs w:val="14"/>
              </w:rPr>
            </w:pPr>
            <w:r w:rsidRPr="00724C36">
              <w:rPr>
                <w:rFonts w:cs="Arial"/>
                <w:sz w:val="14"/>
                <w:szCs w:val="14"/>
              </w:rPr>
              <w:t>0,4</w:t>
            </w:r>
          </w:p>
        </w:tc>
        <w:tc>
          <w:tcPr>
            <w:tcW w:w="1023" w:type="dxa"/>
            <w:shd w:val="clear" w:color="auto" w:fill="F2F2F2" w:themeFill="background1" w:themeFillShade="F2"/>
            <w:vAlign w:val="center"/>
            <w:hideMark/>
          </w:tcPr>
          <w:p w14:paraId="77471142"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2017</w:t>
            </w:r>
          </w:p>
        </w:tc>
        <w:tc>
          <w:tcPr>
            <w:tcW w:w="680" w:type="dxa"/>
            <w:shd w:val="clear" w:color="auto" w:fill="F2F2F2" w:themeFill="background1" w:themeFillShade="F2"/>
            <w:noWrap/>
            <w:vAlign w:val="center"/>
            <w:hideMark/>
          </w:tcPr>
          <w:p w14:paraId="7C6DFE98"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0,4</w:t>
            </w:r>
          </w:p>
        </w:tc>
        <w:tc>
          <w:tcPr>
            <w:tcW w:w="680" w:type="dxa"/>
            <w:shd w:val="clear" w:color="auto" w:fill="F2F2F2" w:themeFill="background1" w:themeFillShade="F2"/>
            <w:noWrap/>
            <w:vAlign w:val="center"/>
            <w:hideMark/>
          </w:tcPr>
          <w:p w14:paraId="22CD0388"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2E0D4B0E"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F0518F9"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119BEDD7"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25FFFB5E"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685B09B5"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07904650"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4E63192"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F2F2F2" w:themeFill="background1" w:themeFillShade="F2"/>
            <w:noWrap/>
            <w:vAlign w:val="center"/>
            <w:hideMark/>
          </w:tcPr>
          <w:p w14:paraId="4E0884F5" w14:textId="2965E4B2" w:rsidR="006323ED" w:rsidRPr="00724C36" w:rsidRDefault="006323ED" w:rsidP="00737954">
            <w:pPr>
              <w:spacing w:after="0" w:line="276" w:lineRule="auto"/>
              <w:jc w:val="right"/>
              <w:rPr>
                <w:rFonts w:cs="Arial"/>
                <w:bCs/>
                <w:color w:val="000000"/>
                <w:sz w:val="14"/>
                <w:szCs w:val="14"/>
              </w:rPr>
            </w:pPr>
          </w:p>
        </w:tc>
      </w:tr>
      <w:tr w:rsidR="006323ED" w:rsidRPr="00121CFC" w14:paraId="0582DA55" w14:textId="77777777" w:rsidTr="00737954">
        <w:trPr>
          <w:cantSplit/>
          <w:trHeight w:val="20"/>
          <w:jc w:val="center"/>
        </w:trPr>
        <w:tc>
          <w:tcPr>
            <w:tcW w:w="1702" w:type="dxa"/>
            <w:shd w:val="clear" w:color="auto" w:fill="auto"/>
            <w:vAlign w:val="center"/>
            <w:hideMark/>
          </w:tcPr>
          <w:p w14:paraId="5FFD37CC"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E-AUCTION VII, VIII</w:t>
            </w:r>
          </w:p>
        </w:tc>
        <w:tc>
          <w:tcPr>
            <w:tcW w:w="850" w:type="dxa"/>
            <w:shd w:val="clear" w:color="auto" w:fill="auto"/>
            <w:noWrap/>
            <w:vAlign w:val="center"/>
            <w:hideMark/>
          </w:tcPr>
          <w:p w14:paraId="10527317"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14,8</w:t>
            </w:r>
          </w:p>
        </w:tc>
        <w:tc>
          <w:tcPr>
            <w:tcW w:w="922" w:type="dxa"/>
            <w:shd w:val="clear" w:color="auto" w:fill="auto"/>
            <w:vAlign w:val="center"/>
            <w:hideMark/>
          </w:tcPr>
          <w:p w14:paraId="4615F500" w14:textId="6894B8F8" w:rsidR="006323ED" w:rsidRPr="00724C36" w:rsidRDefault="006323ED" w:rsidP="00737954">
            <w:pPr>
              <w:spacing w:after="0" w:line="276" w:lineRule="auto"/>
              <w:ind w:right="-57"/>
              <w:jc w:val="right"/>
              <w:rPr>
                <w:rFonts w:cs="Arial"/>
                <w:sz w:val="14"/>
                <w:szCs w:val="14"/>
              </w:rPr>
            </w:pPr>
            <w:r w:rsidRPr="00724C36">
              <w:rPr>
                <w:rFonts w:cs="Arial"/>
                <w:sz w:val="14"/>
                <w:szCs w:val="14"/>
              </w:rPr>
              <w:t>14,4</w:t>
            </w:r>
          </w:p>
        </w:tc>
        <w:tc>
          <w:tcPr>
            <w:tcW w:w="1023" w:type="dxa"/>
            <w:shd w:val="clear" w:color="auto" w:fill="auto"/>
            <w:noWrap/>
            <w:vAlign w:val="center"/>
            <w:hideMark/>
          </w:tcPr>
          <w:p w14:paraId="5364CAF4"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2017</w:t>
            </w:r>
          </w:p>
        </w:tc>
        <w:tc>
          <w:tcPr>
            <w:tcW w:w="680" w:type="dxa"/>
            <w:shd w:val="clear" w:color="auto" w:fill="auto"/>
            <w:noWrap/>
            <w:vAlign w:val="center"/>
            <w:hideMark/>
          </w:tcPr>
          <w:p w14:paraId="5CCAD731"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1,9</w:t>
            </w:r>
          </w:p>
        </w:tc>
        <w:tc>
          <w:tcPr>
            <w:tcW w:w="680" w:type="dxa"/>
            <w:shd w:val="clear" w:color="auto" w:fill="auto"/>
            <w:noWrap/>
            <w:vAlign w:val="center"/>
            <w:hideMark/>
          </w:tcPr>
          <w:p w14:paraId="6CAE69DC"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6,0</w:t>
            </w:r>
          </w:p>
        </w:tc>
        <w:tc>
          <w:tcPr>
            <w:tcW w:w="680" w:type="dxa"/>
            <w:shd w:val="clear" w:color="auto" w:fill="auto"/>
            <w:noWrap/>
            <w:vAlign w:val="center"/>
            <w:hideMark/>
          </w:tcPr>
          <w:p w14:paraId="7A200ECF"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1,4</w:t>
            </w:r>
          </w:p>
        </w:tc>
        <w:tc>
          <w:tcPr>
            <w:tcW w:w="680" w:type="dxa"/>
            <w:shd w:val="clear" w:color="auto" w:fill="auto"/>
            <w:noWrap/>
            <w:vAlign w:val="center"/>
            <w:hideMark/>
          </w:tcPr>
          <w:p w14:paraId="3AE51F00"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2,4</w:t>
            </w:r>
          </w:p>
        </w:tc>
        <w:tc>
          <w:tcPr>
            <w:tcW w:w="680" w:type="dxa"/>
            <w:shd w:val="clear" w:color="auto" w:fill="auto"/>
            <w:noWrap/>
            <w:vAlign w:val="center"/>
            <w:hideMark/>
          </w:tcPr>
          <w:p w14:paraId="02E309F6" w14:textId="77777777" w:rsidR="006323ED" w:rsidRPr="00724C36" w:rsidRDefault="006323ED" w:rsidP="00737954">
            <w:pPr>
              <w:spacing w:after="0" w:line="276" w:lineRule="auto"/>
              <w:jc w:val="right"/>
              <w:rPr>
                <w:rFonts w:cs="Arial"/>
                <w:bCs/>
                <w:color w:val="000000"/>
                <w:sz w:val="14"/>
                <w:szCs w:val="14"/>
              </w:rPr>
            </w:pPr>
            <w:r w:rsidRPr="00724C36">
              <w:rPr>
                <w:rFonts w:cs="Arial"/>
                <w:bCs/>
                <w:color w:val="000000"/>
                <w:sz w:val="14"/>
                <w:szCs w:val="14"/>
              </w:rPr>
              <w:t>1,7</w:t>
            </w:r>
          </w:p>
        </w:tc>
        <w:tc>
          <w:tcPr>
            <w:tcW w:w="680" w:type="dxa"/>
            <w:shd w:val="clear" w:color="auto" w:fill="auto"/>
            <w:noWrap/>
            <w:vAlign w:val="center"/>
            <w:hideMark/>
          </w:tcPr>
          <w:p w14:paraId="5B01D65E" w14:textId="59C5526F"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7089B03C"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6D3AE7B4"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07D7D29D" w14:textId="77777777" w:rsidR="006323ED" w:rsidRPr="00724C36" w:rsidRDefault="006323ED" w:rsidP="00737954">
            <w:pPr>
              <w:spacing w:after="0" w:line="276" w:lineRule="auto"/>
              <w:jc w:val="right"/>
              <w:rPr>
                <w:rFonts w:cs="Arial"/>
                <w:bCs/>
                <w:color w:val="000000"/>
                <w:sz w:val="14"/>
                <w:szCs w:val="14"/>
              </w:rPr>
            </w:pPr>
          </w:p>
        </w:tc>
        <w:tc>
          <w:tcPr>
            <w:tcW w:w="680" w:type="dxa"/>
            <w:shd w:val="clear" w:color="auto" w:fill="auto"/>
            <w:noWrap/>
            <w:vAlign w:val="center"/>
            <w:hideMark/>
          </w:tcPr>
          <w:p w14:paraId="7DB78C00" w14:textId="450355A2" w:rsidR="006323ED" w:rsidRPr="00724C36" w:rsidRDefault="006323ED" w:rsidP="00737954">
            <w:pPr>
              <w:spacing w:after="0" w:line="276" w:lineRule="auto"/>
              <w:jc w:val="right"/>
              <w:rPr>
                <w:rFonts w:cs="Arial"/>
                <w:bCs/>
                <w:color w:val="000000"/>
                <w:sz w:val="14"/>
                <w:szCs w:val="14"/>
              </w:rPr>
            </w:pPr>
          </w:p>
        </w:tc>
      </w:tr>
      <w:tr w:rsidR="006323ED" w:rsidRPr="00121CFC" w14:paraId="26D8E759" w14:textId="77777777" w:rsidTr="00737954">
        <w:trPr>
          <w:cantSplit/>
          <w:trHeight w:val="20"/>
          <w:jc w:val="center"/>
        </w:trPr>
        <w:tc>
          <w:tcPr>
            <w:tcW w:w="1702" w:type="dxa"/>
            <w:shd w:val="clear" w:color="auto" w:fill="F2F2F2" w:themeFill="background1" w:themeFillShade="F2"/>
            <w:vAlign w:val="center"/>
            <w:hideMark/>
          </w:tcPr>
          <w:p w14:paraId="07FEABF3"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ΟΛΘ (67%)</w:t>
            </w:r>
          </w:p>
        </w:tc>
        <w:tc>
          <w:tcPr>
            <w:tcW w:w="850" w:type="dxa"/>
            <w:shd w:val="clear" w:color="auto" w:fill="F2F2F2" w:themeFill="background1" w:themeFillShade="F2"/>
            <w:vAlign w:val="center"/>
            <w:hideMark/>
          </w:tcPr>
          <w:p w14:paraId="50173E2D"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231,9</w:t>
            </w:r>
          </w:p>
        </w:tc>
        <w:tc>
          <w:tcPr>
            <w:tcW w:w="922" w:type="dxa"/>
            <w:shd w:val="clear" w:color="auto" w:fill="F2F2F2" w:themeFill="background1" w:themeFillShade="F2"/>
            <w:vAlign w:val="center"/>
            <w:hideMark/>
          </w:tcPr>
          <w:p w14:paraId="26B92754" w14:textId="1CD9C9ED" w:rsidR="006323ED" w:rsidRPr="00724C36" w:rsidRDefault="006323ED" w:rsidP="00737954">
            <w:pPr>
              <w:spacing w:after="0" w:line="276" w:lineRule="auto"/>
              <w:ind w:right="-57"/>
              <w:jc w:val="right"/>
              <w:rPr>
                <w:rFonts w:cs="Arial"/>
                <w:sz w:val="14"/>
                <w:szCs w:val="14"/>
              </w:rPr>
            </w:pPr>
            <w:r w:rsidRPr="00724C36">
              <w:rPr>
                <w:rFonts w:cs="Arial"/>
                <w:sz w:val="14"/>
                <w:szCs w:val="14"/>
              </w:rPr>
              <w:t>231,9</w:t>
            </w:r>
          </w:p>
        </w:tc>
        <w:tc>
          <w:tcPr>
            <w:tcW w:w="1023" w:type="dxa"/>
            <w:shd w:val="clear" w:color="auto" w:fill="F2F2F2" w:themeFill="background1" w:themeFillShade="F2"/>
            <w:vAlign w:val="center"/>
            <w:hideMark/>
          </w:tcPr>
          <w:p w14:paraId="28269955"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2018</w:t>
            </w:r>
          </w:p>
        </w:tc>
        <w:tc>
          <w:tcPr>
            <w:tcW w:w="680" w:type="dxa"/>
            <w:shd w:val="clear" w:color="auto" w:fill="F2F2F2" w:themeFill="background1" w:themeFillShade="F2"/>
            <w:noWrap/>
            <w:vAlign w:val="center"/>
            <w:hideMark/>
          </w:tcPr>
          <w:p w14:paraId="6BD5273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B4E8B46"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231,9</w:t>
            </w:r>
          </w:p>
        </w:tc>
        <w:tc>
          <w:tcPr>
            <w:tcW w:w="680" w:type="dxa"/>
            <w:shd w:val="clear" w:color="auto" w:fill="F2F2F2" w:themeFill="background1" w:themeFillShade="F2"/>
            <w:noWrap/>
            <w:vAlign w:val="center"/>
            <w:hideMark/>
          </w:tcPr>
          <w:p w14:paraId="3F41E70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E49C9D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FD1416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9C7EA4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572C2E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EAB614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FC06A9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3C4FADE" w14:textId="2BF900F1" w:rsidR="006323ED" w:rsidRPr="00724C36" w:rsidRDefault="006323ED" w:rsidP="00737954">
            <w:pPr>
              <w:spacing w:after="0" w:line="276" w:lineRule="auto"/>
              <w:ind w:right="-41"/>
              <w:jc w:val="right"/>
              <w:rPr>
                <w:rFonts w:cs="Arial"/>
                <w:bCs/>
                <w:color w:val="000000"/>
                <w:sz w:val="14"/>
                <w:szCs w:val="14"/>
              </w:rPr>
            </w:pPr>
          </w:p>
        </w:tc>
      </w:tr>
      <w:tr w:rsidR="006323ED" w:rsidRPr="00121CFC" w14:paraId="3A4C4EBA" w14:textId="77777777" w:rsidTr="00737954">
        <w:trPr>
          <w:cantSplit/>
          <w:trHeight w:val="20"/>
          <w:jc w:val="center"/>
        </w:trPr>
        <w:tc>
          <w:tcPr>
            <w:tcW w:w="1702" w:type="dxa"/>
            <w:shd w:val="clear" w:color="auto" w:fill="auto"/>
            <w:vAlign w:val="center"/>
            <w:hideMark/>
          </w:tcPr>
          <w:p w14:paraId="6A300CDC"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ΟΤΕ (5%)</w:t>
            </w:r>
          </w:p>
        </w:tc>
        <w:tc>
          <w:tcPr>
            <w:tcW w:w="850" w:type="dxa"/>
            <w:shd w:val="clear" w:color="auto" w:fill="auto"/>
            <w:noWrap/>
            <w:vAlign w:val="center"/>
            <w:hideMark/>
          </w:tcPr>
          <w:p w14:paraId="506A315B"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284,0</w:t>
            </w:r>
          </w:p>
        </w:tc>
        <w:tc>
          <w:tcPr>
            <w:tcW w:w="922" w:type="dxa"/>
            <w:shd w:val="clear" w:color="auto" w:fill="auto"/>
            <w:vAlign w:val="center"/>
            <w:hideMark/>
          </w:tcPr>
          <w:p w14:paraId="14F45D4F" w14:textId="0BE11D51" w:rsidR="006323ED" w:rsidRPr="00724C36" w:rsidRDefault="006323ED" w:rsidP="00737954">
            <w:pPr>
              <w:spacing w:after="0" w:line="276" w:lineRule="auto"/>
              <w:ind w:right="-57"/>
              <w:jc w:val="right"/>
              <w:rPr>
                <w:rFonts w:cs="Arial"/>
                <w:sz w:val="14"/>
                <w:szCs w:val="14"/>
              </w:rPr>
            </w:pPr>
            <w:r w:rsidRPr="00724C36">
              <w:rPr>
                <w:rFonts w:cs="Arial"/>
                <w:sz w:val="14"/>
                <w:szCs w:val="14"/>
              </w:rPr>
              <w:t>284,0</w:t>
            </w:r>
          </w:p>
        </w:tc>
        <w:tc>
          <w:tcPr>
            <w:tcW w:w="1023" w:type="dxa"/>
            <w:shd w:val="clear" w:color="auto" w:fill="auto"/>
            <w:noWrap/>
            <w:vAlign w:val="center"/>
            <w:hideMark/>
          </w:tcPr>
          <w:p w14:paraId="7DAC4CBA"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2018</w:t>
            </w:r>
          </w:p>
        </w:tc>
        <w:tc>
          <w:tcPr>
            <w:tcW w:w="680" w:type="dxa"/>
            <w:shd w:val="clear" w:color="auto" w:fill="auto"/>
            <w:noWrap/>
            <w:vAlign w:val="center"/>
            <w:hideMark/>
          </w:tcPr>
          <w:p w14:paraId="5608822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F75819C"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284,0</w:t>
            </w:r>
          </w:p>
        </w:tc>
        <w:tc>
          <w:tcPr>
            <w:tcW w:w="680" w:type="dxa"/>
            <w:shd w:val="clear" w:color="auto" w:fill="auto"/>
            <w:noWrap/>
            <w:vAlign w:val="center"/>
            <w:hideMark/>
          </w:tcPr>
          <w:p w14:paraId="79FA120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992F7B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63587C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EA70A3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940359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F55295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11ED02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6237BAC" w14:textId="0AA5F645" w:rsidR="006323ED" w:rsidRPr="00724C36" w:rsidRDefault="006323ED" w:rsidP="00737954">
            <w:pPr>
              <w:spacing w:after="0" w:line="276" w:lineRule="auto"/>
              <w:ind w:right="-41"/>
              <w:jc w:val="right"/>
              <w:rPr>
                <w:rFonts w:cs="Arial"/>
                <w:bCs/>
                <w:color w:val="000000"/>
                <w:sz w:val="14"/>
                <w:szCs w:val="14"/>
              </w:rPr>
            </w:pPr>
          </w:p>
        </w:tc>
      </w:tr>
      <w:tr w:rsidR="006323ED" w:rsidRPr="00121CFC" w14:paraId="4ADEDF9B" w14:textId="77777777" w:rsidTr="00737954">
        <w:trPr>
          <w:cantSplit/>
          <w:trHeight w:val="20"/>
          <w:jc w:val="center"/>
        </w:trPr>
        <w:tc>
          <w:tcPr>
            <w:tcW w:w="1702" w:type="dxa"/>
            <w:shd w:val="clear" w:color="auto" w:fill="F2F2F2" w:themeFill="background1" w:themeFillShade="F2"/>
            <w:vAlign w:val="center"/>
            <w:hideMark/>
          </w:tcPr>
          <w:p w14:paraId="1C74F5DC"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ΔΕΣΦΑ</w:t>
            </w:r>
          </w:p>
        </w:tc>
        <w:tc>
          <w:tcPr>
            <w:tcW w:w="850" w:type="dxa"/>
            <w:shd w:val="clear" w:color="auto" w:fill="F2F2F2" w:themeFill="background1" w:themeFillShade="F2"/>
            <w:vAlign w:val="center"/>
            <w:hideMark/>
          </w:tcPr>
          <w:p w14:paraId="4E08CCEA"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251,3</w:t>
            </w:r>
          </w:p>
        </w:tc>
        <w:tc>
          <w:tcPr>
            <w:tcW w:w="922" w:type="dxa"/>
            <w:shd w:val="clear" w:color="auto" w:fill="F2F2F2" w:themeFill="background1" w:themeFillShade="F2"/>
            <w:vAlign w:val="center"/>
            <w:hideMark/>
          </w:tcPr>
          <w:p w14:paraId="42AA1E99" w14:textId="4F410EA3" w:rsidR="006323ED" w:rsidRPr="00724C36" w:rsidRDefault="006323ED" w:rsidP="00737954">
            <w:pPr>
              <w:spacing w:after="0" w:line="276" w:lineRule="auto"/>
              <w:ind w:right="-57"/>
              <w:jc w:val="right"/>
              <w:rPr>
                <w:rFonts w:cs="Arial"/>
                <w:sz w:val="14"/>
                <w:szCs w:val="14"/>
              </w:rPr>
            </w:pPr>
            <w:r w:rsidRPr="00724C36">
              <w:rPr>
                <w:rFonts w:cs="Arial"/>
                <w:sz w:val="14"/>
                <w:szCs w:val="14"/>
              </w:rPr>
              <w:t>251,3</w:t>
            </w:r>
          </w:p>
        </w:tc>
        <w:tc>
          <w:tcPr>
            <w:tcW w:w="1023" w:type="dxa"/>
            <w:shd w:val="clear" w:color="auto" w:fill="F2F2F2" w:themeFill="background1" w:themeFillShade="F2"/>
            <w:vAlign w:val="center"/>
            <w:hideMark/>
          </w:tcPr>
          <w:p w14:paraId="1364BB83"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2018</w:t>
            </w:r>
          </w:p>
        </w:tc>
        <w:tc>
          <w:tcPr>
            <w:tcW w:w="680" w:type="dxa"/>
            <w:shd w:val="clear" w:color="auto" w:fill="F2F2F2" w:themeFill="background1" w:themeFillShade="F2"/>
            <w:noWrap/>
            <w:vAlign w:val="center"/>
            <w:hideMark/>
          </w:tcPr>
          <w:p w14:paraId="1A7A419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F33361D"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251,3</w:t>
            </w:r>
          </w:p>
        </w:tc>
        <w:tc>
          <w:tcPr>
            <w:tcW w:w="680" w:type="dxa"/>
            <w:shd w:val="clear" w:color="auto" w:fill="F2F2F2" w:themeFill="background1" w:themeFillShade="F2"/>
            <w:noWrap/>
            <w:vAlign w:val="center"/>
            <w:hideMark/>
          </w:tcPr>
          <w:p w14:paraId="4AAFE4D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8EA813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76CF46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9E8D4D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439B8D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573B75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34D4BC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7614D49" w14:textId="1BE56AF1" w:rsidR="006323ED" w:rsidRPr="00724C36" w:rsidRDefault="006323ED" w:rsidP="00737954">
            <w:pPr>
              <w:spacing w:after="0" w:line="276" w:lineRule="auto"/>
              <w:ind w:right="-41"/>
              <w:jc w:val="right"/>
              <w:rPr>
                <w:rFonts w:cs="Arial"/>
                <w:bCs/>
                <w:color w:val="000000"/>
                <w:sz w:val="14"/>
                <w:szCs w:val="14"/>
              </w:rPr>
            </w:pPr>
          </w:p>
        </w:tc>
      </w:tr>
      <w:tr w:rsidR="006323ED" w:rsidRPr="00121CFC" w14:paraId="1D4A26E3" w14:textId="77777777" w:rsidTr="00737954">
        <w:trPr>
          <w:cantSplit/>
          <w:trHeight w:val="20"/>
          <w:jc w:val="center"/>
        </w:trPr>
        <w:tc>
          <w:tcPr>
            <w:tcW w:w="1702" w:type="dxa"/>
            <w:shd w:val="clear" w:color="auto" w:fill="auto"/>
            <w:vAlign w:val="center"/>
            <w:hideMark/>
          </w:tcPr>
          <w:p w14:paraId="55230EA7" w14:textId="1FD3F4D8" w:rsidR="00B044D6" w:rsidRDefault="006323ED" w:rsidP="00737954">
            <w:pPr>
              <w:spacing w:after="0" w:line="276" w:lineRule="auto"/>
              <w:jc w:val="left"/>
              <w:rPr>
                <w:rFonts w:cs="Arial"/>
                <w:bCs/>
                <w:sz w:val="14"/>
                <w:szCs w:val="14"/>
              </w:rPr>
            </w:pPr>
            <w:r w:rsidRPr="00C175C7">
              <w:rPr>
                <w:rFonts w:cs="Arial"/>
                <w:bCs/>
                <w:sz w:val="14"/>
                <w:szCs w:val="14"/>
              </w:rPr>
              <w:t>Χορήγηση δικαιωμάτων χρήσεως ραδιοσυχνοτήτων</w:t>
            </w:r>
          </w:p>
          <w:p w14:paraId="63352156" w14:textId="7CD6BD24" w:rsidR="006323ED" w:rsidRPr="00C175C7" w:rsidRDefault="006323ED" w:rsidP="00737954">
            <w:pPr>
              <w:spacing w:after="0" w:line="276" w:lineRule="auto"/>
              <w:jc w:val="left"/>
              <w:rPr>
                <w:rFonts w:cs="Arial"/>
                <w:bCs/>
                <w:sz w:val="14"/>
                <w:szCs w:val="14"/>
              </w:rPr>
            </w:pPr>
            <w:r w:rsidRPr="00C175C7">
              <w:rPr>
                <w:rFonts w:cs="Arial"/>
                <w:bCs/>
                <w:sz w:val="14"/>
                <w:szCs w:val="14"/>
              </w:rPr>
              <w:t>2018</w:t>
            </w:r>
            <w:r w:rsidR="00B044D6">
              <w:rPr>
                <w:rFonts w:cs="Arial"/>
                <w:bCs/>
                <w:sz w:val="14"/>
                <w:szCs w:val="14"/>
              </w:rPr>
              <w:t xml:space="preserve"> </w:t>
            </w:r>
            <w:r w:rsidRPr="00C175C7">
              <w:rPr>
                <w:rFonts w:cs="Arial"/>
                <w:bCs/>
                <w:sz w:val="14"/>
                <w:szCs w:val="14"/>
              </w:rPr>
              <w:t>-</w:t>
            </w:r>
            <w:r w:rsidR="00B044D6">
              <w:rPr>
                <w:rFonts w:cs="Arial"/>
                <w:bCs/>
                <w:sz w:val="14"/>
                <w:szCs w:val="14"/>
              </w:rPr>
              <w:t xml:space="preserve"> </w:t>
            </w:r>
            <w:r w:rsidRPr="00C175C7">
              <w:rPr>
                <w:rFonts w:cs="Arial"/>
                <w:bCs/>
                <w:sz w:val="14"/>
                <w:szCs w:val="14"/>
              </w:rPr>
              <w:t>2035</w:t>
            </w:r>
          </w:p>
        </w:tc>
        <w:tc>
          <w:tcPr>
            <w:tcW w:w="850" w:type="dxa"/>
            <w:shd w:val="clear" w:color="auto" w:fill="auto"/>
            <w:vAlign w:val="center"/>
            <w:hideMark/>
          </w:tcPr>
          <w:p w14:paraId="084CCCE4"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201,5</w:t>
            </w:r>
          </w:p>
        </w:tc>
        <w:tc>
          <w:tcPr>
            <w:tcW w:w="922" w:type="dxa"/>
            <w:shd w:val="clear" w:color="auto" w:fill="auto"/>
            <w:vAlign w:val="center"/>
            <w:hideMark/>
          </w:tcPr>
          <w:p w14:paraId="055D08D8" w14:textId="3445AB7B" w:rsidR="006323ED" w:rsidRPr="00724C36" w:rsidRDefault="006323ED" w:rsidP="00737954">
            <w:pPr>
              <w:spacing w:after="0" w:line="276" w:lineRule="auto"/>
              <w:ind w:right="-57"/>
              <w:jc w:val="right"/>
              <w:rPr>
                <w:rFonts w:cs="Arial"/>
                <w:sz w:val="14"/>
                <w:szCs w:val="14"/>
              </w:rPr>
            </w:pPr>
            <w:r w:rsidRPr="00724C36">
              <w:rPr>
                <w:rFonts w:cs="Arial"/>
                <w:sz w:val="14"/>
                <w:szCs w:val="14"/>
              </w:rPr>
              <w:t>203,5</w:t>
            </w:r>
          </w:p>
        </w:tc>
        <w:tc>
          <w:tcPr>
            <w:tcW w:w="1023" w:type="dxa"/>
            <w:shd w:val="clear" w:color="auto" w:fill="auto"/>
            <w:vAlign w:val="center"/>
            <w:hideMark/>
          </w:tcPr>
          <w:p w14:paraId="5D28FAEB"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2018</w:t>
            </w:r>
          </w:p>
        </w:tc>
        <w:tc>
          <w:tcPr>
            <w:tcW w:w="680" w:type="dxa"/>
            <w:shd w:val="clear" w:color="auto" w:fill="auto"/>
            <w:noWrap/>
            <w:vAlign w:val="center"/>
            <w:hideMark/>
          </w:tcPr>
          <w:p w14:paraId="082EE8E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AA9D677"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166,0</w:t>
            </w:r>
          </w:p>
        </w:tc>
        <w:tc>
          <w:tcPr>
            <w:tcW w:w="680" w:type="dxa"/>
            <w:shd w:val="clear" w:color="auto" w:fill="auto"/>
            <w:noWrap/>
            <w:vAlign w:val="center"/>
            <w:hideMark/>
          </w:tcPr>
          <w:p w14:paraId="30953FF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8C3AB1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58677D4" w14:textId="3896393B" w:rsidR="006323ED" w:rsidRPr="00724C36" w:rsidRDefault="00021BE0" w:rsidP="00737954">
            <w:pPr>
              <w:spacing w:after="0" w:line="276" w:lineRule="auto"/>
              <w:ind w:right="-41"/>
              <w:jc w:val="right"/>
              <w:rPr>
                <w:rFonts w:cs="Arial"/>
                <w:bCs/>
                <w:color w:val="000000"/>
                <w:sz w:val="14"/>
                <w:szCs w:val="14"/>
              </w:rPr>
            </w:pPr>
            <w:r>
              <w:rPr>
                <w:rFonts w:cs="Arial"/>
                <w:bCs/>
                <w:color w:val="000000"/>
                <w:sz w:val="14"/>
                <w:szCs w:val="14"/>
              </w:rPr>
              <w:t>8,1</w:t>
            </w:r>
          </w:p>
        </w:tc>
        <w:tc>
          <w:tcPr>
            <w:tcW w:w="680" w:type="dxa"/>
            <w:shd w:val="clear" w:color="auto" w:fill="auto"/>
            <w:noWrap/>
            <w:vAlign w:val="center"/>
            <w:hideMark/>
          </w:tcPr>
          <w:p w14:paraId="02AFD2E4"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7,1</w:t>
            </w:r>
          </w:p>
        </w:tc>
        <w:tc>
          <w:tcPr>
            <w:tcW w:w="680" w:type="dxa"/>
            <w:shd w:val="clear" w:color="auto" w:fill="auto"/>
            <w:noWrap/>
            <w:vAlign w:val="center"/>
            <w:hideMark/>
          </w:tcPr>
          <w:p w14:paraId="2E3A2442"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7,1</w:t>
            </w:r>
          </w:p>
        </w:tc>
        <w:tc>
          <w:tcPr>
            <w:tcW w:w="680" w:type="dxa"/>
            <w:shd w:val="clear" w:color="auto" w:fill="auto"/>
            <w:noWrap/>
            <w:vAlign w:val="center"/>
            <w:hideMark/>
          </w:tcPr>
          <w:p w14:paraId="078DD0FF" w14:textId="56AB89BA"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7,</w:t>
            </w:r>
            <w:r w:rsidR="00E66891">
              <w:rPr>
                <w:rFonts w:cs="Arial"/>
                <w:bCs/>
                <w:color w:val="000000"/>
                <w:sz w:val="14"/>
                <w:szCs w:val="14"/>
              </w:rPr>
              <w:t>1</w:t>
            </w:r>
          </w:p>
        </w:tc>
        <w:tc>
          <w:tcPr>
            <w:tcW w:w="680" w:type="dxa"/>
            <w:shd w:val="clear" w:color="auto" w:fill="auto"/>
            <w:noWrap/>
            <w:vAlign w:val="center"/>
            <w:hideMark/>
          </w:tcPr>
          <w:p w14:paraId="6697890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7,1</w:t>
            </w:r>
          </w:p>
        </w:tc>
        <w:tc>
          <w:tcPr>
            <w:tcW w:w="680" w:type="dxa"/>
            <w:shd w:val="clear" w:color="auto" w:fill="auto"/>
            <w:noWrap/>
            <w:vAlign w:val="center"/>
            <w:hideMark/>
          </w:tcPr>
          <w:p w14:paraId="5E708278" w14:textId="4B446A07" w:rsidR="006323ED" w:rsidRPr="00724C36" w:rsidRDefault="006323ED" w:rsidP="00737954">
            <w:pPr>
              <w:spacing w:after="0" w:line="276" w:lineRule="auto"/>
              <w:ind w:right="-41"/>
              <w:jc w:val="right"/>
              <w:rPr>
                <w:rFonts w:cs="Arial"/>
                <w:bCs/>
                <w:color w:val="000000"/>
                <w:sz w:val="14"/>
                <w:szCs w:val="14"/>
              </w:rPr>
            </w:pPr>
          </w:p>
        </w:tc>
      </w:tr>
      <w:tr w:rsidR="006323ED" w:rsidRPr="00121CFC" w14:paraId="73641034" w14:textId="77777777" w:rsidTr="00737954">
        <w:trPr>
          <w:cantSplit/>
          <w:trHeight w:val="20"/>
          <w:jc w:val="center"/>
        </w:trPr>
        <w:tc>
          <w:tcPr>
            <w:tcW w:w="1702" w:type="dxa"/>
            <w:shd w:val="clear" w:color="auto" w:fill="F2F2F2" w:themeFill="background1" w:themeFillShade="F2"/>
            <w:vAlign w:val="center"/>
            <w:hideMark/>
          </w:tcPr>
          <w:p w14:paraId="40C29E84" w14:textId="236DA460" w:rsidR="006323ED" w:rsidRPr="00C175C7" w:rsidRDefault="006323ED" w:rsidP="00737954">
            <w:pPr>
              <w:spacing w:after="0" w:line="276" w:lineRule="auto"/>
              <w:jc w:val="left"/>
              <w:rPr>
                <w:rFonts w:cs="Arial"/>
                <w:bCs/>
                <w:sz w:val="14"/>
                <w:szCs w:val="14"/>
              </w:rPr>
            </w:pPr>
            <w:r w:rsidRPr="00C175C7">
              <w:rPr>
                <w:rFonts w:cs="Arial"/>
                <w:bCs/>
                <w:sz w:val="14"/>
                <w:szCs w:val="14"/>
              </w:rPr>
              <w:t>ΑΙΑ - Επέκταση Σύμβασης</w:t>
            </w:r>
          </w:p>
        </w:tc>
        <w:tc>
          <w:tcPr>
            <w:tcW w:w="850" w:type="dxa"/>
            <w:shd w:val="clear" w:color="auto" w:fill="F2F2F2" w:themeFill="background1" w:themeFillShade="F2"/>
            <w:vAlign w:val="center"/>
            <w:hideMark/>
          </w:tcPr>
          <w:p w14:paraId="054815CF"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1.131,6</w:t>
            </w:r>
          </w:p>
        </w:tc>
        <w:tc>
          <w:tcPr>
            <w:tcW w:w="922" w:type="dxa"/>
            <w:shd w:val="clear" w:color="auto" w:fill="F2F2F2" w:themeFill="background1" w:themeFillShade="F2"/>
            <w:vAlign w:val="center"/>
            <w:hideMark/>
          </w:tcPr>
          <w:p w14:paraId="3979503C" w14:textId="29C709DA" w:rsidR="006323ED" w:rsidRPr="00724C36" w:rsidRDefault="006323ED" w:rsidP="00737954">
            <w:pPr>
              <w:spacing w:after="0" w:line="276" w:lineRule="auto"/>
              <w:ind w:right="-57"/>
              <w:jc w:val="right"/>
              <w:rPr>
                <w:rFonts w:cs="Arial"/>
                <w:sz w:val="14"/>
                <w:szCs w:val="14"/>
              </w:rPr>
            </w:pPr>
            <w:r w:rsidRPr="00724C36">
              <w:rPr>
                <w:rFonts w:cs="Arial"/>
                <w:sz w:val="14"/>
                <w:szCs w:val="14"/>
              </w:rPr>
              <w:t>1.131,6</w:t>
            </w:r>
          </w:p>
        </w:tc>
        <w:tc>
          <w:tcPr>
            <w:tcW w:w="1023" w:type="dxa"/>
            <w:shd w:val="clear" w:color="auto" w:fill="F2F2F2" w:themeFill="background1" w:themeFillShade="F2"/>
            <w:vAlign w:val="center"/>
            <w:hideMark/>
          </w:tcPr>
          <w:p w14:paraId="7E07E3D0"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2019</w:t>
            </w:r>
          </w:p>
        </w:tc>
        <w:tc>
          <w:tcPr>
            <w:tcW w:w="680" w:type="dxa"/>
            <w:shd w:val="clear" w:color="auto" w:fill="F2F2F2" w:themeFill="background1" w:themeFillShade="F2"/>
            <w:noWrap/>
            <w:vAlign w:val="center"/>
            <w:hideMark/>
          </w:tcPr>
          <w:p w14:paraId="0FBB907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9A2AA8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073FF50" w14:textId="33F4D5F0" w:rsidR="006323ED" w:rsidRPr="00724C36" w:rsidRDefault="006323ED" w:rsidP="00737954">
            <w:pPr>
              <w:spacing w:after="0" w:line="276" w:lineRule="auto"/>
              <w:ind w:left="-40" w:right="-41" w:hanging="48"/>
              <w:jc w:val="right"/>
              <w:rPr>
                <w:rFonts w:cs="Arial"/>
                <w:bCs/>
                <w:color w:val="000000"/>
                <w:sz w:val="14"/>
                <w:szCs w:val="14"/>
              </w:rPr>
            </w:pPr>
            <w:r w:rsidRPr="00724C36">
              <w:rPr>
                <w:rFonts w:cs="Arial"/>
                <w:bCs/>
                <w:color w:val="000000"/>
                <w:sz w:val="14"/>
                <w:szCs w:val="14"/>
              </w:rPr>
              <w:t>1.131,6</w:t>
            </w:r>
          </w:p>
        </w:tc>
        <w:tc>
          <w:tcPr>
            <w:tcW w:w="680" w:type="dxa"/>
            <w:shd w:val="clear" w:color="auto" w:fill="F2F2F2" w:themeFill="background1" w:themeFillShade="F2"/>
            <w:noWrap/>
            <w:vAlign w:val="center"/>
            <w:hideMark/>
          </w:tcPr>
          <w:p w14:paraId="5D1681D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38016E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3FAA6A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1D84A9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1B2F26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090A27F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5AB302D" w14:textId="1AA47D84" w:rsidR="006323ED" w:rsidRPr="00724C36" w:rsidRDefault="006323ED" w:rsidP="00737954">
            <w:pPr>
              <w:spacing w:after="0" w:line="276" w:lineRule="auto"/>
              <w:ind w:right="-41"/>
              <w:jc w:val="right"/>
              <w:rPr>
                <w:rFonts w:cs="Arial"/>
                <w:bCs/>
                <w:color w:val="000000"/>
                <w:sz w:val="14"/>
                <w:szCs w:val="14"/>
              </w:rPr>
            </w:pPr>
          </w:p>
        </w:tc>
      </w:tr>
      <w:tr w:rsidR="006323ED" w:rsidRPr="00121CFC" w14:paraId="67FE581E" w14:textId="77777777" w:rsidTr="00737954">
        <w:trPr>
          <w:cantSplit/>
          <w:trHeight w:val="20"/>
          <w:jc w:val="center"/>
        </w:trPr>
        <w:tc>
          <w:tcPr>
            <w:tcW w:w="1702" w:type="dxa"/>
            <w:shd w:val="clear" w:color="auto" w:fill="auto"/>
            <w:vAlign w:val="center"/>
            <w:hideMark/>
          </w:tcPr>
          <w:p w14:paraId="60CE7D45"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Ν. Αφάντου, Ρόδος</w:t>
            </w:r>
          </w:p>
        </w:tc>
        <w:tc>
          <w:tcPr>
            <w:tcW w:w="850" w:type="dxa"/>
            <w:shd w:val="clear" w:color="auto" w:fill="auto"/>
            <w:noWrap/>
            <w:vAlign w:val="center"/>
            <w:hideMark/>
          </w:tcPr>
          <w:p w14:paraId="6CA8ACEF"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15,2</w:t>
            </w:r>
          </w:p>
        </w:tc>
        <w:tc>
          <w:tcPr>
            <w:tcW w:w="922" w:type="dxa"/>
            <w:shd w:val="clear" w:color="auto" w:fill="auto"/>
            <w:vAlign w:val="center"/>
            <w:hideMark/>
          </w:tcPr>
          <w:p w14:paraId="1DFF4A1B" w14:textId="30DC1CFB" w:rsidR="006323ED" w:rsidRPr="00724C36" w:rsidRDefault="006323ED" w:rsidP="00737954">
            <w:pPr>
              <w:spacing w:after="0" w:line="276" w:lineRule="auto"/>
              <w:ind w:right="-57"/>
              <w:jc w:val="right"/>
              <w:rPr>
                <w:rFonts w:cs="Arial"/>
                <w:sz w:val="14"/>
                <w:szCs w:val="14"/>
              </w:rPr>
            </w:pPr>
            <w:r w:rsidRPr="00724C36">
              <w:rPr>
                <w:rFonts w:cs="Arial"/>
                <w:sz w:val="14"/>
                <w:szCs w:val="14"/>
              </w:rPr>
              <w:t>15,2</w:t>
            </w:r>
          </w:p>
        </w:tc>
        <w:tc>
          <w:tcPr>
            <w:tcW w:w="1023" w:type="dxa"/>
            <w:shd w:val="clear" w:color="auto" w:fill="auto"/>
            <w:noWrap/>
            <w:vAlign w:val="center"/>
            <w:hideMark/>
          </w:tcPr>
          <w:p w14:paraId="65CABC42"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2019</w:t>
            </w:r>
          </w:p>
        </w:tc>
        <w:tc>
          <w:tcPr>
            <w:tcW w:w="680" w:type="dxa"/>
            <w:shd w:val="clear" w:color="auto" w:fill="auto"/>
            <w:noWrap/>
            <w:vAlign w:val="center"/>
            <w:hideMark/>
          </w:tcPr>
          <w:p w14:paraId="2DA510A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07BFCD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F9F3306"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15,2</w:t>
            </w:r>
          </w:p>
        </w:tc>
        <w:tc>
          <w:tcPr>
            <w:tcW w:w="680" w:type="dxa"/>
            <w:shd w:val="clear" w:color="auto" w:fill="auto"/>
            <w:noWrap/>
            <w:vAlign w:val="center"/>
            <w:hideMark/>
          </w:tcPr>
          <w:p w14:paraId="3975372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0D0F7E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BC34FF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EE01BB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693F28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4CCF87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664E6FE" w14:textId="336FE4CE" w:rsidR="006323ED" w:rsidRPr="00724C36" w:rsidRDefault="006323ED" w:rsidP="00737954">
            <w:pPr>
              <w:spacing w:after="0" w:line="276" w:lineRule="auto"/>
              <w:ind w:right="-41"/>
              <w:jc w:val="right"/>
              <w:rPr>
                <w:rFonts w:cs="Arial"/>
                <w:bCs/>
                <w:color w:val="000000"/>
                <w:sz w:val="14"/>
                <w:szCs w:val="14"/>
              </w:rPr>
            </w:pPr>
          </w:p>
        </w:tc>
      </w:tr>
      <w:tr w:rsidR="006323ED" w:rsidRPr="00121CFC" w14:paraId="5568F3C5" w14:textId="77777777" w:rsidTr="00737954">
        <w:trPr>
          <w:cantSplit/>
          <w:trHeight w:val="20"/>
          <w:jc w:val="center"/>
        </w:trPr>
        <w:tc>
          <w:tcPr>
            <w:tcW w:w="1702" w:type="dxa"/>
            <w:shd w:val="clear" w:color="auto" w:fill="F2F2F2" w:themeFill="background1" w:themeFillShade="F2"/>
            <w:vAlign w:val="center"/>
            <w:hideMark/>
          </w:tcPr>
          <w:p w14:paraId="2387596E"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ΕΕΣΣΤΥ</w:t>
            </w:r>
          </w:p>
        </w:tc>
        <w:tc>
          <w:tcPr>
            <w:tcW w:w="850" w:type="dxa"/>
            <w:shd w:val="clear" w:color="auto" w:fill="F2F2F2" w:themeFill="background1" w:themeFillShade="F2"/>
            <w:vAlign w:val="center"/>
            <w:hideMark/>
          </w:tcPr>
          <w:p w14:paraId="1A7EA555"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22,0</w:t>
            </w:r>
          </w:p>
        </w:tc>
        <w:tc>
          <w:tcPr>
            <w:tcW w:w="922" w:type="dxa"/>
            <w:shd w:val="clear" w:color="auto" w:fill="F2F2F2" w:themeFill="background1" w:themeFillShade="F2"/>
            <w:vAlign w:val="center"/>
            <w:hideMark/>
          </w:tcPr>
          <w:p w14:paraId="07997597" w14:textId="37915CA2" w:rsidR="006323ED" w:rsidRPr="00724C36" w:rsidRDefault="006323ED" w:rsidP="00737954">
            <w:pPr>
              <w:spacing w:after="0" w:line="276" w:lineRule="auto"/>
              <w:ind w:right="-57"/>
              <w:jc w:val="right"/>
              <w:rPr>
                <w:rFonts w:cs="Arial"/>
                <w:sz w:val="14"/>
                <w:szCs w:val="14"/>
              </w:rPr>
            </w:pPr>
            <w:r w:rsidRPr="00724C36">
              <w:rPr>
                <w:rFonts w:cs="Arial"/>
                <w:sz w:val="14"/>
                <w:szCs w:val="14"/>
              </w:rPr>
              <w:t>22,0</w:t>
            </w:r>
          </w:p>
        </w:tc>
        <w:tc>
          <w:tcPr>
            <w:tcW w:w="1023" w:type="dxa"/>
            <w:shd w:val="clear" w:color="auto" w:fill="F2F2F2" w:themeFill="background1" w:themeFillShade="F2"/>
            <w:vAlign w:val="center"/>
            <w:hideMark/>
          </w:tcPr>
          <w:p w14:paraId="2540CED0"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2019</w:t>
            </w:r>
          </w:p>
        </w:tc>
        <w:tc>
          <w:tcPr>
            <w:tcW w:w="680" w:type="dxa"/>
            <w:shd w:val="clear" w:color="auto" w:fill="F2F2F2" w:themeFill="background1" w:themeFillShade="F2"/>
            <w:noWrap/>
            <w:vAlign w:val="center"/>
            <w:hideMark/>
          </w:tcPr>
          <w:p w14:paraId="424ADAC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CB8D12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93B8C9E"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22,0</w:t>
            </w:r>
          </w:p>
        </w:tc>
        <w:tc>
          <w:tcPr>
            <w:tcW w:w="680" w:type="dxa"/>
            <w:shd w:val="clear" w:color="auto" w:fill="F2F2F2" w:themeFill="background1" w:themeFillShade="F2"/>
            <w:noWrap/>
            <w:vAlign w:val="center"/>
            <w:hideMark/>
          </w:tcPr>
          <w:p w14:paraId="2C8E7AF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11123D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998A01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F43243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DD14E3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1B24D9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057DA92" w14:textId="66A980FC" w:rsidR="006323ED" w:rsidRPr="00724C36" w:rsidRDefault="006323ED" w:rsidP="00737954">
            <w:pPr>
              <w:spacing w:after="0" w:line="276" w:lineRule="auto"/>
              <w:ind w:right="-41"/>
              <w:jc w:val="right"/>
              <w:rPr>
                <w:rFonts w:cs="Arial"/>
                <w:bCs/>
                <w:color w:val="000000"/>
                <w:sz w:val="14"/>
                <w:szCs w:val="14"/>
              </w:rPr>
            </w:pPr>
          </w:p>
        </w:tc>
      </w:tr>
      <w:tr w:rsidR="006323ED" w:rsidRPr="00121CFC" w14:paraId="411A172A" w14:textId="77777777" w:rsidTr="00737954">
        <w:trPr>
          <w:cantSplit/>
          <w:trHeight w:val="20"/>
          <w:jc w:val="center"/>
        </w:trPr>
        <w:tc>
          <w:tcPr>
            <w:tcW w:w="1702" w:type="dxa"/>
            <w:shd w:val="clear" w:color="auto" w:fill="auto"/>
            <w:vAlign w:val="center"/>
            <w:hideMark/>
          </w:tcPr>
          <w:p w14:paraId="365CB983" w14:textId="05289CC6" w:rsidR="006323ED" w:rsidRPr="00C175C7" w:rsidRDefault="006323ED" w:rsidP="00737954">
            <w:pPr>
              <w:spacing w:after="0" w:line="276" w:lineRule="auto"/>
              <w:jc w:val="left"/>
              <w:rPr>
                <w:rFonts w:cs="Arial"/>
                <w:bCs/>
                <w:sz w:val="14"/>
                <w:szCs w:val="14"/>
              </w:rPr>
            </w:pPr>
            <w:r w:rsidRPr="00C175C7">
              <w:rPr>
                <w:rFonts w:cs="Arial"/>
                <w:bCs/>
                <w:sz w:val="14"/>
                <w:szCs w:val="14"/>
              </w:rPr>
              <w:t>Μ</w:t>
            </w:r>
            <w:r w:rsidR="009773EB">
              <w:rPr>
                <w:rFonts w:cs="Arial"/>
                <w:bCs/>
                <w:sz w:val="14"/>
                <w:szCs w:val="14"/>
              </w:rPr>
              <w:t>αρίνα Χίου</w:t>
            </w:r>
          </w:p>
        </w:tc>
        <w:tc>
          <w:tcPr>
            <w:tcW w:w="850" w:type="dxa"/>
            <w:shd w:val="clear" w:color="auto" w:fill="auto"/>
            <w:noWrap/>
            <w:vAlign w:val="center"/>
            <w:hideMark/>
          </w:tcPr>
          <w:p w14:paraId="1E45B47A"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6,2</w:t>
            </w:r>
          </w:p>
        </w:tc>
        <w:tc>
          <w:tcPr>
            <w:tcW w:w="922" w:type="dxa"/>
            <w:shd w:val="clear" w:color="auto" w:fill="auto"/>
            <w:vAlign w:val="center"/>
            <w:hideMark/>
          </w:tcPr>
          <w:p w14:paraId="732976A5" w14:textId="108832F1" w:rsidR="006323ED" w:rsidRPr="00724C36" w:rsidRDefault="006323ED" w:rsidP="00737954">
            <w:pPr>
              <w:spacing w:after="0" w:line="276" w:lineRule="auto"/>
              <w:ind w:right="-57"/>
              <w:jc w:val="right"/>
              <w:rPr>
                <w:rFonts w:cs="Arial"/>
                <w:sz w:val="14"/>
                <w:szCs w:val="14"/>
              </w:rPr>
            </w:pPr>
            <w:r w:rsidRPr="00724C36">
              <w:rPr>
                <w:rFonts w:cs="Arial"/>
                <w:sz w:val="14"/>
                <w:szCs w:val="14"/>
              </w:rPr>
              <w:t>0,9</w:t>
            </w:r>
          </w:p>
        </w:tc>
        <w:tc>
          <w:tcPr>
            <w:tcW w:w="1023" w:type="dxa"/>
            <w:shd w:val="clear" w:color="auto" w:fill="auto"/>
            <w:noWrap/>
            <w:vAlign w:val="center"/>
            <w:hideMark/>
          </w:tcPr>
          <w:p w14:paraId="18B99F57"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2019</w:t>
            </w:r>
          </w:p>
        </w:tc>
        <w:tc>
          <w:tcPr>
            <w:tcW w:w="680" w:type="dxa"/>
            <w:shd w:val="clear" w:color="auto" w:fill="auto"/>
            <w:noWrap/>
            <w:vAlign w:val="center"/>
            <w:hideMark/>
          </w:tcPr>
          <w:p w14:paraId="242288C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BE5E84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E0D99A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ACD7B89"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0,7</w:t>
            </w:r>
          </w:p>
        </w:tc>
        <w:tc>
          <w:tcPr>
            <w:tcW w:w="680" w:type="dxa"/>
            <w:shd w:val="clear" w:color="auto" w:fill="auto"/>
            <w:noWrap/>
            <w:vAlign w:val="center"/>
            <w:hideMark/>
          </w:tcPr>
          <w:p w14:paraId="0808E9A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8F8459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792AC3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0E5853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0,1</w:t>
            </w:r>
          </w:p>
        </w:tc>
        <w:tc>
          <w:tcPr>
            <w:tcW w:w="680" w:type="dxa"/>
            <w:shd w:val="clear" w:color="auto" w:fill="auto"/>
            <w:noWrap/>
            <w:vAlign w:val="center"/>
            <w:hideMark/>
          </w:tcPr>
          <w:p w14:paraId="60342A2E"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0,1</w:t>
            </w:r>
          </w:p>
        </w:tc>
        <w:tc>
          <w:tcPr>
            <w:tcW w:w="680" w:type="dxa"/>
            <w:shd w:val="clear" w:color="auto" w:fill="auto"/>
            <w:noWrap/>
            <w:vAlign w:val="center"/>
            <w:hideMark/>
          </w:tcPr>
          <w:p w14:paraId="4C42FE14" w14:textId="0FC62EB3" w:rsidR="006323ED" w:rsidRPr="00724C36" w:rsidRDefault="006323ED" w:rsidP="00737954">
            <w:pPr>
              <w:spacing w:after="0" w:line="276" w:lineRule="auto"/>
              <w:ind w:right="-41"/>
              <w:jc w:val="right"/>
              <w:rPr>
                <w:rFonts w:cs="Arial"/>
                <w:bCs/>
                <w:color w:val="000000"/>
                <w:sz w:val="14"/>
                <w:szCs w:val="14"/>
              </w:rPr>
            </w:pPr>
          </w:p>
        </w:tc>
      </w:tr>
      <w:tr w:rsidR="006323ED" w:rsidRPr="00121CFC" w14:paraId="002F37CC" w14:textId="77777777" w:rsidTr="00737954">
        <w:trPr>
          <w:cantSplit/>
          <w:trHeight w:val="20"/>
          <w:jc w:val="center"/>
        </w:trPr>
        <w:tc>
          <w:tcPr>
            <w:tcW w:w="1702" w:type="dxa"/>
            <w:shd w:val="clear" w:color="auto" w:fill="F2F2F2" w:themeFill="background1" w:themeFillShade="F2"/>
            <w:vAlign w:val="center"/>
            <w:hideMark/>
          </w:tcPr>
          <w:p w14:paraId="20F76E31"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Castello Bibelli, Corfu</w:t>
            </w:r>
          </w:p>
        </w:tc>
        <w:tc>
          <w:tcPr>
            <w:tcW w:w="850" w:type="dxa"/>
            <w:shd w:val="clear" w:color="auto" w:fill="F2F2F2" w:themeFill="background1" w:themeFillShade="F2"/>
            <w:vAlign w:val="center"/>
            <w:hideMark/>
          </w:tcPr>
          <w:p w14:paraId="4F4B0FAA"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4,2</w:t>
            </w:r>
          </w:p>
        </w:tc>
        <w:tc>
          <w:tcPr>
            <w:tcW w:w="922" w:type="dxa"/>
            <w:shd w:val="clear" w:color="auto" w:fill="F2F2F2" w:themeFill="background1" w:themeFillShade="F2"/>
            <w:vAlign w:val="center"/>
            <w:hideMark/>
          </w:tcPr>
          <w:p w14:paraId="0DA4B9A3" w14:textId="1166C4AF" w:rsidR="006323ED" w:rsidRPr="00724C36" w:rsidRDefault="006323ED" w:rsidP="00737954">
            <w:pPr>
              <w:spacing w:after="0" w:line="276" w:lineRule="auto"/>
              <w:ind w:right="-57"/>
              <w:jc w:val="right"/>
              <w:rPr>
                <w:rFonts w:cs="Arial"/>
                <w:sz w:val="14"/>
                <w:szCs w:val="14"/>
              </w:rPr>
            </w:pPr>
            <w:r w:rsidRPr="00724C36">
              <w:rPr>
                <w:rFonts w:cs="Arial"/>
                <w:sz w:val="14"/>
                <w:szCs w:val="14"/>
              </w:rPr>
              <w:t>4,2</w:t>
            </w:r>
          </w:p>
        </w:tc>
        <w:tc>
          <w:tcPr>
            <w:tcW w:w="1023" w:type="dxa"/>
            <w:shd w:val="clear" w:color="auto" w:fill="F2F2F2" w:themeFill="background1" w:themeFillShade="F2"/>
            <w:vAlign w:val="center"/>
            <w:hideMark/>
          </w:tcPr>
          <w:p w14:paraId="037263A2" w14:textId="77777777" w:rsidR="006323ED" w:rsidRPr="00724C36" w:rsidRDefault="006323ED" w:rsidP="00737954">
            <w:pPr>
              <w:spacing w:after="0" w:line="276" w:lineRule="auto"/>
              <w:jc w:val="center"/>
              <w:rPr>
                <w:rFonts w:cs="Arial"/>
                <w:sz w:val="14"/>
                <w:szCs w:val="14"/>
              </w:rPr>
            </w:pPr>
            <w:r w:rsidRPr="00724C36">
              <w:rPr>
                <w:rFonts w:cs="Arial"/>
                <w:sz w:val="14"/>
                <w:szCs w:val="14"/>
              </w:rPr>
              <w:t>2019</w:t>
            </w:r>
          </w:p>
        </w:tc>
        <w:tc>
          <w:tcPr>
            <w:tcW w:w="680" w:type="dxa"/>
            <w:shd w:val="clear" w:color="auto" w:fill="F2F2F2" w:themeFill="background1" w:themeFillShade="F2"/>
            <w:noWrap/>
            <w:vAlign w:val="center"/>
            <w:hideMark/>
          </w:tcPr>
          <w:p w14:paraId="5664E0E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715718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0CB075C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8A2F5FC"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1,6</w:t>
            </w:r>
          </w:p>
        </w:tc>
        <w:tc>
          <w:tcPr>
            <w:tcW w:w="680" w:type="dxa"/>
            <w:shd w:val="clear" w:color="auto" w:fill="F2F2F2" w:themeFill="background1" w:themeFillShade="F2"/>
            <w:noWrap/>
            <w:vAlign w:val="center"/>
            <w:hideMark/>
          </w:tcPr>
          <w:p w14:paraId="4EC3A23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1,6</w:t>
            </w:r>
          </w:p>
        </w:tc>
        <w:tc>
          <w:tcPr>
            <w:tcW w:w="680" w:type="dxa"/>
            <w:shd w:val="clear" w:color="auto" w:fill="F2F2F2" w:themeFill="background1" w:themeFillShade="F2"/>
            <w:noWrap/>
            <w:vAlign w:val="center"/>
            <w:hideMark/>
          </w:tcPr>
          <w:p w14:paraId="4232A70B" w14:textId="705BF8C5" w:rsidR="006323ED" w:rsidRPr="00724C36" w:rsidRDefault="00021BE0" w:rsidP="00737954">
            <w:pPr>
              <w:spacing w:after="0" w:line="276" w:lineRule="auto"/>
              <w:ind w:right="-41"/>
              <w:jc w:val="right"/>
              <w:rPr>
                <w:rFonts w:cs="Arial"/>
                <w:bCs/>
                <w:color w:val="000000"/>
                <w:sz w:val="14"/>
                <w:szCs w:val="14"/>
              </w:rPr>
            </w:pPr>
            <w:r>
              <w:rPr>
                <w:rFonts w:cs="Arial"/>
                <w:bCs/>
                <w:color w:val="000000"/>
                <w:sz w:val="14"/>
                <w:szCs w:val="14"/>
              </w:rPr>
              <w:t>0,8</w:t>
            </w:r>
          </w:p>
        </w:tc>
        <w:tc>
          <w:tcPr>
            <w:tcW w:w="680" w:type="dxa"/>
            <w:shd w:val="clear" w:color="auto" w:fill="F2F2F2" w:themeFill="background1" w:themeFillShade="F2"/>
            <w:noWrap/>
            <w:vAlign w:val="center"/>
            <w:hideMark/>
          </w:tcPr>
          <w:p w14:paraId="2C3F1808"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1,0</w:t>
            </w:r>
          </w:p>
        </w:tc>
        <w:tc>
          <w:tcPr>
            <w:tcW w:w="680" w:type="dxa"/>
            <w:shd w:val="clear" w:color="auto" w:fill="F2F2F2" w:themeFill="background1" w:themeFillShade="F2"/>
            <w:noWrap/>
            <w:vAlign w:val="center"/>
            <w:hideMark/>
          </w:tcPr>
          <w:p w14:paraId="0B89A5E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AAD5A5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76F9EE3" w14:textId="40FA32C3" w:rsidR="006323ED" w:rsidRPr="00724C36" w:rsidRDefault="006323ED" w:rsidP="00737954">
            <w:pPr>
              <w:spacing w:after="0" w:line="276" w:lineRule="auto"/>
              <w:ind w:right="-41"/>
              <w:jc w:val="right"/>
              <w:rPr>
                <w:rFonts w:cs="Arial"/>
                <w:bCs/>
                <w:color w:val="000000"/>
                <w:sz w:val="14"/>
                <w:szCs w:val="14"/>
              </w:rPr>
            </w:pPr>
          </w:p>
        </w:tc>
      </w:tr>
      <w:tr w:rsidR="006323ED" w:rsidRPr="00121CFC" w14:paraId="0168707C" w14:textId="77777777" w:rsidTr="00737954">
        <w:trPr>
          <w:cantSplit/>
          <w:trHeight w:val="20"/>
          <w:jc w:val="center"/>
        </w:trPr>
        <w:tc>
          <w:tcPr>
            <w:tcW w:w="1702" w:type="dxa"/>
            <w:shd w:val="clear" w:color="auto" w:fill="auto"/>
            <w:vAlign w:val="center"/>
            <w:hideMark/>
          </w:tcPr>
          <w:p w14:paraId="2E7C2B9B" w14:textId="7F77E64B" w:rsidR="006323ED" w:rsidRPr="00C175C7" w:rsidRDefault="006323ED" w:rsidP="00737954">
            <w:pPr>
              <w:spacing w:after="0" w:line="276" w:lineRule="auto"/>
              <w:jc w:val="left"/>
              <w:rPr>
                <w:rFonts w:cs="Arial"/>
                <w:bCs/>
                <w:sz w:val="14"/>
                <w:szCs w:val="14"/>
              </w:rPr>
            </w:pPr>
            <w:r w:rsidRPr="00C175C7">
              <w:rPr>
                <w:rFonts w:cs="Arial"/>
                <w:bCs/>
                <w:sz w:val="14"/>
                <w:szCs w:val="14"/>
              </w:rPr>
              <w:t>Πώληση επιλεγμένων κτ</w:t>
            </w:r>
            <w:r w:rsidR="002A3870">
              <w:rPr>
                <w:rFonts w:cs="Arial"/>
                <w:bCs/>
                <w:sz w:val="14"/>
                <w:szCs w:val="14"/>
              </w:rPr>
              <w:t>η</w:t>
            </w:r>
            <w:r w:rsidRPr="00C175C7">
              <w:rPr>
                <w:rFonts w:cs="Arial"/>
                <w:bCs/>
                <w:sz w:val="14"/>
                <w:szCs w:val="14"/>
              </w:rPr>
              <w:t>ρίων εξωτερικού (Πρετόρια)</w:t>
            </w:r>
          </w:p>
        </w:tc>
        <w:tc>
          <w:tcPr>
            <w:tcW w:w="850" w:type="dxa"/>
            <w:shd w:val="clear" w:color="auto" w:fill="auto"/>
            <w:noWrap/>
            <w:vAlign w:val="center"/>
            <w:hideMark/>
          </w:tcPr>
          <w:p w14:paraId="6CA1B060"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0,1</w:t>
            </w:r>
          </w:p>
        </w:tc>
        <w:tc>
          <w:tcPr>
            <w:tcW w:w="922" w:type="dxa"/>
            <w:shd w:val="clear" w:color="auto" w:fill="auto"/>
            <w:vAlign w:val="center"/>
            <w:hideMark/>
          </w:tcPr>
          <w:p w14:paraId="11F83DA7" w14:textId="032F4820" w:rsidR="006323ED" w:rsidRPr="00724C36" w:rsidRDefault="006323ED" w:rsidP="00737954">
            <w:pPr>
              <w:spacing w:after="0" w:line="276" w:lineRule="auto"/>
              <w:ind w:right="-57"/>
              <w:jc w:val="right"/>
              <w:rPr>
                <w:rFonts w:cs="Arial"/>
                <w:sz w:val="14"/>
                <w:szCs w:val="14"/>
              </w:rPr>
            </w:pPr>
            <w:r w:rsidRPr="00724C36">
              <w:rPr>
                <w:rFonts w:cs="Arial"/>
                <w:sz w:val="14"/>
                <w:szCs w:val="14"/>
              </w:rPr>
              <w:t>0,1</w:t>
            </w:r>
          </w:p>
        </w:tc>
        <w:tc>
          <w:tcPr>
            <w:tcW w:w="1023" w:type="dxa"/>
            <w:shd w:val="clear" w:color="auto" w:fill="auto"/>
            <w:noWrap/>
            <w:vAlign w:val="center"/>
            <w:hideMark/>
          </w:tcPr>
          <w:p w14:paraId="7B61DCFF"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2020</w:t>
            </w:r>
          </w:p>
        </w:tc>
        <w:tc>
          <w:tcPr>
            <w:tcW w:w="680" w:type="dxa"/>
            <w:shd w:val="clear" w:color="auto" w:fill="auto"/>
            <w:vAlign w:val="center"/>
            <w:hideMark/>
          </w:tcPr>
          <w:p w14:paraId="74681EB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vAlign w:val="center"/>
            <w:hideMark/>
          </w:tcPr>
          <w:p w14:paraId="596F4AE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vAlign w:val="center"/>
            <w:hideMark/>
          </w:tcPr>
          <w:p w14:paraId="1D98E2C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vAlign w:val="center"/>
            <w:hideMark/>
          </w:tcPr>
          <w:p w14:paraId="0D40868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0,1</w:t>
            </w:r>
          </w:p>
        </w:tc>
        <w:tc>
          <w:tcPr>
            <w:tcW w:w="680" w:type="dxa"/>
            <w:shd w:val="clear" w:color="auto" w:fill="auto"/>
            <w:vAlign w:val="center"/>
            <w:hideMark/>
          </w:tcPr>
          <w:p w14:paraId="7F7565D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vAlign w:val="center"/>
            <w:hideMark/>
          </w:tcPr>
          <w:p w14:paraId="55D00A6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vAlign w:val="center"/>
            <w:hideMark/>
          </w:tcPr>
          <w:p w14:paraId="292BAE1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vAlign w:val="center"/>
            <w:hideMark/>
          </w:tcPr>
          <w:p w14:paraId="0BC37E2F"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vAlign w:val="center"/>
            <w:hideMark/>
          </w:tcPr>
          <w:p w14:paraId="65CC76E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vAlign w:val="center"/>
            <w:hideMark/>
          </w:tcPr>
          <w:p w14:paraId="6FFABE6E" w14:textId="597A4359" w:rsidR="006323ED" w:rsidRPr="00724C36" w:rsidRDefault="006323ED" w:rsidP="00737954">
            <w:pPr>
              <w:spacing w:after="0" w:line="276" w:lineRule="auto"/>
              <w:ind w:right="-41"/>
              <w:jc w:val="right"/>
              <w:rPr>
                <w:rFonts w:cs="Arial"/>
                <w:bCs/>
                <w:color w:val="000000"/>
                <w:sz w:val="14"/>
                <w:szCs w:val="14"/>
              </w:rPr>
            </w:pPr>
          </w:p>
        </w:tc>
      </w:tr>
      <w:tr w:rsidR="006323ED" w:rsidRPr="00121CFC" w14:paraId="60F7B25D" w14:textId="77777777" w:rsidTr="00737954">
        <w:trPr>
          <w:cantSplit/>
          <w:trHeight w:val="20"/>
          <w:jc w:val="center"/>
        </w:trPr>
        <w:tc>
          <w:tcPr>
            <w:tcW w:w="1702" w:type="dxa"/>
            <w:shd w:val="clear" w:color="auto" w:fill="F2F2F2" w:themeFill="background1" w:themeFillShade="F2"/>
            <w:vAlign w:val="center"/>
            <w:hideMark/>
          </w:tcPr>
          <w:p w14:paraId="1EAFF587" w14:textId="5F3711DD" w:rsidR="006323ED" w:rsidRPr="00C175C7" w:rsidRDefault="006323ED" w:rsidP="00737954">
            <w:pPr>
              <w:spacing w:after="0" w:line="276" w:lineRule="auto"/>
              <w:jc w:val="left"/>
              <w:rPr>
                <w:rFonts w:cs="Arial"/>
                <w:bCs/>
                <w:sz w:val="14"/>
                <w:szCs w:val="14"/>
              </w:rPr>
            </w:pPr>
            <w:r w:rsidRPr="00C175C7">
              <w:rPr>
                <w:rFonts w:cs="Arial"/>
                <w:bCs/>
                <w:sz w:val="14"/>
                <w:szCs w:val="14"/>
              </w:rPr>
              <w:t>Μ</w:t>
            </w:r>
            <w:r w:rsidR="00D07CB5">
              <w:rPr>
                <w:rFonts w:cs="Arial"/>
                <w:bCs/>
                <w:sz w:val="14"/>
                <w:szCs w:val="14"/>
              </w:rPr>
              <w:t>αρίνα Αλίμου</w:t>
            </w:r>
          </w:p>
        </w:tc>
        <w:tc>
          <w:tcPr>
            <w:tcW w:w="850" w:type="dxa"/>
            <w:shd w:val="clear" w:color="auto" w:fill="F2F2F2" w:themeFill="background1" w:themeFillShade="F2"/>
            <w:vAlign w:val="center"/>
            <w:hideMark/>
          </w:tcPr>
          <w:p w14:paraId="5F6B0386"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177,0</w:t>
            </w:r>
          </w:p>
        </w:tc>
        <w:tc>
          <w:tcPr>
            <w:tcW w:w="922" w:type="dxa"/>
            <w:shd w:val="clear" w:color="auto" w:fill="F2F2F2" w:themeFill="background1" w:themeFillShade="F2"/>
            <w:vAlign w:val="center"/>
            <w:hideMark/>
          </w:tcPr>
          <w:p w14:paraId="27731BF6" w14:textId="271ABE50" w:rsidR="006323ED" w:rsidRPr="00724C36" w:rsidRDefault="006323ED" w:rsidP="00737954">
            <w:pPr>
              <w:spacing w:after="0" w:line="276" w:lineRule="auto"/>
              <w:ind w:right="-57"/>
              <w:jc w:val="right"/>
              <w:rPr>
                <w:rFonts w:cs="Arial"/>
                <w:sz w:val="14"/>
                <w:szCs w:val="14"/>
              </w:rPr>
            </w:pPr>
            <w:r w:rsidRPr="00724C36">
              <w:rPr>
                <w:rFonts w:cs="Arial"/>
                <w:sz w:val="14"/>
                <w:szCs w:val="14"/>
              </w:rPr>
              <w:t>38,7</w:t>
            </w:r>
          </w:p>
        </w:tc>
        <w:tc>
          <w:tcPr>
            <w:tcW w:w="1023" w:type="dxa"/>
            <w:shd w:val="clear" w:color="auto" w:fill="F2F2F2" w:themeFill="background1" w:themeFillShade="F2"/>
            <w:vAlign w:val="center"/>
            <w:hideMark/>
          </w:tcPr>
          <w:p w14:paraId="06047A4C"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2020</w:t>
            </w:r>
          </w:p>
        </w:tc>
        <w:tc>
          <w:tcPr>
            <w:tcW w:w="680" w:type="dxa"/>
            <w:shd w:val="clear" w:color="auto" w:fill="F2F2F2" w:themeFill="background1" w:themeFillShade="F2"/>
            <w:noWrap/>
            <w:vAlign w:val="center"/>
            <w:hideMark/>
          </w:tcPr>
          <w:p w14:paraId="74D4657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34648E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0A66728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7452F0B"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27,8</w:t>
            </w:r>
          </w:p>
        </w:tc>
        <w:tc>
          <w:tcPr>
            <w:tcW w:w="680" w:type="dxa"/>
            <w:shd w:val="clear" w:color="auto" w:fill="F2F2F2" w:themeFill="background1" w:themeFillShade="F2"/>
            <w:noWrap/>
            <w:vAlign w:val="center"/>
            <w:hideMark/>
          </w:tcPr>
          <w:p w14:paraId="542A65B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98D7B44"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0,7</w:t>
            </w:r>
          </w:p>
        </w:tc>
        <w:tc>
          <w:tcPr>
            <w:tcW w:w="680" w:type="dxa"/>
            <w:shd w:val="clear" w:color="auto" w:fill="F2F2F2" w:themeFill="background1" w:themeFillShade="F2"/>
            <w:noWrap/>
            <w:vAlign w:val="center"/>
            <w:hideMark/>
          </w:tcPr>
          <w:p w14:paraId="43BED2B8"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1,5</w:t>
            </w:r>
          </w:p>
        </w:tc>
        <w:tc>
          <w:tcPr>
            <w:tcW w:w="680" w:type="dxa"/>
            <w:shd w:val="clear" w:color="auto" w:fill="F2F2F2" w:themeFill="background1" w:themeFillShade="F2"/>
            <w:noWrap/>
            <w:vAlign w:val="center"/>
            <w:hideMark/>
          </w:tcPr>
          <w:p w14:paraId="0AA6AFCB"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1,9</w:t>
            </w:r>
          </w:p>
        </w:tc>
        <w:tc>
          <w:tcPr>
            <w:tcW w:w="680" w:type="dxa"/>
            <w:shd w:val="clear" w:color="auto" w:fill="F2F2F2" w:themeFill="background1" w:themeFillShade="F2"/>
            <w:noWrap/>
            <w:vAlign w:val="center"/>
            <w:hideMark/>
          </w:tcPr>
          <w:p w14:paraId="37B2B52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3,9</w:t>
            </w:r>
          </w:p>
        </w:tc>
        <w:tc>
          <w:tcPr>
            <w:tcW w:w="680" w:type="dxa"/>
            <w:shd w:val="clear" w:color="auto" w:fill="F2F2F2" w:themeFill="background1" w:themeFillShade="F2"/>
            <w:noWrap/>
            <w:vAlign w:val="center"/>
            <w:hideMark/>
          </w:tcPr>
          <w:p w14:paraId="5DDC215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2,9</w:t>
            </w:r>
          </w:p>
        </w:tc>
      </w:tr>
      <w:tr w:rsidR="006323ED" w:rsidRPr="00121CFC" w14:paraId="3F8CCA00" w14:textId="77777777" w:rsidTr="00737954">
        <w:trPr>
          <w:cantSplit/>
          <w:trHeight w:val="20"/>
          <w:jc w:val="center"/>
        </w:trPr>
        <w:tc>
          <w:tcPr>
            <w:tcW w:w="1702" w:type="dxa"/>
            <w:shd w:val="clear" w:color="auto" w:fill="auto"/>
            <w:vAlign w:val="center"/>
            <w:hideMark/>
          </w:tcPr>
          <w:p w14:paraId="198276A0"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Αξιοποίηση έκτασης Ελληνικού</w:t>
            </w:r>
          </w:p>
        </w:tc>
        <w:tc>
          <w:tcPr>
            <w:tcW w:w="850" w:type="dxa"/>
            <w:shd w:val="clear" w:color="auto" w:fill="auto"/>
            <w:noWrap/>
            <w:vAlign w:val="center"/>
            <w:hideMark/>
          </w:tcPr>
          <w:p w14:paraId="3D0D8DA0"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915,0</w:t>
            </w:r>
          </w:p>
        </w:tc>
        <w:tc>
          <w:tcPr>
            <w:tcW w:w="922" w:type="dxa"/>
            <w:shd w:val="clear" w:color="auto" w:fill="auto"/>
            <w:vAlign w:val="center"/>
            <w:hideMark/>
          </w:tcPr>
          <w:p w14:paraId="4BFF0120" w14:textId="5746FB33" w:rsidR="006323ED" w:rsidRPr="00724C36" w:rsidRDefault="006323ED" w:rsidP="00737954">
            <w:pPr>
              <w:spacing w:after="0" w:line="276" w:lineRule="auto"/>
              <w:ind w:right="-57"/>
              <w:jc w:val="right"/>
              <w:rPr>
                <w:rFonts w:cs="Arial"/>
                <w:sz w:val="14"/>
                <w:szCs w:val="14"/>
              </w:rPr>
            </w:pPr>
            <w:r w:rsidRPr="00724C36">
              <w:rPr>
                <w:rFonts w:cs="Arial"/>
                <w:sz w:val="14"/>
                <w:szCs w:val="14"/>
              </w:rPr>
              <w:t>466,7</w:t>
            </w:r>
          </w:p>
        </w:tc>
        <w:tc>
          <w:tcPr>
            <w:tcW w:w="1023" w:type="dxa"/>
            <w:shd w:val="clear" w:color="auto" w:fill="auto"/>
            <w:noWrap/>
            <w:vAlign w:val="center"/>
            <w:hideMark/>
          </w:tcPr>
          <w:p w14:paraId="10DB05D7"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2021</w:t>
            </w:r>
          </w:p>
        </w:tc>
        <w:tc>
          <w:tcPr>
            <w:tcW w:w="680" w:type="dxa"/>
            <w:shd w:val="clear" w:color="auto" w:fill="auto"/>
            <w:noWrap/>
            <w:vAlign w:val="center"/>
            <w:hideMark/>
          </w:tcPr>
          <w:p w14:paraId="3D7BBB1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EC4F46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74E0590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DC50E7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BC863F6"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300,0</w:t>
            </w:r>
          </w:p>
        </w:tc>
        <w:tc>
          <w:tcPr>
            <w:tcW w:w="680" w:type="dxa"/>
            <w:shd w:val="clear" w:color="auto" w:fill="auto"/>
            <w:noWrap/>
            <w:vAlign w:val="center"/>
            <w:hideMark/>
          </w:tcPr>
          <w:p w14:paraId="01AFBCD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DEB7FDB"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166,7</w:t>
            </w:r>
          </w:p>
        </w:tc>
        <w:tc>
          <w:tcPr>
            <w:tcW w:w="680" w:type="dxa"/>
            <w:shd w:val="clear" w:color="auto" w:fill="auto"/>
            <w:noWrap/>
            <w:vAlign w:val="center"/>
            <w:hideMark/>
          </w:tcPr>
          <w:p w14:paraId="5E94DDE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0120CF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F8800A0" w14:textId="4276855F" w:rsidR="006323ED" w:rsidRPr="00724C36" w:rsidRDefault="006323ED" w:rsidP="00737954">
            <w:pPr>
              <w:spacing w:after="0" w:line="276" w:lineRule="auto"/>
              <w:ind w:right="-41"/>
              <w:jc w:val="right"/>
              <w:rPr>
                <w:rFonts w:cs="Arial"/>
                <w:bCs/>
                <w:color w:val="000000"/>
                <w:sz w:val="14"/>
                <w:szCs w:val="14"/>
              </w:rPr>
            </w:pPr>
          </w:p>
        </w:tc>
      </w:tr>
      <w:tr w:rsidR="006323ED" w:rsidRPr="00121CFC" w14:paraId="52E4035F" w14:textId="77777777" w:rsidTr="00737954">
        <w:trPr>
          <w:cantSplit/>
          <w:trHeight w:val="20"/>
          <w:jc w:val="center"/>
        </w:trPr>
        <w:tc>
          <w:tcPr>
            <w:tcW w:w="1702" w:type="dxa"/>
            <w:shd w:val="clear" w:color="auto" w:fill="F2F2F2" w:themeFill="background1" w:themeFillShade="F2"/>
            <w:vAlign w:val="center"/>
            <w:hideMark/>
          </w:tcPr>
          <w:p w14:paraId="172E2D9B"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Β. Αφάντου, Ρόδος</w:t>
            </w:r>
          </w:p>
        </w:tc>
        <w:tc>
          <w:tcPr>
            <w:tcW w:w="850" w:type="dxa"/>
            <w:shd w:val="clear" w:color="auto" w:fill="F2F2F2" w:themeFill="background1" w:themeFillShade="F2"/>
            <w:vAlign w:val="center"/>
            <w:hideMark/>
          </w:tcPr>
          <w:p w14:paraId="61985159"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26,9</w:t>
            </w:r>
          </w:p>
        </w:tc>
        <w:tc>
          <w:tcPr>
            <w:tcW w:w="922" w:type="dxa"/>
            <w:shd w:val="clear" w:color="auto" w:fill="F2F2F2" w:themeFill="background1" w:themeFillShade="F2"/>
            <w:vAlign w:val="center"/>
            <w:hideMark/>
          </w:tcPr>
          <w:p w14:paraId="2B75AC75" w14:textId="331EF4B9" w:rsidR="006323ED" w:rsidRPr="00724C36" w:rsidRDefault="006323ED" w:rsidP="00737954">
            <w:pPr>
              <w:spacing w:after="0" w:line="276" w:lineRule="auto"/>
              <w:ind w:right="-57"/>
              <w:jc w:val="right"/>
              <w:rPr>
                <w:rFonts w:cs="Arial"/>
                <w:sz w:val="14"/>
                <w:szCs w:val="14"/>
              </w:rPr>
            </w:pPr>
            <w:r w:rsidRPr="00724C36">
              <w:rPr>
                <w:rFonts w:cs="Arial"/>
                <w:sz w:val="14"/>
                <w:szCs w:val="14"/>
              </w:rPr>
              <w:t>27,1</w:t>
            </w:r>
          </w:p>
        </w:tc>
        <w:tc>
          <w:tcPr>
            <w:tcW w:w="1023" w:type="dxa"/>
            <w:shd w:val="clear" w:color="auto" w:fill="F2F2F2" w:themeFill="background1" w:themeFillShade="F2"/>
            <w:vAlign w:val="center"/>
            <w:hideMark/>
          </w:tcPr>
          <w:p w14:paraId="5C65D846"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2021</w:t>
            </w:r>
          </w:p>
        </w:tc>
        <w:tc>
          <w:tcPr>
            <w:tcW w:w="680" w:type="dxa"/>
            <w:shd w:val="clear" w:color="auto" w:fill="F2F2F2" w:themeFill="background1" w:themeFillShade="F2"/>
            <w:noWrap/>
            <w:vAlign w:val="center"/>
            <w:hideMark/>
          </w:tcPr>
          <w:p w14:paraId="4A26D21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E5796D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141F2E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A1017A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668410D"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27,1</w:t>
            </w:r>
          </w:p>
        </w:tc>
        <w:tc>
          <w:tcPr>
            <w:tcW w:w="680" w:type="dxa"/>
            <w:shd w:val="clear" w:color="auto" w:fill="F2F2F2" w:themeFill="background1" w:themeFillShade="F2"/>
            <w:noWrap/>
            <w:vAlign w:val="center"/>
            <w:hideMark/>
          </w:tcPr>
          <w:p w14:paraId="2894725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1F2DBD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CE9242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71C732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979DB6E" w14:textId="57E777C2" w:rsidR="006323ED" w:rsidRPr="00724C36" w:rsidRDefault="006323ED" w:rsidP="00737954">
            <w:pPr>
              <w:spacing w:after="0" w:line="276" w:lineRule="auto"/>
              <w:ind w:right="-41"/>
              <w:jc w:val="right"/>
              <w:rPr>
                <w:rFonts w:cs="Arial"/>
                <w:bCs/>
                <w:color w:val="000000"/>
                <w:sz w:val="14"/>
                <w:szCs w:val="14"/>
              </w:rPr>
            </w:pPr>
          </w:p>
        </w:tc>
      </w:tr>
      <w:tr w:rsidR="006323ED" w:rsidRPr="00121CFC" w14:paraId="325E72F5" w14:textId="77777777" w:rsidTr="00737954">
        <w:trPr>
          <w:cantSplit/>
          <w:trHeight w:val="20"/>
          <w:jc w:val="center"/>
        </w:trPr>
        <w:tc>
          <w:tcPr>
            <w:tcW w:w="1702" w:type="dxa"/>
            <w:shd w:val="clear" w:color="auto" w:fill="auto"/>
            <w:vAlign w:val="center"/>
            <w:hideMark/>
          </w:tcPr>
          <w:p w14:paraId="10622975"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Δικαιώματα Συχνοτήτων (κινητή τηλεφωνία) 5G</w:t>
            </w:r>
          </w:p>
        </w:tc>
        <w:tc>
          <w:tcPr>
            <w:tcW w:w="850" w:type="dxa"/>
            <w:shd w:val="clear" w:color="auto" w:fill="auto"/>
            <w:noWrap/>
            <w:vAlign w:val="center"/>
            <w:hideMark/>
          </w:tcPr>
          <w:p w14:paraId="20DD2E18"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279,2</w:t>
            </w:r>
          </w:p>
        </w:tc>
        <w:tc>
          <w:tcPr>
            <w:tcW w:w="922" w:type="dxa"/>
            <w:shd w:val="clear" w:color="auto" w:fill="auto"/>
            <w:vAlign w:val="center"/>
            <w:hideMark/>
          </w:tcPr>
          <w:p w14:paraId="603E1839" w14:textId="045DE395" w:rsidR="006323ED" w:rsidRPr="00724C36" w:rsidRDefault="006323ED" w:rsidP="00737954">
            <w:pPr>
              <w:spacing w:after="0" w:line="276" w:lineRule="auto"/>
              <w:ind w:right="-57"/>
              <w:jc w:val="right"/>
              <w:rPr>
                <w:rFonts w:cs="Arial"/>
                <w:sz w:val="14"/>
                <w:szCs w:val="14"/>
              </w:rPr>
            </w:pPr>
            <w:r w:rsidRPr="00724C36">
              <w:rPr>
                <w:rFonts w:cs="Arial"/>
                <w:sz w:val="14"/>
                <w:szCs w:val="14"/>
              </w:rPr>
              <w:t>226,7</w:t>
            </w:r>
          </w:p>
        </w:tc>
        <w:tc>
          <w:tcPr>
            <w:tcW w:w="1023" w:type="dxa"/>
            <w:shd w:val="clear" w:color="auto" w:fill="auto"/>
            <w:noWrap/>
            <w:vAlign w:val="center"/>
            <w:hideMark/>
          </w:tcPr>
          <w:p w14:paraId="493423D0"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2021</w:t>
            </w:r>
          </w:p>
        </w:tc>
        <w:tc>
          <w:tcPr>
            <w:tcW w:w="680" w:type="dxa"/>
            <w:shd w:val="clear" w:color="auto" w:fill="auto"/>
            <w:noWrap/>
            <w:vAlign w:val="center"/>
            <w:hideMark/>
          </w:tcPr>
          <w:p w14:paraId="704ECBFC" w14:textId="77777777" w:rsidR="006323ED" w:rsidRPr="00724C36"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19F47231"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51CD8E27"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55D34B87"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26056052"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195,9</w:t>
            </w:r>
          </w:p>
        </w:tc>
        <w:tc>
          <w:tcPr>
            <w:tcW w:w="680" w:type="dxa"/>
            <w:shd w:val="clear" w:color="auto" w:fill="auto"/>
            <w:noWrap/>
            <w:vAlign w:val="center"/>
            <w:hideMark/>
          </w:tcPr>
          <w:p w14:paraId="374D014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037ED2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C9270AD"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11,5</w:t>
            </w:r>
          </w:p>
        </w:tc>
        <w:tc>
          <w:tcPr>
            <w:tcW w:w="680" w:type="dxa"/>
            <w:shd w:val="clear" w:color="auto" w:fill="auto"/>
            <w:noWrap/>
            <w:vAlign w:val="center"/>
            <w:hideMark/>
          </w:tcPr>
          <w:p w14:paraId="38F95F76"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11,0</w:t>
            </w:r>
          </w:p>
        </w:tc>
        <w:tc>
          <w:tcPr>
            <w:tcW w:w="680" w:type="dxa"/>
            <w:shd w:val="clear" w:color="auto" w:fill="auto"/>
            <w:noWrap/>
            <w:vAlign w:val="center"/>
            <w:hideMark/>
          </w:tcPr>
          <w:p w14:paraId="51CFF7B3"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8,3</w:t>
            </w:r>
          </w:p>
        </w:tc>
      </w:tr>
      <w:tr w:rsidR="006323ED" w:rsidRPr="00121CFC" w14:paraId="2BFB3BF5" w14:textId="77777777" w:rsidTr="00737954">
        <w:trPr>
          <w:cantSplit/>
          <w:trHeight w:val="20"/>
          <w:jc w:val="center"/>
        </w:trPr>
        <w:tc>
          <w:tcPr>
            <w:tcW w:w="1702" w:type="dxa"/>
            <w:shd w:val="clear" w:color="auto" w:fill="F2F2F2" w:themeFill="background1" w:themeFillShade="F2"/>
            <w:vAlign w:val="center"/>
            <w:hideMark/>
          </w:tcPr>
          <w:p w14:paraId="6C6CEE2D" w14:textId="703A8379" w:rsidR="006323ED" w:rsidRPr="00C175C7" w:rsidRDefault="006323ED" w:rsidP="00737954">
            <w:pPr>
              <w:spacing w:after="0" w:line="276" w:lineRule="auto"/>
              <w:jc w:val="left"/>
              <w:rPr>
                <w:rFonts w:cs="Arial"/>
                <w:bCs/>
                <w:sz w:val="14"/>
                <w:szCs w:val="14"/>
              </w:rPr>
            </w:pPr>
            <w:r w:rsidRPr="001D2F63">
              <w:rPr>
                <w:rFonts w:cs="Arial"/>
                <w:bCs/>
                <w:sz w:val="14"/>
                <w:szCs w:val="14"/>
              </w:rPr>
              <w:t>E-AUCTION ΙΧ</w:t>
            </w:r>
            <w:r w:rsidR="001D2F63" w:rsidRPr="001D2F63">
              <w:rPr>
                <w:rFonts w:cs="Arial"/>
                <w:bCs/>
                <w:sz w:val="14"/>
                <w:szCs w:val="14"/>
              </w:rPr>
              <w:t>, Χ</w:t>
            </w:r>
          </w:p>
        </w:tc>
        <w:tc>
          <w:tcPr>
            <w:tcW w:w="850" w:type="dxa"/>
            <w:shd w:val="clear" w:color="auto" w:fill="F2F2F2" w:themeFill="background1" w:themeFillShade="F2"/>
            <w:vAlign w:val="center"/>
            <w:hideMark/>
          </w:tcPr>
          <w:p w14:paraId="29FA3800"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22,7</w:t>
            </w:r>
          </w:p>
        </w:tc>
        <w:tc>
          <w:tcPr>
            <w:tcW w:w="922" w:type="dxa"/>
            <w:shd w:val="clear" w:color="auto" w:fill="F2F2F2" w:themeFill="background1" w:themeFillShade="F2"/>
            <w:vAlign w:val="center"/>
            <w:hideMark/>
          </w:tcPr>
          <w:p w14:paraId="7F431104" w14:textId="471B9C20" w:rsidR="006323ED" w:rsidRPr="00724C36" w:rsidRDefault="006323ED" w:rsidP="00737954">
            <w:pPr>
              <w:spacing w:after="0" w:line="276" w:lineRule="auto"/>
              <w:ind w:right="-57"/>
              <w:jc w:val="right"/>
              <w:rPr>
                <w:rFonts w:cs="Arial"/>
                <w:sz w:val="14"/>
                <w:szCs w:val="14"/>
              </w:rPr>
            </w:pPr>
            <w:r w:rsidRPr="00724C36">
              <w:rPr>
                <w:rFonts w:cs="Arial"/>
                <w:sz w:val="14"/>
                <w:szCs w:val="14"/>
              </w:rPr>
              <w:t>33,3</w:t>
            </w:r>
          </w:p>
        </w:tc>
        <w:tc>
          <w:tcPr>
            <w:tcW w:w="1023" w:type="dxa"/>
            <w:shd w:val="clear" w:color="auto" w:fill="F2F2F2" w:themeFill="background1" w:themeFillShade="F2"/>
            <w:vAlign w:val="center"/>
            <w:hideMark/>
          </w:tcPr>
          <w:p w14:paraId="4AF0CF6C"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2021</w:t>
            </w:r>
          </w:p>
        </w:tc>
        <w:tc>
          <w:tcPr>
            <w:tcW w:w="680" w:type="dxa"/>
            <w:shd w:val="clear" w:color="auto" w:fill="F2F2F2" w:themeFill="background1" w:themeFillShade="F2"/>
            <w:noWrap/>
            <w:vAlign w:val="center"/>
            <w:hideMark/>
          </w:tcPr>
          <w:p w14:paraId="13523D93"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510F3FD"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066D049C"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1F568407"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5513D29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482C0B8" w14:textId="5E6F272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5,</w:t>
            </w:r>
            <w:r w:rsidR="001F1ABA">
              <w:rPr>
                <w:rFonts w:cs="Arial"/>
                <w:bCs/>
                <w:color w:val="000000"/>
                <w:sz w:val="14"/>
                <w:szCs w:val="14"/>
              </w:rPr>
              <w:t>4</w:t>
            </w:r>
          </w:p>
        </w:tc>
        <w:tc>
          <w:tcPr>
            <w:tcW w:w="680" w:type="dxa"/>
            <w:shd w:val="clear" w:color="auto" w:fill="F2F2F2" w:themeFill="background1" w:themeFillShade="F2"/>
            <w:noWrap/>
            <w:vAlign w:val="center"/>
            <w:hideMark/>
          </w:tcPr>
          <w:p w14:paraId="57285930" w14:textId="09DAD349"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6,</w:t>
            </w:r>
            <w:r w:rsidR="001F1ABA">
              <w:rPr>
                <w:rFonts w:cs="Arial"/>
                <w:bCs/>
                <w:color w:val="000000"/>
                <w:sz w:val="14"/>
                <w:szCs w:val="14"/>
              </w:rPr>
              <w:t>3</w:t>
            </w:r>
          </w:p>
        </w:tc>
        <w:tc>
          <w:tcPr>
            <w:tcW w:w="680" w:type="dxa"/>
            <w:shd w:val="clear" w:color="auto" w:fill="F2F2F2" w:themeFill="background1" w:themeFillShade="F2"/>
            <w:noWrap/>
            <w:vAlign w:val="center"/>
            <w:hideMark/>
          </w:tcPr>
          <w:p w14:paraId="41F27A80" w14:textId="73FA7B33" w:rsidR="006323ED" w:rsidRPr="00724C36" w:rsidRDefault="00B5638D" w:rsidP="00737954">
            <w:pPr>
              <w:spacing w:after="0" w:line="276" w:lineRule="auto"/>
              <w:ind w:right="-41"/>
              <w:jc w:val="right"/>
              <w:rPr>
                <w:rFonts w:cs="Arial"/>
                <w:bCs/>
                <w:color w:val="000000"/>
                <w:sz w:val="14"/>
                <w:szCs w:val="14"/>
              </w:rPr>
            </w:pPr>
            <w:r>
              <w:rPr>
                <w:rFonts w:cs="Arial"/>
                <w:bCs/>
                <w:color w:val="000000"/>
                <w:sz w:val="14"/>
                <w:szCs w:val="14"/>
              </w:rPr>
              <w:t>5,8</w:t>
            </w:r>
          </w:p>
        </w:tc>
        <w:tc>
          <w:tcPr>
            <w:tcW w:w="680" w:type="dxa"/>
            <w:shd w:val="clear" w:color="auto" w:fill="F2F2F2" w:themeFill="background1" w:themeFillShade="F2"/>
            <w:noWrap/>
            <w:vAlign w:val="center"/>
            <w:hideMark/>
          </w:tcPr>
          <w:p w14:paraId="0E526834"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4,5</w:t>
            </w:r>
          </w:p>
        </w:tc>
        <w:tc>
          <w:tcPr>
            <w:tcW w:w="680" w:type="dxa"/>
            <w:shd w:val="clear" w:color="auto" w:fill="F2F2F2" w:themeFill="background1" w:themeFillShade="F2"/>
            <w:noWrap/>
            <w:vAlign w:val="center"/>
            <w:hideMark/>
          </w:tcPr>
          <w:p w14:paraId="0A74555B"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4,5</w:t>
            </w:r>
          </w:p>
        </w:tc>
      </w:tr>
      <w:tr w:rsidR="006323ED" w:rsidRPr="00121CFC" w14:paraId="7BE9FDA4" w14:textId="77777777" w:rsidTr="00737954">
        <w:trPr>
          <w:cantSplit/>
          <w:trHeight w:val="20"/>
          <w:jc w:val="center"/>
        </w:trPr>
        <w:tc>
          <w:tcPr>
            <w:tcW w:w="1702" w:type="dxa"/>
            <w:shd w:val="clear" w:color="auto" w:fill="auto"/>
            <w:vAlign w:val="center"/>
            <w:hideMark/>
          </w:tcPr>
          <w:p w14:paraId="6037ECCF"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ΕΓΝΑΤΙΑ</w:t>
            </w:r>
          </w:p>
        </w:tc>
        <w:tc>
          <w:tcPr>
            <w:tcW w:w="850" w:type="dxa"/>
            <w:shd w:val="clear" w:color="auto" w:fill="auto"/>
            <w:noWrap/>
            <w:vAlign w:val="center"/>
            <w:hideMark/>
          </w:tcPr>
          <w:p w14:paraId="5C84B3FD"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1.350,0</w:t>
            </w:r>
          </w:p>
        </w:tc>
        <w:tc>
          <w:tcPr>
            <w:tcW w:w="922" w:type="dxa"/>
            <w:shd w:val="clear" w:color="auto" w:fill="auto"/>
            <w:vAlign w:val="center"/>
            <w:hideMark/>
          </w:tcPr>
          <w:p w14:paraId="69F9D53D" w14:textId="28EABEE6" w:rsidR="006323ED" w:rsidRPr="00724C36" w:rsidRDefault="006323ED" w:rsidP="00737954">
            <w:pPr>
              <w:spacing w:after="0" w:line="276" w:lineRule="auto"/>
              <w:ind w:right="-57"/>
              <w:jc w:val="right"/>
              <w:rPr>
                <w:rFonts w:cs="Arial"/>
                <w:sz w:val="14"/>
                <w:szCs w:val="14"/>
              </w:rPr>
            </w:pPr>
            <w:r w:rsidRPr="00724C36">
              <w:rPr>
                <w:rFonts w:cs="Arial"/>
                <w:sz w:val="14"/>
                <w:szCs w:val="14"/>
              </w:rPr>
              <w:t>1.350,0</w:t>
            </w:r>
          </w:p>
        </w:tc>
        <w:tc>
          <w:tcPr>
            <w:tcW w:w="1023" w:type="dxa"/>
            <w:shd w:val="clear" w:color="auto" w:fill="auto"/>
            <w:noWrap/>
            <w:vAlign w:val="center"/>
            <w:hideMark/>
          </w:tcPr>
          <w:p w14:paraId="30766751"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shd w:val="clear" w:color="auto" w:fill="auto"/>
            <w:noWrap/>
            <w:vAlign w:val="center"/>
            <w:hideMark/>
          </w:tcPr>
          <w:p w14:paraId="49666651" w14:textId="77777777" w:rsidR="006323ED" w:rsidRPr="00724C36"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78700DBC"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7DCBDD1B"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10EE3FBC"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1F0FCA9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BDAEA2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855ACF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9D94E8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0A77AB9"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1.350,0</w:t>
            </w:r>
          </w:p>
        </w:tc>
        <w:tc>
          <w:tcPr>
            <w:tcW w:w="680" w:type="dxa"/>
            <w:shd w:val="clear" w:color="auto" w:fill="auto"/>
            <w:noWrap/>
            <w:vAlign w:val="center"/>
            <w:hideMark/>
          </w:tcPr>
          <w:p w14:paraId="441BDC94" w14:textId="65EA3D0B" w:rsidR="006323ED" w:rsidRPr="00724C36" w:rsidRDefault="006323ED" w:rsidP="00737954">
            <w:pPr>
              <w:spacing w:after="0" w:line="276" w:lineRule="auto"/>
              <w:ind w:right="-41"/>
              <w:jc w:val="right"/>
              <w:rPr>
                <w:rFonts w:cs="Arial"/>
                <w:bCs/>
                <w:color w:val="000000"/>
                <w:sz w:val="14"/>
                <w:szCs w:val="14"/>
              </w:rPr>
            </w:pPr>
          </w:p>
        </w:tc>
      </w:tr>
      <w:tr w:rsidR="006323ED" w:rsidRPr="00121CFC" w14:paraId="4F57D668" w14:textId="77777777" w:rsidTr="00737954">
        <w:trPr>
          <w:cantSplit/>
          <w:trHeight w:val="20"/>
          <w:jc w:val="center"/>
        </w:trPr>
        <w:tc>
          <w:tcPr>
            <w:tcW w:w="1702" w:type="dxa"/>
            <w:shd w:val="clear" w:color="auto" w:fill="F2F2F2" w:themeFill="background1" w:themeFillShade="F2"/>
            <w:vAlign w:val="center"/>
            <w:hideMark/>
          </w:tcPr>
          <w:p w14:paraId="5AB481A6"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ΔΕΠΑ Υποδομών</w:t>
            </w:r>
          </w:p>
        </w:tc>
        <w:tc>
          <w:tcPr>
            <w:tcW w:w="850" w:type="dxa"/>
            <w:shd w:val="clear" w:color="auto" w:fill="F2F2F2" w:themeFill="background1" w:themeFillShade="F2"/>
            <w:vAlign w:val="center"/>
            <w:hideMark/>
          </w:tcPr>
          <w:p w14:paraId="59DEADEC"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476,0</w:t>
            </w:r>
          </w:p>
        </w:tc>
        <w:tc>
          <w:tcPr>
            <w:tcW w:w="922" w:type="dxa"/>
            <w:shd w:val="clear" w:color="auto" w:fill="F2F2F2" w:themeFill="background1" w:themeFillShade="F2"/>
            <w:vAlign w:val="center"/>
            <w:hideMark/>
          </w:tcPr>
          <w:p w14:paraId="4EC310CC" w14:textId="2CD729B1" w:rsidR="006323ED" w:rsidRPr="00724C36" w:rsidRDefault="006323ED" w:rsidP="00737954">
            <w:pPr>
              <w:spacing w:after="0" w:line="276" w:lineRule="auto"/>
              <w:ind w:right="-57"/>
              <w:jc w:val="right"/>
              <w:rPr>
                <w:rFonts w:cs="Arial"/>
                <w:sz w:val="14"/>
                <w:szCs w:val="14"/>
              </w:rPr>
            </w:pPr>
            <w:r w:rsidRPr="00724C36">
              <w:rPr>
                <w:rFonts w:cs="Arial"/>
                <w:sz w:val="14"/>
                <w:szCs w:val="14"/>
              </w:rPr>
              <w:t>476,0</w:t>
            </w:r>
          </w:p>
        </w:tc>
        <w:tc>
          <w:tcPr>
            <w:tcW w:w="1023" w:type="dxa"/>
            <w:shd w:val="clear" w:color="auto" w:fill="F2F2F2" w:themeFill="background1" w:themeFillShade="F2"/>
            <w:vAlign w:val="center"/>
            <w:hideMark/>
          </w:tcPr>
          <w:p w14:paraId="2C6848B0"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2022</w:t>
            </w:r>
          </w:p>
        </w:tc>
        <w:tc>
          <w:tcPr>
            <w:tcW w:w="680" w:type="dxa"/>
            <w:shd w:val="clear" w:color="auto" w:fill="F2F2F2" w:themeFill="background1" w:themeFillShade="F2"/>
            <w:noWrap/>
            <w:vAlign w:val="center"/>
            <w:hideMark/>
          </w:tcPr>
          <w:p w14:paraId="37B954F7"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BFD5714"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210281D2"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783B09D0"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0BF4571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7BCED3C"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476,0</w:t>
            </w:r>
          </w:p>
        </w:tc>
        <w:tc>
          <w:tcPr>
            <w:tcW w:w="680" w:type="dxa"/>
            <w:shd w:val="clear" w:color="auto" w:fill="F2F2F2" w:themeFill="background1" w:themeFillShade="F2"/>
            <w:noWrap/>
            <w:vAlign w:val="center"/>
            <w:hideMark/>
          </w:tcPr>
          <w:p w14:paraId="65E5EA4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05919E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542AB2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9ACA58C" w14:textId="6634BA97" w:rsidR="006323ED" w:rsidRPr="00724C36" w:rsidRDefault="006323ED" w:rsidP="00737954">
            <w:pPr>
              <w:spacing w:after="0" w:line="276" w:lineRule="auto"/>
              <w:ind w:right="-41"/>
              <w:jc w:val="right"/>
              <w:rPr>
                <w:rFonts w:cs="Arial"/>
                <w:bCs/>
                <w:color w:val="000000"/>
                <w:sz w:val="14"/>
                <w:szCs w:val="14"/>
              </w:rPr>
            </w:pPr>
          </w:p>
        </w:tc>
      </w:tr>
      <w:tr w:rsidR="006323ED" w:rsidRPr="00862BA9" w14:paraId="64FD2D6D" w14:textId="77777777" w:rsidTr="00737954">
        <w:trPr>
          <w:cantSplit/>
          <w:trHeight w:val="20"/>
          <w:jc w:val="center"/>
        </w:trPr>
        <w:tc>
          <w:tcPr>
            <w:tcW w:w="1702" w:type="dxa"/>
            <w:shd w:val="clear" w:color="auto" w:fill="auto"/>
            <w:vAlign w:val="center"/>
            <w:hideMark/>
          </w:tcPr>
          <w:p w14:paraId="77C938DB" w14:textId="4047C7CC" w:rsidR="006323ED" w:rsidRPr="00862BA9" w:rsidRDefault="006323ED" w:rsidP="00737954">
            <w:pPr>
              <w:spacing w:after="0" w:line="276" w:lineRule="auto"/>
              <w:jc w:val="left"/>
              <w:rPr>
                <w:rFonts w:cs="Arial"/>
                <w:bCs/>
                <w:sz w:val="14"/>
                <w:szCs w:val="14"/>
              </w:rPr>
            </w:pPr>
            <w:r w:rsidRPr="00862BA9">
              <w:rPr>
                <w:rFonts w:cs="Arial"/>
                <w:bCs/>
                <w:sz w:val="14"/>
                <w:szCs w:val="14"/>
              </w:rPr>
              <w:t>ΔΕΠΑ Υποδομών - τόκοι</w:t>
            </w:r>
          </w:p>
        </w:tc>
        <w:tc>
          <w:tcPr>
            <w:tcW w:w="850" w:type="dxa"/>
            <w:shd w:val="clear" w:color="auto" w:fill="auto"/>
            <w:vAlign w:val="center"/>
            <w:hideMark/>
          </w:tcPr>
          <w:p w14:paraId="7D972B08" w14:textId="77777777" w:rsidR="006323ED" w:rsidRPr="00862BA9" w:rsidRDefault="006323ED" w:rsidP="00737954">
            <w:pPr>
              <w:spacing w:after="0" w:line="276" w:lineRule="auto"/>
              <w:ind w:right="-57"/>
              <w:jc w:val="right"/>
              <w:rPr>
                <w:rFonts w:cs="Arial"/>
                <w:sz w:val="14"/>
                <w:szCs w:val="14"/>
              </w:rPr>
            </w:pPr>
            <w:r w:rsidRPr="00862BA9">
              <w:rPr>
                <w:rFonts w:cs="Arial"/>
                <w:sz w:val="14"/>
                <w:szCs w:val="14"/>
              </w:rPr>
              <w:t>40,0</w:t>
            </w:r>
          </w:p>
        </w:tc>
        <w:tc>
          <w:tcPr>
            <w:tcW w:w="922" w:type="dxa"/>
            <w:shd w:val="clear" w:color="auto" w:fill="auto"/>
            <w:vAlign w:val="center"/>
            <w:hideMark/>
          </w:tcPr>
          <w:p w14:paraId="2B5ACD51" w14:textId="72958D1F" w:rsidR="006323ED" w:rsidRPr="00862BA9" w:rsidRDefault="006323ED" w:rsidP="00737954">
            <w:pPr>
              <w:spacing w:after="0" w:line="276" w:lineRule="auto"/>
              <w:ind w:right="-57"/>
              <w:jc w:val="right"/>
              <w:rPr>
                <w:rFonts w:cs="Arial"/>
                <w:sz w:val="14"/>
                <w:szCs w:val="14"/>
              </w:rPr>
            </w:pPr>
            <w:r w:rsidRPr="00862BA9">
              <w:rPr>
                <w:rFonts w:cs="Arial"/>
                <w:sz w:val="14"/>
                <w:szCs w:val="14"/>
              </w:rPr>
              <w:t>40,1</w:t>
            </w:r>
          </w:p>
        </w:tc>
        <w:tc>
          <w:tcPr>
            <w:tcW w:w="1023" w:type="dxa"/>
            <w:shd w:val="clear" w:color="auto" w:fill="auto"/>
            <w:vAlign w:val="center"/>
            <w:hideMark/>
          </w:tcPr>
          <w:p w14:paraId="55835632" w14:textId="77777777" w:rsidR="006323ED" w:rsidRPr="00862BA9" w:rsidRDefault="006323ED" w:rsidP="00737954">
            <w:pPr>
              <w:spacing w:after="0" w:line="276" w:lineRule="auto"/>
              <w:jc w:val="center"/>
              <w:rPr>
                <w:rFonts w:cs="Arial"/>
                <w:sz w:val="14"/>
                <w:szCs w:val="14"/>
              </w:rPr>
            </w:pPr>
            <w:r w:rsidRPr="00862BA9">
              <w:rPr>
                <w:rFonts w:cs="Arial"/>
                <w:sz w:val="14"/>
                <w:szCs w:val="14"/>
              </w:rPr>
              <w:t>2022</w:t>
            </w:r>
          </w:p>
        </w:tc>
        <w:tc>
          <w:tcPr>
            <w:tcW w:w="680" w:type="dxa"/>
            <w:shd w:val="clear" w:color="auto" w:fill="auto"/>
            <w:noWrap/>
            <w:vAlign w:val="center"/>
            <w:hideMark/>
          </w:tcPr>
          <w:p w14:paraId="2A8E97BA" w14:textId="77777777" w:rsidR="006323ED" w:rsidRPr="00862BA9"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3B5F9310" w14:textId="77777777" w:rsidR="006323ED" w:rsidRPr="00862BA9"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5C999425" w14:textId="77777777" w:rsidR="006323ED" w:rsidRPr="00862BA9"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0AD52649" w14:textId="77777777" w:rsidR="006323ED" w:rsidRPr="00862BA9"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2E2A8601" w14:textId="77777777" w:rsidR="006323ED" w:rsidRPr="00862BA9"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06392C8" w14:textId="77777777" w:rsidR="006323ED" w:rsidRPr="00862BA9" w:rsidRDefault="006323ED" w:rsidP="00737954">
            <w:pPr>
              <w:spacing w:after="0" w:line="276" w:lineRule="auto"/>
              <w:ind w:right="-41"/>
              <w:jc w:val="right"/>
              <w:rPr>
                <w:rFonts w:cs="Arial"/>
                <w:bCs/>
                <w:color w:val="000000"/>
                <w:sz w:val="14"/>
                <w:szCs w:val="14"/>
              </w:rPr>
            </w:pPr>
            <w:r w:rsidRPr="00862BA9">
              <w:rPr>
                <w:rFonts w:cs="Arial"/>
                <w:bCs/>
                <w:color w:val="000000"/>
                <w:sz w:val="14"/>
                <w:szCs w:val="14"/>
              </w:rPr>
              <w:t>40,1</w:t>
            </w:r>
          </w:p>
        </w:tc>
        <w:tc>
          <w:tcPr>
            <w:tcW w:w="680" w:type="dxa"/>
            <w:shd w:val="clear" w:color="auto" w:fill="auto"/>
            <w:noWrap/>
            <w:vAlign w:val="center"/>
            <w:hideMark/>
          </w:tcPr>
          <w:p w14:paraId="7702C1E5" w14:textId="77777777" w:rsidR="006323ED" w:rsidRPr="00862BA9"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FD553B8" w14:textId="77777777" w:rsidR="006323ED" w:rsidRPr="00862BA9"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75F9987A" w14:textId="77777777" w:rsidR="006323ED" w:rsidRPr="00862BA9"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35B69F9" w14:textId="0FE72CC4" w:rsidR="006323ED" w:rsidRPr="00862BA9" w:rsidRDefault="006323ED" w:rsidP="00737954">
            <w:pPr>
              <w:spacing w:after="0" w:line="276" w:lineRule="auto"/>
              <w:ind w:right="-41"/>
              <w:jc w:val="right"/>
              <w:rPr>
                <w:rFonts w:cs="Arial"/>
                <w:bCs/>
                <w:color w:val="000000"/>
                <w:sz w:val="14"/>
                <w:szCs w:val="14"/>
              </w:rPr>
            </w:pPr>
          </w:p>
        </w:tc>
      </w:tr>
      <w:tr w:rsidR="006323ED" w:rsidRPr="00121CFC" w14:paraId="21C7E5BD" w14:textId="77777777" w:rsidTr="00737954">
        <w:trPr>
          <w:cantSplit/>
          <w:trHeight w:val="20"/>
          <w:jc w:val="center"/>
        </w:trPr>
        <w:tc>
          <w:tcPr>
            <w:tcW w:w="1702" w:type="dxa"/>
            <w:shd w:val="clear" w:color="auto" w:fill="F2F2F2" w:themeFill="background1" w:themeFillShade="F2"/>
            <w:vAlign w:val="center"/>
            <w:hideMark/>
          </w:tcPr>
          <w:p w14:paraId="5EF8E10B" w14:textId="0AD62454" w:rsidR="006323ED" w:rsidRPr="00862BA9" w:rsidRDefault="006323ED" w:rsidP="00737954">
            <w:pPr>
              <w:spacing w:after="0" w:line="276" w:lineRule="auto"/>
              <w:jc w:val="left"/>
              <w:rPr>
                <w:rFonts w:cs="Arial"/>
                <w:bCs/>
                <w:sz w:val="14"/>
                <w:szCs w:val="14"/>
              </w:rPr>
            </w:pPr>
            <w:r w:rsidRPr="00862BA9">
              <w:rPr>
                <w:rFonts w:cs="Arial"/>
                <w:bCs/>
                <w:sz w:val="14"/>
                <w:szCs w:val="14"/>
              </w:rPr>
              <w:t>Μετοχ</w:t>
            </w:r>
            <w:r w:rsidR="00B044D6" w:rsidRPr="00862BA9">
              <w:rPr>
                <w:rFonts w:cs="Arial"/>
                <w:bCs/>
                <w:sz w:val="14"/>
                <w:szCs w:val="14"/>
              </w:rPr>
              <w:t>έ</w:t>
            </w:r>
            <w:r w:rsidRPr="00862BA9">
              <w:rPr>
                <w:rFonts w:cs="Arial"/>
                <w:bCs/>
                <w:sz w:val="14"/>
                <w:szCs w:val="14"/>
              </w:rPr>
              <w:t>ς HelleniQ Energy (πρώην ΕΛΠΕ)</w:t>
            </w:r>
          </w:p>
        </w:tc>
        <w:tc>
          <w:tcPr>
            <w:tcW w:w="850" w:type="dxa"/>
            <w:shd w:val="clear" w:color="auto" w:fill="F2F2F2" w:themeFill="background1" w:themeFillShade="F2"/>
            <w:vAlign w:val="center"/>
            <w:hideMark/>
          </w:tcPr>
          <w:p w14:paraId="0CDE4D66" w14:textId="77777777" w:rsidR="006323ED" w:rsidRPr="00862BA9" w:rsidRDefault="006323ED" w:rsidP="00737954">
            <w:pPr>
              <w:spacing w:after="0" w:line="276" w:lineRule="auto"/>
              <w:ind w:right="-57"/>
              <w:jc w:val="right"/>
              <w:rPr>
                <w:rFonts w:cs="Arial"/>
                <w:sz w:val="14"/>
                <w:szCs w:val="14"/>
              </w:rPr>
            </w:pPr>
            <w:r w:rsidRPr="00862BA9">
              <w:rPr>
                <w:rFonts w:cs="Arial"/>
                <w:sz w:val="14"/>
                <w:szCs w:val="14"/>
              </w:rPr>
              <w:t>91,9</w:t>
            </w:r>
          </w:p>
        </w:tc>
        <w:tc>
          <w:tcPr>
            <w:tcW w:w="922" w:type="dxa"/>
            <w:shd w:val="clear" w:color="auto" w:fill="F2F2F2" w:themeFill="background1" w:themeFillShade="F2"/>
            <w:vAlign w:val="center"/>
            <w:hideMark/>
          </w:tcPr>
          <w:p w14:paraId="474BF2D5" w14:textId="2BC6BF3E" w:rsidR="006323ED" w:rsidRPr="00862BA9" w:rsidRDefault="006323ED" w:rsidP="00737954">
            <w:pPr>
              <w:spacing w:after="0" w:line="276" w:lineRule="auto"/>
              <w:ind w:right="-57"/>
              <w:jc w:val="right"/>
              <w:rPr>
                <w:rFonts w:cs="Arial"/>
                <w:sz w:val="14"/>
                <w:szCs w:val="14"/>
              </w:rPr>
            </w:pPr>
            <w:r w:rsidRPr="00862BA9">
              <w:rPr>
                <w:rFonts w:cs="Arial"/>
                <w:sz w:val="14"/>
                <w:szCs w:val="14"/>
              </w:rPr>
              <w:t>91,9</w:t>
            </w:r>
          </w:p>
        </w:tc>
        <w:tc>
          <w:tcPr>
            <w:tcW w:w="1023" w:type="dxa"/>
            <w:shd w:val="clear" w:color="auto" w:fill="F2F2F2" w:themeFill="background1" w:themeFillShade="F2"/>
            <w:vAlign w:val="center"/>
            <w:hideMark/>
          </w:tcPr>
          <w:p w14:paraId="47AFB8BC" w14:textId="77777777" w:rsidR="006323ED" w:rsidRPr="00862BA9" w:rsidRDefault="006323ED" w:rsidP="00737954">
            <w:pPr>
              <w:spacing w:after="0" w:line="276" w:lineRule="auto"/>
              <w:jc w:val="center"/>
              <w:rPr>
                <w:rFonts w:cs="Arial"/>
                <w:sz w:val="14"/>
                <w:szCs w:val="14"/>
              </w:rPr>
            </w:pPr>
            <w:r w:rsidRPr="00862BA9">
              <w:rPr>
                <w:rFonts w:cs="Arial"/>
                <w:sz w:val="14"/>
                <w:szCs w:val="14"/>
              </w:rPr>
              <w:t>2023</w:t>
            </w:r>
          </w:p>
        </w:tc>
        <w:tc>
          <w:tcPr>
            <w:tcW w:w="680" w:type="dxa"/>
            <w:shd w:val="clear" w:color="auto" w:fill="F2F2F2" w:themeFill="background1" w:themeFillShade="F2"/>
            <w:noWrap/>
            <w:vAlign w:val="center"/>
            <w:hideMark/>
          </w:tcPr>
          <w:p w14:paraId="3B4ED898" w14:textId="77777777" w:rsidR="006323ED" w:rsidRPr="00862BA9"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5AD7FFF5" w14:textId="77777777" w:rsidR="006323ED" w:rsidRPr="00862BA9"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2B833172" w14:textId="77777777" w:rsidR="006323ED" w:rsidRPr="00862BA9"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630CBB47" w14:textId="77777777" w:rsidR="006323ED" w:rsidRPr="00862BA9"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7A797CF7" w14:textId="77777777" w:rsidR="006323ED" w:rsidRPr="00862BA9"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1BBF855" w14:textId="77777777" w:rsidR="006323ED" w:rsidRPr="00862BA9"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3329E3C" w14:textId="77777777" w:rsidR="006323ED" w:rsidRPr="00724C36" w:rsidRDefault="006323ED" w:rsidP="00737954">
            <w:pPr>
              <w:spacing w:after="0" w:line="276" w:lineRule="auto"/>
              <w:ind w:right="-41"/>
              <w:jc w:val="right"/>
              <w:rPr>
                <w:rFonts w:cs="Arial"/>
                <w:bCs/>
                <w:color w:val="000000"/>
                <w:sz w:val="14"/>
                <w:szCs w:val="14"/>
              </w:rPr>
            </w:pPr>
            <w:r w:rsidRPr="00862BA9">
              <w:rPr>
                <w:rFonts w:cs="Arial"/>
                <w:bCs/>
                <w:color w:val="000000"/>
                <w:sz w:val="14"/>
                <w:szCs w:val="14"/>
              </w:rPr>
              <w:t>91,9</w:t>
            </w:r>
          </w:p>
        </w:tc>
        <w:tc>
          <w:tcPr>
            <w:tcW w:w="680" w:type="dxa"/>
            <w:shd w:val="clear" w:color="auto" w:fill="F2F2F2" w:themeFill="background1" w:themeFillShade="F2"/>
            <w:noWrap/>
            <w:vAlign w:val="center"/>
            <w:hideMark/>
          </w:tcPr>
          <w:p w14:paraId="07ED36F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262936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0ABD7897" w14:textId="3723F7D6" w:rsidR="006323ED" w:rsidRPr="00724C36" w:rsidRDefault="006323ED" w:rsidP="00737954">
            <w:pPr>
              <w:spacing w:after="0" w:line="276" w:lineRule="auto"/>
              <w:ind w:right="-41"/>
              <w:jc w:val="right"/>
              <w:rPr>
                <w:rFonts w:cs="Arial"/>
                <w:bCs/>
                <w:color w:val="000000"/>
                <w:sz w:val="14"/>
                <w:szCs w:val="14"/>
              </w:rPr>
            </w:pPr>
          </w:p>
        </w:tc>
      </w:tr>
      <w:tr w:rsidR="006323ED" w:rsidRPr="00121CFC" w14:paraId="17CBE568" w14:textId="77777777" w:rsidTr="00737954">
        <w:trPr>
          <w:cantSplit/>
          <w:trHeight w:val="20"/>
          <w:jc w:val="center"/>
        </w:trPr>
        <w:tc>
          <w:tcPr>
            <w:tcW w:w="1702" w:type="dxa"/>
            <w:shd w:val="clear" w:color="auto" w:fill="auto"/>
            <w:vAlign w:val="center"/>
            <w:hideMark/>
          </w:tcPr>
          <w:p w14:paraId="0CC555EF" w14:textId="46FDFCDC" w:rsidR="006323ED" w:rsidRPr="00C175C7" w:rsidRDefault="006323ED" w:rsidP="00737954">
            <w:pPr>
              <w:spacing w:after="0" w:line="276" w:lineRule="auto"/>
              <w:jc w:val="left"/>
              <w:rPr>
                <w:rFonts w:cs="Arial"/>
                <w:bCs/>
                <w:sz w:val="14"/>
                <w:szCs w:val="14"/>
              </w:rPr>
            </w:pPr>
            <w:r w:rsidRPr="00C175C7">
              <w:rPr>
                <w:rFonts w:cs="Arial"/>
                <w:bCs/>
                <w:sz w:val="14"/>
                <w:szCs w:val="14"/>
              </w:rPr>
              <w:t>Γο</w:t>
            </w:r>
            <w:r w:rsidR="00B044D6">
              <w:rPr>
                <w:rFonts w:cs="Arial"/>
                <w:bCs/>
                <w:sz w:val="14"/>
                <w:szCs w:val="14"/>
              </w:rPr>
              <w:t>ύ</w:t>
            </w:r>
            <w:r w:rsidRPr="00C175C7">
              <w:rPr>
                <w:rFonts w:cs="Arial"/>
                <w:bCs/>
                <w:sz w:val="14"/>
                <w:szCs w:val="14"/>
              </w:rPr>
              <w:t>ρνες Ηρακλείου</w:t>
            </w:r>
          </w:p>
        </w:tc>
        <w:tc>
          <w:tcPr>
            <w:tcW w:w="850" w:type="dxa"/>
            <w:shd w:val="clear" w:color="auto" w:fill="auto"/>
            <w:noWrap/>
            <w:vAlign w:val="center"/>
            <w:hideMark/>
          </w:tcPr>
          <w:p w14:paraId="097E763D"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42,2</w:t>
            </w:r>
          </w:p>
        </w:tc>
        <w:tc>
          <w:tcPr>
            <w:tcW w:w="922" w:type="dxa"/>
            <w:shd w:val="clear" w:color="auto" w:fill="auto"/>
            <w:vAlign w:val="center"/>
            <w:hideMark/>
          </w:tcPr>
          <w:p w14:paraId="538AAF6A" w14:textId="56591A49" w:rsidR="006323ED" w:rsidRPr="00724C36" w:rsidRDefault="006323ED" w:rsidP="00737954">
            <w:pPr>
              <w:spacing w:after="0" w:line="276" w:lineRule="auto"/>
              <w:ind w:right="-57"/>
              <w:jc w:val="right"/>
              <w:rPr>
                <w:rFonts w:cs="Arial"/>
                <w:sz w:val="14"/>
                <w:szCs w:val="14"/>
              </w:rPr>
            </w:pPr>
            <w:r w:rsidRPr="00724C36">
              <w:rPr>
                <w:rFonts w:cs="Arial"/>
                <w:sz w:val="14"/>
                <w:szCs w:val="14"/>
              </w:rPr>
              <w:t>42,2</w:t>
            </w:r>
          </w:p>
        </w:tc>
        <w:tc>
          <w:tcPr>
            <w:tcW w:w="1023" w:type="dxa"/>
            <w:shd w:val="clear" w:color="auto" w:fill="auto"/>
            <w:noWrap/>
            <w:vAlign w:val="center"/>
            <w:hideMark/>
          </w:tcPr>
          <w:p w14:paraId="0A786AA0"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2022</w:t>
            </w:r>
          </w:p>
        </w:tc>
        <w:tc>
          <w:tcPr>
            <w:tcW w:w="680" w:type="dxa"/>
            <w:shd w:val="clear" w:color="auto" w:fill="auto"/>
            <w:noWrap/>
            <w:vAlign w:val="center"/>
            <w:hideMark/>
          </w:tcPr>
          <w:p w14:paraId="489F2BEE" w14:textId="77777777" w:rsidR="006323ED" w:rsidRPr="00724C36"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1D651EF5"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4B615A25"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70CC1FAB"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61E7E85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8C9505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7E1AC674"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21,1</w:t>
            </w:r>
          </w:p>
        </w:tc>
        <w:tc>
          <w:tcPr>
            <w:tcW w:w="680" w:type="dxa"/>
            <w:shd w:val="clear" w:color="auto" w:fill="auto"/>
            <w:noWrap/>
            <w:vAlign w:val="center"/>
            <w:hideMark/>
          </w:tcPr>
          <w:p w14:paraId="643C5596"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7,0</w:t>
            </w:r>
          </w:p>
        </w:tc>
        <w:tc>
          <w:tcPr>
            <w:tcW w:w="680" w:type="dxa"/>
            <w:shd w:val="clear" w:color="auto" w:fill="auto"/>
            <w:noWrap/>
            <w:vAlign w:val="center"/>
            <w:hideMark/>
          </w:tcPr>
          <w:p w14:paraId="79AC48A9"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14,1</w:t>
            </w:r>
          </w:p>
        </w:tc>
        <w:tc>
          <w:tcPr>
            <w:tcW w:w="680" w:type="dxa"/>
            <w:shd w:val="clear" w:color="auto" w:fill="auto"/>
            <w:noWrap/>
            <w:vAlign w:val="center"/>
            <w:hideMark/>
          </w:tcPr>
          <w:p w14:paraId="616C6E2F" w14:textId="79E7A1DC" w:rsidR="006323ED" w:rsidRPr="00724C36" w:rsidRDefault="006323ED" w:rsidP="00737954">
            <w:pPr>
              <w:spacing w:after="0" w:line="276" w:lineRule="auto"/>
              <w:ind w:right="-41"/>
              <w:jc w:val="right"/>
              <w:rPr>
                <w:rFonts w:cs="Arial"/>
                <w:bCs/>
                <w:color w:val="000000"/>
                <w:sz w:val="14"/>
                <w:szCs w:val="14"/>
              </w:rPr>
            </w:pPr>
          </w:p>
        </w:tc>
      </w:tr>
      <w:tr w:rsidR="006323ED" w:rsidRPr="00121CFC" w14:paraId="276BE4F7" w14:textId="77777777" w:rsidTr="00737954">
        <w:trPr>
          <w:cantSplit/>
          <w:trHeight w:val="20"/>
          <w:jc w:val="center"/>
        </w:trPr>
        <w:tc>
          <w:tcPr>
            <w:tcW w:w="1702" w:type="dxa"/>
            <w:shd w:val="clear" w:color="auto" w:fill="F2F2F2" w:themeFill="background1" w:themeFillShade="F2"/>
            <w:vAlign w:val="center"/>
            <w:hideMark/>
          </w:tcPr>
          <w:p w14:paraId="042C8294"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(10 ΟΛ) Οργανισμός Λιμένος Ηγουμενίτσας</w:t>
            </w:r>
          </w:p>
        </w:tc>
        <w:tc>
          <w:tcPr>
            <w:tcW w:w="850" w:type="dxa"/>
            <w:shd w:val="clear" w:color="auto" w:fill="F2F2F2" w:themeFill="background1" w:themeFillShade="F2"/>
            <w:vAlign w:val="center"/>
            <w:hideMark/>
          </w:tcPr>
          <w:p w14:paraId="3A9A194B"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84,2</w:t>
            </w:r>
          </w:p>
        </w:tc>
        <w:tc>
          <w:tcPr>
            <w:tcW w:w="922" w:type="dxa"/>
            <w:shd w:val="clear" w:color="auto" w:fill="F2F2F2" w:themeFill="background1" w:themeFillShade="F2"/>
            <w:vAlign w:val="center"/>
            <w:hideMark/>
          </w:tcPr>
          <w:p w14:paraId="44C92E8F" w14:textId="76A179F2" w:rsidR="006323ED" w:rsidRPr="00724C36" w:rsidRDefault="006323ED" w:rsidP="00737954">
            <w:pPr>
              <w:spacing w:after="0" w:line="276" w:lineRule="auto"/>
              <w:ind w:right="-57"/>
              <w:jc w:val="right"/>
              <w:rPr>
                <w:rFonts w:cs="Arial"/>
                <w:sz w:val="14"/>
                <w:szCs w:val="14"/>
              </w:rPr>
            </w:pPr>
            <w:r w:rsidRPr="00724C36">
              <w:rPr>
                <w:rFonts w:cs="Arial"/>
                <w:sz w:val="14"/>
                <w:szCs w:val="14"/>
              </w:rPr>
              <w:t>84,2</w:t>
            </w:r>
          </w:p>
        </w:tc>
        <w:tc>
          <w:tcPr>
            <w:tcW w:w="1023" w:type="dxa"/>
            <w:shd w:val="clear" w:color="auto" w:fill="F2F2F2" w:themeFill="background1" w:themeFillShade="F2"/>
            <w:vAlign w:val="center"/>
            <w:hideMark/>
          </w:tcPr>
          <w:p w14:paraId="750BF565"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2023</w:t>
            </w:r>
          </w:p>
        </w:tc>
        <w:tc>
          <w:tcPr>
            <w:tcW w:w="680" w:type="dxa"/>
            <w:shd w:val="clear" w:color="auto" w:fill="F2F2F2" w:themeFill="background1" w:themeFillShade="F2"/>
            <w:noWrap/>
            <w:vAlign w:val="center"/>
            <w:hideMark/>
          </w:tcPr>
          <w:p w14:paraId="66D20E8A"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23849EDF"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31CFA994"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06A96112"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2AFD9BE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E528E6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02E3367"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84,2</w:t>
            </w:r>
          </w:p>
        </w:tc>
        <w:tc>
          <w:tcPr>
            <w:tcW w:w="680" w:type="dxa"/>
            <w:shd w:val="clear" w:color="auto" w:fill="F2F2F2" w:themeFill="background1" w:themeFillShade="F2"/>
            <w:noWrap/>
            <w:vAlign w:val="center"/>
            <w:hideMark/>
          </w:tcPr>
          <w:p w14:paraId="2776C76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2CD14E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0A7FB98" w14:textId="46395BF3" w:rsidR="006323ED" w:rsidRPr="00724C36" w:rsidRDefault="006323ED" w:rsidP="00737954">
            <w:pPr>
              <w:spacing w:after="0" w:line="276" w:lineRule="auto"/>
              <w:ind w:right="-41"/>
              <w:jc w:val="right"/>
              <w:rPr>
                <w:rFonts w:cs="Arial"/>
                <w:bCs/>
                <w:color w:val="000000"/>
                <w:sz w:val="14"/>
                <w:szCs w:val="14"/>
              </w:rPr>
            </w:pPr>
          </w:p>
        </w:tc>
      </w:tr>
      <w:tr w:rsidR="006323ED" w:rsidRPr="00121CFC" w14:paraId="66244171" w14:textId="77777777" w:rsidTr="00737954">
        <w:trPr>
          <w:cantSplit/>
          <w:trHeight w:val="20"/>
          <w:jc w:val="center"/>
        </w:trPr>
        <w:tc>
          <w:tcPr>
            <w:tcW w:w="1702" w:type="dxa"/>
            <w:shd w:val="clear" w:color="auto" w:fill="auto"/>
            <w:vAlign w:val="center"/>
            <w:hideMark/>
          </w:tcPr>
          <w:p w14:paraId="713B9D09"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(10 ΟΛ) Οργανισμός Λιμένος Ηρακλείου</w:t>
            </w:r>
          </w:p>
        </w:tc>
        <w:tc>
          <w:tcPr>
            <w:tcW w:w="850" w:type="dxa"/>
            <w:shd w:val="clear" w:color="auto" w:fill="auto"/>
            <w:noWrap/>
            <w:vAlign w:val="center"/>
            <w:hideMark/>
          </w:tcPr>
          <w:p w14:paraId="17046326"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80,0</w:t>
            </w:r>
          </w:p>
        </w:tc>
        <w:tc>
          <w:tcPr>
            <w:tcW w:w="922" w:type="dxa"/>
            <w:shd w:val="clear" w:color="auto" w:fill="auto"/>
            <w:vAlign w:val="center"/>
            <w:hideMark/>
          </w:tcPr>
          <w:p w14:paraId="1E5C6C78" w14:textId="6DECC87D" w:rsidR="006323ED" w:rsidRPr="00724C36" w:rsidRDefault="006323ED" w:rsidP="00737954">
            <w:pPr>
              <w:spacing w:after="0" w:line="276" w:lineRule="auto"/>
              <w:ind w:right="-57"/>
              <w:jc w:val="right"/>
              <w:rPr>
                <w:rFonts w:cs="Arial"/>
                <w:sz w:val="14"/>
                <w:szCs w:val="14"/>
              </w:rPr>
            </w:pPr>
            <w:r w:rsidRPr="00724C36">
              <w:rPr>
                <w:rFonts w:cs="Arial"/>
                <w:sz w:val="14"/>
                <w:szCs w:val="14"/>
              </w:rPr>
              <w:t>80,0</w:t>
            </w:r>
          </w:p>
        </w:tc>
        <w:tc>
          <w:tcPr>
            <w:tcW w:w="1023" w:type="dxa"/>
            <w:shd w:val="clear" w:color="auto" w:fill="auto"/>
            <w:noWrap/>
            <w:vAlign w:val="center"/>
            <w:hideMark/>
          </w:tcPr>
          <w:p w14:paraId="5AB9EBE4"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2024</w:t>
            </w:r>
          </w:p>
        </w:tc>
        <w:tc>
          <w:tcPr>
            <w:tcW w:w="680" w:type="dxa"/>
            <w:shd w:val="clear" w:color="auto" w:fill="auto"/>
            <w:noWrap/>
            <w:vAlign w:val="center"/>
            <w:hideMark/>
          </w:tcPr>
          <w:p w14:paraId="299B81CA" w14:textId="77777777" w:rsidR="006323ED" w:rsidRPr="00724C36"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4DCEF4CE"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1792552F"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63DAB773"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58BCACA3"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937DEB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F67720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E8EAA85"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80,0</w:t>
            </w:r>
          </w:p>
        </w:tc>
        <w:tc>
          <w:tcPr>
            <w:tcW w:w="680" w:type="dxa"/>
            <w:shd w:val="clear" w:color="auto" w:fill="auto"/>
            <w:noWrap/>
            <w:vAlign w:val="center"/>
            <w:hideMark/>
          </w:tcPr>
          <w:p w14:paraId="523095B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CEB9E4A" w14:textId="218949D4" w:rsidR="006323ED" w:rsidRPr="00724C36" w:rsidRDefault="006323ED" w:rsidP="00737954">
            <w:pPr>
              <w:spacing w:after="0" w:line="276" w:lineRule="auto"/>
              <w:ind w:right="-41"/>
              <w:jc w:val="right"/>
              <w:rPr>
                <w:rFonts w:cs="Arial"/>
                <w:bCs/>
                <w:color w:val="000000"/>
                <w:sz w:val="14"/>
                <w:szCs w:val="14"/>
              </w:rPr>
            </w:pPr>
          </w:p>
        </w:tc>
      </w:tr>
      <w:tr w:rsidR="006323ED" w:rsidRPr="00121CFC" w14:paraId="754D0043" w14:textId="77777777" w:rsidTr="00737954">
        <w:trPr>
          <w:cantSplit/>
          <w:trHeight w:val="20"/>
          <w:jc w:val="center"/>
        </w:trPr>
        <w:tc>
          <w:tcPr>
            <w:tcW w:w="1702" w:type="dxa"/>
            <w:shd w:val="clear" w:color="auto" w:fill="F2F2F2" w:themeFill="background1" w:themeFillShade="F2"/>
            <w:vAlign w:val="center"/>
            <w:hideMark/>
          </w:tcPr>
          <w:p w14:paraId="17EF6D9C"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(10 ΟΛ) Οργανισμός Λιμένος Βόλου</w:t>
            </w:r>
          </w:p>
        </w:tc>
        <w:tc>
          <w:tcPr>
            <w:tcW w:w="850" w:type="dxa"/>
            <w:shd w:val="clear" w:color="auto" w:fill="F2F2F2" w:themeFill="background1" w:themeFillShade="F2"/>
            <w:noWrap/>
            <w:vAlign w:val="center"/>
            <w:hideMark/>
          </w:tcPr>
          <w:p w14:paraId="574CC02E"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51,0</w:t>
            </w:r>
          </w:p>
        </w:tc>
        <w:tc>
          <w:tcPr>
            <w:tcW w:w="922" w:type="dxa"/>
            <w:shd w:val="clear" w:color="auto" w:fill="F2F2F2" w:themeFill="background1" w:themeFillShade="F2"/>
            <w:vAlign w:val="center"/>
            <w:hideMark/>
          </w:tcPr>
          <w:p w14:paraId="36757BA1" w14:textId="7F4F4E9D" w:rsidR="006323ED" w:rsidRPr="00724C36" w:rsidRDefault="006323ED" w:rsidP="00737954">
            <w:pPr>
              <w:spacing w:after="0" w:line="276" w:lineRule="auto"/>
              <w:ind w:right="-57"/>
              <w:jc w:val="right"/>
              <w:rPr>
                <w:rFonts w:cs="Arial"/>
                <w:sz w:val="14"/>
                <w:szCs w:val="14"/>
              </w:rPr>
            </w:pPr>
            <w:r w:rsidRPr="00724C36">
              <w:rPr>
                <w:rFonts w:cs="Arial"/>
                <w:sz w:val="14"/>
                <w:szCs w:val="14"/>
              </w:rPr>
              <w:t>0,0</w:t>
            </w:r>
          </w:p>
        </w:tc>
        <w:tc>
          <w:tcPr>
            <w:tcW w:w="1023" w:type="dxa"/>
            <w:shd w:val="clear" w:color="auto" w:fill="F2F2F2" w:themeFill="background1" w:themeFillShade="F2"/>
            <w:noWrap/>
            <w:vAlign w:val="center"/>
            <w:hideMark/>
          </w:tcPr>
          <w:p w14:paraId="54149DF0"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shd w:val="clear" w:color="auto" w:fill="F2F2F2" w:themeFill="background1" w:themeFillShade="F2"/>
            <w:noWrap/>
            <w:vAlign w:val="center"/>
            <w:hideMark/>
          </w:tcPr>
          <w:p w14:paraId="35FBE0D9"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1AEDA473"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29CA8B6C"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5A537830"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4F36ADF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FBDB9F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C9450F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0F3B0F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FD97A6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53AA15B" w14:textId="2AE2079C" w:rsidR="006323ED" w:rsidRPr="00724C36" w:rsidRDefault="006323ED" w:rsidP="00737954">
            <w:pPr>
              <w:spacing w:after="0" w:line="276" w:lineRule="auto"/>
              <w:ind w:right="-41"/>
              <w:jc w:val="right"/>
              <w:rPr>
                <w:rFonts w:cs="Arial"/>
                <w:bCs/>
                <w:color w:val="000000"/>
                <w:sz w:val="14"/>
                <w:szCs w:val="14"/>
              </w:rPr>
            </w:pPr>
          </w:p>
        </w:tc>
      </w:tr>
      <w:tr w:rsidR="006323ED" w:rsidRPr="00121CFC" w14:paraId="0D7DA45E" w14:textId="77777777" w:rsidTr="00737954">
        <w:trPr>
          <w:cantSplit/>
          <w:trHeight w:val="20"/>
          <w:jc w:val="center"/>
        </w:trPr>
        <w:tc>
          <w:tcPr>
            <w:tcW w:w="1702" w:type="dxa"/>
            <w:shd w:val="clear" w:color="auto" w:fill="auto"/>
            <w:vAlign w:val="center"/>
            <w:hideMark/>
          </w:tcPr>
          <w:p w14:paraId="2610133C"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Αττική Οδός</w:t>
            </w:r>
          </w:p>
        </w:tc>
        <w:tc>
          <w:tcPr>
            <w:tcW w:w="850" w:type="dxa"/>
            <w:shd w:val="clear" w:color="auto" w:fill="auto"/>
            <w:noWrap/>
            <w:vAlign w:val="center"/>
            <w:hideMark/>
          </w:tcPr>
          <w:p w14:paraId="51BEB93E"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3.270,0</w:t>
            </w:r>
          </w:p>
        </w:tc>
        <w:tc>
          <w:tcPr>
            <w:tcW w:w="922" w:type="dxa"/>
            <w:shd w:val="clear" w:color="auto" w:fill="auto"/>
            <w:vAlign w:val="center"/>
            <w:hideMark/>
          </w:tcPr>
          <w:p w14:paraId="1CD54E33" w14:textId="154DF55C" w:rsidR="006323ED" w:rsidRPr="00724C36" w:rsidRDefault="006323ED" w:rsidP="00737954">
            <w:pPr>
              <w:spacing w:after="0" w:line="276" w:lineRule="auto"/>
              <w:ind w:right="-57"/>
              <w:jc w:val="right"/>
              <w:rPr>
                <w:rFonts w:cs="Arial"/>
                <w:sz w:val="14"/>
                <w:szCs w:val="14"/>
              </w:rPr>
            </w:pPr>
            <w:r w:rsidRPr="00724C36">
              <w:rPr>
                <w:rFonts w:cs="Arial"/>
                <w:sz w:val="14"/>
                <w:szCs w:val="14"/>
              </w:rPr>
              <w:t>3.270,0</w:t>
            </w:r>
          </w:p>
        </w:tc>
        <w:tc>
          <w:tcPr>
            <w:tcW w:w="1023" w:type="dxa"/>
            <w:shd w:val="clear" w:color="auto" w:fill="auto"/>
            <w:noWrap/>
            <w:vAlign w:val="center"/>
            <w:hideMark/>
          </w:tcPr>
          <w:p w14:paraId="3E25C9BA"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2024</w:t>
            </w:r>
          </w:p>
        </w:tc>
        <w:tc>
          <w:tcPr>
            <w:tcW w:w="680" w:type="dxa"/>
            <w:shd w:val="clear" w:color="auto" w:fill="auto"/>
            <w:noWrap/>
            <w:vAlign w:val="center"/>
            <w:hideMark/>
          </w:tcPr>
          <w:p w14:paraId="4AB8BE2F" w14:textId="77777777" w:rsidR="006323ED" w:rsidRPr="00724C36"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2C64F435"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37F954A5"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73310B0A"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3B817B5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71648F7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9E1B00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22B2C67"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3.270,0</w:t>
            </w:r>
          </w:p>
        </w:tc>
        <w:tc>
          <w:tcPr>
            <w:tcW w:w="680" w:type="dxa"/>
            <w:shd w:val="clear" w:color="auto" w:fill="auto"/>
            <w:noWrap/>
            <w:vAlign w:val="center"/>
            <w:hideMark/>
          </w:tcPr>
          <w:p w14:paraId="6D532AC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A9E144D" w14:textId="3C4AAAFD" w:rsidR="006323ED" w:rsidRPr="00724C36" w:rsidRDefault="006323ED" w:rsidP="00737954">
            <w:pPr>
              <w:spacing w:after="0" w:line="276" w:lineRule="auto"/>
              <w:ind w:right="-41"/>
              <w:jc w:val="right"/>
              <w:rPr>
                <w:rFonts w:cs="Arial"/>
                <w:bCs/>
                <w:color w:val="000000"/>
                <w:sz w:val="14"/>
                <w:szCs w:val="14"/>
              </w:rPr>
            </w:pPr>
          </w:p>
        </w:tc>
      </w:tr>
      <w:tr w:rsidR="006323ED" w:rsidRPr="00121CFC" w14:paraId="2585A438" w14:textId="77777777" w:rsidTr="00737954">
        <w:trPr>
          <w:cantSplit/>
          <w:trHeight w:val="20"/>
          <w:jc w:val="center"/>
        </w:trPr>
        <w:tc>
          <w:tcPr>
            <w:tcW w:w="1702" w:type="dxa"/>
            <w:shd w:val="clear" w:color="auto" w:fill="F2F2F2" w:themeFill="background1" w:themeFillShade="F2"/>
            <w:vAlign w:val="center"/>
            <w:hideMark/>
          </w:tcPr>
          <w:p w14:paraId="28176E2F" w14:textId="2AA9AE0D" w:rsidR="006323ED" w:rsidRPr="00C175C7" w:rsidRDefault="006323ED" w:rsidP="00737954">
            <w:pPr>
              <w:spacing w:after="0" w:line="276" w:lineRule="auto"/>
              <w:jc w:val="left"/>
              <w:rPr>
                <w:rFonts w:cs="Arial"/>
                <w:bCs/>
                <w:sz w:val="14"/>
                <w:szCs w:val="14"/>
              </w:rPr>
            </w:pPr>
            <w:r w:rsidRPr="00C175C7">
              <w:rPr>
                <w:rFonts w:cs="Arial"/>
                <w:bCs/>
                <w:sz w:val="14"/>
                <w:szCs w:val="14"/>
              </w:rPr>
              <w:t>Σ</w:t>
            </w:r>
            <w:r w:rsidR="00B044D6">
              <w:rPr>
                <w:rFonts w:cs="Arial"/>
                <w:bCs/>
                <w:sz w:val="14"/>
                <w:szCs w:val="14"/>
              </w:rPr>
              <w:t>ά</w:t>
            </w:r>
            <w:r w:rsidRPr="00C175C7">
              <w:rPr>
                <w:rFonts w:cs="Arial"/>
                <w:bCs/>
                <w:sz w:val="14"/>
                <w:szCs w:val="14"/>
              </w:rPr>
              <w:t>νη Χαλκιδικής</w:t>
            </w:r>
          </w:p>
        </w:tc>
        <w:tc>
          <w:tcPr>
            <w:tcW w:w="850" w:type="dxa"/>
            <w:shd w:val="clear" w:color="auto" w:fill="F2F2F2" w:themeFill="background1" w:themeFillShade="F2"/>
            <w:noWrap/>
            <w:vAlign w:val="center"/>
            <w:hideMark/>
          </w:tcPr>
          <w:p w14:paraId="25EAD838"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8,6</w:t>
            </w:r>
          </w:p>
        </w:tc>
        <w:tc>
          <w:tcPr>
            <w:tcW w:w="922" w:type="dxa"/>
            <w:shd w:val="clear" w:color="auto" w:fill="F2F2F2" w:themeFill="background1" w:themeFillShade="F2"/>
            <w:vAlign w:val="center"/>
            <w:hideMark/>
          </w:tcPr>
          <w:p w14:paraId="3D759956" w14:textId="74EDD67E" w:rsidR="006323ED" w:rsidRPr="00724C36" w:rsidRDefault="006323ED" w:rsidP="00737954">
            <w:pPr>
              <w:spacing w:after="0" w:line="276" w:lineRule="auto"/>
              <w:ind w:right="-57"/>
              <w:jc w:val="right"/>
              <w:rPr>
                <w:rFonts w:cs="Arial"/>
                <w:sz w:val="14"/>
                <w:szCs w:val="14"/>
              </w:rPr>
            </w:pPr>
            <w:r w:rsidRPr="00724C36">
              <w:rPr>
                <w:rFonts w:cs="Arial"/>
                <w:sz w:val="14"/>
                <w:szCs w:val="14"/>
              </w:rPr>
              <w:t>8,6</w:t>
            </w:r>
          </w:p>
        </w:tc>
        <w:tc>
          <w:tcPr>
            <w:tcW w:w="1023" w:type="dxa"/>
            <w:shd w:val="clear" w:color="auto" w:fill="F2F2F2" w:themeFill="background1" w:themeFillShade="F2"/>
            <w:noWrap/>
            <w:vAlign w:val="center"/>
            <w:hideMark/>
          </w:tcPr>
          <w:p w14:paraId="63884C89"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2024</w:t>
            </w:r>
          </w:p>
        </w:tc>
        <w:tc>
          <w:tcPr>
            <w:tcW w:w="680" w:type="dxa"/>
            <w:shd w:val="clear" w:color="auto" w:fill="F2F2F2" w:themeFill="background1" w:themeFillShade="F2"/>
            <w:noWrap/>
            <w:vAlign w:val="center"/>
            <w:hideMark/>
          </w:tcPr>
          <w:p w14:paraId="7EED0ADE"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66C6E473"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77370F14"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164A6369"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3ED4716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70FA0CF"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D9912F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47991FA"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8,6</w:t>
            </w:r>
          </w:p>
        </w:tc>
        <w:tc>
          <w:tcPr>
            <w:tcW w:w="680" w:type="dxa"/>
            <w:shd w:val="clear" w:color="auto" w:fill="F2F2F2" w:themeFill="background1" w:themeFillShade="F2"/>
            <w:noWrap/>
            <w:vAlign w:val="center"/>
            <w:hideMark/>
          </w:tcPr>
          <w:p w14:paraId="26E2148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A39C69F" w14:textId="178E720C" w:rsidR="006323ED" w:rsidRPr="00724C36" w:rsidRDefault="006323ED" w:rsidP="00737954">
            <w:pPr>
              <w:spacing w:after="0" w:line="276" w:lineRule="auto"/>
              <w:ind w:right="-41"/>
              <w:jc w:val="right"/>
              <w:rPr>
                <w:rFonts w:cs="Arial"/>
                <w:bCs/>
                <w:color w:val="000000"/>
                <w:sz w:val="14"/>
                <w:szCs w:val="14"/>
              </w:rPr>
            </w:pPr>
          </w:p>
        </w:tc>
      </w:tr>
      <w:tr w:rsidR="006323ED" w:rsidRPr="00121CFC" w14:paraId="3BB57952" w14:textId="77777777" w:rsidTr="00737954">
        <w:trPr>
          <w:cantSplit/>
          <w:trHeight w:val="20"/>
          <w:jc w:val="center"/>
        </w:trPr>
        <w:tc>
          <w:tcPr>
            <w:tcW w:w="1702" w:type="dxa"/>
            <w:shd w:val="clear" w:color="auto" w:fill="auto"/>
            <w:vAlign w:val="center"/>
            <w:hideMark/>
          </w:tcPr>
          <w:p w14:paraId="12F9C5BF" w14:textId="326C86A4" w:rsidR="006323ED" w:rsidRPr="00C175C7" w:rsidRDefault="006323ED" w:rsidP="00737954">
            <w:pPr>
              <w:spacing w:after="0" w:line="276" w:lineRule="auto"/>
              <w:jc w:val="left"/>
              <w:rPr>
                <w:rFonts w:cs="Arial"/>
                <w:bCs/>
                <w:sz w:val="14"/>
                <w:szCs w:val="14"/>
              </w:rPr>
            </w:pPr>
            <w:r w:rsidRPr="00C175C7">
              <w:rPr>
                <w:rFonts w:cs="Arial"/>
                <w:bCs/>
                <w:sz w:val="14"/>
                <w:szCs w:val="14"/>
              </w:rPr>
              <w:t>Κασσάνδρα Χαλκιδικ</w:t>
            </w:r>
            <w:r w:rsidR="009773EB">
              <w:rPr>
                <w:rFonts w:cs="Arial"/>
                <w:bCs/>
                <w:sz w:val="14"/>
                <w:szCs w:val="14"/>
              </w:rPr>
              <w:t>ή</w:t>
            </w:r>
            <w:r w:rsidRPr="00C175C7">
              <w:rPr>
                <w:rFonts w:cs="Arial"/>
                <w:bCs/>
                <w:sz w:val="14"/>
                <w:szCs w:val="14"/>
              </w:rPr>
              <w:t>ς</w:t>
            </w:r>
          </w:p>
        </w:tc>
        <w:tc>
          <w:tcPr>
            <w:tcW w:w="850" w:type="dxa"/>
            <w:shd w:val="clear" w:color="auto" w:fill="auto"/>
            <w:noWrap/>
            <w:vAlign w:val="center"/>
            <w:hideMark/>
          </w:tcPr>
          <w:p w14:paraId="1323FC38"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4,0</w:t>
            </w:r>
          </w:p>
        </w:tc>
        <w:tc>
          <w:tcPr>
            <w:tcW w:w="922" w:type="dxa"/>
            <w:shd w:val="clear" w:color="auto" w:fill="auto"/>
            <w:vAlign w:val="center"/>
            <w:hideMark/>
          </w:tcPr>
          <w:p w14:paraId="668F9CED" w14:textId="3E3BEA59" w:rsidR="006323ED" w:rsidRPr="00724C36" w:rsidRDefault="006323ED" w:rsidP="00737954">
            <w:pPr>
              <w:spacing w:after="0" w:line="276" w:lineRule="auto"/>
              <w:ind w:right="-57"/>
              <w:jc w:val="right"/>
              <w:rPr>
                <w:rFonts w:cs="Arial"/>
                <w:sz w:val="14"/>
                <w:szCs w:val="14"/>
              </w:rPr>
            </w:pPr>
            <w:r w:rsidRPr="00724C36">
              <w:rPr>
                <w:rFonts w:cs="Arial"/>
                <w:sz w:val="14"/>
                <w:szCs w:val="14"/>
              </w:rPr>
              <w:t>4,0</w:t>
            </w:r>
          </w:p>
        </w:tc>
        <w:tc>
          <w:tcPr>
            <w:tcW w:w="1023" w:type="dxa"/>
            <w:shd w:val="clear" w:color="auto" w:fill="auto"/>
            <w:noWrap/>
            <w:vAlign w:val="center"/>
            <w:hideMark/>
          </w:tcPr>
          <w:p w14:paraId="2E840CDC"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shd w:val="clear" w:color="auto" w:fill="auto"/>
            <w:noWrap/>
            <w:vAlign w:val="center"/>
            <w:hideMark/>
          </w:tcPr>
          <w:p w14:paraId="1AEE28D1" w14:textId="77777777" w:rsidR="006323ED" w:rsidRPr="00724C36" w:rsidRDefault="006323ED" w:rsidP="00737954">
            <w:pPr>
              <w:spacing w:after="0" w:line="276" w:lineRule="auto"/>
              <w:ind w:left="-63"/>
              <w:jc w:val="right"/>
              <w:rPr>
                <w:rFonts w:cs="Arial"/>
                <w:sz w:val="14"/>
                <w:szCs w:val="14"/>
              </w:rPr>
            </w:pPr>
          </w:p>
        </w:tc>
        <w:tc>
          <w:tcPr>
            <w:tcW w:w="680" w:type="dxa"/>
            <w:shd w:val="clear" w:color="auto" w:fill="auto"/>
            <w:noWrap/>
            <w:vAlign w:val="center"/>
            <w:hideMark/>
          </w:tcPr>
          <w:p w14:paraId="3DA0AC0C" w14:textId="77777777" w:rsidR="006323ED" w:rsidRPr="00724C36" w:rsidRDefault="006323ED" w:rsidP="00737954">
            <w:pPr>
              <w:spacing w:after="0" w:line="276" w:lineRule="auto"/>
              <w:ind w:right="-102"/>
              <w:jc w:val="right"/>
              <w:rPr>
                <w:rFonts w:ascii="Times New Roman" w:hAnsi="Times New Roman"/>
                <w:sz w:val="14"/>
                <w:szCs w:val="14"/>
              </w:rPr>
            </w:pPr>
          </w:p>
        </w:tc>
        <w:tc>
          <w:tcPr>
            <w:tcW w:w="680" w:type="dxa"/>
            <w:shd w:val="clear" w:color="auto" w:fill="auto"/>
            <w:noWrap/>
            <w:vAlign w:val="center"/>
            <w:hideMark/>
          </w:tcPr>
          <w:p w14:paraId="57F52532" w14:textId="77777777" w:rsidR="006323ED" w:rsidRPr="00724C36" w:rsidRDefault="006323ED" w:rsidP="00737954">
            <w:pPr>
              <w:spacing w:after="0" w:line="276" w:lineRule="auto"/>
              <w:ind w:right="-102"/>
              <w:jc w:val="right"/>
              <w:rPr>
                <w:rFonts w:ascii="Times New Roman" w:hAnsi="Times New Roman"/>
                <w:sz w:val="14"/>
                <w:szCs w:val="14"/>
              </w:rPr>
            </w:pPr>
          </w:p>
        </w:tc>
        <w:tc>
          <w:tcPr>
            <w:tcW w:w="680" w:type="dxa"/>
            <w:shd w:val="clear" w:color="auto" w:fill="auto"/>
            <w:noWrap/>
            <w:vAlign w:val="center"/>
            <w:hideMark/>
          </w:tcPr>
          <w:p w14:paraId="72A0CB06"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1D99998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8A446C9"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13C45F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054F05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596259C"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4,0</w:t>
            </w:r>
          </w:p>
        </w:tc>
        <w:tc>
          <w:tcPr>
            <w:tcW w:w="680" w:type="dxa"/>
            <w:shd w:val="clear" w:color="auto" w:fill="auto"/>
            <w:noWrap/>
            <w:vAlign w:val="center"/>
            <w:hideMark/>
          </w:tcPr>
          <w:p w14:paraId="3C2D94E2" w14:textId="4EB9EA6F" w:rsidR="006323ED" w:rsidRPr="00724C36" w:rsidRDefault="006323ED" w:rsidP="00737954">
            <w:pPr>
              <w:spacing w:after="0" w:line="276" w:lineRule="auto"/>
              <w:ind w:right="-41"/>
              <w:jc w:val="right"/>
              <w:rPr>
                <w:rFonts w:cs="Arial"/>
                <w:bCs/>
                <w:color w:val="000000"/>
                <w:sz w:val="14"/>
                <w:szCs w:val="14"/>
              </w:rPr>
            </w:pPr>
          </w:p>
        </w:tc>
      </w:tr>
      <w:tr w:rsidR="006323ED" w:rsidRPr="00121CFC" w14:paraId="4D2783CB" w14:textId="77777777" w:rsidTr="00737954">
        <w:trPr>
          <w:cantSplit/>
          <w:trHeight w:val="20"/>
          <w:jc w:val="center"/>
        </w:trPr>
        <w:tc>
          <w:tcPr>
            <w:tcW w:w="1702" w:type="dxa"/>
            <w:shd w:val="clear" w:color="auto" w:fill="F2F2F2" w:themeFill="background1" w:themeFillShade="F2"/>
            <w:vAlign w:val="center"/>
            <w:hideMark/>
          </w:tcPr>
          <w:p w14:paraId="3BFC02C0"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AIA 30%</w:t>
            </w:r>
          </w:p>
        </w:tc>
        <w:tc>
          <w:tcPr>
            <w:tcW w:w="850" w:type="dxa"/>
            <w:shd w:val="clear" w:color="auto" w:fill="F2F2F2" w:themeFill="background1" w:themeFillShade="F2"/>
            <w:noWrap/>
            <w:vAlign w:val="center"/>
            <w:hideMark/>
          </w:tcPr>
          <w:p w14:paraId="4E024FEC"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784,7</w:t>
            </w:r>
          </w:p>
        </w:tc>
        <w:tc>
          <w:tcPr>
            <w:tcW w:w="922" w:type="dxa"/>
            <w:shd w:val="clear" w:color="auto" w:fill="F2F2F2" w:themeFill="background1" w:themeFillShade="F2"/>
            <w:vAlign w:val="center"/>
            <w:hideMark/>
          </w:tcPr>
          <w:p w14:paraId="49C0F836" w14:textId="03FF851F" w:rsidR="006323ED" w:rsidRPr="00724C36" w:rsidRDefault="006323ED" w:rsidP="00737954">
            <w:pPr>
              <w:spacing w:after="0" w:line="276" w:lineRule="auto"/>
              <w:ind w:right="-57"/>
              <w:jc w:val="right"/>
              <w:rPr>
                <w:rFonts w:cs="Arial"/>
                <w:sz w:val="14"/>
                <w:szCs w:val="14"/>
              </w:rPr>
            </w:pPr>
            <w:r w:rsidRPr="00724C36">
              <w:rPr>
                <w:rFonts w:cs="Arial"/>
                <w:sz w:val="14"/>
                <w:szCs w:val="14"/>
              </w:rPr>
              <w:t>784,7</w:t>
            </w:r>
          </w:p>
        </w:tc>
        <w:tc>
          <w:tcPr>
            <w:tcW w:w="1023" w:type="dxa"/>
            <w:shd w:val="clear" w:color="auto" w:fill="F2F2F2" w:themeFill="background1" w:themeFillShade="F2"/>
            <w:noWrap/>
            <w:vAlign w:val="center"/>
            <w:hideMark/>
          </w:tcPr>
          <w:p w14:paraId="0AFF038A"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2024</w:t>
            </w:r>
          </w:p>
        </w:tc>
        <w:tc>
          <w:tcPr>
            <w:tcW w:w="680" w:type="dxa"/>
            <w:shd w:val="clear" w:color="auto" w:fill="F2F2F2" w:themeFill="background1" w:themeFillShade="F2"/>
            <w:noWrap/>
            <w:vAlign w:val="center"/>
            <w:hideMark/>
          </w:tcPr>
          <w:p w14:paraId="74378964"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119EAD61"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0F6E1305"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0CDC63D0"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7DEDD07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76458E0"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FB260D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09390ACB"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784,7</w:t>
            </w:r>
          </w:p>
        </w:tc>
        <w:tc>
          <w:tcPr>
            <w:tcW w:w="680" w:type="dxa"/>
            <w:shd w:val="clear" w:color="auto" w:fill="F2F2F2" w:themeFill="background1" w:themeFillShade="F2"/>
            <w:noWrap/>
            <w:vAlign w:val="center"/>
            <w:hideMark/>
          </w:tcPr>
          <w:p w14:paraId="6C5FD18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2F71D30" w14:textId="4D638761" w:rsidR="006323ED" w:rsidRPr="00724C36" w:rsidRDefault="006323ED" w:rsidP="00737954">
            <w:pPr>
              <w:spacing w:after="0" w:line="276" w:lineRule="auto"/>
              <w:ind w:right="-41"/>
              <w:jc w:val="right"/>
              <w:rPr>
                <w:rFonts w:cs="Arial"/>
                <w:bCs/>
                <w:color w:val="000000"/>
                <w:sz w:val="14"/>
                <w:szCs w:val="14"/>
              </w:rPr>
            </w:pPr>
          </w:p>
        </w:tc>
      </w:tr>
      <w:tr w:rsidR="006323ED" w:rsidRPr="00121CFC" w14:paraId="12F1826C" w14:textId="77777777" w:rsidTr="00737954">
        <w:trPr>
          <w:cantSplit/>
          <w:trHeight w:val="20"/>
          <w:jc w:val="center"/>
        </w:trPr>
        <w:tc>
          <w:tcPr>
            <w:tcW w:w="1702" w:type="dxa"/>
            <w:shd w:val="clear" w:color="auto" w:fill="auto"/>
            <w:vAlign w:val="center"/>
            <w:hideMark/>
          </w:tcPr>
          <w:p w14:paraId="7FF7D5EA" w14:textId="35FBFCB2" w:rsidR="006323ED" w:rsidRPr="00C175C7" w:rsidRDefault="006323ED" w:rsidP="00737954">
            <w:pPr>
              <w:spacing w:after="0" w:line="276" w:lineRule="auto"/>
              <w:jc w:val="left"/>
              <w:rPr>
                <w:rFonts w:cs="Arial"/>
                <w:bCs/>
                <w:sz w:val="14"/>
                <w:szCs w:val="14"/>
              </w:rPr>
            </w:pPr>
            <w:r w:rsidRPr="00C175C7">
              <w:rPr>
                <w:rFonts w:cs="Arial"/>
                <w:bCs/>
                <w:sz w:val="14"/>
                <w:szCs w:val="14"/>
              </w:rPr>
              <w:t>Ακίνητο Τα</w:t>
            </w:r>
            <w:r w:rsidR="00B044D6">
              <w:rPr>
                <w:rFonts w:cs="Arial"/>
                <w:bCs/>
                <w:sz w:val="14"/>
                <w:szCs w:val="14"/>
              </w:rPr>
              <w:t>ύ</w:t>
            </w:r>
            <w:r w:rsidRPr="00C175C7">
              <w:rPr>
                <w:rFonts w:cs="Arial"/>
                <w:bCs/>
                <w:sz w:val="14"/>
                <w:szCs w:val="14"/>
              </w:rPr>
              <w:t>ρου</w:t>
            </w:r>
          </w:p>
        </w:tc>
        <w:tc>
          <w:tcPr>
            <w:tcW w:w="850" w:type="dxa"/>
            <w:shd w:val="clear" w:color="auto" w:fill="auto"/>
            <w:noWrap/>
            <w:vAlign w:val="center"/>
            <w:hideMark/>
          </w:tcPr>
          <w:p w14:paraId="61D663AC"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0,4</w:t>
            </w:r>
          </w:p>
        </w:tc>
        <w:tc>
          <w:tcPr>
            <w:tcW w:w="922" w:type="dxa"/>
            <w:shd w:val="clear" w:color="auto" w:fill="auto"/>
            <w:vAlign w:val="center"/>
            <w:hideMark/>
          </w:tcPr>
          <w:p w14:paraId="78BAAC73" w14:textId="04684B17" w:rsidR="006323ED" w:rsidRPr="00724C36" w:rsidRDefault="006323ED" w:rsidP="00737954">
            <w:pPr>
              <w:spacing w:after="0" w:line="276" w:lineRule="auto"/>
              <w:ind w:right="-57"/>
              <w:jc w:val="right"/>
              <w:rPr>
                <w:rFonts w:cs="Arial"/>
                <w:sz w:val="14"/>
                <w:szCs w:val="14"/>
              </w:rPr>
            </w:pPr>
            <w:r w:rsidRPr="00724C36">
              <w:rPr>
                <w:rFonts w:cs="Arial"/>
                <w:sz w:val="14"/>
                <w:szCs w:val="14"/>
              </w:rPr>
              <w:t>0,4</w:t>
            </w:r>
          </w:p>
        </w:tc>
        <w:tc>
          <w:tcPr>
            <w:tcW w:w="1023" w:type="dxa"/>
            <w:shd w:val="clear" w:color="auto" w:fill="auto"/>
            <w:noWrap/>
            <w:vAlign w:val="center"/>
            <w:hideMark/>
          </w:tcPr>
          <w:p w14:paraId="2C76B85B"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2024</w:t>
            </w:r>
          </w:p>
        </w:tc>
        <w:tc>
          <w:tcPr>
            <w:tcW w:w="680" w:type="dxa"/>
            <w:shd w:val="clear" w:color="auto" w:fill="auto"/>
            <w:noWrap/>
            <w:vAlign w:val="center"/>
            <w:hideMark/>
          </w:tcPr>
          <w:p w14:paraId="618B4935" w14:textId="77777777" w:rsidR="006323ED" w:rsidRPr="00724C36"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37846167"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6C997C84"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574AB476"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67F9EAE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79B5B087"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A421A9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503BE58"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0,40</w:t>
            </w:r>
          </w:p>
        </w:tc>
        <w:tc>
          <w:tcPr>
            <w:tcW w:w="680" w:type="dxa"/>
            <w:shd w:val="clear" w:color="auto" w:fill="auto"/>
            <w:noWrap/>
            <w:vAlign w:val="center"/>
            <w:hideMark/>
          </w:tcPr>
          <w:p w14:paraId="5BAA107B"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64728B6" w14:textId="7E4D7305" w:rsidR="006323ED" w:rsidRPr="00724C36" w:rsidRDefault="006323ED" w:rsidP="00737954">
            <w:pPr>
              <w:spacing w:after="0" w:line="276" w:lineRule="auto"/>
              <w:ind w:right="-41"/>
              <w:jc w:val="right"/>
              <w:rPr>
                <w:rFonts w:cs="Arial"/>
                <w:bCs/>
                <w:color w:val="000000"/>
                <w:sz w:val="14"/>
                <w:szCs w:val="14"/>
              </w:rPr>
            </w:pPr>
          </w:p>
        </w:tc>
      </w:tr>
      <w:tr w:rsidR="006323ED" w:rsidRPr="00121CFC" w14:paraId="4F91DE9D" w14:textId="77777777" w:rsidTr="00737954">
        <w:trPr>
          <w:cantSplit/>
          <w:trHeight w:val="20"/>
          <w:jc w:val="center"/>
        </w:trPr>
        <w:tc>
          <w:tcPr>
            <w:tcW w:w="1702" w:type="dxa"/>
            <w:shd w:val="clear" w:color="auto" w:fill="F2F2F2" w:themeFill="background1" w:themeFillShade="F2"/>
            <w:vAlign w:val="center"/>
            <w:hideMark/>
          </w:tcPr>
          <w:p w14:paraId="56251478" w14:textId="251A9258" w:rsidR="006323ED" w:rsidRPr="00C175C7" w:rsidRDefault="006323ED" w:rsidP="00737954">
            <w:pPr>
              <w:spacing w:after="0" w:line="276" w:lineRule="auto"/>
              <w:jc w:val="left"/>
              <w:rPr>
                <w:rFonts w:cs="Arial"/>
                <w:bCs/>
                <w:sz w:val="14"/>
                <w:szCs w:val="14"/>
              </w:rPr>
            </w:pPr>
            <w:r w:rsidRPr="00C175C7">
              <w:rPr>
                <w:rFonts w:cs="Arial"/>
                <w:bCs/>
                <w:sz w:val="14"/>
                <w:szCs w:val="14"/>
              </w:rPr>
              <w:t>Ρ</w:t>
            </w:r>
            <w:r w:rsidR="00B044D6">
              <w:rPr>
                <w:rFonts w:cs="Arial"/>
                <w:bCs/>
                <w:sz w:val="14"/>
                <w:szCs w:val="14"/>
              </w:rPr>
              <w:t>ί</w:t>
            </w:r>
            <w:r w:rsidRPr="00C175C7">
              <w:rPr>
                <w:rFonts w:cs="Arial"/>
                <w:bCs/>
                <w:sz w:val="14"/>
                <w:szCs w:val="14"/>
              </w:rPr>
              <w:t>ο Αντί</w:t>
            </w:r>
            <w:r w:rsidR="00B044D6">
              <w:rPr>
                <w:rFonts w:cs="Arial"/>
                <w:bCs/>
                <w:sz w:val="14"/>
                <w:szCs w:val="14"/>
              </w:rPr>
              <w:t>ρ</w:t>
            </w:r>
            <w:r w:rsidRPr="00C175C7">
              <w:rPr>
                <w:rFonts w:cs="Arial"/>
                <w:bCs/>
                <w:sz w:val="14"/>
                <w:szCs w:val="14"/>
              </w:rPr>
              <w:t>ριο</w:t>
            </w:r>
          </w:p>
        </w:tc>
        <w:tc>
          <w:tcPr>
            <w:tcW w:w="850" w:type="dxa"/>
            <w:shd w:val="clear" w:color="auto" w:fill="F2F2F2" w:themeFill="background1" w:themeFillShade="F2"/>
            <w:noWrap/>
            <w:vAlign w:val="center"/>
            <w:hideMark/>
          </w:tcPr>
          <w:p w14:paraId="678F1203"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2,9</w:t>
            </w:r>
          </w:p>
        </w:tc>
        <w:tc>
          <w:tcPr>
            <w:tcW w:w="922" w:type="dxa"/>
            <w:shd w:val="clear" w:color="auto" w:fill="F2F2F2" w:themeFill="background1" w:themeFillShade="F2"/>
            <w:vAlign w:val="center"/>
            <w:hideMark/>
          </w:tcPr>
          <w:p w14:paraId="76B2F5CC" w14:textId="3FF24F3E" w:rsidR="006323ED" w:rsidRPr="00724C36" w:rsidRDefault="006323ED" w:rsidP="00737954">
            <w:pPr>
              <w:spacing w:after="0" w:line="276" w:lineRule="auto"/>
              <w:ind w:right="-57"/>
              <w:jc w:val="right"/>
              <w:rPr>
                <w:rFonts w:cs="Arial"/>
                <w:sz w:val="14"/>
                <w:szCs w:val="14"/>
              </w:rPr>
            </w:pPr>
            <w:r w:rsidRPr="00724C36">
              <w:rPr>
                <w:rFonts w:cs="Arial"/>
                <w:sz w:val="14"/>
                <w:szCs w:val="14"/>
              </w:rPr>
              <w:t>2,9</w:t>
            </w:r>
          </w:p>
        </w:tc>
        <w:tc>
          <w:tcPr>
            <w:tcW w:w="1023" w:type="dxa"/>
            <w:shd w:val="clear" w:color="auto" w:fill="F2F2F2" w:themeFill="background1" w:themeFillShade="F2"/>
            <w:noWrap/>
            <w:vAlign w:val="center"/>
            <w:hideMark/>
          </w:tcPr>
          <w:p w14:paraId="4A8C84DA"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2024</w:t>
            </w:r>
          </w:p>
        </w:tc>
        <w:tc>
          <w:tcPr>
            <w:tcW w:w="680" w:type="dxa"/>
            <w:shd w:val="clear" w:color="auto" w:fill="F2F2F2" w:themeFill="background1" w:themeFillShade="F2"/>
            <w:noWrap/>
            <w:vAlign w:val="center"/>
            <w:hideMark/>
          </w:tcPr>
          <w:p w14:paraId="0BD16ED9"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7C963187"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28F6F8D0"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25B40547"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063B33B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283C7CF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3926552"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245DBF9"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2,9</w:t>
            </w:r>
          </w:p>
        </w:tc>
        <w:tc>
          <w:tcPr>
            <w:tcW w:w="680" w:type="dxa"/>
            <w:shd w:val="clear" w:color="auto" w:fill="F2F2F2" w:themeFill="background1" w:themeFillShade="F2"/>
            <w:noWrap/>
            <w:vAlign w:val="center"/>
            <w:hideMark/>
          </w:tcPr>
          <w:p w14:paraId="1D14A97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CB6E592" w14:textId="7C427E66" w:rsidR="006323ED" w:rsidRPr="00724C36" w:rsidRDefault="006323ED" w:rsidP="00737954">
            <w:pPr>
              <w:spacing w:after="0" w:line="276" w:lineRule="auto"/>
              <w:ind w:right="-41"/>
              <w:jc w:val="right"/>
              <w:rPr>
                <w:rFonts w:cs="Arial"/>
                <w:bCs/>
                <w:color w:val="000000"/>
                <w:sz w:val="14"/>
                <w:szCs w:val="14"/>
              </w:rPr>
            </w:pPr>
          </w:p>
        </w:tc>
      </w:tr>
      <w:tr w:rsidR="006323ED" w:rsidRPr="00121CFC" w14:paraId="7A341434" w14:textId="77777777" w:rsidTr="00737954">
        <w:trPr>
          <w:cantSplit/>
          <w:trHeight w:val="20"/>
          <w:jc w:val="center"/>
        </w:trPr>
        <w:tc>
          <w:tcPr>
            <w:tcW w:w="1702" w:type="dxa"/>
            <w:shd w:val="clear" w:color="auto" w:fill="auto"/>
            <w:vAlign w:val="center"/>
            <w:hideMark/>
          </w:tcPr>
          <w:p w14:paraId="2A161F4D"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MEGA YAGHT KERKYRA</w:t>
            </w:r>
          </w:p>
        </w:tc>
        <w:tc>
          <w:tcPr>
            <w:tcW w:w="850" w:type="dxa"/>
            <w:shd w:val="clear" w:color="auto" w:fill="auto"/>
            <w:noWrap/>
            <w:vAlign w:val="center"/>
            <w:hideMark/>
          </w:tcPr>
          <w:p w14:paraId="2DBBA6E3"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9,7</w:t>
            </w:r>
          </w:p>
        </w:tc>
        <w:tc>
          <w:tcPr>
            <w:tcW w:w="922" w:type="dxa"/>
            <w:shd w:val="clear" w:color="auto" w:fill="auto"/>
            <w:vAlign w:val="center"/>
            <w:hideMark/>
          </w:tcPr>
          <w:p w14:paraId="12FE2B1C" w14:textId="4319FE99" w:rsidR="006323ED" w:rsidRPr="00724C36" w:rsidRDefault="006323ED" w:rsidP="00737954">
            <w:pPr>
              <w:spacing w:after="0" w:line="276" w:lineRule="auto"/>
              <w:ind w:right="-57"/>
              <w:jc w:val="right"/>
              <w:rPr>
                <w:rFonts w:cs="Arial"/>
                <w:sz w:val="14"/>
                <w:szCs w:val="14"/>
              </w:rPr>
            </w:pPr>
            <w:r w:rsidRPr="00724C36">
              <w:rPr>
                <w:rFonts w:cs="Arial"/>
                <w:sz w:val="14"/>
                <w:szCs w:val="14"/>
              </w:rPr>
              <w:t>9,7</w:t>
            </w:r>
          </w:p>
        </w:tc>
        <w:tc>
          <w:tcPr>
            <w:tcW w:w="1023" w:type="dxa"/>
            <w:shd w:val="clear" w:color="auto" w:fill="auto"/>
            <w:noWrap/>
            <w:vAlign w:val="center"/>
            <w:hideMark/>
          </w:tcPr>
          <w:p w14:paraId="3BC88014" w14:textId="1732C681" w:rsidR="006323ED" w:rsidRPr="00724C36" w:rsidRDefault="006323ED" w:rsidP="00737954">
            <w:pPr>
              <w:spacing w:after="0" w:line="276" w:lineRule="auto"/>
              <w:jc w:val="center"/>
              <w:rPr>
                <w:rFonts w:cs="Arial"/>
                <w:sz w:val="14"/>
                <w:szCs w:val="14"/>
              </w:rPr>
            </w:pPr>
            <w:r w:rsidRPr="00724C36">
              <w:rPr>
                <w:rFonts w:cs="Arial"/>
                <w:sz w:val="14"/>
                <w:szCs w:val="14"/>
              </w:rPr>
              <w:t>202</w:t>
            </w:r>
            <w:r w:rsidR="008A08E4">
              <w:rPr>
                <w:rFonts w:cs="Arial"/>
                <w:sz w:val="14"/>
                <w:szCs w:val="14"/>
              </w:rPr>
              <w:t>6</w:t>
            </w:r>
          </w:p>
        </w:tc>
        <w:tc>
          <w:tcPr>
            <w:tcW w:w="680" w:type="dxa"/>
            <w:shd w:val="clear" w:color="auto" w:fill="auto"/>
            <w:noWrap/>
            <w:vAlign w:val="center"/>
            <w:hideMark/>
          </w:tcPr>
          <w:p w14:paraId="15E64DDE" w14:textId="77777777" w:rsidR="006323ED" w:rsidRPr="00724C36"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3F4605E1"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7C5C6678"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7FD412B5"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05DEB98C"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C80D2D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525C85F"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584897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899EFA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48C6CBA"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9,70</w:t>
            </w:r>
          </w:p>
        </w:tc>
      </w:tr>
      <w:tr w:rsidR="006323ED" w:rsidRPr="00121CFC" w14:paraId="2F65EF6E" w14:textId="77777777" w:rsidTr="00737954">
        <w:trPr>
          <w:cantSplit/>
          <w:trHeight w:val="20"/>
          <w:jc w:val="center"/>
        </w:trPr>
        <w:tc>
          <w:tcPr>
            <w:tcW w:w="1702" w:type="dxa"/>
            <w:shd w:val="clear" w:color="auto" w:fill="F2F2F2" w:themeFill="background1" w:themeFillShade="F2"/>
            <w:vAlign w:val="center"/>
            <w:hideMark/>
          </w:tcPr>
          <w:p w14:paraId="3AF7F9AA"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(10 ΟΛ) Οργανισμός Λιμένος Καβάλας</w:t>
            </w:r>
          </w:p>
        </w:tc>
        <w:tc>
          <w:tcPr>
            <w:tcW w:w="850" w:type="dxa"/>
            <w:shd w:val="clear" w:color="auto" w:fill="F2F2F2" w:themeFill="background1" w:themeFillShade="F2"/>
            <w:noWrap/>
            <w:vAlign w:val="center"/>
            <w:hideMark/>
          </w:tcPr>
          <w:p w14:paraId="5631C274"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2,2</w:t>
            </w:r>
          </w:p>
        </w:tc>
        <w:tc>
          <w:tcPr>
            <w:tcW w:w="922" w:type="dxa"/>
            <w:shd w:val="clear" w:color="auto" w:fill="F2F2F2" w:themeFill="background1" w:themeFillShade="F2"/>
            <w:vAlign w:val="center"/>
            <w:hideMark/>
          </w:tcPr>
          <w:p w14:paraId="4DFDB1DC" w14:textId="2A9462E3" w:rsidR="006323ED" w:rsidRPr="00724C36" w:rsidRDefault="006323ED" w:rsidP="00737954">
            <w:pPr>
              <w:spacing w:after="0" w:line="276" w:lineRule="auto"/>
              <w:ind w:right="-57"/>
              <w:jc w:val="right"/>
              <w:rPr>
                <w:rFonts w:cs="Arial"/>
                <w:sz w:val="14"/>
                <w:szCs w:val="14"/>
              </w:rPr>
            </w:pPr>
            <w:r w:rsidRPr="00724C36">
              <w:rPr>
                <w:rFonts w:cs="Arial"/>
                <w:sz w:val="14"/>
                <w:szCs w:val="14"/>
              </w:rPr>
              <w:t>2,2</w:t>
            </w:r>
          </w:p>
        </w:tc>
        <w:tc>
          <w:tcPr>
            <w:tcW w:w="1023" w:type="dxa"/>
            <w:shd w:val="clear" w:color="auto" w:fill="F2F2F2" w:themeFill="background1" w:themeFillShade="F2"/>
            <w:noWrap/>
            <w:vAlign w:val="center"/>
            <w:hideMark/>
          </w:tcPr>
          <w:p w14:paraId="189D16F9"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shd w:val="clear" w:color="auto" w:fill="F2F2F2" w:themeFill="background1" w:themeFillShade="F2"/>
            <w:noWrap/>
            <w:vAlign w:val="center"/>
            <w:hideMark/>
          </w:tcPr>
          <w:p w14:paraId="5D86FDF6"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1EC9A65A"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38FF9852"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40836286"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0B677544"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1B0A693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973A065"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63DD4A1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3B701086"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2,2</w:t>
            </w:r>
          </w:p>
        </w:tc>
        <w:tc>
          <w:tcPr>
            <w:tcW w:w="680" w:type="dxa"/>
            <w:shd w:val="clear" w:color="auto" w:fill="F2F2F2" w:themeFill="background1" w:themeFillShade="F2"/>
            <w:noWrap/>
            <w:vAlign w:val="center"/>
            <w:hideMark/>
          </w:tcPr>
          <w:p w14:paraId="5536B90C" w14:textId="1DF80B5D" w:rsidR="006323ED" w:rsidRPr="00724C36" w:rsidRDefault="006323ED" w:rsidP="00737954">
            <w:pPr>
              <w:spacing w:after="0" w:line="276" w:lineRule="auto"/>
              <w:ind w:right="-41"/>
              <w:jc w:val="right"/>
              <w:rPr>
                <w:rFonts w:cs="Arial"/>
                <w:bCs/>
                <w:color w:val="000000"/>
                <w:sz w:val="14"/>
                <w:szCs w:val="14"/>
              </w:rPr>
            </w:pPr>
          </w:p>
        </w:tc>
      </w:tr>
      <w:tr w:rsidR="006323ED" w:rsidRPr="00121CFC" w14:paraId="2CE50F6A" w14:textId="77777777" w:rsidTr="00737954">
        <w:trPr>
          <w:cantSplit/>
          <w:trHeight w:val="20"/>
          <w:jc w:val="center"/>
        </w:trPr>
        <w:tc>
          <w:tcPr>
            <w:tcW w:w="1702" w:type="dxa"/>
            <w:shd w:val="clear" w:color="auto" w:fill="auto"/>
            <w:vAlign w:val="center"/>
            <w:hideMark/>
          </w:tcPr>
          <w:p w14:paraId="749F2247"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PYLOS</w:t>
            </w:r>
          </w:p>
        </w:tc>
        <w:tc>
          <w:tcPr>
            <w:tcW w:w="850" w:type="dxa"/>
            <w:shd w:val="clear" w:color="auto" w:fill="auto"/>
            <w:noWrap/>
            <w:vAlign w:val="center"/>
            <w:hideMark/>
          </w:tcPr>
          <w:p w14:paraId="17F2FD66"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1,5</w:t>
            </w:r>
          </w:p>
        </w:tc>
        <w:tc>
          <w:tcPr>
            <w:tcW w:w="922" w:type="dxa"/>
            <w:shd w:val="clear" w:color="auto" w:fill="auto"/>
            <w:vAlign w:val="center"/>
            <w:hideMark/>
          </w:tcPr>
          <w:p w14:paraId="5FEFF26B" w14:textId="082AA2CE" w:rsidR="006323ED" w:rsidRPr="00724C36" w:rsidRDefault="006323ED" w:rsidP="00737954">
            <w:pPr>
              <w:spacing w:after="0" w:line="276" w:lineRule="auto"/>
              <w:ind w:right="-57"/>
              <w:jc w:val="right"/>
              <w:rPr>
                <w:rFonts w:cs="Arial"/>
                <w:sz w:val="14"/>
                <w:szCs w:val="14"/>
              </w:rPr>
            </w:pPr>
            <w:r w:rsidRPr="00724C36">
              <w:rPr>
                <w:rFonts w:cs="Arial"/>
                <w:sz w:val="14"/>
                <w:szCs w:val="14"/>
              </w:rPr>
              <w:t>1,5</w:t>
            </w:r>
          </w:p>
        </w:tc>
        <w:tc>
          <w:tcPr>
            <w:tcW w:w="1023" w:type="dxa"/>
            <w:shd w:val="clear" w:color="auto" w:fill="auto"/>
            <w:noWrap/>
            <w:vAlign w:val="center"/>
            <w:hideMark/>
          </w:tcPr>
          <w:p w14:paraId="1333CDD6"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shd w:val="clear" w:color="auto" w:fill="auto"/>
            <w:noWrap/>
            <w:vAlign w:val="center"/>
            <w:hideMark/>
          </w:tcPr>
          <w:p w14:paraId="456C51D9" w14:textId="77777777" w:rsidR="006323ED" w:rsidRPr="00724C36"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678CDA21"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21991E33"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0A2847D3"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46580D18"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AFB285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047442E"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90F89DA"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42854AD"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1,50</w:t>
            </w:r>
          </w:p>
        </w:tc>
        <w:tc>
          <w:tcPr>
            <w:tcW w:w="680" w:type="dxa"/>
            <w:shd w:val="clear" w:color="auto" w:fill="auto"/>
            <w:noWrap/>
            <w:vAlign w:val="center"/>
            <w:hideMark/>
          </w:tcPr>
          <w:p w14:paraId="5A453A93" w14:textId="4FD8AF73" w:rsidR="006323ED" w:rsidRPr="00724C36" w:rsidRDefault="006323ED" w:rsidP="00737954">
            <w:pPr>
              <w:spacing w:after="0" w:line="276" w:lineRule="auto"/>
              <w:ind w:right="-41"/>
              <w:jc w:val="right"/>
              <w:rPr>
                <w:rFonts w:cs="Arial"/>
                <w:bCs/>
                <w:color w:val="000000"/>
                <w:sz w:val="14"/>
                <w:szCs w:val="14"/>
              </w:rPr>
            </w:pPr>
          </w:p>
        </w:tc>
      </w:tr>
      <w:tr w:rsidR="006323ED" w:rsidRPr="00121CFC" w14:paraId="10232A76" w14:textId="77777777" w:rsidTr="00737954">
        <w:trPr>
          <w:cantSplit/>
          <w:trHeight w:val="20"/>
          <w:jc w:val="center"/>
        </w:trPr>
        <w:tc>
          <w:tcPr>
            <w:tcW w:w="1702" w:type="dxa"/>
            <w:shd w:val="clear" w:color="auto" w:fill="F2F2F2" w:themeFill="background1" w:themeFillShade="F2"/>
            <w:vAlign w:val="center"/>
            <w:hideMark/>
          </w:tcPr>
          <w:p w14:paraId="6A8D3291"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t>Μαρίνα Αργοστολίου</w:t>
            </w:r>
          </w:p>
        </w:tc>
        <w:tc>
          <w:tcPr>
            <w:tcW w:w="850" w:type="dxa"/>
            <w:shd w:val="clear" w:color="auto" w:fill="F2F2F2" w:themeFill="background1" w:themeFillShade="F2"/>
            <w:noWrap/>
            <w:vAlign w:val="center"/>
            <w:hideMark/>
          </w:tcPr>
          <w:p w14:paraId="45D9D571"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1,5</w:t>
            </w:r>
          </w:p>
        </w:tc>
        <w:tc>
          <w:tcPr>
            <w:tcW w:w="922" w:type="dxa"/>
            <w:shd w:val="clear" w:color="auto" w:fill="F2F2F2" w:themeFill="background1" w:themeFillShade="F2"/>
            <w:vAlign w:val="center"/>
            <w:hideMark/>
          </w:tcPr>
          <w:p w14:paraId="50DE380D" w14:textId="345B3756" w:rsidR="006323ED" w:rsidRPr="00724C36" w:rsidRDefault="006323ED" w:rsidP="00737954">
            <w:pPr>
              <w:spacing w:after="0" w:line="276" w:lineRule="auto"/>
              <w:ind w:right="-57"/>
              <w:jc w:val="right"/>
              <w:rPr>
                <w:rFonts w:cs="Arial"/>
                <w:sz w:val="14"/>
                <w:szCs w:val="14"/>
              </w:rPr>
            </w:pPr>
            <w:r w:rsidRPr="00724C36">
              <w:rPr>
                <w:rFonts w:cs="Arial"/>
                <w:sz w:val="14"/>
                <w:szCs w:val="14"/>
              </w:rPr>
              <w:t>2,4</w:t>
            </w:r>
          </w:p>
        </w:tc>
        <w:tc>
          <w:tcPr>
            <w:tcW w:w="1023" w:type="dxa"/>
            <w:shd w:val="clear" w:color="auto" w:fill="F2F2F2" w:themeFill="background1" w:themeFillShade="F2"/>
            <w:noWrap/>
            <w:vAlign w:val="center"/>
            <w:hideMark/>
          </w:tcPr>
          <w:p w14:paraId="7819290E"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shd w:val="clear" w:color="auto" w:fill="F2F2F2" w:themeFill="background1" w:themeFillShade="F2"/>
            <w:noWrap/>
            <w:vAlign w:val="center"/>
            <w:hideMark/>
          </w:tcPr>
          <w:p w14:paraId="7848F239"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21816387"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7BD3FE64"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0ED3460E"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5A334726"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7C3D624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9EF5591"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4DB2828D" w14:textId="77777777" w:rsidR="006323ED" w:rsidRPr="00724C36" w:rsidRDefault="006323ED" w:rsidP="00737954">
            <w:pPr>
              <w:spacing w:after="0" w:line="276" w:lineRule="auto"/>
              <w:ind w:right="-41"/>
              <w:jc w:val="right"/>
              <w:rPr>
                <w:rFonts w:cs="Arial"/>
                <w:bCs/>
                <w:color w:val="000000"/>
                <w:sz w:val="14"/>
                <w:szCs w:val="14"/>
              </w:rPr>
            </w:pPr>
          </w:p>
        </w:tc>
        <w:tc>
          <w:tcPr>
            <w:tcW w:w="680" w:type="dxa"/>
            <w:shd w:val="clear" w:color="auto" w:fill="F2F2F2" w:themeFill="background1" w:themeFillShade="F2"/>
            <w:noWrap/>
            <w:vAlign w:val="center"/>
            <w:hideMark/>
          </w:tcPr>
          <w:p w14:paraId="5447441F"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2,40</w:t>
            </w:r>
          </w:p>
        </w:tc>
        <w:tc>
          <w:tcPr>
            <w:tcW w:w="680" w:type="dxa"/>
            <w:shd w:val="clear" w:color="auto" w:fill="F2F2F2" w:themeFill="background1" w:themeFillShade="F2"/>
            <w:noWrap/>
            <w:vAlign w:val="center"/>
            <w:hideMark/>
          </w:tcPr>
          <w:p w14:paraId="4D0D3E7D" w14:textId="46CF9F40" w:rsidR="006323ED" w:rsidRPr="00724C36" w:rsidRDefault="006323ED" w:rsidP="00737954">
            <w:pPr>
              <w:spacing w:after="0" w:line="276" w:lineRule="auto"/>
              <w:ind w:right="-41"/>
              <w:jc w:val="right"/>
              <w:rPr>
                <w:rFonts w:cs="Arial"/>
                <w:bCs/>
                <w:color w:val="000000"/>
                <w:sz w:val="14"/>
                <w:szCs w:val="14"/>
              </w:rPr>
            </w:pPr>
          </w:p>
        </w:tc>
      </w:tr>
      <w:tr w:rsidR="006323ED" w:rsidRPr="00121CFC" w14:paraId="78ED37A3" w14:textId="77777777" w:rsidTr="00737954">
        <w:trPr>
          <w:cantSplit/>
          <w:trHeight w:val="20"/>
          <w:jc w:val="center"/>
        </w:trPr>
        <w:tc>
          <w:tcPr>
            <w:tcW w:w="1702" w:type="dxa"/>
            <w:shd w:val="clear" w:color="auto" w:fill="auto"/>
            <w:vAlign w:val="center"/>
            <w:hideMark/>
          </w:tcPr>
          <w:p w14:paraId="3020BDAC" w14:textId="6135DE4A" w:rsidR="006323ED" w:rsidRPr="00C175C7" w:rsidRDefault="006323ED" w:rsidP="00737954">
            <w:pPr>
              <w:spacing w:after="0" w:line="276" w:lineRule="auto"/>
              <w:jc w:val="left"/>
              <w:rPr>
                <w:rFonts w:cs="Arial"/>
                <w:bCs/>
                <w:sz w:val="14"/>
                <w:szCs w:val="14"/>
              </w:rPr>
            </w:pPr>
            <w:r w:rsidRPr="00C175C7">
              <w:rPr>
                <w:rFonts w:cs="Arial"/>
                <w:bCs/>
                <w:sz w:val="14"/>
                <w:szCs w:val="14"/>
              </w:rPr>
              <w:t>Πηγές Καμ</w:t>
            </w:r>
            <w:r w:rsidR="00B044D6">
              <w:rPr>
                <w:rFonts w:cs="Arial"/>
                <w:bCs/>
                <w:sz w:val="14"/>
                <w:szCs w:val="14"/>
              </w:rPr>
              <w:t>έ</w:t>
            </w:r>
            <w:r w:rsidRPr="00C175C7">
              <w:rPr>
                <w:rFonts w:cs="Arial"/>
                <w:bCs/>
                <w:sz w:val="14"/>
                <w:szCs w:val="14"/>
              </w:rPr>
              <w:t>να Βούρλα</w:t>
            </w:r>
          </w:p>
        </w:tc>
        <w:tc>
          <w:tcPr>
            <w:tcW w:w="850" w:type="dxa"/>
            <w:shd w:val="clear" w:color="auto" w:fill="auto"/>
            <w:noWrap/>
            <w:vAlign w:val="center"/>
            <w:hideMark/>
          </w:tcPr>
          <w:p w14:paraId="731929ED"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8,3</w:t>
            </w:r>
          </w:p>
        </w:tc>
        <w:tc>
          <w:tcPr>
            <w:tcW w:w="922" w:type="dxa"/>
            <w:shd w:val="clear" w:color="auto" w:fill="auto"/>
            <w:vAlign w:val="center"/>
            <w:hideMark/>
          </w:tcPr>
          <w:p w14:paraId="276A5D03" w14:textId="40F8D794" w:rsidR="006323ED" w:rsidRPr="00724C36" w:rsidRDefault="006323ED" w:rsidP="00737954">
            <w:pPr>
              <w:spacing w:after="0" w:line="276" w:lineRule="auto"/>
              <w:ind w:right="-57"/>
              <w:jc w:val="right"/>
              <w:rPr>
                <w:rFonts w:cs="Arial"/>
                <w:sz w:val="14"/>
                <w:szCs w:val="14"/>
              </w:rPr>
            </w:pPr>
            <w:r w:rsidRPr="00724C36">
              <w:rPr>
                <w:rFonts w:cs="Arial"/>
                <w:sz w:val="14"/>
                <w:szCs w:val="14"/>
              </w:rPr>
              <w:t>6,3</w:t>
            </w:r>
          </w:p>
        </w:tc>
        <w:tc>
          <w:tcPr>
            <w:tcW w:w="1023" w:type="dxa"/>
            <w:shd w:val="clear" w:color="auto" w:fill="auto"/>
            <w:noWrap/>
            <w:vAlign w:val="center"/>
            <w:hideMark/>
          </w:tcPr>
          <w:p w14:paraId="367F15EE"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shd w:val="clear" w:color="auto" w:fill="auto"/>
            <w:noWrap/>
            <w:vAlign w:val="center"/>
            <w:hideMark/>
          </w:tcPr>
          <w:p w14:paraId="44791D22" w14:textId="77777777" w:rsidR="006323ED" w:rsidRPr="00724C36"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755F7ABD"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6AF4993F"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44A7F801"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7AE20A6A"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4CB66C5C"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0D67D5F9"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63886F0C"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0419050B"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4,30</w:t>
            </w:r>
          </w:p>
        </w:tc>
        <w:tc>
          <w:tcPr>
            <w:tcW w:w="680" w:type="dxa"/>
            <w:shd w:val="clear" w:color="auto" w:fill="auto"/>
            <w:noWrap/>
            <w:vAlign w:val="center"/>
            <w:hideMark/>
          </w:tcPr>
          <w:p w14:paraId="4EE316C4"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2,00</w:t>
            </w:r>
          </w:p>
        </w:tc>
      </w:tr>
      <w:tr w:rsidR="006323ED" w:rsidRPr="00121CFC" w14:paraId="6A87845F" w14:textId="77777777" w:rsidTr="00737954">
        <w:trPr>
          <w:cantSplit/>
          <w:trHeight w:val="20"/>
          <w:jc w:val="center"/>
        </w:trPr>
        <w:tc>
          <w:tcPr>
            <w:tcW w:w="1702" w:type="dxa"/>
            <w:shd w:val="clear" w:color="auto" w:fill="F2F2F2" w:themeFill="background1" w:themeFillShade="F2"/>
            <w:vAlign w:val="center"/>
            <w:hideMark/>
          </w:tcPr>
          <w:p w14:paraId="3F7C71A2" w14:textId="77777777" w:rsidR="006323ED" w:rsidRPr="00C175C7" w:rsidRDefault="006323ED" w:rsidP="00737954">
            <w:pPr>
              <w:spacing w:after="0" w:line="276" w:lineRule="auto"/>
              <w:jc w:val="left"/>
              <w:rPr>
                <w:rFonts w:cs="Arial"/>
                <w:bCs/>
                <w:sz w:val="14"/>
                <w:szCs w:val="14"/>
              </w:rPr>
            </w:pPr>
            <w:r w:rsidRPr="00C175C7">
              <w:rPr>
                <w:rFonts w:cs="Arial"/>
                <w:bCs/>
                <w:sz w:val="14"/>
                <w:szCs w:val="14"/>
              </w:rPr>
              <w:lastRenderedPageBreak/>
              <w:t>Ακτή και Camping Αγίας Τριάδας</w:t>
            </w:r>
          </w:p>
        </w:tc>
        <w:tc>
          <w:tcPr>
            <w:tcW w:w="850" w:type="dxa"/>
            <w:shd w:val="clear" w:color="auto" w:fill="F2F2F2" w:themeFill="background1" w:themeFillShade="F2"/>
            <w:noWrap/>
            <w:vAlign w:val="center"/>
            <w:hideMark/>
          </w:tcPr>
          <w:p w14:paraId="242032CA"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19,5</w:t>
            </w:r>
          </w:p>
        </w:tc>
        <w:tc>
          <w:tcPr>
            <w:tcW w:w="922" w:type="dxa"/>
            <w:shd w:val="clear" w:color="auto" w:fill="F2F2F2" w:themeFill="background1" w:themeFillShade="F2"/>
            <w:vAlign w:val="center"/>
            <w:hideMark/>
          </w:tcPr>
          <w:p w14:paraId="0249282F" w14:textId="4C3A2F08" w:rsidR="006323ED" w:rsidRPr="00724C36" w:rsidRDefault="006323ED" w:rsidP="00737954">
            <w:pPr>
              <w:spacing w:after="0" w:line="276" w:lineRule="auto"/>
              <w:ind w:right="-57"/>
              <w:jc w:val="right"/>
              <w:rPr>
                <w:rFonts w:cs="Arial"/>
                <w:sz w:val="14"/>
                <w:szCs w:val="14"/>
              </w:rPr>
            </w:pPr>
            <w:r w:rsidRPr="00724C36">
              <w:rPr>
                <w:rFonts w:cs="Arial"/>
                <w:sz w:val="14"/>
                <w:szCs w:val="14"/>
              </w:rPr>
              <w:t>19,5</w:t>
            </w:r>
          </w:p>
        </w:tc>
        <w:tc>
          <w:tcPr>
            <w:tcW w:w="1023" w:type="dxa"/>
            <w:shd w:val="clear" w:color="auto" w:fill="F2F2F2" w:themeFill="background1" w:themeFillShade="F2"/>
            <w:noWrap/>
            <w:vAlign w:val="center"/>
            <w:hideMark/>
          </w:tcPr>
          <w:p w14:paraId="4B973A69"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shd w:val="clear" w:color="auto" w:fill="F2F2F2" w:themeFill="background1" w:themeFillShade="F2"/>
            <w:noWrap/>
            <w:vAlign w:val="center"/>
            <w:hideMark/>
          </w:tcPr>
          <w:p w14:paraId="03A8B5DA" w14:textId="77777777" w:rsidR="006323ED" w:rsidRPr="00724C36" w:rsidRDefault="006323ED" w:rsidP="00737954">
            <w:pPr>
              <w:spacing w:after="0" w:line="276" w:lineRule="auto"/>
              <w:jc w:val="right"/>
              <w:rPr>
                <w:rFonts w:cs="Arial"/>
                <w:sz w:val="14"/>
                <w:szCs w:val="14"/>
              </w:rPr>
            </w:pPr>
          </w:p>
        </w:tc>
        <w:tc>
          <w:tcPr>
            <w:tcW w:w="680" w:type="dxa"/>
            <w:shd w:val="clear" w:color="auto" w:fill="F2F2F2" w:themeFill="background1" w:themeFillShade="F2"/>
            <w:noWrap/>
            <w:vAlign w:val="center"/>
            <w:hideMark/>
          </w:tcPr>
          <w:p w14:paraId="7A551F4B"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2E9E7BCE" w14:textId="77777777" w:rsidR="006323ED" w:rsidRPr="00724C36" w:rsidRDefault="006323ED" w:rsidP="00737954">
            <w:pPr>
              <w:spacing w:after="0" w:line="276" w:lineRule="auto"/>
              <w:ind w:left="-153" w:right="-93"/>
              <w:jc w:val="right"/>
              <w:rPr>
                <w:rFonts w:ascii="Times New Roman" w:hAnsi="Times New Roman"/>
                <w:sz w:val="14"/>
                <w:szCs w:val="14"/>
              </w:rPr>
            </w:pPr>
          </w:p>
        </w:tc>
        <w:tc>
          <w:tcPr>
            <w:tcW w:w="680" w:type="dxa"/>
            <w:shd w:val="clear" w:color="auto" w:fill="F2F2F2" w:themeFill="background1" w:themeFillShade="F2"/>
            <w:noWrap/>
            <w:vAlign w:val="center"/>
            <w:hideMark/>
          </w:tcPr>
          <w:p w14:paraId="1100558C"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54DE88D1"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7833932A"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6DA198E8"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6B73F6C9"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F2F2F2" w:themeFill="background1" w:themeFillShade="F2"/>
            <w:noWrap/>
            <w:vAlign w:val="center"/>
            <w:hideMark/>
          </w:tcPr>
          <w:p w14:paraId="5ACF7C9F"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19,5</w:t>
            </w:r>
          </w:p>
        </w:tc>
        <w:tc>
          <w:tcPr>
            <w:tcW w:w="680" w:type="dxa"/>
            <w:shd w:val="clear" w:color="auto" w:fill="F2F2F2" w:themeFill="background1" w:themeFillShade="F2"/>
            <w:noWrap/>
            <w:vAlign w:val="center"/>
            <w:hideMark/>
          </w:tcPr>
          <w:p w14:paraId="64ECC67D" w14:textId="261D373D" w:rsidR="006323ED" w:rsidRPr="00724C36" w:rsidRDefault="006323ED" w:rsidP="00737954">
            <w:pPr>
              <w:spacing w:after="0" w:line="276" w:lineRule="auto"/>
              <w:ind w:right="-41"/>
              <w:jc w:val="right"/>
              <w:rPr>
                <w:rFonts w:cs="Arial"/>
                <w:bCs/>
                <w:color w:val="000000"/>
                <w:sz w:val="14"/>
                <w:szCs w:val="14"/>
              </w:rPr>
            </w:pPr>
          </w:p>
        </w:tc>
      </w:tr>
      <w:tr w:rsidR="006323ED" w:rsidRPr="00121CFC" w14:paraId="20575B80" w14:textId="77777777" w:rsidTr="00737954">
        <w:trPr>
          <w:cantSplit/>
          <w:trHeight w:val="20"/>
          <w:jc w:val="center"/>
        </w:trPr>
        <w:tc>
          <w:tcPr>
            <w:tcW w:w="1702" w:type="dxa"/>
            <w:shd w:val="clear" w:color="auto" w:fill="auto"/>
            <w:vAlign w:val="center"/>
            <w:hideMark/>
          </w:tcPr>
          <w:p w14:paraId="6BEE1DFB" w14:textId="60245003" w:rsidR="006323ED" w:rsidRPr="00C175C7" w:rsidRDefault="006323ED" w:rsidP="00737954">
            <w:pPr>
              <w:spacing w:after="0" w:line="276" w:lineRule="auto"/>
              <w:jc w:val="left"/>
              <w:rPr>
                <w:rFonts w:cs="Arial"/>
                <w:bCs/>
                <w:sz w:val="14"/>
                <w:szCs w:val="14"/>
              </w:rPr>
            </w:pPr>
            <w:r w:rsidRPr="00C175C7">
              <w:rPr>
                <w:rFonts w:cs="Arial"/>
                <w:bCs/>
                <w:sz w:val="14"/>
                <w:szCs w:val="14"/>
              </w:rPr>
              <w:t>Camping Καμένα Βούρλα</w:t>
            </w:r>
          </w:p>
        </w:tc>
        <w:tc>
          <w:tcPr>
            <w:tcW w:w="850" w:type="dxa"/>
            <w:shd w:val="clear" w:color="auto" w:fill="auto"/>
            <w:noWrap/>
            <w:vAlign w:val="center"/>
            <w:hideMark/>
          </w:tcPr>
          <w:p w14:paraId="29010E7C" w14:textId="77777777" w:rsidR="006323ED" w:rsidRPr="00BA453D" w:rsidRDefault="006323ED" w:rsidP="00737954">
            <w:pPr>
              <w:spacing w:after="0" w:line="276" w:lineRule="auto"/>
              <w:ind w:right="-57"/>
              <w:jc w:val="right"/>
              <w:rPr>
                <w:rFonts w:cs="Arial"/>
                <w:sz w:val="14"/>
                <w:szCs w:val="14"/>
              </w:rPr>
            </w:pPr>
            <w:r w:rsidRPr="00BA453D">
              <w:rPr>
                <w:rFonts w:cs="Arial"/>
                <w:sz w:val="14"/>
                <w:szCs w:val="14"/>
              </w:rPr>
              <w:t>10,6</w:t>
            </w:r>
          </w:p>
        </w:tc>
        <w:tc>
          <w:tcPr>
            <w:tcW w:w="922" w:type="dxa"/>
            <w:shd w:val="clear" w:color="auto" w:fill="auto"/>
            <w:vAlign w:val="center"/>
            <w:hideMark/>
          </w:tcPr>
          <w:p w14:paraId="28957EE5" w14:textId="6759126F" w:rsidR="006323ED" w:rsidRPr="00724C36" w:rsidRDefault="006323ED" w:rsidP="00737954">
            <w:pPr>
              <w:spacing w:after="0" w:line="276" w:lineRule="auto"/>
              <w:ind w:right="-57"/>
              <w:jc w:val="right"/>
              <w:rPr>
                <w:rFonts w:cs="Arial"/>
                <w:sz w:val="14"/>
                <w:szCs w:val="14"/>
              </w:rPr>
            </w:pPr>
            <w:r w:rsidRPr="00724C36">
              <w:rPr>
                <w:rFonts w:cs="Arial"/>
                <w:sz w:val="14"/>
                <w:szCs w:val="14"/>
              </w:rPr>
              <w:t>7,0</w:t>
            </w:r>
          </w:p>
        </w:tc>
        <w:tc>
          <w:tcPr>
            <w:tcW w:w="1023" w:type="dxa"/>
            <w:shd w:val="clear" w:color="auto" w:fill="auto"/>
            <w:noWrap/>
            <w:vAlign w:val="center"/>
            <w:hideMark/>
          </w:tcPr>
          <w:p w14:paraId="0A31D47D" w14:textId="77777777" w:rsidR="006323ED" w:rsidRPr="00724C36" w:rsidRDefault="006323ED" w:rsidP="00737954">
            <w:pPr>
              <w:spacing w:after="0" w:line="276" w:lineRule="auto"/>
              <w:jc w:val="center"/>
              <w:rPr>
                <w:rFonts w:cs="Arial"/>
                <w:sz w:val="14"/>
                <w:szCs w:val="14"/>
              </w:rPr>
            </w:pPr>
            <w:r w:rsidRPr="00724C36">
              <w:rPr>
                <w:rFonts w:cs="Arial"/>
                <w:sz w:val="14"/>
                <w:szCs w:val="14"/>
              </w:rPr>
              <w:t>2025</w:t>
            </w:r>
          </w:p>
        </w:tc>
        <w:tc>
          <w:tcPr>
            <w:tcW w:w="680" w:type="dxa"/>
            <w:shd w:val="clear" w:color="auto" w:fill="auto"/>
            <w:noWrap/>
            <w:vAlign w:val="center"/>
            <w:hideMark/>
          </w:tcPr>
          <w:p w14:paraId="34B162DA" w14:textId="77777777" w:rsidR="006323ED" w:rsidRPr="00724C36" w:rsidRDefault="006323ED" w:rsidP="00737954">
            <w:pPr>
              <w:spacing w:after="0" w:line="276" w:lineRule="auto"/>
              <w:jc w:val="right"/>
              <w:rPr>
                <w:rFonts w:cs="Arial"/>
                <w:sz w:val="14"/>
                <w:szCs w:val="14"/>
              </w:rPr>
            </w:pPr>
          </w:p>
        </w:tc>
        <w:tc>
          <w:tcPr>
            <w:tcW w:w="680" w:type="dxa"/>
            <w:shd w:val="clear" w:color="auto" w:fill="auto"/>
            <w:noWrap/>
            <w:vAlign w:val="center"/>
            <w:hideMark/>
          </w:tcPr>
          <w:p w14:paraId="142A1BD1"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2E79D381"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12B3C6A5"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15D8660F"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29D0172E"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2F160F5C"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7C58197B" w14:textId="77777777" w:rsidR="006323ED" w:rsidRPr="00724C36" w:rsidRDefault="006323ED" w:rsidP="00737954">
            <w:pPr>
              <w:spacing w:after="0" w:line="276" w:lineRule="auto"/>
              <w:jc w:val="right"/>
              <w:rPr>
                <w:rFonts w:ascii="Times New Roman" w:hAnsi="Times New Roman"/>
                <w:sz w:val="14"/>
                <w:szCs w:val="14"/>
              </w:rPr>
            </w:pPr>
          </w:p>
        </w:tc>
        <w:tc>
          <w:tcPr>
            <w:tcW w:w="680" w:type="dxa"/>
            <w:shd w:val="clear" w:color="auto" w:fill="auto"/>
            <w:noWrap/>
            <w:vAlign w:val="center"/>
            <w:hideMark/>
          </w:tcPr>
          <w:p w14:paraId="5AD67473"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3,50</w:t>
            </w:r>
          </w:p>
        </w:tc>
        <w:tc>
          <w:tcPr>
            <w:tcW w:w="680" w:type="dxa"/>
            <w:shd w:val="clear" w:color="auto" w:fill="auto"/>
            <w:noWrap/>
            <w:vAlign w:val="center"/>
            <w:hideMark/>
          </w:tcPr>
          <w:p w14:paraId="703E47DA" w14:textId="77777777" w:rsidR="006323ED" w:rsidRPr="00724C36" w:rsidRDefault="006323ED" w:rsidP="00737954">
            <w:pPr>
              <w:spacing w:after="0" w:line="276" w:lineRule="auto"/>
              <w:ind w:right="-41"/>
              <w:jc w:val="right"/>
              <w:rPr>
                <w:rFonts w:cs="Arial"/>
                <w:bCs/>
                <w:color w:val="000000"/>
                <w:sz w:val="14"/>
                <w:szCs w:val="14"/>
              </w:rPr>
            </w:pPr>
            <w:r w:rsidRPr="00724C36">
              <w:rPr>
                <w:rFonts w:cs="Arial"/>
                <w:bCs/>
                <w:color w:val="000000"/>
                <w:sz w:val="14"/>
                <w:szCs w:val="14"/>
              </w:rPr>
              <w:t>3,50</w:t>
            </w:r>
          </w:p>
        </w:tc>
      </w:tr>
      <w:tr w:rsidR="003025C9" w:rsidRPr="00DF2799" w14:paraId="7C162DA7" w14:textId="77777777" w:rsidTr="00737954">
        <w:trPr>
          <w:cantSplit/>
          <w:trHeight w:val="20"/>
          <w:jc w:val="center"/>
        </w:trPr>
        <w:tc>
          <w:tcPr>
            <w:tcW w:w="1702" w:type="dxa"/>
            <w:shd w:val="clear" w:color="auto" w:fill="F2F2F2" w:themeFill="background1" w:themeFillShade="F2"/>
            <w:vAlign w:val="center"/>
            <w:hideMark/>
          </w:tcPr>
          <w:p w14:paraId="525E0727" w14:textId="3B2A8330" w:rsidR="006323ED" w:rsidRPr="00DF2799" w:rsidRDefault="006323ED" w:rsidP="00737954">
            <w:pPr>
              <w:spacing w:after="0" w:line="276" w:lineRule="auto"/>
              <w:jc w:val="left"/>
              <w:rPr>
                <w:rFonts w:cs="Arial"/>
                <w:b/>
                <w:bCs/>
                <w:sz w:val="14"/>
                <w:szCs w:val="14"/>
              </w:rPr>
            </w:pPr>
            <w:r w:rsidRPr="00DF2799">
              <w:rPr>
                <w:rFonts w:cs="Arial"/>
                <w:b/>
                <w:bCs/>
                <w:sz w:val="14"/>
                <w:szCs w:val="14"/>
              </w:rPr>
              <w:t xml:space="preserve">Έργα σε στάδιο </w:t>
            </w:r>
            <w:r w:rsidR="00B044D6">
              <w:rPr>
                <w:rFonts w:cs="Arial"/>
                <w:b/>
                <w:bCs/>
                <w:sz w:val="14"/>
                <w:szCs w:val="14"/>
              </w:rPr>
              <w:t>π</w:t>
            </w:r>
            <w:r w:rsidRPr="00DF2799">
              <w:rPr>
                <w:rFonts w:cs="Arial"/>
                <w:b/>
                <w:bCs/>
                <w:sz w:val="14"/>
                <w:szCs w:val="14"/>
              </w:rPr>
              <w:t>ροετοιμασίας</w:t>
            </w:r>
          </w:p>
        </w:tc>
        <w:tc>
          <w:tcPr>
            <w:tcW w:w="850" w:type="dxa"/>
            <w:shd w:val="clear" w:color="auto" w:fill="F2F2F2" w:themeFill="background1" w:themeFillShade="F2"/>
            <w:noWrap/>
            <w:vAlign w:val="center"/>
            <w:hideMark/>
          </w:tcPr>
          <w:p w14:paraId="7C455235" w14:textId="77777777" w:rsidR="006323ED" w:rsidRPr="00DF2799" w:rsidRDefault="006323ED" w:rsidP="00737954">
            <w:pPr>
              <w:spacing w:after="0" w:line="276" w:lineRule="auto"/>
              <w:ind w:right="-57"/>
              <w:jc w:val="right"/>
              <w:rPr>
                <w:rFonts w:cs="Arial"/>
                <w:b/>
                <w:sz w:val="14"/>
                <w:szCs w:val="14"/>
              </w:rPr>
            </w:pPr>
            <w:r w:rsidRPr="00DF2799">
              <w:rPr>
                <w:rFonts w:cs="Arial"/>
                <w:b/>
                <w:bCs/>
                <w:color w:val="000000"/>
                <w:sz w:val="14"/>
                <w:szCs w:val="14"/>
              </w:rPr>
              <w:t>389</w:t>
            </w:r>
            <w:r w:rsidRPr="00DF2799">
              <w:rPr>
                <w:rFonts w:cs="Arial"/>
                <w:b/>
                <w:sz w:val="14"/>
                <w:szCs w:val="14"/>
              </w:rPr>
              <w:t>,4</w:t>
            </w:r>
          </w:p>
        </w:tc>
        <w:tc>
          <w:tcPr>
            <w:tcW w:w="922" w:type="dxa"/>
            <w:shd w:val="clear" w:color="auto" w:fill="F2F2F2" w:themeFill="background1" w:themeFillShade="F2"/>
            <w:noWrap/>
            <w:vAlign w:val="center"/>
            <w:hideMark/>
          </w:tcPr>
          <w:p w14:paraId="0A6FC2CE" w14:textId="2AC646CB" w:rsidR="006323ED" w:rsidRPr="00DF2799" w:rsidRDefault="006323ED" w:rsidP="00737954">
            <w:pPr>
              <w:spacing w:after="0" w:line="276" w:lineRule="auto"/>
              <w:ind w:right="-57"/>
              <w:jc w:val="right"/>
              <w:rPr>
                <w:rFonts w:cs="Arial"/>
                <w:b/>
                <w:sz w:val="14"/>
                <w:szCs w:val="14"/>
              </w:rPr>
            </w:pPr>
            <w:r w:rsidRPr="00DF2799">
              <w:rPr>
                <w:rFonts w:cs="Arial"/>
                <w:b/>
                <w:sz w:val="14"/>
                <w:szCs w:val="14"/>
              </w:rPr>
              <w:t>269,2</w:t>
            </w:r>
          </w:p>
        </w:tc>
        <w:tc>
          <w:tcPr>
            <w:tcW w:w="1023" w:type="dxa"/>
            <w:shd w:val="clear" w:color="auto" w:fill="F2F2F2" w:themeFill="background1" w:themeFillShade="F2"/>
            <w:noWrap/>
            <w:vAlign w:val="center"/>
            <w:hideMark/>
          </w:tcPr>
          <w:p w14:paraId="7C90FC93" w14:textId="77777777" w:rsidR="006323ED" w:rsidRPr="002A3870" w:rsidRDefault="006323ED" w:rsidP="00737954">
            <w:pPr>
              <w:spacing w:after="0" w:line="276" w:lineRule="auto"/>
              <w:jc w:val="center"/>
              <w:rPr>
                <w:rFonts w:cs="Arial"/>
                <w:b/>
                <w:sz w:val="14"/>
                <w:szCs w:val="14"/>
              </w:rPr>
            </w:pPr>
          </w:p>
        </w:tc>
        <w:tc>
          <w:tcPr>
            <w:tcW w:w="680" w:type="dxa"/>
            <w:shd w:val="clear" w:color="auto" w:fill="F2F2F2" w:themeFill="background1" w:themeFillShade="F2"/>
            <w:noWrap/>
            <w:vAlign w:val="center"/>
            <w:hideMark/>
          </w:tcPr>
          <w:p w14:paraId="613685E4" w14:textId="77777777" w:rsidR="006323ED" w:rsidRPr="002A3870" w:rsidRDefault="006323ED" w:rsidP="00737954">
            <w:pPr>
              <w:spacing w:after="0" w:line="276" w:lineRule="auto"/>
              <w:jc w:val="right"/>
              <w:rPr>
                <w:rFonts w:ascii="Times New Roman" w:hAnsi="Times New Roman"/>
                <w:b/>
                <w:sz w:val="14"/>
                <w:szCs w:val="14"/>
              </w:rPr>
            </w:pPr>
          </w:p>
        </w:tc>
        <w:tc>
          <w:tcPr>
            <w:tcW w:w="680" w:type="dxa"/>
            <w:shd w:val="clear" w:color="auto" w:fill="F2F2F2" w:themeFill="background1" w:themeFillShade="F2"/>
            <w:noWrap/>
            <w:vAlign w:val="center"/>
            <w:hideMark/>
          </w:tcPr>
          <w:p w14:paraId="03BB6AA7" w14:textId="77777777" w:rsidR="006323ED" w:rsidRPr="002A3870" w:rsidRDefault="006323ED" w:rsidP="00737954">
            <w:pPr>
              <w:spacing w:after="0" w:line="276" w:lineRule="auto"/>
              <w:ind w:left="-44" w:right="-60"/>
              <w:jc w:val="right"/>
              <w:rPr>
                <w:rFonts w:ascii="Times New Roman" w:hAnsi="Times New Roman"/>
                <w:b/>
                <w:sz w:val="14"/>
                <w:szCs w:val="14"/>
              </w:rPr>
            </w:pPr>
          </w:p>
        </w:tc>
        <w:tc>
          <w:tcPr>
            <w:tcW w:w="680" w:type="dxa"/>
            <w:shd w:val="clear" w:color="auto" w:fill="F2F2F2" w:themeFill="background1" w:themeFillShade="F2"/>
            <w:noWrap/>
            <w:vAlign w:val="center"/>
            <w:hideMark/>
          </w:tcPr>
          <w:p w14:paraId="47F72E95" w14:textId="77777777" w:rsidR="006323ED" w:rsidRPr="002A3870" w:rsidRDefault="006323ED" w:rsidP="00737954">
            <w:pPr>
              <w:spacing w:after="0" w:line="276" w:lineRule="auto"/>
              <w:jc w:val="right"/>
              <w:rPr>
                <w:rFonts w:ascii="Times New Roman" w:hAnsi="Times New Roman"/>
                <w:b/>
                <w:sz w:val="14"/>
                <w:szCs w:val="14"/>
              </w:rPr>
            </w:pPr>
          </w:p>
        </w:tc>
        <w:tc>
          <w:tcPr>
            <w:tcW w:w="680" w:type="dxa"/>
            <w:shd w:val="clear" w:color="auto" w:fill="F2F2F2" w:themeFill="background1" w:themeFillShade="F2"/>
            <w:noWrap/>
            <w:vAlign w:val="center"/>
            <w:hideMark/>
          </w:tcPr>
          <w:p w14:paraId="70C2E085" w14:textId="77777777" w:rsidR="006323ED" w:rsidRPr="002A3870" w:rsidRDefault="006323ED" w:rsidP="00737954">
            <w:pPr>
              <w:spacing w:after="0" w:line="276" w:lineRule="auto"/>
              <w:jc w:val="right"/>
              <w:rPr>
                <w:rFonts w:ascii="Times New Roman" w:hAnsi="Times New Roman"/>
                <w:b/>
                <w:sz w:val="14"/>
                <w:szCs w:val="14"/>
              </w:rPr>
            </w:pPr>
          </w:p>
        </w:tc>
        <w:tc>
          <w:tcPr>
            <w:tcW w:w="680" w:type="dxa"/>
            <w:shd w:val="clear" w:color="auto" w:fill="F2F2F2" w:themeFill="background1" w:themeFillShade="F2"/>
            <w:noWrap/>
            <w:vAlign w:val="center"/>
            <w:hideMark/>
          </w:tcPr>
          <w:p w14:paraId="7F2C38B6" w14:textId="77777777" w:rsidR="006323ED" w:rsidRPr="002A3870" w:rsidRDefault="006323ED" w:rsidP="00737954">
            <w:pPr>
              <w:spacing w:after="0" w:line="276" w:lineRule="auto"/>
              <w:jc w:val="right"/>
              <w:rPr>
                <w:rFonts w:ascii="Times New Roman" w:hAnsi="Times New Roman"/>
                <w:b/>
                <w:sz w:val="14"/>
                <w:szCs w:val="14"/>
              </w:rPr>
            </w:pPr>
          </w:p>
        </w:tc>
        <w:tc>
          <w:tcPr>
            <w:tcW w:w="680" w:type="dxa"/>
            <w:shd w:val="clear" w:color="auto" w:fill="F2F2F2" w:themeFill="background1" w:themeFillShade="F2"/>
            <w:noWrap/>
            <w:vAlign w:val="center"/>
            <w:hideMark/>
          </w:tcPr>
          <w:p w14:paraId="5E889B9F" w14:textId="77777777" w:rsidR="006323ED" w:rsidRPr="002A3870" w:rsidRDefault="006323ED" w:rsidP="00737954">
            <w:pPr>
              <w:spacing w:after="0" w:line="276" w:lineRule="auto"/>
              <w:jc w:val="right"/>
              <w:rPr>
                <w:rFonts w:ascii="Times New Roman" w:hAnsi="Times New Roman"/>
                <w:b/>
                <w:sz w:val="14"/>
                <w:szCs w:val="14"/>
              </w:rPr>
            </w:pPr>
          </w:p>
        </w:tc>
        <w:tc>
          <w:tcPr>
            <w:tcW w:w="680" w:type="dxa"/>
            <w:shd w:val="clear" w:color="auto" w:fill="F2F2F2" w:themeFill="background1" w:themeFillShade="F2"/>
            <w:noWrap/>
            <w:vAlign w:val="center"/>
            <w:hideMark/>
          </w:tcPr>
          <w:p w14:paraId="39C70631" w14:textId="77777777" w:rsidR="006323ED" w:rsidRPr="002A3870" w:rsidRDefault="006323ED" w:rsidP="00737954">
            <w:pPr>
              <w:spacing w:after="0" w:line="276" w:lineRule="auto"/>
              <w:jc w:val="right"/>
              <w:rPr>
                <w:rFonts w:ascii="Times New Roman" w:hAnsi="Times New Roman"/>
                <w:b/>
                <w:sz w:val="14"/>
                <w:szCs w:val="14"/>
              </w:rPr>
            </w:pPr>
          </w:p>
        </w:tc>
        <w:tc>
          <w:tcPr>
            <w:tcW w:w="680" w:type="dxa"/>
            <w:shd w:val="clear" w:color="auto" w:fill="F2F2F2" w:themeFill="background1" w:themeFillShade="F2"/>
            <w:noWrap/>
            <w:vAlign w:val="center"/>
            <w:hideMark/>
          </w:tcPr>
          <w:p w14:paraId="23456111" w14:textId="77777777" w:rsidR="006323ED" w:rsidRPr="002A3870" w:rsidRDefault="006323ED" w:rsidP="00737954">
            <w:pPr>
              <w:spacing w:after="0" w:line="276" w:lineRule="auto"/>
              <w:jc w:val="right"/>
              <w:rPr>
                <w:rFonts w:ascii="Times New Roman" w:hAnsi="Times New Roman"/>
                <w:b/>
                <w:sz w:val="14"/>
                <w:szCs w:val="14"/>
              </w:rPr>
            </w:pPr>
          </w:p>
        </w:tc>
        <w:tc>
          <w:tcPr>
            <w:tcW w:w="680" w:type="dxa"/>
            <w:shd w:val="clear" w:color="auto" w:fill="F2F2F2" w:themeFill="background1" w:themeFillShade="F2"/>
            <w:noWrap/>
            <w:vAlign w:val="center"/>
            <w:hideMark/>
          </w:tcPr>
          <w:p w14:paraId="37A985CB" w14:textId="77777777" w:rsidR="006323ED" w:rsidRPr="002A3870" w:rsidRDefault="006323ED" w:rsidP="00737954">
            <w:pPr>
              <w:spacing w:after="0" w:line="276" w:lineRule="auto"/>
              <w:ind w:right="-41"/>
              <w:jc w:val="right"/>
              <w:rPr>
                <w:rFonts w:cs="Arial"/>
                <w:b/>
                <w:bCs/>
                <w:color w:val="000000"/>
                <w:sz w:val="14"/>
                <w:szCs w:val="14"/>
              </w:rPr>
            </w:pPr>
          </w:p>
        </w:tc>
        <w:tc>
          <w:tcPr>
            <w:tcW w:w="680" w:type="dxa"/>
            <w:shd w:val="clear" w:color="auto" w:fill="F2F2F2" w:themeFill="background1" w:themeFillShade="F2"/>
            <w:noWrap/>
            <w:vAlign w:val="center"/>
            <w:hideMark/>
          </w:tcPr>
          <w:p w14:paraId="7D7E948F" w14:textId="77777777"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269,20</w:t>
            </w:r>
          </w:p>
        </w:tc>
      </w:tr>
      <w:tr w:rsidR="006323ED" w:rsidRPr="00DF2799" w14:paraId="50A40E8B" w14:textId="77777777" w:rsidTr="00737954">
        <w:trPr>
          <w:cantSplit/>
          <w:trHeight w:val="20"/>
          <w:jc w:val="center"/>
        </w:trPr>
        <w:tc>
          <w:tcPr>
            <w:tcW w:w="1702" w:type="dxa"/>
            <w:shd w:val="clear" w:color="auto" w:fill="D9D9D9" w:themeFill="background1" w:themeFillShade="D9"/>
            <w:noWrap/>
            <w:vAlign w:val="center"/>
            <w:hideMark/>
          </w:tcPr>
          <w:p w14:paraId="10B4D01F" w14:textId="4A98B106" w:rsidR="006323ED" w:rsidRPr="00DF2799" w:rsidRDefault="003E6988" w:rsidP="00737954">
            <w:pPr>
              <w:spacing w:after="0" w:line="276" w:lineRule="auto"/>
              <w:jc w:val="left"/>
              <w:rPr>
                <w:rFonts w:cs="Arial"/>
                <w:b/>
                <w:bCs/>
                <w:color w:val="000000"/>
                <w:sz w:val="14"/>
                <w:szCs w:val="14"/>
                <w:highlight w:val="magenta"/>
              </w:rPr>
            </w:pPr>
            <w:r w:rsidRPr="00DF2799">
              <w:rPr>
                <w:rFonts w:cs="Arial"/>
                <w:b/>
                <w:bCs/>
                <w:color w:val="000000"/>
                <w:sz w:val="14"/>
                <w:szCs w:val="14"/>
              </w:rPr>
              <w:t>Σύνολο υπογεγραμμένων έργων: 76</w:t>
            </w:r>
          </w:p>
        </w:tc>
        <w:tc>
          <w:tcPr>
            <w:tcW w:w="850" w:type="dxa"/>
            <w:shd w:val="clear" w:color="auto" w:fill="D9D9D9" w:themeFill="background1" w:themeFillShade="D9"/>
            <w:vAlign w:val="center"/>
            <w:hideMark/>
          </w:tcPr>
          <w:p w14:paraId="03A10238" w14:textId="77777777" w:rsidR="006323ED" w:rsidRPr="00DF2799" w:rsidRDefault="006323ED" w:rsidP="00737954">
            <w:pPr>
              <w:spacing w:after="0" w:line="276" w:lineRule="auto"/>
              <w:ind w:right="-57"/>
              <w:jc w:val="right"/>
              <w:rPr>
                <w:rFonts w:cs="Arial"/>
                <w:b/>
                <w:bCs/>
                <w:color w:val="000000"/>
                <w:sz w:val="14"/>
                <w:szCs w:val="14"/>
              </w:rPr>
            </w:pPr>
            <w:r w:rsidRPr="00DF2799">
              <w:rPr>
                <w:rFonts w:cs="Arial"/>
                <w:b/>
                <w:bCs/>
                <w:color w:val="000000"/>
                <w:sz w:val="14"/>
                <w:szCs w:val="14"/>
              </w:rPr>
              <w:t>16.121,9</w:t>
            </w:r>
          </w:p>
        </w:tc>
        <w:tc>
          <w:tcPr>
            <w:tcW w:w="922" w:type="dxa"/>
            <w:shd w:val="clear" w:color="auto" w:fill="D9D9D9" w:themeFill="background1" w:themeFillShade="D9"/>
            <w:vAlign w:val="center"/>
            <w:hideMark/>
          </w:tcPr>
          <w:p w14:paraId="52DEC05C" w14:textId="7D83D376" w:rsidR="006323ED" w:rsidRPr="00DF2799" w:rsidRDefault="00DF060E" w:rsidP="00737954">
            <w:pPr>
              <w:spacing w:after="0" w:line="276" w:lineRule="auto"/>
              <w:ind w:right="-57"/>
              <w:jc w:val="right"/>
              <w:rPr>
                <w:rFonts w:cs="Arial"/>
                <w:b/>
                <w:bCs/>
                <w:color w:val="000000"/>
                <w:sz w:val="14"/>
                <w:szCs w:val="14"/>
              </w:rPr>
            </w:pPr>
            <w:r w:rsidRPr="00DF2799">
              <w:rPr>
                <w:rFonts w:cs="Arial"/>
                <w:b/>
                <w:bCs/>
                <w:color w:val="000000"/>
                <w:sz w:val="14"/>
                <w:szCs w:val="14"/>
                <w:lang w:val="en-US"/>
              </w:rPr>
              <w:t>14.637,3</w:t>
            </w:r>
          </w:p>
        </w:tc>
        <w:tc>
          <w:tcPr>
            <w:tcW w:w="1023" w:type="dxa"/>
            <w:shd w:val="clear" w:color="auto" w:fill="D9D9D9" w:themeFill="background1" w:themeFillShade="D9"/>
            <w:vAlign w:val="center"/>
            <w:hideMark/>
          </w:tcPr>
          <w:p w14:paraId="46867518" w14:textId="7370E3B3" w:rsidR="006323ED" w:rsidRPr="00DF2799" w:rsidRDefault="006323ED" w:rsidP="00737954">
            <w:pPr>
              <w:spacing w:after="0" w:line="276" w:lineRule="auto"/>
              <w:jc w:val="center"/>
              <w:rPr>
                <w:rFonts w:cs="Arial"/>
                <w:b/>
                <w:bCs/>
                <w:color w:val="000000"/>
                <w:sz w:val="14"/>
                <w:szCs w:val="14"/>
              </w:rPr>
            </w:pPr>
          </w:p>
        </w:tc>
        <w:tc>
          <w:tcPr>
            <w:tcW w:w="680" w:type="dxa"/>
            <w:shd w:val="clear" w:color="auto" w:fill="D9D9D9" w:themeFill="background1" w:themeFillShade="D9"/>
            <w:vAlign w:val="center"/>
            <w:hideMark/>
          </w:tcPr>
          <w:p w14:paraId="2F46F43C" w14:textId="2C0D2771" w:rsidR="006323ED" w:rsidRPr="002A3870"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1.367,7</w:t>
            </w:r>
          </w:p>
        </w:tc>
        <w:tc>
          <w:tcPr>
            <w:tcW w:w="680" w:type="dxa"/>
            <w:shd w:val="clear" w:color="auto" w:fill="D9D9D9" w:themeFill="background1" w:themeFillShade="D9"/>
            <w:vAlign w:val="center"/>
            <w:hideMark/>
          </w:tcPr>
          <w:p w14:paraId="50146575" w14:textId="77777777" w:rsidR="006323ED" w:rsidRPr="002A3870"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997,5</w:t>
            </w:r>
          </w:p>
        </w:tc>
        <w:tc>
          <w:tcPr>
            <w:tcW w:w="680" w:type="dxa"/>
            <w:shd w:val="clear" w:color="auto" w:fill="D9D9D9" w:themeFill="background1" w:themeFillShade="D9"/>
            <w:vAlign w:val="center"/>
            <w:hideMark/>
          </w:tcPr>
          <w:p w14:paraId="3985142B" w14:textId="62E77D93"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1.203,9</w:t>
            </w:r>
          </w:p>
        </w:tc>
        <w:tc>
          <w:tcPr>
            <w:tcW w:w="680" w:type="dxa"/>
            <w:shd w:val="clear" w:color="auto" w:fill="D9D9D9" w:themeFill="background1" w:themeFillShade="D9"/>
            <w:vAlign w:val="center"/>
            <w:hideMark/>
          </w:tcPr>
          <w:p w14:paraId="41638738" w14:textId="77777777"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42,1</w:t>
            </w:r>
          </w:p>
        </w:tc>
        <w:tc>
          <w:tcPr>
            <w:tcW w:w="680" w:type="dxa"/>
            <w:shd w:val="clear" w:color="auto" w:fill="D9D9D9" w:themeFill="background1" w:themeFillShade="D9"/>
            <w:vAlign w:val="center"/>
            <w:hideMark/>
          </w:tcPr>
          <w:p w14:paraId="224741C4" w14:textId="77777777"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643,9</w:t>
            </w:r>
          </w:p>
        </w:tc>
        <w:tc>
          <w:tcPr>
            <w:tcW w:w="680" w:type="dxa"/>
            <w:shd w:val="clear" w:color="auto" w:fill="D9D9D9" w:themeFill="background1" w:themeFillShade="D9"/>
            <w:vAlign w:val="center"/>
            <w:hideMark/>
          </w:tcPr>
          <w:p w14:paraId="22B2CE8D" w14:textId="77777777"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539,1</w:t>
            </w:r>
          </w:p>
        </w:tc>
        <w:tc>
          <w:tcPr>
            <w:tcW w:w="680" w:type="dxa"/>
            <w:shd w:val="clear" w:color="auto" w:fill="D9D9D9" w:themeFill="background1" w:themeFillShade="D9"/>
            <w:vAlign w:val="center"/>
            <w:hideMark/>
          </w:tcPr>
          <w:p w14:paraId="40AAC29A" w14:textId="77777777"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410,8</w:t>
            </w:r>
          </w:p>
        </w:tc>
        <w:tc>
          <w:tcPr>
            <w:tcW w:w="680" w:type="dxa"/>
            <w:shd w:val="clear" w:color="auto" w:fill="D9D9D9" w:themeFill="background1" w:themeFillShade="D9"/>
            <w:vAlign w:val="center"/>
            <w:hideMark/>
          </w:tcPr>
          <w:p w14:paraId="71F85D71" w14:textId="7CACAFF3"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4.18</w:t>
            </w:r>
            <w:r w:rsidR="00B5638D">
              <w:rPr>
                <w:rFonts w:cs="Arial"/>
                <w:b/>
                <w:bCs/>
                <w:color w:val="000000"/>
                <w:sz w:val="14"/>
                <w:szCs w:val="14"/>
              </w:rPr>
              <w:t>0</w:t>
            </w:r>
            <w:r w:rsidRPr="00DF2799">
              <w:rPr>
                <w:rFonts w:cs="Arial"/>
                <w:b/>
                <w:bCs/>
                <w:color w:val="000000"/>
                <w:sz w:val="14"/>
                <w:szCs w:val="14"/>
              </w:rPr>
              <w:t>,0</w:t>
            </w:r>
          </w:p>
        </w:tc>
        <w:tc>
          <w:tcPr>
            <w:tcW w:w="680" w:type="dxa"/>
            <w:shd w:val="clear" w:color="auto" w:fill="D9D9D9" w:themeFill="background1" w:themeFillShade="D9"/>
            <w:vAlign w:val="center"/>
            <w:hideMark/>
          </w:tcPr>
          <w:p w14:paraId="6025AD89" w14:textId="77777777"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1.557,7</w:t>
            </w:r>
          </w:p>
        </w:tc>
        <w:tc>
          <w:tcPr>
            <w:tcW w:w="680" w:type="dxa"/>
            <w:shd w:val="clear" w:color="auto" w:fill="D9D9D9" w:themeFill="background1" w:themeFillShade="D9"/>
            <w:vAlign w:val="center"/>
            <w:hideMark/>
          </w:tcPr>
          <w:p w14:paraId="207F59C8" w14:textId="77777777" w:rsidR="006323ED" w:rsidRPr="00DF2799" w:rsidRDefault="006323ED" w:rsidP="00737954">
            <w:pPr>
              <w:spacing w:after="0" w:line="276" w:lineRule="auto"/>
              <w:ind w:right="-41"/>
              <w:jc w:val="right"/>
              <w:rPr>
                <w:rFonts w:cs="Arial"/>
                <w:b/>
                <w:bCs/>
                <w:color w:val="000000"/>
                <w:sz w:val="14"/>
                <w:szCs w:val="14"/>
              </w:rPr>
            </w:pPr>
            <w:r w:rsidRPr="00DF2799">
              <w:rPr>
                <w:rFonts w:cs="Arial"/>
                <w:b/>
                <w:bCs/>
                <w:color w:val="000000"/>
                <w:sz w:val="14"/>
                <w:szCs w:val="14"/>
              </w:rPr>
              <w:t>322,1</w:t>
            </w:r>
          </w:p>
        </w:tc>
      </w:tr>
      <w:tr w:rsidR="00E0373F" w:rsidRPr="005912E5" w14:paraId="1E377F84" w14:textId="77777777" w:rsidTr="00737954">
        <w:trPr>
          <w:cantSplit/>
          <w:trHeight w:val="20"/>
          <w:jc w:val="center"/>
        </w:trPr>
        <w:tc>
          <w:tcPr>
            <w:tcW w:w="11297" w:type="dxa"/>
            <w:gridSpan w:val="14"/>
            <w:shd w:val="clear" w:color="auto" w:fill="D5DCE4"/>
            <w:vAlign w:val="center"/>
          </w:tcPr>
          <w:p w14:paraId="1CB671C6" w14:textId="7F65FDBB" w:rsidR="00E0373F" w:rsidRPr="005912E5" w:rsidRDefault="00F40B45" w:rsidP="00737954">
            <w:pPr>
              <w:spacing w:after="0" w:line="276" w:lineRule="auto"/>
              <w:jc w:val="center"/>
              <w:rPr>
                <w:rFonts w:cs="Arial"/>
                <w:b/>
                <w:color w:val="000000"/>
                <w:sz w:val="14"/>
                <w:szCs w:val="14"/>
              </w:rPr>
            </w:pPr>
            <w:r w:rsidRPr="003B5C3C">
              <w:rPr>
                <w:rFonts w:cs="Arial"/>
                <w:b/>
                <w:color w:val="000000"/>
                <w:sz w:val="16"/>
                <w:szCs w:val="14"/>
              </w:rPr>
              <w:t>Διανομή Αποθεματικού</w:t>
            </w:r>
          </w:p>
        </w:tc>
      </w:tr>
      <w:tr w:rsidR="00E07483" w:rsidRPr="00121CFC" w14:paraId="67BF709B" w14:textId="77777777" w:rsidTr="00737954">
        <w:trPr>
          <w:cantSplit/>
          <w:trHeight w:val="20"/>
          <w:jc w:val="center"/>
        </w:trPr>
        <w:tc>
          <w:tcPr>
            <w:tcW w:w="1702" w:type="dxa"/>
            <w:shd w:val="clear" w:color="auto" w:fill="auto"/>
            <w:vAlign w:val="center"/>
            <w:hideMark/>
          </w:tcPr>
          <w:p w14:paraId="73BDBA67"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ΟΛΘ</w:t>
            </w:r>
          </w:p>
        </w:tc>
        <w:tc>
          <w:tcPr>
            <w:tcW w:w="850" w:type="dxa"/>
            <w:shd w:val="clear" w:color="auto" w:fill="auto"/>
            <w:noWrap/>
            <w:vAlign w:val="center"/>
            <w:hideMark/>
          </w:tcPr>
          <w:p w14:paraId="50A5037E" w14:textId="77777777" w:rsidR="00BD427F" w:rsidRPr="002B17A3" w:rsidRDefault="00BD427F" w:rsidP="00737954">
            <w:pPr>
              <w:spacing w:after="0" w:line="276" w:lineRule="auto"/>
              <w:jc w:val="right"/>
              <w:rPr>
                <w:rFonts w:cs="Arial"/>
                <w:color w:val="000000"/>
                <w:sz w:val="14"/>
                <w:szCs w:val="14"/>
              </w:rPr>
            </w:pPr>
          </w:p>
        </w:tc>
        <w:tc>
          <w:tcPr>
            <w:tcW w:w="922" w:type="dxa"/>
            <w:shd w:val="clear" w:color="auto" w:fill="auto"/>
            <w:noWrap/>
            <w:vAlign w:val="center"/>
            <w:hideMark/>
          </w:tcPr>
          <w:p w14:paraId="6583DF33" w14:textId="77777777" w:rsidR="00BD427F" w:rsidRPr="002B17A3" w:rsidRDefault="00BD427F" w:rsidP="00737954">
            <w:pPr>
              <w:spacing w:after="0" w:line="276" w:lineRule="auto"/>
              <w:jc w:val="right"/>
              <w:rPr>
                <w:rFonts w:cs="Arial"/>
                <w:sz w:val="14"/>
                <w:szCs w:val="14"/>
              </w:rPr>
            </w:pPr>
          </w:p>
        </w:tc>
        <w:tc>
          <w:tcPr>
            <w:tcW w:w="1023" w:type="dxa"/>
            <w:shd w:val="clear" w:color="auto" w:fill="auto"/>
            <w:noWrap/>
            <w:vAlign w:val="center"/>
            <w:hideMark/>
          </w:tcPr>
          <w:p w14:paraId="0F168CFC" w14:textId="77777777" w:rsidR="00BD427F" w:rsidRPr="002B17A3" w:rsidRDefault="00BD427F" w:rsidP="00737954">
            <w:pPr>
              <w:spacing w:after="0" w:line="276" w:lineRule="auto"/>
              <w:jc w:val="center"/>
              <w:rPr>
                <w:rFonts w:cs="Arial"/>
                <w:sz w:val="14"/>
                <w:szCs w:val="14"/>
              </w:rPr>
            </w:pPr>
          </w:p>
        </w:tc>
        <w:tc>
          <w:tcPr>
            <w:tcW w:w="680" w:type="dxa"/>
            <w:shd w:val="clear" w:color="auto" w:fill="auto"/>
            <w:noWrap/>
            <w:vAlign w:val="center"/>
            <w:hideMark/>
          </w:tcPr>
          <w:p w14:paraId="6F2B50C6"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6BC6A2BB"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3E5DC1DE"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2DE324B6"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7E042365"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7FCECC41"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3B7ECF7A"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0AEA4A86" w14:textId="77777777" w:rsidR="00BD427F" w:rsidRPr="002B17A3" w:rsidRDefault="00BD427F" w:rsidP="00737954">
            <w:pPr>
              <w:spacing w:after="0" w:line="276" w:lineRule="auto"/>
              <w:ind w:right="-41"/>
              <w:jc w:val="right"/>
              <w:rPr>
                <w:rFonts w:cs="Arial"/>
                <w:sz w:val="14"/>
                <w:szCs w:val="14"/>
              </w:rPr>
            </w:pPr>
          </w:p>
        </w:tc>
        <w:tc>
          <w:tcPr>
            <w:tcW w:w="680" w:type="dxa"/>
            <w:shd w:val="clear" w:color="auto" w:fill="auto"/>
            <w:noWrap/>
            <w:vAlign w:val="center"/>
            <w:hideMark/>
          </w:tcPr>
          <w:p w14:paraId="5939A9EE"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1438F298" w14:textId="14366010" w:rsidR="00BD427F" w:rsidRPr="002B17A3" w:rsidRDefault="00BD427F" w:rsidP="00737954">
            <w:pPr>
              <w:spacing w:after="0" w:line="276" w:lineRule="auto"/>
              <w:jc w:val="right"/>
              <w:rPr>
                <w:rFonts w:cs="Arial"/>
                <w:color w:val="000000"/>
                <w:sz w:val="14"/>
                <w:szCs w:val="14"/>
              </w:rPr>
            </w:pPr>
          </w:p>
        </w:tc>
      </w:tr>
      <w:tr w:rsidR="00E07483" w:rsidRPr="00121CFC" w14:paraId="1644B66A" w14:textId="77777777" w:rsidTr="00737954">
        <w:trPr>
          <w:cantSplit/>
          <w:trHeight w:val="20"/>
          <w:jc w:val="center"/>
        </w:trPr>
        <w:tc>
          <w:tcPr>
            <w:tcW w:w="1702" w:type="dxa"/>
            <w:shd w:val="clear" w:color="auto" w:fill="auto"/>
            <w:vAlign w:val="bottom"/>
            <w:hideMark/>
          </w:tcPr>
          <w:p w14:paraId="364FDDC6"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ΕΛΠΕ</w:t>
            </w:r>
          </w:p>
        </w:tc>
        <w:tc>
          <w:tcPr>
            <w:tcW w:w="850" w:type="dxa"/>
            <w:shd w:val="clear" w:color="auto" w:fill="auto"/>
            <w:noWrap/>
            <w:vAlign w:val="center"/>
            <w:hideMark/>
          </w:tcPr>
          <w:p w14:paraId="30FBCB40" w14:textId="77777777" w:rsidR="00BD427F" w:rsidRPr="002B17A3" w:rsidRDefault="00BD427F" w:rsidP="00737954">
            <w:pPr>
              <w:spacing w:after="0" w:line="276" w:lineRule="auto"/>
              <w:jc w:val="right"/>
              <w:rPr>
                <w:rFonts w:cs="Arial"/>
                <w:color w:val="000000"/>
                <w:sz w:val="14"/>
                <w:szCs w:val="14"/>
              </w:rPr>
            </w:pPr>
          </w:p>
        </w:tc>
        <w:tc>
          <w:tcPr>
            <w:tcW w:w="922" w:type="dxa"/>
            <w:shd w:val="clear" w:color="auto" w:fill="auto"/>
            <w:noWrap/>
            <w:vAlign w:val="center"/>
            <w:hideMark/>
          </w:tcPr>
          <w:p w14:paraId="46B11351" w14:textId="77777777" w:rsidR="00BD427F" w:rsidRPr="002B17A3" w:rsidRDefault="00BD427F" w:rsidP="00737954">
            <w:pPr>
              <w:spacing w:after="0" w:line="276" w:lineRule="auto"/>
              <w:jc w:val="right"/>
              <w:rPr>
                <w:rFonts w:cs="Arial"/>
                <w:sz w:val="14"/>
                <w:szCs w:val="14"/>
              </w:rPr>
            </w:pPr>
          </w:p>
        </w:tc>
        <w:tc>
          <w:tcPr>
            <w:tcW w:w="1023" w:type="dxa"/>
            <w:shd w:val="clear" w:color="auto" w:fill="auto"/>
            <w:noWrap/>
            <w:vAlign w:val="center"/>
            <w:hideMark/>
          </w:tcPr>
          <w:p w14:paraId="123EE5B1" w14:textId="77777777" w:rsidR="00BD427F" w:rsidRPr="002B17A3" w:rsidRDefault="00BD427F" w:rsidP="00737954">
            <w:pPr>
              <w:spacing w:after="0" w:line="276" w:lineRule="auto"/>
              <w:jc w:val="center"/>
              <w:rPr>
                <w:rFonts w:cs="Arial"/>
                <w:sz w:val="14"/>
                <w:szCs w:val="14"/>
              </w:rPr>
            </w:pPr>
          </w:p>
        </w:tc>
        <w:tc>
          <w:tcPr>
            <w:tcW w:w="680" w:type="dxa"/>
            <w:shd w:val="clear" w:color="auto" w:fill="auto"/>
            <w:noWrap/>
            <w:vAlign w:val="center"/>
            <w:hideMark/>
          </w:tcPr>
          <w:p w14:paraId="11FE73EC"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69B1D62F"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6672C4C7"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5BF40239"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B062F2E"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10,8</w:t>
            </w:r>
          </w:p>
        </w:tc>
        <w:tc>
          <w:tcPr>
            <w:tcW w:w="680" w:type="dxa"/>
            <w:shd w:val="clear" w:color="auto" w:fill="auto"/>
            <w:noWrap/>
            <w:vAlign w:val="center"/>
            <w:hideMark/>
          </w:tcPr>
          <w:p w14:paraId="774CD5D1"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32,5</w:t>
            </w:r>
          </w:p>
        </w:tc>
        <w:tc>
          <w:tcPr>
            <w:tcW w:w="680" w:type="dxa"/>
            <w:shd w:val="clear" w:color="auto" w:fill="auto"/>
            <w:noWrap/>
            <w:vAlign w:val="center"/>
            <w:hideMark/>
          </w:tcPr>
          <w:p w14:paraId="59B3B886"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EBAC16C"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D9B36C8"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6917BBD" w14:textId="050FFCBD" w:rsidR="00BD427F" w:rsidRPr="002B17A3" w:rsidRDefault="00BD427F" w:rsidP="00737954">
            <w:pPr>
              <w:spacing w:after="0" w:line="276" w:lineRule="auto"/>
              <w:ind w:right="-41"/>
              <w:jc w:val="right"/>
              <w:rPr>
                <w:rFonts w:cs="Arial"/>
                <w:bCs/>
                <w:color w:val="000000"/>
                <w:sz w:val="14"/>
                <w:szCs w:val="14"/>
              </w:rPr>
            </w:pPr>
          </w:p>
        </w:tc>
      </w:tr>
      <w:tr w:rsidR="00E07483" w:rsidRPr="00121CFC" w14:paraId="7E97EDB4" w14:textId="77777777" w:rsidTr="00737954">
        <w:trPr>
          <w:cantSplit/>
          <w:trHeight w:val="20"/>
          <w:jc w:val="center"/>
        </w:trPr>
        <w:tc>
          <w:tcPr>
            <w:tcW w:w="1702" w:type="dxa"/>
            <w:shd w:val="clear" w:color="auto" w:fill="auto"/>
            <w:vAlign w:val="bottom"/>
            <w:hideMark/>
          </w:tcPr>
          <w:p w14:paraId="6516AF30"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ΕΥΑΘ</w:t>
            </w:r>
          </w:p>
        </w:tc>
        <w:tc>
          <w:tcPr>
            <w:tcW w:w="850" w:type="dxa"/>
            <w:shd w:val="clear" w:color="auto" w:fill="auto"/>
            <w:noWrap/>
            <w:vAlign w:val="center"/>
            <w:hideMark/>
          </w:tcPr>
          <w:p w14:paraId="324BA47F" w14:textId="77777777" w:rsidR="00BD427F" w:rsidRPr="002B17A3" w:rsidRDefault="00BD427F" w:rsidP="00737954">
            <w:pPr>
              <w:spacing w:after="0" w:line="276" w:lineRule="auto"/>
              <w:jc w:val="right"/>
              <w:rPr>
                <w:rFonts w:cs="Arial"/>
                <w:color w:val="000000"/>
                <w:sz w:val="14"/>
                <w:szCs w:val="14"/>
              </w:rPr>
            </w:pPr>
          </w:p>
        </w:tc>
        <w:tc>
          <w:tcPr>
            <w:tcW w:w="922" w:type="dxa"/>
            <w:shd w:val="clear" w:color="auto" w:fill="auto"/>
            <w:noWrap/>
            <w:vAlign w:val="center"/>
            <w:hideMark/>
          </w:tcPr>
          <w:p w14:paraId="1AF270BC" w14:textId="77777777" w:rsidR="00BD427F" w:rsidRPr="002B17A3" w:rsidRDefault="00BD427F" w:rsidP="00737954">
            <w:pPr>
              <w:spacing w:after="0" w:line="276" w:lineRule="auto"/>
              <w:jc w:val="right"/>
              <w:rPr>
                <w:rFonts w:cs="Arial"/>
                <w:sz w:val="14"/>
                <w:szCs w:val="14"/>
              </w:rPr>
            </w:pPr>
          </w:p>
        </w:tc>
        <w:tc>
          <w:tcPr>
            <w:tcW w:w="1023" w:type="dxa"/>
            <w:shd w:val="clear" w:color="auto" w:fill="auto"/>
            <w:noWrap/>
            <w:vAlign w:val="center"/>
            <w:hideMark/>
          </w:tcPr>
          <w:p w14:paraId="61DB928B" w14:textId="77777777" w:rsidR="00BD427F" w:rsidRPr="002B17A3" w:rsidRDefault="00BD427F" w:rsidP="00737954">
            <w:pPr>
              <w:spacing w:after="0" w:line="276" w:lineRule="auto"/>
              <w:jc w:val="center"/>
              <w:rPr>
                <w:rFonts w:cs="Arial"/>
                <w:sz w:val="14"/>
                <w:szCs w:val="14"/>
              </w:rPr>
            </w:pPr>
          </w:p>
        </w:tc>
        <w:tc>
          <w:tcPr>
            <w:tcW w:w="680" w:type="dxa"/>
            <w:shd w:val="clear" w:color="auto" w:fill="auto"/>
            <w:noWrap/>
            <w:vAlign w:val="center"/>
            <w:hideMark/>
          </w:tcPr>
          <w:p w14:paraId="3F91CBD1"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5744EB4A"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0A0351F9"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3C6C7A00"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89122D9"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2F2B84B"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49510CE"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5B27678"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A77A5F3"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7B261245" w14:textId="515F979B" w:rsidR="00BD427F" w:rsidRPr="002B17A3" w:rsidRDefault="00BD427F" w:rsidP="00737954">
            <w:pPr>
              <w:spacing w:after="0" w:line="276" w:lineRule="auto"/>
              <w:ind w:right="-41"/>
              <w:jc w:val="right"/>
              <w:rPr>
                <w:rFonts w:cs="Arial"/>
                <w:bCs/>
                <w:color w:val="000000"/>
                <w:sz w:val="14"/>
                <w:szCs w:val="14"/>
              </w:rPr>
            </w:pPr>
          </w:p>
        </w:tc>
      </w:tr>
      <w:tr w:rsidR="00E07483" w:rsidRPr="00121CFC" w14:paraId="656DC333" w14:textId="77777777" w:rsidTr="00737954">
        <w:trPr>
          <w:cantSplit/>
          <w:trHeight w:val="20"/>
          <w:jc w:val="center"/>
        </w:trPr>
        <w:tc>
          <w:tcPr>
            <w:tcW w:w="1702" w:type="dxa"/>
            <w:shd w:val="clear" w:color="auto" w:fill="auto"/>
            <w:vAlign w:val="bottom"/>
            <w:hideMark/>
          </w:tcPr>
          <w:p w14:paraId="25871059"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ΕΥΔΑΠ</w:t>
            </w:r>
          </w:p>
        </w:tc>
        <w:tc>
          <w:tcPr>
            <w:tcW w:w="850" w:type="dxa"/>
            <w:shd w:val="clear" w:color="auto" w:fill="auto"/>
            <w:noWrap/>
            <w:vAlign w:val="center"/>
            <w:hideMark/>
          </w:tcPr>
          <w:p w14:paraId="498AE6D8" w14:textId="77777777" w:rsidR="00BD427F" w:rsidRPr="002B17A3" w:rsidRDefault="00BD427F" w:rsidP="00737954">
            <w:pPr>
              <w:spacing w:after="0" w:line="276" w:lineRule="auto"/>
              <w:jc w:val="right"/>
              <w:rPr>
                <w:rFonts w:cs="Arial"/>
                <w:color w:val="000000"/>
                <w:sz w:val="14"/>
                <w:szCs w:val="14"/>
              </w:rPr>
            </w:pPr>
          </w:p>
        </w:tc>
        <w:tc>
          <w:tcPr>
            <w:tcW w:w="922" w:type="dxa"/>
            <w:shd w:val="clear" w:color="auto" w:fill="auto"/>
            <w:noWrap/>
            <w:vAlign w:val="center"/>
            <w:hideMark/>
          </w:tcPr>
          <w:p w14:paraId="70C6D55E" w14:textId="77777777" w:rsidR="00BD427F" w:rsidRPr="002B17A3" w:rsidRDefault="00BD427F" w:rsidP="00737954">
            <w:pPr>
              <w:spacing w:after="0" w:line="276" w:lineRule="auto"/>
              <w:jc w:val="right"/>
              <w:rPr>
                <w:rFonts w:cs="Arial"/>
                <w:sz w:val="14"/>
                <w:szCs w:val="14"/>
              </w:rPr>
            </w:pPr>
          </w:p>
        </w:tc>
        <w:tc>
          <w:tcPr>
            <w:tcW w:w="1023" w:type="dxa"/>
            <w:shd w:val="clear" w:color="auto" w:fill="auto"/>
            <w:noWrap/>
            <w:vAlign w:val="center"/>
            <w:hideMark/>
          </w:tcPr>
          <w:p w14:paraId="16F45C61" w14:textId="77777777" w:rsidR="00BD427F" w:rsidRPr="002B17A3" w:rsidRDefault="00BD427F" w:rsidP="00737954">
            <w:pPr>
              <w:spacing w:after="0" w:line="276" w:lineRule="auto"/>
              <w:jc w:val="center"/>
              <w:rPr>
                <w:rFonts w:cs="Arial"/>
                <w:sz w:val="14"/>
                <w:szCs w:val="14"/>
              </w:rPr>
            </w:pPr>
          </w:p>
        </w:tc>
        <w:tc>
          <w:tcPr>
            <w:tcW w:w="680" w:type="dxa"/>
            <w:shd w:val="clear" w:color="auto" w:fill="auto"/>
            <w:noWrap/>
            <w:vAlign w:val="center"/>
            <w:hideMark/>
          </w:tcPr>
          <w:p w14:paraId="3788B800" w14:textId="77777777" w:rsidR="00BD427F" w:rsidRPr="002B17A3" w:rsidRDefault="00BD427F" w:rsidP="00737954">
            <w:pPr>
              <w:spacing w:after="0" w:line="276" w:lineRule="auto"/>
              <w:ind w:right="-41"/>
              <w:jc w:val="right"/>
              <w:rPr>
                <w:rFonts w:cs="Arial"/>
                <w:color w:val="000000"/>
                <w:sz w:val="14"/>
                <w:szCs w:val="14"/>
              </w:rPr>
            </w:pPr>
            <w:r w:rsidRPr="002B17A3">
              <w:rPr>
                <w:rFonts w:cs="Arial"/>
                <w:bCs/>
                <w:color w:val="000000"/>
                <w:sz w:val="14"/>
                <w:szCs w:val="14"/>
              </w:rPr>
              <w:t>11</w:t>
            </w:r>
          </w:p>
        </w:tc>
        <w:tc>
          <w:tcPr>
            <w:tcW w:w="680" w:type="dxa"/>
            <w:shd w:val="clear" w:color="auto" w:fill="auto"/>
            <w:noWrap/>
            <w:vAlign w:val="center"/>
            <w:hideMark/>
          </w:tcPr>
          <w:p w14:paraId="1307ABC6" w14:textId="77777777" w:rsidR="00BD427F" w:rsidRPr="002B17A3" w:rsidRDefault="00BD427F" w:rsidP="00737954">
            <w:pPr>
              <w:spacing w:after="0" w:line="276" w:lineRule="auto"/>
              <w:jc w:val="right"/>
              <w:rPr>
                <w:rFonts w:cs="Arial"/>
                <w:color w:val="000000"/>
                <w:sz w:val="14"/>
                <w:szCs w:val="14"/>
              </w:rPr>
            </w:pPr>
          </w:p>
        </w:tc>
        <w:tc>
          <w:tcPr>
            <w:tcW w:w="680" w:type="dxa"/>
            <w:shd w:val="clear" w:color="auto" w:fill="auto"/>
            <w:noWrap/>
            <w:vAlign w:val="center"/>
            <w:hideMark/>
          </w:tcPr>
          <w:p w14:paraId="28558141"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734C6889"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5534C60"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5,7</w:t>
            </w:r>
          </w:p>
        </w:tc>
        <w:tc>
          <w:tcPr>
            <w:tcW w:w="680" w:type="dxa"/>
            <w:shd w:val="clear" w:color="auto" w:fill="auto"/>
            <w:noWrap/>
            <w:vAlign w:val="center"/>
            <w:hideMark/>
          </w:tcPr>
          <w:p w14:paraId="77A5DB69"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0DF317F"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7D7AB3C5"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74F7637"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E76FA50" w14:textId="5B47F0F2" w:rsidR="00BD427F" w:rsidRPr="002B17A3" w:rsidRDefault="00BD427F" w:rsidP="00737954">
            <w:pPr>
              <w:spacing w:after="0" w:line="276" w:lineRule="auto"/>
              <w:ind w:right="-41"/>
              <w:jc w:val="right"/>
              <w:rPr>
                <w:rFonts w:cs="Arial"/>
                <w:bCs/>
                <w:color w:val="000000"/>
                <w:sz w:val="14"/>
                <w:szCs w:val="14"/>
              </w:rPr>
            </w:pPr>
          </w:p>
        </w:tc>
      </w:tr>
      <w:tr w:rsidR="00E07483" w:rsidRPr="00121CFC" w14:paraId="5E69ECEA" w14:textId="77777777" w:rsidTr="00737954">
        <w:trPr>
          <w:cantSplit/>
          <w:trHeight w:val="20"/>
          <w:jc w:val="center"/>
        </w:trPr>
        <w:tc>
          <w:tcPr>
            <w:tcW w:w="1702" w:type="dxa"/>
            <w:shd w:val="clear" w:color="auto" w:fill="auto"/>
            <w:vAlign w:val="bottom"/>
            <w:hideMark/>
          </w:tcPr>
          <w:p w14:paraId="3EE66A59"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ΔΕΠΑ</w:t>
            </w:r>
          </w:p>
        </w:tc>
        <w:tc>
          <w:tcPr>
            <w:tcW w:w="850" w:type="dxa"/>
            <w:shd w:val="clear" w:color="auto" w:fill="auto"/>
            <w:noWrap/>
            <w:vAlign w:val="center"/>
            <w:hideMark/>
          </w:tcPr>
          <w:p w14:paraId="288AA49C" w14:textId="77777777" w:rsidR="00BD427F" w:rsidRPr="002B17A3" w:rsidRDefault="00BD427F" w:rsidP="00737954">
            <w:pPr>
              <w:spacing w:after="0" w:line="276" w:lineRule="auto"/>
              <w:jc w:val="right"/>
              <w:rPr>
                <w:rFonts w:cs="Arial"/>
                <w:color w:val="000000"/>
                <w:sz w:val="14"/>
                <w:szCs w:val="14"/>
              </w:rPr>
            </w:pPr>
          </w:p>
        </w:tc>
        <w:tc>
          <w:tcPr>
            <w:tcW w:w="922" w:type="dxa"/>
            <w:shd w:val="clear" w:color="auto" w:fill="auto"/>
            <w:noWrap/>
            <w:vAlign w:val="center"/>
            <w:hideMark/>
          </w:tcPr>
          <w:p w14:paraId="69D9CB10" w14:textId="77777777" w:rsidR="00BD427F" w:rsidRPr="002B17A3" w:rsidRDefault="00BD427F" w:rsidP="00737954">
            <w:pPr>
              <w:spacing w:after="0" w:line="276" w:lineRule="auto"/>
              <w:jc w:val="right"/>
              <w:rPr>
                <w:rFonts w:cs="Arial"/>
                <w:sz w:val="14"/>
                <w:szCs w:val="14"/>
              </w:rPr>
            </w:pPr>
          </w:p>
        </w:tc>
        <w:tc>
          <w:tcPr>
            <w:tcW w:w="1023" w:type="dxa"/>
            <w:shd w:val="clear" w:color="auto" w:fill="auto"/>
            <w:noWrap/>
            <w:vAlign w:val="center"/>
            <w:hideMark/>
          </w:tcPr>
          <w:p w14:paraId="63500F35" w14:textId="77777777" w:rsidR="00BD427F" w:rsidRPr="002B17A3" w:rsidRDefault="00BD427F" w:rsidP="00737954">
            <w:pPr>
              <w:spacing w:after="0" w:line="276" w:lineRule="auto"/>
              <w:jc w:val="center"/>
              <w:rPr>
                <w:rFonts w:cs="Arial"/>
                <w:sz w:val="14"/>
                <w:szCs w:val="14"/>
              </w:rPr>
            </w:pPr>
          </w:p>
        </w:tc>
        <w:tc>
          <w:tcPr>
            <w:tcW w:w="680" w:type="dxa"/>
            <w:shd w:val="clear" w:color="auto" w:fill="auto"/>
            <w:noWrap/>
            <w:vAlign w:val="center"/>
            <w:hideMark/>
          </w:tcPr>
          <w:p w14:paraId="116461C3"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530732D5" w14:textId="77777777" w:rsidR="00BD427F" w:rsidRPr="002B17A3" w:rsidRDefault="00BD427F" w:rsidP="00737954">
            <w:pPr>
              <w:spacing w:after="0" w:line="276" w:lineRule="auto"/>
              <w:jc w:val="right"/>
              <w:rPr>
                <w:rFonts w:cs="Arial"/>
                <w:color w:val="000000"/>
                <w:sz w:val="14"/>
                <w:szCs w:val="14"/>
              </w:rPr>
            </w:pPr>
            <w:r w:rsidRPr="002B17A3">
              <w:rPr>
                <w:rFonts w:cs="Arial"/>
                <w:color w:val="000000"/>
                <w:sz w:val="14"/>
                <w:szCs w:val="14"/>
              </w:rPr>
              <w:t>29,6</w:t>
            </w:r>
          </w:p>
        </w:tc>
        <w:tc>
          <w:tcPr>
            <w:tcW w:w="680" w:type="dxa"/>
            <w:shd w:val="clear" w:color="auto" w:fill="auto"/>
            <w:noWrap/>
            <w:vAlign w:val="center"/>
            <w:hideMark/>
          </w:tcPr>
          <w:p w14:paraId="5635E9AC" w14:textId="77777777" w:rsidR="00BD427F" w:rsidRPr="002B17A3" w:rsidRDefault="00BD427F" w:rsidP="00737954">
            <w:pPr>
              <w:spacing w:after="0" w:line="276" w:lineRule="auto"/>
              <w:jc w:val="right"/>
              <w:rPr>
                <w:rFonts w:cs="Arial"/>
                <w:color w:val="000000"/>
                <w:sz w:val="14"/>
                <w:szCs w:val="14"/>
              </w:rPr>
            </w:pPr>
          </w:p>
        </w:tc>
        <w:tc>
          <w:tcPr>
            <w:tcW w:w="680" w:type="dxa"/>
            <w:shd w:val="clear" w:color="auto" w:fill="auto"/>
            <w:noWrap/>
            <w:vAlign w:val="center"/>
            <w:hideMark/>
          </w:tcPr>
          <w:p w14:paraId="6D525295"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A371BF0"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7F3778C3"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E20C1FC"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9BE9ED1"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0DF693B"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5D4C3D7" w14:textId="71F3535F" w:rsidR="00BD427F" w:rsidRPr="002B17A3" w:rsidRDefault="00BD427F" w:rsidP="00737954">
            <w:pPr>
              <w:spacing w:after="0" w:line="276" w:lineRule="auto"/>
              <w:ind w:right="-41"/>
              <w:jc w:val="right"/>
              <w:rPr>
                <w:rFonts w:cs="Arial"/>
                <w:bCs/>
                <w:color w:val="000000"/>
                <w:sz w:val="14"/>
                <w:szCs w:val="14"/>
              </w:rPr>
            </w:pPr>
          </w:p>
        </w:tc>
      </w:tr>
      <w:tr w:rsidR="00E07483" w:rsidRPr="00121CFC" w14:paraId="0B2EFB81" w14:textId="77777777" w:rsidTr="00737954">
        <w:trPr>
          <w:cantSplit/>
          <w:trHeight w:val="20"/>
          <w:jc w:val="center"/>
        </w:trPr>
        <w:tc>
          <w:tcPr>
            <w:tcW w:w="1702" w:type="dxa"/>
            <w:shd w:val="clear" w:color="auto" w:fill="auto"/>
            <w:vAlign w:val="bottom"/>
            <w:hideMark/>
          </w:tcPr>
          <w:p w14:paraId="20B2B6BC"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ΟΛ ΠΑΤΡΑΣ</w:t>
            </w:r>
          </w:p>
        </w:tc>
        <w:tc>
          <w:tcPr>
            <w:tcW w:w="850" w:type="dxa"/>
            <w:shd w:val="clear" w:color="auto" w:fill="auto"/>
            <w:noWrap/>
            <w:vAlign w:val="center"/>
            <w:hideMark/>
          </w:tcPr>
          <w:p w14:paraId="03190917" w14:textId="77777777" w:rsidR="00BD427F" w:rsidRPr="002B17A3" w:rsidRDefault="00BD427F" w:rsidP="00737954">
            <w:pPr>
              <w:spacing w:after="0" w:line="276" w:lineRule="auto"/>
              <w:jc w:val="right"/>
              <w:rPr>
                <w:rFonts w:cs="Arial"/>
                <w:color w:val="000000"/>
                <w:sz w:val="14"/>
                <w:szCs w:val="14"/>
              </w:rPr>
            </w:pPr>
          </w:p>
        </w:tc>
        <w:tc>
          <w:tcPr>
            <w:tcW w:w="922" w:type="dxa"/>
            <w:shd w:val="clear" w:color="auto" w:fill="auto"/>
            <w:noWrap/>
            <w:vAlign w:val="center"/>
            <w:hideMark/>
          </w:tcPr>
          <w:p w14:paraId="727E7312" w14:textId="77777777" w:rsidR="00BD427F" w:rsidRPr="002B17A3" w:rsidRDefault="00BD427F" w:rsidP="00737954">
            <w:pPr>
              <w:spacing w:after="0" w:line="276" w:lineRule="auto"/>
              <w:jc w:val="right"/>
              <w:rPr>
                <w:rFonts w:cs="Arial"/>
                <w:sz w:val="14"/>
                <w:szCs w:val="14"/>
              </w:rPr>
            </w:pPr>
          </w:p>
        </w:tc>
        <w:tc>
          <w:tcPr>
            <w:tcW w:w="1023" w:type="dxa"/>
            <w:shd w:val="clear" w:color="auto" w:fill="auto"/>
            <w:noWrap/>
            <w:vAlign w:val="center"/>
            <w:hideMark/>
          </w:tcPr>
          <w:p w14:paraId="781170D3" w14:textId="77777777" w:rsidR="00BD427F" w:rsidRPr="002B17A3" w:rsidRDefault="00BD427F" w:rsidP="00737954">
            <w:pPr>
              <w:spacing w:after="0" w:line="276" w:lineRule="auto"/>
              <w:jc w:val="center"/>
              <w:rPr>
                <w:rFonts w:cs="Arial"/>
                <w:sz w:val="14"/>
                <w:szCs w:val="14"/>
              </w:rPr>
            </w:pPr>
          </w:p>
        </w:tc>
        <w:tc>
          <w:tcPr>
            <w:tcW w:w="680" w:type="dxa"/>
            <w:shd w:val="clear" w:color="auto" w:fill="auto"/>
            <w:noWrap/>
            <w:vAlign w:val="center"/>
            <w:hideMark/>
          </w:tcPr>
          <w:p w14:paraId="5022462A"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4DEA884E"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397C0A61" w14:textId="77777777" w:rsidR="00BD427F" w:rsidRPr="002B17A3" w:rsidRDefault="00BD427F" w:rsidP="00737954">
            <w:pPr>
              <w:spacing w:after="0" w:line="276" w:lineRule="auto"/>
              <w:ind w:right="-57"/>
              <w:jc w:val="right"/>
              <w:rPr>
                <w:rFonts w:cs="Arial"/>
                <w:color w:val="000000"/>
                <w:sz w:val="14"/>
                <w:szCs w:val="14"/>
              </w:rPr>
            </w:pPr>
            <w:r w:rsidRPr="002B17A3">
              <w:rPr>
                <w:rFonts w:cs="Arial"/>
                <w:color w:val="000000"/>
                <w:sz w:val="14"/>
                <w:szCs w:val="14"/>
              </w:rPr>
              <w:t>2</w:t>
            </w:r>
          </w:p>
        </w:tc>
        <w:tc>
          <w:tcPr>
            <w:tcW w:w="680" w:type="dxa"/>
            <w:shd w:val="clear" w:color="auto" w:fill="auto"/>
            <w:noWrap/>
            <w:vAlign w:val="center"/>
            <w:hideMark/>
          </w:tcPr>
          <w:p w14:paraId="66A6F03F"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D5B85E4"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B2C4FF9"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E04DC9F"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7B909F71"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7641B087"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11E1C42" w14:textId="1ED24D17" w:rsidR="00BD427F" w:rsidRPr="002B17A3" w:rsidRDefault="00BD427F" w:rsidP="00737954">
            <w:pPr>
              <w:spacing w:after="0" w:line="276" w:lineRule="auto"/>
              <w:ind w:right="-41"/>
              <w:jc w:val="right"/>
              <w:rPr>
                <w:rFonts w:cs="Arial"/>
                <w:bCs/>
                <w:color w:val="000000"/>
                <w:sz w:val="14"/>
                <w:szCs w:val="14"/>
              </w:rPr>
            </w:pPr>
          </w:p>
        </w:tc>
      </w:tr>
      <w:tr w:rsidR="00E07483" w:rsidRPr="00121CFC" w14:paraId="66B321C6" w14:textId="77777777" w:rsidTr="00737954">
        <w:trPr>
          <w:cantSplit/>
          <w:trHeight w:val="20"/>
          <w:jc w:val="center"/>
        </w:trPr>
        <w:tc>
          <w:tcPr>
            <w:tcW w:w="1702" w:type="dxa"/>
            <w:shd w:val="clear" w:color="auto" w:fill="auto"/>
            <w:vAlign w:val="bottom"/>
            <w:hideMark/>
          </w:tcPr>
          <w:p w14:paraId="24732A14"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ΟΛ ΗΓΟΥΜΕΝΙΤΣΑΣ</w:t>
            </w:r>
          </w:p>
        </w:tc>
        <w:tc>
          <w:tcPr>
            <w:tcW w:w="850" w:type="dxa"/>
            <w:shd w:val="clear" w:color="auto" w:fill="auto"/>
            <w:noWrap/>
            <w:vAlign w:val="center"/>
            <w:hideMark/>
          </w:tcPr>
          <w:p w14:paraId="71220D2A" w14:textId="77777777" w:rsidR="00BD427F" w:rsidRPr="002B17A3" w:rsidRDefault="00BD427F" w:rsidP="00737954">
            <w:pPr>
              <w:spacing w:after="0" w:line="276" w:lineRule="auto"/>
              <w:jc w:val="right"/>
              <w:rPr>
                <w:rFonts w:cs="Arial"/>
                <w:color w:val="000000"/>
                <w:sz w:val="14"/>
                <w:szCs w:val="14"/>
              </w:rPr>
            </w:pPr>
          </w:p>
        </w:tc>
        <w:tc>
          <w:tcPr>
            <w:tcW w:w="922" w:type="dxa"/>
            <w:shd w:val="clear" w:color="auto" w:fill="auto"/>
            <w:noWrap/>
            <w:vAlign w:val="center"/>
            <w:hideMark/>
          </w:tcPr>
          <w:p w14:paraId="42600489" w14:textId="77777777" w:rsidR="00BD427F" w:rsidRPr="002B17A3" w:rsidRDefault="00BD427F" w:rsidP="00737954">
            <w:pPr>
              <w:spacing w:after="0" w:line="276" w:lineRule="auto"/>
              <w:jc w:val="right"/>
              <w:rPr>
                <w:rFonts w:cs="Arial"/>
                <w:sz w:val="14"/>
                <w:szCs w:val="14"/>
              </w:rPr>
            </w:pPr>
          </w:p>
        </w:tc>
        <w:tc>
          <w:tcPr>
            <w:tcW w:w="1023" w:type="dxa"/>
            <w:shd w:val="clear" w:color="auto" w:fill="auto"/>
            <w:noWrap/>
            <w:vAlign w:val="center"/>
            <w:hideMark/>
          </w:tcPr>
          <w:p w14:paraId="789AD468" w14:textId="77777777" w:rsidR="00BD427F" w:rsidRPr="002B17A3" w:rsidRDefault="00BD427F" w:rsidP="00737954">
            <w:pPr>
              <w:spacing w:after="0" w:line="276" w:lineRule="auto"/>
              <w:jc w:val="center"/>
              <w:rPr>
                <w:rFonts w:cs="Arial"/>
                <w:sz w:val="14"/>
                <w:szCs w:val="14"/>
              </w:rPr>
            </w:pPr>
          </w:p>
        </w:tc>
        <w:tc>
          <w:tcPr>
            <w:tcW w:w="680" w:type="dxa"/>
            <w:shd w:val="clear" w:color="auto" w:fill="auto"/>
            <w:noWrap/>
            <w:vAlign w:val="center"/>
            <w:hideMark/>
          </w:tcPr>
          <w:p w14:paraId="66D39569"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5E17D242"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52EA0425" w14:textId="77777777" w:rsidR="00BD427F" w:rsidRPr="002B17A3" w:rsidRDefault="00BD427F" w:rsidP="00737954">
            <w:pPr>
              <w:spacing w:after="0" w:line="276" w:lineRule="auto"/>
              <w:ind w:right="-57"/>
              <w:jc w:val="right"/>
              <w:rPr>
                <w:rFonts w:cs="Arial"/>
                <w:color w:val="000000"/>
                <w:sz w:val="14"/>
                <w:szCs w:val="14"/>
              </w:rPr>
            </w:pPr>
            <w:r w:rsidRPr="002B17A3">
              <w:rPr>
                <w:rFonts w:cs="Arial"/>
                <w:color w:val="000000"/>
                <w:sz w:val="14"/>
                <w:szCs w:val="14"/>
              </w:rPr>
              <w:t>3</w:t>
            </w:r>
          </w:p>
        </w:tc>
        <w:tc>
          <w:tcPr>
            <w:tcW w:w="680" w:type="dxa"/>
            <w:shd w:val="clear" w:color="auto" w:fill="auto"/>
            <w:noWrap/>
            <w:vAlign w:val="center"/>
            <w:hideMark/>
          </w:tcPr>
          <w:p w14:paraId="76ADD4EE"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5CEB855"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68250BF"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0608E3F"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033DDF15"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77A3D416"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1</w:t>
            </w:r>
          </w:p>
        </w:tc>
        <w:tc>
          <w:tcPr>
            <w:tcW w:w="680" w:type="dxa"/>
            <w:shd w:val="clear" w:color="auto" w:fill="auto"/>
            <w:noWrap/>
            <w:vAlign w:val="center"/>
            <w:hideMark/>
          </w:tcPr>
          <w:p w14:paraId="630C3752" w14:textId="04E41C4A" w:rsidR="00BD427F" w:rsidRPr="002B17A3" w:rsidRDefault="00BD427F" w:rsidP="00737954">
            <w:pPr>
              <w:spacing w:after="0" w:line="276" w:lineRule="auto"/>
              <w:ind w:right="-41"/>
              <w:jc w:val="right"/>
              <w:rPr>
                <w:rFonts w:cs="Arial"/>
                <w:bCs/>
                <w:color w:val="000000"/>
                <w:sz w:val="14"/>
                <w:szCs w:val="14"/>
              </w:rPr>
            </w:pPr>
          </w:p>
        </w:tc>
      </w:tr>
      <w:tr w:rsidR="00E07483" w:rsidRPr="00121CFC" w14:paraId="17519F6C" w14:textId="77777777" w:rsidTr="00737954">
        <w:trPr>
          <w:cantSplit/>
          <w:trHeight w:val="20"/>
          <w:jc w:val="center"/>
        </w:trPr>
        <w:tc>
          <w:tcPr>
            <w:tcW w:w="1702" w:type="dxa"/>
            <w:shd w:val="clear" w:color="auto" w:fill="auto"/>
            <w:vAlign w:val="bottom"/>
            <w:hideMark/>
          </w:tcPr>
          <w:p w14:paraId="012392BC"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ΟΛ ΗΡΑΚΛΕΙΟΥ</w:t>
            </w:r>
          </w:p>
        </w:tc>
        <w:tc>
          <w:tcPr>
            <w:tcW w:w="850" w:type="dxa"/>
            <w:shd w:val="clear" w:color="auto" w:fill="auto"/>
            <w:noWrap/>
            <w:vAlign w:val="center"/>
            <w:hideMark/>
          </w:tcPr>
          <w:p w14:paraId="4CC0D5B1" w14:textId="77777777" w:rsidR="00BD427F" w:rsidRPr="002B17A3" w:rsidRDefault="00BD427F" w:rsidP="00737954">
            <w:pPr>
              <w:spacing w:after="0" w:line="276" w:lineRule="auto"/>
              <w:jc w:val="right"/>
              <w:rPr>
                <w:rFonts w:cs="Arial"/>
                <w:color w:val="000000"/>
                <w:sz w:val="14"/>
                <w:szCs w:val="14"/>
              </w:rPr>
            </w:pPr>
          </w:p>
        </w:tc>
        <w:tc>
          <w:tcPr>
            <w:tcW w:w="922" w:type="dxa"/>
            <w:shd w:val="clear" w:color="auto" w:fill="auto"/>
            <w:noWrap/>
            <w:vAlign w:val="center"/>
            <w:hideMark/>
          </w:tcPr>
          <w:p w14:paraId="1CD2C544" w14:textId="77777777" w:rsidR="00BD427F" w:rsidRPr="002B17A3" w:rsidRDefault="00BD427F" w:rsidP="00737954">
            <w:pPr>
              <w:spacing w:after="0" w:line="276" w:lineRule="auto"/>
              <w:jc w:val="right"/>
              <w:rPr>
                <w:rFonts w:cs="Arial"/>
                <w:sz w:val="14"/>
                <w:szCs w:val="14"/>
              </w:rPr>
            </w:pPr>
          </w:p>
        </w:tc>
        <w:tc>
          <w:tcPr>
            <w:tcW w:w="1023" w:type="dxa"/>
            <w:shd w:val="clear" w:color="auto" w:fill="auto"/>
            <w:noWrap/>
            <w:vAlign w:val="center"/>
            <w:hideMark/>
          </w:tcPr>
          <w:p w14:paraId="5CE6781A" w14:textId="77777777" w:rsidR="00BD427F" w:rsidRPr="002B17A3" w:rsidRDefault="00BD427F" w:rsidP="00737954">
            <w:pPr>
              <w:spacing w:after="0" w:line="276" w:lineRule="auto"/>
              <w:jc w:val="center"/>
              <w:rPr>
                <w:rFonts w:cs="Arial"/>
                <w:sz w:val="14"/>
                <w:szCs w:val="14"/>
              </w:rPr>
            </w:pPr>
          </w:p>
        </w:tc>
        <w:tc>
          <w:tcPr>
            <w:tcW w:w="680" w:type="dxa"/>
            <w:shd w:val="clear" w:color="auto" w:fill="auto"/>
            <w:noWrap/>
            <w:vAlign w:val="center"/>
            <w:hideMark/>
          </w:tcPr>
          <w:p w14:paraId="109A5258"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0B55A5BB"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6FC3AD67"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40E04AA5"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4,2</w:t>
            </w:r>
          </w:p>
        </w:tc>
        <w:tc>
          <w:tcPr>
            <w:tcW w:w="680" w:type="dxa"/>
            <w:shd w:val="clear" w:color="auto" w:fill="auto"/>
            <w:noWrap/>
            <w:vAlign w:val="center"/>
            <w:hideMark/>
          </w:tcPr>
          <w:p w14:paraId="779C6A17"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469EDF81"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7F1281C"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599CA89D"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69FD8532"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2,7</w:t>
            </w:r>
          </w:p>
        </w:tc>
        <w:tc>
          <w:tcPr>
            <w:tcW w:w="680" w:type="dxa"/>
            <w:shd w:val="clear" w:color="auto" w:fill="auto"/>
            <w:noWrap/>
            <w:vAlign w:val="center"/>
            <w:hideMark/>
          </w:tcPr>
          <w:p w14:paraId="3DEBBA2A" w14:textId="3E1DE773" w:rsidR="00BD427F" w:rsidRPr="002B17A3" w:rsidRDefault="00BD427F" w:rsidP="00737954">
            <w:pPr>
              <w:spacing w:after="0" w:line="276" w:lineRule="auto"/>
              <w:ind w:right="-41"/>
              <w:jc w:val="right"/>
              <w:rPr>
                <w:rFonts w:cs="Arial"/>
                <w:bCs/>
                <w:color w:val="000000"/>
                <w:sz w:val="14"/>
                <w:szCs w:val="14"/>
              </w:rPr>
            </w:pPr>
          </w:p>
        </w:tc>
      </w:tr>
      <w:tr w:rsidR="00E07483" w:rsidRPr="00121CFC" w14:paraId="114FBCB5" w14:textId="77777777" w:rsidTr="00737954">
        <w:trPr>
          <w:cantSplit/>
          <w:trHeight w:val="20"/>
          <w:jc w:val="center"/>
        </w:trPr>
        <w:tc>
          <w:tcPr>
            <w:tcW w:w="1702" w:type="dxa"/>
            <w:shd w:val="clear" w:color="auto" w:fill="auto"/>
            <w:vAlign w:val="bottom"/>
            <w:hideMark/>
          </w:tcPr>
          <w:p w14:paraId="315DB49F" w14:textId="77777777" w:rsidR="00BD427F" w:rsidRPr="00BA453D" w:rsidRDefault="00BD427F" w:rsidP="00737954">
            <w:pPr>
              <w:spacing w:after="0" w:line="276" w:lineRule="auto"/>
              <w:jc w:val="left"/>
              <w:rPr>
                <w:rFonts w:cs="Arial"/>
                <w:color w:val="000000"/>
                <w:sz w:val="14"/>
                <w:szCs w:val="14"/>
              </w:rPr>
            </w:pPr>
            <w:r w:rsidRPr="00BA453D">
              <w:rPr>
                <w:rFonts w:cs="Arial"/>
                <w:color w:val="000000"/>
                <w:sz w:val="14"/>
                <w:szCs w:val="14"/>
              </w:rPr>
              <w:t>ΔΙΕΘΝΗΣ ΑΕΡΟΛΙΜΕΝΑΣ ΑΘΗΝΩΝ</w:t>
            </w:r>
          </w:p>
        </w:tc>
        <w:tc>
          <w:tcPr>
            <w:tcW w:w="850" w:type="dxa"/>
            <w:shd w:val="clear" w:color="auto" w:fill="auto"/>
            <w:noWrap/>
            <w:vAlign w:val="center"/>
            <w:hideMark/>
          </w:tcPr>
          <w:p w14:paraId="72E70F0D" w14:textId="77777777" w:rsidR="00BD427F" w:rsidRPr="002B17A3" w:rsidRDefault="00BD427F" w:rsidP="00737954">
            <w:pPr>
              <w:spacing w:after="0" w:line="276" w:lineRule="auto"/>
              <w:jc w:val="right"/>
              <w:rPr>
                <w:rFonts w:cs="Arial"/>
                <w:color w:val="000000"/>
                <w:sz w:val="14"/>
                <w:szCs w:val="14"/>
              </w:rPr>
            </w:pPr>
          </w:p>
        </w:tc>
        <w:tc>
          <w:tcPr>
            <w:tcW w:w="922" w:type="dxa"/>
            <w:shd w:val="clear" w:color="auto" w:fill="auto"/>
            <w:noWrap/>
            <w:vAlign w:val="center"/>
            <w:hideMark/>
          </w:tcPr>
          <w:p w14:paraId="25395704" w14:textId="77777777" w:rsidR="00BD427F" w:rsidRPr="002B17A3" w:rsidRDefault="00BD427F" w:rsidP="00737954">
            <w:pPr>
              <w:spacing w:after="0" w:line="276" w:lineRule="auto"/>
              <w:jc w:val="right"/>
              <w:rPr>
                <w:rFonts w:cs="Arial"/>
                <w:sz w:val="14"/>
                <w:szCs w:val="14"/>
              </w:rPr>
            </w:pPr>
          </w:p>
        </w:tc>
        <w:tc>
          <w:tcPr>
            <w:tcW w:w="1023" w:type="dxa"/>
            <w:shd w:val="clear" w:color="auto" w:fill="auto"/>
            <w:noWrap/>
            <w:vAlign w:val="center"/>
            <w:hideMark/>
          </w:tcPr>
          <w:p w14:paraId="23CC0082" w14:textId="77777777" w:rsidR="00BD427F" w:rsidRPr="002B17A3" w:rsidRDefault="00BD427F" w:rsidP="00737954">
            <w:pPr>
              <w:spacing w:after="0" w:line="276" w:lineRule="auto"/>
              <w:jc w:val="center"/>
              <w:rPr>
                <w:rFonts w:cs="Arial"/>
                <w:sz w:val="14"/>
                <w:szCs w:val="14"/>
              </w:rPr>
            </w:pPr>
          </w:p>
        </w:tc>
        <w:tc>
          <w:tcPr>
            <w:tcW w:w="680" w:type="dxa"/>
            <w:shd w:val="clear" w:color="auto" w:fill="auto"/>
            <w:noWrap/>
            <w:vAlign w:val="center"/>
            <w:hideMark/>
          </w:tcPr>
          <w:p w14:paraId="643C3CB6"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75F208E0"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614B75C1" w14:textId="77777777" w:rsidR="00BD427F" w:rsidRPr="002B17A3" w:rsidRDefault="00BD427F" w:rsidP="00737954">
            <w:pPr>
              <w:spacing w:after="0" w:line="276" w:lineRule="auto"/>
              <w:jc w:val="right"/>
              <w:rPr>
                <w:rFonts w:cs="Arial"/>
                <w:sz w:val="14"/>
                <w:szCs w:val="14"/>
              </w:rPr>
            </w:pPr>
          </w:p>
        </w:tc>
        <w:tc>
          <w:tcPr>
            <w:tcW w:w="680" w:type="dxa"/>
            <w:shd w:val="clear" w:color="auto" w:fill="auto"/>
            <w:noWrap/>
            <w:vAlign w:val="center"/>
            <w:hideMark/>
          </w:tcPr>
          <w:p w14:paraId="26F15B09"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4,2</w:t>
            </w:r>
          </w:p>
        </w:tc>
        <w:tc>
          <w:tcPr>
            <w:tcW w:w="680" w:type="dxa"/>
            <w:shd w:val="clear" w:color="auto" w:fill="auto"/>
            <w:noWrap/>
            <w:vAlign w:val="center"/>
            <w:hideMark/>
          </w:tcPr>
          <w:p w14:paraId="143E2DA8"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306A4127"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15</w:t>
            </w:r>
          </w:p>
        </w:tc>
        <w:tc>
          <w:tcPr>
            <w:tcW w:w="680" w:type="dxa"/>
            <w:shd w:val="clear" w:color="auto" w:fill="auto"/>
            <w:noWrap/>
            <w:vAlign w:val="center"/>
            <w:hideMark/>
          </w:tcPr>
          <w:p w14:paraId="775234B4" w14:textId="77777777" w:rsidR="00BD427F" w:rsidRPr="002B17A3" w:rsidRDefault="00BD427F" w:rsidP="00737954">
            <w:pPr>
              <w:spacing w:after="0" w:line="276" w:lineRule="auto"/>
              <w:ind w:right="-41"/>
              <w:jc w:val="right"/>
              <w:rPr>
                <w:rFonts w:cs="Arial"/>
                <w:bCs/>
                <w:color w:val="000000"/>
                <w:sz w:val="14"/>
                <w:szCs w:val="14"/>
              </w:rPr>
            </w:pPr>
            <w:r w:rsidRPr="002B17A3">
              <w:rPr>
                <w:rFonts w:cs="Arial"/>
                <w:bCs/>
                <w:color w:val="000000"/>
                <w:sz w:val="14"/>
                <w:szCs w:val="14"/>
              </w:rPr>
              <w:t>86,5</w:t>
            </w:r>
          </w:p>
        </w:tc>
        <w:tc>
          <w:tcPr>
            <w:tcW w:w="680" w:type="dxa"/>
            <w:shd w:val="clear" w:color="auto" w:fill="auto"/>
            <w:noWrap/>
            <w:vAlign w:val="center"/>
            <w:hideMark/>
          </w:tcPr>
          <w:p w14:paraId="27BCDECB"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13BBDFE6" w14:textId="77777777" w:rsidR="00BD427F" w:rsidRPr="002B17A3" w:rsidRDefault="00BD427F" w:rsidP="00737954">
            <w:pPr>
              <w:spacing w:after="0" w:line="276" w:lineRule="auto"/>
              <w:ind w:right="-41"/>
              <w:jc w:val="right"/>
              <w:rPr>
                <w:rFonts w:cs="Arial"/>
                <w:bCs/>
                <w:color w:val="000000"/>
                <w:sz w:val="14"/>
                <w:szCs w:val="14"/>
              </w:rPr>
            </w:pPr>
          </w:p>
        </w:tc>
        <w:tc>
          <w:tcPr>
            <w:tcW w:w="680" w:type="dxa"/>
            <w:shd w:val="clear" w:color="auto" w:fill="auto"/>
            <w:noWrap/>
            <w:vAlign w:val="center"/>
            <w:hideMark/>
          </w:tcPr>
          <w:p w14:paraId="29893F57" w14:textId="1C44F2D5" w:rsidR="00BD427F" w:rsidRPr="002B17A3" w:rsidRDefault="00BD427F" w:rsidP="00737954">
            <w:pPr>
              <w:spacing w:after="0" w:line="276" w:lineRule="auto"/>
              <w:ind w:right="-41"/>
              <w:jc w:val="right"/>
              <w:rPr>
                <w:rFonts w:cs="Arial"/>
                <w:bCs/>
                <w:color w:val="000000"/>
                <w:sz w:val="14"/>
                <w:szCs w:val="14"/>
              </w:rPr>
            </w:pPr>
          </w:p>
        </w:tc>
      </w:tr>
      <w:tr w:rsidR="00E07483" w:rsidRPr="00121CFC" w14:paraId="6687D5F5" w14:textId="77777777" w:rsidTr="00737954">
        <w:trPr>
          <w:cantSplit/>
          <w:trHeight w:val="20"/>
          <w:jc w:val="center"/>
        </w:trPr>
        <w:tc>
          <w:tcPr>
            <w:tcW w:w="1702" w:type="dxa"/>
            <w:shd w:val="clear" w:color="auto" w:fill="D9D9D9" w:themeFill="background1" w:themeFillShade="D9"/>
            <w:vAlign w:val="center"/>
            <w:hideMark/>
          </w:tcPr>
          <w:p w14:paraId="3B0725E6" w14:textId="11B88088" w:rsidR="00BD427F" w:rsidRPr="005912E5" w:rsidRDefault="005912E5" w:rsidP="00737954">
            <w:pPr>
              <w:spacing w:after="0" w:line="276" w:lineRule="auto"/>
              <w:jc w:val="left"/>
              <w:rPr>
                <w:rFonts w:cs="Arial"/>
                <w:b/>
                <w:bCs/>
                <w:color w:val="000000"/>
                <w:sz w:val="14"/>
                <w:szCs w:val="14"/>
              </w:rPr>
            </w:pPr>
            <w:r w:rsidRPr="005912E5">
              <w:rPr>
                <w:rFonts w:cs="Arial"/>
                <w:b/>
                <w:bCs/>
                <w:color w:val="000000"/>
                <w:sz w:val="14"/>
                <w:szCs w:val="14"/>
              </w:rPr>
              <w:t>Σύνολο αποθεματικών</w:t>
            </w:r>
          </w:p>
        </w:tc>
        <w:tc>
          <w:tcPr>
            <w:tcW w:w="850" w:type="dxa"/>
            <w:shd w:val="clear" w:color="auto" w:fill="D9D9D9" w:themeFill="background1" w:themeFillShade="D9"/>
            <w:noWrap/>
            <w:vAlign w:val="center"/>
            <w:hideMark/>
          </w:tcPr>
          <w:p w14:paraId="1C45C099" w14:textId="4CDC370C" w:rsidR="00BD427F" w:rsidRPr="005912E5" w:rsidRDefault="00BD427F" w:rsidP="00737954">
            <w:pPr>
              <w:spacing w:after="0" w:line="276" w:lineRule="auto"/>
              <w:jc w:val="right"/>
              <w:rPr>
                <w:rFonts w:cs="Arial"/>
                <w:b/>
                <w:bCs/>
                <w:color w:val="000000"/>
                <w:sz w:val="14"/>
                <w:szCs w:val="14"/>
              </w:rPr>
            </w:pPr>
          </w:p>
        </w:tc>
        <w:tc>
          <w:tcPr>
            <w:tcW w:w="922" w:type="dxa"/>
            <w:shd w:val="clear" w:color="auto" w:fill="D9D9D9" w:themeFill="background1" w:themeFillShade="D9"/>
            <w:noWrap/>
            <w:vAlign w:val="center"/>
            <w:hideMark/>
          </w:tcPr>
          <w:p w14:paraId="3AFA7178" w14:textId="3738AC4A" w:rsidR="00BD427F" w:rsidRPr="005912E5" w:rsidRDefault="00BD427F" w:rsidP="00737954">
            <w:pPr>
              <w:spacing w:after="0" w:line="276" w:lineRule="auto"/>
              <w:jc w:val="right"/>
              <w:rPr>
                <w:rFonts w:cs="Arial"/>
                <w:b/>
                <w:bCs/>
                <w:color w:val="000000"/>
                <w:sz w:val="14"/>
                <w:szCs w:val="14"/>
              </w:rPr>
            </w:pPr>
          </w:p>
        </w:tc>
        <w:tc>
          <w:tcPr>
            <w:tcW w:w="1023" w:type="dxa"/>
            <w:shd w:val="clear" w:color="auto" w:fill="D9D9D9" w:themeFill="background1" w:themeFillShade="D9"/>
            <w:noWrap/>
            <w:vAlign w:val="center"/>
            <w:hideMark/>
          </w:tcPr>
          <w:p w14:paraId="34DFD1CD" w14:textId="2152F0E5" w:rsidR="00BD427F" w:rsidRPr="005912E5" w:rsidRDefault="00BD427F" w:rsidP="00737954">
            <w:pPr>
              <w:spacing w:after="0" w:line="276" w:lineRule="auto"/>
              <w:jc w:val="right"/>
              <w:rPr>
                <w:rFonts w:cs="Arial"/>
                <w:b/>
                <w:bCs/>
                <w:color w:val="000000"/>
                <w:sz w:val="14"/>
                <w:szCs w:val="14"/>
              </w:rPr>
            </w:pPr>
          </w:p>
        </w:tc>
        <w:tc>
          <w:tcPr>
            <w:tcW w:w="680" w:type="dxa"/>
            <w:shd w:val="clear" w:color="auto" w:fill="D9D9D9" w:themeFill="background1" w:themeFillShade="D9"/>
            <w:noWrap/>
            <w:vAlign w:val="center"/>
            <w:hideMark/>
          </w:tcPr>
          <w:p w14:paraId="09806AB6"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11</w:t>
            </w:r>
          </w:p>
        </w:tc>
        <w:tc>
          <w:tcPr>
            <w:tcW w:w="680" w:type="dxa"/>
            <w:shd w:val="clear" w:color="auto" w:fill="D9D9D9" w:themeFill="background1" w:themeFillShade="D9"/>
            <w:noWrap/>
            <w:vAlign w:val="center"/>
            <w:hideMark/>
          </w:tcPr>
          <w:p w14:paraId="1E8A754D"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29,6</w:t>
            </w:r>
          </w:p>
        </w:tc>
        <w:tc>
          <w:tcPr>
            <w:tcW w:w="680" w:type="dxa"/>
            <w:shd w:val="clear" w:color="auto" w:fill="D9D9D9" w:themeFill="background1" w:themeFillShade="D9"/>
            <w:noWrap/>
            <w:vAlign w:val="center"/>
            <w:hideMark/>
          </w:tcPr>
          <w:p w14:paraId="40C2D2C1"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5</w:t>
            </w:r>
          </w:p>
        </w:tc>
        <w:tc>
          <w:tcPr>
            <w:tcW w:w="680" w:type="dxa"/>
            <w:shd w:val="clear" w:color="auto" w:fill="D9D9D9" w:themeFill="background1" w:themeFillShade="D9"/>
            <w:noWrap/>
            <w:vAlign w:val="center"/>
            <w:hideMark/>
          </w:tcPr>
          <w:p w14:paraId="0D1C1068"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8,4</w:t>
            </w:r>
          </w:p>
        </w:tc>
        <w:tc>
          <w:tcPr>
            <w:tcW w:w="680" w:type="dxa"/>
            <w:shd w:val="clear" w:color="auto" w:fill="D9D9D9" w:themeFill="background1" w:themeFillShade="D9"/>
            <w:noWrap/>
            <w:vAlign w:val="center"/>
            <w:hideMark/>
          </w:tcPr>
          <w:p w14:paraId="08AE148A"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16,5</w:t>
            </w:r>
          </w:p>
        </w:tc>
        <w:tc>
          <w:tcPr>
            <w:tcW w:w="680" w:type="dxa"/>
            <w:shd w:val="clear" w:color="auto" w:fill="D9D9D9" w:themeFill="background1" w:themeFillShade="D9"/>
            <w:noWrap/>
            <w:vAlign w:val="center"/>
            <w:hideMark/>
          </w:tcPr>
          <w:p w14:paraId="1956B2CC"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47,5</w:t>
            </w:r>
          </w:p>
        </w:tc>
        <w:tc>
          <w:tcPr>
            <w:tcW w:w="680" w:type="dxa"/>
            <w:shd w:val="clear" w:color="auto" w:fill="D9D9D9" w:themeFill="background1" w:themeFillShade="D9"/>
            <w:noWrap/>
            <w:vAlign w:val="center"/>
            <w:hideMark/>
          </w:tcPr>
          <w:p w14:paraId="2E160C95"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86,5</w:t>
            </w:r>
          </w:p>
        </w:tc>
        <w:tc>
          <w:tcPr>
            <w:tcW w:w="680" w:type="dxa"/>
            <w:shd w:val="clear" w:color="auto" w:fill="D9D9D9" w:themeFill="background1" w:themeFillShade="D9"/>
            <w:noWrap/>
            <w:vAlign w:val="center"/>
            <w:hideMark/>
          </w:tcPr>
          <w:p w14:paraId="1EED8D1E"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0</w:t>
            </w:r>
          </w:p>
        </w:tc>
        <w:tc>
          <w:tcPr>
            <w:tcW w:w="680" w:type="dxa"/>
            <w:shd w:val="clear" w:color="auto" w:fill="D9D9D9" w:themeFill="background1" w:themeFillShade="D9"/>
            <w:noWrap/>
            <w:vAlign w:val="center"/>
            <w:hideMark/>
          </w:tcPr>
          <w:p w14:paraId="1A4B7B56" w14:textId="77777777" w:rsidR="00BD427F" w:rsidRPr="005912E5"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3,7</w:t>
            </w:r>
          </w:p>
        </w:tc>
        <w:tc>
          <w:tcPr>
            <w:tcW w:w="680" w:type="dxa"/>
            <w:shd w:val="clear" w:color="auto" w:fill="D9D9D9" w:themeFill="background1" w:themeFillShade="D9"/>
            <w:noWrap/>
            <w:vAlign w:val="center"/>
            <w:hideMark/>
          </w:tcPr>
          <w:p w14:paraId="5CC75800" w14:textId="77777777" w:rsidR="00BD427F" w:rsidRPr="00BA453D" w:rsidRDefault="00BD427F" w:rsidP="00737954">
            <w:pPr>
              <w:spacing w:after="0" w:line="276" w:lineRule="auto"/>
              <w:ind w:right="-41"/>
              <w:jc w:val="right"/>
              <w:rPr>
                <w:rFonts w:cs="Arial"/>
                <w:b/>
                <w:bCs/>
                <w:color w:val="000000"/>
                <w:sz w:val="14"/>
                <w:szCs w:val="14"/>
              </w:rPr>
            </w:pPr>
            <w:r w:rsidRPr="005912E5">
              <w:rPr>
                <w:rFonts w:cs="Arial"/>
                <w:b/>
                <w:bCs/>
                <w:color w:val="000000"/>
                <w:sz w:val="14"/>
                <w:szCs w:val="14"/>
              </w:rPr>
              <w:t>0</w:t>
            </w:r>
          </w:p>
        </w:tc>
      </w:tr>
      <w:tr w:rsidR="00E07483" w:rsidRPr="00121CFC" w14:paraId="3EBF2A55" w14:textId="77777777" w:rsidTr="00737954">
        <w:trPr>
          <w:cantSplit/>
          <w:trHeight w:val="20"/>
          <w:jc w:val="center"/>
        </w:trPr>
        <w:tc>
          <w:tcPr>
            <w:tcW w:w="1702" w:type="dxa"/>
            <w:tcBorders>
              <w:bottom w:val="single" w:sz="2" w:space="0" w:color="A6A6A6" w:themeColor="background1" w:themeShade="A6"/>
            </w:tcBorders>
            <w:shd w:val="clear" w:color="auto" w:fill="D5DCE4"/>
            <w:vAlign w:val="center"/>
            <w:hideMark/>
          </w:tcPr>
          <w:p w14:paraId="04280FAB" w14:textId="3EFDBE71" w:rsidR="00BD427F" w:rsidRPr="00D339FE" w:rsidRDefault="005912E5" w:rsidP="00737954">
            <w:pPr>
              <w:spacing w:after="0" w:line="276" w:lineRule="auto"/>
              <w:jc w:val="left"/>
              <w:rPr>
                <w:rFonts w:cs="Arial"/>
                <w:b/>
                <w:bCs/>
                <w:color w:val="000000"/>
                <w:sz w:val="14"/>
                <w:szCs w:val="14"/>
              </w:rPr>
            </w:pPr>
            <w:r w:rsidRPr="00D339FE">
              <w:rPr>
                <w:rFonts w:cs="Arial"/>
                <w:b/>
                <w:bCs/>
                <w:color w:val="000000"/>
                <w:sz w:val="14"/>
                <w:szCs w:val="14"/>
              </w:rPr>
              <w:t>Σύνολο εσόδων από αποκρατικοποιήσεις</w:t>
            </w:r>
          </w:p>
        </w:tc>
        <w:tc>
          <w:tcPr>
            <w:tcW w:w="850" w:type="dxa"/>
            <w:tcBorders>
              <w:bottom w:val="single" w:sz="2" w:space="0" w:color="A6A6A6" w:themeColor="background1" w:themeShade="A6"/>
            </w:tcBorders>
            <w:shd w:val="clear" w:color="auto" w:fill="D5DCE4"/>
            <w:noWrap/>
            <w:vAlign w:val="center"/>
            <w:hideMark/>
          </w:tcPr>
          <w:p w14:paraId="0FEDC9AC" w14:textId="77777777" w:rsidR="00BD427F" w:rsidRPr="00D339FE" w:rsidRDefault="00BD427F" w:rsidP="00737954">
            <w:pPr>
              <w:spacing w:after="0" w:line="276" w:lineRule="auto"/>
              <w:ind w:right="-57"/>
              <w:jc w:val="right"/>
              <w:rPr>
                <w:rFonts w:cs="Arial"/>
                <w:b/>
                <w:bCs/>
                <w:color w:val="000000"/>
                <w:sz w:val="14"/>
                <w:szCs w:val="14"/>
              </w:rPr>
            </w:pPr>
            <w:r w:rsidRPr="00D339FE">
              <w:rPr>
                <w:rFonts w:cs="Arial"/>
                <w:b/>
                <w:bCs/>
                <w:color w:val="000000"/>
                <w:sz w:val="14"/>
                <w:szCs w:val="14"/>
              </w:rPr>
              <w:t>16.121,87</w:t>
            </w:r>
          </w:p>
        </w:tc>
        <w:tc>
          <w:tcPr>
            <w:tcW w:w="922" w:type="dxa"/>
            <w:tcBorders>
              <w:bottom w:val="single" w:sz="2" w:space="0" w:color="A6A6A6" w:themeColor="background1" w:themeShade="A6"/>
            </w:tcBorders>
            <w:shd w:val="clear" w:color="auto" w:fill="D5DCE4"/>
            <w:noWrap/>
            <w:vAlign w:val="center"/>
            <w:hideMark/>
          </w:tcPr>
          <w:p w14:paraId="305E87F4" w14:textId="4F70C544" w:rsidR="00BD427F" w:rsidRPr="00D339FE" w:rsidRDefault="00265E72" w:rsidP="00737954">
            <w:pPr>
              <w:spacing w:after="0" w:line="276" w:lineRule="auto"/>
              <w:ind w:right="-57"/>
              <w:jc w:val="right"/>
              <w:rPr>
                <w:rFonts w:cs="Arial"/>
                <w:b/>
                <w:bCs/>
                <w:color w:val="000000"/>
                <w:sz w:val="14"/>
                <w:szCs w:val="14"/>
              </w:rPr>
            </w:pPr>
            <w:r w:rsidRPr="00D339FE">
              <w:rPr>
                <w:rFonts w:cs="Arial"/>
                <w:b/>
                <w:bCs/>
                <w:color w:val="000000"/>
                <w:sz w:val="14"/>
                <w:szCs w:val="14"/>
              </w:rPr>
              <w:t>1</w:t>
            </w:r>
            <w:r w:rsidR="003B5C3C" w:rsidRPr="00D339FE">
              <w:rPr>
                <w:rFonts w:cs="Arial"/>
                <w:b/>
                <w:bCs/>
                <w:color w:val="000000"/>
                <w:sz w:val="14"/>
                <w:szCs w:val="14"/>
              </w:rPr>
              <w:t>4</w:t>
            </w:r>
            <w:r w:rsidRPr="00D339FE">
              <w:rPr>
                <w:rFonts w:cs="Arial"/>
                <w:b/>
                <w:bCs/>
                <w:color w:val="000000"/>
                <w:sz w:val="14"/>
                <w:szCs w:val="14"/>
              </w:rPr>
              <w:t>.</w:t>
            </w:r>
            <w:r w:rsidR="003B5C3C" w:rsidRPr="00D339FE">
              <w:rPr>
                <w:rFonts w:cs="Arial"/>
                <w:b/>
                <w:bCs/>
                <w:color w:val="000000"/>
                <w:sz w:val="14"/>
                <w:szCs w:val="14"/>
              </w:rPr>
              <w:t>637</w:t>
            </w:r>
            <w:r w:rsidRPr="00D339FE">
              <w:rPr>
                <w:rFonts w:cs="Arial"/>
                <w:b/>
                <w:bCs/>
                <w:color w:val="000000"/>
                <w:sz w:val="14"/>
                <w:szCs w:val="14"/>
              </w:rPr>
              <w:t>,</w:t>
            </w:r>
            <w:r w:rsidR="003B5C3C" w:rsidRPr="00D339FE">
              <w:rPr>
                <w:rFonts w:cs="Arial"/>
                <w:b/>
                <w:bCs/>
                <w:color w:val="000000"/>
                <w:sz w:val="14"/>
                <w:szCs w:val="14"/>
              </w:rPr>
              <w:t>34</w:t>
            </w:r>
          </w:p>
        </w:tc>
        <w:tc>
          <w:tcPr>
            <w:tcW w:w="1023" w:type="dxa"/>
            <w:tcBorders>
              <w:bottom w:val="single" w:sz="2" w:space="0" w:color="A6A6A6" w:themeColor="background1" w:themeShade="A6"/>
            </w:tcBorders>
            <w:shd w:val="clear" w:color="auto" w:fill="D5DCE4"/>
            <w:noWrap/>
            <w:vAlign w:val="center"/>
            <w:hideMark/>
          </w:tcPr>
          <w:p w14:paraId="35926585" w14:textId="5C9B3CA3" w:rsidR="00BD427F" w:rsidRPr="00D339FE" w:rsidRDefault="00BD427F" w:rsidP="00737954">
            <w:pPr>
              <w:spacing w:after="0" w:line="276" w:lineRule="auto"/>
              <w:jc w:val="right"/>
              <w:rPr>
                <w:rFonts w:cs="Arial"/>
                <w:b/>
                <w:bCs/>
                <w:color w:val="000000"/>
                <w:sz w:val="14"/>
                <w:szCs w:val="14"/>
              </w:rPr>
            </w:pPr>
          </w:p>
        </w:tc>
        <w:tc>
          <w:tcPr>
            <w:tcW w:w="680" w:type="dxa"/>
            <w:tcBorders>
              <w:bottom w:val="single" w:sz="2" w:space="0" w:color="A6A6A6" w:themeColor="background1" w:themeShade="A6"/>
            </w:tcBorders>
            <w:shd w:val="clear" w:color="auto" w:fill="D5DCE4"/>
            <w:noWrap/>
            <w:vAlign w:val="center"/>
            <w:hideMark/>
          </w:tcPr>
          <w:p w14:paraId="4C4D7CE7" w14:textId="783DD126" w:rsidR="00BD427F" w:rsidRPr="00D339FE" w:rsidRDefault="00265E72" w:rsidP="00737954">
            <w:pPr>
              <w:spacing w:after="0" w:line="276" w:lineRule="auto"/>
              <w:ind w:right="-57"/>
              <w:jc w:val="right"/>
              <w:rPr>
                <w:rFonts w:cs="Arial"/>
                <w:b/>
                <w:bCs/>
                <w:color w:val="000000"/>
                <w:sz w:val="14"/>
                <w:szCs w:val="14"/>
              </w:rPr>
            </w:pPr>
            <w:r w:rsidRPr="00D339FE">
              <w:rPr>
                <w:rFonts w:cs="Arial"/>
                <w:b/>
                <w:bCs/>
                <w:color w:val="000000"/>
                <w:sz w:val="14"/>
                <w:szCs w:val="14"/>
              </w:rPr>
              <w:t>1.378,7</w:t>
            </w:r>
          </w:p>
        </w:tc>
        <w:tc>
          <w:tcPr>
            <w:tcW w:w="680" w:type="dxa"/>
            <w:tcBorders>
              <w:bottom w:val="single" w:sz="2" w:space="0" w:color="A6A6A6" w:themeColor="background1" w:themeShade="A6"/>
            </w:tcBorders>
            <w:shd w:val="clear" w:color="auto" w:fill="D5DCE4"/>
            <w:noWrap/>
            <w:vAlign w:val="center"/>
            <w:hideMark/>
          </w:tcPr>
          <w:p w14:paraId="53BD7EBC" w14:textId="1F5F86EF" w:rsidR="00BD427F" w:rsidRPr="00D339FE" w:rsidRDefault="00265E72" w:rsidP="00737954">
            <w:pPr>
              <w:spacing w:after="0" w:line="276" w:lineRule="auto"/>
              <w:ind w:right="-41"/>
              <w:jc w:val="right"/>
              <w:rPr>
                <w:rFonts w:cs="Arial"/>
                <w:b/>
                <w:bCs/>
                <w:color w:val="000000"/>
                <w:sz w:val="14"/>
                <w:szCs w:val="14"/>
              </w:rPr>
            </w:pPr>
            <w:r w:rsidRPr="00D339FE">
              <w:rPr>
                <w:rFonts w:cs="Arial"/>
                <w:b/>
                <w:bCs/>
                <w:color w:val="000000"/>
                <w:sz w:val="14"/>
                <w:szCs w:val="14"/>
              </w:rPr>
              <w:t>1.027,1</w:t>
            </w:r>
          </w:p>
        </w:tc>
        <w:tc>
          <w:tcPr>
            <w:tcW w:w="680" w:type="dxa"/>
            <w:tcBorders>
              <w:bottom w:val="single" w:sz="2" w:space="0" w:color="A6A6A6" w:themeColor="background1" w:themeShade="A6"/>
            </w:tcBorders>
            <w:shd w:val="clear" w:color="auto" w:fill="D5DCE4"/>
            <w:noWrap/>
            <w:vAlign w:val="center"/>
            <w:hideMark/>
          </w:tcPr>
          <w:p w14:paraId="27B3E3D1" w14:textId="3F546440" w:rsidR="00BD427F" w:rsidRPr="00D339FE" w:rsidRDefault="00265E72" w:rsidP="00737954">
            <w:pPr>
              <w:spacing w:after="0" w:line="276" w:lineRule="auto"/>
              <w:ind w:right="-41"/>
              <w:jc w:val="right"/>
              <w:rPr>
                <w:rFonts w:cs="Arial"/>
                <w:b/>
                <w:bCs/>
                <w:color w:val="000000"/>
                <w:sz w:val="14"/>
                <w:szCs w:val="14"/>
              </w:rPr>
            </w:pPr>
            <w:r w:rsidRPr="00D339FE">
              <w:rPr>
                <w:rFonts w:cs="Arial"/>
                <w:b/>
                <w:bCs/>
                <w:color w:val="000000"/>
                <w:sz w:val="14"/>
                <w:szCs w:val="14"/>
              </w:rPr>
              <w:t>1.208,9</w:t>
            </w:r>
          </w:p>
        </w:tc>
        <w:tc>
          <w:tcPr>
            <w:tcW w:w="680" w:type="dxa"/>
            <w:tcBorders>
              <w:bottom w:val="single" w:sz="2" w:space="0" w:color="A6A6A6" w:themeColor="background1" w:themeShade="A6"/>
            </w:tcBorders>
            <w:shd w:val="clear" w:color="auto" w:fill="D5DCE4"/>
            <w:noWrap/>
            <w:vAlign w:val="center"/>
            <w:hideMark/>
          </w:tcPr>
          <w:p w14:paraId="3B378385" w14:textId="77777777" w:rsidR="00BD427F" w:rsidRPr="00D339FE" w:rsidRDefault="00BD427F" w:rsidP="00737954">
            <w:pPr>
              <w:spacing w:after="0" w:line="276" w:lineRule="auto"/>
              <w:ind w:right="-41"/>
              <w:jc w:val="right"/>
              <w:rPr>
                <w:rFonts w:cs="Arial"/>
                <w:b/>
                <w:bCs/>
                <w:color w:val="000000"/>
                <w:sz w:val="14"/>
                <w:szCs w:val="14"/>
              </w:rPr>
            </w:pPr>
            <w:r w:rsidRPr="00D339FE">
              <w:rPr>
                <w:rFonts w:cs="Arial"/>
                <w:b/>
                <w:bCs/>
                <w:color w:val="000000"/>
                <w:sz w:val="14"/>
                <w:szCs w:val="14"/>
              </w:rPr>
              <w:t>50,5</w:t>
            </w:r>
          </w:p>
        </w:tc>
        <w:tc>
          <w:tcPr>
            <w:tcW w:w="680" w:type="dxa"/>
            <w:tcBorders>
              <w:bottom w:val="single" w:sz="2" w:space="0" w:color="A6A6A6" w:themeColor="background1" w:themeShade="A6"/>
            </w:tcBorders>
            <w:shd w:val="clear" w:color="auto" w:fill="D5DCE4"/>
            <w:noWrap/>
            <w:vAlign w:val="center"/>
            <w:hideMark/>
          </w:tcPr>
          <w:p w14:paraId="5BBD60CD" w14:textId="77777777" w:rsidR="00BD427F" w:rsidRPr="00D339FE" w:rsidRDefault="00BD427F" w:rsidP="00737954">
            <w:pPr>
              <w:spacing w:after="0" w:line="276" w:lineRule="auto"/>
              <w:ind w:right="-41"/>
              <w:jc w:val="right"/>
              <w:rPr>
                <w:rFonts w:cs="Arial"/>
                <w:b/>
                <w:bCs/>
                <w:color w:val="000000"/>
                <w:sz w:val="14"/>
                <w:szCs w:val="14"/>
              </w:rPr>
            </w:pPr>
            <w:r w:rsidRPr="00D339FE">
              <w:rPr>
                <w:rFonts w:cs="Arial"/>
                <w:b/>
                <w:bCs/>
                <w:color w:val="000000"/>
                <w:sz w:val="14"/>
                <w:szCs w:val="14"/>
              </w:rPr>
              <w:t>660,4</w:t>
            </w:r>
          </w:p>
        </w:tc>
        <w:tc>
          <w:tcPr>
            <w:tcW w:w="680" w:type="dxa"/>
            <w:tcBorders>
              <w:bottom w:val="single" w:sz="2" w:space="0" w:color="A6A6A6" w:themeColor="background1" w:themeShade="A6"/>
            </w:tcBorders>
            <w:shd w:val="clear" w:color="auto" w:fill="D5DCE4"/>
            <w:noWrap/>
            <w:vAlign w:val="center"/>
            <w:hideMark/>
          </w:tcPr>
          <w:p w14:paraId="0B37905D" w14:textId="77777777" w:rsidR="00BD427F" w:rsidRPr="00D339FE" w:rsidRDefault="00BD427F" w:rsidP="00737954">
            <w:pPr>
              <w:spacing w:after="0" w:line="276" w:lineRule="auto"/>
              <w:ind w:right="-41"/>
              <w:jc w:val="right"/>
              <w:rPr>
                <w:rFonts w:cs="Arial"/>
                <w:b/>
                <w:bCs/>
                <w:color w:val="000000"/>
                <w:sz w:val="14"/>
                <w:szCs w:val="14"/>
              </w:rPr>
            </w:pPr>
            <w:r w:rsidRPr="00D339FE">
              <w:rPr>
                <w:rFonts w:cs="Arial"/>
                <w:b/>
                <w:bCs/>
                <w:color w:val="000000"/>
                <w:sz w:val="14"/>
                <w:szCs w:val="14"/>
              </w:rPr>
              <w:t>586,6</w:t>
            </w:r>
          </w:p>
        </w:tc>
        <w:tc>
          <w:tcPr>
            <w:tcW w:w="680" w:type="dxa"/>
            <w:tcBorders>
              <w:bottom w:val="single" w:sz="2" w:space="0" w:color="A6A6A6" w:themeColor="background1" w:themeShade="A6"/>
            </w:tcBorders>
            <w:shd w:val="clear" w:color="auto" w:fill="D5DCE4"/>
            <w:noWrap/>
            <w:vAlign w:val="center"/>
            <w:hideMark/>
          </w:tcPr>
          <w:p w14:paraId="6DA9E4DF" w14:textId="77777777" w:rsidR="00BD427F" w:rsidRPr="00D339FE" w:rsidRDefault="00BD427F" w:rsidP="00737954">
            <w:pPr>
              <w:spacing w:after="0" w:line="276" w:lineRule="auto"/>
              <w:ind w:right="-41"/>
              <w:jc w:val="right"/>
              <w:rPr>
                <w:rFonts w:cs="Arial"/>
                <w:b/>
                <w:bCs/>
                <w:color w:val="000000"/>
                <w:sz w:val="14"/>
                <w:szCs w:val="14"/>
              </w:rPr>
            </w:pPr>
            <w:r w:rsidRPr="00D339FE">
              <w:rPr>
                <w:rFonts w:cs="Arial"/>
                <w:b/>
                <w:bCs/>
                <w:color w:val="000000"/>
                <w:sz w:val="14"/>
                <w:szCs w:val="14"/>
              </w:rPr>
              <w:t>497,3</w:t>
            </w:r>
          </w:p>
        </w:tc>
        <w:tc>
          <w:tcPr>
            <w:tcW w:w="680" w:type="dxa"/>
            <w:tcBorders>
              <w:bottom w:val="single" w:sz="2" w:space="0" w:color="A6A6A6" w:themeColor="background1" w:themeShade="A6"/>
            </w:tcBorders>
            <w:shd w:val="clear" w:color="auto" w:fill="D5DCE4"/>
            <w:noWrap/>
            <w:vAlign w:val="center"/>
            <w:hideMark/>
          </w:tcPr>
          <w:p w14:paraId="29BE3BD8" w14:textId="160AC2E3" w:rsidR="00BD427F" w:rsidRPr="00D339FE" w:rsidRDefault="00BD427F" w:rsidP="00737954">
            <w:pPr>
              <w:spacing w:after="0" w:line="276" w:lineRule="auto"/>
              <w:ind w:right="-41"/>
              <w:jc w:val="right"/>
              <w:rPr>
                <w:rFonts w:cs="Arial"/>
                <w:b/>
                <w:bCs/>
                <w:color w:val="000000"/>
                <w:sz w:val="14"/>
                <w:szCs w:val="14"/>
              </w:rPr>
            </w:pPr>
            <w:r w:rsidRPr="00D339FE">
              <w:rPr>
                <w:rFonts w:cs="Arial"/>
                <w:b/>
                <w:bCs/>
                <w:color w:val="000000"/>
                <w:sz w:val="14"/>
                <w:szCs w:val="14"/>
              </w:rPr>
              <w:t>4.18</w:t>
            </w:r>
            <w:r w:rsidR="00D339FE">
              <w:rPr>
                <w:rFonts w:cs="Arial"/>
                <w:b/>
                <w:bCs/>
                <w:color w:val="000000"/>
                <w:sz w:val="14"/>
                <w:szCs w:val="14"/>
              </w:rPr>
              <w:t>0</w:t>
            </w:r>
            <w:r w:rsidRPr="00D339FE">
              <w:rPr>
                <w:rFonts w:cs="Arial"/>
                <w:b/>
                <w:bCs/>
                <w:color w:val="000000"/>
                <w:sz w:val="14"/>
                <w:szCs w:val="14"/>
              </w:rPr>
              <w:t>,0</w:t>
            </w:r>
          </w:p>
        </w:tc>
        <w:tc>
          <w:tcPr>
            <w:tcW w:w="680" w:type="dxa"/>
            <w:tcBorders>
              <w:bottom w:val="single" w:sz="2" w:space="0" w:color="A6A6A6" w:themeColor="background1" w:themeShade="A6"/>
            </w:tcBorders>
            <w:shd w:val="clear" w:color="auto" w:fill="D5DCE4"/>
            <w:noWrap/>
            <w:vAlign w:val="center"/>
            <w:hideMark/>
          </w:tcPr>
          <w:p w14:paraId="020A98A0" w14:textId="77777777" w:rsidR="00BD427F" w:rsidRPr="00D339FE" w:rsidRDefault="00BD427F" w:rsidP="00737954">
            <w:pPr>
              <w:spacing w:after="0" w:line="276" w:lineRule="auto"/>
              <w:ind w:right="-41"/>
              <w:jc w:val="right"/>
              <w:rPr>
                <w:rFonts w:cs="Arial"/>
                <w:b/>
                <w:bCs/>
                <w:color w:val="000000"/>
                <w:sz w:val="14"/>
                <w:szCs w:val="14"/>
              </w:rPr>
            </w:pPr>
            <w:r w:rsidRPr="00D339FE">
              <w:rPr>
                <w:rFonts w:cs="Arial"/>
                <w:b/>
                <w:bCs/>
                <w:color w:val="000000"/>
                <w:sz w:val="14"/>
                <w:szCs w:val="14"/>
              </w:rPr>
              <w:t>1.561,4</w:t>
            </w:r>
          </w:p>
        </w:tc>
        <w:tc>
          <w:tcPr>
            <w:tcW w:w="680" w:type="dxa"/>
            <w:tcBorders>
              <w:bottom w:val="single" w:sz="2" w:space="0" w:color="A6A6A6" w:themeColor="background1" w:themeShade="A6"/>
            </w:tcBorders>
            <w:shd w:val="clear" w:color="auto" w:fill="D5DCE4"/>
            <w:noWrap/>
            <w:vAlign w:val="center"/>
            <w:hideMark/>
          </w:tcPr>
          <w:p w14:paraId="6B8DECB7" w14:textId="17329AC1" w:rsidR="00BD427F" w:rsidRPr="00D339FE" w:rsidRDefault="00BD427F" w:rsidP="00737954">
            <w:pPr>
              <w:spacing w:after="0" w:line="276" w:lineRule="auto"/>
              <w:ind w:right="-41"/>
              <w:jc w:val="right"/>
              <w:rPr>
                <w:rFonts w:cs="Arial"/>
                <w:b/>
                <w:bCs/>
                <w:color w:val="000000"/>
                <w:sz w:val="14"/>
                <w:szCs w:val="14"/>
              </w:rPr>
            </w:pPr>
            <w:r w:rsidRPr="00D339FE">
              <w:rPr>
                <w:rFonts w:cs="Arial"/>
                <w:b/>
                <w:bCs/>
                <w:color w:val="000000"/>
                <w:sz w:val="14"/>
                <w:szCs w:val="14"/>
              </w:rPr>
              <w:t>322</w:t>
            </w:r>
            <w:r w:rsidR="00265E72" w:rsidRPr="00D339FE">
              <w:rPr>
                <w:rFonts w:cs="Arial"/>
                <w:b/>
                <w:bCs/>
                <w:color w:val="000000"/>
                <w:sz w:val="14"/>
                <w:szCs w:val="14"/>
              </w:rPr>
              <w:t>,</w:t>
            </w:r>
            <w:r w:rsidRPr="00D339FE">
              <w:rPr>
                <w:rFonts w:cs="Arial"/>
                <w:b/>
                <w:bCs/>
                <w:color w:val="000000"/>
                <w:sz w:val="14"/>
                <w:szCs w:val="14"/>
              </w:rPr>
              <w:t>1</w:t>
            </w:r>
          </w:p>
        </w:tc>
      </w:tr>
      <w:tr w:rsidR="000F7837" w:rsidRPr="000F7837" w14:paraId="45108271" w14:textId="77777777" w:rsidTr="00737954">
        <w:trPr>
          <w:cantSplit/>
          <w:trHeight w:val="20"/>
          <w:jc w:val="center"/>
        </w:trPr>
        <w:tc>
          <w:tcPr>
            <w:tcW w:w="11297" w:type="dxa"/>
            <w:gridSpan w:val="14"/>
            <w:tcBorders>
              <w:left w:val="nil"/>
              <w:bottom w:val="nil"/>
              <w:right w:val="nil"/>
            </w:tcBorders>
            <w:shd w:val="clear" w:color="auto" w:fill="auto"/>
            <w:vAlign w:val="center"/>
          </w:tcPr>
          <w:p w14:paraId="0B65FAD4" w14:textId="63136D4D" w:rsidR="004E498C" w:rsidRPr="005A50BF" w:rsidRDefault="005A50BF" w:rsidP="00737954">
            <w:pPr>
              <w:spacing w:before="60" w:after="0" w:line="276" w:lineRule="auto"/>
              <w:jc w:val="left"/>
              <w:rPr>
                <w:rFonts w:cs="Arial"/>
                <w:bCs/>
                <w:color w:val="000000"/>
                <w:sz w:val="16"/>
                <w:szCs w:val="16"/>
              </w:rPr>
            </w:pPr>
            <w:r w:rsidRPr="00491A9F">
              <w:rPr>
                <w:rFonts w:cs="Arial"/>
                <w:bCs/>
                <w:color w:val="000000"/>
                <w:sz w:val="16"/>
                <w:szCs w:val="16"/>
              </w:rPr>
              <w:t xml:space="preserve">* </w:t>
            </w:r>
            <w:r w:rsidRPr="00491A9F">
              <w:rPr>
                <w:rFonts w:cs="Arial"/>
                <w:bCs/>
                <w:sz w:val="16"/>
                <w:szCs w:val="16"/>
              </w:rPr>
              <w:t>2011 - 2025 και 2026 πρόβλεψη</w:t>
            </w:r>
          </w:p>
          <w:p w14:paraId="0E8A981E" w14:textId="6B67AE93" w:rsidR="000F7837" w:rsidRDefault="000F7837" w:rsidP="00737954">
            <w:pPr>
              <w:spacing w:before="60" w:after="0" w:line="276" w:lineRule="auto"/>
              <w:rPr>
                <w:rFonts w:cs="Arial"/>
                <w:bCs/>
                <w:color w:val="000000"/>
                <w:sz w:val="16"/>
                <w:szCs w:val="14"/>
              </w:rPr>
            </w:pPr>
            <w:r w:rsidRPr="000F7837">
              <w:rPr>
                <w:rFonts w:cs="Arial"/>
                <w:bCs/>
                <w:color w:val="000000"/>
                <w:sz w:val="16"/>
                <w:szCs w:val="14"/>
              </w:rPr>
              <w:t xml:space="preserve">Σημείωση: Στα έργα όπου το καταβεβλημένο ποσό </w:t>
            </w:r>
            <w:r w:rsidR="00AE328D">
              <w:rPr>
                <w:rFonts w:cs="Arial"/>
                <w:bCs/>
                <w:color w:val="000000"/>
                <w:sz w:val="16"/>
                <w:szCs w:val="14"/>
              </w:rPr>
              <w:t>υπερβαίνει το σ</w:t>
            </w:r>
            <w:r w:rsidRPr="000F7837">
              <w:rPr>
                <w:rFonts w:cs="Arial"/>
                <w:bCs/>
                <w:color w:val="000000"/>
                <w:sz w:val="16"/>
                <w:szCs w:val="14"/>
              </w:rPr>
              <w:t>υνολικό τίμημα, το επιπλέον ποσό αφορά σε τόκους</w:t>
            </w:r>
            <w:r w:rsidR="00B9488F">
              <w:rPr>
                <w:rFonts w:cs="Arial"/>
                <w:bCs/>
                <w:color w:val="000000"/>
                <w:sz w:val="16"/>
                <w:szCs w:val="14"/>
              </w:rPr>
              <w:t>.</w:t>
            </w:r>
          </w:p>
          <w:p w14:paraId="362859F9" w14:textId="75FA7516" w:rsidR="006A2C3C" w:rsidRPr="000F7837" w:rsidRDefault="006A2C3C" w:rsidP="00737954">
            <w:pPr>
              <w:spacing w:before="60" w:after="0" w:line="276" w:lineRule="auto"/>
              <w:rPr>
                <w:rFonts w:cs="Arial"/>
                <w:bCs/>
                <w:color w:val="000000"/>
                <w:sz w:val="16"/>
                <w:szCs w:val="14"/>
              </w:rPr>
            </w:pPr>
            <w:r w:rsidRPr="000F6223">
              <w:rPr>
                <w:rFonts w:cs="Arial"/>
                <w:sz w:val="16"/>
                <w:szCs w:val="16"/>
              </w:rPr>
              <w:t>Πηγή: ΕΕΣΥΠ - κλάδος πρώην ΤΑΙΠΕΔ</w:t>
            </w:r>
          </w:p>
        </w:tc>
      </w:tr>
    </w:tbl>
    <w:p w14:paraId="6EE607CA" w14:textId="4BC7635F" w:rsidR="00534648" w:rsidRDefault="00146C98" w:rsidP="003168B5">
      <w:pPr>
        <w:spacing w:before="240" w:after="240"/>
      </w:pPr>
      <w:r w:rsidRPr="00FB58A4">
        <w:t>Τα ποσά που καταβλήθηκαν για τα έτη 2011, 2012, 2013, 2014</w:t>
      </w:r>
      <w:r w:rsidR="00005CBB" w:rsidRPr="00FB58A4">
        <w:t>,</w:t>
      </w:r>
      <w:r w:rsidRPr="00FB58A4">
        <w:t xml:space="preserve"> 2015 </w:t>
      </w:r>
      <w:r w:rsidR="00005CBB" w:rsidRPr="00FB58A4">
        <w:t xml:space="preserve">και 2016 </w:t>
      </w:r>
      <w:r w:rsidRPr="00FB58A4">
        <w:t>ανέρχονται</w:t>
      </w:r>
      <w:r w:rsidR="000E7830" w:rsidRPr="00FB58A4">
        <w:t>, αντίστοιχα,</w:t>
      </w:r>
      <w:r w:rsidRPr="00FB58A4">
        <w:t xml:space="preserve"> στο ύψος </w:t>
      </w:r>
      <w:r w:rsidR="000E7830" w:rsidRPr="00FB58A4">
        <w:t xml:space="preserve">των </w:t>
      </w:r>
      <w:r w:rsidR="003C7FC0" w:rsidRPr="00FB58A4">
        <w:t xml:space="preserve">1.165,7 </w:t>
      </w:r>
      <w:r w:rsidRPr="00FB58A4">
        <w:t xml:space="preserve">εκατ. ευρώ, 5,2 εκατ. ευρώ, 1.040,4 εκατ. ευρώ, </w:t>
      </w:r>
      <w:r w:rsidR="00FB58A4" w:rsidRPr="00FB58A4">
        <w:t>419,6</w:t>
      </w:r>
      <w:r w:rsidRPr="00FB58A4">
        <w:t xml:space="preserve"> εκατ. ευρώ</w:t>
      </w:r>
      <w:r w:rsidR="00005CBB" w:rsidRPr="00FB58A4">
        <w:t>,</w:t>
      </w:r>
      <w:r w:rsidR="00C65C5E" w:rsidRPr="00FB58A4">
        <w:t xml:space="preserve"> </w:t>
      </w:r>
      <w:r w:rsidRPr="00FB58A4">
        <w:t>2</w:t>
      </w:r>
      <w:r w:rsidR="00C3657C">
        <w:t>89,2</w:t>
      </w:r>
      <w:r w:rsidRPr="00FB58A4">
        <w:t xml:space="preserve"> εκατ. ευρώ</w:t>
      </w:r>
      <w:r w:rsidR="00005CBB" w:rsidRPr="00FB58A4">
        <w:t xml:space="preserve"> και </w:t>
      </w:r>
      <w:r w:rsidR="003168B5" w:rsidRPr="00FB58A4">
        <w:t>498,3</w:t>
      </w:r>
      <w:r w:rsidR="00005CBB" w:rsidRPr="00FB58A4">
        <w:t xml:space="preserve"> εκατ. ευρώ</w:t>
      </w:r>
      <w:r w:rsidRPr="00FB58A4">
        <w:t>.</w:t>
      </w:r>
    </w:p>
    <w:tbl>
      <w:tblPr>
        <w:tblW w:w="11196"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tblBorders>
        <w:tblLayout w:type="fixed"/>
        <w:tblLook w:val="04A0" w:firstRow="1" w:lastRow="0" w:firstColumn="1" w:lastColumn="0" w:noHBand="0" w:noVBand="1"/>
      </w:tblPr>
      <w:tblGrid>
        <w:gridCol w:w="3072"/>
        <w:gridCol w:w="749"/>
        <w:gridCol w:w="847"/>
        <w:gridCol w:w="849"/>
        <w:gridCol w:w="852"/>
        <w:gridCol w:w="1141"/>
        <w:gridCol w:w="851"/>
        <w:gridCol w:w="850"/>
        <w:gridCol w:w="992"/>
        <w:gridCol w:w="993"/>
      </w:tblGrid>
      <w:tr w:rsidR="00534648" w:rsidRPr="00206845" w14:paraId="3E19D1BE" w14:textId="77777777" w:rsidTr="00737954">
        <w:trPr>
          <w:cantSplit/>
          <w:trHeight w:val="340"/>
          <w:tblHeader/>
          <w:jc w:val="center"/>
        </w:trPr>
        <w:tc>
          <w:tcPr>
            <w:tcW w:w="11196" w:type="dxa"/>
            <w:gridSpan w:val="10"/>
            <w:shd w:val="clear" w:color="auto" w:fill="D5DCE4"/>
            <w:vAlign w:val="center"/>
            <w:hideMark/>
          </w:tcPr>
          <w:p w14:paraId="1933F236" w14:textId="6501FBDA" w:rsidR="00EB3408" w:rsidRDefault="00534648" w:rsidP="00D63A6F">
            <w:pPr>
              <w:spacing w:after="0" w:line="276" w:lineRule="auto"/>
              <w:jc w:val="center"/>
              <w:rPr>
                <w:rFonts w:cs="Arial"/>
                <w:b/>
                <w:bCs/>
                <w:color w:val="000000"/>
                <w:sz w:val="18"/>
                <w:szCs w:val="18"/>
              </w:rPr>
            </w:pPr>
            <w:bookmarkStart w:id="805" w:name="_Ref213525708"/>
            <w:bookmarkStart w:id="806" w:name="_Toc214474140"/>
            <w:r w:rsidRPr="00D63A6F">
              <w:rPr>
                <w:rFonts w:cs="Arial"/>
                <w:b/>
                <w:sz w:val="18"/>
                <w:szCs w:val="18"/>
              </w:rPr>
              <w:t>Πίνακας 5.</w:t>
            </w:r>
            <w:r w:rsidRPr="00D63A6F">
              <w:rPr>
                <w:rFonts w:cs="Arial"/>
                <w:b/>
                <w:sz w:val="18"/>
                <w:szCs w:val="18"/>
              </w:rPr>
              <w:fldChar w:fldCharType="begin"/>
            </w:r>
            <w:r w:rsidRPr="00D63A6F">
              <w:rPr>
                <w:rFonts w:cs="Arial"/>
                <w:b/>
                <w:sz w:val="18"/>
                <w:szCs w:val="18"/>
              </w:rPr>
              <w:instrText xml:space="preserve"> SEQ Πίνακας_5. \* ARABIC </w:instrText>
            </w:r>
            <w:r w:rsidRPr="00D63A6F">
              <w:rPr>
                <w:rFonts w:cs="Arial"/>
                <w:b/>
                <w:sz w:val="18"/>
                <w:szCs w:val="18"/>
              </w:rPr>
              <w:fldChar w:fldCharType="separate"/>
            </w:r>
            <w:r w:rsidR="00E15678">
              <w:rPr>
                <w:rFonts w:cs="Arial"/>
                <w:b/>
                <w:noProof/>
                <w:sz w:val="18"/>
                <w:szCs w:val="18"/>
              </w:rPr>
              <w:t>6</w:t>
            </w:r>
            <w:r w:rsidRPr="00D63A6F">
              <w:rPr>
                <w:rFonts w:cs="Arial"/>
                <w:b/>
                <w:sz w:val="18"/>
                <w:szCs w:val="18"/>
              </w:rPr>
              <w:fldChar w:fldCharType="end"/>
            </w:r>
            <w:bookmarkEnd w:id="805"/>
            <w:r w:rsidRPr="00D63A6F">
              <w:rPr>
                <w:rFonts w:cs="Arial"/>
                <w:b/>
                <w:sz w:val="18"/>
                <w:szCs w:val="18"/>
              </w:rPr>
              <w:t xml:space="preserve">.: </w:t>
            </w:r>
            <w:r w:rsidRPr="00D63A6F">
              <w:rPr>
                <w:rFonts w:cs="Arial"/>
                <w:b/>
                <w:bCs/>
                <w:color w:val="000000"/>
                <w:sz w:val="18"/>
                <w:szCs w:val="18"/>
              </w:rPr>
              <w:t xml:space="preserve">Πλάνο </w:t>
            </w:r>
            <w:r w:rsidR="007C3178">
              <w:rPr>
                <w:rFonts w:cs="Arial"/>
                <w:b/>
                <w:bCs/>
                <w:color w:val="000000"/>
                <w:sz w:val="18"/>
                <w:szCs w:val="18"/>
              </w:rPr>
              <w:t>α</w:t>
            </w:r>
            <w:r w:rsidRPr="00D63A6F">
              <w:rPr>
                <w:rFonts w:cs="Arial"/>
                <w:b/>
                <w:bCs/>
                <w:color w:val="000000"/>
                <w:sz w:val="18"/>
                <w:szCs w:val="18"/>
              </w:rPr>
              <w:t>ποκρατικοποιήσεων</w:t>
            </w:r>
            <w:bookmarkEnd w:id="806"/>
          </w:p>
          <w:p w14:paraId="35B6BA67" w14:textId="3B2F1B37" w:rsidR="00534648" w:rsidRPr="00D63A6F" w:rsidRDefault="00534648" w:rsidP="00D63A6F">
            <w:pPr>
              <w:spacing w:after="0" w:line="276" w:lineRule="auto"/>
              <w:jc w:val="center"/>
              <w:rPr>
                <w:rFonts w:cs="Arial"/>
                <w:b/>
                <w:bCs/>
                <w:color w:val="000000"/>
                <w:sz w:val="18"/>
                <w:szCs w:val="18"/>
              </w:rPr>
            </w:pPr>
            <w:r w:rsidRPr="00D63A6F">
              <w:rPr>
                <w:rFonts w:cs="Arial"/>
                <w:b/>
                <w:bCs/>
                <w:color w:val="000000"/>
                <w:sz w:val="18"/>
                <w:szCs w:val="18"/>
              </w:rPr>
              <w:t>(σε εκατ. ευρώ)</w:t>
            </w:r>
          </w:p>
        </w:tc>
      </w:tr>
      <w:tr w:rsidR="001B3314" w:rsidRPr="00206845" w14:paraId="5B0A048A" w14:textId="77777777" w:rsidTr="0099413B">
        <w:trPr>
          <w:cantSplit/>
          <w:trHeight w:val="227"/>
          <w:tblHeader/>
          <w:jc w:val="center"/>
        </w:trPr>
        <w:tc>
          <w:tcPr>
            <w:tcW w:w="3072" w:type="dxa"/>
            <w:shd w:val="clear" w:color="auto" w:fill="F2F2F2" w:themeFill="background1" w:themeFillShade="F2"/>
            <w:vAlign w:val="center"/>
            <w:hideMark/>
          </w:tcPr>
          <w:p w14:paraId="2FB1A053" w14:textId="76AC4CFD" w:rsidR="008178E9" w:rsidRPr="00206845" w:rsidRDefault="008178E9" w:rsidP="00D63A6F">
            <w:pPr>
              <w:spacing w:after="0" w:line="276" w:lineRule="auto"/>
              <w:jc w:val="center"/>
              <w:rPr>
                <w:rFonts w:cs="Arial"/>
                <w:sz w:val="16"/>
                <w:szCs w:val="16"/>
              </w:rPr>
            </w:pPr>
          </w:p>
        </w:tc>
        <w:tc>
          <w:tcPr>
            <w:tcW w:w="749" w:type="dxa"/>
            <w:shd w:val="clear" w:color="auto" w:fill="F2F2F2" w:themeFill="background1" w:themeFillShade="F2"/>
            <w:noWrap/>
            <w:vAlign w:val="center"/>
            <w:hideMark/>
          </w:tcPr>
          <w:p w14:paraId="4C6057DC"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2021</w:t>
            </w:r>
          </w:p>
        </w:tc>
        <w:tc>
          <w:tcPr>
            <w:tcW w:w="847" w:type="dxa"/>
            <w:shd w:val="clear" w:color="auto" w:fill="F2F2F2" w:themeFill="background1" w:themeFillShade="F2"/>
            <w:noWrap/>
            <w:vAlign w:val="center"/>
            <w:hideMark/>
          </w:tcPr>
          <w:p w14:paraId="2717663E"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2022</w:t>
            </w:r>
          </w:p>
        </w:tc>
        <w:tc>
          <w:tcPr>
            <w:tcW w:w="849" w:type="dxa"/>
            <w:shd w:val="clear" w:color="auto" w:fill="F2F2F2" w:themeFill="background1" w:themeFillShade="F2"/>
            <w:noWrap/>
            <w:vAlign w:val="center"/>
            <w:hideMark/>
          </w:tcPr>
          <w:p w14:paraId="47BA31C3"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2023</w:t>
            </w:r>
          </w:p>
        </w:tc>
        <w:tc>
          <w:tcPr>
            <w:tcW w:w="852" w:type="dxa"/>
            <w:tcBorders>
              <w:right w:val="single" w:sz="2" w:space="0" w:color="A6A6A6" w:themeColor="background1" w:themeShade="A6"/>
            </w:tcBorders>
            <w:shd w:val="clear" w:color="auto" w:fill="F2F2F2" w:themeFill="background1" w:themeFillShade="F2"/>
            <w:noWrap/>
            <w:vAlign w:val="center"/>
            <w:hideMark/>
          </w:tcPr>
          <w:p w14:paraId="4D13EC7E"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2024</w:t>
            </w:r>
          </w:p>
        </w:tc>
        <w:tc>
          <w:tcPr>
            <w:tcW w:w="1141" w:type="dxa"/>
            <w:tcBorders>
              <w:left w:val="single" w:sz="2" w:space="0" w:color="A6A6A6" w:themeColor="background1" w:themeShade="A6"/>
              <w:right w:val="single" w:sz="2" w:space="0" w:color="A6A6A6" w:themeColor="background1" w:themeShade="A6"/>
            </w:tcBorders>
            <w:shd w:val="clear" w:color="auto" w:fill="F2F2F2" w:themeFill="background1" w:themeFillShade="F2"/>
            <w:noWrap/>
            <w:vAlign w:val="center"/>
            <w:hideMark/>
          </w:tcPr>
          <w:p w14:paraId="106471C5"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2025</w:t>
            </w:r>
          </w:p>
        </w:tc>
        <w:tc>
          <w:tcPr>
            <w:tcW w:w="851" w:type="dxa"/>
            <w:tcBorders>
              <w:left w:val="single" w:sz="2" w:space="0" w:color="A6A6A6" w:themeColor="background1" w:themeShade="A6"/>
            </w:tcBorders>
            <w:shd w:val="clear" w:color="auto" w:fill="F2F2F2" w:themeFill="background1" w:themeFillShade="F2"/>
            <w:noWrap/>
            <w:vAlign w:val="center"/>
            <w:hideMark/>
          </w:tcPr>
          <w:p w14:paraId="786D5DCB"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2026</w:t>
            </w:r>
          </w:p>
        </w:tc>
        <w:tc>
          <w:tcPr>
            <w:tcW w:w="850" w:type="dxa"/>
            <w:shd w:val="clear" w:color="auto" w:fill="F2F2F2" w:themeFill="background1" w:themeFillShade="F2"/>
            <w:noWrap/>
            <w:vAlign w:val="center"/>
            <w:hideMark/>
          </w:tcPr>
          <w:p w14:paraId="16B41CAD"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2027</w:t>
            </w:r>
          </w:p>
        </w:tc>
        <w:tc>
          <w:tcPr>
            <w:tcW w:w="992" w:type="dxa"/>
            <w:shd w:val="clear" w:color="auto" w:fill="F2F2F2" w:themeFill="background1" w:themeFillShade="F2"/>
            <w:noWrap/>
            <w:vAlign w:val="center"/>
            <w:hideMark/>
          </w:tcPr>
          <w:p w14:paraId="16BCC9EE"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2028</w:t>
            </w:r>
          </w:p>
        </w:tc>
        <w:tc>
          <w:tcPr>
            <w:tcW w:w="993" w:type="dxa"/>
            <w:shd w:val="clear" w:color="auto" w:fill="F2F2F2" w:themeFill="background1" w:themeFillShade="F2"/>
            <w:noWrap/>
            <w:vAlign w:val="center"/>
            <w:hideMark/>
          </w:tcPr>
          <w:p w14:paraId="639B61F6" w14:textId="77777777" w:rsidR="008178E9" w:rsidRPr="00206845" w:rsidRDefault="008178E9" w:rsidP="00D63A6F">
            <w:pPr>
              <w:spacing w:after="0" w:line="276" w:lineRule="auto"/>
              <w:jc w:val="center"/>
              <w:rPr>
                <w:rFonts w:cs="Arial"/>
                <w:b/>
                <w:bCs/>
                <w:sz w:val="16"/>
                <w:szCs w:val="16"/>
              </w:rPr>
            </w:pPr>
            <w:r w:rsidRPr="00206845">
              <w:rPr>
                <w:rFonts w:cs="Arial"/>
                <w:b/>
                <w:bCs/>
                <w:sz w:val="16"/>
                <w:szCs w:val="16"/>
              </w:rPr>
              <w:t>2029</w:t>
            </w:r>
          </w:p>
        </w:tc>
      </w:tr>
      <w:tr w:rsidR="00856BFE" w:rsidRPr="00206845" w14:paraId="40643D55" w14:textId="77777777" w:rsidTr="0099413B">
        <w:trPr>
          <w:cantSplit/>
          <w:trHeight w:val="227"/>
          <w:tblHeader/>
          <w:jc w:val="center"/>
        </w:trPr>
        <w:tc>
          <w:tcPr>
            <w:tcW w:w="3072" w:type="dxa"/>
            <w:shd w:val="clear" w:color="auto" w:fill="F2F2F2" w:themeFill="background1" w:themeFillShade="F2"/>
            <w:vAlign w:val="bottom"/>
            <w:hideMark/>
          </w:tcPr>
          <w:p w14:paraId="2A5D0ABC" w14:textId="0647DE8A" w:rsidR="00856BFE" w:rsidRPr="00206845" w:rsidRDefault="00856BFE" w:rsidP="00D63A6F">
            <w:pPr>
              <w:spacing w:after="0" w:line="276" w:lineRule="auto"/>
              <w:jc w:val="left"/>
              <w:rPr>
                <w:rFonts w:cs="Arial"/>
                <w:sz w:val="16"/>
                <w:szCs w:val="16"/>
              </w:rPr>
            </w:pPr>
          </w:p>
        </w:tc>
        <w:tc>
          <w:tcPr>
            <w:tcW w:w="3297" w:type="dxa"/>
            <w:gridSpan w:val="4"/>
            <w:tcBorders>
              <w:right w:val="single" w:sz="2" w:space="0" w:color="A6A6A6" w:themeColor="background1" w:themeShade="A6"/>
            </w:tcBorders>
            <w:shd w:val="clear" w:color="auto" w:fill="F2F2F2" w:themeFill="background1" w:themeFillShade="F2"/>
            <w:noWrap/>
            <w:vAlign w:val="center"/>
            <w:hideMark/>
          </w:tcPr>
          <w:p w14:paraId="0D04EFC1" w14:textId="7484F44F" w:rsidR="00856BFE" w:rsidRPr="00D63A6F" w:rsidRDefault="00856BFE" w:rsidP="00D63A6F">
            <w:pPr>
              <w:spacing w:after="0" w:line="276" w:lineRule="auto"/>
              <w:jc w:val="center"/>
              <w:rPr>
                <w:rFonts w:cs="Arial"/>
                <w:b/>
                <w:sz w:val="16"/>
                <w:szCs w:val="16"/>
              </w:rPr>
            </w:pPr>
            <w:r w:rsidRPr="00D63A6F">
              <w:rPr>
                <w:rFonts w:cs="Arial"/>
                <w:b/>
                <w:sz w:val="16"/>
                <w:szCs w:val="16"/>
              </w:rPr>
              <w:t>Εισπράξεις</w:t>
            </w:r>
          </w:p>
        </w:tc>
        <w:tc>
          <w:tcPr>
            <w:tcW w:w="1141" w:type="dxa"/>
            <w:tcBorders>
              <w:left w:val="single" w:sz="2" w:space="0" w:color="A6A6A6" w:themeColor="background1" w:themeShade="A6"/>
            </w:tcBorders>
            <w:shd w:val="clear" w:color="auto" w:fill="F2F2F2" w:themeFill="background1" w:themeFillShade="F2"/>
            <w:noWrap/>
            <w:vAlign w:val="center"/>
            <w:hideMark/>
          </w:tcPr>
          <w:p w14:paraId="11DD9C7D" w14:textId="39793593" w:rsidR="00856BFE" w:rsidRPr="00D63A6F" w:rsidRDefault="00856BFE" w:rsidP="00D63A6F">
            <w:pPr>
              <w:spacing w:after="0" w:line="276" w:lineRule="auto"/>
              <w:jc w:val="center"/>
              <w:rPr>
                <w:rFonts w:cs="Arial"/>
                <w:b/>
                <w:sz w:val="16"/>
                <w:szCs w:val="16"/>
              </w:rPr>
            </w:pPr>
            <w:r>
              <w:rPr>
                <w:rFonts w:cs="Arial"/>
                <w:b/>
                <w:sz w:val="16"/>
                <w:szCs w:val="16"/>
              </w:rPr>
              <w:t>Εκτιμήσεις</w:t>
            </w:r>
          </w:p>
        </w:tc>
        <w:tc>
          <w:tcPr>
            <w:tcW w:w="3686" w:type="dxa"/>
            <w:gridSpan w:val="4"/>
            <w:tcBorders>
              <w:left w:val="single" w:sz="2" w:space="0" w:color="A6A6A6" w:themeColor="background1" w:themeShade="A6"/>
            </w:tcBorders>
            <w:shd w:val="clear" w:color="auto" w:fill="F2F2F2" w:themeFill="background1" w:themeFillShade="F2"/>
            <w:vAlign w:val="center"/>
          </w:tcPr>
          <w:p w14:paraId="331ED1D2" w14:textId="14A02DDB" w:rsidR="00856BFE" w:rsidRPr="00D63A6F" w:rsidRDefault="00856BFE" w:rsidP="00D63A6F">
            <w:pPr>
              <w:spacing w:after="0" w:line="276" w:lineRule="auto"/>
              <w:jc w:val="center"/>
              <w:rPr>
                <w:rFonts w:cs="Arial"/>
                <w:b/>
                <w:sz w:val="16"/>
                <w:szCs w:val="16"/>
              </w:rPr>
            </w:pPr>
            <w:r w:rsidRPr="00D63A6F">
              <w:rPr>
                <w:rFonts w:cs="Arial"/>
                <w:b/>
                <w:sz w:val="16"/>
                <w:szCs w:val="16"/>
              </w:rPr>
              <w:t>Προβλέψεις</w:t>
            </w:r>
          </w:p>
        </w:tc>
      </w:tr>
      <w:tr w:rsidR="001B3314" w:rsidRPr="00206845" w14:paraId="51B8D18B" w14:textId="77777777" w:rsidTr="00737954">
        <w:trPr>
          <w:cantSplit/>
          <w:trHeight w:val="227"/>
          <w:jc w:val="center"/>
        </w:trPr>
        <w:tc>
          <w:tcPr>
            <w:tcW w:w="3072" w:type="dxa"/>
            <w:shd w:val="clear" w:color="auto" w:fill="D5DCE4"/>
            <w:vAlign w:val="center"/>
            <w:hideMark/>
          </w:tcPr>
          <w:p w14:paraId="61B213B3" w14:textId="741D36EF" w:rsidR="008178E9" w:rsidRPr="00206845" w:rsidRDefault="008178E9" w:rsidP="00A02D1C">
            <w:pPr>
              <w:spacing w:after="0" w:line="276" w:lineRule="auto"/>
              <w:jc w:val="left"/>
              <w:rPr>
                <w:rFonts w:cs="Arial"/>
                <w:b/>
                <w:bCs/>
                <w:sz w:val="16"/>
                <w:szCs w:val="16"/>
              </w:rPr>
            </w:pPr>
            <w:r w:rsidRPr="00206845">
              <w:rPr>
                <w:rFonts w:cs="Arial"/>
                <w:b/>
                <w:bCs/>
                <w:sz w:val="16"/>
                <w:szCs w:val="16"/>
              </w:rPr>
              <w:t>Συνολικές εισπράξεις/προβλέψεις</w:t>
            </w:r>
          </w:p>
        </w:tc>
        <w:tc>
          <w:tcPr>
            <w:tcW w:w="749" w:type="dxa"/>
            <w:shd w:val="clear" w:color="auto" w:fill="D5DCE4"/>
            <w:noWrap/>
            <w:vAlign w:val="center"/>
            <w:hideMark/>
          </w:tcPr>
          <w:p w14:paraId="07AA98F7"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660,38</w:t>
            </w:r>
          </w:p>
        </w:tc>
        <w:tc>
          <w:tcPr>
            <w:tcW w:w="847" w:type="dxa"/>
            <w:shd w:val="clear" w:color="auto" w:fill="D5DCE4"/>
            <w:noWrap/>
            <w:vAlign w:val="center"/>
            <w:hideMark/>
          </w:tcPr>
          <w:p w14:paraId="36BAF487"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586,60</w:t>
            </w:r>
          </w:p>
        </w:tc>
        <w:tc>
          <w:tcPr>
            <w:tcW w:w="849" w:type="dxa"/>
            <w:shd w:val="clear" w:color="auto" w:fill="D5DCE4"/>
            <w:noWrap/>
            <w:vAlign w:val="center"/>
            <w:hideMark/>
          </w:tcPr>
          <w:p w14:paraId="3D43ACBE" w14:textId="40A97E94" w:rsidR="008178E9" w:rsidRPr="00206845" w:rsidRDefault="008178E9" w:rsidP="001B3314">
            <w:pPr>
              <w:spacing w:after="0" w:line="276" w:lineRule="auto"/>
              <w:jc w:val="right"/>
              <w:rPr>
                <w:rFonts w:cs="Arial"/>
                <w:b/>
                <w:bCs/>
                <w:sz w:val="16"/>
                <w:szCs w:val="16"/>
              </w:rPr>
            </w:pPr>
            <w:r w:rsidRPr="00206845">
              <w:rPr>
                <w:rFonts w:cs="Arial"/>
                <w:b/>
                <w:bCs/>
                <w:sz w:val="16"/>
                <w:szCs w:val="16"/>
              </w:rPr>
              <w:t>4</w:t>
            </w:r>
            <w:r w:rsidR="00FC5790">
              <w:rPr>
                <w:rFonts w:cs="Arial"/>
                <w:b/>
                <w:bCs/>
                <w:sz w:val="16"/>
                <w:szCs w:val="16"/>
                <w:lang w:val="en-US"/>
              </w:rPr>
              <w:t>97,28</w:t>
            </w:r>
          </w:p>
        </w:tc>
        <w:tc>
          <w:tcPr>
            <w:tcW w:w="852" w:type="dxa"/>
            <w:shd w:val="clear" w:color="auto" w:fill="D5DCE4"/>
            <w:noWrap/>
            <w:vAlign w:val="center"/>
            <w:hideMark/>
          </w:tcPr>
          <w:p w14:paraId="6846DCB9" w14:textId="102DFB68" w:rsidR="008178E9" w:rsidRPr="00206845" w:rsidRDefault="008178E9" w:rsidP="001B3314">
            <w:pPr>
              <w:spacing w:after="0" w:line="276" w:lineRule="auto"/>
              <w:jc w:val="right"/>
              <w:rPr>
                <w:rFonts w:cs="Arial"/>
                <w:b/>
                <w:bCs/>
                <w:sz w:val="16"/>
                <w:szCs w:val="16"/>
              </w:rPr>
            </w:pPr>
            <w:r w:rsidRPr="00206845">
              <w:rPr>
                <w:rFonts w:cs="Arial"/>
                <w:b/>
                <w:bCs/>
                <w:sz w:val="16"/>
                <w:szCs w:val="16"/>
              </w:rPr>
              <w:t>4</w:t>
            </w:r>
            <w:r w:rsidR="00A02D1C">
              <w:rPr>
                <w:rFonts w:cs="Arial"/>
                <w:b/>
                <w:bCs/>
                <w:sz w:val="16"/>
                <w:szCs w:val="16"/>
              </w:rPr>
              <w:t>.</w:t>
            </w:r>
            <w:r w:rsidRPr="00206845">
              <w:rPr>
                <w:rFonts w:cs="Arial"/>
                <w:b/>
                <w:bCs/>
                <w:sz w:val="16"/>
                <w:szCs w:val="16"/>
              </w:rPr>
              <w:t>180,00</w:t>
            </w:r>
          </w:p>
        </w:tc>
        <w:tc>
          <w:tcPr>
            <w:tcW w:w="1141" w:type="dxa"/>
            <w:shd w:val="clear" w:color="auto" w:fill="D5DCE4"/>
            <w:noWrap/>
            <w:vAlign w:val="center"/>
            <w:hideMark/>
          </w:tcPr>
          <w:p w14:paraId="018E8E09" w14:textId="4F1290FC" w:rsidR="008178E9" w:rsidRPr="00206845" w:rsidRDefault="008178E9" w:rsidP="001B3314">
            <w:pPr>
              <w:spacing w:after="0" w:line="276" w:lineRule="auto"/>
              <w:jc w:val="right"/>
              <w:rPr>
                <w:rFonts w:cs="Arial"/>
                <w:b/>
                <w:bCs/>
                <w:sz w:val="16"/>
                <w:szCs w:val="16"/>
              </w:rPr>
            </w:pPr>
            <w:r w:rsidRPr="00206845">
              <w:rPr>
                <w:rFonts w:cs="Arial"/>
                <w:b/>
                <w:bCs/>
                <w:sz w:val="16"/>
                <w:szCs w:val="16"/>
              </w:rPr>
              <w:t>1</w:t>
            </w:r>
            <w:r w:rsidR="00A02D1C">
              <w:rPr>
                <w:rFonts w:cs="Arial"/>
                <w:b/>
                <w:bCs/>
                <w:sz w:val="16"/>
                <w:szCs w:val="16"/>
              </w:rPr>
              <w:t>.</w:t>
            </w:r>
            <w:r w:rsidRPr="00206845">
              <w:rPr>
                <w:rFonts w:cs="Arial"/>
                <w:b/>
                <w:bCs/>
                <w:sz w:val="16"/>
                <w:szCs w:val="16"/>
              </w:rPr>
              <w:t>561,40</w:t>
            </w:r>
          </w:p>
        </w:tc>
        <w:tc>
          <w:tcPr>
            <w:tcW w:w="851" w:type="dxa"/>
            <w:shd w:val="clear" w:color="auto" w:fill="D5DCE4"/>
            <w:noWrap/>
            <w:vAlign w:val="center"/>
            <w:hideMark/>
          </w:tcPr>
          <w:p w14:paraId="54EBA72A"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322,10</w:t>
            </w:r>
          </w:p>
        </w:tc>
        <w:tc>
          <w:tcPr>
            <w:tcW w:w="850" w:type="dxa"/>
            <w:shd w:val="clear" w:color="auto" w:fill="D5DCE4"/>
            <w:noWrap/>
            <w:vAlign w:val="center"/>
            <w:hideMark/>
          </w:tcPr>
          <w:p w14:paraId="6F78E36D"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212,43</w:t>
            </w:r>
          </w:p>
        </w:tc>
        <w:tc>
          <w:tcPr>
            <w:tcW w:w="992" w:type="dxa"/>
            <w:shd w:val="clear" w:color="auto" w:fill="D5DCE4"/>
            <w:noWrap/>
            <w:vAlign w:val="center"/>
            <w:hideMark/>
          </w:tcPr>
          <w:p w14:paraId="0BB9CADB" w14:textId="1650E2F9" w:rsidR="008178E9" w:rsidRPr="00206845" w:rsidRDefault="008178E9" w:rsidP="001B3314">
            <w:pPr>
              <w:spacing w:after="0" w:line="276" w:lineRule="auto"/>
              <w:jc w:val="right"/>
              <w:rPr>
                <w:rFonts w:cs="Arial"/>
                <w:b/>
                <w:bCs/>
                <w:sz w:val="16"/>
                <w:szCs w:val="16"/>
              </w:rPr>
            </w:pPr>
            <w:r w:rsidRPr="00206845">
              <w:rPr>
                <w:rFonts w:cs="Arial"/>
                <w:b/>
                <w:bCs/>
                <w:sz w:val="16"/>
                <w:szCs w:val="16"/>
              </w:rPr>
              <w:t>2</w:t>
            </w:r>
            <w:r w:rsidR="00A02D1C">
              <w:rPr>
                <w:rFonts w:cs="Arial"/>
                <w:b/>
                <w:bCs/>
                <w:sz w:val="16"/>
                <w:szCs w:val="16"/>
              </w:rPr>
              <w:t>.</w:t>
            </w:r>
            <w:r w:rsidRPr="00206845">
              <w:rPr>
                <w:rFonts w:cs="Arial"/>
                <w:b/>
                <w:bCs/>
                <w:sz w:val="16"/>
                <w:szCs w:val="16"/>
              </w:rPr>
              <w:t>663,05</w:t>
            </w:r>
          </w:p>
        </w:tc>
        <w:tc>
          <w:tcPr>
            <w:tcW w:w="993" w:type="dxa"/>
            <w:shd w:val="clear" w:color="auto" w:fill="D5DCE4"/>
            <w:noWrap/>
            <w:vAlign w:val="center"/>
            <w:hideMark/>
          </w:tcPr>
          <w:p w14:paraId="71A7E994"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174,78</w:t>
            </w:r>
          </w:p>
        </w:tc>
      </w:tr>
      <w:tr w:rsidR="001B3314" w:rsidRPr="00206845" w14:paraId="15A8702B" w14:textId="77777777" w:rsidTr="00737954">
        <w:trPr>
          <w:cantSplit/>
          <w:trHeight w:val="227"/>
          <w:jc w:val="center"/>
        </w:trPr>
        <w:tc>
          <w:tcPr>
            <w:tcW w:w="3072" w:type="dxa"/>
            <w:shd w:val="clear" w:color="auto" w:fill="auto"/>
            <w:vAlign w:val="center"/>
            <w:hideMark/>
          </w:tcPr>
          <w:p w14:paraId="3A4BA839" w14:textId="77777777" w:rsidR="008178E9" w:rsidRPr="00206845" w:rsidRDefault="008178E9" w:rsidP="00A02D1C">
            <w:pPr>
              <w:spacing w:after="0" w:line="276" w:lineRule="auto"/>
              <w:jc w:val="left"/>
              <w:rPr>
                <w:rFonts w:cs="Arial"/>
                <w:b/>
                <w:bCs/>
                <w:sz w:val="16"/>
                <w:szCs w:val="16"/>
              </w:rPr>
            </w:pPr>
            <w:r w:rsidRPr="00206845">
              <w:rPr>
                <w:rFonts w:cs="Arial"/>
                <w:b/>
                <w:bCs/>
                <w:sz w:val="16"/>
                <w:szCs w:val="16"/>
              </w:rPr>
              <w:t>Σωρευτικό (από το 2020)</w:t>
            </w:r>
          </w:p>
        </w:tc>
        <w:tc>
          <w:tcPr>
            <w:tcW w:w="749" w:type="dxa"/>
            <w:shd w:val="clear" w:color="auto" w:fill="auto"/>
            <w:noWrap/>
            <w:vAlign w:val="center"/>
            <w:hideMark/>
          </w:tcPr>
          <w:p w14:paraId="03816DAD" w14:textId="77777777" w:rsidR="008178E9" w:rsidRPr="00206845" w:rsidRDefault="008178E9" w:rsidP="001B3314">
            <w:pPr>
              <w:spacing w:after="0" w:line="276" w:lineRule="auto"/>
              <w:jc w:val="right"/>
              <w:rPr>
                <w:rFonts w:cs="Arial"/>
                <w:sz w:val="16"/>
                <w:szCs w:val="16"/>
              </w:rPr>
            </w:pPr>
            <w:r w:rsidRPr="00206845">
              <w:rPr>
                <w:rFonts w:cs="Arial"/>
                <w:sz w:val="16"/>
                <w:szCs w:val="16"/>
              </w:rPr>
              <w:t>665,63</w:t>
            </w:r>
          </w:p>
        </w:tc>
        <w:tc>
          <w:tcPr>
            <w:tcW w:w="847" w:type="dxa"/>
            <w:shd w:val="clear" w:color="auto" w:fill="auto"/>
            <w:noWrap/>
            <w:vAlign w:val="center"/>
            <w:hideMark/>
          </w:tcPr>
          <w:p w14:paraId="17592698" w14:textId="48EFD89F" w:rsidR="008178E9" w:rsidRPr="00206845" w:rsidRDefault="008178E9" w:rsidP="001B3314">
            <w:pPr>
              <w:spacing w:after="0" w:line="276" w:lineRule="auto"/>
              <w:jc w:val="right"/>
              <w:rPr>
                <w:rFonts w:cs="Arial"/>
                <w:sz w:val="16"/>
                <w:szCs w:val="16"/>
              </w:rPr>
            </w:pPr>
            <w:r w:rsidRPr="00206845">
              <w:rPr>
                <w:rFonts w:cs="Arial"/>
                <w:sz w:val="16"/>
                <w:szCs w:val="16"/>
              </w:rPr>
              <w:t>1</w:t>
            </w:r>
            <w:r w:rsidR="00A02D1C">
              <w:rPr>
                <w:rFonts w:cs="Arial"/>
                <w:sz w:val="16"/>
                <w:szCs w:val="16"/>
              </w:rPr>
              <w:t>.</w:t>
            </w:r>
            <w:r w:rsidRPr="00206845">
              <w:rPr>
                <w:rFonts w:cs="Arial"/>
                <w:sz w:val="16"/>
                <w:szCs w:val="16"/>
              </w:rPr>
              <w:t>252,23</w:t>
            </w:r>
          </w:p>
        </w:tc>
        <w:tc>
          <w:tcPr>
            <w:tcW w:w="849" w:type="dxa"/>
            <w:shd w:val="clear" w:color="auto" w:fill="auto"/>
            <w:noWrap/>
            <w:vAlign w:val="center"/>
            <w:hideMark/>
          </w:tcPr>
          <w:p w14:paraId="522A5728" w14:textId="7115AB07" w:rsidR="008178E9" w:rsidRPr="00206845" w:rsidRDefault="008178E9" w:rsidP="001B3314">
            <w:pPr>
              <w:spacing w:after="0" w:line="276" w:lineRule="auto"/>
              <w:jc w:val="right"/>
              <w:rPr>
                <w:rFonts w:cs="Arial"/>
                <w:sz w:val="16"/>
                <w:szCs w:val="16"/>
              </w:rPr>
            </w:pPr>
            <w:r w:rsidRPr="00206845">
              <w:rPr>
                <w:rFonts w:cs="Arial"/>
                <w:sz w:val="16"/>
                <w:szCs w:val="16"/>
              </w:rPr>
              <w:t>1</w:t>
            </w:r>
            <w:r w:rsidR="00A02D1C">
              <w:rPr>
                <w:rFonts w:cs="Arial"/>
                <w:sz w:val="16"/>
                <w:szCs w:val="16"/>
              </w:rPr>
              <w:t>.</w:t>
            </w:r>
            <w:r w:rsidR="001F1ABA">
              <w:rPr>
                <w:rFonts w:cs="Arial"/>
                <w:sz w:val="16"/>
                <w:szCs w:val="16"/>
              </w:rPr>
              <w:t>749,51</w:t>
            </w:r>
          </w:p>
        </w:tc>
        <w:tc>
          <w:tcPr>
            <w:tcW w:w="852" w:type="dxa"/>
            <w:shd w:val="clear" w:color="auto" w:fill="auto"/>
            <w:noWrap/>
            <w:vAlign w:val="center"/>
            <w:hideMark/>
          </w:tcPr>
          <w:p w14:paraId="3D5E6D60" w14:textId="7B3BCD34" w:rsidR="008178E9" w:rsidRPr="00206845" w:rsidRDefault="008178E9" w:rsidP="001B3314">
            <w:pPr>
              <w:spacing w:after="0" w:line="276" w:lineRule="auto"/>
              <w:jc w:val="right"/>
              <w:rPr>
                <w:rFonts w:cs="Arial"/>
                <w:sz w:val="16"/>
                <w:szCs w:val="16"/>
              </w:rPr>
            </w:pPr>
            <w:r w:rsidRPr="00206845">
              <w:rPr>
                <w:rFonts w:cs="Arial"/>
                <w:sz w:val="16"/>
                <w:szCs w:val="16"/>
              </w:rPr>
              <w:t>5</w:t>
            </w:r>
            <w:r w:rsidR="00A02D1C">
              <w:rPr>
                <w:rFonts w:cs="Arial"/>
                <w:sz w:val="16"/>
                <w:szCs w:val="16"/>
              </w:rPr>
              <w:t>.</w:t>
            </w:r>
            <w:r w:rsidR="001F1ABA">
              <w:rPr>
                <w:rFonts w:cs="Arial"/>
                <w:sz w:val="16"/>
                <w:szCs w:val="16"/>
              </w:rPr>
              <w:t>929,51</w:t>
            </w:r>
          </w:p>
        </w:tc>
        <w:tc>
          <w:tcPr>
            <w:tcW w:w="1141" w:type="dxa"/>
            <w:shd w:val="clear" w:color="auto" w:fill="auto"/>
            <w:noWrap/>
            <w:vAlign w:val="center"/>
            <w:hideMark/>
          </w:tcPr>
          <w:p w14:paraId="6A96DF87" w14:textId="20561BD0" w:rsidR="008178E9" w:rsidRPr="00206845" w:rsidRDefault="008178E9" w:rsidP="001B3314">
            <w:pPr>
              <w:spacing w:after="0" w:line="276" w:lineRule="auto"/>
              <w:jc w:val="right"/>
              <w:rPr>
                <w:rFonts w:cs="Arial"/>
                <w:sz w:val="16"/>
                <w:szCs w:val="16"/>
              </w:rPr>
            </w:pPr>
            <w:r w:rsidRPr="00206845">
              <w:rPr>
                <w:rFonts w:cs="Arial"/>
                <w:sz w:val="16"/>
                <w:szCs w:val="16"/>
              </w:rPr>
              <w:t>7</w:t>
            </w:r>
            <w:r w:rsidR="00A02D1C">
              <w:rPr>
                <w:rFonts w:cs="Arial"/>
                <w:sz w:val="16"/>
                <w:szCs w:val="16"/>
              </w:rPr>
              <w:t>.</w:t>
            </w:r>
            <w:r w:rsidR="00AD2A6F">
              <w:rPr>
                <w:rFonts w:cs="Arial"/>
                <w:sz w:val="16"/>
                <w:szCs w:val="16"/>
              </w:rPr>
              <w:t>490,91</w:t>
            </w:r>
          </w:p>
        </w:tc>
        <w:tc>
          <w:tcPr>
            <w:tcW w:w="851" w:type="dxa"/>
            <w:shd w:val="clear" w:color="auto" w:fill="auto"/>
            <w:noWrap/>
            <w:vAlign w:val="center"/>
            <w:hideMark/>
          </w:tcPr>
          <w:p w14:paraId="390A2E36" w14:textId="464F60EF" w:rsidR="008178E9" w:rsidRPr="00206845" w:rsidRDefault="008178E9" w:rsidP="001B3314">
            <w:pPr>
              <w:spacing w:after="0" w:line="276" w:lineRule="auto"/>
              <w:jc w:val="right"/>
              <w:rPr>
                <w:rFonts w:cs="Arial"/>
                <w:sz w:val="16"/>
                <w:szCs w:val="16"/>
              </w:rPr>
            </w:pPr>
            <w:r w:rsidRPr="00206845">
              <w:rPr>
                <w:rFonts w:cs="Arial"/>
                <w:sz w:val="16"/>
                <w:szCs w:val="16"/>
              </w:rPr>
              <w:t>7</w:t>
            </w:r>
            <w:r w:rsidR="00A02D1C">
              <w:rPr>
                <w:rFonts w:cs="Arial"/>
                <w:sz w:val="16"/>
                <w:szCs w:val="16"/>
              </w:rPr>
              <w:t>.</w:t>
            </w:r>
            <w:r w:rsidR="00AD2A6F">
              <w:rPr>
                <w:rFonts w:cs="Arial"/>
                <w:sz w:val="16"/>
                <w:szCs w:val="16"/>
              </w:rPr>
              <w:t>813,01</w:t>
            </w:r>
          </w:p>
        </w:tc>
        <w:tc>
          <w:tcPr>
            <w:tcW w:w="850" w:type="dxa"/>
            <w:shd w:val="clear" w:color="auto" w:fill="auto"/>
            <w:noWrap/>
            <w:vAlign w:val="center"/>
            <w:hideMark/>
          </w:tcPr>
          <w:p w14:paraId="569BA43C" w14:textId="47432728" w:rsidR="008178E9" w:rsidRPr="00206845" w:rsidRDefault="00AD2A6F" w:rsidP="001B3314">
            <w:pPr>
              <w:spacing w:after="0" w:line="276" w:lineRule="auto"/>
              <w:jc w:val="right"/>
              <w:rPr>
                <w:rFonts w:cs="Arial"/>
                <w:sz w:val="16"/>
                <w:szCs w:val="16"/>
              </w:rPr>
            </w:pPr>
            <w:r>
              <w:rPr>
                <w:rFonts w:cs="Arial"/>
                <w:sz w:val="16"/>
                <w:szCs w:val="16"/>
              </w:rPr>
              <w:t>8.025,44</w:t>
            </w:r>
          </w:p>
        </w:tc>
        <w:tc>
          <w:tcPr>
            <w:tcW w:w="992" w:type="dxa"/>
            <w:shd w:val="clear" w:color="auto" w:fill="auto"/>
            <w:noWrap/>
            <w:vAlign w:val="center"/>
            <w:hideMark/>
          </w:tcPr>
          <w:p w14:paraId="2BF86ABD" w14:textId="28764353" w:rsidR="008178E9" w:rsidRPr="00206845" w:rsidRDefault="008178E9" w:rsidP="001B3314">
            <w:pPr>
              <w:spacing w:after="0" w:line="276" w:lineRule="auto"/>
              <w:jc w:val="right"/>
              <w:rPr>
                <w:rFonts w:cs="Arial"/>
                <w:sz w:val="16"/>
                <w:szCs w:val="16"/>
              </w:rPr>
            </w:pPr>
            <w:r w:rsidRPr="00206845">
              <w:rPr>
                <w:rFonts w:cs="Arial"/>
                <w:sz w:val="16"/>
                <w:szCs w:val="16"/>
              </w:rPr>
              <w:t>10</w:t>
            </w:r>
            <w:r w:rsidR="00A02D1C">
              <w:rPr>
                <w:rFonts w:cs="Arial"/>
                <w:sz w:val="16"/>
                <w:szCs w:val="16"/>
              </w:rPr>
              <w:t>.</w:t>
            </w:r>
            <w:r w:rsidR="00AD2A6F">
              <w:rPr>
                <w:rFonts w:cs="Arial"/>
                <w:sz w:val="16"/>
                <w:szCs w:val="16"/>
              </w:rPr>
              <w:t>688,49</w:t>
            </w:r>
          </w:p>
        </w:tc>
        <w:tc>
          <w:tcPr>
            <w:tcW w:w="993" w:type="dxa"/>
            <w:shd w:val="clear" w:color="auto" w:fill="auto"/>
            <w:noWrap/>
            <w:vAlign w:val="center"/>
            <w:hideMark/>
          </w:tcPr>
          <w:p w14:paraId="74239F70" w14:textId="33353FEA" w:rsidR="008178E9" w:rsidRPr="00206845" w:rsidRDefault="008178E9" w:rsidP="001B3314">
            <w:pPr>
              <w:spacing w:after="0" w:line="276" w:lineRule="auto"/>
              <w:jc w:val="right"/>
              <w:rPr>
                <w:rFonts w:cs="Arial"/>
                <w:sz w:val="16"/>
                <w:szCs w:val="16"/>
              </w:rPr>
            </w:pPr>
            <w:r w:rsidRPr="00206845">
              <w:rPr>
                <w:rFonts w:cs="Arial"/>
                <w:sz w:val="16"/>
                <w:szCs w:val="16"/>
              </w:rPr>
              <w:t>10</w:t>
            </w:r>
            <w:r w:rsidR="00A02D1C">
              <w:rPr>
                <w:rFonts w:cs="Arial"/>
                <w:sz w:val="16"/>
                <w:szCs w:val="16"/>
              </w:rPr>
              <w:t>.</w:t>
            </w:r>
            <w:r w:rsidR="00AD2A6F">
              <w:rPr>
                <w:rFonts w:cs="Arial"/>
                <w:sz w:val="16"/>
                <w:szCs w:val="16"/>
              </w:rPr>
              <w:t>863,27</w:t>
            </w:r>
          </w:p>
        </w:tc>
      </w:tr>
      <w:tr w:rsidR="00E75F39" w:rsidRPr="00BD2849" w14:paraId="7CCE7B44" w14:textId="77777777" w:rsidTr="00737954">
        <w:trPr>
          <w:cantSplit/>
          <w:trHeight w:val="227"/>
          <w:jc w:val="center"/>
        </w:trPr>
        <w:tc>
          <w:tcPr>
            <w:tcW w:w="11196" w:type="dxa"/>
            <w:gridSpan w:val="10"/>
            <w:shd w:val="clear" w:color="auto" w:fill="D5DCE4"/>
            <w:noWrap/>
            <w:vAlign w:val="center"/>
            <w:hideMark/>
          </w:tcPr>
          <w:p w14:paraId="0CED0B12" w14:textId="210635BA" w:rsidR="00E75F39" w:rsidRPr="00BD2849" w:rsidRDefault="00E75F39" w:rsidP="00D63A6F">
            <w:pPr>
              <w:spacing w:after="0" w:line="276" w:lineRule="auto"/>
              <w:jc w:val="left"/>
              <w:rPr>
                <w:rFonts w:cs="Arial"/>
                <w:sz w:val="16"/>
                <w:szCs w:val="16"/>
              </w:rPr>
            </w:pPr>
            <w:r w:rsidRPr="00BD2849">
              <w:rPr>
                <w:rFonts w:cs="Arial"/>
                <w:b/>
                <w:bCs/>
                <w:sz w:val="16"/>
                <w:szCs w:val="16"/>
              </w:rPr>
              <w:t>Εταιρικά και Υποδομές</w:t>
            </w:r>
          </w:p>
        </w:tc>
      </w:tr>
      <w:tr w:rsidR="001B3314" w:rsidRPr="00206845" w14:paraId="2A2FDCA2" w14:textId="77777777" w:rsidTr="00737954">
        <w:trPr>
          <w:cantSplit/>
          <w:trHeight w:val="227"/>
          <w:jc w:val="center"/>
        </w:trPr>
        <w:tc>
          <w:tcPr>
            <w:tcW w:w="3072" w:type="dxa"/>
            <w:shd w:val="clear" w:color="000000" w:fill="FFFFFF"/>
            <w:vAlign w:val="center"/>
            <w:hideMark/>
          </w:tcPr>
          <w:p w14:paraId="185BD5B8" w14:textId="77777777" w:rsidR="008178E9" w:rsidRPr="00206845" w:rsidRDefault="008178E9" w:rsidP="00A02D1C">
            <w:pPr>
              <w:spacing w:after="0" w:line="276" w:lineRule="auto"/>
              <w:jc w:val="left"/>
              <w:rPr>
                <w:rFonts w:cs="Arial"/>
                <w:sz w:val="16"/>
                <w:szCs w:val="16"/>
              </w:rPr>
            </w:pPr>
            <w:r w:rsidRPr="00206845">
              <w:rPr>
                <w:rFonts w:cs="Arial"/>
                <w:sz w:val="16"/>
                <w:szCs w:val="16"/>
              </w:rPr>
              <w:t>ΟΠΑΠ 33% μετοχικό κεφάλαιο + 1% μετοχικό κεφάλαιο</w:t>
            </w:r>
          </w:p>
        </w:tc>
        <w:tc>
          <w:tcPr>
            <w:tcW w:w="749" w:type="dxa"/>
            <w:shd w:val="clear" w:color="auto" w:fill="auto"/>
            <w:noWrap/>
            <w:vAlign w:val="center"/>
            <w:hideMark/>
          </w:tcPr>
          <w:p w14:paraId="1622AA9F" w14:textId="77777777" w:rsidR="008178E9" w:rsidRPr="00206845" w:rsidRDefault="008178E9" w:rsidP="001B3314">
            <w:pPr>
              <w:spacing w:after="0" w:line="276" w:lineRule="auto"/>
              <w:jc w:val="right"/>
              <w:rPr>
                <w:rFonts w:cs="Arial"/>
                <w:sz w:val="16"/>
                <w:szCs w:val="16"/>
              </w:rPr>
            </w:pPr>
            <w:r w:rsidRPr="00206845">
              <w:rPr>
                <w:rFonts w:cs="Arial"/>
                <w:sz w:val="16"/>
                <w:szCs w:val="16"/>
              </w:rPr>
              <w:t>3,00</w:t>
            </w:r>
          </w:p>
        </w:tc>
        <w:tc>
          <w:tcPr>
            <w:tcW w:w="847" w:type="dxa"/>
            <w:shd w:val="clear" w:color="auto" w:fill="auto"/>
            <w:noWrap/>
            <w:vAlign w:val="center"/>
            <w:hideMark/>
          </w:tcPr>
          <w:p w14:paraId="4AF840C5" w14:textId="77777777" w:rsidR="008178E9" w:rsidRPr="00206845" w:rsidRDefault="008178E9" w:rsidP="001B3314">
            <w:pPr>
              <w:spacing w:after="0" w:line="276" w:lineRule="auto"/>
              <w:jc w:val="right"/>
              <w:rPr>
                <w:rFonts w:cs="Arial"/>
                <w:sz w:val="16"/>
                <w:szCs w:val="16"/>
              </w:rPr>
            </w:pPr>
            <w:r w:rsidRPr="00206845">
              <w:rPr>
                <w:rFonts w:cs="Arial"/>
                <w:sz w:val="16"/>
                <w:szCs w:val="16"/>
              </w:rPr>
              <w:t>3,00</w:t>
            </w:r>
          </w:p>
        </w:tc>
        <w:tc>
          <w:tcPr>
            <w:tcW w:w="849" w:type="dxa"/>
            <w:shd w:val="clear" w:color="auto" w:fill="auto"/>
            <w:noWrap/>
            <w:vAlign w:val="center"/>
            <w:hideMark/>
          </w:tcPr>
          <w:p w14:paraId="30D9A972" w14:textId="77777777" w:rsidR="008178E9" w:rsidRPr="00206845" w:rsidRDefault="008178E9" w:rsidP="001B3314">
            <w:pPr>
              <w:spacing w:after="0" w:line="276" w:lineRule="auto"/>
              <w:jc w:val="right"/>
              <w:rPr>
                <w:rFonts w:cs="Arial"/>
                <w:sz w:val="16"/>
                <w:szCs w:val="16"/>
              </w:rPr>
            </w:pPr>
            <w:r w:rsidRPr="00206845">
              <w:rPr>
                <w:rFonts w:cs="Arial"/>
                <w:sz w:val="16"/>
                <w:szCs w:val="16"/>
              </w:rPr>
              <w:t>3,00</w:t>
            </w:r>
          </w:p>
        </w:tc>
        <w:tc>
          <w:tcPr>
            <w:tcW w:w="852" w:type="dxa"/>
            <w:shd w:val="clear" w:color="auto" w:fill="auto"/>
            <w:noWrap/>
            <w:vAlign w:val="center"/>
            <w:hideMark/>
          </w:tcPr>
          <w:p w14:paraId="29465920" w14:textId="4A723179"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0AD5EAE2" w14:textId="19E0DD41" w:rsidR="008178E9" w:rsidRPr="00206845" w:rsidRDefault="008178E9" w:rsidP="001B3314">
            <w:pPr>
              <w:spacing w:after="0" w:line="276" w:lineRule="auto"/>
              <w:jc w:val="right"/>
              <w:rPr>
                <w:rFonts w:cs="Arial"/>
                <w:sz w:val="16"/>
                <w:szCs w:val="16"/>
              </w:rPr>
            </w:pPr>
          </w:p>
        </w:tc>
        <w:tc>
          <w:tcPr>
            <w:tcW w:w="851" w:type="dxa"/>
            <w:shd w:val="clear" w:color="auto" w:fill="auto"/>
            <w:noWrap/>
            <w:vAlign w:val="center"/>
            <w:hideMark/>
          </w:tcPr>
          <w:p w14:paraId="4BA093CD" w14:textId="6294C879"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6A53060C" w14:textId="00DBBD33"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0E1BEDC1" w14:textId="08F60EF2"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hideMark/>
          </w:tcPr>
          <w:p w14:paraId="607CAE19" w14:textId="62A7FCFB" w:rsidR="008178E9" w:rsidRPr="00206845" w:rsidRDefault="008178E9" w:rsidP="001B3314">
            <w:pPr>
              <w:spacing w:after="0" w:line="276" w:lineRule="auto"/>
              <w:jc w:val="right"/>
              <w:rPr>
                <w:rFonts w:cs="Arial"/>
                <w:sz w:val="16"/>
                <w:szCs w:val="16"/>
              </w:rPr>
            </w:pPr>
          </w:p>
        </w:tc>
      </w:tr>
      <w:tr w:rsidR="001B3314" w:rsidRPr="00206845" w14:paraId="30DB23D0" w14:textId="77777777" w:rsidTr="00737954">
        <w:trPr>
          <w:cantSplit/>
          <w:trHeight w:val="227"/>
          <w:jc w:val="center"/>
        </w:trPr>
        <w:tc>
          <w:tcPr>
            <w:tcW w:w="3072" w:type="dxa"/>
            <w:shd w:val="clear" w:color="000000" w:fill="FFFFFF"/>
            <w:vAlign w:val="center"/>
            <w:hideMark/>
          </w:tcPr>
          <w:p w14:paraId="2AAB8071" w14:textId="77777777" w:rsidR="001F53B4" w:rsidRDefault="008178E9" w:rsidP="00A02D1C">
            <w:pPr>
              <w:spacing w:after="0" w:line="276" w:lineRule="auto"/>
              <w:jc w:val="left"/>
              <w:rPr>
                <w:rFonts w:cs="Arial"/>
                <w:sz w:val="16"/>
                <w:szCs w:val="16"/>
              </w:rPr>
            </w:pPr>
            <w:r w:rsidRPr="00206845">
              <w:rPr>
                <w:rFonts w:cs="Arial"/>
                <w:sz w:val="16"/>
                <w:szCs w:val="16"/>
              </w:rPr>
              <w:t>Δικαιώματα Συχνοτήτων</w:t>
            </w:r>
          </w:p>
          <w:p w14:paraId="09300DBE" w14:textId="12A6F902" w:rsidR="008178E9" w:rsidRPr="00206845" w:rsidRDefault="008178E9" w:rsidP="00A02D1C">
            <w:pPr>
              <w:spacing w:after="0" w:line="276" w:lineRule="auto"/>
              <w:jc w:val="left"/>
              <w:rPr>
                <w:rFonts w:cs="Arial"/>
                <w:sz w:val="16"/>
                <w:szCs w:val="16"/>
              </w:rPr>
            </w:pPr>
            <w:r w:rsidRPr="00206845">
              <w:rPr>
                <w:rFonts w:cs="Arial"/>
                <w:sz w:val="16"/>
                <w:szCs w:val="16"/>
              </w:rPr>
              <w:t>(Κινητή Τηλεφωνία)</w:t>
            </w:r>
          </w:p>
        </w:tc>
        <w:tc>
          <w:tcPr>
            <w:tcW w:w="749" w:type="dxa"/>
            <w:shd w:val="clear" w:color="auto" w:fill="auto"/>
            <w:noWrap/>
            <w:vAlign w:val="center"/>
            <w:hideMark/>
          </w:tcPr>
          <w:p w14:paraId="138BF22A" w14:textId="77777777" w:rsidR="008178E9" w:rsidRPr="00206845" w:rsidRDefault="008178E9" w:rsidP="001B3314">
            <w:pPr>
              <w:spacing w:after="0" w:line="276" w:lineRule="auto"/>
              <w:jc w:val="right"/>
              <w:rPr>
                <w:rFonts w:cs="Arial"/>
                <w:sz w:val="16"/>
                <w:szCs w:val="16"/>
              </w:rPr>
            </w:pPr>
            <w:r w:rsidRPr="00206845">
              <w:rPr>
                <w:rFonts w:cs="Arial"/>
                <w:sz w:val="16"/>
                <w:szCs w:val="16"/>
              </w:rPr>
              <w:t>8,10</w:t>
            </w:r>
          </w:p>
        </w:tc>
        <w:tc>
          <w:tcPr>
            <w:tcW w:w="847" w:type="dxa"/>
            <w:shd w:val="clear" w:color="auto" w:fill="auto"/>
            <w:noWrap/>
            <w:vAlign w:val="center"/>
            <w:hideMark/>
          </w:tcPr>
          <w:p w14:paraId="7AD5FB50" w14:textId="77777777" w:rsidR="008178E9" w:rsidRPr="00206845" w:rsidRDefault="008178E9" w:rsidP="001B3314">
            <w:pPr>
              <w:spacing w:after="0" w:line="276" w:lineRule="auto"/>
              <w:jc w:val="right"/>
              <w:rPr>
                <w:rFonts w:cs="Arial"/>
                <w:sz w:val="16"/>
                <w:szCs w:val="16"/>
              </w:rPr>
            </w:pPr>
            <w:r w:rsidRPr="00206845">
              <w:rPr>
                <w:rFonts w:cs="Arial"/>
                <w:sz w:val="16"/>
                <w:szCs w:val="16"/>
              </w:rPr>
              <w:t>7,10</w:t>
            </w:r>
          </w:p>
        </w:tc>
        <w:tc>
          <w:tcPr>
            <w:tcW w:w="849" w:type="dxa"/>
            <w:shd w:val="clear" w:color="auto" w:fill="auto"/>
            <w:noWrap/>
            <w:vAlign w:val="center"/>
            <w:hideMark/>
          </w:tcPr>
          <w:p w14:paraId="7E1725E4" w14:textId="77777777" w:rsidR="008178E9" w:rsidRPr="00206845" w:rsidRDefault="008178E9" w:rsidP="001B3314">
            <w:pPr>
              <w:spacing w:after="0" w:line="276" w:lineRule="auto"/>
              <w:jc w:val="right"/>
              <w:rPr>
                <w:rFonts w:cs="Arial"/>
                <w:sz w:val="16"/>
                <w:szCs w:val="16"/>
              </w:rPr>
            </w:pPr>
            <w:r w:rsidRPr="00206845">
              <w:rPr>
                <w:rFonts w:cs="Arial"/>
                <w:sz w:val="16"/>
                <w:szCs w:val="16"/>
              </w:rPr>
              <w:t>7,10</w:t>
            </w:r>
          </w:p>
        </w:tc>
        <w:tc>
          <w:tcPr>
            <w:tcW w:w="852" w:type="dxa"/>
            <w:shd w:val="clear" w:color="auto" w:fill="auto"/>
            <w:noWrap/>
            <w:vAlign w:val="center"/>
            <w:hideMark/>
          </w:tcPr>
          <w:p w14:paraId="5915A984" w14:textId="77777777" w:rsidR="008178E9" w:rsidRPr="00206845" w:rsidRDefault="008178E9" w:rsidP="001B3314">
            <w:pPr>
              <w:spacing w:after="0" w:line="276" w:lineRule="auto"/>
              <w:jc w:val="right"/>
              <w:rPr>
                <w:rFonts w:cs="Arial"/>
                <w:sz w:val="16"/>
                <w:szCs w:val="16"/>
              </w:rPr>
            </w:pPr>
            <w:r w:rsidRPr="00206845">
              <w:rPr>
                <w:rFonts w:cs="Arial"/>
                <w:sz w:val="16"/>
                <w:szCs w:val="16"/>
              </w:rPr>
              <w:t>7,10</w:t>
            </w:r>
          </w:p>
        </w:tc>
        <w:tc>
          <w:tcPr>
            <w:tcW w:w="1141" w:type="dxa"/>
            <w:shd w:val="clear" w:color="auto" w:fill="auto"/>
            <w:noWrap/>
            <w:vAlign w:val="center"/>
            <w:hideMark/>
          </w:tcPr>
          <w:p w14:paraId="2F151960" w14:textId="77777777" w:rsidR="008178E9" w:rsidRPr="00206845" w:rsidRDefault="008178E9" w:rsidP="001B3314">
            <w:pPr>
              <w:spacing w:after="0" w:line="276" w:lineRule="auto"/>
              <w:jc w:val="right"/>
              <w:rPr>
                <w:rFonts w:cs="Arial"/>
                <w:sz w:val="16"/>
                <w:szCs w:val="16"/>
              </w:rPr>
            </w:pPr>
            <w:r w:rsidRPr="00206845">
              <w:rPr>
                <w:rFonts w:cs="Arial"/>
                <w:sz w:val="16"/>
                <w:szCs w:val="16"/>
              </w:rPr>
              <w:t>7,10</w:t>
            </w:r>
          </w:p>
        </w:tc>
        <w:tc>
          <w:tcPr>
            <w:tcW w:w="851" w:type="dxa"/>
            <w:shd w:val="clear" w:color="auto" w:fill="auto"/>
            <w:noWrap/>
            <w:vAlign w:val="center"/>
            <w:hideMark/>
          </w:tcPr>
          <w:p w14:paraId="577B4B58" w14:textId="0E310FEE"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30065625" w14:textId="0B3CCEFE"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7E23A7D9" w14:textId="36DD9C39"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hideMark/>
          </w:tcPr>
          <w:p w14:paraId="38EB2AF1" w14:textId="6EBF0827" w:rsidR="008178E9" w:rsidRPr="00206845" w:rsidRDefault="008178E9" w:rsidP="001B3314">
            <w:pPr>
              <w:spacing w:after="0" w:line="276" w:lineRule="auto"/>
              <w:jc w:val="right"/>
              <w:rPr>
                <w:rFonts w:cs="Arial"/>
                <w:sz w:val="16"/>
                <w:szCs w:val="16"/>
              </w:rPr>
            </w:pPr>
          </w:p>
        </w:tc>
      </w:tr>
      <w:tr w:rsidR="001B3314" w:rsidRPr="00206845" w14:paraId="17AF2785" w14:textId="77777777" w:rsidTr="00737954">
        <w:trPr>
          <w:cantSplit/>
          <w:trHeight w:val="227"/>
          <w:jc w:val="center"/>
        </w:trPr>
        <w:tc>
          <w:tcPr>
            <w:tcW w:w="3072" w:type="dxa"/>
            <w:shd w:val="clear" w:color="000000" w:fill="FFFFFF"/>
            <w:vAlign w:val="center"/>
            <w:hideMark/>
          </w:tcPr>
          <w:p w14:paraId="17AA2409" w14:textId="77777777" w:rsidR="001F53B4" w:rsidRDefault="008178E9" w:rsidP="00A02D1C">
            <w:pPr>
              <w:spacing w:after="0" w:line="276" w:lineRule="auto"/>
              <w:jc w:val="left"/>
              <w:rPr>
                <w:rFonts w:cs="Arial"/>
                <w:sz w:val="16"/>
                <w:szCs w:val="16"/>
              </w:rPr>
            </w:pPr>
            <w:r w:rsidRPr="00206845">
              <w:rPr>
                <w:rFonts w:cs="Arial"/>
                <w:sz w:val="16"/>
                <w:szCs w:val="16"/>
              </w:rPr>
              <w:t>Δικαιώματα Συχνοτήτων</w:t>
            </w:r>
          </w:p>
          <w:p w14:paraId="61F9A83E" w14:textId="7F09024C" w:rsidR="008178E9" w:rsidRPr="00206845" w:rsidRDefault="008178E9" w:rsidP="00A02D1C">
            <w:pPr>
              <w:spacing w:after="0" w:line="276" w:lineRule="auto"/>
              <w:jc w:val="left"/>
              <w:rPr>
                <w:rFonts w:cs="Arial"/>
                <w:sz w:val="16"/>
                <w:szCs w:val="16"/>
              </w:rPr>
            </w:pPr>
            <w:r w:rsidRPr="00206845">
              <w:rPr>
                <w:rFonts w:cs="Arial"/>
                <w:sz w:val="16"/>
                <w:szCs w:val="16"/>
              </w:rPr>
              <w:t>(Κινητή Τηλεφωνία) 5G</w:t>
            </w:r>
          </w:p>
        </w:tc>
        <w:tc>
          <w:tcPr>
            <w:tcW w:w="749" w:type="dxa"/>
            <w:shd w:val="clear" w:color="auto" w:fill="auto"/>
            <w:noWrap/>
            <w:vAlign w:val="center"/>
            <w:hideMark/>
          </w:tcPr>
          <w:p w14:paraId="41B84FE1" w14:textId="77777777" w:rsidR="008178E9" w:rsidRPr="00206845" w:rsidRDefault="008178E9" w:rsidP="001B3314">
            <w:pPr>
              <w:spacing w:after="0" w:line="276" w:lineRule="auto"/>
              <w:jc w:val="right"/>
              <w:rPr>
                <w:rFonts w:cs="Arial"/>
                <w:sz w:val="16"/>
                <w:szCs w:val="16"/>
              </w:rPr>
            </w:pPr>
            <w:r w:rsidRPr="00206845">
              <w:rPr>
                <w:rFonts w:cs="Arial"/>
                <w:sz w:val="16"/>
                <w:szCs w:val="16"/>
              </w:rPr>
              <w:t>195,90</w:t>
            </w:r>
          </w:p>
        </w:tc>
        <w:tc>
          <w:tcPr>
            <w:tcW w:w="847" w:type="dxa"/>
            <w:shd w:val="clear" w:color="auto" w:fill="auto"/>
            <w:noWrap/>
            <w:vAlign w:val="center"/>
            <w:hideMark/>
          </w:tcPr>
          <w:p w14:paraId="56DD4028" w14:textId="31A8AB04"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hideMark/>
          </w:tcPr>
          <w:p w14:paraId="00F31B12" w14:textId="2EB59331" w:rsidR="008178E9" w:rsidRPr="00206845" w:rsidRDefault="008178E9" w:rsidP="001B3314">
            <w:pPr>
              <w:spacing w:after="0" w:line="276" w:lineRule="auto"/>
              <w:jc w:val="right"/>
              <w:rPr>
                <w:rFonts w:cs="Arial"/>
                <w:sz w:val="16"/>
                <w:szCs w:val="16"/>
              </w:rPr>
            </w:pPr>
          </w:p>
        </w:tc>
        <w:tc>
          <w:tcPr>
            <w:tcW w:w="852" w:type="dxa"/>
            <w:shd w:val="clear" w:color="auto" w:fill="auto"/>
            <w:noWrap/>
            <w:vAlign w:val="center"/>
            <w:hideMark/>
          </w:tcPr>
          <w:p w14:paraId="09624188" w14:textId="77777777" w:rsidR="008178E9" w:rsidRPr="00206845" w:rsidRDefault="008178E9" w:rsidP="001B3314">
            <w:pPr>
              <w:spacing w:after="0" w:line="276" w:lineRule="auto"/>
              <w:jc w:val="right"/>
              <w:rPr>
                <w:rFonts w:cs="Arial"/>
                <w:sz w:val="16"/>
                <w:szCs w:val="16"/>
              </w:rPr>
            </w:pPr>
            <w:r w:rsidRPr="00206845">
              <w:rPr>
                <w:rFonts w:cs="Arial"/>
                <w:sz w:val="16"/>
                <w:szCs w:val="16"/>
              </w:rPr>
              <w:t>11,50</w:t>
            </w:r>
          </w:p>
        </w:tc>
        <w:tc>
          <w:tcPr>
            <w:tcW w:w="1141" w:type="dxa"/>
            <w:shd w:val="clear" w:color="auto" w:fill="auto"/>
            <w:noWrap/>
            <w:vAlign w:val="center"/>
            <w:hideMark/>
          </w:tcPr>
          <w:p w14:paraId="1978B688" w14:textId="77777777" w:rsidR="008178E9" w:rsidRPr="00206845" w:rsidRDefault="008178E9" w:rsidP="001B3314">
            <w:pPr>
              <w:spacing w:after="0" w:line="276" w:lineRule="auto"/>
              <w:jc w:val="right"/>
              <w:rPr>
                <w:rFonts w:cs="Arial"/>
                <w:sz w:val="16"/>
                <w:szCs w:val="16"/>
              </w:rPr>
            </w:pPr>
            <w:r w:rsidRPr="00206845">
              <w:rPr>
                <w:rFonts w:cs="Arial"/>
                <w:sz w:val="16"/>
                <w:szCs w:val="16"/>
              </w:rPr>
              <w:t>11,00</w:t>
            </w:r>
          </w:p>
        </w:tc>
        <w:tc>
          <w:tcPr>
            <w:tcW w:w="851" w:type="dxa"/>
            <w:shd w:val="clear" w:color="auto" w:fill="auto"/>
            <w:noWrap/>
            <w:vAlign w:val="center"/>
            <w:hideMark/>
          </w:tcPr>
          <w:p w14:paraId="46FF4042" w14:textId="77777777" w:rsidR="008178E9" w:rsidRPr="00206845" w:rsidRDefault="008178E9" w:rsidP="001B3314">
            <w:pPr>
              <w:spacing w:after="0" w:line="276" w:lineRule="auto"/>
              <w:jc w:val="right"/>
              <w:rPr>
                <w:rFonts w:cs="Arial"/>
                <w:sz w:val="16"/>
                <w:szCs w:val="16"/>
              </w:rPr>
            </w:pPr>
            <w:r w:rsidRPr="00206845">
              <w:rPr>
                <w:rFonts w:cs="Arial"/>
                <w:sz w:val="16"/>
                <w:szCs w:val="16"/>
              </w:rPr>
              <w:t>8,30</w:t>
            </w:r>
          </w:p>
        </w:tc>
        <w:tc>
          <w:tcPr>
            <w:tcW w:w="850" w:type="dxa"/>
            <w:shd w:val="clear" w:color="auto" w:fill="auto"/>
            <w:noWrap/>
            <w:vAlign w:val="center"/>
            <w:hideMark/>
          </w:tcPr>
          <w:p w14:paraId="4950F2B0" w14:textId="77777777" w:rsidR="008178E9" w:rsidRPr="00206845" w:rsidRDefault="008178E9" w:rsidP="001B3314">
            <w:pPr>
              <w:spacing w:after="0" w:line="276" w:lineRule="auto"/>
              <w:jc w:val="right"/>
              <w:rPr>
                <w:rFonts w:cs="Arial"/>
                <w:sz w:val="16"/>
                <w:szCs w:val="16"/>
              </w:rPr>
            </w:pPr>
            <w:r w:rsidRPr="00206845">
              <w:rPr>
                <w:rFonts w:cs="Arial"/>
                <w:sz w:val="16"/>
                <w:szCs w:val="16"/>
              </w:rPr>
              <w:t>9,50</w:t>
            </w:r>
          </w:p>
        </w:tc>
        <w:tc>
          <w:tcPr>
            <w:tcW w:w="992" w:type="dxa"/>
            <w:shd w:val="clear" w:color="auto" w:fill="auto"/>
            <w:noWrap/>
            <w:vAlign w:val="center"/>
            <w:hideMark/>
          </w:tcPr>
          <w:p w14:paraId="417B2FD7" w14:textId="77777777" w:rsidR="008178E9" w:rsidRPr="00206845" w:rsidRDefault="008178E9" w:rsidP="001B3314">
            <w:pPr>
              <w:spacing w:after="0" w:line="276" w:lineRule="auto"/>
              <w:jc w:val="right"/>
              <w:rPr>
                <w:rFonts w:cs="Arial"/>
                <w:sz w:val="16"/>
                <w:szCs w:val="16"/>
              </w:rPr>
            </w:pPr>
            <w:r w:rsidRPr="00206845">
              <w:rPr>
                <w:rFonts w:cs="Arial"/>
                <w:sz w:val="16"/>
                <w:szCs w:val="16"/>
              </w:rPr>
              <w:t>9,50</w:t>
            </w:r>
          </w:p>
        </w:tc>
        <w:tc>
          <w:tcPr>
            <w:tcW w:w="993" w:type="dxa"/>
            <w:shd w:val="clear" w:color="auto" w:fill="auto"/>
            <w:noWrap/>
            <w:vAlign w:val="center"/>
            <w:hideMark/>
          </w:tcPr>
          <w:p w14:paraId="2DE72625" w14:textId="77777777" w:rsidR="008178E9" w:rsidRPr="00206845" w:rsidRDefault="008178E9" w:rsidP="001B3314">
            <w:pPr>
              <w:spacing w:after="0" w:line="276" w:lineRule="auto"/>
              <w:jc w:val="right"/>
              <w:rPr>
                <w:rFonts w:cs="Arial"/>
                <w:sz w:val="16"/>
                <w:szCs w:val="16"/>
              </w:rPr>
            </w:pPr>
            <w:r w:rsidRPr="00206845">
              <w:rPr>
                <w:rFonts w:cs="Arial"/>
                <w:sz w:val="16"/>
                <w:szCs w:val="16"/>
              </w:rPr>
              <w:t>9,50</w:t>
            </w:r>
          </w:p>
        </w:tc>
      </w:tr>
      <w:tr w:rsidR="001B3314" w:rsidRPr="00206845" w14:paraId="3A21C9E1" w14:textId="77777777" w:rsidTr="00737954">
        <w:trPr>
          <w:cantSplit/>
          <w:trHeight w:val="227"/>
          <w:jc w:val="center"/>
        </w:trPr>
        <w:tc>
          <w:tcPr>
            <w:tcW w:w="3072" w:type="dxa"/>
            <w:shd w:val="clear" w:color="000000" w:fill="FFFFFF"/>
            <w:vAlign w:val="center"/>
            <w:hideMark/>
          </w:tcPr>
          <w:p w14:paraId="358BD722" w14:textId="77777777" w:rsidR="008178E9" w:rsidRPr="00206845" w:rsidRDefault="008178E9" w:rsidP="00A02D1C">
            <w:pPr>
              <w:spacing w:after="0" w:line="276" w:lineRule="auto"/>
              <w:jc w:val="left"/>
              <w:rPr>
                <w:rFonts w:cs="Arial"/>
                <w:sz w:val="16"/>
                <w:szCs w:val="16"/>
              </w:rPr>
            </w:pPr>
            <w:r w:rsidRPr="00206845">
              <w:rPr>
                <w:rFonts w:cs="Arial"/>
                <w:sz w:val="16"/>
                <w:szCs w:val="16"/>
              </w:rPr>
              <w:t>ΕΛΠΕ Μέρισμα</w:t>
            </w:r>
          </w:p>
        </w:tc>
        <w:tc>
          <w:tcPr>
            <w:tcW w:w="749" w:type="dxa"/>
            <w:shd w:val="clear" w:color="auto" w:fill="auto"/>
            <w:noWrap/>
            <w:vAlign w:val="center"/>
            <w:hideMark/>
          </w:tcPr>
          <w:p w14:paraId="50C90792" w14:textId="77777777" w:rsidR="008178E9" w:rsidRPr="00206845" w:rsidRDefault="008178E9" w:rsidP="001B3314">
            <w:pPr>
              <w:spacing w:after="0" w:line="276" w:lineRule="auto"/>
              <w:jc w:val="right"/>
              <w:rPr>
                <w:rFonts w:cs="Arial"/>
                <w:sz w:val="16"/>
                <w:szCs w:val="16"/>
              </w:rPr>
            </w:pPr>
            <w:r w:rsidRPr="00206845">
              <w:rPr>
                <w:rFonts w:cs="Arial"/>
                <w:sz w:val="16"/>
                <w:szCs w:val="16"/>
              </w:rPr>
              <w:t>10,80</w:t>
            </w:r>
          </w:p>
        </w:tc>
        <w:tc>
          <w:tcPr>
            <w:tcW w:w="847" w:type="dxa"/>
            <w:shd w:val="clear" w:color="auto" w:fill="auto"/>
            <w:noWrap/>
            <w:vAlign w:val="center"/>
            <w:hideMark/>
          </w:tcPr>
          <w:p w14:paraId="4B344C2C" w14:textId="77777777" w:rsidR="008178E9" w:rsidRPr="00206845" w:rsidRDefault="008178E9" w:rsidP="001B3314">
            <w:pPr>
              <w:spacing w:after="0" w:line="276" w:lineRule="auto"/>
              <w:jc w:val="right"/>
              <w:rPr>
                <w:rFonts w:cs="Arial"/>
                <w:sz w:val="16"/>
                <w:szCs w:val="16"/>
              </w:rPr>
            </w:pPr>
            <w:r w:rsidRPr="00206845">
              <w:rPr>
                <w:rFonts w:cs="Arial"/>
                <w:sz w:val="16"/>
                <w:szCs w:val="16"/>
              </w:rPr>
              <w:t>32,50</w:t>
            </w:r>
          </w:p>
        </w:tc>
        <w:tc>
          <w:tcPr>
            <w:tcW w:w="849" w:type="dxa"/>
            <w:shd w:val="clear" w:color="auto" w:fill="auto"/>
            <w:noWrap/>
            <w:vAlign w:val="center"/>
            <w:hideMark/>
          </w:tcPr>
          <w:p w14:paraId="305B0F8C" w14:textId="06DC975F" w:rsidR="008178E9" w:rsidRPr="00206845" w:rsidRDefault="008178E9" w:rsidP="001B3314">
            <w:pPr>
              <w:spacing w:after="0" w:line="276" w:lineRule="auto"/>
              <w:jc w:val="right"/>
              <w:rPr>
                <w:rFonts w:cs="Arial"/>
                <w:sz w:val="16"/>
                <w:szCs w:val="16"/>
              </w:rPr>
            </w:pPr>
          </w:p>
        </w:tc>
        <w:tc>
          <w:tcPr>
            <w:tcW w:w="852" w:type="dxa"/>
            <w:shd w:val="clear" w:color="auto" w:fill="auto"/>
            <w:noWrap/>
            <w:vAlign w:val="center"/>
            <w:hideMark/>
          </w:tcPr>
          <w:p w14:paraId="3070465A" w14:textId="57A7BF73"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5E47B207" w14:textId="5968717F" w:rsidR="008178E9" w:rsidRPr="00206845" w:rsidRDefault="008178E9" w:rsidP="001B3314">
            <w:pPr>
              <w:spacing w:after="0" w:line="276" w:lineRule="auto"/>
              <w:jc w:val="right"/>
              <w:rPr>
                <w:rFonts w:cs="Arial"/>
                <w:sz w:val="16"/>
                <w:szCs w:val="16"/>
              </w:rPr>
            </w:pPr>
          </w:p>
        </w:tc>
        <w:tc>
          <w:tcPr>
            <w:tcW w:w="851" w:type="dxa"/>
            <w:shd w:val="clear" w:color="auto" w:fill="auto"/>
            <w:noWrap/>
            <w:vAlign w:val="center"/>
            <w:hideMark/>
          </w:tcPr>
          <w:p w14:paraId="7F858D62" w14:textId="16D7035C"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418DD672" w14:textId="51A89B51"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7968B857" w14:textId="4C5B436C"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hideMark/>
          </w:tcPr>
          <w:p w14:paraId="4174D525" w14:textId="64366DA2" w:rsidR="008178E9" w:rsidRPr="00206845" w:rsidRDefault="008178E9" w:rsidP="001B3314">
            <w:pPr>
              <w:spacing w:after="0" w:line="276" w:lineRule="auto"/>
              <w:jc w:val="right"/>
              <w:rPr>
                <w:rFonts w:cs="Arial"/>
                <w:sz w:val="16"/>
                <w:szCs w:val="16"/>
              </w:rPr>
            </w:pPr>
          </w:p>
        </w:tc>
      </w:tr>
      <w:tr w:rsidR="001B3314" w:rsidRPr="00206845" w14:paraId="434A92FC" w14:textId="77777777" w:rsidTr="00737954">
        <w:trPr>
          <w:cantSplit/>
          <w:trHeight w:val="227"/>
          <w:jc w:val="center"/>
        </w:trPr>
        <w:tc>
          <w:tcPr>
            <w:tcW w:w="3072" w:type="dxa"/>
            <w:shd w:val="clear" w:color="000000" w:fill="FFFFFF"/>
            <w:vAlign w:val="center"/>
            <w:hideMark/>
          </w:tcPr>
          <w:p w14:paraId="3D4A839F" w14:textId="77777777" w:rsidR="008178E9" w:rsidRPr="00206845" w:rsidRDefault="008178E9" w:rsidP="00A02D1C">
            <w:pPr>
              <w:spacing w:after="0" w:line="276" w:lineRule="auto"/>
              <w:jc w:val="left"/>
              <w:rPr>
                <w:rFonts w:cs="Arial"/>
                <w:sz w:val="16"/>
                <w:szCs w:val="16"/>
              </w:rPr>
            </w:pPr>
            <w:r w:rsidRPr="00206845">
              <w:rPr>
                <w:rFonts w:cs="Arial"/>
                <w:sz w:val="16"/>
                <w:szCs w:val="16"/>
              </w:rPr>
              <w:t>ΕΥΔΑΠ Μέρισμα</w:t>
            </w:r>
          </w:p>
        </w:tc>
        <w:tc>
          <w:tcPr>
            <w:tcW w:w="749" w:type="dxa"/>
            <w:shd w:val="clear" w:color="auto" w:fill="auto"/>
            <w:noWrap/>
            <w:vAlign w:val="center"/>
            <w:hideMark/>
          </w:tcPr>
          <w:p w14:paraId="6EA83E28" w14:textId="77777777" w:rsidR="008178E9" w:rsidRPr="00206845" w:rsidRDefault="008178E9" w:rsidP="001B3314">
            <w:pPr>
              <w:spacing w:after="0" w:line="276" w:lineRule="auto"/>
              <w:jc w:val="right"/>
              <w:rPr>
                <w:rFonts w:cs="Arial"/>
                <w:sz w:val="16"/>
                <w:szCs w:val="16"/>
              </w:rPr>
            </w:pPr>
            <w:r w:rsidRPr="00206845">
              <w:rPr>
                <w:rFonts w:cs="Arial"/>
                <w:sz w:val="16"/>
                <w:szCs w:val="16"/>
              </w:rPr>
              <w:t>5,70</w:t>
            </w:r>
          </w:p>
        </w:tc>
        <w:tc>
          <w:tcPr>
            <w:tcW w:w="847" w:type="dxa"/>
            <w:shd w:val="clear" w:color="auto" w:fill="auto"/>
            <w:noWrap/>
            <w:vAlign w:val="center"/>
            <w:hideMark/>
          </w:tcPr>
          <w:p w14:paraId="476564BD" w14:textId="1718D32B"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hideMark/>
          </w:tcPr>
          <w:p w14:paraId="17D68932" w14:textId="2E69E101" w:rsidR="008178E9" w:rsidRPr="00206845" w:rsidRDefault="008178E9" w:rsidP="001B3314">
            <w:pPr>
              <w:spacing w:after="0" w:line="276" w:lineRule="auto"/>
              <w:jc w:val="right"/>
              <w:rPr>
                <w:rFonts w:cs="Arial"/>
                <w:sz w:val="16"/>
                <w:szCs w:val="16"/>
              </w:rPr>
            </w:pPr>
          </w:p>
        </w:tc>
        <w:tc>
          <w:tcPr>
            <w:tcW w:w="852" w:type="dxa"/>
            <w:shd w:val="clear" w:color="auto" w:fill="auto"/>
            <w:noWrap/>
            <w:vAlign w:val="center"/>
            <w:hideMark/>
          </w:tcPr>
          <w:p w14:paraId="1C59F12C" w14:textId="2EE9A8AC"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4185ECB1" w14:textId="54F8A8FF" w:rsidR="008178E9" w:rsidRPr="00206845" w:rsidRDefault="008178E9" w:rsidP="001B3314">
            <w:pPr>
              <w:spacing w:after="0" w:line="276" w:lineRule="auto"/>
              <w:jc w:val="right"/>
              <w:rPr>
                <w:rFonts w:cs="Arial"/>
                <w:sz w:val="16"/>
                <w:szCs w:val="16"/>
              </w:rPr>
            </w:pPr>
          </w:p>
        </w:tc>
        <w:tc>
          <w:tcPr>
            <w:tcW w:w="851" w:type="dxa"/>
            <w:shd w:val="clear" w:color="auto" w:fill="auto"/>
            <w:noWrap/>
            <w:vAlign w:val="center"/>
            <w:hideMark/>
          </w:tcPr>
          <w:p w14:paraId="49D6159F" w14:textId="627828A9"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35084E01" w14:textId="36BCB60F"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1AA53CA8" w14:textId="00A12F0D"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hideMark/>
          </w:tcPr>
          <w:p w14:paraId="5014A6A9" w14:textId="4296B1C8" w:rsidR="008178E9" w:rsidRPr="00206845" w:rsidRDefault="008178E9" w:rsidP="001B3314">
            <w:pPr>
              <w:spacing w:after="0" w:line="276" w:lineRule="auto"/>
              <w:jc w:val="right"/>
              <w:rPr>
                <w:rFonts w:cs="Arial"/>
                <w:sz w:val="16"/>
                <w:szCs w:val="16"/>
              </w:rPr>
            </w:pPr>
          </w:p>
        </w:tc>
      </w:tr>
      <w:tr w:rsidR="001B3314" w:rsidRPr="00206845" w14:paraId="385ED48A" w14:textId="77777777" w:rsidTr="00737954">
        <w:trPr>
          <w:cantSplit/>
          <w:trHeight w:val="227"/>
          <w:jc w:val="center"/>
        </w:trPr>
        <w:tc>
          <w:tcPr>
            <w:tcW w:w="3072" w:type="dxa"/>
            <w:shd w:val="clear" w:color="000000" w:fill="FFFFFF"/>
            <w:vAlign w:val="center"/>
            <w:hideMark/>
          </w:tcPr>
          <w:p w14:paraId="7485256C" w14:textId="77777777" w:rsidR="001F53B4" w:rsidRDefault="008178E9" w:rsidP="00A02D1C">
            <w:pPr>
              <w:spacing w:after="0" w:line="276" w:lineRule="auto"/>
              <w:jc w:val="left"/>
              <w:rPr>
                <w:rFonts w:cs="Arial"/>
                <w:sz w:val="16"/>
                <w:szCs w:val="16"/>
              </w:rPr>
            </w:pPr>
            <w:r w:rsidRPr="00206845">
              <w:rPr>
                <w:rFonts w:cs="Arial"/>
                <w:sz w:val="16"/>
                <w:szCs w:val="16"/>
              </w:rPr>
              <w:t>Περιφερειακά Αεροδρόμια</w:t>
            </w:r>
          </w:p>
          <w:p w14:paraId="1EF5B57A" w14:textId="117299DB" w:rsidR="008178E9" w:rsidRPr="00206845" w:rsidRDefault="008178E9" w:rsidP="00A02D1C">
            <w:pPr>
              <w:spacing w:after="0" w:line="276" w:lineRule="auto"/>
              <w:jc w:val="left"/>
              <w:rPr>
                <w:rFonts w:cs="Arial"/>
                <w:sz w:val="16"/>
                <w:szCs w:val="16"/>
              </w:rPr>
            </w:pPr>
            <w:r w:rsidRPr="00206845">
              <w:rPr>
                <w:rFonts w:cs="Arial"/>
                <w:sz w:val="16"/>
                <w:szCs w:val="16"/>
              </w:rPr>
              <w:t>(Ετήσια Σταθερή Αμοιβή)</w:t>
            </w:r>
          </w:p>
        </w:tc>
        <w:tc>
          <w:tcPr>
            <w:tcW w:w="749" w:type="dxa"/>
            <w:shd w:val="clear" w:color="auto" w:fill="auto"/>
            <w:noWrap/>
            <w:vAlign w:val="center"/>
            <w:hideMark/>
          </w:tcPr>
          <w:p w14:paraId="533FBA53" w14:textId="6BB8B534"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hideMark/>
          </w:tcPr>
          <w:p w14:paraId="4EDBD40C" w14:textId="2A2F1801"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hideMark/>
          </w:tcPr>
          <w:p w14:paraId="6262BEA7" w14:textId="77777777" w:rsidR="008178E9" w:rsidRPr="00206845" w:rsidRDefault="008178E9" w:rsidP="001B3314">
            <w:pPr>
              <w:spacing w:after="0" w:line="276" w:lineRule="auto"/>
              <w:jc w:val="right"/>
              <w:rPr>
                <w:rFonts w:cs="Arial"/>
                <w:sz w:val="16"/>
                <w:szCs w:val="16"/>
              </w:rPr>
            </w:pPr>
            <w:r w:rsidRPr="00206845">
              <w:rPr>
                <w:rFonts w:cs="Arial"/>
                <w:sz w:val="16"/>
                <w:szCs w:val="16"/>
              </w:rPr>
              <w:t>27,30</w:t>
            </w:r>
          </w:p>
        </w:tc>
        <w:tc>
          <w:tcPr>
            <w:tcW w:w="852" w:type="dxa"/>
            <w:shd w:val="clear" w:color="auto" w:fill="auto"/>
            <w:noWrap/>
            <w:vAlign w:val="center"/>
            <w:hideMark/>
          </w:tcPr>
          <w:p w14:paraId="0138F4E6" w14:textId="39EAF39D"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0117C212" w14:textId="77777777" w:rsidR="008178E9" w:rsidRPr="00206845" w:rsidRDefault="008178E9" w:rsidP="001B3314">
            <w:pPr>
              <w:spacing w:after="0" w:line="276" w:lineRule="auto"/>
              <w:jc w:val="right"/>
              <w:rPr>
                <w:rFonts w:cs="Arial"/>
                <w:sz w:val="16"/>
                <w:szCs w:val="16"/>
              </w:rPr>
            </w:pPr>
            <w:r w:rsidRPr="00206845">
              <w:rPr>
                <w:rFonts w:cs="Arial"/>
                <w:sz w:val="16"/>
                <w:szCs w:val="16"/>
              </w:rPr>
              <w:t>27,30</w:t>
            </w:r>
          </w:p>
        </w:tc>
        <w:tc>
          <w:tcPr>
            <w:tcW w:w="851" w:type="dxa"/>
            <w:shd w:val="clear" w:color="auto" w:fill="auto"/>
            <w:noWrap/>
            <w:vAlign w:val="center"/>
            <w:hideMark/>
          </w:tcPr>
          <w:p w14:paraId="077CEDF5" w14:textId="77777777" w:rsidR="008178E9" w:rsidRPr="00206845" w:rsidRDefault="008178E9" w:rsidP="001B3314">
            <w:pPr>
              <w:spacing w:after="0" w:line="276" w:lineRule="auto"/>
              <w:jc w:val="right"/>
              <w:rPr>
                <w:rFonts w:cs="Arial"/>
                <w:sz w:val="16"/>
                <w:szCs w:val="16"/>
              </w:rPr>
            </w:pPr>
            <w:r w:rsidRPr="00206845">
              <w:rPr>
                <w:rFonts w:cs="Arial"/>
                <w:sz w:val="16"/>
                <w:szCs w:val="16"/>
              </w:rPr>
              <w:t>22,00</w:t>
            </w:r>
          </w:p>
        </w:tc>
        <w:tc>
          <w:tcPr>
            <w:tcW w:w="850" w:type="dxa"/>
            <w:shd w:val="clear" w:color="auto" w:fill="auto"/>
            <w:noWrap/>
            <w:vAlign w:val="center"/>
            <w:hideMark/>
          </w:tcPr>
          <w:p w14:paraId="5EC17E91" w14:textId="77777777" w:rsidR="008178E9" w:rsidRPr="00206845" w:rsidRDefault="008178E9" w:rsidP="001B3314">
            <w:pPr>
              <w:spacing w:after="0" w:line="276" w:lineRule="auto"/>
              <w:jc w:val="right"/>
              <w:rPr>
                <w:rFonts w:cs="Arial"/>
                <w:sz w:val="16"/>
                <w:szCs w:val="16"/>
              </w:rPr>
            </w:pPr>
            <w:r w:rsidRPr="00206845">
              <w:rPr>
                <w:rFonts w:cs="Arial"/>
                <w:sz w:val="16"/>
                <w:szCs w:val="16"/>
              </w:rPr>
              <w:t>22,00</w:t>
            </w:r>
          </w:p>
        </w:tc>
        <w:tc>
          <w:tcPr>
            <w:tcW w:w="992" w:type="dxa"/>
            <w:shd w:val="clear" w:color="auto" w:fill="auto"/>
            <w:noWrap/>
            <w:vAlign w:val="center"/>
            <w:hideMark/>
          </w:tcPr>
          <w:p w14:paraId="402178D5" w14:textId="77777777" w:rsidR="008178E9" w:rsidRPr="00206845" w:rsidRDefault="008178E9" w:rsidP="001B3314">
            <w:pPr>
              <w:spacing w:after="0" w:line="276" w:lineRule="auto"/>
              <w:jc w:val="right"/>
              <w:rPr>
                <w:rFonts w:cs="Arial"/>
                <w:sz w:val="16"/>
                <w:szCs w:val="16"/>
              </w:rPr>
            </w:pPr>
            <w:r w:rsidRPr="00206845">
              <w:rPr>
                <w:rFonts w:cs="Arial"/>
                <w:sz w:val="16"/>
                <w:szCs w:val="16"/>
              </w:rPr>
              <w:t>22,90</w:t>
            </w:r>
          </w:p>
        </w:tc>
        <w:tc>
          <w:tcPr>
            <w:tcW w:w="993" w:type="dxa"/>
            <w:shd w:val="clear" w:color="auto" w:fill="auto"/>
            <w:noWrap/>
            <w:vAlign w:val="center"/>
            <w:hideMark/>
          </w:tcPr>
          <w:p w14:paraId="5F256349" w14:textId="77777777" w:rsidR="008178E9" w:rsidRPr="00206845" w:rsidRDefault="008178E9" w:rsidP="001B3314">
            <w:pPr>
              <w:spacing w:after="0" w:line="276" w:lineRule="auto"/>
              <w:jc w:val="right"/>
              <w:rPr>
                <w:rFonts w:cs="Arial"/>
                <w:sz w:val="16"/>
                <w:szCs w:val="16"/>
              </w:rPr>
            </w:pPr>
            <w:r w:rsidRPr="00206845">
              <w:rPr>
                <w:rFonts w:cs="Arial"/>
                <w:sz w:val="16"/>
                <w:szCs w:val="16"/>
              </w:rPr>
              <w:t>22,90</w:t>
            </w:r>
          </w:p>
        </w:tc>
      </w:tr>
      <w:tr w:rsidR="001B3314" w:rsidRPr="00206845" w14:paraId="340EEB06" w14:textId="77777777" w:rsidTr="00737954">
        <w:trPr>
          <w:cantSplit/>
          <w:trHeight w:val="227"/>
          <w:jc w:val="center"/>
        </w:trPr>
        <w:tc>
          <w:tcPr>
            <w:tcW w:w="3072" w:type="dxa"/>
            <w:shd w:val="clear" w:color="000000" w:fill="FFFFFF"/>
            <w:vAlign w:val="center"/>
            <w:hideMark/>
          </w:tcPr>
          <w:p w14:paraId="6FDE2456" w14:textId="77777777" w:rsidR="001F53B4" w:rsidRDefault="008178E9" w:rsidP="00A02D1C">
            <w:pPr>
              <w:spacing w:after="0" w:line="276" w:lineRule="auto"/>
              <w:jc w:val="left"/>
              <w:rPr>
                <w:rFonts w:cs="Arial"/>
                <w:sz w:val="16"/>
                <w:szCs w:val="16"/>
              </w:rPr>
            </w:pPr>
            <w:r w:rsidRPr="00206845">
              <w:rPr>
                <w:rFonts w:cs="Arial"/>
                <w:sz w:val="16"/>
                <w:szCs w:val="16"/>
              </w:rPr>
              <w:t>Περιφερειακά Αεροδρόμια</w:t>
            </w:r>
          </w:p>
          <w:p w14:paraId="290C96FD" w14:textId="2A148279" w:rsidR="008178E9" w:rsidRPr="00206845" w:rsidRDefault="008178E9" w:rsidP="00A02D1C">
            <w:pPr>
              <w:spacing w:after="0" w:line="276" w:lineRule="auto"/>
              <w:jc w:val="left"/>
              <w:rPr>
                <w:rFonts w:cs="Arial"/>
                <w:sz w:val="16"/>
                <w:szCs w:val="16"/>
              </w:rPr>
            </w:pPr>
            <w:r w:rsidRPr="00206845">
              <w:rPr>
                <w:rFonts w:cs="Arial"/>
                <w:sz w:val="16"/>
                <w:szCs w:val="16"/>
              </w:rPr>
              <w:t>(Ετήσια Μεταβλητή Αμοιβή)</w:t>
            </w:r>
          </w:p>
        </w:tc>
        <w:tc>
          <w:tcPr>
            <w:tcW w:w="749" w:type="dxa"/>
            <w:shd w:val="clear" w:color="auto" w:fill="auto"/>
            <w:noWrap/>
            <w:vAlign w:val="center"/>
            <w:hideMark/>
          </w:tcPr>
          <w:p w14:paraId="63092E1E" w14:textId="280C79BD"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hideMark/>
          </w:tcPr>
          <w:p w14:paraId="723B164D" w14:textId="01A7063B"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hideMark/>
          </w:tcPr>
          <w:p w14:paraId="5FD38D45" w14:textId="7FA6AC3E" w:rsidR="008178E9" w:rsidRPr="00206845" w:rsidRDefault="008178E9" w:rsidP="001B3314">
            <w:pPr>
              <w:spacing w:after="0" w:line="276" w:lineRule="auto"/>
              <w:jc w:val="right"/>
              <w:rPr>
                <w:rFonts w:cs="Arial"/>
                <w:sz w:val="16"/>
                <w:szCs w:val="16"/>
              </w:rPr>
            </w:pPr>
          </w:p>
        </w:tc>
        <w:tc>
          <w:tcPr>
            <w:tcW w:w="852" w:type="dxa"/>
            <w:shd w:val="clear" w:color="auto" w:fill="auto"/>
            <w:noWrap/>
            <w:vAlign w:val="center"/>
            <w:hideMark/>
          </w:tcPr>
          <w:p w14:paraId="51DF6F4D" w14:textId="382ACA2D"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03BDB1A5" w14:textId="77777777" w:rsidR="008178E9" w:rsidRPr="00206845" w:rsidRDefault="008178E9" w:rsidP="001B3314">
            <w:pPr>
              <w:spacing w:after="0" w:line="276" w:lineRule="auto"/>
              <w:jc w:val="right"/>
              <w:rPr>
                <w:rFonts w:cs="Arial"/>
                <w:sz w:val="16"/>
                <w:szCs w:val="16"/>
              </w:rPr>
            </w:pPr>
            <w:r w:rsidRPr="00206845">
              <w:rPr>
                <w:rFonts w:cs="Arial"/>
                <w:sz w:val="16"/>
                <w:szCs w:val="16"/>
              </w:rPr>
              <w:t>102,30</w:t>
            </w:r>
          </w:p>
        </w:tc>
        <w:tc>
          <w:tcPr>
            <w:tcW w:w="851" w:type="dxa"/>
            <w:shd w:val="clear" w:color="auto" w:fill="auto"/>
            <w:noWrap/>
            <w:vAlign w:val="center"/>
            <w:hideMark/>
          </w:tcPr>
          <w:p w14:paraId="1F54C429" w14:textId="0590A4F5"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11F61BBC" w14:textId="1914F318"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2992AFAC" w14:textId="53BE9A03"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hideMark/>
          </w:tcPr>
          <w:p w14:paraId="7B6A320C" w14:textId="52274B11" w:rsidR="008178E9" w:rsidRPr="00206845" w:rsidRDefault="008178E9" w:rsidP="001B3314">
            <w:pPr>
              <w:spacing w:after="0" w:line="276" w:lineRule="auto"/>
              <w:jc w:val="right"/>
              <w:rPr>
                <w:rFonts w:cs="Arial"/>
                <w:sz w:val="16"/>
                <w:szCs w:val="16"/>
              </w:rPr>
            </w:pPr>
          </w:p>
        </w:tc>
      </w:tr>
      <w:tr w:rsidR="001B3314" w:rsidRPr="00206845" w14:paraId="778AFFA0" w14:textId="77777777" w:rsidTr="00737954">
        <w:trPr>
          <w:cantSplit/>
          <w:trHeight w:val="227"/>
          <w:jc w:val="center"/>
        </w:trPr>
        <w:tc>
          <w:tcPr>
            <w:tcW w:w="3072" w:type="dxa"/>
            <w:shd w:val="clear" w:color="auto" w:fill="auto"/>
            <w:vAlign w:val="center"/>
            <w:hideMark/>
          </w:tcPr>
          <w:p w14:paraId="3B5B17FA" w14:textId="77777777" w:rsidR="008178E9" w:rsidRPr="00206845" w:rsidRDefault="008178E9" w:rsidP="00A02D1C">
            <w:pPr>
              <w:spacing w:after="0" w:line="276" w:lineRule="auto"/>
              <w:jc w:val="left"/>
              <w:rPr>
                <w:rFonts w:cs="Arial"/>
                <w:sz w:val="16"/>
                <w:szCs w:val="16"/>
              </w:rPr>
            </w:pPr>
            <w:r w:rsidRPr="00206845">
              <w:rPr>
                <w:rFonts w:cs="Arial"/>
                <w:sz w:val="16"/>
                <w:szCs w:val="16"/>
              </w:rPr>
              <w:t>ΟΛΠ</w:t>
            </w:r>
          </w:p>
        </w:tc>
        <w:tc>
          <w:tcPr>
            <w:tcW w:w="749" w:type="dxa"/>
            <w:shd w:val="clear" w:color="auto" w:fill="auto"/>
            <w:noWrap/>
            <w:vAlign w:val="center"/>
            <w:hideMark/>
          </w:tcPr>
          <w:p w14:paraId="30B3A0A5" w14:textId="77777777" w:rsidR="008178E9" w:rsidRPr="00206845" w:rsidRDefault="008178E9" w:rsidP="001B3314">
            <w:pPr>
              <w:spacing w:after="0" w:line="276" w:lineRule="auto"/>
              <w:jc w:val="right"/>
              <w:rPr>
                <w:rFonts w:cs="Arial"/>
                <w:sz w:val="16"/>
                <w:szCs w:val="16"/>
              </w:rPr>
            </w:pPr>
            <w:r w:rsidRPr="00206845">
              <w:rPr>
                <w:rFonts w:cs="Arial"/>
                <w:sz w:val="16"/>
                <w:szCs w:val="16"/>
              </w:rPr>
              <w:t>99,90</w:t>
            </w:r>
          </w:p>
        </w:tc>
        <w:tc>
          <w:tcPr>
            <w:tcW w:w="847" w:type="dxa"/>
            <w:shd w:val="clear" w:color="auto" w:fill="auto"/>
            <w:noWrap/>
            <w:vAlign w:val="center"/>
            <w:hideMark/>
          </w:tcPr>
          <w:p w14:paraId="7626B713" w14:textId="77777777" w:rsidR="008178E9" w:rsidRPr="00206845" w:rsidRDefault="008178E9" w:rsidP="001B3314">
            <w:pPr>
              <w:spacing w:after="0" w:line="276" w:lineRule="auto"/>
              <w:jc w:val="right"/>
              <w:rPr>
                <w:rFonts w:cs="Arial"/>
                <w:sz w:val="16"/>
                <w:szCs w:val="16"/>
              </w:rPr>
            </w:pPr>
            <w:r w:rsidRPr="00206845">
              <w:rPr>
                <w:rFonts w:cs="Arial"/>
                <w:sz w:val="16"/>
                <w:szCs w:val="16"/>
              </w:rPr>
              <w:t>1,60</w:t>
            </w:r>
          </w:p>
        </w:tc>
        <w:tc>
          <w:tcPr>
            <w:tcW w:w="849" w:type="dxa"/>
            <w:shd w:val="clear" w:color="auto" w:fill="auto"/>
            <w:noWrap/>
            <w:vAlign w:val="center"/>
            <w:hideMark/>
          </w:tcPr>
          <w:p w14:paraId="464A4BA3" w14:textId="5C9AE4E8" w:rsidR="008178E9" w:rsidRPr="00206845" w:rsidRDefault="008178E9" w:rsidP="001B3314">
            <w:pPr>
              <w:spacing w:after="0" w:line="276" w:lineRule="auto"/>
              <w:jc w:val="right"/>
              <w:rPr>
                <w:rFonts w:cs="Arial"/>
                <w:sz w:val="16"/>
                <w:szCs w:val="16"/>
              </w:rPr>
            </w:pPr>
          </w:p>
        </w:tc>
        <w:tc>
          <w:tcPr>
            <w:tcW w:w="852" w:type="dxa"/>
            <w:shd w:val="clear" w:color="auto" w:fill="auto"/>
            <w:noWrap/>
            <w:vAlign w:val="center"/>
            <w:hideMark/>
          </w:tcPr>
          <w:p w14:paraId="2B44903F" w14:textId="3D4C79D7"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005E872C" w14:textId="4877AD2F" w:rsidR="008178E9" w:rsidRPr="00206845" w:rsidRDefault="008178E9" w:rsidP="001B3314">
            <w:pPr>
              <w:spacing w:after="0" w:line="276" w:lineRule="auto"/>
              <w:jc w:val="right"/>
              <w:rPr>
                <w:rFonts w:cs="Arial"/>
                <w:sz w:val="16"/>
                <w:szCs w:val="16"/>
              </w:rPr>
            </w:pPr>
          </w:p>
        </w:tc>
        <w:tc>
          <w:tcPr>
            <w:tcW w:w="851" w:type="dxa"/>
            <w:shd w:val="clear" w:color="auto" w:fill="auto"/>
            <w:noWrap/>
            <w:vAlign w:val="center"/>
            <w:hideMark/>
          </w:tcPr>
          <w:p w14:paraId="457464FF" w14:textId="36902719"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1D536574" w14:textId="2E95AB26"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2367DAB3" w14:textId="1DA4A08D"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hideMark/>
          </w:tcPr>
          <w:p w14:paraId="623DCA69" w14:textId="3F3EBBF2" w:rsidR="008178E9" w:rsidRPr="00206845" w:rsidRDefault="008178E9" w:rsidP="001B3314">
            <w:pPr>
              <w:spacing w:after="0" w:line="276" w:lineRule="auto"/>
              <w:jc w:val="right"/>
              <w:rPr>
                <w:rFonts w:cs="Arial"/>
                <w:sz w:val="16"/>
                <w:szCs w:val="16"/>
              </w:rPr>
            </w:pPr>
          </w:p>
        </w:tc>
      </w:tr>
      <w:tr w:rsidR="001B3314" w:rsidRPr="00206845" w14:paraId="46E5ACB5" w14:textId="77777777" w:rsidTr="00737954">
        <w:trPr>
          <w:cantSplit/>
          <w:trHeight w:val="227"/>
          <w:jc w:val="center"/>
        </w:trPr>
        <w:tc>
          <w:tcPr>
            <w:tcW w:w="3072" w:type="dxa"/>
            <w:shd w:val="clear" w:color="000000" w:fill="FFFFFF"/>
            <w:vAlign w:val="center"/>
            <w:hideMark/>
          </w:tcPr>
          <w:p w14:paraId="2A7D8307" w14:textId="0626DB4F" w:rsidR="008178E9" w:rsidRPr="00206845" w:rsidRDefault="008178E9" w:rsidP="00A02D1C">
            <w:pPr>
              <w:spacing w:after="0" w:line="276" w:lineRule="auto"/>
              <w:jc w:val="left"/>
              <w:rPr>
                <w:rFonts w:cs="Arial"/>
                <w:sz w:val="16"/>
                <w:szCs w:val="16"/>
              </w:rPr>
            </w:pPr>
            <w:r w:rsidRPr="00206845">
              <w:rPr>
                <w:rFonts w:cs="Arial"/>
                <w:sz w:val="16"/>
                <w:szCs w:val="16"/>
              </w:rPr>
              <w:t xml:space="preserve">ΔΑΑ - </w:t>
            </w:r>
            <w:r w:rsidR="001F53B4" w:rsidRPr="00206845">
              <w:rPr>
                <w:rFonts w:cs="Arial"/>
                <w:sz w:val="16"/>
                <w:szCs w:val="16"/>
              </w:rPr>
              <w:t>επέκταση</w:t>
            </w:r>
            <w:r w:rsidRPr="00206845">
              <w:rPr>
                <w:rFonts w:cs="Arial"/>
                <w:sz w:val="16"/>
                <w:szCs w:val="16"/>
              </w:rPr>
              <w:t xml:space="preserve"> </w:t>
            </w:r>
            <w:r w:rsidR="001F53B4" w:rsidRPr="00206845">
              <w:rPr>
                <w:rFonts w:cs="Arial"/>
                <w:sz w:val="16"/>
                <w:szCs w:val="16"/>
              </w:rPr>
              <w:t>σύμβασης</w:t>
            </w:r>
          </w:p>
        </w:tc>
        <w:tc>
          <w:tcPr>
            <w:tcW w:w="749" w:type="dxa"/>
            <w:shd w:val="clear" w:color="auto" w:fill="auto"/>
            <w:noWrap/>
            <w:vAlign w:val="center"/>
            <w:hideMark/>
          </w:tcPr>
          <w:p w14:paraId="2C187E95" w14:textId="420941AB"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hideMark/>
          </w:tcPr>
          <w:p w14:paraId="42BCE834" w14:textId="77777777" w:rsidR="008178E9" w:rsidRPr="00206845" w:rsidRDefault="008178E9" w:rsidP="001B3314">
            <w:pPr>
              <w:spacing w:after="0" w:line="276" w:lineRule="auto"/>
              <w:jc w:val="right"/>
              <w:rPr>
                <w:rFonts w:cs="Arial"/>
                <w:sz w:val="16"/>
                <w:szCs w:val="16"/>
              </w:rPr>
            </w:pPr>
            <w:r w:rsidRPr="00206845">
              <w:rPr>
                <w:rFonts w:cs="Arial"/>
                <w:sz w:val="16"/>
                <w:szCs w:val="16"/>
              </w:rPr>
              <w:t>15,00</w:t>
            </w:r>
          </w:p>
        </w:tc>
        <w:tc>
          <w:tcPr>
            <w:tcW w:w="849" w:type="dxa"/>
            <w:shd w:val="clear" w:color="000000" w:fill="FFFFFF"/>
            <w:noWrap/>
            <w:vAlign w:val="center"/>
            <w:hideMark/>
          </w:tcPr>
          <w:p w14:paraId="6424F711" w14:textId="77777777" w:rsidR="008178E9" w:rsidRPr="00206845" w:rsidRDefault="008178E9" w:rsidP="001B3314">
            <w:pPr>
              <w:spacing w:after="0" w:line="276" w:lineRule="auto"/>
              <w:jc w:val="right"/>
              <w:rPr>
                <w:rFonts w:cs="Arial"/>
                <w:sz w:val="16"/>
                <w:szCs w:val="16"/>
              </w:rPr>
            </w:pPr>
            <w:r w:rsidRPr="00206845">
              <w:rPr>
                <w:rFonts w:cs="Arial"/>
                <w:sz w:val="16"/>
                <w:szCs w:val="16"/>
              </w:rPr>
              <w:t>86,50</w:t>
            </w:r>
          </w:p>
        </w:tc>
        <w:tc>
          <w:tcPr>
            <w:tcW w:w="852" w:type="dxa"/>
            <w:shd w:val="clear" w:color="000000" w:fill="FFFFFF"/>
            <w:noWrap/>
            <w:vAlign w:val="center"/>
            <w:hideMark/>
          </w:tcPr>
          <w:p w14:paraId="792741C1" w14:textId="77777777" w:rsidR="008178E9" w:rsidRPr="00206845" w:rsidRDefault="008178E9" w:rsidP="001B3314">
            <w:pPr>
              <w:spacing w:after="0" w:line="276" w:lineRule="auto"/>
              <w:jc w:val="right"/>
              <w:rPr>
                <w:rFonts w:cs="Arial"/>
                <w:sz w:val="16"/>
                <w:szCs w:val="16"/>
              </w:rPr>
            </w:pPr>
            <w:r w:rsidRPr="00206845">
              <w:rPr>
                <w:rFonts w:cs="Arial"/>
                <w:sz w:val="16"/>
                <w:szCs w:val="16"/>
              </w:rPr>
              <w:t>784,70</w:t>
            </w:r>
          </w:p>
        </w:tc>
        <w:tc>
          <w:tcPr>
            <w:tcW w:w="1141" w:type="dxa"/>
            <w:shd w:val="clear" w:color="auto" w:fill="auto"/>
            <w:noWrap/>
            <w:vAlign w:val="center"/>
            <w:hideMark/>
          </w:tcPr>
          <w:p w14:paraId="72128F9B" w14:textId="323BAE08" w:rsidR="008178E9" w:rsidRPr="00206845" w:rsidRDefault="008178E9" w:rsidP="001B3314">
            <w:pPr>
              <w:spacing w:after="0" w:line="276" w:lineRule="auto"/>
              <w:jc w:val="right"/>
              <w:rPr>
                <w:rFonts w:cs="Arial"/>
                <w:sz w:val="16"/>
                <w:szCs w:val="16"/>
              </w:rPr>
            </w:pPr>
          </w:p>
        </w:tc>
        <w:tc>
          <w:tcPr>
            <w:tcW w:w="851" w:type="dxa"/>
            <w:shd w:val="clear" w:color="000000" w:fill="FFFFFF"/>
            <w:noWrap/>
            <w:vAlign w:val="center"/>
            <w:hideMark/>
          </w:tcPr>
          <w:p w14:paraId="4D1C2F4F" w14:textId="5338BAC7" w:rsidR="008178E9" w:rsidRPr="00206845" w:rsidRDefault="008178E9" w:rsidP="001B3314">
            <w:pPr>
              <w:spacing w:after="0" w:line="276" w:lineRule="auto"/>
              <w:jc w:val="right"/>
              <w:rPr>
                <w:rFonts w:cs="Arial"/>
                <w:sz w:val="16"/>
                <w:szCs w:val="16"/>
              </w:rPr>
            </w:pPr>
          </w:p>
        </w:tc>
        <w:tc>
          <w:tcPr>
            <w:tcW w:w="850" w:type="dxa"/>
            <w:shd w:val="clear" w:color="000000" w:fill="FFFFFF"/>
            <w:noWrap/>
            <w:vAlign w:val="center"/>
            <w:hideMark/>
          </w:tcPr>
          <w:p w14:paraId="4D4FC93B" w14:textId="3ED39883" w:rsidR="008178E9" w:rsidRPr="00206845" w:rsidRDefault="008178E9" w:rsidP="001B3314">
            <w:pPr>
              <w:spacing w:after="0" w:line="276" w:lineRule="auto"/>
              <w:jc w:val="right"/>
              <w:rPr>
                <w:rFonts w:cs="Arial"/>
                <w:sz w:val="16"/>
                <w:szCs w:val="16"/>
              </w:rPr>
            </w:pPr>
          </w:p>
        </w:tc>
        <w:tc>
          <w:tcPr>
            <w:tcW w:w="992" w:type="dxa"/>
            <w:shd w:val="clear" w:color="000000" w:fill="FFFFFF"/>
            <w:noWrap/>
            <w:vAlign w:val="center"/>
            <w:hideMark/>
          </w:tcPr>
          <w:p w14:paraId="08E7CCFB" w14:textId="4FB0131E" w:rsidR="008178E9" w:rsidRPr="00206845" w:rsidRDefault="008178E9" w:rsidP="001B3314">
            <w:pPr>
              <w:spacing w:after="0" w:line="276" w:lineRule="auto"/>
              <w:jc w:val="right"/>
              <w:rPr>
                <w:rFonts w:cs="Arial"/>
                <w:sz w:val="16"/>
                <w:szCs w:val="16"/>
              </w:rPr>
            </w:pPr>
          </w:p>
        </w:tc>
        <w:tc>
          <w:tcPr>
            <w:tcW w:w="993" w:type="dxa"/>
            <w:shd w:val="clear" w:color="000000" w:fill="FFFFFF"/>
            <w:noWrap/>
            <w:vAlign w:val="center"/>
            <w:hideMark/>
          </w:tcPr>
          <w:p w14:paraId="3FAF65EB" w14:textId="64BD02C9" w:rsidR="008178E9" w:rsidRPr="00206845" w:rsidRDefault="008178E9" w:rsidP="001B3314">
            <w:pPr>
              <w:spacing w:after="0" w:line="276" w:lineRule="auto"/>
              <w:jc w:val="right"/>
              <w:rPr>
                <w:rFonts w:cs="Arial"/>
                <w:sz w:val="16"/>
                <w:szCs w:val="16"/>
              </w:rPr>
            </w:pPr>
          </w:p>
        </w:tc>
      </w:tr>
      <w:tr w:rsidR="001B3314" w:rsidRPr="00206845" w14:paraId="6DB29B6E" w14:textId="77777777" w:rsidTr="00737954">
        <w:trPr>
          <w:cantSplit/>
          <w:trHeight w:val="227"/>
          <w:jc w:val="center"/>
        </w:trPr>
        <w:tc>
          <w:tcPr>
            <w:tcW w:w="3072" w:type="dxa"/>
            <w:shd w:val="clear" w:color="000000" w:fill="FFFFFF"/>
            <w:vAlign w:val="center"/>
            <w:hideMark/>
          </w:tcPr>
          <w:p w14:paraId="741F6867" w14:textId="77777777" w:rsidR="008178E9" w:rsidRPr="00206845" w:rsidRDefault="008178E9" w:rsidP="00A02D1C">
            <w:pPr>
              <w:spacing w:after="0" w:line="276" w:lineRule="auto"/>
              <w:jc w:val="left"/>
              <w:rPr>
                <w:rFonts w:cs="Arial"/>
                <w:sz w:val="16"/>
                <w:szCs w:val="16"/>
              </w:rPr>
            </w:pPr>
            <w:r w:rsidRPr="00206845">
              <w:rPr>
                <w:rFonts w:cs="Arial"/>
                <w:sz w:val="16"/>
                <w:szCs w:val="16"/>
              </w:rPr>
              <w:t>Εγνατία</w:t>
            </w:r>
          </w:p>
        </w:tc>
        <w:tc>
          <w:tcPr>
            <w:tcW w:w="749" w:type="dxa"/>
            <w:shd w:val="clear" w:color="auto" w:fill="auto"/>
            <w:noWrap/>
            <w:vAlign w:val="center"/>
            <w:hideMark/>
          </w:tcPr>
          <w:p w14:paraId="73F530A6" w14:textId="4E82BF2B"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hideMark/>
          </w:tcPr>
          <w:p w14:paraId="20584C9D" w14:textId="062F5AA3" w:rsidR="008178E9" w:rsidRPr="00206845" w:rsidRDefault="008178E9" w:rsidP="001B3314">
            <w:pPr>
              <w:spacing w:after="0" w:line="276" w:lineRule="auto"/>
              <w:jc w:val="right"/>
              <w:rPr>
                <w:rFonts w:cs="Arial"/>
                <w:sz w:val="16"/>
                <w:szCs w:val="16"/>
              </w:rPr>
            </w:pPr>
          </w:p>
        </w:tc>
        <w:tc>
          <w:tcPr>
            <w:tcW w:w="849" w:type="dxa"/>
            <w:shd w:val="clear" w:color="000000" w:fill="FFFFFF"/>
            <w:noWrap/>
            <w:vAlign w:val="center"/>
            <w:hideMark/>
          </w:tcPr>
          <w:p w14:paraId="767FE3B2" w14:textId="61B4CB6C" w:rsidR="008178E9" w:rsidRPr="00206845" w:rsidRDefault="008178E9" w:rsidP="001B3314">
            <w:pPr>
              <w:spacing w:after="0" w:line="276" w:lineRule="auto"/>
              <w:jc w:val="right"/>
              <w:rPr>
                <w:rFonts w:cs="Arial"/>
                <w:sz w:val="16"/>
                <w:szCs w:val="16"/>
              </w:rPr>
            </w:pPr>
          </w:p>
        </w:tc>
        <w:tc>
          <w:tcPr>
            <w:tcW w:w="852" w:type="dxa"/>
            <w:shd w:val="clear" w:color="000000" w:fill="FFFFFF"/>
            <w:noWrap/>
            <w:vAlign w:val="center"/>
            <w:hideMark/>
          </w:tcPr>
          <w:p w14:paraId="234F1A81" w14:textId="6FECCE84"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2CB87DA3" w14:textId="216019AA" w:rsidR="008178E9" w:rsidRPr="00206845" w:rsidRDefault="008178E9" w:rsidP="001B3314">
            <w:pPr>
              <w:spacing w:after="0" w:line="276" w:lineRule="auto"/>
              <w:jc w:val="right"/>
              <w:rPr>
                <w:rFonts w:cs="Arial"/>
                <w:sz w:val="16"/>
                <w:szCs w:val="16"/>
              </w:rPr>
            </w:pPr>
            <w:r w:rsidRPr="00206845">
              <w:rPr>
                <w:rFonts w:cs="Arial"/>
                <w:sz w:val="16"/>
                <w:szCs w:val="16"/>
              </w:rPr>
              <w:t>1</w:t>
            </w:r>
            <w:r w:rsidR="00A02D1C">
              <w:rPr>
                <w:rFonts w:cs="Arial"/>
                <w:sz w:val="16"/>
                <w:szCs w:val="16"/>
              </w:rPr>
              <w:t>.</w:t>
            </w:r>
            <w:r w:rsidRPr="00206845">
              <w:rPr>
                <w:rFonts w:cs="Arial"/>
                <w:sz w:val="16"/>
                <w:szCs w:val="16"/>
              </w:rPr>
              <w:t>350,00</w:t>
            </w:r>
          </w:p>
        </w:tc>
        <w:tc>
          <w:tcPr>
            <w:tcW w:w="851" w:type="dxa"/>
            <w:shd w:val="clear" w:color="000000" w:fill="FFFFFF"/>
            <w:noWrap/>
            <w:vAlign w:val="center"/>
            <w:hideMark/>
          </w:tcPr>
          <w:p w14:paraId="3CB8A796" w14:textId="4262562F" w:rsidR="008178E9" w:rsidRPr="00206845" w:rsidRDefault="008178E9" w:rsidP="001B3314">
            <w:pPr>
              <w:spacing w:after="0" w:line="276" w:lineRule="auto"/>
              <w:jc w:val="right"/>
              <w:rPr>
                <w:rFonts w:cs="Arial"/>
                <w:sz w:val="16"/>
                <w:szCs w:val="16"/>
              </w:rPr>
            </w:pPr>
          </w:p>
        </w:tc>
        <w:tc>
          <w:tcPr>
            <w:tcW w:w="850" w:type="dxa"/>
            <w:shd w:val="clear" w:color="000000" w:fill="FFFFFF"/>
            <w:noWrap/>
            <w:vAlign w:val="center"/>
            <w:hideMark/>
          </w:tcPr>
          <w:p w14:paraId="13020960" w14:textId="568EACE9" w:rsidR="008178E9" w:rsidRPr="00206845" w:rsidRDefault="008178E9" w:rsidP="001B3314">
            <w:pPr>
              <w:spacing w:after="0" w:line="276" w:lineRule="auto"/>
              <w:jc w:val="right"/>
              <w:rPr>
                <w:rFonts w:cs="Arial"/>
                <w:sz w:val="16"/>
                <w:szCs w:val="16"/>
              </w:rPr>
            </w:pPr>
          </w:p>
        </w:tc>
        <w:tc>
          <w:tcPr>
            <w:tcW w:w="992" w:type="dxa"/>
            <w:shd w:val="clear" w:color="000000" w:fill="FFFFFF"/>
            <w:noWrap/>
            <w:vAlign w:val="center"/>
            <w:hideMark/>
          </w:tcPr>
          <w:p w14:paraId="502E6038" w14:textId="30DA5432" w:rsidR="008178E9" w:rsidRPr="00206845" w:rsidRDefault="008178E9" w:rsidP="001B3314">
            <w:pPr>
              <w:spacing w:after="0" w:line="276" w:lineRule="auto"/>
              <w:jc w:val="right"/>
              <w:rPr>
                <w:rFonts w:cs="Arial"/>
                <w:sz w:val="16"/>
                <w:szCs w:val="16"/>
              </w:rPr>
            </w:pPr>
          </w:p>
        </w:tc>
        <w:tc>
          <w:tcPr>
            <w:tcW w:w="993" w:type="dxa"/>
            <w:shd w:val="clear" w:color="000000" w:fill="FFFFFF"/>
            <w:noWrap/>
            <w:vAlign w:val="center"/>
            <w:hideMark/>
          </w:tcPr>
          <w:p w14:paraId="1E2E34F7" w14:textId="4220CAFC" w:rsidR="008178E9" w:rsidRPr="00206845" w:rsidRDefault="008178E9" w:rsidP="001B3314">
            <w:pPr>
              <w:spacing w:after="0" w:line="276" w:lineRule="auto"/>
              <w:jc w:val="right"/>
              <w:rPr>
                <w:rFonts w:cs="Arial"/>
                <w:sz w:val="16"/>
                <w:szCs w:val="16"/>
              </w:rPr>
            </w:pPr>
          </w:p>
        </w:tc>
      </w:tr>
      <w:tr w:rsidR="001B3314" w:rsidRPr="00206845" w14:paraId="13ECB451" w14:textId="77777777" w:rsidTr="00737954">
        <w:trPr>
          <w:cantSplit/>
          <w:trHeight w:val="227"/>
          <w:jc w:val="center"/>
        </w:trPr>
        <w:tc>
          <w:tcPr>
            <w:tcW w:w="3072" w:type="dxa"/>
            <w:shd w:val="clear" w:color="000000" w:fill="FFFFFF"/>
            <w:vAlign w:val="center"/>
            <w:hideMark/>
          </w:tcPr>
          <w:p w14:paraId="7801B189" w14:textId="77777777" w:rsidR="008178E9" w:rsidRPr="00206845" w:rsidRDefault="008178E9" w:rsidP="00A02D1C">
            <w:pPr>
              <w:spacing w:after="0" w:line="276" w:lineRule="auto"/>
              <w:jc w:val="left"/>
              <w:rPr>
                <w:rFonts w:cs="Arial"/>
                <w:sz w:val="16"/>
                <w:szCs w:val="16"/>
              </w:rPr>
            </w:pPr>
            <w:r w:rsidRPr="00206845">
              <w:rPr>
                <w:rFonts w:cs="Arial"/>
                <w:sz w:val="16"/>
                <w:szCs w:val="16"/>
              </w:rPr>
              <w:t>ΔΕΠΑ Υποδομών</w:t>
            </w:r>
          </w:p>
        </w:tc>
        <w:tc>
          <w:tcPr>
            <w:tcW w:w="749" w:type="dxa"/>
            <w:shd w:val="clear" w:color="auto" w:fill="auto"/>
            <w:noWrap/>
            <w:vAlign w:val="center"/>
            <w:hideMark/>
          </w:tcPr>
          <w:p w14:paraId="7404C83B" w14:textId="08ECB715"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hideMark/>
          </w:tcPr>
          <w:p w14:paraId="76827C30" w14:textId="77777777" w:rsidR="008178E9" w:rsidRPr="00206845" w:rsidRDefault="008178E9" w:rsidP="001B3314">
            <w:pPr>
              <w:spacing w:after="0" w:line="276" w:lineRule="auto"/>
              <w:jc w:val="right"/>
              <w:rPr>
                <w:rFonts w:cs="Arial"/>
                <w:sz w:val="16"/>
                <w:szCs w:val="16"/>
              </w:rPr>
            </w:pPr>
            <w:r w:rsidRPr="00206845">
              <w:rPr>
                <w:rFonts w:cs="Arial"/>
                <w:sz w:val="16"/>
                <w:szCs w:val="16"/>
              </w:rPr>
              <w:t>516,10</w:t>
            </w:r>
          </w:p>
        </w:tc>
        <w:tc>
          <w:tcPr>
            <w:tcW w:w="849" w:type="dxa"/>
            <w:shd w:val="clear" w:color="000000" w:fill="FFFFFF"/>
            <w:noWrap/>
            <w:vAlign w:val="center"/>
            <w:hideMark/>
          </w:tcPr>
          <w:p w14:paraId="06E327EA" w14:textId="6ABB8773" w:rsidR="008178E9" w:rsidRPr="00206845" w:rsidRDefault="008178E9" w:rsidP="001B3314">
            <w:pPr>
              <w:spacing w:after="0" w:line="276" w:lineRule="auto"/>
              <w:jc w:val="right"/>
              <w:rPr>
                <w:rFonts w:cs="Arial"/>
                <w:sz w:val="16"/>
                <w:szCs w:val="16"/>
              </w:rPr>
            </w:pPr>
          </w:p>
        </w:tc>
        <w:tc>
          <w:tcPr>
            <w:tcW w:w="852" w:type="dxa"/>
            <w:shd w:val="clear" w:color="000000" w:fill="FFFFFF"/>
            <w:noWrap/>
            <w:vAlign w:val="center"/>
            <w:hideMark/>
          </w:tcPr>
          <w:p w14:paraId="537EF3D4" w14:textId="37483D64"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485CF238" w14:textId="6967ED68" w:rsidR="008178E9" w:rsidRPr="00206845" w:rsidRDefault="008178E9" w:rsidP="001B3314">
            <w:pPr>
              <w:spacing w:after="0" w:line="276" w:lineRule="auto"/>
              <w:jc w:val="right"/>
              <w:rPr>
                <w:rFonts w:cs="Arial"/>
                <w:sz w:val="16"/>
                <w:szCs w:val="16"/>
              </w:rPr>
            </w:pPr>
          </w:p>
        </w:tc>
        <w:tc>
          <w:tcPr>
            <w:tcW w:w="851" w:type="dxa"/>
            <w:shd w:val="clear" w:color="000000" w:fill="FFFFFF"/>
            <w:noWrap/>
            <w:vAlign w:val="center"/>
            <w:hideMark/>
          </w:tcPr>
          <w:p w14:paraId="30C51EE5" w14:textId="51912682" w:rsidR="008178E9" w:rsidRPr="00206845" w:rsidRDefault="008178E9" w:rsidP="001B3314">
            <w:pPr>
              <w:spacing w:after="0" w:line="276" w:lineRule="auto"/>
              <w:jc w:val="right"/>
              <w:rPr>
                <w:rFonts w:cs="Arial"/>
                <w:sz w:val="16"/>
                <w:szCs w:val="16"/>
              </w:rPr>
            </w:pPr>
          </w:p>
        </w:tc>
        <w:tc>
          <w:tcPr>
            <w:tcW w:w="850" w:type="dxa"/>
            <w:shd w:val="clear" w:color="000000" w:fill="FFFFFF"/>
            <w:noWrap/>
            <w:vAlign w:val="center"/>
            <w:hideMark/>
          </w:tcPr>
          <w:p w14:paraId="153EF4C9" w14:textId="3A8C3FE3" w:rsidR="008178E9" w:rsidRPr="00206845" w:rsidRDefault="008178E9" w:rsidP="001B3314">
            <w:pPr>
              <w:spacing w:after="0" w:line="276" w:lineRule="auto"/>
              <w:jc w:val="right"/>
              <w:rPr>
                <w:rFonts w:cs="Arial"/>
                <w:sz w:val="16"/>
                <w:szCs w:val="16"/>
              </w:rPr>
            </w:pPr>
          </w:p>
        </w:tc>
        <w:tc>
          <w:tcPr>
            <w:tcW w:w="992" w:type="dxa"/>
            <w:shd w:val="clear" w:color="000000" w:fill="FFFFFF"/>
            <w:noWrap/>
            <w:vAlign w:val="center"/>
            <w:hideMark/>
          </w:tcPr>
          <w:p w14:paraId="2B418256" w14:textId="42DCC407" w:rsidR="008178E9" w:rsidRPr="00206845" w:rsidRDefault="008178E9" w:rsidP="001B3314">
            <w:pPr>
              <w:spacing w:after="0" w:line="276" w:lineRule="auto"/>
              <w:jc w:val="right"/>
              <w:rPr>
                <w:rFonts w:cs="Arial"/>
                <w:sz w:val="16"/>
                <w:szCs w:val="16"/>
              </w:rPr>
            </w:pPr>
          </w:p>
        </w:tc>
        <w:tc>
          <w:tcPr>
            <w:tcW w:w="993" w:type="dxa"/>
            <w:shd w:val="clear" w:color="000000" w:fill="FFFFFF"/>
            <w:noWrap/>
            <w:vAlign w:val="center"/>
            <w:hideMark/>
          </w:tcPr>
          <w:p w14:paraId="0B31E361" w14:textId="7F1809F2" w:rsidR="008178E9" w:rsidRPr="00206845" w:rsidRDefault="008178E9" w:rsidP="001B3314">
            <w:pPr>
              <w:spacing w:after="0" w:line="276" w:lineRule="auto"/>
              <w:jc w:val="right"/>
              <w:rPr>
                <w:rFonts w:cs="Arial"/>
                <w:sz w:val="16"/>
                <w:szCs w:val="16"/>
              </w:rPr>
            </w:pPr>
          </w:p>
        </w:tc>
      </w:tr>
      <w:tr w:rsidR="00FC5790" w:rsidRPr="00206845" w14:paraId="01D79364" w14:textId="77777777" w:rsidTr="00737954">
        <w:trPr>
          <w:cantSplit/>
          <w:trHeight w:val="227"/>
          <w:jc w:val="center"/>
        </w:trPr>
        <w:tc>
          <w:tcPr>
            <w:tcW w:w="3072" w:type="dxa"/>
            <w:shd w:val="clear" w:color="000000" w:fill="FFFFFF"/>
            <w:vAlign w:val="center"/>
          </w:tcPr>
          <w:p w14:paraId="69390CE6" w14:textId="77777777" w:rsidR="00F663D6" w:rsidRDefault="00FC5790" w:rsidP="00A02D1C">
            <w:pPr>
              <w:spacing w:after="0" w:line="276" w:lineRule="auto"/>
              <w:jc w:val="left"/>
              <w:rPr>
                <w:rFonts w:cs="Arial"/>
                <w:sz w:val="16"/>
                <w:szCs w:val="16"/>
              </w:rPr>
            </w:pPr>
            <w:r w:rsidRPr="00F663D6">
              <w:rPr>
                <w:rFonts w:cs="Arial"/>
                <w:sz w:val="16"/>
                <w:szCs w:val="16"/>
              </w:rPr>
              <w:t>Μετοχές HelleniQ Energy</w:t>
            </w:r>
          </w:p>
          <w:p w14:paraId="0201A5BC" w14:textId="02C20B52" w:rsidR="00FC5790" w:rsidRPr="00FC5790" w:rsidRDefault="00FC5790" w:rsidP="00A02D1C">
            <w:pPr>
              <w:spacing w:after="0" w:line="276" w:lineRule="auto"/>
              <w:jc w:val="left"/>
              <w:rPr>
                <w:rFonts w:cs="Arial"/>
                <w:sz w:val="16"/>
                <w:szCs w:val="16"/>
              </w:rPr>
            </w:pPr>
            <w:r w:rsidRPr="00F663D6">
              <w:rPr>
                <w:rFonts w:cs="Arial"/>
                <w:sz w:val="16"/>
                <w:szCs w:val="16"/>
              </w:rPr>
              <w:t>(πρώην ΕΛΠΕ)</w:t>
            </w:r>
          </w:p>
        </w:tc>
        <w:tc>
          <w:tcPr>
            <w:tcW w:w="749" w:type="dxa"/>
            <w:shd w:val="clear" w:color="auto" w:fill="auto"/>
            <w:noWrap/>
            <w:vAlign w:val="center"/>
          </w:tcPr>
          <w:p w14:paraId="143FCCBB" w14:textId="77777777" w:rsidR="00FC5790" w:rsidRPr="00206845" w:rsidRDefault="00FC5790" w:rsidP="001B3314">
            <w:pPr>
              <w:spacing w:after="0" w:line="276" w:lineRule="auto"/>
              <w:jc w:val="right"/>
              <w:rPr>
                <w:rFonts w:cs="Arial"/>
                <w:sz w:val="16"/>
                <w:szCs w:val="16"/>
              </w:rPr>
            </w:pPr>
          </w:p>
        </w:tc>
        <w:tc>
          <w:tcPr>
            <w:tcW w:w="847" w:type="dxa"/>
            <w:shd w:val="clear" w:color="auto" w:fill="auto"/>
            <w:noWrap/>
            <w:vAlign w:val="center"/>
          </w:tcPr>
          <w:p w14:paraId="6E9DD496" w14:textId="77777777" w:rsidR="00FC5790" w:rsidRPr="00206845" w:rsidRDefault="00FC5790" w:rsidP="001B3314">
            <w:pPr>
              <w:spacing w:after="0" w:line="276" w:lineRule="auto"/>
              <w:jc w:val="right"/>
              <w:rPr>
                <w:rFonts w:cs="Arial"/>
                <w:sz w:val="16"/>
                <w:szCs w:val="16"/>
              </w:rPr>
            </w:pPr>
          </w:p>
        </w:tc>
        <w:tc>
          <w:tcPr>
            <w:tcW w:w="849" w:type="dxa"/>
            <w:shd w:val="clear" w:color="000000" w:fill="FFFFFF"/>
            <w:noWrap/>
            <w:vAlign w:val="center"/>
          </w:tcPr>
          <w:p w14:paraId="37F1673E" w14:textId="02E58CD8" w:rsidR="00FC5790" w:rsidRPr="005D385D" w:rsidRDefault="00FC5790" w:rsidP="001B3314">
            <w:pPr>
              <w:spacing w:after="0" w:line="276" w:lineRule="auto"/>
              <w:jc w:val="right"/>
              <w:rPr>
                <w:rFonts w:cs="Arial"/>
                <w:sz w:val="16"/>
                <w:szCs w:val="16"/>
              </w:rPr>
            </w:pPr>
            <w:r>
              <w:rPr>
                <w:rFonts w:cs="Arial"/>
                <w:sz w:val="16"/>
                <w:szCs w:val="16"/>
                <w:lang w:val="en-US"/>
              </w:rPr>
              <w:t>91,9</w:t>
            </w:r>
            <w:r w:rsidR="005D385D">
              <w:rPr>
                <w:rFonts w:cs="Arial"/>
                <w:sz w:val="16"/>
                <w:szCs w:val="16"/>
              </w:rPr>
              <w:t>0</w:t>
            </w:r>
          </w:p>
        </w:tc>
        <w:tc>
          <w:tcPr>
            <w:tcW w:w="852" w:type="dxa"/>
            <w:shd w:val="clear" w:color="000000" w:fill="FFFFFF"/>
            <w:noWrap/>
            <w:vAlign w:val="center"/>
          </w:tcPr>
          <w:p w14:paraId="43128CF7" w14:textId="77777777" w:rsidR="00FC5790" w:rsidRPr="00206845" w:rsidRDefault="00FC5790" w:rsidP="001B3314">
            <w:pPr>
              <w:spacing w:after="0" w:line="276" w:lineRule="auto"/>
              <w:jc w:val="right"/>
              <w:rPr>
                <w:rFonts w:cs="Arial"/>
                <w:sz w:val="16"/>
                <w:szCs w:val="16"/>
              </w:rPr>
            </w:pPr>
          </w:p>
        </w:tc>
        <w:tc>
          <w:tcPr>
            <w:tcW w:w="1141" w:type="dxa"/>
            <w:shd w:val="clear" w:color="auto" w:fill="auto"/>
            <w:noWrap/>
            <w:vAlign w:val="center"/>
          </w:tcPr>
          <w:p w14:paraId="39B6B899" w14:textId="77777777" w:rsidR="00FC5790" w:rsidRPr="00206845" w:rsidRDefault="00FC5790" w:rsidP="001B3314">
            <w:pPr>
              <w:spacing w:after="0" w:line="276" w:lineRule="auto"/>
              <w:jc w:val="right"/>
              <w:rPr>
                <w:rFonts w:cs="Arial"/>
                <w:sz w:val="16"/>
                <w:szCs w:val="16"/>
              </w:rPr>
            </w:pPr>
          </w:p>
        </w:tc>
        <w:tc>
          <w:tcPr>
            <w:tcW w:w="851" w:type="dxa"/>
            <w:shd w:val="clear" w:color="000000" w:fill="FFFFFF"/>
            <w:noWrap/>
            <w:vAlign w:val="center"/>
          </w:tcPr>
          <w:p w14:paraId="31D48965" w14:textId="77777777" w:rsidR="00FC5790" w:rsidRPr="00206845" w:rsidRDefault="00FC5790" w:rsidP="001B3314">
            <w:pPr>
              <w:spacing w:after="0" w:line="276" w:lineRule="auto"/>
              <w:jc w:val="right"/>
              <w:rPr>
                <w:rFonts w:cs="Arial"/>
                <w:sz w:val="16"/>
                <w:szCs w:val="16"/>
              </w:rPr>
            </w:pPr>
          </w:p>
        </w:tc>
        <w:tc>
          <w:tcPr>
            <w:tcW w:w="850" w:type="dxa"/>
            <w:shd w:val="clear" w:color="000000" w:fill="FFFFFF"/>
            <w:noWrap/>
            <w:vAlign w:val="center"/>
          </w:tcPr>
          <w:p w14:paraId="41A7A9EE" w14:textId="77777777" w:rsidR="00FC5790" w:rsidRPr="00206845" w:rsidRDefault="00FC5790" w:rsidP="001B3314">
            <w:pPr>
              <w:spacing w:after="0" w:line="276" w:lineRule="auto"/>
              <w:jc w:val="right"/>
              <w:rPr>
                <w:rFonts w:cs="Arial"/>
                <w:sz w:val="16"/>
                <w:szCs w:val="16"/>
              </w:rPr>
            </w:pPr>
          </w:p>
        </w:tc>
        <w:tc>
          <w:tcPr>
            <w:tcW w:w="992" w:type="dxa"/>
            <w:shd w:val="clear" w:color="000000" w:fill="FFFFFF"/>
            <w:noWrap/>
            <w:vAlign w:val="center"/>
          </w:tcPr>
          <w:p w14:paraId="582ED8D1" w14:textId="77777777" w:rsidR="00FC5790" w:rsidRPr="00206845" w:rsidRDefault="00FC5790" w:rsidP="001B3314">
            <w:pPr>
              <w:spacing w:after="0" w:line="276" w:lineRule="auto"/>
              <w:jc w:val="right"/>
              <w:rPr>
                <w:rFonts w:cs="Arial"/>
                <w:sz w:val="16"/>
                <w:szCs w:val="16"/>
              </w:rPr>
            </w:pPr>
          </w:p>
        </w:tc>
        <w:tc>
          <w:tcPr>
            <w:tcW w:w="993" w:type="dxa"/>
            <w:shd w:val="clear" w:color="000000" w:fill="FFFFFF"/>
            <w:noWrap/>
            <w:vAlign w:val="center"/>
          </w:tcPr>
          <w:p w14:paraId="18409D19" w14:textId="77777777" w:rsidR="00FC5790" w:rsidRPr="00206845" w:rsidRDefault="00FC5790" w:rsidP="001B3314">
            <w:pPr>
              <w:spacing w:after="0" w:line="276" w:lineRule="auto"/>
              <w:jc w:val="right"/>
              <w:rPr>
                <w:rFonts w:cs="Arial"/>
                <w:sz w:val="16"/>
                <w:szCs w:val="16"/>
              </w:rPr>
            </w:pPr>
          </w:p>
        </w:tc>
      </w:tr>
      <w:tr w:rsidR="001B3314" w:rsidRPr="00206845" w14:paraId="15E16114" w14:textId="77777777" w:rsidTr="00737954">
        <w:trPr>
          <w:cantSplit/>
          <w:trHeight w:val="227"/>
          <w:jc w:val="center"/>
        </w:trPr>
        <w:tc>
          <w:tcPr>
            <w:tcW w:w="3072" w:type="dxa"/>
            <w:shd w:val="clear" w:color="000000" w:fill="FFFFFF"/>
            <w:vAlign w:val="center"/>
            <w:hideMark/>
          </w:tcPr>
          <w:p w14:paraId="7ACE441D" w14:textId="77777777" w:rsidR="008178E9" w:rsidRPr="00206845" w:rsidRDefault="008178E9" w:rsidP="00A02D1C">
            <w:pPr>
              <w:spacing w:after="0" w:line="276" w:lineRule="auto"/>
              <w:jc w:val="left"/>
              <w:rPr>
                <w:rFonts w:cs="Arial"/>
                <w:sz w:val="16"/>
                <w:szCs w:val="16"/>
              </w:rPr>
            </w:pPr>
            <w:r w:rsidRPr="00206845">
              <w:rPr>
                <w:rFonts w:cs="Arial"/>
                <w:sz w:val="16"/>
                <w:szCs w:val="16"/>
              </w:rPr>
              <w:t>Ηγουμενίτσα</w:t>
            </w:r>
          </w:p>
        </w:tc>
        <w:tc>
          <w:tcPr>
            <w:tcW w:w="749" w:type="dxa"/>
            <w:shd w:val="clear" w:color="auto" w:fill="auto"/>
            <w:noWrap/>
            <w:vAlign w:val="center"/>
            <w:hideMark/>
          </w:tcPr>
          <w:p w14:paraId="561811AF" w14:textId="7C3847AA"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hideMark/>
          </w:tcPr>
          <w:p w14:paraId="746B37DE" w14:textId="530BA4F1" w:rsidR="008178E9" w:rsidRPr="00206845" w:rsidRDefault="008178E9" w:rsidP="001B3314">
            <w:pPr>
              <w:spacing w:after="0" w:line="276" w:lineRule="auto"/>
              <w:jc w:val="right"/>
              <w:rPr>
                <w:rFonts w:cs="Arial"/>
                <w:sz w:val="16"/>
                <w:szCs w:val="16"/>
              </w:rPr>
            </w:pPr>
          </w:p>
        </w:tc>
        <w:tc>
          <w:tcPr>
            <w:tcW w:w="849" w:type="dxa"/>
            <w:shd w:val="clear" w:color="000000" w:fill="FFFFFF"/>
            <w:noWrap/>
            <w:vAlign w:val="center"/>
            <w:hideMark/>
          </w:tcPr>
          <w:p w14:paraId="504B42EC" w14:textId="77777777" w:rsidR="008178E9" w:rsidRPr="00206845" w:rsidRDefault="008178E9" w:rsidP="001B3314">
            <w:pPr>
              <w:spacing w:after="0" w:line="276" w:lineRule="auto"/>
              <w:jc w:val="right"/>
              <w:rPr>
                <w:rFonts w:cs="Arial"/>
                <w:sz w:val="16"/>
                <w:szCs w:val="16"/>
              </w:rPr>
            </w:pPr>
            <w:r w:rsidRPr="00206845">
              <w:rPr>
                <w:rFonts w:cs="Arial"/>
                <w:sz w:val="16"/>
                <w:szCs w:val="16"/>
              </w:rPr>
              <w:t>84,20</w:t>
            </w:r>
          </w:p>
        </w:tc>
        <w:tc>
          <w:tcPr>
            <w:tcW w:w="852" w:type="dxa"/>
            <w:shd w:val="clear" w:color="000000" w:fill="FFFFFF"/>
            <w:noWrap/>
            <w:vAlign w:val="center"/>
            <w:hideMark/>
          </w:tcPr>
          <w:p w14:paraId="72533A90" w14:textId="5099079B"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7DFA968D" w14:textId="77777777" w:rsidR="008178E9" w:rsidRPr="00206845" w:rsidRDefault="008178E9" w:rsidP="001B3314">
            <w:pPr>
              <w:spacing w:after="0" w:line="276" w:lineRule="auto"/>
              <w:jc w:val="right"/>
              <w:rPr>
                <w:rFonts w:cs="Arial"/>
                <w:sz w:val="16"/>
                <w:szCs w:val="16"/>
              </w:rPr>
            </w:pPr>
            <w:r w:rsidRPr="00206845">
              <w:rPr>
                <w:rFonts w:cs="Arial"/>
                <w:sz w:val="16"/>
                <w:szCs w:val="16"/>
              </w:rPr>
              <w:t>1,00</w:t>
            </w:r>
          </w:p>
        </w:tc>
        <w:tc>
          <w:tcPr>
            <w:tcW w:w="851" w:type="dxa"/>
            <w:shd w:val="clear" w:color="000000" w:fill="FFFFFF"/>
            <w:noWrap/>
            <w:vAlign w:val="center"/>
            <w:hideMark/>
          </w:tcPr>
          <w:p w14:paraId="116EA353" w14:textId="487F3679" w:rsidR="008178E9" w:rsidRPr="00206845" w:rsidRDefault="008178E9" w:rsidP="001B3314">
            <w:pPr>
              <w:spacing w:after="0" w:line="276" w:lineRule="auto"/>
              <w:jc w:val="right"/>
              <w:rPr>
                <w:rFonts w:cs="Arial"/>
                <w:sz w:val="16"/>
                <w:szCs w:val="16"/>
              </w:rPr>
            </w:pPr>
          </w:p>
        </w:tc>
        <w:tc>
          <w:tcPr>
            <w:tcW w:w="850" w:type="dxa"/>
            <w:shd w:val="clear" w:color="000000" w:fill="FFFFFF"/>
            <w:noWrap/>
            <w:vAlign w:val="center"/>
            <w:hideMark/>
          </w:tcPr>
          <w:p w14:paraId="5C7C639E" w14:textId="317BA7C1" w:rsidR="008178E9" w:rsidRPr="00206845" w:rsidRDefault="008178E9" w:rsidP="001B3314">
            <w:pPr>
              <w:spacing w:after="0" w:line="276" w:lineRule="auto"/>
              <w:jc w:val="right"/>
              <w:rPr>
                <w:rFonts w:cs="Arial"/>
                <w:sz w:val="16"/>
                <w:szCs w:val="16"/>
              </w:rPr>
            </w:pPr>
          </w:p>
        </w:tc>
        <w:tc>
          <w:tcPr>
            <w:tcW w:w="992" w:type="dxa"/>
            <w:shd w:val="clear" w:color="000000" w:fill="FFFFFF"/>
            <w:noWrap/>
            <w:vAlign w:val="center"/>
            <w:hideMark/>
          </w:tcPr>
          <w:p w14:paraId="2B0694A5" w14:textId="2A590D6C" w:rsidR="008178E9" w:rsidRPr="00206845" w:rsidRDefault="008178E9" w:rsidP="001B3314">
            <w:pPr>
              <w:spacing w:after="0" w:line="276" w:lineRule="auto"/>
              <w:jc w:val="right"/>
              <w:rPr>
                <w:rFonts w:cs="Arial"/>
                <w:sz w:val="16"/>
                <w:szCs w:val="16"/>
              </w:rPr>
            </w:pPr>
          </w:p>
        </w:tc>
        <w:tc>
          <w:tcPr>
            <w:tcW w:w="993" w:type="dxa"/>
            <w:shd w:val="clear" w:color="000000" w:fill="FFFFFF"/>
            <w:noWrap/>
            <w:vAlign w:val="center"/>
            <w:hideMark/>
          </w:tcPr>
          <w:p w14:paraId="3681352A" w14:textId="58429867" w:rsidR="008178E9" w:rsidRPr="00206845" w:rsidRDefault="008178E9" w:rsidP="001B3314">
            <w:pPr>
              <w:spacing w:after="0" w:line="276" w:lineRule="auto"/>
              <w:jc w:val="right"/>
              <w:rPr>
                <w:rFonts w:cs="Arial"/>
                <w:sz w:val="16"/>
                <w:szCs w:val="16"/>
              </w:rPr>
            </w:pPr>
          </w:p>
        </w:tc>
      </w:tr>
      <w:tr w:rsidR="001B3314" w:rsidRPr="00206845" w14:paraId="005F5EAD" w14:textId="77777777" w:rsidTr="00737954">
        <w:trPr>
          <w:cantSplit/>
          <w:trHeight w:val="227"/>
          <w:jc w:val="center"/>
        </w:trPr>
        <w:tc>
          <w:tcPr>
            <w:tcW w:w="3072" w:type="dxa"/>
            <w:shd w:val="clear" w:color="000000" w:fill="FFFFFF"/>
            <w:vAlign w:val="center"/>
            <w:hideMark/>
          </w:tcPr>
          <w:p w14:paraId="0256076C" w14:textId="77777777" w:rsidR="008178E9" w:rsidRPr="00206845" w:rsidRDefault="008178E9" w:rsidP="00A02D1C">
            <w:pPr>
              <w:spacing w:after="0" w:line="276" w:lineRule="auto"/>
              <w:jc w:val="left"/>
              <w:rPr>
                <w:rFonts w:cs="Arial"/>
                <w:sz w:val="16"/>
                <w:szCs w:val="16"/>
              </w:rPr>
            </w:pPr>
            <w:r w:rsidRPr="00206845">
              <w:rPr>
                <w:rFonts w:cs="Arial"/>
                <w:sz w:val="16"/>
                <w:szCs w:val="16"/>
              </w:rPr>
              <w:lastRenderedPageBreak/>
              <w:t>Ηράκλειο</w:t>
            </w:r>
          </w:p>
        </w:tc>
        <w:tc>
          <w:tcPr>
            <w:tcW w:w="749" w:type="dxa"/>
            <w:shd w:val="clear" w:color="auto" w:fill="auto"/>
            <w:noWrap/>
            <w:vAlign w:val="center"/>
            <w:hideMark/>
          </w:tcPr>
          <w:p w14:paraId="396774D4" w14:textId="162236F4"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hideMark/>
          </w:tcPr>
          <w:p w14:paraId="50F9C481" w14:textId="00C39C8D" w:rsidR="008178E9" w:rsidRPr="00206845" w:rsidRDefault="008178E9" w:rsidP="001B3314">
            <w:pPr>
              <w:spacing w:after="0" w:line="276" w:lineRule="auto"/>
              <w:jc w:val="right"/>
              <w:rPr>
                <w:rFonts w:cs="Arial"/>
                <w:sz w:val="16"/>
                <w:szCs w:val="16"/>
              </w:rPr>
            </w:pPr>
          </w:p>
        </w:tc>
        <w:tc>
          <w:tcPr>
            <w:tcW w:w="849" w:type="dxa"/>
            <w:shd w:val="clear" w:color="000000" w:fill="FFFFFF"/>
            <w:noWrap/>
            <w:vAlign w:val="center"/>
            <w:hideMark/>
          </w:tcPr>
          <w:p w14:paraId="18F47164" w14:textId="2594DE87" w:rsidR="008178E9" w:rsidRPr="00206845" w:rsidRDefault="008178E9" w:rsidP="001B3314">
            <w:pPr>
              <w:spacing w:after="0" w:line="276" w:lineRule="auto"/>
              <w:jc w:val="right"/>
              <w:rPr>
                <w:rFonts w:cs="Arial"/>
                <w:sz w:val="16"/>
                <w:szCs w:val="16"/>
              </w:rPr>
            </w:pPr>
          </w:p>
        </w:tc>
        <w:tc>
          <w:tcPr>
            <w:tcW w:w="852" w:type="dxa"/>
            <w:shd w:val="clear" w:color="000000" w:fill="FFFFFF"/>
            <w:noWrap/>
            <w:vAlign w:val="center"/>
            <w:hideMark/>
          </w:tcPr>
          <w:p w14:paraId="74AECBB6" w14:textId="77777777" w:rsidR="008178E9" w:rsidRPr="00206845" w:rsidRDefault="008178E9" w:rsidP="001B3314">
            <w:pPr>
              <w:spacing w:after="0" w:line="276" w:lineRule="auto"/>
              <w:jc w:val="right"/>
              <w:rPr>
                <w:rFonts w:cs="Arial"/>
                <w:sz w:val="16"/>
                <w:szCs w:val="16"/>
              </w:rPr>
            </w:pPr>
            <w:r w:rsidRPr="00206845">
              <w:rPr>
                <w:rFonts w:cs="Arial"/>
                <w:sz w:val="16"/>
                <w:szCs w:val="16"/>
              </w:rPr>
              <w:t>80,00</w:t>
            </w:r>
          </w:p>
        </w:tc>
        <w:tc>
          <w:tcPr>
            <w:tcW w:w="1141" w:type="dxa"/>
            <w:shd w:val="clear" w:color="auto" w:fill="auto"/>
            <w:noWrap/>
            <w:vAlign w:val="center"/>
            <w:hideMark/>
          </w:tcPr>
          <w:p w14:paraId="70CA02C5" w14:textId="77777777" w:rsidR="008178E9" w:rsidRPr="00206845" w:rsidRDefault="008178E9" w:rsidP="001B3314">
            <w:pPr>
              <w:spacing w:after="0" w:line="276" w:lineRule="auto"/>
              <w:jc w:val="right"/>
              <w:rPr>
                <w:rFonts w:cs="Arial"/>
                <w:sz w:val="16"/>
                <w:szCs w:val="16"/>
              </w:rPr>
            </w:pPr>
            <w:r w:rsidRPr="00206845">
              <w:rPr>
                <w:rFonts w:cs="Arial"/>
                <w:sz w:val="16"/>
                <w:szCs w:val="16"/>
              </w:rPr>
              <w:t>2,70</w:t>
            </w:r>
          </w:p>
        </w:tc>
        <w:tc>
          <w:tcPr>
            <w:tcW w:w="851" w:type="dxa"/>
            <w:shd w:val="clear" w:color="000000" w:fill="FFFFFF"/>
            <w:noWrap/>
            <w:vAlign w:val="center"/>
            <w:hideMark/>
          </w:tcPr>
          <w:p w14:paraId="10D930F0" w14:textId="5359935A" w:rsidR="008178E9" w:rsidRPr="00206845" w:rsidRDefault="008178E9" w:rsidP="001B3314">
            <w:pPr>
              <w:spacing w:after="0" w:line="276" w:lineRule="auto"/>
              <w:jc w:val="right"/>
              <w:rPr>
                <w:rFonts w:cs="Arial"/>
                <w:sz w:val="16"/>
                <w:szCs w:val="16"/>
              </w:rPr>
            </w:pPr>
          </w:p>
        </w:tc>
        <w:tc>
          <w:tcPr>
            <w:tcW w:w="850" w:type="dxa"/>
            <w:shd w:val="clear" w:color="000000" w:fill="FFFFFF"/>
            <w:noWrap/>
            <w:vAlign w:val="center"/>
            <w:hideMark/>
          </w:tcPr>
          <w:p w14:paraId="773713EB" w14:textId="6FDF6B1B" w:rsidR="008178E9" w:rsidRPr="00206845" w:rsidRDefault="008178E9" w:rsidP="001B3314">
            <w:pPr>
              <w:spacing w:after="0" w:line="276" w:lineRule="auto"/>
              <w:jc w:val="right"/>
              <w:rPr>
                <w:rFonts w:cs="Arial"/>
                <w:sz w:val="16"/>
                <w:szCs w:val="16"/>
              </w:rPr>
            </w:pPr>
          </w:p>
        </w:tc>
        <w:tc>
          <w:tcPr>
            <w:tcW w:w="992" w:type="dxa"/>
            <w:shd w:val="clear" w:color="000000" w:fill="FFFFFF"/>
            <w:noWrap/>
            <w:vAlign w:val="center"/>
            <w:hideMark/>
          </w:tcPr>
          <w:p w14:paraId="17040912" w14:textId="3564A9A6" w:rsidR="008178E9" w:rsidRPr="00206845" w:rsidRDefault="008178E9" w:rsidP="001B3314">
            <w:pPr>
              <w:spacing w:after="0" w:line="276" w:lineRule="auto"/>
              <w:jc w:val="right"/>
              <w:rPr>
                <w:rFonts w:cs="Arial"/>
                <w:sz w:val="16"/>
                <w:szCs w:val="16"/>
              </w:rPr>
            </w:pPr>
          </w:p>
        </w:tc>
        <w:tc>
          <w:tcPr>
            <w:tcW w:w="993" w:type="dxa"/>
            <w:shd w:val="clear" w:color="000000" w:fill="FFFFFF"/>
            <w:noWrap/>
            <w:vAlign w:val="center"/>
            <w:hideMark/>
          </w:tcPr>
          <w:p w14:paraId="10DCC432" w14:textId="0DDD7B44" w:rsidR="008178E9" w:rsidRPr="00206845" w:rsidRDefault="008178E9" w:rsidP="001B3314">
            <w:pPr>
              <w:spacing w:after="0" w:line="276" w:lineRule="auto"/>
              <w:jc w:val="right"/>
              <w:rPr>
                <w:rFonts w:cs="Arial"/>
                <w:sz w:val="16"/>
                <w:szCs w:val="16"/>
              </w:rPr>
            </w:pPr>
          </w:p>
        </w:tc>
      </w:tr>
      <w:tr w:rsidR="001B3314" w:rsidRPr="00206845" w14:paraId="3BF84EEF" w14:textId="77777777" w:rsidTr="00737954">
        <w:trPr>
          <w:cantSplit/>
          <w:trHeight w:val="227"/>
          <w:jc w:val="center"/>
        </w:trPr>
        <w:tc>
          <w:tcPr>
            <w:tcW w:w="3072" w:type="dxa"/>
            <w:shd w:val="clear" w:color="000000" w:fill="FFFFFF"/>
            <w:vAlign w:val="center"/>
            <w:hideMark/>
          </w:tcPr>
          <w:p w14:paraId="65BFC246" w14:textId="77777777" w:rsidR="008178E9" w:rsidRPr="00206845" w:rsidRDefault="008178E9" w:rsidP="00A02D1C">
            <w:pPr>
              <w:spacing w:after="0" w:line="276" w:lineRule="auto"/>
              <w:jc w:val="left"/>
              <w:rPr>
                <w:rFonts w:cs="Arial"/>
                <w:sz w:val="16"/>
                <w:szCs w:val="16"/>
              </w:rPr>
            </w:pPr>
            <w:r w:rsidRPr="00206845">
              <w:rPr>
                <w:rFonts w:cs="Arial"/>
                <w:sz w:val="16"/>
                <w:szCs w:val="16"/>
              </w:rPr>
              <w:t>Βόλος</w:t>
            </w:r>
          </w:p>
        </w:tc>
        <w:tc>
          <w:tcPr>
            <w:tcW w:w="749" w:type="dxa"/>
            <w:shd w:val="clear" w:color="auto" w:fill="auto"/>
            <w:noWrap/>
            <w:vAlign w:val="center"/>
            <w:hideMark/>
          </w:tcPr>
          <w:p w14:paraId="088CF6D0" w14:textId="39A2DB39"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hideMark/>
          </w:tcPr>
          <w:p w14:paraId="22E54356" w14:textId="6B598F62" w:rsidR="008178E9" w:rsidRPr="00206845" w:rsidRDefault="008178E9" w:rsidP="001B3314">
            <w:pPr>
              <w:spacing w:after="0" w:line="276" w:lineRule="auto"/>
              <w:jc w:val="right"/>
              <w:rPr>
                <w:rFonts w:cs="Arial"/>
                <w:sz w:val="16"/>
                <w:szCs w:val="16"/>
              </w:rPr>
            </w:pPr>
          </w:p>
        </w:tc>
        <w:tc>
          <w:tcPr>
            <w:tcW w:w="849" w:type="dxa"/>
            <w:shd w:val="clear" w:color="000000" w:fill="FFFFFF"/>
            <w:noWrap/>
            <w:vAlign w:val="center"/>
            <w:hideMark/>
          </w:tcPr>
          <w:p w14:paraId="5054EF71" w14:textId="5B29AAEC" w:rsidR="008178E9" w:rsidRPr="00206845" w:rsidRDefault="008178E9" w:rsidP="001B3314">
            <w:pPr>
              <w:spacing w:after="0" w:line="276" w:lineRule="auto"/>
              <w:jc w:val="right"/>
              <w:rPr>
                <w:rFonts w:cs="Arial"/>
                <w:sz w:val="16"/>
                <w:szCs w:val="16"/>
              </w:rPr>
            </w:pPr>
          </w:p>
        </w:tc>
        <w:tc>
          <w:tcPr>
            <w:tcW w:w="852" w:type="dxa"/>
            <w:shd w:val="clear" w:color="000000" w:fill="FFFFFF"/>
            <w:noWrap/>
            <w:vAlign w:val="center"/>
            <w:hideMark/>
          </w:tcPr>
          <w:p w14:paraId="65729A8A" w14:textId="19C5B6D4"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789F8DD3" w14:textId="51039D9C" w:rsidR="008178E9" w:rsidRPr="00206845" w:rsidRDefault="008178E9" w:rsidP="001B3314">
            <w:pPr>
              <w:spacing w:after="0" w:line="276" w:lineRule="auto"/>
              <w:jc w:val="right"/>
              <w:rPr>
                <w:rFonts w:cs="Arial"/>
                <w:sz w:val="16"/>
                <w:szCs w:val="16"/>
              </w:rPr>
            </w:pPr>
          </w:p>
        </w:tc>
        <w:tc>
          <w:tcPr>
            <w:tcW w:w="851" w:type="dxa"/>
            <w:shd w:val="clear" w:color="000000" w:fill="FFFFFF"/>
            <w:noWrap/>
            <w:vAlign w:val="center"/>
            <w:hideMark/>
          </w:tcPr>
          <w:p w14:paraId="1C10D4DC" w14:textId="2E76C3E8" w:rsidR="008178E9" w:rsidRPr="00206845" w:rsidRDefault="008178E9" w:rsidP="001B3314">
            <w:pPr>
              <w:spacing w:after="0" w:line="276" w:lineRule="auto"/>
              <w:jc w:val="right"/>
              <w:rPr>
                <w:rFonts w:cs="Arial"/>
                <w:sz w:val="16"/>
                <w:szCs w:val="16"/>
              </w:rPr>
            </w:pPr>
          </w:p>
        </w:tc>
        <w:tc>
          <w:tcPr>
            <w:tcW w:w="850" w:type="dxa"/>
            <w:shd w:val="clear" w:color="000000" w:fill="FFFFFF"/>
            <w:noWrap/>
            <w:vAlign w:val="center"/>
            <w:hideMark/>
          </w:tcPr>
          <w:p w14:paraId="4CC2C37A" w14:textId="691CDC66" w:rsidR="008178E9" w:rsidRPr="00206845" w:rsidRDefault="008178E9" w:rsidP="001B3314">
            <w:pPr>
              <w:spacing w:after="0" w:line="276" w:lineRule="auto"/>
              <w:jc w:val="right"/>
              <w:rPr>
                <w:rFonts w:cs="Arial"/>
                <w:sz w:val="16"/>
                <w:szCs w:val="16"/>
              </w:rPr>
            </w:pPr>
          </w:p>
        </w:tc>
        <w:tc>
          <w:tcPr>
            <w:tcW w:w="992" w:type="dxa"/>
            <w:shd w:val="clear" w:color="000000" w:fill="FFFFFF"/>
            <w:noWrap/>
            <w:vAlign w:val="center"/>
            <w:hideMark/>
          </w:tcPr>
          <w:p w14:paraId="66D20B11" w14:textId="71CD0EBB" w:rsidR="008178E9" w:rsidRPr="00206845" w:rsidRDefault="008178E9" w:rsidP="001B3314">
            <w:pPr>
              <w:spacing w:after="0" w:line="276" w:lineRule="auto"/>
              <w:jc w:val="right"/>
              <w:rPr>
                <w:rFonts w:cs="Arial"/>
                <w:sz w:val="16"/>
                <w:szCs w:val="16"/>
              </w:rPr>
            </w:pPr>
          </w:p>
        </w:tc>
        <w:tc>
          <w:tcPr>
            <w:tcW w:w="993" w:type="dxa"/>
            <w:shd w:val="clear" w:color="000000" w:fill="FFFFFF"/>
            <w:noWrap/>
            <w:vAlign w:val="center"/>
            <w:hideMark/>
          </w:tcPr>
          <w:p w14:paraId="22FF6CA9" w14:textId="04CE9D00" w:rsidR="008178E9" w:rsidRPr="00206845" w:rsidRDefault="008178E9" w:rsidP="001B3314">
            <w:pPr>
              <w:spacing w:after="0" w:line="276" w:lineRule="auto"/>
              <w:jc w:val="right"/>
              <w:rPr>
                <w:rFonts w:cs="Arial"/>
                <w:sz w:val="16"/>
                <w:szCs w:val="16"/>
              </w:rPr>
            </w:pPr>
          </w:p>
        </w:tc>
      </w:tr>
      <w:tr w:rsidR="001B3314" w:rsidRPr="00206845" w14:paraId="538B7EA9" w14:textId="77777777" w:rsidTr="00737954">
        <w:trPr>
          <w:cantSplit/>
          <w:trHeight w:val="227"/>
          <w:jc w:val="center"/>
        </w:trPr>
        <w:tc>
          <w:tcPr>
            <w:tcW w:w="3072" w:type="dxa"/>
            <w:shd w:val="clear" w:color="000000" w:fill="FFFFFF"/>
            <w:vAlign w:val="center"/>
            <w:hideMark/>
          </w:tcPr>
          <w:p w14:paraId="3FF901DD" w14:textId="77777777" w:rsidR="008178E9" w:rsidRPr="00206845" w:rsidRDefault="008178E9" w:rsidP="00A02D1C">
            <w:pPr>
              <w:spacing w:after="0" w:line="276" w:lineRule="auto"/>
              <w:jc w:val="left"/>
              <w:rPr>
                <w:rFonts w:cs="Arial"/>
                <w:sz w:val="16"/>
                <w:szCs w:val="16"/>
              </w:rPr>
            </w:pPr>
            <w:r w:rsidRPr="00206845">
              <w:rPr>
                <w:rFonts w:cs="Arial"/>
                <w:sz w:val="16"/>
                <w:szCs w:val="16"/>
              </w:rPr>
              <w:t>Μαρίνα Χίου</w:t>
            </w:r>
          </w:p>
        </w:tc>
        <w:tc>
          <w:tcPr>
            <w:tcW w:w="749" w:type="dxa"/>
            <w:shd w:val="clear" w:color="auto" w:fill="auto"/>
            <w:noWrap/>
            <w:vAlign w:val="center"/>
            <w:hideMark/>
          </w:tcPr>
          <w:p w14:paraId="4EC9495C" w14:textId="37C0F678"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hideMark/>
          </w:tcPr>
          <w:p w14:paraId="1B10329B" w14:textId="65DE8B5A" w:rsidR="008178E9" w:rsidRPr="00206845" w:rsidRDefault="008178E9" w:rsidP="001B3314">
            <w:pPr>
              <w:spacing w:after="0" w:line="276" w:lineRule="auto"/>
              <w:jc w:val="right"/>
              <w:rPr>
                <w:rFonts w:cs="Arial"/>
                <w:sz w:val="16"/>
                <w:szCs w:val="16"/>
              </w:rPr>
            </w:pPr>
          </w:p>
        </w:tc>
        <w:tc>
          <w:tcPr>
            <w:tcW w:w="849" w:type="dxa"/>
            <w:shd w:val="clear" w:color="000000" w:fill="FFFFFF"/>
            <w:noWrap/>
            <w:vAlign w:val="center"/>
            <w:hideMark/>
          </w:tcPr>
          <w:p w14:paraId="5772122A" w14:textId="688EFD51" w:rsidR="008178E9" w:rsidRPr="00206845" w:rsidRDefault="008178E9" w:rsidP="001B3314">
            <w:pPr>
              <w:spacing w:after="0" w:line="276" w:lineRule="auto"/>
              <w:jc w:val="right"/>
              <w:rPr>
                <w:rFonts w:cs="Arial"/>
                <w:sz w:val="16"/>
                <w:szCs w:val="16"/>
              </w:rPr>
            </w:pPr>
          </w:p>
        </w:tc>
        <w:tc>
          <w:tcPr>
            <w:tcW w:w="852" w:type="dxa"/>
            <w:shd w:val="clear" w:color="000000" w:fill="FFFFFF"/>
            <w:noWrap/>
            <w:vAlign w:val="center"/>
            <w:hideMark/>
          </w:tcPr>
          <w:p w14:paraId="4E2FB564" w14:textId="77777777" w:rsidR="008178E9" w:rsidRPr="00206845" w:rsidRDefault="008178E9" w:rsidP="001B3314">
            <w:pPr>
              <w:spacing w:after="0" w:line="276" w:lineRule="auto"/>
              <w:jc w:val="right"/>
              <w:rPr>
                <w:rFonts w:cs="Arial"/>
                <w:sz w:val="16"/>
                <w:szCs w:val="16"/>
              </w:rPr>
            </w:pPr>
            <w:r w:rsidRPr="00206845">
              <w:rPr>
                <w:rFonts w:cs="Arial"/>
                <w:sz w:val="16"/>
                <w:szCs w:val="16"/>
              </w:rPr>
              <w:t>0,10</w:t>
            </w:r>
          </w:p>
        </w:tc>
        <w:tc>
          <w:tcPr>
            <w:tcW w:w="1141" w:type="dxa"/>
            <w:shd w:val="clear" w:color="auto" w:fill="auto"/>
            <w:noWrap/>
            <w:vAlign w:val="center"/>
            <w:hideMark/>
          </w:tcPr>
          <w:p w14:paraId="174E98E5" w14:textId="77777777" w:rsidR="008178E9" w:rsidRPr="00206845" w:rsidRDefault="008178E9" w:rsidP="001B3314">
            <w:pPr>
              <w:spacing w:after="0" w:line="276" w:lineRule="auto"/>
              <w:jc w:val="right"/>
              <w:rPr>
                <w:rFonts w:cs="Arial"/>
                <w:sz w:val="16"/>
                <w:szCs w:val="16"/>
              </w:rPr>
            </w:pPr>
            <w:r w:rsidRPr="00206845">
              <w:rPr>
                <w:rFonts w:cs="Arial"/>
                <w:sz w:val="16"/>
                <w:szCs w:val="16"/>
              </w:rPr>
              <w:t>0,10</w:t>
            </w:r>
          </w:p>
        </w:tc>
        <w:tc>
          <w:tcPr>
            <w:tcW w:w="851" w:type="dxa"/>
            <w:shd w:val="clear" w:color="000000" w:fill="FFFFFF"/>
            <w:noWrap/>
            <w:vAlign w:val="center"/>
            <w:hideMark/>
          </w:tcPr>
          <w:p w14:paraId="3D4C3B52" w14:textId="1D465773" w:rsidR="008178E9" w:rsidRPr="00206845" w:rsidRDefault="008178E9" w:rsidP="001B3314">
            <w:pPr>
              <w:spacing w:after="0" w:line="276" w:lineRule="auto"/>
              <w:jc w:val="right"/>
              <w:rPr>
                <w:rFonts w:cs="Arial"/>
                <w:sz w:val="16"/>
                <w:szCs w:val="16"/>
              </w:rPr>
            </w:pPr>
          </w:p>
        </w:tc>
        <w:tc>
          <w:tcPr>
            <w:tcW w:w="850" w:type="dxa"/>
            <w:shd w:val="clear" w:color="000000" w:fill="FFFFFF"/>
            <w:noWrap/>
            <w:vAlign w:val="center"/>
            <w:hideMark/>
          </w:tcPr>
          <w:p w14:paraId="308C801F" w14:textId="13401CFC" w:rsidR="008178E9" w:rsidRPr="00206845" w:rsidRDefault="008178E9" w:rsidP="001B3314">
            <w:pPr>
              <w:spacing w:after="0" w:line="276" w:lineRule="auto"/>
              <w:jc w:val="right"/>
              <w:rPr>
                <w:rFonts w:cs="Arial"/>
                <w:sz w:val="16"/>
                <w:szCs w:val="16"/>
              </w:rPr>
            </w:pPr>
          </w:p>
        </w:tc>
        <w:tc>
          <w:tcPr>
            <w:tcW w:w="992" w:type="dxa"/>
            <w:shd w:val="clear" w:color="000000" w:fill="FFFFFF"/>
            <w:noWrap/>
            <w:vAlign w:val="center"/>
            <w:hideMark/>
          </w:tcPr>
          <w:p w14:paraId="191BFC1B" w14:textId="62BB1C6F" w:rsidR="008178E9" w:rsidRPr="00206845" w:rsidRDefault="008178E9" w:rsidP="001B3314">
            <w:pPr>
              <w:spacing w:after="0" w:line="276" w:lineRule="auto"/>
              <w:jc w:val="right"/>
              <w:rPr>
                <w:rFonts w:cs="Arial"/>
                <w:sz w:val="16"/>
                <w:szCs w:val="16"/>
              </w:rPr>
            </w:pPr>
          </w:p>
        </w:tc>
        <w:tc>
          <w:tcPr>
            <w:tcW w:w="993" w:type="dxa"/>
            <w:shd w:val="clear" w:color="000000" w:fill="FFFFFF"/>
            <w:noWrap/>
            <w:vAlign w:val="center"/>
            <w:hideMark/>
          </w:tcPr>
          <w:p w14:paraId="61A35F4A" w14:textId="0569AC72" w:rsidR="008178E9" w:rsidRPr="00206845" w:rsidRDefault="008178E9" w:rsidP="001B3314">
            <w:pPr>
              <w:spacing w:after="0" w:line="276" w:lineRule="auto"/>
              <w:jc w:val="right"/>
              <w:rPr>
                <w:rFonts w:cs="Arial"/>
                <w:sz w:val="16"/>
                <w:szCs w:val="16"/>
              </w:rPr>
            </w:pPr>
          </w:p>
        </w:tc>
      </w:tr>
      <w:tr w:rsidR="001B3314" w:rsidRPr="00206845" w14:paraId="57FC9869" w14:textId="77777777" w:rsidTr="00737954">
        <w:trPr>
          <w:cantSplit/>
          <w:trHeight w:val="227"/>
          <w:jc w:val="center"/>
        </w:trPr>
        <w:tc>
          <w:tcPr>
            <w:tcW w:w="3072" w:type="dxa"/>
            <w:shd w:val="clear" w:color="000000" w:fill="FFFFFF"/>
            <w:vAlign w:val="center"/>
            <w:hideMark/>
          </w:tcPr>
          <w:p w14:paraId="2986FF00" w14:textId="77777777" w:rsidR="008178E9" w:rsidRPr="00206845" w:rsidRDefault="008178E9" w:rsidP="00A02D1C">
            <w:pPr>
              <w:spacing w:after="0" w:line="276" w:lineRule="auto"/>
              <w:jc w:val="left"/>
              <w:rPr>
                <w:rFonts w:cs="Arial"/>
                <w:sz w:val="16"/>
                <w:szCs w:val="16"/>
              </w:rPr>
            </w:pPr>
            <w:r w:rsidRPr="00206845">
              <w:rPr>
                <w:rFonts w:cs="Arial"/>
                <w:sz w:val="16"/>
                <w:szCs w:val="16"/>
              </w:rPr>
              <w:t>Μαρίνα Αλίμου</w:t>
            </w:r>
          </w:p>
        </w:tc>
        <w:tc>
          <w:tcPr>
            <w:tcW w:w="749" w:type="dxa"/>
            <w:shd w:val="clear" w:color="auto" w:fill="auto"/>
            <w:noWrap/>
            <w:vAlign w:val="center"/>
            <w:hideMark/>
          </w:tcPr>
          <w:p w14:paraId="3AF1622A" w14:textId="00BC2E7E"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hideMark/>
          </w:tcPr>
          <w:p w14:paraId="594FC3D1" w14:textId="77777777" w:rsidR="008178E9" w:rsidRPr="00206845" w:rsidRDefault="008178E9" w:rsidP="001B3314">
            <w:pPr>
              <w:spacing w:after="0" w:line="276" w:lineRule="auto"/>
              <w:jc w:val="right"/>
              <w:rPr>
                <w:rFonts w:cs="Arial"/>
                <w:sz w:val="16"/>
                <w:szCs w:val="16"/>
              </w:rPr>
            </w:pPr>
            <w:r w:rsidRPr="00206845">
              <w:rPr>
                <w:rFonts w:cs="Arial"/>
                <w:sz w:val="16"/>
                <w:szCs w:val="16"/>
              </w:rPr>
              <w:t>0,70</w:t>
            </w:r>
          </w:p>
        </w:tc>
        <w:tc>
          <w:tcPr>
            <w:tcW w:w="849" w:type="dxa"/>
            <w:shd w:val="clear" w:color="000000" w:fill="FFFFFF"/>
            <w:noWrap/>
            <w:vAlign w:val="center"/>
            <w:hideMark/>
          </w:tcPr>
          <w:p w14:paraId="64180B9B" w14:textId="77777777" w:rsidR="008178E9" w:rsidRPr="00206845" w:rsidRDefault="008178E9" w:rsidP="001B3314">
            <w:pPr>
              <w:spacing w:after="0" w:line="276" w:lineRule="auto"/>
              <w:jc w:val="right"/>
              <w:rPr>
                <w:rFonts w:cs="Arial"/>
                <w:sz w:val="16"/>
                <w:szCs w:val="16"/>
              </w:rPr>
            </w:pPr>
            <w:r w:rsidRPr="00206845">
              <w:rPr>
                <w:rFonts w:cs="Arial"/>
                <w:sz w:val="16"/>
                <w:szCs w:val="16"/>
              </w:rPr>
              <w:t>1,50</w:t>
            </w:r>
          </w:p>
        </w:tc>
        <w:tc>
          <w:tcPr>
            <w:tcW w:w="852" w:type="dxa"/>
            <w:shd w:val="clear" w:color="000000" w:fill="FFFFFF"/>
            <w:noWrap/>
            <w:vAlign w:val="center"/>
            <w:hideMark/>
          </w:tcPr>
          <w:p w14:paraId="09821B9E" w14:textId="77777777" w:rsidR="008178E9" w:rsidRPr="00206845" w:rsidRDefault="008178E9" w:rsidP="001B3314">
            <w:pPr>
              <w:spacing w:after="0" w:line="276" w:lineRule="auto"/>
              <w:jc w:val="right"/>
              <w:rPr>
                <w:rFonts w:cs="Arial"/>
                <w:sz w:val="16"/>
                <w:szCs w:val="16"/>
              </w:rPr>
            </w:pPr>
            <w:r w:rsidRPr="00206845">
              <w:rPr>
                <w:rFonts w:cs="Arial"/>
                <w:sz w:val="16"/>
                <w:szCs w:val="16"/>
              </w:rPr>
              <w:t>1,90</w:t>
            </w:r>
          </w:p>
        </w:tc>
        <w:tc>
          <w:tcPr>
            <w:tcW w:w="1141" w:type="dxa"/>
            <w:shd w:val="clear" w:color="auto" w:fill="auto"/>
            <w:noWrap/>
            <w:vAlign w:val="center"/>
            <w:hideMark/>
          </w:tcPr>
          <w:p w14:paraId="5F6A3BDC" w14:textId="77777777" w:rsidR="008178E9" w:rsidRPr="00206845" w:rsidRDefault="008178E9" w:rsidP="001B3314">
            <w:pPr>
              <w:spacing w:after="0" w:line="276" w:lineRule="auto"/>
              <w:jc w:val="right"/>
              <w:rPr>
                <w:rFonts w:cs="Arial"/>
                <w:sz w:val="16"/>
                <w:szCs w:val="16"/>
              </w:rPr>
            </w:pPr>
            <w:r w:rsidRPr="00206845">
              <w:rPr>
                <w:rFonts w:cs="Arial"/>
                <w:sz w:val="16"/>
                <w:szCs w:val="16"/>
              </w:rPr>
              <w:t>3,90</w:t>
            </w:r>
          </w:p>
        </w:tc>
        <w:tc>
          <w:tcPr>
            <w:tcW w:w="851" w:type="dxa"/>
            <w:shd w:val="clear" w:color="000000" w:fill="FFFFFF"/>
            <w:noWrap/>
            <w:vAlign w:val="center"/>
            <w:hideMark/>
          </w:tcPr>
          <w:p w14:paraId="0987615C" w14:textId="77777777" w:rsidR="008178E9" w:rsidRPr="00206845" w:rsidRDefault="008178E9" w:rsidP="001B3314">
            <w:pPr>
              <w:spacing w:after="0" w:line="276" w:lineRule="auto"/>
              <w:jc w:val="right"/>
              <w:rPr>
                <w:rFonts w:cs="Arial"/>
                <w:sz w:val="16"/>
                <w:szCs w:val="16"/>
              </w:rPr>
            </w:pPr>
            <w:r w:rsidRPr="00206845">
              <w:rPr>
                <w:rFonts w:cs="Arial"/>
                <w:sz w:val="16"/>
                <w:szCs w:val="16"/>
              </w:rPr>
              <w:t>2,90</w:t>
            </w:r>
          </w:p>
        </w:tc>
        <w:tc>
          <w:tcPr>
            <w:tcW w:w="850" w:type="dxa"/>
            <w:shd w:val="clear" w:color="000000" w:fill="FFFFFF"/>
            <w:noWrap/>
            <w:vAlign w:val="center"/>
            <w:hideMark/>
          </w:tcPr>
          <w:p w14:paraId="29AEB242" w14:textId="77777777" w:rsidR="008178E9" w:rsidRPr="00206845" w:rsidRDefault="008178E9" w:rsidP="001B3314">
            <w:pPr>
              <w:spacing w:after="0" w:line="276" w:lineRule="auto"/>
              <w:jc w:val="right"/>
              <w:rPr>
                <w:rFonts w:cs="Arial"/>
                <w:sz w:val="16"/>
                <w:szCs w:val="16"/>
              </w:rPr>
            </w:pPr>
            <w:r w:rsidRPr="00206845">
              <w:rPr>
                <w:rFonts w:cs="Arial"/>
                <w:sz w:val="16"/>
                <w:szCs w:val="16"/>
              </w:rPr>
              <w:t>3,00</w:t>
            </w:r>
          </w:p>
        </w:tc>
        <w:tc>
          <w:tcPr>
            <w:tcW w:w="992" w:type="dxa"/>
            <w:shd w:val="clear" w:color="000000" w:fill="FFFFFF"/>
            <w:noWrap/>
            <w:vAlign w:val="center"/>
            <w:hideMark/>
          </w:tcPr>
          <w:p w14:paraId="2DF94B6B" w14:textId="77777777" w:rsidR="008178E9" w:rsidRPr="00206845" w:rsidRDefault="008178E9" w:rsidP="001B3314">
            <w:pPr>
              <w:spacing w:after="0" w:line="276" w:lineRule="auto"/>
              <w:jc w:val="right"/>
              <w:rPr>
                <w:rFonts w:cs="Arial"/>
                <w:sz w:val="16"/>
                <w:szCs w:val="16"/>
              </w:rPr>
            </w:pPr>
            <w:r w:rsidRPr="00206845">
              <w:rPr>
                <w:rFonts w:cs="Arial"/>
                <w:sz w:val="16"/>
                <w:szCs w:val="16"/>
              </w:rPr>
              <w:t>3,00</w:t>
            </w:r>
          </w:p>
        </w:tc>
        <w:tc>
          <w:tcPr>
            <w:tcW w:w="993" w:type="dxa"/>
            <w:shd w:val="clear" w:color="000000" w:fill="FFFFFF"/>
            <w:noWrap/>
            <w:vAlign w:val="center"/>
            <w:hideMark/>
          </w:tcPr>
          <w:p w14:paraId="4FCF1F9D" w14:textId="77777777" w:rsidR="008178E9" w:rsidRPr="00206845" w:rsidRDefault="008178E9" w:rsidP="001B3314">
            <w:pPr>
              <w:spacing w:after="0" w:line="276" w:lineRule="auto"/>
              <w:jc w:val="right"/>
              <w:rPr>
                <w:rFonts w:cs="Arial"/>
                <w:sz w:val="16"/>
                <w:szCs w:val="16"/>
              </w:rPr>
            </w:pPr>
            <w:r w:rsidRPr="00206845">
              <w:rPr>
                <w:rFonts w:cs="Arial"/>
                <w:sz w:val="16"/>
                <w:szCs w:val="16"/>
              </w:rPr>
              <w:t>3,10</w:t>
            </w:r>
          </w:p>
        </w:tc>
      </w:tr>
      <w:tr w:rsidR="001B3314" w:rsidRPr="00206845" w14:paraId="0B7A45F9" w14:textId="77777777" w:rsidTr="00737954">
        <w:trPr>
          <w:cantSplit/>
          <w:trHeight w:val="227"/>
          <w:jc w:val="center"/>
        </w:trPr>
        <w:tc>
          <w:tcPr>
            <w:tcW w:w="3072" w:type="dxa"/>
            <w:shd w:val="clear" w:color="auto" w:fill="auto"/>
            <w:vAlign w:val="center"/>
            <w:hideMark/>
          </w:tcPr>
          <w:p w14:paraId="0B697470" w14:textId="77777777" w:rsidR="008178E9" w:rsidRPr="00206845" w:rsidRDefault="008178E9" w:rsidP="00A02D1C">
            <w:pPr>
              <w:spacing w:after="0" w:line="276" w:lineRule="auto"/>
              <w:jc w:val="left"/>
              <w:rPr>
                <w:rFonts w:cs="Arial"/>
                <w:sz w:val="16"/>
                <w:szCs w:val="16"/>
              </w:rPr>
            </w:pPr>
            <w:r w:rsidRPr="00206845">
              <w:rPr>
                <w:rFonts w:cs="Arial"/>
                <w:sz w:val="16"/>
                <w:szCs w:val="16"/>
              </w:rPr>
              <w:t>MEGA YAGHT KERKYRA</w:t>
            </w:r>
          </w:p>
        </w:tc>
        <w:tc>
          <w:tcPr>
            <w:tcW w:w="749" w:type="dxa"/>
            <w:shd w:val="clear" w:color="auto" w:fill="auto"/>
            <w:noWrap/>
            <w:vAlign w:val="center"/>
            <w:hideMark/>
          </w:tcPr>
          <w:p w14:paraId="67A4A63B" w14:textId="783B953E"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hideMark/>
          </w:tcPr>
          <w:p w14:paraId="328A1275" w14:textId="41E4076B"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hideMark/>
          </w:tcPr>
          <w:p w14:paraId="75F2D0FE" w14:textId="10B4815E" w:rsidR="008178E9" w:rsidRPr="00206845" w:rsidRDefault="008178E9" w:rsidP="001B3314">
            <w:pPr>
              <w:spacing w:after="0" w:line="276" w:lineRule="auto"/>
              <w:jc w:val="right"/>
              <w:rPr>
                <w:rFonts w:cs="Arial"/>
                <w:sz w:val="16"/>
                <w:szCs w:val="16"/>
              </w:rPr>
            </w:pPr>
          </w:p>
        </w:tc>
        <w:tc>
          <w:tcPr>
            <w:tcW w:w="852" w:type="dxa"/>
            <w:shd w:val="clear" w:color="auto" w:fill="auto"/>
            <w:noWrap/>
            <w:vAlign w:val="center"/>
            <w:hideMark/>
          </w:tcPr>
          <w:p w14:paraId="7F488CD7" w14:textId="110FE42A"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1D501BF4" w14:textId="4A1FB484" w:rsidR="008178E9" w:rsidRPr="00206845" w:rsidRDefault="008178E9" w:rsidP="001B3314">
            <w:pPr>
              <w:spacing w:after="0" w:line="276" w:lineRule="auto"/>
              <w:jc w:val="right"/>
              <w:rPr>
                <w:rFonts w:cs="Arial"/>
                <w:sz w:val="16"/>
                <w:szCs w:val="16"/>
              </w:rPr>
            </w:pPr>
          </w:p>
        </w:tc>
        <w:tc>
          <w:tcPr>
            <w:tcW w:w="851" w:type="dxa"/>
            <w:shd w:val="clear" w:color="auto" w:fill="auto"/>
            <w:noWrap/>
            <w:vAlign w:val="center"/>
            <w:hideMark/>
          </w:tcPr>
          <w:p w14:paraId="254D1F42" w14:textId="77777777" w:rsidR="008178E9" w:rsidRPr="00206845" w:rsidRDefault="008178E9" w:rsidP="001B3314">
            <w:pPr>
              <w:spacing w:after="0" w:line="276" w:lineRule="auto"/>
              <w:jc w:val="right"/>
              <w:rPr>
                <w:rFonts w:cs="Arial"/>
                <w:sz w:val="16"/>
                <w:szCs w:val="16"/>
              </w:rPr>
            </w:pPr>
            <w:r w:rsidRPr="00206845">
              <w:rPr>
                <w:rFonts w:cs="Arial"/>
                <w:sz w:val="16"/>
                <w:szCs w:val="16"/>
              </w:rPr>
              <w:t>9,70</w:t>
            </w:r>
          </w:p>
        </w:tc>
        <w:tc>
          <w:tcPr>
            <w:tcW w:w="850" w:type="dxa"/>
            <w:shd w:val="clear" w:color="auto" w:fill="auto"/>
            <w:noWrap/>
            <w:vAlign w:val="center"/>
            <w:hideMark/>
          </w:tcPr>
          <w:p w14:paraId="1AB4E29F" w14:textId="27BAF1C2"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2866B7B8" w14:textId="49D962C3"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hideMark/>
          </w:tcPr>
          <w:p w14:paraId="07A2CC0A" w14:textId="33AEB107" w:rsidR="008178E9" w:rsidRPr="00206845" w:rsidRDefault="008178E9" w:rsidP="001B3314">
            <w:pPr>
              <w:spacing w:after="0" w:line="276" w:lineRule="auto"/>
              <w:jc w:val="right"/>
              <w:rPr>
                <w:rFonts w:cs="Arial"/>
                <w:sz w:val="16"/>
                <w:szCs w:val="16"/>
              </w:rPr>
            </w:pPr>
          </w:p>
        </w:tc>
      </w:tr>
      <w:tr w:rsidR="001B3314" w:rsidRPr="00206845" w14:paraId="1A9F8BB2" w14:textId="77777777" w:rsidTr="00737954">
        <w:trPr>
          <w:cantSplit/>
          <w:trHeight w:val="227"/>
          <w:jc w:val="center"/>
        </w:trPr>
        <w:tc>
          <w:tcPr>
            <w:tcW w:w="3072" w:type="dxa"/>
            <w:shd w:val="clear" w:color="000000" w:fill="FFFFFF"/>
            <w:vAlign w:val="center"/>
            <w:hideMark/>
          </w:tcPr>
          <w:p w14:paraId="6CDB069E" w14:textId="77777777" w:rsidR="008178E9" w:rsidRPr="00206845" w:rsidRDefault="008178E9" w:rsidP="00A02D1C">
            <w:pPr>
              <w:spacing w:after="0" w:line="276" w:lineRule="auto"/>
              <w:jc w:val="left"/>
              <w:rPr>
                <w:rFonts w:cs="Arial"/>
                <w:sz w:val="16"/>
                <w:szCs w:val="16"/>
              </w:rPr>
            </w:pPr>
            <w:r w:rsidRPr="00206845">
              <w:rPr>
                <w:rFonts w:cs="Arial"/>
                <w:sz w:val="16"/>
                <w:szCs w:val="16"/>
              </w:rPr>
              <w:t>Αττική Οδός</w:t>
            </w:r>
          </w:p>
        </w:tc>
        <w:tc>
          <w:tcPr>
            <w:tcW w:w="749" w:type="dxa"/>
            <w:shd w:val="clear" w:color="auto" w:fill="auto"/>
            <w:noWrap/>
            <w:vAlign w:val="center"/>
            <w:hideMark/>
          </w:tcPr>
          <w:p w14:paraId="2999DF33" w14:textId="20D952DA"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hideMark/>
          </w:tcPr>
          <w:p w14:paraId="0F146E7D" w14:textId="63FD5F52" w:rsidR="008178E9" w:rsidRPr="00206845" w:rsidRDefault="008178E9" w:rsidP="001B3314">
            <w:pPr>
              <w:spacing w:after="0" w:line="276" w:lineRule="auto"/>
              <w:jc w:val="right"/>
              <w:rPr>
                <w:rFonts w:cs="Arial"/>
                <w:sz w:val="16"/>
                <w:szCs w:val="16"/>
              </w:rPr>
            </w:pPr>
          </w:p>
        </w:tc>
        <w:tc>
          <w:tcPr>
            <w:tcW w:w="849" w:type="dxa"/>
            <w:shd w:val="clear" w:color="000000" w:fill="FFFFFF"/>
            <w:noWrap/>
            <w:vAlign w:val="center"/>
            <w:hideMark/>
          </w:tcPr>
          <w:p w14:paraId="1DDF656A" w14:textId="77D3A619" w:rsidR="008178E9" w:rsidRPr="00206845" w:rsidRDefault="008178E9" w:rsidP="001B3314">
            <w:pPr>
              <w:spacing w:after="0" w:line="276" w:lineRule="auto"/>
              <w:jc w:val="right"/>
              <w:rPr>
                <w:rFonts w:cs="Arial"/>
                <w:sz w:val="16"/>
                <w:szCs w:val="16"/>
              </w:rPr>
            </w:pPr>
          </w:p>
        </w:tc>
        <w:tc>
          <w:tcPr>
            <w:tcW w:w="852" w:type="dxa"/>
            <w:shd w:val="clear" w:color="000000" w:fill="FFFFFF"/>
            <w:noWrap/>
            <w:vAlign w:val="center"/>
            <w:hideMark/>
          </w:tcPr>
          <w:p w14:paraId="1E42493C" w14:textId="7EC55D0E" w:rsidR="008178E9" w:rsidRPr="00206845" w:rsidRDefault="008178E9" w:rsidP="001B3314">
            <w:pPr>
              <w:spacing w:after="0" w:line="276" w:lineRule="auto"/>
              <w:jc w:val="right"/>
              <w:rPr>
                <w:rFonts w:cs="Arial"/>
                <w:sz w:val="16"/>
                <w:szCs w:val="16"/>
              </w:rPr>
            </w:pPr>
            <w:r w:rsidRPr="00206845">
              <w:rPr>
                <w:rFonts w:cs="Arial"/>
                <w:sz w:val="16"/>
                <w:szCs w:val="16"/>
              </w:rPr>
              <w:t>3</w:t>
            </w:r>
            <w:r w:rsidR="00A02D1C">
              <w:rPr>
                <w:rFonts w:cs="Arial"/>
                <w:sz w:val="16"/>
                <w:szCs w:val="16"/>
              </w:rPr>
              <w:t>.</w:t>
            </w:r>
            <w:r w:rsidRPr="00206845">
              <w:rPr>
                <w:rFonts w:cs="Arial"/>
                <w:sz w:val="16"/>
                <w:szCs w:val="16"/>
              </w:rPr>
              <w:t>270,00</w:t>
            </w:r>
          </w:p>
        </w:tc>
        <w:tc>
          <w:tcPr>
            <w:tcW w:w="1141" w:type="dxa"/>
            <w:shd w:val="clear" w:color="000000" w:fill="FFFFFF"/>
            <w:noWrap/>
            <w:vAlign w:val="center"/>
            <w:hideMark/>
          </w:tcPr>
          <w:p w14:paraId="70003F56" w14:textId="172D90FB" w:rsidR="008178E9" w:rsidRPr="00206845" w:rsidRDefault="008178E9" w:rsidP="001B3314">
            <w:pPr>
              <w:spacing w:after="0" w:line="276" w:lineRule="auto"/>
              <w:jc w:val="right"/>
              <w:rPr>
                <w:rFonts w:cs="Arial"/>
                <w:sz w:val="16"/>
                <w:szCs w:val="16"/>
              </w:rPr>
            </w:pPr>
          </w:p>
        </w:tc>
        <w:tc>
          <w:tcPr>
            <w:tcW w:w="851" w:type="dxa"/>
            <w:shd w:val="clear" w:color="000000" w:fill="FFFFFF"/>
            <w:noWrap/>
            <w:vAlign w:val="center"/>
            <w:hideMark/>
          </w:tcPr>
          <w:p w14:paraId="548ABD74" w14:textId="4FCA1962" w:rsidR="008178E9" w:rsidRPr="00206845" w:rsidRDefault="008178E9" w:rsidP="001B3314">
            <w:pPr>
              <w:spacing w:after="0" w:line="276" w:lineRule="auto"/>
              <w:jc w:val="right"/>
              <w:rPr>
                <w:rFonts w:cs="Arial"/>
                <w:sz w:val="16"/>
                <w:szCs w:val="16"/>
              </w:rPr>
            </w:pPr>
          </w:p>
        </w:tc>
        <w:tc>
          <w:tcPr>
            <w:tcW w:w="850" w:type="dxa"/>
            <w:shd w:val="clear" w:color="000000" w:fill="FFFFFF"/>
            <w:noWrap/>
            <w:vAlign w:val="center"/>
            <w:hideMark/>
          </w:tcPr>
          <w:p w14:paraId="6992E4AD" w14:textId="173C9527" w:rsidR="008178E9" w:rsidRPr="00206845" w:rsidRDefault="008178E9" w:rsidP="001B3314">
            <w:pPr>
              <w:spacing w:after="0" w:line="276" w:lineRule="auto"/>
              <w:jc w:val="right"/>
              <w:rPr>
                <w:rFonts w:cs="Arial"/>
                <w:sz w:val="16"/>
                <w:szCs w:val="16"/>
              </w:rPr>
            </w:pPr>
          </w:p>
        </w:tc>
        <w:tc>
          <w:tcPr>
            <w:tcW w:w="992" w:type="dxa"/>
            <w:shd w:val="clear" w:color="000000" w:fill="FFFFFF"/>
            <w:noWrap/>
            <w:vAlign w:val="center"/>
            <w:hideMark/>
          </w:tcPr>
          <w:p w14:paraId="435BC35F" w14:textId="0A32B6C3" w:rsidR="008178E9" w:rsidRPr="00206845" w:rsidRDefault="008178E9" w:rsidP="001B3314">
            <w:pPr>
              <w:spacing w:after="0" w:line="276" w:lineRule="auto"/>
              <w:jc w:val="right"/>
              <w:rPr>
                <w:rFonts w:cs="Arial"/>
                <w:sz w:val="16"/>
                <w:szCs w:val="16"/>
              </w:rPr>
            </w:pPr>
          </w:p>
        </w:tc>
        <w:tc>
          <w:tcPr>
            <w:tcW w:w="993" w:type="dxa"/>
            <w:shd w:val="clear" w:color="000000" w:fill="FFFFFF"/>
            <w:noWrap/>
            <w:vAlign w:val="center"/>
            <w:hideMark/>
          </w:tcPr>
          <w:p w14:paraId="3262FD63" w14:textId="569A1627" w:rsidR="008178E9" w:rsidRPr="00206845" w:rsidRDefault="008178E9" w:rsidP="001B3314">
            <w:pPr>
              <w:spacing w:after="0" w:line="276" w:lineRule="auto"/>
              <w:jc w:val="right"/>
              <w:rPr>
                <w:rFonts w:cs="Arial"/>
                <w:sz w:val="16"/>
                <w:szCs w:val="16"/>
              </w:rPr>
            </w:pPr>
          </w:p>
        </w:tc>
      </w:tr>
      <w:tr w:rsidR="001B3314" w:rsidRPr="00206845" w14:paraId="1C629C22" w14:textId="77777777" w:rsidTr="00737954">
        <w:trPr>
          <w:cantSplit/>
          <w:trHeight w:val="227"/>
          <w:jc w:val="center"/>
        </w:trPr>
        <w:tc>
          <w:tcPr>
            <w:tcW w:w="3072" w:type="dxa"/>
            <w:shd w:val="clear" w:color="auto" w:fill="auto"/>
            <w:vAlign w:val="center"/>
            <w:hideMark/>
          </w:tcPr>
          <w:p w14:paraId="75BEDF23" w14:textId="77777777" w:rsidR="008178E9" w:rsidRPr="00206845" w:rsidRDefault="008178E9" w:rsidP="00A02D1C">
            <w:pPr>
              <w:spacing w:after="0" w:line="276" w:lineRule="auto"/>
              <w:jc w:val="left"/>
              <w:rPr>
                <w:rFonts w:cs="Arial"/>
                <w:sz w:val="16"/>
                <w:szCs w:val="16"/>
              </w:rPr>
            </w:pPr>
            <w:r w:rsidRPr="00206845">
              <w:rPr>
                <w:rFonts w:cs="Arial"/>
                <w:sz w:val="16"/>
                <w:szCs w:val="16"/>
              </w:rPr>
              <w:t>Οργανισμός Λιμένος Καβάλας</w:t>
            </w:r>
          </w:p>
        </w:tc>
        <w:tc>
          <w:tcPr>
            <w:tcW w:w="749" w:type="dxa"/>
            <w:shd w:val="clear" w:color="auto" w:fill="auto"/>
            <w:noWrap/>
            <w:vAlign w:val="center"/>
            <w:hideMark/>
          </w:tcPr>
          <w:p w14:paraId="368339C0" w14:textId="4C4C3B41"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hideMark/>
          </w:tcPr>
          <w:p w14:paraId="634B544A" w14:textId="0A3EC9A0"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hideMark/>
          </w:tcPr>
          <w:p w14:paraId="5BED770B" w14:textId="0D97FAB5" w:rsidR="008178E9" w:rsidRPr="00206845" w:rsidRDefault="008178E9" w:rsidP="001B3314">
            <w:pPr>
              <w:spacing w:after="0" w:line="276" w:lineRule="auto"/>
              <w:jc w:val="right"/>
              <w:rPr>
                <w:rFonts w:cs="Arial"/>
                <w:sz w:val="16"/>
                <w:szCs w:val="16"/>
              </w:rPr>
            </w:pPr>
          </w:p>
        </w:tc>
        <w:tc>
          <w:tcPr>
            <w:tcW w:w="852" w:type="dxa"/>
            <w:shd w:val="clear" w:color="auto" w:fill="auto"/>
            <w:noWrap/>
            <w:vAlign w:val="center"/>
            <w:hideMark/>
          </w:tcPr>
          <w:p w14:paraId="3FFCCADF" w14:textId="29B0CE9D"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5FFF99BD" w14:textId="77777777" w:rsidR="008178E9" w:rsidRPr="00206845" w:rsidRDefault="008178E9" w:rsidP="001B3314">
            <w:pPr>
              <w:spacing w:after="0" w:line="276" w:lineRule="auto"/>
              <w:jc w:val="right"/>
              <w:rPr>
                <w:rFonts w:cs="Arial"/>
                <w:sz w:val="16"/>
                <w:szCs w:val="16"/>
              </w:rPr>
            </w:pPr>
            <w:r w:rsidRPr="00206845">
              <w:rPr>
                <w:rFonts w:cs="Arial"/>
                <w:sz w:val="16"/>
                <w:szCs w:val="16"/>
              </w:rPr>
              <w:t>2,20</w:t>
            </w:r>
          </w:p>
        </w:tc>
        <w:tc>
          <w:tcPr>
            <w:tcW w:w="851" w:type="dxa"/>
            <w:shd w:val="clear" w:color="auto" w:fill="auto"/>
            <w:noWrap/>
            <w:vAlign w:val="center"/>
            <w:hideMark/>
          </w:tcPr>
          <w:p w14:paraId="6BB9C17F" w14:textId="7050C2A9"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50411D2C" w14:textId="6548CE32"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6D08FA85" w14:textId="351B374C"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hideMark/>
          </w:tcPr>
          <w:p w14:paraId="0C7FC2D8" w14:textId="70251DFF" w:rsidR="008178E9" w:rsidRPr="00206845" w:rsidRDefault="008178E9" w:rsidP="001B3314">
            <w:pPr>
              <w:spacing w:after="0" w:line="276" w:lineRule="auto"/>
              <w:jc w:val="right"/>
              <w:rPr>
                <w:rFonts w:cs="Arial"/>
                <w:sz w:val="16"/>
                <w:szCs w:val="16"/>
              </w:rPr>
            </w:pPr>
          </w:p>
        </w:tc>
      </w:tr>
      <w:tr w:rsidR="001B3314" w:rsidRPr="00206845" w14:paraId="56993F99" w14:textId="77777777" w:rsidTr="00737954">
        <w:trPr>
          <w:cantSplit/>
          <w:trHeight w:val="227"/>
          <w:jc w:val="center"/>
        </w:trPr>
        <w:tc>
          <w:tcPr>
            <w:tcW w:w="3072" w:type="dxa"/>
            <w:shd w:val="clear" w:color="auto" w:fill="auto"/>
            <w:vAlign w:val="center"/>
            <w:hideMark/>
          </w:tcPr>
          <w:p w14:paraId="0E0C78A8" w14:textId="77777777" w:rsidR="008178E9" w:rsidRPr="00CE4938" w:rsidRDefault="008178E9" w:rsidP="00A02D1C">
            <w:pPr>
              <w:spacing w:after="0" w:line="276" w:lineRule="auto"/>
              <w:jc w:val="left"/>
              <w:rPr>
                <w:rFonts w:cs="Arial"/>
                <w:sz w:val="16"/>
                <w:szCs w:val="16"/>
              </w:rPr>
            </w:pPr>
            <w:r w:rsidRPr="00CE4938">
              <w:rPr>
                <w:rFonts w:cs="Arial"/>
                <w:sz w:val="16"/>
                <w:szCs w:val="16"/>
              </w:rPr>
              <w:t>Μαρίνα Πύλου</w:t>
            </w:r>
          </w:p>
        </w:tc>
        <w:tc>
          <w:tcPr>
            <w:tcW w:w="749" w:type="dxa"/>
            <w:shd w:val="clear" w:color="auto" w:fill="auto"/>
            <w:noWrap/>
            <w:vAlign w:val="center"/>
            <w:hideMark/>
          </w:tcPr>
          <w:p w14:paraId="0F7D7045" w14:textId="238A0016" w:rsidR="008178E9" w:rsidRPr="00CE4938" w:rsidRDefault="008178E9" w:rsidP="001B3314">
            <w:pPr>
              <w:spacing w:after="0" w:line="276" w:lineRule="auto"/>
              <w:jc w:val="right"/>
              <w:rPr>
                <w:rFonts w:cs="Arial"/>
                <w:sz w:val="16"/>
                <w:szCs w:val="16"/>
              </w:rPr>
            </w:pPr>
          </w:p>
        </w:tc>
        <w:tc>
          <w:tcPr>
            <w:tcW w:w="847" w:type="dxa"/>
            <w:shd w:val="clear" w:color="auto" w:fill="auto"/>
            <w:noWrap/>
            <w:vAlign w:val="center"/>
            <w:hideMark/>
          </w:tcPr>
          <w:p w14:paraId="5A48B31F" w14:textId="25C9A3C4" w:rsidR="008178E9" w:rsidRPr="00CE4938" w:rsidRDefault="008178E9" w:rsidP="001B3314">
            <w:pPr>
              <w:spacing w:after="0" w:line="276" w:lineRule="auto"/>
              <w:jc w:val="right"/>
              <w:rPr>
                <w:rFonts w:cs="Arial"/>
                <w:sz w:val="16"/>
                <w:szCs w:val="16"/>
              </w:rPr>
            </w:pPr>
          </w:p>
        </w:tc>
        <w:tc>
          <w:tcPr>
            <w:tcW w:w="849" w:type="dxa"/>
            <w:shd w:val="clear" w:color="auto" w:fill="auto"/>
            <w:noWrap/>
            <w:vAlign w:val="center"/>
            <w:hideMark/>
          </w:tcPr>
          <w:p w14:paraId="320CA4F9" w14:textId="1A799B57" w:rsidR="008178E9" w:rsidRPr="00CE4938" w:rsidRDefault="008178E9" w:rsidP="001B3314">
            <w:pPr>
              <w:spacing w:after="0" w:line="276" w:lineRule="auto"/>
              <w:jc w:val="right"/>
              <w:rPr>
                <w:rFonts w:cs="Arial"/>
                <w:sz w:val="16"/>
                <w:szCs w:val="16"/>
              </w:rPr>
            </w:pPr>
          </w:p>
        </w:tc>
        <w:tc>
          <w:tcPr>
            <w:tcW w:w="852" w:type="dxa"/>
            <w:shd w:val="clear" w:color="auto" w:fill="auto"/>
            <w:noWrap/>
            <w:vAlign w:val="center"/>
            <w:hideMark/>
          </w:tcPr>
          <w:p w14:paraId="2A21AFD6" w14:textId="7EF32F14" w:rsidR="008178E9" w:rsidRPr="00CE4938"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6963743D" w14:textId="77777777" w:rsidR="008178E9" w:rsidRPr="00206845" w:rsidRDefault="008178E9" w:rsidP="001B3314">
            <w:pPr>
              <w:spacing w:after="0" w:line="276" w:lineRule="auto"/>
              <w:jc w:val="right"/>
              <w:rPr>
                <w:rFonts w:cs="Arial"/>
                <w:sz w:val="16"/>
                <w:szCs w:val="16"/>
              </w:rPr>
            </w:pPr>
            <w:r w:rsidRPr="00CE4938">
              <w:rPr>
                <w:rFonts w:cs="Arial"/>
                <w:sz w:val="16"/>
                <w:szCs w:val="16"/>
              </w:rPr>
              <w:t>1,50</w:t>
            </w:r>
          </w:p>
        </w:tc>
        <w:tc>
          <w:tcPr>
            <w:tcW w:w="851" w:type="dxa"/>
            <w:shd w:val="clear" w:color="auto" w:fill="auto"/>
            <w:noWrap/>
            <w:vAlign w:val="center"/>
            <w:hideMark/>
          </w:tcPr>
          <w:p w14:paraId="276F3DA6" w14:textId="5AFCB31A"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719CDBF3" w14:textId="2B6FC2D7"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29AEE088" w14:textId="79927623"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hideMark/>
          </w:tcPr>
          <w:p w14:paraId="34E88092" w14:textId="02CB1A39" w:rsidR="008178E9" w:rsidRPr="00206845" w:rsidRDefault="008178E9" w:rsidP="001B3314">
            <w:pPr>
              <w:spacing w:after="0" w:line="276" w:lineRule="auto"/>
              <w:jc w:val="right"/>
              <w:rPr>
                <w:rFonts w:cs="Arial"/>
                <w:sz w:val="16"/>
                <w:szCs w:val="16"/>
              </w:rPr>
            </w:pPr>
          </w:p>
        </w:tc>
      </w:tr>
      <w:tr w:rsidR="001B3314" w:rsidRPr="00206845" w14:paraId="31EFF673" w14:textId="77777777" w:rsidTr="00737954">
        <w:trPr>
          <w:cantSplit/>
          <w:trHeight w:val="227"/>
          <w:jc w:val="center"/>
        </w:trPr>
        <w:tc>
          <w:tcPr>
            <w:tcW w:w="3072" w:type="dxa"/>
            <w:shd w:val="clear" w:color="auto" w:fill="auto"/>
            <w:vAlign w:val="center"/>
            <w:hideMark/>
          </w:tcPr>
          <w:p w14:paraId="5029B343" w14:textId="77777777" w:rsidR="008178E9" w:rsidRPr="00206845" w:rsidRDefault="008178E9" w:rsidP="00A02D1C">
            <w:pPr>
              <w:spacing w:after="0" w:line="276" w:lineRule="auto"/>
              <w:jc w:val="left"/>
              <w:rPr>
                <w:rFonts w:cs="Arial"/>
                <w:sz w:val="16"/>
                <w:szCs w:val="16"/>
              </w:rPr>
            </w:pPr>
            <w:r w:rsidRPr="00206845">
              <w:rPr>
                <w:rFonts w:cs="Arial"/>
                <w:sz w:val="16"/>
                <w:szCs w:val="16"/>
              </w:rPr>
              <w:t>ARGOSTOLI</w:t>
            </w:r>
          </w:p>
        </w:tc>
        <w:tc>
          <w:tcPr>
            <w:tcW w:w="749" w:type="dxa"/>
            <w:shd w:val="clear" w:color="auto" w:fill="auto"/>
            <w:noWrap/>
            <w:vAlign w:val="center"/>
            <w:hideMark/>
          </w:tcPr>
          <w:p w14:paraId="6ACEF3A5" w14:textId="00320CCF"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hideMark/>
          </w:tcPr>
          <w:p w14:paraId="2065E6C5" w14:textId="439C6939"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hideMark/>
          </w:tcPr>
          <w:p w14:paraId="0052E7B7" w14:textId="46492B2D" w:rsidR="008178E9" w:rsidRPr="00206845" w:rsidRDefault="008178E9" w:rsidP="001B3314">
            <w:pPr>
              <w:spacing w:after="0" w:line="276" w:lineRule="auto"/>
              <w:jc w:val="right"/>
              <w:rPr>
                <w:rFonts w:cs="Arial"/>
                <w:sz w:val="16"/>
                <w:szCs w:val="16"/>
              </w:rPr>
            </w:pPr>
          </w:p>
        </w:tc>
        <w:tc>
          <w:tcPr>
            <w:tcW w:w="852" w:type="dxa"/>
            <w:shd w:val="clear" w:color="auto" w:fill="auto"/>
            <w:noWrap/>
            <w:vAlign w:val="center"/>
            <w:hideMark/>
          </w:tcPr>
          <w:p w14:paraId="07900A49" w14:textId="52620E7F"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3BE74BD7" w14:textId="77777777" w:rsidR="008178E9" w:rsidRPr="00206845" w:rsidRDefault="008178E9" w:rsidP="001B3314">
            <w:pPr>
              <w:spacing w:after="0" w:line="276" w:lineRule="auto"/>
              <w:jc w:val="right"/>
              <w:rPr>
                <w:rFonts w:cs="Arial"/>
                <w:sz w:val="16"/>
                <w:szCs w:val="16"/>
              </w:rPr>
            </w:pPr>
            <w:r w:rsidRPr="00206845">
              <w:rPr>
                <w:rFonts w:cs="Arial"/>
                <w:sz w:val="16"/>
                <w:szCs w:val="16"/>
              </w:rPr>
              <w:t>2,40</w:t>
            </w:r>
          </w:p>
        </w:tc>
        <w:tc>
          <w:tcPr>
            <w:tcW w:w="851" w:type="dxa"/>
            <w:shd w:val="clear" w:color="auto" w:fill="auto"/>
            <w:noWrap/>
            <w:vAlign w:val="center"/>
            <w:hideMark/>
          </w:tcPr>
          <w:p w14:paraId="33555D99" w14:textId="44B9B9C6"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6CF493B7" w14:textId="2418BC32"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7DD3CB36" w14:textId="63F89DC8"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hideMark/>
          </w:tcPr>
          <w:p w14:paraId="4127E103" w14:textId="53C9F6C5" w:rsidR="008178E9" w:rsidRPr="00206845" w:rsidRDefault="008178E9" w:rsidP="001B3314">
            <w:pPr>
              <w:spacing w:after="0" w:line="276" w:lineRule="auto"/>
              <w:jc w:val="right"/>
              <w:rPr>
                <w:rFonts w:cs="Arial"/>
                <w:sz w:val="16"/>
                <w:szCs w:val="16"/>
              </w:rPr>
            </w:pPr>
          </w:p>
        </w:tc>
      </w:tr>
      <w:tr w:rsidR="001B3314" w:rsidRPr="00206845" w14:paraId="71BE7642" w14:textId="77777777" w:rsidTr="00737954">
        <w:trPr>
          <w:cantSplit/>
          <w:trHeight w:val="227"/>
          <w:jc w:val="center"/>
        </w:trPr>
        <w:tc>
          <w:tcPr>
            <w:tcW w:w="3072" w:type="dxa"/>
            <w:shd w:val="clear" w:color="auto" w:fill="F2F2F2" w:themeFill="background1" w:themeFillShade="F2"/>
            <w:vAlign w:val="center"/>
            <w:hideMark/>
          </w:tcPr>
          <w:p w14:paraId="34E11F23" w14:textId="77777777" w:rsidR="001F53B4" w:rsidRDefault="008178E9" w:rsidP="00A02D1C">
            <w:pPr>
              <w:spacing w:after="0" w:line="276" w:lineRule="auto"/>
              <w:jc w:val="left"/>
              <w:rPr>
                <w:rFonts w:cs="Arial"/>
                <w:sz w:val="16"/>
                <w:szCs w:val="16"/>
              </w:rPr>
            </w:pPr>
            <w:r w:rsidRPr="00206845">
              <w:rPr>
                <w:rFonts w:cs="Arial"/>
                <w:sz w:val="16"/>
                <w:szCs w:val="16"/>
              </w:rPr>
              <w:t>Έργα στο στάδιο προετοιμασίας</w:t>
            </w:r>
          </w:p>
          <w:p w14:paraId="5DCE62C2" w14:textId="7E3F4420" w:rsidR="008178E9" w:rsidRPr="00206845" w:rsidRDefault="008178E9" w:rsidP="00A02D1C">
            <w:pPr>
              <w:spacing w:after="0" w:line="276" w:lineRule="auto"/>
              <w:jc w:val="left"/>
              <w:rPr>
                <w:rFonts w:cs="Arial"/>
                <w:sz w:val="16"/>
                <w:szCs w:val="16"/>
              </w:rPr>
            </w:pPr>
            <w:r w:rsidRPr="00206845">
              <w:rPr>
                <w:rFonts w:cs="Arial"/>
                <w:sz w:val="16"/>
                <w:szCs w:val="16"/>
              </w:rPr>
              <w:t>(</w:t>
            </w:r>
            <w:r w:rsidR="001F53B4">
              <w:rPr>
                <w:rFonts w:cs="Arial"/>
                <w:sz w:val="16"/>
                <w:szCs w:val="16"/>
              </w:rPr>
              <w:t>λ</w:t>
            </w:r>
            <w:r w:rsidRPr="00206845">
              <w:rPr>
                <w:rFonts w:cs="Arial"/>
                <w:sz w:val="16"/>
                <w:szCs w:val="16"/>
              </w:rPr>
              <w:t>οιπά εταιρικά και υποδομές)</w:t>
            </w:r>
          </w:p>
        </w:tc>
        <w:tc>
          <w:tcPr>
            <w:tcW w:w="749" w:type="dxa"/>
            <w:shd w:val="clear" w:color="auto" w:fill="F2F2F2" w:themeFill="background1" w:themeFillShade="F2"/>
            <w:noWrap/>
            <w:vAlign w:val="center"/>
            <w:hideMark/>
          </w:tcPr>
          <w:p w14:paraId="51AF832B" w14:textId="1B221940" w:rsidR="008178E9" w:rsidRPr="00206845" w:rsidRDefault="008178E9" w:rsidP="001B3314">
            <w:pPr>
              <w:spacing w:after="0" w:line="276" w:lineRule="auto"/>
              <w:jc w:val="right"/>
              <w:rPr>
                <w:rFonts w:cs="Arial"/>
                <w:sz w:val="16"/>
                <w:szCs w:val="16"/>
              </w:rPr>
            </w:pPr>
          </w:p>
        </w:tc>
        <w:tc>
          <w:tcPr>
            <w:tcW w:w="847" w:type="dxa"/>
            <w:shd w:val="clear" w:color="auto" w:fill="F2F2F2" w:themeFill="background1" w:themeFillShade="F2"/>
            <w:noWrap/>
            <w:vAlign w:val="center"/>
            <w:hideMark/>
          </w:tcPr>
          <w:p w14:paraId="5547E887" w14:textId="627D936F" w:rsidR="008178E9" w:rsidRPr="00206845" w:rsidRDefault="008178E9" w:rsidP="001B3314">
            <w:pPr>
              <w:spacing w:after="0" w:line="276" w:lineRule="auto"/>
              <w:jc w:val="right"/>
              <w:rPr>
                <w:rFonts w:cs="Arial"/>
                <w:sz w:val="16"/>
                <w:szCs w:val="16"/>
              </w:rPr>
            </w:pPr>
          </w:p>
        </w:tc>
        <w:tc>
          <w:tcPr>
            <w:tcW w:w="849" w:type="dxa"/>
            <w:shd w:val="clear" w:color="auto" w:fill="F2F2F2" w:themeFill="background1" w:themeFillShade="F2"/>
            <w:noWrap/>
            <w:vAlign w:val="center"/>
            <w:hideMark/>
          </w:tcPr>
          <w:p w14:paraId="42B07010" w14:textId="000A3DA2" w:rsidR="008178E9" w:rsidRPr="00206845" w:rsidRDefault="008178E9" w:rsidP="001B3314">
            <w:pPr>
              <w:spacing w:after="0" w:line="276" w:lineRule="auto"/>
              <w:jc w:val="right"/>
              <w:rPr>
                <w:rFonts w:cs="Arial"/>
                <w:sz w:val="16"/>
                <w:szCs w:val="16"/>
              </w:rPr>
            </w:pPr>
          </w:p>
        </w:tc>
        <w:tc>
          <w:tcPr>
            <w:tcW w:w="852" w:type="dxa"/>
            <w:shd w:val="clear" w:color="auto" w:fill="F2F2F2" w:themeFill="background1" w:themeFillShade="F2"/>
            <w:noWrap/>
            <w:vAlign w:val="center"/>
            <w:hideMark/>
          </w:tcPr>
          <w:p w14:paraId="05C7FAAB" w14:textId="16D2FE46" w:rsidR="008178E9" w:rsidRPr="00206845" w:rsidRDefault="008178E9" w:rsidP="001B3314">
            <w:pPr>
              <w:spacing w:after="0" w:line="276" w:lineRule="auto"/>
              <w:jc w:val="right"/>
              <w:rPr>
                <w:rFonts w:cs="Arial"/>
                <w:sz w:val="16"/>
                <w:szCs w:val="16"/>
              </w:rPr>
            </w:pPr>
          </w:p>
        </w:tc>
        <w:tc>
          <w:tcPr>
            <w:tcW w:w="1141" w:type="dxa"/>
            <w:shd w:val="clear" w:color="auto" w:fill="F2F2F2" w:themeFill="background1" w:themeFillShade="F2"/>
            <w:noWrap/>
            <w:vAlign w:val="center"/>
            <w:hideMark/>
          </w:tcPr>
          <w:p w14:paraId="63E83854" w14:textId="377178A1" w:rsidR="008178E9" w:rsidRPr="00206845" w:rsidRDefault="008178E9" w:rsidP="001B3314">
            <w:pPr>
              <w:spacing w:after="0" w:line="276" w:lineRule="auto"/>
              <w:jc w:val="right"/>
              <w:rPr>
                <w:rFonts w:cs="Arial"/>
                <w:sz w:val="16"/>
                <w:szCs w:val="16"/>
              </w:rPr>
            </w:pPr>
          </w:p>
        </w:tc>
        <w:tc>
          <w:tcPr>
            <w:tcW w:w="851" w:type="dxa"/>
            <w:shd w:val="clear" w:color="auto" w:fill="F2F2F2" w:themeFill="background1" w:themeFillShade="F2"/>
            <w:noWrap/>
            <w:vAlign w:val="center"/>
            <w:hideMark/>
          </w:tcPr>
          <w:p w14:paraId="5EC5CFEC" w14:textId="77777777" w:rsidR="008178E9" w:rsidRPr="00206845" w:rsidRDefault="008178E9" w:rsidP="001B3314">
            <w:pPr>
              <w:spacing w:after="0" w:line="276" w:lineRule="auto"/>
              <w:jc w:val="right"/>
              <w:rPr>
                <w:rFonts w:cs="Arial"/>
                <w:sz w:val="16"/>
                <w:szCs w:val="16"/>
              </w:rPr>
            </w:pPr>
            <w:r w:rsidRPr="00206845">
              <w:rPr>
                <w:rFonts w:cs="Arial"/>
                <w:sz w:val="16"/>
                <w:szCs w:val="16"/>
              </w:rPr>
              <w:t>227,80</w:t>
            </w:r>
          </w:p>
        </w:tc>
        <w:tc>
          <w:tcPr>
            <w:tcW w:w="850" w:type="dxa"/>
            <w:shd w:val="clear" w:color="auto" w:fill="F2F2F2" w:themeFill="background1" w:themeFillShade="F2"/>
            <w:noWrap/>
            <w:vAlign w:val="center"/>
            <w:hideMark/>
          </w:tcPr>
          <w:p w14:paraId="65C66FAB" w14:textId="77777777" w:rsidR="008178E9" w:rsidRPr="00206845" w:rsidRDefault="008178E9" w:rsidP="001B3314">
            <w:pPr>
              <w:spacing w:after="0" w:line="276" w:lineRule="auto"/>
              <w:jc w:val="right"/>
              <w:rPr>
                <w:rFonts w:cs="Arial"/>
                <w:sz w:val="16"/>
                <w:szCs w:val="16"/>
              </w:rPr>
            </w:pPr>
            <w:r w:rsidRPr="00206845">
              <w:rPr>
                <w:rFonts w:cs="Arial"/>
                <w:sz w:val="16"/>
                <w:szCs w:val="16"/>
              </w:rPr>
              <w:t>137,30</w:t>
            </w:r>
          </w:p>
        </w:tc>
        <w:tc>
          <w:tcPr>
            <w:tcW w:w="992" w:type="dxa"/>
            <w:shd w:val="clear" w:color="auto" w:fill="F2F2F2" w:themeFill="background1" w:themeFillShade="F2"/>
            <w:noWrap/>
            <w:vAlign w:val="center"/>
            <w:hideMark/>
          </w:tcPr>
          <w:p w14:paraId="08B6D249" w14:textId="1B439AD6" w:rsidR="008178E9" w:rsidRPr="00206845" w:rsidRDefault="008178E9" w:rsidP="001B3314">
            <w:pPr>
              <w:spacing w:after="0" w:line="276" w:lineRule="auto"/>
              <w:jc w:val="right"/>
              <w:rPr>
                <w:rFonts w:cs="Arial"/>
                <w:sz w:val="16"/>
                <w:szCs w:val="16"/>
              </w:rPr>
            </w:pPr>
            <w:r w:rsidRPr="00206845">
              <w:rPr>
                <w:rFonts w:cs="Arial"/>
                <w:sz w:val="16"/>
                <w:szCs w:val="16"/>
              </w:rPr>
              <w:t>2</w:t>
            </w:r>
            <w:r w:rsidR="002D274E">
              <w:rPr>
                <w:rFonts w:cs="Arial"/>
                <w:sz w:val="16"/>
                <w:szCs w:val="16"/>
              </w:rPr>
              <w:t>.</w:t>
            </w:r>
            <w:r w:rsidRPr="00206845">
              <w:rPr>
                <w:rFonts w:cs="Arial"/>
                <w:sz w:val="16"/>
                <w:szCs w:val="16"/>
              </w:rPr>
              <w:t>405,36</w:t>
            </w:r>
          </w:p>
        </w:tc>
        <w:tc>
          <w:tcPr>
            <w:tcW w:w="993" w:type="dxa"/>
            <w:shd w:val="clear" w:color="auto" w:fill="F2F2F2" w:themeFill="background1" w:themeFillShade="F2"/>
            <w:noWrap/>
            <w:vAlign w:val="center"/>
            <w:hideMark/>
          </w:tcPr>
          <w:p w14:paraId="68ADE1DB" w14:textId="77777777" w:rsidR="008178E9" w:rsidRPr="00206845" w:rsidRDefault="008178E9" w:rsidP="001B3314">
            <w:pPr>
              <w:spacing w:after="0" w:line="276" w:lineRule="auto"/>
              <w:jc w:val="right"/>
              <w:rPr>
                <w:rFonts w:cs="Arial"/>
                <w:sz w:val="16"/>
                <w:szCs w:val="16"/>
              </w:rPr>
            </w:pPr>
            <w:r w:rsidRPr="00206845">
              <w:rPr>
                <w:rFonts w:cs="Arial"/>
                <w:sz w:val="16"/>
                <w:szCs w:val="16"/>
              </w:rPr>
              <w:t>138,80</w:t>
            </w:r>
          </w:p>
        </w:tc>
      </w:tr>
      <w:tr w:rsidR="00BD2849" w:rsidRPr="00206845" w14:paraId="2C2391EE" w14:textId="77777777" w:rsidTr="00737954">
        <w:trPr>
          <w:cantSplit/>
          <w:trHeight w:val="227"/>
          <w:jc w:val="center"/>
        </w:trPr>
        <w:tc>
          <w:tcPr>
            <w:tcW w:w="11196" w:type="dxa"/>
            <w:gridSpan w:val="10"/>
            <w:shd w:val="clear" w:color="auto" w:fill="D5DCE4"/>
            <w:noWrap/>
            <w:vAlign w:val="center"/>
            <w:hideMark/>
          </w:tcPr>
          <w:p w14:paraId="390FBF1D" w14:textId="4933D1D8" w:rsidR="00BD2849" w:rsidRPr="00206845" w:rsidRDefault="00BD2849" w:rsidP="00A02D1C">
            <w:pPr>
              <w:spacing w:after="0" w:line="276" w:lineRule="auto"/>
              <w:jc w:val="left"/>
              <w:rPr>
                <w:rFonts w:cs="Arial"/>
                <w:color w:val="000000"/>
                <w:sz w:val="16"/>
                <w:szCs w:val="16"/>
              </w:rPr>
            </w:pPr>
            <w:r w:rsidRPr="00206845">
              <w:rPr>
                <w:rFonts w:cs="Arial"/>
                <w:b/>
                <w:bCs/>
                <w:sz w:val="16"/>
                <w:szCs w:val="16"/>
              </w:rPr>
              <w:t>Α</w:t>
            </w:r>
            <w:r>
              <w:rPr>
                <w:rFonts w:cs="Arial"/>
                <w:b/>
                <w:bCs/>
                <w:sz w:val="16"/>
                <w:szCs w:val="16"/>
              </w:rPr>
              <w:t>κίνητα</w:t>
            </w:r>
          </w:p>
        </w:tc>
      </w:tr>
      <w:tr w:rsidR="001B3314" w:rsidRPr="00206845" w14:paraId="50AC536E" w14:textId="77777777" w:rsidTr="00737954">
        <w:trPr>
          <w:cantSplit/>
          <w:trHeight w:val="227"/>
          <w:jc w:val="center"/>
        </w:trPr>
        <w:tc>
          <w:tcPr>
            <w:tcW w:w="3072" w:type="dxa"/>
            <w:shd w:val="clear" w:color="000000" w:fill="FFFFFF"/>
            <w:vAlign w:val="center"/>
            <w:hideMark/>
          </w:tcPr>
          <w:p w14:paraId="6BA21B7E" w14:textId="020CD324" w:rsidR="008178E9" w:rsidRPr="00206845" w:rsidRDefault="008178E9" w:rsidP="00A02D1C">
            <w:pPr>
              <w:spacing w:after="0" w:line="276" w:lineRule="auto"/>
              <w:jc w:val="left"/>
              <w:rPr>
                <w:rFonts w:cs="Arial"/>
                <w:sz w:val="16"/>
                <w:szCs w:val="16"/>
              </w:rPr>
            </w:pPr>
            <w:r w:rsidRPr="00206845">
              <w:rPr>
                <w:rFonts w:cs="Arial"/>
                <w:sz w:val="16"/>
                <w:szCs w:val="16"/>
              </w:rPr>
              <w:t>e-</w:t>
            </w:r>
            <w:r w:rsidR="008F5C7F">
              <w:rPr>
                <w:rFonts w:cs="Arial"/>
                <w:sz w:val="16"/>
                <w:szCs w:val="16"/>
                <w:lang w:val="en-US"/>
              </w:rPr>
              <w:t>A</w:t>
            </w:r>
            <w:r w:rsidRPr="00206845">
              <w:rPr>
                <w:rFonts w:cs="Arial"/>
                <w:sz w:val="16"/>
                <w:szCs w:val="16"/>
              </w:rPr>
              <w:t>uction I - X</w:t>
            </w:r>
          </w:p>
        </w:tc>
        <w:tc>
          <w:tcPr>
            <w:tcW w:w="749" w:type="dxa"/>
            <w:shd w:val="clear" w:color="auto" w:fill="auto"/>
            <w:noWrap/>
            <w:vAlign w:val="center"/>
            <w:hideMark/>
          </w:tcPr>
          <w:p w14:paraId="4505AE47" w14:textId="77777777" w:rsidR="008178E9" w:rsidRPr="00206845" w:rsidRDefault="008178E9" w:rsidP="001B3314">
            <w:pPr>
              <w:spacing w:after="0" w:line="276" w:lineRule="auto"/>
              <w:jc w:val="right"/>
              <w:rPr>
                <w:rFonts w:cs="Arial"/>
                <w:sz w:val="16"/>
                <w:szCs w:val="16"/>
              </w:rPr>
            </w:pPr>
            <w:r w:rsidRPr="00206845">
              <w:rPr>
                <w:rFonts w:cs="Arial"/>
                <w:sz w:val="16"/>
                <w:szCs w:val="16"/>
              </w:rPr>
              <w:t>5,90</w:t>
            </w:r>
          </w:p>
        </w:tc>
        <w:tc>
          <w:tcPr>
            <w:tcW w:w="847" w:type="dxa"/>
            <w:shd w:val="clear" w:color="auto" w:fill="auto"/>
            <w:noWrap/>
            <w:vAlign w:val="center"/>
            <w:hideMark/>
          </w:tcPr>
          <w:p w14:paraId="05FBBD3A" w14:textId="77777777" w:rsidR="008178E9" w:rsidRPr="00206845" w:rsidRDefault="008178E9" w:rsidP="001B3314">
            <w:pPr>
              <w:spacing w:after="0" w:line="276" w:lineRule="auto"/>
              <w:jc w:val="right"/>
              <w:rPr>
                <w:rFonts w:cs="Arial"/>
                <w:sz w:val="16"/>
                <w:szCs w:val="16"/>
              </w:rPr>
            </w:pPr>
            <w:r w:rsidRPr="00206845">
              <w:rPr>
                <w:rFonts w:cs="Arial"/>
                <w:sz w:val="16"/>
                <w:szCs w:val="16"/>
              </w:rPr>
              <w:t>5,42</w:t>
            </w:r>
          </w:p>
        </w:tc>
        <w:tc>
          <w:tcPr>
            <w:tcW w:w="849" w:type="dxa"/>
            <w:shd w:val="clear" w:color="auto" w:fill="auto"/>
            <w:noWrap/>
            <w:vAlign w:val="center"/>
            <w:hideMark/>
          </w:tcPr>
          <w:p w14:paraId="25970EF9" w14:textId="77777777" w:rsidR="008178E9" w:rsidRPr="00206845" w:rsidRDefault="008178E9" w:rsidP="001B3314">
            <w:pPr>
              <w:spacing w:after="0" w:line="276" w:lineRule="auto"/>
              <w:jc w:val="right"/>
              <w:rPr>
                <w:rFonts w:cs="Arial"/>
                <w:sz w:val="16"/>
                <w:szCs w:val="16"/>
              </w:rPr>
            </w:pPr>
            <w:r w:rsidRPr="00206845">
              <w:rPr>
                <w:rFonts w:cs="Arial"/>
                <w:sz w:val="16"/>
                <w:szCs w:val="16"/>
              </w:rPr>
              <w:t>6,30</w:t>
            </w:r>
          </w:p>
        </w:tc>
        <w:tc>
          <w:tcPr>
            <w:tcW w:w="852" w:type="dxa"/>
            <w:shd w:val="clear" w:color="auto" w:fill="auto"/>
            <w:noWrap/>
            <w:vAlign w:val="center"/>
            <w:hideMark/>
          </w:tcPr>
          <w:p w14:paraId="2F262313" w14:textId="77777777" w:rsidR="008178E9" w:rsidRPr="00206845" w:rsidRDefault="008178E9" w:rsidP="001B3314">
            <w:pPr>
              <w:spacing w:after="0" w:line="276" w:lineRule="auto"/>
              <w:jc w:val="right"/>
              <w:rPr>
                <w:rFonts w:cs="Arial"/>
                <w:sz w:val="16"/>
                <w:szCs w:val="16"/>
              </w:rPr>
            </w:pPr>
            <w:r w:rsidRPr="00206845">
              <w:rPr>
                <w:rFonts w:cs="Arial"/>
                <w:sz w:val="16"/>
                <w:szCs w:val="16"/>
              </w:rPr>
              <w:t>5,80</w:t>
            </w:r>
          </w:p>
        </w:tc>
        <w:tc>
          <w:tcPr>
            <w:tcW w:w="1141" w:type="dxa"/>
            <w:shd w:val="clear" w:color="auto" w:fill="auto"/>
            <w:noWrap/>
            <w:vAlign w:val="center"/>
            <w:hideMark/>
          </w:tcPr>
          <w:p w14:paraId="651C67B7" w14:textId="77777777" w:rsidR="008178E9" w:rsidRPr="00206845" w:rsidRDefault="008178E9" w:rsidP="001B3314">
            <w:pPr>
              <w:spacing w:after="0" w:line="276" w:lineRule="auto"/>
              <w:jc w:val="right"/>
              <w:rPr>
                <w:rFonts w:cs="Arial"/>
                <w:sz w:val="16"/>
                <w:szCs w:val="16"/>
              </w:rPr>
            </w:pPr>
            <w:r w:rsidRPr="00206845">
              <w:rPr>
                <w:rFonts w:cs="Arial"/>
                <w:sz w:val="16"/>
                <w:szCs w:val="16"/>
              </w:rPr>
              <w:t>4,50</w:t>
            </w:r>
          </w:p>
        </w:tc>
        <w:tc>
          <w:tcPr>
            <w:tcW w:w="851" w:type="dxa"/>
            <w:shd w:val="clear" w:color="auto" w:fill="auto"/>
            <w:noWrap/>
            <w:vAlign w:val="center"/>
            <w:hideMark/>
          </w:tcPr>
          <w:p w14:paraId="0DC3D331" w14:textId="77777777" w:rsidR="008178E9" w:rsidRPr="00206845" w:rsidRDefault="008178E9" w:rsidP="001B3314">
            <w:pPr>
              <w:spacing w:after="0" w:line="276" w:lineRule="auto"/>
              <w:jc w:val="right"/>
              <w:rPr>
                <w:rFonts w:cs="Arial"/>
                <w:sz w:val="16"/>
                <w:szCs w:val="16"/>
              </w:rPr>
            </w:pPr>
            <w:r w:rsidRPr="00206845">
              <w:rPr>
                <w:rFonts w:cs="Arial"/>
                <w:sz w:val="16"/>
                <w:szCs w:val="16"/>
              </w:rPr>
              <w:t>4,50</w:t>
            </w:r>
          </w:p>
        </w:tc>
        <w:tc>
          <w:tcPr>
            <w:tcW w:w="850" w:type="dxa"/>
            <w:shd w:val="clear" w:color="auto" w:fill="auto"/>
            <w:noWrap/>
            <w:vAlign w:val="center"/>
            <w:hideMark/>
          </w:tcPr>
          <w:p w14:paraId="2C89AE02" w14:textId="51022DD7"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38E546D6" w14:textId="1973D4C4"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hideMark/>
          </w:tcPr>
          <w:p w14:paraId="4EDB5DDA" w14:textId="66275403" w:rsidR="008178E9" w:rsidRPr="00206845" w:rsidRDefault="008178E9" w:rsidP="001B3314">
            <w:pPr>
              <w:spacing w:after="0" w:line="276" w:lineRule="auto"/>
              <w:jc w:val="right"/>
              <w:rPr>
                <w:rFonts w:cs="Arial"/>
                <w:sz w:val="16"/>
                <w:szCs w:val="16"/>
              </w:rPr>
            </w:pPr>
          </w:p>
        </w:tc>
      </w:tr>
      <w:tr w:rsidR="001B3314" w:rsidRPr="00206845" w14:paraId="3C3BFA4B" w14:textId="77777777" w:rsidTr="00737954">
        <w:trPr>
          <w:cantSplit/>
          <w:trHeight w:val="227"/>
          <w:jc w:val="center"/>
        </w:trPr>
        <w:tc>
          <w:tcPr>
            <w:tcW w:w="3072" w:type="dxa"/>
            <w:shd w:val="clear" w:color="000000" w:fill="FFFFFF"/>
            <w:vAlign w:val="center"/>
            <w:hideMark/>
          </w:tcPr>
          <w:p w14:paraId="7E0977A0" w14:textId="6230F950" w:rsidR="008178E9" w:rsidRPr="00206845" w:rsidRDefault="008178E9" w:rsidP="00A02D1C">
            <w:pPr>
              <w:spacing w:after="0" w:line="276" w:lineRule="auto"/>
              <w:jc w:val="left"/>
              <w:rPr>
                <w:rFonts w:cs="Arial"/>
                <w:sz w:val="16"/>
                <w:szCs w:val="16"/>
              </w:rPr>
            </w:pPr>
            <w:r w:rsidRPr="00206845">
              <w:rPr>
                <w:rFonts w:cs="Arial"/>
                <w:sz w:val="16"/>
                <w:szCs w:val="16"/>
              </w:rPr>
              <w:t>Κασσι</w:t>
            </w:r>
            <w:r w:rsidR="008F5C7F">
              <w:rPr>
                <w:rFonts w:cs="Arial"/>
                <w:sz w:val="16"/>
                <w:szCs w:val="16"/>
              </w:rPr>
              <w:t>ό</w:t>
            </w:r>
            <w:r w:rsidRPr="00206845">
              <w:rPr>
                <w:rFonts w:cs="Arial"/>
                <w:sz w:val="16"/>
                <w:szCs w:val="16"/>
              </w:rPr>
              <w:t>πη</w:t>
            </w:r>
          </w:p>
        </w:tc>
        <w:tc>
          <w:tcPr>
            <w:tcW w:w="749" w:type="dxa"/>
            <w:shd w:val="clear" w:color="auto" w:fill="auto"/>
            <w:noWrap/>
            <w:vAlign w:val="center"/>
            <w:hideMark/>
          </w:tcPr>
          <w:p w14:paraId="4C3F3F11" w14:textId="77777777" w:rsidR="008178E9" w:rsidRPr="00206845" w:rsidRDefault="008178E9" w:rsidP="001B3314">
            <w:pPr>
              <w:spacing w:after="0" w:line="276" w:lineRule="auto"/>
              <w:jc w:val="right"/>
              <w:rPr>
                <w:rFonts w:cs="Arial"/>
                <w:sz w:val="16"/>
                <w:szCs w:val="16"/>
              </w:rPr>
            </w:pPr>
            <w:r w:rsidRPr="00206845">
              <w:rPr>
                <w:rFonts w:cs="Arial"/>
                <w:sz w:val="16"/>
                <w:szCs w:val="16"/>
              </w:rPr>
              <w:t>2,00</w:t>
            </w:r>
          </w:p>
        </w:tc>
        <w:tc>
          <w:tcPr>
            <w:tcW w:w="847" w:type="dxa"/>
            <w:shd w:val="clear" w:color="auto" w:fill="auto"/>
            <w:noWrap/>
            <w:vAlign w:val="center"/>
            <w:hideMark/>
          </w:tcPr>
          <w:p w14:paraId="31635874" w14:textId="77777777" w:rsidR="008178E9" w:rsidRPr="00206845" w:rsidRDefault="008178E9" w:rsidP="001B3314">
            <w:pPr>
              <w:spacing w:after="0" w:line="276" w:lineRule="auto"/>
              <w:jc w:val="right"/>
              <w:rPr>
                <w:rFonts w:cs="Arial"/>
                <w:sz w:val="16"/>
                <w:szCs w:val="16"/>
              </w:rPr>
            </w:pPr>
            <w:r w:rsidRPr="00206845">
              <w:rPr>
                <w:rFonts w:cs="Arial"/>
                <w:sz w:val="16"/>
                <w:szCs w:val="16"/>
              </w:rPr>
              <w:t>4,00</w:t>
            </w:r>
          </w:p>
        </w:tc>
        <w:tc>
          <w:tcPr>
            <w:tcW w:w="849" w:type="dxa"/>
            <w:shd w:val="clear" w:color="auto" w:fill="auto"/>
            <w:noWrap/>
            <w:vAlign w:val="center"/>
            <w:hideMark/>
          </w:tcPr>
          <w:p w14:paraId="4B45157C" w14:textId="77777777" w:rsidR="008178E9" w:rsidRPr="00206845" w:rsidRDefault="008178E9" w:rsidP="001B3314">
            <w:pPr>
              <w:spacing w:after="0" w:line="276" w:lineRule="auto"/>
              <w:jc w:val="right"/>
              <w:rPr>
                <w:rFonts w:cs="Arial"/>
                <w:sz w:val="16"/>
                <w:szCs w:val="16"/>
              </w:rPr>
            </w:pPr>
            <w:r w:rsidRPr="00206845">
              <w:rPr>
                <w:rFonts w:cs="Arial"/>
                <w:sz w:val="16"/>
                <w:szCs w:val="16"/>
              </w:rPr>
              <w:t>0,30</w:t>
            </w:r>
          </w:p>
        </w:tc>
        <w:tc>
          <w:tcPr>
            <w:tcW w:w="852" w:type="dxa"/>
            <w:shd w:val="clear" w:color="auto" w:fill="auto"/>
            <w:noWrap/>
            <w:vAlign w:val="center"/>
            <w:hideMark/>
          </w:tcPr>
          <w:p w14:paraId="34560A7E" w14:textId="2F326D2A"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63DD5272" w14:textId="5B5B6340" w:rsidR="008178E9" w:rsidRPr="00206845" w:rsidRDefault="008178E9" w:rsidP="001B3314">
            <w:pPr>
              <w:spacing w:after="0" w:line="276" w:lineRule="auto"/>
              <w:jc w:val="right"/>
              <w:rPr>
                <w:rFonts w:cs="Arial"/>
                <w:sz w:val="16"/>
                <w:szCs w:val="16"/>
              </w:rPr>
            </w:pPr>
          </w:p>
        </w:tc>
        <w:tc>
          <w:tcPr>
            <w:tcW w:w="851" w:type="dxa"/>
            <w:shd w:val="clear" w:color="auto" w:fill="auto"/>
            <w:noWrap/>
            <w:vAlign w:val="center"/>
            <w:hideMark/>
          </w:tcPr>
          <w:p w14:paraId="3CB0D4FA" w14:textId="50294ED2"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66E7546F" w14:textId="5BA57FC6"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539F0974" w14:textId="0BB61509"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hideMark/>
          </w:tcPr>
          <w:p w14:paraId="173A8CE5" w14:textId="0DCEE4F0" w:rsidR="008178E9" w:rsidRPr="00206845" w:rsidRDefault="008178E9" w:rsidP="001B3314">
            <w:pPr>
              <w:spacing w:after="0" w:line="276" w:lineRule="auto"/>
              <w:jc w:val="right"/>
              <w:rPr>
                <w:rFonts w:cs="Arial"/>
                <w:sz w:val="16"/>
                <w:szCs w:val="16"/>
              </w:rPr>
            </w:pPr>
          </w:p>
        </w:tc>
      </w:tr>
      <w:tr w:rsidR="001B3314" w:rsidRPr="00206845" w14:paraId="574B46F0" w14:textId="77777777" w:rsidTr="00737954">
        <w:trPr>
          <w:cantSplit/>
          <w:trHeight w:val="227"/>
          <w:jc w:val="center"/>
        </w:trPr>
        <w:tc>
          <w:tcPr>
            <w:tcW w:w="3072" w:type="dxa"/>
            <w:shd w:val="clear" w:color="000000" w:fill="FFFFFF"/>
            <w:vAlign w:val="center"/>
            <w:hideMark/>
          </w:tcPr>
          <w:p w14:paraId="63FDE590" w14:textId="77777777" w:rsidR="008178E9" w:rsidRPr="00206845" w:rsidRDefault="008178E9" w:rsidP="00A02D1C">
            <w:pPr>
              <w:spacing w:after="0" w:line="276" w:lineRule="auto"/>
              <w:jc w:val="left"/>
              <w:rPr>
                <w:rFonts w:cs="Arial"/>
                <w:sz w:val="16"/>
                <w:szCs w:val="16"/>
              </w:rPr>
            </w:pPr>
            <w:r w:rsidRPr="00206845">
              <w:rPr>
                <w:rFonts w:cs="Arial"/>
                <w:sz w:val="16"/>
                <w:szCs w:val="16"/>
              </w:rPr>
              <w:t>Νότιο Αφάντου</w:t>
            </w:r>
          </w:p>
        </w:tc>
        <w:tc>
          <w:tcPr>
            <w:tcW w:w="749" w:type="dxa"/>
            <w:shd w:val="clear" w:color="auto" w:fill="auto"/>
            <w:noWrap/>
            <w:vAlign w:val="center"/>
            <w:hideMark/>
          </w:tcPr>
          <w:p w14:paraId="1E5CA8BF" w14:textId="060CB9BD"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hideMark/>
          </w:tcPr>
          <w:p w14:paraId="63C25C49" w14:textId="3AC8C6E3"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hideMark/>
          </w:tcPr>
          <w:p w14:paraId="325B3F80" w14:textId="55053FD5" w:rsidR="008178E9" w:rsidRPr="00206845" w:rsidRDefault="008178E9" w:rsidP="001B3314">
            <w:pPr>
              <w:spacing w:after="0" w:line="276" w:lineRule="auto"/>
              <w:jc w:val="right"/>
              <w:rPr>
                <w:rFonts w:cs="Arial"/>
                <w:sz w:val="16"/>
                <w:szCs w:val="16"/>
              </w:rPr>
            </w:pPr>
          </w:p>
        </w:tc>
        <w:tc>
          <w:tcPr>
            <w:tcW w:w="852" w:type="dxa"/>
            <w:shd w:val="clear" w:color="auto" w:fill="auto"/>
            <w:noWrap/>
            <w:vAlign w:val="center"/>
            <w:hideMark/>
          </w:tcPr>
          <w:p w14:paraId="719FE950" w14:textId="3C92A931"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1EC69DC5" w14:textId="5BFB7D98" w:rsidR="008178E9" w:rsidRPr="00206845" w:rsidRDefault="008178E9" w:rsidP="001B3314">
            <w:pPr>
              <w:spacing w:after="0" w:line="276" w:lineRule="auto"/>
              <w:jc w:val="right"/>
              <w:rPr>
                <w:rFonts w:cs="Arial"/>
                <w:sz w:val="16"/>
                <w:szCs w:val="16"/>
              </w:rPr>
            </w:pPr>
          </w:p>
        </w:tc>
        <w:tc>
          <w:tcPr>
            <w:tcW w:w="851" w:type="dxa"/>
            <w:shd w:val="clear" w:color="auto" w:fill="auto"/>
            <w:noWrap/>
            <w:vAlign w:val="center"/>
            <w:hideMark/>
          </w:tcPr>
          <w:p w14:paraId="449F6436" w14:textId="5BC1AD39"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31D436B2" w14:textId="7723B3A1"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354324A7" w14:textId="6351A5BA"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hideMark/>
          </w:tcPr>
          <w:p w14:paraId="6BE1FA46" w14:textId="5531899A" w:rsidR="008178E9" w:rsidRPr="00206845" w:rsidRDefault="008178E9" w:rsidP="001B3314">
            <w:pPr>
              <w:spacing w:after="0" w:line="276" w:lineRule="auto"/>
              <w:jc w:val="right"/>
              <w:rPr>
                <w:rFonts w:cs="Arial"/>
                <w:sz w:val="16"/>
                <w:szCs w:val="16"/>
              </w:rPr>
            </w:pPr>
          </w:p>
        </w:tc>
      </w:tr>
      <w:tr w:rsidR="001B3314" w:rsidRPr="00206845" w14:paraId="2D7A6770" w14:textId="77777777" w:rsidTr="00737954">
        <w:trPr>
          <w:cantSplit/>
          <w:trHeight w:val="227"/>
          <w:jc w:val="center"/>
        </w:trPr>
        <w:tc>
          <w:tcPr>
            <w:tcW w:w="3072" w:type="dxa"/>
            <w:shd w:val="clear" w:color="000000" w:fill="FFFFFF"/>
            <w:vAlign w:val="center"/>
            <w:hideMark/>
          </w:tcPr>
          <w:p w14:paraId="7DED5A99" w14:textId="77777777" w:rsidR="008178E9" w:rsidRPr="00206845" w:rsidRDefault="008178E9" w:rsidP="00A02D1C">
            <w:pPr>
              <w:spacing w:after="0" w:line="276" w:lineRule="auto"/>
              <w:jc w:val="left"/>
              <w:rPr>
                <w:rFonts w:cs="Arial"/>
                <w:sz w:val="16"/>
                <w:szCs w:val="16"/>
              </w:rPr>
            </w:pPr>
            <w:r w:rsidRPr="00206845">
              <w:rPr>
                <w:rFonts w:cs="Arial"/>
                <w:sz w:val="16"/>
                <w:szCs w:val="16"/>
              </w:rPr>
              <w:t>Βόρειο Αφάντου</w:t>
            </w:r>
          </w:p>
        </w:tc>
        <w:tc>
          <w:tcPr>
            <w:tcW w:w="749" w:type="dxa"/>
            <w:shd w:val="clear" w:color="auto" w:fill="auto"/>
            <w:noWrap/>
            <w:vAlign w:val="center"/>
            <w:hideMark/>
          </w:tcPr>
          <w:p w14:paraId="15B991A0" w14:textId="77777777" w:rsidR="008178E9" w:rsidRPr="00206845" w:rsidRDefault="008178E9" w:rsidP="001B3314">
            <w:pPr>
              <w:spacing w:after="0" w:line="276" w:lineRule="auto"/>
              <w:jc w:val="right"/>
              <w:rPr>
                <w:rFonts w:cs="Arial"/>
                <w:sz w:val="16"/>
                <w:szCs w:val="16"/>
              </w:rPr>
            </w:pPr>
            <w:r w:rsidRPr="00206845">
              <w:rPr>
                <w:rFonts w:cs="Arial"/>
                <w:sz w:val="16"/>
                <w:szCs w:val="16"/>
              </w:rPr>
              <w:t>27,10</w:t>
            </w:r>
          </w:p>
        </w:tc>
        <w:tc>
          <w:tcPr>
            <w:tcW w:w="847" w:type="dxa"/>
            <w:shd w:val="clear" w:color="auto" w:fill="auto"/>
            <w:noWrap/>
            <w:vAlign w:val="center"/>
            <w:hideMark/>
          </w:tcPr>
          <w:p w14:paraId="0B146C4A" w14:textId="4382D4B2"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hideMark/>
          </w:tcPr>
          <w:p w14:paraId="298AF919" w14:textId="456EB5B4" w:rsidR="008178E9" w:rsidRPr="00206845" w:rsidRDefault="008178E9" w:rsidP="001B3314">
            <w:pPr>
              <w:spacing w:after="0" w:line="276" w:lineRule="auto"/>
              <w:jc w:val="right"/>
              <w:rPr>
                <w:rFonts w:cs="Arial"/>
                <w:sz w:val="16"/>
                <w:szCs w:val="16"/>
              </w:rPr>
            </w:pPr>
          </w:p>
        </w:tc>
        <w:tc>
          <w:tcPr>
            <w:tcW w:w="852" w:type="dxa"/>
            <w:shd w:val="clear" w:color="auto" w:fill="auto"/>
            <w:noWrap/>
            <w:vAlign w:val="center"/>
            <w:hideMark/>
          </w:tcPr>
          <w:p w14:paraId="5382FFFC" w14:textId="61719AD6"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63A34075" w14:textId="5A0E06E9" w:rsidR="008178E9" w:rsidRPr="00206845" w:rsidRDefault="008178E9" w:rsidP="001B3314">
            <w:pPr>
              <w:spacing w:after="0" w:line="276" w:lineRule="auto"/>
              <w:jc w:val="right"/>
              <w:rPr>
                <w:rFonts w:cs="Arial"/>
                <w:sz w:val="16"/>
                <w:szCs w:val="16"/>
              </w:rPr>
            </w:pPr>
          </w:p>
        </w:tc>
        <w:tc>
          <w:tcPr>
            <w:tcW w:w="851" w:type="dxa"/>
            <w:shd w:val="clear" w:color="auto" w:fill="auto"/>
            <w:noWrap/>
            <w:vAlign w:val="center"/>
            <w:hideMark/>
          </w:tcPr>
          <w:p w14:paraId="08ECC783" w14:textId="301F42DE"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7EAE9B7E" w14:textId="2FAF2C7D"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0B9025BD" w14:textId="4E4FB7E5"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hideMark/>
          </w:tcPr>
          <w:p w14:paraId="34048BF8" w14:textId="6878BE8C" w:rsidR="008178E9" w:rsidRPr="00206845" w:rsidRDefault="008178E9" w:rsidP="001B3314">
            <w:pPr>
              <w:spacing w:after="0" w:line="276" w:lineRule="auto"/>
              <w:jc w:val="right"/>
              <w:rPr>
                <w:rFonts w:cs="Arial"/>
                <w:sz w:val="16"/>
                <w:szCs w:val="16"/>
              </w:rPr>
            </w:pPr>
          </w:p>
        </w:tc>
      </w:tr>
      <w:tr w:rsidR="001B3314" w:rsidRPr="00206845" w14:paraId="24461954" w14:textId="77777777" w:rsidTr="00737954">
        <w:trPr>
          <w:cantSplit/>
          <w:trHeight w:val="227"/>
          <w:jc w:val="center"/>
        </w:trPr>
        <w:tc>
          <w:tcPr>
            <w:tcW w:w="3072" w:type="dxa"/>
            <w:shd w:val="clear" w:color="000000" w:fill="FFFFFF"/>
            <w:vAlign w:val="center"/>
            <w:hideMark/>
          </w:tcPr>
          <w:p w14:paraId="4BDEEBF5" w14:textId="77777777" w:rsidR="008178E9" w:rsidRPr="00206845" w:rsidRDefault="008178E9" w:rsidP="00A02D1C">
            <w:pPr>
              <w:spacing w:after="0" w:line="276" w:lineRule="auto"/>
              <w:jc w:val="left"/>
              <w:rPr>
                <w:rFonts w:cs="Arial"/>
                <w:sz w:val="16"/>
                <w:szCs w:val="16"/>
              </w:rPr>
            </w:pPr>
            <w:r w:rsidRPr="00206845">
              <w:rPr>
                <w:rFonts w:cs="Arial"/>
                <w:sz w:val="16"/>
                <w:szCs w:val="16"/>
              </w:rPr>
              <w:t>Ελληνικό</w:t>
            </w:r>
          </w:p>
        </w:tc>
        <w:tc>
          <w:tcPr>
            <w:tcW w:w="749" w:type="dxa"/>
            <w:shd w:val="clear" w:color="auto" w:fill="auto"/>
            <w:noWrap/>
            <w:vAlign w:val="center"/>
            <w:hideMark/>
          </w:tcPr>
          <w:p w14:paraId="420EFFA7" w14:textId="77777777" w:rsidR="008178E9" w:rsidRPr="00206845" w:rsidRDefault="008178E9" w:rsidP="001B3314">
            <w:pPr>
              <w:spacing w:after="0" w:line="276" w:lineRule="auto"/>
              <w:jc w:val="right"/>
              <w:rPr>
                <w:rFonts w:cs="Arial"/>
                <w:sz w:val="16"/>
                <w:szCs w:val="16"/>
              </w:rPr>
            </w:pPr>
            <w:r w:rsidRPr="00206845">
              <w:rPr>
                <w:rFonts w:cs="Arial"/>
                <w:sz w:val="16"/>
                <w:szCs w:val="16"/>
              </w:rPr>
              <w:t>300,00</w:t>
            </w:r>
          </w:p>
        </w:tc>
        <w:tc>
          <w:tcPr>
            <w:tcW w:w="847" w:type="dxa"/>
            <w:shd w:val="clear" w:color="auto" w:fill="auto"/>
            <w:noWrap/>
            <w:vAlign w:val="center"/>
            <w:hideMark/>
          </w:tcPr>
          <w:p w14:paraId="547287DA" w14:textId="0D268F87"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hideMark/>
          </w:tcPr>
          <w:p w14:paraId="48D29C66" w14:textId="77777777" w:rsidR="008178E9" w:rsidRPr="00206845" w:rsidRDefault="008178E9" w:rsidP="001B3314">
            <w:pPr>
              <w:spacing w:after="0" w:line="276" w:lineRule="auto"/>
              <w:jc w:val="right"/>
              <w:rPr>
                <w:rFonts w:cs="Arial"/>
                <w:sz w:val="16"/>
                <w:szCs w:val="16"/>
              </w:rPr>
            </w:pPr>
            <w:r w:rsidRPr="00206845">
              <w:rPr>
                <w:rFonts w:cs="Arial"/>
                <w:sz w:val="16"/>
                <w:szCs w:val="16"/>
              </w:rPr>
              <w:t>166,70</w:t>
            </w:r>
          </w:p>
        </w:tc>
        <w:tc>
          <w:tcPr>
            <w:tcW w:w="852" w:type="dxa"/>
            <w:shd w:val="clear" w:color="auto" w:fill="auto"/>
            <w:noWrap/>
            <w:vAlign w:val="center"/>
            <w:hideMark/>
          </w:tcPr>
          <w:p w14:paraId="52C6C59A" w14:textId="5E4DDC02"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2E9788E7" w14:textId="672BF88D" w:rsidR="008178E9" w:rsidRPr="00206845" w:rsidRDefault="008178E9" w:rsidP="001B3314">
            <w:pPr>
              <w:spacing w:after="0" w:line="276" w:lineRule="auto"/>
              <w:jc w:val="right"/>
              <w:rPr>
                <w:rFonts w:cs="Arial"/>
                <w:sz w:val="16"/>
                <w:szCs w:val="16"/>
              </w:rPr>
            </w:pPr>
          </w:p>
        </w:tc>
        <w:tc>
          <w:tcPr>
            <w:tcW w:w="851" w:type="dxa"/>
            <w:shd w:val="clear" w:color="auto" w:fill="auto"/>
            <w:noWrap/>
            <w:vAlign w:val="center"/>
            <w:hideMark/>
          </w:tcPr>
          <w:p w14:paraId="066BC53C" w14:textId="3A550C5A"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6F7A54ED" w14:textId="77777777" w:rsidR="008178E9" w:rsidRPr="00206845" w:rsidRDefault="008178E9" w:rsidP="001B3314">
            <w:pPr>
              <w:spacing w:after="0" w:line="276" w:lineRule="auto"/>
              <w:jc w:val="right"/>
              <w:rPr>
                <w:rFonts w:cs="Arial"/>
                <w:sz w:val="16"/>
                <w:szCs w:val="16"/>
              </w:rPr>
            </w:pPr>
            <w:r w:rsidRPr="00206845">
              <w:rPr>
                <w:rFonts w:cs="Arial"/>
                <w:sz w:val="16"/>
                <w:szCs w:val="16"/>
              </w:rPr>
              <w:t>8,35</w:t>
            </w:r>
          </w:p>
        </w:tc>
        <w:tc>
          <w:tcPr>
            <w:tcW w:w="992" w:type="dxa"/>
            <w:shd w:val="clear" w:color="auto" w:fill="auto"/>
            <w:noWrap/>
            <w:vAlign w:val="center"/>
            <w:hideMark/>
          </w:tcPr>
          <w:p w14:paraId="431908E6" w14:textId="77777777" w:rsidR="008178E9" w:rsidRPr="00206845" w:rsidRDefault="008178E9" w:rsidP="001B3314">
            <w:pPr>
              <w:spacing w:after="0" w:line="276" w:lineRule="auto"/>
              <w:jc w:val="right"/>
              <w:rPr>
                <w:rFonts w:cs="Arial"/>
                <w:sz w:val="16"/>
                <w:szCs w:val="16"/>
              </w:rPr>
            </w:pPr>
            <w:r w:rsidRPr="00206845">
              <w:rPr>
                <w:rFonts w:cs="Arial"/>
                <w:sz w:val="16"/>
                <w:szCs w:val="16"/>
              </w:rPr>
              <w:t>220,00</w:t>
            </w:r>
          </w:p>
        </w:tc>
        <w:tc>
          <w:tcPr>
            <w:tcW w:w="993" w:type="dxa"/>
            <w:shd w:val="clear" w:color="auto" w:fill="auto"/>
            <w:noWrap/>
            <w:vAlign w:val="center"/>
            <w:hideMark/>
          </w:tcPr>
          <w:p w14:paraId="327742B0" w14:textId="7B32E662" w:rsidR="008178E9" w:rsidRPr="00206845" w:rsidRDefault="008178E9" w:rsidP="001B3314">
            <w:pPr>
              <w:spacing w:after="0" w:line="276" w:lineRule="auto"/>
              <w:jc w:val="right"/>
              <w:rPr>
                <w:rFonts w:cs="Arial"/>
                <w:sz w:val="16"/>
                <w:szCs w:val="16"/>
              </w:rPr>
            </w:pPr>
          </w:p>
        </w:tc>
      </w:tr>
      <w:tr w:rsidR="001B3314" w:rsidRPr="00206845" w14:paraId="4D172310" w14:textId="77777777" w:rsidTr="00737954">
        <w:trPr>
          <w:cantSplit/>
          <w:trHeight w:val="227"/>
          <w:jc w:val="center"/>
        </w:trPr>
        <w:tc>
          <w:tcPr>
            <w:tcW w:w="3072" w:type="dxa"/>
            <w:shd w:val="clear" w:color="000000" w:fill="FFFFFF"/>
            <w:vAlign w:val="center"/>
            <w:hideMark/>
          </w:tcPr>
          <w:p w14:paraId="3046789E" w14:textId="48682EC7" w:rsidR="008178E9" w:rsidRPr="00206845" w:rsidRDefault="008178E9" w:rsidP="00A02D1C">
            <w:pPr>
              <w:spacing w:after="0" w:line="276" w:lineRule="auto"/>
              <w:jc w:val="left"/>
              <w:rPr>
                <w:rFonts w:cs="Arial"/>
                <w:sz w:val="16"/>
                <w:szCs w:val="16"/>
              </w:rPr>
            </w:pPr>
            <w:r w:rsidRPr="00206845">
              <w:rPr>
                <w:rFonts w:cs="Arial"/>
                <w:sz w:val="16"/>
                <w:szCs w:val="16"/>
              </w:rPr>
              <w:t>Αγορά Μοδιάνο</w:t>
            </w:r>
            <w:r w:rsidR="008F5C7F">
              <w:rPr>
                <w:rFonts w:cs="Arial"/>
                <w:sz w:val="16"/>
                <w:szCs w:val="16"/>
              </w:rPr>
              <w:t xml:space="preserve">, </w:t>
            </w:r>
            <w:r w:rsidRPr="00206845">
              <w:rPr>
                <w:rFonts w:cs="Arial"/>
                <w:sz w:val="16"/>
                <w:szCs w:val="16"/>
              </w:rPr>
              <w:t>Θεσσαλονίκη</w:t>
            </w:r>
          </w:p>
        </w:tc>
        <w:tc>
          <w:tcPr>
            <w:tcW w:w="749" w:type="dxa"/>
            <w:shd w:val="clear" w:color="auto" w:fill="auto"/>
            <w:noWrap/>
            <w:vAlign w:val="center"/>
            <w:hideMark/>
          </w:tcPr>
          <w:p w14:paraId="1A8E1BB8" w14:textId="77777777" w:rsidR="008178E9" w:rsidRPr="00206845" w:rsidRDefault="008178E9" w:rsidP="001B3314">
            <w:pPr>
              <w:spacing w:after="0" w:line="276" w:lineRule="auto"/>
              <w:jc w:val="right"/>
              <w:rPr>
                <w:rFonts w:cs="Arial"/>
                <w:sz w:val="16"/>
                <w:szCs w:val="16"/>
              </w:rPr>
            </w:pPr>
            <w:r w:rsidRPr="00206845">
              <w:rPr>
                <w:rFonts w:cs="Arial"/>
                <w:sz w:val="16"/>
                <w:szCs w:val="16"/>
              </w:rPr>
              <w:t>0,38</w:t>
            </w:r>
          </w:p>
        </w:tc>
        <w:tc>
          <w:tcPr>
            <w:tcW w:w="847" w:type="dxa"/>
            <w:shd w:val="clear" w:color="auto" w:fill="auto"/>
            <w:noWrap/>
            <w:vAlign w:val="center"/>
            <w:hideMark/>
          </w:tcPr>
          <w:p w14:paraId="58CA1EE9" w14:textId="77777777" w:rsidR="008178E9" w:rsidRPr="00206845" w:rsidRDefault="008178E9" w:rsidP="001B3314">
            <w:pPr>
              <w:spacing w:after="0" w:line="276" w:lineRule="auto"/>
              <w:jc w:val="right"/>
              <w:rPr>
                <w:rFonts w:cs="Arial"/>
                <w:sz w:val="16"/>
                <w:szCs w:val="16"/>
              </w:rPr>
            </w:pPr>
            <w:r w:rsidRPr="00206845">
              <w:rPr>
                <w:rFonts w:cs="Arial"/>
                <w:sz w:val="16"/>
                <w:szCs w:val="16"/>
              </w:rPr>
              <w:t>0,38</w:t>
            </w:r>
          </w:p>
        </w:tc>
        <w:tc>
          <w:tcPr>
            <w:tcW w:w="849" w:type="dxa"/>
            <w:shd w:val="clear" w:color="auto" w:fill="auto"/>
            <w:noWrap/>
            <w:vAlign w:val="center"/>
            <w:hideMark/>
          </w:tcPr>
          <w:p w14:paraId="5D10ABE8" w14:textId="77777777" w:rsidR="008178E9" w:rsidRPr="00206845" w:rsidRDefault="008178E9" w:rsidP="001B3314">
            <w:pPr>
              <w:spacing w:after="0" w:line="276" w:lineRule="auto"/>
              <w:jc w:val="right"/>
              <w:rPr>
                <w:rFonts w:cs="Arial"/>
                <w:sz w:val="16"/>
                <w:szCs w:val="16"/>
              </w:rPr>
            </w:pPr>
            <w:r w:rsidRPr="00206845">
              <w:rPr>
                <w:rFonts w:cs="Arial"/>
                <w:sz w:val="16"/>
                <w:szCs w:val="16"/>
              </w:rPr>
              <w:t>0,38</w:t>
            </w:r>
          </w:p>
        </w:tc>
        <w:tc>
          <w:tcPr>
            <w:tcW w:w="852" w:type="dxa"/>
            <w:shd w:val="clear" w:color="auto" w:fill="auto"/>
            <w:noWrap/>
            <w:vAlign w:val="center"/>
            <w:hideMark/>
          </w:tcPr>
          <w:p w14:paraId="639FC642" w14:textId="6BFE1184"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0385D029" w14:textId="1CEB263F" w:rsidR="008178E9" w:rsidRPr="00206845" w:rsidRDefault="008178E9" w:rsidP="001B3314">
            <w:pPr>
              <w:spacing w:after="0" w:line="276" w:lineRule="auto"/>
              <w:jc w:val="right"/>
              <w:rPr>
                <w:rFonts w:cs="Arial"/>
                <w:sz w:val="16"/>
                <w:szCs w:val="16"/>
              </w:rPr>
            </w:pPr>
          </w:p>
        </w:tc>
        <w:tc>
          <w:tcPr>
            <w:tcW w:w="851" w:type="dxa"/>
            <w:shd w:val="clear" w:color="auto" w:fill="auto"/>
            <w:noWrap/>
            <w:vAlign w:val="center"/>
            <w:hideMark/>
          </w:tcPr>
          <w:p w14:paraId="3F8F63E0" w14:textId="6BC79A08"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7AF75DF1" w14:textId="6E4A7AC5"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7EDBD105" w14:textId="634EB889"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hideMark/>
          </w:tcPr>
          <w:p w14:paraId="51EEB15D" w14:textId="6ABD4286" w:rsidR="008178E9" w:rsidRPr="00206845" w:rsidRDefault="008178E9" w:rsidP="001B3314">
            <w:pPr>
              <w:spacing w:after="0" w:line="276" w:lineRule="auto"/>
              <w:jc w:val="right"/>
              <w:rPr>
                <w:rFonts w:cs="Arial"/>
                <w:sz w:val="16"/>
                <w:szCs w:val="16"/>
              </w:rPr>
            </w:pPr>
          </w:p>
        </w:tc>
      </w:tr>
      <w:tr w:rsidR="001B3314" w:rsidRPr="00206845" w14:paraId="2069D6C1" w14:textId="77777777" w:rsidTr="00737954">
        <w:trPr>
          <w:cantSplit/>
          <w:trHeight w:val="227"/>
          <w:jc w:val="center"/>
        </w:trPr>
        <w:tc>
          <w:tcPr>
            <w:tcW w:w="3072" w:type="dxa"/>
            <w:shd w:val="clear" w:color="000000" w:fill="FFFFFF"/>
            <w:vAlign w:val="center"/>
            <w:hideMark/>
          </w:tcPr>
          <w:p w14:paraId="0BA8F455" w14:textId="77777777" w:rsidR="008178E9" w:rsidRPr="00206845" w:rsidRDefault="008178E9" w:rsidP="00A02D1C">
            <w:pPr>
              <w:spacing w:after="0" w:line="276" w:lineRule="auto"/>
              <w:jc w:val="left"/>
              <w:rPr>
                <w:rFonts w:cs="Arial"/>
                <w:sz w:val="16"/>
                <w:szCs w:val="16"/>
              </w:rPr>
            </w:pPr>
            <w:r w:rsidRPr="00206845">
              <w:rPr>
                <w:rFonts w:cs="Arial"/>
                <w:sz w:val="16"/>
                <w:szCs w:val="16"/>
              </w:rPr>
              <w:t>Castello Bibelli</w:t>
            </w:r>
          </w:p>
        </w:tc>
        <w:tc>
          <w:tcPr>
            <w:tcW w:w="749" w:type="dxa"/>
            <w:shd w:val="clear" w:color="auto" w:fill="auto"/>
            <w:noWrap/>
            <w:vAlign w:val="center"/>
            <w:hideMark/>
          </w:tcPr>
          <w:p w14:paraId="6BB21A59" w14:textId="77777777" w:rsidR="008178E9" w:rsidRPr="00206845" w:rsidRDefault="008178E9" w:rsidP="001B3314">
            <w:pPr>
              <w:spacing w:after="0" w:line="276" w:lineRule="auto"/>
              <w:jc w:val="right"/>
              <w:rPr>
                <w:rFonts w:cs="Arial"/>
                <w:sz w:val="16"/>
                <w:szCs w:val="16"/>
              </w:rPr>
            </w:pPr>
            <w:r w:rsidRPr="00206845">
              <w:rPr>
                <w:rFonts w:cs="Arial"/>
                <w:sz w:val="16"/>
                <w:szCs w:val="16"/>
              </w:rPr>
              <w:t>1,60</w:t>
            </w:r>
          </w:p>
        </w:tc>
        <w:tc>
          <w:tcPr>
            <w:tcW w:w="847" w:type="dxa"/>
            <w:shd w:val="clear" w:color="auto" w:fill="auto"/>
            <w:noWrap/>
            <w:vAlign w:val="center"/>
            <w:hideMark/>
          </w:tcPr>
          <w:p w14:paraId="2AA9AE63" w14:textId="77777777" w:rsidR="008178E9" w:rsidRPr="00206845" w:rsidRDefault="008178E9" w:rsidP="001B3314">
            <w:pPr>
              <w:spacing w:after="0" w:line="276" w:lineRule="auto"/>
              <w:jc w:val="right"/>
              <w:rPr>
                <w:rFonts w:cs="Arial"/>
                <w:sz w:val="16"/>
                <w:szCs w:val="16"/>
              </w:rPr>
            </w:pPr>
            <w:r w:rsidRPr="00206845">
              <w:rPr>
                <w:rFonts w:cs="Arial"/>
                <w:sz w:val="16"/>
                <w:szCs w:val="16"/>
              </w:rPr>
              <w:t>0,80</w:t>
            </w:r>
          </w:p>
        </w:tc>
        <w:tc>
          <w:tcPr>
            <w:tcW w:w="849" w:type="dxa"/>
            <w:shd w:val="clear" w:color="auto" w:fill="auto"/>
            <w:noWrap/>
            <w:vAlign w:val="center"/>
            <w:hideMark/>
          </w:tcPr>
          <w:p w14:paraId="4A93CEBA" w14:textId="77777777" w:rsidR="008178E9" w:rsidRPr="00206845" w:rsidRDefault="008178E9" w:rsidP="001B3314">
            <w:pPr>
              <w:spacing w:after="0" w:line="276" w:lineRule="auto"/>
              <w:jc w:val="right"/>
              <w:rPr>
                <w:rFonts w:cs="Arial"/>
                <w:sz w:val="16"/>
                <w:szCs w:val="16"/>
              </w:rPr>
            </w:pPr>
            <w:r w:rsidRPr="00206845">
              <w:rPr>
                <w:rFonts w:cs="Arial"/>
                <w:sz w:val="16"/>
                <w:szCs w:val="16"/>
              </w:rPr>
              <w:t>1,00</w:t>
            </w:r>
          </w:p>
        </w:tc>
        <w:tc>
          <w:tcPr>
            <w:tcW w:w="852" w:type="dxa"/>
            <w:shd w:val="clear" w:color="auto" w:fill="auto"/>
            <w:noWrap/>
            <w:vAlign w:val="center"/>
            <w:hideMark/>
          </w:tcPr>
          <w:p w14:paraId="236E8958" w14:textId="0CF2D829"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6297AB4A" w14:textId="0426FD62" w:rsidR="008178E9" w:rsidRPr="00206845" w:rsidRDefault="008178E9" w:rsidP="001B3314">
            <w:pPr>
              <w:spacing w:after="0" w:line="276" w:lineRule="auto"/>
              <w:jc w:val="right"/>
              <w:rPr>
                <w:rFonts w:cs="Arial"/>
                <w:sz w:val="16"/>
                <w:szCs w:val="16"/>
              </w:rPr>
            </w:pPr>
          </w:p>
        </w:tc>
        <w:tc>
          <w:tcPr>
            <w:tcW w:w="851" w:type="dxa"/>
            <w:shd w:val="clear" w:color="auto" w:fill="auto"/>
            <w:noWrap/>
            <w:vAlign w:val="center"/>
            <w:hideMark/>
          </w:tcPr>
          <w:p w14:paraId="6F932A2B" w14:textId="636D0DBB"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7BC5B039" w14:textId="3A54BCB8"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6A067D9B" w14:textId="5E0A52A2"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hideMark/>
          </w:tcPr>
          <w:p w14:paraId="160D89BD" w14:textId="79ADF182" w:rsidR="008178E9" w:rsidRPr="00206845" w:rsidRDefault="008178E9" w:rsidP="001B3314">
            <w:pPr>
              <w:spacing w:after="0" w:line="276" w:lineRule="auto"/>
              <w:jc w:val="right"/>
              <w:rPr>
                <w:rFonts w:cs="Arial"/>
                <w:sz w:val="16"/>
                <w:szCs w:val="16"/>
              </w:rPr>
            </w:pPr>
          </w:p>
        </w:tc>
      </w:tr>
      <w:tr w:rsidR="001B3314" w:rsidRPr="00206845" w14:paraId="56A39496" w14:textId="77777777" w:rsidTr="00737954">
        <w:trPr>
          <w:cantSplit/>
          <w:trHeight w:val="227"/>
          <w:jc w:val="center"/>
        </w:trPr>
        <w:tc>
          <w:tcPr>
            <w:tcW w:w="3072" w:type="dxa"/>
            <w:shd w:val="clear" w:color="000000" w:fill="FFFFFF"/>
            <w:vAlign w:val="center"/>
            <w:hideMark/>
          </w:tcPr>
          <w:p w14:paraId="17605B58" w14:textId="77777777" w:rsidR="008178E9" w:rsidRPr="00206845" w:rsidRDefault="008178E9" w:rsidP="00A02D1C">
            <w:pPr>
              <w:spacing w:after="0" w:line="276" w:lineRule="auto"/>
              <w:jc w:val="left"/>
              <w:rPr>
                <w:rFonts w:cs="Arial"/>
                <w:sz w:val="16"/>
                <w:szCs w:val="16"/>
              </w:rPr>
            </w:pPr>
            <w:r w:rsidRPr="00206845">
              <w:rPr>
                <w:rFonts w:cs="Arial"/>
                <w:sz w:val="16"/>
                <w:szCs w:val="16"/>
              </w:rPr>
              <w:t>Ταύρος</w:t>
            </w:r>
          </w:p>
        </w:tc>
        <w:tc>
          <w:tcPr>
            <w:tcW w:w="749" w:type="dxa"/>
            <w:shd w:val="clear" w:color="auto" w:fill="auto"/>
            <w:noWrap/>
            <w:vAlign w:val="center"/>
            <w:hideMark/>
          </w:tcPr>
          <w:p w14:paraId="669CFF68" w14:textId="313E36CB"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hideMark/>
          </w:tcPr>
          <w:p w14:paraId="2FFF1AB7" w14:textId="1B5CDFDF"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hideMark/>
          </w:tcPr>
          <w:p w14:paraId="68B0A177" w14:textId="433DA6BD" w:rsidR="008178E9" w:rsidRPr="00206845" w:rsidRDefault="008178E9" w:rsidP="001B3314">
            <w:pPr>
              <w:spacing w:after="0" w:line="276" w:lineRule="auto"/>
              <w:jc w:val="right"/>
              <w:rPr>
                <w:rFonts w:cs="Arial"/>
                <w:sz w:val="16"/>
                <w:szCs w:val="16"/>
              </w:rPr>
            </w:pPr>
          </w:p>
        </w:tc>
        <w:tc>
          <w:tcPr>
            <w:tcW w:w="852" w:type="dxa"/>
            <w:shd w:val="clear" w:color="auto" w:fill="auto"/>
            <w:noWrap/>
            <w:vAlign w:val="center"/>
            <w:hideMark/>
          </w:tcPr>
          <w:p w14:paraId="5B2F3AE7" w14:textId="77777777" w:rsidR="008178E9" w:rsidRPr="00206845" w:rsidRDefault="008178E9" w:rsidP="001B3314">
            <w:pPr>
              <w:spacing w:after="0" w:line="276" w:lineRule="auto"/>
              <w:jc w:val="right"/>
              <w:rPr>
                <w:rFonts w:cs="Arial"/>
                <w:sz w:val="16"/>
                <w:szCs w:val="16"/>
              </w:rPr>
            </w:pPr>
            <w:r w:rsidRPr="00206845">
              <w:rPr>
                <w:rFonts w:cs="Arial"/>
                <w:sz w:val="16"/>
                <w:szCs w:val="16"/>
              </w:rPr>
              <w:t>0,40</w:t>
            </w:r>
          </w:p>
        </w:tc>
        <w:tc>
          <w:tcPr>
            <w:tcW w:w="1141" w:type="dxa"/>
            <w:shd w:val="clear" w:color="auto" w:fill="auto"/>
            <w:noWrap/>
            <w:vAlign w:val="center"/>
            <w:hideMark/>
          </w:tcPr>
          <w:p w14:paraId="3DF3A69B" w14:textId="66D33872" w:rsidR="008178E9" w:rsidRPr="00206845" w:rsidRDefault="008178E9" w:rsidP="001B3314">
            <w:pPr>
              <w:spacing w:after="0" w:line="276" w:lineRule="auto"/>
              <w:jc w:val="right"/>
              <w:rPr>
                <w:rFonts w:cs="Arial"/>
                <w:sz w:val="16"/>
                <w:szCs w:val="16"/>
              </w:rPr>
            </w:pPr>
          </w:p>
        </w:tc>
        <w:tc>
          <w:tcPr>
            <w:tcW w:w="851" w:type="dxa"/>
            <w:shd w:val="clear" w:color="auto" w:fill="auto"/>
            <w:noWrap/>
            <w:vAlign w:val="center"/>
            <w:hideMark/>
          </w:tcPr>
          <w:p w14:paraId="474B575C" w14:textId="69B49D44"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3063301A" w14:textId="5FD8C113"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68391A74" w14:textId="4D10FC26"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hideMark/>
          </w:tcPr>
          <w:p w14:paraId="71B8B924" w14:textId="2116F879" w:rsidR="008178E9" w:rsidRPr="00206845" w:rsidRDefault="008178E9" w:rsidP="001B3314">
            <w:pPr>
              <w:spacing w:after="0" w:line="276" w:lineRule="auto"/>
              <w:jc w:val="right"/>
              <w:rPr>
                <w:rFonts w:cs="Arial"/>
                <w:sz w:val="16"/>
                <w:szCs w:val="16"/>
              </w:rPr>
            </w:pPr>
          </w:p>
        </w:tc>
      </w:tr>
      <w:tr w:rsidR="001B3314" w:rsidRPr="00206845" w14:paraId="467AD993" w14:textId="77777777" w:rsidTr="00737954">
        <w:trPr>
          <w:cantSplit/>
          <w:trHeight w:val="227"/>
          <w:jc w:val="center"/>
        </w:trPr>
        <w:tc>
          <w:tcPr>
            <w:tcW w:w="3072" w:type="dxa"/>
            <w:shd w:val="clear" w:color="000000" w:fill="FFFFFF"/>
            <w:vAlign w:val="center"/>
            <w:hideMark/>
          </w:tcPr>
          <w:p w14:paraId="5C8817BB" w14:textId="77777777" w:rsidR="008178E9" w:rsidRPr="00206845" w:rsidRDefault="008178E9" w:rsidP="00A02D1C">
            <w:pPr>
              <w:spacing w:after="0" w:line="276" w:lineRule="auto"/>
              <w:jc w:val="left"/>
              <w:rPr>
                <w:rFonts w:cs="Arial"/>
                <w:sz w:val="16"/>
                <w:szCs w:val="16"/>
              </w:rPr>
            </w:pPr>
            <w:r w:rsidRPr="00206845">
              <w:rPr>
                <w:rFonts w:cs="Arial"/>
                <w:sz w:val="16"/>
                <w:szCs w:val="16"/>
              </w:rPr>
              <w:t>Γούρνες Ηρακλείου</w:t>
            </w:r>
          </w:p>
        </w:tc>
        <w:tc>
          <w:tcPr>
            <w:tcW w:w="749" w:type="dxa"/>
            <w:shd w:val="clear" w:color="auto" w:fill="auto"/>
            <w:noWrap/>
            <w:vAlign w:val="center"/>
          </w:tcPr>
          <w:p w14:paraId="6C034795" w14:textId="01A50646"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tcPr>
          <w:p w14:paraId="54DE197C" w14:textId="0946F155"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hideMark/>
          </w:tcPr>
          <w:p w14:paraId="67849BB6" w14:textId="77777777" w:rsidR="008178E9" w:rsidRPr="00206845" w:rsidRDefault="008178E9" w:rsidP="001B3314">
            <w:pPr>
              <w:spacing w:after="0" w:line="276" w:lineRule="auto"/>
              <w:jc w:val="right"/>
              <w:rPr>
                <w:rFonts w:cs="Arial"/>
                <w:sz w:val="16"/>
                <w:szCs w:val="16"/>
              </w:rPr>
            </w:pPr>
            <w:r w:rsidRPr="00206845">
              <w:rPr>
                <w:rFonts w:cs="Arial"/>
                <w:sz w:val="16"/>
                <w:szCs w:val="16"/>
              </w:rPr>
              <w:t>21,10</w:t>
            </w:r>
          </w:p>
        </w:tc>
        <w:tc>
          <w:tcPr>
            <w:tcW w:w="852" w:type="dxa"/>
            <w:shd w:val="clear" w:color="auto" w:fill="auto"/>
            <w:noWrap/>
            <w:vAlign w:val="center"/>
            <w:hideMark/>
          </w:tcPr>
          <w:p w14:paraId="65568402" w14:textId="77777777" w:rsidR="008178E9" w:rsidRPr="00206845" w:rsidRDefault="008178E9" w:rsidP="001B3314">
            <w:pPr>
              <w:spacing w:after="0" w:line="276" w:lineRule="auto"/>
              <w:jc w:val="right"/>
              <w:rPr>
                <w:rFonts w:cs="Arial"/>
                <w:sz w:val="16"/>
                <w:szCs w:val="16"/>
              </w:rPr>
            </w:pPr>
            <w:r w:rsidRPr="00206845">
              <w:rPr>
                <w:rFonts w:cs="Arial"/>
                <w:sz w:val="16"/>
                <w:szCs w:val="16"/>
              </w:rPr>
              <w:t>7,00</w:t>
            </w:r>
          </w:p>
        </w:tc>
        <w:tc>
          <w:tcPr>
            <w:tcW w:w="1141" w:type="dxa"/>
            <w:shd w:val="clear" w:color="auto" w:fill="auto"/>
            <w:noWrap/>
            <w:vAlign w:val="center"/>
            <w:hideMark/>
          </w:tcPr>
          <w:p w14:paraId="43133A56" w14:textId="77777777" w:rsidR="008178E9" w:rsidRPr="00206845" w:rsidRDefault="008178E9" w:rsidP="001B3314">
            <w:pPr>
              <w:spacing w:after="0" w:line="276" w:lineRule="auto"/>
              <w:jc w:val="right"/>
              <w:rPr>
                <w:rFonts w:cs="Arial"/>
                <w:sz w:val="16"/>
                <w:szCs w:val="16"/>
              </w:rPr>
            </w:pPr>
            <w:r w:rsidRPr="00206845">
              <w:rPr>
                <w:rFonts w:cs="Arial"/>
                <w:sz w:val="16"/>
                <w:szCs w:val="16"/>
              </w:rPr>
              <w:t>14,10</w:t>
            </w:r>
          </w:p>
        </w:tc>
        <w:tc>
          <w:tcPr>
            <w:tcW w:w="851" w:type="dxa"/>
            <w:shd w:val="clear" w:color="auto" w:fill="auto"/>
            <w:noWrap/>
            <w:vAlign w:val="center"/>
          </w:tcPr>
          <w:p w14:paraId="53B1C783" w14:textId="0F875430"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tcPr>
          <w:p w14:paraId="663FD75C" w14:textId="2C56D672"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3A35DE68" w14:textId="555570A8"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tcPr>
          <w:p w14:paraId="3FA20A88" w14:textId="1F7DB3D8" w:rsidR="008178E9" w:rsidRPr="00206845" w:rsidRDefault="008178E9" w:rsidP="001B3314">
            <w:pPr>
              <w:spacing w:after="0" w:line="276" w:lineRule="auto"/>
              <w:jc w:val="right"/>
              <w:rPr>
                <w:rFonts w:cs="Arial"/>
                <w:sz w:val="16"/>
                <w:szCs w:val="16"/>
              </w:rPr>
            </w:pPr>
          </w:p>
        </w:tc>
      </w:tr>
      <w:tr w:rsidR="001B3314" w:rsidRPr="00206845" w14:paraId="4C860A1D" w14:textId="77777777" w:rsidTr="00737954">
        <w:trPr>
          <w:cantSplit/>
          <w:trHeight w:val="227"/>
          <w:jc w:val="center"/>
        </w:trPr>
        <w:tc>
          <w:tcPr>
            <w:tcW w:w="3072" w:type="dxa"/>
            <w:shd w:val="clear" w:color="000000" w:fill="FFFFFF"/>
            <w:vAlign w:val="center"/>
            <w:hideMark/>
          </w:tcPr>
          <w:p w14:paraId="71F9B1E5" w14:textId="1999472A" w:rsidR="008178E9" w:rsidRPr="00206845" w:rsidRDefault="008178E9" w:rsidP="00A02D1C">
            <w:pPr>
              <w:spacing w:after="0" w:line="276" w:lineRule="auto"/>
              <w:jc w:val="left"/>
              <w:rPr>
                <w:rFonts w:cs="Arial"/>
                <w:sz w:val="16"/>
                <w:szCs w:val="16"/>
              </w:rPr>
            </w:pPr>
            <w:r w:rsidRPr="00206845">
              <w:rPr>
                <w:rFonts w:cs="Arial"/>
                <w:sz w:val="16"/>
                <w:szCs w:val="16"/>
              </w:rPr>
              <w:t>Σ</w:t>
            </w:r>
            <w:r w:rsidR="001F53B4">
              <w:rPr>
                <w:rFonts w:cs="Arial"/>
                <w:sz w:val="16"/>
                <w:szCs w:val="16"/>
              </w:rPr>
              <w:t>ά</w:t>
            </w:r>
            <w:r w:rsidRPr="00206845">
              <w:rPr>
                <w:rFonts w:cs="Arial"/>
                <w:sz w:val="16"/>
                <w:szCs w:val="16"/>
              </w:rPr>
              <w:t>νη Κασσάνδρας Χαλκιδική</w:t>
            </w:r>
          </w:p>
        </w:tc>
        <w:tc>
          <w:tcPr>
            <w:tcW w:w="749" w:type="dxa"/>
            <w:shd w:val="clear" w:color="auto" w:fill="auto"/>
            <w:noWrap/>
            <w:vAlign w:val="center"/>
          </w:tcPr>
          <w:p w14:paraId="132A81B3" w14:textId="000BE151"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tcPr>
          <w:p w14:paraId="60BE6BE5" w14:textId="32EE6E57"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tcPr>
          <w:p w14:paraId="043E0F0E" w14:textId="7327991A" w:rsidR="008178E9" w:rsidRPr="00206845" w:rsidRDefault="008178E9" w:rsidP="001B3314">
            <w:pPr>
              <w:spacing w:after="0" w:line="276" w:lineRule="auto"/>
              <w:jc w:val="right"/>
              <w:rPr>
                <w:rFonts w:cs="Arial"/>
                <w:sz w:val="16"/>
                <w:szCs w:val="16"/>
              </w:rPr>
            </w:pPr>
          </w:p>
        </w:tc>
        <w:tc>
          <w:tcPr>
            <w:tcW w:w="852" w:type="dxa"/>
            <w:shd w:val="clear" w:color="auto" w:fill="auto"/>
            <w:noWrap/>
            <w:vAlign w:val="center"/>
            <w:hideMark/>
          </w:tcPr>
          <w:p w14:paraId="5BD43DE9" w14:textId="77777777" w:rsidR="008178E9" w:rsidRPr="00206845" w:rsidRDefault="008178E9" w:rsidP="001B3314">
            <w:pPr>
              <w:spacing w:after="0" w:line="276" w:lineRule="auto"/>
              <w:jc w:val="right"/>
              <w:rPr>
                <w:rFonts w:cs="Arial"/>
                <w:sz w:val="16"/>
                <w:szCs w:val="16"/>
              </w:rPr>
            </w:pPr>
            <w:r w:rsidRPr="00206845">
              <w:rPr>
                <w:rFonts w:cs="Arial"/>
                <w:sz w:val="16"/>
                <w:szCs w:val="16"/>
              </w:rPr>
              <w:t>8,60</w:t>
            </w:r>
          </w:p>
        </w:tc>
        <w:tc>
          <w:tcPr>
            <w:tcW w:w="1141" w:type="dxa"/>
            <w:shd w:val="clear" w:color="auto" w:fill="auto"/>
            <w:noWrap/>
            <w:vAlign w:val="center"/>
          </w:tcPr>
          <w:p w14:paraId="78580BD4" w14:textId="1E83D8F1" w:rsidR="008178E9" w:rsidRPr="00206845" w:rsidRDefault="008178E9" w:rsidP="001B3314">
            <w:pPr>
              <w:spacing w:after="0" w:line="276" w:lineRule="auto"/>
              <w:jc w:val="right"/>
              <w:rPr>
                <w:rFonts w:cs="Arial"/>
                <w:sz w:val="16"/>
                <w:szCs w:val="16"/>
              </w:rPr>
            </w:pPr>
          </w:p>
        </w:tc>
        <w:tc>
          <w:tcPr>
            <w:tcW w:w="851" w:type="dxa"/>
            <w:shd w:val="clear" w:color="auto" w:fill="auto"/>
            <w:noWrap/>
            <w:vAlign w:val="center"/>
          </w:tcPr>
          <w:p w14:paraId="64CAAB57" w14:textId="55B564CB"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tcPr>
          <w:p w14:paraId="4E1C1507" w14:textId="1A6D8DC9"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265F8104" w14:textId="49CFBB5E"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tcPr>
          <w:p w14:paraId="38E53744" w14:textId="3469344B" w:rsidR="008178E9" w:rsidRPr="00206845" w:rsidRDefault="008178E9" w:rsidP="001B3314">
            <w:pPr>
              <w:spacing w:after="0" w:line="276" w:lineRule="auto"/>
              <w:jc w:val="right"/>
              <w:rPr>
                <w:rFonts w:cs="Arial"/>
                <w:sz w:val="16"/>
                <w:szCs w:val="16"/>
              </w:rPr>
            </w:pPr>
          </w:p>
        </w:tc>
      </w:tr>
      <w:tr w:rsidR="001B3314" w:rsidRPr="00206845" w14:paraId="419F202E" w14:textId="77777777" w:rsidTr="00737954">
        <w:trPr>
          <w:cantSplit/>
          <w:trHeight w:val="227"/>
          <w:jc w:val="center"/>
        </w:trPr>
        <w:tc>
          <w:tcPr>
            <w:tcW w:w="3072" w:type="dxa"/>
            <w:shd w:val="clear" w:color="auto" w:fill="auto"/>
            <w:vAlign w:val="center"/>
            <w:hideMark/>
          </w:tcPr>
          <w:p w14:paraId="4D3ECF47" w14:textId="57C47738" w:rsidR="008178E9" w:rsidRPr="00206845" w:rsidRDefault="008178E9" w:rsidP="00A02D1C">
            <w:pPr>
              <w:spacing w:after="0" w:line="276" w:lineRule="auto"/>
              <w:jc w:val="left"/>
              <w:rPr>
                <w:rFonts w:cs="Arial"/>
                <w:sz w:val="16"/>
                <w:szCs w:val="16"/>
              </w:rPr>
            </w:pPr>
            <w:r w:rsidRPr="00206845">
              <w:rPr>
                <w:rFonts w:cs="Arial"/>
                <w:sz w:val="16"/>
                <w:szCs w:val="16"/>
              </w:rPr>
              <w:t>Ρ</w:t>
            </w:r>
            <w:r w:rsidR="001F53B4">
              <w:rPr>
                <w:rFonts w:cs="Arial"/>
                <w:sz w:val="16"/>
                <w:szCs w:val="16"/>
              </w:rPr>
              <w:t>ί</w:t>
            </w:r>
            <w:r w:rsidRPr="00206845">
              <w:rPr>
                <w:rFonts w:cs="Arial"/>
                <w:sz w:val="16"/>
                <w:szCs w:val="16"/>
              </w:rPr>
              <w:t>ο Αντί</w:t>
            </w:r>
            <w:r w:rsidR="001F53B4">
              <w:rPr>
                <w:rFonts w:cs="Arial"/>
                <w:sz w:val="16"/>
                <w:szCs w:val="16"/>
              </w:rPr>
              <w:t>ρ</w:t>
            </w:r>
            <w:r w:rsidRPr="00206845">
              <w:rPr>
                <w:rFonts w:cs="Arial"/>
                <w:sz w:val="16"/>
                <w:szCs w:val="16"/>
              </w:rPr>
              <w:t>ριο</w:t>
            </w:r>
          </w:p>
        </w:tc>
        <w:tc>
          <w:tcPr>
            <w:tcW w:w="749" w:type="dxa"/>
            <w:shd w:val="clear" w:color="auto" w:fill="auto"/>
            <w:noWrap/>
            <w:vAlign w:val="center"/>
          </w:tcPr>
          <w:p w14:paraId="7DA2C156" w14:textId="51541C0D"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tcPr>
          <w:p w14:paraId="67E00BAE" w14:textId="62CF9A02"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tcPr>
          <w:p w14:paraId="192D13C4" w14:textId="51297E0E" w:rsidR="008178E9" w:rsidRPr="00206845" w:rsidRDefault="008178E9" w:rsidP="001B3314">
            <w:pPr>
              <w:spacing w:after="0" w:line="276" w:lineRule="auto"/>
              <w:jc w:val="right"/>
              <w:rPr>
                <w:rFonts w:cs="Arial"/>
                <w:sz w:val="16"/>
                <w:szCs w:val="16"/>
              </w:rPr>
            </w:pPr>
          </w:p>
        </w:tc>
        <w:tc>
          <w:tcPr>
            <w:tcW w:w="852" w:type="dxa"/>
            <w:shd w:val="clear" w:color="auto" w:fill="auto"/>
            <w:noWrap/>
            <w:vAlign w:val="center"/>
            <w:hideMark/>
          </w:tcPr>
          <w:p w14:paraId="715BFBD9" w14:textId="77777777" w:rsidR="008178E9" w:rsidRPr="00206845" w:rsidRDefault="008178E9" w:rsidP="001B3314">
            <w:pPr>
              <w:spacing w:after="0" w:line="276" w:lineRule="auto"/>
              <w:jc w:val="right"/>
              <w:rPr>
                <w:rFonts w:cs="Arial"/>
                <w:sz w:val="16"/>
                <w:szCs w:val="16"/>
              </w:rPr>
            </w:pPr>
            <w:r w:rsidRPr="00206845">
              <w:rPr>
                <w:rFonts w:cs="Arial"/>
                <w:sz w:val="16"/>
                <w:szCs w:val="16"/>
              </w:rPr>
              <w:t>2,90</w:t>
            </w:r>
          </w:p>
        </w:tc>
        <w:tc>
          <w:tcPr>
            <w:tcW w:w="1141" w:type="dxa"/>
            <w:shd w:val="clear" w:color="auto" w:fill="auto"/>
            <w:noWrap/>
            <w:vAlign w:val="center"/>
          </w:tcPr>
          <w:p w14:paraId="70D9B621" w14:textId="43264A86" w:rsidR="008178E9" w:rsidRPr="00206845" w:rsidRDefault="008178E9" w:rsidP="001B3314">
            <w:pPr>
              <w:spacing w:after="0" w:line="276" w:lineRule="auto"/>
              <w:jc w:val="right"/>
              <w:rPr>
                <w:rFonts w:cs="Arial"/>
                <w:sz w:val="16"/>
                <w:szCs w:val="16"/>
              </w:rPr>
            </w:pPr>
          </w:p>
        </w:tc>
        <w:tc>
          <w:tcPr>
            <w:tcW w:w="851" w:type="dxa"/>
            <w:shd w:val="clear" w:color="auto" w:fill="auto"/>
            <w:noWrap/>
            <w:vAlign w:val="center"/>
          </w:tcPr>
          <w:p w14:paraId="6B2D0B65" w14:textId="2AE891CB"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tcPr>
          <w:p w14:paraId="3A1B01D3" w14:textId="77E51E99"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3921D74A" w14:textId="4153D2ED"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tcPr>
          <w:p w14:paraId="624D1157" w14:textId="4307FE62" w:rsidR="008178E9" w:rsidRPr="00206845" w:rsidRDefault="008178E9" w:rsidP="001B3314">
            <w:pPr>
              <w:spacing w:after="0" w:line="276" w:lineRule="auto"/>
              <w:jc w:val="right"/>
              <w:rPr>
                <w:rFonts w:cs="Arial"/>
                <w:sz w:val="16"/>
                <w:szCs w:val="16"/>
              </w:rPr>
            </w:pPr>
          </w:p>
        </w:tc>
      </w:tr>
      <w:tr w:rsidR="001B3314" w:rsidRPr="00206845" w14:paraId="5CC65E7A" w14:textId="77777777" w:rsidTr="00737954">
        <w:trPr>
          <w:cantSplit/>
          <w:trHeight w:val="227"/>
          <w:jc w:val="center"/>
        </w:trPr>
        <w:tc>
          <w:tcPr>
            <w:tcW w:w="3072" w:type="dxa"/>
            <w:shd w:val="clear" w:color="auto" w:fill="auto"/>
            <w:vAlign w:val="center"/>
            <w:hideMark/>
          </w:tcPr>
          <w:p w14:paraId="10A25BEE" w14:textId="0BD961C9" w:rsidR="008178E9" w:rsidRPr="00206845" w:rsidRDefault="008178E9" w:rsidP="00A02D1C">
            <w:pPr>
              <w:spacing w:after="0" w:line="276" w:lineRule="auto"/>
              <w:jc w:val="left"/>
              <w:rPr>
                <w:rFonts w:cs="Arial"/>
                <w:sz w:val="16"/>
                <w:szCs w:val="16"/>
              </w:rPr>
            </w:pPr>
            <w:r w:rsidRPr="00206845">
              <w:rPr>
                <w:rFonts w:cs="Arial"/>
                <w:sz w:val="16"/>
                <w:szCs w:val="16"/>
              </w:rPr>
              <w:t>Πηγές Καμ</w:t>
            </w:r>
            <w:r w:rsidR="001F53B4">
              <w:rPr>
                <w:rFonts w:cs="Arial"/>
                <w:sz w:val="16"/>
                <w:szCs w:val="16"/>
              </w:rPr>
              <w:t>έ</w:t>
            </w:r>
            <w:r w:rsidRPr="00206845">
              <w:rPr>
                <w:rFonts w:cs="Arial"/>
                <w:sz w:val="16"/>
                <w:szCs w:val="16"/>
              </w:rPr>
              <w:t>να Βούρλα</w:t>
            </w:r>
          </w:p>
        </w:tc>
        <w:tc>
          <w:tcPr>
            <w:tcW w:w="749" w:type="dxa"/>
            <w:shd w:val="clear" w:color="auto" w:fill="auto"/>
            <w:noWrap/>
            <w:vAlign w:val="center"/>
          </w:tcPr>
          <w:p w14:paraId="3FAD7D6C" w14:textId="7A04B808"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tcPr>
          <w:p w14:paraId="7DB16867" w14:textId="22C4FC03"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tcPr>
          <w:p w14:paraId="19FF4543" w14:textId="3FD5CE34" w:rsidR="008178E9" w:rsidRPr="00206845" w:rsidRDefault="008178E9" w:rsidP="001B3314">
            <w:pPr>
              <w:spacing w:after="0" w:line="276" w:lineRule="auto"/>
              <w:jc w:val="right"/>
              <w:rPr>
                <w:rFonts w:cs="Arial"/>
                <w:sz w:val="16"/>
                <w:szCs w:val="16"/>
              </w:rPr>
            </w:pPr>
          </w:p>
        </w:tc>
        <w:tc>
          <w:tcPr>
            <w:tcW w:w="852" w:type="dxa"/>
            <w:shd w:val="clear" w:color="auto" w:fill="auto"/>
            <w:noWrap/>
            <w:vAlign w:val="center"/>
          </w:tcPr>
          <w:p w14:paraId="7110C8F8" w14:textId="198E6DD9"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2BFAC3B0" w14:textId="77777777" w:rsidR="008178E9" w:rsidRPr="00206845" w:rsidRDefault="008178E9" w:rsidP="001B3314">
            <w:pPr>
              <w:spacing w:after="0" w:line="276" w:lineRule="auto"/>
              <w:jc w:val="right"/>
              <w:rPr>
                <w:rFonts w:cs="Arial"/>
                <w:sz w:val="16"/>
                <w:szCs w:val="16"/>
              </w:rPr>
            </w:pPr>
            <w:r w:rsidRPr="00206845">
              <w:rPr>
                <w:rFonts w:cs="Arial"/>
                <w:sz w:val="16"/>
                <w:szCs w:val="16"/>
              </w:rPr>
              <w:t>4,30</w:t>
            </w:r>
          </w:p>
        </w:tc>
        <w:tc>
          <w:tcPr>
            <w:tcW w:w="851" w:type="dxa"/>
            <w:shd w:val="clear" w:color="auto" w:fill="auto"/>
            <w:noWrap/>
            <w:vAlign w:val="center"/>
            <w:hideMark/>
          </w:tcPr>
          <w:p w14:paraId="4E31F880" w14:textId="77777777" w:rsidR="008178E9" w:rsidRPr="00206845" w:rsidRDefault="008178E9" w:rsidP="001B3314">
            <w:pPr>
              <w:spacing w:after="0" w:line="276" w:lineRule="auto"/>
              <w:jc w:val="right"/>
              <w:rPr>
                <w:rFonts w:cs="Arial"/>
                <w:sz w:val="16"/>
                <w:szCs w:val="16"/>
              </w:rPr>
            </w:pPr>
            <w:r w:rsidRPr="00206845">
              <w:rPr>
                <w:rFonts w:cs="Arial"/>
                <w:sz w:val="16"/>
                <w:szCs w:val="16"/>
              </w:rPr>
              <w:t>2,00</w:t>
            </w:r>
          </w:p>
        </w:tc>
        <w:tc>
          <w:tcPr>
            <w:tcW w:w="850" w:type="dxa"/>
            <w:shd w:val="clear" w:color="auto" w:fill="auto"/>
            <w:noWrap/>
            <w:vAlign w:val="center"/>
            <w:hideMark/>
          </w:tcPr>
          <w:p w14:paraId="6E171DDD" w14:textId="77777777" w:rsidR="008178E9" w:rsidRPr="00206845" w:rsidRDefault="008178E9" w:rsidP="001B3314">
            <w:pPr>
              <w:spacing w:after="0" w:line="276" w:lineRule="auto"/>
              <w:jc w:val="right"/>
              <w:rPr>
                <w:rFonts w:cs="Arial"/>
                <w:sz w:val="16"/>
                <w:szCs w:val="16"/>
              </w:rPr>
            </w:pPr>
            <w:r w:rsidRPr="00206845">
              <w:rPr>
                <w:rFonts w:cs="Arial"/>
                <w:sz w:val="16"/>
                <w:szCs w:val="16"/>
              </w:rPr>
              <w:t>2,00</w:t>
            </w:r>
          </w:p>
        </w:tc>
        <w:tc>
          <w:tcPr>
            <w:tcW w:w="992" w:type="dxa"/>
            <w:shd w:val="clear" w:color="auto" w:fill="auto"/>
            <w:noWrap/>
            <w:vAlign w:val="center"/>
            <w:hideMark/>
          </w:tcPr>
          <w:p w14:paraId="07E19F8C" w14:textId="47CF9667"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tcPr>
          <w:p w14:paraId="75B285DD" w14:textId="24B6C6FA" w:rsidR="008178E9" w:rsidRPr="00206845" w:rsidRDefault="008178E9" w:rsidP="001B3314">
            <w:pPr>
              <w:spacing w:after="0" w:line="276" w:lineRule="auto"/>
              <w:jc w:val="right"/>
              <w:rPr>
                <w:rFonts w:cs="Arial"/>
                <w:sz w:val="16"/>
                <w:szCs w:val="16"/>
              </w:rPr>
            </w:pPr>
          </w:p>
        </w:tc>
      </w:tr>
      <w:tr w:rsidR="001B3314" w:rsidRPr="00206845" w14:paraId="7B078914" w14:textId="77777777" w:rsidTr="00737954">
        <w:trPr>
          <w:cantSplit/>
          <w:trHeight w:val="227"/>
          <w:jc w:val="center"/>
        </w:trPr>
        <w:tc>
          <w:tcPr>
            <w:tcW w:w="3072" w:type="dxa"/>
            <w:shd w:val="clear" w:color="auto" w:fill="auto"/>
            <w:vAlign w:val="center"/>
            <w:hideMark/>
          </w:tcPr>
          <w:p w14:paraId="41235D70" w14:textId="77777777" w:rsidR="008178E9" w:rsidRPr="00206845" w:rsidRDefault="008178E9" w:rsidP="00A02D1C">
            <w:pPr>
              <w:spacing w:after="0" w:line="276" w:lineRule="auto"/>
              <w:jc w:val="left"/>
              <w:rPr>
                <w:rFonts w:cs="Arial"/>
                <w:sz w:val="16"/>
                <w:szCs w:val="16"/>
              </w:rPr>
            </w:pPr>
            <w:r w:rsidRPr="00206845">
              <w:rPr>
                <w:rFonts w:cs="Arial"/>
                <w:sz w:val="16"/>
                <w:szCs w:val="16"/>
              </w:rPr>
              <w:t>Camping Αγία Τριάδα</w:t>
            </w:r>
          </w:p>
        </w:tc>
        <w:tc>
          <w:tcPr>
            <w:tcW w:w="749" w:type="dxa"/>
            <w:shd w:val="clear" w:color="auto" w:fill="auto"/>
            <w:noWrap/>
            <w:vAlign w:val="center"/>
          </w:tcPr>
          <w:p w14:paraId="04C479D7" w14:textId="1C9CFFD1"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tcPr>
          <w:p w14:paraId="0082F305" w14:textId="22150CE9"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tcPr>
          <w:p w14:paraId="3AB1A5FD" w14:textId="0854890B" w:rsidR="008178E9" w:rsidRPr="00206845" w:rsidRDefault="008178E9" w:rsidP="001B3314">
            <w:pPr>
              <w:spacing w:after="0" w:line="276" w:lineRule="auto"/>
              <w:jc w:val="right"/>
              <w:rPr>
                <w:rFonts w:cs="Arial"/>
                <w:sz w:val="16"/>
                <w:szCs w:val="16"/>
              </w:rPr>
            </w:pPr>
          </w:p>
        </w:tc>
        <w:tc>
          <w:tcPr>
            <w:tcW w:w="852" w:type="dxa"/>
            <w:shd w:val="clear" w:color="auto" w:fill="auto"/>
            <w:noWrap/>
            <w:vAlign w:val="center"/>
          </w:tcPr>
          <w:p w14:paraId="4C39A3F7" w14:textId="0818D342"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5A5423DB" w14:textId="77777777" w:rsidR="008178E9" w:rsidRPr="00206845" w:rsidRDefault="008178E9" w:rsidP="001B3314">
            <w:pPr>
              <w:spacing w:after="0" w:line="276" w:lineRule="auto"/>
              <w:jc w:val="right"/>
              <w:rPr>
                <w:rFonts w:cs="Arial"/>
                <w:sz w:val="16"/>
                <w:szCs w:val="16"/>
              </w:rPr>
            </w:pPr>
            <w:r w:rsidRPr="00206845">
              <w:rPr>
                <w:rFonts w:cs="Arial"/>
                <w:sz w:val="16"/>
                <w:szCs w:val="16"/>
              </w:rPr>
              <w:t>19,50</w:t>
            </w:r>
          </w:p>
        </w:tc>
        <w:tc>
          <w:tcPr>
            <w:tcW w:w="851" w:type="dxa"/>
            <w:shd w:val="clear" w:color="auto" w:fill="auto"/>
            <w:noWrap/>
            <w:vAlign w:val="center"/>
            <w:hideMark/>
          </w:tcPr>
          <w:p w14:paraId="68F05C54" w14:textId="7827DD04"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6812DF33" w14:textId="2BD3D7D5"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37099BD1" w14:textId="01C9D220"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tcPr>
          <w:p w14:paraId="06AB772C" w14:textId="12FC2257" w:rsidR="008178E9" w:rsidRPr="00206845" w:rsidRDefault="008178E9" w:rsidP="001B3314">
            <w:pPr>
              <w:spacing w:after="0" w:line="276" w:lineRule="auto"/>
              <w:jc w:val="right"/>
              <w:rPr>
                <w:rFonts w:cs="Arial"/>
                <w:sz w:val="16"/>
                <w:szCs w:val="16"/>
              </w:rPr>
            </w:pPr>
          </w:p>
        </w:tc>
      </w:tr>
      <w:tr w:rsidR="001B3314" w:rsidRPr="00206845" w14:paraId="3882B74E" w14:textId="77777777" w:rsidTr="00737954">
        <w:trPr>
          <w:cantSplit/>
          <w:trHeight w:val="227"/>
          <w:jc w:val="center"/>
        </w:trPr>
        <w:tc>
          <w:tcPr>
            <w:tcW w:w="3072" w:type="dxa"/>
            <w:shd w:val="clear" w:color="auto" w:fill="auto"/>
            <w:vAlign w:val="center"/>
            <w:hideMark/>
          </w:tcPr>
          <w:p w14:paraId="6B22CA03" w14:textId="2D8908D4" w:rsidR="008178E9" w:rsidRPr="00206845" w:rsidRDefault="008178E9" w:rsidP="00A02D1C">
            <w:pPr>
              <w:spacing w:after="0" w:line="276" w:lineRule="auto"/>
              <w:jc w:val="left"/>
              <w:rPr>
                <w:rFonts w:cs="Arial"/>
                <w:sz w:val="16"/>
                <w:szCs w:val="16"/>
              </w:rPr>
            </w:pPr>
            <w:r w:rsidRPr="00206845">
              <w:rPr>
                <w:rFonts w:cs="Arial"/>
                <w:sz w:val="16"/>
                <w:szCs w:val="16"/>
              </w:rPr>
              <w:t>Camping Καμένα Βούρλα</w:t>
            </w:r>
          </w:p>
        </w:tc>
        <w:tc>
          <w:tcPr>
            <w:tcW w:w="749" w:type="dxa"/>
            <w:shd w:val="clear" w:color="auto" w:fill="auto"/>
            <w:noWrap/>
            <w:vAlign w:val="center"/>
          </w:tcPr>
          <w:p w14:paraId="30ACB7C6" w14:textId="26C641E8"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tcPr>
          <w:p w14:paraId="6D12E2F2" w14:textId="4E0EBF1B"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tcPr>
          <w:p w14:paraId="08994AB7" w14:textId="2E1A30E8" w:rsidR="008178E9" w:rsidRPr="00206845" w:rsidRDefault="008178E9" w:rsidP="001B3314">
            <w:pPr>
              <w:spacing w:after="0" w:line="276" w:lineRule="auto"/>
              <w:jc w:val="right"/>
              <w:rPr>
                <w:rFonts w:cs="Arial"/>
                <w:sz w:val="16"/>
                <w:szCs w:val="16"/>
              </w:rPr>
            </w:pPr>
          </w:p>
        </w:tc>
        <w:tc>
          <w:tcPr>
            <w:tcW w:w="852" w:type="dxa"/>
            <w:shd w:val="clear" w:color="auto" w:fill="auto"/>
            <w:noWrap/>
            <w:vAlign w:val="center"/>
          </w:tcPr>
          <w:p w14:paraId="7BD3F810" w14:textId="3B6D5202"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0DE076C0" w14:textId="77777777" w:rsidR="008178E9" w:rsidRPr="00206845" w:rsidRDefault="008178E9" w:rsidP="001B3314">
            <w:pPr>
              <w:spacing w:after="0" w:line="276" w:lineRule="auto"/>
              <w:jc w:val="right"/>
              <w:rPr>
                <w:rFonts w:cs="Arial"/>
                <w:sz w:val="16"/>
                <w:szCs w:val="16"/>
              </w:rPr>
            </w:pPr>
            <w:r w:rsidRPr="00206845">
              <w:rPr>
                <w:rFonts w:cs="Arial"/>
                <w:sz w:val="16"/>
                <w:szCs w:val="16"/>
              </w:rPr>
              <w:t>3,50</w:t>
            </w:r>
          </w:p>
        </w:tc>
        <w:tc>
          <w:tcPr>
            <w:tcW w:w="851" w:type="dxa"/>
            <w:shd w:val="clear" w:color="auto" w:fill="auto"/>
            <w:noWrap/>
            <w:vAlign w:val="center"/>
            <w:hideMark/>
          </w:tcPr>
          <w:p w14:paraId="77385DD1" w14:textId="77777777" w:rsidR="008178E9" w:rsidRPr="00206845" w:rsidRDefault="008178E9" w:rsidP="001B3314">
            <w:pPr>
              <w:spacing w:after="0" w:line="276" w:lineRule="auto"/>
              <w:jc w:val="right"/>
              <w:rPr>
                <w:rFonts w:cs="Arial"/>
                <w:sz w:val="16"/>
                <w:szCs w:val="16"/>
              </w:rPr>
            </w:pPr>
            <w:r w:rsidRPr="00206845">
              <w:rPr>
                <w:rFonts w:cs="Arial"/>
                <w:sz w:val="16"/>
                <w:szCs w:val="16"/>
              </w:rPr>
              <w:t>3,50</w:t>
            </w:r>
          </w:p>
        </w:tc>
        <w:tc>
          <w:tcPr>
            <w:tcW w:w="850" w:type="dxa"/>
            <w:shd w:val="clear" w:color="auto" w:fill="auto"/>
            <w:noWrap/>
            <w:vAlign w:val="center"/>
            <w:hideMark/>
          </w:tcPr>
          <w:p w14:paraId="4874125C" w14:textId="77777777" w:rsidR="008178E9" w:rsidRPr="00206845" w:rsidRDefault="008178E9" w:rsidP="001B3314">
            <w:pPr>
              <w:spacing w:after="0" w:line="276" w:lineRule="auto"/>
              <w:jc w:val="right"/>
              <w:rPr>
                <w:rFonts w:cs="Arial"/>
                <w:sz w:val="16"/>
                <w:szCs w:val="16"/>
              </w:rPr>
            </w:pPr>
            <w:r w:rsidRPr="00206845">
              <w:rPr>
                <w:rFonts w:cs="Arial"/>
                <w:sz w:val="16"/>
                <w:szCs w:val="16"/>
              </w:rPr>
              <w:t>1,80</w:t>
            </w:r>
          </w:p>
        </w:tc>
        <w:tc>
          <w:tcPr>
            <w:tcW w:w="992" w:type="dxa"/>
            <w:shd w:val="clear" w:color="auto" w:fill="auto"/>
            <w:noWrap/>
            <w:vAlign w:val="center"/>
            <w:hideMark/>
          </w:tcPr>
          <w:p w14:paraId="27F141F1" w14:textId="77777777" w:rsidR="008178E9" w:rsidRPr="00206845" w:rsidRDefault="008178E9" w:rsidP="001B3314">
            <w:pPr>
              <w:spacing w:after="0" w:line="276" w:lineRule="auto"/>
              <w:jc w:val="right"/>
              <w:rPr>
                <w:rFonts w:cs="Arial"/>
                <w:sz w:val="16"/>
                <w:szCs w:val="16"/>
              </w:rPr>
            </w:pPr>
            <w:r w:rsidRPr="00206845">
              <w:rPr>
                <w:rFonts w:cs="Arial"/>
                <w:sz w:val="16"/>
                <w:szCs w:val="16"/>
              </w:rPr>
              <w:t>1,80</w:t>
            </w:r>
          </w:p>
        </w:tc>
        <w:tc>
          <w:tcPr>
            <w:tcW w:w="993" w:type="dxa"/>
            <w:shd w:val="clear" w:color="auto" w:fill="auto"/>
            <w:noWrap/>
            <w:vAlign w:val="center"/>
          </w:tcPr>
          <w:p w14:paraId="6D7B9151" w14:textId="6DBE1BF3" w:rsidR="008178E9" w:rsidRPr="00206845" w:rsidRDefault="008178E9" w:rsidP="001B3314">
            <w:pPr>
              <w:spacing w:after="0" w:line="276" w:lineRule="auto"/>
              <w:jc w:val="right"/>
              <w:rPr>
                <w:rFonts w:cs="Arial"/>
                <w:sz w:val="16"/>
                <w:szCs w:val="16"/>
              </w:rPr>
            </w:pPr>
          </w:p>
        </w:tc>
      </w:tr>
      <w:tr w:rsidR="001B3314" w:rsidRPr="00206845" w14:paraId="3E800650" w14:textId="77777777" w:rsidTr="00737954">
        <w:trPr>
          <w:cantSplit/>
          <w:trHeight w:val="227"/>
          <w:jc w:val="center"/>
        </w:trPr>
        <w:tc>
          <w:tcPr>
            <w:tcW w:w="3072" w:type="dxa"/>
            <w:shd w:val="clear" w:color="auto" w:fill="auto"/>
            <w:vAlign w:val="center"/>
            <w:hideMark/>
          </w:tcPr>
          <w:p w14:paraId="09BEEDF3" w14:textId="2405862D" w:rsidR="008178E9" w:rsidRPr="00206845" w:rsidRDefault="008178E9" w:rsidP="00A02D1C">
            <w:pPr>
              <w:spacing w:after="0" w:line="276" w:lineRule="auto"/>
              <w:jc w:val="left"/>
              <w:rPr>
                <w:rFonts w:cs="Arial"/>
                <w:sz w:val="16"/>
                <w:szCs w:val="16"/>
              </w:rPr>
            </w:pPr>
            <w:r w:rsidRPr="00206845">
              <w:rPr>
                <w:rFonts w:cs="Arial"/>
                <w:sz w:val="16"/>
                <w:szCs w:val="16"/>
              </w:rPr>
              <w:t>Σ</w:t>
            </w:r>
            <w:r w:rsidR="001F53B4">
              <w:rPr>
                <w:rFonts w:cs="Arial"/>
                <w:sz w:val="16"/>
                <w:szCs w:val="16"/>
              </w:rPr>
              <w:t>ά</w:t>
            </w:r>
            <w:r w:rsidRPr="00206845">
              <w:rPr>
                <w:rFonts w:cs="Arial"/>
                <w:sz w:val="16"/>
                <w:szCs w:val="16"/>
              </w:rPr>
              <w:t>νη (Βόρειο Τμήμα)</w:t>
            </w:r>
          </w:p>
        </w:tc>
        <w:tc>
          <w:tcPr>
            <w:tcW w:w="749" w:type="dxa"/>
            <w:shd w:val="clear" w:color="auto" w:fill="auto"/>
            <w:noWrap/>
            <w:vAlign w:val="center"/>
          </w:tcPr>
          <w:p w14:paraId="7CBB491B" w14:textId="583EEB0D" w:rsidR="008178E9" w:rsidRPr="00206845" w:rsidRDefault="008178E9" w:rsidP="001B3314">
            <w:pPr>
              <w:spacing w:after="0" w:line="276" w:lineRule="auto"/>
              <w:jc w:val="right"/>
              <w:rPr>
                <w:rFonts w:cs="Arial"/>
                <w:sz w:val="16"/>
                <w:szCs w:val="16"/>
              </w:rPr>
            </w:pPr>
          </w:p>
        </w:tc>
        <w:tc>
          <w:tcPr>
            <w:tcW w:w="847" w:type="dxa"/>
            <w:shd w:val="clear" w:color="auto" w:fill="auto"/>
            <w:noWrap/>
            <w:vAlign w:val="center"/>
          </w:tcPr>
          <w:p w14:paraId="37F09C1A" w14:textId="1EDB259E" w:rsidR="008178E9" w:rsidRPr="00206845" w:rsidRDefault="008178E9" w:rsidP="001B3314">
            <w:pPr>
              <w:spacing w:after="0" w:line="276" w:lineRule="auto"/>
              <w:jc w:val="right"/>
              <w:rPr>
                <w:rFonts w:cs="Arial"/>
                <w:sz w:val="16"/>
                <w:szCs w:val="16"/>
              </w:rPr>
            </w:pPr>
          </w:p>
        </w:tc>
        <w:tc>
          <w:tcPr>
            <w:tcW w:w="849" w:type="dxa"/>
            <w:shd w:val="clear" w:color="auto" w:fill="auto"/>
            <w:noWrap/>
            <w:vAlign w:val="center"/>
          </w:tcPr>
          <w:p w14:paraId="24A15EB3" w14:textId="3DD2F9D1" w:rsidR="008178E9" w:rsidRPr="00206845" w:rsidRDefault="008178E9" w:rsidP="001B3314">
            <w:pPr>
              <w:spacing w:after="0" w:line="276" w:lineRule="auto"/>
              <w:jc w:val="right"/>
              <w:rPr>
                <w:rFonts w:cs="Arial"/>
                <w:sz w:val="16"/>
                <w:szCs w:val="16"/>
              </w:rPr>
            </w:pPr>
          </w:p>
        </w:tc>
        <w:tc>
          <w:tcPr>
            <w:tcW w:w="852" w:type="dxa"/>
            <w:shd w:val="clear" w:color="auto" w:fill="auto"/>
            <w:noWrap/>
            <w:vAlign w:val="center"/>
          </w:tcPr>
          <w:p w14:paraId="5DBAB6EB" w14:textId="6BEFF80E" w:rsidR="008178E9" w:rsidRPr="00206845" w:rsidRDefault="008178E9" w:rsidP="001B3314">
            <w:pPr>
              <w:spacing w:after="0" w:line="276" w:lineRule="auto"/>
              <w:jc w:val="right"/>
              <w:rPr>
                <w:rFonts w:cs="Arial"/>
                <w:sz w:val="16"/>
                <w:szCs w:val="16"/>
              </w:rPr>
            </w:pPr>
          </w:p>
        </w:tc>
        <w:tc>
          <w:tcPr>
            <w:tcW w:w="1141" w:type="dxa"/>
            <w:shd w:val="clear" w:color="auto" w:fill="auto"/>
            <w:noWrap/>
            <w:vAlign w:val="center"/>
            <w:hideMark/>
          </w:tcPr>
          <w:p w14:paraId="5F08308F" w14:textId="77777777" w:rsidR="008178E9" w:rsidRPr="00206845" w:rsidRDefault="008178E9" w:rsidP="001B3314">
            <w:pPr>
              <w:spacing w:after="0" w:line="276" w:lineRule="auto"/>
              <w:jc w:val="right"/>
              <w:rPr>
                <w:rFonts w:cs="Arial"/>
                <w:sz w:val="16"/>
                <w:szCs w:val="16"/>
              </w:rPr>
            </w:pPr>
            <w:r w:rsidRPr="00206845">
              <w:rPr>
                <w:rFonts w:cs="Arial"/>
                <w:sz w:val="16"/>
                <w:szCs w:val="16"/>
              </w:rPr>
              <w:t>4,00</w:t>
            </w:r>
          </w:p>
        </w:tc>
        <w:tc>
          <w:tcPr>
            <w:tcW w:w="851" w:type="dxa"/>
            <w:shd w:val="clear" w:color="auto" w:fill="auto"/>
            <w:noWrap/>
            <w:vAlign w:val="center"/>
            <w:hideMark/>
          </w:tcPr>
          <w:p w14:paraId="583BB9F6" w14:textId="372DEE9D" w:rsidR="008178E9" w:rsidRPr="00206845" w:rsidRDefault="008178E9" w:rsidP="001B3314">
            <w:pPr>
              <w:spacing w:after="0" w:line="276" w:lineRule="auto"/>
              <w:jc w:val="right"/>
              <w:rPr>
                <w:rFonts w:cs="Arial"/>
                <w:sz w:val="16"/>
                <w:szCs w:val="16"/>
              </w:rPr>
            </w:pPr>
          </w:p>
        </w:tc>
        <w:tc>
          <w:tcPr>
            <w:tcW w:w="850" w:type="dxa"/>
            <w:shd w:val="clear" w:color="auto" w:fill="auto"/>
            <w:noWrap/>
            <w:vAlign w:val="center"/>
            <w:hideMark/>
          </w:tcPr>
          <w:p w14:paraId="0659EE4F" w14:textId="790BD0C8" w:rsidR="008178E9" w:rsidRPr="00206845" w:rsidRDefault="008178E9" w:rsidP="001B3314">
            <w:pPr>
              <w:spacing w:after="0" w:line="276" w:lineRule="auto"/>
              <w:jc w:val="right"/>
              <w:rPr>
                <w:rFonts w:cs="Arial"/>
                <w:sz w:val="16"/>
                <w:szCs w:val="16"/>
              </w:rPr>
            </w:pPr>
          </w:p>
        </w:tc>
        <w:tc>
          <w:tcPr>
            <w:tcW w:w="992" w:type="dxa"/>
            <w:shd w:val="clear" w:color="auto" w:fill="auto"/>
            <w:noWrap/>
            <w:vAlign w:val="center"/>
            <w:hideMark/>
          </w:tcPr>
          <w:p w14:paraId="4317FB4E" w14:textId="368ECDE6" w:rsidR="008178E9" w:rsidRPr="00206845" w:rsidRDefault="008178E9" w:rsidP="001B3314">
            <w:pPr>
              <w:spacing w:after="0" w:line="276" w:lineRule="auto"/>
              <w:jc w:val="right"/>
              <w:rPr>
                <w:rFonts w:cs="Arial"/>
                <w:sz w:val="16"/>
                <w:szCs w:val="16"/>
              </w:rPr>
            </w:pPr>
          </w:p>
        </w:tc>
        <w:tc>
          <w:tcPr>
            <w:tcW w:w="993" w:type="dxa"/>
            <w:shd w:val="clear" w:color="auto" w:fill="auto"/>
            <w:noWrap/>
            <w:vAlign w:val="center"/>
          </w:tcPr>
          <w:p w14:paraId="0A10B86E" w14:textId="314329E5" w:rsidR="008178E9" w:rsidRPr="00206845" w:rsidRDefault="008178E9" w:rsidP="001B3314">
            <w:pPr>
              <w:spacing w:after="0" w:line="276" w:lineRule="auto"/>
              <w:jc w:val="right"/>
              <w:rPr>
                <w:rFonts w:cs="Arial"/>
                <w:sz w:val="16"/>
                <w:szCs w:val="16"/>
              </w:rPr>
            </w:pPr>
          </w:p>
        </w:tc>
      </w:tr>
      <w:tr w:rsidR="001B3314" w:rsidRPr="00206845" w14:paraId="31FDCD0E" w14:textId="77777777" w:rsidTr="00737954">
        <w:trPr>
          <w:cantSplit/>
          <w:trHeight w:val="227"/>
          <w:jc w:val="center"/>
        </w:trPr>
        <w:tc>
          <w:tcPr>
            <w:tcW w:w="3072" w:type="dxa"/>
            <w:shd w:val="clear" w:color="auto" w:fill="F2F2F2" w:themeFill="background1" w:themeFillShade="F2"/>
            <w:vAlign w:val="center"/>
            <w:hideMark/>
          </w:tcPr>
          <w:p w14:paraId="2B6066A7" w14:textId="77777777" w:rsidR="001F53B4" w:rsidRDefault="008178E9" w:rsidP="00A02D1C">
            <w:pPr>
              <w:spacing w:after="0" w:line="276" w:lineRule="auto"/>
              <w:jc w:val="left"/>
              <w:rPr>
                <w:rFonts w:cs="Arial"/>
                <w:sz w:val="16"/>
                <w:szCs w:val="16"/>
              </w:rPr>
            </w:pPr>
            <w:r w:rsidRPr="00206845">
              <w:rPr>
                <w:rFonts w:cs="Arial"/>
                <w:sz w:val="16"/>
                <w:szCs w:val="16"/>
              </w:rPr>
              <w:t>Έργα στο στάδιο προετοιμασίας</w:t>
            </w:r>
          </w:p>
          <w:p w14:paraId="507F074C" w14:textId="5B6CF6A7" w:rsidR="008178E9" w:rsidRPr="00206845" w:rsidRDefault="008178E9" w:rsidP="00A02D1C">
            <w:pPr>
              <w:spacing w:after="0" w:line="276" w:lineRule="auto"/>
              <w:jc w:val="left"/>
              <w:rPr>
                <w:rFonts w:cs="Arial"/>
                <w:sz w:val="16"/>
                <w:szCs w:val="16"/>
              </w:rPr>
            </w:pPr>
            <w:r w:rsidRPr="00206845">
              <w:rPr>
                <w:rFonts w:cs="Arial"/>
                <w:sz w:val="16"/>
                <w:szCs w:val="16"/>
              </w:rPr>
              <w:t>(</w:t>
            </w:r>
            <w:r w:rsidR="001F53B4">
              <w:rPr>
                <w:rFonts w:cs="Arial"/>
                <w:sz w:val="16"/>
                <w:szCs w:val="16"/>
              </w:rPr>
              <w:t>λ</w:t>
            </w:r>
            <w:r w:rsidRPr="00206845">
              <w:rPr>
                <w:rFonts w:cs="Arial"/>
                <w:sz w:val="16"/>
                <w:szCs w:val="16"/>
              </w:rPr>
              <w:t>οιπά ακίνητα)</w:t>
            </w:r>
          </w:p>
        </w:tc>
        <w:tc>
          <w:tcPr>
            <w:tcW w:w="749" w:type="dxa"/>
            <w:shd w:val="clear" w:color="auto" w:fill="F2F2F2" w:themeFill="background1" w:themeFillShade="F2"/>
            <w:noWrap/>
            <w:vAlign w:val="center"/>
          </w:tcPr>
          <w:p w14:paraId="3447DF74" w14:textId="32A4B103" w:rsidR="008178E9" w:rsidRPr="00206845" w:rsidRDefault="008178E9" w:rsidP="001B3314">
            <w:pPr>
              <w:spacing w:after="0" w:line="276" w:lineRule="auto"/>
              <w:jc w:val="right"/>
              <w:rPr>
                <w:rFonts w:cs="Arial"/>
                <w:sz w:val="16"/>
                <w:szCs w:val="16"/>
              </w:rPr>
            </w:pPr>
          </w:p>
        </w:tc>
        <w:tc>
          <w:tcPr>
            <w:tcW w:w="847" w:type="dxa"/>
            <w:shd w:val="clear" w:color="auto" w:fill="F2F2F2" w:themeFill="background1" w:themeFillShade="F2"/>
            <w:noWrap/>
            <w:vAlign w:val="center"/>
          </w:tcPr>
          <w:p w14:paraId="44542DBF" w14:textId="00CC2499" w:rsidR="008178E9" w:rsidRPr="00206845" w:rsidRDefault="008178E9" w:rsidP="001B3314">
            <w:pPr>
              <w:spacing w:after="0" w:line="276" w:lineRule="auto"/>
              <w:jc w:val="right"/>
              <w:rPr>
                <w:rFonts w:cs="Arial"/>
                <w:sz w:val="16"/>
                <w:szCs w:val="16"/>
              </w:rPr>
            </w:pPr>
          </w:p>
        </w:tc>
        <w:tc>
          <w:tcPr>
            <w:tcW w:w="849" w:type="dxa"/>
            <w:shd w:val="clear" w:color="auto" w:fill="F2F2F2" w:themeFill="background1" w:themeFillShade="F2"/>
            <w:noWrap/>
            <w:vAlign w:val="center"/>
          </w:tcPr>
          <w:p w14:paraId="6C6BD299" w14:textId="61C68FFB" w:rsidR="008178E9" w:rsidRPr="00206845" w:rsidRDefault="008178E9" w:rsidP="001B3314">
            <w:pPr>
              <w:spacing w:after="0" w:line="276" w:lineRule="auto"/>
              <w:jc w:val="right"/>
              <w:rPr>
                <w:rFonts w:cs="Arial"/>
                <w:sz w:val="16"/>
                <w:szCs w:val="16"/>
              </w:rPr>
            </w:pPr>
          </w:p>
        </w:tc>
        <w:tc>
          <w:tcPr>
            <w:tcW w:w="852" w:type="dxa"/>
            <w:shd w:val="clear" w:color="auto" w:fill="F2F2F2" w:themeFill="background1" w:themeFillShade="F2"/>
            <w:noWrap/>
            <w:vAlign w:val="center"/>
          </w:tcPr>
          <w:p w14:paraId="7F7B2C18" w14:textId="700C2F6A" w:rsidR="008178E9" w:rsidRPr="00206845" w:rsidRDefault="008178E9" w:rsidP="001B3314">
            <w:pPr>
              <w:spacing w:after="0" w:line="276" w:lineRule="auto"/>
              <w:jc w:val="right"/>
              <w:rPr>
                <w:rFonts w:cs="Arial"/>
                <w:sz w:val="16"/>
                <w:szCs w:val="16"/>
              </w:rPr>
            </w:pPr>
          </w:p>
        </w:tc>
        <w:tc>
          <w:tcPr>
            <w:tcW w:w="1141" w:type="dxa"/>
            <w:shd w:val="clear" w:color="auto" w:fill="F2F2F2" w:themeFill="background1" w:themeFillShade="F2"/>
            <w:noWrap/>
            <w:vAlign w:val="center"/>
            <w:hideMark/>
          </w:tcPr>
          <w:p w14:paraId="33577FF1" w14:textId="2F05E0A1" w:rsidR="008178E9" w:rsidRPr="00206845" w:rsidRDefault="008178E9" w:rsidP="001B3314">
            <w:pPr>
              <w:spacing w:after="0" w:line="276" w:lineRule="auto"/>
              <w:jc w:val="right"/>
              <w:rPr>
                <w:rFonts w:cs="Arial"/>
                <w:sz w:val="16"/>
                <w:szCs w:val="16"/>
              </w:rPr>
            </w:pPr>
          </w:p>
        </w:tc>
        <w:tc>
          <w:tcPr>
            <w:tcW w:w="851" w:type="dxa"/>
            <w:shd w:val="clear" w:color="auto" w:fill="F2F2F2" w:themeFill="background1" w:themeFillShade="F2"/>
            <w:noWrap/>
            <w:vAlign w:val="center"/>
            <w:hideMark/>
          </w:tcPr>
          <w:p w14:paraId="3ED417B1" w14:textId="77777777" w:rsidR="008178E9" w:rsidRPr="00206845" w:rsidRDefault="008178E9" w:rsidP="001B3314">
            <w:pPr>
              <w:spacing w:after="0" w:line="276" w:lineRule="auto"/>
              <w:jc w:val="right"/>
              <w:rPr>
                <w:rFonts w:cs="Arial"/>
                <w:sz w:val="16"/>
                <w:szCs w:val="16"/>
              </w:rPr>
            </w:pPr>
            <w:r w:rsidRPr="00206845">
              <w:rPr>
                <w:rFonts w:cs="Arial"/>
                <w:sz w:val="16"/>
                <w:szCs w:val="16"/>
              </w:rPr>
              <w:t>41,40</w:t>
            </w:r>
          </w:p>
        </w:tc>
        <w:tc>
          <w:tcPr>
            <w:tcW w:w="850" w:type="dxa"/>
            <w:shd w:val="clear" w:color="auto" w:fill="F2F2F2" w:themeFill="background1" w:themeFillShade="F2"/>
            <w:noWrap/>
            <w:vAlign w:val="center"/>
            <w:hideMark/>
          </w:tcPr>
          <w:p w14:paraId="699DC4A7" w14:textId="77777777" w:rsidR="008178E9" w:rsidRPr="00206845" w:rsidRDefault="008178E9" w:rsidP="001B3314">
            <w:pPr>
              <w:spacing w:after="0" w:line="276" w:lineRule="auto"/>
              <w:jc w:val="right"/>
              <w:rPr>
                <w:rFonts w:cs="Arial"/>
                <w:sz w:val="16"/>
                <w:szCs w:val="16"/>
              </w:rPr>
            </w:pPr>
            <w:r w:rsidRPr="00206845">
              <w:rPr>
                <w:rFonts w:cs="Arial"/>
                <w:sz w:val="16"/>
                <w:szCs w:val="16"/>
              </w:rPr>
              <w:t>28,48</w:t>
            </w:r>
          </w:p>
        </w:tc>
        <w:tc>
          <w:tcPr>
            <w:tcW w:w="992" w:type="dxa"/>
            <w:shd w:val="clear" w:color="auto" w:fill="F2F2F2" w:themeFill="background1" w:themeFillShade="F2"/>
            <w:noWrap/>
            <w:vAlign w:val="center"/>
            <w:hideMark/>
          </w:tcPr>
          <w:p w14:paraId="648E3553" w14:textId="77777777" w:rsidR="008178E9" w:rsidRPr="00206845" w:rsidRDefault="008178E9" w:rsidP="001B3314">
            <w:pPr>
              <w:spacing w:after="0" w:line="276" w:lineRule="auto"/>
              <w:jc w:val="right"/>
              <w:rPr>
                <w:rFonts w:cs="Arial"/>
                <w:sz w:val="16"/>
                <w:szCs w:val="16"/>
              </w:rPr>
            </w:pPr>
            <w:r w:rsidRPr="00206845">
              <w:rPr>
                <w:rFonts w:cs="Arial"/>
                <w:sz w:val="16"/>
                <w:szCs w:val="16"/>
              </w:rPr>
              <w:t>0,49</w:t>
            </w:r>
          </w:p>
        </w:tc>
        <w:tc>
          <w:tcPr>
            <w:tcW w:w="993" w:type="dxa"/>
            <w:shd w:val="clear" w:color="auto" w:fill="F2F2F2" w:themeFill="background1" w:themeFillShade="F2"/>
            <w:noWrap/>
            <w:vAlign w:val="center"/>
            <w:hideMark/>
          </w:tcPr>
          <w:p w14:paraId="3EA09841" w14:textId="77777777" w:rsidR="008178E9" w:rsidRPr="00206845" w:rsidRDefault="008178E9" w:rsidP="001B3314">
            <w:pPr>
              <w:spacing w:after="0" w:line="276" w:lineRule="auto"/>
              <w:jc w:val="right"/>
              <w:rPr>
                <w:rFonts w:cs="Arial"/>
                <w:sz w:val="16"/>
                <w:szCs w:val="16"/>
              </w:rPr>
            </w:pPr>
            <w:r w:rsidRPr="00206845">
              <w:rPr>
                <w:rFonts w:cs="Arial"/>
                <w:sz w:val="16"/>
                <w:szCs w:val="16"/>
              </w:rPr>
              <w:t>0,48</w:t>
            </w:r>
          </w:p>
        </w:tc>
      </w:tr>
      <w:tr w:rsidR="001B3314" w:rsidRPr="00206845" w14:paraId="1FFB33C8" w14:textId="77777777" w:rsidTr="00737954">
        <w:trPr>
          <w:cantSplit/>
          <w:trHeight w:val="227"/>
          <w:jc w:val="center"/>
        </w:trPr>
        <w:tc>
          <w:tcPr>
            <w:tcW w:w="3072" w:type="dxa"/>
            <w:shd w:val="clear" w:color="auto" w:fill="D5DCE4"/>
            <w:vAlign w:val="center"/>
            <w:hideMark/>
          </w:tcPr>
          <w:p w14:paraId="397237C0" w14:textId="46917CE3" w:rsidR="008178E9" w:rsidRPr="00206845" w:rsidRDefault="008178E9" w:rsidP="00A02D1C">
            <w:pPr>
              <w:spacing w:after="0" w:line="276" w:lineRule="auto"/>
              <w:jc w:val="left"/>
              <w:rPr>
                <w:rFonts w:cs="Arial"/>
                <w:b/>
                <w:bCs/>
                <w:sz w:val="16"/>
                <w:szCs w:val="16"/>
              </w:rPr>
            </w:pPr>
            <w:r w:rsidRPr="00206845">
              <w:rPr>
                <w:rFonts w:cs="Arial"/>
                <w:b/>
                <w:bCs/>
                <w:sz w:val="16"/>
                <w:szCs w:val="16"/>
              </w:rPr>
              <w:t xml:space="preserve">Εταιρικά </w:t>
            </w:r>
            <w:r w:rsidR="001F53B4">
              <w:rPr>
                <w:rFonts w:cs="Arial"/>
                <w:b/>
                <w:bCs/>
                <w:sz w:val="16"/>
                <w:szCs w:val="16"/>
              </w:rPr>
              <w:t>και</w:t>
            </w:r>
            <w:r w:rsidRPr="00206845">
              <w:rPr>
                <w:rFonts w:cs="Arial"/>
                <w:b/>
                <w:bCs/>
                <w:sz w:val="16"/>
                <w:szCs w:val="16"/>
              </w:rPr>
              <w:t xml:space="preserve"> Υποδομές</w:t>
            </w:r>
          </w:p>
        </w:tc>
        <w:tc>
          <w:tcPr>
            <w:tcW w:w="749" w:type="dxa"/>
            <w:shd w:val="clear" w:color="auto" w:fill="D5DCE4"/>
            <w:noWrap/>
            <w:vAlign w:val="center"/>
            <w:hideMark/>
          </w:tcPr>
          <w:p w14:paraId="6DD1A5C0"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323,40</w:t>
            </w:r>
          </w:p>
        </w:tc>
        <w:tc>
          <w:tcPr>
            <w:tcW w:w="847" w:type="dxa"/>
            <w:shd w:val="clear" w:color="auto" w:fill="D5DCE4"/>
            <w:noWrap/>
            <w:vAlign w:val="center"/>
            <w:hideMark/>
          </w:tcPr>
          <w:p w14:paraId="1ED0B143"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576,00</w:t>
            </w:r>
          </w:p>
        </w:tc>
        <w:tc>
          <w:tcPr>
            <w:tcW w:w="849" w:type="dxa"/>
            <w:shd w:val="clear" w:color="auto" w:fill="D5DCE4"/>
            <w:noWrap/>
            <w:vAlign w:val="center"/>
            <w:hideMark/>
          </w:tcPr>
          <w:p w14:paraId="472D0A37" w14:textId="693F8461" w:rsidR="008178E9" w:rsidRPr="00E1269F" w:rsidRDefault="00FC5790" w:rsidP="001B3314">
            <w:pPr>
              <w:spacing w:after="0" w:line="276" w:lineRule="auto"/>
              <w:jc w:val="right"/>
              <w:rPr>
                <w:rFonts w:cs="Arial"/>
                <w:b/>
                <w:bCs/>
                <w:sz w:val="16"/>
                <w:szCs w:val="16"/>
              </w:rPr>
            </w:pPr>
            <w:r>
              <w:rPr>
                <w:rFonts w:cs="Arial"/>
                <w:b/>
                <w:bCs/>
                <w:sz w:val="16"/>
                <w:szCs w:val="16"/>
                <w:lang w:val="en-US"/>
              </w:rPr>
              <w:t>301,5</w:t>
            </w:r>
            <w:r w:rsidR="00E1269F">
              <w:rPr>
                <w:rFonts w:cs="Arial"/>
                <w:b/>
                <w:bCs/>
                <w:sz w:val="16"/>
                <w:szCs w:val="16"/>
              </w:rPr>
              <w:t>0</w:t>
            </w:r>
          </w:p>
        </w:tc>
        <w:tc>
          <w:tcPr>
            <w:tcW w:w="852" w:type="dxa"/>
            <w:shd w:val="clear" w:color="auto" w:fill="D5DCE4"/>
            <w:noWrap/>
            <w:vAlign w:val="center"/>
            <w:hideMark/>
          </w:tcPr>
          <w:p w14:paraId="25EDC6A2" w14:textId="748FDB2B" w:rsidR="008178E9" w:rsidRPr="00206845" w:rsidRDefault="008178E9" w:rsidP="001B3314">
            <w:pPr>
              <w:spacing w:after="0" w:line="276" w:lineRule="auto"/>
              <w:jc w:val="right"/>
              <w:rPr>
                <w:rFonts w:cs="Arial"/>
                <w:b/>
                <w:bCs/>
                <w:sz w:val="16"/>
                <w:szCs w:val="16"/>
              </w:rPr>
            </w:pPr>
            <w:r w:rsidRPr="00206845">
              <w:rPr>
                <w:rFonts w:cs="Arial"/>
                <w:b/>
                <w:bCs/>
                <w:sz w:val="16"/>
                <w:szCs w:val="16"/>
              </w:rPr>
              <w:t>4</w:t>
            </w:r>
            <w:r w:rsidR="00A02D1C">
              <w:rPr>
                <w:rFonts w:cs="Arial"/>
                <w:b/>
                <w:bCs/>
                <w:sz w:val="16"/>
                <w:szCs w:val="16"/>
              </w:rPr>
              <w:t>.</w:t>
            </w:r>
            <w:r w:rsidRPr="00206845">
              <w:rPr>
                <w:rFonts w:cs="Arial"/>
                <w:b/>
                <w:bCs/>
                <w:sz w:val="16"/>
                <w:szCs w:val="16"/>
              </w:rPr>
              <w:t>155,30</w:t>
            </w:r>
          </w:p>
        </w:tc>
        <w:tc>
          <w:tcPr>
            <w:tcW w:w="1141" w:type="dxa"/>
            <w:shd w:val="clear" w:color="auto" w:fill="D5DCE4"/>
            <w:noWrap/>
            <w:vAlign w:val="center"/>
            <w:hideMark/>
          </w:tcPr>
          <w:p w14:paraId="2DEA08D9" w14:textId="4DD7EED7" w:rsidR="008178E9" w:rsidRPr="00206845" w:rsidRDefault="008178E9" w:rsidP="001B3314">
            <w:pPr>
              <w:spacing w:after="0" w:line="276" w:lineRule="auto"/>
              <w:jc w:val="right"/>
              <w:rPr>
                <w:rFonts w:cs="Arial"/>
                <w:b/>
                <w:bCs/>
                <w:sz w:val="16"/>
                <w:szCs w:val="16"/>
              </w:rPr>
            </w:pPr>
            <w:r w:rsidRPr="00206845">
              <w:rPr>
                <w:rFonts w:cs="Arial"/>
                <w:b/>
                <w:bCs/>
                <w:sz w:val="16"/>
                <w:szCs w:val="16"/>
              </w:rPr>
              <w:t>1</w:t>
            </w:r>
            <w:r w:rsidR="00A02D1C">
              <w:rPr>
                <w:rFonts w:cs="Arial"/>
                <w:b/>
                <w:bCs/>
                <w:sz w:val="16"/>
                <w:szCs w:val="16"/>
              </w:rPr>
              <w:t>.</w:t>
            </w:r>
            <w:r w:rsidRPr="00206845">
              <w:rPr>
                <w:rFonts w:cs="Arial"/>
                <w:b/>
                <w:bCs/>
                <w:sz w:val="16"/>
                <w:szCs w:val="16"/>
              </w:rPr>
              <w:t>511,50</w:t>
            </w:r>
          </w:p>
        </w:tc>
        <w:tc>
          <w:tcPr>
            <w:tcW w:w="851" w:type="dxa"/>
            <w:shd w:val="clear" w:color="auto" w:fill="D5DCE4"/>
            <w:noWrap/>
            <w:vAlign w:val="center"/>
            <w:hideMark/>
          </w:tcPr>
          <w:p w14:paraId="06623810"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270,70</w:t>
            </w:r>
          </w:p>
        </w:tc>
        <w:tc>
          <w:tcPr>
            <w:tcW w:w="850" w:type="dxa"/>
            <w:shd w:val="clear" w:color="auto" w:fill="D5DCE4"/>
            <w:noWrap/>
            <w:vAlign w:val="center"/>
            <w:hideMark/>
          </w:tcPr>
          <w:p w14:paraId="010D7F61"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171,80</w:t>
            </w:r>
          </w:p>
        </w:tc>
        <w:tc>
          <w:tcPr>
            <w:tcW w:w="992" w:type="dxa"/>
            <w:shd w:val="clear" w:color="auto" w:fill="D5DCE4"/>
            <w:noWrap/>
            <w:vAlign w:val="center"/>
            <w:hideMark/>
          </w:tcPr>
          <w:p w14:paraId="7DDC5D3D" w14:textId="6FF28F6F" w:rsidR="008178E9" w:rsidRPr="00206845" w:rsidRDefault="008178E9" w:rsidP="001B3314">
            <w:pPr>
              <w:spacing w:after="0" w:line="276" w:lineRule="auto"/>
              <w:jc w:val="right"/>
              <w:rPr>
                <w:rFonts w:cs="Arial"/>
                <w:b/>
                <w:bCs/>
                <w:sz w:val="16"/>
                <w:szCs w:val="16"/>
              </w:rPr>
            </w:pPr>
            <w:r w:rsidRPr="00206845">
              <w:rPr>
                <w:rFonts w:cs="Arial"/>
                <w:b/>
                <w:bCs/>
                <w:sz w:val="16"/>
                <w:szCs w:val="16"/>
              </w:rPr>
              <w:t>2</w:t>
            </w:r>
            <w:r w:rsidR="00A02D1C">
              <w:rPr>
                <w:rFonts w:cs="Arial"/>
                <w:b/>
                <w:bCs/>
                <w:sz w:val="16"/>
                <w:szCs w:val="16"/>
              </w:rPr>
              <w:t>.</w:t>
            </w:r>
            <w:r w:rsidRPr="00206845">
              <w:rPr>
                <w:rFonts w:cs="Arial"/>
                <w:b/>
                <w:bCs/>
                <w:sz w:val="16"/>
                <w:szCs w:val="16"/>
              </w:rPr>
              <w:t>440,76</w:t>
            </w:r>
          </w:p>
        </w:tc>
        <w:tc>
          <w:tcPr>
            <w:tcW w:w="993" w:type="dxa"/>
            <w:shd w:val="clear" w:color="auto" w:fill="D5DCE4"/>
            <w:noWrap/>
            <w:vAlign w:val="center"/>
            <w:hideMark/>
          </w:tcPr>
          <w:p w14:paraId="09F1E56D"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174,30</w:t>
            </w:r>
          </w:p>
        </w:tc>
      </w:tr>
      <w:tr w:rsidR="001B3314" w:rsidRPr="00206845" w14:paraId="48201886" w14:textId="77777777" w:rsidTr="00737954">
        <w:trPr>
          <w:cantSplit/>
          <w:trHeight w:val="227"/>
          <w:jc w:val="center"/>
        </w:trPr>
        <w:tc>
          <w:tcPr>
            <w:tcW w:w="3072" w:type="dxa"/>
            <w:shd w:val="clear" w:color="auto" w:fill="auto"/>
            <w:vAlign w:val="center"/>
            <w:hideMark/>
          </w:tcPr>
          <w:p w14:paraId="424741A0" w14:textId="4D3A8FBC" w:rsidR="001F53B4" w:rsidRDefault="008178E9" w:rsidP="00A02D1C">
            <w:pPr>
              <w:spacing w:after="0" w:line="276" w:lineRule="auto"/>
              <w:jc w:val="left"/>
              <w:rPr>
                <w:rFonts w:cs="Arial"/>
                <w:sz w:val="16"/>
                <w:szCs w:val="16"/>
              </w:rPr>
            </w:pPr>
            <w:r w:rsidRPr="00206845">
              <w:rPr>
                <w:rFonts w:cs="Arial"/>
                <w:sz w:val="16"/>
                <w:szCs w:val="16"/>
              </w:rPr>
              <w:t>Σωρευτ</w:t>
            </w:r>
            <w:r w:rsidR="001F53B4">
              <w:rPr>
                <w:rFonts w:cs="Arial"/>
                <w:sz w:val="16"/>
                <w:szCs w:val="16"/>
              </w:rPr>
              <w:t>ικά</w:t>
            </w:r>
            <w:r w:rsidRPr="00206845">
              <w:rPr>
                <w:rFonts w:cs="Arial"/>
                <w:sz w:val="16"/>
                <w:szCs w:val="16"/>
              </w:rPr>
              <w:t xml:space="preserve"> Εταιρ</w:t>
            </w:r>
            <w:r w:rsidR="001F53B4">
              <w:rPr>
                <w:rFonts w:cs="Arial"/>
                <w:sz w:val="16"/>
                <w:szCs w:val="16"/>
              </w:rPr>
              <w:t>ικά και</w:t>
            </w:r>
            <w:r w:rsidRPr="00206845">
              <w:rPr>
                <w:rFonts w:cs="Arial"/>
                <w:sz w:val="16"/>
                <w:szCs w:val="16"/>
              </w:rPr>
              <w:t xml:space="preserve"> Υποδομές</w:t>
            </w:r>
          </w:p>
          <w:p w14:paraId="02FE4771" w14:textId="42AD6128" w:rsidR="008178E9" w:rsidRPr="00206845" w:rsidRDefault="008178E9" w:rsidP="00A02D1C">
            <w:pPr>
              <w:spacing w:after="0" w:line="276" w:lineRule="auto"/>
              <w:jc w:val="left"/>
              <w:rPr>
                <w:rFonts w:cs="Arial"/>
                <w:sz w:val="16"/>
                <w:szCs w:val="16"/>
              </w:rPr>
            </w:pPr>
            <w:r w:rsidRPr="00206845">
              <w:rPr>
                <w:rFonts w:cs="Arial"/>
                <w:sz w:val="16"/>
                <w:szCs w:val="16"/>
              </w:rPr>
              <w:t>(από το 2020)</w:t>
            </w:r>
          </w:p>
        </w:tc>
        <w:tc>
          <w:tcPr>
            <w:tcW w:w="749" w:type="dxa"/>
            <w:shd w:val="clear" w:color="000000" w:fill="FFFFFF"/>
            <w:noWrap/>
            <w:vAlign w:val="center"/>
            <w:hideMark/>
          </w:tcPr>
          <w:p w14:paraId="70076DF9" w14:textId="77777777" w:rsidR="008178E9" w:rsidRPr="00206845" w:rsidRDefault="008178E9" w:rsidP="001B3314">
            <w:pPr>
              <w:spacing w:after="0" w:line="276" w:lineRule="auto"/>
              <w:jc w:val="right"/>
              <w:rPr>
                <w:rFonts w:cs="Arial"/>
                <w:sz w:val="16"/>
                <w:szCs w:val="16"/>
              </w:rPr>
            </w:pPr>
            <w:r w:rsidRPr="00206845">
              <w:rPr>
                <w:rFonts w:cs="Arial"/>
                <w:sz w:val="16"/>
                <w:szCs w:val="16"/>
              </w:rPr>
              <w:t>324,90</w:t>
            </w:r>
          </w:p>
        </w:tc>
        <w:tc>
          <w:tcPr>
            <w:tcW w:w="847" w:type="dxa"/>
            <w:shd w:val="clear" w:color="000000" w:fill="FFFFFF"/>
            <w:noWrap/>
            <w:vAlign w:val="center"/>
            <w:hideMark/>
          </w:tcPr>
          <w:p w14:paraId="6812E4F0" w14:textId="77777777" w:rsidR="008178E9" w:rsidRPr="00206845" w:rsidRDefault="008178E9" w:rsidP="001B3314">
            <w:pPr>
              <w:spacing w:after="0" w:line="276" w:lineRule="auto"/>
              <w:jc w:val="right"/>
              <w:rPr>
                <w:rFonts w:cs="Arial"/>
                <w:sz w:val="16"/>
                <w:szCs w:val="16"/>
              </w:rPr>
            </w:pPr>
            <w:r w:rsidRPr="00206845">
              <w:rPr>
                <w:rFonts w:cs="Arial"/>
                <w:sz w:val="16"/>
                <w:szCs w:val="16"/>
              </w:rPr>
              <w:t>900,90</w:t>
            </w:r>
          </w:p>
        </w:tc>
        <w:tc>
          <w:tcPr>
            <w:tcW w:w="849" w:type="dxa"/>
            <w:shd w:val="clear" w:color="000000" w:fill="FFFFFF"/>
            <w:noWrap/>
            <w:vAlign w:val="center"/>
            <w:hideMark/>
          </w:tcPr>
          <w:p w14:paraId="37E5C94B" w14:textId="44C66610" w:rsidR="008178E9" w:rsidRPr="00E1269F" w:rsidRDefault="008178E9" w:rsidP="001B3314">
            <w:pPr>
              <w:spacing w:after="0" w:line="276" w:lineRule="auto"/>
              <w:jc w:val="right"/>
              <w:rPr>
                <w:rFonts w:cs="Arial"/>
                <w:sz w:val="16"/>
                <w:szCs w:val="16"/>
              </w:rPr>
            </w:pPr>
            <w:r w:rsidRPr="00206845">
              <w:rPr>
                <w:rFonts w:cs="Arial"/>
                <w:sz w:val="16"/>
                <w:szCs w:val="16"/>
              </w:rPr>
              <w:t>1</w:t>
            </w:r>
            <w:r w:rsidR="00A02D1C">
              <w:rPr>
                <w:rFonts w:cs="Arial"/>
                <w:sz w:val="16"/>
                <w:szCs w:val="16"/>
              </w:rPr>
              <w:t>.</w:t>
            </w:r>
            <w:r w:rsidR="00FC5790">
              <w:rPr>
                <w:rFonts w:cs="Arial"/>
                <w:sz w:val="16"/>
                <w:szCs w:val="16"/>
                <w:lang w:val="en-US"/>
              </w:rPr>
              <w:t>202,4</w:t>
            </w:r>
            <w:r w:rsidR="00E1269F">
              <w:rPr>
                <w:rFonts w:cs="Arial"/>
                <w:sz w:val="16"/>
                <w:szCs w:val="16"/>
              </w:rPr>
              <w:t>0</w:t>
            </w:r>
          </w:p>
        </w:tc>
        <w:tc>
          <w:tcPr>
            <w:tcW w:w="852" w:type="dxa"/>
            <w:shd w:val="clear" w:color="000000" w:fill="FFFFFF"/>
            <w:noWrap/>
            <w:vAlign w:val="center"/>
            <w:hideMark/>
          </w:tcPr>
          <w:p w14:paraId="056810A0" w14:textId="0A465213" w:rsidR="008178E9" w:rsidRPr="00E1269F" w:rsidRDefault="008178E9" w:rsidP="001B3314">
            <w:pPr>
              <w:spacing w:after="0" w:line="276" w:lineRule="auto"/>
              <w:jc w:val="right"/>
              <w:rPr>
                <w:rFonts w:cs="Arial"/>
                <w:sz w:val="16"/>
                <w:szCs w:val="16"/>
              </w:rPr>
            </w:pPr>
            <w:r w:rsidRPr="00206845">
              <w:rPr>
                <w:rFonts w:cs="Arial"/>
                <w:sz w:val="16"/>
                <w:szCs w:val="16"/>
              </w:rPr>
              <w:t>5</w:t>
            </w:r>
            <w:r w:rsidR="00A02D1C">
              <w:rPr>
                <w:rFonts w:cs="Arial"/>
                <w:sz w:val="16"/>
                <w:szCs w:val="16"/>
              </w:rPr>
              <w:t>.</w:t>
            </w:r>
            <w:r w:rsidR="00FC5790">
              <w:rPr>
                <w:rFonts w:cs="Arial"/>
                <w:sz w:val="16"/>
                <w:szCs w:val="16"/>
                <w:lang w:val="en-US"/>
              </w:rPr>
              <w:t>357,7</w:t>
            </w:r>
            <w:r w:rsidR="00E1269F">
              <w:rPr>
                <w:rFonts w:cs="Arial"/>
                <w:sz w:val="16"/>
                <w:szCs w:val="16"/>
              </w:rPr>
              <w:t>0</w:t>
            </w:r>
          </w:p>
        </w:tc>
        <w:tc>
          <w:tcPr>
            <w:tcW w:w="1141" w:type="dxa"/>
            <w:shd w:val="clear" w:color="000000" w:fill="FFFFFF"/>
            <w:noWrap/>
            <w:vAlign w:val="center"/>
            <w:hideMark/>
          </w:tcPr>
          <w:p w14:paraId="04527D74" w14:textId="46C769B6" w:rsidR="008178E9" w:rsidRPr="00E1269F" w:rsidRDefault="008178E9" w:rsidP="001B3314">
            <w:pPr>
              <w:spacing w:after="0" w:line="276" w:lineRule="auto"/>
              <w:jc w:val="right"/>
              <w:rPr>
                <w:rFonts w:cs="Arial"/>
                <w:sz w:val="16"/>
                <w:szCs w:val="16"/>
              </w:rPr>
            </w:pPr>
            <w:r w:rsidRPr="00206845">
              <w:rPr>
                <w:rFonts w:cs="Arial"/>
                <w:sz w:val="16"/>
                <w:szCs w:val="16"/>
              </w:rPr>
              <w:t>6</w:t>
            </w:r>
            <w:r w:rsidR="00A02D1C">
              <w:rPr>
                <w:rFonts w:cs="Arial"/>
                <w:sz w:val="16"/>
                <w:szCs w:val="16"/>
              </w:rPr>
              <w:t>.</w:t>
            </w:r>
            <w:r w:rsidR="00FC5790">
              <w:rPr>
                <w:rFonts w:cs="Arial"/>
                <w:sz w:val="16"/>
                <w:szCs w:val="16"/>
                <w:lang w:val="en-US"/>
              </w:rPr>
              <w:t>869,2</w:t>
            </w:r>
            <w:r w:rsidR="00E1269F">
              <w:rPr>
                <w:rFonts w:cs="Arial"/>
                <w:sz w:val="16"/>
                <w:szCs w:val="16"/>
              </w:rPr>
              <w:t>0</w:t>
            </w:r>
          </w:p>
        </w:tc>
        <w:tc>
          <w:tcPr>
            <w:tcW w:w="851" w:type="dxa"/>
            <w:shd w:val="clear" w:color="000000" w:fill="FFFFFF"/>
            <w:noWrap/>
            <w:vAlign w:val="center"/>
            <w:hideMark/>
          </w:tcPr>
          <w:p w14:paraId="6BA38EE0" w14:textId="6B2F378B" w:rsidR="008178E9" w:rsidRPr="00E1269F" w:rsidRDefault="008178E9" w:rsidP="001B3314">
            <w:pPr>
              <w:spacing w:after="0" w:line="276" w:lineRule="auto"/>
              <w:jc w:val="right"/>
              <w:rPr>
                <w:rFonts w:cs="Arial"/>
                <w:sz w:val="16"/>
                <w:szCs w:val="16"/>
              </w:rPr>
            </w:pPr>
            <w:r w:rsidRPr="00206845">
              <w:rPr>
                <w:rFonts w:cs="Arial"/>
                <w:sz w:val="16"/>
                <w:szCs w:val="16"/>
              </w:rPr>
              <w:t>7</w:t>
            </w:r>
            <w:r w:rsidR="00A02D1C">
              <w:rPr>
                <w:rFonts w:cs="Arial"/>
                <w:sz w:val="16"/>
                <w:szCs w:val="16"/>
              </w:rPr>
              <w:t>.</w:t>
            </w:r>
            <w:r w:rsidR="00FC5790">
              <w:rPr>
                <w:rFonts w:cs="Arial"/>
                <w:sz w:val="16"/>
                <w:szCs w:val="16"/>
                <w:lang w:val="en-US"/>
              </w:rPr>
              <w:t>139,9</w:t>
            </w:r>
            <w:r w:rsidR="00E1269F">
              <w:rPr>
                <w:rFonts w:cs="Arial"/>
                <w:sz w:val="16"/>
                <w:szCs w:val="16"/>
              </w:rPr>
              <w:t>0</w:t>
            </w:r>
          </w:p>
        </w:tc>
        <w:tc>
          <w:tcPr>
            <w:tcW w:w="850" w:type="dxa"/>
            <w:shd w:val="clear" w:color="000000" w:fill="FFFFFF"/>
            <w:noWrap/>
            <w:vAlign w:val="center"/>
            <w:hideMark/>
          </w:tcPr>
          <w:p w14:paraId="7CAD0901" w14:textId="0D72B3D4" w:rsidR="008178E9" w:rsidRPr="00E1269F" w:rsidRDefault="008178E9" w:rsidP="001B3314">
            <w:pPr>
              <w:spacing w:after="0" w:line="276" w:lineRule="auto"/>
              <w:jc w:val="right"/>
              <w:rPr>
                <w:rFonts w:cs="Arial"/>
                <w:sz w:val="16"/>
                <w:szCs w:val="16"/>
              </w:rPr>
            </w:pPr>
            <w:r w:rsidRPr="00206845">
              <w:rPr>
                <w:rFonts w:cs="Arial"/>
                <w:sz w:val="16"/>
                <w:szCs w:val="16"/>
              </w:rPr>
              <w:t>7</w:t>
            </w:r>
            <w:r w:rsidR="00A02D1C">
              <w:rPr>
                <w:rFonts w:cs="Arial"/>
                <w:sz w:val="16"/>
                <w:szCs w:val="16"/>
              </w:rPr>
              <w:t>.</w:t>
            </w:r>
            <w:r w:rsidR="00FC5790">
              <w:rPr>
                <w:rFonts w:cs="Arial"/>
                <w:sz w:val="16"/>
                <w:szCs w:val="16"/>
                <w:lang w:val="en-US"/>
              </w:rPr>
              <w:t>311,7</w:t>
            </w:r>
            <w:r w:rsidR="00E1269F">
              <w:rPr>
                <w:rFonts w:cs="Arial"/>
                <w:sz w:val="16"/>
                <w:szCs w:val="16"/>
              </w:rPr>
              <w:t>0</w:t>
            </w:r>
          </w:p>
        </w:tc>
        <w:tc>
          <w:tcPr>
            <w:tcW w:w="992" w:type="dxa"/>
            <w:shd w:val="clear" w:color="000000" w:fill="FFFFFF"/>
            <w:noWrap/>
            <w:vAlign w:val="center"/>
            <w:hideMark/>
          </w:tcPr>
          <w:p w14:paraId="153F5F48" w14:textId="38BFA558" w:rsidR="008178E9" w:rsidRPr="00206845" w:rsidRDefault="008178E9" w:rsidP="001B3314">
            <w:pPr>
              <w:spacing w:after="0" w:line="276" w:lineRule="auto"/>
              <w:jc w:val="right"/>
              <w:rPr>
                <w:rFonts w:cs="Arial"/>
                <w:sz w:val="16"/>
                <w:szCs w:val="16"/>
              </w:rPr>
            </w:pPr>
            <w:r w:rsidRPr="00206845">
              <w:rPr>
                <w:rFonts w:cs="Arial"/>
                <w:sz w:val="16"/>
                <w:szCs w:val="16"/>
              </w:rPr>
              <w:t>9</w:t>
            </w:r>
            <w:r w:rsidR="00A02D1C">
              <w:rPr>
                <w:rFonts w:cs="Arial"/>
                <w:sz w:val="16"/>
                <w:szCs w:val="16"/>
              </w:rPr>
              <w:t>.</w:t>
            </w:r>
            <w:r w:rsidR="006644A0">
              <w:rPr>
                <w:rFonts w:cs="Arial"/>
                <w:sz w:val="16"/>
                <w:szCs w:val="16"/>
                <w:lang w:val="en-US"/>
              </w:rPr>
              <w:t>752,46</w:t>
            </w:r>
          </w:p>
        </w:tc>
        <w:tc>
          <w:tcPr>
            <w:tcW w:w="993" w:type="dxa"/>
            <w:shd w:val="clear" w:color="000000" w:fill="FFFFFF"/>
            <w:noWrap/>
            <w:vAlign w:val="center"/>
            <w:hideMark/>
          </w:tcPr>
          <w:p w14:paraId="3B3700A2" w14:textId="125F0B44" w:rsidR="008178E9" w:rsidRPr="00206845" w:rsidRDefault="008178E9" w:rsidP="001B3314">
            <w:pPr>
              <w:spacing w:after="0" w:line="276" w:lineRule="auto"/>
              <w:jc w:val="right"/>
              <w:rPr>
                <w:rFonts w:cs="Arial"/>
                <w:sz w:val="16"/>
                <w:szCs w:val="16"/>
              </w:rPr>
            </w:pPr>
            <w:r w:rsidRPr="00206845">
              <w:rPr>
                <w:rFonts w:cs="Arial"/>
                <w:sz w:val="16"/>
                <w:szCs w:val="16"/>
              </w:rPr>
              <w:t>9</w:t>
            </w:r>
            <w:r w:rsidR="00A02D1C">
              <w:rPr>
                <w:rFonts w:cs="Arial"/>
                <w:sz w:val="16"/>
                <w:szCs w:val="16"/>
              </w:rPr>
              <w:t>.</w:t>
            </w:r>
            <w:r w:rsidR="006644A0">
              <w:rPr>
                <w:rFonts w:cs="Arial"/>
                <w:sz w:val="16"/>
                <w:szCs w:val="16"/>
                <w:lang w:val="en-US"/>
              </w:rPr>
              <w:t>926,76</w:t>
            </w:r>
          </w:p>
        </w:tc>
      </w:tr>
      <w:tr w:rsidR="001B3314" w:rsidRPr="00206845" w14:paraId="754754E0" w14:textId="77777777" w:rsidTr="00737954">
        <w:trPr>
          <w:cantSplit/>
          <w:trHeight w:val="227"/>
          <w:jc w:val="center"/>
        </w:trPr>
        <w:tc>
          <w:tcPr>
            <w:tcW w:w="3072" w:type="dxa"/>
            <w:shd w:val="clear" w:color="auto" w:fill="D5DCE4"/>
            <w:vAlign w:val="center"/>
            <w:hideMark/>
          </w:tcPr>
          <w:p w14:paraId="6A7CDA4E" w14:textId="77777777" w:rsidR="008178E9" w:rsidRPr="00206845" w:rsidRDefault="008178E9" w:rsidP="00A02D1C">
            <w:pPr>
              <w:spacing w:after="0" w:line="276" w:lineRule="auto"/>
              <w:jc w:val="left"/>
              <w:rPr>
                <w:rFonts w:cs="Arial"/>
                <w:b/>
                <w:bCs/>
                <w:sz w:val="16"/>
                <w:szCs w:val="16"/>
              </w:rPr>
            </w:pPr>
            <w:r w:rsidRPr="00206845">
              <w:rPr>
                <w:rFonts w:cs="Arial"/>
                <w:b/>
                <w:bCs/>
                <w:sz w:val="16"/>
                <w:szCs w:val="16"/>
              </w:rPr>
              <w:t>Ακίνητα</w:t>
            </w:r>
          </w:p>
        </w:tc>
        <w:tc>
          <w:tcPr>
            <w:tcW w:w="749" w:type="dxa"/>
            <w:shd w:val="clear" w:color="auto" w:fill="D5DCE4"/>
            <w:noWrap/>
            <w:vAlign w:val="center"/>
            <w:hideMark/>
          </w:tcPr>
          <w:p w14:paraId="52CFD3DA"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336,98</w:t>
            </w:r>
          </w:p>
        </w:tc>
        <w:tc>
          <w:tcPr>
            <w:tcW w:w="847" w:type="dxa"/>
            <w:shd w:val="clear" w:color="auto" w:fill="D5DCE4"/>
            <w:noWrap/>
            <w:vAlign w:val="center"/>
            <w:hideMark/>
          </w:tcPr>
          <w:p w14:paraId="09FF3328"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10,60</w:t>
            </w:r>
          </w:p>
        </w:tc>
        <w:tc>
          <w:tcPr>
            <w:tcW w:w="849" w:type="dxa"/>
            <w:shd w:val="clear" w:color="auto" w:fill="D5DCE4"/>
            <w:noWrap/>
            <w:vAlign w:val="center"/>
            <w:hideMark/>
          </w:tcPr>
          <w:p w14:paraId="1E5A3AA8"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195,78</w:t>
            </w:r>
          </w:p>
        </w:tc>
        <w:tc>
          <w:tcPr>
            <w:tcW w:w="852" w:type="dxa"/>
            <w:shd w:val="clear" w:color="auto" w:fill="D5DCE4"/>
            <w:noWrap/>
            <w:vAlign w:val="center"/>
            <w:hideMark/>
          </w:tcPr>
          <w:p w14:paraId="0689108F"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24,70</w:t>
            </w:r>
          </w:p>
        </w:tc>
        <w:tc>
          <w:tcPr>
            <w:tcW w:w="1141" w:type="dxa"/>
            <w:shd w:val="clear" w:color="auto" w:fill="D5DCE4"/>
            <w:noWrap/>
            <w:vAlign w:val="center"/>
            <w:hideMark/>
          </w:tcPr>
          <w:p w14:paraId="534CE30A"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49,90</w:t>
            </w:r>
          </w:p>
        </w:tc>
        <w:tc>
          <w:tcPr>
            <w:tcW w:w="851" w:type="dxa"/>
            <w:shd w:val="clear" w:color="auto" w:fill="D5DCE4"/>
            <w:noWrap/>
            <w:vAlign w:val="center"/>
            <w:hideMark/>
          </w:tcPr>
          <w:p w14:paraId="47AECD1A"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51,40</w:t>
            </w:r>
          </w:p>
        </w:tc>
        <w:tc>
          <w:tcPr>
            <w:tcW w:w="850" w:type="dxa"/>
            <w:shd w:val="clear" w:color="auto" w:fill="D5DCE4"/>
            <w:noWrap/>
            <w:vAlign w:val="center"/>
            <w:hideMark/>
          </w:tcPr>
          <w:p w14:paraId="17FF2974"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40,63</w:t>
            </w:r>
          </w:p>
        </w:tc>
        <w:tc>
          <w:tcPr>
            <w:tcW w:w="992" w:type="dxa"/>
            <w:shd w:val="clear" w:color="auto" w:fill="D5DCE4"/>
            <w:noWrap/>
            <w:vAlign w:val="center"/>
            <w:hideMark/>
          </w:tcPr>
          <w:p w14:paraId="32E5F3CD"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222,29</w:t>
            </w:r>
          </w:p>
        </w:tc>
        <w:tc>
          <w:tcPr>
            <w:tcW w:w="993" w:type="dxa"/>
            <w:shd w:val="clear" w:color="auto" w:fill="D5DCE4"/>
            <w:noWrap/>
            <w:vAlign w:val="center"/>
            <w:hideMark/>
          </w:tcPr>
          <w:p w14:paraId="3AC6BCD7" w14:textId="77777777" w:rsidR="008178E9" w:rsidRPr="00206845" w:rsidRDefault="008178E9" w:rsidP="001B3314">
            <w:pPr>
              <w:spacing w:after="0" w:line="276" w:lineRule="auto"/>
              <w:jc w:val="right"/>
              <w:rPr>
                <w:rFonts w:cs="Arial"/>
                <w:b/>
                <w:bCs/>
                <w:sz w:val="16"/>
                <w:szCs w:val="16"/>
              </w:rPr>
            </w:pPr>
            <w:r w:rsidRPr="00206845">
              <w:rPr>
                <w:rFonts w:cs="Arial"/>
                <w:b/>
                <w:bCs/>
                <w:sz w:val="16"/>
                <w:szCs w:val="16"/>
              </w:rPr>
              <w:t>0,48</w:t>
            </w:r>
          </w:p>
        </w:tc>
      </w:tr>
      <w:tr w:rsidR="001B3314" w:rsidRPr="00206845" w14:paraId="4CEC31EE" w14:textId="77777777" w:rsidTr="00737954">
        <w:trPr>
          <w:cantSplit/>
          <w:trHeight w:val="227"/>
          <w:jc w:val="center"/>
        </w:trPr>
        <w:tc>
          <w:tcPr>
            <w:tcW w:w="3072" w:type="dxa"/>
            <w:tcBorders>
              <w:bottom w:val="single" w:sz="2" w:space="0" w:color="A6A6A6" w:themeColor="background1" w:themeShade="A6"/>
            </w:tcBorders>
            <w:shd w:val="clear" w:color="auto" w:fill="auto"/>
            <w:vAlign w:val="center"/>
            <w:hideMark/>
          </w:tcPr>
          <w:p w14:paraId="4C900E3C" w14:textId="0BF9BFE8" w:rsidR="008178E9" w:rsidRPr="00206845" w:rsidRDefault="008178E9" w:rsidP="00A02D1C">
            <w:pPr>
              <w:spacing w:after="0" w:line="276" w:lineRule="auto"/>
              <w:jc w:val="left"/>
              <w:rPr>
                <w:rFonts w:cs="Arial"/>
                <w:sz w:val="16"/>
                <w:szCs w:val="16"/>
              </w:rPr>
            </w:pPr>
            <w:r w:rsidRPr="00206845">
              <w:rPr>
                <w:rFonts w:cs="Arial"/>
                <w:sz w:val="16"/>
                <w:szCs w:val="16"/>
              </w:rPr>
              <w:t>Σωρευτ</w:t>
            </w:r>
            <w:r w:rsidR="001F53B4">
              <w:rPr>
                <w:rFonts w:cs="Arial"/>
                <w:sz w:val="16"/>
                <w:szCs w:val="16"/>
              </w:rPr>
              <w:t>ικά</w:t>
            </w:r>
            <w:r w:rsidRPr="00206845">
              <w:rPr>
                <w:rFonts w:cs="Arial"/>
                <w:sz w:val="16"/>
                <w:szCs w:val="16"/>
              </w:rPr>
              <w:t xml:space="preserve"> Ακίνητα (από το 2020)</w:t>
            </w:r>
          </w:p>
        </w:tc>
        <w:tc>
          <w:tcPr>
            <w:tcW w:w="749" w:type="dxa"/>
            <w:tcBorders>
              <w:bottom w:val="single" w:sz="2" w:space="0" w:color="A6A6A6" w:themeColor="background1" w:themeShade="A6"/>
            </w:tcBorders>
            <w:shd w:val="clear" w:color="000000" w:fill="FFFFFF"/>
            <w:noWrap/>
            <w:vAlign w:val="center"/>
            <w:hideMark/>
          </w:tcPr>
          <w:p w14:paraId="4D7EED30"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340,73</w:t>
            </w:r>
          </w:p>
        </w:tc>
        <w:tc>
          <w:tcPr>
            <w:tcW w:w="847" w:type="dxa"/>
            <w:tcBorders>
              <w:bottom w:val="single" w:sz="2" w:space="0" w:color="A6A6A6" w:themeColor="background1" w:themeShade="A6"/>
            </w:tcBorders>
            <w:shd w:val="clear" w:color="000000" w:fill="FFFFFF"/>
            <w:noWrap/>
            <w:vAlign w:val="center"/>
            <w:hideMark/>
          </w:tcPr>
          <w:p w14:paraId="195E18AA"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351,33</w:t>
            </w:r>
          </w:p>
        </w:tc>
        <w:tc>
          <w:tcPr>
            <w:tcW w:w="849" w:type="dxa"/>
            <w:tcBorders>
              <w:bottom w:val="single" w:sz="2" w:space="0" w:color="A6A6A6" w:themeColor="background1" w:themeShade="A6"/>
            </w:tcBorders>
            <w:shd w:val="clear" w:color="000000" w:fill="FFFFFF"/>
            <w:noWrap/>
            <w:vAlign w:val="center"/>
            <w:hideMark/>
          </w:tcPr>
          <w:p w14:paraId="49E4FD83"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547,11</w:t>
            </w:r>
          </w:p>
        </w:tc>
        <w:tc>
          <w:tcPr>
            <w:tcW w:w="852" w:type="dxa"/>
            <w:tcBorders>
              <w:bottom w:val="single" w:sz="2" w:space="0" w:color="A6A6A6" w:themeColor="background1" w:themeShade="A6"/>
            </w:tcBorders>
            <w:shd w:val="clear" w:color="000000" w:fill="FFFFFF"/>
            <w:noWrap/>
            <w:vAlign w:val="center"/>
            <w:hideMark/>
          </w:tcPr>
          <w:p w14:paraId="70DE5691"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571,81</w:t>
            </w:r>
          </w:p>
        </w:tc>
        <w:tc>
          <w:tcPr>
            <w:tcW w:w="1141" w:type="dxa"/>
            <w:tcBorders>
              <w:bottom w:val="single" w:sz="2" w:space="0" w:color="A6A6A6" w:themeColor="background1" w:themeShade="A6"/>
            </w:tcBorders>
            <w:shd w:val="clear" w:color="000000" w:fill="FFFFFF"/>
            <w:noWrap/>
            <w:vAlign w:val="center"/>
            <w:hideMark/>
          </w:tcPr>
          <w:p w14:paraId="1CABD990"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621,71</w:t>
            </w:r>
          </w:p>
        </w:tc>
        <w:tc>
          <w:tcPr>
            <w:tcW w:w="851" w:type="dxa"/>
            <w:tcBorders>
              <w:bottom w:val="single" w:sz="2" w:space="0" w:color="A6A6A6" w:themeColor="background1" w:themeShade="A6"/>
            </w:tcBorders>
            <w:shd w:val="clear" w:color="000000" w:fill="FFFFFF"/>
            <w:noWrap/>
            <w:vAlign w:val="center"/>
            <w:hideMark/>
          </w:tcPr>
          <w:p w14:paraId="07C6178C"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673,11</w:t>
            </w:r>
          </w:p>
        </w:tc>
        <w:tc>
          <w:tcPr>
            <w:tcW w:w="850" w:type="dxa"/>
            <w:tcBorders>
              <w:bottom w:val="single" w:sz="2" w:space="0" w:color="A6A6A6" w:themeColor="background1" w:themeShade="A6"/>
            </w:tcBorders>
            <w:shd w:val="clear" w:color="000000" w:fill="FFFFFF"/>
            <w:noWrap/>
            <w:vAlign w:val="center"/>
            <w:hideMark/>
          </w:tcPr>
          <w:p w14:paraId="55820C1B"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713,74</w:t>
            </w:r>
          </w:p>
        </w:tc>
        <w:tc>
          <w:tcPr>
            <w:tcW w:w="992" w:type="dxa"/>
            <w:tcBorders>
              <w:bottom w:val="single" w:sz="2" w:space="0" w:color="A6A6A6" w:themeColor="background1" w:themeShade="A6"/>
            </w:tcBorders>
            <w:shd w:val="clear" w:color="000000" w:fill="FFFFFF"/>
            <w:noWrap/>
            <w:vAlign w:val="center"/>
            <w:hideMark/>
          </w:tcPr>
          <w:p w14:paraId="79175520"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936,03</w:t>
            </w:r>
          </w:p>
        </w:tc>
        <w:tc>
          <w:tcPr>
            <w:tcW w:w="993" w:type="dxa"/>
            <w:tcBorders>
              <w:bottom w:val="single" w:sz="2" w:space="0" w:color="A6A6A6" w:themeColor="background1" w:themeShade="A6"/>
            </w:tcBorders>
            <w:shd w:val="clear" w:color="000000" w:fill="FFFFFF"/>
            <w:noWrap/>
            <w:vAlign w:val="center"/>
            <w:hideMark/>
          </w:tcPr>
          <w:p w14:paraId="0F29AD5B" w14:textId="77777777" w:rsidR="008178E9" w:rsidRPr="00206845" w:rsidRDefault="008178E9" w:rsidP="001B3314">
            <w:pPr>
              <w:spacing w:after="0" w:line="276" w:lineRule="auto"/>
              <w:jc w:val="right"/>
              <w:rPr>
                <w:rFonts w:cs="Arial"/>
                <w:color w:val="000000"/>
                <w:sz w:val="16"/>
                <w:szCs w:val="16"/>
              </w:rPr>
            </w:pPr>
            <w:r w:rsidRPr="00206845">
              <w:rPr>
                <w:rFonts w:cs="Arial"/>
                <w:color w:val="000000"/>
                <w:sz w:val="16"/>
                <w:szCs w:val="16"/>
              </w:rPr>
              <w:t>936,51</w:t>
            </w:r>
          </w:p>
        </w:tc>
      </w:tr>
      <w:tr w:rsidR="00534648" w:rsidRPr="00206845" w14:paraId="05093802" w14:textId="77777777" w:rsidTr="00737954">
        <w:trPr>
          <w:cantSplit/>
          <w:trHeight w:val="227"/>
          <w:jc w:val="center"/>
        </w:trPr>
        <w:tc>
          <w:tcPr>
            <w:tcW w:w="11196" w:type="dxa"/>
            <w:gridSpan w:val="10"/>
            <w:tcBorders>
              <w:left w:val="nil"/>
              <w:bottom w:val="nil"/>
              <w:right w:val="nil"/>
            </w:tcBorders>
            <w:shd w:val="clear" w:color="auto" w:fill="auto"/>
            <w:vAlign w:val="bottom"/>
            <w:hideMark/>
          </w:tcPr>
          <w:p w14:paraId="474D8C39" w14:textId="7DB7B67D" w:rsidR="008F019F" w:rsidRPr="00206845" w:rsidRDefault="008F019F" w:rsidP="00F151DE">
            <w:pPr>
              <w:tabs>
                <w:tab w:val="left" w:pos="142"/>
              </w:tabs>
              <w:spacing w:before="60" w:after="0" w:line="276" w:lineRule="auto"/>
              <w:rPr>
                <w:rFonts w:cs="Arial"/>
                <w:sz w:val="16"/>
                <w:szCs w:val="16"/>
              </w:rPr>
            </w:pPr>
            <w:r w:rsidRPr="00CB38F2">
              <w:rPr>
                <w:rFonts w:cs="Arial"/>
                <w:sz w:val="16"/>
                <w:szCs w:val="16"/>
              </w:rPr>
              <w:t>Πηγή: ΕΕΣΥΠ - κλάδος πρώην ΤΑΙΠΕΔ</w:t>
            </w:r>
          </w:p>
        </w:tc>
      </w:tr>
    </w:tbl>
    <w:p w14:paraId="6FDA0936" w14:textId="2292B51A" w:rsidR="008178E9" w:rsidRDefault="008178E9" w:rsidP="00F03E82"/>
    <w:tbl>
      <w:tblPr>
        <w:tblW w:w="10627"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ayout w:type="fixed"/>
        <w:tblLook w:val="0000" w:firstRow="0" w:lastRow="0" w:firstColumn="0" w:lastColumn="0" w:noHBand="0" w:noVBand="0"/>
      </w:tblPr>
      <w:tblGrid>
        <w:gridCol w:w="680"/>
        <w:gridCol w:w="680"/>
        <w:gridCol w:w="680"/>
        <w:gridCol w:w="680"/>
        <w:gridCol w:w="680"/>
        <w:gridCol w:w="680"/>
        <w:gridCol w:w="680"/>
        <w:gridCol w:w="680"/>
        <w:gridCol w:w="680"/>
        <w:gridCol w:w="680"/>
        <w:gridCol w:w="680"/>
        <w:gridCol w:w="737"/>
        <w:gridCol w:w="1276"/>
        <w:gridCol w:w="1134"/>
      </w:tblGrid>
      <w:tr w:rsidR="00093D5A" w:rsidRPr="003A5DD1" w14:paraId="54D6EA17" w14:textId="72622BDE" w:rsidTr="00737954">
        <w:trPr>
          <w:cantSplit/>
          <w:trHeight w:val="340"/>
          <w:jc w:val="center"/>
        </w:trPr>
        <w:tc>
          <w:tcPr>
            <w:tcW w:w="10627" w:type="dxa"/>
            <w:gridSpan w:val="14"/>
            <w:tcBorders>
              <w:top w:val="single" w:sz="4" w:space="0" w:color="808080" w:themeColor="background1" w:themeShade="80"/>
              <w:bottom w:val="single" w:sz="4" w:space="0" w:color="808080" w:themeColor="background1" w:themeShade="80"/>
            </w:tcBorders>
            <w:shd w:val="clear" w:color="auto" w:fill="D5DCE4"/>
            <w:noWrap/>
            <w:tcMar>
              <w:left w:w="28" w:type="dxa"/>
              <w:right w:w="28" w:type="dxa"/>
            </w:tcMar>
            <w:vAlign w:val="center"/>
          </w:tcPr>
          <w:p w14:paraId="6CEA6C98" w14:textId="31CA6F56" w:rsidR="00EB3408" w:rsidRDefault="00093D5A" w:rsidP="0088299D">
            <w:pPr>
              <w:spacing w:after="0" w:line="276" w:lineRule="auto"/>
              <w:ind w:right="-1"/>
              <w:jc w:val="center"/>
              <w:rPr>
                <w:rFonts w:cs="Arial"/>
                <w:b/>
                <w:bCs/>
                <w:color w:val="000000" w:themeColor="text1"/>
                <w:sz w:val="18"/>
                <w:szCs w:val="18"/>
              </w:rPr>
            </w:pPr>
            <w:bookmarkStart w:id="807" w:name="_Ref182220820"/>
            <w:bookmarkStart w:id="808" w:name="_Toc214474141"/>
            <w:r w:rsidRPr="00CB38F2">
              <w:rPr>
                <w:b/>
                <w:sz w:val="18"/>
                <w:szCs w:val="18"/>
              </w:rPr>
              <w:t>Πίνακας 5.</w:t>
            </w:r>
            <w:r w:rsidRPr="00CB38F2">
              <w:rPr>
                <w:b/>
                <w:sz w:val="18"/>
                <w:szCs w:val="18"/>
              </w:rPr>
              <w:fldChar w:fldCharType="begin"/>
            </w:r>
            <w:r w:rsidRPr="00CB38F2">
              <w:rPr>
                <w:b/>
                <w:sz w:val="18"/>
                <w:szCs w:val="18"/>
              </w:rPr>
              <w:instrText xml:space="preserve"> SEQ Πίνακας_5. \* ARABIC </w:instrText>
            </w:r>
            <w:r w:rsidRPr="00CB38F2">
              <w:rPr>
                <w:b/>
                <w:sz w:val="18"/>
                <w:szCs w:val="18"/>
              </w:rPr>
              <w:fldChar w:fldCharType="separate"/>
            </w:r>
            <w:r w:rsidR="00E15678">
              <w:rPr>
                <w:b/>
                <w:noProof/>
                <w:sz w:val="18"/>
                <w:szCs w:val="18"/>
              </w:rPr>
              <w:t>7</w:t>
            </w:r>
            <w:r w:rsidRPr="00CB38F2">
              <w:rPr>
                <w:b/>
                <w:sz w:val="18"/>
                <w:szCs w:val="18"/>
              </w:rPr>
              <w:fldChar w:fldCharType="end"/>
            </w:r>
            <w:bookmarkEnd w:id="807"/>
            <w:r w:rsidRPr="00CB38F2">
              <w:rPr>
                <w:rFonts w:cs="Arial"/>
                <w:b/>
                <w:bCs/>
                <w:color w:val="000000" w:themeColor="text1"/>
                <w:sz w:val="18"/>
                <w:szCs w:val="18"/>
              </w:rPr>
              <w:t>.: Έσοδα προγράμματος αποκρατικοποιήσεων</w:t>
            </w:r>
            <w:bookmarkEnd w:id="808"/>
          </w:p>
          <w:p w14:paraId="3B39C9ED" w14:textId="3B7AB123" w:rsidR="00093D5A" w:rsidRPr="00093D5A" w:rsidRDefault="00093D5A" w:rsidP="0088299D">
            <w:pPr>
              <w:spacing w:after="0" w:line="276" w:lineRule="auto"/>
              <w:ind w:right="-1"/>
              <w:jc w:val="center"/>
              <w:rPr>
                <w:b/>
                <w:sz w:val="18"/>
                <w:szCs w:val="18"/>
              </w:rPr>
            </w:pPr>
            <w:r w:rsidRPr="00CB38F2">
              <w:rPr>
                <w:rFonts w:cs="Arial"/>
                <w:b/>
                <w:bCs/>
                <w:color w:val="000000" w:themeColor="text1"/>
                <w:sz w:val="18"/>
                <w:szCs w:val="18"/>
              </w:rPr>
              <w:t>(σε εκατ. ευρώ)</w:t>
            </w:r>
          </w:p>
        </w:tc>
      </w:tr>
      <w:tr w:rsidR="007C4512" w:rsidRPr="003A5DD1" w14:paraId="26D66271" w14:textId="330460B1" w:rsidTr="00737954">
        <w:trPr>
          <w:cantSplit/>
          <w:trHeight w:val="283"/>
          <w:jc w:val="center"/>
        </w:trPr>
        <w:tc>
          <w:tcPr>
            <w:tcW w:w="8217" w:type="dxa"/>
            <w:gridSpan w:val="12"/>
            <w:tcBorders>
              <w:top w:val="single" w:sz="4" w:space="0" w:color="808080" w:themeColor="background1" w:themeShade="80"/>
              <w:bottom w:val="single" w:sz="4" w:space="0" w:color="808080" w:themeColor="background1" w:themeShade="80"/>
            </w:tcBorders>
            <w:shd w:val="clear" w:color="auto" w:fill="F2F2F2" w:themeFill="background1" w:themeFillShade="F2"/>
            <w:noWrap/>
            <w:tcMar>
              <w:left w:w="57" w:type="dxa"/>
              <w:right w:w="57" w:type="dxa"/>
            </w:tcMar>
            <w:vAlign w:val="center"/>
          </w:tcPr>
          <w:p w14:paraId="386B2A19" w14:textId="401B82E9" w:rsidR="007C4512" w:rsidRPr="00CF4847" w:rsidRDefault="007C4512" w:rsidP="00FE5076">
            <w:pPr>
              <w:spacing w:after="0" w:line="276" w:lineRule="auto"/>
              <w:ind w:left="-63" w:right="-90" w:firstLine="63"/>
              <w:jc w:val="center"/>
              <w:rPr>
                <w:rFonts w:cs="Arial"/>
                <w:b/>
                <w:bCs/>
                <w:color w:val="000000"/>
                <w:sz w:val="16"/>
                <w:szCs w:val="16"/>
              </w:rPr>
            </w:pPr>
            <w:r w:rsidRPr="00CF4847">
              <w:rPr>
                <w:rFonts w:cs="Arial"/>
                <w:b/>
                <w:bCs/>
                <w:color w:val="000000"/>
                <w:sz w:val="16"/>
                <w:szCs w:val="16"/>
              </w:rPr>
              <w:t>Εισπράξεις</w:t>
            </w:r>
          </w:p>
        </w:tc>
        <w:tc>
          <w:tcPr>
            <w:tcW w:w="127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71E853BF" w14:textId="78AB1054" w:rsidR="00FE5076" w:rsidRDefault="007C4512" w:rsidP="00FE5076">
            <w:pPr>
              <w:spacing w:after="0" w:line="276" w:lineRule="auto"/>
              <w:ind w:left="-73" w:right="-172"/>
              <w:jc w:val="center"/>
              <w:rPr>
                <w:rFonts w:cs="Arial"/>
                <w:b/>
                <w:bCs/>
                <w:color w:val="000000"/>
                <w:sz w:val="16"/>
                <w:szCs w:val="16"/>
              </w:rPr>
            </w:pPr>
            <w:r>
              <w:rPr>
                <w:rFonts w:cs="Arial"/>
                <w:b/>
                <w:bCs/>
                <w:color w:val="000000"/>
                <w:sz w:val="16"/>
                <w:szCs w:val="16"/>
              </w:rPr>
              <w:t>Εισπράξεις</w:t>
            </w:r>
          </w:p>
          <w:p w14:paraId="1A6BB358" w14:textId="59FA49A6" w:rsidR="007C4512" w:rsidRDefault="007C4512" w:rsidP="00FE5076">
            <w:pPr>
              <w:spacing w:after="0" w:line="276" w:lineRule="auto"/>
              <w:ind w:left="-73" w:right="-172"/>
              <w:jc w:val="center"/>
              <w:rPr>
                <w:rFonts w:cs="Arial"/>
                <w:b/>
                <w:bCs/>
                <w:color w:val="000000"/>
                <w:sz w:val="16"/>
                <w:szCs w:val="16"/>
              </w:rPr>
            </w:pPr>
            <w:r>
              <w:rPr>
                <w:rFonts w:cs="Arial"/>
                <w:b/>
                <w:bCs/>
                <w:color w:val="000000"/>
                <w:sz w:val="16"/>
                <w:szCs w:val="16"/>
              </w:rPr>
              <w:t>και</w:t>
            </w:r>
          </w:p>
          <w:p w14:paraId="023ADA53" w14:textId="30CC07D1" w:rsidR="007C4512" w:rsidRDefault="007C4512" w:rsidP="00FE5076">
            <w:pPr>
              <w:spacing w:after="0" w:line="276" w:lineRule="auto"/>
              <w:ind w:left="-73" w:right="-172"/>
              <w:jc w:val="center"/>
              <w:rPr>
                <w:rFonts w:cs="Arial"/>
                <w:b/>
                <w:bCs/>
                <w:color w:val="000000"/>
                <w:sz w:val="16"/>
                <w:szCs w:val="16"/>
              </w:rPr>
            </w:pPr>
            <w:r w:rsidRPr="00CF4847">
              <w:rPr>
                <w:rFonts w:cs="Arial"/>
                <w:b/>
                <w:bCs/>
                <w:color w:val="000000"/>
                <w:sz w:val="16"/>
                <w:szCs w:val="16"/>
              </w:rPr>
              <w:t>Εκτιμήσεις</w:t>
            </w:r>
          </w:p>
        </w:tc>
        <w:tc>
          <w:tcPr>
            <w:tcW w:w="1134" w:type="dxa"/>
            <w:tcBorders>
              <w:top w:val="single" w:sz="4" w:space="0" w:color="808080" w:themeColor="background1" w:themeShade="80"/>
              <w:bottom w:val="single" w:sz="4" w:space="0" w:color="808080" w:themeColor="background1" w:themeShade="80"/>
            </w:tcBorders>
            <w:shd w:val="clear" w:color="auto" w:fill="F2F2F2" w:themeFill="background1" w:themeFillShade="F2"/>
          </w:tcPr>
          <w:p w14:paraId="49FE26BD" w14:textId="5F8D7BE5" w:rsidR="00FE5076" w:rsidRPr="00FE5076" w:rsidRDefault="00FE5076" w:rsidP="00FE5076">
            <w:pPr>
              <w:spacing w:after="0" w:line="276" w:lineRule="auto"/>
              <w:ind w:left="-183" w:right="-191"/>
              <w:jc w:val="center"/>
              <w:rPr>
                <w:rFonts w:cs="Arial"/>
                <w:b/>
                <w:bCs/>
                <w:color w:val="000000"/>
                <w:sz w:val="16"/>
                <w:szCs w:val="16"/>
              </w:rPr>
            </w:pPr>
            <w:r w:rsidRPr="004856DE">
              <w:rPr>
                <w:rFonts w:cs="Arial"/>
                <w:b/>
                <w:bCs/>
                <w:color w:val="000000"/>
                <w:sz w:val="16"/>
                <w:szCs w:val="16"/>
              </w:rPr>
              <w:t>Προβλέψεις</w:t>
            </w:r>
          </w:p>
        </w:tc>
      </w:tr>
      <w:tr w:rsidR="00D02C9C" w:rsidRPr="00CB38F2" w14:paraId="73F09038" w14:textId="36210298" w:rsidTr="00737954">
        <w:trPr>
          <w:cantSplit/>
          <w:trHeight w:val="283"/>
          <w:jc w:val="center"/>
        </w:trPr>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427D7797"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2013</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6261BAB7"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2014</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5A44D6AB"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2015</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1DEC564F"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2016</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0EB7D5AA"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2017</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3D8CA0BE"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2018</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56FF6586"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2019</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1EE6B0FB"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2020</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132044DC"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2021</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tcMar>
              <w:left w:w="57" w:type="dxa"/>
              <w:right w:w="57" w:type="dxa"/>
            </w:tcMar>
            <w:vAlign w:val="center"/>
          </w:tcPr>
          <w:p w14:paraId="57FE5DD3"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2022</w:t>
            </w:r>
          </w:p>
        </w:tc>
        <w:tc>
          <w:tcPr>
            <w:tcW w:w="680"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54624071"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2023</w:t>
            </w:r>
          </w:p>
        </w:tc>
        <w:tc>
          <w:tcPr>
            <w:tcW w:w="737"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584F1241"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2024</w:t>
            </w:r>
          </w:p>
        </w:tc>
        <w:tc>
          <w:tcPr>
            <w:tcW w:w="1276" w:type="dxa"/>
            <w:tcBorders>
              <w:top w:val="single" w:sz="4" w:space="0" w:color="808080" w:themeColor="background1" w:themeShade="80"/>
              <w:bottom w:val="single" w:sz="4" w:space="0" w:color="808080" w:themeColor="background1" w:themeShade="80"/>
            </w:tcBorders>
            <w:shd w:val="clear" w:color="auto" w:fill="F2F2F2" w:themeFill="background1" w:themeFillShade="F2"/>
            <w:vAlign w:val="center"/>
          </w:tcPr>
          <w:p w14:paraId="6C7C3455" w14:textId="7777777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2025</w:t>
            </w:r>
          </w:p>
        </w:tc>
        <w:tc>
          <w:tcPr>
            <w:tcW w:w="1134" w:type="dxa"/>
            <w:tcBorders>
              <w:top w:val="single" w:sz="4" w:space="0" w:color="808080" w:themeColor="background1" w:themeShade="80"/>
              <w:bottom w:val="single" w:sz="4" w:space="0" w:color="808080" w:themeColor="background1" w:themeShade="80"/>
            </w:tcBorders>
            <w:shd w:val="clear" w:color="auto" w:fill="F2F2F2" w:themeFill="background1" w:themeFillShade="F2"/>
          </w:tcPr>
          <w:p w14:paraId="2B6D4435" w14:textId="07166E57" w:rsidR="005A50BF" w:rsidRPr="00CB38F2" w:rsidRDefault="005A50BF" w:rsidP="0088299D">
            <w:pPr>
              <w:spacing w:after="0" w:line="276" w:lineRule="auto"/>
              <w:jc w:val="center"/>
              <w:rPr>
                <w:rFonts w:cs="Arial"/>
                <w:b/>
                <w:bCs/>
                <w:color w:val="000000"/>
                <w:sz w:val="16"/>
                <w:szCs w:val="16"/>
              </w:rPr>
            </w:pPr>
            <w:r w:rsidRPr="00CB38F2">
              <w:rPr>
                <w:rFonts w:cs="Arial"/>
                <w:b/>
                <w:bCs/>
                <w:color w:val="000000"/>
                <w:sz w:val="16"/>
                <w:szCs w:val="16"/>
              </w:rPr>
              <w:t>2026</w:t>
            </w:r>
          </w:p>
        </w:tc>
      </w:tr>
      <w:tr w:rsidR="00D02C9C" w:rsidRPr="00C74F03" w14:paraId="50267B18" w14:textId="19DE6791" w:rsidTr="00737954">
        <w:trPr>
          <w:cantSplit/>
          <w:trHeight w:val="283"/>
          <w:jc w:val="center"/>
        </w:trPr>
        <w:tc>
          <w:tcPr>
            <w:tcW w:w="680" w:type="dxa"/>
            <w:tcBorders>
              <w:top w:val="single" w:sz="4" w:space="0" w:color="808080" w:themeColor="background1" w:themeShade="80"/>
              <w:bottom w:val="single" w:sz="4" w:space="0" w:color="808080" w:themeColor="background1" w:themeShade="80"/>
            </w:tcBorders>
            <w:shd w:val="clear" w:color="000000" w:fill="FFFFFF"/>
            <w:tcMar>
              <w:left w:w="57" w:type="dxa"/>
              <w:right w:w="57" w:type="dxa"/>
            </w:tcMar>
          </w:tcPr>
          <w:p w14:paraId="307D35C8" w14:textId="47C1659F" w:rsidR="005A50BF" w:rsidRPr="00CB38F2" w:rsidRDefault="005A50BF" w:rsidP="00FE5076">
            <w:pPr>
              <w:spacing w:after="0" w:line="276" w:lineRule="auto"/>
              <w:jc w:val="center"/>
              <w:rPr>
                <w:rFonts w:cs="Arial"/>
                <w:color w:val="000000"/>
                <w:sz w:val="16"/>
                <w:szCs w:val="16"/>
              </w:rPr>
            </w:pPr>
            <w:r w:rsidRPr="00CB38F2">
              <w:rPr>
                <w:sz w:val="16"/>
                <w:szCs w:val="16"/>
              </w:rPr>
              <w:t>1.040,4</w:t>
            </w:r>
          </w:p>
        </w:tc>
        <w:tc>
          <w:tcPr>
            <w:tcW w:w="680" w:type="dxa"/>
            <w:tcBorders>
              <w:top w:val="single" w:sz="4" w:space="0" w:color="808080" w:themeColor="background1" w:themeShade="80"/>
              <w:bottom w:val="single" w:sz="4" w:space="0" w:color="808080" w:themeColor="background1" w:themeShade="80"/>
            </w:tcBorders>
            <w:shd w:val="clear" w:color="000000" w:fill="FFFFFF"/>
            <w:noWrap/>
            <w:tcMar>
              <w:left w:w="57" w:type="dxa"/>
              <w:right w:w="57" w:type="dxa"/>
            </w:tcMar>
          </w:tcPr>
          <w:p w14:paraId="4E84FF1D" w14:textId="632384E4" w:rsidR="005A50BF" w:rsidRPr="00CB38F2" w:rsidRDefault="005A50BF" w:rsidP="00FE5076">
            <w:pPr>
              <w:spacing w:after="0" w:line="276" w:lineRule="auto"/>
              <w:jc w:val="center"/>
              <w:rPr>
                <w:rFonts w:cs="Arial"/>
                <w:color w:val="000000"/>
                <w:sz w:val="16"/>
                <w:szCs w:val="16"/>
              </w:rPr>
            </w:pPr>
            <w:r w:rsidRPr="00CB38F2">
              <w:rPr>
                <w:sz w:val="16"/>
                <w:szCs w:val="16"/>
              </w:rPr>
              <w:t>419,6</w:t>
            </w:r>
          </w:p>
        </w:tc>
        <w:tc>
          <w:tcPr>
            <w:tcW w:w="680" w:type="dxa"/>
            <w:tcBorders>
              <w:top w:val="single" w:sz="4" w:space="0" w:color="808080" w:themeColor="background1" w:themeShade="80"/>
              <w:bottom w:val="single" w:sz="4" w:space="0" w:color="808080" w:themeColor="background1" w:themeShade="80"/>
            </w:tcBorders>
            <w:shd w:val="clear" w:color="000000" w:fill="FFFFFF"/>
            <w:tcMar>
              <w:left w:w="57" w:type="dxa"/>
              <w:right w:w="57" w:type="dxa"/>
            </w:tcMar>
          </w:tcPr>
          <w:p w14:paraId="5F3BE3FC" w14:textId="0379AF28" w:rsidR="005A50BF" w:rsidRPr="00CB38F2" w:rsidRDefault="005A50BF" w:rsidP="00FE5076">
            <w:pPr>
              <w:spacing w:after="0" w:line="276" w:lineRule="auto"/>
              <w:jc w:val="center"/>
              <w:rPr>
                <w:rFonts w:cs="Arial"/>
                <w:color w:val="000000"/>
                <w:sz w:val="16"/>
                <w:szCs w:val="16"/>
              </w:rPr>
            </w:pPr>
            <w:r w:rsidRPr="00CB38F2">
              <w:rPr>
                <w:sz w:val="16"/>
                <w:szCs w:val="16"/>
              </w:rPr>
              <w:t>289,2</w:t>
            </w:r>
          </w:p>
        </w:tc>
        <w:tc>
          <w:tcPr>
            <w:tcW w:w="680" w:type="dxa"/>
            <w:tcBorders>
              <w:top w:val="single" w:sz="4" w:space="0" w:color="808080" w:themeColor="background1" w:themeShade="80"/>
              <w:bottom w:val="single" w:sz="4" w:space="0" w:color="808080" w:themeColor="background1" w:themeShade="80"/>
            </w:tcBorders>
            <w:shd w:val="clear" w:color="000000" w:fill="FFFFFF"/>
            <w:noWrap/>
            <w:tcMar>
              <w:left w:w="57" w:type="dxa"/>
              <w:right w:w="57" w:type="dxa"/>
            </w:tcMar>
          </w:tcPr>
          <w:p w14:paraId="17A61C55" w14:textId="583238B5" w:rsidR="005A50BF" w:rsidRPr="00CB38F2" w:rsidRDefault="005A50BF" w:rsidP="00FE5076">
            <w:pPr>
              <w:spacing w:after="0" w:line="276" w:lineRule="auto"/>
              <w:jc w:val="center"/>
              <w:rPr>
                <w:rFonts w:cs="Arial"/>
                <w:color w:val="000000"/>
                <w:sz w:val="16"/>
                <w:szCs w:val="16"/>
              </w:rPr>
            </w:pPr>
            <w:r w:rsidRPr="00CB38F2">
              <w:rPr>
                <w:sz w:val="16"/>
                <w:szCs w:val="16"/>
              </w:rPr>
              <w:t>498,3</w:t>
            </w:r>
          </w:p>
        </w:tc>
        <w:tc>
          <w:tcPr>
            <w:tcW w:w="680" w:type="dxa"/>
            <w:tcBorders>
              <w:top w:val="single" w:sz="4" w:space="0" w:color="808080" w:themeColor="background1" w:themeShade="80"/>
              <w:bottom w:val="single" w:sz="4" w:space="0" w:color="808080" w:themeColor="background1" w:themeShade="80"/>
            </w:tcBorders>
            <w:shd w:val="clear" w:color="000000" w:fill="FFFFFF"/>
            <w:tcMar>
              <w:left w:w="57" w:type="dxa"/>
              <w:right w:w="57" w:type="dxa"/>
            </w:tcMar>
          </w:tcPr>
          <w:p w14:paraId="5A999DED" w14:textId="069255C9" w:rsidR="005A50BF" w:rsidRPr="00CB38F2" w:rsidRDefault="005A50BF" w:rsidP="00FE5076">
            <w:pPr>
              <w:spacing w:after="0" w:line="276" w:lineRule="auto"/>
              <w:ind w:right="-12"/>
              <w:jc w:val="center"/>
              <w:rPr>
                <w:rFonts w:cs="Arial"/>
                <w:color w:val="000000"/>
                <w:sz w:val="16"/>
                <w:szCs w:val="16"/>
              </w:rPr>
            </w:pPr>
            <w:r w:rsidRPr="00CB38F2">
              <w:rPr>
                <w:sz w:val="16"/>
                <w:szCs w:val="16"/>
              </w:rPr>
              <w:t>1.378,7</w:t>
            </w:r>
          </w:p>
        </w:tc>
        <w:tc>
          <w:tcPr>
            <w:tcW w:w="680" w:type="dxa"/>
            <w:tcBorders>
              <w:top w:val="single" w:sz="4" w:space="0" w:color="808080" w:themeColor="background1" w:themeShade="80"/>
              <w:bottom w:val="single" w:sz="4" w:space="0" w:color="808080" w:themeColor="background1" w:themeShade="80"/>
            </w:tcBorders>
            <w:shd w:val="clear" w:color="000000" w:fill="FFFFFF"/>
            <w:noWrap/>
            <w:tcMar>
              <w:left w:w="57" w:type="dxa"/>
              <w:right w:w="57" w:type="dxa"/>
            </w:tcMar>
          </w:tcPr>
          <w:p w14:paraId="524C7E04" w14:textId="71A81EFF" w:rsidR="005A50BF" w:rsidRPr="00CB38F2" w:rsidRDefault="005A50BF" w:rsidP="00E07298">
            <w:pPr>
              <w:spacing w:after="0" w:line="276" w:lineRule="auto"/>
              <w:ind w:right="-12"/>
              <w:jc w:val="center"/>
              <w:rPr>
                <w:sz w:val="16"/>
                <w:szCs w:val="16"/>
              </w:rPr>
            </w:pPr>
            <w:r w:rsidRPr="00CB38F2">
              <w:rPr>
                <w:sz w:val="16"/>
                <w:szCs w:val="16"/>
              </w:rPr>
              <w:t>1.027,1</w:t>
            </w:r>
          </w:p>
        </w:tc>
        <w:tc>
          <w:tcPr>
            <w:tcW w:w="680" w:type="dxa"/>
            <w:tcBorders>
              <w:top w:val="single" w:sz="4" w:space="0" w:color="808080" w:themeColor="background1" w:themeShade="80"/>
              <w:bottom w:val="single" w:sz="4" w:space="0" w:color="808080" w:themeColor="background1" w:themeShade="80"/>
            </w:tcBorders>
            <w:shd w:val="clear" w:color="000000" w:fill="FFFFFF"/>
            <w:tcMar>
              <w:left w:w="57" w:type="dxa"/>
              <w:right w:w="57" w:type="dxa"/>
            </w:tcMar>
          </w:tcPr>
          <w:p w14:paraId="5B8B2F07" w14:textId="50FA57FE" w:rsidR="005A50BF" w:rsidRPr="00CB38F2" w:rsidRDefault="005A50BF" w:rsidP="00E07298">
            <w:pPr>
              <w:spacing w:after="0" w:line="276" w:lineRule="auto"/>
              <w:ind w:right="-12"/>
              <w:jc w:val="center"/>
              <w:rPr>
                <w:sz w:val="16"/>
                <w:szCs w:val="16"/>
              </w:rPr>
            </w:pPr>
            <w:r w:rsidRPr="00CB38F2">
              <w:rPr>
                <w:sz w:val="16"/>
                <w:szCs w:val="16"/>
              </w:rPr>
              <w:t>1.208,9</w:t>
            </w:r>
          </w:p>
        </w:tc>
        <w:tc>
          <w:tcPr>
            <w:tcW w:w="680" w:type="dxa"/>
            <w:tcBorders>
              <w:top w:val="single" w:sz="4" w:space="0" w:color="808080" w:themeColor="background1" w:themeShade="80"/>
              <w:bottom w:val="single" w:sz="4" w:space="0" w:color="808080" w:themeColor="background1" w:themeShade="80"/>
            </w:tcBorders>
            <w:shd w:val="clear" w:color="000000" w:fill="FFFFFF"/>
            <w:tcMar>
              <w:left w:w="57" w:type="dxa"/>
              <w:right w:w="57" w:type="dxa"/>
            </w:tcMar>
          </w:tcPr>
          <w:p w14:paraId="0597F5A4" w14:textId="5E207828" w:rsidR="005A50BF" w:rsidRPr="00CB38F2" w:rsidRDefault="005A50BF" w:rsidP="00FE5076">
            <w:pPr>
              <w:spacing w:after="0" w:line="276" w:lineRule="auto"/>
              <w:jc w:val="center"/>
              <w:rPr>
                <w:rFonts w:cs="Arial"/>
                <w:sz w:val="16"/>
                <w:szCs w:val="16"/>
                <w:lang w:val="en-US"/>
              </w:rPr>
            </w:pPr>
            <w:r w:rsidRPr="00CB38F2">
              <w:rPr>
                <w:sz w:val="16"/>
                <w:szCs w:val="16"/>
              </w:rPr>
              <w:t>50,5</w:t>
            </w:r>
          </w:p>
        </w:tc>
        <w:tc>
          <w:tcPr>
            <w:tcW w:w="680" w:type="dxa"/>
            <w:tcBorders>
              <w:top w:val="single" w:sz="4" w:space="0" w:color="808080" w:themeColor="background1" w:themeShade="80"/>
              <w:bottom w:val="single" w:sz="4" w:space="0" w:color="808080" w:themeColor="background1" w:themeShade="80"/>
            </w:tcBorders>
            <w:shd w:val="clear" w:color="000000" w:fill="FFFFFF"/>
            <w:tcMar>
              <w:left w:w="57" w:type="dxa"/>
              <w:right w:w="57" w:type="dxa"/>
            </w:tcMar>
          </w:tcPr>
          <w:p w14:paraId="31B73CBE" w14:textId="2A24641E" w:rsidR="005A50BF" w:rsidRPr="00CB38F2" w:rsidRDefault="005A50BF" w:rsidP="00FE5076">
            <w:pPr>
              <w:spacing w:after="0" w:line="276" w:lineRule="auto"/>
              <w:jc w:val="center"/>
              <w:rPr>
                <w:rFonts w:cs="Arial"/>
                <w:sz w:val="16"/>
                <w:szCs w:val="16"/>
                <w:lang w:val="en-US"/>
              </w:rPr>
            </w:pPr>
            <w:r w:rsidRPr="00CB38F2">
              <w:rPr>
                <w:sz w:val="16"/>
                <w:szCs w:val="16"/>
              </w:rPr>
              <w:t>660,4</w:t>
            </w:r>
          </w:p>
        </w:tc>
        <w:tc>
          <w:tcPr>
            <w:tcW w:w="680" w:type="dxa"/>
            <w:tcBorders>
              <w:top w:val="single" w:sz="4" w:space="0" w:color="808080" w:themeColor="background1" w:themeShade="80"/>
              <w:bottom w:val="single" w:sz="4" w:space="0" w:color="808080" w:themeColor="background1" w:themeShade="80"/>
            </w:tcBorders>
            <w:shd w:val="clear" w:color="000000" w:fill="FFFFFF"/>
            <w:tcMar>
              <w:left w:w="57" w:type="dxa"/>
              <w:right w:w="57" w:type="dxa"/>
            </w:tcMar>
          </w:tcPr>
          <w:p w14:paraId="5DA20649" w14:textId="12855080" w:rsidR="005A50BF" w:rsidRPr="00CB38F2" w:rsidRDefault="005A50BF" w:rsidP="00FE5076">
            <w:pPr>
              <w:spacing w:after="0" w:line="276" w:lineRule="auto"/>
              <w:jc w:val="center"/>
              <w:rPr>
                <w:rFonts w:cs="Arial"/>
                <w:sz w:val="16"/>
                <w:szCs w:val="16"/>
                <w:lang w:val="en-US"/>
              </w:rPr>
            </w:pPr>
            <w:r w:rsidRPr="00CB38F2">
              <w:rPr>
                <w:sz w:val="16"/>
                <w:szCs w:val="16"/>
              </w:rPr>
              <w:t>586,6</w:t>
            </w:r>
          </w:p>
        </w:tc>
        <w:tc>
          <w:tcPr>
            <w:tcW w:w="680" w:type="dxa"/>
            <w:tcBorders>
              <w:top w:val="single" w:sz="4" w:space="0" w:color="808080" w:themeColor="background1" w:themeShade="80"/>
              <w:bottom w:val="single" w:sz="4" w:space="0" w:color="808080" w:themeColor="background1" w:themeShade="80"/>
            </w:tcBorders>
          </w:tcPr>
          <w:p w14:paraId="2BD80061" w14:textId="5A4D19F2" w:rsidR="005A50BF" w:rsidRPr="00CB38F2" w:rsidRDefault="005A50BF" w:rsidP="00FE5076">
            <w:pPr>
              <w:spacing w:after="0" w:line="276" w:lineRule="auto"/>
              <w:jc w:val="center"/>
              <w:rPr>
                <w:rFonts w:cs="Arial"/>
                <w:sz w:val="16"/>
                <w:szCs w:val="16"/>
              </w:rPr>
            </w:pPr>
            <w:r w:rsidRPr="00CB38F2">
              <w:rPr>
                <w:sz w:val="16"/>
                <w:szCs w:val="16"/>
              </w:rPr>
              <w:t>497,3</w:t>
            </w:r>
          </w:p>
        </w:tc>
        <w:tc>
          <w:tcPr>
            <w:tcW w:w="737" w:type="dxa"/>
            <w:tcBorders>
              <w:top w:val="single" w:sz="4" w:space="0" w:color="808080" w:themeColor="background1" w:themeShade="80"/>
              <w:bottom w:val="single" w:sz="4" w:space="0" w:color="808080" w:themeColor="background1" w:themeShade="80"/>
            </w:tcBorders>
          </w:tcPr>
          <w:p w14:paraId="18934542" w14:textId="3FEB00AC" w:rsidR="005A50BF" w:rsidRPr="00CB38F2" w:rsidRDefault="005A50BF" w:rsidP="004856DE">
            <w:pPr>
              <w:spacing w:after="0" w:line="276" w:lineRule="auto"/>
              <w:ind w:left="-75"/>
              <w:jc w:val="center"/>
              <w:rPr>
                <w:rFonts w:cs="Arial"/>
                <w:sz w:val="16"/>
                <w:szCs w:val="16"/>
              </w:rPr>
            </w:pPr>
            <w:r w:rsidRPr="00CB38F2">
              <w:rPr>
                <w:sz w:val="16"/>
                <w:szCs w:val="16"/>
              </w:rPr>
              <w:t>4.180,0</w:t>
            </w:r>
          </w:p>
        </w:tc>
        <w:tc>
          <w:tcPr>
            <w:tcW w:w="1276" w:type="dxa"/>
            <w:tcBorders>
              <w:top w:val="single" w:sz="4" w:space="0" w:color="808080" w:themeColor="background1" w:themeShade="80"/>
              <w:bottom w:val="single" w:sz="4" w:space="0" w:color="808080" w:themeColor="background1" w:themeShade="80"/>
            </w:tcBorders>
          </w:tcPr>
          <w:p w14:paraId="64D4BB68" w14:textId="62DA3C85" w:rsidR="005A50BF" w:rsidRPr="00CB38F2" w:rsidRDefault="005A50BF" w:rsidP="00FE5076">
            <w:pPr>
              <w:spacing w:after="0" w:line="276" w:lineRule="auto"/>
              <w:jc w:val="center"/>
              <w:rPr>
                <w:rFonts w:cs="Arial"/>
                <w:sz w:val="16"/>
                <w:szCs w:val="16"/>
              </w:rPr>
            </w:pPr>
            <w:r w:rsidRPr="00CB38F2">
              <w:rPr>
                <w:sz w:val="16"/>
                <w:szCs w:val="16"/>
              </w:rPr>
              <w:t>1.561,4</w:t>
            </w:r>
          </w:p>
        </w:tc>
        <w:tc>
          <w:tcPr>
            <w:tcW w:w="1134" w:type="dxa"/>
            <w:tcBorders>
              <w:top w:val="single" w:sz="4" w:space="0" w:color="808080" w:themeColor="background1" w:themeShade="80"/>
              <w:bottom w:val="single" w:sz="4" w:space="0" w:color="808080" w:themeColor="background1" w:themeShade="80"/>
            </w:tcBorders>
          </w:tcPr>
          <w:p w14:paraId="0437F601" w14:textId="6950AA8F" w:rsidR="005A50BF" w:rsidRPr="00FE5076" w:rsidRDefault="005A50BF" w:rsidP="00FE5076">
            <w:pPr>
              <w:spacing w:after="0" w:line="276" w:lineRule="auto"/>
              <w:jc w:val="center"/>
              <w:rPr>
                <w:rFonts w:cs="Arial"/>
                <w:sz w:val="16"/>
                <w:szCs w:val="16"/>
              </w:rPr>
            </w:pPr>
            <w:r w:rsidRPr="00CB38F2">
              <w:rPr>
                <w:sz w:val="16"/>
                <w:szCs w:val="16"/>
              </w:rPr>
              <w:t>322,1</w:t>
            </w:r>
          </w:p>
        </w:tc>
      </w:tr>
      <w:tr w:rsidR="00D02C9C" w:rsidRPr="003A5DD1" w14:paraId="372D59D5" w14:textId="71E52D0C" w:rsidTr="00737954">
        <w:trPr>
          <w:cantSplit/>
          <w:trHeight w:val="283"/>
          <w:jc w:val="center"/>
        </w:trPr>
        <w:tc>
          <w:tcPr>
            <w:tcW w:w="10627" w:type="dxa"/>
            <w:gridSpan w:val="14"/>
            <w:tcBorders>
              <w:top w:val="single" w:sz="4" w:space="0" w:color="808080" w:themeColor="background1" w:themeShade="80"/>
              <w:left w:val="nil"/>
              <w:bottom w:val="nil"/>
              <w:right w:val="nil"/>
            </w:tcBorders>
            <w:shd w:val="clear" w:color="auto" w:fill="auto"/>
            <w:noWrap/>
            <w:tcMar>
              <w:left w:w="57" w:type="dxa"/>
              <w:right w:w="57" w:type="dxa"/>
            </w:tcMar>
            <w:vAlign w:val="center"/>
          </w:tcPr>
          <w:p w14:paraId="7886371D" w14:textId="60F203E4" w:rsidR="003520EE" w:rsidRDefault="003520EE" w:rsidP="00F151DE">
            <w:pPr>
              <w:spacing w:before="60" w:after="0" w:line="276" w:lineRule="auto"/>
              <w:rPr>
                <w:sz w:val="16"/>
                <w:szCs w:val="16"/>
              </w:rPr>
            </w:pPr>
            <w:r>
              <w:rPr>
                <w:sz w:val="16"/>
                <w:szCs w:val="16"/>
              </w:rPr>
              <w:t>Σημε</w:t>
            </w:r>
            <w:r w:rsidR="00131DD3">
              <w:rPr>
                <w:sz w:val="16"/>
                <w:szCs w:val="16"/>
              </w:rPr>
              <w:t>ί</w:t>
            </w:r>
            <w:r>
              <w:rPr>
                <w:sz w:val="16"/>
                <w:szCs w:val="16"/>
              </w:rPr>
              <w:t>ωση: Τα έσοδα των ετών 2011</w:t>
            </w:r>
            <w:r w:rsidR="00131DD3">
              <w:rPr>
                <w:sz w:val="16"/>
                <w:szCs w:val="16"/>
              </w:rPr>
              <w:t xml:space="preserve"> </w:t>
            </w:r>
            <w:r w:rsidR="00275CEB">
              <w:rPr>
                <w:sz w:val="16"/>
                <w:szCs w:val="16"/>
              </w:rPr>
              <w:t>-</w:t>
            </w:r>
            <w:r w:rsidR="00131DD3">
              <w:rPr>
                <w:sz w:val="16"/>
                <w:szCs w:val="16"/>
              </w:rPr>
              <w:t xml:space="preserve"> 2012 ανέρχονται στο ποσό των 1.170,9 εκατ. ευρώ.</w:t>
            </w:r>
          </w:p>
          <w:p w14:paraId="7FFE1766" w14:textId="040615FD" w:rsidR="00D02C9C" w:rsidRPr="00C65294" w:rsidRDefault="00D02C9C" w:rsidP="00F151DE">
            <w:pPr>
              <w:spacing w:before="60" w:after="0" w:line="276" w:lineRule="auto"/>
              <w:rPr>
                <w:sz w:val="16"/>
                <w:szCs w:val="16"/>
              </w:rPr>
            </w:pPr>
            <w:r w:rsidRPr="000E7830">
              <w:rPr>
                <w:sz w:val="16"/>
                <w:szCs w:val="16"/>
              </w:rPr>
              <w:t xml:space="preserve">Πηγή: </w:t>
            </w:r>
            <w:r w:rsidRPr="00380BD6">
              <w:rPr>
                <w:sz w:val="16"/>
                <w:szCs w:val="16"/>
              </w:rPr>
              <w:t xml:space="preserve">ΕΕΣΥΠ - </w:t>
            </w:r>
            <w:r w:rsidR="006F219B" w:rsidRPr="00380BD6">
              <w:rPr>
                <w:sz w:val="16"/>
                <w:szCs w:val="16"/>
              </w:rPr>
              <w:t xml:space="preserve">κλάδος </w:t>
            </w:r>
            <w:r w:rsidRPr="00380BD6">
              <w:rPr>
                <w:sz w:val="16"/>
                <w:szCs w:val="16"/>
              </w:rPr>
              <w:t>πρώην ΤΑΙΠΕΔ, Νοέμβριος 2025</w:t>
            </w:r>
          </w:p>
        </w:tc>
      </w:tr>
    </w:tbl>
    <w:p w14:paraId="113AAE95" w14:textId="671C46D3" w:rsidR="00737954" w:rsidRDefault="004F5E56" w:rsidP="005B4B93">
      <w:pPr>
        <w:spacing w:before="240" w:after="240"/>
      </w:pPr>
      <w:r w:rsidRPr="00A0567F">
        <w:t xml:space="preserve">Η ΕΕΣΥΠ - </w:t>
      </w:r>
      <w:r w:rsidR="00C65C5E" w:rsidRPr="00A0567F">
        <w:t xml:space="preserve">κλάδος </w:t>
      </w:r>
      <w:r w:rsidRPr="00A0567F">
        <w:t>πρώην ΤΑΙΠΕΔ έχει υπό αξιοποίηση εταιρείες</w:t>
      </w:r>
      <w:r w:rsidR="00C65C5E">
        <w:t xml:space="preserve"> των οποίων το μετοχικό κεφάλαιο</w:t>
      </w:r>
      <w:r w:rsidRPr="00A0567F">
        <w:t xml:space="preserve"> κατέχει</w:t>
      </w:r>
      <w:r w:rsidR="00524EEC">
        <w:t xml:space="preserve"> σε ποσοστό</w:t>
      </w:r>
      <w:r w:rsidRPr="00A0567F">
        <w:t xml:space="preserve"> 100% και</w:t>
      </w:r>
      <w:r w:rsidRPr="00294643">
        <w:t xml:space="preserve"> </w:t>
      </w:r>
      <w:r w:rsidRPr="00A0567F">
        <w:t>μ</w:t>
      </w:r>
      <w:r w:rsidR="00524EEC">
        <w:t>εριμνά για</w:t>
      </w:r>
      <w:r w:rsidRPr="00A0567F">
        <w:t xml:space="preserve"> τ</w:t>
      </w:r>
      <w:r w:rsidR="00524EEC">
        <w:t>α</w:t>
      </w:r>
      <w:r w:rsidRPr="00A0567F">
        <w:t xml:space="preserve"> δικαι</w:t>
      </w:r>
      <w:r w:rsidR="00524EEC">
        <w:t>ώματα τ</w:t>
      </w:r>
      <w:r w:rsidRPr="00A0567F">
        <w:t xml:space="preserve">ου </w:t>
      </w:r>
      <w:r w:rsidR="00524EEC">
        <w:t>Δ</w:t>
      </w:r>
      <w:r w:rsidRPr="00A0567F">
        <w:t>ημοσίου σε εταιρ</w:t>
      </w:r>
      <w:r w:rsidR="00524EEC">
        <w:t>ε</w:t>
      </w:r>
      <w:r w:rsidRPr="00A0567F">
        <w:t>ίες όπου έχει μικρότερες μετοχικές συμμετοχές. Ακολουθεί πίνακας με το παρ</w:t>
      </w:r>
      <w:r w:rsidR="004856DE">
        <w:t>ό</w:t>
      </w:r>
      <w:r w:rsidRPr="00A0567F">
        <w:t xml:space="preserve">ν μετοχολόγιο της ΕΕΣΥΠ - </w:t>
      </w:r>
      <w:r w:rsidR="00524EEC" w:rsidRPr="00A0567F">
        <w:t xml:space="preserve">κλάδος </w:t>
      </w:r>
      <w:r w:rsidRPr="00A0567F">
        <w:t xml:space="preserve">πρώην </w:t>
      </w:r>
      <w:r w:rsidRPr="0004583C">
        <w:t xml:space="preserve">ΤΑΙΠΕΔ </w:t>
      </w:r>
      <w:r w:rsidR="005530EB" w:rsidRPr="0004583C">
        <w:t>(</w:t>
      </w:r>
      <w:r w:rsidR="005530EB" w:rsidRPr="0004583C">
        <w:fldChar w:fldCharType="begin"/>
      </w:r>
      <w:r w:rsidR="005530EB" w:rsidRPr="0004583C">
        <w:instrText xml:space="preserve"> REF _Ref213510011 \h  \* MERGEFORMAT </w:instrText>
      </w:r>
      <w:r w:rsidR="005530EB" w:rsidRPr="0004583C">
        <w:fldChar w:fldCharType="separate"/>
      </w:r>
      <w:r w:rsidR="00E15678" w:rsidRPr="00E15678">
        <w:t>Πίνακας 5.8</w:t>
      </w:r>
      <w:r w:rsidR="005530EB" w:rsidRPr="0004583C">
        <w:fldChar w:fldCharType="end"/>
      </w:r>
      <w:r w:rsidR="005530EB" w:rsidRPr="0004583C">
        <w:t xml:space="preserve">.) </w:t>
      </w:r>
      <w:r w:rsidR="00E219DB" w:rsidRPr="0004583C">
        <w:t>μ</w:t>
      </w:r>
      <w:r w:rsidRPr="0004583C">
        <w:t xml:space="preserve">ε </w:t>
      </w:r>
      <w:r w:rsidR="00E219DB" w:rsidRPr="0004583C">
        <w:t>ε</w:t>
      </w:r>
      <w:r w:rsidRPr="0004583C">
        <w:t>ισηγμέ</w:t>
      </w:r>
      <w:r w:rsidRPr="00A0567F">
        <w:t xml:space="preserve">νες </w:t>
      </w:r>
      <w:r w:rsidR="00E219DB" w:rsidRPr="00A0567F">
        <w:t xml:space="preserve">και μη εισηγμένες </w:t>
      </w:r>
      <w:r w:rsidRPr="00A0567F">
        <w:t>στο Χρηματιστήριο Αθηνών</w:t>
      </w:r>
      <w:r w:rsidR="00D21E9C">
        <w:t xml:space="preserve"> (ΧΑ)</w:t>
      </w:r>
      <w:r w:rsidRPr="00A0567F">
        <w:t xml:space="preserve"> εταιρείες.</w:t>
      </w:r>
    </w:p>
    <w:p w14:paraId="2EBB84CD" w14:textId="77777777" w:rsidR="00737954" w:rsidRDefault="00737954">
      <w:pPr>
        <w:spacing w:after="0" w:line="240" w:lineRule="auto"/>
        <w:jc w:val="left"/>
      </w:pPr>
      <w:r>
        <w:br w:type="page"/>
      </w:r>
    </w:p>
    <w:tbl>
      <w:tblPr>
        <w:tblW w:w="5000" w:type="pct"/>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3080"/>
        <w:gridCol w:w="1728"/>
        <w:gridCol w:w="2674"/>
        <w:gridCol w:w="1582"/>
      </w:tblGrid>
      <w:tr w:rsidR="005B4B93" w:rsidRPr="00B47EF3" w14:paraId="2D1208DE" w14:textId="77777777" w:rsidTr="00737954">
        <w:trPr>
          <w:cantSplit/>
          <w:trHeight w:val="340"/>
          <w:jc w:val="center"/>
        </w:trPr>
        <w:tc>
          <w:tcPr>
            <w:tcW w:w="9064" w:type="dxa"/>
            <w:gridSpan w:val="4"/>
            <w:tcBorders>
              <w:bottom w:val="single" w:sz="2" w:space="0" w:color="A6A6A6" w:themeColor="background1" w:themeShade="A6"/>
            </w:tcBorders>
            <w:shd w:val="clear" w:color="auto" w:fill="D5DCE4"/>
            <w:tcMar>
              <w:left w:w="0" w:type="dxa"/>
              <w:right w:w="0" w:type="dxa"/>
            </w:tcMar>
            <w:vAlign w:val="center"/>
            <w:hideMark/>
          </w:tcPr>
          <w:p w14:paraId="2A377862" w14:textId="10F744F5" w:rsidR="005B4B93" w:rsidRPr="005816A8" w:rsidRDefault="005B4B93" w:rsidP="002F58F7">
            <w:pPr>
              <w:spacing w:after="0" w:line="276" w:lineRule="auto"/>
              <w:jc w:val="center"/>
              <w:rPr>
                <w:rFonts w:cs="Arial"/>
                <w:b/>
                <w:bCs/>
                <w:sz w:val="18"/>
                <w:szCs w:val="18"/>
                <w:lang w:eastAsia="en-GB"/>
              </w:rPr>
            </w:pPr>
            <w:bookmarkStart w:id="809" w:name="_Ref213510011"/>
            <w:bookmarkStart w:id="810" w:name="_Toc214474142"/>
            <w:r w:rsidRPr="00421E82">
              <w:rPr>
                <w:b/>
                <w:sz w:val="18"/>
                <w:szCs w:val="18"/>
              </w:rPr>
              <w:lastRenderedPageBreak/>
              <w:t>Πίνακας 5.</w:t>
            </w:r>
            <w:r w:rsidRPr="00421E82">
              <w:rPr>
                <w:b/>
                <w:sz w:val="18"/>
                <w:szCs w:val="18"/>
              </w:rPr>
              <w:fldChar w:fldCharType="begin"/>
            </w:r>
            <w:r w:rsidRPr="00421E82">
              <w:rPr>
                <w:b/>
                <w:sz w:val="18"/>
                <w:szCs w:val="18"/>
              </w:rPr>
              <w:instrText xml:space="preserve"> SEQ Πίνακας_5. \* ARABIC </w:instrText>
            </w:r>
            <w:r w:rsidRPr="00421E82">
              <w:rPr>
                <w:b/>
                <w:sz w:val="18"/>
                <w:szCs w:val="18"/>
              </w:rPr>
              <w:fldChar w:fldCharType="separate"/>
            </w:r>
            <w:r w:rsidR="00E15678">
              <w:rPr>
                <w:b/>
                <w:noProof/>
                <w:sz w:val="18"/>
                <w:szCs w:val="18"/>
              </w:rPr>
              <w:t>8</w:t>
            </w:r>
            <w:r w:rsidRPr="00421E82">
              <w:rPr>
                <w:b/>
                <w:sz w:val="18"/>
                <w:szCs w:val="18"/>
              </w:rPr>
              <w:fldChar w:fldCharType="end"/>
            </w:r>
            <w:bookmarkEnd w:id="809"/>
            <w:r w:rsidRPr="00421E82">
              <w:rPr>
                <w:b/>
                <w:sz w:val="18"/>
                <w:szCs w:val="18"/>
              </w:rPr>
              <w:t xml:space="preserve">.: </w:t>
            </w:r>
            <w:r w:rsidRPr="00421E82">
              <w:rPr>
                <w:rFonts w:cs="Arial"/>
                <w:b/>
                <w:bCs/>
                <w:sz w:val="18"/>
                <w:szCs w:val="18"/>
                <w:lang w:eastAsia="en-GB"/>
              </w:rPr>
              <w:t xml:space="preserve">Μετοχολόγιο </w:t>
            </w:r>
            <w:r w:rsidR="002F58F7" w:rsidRPr="00421E82">
              <w:rPr>
                <w:rFonts w:cs="Arial"/>
                <w:b/>
                <w:bCs/>
                <w:sz w:val="18"/>
                <w:szCs w:val="18"/>
                <w:lang w:eastAsia="en-GB"/>
              </w:rPr>
              <w:t xml:space="preserve">ΕΕΣΥΠ - </w:t>
            </w:r>
            <w:r w:rsidR="004856DE" w:rsidRPr="00421E82">
              <w:rPr>
                <w:rFonts w:cs="Arial"/>
                <w:b/>
                <w:bCs/>
                <w:sz w:val="18"/>
                <w:szCs w:val="18"/>
                <w:lang w:eastAsia="en-GB"/>
              </w:rPr>
              <w:t xml:space="preserve">κλάδος </w:t>
            </w:r>
            <w:r w:rsidR="005F7F15" w:rsidRPr="00421E82">
              <w:rPr>
                <w:rFonts w:cs="Arial"/>
                <w:b/>
                <w:bCs/>
                <w:sz w:val="18"/>
                <w:szCs w:val="18"/>
                <w:lang w:eastAsia="en-GB"/>
              </w:rPr>
              <w:t xml:space="preserve">πρώην </w:t>
            </w:r>
            <w:r w:rsidR="002F58F7" w:rsidRPr="00421E82">
              <w:rPr>
                <w:rFonts w:cs="Arial"/>
                <w:b/>
                <w:bCs/>
                <w:sz w:val="18"/>
                <w:szCs w:val="18"/>
                <w:lang w:eastAsia="en-GB"/>
              </w:rPr>
              <w:t>ΤΑΙΠΕΔ</w:t>
            </w:r>
            <w:bookmarkEnd w:id="810"/>
          </w:p>
        </w:tc>
      </w:tr>
      <w:tr w:rsidR="005B4B93" w:rsidRPr="00D95D8B" w14:paraId="79D88F75" w14:textId="77777777" w:rsidTr="00737954">
        <w:trPr>
          <w:cantSplit/>
          <w:trHeight w:val="227"/>
          <w:jc w:val="center"/>
        </w:trPr>
        <w:tc>
          <w:tcPr>
            <w:tcW w:w="9064" w:type="dxa"/>
            <w:gridSpan w:val="4"/>
            <w:tcBorders>
              <w:top w:val="single" w:sz="2" w:space="0" w:color="A6A6A6" w:themeColor="background1" w:themeShade="A6"/>
              <w:bottom w:val="single" w:sz="2" w:space="0" w:color="A6A6A6" w:themeColor="background1" w:themeShade="A6"/>
            </w:tcBorders>
            <w:shd w:val="clear" w:color="auto" w:fill="auto"/>
            <w:tcMar>
              <w:left w:w="0" w:type="dxa"/>
              <w:right w:w="0" w:type="dxa"/>
            </w:tcMar>
            <w:vAlign w:val="center"/>
            <w:hideMark/>
          </w:tcPr>
          <w:p w14:paraId="522C33D9" w14:textId="2A0EBD60" w:rsidR="001A475A" w:rsidRDefault="005B4B93" w:rsidP="00EA61D7">
            <w:pPr>
              <w:spacing w:after="0" w:line="276" w:lineRule="auto"/>
              <w:jc w:val="center"/>
              <w:rPr>
                <w:rFonts w:cs="Arial"/>
                <w:sz w:val="16"/>
                <w:szCs w:val="16"/>
                <w:lang w:eastAsia="en-GB"/>
              </w:rPr>
            </w:pPr>
            <w:r w:rsidRPr="00D95D8B">
              <w:rPr>
                <w:rFonts w:cs="Arial"/>
                <w:sz w:val="16"/>
                <w:szCs w:val="16"/>
                <w:lang w:eastAsia="en-GB"/>
              </w:rPr>
              <w:t>(αφορά</w:t>
            </w:r>
            <w:r w:rsidR="001A475A">
              <w:rPr>
                <w:rFonts w:cs="Arial"/>
                <w:sz w:val="16"/>
                <w:szCs w:val="16"/>
                <w:lang w:eastAsia="en-GB"/>
              </w:rPr>
              <w:t xml:space="preserve"> σε</w:t>
            </w:r>
            <w:r w:rsidRPr="00D95D8B">
              <w:rPr>
                <w:rFonts w:cs="Arial"/>
                <w:sz w:val="16"/>
                <w:szCs w:val="16"/>
                <w:lang w:eastAsia="en-GB"/>
              </w:rPr>
              <w:t xml:space="preserve"> μετοχές κυριότητας Ελληνικού Δημοσίου που περιλαμβάνονται στο Πρόγραμμα Αποκρατικοποιήσεων και μεταφέρθηκαν με απόφαση </w:t>
            </w:r>
            <w:r w:rsidR="001A475A">
              <w:rPr>
                <w:rFonts w:cs="Arial"/>
                <w:sz w:val="16"/>
                <w:szCs w:val="16"/>
                <w:lang w:eastAsia="en-GB"/>
              </w:rPr>
              <w:t xml:space="preserve">της </w:t>
            </w:r>
            <w:r w:rsidR="001A475A" w:rsidRPr="001A475A">
              <w:rPr>
                <w:rFonts w:cs="Arial"/>
                <w:sz w:val="16"/>
                <w:szCs w:val="16"/>
                <w:lang w:eastAsia="en-GB"/>
              </w:rPr>
              <w:t>Διυπουργικής Επιτροπής Αναδιαρθρώσεων και Αποκρατικοποιήσεων</w:t>
            </w:r>
            <w:r w:rsidR="00D21E9C">
              <w:rPr>
                <w:rFonts w:cs="Arial"/>
                <w:sz w:val="16"/>
                <w:szCs w:val="16"/>
                <w:lang w:eastAsia="en-GB"/>
              </w:rPr>
              <w:t xml:space="preserve"> - </w:t>
            </w:r>
            <w:r w:rsidRPr="00D95D8B">
              <w:rPr>
                <w:rFonts w:cs="Arial"/>
                <w:sz w:val="16"/>
                <w:szCs w:val="16"/>
                <w:lang w:eastAsia="en-GB"/>
              </w:rPr>
              <w:t>ΔΕΑΑ</w:t>
            </w:r>
          </w:p>
          <w:p w14:paraId="27EAE825" w14:textId="0EF117D6" w:rsidR="005B4B93" w:rsidRPr="00D95D8B" w:rsidRDefault="005B4B93" w:rsidP="00EA61D7">
            <w:pPr>
              <w:spacing w:after="0" w:line="276" w:lineRule="auto"/>
              <w:jc w:val="center"/>
              <w:rPr>
                <w:rFonts w:cs="Arial"/>
                <w:sz w:val="16"/>
                <w:szCs w:val="16"/>
                <w:lang w:eastAsia="en-GB"/>
              </w:rPr>
            </w:pPr>
            <w:r w:rsidRPr="00D95D8B">
              <w:rPr>
                <w:rFonts w:cs="Arial"/>
                <w:sz w:val="16"/>
                <w:szCs w:val="16"/>
                <w:lang w:eastAsia="en-GB"/>
              </w:rPr>
              <w:t>στο πρώην ΤΑΙΠΕΔ ΑΕ</w:t>
            </w:r>
            <w:r w:rsidR="001A475A">
              <w:rPr>
                <w:rFonts w:cs="Arial"/>
                <w:sz w:val="16"/>
                <w:szCs w:val="16"/>
                <w:lang w:eastAsia="en-GB"/>
              </w:rPr>
              <w:t>,</w:t>
            </w:r>
            <w:r w:rsidRPr="00D95D8B">
              <w:rPr>
                <w:rFonts w:cs="Arial"/>
                <w:sz w:val="16"/>
                <w:szCs w:val="16"/>
                <w:lang w:eastAsia="en-GB"/>
              </w:rPr>
              <w:t xml:space="preserve"> σύμφωνα με τον ν.3986/2011)</w:t>
            </w:r>
          </w:p>
        </w:tc>
      </w:tr>
      <w:tr w:rsidR="005B4B93" w:rsidRPr="00B47EF3" w14:paraId="382221EC" w14:textId="77777777" w:rsidTr="000072BD">
        <w:trPr>
          <w:cantSplit/>
          <w:trHeight w:val="283"/>
          <w:jc w:val="center"/>
        </w:trPr>
        <w:tc>
          <w:tcPr>
            <w:tcW w:w="9064" w:type="dxa"/>
            <w:gridSpan w:val="4"/>
            <w:tcBorders>
              <w:top w:val="single" w:sz="2" w:space="0" w:color="A6A6A6" w:themeColor="background1" w:themeShade="A6"/>
              <w:bottom w:val="single" w:sz="2" w:space="0" w:color="A6A6A6" w:themeColor="background1" w:themeShade="A6"/>
            </w:tcBorders>
            <w:shd w:val="clear" w:color="auto" w:fill="D5DCE4"/>
            <w:noWrap/>
            <w:tcMar>
              <w:left w:w="0" w:type="dxa"/>
              <w:right w:w="0" w:type="dxa"/>
            </w:tcMar>
            <w:vAlign w:val="center"/>
            <w:hideMark/>
          </w:tcPr>
          <w:p w14:paraId="0404684E"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ΕΙΣΗΓΜΕΝΕΣ ΣΤΟ ΧΑ</w:t>
            </w:r>
          </w:p>
        </w:tc>
      </w:tr>
      <w:tr w:rsidR="005B4B93" w:rsidRPr="00B47EF3" w14:paraId="2FD0C4EB" w14:textId="77777777" w:rsidTr="000072BD">
        <w:trPr>
          <w:cantSplit/>
          <w:trHeight w:val="283"/>
          <w:jc w:val="center"/>
        </w:trPr>
        <w:tc>
          <w:tcPr>
            <w:tcW w:w="3120" w:type="dxa"/>
            <w:tcBorders>
              <w:top w:val="single" w:sz="2" w:space="0" w:color="A6A6A6" w:themeColor="background1" w:themeShade="A6"/>
              <w:bottom w:val="single" w:sz="2" w:space="0" w:color="A6A6A6" w:themeColor="background1" w:themeShade="A6"/>
            </w:tcBorders>
            <w:shd w:val="clear" w:color="auto" w:fill="auto"/>
            <w:tcMar>
              <w:left w:w="0" w:type="dxa"/>
              <w:right w:w="0" w:type="dxa"/>
            </w:tcMar>
            <w:vAlign w:val="center"/>
            <w:hideMark/>
          </w:tcPr>
          <w:p w14:paraId="107C2D4F"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Εταιρεία</w:t>
            </w:r>
          </w:p>
        </w:tc>
        <w:tc>
          <w:tcPr>
            <w:tcW w:w="1712" w:type="dxa"/>
            <w:tcBorders>
              <w:top w:val="single" w:sz="2" w:space="0" w:color="A6A6A6" w:themeColor="background1" w:themeShade="A6"/>
              <w:bottom w:val="single" w:sz="2" w:space="0" w:color="A6A6A6" w:themeColor="background1" w:themeShade="A6"/>
            </w:tcBorders>
            <w:shd w:val="clear" w:color="auto" w:fill="auto"/>
            <w:tcMar>
              <w:left w:w="0" w:type="dxa"/>
              <w:right w:w="0" w:type="dxa"/>
            </w:tcMar>
            <w:vAlign w:val="center"/>
            <w:hideMark/>
          </w:tcPr>
          <w:p w14:paraId="06E2E99F"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Συνολικός αριθμός μετοχών</w:t>
            </w:r>
          </w:p>
        </w:tc>
        <w:tc>
          <w:tcPr>
            <w:tcW w:w="2658" w:type="dxa"/>
            <w:tcBorders>
              <w:top w:val="single" w:sz="2" w:space="0" w:color="A6A6A6" w:themeColor="background1" w:themeShade="A6"/>
              <w:bottom w:val="single" w:sz="2" w:space="0" w:color="A6A6A6" w:themeColor="background1" w:themeShade="A6"/>
            </w:tcBorders>
            <w:shd w:val="clear" w:color="auto" w:fill="auto"/>
            <w:tcMar>
              <w:left w:w="0" w:type="dxa"/>
              <w:right w:w="0" w:type="dxa"/>
            </w:tcMar>
            <w:vAlign w:val="center"/>
            <w:hideMark/>
          </w:tcPr>
          <w:p w14:paraId="4A293BE6"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Αριθμός μετοχών κυριότητας ΤΑΙΠΕΔ</w:t>
            </w:r>
          </w:p>
        </w:tc>
        <w:tc>
          <w:tcPr>
            <w:tcW w:w="1574" w:type="dxa"/>
            <w:tcBorders>
              <w:top w:val="single" w:sz="2" w:space="0" w:color="A6A6A6" w:themeColor="background1" w:themeShade="A6"/>
              <w:bottom w:val="single" w:sz="2" w:space="0" w:color="A6A6A6" w:themeColor="background1" w:themeShade="A6"/>
            </w:tcBorders>
            <w:shd w:val="clear" w:color="auto" w:fill="auto"/>
            <w:tcMar>
              <w:left w:w="0" w:type="dxa"/>
              <w:right w:w="0" w:type="dxa"/>
            </w:tcMar>
            <w:vAlign w:val="center"/>
            <w:hideMark/>
          </w:tcPr>
          <w:p w14:paraId="2AEBB6CE"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Ποσοστό ΤΑΙΠΕΔ επί του ΜΚ (%)</w:t>
            </w:r>
          </w:p>
        </w:tc>
      </w:tr>
      <w:tr w:rsidR="005B4B93" w:rsidRPr="00B47EF3" w14:paraId="77556A59" w14:textId="77777777" w:rsidTr="000072BD">
        <w:trPr>
          <w:cantSplit/>
          <w:trHeight w:val="283"/>
          <w:jc w:val="center"/>
        </w:trPr>
        <w:tc>
          <w:tcPr>
            <w:tcW w:w="3120" w:type="dxa"/>
            <w:tcBorders>
              <w:top w:val="single" w:sz="2" w:space="0" w:color="A6A6A6" w:themeColor="background1" w:themeShade="A6"/>
            </w:tcBorders>
            <w:shd w:val="clear" w:color="auto" w:fill="F2F2F2" w:themeFill="background1" w:themeFillShade="F2"/>
            <w:tcMar>
              <w:left w:w="0" w:type="dxa"/>
              <w:right w:w="0" w:type="dxa"/>
            </w:tcMar>
            <w:vAlign w:val="center"/>
            <w:hideMark/>
          </w:tcPr>
          <w:p w14:paraId="771F3B2B" w14:textId="559E540F" w:rsidR="005B4B93" w:rsidRPr="005E465C" w:rsidRDefault="005B4B93" w:rsidP="00EA61D7">
            <w:pPr>
              <w:spacing w:after="0" w:line="276" w:lineRule="auto"/>
              <w:jc w:val="left"/>
              <w:rPr>
                <w:rFonts w:cs="Arial"/>
                <w:sz w:val="16"/>
                <w:szCs w:val="16"/>
                <w:lang w:val="en-US" w:eastAsia="en-GB"/>
              </w:rPr>
            </w:pPr>
            <w:r w:rsidRPr="005E465C">
              <w:rPr>
                <w:rFonts w:cs="Arial"/>
                <w:sz w:val="16"/>
                <w:szCs w:val="16"/>
                <w:lang w:val="en-US" w:eastAsia="en-GB"/>
              </w:rPr>
              <w:t>HELLENiQ ENERGY</w:t>
            </w:r>
          </w:p>
          <w:p w14:paraId="042DCB9F" w14:textId="4F4F6122" w:rsidR="005B4B93" w:rsidRPr="005E465C" w:rsidRDefault="005B4B93" w:rsidP="00EA61D7">
            <w:pPr>
              <w:spacing w:after="0" w:line="276" w:lineRule="auto"/>
              <w:jc w:val="left"/>
              <w:rPr>
                <w:rFonts w:cs="Arial"/>
                <w:sz w:val="16"/>
                <w:szCs w:val="16"/>
                <w:lang w:val="en-US" w:eastAsia="en-GB"/>
              </w:rPr>
            </w:pPr>
            <w:r w:rsidRPr="005E465C">
              <w:rPr>
                <w:rFonts w:cs="Arial"/>
                <w:sz w:val="16"/>
                <w:szCs w:val="16"/>
                <w:lang w:val="en-US" w:eastAsia="en-GB"/>
              </w:rPr>
              <w:t>(</w:t>
            </w:r>
            <w:r w:rsidRPr="00B47EF3">
              <w:rPr>
                <w:rFonts w:cs="Arial"/>
                <w:sz w:val="16"/>
                <w:szCs w:val="16"/>
                <w:lang w:eastAsia="en-GB"/>
              </w:rPr>
              <w:t>πρώην</w:t>
            </w:r>
            <w:r w:rsidRPr="005E465C">
              <w:rPr>
                <w:rFonts w:cs="Arial"/>
                <w:sz w:val="16"/>
                <w:szCs w:val="16"/>
                <w:lang w:val="en-US" w:eastAsia="en-GB"/>
              </w:rPr>
              <w:t xml:space="preserve"> </w:t>
            </w:r>
            <w:r w:rsidRPr="00B47EF3">
              <w:rPr>
                <w:rFonts w:cs="Arial"/>
                <w:sz w:val="16"/>
                <w:szCs w:val="16"/>
                <w:lang w:eastAsia="en-GB"/>
              </w:rPr>
              <w:t>Ε</w:t>
            </w:r>
            <w:r w:rsidR="00B664DF">
              <w:rPr>
                <w:rFonts w:cs="Arial"/>
                <w:sz w:val="16"/>
                <w:szCs w:val="16"/>
                <w:lang w:eastAsia="en-GB"/>
              </w:rPr>
              <w:t>ΛΠΕ</w:t>
            </w:r>
            <w:r w:rsidRPr="005E465C">
              <w:rPr>
                <w:rFonts w:cs="Arial"/>
                <w:sz w:val="16"/>
                <w:szCs w:val="16"/>
                <w:lang w:val="en-US" w:eastAsia="en-GB"/>
              </w:rPr>
              <w:t xml:space="preserve"> </w:t>
            </w:r>
            <w:r w:rsidRPr="00B47EF3">
              <w:rPr>
                <w:rFonts w:cs="Arial"/>
                <w:sz w:val="16"/>
                <w:szCs w:val="16"/>
                <w:lang w:eastAsia="en-GB"/>
              </w:rPr>
              <w:t>ΑΕ</w:t>
            </w:r>
            <w:r w:rsidRPr="005E465C">
              <w:rPr>
                <w:rFonts w:cs="Arial"/>
                <w:sz w:val="16"/>
                <w:szCs w:val="16"/>
                <w:lang w:val="en-US" w:eastAsia="en-GB"/>
              </w:rPr>
              <w:t>)</w:t>
            </w:r>
          </w:p>
        </w:tc>
        <w:tc>
          <w:tcPr>
            <w:tcW w:w="1712" w:type="dxa"/>
            <w:tcBorders>
              <w:top w:val="single" w:sz="2" w:space="0" w:color="A6A6A6" w:themeColor="background1" w:themeShade="A6"/>
            </w:tcBorders>
            <w:shd w:val="clear" w:color="auto" w:fill="F2F2F2" w:themeFill="background1" w:themeFillShade="F2"/>
            <w:noWrap/>
            <w:tcMar>
              <w:left w:w="0" w:type="dxa"/>
              <w:right w:w="0" w:type="dxa"/>
            </w:tcMar>
            <w:vAlign w:val="center"/>
            <w:hideMark/>
          </w:tcPr>
          <w:p w14:paraId="6BE954EC"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305.635.185</w:t>
            </w:r>
          </w:p>
        </w:tc>
        <w:tc>
          <w:tcPr>
            <w:tcW w:w="2658" w:type="dxa"/>
            <w:tcBorders>
              <w:top w:val="single" w:sz="2" w:space="0" w:color="A6A6A6" w:themeColor="background1" w:themeShade="A6"/>
            </w:tcBorders>
            <w:shd w:val="clear" w:color="auto" w:fill="F2F2F2" w:themeFill="background1" w:themeFillShade="F2"/>
            <w:noWrap/>
            <w:tcMar>
              <w:left w:w="0" w:type="dxa"/>
              <w:right w:w="0" w:type="dxa"/>
            </w:tcMar>
            <w:vAlign w:val="center"/>
            <w:hideMark/>
          </w:tcPr>
          <w:p w14:paraId="716BCA7B"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val="en-US" w:eastAsia="en-GB"/>
              </w:rPr>
              <w:t>95.301.987</w:t>
            </w:r>
          </w:p>
        </w:tc>
        <w:tc>
          <w:tcPr>
            <w:tcW w:w="1574" w:type="dxa"/>
            <w:tcBorders>
              <w:top w:val="single" w:sz="2" w:space="0" w:color="A6A6A6" w:themeColor="background1" w:themeShade="A6"/>
            </w:tcBorders>
            <w:shd w:val="clear" w:color="auto" w:fill="F2F2F2" w:themeFill="background1" w:themeFillShade="F2"/>
            <w:noWrap/>
            <w:tcMar>
              <w:left w:w="0" w:type="dxa"/>
              <w:right w:w="0" w:type="dxa"/>
            </w:tcMar>
            <w:vAlign w:val="center"/>
            <w:hideMark/>
          </w:tcPr>
          <w:p w14:paraId="4F43CE7D"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31,18</w:t>
            </w:r>
          </w:p>
        </w:tc>
      </w:tr>
      <w:tr w:rsidR="005B4B93" w:rsidRPr="00B47EF3" w14:paraId="5980BCC8" w14:textId="77777777" w:rsidTr="000072BD">
        <w:trPr>
          <w:cantSplit/>
          <w:trHeight w:val="283"/>
          <w:jc w:val="center"/>
        </w:trPr>
        <w:tc>
          <w:tcPr>
            <w:tcW w:w="3120" w:type="dxa"/>
            <w:shd w:val="clear" w:color="auto" w:fill="auto"/>
            <w:tcMar>
              <w:left w:w="0" w:type="dxa"/>
              <w:right w:w="0" w:type="dxa"/>
            </w:tcMar>
            <w:vAlign w:val="center"/>
            <w:hideMark/>
          </w:tcPr>
          <w:p w14:paraId="22DDC97A"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ΕΥΑΘ ΑΕ</w:t>
            </w:r>
          </w:p>
        </w:tc>
        <w:tc>
          <w:tcPr>
            <w:tcW w:w="1712" w:type="dxa"/>
            <w:shd w:val="clear" w:color="auto" w:fill="auto"/>
            <w:noWrap/>
            <w:tcMar>
              <w:left w:w="0" w:type="dxa"/>
              <w:right w:w="0" w:type="dxa"/>
            </w:tcMar>
            <w:vAlign w:val="center"/>
            <w:hideMark/>
          </w:tcPr>
          <w:p w14:paraId="31870B96"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36.300.000</w:t>
            </w:r>
          </w:p>
        </w:tc>
        <w:tc>
          <w:tcPr>
            <w:tcW w:w="2658" w:type="dxa"/>
            <w:shd w:val="clear" w:color="auto" w:fill="auto"/>
            <w:noWrap/>
            <w:tcMar>
              <w:left w:w="0" w:type="dxa"/>
              <w:right w:w="0" w:type="dxa"/>
            </w:tcMar>
            <w:vAlign w:val="center"/>
            <w:hideMark/>
          </w:tcPr>
          <w:p w14:paraId="24D45129"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8.717.999</w:t>
            </w:r>
          </w:p>
        </w:tc>
        <w:tc>
          <w:tcPr>
            <w:tcW w:w="1574" w:type="dxa"/>
            <w:shd w:val="clear" w:color="auto" w:fill="auto"/>
            <w:noWrap/>
            <w:tcMar>
              <w:left w:w="0" w:type="dxa"/>
              <w:right w:w="0" w:type="dxa"/>
            </w:tcMar>
            <w:vAlign w:val="center"/>
            <w:hideMark/>
          </w:tcPr>
          <w:p w14:paraId="003A594E"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24,02</w:t>
            </w:r>
          </w:p>
        </w:tc>
      </w:tr>
      <w:tr w:rsidR="005B4B93" w:rsidRPr="00B47EF3" w14:paraId="250AAE6A" w14:textId="77777777" w:rsidTr="000072BD">
        <w:trPr>
          <w:cantSplit/>
          <w:trHeight w:val="283"/>
          <w:jc w:val="center"/>
        </w:trPr>
        <w:tc>
          <w:tcPr>
            <w:tcW w:w="3120" w:type="dxa"/>
            <w:shd w:val="clear" w:color="auto" w:fill="F2F2F2" w:themeFill="background1" w:themeFillShade="F2"/>
            <w:tcMar>
              <w:left w:w="0" w:type="dxa"/>
              <w:right w:w="0" w:type="dxa"/>
            </w:tcMar>
            <w:vAlign w:val="center"/>
            <w:hideMark/>
          </w:tcPr>
          <w:p w14:paraId="3AD72E62"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ΕΥΔΑΠ ΑΕ</w:t>
            </w:r>
          </w:p>
        </w:tc>
        <w:tc>
          <w:tcPr>
            <w:tcW w:w="1712" w:type="dxa"/>
            <w:shd w:val="clear" w:color="auto" w:fill="F2F2F2" w:themeFill="background1" w:themeFillShade="F2"/>
            <w:noWrap/>
            <w:tcMar>
              <w:left w:w="0" w:type="dxa"/>
              <w:right w:w="0" w:type="dxa"/>
            </w:tcMar>
            <w:vAlign w:val="center"/>
            <w:hideMark/>
          </w:tcPr>
          <w:p w14:paraId="6C1B32C6"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106.500.000</w:t>
            </w:r>
          </w:p>
        </w:tc>
        <w:tc>
          <w:tcPr>
            <w:tcW w:w="2658" w:type="dxa"/>
            <w:shd w:val="clear" w:color="auto" w:fill="F2F2F2" w:themeFill="background1" w:themeFillShade="F2"/>
            <w:noWrap/>
            <w:tcMar>
              <w:left w:w="0" w:type="dxa"/>
              <w:right w:w="0" w:type="dxa"/>
            </w:tcMar>
            <w:vAlign w:val="center"/>
            <w:hideMark/>
          </w:tcPr>
          <w:p w14:paraId="6A77D994"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12.069.739</w:t>
            </w:r>
          </w:p>
        </w:tc>
        <w:tc>
          <w:tcPr>
            <w:tcW w:w="1574" w:type="dxa"/>
            <w:shd w:val="clear" w:color="auto" w:fill="F2F2F2" w:themeFill="background1" w:themeFillShade="F2"/>
            <w:noWrap/>
            <w:tcMar>
              <w:left w:w="0" w:type="dxa"/>
              <w:right w:w="0" w:type="dxa"/>
            </w:tcMar>
            <w:vAlign w:val="center"/>
            <w:hideMark/>
          </w:tcPr>
          <w:p w14:paraId="12E2E227"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11,33</w:t>
            </w:r>
          </w:p>
        </w:tc>
      </w:tr>
      <w:tr w:rsidR="005B4B93" w:rsidRPr="00B47EF3" w14:paraId="0BC1EEB0" w14:textId="77777777" w:rsidTr="000072BD">
        <w:trPr>
          <w:cantSplit/>
          <w:trHeight w:val="283"/>
          <w:jc w:val="center"/>
        </w:trPr>
        <w:tc>
          <w:tcPr>
            <w:tcW w:w="3120" w:type="dxa"/>
            <w:shd w:val="clear" w:color="auto" w:fill="auto"/>
            <w:tcMar>
              <w:left w:w="0" w:type="dxa"/>
              <w:right w:w="0" w:type="dxa"/>
            </w:tcMar>
            <w:vAlign w:val="center"/>
            <w:hideMark/>
          </w:tcPr>
          <w:p w14:paraId="25D1CD7C"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ΟΛΘ ΑΕ</w:t>
            </w:r>
          </w:p>
        </w:tc>
        <w:tc>
          <w:tcPr>
            <w:tcW w:w="1712" w:type="dxa"/>
            <w:shd w:val="clear" w:color="auto" w:fill="auto"/>
            <w:noWrap/>
            <w:tcMar>
              <w:left w:w="0" w:type="dxa"/>
              <w:right w:w="0" w:type="dxa"/>
            </w:tcMar>
            <w:vAlign w:val="center"/>
            <w:hideMark/>
          </w:tcPr>
          <w:p w14:paraId="7CC4D1A1"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10.080.000</w:t>
            </w:r>
          </w:p>
        </w:tc>
        <w:tc>
          <w:tcPr>
            <w:tcW w:w="2658" w:type="dxa"/>
            <w:shd w:val="clear" w:color="auto" w:fill="auto"/>
            <w:noWrap/>
            <w:tcMar>
              <w:left w:w="0" w:type="dxa"/>
              <w:right w:w="0" w:type="dxa"/>
            </w:tcMar>
            <w:vAlign w:val="center"/>
            <w:hideMark/>
          </w:tcPr>
          <w:p w14:paraId="25AB078C"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732.594</w:t>
            </w:r>
          </w:p>
        </w:tc>
        <w:tc>
          <w:tcPr>
            <w:tcW w:w="1574" w:type="dxa"/>
            <w:shd w:val="clear" w:color="auto" w:fill="auto"/>
            <w:noWrap/>
            <w:tcMar>
              <w:left w:w="0" w:type="dxa"/>
              <w:right w:w="0" w:type="dxa"/>
            </w:tcMar>
            <w:vAlign w:val="center"/>
            <w:hideMark/>
          </w:tcPr>
          <w:p w14:paraId="2D4D5BA7"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7,27</w:t>
            </w:r>
          </w:p>
        </w:tc>
      </w:tr>
      <w:tr w:rsidR="005B4B93" w:rsidRPr="00B47EF3" w14:paraId="5BC14862" w14:textId="77777777" w:rsidTr="000072BD">
        <w:trPr>
          <w:cantSplit/>
          <w:trHeight w:val="283"/>
          <w:jc w:val="center"/>
        </w:trPr>
        <w:tc>
          <w:tcPr>
            <w:tcW w:w="3120" w:type="dxa"/>
            <w:tcBorders>
              <w:bottom w:val="single" w:sz="2" w:space="0" w:color="A6A6A6" w:themeColor="background1" w:themeShade="A6"/>
            </w:tcBorders>
            <w:shd w:val="clear" w:color="auto" w:fill="F2F2F2" w:themeFill="background1" w:themeFillShade="F2"/>
            <w:tcMar>
              <w:left w:w="0" w:type="dxa"/>
              <w:right w:w="0" w:type="dxa"/>
            </w:tcMar>
            <w:vAlign w:val="center"/>
            <w:hideMark/>
          </w:tcPr>
          <w:p w14:paraId="29EE8153"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ΟΛΠ ΑΕ</w:t>
            </w:r>
          </w:p>
        </w:tc>
        <w:tc>
          <w:tcPr>
            <w:tcW w:w="1712" w:type="dxa"/>
            <w:tcBorders>
              <w:bottom w:val="single" w:sz="2" w:space="0" w:color="A6A6A6" w:themeColor="background1" w:themeShade="A6"/>
            </w:tcBorders>
            <w:shd w:val="clear" w:color="auto" w:fill="F2F2F2" w:themeFill="background1" w:themeFillShade="F2"/>
            <w:noWrap/>
            <w:tcMar>
              <w:left w:w="0" w:type="dxa"/>
              <w:right w:w="0" w:type="dxa"/>
            </w:tcMar>
            <w:vAlign w:val="center"/>
            <w:hideMark/>
          </w:tcPr>
          <w:p w14:paraId="3DE40726"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25.000.000</w:t>
            </w:r>
          </w:p>
        </w:tc>
        <w:tc>
          <w:tcPr>
            <w:tcW w:w="2658" w:type="dxa"/>
            <w:tcBorders>
              <w:bottom w:val="single" w:sz="2" w:space="0" w:color="A6A6A6" w:themeColor="background1" w:themeShade="A6"/>
            </w:tcBorders>
            <w:shd w:val="clear" w:color="auto" w:fill="F2F2F2" w:themeFill="background1" w:themeFillShade="F2"/>
            <w:noWrap/>
            <w:tcMar>
              <w:left w:w="0" w:type="dxa"/>
              <w:right w:w="0" w:type="dxa"/>
            </w:tcMar>
            <w:vAlign w:val="center"/>
            <w:hideMark/>
          </w:tcPr>
          <w:p w14:paraId="6FF306E8"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1.784.440</w:t>
            </w:r>
          </w:p>
        </w:tc>
        <w:tc>
          <w:tcPr>
            <w:tcW w:w="1574" w:type="dxa"/>
            <w:tcBorders>
              <w:bottom w:val="single" w:sz="2" w:space="0" w:color="A6A6A6" w:themeColor="background1" w:themeShade="A6"/>
            </w:tcBorders>
            <w:shd w:val="clear" w:color="auto" w:fill="F2F2F2" w:themeFill="background1" w:themeFillShade="F2"/>
            <w:noWrap/>
            <w:tcMar>
              <w:left w:w="0" w:type="dxa"/>
              <w:right w:w="0" w:type="dxa"/>
            </w:tcMar>
            <w:vAlign w:val="center"/>
            <w:hideMark/>
          </w:tcPr>
          <w:p w14:paraId="595CE4C5"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7,14</w:t>
            </w:r>
          </w:p>
        </w:tc>
      </w:tr>
      <w:tr w:rsidR="005B4B93" w:rsidRPr="00B47EF3" w14:paraId="031582EB" w14:textId="77777777" w:rsidTr="000072BD">
        <w:trPr>
          <w:cantSplit/>
          <w:trHeight w:val="283"/>
          <w:jc w:val="center"/>
        </w:trPr>
        <w:tc>
          <w:tcPr>
            <w:tcW w:w="9064" w:type="dxa"/>
            <w:gridSpan w:val="4"/>
            <w:tcBorders>
              <w:top w:val="single" w:sz="2" w:space="0" w:color="A6A6A6" w:themeColor="background1" w:themeShade="A6"/>
              <w:bottom w:val="nil"/>
            </w:tcBorders>
            <w:shd w:val="clear" w:color="auto" w:fill="D5DCE4"/>
            <w:noWrap/>
            <w:tcMar>
              <w:left w:w="0" w:type="dxa"/>
              <w:right w:w="0" w:type="dxa"/>
            </w:tcMar>
            <w:vAlign w:val="center"/>
            <w:hideMark/>
          </w:tcPr>
          <w:p w14:paraId="2102CA3E"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ΜΗ ΕΙΣΗΓΜΕΝΕΣ ΣΤΟ ΧΑ</w:t>
            </w:r>
          </w:p>
        </w:tc>
      </w:tr>
      <w:tr w:rsidR="005B4B93" w:rsidRPr="00B47EF3" w14:paraId="333C9BD7" w14:textId="77777777" w:rsidTr="000072BD">
        <w:trPr>
          <w:cantSplit/>
          <w:trHeight w:val="283"/>
          <w:jc w:val="center"/>
        </w:trPr>
        <w:tc>
          <w:tcPr>
            <w:tcW w:w="3120" w:type="dxa"/>
            <w:tcBorders>
              <w:top w:val="nil"/>
              <w:bottom w:val="single" w:sz="2" w:space="0" w:color="A6A6A6" w:themeColor="background1" w:themeShade="A6"/>
            </w:tcBorders>
            <w:shd w:val="clear" w:color="auto" w:fill="auto"/>
            <w:tcMar>
              <w:left w:w="0" w:type="dxa"/>
              <w:right w:w="0" w:type="dxa"/>
            </w:tcMar>
            <w:vAlign w:val="center"/>
            <w:hideMark/>
          </w:tcPr>
          <w:p w14:paraId="6B4C3567"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Εταιρεία</w:t>
            </w:r>
          </w:p>
        </w:tc>
        <w:tc>
          <w:tcPr>
            <w:tcW w:w="1712" w:type="dxa"/>
            <w:tcBorders>
              <w:top w:val="nil"/>
              <w:bottom w:val="single" w:sz="2" w:space="0" w:color="A6A6A6" w:themeColor="background1" w:themeShade="A6"/>
            </w:tcBorders>
            <w:shd w:val="clear" w:color="auto" w:fill="auto"/>
            <w:tcMar>
              <w:left w:w="0" w:type="dxa"/>
              <w:right w:w="0" w:type="dxa"/>
            </w:tcMar>
            <w:vAlign w:val="center"/>
            <w:hideMark/>
          </w:tcPr>
          <w:p w14:paraId="65A9ADEC"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Συνολικό μετοχικό κεφάλαιο (σε ευρώ)</w:t>
            </w:r>
          </w:p>
        </w:tc>
        <w:tc>
          <w:tcPr>
            <w:tcW w:w="2658" w:type="dxa"/>
            <w:tcBorders>
              <w:top w:val="nil"/>
              <w:bottom w:val="single" w:sz="2" w:space="0" w:color="A6A6A6" w:themeColor="background1" w:themeShade="A6"/>
            </w:tcBorders>
            <w:shd w:val="clear" w:color="auto" w:fill="auto"/>
            <w:tcMar>
              <w:left w:w="0" w:type="dxa"/>
              <w:right w:w="0" w:type="dxa"/>
            </w:tcMar>
            <w:vAlign w:val="center"/>
            <w:hideMark/>
          </w:tcPr>
          <w:p w14:paraId="39823118"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Μετοχικό κεφάλαιο κυριότητας ΤΑΙΠΕΔ (σε ευρώ)</w:t>
            </w:r>
          </w:p>
        </w:tc>
        <w:tc>
          <w:tcPr>
            <w:tcW w:w="1574" w:type="dxa"/>
            <w:tcBorders>
              <w:top w:val="nil"/>
              <w:bottom w:val="single" w:sz="2" w:space="0" w:color="A6A6A6" w:themeColor="background1" w:themeShade="A6"/>
            </w:tcBorders>
            <w:shd w:val="clear" w:color="auto" w:fill="auto"/>
            <w:tcMar>
              <w:left w:w="0" w:type="dxa"/>
              <w:right w:w="0" w:type="dxa"/>
            </w:tcMar>
            <w:vAlign w:val="center"/>
            <w:hideMark/>
          </w:tcPr>
          <w:p w14:paraId="52A230F2" w14:textId="77777777" w:rsidR="005B4B93" w:rsidRPr="00B47EF3" w:rsidRDefault="005B4B93" w:rsidP="00EA61D7">
            <w:pPr>
              <w:spacing w:after="0" w:line="276" w:lineRule="auto"/>
              <w:jc w:val="center"/>
              <w:rPr>
                <w:rFonts w:cs="Arial"/>
                <w:b/>
                <w:bCs/>
                <w:sz w:val="16"/>
                <w:szCs w:val="16"/>
                <w:lang w:eastAsia="en-GB"/>
              </w:rPr>
            </w:pPr>
            <w:r w:rsidRPr="00B47EF3">
              <w:rPr>
                <w:rFonts w:cs="Arial"/>
                <w:b/>
                <w:bCs/>
                <w:sz w:val="16"/>
                <w:szCs w:val="16"/>
                <w:lang w:eastAsia="en-GB"/>
              </w:rPr>
              <w:t>Ποσοστό ΤΑΙΠΕΔ επί του ΜΚ (%)</w:t>
            </w:r>
          </w:p>
        </w:tc>
      </w:tr>
      <w:tr w:rsidR="005B4B93" w:rsidRPr="00B47EF3" w14:paraId="49CC0F2A" w14:textId="77777777" w:rsidTr="000072BD">
        <w:trPr>
          <w:cantSplit/>
          <w:trHeight w:val="283"/>
          <w:jc w:val="center"/>
        </w:trPr>
        <w:tc>
          <w:tcPr>
            <w:tcW w:w="3120" w:type="dxa"/>
            <w:tcBorders>
              <w:top w:val="single" w:sz="2" w:space="0" w:color="A6A6A6" w:themeColor="background1" w:themeShade="A6"/>
            </w:tcBorders>
            <w:shd w:val="clear" w:color="auto" w:fill="F2F2F2" w:themeFill="background1" w:themeFillShade="F2"/>
            <w:tcMar>
              <w:left w:w="0" w:type="dxa"/>
              <w:right w:w="0" w:type="dxa"/>
            </w:tcMar>
            <w:vAlign w:val="center"/>
            <w:hideMark/>
          </w:tcPr>
          <w:p w14:paraId="37335E79"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ΛΑΡΚΟ ΑΕ (υπό ειδική διαχείριση)</w:t>
            </w:r>
          </w:p>
        </w:tc>
        <w:tc>
          <w:tcPr>
            <w:tcW w:w="1712" w:type="dxa"/>
            <w:tcBorders>
              <w:top w:val="single" w:sz="2" w:space="0" w:color="A6A6A6" w:themeColor="background1" w:themeShade="A6"/>
            </w:tcBorders>
            <w:shd w:val="clear" w:color="auto" w:fill="F2F2F2" w:themeFill="background1" w:themeFillShade="F2"/>
            <w:noWrap/>
            <w:tcMar>
              <w:left w:w="0" w:type="dxa"/>
              <w:right w:w="0" w:type="dxa"/>
            </w:tcMar>
            <w:vAlign w:val="center"/>
            <w:hideMark/>
          </w:tcPr>
          <w:p w14:paraId="48BC19DA"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109.327.633</w:t>
            </w:r>
          </w:p>
        </w:tc>
        <w:tc>
          <w:tcPr>
            <w:tcW w:w="2658" w:type="dxa"/>
            <w:tcBorders>
              <w:top w:val="single" w:sz="2" w:space="0" w:color="A6A6A6" w:themeColor="background1" w:themeShade="A6"/>
            </w:tcBorders>
            <w:shd w:val="clear" w:color="auto" w:fill="F2F2F2" w:themeFill="background1" w:themeFillShade="F2"/>
            <w:noWrap/>
            <w:tcMar>
              <w:left w:w="0" w:type="dxa"/>
              <w:right w:w="0" w:type="dxa"/>
            </w:tcMar>
            <w:vAlign w:val="center"/>
            <w:hideMark/>
          </w:tcPr>
          <w:p w14:paraId="7338AE7D"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60.337.942</w:t>
            </w:r>
          </w:p>
        </w:tc>
        <w:tc>
          <w:tcPr>
            <w:tcW w:w="1574" w:type="dxa"/>
            <w:tcBorders>
              <w:top w:val="single" w:sz="2" w:space="0" w:color="A6A6A6" w:themeColor="background1" w:themeShade="A6"/>
            </w:tcBorders>
            <w:shd w:val="clear" w:color="auto" w:fill="F2F2F2" w:themeFill="background1" w:themeFillShade="F2"/>
            <w:noWrap/>
            <w:tcMar>
              <w:left w:w="0" w:type="dxa"/>
              <w:right w:w="0" w:type="dxa"/>
            </w:tcMar>
            <w:vAlign w:val="center"/>
            <w:hideMark/>
          </w:tcPr>
          <w:p w14:paraId="608AD9A2"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55,19</w:t>
            </w:r>
          </w:p>
        </w:tc>
      </w:tr>
      <w:tr w:rsidR="005B4B93" w:rsidRPr="00B47EF3" w14:paraId="0EBB4210" w14:textId="77777777" w:rsidTr="000072BD">
        <w:trPr>
          <w:cantSplit/>
          <w:trHeight w:val="283"/>
          <w:jc w:val="center"/>
        </w:trPr>
        <w:tc>
          <w:tcPr>
            <w:tcW w:w="3120" w:type="dxa"/>
            <w:shd w:val="clear" w:color="auto" w:fill="auto"/>
            <w:tcMar>
              <w:left w:w="0" w:type="dxa"/>
              <w:right w:w="0" w:type="dxa"/>
            </w:tcMar>
            <w:vAlign w:val="center"/>
            <w:hideMark/>
          </w:tcPr>
          <w:p w14:paraId="346EAD01"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ΔΕΠΑ ΕΜΠΟΡΙΑΣ ΑΕ</w:t>
            </w:r>
          </w:p>
        </w:tc>
        <w:tc>
          <w:tcPr>
            <w:tcW w:w="1712" w:type="dxa"/>
            <w:shd w:val="clear" w:color="auto" w:fill="auto"/>
            <w:noWrap/>
            <w:tcMar>
              <w:left w:w="0" w:type="dxa"/>
              <w:right w:w="0" w:type="dxa"/>
            </w:tcMar>
            <w:vAlign w:val="center"/>
            <w:hideMark/>
          </w:tcPr>
          <w:p w14:paraId="14EFC4AD"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17.518.199</w:t>
            </w:r>
          </w:p>
        </w:tc>
        <w:tc>
          <w:tcPr>
            <w:tcW w:w="2658" w:type="dxa"/>
            <w:shd w:val="clear" w:color="auto" w:fill="auto"/>
            <w:noWrap/>
            <w:tcMar>
              <w:left w:w="0" w:type="dxa"/>
              <w:right w:w="0" w:type="dxa"/>
            </w:tcMar>
            <w:vAlign w:val="center"/>
            <w:hideMark/>
          </w:tcPr>
          <w:p w14:paraId="4D58D4FF"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17.518.199</w:t>
            </w:r>
          </w:p>
        </w:tc>
        <w:tc>
          <w:tcPr>
            <w:tcW w:w="1574" w:type="dxa"/>
            <w:shd w:val="clear" w:color="auto" w:fill="auto"/>
            <w:noWrap/>
            <w:tcMar>
              <w:left w:w="0" w:type="dxa"/>
              <w:right w:w="0" w:type="dxa"/>
            </w:tcMar>
            <w:vAlign w:val="center"/>
            <w:hideMark/>
          </w:tcPr>
          <w:p w14:paraId="63F024A9"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33CC4986" w14:textId="77777777" w:rsidTr="000072BD">
        <w:trPr>
          <w:cantSplit/>
          <w:trHeight w:val="283"/>
          <w:jc w:val="center"/>
        </w:trPr>
        <w:tc>
          <w:tcPr>
            <w:tcW w:w="3120" w:type="dxa"/>
            <w:shd w:val="clear" w:color="auto" w:fill="F2F2F2" w:themeFill="background1" w:themeFillShade="F2"/>
            <w:tcMar>
              <w:left w:w="0" w:type="dxa"/>
              <w:right w:w="0" w:type="dxa"/>
            </w:tcMar>
            <w:vAlign w:val="center"/>
            <w:hideMark/>
          </w:tcPr>
          <w:p w14:paraId="40E20B0C"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Διεξαγωγής Ιπποδρομιών Ελλάδος (ΟΔΙΕ) ΑΕ (υπό εκκαθάριση)</w:t>
            </w:r>
          </w:p>
        </w:tc>
        <w:tc>
          <w:tcPr>
            <w:tcW w:w="1712" w:type="dxa"/>
            <w:shd w:val="clear" w:color="auto" w:fill="F2F2F2" w:themeFill="background1" w:themeFillShade="F2"/>
            <w:noWrap/>
            <w:tcMar>
              <w:left w:w="0" w:type="dxa"/>
              <w:right w:w="0" w:type="dxa"/>
            </w:tcMar>
            <w:vAlign w:val="center"/>
            <w:hideMark/>
          </w:tcPr>
          <w:p w14:paraId="3ACE9DC8"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109.512.066</w:t>
            </w:r>
          </w:p>
        </w:tc>
        <w:tc>
          <w:tcPr>
            <w:tcW w:w="2658" w:type="dxa"/>
            <w:shd w:val="clear" w:color="auto" w:fill="F2F2F2" w:themeFill="background1" w:themeFillShade="F2"/>
            <w:noWrap/>
            <w:tcMar>
              <w:left w:w="0" w:type="dxa"/>
              <w:right w:w="0" w:type="dxa"/>
            </w:tcMar>
            <w:vAlign w:val="center"/>
            <w:hideMark/>
          </w:tcPr>
          <w:p w14:paraId="2387D401"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109.512.066</w:t>
            </w:r>
          </w:p>
        </w:tc>
        <w:tc>
          <w:tcPr>
            <w:tcW w:w="1574" w:type="dxa"/>
            <w:shd w:val="clear" w:color="auto" w:fill="F2F2F2" w:themeFill="background1" w:themeFillShade="F2"/>
            <w:noWrap/>
            <w:tcMar>
              <w:left w:w="0" w:type="dxa"/>
              <w:right w:w="0" w:type="dxa"/>
            </w:tcMar>
            <w:vAlign w:val="center"/>
            <w:hideMark/>
          </w:tcPr>
          <w:p w14:paraId="2CDCF5BE"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7531D383" w14:textId="77777777" w:rsidTr="000072BD">
        <w:trPr>
          <w:cantSplit/>
          <w:trHeight w:val="283"/>
          <w:jc w:val="center"/>
        </w:trPr>
        <w:tc>
          <w:tcPr>
            <w:tcW w:w="3120" w:type="dxa"/>
            <w:shd w:val="clear" w:color="auto" w:fill="auto"/>
            <w:tcMar>
              <w:left w:w="0" w:type="dxa"/>
              <w:right w:w="0" w:type="dxa"/>
            </w:tcMar>
            <w:vAlign w:val="center"/>
            <w:hideMark/>
          </w:tcPr>
          <w:p w14:paraId="3F2D68CE"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Αλεξανδρούπολης ΑΕ</w:t>
            </w:r>
          </w:p>
        </w:tc>
        <w:tc>
          <w:tcPr>
            <w:tcW w:w="1712" w:type="dxa"/>
            <w:shd w:val="clear" w:color="auto" w:fill="auto"/>
            <w:noWrap/>
            <w:tcMar>
              <w:left w:w="0" w:type="dxa"/>
              <w:right w:w="0" w:type="dxa"/>
            </w:tcMar>
            <w:vAlign w:val="center"/>
            <w:hideMark/>
          </w:tcPr>
          <w:p w14:paraId="4C1A797B"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1.350.000</w:t>
            </w:r>
          </w:p>
        </w:tc>
        <w:tc>
          <w:tcPr>
            <w:tcW w:w="2658" w:type="dxa"/>
            <w:shd w:val="clear" w:color="auto" w:fill="auto"/>
            <w:noWrap/>
            <w:tcMar>
              <w:left w:w="0" w:type="dxa"/>
              <w:right w:w="0" w:type="dxa"/>
            </w:tcMar>
            <w:vAlign w:val="center"/>
            <w:hideMark/>
          </w:tcPr>
          <w:p w14:paraId="2EB34AF0"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1.350.000</w:t>
            </w:r>
          </w:p>
        </w:tc>
        <w:tc>
          <w:tcPr>
            <w:tcW w:w="1574" w:type="dxa"/>
            <w:shd w:val="clear" w:color="auto" w:fill="auto"/>
            <w:noWrap/>
            <w:tcMar>
              <w:left w:w="0" w:type="dxa"/>
              <w:right w:w="0" w:type="dxa"/>
            </w:tcMar>
            <w:vAlign w:val="center"/>
            <w:hideMark/>
          </w:tcPr>
          <w:p w14:paraId="2F4E9834"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36E2CCD6" w14:textId="77777777" w:rsidTr="000072BD">
        <w:trPr>
          <w:cantSplit/>
          <w:trHeight w:val="283"/>
          <w:jc w:val="center"/>
        </w:trPr>
        <w:tc>
          <w:tcPr>
            <w:tcW w:w="3120" w:type="dxa"/>
            <w:shd w:val="clear" w:color="auto" w:fill="F2F2F2" w:themeFill="background1" w:themeFillShade="F2"/>
            <w:tcMar>
              <w:left w:w="0" w:type="dxa"/>
              <w:right w:w="0" w:type="dxa"/>
            </w:tcMar>
            <w:vAlign w:val="center"/>
            <w:hideMark/>
          </w:tcPr>
          <w:p w14:paraId="138C3384"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Βόλου ΑΕ</w:t>
            </w:r>
          </w:p>
        </w:tc>
        <w:tc>
          <w:tcPr>
            <w:tcW w:w="1712" w:type="dxa"/>
            <w:shd w:val="clear" w:color="auto" w:fill="F2F2F2" w:themeFill="background1" w:themeFillShade="F2"/>
            <w:noWrap/>
            <w:tcMar>
              <w:left w:w="0" w:type="dxa"/>
              <w:right w:w="0" w:type="dxa"/>
            </w:tcMar>
            <w:vAlign w:val="center"/>
            <w:hideMark/>
          </w:tcPr>
          <w:p w14:paraId="04A10A3A"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8.190.000</w:t>
            </w:r>
          </w:p>
        </w:tc>
        <w:tc>
          <w:tcPr>
            <w:tcW w:w="2658" w:type="dxa"/>
            <w:shd w:val="clear" w:color="auto" w:fill="F2F2F2" w:themeFill="background1" w:themeFillShade="F2"/>
            <w:noWrap/>
            <w:tcMar>
              <w:left w:w="0" w:type="dxa"/>
              <w:right w:w="0" w:type="dxa"/>
            </w:tcMar>
            <w:vAlign w:val="center"/>
            <w:hideMark/>
          </w:tcPr>
          <w:p w14:paraId="3111FA2F"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8.190.000</w:t>
            </w:r>
          </w:p>
        </w:tc>
        <w:tc>
          <w:tcPr>
            <w:tcW w:w="1574" w:type="dxa"/>
            <w:shd w:val="clear" w:color="auto" w:fill="F2F2F2" w:themeFill="background1" w:themeFillShade="F2"/>
            <w:noWrap/>
            <w:tcMar>
              <w:left w:w="0" w:type="dxa"/>
              <w:right w:w="0" w:type="dxa"/>
            </w:tcMar>
            <w:vAlign w:val="center"/>
            <w:hideMark/>
          </w:tcPr>
          <w:p w14:paraId="19B7AFDF"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41557694" w14:textId="77777777" w:rsidTr="000072BD">
        <w:trPr>
          <w:cantSplit/>
          <w:trHeight w:val="283"/>
          <w:jc w:val="center"/>
        </w:trPr>
        <w:tc>
          <w:tcPr>
            <w:tcW w:w="3120" w:type="dxa"/>
            <w:shd w:val="clear" w:color="auto" w:fill="auto"/>
            <w:tcMar>
              <w:left w:w="0" w:type="dxa"/>
              <w:right w:w="0" w:type="dxa"/>
            </w:tcMar>
            <w:vAlign w:val="center"/>
            <w:hideMark/>
          </w:tcPr>
          <w:p w14:paraId="35D90AE1"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Ελευσίνας ΑΕ</w:t>
            </w:r>
          </w:p>
        </w:tc>
        <w:tc>
          <w:tcPr>
            <w:tcW w:w="1712" w:type="dxa"/>
            <w:shd w:val="clear" w:color="auto" w:fill="auto"/>
            <w:noWrap/>
            <w:tcMar>
              <w:left w:w="0" w:type="dxa"/>
              <w:right w:w="0" w:type="dxa"/>
            </w:tcMar>
            <w:vAlign w:val="center"/>
            <w:hideMark/>
          </w:tcPr>
          <w:p w14:paraId="62832B1C"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895.400</w:t>
            </w:r>
          </w:p>
        </w:tc>
        <w:tc>
          <w:tcPr>
            <w:tcW w:w="2658" w:type="dxa"/>
            <w:shd w:val="clear" w:color="auto" w:fill="auto"/>
            <w:noWrap/>
            <w:tcMar>
              <w:left w:w="0" w:type="dxa"/>
              <w:right w:w="0" w:type="dxa"/>
            </w:tcMar>
            <w:vAlign w:val="center"/>
            <w:hideMark/>
          </w:tcPr>
          <w:p w14:paraId="5D19B50D"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895.400</w:t>
            </w:r>
          </w:p>
        </w:tc>
        <w:tc>
          <w:tcPr>
            <w:tcW w:w="1574" w:type="dxa"/>
            <w:shd w:val="clear" w:color="auto" w:fill="auto"/>
            <w:noWrap/>
            <w:tcMar>
              <w:left w:w="0" w:type="dxa"/>
              <w:right w:w="0" w:type="dxa"/>
            </w:tcMar>
            <w:vAlign w:val="center"/>
            <w:hideMark/>
          </w:tcPr>
          <w:p w14:paraId="3E43926F"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2F85A559" w14:textId="77777777" w:rsidTr="000072BD">
        <w:trPr>
          <w:cantSplit/>
          <w:trHeight w:val="283"/>
          <w:jc w:val="center"/>
        </w:trPr>
        <w:tc>
          <w:tcPr>
            <w:tcW w:w="3120" w:type="dxa"/>
            <w:shd w:val="clear" w:color="auto" w:fill="F2F2F2" w:themeFill="background1" w:themeFillShade="F2"/>
            <w:tcMar>
              <w:left w:w="0" w:type="dxa"/>
              <w:right w:w="0" w:type="dxa"/>
            </w:tcMar>
            <w:vAlign w:val="center"/>
            <w:hideMark/>
          </w:tcPr>
          <w:p w14:paraId="06B2E5D5"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Ηρακλείου ΑΕ</w:t>
            </w:r>
          </w:p>
        </w:tc>
        <w:tc>
          <w:tcPr>
            <w:tcW w:w="1712" w:type="dxa"/>
            <w:shd w:val="clear" w:color="auto" w:fill="F2F2F2" w:themeFill="background1" w:themeFillShade="F2"/>
            <w:noWrap/>
            <w:tcMar>
              <w:left w:w="0" w:type="dxa"/>
              <w:right w:w="0" w:type="dxa"/>
            </w:tcMar>
            <w:vAlign w:val="center"/>
            <w:hideMark/>
          </w:tcPr>
          <w:p w14:paraId="1827DC98"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1.530.000</w:t>
            </w:r>
          </w:p>
        </w:tc>
        <w:tc>
          <w:tcPr>
            <w:tcW w:w="2658" w:type="dxa"/>
            <w:shd w:val="clear" w:color="auto" w:fill="F2F2F2" w:themeFill="background1" w:themeFillShade="F2"/>
            <w:noWrap/>
            <w:tcMar>
              <w:left w:w="0" w:type="dxa"/>
              <w:right w:w="0" w:type="dxa"/>
            </w:tcMar>
            <w:vAlign w:val="center"/>
            <w:hideMark/>
          </w:tcPr>
          <w:p w14:paraId="4C46803F"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504.900</w:t>
            </w:r>
          </w:p>
        </w:tc>
        <w:tc>
          <w:tcPr>
            <w:tcW w:w="1574" w:type="dxa"/>
            <w:shd w:val="clear" w:color="auto" w:fill="F2F2F2" w:themeFill="background1" w:themeFillShade="F2"/>
            <w:noWrap/>
            <w:tcMar>
              <w:left w:w="0" w:type="dxa"/>
              <w:right w:w="0" w:type="dxa"/>
            </w:tcMar>
            <w:vAlign w:val="center"/>
            <w:hideMark/>
          </w:tcPr>
          <w:p w14:paraId="47B2C03C"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33</w:t>
            </w:r>
          </w:p>
        </w:tc>
      </w:tr>
      <w:tr w:rsidR="005B4B93" w:rsidRPr="00B47EF3" w14:paraId="2C4BBEA8" w14:textId="77777777" w:rsidTr="000072BD">
        <w:trPr>
          <w:cantSplit/>
          <w:trHeight w:val="283"/>
          <w:jc w:val="center"/>
        </w:trPr>
        <w:tc>
          <w:tcPr>
            <w:tcW w:w="3120" w:type="dxa"/>
            <w:shd w:val="clear" w:color="auto" w:fill="auto"/>
            <w:tcMar>
              <w:left w:w="0" w:type="dxa"/>
              <w:right w:w="0" w:type="dxa"/>
            </w:tcMar>
            <w:vAlign w:val="center"/>
            <w:hideMark/>
          </w:tcPr>
          <w:p w14:paraId="35252239"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Ηγουμενίτσας ΑΕ</w:t>
            </w:r>
          </w:p>
        </w:tc>
        <w:tc>
          <w:tcPr>
            <w:tcW w:w="1712" w:type="dxa"/>
            <w:shd w:val="clear" w:color="auto" w:fill="auto"/>
            <w:noWrap/>
            <w:tcMar>
              <w:left w:w="0" w:type="dxa"/>
              <w:right w:w="0" w:type="dxa"/>
            </w:tcMar>
            <w:vAlign w:val="center"/>
            <w:hideMark/>
          </w:tcPr>
          <w:p w14:paraId="6C9EA4D8"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9.780.000</w:t>
            </w:r>
          </w:p>
        </w:tc>
        <w:tc>
          <w:tcPr>
            <w:tcW w:w="2658" w:type="dxa"/>
            <w:shd w:val="clear" w:color="auto" w:fill="auto"/>
            <w:noWrap/>
            <w:tcMar>
              <w:left w:w="0" w:type="dxa"/>
              <w:right w:w="0" w:type="dxa"/>
            </w:tcMar>
            <w:vAlign w:val="center"/>
            <w:hideMark/>
          </w:tcPr>
          <w:p w14:paraId="1D26DEE4"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3.227.400</w:t>
            </w:r>
          </w:p>
        </w:tc>
        <w:tc>
          <w:tcPr>
            <w:tcW w:w="1574" w:type="dxa"/>
            <w:shd w:val="clear" w:color="auto" w:fill="auto"/>
            <w:noWrap/>
            <w:tcMar>
              <w:left w:w="0" w:type="dxa"/>
              <w:right w:w="0" w:type="dxa"/>
            </w:tcMar>
            <w:vAlign w:val="center"/>
            <w:hideMark/>
          </w:tcPr>
          <w:p w14:paraId="7741A45F"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33</w:t>
            </w:r>
          </w:p>
        </w:tc>
      </w:tr>
      <w:tr w:rsidR="005B4B93" w:rsidRPr="00B47EF3" w14:paraId="21BE187E" w14:textId="77777777" w:rsidTr="000072BD">
        <w:trPr>
          <w:cantSplit/>
          <w:trHeight w:val="283"/>
          <w:jc w:val="center"/>
        </w:trPr>
        <w:tc>
          <w:tcPr>
            <w:tcW w:w="3120" w:type="dxa"/>
            <w:shd w:val="clear" w:color="auto" w:fill="F2F2F2" w:themeFill="background1" w:themeFillShade="F2"/>
            <w:tcMar>
              <w:left w:w="0" w:type="dxa"/>
              <w:right w:w="0" w:type="dxa"/>
            </w:tcMar>
            <w:vAlign w:val="center"/>
            <w:hideMark/>
          </w:tcPr>
          <w:p w14:paraId="70DE0D78"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Καβάλας ΑΕ</w:t>
            </w:r>
          </w:p>
        </w:tc>
        <w:tc>
          <w:tcPr>
            <w:tcW w:w="1712" w:type="dxa"/>
            <w:shd w:val="clear" w:color="auto" w:fill="F2F2F2" w:themeFill="background1" w:themeFillShade="F2"/>
            <w:noWrap/>
            <w:tcMar>
              <w:left w:w="0" w:type="dxa"/>
              <w:right w:w="0" w:type="dxa"/>
            </w:tcMar>
            <w:vAlign w:val="center"/>
            <w:hideMark/>
          </w:tcPr>
          <w:p w14:paraId="11B797A7"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7.605.775</w:t>
            </w:r>
          </w:p>
        </w:tc>
        <w:tc>
          <w:tcPr>
            <w:tcW w:w="2658" w:type="dxa"/>
            <w:shd w:val="clear" w:color="auto" w:fill="F2F2F2" w:themeFill="background1" w:themeFillShade="F2"/>
            <w:noWrap/>
            <w:tcMar>
              <w:left w:w="0" w:type="dxa"/>
              <w:right w:w="0" w:type="dxa"/>
            </w:tcMar>
            <w:vAlign w:val="center"/>
            <w:hideMark/>
          </w:tcPr>
          <w:p w14:paraId="4B419A3D"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7.605.775</w:t>
            </w:r>
          </w:p>
        </w:tc>
        <w:tc>
          <w:tcPr>
            <w:tcW w:w="1574" w:type="dxa"/>
            <w:shd w:val="clear" w:color="auto" w:fill="F2F2F2" w:themeFill="background1" w:themeFillShade="F2"/>
            <w:noWrap/>
            <w:tcMar>
              <w:left w:w="0" w:type="dxa"/>
              <w:right w:w="0" w:type="dxa"/>
            </w:tcMar>
            <w:vAlign w:val="center"/>
            <w:hideMark/>
          </w:tcPr>
          <w:p w14:paraId="2EC6F552"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3301C337" w14:textId="77777777" w:rsidTr="000072BD">
        <w:trPr>
          <w:cantSplit/>
          <w:trHeight w:val="283"/>
          <w:jc w:val="center"/>
        </w:trPr>
        <w:tc>
          <w:tcPr>
            <w:tcW w:w="3120" w:type="dxa"/>
            <w:shd w:val="clear" w:color="auto" w:fill="auto"/>
            <w:tcMar>
              <w:left w:w="0" w:type="dxa"/>
              <w:right w:w="0" w:type="dxa"/>
            </w:tcMar>
            <w:vAlign w:val="center"/>
            <w:hideMark/>
          </w:tcPr>
          <w:p w14:paraId="14BE5B1D"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Κέρκυρας ΑΕ</w:t>
            </w:r>
          </w:p>
        </w:tc>
        <w:tc>
          <w:tcPr>
            <w:tcW w:w="1712" w:type="dxa"/>
            <w:shd w:val="clear" w:color="auto" w:fill="auto"/>
            <w:noWrap/>
            <w:tcMar>
              <w:left w:w="0" w:type="dxa"/>
              <w:right w:w="0" w:type="dxa"/>
            </w:tcMar>
            <w:vAlign w:val="center"/>
            <w:hideMark/>
          </w:tcPr>
          <w:p w14:paraId="65BA29FF"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2.500.206</w:t>
            </w:r>
          </w:p>
        </w:tc>
        <w:tc>
          <w:tcPr>
            <w:tcW w:w="2658" w:type="dxa"/>
            <w:shd w:val="clear" w:color="auto" w:fill="auto"/>
            <w:noWrap/>
            <w:tcMar>
              <w:left w:w="0" w:type="dxa"/>
              <w:right w:w="0" w:type="dxa"/>
            </w:tcMar>
            <w:vAlign w:val="center"/>
            <w:hideMark/>
          </w:tcPr>
          <w:p w14:paraId="31E9F9E6"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2.500.206</w:t>
            </w:r>
          </w:p>
        </w:tc>
        <w:tc>
          <w:tcPr>
            <w:tcW w:w="1574" w:type="dxa"/>
            <w:shd w:val="clear" w:color="auto" w:fill="auto"/>
            <w:noWrap/>
            <w:tcMar>
              <w:left w:w="0" w:type="dxa"/>
              <w:right w:w="0" w:type="dxa"/>
            </w:tcMar>
            <w:vAlign w:val="center"/>
            <w:hideMark/>
          </w:tcPr>
          <w:p w14:paraId="7824B35C"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387ED0E1" w14:textId="77777777" w:rsidTr="000072BD">
        <w:trPr>
          <w:cantSplit/>
          <w:trHeight w:val="283"/>
          <w:jc w:val="center"/>
        </w:trPr>
        <w:tc>
          <w:tcPr>
            <w:tcW w:w="3120" w:type="dxa"/>
            <w:shd w:val="clear" w:color="auto" w:fill="F2F2F2" w:themeFill="background1" w:themeFillShade="F2"/>
            <w:tcMar>
              <w:left w:w="0" w:type="dxa"/>
              <w:right w:w="0" w:type="dxa"/>
            </w:tcMar>
            <w:vAlign w:val="center"/>
            <w:hideMark/>
          </w:tcPr>
          <w:p w14:paraId="65AAD2F2"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Λαυρίου ΑΕ</w:t>
            </w:r>
          </w:p>
        </w:tc>
        <w:tc>
          <w:tcPr>
            <w:tcW w:w="1712" w:type="dxa"/>
            <w:shd w:val="clear" w:color="auto" w:fill="F2F2F2" w:themeFill="background1" w:themeFillShade="F2"/>
            <w:noWrap/>
            <w:tcMar>
              <w:left w:w="0" w:type="dxa"/>
              <w:right w:w="0" w:type="dxa"/>
            </w:tcMar>
            <w:vAlign w:val="center"/>
            <w:hideMark/>
          </w:tcPr>
          <w:p w14:paraId="656B7011"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303.051</w:t>
            </w:r>
          </w:p>
        </w:tc>
        <w:tc>
          <w:tcPr>
            <w:tcW w:w="2658" w:type="dxa"/>
            <w:shd w:val="clear" w:color="auto" w:fill="F2F2F2" w:themeFill="background1" w:themeFillShade="F2"/>
            <w:noWrap/>
            <w:tcMar>
              <w:left w:w="0" w:type="dxa"/>
              <w:right w:w="0" w:type="dxa"/>
            </w:tcMar>
            <w:vAlign w:val="center"/>
            <w:hideMark/>
          </w:tcPr>
          <w:p w14:paraId="65B73A6E"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303.051</w:t>
            </w:r>
          </w:p>
        </w:tc>
        <w:tc>
          <w:tcPr>
            <w:tcW w:w="1574" w:type="dxa"/>
            <w:shd w:val="clear" w:color="auto" w:fill="F2F2F2" w:themeFill="background1" w:themeFillShade="F2"/>
            <w:noWrap/>
            <w:tcMar>
              <w:left w:w="0" w:type="dxa"/>
              <w:right w:w="0" w:type="dxa"/>
            </w:tcMar>
            <w:vAlign w:val="center"/>
            <w:hideMark/>
          </w:tcPr>
          <w:p w14:paraId="41496A46"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45C8EA41" w14:textId="77777777" w:rsidTr="000072BD">
        <w:trPr>
          <w:cantSplit/>
          <w:trHeight w:val="283"/>
          <w:jc w:val="center"/>
        </w:trPr>
        <w:tc>
          <w:tcPr>
            <w:tcW w:w="3120" w:type="dxa"/>
            <w:shd w:val="clear" w:color="auto" w:fill="auto"/>
            <w:tcMar>
              <w:left w:w="0" w:type="dxa"/>
              <w:right w:w="0" w:type="dxa"/>
            </w:tcMar>
            <w:vAlign w:val="center"/>
            <w:hideMark/>
          </w:tcPr>
          <w:p w14:paraId="74200C38"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Πατρών ΑΕ</w:t>
            </w:r>
          </w:p>
        </w:tc>
        <w:tc>
          <w:tcPr>
            <w:tcW w:w="1712" w:type="dxa"/>
            <w:shd w:val="clear" w:color="auto" w:fill="auto"/>
            <w:noWrap/>
            <w:tcMar>
              <w:left w:w="0" w:type="dxa"/>
              <w:right w:w="0" w:type="dxa"/>
            </w:tcMar>
            <w:vAlign w:val="center"/>
            <w:hideMark/>
          </w:tcPr>
          <w:p w14:paraId="0C81C14C"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17.389.590</w:t>
            </w:r>
          </w:p>
        </w:tc>
        <w:tc>
          <w:tcPr>
            <w:tcW w:w="2658" w:type="dxa"/>
            <w:shd w:val="clear" w:color="auto" w:fill="auto"/>
            <w:noWrap/>
            <w:tcMar>
              <w:left w:w="0" w:type="dxa"/>
              <w:right w:w="0" w:type="dxa"/>
            </w:tcMar>
            <w:vAlign w:val="center"/>
            <w:hideMark/>
          </w:tcPr>
          <w:p w14:paraId="68E14B50"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17.389.590</w:t>
            </w:r>
          </w:p>
        </w:tc>
        <w:tc>
          <w:tcPr>
            <w:tcW w:w="1574" w:type="dxa"/>
            <w:shd w:val="clear" w:color="auto" w:fill="auto"/>
            <w:noWrap/>
            <w:tcMar>
              <w:left w:w="0" w:type="dxa"/>
              <w:right w:w="0" w:type="dxa"/>
            </w:tcMar>
            <w:vAlign w:val="center"/>
            <w:hideMark/>
          </w:tcPr>
          <w:p w14:paraId="26131993"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B47EF3" w14:paraId="6977AEDF" w14:textId="77777777" w:rsidTr="000072BD">
        <w:trPr>
          <w:cantSplit/>
          <w:trHeight w:val="283"/>
          <w:jc w:val="center"/>
        </w:trPr>
        <w:tc>
          <w:tcPr>
            <w:tcW w:w="3120" w:type="dxa"/>
            <w:tcBorders>
              <w:bottom w:val="single" w:sz="2" w:space="0" w:color="A6A6A6" w:themeColor="background1" w:themeShade="A6"/>
            </w:tcBorders>
            <w:shd w:val="clear" w:color="auto" w:fill="F2F2F2" w:themeFill="background1" w:themeFillShade="F2"/>
            <w:tcMar>
              <w:left w:w="0" w:type="dxa"/>
              <w:right w:w="0" w:type="dxa"/>
            </w:tcMar>
            <w:vAlign w:val="center"/>
            <w:hideMark/>
          </w:tcPr>
          <w:p w14:paraId="47CF8EE3" w14:textId="77777777" w:rsidR="005B4B93" w:rsidRPr="00B47EF3" w:rsidRDefault="005B4B93" w:rsidP="00EA61D7">
            <w:pPr>
              <w:spacing w:after="0" w:line="276" w:lineRule="auto"/>
              <w:jc w:val="left"/>
              <w:rPr>
                <w:rFonts w:cs="Arial"/>
                <w:sz w:val="16"/>
                <w:szCs w:val="16"/>
                <w:lang w:eastAsia="en-GB"/>
              </w:rPr>
            </w:pPr>
            <w:r w:rsidRPr="00B47EF3">
              <w:rPr>
                <w:rFonts w:cs="Arial"/>
                <w:sz w:val="16"/>
                <w:szCs w:val="16"/>
                <w:lang w:eastAsia="en-GB"/>
              </w:rPr>
              <w:t>Οργανισμός Λιμένος Ραφήνας ΑΕ</w:t>
            </w:r>
          </w:p>
        </w:tc>
        <w:tc>
          <w:tcPr>
            <w:tcW w:w="1712" w:type="dxa"/>
            <w:tcBorders>
              <w:bottom w:val="single" w:sz="2" w:space="0" w:color="A6A6A6" w:themeColor="background1" w:themeShade="A6"/>
            </w:tcBorders>
            <w:shd w:val="clear" w:color="auto" w:fill="F2F2F2" w:themeFill="background1" w:themeFillShade="F2"/>
            <w:noWrap/>
            <w:tcMar>
              <w:left w:w="0" w:type="dxa"/>
              <w:right w:w="0" w:type="dxa"/>
            </w:tcMar>
            <w:vAlign w:val="center"/>
            <w:hideMark/>
          </w:tcPr>
          <w:p w14:paraId="00A97B0D"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864.090</w:t>
            </w:r>
          </w:p>
        </w:tc>
        <w:tc>
          <w:tcPr>
            <w:tcW w:w="2658" w:type="dxa"/>
            <w:tcBorders>
              <w:bottom w:val="single" w:sz="2" w:space="0" w:color="A6A6A6" w:themeColor="background1" w:themeShade="A6"/>
            </w:tcBorders>
            <w:shd w:val="clear" w:color="auto" w:fill="F2F2F2" w:themeFill="background1" w:themeFillShade="F2"/>
            <w:noWrap/>
            <w:tcMar>
              <w:left w:w="0" w:type="dxa"/>
              <w:right w:w="0" w:type="dxa"/>
            </w:tcMar>
            <w:vAlign w:val="center"/>
            <w:hideMark/>
          </w:tcPr>
          <w:p w14:paraId="00E25A5F"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864.090</w:t>
            </w:r>
          </w:p>
        </w:tc>
        <w:tc>
          <w:tcPr>
            <w:tcW w:w="1574" w:type="dxa"/>
            <w:tcBorders>
              <w:bottom w:val="single" w:sz="2" w:space="0" w:color="A6A6A6" w:themeColor="background1" w:themeShade="A6"/>
            </w:tcBorders>
            <w:shd w:val="clear" w:color="auto" w:fill="F2F2F2" w:themeFill="background1" w:themeFillShade="F2"/>
            <w:noWrap/>
            <w:tcMar>
              <w:left w:w="0" w:type="dxa"/>
              <w:right w:w="0" w:type="dxa"/>
            </w:tcMar>
            <w:vAlign w:val="center"/>
            <w:hideMark/>
          </w:tcPr>
          <w:p w14:paraId="06B1AE48" w14:textId="77777777" w:rsidR="005B4B93" w:rsidRPr="00B47EF3" w:rsidRDefault="005B4B93" w:rsidP="00EA61D7">
            <w:pPr>
              <w:spacing w:after="0" w:line="276" w:lineRule="auto"/>
              <w:jc w:val="right"/>
              <w:rPr>
                <w:rFonts w:cs="Arial"/>
                <w:sz w:val="16"/>
                <w:szCs w:val="16"/>
                <w:lang w:eastAsia="en-GB"/>
              </w:rPr>
            </w:pPr>
            <w:r w:rsidRPr="00B47EF3">
              <w:rPr>
                <w:rFonts w:cs="Arial"/>
                <w:sz w:val="16"/>
                <w:szCs w:val="16"/>
                <w:lang w:eastAsia="en-GB"/>
              </w:rPr>
              <w:t>100</w:t>
            </w:r>
          </w:p>
        </w:tc>
      </w:tr>
      <w:tr w:rsidR="005B4B93" w:rsidRPr="00D95D8B" w14:paraId="5663D0B0" w14:textId="77777777" w:rsidTr="00737954">
        <w:trPr>
          <w:cantSplit/>
          <w:trHeight w:val="227"/>
          <w:jc w:val="center"/>
        </w:trPr>
        <w:tc>
          <w:tcPr>
            <w:tcW w:w="9064" w:type="dxa"/>
            <w:gridSpan w:val="4"/>
            <w:tcBorders>
              <w:top w:val="single" w:sz="2" w:space="0" w:color="A6A6A6" w:themeColor="background1" w:themeShade="A6"/>
              <w:left w:val="nil"/>
              <w:bottom w:val="nil"/>
              <w:right w:val="nil"/>
            </w:tcBorders>
            <w:shd w:val="clear" w:color="auto" w:fill="auto"/>
            <w:tcMar>
              <w:left w:w="0" w:type="dxa"/>
              <w:right w:w="0" w:type="dxa"/>
            </w:tcMar>
            <w:vAlign w:val="center"/>
          </w:tcPr>
          <w:p w14:paraId="4BA7722E" w14:textId="77777777" w:rsidR="005B4B93" w:rsidRDefault="005B4B93" w:rsidP="00F151DE">
            <w:pPr>
              <w:spacing w:before="60" w:after="0" w:line="276" w:lineRule="auto"/>
              <w:rPr>
                <w:rFonts w:cs="Arial"/>
                <w:iCs/>
                <w:sz w:val="16"/>
                <w:szCs w:val="16"/>
              </w:rPr>
            </w:pPr>
            <w:r w:rsidRPr="00D95D8B">
              <w:rPr>
                <w:rFonts w:cs="Arial"/>
                <w:iCs/>
                <w:sz w:val="16"/>
                <w:szCs w:val="16"/>
              </w:rPr>
              <w:t>Σημε</w:t>
            </w:r>
            <w:r>
              <w:rPr>
                <w:rFonts w:cs="Arial"/>
                <w:iCs/>
                <w:sz w:val="16"/>
                <w:szCs w:val="16"/>
              </w:rPr>
              <w:t>ίωση: Σ</w:t>
            </w:r>
            <w:r w:rsidRPr="00D95D8B">
              <w:rPr>
                <w:rFonts w:cs="Arial"/>
                <w:iCs/>
                <w:sz w:val="16"/>
                <w:szCs w:val="16"/>
              </w:rPr>
              <w:t xml:space="preserve">ύμφωνα με το άρθρο 188Β παρ. 5 του </w:t>
            </w:r>
            <w:r>
              <w:rPr>
                <w:rFonts w:cs="Arial"/>
                <w:iCs/>
                <w:sz w:val="16"/>
                <w:szCs w:val="16"/>
              </w:rPr>
              <w:t>ν</w:t>
            </w:r>
            <w:r w:rsidRPr="00D95D8B">
              <w:rPr>
                <w:rFonts w:cs="Arial"/>
                <w:iCs/>
                <w:sz w:val="16"/>
                <w:szCs w:val="16"/>
              </w:rPr>
              <w:t>.4389/2016, η συγχώνευση με απορρόφηση του ΤΑΙΠΕΔ από τ</w:t>
            </w:r>
            <w:r w:rsidR="00580640">
              <w:rPr>
                <w:rFonts w:cs="Arial"/>
                <w:iCs/>
                <w:sz w:val="16"/>
                <w:szCs w:val="16"/>
              </w:rPr>
              <w:t>ην ΕΕΣΥΠ</w:t>
            </w:r>
            <w:r w:rsidRPr="00D95D8B">
              <w:rPr>
                <w:rFonts w:cs="Arial"/>
                <w:iCs/>
                <w:sz w:val="16"/>
                <w:szCs w:val="16"/>
              </w:rPr>
              <w:t xml:space="preserve"> δεν επηρεάζει το καθεστώς των εταιρειών των οποίων οι μετοχές είχαν μεταβιβαστεί στο ΤΑΙΠΕΔ</w:t>
            </w:r>
            <w:r w:rsidR="00580640">
              <w:rPr>
                <w:rFonts w:cs="Arial"/>
                <w:iCs/>
                <w:sz w:val="16"/>
                <w:szCs w:val="16"/>
              </w:rPr>
              <w:t xml:space="preserve"> (</w:t>
            </w:r>
            <w:r w:rsidRPr="00D95D8B">
              <w:rPr>
                <w:rFonts w:cs="Arial"/>
                <w:iCs/>
                <w:sz w:val="16"/>
                <w:szCs w:val="16"/>
              </w:rPr>
              <w:t xml:space="preserve">άρθρο 2 του </w:t>
            </w:r>
            <w:r>
              <w:rPr>
                <w:rFonts w:cs="Arial"/>
                <w:iCs/>
                <w:sz w:val="16"/>
                <w:szCs w:val="16"/>
              </w:rPr>
              <w:t>ν</w:t>
            </w:r>
            <w:r w:rsidRPr="00D95D8B">
              <w:rPr>
                <w:rFonts w:cs="Arial"/>
                <w:iCs/>
                <w:sz w:val="16"/>
                <w:szCs w:val="16"/>
              </w:rPr>
              <w:t>.3986/2011</w:t>
            </w:r>
            <w:r w:rsidR="00580640">
              <w:rPr>
                <w:rFonts w:cs="Arial"/>
                <w:iCs/>
                <w:sz w:val="16"/>
                <w:szCs w:val="16"/>
              </w:rPr>
              <w:t>)</w:t>
            </w:r>
            <w:r w:rsidR="00BA1835">
              <w:rPr>
                <w:rFonts w:cs="Arial"/>
                <w:iCs/>
                <w:sz w:val="16"/>
                <w:szCs w:val="16"/>
              </w:rPr>
              <w:t>. Ο</w:t>
            </w:r>
            <w:r w:rsidR="00580640">
              <w:rPr>
                <w:rFonts w:cs="Arial"/>
                <w:iCs/>
                <w:sz w:val="16"/>
                <w:szCs w:val="16"/>
              </w:rPr>
              <w:t xml:space="preserve">ι εν λόγω </w:t>
            </w:r>
            <w:r w:rsidRPr="00D95D8B">
              <w:rPr>
                <w:rFonts w:cs="Arial"/>
                <w:iCs/>
                <w:sz w:val="16"/>
                <w:szCs w:val="16"/>
              </w:rPr>
              <w:t xml:space="preserve">εταιρείες δεν θεωρούνται λοιπές θυγατρικές της ΕΕΣΥΠ </w:t>
            </w:r>
            <w:r w:rsidR="00AC19A8">
              <w:rPr>
                <w:rFonts w:cs="Arial"/>
                <w:iCs/>
                <w:sz w:val="16"/>
                <w:szCs w:val="16"/>
              </w:rPr>
              <w:t>(</w:t>
            </w:r>
            <w:r w:rsidRPr="00D95D8B">
              <w:rPr>
                <w:rFonts w:cs="Arial"/>
                <w:iCs/>
                <w:sz w:val="16"/>
                <w:szCs w:val="16"/>
              </w:rPr>
              <w:t xml:space="preserve">άρθρο 197 του </w:t>
            </w:r>
            <w:r>
              <w:rPr>
                <w:rFonts w:cs="Arial"/>
                <w:iCs/>
                <w:sz w:val="16"/>
                <w:szCs w:val="16"/>
              </w:rPr>
              <w:t>ν</w:t>
            </w:r>
            <w:r w:rsidRPr="00D95D8B">
              <w:rPr>
                <w:rFonts w:cs="Arial"/>
                <w:iCs/>
                <w:sz w:val="16"/>
                <w:szCs w:val="16"/>
              </w:rPr>
              <w:t>.4389/2016</w:t>
            </w:r>
            <w:r w:rsidR="00AC19A8">
              <w:rPr>
                <w:rFonts w:cs="Arial"/>
                <w:iCs/>
                <w:sz w:val="16"/>
                <w:szCs w:val="16"/>
              </w:rPr>
              <w:t>)</w:t>
            </w:r>
            <w:r w:rsidRPr="00D95D8B">
              <w:rPr>
                <w:rFonts w:cs="Arial"/>
                <w:iCs/>
                <w:sz w:val="16"/>
                <w:szCs w:val="16"/>
              </w:rPr>
              <w:t>.</w:t>
            </w:r>
          </w:p>
          <w:p w14:paraId="2F7C80BE" w14:textId="71D421BB" w:rsidR="008F019F" w:rsidRPr="00D95D8B" w:rsidRDefault="008F019F" w:rsidP="00F151DE">
            <w:pPr>
              <w:spacing w:before="60" w:after="0" w:line="276" w:lineRule="auto"/>
              <w:rPr>
                <w:rFonts w:cs="Arial"/>
                <w:sz w:val="16"/>
                <w:szCs w:val="16"/>
                <w:lang w:eastAsia="en-GB"/>
              </w:rPr>
            </w:pPr>
            <w:r w:rsidRPr="001D2BA1">
              <w:rPr>
                <w:rFonts w:cs="Arial"/>
                <w:sz w:val="16"/>
                <w:szCs w:val="16"/>
              </w:rPr>
              <w:t>Πηγή: ΕΕΣΥΠ - κλάδος πρώην ΤΑΙΠΕΔ</w:t>
            </w:r>
          </w:p>
        </w:tc>
      </w:tr>
    </w:tbl>
    <w:p w14:paraId="362C6EAA" w14:textId="1D9B895D" w:rsidR="00146C98" w:rsidRPr="00606F8F" w:rsidRDefault="00146C98" w:rsidP="0088299D">
      <w:pPr>
        <w:spacing w:before="240" w:after="240"/>
      </w:pPr>
      <w:r w:rsidRPr="00E40B12">
        <w:t>Ακολουθούν πίνακες με το μετοχολόγιο του Ε</w:t>
      </w:r>
      <w:r w:rsidR="00EB6670" w:rsidRPr="00E40B12">
        <w:t xml:space="preserve">λληνικού </w:t>
      </w:r>
      <w:r w:rsidRPr="0004583C">
        <w:t>Δ</w:t>
      </w:r>
      <w:r w:rsidR="00EB6670" w:rsidRPr="0004583C">
        <w:t>ημοσίου</w:t>
      </w:r>
      <w:r w:rsidR="004852D4" w:rsidRPr="0004583C">
        <w:t xml:space="preserve"> </w:t>
      </w:r>
      <w:r w:rsidR="004852D4" w:rsidRPr="0004583C">
        <w:rPr>
          <w:szCs w:val="20"/>
        </w:rPr>
        <w:t>(</w:t>
      </w:r>
      <w:r w:rsidR="004852D4" w:rsidRPr="0004583C">
        <w:rPr>
          <w:szCs w:val="20"/>
        </w:rPr>
        <w:fldChar w:fldCharType="begin"/>
      </w:r>
      <w:r w:rsidR="004852D4" w:rsidRPr="0004583C">
        <w:rPr>
          <w:szCs w:val="20"/>
        </w:rPr>
        <w:instrText xml:space="preserve"> REF _Ref182221778 \h  \* MERGEFORMAT </w:instrText>
      </w:r>
      <w:r w:rsidR="004852D4" w:rsidRPr="0004583C">
        <w:rPr>
          <w:szCs w:val="20"/>
        </w:rPr>
      </w:r>
      <w:r w:rsidR="004852D4" w:rsidRPr="0004583C">
        <w:rPr>
          <w:szCs w:val="20"/>
        </w:rPr>
        <w:fldChar w:fldCharType="separate"/>
      </w:r>
      <w:r w:rsidR="00E15678" w:rsidRPr="00E15678">
        <w:rPr>
          <w:rFonts w:cs="Arial"/>
          <w:szCs w:val="20"/>
        </w:rPr>
        <w:t>Πίνακας 5.9</w:t>
      </w:r>
      <w:r w:rsidR="004852D4" w:rsidRPr="0004583C">
        <w:rPr>
          <w:szCs w:val="20"/>
        </w:rPr>
        <w:fldChar w:fldCharType="end"/>
      </w:r>
      <w:r w:rsidR="004852D4" w:rsidRPr="0004583C">
        <w:rPr>
          <w:szCs w:val="20"/>
        </w:rPr>
        <w:t xml:space="preserve">., </w:t>
      </w:r>
      <w:r w:rsidR="004852D4" w:rsidRPr="0004583C">
        <w:rPr>
          <w:szCs w:val="20"/>
        </w:rPr>
        <w:fldChar w:fldCharType="begin"/>
      </w:r>
      <w:r w:rsidR="004852D4" w:rsidRPr="0004583C">
        <w:rPr>
          <w:szCs w:val="20"/>
        </w:rPr>
        <w:instrText xml:space="preserve"> REF _Ref182221787 \h  \* MERGEFORMAT </w:instrText>
      </w:r>
      <w:r w:rsidR="004852D4" w:rsidRPr="0004583C">
        <w:rPr>
          <w:szCs w:val="20"/>
        </w:rPr>
      </w:r>
      <w:r w:rsidR="004852D4" w:rsidRPr="0004583C">
        <w:rPr>
          <w:szCs w:val="20"/>
        </w:rPr>
        <w:fldChar w:fldCharType="separate"/>
      </w:r>
      <w:r w:rsidR="00E15678" w:rsidRPr="00E15678">
        <w:rPr>
          <w:rFonts w:cs="Arial"/>
          <w:szCs w:val="20"/>
        </w:rPr>
        <w:t>Πίνακας 5.10</w:t>
      </w:r>
      <w:r w:rsidR="004852D4" w:rsidRPr="0004583C">
        <w:rPr>
          <w:szCs w:val="20"/>
        </w:rPr>
        <w:fldChar w:fldCharType="end"/>
      </w:r>
      <w:r w:rsidR="004852D4" w:rsidRPr="0004583C">
        <w:rPr>
          <w:szCs w:val="20"/>
        </w:rPr>
        <w:t xml:space="preserve">., </w:t>
      </w:r>
      <w:r w:rsidR="00606F8F" w:rsidRPr="0004583C">
        <w:fldChar w:fldCharType="begin"/>
      </w:r>
      <w:r w:rsidR="00606F8F" w:rsidRPr="0004583C">
        <w:instrText xml:space="preserve"> REF _Ref213842055 \h  \* MERGEFORMAT </w:instrText>
      </w:r>
      <w:r w:rsidR="00606F8F" w:rsidRPr="0004583C">
        <w:fldChar w:fldCharType="separate"/>
      </w:r>
      <w:r w:rsidR="00E15678" w:rsidRPr="00E15678">
        <w:t>Πίνακας 5.11</w:t>
      </w:r>
      <w:r w:rsidR="00606F8F" w:rsidRPr="0004583C">
        <w:fldChar w:fldCharType="end"/>
      </w:r>
      <w:r w:rsidR="004852D4" w:rsidRPr="0004583C">
        <w:t>.</w:t>
      </w:r>
      <w:r w:rsidRPr="0004583C">
        <w:t>).</w:t>
      </w:r>
    </w:p>
    <w:tbl>
      <w:tblPr>
        <w:tblW w:w="8618"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5576"/>
        <w:gridCol w:w="3488"/>
      </w:tblGrid>
      <w:tr w:rsidR="00146C98" w:rsidRPr="00882806" w14:paraId="15B1B418" w14:textId="77777777" w:rsidTr="00206C60">
        <w:trPr>
          <w:cantSplit/>
          <w:trHeight w:val="340"/>
          <w:jc w:val="center"/>
        </w:trPr>
        <w:tc>
          <w:tcPr>
            <w:tcW w:w="0" w:type="auto"/>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D5DCE4"/>
            <w:noWrap/>
            <w:vAlign w:val="center"/>
            <w:hideMark/>
          </w:tcPr>
          <w:p w14:paraId="2037D6DB" w14:textId="2C00E402" w:rsidR="004852D4" w:rsidRPr="009253BB" w:rsidRDefault="00146C98" w:rsidP="00206C60">
            <w:pPr>
              <w:spacing w:after="0" w:line="276" w:lineRule="auto"/>
              <w:jc w:val="center"/>
              <w:rPr>
                <w:rFonts w:cs="Arial"/>
                <w:b/>
                <w:bCs/>
                <w:sz w:val="18"/>
                <w:szCs w:val="18"/>
              </w:rPr>
            </w:pPr>
            <w:bookmarkStart w:id="811" w:name="_Ref182221778"/>
            <w:bookmarkStart w:id="812" w:name="_Toc214474143"/>
            <w:r w:rsidRPr="009253BB">
              <w:rPr>
                <w:rFonts w:cs="Arial"/>
                <w:b/>
                <w:sz w:val="18"/>
                <w:szCs w:val="18"/>
              </w:rPr>
              <w:t>Πίνακας 5.</w:t>
            </w:r>
            <w:r w:rsidRPr="009253BB">
              <w:rPr>
                <w:rFonts w:cs="Arial"/>
                <w:b/>
                <w:sz w:val="18"/>
                <w:szCs w:val="18"/>
              </w:rPr>
              <w:fldChar w:fldCharType="begin"/>
            </w:r>
            <w:r w:rsidRPr="009253BB">
              <w:rPr>
                <w:rFonts w:cs="Arial"/>
                <w:b/>
                <w:sz w:val="18"/>
                <w:szCs w:val="18"/>
              </w:rPr>
              <w:instrText xml:space="preserve"> SEQ Πίνακας_5. \* ARABIC </w:instrText>
            </w:r>
            <w:r w:rsidRPr="009253BB">
              <w:rPr>
                <w:rFonts w:cs="Arial"/>
                <w:b/>
                <w:sz w:val="18"/>
                <w:szCs w:val="18"/>
              </w:rPr>
              <w:fldChar w:fldCharType="separate"/>
            </w:r>
            <w:r w:rsidR="00E15678">
              <w:rPr>
                <w:rFonts w:cs="Arial"/>
                <w:b/>
                <w:noProof/>
                <w:sz w:val="18"/>
                <w:szCs w:val="18"/>
              </w:rPr>
              <w:t>9</w:t>
            </w:r>
            <w:r w:rsidRPr="009253BB">
              <w:rPr>
                <w:rFonts w:cs="Arial"/>
                <w:b/>
                <w:sz w:val="18"/>
                <w:szCs w:val="18"/>
              </w:rPr>
              <w:fldChar w:fldCharType="end"/>
            </w:r>
            <w:bookmarkEnd w:id="811"/>
            <w:r w:rsidRPr="009253BB">
              <w:rPr>
                <w:rFonts w:cs="Arial"/>
                <w:b/>
                <w:sz w:val="18"/>
                <w:szCs w:val="18"/>
              </w:rPr>
              <w:t>.</w:t>
            </w:r>
            <w:r w:rsidRPr="009253BB">
              <w:rPr>
                <w:rFonts w:cs="Arial"/>
                <w:b/>
                <w:bCs/>
                <w:sz w:val="18"/>
                <w:szCs w:val="18"/>
              </w:rPr>
              <w:t>: Μετοχολόγιο Ελληνικού Δημοσίου - Προνομιούχες μετοχές</w:t>
            </w:r>
            <w:bookmarkEnd w:id="812"/>
          </w:p>
          <w:p w14:paraId="019D96E0" w14:textId="42DFA1CD" w:rsidR="00146C98" w:rsidRPr="00882806" w:rsidRDefault="00E6526B" w:rsidP="00206C60">
            <w:pPr>
              <w:spacing w:after="0" w:line="276" w:lineRule="auto"/>
              <w:jc w:val="center"/>
              <w:rPr>
                <w:rFonts w:cs="Arial"/>
                <w:b/>
                <w:bCs/>
                <w:sz w:val="18"/>
                <w:szCs w:val="18"/>
              </w:rPr>
            </w:pPr>
            <w:r w:rsidRPr="009253BB">
              <w:rPr>
                <w:rFonts w:cs="Arial"/>
                <w:b/>
                <w:bCs/>
                <w:sz w:val="18"/>
                <w:szCs w:val="18"/>
              </w:rPr>
              <w:t>(</w:t>
            </w:r>
            <w:r w:rsidR="00146C98" w:rsidRPr="009253BB">
              <w:rPr>
                <w:rFonts w:cs="Arial"/>
                <w:b/>
                <w:bCs/>
                <w:sz w:val="18"/>
                <w:szCs w:val="18"/>
              </w:rPr>
              <w:t>άρθρο 1 του ν.3723/2008</w:t>
            </w:r>
            <w:r w:rsidRPr="009253BB">
              <w:rPr>
                <w:rFonts w:cs="Arial"/>
                <w:b/>
                <w:bCs/>
                <w:sz w:val="18"/>
                <w:szCs w:val="18"/>
              </w:rPr>
              <w:t xml:space="preserve">, </w:t>
            </w:r>
            <w:r w:rsidR="00146C98" w:rsidRPr="009253BB">
              <w:rPr>
                <w:rFonts w:cs="Arial"/>
                <w:b/>
                <w:bCs/>
                <w:sz w:val="18"/>
                <w:szCs w:val="18"/>
              </w:rPr>
              <w:t>Α’ 250)</w:t>
            </w:r>
          </w:p>
        </w:tc>
      </w:tr>
      <w:tr w:rsidR="00146C98" w:rsidRPr="00882806" w14:paraId="6C8DDE06" w14:textId="77777777" w:rsidTr="000072BD">
        <w:trPr>
          <w:cantSplit/>
          <w:trHeight w:val="283"/>
          <w:jc w:val="center"/>
        </w:trPr>
        <w:tc>
          <w:tcPr>
            <w:tcW w:w="0" w:type="auto"/>
            <w:tcBorders>
              <w:top w:val="single" w:sz="2" w:space="0" w:color="A6A6A6" w:themeColor="background1" w:themeShade="A6"/>
              <w:left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5D56B058" w14:textId="4D6604D7" w:rsidR="00146C98" w:rsidRPr="00882806" w:rsidRDefault="00146C98" w:rsidP="00206C60">
            <w:pPr>
              <w:spacing w:after="0" w:line="276" w:lineRule="auto"/>
              <w:jc w:val="center"/>
              <w:rPr>
                <w:rFonts w:cs="Arial"/>
                <w:b/>
                <w:bCs/>
                <w:sz w:val="16"/>
                <w:szCs w:val="16"/>
              </w:rPr>
            </w:pPr>
            <w:r>
              <w:rPr>
                <w:rFonts w:cs="Arial"/>
                <w:b/>
                <w:bCs/>
                <w:sz w:val="16"/>
                <w:szCs w:val="16"/>
              </w:rPr>
              <w:t>Π</w:t>
            </w:r>
            <w:r w:rsidRPr="00882806">
              <w:rPr>
                <w:rFonts w:cs="Arial"/>
                <w:b/>
                <w:bCs/>
                <w:sz w:val="16"/>
                <w:szCs w:val="16"/>
              </w:rPr>
              <w:t xml:space="preserve">ιστωτικά </w:t>
            </w:r>
            <w:r w:rsidR="00380B76">
              <w:rPr>
                <w:rFonts w:cs="Arial"/>
                <w:b/>
                <w:bCs/>
                <w:sz w:val="16"/>
                <w:szCs w:val="16"/>
              </w:rPr>
              <w:t>ι</w:t>
            </w:r>
            <w:r w:rsidRPr="00882806">
              <w:rPr>
                <w:rFonts w:cs="Arial"/>
                <w:b/>
                <w:bCs/>
                <w:sz w:val="16"/>
                <w:szCs w:val="16"/>
              </w:rPr>
              <w:t>δρύματα υπ</w:t>
            </w:r>
            <w:r w:rsidR="007A6CDC">
              <w:rPr>
                <w:rFonts w:cs="Arial"/>
                <w:b/>
                <w:bCs/>
                <w:sz w:val="16"/>
                <w:szCs w:val="16"/>
              </w:rPr>
              <w:t>ό</w:t>
            </w:r>
            <w:r w:rsidRPr="00882806">
              <w:rPr>
                <w:rFonts w:cs="Arial"/>
                <w:b/>
                <w:bCs/>
                <w:sz w:val="16"/>
                <w:szCs w:val="16"/>
              </w:rPr>
              <w:t xml:space="preserve"> ειδικ</w:t>
            </w:r>
            <w:r>
              <w:rPr>
                <w:rFonts w:cs="Arial"/>
                <w:b/>
                <w:bCs/>
                <w:sz w:val="16"/>
                <w:szCs w:val="16"/>
              </w:rPr>
              <w:t>ή</w:t>
            </w:r>
            <w:r w:rsidRPr="00882806">
              <w:rPr>
                <w:rFonts w:cs="Arial"/>
                <w:b/>
                <w:bCs/>
                <w:sz w:val="16"/>
                <w:szCs w:val="16"/>
              </w:rPr>
              <w:t xml:space="preserve"> εκκαθ</w:t>
            </w:r>
            <w:r>
              <w:rPr>
                <w:rFonts w:cs="Arial"/>
                <w:b/>
                <w:bCs/>
                <w:sz w:val="16"/>
                <w:szCs w:val="16"/>
              </w:rPr>
              <w:t>ά</w:t>
            </w:r>
            <w:r w:rsidRPr="00882806">
              <w:rPr>
                <w:rFonts w:cs="Arial"/>
                <w:b/>
                <w:bCs/>
                <w:sz w:val="16"/>
                <w:szCs w:val="16"/>
              </w:rPr>
              <w:t>ριση</w:t>
            </w:r>
          </w:p>
        </w:tc>
        <w:tc>
          <w:tcPr>
            <w:tcW w:w="0" w:type="auto"/>
            <w:tcBorders>
              <w:top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vAlign w:val="center"/>
            <w:hideMark/>
          </w:tcPr>
          <w:p w14:paraId="61B80B14" w14:textId="77777777" w:rsidR="00146C98" w:rsidRPr="00882806" w:rsidRDefault="00146C98" w:rsidP="00206C60">
            <w:pPr>
              <w:spacing w:after="0" w:line="276" w:lineRule="auto"/>
              <w:jc w:val="center"/>
              <w:rPr>
                <w:rFonts w:cs="Arial"/>
                <w:b/>
                <w:bCs/>
                <w:sz w:val="16"/>
                <w:szCs w:val="16"/>
              </w:rPr>
            </w:pPr>
            <w:r w:rsidRPr="00882806">
              <w:rPr>
                <w:rFonts w:cs="Arial"/>
                <w:b/>
                <w:bCs/>
                <w:sz w:val="16"/>
                <w:szCs w:val="16"/>
              </w:rPr>
              <w:t>Προνομιούχες μετοχές</w:t>
            </w:r>
            <w:r>
              <w:rPr>
                <w:rFonts w:cs="Arial"/>
                <w:b/>
                <w:bCs/>
                <w:sz w:val="16"/>
                <w:szCs w:val="16"/>
              </w:rPr>
              <w:t xml:space="preserve"> (</w:t>
            </w:r>
            <w:r w:rsidRPr="00882806">
              <w:rPr>
                <w:rFonts w:cs="Arial"/>
                <w:b/>
                <w:bCs/>
                <w:sz w:val="16"/>
                <w:szCs w:val="16"/>
              </w:rPr>
              <w:t xml:space="preserve">σε </w:t>
            </w:r>
            <w:r>
              <w:rPr>
                <w:rFonts w:cs="Arial"/>
                <w:b/>
                <w:bCs/>
                <w:sz w:val="16"/>
                <w:szCs w:val="16"/>
              </w:rPr>
              <w:t>ευρώ)</w:t>
            </w:r>
          </w:p>
        </w:tc>
      </w:tr>
      <w:tr w:rsidR="005816A8" w:rsidRPr="00882806" w14:paraId="2C982C05" w14:textId="77777777" w:rsidTr="000072BD">
        <w:trPr>
          <w:cantSplit/>
          <w:trHeight w:val="283"/>
          <w:jc w:val="center"/>
        </w:trPr>
        <w:tc>
          <w:tcPr>
            <w:tcW w:w="0" w:type="auto"/>
            <w:tcBorders>
              <w:top w:val="single" w:sz="2" w:space="0" w:color="A6A6A6" w:themeColor="background1" w:themeShade="A6"/>
              <w:left w:val="single" w:sz="2" w:space="0" w:color="A6A6A6" w:themeColor="background1" w:themeShade="A6"/>
              <w:bottom w:val="nil"/>
            </w:tcBorders>
            <w:shd w:val="clear" w:color="auto" w:fill="auto"/>
            <w:noWrap/>
            <w:vAlign w:val="center"/>
            <w:hideMark/>
          </w:tcPr>
          <w:p w14:paraId="198B6B44" w14:textId="77777777" w:rsidR="005816A8" w:rsidRPr="00882806" w:rsidRDefault="005816A8" w:rsidP="00206C60">
            <w:pPr>
              <w:spacing w:after="0" w:line="276" w:lineRule="auto"/>
              <w:jc w:val="left"/>
              <w:rPr>
                <w:rFonts w:cs="Arial"/>
                <w:color w:val="000000"/>
                <w:sz w:val="16"/>
                <w:szCs w:val="16"/>
              </w:rPr>
            </w:pPr>
            <w:r w:rsidRPr="00882806">
              <w:rPr>
                <w:rFonts w:cs="Arial"/>
                <w:color w:val="000000"/>
                <w:sz w:val="16"/>
                <w:szCs w:val="16"/>
              </w:rPr>
              <w:t>Πανελλήνια Τράπεζα</w:t>
            </w:r>
          </w:p>
        </w:tc>
        <w:tc>
          <w:tcPr>
            <w:tcW w:w="0" w:type="auto"/>
            <w:tcBorders>
              <w:top w:val="single" w:sz="2" w:space="0" w:color="A6A6A6" w:themeColor="background1" w:themeShade="A6"/>
              <w:bottom w:val="nil"/>
              <w:right w:val="single" w:sz="2" w:space="0" w:color="A6A6A6" w:themeColor="background1" w:themeShade="A6"/>
            </w:tcBorders>
            <w:shd w:val="clear" w:color="auto" w:fill="auto"/>
            <w:noWrap/>
            <w:vAlign w:val="center"/>
            <w:hideMark/>
          </w:tcPr>
          <w:p w14:paraId="149ED683" w14:textId="3E990386" w:rsidR="005816A8" w:rsidRPr="005816A8" w:rsidRDefault="005816A8" w:rsidP="00206C60">
            <w:pPr>
              <w:spacing w:after="0" w:line="276" w:lineRule="auto"/>
              <w:jc w:val="right"/>
              <w:rPr>
                <w:rFonts w:cs="Arial"/>
                <w:color w:val="000000"/>
                <w:sz w:val="16"/>
                <w:szCs w:val="16"/>
              </w:rPr>
            </w:pPr>
            <w:r w:rsidRPr="005816A8">
              <w:rPr>
                <w:sz w:val="16"/>
              </w:rPr>
              <w:t>28.300.000,00</w:t>
            </w:r>
          </w:p>
        </w:tc>
      </w:tr>
      <w:tr w:rsidR="005816A8" w:rsidRPr="00882806" w14:paraId="51523674" w14:textId="77777777" w:rsidTr="000072BD">
        <w:trPr>
          <w:cantSplit/>
          <w:trHeight w:val="283"/>
          <w:jc w:val="center"/>
        </w:trPr>
        <w:tc>
          <w:tcPr>
            <w:tcW w:w="0" w:type="auto"/>
            <w:tcBorders>
              <w:top w:val="nil"/>
              <w:left w:val="single" w:sz="2" w:space="0" w:color="A6A6A6" w:themeColor="background1" w:themeShade="A6"/>
              <w:bottom w:val="nil"/>
            </w:tcBorders>
            <w:shd w:val="clear" w:color="auto" w:fill="auto"/>
            <w:noWrap/>
            <w:vAlign w:val="center"/>
            <w:hideMark/>
          </w:tcPr>
          <w:p w14:paraId="64DD79C8" w14:textId="77777777" w:rsidR="005816A8" w:rsidRPr="00882806" w:rsidRDefault="005816A8" w:rsidP="00206C60">
            <w:pPr>
              <w:spacing w:after="0" w:line="276" w:lineRule="auto"/>
              <w:jc w:val="left"/>
              <w:rPr>
                <w:rFonts w:cs="Arial"/>
                <w:sz w:val="16"/>
                <w:szCs w:val="16"/>
              </w:rPr>
            </w:pPr>
            <w:r>
              <w:rPr>
                <w:rFonts w:cs="Arial"/>
                <w:sz w:val="16"/>
                <w:szCs w:val="16"/>
                <w:lang w:val="en-US"/>
              </w:rPr>
              <w:t>Proton Bank</w:t>
            </w:r>
          </w:p>
        </w:tc>
        <w:tc>
          <w:tcPr>
            <w:tcW w:w="0" w:type="auto"/>
            <w:tcBorders>
              <w:top w:val="nil"/>
              <w:bottom w:val="nil"/>
              <w:right w:val="single" w:sz="2" w:space="0" w:color="A6A6A6" w:themeColor="background1" w:themeShade="A6"/>
            </w:tcBorders>
            <w:shd w:val="clear" w:color="auto" w:fill="auto"/>
            <w:noWrap/>
            <w:vAlign w:val="center"/>
            <w:hideMark/>
          </w:tcPr>
          <w:p w14:paraId="1F95CFD1" w14:textId="33CB50BB" w:rsidR="005816A8" w:rsidRPr="005816A8" w:rsidRDefault="005816A8" w:rsidP="00206C60">
            <w:pPr>
              <w:spacing w:after="0" w:line="276" w:lineRule="auto"/>
              <w:jc w:val="right"/>
              <w:rPr>
                <w:rFonts w:cs="Arial"/>
                <w:color w:val="000000"/>
                <w:sz w:val="16"/>
                <w:szCs w:val="16"/>
              </w:rPr>
            </w:pPr>
            <w:r w:rsidRPr="005816A8">
              <w:rPr>
                <w:sz w:val="16"/>
              </w:rPr>
              <w:t>79.999.995,79</w:t>
            </w:r>
          </w:p>
        </w:tc>
      </w:tr>
      <w:tr w:rsidR="005816A8" w:rsidRPr="00882806" w14:paraId="23FDA858" w14:textId="77777777" w:rsidTr="000072BD">
        <w:trPr>
          <w:cantSplit/>
          <w:trHeight w:val="283"/>
          <w:jc w:val="center"/>
        </w:trPr>
        <w:tc>
          <w:tcPr>
            <w:tcW w:w="0" w:type="auto"/>
            <w:tcBorders>
              <w:top w:val="nil"/>
              <w:left w:val="single" w:sz="2" w:space="0" w:color="A6A6A6" w:themeColor="background1" w:themeShade="A6"/>
              <w:bottom w:val="nil"/>
            </w:tcBorders>
            <w:shd w:val="clear" w:color="auto" w:fill="auto"/>
            <w:noWrap/>
            <w:vAlign w:val="center"/>
            <w:hideMark/>
          </w:tcPr>
          <w:p w14:paraId="59FFDC73" w14:textId="77777777" w:rsidR="005816A8" w:rsidRPr="00882806" w:rsidRDefault="005816A8" w:rsidP="00206C60">
            <w:pPr>
              <w:spacing w:after="0" w:line="276" w:lineRule="auto"/>
              <w:jc w:val="left"/>
              <w:rPr>
                <w:rFonts w:cs="Arial"/>
                <w:sz w:val="16"/>
                <w:szCs w:val="16"/>
              </w:rPr>
            </w:pPr>
            <w:r w:rsidRPr="00882806">
              <w:rPr>
                <w:rFonts w:cs="Arial"/>
                <w:sz w:val="16"/>
                <w:szCs w:val="16"/>
              </w:rPr>
              <w:t>Ταχυδρομικό Ταμιευτήριο</w:t>
            </w:r>
          </w:p>
        </w:tc>
        <w:tc>
          <w:tcPr>
            <w:tcW w:w="0" w:type="auto"/>
            <w:tcBorders>
              <w:top w:val="nil"/>
              <w:bottom w:val="nil"/>
              <w:right w:val="single" w:sz="2" w:space="0" w:color="A6A6A6" w:themeColor="background1" w:themeShade="A6"/>
            </w:tcBorders>
            <w:shd w:val="clear" w:color="auto" w:fill="auto"/>
            <w:noWrap/>
            <w:vAlign w:val="center"/>
            <w:hideMark/>
          </w:tcPr>
          <w:p w14:paraId="47B91F96" w14:textId="7D81DF9A" w:rsidR="005816A8" w:rsidRPr="005816A8" w:rsidRDefault="005816A8" w:rsidP="00206C60">
            <w:pPr>
              <w:spacing w:after="0" w:line="276" w:lineRule="auto"/>
              <w:jc w:val="right"/>
              <w:rPr>
                <w:rFonts w:cs="Arial"/>
                <w:color w:val="000000"/>
                <w:sz w:val="16"/>
                <w:szCs w:val="16"/>
              </w:rPr>
            </w:pPr>
            <w:r w:rsidRPr="005816A8">
              <w:rPr>
                <w:sz w:val="16"/>
              </w:rPr>
              <w:t>224.960.000,00</w:t>
            </w:r>
          </w:p>
        </w:tc>
      </w:tr>
      <w:tr w:rsidR="005816A8" w:rsidRPr="00882806" w14:paraId="4C15B64A" w14:textId="77777777" w:rsidTr="000072BD">
        <w:trPr>
          <w:cantSplit/>
          <w:trHeight w:val="283"/>
          <w:jc w:val="center"/>
        </w:trPr>
        <w:tc>
          <w:tcPr>
            <w:tcW w:w="0" w:type="auto"/>
            <w:tcBorders>
              <w:top w:val="nil"/>
              <w:left w:val="single" w:sz="2" w:space="0" w:color="A6A6A6" w:themeColor="background1" w:themeShade="A6"/>
              <w:bottom w:val="nil"/>
            </w:tcBorders>
            <w:shd w:val="clear" w:color="auto" w:fill="auto"/>
            <w:noWrap/>
            <w:vAlign w:val="center"/>
            <w:hideMark/>
          </w:tcPr>
          <w:p w14:paraId="552FEC31" w14:textId="77777777" w:rsidR="005816A8" w:rsidRPr="00882806" w:rsidRDefault="005816A8" w:rsidP="00206C60">
            <w:pPr>
              <w:spacing w:after="0" w:line="276" w:lineRule="auto"/>
              <w:jc w:val="left"/>
              <w:rPr>
                <w:rFonts w:cs="Arial"/>
                <w:sz w:val="16"/>
                <w:szCs w:val="16"/>
              </w:rPr>
            </w:pPr>
            <w:r w:rsidRPr="00882806">
              <w:rPr>
                <w:rFonts w:cs="Arial"/>
                <w:sz w:val="16"/>
                <w:szCs w:val="16"/>
              </w:rPr>
              <w:t xml:space="preserve">FBB </w:t>
            </w:r>
            <w:r>
              <w:rPr>
                <w:rFonts w:cs="Arial"/>
                <w:sz w:val="16"/>
                <w:szCs w:val="16"/>
              </w:rPr>
              <w:t>-</w:t>
            </w:r>
            <w:r w:rsidRPr="00882806">
              <w:rPr>
                <w:rFonts w:cs="Arial"/>
                <w:sz w:val="16"/>
                <w:szCs w:val="16"/>
              </w:rPr>
              <w:t xml:space="preserve"> Π</w:t>
            </w:r>
            <w:r>
              <w:rPr>
                <w:rFonts w:cs="Arial"/>
                <w:sz w:val="16"/>
                <w:szCs w:val="16"/>
              </w:rPr>
              <w:t xml:space="preserve">ρώτη </w:t>
            </w:r>
            <w:r w:rsidRPr="00882806">
              <w:rPr>
                <w:rFonts w:cs="Arial"/>
                <w:sz w:val="16"/>
                <w:szCs w:val="16"/>
              </w:rPr>
              <w:t>Ε</w:t>
            </w:r>
            <w:r>
              <w:rPr>
                <w:rFonts w:cs="Arial"/>
                <w:sz w:val="16"/>
                <w:szCs w:val="16"/>
              </w:rPr>
              <w:t xml:space="preserve">πιχειρηματική </w:t>
            </w:r>
            <w:r w:rsidRPr="00882806">
              <w:rPr>
                <w:rFonts w:cs="Arial"/>
                <w:sz w:val="16"/>
                <w:szCs w:val="16"/>
              </w:rPr>
              <w:t>Τ</w:t>
            </w:r>
            <w:r>
              <w:rPr>
                <w:rFonts w:cs="Arial"/>
                <w:sz w:val="16"/>
                <w:szCs w:val="16"/>
              </w:rPr>
              <w:t xml:space="preserve">ράπεζα </w:t>
            </w:r>
            <w:r w:rsidRPr="00882806">
              <w:rPr>
                <w:rFonts w:cs="Arial"/>
                <w:sz w:val="16"/>
                <w:szCs w:val="16"/>
              </w:rPr>
              <w:t>ΑΕ</w:t>
            </w:r>
          </w:p>
        </w:tc>
        <w:tc>
          <w:tcPr>
            <w:tcW w:w="0" w:type="auto"/>
            <w:tcBorders>
              <w:top w:val="nil"/>
              <w:bottom w:val="nil"/>
              <w:right w:val="single" w:sz="2" w:space="0" w:color="A6A6A6" w:themeColor="background1" w:themeShade="A6"/>
            </w:tcBorders>
            <w:shd w:val="clear" w:color="auto" w:fill="auto"/>
            <w:noWrap/>
            <w:vAlign w:val="center"/>
            <w:hideMark/>
          </w:tcPr>
          <w:p w14:paraId="2A8504CB" w14:textId="1C964306" w:rsidR="005816A8" w:rsidRPr="005816A8" w:rsidRDefault="005816A8" w:rsidP="00206C60">
            <w:pPr>
              <w:spacing w:after="0" w:line="276" w:lineRule="auto"/>
              <w:jc w:val="right"/>
              <w:rPr>
                <w:rFonts w:cs="Arial"/>
                <w:color w:val="000000"/>
                <w:sz w:val="16"/>
                <w:szCs w:val="16"/>
              </w:rPr>
            </w:pPr>
            <w:r w:rsidRPr="005816A8">
              <w:rPr>
                <w:sz w:val="16"/>
              </w:rPr>
              <w:t>50.000.000,00</w:t>
            </w:r>
          </w:p>
        </w:tc>
      </w:tr>
      <w:tr w:rsidR="005816A8" w:rsidRPr="00882806" w14:paraId="391B42AF" w14:textId="77777777" w:rsidTr="000072BD">
        <w:trPr>
          <w:cantSplit/>
          <w:trHeight w:val="283"/>
          <w:jc w:val="center"/>
        </w:trPr>
        <w:tc>
          <w:tcPr>
            <w:tcW w:w="0" w:type="auto"/>
            <w:tcBorders>
              <w:top w:val="nil"/>
              <w:left w:val="single" w:sz="2" w:space="0" w:color="A6A6A6" w:themeColor="background1" w:themeShade="A6"/>
              <w:bottom w:val="single" w:sz="2" w:space="0" w:color="A6A6A6" w:themeColor="background1" w:themeShade="A6"/>
            </w:tcBorders>
            <w:shd w:val="clear" w:color="auto" w:fill="auto"/>
            <w:noWrap/>
            <w:vAlign w:val="center"/>
            <w:hideMark/>
          </w:tcPr>
          <w:p w14:paraId="77FF06DA" w14:textId="77777777" w:rsidR="005816A8" w:rsidRPr="00882806" w:rsidRDefault="005816A8" w:rsidP="00206C60">
            <w:pPr>
              <w:spacing w:after="0" w:line="276" w:lineRule="auto"/>
              <w:jc w:val="left"/>
              <w:rPr>
                <w:rFonts w:cs="Arial"/>
                <w:b/>
                <w:bCs/>
                <w:sz w:val="16"/>
                <w:szCs w:val="16"/>
              </w:rPr>
            </w:pPr>
            <w:r w:rsidRPr="00882806">
              <w:rPr>
                <w:rFonts w:cs="Arial"/>
                <w:b/>
                <w:bCs/>
                <w:sz w:val="16"/>
                <w:szCs w:val="16"/>
              </w:rPr>
              <w:t>Σ</w:t>
            </w:r>
            <w:r>
              <w:rPr>
                <w:rFonts w:cs="Arial"/>
                <w:b/>
                <w:bCs/>
                <w:sz w:val="16"/>
                <w:szCs w:val="16"/>
              </w:rPr>
              <w:t>ύνολο</w:t>
            </w:r>
          </w:p>
        </w:tc>
        <w:tc>
          <w:tcPr>
            <w:tcW w:w="0" w:type="auto"/>
            <w:tcBorders>
              <w:top w:val="nil"/>
              <w:bottom w:val="single" w:sz="2" w:space="0" w:color="A6A6A6" w:themeColor="background1" w:themeShade="A6"/>
              <w:right w:val="single" w:sz="2" w:space="0" w:color="A6A6A6" w:themeColor="background1" w:themeShade="A6"/>
            </w:tcBorders>
            <w:shd w:val="clear" w:color="auto" w:fill="auto"/>
            <w:noWrap/>
            <w:vAlign w:val="center"/>
            <w:hideMark/>
          </w:tcPr>
          <w:p w14:paraId="0DB6CE76" w14:textId="54EA4FEC" w:rsidR="005816A8" w:rsidRPr="005816A8" w:rsidRDefault="005816A8" w:rsidP="00206C60">
            <w:pPr>
              <w:spacing w:after="0" w:line="276" w:lineRule="auto"/>
              <w:jc w:val="right"/>
              <w:rPr>
                <w:rFonts w:cs="Arial"/>
                <w:b/>
                <w:bCs/>
                <w:sz w:val="16"/>
                <w:szCs w:val="16"/>
              </w:rPr>
            </w:pPr>
            <w:r w:rsidRPr="005816A8">
              <w:rPr>
                <w:b/>
                <w:sz w:val="16"/>
              </w:rPr>
              <w:t>383.259.995,79</w:t>
            </w:r>
          </w:p>
        </w:tc>
      </w:tr>
      <w:tr w:rsidR="00146C98" w:rsidRPr="00414804" w14:paraId="0F65514E" w14:textId="77777777" w:rsidTr="00206C60">
        <w:trPr>
          <w:cantSplit/>
          <w:trHeight w:val="227"/>
          <w:jc w:val="center"/>
        </w:trPr>
        <w:tc>
          <w:tcPr>
            <w:tcW w:w="0" w:type="auto"/>
            <w:gridSpan w:val="2"/>
            <w:tcBorders>
              <w:top w:val="single" w:sz="2" w:space="0" w:color="A6A6A6" w:themeColor="background1" w:themeShade="A6"/>
              <w:left w:val="nil"/>
              <w:bottom w:val="nil"/>
              <w:right w:val="nil"/>
            </w:tcBorders>
            <w:shd w:val="clear" w:color="auto" w:fill="auto"/>
            <w:noWrap/>
            <w:vAlign w:val="center"/>
          </w:tcPr>
          <w:p w14:paraId="7869D6E0" w14:textId="360BB2DE" w:rsidR="00146C98" w:rsidRPr="00414804" w:rsidRDefault="00146C98" w:rsidP="00F151DE">
            <w:pPr>
              <w:tabs>
                <w:tab w:val="left" w:pos="447"/>
              </w:tabs>
              <w:spacing w:before="60" w:after="0" w:line="276" w:lineRule="auto"/>
              <w:rPr>
                <w:rFonts w:cs="Arial"/>
                <w:bCs/>
                <w:sz w:val="16"/>
                <w:szCs w:val="16"/>
              </w:rPr>
            </w:pPr>
            <w:r w:rsidRPr="00414804">
              <w:rPr>
                <w:rFonts w:cs="Arial"/>
                <w:bCs/>
                <w:sz w:val="16"/>
                <w:szCs w:val="16"/>
              </w:rPr>
              <w:t>Πηγή:</w:t>
            </w:r>
            <w:r>
              <w:rPr>
                <w:rFonts w:cs="Arial"/>
                <w:bCs/>
                <w:sz w:val="16"/>
                <w:szCs w:val="16"/>
              </w:rPr>
              <w:tab/>
            </w:r>
            <w:r w:rsidRPr="00414804">
              <w:rPr>
                <w:rFonts w:cs="Arial"/>
                <w:bCs/>
                <w:sz w:val="16"/>
                <w:szCs w:val="16"/>
              </w:rPr>
              <w:t>Υπουργείο Εθνικής Οικονομίας και Οικονομικών</w:t>
            </w:r>
            <w:r>
              <w:rPr>
                <w:rFonts w:cs="Arial"/>
                <w:bCs/>
                <w:sz w:val="16"/>
                <w:szCs w:val="16"/>
              </w:rPr>
              <w:t xml:space="preserve"> </w:t>
            </w:r>
            <w:r w:rsidRPr="00414804">
              <w:rPr>
                <w:rFonts w:cs="Arial"/>
                <w:bCs/>
                <w:sz w:val="16"/>
                <w:szCs w:val="16"/>
              </w:rPr>
              <w:t xml:space="preserve">- Μονάδα Αποκρατικοποιήσεων, Διαχείρισης Κινητών Αξιών </w:t>
            </w:r>
            <w:r>
              <w:rPr>
                <w:rFonts w:cs="Arial"/>
                <w:bCs/>
                <w:sz w:val="16"/>
                <w:szCs w:val="16"/>
              </w:rPr>
              <w:t xml:space="preserve">και </w:t>
            </w:r>
            <w:r w:rsidRPr="00414804">
              <w:rPr>
                <w:rFonts w:cs="Arial"/>
                <w:bCs/>
                <w:sz w:val="16"/>
                <w:szCs w:val="16"/>
              </w:rPr>
              <w:t xml:space="preserve">Επιχειρησιακού Σχεδιασμού </w:t>
            </w:r>
            <w:r>
              <w:rPr>
                <w:rFonts w:cs="Arial"/>
                <w:bCs/>
                <w:sz w:val="16"/>
                <w:szCs w:val="16"/>
              </w:rPr>
              <w:t>-</w:t>
            </w:r>
            <w:r w:rsidRPr="00414804">
              <w:rPr>
                <w:rFonts w:cs="Arial"/>
                <w:bCs/>
                <w:sz w:val="16"/>
                <w:szCs w:val="16"/>
              </w:rPr>
              <w:t xml:space="preserve"> Τμήμα Γ’ Διαχείρισης Κινητών Αξιών</w:t>
            </w:r>
          </w:p>
        </w:tc>
      </w:tr>
    </w:tbl>
    <w:p w14:paraId="63E58F4D" w14:textId="15D95C6E" w:rsidR="000072BD" w:rsidRDefault="000072BD" w:rsidP="004852D4">
      <w:pPr>
        <w:spacing w:before="120"/>
      </w:pPr>
    </w:p>
    <w:p w14:paraId="4EBB9897" w14:textId="77777777" w:rsidR="000072BD" w:rsidRDefault="000072BD">
      <w:pPr>
        <w:spacing w:after="0" w:line="240" w:lineRule="auto"/>
        <w:jc w:val="left"/>
      </w:pPr>
      <w:r>
        <w:br w:type="page"/>
      </w:r>
    </w:p>
    <w:tbl>
      <w:tblPr>
        <w:tblW w:w="8845"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3186"/>
        <w:gridCol w:w="1689"/>
        <w:gridCol w:w="2054"/>
        <w:gridCol w:w="1916"/>
      </w:tblGrid>
      <w:tr w:rsidR="00146C98" w:rsidRPr="00FD594B" w14:paraId="41A92A0B" w14:textId="77777777" w:rsidTr="00A439ED">
        <w:trPr>
          <w:cantSplit/>
          <w:trHeight w:val="283"/>
          <w:jc w:val="center"/>
        </w:trPr>
        <w:tc>
          <w:tcPr>
            <w:tcW w:w="8845" w:type="dxa"/>
            <w:gridSpan w:val="4"/>
            <w:tcBorders>
              <w:bottom w:val="single" w:sz="2" w:space="0" w:color="A6A6A6" w:themeColor="background1" w:themeShade="A6"/>
            </w:tcBorders>
            <w:shd w:val="clear" w:color="auto" w:fill="D5DCE4"/>
            <w:noWrap/>
            <w:vAlign w:val="center"/>
            <w:hideMark/>
          </w:tcPr>
          <w:p w14:paraId="35DB85CF" w14:textId="79DF43A7" w:rsidR="00146C98" w:rsidRPr="000503C9" w:rsidRDefault="00146C98" w:rsidP="00E40B12">
            <w:pPr>
              <w:spacing w:after="0" w:line="276" w:lineRule="auto"/>
              <w:jc w:val="center"/>
              <w:rPr>
                <w:rFonts w:cs="Arial"/>
                <w:b/>
                <w:bCs/>
                <w:sz w:val="18"/>
                <w:szCs w:val="18"/>
              </w:rPr>
            </w:pPr>
            <w:bookmarkStart w:id="813" w:name="_Ref182221787"/>
            <w:bookmarkStart w:id="814" w:name="_Toc214474144"/>
            <w:r w:rsidRPr="000503C9">
              <w:rPr>
                <w:rFonts w:cs="Arial"/>
                <w:b/>
                <w:sz w:val="18"/>
                <w:szCs w:val="18"/>
              </w:rPr>
              <w:lastRenderedPageBreak/>
              <w:t>Πίνακας 5.</w:t>
            </w:r>
            <w:r w:rsidRPr="000503C9">
              <w:rPr>
                <w:rFonts w:cs="Arial"/>
                <w:b/>
                <w:sz w:val="18"/>
                <w:szCs w:val="18"/>
              </w:rPr>
              <w:fldChar w:fldCharType="begin"/>
            </w:r>
            <w:r w:rsidRPr="000503C9">
              <w:rPr>
                <w:rFonts w:cs="Arial"/>
                <w:b/>
                <w:sz w:val="18"/>
                <w:szCs w:val="18"/>
              </w:rPr>
              <w:instrText xml:space="preserve"> SEQ Πίνακας_5. \* ARABIC </w:instrText>
            </w:r>
            <w:r w:rsidRPr="000503C9">
              <w:rPr>
                <w:rFonts w:cs="Arial"/>
                <w:b/>
                <w:sz w:val="18"/>
                <w:szCs w:val="18"/>
              </w:rPr>
              <w:fldChar w:fldCharType="separate"/>
            </w:r>
            <w:r w:rsidR="00E15678">
              <w:rPr>
                <w:rFonts w:cs="Arial"/>
                <w:b/>
                <w:noProof/>
                <w:sz w:val="18"/>
                <w:szCs w:val="18"/>
              </w:rPr>
              <w:t>10</w:t>
            </w:r>
            <w:r w:rsidRPr="000503C9">
              <w:rPr>
                <w:rFonts w:cs="Arial"/>
                <w:b/>
                <w:noProof/>
                <w:sz w:val="18"/>
                <w:szCs w:val="18"/>
              </w:rPr>
              <w:fldChar w:fldCharType="end"/>
            </w:r>
            <w:bookmarkEnd w:id="813"/>
            <w:r w:rsidRPr="000503C9">
              <w:rPr>
                <w:rFonts w:cs="Arial"/>
                <w:b/>
                <w:sz w:val="18"/>
                <w:szCs w:val="18"/>
              </w:rPr>
              <w:t>.</w:t>
            </w:r>
            <w:r w:rsidRPr="000503C9">
              <w:rPr>
                <w:rFonts w:cs="Arial"/>
                <w:b/>
                <w:bCs/>
                <w:sz w:val="18"/>
                <w:szCs w:val="18"/>
              </w:rPr>
              <w:t>: Μετοχολόγιο Ελληνικού Δημοσίου - Εισηγμένες στο ΧΑ</w:t>
            </w:r>
            <w:bookmarkEnd w:id="814"/>
          </w:p>
        </w:tc>
      </w:tr>
      <w:tr w:rsidR="00146C98" w:rsidRPr="00414804" w14:paraId="771BDDBF" w14:textId="77777777" w:rsidTr="00A439ED">
        <w:trPr>
          <w:cantSplit/>
          <w:jc w:val="center"/>
        </w:trPr>
        <w:tc>
          <w:tcPr>
            <w:tcW w:w="3186" w:type="dxa"/>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11BECBA7" w14:textId="77777777" w:rsidR="00146C98" w:rsidRPr="00414804" w:rsidRDefault="00146C98" w:rsidP="00E40B12">
            <w:pPr>
              <w:spacing w:after="0" w:line="276" w:lineRule="auto"/>
              <w:jc w:val="center"/>
              <w:rPr>
                <w:rFonts w:cs="Arial"/>
                <w:b/>
                <w:bCs/>
                <w:sz w:val="16"/>
                <w:szCs w:val="16"/>
              </w:rPr>
            </w:pPr>
            <w:r w:rsidRPr="00414804">
              <w:rPr>
                <w:rFonts w:cs="Arial"/>
                <w:b/>
                <w:bCs/>
                <w:sz w:val="16"/>
                <w:szCs w:val="16"/>
              </w:rPr>
              <w:t>Εταιρεί</w:t>
            </w:r>
            <w:r>
              <w:rPr>
                <w:rFonts w:cs="Arial"/>
                <w:b/>
                <w:bCs/>
                <w:sz w:val="16"/>
                <w:szCs w:val="16"/>
              </w:rPr>
              <w:t>α</w:t>
            </w:r>
          </w:p>
        </w:tc>
        <w:tc>
          <w:tcPr>
            <w:tcW w:w="1689"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5F978F79" w14:textId="77777777" w:rsidR="00146C98" w:rsidRPr="00414804" w:rsidRDefault="00146C98" w:rsidP="00E40B12">
            <w:pPr>
              <w:spacing w:after="0" w:line="276" w:lineRule="auto"/>
              <w:jc w:val="center"/>
              <w:rPr>
                <w:rFonts w:cs="Arial"/>
                <w:b/>
                <w:bCs/>
                <w:sz w:val="16"/>
                <w:szCs w:val="16"/>
              </w:rPr>
            </w:pPr>
            <w:r w:rsidRPr="00414804">
              <w:rPr>
                <w:rFonts w:cs="Arial"/>
                <w:b/>
                <w:bCs/>
                <w:sz w:val="16"/>
                <w:szCs w:val="16"/>
              </w:rPr>
              <w:t>Συνολικός αριθμός μετοχών</w:t>
            </w:r>
          </w:p>
        </w:tc>
        <w:tc>
          <w:tcPr>
            <w:tcW w:w="2054"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5467EB93" w14:textId="2817E57D" w:rsidR="00146C98" w:rsidRPr="00414804" w:rsidRDefault="00146C98" w:rsidP="00E40B12">
            <w:pPr>
              <w:spacing w:after="0" w:line="276" w:lineRule="auto"/>
              <w:jc w:val="center"/>
              <w:rPr>
                <w:rFonts w:cs="Arial"/>
                <w:b/>
                <w:bCs/>
                <w:sz w:val="16"/>
                <w:szCs w:val="16"/>
              </w:rPr>
            </w:pPr>
            <w:r w:rsidRPr="00414804">
              <w:rPr>
                <w:rFonts w:cs="Arial"/>
                <w:b/>
                <w:bCs/>
                <w:sz w:val="16"/>
                <w:szCs w:val="16"/>
              </w:rPr>
              <w:t>Αριθμός μετοχών κυριότητας Ε</w:t>
            </w:r>
            <w:r w:rsidR="00EB6670">
              <w:rPr>
                <w:rFonts w:cs="Arial"/>
                <w:b/>
                <w:bCs/>
                <w:sz w:val="16"/>
                <w:szCs w:val="16"/>
              </w:rPr>
              <w:t xml:space="preserve">λληνικού </w:t>
            </w:r>
            <w:r w:rsidRPr="00414804">
              <w:rPr>
                <w:rFonts w:cs="Arial"/>
                <w:b/>
                <w:bCs/>
                <w:sz w:val="16"/>
                <w:szCs w:val="16"/>
              </w:rPr>
              <w:t>Δ</w:t>
            </w:r>
            <w:r w:rsidR="00EB6670">
              <w:rPr>
                <w:rFonts w:cs="Arial"/>
                <w:b/>
                <w:bCs/>
                <w:sz w:val="16"/>
                <w:szCs w:val="16"/>
              </w:rPr>
              <w:t>ημοσίου</w:t>
            </w:r>
          </w:p>
        </w:tc>
        <w:tc>
          <w:tcPr>
            <w:tcW w:w="1916"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31C53F58" w14:textId="5044483B" w:rsidR="00146C98" w:rsidRPr="00414804" w:rsidRDefault="00146C98" w:rsidP="00E40B12">
            <w:pPr>
              <w:spacing w:after="0" w:line="276" w:lineRule="auto"/>
              <w:jc w:val="center"/>
              <w:rPr>
                <w:rFonts w:cs="Arial"/>
                <w:b/>
                <w:bCs/>
                <w:sz w:val="16"/>
                <w:szCs w:val="16"/>
              </w:rPr>
            </w:pPr>
            <w:r w:rsidRPr="00414804">
              <w:rPr>
                <w:rFonts w:cs="Arial"/>
                <w:b/>
                <w:bCs/>
                <w:sz w:val="16"/>
                <w:szCs w:val="16"/>
              </w:rPr>
              <w:t>Ποσοστό Ε</w:t>
            </w:r>
            <w:r w:rsidR="00EB6670">
              <w:rPr>
                <w:rFonts w:cs="Arial"/>
                <w:b/>
                <w:bCs/>
                <w:sz w:val="16"/>
                <w:szCs w:val="16"/>
              </w:rPr>
              <w:t xml:space="preserve">λληνικού </w:t>
            </w:r>
            <w:r w:rsidRPr="00414804">
              <w:rPr>
                <w:rFonts w:cs="Arial"/>
                <w:b/>
                <w:bCs/>
                <w:sz w:val="16"/>
                <w:szCs w:val="16"/>
              </w:rPr>
              <w:t>Δ</w:t>
            </w:r>
            <w:r w:rsidR="00EB6670">
              <w:rPr>
                <w:rFonts w:cs="Arial"/>
                <w:b/>
                <w:bCs/>
                <w:sz w:val="16"/>
                <w:szCs w:val="16"/>
              </w:rPr>
              <w:t>ημοσίου</w:t>
            </w:r>
          </w:p>
        </w:tc>
      </w:tr>
      <w:tr w:rsidR="00A439ED" w:rsidRPr="00414804" w14:paraId="564474F2" w14:textId="77777777" w:rsidTr="000072BD">
        <w:trPr>
          <w:cantSplit/>
          <w:trHeight w:val="283"/>
          <w:jc w:val="center"/>
        </w:trPr>
        <w:tc>
          <w:tcPr>
            <w:tcW w:w="3186" w:type="dxa"/>
            <w:tcBorders>
              <w:top w:val="single" w:sz="2" w:space="0" w:color="A6A6A6" w:themeColor="background1" w:themeShade="A6"/>
            </w:tcBorders>
            <w:shd w:val="clear" w:color="auto" w:fill="auto"/>
            <w:noWrap/>
            <w:vAlign w:val="center"/>
            <w:hideMark/>
          </w:tcPr>
          <w:p w14:paraId="0316CCDF" w14:textId="77777777" w:rsidR="00A439ED" w:rsidRPr="00414804" w:rsidRDefault="00A439ED" w:rsidP="00E40B12">
            <w:pPr>
              <w:spacing w:after="0" w:line="276" w:lineRule="auto"/>
              <w:jc w:val="left"/>
              <w:rPr>
                <w:rFonts w:cs="Arial"/>
                <w:sz w:val="16"/>
                <w:szCs w:val="16"/>
              </w:rPr>
            </w:pPr>
            <w:r w:rsidRPr="00414804">
              <w:rPr>
                <w:rFonts w:cs="Arial"/>
                <w:sz w:val="16"/>
                <w:szCs w:val="16"/>
              </w:rPr>
              <w:t>ΟΤΕ</w:t>
            </w:r>
          </w:p>
        </w:tc>
        <w:tc>
          <w:tcPr>
            <w:tcW w:w="1689" w:type="dxa"/>
            <w:tcBorders>
              <w:top w:val="single" w:sz="2" w:space="0" w:color="A6A6A6" w:themeColor="background1" w:themeShade="A6"/>
            </w:tcBorders>
            <w:shd w:val="clear" w:color="auto" w:fill="auto"/>
            <w:noWrap/>
            <w:vAlign w:val="center"/>
            <w:hideMark/>
          </w:tcPr>
          <w:p w14:paraId="1CBE2A75" w14:textId="2E95CCB6" w:rsidR="00A439ED" w:rsidRPr="00A439ED" w:rsidRDefault="00A439ED" w:rsidP="00E40B12">
            <w:pPr>
              <w:spacing w:after="0" w:line="276" w:lineRule="auto"/>
              <w:jc w:val="right"/>
              <w:rPr>
                <w:rFonts w:cs="Arial"/>
                <w:sz w:val="16"/>
                <w:szCs w:val="16"/>
              </w:rPr>
            </w:pPr>
            <w:r w:rsidRPr="00A439ED">
              <w:rPr>
                <w:sz w:val="16"/>
              </w:rPr>
              <w:t>403.853.127</w:t>
            </w:r>
          </w:p>
        </w:tc>
        <w:tc>
          <w:tcPr>
            <w:tcW w:w="2054" w:type="dxa"/>
            <w:tcBorders>
              <w:top w:val="single" w:sz="2" w:space="0" w:color="A6A6A6" w:themeColor="background1" w:themeShade="A6"/>
            </w:tcBorders>
            <w:shd w:val="clear" w:color="auto" w:fill="auto"/>
            <w:noWrap/>
            <w:vAlign w:val="center"/>
            <w:hideMark/>
          </w:tcPr>
          <w:p w14:paraId="466F7AC3" w14:textId="43DB3750" w:rsidR="00A439ED" w:rsidRPr="00A439ED" w:rsidRDefault="00A439ED" w:rsidP="00E40B12">
            <w:pPr>
              <w:spacing w:after="0" w:line="276" w:lineRule="auto"/>
              <w:jc w:val="right"/>
              <w:rPr>
                <w:rFonts w:cs="Arial"/>
                <w:sz w:val="16"/>
                <w:szCs w:val="16"/>
              </w:rPr>
            </w:pPr>
            <w:r w:rsidRPr="00A439ED">
              <w:rPr>
                <w:sz w:val="16"/>
              </w:rPr>
              <w:t>4.834.374</w:t>
            </w:r>
          </w:p>
        </w:tc>
        <w:tc>
          <w:tcPr>
            <w:tcW w:w="1916" w:type="dxa"/>
            <w:tcBorders>
              <w:top w:val="single" w:sz="2" w:space="0" w:color="A6A6A6" w:themeColor="background1" w:themeShade="A6"/>
            </w:tcBorders>
            <w:shd w:val="clear" w:color="auto" w:fill="auto"/>
            <w:noWrap/>
            <w:vAlign w:val="center"/>
            <w:hideMark/>
          </w:tcPr>
          <w:p w14:paraId="3DC5546B" w14:textId="45B6EAA1" w:rsidR="00A439ED" w:rsidRPr="00A439ED" w:rsidRDefault="00A439ED" w:rsidP="00E40B12">
            <w:pPr>
              <w:spacing w:after="0" w:line="276" w:lineRule="auto"/>
              <w:jc w:val="right"/>
              <w:rPr>
                <w:rFonts w:cs="Arial"/>
                <w:sz w:val="16"/>
                <w:szCs w:val="16"/>
              </w:rPr>
            </w:pPr>
            <w:r w:rsidRPr="00A439ED">
              <w:rPr>
                <w:sz w:val="16"/>
              </w:rPr>
              <w:t>1,197062%</w:t>
            </w:r>
          </w:p>
        </w:tc>
      </w:tr>
      <w:tr w:rsidR="00A439ED" w:rsidRPr="00414804" w14:paraId="37B65BB9" w14:textId="77777777" w:rsidTr="000072BD">
        <w:trPr>
          <w:cantSplit/>
          <w:trHeight w:val="283"/>
          <w:jc w:val="center"/>
        </w:trPr>
        <w:tc>
          <w:tcPr>
            <w:tcW w:w="3186" w:type="dxa"/>
            <w:shd w:val="clear" w:color="auto" w:fill="auto"/>
            <w:noWrap/>
            <w:vAlign w:val="center"/>
            <w:hideMark/>
          </w:tcPr>
          <w:p w14:paraId="1B474D38" w14:textId="4F31E13E" w:rsidR="00A439ED" w:rsidRPr="00414804" w:rsidRDefault="00A439ED" w:rsidP="00E40B12">
            <w:pPr>
              <w:spacing w:after="0" w:line="276" w:lineRule="auto"/>
              <w:jc w:val="left"/>
              <w:rPr>
                <w:rFonts w:cs="Arial"/>
                <w:sz w:val="16"/>
                <w:szCs w:val="16"/>
              </w:rPr>
            </w:pPr>
            <w:r w:rsidRPr="00414804">
              <w:rPr>
                <w:rFonts w:cs="Arial"/>
                <w:sz w:val="16"/>
                <w:szCs w:val="16"/>
              </w:rPr>
              <w:t xml:space="preserve">Τράπεζα </w:t>
            </w:r>
            <w:r>
              <w:rPr>
                <w:rFonts w:cs="Arial"/>
                <w:sz w:val="16"/>
                <w:szCs w:val="16"/>
              </w:rPr>
              <w:t xml:space="preserve">της </w:t>
            </w:r>
            <w:r w:rsidRPr="00414804">
              <w:rPr>
                <w:rFonts w:cs="Arial"/>
                <w:sz w:val="16"/>
                <w:szCs w:val="16"/>
              </w:rPr>
              <w:t>Ελλάδος</w:t>
            </w:r>
          </w:p>
        </w:tc>
        <w:tc>
          <w:tcPr>
            <w:tcW w:w="1689" w:type="dxa"/>
            <w:shd w:val="clear" w:color="auto" w:fill="auto"/>
            <w:noWrap/>
            <w:vAlign w:val="center"/>
            <w:hideMark/>
          </w:tcPr>
          <w:p w14:paraId="196A2700" w14:textId="47F7DC04" w:rsidR="00A439ED" w:rsidRPr="00A439ED" w:rsidRDefault="00A439ED" w:rsidP="00E40B12">
            <w:pPr>
              <w:spacing w:after="0" w:line="276" w:lineRule="auto"/>
              <w:jc w:val="right"/>
              <w:rPr>
                <w:rFonts w:cs="Arial"/>
                <w:sz w:val="16"/>
                <w:szCs w:val="16"/>
              </w:rPr>
            </w:pPr>
            <w:r w:rsidRPr="00A439ED">
              <w:rPr>
                <w:sz w:val="16"/>
              </w:rPr>
              <w:t>19.864.886</w:t>
            </w:r>
          </w:p>
        </w:tc>
        <w:tc>
          <w:tcPr>
            <w:tcW w:w="2054" w:type="dxa"/>
            <w:shd w:val="clear" w:color="auto" w:fill="auto"/>
            <w:noWrap/>
            <w:vAlign w:val="center"/>
            <w:hideMark/>
          </w:tcPr>
          <w:p w14:paraId="1866F3AF" w14:textId="0AC062D1" w:rsidR="00A439ED" w:rsidRPr="00A439ED" w:rsidRDefault="00A439ED" w:rsidP="00E40B12">
            <w:pPr>
              <w:spacing w:after="0" w:line="276" w:lineRule="auto"/>
              <w:jc w:val="right"/>
              <w:rPr>
                <w:rFonts w:cs="Arial"/>
                <w:sz w:val="16"/>
                <w:szCs w:val="16"/>
              </w:rPr>
            </w:pPr>
            <w:r w:rsidRPr="00A439ED">
              <w:rPr>
                <w:sz w:val="16"/>
              </w:rPr>
              <w:t>1.774.088</w:t>
            </w:r>
          </w:p>
        </w:tc>
        <w:tc>
          <w:tcPr>
            <w:tcW w:w="1916" w:type="dxa"/>
            <w:shd w:val="clear" w:color="auto" w:fill="auto"/>
            <w:noWrap/>
            <w:vAlign w:val="center"/>
            <w:hideMark/>
          </w:tcPr>
          <w:p w14:paraId="409F3B65" w14:textId="4A3EBF41" w:rsidR="00A439ED" w:rsidRPr="00A439ED" w:rsidRDefault="00A439ED" w:rsidP="00E40B12">
            <w:pPr>
              <w:spacing w:after="0" w:line="276" w:lineRule="auto"/>
              <w:jc w:val="right"/>
              <w:rPr>
                <w:rFonts w:cs="Arial"/>
                <w:sz w:val="16"/>
                <w:szCs w:val="16"/>
              </w:rPr>
            </w:pPr>
            <w:r w:rsidRPr="00A439ED">
              <w:rPr>
                <w:sz w:val="16"/>
              </w:rPr>
              <w:t>8,931%</w:t>
            </w:r>
          </w:p>
        </w:tc>
      </w:tr>
      <w:tr w:rsidR="00A439ED" w:rsidRPr="00414804" w14:paraId="5A5C3CA7" w14:textId="77777777" w:rsidTr="000072BD">
        <w:trPr>
          <w:cantSplit/>
          <w:trHeight w:val="283"/>
          <w:jc w:val="center"/>
        </w:trPr>
        <w:tc>
          <w:tcPr>
            <w:tcW w:w="3186" w:type="dxa"/>
            <w:shd w:val="clear" w:color="auto" w:fill="auto"/>
            <w:noWrap/>
            <w:vAlign w:val="center"/>
            <w:hideMark/>
          </w:tcPr>
          <w:p w14:paraId="69E98D5D" w14:textId="05384E55" w:rsidR="00A439ED" w:rsidRPr="00414804" w:rsidRDefault="00A439ED" w:rsidP="00E40B12">
            <w:pPr>
              <w:spacing w:after="0" w:line="276" w:lineRule="auto"/>
              <w:jc w:val="left"/>
              <w:rPr>
                <w:rFonts w:cs="Arial"/>
                <w:sz w:val="16"/>
                <w:szCs w:val="16"/>
              </w:rPr>
            </w:pPr>
            <w:r w:rsidRPr="00414804">
              <w:rPr>
                <w:rFonts w:cs="Arial"/>
                <w:sz w:val="16"/>
                <w:szCs w:val="16"/>
              </w:rPr>
              <w:t>ATTICA ΑΕ ΣΥΜΜΕΤΟΧΩΝ</w:t>
            </w:r>
          </w:p>
        </w:tc>
        <w:tc>
          <w:tcPr>
            <w:tcW w:w="1689" w:type="dxa"/>
            <w:shd w:val="clear" w:color="auto" w:fill="auto"/>
            <w:noWrap/>
            <w:vAlign w:val="center"/>
            <w:hideMark/>
          </w:tcPr>
          <w:p w14:paraId="3FE11BBA" w14:textId="1C1C2EA0" w:rsidR="00A439ED" w:rsidRPr="00A439ED" w:rsidRDefault="00A439ED" w:rsidP="00E40B12">
            <w:pPr>
              <w:spacing w:after="0" w:line="276" w:lineRule="auto"/>
              <w:jc w:val="right"/>
              <w:rPr>
                <w:rFonts w:cs="Arial"/>
                <w:sz w:val="16"/>
                <w:szCs w:val="16"/>
              </w:rPr>
            </w:pPr>
            <w:r w:rsidRPr="00A439ED">
              <w:rPr>
                <w:sz w:val="16"/>
              </w:rPr>
              <w:t>243.164.193</w:t>
            </w:r>
          </w:p>
        </w:tc>
        <w:tc>
          <w:tcPr>
            <w:tcW w:w="2054" w:type="dxa"/>
            <w:shd w:val="clear" w:color="auto" w:fill="auto"/>
            <w:noWrap/>
            <w:vAlign w:val="center"/>
            <w:hideMark/>
          </w:tcPr>
          <w:p w14:paraId="39F17A79" w14:textId="00356999" w:rsidR="00A439ED" w:rsidRPr="00A439ED" w:rsidRDefault="00A439ED" w:rsidP="00E40B12">
            <w:pPr>
              <w:spacing w:after="0" w:line="276" w:lineRule="auto"/>
              <w:jc w:val="right"/>
              <w:rPr>
                <w:rFonts w:cs="Arial"/>
                <w:sz w:val="16"/>
                <w:szCs w:val="16"/>
              </w:rPr>
            </w:pPr>
            <w:r w:rsidRPr="00A439ED">
              <w:rPr>
                <w:sz w:val="16"/>
              </w:rPr>
              <w:t>110</w:t>
            </w:r>
          </w:p>
        </w:tc>
        <w:tc>
          <w:tcPr>
            <w:tcW w:w="1916" w:type="dxa"/>
            <w:shd w:val="clear" w:color="auto" w:fill="auto"/>
            <w:noWrap/>
            <w:vAlign w:val="center"/>
            <w:hideMark/>
          </w:tcPr>
          <w:p w14:paraId="7FF44DDE" w14:textId="68633E04" w:rsidR="00A439ED" w:rsidRPr="00A439ED" w:rsidRDefault="00A439ED" w:rsidP="00E40B12">
            <w:pPr>
              <w:spacing w:after="0" w:line="276" w:lineRule="auto"/>
              <w:jc w:val="right"/>
              <w:rPr>
                <w:rFonts w:cs="Arial"/>
                <w:sz w:val="16"/>
                <w:szCs w:val="16"/>
              </w:rPr>
            </w:pPr>
            <w:r w:rsidRPr="00A439ED">
              <w:rPr>
                <w:sz w:val="16"/>
              </w:rPr>
              <w:t>0,000045%</w:t>
            </w:r>
          </w:p>
        </w:tc>
      </w:tr>
      <w:tr w:rsidR="00A439ED" w:rsidRPr="00414804" w14:paraId="2695F8B1" w14:textId="77777777" w:rsidTr="000072BD">
        <w:trPr>
          <w:cantSplit/>
          <w:trHeight w:val="283"/>
          <w:jc w:val="center"/>
        </w:trPr>
        <w:tc>
          <w:tcPr>
            <w:tcW w:w="3186" w:type="dxa"/>
            <w:shd w:val="clear" w:color="auto" w:fill="auto"/>
            <w:noWrap/>
            <w:vAlign w:val="center"/>
            <w:hideMark/>
          </w:tcPr>
          <w:p w14:paraId="1F8FA803" w14:textId="7655F4AA" w:rsidR="00A439ED" w:rsidRPr="00414804" w:rsidRDefault="00A439ED" w:rsidP="00E40B12">
            <w:pPr>
              <w:spacing w:after="0" w:line="276" w:lineRule="auto"/>
              <w:jc w:val="left"/>
              <w:rPr>
                <w:rFonts w:cs="Arial"/>
                <w:sz w:val="16"/>
                <w:szCs w:val="16"/>
              </w:rPr>
            </w:pPr>
            <w:r w:rsidRPr="00414804">
              <w:rPr>
                <w:rFonts w:cs="Arial"/>
                <w:sz w:val="16"/>
                <w:szCs w:val="16"/>
              </w:rPr>
              <w:t>ΚΕΚΡΟΨ ΑΕ</w:t>
            </w:r>
          </w:p>
        </w:tc>
        <w:tc>
          <w:tcPr>
            <w:tcW w:w="1689" w:type="dxa"/>
            <w:shd w:val="clear" w:color="auto" w:fill="auto"/>
            <w:noWrap/>
            <w:vAlign w:val="center"/>
            <w:hideMark/>
          </w:tcPr>
          <w:p w14:paraId="652D50A8" w14:textId="322F8A0B" w:rsidR="00A439ED" w:rsidRPr="00A439ED" w:rsidRDefault="00A439ED" w:rsidP="00E40B12">
            <w:pPr>
              <w:spacing w:after="0" w:line="276" w:lineRule="auto"/>
              <w:jc w:val="right"/>
              <w:rPr>
                <w:rFonts w:cs="Arial"/>
                <w:sz w:val="16"/>
                <w:szCs w:val="16"/>
              </w:rPr>
            </w:pPr>
            <w:r w:rsidRPr="00A439ED">
              <w:rPr>
                <w:sz w:val="16"/>
              </w:rPr>
              <w:t>19.804.134</w:t>
            </w:r>
          </w:p>
        </w:tc>
        <w:tc>
          <w:tcPr>
            <w:tcW w:w="2054" w:type="dxa"/>
            <w:shd w:val="clear" w:color="auto" w:fill="auto"/>
            <w:noWrap/>
            <w:vAlign w:val="center"/>
            <w:hideMark/>
          </w:tcPr>
          <w:p w14:paraId="167C2782" w14:textId="64CF9C37" w:rsidR="00A439ED" w:rsidRPr="00A439ED" w:rsidRDefault="00A439ED" w:rsidP="00E40B12">
            <w:pPr>
              <w:spacing w:after="0" w:line="276" w:lineRule="auto"/>
              <w:jc w:val="right"/>
              <w:rPr>
                <w:rFonts w:cs="Arial"/>
                <w:sz w:val="16"/>
                <w:szCs w:val="16"/>
              </w:rPr>
            </w:pPr>
            <w:r w:rsidRPr="00A439ED">
              <w:rPr>
                <w:sz w:val="16"/>
              </w:rPr>
              <w:t>1.888</w:t>
            </w:r>
          </w:p>
        </w:tc>
        <w:tc>
          <w:tcPr>
            <w:tcW w:w="1916" w:type="dxa"/>
            <w:shd w:val="clear" w:color="auto" w:fill="auto"/>
            <w:noWrap/>
            <w:vAlign w:val="center"/>
            <w:hideMark/>
          </w:tcPr>
          <w:p w14:paraId="34045DF9" w14:textId="6B173EEA" w:rsidR="00A439ED" w:rsidRPr="00A439ED" w:rsidRDefault="00A439ED" w:rsidP="00E40B12">
            <w:pPr>
              <w:spacing w:after="0" w:line="276" w:lineRule="auto"/>
              <w:jc w:val="right"/>
              <w:rPr>
                <w:rFonts w:cs="Arial"/>
                <w:sz w:val="16"/>
                <w:szCs w:val="16"/>
              </w:rPr>
            </w:pPr>
            <w:r w:rsidRPr="00A439ED">
              <w:rPr>
                <w:sz w:val="16"/>
              </w:rPr>
              <w:t>0,010%</w:t>
            </w:r>
          </w:p>
        </w:tc>
      </w:tr>
      <w:tr w:rsidR="00A439ED" w:rsidRPr="00414804" w14:paraId="3B44D3A1" w14:textId="77777777" w:rsidTr="000072BD">
        <w:trPr>
          <w:cantSplit/>
          <w:trHeight w:val="283"/>
          <w:jc w:val="center"/>
        </w:trPr>
        <w:tc>
          <w:tcPr>
            <w:tcW w:w="3186" w:type="dxa"/>
            <w:shd w:val="clear" w:color="auto" w:fill="auto"/>
            <w:vAlign w:val="center"/>
            <w:hideMark/>
          </w:tcPr>
          <w:p w14:paraId="627272F8" w14:textId="0F56DB4E" w:rsidR="00A439ED" w:rsidRPr="00CF58AD" w:rsidRDefault="00A439ED" w:rsidP="00E40B12">
            <w:pPr>
              <w:spacing w:after="0" w:line="276" w:lineRule="auto"/>
              <w:jc w:val="left"/>
              <w:rPr>
                <w:rFonts w:cs="Arial"/>
                <w:sz w:val="16"/>
                <w:szCs w:val="16"/>
              </w:rPr>
            </w:pPr>
            <w:r w:rsidRPr="00414804">
              <w:rPr>
                <w:rFonts w:cs="Arial"/>
                <w:sz w:val="16"/>
                <w:szCs w:val="16"/>
              </w:rPr>
              <w:t>Εταιρεία Ύδρευσης και Αποχέτευσης Θεσσαλονίκης (ΕΥΑΘ)</w:t>
            </w:r>
            <w:r w:rsidRPr="00CF58AD">
              <w:rPr>
                <w:rFonts w:cs="Arial"/>
                <w:sz w:val="16"/>
                <w:szCs w:val="16"/>
              </w:rPr>
              <w:t xml:space="preserve"> </w:t>
            </w:r>
            <w:r w:rsidRPr="00414804">
              <w:rPr>
                <w:rFonts w:cs="Arial"/>
                <w:sz w:val="16"/>
                <w:szCs w:val="16"/>
              </w:rPr>
              <w:t>ΑΕ</w:t>
            </w:r>
          </w:p>
        </w:tc>
        <w:tc>
          <w:tcPr>
            <w:tcW w:w="1689" w:type="dxa"/>
            <w:shd w:val="clear" w:color="auto" w:fill="auto"/>
            <w:noWrap/>
            <w:vAlign w:val="center"/>
            <w:hideMark/>
          </w:tcPr>
          <w:p w14:paraId="5BB177AC" w14:textId="655E9618" w:rsidR="00A439ED" w:rsidRPr="00A439ED" w:rsidRDefault="00A439ED" w:rsidP="00E40B12">
            <w:pPr>
              <w:spacing w:after="0" w:line="276" w:lineRule="auto"/>
              <w:jc w:val="right"/>
              <w:rPr>
                <w:rFonts w:cs="Arial"/>
                <w:sz w:val="16"/>
                <w:szCs w:val="16"/>
              </w:rPr>
            </w:pPr>
            <w:r w:rsidRPr="00A439ED">
              <w:rPr>
                <w:sz w:val="16"/>
              </w:rPr>
              <w:t>36.300.000</w:t>
            </w:r>
          </w:p>
        </w:tc>
        <w:tc>
          <w:tcPr>
            <w:tcW w:w="2054" w:type="dxa"/>
            <w:shd w:val="clear" w:color="auto" w:fill="auto"/>
            <w:noWrap/>
            <w:vAlign w:val="center"/>
            <w:hideMark/>
          </w:tcPr>
          <w:p w14:paraId="4248EAAF" w14:textId="78B11592" w:rsidR="00A439ED" w:rsidRPr="00A439ED" w:rsidRDefault="00A439ED" w:rsidP="00E40B12">
            <w:pPr>
              <w:spacing w:after="0" w:line="276" w:lineRule="auto"/>
              <w:jc w:val="right"/>
              <w:rPr>
                <w:rFonts w:cs="Arial"/>
                <w:sz w:val="16"/>
                <w:szCs w:val="16"/>
              </w:rPr>
            </w:pPr>
            <w:r w:rsidRPr="00A439ED">
              <w:rPr>
                <w:sz w:val="16"/>
              </w:rPr>
              <w:t>18.150.001</w:t>
            </w:r>
          </w:p>
        </w:tc>
        <w:tc>
          <w:tcPr>
            <w:tcW w:w="1916" w:type="dxa"/>
            <w:shd w:val="clear" w:color="auto" w:fill="auto"/>
            <w:noWrap/>
            <w:vAlign w:val="center"/>
            <w:hideMark/>
          </w:tcPr>
          <w:p w14:paraId="02601651" w14:textId="24538A1D" w:rsidR="00A439ED" w:rsidRPr="00A439ED" w:rsidRDefault="00A439ED" w:rsidP="00E40B12">
            <w:pPr>
              <w:spacing w:after="0" w:line="276" w:lineRule="auto"/>
              <w:jc w:val="right"/>
              <w:rPr>
                <w:rFonts w:cs="Arial"/>
                <w:sz w:val="16"/>
                <w:szCs w:val="16"/>
              </w:rPr>
            </w:pPr>
            <w:r w:rsidRPr="00A439ED">
              <w:rPr>
                <w:sz w:val="16"/>
              </w:rPr>
              <w:t>50%+1 μτχ</w:t>
            </w:r>
          </w:p>
        </w:tc>
      </w:tr>
      <w:tr w:rsidR="00A439ED" w:rsidRPr="00414804" w14:paraId="4A2A6FB3" w14:textId="77777777" w:rsidTr="000072BD">
        <w:trPr>
          <w:cantSplit/>
          <w:trHeight w:val="283"/>
          <w:jc w:val="center"/>
        </w:trPr>
        <w:tc>
          <w:tcPr>
            <w:tcW w:w="3186" w:type="dxa"/>
            <w:tcBorders>
              <w:bottom w:val="single" w:sz="2" w:space="0" w:color="A6A6A6" w:themeColor="background1" w:themeShade="A6"/>
            </w:tcBorders>
            <w:shd w:val="clear" w:color="auto" w:fill="auto"/>
            <w:vAlign w:val="center"/>
            <w:hideMark/>
          </w:tcPr>
          <w:p w14:paraId="5A7795CA" w14:textId="3328C4A8" w:rsidR="00A439ED" w:rsidRPr="00CF58AD" w:rsidRDefault="00A439ED" w:rsidP="00E40B12">
            <w:pPr>
              <w:spacing w:after="0" w:line="276" w:lineRule="auto"/>
              <w:jc w:val="left"/>
              <w:rPr>
                <w:rFonts w:cs="Arial"/>
                <w:sz w:val="16"/>
                <w:szCs w:val="16"/>
              </w:rPr>
            </w:pPr>
            <w:r w:rsidRPr="00414804">
              <w:rPr>
                <w:rFonts w:cs="Arial"/>
                <w:sz w:val="16"/>
                <w:szCs w:val="16"/>
              </w:rPr>
              <w:t>Εταιρεία Υδρεύσεως και Αποχετεύσεως Πρωτευούσης (ΕΥΔΑΠ) ΑΕ</w:t>
            </w:r>
          </w:p>
        </w:tc>
        <w:tc>
          <w:tcPr>
            <w:tcW w:w="1689" w:type="dxa"/>
            <w:tcBorders>
              <w:bottom w:val="single" w:sz="2" w:space="0" w:color="A6A6A6" w:themeColor="background1" w:themeShade="A6"/>
            </w:tcBorders>
            <w:shd w:val="clear" w:color="auto" w:fill="auto"/>
            <w:noWrap/>
            <w:vAlign w:val="center"/>
            <w:hideMark/>
          </w:tcPr>
          <w:p w14:paraId="38BA501B" w14:textId="4BEC5623" w:rsidR="00A439ED" w:rsidRPr="00A439ED" w:rsidRDefault="00A439ED" w:rsidP="00E40B12">
            <w:pPr>
              <w:spacing w:after="0" w:line="276" w:lineRule="auto"/>
              <w:jc w:val="right"/>
              <w:rPr>
                <w:rFonts w:cs="Arial"/>
                <w:sz w:val="16"/>
                <w:szCs w:val="16"/>
              </w:rPr>
            </w:pPr>
            <w:r w:rsidRPr="00A439ED">
              <w:rPr>
                <w:sz w:val="16"/>
              </w:rPr>
              <w:t>106.500.000</w:t>
            </w:r>
          </w:p>
        </w:tc>
        <w:tc>
          <w:tcPr>
            <w:tcW w:w="2054" w:type="dxa"/>
            <w:tcBorders>
              <w:bottom w:val="single" w:sz="2" w:space="0" w:color="A6A6A6" w:themeColor="background1" w:themeShade="A6"/>
            </w:tcBorders>
            <w:shd w:val="clear" w:color="auto" w:fill="auto"/>
            <w:noWrap/>
            <w:vAlign w:val="center"/>
            <w:hideMark/>
          </w:tcPr>
          <w:p w14:paraId="5EA000F6" w14:textId="44B16A8F" w:rsidR="00A439ED" w:rsidRPr="00A439ED" w:rsidRDefault="00A439ED" w:rsidP="00E40B12">
            <w:pPr>
              <w:spacing w:after="0" w:line="276" w:lineRule="auto"/>
              <w:jc w:val="right"/>
              <w:rPr>
                <w:rFonts w:cs="Arial"/>
                <w:sz w:val="16"/>
                <w:szCs w:val="16"/>
              </w:rPr>
            </w:pPr>
            <w:r w:rsidRPr="00A439ED">
              <w:rPr>
                <w:sz w:val="16"/>
              </w:rPr>
              <w:t>53.250.001</w:t>
            </w:r>
          </w:p>
        </w:tc>
        <w:tc>
          <w:tcPr>
            <w:tcW w:w="1916" w:type="dxa"/>
            <w:tcBorders>
              <w:bottom w:val="single" w:sz="2" w:space="0" w:color="A6A6A6" w:themeColor="background1" w:themeShade="A6"/>
            </w:tcBorders>
            <w:shd w:val="clear" w:color="auto" w:fill="auto"/>
            <w:noWrap/>
            <w:vAlign w:val="center"/>
            <w:hideMark/>
          </w:tcPr>
          <w:p w14:paraId="3B51BF73" w14:textId="4C16D81A" w:rsidR="00A439ED" w:rsidRPr="00A439ED" w:rsidRDefault="00A439ED" w:rsidP="00E40B12">
            <w:pPr>
              <w:spacing w:after="0" w:line="276" w:lineRule="auto"/>
              <w:jc w:val="right"/>
              <w:rPr>
                <w:rFonts w:cs="Arial"/>
                <w:sz w:val="16"/>
                <w:szCs w:val="16"/>
              </w:rPr>
            </w:pPr>
            <w:r w:rsidRPr="00A439ED">
              <w:rPr>
                <w:sz w:val="16"/>
              </w:rPr>
              <w:t>50%+1 μτχ</w:t>
            </w:r>
          </w:p>
        </w:tc>
      </w:tr>
      <w:tr w:rsidR="00146C98" w:rsidRPr="00414804" w14:paraId="435B7285" w14:textId="77777777" w:rsidTr="000072BD">
        <w:trPr>
          <w:cantSplit/>
          <w:trHeight w:val="283"/>
          <w:jc w:val="center"/>
        </w:trPr>
        <w:tc>
          <w:tcPr>
            <w:tcW w:w="8845" w:type="dxa"/>
            <w:gridSpan w:val="4"/>
            <w:tcBorders>
              <w:top w:val="single" w:sz="2" w:space="0" w:color="A6A6A6" w:themeColor="background1" w:themeShade="A6"/>
              <w:bottom w:val="single" w:sz="2" w:space="0" w:color="A6A6A6" w:themeColor="background1" w:themeShade="A6"/>
            </w:tcBorders>
            <w:shd w:val="clear" w:color="auto" w:fill="D5DCE4"/>
            <w:noWrap/>
            <w:vAlign w:val="center"/>
            <w:hideMark/>
          </w:tcPr>
          <w:p w14:paraId="4769DD4B" w14:textId="77777777" w:rsidR="00146C98" w:rsidRPr="00414804" w:rsidRDefault="00146C98" w:rsidP="00E40B12">
            <w:pPr>
              <w:spacing w:after="0" w:line="276" w:lineRule="auto"/>
              <w:jc w:val="center"/>
              <w:rPr>
                <w:rFonts w:cs="Arial"/>
                <w:b/>
                <w:bCs/>
                <w:sz w:val="16"/>
                <w:szCs w:val="16"/>
              </w:rPr>
            </w:pPr>
            <w:r w:rsidRPr="00414804">
              <w:rPr>
                <w:rFonts w:cs="Arial"/>
                <w:b/>
                <w:bCs/>
                <w:sz w:val="16"/>
                <w:szCs w:val="16"/>
              </w:rPr>
              <w:t>Μετοχολόγιο Ελληνικού Δημοσίου - Εισηγμένες σε ξένες αγορές</w:t>
            </w:r>
          </w:p>
        </w:tc>
      </w:tr>
      <w:tr w:rsidR="00146C98" w:rsidRPr="00414804" w14:paraId="4ABC5C6E" w14:textId="77777777" w:rsidTr="000072BD">
        <w:trPr>
          <w:cantSplit/>
          <w:trHeight w:val="283"/>
          <w:jc w:val="center"/>
        </w:trPr>
        <w:tc>
          <w:tcPr>
            <w:tcW w:w="3186" w:type="dxa"/>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26451DDA" w14:textId="77777777" w:rsidR="00146C98" w:rsidRPr="00414804" w:rsidRDefault="00146C98" w:rsidP="00E40B12">
            <w:pPr>
              <w:spacing w:after="0" w:line="276" w:lineRule="auto"/>
              <w:jc w:val="center"/>
              <w:rPr>
                <w:rFonts w:cs="Arial"/>
                <w:b/>
                <w:bCs/>
                <w:sz w:val="16"/>
                <w:szCs w:val="16"/>
              </w:rPr>
            </w:pPr>
            <w:r w:rsidRPr="00414804">
              <w:rPr>
                <w:rFonts w:cs="Arial"/>
                <w:b/>
                <w:bCs/>
                <w:sz w:val="16"/>
                <w:szCs w:val="16"/>
              </w:rPr>
              <w:t>Εταιρεί</w:t>
            </w:r>
            <w:r>
              <w:rPr>
                <w:rFonts w:cs="Arial"/>
                <w:b/>
                <w:bCs/>
                <w:sz w:val="16"/>
                <w:szCs w:val="16"/>
              </w:rPr>
              <w:t>α</w:t>
            </w:r>
          </w:p>
        </w:tc>
        <w:tc>
          <w:tcPr>
            <w:tcW w:w="1689"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4496FD40" w14:textId="77777777" w:rsidR="00146C98" w:rsidRPr="00414804" w:rsidRDefault="00146C98" w:rsidP="00E40B12">
            <w:pPr>
              <w:spacing w:after="0" w:line="276" w:lineRule="auto"/>
              <w:jc w:val="center"/>
              <w:rPr>
                <w:rFonts w:cs="Arial"/>
                <w:b/>
                <w:bCs/>
                <w:sz w:val="16"/>
                <w:szCs w:val="16"/>
              </w:rPr>
            </w:pPr>
            <w:r w:rsidRPr="00414804">
              <w:rPr>
                <w:rFonts w:cs="Arial"/>
                <w:b/>
                <w:bCs/>
                <w:sz w:val="16"/>
                <w:szCs w:val="16"/>
              </w:rPr>
              <w:t>Συνολικός αριθμός μετοχών</w:t>
            </w:r>
          </w:p>
        </w:tc>
        <w:tc>
          <w:tcPr>
            <w:tcW w:w="2054"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6F7E5DE8" w14:textId="65A661C1" w:rsidR="00146C98" w:rsidRPr="00414804" w:rsidRDefault="00146C98" w:rsidP="00E40B12">
            <w:pPr>
              <w:spacing w:after="0" w:line="276" w:lineRule="auto"/>
              <w:jc w:val="center"/>
              <w:rPr>
                <w:rFonts w:cs="Arial"/>
                <w:b/>
                <w:bCs/>
                <w:sz w:val="16"/>
                <w:szCs w:val="16"/>
              </w:rPr>
            </w:pPr>
            <w:r w:rsidRPr="00414804">
              <w:rPr>
                <w:rFonts w:cs="Arial"/>
                <w:b/>
                <w:bCs/>
                <w:sz w:val="16"/>
                <w:szCs w:val="16"/>
              </w:rPr>
              <w:t>Αριθμός μετοχών κυριότητας Ε</w:t>
            </w:r>
            <w:r w:rsidR="00EB6670">
              <w:rPr>
                <w:rFonts w:cs="Arial"/>
                <w:b/>
                <w:bCs/>
                <w:sz w:val="16"/>
                <w:szCs w:val="16"/>
              </w:rPr>
              <w:t xml:space="preserve">λληνικού </w:t>
            </w:r>
            <w:r w:rsidRPr="00414804">
              <w:rPr>
                <w:rFonts w:cs="Arial"/>
                <w:b/>
                <w:bCs/>
                <w:sz w:val="16"/>
                <w:szCs w:val="16"/>
              </w:rPr>
              <w:t>Δ</w:t>
            </w:r>
            <w:r w:rsidR="00EB6670">
              <w:rPr>
                <w:rFonts w:cs="Arial"/>
                <w:b/>
                <w:bCs/>
                <w:sz w:val="16"/>
                <w:szCs w:val="16"/>
              </w:rPr>
              <w:t>ημοσίου</w:t>
            </w:r>
          </w:p>
        </w:tc>
        <w:tc>
          <w:tcPr>
            <w:tcW w:w="1916"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5DE58F6E" w14:textId="28DEADEE" w:rsidR="00146C98" w:rsidRPr="00414804" w:rsidRDefault="00146C98" w:rsidP="00E40B12">
            <w:pPr>
              <w:spacing w:after="0" w:line="276" w:lineRule="auto"/>
              <w:jc w:val="center"/>
              <w:rPr>
                <w:rFonts w:cs="Arial"/>
                <w:b/>
                <w:bCs/>
                <w:sz w:val="16"/>
                <w:szCs w:val="16"/>
              </w:rPr>
            </w:pPr>
            <w:r w:rsidRPr="00414804">
              <w:rPr>
                <w:rFonts w:cs="Arial"/>
                <w:b/>
                <w:bCs/>
                <w:sz w:val="16"/>
                <w:szCs w:val="16"/>
              </w:rPr>
              <w:t>Ποσοστό Ε</w:t>
            </w:r>
            <w:r w:rsidR="00EB6670">
              <w:rPr>
                <w:rFonts w:cs="Arial"/>
                <w:b/>
                <w:bCs/>
                <w:sz w:val="16"/>
                <w:szCs w:val="16"/>
              </w:rPr>
              <w:t xml:space="preserve">λληνικού </w:t>
            </w:r>
            <w:r w:rsidRPr="00414804">
              <w:rPr>
                <w:rFonts w:cs="Arial"/>
                <w:b/>
                <w:bCs/>
                <w:sz w:val="16"/>
                <w:szCs w:val="16"/>
              </w:rPr>
              <w:t>Δ</w:t>
            </w:r>
            <w:r w:rsidR="00EB6670">
              <w:rPr>
                <w:rFonts w:cs="Arial"/>
                <w:b/>
                <w:bCs/>
                <w:sz w:val="16"/>
                <w:szCs w:val="16"/>
              </w:rPr>
              <w:t>ημοσίου</w:t>
            </w:r>
          </w:p>
        </w:tc>
      </w:tr>
      <w:tr w:rsidR="00A439ED" w:rsidRPr="00414804" w14:paraId="74206046" w14:textId="77777777" w:rsidTr="000072BD">
        <w:trPr>
          <w:cantSplit/>
          <w:trHeight w:val="283"/>
          <w:jc w:val="center"/>
        </w:trPr>
        <w:tc>
          <w:tcPr>
            <w:tcW w:w="3186"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3732D043" w14:textId="77777777" w:rsidR="00A439ED" w:rsidRPr="00414804" w:rsidRDefault="00A439ED" w:rsidP="00E40B12">
            <w:pPr>
              <w:spacing w:after="0" w:line="276" w:lineRule="auto"/>
              <w:jc w:val="left"/>
              <w:rPr>
                <w:rFonts w:cs="Arial"/>
                <w:sz w:val="16"/>
                <w:szCs w:val="16"/>
              </w:rPr>
            </w:pPr>
            <w:r w:rsidRPr="00414804">
              <w:rPr>
                <w:rFonts w:cs="Arial"/>
                <w:sz w:val="16"/>
                <w:szCs w:val="16"/>
              </w:rPr>
              <w:t>TITAN CEMENT INTERNATIONAL SA</w:t>
            </w:r>
            <w:r>
              <w:rPr>
                <w:rFonts w:cs="Arial"/>
                <w:sz w:val="16"/>
                <w:szCs w:val="16"/>
              </w:rPr>
              <w:t>*</w:t>
            </w:r>
          </w:p>
        </w:tc>
        <w:tc>
          <w:tcPr>
            <w:tcW w:w="1689"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336C6E30" w14:textId="4400E245" w:rsidR="00A439ED" w:rsidRPr="00A439ED" w:rsidRDefault="00A439ED" w:rsidP="00E40B12">
            <w:pPr>
              <w:spacing w:after="0" w:line="276" w:lineRule="auto"/>
              <w:jc w:val="right"/>
              <w:rPr>
                <w:rFonts w:cs="Arial"/>
                <w:sz w:val="16"/>
                <w:szCs w:val="16"/>
              </w:rPr>
            </w:pPr>
            <w:r w:rsidRPr="00A439ED">
              <w:rPr>
                <w:sz w:val="16"/>
              </w:rPr>
              <w:t>78.325.475</w:t>
            </w:r>
          </w:p>
        </w:tc>
        <w:tc>
          <w:tcPr>
            <w:tcW w:w="205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61CBE4BA" w14:textId="0ECE665E" w:rsidR="00A439ED" w:rsidRPr="00A439ED" w:rsidRDefault="00A439ED" w:rsidP="00E40B12">
            <w:pPr>
              <w:spacing w:after="0" w:line="276" w:lineRule="auto"/>
              <w:jc w:val="right"/>
              <w:rPr>
                <w:rFonts w:cs="Arial"/>
                <w:sz w:val="16"/>
                <w:szCs w:val="16"/>
              </w:rPr>
            </w:pPr>
            <w:r w:rsidRPr="00A439ED">
              <w:rPr>
                <w:sz w:val="16"/>
              </w:rPr>
              <w:t>30.464</w:t>
            </w:r>
          </w:p>
        </w:tc>
        <w:tc>
          <w:tcPr>
            <w:tcW w:w="1916"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6612A3BC" w14:textId="5C1183B0" w:rsidR="00A439ED" w:rsidRPr="00A439ED" w:rsidRDefault="00A439ED" w:rsidP="00E40B12">
            <w:pPr>
              <w:spacing w:after="0" w:line="276" w:lineRule="auto"/>
              <w:jc w:val="right"/>
              <w:rPr>
                <w:rFonts w:cs="Arial"/>
                <w:sz w:val="16"/>
                <w:szCs w:val="16"/>
              </w:rPr>
            </w:pPr>
            <w:r w:rsidRPr="00A439ED">
              <w:rPr>
                <w:sz w:val="16"/>
              </w:rPr>
              <w:t>0,038894%</w:t>
            </w:r>
          </w:p>
        </w:tc>
      </w:tr>
      <w:tr w:rsidR="00146C98" w:rsidRPr="00414804" w14:paraId="23646327" w14:textId="77777777" w:rsidTr="00A439ED">
        <w:trPr>
          <w:cantSplit/>
          <w:trHeight w:val="57"/>
          <w:jc w:val="center"/>
        </w:trPr>
        <w:tc>
          <w:tcPr>
            <w:tcW w:w="8845" w:type="dxa"/>
            <w:gridSpan w:val="4"/>
            <w:tcBorders>
              <w:top w:val="single" w:sz="2" w:space="0" w:color="A6A6A6" w:themeColor="background1" w:themeShade="A6"/>
              <w:left w:val="nil"/>
              <w:bottom w:val="nil"/>
              <w:right w:val="nil"/>
            </w:tcBorders>
            <w:shd w:val="clear" w:color="auto" w:fill="auto"/>
            <w:noWrap/>
            <w:vAlign w:val="center"/>
          </w:tcPr>
          <w:p w14:paraId="191A5CBC" w14:textId="08565E15" w:rsidR="00146C98" w:rsidRPr="00414804" w:rsidRDefault="00146C98" w:rsidP="00E40B12">
            <w:pPr>
              <w:tabs>
                <w:tab w:val="left" w:pos="170"/>
              </w:tabs>
              <w:spacing w:before="60" w:after="0" w:line="276" w:lineRule="auto"/>
              <w:rPr>
                <w:rFonts w:cs="Arial"/>
                <w:sz w:val="16"/>
                <w:szCs w:val="16"/>
              </w:rPr>
            </w:pPr>
            <w:r w:rsidRPr="002954C0">
              <w:rPr>
                <w:rFonts w:cs="Arial"/>
                <w:sz w:val="16"/>
                <w:szCs w:val="16"/>
              </w:rPr>
              <w:t>*</w:t>
            </w:r>
            <w:r w:rsidR="00EF0EC3">
              <w:rPr>
                <w:rFonts w:cs="Arial"/>
                <w:sz w:val="16"/>
                <w:szCs w:val="16"/>
              </w:rPr>
              <w:t xml:space="preserve"> </w:t>
            </w:r>
            <w:r w:rsidRPr="002954C0">
              <w:rPr>
                <w:rFonts w:cs="Arial"/>
                <w:sz w:val="16"/>
                <w:szCs w:val="16"/>
              </w:rPr>
              <w:t>Η εταιρεία TITAN CEMENT INTERNATIONAL SA διαπραγματεύεται σε EURONEXT και ΧΑ</w:t>
            </w:r>
            <w:r>
              <w:rPr>
                <w:rFonts w:cs="Arial"/>
                <w:sz w:val="16"/>
                <w:szCs w:val="16"/>
              </w:rPr>
              <w:t>.</w:t>
            </w:r>
          </w:p>
        </w:tc>
      </w:tr>
      <w:tr w:rsidR="00146C98" w:rsidRPr="00414804" w14:paraId="78104738" w14:textId="77777777" w:rsidTr="00E23A45">
        <w:trPr>
          <w:cantSplit/>
          <w:trHeight w:val="57"/>
          <w:jc w:val="center"/>
        </w:trPr>
        <w:tc>
          <w:tcPr>
            <w:tcW w:w="8845" w:type="dxa"/>
            <w:gridSpan w:val="4"/>
            <w:tcBorders>
              <w:top w:val="nil"/>
              <w:left w:val="nil"/>
              <w:bottom w:val="nil"/>
              <w:right w:val="nil"/>
            </w:tcBorders>
            <w:shd w:val="clear" w:color="auto" w:fill="auto"/>
            <w:noWrap/>
            <w:vAlign w:val="center"/>
          </w:tcPr>
          <w:p w14:paraId="5D3C9440" w14:textId="77777777" w:rsidR="00146C98" w:rsidRPr="00414804" w:rsidRDefault="00146C98" w:rsidP="00DE2EAB">
            <w:pPr>
              <w:tabs>
                <w:tab w:val="left" w:pos="460"/>
              </w:tabs>
              <w:spacing w:before="60" w:after="0" w:line="276" w:lineRule="auto"/>
              <w:rPr>
                <w:rFonts w:cs="Arial"/>
                <w:sz w:val="16"/>
                <w:szCs w:val="16"/>
              </w:rPr>
            </w:pPr>
            <w:r w:rsidRPr="00414804">
              <w:rPr>
                <w:rFonts w:cs="Arial"/>
                <w:sz w:val="16"/>
                <w:szCs w:val="16"/>
              </w:rPr>
              <w:t>Πηγή:</w:t>
            </w:r>
            <w:r w:rsidRPr="00414804">
              <w:rPr>
                <w:rFonts w:cs="Arial"/>
                <w:sz w:val="16"/>
                <w:szCs w:val="16"/>
              </w:rPr>
              <w:tab/>
              <w:t>Υπουργείο Εθνικής Οικονομίας και Οικονομικών</w:t>
            </w:r>
            <w:r>
              <w:rPr>
                <w:rFonts w:cs="Arial"/>
                <w:sz w:val="16"/>
                <w:szCs w:val="16"/>
              </w:rPr>
              <w:t xml:space="preserve"> </w:t>
            </w:r>
            <w:r w:rsidRPr="00414804">
              <w:rPr>
                <w:rFonts w:cs="Arial"/>
                <w:sz w:val="16"/>
                <w:szCs w:val="16"/>
              </w:rPr>
              <w:t xml:space="preserve">- Μονάδα Αποκρατικοποιήσεων, Διαχείρισης Κινητών Αξιών </w:t>
            </w:r>
            <w:r>
              <w:rPr>
                <w:rFonts w:cs="Arial"/>
                <w:sz w:val="16"/>
                <w:szCs w:val="16"/>
              </w:rPr>
              <w:t xml:space="preserve">και </w:t>
            </w:r>
            <w:r w:rsidRPr="00414804">
              <w:rPr>
                <w:rFonts w:cs="Arial"/>
                <w:sz w:val="16"/>
                <w:szCs w:val="16"/>
              </w:rPr>
              <w:t xml:space="preserve">Επιχειρησιακού Σχεδιασμού </w:t>
            </w:r>
            <w:r>
              <w:rPr>
                <w:rFonts w:cs="Arial"/>
                <w:sz w:val="16"/>
                <w:szCs w:val="16"/>
              </w:rPr>
              <w:t>-</w:t>
            </w:r>
            <w:r w:rsidRPr="00414804">
              <w:rPr>
                <w:rFonts w:cs="Arial"/>
                <w:sz w:val="16"/>
                <w:szCs w:val="16"/>
              </w:rPr>
              <w:t xml:space="preserve"> Τμήμα Γ’ Διαχείρισης Κινητών Αξιών</w:t>
            </w:r>
          </w:p>
        </w:tc>
      </w:tr>
    </w:tbl>
    <w:p w14:paraId="5CC80E88" w14:textId="4131AE89" w:rsidR="00146C98" w:rsidRDefault="00146C98" w:rsidP="004852D4">
      <w:pPr>
        <w:spacing w:before="120"/>
      </w:pPr>
    </w:p>
    <w:tbl>
      <w:tblPr>
        <w:tblW w:w="10437" w:type="dxa"/>
        <w:jc w:val="cente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blBorders>
        <w:tblLook w:val="04A0" w:firstRow="1" w:lastRow="0" w:firstColumn="1" w:lastColumn="0" w:noHBand="0" w:noVBand="1"/>
      </w:tblPr>
      <w:tblGrid>
        <w:gridCol w:w="3544"/>
        <w:gridCol w:w="1462"/>
        <w:gridCol w:w="1559"/>
        <w:gridCol w:w="1134"/>
        <w:gridCol w:w="1364"/>
        <w:gridCol w:w="1374"/>
      </w:tblGrid>
      <w:tr w:rsidR="00606F8F" w:rsidRPr="002F06DF" w14:paraId="29CB4DE0" w14:textId="77777777" w:rsidTr="00C52316">
        <w:trPr>
          <w:cantSplit/>
          <w:trHeight w:val="114"/>
          <w:tblHeader/>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tcPr>
          <w:p w14:paraId="48D4E112" w14:textId="6204E202" w:rsidR="00606F8F" w:rsidRPr="002F06DF" w:rsidRDefault="00606F8F" w:rsidP="00606F8F">
            <w:pPr>
              <w:spacing w:after="0" w:line="240" w:lineRule="auto"/>
              <w:jc w:val="center"/>
              <w:rPr>
                <w:rFonts w:cs="Arial"/>
                <w:b/>
                <w:bCs/>
                <w:sz w:val="18"/>
                <w:szCs w:val="16"/>
              </w:rPr>
            </w:pPr>
            <w:bookmarkStart w:id="815" w:name="_Ref213842055"/>
            <w:bookmarkStart w:id="816" w:name="_Toc214474145"/>
            <w:r w:rsidRPr="002F06DF">
              <w:rPr>
                <w:rFonts w:cs="Arial"/>
                <w:b/>
                <w:sz w:val="18"/>
                <w:szCs w:val="16"/>
              </w:rPr>
              <w:t>Πίνακας 5.</w:t>
            </w:r>
            <w:r w:rsidRPr="002F06DF">
              <w:rPr>
                <w:rFonts w:cs="Arial"/>
                <w:b/>
                <w:sz w:val="18"/>
                <w:szCs w:val="16"/>
              </w:rPr>
              <w:fldChar w:fldCharType="begin"/>
            </w:r>
            <w:r w:rsidRPr="002F06DF">
              <w:rPr>
                <w:rFonts w:cs="Arial"/>
                <w:b/>
                <w:sz w:val="18"/>
                <w:szCs w:val="16"/>
              </w:rPr>
              <w:instrText xml:space="preserve"> SEQ Πίνακας_5. \* ARABIC </w:instrText>
            </w:r>
            <w:r w:rsidRPr="002F06DF">
              <w:rPr>
                <w:rFonts w:cs="Arial"/>
                <w:b/>
                <w:sz w:val="18"/>
                <w:szCs w:val="16"/>
              </w:rPr>
              <w:fldChar w:fldCharType="separate"/>
            </w:r>
            <w:r w:rsidR="00E15678">
              <w:rPr>
                <w:rFonts w:cs="Arial"/>
                <w:b/>
                <w:noProof/>
                <w:sz w:val="18"/>
                <w:szCs w:val="16"/>
              </w:rPr>
              <w:t>11</w:t>
            </w:r>
            <w:r w:rsidRPr="002F06DF">
              <w:rPr>
                <w:rFonts w:cs="Arial"/>
                <w:b/>
                <w:sz w:val="18"/>
                <w:szCs w:val="16"/>
              </w:rPr>
              <w:fldChar w:fldCharType="end"/>
            </w:r>
            <w:bookmarkEnd w:id="815"/>
            <w:r w:rsidRPr="002F06DF">
              <w:rPr>
                <w:rFonts w:cs="Arial"/>
                <w:b/>
                <w:sz w:val="18"/>
                <w:szCs w:val="16"/>
              </w:rPr>
              <w:t xml:space="preserve">.: </w:t>
            </w:r>
            <w:r w:rsidRPr="002F06DF">
              <w:rPr>
                <w:rFonts w:cs="Arial"/>
                <w:b/>
                <w:bCs/>
                <w:sz w:val="18"/>
                <w:szCs w:val="16"/>
              </w:rPr>
              <w:t xml:space="preserve">Μετοχολόγιο Ελληνικού Δημοσίου - </w:t>
            </w:r>
            <w:r w:rsidR="00E11F26">
              <w:rPr>
                <w:rFonts w:cs="Arial"/>
                <w:b/>
                <w:bCs/>
                <w:sz w:val="18"/>
                <w:szCs w:val="16"/>
              </w:rPr>
              <w:t>Μ</w:t>
            </w:r>
            <w:r w:rsidRPr="002F06DF">
              <w:rPr>
                <w:rFonts w:cs="Arial"/>
                <w:b/>
                <w:bCs/>
                <w:sz w:val="18"/>
                <w:szCs w:val="16"/>
              </w:rPr>
              <w:t>η εισηγμένες στο ΧΑ</w:t>
            </w:r>
            <w:bookmarkEnd w:id="816"/>
          </w:p>
        </w:tc>
      </w:tr>
      <w:tr w:rsidR="00DE23FF" w:rsidRPr="002F06DF" w14:paraId="62C17E9A" w14:textId="77777777" w:rsidTr="0099413B">
        <w:trPr>
          <w:cantSplit/>
          <w:trHeight w:val="416"/>
          <w:tblHeader/>
          <w:jc w:val="center"/>
        </w:trPr>
        <w:tc>
          <w:tcPr>
            <w:tcW w:w="3544" w:type="dxa"/>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0DA7A148" w14:textId="0565579E" w:rsidR="00EA61D7" w:rsidRPr="002F06DF" w:rsidRDefault="00606F8F" w:rsidP="00606F8F">
            <w:pPr>
              <w:spacing w:after="0" w:line="240" w:lineRule="auto"/>
              <w:jc w:val="center"/>
              <w:rPr>
                <w:rFonts w:cs="Arial"/>
                <w:b/>
                <w:bCs/>
                <w:sz w:val="16"/>
                <w:szCs w:val="16"/>
                <w:u w:val="single"/>
              </w:rPr>
            </w:pPr>
            <w:r w:rsidRPr="002F06DF">
              <w:rPr>
                <w:rFonts w:cs="Arial"/>
                <w:b/>
                <w:bCs/>
                <w:sz w:val="16"/>
                <w:szCs w:val="16"/>
              </w:rPr>
              <w:t>Εταιρεία</w:t>
            </w:r>
          </w:p>
        </w:tc>
        <w:tc>
          <w:tcPr>
            <w:tcW w:w="1462"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14688747" w14:textId="77777777" w:rsidR="002F06DF" w:rsidRDefault="00606F8F" w:rsidP="00606F8F">
            <w:pPr>
              <w:spacing w:after="0" w:line="240" w:lineRule="auto"/>
              <w:jc w:val="center"/>
              <w:rPr>
                <w:rFonts w:cs="Arial"/>
                <w:b/>
                <w:bCs/>
                <w:sz w:val="16"/>
                <w:szCs w:val="16"/>
              </w:rPr>
            </w:pPr>
            <w:r w:rsidRPr="002F06DF">
              <w:rPr>
                <w:rFonts w:cs="Arial"/>
                <w:b/>
                <w:bCs/>
                <w:sz w:val="16"/>
                <w:szCs w:val="16"/>
              </w:rPr>
              <w:t>Συνολικό ΜΚ</w:t>
            </w:r>
          </w:p>
          <w:p w14:paraId="72E2ECD8" w14:textId="3EC7DCA5" w:rsidR="00EA61D7" w:rsidRPr="002F06DF" w:rsidRDefault="00606F8F" w:rsidP="00606F8F">
            <w:pPr>
              <w:spacing w:after="0" w:line="240" w:lineRule="auto"/>
              <w:jc w:val="center"/>
              <w:rPr>
                <w:rFonts w:cs="Arial"/>
                <w:b/>
                <w:bCs/>
                <w:sz w:val="16"/>
                <w:szCs w:val="16"/>
              </w:rPr>
            </w:pPr>
            <w:r w:rsidRPr="002F06DF">
              <w:rPr>
                <w:rFonts w:cs="Arial"/>
                <w:b/>
                <w:bCs/>
                <w:sz w:val="16"/>
                <w:szCs w:val="16"/>
              </w:rPr>
              <w:t>(σε ευρώ)</w:t>
            </w:r>
          </w:p>
        </w:tc>
        <w:tc>
          <w:tcPr>
            <w:tcW w:w="1559"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5BB34EC8" w14:textId="77777777" w:rsidR="002F06DF" w:rsidRDefault="00606F8F" w:rsidP="00606F8F">
            <w:pPr>
              <w:spacing w:after="0" w:line="240" w:lineRule="auto"/>
              <w:jc w:val="center"/>
              <w:rPr>
                <w:rFonts w:cs="Arial"/>
                <w:b/>
                <w:bCs/>
                <w:sz w:val="16"/>
                <w:szCs w:val="16"/>
              </w:rPr>
            </w:pPr>
            <w:r w:rsidRPr="002F06DF">
              <w:rPr>
                <w:rFonts w:cs="Arial"/>
                <w:b/>
                <w:bCs/>
                <w:sz w:val="16"/>
                <w:szCs w:val="16"/>
              </w:rPr>
              <w:t>ΜΚ κυριότητας του Ελληνικού Δημοσίου</w:t>
            </w:r>
          </w:p>
          <w:p w14:paraId="06A50253" w14:textId="53F0E5F8" w:rsidR="00EA61D7" w:rsidRPr="002F06DF" w:rsidRDefault="00606F8F" w:rsidP="00606F8F">
            <w:pPr>
              <w:spacing w:after="0" w:line="240" w:lineRule="auto"/>
              <w:jc w:val="center"/>
              <w:rPr>
                <w:rFonts w:cs="Arial"/>
                <w:b/>
                <w:bCs/>
                <w:sz w:val="16"/>
                <w:szCs w:val="16"/>
              </w:rPr>
            </w:pPr>
            <w:r w:rsidRPr="002F06DF">
              <w:rPr>
                <w:rFonts w:cs="Arial"/>
                <w:b/>
                <w:bCs/>
                <w:sz w:val="16"/>
                <w:szCs w:val="16"/>
              </w:rPr>
              <w:t>(σε ευρώ)</w:t>
            </w:r>
          </w:p>
        </w:tc>
        <w:tc>
          <w:tcPr>
            <w:tcW w:w="1134"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0356D457" w14:textId="783BAFF4" w:rsidR="00EA61D7" w:rsidRPr="002F06DF" w:rsidRDefault="00606F8F" w:rsidP="00606F8F">
            <w:pPr>
              <w:spacing w:after="0" w:line="240" w:lineRule="auto"/>
              <w:jc w:val="center"/>
              <w:rPr>
                <w:rFonts w:cs="Arial"/>
                <w:b/>
                <w:bCs/>
                <w:sz w:val="16"/>
                <w:szCs w:val="16"/>
              </w:rPr>
            </w:pPr>
            <w:r w:rsidRPr="002F06DF">
              <w:rPr>
                <w:rFonts w:cs="Arial"/>
                <w:b/>
                <w:bCs/>
                <w:sz w:val="16"/>
                <w:szCs w:val="16"/>
              </w:rPr>
              <w:t>% Ελληνικού Δημοσίου επί του ΜΚ</w:t>
            </w:r>
          </w:p>
        </w:tc>
        <w:tc>
          <w:tcPr>
            <w:tcW w:w="1364"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351CCB33" w14:textId="0E7758E0" w:rsidR="00EA61D7" w:rsidRPr="002F06DF" w:rsidRDefault="00606F8F" w:rsidP="00606F8F">
            <w:pPr>
              <w:spacing w:after="0" w:line="240" w:lineRule="auto"/>
              <w:jc w:val="center"/>
              <w:rPr>
                <w:rFonts w:cs="Arial"/>
                <w:b/>
                <w:bCs/>
                <w:sz w:val="16"/>
                <w:szCs w:val="16"/>
              </w:rPr>
            </w:pPr>
            <w:r w:rsidRPr="002F06DF">
              <w:rPr>
                <w:rFonts w:cs="Arial"/>
                <w:b/>
                <w:bCs/>
                <w:sz w:val="16"/>
                <w:szCs w:val="16"/>
              </w:rPr>
              <w:t>Αρ</w:t>
            </w:r>
            <w:r w:rsidR="002F06DF">
              <w:rPr>
                <w:rFonts w:cs="Arial"/>
                <w:b/>
                <w:bCs/>
                <w:sz w:val="16"/>
                <w:szCs w:val="16"/>
              </w:rPr>
              <w:t>ιθμός</w:t>
            </w:r>
            <w:r w:rsidRPr="002F06DF">
              <w:rPr>
                <w:rFonts w:cs="Arial"/>
                <w:b/>
                <w:bCs/>
                <w:sz w:val="16"/>
                <w:szCs w:val="16"/>
              </w:rPr>
              <w:t xml:space="preserve"> ΜΤΧ Δημοσίου</w:t>
            </w:r>
          </w:p>
        </w:tc>
        <w:tc>
          <w:tcPr>
            <w:tcW w:w="1374" w:type="dxa"/>
            <w:tcBorders>
              <w:top w:val="single" w:sz="2" w:space="0" w:color="A6A6A6" w:themeColor="background1" w:themeShade="A6"/>
              <w:bottom w:val="single" w:sz="2" w:space="0" w:color="A6A6A6" w:themeColor="background1" w:themeShade="A6"/>
            </w:tcBorders>
            <w:shd w:val="clear" w:color="auto" w:fill="F2F2F2" w:themeFill="background1" w:themeFillShade="F2"/>
            <w:vAlign w:val="center"/>
            <w:hideMark/>
          </w:tcPr>
          <w:p w14:paraId="2CAC22D8" w14:textId="25E933E7" w:rsidR="00EA61D7" w:rsidRPr="002F06DF" w:rsidRDefault="00606F8F" w:rsidP="00606F8F">
            <w:pPr>
              <w:spacing w:after="0" w:line="240" w:lineRule="auto"/>
              <w:jc w:val="center"/>
              <w:rPr>
                <w:rFonts w:cs="Arial"/>
                <w:b/>
                <w:bCs/>
                <w:sz w:val="16"/>
                <w:szCs w:val="16"/>
              </w:rPr>
            </w:pPr>
            <w:r w:rsidRPr="002F06DF">
              <w:rPr>
                <w:rFonts w:cs="Arial"/>
                <w:b/>
                <w:bCs/>
                <w:sz w:val="16"/>
                <w:szCs w:val="16"/>
              </w:rPr>
              <w:t>Ονομαστική Αξία ΜΤΧ</w:t>
            </w:r>
          </w:p>
        </w:tc>
      </w:tr>
      <w:tr w:rsidR="00CB4D3E" w:rsidRPr="002F06DF" w14:paraId="16E27B99" w14:textId="77777777" w:rsidTr="00C52316">
        <w:trPr>
          <w:cantSplit/>
          <w:trHeight w:val="283"/>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hideMark/>
          </w:tcPr>
          <w:p w14:paraId="535249B5" w14:textId="68B66CCC" w:rsidR="00CB4D3E" w:rsidRPr="00850542" w:rsidRDefault="00CB4D3E" w:rsidP="00CB4D3E">
            <w:pPr>
              <w:spacing w:after="0" w:line="240" w:lineRule="auto"/>
              <w:rPr>
                <w:rFonts w:cs="Arial"/>
                <w:sz w:val="16"/>
                <w:szCs w:val="16"/>
              </w:rPr>
            </w:pPr>
            <w:r w:rsidRPr="00850542">
              <w:rPr>
                <w:rFonts w:cs="Arial"/>
                <w:b/>
                <w:bCs/>
                <w:sz w:val="16"/>
                <w:szCs w:val="16"/>
              </w:rPr>
              <w:t>ΕΕΣΥΠ (ν.4512/2018, Α’ 5)</w:t>
            </w:r>
          </w:p>
        </w:tc>
      </w:tr>
      <w:tr w:rsidR="00DE23FF" w:rsidRPr="002F06DF" w14:paraId="092272F4" w14:textId="77777777" w:rsidTr="00D671B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09AC6411" w14:textId="7DB79337" w:rsidR="00EA61D7" w:rsidRPr="002F06DF" w:rsidRDefault="00CB4D3E" w:rsidP="00EA61D7">
            <w:pPr>
              <w:spacing w:after="0" w:line="240" w:lineRule="auto"/>
              <w:jc w:val="left"/>
              <w:rPr>
                <w:rFonts w:cs="Arial"/>
                <w:sz w:val="16"/>
                <w:szCs w:val="16"/>
                <w:u w:val="single"/>
              </w:rPr>
            </w:pPr>
            <w:r w:rsidRPr="002F06DF">
              <w:rPr>
                <w:rFonts w:cs="Arial"/>
                <w:sz w:val="16"/>
                <w:szCs w:val="16"/>
              </w:rPr>
              <w:t>Ελληνική Εταιρεία Συμμετοχών και Περιουσίας (ΕΕΣΥΠ)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35879E98" w14:textId="77777777" w:rsidR="00EA61D7" w:rsidRPr="00F33D7D" w:rsidRDefault="00EA61D7" w:rsidP="00F33D7D">
            <w:pPr>
              <w:spacing w:after="0" w:line="240" w:lineRule="auto"/>
              <w:jc w:val="right"/>
              <w:rPr>
                <w:rFonts w:cs="Arial"/>
                <w:sz w:val="16"/>
                <w:szCs w:val="16"/>
              </w:rPr>
            </w:pPr>
            <w:r w:rsidRPr="00F33D7D">
              <w:rPr>
                <w:rFonts w:cs="Arial"/>
                <w:sz w:val="16"/>
                <w:szCs w:val="16"/>
              </w:rPr>
              <w:t>245.703.000,00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2EDBEC76" w14:textId="2031E893" w:rsidR="00EA61D7" w:rsidRPr="00EA0EFF" w:rsidRDefault="00F40227" w:rsidP="00F33D7D">
            <w:pPr>
              <w:spacing w:after="0" w:line="240" w:lineRule="auto"/>
              <w:ind w:left="-176" w:right="-59"/>
              <w:jc w:val="right"/>
              <w:rPr>
                <w:rFonts w:cs="Arial"/>
                <w:sz w:val="16"/>
                <w:szCs w:val="16"/>
                <w:lang w:val="en-US"/>
              </w:rPr>
            </w:pPr>
            <w:r w:rsidRPr="00F33D7D">
              <w:rPr>
                <w:rFonts w:cs="Arial"/>
                <w:sz w:val="16"/>
                <w:szCs w:val="16"/>
              </w:rPr>
              <w:t>245.703.000</w:t>
            </w:r>
            <w:r w:rsidR="00EA0EFF">
              <w:rPr>
                <w:rFonts w:cs="Arial"/>
                <w:sz w:val="16"/>
                <w:szCs w:val="16"/>
                <w:lang w:val="en-US"/>
              </w:rPr>
              <w:t>,00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460B2A08" w14:textId="2A685871"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35585377" w14:textId="3283305A" w:rsidR="00EA61D7" w:rsidRPr="00574952" w:rsidRDefault="00EA61D7" w:rsidP="00D671B6">
            <w:pPr>
              <w:spacing w:after="0" w:line="240" w:lineRule="auto"/>
              <w:ind w:left="-159" w:firstLine="4"/>
              <w:rPr>
                <w:rFonts w:cs="Arial"/>
                <w:sz w:val="16"/>
                <w:szCs w:val="16"/>
              </w:rPr>
            </w:pPr>
            <w:r w:rsidRPr="00574952">
              <w:rPr>
                <w:rFonts w:cs="Arial"/>
                <w:sz w:val="16"/>
                <w:szCs w:val="16"/>
              </w:rPr>
              <w:t>140.000</w:t>
            </w:r>
            <w:r w:rsidR="00F40227" w:rsidRPr="00574952">
              <w:rPr>
                <w:rFonts w:cs="Arial"/>
                <w:sz w:val="16"/>
                <w:szCs w:val="16"/>
              </w:rPr>
              <w:t xml:space="preserve"> </w:t>
            </w:r>
            <w:r w:rsidRPr="00574952">
              <w:rPr>
                <w:rFonts w:cs="Arial"/>
                <w:sz w:val="16"/>
                <w:szCs w:val="16"/>
              </w:rPr>
              <w:t>(1.000</w:t>
            </w:r>
            <w:r w:rsidR="000A4110" w:rsidRPr="00574952">
              <w:rPr>
                <w:rFonts w:cs="Arial"/>
                <w:sz w:val="16"/>
                <w:szCs w:val="16"/>
              </w:rPr>
              <w:t>€</w:t>
            </w:r>
            <w:r w:rsidRPr="00574952">
              <w:rPr>
                <w:rFonts w:cs="Arial"/>
                <w:sz w:val="16"/>
                <w:szCs w:val="16"/>
              </w:rPr>
              <w:t>) +1.057.030</w:t>
            </w:r>
            <w:r w:rsidR="00F40227" w:rsidRPr="00574952">
              <w:rPr>
                <w:rFonts w:cs="Arial"/>
                <w:sz w:val="16"/>
                <w:szCs w:val="16"/>
              </w:rPr>
              <w:t xml:space="preserve"> </w:t>
            </w:r>
            <w:r w:rsidRPr="00574952">
              <w:rPr>
                <w:rFonts w:cs="Arial"/>
                <w:sz w:val="16"/>
                <w:szCs w:val="16"/>
              </w:rPr>
              <w:t>(100</w:t>
            </w:r>
            <w:r w:rsidR="000A4110" w:rsidRPr="00574952">
              <w:rPr>
                <w:rFonts w:cs="Arial"/>
                <w:sz w:val="16"/>
                <w:szCs w:val="16"/>
              </w:rPr>
              <w:t>€</w:t>
            </w:r>
            <w:r w:rsidRPr="00574952">
              <w:rPr>
                <w:rFonts w:cs="Arial"/>
                <w:sz w:val="16"/>
                <w:szCs w:val="16"/>
              </w:rPr>
              <w:t>)</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1886DEEA" w14:textId="083CBF72" w:rsidR="00EA61D7" w:rsidRPr="00574952" w:rsidRDefault="00EA61D7" w:rsidP="00F33D7D">
            <w:pPr>
              <w:spacing w:after="0" w:line="240" w:lineRule="auto"/>
              <w:jc w:val="right"/>
              <w:rPr>
                <w:rFonts w:cs="Arial"/>
                <w:sz w:val="16"/>
                <w:szCs w:val="16"/>
              </w:rPr>
            </w:pPr>
            <w:r w:rsidRPr="00574952">
              <w:rPr>
                <w:rFonts w:cs="Arial"/>
                <w:sz w:val="16"/>
                <w:szCs w:val="16"/>
              </w:rPr>
              <w:t>1.000</w:t>
            </w:r>
            <w:r w:rsidR="00127911" w:rsidRPr="00574952">
              <w:rPr>
                <w:rFonts w:cs="Arial"/>
                <w:sz w:val="16"/>
                <w:szCs w:val="16"/>
              </w:rPr>
              <w:t xml:space="preserve"> </w:t>
            </w:r>
            <w:r w:rsidRPr="00574952">
              <w:rPr>
                <w:rFonts w:cs="Arial"/>
                <w:sz w:val="16"/>
                <w:szCs w:val="16"/>
              </w:rPr>
              <w:t>+</w:t>
            </w:r>
            <w:r w:rsidR="00F40227" w:rsidRPr="00574952">
              <w:rPr>
                <w:rFonts w:cs="Arial"/>
                <w:sz w:val="16"/>
                <w:szCs w:val="16"/>
              </w:rPr>
              <w:t xml:space="preserve"> </w:t>
            </w:r>
            <w:r w:rsidRPr="00574952">
              <w:rPr>
                <w:rFonts w:cs="Arial"/>
                <w:sz w:val="16"/>
                <w:szCs w:val="16"/>
              </w:rPr>
              <w:t>100</w:t>
            </w:r>
          </w:p>
        </w:tc>
      </w:tr>
      <w:tr w:rsidR="008A13FA" w:rsidRPr="002F06DF" w14:paraId="767559E2" w14:textId="77777777" w:rsidTr="00C52316">
        <w:trPr>
          <w:cantSplit/>
          <w:trHeight w:val="283"/>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hideMark/>
          </w:tcPr>
          <w:p w14:paraId="2CA9502B" w14:textId="74E8CFC0" w:rsidR="008A13FA" w:rsidRPr="00F33D7D" w:rsidRDefault="008A13FA" w:rsidP="00DF6444">
            <w:pPr>
              <w:spacing w:after="0" w:line="240" w:lineRule="auto"/>
              <w:rPr>
                <w:rFonts w:cs="Arial"/>
                <w:sz w:val="16"/>
                <w:szCs w:val="16"/>
              </w:rPr>
            </w:pPr>
            <w:r w:rsidRPr="00F33D7D">
              <w:rPr>
                <w:rFonts w:cs="Arial"/>
                <w:b/>
                <w:bCs/>
                <w:sz w:val="16"/>
                <w:szCs w:val="16"/>
              </w:rPr>
              <w:t>Αμυντικές Βιομηχανίες</w:t>
            </w:r>
          </w:p>
        </w:tc>
      </w:tr>
      <w:tr w:rsidR="00DE23FF" w:rsidRPr="002F06DF" w14:paraId="782D957F"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0F063242" w14:textId="2F64CC2C" w:rsidR="00EA61D7" w:rsidRPr="002F06DF" w:rsidRDefault="00CB4D3E" w:rsidP="00EA61D7">
            <w:pPr>
              <w:spacing w:after="0" w:line="240" w:lineRule="auto"/>
              <w:jc w:val="left"/>
              <w:rPr>
                <w:rFonts w:cs="Arial"/>
                <w:sz w:val="16"/>
                <w:szCs w:val="16"/>
              </w:rPr>
            </w:pPr>
            <w:r w:rsidRPr="002F06DF">
              <w:rPr>
                <w:rFonts w:cs="Arial"/>
                <w:sz w:val="16"/>
                <w:szCs w:val="16"/>
              </w:rPr>
              <w:t>Ελληνική Αεροπορική Βιομηχανία (ΕΑΒ)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BC2CAE4" w14:textId="7EBEB6F3" w:rsidR="00EA61D7" w:rsidRPr="00F33D7D" w:rsidRDefault="00CB4D3E" w:rsidP="00F33D7D">
            <w:pPr>
              <w:spacing w:after="0" w:line="240" w:lineRule="auto"/>
              <w:jc w:val="right"/>
              <w:rPr>
                <w:rFonts w:cs="Arial"/>
                <w:sz w:val="16"/>
                <w:szCs w:val="16"/>
              </w:rPr>
            </w:pPr>
            <w:r w:rsidRPr="00F33D7D">
              <w:rPr>
                <w:rFonts w:cs="Arial"/>
                <w:sz w:val="16"/>
                <w:szCs w:val="16"/>
              </w:rPr>
              <w:t>344.763.548,00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7AEE8084" w14:textId="31C727CC" w:rsidR="00EA61D7" w:rsidRPr="00F33D7D" w:rsidRDefault="00F40227" w:rsidP="00F33D7D">
            <w:pPr>
              <w:spacing w:after="0" w:line="240" w:lineRule="auto"/>
              <w:jc w:val="right"/>
              <w:rPr>
                <w:rFonts w:cs="Arial"/>
                <w:sz w:val="16"/>
                <w:szCs w:val="16"/>
              </w:rPr>
            </w:pPr>
            <w:r w:rsidRPr="00F33D7D">
              <w:rPr>
                <w:rFonts w:cs="Arial"/>
                <w:sz w:val="16"/>
                <w:szCs w:val="16"/>
              </w:rPr>
              <w:t>344.282.908,00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2AC5332D" w14:textId="0D7E07B7" w:rsidR="00EA61D7" w:rsidRPr="00F33D7D" w:rsidRDefault="00EA61D7" w:rsidP="00F33D7D">
            <w:pPr>
              <w:spacing w:after="0" w:line="240" w:lineRule="auto"/>
              <w:jc w:val="right"/>
              <w:rPr>
                <w:rFonts w:cs="Arial"/>
                <w:sz w:val="16"/>
                <w:szCs w:val="16"/>
              </w:rPr>
            </w:pPr>
            <w:r w:rsidRPr="00F33D7D">
              <w:rPr>
                <w:rFonts w:cs="Arial"/>
                <w:sz w:val="16"/>
                <w:szCs w:val="16"/>
              </w:rPr>
              <w:t>99,86</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6A491C7D" w14:textId="77777777" w:rsidR="00EA61D7" w:rsidRPr="00F33D7D" w:rsidRDefault="00EA61D7" w:rsidP="00F33D7D">
            <w:pPr>
              <w:spacing w:after="0" w:line="240" w:lineRule="auto"/>
              <w:jc w:val="right"/>
              <w:rPr>
                <w:rFonts w:cs="Arial"/>
                <w:sz w:val="16"/>
                <w:szCs w:val="16"/>
              </w:rPr>
            </w:pPr>
            <w:r w:rsidRPr="00F33D7D">
              <w:rPr>
                <w:rFonts w:cs="Arial"/>
                <w:sz w:val="16"/>
                <w:szCs w:val="16"/>
              </w:rPr>
              <w:t>86.070.727</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11D6CAC5" w14:textId="4690E825" w:rsidR="00EA61D7" w:rsidRPr="00F33D7D" w:rsidRDefault="00EA61D7" w:rsidP="00F33D7D">
            <w:pPr>
              <w:spacing w:after="0" w:line="240" w:lineRule="auto"/>
              <w:jc w:val="right"/>
              <w:rPr>
                <w:rFonts w:cs="Arial"/>
                <w:sz w:val="16"/>
                <w:szCs w:val="16"/>
              </w:rPr>
            </w:pPr>
            <w:r w:rsidRPr="00F33D7D">
              <w:rPr>
                <w:rFonts w:cs="Arial"/>
                <w:sz w:val="16"/>
                <w:szCs w:val="16"/>
              </w:rPr>
              <w:t>4,00</w:t>
            </w:r>
          </w:p>
        </w:tc>
      </w:tr>
      <w:tr w:rsidR="00DE23FF" w:rsidRPr="002F06DF" w14:paraId="5E7E4DFF"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07CD103E" w14:textId="2AAD0C7C" w:rsidR="00CB4D3E" w:rsidRPr="002F06DF" w:rsidRDefault="00CB4D3E" w:rsidP="00CB4D3E">
            <w:pPr>
              <w:spacing w:after="0" w:line="240" w:lineRule="auto"/>
              <w:jc w:val="left"/>
              <w:rPr>
                <w:rFonts w:cs="Arial"/>
                <w:sz w:val="16"/>
                <w:szCs w:val="16"/>
              </w:rPr>
            </w:pPr>
            <w:r w:rsidRPr="002F06DF">
              <w:rPr>
                <w:rFonts w:cs="Arial"/>
                <w:sz w:val="16"/>
                <w:szCs w:val="16"/>
              </w:rPr>
              <w:t>Ελληνικά Αμυντικά Συστήματα (ΕΑΣ) ΑΒΕΕ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60F4CB9A" w14:textId="7D61C6AE" w:rsidR="00CB4D3E" w:rsidRPr="00F33D7D" w:rsidRDefault="00CB4D3E" w:rsidP="00F33D7D">
            <w:pPr>
              <w:spacing w:after="0" w:line="240" w:lineRule="auto"/>
              <w:jc w:val="right"/>
              <w:rPr>
                <w:rFonts w:cs="Arial"/>
                <w:sz w:val="16"/>
                <w:szCs w:val="16"/>
              </w:rPr>
            </w:pPr>
            <w:r w:rsidRPr="00F33D7D">
              <w:rPr>
                <w:rFonts w:cs="Arial"/>
                <w:sz w:val="16"/>
                <w:szCs w:val="16"/>
              </w:rPr>
              <w:t>1.864.138.168,00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2A33ABD0" w14:textId="1CC31755" w:rsidR="00CB4D3E" w:rsidRPr="00F33D7D" w:rsidRDefault="00CB4D3E" w:rsidP="00F33D7D">
            <w:pPr>
              <w:spacing w:after="0" w:line="240" w:lineRule="auto"/>
              <w:jc w:val="right"/>
              <w:rPr>
                <w:rFonts w:cs="Arial"/>
                <w:sz w:val="16"/>
                <w:szCs w:val="16"/>
              </w:rPr>
            </w:pPr>
            <w:r w:rsidRPr="00F33D7D">
              <w:rPr>
                <w:rFonts w:cs="Arial"/>
                <w:sz w:val="16"/>
                <w:szCs w:val="16"/>
              </w:rPr>
              <w:t>1.863.213.128,28</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1B530E60" w14:textId="08C9FD3A" w:rsidR="00CB4D3E" w:rsidRPr="00F33D7D" w:rsidRDefault="00CB4D3E" w:rsidP="00F33D7D">
            <w:pPr>
              <w:spacing w:after="0" w:line="240" w:lineRule="auto"/>
              <w:jc w:val="right"/>
              <w:rPr>
                <w:rFonts w:cs="Arial"/>
                <w:sz w:val="16"/>
                <w:szCs w:val="16"/>
              </w:rPr>
            </w:pPr>
            <w:r w:rsidRPr="00F33D7D">
              <w:rPr>
                <w:rFonts w:cs="Arial"/>
                <w:sz w:val="16"/>
                <w:szCs w:val="16"/>
              </w:rPr>
              <w:t>99,95</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5C5B3B1C" w14:textId="77777777" w:rsidR="00CB4D3E" w:rsidRPr="00F33D7D" w:rsidRDefault="00CB4D3E" w:rsidP="00F33D7D">
            <w:pPr>
              <w:spacing w:after="0" w:line="240" w:lineRule="auto"/>
              <w:jc w:val="right"/>
              <w:rPr>
                <w:rFonts w:cs="Arial"/>
                <w:sz w:val="16"/>
                <w:szCs w:val="16"/>
              </w:rPr>
            </w:pPr>
            <w:r w:rsidRPr="00F33D7D">
              <w:rPr>
                <w:rFonts w:cs="Arial"/>
                <w:sz w:val="16"/>
                <w:szCs w:val="16"/>
              </w:rPr>
              <w:t>1.115.696.484</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32F790E4" w14:textId="28146658" w:rsidR="00CB4D3E" w:rsidRPr="00F33D7D" w:rsidRDefault="00CB4D3E" w:rsidP="00F33D7D">
            <w:pPr>
              <w:spacing w:after="0" w:line="240" w:lineRule="auto"/>
              <w:jc w:val="right"/>
              <w:rPr>
                <w:rFonts w:cs="Arial"/>
                <w:sz w:val="16"/>
                <w:szCs w:val="16"/>
              </w:rPr>
            </w:pPr>
            <w:r w:rsidRPr="00F33D7D">
              <w:rPr>
                <w:rFonts w:cs="Arial"/>
                <w:sz w:val="16"/>
                <w:szCs w:val="16"/>
              </w:rPr>
              <w:t>1,67</w:t>
            </w:r>
          </w:p>
        </w:tc>
      </w:tr>
      <w:tr w:rsidR="008A13FA" w:rsidRPr="002F06DF" w14:paraId="37C2BC81" w14:textId="77777777" w:rsidTr="00C52316">
        <w:trPr>
          <w:cantSplit/>
          <w:trHeight w:val="283"/>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hideMark/>
          </w:tcPr>
          <w:p w14:paraId="71A0900A" w14:textId="0DF6626F" w:rsidR="008A13FA" w:rsidRPr="00F33D7D" w:rsidRDefault="008A13FA" w:rsidP="00DF6444">
            <w:pPr>
              <w:spacing w:after="0" w:line="240" w:lineRule="auto"/>
              <w:rPr>
                <w:rFonts w:cs="Arial"/>
                <w:sz w:val="16"/>
                <w:szCs w:val="16"/>
              </w:rPr>
            </w:pPr>
            <w:r w:rsidRPr="00F33D7D">
              <w:rPr>
                <w:rFonts w:cs="Arial"/>
                <w:b/>
                <w:bCs/>
                <w:sz w:val="16"/>
                <w:szCs w:val="16"/>
              </w:rPr>
              <w:t>Συγκοινωνίες</w:t>
            </w:r>
          </w:p>
        </w:tc>
      </w:tr>
      <w:tr w:rsidR="00DE23FF" w:rsidRPr="002F06DF" w14:paraId="1156BDF5" w14:textId="77777777" w:rsidTr="00C52316">
        <w:trPr>
          <w:cantSplit/>
          <w:trHeight w:val="217"/>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44C677DB" w14:textId="4207DBD4" w:rsidR="000135A4" w:rsidRPr="005D4F60" w:rsidRDefault="000135A4" w:rsidP="00892E7E">
            <w:pPr>
              <w:spacing w:after="0" w:line="276" w:lineRule="auto"/>
              <w:jc w:val="left"/>
              <w:rPr>
                <w:rFonts w:cs="Arial"/>
                <w:strike/>
                <w:color w:val="000000"/>
                <w:sz w:val="16"/>
                <w:szCs w:val="16"/>
              </w:rPr>
            </w:pPr>
            <w:r w:rsidRPr="002F06DF">
              <w:rPr>
                <w:rFonts w:cs="Arial"/>
                <w:color w:val="000000"/>
                <w:sz w:val="16"/>
                <w:szCs w:val="16"/>
              </w:rPr>
              <w:t>Ελληνικό Μετρό ΜΑΕ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0CF0E1FB" w14:textId="790F72DA" w:rsidR="000135A4" w:rsidRPr="00F33D7D" w:rsidRDefault="000135A4" w:rsidP="00F33D7D">
            <w:pPr>
              <w:spacing w:after="0" w:line="240" w:lineRule="auto"/>
              <w:jc w:val="right"/>
              <w:rPr>
                <w:rFonts w:cs="Arial"/>
                <w:sz w:val="16"/>
                <w:szCs w:val="16"/>
              </w:rPr>
            </w:pPr>
            <w:r w:rsidRPr="00F33D7D">
              <w:rPr>
                <w:rFonts w:cs="Arial"/>
                <w:sz w:val="16"/>
                <w:szCs w:val="16"/>
              </w:rPr>
              <w:t>7.367.623.930,15</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101A105C" w14:textId="42A50FB8" w:rsidR="000135A4" w:rsidRPr="00F33D7D" w:rsidRDefault="000135A4" w:rsidP="00F33D7D">
            <w:pPr>
              <w:spacing w:after="0" w:line="240" w:lineRule="auto"/>
              <w:jc w:val="right"/>
              <w:rPr>
                <w:rFonts w:cs="Arial"/>
                <w:sz w:val="16"/>
                <w:szCs w:val="16"/>
              </w:rPr>
            </w:pPr>
            <w:r w:rsidRPr="00F33D7D">
              <w:rPr>
                <w:rFonts w:cs="Arial"/>
                <w:sz w:val="16"/>
                <w:szCs w:val="16"/>
              </w:rPr>
              <w:t>7.367.623.930,15</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52F25969" w14:textId="48044634" w:rsidR="000135A4" w:rsidRPr="00F33D7D" w:rsidRDefault="000135A4"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365CEFA1" w14:textId="77777777" w:rsidR="000135A4" w:rsidRPr="00F33D7D" w:rsidRDefault="000135A4" w:rsidP="00F33D7D">
            <w:pPr>
              <w:spacing w:after="0" w:line="240" w:lineRule="auto"/>
              <w:jc w:val="right"/>
              <w:rPr>
                <w:rFonts w:cs="Arial"/>
                <w:sz w:val="16"/>
                <w:szCs w:val="16"/>
              </w:rPr>
            </w:pPr>
            <w:r w:rsidRPr="00F33D7D">
              <w:rPr>
                <w:rFonts w:cs="Arial"/>
                <w:sz w:val="16"/>
                <w:szCs w:val="16"/>
              </w:rPr>
              <w:t>251.026.369</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2661CF34" w14:textId="7209F4B7" w:rsidR="000135A4" w:rsidRPr="00F33D7D" w:rsidRDefault="000135A4" w:rsidP="00F33D7D">
            <w:pPr>
              <w:spacing w:after="0" w:line="240" w:lineRule="auto"/>
              <w:jc w:val="right"/>
              <w:rPr>
                <w:rFonts w:cs="Arial"/>
                <w:sz w:val="16"/>
                <w:szCs w:val="16"/>
              </w:rPr>
            </w:pPr>
            <w:r w:rsidRPr="00F33D7D">
              <w:rPr>
                <w:rFonts w:cs="Arial"/>
                <w:sz w:val="16"/>
                <w:szCs w:val="16"/>
              </w:rPr>
              <w:t>29,35</w:t>
            </w:r>
          </w:p>
        </w:tc>
      </w:tr>
      <w:tr w:rsidR="00DE23FF" w:rsidRPr="002F06DF" w14:paraId="06123734" w14:textId="77777777" w:rsidTr="00C52316">
        <w:trPr>
          <w:cantSplit/>
          <w:trHeight w:val="210"/>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47C21F18" w14:textId="7AA25A08" w:rsidR="00EA61D7" w:rsidRPr="002F06DF" w:rsidRDefault="00CB4D3E" w:rsidP="00EA61D7">
            <w:pPr>
              <w:spacing w:after="0" w:line="240" w:lineRule="auto"/>
              <w:jc w:val="left"/>
              <w:rPr>
                <w:rFonts w:cs="Arial"/>
                <w:sz w:val="16"/>
                <w:szCs w:val="16"/>
              </w:rPr>
            </w:pPr>
            <w:r w:rsidRPr="002F06DF">
              <w:rPr>
                <w:rFonts w:cs="Arial"/>
                <w:sz w:val="16"/>
                <w:szCs w:val="16"/>
              </w:rPr>
              <w:t>Οργανισμός Συγκοινωνιακού Έργου Θεσσαλονίκης (ΟΣΕΘ)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D2FB34E"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29FEC481"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2DC5446F" w14:textId="67061234"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03DF1950"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20DAD460" w14:textId="64188641"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69212C55"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03DC6E95" w14:textId="465E28A1" w:rsidR="000135A4" w:rsidRPr="002F06DF" w:rsidRDefault="000135A4" w:rsidP="000135A4">
            <w:pPr>
              <w:spacing w:after="0" w:line="240" w:lineRule="auto"/>
              <w:jc w:val="left"/>
              <w:rPr>
                <w:rFonts w:cs="Arial"/>
                <w:sz w:val="16"/>
                <w:szCs w:val="16"/>
              </w:rPr>
            </w:pPr>
            <w:r w:rsidRPr="002F06DF">
              <w:rPr>
                <w:rFonts w:cs="Arial"/>
                <w:sz w:val="16"/>
                <w:szCs w:val="16"/>
              </w:rPr>
              <w:t>Σιδηρόδρομοι Ελλάδος ΜΑΕ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3A8AEF72" w14:textId="3320355C" w:rsidR="000135A4" w:rsidRPr="00F33D7D" w:rsidRDefault="000135A4" w:rsidP="00F33D7D">
            <w:pPr>
              <w:spacing w:after="0" w:line="240" w:lineRule="auto"/>
              <w:jc w:val="right"/>
              <w:rPr>
                <w:rFonts w:cs="Arial"/>
                <w:sz w:val="16"/>
                <w:szCs w:val="16"/>
              </w:rPr>
            </w:pPr>
            <w:r w:rsidRPr="00F33D7D">
              <w:rPr>
                <w:rFonts w:cs="Arial"/>
                <w:sz w:val="16"/>
                <w:szCs w:val="16"/>
              </w:rPr>
              <w:t>4.820.874.200,00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7F10AD6B" w14:textId="5CF0C090" w:rsidR="000135A4" w:rsidRPr="00F33D7D" w:rsidRDefault="000135A4" w:rsidP="00F33D7D">
            <w:pPr>
              <w:spacing w:after="0" w:line="240" w:lineRule="auto"/>
              <w:jc w:val="right"/>
              <w:rPr>
                <w:rFonts w:cs="Arial"/>
                <w:sz w:val="16"/>
                <w:szCs w:val="16"/>
              </w:rPr>
            </w:pPr>
            <w:r w:rsidRPr="00F33D7D">
              <w:rPr>
                <w:rFonts w:cs="Arial"/>
                <w:sz w:val="16"/>
                <w:szCs w:val="16"/>
              </w:rPr>
              <w:t>4.820.874.200,00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3DD9ED3D" w14:textId="6EF54282" w:rsidR="000135A4" w:rsidRPr="00F33D7D" w:rsidRDefault="000135A4"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6C6F114D" w14:textId="77777777" w:rsidR="000135A4" w:rsidRPr="00F33D7D" w:rsidRDefault="000135A4" w:rsidP="00F33D7D">
            <w:pPr>
              <w:spacing w:after="0" w:line="240" w:lineRule="auto"/>
              <w:jc w:val="right"/>
              <w:rPr>
                <w:rFonts w:cs="Arial"/>
                <w:sz w:val="16"/>
                <w:szCs w:val="16"/>
              </w:rPr>
            </w:pPr>
            <w:r w:rsidRPr="00F33D7D">
              <w:rPr>
                <w:rFonts w:cs="Arial"/>
                <w:sz w:val="16"/>
                <w:szCs w:val="16"/>
              </w:rPr>
              <w:t>48.208.742</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7BF7B67F" w14:textId="7DB7C497" w:rsidR="000135A4" w:rsidRPr="00F33D7D" w:rsidRDefault="000135A4" w:rsidP="00F33D7D">
            <w:pPr>
              <w:spacing w:after="0" w:line="240" w:lineRule="auto"/>
              <w:jc w:val="right"/>
              <w:rPr>
                <w:rFonts w:cs="Arial"/>
                <w:sz w:val="16"/>
                <w:szCs w:val="16"/>
              </w:rPr>
            </w:pPr>
            <w:r w:rsidRPr="00F33D7D">
              <w:rPr>
                <w:rFonts w:cs="Arial"/>
                <w:sz w:val="16"/>
                <w:szCs w:val="16"/>
              </w:rPr>
              <w:t>100,00</w:t>
            </w:r>
          </w:p>
        </w:tc>
      </w:tr>
      <w:tr w:rsidR="00DE23FF" w:rsidRPr="002F06DF" w14:paraId="4925DBEF" w14:textId="77777777" w:rsidTr="00792B96">
        <w:trPr>
          <w:cantSplit/>
          <w:trHeight w:val="283"/>
          <w:jc w:val="center"/>
        </w:trPr>
        <w:tc>
          <w:tcPr>
            <w:tcW w:w="3544" w:type="dxa"/>
            <w:tcBorders>
              <w:top w:val="single" w:sz="2" w:space="0" w:color="A6A6A6" w:themeColor="background1" w:themeShade="A6"/>
              <w:bottom w:val="single" w:sz="2" w:space="0" w:color="A6A6A6" w:themeColor="background1" w:themeShade="A6"/>
            </w:tcBorders>
            <w:shd w:val="clear" w:color="auto" w:fill="D5DCE4"/>
            <w:noWrap/>
            <w:vAlign w:val="center"/>
            <w:hideMark/>
          </w:tcPr>
          <w:p w14:paraId="37DA2FC8" w14:textId="057B014E" w:rsidR="00EA61D7" w:rsidRPr="002F06DF" w:rsidRDefault="008A13FA" w:rsidP="00EA61D7">
            <w:pPr>
              <w:spacing w:after="0" w:line="240" w:lineRule="auto"/>
              <w:jc w:val="left"/>
              <w:rPr>
                <w:rFonts w:cs="Arial"/>
                <w:b/>
                <w:bCs/>
                <w:sz w:val="16"/>
                <w:szCs w:val="16"/>
                <w:u w:val="single"/>
              </w:rPr>
            </w:pPr>
            <w:r w:rsidRPr="00687508">
              <w:rPr>
                <w:rFonts w:cs="Arial"/>
                <w:b/>
                <w:bCs/>
                <w:sz w:val="16"/>
                <w:szCs w:val="16"/>
              </w:rPr>
              <w:t>Κτηματικές</w:t>
            </w:r>
          </w:p>
        </w:tc>
        <w:tc>
          <w:tcPr>
            <w:tcW w:w="1462" w:type="dxa"/>
            <w:tcBorders>
              <w:top w:val="single" w:sz="2" w:space="0" w:color="A6A6A6" w:themeColor="background1" w:themeShade="A6"/>
              <w:bottom w:val="single" w:sz="2" w:space="0" w:color="A6A6A6" w:themeColor="background1" w:themeShade="A6"/>
            </w:tcBorders>
            <w:shd w:val="clear" w:color="auto" w:fill="D5DCE4"/>
            <w:vAlign w:val="center"/>
            <w:hideMark/>
          </w:tcPr>
          <w:p w14:paraId="4867D131" w14:textId="194C3D4A" w:rsidR="00EA61D7" w:rsidRPr="00F33D7D" w:rsidRDefault="00EA61D7" w:rsidP="00F33D7D">
            <w:pPr>
              <w:spacing w:after="0" w:line="240" w:lineRule="auto"/>
              <w:jc w:val="right"/>
              <w:rPr>
                <w:rFonts w:cs="Arial"/>
                <w:sz w:val="16"/>
                <w:szCs w:val="16"/>
              </w:rPr>
            </w:pPr>
          </w:p>
        </w:tc>
        <w:tc>
          <w:tcPr>
            <w:tcW w:w="1559" w:type="dxa"/>
            <w:tcBorders>
              <w:top w:val="single" w:sz="2" w:space="0" w:color="A6A6A6" w:themeColor="background1" w:themeShade="A6"/>
              <w:bottom w:val="single" w:sz="2" w:space="0" w:color="A6A6A6" w:themeColor="background1" w:themeShade="A6"/>
            </w:tcBorders>
            <w:shd w:val="clear" w:color="auto" w:fill="D5DCE4"/>
            <w:vAlign w:val="center"/>
            <w:hideMark/>
          </w:tcPr>
          <w:p w14:paraId="51D10DDB" w14:textId="1CD7EC2B" w:rsidR="00EA61D7" w:rsidRPr="00F33D7D" w:rsidRDefault="00EA61D7" w:rsidP="00F33D7D">
            <w:pPr>
              <w:spacing w:after="0" w:line="240" w:lineRule="auto"/>
              <w:jc w:val="right"/>
              <w:rPr>
                <w:rFonts w:cs="Arial"/>
                <w:sz w:val="16"/>
                <w:szCs w:val="16"/>
              </w:rPr>
            </w:pPr>
          </w:p>
        </w:tc>
        <w:tc>
          <w:tcPr>
            <w:tcW w:w="1134" w:type="dxa"/>
            <w:tcBorders>
              <w:top w:val="single" w:sz="2" w:space="0" w:color="A6A6A6" w:themeColor="background1" w:themeShade="A6"/>
              <w:bottom w:val="single" w:sz="2" w:space="0" w:color="A6A6A6" w:themeColor="background1" w:themeShade="A6"/>
            </w:tcBorders>
            <w:shd w:val="clear" w:color="auto" w:fill="D5DCE4"/>
            <w:vAlign w:val="center"/>
            <w:hideMark/>
          </w:tcPr>
          <w:p w14:paraId="5C0D6838" w14:textId="228BEE83" w:rsidR="00EA61D7" w:rsidRPr="00F33D7D" w:rsidRDefault="00EA61D7" w:rsidP="00F33D7D">
            <w:pPr>
              <w:spacing w:after="0" w:line="240" w:lineRule="auto"/>
              <w:jc w:val="right"/>
              <w:rPr>
                <w:rFonts w:cs="Arial"/>
                <w:sz w:val="16"/>
                <w:szCs w:val="16"/>
              </w:rPr>
            </w:pPr>
          </w:p>
        </w:tc>
        <w:tc>
          <w:tcPr>
            <w:tcW w:w="1364" w:type="dxa"/>
            <w:tcBorders>
              <w:top w:val="single" w:sz="2" w:space="0" w:color="A6A6A6" w:themeColor="background1" w:themeShade="A6"/>
              <w:bottom w:val="single" w:sz="2" w:space="0" w:color="A6A6A6" w:themeColor="background1" w:themeShade="A6"/>
            </w:tcBorders>
            <w:shd w:val="clear" w:color="auto" w:fill="D5DCE4"/>
            <w:vAlign w:val="center"/>
            <w:hideMark/>
          </w:tcPr>
          <w:p w14:paraId="09640822" w14:textId="6D49D69A" w:rsidR="00EA61D7" w:rsidRPr="00F33D7D" w:rsidRDefault="00EA61D7" w:rsidP="00F33D7D">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shd w:val="clear" w:color="auto" w:fill="D5DCE4"/>
            <w:vAlign w:val="center"/>
            <w:hideMark/>
          </w:tcPr>
          <w:p w14:paraId="5D98C762" w14:textId="77777777" w:rsidR="00EA61D7" w:rsidRPr="00F33D7D" w:rsidRDefault="00EA61D7" w:rsidP="00F33D7D">
            <w:pPr>
              <w:spacing w:after="0" w:line="240" w:lineRule="auto"/>
              <w:jc w:val="right"/>
              <w:rPr>
                <w:rFonts w:cs="Arial"/>
                <w:sz w:val="16"/>
                <w:szCs w:val="16"/>
              </w:rPr>
            </w:pPr>
          </w:p>
        </w:tc>
      </w:tr>
      <w:tr w:rsidR="00DE23FF" w:rsidRPr="002F06DF" w14:paraId="2BF2142B"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4093786C" w14:textId="77777777" w:rsidR="008C2136" w:rsidRPr="008C2136" w:rsidRDefault="008C2136" w:rsidP="008C2136">
            <w:pPr>
              <w:spacing w:after="0" w:line="240" w:lineRule="auto"/>
              <w:jc w:val="left"/>
              <w:rPr>
                <w:rFonts w:cs="Arial"/>
                <w:sz w:val="16"/>
                <w:szCs w:val="16"/>
              </w:rPr>
            </w:pPr>
            <w:r w:rsidRPr="008C2136">
              <w:rPr>
                <w:rFonts w:cs="Arial"/>
                <w:sz w:val="16"/>
                <w:szCs w:val="16"/>
              </w:rPr>
              <w:t>Κτιριακές Υποδομές (ΚΤΥΠ) ΑΕ</w:t>
            </w:r>
          </w:p>
          <w:p w14:paraId="4C7337CA" w14:textId="747FA21F" w:rsidR="00EA61D7" w:rsidRPr="002F06DF" w:rsidRDefault="008C2136" w:rsidP="008C2136">
            <w:pPr>
              <w:spacing w:after="0" w:line="240" w:lineRule="auto"/>
              <w:jc w:val="left"/>
              <w:rPr>
                <w:rFonts w:cs="Arial"/>
                <w:sz w:val="16"/>
                <w:szCs w:val="16"/>
              </w:rPr>
            </w:pPr>
            <w:r w:rsidRPr="008C2136">
              <w:rPr>
                <w:rFonts w:cs="Arial"/>
                <w:sz w:val="16"/>
                <w:szCs w:val="16"/>
              </w:rPr>
              <w:t>(συγχώνευση ΟΣΚ, ΔΕΠΑΝΟΜ και ΘΕΜΙΣ)</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B3023A9" w14:textId="77777777" w:rsidR="00EA61D7" w:rsidRPr="00F33D7D" w:rsidRDefault="00EA61D7" w:rsidP="00F33D7D">
            <w:pPr>
              <w:spacing w:after="0" w:line="240" w:lineRule="auto"/>
              <w:jc w:val="right"/>
              <w:rPr>
                <w:rFonts w:cs="Arial"/>
                <w:sz w:val="16"/>
                <w:szCs w:val="16"/>
              </w:rPr>
            </w:pPr>
            <w:r w:rsidRPr="00F33D7D">
              <w:rPr>
                <w:rFonts w:cs="Arial"/>
                <w:sz w:val="16"/>
                <w:szCs w:val="16"/>
              </w:rPr>
              <w:t>532.032.577,19</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4EA48DBB" w14:textId="77777777" w:rsidR="000135A4" w:rsidRPr="00F33D7D" w:rsidRDefault="000135A4" w:rsidP="00F33D7D">
            <w:pPr>
              <w:spacing w:after="0" w:line="240" w:lineRule="auto"/>
              <w:jc w:val="right"/>
              <w:rPr>
                <w:rFonts w:cs="Arial"/>
                <w:sz w:val="16"/>
                <w:szCs w:val="16"/>
              </w:rPr>
            </w:pPr>
            <w:r w:rsidRPr="00F33D7D">
              <w:rPr>
                <w:rFonts w:cs="Arial"/>
                <w:sz w:val="16"/>
                <w:szCs w:val="16"/>
              </w:rPr>
              <w:t>532.032.577,19</w:t>
            </w:r>
          </w:p>
          <w:p w14:paraId="00D4FE17" w14:textId="34CAF444" w:rsidR="00EA61D7" w:rsidRPr="00F33D7D" w:rsidRDefault="00EA61D7" w:rsidP="00F33D7D">
            <w:pPr>
              <w:spacing w:after="0" w:line="240" w:lineRule="auto"/>
              <w:jc w:val="right"/>
              <w:rPr>
                <w:rFonts w:cs="Arial"/>
                <w:sz w:val="16"/>
                <w:szCs w:val="16"/>
              </w:rPr>
            </w:pP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062456DB" w14:textId="52056B76"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3B24C044" w14:textId="77777777" w:rsidR="00EA61D7" w:rsidRPr="00F33D7D" w:rsidRDefault="00EA61D7" w:rsidP="00F33D7D">
            <w:pPr>
              <w:spacing w:after="0" w:line="240" w:lineRule="auto"/>
              <w:jc w:val="right"/>
              <w:rPr>
                <w:rFonts w:cs="Arial"/>
                <w:sz w:val="16"/>
                <w:szCs w:val="16"/>
              </w:rPr>
            </w:pPr>
            <w:r w:rsidRPr="00F33D7D">
              <w:rPr>
                <w:rFonts w:cs="Arial"/>
                <w:sz w:val="16"/>
                <w:szCs w:val="16"/>
              </w:rPr>
              <w:t>1</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0BF0B23A" w14:textId="5D36F9F4" w:rsidR="00EA61D7" w:rsidRPr="00F33D7D" w:rsidRDefault="00EA61D7" w:rsidP="00F33D7D">
            <w:pPr>
              <w:spacing w:after="0" w:line="240" w:lineRule="auto"/>
              <w:jc w:val="right"/>
              <w:rPr>
                <w:rFonts w:cs="Arial"/>
                <w:sz w:val="16"/>
                <w:szCs w:val="16"/>
              </w:rPr>
            </w:pPr>
            <w:r w:rsidRPr="00F33D7D">
              <w:rPr>
                <w:rFonts w:cs="Arial"/>
                <w:sz w:val="16"/>
                <w:szCs w:val="16"/>
              </w:rPr>
              <w:t>532.032.577,19</w:t>
            </w:r>
          </w:p>
        </w:tc>
      </w:tr>
      <w:tr w:rsidR="00DE23FF" w:rsidRPr="002F06DF" w14:paraId="7DB24B8F" w14:textId="77777777" w:rsidTr="00C52316">
        <w:trPr>
          <w:cantSplit/>
          <w:trHeight w:val="283"/>
          <w:jc w:val="center"/>
        </w:trPr>
        <w:tc>
          <w:tcPr>
            <w:tcW w:w="3544" w:type="dxa"/>
            <w:tcBorders>
              <w:top w:val="single" w:sz="2" w:space="0" w:color="A6A6A6" w:themeColor="background1" w:themeShade="A6"/>
              <w:bottom w:val="single" w:sz="2" w:space="0" w:color="A6A6A6" w:themeColor="background1" w:themeShade="A6"/>
            </w:tcBorders>
            <w:shd w:val="clear" w:color="auto" w:fill="D5DCE4"/>
            <w:noWrap/>
            <w:vAlign w:val="center"/>
            <w:hideMark/>
          </w:tcPr>
          <w:p w14:paraId="76D4A35F" w14:textId="67013B60" w:rsidR="00EA61D7" w:rsidRPr="002F06DF" w:rsidRDefault="008C2136" w:rsidP="00EA61D7">
            <w:pPr>
              <w:spacing w:after="0" w:line="240" w:lineRule="auto"/>
              <w:jc w:val="left"/>
              <w:rPr>
                <w:rFonts w:cs="Arial"/>
                <w:b/>
                <w:bCs/>
                <w:sz w:val="16"/>
                <w:szCs w:val="16"/>
                <w:u w:val="single"/>
              </w:rPr>
            </w:pPr>
            <w:r w:rsidRPr="00687508">
              <w:rPr>
                <w:rFonts w:cs="Arial"/>
                <w:b/>
                <w:bCs/>
                <w:sz w:val="16"/>
                <w:szCs w:val="16"/>
              </w:rPr>
              <w:t>Δι</w:t>
            </w:r>
            <w:r>
              <w:rPr>
                <w:rFonts w:cs="Arial"/>
                <w:b/>
                <w:bCs/>
                <w:sz w:val="16"/>
                <w:szCs w:val="16"/>
              </w:rPr>
              <w:t>ά</w:t>
            </w:r>
            <w:r w:rsidRPr="00687508">
              <w:rPr>
                <w:rFonts w:cs="Arial"/>
                <w:b/>
                <w:bCs/>
                <w:sz w:val="16"/>
                <w:szCs w:val="16"/>
              </w:rPr>
              <w:t>φορες</w:t>
            </w:r>
          </w:p>
        </w:tc>
        <w:tc>
          <w:tcPr>
            <w:tcW w:w="1462" w:type="dxa"/>
            <w:tcBorders>
              <w:top w:val="single" w:sz="2" w:space="0" w:color="A6A6A6" w:themeColor="background1" w:themeShade="A6"/>
              <w:bottom w:val="single" w:sz="2" w:space="0" w:color="A6A6A6" w:themeColor="background1" w:themeShade="A6"/>
            </w:tcBorders>
            <w:shd w:val="clear" w:color="auto" w:fill="D5DCE4"/>
            <w:vAlign w:val="center"/>
            <w:hideMark/>
          </w:tcPr>
          <w:p w14:paraId="568C6314" w14:textId="77777777" w:rsidR="00EA61D7" w:rsidRPr="00F33D7D" w:rsidRDefault="00EA61D7" w:rsidP="00F33D7D">
            <w:pPr>
              <w:spacing w:after="0" w:line="240" w:lineRule="auto"/>
              <w:jc w:val="right"/>
              <w:rPr>
                <w:rFonts w:cs="Arial"/>
                <w:b/>
                <w:bCs/>
                <w:sz w:val="16"/>
                <w:szCs w:val="16"/>
                <w:u w:val="single"/>
              </w:rPr>
            </w:pPr>
          </w:p>
        </w:tc>
        <w:tc>
          <w:tcPr>
            <w:tcW w:w="1559" w:type="dxa"/>
            <w:tcBorders>
              <w:top w:val="single" w:sz="2" w:space="0" w:color="A6A6A6" w:themeColor="background1" w:themeShade="A6"/>
              <w:bottom w:val="single" w:sz="2" w:space="0" w:color="A6A6A6" w:themeColor="background1" w:themeShade="A6"/>
            </w:tcBorders>
            <w:shd w:val="clear" w:color="auto" w:fill="D5DCE4"/>
            <w:vAlign w:val="center"/>
            <w:hideMark/>
          </w:tcPr>
          <w:p w14:paraId="62C1E1F0" w14:textId="77777777" w:rsidR="00EA61D7" w:rsidRPr="00F33D7D" w:rsidRDefault="00EA61D7" w:rsidP="00F33D7D">
            <w:pPr>
              <w:spacing w:after="0" w:line="240" w:lineRule="auto"/>
              <w:jc w:val="right"/>
              <w:rPr>
                <w:rFonts w:cs="Arial"/>
                <w:sz w:val="16"/>
                <w:szCs w:val="16"/>
              </w:rPr>
            </w:pPr>
          </w:p>
        </w:tc>
        <w:tc>
          <w:tcPr>
            <w:tcW w:w="1134" w:type="dxa"/>
            <w:tcBorders>
              <w:top w:val="single" w:sz="2" w:space="0" w:color="A6A6A6" w:themeColor="background1" w:themeShade="A6"/>
              <w:bottom w:val="single" w:sz="2" w:space="0" w:color="A6A6A6" w:themeColor="background1" w:themeShade="A6"/>
            </w:tcBorders>
            <w:shd w:val="clear" w:color="auto" w:fill="D5DCE4"/>
            <w:vAlign w:val="center"/>
            <w:hideMark/>
          </w:tcPr>
          <w:p w14:paraId="43058EB3" w14:textId="77777777" w:rsidR="00EA61D7" w:rsidRPr="00F33D7D" w:rsidRDefault="00EA61D7" w:rsidP="00F33D7D">
            <w:pPr>
              <w:spacing w:after="0" w:line="240" w:lineRule="auto"/>
              <w:jc w:val="right"/>
              <w:rPr>
                <w:rFonts w:cs="Arial"/>
                <w:sz w:val="16"/>
                <w:szCs w:val="16"/>
              </w:rPr>
            </w:pPr>
          </w:p>
        </w:tc>
        <w:tc>
          <w:tcPr>
            <w:tcW w:w="1364" w:type="dxa"/>
            <w:tcBorders>
              <w:top w:val="single" w:sz="2" w:space="0" w:color="A6A6A6" w:themeColor="background1" w:themeShade="A6"/>
              <w:bottom w:val="single" w:sz="2" w:space="0" w:color="A6A6A6" w:themeColor="background1" w:themeShade="A6"/>
            </w:tcBorders>
            <w:shd w:val="clear" w:color="auto" w:fill="D5DCE4"/>
            <w:vAlign w:val="center"/>
            <w:hideMark/>
          </w:tcPr>
          <w:p w14:paraId="4740530D" w14:textId="77777777" w:rsidR="00EA61D7" w:rsidRPr="00F33D7D" w:rsidRDefault="00EA61D7" w:rsidP="00F33D7D">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shd w:val="clear" w:color="auto" w:fill="D5DCE4"/>
            <w:vAlign w:val="center"/>
            <w:hideMark/>
          </w:tcPr>
          <w:p w14:paraId="09BEF464" w14:textId="77777777" w:rsidR="00EA61D7" w:rsidRPr="00F33D7D" w:rsidRDefault="00EA61D7" w:rsidP="00F33D7D">
            <w:pPr>
              <w:spacing w:after="0" w:line="240" w:lineRule="auto"/>
              <w:jc w:val="right"/>
              <w:rPr>
                <w:rFonts w:cs="Arial"/>
                <w:sz w:val="16"/>
                <w:szCs w:val="16"/>
              </w:rPr>
            </w:pPr>
          </w:p>
        </w:tc>
      </w:tr>
      <w:tr w:rsidR="00DE23FF" w:rsidRPr="002F06DF" w14:paraId="43F7BBA7"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3C09A5BC" w14:textId="7248636C" w:rsidR="00EA61D7" w:rsidRPr="002F06DF" w:rsidRDefault="008C2136" w:rsidP="00EA61D7">
            <w:pPr>
              <w:spacing w:after="0" w:line="240" w:lineRule="auto"/>
              <w:jc w:val="left"/>
              <w:rPr>
                <w:rFonts w:cs="Arial"/>
                <w:sz w:val="16"/>
                <w:szCs w:val="16"/>
              </w:rPr>
            </w:pPr>
            <w:r w:rsidRPr="008C2136">
              <w:rPr>
                <w:rFonts w:cs="Arial"/>
                <w:sz w:val="16"/>
                <w:szCs w:val="16"/>
              </w:rPr>
              <w:t>ΑΕ Εκμεταλλεύσεως Ακινήτων</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5927EFA4" w14:textId="77777777" w:rsidR="00EA61D7" w:rsidRPr="00F33D7D" w:rsidRDefault="00EA61D7" w:rsidP="00F33D7D">
            <w:pPr>
              <w:spacing w:after="0" w:line="240" w:lineRule="auto"/>
              <w:jc w:val="right"/>
              <w:rPr>
                <w:rFonts w:cs="Arial"/>
                <w:sz w:val="16"/>
                <w:szCs w:val="16"/>
              </w:rPr>
            </w:pPr>
            <w:r w:rsidRPr="00F33D7D">
              <w:rPr>
                <w:rFonts w:cs="Arial"/>
                <w:sz w:val="16"/>
                <w:szCs w:val="16"/>
              </w:rPr>
              <w:t>1.543.867,70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6C215851" w14:textId="77777777" w:rsidR="00EA61D7" w:rsidRPr="00F33D7D" w:rsidRDefault="00EA61D7" w:rsidP="00F33D7D">
            <w:pPr>
              <w:spacing w:after="0" w:line="240" w:lineRule="auto"/>
              <w:jc w:val="right"/>
              <w:rPr>
                <w:rFonts w:cs="Arial"/>
                <w:sz w:val="16"/>
                <w:szCs w:val="16"/>
              </w:rPr>
            </w:pPr>
            <w:r w:rsidRPr="00F33D7D">
              <w:rPr>
                <w:rFonts w:cs="Arial"/>
                <w:sz w:val="16"/>
                <w:szCs w:val="16"/>
              </w:rPr>
              <w:t>290.112,62</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56461149" w14:textId="34F87FFC" w:rsidR="00EA61D7" w:rsidRPr="00F33D7D" w:rsidRDefault="00EA61D7" w:rsidP="00F33D7D">
            <w:pPr>
              <w:spacing w:after="0" w:line="240" w:lineRule="auto"/>
              <w:jc w:val="right"/>
              <w:rPr>
                <w:rFonts w:cs="Arial"/>
                <w:sz w:val="16"/>
                <w:szCs w:val="16"/>
              </w:rPr>
            </w:pPr>
            <w:r w:rsidRPr="00F33D7D">
              <w:rPr>
                <w:rFonts w:cs="Arial"/>
                <w:sz w:val="16"/>
                <w:szCs w:val="16"/>
              </w:rPr>
              <w:t>18,79</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59121315" w14:textId="77777777" w:rsidR="00EA61D7" w:rsidRPr="00F33D7D" w:rsidRDefault="00EA61D7" w:rsidP="00F33D7D">
            <w:pPr>
              <w:spacing w:after="0" w:line="240" w:lineRule="auto"/>
              <w:jc w:val="right"/>
              <w:rPr>
                <w:rFonts w:cs="Arial"/>
                <w:sz w:val="16"/>
                <w:szCs w:val="16"/>
              </w:rPr>
            </w:pPr>
            <w:r w:rsidRPr="00F33D7D">
              <w:rPr>
                <w:rFonts w:cs="Arial"/>
                <w:sz w:val="16"/>
                <w:szCs w:val="16"/>
              </w:rPr>
              <w:t>50.986</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2572E63F" w14:textId="6256BA9E" w:rsidR="00EA61D7" w:rsidRPr="00F33D7D" w:rsidRDefault="00EA61D7" w:rsidP="00F33D7D">
            <w:pPr>
              <w:spacing w:after="0" w:line="240" w:lineRule="auto"/>
              <w:jc w:val="right"/>
              <w:rPr>
                <w:rFonts w:cs="Arial"/>
                <w:sz w:val="16"/>
                <w:szCs w:val="16"/>
              </w:rPr>
            </w:pPr>
            <w:r w:rsidRPr="00F33D7D">
              <w:rPr>
                <w:rFonts w:cs="Arial"/>
                <w:sz w:val="16"/>
                <w:szCs w:val="16"/>
              </w:rPr>
              <w:t>5,69</w:t>
            </w:r>
          </w:p>
        </w:tc>
      </w:tr>
      <w:tr w:rsidR="00DE23FF" w:rsidRPr="002F06DF" w14:paraId="4C644480"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11E6DB6C" w14:textId="015BB178" w:rsidR="00EA61D7" w:rsidRPr="002F06DF" w:rsidRDefault="008C2136" w:rsidP="00EA61D7">
            <w:pPr>
              <w:spacing w:after="0" w:line="240" w:lineRule="auto"/>
              <w:jc w:val="left"/>
              <w:rPr>
                <w:rFonts w:cs="Arial"/>
                <w:color w:val="000000"/>
                <w:sz w:val="16"/>
                <w:szCs w:val="16"/>
              </w:rPr>
            </w:pPr>
            <w:r w:rsidRPr="008C2136">
              <w:rPr>
                <w:rFonts w:cs="Arial"/>
                <w:color w:val="000000"/>
                <w:sz w:val="16"/>
                <w:szCs w:val="16"/>
              </w:rPr>
              <w:t>ΑΕ Μονάδων Υγείας (ΑΕΜΥ)</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607C8B55" w14:textId="77777777" w:rsidR="00EA61D7" w:rsidRPr="00F33D7D" w:rsidRDefault="00EA61D7" w:rsidP="00F33D7D">
            <w:pPr>
              <w:spacing w:after="0" w:line="240" w:lineRule="auto"/>
              <w:jc w:val="right"/>
              <w:rPr>
                <w:rFonts w:cs="Arial"/>
                <w:sz w:val="16"/>
                <w:szCs w:val="16"/>
              </w:rPr>
            </w:pPr>
            <w:r w:rsidRPr="00F33D7D">
              <w:rPr>
                <w:rFonts w:cs="Arial"/>
                <w:sz w:val="16"/>
                <w:szCs w:val="16"/>
              </w:rPr>
              <w:t>12.000.000,00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24FA3890" w14:textId="77777777" w:rsidR="00EA61D7" w:rsidRPr="00F33D7D" w:rsidRDefault="00EA61D7" w:rsidP="00F33D7D">
            <w:pPr>
              <w:spacing w:after="0" w:line="240" w:lineRule="auto"/>
              <w:jc w:val="right"/>
              <w:rPr>
                <w:rFonts w:cs="Arial"/>
                <w:sz w:val="16"/>
                <w:szCs w:val="16"/>
              </w:rPr>
            </w:pPr>
            <w:r w:rsidRPr="00F33D7D">
              <w:rPr>
                <w:rFonts w:cs="Arial"/>
                <w:sz w:val="16"/>
                <w:szCs w:val="16"/>
              </w:rPr>
              <w:t>12.000.000,00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2E58A961" w14:textId="3C52B286"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1A66C981" w14:textId="77777777" w:rsidR="00EA61D7" w:rsidRPr="00F33D7D" w:rsidRDefault="00EA61D7" w:rsidP="00F33D7D">
            <w:pPr>
              <w:spacing w:after="0" w:line="240" w:lineRule="auto"/>
              <w:jc w:val="right"/>
              <w:rPr>
                <w:rFonts w:cs="Arial"/>
                <w:sz w:val="16"/>
                <w:szCs w:val="16"/>
              </w:rPr>
            </w:pPr>
            <w:r w:rsidRPr="00F33D7D">
              <w:rPr>
                <w:rFonts w:cs="Arial"/>
                <w:sz w:val="16"/>
                <w:szCs w:val="16"/>
              </w:rPr>
              <w:t>120.000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744D167A" w14:textId="67AC60DF"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619263AD" w14:textId="77777777" w:rsidTr="00C52316">
        <w:trPr>
          <w:cantSplit/>
          <w:trHeight w:val="108"/>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3DA4B7D8" w14:textId="0D7F33E7" w:rsidR="00EA61D7" w:rsidRPr="002F06DF" w:rsidRDefault="008C2136" w:rsidP="00EA61D7">
            <w:pPr>
              <w:spacing w:after="0" w:line="240" w:lineRule="auto"/>
              <w:jc w:val="left"/>
              <w:rPr>
                <w:rFonts w:cs="Arial"/>
                <w:sz w:val="16"/>
                <w:szCs w:val="16"/>
              </w:rPr>
            </w:pPr>
            <w:r w:rsidRPr="008C2136">
              <w:rPr>
                <w:rFonts w:cs="Arial"/>
                <w:sz w:val="16"/>
                <w:szCs w:val="16"/>
              </w:rPr>
              <w:t>ΑΓΕΤ ΗΡΑΚΛΗΣ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32DAF09" w14:textId="77777777" w:rsidR="00EA61D7" w:rsidRPr="00F33D7D" w:rsidRDefault="00EA61D7" w:rsidP="00F33D7D">
            <w:pPr>
              <w:spacing w:after="0" w:line="240" w:lineRule="auto"/>
              <w:jc w:val="right"/>
              <w:rPr>
                <w:rFonts w:cs="Arial"/>
                <w:sz w:val="16"/>
                <w:szCs w:val="16"/>
              </w:rPr>
            </w:pPr>
            <w:r w:rsidRPr="00F33D7D">
              <w:rPr>
                <w:rFonts w:cs="Arial"/>
                <w:sz w:val="16"/>
                <w:szCs w:val="16"/>
              </w:rPr>
              <w:t>120.840.601,90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3AA0D6BE" w14:textId="77777777" w:rsidR="00EA61D7" w:rsidRPr="00F33D7D" w:rsidRDefault="00EA61D7" w:rsidP="00F33D7D">
            <w:pPr>
              <w:spacing w:after="0" w:line="240" w:lineRule="auto"/>
              <w:jc w:val="right"/>
              <w:rPr>
                <w:rFonts w:cs="Arial"/>
                <w:sz w:val="16"/>
                <w:szCs w:val="16"/>
              </w:rPr>
            </w:pPr>
            <w:r w:rsidRPr="00F33D7D">
              <w:rPr>
                <w:rFonts w:cs="Arial"/>
                <w:sz w:val="16"/>
                <w:szCs w:val="16"/>
              </w:rPr>
              <w:t>1.208,41</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475B1535" w14:textId="4B979F90" w:rsidR="00EA61D7" w:rsidRPr="00F33D7D" w:rsidRDefault="00EA61D7" w:rsidP="00F33D7D">
            <w:pPr>
              <w:spacing w:after="0" w:line="240" w:lineRule="auto"/>
              <w:jc w:val="right"/>
              <w:rPr>
                <w:rFonts w:cs="Arial"/>
                <w:sz w:val="16"/>
                <w:szCs w:val="16"/>
              </w:rPr>
            </w:pPr>
            <w:r w:rsidRPr="00F33D7D">
              <w:rPr>
                <w:rFonts w:cs="Arial"/>
                <w:sz w:val="16"/>
                <w:szCs w:val="16"/>
              </w:rPr>
              <w:t>0,0010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0C497876" w14:textId="77777777" w:rsidR="00EA61D7" w:rsidRPr="00F33D7D" w:rsidRDefault="00EA61D7" w:rsidP="00F33D7D">
            <w:pPr>
              <w:spacing w:after="0" w:line="240" w:lineRule="auto"/>
              <w:jc w:val="right"/>
              <w:rPr>
                <w:rFonts w:cs="Arial"/>
                <w:sz w:val="16"/>
                <w:szCs w:val="16"/>
              </w:rPr>
            </w:pPr>
            <w:r w:rsidRPr="00F33D7D">
              <w:rPr>
                <w:rFonts w:cs="Arial"/>
                <w:sz w:val="16"/>
                <w:szCs w:val="16"/>
              </w:rPr>
              <w:t>711</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799EF10C" w14:textId="266A8168" w:rsidR="00EA61D7" w:rsidRPr="00F33D7D" w:rsidRDefault="00EA61D7" w:rsidP="00F33D7D">
            <w:pPr>
              <w:spacing w:after="0" w:line="240" w:lineRule="auto"/>
              <w:jc w:val="right"/>
              <w:rPr>
                <w:rFonts w:cs="Arial"/>
                <w:sz w:val="16"/>
                <w:szCs w:val="16"/>
              </w:rPr>
            </w:pPr>
            <w:r w:rsidRPr="00F33D7D">
              <w:rPr>
                <w:rFonts w:cs="Arial"/>
                <w:sz w:val="16"/>
                <w:szCs w:val="16"/>
              </w:rPr>
              <w:t>1,70</w:t>
            </w:r>
          </w:p>
        </w:tc>
      </w:tr>
      <w:tr w:rsidR="00DE23FF" w:rsidRPr="002F06DF" w14:paraId="6802A725"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4806C9AD" w14:textId="0F3551BC" w:rsidR="00EA61D7" w:rsidRPr="002F06DF" w:rsidRDefault="008C2136" w:rsidP="00EA61D7">
            <w:pPr>
              <w:spacing w:after="0" w:line="240" w:lineRule="auto"/>
              <w:jc w:val="left"/>
              <w:rPr>
                <w:rFonts w:cs="Arial"/>
                <w:color w:val="000000"/>
                <w:sz w:val="16"/>
                <w:szCs w:val="16"/>
              </w:rPr>
            </w:pPr>
            <w:r w:rsidRPr="008C2136">
              <w:rPr>
                <w:rFonts w:cs="Arial"/>
                <w:color w:val="000000"/>
                <w:sz w:val="16"/>
                <w:szCs w:val="16"/>
              </w:rPr>
              <w:t>Αθηναϊκό Πρακτορείο Ειδήσεων - Μακεδονικό Πρακτορείο Ειδήσεων (ΑΠΕ - ΜΠΕ)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4773C5EB" w14:textId="77777777" w:rsidR="00EA61D7" w:rsidRPr="00F33D7D" w:rsidRDefault="00EA61D7" w:rsidP="00F33D7D">
            <w:pPr>
              <w:spacing w:after="0" w:line="240" w:lineRule="auto"/>
              <w:jc w:val="right"/>
              <w:rPr>
                <w:rFonts w:cs="Arial"/>
                <w:sz w:val="16"/>
                <w:szCs w:val="16"/>
              </w:rPr>
            </w:pPr>
            <w:r w:rsidRPr="00F33D7D">
              <w:rPr>
                <w:rFonts w:cs="Arial"/>
                <w:sz w:val="16"/>
                <w:szCs w:val="16"/>
              </w:rPr>
              <w:t>5.820.170,45</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3F7C9A91" w14:textId="77777777" w:rsidR="00EA61D7" w:rsidRPr="00F33D7D" w:rsidRDefault="00EA61D7" w:rsidP="00F33D7D">
            <w:pPr>
              <w:spacing w:after="0" w:line="240" w:lineRule="auto"/>
              <w:jc w:val="right"/>
              <w:rPr>
                <w:rFonts w:cs="Arial"/>
                <w:sz w:val="16"/>
                <w:szCs w:val="16"/>
              </w:rPr>
            </w:pPr>
            <w:r w:rsidRPr="00F33D7D">
              <w:rPr>
                <w:rFonts w:cs="Arial"/>
                <w:sz w:val="16"/>
                <w:szCs w:val="16"/>
              </w:rPr>
              <w:t>5.820.170,45</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2A42907B" w14:textId="12D12BD6"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56AD966C" w14:textId="77777777" w:rsidR="00EA61D7" w:rsidRPr="00F33D7D" w:rsidRDefault="00EA61D7" w:rsidP="00F33D7D">
            <w:pPr>
              <w:spacing w:after="0" w:line="240" w:lineRule="auto"/>
              <w:jc w:val="right"/>
              <w:rPr>
                <w:rFonts w:cs="Arial"/>
                <w:sz w:val="16"/>
                <w:szCs w:val="16"/>
              </w:rPr>
            </w:pPr>
            <w:r w:rsidRPr="00F33D7D">
              <w:rPr>
                <w:rFonts w:cs="Arial"/>
                <w:sz w:val="16"/>
                <w:szCs w:val="16"/>
              </w:rPr>
              <w:t>1</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5C70A1F9" w14:textId="344E3E46" w:rsidR="00EA61D7" w:rsidRPr="00F33D7D" w:rsidRDefault="00EA61D7" w:rsidP="00F33D7D">
            <w:pPr>
              <w:spacing w:after="0" w:line="240" w:lineRule="auto"/>
              <w:jc w:val="right"/>
              <w:rPr>
                <w:rFonts w:cs="Arial"/>
                <w:sz w:val="16"/>
                <w:szCs w:val="16"/>
              </w:rPr>
            </w:pPr>
            <w:r w:rsidRPr="00F33D7D">
              <w:rPr>
                <w:rFonts w:cs="Arial"/>
                <w:sz w:val="16"/>
                <w:szCs w:val="16"/>
              </w:rPr>
              <w:t>5.820.170,45</w:t>
            </w:r>
          </w:p>
        </w:tc>
      </w:tr>
      <w:tr w:rsidR="00DE23FF" w:rsidRPr="002F06DF" w14:paraId="6FA900CB"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48D3208A" w14:textId="2CC91D6C" w:rsidR="00EA61D7" w:rsidRPr="002F06DF" w:rsidRDefault="00F33D7D" w:rsidP="00EA61D7">
            <w:pPr>
              <w:spacing w:after="0" w:line="240" w:lineRule="auto"/>
              <w:jc w:val="left"/>
              <w:rPr>
                <w:rFonts w:cs="Arial"/>
                <w:color w:val="000000"/>
                <w:sz w:val="16"/>
                <w:szCs w:val="16"/>
              </w:rPr>
            </w:pPr>
            <w:r w:rsidRPr="00F33D7D">
              <w:rPr>
                <w:rFonts w:cs="Arial"/>
                <w:color w:val="000000"/>
                <w:sz w:val="16"/>
                <w:szCs w:val="16"/>
              </w:rPr>
              <w:t>Αλεξάνδρεια Ζώνη Καινοτομίας (ΑΖΚ)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66942FC3"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5DF93FAD"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3E0CC902" w14:textId="7D8B6005"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0B88208E"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00559E5D" w14:textId="005D157E" w:rsidR="00EA61D7" w:rsidRPr="00F33D7D" w:rsidRDefault="00EA61D7" w:rsidP="00F33D7D">
            <w:pPr>
              <w:spacing w:after="0" w:line="240" w:lineRule="auto"/>
              <w:jc w:val="right"/>
              <w:rPr>
                <w:rFonts w:cs="Arial"/>
                <w:sz w:val="16"/>
                <w:szCs w:val="16"/>
              </w:rPr>
            </w:pPr>
            <w:r w:rsidRPr="00F33D7D">
              <w:rPr>
                <w:rFonts w:cs="Arial"/>
                <w:sz w:val="16"/>
                <w:szCs w:val="16"/>
              </w:rPr>
              <w:t>60,00</w:t>
            </w:r>
          </w:p>
        </w:tc>
      </w:tr>
      <w:tr w:rsidR="00DE23FF" w:rsidRPr="002F06DF" w14:paraId="7C56B988"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41904FA1" w14:textId="1D35B92F" w:rsidR="00EA61D7" w:rsidRPr="002F06DF" w:rsidRDefault="00F33D7D" w:rsidP="00EA61D7">
            <w:pPr>
              <w:spacing w:after="0" w:line="240" w:lineRule="auto"/>
              <w:jc w:val="left"/>
              <w:rPr>
                <w:rFonts w:cs="Arial"/>
                <w:sz w:val="16"/>
                <w:szCs w:val="16"/>
              </w:rPr>
            </w:pPr>
            <w:r w:rsidRPr="00F33D7D">
              <w:rPr>
                <w:rFonts w:cs="Arial"/>
                <w:sz w:val="16"/>
                <w:szCs w:val="16"/>
              </w:rPr>
              <w:t>Ανάπλαση Δημοσίων Χώρων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584B9A4B" w14:textId="77777777" w:rsidR="00EA61D7" w:rsidRPr="00F33D7D" w:rsidRDefault="00EA61D7" w:rsidP="00F33D7D">
            <w:pPr>
              <w:spacing w:after="0" w:line="240" w:lineRule="auto"/>
              <w:jc w:val="right"/>
              <w:rPr>
                <w:rFonts w:cs="Arial"/>
                <w:sz w:val="16"/>
                <w:szCs w:val="16"/>
              </w:rPr>
            </w:pPr>
            <w:r w:rsidRPr="00F33D7D">
              <w:rPr>
                <w:rFonts w:cs="Arial"/>
                <w:sz w:val="16"/>
                <w:szCs w:val="16"/>
              </w:rPr>
              <w:t>10.050.000,00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676B2209" w14:textId="77777777" w:rsidR="00EA61D7" w:rsidRPr="00F33D7D" w:rsidRDefault="00EA61D7" w:rsidP="00F33D7D">
            <w:pPr>
              <w:spacing w:after="0" w:line="240" w:lineRule="auto"/>
              <w:jc w:val="right"/>
              <w:rPr>
                <w:rFonts w:cs="Arial"/>
                <w:sz w:val="16"/>
                <w:szCs w:val="16"/>
              </w:rPr>
            </w:pPr>
            <w:r w:rsidRPr="00F33D7D">
              <w:rPr>
                <w:rFonts w:cs="Arial"/>
                <w:sz w:val="16"/>
                <w:szCs w:val="16"/>
              </w:rPr>
              <w:t>10.050.000,00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1405979A" w14:textId="66EF9141"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3595AABD" w14:textId="77777777" w:rsidR="00EA61D7" w:rsidRPr="00F33D7D" w:rsidRDefault="00EA61D7" w:rsidP="00F33D7D">
            <w:pPr>
              <w:spacing w:after="0" w:line="240" w:lineRule="auto"/>
              <w:jc w:val="right"/>
              <w:rPr>
                <w:rFonts w:cs="Arial"/>
                <w:sz w:val="16"/>
                <w:szCs w:val="16"/>
              </w:rPr>
            </w:pPr>
            <w:r w:rsidRPr="00F33D7D">
              <w:rPr>
                <w:rFonts w:cs="Arial"/>
                <w:sz w:val="16"/>
                <w:szCs w:val="16"/>
              </w:rPr>
              <w:t>100.500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49C3EC8D" w14:textId="52DC6011"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5CF6AF29" w14:textId="77777777" w:rsidTr="00C52316">
        <w:trPr>
          <w:cantSplit/>
          <w:trHeight w:val="518"/>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40ADC519" w14:textId="77777777" w:rsidR="00F33D7D" w:rsidRPr="00F33D7D" w:rsidRDefault="00F33D7D" w:rsidP="00F33D7D">
            <w:pPr>
              <w:spacing w:after="0" w:line="240" w:lineRule="auto"/>
              <w:jc w:val="left"/>
              <w:rPr>
                <w:rFonts w:cs="Arial"/>
                <w:sz w:val="16"/>
                <w:szCs w:val="16"/>
              </w:rPr>
            </w:pPr>
            <w:r w:rsidRPr="00F33D7D">
              <w:rPr>
                <w:rFonts w:cs="Arial"/>
                <w:sz w:val="16"/>
                <w:szCs w:val="16"/>
              </w:rPr>
              <w:t xml:space="preserve">ΑΕ Βιομηχανικής Έρευνας, Τεχνολογικής Ανάπτυξης και Εργαστηριακών Δοκιμών, Πιστοποίησης και Ποιότητας (ΕΒΕΤΑΜ) </w:t>
            </w:r>
            <w:r w:rsidRPr="000A4110">
              <w:rPr>
                <w:rFonts w:cs="Arial"/>
                <w:sz w:val="16"/>
                <w:szCs w:val="16"/>
              </w:rPr>
              <w:t>ΑΕ</w:t>
            </w:r>
          </w:p>
          <w:p w14:paraId="26188E38" w14:textId="656F17B6" w:rsidR="00EA61D7" w:rsidRPr="002F06DF" w:rsidRDefault="00F33D7D" w:rsidP="00F33D7D">
            <w:pPr>
              <w:spacing w:after="0" w:line="240" w:lineRule="auto"/>
              <w:jc w:val="left"/>
              <w:rPr>
                <w:rFonts w:cs="Arial"/>
                <w:sz w:val="16"/>
                <w:szCs w:val="16"/>
              </w:rPr>
            </w:pPr>
            <w:r w:rsidRPr="00F33D7D">
              <w:rPr>
                <w:rFonts w:cs="Arial"/>
                <w:sz w:val="16"/>
                <w:szCs w:val="16"/>
              </w:rPr>
              <w:t>(συγχώνευση με ΕΚΕΠΥ, ΕΤΑΚΕΙ και ΕΛΟΤ)</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1714BEE8" w14:textId="77777777" w:rsidR="00EA61D7" w:rsidRPr="00F33D7D" w:rsidRDefault="00EA61D7" w:rsidP="00F33D7D">
            <w:pPr>
              <w:spacing w:after="0" w:line="240" w:lineRule="auto"/>
              <w:jc w:val="right"/>
              <w:rPr>
                <w:rFonts w:cs="Arial"/>
                <w:sz w:val="16"/>
                <w:szCs w:val="16"/>
              </w:rPr>
            </w:pPr>
            <w:r w:rsidRPr="00F33D7D">
              <w:rPr>
                <w:rFonts w:cs="Arial"/>
                <w:sz w:val="16"/>
                <w:szCs w:val="16"/>
              </w:rPr>
              <w:t>6.017.400,00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11EC857A" w14:textId="77777777" w:rsidR="00EA61D7" w:rsidRPr="00F33D7D" w:rsidRDefault="00EA61D7" w:rsidP="00F33D7D">
            <w:pPr>
              <w:spacing w:after="0" w:line="240" w:lineRule="auto"/>
              <w:jc w:val="right"/>
              <w:rPr>
                <w:rFonts w:cs="Arial"/>
                <w:sz w:val="16"/>
                <w:szCs w:val="16"/>
              </w:rPr>
            </w:pPr>
            <w:r w:rsidRPr="00F33D7D">
              <w:rPr>
                <w:rFonts w:cs="Arial"/>
                <w:sz w:val="16"/>
                <w:szCs w:val="16"/>
              </w:rPr>
              <w:t>5.343.100,00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39C95FD4" w14:textId="0FA46B1E" w:rsidR="00EA61D7" w:rsidRPr="00F33D7D" w:rsidRDefault="00EA61D7" w:rsidP="00F33D7D">
            <w:pPr>
              <w:spacing w:after="0" w:line="240" w:lineRule="auto"/>
              <w:jc w:val="right"/>
              <w:rPr>
                <w:rFonts w:cs="Arial"/>
                <w:sz w:val="16"/>
                <w:szCs w:val="16"/>
              </w:rPr>
            </w:pPr>
            <w:r w:rsidRPr="00F33D7D">
              <w:rPr>
                <w:rFonts w:cs="Arial"/>
                <w:sz w:val="16"/>
                <w:szCs w:val="16"/>
              </w:rPr>
              <w:t>88,79</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7D6E1EEE" w14:textId="77777777" w:rsidR="00EA61D7" w:rsidRPr="00F33D7D" w:rsidRDefault="00EA61D7" w:rsidP="00F33D7D">
            <w:pPr>
              <w:spacing w:after="0" w:line="240" w:lineRule="auto"/>
              <w:jc w:val="right"/>
              <w:rPr>
                <w:rFonts w:cs="Arial"/>
                <w:sz w:val="16"/>
                <w:szCs w:val="16"/>
              </w:rPr>
            </w:pPr>
            <w:r w:rsidRPr="00F33D7D">
              <w:rPr>
                <w:rFonts w:cs="Arial"/>
                <w:sz w:val="16"/>
                <w:szCs w:val="16"/>
              </w:rPr>
              <w:t>53.431</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04A58547" w14:textId="1E8A14D2"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396EFC74" w14:textId="77777777" w:rsidTr="00C52316">
        <w:trPr>
          <w:cantSplit/>
          <w:trHeight w:val="307"/>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7EAAA4D6" w14:textId="124B55CF" w:rsidR="00EA61D7" w:rsidRPr="002F06DF" w:rsidRDefault="00DE23FF" w:rsidP="00EA61D7">
            <w:pPr>
              <w:spacing w:after="0" w:line="240" w:lineRule="auto"/>
              <w:jc w:val="left"/>
              <w:rPr>
                <w:rFonts w:cs="Arial"/>
                <w:sz w:val="16"/>
                <w:szCs w:val="16"/>
              </w:rPr>
            </w:pPr>
            <w:r w:rsidRPr="00DE23FF">
              <w:rPr>
                <w:rFonts w:cs="Arial"/>
                <w:sz w:val="16"/>
                <w:szCs w:val="16"/>
              </w:rPr>
              <w:t>Δημόσια Εταιρεία Συμμετοχών Ανεξάρτητου Διαχειριστή Μεταφοράς Ηλεκτρικής Ενέργειας (ΔΕΣ ΑΔΜΗΕ)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382A9FD" w14:textId="77777777" w:rsidR="00EA61D7" w:rsidRPr="00F33D7D" w:rsidRDefault="00EA61D7" w:rsidP="00F33D7D">
            <w:pPr>
              <w:spacing w:after="0" w:line="240" w:lineRule="auto"/>
              <w:jc w:val="right"/>
              <w:rPr>
                <w:rFonts w:cs="Arial"/>
                <w:sz w:val="16"/>
                <w:szCs w:val="16"/>
              </w:rPr>
            </w:pPr>
            <w:r w:rsidRPr="00F33D7D">
              <w:rPr>
                <w:rFonts w:cs="Arial"/>
                <w:sz w:val="16"/>
                <w:szCs w:val="16"/>
              </w:rPr>
              <w:t>297.000.000,00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76C03FAD" w14:textId="4745899E" w:rsidR="00EA61D7" w:rsidRPr="00F33D7D" w:rsidRDefault="000135A4" w:rsidP="00792B96">
            <w:pPr>
              <w:spacing w:after="0" w:line="240" w:lineRule="auto"/>
              <w:jc w:val="right"/>
              <w:rPr>
                <w:rFonts w:cs="Arial"/>
                <w:sz w:val="16"/>
                <w:szCs w:val="16"/>
              </w:rPr>
            </w:pPr>
            <w:r w:rsidRPr="00F33D7D">
              <w:rPr>
                <w:rFonts w:cs="Arial"/>
                <w:sz w:val="16"/>
                <w:szCs w:val="16"/>
              </w:rPr>
              <w:t>297.000.000,00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4857B7EC" w14:textId="31AE2515"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6837BE1C" w14:textId="77777777" w:rsidR="00EA61D7" w:rsidRPr="00F33D7D" w:rsidRDefault="00EA61D7" w:rsidP="00F33D7D">
            <w:pPr>
              <w:spacing w:after="0" w:line="240" w:lineRule="auto"/>
              <w:jc w:val="right"/>
              <w:rPr>
                <w:rFonts w:cs="Arial"/>
                <w:sz w:val="16"/>
                <w:szCs w:val="16"/>
              </w:rPr>
            </w:pPr>
            <w:r w:rsidRPr="00F33D7D">
              <w:rPr>
                <w:rFonts w:cs="Arial"/>
                <w:sz w:val="16"/>
                <w:szCs w:val="16"/>
              </w:rPr>
              <w:t>1.485</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3D852F29" w14:textId="61077564" w:rsidR="00EA61D7" w:rsidRPr="00F33D7D" w:rsidRDefault="00EA61D7" w:rsidP="00F33D7D">
            <w:pPr>
              <w:spacing w:after="0" w:line="240" w:lineRule="auto"/>
              <w:jc w:val="right"/>
              <w:rPr>
                <w:rFonts w:cs="Arial"/>
                <w:sz w:val="16"/>
                <w:szCs w:val="16"/>
              </w:rPr>
            </w:pPr>
            <w:r w:rsidRPr="00F33D7D">
              <w:rPr>
                <w:rFonts w:cs="Arial"/>
                <w:sz w:val="16"/>
                <w:szCs w:val="16"/>
              </w:rPr>
              <w:t>200.000,00</w:t>
            </w:r>
          </w:p>
        </w:tc>
      </w:tr>
      <w:tr w:rsidR="00DE23FF" w:rsidRPr="002F06DF" w14:paraId="16C83364" w14:textId="77777777" w:rsidTr="00C52316">
        <w:trPr>
          <w:cantSplit/>
          <w:trHeight w:val="416"/>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527DE63E" w14:textId="55B14BB3" w:rsidR="00DE23FF" w:rsidRDefault="00DE23FF" w:rsidP="00DE23FF">
            <w:pPr>
              <w:spacing w:after="0" w:line="276" w:lineRule="auto"/>
              <w:jc w:val="left"/>
              <w:rPr>
                <w:rFonts w:cs="Arial"/>
                <w:sz w:val="16"/>
                <w:szCs w:val="16"/>
              </w:rPr>
            </w:pPr>
            <w:r w:rsidRPr="00687508">
              <w:rPr>
                <w:rFonts w:cs="Arial"/>
                <w:sz w:val="16"/>
                <w:szCs w:val="16"/>
              </w:rPr>
              <w:t>Διαχειριστής Ανανεώσιμων Πηγών Ενέργειας και Εγγυήσεων Προέλευσης (ΔΑΠΕΕΠ)</w:t>
            </w:r>
            <w:r>
              <w:rPr>
                <w:rFonts w:cs="Arial"/>
                <w:sz w:val="16"/>
                <w:szCs w:val="16"/>
              </w:rPr>
              <w:t xml:space="preserve"> ΑΕ</w:t>
            </w:r>
          </w:p>
          <w:p w14:paraId="71D7CFB2" w14:textId="7714B40A" w:rsidR="00EA61D7" w:rsidRPr="002F06DF" w:rsidRDefault="00DE23FF" w:rsidP="00DE23FF">
            <w:pPr>
              <w:spacing w:after="0" w:line="240" w:lineRule="auto"/>
              <w:jc w:val="left"/>
              <w:rPr>
                <w:rFonts w:cs="Arial"/>
                <w:sz w:val="16"/>
                <w:szCs w:val="16"/>
              </w:rPr>
            </w:pPr>
            <w:r w:rsidRPr="00687508">
              <w:rPr>
                <w:rFonts w:cs="Arial"/>
                <w:sz w:val="16"/>
                <w:szCs w:val="16"/>
              </w:rPr>
              <w:t xml:space="preserve">(πρώην ΔΕΣΜΗΕ ΑΕ </w:t>
            </w:r>
            <w:r>
              <w:rPr>
                <w:rFonts w:cs="Arial"/>
                <w:sz w:val="16"/>
                <w:szCs w:val="16"/>
              </w:rPr>
              <w:t xml:space="preserve">και </w:t>
            </w:r>
            <w:r w:rsidRPr="00687508">
              <w:rPr>
                <w:rFonts w:cs="Arial"/>
                <w:sz w:val="16"/>
                <w:szCs w:val="16"/>
              </w:rPr>
              <w:t>πρώην ΛΑΓΗΕ</w:t>
            </w:r>
            <w:r>
              <w:rPr>
                <w:rFonts w:cs="Arial"/>
                <w:sz w:val="16"/>
                <w:szCs w:val="16"/>
              </w:rPr>
              <w:t xml:space="preserve"> </w:t>
            </w:r>
            <w:r w:rsidRPr="00687508">
              <w:rPr>
                <w:rFonts w:cs="Arial"/>
                <w:sz w:val="16"/>
                <w:szCs w:val="16"/>
              </w:rPr>
              <w:t>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F47CC88"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007E7AC4"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0F386056" w14:textId="00D15F8A"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00D48064"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734E1D55" w14:textId="10F0A124"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4DBD57AD"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19684126" w14:textId="1AA0B2CA" w:rsidR="00EA61D7" w:rsidRPr="002F06DF" w:rsidRDefault="00DE23FF" w:rsidP="00EA61D7">
            <w:pPr>
              <w:spacing w:after="0" w:line="240" w:lineRule="auto"/>
              <w:jc w:val="left"/>
              <w:rPr>
                <w:rFonts w:cs="Arial"/>
                <w:color w:val="000000"/>
                <w:sz w:val="16"/>
                <w:szCs w:val="16"/>
              </w:rPr>
            </w:pPr>
            <w:r w:rsidRPr="00DE23FF">
              <w:rPr>
                <w:rFonts w:cs="Arial"/>
                <w:color w:val="000000"/>
                <w:sz w:val="16"/>
                <w:szCs w:val="16"/>
              </w:rPr>
              <w:t>Διαχειριστής Εθνικού Συστήματος Φυσικού Αερίου (ΔΕΣΦΑ)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4F97FCA9" w14:textId="77777777" w:rsidR="00EA61D7" w:rsidRPr="00F33D7D" w:rsidRDefault="00EA61D7" w:rsidP="00F33D7D">
            <w:pPr>
              <w:spacing w:after="0" w:line="240" w:lineRule="auto"/>
              <w:jc w:val="right"/>
              <w:rPr>
                <w:rFonts w:cs="Arial"/>
                <w:sz w:val="16"/>
                <w:szCs w:val="16"/>
              </w:rPr>
            </w:pPr>
            <w:r w:rsidRPr="00F33D7D">
              <w:rPr>
                <w:rFonts w:cs="Arial"/>
                <w:sz w:val="16"/>
                <w:szCs w:val="16"/>
              </w:rPr>
              <w:t>456.278.361,84</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14C4BF88" w14:textId="684CF1AE" w:rsidR="00EA61D7" w:rsidRPr="00F33D7D" w:rsidRDefault="000135A4" w:rsidP="00F33D7D">
            <w:pPr>
              <w:spacing w:after="0" w:line="240" w:lineRule="auto"/>
              <w:jc w:val="right"/>
              <w:rPr>
                <w:rFonts w:cs="Arial"/>
                <w:sz w:val="16"/>
                <w:szCs w:val="16"/>
              </w:rPr>
            </w:pPr>
            <w:r w:rsidRPr="00F33D7D">
              <w:rPr>
                <w:rFonts w:cs="Arial"/>
                <w:sz w:val="16"/>
                <w:szCs w:val="16"/>
              </w:rPr>
              <w:t>155.134.645,54</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5AF4799B" w14:textId="7B4ADA7D" w:rsidR="00EA61D7" w:rsidRPr="00F33D7D" w:rsidRDefault="00EA61D7" w:rsidP="00F33D7D">
            <w:pPr>
              <w:spacing w:after="0" w:line="240" w:lineRule="auto"/>
              <w:jc w:val="right"/>
              <w:rPr>
                <w:rFonts w:cs="Arial"/>
                <w:sz w:val="16"/>
                <w:szCs w:val="16"/>
              </w:rPr>
            </w:pPr>
            <w:r w:rsidRPr="00F33D7D">
              <w:rPr>
                <w:rFonts w:cs="Arial"/>
                <w:sz w:val="16"/>
                <w:szCs w:val="16"/>
              </w:rPr>
              <w:t>34,00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6FEA07CC" w14:textId="77777777" w:rsidR="00EA61D7" w:rsidRPr="00F33D7D" w:rsidRDefault="00EA61D7" w:rsidP="00F33D7D">
            <w:pPr>
              <w:spacing w:after="0" w:line="240" w:lineRule="auto"/>
              <w:jc w:val="right"/>
              <w:rPr>
                <w:rFonts w:cs="Arial"/>
                <w:sz w:val="16"/>
                <w:szCs w:val="16"/>
              </w:rPr>
            </w:pPr>
            <w:r w:rsidRPr="00F33D7D">
              <w:rPr>
                <w:rFonts w:cs="Arial"/>
                <w:sz w:val="16"/>
                <w:szCs w:val="16"/>
              </w:rPr>
              <w:t>2.467.939</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003A0ACF" w14:textId="3515A2FB" w:rsidR="00EA61D7" w:rsidRPr="00F33D7D" w:rsidRDefault="00EA61D7" w:rsidP="00F33D7D">
            <w:pPr>
              <w:spacing w:after="0" w:line="240" w:lineRule="auto"/>
              <w:jc w:val="right"/>
              <w:rPr>
                <w:rFonts w:cs="Arial"/>
                <w:sz w:val="16"/>
                <w:szCs w:val="16"/>
              </w:rPr>
            </w:pPr>
            <w:r w:rsidRPr="00F33D7D">
              <w:rPr>
                <w:rFonts w:cs="Arial"/>
                <w:sz w:val="16"/>
                <w:szCs w:val="16"/>
              </w:rPr>
              <w:t>62,86</w:t>
            </w:r>
          </w:p>
        </w:tc>
      </w:tr>
      <w:tr w:rsidR="00DE23FF" w:rsidRPr="002F06DF" w14:paraId="51205148"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73D975B1" w14:textId="3E1979CD" w:rsidR="00EA61D7" w:rsidRPr="002F06DF" w:rsidRDefault="00DE23FF" w:rsidP="00EA61D7">
            <w:pPr>
              <w:spacing w:after="0" w:line="240" w:lineRule="auto"/>
              <w:jc w:val="left"/>
              <w:rPr>
                <w:rFonts w:cs="Arial"/>
                <w:color w:val="000000"/>
                <w:sz w:val="16"/>
                <w:szCs w:val="16"/>
              </w:rPr>
            </w:pPr>
            <w:r w:rsidRPr="009D0D9E">
              <w:rPr>
                <w:rFonts w:cs="Arial"/>
                <w:sz w:val="16"/>
                <w:szCs w:val="16"/>
              </w:rPr>
              <w:t>Διεθνής Αερολιμένας Ηρακλείου Κρήτης ΑΕ</w:t>
            </w:r>
            <w:r w:rsidRPr="002F06DF">
              <w:rPr>
                <w:rFonts w:cs="Arial"/>
                <w:color w:val="000000"/>
                <w:sz w:val="16"/>
                <w:szCs w:val="16"/>
              </w:rPr>
              <w:t xml:space="preserve"> </w:t>
            </w:r>
            <w:r w:rsidR="00EA61D7" w:rsidRPr="002F06DF">
              <w:rPr>
                <w:rFonts w:cs="Arial"/>
                <w:color w:val="000000"/>
                <w:sz w:val="16"/>
                <w:szCs w:val="16"/>
              </w:rPr>
              <w:t>Π</w:t>
            </w:r>
            <w:r>
              <w:rPr>
                <w:rFonts w:cs="Arial"/>
                <w:color w:val="000000"/>
                <w:sz w:val="16"/>
                <w:szCs w:val="16"/>
              </w:rPr>
              <w:t xml:space="preserve">αραχώρησης </w:t>
            </w:r>
            <w:r w:rsidR="00EA61D7" w:rsidRPr="002F06DF">
              <w:rPr>
                <w:rFonts w:cs="Arial"/>
                <w:color w:val="000000"/>
                <w:sz w:val="16"/>
                <w:szCs w:val="16"/>
              </w:rPr>
              <w:t>(ΔΑΗΚ)</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884FA76" w14:textId="77777777" w:rsidR="00EA61D7" w:rsidRPr="00F33D7D" w:rsidRDefault="00EA61D7" w:rsidP="00F33D7D">
            <w:pPr>
              <w:spacing w:after="0" w:line="240" w:lineRule="auto"/>
              <w:jc w:val="right"/>
              <w:rPr>
                <w:rFonts w:cs="Arial"/>
                <w:sz w:val="16"/>
                <w:szCs w:val="16"/>
              </w:rPr>
            </w:pPr>
            <w:r w:rsidRPr="00F33D7D">
              <w:rPr>
                <w:rFonts w:cs="Arial"/>
                <w:sz w:val="16"/>
                <w:szCs w:val="16"/>
              </w:rPr>
              <w:t>175.500.000,00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2089881D" w14:textId="77777777" w:rsidR="00EA61D7" w:rsidRPr="00F33D7D" w:rsidRDefault="00EA61D7" w:rsidP="00F33D7D">
            <w:pPr>
              <w:spacing w:after="0" w:line="240" w:lineRule="auto"/>
              <w:jc w:val="right"/>
              <w:rPr>
                <w:rFonts w:cs="Arial"/>
                <w:sz w:val="16"/>
                <w:szCs w:val="16"/>
              </w:rPr>
            </w:pPr>
            <w:r w:rsidRPr="00F33D7D">
              <w:rPr>
                <w:rFonts w:cs="Arial"/>
                <w:sz w:val="16"/>
                <w:szCs w:val="16"/>
              </w:rPr>
              <w:t>80.554.500,00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57379521" w14:textId="01ACF7CF" w:rsidR="00EA61D7" w:rsidRPr="00F33D7D" w:rsidRDefault="00EA61D7" w:rsidP="00F33D7D">
            <w:pPr>
              <w:spacing w:after="0" w:line="240" w:lineRule="auto"/>
              <w:jc w:val="right"/>
              <w:rPr>
                <w:rFonts w:cs="Arial"/>
                <w:sz w:val="16"/>
                <w:szCs w:val="16"/>
              </w:rPr>
            </w:pPr>
            <w:r w:rsidRPr="00F33D7D">
              <w:rPr>
                <w:rFonts w:cs="Arial"/>
                <w:sz w:val="16"/>
                <w:szCs w:val="16"/>
              </w:rPr>
              <w:t>45,90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0A60EF9A" w14:textId="77777777" w:rsidR="00EA61D7" w:rsidRPr="00F33D7D" w:rsidRDefault="00EA61D7" w:rsidP="00F33D7D">
            <w:pPr>
              <w:spacing w:after="0" w:line="240" w:lineRule="auto"/>
              <w:jc w:val="right"/>
              <w:rPr>
                <w:rFonts w:cs="Arial"/>
                <w:sz w:val="16"/>
                <w:szCs w:val="16"/>
              </w:rPr>
            </w:pPr>
            <w:r w:rsidRPr="00F33D7D">
              <w:rPr>
                <w:rFonts w:cs="Arial"/>
                <w:sz w:val="16"/>
                <w:szCs w:val="16"/>
              </w:rPr>
              <w:t>80.554.500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43D4ADE7" w14:textId="7CA93B9C" w:rsidR="00EA61D7" w:rsidRPr="00F33D7D" w:rsidRDefault="00EA61D7" w:rsidP="00F33D7D">
            <w:pPr>
              <w:spacing w:after="0" w:line="240" w:lineRule="auto"/>
              <w:jc w:val="right"/>
              <w:rPr>
                <w:rFonts w:cs="Arial"/>
                <w:sz w:val="16"/>
                <w:szCs w:val="16"/>
              </w:rPr>
            </w:pPr>
            <w:r w:rsidRPr="00F33D7D">
              <w:rPr>
                <w:rFonts w:cs="Arial"/>
                <w:sz w:val="16"/>
                <w:szCs w:val="16"/>
              </w:rPr>
              <w:t>1,00</w:t>
            </w:r>
          </w:p>
        </w:tc>
      </w:tr>
      <w:tr w:rsidR="00DE23FF" w:rsidRPr="002F06DF" w14:paraId="7E3CB5FB"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5FDB133E" w14:textId="248D1894" w:rsidR="00EA61D7" w:rsidRPr="002F06DF" w:rsidRDefault="00DE23FF" w:rsidP="00EA61D7">
            <w:pPr>
              <w:spacing w:after="0" w:line="240" w:lineRule="auto"/>
              <w:jc w:val="left"/>
              <w:rPr>
                <w:rFonts w:cs="Arial"/>
                <w:color w:val="000000"/>
                <w:sz w:val="16"/>
                <w:szCs w:val="16"/>
              </w:rPr>
            </w:pPr>
            <w:r w:rsidRPr="00DE23FF">
              <w:rPr>
                <w:rFonts w:cs="Arial"/>
                <w:color w:val="000000"/>
                <w:sz w:val="16"/>
                <w:szCs w:val="16"/>
              </w:rPr>
              <w:t>ΔΙΟΝΥΣΟΣ Ανώνυμος Γεωργική Βιομηχανική Εμπορική Κτηματική και Τουριστική Εταιρεία</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27E146D" w14:textId="77777777" w:rsidR="00EA61D7" w:rsidRPr="00F33D7D" w:rsidRDefault="00EA61D7" w:rsidP="00F33D7D">
            <w:pPr>
              <w:spacing w:after="0" w:line="240" w:lineRule="auto"/>
              <w:jc w:val="right"/>
              <w:rPr>
                <w:rFonts w:cs="Arial"/>
                <w:sz w:val="16"/>
                <w:szCs w:val="16"/>
              </w:rPr>
            </w:pPr>
            <w:r w:rsidRPr="00F33D7D">
              <w:rPr>
                <w:rFonts w:cs="Arial"/>
                <w:sz w:val="16"/>
                <w:szCs w:val="16"/>
              </w:rPr>
              <w:t>100.883.079,00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69E290CE" w14:textId="77777777" w:rsidR="00EA61D7" w:rsidRPr="00F33D7D" w:rsidRDefault="00EA61D7" w:rsidP="00F33D7D">
            <w:pPr>
              <w:spacing w:after="0" w:line="240" w:lineRule="auto"/>
              <w:jc w:val="right"/>
              <w:rPr>
                <w:rFonts w:cs="Arial"/>
                <w:sz w:val="16"/>
                <w:szCs w:val="16"/>
              </w:rPr>
            </w:pPr>
            <w:r w:rsidRPr="00F33D7D">
              <w:rPr>
                <w:rFonts w:cs="Arial"/>
                <w:sz w:val="16"/>
                <w:szCs w:val="16"/>
              </w:rPr>
              <w:t>20.715,75</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33DA2EBD" w14:textId="63AB6BBB" w:rsidR="00EA61D7" w:rsidRPr="00F33D7D" w:rsidRDefault="00EA61D7" w:rsidP="00F33D7D">
            <w:pPr>
              <w:spacing w:after="0" w:line="240" w:lineRule="auto"/>
              <w:jc w:val="right"/>
              <w:rPr>
                <w:rFonts w:cs="Arial"/>
                <w:sz w:val="16"/>
                <w:szCs w:val="16"/>
              </w:rPr>
            </w:pPr>
            <w:r w:rsidRPr="00F33D7D">
              <w:rPr>
                <w:rFonts w:cs="Arial"/>
                <w:sz w:val="16"/>
                <w:szCs w:val="16"/>
              </w:rPr>
              <w:t>0,02</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543FE4D2" w14:textId="77777777" w:rsidR="00EA61D7" w:rsidRPr="00F33D7D" w:rsidRDefault="00EA61D7" w:rsidP="00F33D7D">
            <w:pPr>
              <w:spacing w:after="0" w:line="240" w:lineRule="auto"/>
              <w:jc w:val="right"/>
              <w:rPr>
                <w:rFonts w:cs="Arial"/>
                <w:sz w:val="16"/>
                <w:szCs w:val="16"/>
              </w:rPr>
            </w:pPr>
            <w:r w:rsidRPr="00F33D7D">
              <w:rPr>
                <w:rFonts w:cs="Arial"/>
                <w:sz w:val="16"/>
                <w:szCs w:val="16"/>
              </w:rPr>
              <w:t>837</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323A362A" w14:textId="33785D1B" w:rsidR="00EA61D7" w:rsidRPr="00F33D7D" w:rsidRDefault="00EA61D7" w:rsidP="00F33D7D">
            <w:pPr>
              <w:spacing w:after="0" w:line="240" w:lineRule="auto"/>
              <w:jc w:val="right"/>
              <w:rPr>
                <w:rFonts w:cs="Arial"/>
                <w:sz w:val="16"/>
                <w:szCs w:val="16"/>
              </w:rPr>
            </w:pPr>
            <w:r w:rsidRPr="00F33D7D">
              <w:rPr>
                <w:rFonts w:cs="Arial"/>
                <w:sz w:val="16"/>
                <w:szCs w:val="16"/>
              </w:rPr>
              <w:t>24,75</w:t>
            </w:r>
          </w:p>
        </w:tc>
      </w:tr>
      <w:tr w:rsidR="00DE23FF" w:rsidRPr="002F06DF" w14:paraId="73838448"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7A1E5E62" w14:textId="77777777" w:rsidR="000135A4" w:rsidRPr="002F06DF" w:rsidRDefault="000135A4" w:rsidP="000135A4">
            <w:pPr>
              <w:spacing w:after="0" w:line="240" w:lineRule="auto"/>
              <w:jc w:val="left"/>
              <w:rPr>
                <w:rFonts w:cs="Arial"/>
                <w:sz w:val="16"/>
                <w:szCs w:val="16"/>
              </w:rPr>
            </w:pPr>
            <w:r w:rsidRPr="002F06DF">
              <w:rPr>
                <w:rFonts w:cs="Arial"/>
                <w:sz w:val="16"/>
                <w:szCs w:val="16"/>
              </w:rPr>
              <w:lastRenderedPageBreak/>
              <w:t>Εγνατία Οδός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A17CDB5" w14:textId="30B1F86E" w:rsidR="000135A4" w:rsidRPr="00F33D7D" w:rsidRDefault="000135A4" w:rsidP="00F33D7D">
            <w:pPr>
              <w:spacing w:after="0" w:line="240" w:lineRule="auto"/>
              <w:jc w:val="right"/>
              <w:rPr>
                <w:rFonts w:cs="Arial"/>
                <w:sz w:val="16"/>
                <w:szCs w:val="16"/>
              </w:rPr>
            </w:pPr>
            <w:r w:rsidRPr="00F33D7D">
              <w:rPr>
                <w:rFonts w:cs="Arial"/>
                <w:sz w:val="16"/>
                <w:szCs w:val="16"/>
              </w:rPr>
              <w:t>7.179.243.700,00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7E3B9F8C" w14:textId="750EDC9E" w:rsidR="000135A4" w:rsidRPr="00F33D7D" w:rsidRDefault="000135A4" w:rsidP="00F33D7D">
            <w:pPr>
              <w:spacing w:after="0" w:line="240" w:lineRule="auto"/>
              <w:jc w:val="right"/>
              <w:rPr>
                <w:rFonts w:cs="Arial"/>
                <w:sz w:val="16"/>
                <w:szCs w:val="16"/>
              </w:rPr>
            </w:pPr>
            <w:r w:rsidRPr="00F33D7D">
              <w:rPr>
                <w:rFonts w:cs="Arial"/>
                <w:sz w:val="16"/>
                <w:szCs w:val="16"/>
              </w:rPr>
              <w:t>7.179.243.700,00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5064B55F" w14:textId="4250D33B" w:rsidR="000135A4" w:rsidRPr="00F33D7D" w:rsidRDefault="000135A4" w:rsidP="00F33D7D">
            <w:pPr>
              <w:spacing w:after="0" w:line="240" w:lineRule="auto"/>
              <w:jc w:val="right"/>
              <w:rPr>
                <w:rFonts w:cs="Arial"/>
                <w:color w:val="000000"/>
                <w:sz w:val="16"/>
                <w:szCs w:val="16"/>
              </w:rPr>
            </w:pPr>
            <w:r w:rsidRPr="00F33D7D">
              <w:rPr>
                <w:rFonts w:cs="Arial"/>
                <w:color w:val="000000"/>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428ECC90" w14:textId="77777777" w:rsidR="000135A4" w:rsidRPr="00F33D7D" w:rsidRDefault="000135A4" w:rsidP="00F33D7D">
            <w:pPr>
              <w:spacing w:after="0" w:line="240" w:lineRule="auto"/>
              <w:jc w:val="right"/>
              <w:rPr>
                <w:rFonts w:cs="Arial"/>
                <w:sz w:val="16"/>
                <w:szCs w:val="16"/>
              </w:rPr>
            </w:pPr>
            <w:r w:rsidRPr="00F33D7D">
              <w:rPr>
                <w:rFonts w:cs="Arial"/>
                <w:sz w:val="16"/>
                <w:szCs w:val="16"/>
              </w:rPr>
              <w:t>71.792.437</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7B4A7BFD" w14:textId="1B45C9EB" w:rsidR="000135A4" w:rsidRPr="00F33D7D" w:rsidRDefault="000135A4" w:rsidP="00F33D7D">
            <w:pPr>
              <w:spacing w:after="0" w:line="240" w:lineRule="auto"/>
              <w:jc w:val="right"/>
              <w:rPr>
                <w:rFonts w:cs="Arial"/>
                <w:sz w:val="16"/>
                <w:szCs w:val="16"/>
              </w:rPr>
            </w:pPr>
            <w:r w:rsidRPr="00F33D7D">
              <w:rPr>
                <w:rFonts w:cs="Arial"/>
                <w:sz w:val="16"/>
                <w:szCs w:val="16"/>
              </w:rPr>
              <w:t>100,00</w:t>
            </w:r>
          </w:p>
        </w:tc>
      </w:tr>
      <w:tr w:rsidR="00DE23FF" w:rsidRPr="002F06DF" w14:paraId="63F0EA39" w14:textId="77777777" w:rsidTr="00C52316">
        <w:trPr>
          <w:cantSplit/>
          <w:trHeight w:val="313"/>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67CE2EB7" w14:textId="53D04B10" w:rsidR="00DD578D" w:rsidRDefault="00493B58" w:rsidP="00EA61D7">
            <w:pPr>
              <w:spacing w:after="0" w:line="240" w:lineRule="auto"/>
              <w:jc w:val="left"/>
              <w:rPr>
                <w:rFonts w:cs="Arial"/>
                <w:color w:val="000000"/>
                <w:sz w:val="16"/>
                <w:szCs w:val="16"/>
              </w:rPr>
            </w:pPr>
            <w:r w:rsidRPr="00493B58">
              <w:rPr>
                <w:rFonts w:cs="Arial"/>
                <w:color w:val="000000"/>
                <w:sz w:val="16"/>
                <w:szCs w:val="16"/>
              </w:rPr>
              <w:t>Ελληνικό Κέντρο Κινηματογράφου, Οπτικοακουστικών Μέσων και Δημιουργίας (ΕΚΚΟΜΕΔ) ΑΕ</w:t>
            </w:r>
          </w:p>
          <w:p w14:paraId="1776A33D" w14:textId="5216E06F" w:rsidR="00EA61D7" w:rsidRPr="002F06DF" w:rsidRDefault="00DD578D" w:rsidP="00EA61D7">
            <w:pPr>
              <w:spacing w:after="0" w:line="240" w:lineRule="auto"/>
              <w:jc w:val="left"/>
              <w:rPr>
                <w:rFonts w:cs="Arial"/>
                <w:color w:val="000000"/>
                <w:sz w:val="16"/>
                <w:szCs w:val="16"/>
              </w:rPr>
            </w:pPr>
            <w:r w:rsidRPr="000A4110">
              <w:rPr>
                <w:rFonts w:cs="Arial"/>
                <w:color w:val="000000"/>
                <w:sz w:val="16"/>
                <w:szCs w:val="16"/>
              </w:rPr>
              <w:t xml:space="preserve">Creative Greece </w:t>
            </w:r>
            <w:r w:rsidR="00E316E4">
              <w:rPr>
                <w:rFonts w:cs="Arial"/>
                <w:color w:val="000000"/>
                <w:sz w:val="16"/>
                <w:szCs w:val="16"/>
                <w:lang w:val="en-US"/>
              </w:rPr>
              <w:t>SA</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3D610FFC" w14:textId="77777777" w:rsidR="00EA61D7" w:rsidRPr="00F33D7D" w:rsidRDefault="00EA61D7" w:rsidP="00F33D7D">
            <w:pPr>
              <w:spacing w:after="0" w:line="240" w:lineRule="auto"/>
              <w:jc w:val="right"/>
              <w:rPr>
                <w:rFonts w:cs="Arial"/>
                <w:sz w:val="16"/>
                <w:szCs w:val="16"/>
              </w:rPr>
            </w:pPr>
            <w:r w:rsidRPr="00F33D7D">
              <w:rPr>
                <w:rFonts w:cs="Arial"/>
                <w:sz w:val="16"/>
                <w:szCs w:val="16"/>
              </w:rPr>
              <w:t>3.000.000,00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4FAF128F" w14:textId="77777777" w:rsidR="00EA61D7" w:rsidRPr="00F33D7D" w:rsidRDefault="00EA61D7" w:rsidP="00F33D7D">
            <w:pPr>
              <w:spacing w:after="0" w:line="240" w:lineRule="auto"/>
              <w:jc w:val="right"/>
              <w:rPr>
                <w:rFonts w:cs="Arial"/>
                <w:sz w:val="16"/>
                <w:szCs w:val="16"/>
              </w:rPr>
            </w:pPr>
            <w:r w:rsidRPr="00F33D7D">
              <w:rPr>
                <w:rFonts w:cs="Arial"/>
                <w:sz w:val="16"/>
                <w:szCs w:val="16"/>
              </w:rPr>
              <w:t>3.000.000,00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0A67D3E4" w14:textId="31C4574D"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4C38806F" w14:textId="77777777" w:rsidR="00EA61D7" w:rsidRPr="00F33D7D" w:rsidRDefault="00EA61D7" w:rsidP="00F33D7D">
            <w:pPr>
              <w:spacing w:after="0" w:line="240" w:lineRule="auto"/>
              <w:jc w:val="right"/>
              <w:rPr>
                <w:rFonts w:cs="Arial"/>
                <w:sz w:val="16"/>
                <w:szCs w:val="16"/>
              </w:rPr>
            </w:pPr>
            <w:r w:rsidRPr="00F33D7D">
              <w:rPr>
                <w:rFonts w:cs="Arial"/>
                <w:sz w:val="16"/>
                <w:szCs w:val="16"/>
              </w:rPr>
              <w:t>30.000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2EA3FB6A" w14:textId="01F3A1CE"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6CE8D0DC"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2C5668F2" w14:textId="05E2C1C0" w:rsidR="00EA61D7" w:rsidRPr="002F06DF" w:rsidRDefault="00EA61D7" w:rsidP="00EA61D7">
            <w:pPr>
              <w:spacing w:after="0" w:line="240" w:lineRule="auto"/>
              <w:jc w:val="left"/>
              <w:rPr>
                <w:rFonts w:cs="Arial"/>
                <w:color w:val="000000"/>
                <w:sz w:val="16"/>
                <w:szCs w:val="16"/>
              </w:rPr>
            </w:pPr>
            <w:r w:rsidRPr="002F06DF">
              <w:rPr>
                <w:rFonts w:cs="Arial"/>
                <w:color w:val="000000"/>
                <w:sz w:val="16"/>
                <w:szCs w:val="16"/>
              </w:rPr>
              <w:t xml:space="preserve">Εθνικό Μητρώο Νεοφυών Επιχειρήσεων ΑΕ (Elevate Greece </w:t>
            </w:r>
            <w:r w:rsidR="00E316E4">
              <w:rPr>
                <w:rFonts w:cs="Arial"/>
                <w:color w:val="000000"/>
                <w:sz w:val="16"/>
                <w:szCs w:val="16"/>
                <w:lang w:val="en-US"/>
              </w:rPr>
              <w:t>SA</w:t>
            </w:r>
            <w:r w:rsidRPr="002F06DF">
              <w:rPr>
                <w:rFonts w:cs="Arial"/>
                <w:color w:val="000000"/>
                <w:sz w:val="16"/>
                <w:szCs w:val="16"/>
              </w:rPr>
              <w:t>)</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0A04D665" w14:textId="77777777" w:rsidR="00EA61D7" w:rsidRPr="00F33D7D" w:rsidRDefault="00EA61D7" w:rsidP="00F33D7D">
            <w:pPr>
              <w:spacing w:after="0" w:line="240" w:lineRule="auto"/>
              <w:jc w:val="right"/>
              <w:rPr>
                <w:rFonts w:cs="Arial"/>
                <w:sz w:val="16"/>
                <w:szCs w:val="16"/>
              </w:rPr>
            </w:pPr>
            <w:r w:rsidRPr="00F33D7D">
              <w:rPr>
                <w:rFonts w:cs="Arial"/>
                <w:sz w:val="16"/>
                <w:szCs w:val="16"/>
              </w:rPr>
              <w:t>700.000,00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76A1A94B" w14:textId="77777777" w:rsidR="00EA61D7" w:rsidRPr="00F33D7D" w:rsidRDefault="00EA61D7" w:rsidP="00F33D7D">
            <w:pPr>
              <w:spacing w:after="0" w:line="240" w:lineRule="auto"/>
              <w:jc w:val="right"/>
              <w:rPr>
                <w:rFonts w:cs="Arial"/>
                <w:sz w:val="16"/>
                <w:szCs w:val="16"/>
              </w:rPr>
            </w:pPr>
            <w:r w:rsidRPr="00F33D7D">
              <w:rPr>
                <w:rFonts w:cs="Arial"/>
                <w:sz w:val="16"/>
                <w:szCs w:val="16"/>
              </w:rPr>
              <w:t>700.000,00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32E8A2D3" w14:textId="5455E8C8"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21BB46CE" w14:textId="77777777" w:rsidR="00EA61D7" w:rsidRPr="00F33D7D" w:rsidRDefault="00EA61D7" w:rsidP="00F33D7D">
            <w:pPr>
              <w:spacing w:after="0" w:line="240" w:lineRule="auto"/>
              <w:jc w:val="right"/>
              <w:rPr>
                <w:rFonts w:cs="Arial"/>
                <w:sz w:val="16"/>
                <w:szCs w:val="16"/>
              </w:rPr>
            </w:pPr>
            <w:r w:rsidRPr="00F33D7D">
              <w:rPr>
                <w:rFonts w:cs="Arial"/>
                <w:sz w:val="16"/>
                <w:szCs w:val="16"/>
              </w:rPr>
              <w:t>7.000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2898119F" w14:textId="76CDA116"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7D89D208"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13B7E53E" w14:textId="7C19978C" w:rsidR="00A675F0" w:rsidRPr="00A675F0" w:rsidRDefault="00EA61D7" w:rsidP="00A675F0">
            <w:pPr>
              <w:spacing w:after="0" w:line="240" w:lineRule="auto"/>
              <w:jc w:val="left"/>
              <w:rPr>
                <w:rFonts w:cs="Arial"/>
                <w:color w:val="000000"/>
                <w:sz w:val="16"/>
                <w:szCs w:val="16"/>
              </w:rPr>
            </w:pPr>
            <w:r w:rsidRPr="002F06DF">
              <w:rPr>
                <w:rFonts w:cs="Arial"/>
                <w:color w:val="000000"/>
                <w:sz w:val="16"/>
                <w:szCs w:val="16"/>
              </w:rPr>
              <w:t xml:space="preserve">Ελληνική Αναπτυξιακή Τράπεζα </w:t>
            </w:r>
            <w:r w:rsidR="00A675F0">
              <w:rPr>
                <w:rFonts w:cs="Arial"/>
                <w:color w:val="000000"/>
                <w:sz w:val="16"/>
                <w:szCs w:val="16"/>
              </w:rPr>
              <w:t xml:space="preserve">(ΕΑΤ) </w:t>
            </w:r>
            <w:r w:rsidRPr="00AA1A33">
              <w:rPr>
                <w:rFonts w:cs="Arial"/>
                <w:color w:val="000000"/>
                <w:sz w:val="16"/>
                <w:szCs w:val="16"/>
              </w:rPr>
              <w:t>ΑΕ</w:t>
            </w:r>
          </w:p>
          <w:p w14:paraId="3AA1686E" w14:textId="415B7C77" w:rsidR="00DD578D" w:rsidRPr="002F06DF" w:rsidRDefault="00AA1A33" w:rsidP="00A675F0">
            <w:pPr>
              <w:spacing w:after="0" w:line="240" w:lineRule="auto"/>
              <w:jc w:val="left"/>
              <w:rPr>
                <w:rFonts w:cs="Arial"/>
                <w:color w:val="000000"/>
                <w:sz w:val="16"/>
                <w:szCs w:val="16"/>
              </w:rPr>
            </w:pPr>
            <w:r w:rsidRPr="000A4110">
              <w:rPr>
                <w:rFonts w:cs="Arial"/>
                <w:color w:val="000000"/>
                <w:sz w:val="16"/>
                <w:szCs w:val="16"/>
              </w:rPr>
              <w:t xml:space="preserve">(πρώην ΕΤΕΑΝ </w:t>
            </w:r>
            <w:r w:rsidR="00A675F0">
              <w:rPr>
                <w:rFonts w:cs="Arial"/>
                <w:color w:val="000000"/>
                <w:sz w:val="16"/>
                <w:szCs w:val="16"/>
              </w:rPr>
              <w:t xml:space="preserve">ΑΕ </w:t>
            </w:r>
            <w:r w:rsidRPr="000A4110">
              <w:rPr>
                <w:rFonts w:cs="Arial"/>
                <w:color w:val="000000"/>
                <w:sz w:val="16"/>
                <w:szCs w:val="16"/>
              </w:rPr>
              <w:t>και πρώην ΤΕΜΠΜΕ</w:t>
            </w:r>
            <w:r w:rsidR="00A675F0">
              <w:rPr>
                <w:rFonts w:cs="Arial"/>
                <w:color w:val="000000"/>
                <w:sz w:val="16"/>
                <w:szCs w:val="16"/>
              </w:rPr>
              <w:t xml:space="preserve"> ΑΕ</w:t>
            </w:r>
            <w:r w:rsidRPr="000A4110">
              <w:rPr>
                <w:rFonts w:cs="Arial"/>
                <w:color w:val="000000"/>
                <w:sz w:val="16"/>
                <w:szCs w:val="16"/>
              </w:rPr>
              <w:t>)</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5D301C00" w14:textId="77777777" w:rsidR="00EA61D7" w:rsidRPr="00F33D7D" w:rsidRDefault="00EA61D7" w:rsidP="00F33D7D">
            <w:pPr>
              <w:spacing w:after="0" w:line="240" w:lineRule="auto"/>
              <w:jc w:val="right"/>
              <w:rPr>
                <w:rFonts w:cs="Arial"/>
                <w:sz w:val="16"/>
                <w:szCs w:val="16"/>
              </w:rPr>
            </w:pPr>
            <w:r w:rsidRPr="00F33D7D">
              <w:rPr>
                <w:rFonts w:cs="Arial"/>
                <w:sz w:val="16"/>
                <w:szCs w:val="16"/>
              </w:rPr>
              <w:t>478.433.200,00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19AF1640" w14:textId="45ED10A1" w:rsidR="00EA61D7" w:rsidRPr="00F33D7D" w:rsidRDefault="000135A4" w:rsidP="00F33D7D">
            <w:pPr>
              <w:spacing w:after="0" w:line="240" w:lineRule="auto"/>
              <w:jc w:val="right"/>
              <w:rPr>
                <w:rFonts w:cs="Arial"/>
                <w:sz w:val="16"/>
                <w:szCs w:val="16"/>
              </w:rPr>
            </w:pPr>
            <w:r w:rsidRPr="00F33D7D">
              <w:rPr>
                <w:rFonts w:cs="Arial"/>
                <w:sz w:val="16"/>
                <w:szCs w:val="16"/>
              </w:rPr>
              <w:t>478.433.200,00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6CF55E74" w14:textId="7ED02941"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1C3573BD" w14:textId="77777777" w:rsidR="00EA61D7" w:rsidRPr="00F33D7D" w:rsidRDefault="00EA61D7" w:rsidP="00F33D7D">
            <w:pPr>
              <w:spacing w:after="0" w:line="240" w:lineRule="auto"/>
              <w:jc w:val="right"/>
              <w:rPr>
                <w:rFonts w:cs="Arial"/>
                <w:sz w:val="16"/>
                <w:szCs w:val="16"/>
              </w:rPr>
            </w:pPr>
            <w:r w:rsidRPr="00F33D7D">
              <w:rPr>
                <w:rFonts w:cs="Arial"/>
                <w:sz w:val="16"/>
                <w:szCs w:val="16"/>
              </w:rPr>
              <w:t>4.784.332</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49A5ED34" w14:textId="11E3118D"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3647C3D0"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2B4B7D8F" w14:textId="4F1A6246" w:rsidR="00EA61D7" w:rsidRPr="002F06DF" w:rsidRDefault="00EF098F" w:rsidP="00EA61D7">
            <w:pPr>
              <w:spacing w:after="0" w:line="240" w:lineRule="auto"/>
              <w:jc w:val="left"/>
              <w:rPr>
                <w:rFonts w:cs="Arial"/>
                <w:sz w:val="16"/>
                <w:szCs w:val="16"/>
              </w:rPr>
            </w:pPr>
            <w:r w:rsidRPr="00EF098F">
              <w:rPr>
                <w:rFonts w:cs="Arial"/>
                <w:sz w:val="16"/>
                <w:szCs w:val="16"/>
              </w:rPr>
              <w:t>Ελληνική Αναπτυξιακή Τράπεζα Επενδύσεων (ΕΑΤΕ) ΑΕ (πρώην ΤΑΝΕΟ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0A1CAC25" w14:textId="77777777" w:rsidR="00EA61D7" w:rsidRPr="00F33D7D" w:rsidRDefault="00EA61D7" w:rsidP="00F33D7D">
            <w:pPr>
              <w:spacing w:after="0" w:line="240" w:lineRule="auto"/>
              <w:jc w:val="right"/>
              <w:rPr>
                <w:rFonts w:cs="Arial"/>
                <w:sz w:val="16"/>
                <w:szCs w:val="16"/>
              </w:rPr>
            </w:pPr>
            <w:r w:rsidRPr="00F33D7D">
              <w:rPr>
                <w:rFonts w:cs="Arial"/>
                <w:sz w:val="16"/>
                <w:szCs w:val="16"/>
              </w:rPr>
              <w:t>55.372.450,00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0904CF14" w14:textId="77777777" w:rsidR="00EA61D7" w:rsidRPr="00F33D7D" w:rsidRDefault="00EA61D7" w:rsidP="00F33D7D">
            <w:pPr>
              <w:spacing w:after="0" w:line="240" w:lineRule="auto"/>
              <w:jc w:val="right"/>
              <w:rPr>
                <w:rFonts w:cs="Arial"/>
                <w:sz w:val="16"/>
                <w:szCs w:val="16"/>
              </w:rPr>
            </w:pPr>
            <w:r w:rsidRPr="00F33D7D">
              <w:rPr>
                <w:rFonts w:cs="Arial"/>
                <w:sz w:val="16"/>
                <w:szCs w:val="16"/>
              </w:rPr>
              <w:t>20.886.500,00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1888D842" w14:textId="12CB9256" w:rsidR="00EA61D7" w:rsidRPr="00F33D7D" w:rsidRDefault="00EA61D7" w:rsidP="00F33D7D">
            <w:pPr>
              <w:spacing w:after="0" w:line="240" w:lineRule="auto"/>
              <w:jc w:val="right"/>
              <w:rPr>
                <w:rFonts w:cs="Arial"/>
                <w:sz w:val="16"/>
                <w:szCs w:val="16"/>
              </w:rPr>
            </w:pPr>
            <w:r w:rsidRPr="00F33D7D">
              <w:rPr>
                <w:rFonts w:cs="Arial"/>
                <w:sz w:val="16"/>
                <w:szCs w:val="16"/>
              </w:rPr>
              <w:t>37,72</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54DD12F9" w14:textId="77777777" w:rsidR="00EA61D7" w:rsidRPr="00F33D7D" w:rsidRDefault="00EA61D7" w:rsidP="00F33D7D">
            <w:pPr>
              <w:spacing w:after="0" w:line="240" w:lineRule="auto"/>
              <w:jc w:val="right"/>
              <w:rPr>
                <w:rFonts w:cs="Arial"/>
                <w:sz w:val="16"/>
                <w:szCs w:val="16"/>
              </w:rPr>
            </w:pPr>
            <w:r w:rsidRPr="00F33D7D">
              <w:rPr>
                <w:rFonts w:cs="Arial"/>
                <w:sz w:val="16"/>
                <w:szCs w:val="16"/>
              </w:rPr>
              <w:t>417.730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402DC0BC" w14:textId="5BE9C8BD" w:rsidR="00EA61D7" w:rsidRPr="00F33D7D" w:rsidRDefault="00EA61D7" w:rsidP="00F33D7D">
            <w:pPr>
              <w:spacing w:after="0" w:line="240" w:lineRule="auto"/>
              <w:jc w:val="right"/>
              <w:rPr>
                <w:rFonts w:cs="Arial"/>
                <w:sz w:val="16"/>
                <w:szCs w:val="16"/>
              </w:rPr>
            </w:pPr>
            <w:r w:rsidRPr="00F33D7D">
              <w:rPr>
                <w:rFonts w:cs="Arial"/>
                <w:sz w:val="16"/>
                <w:szCs w:val="16"/>
              </w:rPr>
              <w:t>50,00</w:t>
            </w:r>
          </w:p>
        </w:tc>
      </w:tr>
      <w:tr w:rsidR="00DE23FF" w:rsidRPr="002F06DF" w14:paraId="16D3F967" w14:textId="77777777" w:rsidTr="00C52316">
        <w:trPr>
          <w:cantSplit/>
          <w:trHeight w:val="210"/>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7A2FE264" w14:textId="1DD762AC" w:rsidR="00EA61D7" w:rsidRPr="002F06DF" w:rsidRDefault="00EA61D7" w:rsidP="00EA61D7">
            <w:pPr>
              <w:spacing w:after="0" w:line="240" w:lineRule="auto"/>
              <w:jc w:val="left"/>
              <w:rPr>
                <w:rFonts w:cs="Arial"/>
                <w:sz w:val="16"/>
                <w:szCs w:val="16"/>
              </w:rPr>
            </w:pPr>
            <w:r w:rsidRPr="002F06DF">
              <w:rPr>
                <w:rFonts w:cs="Arial"/>
                <w:sz w:val="16"/>
                <w:szCs w:val="16"/>
              </w:rPr>
              <w:t>Ελληνικός Διαστημικός Οργανισμός</w:t>
            </w:r>
            <w:r w:rsidR="005C25D6">
              <w:rPr>
                <w:rFonts w:cs="Arial"/>
                <w:sz w:val="16"/>
                <w:szCs w:val="16"/>
              </w:rPr>
              <w:t xml:space="preserve"> </w:t>
            </w:r>
            <w:r w:rsidRPr="002F06DF">
              <w:rPr>
                <w:rFonts w:cs="Arial"/>
                <w:sz w:val="16"/>
                <w:szCs w:val="16"/>
              </w:rPr>
              <w:t>(ΕΛΔΟ</w:t>
            </w:r>
            <w:r w:rsidR="005C25D6">
              <w:rPr>
                <w:rFonts w:cs="Arial"/>
                <w:sz w:val="16"/>
                <w:szCs w:val="16"/>
              </w:rPr>
              <w:t>)</w:t>
            </w:r>
            <w:r w:rsidRPr="002F06DF">
              <w:rPr>
                <w:rFonts w:cs="Arial"/>
                <w:sz w:val="16"/>
                <w:szCs w:val="16"/>
              </w:rPr>
              <w:t xml:space="preserve">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1A0D22BF"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04FABC27"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2210D194" w14:textId="26B99A20"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7A44D116" w14:textId="77777777" w:rsidR="00EA61D7" w:rsidRPr="00F33D7D" w:rsidRDefault="00EA61D7" w:rsidP="00F33D7D">
            <w:pPr>
              <w:spacing w:after="0" w:line="240" w:lineRule="auto"/>
              <w:jc w:val="right"/>
              <w:rPr>
                <w:rFonts w:cs="Arial"/>
                <w:sz w:val="16"/>
                <w:szCs w:val="16"/>
              </w:rPr>
            </w:pPr>
            <w:r w:rsidRPr="00F33D7D">
              <w:rPr>
                <w:rFonts w:cs="Arial"/>
                <w:sz w:val="16"/>
                <w:szCs w:val="16"/>
              </w:rPr>
              <w:t>60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3D162D48" w14:textId="124B933C" w:rsidR="00EA61D7" w:rsidRPr="00F33D7D" w:rsidRDefault="00EA61D7" w:rsidP="00F33D7D">
            <w:pPr>
              <w:spacing w:after="0" w:line="240" w:lineRule="auto"/>
              <w:jc w:val="right"/>
              <w:rPr>
                <w:rFonts w:cs="Arial"/>
                <w:sz w:val="16"/>
                <w:szCs w:val="16"/>
              </w:rPr>
            </w:pPr>
            <w:r w:rsidRPr="00F33D7D">
              <w:rPr>
                <w:rFonts w:cs="Arial"/>
                <w:sz w:val="16"/>
                <w:szCs w:val="16"/>
              </w:rPr>
              <w:t>1.000,00</w:t>
            </w:r>
          </w:p>
        </w:tc>
      </w:tr>
      <w:tr w:rsidR="00DE23FF" w:rsidRPr="002F06DF" w14:paraId="67F63303" w14:textId="77777777" w:rsidTr="00C52316">
        <w:trPr>
          <w:cantSplit/>
          <w:trHeight w:val="410"/>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5D139A84" w14:textId="668CE576" w:rsidR="00EA61D7" w:rsidRPr="002F06DF" w:rsidRDefault="005C25D6" w:rsidP="00EA61D7">
            <w:pPr>
              <w:spacing w:after="0" w:line="240" w:lineRule="auto"/>
              <w:jc w:val="left"/>
              <w:rPr>
                <w:rFonts w:cs="Arial"/>
                <w:sz w:val="16"/>
                <w:szCs w:val="16"/>
              </w:rPr>
            </w:pPr>
            <w:r w:rsidRPr="005C25D6">
              <w:rPr>
                <w:rFonts w:cs="Arial"/>
                <w:sz w:val="16"/>
                <w:szCs w:val="16"/>
              </w:rPr>
              <w:t>Ελληνική Εταιρεία Διαχείρισης Δικαιωμάτων Πνευματικής και Βιομηχανικής Ιδιοκτησίας Ελληνικού Δημοσίου (ΕΕΔΔΠ και ΒΙΕΔ) ΑE</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541B9956" w14:textId="77777777" w:rsidR="00EA61D7" w:rsidRPr="00F33D7D" w:rsidRDefault="00EA61D7" w:rsidP="00F33D7D">
            <w:pPr>
              <w:spacing w:after="0" w:line="240" w:lineRule="auto"/>
              <w:jc w:val="right"/>
              <w:rPr>
                <w:rFonts w:cs="Arial"/>
                <w:sz w:val="16"/>
                <w:szCs w:val="16"/>
              </w:rPr>
            </w:pPr>
            <w:r w:rsidRPr="00F33D7D">
              <w:rPr>
                <w:rFonts w:cs="Arial"/>
                <w:sz w:val="16"/>
                <w:szCs w:val="16"/>
              </w:rPr>
              <w:t>45.000.000,00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41D65AD9" w14:textId="77777777" w:rsidR="00EA61D7" w:rsidRPr="00F33D7D" w:rsidRDefault="00EA61D7" w:rsidP="00F33D7D">
            <w:pPr>
              <w:spacing w:after="0" w:line="240" w:lineRule="auto"/>
              <w:jc w:val="right"/>
              <w:rPr>
                <w:rFonts w:cs="Arial"/>
                <w:sz w:val="16"/>
                <w:szCs w:val="16"/>
              </w:rPr>
            </w:pPr>
            <w:r w:rsidRPr="00F33D7D">
              <w:rPr>
                <w:rFonts w:cs="Arial"/>
                <w:sz w:val="16"/>
                <w:szCs w:val="16"/>
              </w:rPr>
              <w:t>45.000.000,00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5768122B" w14:textId="395A8FE6"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4E8DE592" w14:textId="77777777" w:rsidR="00EA61D7" w:rsidRPr="00F33D7D" w:rsidRDefault="00EA61D7" w:rsidP="00F33D7D">
            <w:pPr>
              <w:spacing w:after="0" w:line="240" w:lineRule="auto"/>
              <w:jc w:val="right"/>
              <w:rPr>
                <w:rFonts w:cs="Arial"/>
                <w:sz w:val="16"/>
                <w:szCs w:val="16"/>
              </w:rPr>
            </w:pPr>
            <w:r w:rsidRPr="00F33D7D">
              <w:rPr>
                <w:rFonts w:cs="Arial"/>
                <w:sz w:val="16"/>
                <w:szCs w:val="16"/>
              </w:rPr>
              <w:t>4.500.000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34ACE5BC" w14:textId="7FA06CA9" w:rsidR="00EA61D7" w:rsidRPr="00F33D7D" w:rsidRDefault="00EA61D7" w:rsidP="00F33D7D">
            <w:pPr>
              <w:spacing w:after="0" w:line="240" w:lineRule="auto"/>
              <w:jc w:val="right"/>
              <w:rPr>
                <w:rFonts w:cs="Arial"/>
                <w:sz w:val="16"/>
                <w:szCs w:val="16"/>
              </w:rPr>
            </w:pPr>
            <w:r w:rsidRPr="00F33D7D">
              <w:rPr>
                <w:rFonts w:cs="Arial"/>
                <w:sz w:val="16"/>
                <w:szCs w:val="16"/>
              </w:rPr>
              <w:t>10,00</w:t>
            </w:r>
          </w:p>
        </w:tc>
      </w:tr>
      <w:tr w:rsidR="00DE23FF" w:rsidRPr="002F06DF" w14:paraId="758A083E"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6B0FF27F" w14:textId="3F68D7B0" w:rsidR="00EA61D7" w:rsidRPr="002F06DF" w:rsidRDefault="002C123C" w:rsidP="00EA61D7">
            <w:pPr>
              <w:spacing w:after="0" w:line="240" w:lineRule="auto"/>
              <w:jc w:val="left"/>
              <w:rPr>
                <w:rFonts w:cs="Arial"/>
                <w:sz w:val="16"/>
                <w:szCs w:val="16"/>
              </w:rPr>
            </w:pPr>
            <w:r w:rsidRPr="00687508">
              <w:rPr>
                <w:rFonts w:cs="Arial"/>
                <w:sz w:val="16"/>
                <w:szCs w:val="16"/>
              </w:rPr>
              <w:t>Ελληνική Εταιρεία Δίκαιης Αναπτυξιακής Μετάβασης (ΕΛΕΔΑΜ</w:t>
            </w:r>
            <w:r>
              <w:rPr>
                <w:rFonts w:cs="Arial"/>
                <w:sz w:val="16"/>
                <w:szCs w:val="16"/>
              </w:rPr>
              <w:t>)</w:t>
            </w:r>
            <w:r w:rsidRPr="00687508">
              <w:rPr>
                <w:rFonts w:cs="Arial"/>
                <w:sz w:val="16"/>
                <w:szCs w:val="16"/>
              </w:rPr>
              <w:t xml:space="preserve">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5DD6EE5E"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19836C49"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61DDE1B8" w14:textId="624F2EF6"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18292856"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7DFD3292" w14:textId="5ED3CC31"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2DC339A1" w14:textId="77777777" w:rsidTr="00C52316">
        <w:trPr>
          <w:cantSplit/>
          <w:trHeight w:val="410"/>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0040C4F0" w14:textId="18FCC48F" w:rsidR="00DA4C8F" w:rsidRPr="00DA4C8F" w:rsidRDefault="002C123C" w:rsidP="00EA61D7">
            <w:pPr>
              <w:spacing w:after="0" w:line="240" w:lineRule="auto"/>
              <w:jc w:val="left"/>
              <w:rPr>
                <w:rFonts w:cs="Arial"/>
                <w:sz w:val="16"/>
                <w:szCs w:val="16"/>
              </w:rPr>
            </w:pPr>
            <w:r w:rsidRPr="002C123C">
              <w:rPr>
                <w:rFonts w:cs="Arial"/>
                <w:sz w:val="16"/>
                <w:szCs w:val="16"/>
              </w:rPr>
              <w:t xml:space="preserve">Ελληνική Εταιρεία Επενδύσεων και Εξωτερικού Εμπορίου ΑΕ - Enterprise Greece Invest </w:t>
            </w:r>
            <w:r w:rsidR="003768E2">
              <w:rPr>
                <w:rFonts w:cs="Arial"/>
                <w:sz w:val="16"/>
                <w:szCs w:val="16"/>
              </w:rPr>
              <w:t>&amp;</w:t>
            </w:r>
            <w:r w:rsidRPr="002C123C">
              <w:rPr>
                <w:rFonts w:cs="Arial"/>
                <w:sz w:val="16"/>
                <w:szCs w:val="16"/>
              </w:rPr>
              <w:t xml:space="preserve"> Trade</w:t>
            </w:r>
            <w:r w:rsidR="00A675F0" w:rsidRPr="00A675F0">
              <w:rPr>
                <w:rFonts w:cs="Arial"/>
                <w:sz w:val="16"/>
                <w:szCs w:val="16"/>
              </w:rPr>
              <w:t xml:space="preserve"> </w:t>
            </w:r>
            <w:r w:rsidR="00A675F0">
              <w:rPr>
                <w:rFonts w:cs="Arial"/>
                <w:sz w:val="16"/>
                <w:szCs w:val="16"/>
                <w:lang w:val="en-US"/>
              </w:rPr>
              <w:t>SA</w:t>
            </w:r>
          </w:p>
          <w:p w14:paraId="4B6B2071" w14:textId="5F37F1B6" w:rsidR="00EA61D7" w:rsidRPr="00DA4C8F" w:rsidRDefault="002C123C" w:rsidP="00EA61D7">
            <w:pPr>
              <w:spacing w:after="0" w:line="240" w:lineRule="auto"/>
              <w:jc w:val="left"/>
              <w:rPr>
                <w:rFonts w:cs="Arial"/>
                <w:sz w:val="16"/>
                <w:szCs w:val="16"/>
                <w:lang w:val="en-US"/>
              </w:rPr>
            </w:pPr>
            <w:r w:rsidRPr="00DA4C8F">
              <w:rPr>
                <w:rFonts w:cs="Arial"/>
                <w:sz w:val="16"/>
                <w:szCs w:val="16"/>
                <w:lang w:val="en-US"/>
              </w:rPr>
              <w:t>(</w:t>
            </w:r>
            <w:r w:rsidRPr="002C123C">
              <w:rPr>
                <w:rFonts w:cs="Arial"/>
                <w:sz w:val="16"/>
                <w:szCs w:val="16"/>
              </w:rPr>
              <w:t>πρώην</w:t>
            </w:r>
            <w:r w:rsidRPr="00DA4C8F">
              <w:rPr>
                <w:rFonts w:cs="Arial"/>
                <w:sz w:val="16"/>
                <w:szCs w:val="16"/>
                <w:lang w:val="en-US"/>
              </w:rPr>
              <w:t xml:space="preserve"> Invest in Greece SA</w:t>
            </w:r>
            <w:r w:rsidR="00DA4C8F" w:rsidRPr="00DA4C8F">
              <w:rPr>
                <w:rFonts w:cs="Arial"/>
                <w:sz w:val="16"/>
                <w:szCs w:val="16"/>
                <w:lang w:val="en-US"/>
              </w:rPr>
              <w:t>)</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67C87ADF" w14:textId="77777777" w:rsidR="00EA61D7" w:rsidRPr="00F33D7D" w:rsidRDefault="00EA61D7" w:rsidP="00F33D7D">
            <w:pPr>
              <w:spacing w:after="0" w:line="240" w:lineRule="auto"/>
              <w:jc w:val="right"/>
              <w:rPr>
                <w:rFonts w:cs="Arial"/>
                <w:sz w:val="16"/>
                <w:szCs w:val="16"/>
              </w:rPr>
            </w:pPr>
            <w:r w:rsidRPr="00F33D7D">
              <w:rPr>
                <w:rFonts w:cs="Arial"/>
                <w:sz w:val="16"/>
                <w:szCs w:val="16"/>
              </w:rPr>
              <w:t>293.400,00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111EA577" w14:textId="77777777" w:rsidR="00EA61D7" w:rsidRPr="00F33D7D" w:rsidRDefault="00EA61D7" w:rsidP="00F33D7D">
            <w:pPr>
              <w:spacing w:after="0" w:line="240" w:lineRule="auto"/>
              <w:jc w:val="right"/>
              <w:rPr>
                <w:rFonts w:cs="Arial"/>
                <w:sz w:val="16"/>
                <w:szCs w:val="16"/>
              </w:rPr>
            </w:pPr>
            <w:r w:rsidRPr="00F33D7D">
              <w:rPr>
                <w:rFonts w:cs="Arial"/>
                <w:sz w:val="16"/>
                <w:szCs w:val="16"/>
              </w:rPr>
              <w:t>293.400,00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5FBE81A6" w14:textId="12C98D5B"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2A8098B8"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226F9566" w14:textId="7A6B52EC" w:rsidR="00EA61D7" w:rsidRPr="00F33D7D" w:rsidRDefault="00EA61D7" w:rsidP="00F33D7D">
            <w:pPr>
              <w:spacing w:after="0" w:line="240" w:lineRule="auto"/>
              <w:jc w:val="right"/>
              <w:rPr>
                <w:rFonts w:cs="Arial"/>
                <w:sz w:val="16"/>
                <w:szCs w:val="16"/>
              </w:rPr>
            </w:pPr>
            <w:r w:rsidRPr="00F33D7D">
              <w:rPr>
                <w:rFonts w:cs="Arial"/>
                <w:sz w:val="16"/>
                <w:szCs w:val="16"/>
              </w:rPr>
              <w:t>14,67</w:t>
            </w:r>
          </w:p>
        </w:tc>
      </w:tr>
      <w:tr w:rsidR="00DE23FF" w:rsidRPr="002F06DF" w14:paraId="5104DFBA" w14:textId="77777777" w:rsidTr="00C52316">
        <w:trPr>
          <w:cantSplit/>
          <w:trHeight w:val="210"/>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3586AB95" w14:textId="141156D1" w:rsidR="00EA61D7" w:rsidRPr="002F06DF" w:rsidRDefault="002C123C" w:rsidP="00EA61D7">
            <w:pPr>
              <w:spacing w:after="0" w:line="240" w:lineRule="auto"/>
              <w:jc w:val="left"/>
              <w:rPr>
                <w:rFonts w:cs="Arial"/>
                <w:sz w:val="16"/>
                <w:szCs w:val="16"/>
              </w:rPr>
            </w:pPr>
            <w:r w:rsidRPr="00687508">
              <w:rPr>
                <w:rFonts w:cs="Arial"/>
                <w:sz w:val="16"/>
                <w:szCs w:val="16"/>
              </w:rPr>
              <w:t>Ελληνική Εταιρεία Εξαγωγικών Πιστώσεων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0A7141A8" w14:textId="77777777" w:rsidR="00EA61D7" w:rsidRPr="00F33D7D" w:rsidRDefault="00EA61D7" w:rsidP="00F33D7D">
            <w:pPr>
              <w:spacing w:after="0" w:line="240" w:lineRule="auto"/>
              <w:jc w:val="right"/>
              <w:rPr>
                <w:rFonts w:cs="Arial"/>
                <w:sz w:val="16"/>
                <w:szCs w:val="16"/>
              </w:rPr>
            </w:pPr>
            <w:r w:rsidRPr="00F33D7D">
              <w:rPr>
                <w:rFonts w:cs="Arial"/>
                <w:sz w:val="16"/>
                <w:szCs w:val="16"/>
              </w:rPr>
              <w:t>88.040,00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35F08B4B" w14:textId="77777777" w:rsidR="00EA61D7" w:rsidRPr="00F33D7D" w:rsidRDefault="00EA61D7" w:rsidP="00F33D7D">
            <w:pPr>
              <w:spacing w:after="0" w:line="240" w:lineRule="auto"/>
              <w:jc w:val="right"/>
              <w:rPr>
                <w:rFonts w:cs="Arial"/>
                <w:sz w:val="16"/>
                <w:szCs w:val="16"/>
              </w:rPr>
            </w:pPr>
            <w:r w:rsidRPr="00F33D7D">
              <w:rPr>
                <w:rFonts w:cs="Arial"/>
                <w:sz w:val="16"/>
                <w:szCs w:val="16"/>
              </w:rPr>
              <w:t>88.040,00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681C9E1A" w14:textId="59408472"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2CEA2DD4"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2EECE473" w14:textId="3163B3AD" w:rsidR="00EA61D7" w:rsidRPr="00F33D7D" w:rsidRDefault="00EA61D7" w:rsidP="00F33D7D">
            <w:pPr>
              <w:spacing w:after="0" w:line="240" w:lineRule="auto"/>
              <w:jc w:val="right"/>
              <w:rPr>
                <w:rFonts w:cs="Arial"/>
                <w:sz w:val="16"/>
                <w:szCs w:val="16"/>
              </w:rPr>
            </w:pPr>
            <w:r w:rsidRPr="00F33D7D">
              <w:rPr>
                <w:rFonts w:cs="Arial"/>
                <w:sz w:val="16"/>
                <w:szCs w:val="16"/>
              </w:rPr>
              <w:t>88,04</w:t>
            </w:r>
          </w:p>
        </w:tc>
      </w:tr>
      <w:tr w:rsidR="00DE23FF" w:rsidRPr="002F06DF" w14:paraId="6C59EF84"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4307B524" w14:textId="0F77CAD8" w:rsidR="00EA61D7" w:rsidRPr="002F06DF" w:rsidRDefault="002C123C" w:rsidP="00EA61D7">
            <w:pPr>
              <w:spacing w:after="0" w:line="240" w:lineRule="auto"/>
              <w:jc w:val="left"/>
              <w:rPr>
                <w:rFonts w:cs="Arial"/>
                <w:sz w:val="16"/>
                <w:szCs w:val="16"/>
              </w:rPr>
            </w:pPr>
            <w:r w:rsidRPr="00687508">
              <w:rPr>
                <w:rFonts w:cs="Arial"/>
                <w:sz w:val="16"/>
                <w:szCs w:val="16"/>
              </w:rPr>
              <w:t xml:space="preserve">Ελληνική Εταιρεία Τοπικής Ανάπτυξης </w:t>
            </w:r>
            <w:r>
              <w:rPr>
                <w:rFonts w:cs="Arial"/>
                <w:sz w:val="16"/>
                <w:szCs w:val="16"/>
              </w:rPr>
              <w:t>και</w:t>
            </w:r>
            <w:r w:rsidRPr="00687508">
              <w:rPr>
                <w:rFonts w:cs="Arial"/>
                <w:sz w:val="16"/>
                <w:szCs w:val="16"/>
              </w:rPr>
              <w:t xml:space="preserve"> Αυτοδιοίκησης (ΕΕΤΑΑ)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19BD065D"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03A9E0ED" w14:textId="77777777" w:rsidR="00EA61D7" w:rsidRPr="00F33D7D" w:rsidRDefault="00EA61D7" w:rsidP="00F33D7D">
            <w:pPr>
              <w:spacing w:after="0" w:line="240" w:lineRule="auto"/>
              <w:jc w:val="right"/>
              <w:rPr>
                <w:rFonts w:cs="Arial"/>
                <w:sz w:val="16"/>
                <w:szCs w:val="16"/>
              </w:rPr>
            </w:pPr>
            <w:r w:rsidRPr="00F33D7D">
              <w:rPr>
                <w:rFonts w:cs="Arial"/>
                <w:sz w:val="16"/>
                <w:szCs w:val="16"/>
              </w:rPr>
              <w:t>480.000,00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27268DFC" w14:textId="1B25DF96" w:rsidR="00EA61D7" w:rsidRPr="00F33D7D" w:rsidRDefault="00EA61D7" w:rsidP="00F33D7D">
            <w:pPr>
              <w:spacing w:after="0" w:line="240" w:lineRule="auto"/>
              <w:jc w:val="right"/>
              <w:rPr>
                <w:rFonts w:cs="Arial"/>
                <w:sz w:val="16"/>
                <w:szCs w:val="16"/>
              </w:rPr>
            </w:pPr>
            <w:r w:rsidRPr="00F33D7D">
              <w:rPr>
                <w:rFonts w:cs="Arial"/>
                <w:sz w:val="16"/>
                <w:szCs w:val="16"/>
              </w:rPr>
              <w:t>24,00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0D21C4A2"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63812449" w14:textId="28CDA497" w:rsidR="00EA61D7" w:rsidRPr="00F33D7D" w:rsidRDefault="00EA61D7" w:rsidP="00F33D7D">
            <w:pPr>
              <w:spacing w:after="0" w:line="240" w:lineRule="auto"/>
              <w:jc w:val="right"/>
              <w:rPr>
                <w:rFonts w:cs="Arial"/>
                <w:sz w:val="16"/>
                <w:szCs w:val="16"/>
              </w:rPr>
            </w:pPr>
            <w:r w:rsidRPr="00F33D7D">
              <w:rPr>
                <w:rFonts w:cs="Arial"/>
                <w:sz w:val="16"/>
                <w:szCs w:val="16"/>
              </w:rPr>
              <w:t>80,00</w:t>
            </w:r>
          </w:p>
        </w:tc>
      </w:tr>
      <w:tr w:rsidR="00DE23FF" w:rsidRPr="002F06DF" w14:paraId="5059C153" w14:textId="77777777" w:rsidTr="00C52316">
        <w:trPr>
          <w:cantSplit/>
          <w:trHeight w:val="307"/>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5146837A" w14:textId="4E7B54CB" w:rsidR="00EA61D7" w:rsidRPr="002F06DF" w:rsidRDefault="002C123C" w:rsidP="00EA61D7">
            <w:pPr>
              <w:spacing w:after="0" w:line="240" w:lineRule="auto"/>
              <w:jc w:val="left"/>
              <w:rPr>
                <w:rFonts w:cs="Arial"/>
                <w:sz w:val="16"/>
                <w:szCs w:val="16"/>
              </w:rPr>
            </w:pPr>
            <w:r w:rsidRPr="00687508">
              <w:rPr>
                <w:rFonts w:cs="Arial"/>
                <w:sz w:val="16"/>
                <w:szCs w:val="16"/>
              </w:rPr>
              <w:t>Ελληνική Διαχειριστική Εταιρεία Υδρογονανθράκων και Ενεργειακών Πόρων (ΕΔΕΥΕΠ)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192EC826" w14:textId="77777777" w:rsidR="00EA61D7" w:rsidRPr="00F33D7D" w:rsidRDefault="00EA61D7" w:rsidP="00F33D7D">
            <w:pPr>
              <w:spacing w:after="0" w:line="240" w:lineRule="auto"/>
              <w:jc w:val="right"/>
              <w:rPr>
                <w:rFonts w:cs="Arial"/>
                <w:sz w:val="16"/>
                <w:szCs w:val="16"/>
              </w:rPr>
            </w:pPr>
            <w:r w:rsidRPr="00F33D7D">
              <w:rPr>
                <w:rFonts w:cs="Arial"/>
                <w:sz w:val="16"/>
                <w:szCs w:val="16"/>
              </w:rPr>
              <w:t>12.000.000,00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32C111B4" w14:textId="77777777" w:rsidR="00EA61D7" w:rsidRPr="00F33D7D" w:rsidRDefault="00EA61D7" w:rsidP="00F33D7D">
            <w:pPr>
              <w:spacing w:after="0" w:line="240" w:lineRule="auto"/>
              <w:jc w:val="right"/>
              <w:rPr>
                <w:rFonts w:cs="Arial"/>
                <w:sz w:val="16"/>
                <w:szCs w:val="16"/>
              </w:rPr>
            </w:pPr>
            <w:r w:rsidRPr="00F33D7D">
              <w:rPr>
                <w:rFonts w:cs="Arial"/>
                <w:sz w:val="16"/>
                <w:szCs w:val="16"/>
              </w:rPr>
              <w:t>12.000.000,00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33D0ED33" w14:textId="16FF2CA0"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712889F4" w14:textId="77777777" w:rsidR="00EA61D7" w:rsidRPr="00F33D7D" w:rsidRDefault="00EA61D7" w:rsidP="00F33D7D">
            <w:pPr>
              <w:spacing w:after="0" w:line="240" w:lineRule="auto"/>
              <w:jc w:val="right"/>
              <w:rPr>
                <w:rFonts w:cs="Arial"/>
                <w:sz w:val="16"/>
                <w:szCs w:val="16"/>
              </w:rPr>
            </w:pPr>
            <w:r w:rsidRPr="00F33D7D">
              <w:rPr>
                <w:rFonts w:cs="Arial"/>
                <w:sz w:val="16"/>
                <w:szCs w:val="16"/>
              </w:rPr>
              <w:t>120.000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3B4139F8" w14:textId="6E3887CE"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36B9C166" w14:textId="77777777" w:rsidTr="00C52316">
        <w:trPr>
          <w:cantSplit/>
          <w:trHeight w:val="210"/>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1E5A6C04" w14:textId="52E4CF9F" w:rsidR="00EA61D7" w:rsidRPr="002F06DF" w:rsidRDefault="002C123C" w:rsidP="00EA61D7">
            <w:pPr>
              <w:spacing w:after="0" w:line="240" w:lineRule="auto"/>
              <w:jc w:val="left"/>
              <w:rPr>
                <w:rFonts w:cs="Arial"/>
                <w:color w:val="000000"/>
                <w:sz w:val="16"/>
                <w:szCs w:val="16"/>
              </w:rPr>
            </w:pPr>
            <w:r w:rsidRPr="009D0D9E">
              <w:rPr>
                <w:rFonts w:cs="Arial"/>
                <w:sz w:val="16"/>
                <w:szCs w:val="16"/>
              </w:rPr>
              <w:t>Ελληνικό Κέντρο Αμυντικής Καινοτομίας (ΕΛΚΑΚ)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0DEE8749" w14:textId="77777777" w:rsidR="00EA61D7" w:rsidRPr="00F33D7D" w:rsidRDefault="00EA61D7" w:rsidP="00F33D7D">
            <w:pPr>
              <w:spacing w:after="0" w:line="240" w:lineRule="auto"/>
              <w:jc w:val="right"/>
              <w:rPr>
                <w:rFonts w:cs="Arial"/>
                <w:sz w:val="16"/>
                <w:szCs w:val="16"/>
              </w:rPr>
            </w:pPr>
            <w:r w:rsidRPr="00F33D7D">
              <w:rPr>
                <w:rFonts w:cs="Arial"/>
                <w:sz w:val="16"/>
                <w:szCs w:val="16"/>
              </w:rPr>
              <w:t>1.500.000,00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12C8A6FB" w14:textId="77777777" w:rsidR="00EA61D7" w:rsidRPr="00F33D7D" w:rsidRDefault="00EA61D7" w:rsidP="00F33D7D">
            <w:pPr>
              <w:spacing w:after="0" w:line="240" w:lineRule="auto"/>
              <w:jc w:val="right"/>
              <w:rPr>
                <w:rFonts w:cs="Arial"/>
                <w:sz w:val="16"/>
                <w:szCs w:val="16"/>
              </w:rPr>
            </w:pPr>
            <w:r w:rsidRPr="00F33D7D">
              <w:rPr>
                <w:rFonts w:cs="Arial"/>
                <w:sz w:val="16"/>
                <w:szCs w:val="16"/>
              </w:rPr>
              <w:t>1.005.000,00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36BAAC26" w14:textId="565FB344" w:rsidR="00EA61D7" w:rsidRPr="00F33D7D" w:rsidRDefault="00EA61D7" w:rsidP="00F33D7D">
            <w:pPr>
              <w:spacing w:after="0" w:line="240" w:lineRule="auto"/>
              <w:jc w:val="right"/>
              <w:rPr>
                <w:rFonts w:cs="Arial"/>
                <w:sz w:val="16"/>
                <w:szCs w:val="16"/>
              </w:rPr>
            </w:pPr>
            <w:r w:rsidRPr="00F33D7D">
              <w:rPr>
                <w:rFonts w:cs="Arial"/>
                <w:sz w:val="16"/>
                <w:szCs w:val="16"/>
              </w:rPr>
              <w:t>67,00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326AF3CA" w14:textId="77777777" w:rsidR="00EA61D7" w:rsidRPr="00F33D7D" w:rsidRDefault="00EA61D7" w:rsidP="00F33D7D">
            <w:pPr>
              <w:spacing w:after="0" w:line="240" w:lineRule="auto"/>
              <w:jc w:val="right"/>
              <w:rPr>
                <w:rFonts w:cs="Arial"/>
                <w:sz w:val="16"/>
                <w:szCs w:val="16"/>
              </w:rPr>
            </w:pPr>
            <w:r w:rsidRPr="00F33D7D">
              <w:rPr>
                <w:rFonts w:cs="Arial"/>
                <w:sz w:val="16"/>
                <w:szCs w:val="16"/>
              </w:rPr>
              <w:t>1.005</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4C1758E2" w14:textId="7AA9E473" w:rsidR="00EA61D7" w:rsidRPr="00F33D7D" w:rsidRDefault="00EA61D7" w:rsidP="00F33D7D">
            <w:pPr>
              <w:spacing w:after="0" w:line="240" w:lineRule="auto"/>
              <w:jc w:val="right"/>
              <w:rPr>
                <w:rFonts w:cs="Arial"/>
                <w:sz w:val="16"/>
                <w:szCs w:val="16"/>
              </w:rPr>
            </w:pPr>
            <w:r w:rsidRPr="00F33D7D">
              <w:rPr>
                <w:rFonts w:cs="Arial"/>
                <w:sz w:val="16"/>
                <w:szCs w:val="16"/>
              </w:rPr>
              <w:t>1.000,00</w:t>
            </w:r>
          </w:p>
        </w:tc>
      </w:tr>
      <w:tr w:rsidR="00DE23FF" w:rsidRPr="002F06DF" w14:paraId="073B5E43"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0F3D4418" w14:textId="447DA34F" w:rsidR="00EA61D7" w:rsidRPr="002F06DF" w:rsidRDefault="002C123C" w:rsidP="00EA61D7">
            <w:pPr>
              <w:spacing w:after="0" w:line="240" w:lineRule="auto"/>
              <w:jc w:val="left"/>
              <w:rPr>
                <w:rFonts w:cs="Arial"/>
                <w:sz w:val="16"/>
                <w:szCs w:val="16"/>
              </w:rPr>
            </w:pPr>
            <w:r w:rsidRPr="00687508">
              <w:rPr>
                <w:rFonts w:cs="Arial"/>
                <w:sz w:val="16"/>
                <w:szCs w:val="16"/>
              </w:rPr>
              <w:t xml:space="preserve">Ελληνική Ραδιοφωνία Τηλεόραση </w:t>
            </w:r>
            <w:r>
              <w:rPr>
                <w:rFonts w:cs="Arial"/>
                <w:sz w:val="16"/>
                <w:szCs w:val="16"/>
              </w:rPr>
              <w:t>(</w:t>
            </w:r>
            <w:r w:rsidRPr="00687508">
              <w:rPr>
                <w:rFonts w:cs="Arial"/>
                <w:sz w:val="16"/>
                <w:szCs w:val="16"/>
              </w:rPr>
              <w:t>ΕΡΤ</w:t>
            </w:r>
            <w:r>
              <w:rPr>
                <w:rFonts w:cs="Arial"/>
                <w:sz w:val="16"/>
                <w:szCs w:val="16"/>
              </w:rPr>
              <w:t>)</w:t>
            </w:r>
            <w:r w:rsidRPr="00687508">
              <w:rPr>
                <w:rFonts w:cs="Arial"/>
                <w:sz w:val="16"/>
                <w:szCs w:val="16"/>
              </w:rPr>
              <w:t xml:space="preserve">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3C69FE9F" w14:textId="77777777" w:rsidR="00EA61D7" w:rsidRPr="00F33D7D" w:rsidRDefault="00EA61D7" w:rsidP="00F33D7D">
            <w:pPr>
              <w:spacing w:after="0" w:line="240" w:lineRule="auto"/>
              <w:jc w:val="right"/>
              <w:rPr>
                <w:rFonts w:cs="Arial"/>
                <w:sz w:val="16"/>
                <w:szCs w:val="16"/>
              </w:rPr>
            </w:pPr>
            <w:r w:rsidRPr="00F33D7D">
              <w:rPr>
                <w:rFonts w:cs="Arial"/>
                <w:sz w:val="16"/>
                <w:szCs w:val="16"/>
              </w:rPr>
              <w:t>5.000.000,00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4959F28D" w14:textId="77777777" w:rsidR="00EA61D7" w:rsidRPr="00F33D7D" w:rsidRDefault="00EA61D7" w:rsidP="00F33D7D">
            <w:pPr>
              <w:spacing w:after="0" w:line="240" w:lineRule="auto"/>
              <w:jc w:val="right"/>
              <w:rPr>
                <w:rFonts w:cs="Arial"/>
                <w:sz w:val="16"/>
                <w:szCs w:val="16"/>
              </w:rPr>
            </w:pPr>
            <w:r w:rsidRPr="00F33D7D">
              <w:rPr>
                <w:rFonts w:cs="Arial"/>
                <w:sz w:val="16"/>
                <w:szCs w:val="16"/>
              </w:rPr>
              <w:t>5.000.000,00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1ABAEE6E" w14:textId="306D19EF"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1059B852" w14:textId="77777777" w:rsidR="00EA61D7" w:rsidRPr="00F33D7D" w:rsidRDefault="00EA61D7" w:rsidP="00F33D7D">
            <w:pPr>
              <w:spacing w:after="0" w:line="240" w:lineRule="auto"/>
              <w:jc w:val="right"/>
              <w:rPr>
                <w:rFonts w:cs="Arial"/>
                <w:sz w:val="16"/>
                <w:szCs w:val="16"/>
              </w:rPr>
            </w:pPr>
            <w:r w:rsidRPr="00F33D7D">
              <w:rPr>
                <w:rFonts w:cs="Arial"/>
                <w:sz w:val="16"/>
                <w:szCs w:val="16"/>
              </w:rPr>
              <w:t>1</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5D00EAC5" w14:textId="46EAAD12" w:rsidR="00EA61D7" w:rsidRPr="00F33D7D" w:rsidRDefault="00EA61D7" w:rsidP="00F33D7D">
            <w:pPr>
              <w:spacing w:after="0" w:line="240" w:lineRule="auto"/>
              <w:jc w:val="right"/>
              <w:rPr>
                <w:rFonts w:cs="Arial"/>
                <w:sz w:val="16"/>
                <w:szCs w:val="16"/>
              </w:rPr>
            </w:pPr>
            <w:r w:rsidRPr="00F33D7D">
              <w:rPr>
                <w:rFonts w:cs="Arial"/>
                <w:sz w:val="16"/>
                <w:szCs w:val="16"/>
              </w:rPr>
              <w:t>5.000.000,00</w:t>
            </w:r>
          </w:p>
        </w:tc>
      </w:tr>
      <w:tr w:rsidR="00DE23FF" w:rsidRPr="002F06DF" w14:paraId="452DCE55"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0B9BE9E3" w14:textId="723E0184" w:rsidR="00EA61D7" w:rsidRPr="002F06DF" w:rsidRDefault="002C123C" w:rsidP="00EA61D7">
            <w:pPr>
              <w:spacing w:after="0" w:line="240" w:lineRule="auto"/>
              <w:jc w:val="left"/>
              <w:rPr>
                <w:rFonts w:cs="Arial"/>
                <w:sz w:val="16"/>
                <w:szCs w:val="16"/>
              </w:rPr>
            </w:pPr>
            <w:r w:rsidRPr="002C123C">
              <w:rPr>
                <w:rFonts w:cs="Arial"/>
                <w:sz w:val="16"/>
                <w:szCs w:val="16"/>
              </w:rPr>
              <w:t>Εταιρεία Διαχείρισης Επενδυτικών Κεφαλαίων Ταμείων Ασφάλισης (ΕΔΕΚΤ) ΑΕΠΕΥ</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768701F" w14:textId="77777777" w:rsidR="00EA61D7" w:rsidRPr="00F33D7D" w:rsidRDefault="00EA61D7" w:rsidP="00F33D7D">
            <w:pPr>
              <w:spacing w:after="0" w:line="240" w:lineRule="auto"/>
              <w:jc w:val="right"/>
              <w:rPr>
                <w:rFonts w:cs="Arial"/>
                <w:sz w:val="16"/>
                <w:szCs w:val="16"/>
              </w:rPr>
            </w:pPr>
            <w:r w:rsidRPr="00F33D7D">
              <w:rPr>
                <w:rFonts w:cs="Arial"/>
                <w:sz w:val="16"/>
                <w:szCs w:val="16"/>
              </w:rPr>
              <w:t>300.000,00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7CA23A1D" w14:textId="77777777" w:rsidR="00EA61D7" w:rsidRPr="00F33D7D" w:rsidRDefault="00EA61D7" w:rsidP="00F33D7D">
            <w:pPr>
              <w:spacing w:after="0" w:line="240" w:lineRule="auto"/>
              <w:jc w:val="right"/>
              <w:rPr>
                <w:rFonts w:cs="Arial"/>
                <w:sz w:val="16"/>
                <w:szCs w:val="16"/>
              </w:rPr>
            </w:pPr>
            <w:r w:rsidRPr="00F33D7D">
              <w:rPr>
                <w:rFonts w:cs="Arial"/>
                <w:sz w:val="16"/>
                <w:szCs w:val="16"/>
              </w:rPr>
              <w:t>15.000,00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769C5741" w14:textId="6488C4AE" w:rsidR="00EA61D7" w:rsidRPr="00F33D7D" w:rsidRDefault="00EA61D7" w:rsidP="00F33D7D">
            <w:pPr>
              <w:spacing w:after="0" w:line="240" w:lineRule="auto"/>
              <w:jc w:val="right"/>
              <w:rPr>
                <w:rFonts w:cs="Arial"/>
                <w:sz w:val="16"/>
                <w:szCs w:val="16"/>
              </w:rPr>
            </w:pPr>
            <w:r w:rsidRPr="00F33D7D">
              <w:rPr>
                <w:rFonts w:cs="Arial"/>
                <w:sz w:val="16"/>
                <w:szCs w:val="16"/>
              </w:rPr>
              <w:t>5,00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66CC4808" w14:textId="77777777" w:rsidR="00EA61D7" w:rsidRPr="00F33D7D" w:rsidRDefault="00EA61D7" w:rsidP="00F33D7D">
            <w:pPr>
              <w:spacing w:after="0" w:line="240" w:lineRule="auto"/>
              <w:jc w:val="right"/>
              <w:rPr>
                <w:rFonts w:cs="Arial"/>
                <w:sz w:val="16"/>
                <w:szCs w:val="16"/>
              </w:rPr>
            </w:pPr>
            <w:r w:rsidRPr="00F33D7D">
              <w:rPr>
                <w:rFonts w:cs="Arial"/>
                <w:sz w:val="16"/>
                <w:szCs w:val="16"/>
              </w:rPr>
              <w:t>5.000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45F438A4" w14:textId="423923C3" w:rsidR="00EA61D7" w:rsidRPr="00F33D7D" w:rsidRDefault="00EA61D7" w:rsidP="00F33D7D">
            <w:pPr>
              <w:spacing w:after="0" w:line="240" w:lineRule="auto"/>
              <w:jc w:val="right"/>
              <w:rPr>
                <w:rFonts w:cs="Arial"/>
                <w:sz w:val="16"/>
                <w:szCs w:val="16"/>
              </w:rPr>
            </w:pPr>
            <w:r w:rsidRPr="00F33D7D">
              <w:rPr>
                <w:rFonts w:cs="Arial"/>
                <w:sz w:val="16"/>
                <w:szCs w:val="16"/>
              </w:rPr>
              <w:t>3,00</w:t>
            </w:r>
          </w:p>
        </w:tc>
      </w:tr>
      <w:tr w:rsidR="00DE23FF" w:rsidRPr="002F06DF" w14:paraId="6366C608"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09517C28" w14:textId="57EA03B2" w:rsidR="00EA61D7" w:rsidRPr="002F06DF" w:rsidRDefault="002C123C" w:rsidP="00EA61D7">
            <w:pPr>
              <w:spacing w:after="0" w:line="240" w:lineRule="auto"/>
              <w:jc w:val="left"/>
              <w:rPr>
                <w:rFonts w:cs="Arial"/>
                <w:sz w:val="16"/>
                <w:szCs w:val="16"/>
              </w:rPr>
            </w:pPr>
            <w:r w:rsidRPr="00687508">
              <w:rPr>
                <w:rFonts w:cs="Arial"/>
                <w:sz w:val="16"/>
                <w:szCs w:val="16"/>
              </w:rPr>
              <w:t>Ηλεκτρονική Διακυβέρνηση Κοινωνικής Ασφάλισης (ΗΔΙΚΑ)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1614C5E1" w14:textId="77777777" w:rsidR="00EA61D7" w:rsidRPr="00F33D7D" w:rsidRDefault="00EA61D7" w:rsidP="00F33D7D">
            <w:pPr>
              <w:spacing w:after="0" w:line="240" w:lineRule="auto"/>
              <w:jc w:val="right"/>
              <w:rPr>
                <w:rFonts w:cs="Arial"/>
                <w:sz w:val="16"/>
                <w:szCs w:val="16"/>
              </w:rPr>
            </w:pPr>
            <w:r w:rsidRPr="00F33D7D">
              <w:rPr>
                <w:rFonts w:cs="Arial"/>
                <w:sz w:val="16"/>
                <w:szCs w:val="16"/>
              </w:rPr>
              <w:t>3.000.000,00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35F7F6D2" w14:textId="77777777" w:rsidR="00EA61D7" w:rsidRPr="00F33D7D" w:rsidRDefault="00EA61D7" w:rsidP="00F33D7D">
            <w:pPr>
              <w:spacing w:after="0" w:line="240" w:lineRule="auto"/>
              <w:jc w:val="right"/>
              <w:rPr>
                <w:rFonts w:cs="Arial"/>
                <w:sz w:val="16"/>
                <w:szCs w:val="16"/>
              </w:rPr>
            </w:pPr>
            <w:r w:rsidRPr="00F33D7D">
              <w:rPr>
                <w:rFonts w:cs="Arial"/>
                <w:sz w:val="16"/>
                <w:szCs w:val="16"/>
              </w:rPr>
              <w:t>3.000.000,00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04C4A4F8" w14:textId="6DEE45C3"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06F966EF"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28EE9214" w14:textId="0413BB46" w:rsidR="00EA61D7" w:rsidRPr="00F33D7D" w:rsidRDefault="00EA61D7" w:rsidP="00F33D7D">
            <w:pPr>
              <w:spacing w:after="0" w:line="240" w:lineRule="auto"/>
              <w:jc w:val="right"/>
              <w:rPr>
                <w:rFonts w:cs="Arial"/>
                <w:sz w:val="16"/>
                <w:szCs w:val="16"/>
              </w:rPr>
            </w:pPr>
            <w:r w:rsidRPr="00F33D7D">
              <w:rPr>
                <w:rFonts w:cs="Arial"/>
                <w:sz w:val="16"/>
                <w:szCs w:val="16"/>
              </w:rPr>
              <w:t>50,00</w:t>
            </w:r>
          </w:p>
        </w:tc>
      </w:tr>
      <w:tr w:rsidR="00DE23FF" w:rsidRPr="002F06DF" w14:paraId="64D4E4D3" w14:textId="77777777" w:rsidTr="00C52316">
        <w:trPr>
          <w:cantSplit/>
          <w:trHeight w:val="416"/>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52067B00" w14:textId="1C0B3A1A" w:rsidR="002C123C" w:rsidRDefault="002C123C" w:rsidP="002C123C">
            <w:pPr>
              <w:spacing w:after="0" w:line="276" w:lineRule="auto"/>
              <w:jc w:val="left"/>
              <w:rPr>
                <w:rFonts w:cs="Arial"/>
                <w:sz w:val="16"/>
                <w:szCs w:val="16"/>
              </w:rPr>
            </w:pPr>
            <w:r w:rsidRPr="00687508">
              <w:rPr>
                <w:rFonts w:cs="Arial"/>
                <w:sz w:val="16"/>
                <w:szCs w:val="16"/>
              </w:rPr>
              <w:t xml:space="preserve">Κέντρο Τεκμηρίωσης </w:t>
            </w:r>
            <w:r>
              <w:rPr>
                <w:rFonts w:cs="Arial"/>
                <w:sz w:val="16"/>
                <w:szCs w:val="16"/>
              </w:rPr>
              <w:t xml:space="preserve">και </w:t>
            </w:r>
            <w:r w:rsidRPr="00687508">
              <w:rPr>
                <w:rFonts w:cs="Arial"/>
                <w:sz w:val="16"/>
                <w:szCs w:val="16"/>
              </w:rPr>
              <w:t>Κοστολόγησης Νοσοκομειακών Υπηρεσιών</w:t>
            </w:r>
            <w:r>
              <w:rPr>
                <w:rFonts w:cs="Arial"/>
                <w:sz w:val="16"/>
                <w:szCs w:val="16"/>
              </w:rPr>
              <w:t xml:space="preserve"> (ΚΕΤΕΚΝΥ)</w:t>
            </w:r>
            <w:r w:rsidRPr="00687508">
              <w:rPr>
                <w:rFonts w:cs="Arial"/>
                <w:sz w:val="16"/>
                <w:szCs w:val="16"/>
              </w:rPr>
              <w:t xml:space="preserve"> ΑΕ</w:t>
            </w:r>
          </w:p>
          <w:p w14:paraId="78C806A8" w14:textId="1059B57D" w:rsidR="00EA61D7" w:rsidRPr="002F06DF" w:rsidRDefault="002C123C" w:rsidP="002C123C">
            <w:pPr>
              <w:spacing w:after="0" w:line="240" w:lineRule="auto"/>
              <w:jc w:val="left"/>
              <w:rPr>
                <w:rFonts w:cs="Arial"/>
                <w:sz w:val="16"/>
                <w:szCs w:val="16"/>
              </w:rPr>
            </w:pPr>
            <w:r w:rsidRPr="00687508">
              <w:rPr>
                <w:rFonts w:cs="Arial"/>
                <w:sz w:val="16"/>
                <w:szCs w:val="16"/>
              </w:rPr>
              <w:t>(</w:t>
            </w:r>
            <w:r w:rsidR="00EA61D7" w:rsidRPr="002F06DF">
              <w:rPr>
                <w:rFonts w:cs="Arial"/>
                <w:sz w:val="16"/>
                <w:szCs w:val="16"/>
              </w:rPr>
              <w:t>πρώην ΕΣΑΝ ΑΕ</w:t>
            </w:r>
            <w:r w:rsidR="000C6D91">
              <w:rPr>
                <w:rFonts w:cs="Arial"/>
                <w:sz w:val="16"/>
                <w:szCs w:val="16"/>
              </w:rPr>
              <w:t>)</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2CB44E7F"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1C343488"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19D00972" w14:textId="68F74206"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5D070B31"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72453A27" w14:textId="2C6B82EA" w:rsidR="00EA61D7" w:rsidRPr="00F33D7D" w:rsidRDefault="00EA61D7" w:rsidP="00F33D7D">
            <w:pPr>
              <w:spacing w:after="0" w:line="240" w:lineRule="auto"/>
              <w:jc w:val="right"/>
              <w:rPr>
                <w:rFonts w:cs="Arial"/>
                <w:sz w:val="16"/>
                <w:szCs w:val="16"/>
              </w:rPr>
            </w:pPr>
            <w:r w:rsidRPr="00F33D7D">
              <w:rPr>
                <w:rFonts w:cs="Arial"/>
                <w:sz w:val="16"/>
                <w:szCs w:val="16"/>
              </w:rPr>
              <w:t>50,00</w:t>
            </w:r>
          </w:p>
        </w:tc>
      </w:tr>
      <w:tr w:rsidR="00DE23FF" w:rsidRPr="002F06DF" w14:paraId="02C77C0C"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565B59D4" w14:textId="4E39848C" w:rsidR="00EA61D7" w:rsidRPr="002F06DF" w:rsidRDefault="002C123C" w:rsidP="00EA61D7">
            <w:pPr>
              <w:spacing w:after="0" w:line="240" w:lineRule="auto"/>
              <w:jc w:val="left"/>
              <w:rPr>
                <w:rFonts w:cs="Arial"/>
                <w:sz w:val="16"/>
                <w:szCs w:val="16"/>
              </w:rPr>
            </w:pPr>
            <w:r w:rsidRPr="00687508">
              <w:rPr>
                <w:rFonts w:cs="Arial"/>
                <w:sz w:val="16"/>
                <w:szCs w:val="16"/>
              </w:rPr>
              <w:t>Κέντρο Πολιτισμού Ίδρυμα Σταύρος Νιάρχος (ΚΠΙΣΝ)</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0991F86E" w14:textId="77777777" w:rsidR="00EA61D7" w:rsidRPr="00F33D7D" w:rsidRDefault="00EA61D7" w:rsidP="00F33D7D">
            <w:pPr>
              <w:spacing w:after="0" w:line="240" w:lineRule="auto"/>
              <w:jc w:val="right"/>
              <w:rPr>
                <w:rFonts w:cs="Arial"/>
                <w:sz w:val="16"/>
                <w:szCs w:val="16"/>
              </w:rPr>
            </w:pPr>
            <w:r w:rsidRPr="00F33D7D">
              <w:rPr>
                <w:rFonts w:cs="Arial"/>
                <w:sz w:val="16"/>
                <w:szCs w:val="16"/>
              </w:rPr>
              <w:t>473.751.300,00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3FF44258" w14:textId="20AB4830" w:rsidR="00EA61D7" w:rsidRPr="00F33D7D" w:rsidRDefault="000135A4" w:rsidP="00F33D7D">
            <w:pPr>
              <w:spacing w:after="0" w:line="240" w:lineRule="auto"/>
              <w:jc w:val="right"/>
              <w:rPr>
                <w:rFonts w:cs="Arial"/>
                <w:sz w:val="16"/>
                <w:szCs w:val="16"/>
              </w:rPr>
            </w:pPr>
            <w:r w:rsidRPr="00F33D7D">
              <w:rPr>
                <w:rFonts w:cs="Arial"/>
                <w:sz w:val="16"/>
                <w:szCs w:val="16"/>
              </w:rPr>
              <w:t>473.751.300,00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18A1EE28" w14:textId="70ACC781"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173A3340" w14:textId="77777777" w:rsidR="00EA61D7" w:rsidRPr="00F33D7D" w:rsidRDefault="00EA61D7" w:rsidP="00F33D7D">
            <w:pPr>
              <w:spacing w:after="0" w:line="240" w:lineRule="auto"/>
              <w:jc w:val="right"/>
              <w:rPr>
                <w:rFonts w:cs="Arial"/>
                <w:sz w:val="16"/>
                <w:szCs w:val="16"/>
              </w:rPr>
            </w:pPr>
            <w:r w:rsidRPr="00F33D7D">
              <w:rPr>
                <w:rFonts w:cs="Arial"/>
                <w:sz w:val="16"/>
                <w:szCs w:val="16"/>
              </w:rPr>
              <w:t>4.737.513</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2ECCD300" w14:textId="5172FB85"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2E87233F" w14:textId="77777777" w:rsidTr="00C52316">
        <w:trPr>
          <w:cantSplit/>
          <w:trHeight w:val="307"/>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70D54E7C" w14:textId="1B38CEB9" w:rsidR="002C123C" w:rsidRDefault="002C123C" w:rsidP="002C123C">
            <w:pPr>
              <w:spacing w:after="0" w:line="276" w:lineRule="auto"/>
              <w:jc w:val="left"/>
              <w:rPr>
                <w:rFonts w:cs="Arial"/>
                <w:sz w:val="16"/>
                <w:szCs w:val="16"/>
              </w:rPr>
            </w:pPr>
            <w:r w:rsidRPr="00687508">
              <w:rPr>
                <w:rFonts w:cs="Arial"/>
                <w:sz w:val="16"/>
                <w:szCs w:val="16"/>
              </w:rPr>
              <w:t xml:space="preserve">Κοινωνία της Πληροφορίας </w:t>
            </w:r>
            <w:r w:rsidR="000C6D91">
              <w:rPr>
                <w:rFonts w:cs="Arial"/>
                <w:sz w:val="16"/>
                <w:szCs w:val="16"/>
              </w:rPr>
              <w:t xml:space="preserve">(ΚτΠ) </w:t>
            </w:r>
            <w:r>
              <w:rPr>
                <w:rFonts w:cs="Arial"/>
                <w:sz w:val="16"/>
                <w:szCs w:val="16"/>
              </w:rPr>
              <w:t>Μ</w:t>
            </w:r>
            <w:r w:rsidRPr="00687508">
              <w:rPr>
                <w:rFonts w:cs="Arial"/>
                <w:sz w:val="16"/>
                <w:szCs w:val="16"/>
              </w:rPr>
              <w:t>ΑΕ</w:t>
            </w:r>
          </w:p>
          <w:p w14:paraId="39EE920E" w14:textId="4230F0A5" w:rsidR="00EA61D7" w:rsidRPr="002F06DF" w:rsidRDefault="002C123C" w:rsidP="002C123C">
            <w:pPr>
              <w:spacing w:after="0" w:line="240" w:lineRule="auto"/>
              <w:jc w:val="left"/>
              <w:rPr>
                <w:rFonts w:cs="Arial"/>
                <w:sz w:val="16"/>
                <w:szCs w:val="16"/>
              </w:rPr>
            </w:pPr>
            <w:r w:rsidRPr="00687508">
              <w:rPr>
                <w:rFonts w:cs="Arial"/>
                <w:sz w:val="16"/>
                <w:szCs w:val="16"/>
              </w:rPr>
              <w:t>(συγχώνευση με Ψηφιακές Ενισχύσεις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1065F7B0" w14:textId="77777777" w:rsidR="00EA61D7" w:rsidRPr="00F33D7D" w:rsidRDefault="00EA61D7" w:rsidP="00F33D7D">
            <w:pPr>
              <w:spacing w:after="0" w:line="240" w:lineRule="auto"/>
              <w:jc w:val="right"/>
              <w:rPr>
                <w:rFonts w:cs="Arial"/>
                <w:sz w:val="16"/>
                <w:szCs w:val="16"/>
              </w:rPr>
            </w:pPr>
            <w:r w:rsidRPr="00F33D7D">
              <w:rPr>
                <w:rFonts w:cs="Arial"/>
                <w:sz w:val="16"/>
                <w:szCs w:val="16"/>
              </w:rPr>
              <w:t>7.017.500,00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32DBC1D4" w14:textId="77777777" w:rsidR="00EA61D7" w:rsidRPr="00F33D7D" w:rsidRDefault="00EA61D7" w:rsidP="00F33D7D">
            <w:pPr>
              <w:spacing w:after="0" w:line="240" w:lineRule="auto"/>
              <w:jc w:val="right"/>
              <w:rPr>
                <w:rFonts w:cs="Arial"/>
                <w:sz w:val="16"/>
                <w:szCs w:val="16"/>
              </w:rPr>
            </w:pPr>
            <w:r w:rsidRPr="00F33D7D">
              <w:rPr>
                <w:rFonts w:cs="Arial"/>
                <w:sz w:val="16"/>
                <w:szCs w:val="16"/>
              </w:rPr>
              <w:t>7.017.500,00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33A79FE8" w14:textId="2F6E8C36"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40AE6278" w14:textId="77777777" w:rsidR="00EA61D7" w:rsidRPr="00F33D7D" w:rsidRDefault="00EA61D7" w:rsidP="00F33D7D">
            <w:pPr>
              <w:spacing w:after="0" w:line="240" w:lineRule="auto"/>
              <w:jc w:val="right"/>
              <w:rPr>
                <w:rFonts w:cs="Arial"/>
                <w:sz w:val="16"/>
                <w:szCs w:val="16"/>
              </w:rPr>
            </w:pPr>
            <w:r w:rsidRPr="00F33D7D">
              <w:rPr>
                <w:rFonts w:cs="Arial"/>
                <w:sz w:val="16"/>
                <w:szCs w:val="16"/>
              </w:rPr>
              <w:t>175.000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7D04719A" w14:textId="6D89BEFD" w:rsidR="00EA61D7" w:rsidRPr="00F33D7D" w:rsidRDefault="00EA61D7" w:rsidP="00F33D7D">
            <w:pPr>
              <w:spacing w:after="0" w:line="240" w:lineRule="auto"/>
              <w:jc w:val="right"/>
              <w:rPr>
                <w:rFonts w:cs="Arial"/>
                <w:sz w:val="16"/>
                <w:szCs w:val="16"/>
              </w:rPr>
            </w:pPr>
            <w:r w:rsidRPr="00F33D7D">
              <w:rPr>
                <w:rFonts w:cs="Arial"/>
                <w:sz w:val="16"/>
                <w:szCs w:val="16"/>
              </w:rPr>
              <w:t>40,10</w:t>
            </w:r>
          </w:p>
        </w:tc>
      </w:tr>
      <w:tr w:rsidR="00DE23FF" w:rsidRPr="002F06DF" w14:paraId="380F2965" w14:textId="77777777" w:rsidTr="00C52316">
        <w:trPr>
          <w:cantSplit/>
          <w:trHeight w:val="313"/>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115FFCEF" w14:textId="75D14327" w:rsidR="00EA61D7" w:rsidRPr="002F06DF" w:rsidRDefault="002C4D5A" w:rsidP="00EA61D7">
            <w:pPr>
              <w:spacing w:after="0" w:line="240" w:lineRule="auto"/>
              <w:jc w:val="left"/>
              <w:rPr>
                <w:rFonts w:cs="Arial"/>
                <w:sz w:val="16"/>
                <w:szCs w:val="16"/>
              </w:rPr>
            </w:pPr>
            <w:r w:rsidRPr="00687508">
              <w:rPr>
                <w:rFonts w:cs="Arial"/>
                <w:sz w:val="16"/>
                <w:szCs w:val="16"/>
              </w:rPr>
              <w:t>Μονάδα Οργάνωσης της Διαχείρισης Αναπτυξιακών Προγραμμάτων (ΜΟΔ)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2A771685" w14:textId="77777777" w:rsidR="00EA61D7" w:rsidRPr="00F33D7D" w:rsidRDefault="00EA61D7" w:rsidP="00F33D7D">
            <w:pPr>
              <w:spacing w:after="0" w:line="240" w:lineRule="auto"/>
              <w:jc w:val="right"/>
              <w:rPr>
                <w:rFonts w:cs="Arial"/>
                <w:sz w:val="16"/>
                <w:szCs w:val="16"/>
              </w:rPr>
            </w:pPr>
            <w:r w:rsidRPr="00F33D7D">
              <w:rPr>
                <w:rFonts w:cs="Arial"/>
                <w:sz w:val="16"/>
                <w:szCs w:val="16"/>
              </w:rPr>
              <w:t>129.140,00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35A7C0E9" w14:textId="77777777" w:rsidR="00EA61D7" w:rsidRPr="00F33D7D" w:rsidRDefault="00EA61D7" w:rsidP="00F33D7D">
            <w:pPr>
              <w:spacing w:after="0" w:line="240" w:lineRule="auto"/>
              <w:jc w:val="right"/>
              <w:rPr>
                <w:rFonts w:cs="Arial"/>
                <w:sz w:val="16"/>
                <w:szCs w:val="16"/>
              </w:rPr>
            </w:pPr>
            <w:r w:rsidRPr="00F33D7D">
              <w:rPr>
                <w:rFonts w:cs="Arial"/>
                <w:sz w:val="16"/>
                <w:szCs w:val="16"/>
              </w:rPr>
              <w:t>129.140,00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7FA08741" w14:textId="3F05C045"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4C71B5EF" w14:textId="77777777" w:rsidR="00EA61D7" w:rsidRPr="00F33D7D" w:rsidRDefault="00EA61D7" w:rsidP="00F33D7D">
            <w:pPr>
              <w:spacing w:after="0" w:line="240" w:lineRule="auto"/>
              <w:jc w:val="right"/>
              <w:rPr>
                <w:rFonts w:cs="Arial"/>
                <w:sz w:val="16"/>
                <w:szCs w:val="16"/>
              </w:rPr>
            </w:pPr>
            <w:r w:rsidRPr="00F33D7D">
              <w:rPr>
                <w:rFonts w:cs="Arial"/>
                <w:sz w:val="16"/>
                <w:szCs w:val="16"/>
              </w:rPr>
              <w:t>4.400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415D6C43" w14:textId="7C68605B" w:rsidR="00EA61D7" w:rsidRPr="00F33D7D" w:rsidRDefault="00EA61D7" w:rsidP="00F33D7D">
            <w:pPr>
              <w:spacing w:after="0" w:line="240" w:lineRule="auto"/>
              <w:jc w:val="right"/>
              <w:rPr>
                <w:rFonts w:cs="Arial"/>
                <w:sz w:val="16"/>
                <w:szCs w:val="16"/>
              </w:rPr>
            </w:pPr>
            <w:r w:rsidRPr="00F33D7D">
              <w:rPr>
                <w:rFonts w:cs="Arial"/>
                <w:sz w:val="16"/>
                <w:szCs w:val="16"/>
              </w:rPr>
              <w:t>29,35</w:t>
            </w:r>
          </w:p>
        </w:tc>
      </w:tr>
      <w:tr w:rsidR="00DE23FF" w:rsidRPr="002F06DF" w14:paraId="27169105"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38B3E67A" w14:textId="1C38893C" w:rsidR="00EA61D7" w:rsidRPr="00A0245E" w:rsidRDefault="00EA61D7" w:rsidP="00EA61D7">
            <w:pPr>
              <w:spacing w:after="0" w:line="240" w:lineRule="auto"/>
              <w:jc w:val="left"/>
              <w:rPr>
                <w:rFonts w:cs="Arial"/>
                <w:sz w:val="16"/>
                <w:szCs w:val="16"/>
              </w:rPr>
            </w:pPr>
            <w:r w:rsidRPr="00A0245E">
              <w:rPr>
                <w:rFonts w:cs="Arial"/>
                <w:sz w:val="16"/>
                <w:szCs w:val="16"/>
              </w:rPr>
              <w:t xml:space="preserve">Οινοποιητική Αγροτική </w:t>
            </w:r>
            <w:r w:rsidR="002C4D5A" w:rsidRPr="00A0245E">
              <w:rPr>
                <w:rFonts w:cs="Arial"/>
                <w:sz w:val="16"/>
                <w:szCs w:val="16"/>
              </w:rPr>
              <w:t>και</w:t>
            </w:r>
            <w:r w:rsidRPr="00A0245E">
              <w:rPr>
                <w:rFonts w:cs="Arial"/>
                <w:sz w:val="16"/>
                <w:szCs w:val="16"/>
              </w:rPr>
              <w:t xml:space="preserve"> Βιομηχανική Εταιρική Σύμπραξη (ΚΑΪΡ) </w:t>
            </w:r>
            <w:r w:rsidR="005E044A" w:rsidRPr="00A0245E">
              <w:rPr>
                <w:rFonts w:cs="Arial"/>
                <w:sz w:val="16"/>
                <w:szCs w:val="16"/>
              </w:rPr>
              <w:t>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689DA78A" w14:textId="77777777" w:rsidR="00EA61D7" w:rsidRPr="00A0245E" w:rsidRDefault="00EA61D7" w:rsidP="00F33D7D">
            <w:pPr>
              <w:spacing w:after="0" w:line="240" w:lineRule="auto"/>
              <w:jc w:val="right"/>
              <w:rPr>
                <w:rFonts w:cs="Arial"/>
                <w:sz w:val="16"/>
                <w:szCs w:val="16"/>
              </w:rPr>
            </w:pPr>
            <w:r w:rsidRPr="00A0245E">
              <w:rPr>
                <w:rFonts w:cs="Arial"/>
                <w:sz w:val="16"/>
                <w:szCs w:val="16"/>
              </w:rPr>
              <w:t>576.720,28</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03315571" w14:textId="77777777" w:rsidR="00EA61D7" w:rsidRPr="00A0245E" w:rsidRDefault="00EA61D7" w:rsidP="00F33D7D">
            <w:pPr>
              <w:spacing w:after="0" w:line="240" w:lineRule="auto"/>
              <w:jc w:val="right"/>
              <w:rPr>
                <w:rFonts w:cs="Arial"/>
                <w:sz w:val="16"/>
                <w:szCs w:val="16"/>
              </w:rPr>
            </w:pPr>
            <w:r w:rsidRPr="00A0245E">
              <w:rPr>
                <w:rFonts w:cs="Arial"/>
                <w:sz w:val="16"/>
                <w:szCs w:val="16"/>
              </w:rPr>
              <w:t>21.693,80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16A790A4" w14:textId="5AADE9F0" w:rsidR="00EA61D7" w:rsidRPr="00A0245E" w:rsidRDefault="00EA61D7" w:rsidP="00F33D7D">
            <w:pPr>
              <w:spacing w:after="0" w:line="240" w:lineRule="auto"/>
              <w:jc w:val="right"/>
              <w:rPr>
                <w:rFonts w:cs="Arial"/>
                <w:sz w:val="16"/>
                <w:szCs w:val="16"/>
              </w:rPr>
            </w:pPr>
            <w:r w:rsidRPr="00A0245E">
              <w:rPr>
                <w:rFonts w:cs="Arial"/>
                <w:sz w:val="16"/>
                <w:szCs w:val="16"/>
              </w:rPr>
              <w:t>3,76</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3564AD16" w14:textId="77777777" w:rsidR="00EA61D7" w:rsidRPr="00A0245E" w:rsidRDefault="00EA61D7" w:rsidP="00F33D7D">
            <w:pPr>
              <w:spacing w:after="0" w:line="240" w:lineRule="auto"/>
              <w:jc w:val="right"/>
              <w:rPr>
                <w:rFonts w:cs="Arial"/>
                <w:sz w:val="16"/>
                <w:szCs w:val="16"/>
              </w:rPr>
            </w:pPr>
            <w:r w:rsidRPr="00A0245E">
              <w:rPr>
                <w:rFonts w:cs="Arial"/>
                <w:sz w:val="16"/>
                <w:szCs w:val="16"/>
              </w:rPr>
              <w:t>17.495</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7250F6BC" w14:textId="42EF2880" w:rsidR="00EA61D7" w:rsidRPr="00F33D7D" w:rsidRDefault="00EA61D7" w:rsidP="00F33D7D">
            <w:pPr>
              <w:spacing w:after="0" w:line="240" w:lineRule="auto"/>
              <w:jc w:val="right"/>
              <w:rPr>
                <w:rFonts w:cs="Arial"/>
                <w:sz w:val="16"/>
                <w:szCs w:val="16"/>
              </w:rPr>
            </w:pPr>
            <w:r w:rsidRPr="00A0245E">
              <w:rPr>
                <w:rFonts w:cs="Arial"/>
                <w:sz w:val="16"/>
                <w:szCs w:val="16"/>
              </w:rPr>
              <w:t>1,24</w:t>
            </w:r>
          </w:p>
        </w:tc>
      </w:tr>
      <w:tr w:rsidR="00DE23FF" w:rsidRPr="002F06DF" w14:paraId="3F509EBA"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27C63712" w14:textId="362B9683" w:rsidR="00EA61D7" w:rsidRPr="002F06DF" w:rsidRDefault="002C4D5A" w:rsidP="00EA61D7">
            <w:pPr>
              <w:spacing w:after="0" w:line="240" w:lineRule="auto"/>
              <w:jc w:val="left"/>
              <w:rPr>
                <w:rFonts w:cs="Arial"/>
                <w:sz w:val="16"/>
                <w:szCs w:val="16"/>
              </w:rPr>
            </w:pPr>
            <w:r w:rsidRPr="00687508">
              <w:rPr>
                <w:rFonts w:cs="Arial"/>
                <w:sz w:val="16"/>
                <w:szCs w:val="16"/>
              </w:rPr>
              <w:t>Οργανισμός Ανάπτυξης Κρήτης (ΟΑΚ)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A3B879A" w14:textId="77777777" w:rsidR="00EA61D7" w:rsidRPr="00F33D7D" w:rsidRDefault="00EA61D7" w:rsidP="00F33D7D">
            <w:pPr>
              <w:spacing w:after="0" w:line="240" w:lineRule="auto"/>
              <w:jc w:val="right"/>
              <w:rPr>
                <w:rFonts w:cs="Arial"/>
                <w:sz w:val="16"/>
                <w:szCs w:val="16"/>
              </w:rPr>
            </w:pPr>
            <w:r w:rsidRPr="00F33D7D">
              <w:rPr>
                <w:rFonts w:cs="Arial"/>
                <w:sz w:val="16"/>
                <w:szCs w:val="16"/>
              </w:rPr>
              <w:t>532.800,00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58CE0585" w14:textId="77777777" w:rsidR="00EA61D7" w:rsidRPr="00F33D7D" w:rsidRDefault="00EA61D7" w:rsidP="00F33D7D">
            <w:pPr>
              <w:spacing w:after="0" w:line="240" w:lineRule="auto"/>
              <w:jc w:val="right"/>
              <w:rPr>
                <w:rFonts w:cs="Arial"/>
                <w:sz w:val="16"/>
                <w:szCs w:val="16"/>
              </w:rPr>
            </w:pPr>
            <w:r w:rsidRPr="00F33D7D">
              <w:rPr>
                <w:rFonts w:cs="Arial"/>
                <w:sz w:val="16"/>
                <w:szCs w:val="16"/>
              </w:rPr>
              <w:t>271.728,00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72B6B2C7" w14:textId="5CF471FB" w:rsidR="00EA61D7" w:rsidRPr="00F33D7D" w:rsidRDefault="00EA61D7" w:rsidP="00F33D7D">
            <w:pPr>
              <w:spacing w:after="0" w:line="240" w:lineRule="auto"/>
              <w:jc w:val="right"/>
              <w:rPr>
                <w:rFonts w:cs="Arial"/>
                <w:sz w:val="16"/>
                <w:szCs w:val="16"/>
              </w:rPr>
            </w:pPr>
            <w:r w:rsidRPr="00F33D7D">
              <w:rPr>
                <w:rFonts w:cs="Arial"/>
                <w:sz w:val="16"/>
                <w:szCs w:val="16"/>
              </w:rPr>
              <w:t>51,00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65F578F9" w14:textId="77777777" w:rsidR="00EA61D7" w:rsidRPr="00F33D7D" w:rsidRDefault="00EA61D7" w:rsidP="00F33D7D">
            <w:pPr>
              <w:spacing w:after="0" w:line="240" w:lineRule="auto"/>
              <w:jc w:val="right"/>
              <w:rPr>
                <w:rFonts w:cs="Arial"/>
                <w:sz w:val="16"/>
                <w:szCs w:val="16"/>
              </w:rPr>
            </w:pPr>
            <w:r w:rsidRPr="00F33D7D">
              <w:rPr>
                <w:rFonts w:cs="Arial"/>
                <w:sz w:val="16"/>
                <w:szCs w:val="16"/>
              </w:rPr>
              <w:t>91.800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152ECBE4" w14:textId="2DAB463C" w:rsidR="00EA61D7" w:rsidRPr="00F33D7D" w:rsidRDefault="00EA61D7" w:rsidP="00F33D7D">
            <w:pPr>
              <w:spacing w:after="0" w:line="240" w:lineRule="auto"/>
              <w:jc w:val="right"/>
              <w:rPr>
                <w:rFonts w:cs="Arial"/>
                <w:sz w:val="16"/>
                <w:szCs w:val="16"/>
              </w:rPr>
            </w:pPr>
            <w:r w:rsidRPr="00F33D7D">
              <w:rPr>
                <w:rFonts w:cs="Arial"/>
                <w:sz w:val="16"/>
                <w:szCs w:val="16"/>
              </w:rPr>
              <w:t>2,96</w:t>
            </w:r>
          </w:p>
        </w:tc>
      </w:tr>
      <w:tr w:rsidR="00DE23FF" w:rsidRPr="002F06DF" w14:paraId="2341FC58"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12E6288E" w14:textId="7A973004" w:rsidR="00EA61D7" w:rsidRPr="002F06DF" w:rsidRDefault="002C4D5A" w:rsidP="00EA61D7">
            <w:pPr>
              <w:spacing w:after="0" w:line="240" w:lineRule="auto"/>
              <w:jc w:val="left"/>
              <w:rPr>
                <w:rFonts w:cs="Arial"/>
                <w:sz w:val="16"/>
                <w:szCs w:val="16"/>
              </w:rPr>
            </w:pPr>
            <w:r w:rsidRPr="00687508">
              <w:rPr>
                <w:rFonts w:cs="Arial"/>
                <w:sz w:val="16"/>
                <w:szCs w:val="16"/>
              </w:rPr>
              <w:t>Οργανισμός Διασφάλισης της Ποιότητας στην Υγεία (ΟΔΙΠΥ)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22AE810A"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1B9931FB"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5F1F1963" w14:textId="28C58333"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471DD570" w14:textId="77777777" w:rsidR="00EA61D7" w:rsidRPr="00F33D7D" w:rsidRDefault="00EA61D7" w:rsidP="00F33D7D">
            <w:pPr>
              <w:spacing w:after="0" w:line="240" w:lineRule="auto"/>
              <w:jc w:val="right"/>
              <w:rPr>
                <w:rFonts w:cs="Arial"/>
                <w:sz w:val="16"/>
                <w:szCs w:val="16"/>
              </w:rPr>
            </w:pPr>
            <w:r w:rsidRPr="00F33D7D">
              <w:rPr>
                <w:rFonts w:cs="Arial"/>
                <w:sz w:val="16"/>
                <w:szCs w:val="16"/>
              </w:rPr>
              <w:t>40.000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5E9207CC" w14:textId="37011D14" w:rsidR="00EA61D7" w:rsidRPr="00F33D7D" w:rsidRDefault="00EA61D7" w:rsidP="00F33D7D">
            <w:pPr>
              <w:spacing w:after="0" w:line="240" w:lineRule="auto"/>
              <w:jc w:val="right"/>
              <w:rPr>
                <w:rFonts w:cs="Arial"/>
                <w:sz w:val="16"/>
                <w:szCs w:val="16"/>
              </w:rPr>
            </w:pPr>
            <w:r w:rsidRPr="00F33D7D">
              <w:rPr>
                <w:rFonts w:cs="Arial"/>
                <w:sz w:val="16"/>
                <w:szCs w:val="16"/>
              </w:rPr>
              <w:t>50,00</w:t>
            </w:r>
          </w:p>
        </w:tc>
      </w:tr>
      <w:tr w:rsidR="00DE23FF" w:rsidRPr="002F06DF" w14:paraId="08C05891" w14:textId="77777777" w:rsidTr="00C52316">
        <w:trPr>
          <w:cantSplit/>
          <w:trHeight w:val="210"/>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357A90A4" w14:textId="4AC36338" w:rsidR="00EA61D7" w:rsidRPr="002F06DF" w:rsidRDefault="00EA61D7" w:rsidP="00EA61D7">
            <w:pPr>
              <w:spacing w:after="0" w:line="240" w:lineRule="auto"/>
              <w:jc w:val="left"/>
              <w:rPr>
                <w:rFonts w:cs="Arial"/>
                <w:sz w:val="16"/>
                <w:szCs w:val="16"/>
              </w:rPr>
            </w:pPr>
            <w:r w:rsidRPr="002F06DF">
              <w:rPr>
                <w:rFonts w:cs="Arial"/>
                <w:sz w:val="16"/>
                <w:szCs w:val="16"/>
              </w:rPr>
              <w:t>Οργανισμός Διαχείρισης Υδάτων Θεσσαλίας (ΟΔΥΘ</w:t>
            </w:r>
            <w:r w:rsidR="002C4D5A" w:rsidRPr="001D2BA1">
              <w:rPr>
                <w:rFonts w:cs="Arial"/>
                <w:sz w:val="16"/>
                <w:szCs w:val="16"/>
              </w:rPr>
              <w:t>)</w:t>
            </w:r>
            <w:r w:rsidRPr="001D2BA1">
              <w:rPr>
                <w:rFonts w:cs="Arial"/>
                <w:sz w:val="16"/>
                <w:szCs w:val="16"/>
              </w:rPr>
              <w:t xml:space="preserve">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3A0BA0CC"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6B2474F1"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70A742A6" w14:textId="3C470D46"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5BB4D94F" w14:textId="77777777" w:rsidR="00EA61D7" w:rsidRPr="00F33D7D" w:rsidRDefault="00EA61D7" w:rsidP="00F33D7D">
            <w:pPr>
              <w:spacing w:after="0" w:line="240" w:lineRule="auto"/>
              <w:jc w:val="right"/>
              <w:rPr>
                <w:rFonts w:cs="Arial"/>
                <w:sz w:val="16"/>
                <w:szCs w:val="16"/>
              </w:rPr>
            </w:pPr>
            <w:r w:rsidRPr="00F33D7D">
              <w:rPr>
                <w:rFonts w:cs="Arial"/>
                <w:sz w:val="16"/>
                <w:szCs w:val="16"/>
              </w:rPr>
              <w:t>1</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4401810B" w14:textId="6F00FB19" w:rsidR="00EA61D7" w:rsidRPr="00F33D7D" w:rsidRDefault="00EA61D7" w:rsidP="00F33D7D">
            <w:pPr>
              <w:spacing w:after="0" w:line="240" w:lineRule="auto"/>
              <w:jc w:val="right"/>
              <w:rPr>
                <w:rFonts w:cs="Arial"/>
                <w:sz w:val="16"/>
                <w:szCs w:val="16"/>
              </w:rPr>
            </w:pPr>
            <w:r w:rsidRPr="00F33D7D">
              <w:rPr>
                <w:rFonts w:cs="Arial"/>
                <w:sz w:val="16"/>
                <w:szCs w:val="16"/>
              </w:rPr>
              <w:t>1.000.000,00</w:t>
            </w:r>
          </w:p>
        </w:tc>
      </w:tr>
      <w:tr w:rsidR="00DE23FF" w:rsidRPr="002F06DF" w14:paraId="68E05457"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561276C9" w14:textId="61113025" w:rsidR="00EA61D7" w:rsidRPr="002F06DF" w:rsidRDefault="00855D57" w:rsidP="00EA61D7">
            <w:pPr>
              <w:spacing w:after="0" w:line="240" w:lineRule="auto"/>
              <w:jc w:val="left"/>
              <w:rPr>
                <w:rFonts w:cs="Arial"/>
                <w:color w:val="000000"/>
                <w:sz w:val="16"/>
                <w:szCs w:val="16"/>
              </w:rPr>
            </w:pPr>
            <w:r w:rsidRPr="00687508">
              <w:rPr>
                <w:rFonts w:cs="Arial"/>
                <w:color w:val="000000"/>
                <w:sz w:val="16"/>
                <w:szCs w:val="16"/>
              </w:rPr>
              <w:t>Οργανισμός Λιμένων Ν. Ευβοίας (ΟΛΝΕ)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1D63DB22" w14:textId="77777777" w:rsidR="00EA61D7" w:rsidRPr="00F33D7D" w:rsidRDefault="00EA61D7" w:rsidP="00F33D7D">
            <w:pPr>
              <w:spacing w:after="0" w:line="240" w:lineRule="auto"/>
              <w:jc w:val="right"/>
              <w:rPr>
                <w:rFonts w:cs="Arial"/>
                <w:sz w:val="16"/>
                <w:szCs w:val="16"/>
              </w:rPr>
            </w:pPr>
            <w:r w:rsidRPr="00F33D7D">
              <w:rPr>
                <w:rFonts w:cs="Arial"/>
                <w:sz w:val="16"/>
                <w:szCs w:val="16"/>
              </w:rPr>
              <w:t>4.092.695,64</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1ADA603A" w14:textId="77777777" w:rsidR="00EA61D7" w:rsidRPr="00F33D7D" w:rsidRDefault="00EA61D7" w:rsidP="00F33D7D">
            <w:pPr>
              <w:spacing w:after="0" w:line="240" w:lineRule="auto"/>
              <w:jc w:val="right"/>
              <w:rPr>
                <w:rFonts w:cs="Arial"/>
                <w:sz w:val="16"/>
                <w:szCs w:val="16"/>
              </w:rPr>
            </w:pPr>
            <w:r w:rsidRPr="00F33D7D">
              <w:rPr>
                <w:rFonts w:cs="Arial"/>
                <w:sz w:val="16"/>
                <w:szCs w:val="16"/>
              </w:rPr>
              <w:t>4.092.695,64</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46AA3F60" w14:textId="0CD516CA"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0C4E2975" w14:textId="77777777" w:rsidR="00EA61D7" w:rsidRPr="00F33D7D" w:rsidRDefault="00EA61D7" w:rsidP="00F33D7D">
            <w:pPr>
              <w:spacing w:after="0" w:line="240" w:lineRule="auto"/>
              <w:jc w:val="right"/>
              <w:rPr>
                <w:rFonts w:cs="Arial"/>
                <w:sz w:val="16"/>
                <w:szCs w:val="16"/>
              </w:rPr>
            </w:pPr>
            <w:r w:rsidRPr="00F33D7D">
              <w:rPr>
                <w:rFonts w:cs="Arial"/>
                <w:sz w:val="16"/>
                <w:szCs w:val="16"/>
              </w:rPr>
              <w:t>100.017</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2D993057" w14:textId="12957887" w:rsidR="00EA61D7" w:rsidRPr="00F33D7D" w:rsidRDefault="00EA61D7" w:rsidP="00F33D7D">
            <w:pPr>
              <w:spacing w:after="0" w:line="240" w:lineRule="auto"/>
              <w:jc w:val="right"/>
              <w:rPr>
                <w:rFonts w:cs="Arial"/>
                <w:sz w:val="16"/>
                <w:szCs w:val="16"/>
              </w:rPr>
            </w:pPr>
            <w:r w:rsidRPr="00F33D7D">
              <w:rPr>
                <w:rFonts w:cs="Arial"/>
                <w:sz w:val="16"/>
                <w:szCs w:val="16"/>
              </w:rPr>
              <w:t>40,92</w:t>
            </w:r>
          </w:p>
        </w:tc>
      </w:tr>
      <w:tr w:rsidR="00DE23FF" w:rsidRPr="002F06DF" w14:paraId="29BB8E10"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01108C8A" w14:textId="07576912" w:rsidR="00EA61D7" w:rsidRPr="002F06DF" w:rsidRDefault="00855D57" w:rsidP="00EA61D7">
            <w:pPr>
              <w:spacing w:after="0" w:line="240" w:lineRule="auto"/>
              <w:jc w:val="left"/>
              <w:rPr>
                <w:rFonts w:cs="Arial"/>
                <w:sz w:val="16"/>
                <w:szCs w:val="16"/>
              </w:rPr>
            </w:pPr>
            <w:r w:rsidRPr="00687508">
              <w:rPr>
                <w:rFonts w:cs="Arial"/>
                <w:sz w:val="16"/>
                <w:szCs w:val="16"/>
              </w:rPr>
              <w:t>ΦΟΙΝΙΞ GROUPAMA</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2EC3211" w14:textId="77777777" w:rsidR="00EA61D7" w:rsidRPr="00F33D7D" w:rsidRDefault="00EA61D7" w:rsidP="00F33D7D">
            <w:pPr>
              <w:spacing w:after="0" w:line="240" w:lineRule="auto"/>
              <w:jc w:val="right"/>
              <w:rPr>
                <w:rFonts w:cs="Arial"/>
                <w:sz w:val="16"/>
                <w:szCs w:val="16"/>
              </w:rPr>
            </w:pPr>
            <w:r w:rsidRPr="00F33D7D">
              <w:rPr>
                <w:rFonts w:cs="Arial"/>
                <w:sz w:val="16"/>
                <w:szCs w:val="16"/>
              </w:rPr>
              <w:t>24.171.429,36</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6A49AF42" w14:textId="77777777" w:rsidR="00EA61D7" w:rsidRPr="00F33D7D" w:rsidRDefault="00EA61D7" w:rsidP="00F33D7D">
            <w:pPr>
              <w:spacing w:after="0" w:line="240" w:lineRule="auto"/>
              <w:jc w:val="right"/>
              <w:rPr>
                <w:rFonts w:cs="Arial"/>
                <w:sz w:val="16"/>
                <w:szCs w:val="16"/>
              </w:rPr>
            </w:pPr>
            <w:r w:rsidRPr="00F33D7D">
              <w:rPr>
                <w:rFonts w:cs="Arial"/>
                <w:sz w:val="16"/>
                <w:szCs w:val="16"/>
              </w:rPr>
              <w:t>410,91</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27D570BD" w14:textId="65D80D7C" w:rsidR="00EA61D7" w:rsidRPr="00F33D7D" w:rsidRDefault="00EA61D7" w:rsidP="00F33D7D">
            <w:pPr>
              <w:spacing w:after="0" w:line="240" w:lineRule="auto"/>
              <w:jc w:val="right"/>
              <w:rPr>
                <w:rFonts w:cs="Arial"/>
                <w:sz w:val="16"/>
                <w:szCs w:val="16"/>
              </w:rPr>
            </w:pPr>
            <w:r w:rsidRPr="00F33D7D">
              <w:rPr>
                <w:rFonts w:cs="Arial"/>
                <w:sz w:val="16"/>
                <w:szCs w:val="16"/>
              </w:rPr>
              <w:t>0,0017</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4252BC81" w14:textId="77777777" w:rsidR="00EA61D7" w:rsidRPr="00F33D7D" w:rsidRDefault="00EA61D7" w:rsidP="00F33D7D">
            <w:pPr>
              <w:spacing w:after="0" w:line="240" w:lineRule="auto"/>
              <w:jc w:val="right"/>
              <w:rPr>
                <w:rFonts w:cs="Arial"/>
                <w:sz w:val="16"/>
                <w:szCs w:val="16"/>
              </w:rPr>
            </w:pPr>
            <w:r w:rsidRPr="00F33D7D">
              <w:rPr>
                <w:rFonts w:cs="Arial"/>
                <w:sz w:val="16"/>
                <w:szCs w:val="16"/>
              </w:rPr>
              <w:t>1.054</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7B168364" w14:textId="5494B483" w:rsidR="00EA61D7" w:rsidRPr="00F33D7D" w:rsidRDefault="00EA61D7" w:rsidP="00F33D7D">
            <w:pPr>
              <w:spacing w:after="0" w:line="240" w:lineRule="auto"/>
              <w:jc w:val="right"/>
              <w:rPr>
                <w:rFonts w:cs="Arial"/>
                <w:sz w:val="16"/>
                <w:szCs w:val="16"/>
              </w:rPr>
            </w:pPr>
            <w:r w:rsidRPr="00F33D7D">
              <w:rPr>
                <w:rFonts w:cs="Arial"/>
                <w:sz w:val="16"/>
                <w:szCs w:val="16"/>
              </w:rPr>
              <w:t>0,39</w:t>
            </w:r>
          </w:p>
        </w:tc>
      </w:tr>
      <w:tr w:rsidR="00855D57" w:rsidRPr="002F06DF" w14:paraId="438B70A2" w14:textId="77777777" w:rsidTr="00C52316">
        <w:trPr>
          <w:cantSplit/>
          <w:trHeight w:val="204"/>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248CAB11" w14:textId="17C59491" w:rsidR="00855D57" w:rsidRPr="00855D57" w:rsidRDefault="00855D57" w:rsidP="00855D57">
            <w:pPr>
              <w:spacing w:after="0" w:line="240" w:lineRule="auto"/>
              <w:jc w:val="left"/>
              <w:rPr>
                <w:rFonts w:cs="Arial"/>
                <w:sz w:val="16"/>
                <w:szCs w:val="16"/>
              </w:rPr>
            </w:pPr>
            <w:r w:rsidRPr="00855D57">
              <w:rPr>
                <w:rFonts w:cs="Arial"/>
                <w:b/>
                <w:bCs/>
                <w:sz w:val="16"/>
                <w:szCs w:val="16"/>
              </w:rPr>
              <w:t>Εταιρείες Ομίλου Σαρακάκη (μεταφορά από</w:t>
            </w:r>
            <w:r w:rsidR="00D33D76">
              <w:rPr>
                <w:rFonts w:cs="Arial"/>
                <w:b/>
                <w:bCs/>
                <w:sz w:val="16"/>
                <w:szCs w:val="16"/>
              </w:rPr>
              <w:t xml:space="preserve"> το</w:t>
            </w:r>
            <w:r w:rsidRPr="00855D57">
              <w:rPr>
                <w:rFonts w:cs="Arial"/>
                <w:b/>
                <w:bCs/>
                <w:sz w:val="16"/>
                <w:szCs w:val="16"/>
              </w:rPr>
              <w:t xml:space="preserve"> χαρτοφυλάκιο </w:t>
            </w:r>
            <w:r w:rsidR="00D33D76">
              <w:rPr>
                <w:rFonts w:cs="Arial"/>
                <w:b/>
                <w:bCs/>
                <w:sz w:val="16"/>
                <w:szCs w:val="16"/>
              </w:rPr>
              <w:t xml:space="preserve">της </w:t>
            </w:r>
            <w:r w:rsidRPr="00855D57">
              <w:rPr>
                <w:rFonts w:cs="Arial"/>
                <w:b/>
                <w:bCs/>
                <w:sz w:val="16"/>
                <w:szCs w:val="16"/>
              </w:rPr>
              <w:t>ΔΕΚΑ ΑΕ)</w:t>
            </w:r>
          </w:p>
        </w:tc>
      </w:tr>
      <w:tr w:rsidR="00DE23FF" w:rsidRPr="002F06DF" w14:paraId="460D018A"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576CDF4D" w14:textId="35EBEB21" w:rsidR="00EA61D7" w:rsidRPr="009B0C22" w:rsidRDefault="00EA61D7" w:rsidP="00EA61D7">
            <w:pPr>
              <w:spacing w:after="0" w:line="240" w:lineRule="auto"/>
              <w:jc w:val="left"/>
              <w:rPr>
                <w:rFonts w:cs="Arial"/>
                <w:sz w:val="16"/>
                <w:szCs w:val="16"/>
              </w:rPr>
            </w:pPr>
            <w:r w:rsidRPr="009B0C22">
              <w:rPr>
                <w:rFonts w:cs="Arial"/>
                <w:sz w:val="16"/>
                <w:szCs w:val="16"/>
              </w:rPr>
              <w:t xml:space="preserve">Απόλλων </w:t>
            </w:r>
            <w:r w:rsidR="009B0C22" w:rsidRPr="009B0C22">
              <w:rPr>
                <w:rFonts w:cs="Arial"/>
                <w:sz w:val="16"/>
                <w:szCs w:val="16"/>
              </w:rPr>
              <w:t>ΑΕ Μεσιτείας Ασφαλίσεων</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06BF6EC2" w14:textId="77777777" w:rsidR="00EA61D7" w:rsidRPr="00F33D7D" w:rsidRDefault="00EA61D7" w:rsidP="00F33D7D">
            <w:pPr>
              <w:spacing w:after="0" w:line="240" w:lineRule="auto"/>
              <w:jc w:val="right"/>
              <w:rPr>
                <w:rFonts w:cs="Arial"/>
                <w:sz w:val="16"/>
                <w:szCs w:val="16"/>
              </w:rPr>
            </w:pPr>
            <w:r w:rsidRPr="00F33D7D">
              <w:rPr>
                <w:rFonts w:cs="Arial"/>
                <w:sz w:val="16"/>
                <w:szCs w:val="16"/>
              </w:rPr>
              <w:t>74.000,00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7908BD86" w14:textId="77777777" w:rsidR="00EA61D7" w:rsidRPr="00F33D7D" w:rsidRDefault="00EA61D7" w:rsidP="00F33D7D">
            <w:pPr>
              <w:spacing w:after="0" w:line="240" w:lineRule="auto"/>
              <w:jc w:val="right"/>
              <w:rPr>
                <w:rFonts w:cs="Arial"/>
                <w:sz w:val="16"/>
                <w:szCs w:val="16"/>
              </w:rPr>
            </w:pPr>
            <w:r w:rsidRPr="00F33D7D">
              <w:rPr>
                <w:rFonts w:cs="Arial"/>
                <w:sz w:val="16"/>
                <w:szCs w:val="16"/>
              </w:rPr>
              <w:t>560,00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5F5BAE98" w14:textId="2C8A408A" w:rsidR="00EA61D7" w:rsidRPr="00F33D7D" w:rsidRDefault="00EA61D7" w:rsidP="00F33D7D">
            <w:pPr>
              <w:spacing w:after="0" w:line="240" w:lineRule="auto"/>
              <w:jc w:val="right"/>
              <w:rPr>
                <w:rFonts w:cs="Arial"/>
                <w:sz w:val="16"/>
                <w:szCs w:val="16"/>
              </w:rPr>
            </w:pPr>
            <w:r w:rsidRPr="00F33D7D">
              <w:rPr>
                <w:rFonts w:cs="Arial"/>
                <w:sz w:val="16"/>
                <w:szCs w:val="16"/>
              </w:rPr>
              <w:t>0,76</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5B45F33B" w14:textId="77777777" w:rsidR="00EA61D7" w:rsidRPr="00F33D7D" w:rsidRDefault="00EA61D7" w:rsidP="00F33D7D">
            <w:pPr>
              <w:spacing w:after="0" w:line="240" w:lineRule="auto"/>
              <w:jc w:val="right"/>
              <w:rPr>
                <w:rFonts w:cs="Arial"/>
                <w:sz w:val="16"/>
                <w:szCs w:val="16"/>
              </w:rPr>
            </w:pPr>
            <w:r w:rsidRPr="00F33D7D">
              <w:rPr>
                <w:rFonts w:cs="Arial"/>
                <w:sz w:val="16"/>
                <w:szCs w:val="16"/>
              </w:rPr>
              <w:t>56</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2590FB7F" w14:textId="44D17C25" w:rsidR="00EA61D7" w:rsidRPr="00F33D7D" w:rsidRDefault="00EA61D7" w:rsidP="00F33D7D">
            <w:pPr>
              <w:spacing w:after="0" w:line="240" w:lineRule="auto"/>
              <w:jc w:val="right"/>
              <w:rPr>
                <w:rFonts w:cs="Arial"/>
                <w:sz w:val="16"/>
                <w:szCs w:val="16"/>
              </w:rPr>
            </w:pPr>
            <w:r w:rsidRPr="00F33D7D">
              <w:rPr>
                <w:rFonts w:cs="Arial"/>
                <w:sz w:val="16"/>
                <w:szCs w:val="16"/>
              </w:rPr>
              <w:t>10,00</w:t>
            </w:r>
          </w:p>
        </w:tc>
      </w:tr>
      <w:tr w:rsidR="00DE23FF" w:rsidRPr="002F06DF" w14:paraId="24D03D0E" w14:textId="77777777" w:rsidTr="00C52316">
        <w:trPr>
          <w:cantSplit/>
          <w:trHeight w:val="313"/>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0948AA8F" w14:textId="77777777" w:rsidR="00F11531" w:rsidRDefault="00F11531" w:rsidP="00F11531">
            <w:pPr>
              <w:spacing w:after="0" w:line="276" w:lineRule="auto"/>
              <w:jc w:val="left"/>
              <w:rPr>
                <w:rFonts w:cs="Arial"/>
                <w:sz w:val="16"/>
                <w:szCs w:val="16"/>
              </w:rPr>
            </w:pPr>
            <w:r w:rsidRPr="00687508">
              <w:rPr>
                <w:rFonts w:cs="Arial"/>
                <w:sz w:val="16"/>
                <w:szCs w:val="16"/>
              </w:rPr>
              <w:t>Αφο</w:t>
            </w:r>
            <w:r>
              <w:rPr>
                <w:rFonts w:cs="Arial"/>
                <w:sz w:val="16"/>
                <w:szCs w:val="16"/>
              </w:rPr>
              <w:t xml:space="preserve">ί </w:t>
            </w:r>
            <w:r w:rsidRPr="00687508">
              <w:rPr>
                <w:rFonts w:cs="Arial"/>
                <w:sz w:val="16"/>
                <w:szCs w:val="16"/>
              </w:rPr>
              <w:t>Σαρακάκη ΑΕΒΜΕ</w:t>
            </w:r>
          </w:p>
          <w:p w14:paraId="7C00F321" w14:textId="43C3E6F2" w:rsidR="00EA61D7" w:rsidRPr="002F06DF" w:rsidRDefault="00F11531" w:rsidP="00F11531">
            <w:pPr>
              <w:spacing w:after="0" w:line="240" w:lineRule="auto"/>
              <w:jc w:val="left"/>
              <w:rPr>
                <w:rFonts w:cs="Arial"/>
                <w:sz w:val="16"/>
                <w:szCs w:val="16"/>
              </w:rPr>
            </w:pPr>
            <w:r w:rsidRPr="00687508">
              <w:rPr>
                <w:rFonts w:cs="Arial"/>
                <w:sz w:val="16"/>
                <w:szCs w:val="16"/>
              </w:rPr>
              <w:t>(</w:t>
            </w:r>
            <w:r>
              <w:rPr>
                <w:rFonts w:cs="Arial"/>
                <w:sz w:val="16"/>
                <w:szCs w:val="16"/>
              </w:rPr>
              <w:t>σ</w:t>
            </w:r>
            <w:r w:rsidRPr="00687508">
              <w:rPr>
                <w:rFonts w:cs="Arial"/>
                <w:sz w:val="16"/>
                <w:szCs w:val="16"/>
              </w:rPr>
              <w:t>υγχώνευση με Γενική Αυτοκινήτων, Σαρακάκης Λιανική,</w:t>
            </w:r>
            <w:r>
              <w:rPr>
                <w:rFonts w:cs="Arial"/>
                <w:sz w:val="16"/>
                <w:szCs w:val="16"/>
              </w:rPr>
              <w:t xml:space="preserve"> </w:t>
            </w:r>
            <w:r w:rsidRPr="00687508">
              <w:rPr>
                <w:rFonts w:cs="Arial"/>
                <w:sz w:val="16"/>
                <w:szCs w:val="16"/>
              </w:rPr>
              <w:t>Ιάσων)</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4B7C3DB0" w14:textId="77777777" w:rsidR="00EA61D7" w:rsidRPr="00F33D7D" w:rsidRDefault="00EA61D7" w:rsidP="00F33D7D">
            <w:pPr>
              <w:spacing w:after="0" w:line="240" w:lineRule="auto"/>
              <w:jc w:val="right"/>
              <w:rPr>
                <w:rFonts w:cs="Arial"/>
                <w:sz w:val="16"/>
                <w:szCs w:val="16"/>
              </w:rPr>
            </w:pPr>
            <w:r w:rsidRPr="00F33D7D">
              <w:rPr>
                <w:rFonts w:cs="Arial"/>
                <w:sz w:val="16"/>
                <w:szCs w:val="16"/>
              </w:rPr>
              <w:t>19.500.000,00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785756C9" w14:textId="77777777" w:rsidR="00EA61D7" w:rsidRPr="00F33D7D" w:rsidRDefault="00EA61D7" w:rsidP="00F33D7D">
            <w:pPr>
              <w:spacing w:after="0" w:line="240" w:lineRule="auto"/>
              <w:jc w:val="right"/>
              <w:rPr>
                <w:rFonts w:cs="Arial"/>
                <w:sz w:val="16"/>
                <w:szCs w:val="16"/>
              </w:rPr>
            </w:pPr>
            <w:r w:rsidRPr="00F33D7D">
              <w:rPr>
                <w:rFonts w:cs="Arial"/>
                <w:sz w:val="16"/>
                <w:szCs w:val="16"/>
              </w:rPr>
              <w:t>29.700,00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49A952A8" w14:textId="4EDAB697" w:rsidR="00EA61D7" w:rsidRPr="00F33D7D" w:rsidRDefault="00EA61D7" w:rsidP="00F33D7D">
            <w:pPr>
              <w:spacing w:after="0" w:line="240" w:lineRule="auto"/>
              <w:jc w:val="right"/>
              <w:rPr>
                <w:rFonts w:cs="Arial"/>
                <w:sz w:val="16"/>
                <w:szCs w:val="16"/>
              </w:rPr>
            </w:pPr>
            <w:r w:rsidRPr="00F33D7D">
              <w:rPr>
                <w:rFonts w:cs="Arial"/>
                <w:sz w:val="16"/>
                <w:szCs w:val="16"/>
              </w:rPr>
              <w:t>0,15</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7FD4D7C3" w14:textId="77777777" w:rsidR="00EA61D7" w:rsidRPr="00F33D7D" w:rsidRDefault="00EA61D7" w:rsidP="00F33D7D">
            <w:pPr>
              <w:spacing w:after="0" w:line="240" w:lineRule="auto"/>
              <w:jc w:val="right"/>
              <w:rPr>
                <w:rFonts w:cs="Arial"/>
                <w:sz w:val="16"/>
                <w:szCs w:val="16"/>
              </w:rPr>
            </w:pPr>
            <w:r w:rsidRPr="00F33D7D">
              <w:rPr>
                <w:rFonts w:cs="Arial"/>
                <w:sz w:val="16"/>
                <w:szCs w:val="16"/>
              </w:rPr>
              <w:t>2.970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236640CA" w14:textId="5E32A6B3" w:rsidR="00EA61D7" w:rsidRPr="00F33D7D" w:rsidRDefault="00EA61D7" w:rsidP="00F33D7D">
            <w:pPr>
              <w:spacing w:after="0" w:line="240" w:lineRule="auto"/>
              <w:jc w:val="right"/>
              <w:rPr>
                <w:rFonts w:cs="Arial"/>
                <w:sz w:val="16"/>
                <w:szCs w:val="16"/>
              </w:rPr>
            </w:pPr>
            <w:r w:rsidRPr="00F33D7D">
              <w:rPr>
                <w:rFonts w:cs="Arial"/>
                <w:sz w:val="16"/>
                <w:szCs w:val="16"/>
              </w:rPr>
              <w:t>10,00</w:t>
            </w:r>
          </w:p>
        </w:tc>
      </w:tr>
      <w:tr w:rsidR="00DE23FF" w:rsidRPr="002F06DF" w14:paraId="35FE8F26"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63C31A59" w14:textId="57696007" w:rsidR="00EA61D7" w:rsidRPr="002F06DF" w:rsidRDefault="00F11531" w:rsidP="00EA61D7">
            <w:pPr>
              <w:spacing w:after="0" w:line="240" w:lineRule="auto"/>
              <w:jc w:val="left"/>
              <w:rPr>
                <w:rFonts w:cs="Arial"/>
                <w:sz w:val="16"/>
                <w:szCs w:val="16"/>
              </w:rPr>
            </w:pPr>
            <w:r w:rsidRPr="00687508">
              <w:rPr>
                <w:rFonts w:cs="Arial"/>
                <w:sz w:val="16"/>
                <w:szCs w:val="16"/>
              </w:rPr>
              <w:t>Σαρακάκης Σ</w:t>
            </w:r>
            <w:r>
              <w:rPr>
                <w:rFonts w:cs="Arial"/>
                <w:sz w:val="16"/>
                <w:szCs w:val="16"/>
              </w:rPr>
              <w:t>έ</w:t>
            </w:r>
            <w:r w:rsidRPr="00687508">
              <w:rPr>
                <w:rFonts w:cs="Arial"/>
                <w:sz w:val="16"/>
                <w:szCs w:val="16"/>
              </w:rPr>
              <w:t>ντερ</w:t>
            </w:r>
            <w:r>
              <w:rPr>
                <w:rFonts w:cs="Arial"/>
                <w:sz w:val="16"/>
                <w:szCs w:val="16"/>
              </w:rPr>
              <w:t xml:space="preserve"> </w:t>
            </w:r>
            <w:r w:rsidRPr="00687508">
              <w:rPr>
                <w:rFonts w:cs="Arial"/>
                <w:sz w:val="16"/>
                <w:szCs w:val="16"/>
              </w:rPr>
              <w:t>ΑΕΤΕ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4ED6C77C" w14:textId="77777777" w:rsidR="00EA61D7" w:rsidRPr="00F33D7D" w:rsidRDefault="00EA61D7" w:rsidP="00F33D7D">
            <w:pPr>
              <w:spacing w:after="0" w:line="240" w:lineRule="auto"/>
              <w:jc w:val="right"/>
              <w:rPr>
                <w:rFonts w:cs="Arial"/>
                <w:sz w:val="16"/>
                <w:szCs w:val="16"/>
              </w:rPr>
            </w:pPr>
            <w:r w:rsidRPr="00F33D7D">
              <w:rPr>
                <w:rFonts w:cs="Arial"/>
                <w:sz w:val="16"/>
                <w:szCs w:val="16"/>
              </w:rPr>
              <w:t>70.167.070,00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20AFC341" w14:textId="77777777" w:rsidR="00EA61D7" w:rsidRPr="00F33D7D" w:rsidRDefault="00EA61D7" w:rsidP="00F33D7D">
            <w:pPr>
              <w:spacing w:after="0" w:line="240" w:lineRule="auto"/>
              <w:jc w:val="right"/>
              <w:rPr>
                <w:rFonts w:cs="Arial"/>
                <w:sz w:val="16"/>
                <w:szCs w:val="16"/>
              </w:rPr>
            </w:pPr>
            <w:r w:rsidRPr="00F33D7D">
              <w:rPr>
                <w:rFonts w:cs="Arial"/>
                <w:sz w:val="16"/>
                <w:szCs w:val="16"/>
              </w:rPr>
              <w:t>239.220,00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11E25AF9" w14:textId="379B8B22" w:rsidR="00EA61D7" w:rsidRPr="00F33D7D" w:rsidRDefault="00EA61D7" w:rsidP="00F33D7D">
            <w:pPr>
              <w:spacing w:after="0" w:line="240" w:lineRule="auto"/>
              <w:jc w:val="right"/>
              <w:rPr>
                <w:rFonts w:cs="Arial"/>
                <w:sz w:val="16"/>
                <w:szCs w:val="16"/>
              </w:rPr>
            </w:pPr>
            <w:r w:rsidRPr="00F33D7D">
              <w:rPr>
                <w:rFonts w:cs="Arial"/>
                <w:sz w:val="16"/>
                <w:szCs w:val="16"/>
              </w:rPr>
              <w:t>0,34</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33C8CB70" w14:textId="77777777" w:rsidR="00EA61D7" w:rsidRPr="00F33D7D" w:rsidRDefault="00EA61D7" w:rsidP="00F33D7D">
            <w:pPr>
              <w:spacing w:after="0" w:line="240" w:lineRule="auto"/>
              <w:jc w:val="right"/>
              <w:rPr>
                <w:rFonts w:cs="Arial"/>
                <w:sz w:val="16"/>
                <w:szCs w:val="16"/>
              </w:rPr>
            </w:pPr>
            <w:r w:rsidRPr="00F33D7D">
              <w:rPr>
                <w:rFonts w:cs="Arial"/>
                <w:sz w:val="16"/>
                <w:szCs w:val="16"/>
              </w:rPr>
              <w:t>23.922</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39315E61" w14:textId="150F532C" w:rsidR="00EA61D7" w:rsidRPr="00F33D7D" w:rsidRDefault="00EA61D7" w:rsidP="00F33D7D">
            <w:pPr>
              <w:spacing w:after="0" w:line="240" w:lineRule="auto"/>
              <w:jc w:val="right"/>
              <w:rPr>
                <w:rFonts w:cs="Arial"/>
                <w:sz w:val="16"/>
                <w:szCs w:val="16"/>
              </w:rPr>
            </w:pPr>
            <w:r w:rsidRPr="00F33D7D">
              <w:rPr>
                <w:rFonts w:cs="Arial"/>
                <w:sz w:val="16"/>
                <w:szCs w:val="16"/>
              </w:rPr>
              <w:t>10,00</w:t>
            </w:r>
          </w:p>
        </w:tc>
      </w:tr>
      <w:tr w:rsidR="00DE23FF" w:rsidRPr="002F06DF" w14:paraId="46987D24"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01C66B77" w14:textId="1113FFFA" w:rsidR="00EA61D7" w:rsidRPr="002F06DF" w:rsidRDefault="00F11531" w:rsidP="00EA61D7">
            <w:pPr>
              <w:spacing w:after="0" w:line="240" w:lineRule="auto"/>
              <w:jc w:val="left"/>
              <w:rPr>
                <w:rFonts w:cs="Arial"/>
                <w:sz w:val="16"/>
                <w:szCs w:val="16"/>
              </w:rPr>
            </w:pPr>
            <w:r w:rsidRPr="00687508">
              <w:rPr>
                <w:rFonts w:cs="Arial"/>
                <w:sz w:val="16"/>
                <w:szCs w:val="16"/>
              </w:rPr>
              <w:t>Κτηματική και Ναυτική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341572B9" w14:textId="77777777" w:rsidR="00EA61D7" w:rsidRPr="00F33D7D" w:rsidRDefault="00EA61D7" w:rsidP="00F33D7D">
            <w:pPr>
              <w:spacing w:after="0" w:line="240" w:lineRule="auto"/>
              <w:jc w:val="right"/>
              <w:rPr>
                <w:rFonts w:cs="Arial"/>
                <w:sz w:val="16"/>
                <w:szCs w:val="16"/>
              </w:rPr>
            </w:pPr>
            <w:r w:rsidRPr="00F33D7D">
              <w:rPr>
                <w:rFonts w:cs="Arial"/>
                <w:sz w:val="16"/>
                <w:szCs w:val="16"/>
              </w:rPr>
              <w:t>36.006.090,00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35DEE96B" w14:textId="77777777" w:rsidR="00EA61D7" w:rsidRPr="00F33D7D" w:rsidRDefault="00EA61D7" w:rsidP="00F33D7D">
            <w:pPr>
              <w:spacing w:after="0" w:line="240" w:lineRule="auto"/>
              <w:jc w:val="right"/>
              <w:rPr>
                <w:rFonts w:cs="Arial"/>
                <w:sz w:val="16"/>
                <w:szCs w:val="16"/>
              </w:rPr>
            </w:pPr>
            <w:r w:rsidRPr="00F33D7D">
              <w:rPr>
                <w:rFonts w:cs="Arial"/>
                <w:sz w:val="16"/>
                <w:szCs w:val="16"/>
              </w:rPr>
              <w:t>254.680,00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43AD7FEB" w14:textId="65356DBE" w:rsidR="00EA61D7" w:rsidRPr="00F33D7D" w:rsidRDefault="00EA61D7" w:rsidP="00F33D7D">
            <w:pPr>
              <w:spacing w:after="0" w:line="240" w:lineRule="auto"/>
              <w:jc w:val="right"/>
              <w:rPr>
                <w:rFonts w:cs="Arial"/>
                <w:sz w:val="16"/>
                <w:szCs w:val="16"/>
              </w:rPr>
            </w:pPr>
            <w:r w:rsidRPr="00F33D7D">
              <w:rPr>
                <w:rFonts w:cs="Arial"/>
                <w:sz w:val="16"/>
                <w:szCs w:val="16"/>
              </w:rPr>
              <w:t>0,71</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7211303C" w14:textId="77777777" w:rsidR="00EA61D7" w:rsidRPr="00F33D7D" w:rsidRDefault="00EA61D7" w:rsidP="00F33D7D">
            <w:pPr>
              <w:spacing w:after="0" w:line="240" w:lineRule="auto"/>
              <w:jc w:val="right"/>
              <w:rPr>
                <w:rFonts w:cs="Arial"/>
                <w:sz w:val="16"/>
                <w:szCs w:val="16"/>
              </w:rPr>
            </w:pPr>
            <w:r w:rsidRPr="00F33D7D">
              <w:rPr>
                <w:rFonts w:cs="Arial"/>
                <w:sz w:val="16"/>
                <w:szCs w:val="16"/>
              </w:rPr>
              <w:t>25.468</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18747425" w14:textId="13A35547" w:rsidR="00EA61D7" w:rsidRPr="00F33D7D" w:rsidRDefault="00EA61D7" w:rsidP="00F33D7D">
            <w:pPr>
              <w:spacing w:after="0" w:line="240" w:lineRule="auto"/>
              <w:jc w:val="right"/>
              <w:rPr>
                <w:rFonts w:cs="Arial"/>
                <w:sz w:val="16"/>
                <w:szCs w:val="16"/>
              </w:rPr>
            </w:pPr>
            <w:r w:rsidRPr="00F33D7D">
              <w:rPr>
                <w:rFonts w:cs="Arial"/>
                <w:sz w:val="16"/>
                <w:szCs w:val="16"/>
              </w:rPr>
              <w:t>10,00</w:t>
            </w:r>
          </w:p>
        </w:tc>
      </w:tr>
      <w:tr w:rsidR="00F11531" w:rsidRPr="002F06DF" w14:paraId="06AB3FEC" w14:textId="77777777" w:rsidTr="00C52316">
        <w:trPr>
          <w:cantSplit/>
          <w:trHeight w:val="283"/>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hideMark/>
          </w:tcPr>
          <w:p w14:paraId="03E86D06" w14:textId="1F59163E" w:rsidR="00F11531" w:rsidRPr="00F33D7D" w:rsidRDefault="00F11531" w:rsidP="00F11531">
            <w:pPr>
              <w:spacing w:after="0" w:line="240" w:lineRule="auto"/>
              <w:rPr>
                <w:rFonts w:cs="Arial"/>
                <w:sz w:val="16"/>
                <w:szCs w:val="16"/>
              </w:rPr>
            </w:pPr>
            <w:r w:rsidRPr="00687508">
              <w:rPr>
                <w:rFonts w:cs="Arial"/>
                <w:b/>
                <w:bCs/>
                <w:sz w:val="16"/>
                <w:szCs w:val="16"/>
              </w:rPr>
              <w:t>Εποπτευόμενες από τη Γεν</w:t>
            </w:r>
            <w:r>
              <w:rPr>
                <w:rFonts w:cs="Arial"/>
                <w:b/>
                <w:bCs/>
                <w:sz w:val="16"/>
                <w:szCs w:val="16"/>
              </w:rPr>
              <w:t>ική</w:t>
            </w:r>
            <w:r w:rsidRPr="00687508">
              <w:rPr>
                <w:rFonts w:cs="Arial"/>
                <w:b/>
                <w:bCs/>
                <w:sz w:val="16"/>
                <w:szCs w:val="16"/>
              </w:rPr>
              <w:t xml:space="preserve"> Γραμμ</w:t>
            </w:r>
            <w:r>
              <w:rPr>
                <w:rFonts w:cs="Arial"/>
                <w:b/>
                <w:bCs/>
                <w:sz w:val="16"/>
                <w:szCs w:val="16"/>
              </w:rPr>
              <w:t>ατεία</w:t>
            </w:r>
            <w:r w:rsidRPr="00687508">
              <w:rPr>
                <w:rFonts w:cs="Arial"/>
                <w:b/>
                <w:bCs/>
                <w:sz w:val="16"/>
                <w:szCs w:val="16"/>
              </w:rPr>
              <w:t xml:space="preserve"> Έρευνας </w:t>
            </w:r>
            <w:r>
              <w:rPr>
                <w:rFonts w:cs="Arial"/>
                <w:b/>
                <w:bCs/>
                <w:sz w:val="16"/>
                <w:szCs w:val="16"/>
              </w:rPr>
              <w:t>και</w:t>
            </w:r>
            <w:r w:rsidRPr="00687508">
              <w:rPr>
                <w:rFonts w:cs="Arial"/>
                <w:b/>
                <w:bCs/>
                <w:sz w:val="16"/>
                <w:szCs w:val="16"/>
              </w:rPr>
              <w:t xml:space="preserve"> Τεχνολογίας</w:t>
            </w:r>
          </w:p>
        </w:tc>
      </w:tr>
      <w:tr w:rsidR="00DE23FF" w:rsidRPr="002F06DF" w14:paraId="69B84B2F"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72BFF1CF" w14:textId="45790EF4" w:rsidR="00EA61D7" w:rsidRPr="002F06DF" w:rsidRDefault="00F11531" w:rsidP="00EA61D7">
            <w:pPr>
              <w:spacing w:after="0" w:line="240" w:lineRule="auto"/>
              <w:jc w:val="left"/>
              <w:rPr>
                <w:rFonts w:cs="Arial"/>
                <w:sz w:val="16"/>
                <w:szCs w:val="16"/>
              </w:rPr>
            </w:pPr>
            <w:r w:rsidRPr="00687508">
              <w:rPr>
                <w:rFonts w:cs="Arial"/>
                <w:sz w:val="16"/>
                <w:szCs w:val="16"/>
              </w:rPr>
              <w:t>Εθνικό Δίκτυο Υποδομών Τεχνολογίας και Έρευνας (ΕΔΥΤΕ)</w:t>
            </w:r>
            <w:r>
              <w:rPr>
                <w:rFonts w:cs="Arial"/>
                <w:sz w:val="16"/>
                <w:szCs w:val="16"/>
              </w:rPr>
              <w:t xml:space="preserve">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48AC916D" w14:textId="77777777" w:rsidR="00EA61D7" w:rsidRPr="00F33D7D" w:rsidRDefault="00EA61D7" w:rsidP="00F33D7D">
            <w:pPr>
              <w:spacing w:after="0" w:line="240" w:lineRule="auto"/>
              <w:jc w:val="right"/>
              <w:rPr>
                <w:rFonts w:cs="Arial"/>
                <w:sz w:val="16"/>
                <w:szCs w:val="16"/>
              </w:rPr>
            </w:pPr>
            <w:r w:rsidRPr="00F33D7D">
              <w:rPr>
                <w:rFonts w:cs="Arial"/>
                <w:sz w:val="16"/>
                <w:szCs w:val="16"/>
              </w:rPr>
              <w:t>30.850.000,00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1F53ECEC" w14:textId="77777777" w:rsidR="00EA61D7" w:rsidRPr="00F33D7D" w:rsidRDefault="00EA61D7" w:rsidP="00F33D7D">
            <w:pPr>
              <w:spacing w:after="0" w:line="240" w:lineRule="auto"/>
              <w:jc w:val="right"/>
              <w:rPr>
                <w:rFonts w:cs="Arial"/>
                <w:sz w:val="16"/>
                <w:szCs w:val="16"/>
              </w:rPr>
            </w:pPr>
            <w:r w:rsidRPr="00F33D7D">
              <w:rPr>
                <w:rFonts w:cs="Arial"/>
                <w:sz w:val="16"/>
                <w:szCs w:val="16"/>
              </w:rPr>
              <w:t>30.850.000,00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71B4E9E8" w14:textId="4DBFFC6C"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447E50C2" w14:textId="77777777" w:rsidR="00EA61D7" w:rsidRPr="00F33D7D" w:rsidRDefault="00EA61D7" w:rsidP="00F33D7D">
            <w:pPr>
              <w:spacing w:after="0" w:line="240" w:lineRule="auto"/>
              <w:jc w:val="right"/>
              <w:rPr>
                <w:rFonts w:cs="Arial"/>
                <w:sz w:val="16"/>
                <w:szCs w:val="16"/>
              </w:rPr>
            </w:pPr>
            <w:r w:rsidRPr="00F33D7D">
              <w:rPr>
                <w:rFonts w:cs="Arial"/>
                <w:sz w:val="16"/>
                <w:szCs w:val="16"/>
              </w:rPr>
              <w:t>3.085.000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3CECF679" w14:textId="54EDA713" w:rsidR="00EA61D7" w:rsidRPr="00F33D7D" w:rsidRDefault="00EA61D7" w:rsidP="00F33D7D">
            <w:pPr>
              <w:spacing w:after="0" w:line="240" w:lineRule="auto"/>
              <w:jc w:val="right"/>
              <w:rPr>
                <w:rFonts w:cs="Arial"/>
                <w:sz w:val="16"/>
                <w:szCs w:val="16"/>
              </w:rPr>
            </w:pPr>
            <w:r w:rsidRPr="00F33D7D">
              <w:rPr>
                <w:rFonts w:cs="Arial"/>
                <w:sz w:val="16"/>
                <w:szCs w:val="16"/>
              </w:rPr>
              <w:t>10,00</w:t>
            </w:r>
          </w:p>
        </w:tc>
      </w:tr>
      <w:tr w:rsidR="00DE23FF" w:rsidRPr="002F06DF" w14:paraId="4067813B"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5E293200" w14:textId="4442076C" w:rsidR="00EA61D7" w:rsidRPr="002F06DF" w:rsidRDefault="00F11531" w:rsidP="00EA61D7">
            <w:pPr>
              <w:spacing w:after="0" w:line="240" w:lineRule="auto"/>
              <w:jc w:val="left"/>
              <w:rPr>
                <w:rFonts w:cs="Arial"/>
                <w:sz w:val="16"/>
                <w:szCs w:val="16"/>
              </w:rPr>
            </w:pPr>
            <w:r w:rsidRPr="00687508">
              <w:rPr>
                <w:rFonts w:cs="Arial"/>
                <w:sz w:val="16"/>
                <w:szCs w:val="16"/>
              </w:rPr>
              <w:t>Επιστημονικό Πάρκο Πατρών (ΕΠΠ)</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6D70015D" w14:textId="77777777" w:rsidR="00EA61D7" w:rsidRPr="00F33D7D" w:rsidRDefault="00EA61D7" w:rsidP="00F33D7D">
            <w:pPr>
              <w:spacing w:after="0" w:line="240" w:lineRule="auto"/>
              <w:jc w:val="right"/>
              <w:rPr>
                <w:rFonts w:cs="Arial"/>
                <w:sz w:val="16"/>
                <w:szCs w:val="16"/>
              </w:rPr>
            </w:pPr>
            <w:r w:rsidRPr="00F33D7D">
              <w:rPr>
                <w:rFonts w:cs="Arial"/>
                <w:sz w:val="16"/>
                <w:szCs w:val="16"/>
              </w:rPr>
              <w:t>1.537.558,45</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7CF1450B" w14:textId="77777777" w:rsidR="00EA61D7" w:rsidRPr="00F33D7D" w:rsidRDefault="00EA61D7" w:rsidP="00F33D7D">
            <w:pPr>
              <w:spacing w:after="0" w:line="240" w:lineRule="auto"/>
              <w:jc w:val="right"/>
              <w:rPr>
                <w:rFonts w:cs="Arial"/>
                <w:sz w:val="16"/>
                <w:szCs w:val="16"/>
              </w:rPr>
            </w:pPr>
            <w:r w:rsidRPr="00F33D7D">
              <w:rPr>
                <w:rFonts w:cs="Arial"/>
                <w:sz w:val="16"/>
                <w:szCs w:val="16"/>
              </w:rPr>
              <w:t>1.537.558,45</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4EF2A55D" w14:textId="59439260"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4DBED00E" w14:textId="77777777" w:rsidR="00EA61D7" w:rsidRPr="00F33D7D" w:rsidRDefault="00EA61D7" w:rsidP="00F33D7D">
            <w:pPr>
              <w:spacing w:after="0" w:line="240" w:lineRule="auto"/>
              <w:jc w:val="right"/>
              <w:rPr>
                <w:rFonts w:cs="Arial"/>
                <w:sz w:val="16"/>
                <w:szCs w:val="16"/>
              </w:rPr>
            </w:pPr>
            <w:r w:rsidRPr="00F33D7D">
              <w:rPr>
                <w:rFonts w:cs="Arial"/>
                <w:sz w:val="16"/>
                <w:szCs w:val="16"/>
              </w:rPr>
              <w:t>52.387</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2C4078D0" w14:textId="01A1C2E3" w:rsidR="00EA61D7" w:rsidRPr="00F33D7D" w:rsidRDefault="00EA61D7" w:rsidP="00F33D7D">
            <w:pPr>
              <w:spacing w:after="0" w:line="240" w:lineRule="auto"/>
              <w:jc w:val="right"/>
              <w:rPr>
                <w:rFonts w:cs="Arial"/>
                <w:sz w:val="16"/>
                <w:szCs w:val="16"/>
              </w:rPr>
            </w:pPr>
            <w:r w:rsidRPr="00F33D7D">
              <w:rPr>
                <w:rFonts w:cs="Arial"/>
                <w:sz w:val="16"/>
                <w:szCs w:val="16"/>
              </w:rPr>
              <w:t>29,35</w:t>
            </w:r>
          </w:p>
        </w:tc>
      </w:tr>
      <w:tr w:rsidR="00F11531" w:rsidRPr="002F06DF" w14:paraId="0C7AECC1" w14:textId="77777777" w:rsidTr="00C52316">
        <w:trPr>
          <w:cantSplit/>
          <w:trHeight w:val="283"/>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hideMark/>
          </w:tcPr>
          <w:p w14:paraId="32CA0DA9" w14:textId="3ED717AF" w:rsidR="00F11531" w:rsidRPr="00F33D7D" w:rsidRDefault="00F11531" w:rsidP="00F11531">
            <w:pPr>
              <w:spacing w:after="0" w:line="240" w:lineRule="auto"/>
              <w:rPr>
                <w:rFonts w:cs="Arial"/>
                <w:sz w:val="16"/>
                <w:szCs w:val="16"/>
              </w:rPr>
            </w:pPr>
            <w:r w:rsidRPr="00687508">
              <w:rPr>
                <w:rFonts w:cs="Arial"/>
                <w:b/>
                <w:bCs/>
                <w:sz w:val="16"/>
                <w:szCs w:val="16"/>
              </w:rPr>
              <w:t>Εταιρείες που προήλθαν από την κατάργηση του ΕΟΜΜΕΧ</w:t>
            </w:r>
          </w:p>
        </w:tc>
      </w:tr>
      <w:tr w:rsidR="00DE23FF" w:rsidRPr="002F06DF" w14:paraId="096558A4"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62D97237" w14:textId="0DA65C1E" w:rsidR="00EA61D7" w:rsidRPr="002F06DF" w:rsidRDefault="00F11531" w:rsidP="00EA61D7">
            <w:pPr>
              <w:spacing w:after="0" w:line="240" w:lineRule="auto"/>
              <w:jc w:val="left"/>
              <w:rPr>
                <w:rFonts w:cs="Arial"/>
                <w:sz w:val="16"/>
                <w:szCs w:val="16"/>
              </w:rPr>
            </w:pPr>
            <w:r w:rsidRPr="00687508">
              <w:rPr>
                <w:rFonts w:cs="Arial"/>
                <w:sz w:val="16"/>
                <w:szCs w:val="16"/>
              </w:rPr>
              <w:t>Βιοτεχνικό Πάρκο Θεσπρωτίας (ΒΙΟΠΑΘΕ)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4AFF9A78" w14:textId="77777777" w:rsidR="00EA61D7" w:rsidRPr="00F33D7D" w:rsidRDefault="00EA61D7" w:rsidP="00F33D7D">
            <w:pPr>
              <w:spacing w:after="0" w:line="240" w:lineRule="auto"/>
              <w:jc w:val="right"/>
              <w:rPr>
                <w:rFonts w:cs="Arial"/>
                <w:sz w:val="16"/>
                <w:szCs w:val="16"/>
              </w:rPr>
            </w:pPr>
            <w:r w:rsidRPr="00F33D7D">
              <w:rPr>
                <w:rFonts w:cs="Arial"/>
                <w:sz w:val="16"/>
                <w:szCs w:val="16"/>
              </w:rPr>
              <w:t>1.458.959,15</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4AD5DC6A" w14:textId="77777777" w:rsidR="00EA61D7" w:rsidRPr="00F33D7D" w:rsidRDefault="00EA61D7" w:rsidP="00F33D7D">
            <w:pPr>
              <w:spacing w:after="0" w:line="240" w:lineRule="auto"/>
              <w:jc w:val="right"/>
              <w:rPr>
                <w:rFonts w:cs="Arial"/>
                <w:sz w:val="16"/>
                <w:szCs w:val="16"/>
              </w:rPr>
            </w:pPr>
            <w:r w:rsidRPr="00F33D7D">
              <w:rPr>
                <w:rFonts w:cs="Arial"/>
                <w:sz w:val="16"/>
                <w:szCs w:val="16"/>
              </w:rPr>
              <w:t>161.425,00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09759ACA" w14:textId="1053503C" w:rsidR="00EA61D7" w:rsidRPr="00F33D7D" w:rsidRDefault="00EA61D7" w:rsidP="00F33D7D">
            <w:pPr>
              <w:spacing w:after="0" w:line="240" w:lineRule="auto"/>
              <w:jc w:val="right"/>
              <w:rPr>
                <w:rFonts w:cs="Arial"/>
                <w:sz w:val="16"/>
                <w:szCs w:val="16"/>
              </w:rPr>
            </w:pPr>
            <w:r w:rsidRPr="00F33D7D">
              <w:rPr>
                <w:rFonts w:cs="Arial"/>
                <w:sz w:val="16"/>
                <w:szCs w:val="16"/>
              </w:rPr>
              <w:t>11,06</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7FBFE769" w14:textId="77777777" w:rsidR="00EA61D7" w:rsidRPr="00F33D7D" w:rsidRDefault="00EA61D7" w:rsidP="00F33D7D">
            <w:pPr>
              <w:spacing w:after="0" w:line="240" w:lineRule="auto"/>
              <w:jc w:val="right"/>
              <w:rPr>
                <w:rFonts w:cs="Arial"/>
                <w:sz w:val="16"/>
                <w:szCs w:val="16"/>
              </w:rPr>
            </w:pPr>
            <w:r w:rsidRPr="00F33D7D">
              <w:rPr>
                <w:rFonts w:cs="Arial"/>
                <w:sz w:val="16"/>
                <w:szCs w:val="16"/>
              </w:rPr>
              <w:t>5.500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001D918C" w14:textId="5CB13AAC" w:rsidR="00EA61D7" w:rsidRPr="00F33D7D" w:rsidRDefault="00EA61D7" w:rsidP="00F33D7D">
            <w:pPr>
              <w:spacing w:after="0" w:line="240" w:lineRule="auto"/>
              <w:jc w:val="right"/>
              <w:rPr>
                <w:rFonts w:cs="Arial"/>
                <w:sz w:val="16"/>
                <w:szCs w:val="16"/>
              </w:rPr>
            </w:pPr>
            <w:r w:rsidRPr="00F33D7D">
              <w:rPr>
                <w:rFonts w:cs="Arial"/>
                <w:sz w:val="16"/>
                <w:szCs w:val="16"/>
              </w:rPr>
              <w:t>29,35</w:t>
            </w:r>
          </w:p>
        </w:tc>
      </w:tr>
      <w:tr w:rsidR="00DE23FF" w:rsidRPr="002F06DF" w14:paraId="0F5E6CE0" w14:textId="77777777" w:rsidTr="00C52316">
        <w:trPr>
          <w:cantSplit/>
          <w:trHeight w:val="307"/>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7C012834" w14:textId="20139B3C" w:rsidR="00F03E82" w:rsidRDefault="00EA61D7" w:rsidP="00EA61D7">
            <w:pPr>
              <w:spacing w:after="0" w:line="240" w:lineRule="auto"/>
              <w:jc w:val="left"/>
              <w:rPr>
                <w:rFonts w:cs="Arial"/>
                <w:sz w:val="16"/>
                <w:szCs w:val="16"/>
              </w:rPr>
            </w:pPr>
            <w:r w:rsidRPr="002F06DF">
              <w:rPr>
                <w:rFonts w:cs="Arial"/>
                <w:sz w:val="16"/>
                <w:szCs w:val="16"/>
              </w:rPr>
              <w:lastRenderedPageBreak/>
              <w:t>Εθνικό Κέντρο Αξιολόγησης της Ποιότητας και Τεχνολογίας στην Υγεία (ΕΚΑΠΤΥ)</w:t>
            </w:r>
            <w:r w:rsidR="00F11531">
              <w:rPr>
                <w:rFonts w:cs="Arial"/>
                <w:sz w:val="16"/>
                <w:szCs w:val="16"/>
              </w:rPr>
              <w:t xml:space="preserve"> ΑΕ</w:t>
            </w:r>
          </w:p>
          <w:p w14:paraId="10064893" w14:textId="11C6358D" w:rsidR="00EA61D7" w:rsidRPr="002F06DF" w:rsidRDefault="00EA61D7" w:rsidP="00EA61D7">
            <w:pPr>
              <w:spacing w:after="0" w:line="240" w:lineRule="auto"/>
              <w:jc w:val="left"/>
              <w:rPr>
                <w:rFonts w:cs="Arial"/>
                <w:sz w:val="16"/>
                <w:szCs w:val="16"/>
              </w:rPr>
            </w:pPr>
            <w:r w:rsidRPr="002F06DF">
              <w:rPr>
                <w:rFonts w:cs="Arial"/>
                <w:sz w:val="16"/>
                <w:szCs w:val="16"/>
              </w:rPr>
              <w:t>(πρώην ΕΚΕΒΥΛ)</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5C1AEBB5" w14:textId="77777777" w:rsidR="00EA61D7" w:rsidRPr="00F33D7D" w:rsidRDefault="00EA61D7" w:rsidP="00F33D7D">
            <w:pPr>
              <w:spacing w:after="0" w:line="240" w:lineRule="auto"/>
              <w:jc w:val="right"/>
              <w:rPr>
                <w:rFonts w:cs="Arial"/>
                <w:sz w:val="16"/>
                <w:szCs w:val="16"/>
              </w:rPr>
            </w:pPr>
            <w:r w:rsidRPr="00F33D7D">
              <w:rPr>
                <w:rFonts w:cs="Arial"/>
                <w:sz w:val="16"/>
                <w:szCs w:val="16"/>
              </w:rPr>
              <w:t>1.194.199,90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0FD1782E" w14:textId="77777777" w:rsidR="00EA61D7" w:rsidRPr="00F33D7D" w:rsidRDefault="00EA61D7" w:rsidP="00F33D7D">
            <w:pPr>
              <w:spacing w:after="0" w:line="240" w:lineRule="auto"/>
              <w:jc w:val="right"/>
              <w:rPr>
                <w:rFonts w:cs="Arial"/>
                <w:sz w:val="16"/>
                <w:szCs w:val="16"/>
              </w:rPr>
            </w:pPr>
            <w:r w:rsidRPr="00F33D7D">
              <w:rPr>
                <w:rFonts w:cs="Arial"/>
                <w:sz w:val="16"/>
                <w:szCs w:val="16"/>
              </w:rPr>
              <w:t>141.110,12</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71FC2A6A" w14:textId="6739BBBA" w:rsidR="00EA61D7" w:rsidRPr="00F33D7D" w:rsidRDefault="00EA61D7" w:rsidP="00F33D7D">
            <w:pPr>
              <w:spacing w:after="0" w:line="240" w:lineRule="auto"/>
              <w:jc w:val="right"/>
              <w:rPr>
                <w:rFonts w:cs="Arial"/>
                <w:sz w:val="16"/>
                <w:szCs w:val="16"/>
              </w:rPr>
            </w:pPr>
            <w:r w:rsidRPr="00F33D7D">
              <w:rPr>
                <w:rFonts w:cs="Arial"/>
                <w:sz w:val="16"/>
                <w:szCs w:val="16"/>
              </w:rPr>
              <w:t>11,82</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71F41D11" w14:textId="77777777" w:rsidR="00EA61D7" w:rsidRPr="00F33D7D" w:rsidRDefault="00EA61D7" w:rsidP="00F33D7D">
            <w:pPr>
              <w:spacing w:after="0" w:line="240" w:lineRule="auto"/>
              <w:jc w:val="right"/>
              <w:rPr>
                <w:rFonts w:cs="Arial"/>
                <w:sz w:val="16"/>
                <w:szCs w:val="16"/>
              </w:rPr>
            </w:pPr>
            <w:r w:rsidRPr="00F33D7D">
              <w:rPr>
                <w:rFonts w:cs="Arial"/>
                <w:sz w:val="16"/>
                <w:szCs w:val="16"/>
              </w:rPr>
              <w:t>4.258</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3D0BF90E" w14:textId="18D70BF5" w:rsidR="00EA61D7" w:rsidRPr="00F33D7D" w:rsidRDefault="00EA61D7" w:rsidP="00F33D7D">
            <w:pPr>
              <w:spacing w:after="0" w:line="240" w:lineRule="auto"/>
              <w:jc w:val="right"/>
              <w:rPr>
                <w:rFonts w:cs="Arial"/>
                <w:sz w:val="16"/>
                <w:szCs w:val="16"/>
              </w:rPr>
            </w:pPr>
            <w:r w:rsidRPr="00F33D7D">
              <w:rPr>
                <w:rFonts w:cs="Arial"/>
                <w:sz w:val="16"/>
                <w:szCs w:val="16"/>
              </w:rPr>
              <w:t>33,14</w:t>
            </w:r>
          </w:p>
        </w:tc>
      </w:tr>
      <w:tr w:rsidR="00DE23FF" w:rsidRPr="002F06DF" w14:paraId="07BD8810"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3483783C" w14:textId="23737D33" w:rsidR="00EA61D7" w:rsidRPr="002F06DF" w:rsidRDefault="007B72E8" w:rsidP="00EA61D7">
            <w:pPr>
              <w:spacing w:after="0" w:line="240" w:lineRule="auto"/>
              <w:jc w:val="left"/>
              <w:rPr>
                <w:rFonts w:cs="Arial"/>
                <w:sz w:val="16"/>
                <w:szCs w:val="16"/>
              </w:rPr>
            </w:pPr>
            <w:r w:rsidRPr="00687508">
              <w:rPr>
                <w:rFonts w:cs="Arial"/>
                <w:sz w:val="16"/>
                <w:szCs w:val="16"/>
              </w:rPr>
              <w:t xml:space="preserve">Βιοτεχνικό </w:t>
            </w:r>
            <w:r>
              <w:rPr>
                <w:rFonts w:cs="Arial"/>
                <w:sz w:val="16"/>
                <w:szCs w:val="16"/>
              </w:rPr>
              <w:t>Π</w:t>
            </w:r>
            <w:r w:rsidRPr="00687508">
              <w:rPr>
                <w:rFonts w:cs="Arial"/>
                <w:sz w:val="16"/>
                <w:szCs w:val="16"/>
              </w:rPr>
              <w:t>άρκο Γρεβενών (ΒΙΟΠΑΓΡΕ)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32A86BBE" w14:textId="77777777" w:rsidR="00EA61D7" w:rsidRPr="00F33D7D" w:rsidRDefault="00EA61D7" w:rsidP="00F33D7D">
            <w:pPr>
              <w:spacing w:after="0" w:line="240" w:lineRule="auto"/>
              <w:jc w:val="right"/>
              <w:rPr>
                <w:rFonts w:cs="Arial"/>
                <w:sz w:val="16"/>
                <w:szCs w:val="16"/>
              </w:rPr>
            </w:pPr>
            <w:r w:rsidRPr="00F33D7D">
              <w:rPr>
                <w:rFonts w:cs="Arial"/>
                <w:sz w:val="16"/>
                <w:szCs w:val="16"/>
              </w:rPr>
              <w:t>175.800,00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023A189E" w14:textId="77777777" w:rsidR="00EA61D7" w:rsidRPr="00F33D7D" w:rsidRDefault="00EA61D7" w:rsidP="00F33D7D">
            <w:pPr>
              <w:spacing w:after="0" w:line="240" w:lineRule="auto"/>
              <w:jc w:val="right"/>
              <w:rPr>
                <w:rFonts w:cs="Arial"/>
                <w:sz w:val="16"/>
                <w:szCs w:val="16"/>
              </w:rPr>
            </w:pPr>
            <w:r w:rsidRPr="00F33D7D">
              <w:rPr>
                <w:rFonts w:cs="Arial"/>
                <w:sz w:val="16"/>
                <w:szCs w:val="16"/>
              </w:rPr>
              <w:t>43.950,00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09CF088B" w14:textId="2CE3B5AC" w:rsidR="00EA61D7" w:rsidRPr="00F33D7D" w:rsidRDefault="00EA61D7" w:rsidP="00F33D7D">
            <w:pPr>
              <w:spacing w:after="0" w:line="240" w:lineRule="auto"/>
              <w:jc w:val="right"/>
              <w:rPr>
                <w:rFonts w:cs="Arial"/>
                <w:sz w:val="16"/>
                <w:szCs w:val="16"/>
              </w:rPr>
            </w:pPr>
            <w:r w:rsidRPr="00F33D7D">
              <w:rPr>
                <w:rFonts w:cs="Arial"/>
                <w:sz w:val="16"/>
                <w:szCs w:val="16"/>
              </w:rPr>
              <w:t>25,00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6687773D" w14:textId="3D6C9544" w:rsidR="00EA61D7" w:rsidRPr="00F33D7D" w:rsidRDefault="00EA61D7" w:rsidP="00F33D7D">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75F65F93" w14:textId="09A722A1" w:rsidR="00EA61D7" w:rsidRPr="00F33D7D" w:rsidRDefault="00EA61D7" w:rsidP="00F33D7D">
            <w:pPr>
              <w:spacing w:after="0" w:line="240" w:lineRule="auto"/>
              <w:jc w:val="right"/>
              <w:rPr>
                <w:rFonts w:cs="Arial"/>
                <w:sz w:val="16"/>
                <w:szCs w:val="16"/>
              </w:rPr>
            </w:pPr>
          </w:p>
        </w:tc>
      </w:tr>
      <w:tr w:rsidR="00DE23FF" w:rsidRPr="002F06DF" w14:paraId="1DC509C3"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0D197275" w14:textId="7926A101" w:rsidR="00EA61D7" w:rsidRPr="002F06DF" w:rsidRDefault="007B72E8" w:rsidP="00EA61D7">
            <w:pPr>
              <w:spacing w:after="0" w:line="240" w:lineRule="auto"/>
              <w:jc w:val="left"/>
              <w:rPr>
                <w:rFonts w:cs="Arial"/>
                <w:sz w:val="16"/>
                <w:szCs w:val="16"/>
              </w:rPr>
            </w:pPr>
            <w:r w:rsidRPr="00687508">
              <w:rPr>
                <w:rFonts w:cs="Arial"/>
                <w:sz w:val="16"/>
                <w:szCs w:val="16"/>
              </w:rPr>
              <w:t>Κέντρο Παραδοσιακής Βιοτεχνίας Ιωαννίνων (ΚΕΠΑΒΙ)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24489F2A" w14:textId="77777777" w:rsidR="00EA61D7" w:rsidRPr="00F33D7D" w:rsidRDefault="00EA61D7" w:rsidP="00F33D7D">
            <w:pPr>
              <w:spacing w:after="0" w:line="240" w:lineRule="auto"/>
              <w:jc w:val="right"/>
              <w:rPr>
                <w:rFonts w:cs="Arial"/>
                <w:sz w:val="16"/>
                <w:szCs w:val="16"/>
              </w:rPr>
            </w:pPr>
            <w:r w:rsidRPr="00F33D7D">
              <w:rPr>
                <w:rFonts w:cs="Arial"/>
                <w:sz w:val="16"/>
                <w:szCs w:val="16"/>
              </w:rPr>
              <w:t>147.000,00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110ECBA1" w14:textId="77777777" w:rsidR="00EA61D7" w:rsidRPr="00F33D7D" w:rsidRDefault="00EA61D7" w:rsidP="00F33D7D">
            <w:pPr>
              <w:spacing w:after="0" w:line="240" w:lineRule="auto"/>
              <w:jc w:val="right"/>
              <w:rPr>
                <w:rFonts w:cs="Arial"/>
                <w:sz w:val="16"/>
                <w:szCs w:val="16"/>
              </w:rPr>
            </w:pPr>
            <w:r w:rsidRPr="00F33D7D">
              <w:rPr>
                <w:rFonts w:cs="Arial"/>
                <w:sz w:val="16"/>
                <w:szCs w:val="16"/>
              </w:rPr>
              <w:t>6.027,00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7FA689E5" w14:textId="36BD5EED" w:rsidR="00EA61D7" w:rsidRPr="00F33D7D" w:rsidRDefault="00EA61D7" w:rsidP="00F33D7D">
            <w:pPr>
              <w:spacing w:after="0" w:line="240" w:lineRule="auto"/>
              <w:jc w:val="right"/>
              <w:rPr>
                <w:rFonts w:cs="Arial"/>
                <w:sz w:val="16"/>
                <w:szCs w:val="16"/>
              </w:rPr>
            </w:pPr>
            <w:r w:rsidRPr="00F33D7D">
              <w:rPr>
                <w:rFonts w:cs="Arial"/>
                <w:sz w:val="16"/>
                <w:szCs w:val="16"/>
              </w:rPr>
              <w:t>4,10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33050F0D" w14:textId="77777777" w:rsidR="00EA61D7" w:rsidRPr="00F33D7D" w:rsidRDefault="00EA61D7" w:rsidP="00F33D7D">
            <w:pPr>
              <w:spacing w:after="0" w:line="240" w:lineRule="auto"/>
              <w:jc w:val="right"/>
              <w:rPr>
                <w:rFonts w:cs="Arial"/>
                <w:sz w:val="16"/>
                <w:szCs w:val="16"/>
              </w:rPr>
            </w:pPr>
            <w:r w:rsidRPr="00F33D7D">
              <w:rPr>
                <w:rFonts w:cs="Arial"/>
                <w:sz w:val="16"/>
                <w:szCs w:val="16"/>
              </w:rPr>
              <w:t>60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641F3F1C" w14:textId="4B523F05" w:rsidR="00EA61D7" w:rsidRPr="00F33D7D" w:rsidRDefault="00EA61D7" w:rsidP="00F33D7D">
            <w:pPr>
              <w:spacing w:after="0" w:line="240" w:lineRule="auto"/>
              <w:jc w:val="right"/>
              <w:rPr>
                <w:rFonts w:cs="Arial"/>
                <w:sz w:val="16"/>
                <w:szCs w:val="16"/>
              </w:rPr>
            </w:pPr>
            <w:r w:rsidRPr="00F33D7D">
              <w:rPr>
                <w:rFonts w:cs="Arial"/>
                <w:sz w:val="16"/>
                <w:szCs w:val="16"/>
              </w:rPr>
              <w:t>100,00</w:t>
            </w:r>
          </w:p>
        </w:tc>
      </w:tr>
      <w:tr w:rsidR="00DE23FF" w:rsidRPr="002F06DF" w14:paraId="3DA8537F" w14:textId="77777777" w:rsidTr="00C52316">
        <w:trPr>
          <w:cantSplit/>
          <w:trHeight w:val="108"/>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2B144998" w14:textId="62397709" w:rsidR="00EA61D7" w:rsidRPr="002F06DF" w:rsidRDefault="007B72E8" w:rsidP="00EA61D7">
            <w:pPr>
              <w:spacing w:after="0" w:line="240" w:lineRule="auto"/>
              <w:jc w:val="left"/>
              <w:rPr>
                <w:rFonts w:cs="Arial"/>
                <w:sz w:val="16"/>
                <w:szCs w:val="16"/>
              </w:rPr>
            </w:pPr>
            <w:r w:rsidRPr="00687508">
              <w:rPr>
                <w:rFonts w:cs="Arial"/>
                <w:sz w:val="16"/>
                <w:szCs w:val="16"/>
              </w:rPr>
              <w:t>Εκθετήριο Δημοπρατήριο Γούνας</w:t>
            </w:r>
            <w:r>
              <w:rPr>
                <w:rFonts w:cs="Arial"/>
                <w:sz w:val="16"/>
                <w:szCs w:val="16"/>
              </w:rPr>
              <w:t xml:space="preserve"> </w:t>
            </w:r>
            <w:r w:rsidRPr="00687508">
              <w:rPr>
                <w:rFonts w:cs="Arial"/>
                <w:sz w:val="16"/>
                <w:szCs w:val="16"/>
              </w:rPr>
              <w:t>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44581832" w14:textId="77777777" w:rsidR="00EA61D7" w:rsidRPr="00F33D7D" w:rsidRDefault="00EA61D7" w:rsidP="00F33D7D">
            <w:pPr>
              <w:spacing w:after="0" w:line="240" w:lineRule="auto"/>
              <w:jc w:val="right"/>
              <w:rPr>
                <w:rFonts w:cs="Arial"/>
                <w:sz w:val="16"/>
                <w:szCs w:val="16"/>
              </w:rPr>
            </w:pPr>
            <w:r w:rsidRPr="00F33D7D">
              <w:rPr>
                <w:rFonts w:cs="Arial"/>
                <w:sz w:val="16"/>
                <w:szCs w:val="16"/>
              </w:rPr>
              <w:t>319.680,00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02A5170D" w14:textId="77777777" w:rsidR="00EA61D7" w:rsidRPr="00F33D7D" w:rsidRDefault="00EA61D7" w:rsidP="00F33D7D">
            <w:pPr>
              <w:spacing w:after="0" w:line="240" w:lineRule="auto"/>
              <w:jc w:val="right"/>
              <w:rPr>
                <w:rFonts w:cs="Arial"/>
                <w:sz w:val="16"/>
                <w:szCs w:val="16"/>
              </w:rPr>
            </w:pPr>
            <w:r w:rsidRPr="00F33D7D">
              <w:rPr>
                <w:rFonts w:cs="Arial"/>
                <w:sz w:val="16"/>
                <w:szCs w:val="16"/>
              </w:rPr>
              <w:t>1.304,93</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1271FBE2" w14:textId="19EF82F7" w:rsidR="00EA61D7" w:rsidRPr="00F33D7D" w:rsidRDefault="00EA61D7" w:rsidP="00F33D7D">
            <w:pPr>
              <w:spacing w:after="0" w:line="240" w:lineRule="auto"/>
              <w:jc w:val="right"/>
              <w:rPr>
                <w:rFonts w:cs="Arial"/>
                <w:sz w:val="16"/>
                <w:szCs w:val="16"/>
              </w:rPr>
            </w:pPr>
            <w:r w:rsidRPr="00F33D7D">
              <w:rPr>
                <w:rFonts w:cs="Arial"/>
                <w:sz w:val="16"/>
                <w:szCs w:val="16"/>
              </w:rPr>
              <w:t>0,41</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39D8BC62" w14:textId="77777777" w:rsidR="00EA61D7" w:rsidRPr="00F33D7D" w:rsidRDefault="00EA61D7" w:rsidP="00F33D7D">
            <w:pPr>
              <w:spacing w:after="0" w:line="240" w:lineRule="auto"/>
              <w:jc w:val="right"/>
              <w:rPr>
                <w:rFonts w:cs="Arial"/>
                <w:sz w:val="16"/>
                <w:szCs w:val="16"/>
              </w:rPr>
            </w:pPr>
            <w:r w:rsidRPr="00F33D7D">
              <w:rPr>
                <w:rFonts w:cs="Arial"/>
                <w:sz w:val="16"/>
                <w:szCs w:val="16"/>
              </w:rPr>
              <w:t>87</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4ABFDDAF" w14:textId="4F4DBCF0" w:rsidR="00EA61D7" w:rsidRPr="00F33D7D" w:rsidRDefault="00EA61D7" w:rsidP="00F33D7D">
            <w:pPr>
              <w:spacing w:after="0" w:line="240" w:lineRule="auto"/>
              <w:jc w:val="right"/>
              <w:rPr>
                <w:rFonts w:cs="Arial"/>
                <w:sz w:val="16"/>
                <w:szCs w:val="16"/>
              </w:rPr>
            </w:pPr>
            <w:r w:rsidRPr="00F33D7D">
              <w:rPr>
                <w:rFonts w:cs="Arial"/>
                <w:sz w:val="16"/>
                <w:szCs w:val="16"/>
              </w:rPr>
              <w:t>15,00</w:t>
            </w:r>
          </w:p>
        </w:tc>
      </w:tr>
      <w:tr w:rsidR="00332EAA" w:rsidRPr="002F06DF" w14:paraId="6077F9B9" w14:textId="77777777" w:rsidTr="00C52316">
        <w:trPr>
          <w:cantSplit/>
          <w:trHeight w:val="283"/>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hideMark/>
          </w:tcPr>
          <w:p w14:paraId="6A8DE430" w14:textId="7363E9CC" w:rsidR="00332EAA" w:rsidRPr="00F33D7D" w:rsidRDefault="00332EAA" w:rsidP="00332EAA">
            <w:pPr>
              <w:spacing w:after="0" w:line="240" w:lineRule="auto"/>
              <w:rPr>
                <w:rFonts w:cs="Arial"/>
                <w:sz w:val="16"/>
                <w:szCs w:val="16"/>
              </w:rPr>
            </w:pPr>
            <w:r w:rsidRPr="00687508">
              <w:rPr>
                <w:rFonts w:cs="Arial"/>
                <w:b/>
                <w:bCs/>
                <w:sz w:val="16"/>
                <w:szCs w:val="16"/>
              </w:rPr>
              <w:t>Υπ</w:t>
            </w:r>
            <w:r>
              <w:rPr>
                <w:rFonts w:cs="Arial"/>
                <w:b/>
                <w:bCs/>
                <w:sz w:val="16"/>
                <w:szCs w:val="16"/>
              </w:rPr>
              <w:t>ό</w:t>
            </w:r>
            <w:r w:rsidRPr="00687508">
              <w:rPr>
                <w:rFonts w:cs="Arial"/>
                <w:b/>
                <w:bCs/>
                <w:sz w:val="16"/>
                <w:szCs w:val="16"/>
              </w:rPr>
              <w:t xml:space="preserve"> </w:t>
            </w:r>
            <w:r w:rsidR="00902955">
              <w:rPr>
                <w:rFonts w:cs="Arial"/>
                <w:b/>
                <w:bCs/>
                <w:sz w:val="16"/>
                <w:szCs w:val="16"/>
              </w:rPr>
              <w:t>ε</w:t>
            </w:r>
            <w:r w:rsidRPr="00687508">
              <w:rPr>
                <w:rFonts w:cs="Arial"/>
                <w:b/>
                <w:bCs/>
                <w:sz w:val="16"/>
                <w:szCs w:val="16"/>
              </w:rPr>
              <w:t>ιδικ</w:t>
            </w:r>
            <w:r>
              <w:rPr>
                <w:rFonts w:cs="Arial"/>
                <w:b/>
                <w:bCs/>
                <w:sz w:val="16"/>
                <w:szCs w:val="16"/>
              </w:rPr>
              <w:t>ή</w:t>
            </w:r>
            <w:r w:rsidRPr="00687508">
              <w:rPr>
                <w:rFonts w:cs="Arial"/>
                <w:b/>
                <w:bCs/>
                <w:sz w:val="16"/>
                <w:szCs w:val="16"/>
              </w:rPr>
              <w:t xml:space="preserve"> </w:t>
            </w:r>
            <w:r w:rsidR="00902955">
              <w:rPr>
                <w:rFonts w:cs="Arial"/>
                <w:b/>
                <w:bCs/>
                <w:sz w:val="16"/>
                <w:szCs w:val="16"/>
              </w:rPr>
              <w:t>ε</w:t>
            </w:r>
            <w:r w:rsidRPr="00687508">
              <w:rPr>
                <w:rFonts w:cs="Arial"/>
                <w:b/>
                <w:bCs/>
                <w:sz w:val="16"/>
                <w:szCs w:val="16"/>
              </w:rPr>
              <w:t>κκαθ</w:t>
            </w:r>
            <w:r>
              <w:rPr>
                <w:rFonts w:cs="Arial"/>
                <w:b/>
                <w:bCs/>
                <w:sz w:val="16"/>
                <w:szCs w:val="16"/>
              </w:rPr>
              <w:t>ά</w:t>
            </w:r>
            <w:r w:rsidRPr="00687508">
              <w:rPr>
                <w:rFonts w:cs="Arial"/>
                <w:b/>
                <w:bCs/>
                <w:sz w:val="16"/>
                <w:szCs w:val="16"/>
              </w:rPr>
              <w:t>ριση (</w:t>
            </w:r>
            <w:r>
              <w:rPr>
                <w:rFonts w:cs="Arial"/>
                <w:b/>
                <w:bCs/>
                <w:sz w:val="16"/>
                <w:szCs w:val="16"/>
              </w:rPr>
              <w:t xml:space="preserve">άρθρο </w:t>
            </w:r>
            <w:r w:rsidRPr="00687508">
              <w:rPr>
                <w:rFonts w:cs="Arial"/>
                <w:b/>
                <w:bCs/>
                <w:sz w:val="16"/>
                <w:szCs w:val="16"/>
              </w:rPr>
              <w:t xml:space="preserve">14α </w:t>
            </w:r>
            <w:r>
              <w:rPr>
                <w:rFonts w:cs="Arial"/>
                <w:b/>
                <w:bCs/>
                <w:sz w:val="16"/>
                <w:szCs w:val="16"/>
              </w:rPr>
              <w:t xml:space="preserve">του </w:t>
            </w:r>
            <w:r w:rsidRPr="00687508">
              <w:rPr>
                <w:rFonts w:cs="Arial"/>
                <w:b/>
                <w:bCs/>
                <w:sz w:val="16"/>
                <w:szCs w:val="16"/>
              </w:rPr>
              <w:t>ν.3429/2005</w:t>
            </w:r>
            <w:r>
              <w:rPr>
                <w:rFonts w:cs="Arial"/>
                <w:b/>
                <w:bCs/>
                <w:sz w:val="16"/>
                <w:szCs w:val="16"/>
              </w:rPr>
              <w:t>, Α’ 314</w:t>
            </w:r>
            <w:r w:rsidRPr="00687508">
              <w:rPr>
                <w:rFonts w:cs="Arial"/>
                <w:b/>
                <w:bCs/>
                <w:sz w:val="16"/>
                <w:szCs w:val="16"/>
              </w:rPr>
              <w:t>)</w:t>
            </w:r>
          </w:p>
        </w:tc>
      </w:tr>
      <w:tr w:rsidR="00DE23FF" w:rsidRPr="002F06DF" w14:paraId="520E67B2"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75B42ACF" w14:textId="77777777" w:rsidR="00EA61D7" w:rsidRPr="002F06DF" w:rsidRDefault="00EA61D7" w:rsidP="00EA61D7">
            <w:pPr>
              <w:spacing w:after="0" w:line="240" w:lineRule="auto"/>
              <w:jc w:val="left"/>
              <w:rPr>
                <w:rFonts w:cs="Arial"/>
                <w:sz w:val="16"/>
                <w:szCs w:val="16"/>
              </w:rPr>
            </w:pPr>
            <w:r w:rsidRPr="002F06DF">
              <w:rPr>
                <w:rFonts w:cs="Arial"/>
                <w:sz w:val="16"/>
                <w:szCs w:val="16"/>
              </w:rPr>
              <w:t>ΟΛΥΜΠΙΑΚΕΣ ΑΕΡΟΓΡΑΜΜΕΣ</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1BDB4A07" w14:textId="77777777" w:rsidR="00EA61D7" w:rsidRPr="00F33D7D" w:rsidRDefault="00EA61D7" w:rsidP="00F33D7D">
            <w:pPr>
              <w:spacing w:after="0" w:line="240" w:lineRule="auto"/>
              <w:jc w:val="right"/>
              <w:rPr>
                <w:rFonts w:cs="Arial"/>
                <w:sz w:val="16"/>
                <w:szCs w:val="16"/>
              </w:rPr>
            </w:pPr>
            <w:r w:rsidRPr="00F33D7D">
              <w:rPr>
                <w:rFonts w:cs="Arial"/>
                <w:sz w:val="16"/>
                <w:szCs w:val="16"/>
              </w:rPr>
              <w:t>130.385.000,00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46B3A7B7" w14:textId="1C546E47" w:rsidR="00EA61D7" w:rsidRPr="00F33D7D" w:rsidRDefault="000135A4" w:rsidP="00F33D7D">
            <w:pPr>
              <w:spacing w:after="0" w:line="240" w:lineRule="auto"/>
              <w:jc w:val="right"/>
              <w:rPr>
                <w:rFonts w:cs="Arial"/>
                <w:sz w:val="16"/>
                <w:szCs w:val="16"/>
              </w:rPr>
            </w:pPr>
            <w:r w:rsidRPr="00F33D7D">
              <w:rPr>
                <w:rFonts w:cs="Arial"/>
                <w:sz w:val="16"/>
                <w:szCs w:val="16"/>
              </w:rPr>
              <w:t>130.385.000,00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7535E1A8" w14:textId="1480018B"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2F1EE37E" w14:textId="77777777" w:rsidR="00EA61D7" w:rsidRPr="00F33D7D" w:rsidRDefault="00EA61D7" w:rsidP="00F33D7D">
            <w:pPr>
              <w:spacing w:after="0" w:line="240" w:lineRule="auto"/>
              <w:jc w:val="right"/>
              <w:rPr>
                <w:rFonts w:cs="Arial"/>
                <w:sz w:val="16"/>
                <w:szCs w:val="16"/>
              </w:rPr>
            </w:pPr>
            <w:r w:rsidRPr="00F33D7D">
              <w:rPr>
                <w:rFonts w:cs="Arial"/>
                <w:sz w:val="16"/>
                <w:szCs w:val="16"/>
              </w:rPr>
              <w:t>44.500.000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4F0A1D2F" w14:textId="276ABE4B" w:rsidR="00EA61D7" w:rsidRPr="00F33D7D" w:rsidRDefault="00EA61D7" w:rsidP="00F33D7D">
            <w:pPr>
              <w:spacing w:after="0" w:line="240" w:lineRule="auto"/>
              <w:jc w:val="right"/>
              <w:rPr>
                <w:rFonts w:cs="Arial"/>
                <w:sz w:val="16"/>
                <w:szCs w:val="16"/>
              </w:rPr>
            </w:pPr>
            <w:r w:rsidRPr="00F33D7D">
              <w:rPr>
                <w:rFonts w:cs="Arial"/>
                <w:sz w:val="16"/>
                <w:szCs w:val="16"/>
              </w:rPr>
              <w:t>2,93</w:t>
            </w:r>
          </w:p>
        </w:tc>
      </w:tr>
      <w:tr w:rsidR="00DE23FF" w:rsidRPr="002F06DF" w14:paraId="21F556FC"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0DACE66B" w14:textId="5E8C5744" w:rsidR="00EA61D7" w:rsidRPr="002F06DF" w:rsidRDefault="00EA61D7" w:rsidP="00EA61D7">
            <w:pPr>
              <w:spacing w:after="0" w:line="240" w:lineRule="auto"/>
              <w:jc w:val="left"/>
              <w:rPr>
                <w:rFonts w:cs="Arial"/>
                <w:sz w:val="16"/>
                <w:szCs w:val="16"/>
              </w:rPr>
            </w:pPr>
            <w:r w:rsidRPr="002F06DF">
              <w:rPr>
                <w:rFonts w:cs="Arial"/>
                <w:sz w:val="16"/>
                <w:szCs w:val="16"/>
              </w:rPr>
              <w:t xml:space="preserve">ΟΛΥΜΠΙΑΚΗ ΑΕΡΟΠΟΡΙΑ </w:t>
            </w:r>
            <w:r w:rsidRPr="00892E7E">
              <w:rPr>
                <w:rFonts w:cs="Arial"/>
                <w:sz w:val="16"/>
                <w:szCs w:val="16"/>
              </w:rPr>
              <w:t>ΥΠΗΡΕΣΙΕΣ</w:t>
            </w:r>
            <w:r w:rsidR="00332EAA" w:rsidRPr="00892E7E">
              <w:rPr>
                <w:rFonts w:cs="Arial"/>
                <w:sz w:val="16"/>
                <w:szCs w:val="16"/>
              </w:rPr>
              <w:t xml:space="preserve">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3D1046AD" w14:textId="77777777" w:rsidR="00EA61D7" w:rsidRPr="00F33D7D" w:rsidRDefault="00EA61D7" w:rsidP="00F33D7D">
            <w:pPr>
              <w:spacing w:after="0" w:line="240" w:lineRule="auto"/>
              <w:jc w:val="right"/>
              <w:rPr>
                <w:rFonts w:cs="Arial"/>
                <w:sz w:val="16"/>
                <w:szCs w:val="16"/>
              </w:rPr>
            </w:pPr>
            <w:r w:rsidRPr="00F33D7D">
              <w:rPr>
                <w:rFonts w:cs="Arial"/>
                <w:sz w:val="16"/>
                <w:szCs w:val="16"/>
              </w:rPr>
              <w:t>291.880.000,00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34743058" w14:textId="5525F476" w:rsidR="00EA61D7" w:rsidRPr="00F33D7D" w:rsidRDefault="000135A4" w:rsidP="00F33D7D">
            <w:pPr>
              <w:spacing w:after="0" w:line="240" w:lineRule="auto"/>
              <w:jc w:val="right"/>
              <w:rPr>
                <w:rFonts w:cs="Arial"/>
                <w:sz w:val="16"/>
                <w:szCs w:val="16"/>
              </w:rPr>
            </w:pPr>
            <w:r w:rsidRPr="00F33D7D">
              <w:rPr>
                <w:rFonts w:cs="Arial"/>
                <w:sz w:val="16"/>
                <w:szCs w:val="16"/>
              </w:rPr>
              <w:t>291.880.000,00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686F5D1C" w14:textId="0DC7F3BC"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1353DD68" w14:textId="7F8D6555" w:rsidR="00EA61D7" w:rsidRPr="00F33D7D" w:rsidRDefault="00EA61D7" w:rsidP="00F33D7D">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13619748" w14:textId="6E756B02" w:rsidR="00EA61D7" w:rsidRPr="00F33D7D" w:rsidRDefault="00EA61D7" w:rsidP="00F33D7D">
            <w:pPr>
              <w:spacing w:after="0" w:line="240" w:lineRule="auto"/>
              <w:jc w:val="right"/>
              <w:rPr>
                <w:rFonts w:cs="Arial"/>
                <w:sz w:val="16"/>
                <w:szCs w:val="16"/>
              </w:rPr>
            </w:pPr>
          </w:p>
        </w:tc>
      </w:tr>
      <w:tr w:rsidR="00DE23FF" w:rsidRPr="002F06DF" w14:paraId="2FAA34CB"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5C16D35E" w14:textId="77777777" w:rsidR="00EA61D7" w:rsidRPr="002F06DF" w:rsidRDefault="00EA61D7" w:rsidP="00EA61D7">
            <w:pPr>
              <w:spacing w:after="0" w:line="240" w:lineRule="auto"/>
              <w:jc w:val="left"/>
              <w:rPr>
                <w:rFonts w:cs="Arial"/>
                <w:sz w:val="16"/>
                <w:szCs w:val="16"/>
              </w:rPr>
            </w:pPr>
            <w:r w:rsidRPr="002F06DF">
              <w:rPr>
                <w:rFonts w:cs="Arial"/>
                <w:sz w:val="16"/>
                <w:szCs w:val="16"/>
              </w:rPr>
              <w:t>Ελληνικά Συστήματα Παραγωγής Πολιτικών Προϊόντων ΑΒΕΕ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2B7A479" w14:textId="77777777" w:rsidR="00EA61D7" w:rsidRPr="00F33D7D" w:rsidRDefault="00EA61D7" w:rsidP="00F33D7D">
            <w:pPr>
              <w:spacing w:after="0" w:line="240" w:lineRule="auto"/>
              <w:jc w:val="right"/>
              <w:rPr>
                <w:rFonts w:cs="Arial"/>
                <w:sz w:val="16"/>
                <w:szCs w:val="16"/>
              </w:rPr>
            </w:pPr>
            <w:r w:rsidRPr="00F33D7D">
              <w:rPr>
                <w:rFonts w:cs="Arial"/>
                <w:sz w:val="16"/>
                <w:szCs w:val="16"/>
              </w:rPr>
              <w:t>21.166.191,22</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0A2DA24F" w14:textId="77777777" w:rsidR="00EA61D7" w:rsidRPr="00F33D7D" w:rsidRDefault="00EA61D7" w:rsidP="00F33D7D">
            <w:pPr>
              <w:spacing w:after="0" w:line="240" w:lineRule="auto"/>
              <w:jc w:val="right"/>
              <w:rPr>
                <w:rFonts w:cs="Arial"/>
                <w:sz w:val="16"/>
                <w:szCs w:val="16"/>
              </w:rPr>
            </w:pPr>
            <w:r w:rsidRPr="00F33D7D">
              <w:rPr>
                <w:rFonts w:cs="Arial"/>
                <w:sz w:val="16"/>
                <w:szCs w:val="16"/>
              </w:rPr>
              <w:t>21.138.675,17</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13B856FE" w14:textId="2F29D461" w:rsidR="00EA61D7" w:rsidRPr="00F33D7D" w:rsidRDefault="00EA61D7" w:rsidP="00F33D7D">
            <w:pPr>
              <w:spacing w:after="0" w:line="240" w:lineRule="auto"/>
              <w:jc w:val="right"/>
              <w:rPr>
                <w:rFonts w:cs="Arial"/>
                <w:sz w:val="16"/>
                <w:szCs w:val="16"/>
              </w:rPr>
            </w:pPr>
            <w:r w:rsidRPr="00F33D7D">
              <w:rPr>
                <w:rFonts w:cs="Arial"/>
                <w:sz w:val="16"/>
                <w:szCs w:val="16"/>
              </w:rPr>
              <w:t>99,8</w:t>
            </w:r>
            <w:r w:rsidR="00C45536">
              <w:rPr>
                <w:rFonts w:cs="Arial"/>
                <w:sz w:val="16"/>
                <w:szCs w:val="16"/>
              </w:rPr>
              <w:t>7</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21EDFAC8" w14:textId="299712C1" w:rsidR="00EA61D7" w:rsidRPr="00F33D7D" w:rsidRDefault="00EA61D7" w:rsidP="00F33D7D">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41BAA073" w14:textId="23B746AA" w:rsidR="00EA61D7" w:rsidRPr="00F33D7D" w:rsidRDefault="00EA61D7" w:rsidP="00F33D7D">
            <w:pPr>
              <w:spacing w:after="0" w:line="240" w:lineRule="auto"/>
              <w:jc w:val="right"/>
              <w:rPr>
                <w:rFonts w:cs="Arial"/>
                <w:sz w:val="16"/>
                <w:szCs w:val="16"/>
              </w:rPr>
            </w:pPr>
          </w:p>
        </w:tc>
      </w:tr>
      <w:tr w:rsidR="00332EAA" w:rsidRPr="002F06DF" w14:paraId="1864DBA8" w14:textId="77777777" w:rsidTr="00C52316">
        <w:trPr>
          <w:cantSplit/>
          <w:trHeight w:val="283"/>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hideMark/>
          </w:tcPr>
          <w:p w14:paraId="480C3BF4" w14:textId="0D2ED5C0" w:rsidR="00332EAA" w:rsidRPr="00F33D7D" w:rsidRDefault="00332EAA" w:rsidP="00332EAA">
            <w:pPr>
              <w:spacing w:after="0" w:line="240" w:lineRule="auto"/>
              <w:rPr>
                <w:rFonts w:cs="Arial"/>
                <w:sz w:val="16"/>
                <w:szCs w:val="16"/>
              </w:rPr>
            </w:pPr>
            <w:r w:rsidRPr="00687508">
              <w:rPr>
                <w:rFonts w:cs="Arial"/>
                <w:b/>
                <w:bCs/>
                <w:sz w:val="16"/>
                <w:szCs w:val="16"/>
              </w:rPr>
              <w:t>Υπ</w:t>
            </w:r>
            <w:r>
              <w:rPr>
                <w:rFonts w:cs="Arial"/>
                <w:b/>
                <w:bCs/>
                <w:sz w:val="16"/>
                <w:szCs w:val="16"/>
              </w:rPr>
              <w:t>ό</w:t>
            </w:r>
            <w:r w:rsidRPr="00687508">
              <w:rPr>
                <w:rFonts w:cs="Arial"/>
                <w:b/>
                <w:bCs/>
                <w:sz w:val="16"/>
                <w:szCs w:val="16"/>
              </w:rPr>
              <w:t xml:space="preserve"> </w:t>
            </w:r>
            <w:r w:rsidR="00902955">
              <w:rPr>
                <w:rFonts w:cs="Arial"/>
                <w:b/>
                <w:bCs/>
                <w:sz w:val="16"/>
                <w:szCs w:val="16"/>
              </w:rPr>
              <w:t>ε</w:t>
            </w:r>
            <w:r w:rsidRPr="00687508">
              <w:rPr>
                <w:rFonts w:cs="Arial"/>
                <w:b/>
                <w:bCs/>
                <w:sz w:val="16"/>
                <w:szCs w:val="16"/>
              </w:rPr>
              <w:t>ιδικ</w:t>
            </w:r>
            <w:r>
              <w:rPr>
                <w:rFonts w:cs="Arial"/>
                <w:b/>
                <w:bCs/>
                <w:sz w:val="16"/>
                <w:szCs w:val="16"/>
              </w:rPr>
              <w:t>ή</w:t>
            </w:r>
            <w:r w:rsidRPr="00687508">
              <w:rPr>
                <w:rFonts w:cs="Arial"/>
                <w:b/>
                <w:bCs/>
                <w:sz w:val="16"/>
                <w:szCs w:val="16"/>
              </w:rPr>
              <w:t xml:space="preserve"> </w:t>
            </w:r>
            <w:r w:rsidR="00902955">
              <w:rPr>
                <w:rFonts w:cs="Arial"/>
                <w:b/>
                <w:bCs/>
                <w:sz w:val="16"/>
                <w:szCs w:val="16"/>
              </w:rPr>
              <w:t>ε</w:t>
            </w:r>
            <w:r w:rsidRPr="00687508">
              <w:rPr>
                <w:rFonts w:cs="Arial"/>
                <w:b/>
                <w:bCs/>
                <w:sz w:val="16"/>
                <w:szCs w:val="16"/>
              </w:rPr>
              <w:t>κκαθ</w:t>
            </w:r>
            <w:r>
              <w:rPr>
                <w:rFonts w:cs="Arial"/>
                <w:b/>
                <w:bCs/>
                <w:sz w:val="16"/>
                <w:szCs w:val="16"/>
              </w:rPr>
              <w:t>ά</w:t>
            </w:r>
            <w:r w:rsidRPr="00687508">
              <w:rPr>
                <w:rFonts w:cs="Arial"/>
                <w:b/>
                <w:bCs/>
                <w:sz w:val="16"/>
                <w:szCs w:val="16"/>
              </w:rPr>
              <w:t>ριση</w:t>
            </w:r>
          </w:p>
        </w:tc>
      </w:tr>
      <w:tr w:rsidR="00332EAA" w:rsidRPr="002F06DF" w14:paraId="546812C9" w14:textId="77777777" w:rsidTr="00C52316">
        <w:trPr>
          <w:cantSplit/>
          <w:trHeight w:val="102"/>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F2F2F2" w:themeFill="background1" w:themeFillShade="F2"/>
            <w:noWrap/>
            <w:vAlign w:val="center"/>
            <w:hideMark/>
          </w:tcPr>
          <w:p w14:paraId="773F59E1" w14:textId="7AFCFF66" w:rsidR="00332EAA" w:rsidRPr="00F33D7D" w:rsidRDefault="00332EAA" w:rsidP="00332EAA">
            <w:pPr>
              <w:spacing w:after="0" w:line="240" w:lineRule="auto"/>
              <w:rPr>
                <w:rFonts w:cs="Arial"/>
                <w:b/>
                <w:bCs/>
                <w:sz w:val="16"/>
                <w:szCs w:val="16"/>
                <w:u w:val="single"/>
              </w:rPr>
            </w:pPr>
            <w:r w:rsidRPr="00687508">
              <w:rPr>
                <w:rFonts w:cs="Arial"/>
                <w:b/>
                <w:bCs/>
                <w:sz w:val="16"/>
                <w:szCs w:val="16"/>
              </w:rPr>
              <w:t xml:space="preserve">Πιστωτικά </w:t>
            </w:r>
            <w:r w:rsidR="00902955">
              <w:rPr>
                <w:rFonts w:cs="Arial"/>
                <w:b/>
                <w:bCs/>
                <w:sz w:val="16"/>
                <w:szCs w:val="16"/>
              </w:rPr>
              <w:t>ι</w:t>
            </w:r>
            <w:r w:rsidRPr="00687508">
              <w:rPr>
                <w:rFonts w:cs="Arial"/>
                <w:b/>
                <w:bCs/>
                <w:sz w:val="16"/>
                <w:szCs w:val="16"/>
              </w:rPr>
              <w:t>δρύματα</w:t>
            </w:r>
          </w:p>
        </w:tc>
      </w:tr>
      <w:tr w:rsidR="00DE23FF" w:rsidRPr="002F06DF" w14:paraId="4DD30C55" w14:textId="77777777" w:rsidTr="00C52316">
        <w:trPr>
          <w:cantSplit/>
          <w:trHeight w:val="108"/>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37A58136" w14:textId="4AE919BB" w:rsidR="000135A4" w:rsidRPr="002F06DF" w:rsidRDefault="00332EAA" w:rsidP="000135A4">
            <w:pPr>
              <w:spacing w:after="0" w:line="240" w:lineRule="auto"/>
              <w:jc w:val="left"/>
              <w:rPr>
                <w:rFonts w:cs="Arial"/>
                <w:sz w:val="16"/>
                <w:szCs w:val="16"/>
              </w:rPr>
            </w:pPr>
            <w:r w:rsidRPr="00687508">
              <w:rPr>
                <w:rFonts w:cs="Arial"/>
                <w:sz w:val="16"/>
                <w:szCs w:val="16"/>
              </w:rPr>
              <w:t>Αγροτική Τράπεζα της Ελλάδος</w:t>
            </w:r>
            <w:r>
              <w:rPr>
                <w:rFonts w:cs="Arial"/>
                <w:sz w:val="16"/>
                <w:szCs w:val="16"/>
              </w:rPr>
              <w:t xml:space="preserve"> (ΑΤΕ) </w:t>
            </w:r>
            <w:r w:rsidRPr="00892E7E">
              <w:rPr>
                <w:rFonts w:cs="Arial"/>
                <w:sz w:val="16"/>
                <w:szCs w:val="16"/>
              </w:rPr>
              <w:t>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635AC670" w14:textId="5F2A83B5" w:rsidR="000135A4" w:rsidRPr="00F33D7D" w:rsidRDefault="000135A4" w:rsidP="00F33D7D">
            <w:pPr>
              <w:spacing w:after="0" w:line="240" w:lineRule="auto"/>
              <w:jc w:val="right"/>
              <w:rPr>
                <w:rFonts w:cs="Arial"/>
                <w:sz w:val="16"/>
                <w:szCs w:val="16"/>
              </w:rPr>
            </w:pPr>
            <w:r w:rsidRPr="00F33D7D">
              <w:rPr>
                <w:rFonts w:cs="Arial"/>
                <w:sz w:val="16"/>
                <w:szCs w:val="16"/>
              </w:rPr>
              <w:t>1.050.573.329,40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2C7B9E04" w14:textId="3F32AED7" w:rsidR="000135A4" w:rsidRPr="00F33D7D" w:rsidRDefault="000135A4" w:rsidP="00F33D7D">
            <w:pPr>
              <w:spacing w:after="0" w:line="240" w:lineRule="auto"/>
              <w:jc w:val="right"/>
              <w:rPr>
                <w:rFonts w:cs="Arial"/>
                <w:sz w:val="16"/>
                <w:szCs w:val="16"/>
              </w:rPr>
            </w:pPr>
            <w:r w:rsidRPr="00F33D7D">
              <w:rPr>
                <w:rFonts w:cs="Arial"/>
                <w:sz w:val="16"/>
                <w:szCs w:val="16"/>
              </w:rPr>
              <w:t>973.671.361,69</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1D69C570" w14:textId="4AC9A5D7" w:rsidR="000135A4" w:rsidRPr="00F33D7D" w:rsidRDefault="000135A4" w:rsidP="00F33D7D">
            <w:pPr>
              <w:spacing w:after="0" w:line="240" w:lineRule="auto"/>
              <w:jc w:val="right"/>
              <w:rPr>
                <w:rFonts w:cs="Arial"/>
                <w:sz w:val="16"/>
                <w:szCs w:val="16"/>
              </w:rPr>
            </w:pPr>
            <w:r w:rsidRPr="00F33D7D">
              <w:rPr>
                <w:rFonts w:cs="Arial"/>
                <w:sz w:val="16"/>
                <w:szCs w:val="16"/>
              </w:rPr>
              <w:t>92,68</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7DC82630" w14:textId="77777777" w:rsidR="000135A4" w:rsidRPr="00F33D7D" w:rsidRDefault="000135A4" w:rsidP="00F33D7D">
            <w:pPr>
              <w:spacing w:after="0" w:line="240" w:lineRule="auto"/>
              <w:jc w:val="right"/>
              <w:rPr>
                <w:rFonts w:cs="Arial"/>
                <w:sz w:val="16"/>
                <w:szCs w:val="16"/>
              </w:rPr>
            </w:pPr>
            <w:r w:rsidRPr="00F33D7D">
              <w:rPr>
                <w:rFonts w:cs="Arial"/>
                <w:sz w:val="16"/>
                <w:szCs w:val="16"/>
              </w:rPr>
              <w:t>1.622.785.603</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026DEABD" w14:textId="06E2C29A" w:rsidR="000135A4" w:rsidRPr="00F33D7D" w:rsidRDefault="000135A4" w:rsidP="00F33D7D">
            <w:pPr>
              <w:spacing w:after="0" w:line="240" w:lineRule="auto"/>
              <w:jc w:val="right"/>
              <w:rPr>
                <w:rFonts w:cs="Arial"/>
                <w:sz w:val="16"/>
                <w:szCs w:val="16"/>
              </w:rPr>
            </w:pPr>
            <w:r w:rsidRPr="00F33D7D">
              <w:rPr>
                <w:rFonts w:cs="Arial"/>
                <w:sz w:val="16"/>
                <w:szCs w:val="16"/>
              </w:rPr>
              <w:t>0,60</w:t>
            </w:r>
          </w:p>
        </w:tc>
      </w:tr>
      <w:tr w:rsidR="00DE23FF" w:rsidRPr="002F06DF" w14:paraId="4652B53F"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348CF126" w14:textId="77777777" w:rsidR="000135A4" w:rsidRPr="002F06DF" w:rsidRDefault="000135A4" w:rsidP="000135A4">
            <w:pPr>
              <w:spacing w:after="0" w:line="240" w:lineRule="auto"/>
              <w:jc w:val="left"/>
              <w:rPr>
                <w:rFonts w:cs="Arial"/>
                <w:sz w:val="16"/>
                <w:szCs w:val="16"/>
              </w:rPr>
            </w:pPr>
            <w:r w:rsidRPr="002F06DF">
              <w:rPr>
                <w:rFonts w:cs="Arial"/>
                <w:sz w:val="16"/>
                <w:szCs w:val="16"/>
              </w:rPr>
              <w:t>Ταχυδρομικό Ταμιευτήριο</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1E0C083D" w14:textId="05EF653F" w:rsidR="000135A4" w:rsidRPr="00F33D7D" w:rsidRDefault="000135A4" w:rsidP="00F33D7D">
            <w:pPr>
              <w:spacing w:after="0" w:line="240" w:lineRule="auto"/>
              <w:jc w:val="right"/>
              <w:rPr>
                <w:rFonts w:cs="Arial"/>
                <w:sz w:val="16"/>
                <w:szCs w:val="16"/>
              </w:rPr>
            </w:pPr>
            <w:r w:rsidRPr="00F33D7D">
              <w:rPr>
                <w:rFonts w:cs="Arial"/>
                <w:sz w:val="16"/>
                <w:szCs w:val="16"/>
              </w:rPr>
              <w:t>1.277.484.066,80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4EA4BFEF" w14:textId="7C306C06" w:rsidR="000135A4" w:rsidRPr="00F33D7D" w:rsidRDefault="000135A4" w:rsidP="00F33D7D">
            <w:pPr>
              <w:spacing w:after="0" w:line="240" w:lineRule="auto"/>
              <w:jc w:val="right"/>
              <w:rPr>
                <w:rFonts w:cs="Arial"/>
                <w:sz w:val="16"/>
                <w:szCs w:val="16"/>
              </w:rPr>
            </w:pPr>
            <w:r w:rsidRPr="00F33D7D">
              <w:rPr>
                <w:rFonts w:cs="Arial"/>
                <w:sz w:val="16"/>
                <w:szCs w:val="16"/>
              </w:rPr>
              <w:t>358.313.165,20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2164215F" w14:textId="34EBF469" w:rsidR="000135A4" w:rsidRPr="00F33D7D" w:rsidRDefault="000135A4" w:rsidP="00F33D7D">
            <w:pPr>
              <w:spacing w:after="0" w:line="240" w:lineRule="auto"/>
              <w:jc w:val="right"/>
              <w:rPr>
                <w:rFonts w:cs="Arial"/>
                <w:sz w:val="16"/>
                <w:szCs w:val="16"/>
              </w:rPr>
            </w:pPr>
            <w:r w:rsidRPr="00F33D7D">
              <w:rPr>
                <w:rFonts w:cs="Arial"/>
                <w:sz w:val="16"/>
                <w:szCs w:val="16"/>
              </w:rPr>
              <w:t>28,05</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1961026B" w14:textId="77777777" w:rsidR="000135A4" w:rsidRPr="00F33D7D" w:rsidRDefault="000135A4" w:rsidP="00F33D7D">
            <w:pPr>
              <w:spacing w:after="0" w:line="240" w:lineRule="auto"/>
              <w:jc w:val="right"/>
              <w:rPr>
                <w:rFonts w:cs="Arial"/>
                <w:sz w:val="16"/>
                <w:szCs w:val="16"/>
              </w:rPr>
            </w:pPr>
            <w:r w:rsidRPr="00F33D7D">
              <w:rPr>
                <w:rFonts w:cs="Arial"/>
                <w:sz w:val="16"/>
                <w:szCs w:val="16"/>
              </w:rPr>
              <w:t>96.841.396</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39A69298" w14:textId="5704513B" w:rsidR="000135A4" w:rsidRPr="00F33D7D" w:rsidRDefault="000135A4" w:rsidP="00F33D7D">
            <w:pPr>
              <w:spacing w:after="0" w:line="240" w:lineRule="auto"/>
              <w:jc w:val="right"/>
              <w:rPr>
                <w:rFonts w:cs="Arial"/>
                <w:sz w:val="16"/>
                <w:szCs w:val="16"/>
              </w:rPr>
            </w:pPr>
            <w:r w:rsidRPr="00F33D7D">
              <w:rPr>
                <w:rFonts w:cs="Arial"/>
                <w:sz w:val="16"/>
                <w:szCs w:val="16"/>
              </w:rPr>
              <w:t>3,70</w:t>
            </w:r>
          </w:p>
        </w:tc>
      </w:tr>
      <w:tr w:rsidR="00332EAA" w:rsidRPr="002F06DF" w14:paraId="69202872" w14:textId="77777777" w:rsidTr="00C52316">
        <w:trPr>
          <w:cantSplit/>
          <w:trHeight w:val="283"/>
          <w:jc w:val="center"/>
        </w:trPr>
        <w:tc>
          <w:tcPr>
            <w:tcW w:w="10437" w:type="dxa"/>
            <w:gridSpan w:val="6"/>
            <w:tcBorders>
              <w:top w:val="single" w:sz="2" w:space="0" w:color="A6A6A6" w:themeColor="background1" w:themeShade="A6"/>
              <w:bottom w:val="single" w:sz="2" w:space="0" w:color="A6A6A6" w:themeColor="background1" w:themeShade="A6"/>
            </w:tcBorders>
            <w:shd w:val="clear" w:color="auto" w:fill="D5DCE4"/>
            <w:noWrap/>
            <w:vAlign w:val="center"/>
            <w:hideMark/>
          </w:tcPr>
          <w:p w14:paraId="11404192" w14:textId="429E8057" w:rsidR="00332EAA" w:rsidRPr="00F33D7D" w:rsidRDefault="00332EAA" w:rsidP="00332EAA">
            <w:pPr>
              <w:spacing w:after="0" w:line="240" w:lineRule="auto"/>
              <w:rPr>
                <w:rFonts w:cs="Arial"/>
                <w:sz w:val="16"/>
                <w:szCs w:val="16"/>
              </w:rPr>
            </w:pPr>
            <w:r w:rsidRPr="00687508">
              <w:rPr>
                <w:rFonts w:cs="Arial"/>
                <w:b/>
                <w:bCs/>
                <w:sz w:val="16"/>
                <w:szCs w:val="16"/>
              </w:rPr>
              <w:t>Υπ</w:t>
            </w:r>
            <w:r>
              <w:rPr>
                <w:rFonts w:cs="Arial"/>
                <w:b/>
                <w:bCs/>
                <w:sz w:val="16"/>
                <w:szCs w:val="16"/>
              </w:rPr>
              <w:t>ό</w:t>
            </w:r>
            <w:r w:rsidRPr="00687508">
              <w:rPr>
                <w:rFonts w:cs="Arial"/>
                <w:b/>
                <w:bCs/>
                <w:sz w:val="16"/>
                <w:szCs w:val="16"/>
              </w:rPr>
              <w:t xml:space="preserve"> </w:t>
            </w:r>
            <w:r w:rsidR="00902955">
              <w:rPr>
                <w:rFonts w:cs="Arial"/>
                <w:b/>
                <w:bCs/>
                <w:sz w:val="16"/>
                <w:szCs w:val="16"/>
              </w:rPr>
              <w:t>ε</w:t>
            </w:r>
            <w:r w:rsidRPr="00687508">
              <w:rPr>
                <w:rFonts w:cs="Arial"/>
                <w:b/>
                <w:bCs/>
                <w:sz w:val="16"/>
                <w:szCs w:val="16"/>
              </w:rPr>
              <w:t>κκαθ</w:t>
            </w:r>
            <w:r>
              <w:rPr>
                <w:rFonts w:cs="Arial"/>
                <w:b/>
                <w:bCs/>
                <w:sz w:val="16"/>
                <w:szCs w:val="16"/>
              </w:rPr>
              <w:t>ά</w:t>
            </w:r>
            <w:r w:rsidRPr="00687508">
              <w:rPr>
                <w:rFonts w:cs="Arial"/>
                <w:b/>
                <w:bCs/>
                <w:sz w:val="16"/>
                <w:szCs w:val="16"/>
              </w:rPr>
              <w:t>ριση</w:t>
            </w:r>
          </w:p>
        </w:tc>
      </w:tr>
      <w:tr w:rsidR="00DE23FF" w:rsidRPr="002F06DF" w14:paraId="31001152"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11BC9647" w14:textId="77777777" w:rsidR="00EA61D7" w:rsidRPr="002F06DF" w:rsidRDefault="00EA61D7" w:rsidP="00EA61D7">
            <w:pPr>
              <w:spacing w:after="0" w:line="240" w:lineRule="auto"/>
              <w:jc w:val="left"/>
              <w:rPr>
                <w:rFonts w:cs="Arial"/>
                <w:sz w:val="16"/>
                <w:szCs w:val="16"/>
              </w:rPr>
            </w:pPr>
            <w:r w:rsidRPr="002F06DF">
              <w:rPr>
                <w:rFonts w:cs="Arial"/>
                <w:sz w:val="16"/>
                <w:szCs w:val="16"/>
              </w:rPr>
              <w:t>Αγρογή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0ADDD4BF" w14:textId="77777777" w:rsidR="00EA61D7" w:rsidRPr="00F33D7D" w:rsidRDefault="00EA61D7" w:rsidP="00F33D7D">
            <w:pPr>
              <w:spacing w:after="0" w:line="240" w:lineRule="auto"/>
              <w:jc w:val="right"/>
              <w:rPr>
                <w:rFonts w:cs="Arial"/>
                <w:sz w:val="16"/>
                <w:szCs w:val="16"/>
              </w:rPr>
            </w:pPr>
            <w:r w:rsidRPr="00F33D7D">
              <w:rPr>
                <w:rFonts w:cs="Arial"/>
                <w:sz w:val="16"/>
                <w:szCs w:val="16"/>
              </w:rPr>
              <w:t>5.870.000,00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7B376AA4" w14:textId="77777777" w:rsidR="00EA61D7" w:rsidRPr="00F33D7D" w:rsidRDefault="00EA61D7" w:rsidP="00F33D7D">
            <w:pPr>
              <w:spacing w:after="0" w:line="240" w:lineRule="auto"/>
              <w:jc w:val="right"/>
              <w:rPr>
                <w:rFonts w:cs="Arial"/>
                <w:sz w:val="16"/>
                <w:szCs w:val="16"/>
              </w:rPr>
            </w:pPr>
            <w:r w:rsidRPr="00F33D7D">
              <w:rPr>
                <w:rFonts w:cs="Arial"/>
                <w:sz w:val="16"/>
                <w:szCs w:val="16"/>
              </w:rPr>
              <w:t>5.870.000,00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18030BD1" w14:textId="5B0C28AC"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47E91CAE" w14:textId="77777777" w:rsidR="00EA61D7" w:rsidRPr="00F33D7D" w:rsidRDefault="00EA61D7" w:rsidP="00F33D7D">
            <w:pPr>
              <w:spacing w:after="0" w:line="240" w:lineRule="auto"/>
              <w:jc w:val="right"/>
              <w:rPr>
                <w:rFonts w:cs="Arial"/>
                <w:sz w:val="16"/>
                <w:szCs w:val="16"/>
              </w:rPr>
            </w:pPr>
            <w:r w:rsidRPr="00F33D7D">
              <w:rPr>
                <w:rFonts w:cs="Arial"/>
                <w:sz w:val="16"/>
                <w:szCs w:val="16"/>
              </w:rPr>
              <w:t>200.000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54FE0B30" w14:textId="1E159695" w:rsidR="00EA61D7" w:rsidRPr="00F33D7D" w:rsidRDefault="00EA61D7" w:rsidP="00F33D7D">
            <w:pPr>
              <w:spacing w:after="0" w:line="240" w:lineRule="auto"/>
              <w:jc w:val="right"/>
              <w:rPr>
                <w:rFonts w:cs="Arial"/>
                <w:sz w:val="16"/>
                <w:szCs w:val="16"/>
              </w:rPr>
            </w:pPr>
            <w:r w:rsidRPr="00F33D7D">
              <w:rPr>
                <w:rFonts w:cs="Arial"/>
                <w:sz w:val="16"/>
                <w:szCs w:val="16"/>
              </w:rPr>
              <w:t>29,35</w:t>
            </w:r>
          </w:p>
        </w:tc>
      </w:tr>
      <w:tr w:rsidR="00DE23FF" w:rsidRPr="002F06DF" w14:paraId="745E6D00"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6AA54B4E" w14:textId="77777777" w:rsidR="00EA61D7" w:rsidRPr="002F06DF" w:rsidRDefault="00EA61D7" w:rsidP="00EA61D7">
            <w:pPr>
              <w:spacing w:after="0" w:line="240" w:lineRule="auto"/>
              <w:jc w:val="left"/>
              <w:rPr>
                <w:rFonts w:cs="Arial"/>
                <w:sz w:val="16"/>
                <w:szCs w:val="16"/>
              </w:rPr>
            </w:pPr>
            <w:r w:rsidRPr="002F06DF">
              <w:rPr>
                <w:rFonts w:cs="Arial"/>
                <w:sz w:val="16"/>
                <w:szCs w:val="16"/>
              </w:rPr>
              <w:t>ΑΣΠΙΣ ΠΡΟΝΟΙΑ ΑΕΓΑ</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6246EB57" w14:textId="77777777" w:rsidR="00EA61D7" w:rsidRPr="00F33D7D" w:rsidRDefault="00EA61D7" w:rsidP="00F33D7D">
            <w:pPr>
              <w:spacing w:after="0" w:line="240" w:lineRule="auto"/>
              <w:jc w:val="right"/>
              <w:rPr>
                <w:rFonts w:cs="Arial"/>
                <w:sz w:val="16"/>
                <w:szCs w:val="16"/>
              </w:rPr>
            </w:pPr>
            <w:r w:rsidRPr="00F33D7D">
              <w:rPr>
                <w:rFonts w:cs="Arial"/>
                <w:sz w:val="16"/>
                <w:szCs w:val="16"/>
              </w:rPr>
              <w:t>51.356.564,00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55BF5A0C" w14:textId="77777777" w:rsidR="00EA61D7" w:rsidRPr="00F33D7D" w:rsidRDefault="00EA61D7" w:rsidP="00F33D7D">
            <w:pPr>
              <w:spacing w:after="0" w:line="240" w:lineRule="auto"/>
              <w:jc w:val="right"/>
              <w:rPr>
                <w:rFonts w:cs="Arial"/>
                <w:sz w:val="16"/>
                <w:szCs w:val="16"/>
              </w:rPr>
            </w:pPr>
            <w:r w:rsidRPr="00F33D7D">
              <w:rPr>
                <w:rFonts w:cs="Arial"/>
                <w:sz w:val="16"/>
                <w:szCs w:val="16"/>
              </w:rPr>
              <w:t>4.375,00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28EE585A" w14:textId="7C814817" w:rsidR="00EA61D7" w:rsidRPr="00F33D7D" w:rsidRDefault="00EA61D7" w:rsidP="00F33D7D">
            <w:pPr>
              <w:spacing w:after="0" w:line="240" w:lineRule="auto"/>
              <w:jc w:val="right"/>
              <w:rPr>
                <w:rFonts w:cs="Arial"/>
                <w:sz w:val="16"/>
                <w:szCs w:val="16"/>
              </w:rPr>
            </w:pPr>
            <w:r w:rsidRPr="00F33D7D">
              <w:rPr>
                <w:rFonts w:cs="Arial"/>
                <w:sz w:val="16"/>
                <w:szCs w:val="16"/>
              </w:rPr>
              <w:t>0,01</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5AC02DF0" w14:textId="77777777" w:rsidR="00EA61D7" w:rsidRPr="00F33D7D" w:rsidRDefault="00EA61D7" w:rsidP="00F33D7D">
            <w:pPr>
              <w:spacing w:after="0" w:line="240" w:lineRule="auto"/>
              <w:jc w:val="right"/>
              <w:rPr>
                <w:rFonts w:cs="Arial"/>
                <w:sz w:val="16"/>
                <w:szCs w:val="16"/>
              </w:rPr>
            </w:pPr>
            <w:r w:rsidRPr="00F33D7D">
              <w:rPr>
                <w:rFonts w:cs="Arial"/>
                <w:sz w:val="16"/>
                <w:szCs w:val="16"/>
              </w:rPr>
              <w:t>6.250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19AF47B3" w14:textId="264172D2" w:rsidR="00EA61D7" w:rsidRPr="00F33D7D" w:rsidRDefault="00EA61D7" w:rsidP="00F33D7D">
            <w:pPr>
              <w:spacing w:after="0" w:line="240" w:lineRule="auto"/>
              <w:jc w:val="right"/>
              <w:rPr>
                <w:rFonts w:cs="Arial"/>
                <w:sz w:val="16"/>
                <w:szCs w:val="16"/>
              </w:rPr>
            </w:pPr>
            <w:r w:rsidRPr="00F33D7D">
              <w:rPr>
                <w:rFonts w:cs="Arial"/>
                <w:sz w:val="16"/>
                <w:szCs w:val="16"/>
              </w:rPr>
              <w:t>0,70</w:t>
            </w:r>
          </w:p>
        </w:tc>
      </w:tr>
      <w:tr w:rsidR="00DE23FF" w:rsidRPr="002F06DF" w14:paraId="4E32D5AC"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65888412" w14:textId="4E867DB2" w:rsidR="00EA61D7" w:rsidRPr="002F06DF" w:rsidRDefault="00EA61D7" w:rsidP="00EA61D7">
            <w:pPr>
              <w:spacing w:after="0" w:line="240" w:lineRule="auto"/>
              <w:jc w:val="left"/>
              <w:rPr>
                <w:rFonts w:cs="Arial"/>
                <w:sz w:val="16"/>
                <w:szCs w:val="16"/>
              </w:rPr>
            </w:pPr>
            <w:r w:rsidRPr="002F06DF">
              <w:rPr>
                <w:rFonts w:cs="Arial"/>
                <w:sz w:val="16"/>
                <w:szCs w:val="16"/>
              </w:rPr>
              <w:t xml:space="preserve">ΑΤΕ Τεχνική </w:t>
            </w:r>
            <w:r w:rsidRPr="00892E7E">
              <w:rPr>
                <w:rFonts w:cs="Arial"/>
                <w:sz w:val="16"/>
                <w:szCs w:val="16"/>
              </w:rPr>
              <w:t>Πληροφορική</w:t>
            </w:r>
            <w:r w:rsidR="00332EAA" w:rsidRPr="00892E7E">
              <w:rPr>
                <w:rFonts w:cs="Arial"/>
                <w:sz w:val="16"/>
                <w:szCs w:val="16"/>
              </w:rPr>
              <w:t xml:space="preserve">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413F961C" w14:textId="77777777" w:rsidR="00EA61D7" w:rsidRPr="00F33D7D" w:rsidRDefault="00EA61D7" w:rsidP="00F33D7D">
            <w:pPr>
              <w:spacing w:after="0" w:line="240" w:lineRule="auto"/>
              <w:jc w:val="right"/>
              <w:rPr>
                <w:rFonts w:cs="Arial"/>
                <w:sz w:val="16"/>
                <w:szCs w:val="16"/>
              </w:rPr>
            </w:pPr>
            <w:r w:rsidRPr="00F33D7D">
              <w:rPr>
                <w:rFonts w:cs="Arial"/>
                <w:sz w:val="16"/>
                <w:szCs w:val="16"/>
              </w:rPr>
              <w:t>4.049.895,50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3F6E7568" w14:textId="77777777" w:rsidR="00EA61D7" w:rsidRPr="00F33D7D" w:rsidRDefault="00EA61D7" w:rsidP="00F33D7D">
            <w:pPr>
              <w:spacing w:after="0" w:line="240" w:lineRule="auto"/>
              <w:jc w:val="right"/>
              <w:rPr>
                <w:rFonts w:cs="Arial"/>
                <w:sz w:val="16"/>
                <w:szCs w:val="16"/>
              </w:rPr>
            </w:pPr>
            <w:r w:rsidRPr="00F33D7D">
              <w:rPr>
                <w:rFonts w:cs="Arial"/>
                <w:sz w:val="16"/>
                <w:szCs w:val="16"/>
              </w:rPr>
              <w:t>280.564,55</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0B9AEA54" w14:textId="06B792FE" w:rsidR="00EA61D7" w:rsidRPr="00F33D7D" w:rsidRDefault="00EA61D7" w:rsidP="00F33D7D">
            <w:pPr>
              <w:spacing w:after="0" w:line="240" w:lineRule="auto"/>
              <w:jc w:val="right"/>
              <w:rPr>
                <w:rFonts w:cs="Arial"/>
                <w:sz w:val="16"/>
                <w:szCs w:val="16"/>
              </w:rPr>
            </w:pPr>
            <w:r w:rsidRPr="00F33D7D">
              <w:rPr>
                <w:rFonts w:cs="Arial"/>
                <w:sz w:val="16"/>
                <w:szCs w:val="16"/>
              </w:rPr>
              <w:t>6,93</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511C604C" w14:textId="77777777" w:rsidR="00EA61D7" w:rsidRPr="00F33D7D" w:rsidRDefault="00EA61D7" w:rsidP="00F33D7D">
            <w:pPr>
              <w:spacing w:after="0" w:line="240" w:lineRule="auto"/>
              <w:jc w:val="right"/>
              <w:rPr>
                <w:rFonts w:cs="Arial"/>
                <w:sz w:val="16"/>
                <w:szCs w:val="16"/>
              </w:rPr>
            </w:pPr>
            <w:r w:rsidRPr="00F33D7D">
              <w:rPr>
                <w:rFonts w:cs="Arial"/>
                <w:sz w:val="16"/>
                <w:szCs w:val="16"/>
              </w:rPr>
              <w:t>10.147</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48A71DE6" w14:textId="76B611BA" w:rsidR="00EA61D7" w:rsidRPr="00F33D7D" w:rsidRDefault="00EA61D7" w:rsidP="00F33D7D">
            <w:pPr>
              <w:spacing w:after="0" w:line="240" w:lineRule="auto"/>
              <w:jc w:val="right"/>
              <w:rPr>
                <w:rFonts w:cs="Arial"/>
                <w:sz w:val="16"/>
                <w:szCs w:val="16"/>
              </w:rPr>
            </w:pPr>
            <w:r w:rsidRPr="00F33D7D">
              <w:rPr>
                <w:rFonts w:cs="Arial"/>
                <w:sz w:val="16"/>
                <w:szCs w:val="16"/>
              </w:rPr>
              <w:t>27,65</w:t>
            </w:r>
          </w:p>
        </w:tc>
      </w:tr>
      <w:tr w:rsidR="00DE23FF" w:rsidRPr="002F06DF" w14:paraId="5C25B489" w14:textId="77777777" w:rsidTr="00C52316">
        <w:trPr>
          <w:cantSplit/>
          <w:trHeight w:val="210"/>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0F3C0E84" w14:textId="443B85DE" w:rsidR="00EA61D7" w:rsidRPr="002F06DF" w:rsidRDefault="0020766A" w:rsidP="0020766A">
            <w:pPr>
              <w:spacing w:after="0" w:line="276" w:lineRule="auto"/>
              <w:jc w:val="left"/>
              <w:rPr>
                <w:rFonts w:cs="Arial"/>
                <w:color w:val="000000"/>
                <w:sz w:val="16"/>
                <w:szCs w:val="16"/>
              </w:rPr>
            </w:pPr>
            <w:r w:rsidRPr="00687508">
              <w:rPr>
                <w:rFonts w:cs="Arial"/>
                <w:sz w:val="16"/>
                <w:szCs w:val="16"/>
              </w:rPr>
              <w:t>Ανώνυμη Ελλ</w:t>
            </w:r>
            <w:r>
              <w:rPr>
                <w:rFonts w:cs="Arial"/>
                <w:sz w:val="16"/>
                <w:szCs w:val="16"/>
              </w:rPr>
              <w:t xml:space="preserve">ηνική </w:t>
            </w:r>
            <w:r w:rsidRPr="00687508">
              <w:rPr>
                <w:rFonts w:cs="Arial"/>
                <w:sz w:val="16"/>
                <w:szCs w:val="16"/>
              </w:rPr>
              <w:t>Εταιρεία Υλών Οικοδομικής</w:t>
            </w:r>
            <w:r>
              <w:rPr>
                <w:rFonts w:cs="Arial"/>
                <w:sz w:val="16"/>
                <w:szCs w:val="16"/>
              </w:rPr>
              <w:t xml:space="preserve"> </w:t>
            </w:r>
            <w:r w:rsidRPr="00687508">
              <w:rPr>
                <w:rFonts w:cs="Arial"/>
                <w:sz w:val="16"/>
                <w:szCs w:val="16"/>
              </w:rPr>
              <w:t>Ο ΑΤΛΑΣ</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0E058811" w14:textId="77777777" w:rsidR="00EA61D7" w:rsidRPr="00F33D7D" w:rsidRDefault="00EA61D7" w:rsidP="00F33D7D">
            <w:pPr>
              <w:spacing w:after="0" w:line="240" w:lineRule="auto"/>
              <w:jc w:val="right"/>
              <w:rPr>
                <w:rFonts w:cs="Arial"/>
                <w:sz w:val="16"/>
                <w:szCs w:val="16"/>
              </w:rPr>
            </w:pPr>
            <w:r w:rsidRPr="00F33D7D">
              <w:rPr>
                <w:rFonts w:cs="Arial"/>
                <w:sz w:val="16"/>
                <w:szCs w:val="16"/>
              </w:rPr>
              <w:t>131.040,00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0541AACD" w14:textId="77777777" w:rsidR="00EA61D7" w:rsidRPr="00F33D7D" w:rsidRDefault="00EA61D7" w:rsidP="00F33D7D">
            <w:pPr>
              <w:spacing w:after="0" w:line="240" w:lineRule="auto"/>
              <w:jc w:val="right"/>
              <w:rPr>
                <w:rFonts w:cs="Arial"/>
                <w:sz w:val="16"/>
                <w:szCs w:val="16"/>
              </w:rPr>
            </w:pPr>
            <w:r w:rsidRPr="00F33D7D">
              <w:rPr>
                <w:rFonts w:cs="Arial"/>
                <w:sz w:val="16"/>
                <w:szCs w:val="16"/>
              </w:rPr>
              <w:t>74,88</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43423DE9" w14:textId="4B8EDED5" w:rsidR="00EA61D7" w:rsidRPr="00F33D7D" w:rsidRDefault="00EA61D7" w:rsidP="00F33D7D">
            <w:pPr>
              <w:spacing w:after="0" w:line="240" w:lineRule="auto"/>
              <w:jc w:val="right"/>
              <w:rPr>
                <w:rFonts w:cs="Arial"/>
                <w:sz w:val="16"/>
                <w:szCs w:val="16"/>
              </w:rPr>
            </w:pPr>
            <w:r w:rsidRPr="00F33D7D">
              <w:rPr>
                <w:rFonts w:cs="Arial"/>
                <w:sz w:val="16"/>
                <w:szCs w:val="16"/>
              </w:rPr>
              <w:t>0,06</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5F4DD967" w14:textId="77777777" w:rsidR="00EA61D7" w:rsidRPr="00F33D7D" w:rsidRDefault="00EA61D7" w:rsidP="00F33D7D">
            <w:pPr>
              <w:spacing w:after="0" w:line="240" w:lineRule="auto"/>
              <w:jc w:val="right"/>
              <w:rPr>
                <w:rFonts w:cs="Arial"/>
                <w:sz w:val="16"/>
                <w:szCs w:val="16"/>
              </w:rPr>
            </w:pPr>
            <w:r w:rsidRPr="00F33D7D">
              <w:rPr>
                <w:rFonts w:cs="Arial"/>
                <w:sz w:val="16"/>
                <w:szCs w:val="16"/>
              </w:rPr>
              <w:t>144</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489A2261" w14:textId="56EEAD13" w:rsidR="00EA61D7" w:rsidRPr="00F33D7D" w:rsidRDefault="00EA61D7" w:rsidP="00F33D7D">
            <w:pPr>
              <w:spacing w:after="0" w:line="240" w:lineRule="auto"/>
              <w:jc w:val="right"/>
              <w:rPr>
                <w:rFonts w:cs="Arial"/>
                <w:sz w:val="16"/>
                <w:szCs w:val="16"/>
              </w:rPr>
            </w:pPr>
            <w:r w:rsidRPr="00F33D7D">
              <w:rPr>
                <w:rFonts w:cs="Arial"/>
                <w:sz w:val="16"/>
                <w:szCs w:val="16"/>
              </w:rPr>
              <w:t>0,52</w:t>
            </w:r>
          </w:p>
        </w:tc>
      </w:tr>
      <w:tr w:rsidR="00DE23FF" w:rsidRPr="002F06DF" w14:paraId="4DAD44B4"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2D8BC8AF" w14:textId="599F1C5C" w:rsidR="00EA61D7" w:rsidRPr="002F06DF" w:rsidRDefault="0020766A" w:rsidP="00EA61D7">
            <w:pPr>
              <w:spacing w:after="0" w:line="240" w:lineRule="auto"/>
              <w:jc w:val="left"/>
              <w:rPr>
                <w:rFonts w:cs="Arial"/>
                <w:sz w:val="16"/>
                <w:szCs w:val="16"/>
              </w:rPr>
            </w:pPr>
            <w:r w:rsidRPr="00687508">
              <w:rPr>
                <w:rFonts w:cs="Arial"/>
                <w:sz w:val="16"/>
                <w:szCs w:val="16"/>
              </w:rPr>
              <w:t xml:space="preserve">Βιοτεχνικό Πάρκο Χανίων </w:t>
            </w:r>
            <w:r>
              <w:rPr>
                <w:rFonts w:cs="Arial"/>
                <w:sz w:val="16"/>
                <w:szCs w:val="16"/>
              </w:rPr>
              <w:t xml:space="preserve">(ΒΙΟΠΑΧ) </w:t>
            </w:r>
            <w:r w:rsidRPr="00687508">
              <w:rPr>
                <w:rFonts w:cs="Arial"/>
                <w:sz w:val="16"/>
                <w:szCs w:val="16"/>
              </w:rPr>
              <w:t>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669E9E0A" w14:textId="77777777" w:rsidR="00EA61D7" w:rsidRPr="00F33D7D" w:rsidRDefault="00EA61D7" w:rsidP="00F33D7D">
            <w:pPr>
              <w:spacing w:after="0" w:line="240" w:lineRule="auto"/>
              <w:jc w:val="right"/>
              <w:rPr>
                <w:rFonts w:cs="Arial"/>
                <w:sz w:val="16"/>
                <w:szCs w:val="16"/>
              </w:rPr>
            </w:pPr>
            <w:r w:rsidRPr="00F33D7D">
              <w:rPr>
                <w:rFonts w:cs="Arial"/>
                <w:sz w:val="16"/>
                <w:szCs w:val="16"/>
              </w:rPr>
              <w:t>60.000,00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6E21D5DF" w14:textId="77777777" w:rsidR="00EA61D7" w:rsidRPr="00F33D7D" w:rsidRDefault="00EA61D7" w:rsidP="00F33D7D">
            <w:pPr>
              <w:spacing w:after="0" w:line="240" w:lineRule="auto"/>
              <w:jc w:val="right"/>
              <w:rPr>
                <w:rFonts w:cs="Arial"/>
                <w:sz w:val="16"/>
                <w:szCs w:val="16"/>
              </w:rPr>
            </w:pPr>
            <w:r w:rsidRPr="00F33D7D">
              <w:rPr>
                <w:rFonts w:cs="Arial"/>
                <w:sz w:val="16"/>
                <w:szCs w:val="16"/>
              </w:rPr>
              <w:t>17.400,00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2316CFF6" w14:textId="430772F0" w:rsidR="00EA61D7" w:rsidRPr="00F33D7D" w:rsidRDefault="00EA61D7" w:rsidP="00F33D7D">
            <w:pPr>
              <w:spacing w:after="0" w:line="240" w:lineRule="auto"/>
              <w:jc w:val="right"/>
              <w:rPr>
                <w:rFonts w:cs="Arial"/>
                <w:sz w:val="16"/>
                <w:szCs w:val="16"/>
              </w:rPr>
            </w:pPr>
            <w:r w:rsidRPr="00F33D7D">
              <w:rPr>
                <w:rFonts w:cs="Arial"/>
                <w:sz w:val="16"/>
                <w:szCs w:val="16"/>
              </w:rPr>
              <w:t>29,00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3D34E543" w14:textId="77777777" w:rsidR="00EA61D7" w:rsidRPr="00F33D7D" w:rsidRDefault="00EA61D7" w:rsidP="00F33D7D">
            <w:pPr>
              <w:spacing w:after="0" w:line="240" w:lineRule="auto"/>
              <w:jc w:val="right"/>
              <w:rPr>
                <w:rFonts w:cs="Arial"/>
                <w:sz w:val="16"/>
                <w:szCs w:val="16"/>
              </w:rPr>
            </w:pPr>
            <w:r w:rsidRPr="00F33D7D">
              <w:rPr>
                <w:rFonts w:cs="Arial"/>
                <w:sz w:val="16"/>
                <w:szCs w:val="16"/>
              </w:rPr>
              <w:t>580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314C0D76" w14:textId="500896F1" w:rsidR="00EA61D7" w:rsidRPr="00F33D7D" w:rsidRDefault="00EA61D7" w:rsidP="00F33D7D">
            <w:pPr>
              <w:spacing w:after="0" w:line="240" w:lineRule="auto"/>
              <w:jc w:val="right"/>
              <w:rPr>
                <w:rFonts w:cs="Arial"/>
                <w:sz w:val="16"/>
                <w:szCs w:val="16"/>
              </w:rPr>
            </w:pPr>
            <w:r w:rsidRPr="00F33D7D">
              <w:rPr>
                <w:rFonts w:cs="Arial"/>
                <w:sz w:val="16"/>
                <w:szCs w:val="16"/>
              </w:rPr>
              <w:t>30,00</w:t>
            </w:r>
          </w:p>
        </w:tc>
      </w:tr>
      <w:tr w:rsidR="00DE23FF" w:rsidRPr="002F06DF" w14:paraId="42607141"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0B318942" w14:textId="218F0F04" w:rsidR="00EA61D7" w:rsidRPr="002F06DF" w:rsidRDefault="00EA61D7" w:rsidP="00EA61D7">
            <w:pPr>
              <w:spacing w:after="0" w:line="240" w:lineRule="auto"/>
              <w:jc w:val="left"/>
              <w:rPr>
                <w:rFonts w:cs="Arial"/>
                <w:sz w:val="16"/>
                <w:szCs w:val="16"/>
              </w:rPr>
            </w:pPr>
            <w:r w:rsidRPr="002F06DF">
              <w:rPr>
                <w:rFonts w:cs="Arial"/>
                <w:sz w:val="16"/>
                <w:szCs w:val="16"/>
              </w:rPr>
              <w:t>Δημοτική Επιχείρηση Λίμνης Ιωαννίνων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066B509E" w14:textId="77777777" w:rsidR="00EA61D7" w:rsidRPr="00F33D7D" w:rsidRDefault="00EA61D7" w:rsidP="00F33D7D">
            <w:pPr>
              <w:spacing w:after="0" w:line="240" w:lineRule="auto"/>
              <w:jc w:val="right"/>
              <w:rPr>
                <w:rFonts w:cs="Arial"/>
                <w:sz w:val="16"/>
                <w:szCs w:val="16"/>
              </w:rPr>
            </w:pPr>
            <w:r w:rsidRPr="00F33D7D">
              <w:rPr>
                <w:rFonts w:cs="Arial"/>
                <w:sz w:val="16"/>
                <w:szCs w:val="16"/>
              </w:rPr>
              <w:t>164.736,00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5E00743F" w14:textId="77777777" w:rsidR="00EA61D7" w:rsidRPr="00F33D7D" w:rsidRDefault="00EA61D7" w:rsidP="00F33D7D">
            <w:pPr>
              <w:spacing w:after="0" w:line="240" w:lineRule="auto"/>
              <w:jc w:val="right"/>
              <w:rPr>
                <w:rFonts w:cs="Arial"/>
                <w:sz w:val="16"/>
                <w:szCs w:val="16"/>
              </w:rPr>
            </w:pPr>
            <w:r w:rsidRPr="00F33D7D">
              <w:rPr>
                <w:rFonts w:cs="Arial"/>
                <w:sz w:val="16"/>
                <w:szCs w:val="16"/>
              </w:rPr>
              <w:t>17.840,91</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52786D3A" w14:textId="0FD127B3" w:rsidR="00EA61D7" w:rsidRPr="00F33D7D" w:rsidRDefault="00EA61D7" w:rsidP="00F33D7D">
            <w:pPr>
              <w:spacing w:after="0" w:line="240" w:lineRule="auto"/>
              <w:jc w:val="right"/>
              <w:rPr>
                <w:rFonts w:cs="Arial"/>
                <w:sz w:val="16"/>
                <w:szCs w:val="16"/>
              </w:rPr>
            </w:pPr>
            <w:r w:rsidRPr="00F33D7D">
              <w:rPr>
                <w:rFonts w:cs="Arial"/>
                <w:sz w:val="16"/>
                <w:szCs w:val="16"/>
              </w:rPr>
              <w:t>10,83</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710329D3" w14:textId="77777777" w:rsidR="00EA61D7" w:rsidRPr="00F33D7D" w:rsidRDefault="00EA61D7" w:rsidP="00F33D7D">
            <w:pPr>
              <w:spacing w:after="0" w:line="240" w:lineRule="auto"/>
              <w:jc w:val="right"/>
              <w:rPr>
                <w:rFonts w:cs="Arial"/>
                <w:sz w:val="16"/>
                <w:szCs w:val="16"/>
              </w:rPr>
            </w:pPr>
            <w:r w:rsidRPr="00F33D7D">
              <w:rPr>
                <w:rFonts w:cs="Arial"/>
                <w:sz w:val="16"/>
                <w:szCs w:val="16"/>
              </w:rPr>
              <w:t>5.718</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2168891A" w14:textId="5A69D3B6" w:rsidR="00EA61D7" w:rsidRPr="00F33D7D" w:rsidRDefault="00EA61D7" w:rsidP="00F33D7D">
            <w:pPr>
              <w:spacing w:after="0" w:line="240" w:lineRule="auto"/>
              <w:jc w:val="right"/>
              <w:rPr>
                <w:rFonts w:cs="Arial"/>
                <w:sz w:val="16"/>
                <w:szCs w:val="16"/>
              </w:rPr>
            </w:pPr>
            <w:r w:rsidRPr="00F33D7D">
              <w:rPr>
                <w:rFonts w:cs="Arial"/>
                <w:sz w:val="16"/>
                <w:szCs w:val="16"/>
              </w:rPr>
              <w:t>3,12</w:t>
            </w:r>
          </w:p>
        </w:tc>
      </w:tr>
      <w:tr w:rsidR="00DE23FF" w:rsidRPr="002F06DF" w14:paraId="77389C54"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08E5970B" w14:textId="12BE0A09" w:rsidR="00EA61D7" w:rsidRPr="002F06DF" w:rsidRDefault="0020766A" w:rsidP="00EA61D7">
            <w:pPr>
              <w:spacing w:after="0" w:line="240" w:lineRule="auto"/>
              <w:jc w:val="left"/>
              <w:rPr>
                <w:rFonts w:cs="Arial"/>
                <w:sz w:val="16"/>
                <w:szCs w:val="16"/>
              </w:rPr>
            </w:pPr>
            <w:r w:rsidRPr="00687508">
              <w:rPr>
                <w:rFonts w:cs="Arial"/>
                <w:sz w:val="16"/>
                <w:szCs w:val="16"/>
              </w:rPr>
              <w:t xml:space="preserve">Δημόσια Επιχείρηση Πολεοδομίας </w:t>
            </w:r>
            <w:r>
              <w:rPr>
                <w:rFonts w:cs="Arial"/>
                <w:sz w:val="16"/>
                <w:szCs w:val="16"/>
              </w:rPr>
              <w:t>και</w:t>
            </w:r>
            <w:r w:rsidRPr="00687508">
              <w:rPr>
                <w:rFonts w:cs="Arial"/>
                <w:sz w:val="16"/>
                <w:szCs w:val="16"/>
              </w:rPr>
              <w:t xml:space="preserve"> Στέγασης (ΔΕΠΟΣ)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6AE03EF6" w14:textId="77777777" w:rsidR="00EA61D7" w:rsidRPr="00F33D7D" w:rsidRDefault="00EA61D7" w:rsidP="00F33D7D">
            <w:pPr>
              <w:spacing w:after="0" w:line="240" w:lineRule="auto"/>
              <w:jc w:val="right"/>
              <w:rPr>
                <w:rFonts w:cs="Arial"/>
                <w:sz w:val="16"/>
                <w:szCs w:val="16"/>
              </w:rPr>
            </w:pPr>
            <w:r w:rsidRPr="00F33D7D">
              <w:rPr>
                <w:rFonts w:cs="Arial"/>
                <w:sz w:val="16"/>
                <w:szCs w:val="16"/>
              </w:rPr>
              <w:t>13.006.822,00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37DC4586" w14:textId="77777777" w:rsidR="00EA61D7" w:rsidRPr="00F33D7D" w:rsidRDefault="00EA61D7" w:rsidP="00F33D7D">
            <w:pPr>
              <w:spacing w:after="0" w:line="240" w:lineRule="auto"/>
              <w:jc w:val="right"/>
              <w:rPr>
                <w:rFonts w:cs="Arial"/>
                <w:sz w:val="16"/>
                <w:szCs w:val="16"/>
              </w:rPr>
            </w:pPr>
            <w:r w:rsidRPr="00F33D7D">
              <w:rPr>
                <w:rFonts w:cs="Arial"/>
                <w:sz w:val="16"/>
                <w:szCs w:val="16"/>
              </w:rPr>
              <w:t>13.006.822,00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1863FDB9" w14:textId="65ECAE94"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4F096617" w14:textId="77777777" w:rsidR="00EA61D7" w:rsidRPr="00F33D7D" w:rsidRDefault="00EA61D7" w:rsidP="00F33D7D">
            <w:pPr>
              <w:spacing w:after="0" w:line="240" w:lineRule="auto"/>
              <w:jc w:val="right"/>
              <w:rPr>
                <w:rFonts w:cs="Arial"/>
                <w:sz w:val="16"/>
                <w:szCs w:val="16"/>
              </w:rPr>
            </w:pPr>
            <w:r w:rsidRPr="00F33D7D">
              <w:rPr>
                <w:rFonts w:cs="Arial"/>
                <w:sz w:val="16"/>
                <w:szCs w:val="16"/>
              </w:rPr>
              <w:t>1</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369E6FED" w14:textId="7A19A134" w:rsidR="00EA61D7" w:rsidRPr="00F33D7D" w:rsidRDefault="00EA61D7" w:rsidP="00F33D7D">
            <w:pPr>
              <w:spacing w:after="0" w:line="240" w:lineRule="auto"/>
              <w:jc w:val="right"/>
              <w:rPr>
                <w:rFonts w:cs="Arial"/>
                <w:sz w:val="16"/>
                <w:szCs w:val="16"/>
              </w:rPr>
            </w:pPr>
            <w:r w:rsidRPr="00F33D7D">
              <w:rPr>
                <w:rFonts w:cs="Arial"/>
                <w:sz w:val="16"/>
                <w:szCs w:val="16"/>
              </w:rPr>
              <w:t>13.006.822,00</w:t>
            </w:r>
          </w:p>
        </w:tc>
      </w:tr>
      <w:tr w:rsidR="00DE23FF" w:rsidRPr="002F06DF" w14:paraId="1D06AC0A"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51D23C6C" w14:textId="02D7E1DF" w:rsidR="00EA61D7" w:rsidRPr="002F06DF" w:rsidRDefault="0020766A" w:rsidP="0020766A">
            <w:pPr>
              <w:spacing w:after="0" w:line="276" w:lineRule="auto"/>
              <w:jc w:val="left"/>
              <w:rPr>
                <w:rFonts w:cs="Arial"/>
                <w:sz w:val="16"/>
                <w:szCs w:val="16"/>
              </w:rPr>
            </w:pPr>
            <w:r w:rsidRPr="00687508">
              <w:rPr>
                <w:rFonts w:cs="Arial"/>
                <w:sz w:val="16"/>
                <w:szCs w:val="16"/>
              </w:rPr>
              <w:t>Ελληνικά Συστήματα Πληροφορικής (ΕΛΣΥΠ) ΑΕ</w:t>
            </w:r>
            <w:r>
              <w:rPr>
                <w:rFonts w:cs="Arial"/>
                <w:sz w:val="16"/>
                <w:szCs w:val="16"/>
              </w:rPr>
              <w:t xml:space="preserve"> </w:t>
            </w:r>
            <w:r w:rsidRPr="00687508">
              <w:rPr>
                <w:rFonts w:cs="Arial"/>
                <w:sz w:val="16"/>
                <w:szCs w:val="16"/>
              </w:rPr>
              <w:t xml:space="preserve">(προήλθε από </w:t>
            </w:r>
            <w:r>
              <w:rPr>
                <w:rFonts w:cs="Arial"/>
                <w:sz w:val="16"/>
                <w:szCs w:val="16"/>
              </w:rPr>
              <w:t xml:space="preserve">την </w:t>
            </w:r>
            <w:r w:rsidRPr="00687508">
              <w:rPr>
                <w:rFonts w:cs="Arial"/>
                <w:sz w:val="16"/>
                <w:szCs w:val="16"/>
              </w:rPr>
              <w:t xml:space="preserve">κατάργηση </w:t>
            </w:r>
            <w:r>
              <w:rPr>
                <w:rFonts w:cs="Arial"/>
                <w:sz w:val="16"/>
                <w:szCs w:val="16"/>
              </w:rPr>
              <w:t xml:space="preserve">του </w:t>
            </w:r>
            <w:r w:rsidRPr="00687508">
              <w:rPr>
                <w:rFonts w:cs="Arial"/>
                <w:sz w:val="16"/>
                <w:szCs w:val="16"/>
              </w:rPr>
              <w:t>ΕΟΜΜΕΧ)</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0964E975" w14:textId="77777777" w:rsidR="00EA61D7" w:rsidRPr="00F33D7D" w:rsidRDefault="00EA61D7" w:rsidP="00F33D7D">
            <w:pPr>
              <w:spacing w:after="0" w:line="240" w:lineRule="auto"/>
              <w:jc w:val="right"/>
              <w:rPr>
                <w:rFonts w:cs="Arial"/>
                <w:sz w:val="16"/>
                <w:szCs w:val="16"/>
              </w:rPr>
            </w:pPr>
            <w:r w:rsidRPr="00F33D7D">
              <w:rPr>
                <w:rFonts w:cs="Arial"/>
                <w:sz w:val="16"/>
                <w:szCs w:val="16"/>
              </w:rPr>
              <w:t>784.551,60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7F5CE865" w14:textId="77777777" w:rsidR="00EA61D7" w:rsidRPr="00F33D7D" w:rsidRDefault="00EA61D7" w:rsidP="00F33D7D">
            <w:pPr>
              <w:spacing w:after="0" w:line="240" w:lineRule="auto"/>
              <w:jc w:val="right"/>
              <w:rPr>
                <w:rFonts w:cs="Arial"/>
                <w:sz w:val="16"/>
                <w:szCs w:val="16"/>
              </w:rPr>
            </w:pPr>
            <w:r w:rsidRPr="00F33D7D">
              <w:rPr>
                <w:rFonts w:cs="Arial"/>
                <w:sz w:val="16"/>
                <w:szCs w:val="16"/>
              </w:rPr>
              <w:t>159.891,62</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2A4C620E" w14:textId="43F25894" w:rsidR="00EA61D7" w:rsidRPr="00F33D7D" w:rsidRDefault="00EA61D7" w:rsidP="00F33D7D">
            <w:pPr>
              <w:spacing w:after="0" w:line="240" w:lineRule="auto"/>
              <w:jc w:val="right"/>
              <w:rPr>
                <w:rFonts w:cs="Arial"/>
                <w:sz w:val="16"/>
                <w:szCs w:val="16"/>
              </w:rPr>
            </w:pPr>
            <w:r w:rsidRPr="00F33D7D">
              <w:rPr>
                <w:rFonts w:cs="Arial"/>
                <w:sz w:val="16"/>
                <w:szCs w:val="16"/>
              </w:rPr>
              <w:t>20,38</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4F5A7433" w14:textId="7569E3CA" w:rsidR="00EA61D7" w:rsidRPr="00F33D7D" w:rsidRDefault="00EA61D7" w:rsidP="00F33D7D">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5C289C72" w14:textId="7A54AFD8" w:rsidR="00EA61D7" w:rsidRPr="00F33D7D" w:rsidRDefault="00EA61D7" w:rsidP="00F33D7D">
            <w:pPr>
              <w:spacing w:after="0" w:line="240" w:lineRule="auto"/>
              <w:jc w:val="right"/>
              <w:rPr>
                <w:rFonts w:cs="Arial"/>
                <w:sz w:val="16"/>
                <w:szCs w:val="16"/>
              </w:rPr>
            </w:pPr>
          </w:p>
        </w:tc>
      </w:tr>
      <w:tr w:rsidR="00DE23FF" w:rsidRPr="002F06DF" w14:paraId="6AE1B18D" w14:textId="77777777" w:rsidTr="00C52316">
        <w:trPr>
          <w:cantSplit/>
          <w:trHeight w:val="210"/>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58F5EC90" w14:textId="77777777" w:rsidR="0020766A" w:rsidRDefault="0020766A" w:rsidP="0020766A">
            <w:pPr>
              <w:spacing w:after="0" w:line="276" w:lineRule="auto"/>
              <w:jc w:val="left"/>
              <w:rPr>
                <w:rFonts w:cs="Arial"/>
                <w:sz w:val="16"/>
                <w:szCs w:val="16"/>
              </w:rPr>
            </w:pPr>
            <w:r w:rsidRPr="00687508">
              <w:rPr>
                <w:rFonts w:cs="Arial"/>
                <w:sz w:val="16"/>
                <w:szCs w:val="16"/>
              </w:rPr>
              <w:t>Ελληνική Αναπτυξιακή Εταιρεία Επενδύσεων</w:t>
            </w:r>
          </w:p>
          <w:p w14:paraId="2402C151" w14:textId="6D813B9B" w:rsidR="00EA61D7" w:rsidRPr="002F06DF" w:rsidRDefault="0020766A" w:rsidP="0020766A">
            <w:pPr>
              <w:spacing w:after="0" w:line="240" w:lineRule="auto"/>
              <w:jc w:val="left"/>
              <w:rPr>
                <w:rFonts w:cs="Arial"/>
                <w:sz w:val="16"/>
                <w:szCs w:val="16"/>
              </w:rPr>
            </w:pPr>
            <w:r w:rsidRPr="00687508">
              <w:rPr>
                <w:rFonts w:cs="Arial"/>
                <w:sz w:val="16"/>
                <w:szCs w:val="16"/>
              </w:rPr>
              <w:t>(ΕΑΕΕ)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18BF176C" w14:textId="77777777" w:rsidR="00EA61D7" w:rsidRPr="00F33D7D" w:rsidRDefault="00EA61D7" w:rsidP="00F33D7D">
            <w:pPr>
              <w:spacing w:after="0" w:line="240" w:lineRule="auto"/>
              <w:jc w:val="right"/>
              <w:rPr>
                <w:rFonts w:cs="Arial"/>
                <w:sz w:val="16"/>
                <w:szCs w:val="16"/>
              </w:rPr>
            </w:pPr>
            <w:r w:rsidRPr="00F33D7D">
              <w:rPr>
                <w:rFonts w:cs="Arial"/>
                <w:sz w:val="16"/>
                <w:szCs w:val="16"/>
              </w:rPr>
              <w:t>26.208.640,00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75F23949" w14:textId="77777777" w:rsidR="00EA61D7" w:rsidRPr="00F33D7D" w:rsidRDefault="00EA61D7" w:rsidP="00F33D7D">
            <w:pPr>
              <w:spacing w:after="0" w:line="240" w:lineRule="auto"/>
              <w:jc w:val="right"/>
              <w:rPr>
                <w:rFonts w:cs="Arial"/>
                <w:sz w:val="16"/>
                <w:szCs w:val="16"/>
              </w:rPr>
            </w:pPr>
            <w:r w:rsidRPr="00F33D7D">
              <w:rPr>
                <w:rFonts w:cs="Arial"/>
                <w:sz w:val="16"/>
                <w:szCs w:val="16"/>
              </w:rPr>
              <w:t>26.208.640,00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688CA86B" w14:textId="433D066C" w:rsidR="00EA61D7" w:rsidRPr="00F33D7D" w:rsidRDefault="00EA61D7" w:rsidP="00F33D7D">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7725F74C" w14:textId="77777777" w:rsidR="00EA61D7" w:rsidRPr="00F33D7D" w:rsidRDefault="00EA61D7" w:rsidP="00F33D7D">
            <w:pPr>
              <w:spacing w:after="0" w:line="240" w:lineRule="auto"/>
              <w:jc w:val="right"/>
              <w:rPr>
                <w:rFonts w:cs="Arial"/>
                <w:sz w:val="16"/>
                <w:szCs w:val="16"/>
              </w:rPr>
            </w:pPr>
            <w:r w:rsidRPr="00F33D7D">
              <w:rPr>
                <w:rFonts w:cs="Arial"/>
                <w:sz w:val="16"/>
                <w:szCs w:val="16"/>
              </w:rPr>
              <w:t>2.642.000</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068D0411" w14:textId="71A2881E" w:rsidR="00EA61D7" w:rsidRPr="00F33D7D" w:rsidRDefault="00EA61D7" w:rsidP="00F33D7D">
            <w:pPr>
              <w:spacing w:after="0" w:line="240" w:lineRule="auto"/>
              <w:jc w:val="right"/>
              <w:rPr>
                <w:rFonts w:cs="Arial"/>
                <w:sz w:val="16"/>
                <w:szCs w:val="16"/>
              </w:rPr>
            </w:pPr>
            <w:r w:rsidRPr="00F33D7D">
              <w:rPr>
                <w:rFonts w:cs="Arial"/>
                <w:sz w:val="16"/>
                <w:szCs w:val="16"/>
              </w:rPr>
              <w:t>9,92</w:t>
            </w:r>
          </w:p>
        </w:tc>
      </w:tr>
      <w:tr w:rsidR="00DE23FF" w:rsidRPr="002F06DF" w14:paraId="391AE671"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0EC5D498" w14:textId="77777777" w:rsidR="0020766A" w:rsidRDefault="0020766A" w:rsidP="0020766A">
            <w:pPr>
              <w:spacing w:after="0" w:line="276" w:lineRule="auto"/>
              <w:jc w:val="left"/>
              <w:rPr>
                <w:rFonts w:cs="Arial"/>
                <w:sz w:val="16"/>
                <w:szCs w:val="16"/>
              </w:rPr>
            </w:pPr>
            <w:r w:rsidRPr="00687508">
              <w:rPr>
                <w:rFonts w:cs="Arial"/>
                <w:sz w:val="16"/>
                <w:szCs w:val="16"/>
              </w:rPr>
              <w:t>Ελληνικό Κέντρο Αργιλ</w:t>
            </w:r>
            <w:r>
              <w:rPr>
                <w:rFonts w:cs="Arial"/>
                <w:sz w:val="16"/>
                <w:szCs w:val="16"/>
              </w:rPr>
              <w:t>λ</w:t>
            </w:r>
            <w:r w:rsidRPr="00687508">
              <w:rPr>
                <w:rFonts w:cs="Arial"/>
                <w:sz w:val="16"/>
                <w:szCs w:val="16"/>
              </w:rPr>
              <w:t>ομάζης (ΕΛΚΕΑ) ΑΕ</w:t>
            </w:r>
          </w:p>
          <w:p w14:paraId="6F6562F5" w14:textId="5679715B" w:rsidR="00EA61D7" w:rsidRPr="002F06DF" w:rsidRDefault="0020766A" w:rsidP="0020766A">
            <w:pPr>
              <w:spacing w:after="0" w:line="240" w:lineRule="auto"/>
              <w:jc w:val="left"/>
              <w:rPr>
                <w:rFonts w:cs="Arial"/>
                <w:sz w:val="16"/>
                <w:szCs w:val="16"/>
              </w:rPr>
            </w:pPr>
            <w:r w:rsidRPr="00687508">
              <w:rPr>
                <w:rFonts w:cs="Arial"/>
                <w:sz w:val="16"/>
                <w:szCs w:val="16"/>
              </w:rPr>
              <w:t xml:space="preserve">(προήλθε από </w:t>
            </w:r>
            <w:r>
              <w:rPr>
                <w:rFonts w:cs="Arial"/>
                <w:sz w:val="16"/>
                <w:szCs w:val="16"/>
              </w:rPr>
              <w:t xml:space="preserve">την </w:t>
            </w:r>
            <w:r w:rsidRPr="00687508">
              <w:rPr>
                <w:rFonts w:cs="Arial"/>
                <w:sz w:val="16"/>
                <w:szCs w:val="16"/>
              </w:rPr>
              <w:t xml:space="preserve">κατάργηση </w:t>
            </w:r>
            <w:r>
              <w:rPr>
                <w:rFonts w:cs="Arial"/>
                <w:sz w:val="16"/>
                <w:szCs w:val="16"/>
              </w:rPr>
              <w:t xml:space="preserve">του </w:t>
            </w:r>
            <w:r w:rsidRPr="00687508">
              <w:rPr>
                <w:rFonts w:cs="Arial"/>
                <w:sz w:val="16"/>
                <w:szCs w:val="16"/>
              </w:rPr>
              <w:t>ΕΟΜΜΕΧ)</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1F925135" w14:textId="77777777" w:rsidR="00EA61D7" w:rsidRPr="00F33D7D" w:rsidRDefault="00EA61D7" w:rsidP="00F33D7D">
            <w:pPr>
              <w:spacing w:after="0" w:line="240" w:lineRule="auto"/>
              <w:jc w:val="right"/>
              <w:rPr>
                <w:rFonts w:cs="Arial"/>
                <w:sz w:val="16"/>
                <w:szCs w:val="16"/>
              </w:rPr>
            </w:pPr>
            <w:r w:rsidRPr="00F33D7D">
              <w:rPr>
                <w:rFonts w:cs="Arial"/>
                <w:sz w:val="16"/>
                <w:szCs w:val="16"/>
              </w:rPr>
              <w:t>1.444.393,00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4B423000" w14:textId="77777777" w:rsidR="00EA61D7" w:rsidRPr="00F33D7D" w:rsidRDefault="00EA61D7" w:rsidP="00F33D7D">
            <w:pPr>
              <w:spacing w:after="0" w:line="240" w:lineRule="auto"/>
              <w:jc w:val="right"/>
              <w:rPr>
                <w:rFonts w:cs="Arial"/>
                <w:sz w:val="16"/>
                <w:szCs w:val="16"/>
              </w:rPr>
            </w:pPr>
            <w:r w:rsidRPr="00F33D7D">
              <w:rPr>
                <w:rFonts w:cs="Arial"/>
                <w:sz w:val="16"/>
                <w:szCs w:val="16"/>
              </w:rPr>
              <w:t>1.092.539,00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4538505C" w14:textId="172C4337" w:rsidR="00EA61D7" w:rsidRPr="00F33D7D" w:rsidRDefault="00EA61D7" w:rsidP="00F33D7D">
            <w:pPr>
              <w:spacing w:after="0" w:line="240" w:lineRule="auto"/>
              <w:jc w:val="right"/>
              <w:rPr>
                <w:rFonts w:cs="Arial"/>
                <w:sz w:val="16"/>
                <w:szCs w:val="16"/>
              </w:rPr>
            </w:pPr>
            <w:r w:rsidRPr="00F33D7D">
              <w:rPr>
                <w:rFonts w:cs="Arial"/>
                <w:sz w:val="16"/>
                <w:szCs w:val="16"/>
              </w:rPr>
              <w:t>75,64</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1C6FA387" w14:textId="1DEAEE3A" w:rsidR="00EA61D7" w:rsidRPr="00F33D7D" w:rsidRDefault="00EA61D7" w:rsidP="00F33D7D">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01E13E2D" w14:textId="58C1EB2E" w:rsidR="00EA61D7" w:rsidRPr="00F33D7D" w:rsidRDefault="00EA61D7" w:rsidP="00F33D7D">
            <w:pPr>
              <w:spacing w:after="0" w:line="240" w:lineRule="auto"/>
              <w:jc w:val="right"/>
              <w:rPr>
                <w:rFonts w:cs="Arial"/>
                <w:sz w:val="16"/>
                <w:szCs w:val="16"/>
              </w:rPr>
            </w:pPr>
          </w:p>
        </w:tc>
      </w:tr>
      <w:tr w:rsidR="0020766A" w:rsidRPr="002F06DF" w14:paraId="5C8E304B"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5852CEA1" w14:textId="77777777" w:rsidR="0020766A" w:rsidRDefault="0020766A" w:rsidP="0020766A">
            <w:pPr>
              <w:spacing w:after="0" w:line="276" w:lineRule="auto"/>
              <w:jc w:val="left"/>
              <w:rPr>
                <w:rFonts w:cs="Arial"/>
                <w:sz w:val="16"/>
                <w:szCs w:val="16"/>
              </w:rPr>
            </w:pPr>
            <w:r w:rsidRPr="00687508">
              <w:rPr>
                <w:rFonts w:cs="Arial"/>
                <w:sz w:val="16"/>
                <w:szCs w:val="16"/>
              </w:rPr>
              <w:t>Ελληνικό Κέντρο Αργυροχρυσοχοΐας (ΕΛΚΑ) ΑΕ</w:t>
            </w:r>
          </w:p>
          <w:p w14:paraId="58074954" w14:textId="7BCDCD54" w:rsidR="0020766A" w:rsidRPr="002F06DF" w:rsidRDefault="0020766A" w:rsidP="0020766A">
            <w:pPr>
              <w:spacing w:after="0" w:line="240" w:lineRule="auto"/>
              <w:jc w:val="left"/>
              <w:rPr>
                <w:rFonts w:cs="Arial"/>
                <w:sz w:val="16"/>
                <w:szCs w:val="16"/>
              </w:rPr>
            </w:pPr>
            <w:r w:rsidRPr="00687508">
              <w:rPr>
                <w:rFonts w:cs="Arial"/>
                <w:sz w:val="16"/>
                <w:szCs w:val="16"/>
              </w:rPr>
              <w:t>(προήλθε από</w:t>
            </w:r>
            <w:r>
              <w:rPr>
                <w:rFonts w:cs="Arial"/>
                <w:sz w:val="16"/>
                <w:szCs w:val="16"/>
              </w:rPr>
              <w:t xml:space="preserve"> την</w:t>
            </w:r>
            <w:r w:rsidRPr="00687508">
              <w:rPr>
                <w:rFonts w:cs="Arial"/>
                <w:sz w:val="16"/>
                <w:szCs w:val="16"/>
              </w:rPr>
              <w:t xml:space="preserve"> κατάργηση </w:t>
            </w:r>
            <w:r>
              <w:rPr>
                <w:rFonts w:cs="Arial"/>
                <w:sz w:val="16"/>
                <w:szCs w:val="16"/>
              </w:rPr>
              <w:t xml:space="preserve">του </w:t>
            </w:r>
            <w:r w:rsidRPr="00687508">
              <w:rPr>
                <w:rFonts w:cs="Arial"/>
                <w:sz w:val="16"/>
                <w:szCs w:val="16"/>
              </w:rPr>
              <w:t>ΕΟΜΜΕΧ)</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2A9508EA" w14:textId="77777777" w:rsidR="0020766A" w:rsidRPr="00F33D7D" w:rsidRDefault="0020766A" w:rsidP="0020766A">
            <w:pPr>
              <w:spacing w:after="0" w:line="240" w:lineRule="auto"/>
              <w:jc w:val="right"/>
              <w:rPr>
                <w:rFonts w:cs="Arial"/>
                <w:sz w:val="16"/>
                <w:szCs w:val="16"/>
              </w:rPr>
            </w:pPr>
            <w:r w:rsidRPr="00F33D7D">
              <w:rPr>
                <w:rFonts w:cs="Arial"/>
                <w:sz w:val="16"/>
                <w:szCs w:val="16"/>
              </w:rPr>
              <w:t>58.700,00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3283B3FA" w14:textId="77777777" w:rsidR="0020766A" w:rsidRPr="00F33D7D" w:rsidRDefault="0020766A" w:rsidP="0020766A">
            <w:pPr>
              <w:spacing w:after="0" w:line="240" w:lineRule="auto"/>
              <w:jc w:val="right"/>
              <w:rPr>
                <w:rFonts w:cs="Arial"/>
                <w:sz w:val="16"/>
                <w:szCs w:val="16"/>
              </w:rPr>
            </w:pPr>
            <w:r w:rsidRPr="00F33D7D">
              <w:rPr>
                <w:rFonts w:cs="Arial"/>
                <w:sz w:val="16"/>
                <w:szCs w:val="16"/>
              </w:rPr>
              <w:t>38.712,65</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019C55CA" w14:textId="181B50A0" w:rsidR="0020766A" w:rsidRPr="00F33D7D" w:rsidRDefault="0020766A" w:rsidP="0020766A">
            <w:pPr>
              <w:spacing w:after="0" w:line="240" w:lineRule="auto"/>
              <w:jc w:val="right"/>
              <w:rPr>
                <w:rFonts w:cs="Arial"/>
                <w:sz w:val="16"/>
                <w:szCs w:val="16"/>
              </w:rPr>
            </w:pPr>
            <w:r w:rsidRPr="00F33D7D">
              <w:rPr>
                <w:rFonts w:cs="Arial"/>
                <w:sz w:val="16"/>
                <w:szCs w:val="16"/>
              </w:rPr>
              <w:t>65,95</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6593E34C" w14:textId="226821D3" w:rsidR="0020766A" w:rsidRPr="00F33D7D" w:rsidRDefault="0020766A" w:rsidP="0020766A">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7583CE4C" w14:textId="0FE65487" w:rsidR="0020766A" w:rsidRPr="00F33D7D" w:rsidRDefault="0020766A" w:rsidP="0020766A">
            <w:pPr>
              <w:spacing w:after="0" w:line="240" w:lineRule="auto"/>
              <w:jc w:val="right"/>
              <w:rPr>
                <w:rFonts w:cs="Arial"/>
                <w:sz w:val="16"/>
                <w:szCs w:val="16"/>
              </w:rPr>
            </w:pPr>
          </w:p>
        </w:tc>
      </w:tr>
      <w:tr w:rsidR="0020766A" w:rsidRPr="002F06DF" w14:paraId="53F7A270" w14:textId="77777777" w:rsidTr="00C52316">
        <w:trPr>
          <w:cantSplit/>
          <w:trHeight w:val="313"/>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331B41CD" w14:textId="77777777" w:rsidR="0020766A" w:rsidRDefault="0020766A" w:rsidP="0020766A">
            <w:pPr>
              <w:spacing w:after="0" w:line="276" w:lineRule="auto"/>
              <w:jc w:val="left"/>
              <w:rPr>
                <w:rFonts w:cs="Arial"/>
                <w:sz w:val="16"/>
                <w:szCs w:val="16"/>
              </w:rPr>
            </w:pPr>
            <w:r w:rsidRPr="00687508">
              <w:rPr>
                <w:rFonts w:cs="Arial"/>
                <w:sz w:val="16"/>
                <w:szCs w:val="16"/>
              </w:rPr>
              <w:t xml:space="preserve">ΕΛΚΕΔΕ </w:t>
            </w:r>
            <w:r>
              <w:rPr>
                <w:rFonts w:cs="Arial"/>
                <w:sz w:val="16"/>
                <w:szCs w:val="16"/>
              </w:rPr>
              <w:t xml:space="preserve">Κέντρο </w:t>
            </w:r>
            <w:r w:rsidRPr="00687508">
              <w:rPr>
                <w:rFonts w:cs="Arial"/>
                <w:sz w:val="16"/>
                <w:szCs w:val="16"/>
              </w:rPr>
              <w:t>Τεχνολογίας και Σχεδιασμού ΑΕ</w:t>
            </w:r>
          </w:p>
          <w:p w14:paraId="55DFA2A8" w14:textId="37B81457" w:rsidR="0020766A" w:rsidRPr="002F06DF" w:rsidRDefault="0020766A" w:rsidP="0020766A">
            <w:pPr>
              <w:spacing w:after="0" w:line="240" w:lineRule="auto"/>
              <w:jc w:val="left"/>
              <w:rPr>
                <w:rFonts w:cs="Arial"/>
                <w:sz w:val="16"/>
                <w:szCs w:val="16"/>
              </w:rPr>
            </w:pPr>
            <w:r w:rsidRPr="00687508">
              <w:rPr>
                <w:rFonts w:cs="Arial"/>
                <w:sz w:val="16"/>
                <w:szCs w:val="16"/>
              </w:rPr>
              <w:t xml:space="preserve">(προήλθε από </w:t>
            </w:r>
            <w:r>
              <w:rPr>
                <w:rFonts w:cs="Arial"/>
                <w:sz w:val="16"/>
                <w:szCs w:val="16"/>
              </w:rPr>
              <w:t xml:space="preserve">την </w:t>
            </w:r>
            <w:r w:rsidRPr="00687508">
              <w:rPr>
                <w:rFonts w:cs="Arial"/>
                <w:sz w:val="16"/>
                <w:szCs w:val="16"/>
              </w:rPr>
              <w:t xml:space="preserve">κατάργηση </w:t>
            </w:r>
            <w:r>
              <w:rPr>
                <w:rFonts w:cs="Arial"/>
                <w:sz w:val="16"/>
                <w:szCs w:val="16"/>
              </w:rPr>
              <w:t xml:space="preserve">του </w:t>
            </w:r>
            <w:r w:rsidRPr="00687508">
              <w:rPr>
                <w:rFonts w:cs="Arial"/>
                <w:sz w:val="16"/>
                <w:szCs w:val="16"/>
              </w:rPr>
              <w:t>ΕΟΜΜΕΧ)</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F6FF912" w14:textId="77777777" w:rsidR="0020766A" w:rsidRPr="00F33D7D" w:rsidRDefault="0020766A" w:rsidP="0020766A">
            <w:pPr>
              <w:spacing w:after="0" w:line="240" w:lineRule="auto"/>
              <w:jc w:val="right"/>
              <w:rPr>
                <w:rFonts w:cs="Arial"/>
                <w:sz w:val="16"/>
                <w:szCs w:val="16"/>
              </w:rPr>
            </w:pPr>
            <w:r w:rsidRPr="00F33D7D">
              <w:rPr>
                <w:rFonts w:cs="Arial"/>
                <w:sz w:val="16"/>
                <w:szCs w:val="16"/>
              </w:rPr>
              <w:t>452.577,00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05B312EA" w14:textId="77777777" w:rsidR="0020766A" w:rsidRPr="00F33D7D" w:rsidRDefault="0020766A" w:rsidP="0020766A">
            <w:pPr>
              <w:spacing w:after="0" w:line="240" w:lineRule="auto"/>
              <w:jc w:val="right"/>
              <w:rPr>
                <w:rFonts w:cs="Arial"/>
                <w:sz w:val="16"/>
                <w:szCs w:val="16"/>
              </w:rPr>
            </w:pPr>
            <w:r w:rsidRPr="00F33D7D">
              <w:rPr>
                <w:rFonts w:cs="Arial"/>
                <w:sz w:val="16"/>
                <w:szCs w:val="16"/>
              </w:rPr>
              <w:t>230.859,53</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41E959B9" w14:textId="6AF0D414" w:rsidR="0020766A" w:rsidRPr="00F33D7D" w:rsidRDefault="0020766A" w:rsidP="0020766A">
            <w:pPr>
              <w:spacing w:after="0" w:line="240" w:lineRule="auto"/>
              <w:jc w:val="right"/>
              <w:rPr>
                <w:rFonts w:cs="Arial"/>
                <w:sz w:val="16"/>
                <w:szCs w:val="16"/>
              </w:rPr>
            </w:pPr>
            <w:r w:rsidRPr="00F33D7D">
              <w:rPr>
                <w:rFonts w:cs="Arial"/>
                <w:sz w:val="16"/>
                <w:szCs w:val="16"/>
              </w:rPr>
              <w:t>51,01</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3023E952" w14:textId="12456D5A" w:rsidR="0020766A" w:rsidRPr="00F33D7D" w:rsidRDefault="0020766A" w:rsidP="0020766A">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6CBAC3D5" w14:textId="0C80D2EA" w:rsidR="0020766A" w:rsidRPr="00F33D7D" w:rsidRDefault="0020766A" w:rsidP="0020766A">
            <w:pPr>
              <w:spacing w:after="0" w:line="240" w:lineRule="auto"/>
              <w:jc w:val="right"/>
              <w:rPr>
                <w:rFonts w:cs="Arial"/>
                <w:sz w:val="16"/>
                <w:szCs w:val="16"/>
              </w:rPr>
            </w:pPr>
          </w:p>
        </w:tc>
      </w:tr>
      <w:tr w:rsidR="0020766A" w:rsidRPr="002F06DF" w14:paraId="0A002722"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5E306BD2" w14:textId="77777777" w:rsidR="0020766A" w:rsidRDefault="0020766A" w:rsidP="0020766A">
            <w:pPr>
              <w:spacing w:after="0" w:line="276" w:lineRule="auto"/>
              <w:jc w:val="left"/>
              <w:rPr>
                <w:rFonts w:cs="Arial"/>
                <w:sz w:val="16"/>
                <w:szCs w:val="16"/>
              </w:rPr>
            </w:pPr>
            <w:r w:rsidRPr="00687508">
              <w:rPr>
                <w:rFonts w:cs="Arial"/>
                <w:sz w:val="16"/>
                <w:szCs w:val="16"/>
              </w:rPr>
              <w:t>Ελληνικός Οργανισμός Εξωτερικού Εμπορίου</w:t>
            </w:r>
          </w:p>
          <w:p w14:paraId="5E1F776E" w14:textId="02A54F67" w:rsidR="0020766A" w:rsidRPr="002F06DF" w:rsidRDefault="0020766A" w:rsidP="0020766A">
            <w:pPr>
              <w:spacing w:after="0" w:line="240" w:lineRule="auto"/>
              <w:jc w:val="left"/>
              <w:rPr>
                <w:rFonts w:cs="Arial"/>
                <w:sz w:val="16"/>
                <w:szCs w:val="16"/>
              </w:rPr>
            </w:pPr>
            <w:r w:rsidRPr="00687508">
              <w:rPr>
                <w:rFonts w:cs="Arial"/>
                <w:sz w:val="16"/>
                <w:szCs w:val="16"/>
              </w:rPr>
              <w:t>(ΟΠΕ)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835A182" w14:textId="77777777" w:rsidR="0020766A" w:rsidRPr="00F33D7D" w:rsidRDefault="0020766A" w:rsidP="0020766A">
            <w:pPr>
              <w:spacing w:after="0" w:line="240" w:lineRule="auto"/>
              <w:jc w:val="right"/>
              <w:rPr>
                <w:rFonts w:cs="Arial"/>
                <w:sz w:val="16"/>
                <w:szCs w:val="16"/>
              </w:rPr>
            </w:pPr>
            <w:r w:rsidRPr="00F33D7D">
              <w:rPr>
                <w:rFonts w:cs="Arial"/>
                <w:sz w:val="16"/>
                <w:szCs w:val="16"/>
              </w:rPr>
              <w:t>623.797,00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3C81DD4E" w14:textId="77777777" w:rsidR="0020766A" w:rsidRPr="00F33D7D" w:rsidRDefault="0020766A" w:rsidP="0020766A">
            <w:pPr>
              <w:spacing w:after="0" w:line="240" w:lineRule="auto"/>
              <w:jc w:val="right"/>
              <w:rPr>
                <w:rFonts w:cs="Arial"/>
                <w:sz w:val="16"/>
                <w:szCs w:val="16"/>
              </w:rPr>
            </w:pPr>
            <w:r w:rsidRPr="00F33D7D">
              <w:rPr>
                <w:rFonts w:cs="Arial"/>
                <w:sz w:val="16"/>
                <w:szCs w:val="16"/>
              </w:rPr>
              <w:t>424.181,96</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5D13D486" w14:textId="3404E7D2" w:rsidR="0020766A" w:rsidRPr="00F33D7D" w:rsidRDefault="0020766A" w:rsidP="0020766A">
            <w:pPr>
              <w:spacing w:after="0" w:line="240" w:lineRule="auto"/>
              <w:jc w:val="right"/>
              <w:rPr>
                <w:rFonts w:cs="Arial"/>
                <w:sz w:val="16"/>
                <w:szCs w:val="16"/>
              </w:rPr>
            </w:pPr>
            <w:r w:rsidRPr="00F33D7D">
              <w:rPr>
                <w:rFonts w:cs="Arial"/>
                <w:sz w:val="16"/>
                <w:szCs w:val="16"/>
              </w:rPr>
              <w:t>68,00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5CCCF4B1" w14:textId="77777777" w:rsidR="0020766A" w:rsidRPr="00F33D7D" w:rsidRDefault="0020766A" w:rsidP="0020766A">
            <w:pPr>
              <w:spacing w:after="0" w:line="240" w:lineRule="auto"/>
              <w:jc w:val="right"/>
              <w:rPr>
                <w:rFonts w:cs="Arial"/>
                <w:sz w:val="16"/>
                <w:szCs w:val="16"/>
              </w:rPr>
            </w:pPr>
            <w:r w:rsidRPr="00F33D7D">
              <w:rPr>
                <w:rFonts w:cs="Arial"/>
                <w:sz w:val="16"/>
                <w:szCs w:val="16"/>
              </w:rPr>
              <w:t>144.772</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3DD4063D" w14:textId="35DADE55" w:rsidR="0020766A" w:rsidRPr="00F33D7D" w:rsidRDefault="0020766A" w:rsidP="0020766A">
            <w:pPr>
              <w:spacing w:after="0" w:line="240" w:lineRule="auto"/>
              <w:jc w:val="right"/>
              <w:rPr>
                <w:rFonts w:cs="Arial"/>
                <w:sz w:val="16"/>
                <w:szCs w:val="16"/>
              </w:rPr>
            </w:pPr>
            <w:r w:rsidRPr="00F33D7D">
              <w:rPr>
                <w:rFonts w:cs="Arial"/>
                <w:sz w:val="16"/>
                <w:szCs w:val="16"/>
              </w:rPr>
              <w:t>2,93</w:t>
            </w:r>
          </w:p>
        </w:tc>
      </w:tr>
      <w:tr w:rsidR="0020766A" w:rsidRPr="002F06DF" w14:paraId="2A8CE168" w14:textId="77777777" w:rsidTr="00C52316">
        <w:trPr>
          <w:cantSplit/>
          <w:trHeight w:val="307"/>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42E9F614" w14:textId="747E0D4A" w:rsidR="0020766A" w:rsidRPr="002F06DF" w:rsidRDefault="0020766A" w:rsidP="0020766A">
            <w:pPr>
              <w:spacing w:after="0" w:line="240" w:lineRule="auto"/>
              <w:jc w:val="left"/>
              <w:rPr>
                <w:rFonts w:cs="Arial"/>
                <w:sz w:val="16"/>
                <w:szCs w:val="16"/>
              </w:rPr>
            </w:pPr>
            <w:r w:rsidRPr="00687508">
              <w:rPr>
                <w:rFonts w:cs="Arial"/>
                <w:color w:val="000000"/>
                <w:sz w:val="16"/>
                <w:szCs w:val="16"/>
              </w:rPr>
              <w:t>Ενοποίηση Αρχαιολογικών Χώρων και Αναπλάσεις</w:t>
            </w:r>
            <w:r>
              <w:rPr>
                <w:rFonts w:cs="Arial"/>
                <w:color w:val="000000"/>
                <w:sz w:val="16"/>
                <w:szCs w:val="16"/>
              </w:rPr>
              <w:t xml:space="preserve"> (ΕΑΧΑ)</w:t>
            </w:r>
            <w:r w:rsidRPr="00687508">
              <w:rPr>
                <w:rFonts w:cs="Arial"/>
                <w:color w:val="000000"/>
                <w:sz w:val="16"/>
                <w:szCs w:val="16"/>
              </w:rPr>
              <w:t xml:space="preserve"> ΑΕ (</w:t>
            </w:r>
            <w:r>
              <w:rPr>
                <w:rFonts w:cs="Arial"/>
                <w:color w:val="000000"/>
                <w:sz w:val="16"/>
                <w:szCs w:val="16"/>
              </w:rPr>
              <w:t xml:space="preserve">καταργήθηκε με το άρθρο </w:t>
            </w:r>
            <w:r w:rsidRPr="00687508">
              <w:rPr>
                <w:rFonts w:cs="Arial"/>
                <w:color w:val="000000"/>
                <w:sz w:val="16"/>
                <w:szCs w:val="16"/>
              </w:rPr>
              <w:t xml:space="preserve">7 του </w:t>
            </w:r>
            <w:r>
              <w:rPr>
                <w:rFonts w:cs="Arial"/>
                <w:color w:val="000000"/>
                <w:sz w:val="16"/>
                <w:szCs w:val="16"/>
              </w:rPr>
              <w:t>ν</w:t>
            </w:r>
            <w:r w:rsidRPr="00687508">
              <w:rPr>
                <w:rFonts w:cs="Arial"/>
                <w:color w:val="000000"/>
                <w:sz w:val="16"/>
                <w:szCs w:val="16"/>
              </w:rPr>
              <w:t>.4250/2014</w:t>
            </w:r>
            <w:r>
              <w:rPr>
                <w:rFonts w:cs="Arial"/>
                <w:color w:val="000000"/>
                <w:sz w:val="16"/>
                <w:szCs w:val="16"/>
              </w:rPr>
              <w:t>, Α’ 74</w:t>
            </w:r>
            <w:r w:rsidRPr="00687508">
              <w:rPr>
                <w:rFonts w:cs="Arial"/>
                <w:color w:val="000000"/>
                <w:sz w:val="16"/>
                <w:szCs w:val="16"/>
              </w:rPr>
              <w:t>)</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249235FC" w14:textId="77777777" w:rsidR="0020766A" w:rsidRPr="00F33D7D" w:rsidRDefault="0020766A" w:rsidP="0020766A">
            <w:pPr>
              <w:spacing w:after="0" w:line="240" w:lineRule="auto"/>
              <w:jc w:val="right"/>
              <w:rPr>
                <w:rFonts w:cs="Arial"/>
                <w:sz w:val="16"/>
                <w:szCs w:val="16"/>
              </w:rPr>
            </w:pPr>
            <w:r w:rsidRPr="00F33D7D">
              <w:rPr>
                <w:rFonts w:cs="Arial"/>
                <w:sz w:val="16"/>
                <w:szCs w:val="16"/>
              </w:rPr>
              <w:t>122.705.834,30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182DBA6C" w14:textId="09176322" w:rsidR="0020766A" w:rsidRPr="00F33D7D" w:rsidRDefault="0020766A" w:rsidP="0020766A">
            <w:pPr>
              <w:spacing w:after="0" w:line="240" w:lineRule="auto"/>
              <w:jc w:val="right"/>
              <w:rPr>
                <w:rFonts w:cs="Arial"/>
                <w:sz w:val="16"/>
                <w:szCs w:val="16"/>
              </w:rPr>
            </w:pPr>
            <w:r w:rsidRPr="00F33D7D">
              <w:rPr>
                <w:rFonts w:cs="Arial"/>
                <w:sz w:val="16"/>
                <w:szCs w:val="16"/>
              </w:rPr>
              <w:t>122.705.834,30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2D558BB7" w14:textId="3B3E3423" w:rsidR="0020766A" w:rsidRPr="00F33D7D" w:rsidRDefault="0020766A" w:rsidP="0020766A">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45DDB416" w14:textId="77777777" w:rsidR="0020766A" w:rsidRPr="00F33D7D" w:rsidRDefault="0020766A" w:rsidP="0020766A">
            <w:pPr>
              <w:spacing w:after="0" w:line="240" w:lineRule="auto"/>
              <w:jc w:val="right"/>
              <w:rPr>
                <w:rFonts w:cs="Arial"/>
                <w:sz w:val="16"/>
                <w:szCs w:val="16"/>
              </w:rPr>
            </w:pPr>
            <w:r w:rsidRPr="00F33D7D">
              <w:rPr>
                <w:rFonts w:cs="Arial"/>
                <w:sz w:val="16"/>
                <w:szCs w:val="16"/>
              </w:rPr>
              <w:t>4.180.778</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65528A34" w14:textId="3E84FDE4" w:rsidR="0020766A" w:rsidRPr="00F33D7D" w:rsidRDefault="0020766A" w:rsidP="0020766A">
            <w:pPr>
              <w:spacing w:after="0" w:line="240" w:lineRule="auto"/>
              <w:jc w:val="right"/>
              <w:rPr>
                <w:rFonts w:cs="Arial"/>
                <w:sz w:val="16"/>
                <w:szCs w:val="16"/>
              </w:rPr>
            </w:pPr>
            <w:r w:rsidRPr="00F33D7D">
              <w:rPr>
                <w:rFonts w:cs="Arial"/>
                <w:sz w:val="16"/>
                <w:szCs w:val="16"/>
              </w:rPr>
              <w:t>29,35</w:t>
            </w:r>
          </w:p>
        </w:tc>
      </w:tr>
      <w:tr w:rsidR="0020766A" w:rsidRPr="002F06DF" w14:paraId="0509CFF2"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79B01790" w14:textId="3E0A768B" w:rsidR="0020766A" w:rsidRPr="00CB38F2" w:rsidRDefault="0020766A" w:rsidP="0020766A">
            <w:pPr>
              <w:spacing w:after="0" w:line="240" w:lineRule="auto"/>
              <w:jc w:val="left"/>
              <w:rPr>
                <w:rFonts w:cs="Arial"/>
                <w:sz w:val="16"/>
                <w:szCs w:val="16"/>
              </w:rPr>
            </w:pPr>
            <w:r w:rsidRPr="00CB38F2">
              <w:rPr>
                <w:rFonts w:cs="Arial"/>
                <w:sz w:val="16"/>
                <w:szCs w:val="16"/>
              </w:rPr>
              <w:t>Εταιρεία Έρευνας και Τεχνολογικής Ανάπτυξης Βιομηχανίας Τροφίμων (ΕΤΑΤ)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384E5C5" w14:textId="77777777" w:rsidR="0020766A" w:rsidRPr="00CB38F2" w:rsidRDefault="0020766A" w:rsidP="0020766A">
            <w:pPr>
              <w:spacing w:after="0" w:line="240" w:lineRule="auto"/>
              <w:jc w:val="right"/>
              <w:rPr>
                <w:rFonts w:cs="Arial"/>
                <w:sz w:val="16"/>
                <w:szCs w:val="16"/>
              </w:rPr>
            </w:pPr>
            <w:r w:rsidRPr="00CB38F2">
              <w:rPr>
                <w:rFonts w:cs="Arial"/>
                <w:sz w:val="16"/>
                <w:szCs w:val="16"/>
              </w:rPr>
              <w:t>505.000,00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4C6FBD83" w14:textId="65877870" w:rsidR="0020766A" w:rsidRPr="00CB38F2" w:rsidRDefault="0020766A" w:rsidP="0020766A">
            <w:pPr>
              <w:spacing w:after="0" w:line="240" w:lineRule="auto"/>
              <w:jc w:val="right"/>
              <w:rPr>
                <w:rFonts w:cs="Arial"/>
                <w:sz w:val="16"/>
                <w:szCs w:val="16"/>
              </w:rPr>
            </w:pPr>
            <w:r w:rsidRPr="00CB38F2">
              <w:rPr>
                <w:rFonts w:cs="Arial"/>
                <w:sz w:val="16"/>
                <w:szCs w:val="16"/>
              </w:rPr>
              <w:t>503.6</w:t>
            </w:r>
            <w:r w:rsidR="00F45973">
              <w:rPr>
                <w:rFonts w:cs="Arial"/>
                <w:sz w:val="16"/>
                <w:szCs w:val="16"/>
              </w:rPr>
              <w:t>00</w:t>
            </w:r>
            <w:r w:rsidRPr="00CB38F2">
              <w:rPr>
                <w:rFonts w:cs="Arial"/>
                <w:sz w:val="16"/>
                <w:szCs w:val="16"/>
              </w:rPr>
              <w:t>,</w:t>
            </w:r>
            <w:r w:rsidR="00F45973">
              <w:rPr>
                <w:rFonts w:cs="Arial"/>
                <w:sz w:val="16"/>
                <w:szCs w:val="16"/>
              </w:rPr>
              <w:t>28</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75C629AC" w14:textId="5C62FC2E" w:rsidR="0020766A" w:rsidRPr="00CB38F2" w:rsidRDefault="0020766A" w:rsidP="0020766A">
            <w:pPr>
              <w:spacing w:after="0" w:line="240" w:lineRule="auto"/>
              <w:jc w:val="right"/>
              <w:rPr>
                <w:rFonts w:cs="Arial"/>
                <w:sz w:val="16"/>
                <w:szCs w:val="16"/>
              </w:rPr>
            </w:pPr>
            <w:r w:rsidRPr="00CB38F2">
              <w:rPr>
                <w:rFonts w:cs="Arial"/>
                <w:sz w:val="16"/>
                <w:szCs w:val="16"/>
              </w:rPr>
              <w:t>99,72</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4E399894" w14:textId="77777777" w:rsidR="0020766A" w:rsidRPr="00CB38F2" w:rsidRDefault="0020766A" w:rsidP="0020766A">
            <w:pPr>
              <w:spacing w:after="0" w:line="240" w:lineRule="auto"/>
              <w:jc w:val="right"/>
              <w:rPr>
                <w:rFonts w:cs="Arial"/>
                <w:sz w:val="16"/>
                <w:szCs w:val="16"/>
              </w:rPr>
            </w:pPr>
            <w:r w:rsidRPr="00CB38F2">
              <w:rPr>
                <w:rFonts w:cs="Arial"/>
                <w:sz w:val="16"/>
                <w:szCs w:val="16"/>
              </w:rPr>
              <w:t>5.037</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129F5197" w14:textId="7FF4F48C" w:rsidR="0020766A" w:rsidRPr="00F33D7D" w:rsidRDefault="0020766A" w:rsidP="0020766A">
            <w:pPr>
              <w:spacing w:after="0" w:line="240" w:lineRule="auto"/>
              <w:jc w:val="right"/>
              <w:rPr>
                <w:rFonts w:cs="Arial"/>
                <w:sz w:val="16"/>
                <w:szCs w:val="16"/>
              </w:rPr>
            </w:pPr>
            <w:r w:rsidRPr="00CB38F2">
              <w:rPr>
                <w:rFonts w:cs="Arial"/>
                <w:sz w:val="16"/>
                <w:szCs w:val="16"/>
              </w:rPr>
              <w:t>99,98</w:t>
            </w:r>
          </w:p>
        </w:tc>
      </w:tr>
      <w:tr w:rsidR="0020766A" w:rsidRPr="002F06DF" w14:paraId="3AD6FC62" w14:textId="77777777" w:rsidTr="00C52316">
        <w:trPr>
          <w:cantSplit/>
          <w:trHeight w:val="210"/>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647B3255" w14:textId="47924BCF" w:rsidR="0020766A" w:rsidRPr="002F06DF" w:rsidRDefault="0020766A" w:rsidP="0020766A">
            <w:pPr>
              <w:spacing w:after="0" w:line="240" w:lineRule="auto"/>
              <w:jc w:val="left"/>
              <w:rPr>
                <w:rFonts w:cs="Arial"/>
                <w:sz w:val="16"/>
                <w:szCs w:val="16"/>
              </w:rPr>
            </w:pPr>
            <w:r w:rsidRPr="00687508">
              <w:rPr>
                <w:rFonts w:cs="Arial"/>
                <w:sz w:val="16"/>
                <w:szCs w:val="16"/>
              </w:rPr>
              <w:t>Ιχθυοκαλλιεργητικό Κέντρο Αχελώου (ΙΧΘΥΚΑ)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6546C24A" w14:textId="77777777" w:rsidR="0020766A" w:rsidRPr="00F33D7D" w:rsidRDefault="0020766A" w:rsidP="0020766A">
            <w:pPr>
              <w:spacing w:after="0" w:line="240" w:lineRule="auto"/>
              <w:jc w:val="right"/>
              <w:rPr>
                <w:rFonts w:cs="Arial"/>
                <w:sz w:val="16"/>
                <w:szCs w:val="16"/>
              </w:rPr>
            </w:pPr>
            <w:r w:rsidRPr="00F33D7D">
              <w:rPr>
                <w:rFonts w:cs="Arial"/>
                <w:sz w:val="16"/>
                <w:szCs w:val="16"/>
              </w:rPr>
              <w:t>5.827.941,45</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669881CC" w14:textId="77777777" w:rsidR="0020766A" w:rsidRPr="00F33D7D" w:rsidRDefault="0020766A" w:rsidP="0020766A">
            <w:pPr>
              <w:spacing w:after="0" w:line="240" w:lineRule="auto"/>
              <w:jc w:val="right"/>
              <w:rPr>
                <w:rFonts w:cs="Arial"/>
                <w:sz w:val="16"/>
                <w:szCs w:val="16"/>
              </w:rPr>
            </w:pPr>
            <w:r w:rsidRPr="00F33D7D">
              <w:rPr>
                <w:rFonts w:cs="Arial"/>
                <w:sz w:val="16"/>
                <w:szCs w:val="16"/>
              </w:rPr>
              <w:t>3.271.262,95</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03B8650D" w14:textId="5C7145E7" w:rsidR="0020766A" w:rsidRPr="00F33D7D" w:rsidRDefault="0020766A" w:rsidP="0020766A">
            <w:pPr>
              <w:spacing w:after="0" w:line="240" w:lineRule="auto"/>
              <w:jc w:val="right"/>
              <w:rPr>
                <w:rFonts w:cs="Arial"/>
                <w:sz w:val="16"/>
                <w:szCs w:val="16"/>
              </w:rPr>
            </w:pPr>
            <w:r w:rsidRPr="00F33D7D">
              <w:rPr>
                <w:rFonts w:cs="Arial"/>
                <w:sz w:val="16"/>
                <w:szCs w:val="16"/>
              </w:rPr>
              <w:t>56,13</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54095373" w14:textId="77777777" w:rsidR="0020766A" w:rsidRPr="00F33D7D" w:rsidRDefault="0020766A" w:rsidP="0020766A">
            <w:pPr>
              <w:spacing w:after="0" w:line="240" w:lineRule="auto"/>
              <w:jc w:val="right"/>
              <w:rPr>
                <w:rFonts w:cs="Arial"/>
                <w:sz w:val="16"/>
                <w:szCs w:val="16"/>
              </w:rPr>
            </w:pPr>
            <w:r w:rsidRPr="00F33D7D">
              <w:rPr>
                <w:rFonts w:cs="Arial"/>
                <w:sz w:val="16"/>
                <w:szCs w:val="16"/>
              </w:rPr>
              <w:t>111.457</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04D357AB" w14:textId="5A525AE4" w:rsidR="0020766A" w:rsidRPr="00F33D7D" w:rsidRDefault="0020766A" w:rsidP="0020766A">
            <w:pPr>
              <w:spacing w:after="0" w:line="240" w:lineRule="auto"/>
              <w:jc w:val="right"/>
              <w:rPr>
                <w:rFonts w:cs="Arial"/>
                <w:sz w:val="16"/>
                <w:szCs w:val="16"/>
              </w:rPr>
            </w:pPr>
            <w:r w:rsidRPr="00F33D7D">
              <w:rPr>
                <w:rFonts w:cs="Arial"/>
                <w:sz w:val="16"/>
                <w:szCs w:val="16"/>
              </w:rPr>
              <w:t>29,35</w:t>
            </w:r>
          </w:p>
        </w:tc>
      </w:tr>
      <w:tr w:rsidR="0020766A" w:rsidRPr="002F06DF" w14:paraId="41F740CF"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374AFF31" w14:textId="77777777" w:rsidR="0020766A" w:rsidRDefault="0020766A" w:rsidP="0020766A">
            <w:pPr>
              <w:spacing w:after="0" w:line="276" w:lineRule="auto"/>
              <w:jc w:val="left"/>
              <w:rPr>
                <w:rFonts w:cs="Arial"/>
                <w:sz w:val="16"/>
                <w:szCs w:val="16"/>
              </w:rPr>
            </w:pPr>
            <w:r w:rsidRPr="00687508">
              <w:rPr>
                <w:rFonts w:cs="Arial"/>
                <w:sz w:val="16"/>
                <w:szCs w:val="16"/>
              </w:rPr>
              <w:t>Κέντρο Ελληνικής Γούνας (ΚΕΓ) Α</w:t>
            </w:r>
            <w:r>
              <w:rPr>
                <w:rFonts w:cs="Arial"/>
                <w:sz w:val="16"/>
                <w:szCs w:val="16"/>
              </w:rPr>
              <w:t>Ε</w:t>
            </w:r>
          </w:p>
          <w:p w14:paraId="649D1D75" w14:textId="532CD384" w:rsidR="0020766A" w:rsidRPr="002F06DF" w:rsidRDefault="0020766A" w:rsidP="0020766A">
            <w:pPr>
              <w:spacing w:after="0" w:line="240" w:lineRule="auto"/>
              <w:jc w:val="left"/>
              <w:rPr>
                <w:rFonts w:cs="Arial"/>
                <w:sz w:val="16"/>
                <w:szCs w:val="16"/>
              </w:rPr>
            </w:pPr>
            <w:r w:rsidRPr="00687508">
              <w:rPr>
                <w:rFonts w:cs="Arial"/>
                <w:sz w:val="16"/>
                <w:szCs w:val="16"/>
              </w:rPr>
              <w:t xml:space="preserve">(προήλθε από </w:t>
            </w:r>
            <w:r>
              <w:rPr>
                <w:rFonts w:cs="Arial"/>
                <w:sz w:val="16"/>
                <w:szCs w:val="16"/>
              </w:rPr>
              <w:t xml:space="preserve">την </w:t>
            </w:r>
            <w:r w:rsidRPr="00687508">
              <w:rPr>
                <w:rFonts w:cs="Arial"/>
                <w:sz w:val="16"/>
                <w:szCs w:val="16"/>
              </w:rPr>
              <w:t xml:space="preserve">κατάργηση </w:t>
            </w:r>
            <w:r>
              <w:rPr>
                <w:rFonts w:cs="Arial"/>
                <w:sz w:val="16"/>
                <w:szCs w:val="16"/>
              </w:rPr>
              <w:t xml:space="preserve">του </w:t>
            </w:r>
            <w:r w:rsidRPr="00687508">
              <w:rPr>
                <w:rFonts w:cs="Arial"/>
                <w:sz w:val="16"/>
                <w:szCs w:val="16"/>
              </w:rPr>
              <w:t>ΕΟΜΜΕΧ)</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A7FF3E2" w14:textId="77777777" w:rsidR="0020766A" w:rsidRPr="00F33D7D" w:rsidRDefault="0020766A" w:rsidP="0020766A">
            <w:pPr>
              <w:spacing w:after="0" w:line="240" w:lineRule="auto"/>
              <w:jc w:val="right"/>
              <w:rPr>
                <w:rFonts w:cs="Arial"/>
                <w:sz w:val="16"/>
                <w:szCs w:val="16"/>
              </w:rPr>
            </w:pPr>
            <w:r w:rsidRPr="00F33D7D">
              <w:rPr>
                <w:rFonts w:cs="Arial"/>
                <w:sz w:val="16"/>
                <w:szCs w:val="16"/>
              </w:rPr>
              <w:t>58.600,00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19BC11E6" w14:textId="77777777" w:rsidR="0020766A" w:rsidRPr="00F33D7D" w:rsidRDefault="0020766A" w:rsidP="0020766A">
            <w:pPr>
              <w:spacing w:after="0" w:line="240" w:lineRule="auto"/>
              <w:jc w:val="right"/>
              <w:rPr>
                <w:rFonts w:cs="Arial"/>
                <w:sz w:val="16"/>
                <w:szCs w:val="16"/>
              </w:rPr>
            </w:pPr>
            <w:r w:rsidRPr="00F33D7D">
              <w:rPr>
                <w:rFonts w:cs="Arial"/>
                <w:sz w:val="16"/>
                <w:szCs w:val="16"/>
              </w:rPr>
              <w:t>29.886,00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5F077480" w14:textId="00939CEB" w:rsidR="0020766A" w:rsidRPr="00F33D7D" w:rsidRDefault="0020766A" w:rsidP="0020766A">
            <w:pPr>
              <w:spacing w:after="0" w:line="240" w:lineRule="auto"/>
              <w:jc w:val="right"/>
              <w:rPr>
                <w:rFonts w:cs="Arial"/>
                <w:sz w:val="16"/>
                <w:szCs w:val="16"/>
              </w:rPr>
            </w:pPr>
            <w:r w:rsidRPr="00F33D7D">
              <w:rPr>
                <w:rFonts w:cs="Arial"/>
                <w:sz w:val="16"/>
                <w:szCs w:val="16"/>
              </w:rPr>
              <w:t>51,00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3C0D4B6F" w14:textId="45281DD8" w:rsidR="0020766A" w:rsidRPr="00F33D7D" w:rsidRDefault="0020766A" w:rsidP="0020766A">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6513C19B" w14:textId="2F0DC235" w:rsidR="0020766A" w:rsidRPr="00F33D7D" w:rsidRDefault="0020766A" w:rsidP="0020766A">
            <w:pPr>
              <w:spacing w:after="0" w:line="240" w:lineRule="auto"/>
              <w:jc w:val="right"/>
              <w:rPr>
                <w:rFonts w:cs="Arial"/>
                <w:sz w:val="16"/>
                <w:szCs w:val="16"/>
              </w:rPr>
            </w:pPr>
          </w:p>
        </w:tc>
      </w:tr>
      <w:tr w:rsidR="0020766A" w:rsidRPr="002F06DF" w14:paraId="7C2E1C73"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457E1573" w14:textId="2A1ACFC0" w:rsidR="0020766A" w:rsidRPr="002F06DF" w:rsidRDefault="0020766A" w:rsidP="0020766A">
            <w:pPr>
              <w:spacing w:after="0" w:line="240" w:lineRule="auto"/>
              <w:jc w:val="left"/>
              <w:rPr>
                <w:rFonts w:cs="Arial"/>
                <w:sz w:val="16"/>
                <w:szCs w:val="16"/>
              </w:rPr>
            </w:pPr>
            <w:r w:rsidRPr="002F06DF">
              <w:rPr>
                <w:rFonts w:cs="Arial"/>
                <w:sz w:val="16"/>
                <w:szCs w:val="16"/>
              </w:rPr>
              <w:t>Κλωστοβιομηχανία ΜΠΡΙΓΙΑΝ ΑΒΕΕ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1109A4DD" w14:textId="77777777" w:rsidR="0020766A" w:rsidRPr="00F33D7D" w:rsidRDefault="0020766A" w:rsidP="0020766A">
            <w:pPr>
              <w:spacing w:after="0" w:line="240" w:lineRule="auto"/>
              <w:jc w:val="right"/>
              <w:rPr>
                <w:rFonts w:cs="Arial"/>
                <w:sz w:val="16"/>
                <w:szCs w:val="16"/>
              </w:rPr>
            </w:pPr>
            <w:r w:rsidRPr="00F33D7D">
              <w:rPr>
                <w:rFonts w:cs="Arial"/>
                <w:sz w:val="16"/>
                <w:szCs w:val="16"/>
              </w:rPr>
              <w:t>1.397.788,20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3A065BB9" w14:textId="77777777" w:rsidR="0020766A" w:rsidRPr="00F33D7D" w:rsidRDefault="0020766A" w:rsidP="0020766A">
            <w:pPr>
              <w:spacing w:after="0" w:line="240" w:lineRule="auto"/>
              <w:jc w:val="right"/>
              <w:rPr>
                <w:rFonts w:cs="Arial"/>
                <w:sz w:val="16"/>
                <w:szCs w:val="16"/>
              </w:rPr>
            </w:pPr>
            <w:r w:rsidRPr="00F33D7D">
              <w:rPr>
                <w:rFonts w:cs="Arial"/>
                <w:sz w:val="16"/>
                <w:szCs w:val="16"/>
              </w:rPr>
              <w:t>89.803,80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20F98CD8" w14:textId="39F7895C" w:rsidR="0020766A" w:rsidRPr="00F33D7D" w:rsidRDefault="0020766A" w:rsidP="0020766A">
            <w:pPr>
              <w:spacing w:after="0" w:line="240" w:lineRule="auto"/>
              <w:jc w:val="right"/>
              <w:rPr>
                <w:rFonts w:cs="Arial"/>
                <w:sz w:val="16"/>
                <w:szCs w:val="16"/>
              </w:rPr>
            </w:pPr>
            <w:r w:rsidRPr="00F33D7D">
              <w:rPr>
                <w:rFonts w:cs="Arial"/>
                <w:sz w:val="16"/>
                <w:szCs w:val="16"/>
              </w:rPr>
              <w:t>6,42</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209CFCA2" w14:textId="77777777" w:rsidR="0020766A" w:rsidRPr="00F33D7D" w:rsidRDefault="0020766A" w:rsidP="0020766A">
            <w:pPr>
              <w:spacing w:after="0" w:line="240" w:lineRule="auto"/>
              <w:jc w:val="right"/>
              <w:rPr>
                <w:rFonts w:cs="Arial"/>
                <w:sz w:val="16"/>
                <w:szCs w:val="16"/>
              </w:rPr>
            </w:pPr>
            <w:r w:rsidRPr="00F33D7D">
              <w:rPr>
                <w:rFonts w:cs="Arial"/>
                <w:sz w:val="16"/>
                <w:szCs w:val="16"/>
              </w:rPr>
              <w:t>49.891</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4194953D" w14:textId="5315CDFB" w:rsidR="0020766A" w:rsidRPr="00F33D7D" w:rsidRDefault="0020766A" w:rsidP="0020766A">
            <w:pPr>
              <w:spacing w:after="0" w:line="240" w:lineRule="auto"/>
              <w:jc w:val="right"/>
              <w:rPr>
                <w:rFonts w:cs="Arial"/>
                <w:sz w:val="16"/>
                <w:szCs w:val="16"/>
              </w:rPr>
            </w:pPr>
            <w:r w:rsidRPr="00F33D7D">
              <w:rPr>
                <w:rFonts w:cs="Arial"/>
                <w:sz w:val="16"/>
                <w:szCs w:val="16"/>
              </w:rPr>
              <w:t>1,80</w:t>
            </w:r>
          </w:p>
        </w:tc>
      </w:tr>
      <w:tr w:rsidR="0020766A" w:rsidRPr="002F06DF" w14:paraId="4D34C105" w14:textId="77777777" w:rsidTr="00C52316">
        <w:trPr>
          <w:cantSplit/>
          <w:trHeight w:val="204"/>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66EEC727" w14:textId="537045C1" w:rsidR="00B51B49" w:rsidRDefault="00B51B49" w:rsidP="00B51B49">
            <w:pPr>
              <w:spacing w:after="0" w:line="276" w:lineRule="auto"/>
              <w:jc w:val="left"/>
              <w:rPr>
                <w:rFonts w:cs="Arial"/>
                <w:color w:val="000000"/>
                <w:sz w:val="16"/>
                <w:szCs w:val="16"/>
              </w:rPr>
            </w:pPr>
            <w:r w:rsidRPr="00687508">
              <w:rPr>
                <w:rFonts w:cs="Arial"/>
                <w:color w:val="000000"/>
                <w:sz w:val="16"/>
                <w:szCs w:val="16"/>
              </w:rPr>
              <w:t>Νέα Ανώνυμη Εταιρεία Διώρυγ</w:t>
            </w:r>
            <w:r>
              <w:rPr>
                <w:rFonts w:cs="Arial"/>
                <w:color w:val="000000"/>
                <w:sz w:val="16"/>
                <w:szCs w:val="16"/>
              </w:rPr>
              <w:t>α</w:t>
            </w:r>
            <w:r w:rsidRPr="00687508">
              <w:rPr>
                <w:rFonts w:cs="Arial"/>
                <w:color w:val="000000"/>
                <w:sz w:val="16"/>
                <w:szCs w:val="16"/>
              </w:rPr>
              <w:t>ς Κορίνθου</w:t>
            </w:r>
          </w:p>
          <w:p w14:paraId="10065912" w14:textId="715B06AC" w:rsidR="0020766A" w:rsidRPr="002F06DF" w:rsidRDefault="00B51B49" w:rsidP="00B51B49">
            <w:pPr>
              <w:spacing w:after="0" w:line="240" w:lineRule="auto"/>
              <w:jc w:val="left"/>
              <w:rPr>
                <w:rFonts w:cs="Arial"/>
                <w:color w:val="000000"/>
                <w:sz w:val="16"/>
                <w:szCs w:val="16"/>
              </w:rPr>
            </w:pPr>
            <w:r w:rsidRPr="00687508">
              <w:rPr>
                <w:rFonts w:cs="Arial"/>
                <w:color w:val="000000"/>
                <w:sz w:val="16"/>
                <w:szCs w:val="16"/>
              </w:rPr>
              <w:t>(</w:t>
            </w:r>
            <w:r>
              <w:rPr>
                <w:rFonts w:cs="Arial"/>
                <w:color w:val="000000"/>
                <w:sz w:val="16"/>
                <w:szCs w:val="16"/>
              </w:rPr>
              <w:t>ΝΑΕΔΚ</w:t>
            </w:r>
            <w:r w:rsidRPr="00687508">
              <w:rPr>
                <w:rFonts w:cs="Arial"/>
                <w:color w:val="000000"/>
                <w:sz w:val="16"/>
                <w:szCs w:val="16"/>
              </w:rPr>
              <w:t>)</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5E93D397" w14:textId="77777777" w:rsidR="0020766A" w:rsidRPr="00F33D7D" w:rsidRDefault="0020766A" w:rsidP="0020766A">
            <w:pPr>
              <w:spacing w:after="0" w:line="240" w:lineRule="auto"/>
              <w:jc w:val="right"/>
              <w:rPr>
                <w:rFonts w:cs="Arial"/>
                <w:sz w:val="16"/>
                <w:szCs w:val="16"/>
              </w:rPr>
            </w:pPr>
            <w:r w:rsidRPr="00F33D7D">
              <w:rPr>
                <w:rFonts w:cs="Arial"/>
                <w:sz w:val="16"/>
                <w:szCs w:val="16"/>
              </w:rPr>
              <w:t>393.600,00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68292FB4" w14:textId="77777777" w:rsidR="0020766A" w:rsidRPr="00F33D7D" w:rsidRDefault="0020766A" w:rsidP="0020766A">
            <w:pPr>
              <w:spacing w:after="0" w:line="240" w:lineRule="auto"/>
              <w:jc w:val="right"/>
              <w:rPr>
                <w:rFonts w:cs="Arial"/>
                <w:sz w:val="16"/>
                <w:szCs w:val="16"/>
              </w:rPr>
            </w:pPr>
            <w:r w:rsidRPr="00F33D7D">
              <w:rPr>
                <w:rFonts w:cs="Arial"/>
                <w:sz w:val="16"/>
                <w:szCs w:val="16"/>
              </w:rPr>
              <w:t>292.450,54</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0F180328" w14:textId="685D6BC8" w:rsidR="0020766A" w:rsidRPr="00F33D7D" w:rsidRDefault="0020766A" w:rsidP="0020766A">
            <w:pPr>
              <w:spacing w:after="0" w:line="240" w:lineRule="auto"/>
              <w:jc w:val="right"/>
              <w:rPr>
                <w:rFonts w:cs="Arial"/>
                <w:sz w:val="16"/>
                <w:szCs w:val="16"/>
              </w:rPr>
            </w:pPr>
            <w:r w:rsidRPr="00F33D7D">
              <w:rPr>
                <w:rFonts w:cs="Arial"/>
                <w:sz w:val="16"/>
                <w:szCs w:val="16"/>
              </w:rPr>
              <w:t>74,30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273DC530" w14:textId="77777777" w:rsidR="0020766A" w:rsidRPr="00F33D7D" w:rsidRDefault="0020766A" w:rsidP="0020766A">
            <w:pPr>
              <w:spacing w:after="0" w:line="240" w:lineRule="auto"/>
              <w:jc w:val="right"/>
              <w:rPr>
                <w:rFonts w:cs="Arial"/>
                <w:sz w:val="16"/>
                <w:szCs w:val="16"/>
              </w:rPr>
            </w:pPr>
            <w:r w:rsidRPr="00F33D7D">
              <w:rPr>
                <w:rFonts w:cs="Arial"/>
                <w:sz w:val="16"/>
                <w:szCs w:val="16"/>
              </w:rPr>
              <w:t>356.647</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07C289FF" w14:textId="444CC7C7" w:rsidR="0020766A" w:rsidRPr="00F33D7D" w:rsidRDefault="0020766A" w:rsidP="0020766A">
            <w:pPr>
              <w:spacing w:after="0" w:line="240" w:lineRule="auto"/>
              <w:jc w:val="right"/>
              <w:rPr>
                <w:rFonts w:cs="Arial"/>
                <w:sz w:val="16"/>
                <w:szCs w:val="16"/>
              </w:rPr>
            </w:pPr>
            <w:r w:rsidRPr="00F33D7D">
              <w:rPr>
                <w:rFonts w:cs="Arial"/>
                <w:sz w:val="16"/>
                <w:szCs w:val="16"/>
              </w:rPr>
              <w:t>0,82</w:t>
            </w:r>
          </w:p>
        </w:tc>
      </w:tr>
      <w:tr w:rsidR="0020766A" w:rsidRPr="002F06DF" w14:paraId="386EEE69"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7BDDBE4B" w14:textId="77777777" w:rsidR="0020766A" w:rsidRPr="002F06DF" w:rsidRDefault="0020766A" w:rsidP="0020766A">
            <w:pPr>
              <w:spacing w:after="0" w:line="240" w:lineRule="auto"/>
              <w:jc w:val="left"/>
              <w:rPr>
                <w:rFonts w:cs="Arial"/>
                <w:color w:val="000000"/>
                <w:sz w:val="16"/>
                <w:szCs w:val="16"/>
              </w:rPr>
            </w:pPr>
            <w:r w:rsidRPr="002F06DF">
              <w:rPr>
                <w:rFonts w:cs="Arial"/>
                <w:color w:val="000000"/>
                <w:sz w:val="16"/>
                <w:szCs w:val="16"/>
              </w:rPr>
              <w:t>NUTRIART ABEE</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04DA4F84" w14:textId="77777777" w:rsidR="0020766A" w:rsidRPr="00F33D7D" w:rsidRDefault="0020766A" w:rsidP="0020766A">
            <w:pPr>
              <w:spacing w:after="0" w:line="240" w:lineRule="auto"/>
              <w:jc w:val="right"/>
              <w:rPr>
                <w:rFonts w:cs="Arial"/>
                <w:sz w:val="16"/>
                <w:szCs w:val="16"/>
              </w:rPr>
            </w:pPr>
            <w:r w:rsidRPr="00F33D7D">
              <w:rPr>
                <w:rFonts w:cs="Arial"/>
                <w:sz w:val="16"/>
                <w:szCs w:val="16"/>
              </w:rPr>
              <w:t>12.750.381,90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46292FA1" w14:textId="77777777" w:rsidR="0020766A" w:rsidRPr="00F33D7D" w:rsidRDefault="0020766A" w:rsidP="0020766A">
            <w:pPr>
              <w:spacing w:after="0" w:line="240" w:lineRule="auto"/>
              <w:jc w:val="right"/>
              <w:rPr>
                <w:rFonts w:cs="Arial"/>
                <w:sz w:val="16"/>
                <w:szCs w:val="16"/>
              </w:rPr>
            </w:pPr>
            <w:r w:rsidRPr="00F33D7D">
              <w:rPr>
                <w:rFonts w:cs="Arial"/>
                <w:sz w:val="16"/>
                <w:szCs w:val="16"/>
              </w:rPr>
              <w:t>42.235,20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35150191" w14:textId="62FCC965" w:rsidR="0020766A" w:rsidRPr="00F33D7D" w:rsidRDefault="0020766A" w:rsidP="0020766A">
            <w:pPr>
              <w:spacing w:after="0" w:line="240" w:lineRule="auto"/>
              <w:jc w:val="right"/>
              <w:rPr>
                <w:rFonts w:cs="Arial"/>
                <w:sz w:val="16"/>
                <w:szCs w:val="16"/>
              </w:rPr>
            </w:pPr>
            <w:r w:rsidRPr="00F33D7D">
              <w:rPr>
                <w:rFonts w:cs="Arial"/>
                <w:sz w:val="16"/>
                <w:szCs w:val="16"/>
              </w:rPr>
              <w:t>0,33</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01E9D57F" w14:textId="77777777" w:rsidR="0020766A" w:rsidRPr="00F33D7D" w:rsidRDefault="0020766A" w:rsidP="0020766A">
            <w:pPr>
              <w:spacing w:after="0" w:line="240" w:lineRule="auto"/>
              <w:jc w:val="right"/>
              <w:rPr>
                <w:rFonts w:cs="Arial"/>
                <w:sz w:val="16"/>
                <w:szCs w:val="16"/>
              </w:rPr>
            </w:pPr>
            <w:r w:rsidRPr="00F33D7D">
              <w:rPr>
                <w:rFonts w:cs="Arial"/>
                <w:sz w:val="16"/>
                <w:szCs w:val="16"/>
              </w:rPr>
              <w:t>140.784</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02B016FF" w14:textId="194D4E02" w:rsidR="0020766A" w:rsidRPr="00F33D7D" w:rsidRDefault="0020766A" w:rsidP="0020766A">
            <w:pPr>
              <w:spacing w:after="0" w:line="240" w:lineRule="auto"/>
              <w:jc w:val="right"/>
              <w:rPr>
                <w:rFonts w:cs="Arial"/>
                <w:sz w:val="16"/>
                <w:szCs w:val="16"/>
              </w:rPr>
            </w:pPr>
            <w:r w:rsidRPr="00F33D7D">
              <w:rPr>
                <w:rFonts w:cs="Arial"/>
                <w:sz w:val="16"/>
                <w:szCs w:val="16"/>
              </w:rPr>
              <w:t>0,30</w:t>
            </w:r>
          </w:p>
        </w:tc>
      </w:tr>
      <w:tr w:rsidR="0020766A" w:rsidRPr="002F06DF" w14:paraId="01392F79" w14:textId="77777777" w:rsidTr="00C52316">
        <w:trPr>
          <w:cantSplit/>
          <w:trHeight w:val="313"/>
          <w:jc w:val="center"/>
        </w:trPr>
        <w:tc>
          <w:tcPr>
            <w:tcW w:w="3544" w:type="dxa"/>
            <w:tcBorders>
              <w:top w:val="single" w:sz="2" w:space="0" w:color="A6A6A6" w:themeColor="background1" w:themeShade="A6"/>
              <w:bottom w:val="single" w:sz="2" w:space="0" w:color="A6A6A6" w:themeColor="background1" w:themeShade="A6"/>
            </w:tcBorders>
            <w:shd w:val="clear" w:color="auto" w:fill="auto"/>
            <w:vAlign w:val="center"/>
            <w:hideMark/>
          </w:tcPr>
          <w:p w14:paraId="6CBDAA07" w14:textId="1FB5FE27" w:rsidR="005E044A" w:rsidRDefault="0020766A" w:rsidP="0020766A">
            <w:pPr>
              <w:spacing w:after="0" w:line="240" w:lineRule="auto"/>
              <w:jc w:val="left"/>
              <w:rPr>
                <w:rFonts w:cs="Arial"/>
                <w:sz w:val="16"/>
                <w:szCs w:val="16"/>
              </w:rPr>
            </w:pPr>
            <w:r w:rsidRPr="002F06DF">
              <w:rPr>
                <w:rFonts w:cs="Arial"/>
                <w:sz w:val="16"/>
                <w:szCs w:val="16"/>
              </w:rPr>
              <w:t xml:space="preserve">Οργανισμός </w:t>
            </w:r>
            <w:r w:rsidR="005E044A">
              <w:rPr>
                <w:rFonts w:cs="Arial"/>
                <w:sz w:val="16"/>
                <w:szCs w:val="16"/>
              </w:rPr>
              <w:t>Α</w:t>
            </w:r>
            <w:r w:rsidRPr="002F06DF">
              <w:rPr>
                <w:rFonts w:cs="Arial"/>
                <w:sz w:val="16"/>
                <w:szCs w:val="16"/>
              </w:rPr>
              <w:t xml:space="preserve">στικών </w:t>
            </w:r>
            <w:r w:rsidR="005E044A">
              <w:rPr>
                <w:rFonts w:cs="Arial"/>
                <w:sz w:val="16"/>
                <w:szCs w:val="16"/>
              </w:rPr>
              <w:t>Σ</w:t>
            </w:r>
            <w:r w:rsidRPr="002F06DF">
              <w:rPr>
                <w:rFonts w:cs="Arial"/>
                <w:sz w:val="16"/>
                <w:szCs w:val="16"/>
              </w:rPr>
              <w:t>υγκοινωνιών Θεσσαλονίκης (ΟΑΣΘ</w:t>
            </w:r>
            <w:r w:rsidR="005E044A">
              <w:rPr>
                <w:rFonts w:cs="Arial"/>
                <w:sz w:val="16"/>
                <w:szCs w:val="16"/>
              </w:rPr>
              <w:t>)</w:t>
            </w:r>
            <w:r w:rsidRPr="002F06DF">
              <w:rPr>
                <w:rFonts w:cs="Arial"/>
                <w:sz w:val="16"/>
                <w:szCs w:val="16"/>
              </w:rPr>
              <w:t xml:space="preserve"> ΑΕ</w:t>
            </w:r>
          </w:p>
          <w:p w14:paraId="12BCFE58" w14:textId="662C89A4" w:rsidR="0020766A" w:rsidRPr="002F06DF" w:rsidRDefault="0020766A" w:rsidP="0020766A">
            <w:pPr>
              <w:spacing w:after="0" w:line="240" w:lineRule="auto"/>
              <w:jc w:val="left"/>
              <w:rPr>
                <w:rFonts w:cs="Arial"/>
                <w:sz w:val="16"/>
                <w:szCs w:val="16"/>
              </w:rPr>
            </w:pPr>
            <w:r w:rsidRPr="005E044A">
              <w:rPr>
                <w:rFonts w:cs="Arial"/>
                <w:sz w:val="16"/>
                <w:szCs w:val="16"/>
              </w:rPr>
              <w:t xml:space="preserve">(υπό </w:t>
            </w:r>
            <w:r w:rsidR="00705676">
              <w:rPr>
                <w:rFonts w:cs="Arial"/>
                <w:sz w:val="16"/>
                <w:szCs w:val="16"/>
              </w:rPr>
              <w:t xml:space="preserve">ειδική </w:t>
            </w:r>
            <w:r w:rsidR="005E044A" w:rsidRPr="005E044A">
              <w:rPr>
                <w:rFonts w:cs="Arial"/>
                <w:sz w:val="16"/>
                <w:szCs w:val="16"/>
              </w:rPr>
              <w:t>ε</w:t>
            </w:r>
            <w:r w:rsidRPr="005E044A">
              <w:rPr>
                <w:rFonts w:cs="Arial"/>
                <w:sz w:val="16"/>
                <w:szCs w:val="16"/>
              </w:rPr>
              <w:t xml:space="preserve">κκαθάριση σε λειτουργία) </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77763DBF" w14:textId="77777777" w:rsidR="0020766A" w:rsidRPr="00F33D7D" w:rsidRDefault="0020766A" w:rsidP="0020766A">
            <w:pPr>
              <w:spacing w:after="0" w:line="240" w:lineRule="auto"/>
              <w:jc w:val="right"/>
              <w:rPr>
                <w:rFonts w:cs="Arial"/>
                <w:sz w:val="16"/>
                <w:szCs w:val="16"/>
              </w:rPr>
            </w:pPr>
            <w:r w:rsidRPr="00F33D7D">
              <w:rPr>
                <w:rFonts w:cs="Arial"/>
                <w:sz w:val="16"/>
                <w:szCs w:val="16"/>
              </w:rPr>
              <w:t>21.640.611,40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0E2BC90B" w14:textId="77777777" w:rsidR="0020766A" w:rsidRPr="00F33D7D" w:rsidRDefault="0020766A" w:rsidP="0020766A">
            <w:pPr>
              <w:spacing w:after="0" w:line="240" w:lineRule="auto"/>
              <w:jc w:val="right"/>
              <w:rPr>
                <w:rFonts w:cs="Arial"/>
                <w:sz w:val="16"/>
                <w:szCs w:val="16"/>
              </w:rPr>
            </w:pPr>
            <w:r w:rsidRPr="00F33D7D">
              <w:rPr>
                <w:rFonts w:cs="Arial"/>
                <w:sz w:val="16"/>
                <w:szCs w:val="16"/>
              </w:rPr>
              <w:t>21.640.611,40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40CC59D4" w14:textId="16C71D8E" w:rsidR="0020766A" w:rsidRPr="00F33D7D" w:rsidRDefault="0020766A" w:rsidP="0020766A">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7A9EE1A5" w14:textId="3DE043D2" w:rsidR="0020766A" w:rsidRPr="00F33D7D" w:rsidRDefault="0020766A" w:rsidP="0020766A">
            <w:pPr>
              <w:spacing w:after="0" w:line="240" w:lineRule="auto"/>
              <w:jc w:val="right"/>
              <w:rPr>
                <w:rFonts w:cs="Arial"/>
                <w:sz w:val="16"/>
                <w:szCs w:val="16"/>
              </w:rPr>
            </w:pP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3C4369A8" w14:textId="5F969D96" w:rsidR="0020766A" w:rsidRPr="00F33D7D" w:rsidRDefault="0020766A" w:rsidP="0020766A">
            <w:pPr>
              <w:spacing w:after="0" w:line="240" w:lineRule="auto"/>
              <w:jc w:val="right"/>
              <w:rPr>
                <w:rFonts w:cs="Arial"/>
                <w:sz w:val="16"/>
                <w:szCs w:val="16"/>
              </w:rPr>
            </w:pPr>
          </w:p>
        </w:tc>
      </w:tr>
      <w:tr w:rsidR="0020766A" w:rsidRPr="002F06DF" w14:paraId="0965FF0D"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09DED57B" w14:textId="18049ADA" w:rsidR="0020766A" w:rsidRPr="002F06DF" w:rsidRDefault="005E044A" w:rsidP="0020766A">
            <w:pPr>
              <w:spacing w:after="0" w:line="240" w:lineRule="auto"/>
              <w:jc w:val="left"/>
              <w:rPr>
                <w:rFonts w:cs="Arial"/>
                <w:sz w:val="16"/>
                <w:szCs w:val="16"/>
              </w:rPr>
            </w:pPr>
            <w:r w:rsidRPr="00687508">
              <w:rPr>
                <w:rFonts w:cs="Arial"/>
                <w:sz w:val="16"/>
                <w:szCs w:val="16"/>
              </w:rPr>
              <w:t>Πετζετάκις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44B07CB7" w14:textId="77777777" w:rsidR="0020766A" w:rsidRPr="00F33D7D" w:rsidRDefault="0020766A" w:rsidP="0020766A">
            <w:pPr>
              <w:spacing w:after="0" w:line="240" w:lineRule="auto"/>
              <w:jc w:val="right"/>
              <w:rPr>
                <w:rFonts w:cs="Arial"/>
                <w:sz w:val="16"/>
                <w:szCs w:val="16"/>
              </w:rPr>
            </w:pPr>
            <w:r w:rsidRPr="00F33D7D">
              <w:rPr>
                <w:rFonts w:cs="Arial"/>
                <w:sz w:val="16"/>
                <w:szCs w:val="16"/>
              </w:rPr>
              <w:t>7.674.943,80</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41AD6431" w14:textId="77777777" w:rsidR="0020766A" w:rsidRPr="00F33D7D" w:rsidRDefault="0020766A" w:rsidP="0020766A">
            <w:pPr>
              <w:spacing w:after="0" w:line="240" w:lineRule="auto"/>
              <w:jc w:val="right"/>
              <w:rPr>
                <w:rFonts w:cs="Arial"/>
                <w:sz w:val="16"/>
                <w:szCs w:val="16"/>
              </w:rPr>
            </w:pPr>
            <w:r w:rsidRPr="00F33D7D">
              <w:rPr>
                <w:rFonts w:cs="Arial"/>
                <w:sz w:val="16"/>
                <w:szCs w:val="16"/>
              </w:rPr>
              <w:t>38.657,10</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33E97695" w14:textId="6FC59FB5" w:rsidR="0020766A" w:rsidRPr="00F33D7D" w:rsidRDefault="0020766A" w:rsidP="0020766A">
            <w:pPr>
              <w:spacing w:after="0" w:line="240" w:lineRule="auto"/>
              <w:jc w:val="right"/>
              <w:rPr>
                <w:rFonts w:cs="Arial"/>
                <w:sz w:val="16"/>
                <w:szCs w:val="16"/>
              </w:rPr>
            </w:pPr>
            <w:r w:rsidRPr="00F33D7D">
              <w:rPr>
                <w:rFonts w:cs="Arial"/>
                <w:sz w:val="16"/>
                <w:szCs w:val="16"/>
              </w:rPr>
              <w:t>0,50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1E76F03F" w14:textId="77777777" w:rsidR="0020766A" w:rsidRPr="00F33D7D" w:rsidRDefault="0020766A" w:rsidP="0020766A">
            <w:pPr>
              <w:spacing w:after="0" w:line="240" w:lineRule="auto"/>
              <w:jc w:val="right"/>
              <w:rPr>
                <w:rFonts w:cs="Arial"/>
                <w:sz w:val="16"/>
                <w:szCs w:val="16"/>
              </w:rPr>
            </w:pPr>
            <w:r w:rsidRPr="00F33D7D">
              <w:rPr>
                <w:rFonts w:cs="Arial"/>
                <w:sz w:val="16"/>
                <w:szCs w:val="16"/>
              </w:rPr>
              <w:t>128.857</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53EB6A9E" w14:textId="7E52635A" w:rsidR="0020766A" w:rsidRPr="00F33D7D" w:rsidRDefault="0020766A" w:rsidP="0020766A">
            <w:pPr>
              <w:spacing w:after="0" w:line="240" w:lineRule="auto"/>
              <w:jc w:val="right"/>
              <w:rPr>
                <w:rFonts w:cs="Arial"/>
                <w:sz w:val="16"/>
                <w:szCs w:val="16"/>
              </w:rPr>
            </w:pPr>
            <w:r w:rsidRPr="00F33D7D">
              <w:rPr>
                <w:rFonts w:cs="Arial"/>
                <w:sz w:val="16"/>
                <w:szCs w:val="16"/>
              </w:rPr>
              <w:t>0,30</w:t>
            </w:r>
          </w:p>
        </w:tc>
      </w:tr>
      <w:tr w:rsidR="0020766A" w:rsidRPr="002F06DF" w14:paraId="0D9B4EC3" w14:textId="77777777" w:rsidTr="00C52316">
        <w:trPr>
          <w:cantSplit/>
          <w:trHeight w:val="102"/>
          <w:jc w:val="center"/>
        </w:trPr>
        <w:tc>
          <w:tcPr>
            <w:tcW w:w="3544" w:type="dxa"/>
            <w:tcBorders>
              <w:top w:val="single" w:sz="2" w:space="0" w:color="A6A6A6" w:themeColor="background1" w:themeShade="A6"/>
              <w:bottom w:val="single" w:sz="2" w:space="0" w:color="A6A6A6" w:themeColor="background1" w:themeShade="A6"/>
            </w:tcBorders>
            <w:shd w:val="clear" w:color="auto" w:fill="auto"/>
            <w:noWrap/>
            <w:vAlign w:val="center"/>
            <w:hideMark/>
          </w:tcPr>
          <w:p w14:paraId="28F64C6C" w14:textId="196A6E30" w:rsidR="0020766A" w:rsidRPr="002F06DF" w:rsidRDefault="005E044A" w:rsidP="0020766A">
            <w:pPr>
              <w:spacing w:after="0" w:line="240" w:lineRule="auto"/>
              <w:jc w:val="left"/>
              <w:rPr>
                <w:rFonts w:cs="Arial"/>
                <w:sz w:val="16"/>
                <w:szCs w:val="16"/>
              </w:rPr>
            </w:pPr>
            <w:r w:rsidRPr="00687508">
              <w:rPr>
                <w:rFonts w:cs="Arial"/>
                <w:sz w:val="16"/>
                <w:szCs w:val="16"/>
              </w:rPr>
              <w:t>Ταμείο Εθνικής Οδοποιίας (ΤΕΟ) ΑΕ</w:t>
            </w:r>
          </w:p>
        </w:tc>
        <w:tc>
          <w:tcPr>
            <w:tcW w:w="1462" w:type="dxa"/>
            <w:tcBorders>
              <w:top w:val="single" w:sz="2" w:space="0" w:color="A6A6A6" w:themeColor="background1" w:themeShade="A6"/>
              <w:bottom w:val="single" w:sz="2" w:space="0" w:color="A6A6A6" w:themeColor="background1" w:themeShade="A6"/>
            </w:tcBorders>
            <w:shd w:val="clear" w:color="auto" w:fill="auto"/>
            <w:vAlign w:val="center"/>
            <w:hideMark/>
          </w:tcPr>
          <w:p w14:paraId="0BDE95A4" w14:textId="77777777" w:rsidR="0020766A" w:rsidRPr="00F33D7D" w:rsidRDefault="0020766A" w:rsidP="0020766A">
            <w:pPr>
              <w:spacing w:after="0" w:line="240" w:lineRule="auto"/>
              <w:jc w:val="right"/>
              <w:rPr>
                <w:rFonts w:cs="Arial"/>
                <w:sz w:val="16"/>
                <w:szCs w:val="16"/>
              </w:rPr>
            </w:pPr>
            <w:r w:rsidRPr="00F33D7D">
              <w:rPr>
                <w:rFonts w:cs="Arial"/>
                <w:sz w:val="16"/>
                <w:szCs w:val="16"/>
              </w:rPr>
              <w:t>56.407.327,86</w:t>
            </w:r>
          </w:p>
        </w:tc>
        <w:tc>
          <w:tcPr>
            <w:tcW w:w="1559" w:type="dxa"/>
            <w:tcBorders>
              <w:top w:val="single" w:sz="2" w:space="0" w:color="A6A6A6" w:themeColor="background1" w:themeShade="A6"/>
              <w:bottom w:val="single" w:sz="2" w:space="0" w:color="A6A6A6" w:themeColor="background1" w:themeShade="A6"/>
            </w:tcBorders>
            <w:shd w:val="clear" w:color="auto" w:fill="auto"/>
            <w:vAlign w:val="center"/>
            <w:hideMark/>
          </w:tcPr>
          <w:p w14:paraId="751F7636" w14:textId="77777777" w:rsidR="0020766A" w:rsidRPr="00F33D7D" w:rsidRDefault="0020766A" w:rsidP="0020766A">
            <w:pPr>
              <w:spacing w:after="0" w:line="240" w:lineRule="auto"/>
              <w:jc w:val="right"/>
              <w:rPr>
                <w:rFonts w:cs="Arial"/>
                <w:sz w:val="16"/>
                <w:szCs w:val="16"/>
              </w:rPr>
            </w:pPr>
            <w:r w:rsidRPr="00F33D7D">
              <w:rPr>
                <w:rFonts w:cs="Arial"/>
                <w:sz w:val="16"/>
                <w:szCs w:val="16"/>
              </w:rPr>
              <w:t>56.407.327,86</w:t>
            </w:r>
          </w:p>
        </w:tc>
        <w:tc>
          <w:tcPr>
            <w:tcW w:w="1134" w:type="dxa"/>
            <w:tcBorders>
              <w:top w:val="single" w:sz="2" w:space="0" w:color="A6A6A6" w:themeColor="background1" w:themeShade="A6"/>
              <w:bottom w:val="single" w:sz="2" w:space="0" w:color="A6A6A6" w:themeColor="background1" w:themeShade="A6"/>
            </w:tcBorders>
            <w:shd w:val="clear" w:color="auto" w:fill="auto"/>
            <w:vAlign w:val="center"/>
            <w:hideMark/>
          </w:tcPr>
          <w:p w14:paraId="5306FA50" w14:textId="0B8CDBC4" w:rsidR="0020766A" w:rsidRPr="00F33D7D" w:rsidRDefault="0020766A" w:rsidP="0020766A">
            <w:pPr>
              <w:spacing w:after="0" w:line="240" w:lineRule="auto"/>
              <w:jc w:val="right"/>
              <w:rPr>
                <w:rFonts w:cs="Arial"/>
                <w:sz w:val="16"/>
                <w:szCs w:val="16"/>
              </w:rPr>
            </w:pPr>
            <w:r w:rsidRPr="00F33D7D">
              <w:rPr>
                <w:rFonts w:cs="Arial"/>
                <w:sz w:val="16"/>
                <w:szCs w:val="16"/>
              </w:rPr>
              <w:t>100,00</w:t>
            </w:r>
          </w:p>
        </w:tc>
        <w:tc>
          <w:tcPr>
            <w:tcW w:w="1364" w:type="dxa"/>
            <w:tcBorders>
              <w:top w:val="single" w:sz="2" w:space="0" w:color="A6A6A6" w:themeColor="background1" w:themeShade="A6"/>
              <w:bottom w:val="single" w:sz="2" w:space="0" w:color="A6A6A6" w:themeColor="background1" w:themeShade="A6"/>
            </w:tcBorders>
            <w:shd w:val="clear" w:color="auto" w:fill="auto"/>
            <w:vAlign w:val="center"/>
            <w:hideMark/>
          </w:tcPr>
          <w:p w14:paraId="4DBDC347" w14:textId="77777777" w:rsidR="0020766A" w:rsidRPr="00F33D7D" w:rsidRDefault="0020766A" w:rsidP="0020766A">
            <w:pPr>
              <w:spacing w:after="0" w:line="240" w:lineRule="auto"/>
              <w:jc w:val="right"/>
              <w:rPr>
                <w:rFonts w:cs="Arial"/>
                <w:sz w:val="16"/>
                <w:szCs w:val="16"/>
              </w:rPr>
            </w:pPr>
            <w:r w:rsidRPr="00F33D7D">
              <w:rPr>
                <w:rFonts w:cs="Arial"/>
                <w:sz w:val="16"/>
                <w:szCs w:val="16"/>
              </w:rPr>
              <w:t>1</w:t>
            </w:r>
          </w:p>
        </w:tc>
        <w:tc>
          <w:tcPr>
            <w:tcW w:w="1374" w:type="dxa"/>
            <w:tcBorders>
              <w:top w:val="single" w:sz="2" w:space="0" w:color="A6A6A6" w:themeColor="background1" w:themeShade="A6"/>
              <w:bottom w:val="single" w:sz="2" w:space="0" w:color="A6A6A6" w:themeColor="background1" w:themeShade="A6"/>
            </w:tcBorders>
            <w:shd w:val="clear" w:color="auto" w:fill="auto"/>
            <w:vAlign w:val="center"/>
            <w:hideMark/>
          </w:tcPr>
          <w:p w14:paraId="03F94A12" w14:textId="42AC3CE7" w:rsidR="0020766A" w:rsidRPr="00F33D7D" w:rsidRDefault="0020766A" w:rsidP="0020766A">
            <w:pPr>
              <w:spacing w:after="0" w:line="240" w:lineRule="auto"/>
              <w:jc w:val="right"/>
              <w:rPr>
                <w:rFonts w:cs="Arial"/>
                <w:sz w:val="16"/>
                <w:szCs w:val="16"/>
              </w:rPr>
            </w:pPr>
            <w:r w:rsidRPr="00F33D7D">
              <w:rPr>
                <w:rFonts w:cs="Arial"/>
                <w:sz w:val="16"/>
                <w:szCs w:val="16"/>
              </w:rPr>
              <w:t>56.407.327,86</w:t>
            </w:r>
          </w:p>
        </w:tc>
      </w:tr>
      <w:tr w:rsidR="0020766A" w:rsidRPr="002F06DF" w14:paraId="15B679D2" w14:textId="77777777" w:rsidTr="00DF6444">
        <w:trPr>
          <w:cantSplit/>
          <w:trHeight w:val="410"/>
          <w:jc w:val="center"/>
        </w:trPr>
        <w:tc>
          <w:tcPr>
            <w:tcW w:w="10437" w:type="dxa"/>
            <w:gridSpan w:val="6"/>
            <w:tcBorders>
              <w:top w:val="single" w:sz="2" w:space="0" w:color="A6A6A6" w:themeColor="background1" w:themeShade="A6"/>
              <w:left w:val="nil"/>
              <w:bottom w:val="nil"/>
              <w:right w:val="nil"/>
            </w:tcBorders>
            <w:shd w:val="clear" w:color="auto" w:fill="auto"/>
            <w:noWrap/>
            <w:vAlign w:val="center"/>
          </w:tcPr>
          <w:p w14:paraId="7D287FA9" w14:textId="3446F9F9" w:rsidR="00C2239C" w:rsidRPr="002F06DF" w:rsidRDefault="00C2239C" w:rsidP="00F151DE">
            <w:pPr>
              <w:spacing w:before="60" w:after="0" w:line="276" w:lineRule="auto"/>
              <w:rPr>
                <w:rFonts w:cs="Arial"/>
                <w:sz w:val="16"/>
                <w:szCs w:val="16"/>
              </w:rPr>
            </w:pPr>
            <w:r w:rsidRPr="00CB38F2">
              <w:rPr>
                <w:rFonts w:cs="Arial"/>
                <w:sz w:val="16"/>
                <w:szCs w:val="16"/>
              </w:rPr>
              <w:t>Πηγή:</w:t>
            </w:r>
            <w:r w:rsidR="00DF6444" w:rsidRPr="00CB38F2">
              <w:rPr>
                <w:rFonts w:cs="Arial"/>
                <w:sz w:val="16"/>
                <w:szCs w:val="16"/>
              </w:rPr>
              <w:t xml:space="preserve"> </w:t>
            </w:r>
            <w:r w:rsidRPr="00CB38F2">
              <w:rPr>
                <w:rFonts w:cs="Arial"/>
                <w:sz w:val="16"/>
                <w:szCs w:val="16"/>
              </w:rPr>
              <w:t>Υπουργείο Εθνικής Οικονομίας και Οικονομικών - Μονάδα Αποκρατικοποιήσεων, Διαχείρισης Κινητών Αξιών και Επιχειρησιακού Σχεδιασμού - Τμήμα Γ’ Διαχείρισης Κινητών Αξιών</w:t>
            </w:r>
          </w:p>
        </w:tc>
      </w:tr>
    </w:tbl>
    <w:p w14:paraId="782A1B69" w14:textId="601F41B1" w:rsidR="00F4129D" w:rsidRPr="00C5113D" w:rsidRDefault="00D01A9E" w:rsidP="00300BBF">
      <w:pPr>
        <w:pStyle w:val="3"/>
      </w:pPr>
      <w:bookmarkStart w:id="817" w:name="_Toc214473818"/>
      <w:bookmarkEnd w:id="796"/>
      <w:r w:rsidRPr="00C5113D">
        <w:lastRenderedPageBreak/>
        <w:t>Γενική Γραμματεία Δημόσιας Περιουσίας</w:t>
      </w:r>
      <w:bookmarkEnd w:id="817"/>
    </w:p>
    <w:p w14:paraId="3321DF35" w14:textId="461E164A" w:rsidR="00105917" w:rsidRPr="00FD594B" w:rsidRDefault="001264DE" w:rsidP="003B7998">
      <w:pPr>
        <w:rPr>
          <w:highlight w:val="yellow"/>
        </w:rPr>
      </w:pPr>
      <w:r w:rsidRPr="008917E5">
        <w:t>Για το έτος 202</w:t>
      </w:r>
      <w:r>
        <w:t>6</w:t>
      </w:r>
      <w:r w:rsidRPr="008917E5">
        <w:t xml:space="preserve"> θα ενισχυθεί</w:t>
      </w:r>
      <w:r w:rsidR="00266D2D">
        <w:t xml:space="preserve"> περαιτέρω</w:t>
      </w:r>
      <w:r w:rsidRPr="008917E5">
        <w:t xml:space="preserve"> η ευρεία χρήση των ψηφιακών τεχνολογιών για όλες τις διαδικασίες που αφορούν στη διαχείριση, την αξιοποίηση και την προστασία της περιουσίας του Δημοσίου. Παράλληλα, θα ενταθεί η προσπάθεια </w:t>
      </w:r>
      <w:r w:rsidR="00266D2D">
        <w:t xml:space="preserve">για </w:t>
      </w:r>
      <w:r w:rsidRPr="008917E5">
        <w:t>τον εκσυγχρονισμό της νομοθεσίας της δημόσιας περιουσίας, του αιγιαλού και των κοινωφελών περιουσιών. Πιο αναλυτικά, σχεδιάζονται οι κάτωθι δράσεις:</w:t>
      </w:r>
    </w:p>
    <w:p w14:paraId="498DE864" w14:textId="1581934F" w:rsidR="006258B0" w:rsidRPr="00072EFA" w:rsidRDefault="006258B0" w:rsidP="008005DA">
      <w:pPr>
        <w:tabs>
          <w:tab w:val="left" w:pos="397"/>
        </w:tabs>
        <w:spacing w:before="240"/>
        <w:rPr>
          <w:rFonts w:cs="Arial"/>
          <w:b/>
          <w:szCs w:val="20"/>
        </w:rPr>
      </w:pPr>
      <w:r w:rsidRPr="00072EFA">
        <w:rPr>
          <w:rFonts w:cs="Arial"/>
          <w:b/>
          <w:szCs w:val="20"/>
        </w:rPr>
        <w:t>Α.</w:t>
      </w:r>
      <w:r w:rsidR="008005DA">
        <w:rPr>
          <w:rFonts w:cs="Arial"/>
          <w:b/>
          <w:szCs w:val="20"/>
        </w:rPr>
        <w:tab/>
      </w:r>
      <w:r w:rsidR="00105917" w:rsidRPr="00072EFA">
        <w:rPr>
          <w:rFonts w:cs="Arial"/>
          <w:b/>
          <w:szCs w:val="20"/>
        </w:rPr>
        <w:t>Διαχείριση</w:t>
      </w:r>
      <w:r w:rsidRPr="00072EFA">
        <w:rPr>
          <w:rFonts w:cs="Arial"/>
          <w:b/>
          <w:szCs w:val="20"/>
        </w:rPr>
        <w:t xml:space="preserve"> Δημόσιας Περιουσίας</w:t>
      </w:r>
      <w:r w:rsidR="00105917" w:rsidRPr="00072EFA">
        <w:rPr>
          <w:rFonts w:cs="Arial"/>
          <w:b/>
          <w:szCs w:val="20"/>
        </w:rPr>
        <w:t xml:space="preserve"> και Κοινωφελών Περιουσιών</w:t>
      </w:r>
    </w:p>
    <w:p w14:paraId="326AE303" w14:textId="0D321486" w:rsidR="006258B0" w:rsidRDefault="006258B0" w:rsidP="003B7998">
      <w:pPr>
        <w:spacing w:before="120"/>
        <w:rPr>
          <w:rFonts w:cs="Arial"/>
          <w:b/>
          <w:szCs w:val="20"/>
        </w:rPr>
      </w:pPr>
      <w:r w:rsidRPr="00072EFA">
        <w:rPr>
          <w:rFonts w:cs="Arial"/>
          <w:b/>
          <w:szCs w:val="20"/>
        </w:rPr>
        <w:t>Έργα σε φάση λειτουργίας</w:t>
      </w:r>
      <w:r w:rsidR="009631DA" w:rsidRPr="00072EFA">
        <w:rPr>
          <w:rFonts w:cs="Arial"/>
          <w:b/>
          <w:szCs w:val="20"/>
        </w:rPr>
        <w:t>:</w:t>
      </w:r>
    </w:p>
    <w:p w14:paraId="4304E02D" w14:textId="2A40045C" w:rsidR="001264DE" w:rsidRPr="001264DE" w:rsidRDefault="001264DE" w:rsidP="00B95678">
      <w:pPr>
        <w:pStyle w:val="af0"/>
        <w:numPr>
          <w:ilvl w:val="0"/>
          <w:numId w:val="3"/>
        </w:numPr>
        <w:spacing w:before="120" w:after="60" w:line="300" w:lineRule="auto"/>
        <w:ind w:left="567" w:hanging="283"/>
        <w:contextualSpacing w:val="0"/>
        <w:rPr>
          <w:rFonts w:ascii="Arial" w:eastAsia="Times New Roman" w:hAnsi="Arial" w:cs="Arial"/>
          <w:sz w:val="20"/>
          <w:szCs w:val="20"/>
          <w:lang w:eastAsia="el-GR"/>
        </w:rPr>
      </w:pPr>
      <w:r w:rsidRPr="001264DE">
        <w:rPr>
          <w:rFonts w:ascii="Arial" w:eastAsia="Times New Roman" w:hAnsi="Arial" w:cs="Arial"/>
          <w:sz w:val="20"/>
          <w:szCs w:val="20"/>
          <w:lang w:eastAsia="el-GR"/>
        </w:rPr>
        <w:t>βεβαίωση ηλεκτρονικού χρηματικού καταλόγου μέσω διαλειτουργικότητας με το taxisnet (ΑΑΔΕ)</w:t>
      </w:r>
      <w:r w:rsidR="006D0321">
        <w:rPr>
          <w:rFonts w:ascii="Arial" w:eastAsia="Times New Roman" w:hAnsi="Arial" w:cs="Arial"/>
          <w:sz w:val="20"/>
          <w:szCs w:val="20"/>
          <w:lang w:eastAsia="el-GR"/>
        </w:rPr>
        <w:t>,</w:t>
      </w:r>
    </w:p>
    <w:p w14:paraId="2D18F7AA" w14:textId="4B0B0C0B" w:rsidR="001264DE" w:rsidRPr="001264DE" w:rsidRDefault="001264DE" w:rsidP="001264DE">
      <w:pPr>
        <w:pStyle w:val="af0"/>
        <w:numPr>
          <w:ilvl w:val="0"/>
          <w:numId w:val="3"/>
        </w:numPr>
        <w:spacing w:before="60" w:after="60" w:line="300" w:lineRule="auto"/>
        <w:ind w:left="567" w:hanging="283"/>
        <w:contextualSpacing w:val="0"/>
        <w:rPr>
          <w:rFonts w:ascii="Arial" w:eastAsia="Times New Roman" w:hAnsi="Arial" w:cs="Arial"/>
          <w:sz w:val="20"/>
          <w:szCs w:val="20"/>
          <w:lang w:eastAsia="el-GR"/>
        </w:rPr>
      </w:pPr>
      <w:r w:rsidRPr="001264DE">
        <w:rPr>
          <w:rFonts w:ascii="Arial" w:eastAsia="Times New Roman" w:hAnsi="Arial" w:cs="Arial"/>
          <w:sz w:val="20"/>
          <w:szCs w:val="20"/>
          <w:lang w:eastAsia="el-GR"/>
        </w:rPr>
        <w:t>ανάπτυξη ολοκληρωμένου ψηφιακού εργαλείου από τη Γενική Γραμματεία Πληροφοριακών Συστημάτων και Ψηφιακής Διακυβέρνησης (ΓΓΠΣΨΔ) σε συνεργασία με το «Ελληνικό Κτηματολόγιο» για την αυτόματη σύνταξη των διαγραμμάτων γεωμετρικών μεταβολών αναφορικά με τα δημόσια κτήματα</w:t>
      </w:r>
      <w:r w:rsidR="00C35037">
        <w:rPr>
          <w:rFonts w:ascii="Arial" w:eastAsia="Times New Roman" w:hAnsi="Arial" w:cs="Arial"/>
          <w:sz w:val="20"/>
          <w:szCs w:val="20"/>
          <w:lang w:eastAsia="el-GR"/>
        </w:rPr>
        <w:t xml:space="preserve"> και</w:t>
      </w:r>
    </w:p>
    <w:p w14:paraId="31E1FC04" w14:textId="1283C81F" w:rsidR="001264DE" w:rsidRPr="001264DE" w:rsidRDefault="001264DE" w:rsidP="00B95678">
      <w:pPr>
        <w:pStyle w:val="af0"/>
        <w:numPr>
          <w:ilvl w:val="0"/>
          <w:numId w:val="3"/>
        </w:numPr>
        <w:spacing w:before="60" w:after="120" w:line="300" w:lineRule="auto"/>
        <w:ind w:left="567" w:hanging="283"/>
        <w:contextualSpacing w:val="0"/>
        <w:rPr>
          <w:rFonts w:ascii="Arial" w:eastAsia="Times New Roman" w:hAnsi="Arial" w:cs="Arial"/>
          <w:sz w:val="20"/>
          <w:szCs w:val="20"/>
          <w:lang w:eastAsia="el-GR"/>
        </w:rPr>
      </w:pPr>
      <w:r w:rsidRPr="001264DE">
        <w:rPr>
          <w:rFonts w:ascii="Arial" w:eastAsia="Times New Roman" w:hAnsi="Arial" w:cs="Arial"/>
          <w:sz w:val="20"/>
          <w:szCs w:val="20"/>
          <w:lang w:eastAsia="el-GR"/>
        </w:rPr>
        <w:t>ανάπτυξη διαλειτουργικότητας με το Εθνικό Κτηματολόγιο για την αναζήτηση των ακινήτων των κληρονομο</w:t>
      </w:r>
      <w:r w:rsidR="00F7669C">
        <w:rPr>
          <w:rFonts w:ascii="Arial" w:eastAsia="Times New Roman" w:hAnsi="Arial" w:cs="Arial"/>
          <w:sz w:val="20"/>
          <w:szCs w:val="20"/>
          <w:lang w:eastAsia="el-GR"/>
        </w:rPr>
        <w:t>ύ</w:t>
      </w:r>
      <w:r w:rsidRPr="001264DE">
        <w:rPr>
          <w:rFonts w:ascii="Arial" w:eastAsia="Times New Roman" w:hAnsi="Arial" w:cs="Arial"/>
          <w:sz w:val="20"/>
          <w:szCs w:val="20"/>
          <w:lang w:eastAsia="el-GR"/>
        </w:rPr>
        <w:t>μ</w:t>
      </w:r>
      <w:r w:rsidR="00F7669C">
        <w:rPr>
          <w:rFonts w:ascii="Arial" w:eastAsia="Times New Roman" w:hAnsi="Arial" w:cs="Arial"/>
          <w:sz w:val="20"/>
          <w:szCs w:val="20"/>
          <w:lang w:eastAsia="el-GR"/>
        </w:rPr>
        <w:t>ε</w:t>
      </w:r>
      <w:r w:rsidRPr="001264DE">
        <w:rPr>
          <w:rFonts w:ascii="Arial" w:eastAsia="Times New Roman" w:hAnsi="Arial" w:cs="Arial"/>
          <w:sz w:val="20"/>
          <w:szCs w:val="20"/>
          <w:lang w:eastAsia="el-GR"/>
        </w:rPr>
        <w:t xml:space="preserve">νων των σχολαζουσών κληρονομιών και για την έκδοση πιστοποιητικών ιδιοκτησίας, βαρών και διεκδικήσεων επί αυτών των ακινήτων και με το Μητρώο Πολιτών. Με αυτόν τον τρόπο καθίσταται </w:t>
      </w:r>
      <w:r w:rsidR="00F7669C">
        <w:rPr>
          <w:rFonts w:ascii="Arial" w:eastAsia="Times New Roman" w:hAnsi="Arial" w:cs="Arial"/>
          <w:sz w:val="20"/>
          <w:szCs w:val="20"/>
          <w:lang w:eastAsia="el-GR"/>
        </w:rPr>
        <w:t>ευχερέστερη</w:t>
      </w:r>
      <w:r w:rsidRPr="001264DE">
        <w:rPr>
          <w:rFonts w:ascii="Arial" w:eastAsia="Times New Roman" w:hAnsi="Arial" w:cs="Arial"/>
          <w:sz w:val="20"/>
          <w:szCs w:val="20"/>
          <w:lang w:eastAsia="el-GR"/>
        </w:rPr>
        <w:t xml:space="preserve"> η αναζήτηση των στοιχείων των κληρονομο</w:t>
      </w:r>
      <w:r w:rsidR="00F7669C">
        <w:rPr>
          <w:rFonts w:ascii="Arial" w:eastAsia="Times New Roman" w:hAnsi="Arial" w:cs="Arial"/>
          <w:sz w:val="20"/>
          <w:szCs w:val="20"/>
          <w:lang w:eastAsia="el-GR"/>
        </w:rPr>
        <w:t>ύ</w:t>
      </w:r>
      <w:r w:rsidRPr="001264DE">
        <w:rPr>
          <w:rFonts w:ascii="Arial" w:eastAsia="Times New Roman" w:hAnsi="Arial" w:cs="Arial"/>
          <w:sz w:val="20"/>
          <w:szCs w:val="20"/>
          <w:lang w:eastAsia="el-GR"/>
        </w:rPr>
        <w:t>μ</w:t>
      </w:r>
      <w:r w:rsidR="00F7669C">
        <w:rPr>
          <w:rFonts w:ascii="Arial" w:eastAsia="Times New Roman" w:hAnsi="Arial" w:cs="Arial"/>
          <w:sz w:val="20"/>
          <w:szCs w:val="20"/>
          <w:lang w:eastAsia="el-GR"/>
        </w:rPr>
        <w:t>ε</w:t>
      </w:r>
      <w:r w:rsidRPr="001264DE">
        <w:rPr>
          <w:rFonts w:ascii="Arial" w:eastAsia="Times New Roman" w:hAnsi="Arial" w:cs="Arial"/>
          <w:sz w:val="20"/>
          <w:szCs w:val="20"/>
          <w:lang w:eastAsia="el-GR"/>
        </w:rPr>
        <w:t>νων και επιτυγχάνεται η ταχύτερη εκκαθάριση των κληρονομιών.</w:t>
      </w:r>
    </w:p>
    <w:p w14:paraId="1DB5D619" w14:textId="0AD9101D" w:rsidR="00756FB0" w:rsidRDefault="00756FB0" w:rsidP="003B7998">
      <w:pPr>
        <w:spacing w:before="120"/>
        <w:rPr>
          <w:rFonts w:cs="Arial"/>
          <w:b/>
          <w:szCs w:val="20"/>
        </w:rPr>
      </w:pPr>
      <w:r w:rsidRPr="00756FB0">
        <w:rPr>
          <w:rFonts w:cs="Arial"/>
          <w:b/>
          <w:szCs w:val="20"/>
        </w:rPr>
        <w:t>Έργα υπό υλοποίηση:</w:t>
      </w:r>
    </w:p>
    <w:p w14:paraId="7870CB6F" w14:textId="6136E278" w:rsidR="00C35037" w:rsidRPr="00C35037" w:rsidRDefault="00C35037" w:rsidP="00B95678">
      <w:pPr>
        <w:pStyle w:val="af0"/>
        <w:numPr>
          <w:ilvl w:val="0"/>
          <w:numId w:val="3"/>
        </w:numPr>
        <w:spacing w:before="120" w:after="60" w:line="300" w:lineRule="auto"/>
        <w:ind w:left="567" w:hanging="283"/>
        <w:contextualSpacing w:val="0"/>
        <w:rPr>
          <w:rFonts w:ascii="Arial" w:eastAsia="Times New Roman" w:hAnsi="Arial" w:cs="Arial"/>
          <w:sz w:val="20"/>
          <w:szCs w:val="20"/>
          <w:lang w:eastAsia="el-GR"/>
        </w:rPr>
      </w:pPr>
      <w:r w:rsidRPr="00C35037">
        <w:rPr>
          <w:rFonts w:ascii="Arial" w:eastAsia="Times New Roman" w:hAnsi="Arial" w:cs="Arial"/>
          <w:sz w:val="20"/>
          <w:szCs w:val="20"/>
          <w:lang w:eastAsia="el-GR"/>
        </w:rPr>
        <w:t xml:space="preserve">λειτουργία </w:t>
      </w:r>
      <w:r w:rsidR="00D21E9C">
        <w:rPr>
          <w:rFonts w:ascii="Arial" w:eastAsia="Times New Roman" w:hAnsi="Arial" w:cs="Arial"/>
          <w:sz w:val="20"/>
          <w:szCs w:val="20"/>
          <w:lang w:eastAsia="el-GR"/>
        </w:rPr>
        <w:t xml:space="preserve">του </w:t>
      </w:r>
      <w:r w:rsidRPr="00C35037">
        <w:rPr>
          <w:rFonts w:ascii="Arial" w:eastAsia="Times New Roman" w:hAnsi="Arial" w:cs="Arial"/>
          <w:sz w:val="20"/>
          <w:szCs w:val="20"/>
          <w:lang w:eastAsia="el-GR"/>
        </w:rPr>
        <w:t>ειδικού πληροφοριακού συστήματος «Αιτήσ</w:t>
      </w:r>
      <w:r w:rsidR="00D21E9C">
        <w:rPr>
          <w:rFonts w:ascii="Arial" w:eastAsia="Times New Roman" w:hAnsi="Arial" w:cs="Arial"/>
          <w:sz w:val="20"/>
          <w:szCs w:val="20"/>
          <w:lang w:eastAsia="el-GR"/>
        </w:rPr>
        <w:t>εις</w:t>
      </w:r>
      <w:r w:rsidRPr="00C35037">
        <w:rPr>
          <w:rFonts w:ascii="Arial" w:eastAsia="Times New Roman" w:hAnsi="Arial" w:cs="Arial"/>
          <w:sz w:val="20"/>
          <w:szCs w:val="20"/>
          <w:lang w:eastAsia="el-GR"/>
        </w:rPr>
        <w:t xml:space="preserve"> Εξαγοράς Δημοσίων Ακινήτων», στο πλαίσιο εφαρμογής του ν.5024/2023 (Α’ 41),</w:t>
      </w:r>
    </w:p>
    <w:p w14:paraId="1A39614E" w14:textId="77777777" w:rsidR="00C35037" w:rsidRPr="00C35037" w:rsidRDefault="00C35037" w:rsidP="00C35037">
      <w:pPr>
        <w:pStyle w:val="af0"/>
        <w:numPr>
          <w:ilvl w:val="0"/>
          <w:numId w:val="3"/>
        </w:numPr>
        <w:spacing w:before="60" w:after="60" w:line="300" w:lineRule="auto"/>
        <w:ind w:left="567" w:hanging="283"/>
        <w:contextualSpacing w:val="0"/>
        <w:rPr>
          <w:rFonts w:ascii="Arial" w:eastAsia="Times New Roman" w:hAnsi="Arial" w:cs="Arial"/>
          <w:sz w:val="20"/>
          <w:szCs w:val="20"/>
          <w:lang w:eastAsia="el-GR"/>
        </w:rPr>
      </w:pPr>
      <w:r w:rsidRPr="00C35037">
        <w:rPr>
          <w:rFonts w:ascii="Arial" w:eastAsia="Times New Roman" w:hAnsi="Arial" w:cs="Arial"/>
          <w:sz w:val="20"/>
          <w:szCs w:val="20"/>
          <w:lang w:eastAsia="el-GR"/>
        </w:rPr>
        <w:t>ενημέρωση της γεωχωρικής πληροφορίας της ψηφιακής βάσης δεδομένων της δημόσιας περιουσίας με τους δασικούς χάρτες των αναρτήσεων του 2021 και του 2022 και τους κυρωμένους δασικούς χάρτες,</w:t>
      </w:r>
    </w:p>
    <w:p w14:paraId="7ECB254A" w14:textId="06C66D22" w:rsidR="001C766C" w:rsidRPr="009E6E5F" w:rsidRDefault="00C35037" w:rsidP="00CC0751">
      <w:pPr>
        <w:pStyle w:val="af0"/>
        <w:numPr>
          <w:ilvl w:val="0"/>
          <w:numId w:val="3"/>
        </w:numPr>
        <w:spacing w:before="60" w:after="60" w:line="300" w:lineRule="auto"/>
        <w:ind w:left="567" w:hanging="283"/>
        <w:contextualSpacing w:val="0"/>
        <w:rPr>
          <w:rFonts w:ascii="Arial" w:eastAsia="Times New Roman" w:hAnsi="Arial" w:cs="Arial"/>
          <w:sz w:val="20"/>
          <w:szCs w:val="20"/>
          <w:lang w:eastAsia="el-GR"/>
        </w:rPr>
      </w:pPr>
      <w:r w:rsidRPr="009E6E5F">
        <w:rPr>
          <w:rFonts w:ascii="Arial" w:eastAsia="Times New Roman" w:hAnsi="Arial" w:cs="Arial"/>
          <w:sz w:val="20"/>
          <w:szCs w:val="20"/>
          <w:lang w:eastAsia="el-GR"/>
        </w:rPr>
        <w:t xml:space="preserve">παραχώρηση απλής χρήσης αιγιαλού μέσω ηλεκτρονικών δημοπρασιών, ώστε να ενισχυθεί η διαφάνεια των διαδικασιών και να επιτευχθεί υψηλό τελικό τίμημα, </w:t>
      </w:r>
      <w:r w:rsidR="009E6E5F" w:rsidRPr="009E6E5F">
        <w:rPr>
          <w:rFonts w:ascii="Arial" w:eastAsia="Times New Roman" w:hAnsi="Arial" w:cs="Arial"/>
          <w:sz w:val="20"/>
          <w:szCs w:val="20"/>
          <w:lang w:eastAsia="el-GR"/>
        </w:rPr>
        <w:t>όπως καταδεικνύουν</w:t>
      </w:r>
      <w:r w:rsidR="001C766C" w:rsidRPr="009E6E5F">
        <w:rPr>
          <w:rFonts w:ascii="Arial" w:eastAsia="Times New Roman" w:hAnsi="Arial" w:cs="Arial"/>
          <w:sz w:val="20"/>
          <w:szCs w:val="20"/>
          <w:lang w:eastAsia="el-GR"/>
        </w:rPr>
        <w:t xml:space="preserve"> τα συμπεράσματα του προηγούμενου έτους</w:t>
      </w:r>
      <w:r w:rsidR="009E6E5F">
        <w:rPr>
          <w:rFonts w:ascii="Arial" w:eastAsia="Times New Roman" w:hAnsi="Arial" w:cs="Arial"/>
          <w:sz w:val="20"/>
          <w:szCs w:val="20"/>
          <w:lang w:eastAsia="el-GR"/>
        </w:rPr>
        <w:t xml:space="preserve"> και</w:t>
      </w:r>
    </w:p>
    <w:p w14:paraId="1B5D9BB4" w14:textId="3588434C" w:rsidR="00C35037" w:rsidRPr="00B95678" w:rsidRDefault="00C35037" w:rsidP="00B95678">
      <w:pPr>
        <w:pStyle w:val="af0"/>
        <w:numPr>
          <w:ilvl w:val="0"/>
          <w:numId w:val="3"/>
        </w:numPr>
        <w:spacing w:before="60" w:after="120" w:line="300" w:lineRule="auto"/>
        <w:ind w:left="567" w:hanging="283"/>
        <w:contextualSpacing w:val="0"/>
        <w:rPr>
          <w:rFonts w:ascii="Arial" w:eastAsia="Times New Roman" w:hAnsi="Arial" w:cs="Arial"/>
          <w:sz w:val="20"/>
          <w:szCs w:val="20"/>
          <w:lang w:eastAsia="el-GR"/>
        </w:rPr>
      </w:pPr>
      <w:r w:rsidRPr="00B95678">
        <w:rPr>
          <w:rFonts w:ascii="Arial" w:eastAsia="Times New Roman" w:hAnsi="Arial" w:cs="Arial"/>
          <w:sz w:val="20"/>
          <w:szCs w:val="20"/>
          <w:lang w:eastAsia="el-GR"/>
        </w:rPr>
        <w:t>ανάπτυξη ειδικού πληροφοριακού συστήματος για παραχώρηση απλής χρήσης αιγιαλού σε όμορες επιχειρήσεις.</w:t>
      </w:r>
    </w:p>
    <w:p w14:paraId="7581B61E" w14:textId="02E880FE" w:rsidR="006258B0" w:rsidRDefault="006258B0" w:rsidP="008005DA">
      <w:pPr>
        <w:tabs>
          <w:tab w:val="left" w:pos="397"/>
        </w:tabs>
        <w:spacing w:before="240"/>
        <w:rPr>
          <w:rFonts w:cs="Arial"/>
          <w:b/>
          <w:szCs w:val="20"/>
        </w:rPr>
      </w:pPr>
      <w:r w:rsidRPr="003C4234">
        <w:rPr>
          <w:rFonts w:cs="Arial"/>
          <w:b/>
          <w:szCs w:val="20"/>
        </w:rPr>
        <w:t>Β.</w:t>
      </w:r>
      <w:r w:rsidR="008005DA">
        <w:rPr>
          <w:rFonts w:cs="Arial"/>
          <w:b/>
          <w:szCs w:val="20"/>
        </w:rPr>
        <w:tab/>
      </w:r>
      <w:r w:rsidR="003C4234" w:rsidRPr="003C4234">
        <w:rPr>
          <w:rFonts w:cs="Arial"/>
          <w:b/>
          <w:szCs w:val="20"/>
        </w:rPr>
        <w:t>Αξιοποίηση</w:t>
      </w:r>
      <w:r w:rsidRPr="003C4234">
        <w:rPr>
          <w:rFonts w:cs="Arial"/>
          <w:b/>
          <w:szCs w:val="20"/>
        </w:rPr>
        <w:t xml:space="preserve"> Ακίνητης </w:t>
      </w:r>
      <w:r w:rsidR="003C4234" w:rsidRPr="003C4234">
        <w:rPr>
          <w:rFonts w:cs="Arial"/>
          <w:b/>
          <w:szCs w:val="20"/>
        </w:rPr>
        <w:t xml:space="preserve">Δημόσιας </w:t>
      </w:r>
      <w:r w:rsidRPr="003C4234">
        <w:rPr>
          <w:rFonts w:cs="Arial"/>
          <w:b/>
          <w:szCs w:val="20"/>
        </w:rPr>
        <w:t>Περιουσίας</w:t>
      </w:r>
    </w:p>
    <w:p w14:paraId="4AC61EE8" w14:textId="77777777" w:rsidR="00B95678" w:rsidRPr="00B95678" w:rsidRDefault="00B95678" w:rsidP="00B95678">
      <w:pPr>
        <w:pStyle w:val="af0"/>
        <w:numPr>
          <w:ilvl w:val="0"/>
          <w:numId w:val="3"/>
        </w:numPr>
        <w:spacing w:before="120" w:after="60" w:line="300" w:lineRule="auto"/>
        <w:ind w:left="567" w:hanging="283"/>
        <w:contextualSpacing w:val="0"/>
        <w:rPr>
          <w:rFonts w:ascii="Arial" w:eastAsia="Times New Roman" w:hAnsi="Arial" w:cs="Arial"/>
          <w:sz w:val="20"/>
          <w:szCs w:val="20"/>
          <w:lang w:eastAsia="el-GR"/>
        </w:rPr>
      </w:pPr>
      <w:r w:rsidRPr="00B95678">
        <w:rPr>
          <w:rFonts w:ascii="Arial" w:eastAsia="Times New Roman" w:hAnsi="Arial" w:cs="Arial"/>
          <w:sz w:val="20"/>
          <w:szCs w:val="20"/>
          <w:lang w:eastAsia="el-GR"/>
        </w:rPr>
        <w:t>εκσυγχρονισμός της νομοθεσίας με σκοπό την εναρμόνιση της αξιοποίησης των δημόσιων ακινήτων με τις ανάγκες και τις απαιτήσεις της αγοράς αλλά και με τις βέλτιστες πρακτικές βιώσιμης διαχείρισης,</w:t>
      </w:r>
    </w:p>
    <w:p w14:paraId="2D9C7FA0" w14:textId="4B3FFC1E" w:rsidR="00B95678" w:rsidRPr="00B95678" w:rsidRDefault="00B95678" w:rsidP="00B95678">
      <w:pPr>
        <w:pStyle w:val="af0"/>
        <w:numPr>
          <w:ilvl w:val="0"/>
          <w:numId w:val="3"/>
        </w:numPr>
        <w:spacing w:before="60" w:after="60" w:line="300" w:lineRule="auto"/>
        <w:ind w:left="567" w:hanging="283"/>
        <w:contextualSpacing w:val="0"/>
        <w:rPr>
          <w:rFonts w:ascii="Arial" w:eastAsia="Times New Roman" w:hAnsi="Arial" w:cs="Arial"/>
          <w:sz w:val="20"/>
          <w:szCs w:val="20"/>
          <w:lang w:eastAsia="el-GR"/>
        </w:rPr>
      </w:pPr>
      <w:r w:rsidRPr="00B95678">
        <w:rPr>
          <w:rFonts w:ascii="Arial" w:eastAsia="Times New Roman" w:hAnsi="Arial" w:cs="Arial"/>
          <w:sz w:val="20"/>
          <w:szCs w:val="20"/>
          <w:lang w:eastAsia="el-GR"/>
        </w:rPr>
        <w:t>ανάπτυξη συνεργασίας και διαλειτουργικότητας με άλλους φορείς του ευρύτερου δημόσιου τομέα που διαχειρίζονται ακίνητα</w:t>
      </w:r>
      <w:r>
        <w:rPr>
          <w:rFonts w:ascii="Arial" w:eastAsia="Times New Roman" w:hAnsi="Arial" w:cs="Arial"/>
          <w:sz w:val="20"/>
          <w:szCs w:val="20"/>
          <w:lang w:eastAsia="el-GR"/>
        </w:rPr>
        <w:t xml:space="preserve"> και</w:t>
      </w:r>
    </w:p>
    <w:p w14:paraId="67D8F2B1" w14:textId="370552F3" w:rsidR="00B95678" w:rsidRPr="00B95678" w:rsidRDefault="00B95678" w:rsidP="00B95678">
      <w:pPr>
        <w:pStyle w:val="af0"/>
        <w:numPr>
          <w:ilvl w:val="0"/>
          <w:numId w:val="3"/>
        </w:numPr>
        <w:spacing w:before="60" w:after="120" w:line="300" w:lineRule="auto"/>
        <w:ind w:left="567" w:hanging="283"/>
        <w:contextualSpacing w:val="0"/>
        <w:rPr>
          <w:rFonts w:ascii="Arial" w:eastAsia="Times New Roman" w:hAnsi="Arial" w:cs="Arial"/>
          <w:sz w:val="20"/>
          <w:szCs w:val="20"/>
          <w:lang w:eastAsia="el-GR"/>
        </w:rPr>
      </w:pPr>
      <w:r w:rsidRPr="00B95678">
        <w:rPr>
          <w:rFonts w:ascii="Arial" w:eastAsia="Times New Roman" w:hAnsi="Arial" w:cs="Arial"/>
          <w:sz w:val="20"/>
          <w:szCs w:val="20"/>
          <w:lang w:eastAsia="el-GR"/>
        </w:rPr>
        <w:t>δημιουργία ολοκληρωμένης λύσης καταγραφής, διαχείρισης και αξιοποίησης των ακινήτων του Ελληνικού Δημοσίου μέσω</w:t>
      </w:r>
      <w:r w:rsidR="009E6E5F">
        <w:rPr>
          <w:rFonts w:ascii="Arial" w:eastAsia="Times New Roman" w:hAnsi="Arial" w:cs="Arial"/>
          <w:sz w:val="20"/>
          <w:szCs w:val="20"/>
          <w:lang w:eastAsia="el-GR"/>
        </w:rPr>
        <w:t>,</w:t>
      </w:r>
      <w:r w:rsidRPr="00B95678">
        <w:rPr>
          <w:rFonts w:ascii="Arial" w:eastAsia="Times New Roman" w:hAnsi="Arial" w:cs="Arial"/>
          <w:sz w:val="20"/>
          <w:szCs w:val="20"/>
          <w:lang w:eastAsia="el-GR"/>
        </w:rPr>
        <w:t xml:space="preserve"> μεταξύ άλλων</w:t>
      </w:r>
      <w:r w:rsidR="009E6E5F">
        <w:rPr>
          <w:rFonts w:ascii="Arial" w:eastAsia="Times New Roman" w:hAnsi="Arial" w:cs="Arial"/>
          <w:sz w:val="20"/>
          <w:szCs w:val="20"/>
          <w:lang w:eastAsia="el-GR"/>
        </w:rPr>
        <w:t>,</w:t>
      </w:r>
      <w:r w:rsidRPr="00B95678">
        <w:rPr>
          <w:rFonts w:ascii="Arial" w:eastAsia="Times New Roman" w:hAnsi="Arial" w:cs="Arial"/>
          <w:sz w:val="20"/>
          <w:szCs w:val="20"/>
          <w:lang w:eastAsia="el-GR"/>
        </w:rPr>
        <w:t xml:space="preserve"> και της αναβάθμισης της υπάρχουσας πλατφόρμας αλλά και της ανάπτυξης συστήματος επιχειρηματικής ευφυΐας (</w:t>
      </w:r>
      <w:r w:rsidRPr="00B95678">
        <w:rPr>
          <w:rFonts w:ascii="Arial" w:eastAsia="Times New Roman" w:hAnsi="Arial" w:cs="Arial"/>
          <w:sz w:val="20"/>
          <w:szCs w:val="20"/>
          <w:lang w:val="en-US" w:eastAsia="el-GR"/>
        </w:rPr>
        <w:t>Business</w:t>
      </w:r>
      <w:r w:rsidRPr="00B95678">
        <w:rPr>
          <w:rFonts w:ascii="Arial" w:eastAsia="Times New Roman" w:hAnsi="Arial" w:cs="Arial"/>
          <w:sz w:val="20"/>
          <w:szCs w:val="20"/>
          <w:lang w:eastAsia="el-GR"/>
        </w:rPr>
        <w:t xml:space="preserve"> </w:t>
      </w:r>
      <w:r w:rsidRPr="00B95678">
        <w:rPr>
          <w:rFonts w:ascii="Arial" w:eastAsia="Times New Roman" w:hAnsi="Arial" w:cs="Arial"/>
          <w:sz w:val="20"/>
          <w:szCs w:val="20"/>
          <w:lang w:val="en-US" w:eastAsia="el-GR"/>
        </w:rPr>
        <w:t>Intelligence</w:t>
      </w:r>
      <w:r w:rsidRPr="00B95678">
        <w:rPr>
          <w:rFonts w:ascii="Arial" w:eastAsia="Times New Roman" w:hAnsi="Arial" w:cs="Arial"/>
          <w:sz w:val="20"/>
          <w:szCs w:val="20"/>
          <w:lang w:eastAsia="el-GR"/>
        </w:rPr>
        <w:t xml:space="preserve"> - BI), το οποίο θα επιτρέπει τη σύνθετη ανάλυση δεδομένων και την εξαγωγή αναφορών, ενισχύοντας τη στρατηγική αξιοποίηση των πληροφοριών.</w:t>
      </w:r>
    </w:p>
    <w:p w14:paraId="382D798B" w14:textId="7203CC2B" w:rsidR="007A0529" w:rsidRPr="003C4234" w:rsidRDefault="007A0529" w:rsidP="0076330E">
      <w:pPr>
        <w:keepNext/>
        <w:tabs>
          <w:tab w:val="left" w:pos="397"/>
        </w:tabs>
        <w:spacing w:before="240"/>
        <w:rPr>
          <w:rFonts w:cs="Arial"/>
          <w:b/>
          <w:szCs w:val="20"/>
        </w:rPr>
      </w:pPr>
      <w:r>
        <w:rPr>
          <w:rFonts w:cs="Arial"/>
          <w:b/>
          <w:szCs w:val="20"/>
        </w:rPr>
        <w:lastRenderedPageBreak/>
        <w:t>Γ.</w:t>
      </w:r>
      <w:r w:rsidR="008005DA">
        <w:rPr>
          <w:rFonts w:cs="Arial"/>
          <w:b/>
          <w:szCs w:val="20"/>
        </w:rPr>
        <w:tab/>
      </w:r>
      <w:r>
        <w:rPr>
          <w:rFonts w:cs="Arial"/>
          <w:b/>
          <w:szCs w:val="20"/>
        </w:rPr>
        <w:t>Στέγαση δημόσιων υπηρεσιών</w:t>
      </w:r>
    </w:p>
    <w:p w14:paraId="43179F8D" w14:textId="0BE451A4" w:rsidR="00B95678" w:rsidRPr="008917E5" w:rsidRDefault="009E6E5F" w:rsidP="003025ED">
      <w:r>
        <w:t>Ο</w:t>
      </w:r>
      <w:r w:rsidRPr="008917E5">
        <w:t xml:space="preserve"> εξορθολογισμός των αναγκών στέγασης των δημ</w:t>
      </w:r>
      <w:r>
        <w:t>ό</w:t>
      </w:r>
      <w:r w:rsidRPr="008917E5">
        <w:t>σ</w:t>
      </w:r>
      <w:r>
        <w:t>ι</w:t>
      </w:r>
      <w:r w:rsidRPr="008917E5">
        <w:t xml:space="preserve">ων υπηρεσιών </w:t>
      </w:r>
      <w:r w:rsidR="00B95678" w:rsidRPr="008917E5">
        <w:t>θα συνεχιστεί</w:t>
      </w:r>
      <w:r>
        <w:t xml:space="preserve"> κ</w:t>
      </w:r>
      <w:r w:rsidRPr="008917E5">
        <w:t>αι το έτος 202</w:t>
      </w:r>
      <w:r>
        <w:t>6</w:t>
      </w:r>
      <w:r w:rsidR="00B95678" w:rsidRPr="008917E5">
        <w:t xml:space="preserve"> με τη διενέργεια μειοδοτικών διαγωνισμών και με την εκπόνηση κτ</w:t>
      </w:r>
      <w:r>
        <w:t>η</w:t>
      </w:r>
      <w:r w:rsidR="00B95678" w:rsidRPr="008917E5">
        <w:t xml:space="preserve">ριολογικών προγραμμάτων, σύμφωνα με τα πρότυπα που έχουν εκδοθεί από τις αρμόδιες υπηρεσίες της </w:t>
      </w:r>
      <w:r w:rsidR="00C96A26">
        <w:t>Γενικής Γραμματείας Δημόσιας Περιουσίας (</w:t>
      </w:r>
      <w:r w:rsidR="00B95678" w:rsidRPr="008917E5">
        <w:t>ΓΓΔΠ</w:t>
      </w:r>
      <w:r w:rsidR="00C96A26">
        <w:t>)</w:t>
      </w:r>
      <w:r w:rsidR="00B95678" w:rsidRPr="008917E5">
        <w:t>. Επιπλέον, θα αναζητηθούν κτήρια που θα πληρούν σύγχρονες απαιτήσεις περί ενεργειακής απόδοσης και ασφάλειας. Στο πλαίσιο του εξορθολογισμού των δαπανών του Δημοσίου και της περαιτέρω εξοικονόμησης πόρων, θα εξακολουθήσει η παραχώρηση χώρων σε δημόσια ακίνητα από τις Κτηματικές Υπηρεσίες για τη στέγαση δημόσιων υπηρεσιών, σύμφωνα με το άρθρο 83 του ν.4583/2018 (Α’ 212).</w:t>
      </w:r>
    </w:p>
    <w:p w14:paraId="78D40371" w14:textId="031D9407" w:rsidR="007A0529" w:rsidRDefault="007A0529" w:rsidP="008005DA">
      <w:pPr>
        <w:tabs>
          <w:tab w:val="left" w:pos="397"/>
        </w:tabs>
        <w:spacing w:before="240"/>
        <w:rPr>
          <w:rFonts w:cs="Arial"/>
          <w:szCs w:val="20"/>
        </w:rPr>
      </w:pPr>
      <w:r>
        <w:rPr>
          <w:rFonts w:cs="Arial"/>
          <w:b/>
          <w:szCs w:val="20"/>
        </w:rPr>
        <w:t>Δ.</w:t>
      </w:r>
      <w:r w:rsidR="008005DA">
        <w:rPr>
          <w:rFonts w:cs="Arial"/>
          <w:b/>
          <w:szCs w:val="20"/>
        </w:rPr>
        <w:tab/>
      </w:r>
      <w:r>
        <w:rPr>
          <w:rFonts w:cs="Arial"/>
          <w:b/>
          <w:szCs w:val="20"/>
        </w:rPr>
        <w:t>Προστασία Δημόσιας Περιουσίας</w:t>
      </w:r>
    </w:p>
    <w:p w14:paraId="7C3B39C2" w14:textId="641026B8" w:rsidR="003025ED" w:rsidRPr="008917E5" w:rsidRDefault="003025ED" w:rsidP="003025ED">
      <w:r w:rsidRPr="008917E5">
        <w:t>Κατά το έτος 202</w:t>
      </w:r>
      <w:r>
        <w:t>6</w:t>
      </w:r>
      <w:r w:rsidRPr="008917E5">
        <w:t xml:space="preserve"> προγραμματίζεται να υπάρξει ευρεία χρήση νέων τεχνολογικών μέσων, όπως Συστήματα μη Επανδρωμένων Αεροσκαφών (ΣμηΕΑ - </w:t>
      </w:r>
      <w:r>
        <w:t>drones</w:t>
      </w:r>
      <w:r w:rsidRPr="008917E5">
        <w:t>) σε συνδυασμό με εφαρμογές της τεχνητής νοημοσύνης, για τη διαπίστωση παραβάσεων και την ανεύρεση καταπατήσεων σε κοινόχρηστους χώρους σε σχεδόν πραγματικό χρόνο. Πρόκειται για ένα αποτελεσματικό εργαλείο για τη διενέργεια των απαιτούμενων ελέγχων, οι οποίοι εκτείνονται σε όλη την επικράτεια.</w:t>
      </w:r>
    </w:p>
    <w:p w14:paraId="68923219" w14:textId="2ED59C4F" w:rsidR="007A0529" w:rsidRDefault="007A0529" w:rsidP="008005DA">
      <w:pPr>
        <w:tabs>
          <w:tab w:val="left" w:pos="397"/>
        </w:tabs>
        <w:spacing w:before="240"/>
        <w:rPr>
          <w:rFonts w:cs="Arial"/>
          <w:szCs w:val="20"/>
        </w:rPr>
      </w:pPr>
      <w:r>
        <w:rPr>
          <w:rFonts w:cs="Arial"/>
          <w:b/>
          <w:szCs w:val="20"/>
        </w:rPr>
        <w:t>Ε.</w:t>
      </w:r>
      <w:r w:rsidR="008005DA">
        <w:rPr>
          <w:rFonts w:cs="Arial"/>
          <w:b/>
          <w:szCs w:val="20"/>
        </w:rPr>
        <w:tab/>
      </w:r>
      <w:r>
        <w:rPr>
          <w:rFonts w:cs="Arial"/>
          <w:b/>
          <w:szCs w:val="20"/>
        </w:rPr>
        <w:t>Κώδικας Κοινωφελών Περιουσιών</w:t>
      </w:r>
    </w:p>
    <w:p w14:paraId="6732C7AB" w14:textId="3467018C" w:rsidR="003025ED" w:rsidRPr="00F41021" w:rsidRDefault="003025ED" w:rsidP="00F41021">
      <w:pPr>
        <w:spacing w:before="120"/>
        <w:rPr>
          <w:rFonts w:cs="Arial"/>
          <w:highlight w:val="cyan"/>
        </w:rPr>
      </w:pPr>
      <w:r>
        <w:t>Στο πλαίσιο</w:t>
      </w:r>
      <w:r w:rsidRPr="008917E5">
        <w:t xml:space="preserve"> </w:t>
      </w:r>
      <w:r w:rsidR="00F41021">
        <w:t xml:space="preserve">του </w:t>
      </w:r>
      <w:r w:rsidRPr="008917E5">
        <w:t>εκσυγχρονισμ</w:t>
      </w:r>
      <w:r>
        <w:t>ού</w:t>
      </w:r>
      <w:r w:rsidRPr="008917E5">
        <w:t xml:space="preserve"> </w:t>
      </w:r>
      <w:r w:rsidR="005F6E4E">
        <w:rPr>
          <w:rFonts w:cs="Arial"/>
        </w:rPr>
        <w:t xml:space="preserve">των εφαρμοστέων νομοθετικών διατάξεων που διέπουν τις </w:t>
      </w:r>
      <w:r w:rsidR="005F6E4E" w:rsidRPr="00CA00C8">
        <w:rPr>
          <w:rFonts w:cs="Arial"/>
        </w:rPr>
        <w:t>κοινωφελ</w:t>
      </w:r>
      <w:r w:rsidR="005F6E4E">
        <w:rPr>
          <w:rFonts w:cs="Arial"/>
        </w:rPr>
        <w:t>είς</w:t>
      </w:r>
      <w:r w:rsidR="005F6E4E" w:rsidRPr="00CA00C8">
        <w:rPr>
          <w:rFonts w:cs="Arial"/>
        </w:rPr>
        <w:t xml:space="preserve"> περιουσ</w:t>
      </w:r>
      <w:r w:rsidR="005F6E4E">
        <w:rPr>
          <w:rFonts w:cs="Arial"/>
        </w:rPr>
        <w:t>ίες</w:t>
      </w:r>
      <w:r w:rsidR="00F41021">
        <w:rPr>
          <w:rFonts w:cs="Arial"/>
        </w:rPr>
        <w:t>,</w:t>
      </w:r>
      <w:r w:rsidR="005F6E4E">
        <w:t xml:space="preserve"> </w:t>
      </w:r>
      <w:r w:rsidR="005F6E4E" w:rsidRPr="00FC5B7C">
        <w:rPr>
          <w:rFonts w:cs="Arial"/>
        </w:rPr>
        <w:t xml:space="preserve">προωθείται σχέδιο νόμου </w:t>
      </w:r>
      <w:r w:rsidR="005F6E4E" w:rsidRPr="00F41021">
        <w:rPr>
          <w:rFonts w:cs="Arial"/>
        </w:rPr>
        <w:t>με γνώμονα τη</w:t>
      </w:r>
      <w:r w:rsidR="005F6E4E" w:rsidRPr="00CA00C8">
        <w:rPr>
          <w:rFonts w:cs="Arial"/>
        </w:rPr>
        <w:t xml:space="preserve"> βελτ</w:t>
      </w:r>
      <w:r w:rsidR="005F6E4E">
        <w:rPr>
          <w:rFonts w:cs="Arial"/>
        </w:rPr>
        <w:t>ίωση</w:t>
      </w:r>
      <w:r w:rsidR="005F6E4E" w:rsidRPr="00CA00C8">
        <w:rPr>
          <w:rFonts w:cs="Arial"/>
        </w:rPr>
        <w:t xml:space="preserve"> και </w:t>
      </w:r>
      <w:r w:rsidR="005F6E4E">
        <w:rPr>
          <w:rFonts w:cs="Arial"/>
        </w:rPr>
        <w:t xml:space="preserve">την </w:t>
      </w:r>
      <w:r w:rsidR="005F6E4E" w:rsidRPr="00CA00C8">
        <w:rPr>
          <w:rFonts w:cs="Arial"/>
        </w:rPr>
        <w:t>επιτ</w:t>
      </w:r>
      <w:r w:rsidR="005F6E4E">
        <w:rPr>
          <w:rFonts w:cs="Arial"/>
        </w:rPr>
        <w:t>άχυνση</w:t>
      </w:r>
      <w:r w:rsidR="005F6E4E" w:rsidRPr="00CA00C8">
        <w:rPr>
          <w:rFonts w:cs="Arial"/>
        </w:rPr>
        <w:t xml:space="preserve"> </w:t>
      </w:r>
      <w:r w:rsidR="005F6E4E">
        <w:rPr>
          <w:rFonts w:cs="Arial"/>
        </w:rPr>
        <w:t xml:space="preserve">των </w:t>
      </w:r>
      <w:r w:rsidR="005F6E4E" w:rsidRPr="00CA00C8">
        <w:rPr>
          <w:rFonts w:cs="Arial"/>
        </w:rPr>
        <w:t>σχετικ</w:t>
      </w:r>
      <w:r w:rsidR="005F6E4E">
        <w:rPr>
          <w:rFonts w:cs="Arial"/>
        </w:rPr>
        <w:t>ών</w:t>
      </w:r>
      <w:r w:rsidR="005F6E4E" w:rsidRPr="00CA00C8">
        <w:rPr>
          <w:rFonts w:cs="Arial"/>
        </w:rPr>
        <w:t xml:space="preserve"> διαδικασ</w:t>
      </w:r>
      <w:r w:rsidR="005F6E4E">
        <w:rPr>
          <w:rFonts w:cs="Arial"/>
        </w:rPr>
        <w:t>ιών και τη συνακόλουθη ανταπόκριση</w:t>
      </w:r>
      <w:r w:rsidR="005F6E4E" w:rsidRPr="00CA00C8">
        <w:rPr>
          <w:rFonts w:cs="Arial"/>
        </w:rPr>
        <w:t xml:space="preserve"> </w:t>
      </w:r>
      <w:r w:rsidR="005F6E4E">
        <w:rPr>
          <w:rFonts w:cs="Arial"/>
        </w:rPr>
        <w:t>τ</w:t>
      </w:r>
      <w:r w:rsidR="005F6E4E" w:rsidRPr="00CA00C8">
        <w:rPr>
          <w:rFonts w:cs="Arial"/>
        </w:rPr>
        <w:t>η</w:t>
      </w:r>
      <w:r w:rsidR="005F6E4E">
        <w:rPr>
          <w:rFonts w:cs="Arial"/>
        </w:rPr>
        <w:t>ς</w:t>
      </w:r>
      <w:r w:rsidR="005F6E4E" w:rsidRPr="00CA00C8">
        <w:rPr>
          <w:rFonts w:cs="Arial"/>
        </w:rPr>
        <w:t xml:space="preserve"> διαχείριση</w:t>
      </w:r>
      <w:r w:rsidR="005F6E4E">
        <w:rPr>
          <w:rFonts w:cs="Arial"/>
        </w:rPr>
        <w:t>ς</w:t>
      </w:r>
      <w:r w:rsidR="005F6E4E" w:rsidRPr="00CA00C8">
        <w:rPr>
          <w:rFonts w:cs="Arial"/>
        </w:rPr>
        <w:t xml:space="preserve"> και </w:t>
      </w:r>
      <w:r w:rsidR="005F6E4E">
        <w:rPr>
          <w:rFonts w:cs="Arial"/>
        </w:rPr>
        <w:t>τ</w:t>
      </w:r>
      <w:r w:rsidR="005F6E4E" w:rsidRPr="00CA00C8">
        <w:rPr>
          <w:rFonts w:cs="Arial"/>
        </w:rPr>
        <w:t>η</w:t>
      </w:r>
      <w:r w:rsidR="005F6E4E">
        <w:rPr>
          <w:rFonts w:cs="Arial"/>
        </w:rPr>
        <w:t>ς</w:t>
      </w:r>
      <w:r w:rsidR="005F6E4E" w:rsidRPr="00CA00C8">
        <w:rPr>
          <w:rFonts w:cs="Arial"/>
        </w:rPr>
        <w:t xml:space="preserve"> εποπτεία</w:t>
      </w:r>
      <w:r w:rsidR="005F6E4E">
        <w:rPr>
          <w:rFonts w:cs="Arial"/>
        </w:rPr>
        <w:t>ς</w:t>
      </w:r>
      <w:r w:rsidR="005F6E4E" w:rsidRPr="00CA00C8">
        <w:rPr>
          <w:rFonts w:cs="Arial"/>
        </w:rPr>
        <w:t xml:space="preserve"> των κοινωφελών περιουσιών στις σύγχρονες ανάγκες </w:t>
      </w:r>
      <w:r w:rsidR="005F6E4E">
        <w:rPr>
          <w:rFonts w:cs="Arial"/>
        </w:rPr>
        <w:t>και απαιτήσεις.</w:t>
      </w:r>
    </w:p>
    <w:p w14:paraId="30EBDA4A" w14:textId="1357C664" w:rsidR="00D101E7" w:rsidRPr="00D101E7" w:rsidRDefault="00D101E7" w:rsidP="008005DA">
      <w:pPr>
        <w:tabs>
          <w:tab w:val="left" w:pos="397"/>
        </w:tabs>
        <w:spacing w:before="240"/>
        <w:rPr>
          <w:rFonts w:cs="Arial"/>
          <w:b/>
          <w:szCs w:val="20"/>
        </w:rPr>
      </w:pPr>
      <w:r>
        <w:rPr>
          <w:rFonts w:cs="Arial"/>
          <w:b/>
          <w:szCs w:val="20"/>
        </w:rPr>
        <w:t>ΣΤ.</w:t>
      </w:r>
      <w:r w:rsidR="00266D2D">
        <w:rPr>
          <w:rFonts w:cs="Arial"/>
          <w:b/>
          <w:szCs w:val="20"/>
        </w:rPr>
        <w:tab/>
      </w:r>
      <w:r w:rsidRPr="009209CE">
        <w:rPr>
          <w:b/>
          <w:bCs/>
        </w:rPr>
        <w:t>Κώδικας Δημόσιας Περιουσίας</w:t>
      </w:r>
    </w:p>
    <w:p w14:paraId="3EE082C9" w14:textId="415BD924" w:rsidR="007F09F7" w:rsidRPr="00F25AA8" w:rsidRDefault="005A7CC1" w:rsidP="00D101E7">
      <w:pPr>
        <w:rPr>
          <w:highlight w:val="yellow"/>
        </w:rPr>
      </w:pPr>
      <w:r>
        <w:t>Π</w:t>
      </w:r>
      <w:r w:rsidR="00D101E7">
        <w:t xml:space="preserve">ροωθείται </w:t>
      </w:r>
      <w:r>
        <w:t>η</w:t>
      </w:r>
      <w:r w:rsidR="00D101E7" w:rsidRPr="00A214F3">
        <w:t xml:space="preserve"> διαμόρφωση ενός συνεκτικού νομοθετικού πλαισίου για την κυριότητα, </w:t>
      </w:r>
      <w:r w:rsidR="000B5A8B">
        <w:t xml:space="preserve">τη </w:t>
      </w:r>
      <w:r w:rsidR="00D101E7" w:rsidRPr="00A214F3">
        <w:t xml:space="preserve">διαχείριση και </w:t>
      </w:r>
      <w:r w:rsidR="000B5A8B">
        <w:t xml:space="preserve">την </w:t>
      </w:r>
      <w:r w:rsidR="00D101E7" w:rsidRPr="00A214F3">
        <w:t>προστασία των ακινήτων που ανήκουν στο Δημόσιο και χρησιμοποιούνται για τη λειτουργία του</w:t>
      </w:r>
      <w:bookmarkStart w:id="818" w:name="_Toc114142042"/>
      <w:bookmarkStart w:id="819" w:name="_Toc114142305"/>
      <w:bookmarkStart w:id="820" w:name="_Toc114142380"/>
      <w:bookmarkStart w:id="821" w:name="_Toc114142428"/>
      <w:bookmarkStart w:id="822" w:name="_Toc114149885"/>
      <w:bookmarkStart w:id="823" w:name="_Toc114219140"/>
      <w:bookmarkStart w:id="824" w:name="_Toc114219173"/>
      <w:bookmarkStart w:id="825" w:name="_Toc114219349"/>
      <w:bookmarkStart w:id="826" w:name="_Toc114219398"/>
      <w:bookmarkStart w:id="827" w:name="_Toc114219881"/>
      <w:bookmarkStart w:id="828" w:name="_Toc114234874"/>
      <w:bookmarkStart w:id="829" w:name="_Toc114489544"/>
      <w:bookmarkStart w:id="830" w:name="_Toc114489631"/>
      <w:bookmarkStart w:id="831" w:name="_Toc114489719"/>
      <w:bookmarkStart w:id="832" w:name="_Toc115338190"/>
      <w:bookmarkStart w:id="833" w:name="_Toc115358169"/>
      <w:bookmarkStart w:id="834" w:name="_Toc115424397"/>
      <w:bookmarkStart w:id="835" w:name="_Toc115435263"/>
      <w:bookmarkStart w:id="836" w:name="_Toc115437997"/>
      <w:bookmarkStart w:id="837" w:name="_Toc115526161"/>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r w:rsidR="00D101E7">
        <w:t>.</w:t>
      </w:r>
    </w:p>
    <w:sectPr w:rsidR="007F09F7" w:rsidRPr="00F25AA8" w:rsidSect="008E7E86">
      <w:headerReference w:type="even" r:id="rId124"/>
      <w:headerReference w:type="default" r:id="rId125"/>
      <w:footerReference w:type="even" r:id="rId126"/>
      <w:footerReference w:type="default" r:id="rId127"/>
      <w:footnotePr>
        <w:numRestart w:val="eachSect"/>
      </w:footnotePr>
      <w:pgSz w:w="11906" w:h="16838" w:code="9"/>
      <w:pgMar w:top="1310" w:right="1418" w:bottom="1310" w:left="1418" w:header="652"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56867" w14:textId="77777777" w:rsidR="0002021E" w:rsidRDefault="0002021E">
      <w:r>
        <w:separator/>
      </w:r>
    </w:p>
  </w:endnote>
  <w:endnote w:type="continuationSeparator" w:id="0">
    <w:p w14:paraId="3E3801B0" w14:textId="77777777" w:rsidR="0002021E" w:rsidRDefault="00020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F6176" w14:textId="77777777" w:rsidR="001E7B61" w:rsidRDefault="001E7B61" w:rsidP="00FB7B94">
    <w:pPr>
      <w:pStyle w:val="a4"/>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22E13" w14:textId="5EDB8E07" w:rsidR="001E7B61" w:rsidRPr="00E01479" w:rsidRDefault="001E7B61" w:rsidP="002077DC">
    <w:pPr>
      <w:pStyle w:val="a4"/>
      <w:pBdr>
        <w:top w:val="single" w:sz="12" w:space="1" w:color="2F5496"/>
      </w:pBdr>
      <w:tabs>
        <w:tab w:val="clear" w:pos="4153"/>
        <w:tab w:val="clear" w:pos="8306"/>
        <w:tab w:val="left" w:pos="0"/>
        <w:tab w:val="left" w:pos="1134"/>
      </w:tabs>
      <w:spacing w:after="0" w:line="276" w:lineRule="auto"/>
      <w:jc w:val="left"/>
      <w:rPr>
        <w:b/>
        <w:color w:val="2F5496"/>
        <w:sz w:val="16"/>
        <w:szCs w:val="16"/>
        <w:lang w:val="en-US"/>
      </w:rPr>
    </w:pP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Pr>
        <w:b/>
        <w:noProof/>
        <w:color w:val="2F5496"/>
        <w:sz w:val="16"/>
        <w:szCs w:val="16"/>
      </w:rPr>
      <w:t>68</w:t>
    </w:r>
    <w:r w:rsidRPr="00A72F1C">
      <w:rPr>
        <w:b/>
        <w:color w:val="2F5496"/>
        <w:sz w:val="16"/>
        <w:szCs w:val="16"/>
      </w:rPr>
      <w:fldChar w:fldCharType="end"/>
    </w:r>
    <w:r>
      <w:rPr>
        <w:b/>
        <w:color w:val="2F5496"/>
        <w:sz w:val="16"/>
        <w:szCs w:val="16"/>
      </w:rPr>
      <w:tab/>
      <w:t xml:space="preserve">ΕΙΣΗΓΗΤΙΚΗ ΕΚΘΕΣΗ </w:t>
    </w:r>
    <w:r w:rsidRPr="002B5330">
      <w:rPr>
        <w:b/>
        <w:color w:val="2F5496"/>
        <w:sz w:val="16"/>
        <w:szCs w:val="16"/>
      </w:rPr>
      <w:t>ΚΡΑΤΙΚΟΥ ΠΡΟΫΠΟΛΟΓΙΣΜΟΥ 202</w:t>
    </w:r>
    <w:r>
      <w:rPr>
        <w:b/>
        <w:color w:val="2F5496"/>
        <w:sz w:val="16"/>
        <w:szCs w:val="16"/>
      </w:rPr>
      <w:t>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916D5" w14:textId="239C1856" w:rsidR="001E7B61" w:rsidRPr="00A72F1C" w:rsidRDefault="001E7B61" w:rsidP="002077DC">
    <w:pPr>
      <w:pStyle w:val="a4"/>
      <w:pBdr>
        <w:top w:val="single" w:sz="12" w:space="1" w:color="2F5496"/>
      </w:pBdr>
      <w:tabs>
        <w:tab w:val="clear" w:pos="4153"/>
        <w:tab w:val="clear" w:pos="8306"/>
        <w:tab w:val="right" w:pos="7938"/>
        <w:tab w:val="right" w:pos="9070"/>
      </w:tabs>
      <w:spacing w:after="0" w:line="276" w:lineRule="auto"/>
      <w:rPr>
        <w:b/>
        <w:color w:val="2F5496"/>
        <w:sz w:val="16"/>
        <w:szCs w:val="16"/>
      </w:rPr>
    </w:pPr>
    <w:r w:rsidRPr="00A72F1C">
      <w:rPr>
        <w:color w:val="2F5496"/>
        <w:sz w:val="16"/>
        <w:szCs w:val="16"/>
      </w:rPr>
      <w:tab/>
    </w:r>
    <w:r>
      <w:rPr>
        <w:b/>
        <w:color w:val="2F5496"/>
        <w:sz w:val="16"/>
        <w:szCs w:val="16"/>
      </w:rPr>
      <w:t xml:space="preserve">ΕΙΣΗΓΗΤΙΚΗ ΕΚΘΕΣΗ </w:t>
    </w:r>
    <w:r w:rsidRPr="002B5330">
      <w:rPr>
        <w:b/>
        <w:color w:val="2F5496"/>
        <w:sz w:val="16"/>
        <w:szCs w:val="16"/>
      </w:rPr>
      <w:t>ΚΡΑΤΙΚΟΥ ΠΡΟΫΠΟΛΟΓΙΣΜΟΥ 202</w:t>
    </w:r>
    <w:r>
      <w:rPr>
        <w:b/>
        <w:color w:val="2F5496"/>
        <w:sz w:val="16"/>
        <w:szCs w:val="16"/>
      </w:rPr>
      <w:t>6</w:t>
    </w:r>
    <w:r>
      <w:rPr>
        <w:b/>
        <w:color w:val="2F5496"/>
        <w:sz w:val="16"/>
        <w:szCs w:val="16"/>
        <w:lang w:val="en-US"/>
      </w:rPr>
      <w:tab/>
    </w: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Pr>
        <w:b/>
        <w:noProof/>
        <w:color w:val="2F5496"/>
        <w:sz w:val="16"/>
        <w:szCs w:val="16"/>
      </w:rPr>
      <w:t>69</w:t>
    </w:r>
    <w:r w:rsidRPr="00A72F1C">
      <w:rPr>
        <w:b/>
        <w:color w:val="2F5496"/>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D177E" w14:textId="71B6A3D7" w:rsidR="001E7B61" w:rsidRPr="005C6AA7" w:rsidRDefault="001E7B61" w:rsidP="00082595">
    <w:pPr>
      <w:pStyle w:val="a4"/>
      <w:pBdr>
        <w:top w:val="single" w:sz="12" w:space="1" w:color="2F5496"/>
      </w:pBdr>
      <w:tabs>
        <w:tab w:val="clear" w:pos="4153"/>
        <w:tab w:val="clear" w:pos="8306"/>
        <w:tab w:val="left" w:pos="0"/>
        <w:tab w:val="left" w:pos="1134"/>
      </w:tabs>
      <w:spacing w:after="0" w:line="276" w:lineRule="auto"/>
      <w:rPr>
        <w:color w:val="2F5496"/>
        <w:sz w:val="16"/>
        <w:szCs w:val="16"/>
        <w:lang w:val="en-US"/>
      </w:rPr>
    </w:pPr>
    <w:r w:rsidRPr="002B5330">
      <w:rPr>
        <w:b/>
        <w:color w:val="2F5496"/>
        <w:sz w:val="16"/>
        <w:szCs w:val="16"/>
      </w:rPr>
      <w:fldChar w:fldCharType="begin"/>
    </w:r>
    <w:r w:rsidRPr="002B5330">
      <w:rPr>
        <w:b/>
        <w:color w:val="2F5496"/>
        <w:sz w:val="16"/>
        <w:szCs w:val="16"/>
      </w:rPr>
      <w:instrText>PAGE   \* MERGEFORMAT</w:instrText>
    </w:r>
    <w:r w:rsidRPr="002B5330">
      <w:rPr>
        <w:b/>
        <w:color w:val="2F5496"/>
        <w:sz w:val="16"/>
        <w:szCs w:val="16"/>
      </w:rPr>
      <w:fldChar w:fldCharType="separate"/>
    </w:r>
    <w:r>
      <w:rPr>
        <w:b/>
        <w:noProof/>
        <w:color w:val="2F5496"/>
        <w:sz w:val="16"/>
        <w:szCs w:val="16"/>
      </w:rPr>
      <w:t>20</w:t>
    </w:r>
    <w:r w:rsidRPr="002B5330">
      <w:rPr>
        <w:b/>
        <w:color w:val="2F5496"/>
        <w:sz w:val="16"/>
        <w:szCs w:val="16"/>
      </w:rPr>
      <w:fldChar w:fldCharType="end"/>
    </w:r>
    <w:r>
      <w:rPr>
        <w:b/>
        <w:color w:val="2F5496"/>
        <w:sz w:val="16"/>
        <w:szCs w:val="16"/>
      </w:rPr>
      <w:tab/>
      <w:t xml:space="preserve">ΕΙΣΗΓΗΤΙΚΗ ΕΚΘΕΣΗ </w:t>
    </w:r>
    <w:r w:rsidRPr="002B5330">
      <w:rPr>
        <w:b/>
        <w:color w:val="2F5496"/>
        <w:sz w:val="16"/>
        <w:szCs w:val="16"/>
      </w:rPr>
      <w:t>ΚΡΑΤΙΚΟΥ ΠΡΟΫΠΟΛΟΓΙΣΜΟΥ 202</w:t>
    </w:r>
    <w:r>
      <w:rPr>
        <w:b/>
        <w:color w:val="2F5496"/>
        <w:sz w:val="16"/>
        <w:szCs w:val="1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9C8A0" w14:textId="5B64AC78" w:rsidR="001E7B61" w:rsidRPr="002B5330" w:rsidRDefault="001E7B61" w:rsidP="00082595">
    <w:pPr>
      <w:pStyle w:val="a4"/>
      <w:pBdr>
        <w:top w:val="single" w:sz="12" w:space="1" w:color="2F5496"/>
      </w:pBdr>
      <w:tabs>
        <w:tab w:val="clear" w:pos="4153"/>
        <w:tab w:val="clear" w:pos="8306"/>
        <w:tab w:val="right" w:pos="7938"/>
        <w:tab w:val="right" w:pos="9072"/>
      </w:tabs>
      <w:spacing w:after="0" w:line="276" w:lineRule="auto"/>
      <w:rPr>
        <w:color w:val="2F5496"/>
        <w:sz w:val="16"/>
        <w:szCs w:val="16"/>
      </w:rPr>
    </w:pPr>
    <w:r>
      <w:rPr>
        <w:b/>
        <w:color w:val="2F5496"/>
        <w:sz w:val="16"/>
        <w:szCs w:val="16"/>
      </w:rPr>
      <w:tab/>
      <w:t xml:space="preserve">ΕΙΣΗΓΗΤΙΚΗ ΕΚΘΕΣΗ </w:t>
    </w:r>
    <w:r w:rsidRPr="002B5330">
      <w:rPr>
        <w:b/>
        <w:color w:val="2F5496"/>
        <w:sz w:val="16"/>
        <w:szCs w:val="16"/>
      </w:rPr>
      <w:t>ΚΡΑΤΙΚΟΥ ΠΡΟΫΠΟΛΟΓΙΣΜΟΥ 202</w:t>
    </w:r>
    <w:r>
      <w:rPr>
        <w:b/>
        <w:color w:val="2F5496"/>
        <w:sz w:val="16"/>
        <w:szCs w:val="16"/>
      </w:rPr>
      <w:t>6</w:t>
    </w:r>
    <w:r>
      <w:rPr>
        <w:b/>
        <w:color w:val="2F5496"/>
        <w:sz w:val="16"/>
        <w:szCs w:val="16"/>
      </w:rPr>
      <w:tab/>
    </w:r>
    <w:r w:rsidRPr="002B5330">
      <w:rPr>
        <w:b/>
        <w:color w:val="2F5496"/>
        <w:sz w:val="16"/>
        <w:szCs w:val="16"/>
      </w:rPr>
      <w:fldChar w:fldCharType="begin"/>
    </w:r>
    <w:r w:rsidRPr="002B5330">
      <w:rPr>
        <w:b/>
        <w:color w:val="2F5496"/>
        <w:sz w:val="16"/>
        <w:szCs w:val="16"/>
      </w:rPr>
      <w:instrText>PAGE   \* MERGEFORMAT</w:instrText>
    </w:r>
    <w:r w:rsidRPr="002B5330">
      <w:rPr>
        <w:b/>
        <w:color w:val="2F5496"/>
        <w:sz w:val="16"/>
        <w:szCs w:val="16"/>
      </w:rPr>
      <w:fldChar w:fldCharType="separate"/>
    </w:r>
    <w:r>
      <w:rPr>
        <w:b/>
        <w:noProof/>
        <w:color w:val="2F5496"/>
        <w:sz w:val="16"/>
        <w:szCs w:val="16"/>
      </w:rPr>
      <w:t>21</w:t>
    </w:r>
    <w:r w:rsidRPr="002B5330">
      <w:rPr>
        <w:b/>
        <w:color w:val="2F5496"/>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0BEF8" w14:textId="3839BA71" w:rsidR="001E7B61" w:rsidRPr="005C6AA7" w:rsidRDefault="001E7B61" w:rsidP="00B06910">
    <w:pPr>
      <w:pStyle w:val="a4"/>
      <w:pBdr>
        <w:top w:val="single" w:sz="12" w:space="1" w:color="2F5496"/>
      </w:pBdr>
      <w:tabs>
        <w:tab w:val="clear" w:pos="4153"/>
        <w:tab w:val="clear" w:pos="8306"/>
        <w:tab w:val="left" w:pos="0"/>
        <w:tab w:val="left" w:pos="1134"/>
      </w:tabs>
      <w:spacing w:after="0" w:line="276" w:lineRule="auto"/>
      <w:jc w:val="left"/>
      <w:rPr>
        <w:b/>
        <w:color w:val="2F5496"/>
        <w:sz w:val="16"/>
        <w:szCs w:val="16"/>
        <w:lang w:val="en-US"/>
      </w:rPr>
    </w:pP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Pr>
        <w:b/>
        <w:noProof/>
        <w:color w:val="2F5496"/>
        <w:sz w:val="16"/>
        <w:szCs w:val="16"/>
      </w:rPr>
      <w:t>40</w:t>
    </w:r>
    <w:r w:rsidRPr="00A72F1C">
      <w:rPr>
        <w:b/>
        <w:color w:val="2F5496"/>
        <w:sz w:val="16"/>
        <w:szCs w:val="16"/>
      </w:rPr>
      <w:fldChar w:fldCharType="end"/>
    </w:r>
    <w:r>
      <w:rPr>
        <w:b/>
        <w:color w:val="2F5496"/>
        <w:sz w:val="16"/>
        <w:szCs w:val="16"/>
      </w:rPr>
      <w:tab/>
      <w:t xml:space="preserve">ΕΙΣΗΓΗΤΙΚΗ ΕΚΘΕΣΗ </w:t>
    </w:r>
    <w:r w:rsidRPr="002B5330">
      <w:rPr>
        <w:b/>
        <w:color w:val="2F5496"/>
        <w:sz w:val="16"/>
        <w:szCs w:val="16"/>
      </w:rPr>
      <w:t>ΚΡΑΤΙΚΟΥ ΠΡΟΫΠΟΛΟΓΙΣΜΟΥ 202</w:t>
    </w:r>
    <w:r>
      <w:rPr>
        <w:b/>
        <w:color w:val="2F5496"/>
        <w:sz w:val="16"/>
        <w:szCs w:val="16"/>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A47D4" w14:textId="3A015A80" w:rsidR="001E7B61" w:rsidRPr="00A72F1C" w:rsidRDefault="001E7B61" w:rsidP="00B06910">
    <w:pPr>
      <w:pStyle w:val="a4"/>
      <w:pBdr>
        <w:top w:val="single" w:sz="12" w:space="1" w:color="2F5496"/>
      </w:pBdr>
      <w:tabs>
        <w:tab w:val="clear" w:pos="4153"/>
        <w:tab w:val="clear" w:pos="8306"/>
        <w:tab w:val="right" w:pos="7938"/>
        <w:tab w:val="right" w:pos="9072"/>
      </w:tabs>
      <w:spacing w:after="0" w:line="276" w:lineRule="auto"/>
      <w:rPr>
        <w:b/>
        <w:color w:val="2F5496"/>
        <w:sz w:val="16"/>
        <w:szCs w:val="16"/>
      </w:rPr>
    </w:pPr>
    <w:r w:rsidRPr="00A72F1C">
      <w:rPr>
        <w:color w:val="2F5496"/>
        <w:sz w:val="16"/>
        <w:szCs w:val="16"/>
      </w:rPr>
      <w:tab/>
    </w:r>
    <w:r>
      <w:rPr>
        <w:b/>
        <w:color w:val="2F5496"/>
        <w:sz w:val="16"/>
        <w:szCs w:val="16"/>
      </w:rPr>
      <w:t xml:space="preserve">ΕΙΣΗΓΗΤΙΚΗ ΕΚΘΕΣΗ </w:t>
    </w:r>
    <w:r w:rsidRPr="002B5330">
      <w:rPr>
        <w:b/>
        <w:color w:val="2F5496"/>
        <w:sz w:val="16"/>
        <w:szCs w:val="16"/>
      </w:rPr>
      <w:t>ΚΡΑΤΙΚΟΥ ΠΡΟΫΠΟΛΟΓΙΣΜΟΥ 202</w:t>
    </w:r>
    <w:r>
      <w:rPr>
        <w:b/>
        <w:color w:val="2F5496"/>
        <w:sz w:val="16"/>
        <w:szCs w:val="16"/>
      </w:rPr>
      <w:t>6</w:t>
    </w:r>
    <w:r>
      <w:rPr>
        <w:b/>
        <w:color w:val="2F5496"/>
        <w:sz w:val="16"/>
        <w:szCs w:val="16"/>
      </w:rPr>
      <w:tab/>
    </w: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Pr>
        <w:b/>
        <w:noProof/>
        <w:color w:val="2F5496"/>
        <w:sz w:val="16"/>
        <w:szCs w:val="16"/>
      </w:rPr>
      <w:t>41</w:t>
    </w:r>
    <w:r w:rsidRPr="00A72F1C">
      <w:rPr>
        <w:b/>
        <w:color w:val="2F5496"/>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AD98C" w14:textId="02D9E4EE" w:rsidR="001E7B61" w:rsidRPr="00CE18B4" w:rsidRDefault="001E7B61" w:rsidP="00EF0A5D">
    <w:pPr>
      <w:pStyle w:val="a4"/>
      <w:pBdr>
        <w:top w:val="single" w:sz="12" w:space="1" w:color="2F5496"/>
      </w:pBdr>
      <w:tabs>
        <w:tab w:val="clear" w:pos="4153"/>
        <w:tab w:val="clear" w:pos="8306"/>
        <w:tab w:val="left" w:pos="0"/>
        <w:tab w:val="left" w:pos="1134"/>
      </w:tabs>
      <w:spacing w:after="0" w:line="276" w:lineRule="auto"/>
      <w:jc w:val="left"/>
      <w:rPr>
        <w:b/>
        <w:color w:val="2F5496"/>
        <w:sz w:val="16"/>
        <w:szCs w:val="16"/>
        <w:lang w:val="en-US"/>
      </w:rPr>
    </w:pP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Pr>
        <w:b/>
        <w:noProof/>
        <w:color w:val="2F5496"/>
        <w:sz w:val="16"/>
        <w:szCs w:val="16"/>
      </w:rPr>
      <w:t>66</w:t>
    </w:r>
    <w:r w:rsidRPr="00A72F1C">
      <w:rPr>
        <w:b/>
        <w:color w:val="2F5496"/>
        <w:sz w:val="16"/>
        <w:szCs w:val="16"/>
      </w:rPr>
      <w:fldChar w:fldCharType="end"/>
    </w:r>
    <w:r>
      <w:rPr>
        <w:b/>
        <w:color w:val="2F5496"/>
        <w:sz w:val="16"/>
        <w:szCs w:val="16"/>
      </w:rPr>
      <w:tab/>
      <w:t xml:space="preserve">ΕΙΣΗΓΗΤΙΚΗ ΕΚΘΕΣΗ </w:t>
    </w:r>
    <w:r w:rsidRPr="002B5330">
      <w:rPr>
        <w:b/>
        <w:color w:val="2F5496"/>
        <w:sz w:val="16"/>
        <w:szCs w:val="16"/>
      </w:rPr>
      <w:t>ΚΡΑΤΙΚΟΥ ΠΡΟΫΠΟΛΟΓΙΣΜΟΥ 202</w:t>
    </w:r>
    <w:r>
      <w:rPr>
        <w:b/>
        <w:color w:val="2F5496"/>
        <w:sz w:val="16"/>
        <w:szCs w:val="16"/>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1755C" w14:textId="74F670AA" w:rsidR="001E7B61" w:rsidRPr="00A72F1C" w:rsidRDefault="001E7B61" w:rsidP="00EF0A5D">
    <w:pPr>
      <w:pStyle w:val="a4"/>
      <w:pBdr>
        <w:top w:val="single" w:sz="12" w:space="1" w:color="2F5496"/>
      </w:pBdr>
      <w:tabs>
        <w:tab w:val="clear" w:pos="4153"/>
        <w:tab w:val="clear" w:pos="8306"/>
        <w:tab w:val="right" w:pos="7938"/>
        <w:tab w:val="right" w:pos="9072"/>
      </w:tabs>
      <w:spacing w:after="0" w:line="276" w:lineRule="auto"/>
      <w:rPr>
        <w:b/>
        <w:color w:val="2F5496"/>
        <w:sz w:val="16"/>
        <w:szCs w:val="16"/>
      </w:rPr>
    </w:pPr>
    <w:r w:rsidRPr="00A72F1C">
      <w:rPr>
        <w:color w:val="2F5496"/>
        <w:sz w:val="16"/>
        <w:szCs w:val="16"/>
      </w:rPr>
      <w:tab/>
    </w:r>
    <w:r>
      <w:rPr>
        <w:b/>
        <w:color w:val="2F5496"/>
        <w:sz w:val="16"/>
        <w:szCs w:val="16"/>
      </w:rPr>
      <w:t xml:space="preserve">ΕΙΣΗΓΗΤΙΚΗ ΕΚΘΕΣΗ </w:t>
    </w:r>
    <w:r w:rsidRPr="002B5330">
      <w:rPr>
        <w:b/>
        <w:color w:val="2F5496"/>
        <w:sz w:val="16"/>
        <w:szCs w:val="16"/>
      </w:rPr>
      <w:t>ΚΡΑΤΙΚΟΥ ΠΡΟΫΠΟΛΟΓΙΣΜΟΥ 202</w:t>
    </w:r>
    <w:r>
      <w:rPr>
        <w:b/>
        <w:color w:val="2F5496"/>
        <w:sz w:val="16"/>
        <w:szCs w:val="16"/>
      </w:rPr>
      <w:t>6</w:t>
    </w:r>
    <w:r>
      <w:rPr>
        <w:b/>
        <w:color w:val="2F5496"/>
        <w:sz w:val="16"/>
        <w:szCs w:val="16"/>
        <w:lang w:val="en-US"/>
      </w:rPr>
      <w:tab/>
    </w: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Pr>
        <w:b/>
        <w:noProof/>
        <w:color w:val="2F5496"/>
        <w:sz w:val="16"/>
        <w:szCs w:val="16"/>
      </w:rPr>
      <w:t>65</w:t>
    </w:r>
    <w:r w:rsidRPr="00A72F1C">
      <w:rPr>
        <w:b/>
        <w:color w:val="2F5496"/>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6450B" w14:textId="245D60EB" w:rsidR="001E7B61" w:rsidRPr="00CE18B4" w:rsidRDefault="001E7B61" w:rsidP="002077DC">
    <w:pPr>
      <w:pStyle w:val="a4"/>
      <w:pBdr>
        <w:top w:val="single" w:sz="12" w:space="1" w:color="2F5496"/>
      </w:pBdr>
      <w:tabs>
        <w:tab w:val="clear" w:pos="4153"/>
        <w:tab w:val="clear" w:pos="8306"/>
        <w:tab w:val="left" w:pos="0"/>
        <w:tab w:val="left" w:pos="1134"/>
      </w:tabs>
      <w:spacing w:after="0" w:line="276" w:lineRule="auto"/>
      <w:jc w:val="left"/>
      <w:rPr>
        <w:b/>
        <w:color w:val="2F5496"/>
        <w:sz w:val="16"/>
        <w:szCs w:val="16"/>
        <w:lang w:val="en-US"/>
      </w:rPr>
    </w:pP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Pr>
        <w:b/>
        <w:noProof/>
        <w:color w:val="2F5496"/>
        <w:sz w:val="16"/>
        <w:szCs w:val="16"/>
      </w:rPr>
      <w:t>66</w:t>
    </w:r>
    <w:r w:rsidRPr="00A72F1C">
      <w:rPr>
        <w:b/>
        <w:color w:val="2F5496"/>
        <w:sz w:val="16"/>
        <w:szCs w:val="16"/>
      </w:rPr>
      <w:fldChar w:fldCharType="end"/>
    </w:r>
    <w:r>
      <w:rPr>
        <w:b/>
        <w:color w:val="2F5496"/>
        <w:sz w:val="16"/>
        <w:szCs w:val="16"/>
      </w:rPr>
      <w:tab/>
      <w:t xml:space="preserve">ΕΙΣΗΓΗΤΙΚΗ ΕΚΘΕΣΗ </w:t>
    </w:r>
    <w:r w:rsidRPr="002B5330">
      <w:rPr>
        <w:b/>
        <w:color w:val="2F5496"/>
        <w:sz w:val="16"/>
        <w:szCs w:val="16"/>
      </w:rPr>
      <w:t>ΚΡΑΤΙΚΟΥ ΠΡΟΫΠΟΛΟΓΙΣΜΟΥ 202</w:t>
    </w:r>
    <w:r>
      <w:rPr>
        <w:b/>
        <w:color w:val="2F5496"/>
        <w:sz w:val="16"/>
        <w:szCs w:val="16"/>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A48B2" w14:textId="64363BE1" w:rsidR="001E7B61" w:rsidRPr="00A72F1C" w:rsidRDefault="001E7B61" w:rsidP="002077DC">
    <w:pPr>
      <w:pStyle w:val="a4"/>
      <w:pBdr>
        <w:top w:val="single" w:sz="12" w:space="1" w:color="2F5496"/>
      </w:pBdr>
      <w:tabs>
        <w:tab w:val="clear" w:pos="4153"/>
        <w:tab w:val="clear" w:pos="8306"/>
        <w:tab w:val="right" w:pos="7938"/>
        <w:tab w:val="right" w:pos="9072"/>
      </w:tabs>
      <w:spacing w:after="0" w:line="276" w:lineRule="auto"/>
      <w:rPr>
        <w:b/>
        <w:color w:val="2F5496"/>
        <w:sz w:val="16"/>
        <w:szCs w:val="16"/>
      </w:rPr>
    </w:pPr>
    <w:r w:rsidRPr="00A72F1C">
      <w:rPr>
        <w:color w:val="2F5496"/>
        <w:sz w:val="16"/>
        <w:szCs w:val="16"/>
      </w:rPr>
      <w:tab/>
    </w:r>
    <w:r>
      <w:rPr>
        <w:b/>
        <w:color w:val="2F5496"/>
        <w:sz w:val="16"/>
        <w:szCs w:val="16"/>
      </w:rPr>
      <w:t xml:space="preserve">ΕΙΣΗΓΗΤΙΚΗ ΕΚΘΕΣΗ </w:t>
    </w:r>
    <w:r w:rsidRPr="002B5330">
      <w:rPr>
        <w:b/>
        <w:color w:val="2F5496"/>
        <w:sz w:val="16"/>
        <w:szCs w:val="16"/>
      </w:rPr>
      <w:t>ΚΡΑΤΙΚΟΥ ΠΡΟΫΠΟΛΟΓΙΣΜΟΥ 202</w:t>
    </w:r>
    <w:r>
      <w:rPr>
        <w:b/>
        <w:color w:val="2F5496"/>
        <w:sz w:val="16"/>
        <w:szCs w:val="16"/>
      </w:rPr>
      <w:t>6</w:t>
    </w:r>
    <w:r>
      <w:rPr>
        <w:b/>
        <w:color w:val="2F5496"/>
        <w:sz w:val="16"/>
        <w:szCs w:val="16"/>
        <w:lang w:val="en-US"/>
      </w:rPr>
      <w:tab/>
    </w:r>
    <w:r w:rsidRPr="00A72F1C">
      <w:rPr>
        <w:b/>
        <w:color w:val="2F5496"/>
        <w:sz w:val="16"/>
        <w:szCs w:val="16"/>
      </w:rPr>
      <w:fldChar w:fldCharType="begin"/>
    </w:r>
    <w:r w:rsidRPr="00A72F1C">
      <w:rPr>
        <w:b/>
        <w:color w:val="2F5496"/>
        <w:sz w:val="16"/>
        <w:szCs w:val="16"/>
      </w:rPr>
      <w:instrText>PAGE   \* MERGEFORMAT</w:instrText>
    </w:r>
    <w:r w:rsidRPr="00A72F1C">
      <w:rPr>
        <w:b/>
        <w:color w:val="2F5496"/>
        <w:sz w:val="16"/>
        <w:szCs w:val="16"/>
      </w:rPr>
      <w:fldChar w:fldCharType="separate"/>
    </w:r>
    <w:r>
      <w:rPr>
        <w:b/>
        <w:noProof/>
        <w:color w:val="2F5496"/>
        <w:sz w:val="16"/>
        <w:szCs w:val="16"/>
      </w:rPr>
      <w:t>65</w:t>
    </w:r>
    <w:r w:rsidRPr="00A72F1C">
      <w:rPr>
        <w:b/>
        <w:color w:val="2F5496"/>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E3FB0" w14:textId="77777777" w:rsidR="0002021E" w:rsidRPr="002B0B47" w:rsidRDefault="0002021E" w:rsidP="00796548">
      <w:pPr>
        <w:pStyle w:val="a4"/>
        <w:tabs>
          <w:tab w:val="clear" w:pos="4153"/>
          <w:tab w:val="clear" w:pos="8306"/>
        </w:tabs>
        <w:spacing w:after="0" w:line="276" w:lineRule="auto"/>
        <w:rPr>
          <w:color w:val="2F5496"/>
          <w:sz w:val="16"/>
          <w:szCs w:val="16"/>
        </w:rPr>
      </w:pPr>
      <w:r w:rsidRPr="002B0B47">
        <w:rPr>
          <w:color w:val="2F5496"/>
          <w:sz w:val="16"/>
          <w:szCs w:val="16"/>
        </w:rPr>
        <w:separator/>
      </w:r>
    </w:p>
  </w:footnote>
  <w:footnote w:type="continuationSeparator" w:id="0">
    <w:p w14:paraId="34EFE5FE" w14:textId="77777777" w:rsidR="0002021E" w:rsidRPr="004D27DB" w:rsidRDefault="0002021E" w:rsidP="004D27DB">
      <w:pPr>
        <w:pStyle w:val="a4"/>
        <w:tabs>
          <w:tab w:val="clear" w:pos="4153"/>
          <w:tab w:val="clear" w:pos="8306"/>
        </w:tabs>
        <w:spacing w:after="0" w:line="276" w:lineRule="auto"/>
        <w:rPr>
          <w:color w:val="2F5496"/>
          <w:sz w:val="16"/>
          <w:lang w:val="en-US"/>
        </w:rPr>
      </w:pPr>
      <w:r w:rsidRPr="004D27DB">
        <w:rPr>
          <w:color w:val="2F5496"/>
          <w:sz w:val="16"/>
          <w:lang w:val="en-US"/>
        </w:rPr>
        <w:t>-----------------------------------------</w:t>
      </w:r>
    </w:p>
  </w:footnote>
  <w:footnote w:type="continuationNotice" w:id="1">
    <w:p w14:paraId="0F0923A1" w14:textId="77777777" w:rsidR="0002021E" w:rsidRPr="0050792A" w:rsidRDefault="0002021E" w:rsidP="0050792A">
      <w:pPr>
        <w:pStyle w:val="a4"/>
      </w:pPr>
    </w:p>
  </w:footnote>
  <w:footnote w:id="2">
    <w:p w14:paraId="471A3604" w14:textId="429958CB" w:rsidR="001E7B61" w:rsidRPr="0097220A" w:rsidRDefault="001E7B61" w:rsidP="00390FA6">
      <w:pPr>
        <w:pStyle w:val="aa"/>
        <w:tabs>
          <w:tab w:val="left" w:pos="142"/>
        </w:tabs>
        <w:spacing w:after="0" w:line="276" w:lineRule="auto"/>
        <w:ind w:left="142" w:hanging="142"/>
        <w:rPr>
          <w:rStyle w:val="ab"/>
          <w:sz w:val="16"/>
          <w:szCs w:val="16"/>
          <w:vertAlign w:val="baseline"/>
          <w:lang w:val="el-GR"/>
        </w:rPr>
      </w:pPr>
      <w:r w:rsidRPr="0097220A">
        <w:rPr>
          <w:rStyle w:val="ab"/>
          <w:sz w:val="16"/>
          <w:szCs w:val="16"/>
        </w:rPr>
        <w:footnoteRef/>
      </w:r>
      <w:r>
        <w:rPr>
          <w:sz w:val="16"/>
          <w:szCs w:val="16"/>
          <w:lang w:val="el-GR"/>
        </w:rPr>
        <w:tab/>
        <w:t>Α</w:t>
      </w:r>
      <w:r w:rsidRPr="0097220A">
        <w:rPr>
          <w:rStyle w:val="ab"/>
          <w:sz w:val="16"/>
          <w:szCs w:val="16"/>
          <w:vertAlign w:val="baseline"/>
          <w:lang w:val="el-GR"/>
        </w:rPr>
        <w:t>πό τον Ιούνιο 2025 το επιτόκιο στη διευκόλυνση αποδοχής καταθέσεων του Ευρωσυστήματος διαμορφώθηκε σε 2,00%, το επιτόκιο στις πράξεις κύριας αναχρηματοδότησης σε 2,15% και το επιτόκιο στην πάγια διευκόλυνση οριακής αναχρηματοδότησης σε 2,40%.</w:t>
      </w:r>
    </w:p>
  </w:footnote>
  <w:footnote w:id="3">
    <w:p w14:paraId="53970142" w14:textId="06960247" w:rsidR="001E7B61" w:rsidRPr="00476DF8" w:rsidRDefault="001E7B61" w:rsidP="00390FA6">
      <w:pPr>
        <w:pStyle w:val="aa"/>
        <w:tabs>
          <w:tab w:val="left" w:pos="142"/>
        </w:tabs>
        <w:spacing w:before="60" w:after="0" w:line="276" w:lineRule="auto"/>
        <w:ind w:left="142" w:hanging="142"/>
        <w:rPr>
          <w:rStyle w:val="ab"/>
          <w:sz w:val="16"/>
          <w:szCs w:val="16"/>
          <w:vertAlign w:val="baseline"/>
          <w:lang w:val="el-GR"/>
        </w:rPr>
      </w:pPr>
      <w:r w:rsidRPr="0097220A">
        <w:rPr>
          <w:rStyle w:val="ab"/>
          <w:sz w:val="16"/>
          <w:szCs w:val="16"/>
        </w:rPr>
        <w:footnoteRef/>
      </w:r>
      <w:r w:rsidRPr="0097220A">
        <w:rPr>
          <w:rStyle w:val="ab"/>
          <w:sz w:val="16"/>
          <w:szCs w:val="16"/>
          <w:lang w:val="el-GR"/>
        </w:rPr>
        <w:tab/>
      </w:r>
      <w:r>
        <w:rPr>
          <w:sz w:val="16"/>
          <w:szCs w:val="16"/>
          <w:lang w:val="el-GR"/>
        </w:rPr>
        <w:t>Ο</w:t>
      </w:r>
      <w:r w:rsidRPr="0097220A">
        <w:rPr>
          <w:rStyle w:val="ab"/>
          <w:sz w:val="16"/>
          <w:szCs w:val="16"/>
          <w:vertAlign w:val="baseline"/>
          <w:lang w:val="el-GR"/>
        </w:rPr>
        <w:t>ι</w:t>
      </w:r>
      <w:r>
        <w:rPr>
          <w:rStyle w:val="ab"/>
          <w:sz w:val="16"/>
          <w:szCs w:val="16"/>
          <w:vertAlign w:val="baseline"/>
          <w:lang w:val="el-GR"/>
        </w:rPr>
        <w:t xml:space="preserve"> </w:t>
      </w:r>
      <w:r w:rsidRPr="0097220A">
        <w:rPr>
          <w:rStyle w:val="ab"/>
          <w:sz w:val="16"/>
          <w:szCs w:val="16"/>
          <w:vertAlign w:val="baseline"/>
          <w:lang w:val="el-GR"/>
        </w:rPr>
        <w:t>επανεπενδύσεις στο</w:t>
      </w:r>
      <w:r>
        <w:rPr>
          <w:sz w:val="16"/>
          <w:szCs w:val="16"/>
          <w:lang w:val="el-GR"/>
        </w:rPr>
        <w:t xml:space="preserve"> </w:t>
      </w:r>
      <w:r w:rsidRPr="0097220A">
        <w:rPr>
          <w:rStyle w:val="ab"/>
          <w:sz w:val="16"/>
          <w:szCs w:val="16"/>
          <w:vertAlign w:val="baseline"/>
          <w:lang w:val="el-GR"/>
        </w:rPr>
        <w:t xml:space="preserve">πλαίσιο του </w:t>
      </w:r>
      <w:r w:rsidRPr="0097220A">
        <w:rPr>
          <w:rStyle w:val="ab"/>
          <w:sz w:val="16"/>
          <w:szCs w:val="16"/>
          <w:vertAlign w:val="baseline"/>
        </w:rPr>
        <w:t>PEPP</w:t>
      </w:r>
      <w:r w:rsidRPr="0097220A">
        <w:rPr>
          <w:rStyle w:val="ab"/>
          <w:sz w:val="16"/>
          <w:szCs w:val="16"/>
          <w:vertAlign w:val="baseline"/>
          <w:lang w:val="el-GR"/>
        </w:rPr>
        <w:t xml:space="preserve"> σταμάτησαν τελείως στο τέλος του 2024, ενώ οι επανεπενδύσεις στο πλαίσιο του </w:t>
      </w:r>
      <w:r w:rsidRPr="0097220A">
        <w:rPr>
          <w:rStyle w:val="ab"/>
          <w:sz w:val="16"/>
          <w:szCs w:val="16"/>
          <w:vertAlign w:val="baseline"/>
        </w:rPr>
        <w:t>APP</w:t>
      </w:r>
      <w:r w:rsidRPr="0097220A">
        <w:rPr>
          <w:rStyle w:val="ab"/>
          <w:sz w:val="16"/>
          <w:szCs w:val="16"/>
          <w:vertAlign w:val="baseline"/>
          <w:lang w:val="el-GR"/>
        </w:rPr>
        <w:t xml:space="preserve"> είχαν διακοπεί ήδη από τον Ιούλιο 2023.</w:t>
      </w:r>
    </w:p>
  </w:footnote>
  <w:footnote w:id="4">
    <w:p w14:paraId="48AD2441" w14:textId="03E38121" w:rsidR="001E7B61" w:rsidRPr="00197C53" w:rsidRDefault="001E7B61" w:rsidP="00197C53">
      <w:pPr>
        <w:pStyle w:val="aa"/>
        <w:tabs>
          <w:tab w:val="left" w:pos="142"/>
        </w:tabs>
        <w:spacing w:after="60" w:line="276" w:lineRule="auto"/>
        <w:ind w:left="142" w:hanging="142"/>
        <w:rPr>
          <w:sz w:val="16"/>
          <w:szCs w:val="16"/>
          <w:lang w:val="el-GR"/>
        </w:rPr>
      </w:pPr>
      <w:r w:rsidRPr="00197C53">
        <w:rPr>
          <w:rStyle w:val="ab"/>
          <w:sz w:val="16"/>
          <w:szCs w:val="16"/>
        </w:rPr>
        <w:footnoteRef/>
      </w:r>
      <w:r>
        <w:rPr>
          <w:sz w:val="16"/>
          <w:szCs w:val="16"/>
          <w:lang w:val="el-GR"/>
        </w:rPr>
        <w:tab/>
      </w:r>
      <w:r w:rsidRPr="00197C53">
        <w:rPr>
          <w:sz w:val="16"/>
          <w:szCs w:val="16"/>
          <w:lang w:val="el-GR"/>
        </w:rPr>
        <w:t>Χωρίς το νόμισμα σε κυκλοφορία.</w:t>
      </w:r>
    </w:p>
  </w:footnote>
  <w:footnote w:id="5">
    <w:p w14:paraId="3554BEEF" w14:textId="4F1DB143" w:rsidR="001E7B61" w:rsidRPr="00197C53" w:rsidRDefault="001E7B61" w:rsidP="00197C53">
      <w:pPr>
        <w:pStyle w:val="aa"/>
        <w:tabs>
          <w:tab w:val="left" w:pos="142"/>
        </w:tabs>
        <w:spacing w:before="60" w:after="0" w:line="276" w:lineRule="auto"/>
        <w:ind w:left="142" w:hanging="142"/>
        <w:rPr>
          <w:sz w:val="16"/>
          <w:szCs w:val="16"/>
          <w:lang w:val="el-GR"/>
        </w:rPr>
      </w:pPr>
      <w:r w:rsidRPr="00197C53">
        <w:rPr>
          <w:rStyle w:val="ab"/>
          <w:sz w:val="16"/>
          <w:szCs w:val="16"/>
        </w:rPr>
        <w:footnoteRef/>
      </w:r>
      <w:r>
        <w:rPr>
          <w:sz w:val="16"/>
          <w:szCs w:val="16"/>
          <w:lang w:val="el-GR"/>
        </w:rPr>
        <w:tab/>
      </w:r>
      <w:r w:rsidRPr="00197C53">
        <w:rPr>
          <w:sz w:val="16"/>
          <w:szCs w:val="16"/>
          <w:lang w:val="el-GR"/>
        </w:rPr>
        <w:t>Στις καταθέσεις μίας ημέρας περιλαμβάνονται οι τρεχούμενοι λογαριασμοί, οι λογαριασμοί όψεως και οι λογαριασμοί ταμιευτ</w:t>
      </w:r>
      <w:r>
        <w:rPr>
          <w:sz w:val="16"/>
          <w:szCs w:val="16"/>
          <w:lang w:val="el-GR"/>
        </w:rPr>
        <w:t>ηρίου</w:t>
      </w:r>
      <w:r w:rsidRPr="00197C53">
        <w:rPr>
          <w:sz w:val="16"/>
          <w:szCs w:val="16"/>
          <w:lang w:val="el-GR"/>
        </w:rPr>
        <w:t>.</w:t>
      </w:r>
    </w:p>
  </w:footnote>
  <w:footnote w:id="6">
    <w:p w14:paraId="7A9CFC64" w14:textId="47444A65" w:rsidR="001E7B61" w:rsidRPr="00CF385C" w:rsidRDefault="001E7B61" w:rsidP="00390FA6">
      <w:pPr>
        <w:pStyle w:val="aa"/>
        <w:tabs>
          <w:tab w:val="left" w:pos="142"/>
        </w:tabs>
        <w:spacing w:after="0" w:line="276" w:lineRule="auto"/>
        <w:rPr>
          <w:sz w:val="16"/>
          <w:szCs w:val="16"/>
          <w:lang w:val="el-GR"/>
        </w:rPr>
      </w:pPr>
      <w:r w:rsidRPr="00CF385C">
        <w:rPr>
          <w:rStyle w:val="ab"/>
          <w:sz w:val="16"/>
          <w:szCs w:val="16"/>
        </w:rPr>
        <w:footnoteRef/>
      </w:r>
      <w:r>
        <w:rPr>
          <w:sz w:val="16"/>
          <w:szCs w:val="16"/>
          <w:lang w:val="el-GR"/>
        </w:rPr>
        <w:tab/>
      </w:r>
      <w:r w:rsidRPr="00CF385C">
        <w:rPr>
          <w:sz w:val="16"/>
          <w:szCs w:val="16"/>
          <w:lang w:val="el-GR"/>
        </w:rPr>
        <w:t xml:space="preserve">Περιλαμβάνεται και η εταιρική αναδιάρθρωση της </w:t>
      </w:r>
      <w:r w:rsidRPr="00CF385C">
        <w:rPr>
          <w:rFonts w:cs="Arial"/>
          <w:color w:val="000000" w:themeColor="text1"/>
          <w:sz w:val="16"/>
          <w:szCs w:val="16"/>
        </w:rPr>
        <w:t>Metlen</w:t>
      </w:r>
      <w:r w:rsidRPr="00CF385C">
        <w:rPr>
          <w:rFonts w:cs="Arial"/>
          <w:color w:val="000000" w:themeColor="text1"/>
          <w:sz w:val="16"/>
          <w:szCs w:val="16"/>
          <w:lang w:val="el-GR"/>
        </w:rPr>
        <w:t xml:space="preserve"> </w:t>
      </w:r>
      <w:r w:rsidRPr="00CF385C">
        <w:rPr>
          <w:rFonts w:cs="Arial"/>
          <w:color w:val="000000" w:themeColor="text1"/>
          <w:sz w:val="16"/>
          <w:szCs w:val="16"/>
        </w:rPr>
        <w:t>Energy</w:t>
      </w:r>
      <w:r w:rsidRPr="00CF385C">
        <w:rPr>
          <w:rFonts w:cs="Arial"/>
          <w:color w:val="000000" w:themeColor="text1"/>
          <w:sz w:val="16"/>
          <w:szCs w:val="16"/>
          <w:lang w:val="el-GR"/>
        </w:rPr>
        <w:t xml:space="preserve"> &amp; </w:t>
      </w:r>
      <w:r w:rsidRPr="00CF385C">
        <w:rPr>
          <w:rFonts w:cs="Arial"/>
          <w:color w:val="000000" w:themeColor="text1"/>
          <w:sz w:val="16"/>
          <w:szCs w:val="16"/>
        </w:rPr>
        <w:t>Metals</w:t>
      </w:r>
      <w:r w:rsidRPr="00CF385C">
        <w:rPr>
          <w:rFonts w:cs="Arial"/>
          <w:color w:val="000000" w:themeColor="text1"/>
          <w:sz w:val="16"/>
          <w:szCs w:val="16"/>
          <w:lang w:val="el-GR"/>
        </w:rPr>
        <w:t>.</w:t>
      </w:r>
    </w:p>
  </w:footnote>
  <w:footnote w:id="7">
    <w:p w14:paraId="53EA7555" w14:textId="476E77D9" w:rsidR="001E7B61" w:rsidRPr="00396951" w:rsidRDefault="001E7B61" w:rsidP="003668AC">
      <w:pPr>
        <w:pStyle w:val="aa"/>
        <w:tabs>
          <w:tab w:val="left" w:pos="142"/>
        </w:tabs>
        <w:spacing w:before="60" w:after="0" w:line="276" w:lineRule="auto"/>
        <w:ind w:left="142" w:hanging="142"/>
        <w:rPr>
          <w:rStyle w:val="ab"/>
          <w:sz w:val="16"/>
          <w:szCs w:val="16"/>
          <w:vertAlign w:val="baseline"/>
          <w:lang w:val="el-GR"/>
        </w:rPr>
      </w:pPr>
      <w:r w:rsidRPr="003668AC">
        <w:rPr>
          <w:rStyle w:val="ab"/>
          <w:sz w:val="16"/>
          <w:szCs w:val="16"/>
        </w:rPr>
        <w:footnoteRef/>
      </w:r>
      <w:r w:rsidRPr="00396951">
        <w:rPr>
          <w:rStyle w:val="ab"/>
          <w:sz w:val="16"/>
          <w:szCs w:val="16"/>
          <w:lang w:val="el-GR"/>
        </w:rPr>
        <w:tab/>
      </w:r>
      <w:r w:rsidRPr="00396951">
        <w:rPr>
          <w:rStyle w:val="ab"/>
          <w:sz w:val="16"/>
          <w:szCs w:val="16"/>
          <w:vertAlign w:val="baseline"/>
          <w:lang w:val="el-GR"/>
        </w:rPr>
        <w:t>Σε συμφωνία με το μακροοικονομικό σενάριο, η αμοιβή των εργαζ</w:t>
      </w:r>
      <w:r>
        <w:rPr>
          <w:sz w:val="16"/>
          <w:szCs w:val="16"/>
          <w:lang w:val="el-GR"/>
        </w:rPr>
        <w:t>ό</w:t>
      </w:r>
      <w:r w:rsidRPr="00396951">
        <w:rPr>
          <w:rStyle w:val="ab"/>
          <w:sz w:val="16"/>
          <w:szCs w:val="16"/>
          <w:vertAlign w:val="baseline"/>
          <w:lang w:val="el-GR"/>
        </w:rPr>
        <w:t>μ</w:t>
      </w:r>
      <w:r>
        <w:rPr>
          <w:sz w:val="16"/>
          <w:szCs w:val="16"/>
          <w:lang w:val="el-GR"/>
        </w:rPr>
        <w:t>ε</w:t>
      </w:r>
      <w:r w:rsidRPr="00396951">
        <w:rPr>
          <w:rStyle w:val="ab"/>
          <w:sz w:val="16"/>
          <w:szCs w:val="16"/>
          <w:vertAlign w:val="baseline"/>
          <w:lang w:val="el-GR"/>
        </w:rPr>
        <w:t>νων προβλέπεται να αυξηθεί κατά 3,7% το 2025 και κατά το ίδιο ποσοστό το 2026 και αυτές οι προσαρμογές έχουν ενσωματωθεί στις εκτιμήσεις.</w:t>
      </w:r>
    </w:p>
  </w:footnote>
  <w:footnote w:id="8">
    <w:p w14:paraId="16F9EBA6" w14:textId="6D21DEA9" w:rsidR="001E7B61" w:rsidRPr="0097220A" w:rsidRDefault="001E7B61" w:rsidP="00390FA6">
      <w:pPr>
        <w:pStyle w:val="aa"/>
        <w:tabs>
          <w:tab w:val="left" w:pos="142"/>
        </w:tabs>
        <w:spacing w:after="0" w:line="276" w:lineRule="auto"/>
        <w:ind w:left="142" w:hanging="142"/>
        <w:rPr>
          <w:rStyle w:val="ab"/>
          <w:sz w:val="16"/>
          <w:szCs w:val="16"/>
          <w:vertAlign w:val="baseline"/>
        </w:rPr>
      </w:pPr>
      <w:r w:rsidRPr="008500E1">
        <w:rPr>
          <w:rStyle w:val="ab"/>
          <w:sz w:val="16"/>
        </w:rPr>
        <w:footnoteRef/>
      </w:r>
      <w:r>
        <w:rPr>
          <w:sz w:val="16"/>
          <w:szCs w:val="16"/>
        </w:rPr>
        <w:tab/>
      </w:r>
      <w:r w:rsidRPr="0097220A">
        <w:rPr>
          <w:rStyle w:val="ab"/>
          <w:sz w:val="16"/>
          <w:szCs w:val="16"/>
          <w:vertAlign w:val="baseline"/>
        </w:rPr>
        <w:t xml:space="preserve">Μη περιλαμβανομένων των Repos του Ελληνικού Δημοσίου με τους </w:t>
      </w:r>
      <w:r>
        <w:rPr>
          <w:rStyle w:val="ab"/>
          <w:sz w:val="16"/>
          <w:szCs w:val="16"/>
          <w:vertAlign w:val="baseline"/>
          <w:lang w:val="el-GR"/>
        </w:rPr>
        <w:t>φ</w:t>
      </w:r>
      <w:r w:rsidRPr="0097220A">
        <w:rPr>
          <w:rStyle w:val="ab"/>
          <w:sz w:val="16"/>
          <w:szCs w:val="16"/>
          <w:vertAlign w:val="baseline"/>
        </w:rPr>
        <w:t>ορείς της Γενικής Κυβέρνησης.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EC35C" w14:textId="547986C6" w:rsidR="001E7B61" w:rsidRPr="009F4391" w:rsidRDefault="001E7B61" w:rsidP="00C03739">
    <w:pPr>
      <w:pStyle w:val="a3"/>
      <w:pBdr>
        <w:bottom w:val="single" w:sz="12" w:space="1" w:color="2F5496"/>
      </w:pBdr>
      <w:tabs>
        <w:tab w:val="clear" w:pos="4153"/>
        <w:tab w:val="clear" w:pos="8306"/>
        <w:tab w:val="left" w:pos="0"/>
      </w:tabs>
      <w:spacing w:after="0" w:line="276" w:lineRule="auto"/>
      <w:jc w:val="left"/>
      <w:rPr>
        <w:b/>
        <w:color w:val="2F5496"/>
        <w:sz w:val="16"/>
        <w:szCs w:val="16"/>
        <w:lang w:val="en-US"/>
      </w:rPr>
    </w:pPr>
    <w:r w:rsidRPr="002B5330">
      <w:rPr>
        <w:b/>
        <w:color w:val="2F5496"/>
        <w:sz w:val="16"/>
        <w:szCs w:val="16"/>
      </w:rPr>
      <w:t>ΚΕΦΑΛΑΙΟ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B9F73" w14:textId="36D9D931" w:rsidR="001E7B61" w:rsidRPr="00D224CE" w:rsidRDefault="001E7B61" w:rsidP="002077DC">
    <w:pPr>
      <w:pStyle w:val="a3"/>
      <w:pBdr>
        <w:bottom w:val="single" w:sz="12" w:space="1" w:color="2F5496"/>
      </w:pBdr>
      <w:tabs>
        <w:tab w:val="clear" w:pos="4153"/>
        <w:tab w:val="clear" w:pos="8306"/>
        <w:tab w:val="right" w:pos="9072"/>
      </w:tabs>
      <w:spacing w:after="0" w:line="276" w:lineRule="auto"/>
      <w:jc w:val="right"/>
      <w:rPr>
        <w:b/>
        <w:color w:val="2F5496"/>
        <w:sz w:val="16"/>
        <w:szCs w:val="16"/>
      </w:rPr>
    </w:pPr>
    <w:r w:rsidRPr="00A72F1C">
      <w:rPr>
        <w:b/>
        <w:color w:val="2F5496"/>
        <w:sz w:val="16"/>
        <w:szCs w:val="16"/>
      </w:rPr>
      <w:t xml:space="preserve">ΚΕΦΑΛΑΙΟ </w:t>
    </w:r>
    <w:r>
      <w:rPr>
        <w:b/>
        <w:color w:val="2F5496"/>
        <w:sz w:val="16"/>
        <w:szCs w:val="16"/>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A86FE" w14:textId="24670172" w:rsidR="001E7B61" w:rsidRPr="00C03739" w:rsidRDefault="001E7B61" w:rsidP="00082595">
    <w:pPr>
      <w:pStyle w:val="a3"/>
      <w:pBdr>
        <w:bottom w:val="single" w:sz="12" w:space="1" w:color="2F5496"/>
      </w:pBdr>
      <w:tabs>
        <w:tab w:val="clear" w:pos="4153"/>
        <w:tab w:val="clear" w:pos="8306"/>
        <w:tab w:val="right" w:pos="9072"/>
      </w:tabs>
      <w:spacing w:after="0" w:line="276" w:lineRule="auto"/>
      <w:jc w:val="right"/>
      <w:rPr>
        <w:b/>
        <w:color w:val="2F5496"/>
        <w:sz w:val="16"/>
        <w:szCs w:val="16"/>
      </w:rPr>
    </w:pPr>
    <w:r w:rsidRPr="00C03739">
      <w:rPr>
        <w:b/>
        <w:color w:val="2F5496"/>
        <w:sz w:val="16"/>
        <w:szCs w:val="16"/>
      </w:rPr>
      <w:t>ΚΕΦΑΛΑΙΟ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56666" w14:textId="30E17D05" w:rsidR="001E7B61" w:rsidRPr="00472D1E" w:rsidRDefault="001E7B61" w:rsidP="00B06910">
    <w:pPr>
      <w:pStyle w:val="a3"/>
      <w:pBdr>
        <w:bottom w:val="single" w:sz="12" w:space="1" w:color="2F5496"/>
      </w:pBdr>
      <w:tabs>
        <w:tab w:val="clear" w:pos="4153"/>
        <w:tab w:val="clear" w:pos="8306"/>
        <w:tab w:val="left" w:pos="0"/>
      </w:tabs>
      <w:spacing w:after="0" w:line="276" w:lineRule="auto"/>
      <w:jc w:val="left"/>
      <w:rPr>
        <w:b/>
        <w:color w:val="2F5496"/>
        <w:sz w:val="16"/>
        <w:szCs w:val="16"/>
        <w:lang w:val="en-US"/>
      </w:rPr>
    </w:pPr>
    <w:r w:rsidRPr="00A72F1C">
      <w:rPr>
        <w:b/>
        <w:color w:val="2F5496"/>
        <w:sz w:val="16"/>
        <w:szCs w:val="16"/>
      </w:rPr>
      <w:t xml:space="preserve">ΚΕΦΑΛΑΙΟ </w:t>
    </w:r>
    <w:r>
      <w:rPr>
        <w:b/>
        <w:color w:val="2F5496"/>
        <w:sz w:val="16"/>
        <w:szCs w:val="16"/>
        <w:lang w:val="en-US"/>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04E78" w14:textId="209F4C73" w:rsidR="001E7B61" w:rsidRPr="003B07E9" w:rsidRDefault="001E7B61" w:rsidP="00B06910">
    <w:pPr>
      <w:pStyle w:val="a3"/>
      <w:pBdr>
        <w:bottom w:val="single" w:sz="12" w:space="1" w:color="2F5496"/>
      </w:pBdr>
      <w:tabs>
        <w:tab w:val="clear" w:pos="4153"/>
        <w:tab w:val="clear" w:pos="8306"/>
        <w:tab w:val="right" w:pos="9072"/>
      </w:tabs>
      <w:spacing w:after="0" w:line="276" w:lineRule="auto"/>
      <w:jc w:val="right"/>
      <w:rPr>
        <w:b/>
        <w:color w:val="2F5496"/>
        <w:sz w:val="16"/>
        <w:szCs w:val="16"/>
      </w:rPr>
    </w:pPr>
    <w:r w:rsidRPr="00A72F1C">
      <w:rPr>
        <w:b/>
        <w:color w:val="2F5496"/>
        <w:sz w:val="16"/>
        <w:szCs w:val="16"/>
      </w:rPr>
      <w:t xml:space="preserve">ΚΕΦΑΛΑΙΟ </w:t>
    </w:r>
    <w:r>
      <w:rPr>
        <w:b/>
        <w:color w:val="2F5496"/>
        <w:sz w:val="16"/>
        <w:szCs w:val="16"/>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FA51B" w14:textId="143C4315" w:rsidR="001E7B61" w:rsidRPr="00BF54B4" w:rsidRDefault="001E7B61" w:rsidP="00EF0A5D">
    <w:pPr>
      <w:pStyle w:val="a3"/>
      <w:pBdr>
        <w:bottom w:val="single" w:sz="12" w:space="1" w:color="2F5496"/>
      </w:pBdr>
      <w:tabs>
        <w:tab w:val="clear" w:pos="4153"/>
        <w:tab w:val="clear" w:pos="8306"/>
        <w:tab w:val="left" w:pos="0"/>
      </w:tabs>
      <w:spacing w:after="0" w:line="276" w:lineRule="auto"/>
      <w:jc w:val="left"/>
      <w:rPr>
        <w:b/>
        <w:color w:val="2F5496"/>
        <w:sz w:val="16"/>
        <w:szCs w:val="16"/>
      </w:rPr>
    </w:pPr>
    <w:r w:rsidRPr="00A72F1C">
      <w:rPr>
        <w:b/>
        <w:color w:val="2F5496"/>
        <w:sz w:val="16"/>
        <w:szCs w:val="16"/>
      </w:rPr>
      <w:t xml:space="preserve">ΚΕΦΑΛΑΙΟ </w:t>
    </w:r>
    <w:r>
      <w:rPr>
        <w:b/>
        <w:color w:val="2F5496"/>
        <w:sz w:val="16"/>
        <w:szCs w:val="16"/>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9E23E" w14:textId="699D6C26" w:rsidR="001E7B61" w:rsidRPr="003B07E9" w:rsidRDefault="001E7B61" w:rsidP="00EF0A5D">
    <w:pPr>
      <w:pStyle w:val="a3"/>
      <w:pBdr>
        <w:bottom w:val="single" w:sz="12" w:space="1" w:color="2F5496"/>
      </w:pBdr>
      <w:tabs>
        <w:tab w:val="clear" w:pos="4153"/>
        <w:tab w:val="clear" w:pos="8306"/>
        <w:tab w:val="right" w:pos="9072"/>
      </w:tabs>
      <w:spacing w:after="0" w:line="276" w:lineRule="auto"/>
      <w:jc w:val="right"/>
      <w:rPr>
        <w:b/>
        <w:color w:val="2F5496"/>
        <w:sz w:val="16"/>
        <w:szCs w:val="16"/>
      </w:rPr>
    </w:pPr>
    <w:r w:rsidRPr="00A72F1C">
      <w:rPr>
        <w:b/>
        <w:color w:val="2F5496"/>
        <w:sz w:val="16"/>
        <w:szCs w:val="16"/>
      </w:rPr>
      <w:t xml:space="preserve">ΚΕΦΑΛΑΙΟ </w:t>
    </w:r>
    <w:r>
      <w:rPr>
        <w:b/>
        <w:color w:val="2F5496"/>
        <w:sz w:val="16"/>
        <w:szCs w:val="16"/>
      </w:rPr>
      <w:t>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7F0F6" w14:textId="6B8CFCA4" w:rsidR="001E7B61" w:rsidRPr="00CA1C83" w:rsidRDefault="001E7B61" w:rsidP="002077DC">
    <w:pPr>
      <w:pStyle w:val="a3"/>
      <w:pBdr>
        <w:bottom w:val="single" w:sz="12" w:space="1" w:color="2F5496"/>
      </w:pBdr>
      <w:tabs>
        <w:tab w:val="clear" w:pos="4153"/>
        <w:tab w:val="clear" w:pos="8306"/>
        <w:tab w:val="left" w:pos="0"/>
      </w:tabs>
      <w:spacing w:after="0" w:line="276" w:lineRule="auto"/>
      <w:jc w:val="left"/>
      <w:rPr>
        <w:b/>
        <w:color w:val="2F5496"/>
        <w:sz w:val="16"/>
        <w:szCs w:val="16"/>
        <w:lang w:val="en-US"/>
      </w:rPr>
    </w:pPr>
    <w:r w:rsidRPr="00A72F1C">
      <w:rPr>
        <w:b/>
        <w:color w:val="2F5496"/>
        <w:sz w:val="16"/>
        <w:szCs w:val="16"/>
      </w:rPr>
      <w:t xml:space="preserve">ΚΕΦΑΛΑΙΟ </w:t>
    </w:r>
    <w:r>
      <w:rPr>
        <w:b/>
        <w:color w:val="2F5496"/>
        <w:sz w:val="16"/>
        <w:szCs w:val="16"/>
      </w:rPr>
      <w:t>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E8CF9" w14:textId="572332F9" w:rsidR="001E7B61" w:rsidRPr="003B07E9" w:rsidRDefault="001E7B61" w:rsidP="002077DC">
    <w:pPr>
      <w:pStyle w:val="a3"/>
      <w:pBdr>
        <w:bottom w:val="single" w:sz="12" w:space="1" w:color="2F5496"/>
      </w:pBdr>
      <w:tabs>
        <w:tab w:val="clear" w:pos="4153"/>
        <w:tab w:val="clear" w:pos="8306"/>
        <w:tab w:val="right" w:pos="9072"/>
      </w:tabs>
      <w:spacing w:after="0" w:line="276" w:lineRule="auto"/>
      <w:jc w:val="right"/>
      <w:rPr>
        <w:b/>
        <w:color w:val="2F5496"/>
        <w:sz w:val="16"/>
        <w:szCs w:val="16"/>
      </w:rPr>
    </w:pPr>
    <w:r w:rsidRPr="00A72F1C">
      <w:rPr>
        <w:b/>
        <w:color w:val="2F5496"/>
        <w:sz w:val="16"/>
        <w:szCs w:val="16"/>
      </w:rPr>
      <w:t xml:space="preserve">ΚΕΦΑΛΑΙΟ </w:t>
    </w:r>
    <w:r>
      <w:rPr>
        <w:b/>
        <w:color w:val="2F5496"/>
        <w:sz w:val="16"/>
        <w:szCs w:val="16"/>
      </w:rPr>
      <w:t>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21D7A" w14:textId="72F3378E" w:rsidR="001E7B61" w:rsidRPr="00BF3D70" w:rsidRDefault="001E7B61" w:rsidP="002077DC">
    <w:pPr>
      <w:pStyle w:val="a3"/>
      <w:pBdr>
        <w:bottom w:val="single" w:sz="12" w:space="1" w:color="2F5496"/>
      </w:pBdr>
      <w:tabs>
        <w:tab w:val="clear" w:pos="4153"/>
        <w:tab w:val="clear" w:pos="8306"/>
        <w:tab w:val="left" w:pos="0"/>
      </w:tabs>
      <w:spacing w:after="0" w:line="276" w:lineRule="auto"/>
      <w:jc w:val="left"/>
      <w:rPr>
        <w:b/>
        <w:color w:val="2F5496"/>
        <w:sz w:val="16"/>
        <w:szCs w:val="16"/>
        <w:lang w:val="en-US"/>
      </w:rPr>
    </w:pPr>
    <w:r w:rsidRPr="00A72F1C">
      <w:rPr>
        <w:b/>
        <w:color w:val="2F5496"/>
        <w:sz w:val="16"/>
        <w:szCs w:val="16"/>
      </w:rPr>
      <w:t xml:space="preserve">ΚΕΦΑΛΑΙΟ </w:t>
    </w:r>
    <w:r>
      <w:rPr>
        <w:b/>
        <w:color w:val="2F5496"/>
        <w:sz w:val="16"/>
        <w:szCs w:val="16"/>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Times New Roman" w:hint="default"/>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65" w:hanging="360"/>
      </w:pPr>
      <w:rPr>
        <w:rFonts w:ascii="Wingdings" w:hAnsi="Wingdings"/>
      </w:rPr>
    </w:lvl>
    <w:lvl w:ilvl="1">
      <w:start w:val="1"/>
      <w:numFmt w:val="bullet"/>
      <w:lvlText w:val="o"/>
      <w:lvlJc w:val="left"/>
      <w:pPr>
        <w:tabs>
          <w:tab w:val="num" w:pos="0"/>
        </w:tabs>
        <w:ind w:left="1485" w:hanging="360"/>
      </w:pPr>
      <w:rPr>
        <w:rFonts w:ascii="Courier New" w:hAnsi="Courier New" w:cs="Courier New"/>
      </w:rPr>
    </w:lvl>
    <w:lvl w:ilvl="2">
      <w:start w:val="1"/>
      <w:numFmt w:val="bullet"/>
      <w:lvlText w:val=""/>
      <w:lvlJc w:val="left"/>
      <w:pPr>
        <w:tabs>
          <w:tab w:val="num" w:pos="0"/>
        </w:tabs>
        <w:ind w:left="2205" w:hanging="360"/>
      </w:pPr>
      <w:rPr>
        <w:rFonts w:ascii="Wingdings" w:hAnsi="Wingdings"/>
      </w:rPr>
    </w:lvl>
    <w:lvl w:ilvl="3">
      <w:start w:val="1"/>
      <w:numFmt w:val="bullet"/>
      <w:lvlText w:val=""/>
      <w:lvlJc w:val="left"/>
      <w:pPr>
        <w:tabs>
          <w:tab w:val="num" w:pos="0"/>
        </w:tabs>
        <w:ind w:left="2925" w:hanging="360"/>
      </w:pPr>
      <w:rPr>
        <w:rFonts w:ascii="Symbol" w:hAnsi="Symbol"/>
      </w:rPr>
    </w:lvl>
    <w:lvl w:ilvl="4">
      <w:start w:val="1"/>
      <w:numFmt w:val="bullet"/>
      <w:lvlText w:val="o"/>
      <w:lvlJc w:val="left"/>
      <w:pPr>
        <w:tabs>
          <w:tab w:val="num" w:pos="0"/>
        </w:tabs>
        <w:ind w:left="3645" w:hanging="360"/>
      </w:pPr>
      <w:rPr>
        <w:rFonts w:ascii="Courier New" w:hAnsi="Courier New" w:cs="Courier New"/>
      </w:rPr>
    </w:lvl>
    <w:lvl w:ilvl="5">
      <w:start w:val="1"/>
      <w:numFmt w:val="bullet"/>
      <w:lvlText w:val=""/>
      <w:lvlJc w:val="left"/>
      <w:pPr>
        <w:tabs>
          <w:tab w:val="num" w:pos="0"/>
        </w:tabs>
        <w:ind w:left="4365" w:hanging="360"/>
      </w:pPr>
      <w:rPr>
        <w:rFonts w:ascii="Wingdings" w:hAnsi="Wingdings"/>
      </w:rPr>
    </w:lvl>
    <w:lvl w:ilvl="6">
      <w:start w:val="1"/>
      <w:numFmt w:val="bullet"/>
      <w:lvlText w:val=""/>
      <w:lvlJc w:val="left"/>
      <w:pPr>
        <w:tabs>
          <w:tab w:val="num" w:pos="0"/>
        </w:tabs>
        <w:ind w:left="5085" w:hanging="360"/>
      </w:pPr>
      <w:rPr>
        <w:rFonts w:ascii="Symbol" w:hAnsi="Symbol"/>
      </w:rPr>
    </w:lvl>
    <w:lvl w:ilvl="7">
      <w:start w:val="1"/>
      <w:numFmt w:val="bullet"/>
      <w:lvlText w:val="o"/>
      <w:lvlJc w:val="left"/>
      <w:pPr>
        <w:tabs>
          <w:tab w:val="num" w:pos="0"/>
        </w:tabs>
        <w:ind w:left="5805" w:hanging="360"/>
      </w:pPr>
      <w:rPr>
        <w:rFonts w:ascii="Courier New" w:hAnsi="Courier New" w:cs="Courier New"/>
      </w:rPr>
    </w:lvl>
    <w:lvl w:ilvl="8">
      <w:start w:val="1"/>
      <w:numFmt w:val="bullet"/>
      <w:lvlText w:val=""/>
      <w:lvlJc w:val="left"/>
      <w:pPr>
        <w:tabs>
          <w:tab w:val="num" w:pos="0"/>
        </w:tabs>
        <w:ind w:left="6525" w:hanging="360"/>
      </w:pPr>
      <w:rPr>
        <w:rFonts w:ascii="Wingdings" w:hAnsi="Wingdings"/>
      </w:rPr>
    </w:lvl>
  </w:abstractNum>
  <w:abstractNum w:abstractNumId="2" w15:restartNumberingAfterBreak="0">
    <w:nsid w:val="000279AA"/>
    <w:multiLevelType w:val="hybridMultilevel"/>
    <w:tmpl w:val="7B8E7E8C"/>
    <w:lvl w:ilvl="0" w:tplc="0408000F">
      <w:start w:val="1"/>
      <w:numFmt w:val="decimal"/>
      <w:lvlText w:val="%1."/>
      <w:lvlJc w:val="left"/>
      <w:pPr>
        <w:ind w:left="742" w:hanging="360"/>
      </w:pPr>
    </w:lvl>
    <w:lvl w:ilvl="1" w:tplc="04080019" w:tentative="1">
      <w:start w:val="1"/>
      <w:numFmt w:val="lowerLetter"/>
      <w:lvlText w:val="%2."/>
      <w:lvlJc w:val="left"/>
      <w:pPr>
        <w:ind w:left="1462" w:hanging="360"/>
      </w:pPr>
    </w:lvl>
    <w:lvl w:ilvl="2" w:tplc="0408001B" w:tentative="1">
      <w:start w:val="1"/>
      <w:numFmt w:val="lowerRoman"/>
      <w:lvlText w:val="%3."/>
      <w:lvlJc w:val="right"/>
      <w:pPr>
        <w:ind w:left="2182" w:hanging="180"/>
      </w:pPr>
    </w:lvl>
    <w:lvl w:ilvl="3" w:tplc="0408000F" w:tentative="1">
      <w:start w:val="1"/>
      <w:numFmt w:val="decimal"/>
      <w:lvlText w:val="%4."/>
      <w:lvlJc w:val="left"/>
      <w:pPr>
        <w:ind w:left="2902" w:hanging="360"/>
      </w:pPr>
    </w:lvl>
    <w:lvl w:ilvl="4" w:tplc="04080019" w:tentative="1">
      <w:start w:val="1"/>
      <w:numFmt w:val="lowerLetter"/>
      <w:lvlText w:val="%5."/>
      <w:lvlJc w:val="left"/>
      <w:pPr>
        <w:ind w:left="3622" w:hanging="360"/>
      </w:pPr>
    </w:lvl>
    <w:lvl w:ilvl="5" w:tplc="0408001B" w:tentative="1">
      <w:start w:val="1"/>
      <w:numFmt w:val="lowerRoman"/>
      <w:lvlText w:val="%6."/>
      <w:lvlJc w:val="right"/>
      <w:pPr>
        <w:ind w:left="4342" w:hanging="180"/>
      </w:pPr>
    </w:lvl>
    <w:lvl w:ilvl="6" w:tplc="0408000F" w:tentative="1">
      <w:start w:val="1"/>
      <w:numFmt w:val="decimal"/>
      <w:lvlText w:val="%7."/>
      <w:lvlJc w:val="left"/>
      <w:pPr>
        <w:ind w:left="5062" w:hanging="360"/>
      </w:pPr>
    </w:lvl>
    <w:lvl w:ilvl="7" w:tplc="04080019" w:tentative="1">
      <w:start w:val="1"/>
      <w:numFmt w:val="lowerLetter"/>
      <w:lvlText w:val="%8."/>
      <w:lvlJc w:val="left"/>
      <w:pPr>
        <w:ind w:left="5782" w:hanging="360"/>
      </w:pPr>
    </w:lvl>
    <w:lvl w:ilvl="8" w:tplc="0408001B" w:tentative="1">
      <w:start w:val="1"/>
      <w:numFmt w:val="lowerRoman"/>
      <w:lvlText w:val="%9."/>
      <w:lvlJc w:val="right"/>
      <w:pPr>
        <w:ind w:left="6502" w:hanging="180"/>
      </w:pPr>
    </w:lvl>
  </w:abstractNum>
  <w:abstractNum w:abstractNumId="3" w15:restartNumberingAfterBreak="0">
    <w:nsid w:val="03AD3A2F"/>
    <w:multiLevelType w:val="hybridMultilevel"/>
    <w:tmpl w:val="86FE4194"/>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043D5A80"/>
    <w:multiLevelType w:val="hybridMultilevel"/>
    <w:tmpl w:val="6E9275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6BF7954"/>
    <w:multiLevelType w:val="multilevel"/>
    <w:tmpl w:val="B882D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9657AF"/>
    <w:multiLevelType w:val="hybridMultilevel"/>
    <w:tmpl w:val="2DD22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B537C"/>
    <w:multiLevelType w:val="multilevel"/>
    <w:tmpl w:val="02E6A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B0A8B"/>
    <w:multiLevelType w:val="multilevel"/>
    <w:tmpl w:val="69F4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517C87"/>
    <w:multiLevelType w:val="hybridMultilevel"/>
    <w:tmpl w:val="2E76B97C"/>
    <w:lvl w:ilvl="0" w:tplc="04080001">
      <w:start w:val="1"/>
      <w:numFmt w:val="bullet"/>
      <w:lvlText w:val=""/>
      <w:lvlJc w:val="left"/>
      <w:pPr>
        <w:ind w:left="780" w:hanging="360"/>
      </w:pPr>
      <w:rPr>
        <w:rFonts w:ascii="Symbol" w:hAnsi="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hint="default"/>
      </w:rPr>
    </w:lvl>
    <w:lvl w:ilvl="3" w:tplc="04080001">
      <w:start w:val="1"/>
      <w:numFmt w:val="bullet"/>
      <w:lvlText w:val=""/>
      <w:lvlJc w:val="left"/>
      <w:pPr>
        <w:ind w:left="2940" w:hanging="360"/>
      </w:pPr>
      <w:rPr>
        <w:rFonts w:ascii="Symbol" w:hAnsi="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hint="default"/>
      </w:rPr>
    </w:lvl>
    <w:lvl w:ilvl="6" w:tplc="04080001">
      <w:start w:val="1"/>
      <w:numFmt w:val="bullet"/>
      <w:lvlText w:val=""/>
      <w:lvlJc w:val="left"/>
      <w:pPr>
        <w:ind w:left="5100" w:hanging="360"/>
      </w:pPr>
      <w:rPr>
        <w:rFonts w:ascii="Symbol" w:hAnsi="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hint="default"/>
      </w:rPr>
    </w:lvl>
  </w:abstractNum>
  <w:abstractNum w:abstractNumId="10" w15:restartNumberingAfterBreak="0">
    <w:nsid w:val="202D07AA"/>
    <w:multiLevelType w:val="multilevel"/>
    <w:tmpl w:val="6B9CA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E34133"/>
    <w:multiLevelType w:val="hybridMultilevel"/>
    <w:tmpl w:val="F724E7F6"/>
    <w:lvl w:ilvl="0" w:tplc="EF46E84A">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8C96D3D"/>
    <w:multiLevelType w:val="hybridMultilevel"/>
    <w:tmpl w:val="B65A1F4A"/>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3" w15:restartNumberingAfterBreak="0">
    <w:nsid w:val="2B546E8A"/>
    <w:multiLevelType w:val="hybridMultilevel"/>
    <w:tmpl w:val="D4E052A0"/>
    <w:lvl w:ilvl="0" w:tplc="1DCC99AE">
      <w:start w:val="1"/>
      <w:numFmt w:val="decimal"/>
      <w:lvlText w:val="%1."/>
      <w:lvlJc w:val="left"/>
      <w:pPr>
        <w:ind w:left="720" w:hanging="360"/>
      </w:pPr>
      <w:rPr>
        <w:rFonts w:ascii="Arial" w:hAnsi="Arial" w:cs="Aria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FDC4054"/>
    <w:multiLevelType w:val="hybridMultilevel"/>
    <w:tmpl w:val="20B29A4A"/>
    <w:lvl w:ilvl="0" w:tplc="04080001">
      <w:start w:val="1"/>
      <w:numFmt w:val="bullet"/>
      <w:lvlText w:val=""/>
      <w:lvlJc w:val="left"/>
      <w:pPr>
        <w:ind w:left="776" w:hanging="360"/>
      </w:pPr>
      <w:rPr>
        <w:rFonts w:ascii="Symbol" w:hAnsi="Symbol" w:hint="default"/>
      </w:rPr>
    </w:lvl>
    <w:lvl w:ilvl="1" w:tplc="04080003">
      <w:start w:val="1"/>
      <w:numFmt w:val="bullet"/>
      <w:lvlText w:val="o"/>
      <w:lvlJc w:val="left"/>
      <w:pPr>
        <w:ind w:left="1496" w:hanging="360"/>
      </w:pPr>
      <w:rPr>
        <w:rFonts w:ascii="Courier New" w:hAnsi="Courier New" w:cs="Courier New" w:hint="default"/>
      </w:rPr>
    </w:lvl>
    <w:lvl w:ilvl="2" w:tplc="04080005">
      <w:start w:val="1"/>
      <w:numFmt w:val="bullet"/>
      <w:lvlText w:val=""/>
      <w:lvlJc w:val="left"/>
      <w:pPr>
        <w:ind w:left="2216" w:hanging="360"/>
      </w:pPr>
      <w:rPr>
        <w:rFonts w:ascii="Wingdings" w:hAnsi="Wingdings" w:hint="default"/>
      </w:rPr>
    </w:lvl>
    <w:lvl w:ilvl="3" w:tplc="04080001">
      <w:start w:val="1"/>
      <w:numFmt w:val="bullet"/>
      <w:lvlText w:val=""/>
      <w:lvlJc w:val="left"/>
      <w:pPr>
        <w:ind w:left="2936" w:hanging="360"/>
      </w:pPr>
      <w:rPr>
        <w:rFonts w:ascii="Symbol" w:hAnsi="Symbol" w:hint="default"/>
      </w:rPr>
    </w:lvl>
    <w:lvl w:ilvl="4" w:tplc="04080003">
      <w:start w:val="1"/>
      <w:numFmt w:val="bullet"/>
      <w:lvlText w:val="o"/>
      <w:lvlJc w:val="left"/>
      <w:pPr>
        <w:ind w:left="3656" w:hanging="360"/>
      </w:pPr>
      <w:rPr>
        <w:rFonts w:ascii="Courier New" w:hAnsi="Courier New" w:cs="Courier New" w:hint="default"/>
      </w:rPr>
    </w:lvl>
    <w:lvl w:ilvl="5" w:tplc="04080005">
      <w:start w:val="1"/>
      <w:numFmt w:val="bullet"/>
      <w:lvlText w:val=""/>
      <w:lvlJc w:val="left"/>
      <w:pPr>
        <w:ind w:left="4376" w:hanging="360"/>
      </w:pPr>
      <w:rPr>
        <w:rFonts w:ascii="Wingdings" w:hAnsi="Wingdings" w:hint="default"/>
      </w:rPr>
    </w:lvl>
    <w:lvl w:ilvl="6" w:tplc="04080001">
      <w:start w:val="1"/>
      <w:numFmt w:val="bullet"/>
      <w:lvlText w:val=""/>
      <w:lvlJc w:val="left"/>
      <w:pPr>
        <w:ind w:left="5096" w:hanging="360"/>
      </w:pPr>
      <w:rPr>
        <w:rFonts w:ascii="Symbol" w:hAnsi="Symbol" w:hint="default"/>
      </w:rPr>
    </w:lvl>
    <w:lvl w:ilvl="7" w:tplc="04080003">
      <w:start w:val="1"/>
      <w:numFmt w:val="bullet"/>
      <w:lvlText w:val="o"/>
      <w:lvlJc w:val="left"/>
      <w:pPr>
        <w:ind w:left="5816" w:hanging="360"/>
      </w:pPr>
      <w:rPr>
        <w:rFonts w:ascii="Courier New" w:hAnsi="Courier New" w:cs="Courier New" w:hint="default"/>
      </w:rPr>
    </w:lvl>
    <w:lvl w:ilvl="8" w:tplc="04080005">
      <w:start w:val="1"/>
      <w:numFmt w:val="bullet"/>
      <w:lvlText w:val=""/>
      <w:lvlJc w:val="left"/>
      <w:pPr>
        <w:ind w:left="6536" w:hanging="360"/>
      </w:pPr>
      <w:rPr>
        <w:rFonts w:ascii="Wingdings" w:hAnsi="Wingdings" w:hint="default"/>
      </w:rPr>
    </w:lvl>
  </w:abstractNum>
  <w:abstractNum w:abstractNumId="15" w15:restartNumberingAfterBreak="0">
    <w:nsid w:val="2FE93B26"/>
    <w:multiLevelType w:val="hybridMultilevel"/>
    <w:tmpl w:val="CC069A38"/>
    <w:lvl w:ilvl="0" w:tplc="F42E249C">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53F6E38"/>
    <w:multiLevelType w:val="hybridMultilevel"/>
    <w:tmpl w:val="11B8387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6675C7E"/>
    <w:multiLevelType w:val="hybridMultilevel"/>
    <w:tmpl w:val="28942D3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8D1566B"/>
    <w:multiLevelType w:val="hybridMultilevel"/>
    <w:tmpl w:val="BBAC3C7C"/>
    <w:lvl w:ilvl="0" w:tplc="B450EF66">
      <w:start w:val="1"/>
      <w:numFmt w:val="bullet"/>
      <w:lvlText w:val=""/>
      <w:lvlJc w:val="left"/>
      <w:pPr>
        <w:ind w:left="2771" w:hanging="360"/>
      </w:pPr>
      <w:rPr>
        <w:rFonts w:ascii="Symbol" w:hAnsi="Symbol" w:hint="default"/>
        <w:color w:val="auto"/>
      </w:rPr>
    </w:lvl>
    <w:lvl w:ilvl="1" w:tplc="C6789322">
      <w:numFmt w:val="bullet"/>
      <w:lvlText w:val="-"/>
      <w:lvlJc w:val="left"/>
      <w:pPr>
        <w:ind w:left="1440" w:hanging="360"/>
      </w:pPr>
      <w:rPr>
        <w:rFonts w:ascii="Arial" w:eastAsia="Times New Roman" w:hAnsi="Arial" w:cs="Aria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00D039C"/>
    <w:multiLevelType w:val="multilevel"/>
    <w:tmpl w:val="3F26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9E4813"/>
    <w:multiLevelType w:val="multilevel"/>
    <w:tmpl w:val="F29CD80E"/>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36616F"/>
    <w:multiLevelType w:val="multilevel"/>
    <w:tmpl w:val="0220CD48"/>
    <w:lvl w:ilvl="0">
      <w:start w:val="1"/>
      <w:numFmt w:val="decimal"/>
      <w:pStyle w:val="1"/>
      <w:lvlText w:val="ΚΕΦΑΛΑΙΟ %1"/>
      <w:lvlJc w:val="left"/>
      <w:pPr>
        <w:tabs>
          <w:tab w:val="num" w:pos="8932"/>
        </w:tabs>
        <w:ind w:left="8081" w:firstLine="0"/>
      </w:pPr>
      <w:rPr>
        <w:rFonts w:hint="default"/>
        <w:color w:val="2F5496"/>
      </w:rPr>
    </w:lvl>
    <w:lvl w:ilvl="1">
      <w:start w:val="1"/>
      <w:numFmt w:val="decimal"/>
      <w:pStyle w:val="3"/>
      <w:lvlText w:val="%1.%2."/>
      <w:lvlJc w:val="left"/>
      <w:pPr>
        <w:tabs>
          <w:tab w:val="num" w:pos="851"/>
        </w:tabs>
        <w:ind w:left="0" w:firstLine="0"/>
      </w:pPr>
      <w:rPr>
        <w:rFonts w:hint="default"/>
      </w:rPr>
    </w:lvl>
    <w:lvl w:ilvl="2">
      <w:start w:val="1"/>
      <w:numFmt w:val="decimal"/>
      <w:pStyle w:val="4"/>
      <w:lvlText w:val="%1.%2.%3."/>
      <w:lvlJc w:val="left"/>
      <w:pPr>
        <w:tabs>
          <w:tab w:val="num" w:pos="851"/>
        </w:tabs>
        <w:ind w:left="0" w:firstLine="0"/>
      </w:pPr>
      <w:rPr>
        <w:rFonts w:hint="default"/>
      </w:rPr>
    </w:lvl>
    <w:lvl w:ilvl="3">
      <w:start w:val="1"/>
      <w:numFmt w:val="decimal"/>
      <w:pStyle w:val="5"/>
      <w:lvlText w:val="%1.%2.%3.%4."/>
      <w:lvlJc w:val="left"/>
      <w:pPr>
        <w:tabs>
          <w:tab w:val="num" w:pos="851"/>
        </w:tabs>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15:restartNumberingAfterBreak="0">
    <w:nsid w:val="480E7C37"/>
    <w:multiLevelType w:val="hybridMultilevel"/>
    <w:tmpl w:val="463604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D267CA4"/>
    <w:multiLevelType w:val="multilevel"/>
    <w:tmpl w:val="AFCA5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4D13E1"/>
    <w:multiLevelType w:val="hybridMultilevel"/>
    <w:tmpl w:val="A86806FE"/>
    <w:lvl w:ilvl="0" w:tplc="A6D4BD72">
      <w:start w:val="1"/>
      <w:numFmt w:val="bullet"/>
      <w:lvlText w:val=""/>
      <w:lvlJc w:val="left"/>
      <w:pPr>
        <w:ind w:left="720" w:hanging="360"/>
      </w:pPr>
      <w:rPr>
        <w:rFonts w:ascii="Symbol" w:hAnsi="Symbol" w:hint="default"/>
      </w:rPr>
    </w:lvl>
    <w:lvl w:ilvl="1" w:tplc="7292CA8C">
      <w:start w:val="1"/>
      <w:numFmt w:val="bullet"/>
      <w:lvlText w:val="o"/>
      <w:lvlJc w:val="left"/>
      <w:pPr>
        <w:ind w:left="1440" w:hanging="360"/>
      </w:pPr>
      <w:rPr>
        <w:rFonts w:ascii="Courier New" w:hAnsi="Courier New" w:hint="default"/>
      </w:rPr>
    </w:lvl>
    <w:lvl w:ilvl="2" w:tplc="D82827B4">
      <w:start w:val="1"/>
      <w:numFmt w:val="bullet"/>
      <w:lvlText w:val=""/>
      <w:lvlJc w:val="left"/>
      <w:pPr>
        <w:ind w:left="2160" w:hanging="360"/>
      </w:pPr>
      <w:rPr>
        <w:rFonts w:ascii="Wingdings" w:hAnsi="Wingdings" w:hint="default"/>
      </w:rPr>
    </w:lvl>
    <w:lvl w:ilvl="3" w:tplc="73B69EA0">
      <w:start w:val="1"/>
      <w:numFmt w:val="bullet"/>
      <w:lvlText w:val=""/>
      <w:lvlJc w:val="left"/>
      <w:pPr>
        <w:ind w:left="2880" w:hanging="360"/>
      </w:pPr>
      <w:rPr>
        <w:rFonts w:ascii="Symbol" w:hAnsi="Symbol" w:hint="default"/>
      </w:rPr>
    </w:lvl>
    <w:lvl w:ilvl="4" w:tplc="F978FBDA">
      <w:start w:val="1"/>
      <w:numFmt w:val="bullet"/>
      <w:lvlText w:val="o"/>
      <w:lvlJc w:val="left"/>
      <w:pPr>
        <w:ind w:left="3600" w:hanging="360"/>
      </w:pPr>
      <w:rPr>
        <w:rFonts w:ascii="Courier New" w:hAnsi="Courier New" w:hint="default"/>
      </w:rPr>
    </w:lvl>
    <w:lvl w:ilvl="5" w:tplc="7A10150E">
      <w:start w:val="1"/>
      <w:numFmt w:val="bullet"/>
      <w:lvlText w:val=""/>
      <w:lvlJc w:val="left"/>
      <w:pPr>
        <w:ind w:left="4320" w:hanging="360"/>
      </w:pPr>
      <w:rPr>
        <w:rFonts w:ascii="Wingdings" w:hAnsi="Wingdings" w:hint="default"/>
      </w:rPr>
    </w:lvl>
    <w:lvl w:ilvl="6" w:tplc="26828B2A">
      <w:start w:val="1"/>
      <w:numFmt w:val="bullet"/>
      <w:lvlText w:val=""/>
      <w:lvlJc w:val="left"/>
      <w:pPr>
        <w:ind w:left="5040" w:hanging="360"/>
      </w:pPr>
      <w:rPr>
        <w:rFonts w:ascii="Symbol" w:hAnsi="Symbol" w:hint="default"/>
      </w:rPr>
    </w:lvl>
    <w:lvl w:ilvl="7" w:tplc="56C06302">
      <w:start w:val="1"/>
      <w:numFmt w:val="bullet"/>
      <w:lvlText w:val="o"/>
      <w:lvlJc w:val="left"/>
      <w:pPr>
        <w:ind w:left="5760" w:hanging="360"/>
      </w:pPr>
      <w:rPr>
        <w:rFonts w:ascii="Courier New" w:hAnsi="Courier New" w:hint="default"/>
      </w:rPr>
    </w:lvl>
    <w:lvl w:ilvl="8" w:tplc="C6FC279E">
      <w:start w:val="1"/>
      <w:numFmt w:val="bullet"/>
      <w:lvlText w:val=""/>
      <w:lvlJc w:val="left"/>
      <w:pPr>
        <w:ind w:left="6480" w:hanging="360"/>
      </w:pPr>
      <w:rPr>
        <w:rFonts w:ascii="Wingdings" w:hAnsi="Wingdings" w:hint="default"/>
      </w:rPr>
    </w:lvl>
  </w:abstractNum>
  <w:abstractNum w:abstractNumId="25" w15:restartNumberingAfterBreak="0">
    <w:nsid w:val="51BD0F9C"/>
    <w:multiLevelType w:val="hybridMultilevel"/>
    <w:tmpl w:val="0C92B6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2D62FE4"/>
    <w:multiLevelType w:val="hybridMultilevel"/>
    <w:tmpl w:val="727437F6"/>
    <w:lvl w:ilvl="0" w:tplc="03808EF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abstractNum w:abstractNumId="27" w15:restartNumberingAfterBreak="0">
    <w:nsid w:val="55027780"/>
    <w:multiLevelType w:val="hybridMultilevel"/>
    <w:tmpl w:val="11B8387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56716CEA"/>
    <w:multiLevelType w:val="hybridMultilevel"/>
    <w:tmpl w:val="AA4223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A507601"/>
    <w:multiLevelType w:val="hybridMultilevel"/>
    <w:tmpl w:val="873A3186"/>
    <w:lvl w:ilvl="0" w:tplc="0408000F">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5A802990"/>
    <w:multiLevelType w:val="hybridMultilevel"/>
    <w:tmpl w:val="63342B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6C14366"/>
    <w:multiLevelType w:val="hybridMultilevel"/>
    <w:tmpl w:val="19AC5F10"/>
    <w:lvl w:ilvl="0" w:tplc="59907D3A">
      <w:start w:val="1"/>
      <w:numFmt w:val="decimal"/>
      <w:lvlText w:val="%1."/>
      <w:lvlJc w:val="left"/>
      <w:pPr>
        <w:ind w:left="720" w:hanging="360"/>
      </w:pPr>
      <w:rPr>
        <w:vertAlign w:val="baseline"/>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68914E79"/>
    <w:multiLevelType w:val="hybridMultilevel"/>
    <w:tmpl w:val="A85694A0"/>
    <w:lvl w:ilvl="0" w:tplc="0408000F">
      <w:start w:val="1"/>
      <w:numFmt w:val="decimal"/>
      <w:lvlText w:val="%1."/>
      <w:lvlJc w:val="left"/>
      <w:pPr>
        <w:ind w:left="743" w:hanging="360"/>
      </w:pPr>
    </w:lvl>
    <w:lvl w:ilvl="1" w:tplc="04080019" w:tentative="1">
      <w:start w:val="1"/>
      <w:numFmt w:val="lowerLetter"/>
      <w:lvlText w:val="%2."/>
      <w:lvlJc w:val="left"/>
      <w:pPr>
        <w:ind w:left="1463" w:hanging="360"/>
      </w:pPr>
    </w:lvl>
    <w:lvl w:ilvl="2" w:tplc="0408001B" w:tentative="1">
      <w:start w:val="1"/>
      <w:numFmt w:val="lowerRoman"/>
      <w:lvlText w:val="%3."/>
      <w:lvlJc w:val="right"/>
      <w:pPr>
        <w:ind w:left="2183" w:hanging="180"/>
      </w:pPr>
    </w:lvl>
    <w:lvl w:ilvl="3" w:tplc="0408000F" w:tentative="1">
      <w:start w:val="1"/>
      <w:numFmt w:val="decimal"/>
      <w:lvlText w:val="%4."/>
      <w:lvlJc w:val="left"/>
      <w:pPr>
        <w:ind w:left="2903" w:hanging="360"/>
      </w:pPr>
    </w:lvl>
    <w:lvl w:ilvl="4" w:tplc="04080019" w:tentative="1">
      <w:start w:val="1"/>
      <w:numFmt w:val="lowerLetter"/>
      <w:lvlText w:val="%5."/>
      <w:lvlJc w:val="left"/>
      <w:pPr>
        <w:ind w:left="3623" w:hanging="360"/>
      </w:pPr>
    </w:lvl>
    <w:lvl w:ilvl="5" w:tplc="0408001B" w:tentative="1">
      <w:start w:val="1"/>
      <w:numFmt w:val="lowerRoman"/>
      <w:lvlText w:val="%6."/>
      <w:lvlJc w:val="right"/>
      <w:pPr>
        <w:ind w:left="4343" w:hanging="180"/>
      </w:pPr>
    </w:lvl>
    <w:lvl w:ilvl="6" w:tplc="0408000F" w:tentative="1">
      <w:start w:val="1"/>
      <w:numFmt w:val="decimal"/>
      <w:lvlText w:val="%7."/>
      <w:lvlJc w:val="left"/>
      <w:pPr>
        <w:ind w:left="5063" w:hanging="360"/>
      </w:pPr>
    </w:lvl>
    <w:lvl w:ilvl="7" w:tplc="04080019" w:tentative="1">
      <w:start w:val="1"/>
      <w:numFmt w:val="lowerLetter"/>
      <w:lvlText w:val="%8."/>
      <w:lvlJc w:val="left"/>
      <w:pPr>
        <w:ind w:left="5783" w:hanging="360"/>
      </w:pPr>
    </w:lvl>
    <w:lvl w:ilvl="8" w:tplc="0408001B" w:tentative="1">
      <w:start w:val="1"/>
      <w:numFmt w:val="lowerRoman"/>
      <w:lvlText w:val="%9."/>
      <w:lvlJc w:val="right"/>
      <w:pPr>
        <w:ind w:left="6503" w:hanging="180"/>
      </w:pPr>
    </w:lvl>
  </w:abstractNum>
  <w:abstractNum w:abstractNumId="33" w15:restartNumberingAfterBreak="0">
    <w:nsid w:val="78035644"/>
    <w:multiLevelType w:val="hybridMultilevel"/>
    <w:tmpl w:val="C12C451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ADA459B"/>
    <w:multiLevelType w:val="hybridMultilevel"/>
    <w:tmpl w:val="DB74AFBA"/>
    <w:lvl w:ilvl="0" w:tplc="504C035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7BC03778"/>
    <w:multiLevelType w:val="multilevel"/>
    <w:tmpl w:val="54720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C201E60"/>
    <w:multiLevelType w:val="hybridMultilevel"/>
    <w:tmpl w:val="11B8387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7C756FD5"/>
    <w:multiLevelType w:val="hybridMultilevel"/>
    <w:tmpl w:val="057A592A"/>
    <w:lvl w:ilvl="0" w:tplc="04080003">
      <w:start w:val="1"/>
      <w:numFmt w:val="bullet"/>
      <w:lvlText w:val="o"/>
      <w:lvlJc w:val="left"/>
      <w:pPr>
        <w:ind w:left="883" w:hanging="360"/>
      </w:pPr>
      <w:rPr>
        <w:rFonts w:ascii="Courier New" w:hAnsi="Courier New" w:cs="Courier New" w:hint="default"/>
      </w:rPr>
    </w:lvl>
    <w:lvl w:ilvl="1" w:tplc="04080003" w:tentative="1">
      <w:start w:val="1"/>
      <w:numFmt w:val="bullet"/>
      <w:lvlText w:val="o"/>
      <w:lvlJc w:val="left"/>
      <w:pPr>
        <w:ind w:left="1603" w:hanging="360"/>
      </w:pPr>
      <w:rPr>
        <w:rFonts w:ascii="Courier New" w:hAnsi="Courier New" w:cs="Courier New" w:hint="default"/>
      </w:rPr>
    </w:lvl>
    <w:lvl w:ilvl="2" w:tplc="04080005" w:tentative="1">
      <w:start w:val="1"/>
      <w:numFmt w:val="bullet"/>
      <w:lvlText w:val=""/>
      <w:lvlJc w:val="left"/>
      <w:pPr>
        <w:ind w:left="2323" w:hanging="360"/>
      </w:pPr>
      <w:rPr>
        <w:rFonts w:ascii="Wingdings" w:hAnsi="Wingdings" w:hint="default"/>
      </w:rPr>
    </w:lvl>
    <w:lvl w:ilvl="3" w:tplc="04080001" w:tentative="1">
      <w:start w:val="1"/>
      <w:numFmt w:val="bullet"/>
      <w:lvlText w:val=""/>
      <w:lvlJc w:val="left"/>
      <w:pPr>
        <w:ind w:left="3043" w:hanging="360"/>
      </w:pPr>
      <w:rPr>
        <w:rFonts w:ascii="Symbol" w:hAnsi="Symbol" w:hint="default"/>
      </w:rPr>
    </w:lvl>
    <w:lvl w:ilvl="4" w:tplc="04080003" w:tentative="1">
      <w:start w:val="1"/>
      <w:numFmt w:val="bullet"/>
      <w:lvlText w:val="o"/>
      <w:lvlJc w:val="left"/>
      <w:pPr>
        <w:ind w:left="3763" w:hanging="360"/>
      </w:pPr>
      <w:rPr>
        <w:rFonts w:ascii="Courier New" w:hAnsi="Courier New" w:cs="Courier New" w:hint="default"/>
      </w:rPr>
    </w:lvl>
    <w:lvl w:ilvl="5" w:tplc="04080005" w:tentative="1">
      <w:start w:val="1"/>
      <w:numFmt w:val="bullet"/>
      <w:lvlText w:val=""/>
      <w:lvlJc w:val="left"/>
      <w:pPr>
        <w:ind w:left="4483" w:hanging="360"/>
      </w:pPr>
      <w:rPr>
        <w:rFonts w:ascii="Wingdings" w:hAnsi="Wingdings" w:hint="default"/>
      </w:rPr>
    </w:lvl>
    <w:lvl w:ilvl="6" w:tplc="04080001" w:tentative="1">
      <w:start w:val="1"/>
      <w:numFmt w:val="bullet"/>
      <w:lvlText w:val=""/>
      <w:lvlJc w:val="left"/>
      <w:pPr>
        <w:ind w:left="5203" w:hanging="360"/>
      </w:pPr>
      <w:rPr>
        <w:rFonts w:ascii="Symbol" w:hAnsi="Symbol" w:hint="default"/>
      </w:rPr>
    </w:lvl>
    <w:lvl w:ilvl="7" w:tplc="04080003" w:tentative="1">
      <w:start w:val="1"/>
      <w:numFmt w:val="bullet"/>
      <w:lvlText w:val="o"/>
      <w:lvlJc w:val="left"/>
      <w:pPr>
        <w:ind w:left="5923" w:hanging="360"/>
      </w:pPr>
      <w:rPr>
        <w:rFonts w:ascii="Courier New" w:hAnsi="Courier New" w:cs="Courier New" w:hint="default"/>
      </w:rPr>
    </w:lvl>
    <w:lvl w:ilvl="8" w:tplc="04080005" w:tentative="1">
      <w:start w:val="1"/>
      <w:numFmt w:val="bullet"/>
      <w:lvlText w:val=""/>
      <w:lvlJc w:val="left"/>
      <w:pPr>
        <w:ind w:left="6643" w:hanging="360"/>
      </w:pPr>
      <w:rPr>
        <w:rFonts w:ascii="Wingdings" w:hAnsi="Wingdings" w:hint="default"/>
      </w:rPr>
    </w:lvl>
  </w:abstractNum>
  <w:num w:numId="1">
    <w:abstractNumId w:val="18"/>
  </w:num>
  <w:num w:numId="2">
    <w:abstractNumId w:val="14"/>
  </w:num>
  <w:num w:numId="3">
    <w:abstractNumId w:val="24"/>
  </w:num>
  <w:num w:numId="4">
    <w:abstractNumId w:val="36"/>
  </w:num>
  <w:num w:numId="5">
    <w:abstractNumId w:val="31"/>
  </w:num>
  <w:num w:numId="6">
    <w:abstractNumId w:val="28"/>
  </w:num>
  <w:num w:numId="7">
    <w:abstractNumId w:val="29"/>
  </w:num>
  <w:num w:numId="8">
    <w:abstractNumId w:val="2"/>
  </w:num>
  <w:num w:numId="9">
    <w:abstractNumId w:val="21"/>
  </w:num>
  <w:num w:numId="10">
    <w:abstractNumId w:val="15"/>
  </w:num>
  <w:num w:numId="11">
    <w:abstractNumId w:val="37"/>
  </w:num>
  <w:num w:numId="12">
    <w:abstractNumId w:val="25"/>
  </w:num>
  <w:num w:numId="13">
    <w:abstractNumId w:val="22"/>
  </w:num>
  <w:num w:numId="14">
    <w:abstractNumId w:val="11"/>
  </w:num>
  <w:num w:numId="15">
    <w:abstractNumId w:val="23"/>
  </w:num>
  <w:num w:numId="16">
    <w:abstractNumId w:val="20"/>
  </w:num>
  <w:num w:numId="17">
    <w:abstractNumId w:val="3"/>
  </w:num>
  <w:num w:numId="18">
    <w:abstractNumId w:val="27"/>
  </w:num>
  <w:num w:numId="19">
    <w:abstractNumId w:val="16"/>
  </w:num>
  <w:num w:numId="20">
    <w:abstractNumId w:val="5"/>
  </w:num>
  <w:num w:numId="21">
    <w:abstractNumId w:val="10"/>
  </w:num>
  <w:num w:numId="22">
    <w:abstractNumId w:val="35"/>
  </w:num>
  <w:num w:numId="23">
    <w:abstractNumId w:val="32"/>
  </w:num>
  <w:num w:numId="24">
    <w:abstractNumId w:val="13"/>
  </w:num>
  <w:num w:numId="25">
    <w:abstractNumId w:val="33"/>
  </w:num>
  <w:num w:numId="26">
    <w:abstractNumId w:val="17"/>
  </w:num>
  <w:num w:numId="27">
    <w:abstractNumId w:val="12"/>
  </w:num>
  <w:num w:numId="28">
    <w:abstractNumId w:val="9"/>
  </w:num>
  <w:num w:numId="29">
    <w:abstractNumId w:val="7"/>
  </w:num>
  <w:num w:numId="30">
    <w:abstractNumId w:val="19"/>
  </w:num>
  <w:num w:numId="31">
    <w:abstractNumId w:val="4"/>
  </w:num>
  <w:num w:numId="32">
    <w:abstractNumId w:val="30"/>
  </w:num>
  <w:num w:numId="33">
    <w:abstractNumId w:val="8"/>
  </w:num>
  <w:num w:numId="34">
    <w:abstractNumId w:val="34"/>
  </w:num>
  <w:num w:numId="35">
    <w:abstractNumId w:val="26"/>
  </w:num>
  <w:num w:numId="36">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4"/>
  <w:doNotHyphenateCaps/>
  <w:evenAndOddHeaders/>
  <w:noPunctuationKerning/>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846"/>
    <w:rsid w:val="000003A7"/>
    <w:rsid w:val="000004BF"/>
    <w:rsid w:val="00000766"/>
    <w:rsid w:val="00000A91"/>
    <w:rsid w:val="00000AC9"/>
    <w:rsid w:val="00000C78"/>
    <w:rsid w:val="00000F25"/>
    <w:rsid w:val="0000119D"/>
    <w:rsid w:val="0000156D"/>
    <w:rsid w:val="00001759"/>
    <w:rsid w:val="00001826"/>
    <w:rsid w:val="00001AD4"/>
    <w:rsid w:val="00001FA2"/>
    <w:rsid w:val="000024E4"/>
    <w:rsid w:val="00002918"/>
    <w:rsid w:val="000029B2"/>
    <w:rsid w:val="00002BDF"/>
    <w:rsid w:val="00002CA7"/>
    <w:rsid w:val="00003359"/>
    <w:rsid w:val="0000380D"/>
    <w:rsid w:val="000038E8"/>
    <w:rsid w:val="00003AF3"/>
    <w:rsid w:val="00003B83"/>
    <w:rsid w:val="00003B8B"/>
    <w:rsid w:val="00003E7D"/>
    <w:rsid w:val="00004132"/>
    <w:rsid w:val="000044C3"/>
    <w:rsid w:val="000046CC"/>
    <w:rsid w:val="000048CD"/>
    <w:rsid w:val="00004A8D"/>
    <w:rsid w:val="00004AFB"/>
    <w:rsid w:val="00004D84"/>
    <w:rsid w:val="00005975"/>
    <w:rsid w:val="00005CBB"/>
    <w:rsid w:val="00005EBD"/>
    <w:rsid w:val="000061BC"/>
    <w:rsid w:val="00006304"/>
    <w:rsid w:val="00006305"/>
    <w:rsid w:val="00006369"/>
    <w:rsid w:val="00006517"/>
    <w:rsid w:val="00006A56"/>
    <w:rsid w:val="00007006"/>
    <w:rsid w:val="0000710D"/>
    <w:rsid w:val="000072BD"/>
    <w:rsid w:val="0000731E"/>
    <w:rsid w:val="00007341"/>
    <w:rsid w:val="000074EA"/>
    <w:rsid w:val="0000751E"/>
    <w:rsid w:val="00007AB1"/>
    <w:rsid w:val="00007B13"/>
    <w:rsid w:val="00007E60"/>
    <w:rsid w:val="00007E9D"/>
    <w:rsid w:val="0001035E"/>
    <w:rsid w:val="000108E4"/>
    <w:rsid w:val="00010909"/>
    <w:rsid w:val="00010CA3"/>
    <w:rsid w:val="00010F7A"/>
    <w:rsid w:val="000110BF"/>
    <w:rsid w:val="00011AC2"/>
    <w:rsid w:val="00011ADE"/>
    <w:rsid w:val="00011CD8"/>
    <w:rsid w:val="0001213A"/>
    <w:rsid w:val="00012888"/>
    <w:rsid w:val="00012972"/>
    <w:rsid w:val="000129E6"/>
    <w:rsid w:val="00012E7A"/>
    <w:rsid w:val="00012F02"/>
    <w:rsid w:val="00012FB6"/>
    <w:rsid w:val="000135A4"/>
    <w:rsid w:val="00013E9C"/>
    <w:rsid w:val="00013EFD"/>
    <w:rsid w:val="00014099"/>
    <w:rsid w:val="0001423E"/>
    <w:rsid w:val="000146EA"/>
    <w:rsid w:val="00014816"/>
    <w:rsid w:val="00014BC9"/>
    <w:rsid w:val="00015068"/>
    <w:rsid w:val="00015071"/>
    <w:rsid w:val="000150F8"/>
    <w:rsid w:val="000151B3"/>
    <w:rsid w:val="00015412"/>
    <w:rsid w:val="000159F4"/>
    <w:rsid w:val="00015B99"/>
    <w:rsid w:val="00015F99"/>
    <w:rsid w:val="00016214"/>
    <w:rsid w:val="00016369"/>
    <w:rsid w:val="00016577"/>
    <w:rsid w:val="00016CF7"/>
    <w:rsid w:val="00017527"/>
    <w:rsid w:val="0001778F"/>
    <w:rsid w:val="000177B8"/>
    <w:rsid w:val="00017AA2"/>
    <w:rsid w:val="0002021E"/>
    <w:rsid w:val="000203E6"/>
    <w:rsid w:val="0002077A"/>
    <w:rsid w:val="00020881"/>
    <w:rsid w:val="00020CD1"/>
    <w:rsid w:val="00020E7B"/>
    <w:rsid w:val="00020FA4"/>
    <w:rsid w:val="0002125F"/>
    <w:rsid w:val="0002134F"/>
    <w:rsid w:val="00021756"/>
    <w:rsid w:val="00021908"/>
    <w:rsid w:val="00021BE0"/>
    <w:rsid w:val="00022014"/>
    <w:rsid w:val="00022329"/>
    <w:rsid w:val="000227CE"/>
    <w:rsid w:val="00022D6D"/>
    <w:rsid w:val="00022E66"/>
    <w:rsid w:val="00023701"/>
    <w:rsid w:val="00023820"/>
    <w:rsid w:val="0002385A"/>
    <w:rsid w:val="000239C3"/>
    <w:rsid w:val="00023A08"/>
    <w:rsid w:val="00023DA9"/>
    <w:rsid w:val="0002414A"/>
    <w:rsid w:val="00024335"/>
    <w:rsid w:val="00024500"/>
    <w:rsid w:val="000249B3"/>
    <w:rsid w:val="00024ED4"/>
    <w:rsid w:val="00025781"/>
    <w:rsid w:val="000262CF"/>
    <w:rsid w:val="000263AD"/>
    <w:rsid w:val="000263B8"/>
    <w:rsid w:val="000265CD"/>
    <w:rsid w:val="000268CC"/>
    <w:rsid w:val="000269F2"/>
    <w:rsid w:val="00026A61"/>
    <w:rsid w:val="00026F7F"/>
    <w:rsid w:val="000270D1"/>
    <w:rsid w:val="000270EA"/>
    <w:rsid w:val="0002728C"/>
    <w:rsid w:val="0002737A"/>
    <w:rsid w:val="000275FD"/>
    <w:rsid w:val="000277BB"/>
    <w:rsid w:val="0002796C"/>
    <w:rsid w:val="0003003E"/>
    <w:rsid w:val="00030228"/>
    <w:rsid w:val="00030713"/>
    <w:rsid w:val="0003090A"/>
    <w:rsid w:val="00030B78"/>
    <w:rsid w:val="00030D0D"/>
    <w:rsid w:val="00030E78"/>
    <w:rsid w:val="000314DC"/>
    <w:rsid w:val="000315CE"/>
    <w:rsid w:val="00031B36"/>
    <w:rsid w:val="00031C77"/>
    <w:rsid w:val="00032315"/>
    <w:rsid w:val="00032633"/>
    <w:rsid w:val="00033025"/>
    <w:rsid w:val="0003347C"/>
    <w:rsid w:val="0003353E"/>
    <w:rsid w:val="00033850"/>
    <w:rsid w:val="00033BD0"/>
    <w:rsid w:val="00033C37"/>
    <w:rsid w:val="00033C64"/>
    <w:rsid w:val="00033C6F"/>
    <w:rsid w:val="0003403C"/>
    <w:rsid w:val="00034326"/>
    <w:rsid w:val="000347DD"/>
    <w:rsid w:val="000349AF"/>
    <w:rsid w:val="00034C84"/>
    <w:rsid w:val="000351F3"/>
    <w:rsid w:val="00035246"/>
    <w:rsid w:val="000354F5"/>
    <w:rsid w:val="000356C4"/>
    <w:rsid w:val="0003576C"/>
    <w:rsid w:val="00035804"/>
    <w:rsid w:val="00035810"/>
    <w:rsid w:val="00035D3F"/>
    <w:rsid w:val="00036278"/>
    <w:rsid w:val="00036C9F"/>
    <w:rsid w:val="00036D46"/>
    <w:rsid w:val="000371FE"/>
    <w:rsid w:val="000373C6"/>
    <w:rsid w:val="0003754B"/>
    <w:rsid w:val="000376C7"/>
    <w:rsid w:val="0003780F"/>
    <w:rsid w:val="00037B3D"/>
    <w:rsid w:val="0004015E"/>
    <w:rsid w:val="0004052E"/>
    <w:rsid w:val="000409E9"/>
    <w:rsid w:val="00040C33"/>
    <w:rsid w:val="00040DF1"/>
    <w:rsid w:val="00041061"/>
    <w:rsid w:val="000410AF"/>
    <w:rsid w:val="0004149D"/>
    <w:rsid w:val="000414B5"/>
    <w:rsid w:val="000417CF"/>
    <w:rsid w:val="00041B2A"/>
    <w:rsid w:val="00041C0F"/>
    <w:rsid w:val="00041D6D"/>
    <w:rsid w:val="00041D9C"/>
    <w:rsid w:val="00042060"/>
    <w:rsid w:val="0004210D"/>
    <w:rsid w:val="000423F9"/>
    <w:rsid w:val="00042668"/>
    <w:rsid w:val="000426BD"/>
    <w:rsid w:val="0004271F"/>
    <w:rsid w:val="00042B29"/>
    <w:rsid w:val="00042B74"/>
    <w:rsid w:val="00042D8F"/>
    <w:rsid w:val="000431B4"/>
    <w:rsid w:val="0004332B"/>
    <w:rsid w:val="0004334A"/>
    <w:rsid w:val="00043357"/>
    <w:rsid w:val="000435CB"/>
    <w:rsid w:val="000437B6"/>
    <w:rsid w:val="000439A3"/>
    <w:rsid w:val="00043AF8"/>
    <w:rsid w:val="00043C6D"/>
    <w:rsid w:val="00043F75"/>
    <w:rsid w:val="0004405A"/>
    <w:rsid w:val="00044B79"/>
    <w:rsid w:val="00044D2C"/>
    <w:rsid w:val="000451A5"/>
    <w:rsid w:val="00045229"/>
    <w:rsid w:val="000455E4"/>
    <w:rsid w:val="0004583C"/>
    <w:rsid w:val="00045876"/>
    <w:rsid w:val="00045962"/>
    <w:rsid w:val="0004598E"/>
    <w:rsid w:val="00045BF7"/>
    <w:rsid w:val="00046286"/>
    <w:rsid w:val="000463FD"/>
    <w:rsid w:val="000464E3"/>
    <w:rsid w:val="00046881"/>
    <w:rsid w:val="000469B4"/>
    <w:rsid w:val="00046A2C"/>
    <w:rsid w:val="000472FD"/>
    <w:rsid w:val="0004768D"/>
    <w:rsid w:val="00047C40"/>
    <w:rsid w:val="00047C88"/>
    <w:rsid w:val="00047D1C"/>
    <w:rsid w:val="00047D70"/>
    <w:rsid w:val="00047F2B"/>
    <w:rsid w:val="000503C9"/>
    <w:rsid w:val="00050E37"/>
    <w:rsid w:val="00050F37"/>
    <w:rsid w:val="0005104D"/>
    <w:rsid w:val="00051119"/>
    <w:rsid w:val="0005115B"/>
    <w:rsid w:val="000512CF"/>
    <w:rsid w:val="00051433"/>
    <w:rsid w:val="000516D0"/>
    <w:rsid w:val="00051B4B"/>
    <w:rsid w:val="00051C8D"/>
    <w:rsid w:val="0005219F"/>
    <w:rsid w:val="000524C8"/>
    <w:rsid w:val="00052621"/>
    <w:rsid w:val="000527D8"/>
    <w:rsid w:val="0005295B"/>
    <w:rsid w:val="0005299D"/>
    <w:rsid w:val="00052A12"/>
    <w:rsid w:val="00053103"/>
    <w:rsid w:val="00053514"/>
    <w:rsid w:val="00053542"/>
    <w:rsid w:val="00053BBE"/>
    <w:rsid w:val="00053F64"/>
    <w:rsid w:val="00054207"/>
    <w:rsid w:val="00054269"/>
    <w:rsid w:val="0005444C"/>
    <w:rsid w:val="000544AC"/>
    <w:rsid w:val="0005472A"/>
    <w:rsid w:val="000547E7"/>
    <w:rsid w:val="00054AC0"/>
    <w:rsid w:val="00054DB8"/>
    <w:rsid w:val="0005521C"/>
    <w:rsid w:val="00055408"/>
    <w:rsid w:val="000557AB"/>
    <w:rsid w:val="00055DCC"/>
    <w:rsid w:val="00055F78"/>
    <w:rsid w:val="00056238"/>
    <w:rsid w:val="0005626E"/>
    <w:rsid w:val="000562B1"/>
    <w:rsid w:val="000564DE"/>
    <w:rsid w:val="000566CB"/>
    <w:rsid w:val="00056723"/>
    <w:rsid w:val="00056740"/>
    <w:rsid w:val="000569E1"/>
    <w:rsid w:val="000569E7"/>
    <w:rsid w:val="00056A40"/>
    <w:rsid w:val="00057D0B"/>
    <w:rsid w:val="00057FCB"/>
    <w:rsid w:val="0006026A"/>
    <w:rsid w:val="000604A9"/>
    <w:rsid w:val="00060E5F"/>
    <w:rsid w:val="00060F7D"/>
    <w:rsid w:val="000614BC"/>
    <w:rsid w:val="0006258D"/>
    <w:rsid w:val="000626A0"/>
    <w:rsid w:val="00062A0F"/>
    <w:rsid w:val="00062CE2"/>
    <w:rsid w:val="00062DF2"/>
    <w:rsid w:val="0006342D"/>
    <w:rsid w:val="00063A00"/>
    <w:rsid w:val="00063ACA"/>
    <w:rsid w:val="00063D3D"/>
    <w:rsid w:val="000641DA"/>
    <w:rsid w:val="000642D8"/>
    <w:rsid w:val="00064314"/>
    <w:rsid w:val="00064661"/>
    <w:rsid w:val="000646EE"/>
    <w:rsid w:val="00064F7A"/>
    <w:rsid w:val="0006536E"/>
    <w:rsid w:val="0006557F"/>
    <w:rsid w:val="000658AF"/>
    <w:rsid w:val="00065AA4"/>
    <w:rsid w:val="00065E73"/>
    <w:rsid w:val="00066193"/>
    <w:rsid w:val="00066654"/>
    <w:rsid w:val="0006674C"/>
    <w:rsid w:val="00066B7F"/>
    <w:rsid w:val="000672AB"/>
    <w:rsid w:val="00067307"/>
    <w:rsid w:val="000673C3"/>
    <w:rsid w:val="00067494"/>
    <w:rsid w:val="00067947"/>
    <w:rsid w:val="000702C0"/>
    <w:rsid w:val="000707E1"/>
    <w:rsid w:val="00070BB2"/>
    <w:rsid w:val="00070EBD"/>
    <w:rsid w:val="000713F4"/>
    <w:rsid w:val="000714B7"/>
    <w:rsid w:val="00071BD7"/>
    <w:rsid w:val="00071C9D"/>
    <w:rsid w:val="00072522"/>
    <w:rsid w:val="00072809"/>
    <w:rsid w:val="00072C90"/>
    <w:rsid w:val="00072EFA"/>
    <w:rsid w:val="00072F21"/>
    <w:rsid w:val="000732D5"/>
    <w:rsid w:val="000738F0"/>
    <w:rsid w:val="000739B8"/>
    <w:rsid w:val="000739EE"/>
    <w:rsid w:val="00073A7B"/>
    <w:rsid w:val="00073ACF"/>
    <w:rsid w:val="00073FDD"/>
    <w:rsid w:val="0007406E"/>
    <w:rsid w:val="000740A1"/>
    <w:rsid w:val="000742BA"/>
    <w:rsid w:val="000747D6"/>
    <w:rsid w:val="000748D9"/>
    <w:rsid w:val="000752B9"/>
    <w:rsid w:val="00075395"/>
    <w:rsid w:val="00075699"/>
    <w:rsid w:val="00075731"/>
    <w:rsid w:val="00076103"/>
    <w:rsid w:val="000763C3"/>
    <w:rsid w:val="00076798"/>
    <w:rsid w:val="00077250"/>
    <w:rsid w:val="0007734A"/>
    <w:rsid w:val="0007741F"/>
    <w:rsid w:val="0007761B"/>
    <w:rsid w:val="00077A4C"/>
    <w:rsid w:val="00077CF0"/>
    <w:rsid w:val="00077E28"/>
    <w:rsid w:val="00077E8B"/>
    <w:rsid w:val="00080098"/>
    <w:rsid w:val="0008086A"/>
    <w:rsid w:val="00080A26"/>
    <w:rsid w:val="00080B4F"/>
    <w:rsid w:val="00080C6D"/>
    <w:rsid w:val="00080F7C"/>
    <w:rsid w:val="000811B8"/>
    <w:rsid w:val="000811E3"/>
    <w:rsid w:val="000813E4"/>
    <w:rsid w:val="00081704"/>
    <w:rsid w:val="00081D1A"/>
    <w:rsid w:val="00082375"/>
    <w:rsid w:val="00082574"/>
    <w:rsid w:val="00082595"/>
    <w:rsid w:val="000826DA"/>
    <w:rsid w:val="000827BF"/>
    <w:rsid w:val="0008285B"/>
    <w:rsid w:val="00082AAC"/>
    <w:rsid w:val="00082CBA"/>
    <w:rsid w:val="00082CE2"/>
    <w:rsid w:val="00082D1F"/>
    <w:rsid w:val="00082E83"/>
    <w:rsid w:val="000831F0"/>
    <w:rsid w:val="0008325E"/>
    <w:rsid w:val="000835C4"/>
    <w:rsid w:val="000837C0"/>
    <w:rsid w:val="000838AB"/>
    <w:rsid w:val="00083CF2"/>
    <w:rsid w:val="00083D08"/>
    <w:rsid w:val="00084AA2"/>
    <w:rsid w:val="00084AFB"/>
    <w:rsid w:val="00084CB1"/>
    <w:rsid w:val="000853A7"/>
    <w:rsid w:val="00085DD0"/>
    <w:rsid w:val="000860D0"/>
    <w:rsid w:val="000862FF"/>
    <w:rsid w:val="00086389"/>
    <w:rsid w:val="00086C36"/>
    <w:rsid w:val="00086F73"/>
    <w:rsid w:val="00087216"/>
    <w:rsid w:val="0008737B"/>
    <w:rsid w:val="00087796"/>
    <w:rsid w:val="00087A8A"/>
    <w:rsid w:val="000901EE"/>
    <w:rsid w:val="00090367"/>
    <w:rsid w:val="000908A9"/>
    <w:rsid w:val="000908D0"/>
    <w:rsid w:val="00091002"/>
    <w:rsid w:val="000915FF"/>
    <w:rsid w:val="0009240F"/>
    <w:rsid w:val="000927A4"/>
    <w:rsid w:val="00092B54"/>
    <w:rsid w:val="00092B59"/>
    <w:rsid w:val="00092C8E"/>
    <w:rsid w:val="00092DB0"/>
    <w:rsid w:val="0009397F"/>
    <w:rsid w:val="00093A2C"/>
    <w:rsid w:val="00093D5A"/>
    <w:rsid w:val="00093D9F"/>
    <w:rsid w:val="00093E71"/>
    <w:rsid w:val="00093FD0"/>
    <w:rsid w:val="0009435E"/>
    <w:rsid w:val="00094668"/>
    <w:rsid w:val="000947A2"/>
    <w:rsid w:val="000948E7"/>
    <w:rsid w:val="00094C1A"/>
    <w:rsid w:val="00094C9E"/>
    <w:rsid w:val="000952C2"/>
    <w:rsid w:val="00095356"/>
    <w:rsid w:val="0009543C"/>
    <w:rsid w:val="00095B16"/>
    <w:rsid w:val="00095D6A"/>
    <w:rsid w:val="00095FEF"/>
    <w:rsid w:val="0009610E"/>
    <w:rsid w:val="00096202"/>
    <w:rsid w:val="00096C91"/>
    <w:rsid w:val="00096D0E"/>
    <w:rsid w:val="000970DC"/>
    <w:rsid w:val="000975B7"/>
    <w:rsid w:val="00097BAC"/>
    <w:rsid w:val="00097D55"/>
    <w:rsid w:val="000A0098"/>
    <w:rsid w:val="000A0165"/>
    <w:rsid w:val="000A0E01"/>
    <w:rsid w:val="000A1191"/>
    <w:rsid w:val="000A158D"/>
    <w:rsid w:val="000A1A50"/>
    <w:rsid w:val="000A1C40"/>
    <w:rsid w:val="000A1CA8"/>
    <w:rsid w:val="000A1E26"/>
    <w:rsid w:val="000A1F4B"/>
    <w:rsid w:val="000A22D0"/>
    <w:rsid w:val="000A23FB"/>
    <w:rsid w:val="000A324D"/>
    <w:rsid w:val="000A34CC"/>
    <w:rsid w:val="000A34EC"/>
    <w:rsid w:val="000A385A"/>
    <w:rsid w:val="000A38B2"/>
    <w:rsid w:val="000A3924"/>
    <w:rsid w:val="000A3AB0"/>
    <w:rsid w:val="000A3E4C"/>
    <w:rsid w:val="000A3EB5"/>
    <w:rsid w:val="000A4110"/>
    <w:rsid w:val="000A4402"/>
    <w:rsid w:val="000A462C"/>
    <w:rsid w:val="000A4791"/>
    <w:rsid w:val="000A50DD"/>
    <w:rsid w:val="000A52E6"/>
    <w:rsid w:val="000A5940"/>
    <w:rsid w:val="000A5978"/>
    <w:rsid w:val="000A683B"/>
    <w:rsid w:val="000A689C"/>
    <w:rsid w:val="000A6B22"/>
    <w:rsid w:val="000A6C9B"/>
    <w:rsid w:val="000A704F"/>
    <w:rsid w:val="000A7294"/>
    <w:rsid w:val="000A7834"/>
    <w:rsid w:val="000A7EE0"/>
    <w:rsid w:val="000B0700"/>
    <w:rsid w:val="000B0AD8"/>
    <w:rsid w:val="000B0B0D"/>
    <w:rsid w:val="000B0D4A"/>
    <w:rsid w:val="000B1218"/>
    <w:rsid w:val="000B17E6"/>
    <w:rsid w:val="000B1A75"/>
    <w:rsid w:val="000B20E2"/>
    <w:rsid w:val="000B2698"/>
    <w:rsid w:val="000B29D5"/>
    <w:rsid w:val="000B29D9"/>
    <w:rsid w:val="000B2A2F"/>
    <w:rsid w:val="000B2ACB"/>
    <w:rsid w:val="000B2D6B"/>
    <w:rsid w:val="000B2F65"/>
    <w:rsid w:val="000B3085"/>
    <w:rsid w:val="000B33E3"/>
    <w:rsid w:val="000B34AF"/>
    <w:rsid w:val="000B34FE"/>
    <w:rsid w:val="000B355F"/>
    <w:rsid w:val="000B3ABD"/>
    <w:rsid w:val="000B3C6B"/>
    <w:rsid w:val="000B3D66"/>
    <w:rsid w:val="000B3E70"/>
    <w:rsid w:val="000B41E2"/>
    <w:rsid w:val="000B4201"/>
    <w:rsid w:val="000B438E"/>
    <w:rsid w:val="000B46C6"/>
    <w:rsid w:val="000B46FD"/>
    <w:rsid w:val="000B47BF"/>
    <w:rsid w:val="000B4910"/>
    <w:rsid w:val="000B4B9D"/>
    <w:rsid w:val="000B4F29"/>
    <w:rsid w:val="000B4FF4"/>
    <w:rsid w:val="000B5408"/>
    <w:rsid w:val="000B55A8"/>
    <w:rsid w:val="000B564D"/>
    <w:rsid w:val="000B5A8B"/>
    <w:rsid w:val="000B5ACE"/>
    <w:rsid w:val="000B60CC"/>
    <w:rsid w:val="000B627B"/>
    <w:rsid w:val="000B6BA3"/>
    <w:rsid w:val="000B71B1"/>
    <w:rsid w:val="000B7406"/>
    <w:rsid w:val="000B7661"/>
    <w:rsid w:val="000B77EE"/>
    <w:rsid w:val="000B78E3"/>
    <w:rsid w:val="000B7CBD"/>
    <w:rsid w:val="000C0017"/>
    <w:rsid w:val="000C0330"/>
    <w:rsid w:val="000C0BA8"/>
    <w:rsid w:val="000C0FDB"/>
    <w:rsid w:val="000C1750"/>
    <w:rsid w:val="000C1E86"/>
    <w:rsid w:val="000C1F15"/>
    <w:rsid w:val="000C1F1D"/>
    <w:rsid w:val="000C1F2F"/>
    <w:rsid w:val="000C201D"/>
    <w:rsid w:val="000C20CE"/>
    <w:rsid w:val="000C261E"/>
    <w:rsid w:val="000C2A0D"/>
    <w:rsid w:val="000C2BC6"/>
    <w:rsid w:val="000C3595"/>
    <w:rsid w:val="000C37F6"/>
    <w:rsid w:val="000C398F"/>
    <w:rsid w:val="000C4232"/>
    <w:rsid w:val="000C46B8"/>
    <w:rsid w:val="000C46E6"/>
    <w:rsid w:val="000C570D"/>
    <w:rsid w:val="000C5B9D"/>
    <w:rsid w:val="000C5BA2"/>
    <w:rsid w:val="000C5BBA"/>
    <w:rsid w:val="000C5F5B"/>
    <w:rsid w:val="000C674E"/>
    <w:rsid w:val="000C6773"/>
    <w:rsid w:val="000C67BA"/>
    <w:rsid w:val="000C6969"/>
    <w:rsid w:val="000C6ADC"/>
    <w:rsid w:val="000C6BC0"/>
    <w:rsid w:val="000C6C33"/>
    <w:rsid w:val="000C6D91"/>
    <w:rsid w:val="000C6FDE"/>
    <w:rsid w:val="000C701E"/>
    <w:rsid w:val="000C722B"/>
    <w:rsid w:val="000C7268"/>
    <w:rsid w:val="000C72C1"/>
    <w:rsid w:val="000C72C7"/>
    <w:rsid w:val="000C73DB"/>
    <w:rsid w:val="000C75C7"/>
    <w:rsid w:val="000C76DD"/>
    <w:rsid w:val="000C7B69"/>
    <w:rsid w:val="000C7E9A"/>
    <w:rsid w:val="000C7FF9"/>
    <w:rsid w:val="000D05B1"/>
    <w:rsid w:val="000D09E1"/>
    <w:rsid w:val="000D0F11"/>
    <w:rsid w:val="000D0F79"/>
    <w:rsid w:val="000D0FE6"/>
    <w:rsid w:val="000D14E7"/>
    <w:rsid w:val="000D18F4"/>
    <w:rsid w:val="000D1C5F"/>
    <w:rsid w:val="000D1D55"/>
    <w:rsid w:val="000D1DBB"/>
    <w:rsid w:val="000D1F42"/>
    <w:rsid w:val="000D2798"/>
    <w:rsid w:val="000D2910"/>
    <w:rsid w:val="000D2FA9"/>
    <w:rsid w:val="000D30E5"/>
    <w:rsid w:val="000D3127"/>
    <w:rsid w:val="000D3324"/>
    <w:rsid w:val="000D34D0"/>
    <w:rsid w:val="000D3A37"/>
    <w:rsid w:val="000D3B0B"/>
    <w:rsid w:val="000D3B3F"/>
    <w:rsid w:val="000D3BF5"/>
    <w:rsid w:val="000D3D36"/>
    <w:rsid w:val="000D3F4E"/>
    <w:rsid w:val="000D42A6"/>
    <w:rsid w:val="000D42AD"/>
    <w:rsid w:val="000D457E"/>
    <w:rsid w:val="000D49B1"/>
    <w:rsid w:val="000D4D0B"/>
    <w:rsid w:val="000D4D88"/>
    <w:rsid w:val="000D5094"/>
    <w:rsid w:val="000D53D0"/>
    <w:rsid w:val="000D54AE"/>
    <w:rsid w:val="000D55FE"/>
    <w:rsid w:val="000D5C0D"/>
    <w:rsid w:val="000D5D61"/>
    <w:rsid w:val="000D616C"/>
    <w:rsid w:val="000D654B"/>
    <w:rsid w:val="000D68DC"/>
    <w:rsid w:val="000D6A1B"/>
    <w:rsid w:val="000D6FB5"/>
    <w:rsid w:val="000D771F"/>
    <w:rsid w:val="000D7799"/>
    <w:rsid w:val="000D7A4B"/>
    <w:rsid w:val="000D7B97"/>
    <w:rsid w:val="000D7E5D"/>
    <w:rsid w:val="000D7E64"/>
    <w:rsid w:val="000E0436"/>
    <w:rsid w:val="000E0861"/>
    <w:rsid w:val="000E090D"/>
    <w:rsid w:val="000E1072"/>
    <w:rsid w:val="000E13F3"/>
    <w:rsid w:val="000E1B3F"/>
    <w:rsid w:val="000E21AB"/>
    <w:rsid w:val="000E252C"/>
    <w:rsid w:val="000E2608"/>
    <w:rsid w:val="000E27D3"/>
    <w:rsid w:val="000E28BB"/>
    <w:rsid w:val="000E29CA"/>
    <w:rsid w:val="000E2CEC"/>
    <w:rsid w:val="000E305C"/>
    <w:rsid w:val="000E30BD"/>
    <w:rsid w:val="000E32AA"/>
    <w:rsid w:val="000E3872"/>
    <w:rsid w:val="000E3E37"/>
    <w:rsid w:val="000E412F"/>
    <w:rsid w:val="000E429F"/>
    <w:rsid w:val="000E42D3"/>
    <w:rsid w:val="000E45C1"/>
    <w:rsid w:val="000E4629"/>
    <w:rsid w:val="000E4846"/>
    <w:rsid w:val="000E498A"/>
    <w:rsid w:val="000E4B21"/>
    <w:rsid w:val="000E562D"/>
    <w:rsid w:val="000E58EE"/>
    <w:rsid w:val="000E5D3F"/>
    <w:rsid w:val="000E5E14"/>
    <w:rsid w:val="000E5EBB"/>
    <w:rsid w:val="000E63DA"/>
    <w:rsid w:val="000E6620"/>
    <w:rsid w:val="000E6674"/>
    <w:rsid w:val="000E67D5"/>
    <w:rsid w:val="000E6B66"/>
    <w:rsid w:val="000E6C1F"/>
    <w:rsid w:val="000E6F38"/>
    <w:rsid w:val="000E7037"/>
    <w:rsid w:val="000E7830"/>
    <w:rsid w:val="000E7AF2"/>
    <w:rsid w:val="000E7FE0"/>
    <w:rsid w:val="000F014C"/>
    <w:rsid w:val="000F0221"/>
    <w:rsid w:val="000F033B"/>
    <w:rsid w:val="000F0B20"/>
    <w:rsid w:val="000F0FC4"/>
    <w:rsid w:val="000F10EF"/>
    <w:rsid w:val="000F1B7D"/>
    <w:rsid w:val="000F1B8C"/>
    <w:rsid w:val="000F208F"/>
    <w:rsid w:val="000F2318"/>
    <w:rsid w:val="000F24DF"/>
    <w:rsid w:val="000F2824"/>
    <w:rsid w:val="000F2828"/>
    <w:rsid w:val="000F28BB"/>
    <w:rsid w:val="000F2988"/>
    <w:rsid w:val="000F29EE"/>
    <w:rsid w:val="000F2A4D"/>
    <w:rsid w:val="000F2D44"/>
    <w:rsid w:val="000F3021"/>
    <w:rsid w:val="000F304C"/>
    <w:rsid w:val="000F306D"/>
    <w:rsid w:val="000F3299"/>
    <w:rsid w:val="000F337D"/>
    <w:rsid w:val="000F33A6"/>
    <w:rsid w:val="000F36C5"/>
    <w:rsid w:val="000F39EA"/>
    <w:rsid w:val="000F3AEA"/>
    <w:rsid w:val="000F3B4E"/>
    <w:rsid w:val="000F41A1"/>
    <w:rsid w:val="000F4234"/>
    <w:rsid w:val="000F4348"/>
    <w:rsid w:val="000F4CA7"/>
    <w:rsid w:val="000F4D23"/>
    <w:rsid w:val="000F4E1F"/>
    <w:rsid w:val="000F5072"/>
    <w:rsid w:val="000F51C8"/>
    <w:rsid w:val="000F53AD"/>
    <w:rsid w:val="000F53C0"/>
    <w:rsid w:val="000F580A"/>
    <w:rsid w:val="000F5B4E"/>
    <w:rsid w:val="000F5E6F"/>
    <w:rsid w:val="000F60D0"/>
    <w:rsid w:val="000F6106"/>
    <w:rsid w:val="000F6223"/>
    <w:rsid w:val="000F667D"/>
    <w:rsid w:val="000F6B8E"/>
    <w:rsid w:val="000F6EA1"/>
    <w:rsid w:val="000F7143"/>
    <w:rsid w:val="000F7363"/>
    <w:rsid w:val="000F7530"/>
    <w:rsid w:val="000F76C1"/>
    <w:rsid w:val="000F7837"/>
    <w:rsid w:val="000F795A"/>
    <w:rsid w:val="000F7FBD"/>
    <w:rsid w:val="00100113"/>
    <w:rsid w:val="0010044D"/>
    <w:rsid w:val="00100EB7"/>
    <w:rsid w:val="0010172E"/>
    <w:rsid w:val="00101B6F"/>
    <w:rsid w:val="00101D6C"/>
    <w:rsid w:val="00102031"/>
    <w:rsid w:val="0010262F"/>
    <w:rsid w:val="00102687"/>
    <w:rsid w:val="00102704"/>
    <w:rsid w:val="00102FAC"/>
    <w:rsid w:val="001032C4"/>
    <w:rsid w:val="00103845"/>
    <w:rsid w:val="0010389D"/>
    <w:rsid w:val="0010395E"/>
    <w:rsid w:val="00103BDE"/>
    <w:rsid w:val="00103EB6"/>
    <w:rsid w:val="00103F27"/>
    <w:rsid w:val="001042E7"/>
    <w:rsid w:val="001044F7"/>
    <w:rsid w:val="00104BB2"/>
    <w:rsid w:val="00105018"/>
    <w:rsid w:val="00105189"/>
    <w:rsid w:val="00105520"/>
    <w:rsid w:val="0010574C"/>
    <w:rsid w:val="00105912"/>
    <w:rsid w:val="00105917"/>
    <w:rsid w:val="001059EE"/>
    <w:rsid w:val="00105C8F"/>
    <w:rsid w:val="001061FF"/>
    <w:rsid w:val="00106D9D"/>
    <w:rsid w:val="0010708D"/>
    <w:rsid w:val="0010714D"/>
    <w:rsid w:val="00107345"/>
    <w:rsid w:val="00107433"/>
    <w:rsid w:val="00107971"/>
    <w:rsid w:val="00107A11"/>
    <w:rsid w:val="00107D54"/>
    <w:rsid w:val="00107D79"/>
    <w:rsid w:val="00110167"/>
    <w:rsid w:val="001101FD"/>
    <w:rsid w:val="00110381"/>
    <w:rsid w:val="00110565"/>
    <w:rsid w:val="00110B7D"/>
    <w:rsid w:val="00110D7C"/>
    <w:rsid w:val="00110DF0"/>
    <w:rsid w:val="00111211"/>
    <w:rsid w:val="0011132C"/>
    <w:rsid w:val="0011170C"/>
    <w:rsid w:val="00111B52"/>
    <w:rsid w:val="00111E5D"/>
    <w:rsid w:val="001121A1"/>
    <w:rsid w:val="0011237F"/>
    <w:rsid w:val="001124E6"/>
    <w:rsid w:val="00112864"/>
    <w:rsid w:val="001128D4"/>
    <w:rsid w:val="00112A64"/>
    <w:rsid w:val="00112AE5"/>
    <w:rsid w:val="0011316D"/>
    <w:rsid w:val="00113335"/>
    <w:rsid w:val="001134F7"/>
    <w:rsid w:val="00113596"/>
    <w:rsid w:val="00113DB5"/>
    <w:rsid w:val="00114770"/>
    <w:rsid w:val="001149DA"/>
    <w:rsid w:val="00114CCE"/>
    <w:rsid w:val="00115390"/>
    <w:rsid w:val="0011586E"/>
    <w:rsid w:val="00115AF8"/>
    <w:rsid w:val="00115ED9"/>
    <w:rsid w:val="001164D6"/>
    <w:rsid w:val="001165C7"/>
    <w:rsid w:val="0011705A"/>
    <w:rsid w:val="001171DA"/>
    <w:rsid w:val="001172AF"/>
    <w:rsid w:val="001174E5"/>
    <w:rsid w:val="00117A15"/>
    <w:rsid w:val="00117C9F"/>
    <w:rsid w:val="001202AC"/>
    <w:rsid w:val="0012051C"/>
    <w:rsid w:val="001206C8"/>
    <w:rsid w:val="001209D9"/>
    <w:rsid w:val="00120C3D"/>
    <w:rsid w:val="0012100A"/>
    <w:rsid w:val="001213C0"/>
    <w:rsid w:val="0012165C"/>
    <w:rsid w:val="001216B1"/>
    <w:rsid w:val="0012193D"/>
    <w:rsid w:val="00121BB8"/>
    <w:rsid w:val="00121BD3"/>
    <w:rsid w:val="00121C64"/>
    <w:rsid w:val="00121CFC"/>
    <w:rsid w:val="00121E87"/>
    <w:rsid w:val="00122048"/>
    <w:rsid w:val="001221AC"/>
    <w:rsid w:val="001222EE"/>
    <w:rsid w:val="001222FA"/>
    <w:rsid w:val="00122418"/>
    <w:rsid w:val="0012247C"/>
    <w:rsid w:val="00122630"/>
    <w:rsid w:val="001229CD"/>
    <w:rsid w:val="00122B38"/>
    <w:rsid w:val="00122C15"/>
    <w:rsid w:val="00122D98"/>
    <w:rsid w:val="00122E25"/>
    <w:rsid w:val="00122FA7"/>
    <w:rsid w:val="0012359B"/>
    <w:rsid w:val="0012397E"/>
    <w:rsid w:val="00123C75"/>
    <w:rsid w:val="00123E68"/>
    <w:rsid w:val="00123F18"/>
    <w:rsid w:val="00124612"/>
    <w:rsid w:val="001248B4"/>
    <w:rsid w:val="00125194"/>
    <w:rsid w:val="001251DA"/>
    <w:rsid w:val="00125829"/>
    <w:rsid w:val="00125851"/>
    <w:rsid w:val="00125922"/>
    <w:rsid w:val="00125951"/>
    <w:rsid w:val="00125C6D"/>
    <w:rsid w:val="00125DA0"/>
    <w:rsid w:val="00125DC6"/>
    <w:rsid w:val="00125E87"/>
    <w:rsid w:val="00125EFA"/>
    <w:rsid w:val="00125F40"/>
    <w:rsid w:val="0012603D"/>
    <w:rsid w:val="00126059"/>
    <w:rsid w:val="001264DE"/>
    <w:rsid w:val="00126783"/>
    <w:rsid w:val="001267BE"/>
    <w:rsid w:val="00126C04"/>
    <w:rsid w:val="00126E6D"/>
    <w:rsid w:val="001272E9"/>
    <w:rsid w:val="00127433"/>
    <w:rsid w:val="001275C3"/>
    <w:rsid w:val="001278B7"/>
    <w:rsid w:val="00127911"/>
    <w:rsid w:val="00127CEA"/>
    <w:rsid w:val="001301D0"/>
    <w:rsid w:val="001302E3"/>
    <w:rsid w:val="001302EA"/>
    <w:rsid w:val="00130368"/>
    <w:rsid w:val="00130951"/>
    <w:rsid w:val="00130A70"/>
    <w:rsid w:val="00130E9E"/>
    <w:rsid w:val="001312E8"/>
    <w:rsid w:val="001318F8"/>
    <w:rsid w:val="00131D97"/>
    <w:rsid w:val="00131DD3"/>
    <w:rsid w:val="001323CF"/>
    <w:rsid w:val="00132416"/>
    <w:rsid w:val="0013291A"/>
    <w:rsid w:val="00132A61"/>
    <w:rsid w:val="00132AF3"/>
    <w:rsid w:val="00132BB5"/>
    <w:rsid w:val="00132E40"/>
    <w:rsid w:val="001332C2"/>
    <w:rsid w:val="0013352E"/>
    <w:rsid w:val="0013364D"/>
    <w:rsid w:val="00133A0B"/>
    <w:rsid w:val="00133F39"/>
    <w:rsid w:val="0013430A"/>
    <w:rsid w:val="0013432E"/>
    <w:rsid w:val="001346EA"/>
    <w:rsid w:val="00134978"/>
    <w:rsid w:val="00134A4C"/>
    <w:rsid w:val="00134AC4"/>
    <w:rsid w:val="0013501F"/>
    <w:rsid w:val="00135757"/>
    <w:rsid w:val="0013587E"/>
    <w:rsid w:val="001359DE"/>
    <w:rsid w:val="00135A3B"/>
    <w:rsid w:val="00135F46"/>
    <w:rsid w:val="00136025"/>
    <w:rsid w:val="0013654F"/>
    <w:rsid w:val="001365AC"/>
    <w:rsid w:val="0013735C"/>
    <w:rsid w:val="00137531"/>
    <w:rsid w:val="00137802"/>
    <w:rsid w:val="00137BEE"/>
    <w:rsid w:val="00137EC6"/>
    <w:rsid w:val="00140164"/>
    <w:rsid w:val="001402FF"/>
    <w:rsid w:val="00140305"/>
    <w:rsid w:val="001403EA"/>
    <w:rsid w:val="00140719"/>
    <w:rsid w:val="00140DEC"/>
    <w:rsid w:val="001415A2"/>
    <w:rsid w:val="00141BF8"/>
    <w:rsid w:val="00141C82"/>
    <w:rsid w:val="00141F97"/>
    <w:rsid w:val="00142598"/>
    <w:rsid w:val="001426DC"/>
    <w:rsid w:val="00142D0A"/>
    <w:rsid w:val="001430C4"/>
    <w:rsid w:val="0014335E"/>
    <w:rsid w:val="001434D1"/>
    <w:rsid w:val="001435CA"/>
    <w:rsid w:val="00143800"/>
    <w:rsid w:val="00144130"/>
    <w:rsid w:val="0014432E"/>
    <w:rsid w:val="00145131"/>
    <w:rsid w:val="001452D0"/>
    <w:rsid w:val="001453D0"/>
    <w:rsid w:val="00145596"/>
    <w:rsid w:val="0014586F"/>
    <w:rsid w:val="00145E17"/>
    <w:rsid w:val="001460BC"/>
    <w:rsid w:val="001467E3"/>
    <w:rsid w:val="0014688A"/>
    <w:rsid w:val="001468F4"/>
    <w:rsid w:val="00146C98"/>
    <w:rsid w:val="00146D8E"/>
    <w:rsid w:val="00147205"/>
    <w:rsid w:val="001476F7"/>
    <w:rsid w:val="0014780E"/>
    <w:rsid w:val="0014792D"/>
    <w:rsid w:val="00147B1D"/>
    <w:rsid w:val="001502F4"/>
    <w:rsid w:val="00150362"/>
    <w:rsid w:val="00150F14"/>
    <w:rsid w:val="001512B7"/>
    <w:rsid w:val="00151397"/>
    <w:rsid w:val="00151478"/>
    <w:rsid w:val="001515D4"/>
    <w:rsid w:val="0015162F"/>
    <w:rsid w:val="0015271F"/>
    <w:rsid w:val="00152B63"/>
    <w:rsid w:val="00152CD5"/>
    <w:rsid w:val="00152D67"/>
    <w:rsid w:val="00152D94"/>
    <w:rsid w:val="00153177"/>
    <w:rsid w:val="0015332B"/>
    <w:rsid w:val="0015334A"/>
    <w:rsid w:val="0015382E"/>
    <w:rsid w:val="0015383D"/>
    <w:rsid w:val="00153943"/>
    <w:rsid w:val="001547C0"/>
    <w:rsid w:val="001547C7"/>
    <w:rsid w:val="00154817"/>
    <w:rsid w:val="00154C13"/>
    <w:rsid w:val="00154CF3"/>
    <w:rsid w:val="00154D34"/>
    <w:rsid w:val="00154D55"/>
    <w:rsid w:val="00155078"/>
    <w:rsid w:val="001550D3"/>
    <w:rsid w:val="001552A5"/>
    <w:rsid w:val="001555CA"/>
    <w:rsid w:val="00155B96"/>
    <w:rsid w:val="00156581"/>
    <w:rsid w:val="00156D41"/>
    <w:rsid w:val="00156E9E"/>
    <w:rsid w:val="00156F99"/>
    <w:rsid w:val="00156FCA"/>
    <w:rsid w:val="0015706E"/>
    <w:rsid w:val="001575F7"/>
    <w:rsid w:val="001576CF"/>
    <w:rsid w:val="0015792E"/>
    <w:rsid w:val="00157BF7"/>
    <w:rsid w:val="00157EC4"/>
    <w:rsid w:val="00157ECC"/>
    <w:rsid w:val="0016025A"/>
    <w:rsid w:val="00160761"/>
    <w:rsid w:val="00160CB2"/>
    <w:rsid w:val="00160CCF"/>
    <w:rsid w:val="00160D5C"/>
    <w:rsid w:val="001611D6"/>
    <w:rsid w:val="0016142C"/>
    <w:rsid w:val="00161526"/>
    <w:rsid w:val="001615FB"/>
    <w:rsid w:val="00161D1B"/>
    <w:rsid w:val="00161F06"/>
    <w:rsid w:val="00161F49"/>
    <w:rsid w:val="001621E4"/>
    <w:rsid w:val="001623A8"/>
    <w:rsid w:val="001628C4"/>
    <w:rsid w:val="00162E16"/>
    <w:rsid w:val="0016304C"/>
    <w:rsid w:val="001630D5"/>
    <w:rsid w:val="00163137"/>
    <w:rsid w:val="00163356"/>
    <w:rsid w:val="00163686"/>
    <w:rsid w:val="0016379C"/>
    <w:rsid w:val="00163C99"/>
    <w:rsid w:val="00163CD8"/>
    <w:rsid w:val="00163CF0"/>
    <w:rsid w:val="0016411D"/>
    <w:rsid w:val="0016423B"/>
    <w:rsid w:val="00164D00"/>
    <w:rsid w:val="00164F3D"/>
    <w:rsid w:val="001653C7"/>
    <w:rsid w:val="0016576D"/>
    <w:rsid w:val="00165881"/>
    <w:rsid w:val="00165A7C"/>
    <w:rsid w:val="00165DDD"/>
    <w:rsid w:val="00165EE2"/>
    <w:rsid w:val="001667B5"/>
    <w:rsid w:val="001667B6"/>
    <w:rsid w:val="00166DE6"/>
    <w:rsid w:val="00166E33"/>
    <w:rsid w:val="00166E9F"/>
    <w:rsid w:val="00167013"/>
    <w:rsid w:val="00167182"/>
    <w:rsid w:val="00167707"/>
    <w:rsid w:val="00167E20"/>
    <w:rsid w:val="00167F55"/>
    <w:rsid w:val="00170038"/>
    <w:rsid w:val="00170133"/>
    <w:rsid w:val="00170324"/>
    <w:rsid w:val="00170CFF"/>
    <w:rsid w:val="00171350"/>
    <w:rsid w:val="00171931"/>
    <w:rsid w:val="001719D5"/>
    <w:rsid w:val="001727E0"/>
    <w:rsid w:val="001729AC"/>
    <w:rsid w:val="00172B26"/>
    <w:rsid w:val="00173461"/>
    <w:rsid w:val="001739B2"/>
    <w:rsid w:val="001739CC"/>
    <w:rsid w:val="00173BBA"/>
    <w:rsid w:val="00173F9D"/>
    <w:rsid w:val="001745E9"/>
    <w:rsid w:val="0017476A"/>
    <w:rsid w:val="0017490E"/>
    <w:rsid w:val="00174D80"/>
    <w:rsid w:val="00175D43"/>
    <w:rsid w:val="00175F75"/>
    <w:rsid w:val="0017639A"/>
    <w:rsid w:val="0017640A"/>
    <w:rsid w:val="001767EF"/>
    <w:rsid w:val="001769E4"/>
    <w:rsid w:val="001769F5"/>
    <w:rsid w:val="00176AE7"/>
    <w:rsid w:val="00176F9B"/>
    <w:rsid w:val="00177B61"/>
    <w:rsid w:val="00177BD3"/>
    <w:rsid w:val="00177D0E"/>
    <w:rsid w:val="00177DAF"/>
    <w:rsid w:val="0018015F"/>
    <w:rsid w:val="00180571"/>
    <w:rsid w:val="001810ED"/>
    <w:rsid w:val="0018166B"/>
    <w:rsid w:val="001819C2"/>
    <w:rsid w:val="00181C57"/>
    <w:rsid w:val="00181CEA"/>
    <w:rsid w:val="0018213A"/>
    <w:rsid w:val="001821BB"/>
    <w:rsid w:val="00182761"/>
    <w:rsid w:val="00182DF1"/>
    <w:rsid w:val="00183285"/>
    <w:rsid w:val="001834F6"/>
    <w:rsid w:val="00183B74"/>
    <w:rsid w:val="00183DE9"/>
    <w:rsid w:val="001845E5"/>
    <w:rsid w:val="00184990"/>
    <w:rsid w:val="00184CC5"/>
    <w:rsid w:val="001853CC"/>
    <w:rsid w:val="001854BC"/>
    <w:rsid w:val="00185681"/>
    <w:rsid w:val="001856AF"/>
    <w:rsid w:val="001856EE"/>
    <w:rsid w:val="001857FF"/>
    <w:rsid w:val="00185B62"/>
    <w:rsid w:val="00185D8A"/>
    <w:rsid w:val="00186058"/>
    <w:rsid w:val="0018608D"/>
    <w:rsid w:val="0018652E"/>
    <w:rsid w:val="001867C0"/>
    <w:rsid w:val="00186B22"/>
    <w:rsid w:val="00186C3C"/>
    <w:rsid w:val="00186C52"/>
    <w:rsid w:val="00186C5D"/>
    <w:rsid w:val="00186E1C"/>
    <w:rsid w:val="001871DD"/>
    <w:rsid w:val="001872B3"/>
    <w:rsid w:val="0018738D"/>
    <w:rsid w:val="00187A03"/>
    <w:rsid w:val="00187D4E"/>
    <w:rsid w:val="00187D80"/>
    <w:rsid w:val="00187F94"/>
    <w:rsid w:val="0019009D"/>
    <w:rsid w:val="00190103"/>
    <w:rsid w:val="00190132"/>
    <w:rsid w:val="00190257"/>
    <w:rsid w:val="0019047A"/>
    <w:rsid w:val="0019056F"/>
    <w:rsid w:val="001905AC"/>
    <w:rsid w:val="001905C5"/>
    <w:rsid w:val="0019065F"/>
    <w:rsid w:val="00190E38"/>
    <w:rsid w:val="001911E4"/>
    <w:rsid w:val="001914AB"/>
    <w:rsid w:val="00191B12"/>
    <w:rsid w:val="00191E14"/>
    <w:rsid w:val="00192254"/>
    <w:rsid w:val="00192266"/>
    <w:rsid w:val="00192541"/>
    <w:rsid w:val="0019261F"/>
    <w:rsid w:val="00192AAF"/>
    <w:rsid w:val="001931A0"/>
    <w:rsid w:val="00193773"/>
    <w:rsid w:val="00193A8D"/>
    <w:rsid w:val="00193AD4"/>
    <w:rsid w:val="00193F07"/>
    <w:rsid w:val="00193F82"/>
    <w:rsid w:val="00194211"/>
    <w:rsid w:val="0019423D"/>
    <w:rsid w:val="00194C72"/>
    <w:rsid w:val="001950CF"/>
    <w:rsid w:val="001955B0"/>
    <w:rsid w:val="0019599E"/>
    <w:rsid w:val="00196311"/>
    <w:rsid w:val="001964E9"/>
    <w:rsid w:val="0019669D"/>
    <w:rsid w:val="00196914"/>
    <w:rsid w:val="00196B36"/>
    <w:rsid w:val="00196D4A"/>
    <w:rsid w:val="00196FB1"/>
    <w:rsid w:val="00197133"/>
    <w:rsid w:val="00197977"/>
    <w:rsid w:val="00197AA2"/>
    <w:rsid w:val="00197C53"/>
    <w:rsid w:val="001A018A"/>
    <w:rsid w:val="001A0312"/>
    <w:rsid w:val="001A04F3"/>
    <w:rsid w:val="001A0752"/>
    <w:rsid w:val="001A07EA"/>
    <w:rsid w:val="001A08FF"/>
    <w:rsid w:val="001A0D77"/>
    <w:rsid w:val="001A0F07"/>
    <w:rsid w:val="001A108E"/>
    <w:rsid w:val="001A11C0"/>
    <w:rsid w:val="001A127D"/>
    <w:rsid w:val="001A1282"/>
    <w:rsid w:val="001A134B"/>
    <w:rsid w:val="001A15F4"/>
    <w:rsid w:val="001A162E"/>
    <w:rsid w:val="001A1BC5"/>
    <w:rsid w:val="001A1E62"/>
    <w:rsid w:val="001A23D2"/>
    <w:rsid w:val="001A2481"/>
    <w:rsid w:val="001A2BE8"/>
    <w:rsid w:val="001A382F"/>
    <w:rsid w:val="001A3A01"/>
    <w:rsid w:val="001A3EFD"/>
    <w:rsid w:val="001A438E"/>
    <w:rsid w:val="001A43A2"/>
    <w:rsid w:val="001A4445"/>
    <w:rsid w:val="001A470F"/>
    <w:rsid w:val="001A475A"/>
    <w:rsid w:val="001A4946"/>
    <w:rsid w:val="001A494B"/>
    <w:rsid w:val="001A499A"/>
    <w:rsid w:val="001A4D78"/>
    <w:rsid w:val="001A4DAF"/>
    <w:rsid w:val="001A5595"/>
    <w:rsid w:val="001A5A25"/>
    <w:rsid w:val="001A5EF6"/>
    <w:rsid w:val="001A6491"/>
    <w:rsid w:val="001A64F9"/>
    <w:rsid w:val="001A663F"/>
    <w:rsid w:val="001A6841"/>
    <w:rsid w:val="001A6C8D"/>
    <w:rsid w:val="001A70FE"/>
    <w:rsid w:val="001A73BD"/>
    <w:rsid w:val="001A75F5"/>
    <w:rsid w:val="001A760F"/>
    <w:rsid w:val="001A77BA"/>
    <w:rsid w:val="001A7858"/>
    <w:rsid w:val="001A7DCB"/>
    <w:rsid w:val="001B0752"/>
    <w:rsid w:val="001B094E"/>
    <w:rsid w:val="001B09E8"/>
    <w:rsid w:val="001B12B0"/>
    <w:rsid w:val="001B1CC3"/>
    <w:rsid w:val="001B2CBF"/>
    <w:rsid w:val="001B2FE7"/>
    <w:rsid w:val="001B3314"/>
    <w:rsid w:val="001B35AE"/>
    <w:rsid w:val="001B35E7"/>
    <w:rsid w:val="001B37D9"/>
    <w:rsid w:val="001B38E0"/>
    <w:rsid w:val="001B39F0"/>
    <w:rsid w:val="001B3B85"/>
    <w:rsid w:val="001B3CA0"/>
    <w:rsid w:val="001B3F04"/>
    <w:rsid w:val="001B419A"/>
    <w:rsid w:val="001B41C4"/>
    <w:rsid w:val="001B4450"/>
    <w:rsid w:val="001B4503"/>
    <w:rsid w:val="001B4607"/>
    <w:rsid w:val="001B4796"/>
    <w:rsid w:val="001B47D8"/>
    <w:rsid w:val="001B4A32"/>
    <w:rsid w:val="001B4CAD"/>
    <w:rsid w:val="001B5150"/>
    <w:rsid w:val="001B53A1"/>
    <w:rsid w:val="001B592A"/>
    <w:rsid w:val="001B5BD6"/>
    <w:rsid w:val="001B5C3E"/>
    <w:rsid w:val="001B5C7B"/>
    <w:rsid w:val="001B5D2B"/>
    <w:rsid w:val="001B61AB"/>
    <w:rsid w:val="001B6388"/>
    <w:rsid w:val="001B6652"/>
    <w:rsid w:val="001B6D68"/>
    <w:rsid w:val="001B6E5A"/>
    <w:rsid w:val="001B6FC6"/>
    <w:rsid w:val="001B73C4"/>
    <w:rsid w:val="001B780D"/>
    <w:rsid w:val="001B79AF"/>
    <w:rsid w:val="001B7A8A"/>
    <w:rsid w:val="001B7E83"/>
    <w:rsid w:val="001C0BAE"/>
    <w:rsid w:val="001C0D5C"/>
    <w:rsid w:val="001C1094"/>
    <w:rsid w:val="001C110D"/>
    <w:rsid w:val="001C134E"/>
    <w:rsid w:val="001C1769"/>
    <w:rsid w:val="001C19DB"/>
    <w:rsid w:val="001C1C8C"/>
    <w:rsid w:val="001C1CD3"/>
    <w:rsid w:val="001C2170"/>
    <w:rsid w:val="001C2677"/>
    <w:rsid w:val="001C281C"/>
    <w:rsid w:val="001C281F"/>
    <w:rsid w:val="001C2943"/>
    <w:rsid w:val="001C2978"/>
    <w:rsid w:val="001C2981"/>
    <w:rsid w:val="001C2CF2"/>
    <w:rsid w:val="001C2F39"/>
    <w:rsid w:val="001C4333"/>
    <w:rsid w:val="001C436B"/>
    <w:rsid w:val="001C4376"/>
    <w:rsid w:val="001C4538"/>
    <w:rsid w:val="001C4760"/>
    <w:rsid w:val="001C479E"/>
    <w:rsid w:val="001C4889"/>
    <w:rsid w:val="001C4EF8"/>
    <w:rsid w:val="001C55C2"/>
    <w:rsid w:val="001C6098"/>
    <w:rsid w:val="001C6434"/>
    <w:rsid w:val="001C647A"/>
    <w:rsid w:val="001C696E"/>
    <w:rsid w:val="001C6CAD"/>
    <w:rsid w:val="001C6CE2"/>
    <w:rsid w:val="001C6E52"/>
    <w:rsid w:val="001C6E62"/>
    <w:rsid w:val="001C766C"/>
    <w:rsid w:val="001C77B8"/>
    <w:rsid w:val="001C7851"/>
    <w:rsid w:val="001C7BF9"/>
    <w:rsid w:val="001D011F"/>
    <w:rsid w:val="001D02B2"/>
    <w:rsid w:val="001D0449"/>
    <w:rsid w:val="001D0573"/>
    <w:rsid w:val="001D06E1"/>
    <w:rsid w:val="001D07C1"/>
    <w:rsid w:val="001D0B2E"/>
    <w:rsid w:val="001D0BB7"/>
    <w:rsid w:val="001D1016"/>
    <w:rsid w:val="001D187A"/>
    <w:rsid w:val="001D1DC0"/>
    <w:rsid w:val="001D1EAE"/>
    <w:rsid w:val="001D1EE3"/>
    <w:rsid w:val="001D2017"/>
    <w:rsid w:val="001D2320"/>
    <w:rsid w:val="001D2554"/>
    <w:rsid w:val="001D2955"/>
    <w:rsid w:val="001D2BA1"/>
    <w:rsid w:val="001D2C3D"/>
    <w:rsid w:val="001D2F63"/>
    <w:rsid w:val="001D3005"/>
    <w:rsid w:val="001D309E"/>
    <w:rsid w:val="001D326A"/>
    <w:rsid w:val="001D356B"/>
    <w:rsid w:val="001D3999"/>
    <w:rsid w:val="001D3E14"/>
    <w:rsid w:val="001D40DE"/>
    <w:rsid w:val="001D41BC"/>
    <w:rsid w:val="001D4336"/>
    <w:rsid w:val="001D487E"/>
    <w:rsid w:val="001D5063"/>
    <w:rsid w:val="001D522C"/>
    <w:rsid w:val="001D58F8"/>
    <w:rsid w:val="001D65B0"/>
    <w:rsid w:val="001D6731"/>
    <w:rsid w:val="001D6831"/>
    <w:rsid w:val="001D6924"/>
    <w:rsid w:val="001D6EBB"/>
    <w:rsid w:val="001D707C"/>
    <w:rsid w:val="001D711E"/>
    <w:rsid w:val="001D7445"/>
    <w:rsid w:val="001D7BF7"/>
    <w:rsid w:val="001D7E83"/>
    <w:rsid w:val="001E0208"/>
    <w:rsid w:val="001E03D6"/>
    <w:rsid w:val="001E03FD"/>
    <w:rsid w:val="001E0632"/>
    <w:rsid w:val="001E06E5"/>
    <w:rsid w:val="001E087F"/>
    <w:rsid w:val="001E08E9"/>
    <w:rsid w:val="001E0957"/>
    <w:rsid w:val="001E0A00"/>
    <w:rsid w:val="001E0DC7"/>
    <w:rsid w:val="001E0FA2"/>
    <w:rsid w:val="001E106C"/>
    <w:rsid w:val="001E10E6"/>
    <w:rsid w:val="001E11B5"/>
    <w:rsid w:val="001E1281"/>
    <w:rsid w:val="001E1A72"/>
    <w:rsid w:val="001E1E9A"/>
    <w:rsid w:val="001E1EFD"/>
    <w:rsid w:val="001E223C"/>
    <w:rsid w:val="001E2389"/>
    <w:rsid w:val="001E2505"/>
    <w:rsid w:val="001E2A5D"/>
    <w:rsid w:val="001E2BAF"/>
    <w:rsid w:val="001E2DAA"/>
    <w:rsid w:val="001E30B8"/>
    <w:rsid w:val="001E30BC"/>
    <w:rsid w:val="001E30C0"/>
    <w:rsid w:val="001E34DB"/>
    <w:rsid w:val="001E369A"/>
    <w:rsid w:val="001E3826"/>
    <w:rsid w:val="001E3982"/>
    <w:rsid w:val="001E3BC6"/>
    <w:rsid w:val="001E3CC3"/>
    <w:rsid w:val="001E3E64"/>
    <w:rsid w:val="001E402B"/>
    <w:rsid w:val="001E4569"/>
    <w:rsid w:val="001E46AA"/>
    <w:rsid w:val="001E47E9"/>
    <w:rsid w:val="001E4891"/>
    <w:rsid w:val="001E492F"/>
    <w:rsid w:val="001E4B1F"/>
    <w:rsid w:val="001E4D5B"/>
    <w:rsid w:val="001E5303"/>
    <w:rsid w:val="001E54D5"/>
    <w:rsid w:val="001E55F2"/>
    <w:rsid w:val="001E57A8"/>
    <w:rsid w:val="001E584C"/>
    <w:rsid w:val="001E5E0F"/>
    <w:rsid w:val="001E62CB"/>
    <w:rsid w:val="001E6517"/>
    <w:rsid w:val="001E6694"/>
    <w:rsid w:val="001E6FEF"/>
    <w:rsid w:val="001E70F9"/>
    <w:rsid w:val="001E71D5"/>
    <w:rsid w:val="001E72C3"/>
    <w:rsid w:val="001E7346"/>
    <w:rsid w:val="001E77A7"/>
    <w:rsid w:val="001E7B61"/>
    <w:rsid w:val="001E7C48"/>
    <w:rsid w:val="001F00DD"/>
    <w:rsid w:val="001F00EE"/>
    <w:rsid w:val="001F0174"/>
    <w:rsid w:val="001F0240"/>
    <w:rsid w:val="001F0246"/>
    <w:rsid w:val="001F0837"/>
    <w:rsid w:val="001F182C"/>
    <w:rsid w:val="001F186F"/>
    <w:rsid w:val="001F1ABA"/>
    <w:rsid w:val="001F1DAE"/>
    <w:rsid w:val="001F1DD7"/>
    <w:rsid w:val="001F1DF1"/>
    <w:rsid w:val="001F2251"/>
    <w:rsid w:val="001F2272"/>
    <w:rsid w:val="001F2298"/>
    <w:rsid w:val="001F2328"/>
    <w:rsid w:val="001F24F5"/>
    <w:rsid w:val="001F2668"/>
    <w:rsid w:val="001F2B20"/>
    <w:rsid w:val="001F2EED"/>
    <w:rsid w:val="001F32C5"/>
    <w:rsid w:val="001F338F"/>
    <w:rsid w:val="001F353B"/>
    <w:rsid w:val="001F379D"/>
    <w:rsid w:val="001F3927"/>
    <w:rsid w:val="001F3AF5"/>
    <w:rsid w:val="001F3DE7"/>
    <w:rsid w:val="001F3E38"/>
    <w:rsid w:val="001F40C1"/>
    <w:rsid w:val="001F41D2"/>
    <w:rsid w:val="001F452B"/>
    <w:rsid w:val="001F4553"/>
    <w:rsid w:val="001F4BCD"/>
    <w:rsid w:val="001F5301"/>
    <w:rsid w:val="001F53B4"/>
    <w:rsid w:val="001F55CA"/>
    <w:rsid w:val="001F5A5F"/>
    <w:rsid w:val="001F5C03"/>
    <w:rsid w:val="001F5F96"/>
    <w:rsid w:val="001F6BF6"/>
    <w:rsid w:val="001F70FF"/>
    <w:rsid w:val="001F72C1"/>
    <w:rsid w:val="001F739D"/>
    <w:rsid w:val="001F7424"/>
    <w:rsid w:val="001F7FC1"/>
    <w:rsid w:val="002003E5"/>
    <w:rsid w:val="002008D6"/>
    <w:rsid w:val="00200DC4"/>
    <w:rsid w:val="00201C84"/>
    <w:rsid w:val="00201F10"/>
    <w:rsid w:val="00201F28"/>
    <w:rsid w:val="00202515"/>
    <w:rsid w:val="002025E4"/>
    <w:rsid w:val="0020267F"/>
    <w:rsid w:val="0020271C"/>
    <w:rsid w:val="00202AB9"/>
    <w:rsid w:val="00202E19"/>
    <w:rsid w:val="00203196"/>
    <w:rsid w:val="00203BE9"/>
    <w:rsid w:val="00203DA4"/>
    <w:rsid w:val="00203E65"/>
    <w:rsid w:val="00203F96"/>
    <w:rsid w:val="00204012"/>
    <w:rsid w:val="00204497"/>
    <w:rsid w:val="002045B3"/>
    <w:rsid w:val="00204A00"/>
    <w:rsid w:val="00204DE5"/>
    <w:rsid w:val="002052DF"/>
    <w:rsid w:val="0020536A"/>
    <w:rsid w:val="00205587"/>
    <w:rsid w:val="00205CED"/>
    <w:rsid w:val="00205D12"/>
    <w:rsid w:val="00205D6A"/>
    <w:rsid w:val="00205E9F"/>
    <w:rsid w:val="00205FF9"/>
    <w:rsid w:val="0020653D"/>
    <w:rsid w:val="00206675"/>
    <w:rsid w:val="002067EB"/>
    <w:rsid w:val="00206845"/>
    <w:rsid w:val="002069C9"/>
    <w:rsid w:val="00206B55"/>
    <w:rsid w:val="00206B79"/>
    <w:rsid w:val="00206C60"/>
    <w:rsid w:val="0020704B"/>
    <w:rsid w:val="00207205"/>
    <w:rsid w:val="00207276"/>
    <w:rsid w:val="0020738E"/>
    <w:rsid w:val="00207491"/>
    <w:rsid w:val="0020766A"/>
    <w:rsid w:val="002076A6"/>
    <w:rsid w:val="002077DC"/>
    <w:rsid w:val="002079FE"/>
    <w:rsid w:val="00207BDD"/>
    <w:rsid w:val="0021036B"/>
    <w:rsid w:val="00210433"/>
    <w:rsid w:val="002104C0"/>
    <w:rsid w:val="00210784"/>
    <w:rsid w:val="002107E3"/>
    <w:rsid w:val="0021091E"/>
    <w:rsid w:val="00210D82"/>
    <w:rsid w:val="00211742"/>
    <w:rsid w:val="00211928"/>
    <w:rsid w:val="00211F0A"/>
    <w:rsid w:val="0021211B"/>
    <w:rsid w:val="00212545"/>
    <w:rsid w:val="00212568"/>
    <w:rsid w:val="002129A1"/>
    <w:rsid w:val="00212A95"/>
    <w:rsid w:val="00212AE8"/>
    <w:rsid w:val="00213044"/>
    <w:rsid w:val="0021311B"/>
    <w:rsid w:val="002134D2"/>
    <w:rsid w:val="00213724"/>
    <w:rsid w:val="00213898"/>
    <w:rsid w:val="002140C4"/>
    <w:rsid w:val="002142F1"/>
    <w:rsid w:val="002147B6"/>
    <w:rsid w:val="00214838"/>
    <w:rsid w:val="00214999"/>
    <w:rsid w:val="00214BF1"/>
    <w:rsid w:val="00214D58"/>
    <w:rsid w:val="002150D6"/>
    <w:rsid w:val="0021610F"/>
    <w:rsid w:val="00216397"/>
    <w:rsid w:val="00216753"/>
    <w:rsid w:val="002168DB"/>
    <w:rsid w:val="002169AE"/>
    <w:rsid w:val="00216C11"/>
    <w:rsid w:val="00216D95"/>
    <w:rsid w:val="0021703A"/>
    <w:rsid w:val="00217075"/>
    <w:rsid w:val="00217248"/>
    <w:rsid w:val="00217952"/>
    <w:rsid w:val="00217BF9"/>
    <w:rsid w:val="00217E9F"/>
    <w:rsid w:val="0022075C"/>
    <w:rsid w:val="00220C3B"/>
    <w:rsid w:val="00220E57"/>
    <w:rsid w:val="00220E6D"/>
    <w:rsid w:val="00221A3D"/>
    <w:rsid w:val="00221D3A"/>
    <w:rsid w:val="00221F48"/>
    <w:rsid w:val="0022202D"/>
    <w:rsid w:val="002220FC"/>
    <w:rsid w:val="002221FF"/>
    <w:rsid w:val="00222227"/>
    <w:rsid w:val="00222375"/>
    <w:rsid w:val="002223E4"/>
    <w:rsid w:val="002229EA"/>
    <w:rsid w:val="00222B2E"/>
    <w:rsid w:val="002230B5"/>
    <w:rsid w:val="002231FB"/>
    <w:rsid w:val="00223381"/>
    <w:rsid w:val="00223DF5"/>
    <w:rsid w:val="00223E8A"/>
    <w:rsid w:val="00224075"/>
    <w:rsid w:val="0022409A"/>
    <w:rsid w:val="002246D7"/>
    <w:rsid w:val="00224726"/>
    <w:rsid w:val="00224BA7"/>
    <w:rsid w:val="00224C54"/>
    <w:rsid w:val="00224F14"/>
    <w:rsid w:val="00225B79"/>
    <w:rsid w:val="0022636F"/>
    <w:rsid w:val="002266B2"/>
    <w:rsid w:val="002266D2"/>
    <w:rsid w:val="002267BA"/>
    <w:rsid w:val="00226DC1"/>
    <w:rsid w:val="0022751B"/>
    <w:rsid w:val="002275AD"/>
    <w:rsid w:val="0022772A"/>
    <w:rsid w:val="00227823"/>
    <w:rsid w:val="00227ADC"/>
    <w:rsid w:val="00227EC0"/>
    <w:rsid w:val="00227FF0"/>
    <w:rsid w:val="002300AA"/>
    <w:rsid w:val="0023024D"/>
    <w:rsid w:val="002302CB"/>
    <w:rsid w:val="00230449"/>
    <w:rsid w:val="00230C16"/>
    <w:rsid w:val="00231244"/>
    <w:rsid w:val="00231559"/>
    <w:rsid w:val="002319F2"/>
    <w:rsid w:val="002324B4"/>
    <w:rsid w:val="00232964"/>
    <w:rsid w:val="00232A7C"/>
    <w:rsid w:val="00232A8D"/>
    <w:rsid w:val="00233287"/>
    <w:rsid w:val="00233443"/>
    <w:rsid w:val="0023357F"/>
    <w:rsid w:val="002339BB"/>
    <w:rsid w:val="00233C6F"/>
    <w:rsid w:val="00233E45"/>
    <w:rsid w:val="00233E9F"/>
    <w:rsid w:val="00233FE9"/>
    <w:rsid w:val="002340BF"/>
    <w:rsid w:val="00234100"/>
    <w:rsid w:val="002343B2"/>
    <w:rsid w:val="002346E0"/>
    <w:rsid w:val="00234735"/>
    <w:rsid w:val="00234784"/>
    <w:rsid w:val="00234CBA"/>
    <w:rsid w:val="00234F2F"/>
    <w:rsid w:val="00234FD3"/>
    <w:rsid w:val="0023545D"/>
    <w:rsid w:val="00235E36"/>
    <w:rsid w:val="00235EE2"/>
    <w:rsid w:val="00236852"/>
    <w:rsid w:val="002368BA"/>
    <w:rsid w:val="00236A18"/>
    <w:rsid w:val="0023721B"/>
    <w:rsid w:val="002377B2"/>
    <w:rsid w:val="00237891"/>
    <w:rsid w:val="002378B7"/>
    <w:rsid w:val="0024006E"/>
    <w:rsid w:val="00240115"/>
    <w:rsid w:val="00240577"/>
    <w:rsid w:val="002405AB"/>
    <w:rsid w:val="0024060B"/>
    <w:rsid w:val="0024077D"/>
    <w:rsid w:val="002408BE"/>
    <w:rsid w:val="00240A6E"/>
    <w:rsid w:val="00240B07"/>
    <w:rsid w:val="00241419"/>
    <w:rsid w:val="00241518"/>
    <w:rsid w:val="00241EAC"/>
    <w:rsid w:val="00242007"/>
    <w:rsid w:val="00242226"/>
    <w:rsid w:val="0024273D"/>
    <w:rsid w:val="002429B8"/>
    <w:rsid w:val="00242AD1"/>
    <w:rsid w:val="00242D9C"/>
    <w:rsid w:val="00242DDF"/>
    <w:rsid w:val="00242F90"/>
    <w:rsid w:val="0024318B"/>
    <w:rsid w:val="0024335A"/>
    <w:rsid w:val="002436CC"/>
    <w:rsid w:val="0024372C"/>
    <w:rsid w:val="00243B13"/>
    <w:rsid w:val="00243CD3"/>
    <w:rsid w:val="0024402D"/>
    <w:rsid w:val="00244472"/>
    <w:rsid w:val="0024480F"/>
    <w:rsid w:val="00244931"/>
    <w:rsid w:val="00244BFA"/>
    <w:rsid w:val="00245087"/>
    <w:rsid w:val="00245161"/>
    <w:rsid w:val="002452A5"/>
    <w:rsid w:val="00245481"/>
    <w:rsid w:val="002456F4"/>
    <w:rsid w:val="0024585D"/>
    <w:rsid w:val="00245C2D"/>
    <w:rsid w:val="00245EE3"/>
    <w:rsid w:val="002463D3"/>
    <w:rsid w:val="00246496"/>
    <w:rsid w:val="002464E1"/>
    <w:rsid w:val="002464F5"/>
    <w:rsid w:val="002466A2"/>
    <w:rsid w:val="00246993"/>
    <w:rsid w:val="00246D23"/>
    <w:rsid w:val="00246F37"/>
    <w:rsid w:val="00247455"/>
    <w:rsid w:val="002474DE"/>
    <w:rsid w:val="0024761C"/>
    <w:rsid w:val="00247960"/>
    <w:rsid w:val="00247984"/>
    <w:rsid w:val="002479FC"/>
    <w:rsid w:val="0025007D"/>
    <w:rsid w:val="0025014B"/>
    <w:rsid w:val="00250491"/>
    <w:rsid w:val="0025055F"/>
    <w:rsid w:val="002507A9"/>
    <w:rsid w:val="002508A1"/>
    <w:rsid w:val="00250F73"/>
    <w:rsid w:val="00250FB0"/>
    <w:rsid w:val="00251142"/>
    <w:rsid w:val="00251AC7"/>
    <w:rsid w:val="00251B77"/>
    <w:rsid w:val="00251FFD"/>
    <w:rsid w:val="00252984"/>
    <w:rsid w:val="002529CE"/>
    <w:rsid w:val="00252CA9"/>
    <w:rsid w:val="00252CB9"/>
    <w:rsid w:val="00253069"/>
    <w:rsid w:val="002533A7"/>
    <w:rsid w:val="00253858"/>
    <w:rsid w:val="00253CBE"/>
    <w:rsid w:val="00253E83"/>
    <w:rsid w:val="002544FC"/>
    <w:rsid w:val="002545A4"/>
    <w:rsid w:val="0025467E"/>
    <w:rsid w:val="00255098"/>
    <w:rsid w:val="002550B4"/>
    <w:rsid w:val="002552A1"/>
    <w:rsid w:val="00255302"/>
    <w:rsid w:val="00255E24"/>
    <w:rsid w:val="002562A4"/>
    <w:rsid w:val="002562B0"/>
    <w:rsid w:val="00256353"/>
    <w:rsid w:val="00256400"/>
    <w:rsid w:val="00256502"/>
    <w:rsid w:val="00256607"/>
    <w:rsid w:val="002569FB"/>
    <w:rsid w:val="00256D2D"/>
    <w:rsid w:val="00256E16"/>
    <w:rsid w:val="00256FC8"/>
    <w:rsid w:val="00257737"/>
    <w:rsid w:val="002577F5"/>
    <w:rsid w:val="00257A88"/>
    <w:rsid w:val="00257ABE"/>
    <w:rsid w:val="00257B93"/>
    <w:rsid w:val="00257C56"/>
    <w:rsid w:val="00257CE8"/>
    <w:rsid w:val="00257D44"/>
    <w:rsid w:val="00260080"/>
    <w:rsid w:val="00260247"/>
    <w:rsid w:val="00260352"/>
    <w:rsid w:val="002605CA"/>
    <w:rsid w:val="0026075E"/>
    <w:rsid w:val="00260832"/>
    <w:rsid w:val="00260855"/>
    <w:rsid w:val="00260AB3"/>
    <w:rsid w:val="00260BF1"/>
    <w:rsid w:val="00260DB5"/>
    <w:rsid w:val="00261065"/>
    <w:rsid w:val="0026129C"/>
    <w:rsid w:val="0026150E"/>
    <w:rsid w:val="0026170A"/>
    <w:rsid w:val="0026195B"/>
    <w:rsid w:val="00261D58"/>
    <w:rsid w:val="00261DCB"/>
    <w:rsid w:val="00261EA1"/>
    <w:rsid w:val="00262013"/>
    <w:rsid w:val="00262029"/>
    <w:rsid w:val="0026206B"/>
    <w:rsid w:val="00262143"/>
    <w:rsid w:val="0026252D"/>
    <w:rsid w:val="002626EA"/>
    <w:rsid w:val="0026298E"/>
    <w:rsid w:val="00262B54"/>
    <w:rsid w:val="00263369"/>
    <w:rsid w:val="00263642"/>
    <w:rsid w:val="0026384A"/>
    <w:rsid w:val="00264501"/>
    <w:rsid w:val="002648BF"/>
    <w:rsid w:val="0026494F"/>
    <w:rsid w:val="00264C17"/>
    <w:rsid w:val="00264E1E"/>
    <w:rsid w:val="00264EDF"/>
    <w:rsid w:val="002654FE"/>
    <w:rsid w:val="00265771"/>
    <w:rsid w:val="00265CBE"/>
    <w:rsid w:val="00265E72"/>
    <w:rsid w:val="0026611E"/>
    <w:rsid w:val="002661AB"/>
    <w:rsid w:val="0026638E"/>
    <w:rsid w:val="0026670C"/>
    <w:rsid w:val="0026686C"/>
    <w:rsid w:val="00266D2D"/>
    <w:rsid w:val="00266D56"/>
    <w:rsid w:val="00266D66"/>
    <w:rsid w:val="00266FC2"/>
    <w:rsid w:val="002671B1"/>
    <w:rsid w:val="002672F0"/>
    <w:rsid w:val="0026748C"/>
    <w:rsid w:val="00267558"/>
    <w:rsid w:val="00267A0C"/>
    <w:rsid w:val="00267BCD"/>
    <w:rsid w:val="00267C89"/>
    <w:rsid w:val="00267C96"/>
    <w:rsid w:val="00270043"/>
    <w:rsid w:val="0027009E"/>
    <w:rsid w:val="002700F0"/>
    <w:rsid w:val="002702FB"/>
    <w:rsid w:val="00270845"/>
    <w:rsid w:val="0027099B"/>
    <w:rsid w:val="00271172"/>
    <w:rsid w:val="00271177"/>
    <w:rsid w:val="0027118B"/>
    <w:rsid w:val="002712D8"/>
    <w:rsid w:val="00271346"/>
    <w:rsid w:val="002714D2"/>
    <w:rsid w:val="0027166C"/>
    <w:rsid w:val="0027198E"/>
    <w:rsid w:val="00271C44"/>
    <w:rsid w:val="002722D3"/>
    <w:rsid w:val="002725A5"/>
    <w:rsid w:val="00272601"/>
    <w:rsid w:val="00272AE5"/>
    <w:rsid w:val="00272B6A"/>
    <w:rsid w:val="00273215"/>
    <w:rsid w:val="002732D7"/>
    <w:rsid w:val="00273320"/>
    <w:rsid w:val="002735EC"/>
    <w:rsid w:val="00273620"/>
    <w:rsid w:val="00273817"/>
    <w:rsid w:val="002738BE"/>
    <w:rsid w:val="00273D9A"/>
    <w:rsid w:val="00273EEC"/>
    <w:rsid w:val="002744F8"/>
    <w:rsid w:val="0027453D"/>
    <w:rsid w:val="002745E1"/>
    <w:rsid w:val="00274855"/>
    <w:rsid w:val="002748DA"/>
    <w:rsid w:val="00274BDD"/>
    <w:rsid w:val="00274E77"/>
    <w:rsid w:val="00275479"/>
    <w:rsid w:val="00275579"/>
    <w:rsid w:val="002755B1"/>
    <w:rsid w:val="00275B25"/>
    <w:rsid w:val="00275CEB"/>
    <w:rsid w:val="00276BD3"/>
    <w:rsid w:val="00276C7A"/>
    <w:rsid w:val="00276DC4"/>
    <w:rsid w:val="00276FC5"/>
    <w:rsid w:val="00277037"/>
    <w:rsid w:val="002774E5"/>
    <w:rsid w:val="002776DA"/>
    <w:rsid w:val="00277947"/>
    <w:rsid w:val="00277E45"/>
    <w:rsid w:val="00277FA5"/>
    <w:rsid w:val="0028014B"/>
    <w:rsid w:val="0028029A"/>
    <w:rsid w:val="00280561"/>
    <w:rsid w:val="002806A9"/>
    <w:rsid w:val="00280842"/>
    <w:rsid w:val="00280D1C"/>
    <w:rsid w:val="00280D62"/>
    <w:rsid w:val="00280DDB"/>
    <w:rsid w:val="00281085"/>
    <w:rsid w:val="00281193"/>
    <w:rsid w:val="00281517"/>
    <w:rsid w:val="0028157D"/>
    <w:rsid w:val="002816F1"/>
    <w:rsid w:val="002819C4"/>
    <w:rsid w:val="00282480"/>
    <w:rsid w:val="00282B7C"/>
    <w:rsid w:val="00282CCF"/>
    <w:rsid w:val="00282D22"/>
    <w:rsid w:val="00282E51"/>
    <w:rsid w:val="0028303F"/>
    <w:rsid w:val="002832C1"/>
    <w:rsid w:val="002834ED"/>
    <w:rsid w:val="00283B52"/>
    <w:rsid w:val="00283B53"/>
    <w:rsid w:val="00283BA8"/>
    <w:rsid w:val="002840A0"/>
    <w:rsid w:val="00284238"/>
    <w:rsid w:val="002842E0"/>
    <w:rsid w:val="002842F3"/>
    <w:rsid w:val="002842FF"/>
    <w:rsid w:val="00284532"/>
    <w:rsid w:val="002845D4"/>
    <w:rsid w:val="002847B4"/>
    <w:rsid w:val="0028493E"/>
    <w:rsid w:val="00284D67"/>
    <w:rsid w:val="00284DA3"/>
    <w:rsid w:val="00284F07"/>
    <w:rsid w:val="00284FA8"/>
    <w:rsid w:val="0028523E"/>
    <w:rsid w:val="002856AD"/>
    <w:rsid w:val="0028594F"/>
    <w:rsid w:val="00285B33"/>
    <w:rsid w:val="00285B89"/>
    <w:rsid w:val="00285D8B"/>
    <w:rsid w:val="00285F7B"/>
    <w:rsid w:val="00286262"/>
    <w:rsid w:val="00286317"/>
    <w:rsid w:val="0028631C"/>
    <w:rsid w:val="00286803"/>
    <w:rsid w:val="00286D73"/>
    <w:rsid w:val="00286DDA"/>
    <w:rsid w:val="00286E5C"/>
    <w:rsid w:val="00287558"/>
    <w:rsid w:val="00287694"/>
    <w:rsid w:val="002876D8"/>
    <w:rsid w:val="00287D2D"/>
    <w:rsid w:val="00287F9A"/>
    <w:rsid w:val="00290052"/>
    <w:rsid w:val="002904BC"/>
    <w:rsid w:val="00290FA9"/>
    <w:rsid w:val="00291310"/>
    <w:rsid w:val="002916E2"/>
    <w:rsid w:val="00291948"/>
    <w:rsid w:val="00291F4E"/>
    <w:rsid w:val="00292233"/>
    <w:rsid w:val="002922C4"/>
    <w:rsid w:val="002922EA"/>
    <w:rsid w:val="00292430"/>
    <w:rsid w:val="002928C0"/>
    <w:rsid w:val="00292B88"/>
    <w:rsid w:val="00292BF4"/>
    <w:rsid w:val="00293062"/>
    <w:rsid w:val="002933CE"/>
    <w:rsid w:val="00293579"/>
    <w:rsid w:val="002938E6"/>
    <w:rsid w:val="00293EFF"/>
    <w:rsid w:val="002943FD"/>
    <w:rsid w:val="002948C0"/>
    <w:rsid w:val="00294E30"/>
    <w:rsid w:val="00295124"/>
    <w:rsid w:val="00295435"/>
    <w:rsid w:val="002954C0"/>
    <w:rsid w:val="002957DB"/>
    <w:rsid w:val="002958E7"/>
    <w:rsid w:val="002959E7"/>
    <w:rsid w:val="00295E24"/>
    <w:rsid w:val="0029650A"/>
    <w:rsid w:val="00296C1A"/>
    <w:rsid w:val="00297ACB"/>
    <w:rsid w:val="002A0358"/>
    <w:rsid w:val="002A0495"/>
    <w:rsid w:val="002A04FF"/>
    <w:rsid w:val="002A0F33"/>
    <w:rsid w:val="002A17D6"/>
    <w:rsid w:val="002A1AE9"/>
    <w:rsid w:val="002A20BB"/>
    <w:rsid w:val="002A2239"/>
    <w:rsid w:val="002A2E47"/>
    <w:rsid w:val="002A3712"/>
    <w:rsid w:val="002A3870"/>
    <w:rsid w:val="002A3945"/>
    <w:rsid w:val="002A3A69"/>
    <w:rsid w:val="002A3BA5"/>
    <w:rsid w:val="002A3F34"/>
    <w:rsid w:val="002A405A"/>
    <w:rsid w:val="002A5188"/>
    <w:rsid w:val="002A5265"/>
    <w:rsid w:val="002A5475"/>
    <w:rsid w:val="002A5AEA"/>
    <w:rsid w:val="002A5B65"/>
    <w:rsid w:val="002A5BEE"/>
    <w:rsid w:val="002A66F6"/>
    <w:rsid w:val="002A68BF"/>
    <w:rsid w:val="002A7D73"/>
    <w:rsid w:val="002A7E1C"/>
    <w:rsid w:val="002A7E76"/>
    <w:rsid w:val="002B0026"/>
    <w:rsid w:val="002B0101"/>
    <w:rsid w:val="002B014F"/>
    <w:rsid w:val="002B02D5"/>
    <w:rsid w:val="002B07FC"/>
    <w:rsid w:val="002B0A5B"/>
    <w:rsid w:val="002B0B47"/>
    <w:rsid w:val="002B0F56"/>
    <w:rsid w:val="002B0FAF"/>
    <w:rsid w:val="002B1197"/>
    <w:rsid w:val="002B12A4"/>
    <w:rsid w:val="002B13AA"/>
    <w:rsid w:val="002B16B4"/>
    <w:rsid w:val="002B1787"/>
    <w:rsid w:val="002B17A3"/>
    <w:rsid w:val="002B1999"/>
    <w:rsid w:val="002B2034"/>
    <w:rsid w:val="002B2124"/>
    <w:rsid w:val="002B278E"/>
    <w:rsid w:val="002B2914"/>
    <w:rsid w:val="002B3580"/>
    <w:rsid w:val="002B3C47"/>
    <w:rsid w:val="002B3C63"/>
    <w:rsid w:val="002B3CBB"/>
    <w:rsid w:val="002B4354"/>
    <w:rsid w:val="002B43C2"/>
    <w:rsid w:val="002B448A"/>
    <w:rsid w:val="002B4571"/>
    <w:rsid w:val="002B4772"/>
    <w:rsid w:val="002B486A"/>
    <w:rsid w:val="002B4A3B"/>
    <w:rsid w:val="002B5330"/>
    <w:rsid w:val="002B572F"/>
    <w:rsid w:val="002B578D"/>
    <w:rsid w:val="002B57E2"/>
    <w:rsid w:val="002B59D7"/>
    <w:rsid w:val="002B5A69"/>
    <w:rsid w:val="002B5ACC"/>
    <w:rsid w:val="002B5CCC"/>
    <w:rsid w:val="002B5E67"/>
    <w:rsid w:val="002B5F8B"/>
    <w:rsid w:val="002B6331"/>
    <w:rsid w:val="002B6360"/>
    <w:rsid w:val="002B6AC9"/>
    <w:rsid w:val="002B7075"/>
    <w:rsid w:val="002B7203"/>
    <w:rsid w:val="002B788A"/>
    <w:rsid w:val="002B7AAF"/>
    <w:rsid w:val="002B7DED"/>
    <w:rsid w:val="002C062F"/>
    <w:rsid w:val="002C0705"/>
    <w:rsid w:val="002C07AF"/>
    <w:rsid w:val="002C099F"/>
    <w:rsid w:val="002C09BC"/>
    <w:rsid w:val="002C09F6"/>
    <w:rsid w:val="002C0BDB"/>
    <w:rsid w:val="002C0CCF"/>
    <w:rsid w:val="002C0D54"/>
    <w:rsid w:val="002C1182"/>
    <w:rsid w:val="002C123C"/>
    <w:rsid w:val="002C196A"/>
    <w:rsid w:val="002C20E1"/>
    <w:rsid w:val="002C2736"/>
    <w:rsid w:val="002C2857"/>
    <w:rsid w:val="002C2B09"/>
    <w:rsid w:val="002C2BD0"/>
    <w:rsid w:val="002C2C0F"/>
    <w:rsid w:val="002C2D2B"/>
    <w:rsid w:val="002C301F"/>
    <w:rsid w:val="002C329F"/>
    <w:rsid w:val="002C3389"/>
    <w:rsid w:val="002C3390"/>
    <w:rsid w:val="002C3815"/>
    <w:rsid w:val="002C3831"/>
    <w:rsid w:val="002C3862"/>
    <w:rsid w:val="002C3DEB"/>
    <w:rsid w:val="002C427F"/>
    <w:rsid w:val="002C447F"/>
    <w:rsid w:val="002C45BD"/>
    <w:rsid w:val="002C4B28"/>
    <w:rsid w:val="002C4BCB"/>
    <w:rsid w:val="002C4D5A"/>
    <w:rsid w:val="002C52E8"/>
    <w:rsid w:val="002C55B7"/>
    <w:rsid w:val="002C56EA"/>
    <w:rsid w:val="002C5B4C"/>
    <w:rsid w:val="002C5E98"/>
    <w:rsid w:val="002C640A"/>
    <w:rsid w:val="002C65EE"/>
    <w:rsid w:val="002C6861"/>
    <w:rsid w:val="002C73E3"/>
    <w:rsid w:val="002C758B"/>
    <w:rsid w:val="002C7A16"/>
    <w:rsid w:val="002C7A9B"/>
    <w:rsid w:val="002C7B31"/>
    <w:rsid w:val="002C7BCE"/>
    <w:rsid w:val="002C7DE8"/>
    <w:rsid w:val="002D0802"/>
    <w:rsid w:val="002D0848"/>
    <w:rsid w:val="002D1484"/>
    <w:rsid w:val="002D155F"/>
    <w:rsid w:val="002D1B0E"/>
    <w:rsid w:val="002D1B56"/>
    <w:rsid w:val="002D1CE7"/>
    <w:rsid w:val="002D1F24"/>
    <w:rsid w:val="002D2070"/>
    <w:rsid w:val="002D2250"/>
    <w:rsid w:val="002D2509"/>
    <w:rsid w:val="002D2644"/>
    <w:rsid w:val="002D274E"/>
    <w:rsid w:val="002D2CF0"/>
    <w:rsid w:val="002D2D7E"/>
    <w:rsid w:val="002D3074"/>
    <w:rsid w:val="002D33CE"/>
    <w:rsid w:val="002D38B1"/>
    <w:rsid w:val="002D38E9"/>
    <w:rsid w:val="002D3AC9"/>
    <w:rsid w:val="002D3AF3"/>
    <w:rsid w:val="002D3C93"/>
    <w:rsid w:val="002D489B"/>
    <w:rsid w:val="002D48DE"/>
    <w:rsid w:val="002D581E"/>
    <w:rsid w:val="002D5A95"/>
    <w:rsid w:val="002D5EF4"/>
    <w:rsid w:val="002D63A7"/>
    <w:rsid w:val="002D68D3"/>
    <w:rsid w:val="002D6942"/>
    <w:rsid w:val="002D69AE"/>
    <w:rsid w:val="002D6A0B"/>
    <w:rsid w:val="002D6B22"/>
    <w:rsid w:val="002D6CB7"/>
    <w:rsid w:val="002D7045"/>
    <w:rsid w:val="002D72F1"/>
    <w:rsid w:val="002D765B"/>
    <w:rsid w:val="002D7AFC"/>
    <w:rsid w:val="002D7B39"/>
    <w:rsid w:val="002D7CC5"/>
    <w:rsid w:val="002D7DE9"/>
    <w:rsid w:val="002E003B"/>
    <w:rsid w:val="002E00FF"/>
    <w:rsid w:val="002E0690"/>
    <w:rsid w:val="002E0757"/>
    <w:rsid w:val="002E0B4C"/>
    <w:rsid w:val="002E0BA1"/>
    <w:rsid w:val="002E0F80"/>
    <w:rsid w:val="002E1007"/>
    <w:rsid w:val="002E1102"/>
    <w:rsid w:val="002E13D4"/>
    <w:rsid w:val="002E1E67"/>
    <w:rsid w:val="002E1F1B"/>
    <w:rsid w:val="002E2913"/>
    <w:rsid w:val="002E29AF"/>
    <w:rsid w:val="002E2E8A"/>
    <w:rsid w:val="002E2FAF"/>
    <w:rsid w:val="002E3579"/>
    <w:rsid w:val="002E3825"/>
    <w:rsid w:val="002E3899"/>
    <w:rsid w:val="002E4055"/>
    <w:rsid w:val="002E4101"/>
    <w:rsid w:val="002E41F4"/>
    <w:rsid w:val="002E42D5"/>
    <w:rsid w:val="002E4A9F"/>
    <w:rsid w:val="002E5118"/>
    <w:rsid w:val="002E54EB"/>
    <w:rsid w:val="002E58EE"/>
    <w:rsid w:val="002E5923"/>
    <w:rsid w:val="002E5A0E"/>
    <w:rsid w:val="002E6034"/>
    <w:rsid w:val="002E603E"/>
    <w:rsid w:val="002E61BD"/>
    <w:rsid w:val="002E61C5"/>
    <w:rsid w:val="002E61F5"/>
    <w:rsid w:val="002E6B08"/>
    <w:rsid w:val="002E7471"/>
    <w:rsid w:val="002E78F8"/>
    <w:rsid w:val="002E7AC3"/>
    <w:rsid w:val="002E7B56"/>
    <w:rsid w:val="002E7BD5"/>
    <w:rsid w:val="002F0109"/>
    <w:rsid w:val="002F0262"/>
    <w:rsid w:val="002F0421"/>
    <w:rsid w:val="002F06DF"/>
    <w:rsid w:val="002F0B75"/>
    <w:rsid w:val="002F0E5B"/>
    <w:rsid w:val="002F0F07"/>
    <w:rsid w:val="002F11FE"/>
    <w:rsid w:val="002F185D"/>
    <w:rsid w:val="002F1956"/>
    <w:rsid w:val="002F1A08"/>
    <w:rsid w:val="002F1CBC"/>
    <w:rsid w:val="002F1DED"/>
    <w:rsid w:val="002F2141"/>
    <w:rsid w:val="002F221E"/>
    <w:rsid w:val="002F2948"/>
    <w:rsid w:val="002F2A4E"/>
    <w:rsid w:val="002F2B92"/>
    <w:rsid w:val="002F2F0A"/>
    <w:rsid w:val="002F2F71"/>
    <w:rsid w:val="002F3439"/>
    <w:rsid w:val="002F377B"/>
    <w:rsid w:val="002F3832"/>
    <w:rsid w:val="002F3B5D"/>
    <w:rsid w:val="002F3BFE"/>
    <w:rsid w:val="002F3CD4"/>
    <w:rsid w:val="002F40E5"/>
    <w:rsid w:val="002F425E"/>
    <w:rsid w:val="002F46A8"/>
    <w:rsid w:val="002F473B"/>
    <w:rsid w:val="002F4AFB"/>
    <w:rsid w:val="002F54E3"/>
    <w:rsid w:val="002F5591"/>
    <w:rsid w:val="002F58F7"/>
    <w:rsid w:val="002F59CC"/>
    <w:rsid w:val="002F5B38"/>
    <w:rsid w:val="002F5D53"/>
    <w:rsid w:val="002F606C"/>
    <w:rsid w:val="002F6679"/>
    <w:rsid w:val="002F6882"/>
    <w:rsid w:val="002F7168"/>
    <w:rsid w:val="002F7264"/>
    <w:rsid w:val="002F75CE"/>
    <w:rsid w:val="002F7A6D"/>
    <w:rsid w:val="002F7AB0"/>
    <w:rsid w:val="002F7CA6"/>
    <w:rsid w:val="002F7ED4"/>
    <w:rsid w:val="002F7F84"/>
    <w:rsid w:val="00300AD1"/>
    <w:rsid w:val="00300BBF"/>
    <w:rsid w:val="00300BC4"/>
    <w:rsid w:val="00300C29"/>
    <w:rsid w:val="00300F4E"/>
    <w:rsid w:val="003010DE"/>
    <w:rsid w:val="00301537"/>
    <w:rsid w:val="00301A44"/>
    <w:rsid w:val="00301B77"/>
    <w:rsid w:val="003025C9"/>
    <w:rsid w:val="003025ED"/>
    <w:rsid w:val="003027A7"/>
    <w:rsid w:val="00302830"/>
    <w:rsid w:val="00302EDF"/>
    <w:rsid w:val="00303156"/>
    <w:rsid w:val="0030370C"/>
    <w:rsid w:val="003037B1"/>
    <w:rsid w:val="003038C8"/>
    <w:rsid w:val="00303CCE"/>
    <w:rsid w:val="00303D01"/>
    <w:rsid w:val="00303E4D"/>
    <w:rsid w:val="00303F0D"/>
    <w:rsid w:val="003043DF"/>
    <w:rsid w:val="0030470D"/>
    <w:rsid w:val="00304979"/>
    <w:rsid w:val="003049EB"/>
    <w:rsid w:val="00304BA1"/>
    <w:rsid w:val="00304BB3"/>
    <w:rsid w:val="0030560A"/>
    <w:rsid w:val="00305672"/>
    <w:rsid w:val="00305750"/>
    <w:rsid w:val="00305871"/>
    <w:rsid w:val="00305AE9"/>
    <w:rsid w:val="00305BE6"/>
    <w:rsid w:val="00305C65"/>
    <w:rsid w:val="003062E2"/>
    <w:rsid w:val="0030674F"/>
    <w:rsid w:val="003069C0"/>
    <w:rsid w:val="00306A8E"/>
    <w:rsid w:val="00306E3C"/>
    <w:rsid w:val="00306F98"/>
    <w:rsid w:val="00307043"/>
    <w:rsid w:val="0030733A"/>
    <w:rsid w:val="00307659"/>
    <w:rsid w:val="00307983"/>
    <w:rsid w:val="00307DF5"/>
    <w:rsid w:val="00307F19"/>
    <w:rsid w:val="00307F2D"/>
    <w:rsid w:val="0031019E"/>
    <w:rsid w:val="0031021F"/>
    <w:rsid w:val="00310406"/>
    <w:rsid w:val="003104B9"/>
    <w:rsid w:val="0031052E"/>
    <w:rsid w:val="00310A3B"/>
    <w:rsid w:val="00310C0C"/>
    <w:rsid w:val="00310CF0"/>
    <w:rsid w:val="00310CFD"/>
    <w:rsid w:val="003110A4"/>
    <w:rsid w:val="003111AA"/>
    <w:rsid w:val="003116CF"/>
    <w:rsid w:val="00311A03"/>
    <w:rsid w:val="00311C8E"/>
    <w:rsid w:val="0031224D"/>
    <w:rsid w:val="00312355"/>
    <w:rsid w:val="0031248B"/>
    <w:rsid w:val="00312D24"/>
    <w:rsid w:val="00313363"/>
    <w:rsid w:val="00313616"/>
    <w:rsid w:val="00313721"/>
    <w:rsid w:val="00313982"/>
    <w:rsid w:val="00313A23"/>
    <w:rsid w:val="00313A5C"/>
    <w:rsid w:val="00313D0C"/>
    <w:rsid w:val="00313E2A"/>
    <w:rsid w:val="003140DC"/>
    <w:rsid w:val="0031449C"/>
    <w:rsid w:val="0031481A"/>
    <w:rsid w:val="00314964"/>
    <w:rsid w:val="00314E47"/>
    <w:rsid w:val="00314F71"/>
    <w:rsid w:val="0031522C"/>
    <w:rsid w:val="00315893"/>
    <w:rsid w:val="00315A02"/>
    <w:rsid w:val="00315CDB"/>
    <w:rsid w:val="00315CF6"/>
    <w:rsid w:val="00315E42"/>
    <w:rsid w:val="003162C4"/>
    <w:rsid w:val="003168B5"/>
    <w:rsid w:val="00316CDA"/>
    <w:rsid w:val="00316FB4"/>
    <w:rsid w:val="003171AC"/>
    <w:rsid w:val="0031743A"/>
    <w:rsid w:val="003200F1"/>
    <w:rsid w:val="0032045E"/>
    <w:rsid w:val="00320565"/>
    <w:rsid w:val="00320901"/>
    <w:rsid w:val="00320B3F"/>
    <w:rsid w:val="00320EA0"/>
    <w:rsid w:val="0032120C"/>
    <w:rsid w:val="00321794"/>
    <w:rsid w:val="003220A1"/>
    <w:rsid w:val="003220AF"/>
    <w:rsid w:val="003221B0"/>
    <w:rsid w:val="00322311"/>
    <w:rsid w:val="0032237C"/>
    <w:rsid w:val="003223BE"/>
    <w:rsid w:val="003228A5"/>
    <w:rsid w:val="00322957"/>
    <w:rsid w:val="00322F8D"/>
    <w:rsid w:val="00323040"/>
    <w:rsid w:val="00323232"/>
    <w:rsid w:val="00323240"/>
    <w:rsid w:val="00323299"/>
    <w:rsid w:val="00323321"/>
    <w:rsid w:val="003234B5"/>
    <w:rsid w:val="003235F2"/>
    <w:rsid w:val="003236D1"/>
    <w:rsid w:val="00323C8B"/>
    <w:rsid w:val="00323F61"/>
    <w:rsid w:val="003240E6"/>
    <w:rsid w:val="00324763"/>
    <w:rsid w:val="0032485B"/>
    <w:rsid w:val="00324E61"/>
    <w:rsid w:val="003252C2"/>
    <w:rsid w:val="00325489"/>
    <w:rsid w:val="003254B5"/>
    <w:rsid w:val="003256E5"/>
    <w:rsid w:val="00325C72"/>
    <w:rsid w:val="003262E9"/>
    <w:rsid w:val="0032683A"/>
    <w:rsid w:val="00326909"/>
    <w:rsid w:val="0032708E"/>
    <w:rsid w:val="00327384"/>
    <w:rsid w:val="0032759A"/>
    <w:rsid w:val="003276DE"/>
    <w:rsid w:val="00330012"/>
    <w:rsid w:val="003302CA"/>
    <w:rsid w:val="003302CB"/>
    <w:rsid w:val="00330ABC"/>
    <w:rsid w:val="003312C7"/>
    <w:rsid w:val="0033148E"/>
    <w:rsid w:val="00331559"/>
    <w:rsid w:val="00331672"/>
    <w:rsid w:val="003316B3"/>
    <w:rsid w:val="00331F35"/>
    <w:rsid w:val="0033216A"/>
    <w:rsid w:val="003326E2"/>
    <w:rsid w:val="00332A87"/>
    <w:rsid w:val="00332C0C"/>
    <w:rsid w:val="00332DBA"/>
    <w:rsid w:val="00332EAA"/>
    <w:rsid w:val="00332EE4"/>
    <w:rsid w:val="003333D1"/>
    <w:rsid w:val="003336A0"/>
    <w:rsid w:val="00333BE4"/>
    <w:rsid w:val="00333F59"/>
    <w:rsid w:val="003342B9"/>
    <w:rsid w:val="003344F2"/>
    <w:rsid w:val="003349A6"/>
    <w:rsid w:val="00334BF9"/>
    <w:rsid w:val="00334EE5"/>
    <w:rsid w:val="00335204"/>
    <w:rsid w:val="00335599"/>
    <w:rsid w:val="00335706"/>
    <w:rsid w:val="003357B3"/>
    <w:rsid w:val="0033581A"/>
    <w:rsid w:val="00336332"/>
    <w:rsid w:val="003363B2"/>
    <w:rsid w:val="00336986"/>
    <w:rsid w:val="003376F1"/>
    <w:rsid w:val="003377C3"/>
    <w:rsid w:val="0033785C"/>
    <w:rsid w:val="0034041A"/>
    <w:rsid w:val="00340469"/>
    <w:rsid w:val="00340BC0"/>
    <w:rsid w:val="00340F0F"/>
    <w:rsid w:val="00341190"/>
    <w:rsid w:val="0034138F"/>
    <w:rsid w:val="003413BC"/>
    <w:rsid w:val="0034165D"/>
    <w:rsid w:val="003419F7"/>
    <w:rsid w:val="00341A3C"/>
    <w:rsid w:val="00341E1C"/>
    <w:rsid w:val="00341E84"/>
    <w:rsid w:val="00341EB1"/>
    <w:rsid w:val="00341FFF"/>
    <w:rsid w:val="0034225D"/>
    <w:rsid w:val="00342441"/>
    <w:rsid w:val="003425AA"/>
    <w:rsid w:val="003425E8"/>
    <w:rsid w:val="0034278A"/>
    <w:rsid w:val="00342C40"/>
    <w:rsid w:val="00342DC8"/>
    <w:rsid w:val="00342F5A"/>
    <w:rsid w:val="0034353C"/>
    <w:rsid w:val="00344154"/>
    <w:rsid w:val="00344947"/>
    <w:rsid w:val="00345694"/>
    <w:rsid w:val="00345A67"/>
    <w:rsid w:val="00345C3A"/>
    <w:rsid w:val="00345DCF"/>
    <w:rsid w:val="00346D99"/>
    <w:rsid w:val="00346EB4"/>
    <w:rsid w:val="0034718D"/>
    <w:rsid w:val="003471B4"/>
    <w:rsid w:val="00347242"/>
    <w:rsid w:val="0034725F"/>
    <w:rsid w:val="00347618"/>
    <w:rsid w:val="00347964"/>
    <w:rsid w:val="00347BE7"/>
    <w:rsid w:val="00347F8B"/>
    <w:rsid w:val="00350271"/>
    <w:rsid w:val="0035029C"/>
    <w:rsid w:val="003506E2"/>
    <w:rsid w:val="00350764"/>
    <w:rsid w:val="00350B43"/>
    <w:rsid w:val="00350CAC"/>
    <w:rsid w:val="00350ECD"/>
    <w:rsid w:val="00351077"/>
    <w:rsid w:val="00351250"/>
    <w:rsid w:val="003514E2"/>
    <w:rsid w:val="00351750"/>
    <w:rsid w:val="00351B9A"/>
    <w:rsid w:val="00351EE6"/>
    <w:rsid w:val="0035206D"/>
    <w:rsid w:val="003520EE"/>
    <w:rsid w:val="0035237E"/>
    <w:rsid w:val="003532CC"/>
    <w:rsid w:val="003536FA"/>
    <w:rsid w:val="003537F6"/>
    <w:rsid w:val="00353DA4"/>
    <w:rsid w:val="00354527"/>
    <w:rsid w:val="003547EF"/>
    <w:rsid w:val="00354C5E"/>
    <w:rsid w:val="003551D2"/>
    <w:rsid w:val="003551D3"/>
    <w:rsid w:val="003552BD"/>
    <w:rsid w:val="00355469"/>
    <w:rsid w:val="00355B5D"/>
    <w:rsid w:val="00355B5F"/>
    <w:rsid w:val="00355C33"/>
    <w:rsid w:val="0035622F"/>
    <w:rsid w:val="00356245"/>
    <w:rsid w:val="00356263"/>
    <w:rsid w:val="0035659E"/>
    <w:rsid w:val="00356CB9"/>
    <w:rsid w:val="00356DAF"/>
    <w:rsid w:val="00356DD4"/>
    <w:rsid w:val="00356DF0"/>
    <w:rsid w:val="003575FD"/>
    <w:rsid w:val="00357757"/>
    <w:rsid w:val="00357AD3"/>
    <w:rsid w:val="00357E4D"/>
    <w:rsid w:val="00360184"/>
    <w:rsid w:val="00360411"/>
    <w:rsid w:val="003605A0"/>
    <w:rsid w:val="003605AA"/>
    <w:rsid w:val="003607A4"/>
    <w:rsid w:val="00360AB3"/>
    <w:rsid w:val="00360B59"/>
    <w:rsid w:val="00360D2A"/>
    <w:rsid w:val="00360F64"/>
    <w:rsid w:val="00361195"/>
    <w:rsid w:val="00361789"/>
    <w:rsid w:val="00361A44"/>
    <w:rsid w:val="00361AD2"/>
    <w:rsid w:val="00361BFD"/>
    <w:rsid w:val="00361E92"/>
    <w:rsid w:val="0036205A"/>
    <w:rsid w:val="0036223B"/>
    <w:rsid w:val="0036230A"/>
    <w:rsid w:val="003624BE"/>
    <w:rsid w:val="003626E1"/>
    <w:rsid w:val="00362B7F"/>
    <w:rsid w:val="00362D45"/>
    <w:rsid w:val="00362D84"/>
    <w:rsid w:val="00362FCD"/>
    <w:rsid w:val="00363312"/>
    <w:rsid w:val="00363BEA"/>
    <w:rsid w:val="00363C29"/>
    <w:rsid w:val="00363C40"/>
    <w:rsid w:val="00363F4B"/>
    <w:rsid w:val="003645CE"/>
    <w:rsid w:val="0036461B"/>
    <w:rsid w:val="00364979"/>
    <w:rsid w:val="003649EA"/>
    <w:rsid w:val="003651CC"/>
    <w:rsid w:val="00365233"/>
    <w:rsid w:val="003656BD"/>
    <w:rsid w:val="00365B47"/>
    <w:rsid w:val="003661C0"/>
    <w:rsid w:val="003664EB"/>
    <w:rsid w:val="003666B7"/>
    <w:rsid w:val="003668AC"/>
    <w:rsid w:val="00366A6F"/>
    <w:rsid w:val="00366B32"/>
    <w:rsid w:val="00366B89"/>
    <w:rsid w:val="00366B9C"/>
    <w:rsid w:val="00367059"/>
    <w:rsid w:val="003671E7"/>
    <w:rsid w:val="003671FB"/>
    <w:rsid w:val="00367363"/>
    <w:rsid w:val="00367452"/>
    <w:rsid w:val="0036794E"/>
    <w:rsid w:val="00367C35"/>
    <w:rsid w:val="00367E33"/>
    <w:rsid w:val="00367F48"/>
    <w:rsid w:val="003700B6"/>
    <w:rsid w:val="003703AC"/>
    <w:rsid w:val="0037059B"/>
    <w:rsid w:val="00370AA9"/>
    <w:rsid w:val="0037134B"/>
    <w:rsid w:val="0037177F"/>
    <w:rsid w:val="0037184F"/>
    <w:rsid w:val="00371EC6"/>
    <w:rsid w:val="003720F4"/>
    <w:rsid w:val="0037216B"/>
    <w:rsid w:val="003721F5"/>
    <w:rsid w:val="003723B9"/>
    <w:rsid w:val="003723E3"/>
    <w:rsid w:val="003724E9"/>
    <w:rsid w:val="003725DB"/>
    <w:rsid w:val="003726E7"/>
    <w:rsid w:val="00372964"/>
    <w:rsid w:val="003731C3"/>
    <w:rsid w:val="00373353"/>
    <w:rsid w:val="0037347B"/>
    <w:rsid w:val="0037354E"/>
    <w:rsid w:val="003737CE"/>
    <w:rsid w:val="00373A21"/>
    <w:rsid w:val="0037456C"/>
    <w:rsid w:val="00374BDB"/>
    <w:rsid w:val="00374D63"/>
    <w:rsid w:val="00374E94"/>
    <w:rsid w:val="00375039"/>
    <w:rsid w:val="00375345"/>
    <w:rsid w:val="003757EC"/>
    <w:rsid w:val="00375930"/>
    <w:rsid w:val="00375991"/>
    <w:rsid w:val="00375ADD"/>
    <w:rsid w:val="0037613C"/>
    <w:rsid w:val="003761BF"/>
    <w:rsid w:val="003761D4"/>
    <w:rsid w:val="003762B1"/>
    <w:rsid w:val="0037685A"/>
    <w:rsid w:val="003768C4"/>
    <w:rsid w:val="003768E2"/>
    <w:rsid w:val="003769E0"/>
    <w:rsid w:val="003771F8"/>
    <w:rsid w:val="003773FD"/>
    <w:rsid w:val="00377B88"/>
    <w:rsid w:val="00380133"/>
    <w:rsid w:val="003801E2"/>
    <w:rsid w:val="00380264"/>
    <w:rsid w:val="0038041F"/>
    <w:rsid w:val="003804EF"/>
    <w:rsid w:val="00380541"/>
    <w:rsid w:val="003806F1"/>
    <w:rsid w:val="003807B9"/>
    <w:rsid w:val="00380B76"/>
    <w:rsid w:val="00380BD6"/>
    <w:rsid w:val="00380BE6"/>
    <w:rsid w:val="00380F1B"/>
    <w:rsid w:val="003810F8"/>
    <w:rsid w:val="0038137B"/>
    <w:rsid w:val="00381806"/>
    <w:rsid w:val="00381A01"/>
    <w:rsid w:val="003825E1"/>
    <w:rsid w:val="003837BD"/>
    <w:rsid w:val="0038386A"/>
    <w:rsid w:val="00383BE4"/>
    <w:rsid w:val="00383F7D"/>
    <w:rsid w:val="00384087"/>
    <w:rsid w:val="00384788"/>
    <w:rsid w:val="003847FC"/>
    <w:rsid w:val="00384CE4"/>
    <w:rsid w:val="00384D42"/>
    <w:rsid w:val="00384FE0"/>
    <w:rsid w:val="0038500F"/>
    <w:rsid w:val="00385311"/>
    <w:rsid w:val="0038550B"/>
    <w:rsid w:val="00385593"/>
    <w:rsid w:val="003857C7"/>
    <w:rsid w:val="00386C8E"/>
    <w:rsid w:val="0038703C"/>
    <w:rsid w:val="003871CC"/>
    <w:rsid w:val="0038742E"/>
    <w:rsid w:val="00387583"/>
    <w:rsid w:val="0038760C"/>
    <w:rsid w:val="00387CA7"/>
    <w:rsid w:val="00387FF4"/>
    <w:rsid w:val="0039044A"/>
    <w:rsid w:val="00390895"/>
    <w:rsid w:val="00390EE5"/>
    <w:rsid w:val="00390FA6"/>
    <w:rsid w:val="00391A6E"/>
    <w:rsid w:val="00391D96"/>
    <w:rsid w:val="00392044"/>
    <w:rsid w:val="00392114"/>
    <w:rsid w:val="0039237E"/>
    <w:rsid w:val="00392407"/>
    <w:rsid w:val="00392950"/>
    <w:rsid w:val="00392A84"/>
    <w:rsid w:val="00392BFA"/>
    <w:rsid w:val="00392E17"/>
    <w:rsid w:val="003932FA"/>
    <w:rsid w:val="00393795"/>
    <w:rsid w:val="00393C4E"/>
    <w:rsid w:val="00393CB5"/>
    <w:rsid w:val="00393D54"/>
    <w:rsid w:val="00393EE2"/>
    <w:rsid w:val="00393FB9"/>
    <w:rsid w:val="00394192"/>
    <w:rsid w:val="003942D6"/>
    <w:rsid w:val="003942E0"/>
    <w:rsid w:val="0039432F"/>
    <w:rsid w:val="0039495C"/>
    <w:rsid w:val="003949F3"/>
    <w:rsid w:val="003951D4"/>
    <w:rsid w:val="0039527A"/>
    <w:rsid w:val="0039587A"/>
    <w:rsid w:val="003959C0"/>
    <w:rsid w:val="00395A57"/>
    <w:rsid w:val="00395C58"/>
    <w:rsid w:val="00395D8F"/>
    <w:rsid w:val="00395DC1"/>
    <w:rsid w:val="00395DDA"/>
    <w:rsid w:val="003961D2"/>
    <w:rsid w:val="00396246"/>
    <w:rsid w:val="00396647"/>
    <w:rsid w:val="0039679F"/>
    <w:rsid w:val="00396951"/>
    <w:rsid w:val="00396C7E"/>
    <w:rsid w:val="00396EDC"/>
    <w:rsid w:val="003970A8"/>
    <w:rsid w:val="00397393"/>
    <w:rsid w:val="0039750C"/>
    <w:rsid w:val="0039754F"/>
    <w:rsid w:val="00397749"/>
    <w:rsid w:val="00397764"/>
    <w:rsid w:val="003A04B1"/>
    <w:rsid w:val="003A0A3A"/>
    <w:rsid w:val="003A0C6D"/>
    <w:rsid w:val="003A0D2B"/>
    <w:rsid w:val="003A0EF7"/>
    <w:rsid w:val="003A128A"/>
    <w:rsid w:val="003A191A"/>
    <w:rsid w:val="003A1B2D"/>
    <w:rsid w:val="003A1FB7"/>
    <w:rsid w:val="003A2324"/>
    <w:rsid w:val="003A25B2"/>
    <w:rsid w:val="003A28B6"/>
    <w:rsid w:val="003A3328"/>
    <w:rsid w:val="003A3360"/>
    <w:rsid w:val="003A3539"/>
    <w:rsid w:val="003A36DC"/>
    <w:rsid w:val="003A389E"/>
    <w:rsid w:val="003A3A9C"/>
    <w:rsid w:val="003A458B"/>
    <w:rsid w:val="003A4608"/>
    <w:rsid w:val="003A46D4"/>
    <w:rsid w:val="003A4785"/>
    <w:rsid w:val="003A51E3"/>
    <w:rsid w:val="003A526E"/>
    <w:rsid w:val="003A5408"/>
    <w:rsid w:val="003A54C4"/>
    <w:rsid w:val="003A555E"/>
    <w:rsid w:val="003A55C1"/>
    <w:rsid w:val="003A5DD1"/>
    <w:rsid w:val="003A6390"/>
    <w:rsid w:val="003A63D0"/>
    <w:rsid w:val="003A69D9"/>
    <w:rsid w:val="003A6BB5"/>
    <w:rsid w:val="003A6C04"/>
    <w:rsid w:val="003A7009"/>
    <w:rsid w:val="003A7331"/>
    <w:rsid w:val="003A796E"/>
    <w:rsid w:val="003A7AE2"/>
    <w:rsid w:val="003A7CD2"/>
    <w:rsid w:val="003A7EDC"/>
    <w:rsid w:val="003A7FBE"/>
    <w:rsid w:val="003B04DF"/>
    <w:rsid w:val="003B04FE"/>
    <w:rsid w:val="003B06ED"/>
    <w:rsid w:val="003B07E9"/>
    <w:rsid w:val="003B0C66"/>
    <w:rsid w:val="003B102B"/>
    <w:rsid w:val="003B136F"/>
    <w:rsid w:val="003B17EE"/>
    <w:rsid w:val="003B1B00"/>
    <w:rsid w:val="003B24A1"/>
    <w:rsid w:val="003B29EF"/>
    <w:rsid w:val="003B2A53"/>
    <w:rsid w:val="003B2B9E"/>
    <w:rsid w:val="003B2C76"/>
    <w:rsid w:val="003B2E40"/>
    <w:rsid w:val="003B2EAF"/>
    <w:rsid w:val="003B2F48"/>
    <w:rsid w:val="003B3054"/>
    <w:rsid w:val="003B3262"/>
    <w:rsid w:val="003B33B9"/>
    <w:rsid w:val="003B340B"/>
    <w:rsid w:val="003B3443"/>
    <w:rsid w:val="003B35FD"/>
    <w:rsid w:val="003B365E"/>
    <w:rsid w:val="003B3ABA"/>
    <w:rsid w:val="003B3E2C"/>
    <w:rsid w:val="003B3E40"/>
    <w:rsid w:val="003B3EC5"/>
    <w:rsid w:val="003B453B"/>
    <w:rsid w:val="003B4C11"/>
    <w:rsid w:val="003B5028"/>
    <w:rsid w:val="003B54E2"/>
    <w:rsid w:val="003B5629"/>
    <w:rsid w:val="003B56EB"/>
    <w:rsid w:val="003B5700"/>
    <w:rsid w:val="003B581B"/>
    <w:rsid w:val="003B594D"/>
    <w:rsid w:val="003B5B34"/>
    <w:rsid w:val="003B5C3C"/>
    <w:rsid w:val="003B5CDB"/>
    <w:rsid w:val="003B5E1B"/>
    <w:rsid w:val="003B65D9"/>
    <w:rsid w:val="003B6604"/>
    <w:rsid w:val="003B6645"/>
    <w:rsid w:val="003B68A6"/>
    <w:rsid w:val="003B6A95"/>
    <w:rsid w:val="003B6B5E"/>
    <w:rsid w:val="003B6C5E"/>
    <w:rsid w:val="003B70D1"/>
    <w:rsid w:val="003B7439"/>
    <w:rsid w:val="003B7747"/>
    <w:rsid w:val="003B77F5"/>
    <w:rsid w:val="003B7998"/>
    <w:rsid w:val="003B7AAF"/>
    <w:rsid w:val="003B7D9F"/>
    <w:rsid w:val="003C013A"/>
    <w:rsid w:val="003C0200"/>
    <w:rsid w:val="003C0512"/>
    <w:rsid w:val="003C058E"/>
    <w:rsid w:val="003C0664"/>
    <w:rsid w:val="003C08FA"/>
    <w:rsid w:val="003C099A"/>
    <w:rsid w:val="003C0DFD"/>
    <w:rsid w:val="003C0E62"/>
    <w:rsid w:val="003C0F5F"/>
    <w:rsid w:val="003C0FD3"/>
    <w:rsid w:val="003C114F"/>
    <w:rsid w:val="003C1296"/>
    <w:rsid w:val="003C1CB5"/>
    <w:rsid w:val="003C1D15"/>
    <w:rsid w:val="003C1ED0"/>
    <w:rsid w:val="003C20D0"/>
    <w:rsid w:val="003C22BE"/>
    <w:rsid w:val="003C22FA"/>
    <w:rsid w:val="003C24CA"/>
    <w:rsid w:val="003C26CF"/>
    <w:rsid w:val="003C2716"/>
    <w:rsid w:val="003C2900"/>
    <w:rsid w:val="003C2D04"/>
    <w:rsid w:val="003C2E9E"/>
    <w:rsid w:val="003C30BB"/>
    <w:rsid w:val="003C30E0"/>
    <w:rsid w:val="003C3158"/>
    <w:rsid w:val="003C3198"/>
    <w:rsid w:val="003C384A"/>
    <w:rsid w:val="003C3ADD"/>
    <w:rsid w:val="003C3CB2"/>
    <w:rsid w:val="003C3E81"/>
    <w:rsid w:val="003C4234"/>
    <w:rsid w:val="003C42A1"/>
    <w:rsid w:val="003C4308"/>
    <w:rsid w:val="003C47E7"/>
    <w:rsid w:val="003C4940"/>
    <w:rsid w:val="003C4BC7"/>
    <w:rsid w:val="003C4F49"/>
    <w:rsid w:val="003C4FD5"/>
    <w:rsid w:val="003C5087"/>
    <w:rsid w:val="003C5089"/>
    <w:rsid w:val="003C51FD"/>
    <w:rsid w:val="003C525E"/>
    <w:rsid w:val="003C538C"/>
    <w:rsid w:val="003C562E"/>
    <w:rsid w:val="003C5EC2"/>
    <w:rsid w:val="003C5F71"/>
    <w:rsid w:val="003C5FEE"/>
    <w:rsid w:val="003C604C"/>
    <w:rsid w:val="003C60AF"/>
    <w:rsid w:val="003C6636"/>
    <w:rsid w:val="003C66E1"/>
    <w:rsid w:val="003C677E"/>
    <w:rsid w:val="003C6A93"/>
    <w:rsid w:val="003C6E26"/>
    <w:rsid w:val="003C707E"/>
    <w:rsid w:val="003C722C"/>
    <w:rsid w:val="003C728A"/>
    <w:rsid w:val="003C74C8"/>
    <w:rsid w:val="003C766B"/>
    <w:rsid w:val="003C79FC"/>
    <w:rsid w:val="003C7A4A"/>
    <w:rsid w:val="003C7FC0"/>
    <w:rsid w:val="003D0133"/>
    <w:rsid w:val="003D057C"/>
    <w:rsid w:val="003D0AA9"/>
    <w:rsid w:val="003D1239"/>
    <w:rsid w:val="003D137E"/>
    <w:rsid w:val="003D155D"/>
    <w:rsid w:val="003D161F"/>
    <w:rsid w:val="003D182B"/>
    <w:rsid w:val="003D1854"/>
    <w:rsid w:val="003D1930"/>
    <w:rsid w:val="003D1A22"/>
    <w:rsid w:val="003D1C3E"/>
    <w:rsid w:val="003D1F0B"/>
    <w:rsid w:val="003D1FC5"/>
    <w:rsid w:val="003D22B8"/>
    <w:rsid w:val="003D2883"/>
    <w:rsid w:val="003D2E4C"/>
    <w:rsid w:val="003D3001"/>
    <w:rsid w:val="003D3669"/>
    <w:rsid w:val="003D39DD"/>
    <w:rsid w:val="003D3B63"/>
    <w:rsid w:val="003D3F0C"/>
    <w:rsid w:val="003D4511"/>
    <w:rsid w:val="003D4591"/>
    <w:rsid w:val="003D48AE"/>
    <w:rsid w:val="003D49BC"/>
    <w:rsid w:val="003D4C9A"/>
    <w:rsid w:val="003D5756"/>
    <w:rsid w:val="003D59DB"/>
    <w:rsid w:val="003D5C99"/>
    <w:rsid w:val="003D60D2"/>
    <w:rsid w:val="003D6D17"/>
    <w:rsid w:val="003D7247"/>
    <w:rsid w:val="003E0A88"/>
    <w:rsid w:val="003E0D27"/>
    <w:rsid w:val="003E1006"/>
    <w:rsid w:val="003E1858"/>
    <w:rsid w:val="003E1928"/>
    <w:rsid w:val="003E1F69"/>
    <w:rsid w:val="003E21D9"/>
    <w:rsid w:val="003E22DB"/>
    <w:rsid w:val="003E233B"/>
    <w:rsid w:val="003E263D"/>
    <w:rsid w:val="003E2680"/>
    <w:rsid w:val="003E2E4B"/>
    <w:rsid w:val="003E3063"/>
    <w:rsid w:val="003E316E"/>
    <w:rsid w:val="003E324C"/>
    <w:rsid w:val="003E37F6"/>
    <w:rsid w:val="003E3994"/>
    <w:rsid w:val="003E3EAE"/>
    <w:rsid w:val="003E41C9"/>
    <w:rsid w:val="003E43D1"/>
    <w:rsid w:val="003E46E6"/>
    <w:rsid w:val="003E4B33"/>
    <w:rsid w:val="003E4CB2"/>
    <w:rsid w:val="003E4D27"/>
    <w:rsid w:val="003E4EF9"/>
    <w:rsid w:val="003E4F0D"/>
    <w:rsid w:val="003E4FDA"/>
    <w:rsid w:val="003E60E5"/>
    <w:rsid w:val="003E6128"/>
    <w:rsid w:val="003E64E6"/>
    <w:rsid w:val="003E650A"/>
    <w:rsid w:val="003E6920"/>
    <w:rsid w:val="003E6988"/>
    <w:rsid w:val="003E6E0B"/>
    <w:rsid w:val="003E6FF0"/>
    <w:rsid w:val="003E73D6"/>
    <w:rsid w:val="003E7848"/>
    <w:rsid w:val="003E7858"/>
    <w:rsid w:val="003E788A"/>
    <w:rsid w:val="003E7917"/>
    <w:rsid w:val="003E7AA9"/>
    <w:rsid w:val="003E7ABB"/>
    <w:rsid w:val="003E7B61"/>
    <w:rsid w:val="003E7D7A"/>
    <w:rsid w:val="003E7E83"/>
    <w:rsid w:val="003F0460"/>
    <w:rsid w:val="003F04E4"/>
    <w:rsid w:val="003F0522"/>
    <w:rsid w:val="003F0541"/>
    <w:rsid w:val="003F0AD4"/>
    <w:rsid w:val="003F0BF7"/>
    <w:rsid w:val="003F0DFE"/>
    <w:rsid w:val="003F100C"/>
    <w:rsid w:val="003F111F"/>
    <w:rsid w:val="003F1412"/>
    <w:rsid w:val="003F17FA"/>
    <w:rsid w:val="003F182B"/>
    <w:rsid w:val="003F1AED"/>
    <w:rsid w:val="003F1B84"/>
    <w:rsid w:val="003F1D7D"/>
    <w:rsid w:val="003F1DF0"/>
    <w:rsid w:val="003F1E98"/>
    <w:rsid w:val="003F204F"/>
    <w:rsid w:val="003F2122"/>
    <w:rsid w:val="003F224E"/>
    <w:rsid w:val="003F22F5"/>
    <w:rsid w:val="003F260F"/>
    <w:rsid w:val="003F2B7B"/>
    <w:rsid w:val="003F310D"/>
    <w:rsid w:val="003F35CB"/>
    <w:rsid w:val="003F379F"/>
    <w:rsid w:val="003F3990"/>
    <w:rsid w:val="003F3B86"/>
    <w:rsid w:val="003F4657"/>
    <w:rsid w:val="003F499D"/>
    <w:rsid w:val="003F49F1"/>
    <w:rsid w:val="003F4AE1"/>
    <w:rsid w:val="003F4EE7"/>
    <w:rsid w:val="003F5799"/>
    <w:rsid w:val="003F57B3"/>
    <w:rsid w:val="003F5B56"/>
    <w:rsid w:val="003F5F0F"/>
    <w:rsid w:val="003F607B"/>
    <w:rsid w:val="003F6A0A"/>
    <w:rsid w:val="003F6B3F"/>
    <w:rsid w:val="003F6CD2"/>
    <w:rsid w:val="003F71F8"/>
    <w:rsid w:val="003F74E3"/>
    <w:rsid w:val="003F76FD"/>
    <w:rsid w:val="00400054"/>
    <w:rsid w:val="00400092"/>
    <w:rsid w:val="004001B3"/>
    <w:rsid w:val="0040031D"/>
    <w:rsid w:val="00400589"/>
    <w:rsid w:val="00400A8C"/>
    <w:rsid w:val="00400BBD"/>
    <w:rsid w:val="0040123E"/>
    <w:rsid w:val="004014E4"/>
    <w:rsid w:val="0040153E"/>
    <w:rsid w:val="00401547"/>
    <w:rsid w:val="0040163A"/>
    <w:rsid w:val="00401642"/>
    <w:rsid w:val="00401861"/>
    <w:rsid w:val="00401A14"/>
    <w:rsid w:val="0040220D"/>
    <w:rsid w:val="0040256B"/>
    <w:rsid w:val="004026BE"/>
    <w:rsid w:val="004028E6"/>
    <w:rsid w:val="004028F6"/>
    <w:rsid w:val="00402BBD"/>
    <w:rsid w:val="00402CAC"/>
    <w:rsid w:val="00402ECE"/>
    <w:rsid w:val="00402FA5"/>
    <w:rsid w:val="0040374B"/>
    <w:rsid w:val="00403DFC"/>
    <w:rsid w:val="00404101"/>
    <w:rsid w:val="00404193"/>
    <w:rsid w:val="004048ED"/>
    <w:rsid w:val="00404ABE"/>
    <w:rsid w:val="00404E70"/>
    <w:rsid w:val="0040505A"/>
    <w:rsid w:val="004052FC"/>
    <w:rsid w:val="00405685"/>
    <w:rsid w:val="0040597D"/>
    <w:rsid w:val="00405A6E"/>
    <w:rsid w:val="00405BA0"/>
    <w:rsid w:val="00405C0D"/>
    <w:rsid w:val="00405F75"/>
    <w:rsid w:val="00406507"/>
    <w:rsid w:val="004066AE"/>
    <w:rsid w:val="00406BAA"/>
    <w:rsid w:val="004077A7"/>
    <w:rsid w:val="0040795B"/>
    <w:rsid w:val="00407A7C"/>
    <w:rsid w:val="00407AAC"/>
    <w:rsid w:val="00407CE2"/>
    <w:rsid w:val="00407E8A"/>
    <w:rsid w:val="0041023D"/>
    <w:rsid w:val="00410313"/>
    <w:rsid w:val="00410317"/>
    <w:rsid w:val="00410508"/>
    <w:rsid w:val="00410752"/>
    <w:rsid w:val="00410BB0"/>
    <w:rsid w:val="00410C08"/>
    <w:rsid w:val="00410E18"/>
    <w:rsid w:val="00411464"/>
    <w:rsid w:val="004117F3"/>
    <w:rsid w:val="00411823"/>
    <w:rsid w:val="00411AF4"/>
    <w:rsid w:val="00411CAA"/>
    <w:rsid w:val="004121C4"/>
    <w:rsid w:val="00412ED6"/>
    <w:rsid w:val="00412FAA"/>
    <w:rsid w:val="00413043"/>
    <w:rsid w:val="00413196"/>
    <w:rsid w:val="0041330C"/>
    <w:rsid w:val="0041361A"/>
    <w:rsid w:val="00413625"/>
    <w:rsid w:val="004139BF"/>
    <w:rsid w:val="00413C69"/>
    <w:rsid w:val="00413FFF"/>
    <w:rsid w:val="00414168"/>
    <w:rsid w:val="0041454E"/>
    <w:rsid w:val="004145BF"/>
    <w:rsid w:val="00414761"/>
    <w:rsid w:val="00414804"/>
    <w:rsid w:val="0041498A"/>
    <w:rsid w:val="00414B12"/>
    <w:rsid w:val="00414F9D"/>
    <w:rsid w:val="00415301"/>
    <w:rsid w:val="00415337"/>
    <w:rsid w:val="00415389"/>
    <w:rsid w:val="00415535"/>
    <w:rsid w:val="004155E9"/>
    <w:rsid w:val="004157BC"/>
    <w:rsid w:val="004158D6"/>
    <w:rsid w:val="004159F4"/>
    <w:rsid w:val="0041612A"/>
    <w:rsid w:val="004164A1"/>
    <w:rsid w:val="00416583"/>
    <w:rsid w:val="0041693E"/>
    <w:rsid w:val="00416AF7"/>
    <w:rsid w:val="00416C06"/>
    <w:rsid w:val="00416C9A"/>
    <w:rsid w:val="00416FDA"/>
    <w:rsid w:val="00417257"/>
    <w:rsid w:val="004175E6"/>
    <w:rsid w:val="0041765F"/>
    <w:rsid w:val="004176E2"/>
    <w:rsid w:val="00417C66"/>
    <w:rsid w:val="00417E0D"/>
    <w:rsid w:val="00420220"/>
    <w:rsid w:val="00420229"/>
    <w:rsid w:val="0042047E"/>
    <w:rsid w:val="004208EC"/>
    <w:rsid w:val="00420F5A"/>
    <w:rsid w:val="00420FF1"/>
    <w:rsid w:val="004210B3"/>
    <w:rsid w:val="004213BC"/>
    <w:rsid w:val="00421721"/>
    <w:rsid w:val="00421883"/>
    <w:rsid w:val="00421928"/>
    <w:rsid w:val="00421E82"/>
    <w:rsid w:val="004221A3"/>
    <w:rsid w:val="00422374"/>
    <w:rsid w:val="004224EC"/>
    <w:rsid w:val="0042301B"/>
    <w:rsid w:val="0042328D"/>
    <w:rsid w:val="0042381D"/>
    <w:rsid w:val="00423A52"/>
    <w:rsid w:val="00423E31"/>
    <w:rsid w:val="00424D30"/>
    <w:rsid w:val="00424E8B"/>
    <w:rsid w:val="00425049"/>
    <w:rsid w:val="00425335"/>
    <w:rsid w:val="004258EA"/>
    <w:rsid w:val="004259A0"/>
    <w:rsid w:val="00425EDB"/>
    <w:rsid w:val="00425EE9"/>
    <w:rsid w:val="004264AD"/>
    <w:rsid w:val="00426564"/>
    <w:rsid w:val="00426712"/>
    <w:rsid w:val="00426931"/>
    <w:rsid w:val="00426DD1"/>
    <w:rsid w:val="004274C0"/>
    <w:rsid w:val="004275BB"/>
    <w:rsid w:val="00427A8D"/>
    <w:rsid w:val="00427B7B"/>
    <w:rsid w:val="00427B7D"/>
    <w:rsid w:val="00427C48"/>
    <w:rsid w:val="0043005A"/>
    <w:rsid w:val="0043017B"/>
    <w:rsid w:val="004302B6"/>
    <w:rsid w:val="00430461"/>
    <w:rsid w:val="004305C1"/>
    <w:rsid w:val="004308DF"/>
    <w:rsid w:val="00430C68"/>
    <w:rsid w:val="004311BD"/>
    <w:rsid w:val="00431B5F"/>
    <w:rsid w:val="00431E16"/>
    <w:rsid w:val="0043256C"/>
    <w:rsid w:val="00432866"/>
    <w:rsid w:val="00432BA1"/>
    <w:rsid w:val="00432C71"/>
    <w:rsid w:val="00432F13"/>
    <w:rsid w:val="004338D1"/>
    <w:rsid w:val="0043398F"/>
    <w:rsid w:val="00433E83"/>
    <w:rsid w:val="00433FB9"/>
    <w:rsid w:val="0043459D"/>
    <w:rsid w:val="004349C0"/>
    <w:rsid w:val="00434A90"/>
    <w:rsid w:val="00434B7C"/>
    <w:rsid w:val="00434F8D"/>
    <w:rsid w:val="00434F9F"/>
    <w:rsid w:val="0043565D"/>
    <w:rsid w:val="004356CB"/>
    <w:rsid w:val="00435893"/>
    <w:rsid w:val="004358FC"/>
    <w:rsid w:val="00436055"/>
    <w:rsid w:val="004362F9"/>
    <w:rsid w:val="00436A73"/>
    <w:rsid w:val="00436ADD"/>
    <w:rsid w:val="00436AEA"/>
    <w:rsid w:val="00436BD7"/>
    <w:rsid w:val="00436D2B"/>
    <w:rsid w:val="00436DC4"/>
    <w:rsid w:val="0043703B"/>
    <w:rsid w:val="0043725B"/>
    <w:rsid w:val="004375EC"/>
    <w:rsid w:val="004376C6"/>
    <w:rsid w:val="00437927"/>
    <w:rsid w:val="00437C8F"/>
    <w:rsid w:val="00437EE4"/>
    <w:rsid w:val="00437F80"/>
    <w:rsid w:val="00440109"/>
    <w:rsid w:val="0044033E"/>
    <w:rsid w:val="0044053B"/>
    <w:rsid w:val="004412E5"/>
    <w:rsid w:val="004414AF"/>
    <w:rsid w:val="00441750"/>
    <w:rsid w:val="00441822"/>
    <w:rsid w:val="00441A09"/>
    <w:rsid w:val="004420E6"/>
    <w:rsid w:val="004421E5"/>
    <w:rsid w:val="004422E3"/>
    <w:rsid w:val="0044254A"/>
    <w:rsid w:val="004431FE"/>
    <w:rsid w:val="00443976"/>
    <w:rsid w:val="00443C50"/>
    <w:rsid w:val="00443CB8"/>
    <w:rsid w:val="00443DC9"/>
    <w:rsid w:val="00443F38"/>
    <w:rsid w:val="00443F8E"/>
    <w:rsid w:val="00443FB5"/>
    <w:rsid w:val="00444120"/>
    <w:rsid w:val="00444202"/>
    <w:rsid w:val="004445D2"/>
    <w:rsid w:val="00444650"/>
    <w:rsid w:val="00444D0B"/>
    <w:rsid w:val="00444E9E"/>
    <w:rsid w:val="00445060"/>
    <w:rsid w:val="0044507F"/>
    <w:rsid w:val="00445515"/>
    <w:rsid w:val="004457FC"/>
    <w:rsid w:val="00445FCD"/>
    <w:rsid w:val="00446278"/>
    <w:rsid w:val="0044675A"/>
    <w:rsid w:val="0044685C"/>
    <w:rsid w:val="0044693A"/>
    <w:rsid w:val="00446A16"/>
    <w:rsid w:val="00446C9C"/>
    <w:rsid w:val="00447270"/>
    <w:rsid w:val="004472D8"/>
    <w:rsid w:val="00447FC4"/>
    <w:rsid w:val="00450123"/>
    <w:rsid w:val="00450254"/>
    <w:rsid w:val="004502A5"/>
    <w:rsid w:val="00450344"/>
    <w:rsid w:val="00450AB8"/>
    <w:rsid w:val="00450D23"/>
    <w:rsid w:val="004511F3"/>
    <w:rsid w:val="00451711"/>
    <w:rsid w:val="00451DEE"/>
    <w:rsid w:val="0045253B"/>
    <w:rsid w:val="0045256F"/>
    <w:rsid w:val="00452B37"/>
    <w:rsid w:val="00452D95"/>
    <w:rsid w:val="00452DB1"/>
    <w:rsid w:val="00452DBB"/>
    <w:rsid w:val="00453050"/>
    <w:rsid w:val="00453120"/>
    <w:rsid w:val="0045387F"/>
    <w:rsid w:val="00453A71"/>
    <w:rsid w:val="00453B61"/>
    <w:rsid w:val="00453BA3"/>
    <w:rsid w:val="00453BC9"/>
    <w:rsid w:val="00453C78"/>
    <w:rsid w:val="00453CAD"/>
    <w:rsid w:val="00453DB7"/>
    <w:rsid w:val="00453FE1"/>
    <w:rsid w:val="0045414C"/>
    <w:rsid w:val="00454207"/>
    <w:rsid w:val="00454ED3"/>
    <w:rsid w:val="00454F26"/>
    <w:rsid w:val="00455270"/>
    <w:rsid w:val="004552DA"/>
    <w:rsid w:val="00455629"/>
    <w:rsid w:val="0045579F"/>
    <w:rsid w:val="004557B9"/>
    <w:rsid w:val="00455984"/>
    <w:rsid w:val="00455AEA"/>
    <w:rsid w:val="00456B81"/>
    <w:rsid w:val="00456BBD"/>
    <w:rsid w:val="00456E02"/>
    <w:rsid w:val="00456FAD"/>
    <w:rsid w:val="00456FD4"/>
    <w:rsid w:val="0045759A"/>
    <w:rsid w:val="004576E2"/>
    <w:rsid w:val="00457AE0"/>
    <w:rsid w:val="00457CFA"/>
    <w:rsid w:val="00457D87"/>
    <w:rsid w:val="004601B1"/>
    <w:rsid w:val="004605EE"/>
    <w:rsid w:val="00460D47"/>
    <w:rsid w:val="0046140C"/>
    <w:rsid w:val="00461479"/>
    <w:rsid w:val="00461719"/>
    <w:rsid w:val="004617F1"/>
    <w:rsid w:val="0046193A"/>
    <w:rsid w:val="0046298C"/>
    <w:rsid w:val="00462ABD"/>
    <w:rsid w:val="00462B54"/>
    <w:rsid w:val="00462BF1"/>
    <w:rsid w:val="00462BFD"/>
    <w:rsid w:val="0046364A"/>
    <w:rsid w:val="004636DB"/>
    <w:rsid w:val="004642D9"/>
    <w:rsid w:val="004642EB"/>
    <w:rsid w:val="00464860"/>
    <w:rsid w:val="0046493F"/>
    <w:rsid w:val="00464BEE"/>
    <w:rsid w:val="00464C2D"/>
    <w:rsid w:val="00464D09"/>
    <w:rsid w:val="00464FB3"/>
    <w:rsid w:val="00465096"/>
    <w:rsid w:val="004652C0"/>
    <w:rsid w:val="0046548C"/>
    <w:rsid w:val="0046567A"/>
    <w:rsid w:val="004657B3"/>
    <w:rsid w:val="0046585F"/>
    <w:rsid w:val="00465D8B"/>
    <w:rsid w:val="00465E81"/>
    <w:rsid w:val="00465FA8"/>
    <w:rsid w:val="00466281"/>
    <w:rsid w:val="00466521"/>
    <w:rsid w:val="00466C6B"/>
    <w:rsid w:val="00467183"/>
    <w:rsid w:val="004671B1"/>
    <w:rsid w:val="00467311"/>
    <w:rsid w:val="00467717"/>
    <w:rsid w:val="00467A5F"/>
    <w:rsid w:val="00467C1A"/>
    <w:rsid w:val="00467D73"/>
    <w:rsid w:val="00467E64"/>
    <w:rsid w:val="004700D9"/>
    <w:rsid w:val="0047015E"/>
    <w:rsid w:val="004701EF"/>
    <w:rsid w:val="0047024F"/>
    <w:rsid w:val="0047042A"/>
    <w:rsid w:val="0047055F"/>
    <w:rsid w:val="00470670"/>
    <w:rsid w:val="0047087B"/>
    <w:rsid w:val="00470AE3"/>
    <w:rsid w:val="00470C0C"/>
    <w:rsid w:val="00470D8B"/>
    <w:rsid w:val="00470DCF"/>
    <w:rsid w:val="00470EDB"/>
    <w:rsid w:val="00471125"/>
    <w:rsid w:val="004715C7"/>
    <w:rsid w:val="0047194D"/>
    <w:rsid w:val="0047197B"/>
    <w:rsid w:val="00472469"/>
    <w:rsid w:val="00472518"/>
    <w:rsid w:val="0047296B"/>
    <w:rsid w:val="00472C4E"/>
    <w:rsid w:val="00472D1E"/>
    <w:rsid w:val="0047332A"/>
    <w:rsid w:val="00473354"/>
    <w:rsid w:val="00473844"/>
    <w:rsid w:val="00473EB4"/>
    <w:rsid w:val="00474268"/>
    <w:rsid w:val="004743DA"/>
    <w:rsid w:val="00474639"/>
    <w:rsid w:val="0047467E"/>
    <w:rsid w:val="00474771"/>
    <w:rsid w:val="004747D5"/>
    <w:rsid w:val="00474A5C"/>
    <w:rsid w:val="00474DD1"/>
    <w:rsid w:val="00474EEC"/>
    <w:rsid w:val="00474FCD"/>
    <w:rsid w:val="0047575F"/>
    <w:rsid w:val="00475B98"/>
    <w:rsid w:val="00476533"/>
    <w:rsid w:val="00476C30"/>
    <w:rsid w:val="00476DAC"/>
    <w:rsid w:val="00476DF8"/>
    <w:rsid w:val="0047701A"/>
    <w:rsid w:val="004770C1"/>
    <w:rsid w:val="0047741C"/>
    <w:rsid w:val="0047742E"/>
    <w:rsid w:val="004777B7"/>
    <w:rsid w:val="00477B5B"/>
    <w:rsid w:val="00477B90"/>
    <w:rsid w:val="00477C22"/>
    <w:rsid w:val="00480004"/>
    <w:rsid w:val="0048051B"/>
    <w:rsid w:val="004808E8"/>
    <w:rsid w:val="00480BC1"/>
    <w:rsid w:val="00480D2F"/>
    <w:rsid w:val="00480FB3"/>
    <w:rsid w:val="00481B79"/>
    <w:rsid w:val="00482044"/>
    <w:rsid w:val="00482421"/>
    <w:rsid w:val="004825D8"/>
    <w:rsid w:val="00482D77"/>
    <w:rsid w:val="0048358D"/>
    <w:rsid w:val="0048385E"/>
    <w:rsid w:val="00483E1F"/>
    <w:rsid w:val="0048437D"/>
    <w:rsid w:val="004845FC"/>
    <w:rsid w:val="00484639"/>
    <w:rsid w:val="00484819"/>
    <w:rsid w:val="00484E1D"/>
    <w:rsid w:val="00484E5E"/>
    <w:rsid w:val="004852D4"/>
    <w:rsid w:val="00485396"/>
    <w:rsid w:val="004853C4"/>
    <w:rsid w:val="0048568F"/>
    <w:rsid w:val="004856C8"/>
    <w:rsid w:val="004856DE"/>
    <w:rsid w:val="00485746"/>
    <w:rsid w:val="00485E14"/>
    <w:rsid w:val="00485FC2"/>
    <w:rsid w:val="00486181"/>
    <w:rsid w:val="0048662A"/>
    <w:rsid w:val="004868D8"/>
    <w:rsid w:val="00486C3F"/>
    <w:rsid w:val="00486D2B"/>
    <w:rsid w:val="00486F04"/>
    <w:rsid w:val="004871E4"/>
    <w:rsid w:val="00487797"/>
    <w:rsid w:val="00487CC9"/>
    <w:rsid w:val="00487CD2"/>
    <w:rsid w:val="00490F7E"/>
    <w:rsid w:val="00491247"/>
    <w:rsid w:val="00491A9F"/>
    <w:rsid w:val="00491E13"/>
    <w:rsid w:val="0049287A"/>
    <w:rsid w:val="00492EBE"/>
    <w:rsid w:val="00492F57"/>
    <w:rsid w:val="0049303C"/>
    <w:rsid w:val="004934C1"/>
    <w:rsid w:val="004936B0"/>
    <w:rsid w:val="00493829"/>
    <w:rsid w:val="00493B58"/>
    <w:rsid w:val="00494238"/>
    <w:rsid w:val="00494416"/>
    <w:rsid w:val="00494595"/>
    <w:rsid w:val="00494B40"/>
    <w:rsid w:val="00494C3D"/>
    <w:rsid w:val="00494F30"/>
    <w:rsid w:val="004951E7"/>
    <w:rsid w:val="00495741"/>
    <w:rsid w:val="00495D27"/>
    <w:rsid w:val="00495EBD"/>
    <w:rsid w:val="00496247"/>
    <w:rsid w:val="004963D9"/>
    <w:rsid w:val="00496A5A"/>
    <w:rsid w:val="00496CF9"/>
    <w:rsid w:val="00496D61"/>
    <w:rsid w:val="00496EA3"/>
    <w:rsid w:val="0049710C"/>
    <w:rsid w:val="004971CC"/>
    <w:rsid w:val="00497418"/>
    <w:rsid w:val="0049753F"/>
    <w:rsid w:val="00497D13"/>
    <w:rsid w:val="00497E3F"/>
    <w:rsid w:val="004A0E23"/>
    <w:rsid w:val="004A1274"/>
    <w:rsid w:val="004A1605"/>
    <w:rsid w:val="004A16C5"/>
    <w:rsid w:val="004A1C98"/>
    <w:rsid w:val="004A1DA1"/>
    <w:rsid w:val="004A1EA2"/>
    <w:rsid w:val="004A21A0"/>
    <w:rsid w:val="004A21BF"/>
    <w:rsid w:val="004A28F8"/>
    <w:rsid w:val="004A29A4"/>
    <w:rsid w:val="004A2A7A"/>
    <w:rsid w:val="004A2EDA"/>
    <w:rsid w:val="004A35CF"/>
    <w:rsid w:val="004A368F"/>
    <w:rsid w:val="004A36C8"/>
    <w:rsid w:val="004A3B5B"/>
    <w:rsid w:val="004A42E5"/>
    <w:rsid w:val="004A4314"/>
    <w:rsid w:val="004A47A4"/>
    <w:rsid w:val="004A4AE5"/>
    <w:rsid w:val="004A4CDE"/>
    <w:rsid w:val="004A4EFA"/>
    <w:rsid w:val="004A5430"/>
    <w:rsid w:val="004A56E7"/>
    <w:rsid w:val="004A59EF"/>
    <w:rsid w:val="004A5A36"/>
    <w:rsid w:val="004A5AF3"/>
    <w:rsid w:val="004A5B90"/>
    <w:rsid w:val="004A5DB3"/>
    <w:rsid w:val="004A61C9"/>
    <w:rsid w:val="004A6453"/>
    <w:rsid w:val="004A6800"/>
    <w:rsid w:val="004A69E3"/>
    <w:rsid w:val="004A6C88"/>
    <w:rsid w:val="004A746B"/>
    <w:rsid w:val="004A7703"/>
    <w:rsid w:val="004A7871"/>
    <w:rsid w:val="004A7C2E"/>
    <w:rsid w:val="004A7DBD"/>
    <w:rsid w:val="004A7E75"/>
    <w:rsid w:val="004B017D"/>
    <w:rsid w:val="004B04F5"/>
    <w:rsid w:val="004B0578"/>
    <w:rsid w:val="004B05F0"/>
    <w:rsid w:val="004B0D06"/>
    <w:rsid w:val="004B11FE"/>
    <w:rsid w:val="004B12B5"/>
    <w:rsid w:val="004B151E"/>
    <w:rsid w:val="004B1745"/>
    <w:rsid w:val="004B183C"/>
    <w:rsid w:val="004B1B1E"/>
    <w:rsid w:val="004B1B9C"/>
    <w:rsid w:val="004B1FB7"/>
    <w:rsid w:val="004B224D"/>
    <w:rsid w:val="004B242C"/>
    <w:rsid w:val="004B27F0"/>
    <w:rsid w:val="004B2956"/>
    <w:rsid w:val="004B2ACF"/>
    <w:rsid w:val="004B2C1D"/>
    <w:rsid w:val="004B2D11"/>
    <w:rsid w:val="004B2FCB"/>
    <w:rsid w:val="004B3089"/>
    <w:rsid w:val="004B3326"/>
    <w:rsid w:val="004B332F"/>
    <w:rsid w:val="004B3687"/>
    <w:rsid w:val="004B3794"/>
    <w:rsid w:val="004B3A06"/>
    <w:rsid w:val="004B3AA6"/>
    <w:rsid w:val="004B4180"/>
    <w:rsid w:val="004B4485"/>
    <w:rsid w:val="004B44E1"/>
    <w:rsid w:val="004B4628"/>
    <w:rsid w:val="004B494D"/>
    <w:rsid w:val="004B4C50"/>
    <w:rsid w:val="004B4D74"/>
    <w:rsid w:val="004B5052"/>
    <w:rsid w:val="004B50C1"/>
    <w:rsid w:val="004B56B2"/>
    <w:rsid w:val="004B587D"/>
    <w:rsid w:val="004B58A7"/>
    <w:rsid w:val="004B58E5"/>
    <w:rsid w:val="004B6A5A"/>
    <w:rsid w:val="004B6DE9"/>
    <w:rsid w:val="004B6F26"/>
    <w:rsid w:val="004B71D7"/>
    <w:rsid w:val="004B72A2"/>
    <w:rsid w:val="004B72D9"/>
    <w:rsid w:val="004B746A"/>
    <w:rsid w:val="004C0373"/>
    <w:rsid w:val="004C0531"/>
    <w:rsid w:val="004C13DF"/>
    <w:rsid w:val="004C1F9C"/>
    <w:rsid w:val="004C1FC9"/>
    <w:rsid w:val="004C2085"/>
    <w:rsid w:val="004C2321"/>
    <w:rsid w:val="004C2833"/>
    <w:rsid w:val="004C2D57"/>
    <w:rsid w:val="004C2EBC"/>
    <w:rsid w:val="004C2EE4"/>
    <w:rsid w:val="004C308D"/>
    <w:rsid w:val="004C314A"/>
    <w:rsid w:val="004C314D"/>
    <w:rsid w:val="004C327D"/>
    <w:rsid w:val="004C34E1"/>
    <w:rsid w:val="004C3FDC"/>
    <w:rsid w:val="004C42C5"/>
    <w:rsid w:val="004C479F"/>
    <w:rsid w:val="004C4CD1"/>
    <w:rsid w:val="004C526D"/>
    <w:rsid w:val="004C59F0"/>
    <w:rsid w:val="004C5BC0"/>
    <w:rsid w:val="004C5F68"/>
    <w:rsid w:val="004C5FB0"/>
    <w:rsid w:val="004C6027"/>
    <w:rsid w:val="004C650F"/>
    <w:rsid w:val="004C6532"/>
    <w:rsid w:val="004C65BE"/>
    <w:rsid w:val="004C662F"/>
    <w:rsid w:val="004C6970"/>
    <w:rsid w:val="004C69B7"/>
    <w:rsid w:val="004C71DD"/>
    <w:rsid w:val="004C7399"/>
    <w:rsid w:val="004C7B3C"/>
    <w:rsid w:val="004C7E83"/>
    <w:rsid w:val="004C7FAC"/>
    <w:rsid w:val="004D00E6"/>
    <w:rsid w:val="004D01D6"/>
    <w:rsid w:val="004D01E5"/>
    <w:rsid w:val="004D04C4"/>
    <w:rsid w:val="004D0934"/>
    <w:rsid w:val="004D09DA"/>
    <w:rsid w:val="004D0C60"/>
    <w:rsid w:val="004D0D38"/>
    <w:rsid w:val="004D1A94"/>
    <w:rsid w:val="004D1D24"/>
    <w:rsid w:val="004D1D73"/>
    <w:rsid w:val="004D1E07"/>
    <w:rsid w:val="004D2303"/>
    <w:rsid w:val="004D2586"/>
    <w:rsid w:val="004D27DB"/>
    <w:rsid w:val="004D28D1"/>
    <w:rsid w:val="004D2E4D"/>
    <w:rsid w:val="004D3126"/>
    <w:rsid w:val="004D32AC"/>
    <w:rsid w:val="004D38E9"/>
    <w:rsid w:val="004D39C2"/>
    <w:rsid w:val="004D3BDA"/>
    <w:rsid w:val="004D3D3B"/>
    <w:rsid w:val="004D3E2C"/>
    <w:rsid w:val="004D461C"/>
    <w:rsid w:val="004D4AD6"/>
    <w:rsid w:val="004D4EAA"/>
    <w:rsid w:val="004D4FC8"/>
    <w:rsid w:val="004D50A4"/>
    <w:rsid w:val="004D5110"/>
    <w:rsid w:val="004D52BB"/>
    <w:rsid w:val="004D553D"/>
    <w:rsid w:val="004D5543"/>
    <w:rsid w:val="004D569F"/>
    <w:rsid w:val="004D5A31"/>
    <w:rsid w:val="004D5A5C"/>
    <w:rsid w:val="004D5AB7"/>
    <w:rsid w:val="004D5DEB"/>
    <w:rsid w:val="004D603B"/>
    <w:rsid w:val="004D6367"/>
    <w:rsid w:val="004D65E8"/>
    <w:rsid w:val="004D67A4"/>
    <w:rsid w:val="004D6A64"/>
    <w:rsid w:val="004D6CC5"/>
    <w:rsid w:val="004D6ED7"/>
    <w:rsid w:val="004D6F4A"/>
    <w:rsid w:val="004D7053"/>
    <w:rsid w:val="004D7176"/>
    <w:rsid w:val="004D71D1"/>
    <w:rsid w:val="004D7C1A"/>
    <w:rsid w:val="004D7CD3"/>
    <w:rsid w:val="004E0233"/>
    <w:rsid w:val="004E0453"/>
    <w:rsid w:val="004E0B7E"/>
    <w:rsid w:val="004E0F47"/>
    <w:rsid w:val="004E0F8A"/>
    <w:rsid w:val="004E17C8"/>
    <w:rsid w:val="004E20C2"/>
    <w:rsid w:val="004E20CD"/>
    <w:rsid w:val="004E2E06"/>
    <w:rsid w:val="004E2F2C"/>
    <w:rsid w:val="004E31A2"/>
    <w:rsid w:val="004E31FF"/>
    <w:rsid w:val="004E34DF"/>
    <w:rsid w:val="004E352A"/>
    <w:rsid w:val="004E3BFC"/>
    <w:rsid w:val="004E3DDC"/>
    <w:rsid w:val="004E3EC8"/>
    <w:rsid w:val="004E403C"/>
    <w:rsid w:val="004E4412"/>
    <w:rsid w:val="004E450A"/>
    <w:rsid w:val="004E497B"/>
    <w:rsid w:val="004E498C"/>
    <w:rsid w:val="004E50A3"/>
    <w:rsid w:val="004E50A7"/>
    <w:rsid w:val="004E5292"/>
    <w:rsid w:val="004E558C"/>
    <w:rsid w:val="004E562F"/>
    <w:rsid w:val="004E5682"/>
    <w:rsid w:val="004E5D86"/>
    <w:rsid w:val="004E5FE8"/>
    <w:rsid w:val="004E61DC"/>
    <w:rsid w:val="004E61E7"/>
    <w:rsid w:val="004E6392"/>
    <w:rsid w:val="004E64C7"/>
    <w:rsid w:val="004E6599"/>
    <w:rsid w:val="004E662B"/>
    <w:rsid w:val="004E665C"/>
    <w:rsid w:val="004E691B"/>
    <w:rsid w:val="004E69E9"/>
    <w:rsid w:val="004E69F2"/>
    <w:rsid w:val="004E6C31"/>
    <w:rsid w:val="004E6D8F"/>
    <w:rsid w:val="004E6DF5"/>
    <w:rsid w:val="004E6EEB"/>
    <w:rsid w:val="004E725B"/>
    <w:rsid w:val="004E7432"/>
    <w:rsid w:val="004E7810"/>
    <w:rsid w:val="004E7A74"/>
    <w:rsid w:val="004F0B57"/>
    <w:rsid w:val="004F0BDF"/>
    <w:rsid w:val="004F0EDB"/>
    <w:rsid w:val="004F111C"/>
    <w:rsid w:val="004F169A"/>
    <w:rsid w:val="004F18CD"/>
    <w:rsid w:val="004F1BDC"/>
    <w:rsid w:val="004F1E9E"/>
    <w:rsid w:val="004F1F11"/>
    <w:rsid w:val="004F204D"/>
    <w:rsid w:val="004F2069"/>
    <w:rsid w:val="004F2225"/>
    <w:rsid w:val="004F2246"/>
    <w:rsid w:val="004F224D"/>
    <w:rsid w:val="004F266F"/>
    <w:rsid w:val="004F2A8D"/>
    <w:rsid w:val="004F3044"/>
    <w:rsid w:val="004F3347"/>
    <w:rsid w:val="004F34A1"/>
    <w:rsid w:val="004F3554"/>
    <w:rsid w:val="004F3F35"/>
    <w:rsid w:val="004F40B1"/>
    <w:rsid w:val="004F40E8"/>
    <w:rsid w:val="004F41E0"/>
    <w:rsid w:val="004F4322"/>
    <w:rsid w:val="004F4C70"/>
    <w:rsid w:val="004F4F20"/>
    <w:rsid w:val="004F513C"/>
    <w:rsid w:val="004F57ED"/>
    <w:rsid w:val="004F586E"/>
    <w:rsid w:val="004F58EA"/>
    <w:rsid w:val="004F5B51"/>
    <w:rsid w:val="004F5C1D"/>
    <w:rsid w:val="004F5CA3"/>
    <w:rsid w:val="004F5DBB"/>
    <w:rsid w:val="004F5DF8"/>
    <w:rsid w:val="004F5E56"/>
    <w:rsid w:val="004F5F90"/>
    <w:rsid w:val="004F61CF"/>
    <w:rsid w:val="004F6274"/>
    <w:rsid w:val="004F62C4"/>
    <w:rsid w:val="004F6461"/>
    <w:rsid w:val="004F64AE"/>
    <w:rsid w:val="004F6CC8"/>
    <w:rsid w:val="004F6E96"/>
    <w:rsid w:val="004F70E9"/>
    <w:rsid w:val="004F71D5"/>
    <w:rsid w:val="004F71DD"/>
    <w:rsid w:val="004F72AC"/>
    <w:rsid w:val="004F77E4"/>
    <w:rsid w:val="00500317"/>
    <w:rsid w:val="00500670"/>
    <w:rsid w:val="00500697"/>
    <w:rsid w:val="0050081F"/>
    <w:rsid w:val="005009D9"/>
    <w:rsid w:val="005011FE"/>
    <w:rsid w:val="00501231"/>
    <w:rsid w:val="005015D8"/>
    <w:rsid w:val="005019B6"/>
    <w:rsid w:val="00501B09"/>
    <w:rsid w:val="00501C63"/>
    <w:rsid w:val="00501D6B"/>
    <w:rsid w:val="00501E30"/>
    <w:rsid w:val="00501F0A"/>
    <w:rsid w:val="00501FDE"/>
    <w:rsid w:val="0050213E"/>
    <w:rsid w:val="00502143"/>
    <w:rsid w:val="0050219E"/>
    <w:rsid w:val="005022CD"/>
    <w:rsid w:val="00502BDA"/>
    <w:rsid w:val="00502CFC"/>
    <w:rsid w:val="00502DD4"/>
    <w:rsid w:val="00502E57"/>
    <w:rsid w:val="00503830"/>
    <w:rsid w:val="00503D2F"/>
    <w:rsid w:val="005040A9"/>
    <w:rsid w:val="00504220"/>
    <w:rsid w:val="005042C6"/>
    <w:rsid w:val="005046B2"/>
    <w:rsid w:val="005047A3"/>
    <w:rsid w:val="00504A7D"/>
    <w:rsid w:val="00504BFC"/>
    <w:rsid w:val="00505677"/>
    <w:rsid w:val="005058D4"/>
    <w:rsid w:val="00505CCB"/>
    <w:rsid w:val="00505CCC"/>
    <w:rsid w:val="00505D5A"/>
    <w:rsid w:val="0050636B"/>
    <w:rsid w:val="00506878"/>
    <w:rsid w:val="00507537"/>
    <w:rsid w:val="0050792A"/>
    <w:rsid w:val="00507980"/>
    <w:rsid w:val="00507AD6"/>
    <w:rsid w:val="00507BAF"/>
    <w:rsid w:val="00510AD2"/>
    <w:rsid w:val="00510F20"/>
    <w:rsid w:val="00510FBE"/>
    <w:rsid w:val="0051116F"/>
    <w:rsid w:val="00511683"/>
    <w:rsid w:val="005119B1"/>
    <w:rsid w:val="00511A34"/>
    <w:rsid w:val="00511DD3"/>
    <w:rsid w:val="00511ED0"/>
    <w:rsid w:val="00512029"/>
    <w:rsid w:val="00512031"/>
    <w:rsid w:val="00512207"/>
    <w:rsid w:val="005122F8"/>
    <w:rsid w:val="0051235C"/>
    <w:rsid w:val="00512A5E"/>
    <w:rsid w:val="00512AB6"/>
    <w:rsid w:val="00512B3E"/>
    <w:rsid w:val="00513282"/>
    <w:rsid w:val="00513706"/>
    <w:rsid w:val="00513743"/>
    <w:rsid w:val="00513FDC"/>
    <w:rsid w:val="0051425A"/>
    <w:rsid w:val="005143DA"/>
    <w:rsid w:val="005145B1"/>
    <w:rsid w:val="00514620"/>
    <w:rsid w:val="00514827"/>
    <w:rsid w:val="0051494B"/>
    <w:rsid w:val="00514CCA"/>
    <w:rsid w:val="00515083"/>
    <w:rsid w:val="005153B4"/>
    <w:rsid w:val="005153E0"/>
    <w:rsid w:val="005156CC"/>
    <w:rsid w:val="00515A89"/>
    <w:rsid w:val="00515E25"/>
    <w:rsid w:val="00515E64"/>
    <w:rsid w:val="00516011"/>
    <w:rsid w:val="00516409"/>
    <w:rsid w:val="00516784"/>
    <w:rsid w:val="005167C9"/>
    <w:rsid w:val="00516E44"/>
    <w:rsid w:val="005177B5"/>
    <w:rsid w:val="00517A55"/>
    <w:rsid w:val="00517B93"/>
    <w:rsid w:val="00520469"/>
    <w:rsid w:val="00520C57"/>
    <w:rsid w:val="00520FA9"/>
    <w:rsid w:val="0052192D"/>
    <w:rsid w:val="00521B97"/>
    <w:rsid w:val="0052209A"/>
    <w:rsid w:val="00522448"/>
    <w:rsid w:val="0052286F"/>
    <w:rsid w:val="00522B02"/>
    <w:rsid w:val="005234C0"/>
    <w:rsid w:val="00523723"/>
    <w:rsid w:val="00524180"/>
    <w:rsid w:val="005241D3"/>
    <w:rsid w:val="005244AE"/>
    <w:rsid w:val="00524751"/>
    <w:rsid w:val="005247F6"/>
    <w:rsid w:val="0052482F"/>
    <w:rsid w:val="00524B70"/>
    <w:rsid w:val="00524EDF"/>
    <w:rsid w:val="00524EEC"/>
    <w:rsid w:val="005250D7"/>
    <w:rsid w:val="00525469"/>
    <w:rsid w:val="00525AC9"/>
    <w:rsid w:val="00525C2B"/>
    <w:rsid w:val="00526275"/>
    <w:rsid w:val="00526439"/>
    <w:rsid w:val="00526447"/>
    <w:rsid w:val="0052669D"/>
    <w:rsid w:val="005266F7"/>
    <w:rsid w:val="005268CF"/>
    <w:rsid w:val="005269BB"/>
    <w:rsid w:val="00526DCD"/>
    <w:rsid w:val="005270F9"/>
    <w:rsid w:val="005274F6"/>
    <w:rsid w:val="005276AF"/>
    <w:rsid w:val="00527F73"/>
    <w:rsid w:val="0053024B"/>
    <w:rsid w:val="0053034A"/>
    <w:rsid w:val="00530558"/>
    <w:rsid w:val="00530662"/>
    <w:rsid w:val="00530D3D"/>
    <w:rsid w:val="00530D80"/>
    <w:rsid w:val="00530F48"/>
    <w:rsid w:val="005310DB"/>
    <w:rsid w:val="00531136"/>
    <w:rsid w:val="005312D7"/>
    <w:rsid w:val="0053197E"/>
    <w:rsid w:val="005319A6"/>
    <w:rsid w:val="00531B4F"/>
    <w:rsid w:val="00532317"/>
    <w:rsid w:val="005323A9"/>
    <w:rsid w:val="005327ED"/>
    <w:rsid w:val="005329E9"/>
    <w:rsid w:val="00532EF2"/>
    <w:rsid w:val="00532F6A"/>
    <w:rsid w:val="0053323A"/>
    <w:rsid w:val="0053369F"/>
    <w:rsid w:val="00533A37"/>
    <w:rsid w:val="00533F8A"/>
    <w:rsid w:val="00534648"/>
    <w:rsid w:val="00534A1E"/>
    <w:rsid w:val="00534E42"/>
    <w:rsid w:val="00534F1D"/>
    <w:rsid w:val="005352B5"/>
    <w:rsid w:val="005353BD"/>
    <w:rsid w:val="00535C23"/>
    <w:rsid w:val="00535F0C"/>
    <w:rsid w:val="0053607E"/>
    <w:rsid w:val="005361F8"/>
    <w:rsid w:val="0053623B"/>
    <w:rsid w:val="0053631F"/>
    <w:rsid w:val="0053639F"/>
    <w:rsid w:val="0053653D"/>
    <w:rsid w:val="00536613"/>
    <w:rsid w:val="00536994"/>
    <w:rsid w:val="00536C2C"/>
    <w:rsid w:val="00536D59"/>
    <w:rsid w:val="00536DA1"/>
    <w:rsid w:val="005372AD"/>
    <w:rsid w:val="005373BF"/>
    <w:rsid w:val="00537739"/>
    <w:rsid w:val="00537A9F"/>
    <w:rsid w:val="00537B26"/>
    <w:rsid w:val="00537E36"/>
    <w:rsid w:val="00537E81"/>
    <w:rsid w:val="005403E6"/>
    <w:rsid w:val="00540762"/>
    <w:rsid w:val="00540913"/>
    <w:rsid w:val="00540948"/>
    <w:rsid w:val="005417D5"/>
    <w:rsid w:val="005418D8"/>
    <w:rsid w:val="00541A2D"/>
    <w:rsid w:val="00541B1D"/>
    <w:rsid w:val="00541DD7"/>
    <w:rsid w:val="005420B3"/>
    <w:rsid w:val="00542615"/>
    <w:rsid w:val="005426EA"/>
    <w:rsid w:val="00542FAA"/>
    <w:rsid w:val="005434C7"/>
    <w:rsid w:val="0054358B"/>
    <w:rsid w:val="00543A04"/>
    <w:rsid w:val="00543AEA"/>
    <w:rsid w:val="00543D00"/>
    <w:rsid w:val="005442EE"/>
    <w:rsid w:val="00544541"/>
    <w:rsid w:val="005447AA"/>
    <w:rsid w:val="00544AEA"/>
    <w:rsid w:val="005453BD"/>
    <w:rsid w:val="005454BB"/>
    <w:rsid w:val="005454E4"/>
    <w:rsid w:val="00545500"/>
    <w:rsid w:val="0054551C"/>
    <w:rsid w:val="0054556C"/>
    <w:rsid w:val="005457F6"/>
    <w:rsid w:val="00545BCE"/>
    <w:rsid w:val="00545FF4"/>
    <w:rsid w:val="005460EE"/>
    <w:rsid w:val="005465B2"/>
    <w:rsid w:val="0054665B"/>
    <w:rsid w:val="00546768"/>
    <w:rsid w:val="00546DB5"/>
    <w:rsid w:val="00546FEC"/>
    <w:rsid w:val="00547078"/>
    <w:rsid w:val="005473F9"/>
    <w:rsid w:val="005475AD"/>
    <w:rsid w:val="00547702"/>
    <w:rsid w:val="005477BF"/>
    <w:rsid w:val="00550378"/>
    <w:rsid w:val="005506DB"/>
    <w:rsid w:val="005508D7"/>
    <w:rsid w:val="00550B2E"/>
    <w:rsid w:val="00550EA0"/>
    <w:rsid w:val="0055110F"/>
    <w:rsid w:val="00551308"/>
    <w:rsid w:val="00551443"/>
    <w:rsid w:val="00551714"/>
    <w:rsid w:val="005517F1"/>
    <w:rsid w:val="00551A57"/>
    <w:rsid w:val="00551FFA"/>
    <w:rsid w:val="00552221"/>
    <w:rsid w:val="0055256A"/>
    <w:rsid w:val="00552767"/>
    <w:rsid w:val="0055278C"/>
    <w:rsid w:val="0055296E"/>
    <w:rsid w:val="00552A07"/>
    <w:rsid w:val="00552C9B"/>
    <w:rsid w:val="00552F6B"/>
    <w:rsid w:val="005530EB"/>
    <w:rsid w:val="0055376D"/>
    <w:rsid w:val="0055392F"/>
    <w:rsid w:val="005546C1"/>
    <w:rsid w:val="005546E5"/>
    <w:rsid w:val="00554C4D"/>
    <w:rsid w:val="0055508B"/>
    <w:rsid w:val="00555155"/>
    <w:rsid w:val="005553DF"/>
    <w:rsid w:val="005554BF"/>
    <w:rsid w:val="00555796"/>
    <w:rsid w:val="00555AA4"/>
    <w:rsid w:val="00555CFC"/>
    <w:rsid w:val="0055621B"/>
    <w:rsid w:val="00556692"/>
    <w:rsid w:val="00556746"/>
    <w:rsid w:val="00556BFB"/>
    <w:rsid w:val="005572EE"/>
    <w:rsid w:val="00557A9D"/>
    <w:rsid w:val="005603D3"/>
    <w:rsid w:val="00560705"/>
    <w:rsid w:val="005609D1"/>
    <w:rsid w:val="00560C8A"/>
    <w:rsid w:val="0056106D"/>
    <w:rsid w:val="00561103"/>
    <w:rsid w:val="005611F1"/>
    <w:rsid w:val="00561256"/>
    <w:rsid w:val="00561291"/>
    <w:rsid w:val="00561336"/>
    <w:rsid w:val="00561A52"/>
    <w:rsid w:val="00561F96"/>
    <w:rsid w:val="005623CA"/>
    <w:rsid w:val="0056276D"/>
    <w:rsid w:val="005629F9"/>
    <w:rsid w:val="00562FE5"/>
    <w:rsid w:val="00563294"/>
    <w:rsid w:val="00563667"/>
    <w:rsid w:val="0056375A"/>
    <w:rsid w:val="005639FE"/>
    <w:rsid w:val="00564AC9"/>
    <w:rsid w:val="00564DD3"/>
    <w:rsid w:val="00564E0F"/>
    <w:rsid w:val="00564FAF"/>
    <w:rsid w:val="005657DB"/>
    <w:rsid w:val="00565EB2"/>
    <w:rsid w:val="005660DE"/>
    <w:rsid w:val="00566117"/>
    <w:rsid w:val="005665C4"/>
    <w:rsid w:val="005666EC"/>
    <w:rsid w:val="005668B4"/>
    <w:rsid w:val="00566E08"/>
    <w:rsid w:val="00567182"/>
    <w:rsid w:val="00567925"/>
    <w:rsid w:val="00567A8A"/>
    <w:rsid w:val="005700D6"/>
    <w:rsid w:val="005700EC"/>
    <w:rsid w:val="005703A4"/>
    <w:rsid w:val="005703B9"/>
    <w:rsid w:val="00570454"/>
    <w:rsid w:val="00570539"/>
    <w:rsid w:val="00570911"/>
    <w:rsid w:val="00570ACB"/>
    <w:rsid w:val="00570B12"/>
    <w:rsid w:val="00570E3B"/>
    <w:rsid w:val="00570E87"/>
    <w:rsid w:val="005717D2"/>
    <w:rsid w:val="00571CFF"/>
    <w:rsid w:val="00571E63"/>
    <w:rsid w:val="00571F4C"/>
    <w:rsid w:val="005721C8"/>
    <w:rsid w:val="005721F2"/>
    <w:rsid w:val="005723C6"/>
    <w:rsid w:val="005724BB"/>
    <w:rsid w:val="00572652"/>
    <w:rsid w:val="00572A3C"/>
    <w:rsid w:val="00572BAD"/>
    <w:rsid w:val="00572D55"/>
    <w:rsid w:val="00573AA9"/>
    <w:rsid w:val="00573BE1"/>
    <w:rsid w:val="00573DDB"/>
    <w:rsid w:val="005743C5"/>
    <w:rsid w:val="005744A8"/>
    <w:rsid w:val="005745AE"/>
    <w:rsid w:val="00574952"/>
    <w:rsid w:val="00574ADD"/>
    <w:rsid w:val="00574F49"/>
    <w:rsid w:val="00575197"/>
    <w:rsid w:val="0057545C"/>
    <w:rsid w:val="00575A60"/>
    <w:rsid w:val="00575CEE"/>
    <w:rsid w:val="00575FE7"/>
    <w:rsid w:val="005760E7"/>
    <w:rsid w:val="005762D0"/>
    <w:rsid w:val="005763F2"/>
    <w:rsid w:val="00576411"/>
    <w:rsid w:val="00576571"/>
    <w:rsid w:val="005766D2"/>
    <w:rsid w:val="00576EC8"/>
    <w:rsid w:val="00576F35"/>
    <w:rsid w:val="00577075"/>
    <w:rsid w:val="00577165"/>
    <w:rsid w:val="005773D8"/>
    <w:rsid w:val="00577576"/>
    <w:rsid w:val="0057789E"/>
    <w:rsid w:val="00577D89"/>
    <w:rsid w:val="00577FDF"/>
    <w:rsid w:val="0058051D"/>
    <w:rsid w:val="00580595"/>
    <w:rsid w:val="00580640"/>
    <w:rsid w:val="005806F0"/>
    <w:rsid w:val="005807D8"/>
    <w:rsid w:val="00580A53"/>
    <w:rsid w:val="00580A9C"/>
    <w:rsid w:val="00580C48"/>
    <w:rsid w:val="00581232"/>
    <w:rsid w:val="00581407"/>
    <w:rsid w:val="005816A8"/>
    <w:rsid w:val="00581AF9"/>
    <w:rsid w:val="0058270E"/>
    <w:rsid w:val="0058282E"/>
    <w:rsid w:val="0058339E"/>
    <w:rsid w:val="00583814"/>
    <w:rsid w:val="0058393F"/>
    <w:rsid w:val="00583A39"/>
    <w:rsid w:val="00583A5B"/>
    <w:rsid w:val="00583A91"/>
    <w:rsid w:val="00583AD3"/>
    <w:rsid w:val="00584AD3"/>
    <w:rsid w:val="00585274"/>
    <w:rsid w:val="00585BE9"/>
    <w:rsid w:val="00586221"/>
    <w:rsid w:val="00586441"/>
    <w:rsid w:val="00586582"/>
    <w:rsid w:val="00586655"/>
    <w:rsid w:val="00586B41"/>
    <w:rsid w:val="005870F5"/>
    <w:rsid w:val="00587123"/>
    <w:rsid w:val="00587141"/>
    <w:rsid w:val="0058770F"/>
    <w:rsid w:val="00587DEA"/>
    <w:rsid w:val="00587FC2"/>
    <w:rsid w:val="00590339"/>
    <w:rsid w:val="0059048B"/>
    <w:rsid w:val="005911BC"/>
    <w:rsid w:val="0059124C"/>
    <w:rsid w:val="00591270"/>
    <w:rsid w:val="005912E5"/>
    <w:rsid w:val="005912EE"/>
    <w:rsid w:val="00591978"/>
    <w:rsid w:val="00591985"/>
    <w:rsid w:val="00591BCD"/>
    <w:rsid w:val="00591C66"/>
    <w:rsid w:val="0059217B"/>
    <w:rsid w:val="0059237A"/>
    <w:rsid w:val="00592724"/>
    <w:rsid w:val="00592766"/>
    <w:rsid w:val="005927FB"/>
    <w:rsid w:val="00592A05"/>
    <w:rsid w:val="00592AE3"/>
    <w:rsid w:val="00592E00"/>
    <w:rsid w:val="0059347F"/>
    <w:rsid w:val="00593D91"/>
    <w:rsid w:val="00593E9A"/>
    <w:rsid w:val="00593F37"/>
    <w:rsid w:val="00594043"/>
    <w:rsid w:val="005940F7"/>
    <w:rsid w:val="005943D6"/>
    <w:rsid w:val="005944A5"/>
    <w:rsid w:val="00594B8C"/>
    <w:rsid w:val="00594B95"/>
    <w:rsid w:val="00594CC4"/>
    <w:rsid w:val="00594F77"/>
    <w:rsid w:val="00594FFC"/>
    <w:rsid w:val="0059518D"/>
    <w:rsid w:val="0059542E"/>
    <w:rsid w:val="00595A19"/>
    <w:rsid w:val="00595CC0"/>
    <w:rsid w:val="00595D0D"/>
    <w:rsid w:val="00595F47"/>
    <w:rsid w:val="00596421"/>
    <w:rsid w:val="005965CE"/>
    <w:rsid w:val="00596B4E"/>
    <w:rsid w:val="00596FBD"/>
    <w:rsid w:val="005970E9"/>
    <w:rsid w:val="005972C3"/>
    <w:rsid w:val="0059774C"/>
    <w:rsid w:val="00597C10"/>
    <w:rsid w:val="00597CE0"/>
    <w:rsid w:val="00597E62"/>
    <w:rsid w:val="005A00E1"/>
    <w:rsid w:val="005A04A1"/>
    <w:rsid w:val="005A04E7"/>
    <w:rsid w:val="005A0BA0"/>
    <w:rsid w:val="005A1100"/>
    <w:rsid w:val="005A17B0"/>
    <w:rsid w:val="005A1E87"/>
    <w:rsid w:val="005A27D6"/>
    <w:rsid w:val="005A2814"/>
    <w:rsid w:val="005A2B70"/>
    <w:rsid w:val="005A309B"/>
    <w:rsid w:val="005A3999"/>
    <w:rsid w:val="005A4083"/>
    <w:rsid w:val="005A41DC"/>
    <w:rsid w:val="005A41EC"/>
    <w:rsid w:val="005A4317"/>
    <w:rsid w:val="005A43D1"/>
    <w:rsid w:val="005A44A4"/>
    <w:rsid w:val="005A460D"/>
    <w:rsid w:val="005A4FA5"/>
    <w:rsid w:val="005A50BF"/>
    <w:rsid w:val="005A5369"/>
    <w:rsid w:val="005A5562"/>
    <w:rsid w:val="005A569D"/>
    <w:rsid w:val="005A5A67"/>
    <w:rsid w:val="005A5C0D"/>
    <w:rsid w:val="005A5CA5"/>
    <w:rsid w:val="005A5E62"/>
    <w:rsid w:val="005A602A"/>
    <w:rsid w:val="005A6F27"/>
    <w:rsid w:val="005A6FFA"/>
    <w:rsid w:val="005A729F"/>
    <w:rsid w:val="005A7331"/>
    <w:rsid w:val="005A7404"/>
    <w:rsid w:val="005A7678"/>
    <w:rsid w:val="005A771F"/>
    <w:rsid w:val="005A799D"/>
    <w:rsid w:val="005A7CC1"/>
    <w:rsid w:val="005B0296"/>
    <w:rsid w:val="005B074B"/>
    <w:rsid w:val="005B07D5"/>
    <w:rsid w:val="005B0957"/>
    <w:rsid w:val="005B09CE"/>
    <w:rsid w:val="005B0DB1"/>
    <w:rsid w:val="005B11A9"/>
    <w:rsid w:val="005B12C1"/>
    <w:rsid w:val="005B1305"/>
    <w:rsid w:val="005B13E3"/>
    <w:rsid w:val="005B14E3"/>
    <w:rsid w:val="005B16D6"/>
    <w:rsid w:val="005B17F0"/>
    <w:rsid w:val="005B1951"/>
    <w:rsid w:val="005B1A42"/>
    <w:rsid w:val="005B1CED"/>
    <w:rsid w:val="005B1D87"/>
    <w:rsid w:val="005B2021"/>
    <w:rsid w:val="005B20FF"/>
    <w:rsid w:val="005B258A"/>
    <w:rsid w:val="005B27EF"/>
    <w:rsid w:val="005B30D7"/>
    <w:rsid w:val="005B33A7"/>
    <w:rsid w:val="005B33C6"/>
    <w:rsid w:val="005B350B"/>
    <w:rsid w:val="005B3790"/>
    <w:rsid w:val="005B3D11"/>
    <w:rsid w:val="005B4321"/>
    <w:rsid w:val="005B461C"/>
    <w:rsid w:val="005B46C1"/>
    <w:rsid w:val="005B47C7"/>
    <w:rsid w:val="005B4A42"/>
    <w:rsid w:val="005B4B93"/>
    <w:rsid w:val="005B4E22"/>
    <w:rsid w:val="005B500A"/>
    <w:rsid w:val="005B516A"/>
    <w:rsid w:val="005B5375"/>
    <w:rsid w:val="005B53F2"/>
    <w:rsid w:val="005B5430"/>
    <w:rsid w:val="005B54DF"/>
    <w:rsid w:val="005B5508"/>
    <w:rsid w:val="005B561B"/>
    <w:rsid w:val="005B5865"/>
    <w:rsid w:val="005B59AF"/>
    <w:rsid w:val="005B5E94"/>
    <w:rsid w:val="005B5F93"/>
    <w:rsid w:val="005B62C7"/>
    <w:rsid w:val="005B6328"/>
    <w:rsid w:val="005B6A6B"/>
    <w:rsid w:val="005B6C64"/>
    <w:rsid w:val="005B6D6A"/>
    <w:rsid w:val="005B6D9B"/>
    <w:rsid w:val="005B6EB7"/>
    <w:rsid w:val="005B713A"/>
    <w:rsid w:val="005B735D"/>
    <w:rsid w:val="005B7641"/>
    <w:rsid w:val="005B775F"/>
    <w:rsid w:val="005B77DF"/>
    <w:rsid w:val="005B79B4"/>
    <w:rsid w:val="005B7B6B"/>
    <w:rsid w:val="005B7B87"/>
    <w:rsid w:val="005B7BF4"/>
    <w:rsid w:val="005B7DA9"/>
    <w:rsid w:val="005B7E50"/>
    <w:rsid w:val="005C014D"/>
    <w:rsid w:val="005C0338"/>
    <w:rsid w:val="005C03CC"/>
    <w:rsid w:val="005C0444"/>
    <w:rsid w:val="005C05E1"/>
    <w:rsid w:val="005C06E8"/>
    <w:rsid w:val="005C0709"/>
    <w:rsid w:val="005C087C"/>
    <w:rsid w:val="005C0C48"/>
    <w:rsid w:val="005C0E04"/>
    <w:rsid w:val="005C0ED0"/>
    <w:rsid w:val="005C1014"/>
    <w:rsid w:val="005C1182"/>
    <w:rsid w:val="005C1CBA"/>
    <w:rsid w:val="005C2007"/>
    <w:rsid w:val="005C25D6"/>
    <w:rsid w:val="005C267D"/>
    <w:rsid w:val="005C28C3"/>
    <w:rsid w:val="005C2950"/>
    <w:rsid w:val="005C2C4D"/>
    <w:rsid w:val="005C2C7D"/>
    <w:rsid w:val="005C2D49"/>
    <w:rsid w:val="005C2FC2"/>
    <w:rsid w:val="005C3252"/>
    <w:rsid w:val="005C341A"/>
    <w:rsid w:val="005C3483"/>
    <w:rsid w:val="005C3A37"/>
    <w:rsid w:val="005C3B7B"/>
    <w:rsid w:val="005C3D75"/>
    <w:rsid w:val="005C3D7F"/>
    <w:rsid w:val="005C41E3"/>
    <w:rsid w:val="005C45CE"/>
    <w:rsid w:val="005C4865"/>
    <w:rsid w:val="005C48B9"/>
    <w:rsid w:val="005C4C3B"/>
    <w:rsid w:val="005C5802"/>
    <w:rsid w:val="005C5924"/>
    <w:rsid w:val="005C5A8F"/>
    <w:rsid w:val="005C5D5F"/>
    <w:rsid w:val="005C69AE"/>
    <w:rsid w:val="005C6AA7"/>
    <w:rsid w:val="005C6B31"/>
    <w:rsid w:val="005C6CDA"/>
    <w:rsid w:val="005C7223"/>
    <w:rsid w:val="005C7812"/>
    <w:rsid w:val="005C7FC8"/>
    <w:rsid w:val="005D00E5"/>
    <w:rsid w:val="005D0267"/>
    <w:rsid w:val="005D0614"/>
    <w:rsid w:val="005D09AD"/>
    <w:rsid w:val="005D1760"/>
    <w:rsid w:val="005D18D8"/>
    <w:rsid w:val="005D1D97"/>
    <w:rsid w:val="005D1DB6"/>
    <w:rsid w:val="005D3411"/>
    <w:rsid w:val="005D354F"/>
    <w:rsid w:val="005D37EB"/>
    <w:rsid w:val="005D3816"/>
    <w:rsid w:val="005D385D"/>
    <w:rsid w:val="005D4614"/>
    <w:rsid w:val="005D49F7"/>
    <w:rsid w:val="005D4F46"/>
    <w:rsid w:val="005D4F60"/>
    <w:rsid w:val="005D5106"/>
    <w:rsid w:val="005D5491"/>
    <w:rsid w:val="005D55A9"/>
    <w:rsid w:val="005D5611"/>
    <w:rsid w:val="005D5797"/>
    <w:rsid w:val="005D5833"/>
    <w:rsid w:val="005D595E"/>
    <w:rsid w:val="005D5C95"/>
    <w:rsid w:val="005D5D40"/>
    <w:rsid w:val="005D658E"/>
    <w:rsid w:val="005D6A8C"/>
    <w:rsid w:val="005D719C"/>
    <w:rsid w:val="005D72C1"/>
    <w:rsid w:val="005D730F"/>
    <w:rsid w:val="005D75CE"/>
    <w:rsid w:val="005D778C"/>
    <w:rsid w:val="005E0193"/>
    <w:rsid w:val="005E044A"/>
    <w:rsid w:val="005E04C8"/>
    <w:rsid w:val="005E06A0"/>
    <w:rsid w:val="005E0AD7"/>
    <w:rsid w:val="005E1195"/>
    <w:rsid w:val="005E1226"/>
    <w:rsid w:val="005E1230"/>
    <w:rsid w:val="005E12F7"/>
    <w:rsid w:val="005E1356"/>
    <w:rsid w:val="005E16BD"/>
    <w:rsid w:val="005E17DA"/>
    <w:rsid w:val="005E1CFC"/>
    <w:rsid w:val="005E1EA1"/>
    <w:rsid w:val="005E22A8"/>
    <w:rsid w:val="005E29C6"/>
    <w:rsid w:val="005E2AB0"/>
    <w:rsid w:val="005E2B8E"/>
    <w:rsid w:val="005E2C94"/>
    <w:rsid w:val="005E2CAF"/>
    <w:rsid w:val="005E2D29"/>
    <w:rsid w:val="005E2D4B"/>
    <w:rsid w:val="005E2E93"/>
    <w:rsid w:val="005E34D9"/>
    <w:rsid w:val="005E37EC"/>
    <w:rsid w:val="005E3D5E"/>
    <w:rsid w:val="005E3E34"/>
    <w:rsid w:val="005E3FDF"/>
    <w:rsid w:val="005E4097"/>
    <w:rsid w:val="005E44ED"/>
    <w:rsid w:val="005E465C"/>
    <w:rsid w:val="005E4AEE"/>
    <w:rsid w:val="005E4C3C"/>
    <w:rsid w:val="005E4DF7"/>
    <w:rsid w:val="005E516A"/>
    <w:rsid w:val="005E55C0"/>
    <w:rsid w:val="005E56B1"/>
    <w:rsid w:val="005E5B3E"/>
    <w:rsid w:val="005E65DB"/>
    <w:rsid w:val="005E666E"/>
    <w:rsid w:val="005E66B1"/>
    <w:rsid w:val="005E67DD"/>
    <w:rsid w:val="005E692D"/>
    <w:rsid w:val="005E6A7E"/>
    <w:rsid w:val="005E6FC2"/>
    <w:rsid w:val="005E706B"/>
    <w:rsid w:val="005E744C"/>
    <w:rsid w:val="005E762E"/>
    <w:rsid w:val="005E7962"/>
    <w:rsid w:val="005E79E3"/>
    <w:rsid w:val="005E7EB8"/>
    <w:rsid w:val="005F00B6"/>
    <w:rsid w:val="005F01D3"/>
    <w:rsid w:val="005F0254"/>
    <w:rsid w:val="005F0493"/>
    <w:rsid w:val="005F0687"/>
    <w:rsid w:val="005F06DA"/>
    <w:rsid w:val="005F0AA0"/>
    <w:rsid w:val="005F0C5A"/>
    <w:rsid w:val="005F0D05"/>
    <w:rsid w:val="005F0D5E"/>
    <w:rsid w:val="005F0D7C"/>
    <w:rsid w:val="005F0F98"/>
    <w:rsid w:val="005F0FD9"/>
    <w:rsid w:val="005F17F6"/>
    <w:rsid w:val="005F1B3A"/>
    <w:rsid w:val="005F1B48"/>
    <w:rsid w:val="005F23EF"/>
    <w:rsid w:val="005F23F8"/>
    <w:rsid w:val="005F25D9"/>
    <w:rsid w:val="005F29B7"/>
    <w:rsid w:val="005F29C9"/>
    <w:rsid w:val="005F2A4C"/>
    <w:rsid w:val="005F2D1F"/>
    <w:rsid w:val="005F3099"/>
    <w:rsid w:val="005F3410"/>
    <w:rsid w:val="005F3494"/>
    <w:rsid w:val="005F39BE"/>
    <w:rsid w:val="005F3C35"/>
    <w:rsid w:val="005F3E69"/>
    <w:rsid w:val="005F3E76"/>
    <w:rsid w:val="005F3F69"/>
    <w:rsid w:val="005F4229"/>
    <w:rsid w:val="005F44C9"/>
    <w:rsid w:val="005F45C3"/>
    <w:rsid w:val="005F4E79"/>
    <w:rsid w:val="005F50F8"/>
    <w:rsid w:val="005F523C"/>
    <w:rsid w:val="005F539E"/>
    <w:rsid w:val="005F576F"/>
    <w:rsid w:val="005F57B9"/>
    <w:rsid w:val="005F57F7"/>
    <w:rsid w:val="005F5BF8"/>
    <w:rsid w:val="005F5CFD"/>
    <w:rsid w:val="005F6291"/>
    <w:rsid w:val="005F65E2"/>
    <w:rsid w:val="005F675C"/>
    <w:rsid w:val="005F6AD2"/>
    <w:rsid w:val="005F6E4E"/>
    <w:rsid w:val="005F6FAC"/>
    <w:rsid w:val="005F73B5"/>
    <w:rsid w:val="005F75E1"/>
    <w:rsid w:val="005F7778"/>
    <w:rsid w:val="005F7AB7"/>
    <w:rsid w:val="005F7D7F"/>
    <w:rsid w:val="005F7F15"/>
    <w:rsid w:val="0060029A"/>
    <w:rsid w:val="00600714"/>
    <w:rsid w:val="006007C7"/>
    <w:rsid w:val="00600A3F"/>
    <w:rsid w:val="00600B02"/>
    <w:rsid w:val="00600E47"/>
    <w:rsid w:val="00600EF8"/>
    <w:rsid w:val="00601460"/>
    <w:rsid w:val="006015AC"/>
    <w:rsid w:val="00601726"/>
    <w:rsid w:val="00601AAA"/>
    <w:rsid w:val="00601FDC"/>
    <w:rsid w:val="0060243C"/>
    <w:rsid w:val="00602833"/>
    <w:rsid w:val="006028FE"/>
    <w:rsid w:val="00603068"/>
    <w:rsid w:val="00603445"/>
    <w:rsid w:val="006037A2"/>
    <w:rsid w:val="00603B5C"/>
    <w:rsid w:val="006040E3"/>
    <w:rsid w:val="00604151"/>
    <w:rsid w:val="00604178"/>
    <w:rsid w:val="006042DB"/>
    <w:rsid w:val="0060528E"/>
    <w:rsid w:val="00605562"/>
    <w:rsid w:val="00605A1C"/>
    <w:rsid w:val="0060631B"/>
    <w:rsid w:val="0060675E"/>
    <w:rsid w:val="00606F4F"/>
    <w:rsid w:val="00606F8F"/>
    <w:rsid w:val="006075A5"/>
    <w:rsid w:val="00607931"/>
    <w:rsid w:val="00607A06"/>
    <w:rsid w:val="00607E39"/>
    <w:rsid w:val="00607F0F"/>
    <w:rsid w:val="0061027E"/>
    <w:rsid w:val="0061064A"/>
    <w:rsid w:val="00610B78"/>
    <w:rsid w:val="00610C0D"/>
    <w:rsid w:val="00610DA8"/>
    <w:rsid w:val="00611203"/>
    <w:rsid w:val="006114E2"/>
    <w:rsid w:val="00611503"/>
    <w:rsid w:val="006118C4"/>
    <w:rsid w:val="00611968"/>
    <w:rsid w:val="00611C20"/>
    <w:rsid w:val="00611CF1"/>
    <w:rsid w:val="00611E7E"/>
    <w:rsid w:val="006121B6"/>
    <w:rsid w:val="0061266E"/>
    <w:rsid w:val="00612AB1"/>
    <w:rsid w:val="00612F53"/>
    <w:rsid w:val="0061393A"/>
    <w:rsid w:val="006139A8"/>
    <w:rsid w:val="006139C3"/>
    <w:rsid w:val="00613D44"/>
    <w:rsid w:val="00613DDE"/>
    <w:rsid w:val="00613DFF"/>
    <w:rsid w:val="0061444E"/>
    <w:rsid w:val="0061447C"/>
    <w:rsid w:val="006144CE"/>
    <w:rsid w:val="00614566"/>
    <w:rsid w:val="00614608"/>
    <w:rsid w:val="0061461F"/>
    <w:rsid w:val="00614D77"/>
    <w:rsid w:val="0061555C"/>
    <w:rsid w:val="006155C3"/>
    <w:rsid w:val="006159C2"/>
    <w:rsid w:val="006164DF"/>
    <w:rsid w:val="00616531"/>
    <w:rsid w:val="00616773"/>
    <w:rsid w:val="006167DA"/>
    <w:rsid w:val="00616B6B"/>
    <w:rsid w:val="006177CC"/>
    <w:rsid w:val="00617D93"/>
    <w:rsid w:val="00617E89"/>
    <w:rsid w:val="006203B5"/>
    <w:rsid w:val="0062084D"/>
    <w:rsid w:val="00620895"/>
    <w:rsid w:val="00620AFF"/>
    <w:rsid w:val="00620B41"/>
    <w:rsid w:val="00621089"/>
    <w:rsid w:val="00621323"/>
    <w:rsid w:val="006215D2"/>
    <w:rsid w:val="006218DD"/>
    <w:rsid w:val="00621A89"/>
    <w:rsid w:val="00621E0B"/>
    <w:rsid w:val="00622322"/>
    <w:rsid w:val="00622391"/>
    <w:rsid w:val="00622607"/>
    <w:rsid w:val="0062287B"/>
    <w:rsid w:val="00622892"/>
    <w:rsid w:val="00622984"/>
    <w:rsid w:val="00622D28"/>
    <w:rsid w:val="00622DFE"/>
    <w:rsid w:val="00623140"/>
    <w:rsid w:val="00623536"/>
    <w:rsid w:val="006238D3"/>
    <w:rsid w:val="00623AA6"/>
    <w:rsid w:val="00623B5F"/>
    <w:rsid w:val="006241AF"/>
    <w:rsid w:val="006242E1"/>
    <w:rsid w:val="0062459C"/>
    <w:rsid w:val="0062475D"/>
    <w:rsid w:val="00624CCF"/>
    <w:rsid w:val="006254F4"/>
    <w:rsid w:val="006258B0"/>
    <w:rsid w:val="00625C00"/>
    <w:rsid w:val="00625C05"/>
    <w:rsid w:val="00625EAF"/>
    <w:rsid w:val="006261A7"/>
    <w:rsid w:val="006262C9"/>
    <w:rsid w:val="006262CA"/>
    <w:rsid w:val="0062639A"/>
    <w:rsid w:val="00626700"/>
    <w:rsid w:val="0062671C"/>
    <w:rsid w:val="006267A2"/>
    <w:rsid w:val="006268B7"/>
    <w:rsid w:val="00626AA8"/>
    <w:rsid w:val="00626C39"/>
    <w:rsid w:val="00626FE6"/>
    <w:rsid w:val="006271F5"/>
    <w:rsid w:val="006274CE"/>
    <w:rsid w:val="0062787C"/>
    <w:rsid w:val="00627910"/>
    <w:rsid w:val="00627C31"/>
    <w:rsid w:val="00627C47"/>
    <w:rsid w:val="0063001B"/>
    <w:rsid w:val="0063032F"/>
    <w:rsid w:val="006305D7"/>
    <w:rsid w:val="00630924"/>
    <w:rsid w:val="00630A08"/>
    <w:rsid w:val="00630EE1"/>
    <w:rsid w:val="00631FBA"/>
    <w:rsid w:val="0063206B"/>
    <w:rsid w:val="00632086"/>
    <w:rsid w:val="006323AF"/>
    <w:rsid w:val="006323ED"/>
    <w:rsid w:val="00632814"/>
    <w:rsid w:val="0063290F"/>
    <w:rsid w:val="00632AEC"/>
    <w:rsid w:val="00632C26"/>
    <w:rsid w:val="00632D85"/>
    <w:rsid w:val="00632DFD"/>
    <w:rsid w:val="00632E32"/>
    <w:rsid w:val="00632E72"/>
    <w:rsid w:val="0063345F"/>
    <w:rsid w:val="006334A9"/>
    <w:rsid w:val="00633538"/>
    <w:rsid w:val="00633896"/>
    <w:rsid w:val="00634571"/>
    <w:rsid w:val="006347B8"/>
    <w:rsid w:val="006348B7"/>
    <w:rsid w:val="00634976"/>
    <w:rsid w:val="00634985"/>
    <w:rsid w:val="00634A2D"/>
    <w:rsid w:val="00634FEC"/>
    <w:rsid w:val="0063503A"/>
    <w:rsid w:val="0063507B"/>
    <w:rsid w:val="00635288"/>
    <w:rsid w:val="006353A9"/>
    <w:rsid w:val="006353BA"/>
    <w:rsid w:val="006356A4"/>
    <w:rsid w:val="00635793"/>
    <w:rsid w:val="006358E1"/>
    <w:rsid w:val="00635942"/>
    <w:rsid w:val="006359ED"/>
    <w:rsid w:val="00635AEC"/>
    <w:rsid w:val="00635B1B"/>
    <w:rsid w:val="00635ED8"/>
    <w:rsid w:val="0063612D"/>
    <w:rsid w:val="00636173"/>
    <w:rsid w:val="006361BE"/>
    <w:rsid w:val="00636A2E"/>
    <w:rsid w:val="00636A8C"/>
    <w:rsid w:val="00636F8D"/>
    <w:rsid w:val="006371FA"/>
    <w:rsid w:val="00637624"/>
    <w:rsid w:val="006378B5"/>
    <w:rsid w:val="00640549"/>
    <w:rsid w:val="00640688"/>
    <w:rsid w:val="0064071F"/>
    <w:rsid w:val="00640B72"/>
    <w:rsid w:val="00640C05"/>
    <w:rsid w:val="006417AA"/>
    <w:rsid w:val="00641A70"/>
    <w:rsid w:val="00641AB5"/>
    <w:rsid w:val="00641E55"/>
    <w:rsid w:val="0064247C"/>
    <w:rsid w:val="006426EF"/>
    <w:rsid w:val="006427F8"/>
    <w:rsid w:val="00642B14"/>
    <w:rsid w:val="00642F9A"/>
    <w:rsid w:val="006431E2"/>
    <w:rsid w:val="006433EC"/>
    <w:rsid w:val="0064357B"/>
    <w:rsid w:val="0064363A"/>
    <w:rsid w:val="006436CB"/>
    <w:rsid w:val="00643981"/>
    <w:rsid w:val="00643E83"/>
    <w:rsid w:val="0064409C"/>
    <w:rsid w:val="0064429F"/>
    <w:rsid w:val="0064445B"/>
    <w:rsid w:val="00644567"/>
    <w:rsid w:val="006446A1"/>
    <w:rsid w:val="00644819"/>
    <w:rsid w:val="00644A3A"/>
    <w:rsid w:val="00644AEE"/>
    <w:rsid w:val="00644D95"/>
    <w:rsid w:val="00644E28"/>
    <w:rsid w:val="0064534D"/>
    <w:rsid w:val="006454CA"/>
    <w:rsid w:val="006458AA"/>
    <w:rsid w:val="00645938"/>
    <w:rsid w:val="00645B84"/>
    <w:rsid w:val="00646318"/>
    <w:rsid w:val="00646874"/>
    <w:rsid w:val="00646AF9"/>
    <w:rsid w:val="00646BFF"/>
    <w:rsid w:val="00647451"/>
    <w:rsid w:val="00647B59"/>
    <w:rsid w:val="006500BA"/>
    <w:rsid w:val="0065011F"/>
    <w:rsid w:val="00650223"/>
    <w:rsid w:val="00650231"/>
    <w:rsid w:val="0065051D"/>
    <w:rsid w:val="0065073D"/>
    <w:rsid w:val="00650AD9"/>
    <w:rsid w:val="00650BC6"/>
    <w:rsid w:val="00650D85"/>
    <w:rsid w:val="00650DE7"/>
    <w:rsid w:val="00650F29"/>
    <w:rsid w:val="0065139C"/>
    <w:rsid w:val="006517F5"/>
    <w:rsid w:val="00651800"/>
    <w:rsid w:val="00651AE1"/>
    <w:rsid w:val="00651CB2"/>
    <w:rsid w:val="00651E9D"/>
    <w:rsid w:val="00651F07"/>
    <w:rsid w:val="0065219F"/>
    <w:rsid w:val="006524A7"/>
    <w:rsid w:val="0065257D"/>
    <w:rsid w:val="006526CB"/>
    <w:rsid w:val="006526DF"/>
    <w:rsid w:val="006530D2"/>
    <w:rsid w:val="006531DC"/>
    <w:rsid w:val="00653388"/>
    <w:rsid w:val="0065341D"/>
    <w:rsid w:val="0065353D"/>
    <w:rsid w:val="006535D5"/>
    <w:rsid w:val="0065376B"/>
    <w:rsid w:val="00654049"/>
    <w:rsid w:val="0065406A"/>
    <w:rsid w:val="0065480A"/>
    <w:rsid w:val="0065492F"/>
    <w:rsid w:val="00654990"/>
    <w:rsid w:val="00654A44"/>
    <w:rsid w:val="00654CAA"/>
    <w:rsid w:val="00655156"/>
    <w:rsid w:val="00655395"/>
    <w:rsid w:val="00655738"/>
    <w:rsid w:val="00655CD8"/>
    <w:rsid w:val="00656314"/>
    <w:rsid w:val="00656674"/>
    <w:rsid w:val="006566C3"/>
    <w:rsid w:val="0065689C"/>
    <w:rsid w:val="00656A21"/>
    <w:rsid w:val="00656AAA"/>
    <w:rsid w:val="00656CFF"/>
    <w:rsid w:val="00656D0D"/>
    <w:rsid w:val="00656DD0"/>
    <w:rsid w:val="00656E8F"/>
    <w:rsid w:val="006573FF"/>
    <w:rsid w:val="006574CA"/>
    <w:rsid w:val="006577BD"/>
    <w:rsid w:val="00657834"/>
    <w:rsid w:val="00657D1A"/>
    <w:rsid w:val="00657D68"/>
    <w:rsid w:val="00657DB5"/>
    <w:rsid w:val="006601D6"/>
    <w:rsid w:val="0066045A"/>
    <w:rsid w:val="00660A03"/>
    <w:rsid w:val="00660D6A"/>
    <w:rsid w:val="006611EB"/>
    <w:rsid w:val="006615FA"/>
    <w:rsid w:val="00661731"/>
    <w:rsid w:val="0066191E"/>
    <w:rsid w:val="00661959"/>
    <w:rsid w:val="00661CB8"/>
    <w:rsid w:val="00662166"/>
    <w:rsid w:val="006626BA"/>
    <w:rsid w:val="00662A4C"/>
    <w:rsid w:val="00662B7F"/>
    <w:rsid w:val="00662E49"/>
    <w:rsid w:val="00663067"/>
    <w:rsid w:val="006633C9"/>
    <w:rsid w:val="00663A8D"/>
    <w:rsid w:val="00663DCC"/>
    <w:rsid w:val="006644A0"/>
    <w:rsid w:val="006648A4"/>
    <w:rsid w:val="00665311"/>
    <w:rsid w:val="00665320"/>
    <w:rsid w:val="00665461"/>
    <w:rsid w:val="00665626"/>
    <w:rsid w:val="006658F3"/>
    <w:rsid w:val="00665A97"/>
    <w:rsid w:val="00665CC4"/>
    <w:rsid w:val="0066632E"/>
    <w:rsid w:val="00666488"/>
    <w:rsid w:val="006664BE"/>
    <w:rsid w:val="006665F2"/>
    <w:rsid w:val="0066673B"/>
    <w:rsid w:val="00666BF6"/>
    <w:rsid w:val="00666C47"/>
    <w:rsid w:val="00666D6E"/>
    <w:rsid w:val="00666DA9"/>
    <w:rsid w:val="00666FE6"/>
    <w:rsid w:val="0066733B"/>
    <w:rsid w:val="006675BF"/>
    <w:rsid w:val="00667B23"/>
    <w:rsid w:val="00667D36"/>
    <w:rsid w:val="00667E69"/>
    <w:rsid w:val="0067098B"/>
    <w:rsid w:val="00670F78"/>
    <w:rsid w:val="00671CBE"/>
    <w:rsid w:val="0067224C"/>
    <w:rsid w:val="006723BD"/>
    <w:rsid w:val="00672536"/>
    <w:rsid w:val="00672624"/>
    <w:rsid w:val="006727C3"/>
    <w:rsid w:val="00672A2B"/>
    <w:rsid w:val="00672D63"/>
    <w:rsid w:val="00672D9A"/>
    <w:rsid w:val="00672E27"/>
    <w:rsid w:val="0067302A"/>
    <w:rsid w:val="006730BB"/>
    <w:rsid w:val="006731AD"/>
    <w:rsid w:val="006731BA"/>
    <w:rsid w:val="0067328E"/>
    <w:rsid w:val="0067349F"/>
    <w:rsid w:val="00673738"/>
    <w:rsid w:val="006737EC"/>
    <w:rsid w:val="00673E3E"/>
    <w:rsid w:val="006744F4"/>
    <w:rsid w:val="006745B4"/>
    <w:rsid w:val="0067482D"/>
    <w:rsid w:val="006748F2"/>
    <w:rsid w:val="00674957"/>
    <w:rsid w:val="00674C14"/>
    <w:rsid w:val="00675118"/>
    <w:rsid w:val="0067531F"/>
    <w:rsid w:val="006756C5"/>
    <w:rsid w:val="00675748"/>
    <w:rsid w:val="006757F8"/>
    <w:rsid w:val="006759B5"/>
    <w:rsid w:val="00675ADE"/>
    <w:rsid w:val="00675B71"/>
    <w:rsid w:val="00675C72"/>
    <w:rsid w:val="00675CC7"/>
    <w:rsid w:val="006760C1"/>
    <w:rsid w:val="00676DA8"/>
    <w:rsid w:val="0067701A"/>
    <w:rsid w:val="0067703A"/>
    <w:rsid w:val="0067714A"/>
    <w:rsid w:val="006771AD"/>
    <w:rsid w:val="00677364"/>
    <w:rsid w:val="00677367"/>
    <w:rsid w:val="0067769A"/>
    <w:rsid w:val="00677DE2"/>
    <w:rsid w:val="00677E3C"/>
    <w:rsid w:val="00680BE7"/>
    <w:rsid w:val="006815F1"/>
    <w:rsid w:val="006818B1"/>
    <w:rsid w:val="00681B57"/>
    <w:rsid w:val="00681FAE"/>
    <w:rsid w:val="0068237B"/>
    <w:rsid w:val="00682819"/>
    <w:rsid w:val="00682946"/>
    <w:rsid w:val="00682DDF"/>
    <w:rsid w:val="00682E1D"/>
    <w:rsid w:val="00683262"/>
    <w:rsid w:val="0068335D"/>
    <w:rsid w:val="00683BD3"/>
    <w:rsid w:val="00683EC2"/>
    <w:rsid w:val="00683F5E"/>
    <w:rsid w:val="00684043"/>
    <w:rsid w:val="006842BA"/>
    <w:rsid w:val="006843EF"/>
    <w:rsid w:val="006844DF"/>
    <w:rsid w:val="006847E1"/>
    <w:rsid w:val="0068486F"/>
    <w:rsid w:val="006848D7"/>
    <w:rsid w:val="00684B0F"/>
    <w:rsid w:val="00684CE4"/>
    <w:rsid w:val="00684F59"/>
    <w:rsid w:val="0068543E"/>
    <w:rsid w:val="00685467"/>
    <w:rsid w:val="00685B4F"/>
    <w:rsid w:val="00685F3A"/>
    <w:rsid w:val="006862AB"/>
    <w:rsid w:val="0068630D"/>
    <w:rsid w:val="00686970"/>
    <w:rsid w:val="00686F26"/>
    <w:rsid w:val="00687508"/>
    <w:rsid w:val="006879C5"/>
    <w:rsid w:val="00687B62"/>
    <w:rsid w:val="00687F04"/>
    <w:rsid w:val="00690590"/>
    <w:rsid w:val="006907B1"/>
    <w:rsid w:val="00691114"/>
    <w:rsid w:val="006916AE"/>
    <w:rsid w:val="00691DEB"/>
    <w:rsid w:val="006926C0"/>
    <w:rsid w:val="0069276B"/>
    <w:rsid w:val="00692921"/>
    <w:rsid w:val="0069293E"/>
    <w:rsid w:val="00693A5C"/>
    <w:rsid w:val="00693A7C"/>
    <w:rsid w:val="00693C03"/>
    <w:rsid w:val="006943AE"/>
    <w:rsid w:val="006943FC"/>
    <w:rsid w:val="0069441A"/>
    <w:rsid w:val="00695067"/>
    <w:rsid w:val="00695268"/>
    <w:rsid w:val="0069527E"/>
    <w:rsid w:val="00695328"/>
    <w:rsid w:val="0069547C"/>
    <w:rsid w:val="006954CB"/>
    <w:rsid w:val="006957AE"/>
    <w:rsid w:val="006957EC"/>
    <w:rsid w:val="00695AB5"/>
    <w:rsid w:val="00695D56"/>
    <w:rsid w:val="00695FE4"/>
    <w:rsid w:val="00696127"/>
    <w:rsid w:val="006962FB"/>
    <w:rsid w:val="0069664E"/>
    <w:rsid w:val="0069669D"/>
    <w:rsid w:val="006966C6"/>
    <w:rsid w:val="00696D45"/>
    <w:rsid w:val="00697016"/>
    <w:rsid w:val="00697593"/>
    <w:rsid w:val="0069768A"/>
    <w:rsid w:val="006978D9"/>
    <w:rsid w:val="00697B53"/>
    <w:rsid w:val="00697FE0"/>
    <w:rsid w:val="006A0379"/>
    <w:rsid w:val="006A0E52"/>
    <w:rsid w:val="006A135A"/>
    <w:rsid w:val="006A13A5"/>
    <w:rsid w:val="006A13FA"/>
    <w:rsid w:val="006A149C"/>
    <w:rsid w:val="006A14F2"/>
    <w:rsid w:val="006A1508"/>
    <w:rsid w:val="006A17F6"/>
    <w:rsid w:val="006A182A"/>
    <w:rsid w:val="006A1897"/>
    <w:rsid w:val="006A1909"/>
    <w:rsid w:val="006A1F2A"/>
    <w:rsid w:val="006A2103"/>
    <w:rsid w:val="006A2399"/>
    <w:rsid w:val="006A29F5"/>
    <w:rsid w:val="006A2AD1"/>
    <w:rsid w:val="006A2C3C"/>
    <w:rsid w:val="006A2CB4"/>
    <w:rsid w:val="006A2CE9"/>
    <w:rsid w:val="006A3218"/>
    <w:rsid w:val="006A33D2"/>
    <w:rsid w:val="006A3B30"/>
    <w:rsid w:val="006A3C0D"/>
    <w:rsid w:val="006A4013"/>
    <w:rsid w:val="006A492C"/>
    <w:rsid w:val="006A4C32"/>
    <w:rsid w:val="006A4D45"/>
    <w:rsid w:val="006A5273"/>
    <w:rsid w:val="006A5884"/>
    <w:rsid w:val="006A58BF"/>
    <w:rsid w:val="006A5A19"/>
    <w:rsid w:val="006A5A97"/>
    <w:rsid w:val="006A5C82"/>
    <w:rsid w:val="006A603E"/>
    <w:rsid w:val="006A61CA"/>
    <w:rsid w:val="006A65B8"/>
    <w:rsid w:val="006A65DF"/>
    <w:rsid w:val="006A66DF"/>
    <w:rsid w:val="006A6A2E"/>
    <w:rsid w:val="006A6A50"/>
    <w:rsid w:val="006A7303"/>
    <w:rsid w:val="006A7704"/>
    <w:rsid w:val="006A786F"/>
    <w:rsid w:val="006A7C0E"/>
    <w:rsid w:val="006A7C96"/>
    <w:rsid w:val="006A7D6F"/>
    <w:rsid w:val="006A7FE7"/>
    <w:rsid w:val="006B02A6"/>
    <w:rsid w:val="006B06B4"/>
    <w:rsid w:val="006B0719"/>
    <w:rsid w:val="006B0A1F"/>
    <w:rsid w:val="006B0A6E"/>
    <w:rsid w:val="006B0BFE"/>
    <w:rsid w:val="006B0CB2"/>
    <w:rsid w:val="006B0E00"/>
    <w:rsid w:val="006B12DC"/>
    <w:rsid w:val="006B1463"/>
    <w:rsid w:val="006B16D9"/>
    <w:rsid w:val="006B1E66"/>
    <w:rsid w:val="006B1ED8"/>
    <w:rsid w:val="006B213E"/>
    <w:rsid w:val="006B233B"/>
    <w:rsid w:val="006B2382"/>
    <w:rsid w:val="006B2415"/>
    <w:rsid w:val="006B2D58"/>
    <w:rsid w:val="006B2DCA"/>
    <w:rsid w:val="006B30D0"/>
    <w:rsid w:val="006B3173"/>
    <w:rsid w:val="006B31C2"/>
    <w:rsid w:val="006B3448"/>
    <w:rsid w:val="006B3573"/>
    <w:rsid w:val="006B3618"/>
    <w:rsid w:val="006B364C"/>
    <w:rsid w:val="006B3783"/>
    <w:rsid w:val="006B3B70"/>
    <w:rsid w:val="006B3CFD"/>
    <w:rsid w:val="006B406D"/>
    <w:rsid w:val="006B421F"/>
    <w:rsid w:val="006B42B6"/>
    <w:rsid w:val="006B43F4"/>
    <w:rsid w:val="006B4781"/>
    <w:rsid w:val="006B48F6"/>
    <w:rsid w:val="006B4BC3"/>
    <w:rsid w:val="006B4D86"/>
    <w:rsid w:val="006B512E"/>
    <w:rsid w:val="006B52ED"/>
    <w:rsid w:val="006B5804"/>
    <w:rsid w:val="006B5821"/>
    <w:rsid w:val="006B60DE"/>
    <w:rsid w:val="006B63AA"/>
    <w:rsid w:val="006B64CA"/>
    <w:rsid w:val="006B6593"/>
    <w:rsid w:val="006B6A3D"/>
    <w:rsid w:val="006B6B1F"/>
    <w:rsid w:val="006B6B22"/>
    <w:rsid w:val="006B6D55"/>
    <w:rsid w:val="006B7363"/>
    <w:rsid w:val="006B76A3"/>
    <w:rsid w:val="006B77AC"/>
    <w:rsid w:val="006B7AC1"/>
    <w:rsid w:val="006B7E3F"/>
    <w:rsid w:val="006B7EDA"/>
    <w:rsid w:val="006B7F2D"/>
    <w:rsid w:val="006C04A0"/>
    <w:rsid w:val="006C05B1"/>
    <w:rsid w:val="006C068E"/>
    <w:rsid w:val="006C0A54"/>
    <w:rsid w:val="006C0CEB"/>
    <w:rsid w:val="006C0FA4"/>
    <w:rsid w:val="006C1199"/>
    <w:rsid w:val="006C11B7"/>
    <w:rsid w:val="006C1736"/>
    <w:rsid w:val="006C1ABE"/>
    <w:rsid w:val="006C1B6A"/>
    <w:rsid w:val="006C1C9F"/>
    <w:rsid w:val="006C1CBA"/>
    <w:rsid w:val="006C1EF4"/>
    <w:rsid w:val="006C206C"/>
    <w:rsid w:val="006C20F0"/>
    <w:rsid w:val="006C2545"/>
    <w:rsid w:val="006C2617"/>
    <w:rsid w:val="006C26F8"/>
    <w:rsid w:val="006C29F0"/>
    <w:rsid w:val="006C2C91"/>
    <w:rsid w:val="006C2C9D"/>
    <w:rsid w:val="006C3132"/>
    <w:rsid w:val="006C337F"/>
    <w:rsid w:val="006C3970"/>
    <w:rsid w:val="006C3E24"/>
    <w:rsid w:val="006C3EE8"/>
    <w:rsid w:val="006C43D9"/>
    <w:rsid w:val="006C460B"/>
    <w:rsid w:val="006C4A1F"/>
    <w:rsid w:val="006C4BDA"/>
    <w:rsid w:val="006C4C2F"/>
    <w:rsid w:val="006C4FDC"/>
    <w:rsid w:val="006C50AB"/>
    <w:rsid w:val="006C5906"/>
    <w:rsid w:val="006C5BD6"/>
    <w:rsid w:val="006C5FE3"/>
    <w:rsid w:val="006C62D6"/>
    <w:rsid w:val="006C644B"/>
    <w:rsid w:val="006C693D"/>
    <w:rsid w:val="006C6AC6"/>
    <w:rsid w:val="006C6BB5"/>
    <w:rsid w:val="006C6E5B"/>
    <w:rsid w:val="006C6EB8"/>
    <w:rsid w:val="006C70B4"/>
    <w:rsid w:val="006C71E2"/>
    <w:rsid w:val="006C755D"/>
    <w:rsid w:val="006C75C4"/>
    <w:rsid w:val="006C776D"/>
    <w:rsid w:val="006C7E03"/>
    <w:rsid w:val="006C7E96"/>
    <w:rsid w:val="006D0321"/>
    <w:rsid w:val="006D05B2"/>
    <w:rsid w:val="006D0DE3"/>
    <w:rsid w:val="006D1305"/>
    <w:rsid w:val="006D143E"/>
    <w:rsid w:val="006D14BF"/>
    <w:rsid w:val="006D16E2"/>
    <w:rsid w:val="006D23B9"/>
    <w:rsid w:val="006D261B"/>
    <w:rsid w:val="006D28AD"/>
    <w:rsid w:val="006D2E42"/>
    <w:rsid w:val="006D2F00"/>
    <w:rsid w:val="006D32E2"/>
    <w:rsid w:val="006D3389"/>
    <w:rsid w:val="006D33BA"/>
    <w:rsid w:val="006D3537"/>
    <w:rsid w:val="006D3A12"/>
    <w:rsid w:val="006D3CBF"/>
    <w:rsid w:val="006D3F64"/>
    <w:rsid w:val="006D4063"/>
    <w:rsid w:val="006D43BB"/>
    <w:rsid w:val="006D49EA"/>
    <w:rsid w:val="006D4DE2"/>
    <w:rsid w:val="006D4FD9"/>
    <w:rsid w:val="006D59DB"/>
    <w:rsid w:val="006D5A74"/>
    <w:rsid w:val="006D625B"/>
    <w:rsid w:val="006D647D"/>
    <w:rsid w:val="006D6BE4"/>
    <w:rsid w:val="006D6C6D"/>
    <w:rsid w:val="006D708C"/>
    <w:rsid w:val="006D723E"/>
    <w:rsid w:val="006D737B"/>
    <w:rsid w:val="006D7582"/>
    <w:rsid w:val="006D77E0"/>
    <w:rsid w:val="006D790D"/>
    <w:rsid w:val="006D7B39"/>
    <w:rsid w:val="006D7EF3"/>
    <w:rsid w:val="006D7F4D"/>
    <w:rsid w:val="006E026F"/>
    <w:rsid w:val="006E0593"/>
    <w:rsid w:val="006E05F0"/>
    <w:rsid w:val="006E0C89"/>
    <w:rsid w:val="006E1301"/>
    <w:rsid w:val="006E13EB"/>
    <w:rsid w:val="006E149A"/>
    <w:rsid w:val="006E150E"/>
    <w:rsid w:val="006E179C"/>
    <w:rsid w:val="006E186D"/>
    <w:rsid w:val="006E18DD"/>
    <w:rsid w:val="006E19AA"/>
    <w:rsid w:val="006E19FF"/>
    <w:rsid w:val="006E1B60"/>
    <w:rsid w:val="006E1B67"/>
    <w:rsid w:val="006E20BC"/>
    <w:rsid w:val="006E234F"/>
    <w:rsid w:val="006E26D4"/>
    <w:rsid w:val="006E26FE"/>
    <w:rsid w:val="006E28E0"/>
    <w:rsid w:val="006E2CA1"/>
    <w:rsid w:val="006E2D8E"/>
    <w:rsid w:val="006E2DAB"/>
    <w:rsid w:val="006E2E52"/>
    <w:rsid w:val="006E3414"/>
    <w:rsid w:val="006E3D64"/>
    <w:rsid w:val="006E3DB2"/>
    <w:rsid w:val="006E4375"/>
    <w:rsid w:val="006E4464"/>
    <w:rsid w:val="006E4C24"/>
    <w:rsid w:val="006E4CF0"/>
    <w:rsid w:val="006E4E24"/>
    <w:rsid w:val="006E51E9"/>
    <w:rsid w:val="006E526F"/>
    <w:rsid w:val="006E57AB"/>
    <w:rsid w:val="006E5A0C"/>
    <w:rsid w:val="006E5BC9"/>
    <w:rsid w:val="006E5D8E"/>
    <w:rsid w:val="006E6AAD"/>
    <w:rsid w:val="006E6B2A"/>
    <w:rsid w:val="006E6BE8"/>
    <w:rsid w:val="006E6CC0"/>
    <w:rsid w:val="006E6CEB"/>
    <w:rsid w:val="006E718D"/>
    <w:rsid w:val="006E7209"/>
    <w:rsid w:val="006E72CE"/>
    <w:rsid w:val="006E7489"/>
    <w:rsid w:val="006E77DB"/>
    <w:rsid w:val="006E785F"/>
    <w:rsid w:val="006E7FA2"/>
    <w:rsid w:val="006F0120"/>
    <w:rsid w:val="006F0262"/>
    <w:rsid w:val="006F02A5"/>
    <w:rsid w:val="006F0424"/>
    <w:rsid w:val="006F07B4"/>
    <w:rsid w:val="006F07D2"/>
    <w:rsid w:val="006F0A38"/>
    <w:rsid w:val="006F0E59"/>
    <w:rsid w:val="006F182A"/>
    <w:rsid w:val="006F1830"/>
    <w:rsid w:val="006F1BB6"/>
    <w:rsid w:val="006F1D9A"/>
    <w:rsid w:val="006F1F1A"/>
    <w:rsid w:val="006F219B"/>
    <w:rsid w:val="006F22B9"/>
    <w:rsid w:val="006F2385"/>
    <w:rsid w:val="006F2E92"/>
    <w:rsid w:val="006F2E98"/>
    <w:rsid w:val="006F2EE9"/>
    <w:rsid w:val="006F34F4"/>
    <w:rsid w:val="006F3957"/>
    <w:rsid w:val="006F3A28"/>
    <w:rsid w:val="006F3E6D"/>
    <w:rsid w:val="006F41B3"/>
    <w:rsid w:val="006F41D3"/>
    <w:rsid w:val="006F42AD"/>
    <w:rsid w:val="006F447A"/>
    <w:rsid w:val="006F4CB8"/>
    <w:rsid w:val="006F4F0A"/>
    <w:rsid w:val="006F5539"/>
    <w:rsid w:val="006F56D5"/>
    <w:rsid w:val="006F5895"/>
    <w:rsid w:val="006F6710"/>
    <w:rsid w:val="006F6AAD"/>
    <w:rsid w:val="006F6E31"/>
    <w:rsid w:val="006F74D4"/>
    <w:rsid w:val="006F7B02"/>
    <w:rsid w:val="006F7D7C"/>
    <w:rsid w:val="006F7DA0"/>
    <w:rsid w:val="006F7DA9"/>
    <w:rsid w:val="007003BD"/>
    <w:rsid w:val="00700427"/>
    <w:rsid w:val="00700439"/>
    <w:rsid w:val="007005C1"/>
    <w:rsid w:val="007006F0"/>
    <w:rsid w:val="00700B52"/>
    <w:rsid w:val="00700BA2"/>
    <w:rsid w:val="00700EF5"/>
    <w:rsid w:val="00701078"/>
    <w:rsid w:val="007015B9"/>
    <w:rsid w:val="007018C2"/>
    <w:rsid w:val="0070194C"/>
    <w:rsid w:val="0070195F"/>
    <w:rsid w:val="0070250C"/>
    <w:rsid w:val="00702523"/>
    <w:rsid w:val="00702CDF"/>
    <w:rsid w:val="00703159"/>
    <w:rsid w:val="007033FB"/>
    <w:rsid w:val="00703696"/>
    <w:rsid w:val="00703E42"/>
    <w:rsid w:val="007042C0"/>
    <w:rsid w:val="007043B3"/>
    <w:rsid w:val="007044C1"/>
    <w:rsid w:val="00704809"/>
    <w:rsid w:val="00704A3A"/>
    <w:rsid w:val="00704CBB"/>
    <w:rsid w:val="00704D64"/>
    <w:rsid w:val="0070503A"/>
    <w:rsid w:val="00705149"/>
    <w:rsid w:val="00705676"/>
    <w:rsid w:val="00705679"/>
    <w:rsid w:val="007059B5"/>
    <w:rsid w:val="00705A56"/>
    <w:rsid w:val="00705AA0"/>
    <w:rsid w:val="00705BAD"/>
    <w:rsid w:val="00705CFE"/>
    <w:rsid w:val="00705ED9"/>
    <w:rsid w:val="00706141"/>
    <w:rsid w:val="0070623A"/>
    <w:rsid w:val="007068A1"/>
    <w:rsid w:val="007068F7"/>
    <w:rsid w:val="00706B6E"/>
    <w:rsid w:val="00706C65"/>
    <w:rsid w:val="00706FE6"/>
    <w:rsid w:val="00707015"/>
    <w:rsid w:val="0070743C"/>
    <w:rsid w:val="0070773B"/>
    <w:rsid w:val="00707CBD"/>
    <w:rsid w:val="00707DA6"/>
    <w:rsid w:val="00707DFD"/>
    <w:rsid w:val="007100AB"/>
    <w:rsid w:val="0071039D"/>
    <w:rsid w:val="007104A3"/>
    <w:rsid w:val="007107AF"/>
    <w:rsid w:val="00710D24"/>
    <w:rsid w:val="00710F4C"/>
    <w:rsid w:val="007111B9"/>
    <w:rsid w:val="007112D8"/>
    <w:rsid w:val="007114E3"/>
    <w:rsid w:val="007118D6"/>
    <w:rsid w:val="00711906"/>
    <w:rsid w:val="00711A7D"/>
    <w:rsid w:val="00711DAB"/>
    <w:rsid w:val="00711F5F"/>
    <w:rsid w:val="00712317"/>
    <w:rsid w:val="00712699"/>
    <w:rsid w:val="0071275B"/>
    <w:rsid w:val="00712919"/>
    <w:rsid w:val="00712973"/>
    <w:rsid w:val="007129F1"/>
    <w:rsid w:val="00712CE3"/>
    <w:rsid w:val="00712F86"/>
    <w:rsid w:val="00713074"/>
    <w:rsid w:val="00713472"/>
    <w:rsid w:val="0071361E"/>
    <w:rsid w:val="0071378D"/>
    <w:rsid w:val="007142CA"/>
    <w:rsid w:val="00714A99"/>
    <w:rsid w:val="00714B29"/>
    <w:rsid w:val="0071531E"/>
    <w:rsid w:val="007154F6"/>
    <w:rsid w:val="00715543"/>
    <w:rsid w:val="0071575D"/>
    <w:rsid w:val="007158D1"/>
    <w:rsid w:val="00715C5B"/>
    <w:rsid w:val="00715F52"/>
    <w:rsid w:val="00716231"/>
    <w:rsid w:val="007164D9"/>
    <w:rsid w:val="00716563"/>
    <w:rsid w:val="00716786"/>
    <w:rsid w:val="007169DE"/>
    <w:rsid w:val="00716D85"/>
    <w:rsid w:val="00717243"/>
    <w:rsid w:val="007173D3"/>
    <w:rsid w:val="0071757E"/>
    <w:rsid w:val="00717608"/>
    <w:rsid w:val="007176A8"/>
    <w:rsid w:val="0071772A"/>
    <w:rsid w:val="00717BD7"/>
    <w:rsid w:val="007201D5"/>
    <w:rsid w:val="007201EA"/>
    <w:rsid w:val="007202F0"/>
    <w:rsid w:val="007208B4"/>
    <w:rsid w:val="00720CAD"/>
    <w:rsid w:val="00720DA5"/>
    <w:rsid w:val="00720E92"/>
    <w:rsid w:val="0072140D"/>
    <w:rsid w:val="00721AF9"/>
    <w:rsid w:val="00721BF1"/>
    <w:rsid w:val="00721C53"/>
    <w:rsid w:val="00721D17"/>
    <w:rsid w:val="00721E4B"/>
    <w:rsid w:val="00722294"/>
    <w:rsid w:val="007227D7"/>
    <w:rsid w:val="00722853"/>
    <w:rsid w:val="00722DBF"/>
    <w:rsid w:val="007238D7"/>
    <w:rsid w:val="00723962"/>
    <w:rsid w:val="00724311"/>
    <w:rsid w:val="0072474B"/>
    <w:rsid w:val="00724C36"/>
    <w:rsid w:val="007250B2"/>
    <w:rsid w:val="00725208"/>
    <w:rsid w:val="007256CE"/>
    <w:rsid w:val="00725870"/>
    <w:rsid w:val="00725E79"/>
    <w:rsid w:val="00726441"/>
    <w:rsid w:val="007264BA"/>
    <w:rsid w:val="00726634"/>
    <w:rsid w:val="007269DB"/>
    <w:rsid w:val="007273BD"/>
    <w:rsid w:val="00727464"/>
    <w:rsid w:val="007277C8"/>
    <w:rsid w:val="00727C93"/>
    <w:rsid w:val="00730454"/>
    <w:rsid w:val="00730781"/>
    <w:rsid w:val="00730C50"/>
    <w:rsid w:val="00730D5E"/>
    <w:rsid w:val="00730E83"/>
    <w:rsid w:val="00731078"/>
    <w:rsid w:val="00731128"/>
    <w:rsid w:val="00731185"/>
    <w:rsid w:val="007314EE"/>
    <w:rsid w:val="007318E7"/>
    <w:rsid w:val="00731D44"/>
    <w:rsid w:val="00732074"/>
    <w:rsid w:val="00732208"/>
    <w:rsid w:val="007322B1"/>
    <w:rsid w:val="007323A5"/>
    <w:rsid w:val="007324A7"/>
    <w:rsid w:val="007326EC"/>
    <w:rsid w:val="00732ADE"/>
    <w:rsid w:val="00732AE1"/>
    <w:rsid w:val="00733127"/>
    <w:rsid w:val="00733486"/>
    <w:rsid w:val="007336C8"/>
    <w:rsid w:val="007336DC"/>
    <w:rsid w:val="0073381E"/>
    <w:rsid w:val="00733B7C"/>
    <w:rsid w:val="00733B96"/>
    <w:rsid w:val="007340F5"/>
    <w:rsid w:val="00734336"/>
    <w:rsid w:val="0073438C"/>
    <w:rsid w:val="0073448A"/>
    <w:rsid w:val="007349A6"/>
    <w:rsid w:val="00734B88"/>
    <w:rsid w:val="00734D83"/>
    <w:rsid w:val="00734F19"/>
    <w:rsid w:val="00734F23"/>
    <w:rsid w:val="00735135"/>
    <w:rsid w:val="00735289"/>
    <w:rsid w:val="0073535B"/>
    <w:rsid w:val="00735723"/>
    <w:rsid w:val="00735BCA"/>
    <w:rsid w:val="00735C23"/>
    <w:rsid w:val="00735E45"/>
    <w:rsid w:val="007360F2"/>
    <w:rsid w:val="00736210"/>
    <w:rsid w:val="00736A82"/>
    <w:rsid w:val="00736E59"/>
    <w:rsid w:val="00737749"/>
    <w:rsid w:val="00737799"/>
    <w:rsid w:val="00737954"/>
    <w:rsid w:val="007379B9"/>
    <w:rsid w:val="00737B35"/>
    <w:rsid w:val="00737CA2"/>
    <w:rsid w:val="00737E1F"/>
    <w:rsid w:val="00737E6C"/>
    <w:rsid w:val="00737E80"/>
    <w:rsid w:val="00740037"/>
    <w:rsid w:val="00740115"/>
    <w:rsid w:val="00740568"/>
    <w:rsid w:val="00740806"/>
    <w:rsid w:val="00740807"/>
    <w:rsid w:val="00740908"/>
    <w:rsid w:val="00740CA4"/>
    <w:rsid w:val="007411F0"/>
    <w:rsid w:val="0074175B"/>
    <w:rsid w:val="00741A9F"/>
    <w:rsid w:val="00741F27"/>
    <w:rsid w:val="007424F6"/>
    <w:rsid w:val="00742CF1"/>
    <w:rsid w:val="00742EF7"/>
    <w:rsid w:val="00742F7C"/>
    <w:rsid w:val="0074392C"/>
    <w:rsid w:val="00743B53"/>
    <w:rsid w:val="00743CFD"/>
    <w:rsid w:val="007440A4"/>
    <w:rsid w:val="00744142"/>
    <w:rsid w:val="007447AA"/>
    <w:rsid w:val="007448C7"/>
    <w:rsid w:val="00744B76"/>
    <w:rsid w:val="00744C6E"/>
    <w:rsid w:val="007450B6"/>
    <w:rsid w:val="0074527A"/>
    <w:rsid w:val="00745302"/>
    <w:rsid w:val="007453BF"/>
    <w:rsid w:val="00745583"/>
    <w:rsid w:val="00746427"/>
    <w:rsid w:val="0074679A"/>
    <w:rsid w:val="00746965"/>
    <w:rsid w:val="00747117"/>
    <w:rsid w:val="00747539"/>
    <w:rsid w:val="007478E7"/>
    <w:rsid w:val="00747CF1"/>
    <w:rsid w:val="00747D77"/>
    <w:rsid w:val="00750980"/>
    <w:rsid w:val="00750AEF"/>
    <w:rsid w:val="007512C2"/>
    <w:rsid w:val="007513B3"/>
    <w:rsid w:val="00751596"/>
    <w:rsid w:val="00751882"/>
    <w:rsid w:val="00751BA2"/>
    <w:rsid w:val="00751DD9"/>
    <w:rsid w:val="00751EA7"/>
    <w:rsid w:val="007525D0"/>
    <w:rsid w:val="00752876"/>
    <w:rsid w:val="00752917"/>
    <w:rsid w:val="00752B0E"/>
    <w:rsid w:val="0075346F"/>
    <w:rsid w:val="00753484"/>
    <w:rsid w:val="00753A8A"/>
    <w:rsid w:val="00753D4C"/>
    <w:rsid w:val="00754571"/>
    <w:rsid w:val="007545B8"/>
    <w:rsid w:val="00754CC3"/>
    <w:rsid w:val="00754D24"/>
    <w:rsid w:val="00754EED"/>
    <w:rsid w:val="00754EF0"/>
    <w:rsid w:val="00754F32"/>
    <w:rsid w:val="00754F8A"/>
    <w:rsid w:val="00755254"/>
    <w:rsid w:val="007553C2"/>
    <w:rsid w:val="00755460"/>
    <w:rsid w:val="00755797"/>
    <w:rsid w:val="00755830"/>
    <w:rsid w:val="00755ACB"/>
    <w:rsid w:val="00755ACF"/>
    <w:rsid w:val="00755ED7"/>
    <w:rsid w:val="00755F3E"/>
    <w:rsid w:val="00755FBE"/>
    <w:rsid w:val="007561DC"/>
    <w:rsid w:val="0075621C"/>
    <w:rsid w:val="007562FB"/>
    <w:rsid w:val="00756AAC"/>
    <w:rsid w:val="00756C10"/>
    <w:rsid w:val="00756FB0"/>
    <w:rsid w:val="00757001"/>
    <w:rsid w:val="00757037"/>
    <w:rsid w:val="00757147"/>
    <w:rsid w:val="0075728C"/>
    <w:rsid w:val="00757295"/>
    <w:rsid w:val="007573D4"/>
    <w:rsid w:val="0075740A"/>
    <w:rsid w:val="00757602"/>
    <w:rsid w:val="00757655"/>
    <w:rsid w:val="007577DA"/>
    <w:rsid w:val="007578BA"/>
    <w:rsid w:val="00757CA1"/>
    <w:rsid w:val="00757F0B"/>
    <w:rsid w:val="0076026F"/>
    <w:rsid w:val="00760274"/>
    <w:rsid w:val="007604C1"/>
    <w:rsid w:val="00760501"/>
    <w:rsid w:val="007606D2"/>
    <w:rsid w:val="007608A8"/>
    <w:rsid w:val="00760B8E"/>
    <w:rsid w:val="00760BD7"/>
    <w:rsid w:val="00761396"/>
    <w:rsid w:val="007614B7"/>
    <w:rsid w:val="00761782"/>
    <w:rsid w:val="00762066"/>
    <w:rsid w:val="007623F0"/>
    <w:rsid w:val="00762466"/>
    <w:rsid w:val="0076266B"/>
    <w:rsid w:val="00762C95"/>
    <w:rsid w:val="00762E2B"/>
    <w:rsid w:val="00763262"/>
    <w:rsid w:val="0076330E"/>
    <w:rsid w:val="0076357D"/>
    <w:rsid w:val="00763A9B"/>
    <w:rsid w:val="00763C13"/>
    <w:rsid w:val="00763D28"/>
    <w:rsid w:val="00763ED2"/>
    <w:rsid w:val="007642C1"/>
    <w:rsid w:val="00764445"/>
    <w:rsid w:val="0076456E"/>
    <w:rsid w:val="007649C5"/>
    <w:rsid w:val="00764D1F"/>
    <w:rsid w:val="00764D61"/>
    <w:rsid w:val="00764D7A"/>
    <w:rsid w:val="00764DD8"/>
    <w:rsid w:val="00765073"/>
    <w:rsid w:val="0076509D"/>
    <w:rsid w:val="00765502"/>
    <w:rsid w:val="00765977"/>
    <w:rsid w:val="00765F25"/>
    <w:rsid w:val="0076630D"/>
    <w:rsid w:val="007669A2"/>
    <w:rsid w:val="00766B2D"/>
    <w:rsid w:val="00766BB5"/>
    <w:rsid w:val="00766BC3"/>
    <w:rsid w:val="007672A0"/>
    <w:rsid w:val="00767841"/>
    <w:rsid w:val="00767A50"/>
    <w:rsid w:val="00767C12"/>
    <w:rsid w:val="00767D6B"/>
    <w:rsid w:val="00767E78"/>
    <w:rsid w:val="00767F08"/>
    <w:rsid w:val="007702B1"/>
    <w:rsid w:val="007704E8"/>
    <w:rsid w:val="00770555"/>
    <w:rsid w:val="00770593"/>
    <w:rsid w:val="00770A36"/>
    <w:rsid w:val="00770B0A"/>
    <w:rsid w:val="00770B27"/>
    <w:rsid w:val="00771326"/>
    <w:rsid w:val="007717AA"/>
    <w:rsid w:val="00771E5B"/>
    <w:rsid w:val="007721BB"/>
    <w:rsid w:val="007727C2"/>
    <w:rsid w:val="007727CD"/>
    <w:rsid w:val="00772A82"/>
    <w:rsid w:val="00772FFA"/>
    <w:rsid w:val="0077309D"/>
    <w:rsid w:val="007732D0"/>
    <w:rsid w:val="007734E6"/>
    <w:rsid w:val="00773790"/>
    <w:rsid w:val="00773A24"/>
    <w:rsid w:val="00773B61"/>
    <w:rsid w:val="00774146"/>
    <w:rsid w:val="0077430C"/>
    <w:rsid w:val="00774454"/>
    <w:rsid w:val="0077468E"/>
    <w:rsid w:val="00774D65"/>
    <w:rsid w:val="00775062"/>
    <w:rsid w:val="00775133"/>
    <w:rsid w:val="00775497"/>
    <w:rsid w:val="00775607"/>
    <w:rsid w:val="00775C0A"/>
    <w:rsid w:val="00775D36"/>
    <w:rsid w:val="00775DA1"/>
    <w:rsid w:val="00775DA2"/>
    <w:rsid w:val="00775DFB"/>
    <w:rsid w:val="00775F74"/>
    <w:rsid w:val="00775FBA"/>
    <w:rsid w:val="00776062"/>
    <w:rsid w:val="007760E3"/>
    <w:rsid w:val="00776303"/>
    <w:rsid w:val="00776304"/>
    <w:rsid w:val="007766DC"/>
    <w:rsid w:val="007767DE"/>
    <w:rsid w:val="00776CC7"/>
    <w:rsid w:val="00777323"/>
    <w:rsid w:val="00777344"/>
    <w:rsid w:val="007774B5"/>
    <w:rsid w:val="00777E2C"/>
    <w:rsid w:val="00777FD3"/>
    <w:rsid w:val="007801AF"/>
    <w:rsid w:val="00780ECE"/>
    <w:rsid w:val="007810D8"/>
    <w:rsid w:val="00781665"/>
    <w:rsid w:val="007816C0"/>
    <w:rsid w:val="00781A5C"/>
    <w:rsid w:val="00781B07"/>
    <w:rsid w:val="00781C1B"/>
    <w:rsid w:val="00782488"/>
    <w:rsid w:val="00782734"/>
    <w:rsid w:val="00782768"/>
    <w:rsid w:val="007828AB"/>
    <w:rsid w:val="00783A39"/>
    <w:rsid w:val="00783CFC"/>
    <w:rsid w:val="007844E7"/>
    <w:rsid w:val="007845EF"/>
    <w:rsid w:val="00784606"/>
    <w:rsid w:val="0078482F"/>
    <w:rsid w:val="00784C31"/>
    <w:rsid w:val="00784C32"/>
    <w:rsid w:val="00784E9C"/>
    <w:rsid w:val="00784EAD"/>
    <w:rsid w:val="007856C9"/>
    <w:rsid w:val="00785705"/>
    <w:rsid w:val="00785A85"/>
    <w:rsid w:val="00785E90"/>
    <w:rsid w:val="00785F25"/>
    <w:rsid w:val="007861B6"/>
    <w:rsid w:val="00786298"/>
    <w:rsid w:val="0078652F"/>
    <w:rsid w:val="007865BC"/>
    <w:rsid w:val="007866CD"/>
    <w:rsid w:val="00786808"/>
    <w:rsid w:val="00786EAE"/>
    <w:rsid w:val="00787131"/>
    <w:rsid w:val="0078750B"/>
    <w:rsid w:val="00787857"/>
    <w:rsid w:val="00787C8D"/>
    <w:rsid w:val="00787F71"/>
    <w:rsid w:val="00790111"/>
    <w:rsid w:val="00790183"/>
    <w:rsid w:val="0079069C"/>
    <w:rsid w:val="00790828"/>
    <w:rsid w:val="00790AC5"/>
    <w:rsid w:val="00791164"/>
    <w:rsid w:val="007912C5"/>
    <w:rsid w:val="00791349"/>
    <w:rsid w:val="007915FC"/>
    <w:rsid w:val="00791A30"/>
    <w:rsid w:val="00791DCF"/>
    <w:rsid w:val="00791E86"/>
    <w:rsid w:val="00791FB5"/>
    <w:rsid w:val="00792124"/>
    <w:rsid w:val="00792175"/>
    <w:rsid w:val="0079226F"/>
    <w:rsid w:val="00792295"/>
    <w:rsid w:val="00792397"/>
    <w:rsid w:val="007927AD"/>
    <w:rsid w:val="00792924"/>
    <w:rsid w:val="00792B96"/>
    <w:rsid w:val="00792D96"/>
    <w:rsid w:val="0079302E"/>
    <w:rsid w:val="007934F4"/>
    <w:rsid w:val="00793528"/>
    <w:rsid w:val="0079377A"/>
    <w:rsid w:val="0079392D"/>
    <w:rsid w:val="007939CB"/>
    <w:rsid w:val="00793C31"/>
    <w:rsid w:val="00794391"/>
    <w:rsid w:val="0079440C"/>
    <w:rsid w:val="0079474A"/>
    <w:rsid w:val="00794B07"/>
    <w:rsid w:val="00794E7F"/>
    <w:rsid w:val="00794EE2"/>
    <w:rsid w:val="00795918"/>
    <w:rsid w:val="00795A6C"/>
    <w:rsid w:val="007960D2"/>
    <w:rsid w:val="00796317"/>
    <w:rsid w:val="00796548"/>
    <w:rsid w:val="00796E15"/>
    <w:rsid w:val="00796F98"/>
    <w:rsid w:val="00797129"/>
    <w:rsid w:val="00797424"/>
    <w:rsid w:val="00797935"/>
    <w:rsid w:val="007979E4"/>
    <w:rsid w:val="007A0096"/>
    <w:rsid w:val="007A0160"/>
    <w:rsid w:val="007A0199"/>
    <w:rsid w:val="007A0529"/>
    <w:rsid w:val="007A0841"/>
    <w:rsid w:val="007A0943"/>
    <w:rsid w:val="007A0F2C"/>
    <w:rsid w:val="007A12D2"/>
    <w:rsid w:val="007A143F"/>
    <w:rsid w:val="007A1490"/>
    <w:rsid w:val="007A15C2"/>
    <w:rsid w:val="007A1626"/>
    <w:rsid w:val="007A1D5A"/>
    <w:rsid w:val="007A238F"/>
    <w:rsid w:val="007A241D"/>
    <w:rsid w:val="007A27A4"/>
    <w:rsid w:val="007A2961"/>
    <w:rsid w:val="007A2A18"/>
    <w:rsid w:val="007A2A59"/>
    <w:rsid w:val="007A2FB5"/>
    <w:rsid w:val="007A3112"/>
    <w:rsid w:val="007A32EC"/>
    <w:rsid w:val="007A3335"/>
    <w:rsid w:val="007A34BD"/>
    <w:rsid w:val="007A3513"/>
    <w:rsid w:val="007A3597"/>
    <w:rsid w:val="007A3629"/>
    <w:rsid w:val="007A4054"/>
    <w:rsid w:val="007A4543"/>
    <w:rsid w:val="007A4C78"/>
    <w:rsid w:val="007A4E54"/>
    <w:rsid w:val="007A5136"/>
    <w:rsid w:val="007A5385"/>
    <w:rsid w:val="007A5507"/>
    <w:rsid w:val="007A553F"/>
    <w:rsid w:val="007A5564"/>
    <w:rsid w:val="007A55AF"/>
    <w:rsid w:val="007A56AB"/>
    <w:rsid w:val="007A5974"/>
    <w:rsid w:val="007A5C50"/>
    <w:rsid w:val="007A5DC4"/>
    <w:rsid w:val="007A5F39"/>
    <w:rsid w:val="007A649C"/>
    <w:rsid w:val="007A6724"/>
    <w:rsid w:val="007A687D"/>
    <w:rsid w:val="007A6AE5"/>
    <w:rsid w:val="007A6CDC"/>
    <w:rsid w:val="007A7EEE"/>
    <w:rsid w:val="007B0172"/>
    <w:rsid w:val="007B04C7"/>
    <w:rsid w:val="007B06F9"/>
    <w:rsid w:val="007B0824"/>
    <w:rsid w:val="007B08E1"/>
    <w:rsid w:val="007B0E7C"/>
    <w:rsid w:val="007B0F05"/>
    <w:rsid w:val="007B0FC5"/>
    <w:rsid w:val="007B11A5"/>
    <w:rsid w:val="007B14CA"/>
    <w:rsid w:val="007B14F4"/>
    <w:rsid w:val="007B16C6"/>
    <w:rsid w:val="007B1987"/>
    <w:rsid w:val="007B19A2"/>
    <w:rsid w:val="007B1A20"/>
    <w:rsid w:val="007B1A3D"/>
    <w:rsid w:val="007B22CD"/>
    <w:rsid w:val="007B2536"/>
    <w:rsid w:val="007B27A4"/>
    <w:rsid w:val="007B289C"/>
    <w:rsid w:val="007B2B1E"/>
    <w:rsid w:val="007B2D17"/>
    <w:rsid w:val="007B3045"/>
    <w:rsid w:val="007B3169"/>
    <w:rsid w:val="007B33E7"/>
    <w:rsid w:val="007B36F4"/>
    <w:rsid w:val="007B3BDD"/>
    <w:rsid w:val="007B3E3F"/>
    <w:rsid w:val="007B41CD"/>
    <w:rsid w:val="007B4361"/>
    <w:rsid w:val="007B460D"/>
    <w:rsid w:val="007B4C9D"/>
    <w:rsid w:val="007B4EE2"/>
    <w:rsid w:val="007B5572"/>
    <w:rsid w:val="007B58F3"/>
    <w:rsid w:val="007B59BA"/>
    <w:rsid w:val="007B5A5C"/>
    <w:rsid w:val="007B5BF5"/>
    <w:rsid w:val="007B6135"/>
    <w:rsid w:val="007B61EA"/>
    <w:rsid w:val="007B630F"/>
    <w:rsid w:val="007B6A28"/>
    <w:rsid w:val="007B6BFA"/>
    <w:rsid w:val="007B6D27"/>
    <w:rsid w:val="007B6DB8"/>
    <w:rsid w:val="007B6F14"/>
    <w:rsid w:val="007B72E8"/>
    <w:rsid w:val="007B75C6"/>
    <w:rsid w:val="007B7E5D"/>
    <w:rsid w:val="007C02C9"/>
    <w:rsid w:val="007C0593"/>
    <w:rsid w:val="007C10CB"/>
    <w:rsid w:val="007C116B"/>
    <w:rsid w:val="007C144F"/>
    <w:rsid w:val="007C1499"/>
    <w:rsid w:val="007C1A48"/>
    <w:rsid w:val="007C2310"/>
    <w:rsid w:val="007C2591"/>
    <w:rsid w:val="007C2695"/>
    <w:rsid w:val="007C26F3"/>
    <w:rsid w:val="007C2818"/>
    <w:rsid w:val="007C286C"/>
    <w:rsid w:val="007C288A"/>
    <w:rsid w:val="007C2CC7"/>
    <w:rsid w:val="007C3007"/>
    <w:rsid w:val="007C3053"/>
    <w:rsid w:val="007C3178"/>
    <w:rsid w:val="007C322F"/>
    <w:rsid w:val="007C3863"/>
    <w:rsid w:val="007C3A1E"/>
    <w:rsid w:val="007C43F6"/>
    <w:rsid w:val="007C4475"/>
    <w:rsid w:val="007C4512"/>
    <w:rsid w:val="007C4F5E"/>
    <w:rsid w:val="007C5055"/>
    <w:rsid w:val="007C511C"/>
    <w:rsid w:val="007C52B4"/>
    <w:rsid w:val="007C56BA"/>
    <w:rsid w:val="007C5A9B"/>
    <w:rsid w:val="007C5ACD"/>
    <w:rsid w:val="007C5CCA"/>
    <w:rsid w:val="007C5EB4"/>
    <w:rsid w:val="007C6131"/>
    <w:rsid w:val="007C64BC"/>
    <w:rsid w:val="007C64CE"/>
    <w:rsid w:val="007C6E32"/>
    <w:rsid w:val="007C6FB5"/>
    <w:rsid w:val="007C7080"/>
    <w:rsid w:val="007C72A8"/>
    <w:rsid w:val="007C75A8"/>
    <w:rsid w:val="007C78AB"/>
    <w:rsid w:val="007C7FDE"/>
    <w:rsid w:val="007D014F"/>
    <w:rsid w:val="007D0AF3"/>
    <w:rsid w:val="007D0C38"/>
    <w:rsid w:val="007D155E"/>
    <w:rsid w:val="007D1605"/>
    <w:rsid w:val="007D161F"/>
    <w:rsid w:val="007D1755"/>
    <w:rsid w:val="007D186A"/>
    <w:rsid w:val="007D18B9"/>
    <w:rsid w:val="007D18C1"/>
    <w:rsid w:val="007D18D3"/>
    <w:rsid w:val="007D1B2D"/>
    <w:rsid w:val="007D1CDA"/>
    <w:rsid w:val="007D1E6D"/>
    <w:rsid w:val="007D290B"/>
    <w:rsid w:val="007D29EA"/>
    <w:rsid w:val="007D3687"/>
    <w:rsid w:val="007D3BFF"/>
    <w:rsid w:val="007D45C7"/>
    <w:rsid w:val="007D467D"/>
    <w:rsid w:val="007D4D2A"/>
    <w:rsid w:val="007D4DDE"/>
    <w:rsid w:val="007D5124"/>
    <w:rsid w:val="007D5261"/>
    <w:rsid w:val="007D58AE"/>
    <w:rsid w:val="007D5EBA"/>
    <w:rsid w:val="007D5EBD"/>
    <w:rsid w:val="007D5F14"/>
    <w:rsid w:val="007D5FE9"/>
    <w:rsid w:val="007D63FC"/>
    <w:rsid w:val="007D69D6"/>
    <w:rsid w:val="007D6B07"/>
    <w:rsid w:val="007D6DBB"/>
    <w:rsid w:val="007D6E02"/>
    <w:rsid w:val="007D6E33"/>
    <w:rsid w:val="007D6FAE"/>
    <w:rsid w:val="007D70CF"/>
    <w:rsid w:val="007D716A"/>
    <w:rsid w:val="007D73CB"/>
    <w:rsid w:val="007D74E1"/>
    <w:rsid w:val="007D758A"/>
    <w:rsid w:val="007D7797"/>
    <w:rsid w:val="007D7BD6"/>
    <w:rsid w:val="007D7C72"/>
    <w:rsid w:val="007D7D6E"/>
    <w:rsid w:val="007D7E68"/>
    <w:rsid w:val="007E00F6"/>
    <w:rsid w:val="007E0303"/>
    <w:rsid w:val="007E030F"/>
    <w:rsid w:val="007E04FF"/>
    <w:rsid w:val="007E066F"/>
    <w:rsid w:val="007E0F62"/>
    <w:rsid w:val="007E15E1"/>
    <w:rsid w:val="007E1B35"/>
    <w:rsid w:val="007E1C22"/>
    <w:rsid w:val="007E1C72"/>
    <w:rsid w:val="007E204A"/>
    <w:rsid w:val="007E208A"/>
    <w:rsid w:val="007E21FE"/>
    <w:rsid w:val="007E2C40"/>
    <w:rsid w:val="007E2FE3"/>
    <w:rsid w:val="007E3439"/>
    <w:rsid w:val="007E3513"/>
    <w:rsid w:val="007E359C"/>
    <w:rsid w:val="007E370D"/>
    <w:rsid w:val="007E383D"/>
    <w:rsid w:val="007E386A"/>
    <w:rsid w:val="007E3A02"/>
    <w:rsid w:val="007E3A72"/>
    <w:rsid w:val="007E3D7F"/>
    <w:rsid w:val="007E3F70"/>
    <w:rsid w:val="007E3FE5"/>
    <w:rsid w:val="007E40D2"/>
    <w:rsid w:val="007E44A4"/>
    <w:rsid w:val="007E470B"/>
    <w:rsid w:val="007E4A5F"/>
    <w:rsid w:val="007E4ECD"/>
    <w:rsid w:val="007E5097"/>
    <w:rsid w:val="007E523E"/>
    <w:rsid w:val="007E5495"/>
    <w:rsid w:val="007E5644"/>
    <w:rsid w:val="007E5856"/>
    <w:rsid w:val="007E5956"/>
    <w:rsid w:val="007E59AE"/>
    <w:rsid w:val="007E5C2C"/>
    <w:rsid w:val="007E5E73"/>
    <w:rsid w:val="007E5F1B"/>
    <w:rsid w:val="007E606F"/>
    <w:rsid w:val="007E621A"/>
    <w:rsid w:val="007E62EB"/>
    <w:rsid w:val="007E653F"/>
    <w:rsid w:val="007E660C"/>
    <w:rsid w:val="007E68C0"/>
    <w:rsid w:val="007E6B0C"/>
    <w:rsid w:val="007E7D56"/>
    <w:rsid w:val="007E7D8D"/>
    <w:rsid w:val="007E7F18"/>
    <w:rsid w:val="007F00CE"/>
    <w:rsid w:val="007F0385"/>
    <w:rsid w:val="007F06E5"/>
    <w:rsid w:val="007F09BE"/>
    <w:rsid w:val="007F09F7"/>
    <w:rsid w:val="007F0AE4"/>
    <w:rsid w:val="007F0B96"/>
    <w:rsid w:val="007F1378"/>
    <w:rsid w:val="007F1792"/>
    <w:rsid w:val="007F1F39"/>
    <w:rsid w:val="007F1F65"/>
    <w:rsid w:val="007F207D"/>
    <w:rsid w:val="007F226A"/>
    <w:rsid w:val="007F24DF"/>
    <w:rsid w:val="007F266D"/>
    <w:rsid w:val="007F296D"/>
    <w:rsid w:val="007F2BDC"/>
    <w:rsid w:val="007F2F0D"/>
    <w:rsid w:val="007F2F20"/>
    <w:rsid w:val="007F30C8"/>
    <w:rsid w:val="007F369E"/>
    <w:rsid w:val="007F38DC"/>
    <w:rsid w:val="007F39B9"/>
    <w:rsid w:val="007F39C2"/>
    <w:rsid w:val="007F3A6D"/>
    <w:rsid w:val="007F488A"/>
    <w:rsid w:val="007F4B48"/>
    <w:rsid w:val="007F4C38"/>
    <w:rsid w:val="007F4D16"/>
    <w:rsid w:val="007F53B8"/>
    <w:rsid w:val="007F53C9"/>
    <w:rsid w:val="007F53F3"/>
    <w:rsid w:val="007F55AE"/>
    <w:rsid w:val="007F585D"/>
    <w:rsid w:val="007F5884"/>
    <w:rsid w:val="007F5BBF"/>
    <w:rsid w:val="007F5DC4"/>
    <w:rsid w:val="007F63CD"/>
    <w:rsid w:val="007F66C1"/>
    <w:rsid w:val="007F682A"/>
    <w:rsid w:val="007F683A"/>
    <w:rsid w:val="007F6A42"/>
    <w:rsid w:val="007F6B12"/>
    <w:rsid w:val="007F6DA1"/>
    <w:rsid w:val="007F6F41"/>
    <w:rsid w:val="007F7110"/>
    <w:rsid w:val="007F71A6"/>
    <w:rsid w:val="007F7946"/>
    <w:rsid w:val="007F7B5F"/>
    <w:rsid w:val="007F7C1D"/>
    <w:rsid w:val="007F7C95"/>
    <w:rsid w:val="008005DA"/>
    <w:rsid w:val="00800BB6"/>
    <w:rsid w:val="00800ECE"/>
    <w:rsid w:val="00801159"/>
    <w:rsid w:val="008012A9"/>
    <w:rsid w:val="008012AD"/>
    <w:rsid w:val="008013C1"/>
    <w:rsid w:val="00801528"/>
    <w:rsid w:val="00801546"/>
    <w:rsid w:val="00801691"/>
    <w:rsid w:val="008016BC"/>
    <w:rsid w:val="00801A4A"/>
    <w:rsid w:val="00801B0E"/>
    <w:rsid w:val="008029FD"/>
    <w:rsid w:val="00802B07"/>
    <w:rsid w:val="00803406"/>
    <w:rsid w:val="0080354E"/>
    <w:rsid w:val="00803626"/>
    <w:rsid w:val="00803ABC"/>
    <w:rsid w:val="00803ABE"/>
    <w:rsid w:val="00803AE0"/>
    <w:rsid w:val="00803B60"/>
    <w:rsid w:val="00803C55"/>
    <w:rsid w:val="00804276"/>
    <w:rsid w:val="00804830"/>
    <w:rsid w:val="00804A32"/>
    <w:rsid w:val="00804CAD"/>
    <w:rsid w:val="00804F5C"/>
    <w:rsid w:val="00804FC5"/>
    <w:rsid w:val="008051D5"/>
    <w:rsid w:val="00805521"/>
    <w:rsid w:val="008055D7"/>
    <w:rsid w:val="00805601"/>
    <w:rsid w:val="00805A59"/>
    <w:rsid w:val="00805A99"/>
    <w:rsid w:val="00805C67"/>
    <w:rsid w:val="0080605A"/>
    <w:rsid w:val="0080614D"/>
    <w:rsid w:val="008066CF"/>
    <w:rsid w:val="00806754"/>
    <w:rsid w:val="00806768"/>
    <w:rsid w:val="008067A2"/>
    <w:rsid w:val="00806DF3"/>
    <w:rsid w:val="00806E6C"/>
    <w:rsid w:val="00807031"/>
    <w:rsid w:val="00807039"/>
    <w:rsid w:val="00807370"/>
    <w:rsid w:val="00807678"/>
    <w:rsid w:val="00807C16"/>
    <w:rsid w:val="00807C31"/>
    <w:rsid w:val="00807F21"/>
    <w:rsid w:val="008100EB"/>
    <w:rsid w:val="00810607"/>
    <w:rsid w:val="0081094E"/>
    <w:rsid w:val="00810D01"/>
    <w:rsid w:val="00810D0F"/>
    <w:rsid w:val="00810FB1"/>
    <w:rsid w:val="0081105A"/>
    <w:rsid w:val="008111D1"/>
    <w:rsid w:val="008114E4"/>
    <w:rsid w:val="0081168C"/>
    <w:rsid w:val="008118C5"/>
    <w:rsid w:val="00811BED"/>
    <w:rsid w:val="00811CA1"/>
    <w:rsid w:val="008129B6"/>
    <w:rsid w:val="00813409"/>
    <w:rsid w:val="008134AB"/>
    <w:rsid w:val="0081389D"/>
    <w:rsid w:val="00813BC9"/>
    <w:rsid w:val="0081426B"/>
    <w:rsid w:val="0081496C"/>
    <w:rsid w:val="00814F21"/>
    <w:rsid w:val="008159DE"/>
    <w:rsid w:val="00815BF4"/>
    <w:rsid w:val="00816036"/>
    <w:rsid w:val="00816270"/>
    <w:rsid w:val="0081693A"/>
    <w:rsid w:val="00816D02"/>
    <w:rsid w:val="00816E6A"/>
    <w:rsid w:val="00816F70"/>
    <w:rsid w:val="00817063"/>
    <w:rsid w:val="00817242"/>
    <w:rsid w:val="00817387"/>
    <w:rsid w:val="008178E9"/>
    <w:rsid w:val="00817BBF"/>
    <w:rsid w:val="00817E45"/>
    <w:rsid w:val="00817ECC"/>
    <w:rsid w:val="00820619"/>
    <w:rsid w:val="0082090E"/>
    <w:rsid w:val="00820BA0"/>
    <w:rsid w:val="00820BB9"/>
    <w:rsid w:val="00820BFA"/>
    <w:rsid w:val="00820D07"/>
    <w:rsid w:val="00820E5B"/>
    <w:rsid w:val="0082104D"/>
    <w:rsid w:val="008212C3"/>
    <w:rsid w:val="008213D1"/>
    <w:rsid w:val="00821621"/>
    <w:rsid w:val="0082177F"/>
    <w:rsid w:val="00821AC2"/>
    <w:rsid w:val="00821C62"/>
    <w:rsid w:val="00821DED"/>
    <w:rsid w:val="00821F6E"/>
    <w:rsid w:val="008220F6"/>
    <w:rsid w:val="008226E1"/>
    <w:rsid w:val="00822CDD"/>
    <w:rsid w:val="008230B1"/>
    <w:rsid w:val="00823224"/>
    <w:rsid w:val="00823377"/>
    <w:rsid w:val="008235B7"/>
    <w:rsid w:val="008236BC"/>
    <w:rsid w:val="008236ED"/>
    <w:rsid w:val="00823CE8"/>
    <w:rsid w:val="0082424B"/>
    <w:rsid w:val="00824340"/>
    <w:rsid w:val="00824623"/>
    <w:rsid w:val="00824C36"/>
    <w:rsid w:val="00824D1D"/>
    <w:rsid w:val="00824F89"/>
    <w:rsid w:val="00825198"/>
    <w:rsid w:val="008252EE"/>
    <w:rsid w:val="00825B8F"/>
    <w:rsid w:val="00825CAC"/>
    <w:rsid w:val="00825DDF"/>
    <w:rsid w:val="00825F62"/>
    <w:rsid w:val="008260BB"/>
    <w:rsid w:val="008262C2"/>
    <w:rsid w:val="008262D5"/>
    <w:rsid w:val="008264CB"/>
    <w:rsid w:val="0082673B"/>
    <w:rsid w:val="008267D8"/>
    <w:rsid w:val="00826A7A"/>
    <w:rsid w:val="00827021"/>
    <w:rsid w:val="00827257"/>
    <w:rsid w:val="0082725B"/>
    <w:rsid w:val="00827410"/>
    <w:rsid w:val="008276D6"/>
    <w:rsid w:val="00827B55"/>
    <w:rsid w:val="00827F09"/>
    <w:rsid w:val="008305A5"/>
    <w:rsid w:val="008305D1"/>
    <w:rsid w:val="008308E7"/>
    <w:rsid w:val="0083099D"/>
    <w:rsid w:val="00830B06"/>
    <w:rsid w:val="00830B09"/>
    <w:rsid w:val="00830DC7"/>
    <w:rsid w:val="00831005"/>
    <w:rsid w:val="008312AD"/>
    <w:rsid w:val="008312DD"/>
    <w:rsid w:val="008318E1"/>
    <w:rsid w:val="008319AB"/>
    <w:rsid w:val="008327FD"/>
    <w:rsid w:val="00832D98"/>
    <w:rsid w:val="00833091"/>
    <w:rsid w:val="008336FD"/>
    <w:rsid w:val="00833ECC"/>
    <w:rsid w:val="00834106"/>
    <w:rsid w:val="0083414B"/>
    <w:rsid w:val="00834CB8"/>
    <w:rsid w:val="00834D04"/>
    <w:rsid w:val="00834E61"/>
    <w:rsid w:val="00835077"/>
    <w:rsid w:val="00835387"/>
    <w:rsid w:val="00835832"/>
    <w:rsid w:val="0083646F"/>
    <w:rsid w:val="00836608"/>
    <w:rsid w:val="00836840"/>
    <w:rsid w:val="008372B2"/>
    <w:rsid w:val="00837F11"/>
    <w:rsid w:val="0084006A"/>
    <w:rsid w:val="00840471"/>
    <w:rsid w:val="0084096F"/>
    <w:rsid w:val="008409E0"/>
    <w:rsid w:val="00840AA9"/>
    <w:rsid w:val="008414C2"/>
    <w:rsid w:val="00841BFE"/>
    <w:rsid w:val="00841C36"/>
    <w:rsid w:val="00841D02"/>
    <w:rsid w:val="00841D05"/>
    <w:rsid w:val="00841F3A"/>
    <w:rsid w:val="00841F60"/>
    <w:rsid w:val="008420EC"/>
    <w:rsid w:val="0084230A"/>
    <w:rsid w:val="0084253F"/>
    <w:rsid w:val="0084284B"/>
    <w:rsid w:val="0084292A"/>
    <w:rsid w:val="00842E95"/>
    <w:rsid w:val="00843014"/>
    <w:rsid w:val="00843018"/>
    <w:rsid w:val="00843181"/>
    <w:rsid w:val="008434A7"/>
    <w:rsid w:val="00843A2E"/>
    <w:rsid w:val="00843C96"/>
    <w:rsid w:val="00843D93"/>
    <w:rsid w:val="00843E22"/>
    <w:rsid w:val="008446E0"/>
    <w:rsid w:val="00844737"/>
    <w:rsid w:val="008449B9"/>
    <w:rsid w:val="008449BC"/>
    <w:rsid w:val="00844CF0"/>
    <w:rsid w:val="00844DA2"/>
    <w:rsid w:val="00844F56"/>
    <w:rsid w:val="00844F9A"/>
    <w:rsid w:val="00845269"/>
    <w:rsid w:val="00845525"/>
    <w:rsid w:val="008456FB"/>
    <w:rsid w:val="00845810"/>
    <w:rsid w:val="00845A3F"/>
    <w:rsid w:val="00845AA9"/>
    <w:rsid w:val="00845B85"/>
    <w:rsid w:val="008460CE"/>
    <w:rsid w:val="0084625F"/>
    <w:rsid w:val="0084675A"/>
    <w:rsid w:val="008467BD"/>
    <w:rsid w:val="008468B4"/>
    <w:rsid w:val="00846AC0"/>
    <w:rsid w:val="00846D0B"/>
    <w:rsid w:val="0084739E"/>
    <w:rsid w:val="008473E3"/>
    <w:rsid w:val="00847755"/>
    <w:rsid w:val="008478A5"/>
    <w:rsid w:val="0084795D"/>
    <w:rsid w:val="008479A4"/>
    <w:rsid w:val="00847D4C"/>
    <w:rsid w:val="00847E05"/>
    <w:rsid w:val="008500E1"/>
    <w:rsid w:val="0085012E"/>
    <w:rsid w:val="008501D6"/>
    <w:rsid w:val="00850202"/>
    <w:rsid w:val="00850365"/>
    <w:rsid w:val="00850542"/>
    <w:rsid w:val="008506C3"/>
    <w:rsid w:val="00850BC2"/>
    <w:rsid w:val="00850CF3"/>
    <w:rsid w:val="008510EB"/>
    <w:rsid w:val="00851491"/>
    <w:rsid w:val="008517C5"/>
    <w:rsid w:val="00851AD9"/>
    <w:rsid w:val="00851B91"/>
    <w:rsid w:val="00851DB6"/>
    <w:rsid w:val="00851E22"/>
    <w:rsid w:val="00852035"/>
    <w:rsid w:val="0085205C"/>
    <w:rsid w:val="0085235C"/>
    <w:rsid w:val="00852430"/>
    <w:rsid w:val="008526BF"/>
    <w:rsid w:val="0085276A"/>
    <w:rsid w:val="00852A09"/>
    <w:rsid w:val="00852B58"/>
    <w:rsid w:val="00852B66"/>
    <w:rsid w:val="00853620"/>
    <w:rsid w:val="00853FFF"/>
    <w:rsid w:val="008540F8"/>
    <w:rsid w:val="008540F9"/>
    <w:rsid w:val="00854724"/>
    <w:rsid w:val="00854760"/>
    <w:rsid w:val="00854D97"/>
    <w:rsid w:val="00854E14"/>
    <w:rsid w:val="00854FC9"/>
    <w:rsid w:val="00855057"/>
    <w:rsid w:val="00855427"/>
    <w:rsid w:val="008555B4"/>
    <w:rsid w:val="00855762"/>
    <w:rsid w:val="00855D57"/>
    <w:rsid w:val="00855E04"/>
    <w:rsid w:val="00856654"/>
    <w:rsid w:val="008568F9"/>
    <w:rsid w:val="00856BEF"/>
    <w:rsid w:val="00856BFE"/>
    <w:rsid w:val="00856D05"/>
    <w:rsid w:val="00857171"/>
    <w:rsid w:val="00857378"/>
    <w:rsid w:val="00857558"/>
    <w:rsid w:val="008578AA"/>
    <w:rsid w:val="00857F1E"/>
    <w:rsid w:val="008603E7"/>
    <w:rsid w:val="008605F8"/>
    <w:rsid w:val="008606C3"/>
    <w:rsid w:val="00860846"/>
    <w:rsid w:val="00860E2C"/>
    <w:rsid w:val="00860E95"/>
    <w:rsid w:val="00860EC0"/>
    <w:rsid w:val="0086109D"/>
    <w:rsid w:val="008615F6"/>
    <w:rsid w:val="00861B37"/>
    <w:rsid w:val="00861BF0"/>
    <w:rsid w:val="00861E61"/>
    <w:rsid w:val="00861E67"/>
    <w:rsid w:val="00861EB1"/>
    <w:rsid w:val="0086264E"/>
    <w:rsid w:val="00862B7D"/>
    <w:rsid w:val="00862BA9"/>
    <w:rsid w:val="0086324F"/>
    <w:rsid w:val="00863645"/>
    <w:rsid w:val="008638A5"/>
    <w:rsid w:val="00863A6C"/>
    <w:rsid w:val="00863E2C"/>
    <w:rsid w:val="00863E46"/>
    <w:rsid w:val="00864A30"/>
    <w:rsid w:val="00864A64"/>
    <w:rsid w:val="00864DA1"/>
    <w:rsid w:val="008656C3"/>
    <w:rsid w:val="008657AD"/>
    <w:rsid w:val="00865D88"/>
    <w:rsid w:val="008663E0"/>
    <w:rsid w:val="008667A5"/>
    <w:rsid w:val="00866834"/>
    <w:rsid w:val="008669B7"/>
    <w:rsid w:val="00866CC9"/>
    <w:rsid w:val="00866F0D"/>
    <w:rsid w:val="008670FD"/>
    <w:rsid w:val="008671AD"/>
    <w:rsid w:val="00867369"/>
    <w:rsid w:val="0086764F"/>
    <w:rsid w:val="008676F7"/>
    <w:rsid w:val="008678C8"/>
    <w:rsid w:val="00867908"/>
    <w:rsid w:val="00867C51"/>
    <w:rsid w:val="00870334"/>
    <w:rsid w:val="00870495"/>
    <w:rsid w:val="008709FA"/>
    <w:rsid w:val="00871484"/>
    <w:rsid w:val="008715D3"/>
    <w:rsid w:val="00871674"/>
    <w:rsid w:val="00871757"/>
    <w:rsid w:val="00871AD7"/>
    <w:rsid w:val="00871BBE"/>
    <w:rsid w:val="00871E26"/>
    <w:rsid w:val="00872045"/>
    <w:rsid w:val="0087209B"/>
    <w:rsid w:val="0087229B"/>
    <w:rsid w:val="00872428"/>
    <w:rsid w:val="00872766"/>
    <w:rsid w:val="00872829"/>
    <w:rsid w:val="00872C81"/>
    <w:rsid w:val="00872FF4"/>
    <w:rsid w:val="0087341C"/>
    <w:rsid w:val="0087393D"/>
    <w:rsid w:val="00873AA8"/>
    <w:rsid w:val="00873BB6"/>
    <w:rsid w:val="00873FD2"/>
    <w:rsid w:val="008740C7"/>
    <w:rsid w:val="00874235"/>
    <w:rsid w:val="00874452"/>
    <w:rsid w:val="00874606"/>
    <w:rsid w:val="00874654"/>
    <w:rsid w:val="00874AB5"/>
    <w:rsid w:val="00874BB0"/>
    <w:rsid w:val="00874F67"/>
    <w:rsid w:val="00874F6D"/>
    <w:rsid w:val="00875112"/>
    <w:rsid w:val="008751D8"/>
    <w:rsid w:val="00875BBF"/>
    <w:rsid w:val="00875BDB"/>
    <w:rsid w:val="00875C00"/>
    <w:rsid w:val="00875C49"/>
    <w:rsid w:val="00875DFA"/>
    <w:rsid w:val="00875F08"/>
    <w:rsid w:val="00875F66"/>
    <w:rsid w:val="00875F72"/>
    <w:rsid w:val="008762BC"/>
    <w:rsid w:val="008766FB"/>
    <w:rsid w:val="00876DEC"/>
    <w:rsid w:val="00876FA1"/>
    <w:rsid w:val="008773DD"/>
    <w:rsid w:val="008774A7"/>
    <w:rsid w:val="008776EB"/>
    <w:rsid w:val="0087784E"/>
    <w:rsid w:val="00877D2B"/>
    <w:rsid w:val="00877EA1"/>
    <w:rsid w:val="0088006A"/>
    <w:rsid w:val="00880295"/>
    <w:rsid w:val="0088034A"/>
    <w:rsid w:val="00880486"/>
    <w:rsid w:val="00880906"/>
    <w:rsid w:val="0088093F"/>
    <w:rsid w:val="00880B0F"/>
    <w:rsid w:val="00880DE2"/>
    <w:rsid w:val="00880EBC"/>
    <w:rsid w:val="008816C2"/>
    <w:rsid w:val="00881BB6"/>
    <w:rsid w:val="00881D02"/>
    <w:rsid w:val="00881E03"/>
    <w:rsid w:val="00881E6A"/>
    <w:rsid w:val="00881F2A"/>
    <w:rsid w:val="00881FA1"/>
    <w:rsid w:val="008825E0"/>
    <w:rsid w:val="00882721"/>
    <w:rsid w:val="00882793"/>
    <w:rsid w:val="008827A8"/>
    <w:rsid w:val="00882806"/>
    <w:rsid w:val="0088280E"/>
    <w:rsid w:val="0088299D"/>
    <w:rsid w:val="008829C6"/>
    <w:rsid w:val="00882E24"/>
    <w:rsid w:val="00882F9A"/>
    <w:rsid w:val="00882FC4"/>
    <w:rsid w:val="00883111"/>
    <w:rsid w:val="0088315D"/>
    <w:rsid w:val="00883338"/>
    <w:rsid w:val="008833D7"/>
    <w:rsid w:val="0088352F"/>
    <w:rsid w:val="00883C8D"/>
    <w:rsid w:val="0088425F"/>
    <w:rsid w:val="00884425"/>
    <w:rsid w:val="0088453D"/>
    <w:rsid w:val="008847E3"/>
    <w:rsid w:val="00884BDB"/>
    <w:rsid w:val="008854F6"/>
    <w:rsid w:val="008857B4"/>
    <w:rsid w:val="008857B8"/>
    <w:rsid w:val="00885CB0"/>
    <w:rsid w:val="00885E40"/>
    <w:rsid w:val="00885F98"/>
    <w:rsid w:val="0088606E"/>
    <w:rsid w:val="00886421"/>
    <w:rsid w:val="0088646B"/>
    <w:rsid w:val="008865DC"/>
    <w:rsid w:val="008867BE"/>
    <w:rsid w:val="00886848"/>
    <w:rsid w:val="0088696E"/>
    <w:rsid w:val="00886F49"/>
    <w:rsid w:val="00886F9A"/>
    <w:rsid w:val="00887846"/>
    <w:rsid w:val="008879FA"/>
    <w:rsid w:val="00887CD7"/>
    <w:rsid w:val="00890015"/>
    <w:rsid w:val="008900CD"/>
    <w:rsid w:val="0089014A"/>
    <w:rsid w:val="00890180"/>
    <w:rsid w:val="008905A9"/>
    <w:rsid w:val="00890670"/>
    <w:rsid w:val="00890AF8"/>
    <w:rsid w:val="0089170F"/>
    <w:rsid w:val="00891983"/>
    <w:rsid w:val="00891D3A"/>
    <w:rsid w:val="00892223"/>
    <w:rsid w:val="00892353"/>
    <w:rsid w:val="00892DED"/>
    <w:rsid w:val="00892E7E"/>
    <w:rsid w:val="00892F1A"/>
    <w:rsid w:val="00893069"/>
    <w:rsid w:val="008939FA"/>
    <w:rsid w:val="00893E0A"/>
    <w:rsid w:val="008941B6"/>
    <w:rsid w:val="00894363"/>
    <w:rsid w:val="00894443"/>
    <w:rsid w:val="00894A0A"/>
    <w:rsid w:val="00894A24"/>
    <w:rsid w:val="00894BAC"/>
    <w:rsid w:val="00894CF9"/>
    <w:rsid w:val="00895075"/>
    <w:rsid w:val="008952B2"/>
    <w:rsid w:val="008959D2"/>
    <w:rsid w:val="00895E4C"/>
    <w:rsid w:val="00895E84"/>
    <w:rsid w:val="00895F39"/>
    <w:rsid w:val="00896106"/>
    <w:rsid w:val="00896673"/>
    <w:rsid w:val="00896CC9"/>
    <w:rsid w:val="008970C8"/>
    <w:rsid w:val="00897486"/>
    <w:rsid w:val="008975B2"/>
    <w:rsid w:val="00897B32"/>
    <w:rsid w:val="00897D19"/>
    <w:rsid w:val="008A0157"/>
    <w:rsid w:val="008A02D1"/>
    <w:rsid w:val="008A057E"/>
    <w:rsid w:val="008A063A"/>
    <w:rsid w:val="008A07B5"/>
    <w:rsid w:val="008A08E4"/>
    <w:rsid w:val="008A0A35"/>
    <w:rsid w:val="008A1040"/>
    <w:rsid w:val="008A13FA"/>
    <w:rsid w:val="008A191E"/>
    <w:rsid w:val="008A1FA8"/>
    <w:rsid w:val="008A21EF"/>
    <w:rsid w:val="008A2282"/>
    <w:rsid w:val="008A28A7"/>
    <w:rsid w:val="008A2CEC"/>
    <w:rsid w:val="008A3018"/>
    <w:rsid w:val="008A311E"/>
    <w:rsid w:val="008A316B"/>
    <w:rsid w:val="008A3213"/>
    <w:rsid w:val="008A33A2"/>
    <w:rsid w:val="008A3769"/>
    <w:rsid w:val="008A3B9A"/>
    <w:rsid w:val="008A48E5"/>
    <w:rsid w:val="008A4933"/>
    <w:rsid w:val="008A49DD"/>
    <w:rsid w:val="008A4AFF"/>
    <w:rsid w:val="008A4BFE"/>
    <w:rsid w:val="008A4FB9"/>
    <w:rsid w:val="008A509E"/>
    <w:rsid w:val="008A50A7"/>
    <w:rsid w:val="008A53E2"/>
    <w:rsid w:val="008A588A"/>
    <w:rsid w:val="008A58B4"/>
    <w:rsid w:val="008A5B14"/>
    <w:rsid w:val="008A5C18"/>
    <w:rsid w:val="008A5CE6"/>
    <w:rsid w:val="008A5DB7"/>
    <w:rsid w:val="008A5F71"/>
    <w:rsid w:val="008A64C6"/>
    <w:rsid w:val="008A652A"/>
    <w:rsid w:val="008A67F9"/>
    <w:rsid w:val="008A69D9"/>
    <w:rsid w:val="008A7008"/>
    <w:rsid w:val="008A7081"/>
    <w:rsid w:val="008A7296"/>
    <w:rsid w:val="008A76EB"/>
    <w:rsid w:val="008A7B5B"/>
    <w:rsid w:val="008A7BD0"/>
    <w:rsid w:val="008A7C43"/>
    <w:rsid w:val="008A7FFC"/>
    <w:rsid w:val="008B0566"/>
    <w:rsid w:val="008B08A0"/>
    <w:rsid w:val="008B0C87"/>
    <w:rsid w:val="008B0CED"/>
    <w:rsid w:val="008B11B4"/>
    <w:rsid w:val="008B15E6"/>
    <w:rsid w:val="008B1DF8"/>
    <w:rsid w:val="008B2036"/>
    <w:rsid w:val="008B2297"/>
    <w:rsid w:val="008B2570"/>
    <w:rsid w:val="008B26DB"/>
    <w:rsid w:val="008B2783"/>
    <w:rsid w:val="008B287D"/>
    <w:rsid w:val="008B2C7F"/>
    <w:rsid w:val="008B2F15"/>
    <w:rsid w:val="008B357D"/>
    <w:rsid w:val="008B35C9"/>
    <w:rsid w:val="008B3D68"/>
    <w:rsid w:val="008B40F8"/>
    <w:rsid w:val="008B4376"/>
    <w:rsid w:val="008B4629"/>
    <w:rsid w:val="008B486A"/>
    <w:rsid w:val="008B48E1"/>
    <w:rsid w:val="008B497D"/>
    <w:rsid w:val="008B4A6D"/>
    <w:rsid w:val="008B4C32"/>
    <w:rsid w:val="008B4CBE"/>
    <w:rsid w:val="008B5917"/>
    <w:rsid w:val="008B5BD5"/>
    <w:rsid w:val="008B6248"/>
    <w:rsid w:val="008B6459"/>
    <w:rsid w:val="008B66A4"/>
    <w:rsid w:val="008B6B7E"/>
    <w:rsid w:val="008B6D6C"/>
    <w:rsid w:val="008B6D8A"/>
    <w:rsid w:val="008B6D9E"/>
    <w:rsid w:val="008B6E03"/>
    <w:rsid w:val="008B709F"/>
    <w:rsid w:val="008B72FF"/>
    <w:rsid w:val="008B7615"/>
    <w:rsid w:val="008B7956"/>
    <w:rsid w:val="008B7A2A"/>
    <w:rsid w:val="008B7EA0"/>
    <w:rsid w:val="008C002B"/>
    <w:rsid w:val="008C009E"/>
    <w:rsid w:val="008C02F3"/>
    <w:rsid w:val="008C0369"/>
    <w:rsid w:val="008C03E9"/>
    <w:rsid w:val="008C092E"/>
    <w:rsid w:val="008C09C4"/>
    <w:rsid w:val="008C0C0D"/>
    <w:rsid w:val="008C12D2"/>
    <w:rsid w:val="008C12F7"/>
    <w:rsid w:val="008C169B"/>
    <w:rsid w:val="008C1DAF"/>
    <w:rsid w:val="008C20CA"/>
    <w:rsid w:val="008C2136"/>
    <w:rsid w:val="008C21FF"/>
    <w:rsid w:val="008C2297"/>
    <w:rsid w:val="008C24FA"/>
    <w:rsid w:val="008C2694"/>
    <w:rsid w:val="008C2894"/>
    <w:rsid w:val="008C295F"/>
    <w:rsid w:val="008C2BCC"/>
    <w:rsid w:val="008C2DF0"/>
    <w:rsid w:val="008C2FB5"/>
    <w:rsid w:val="008C33FC"/>
    <w:rsid w:val="008C3412"/>
    <w:rsid w:val="008C3687"/>
    <w:rsid w:val="008C3800"/>
    <w:rsid w:val="008C389E"/>
    <w:rsid w:val="008C3BFB"/>
    <w:rsid w:val="008C3C5C"/>
    <w:rsid w:val="008C434B"/>
    <w:rsid w:val="008C44E6"/>
    <w:rsid w:val="008C460C"/>
    <w:rsid w:val="008C4A8D"/>
    <w:rsid w:val="008C4B0C"/>
    <w:rsid w:val="008C52C7"/>
    <w:rsid w:val="008C5BB0"/>
    <w:rsid w:val="008C5CD9"/>
    <w:rsid w:val="008C5E0C"/>
    <w:rsid w:val="008C5F50"/>
    <w:rsid w:val="008C61D3"/>
    <w:rsid w:val="008C6941"/>
    <w:rsid w:val="008C6BCB"/>
    <w:rsid w:val="008C6FD3"/>
    <w:rsid w:val="008C7744"/>
    <w:rsid w:val="008C7A41"/>
    <w:rsid w:val="008C7D96"/>
    <w:rsid w:val="008D0A03"/>
    <w:rsid w:val="008D0AF2"/>
    <w:rsid w:val="008D0B73"/>
    <w:rsid w:val="008D0D8E"/>
    <w:rsid w:val="008D0DC8"/>
    <w:rsid w:val="008D127B"/>
    <w:rsid w:val="008D18C7"/>
    <w:rsid w:val="008D197A"/>
    <w:rsid w:val="008D1ABC"/>
    <w:rsid w:val="008D1D17"/>
    <w:rsid w:val="008D1EF5"/>
    <w:rsid w:val="008D21E1"/>
    <w:rsid w:val="008D241F"/>
    <w:rsid w:val="008D26B6"/>
    <w:rsid w:val="008D2708"/>
    <w:rsid w:val="008D2891"/>
    <w:rsid w:val="008D28B8"/>
    <w:rsid w:val="008D2E1E"/>
    <w:rsid w:val="008D32A2"/>
    <w:rsid w:val="008D37C9"/>
    <w:rsid w:val="008D3BB1"/>
    <w:rsid w:val="008D3D3D"/>
    <w:rsid w:val="008D3DF7"/>
    <w:rsid w:val="008D4205"/>
    <w:rsid w:val="008D424C"/>
    <w:rsid w:val="008D44DC"/>
    <w:rsid w:val="008D450F"/>
    <w:rsid w:val="008D46A6"/>
    <w:rsid w:val="008D4951"/>
    <w:rsid w:val="008D4E51"/>
    <w:rsid w:val="008D520F"/>
    <w:rsid w:val="008D5385"/>
    <w:rsid w:val="008D5602"/>
    <w:rsid w:val="008D59E6"/>
    <w:rsid w:val="008D5B0C"/>
    <w:rsid w:val="008D60A8"/>
    <w:rsid w:val="008D616E"/>
    <w:rsid w:val="008D6424"/>
    <w:rsid w:val="008D6517"/>
    <w:rsid w:val="008D6915"/>
    <w:rsid w:val="008D6B37"/>
    <w:rsid w:val="008D723E"/>
    <w:rsid w:val="008D743B"/>
    <w:rsid w:val="008D7670"/>
    <w:rsid w:val="008D7749"/>
    <w:rsid w:val="008D7A00"/>
    <w:rsid w:val="008D7AAF"/>
    <w:rsid w:val="008D7B06"/>
    <w:rsid w:val="008D7BA6"/>
    <w:rsid w:val="008D7E18"/>
    <w:rsid w:val="008E0049"/>
    <w:rsid w:val="008E040F"/>
    <w:rsid w:val="008E0955"/>
    <w:rsid w:val="008E0B52"/>
    <w:rsid w:val="008E0CC4"/>
    <w:rsid w:val="008E111D"/>
    <w:rsid w:val="008E18C5"/>
    <w:rsid w:val="008E19DF"/>
    <w:rsid w:val="008E1BEE"/>
    <w:rsid w:val="008E223A"/>
    <w:rsid w:val="008E229D"/>
    <w:rsid w:val="008E22A9"/>
    <w:rsid w:val="008E2359"/>
    <w:rsid w:val="008E2942"/>
    <w:rsid w:val="008E2C9B"/>
    <w:rsid w:val="008E30B2"/>
    <w:rsid w:val="008E347D"/>
    <w:rsid w:val="008E3497"/>
    <w:rsid w:val="008E3526"/>
    <w:rsid w:val="008E356D"/>
    <w:rsid w:val="008E3CC5"/>
    <w:rsid w:val="008E3F30"/>
    <w:rsid w:val="008E3F61"/>
    <w:rsid w:val="008E4725"/>
    <w:rsid w:val="008E474A"/>
    <w:rsid w:val="008E48AF"/>
    <w:rsid w:val="008E493D"/>
    <w:rsid w:val="008E4B17"/>
    <w:rsid w:val="008E4D57"/>
    <w:rsid w:val="008E5098"/>
    <w:rsid w:val="008E534A"/>
    <w:rsid w:val="008E562B"/>
    <w:rsid w:val="008E58C0"/>
    <w:rsid w:val="008E5A8A"/>
    <w:rsid w:val="008E5ABA"/>
    <w:rsid w:val="008E5CDD"/>
    <w:rsid w:val="008E5E3B"/>
    <w:rsid w:val="008E6054"/>
    <w:rsid w:val="008E6281"/>
    <w:rsid w:val="008E6381"/>
    <w:rsid w:val="008E65EC"/>
    <w:rsid w:val="008E6600"/>
    <w:rsid w:val="008E6712"/>
    <w:rsid w:val="008E6797"/>
    <w:rsid w:val="008E67C0"/>
    <w:rsid w:val="008E6BFB"/>
    <w:rsid w:val="008E6E7D"/>
    <w:rsid w:val="008E6F02"/>
    <w:rsid w:val="008E7888"/>
    <w:rsid w:val="008E7E79"/>
    <w:rsid w:val="008E7E86"/>
    <w:rsid w:val="008F019F"/>
    <w:rsid w:val="008F02D2"/>
    <w:rsid w:val="008F04D5"/>
    <w:rsid w:val="008F075E"/>
    <w:rsid w:val="008F0DC0"/>
    <w:rsid w:val="008F0EA1"/>
    <w:rsid w:val="008F17EA"/>
    <w:rsid w:val="008F18CC"/>
    <w:rsid w:val="008F195C"/>
    <w:rsid w:val="008F1A14"/>
    <w:rsid w:val="008F1DF4"/>
    <w:rsid w:val="008F20BD"/>
    <w:rsid w:val="008F22D2"/>
    <w:rsid w:val="008F24A5"/>
    <w:rsid w:val="008F24C3"/>
    <w:rsid w:val="008F2E51"/>
    <w:rsid w:val="008F33D6"/>
    <w:rsid w:val="008F346F"/>
    <w:rsid w:val="008F3684"/>
    <w:rsid w:val="008F368B"/>
    <w:rsid w:val="008F36B1"/>
    <w:rsid w:val="008F3784"/>
    <w:rsid w:val="008F3C51"/>
    <w:rsid w:val="008F3D54"/>
    <w:rsid w:val="008F3DD5"/>
    <w:rsid w:val="008F419B"/>
    <w:rsid w:val="008F448C"/>
    <w:rsid w:val="008F4657"/>
    <w:rsid w:val="008F4A04"/>
    <w:rsid w:val="008F5856"/>
    <w:rsid w:val="008F597B"/>
    <w:rsid w:val="008F5A9B"/>
    <w:rsid w:val="008F5AEB"/>
    <w:rsid w:val="008F5C7F"/>
    <w:rsid w:val="008F67B9"/>
    <w:rsid w:val="008F6BED"/>
    <w:rsid w:val="008F6E93"/>
    <w:rsid w:val="008F6F3C"/>
    <w:rsid w:val="008F7198"/>
    <w:rsid w:val="008F783E"/>
    <w:rsid w:val="008F79A8"/>
    <w:rsid w:val="008F7A30"/>
    <w:rsid w:val="008F7A8D"/>
    <w:rsid w:val="008F7AC6"/>
    <w:rsid w:val="008F7CD3"/>
    <w:rsid w:val="009003B7"/>
    <w:rsid w:val="009003CC"/>
    <w:rsid w:val="0090048D"/>
    <w:rsid w:val="00900947"/>
    <w:rsid w:val="00900E14"/>
    <w:rsid w:val="0090104C"/>
    <w:rsid w:val="009014CA"/>
    <w:rsid w:val="009015E5"/>
    <w:rsid w:val="009016BE"/>
    <w:rsid w:val="00901705"/>
    <w:rsid w:val="009019EB"/>
    <w:rsid w:val="00901B56"/>
    <w:rsid w:val="00901E0C"/>
    <w:rsid w:val="00902216"/>
    <w:rsid w:val="0090221B"/>
    <w:rsid w:val="0090255E"/>
    <w:rsid w:val="00902955"/>
    <w:rsid w:val="00902A29"/>
    <w:rsid w:val="00902AE7"/>
    <w:rsid w:val="00902D4E"/>
    <w:rsid w:val="00903032"/>
    <w:rsid w:val="0090343C"/>
    <w:rsid w:val="00903728"/>
    <w:rsid w:val="00903786"/>
    <w:rsid w:val="0090378F"/>
    <w:rsid w:val="009037BB"/>
    <w:rsid w:val="0090381B"/>
    <w:rsid w:val="009046E0"/>
    <w:rsid w:val="00904812"/>
    <w:rsid w:val="00904AED"/>
    <w:rsid w:val="009052EC"/>
    <w:rsid w:val="00905617"/>
    <w:rsid w:val="00905B37"/>
    <w:rsid w:val="00905F63"/>
    <w:rsid w:val="00906070"/>
    <w:rsid w:val="009065C0"/>
    <w:rsid w:val="0090694D"/>
    <w:rsid w:val="009069F4"/>
    <w:rsid w:val="00906B6E"/>
    <w:rsid w:val="00907319"/>
    <w:rsid w:val="009073B7"/>
    <w:rsid w:val="009075FD"/>
    <w:rsid w:val="00907638"/>
    <w:rsid w:val="00907811"/>
    <w:rsid w:val="00907AFE"/>
    <w:rsid w:val="0091013C"/>
    <w:rsid w:val="0091039A"/>
    <w:rsid w:val="0091077E"/>
    <w:rsid w:val="00910A5E"/>
    <w:rsid w:val="00910F1B"/>
    <w:rsid w:val="00910F97"/>
    <w:rsid w:val="00911368"/>
    <w:rsid w:val="009114D2"/>
    <w:rsid w:val="009114D7"/>
    <w:rsid w:val="00911520"/>
    <w:rsid w:val="009117F0"/>
    <w:rsid w:val="0091207A"/>
    <w:rsid w:val="009120CB"/>
    <w:rsid w:val="009127D0"/>
    <w:rsid w:val="00912896"/>
    <w:rsid w:val="00912D98"/>
    <w:rsid w:val="00912FE8"/>
    <w:rsid w:val="00913134"/>
    <w:rsid w:val="00913396"/>
    <w:rsid w:val="0091361D"/>
    <w:rsid w:val="00913A04"/>
    <w:rsid w:val="00913DF0"/>
    <w:rsid w:val="0091427C"/>
    <w:rsid w:val="009145AC"/>
    <w:rsid w:val="00914704"/>
    <w:rsid w:val="00914876"/>
    <w:rsid w:val="00914906"/>
    <w:rsid w:val="00914D7F"/>
    <w:rsid w:val="00914EC2"/>
    <w:rsid w:val="009153E7"/>
    <w:rsid w:val="00915714"/>
    <w:rsid w:val="00915881"/>
    <w:rsid w:val="00915D42"/>
    <w:rsid w:val="00916024"/>
    <w:rsid w:val="009163F1"/>
    <w:rsid w:val="00916604"/>
    <w:rsid w:val="00916827"/>
    <w:rsid w:val="0091689B"/>
    <w:rsid w:val="00916A4B"/>
    <w:rsid w:val="00916DB4"/>
    <w:rsid w:val="00916DB7"/>
    <w:rsid w:val="00916E42"/>
    <w:rsid w:val="0091710B"/>
    <w:rsid w:val="00917358"/>
    <w:rsid w:val="0091737B"/>
    <w:rsid w:val="0091740F"/>
    <w:rsid w:val="00917892"/>
    <w:rsid w:val="009178B2"/>
    <w:rsid w:val="009179D9"/>
    <w:rsid w:val="00917AAB"/>
    <w:rsid w:val="0092006D"/>
    <w:rsid w:val="0092020C"/>
    <w:rsid w:val="009204E6"/>
    <w:rsid w:val="00920898"/>
    <w:rsid w:val="00920C38"/>
    <w:rsid w:val="00920CE4"/>
    <w:rsid w:val="009210D9"/>
    <w:rsid w:val="00921174"/>
    <w:rsid w:val="009214F5"/>
    <w:rsid w:val="00921601"/>
    <w:rsid w:val="00921C34"/>
    <w:rsid w:val="00921DFB"/>
    <w:rsid w:val="00921F3C"/>
    <w:rsid w:val="0092253E"/>
    <w:rsid w:val="00922EA0"/>
    <w:rsid w:val="009233B0"/>
    <w:rsid w:val="00923912"/>
    <w:rsid w:val="00923D83"/>
    <w:rsid w:val="00923FB9"/>
    <w:rsid w:val="0092413A"/>
    <w:rsid w:val="009241E5"/>
    <w:rsid w:val="009246C9"/>
    <w:rsid w:val="009249AE"/>
    <w:rsid w:val="00924A2B"/>
    <w:rsid w:val="009253BB"/>
    <w:rsid w:val="009253CF"/>
    <w:rsid w:val="009254AD"/>
    <w:rsid w:val="009256AC"/>
    <w:rsid w:val="00925C0F"/>
    <w:rsid w:val="00925C64"/>
    <w:rsid w:val="00926256"/>
    <w:rsid w:val="009267CC"/>
    <w:rsid w:val="00926901"/>
    <w:rsid w:val="0092690E"/>
    <w:rsid w:val="00926B01"/>
    <w:rsid w:val="00926B8A"/>
    <w:rsid w:val="00926C20"/>
    <w:rsid w:val="00926C2C"/>
    <w:rsid w:val="009274A1"/>
    <w:rsid w:val="00927595"/>
    <w:rsid w:val="00927788"/>
    <w:rsid w:val="009278E1"/>
    <w:rsid w:val="00927A17"/>
    <w:rsid w:val="00927BD5"/>
    <w:rsid w:val="00927E45"/>
    <w:rsid w:val="009305A7"/>
    <w:rsid w:val="00930653"/>
    <w:rsid w:val="0093081E"/>
    <w:rsid w:val="0093099E"/>
    <w:rsid w:val="00930A86"/>
    <w:rsid w:val="00931054"/>
    <w:rsid w:val="009310B7"/>
    <w:rsid w:val="0093125F"/>
    <w:rsid w:val="00931427"/>
    <w:rsid w:val="00931545"/>
    <w:rsid w:val="00931687"/>
    <w:rsid w:val="00932353"/>
    <w:rsid w:val="00932975"/>
    <w:rsid w:val="00932C29"/>
    <w:rsid w:val="009330C4"/>
    <w:rsid w:val="009330D0"/>
    <w:rsid w:val="00933499"/>
    <w:rsid w:val="009334E1"/>
    <w:rsid w:val="0093374B"/>
    <w:rsid w:val="00933753"/>
    <w:rsid w:val="00933755"/>
    <w:rsid w:val="00933BC3"/>
    <w:rsid w:val="00933FA8"/>
    <w:rsid w:val="0093404C"/>
    <w:rsid w:val="00934353"/>
    <w:rsid w:val="009344B7"/>
    <w:rsid w:val="00934AB5"/>
    <w:rsid w:val="00934DD2"/>
    <w:rsid w:val="009350AD"/>
    <w:rsid w:val="0093545E"/>
    <w:rsid w:val="009355A1"/>
    <w:rsid w:val="00935FB1"/>
    <w:rsid w:val="00936370"/>
    <w:rsid w:val="0093640F"/>
    <w:rsid w:val="00936580"/>
    <w:rsid w:val="009367F7"/>
    <w:rsid w:val="00936D40"/>
    <w:rsid w:val="00936EE2"/>
    <w:rsid w:val="009402E7"/>
    <w:rsid w:val="009407A5"/>
    <w:rsid w:val="00940B8C"/>
    <w:rsid w:val="00940F47"/>
    <w:rsid w:val="00941525"/>
    <w:rsid w:val="009415CF"/>
    <w:rsid w:val="009416DF"/>
    <w:rsid w:val="00941BF0"/>
    <w:rsid w:val="00941E8F"/>
    <w:rsid w:val="00942033"/>
    <w:rsid w:val="00942912"/>
    <w:rsid w:val="009429F7"/>
    <w:rsid w:val="00942BA9"/>
    <w:rsid w:val="00942C5E"/>
    <w:rsid w:val="00942DA6"/>
    <w:rsid w:val="00943204"/>
    <w:rsid w:val="00943342"/>
    <w:rsid w:val="0094384B"/>
    <w:rsid w:val="009438DF"/>
    <w:rsid w:val="009439C3"/>
    <w:rsid w:val="00943DEA"/>
    <w:rsid w:val="00943DFB"/>
    <w:rsid w:val="0094416A"/>
    <w:rsid w:val="009446AD"/>
    <w:rsid w:val="009447B8"/>
    <w:rsid w:val="009449F8"/>
    <w:rsid w:val="00944B63"/>
    <w:rsid w:val="00944BFB"/>
    <w:rsid w:val="009455EE"/>
    <w:rsid w:val="0094580B"/>
    <w:rsid w:val="00945BAC"/>
    <w:rsid w:val="00945BD5"/>
    <w:rsid w:val="00945BFB"/>
    <w:rsid w:val="00945E99"/>
    <w:rsid w:val="00945EB8"/>
    <w:rsid w:val="0094613E"/>
    <w:rsid w:val="009465F8"/>
    <w:rsid w:val="00946AED"/>
    <w:rsid w:val="00946E4C"/>
    <w:rsid w:val="0094717B"/>
    <w:rsid w:val="009472A9"/>
    <w:rsid w:val="009476D4"/>
    <w:rsid w:val="00947810"/>
    <w:rsid w:val="009478FF"/>
    <w:rsid w:val="0094796F"/>
    <w:rsid w:val="00947AF3"/>
    <w:rsid w:val="00947BD6"/>
    <w:rsid w:val="00947CAD"/>
    <w:rsid w:val="00947CC9"/>
    <w:rsid w:val="00947CE3"/>
    <w:rsid w:val="009501EC"/>
    <w:rsid w:val="00950363"/>
    <w:rsid w:val="009506B7"/>
    <w:rsid w:val="00950788"/>
    <w:rsid w:val="009508EC"/>
    <w:rsid w:val="00950A4E"/>
    <w:rsid w:val="00950B9A"/>
    <w:rsid w:val="00950C9D"/>
    <w:rsid w:val="00950CD9"/>
    <w:rsid w:val="00950D8B"/>
    <w:rsid w:val="00950EC6"/>
    <w:rsid w:val="00950F91"/>
    <w:rsid w:val="009512A8"/>
    <w:rsid w:val="009515D4"/>
    <w:rsid w:val="00951611"/>
    <w:rsid w:val="009517DF"/>
    <w:rsid w:val="00951A9C"/>
    <w:rsid w:val="00951B54"/>
    <w:rsid w:val="00951BD1"/>
    <w:rsid w:val="009524E4"/>
    <w:rsid w:val="00952516"/>
    <w:rsid w:val="00952534"/>
    <w:rsid w:val="009525DC"/>
    <w:rsid w:val="0095263C"/>
    <w:rsid w:val="00952818"/>
    <w:rsid w:val="00952908"/>
    <w:rsid w:val="0095297C"/>
    <w:rsid w:val="00952DA0"/>
    <w:rsid w:val="00952DB6"/>
    <w:rsid w:val="00952DEC"/>
    <w:rsid w:val="00952F1B"/>
    <w:rsid w:val="00952FA4"/>
    <w:rsid w:val="009534A1"/>
    <w:rsid w:val="0095392F"/>
    <w:rsid w:val="00953C1C"/>
    <w:rsid w:val="00953FB7"/>
    <w:rsid w:val="00953FD4"/>
    <w:rsid w:val="00954070"/>
    <w:rsid w:val="0095417E"/>
    <w:rsid w:val="009542AD"/>
    <w:rsid w:val="0095456C"/>
    <w:rsid w:val="0095485D"/>
    <w:rsid w:val="00954870"/>
    <w:rsid w:val="00954DB0"/>
    <w:rsid w:val="00954EBE"/>
    <w:rsid w:val="0095510F"/>
    <w:rsid w:val="0095529F"/>
    <w:rsid w:val="00955746"/>
    <w:rsid w:val="00955BF4"/>
    <w:rsid w:val="00955D21"/>
    <w:rsid w:val="0095652F"/>
    <w:rsid w:val="00956957"/>
    <w:rsid w:val="00956D9D"/>
    <w:rsid w:val="00956E25"/>
    <w:rsid w:val="00956F57"/>
    <w:rsid w:val="00957046"/>
    <w:rsid w:val="0095740D"/>
    <w:rsid w:val="0095756C"/>
    <w:rsid w:val="0095794D"/>
    <w:rsid w:val="00957FB2"/>
    <w:rsid w:val="00960007"/>
    <w:rsid w:val="0096001D"/>
    <w:rsid w:val="0096047E"/>
    <w:rsid w:val="00960535"/>
    <w:rsid w:val="00960607"/>
    <w:rsid w:val="0096109F"/>
    <w:rsid w:val="00961455"/>
    <w:rsid w:val="009614F9"/>
    <w:rsid w:val="009615E1"/>
    <w:rsid w:val="0096190E"/>
    <w:rsid w:val="009619B5"/>
    <w:rsid w:val="009619C3"/>
    <w:rsid w:val="00961B4E"/>
    <w:rsid w:val="00961B4F"/>
    <w:rsid w:val="00961F8B"/>
    <w:rsid w:val="009623EE"/>
    <w:rsid w:val="009624A1"/>
    <w:rsid w:val="0096257D"/>
    <w:rsid w:val="009629F5"/>
    <w:rsid w:val="00962DE1"/>
    <w:rsid w:val="00962E44"/>
    <w:rsid w:val="00962E56"/>
    <w:rsid w:val="009631DA"/>
    <w:rsid w:val="009633D0"/>
    <w:rsid w:val="009636A7"/>
    <w:rsid w:val="0096374B"/>
    <w:rsid w:val="00963CCC"/>
    <w:rsid w:val="00963CCD"/>
    <w:rsid w:val="00964122"/>
    <w:rsid w:val="009641EF"/>
    <w:rsid w:val="0096468A"/>
    <w:rsid w:val="00964720"/>
    <w:rsid w:val="009647A4"/>
    <w:rsid w:val="00964E98"/>
    <w:rsid w:val="00964EC0"/>
    <w:rsid w:val="00964FE1"/>
    <w:rsid w:val="00965147"/>
    <w:rsid w:val="00965528"/>
    <w:rsid w:val="00965830"/>
    <w:rsid w:val="00965D5C"/>
    <w:rsid w:val="0096606F"/>
    <w:rsid w:val="00966494"/>
    <w:rsid w:val="0096660B"/>
    <w:rsid w:val="009667EB"/>
    <w:rsid w:val="0096695C"/>
    <w:rsid w:val="00966A2E"/>
    <w:rsid w:val="00967106"/>
    <w:rsid w:val="009672A4"/>
    <w:rsid w:val="00967379"/>
    <w:rsid w:val="009675DF"/>
    <w:rsid w:val="00967CE5"/>
    <w:rsid w:val="00967DF9"/>
    <w:rsid w:val="0097030F"/>
    <w:rsid w:val="00970492"/>
    <w:rsid w:val="00970511"/>
    <w:rsid w:val="009706B7"/>
    <w:rsid w:val="00970950"/>
    <w:rsid w:val="00970C1F"/>
    <w:rsid w:val="00970CFD"/>
    <w:rsid w:val="009711DD"/>
    <w:rsid w:val="0097121F"/>
    <w:rsid w:val="00971477"/>
    <w:rsid w:val="009715EE"/>
    <w:rsid w:val="00971809"/>
    <w:rsid w:val="009718C6"/>
    <w:rsid w:val="009718EC"/>
    <w:rsid w:val="00971C6F"/>
    <w:rsid w:val="00971D8B"/>
    <w:rsid w:val="0097220A"/>
    <w:rsid w:val="009724C3"/>
    <w:rsid w:val="0097257D"/>
    <w:rsid w:val="00972631"/>
    <w:rsid w:val="00972828"/>
    <w:rsid w:val="0097289F"/>
    <w:rsid w:val="009733AD"/>
    <w:rsid w:val="009733D3"/>
    <w:rsid w:val="009736F9"/>
    <w:rsid w:val="00973953"/>
    <w:rsid w:val="009739D0"/>
    <w:rsid w:val="00973B3A"/>
    <w:rsid w:val="009746AF"/>
    <w:rsid w:val="00974CB4"/>
    <w:rsid w:val="009751DF"/>
    <w:rsid w:val="00975769"/>
    <w:rsid w:val="00975897"/>
    <w:rsid w:val="00975A35"/>
    <w:rsid w:val="00975BEA"/>
    <w:rsid w:val="00975D06"/>
    <w:rsid w:val="00975E6A"/>
    <w:rsid w:val="00976125"/>
    <w:rsid w:val="00976130"/>
    <w:rsid w:val="0097678A"/>
    <w:rsid w:val="00976D6E"/>
    <w:rsid w:val="009770A9"/>
    <w:rsid w:val="009773EB"/>
    <w:rsid w:val="0097761E"/>
    <w:rsid w:val="0097762B"/>
    <w:rsid w:val="00977740"/>
    <w:rsid w:val="009779F3"/>
    <w:rsid w:val="00980024"/>
    <w:rsid w:val="009801AA"/>
    <w:rsid w:val="00980327"/>
    <w:rsid w:val="0098074B"/>
    <w:rsid w:val="00980A33"/>
    <w:rsid w:val="00980CA4"/>
    <w:rsid w:val="00981007"/>
    <w:rsid w:val="009812DD"/>
    <w:rsid w:val="009815F7"/>
    <w:rsid w:val="009817B4"/>
    <w:rsid w:val="00981800"/>
    <w:rsid w:val="009819EF"/>
    <w:rsid w:val="00981A4E"/>
    <w:rsid w:val="00981B1A"/>
    <w:rsid w:val="00981BD8"/>
    <w:rsid w:val="00981BDD"/>
    <w:rsid w:val="00981EB4"/>
    <w:rsid w:val="00981F71"/>
    <w:rsid w:val="009822B2"/>
    <w:rsid w:val="00982FED"/>
    <w:rsid w:val="0098356F"/>
    <w:rsid w:val="00983701"/>
    <w:rsid w:val="00983815"/>
    <w:rsid w:val="0098384F"/>
    <w:rsid w:val="00983B5B"/>
    <w:rsid w:val="00983CB1"/>
    <w:rsid w:val="00984169"/>
    <w:rsid w:val="009843E5"/>
    <w:rsid w:val="009848D4"/>
    <w:rsid w:val="00984CDE"/>
    <w:rsid w:val="00984D1E"/>
    <w:rsid w:val="00984F99"/>
    <w:rsid w:val="009853A5"/>
    <w:rsid w:val="009854B7"/>
    <w:rsid w:val="00985B99"/>
    <w:rsid w:val="00985B9A"/>
    <w:rsid w:val="00985D7E"/>
    <w:rsid w:val="00985DCA"/>
    <w:rsid w:val="00986288"/>
    <w:rsid w:val="009865BC"/>
    <w:rsid w:val="00986C46"/>
    <w:rsid w:val="00986E64"/>
    <w:rsid w:val="009871EC"/>
    <w:rsid w:val="009877FA"/>
    <w:rsid w:val="00987980"/>
    <w:rsid w:val="00987B04"/>
    <w:rsid w:val="0099008E"/>
    <w:rsid w:val="009904C3"/>
    <w:rsid w:val="009906D3"/>
    <w:rsid w:val="00990D93"/>
    <w:rsid w:val="009910F2"/>
    <w:rsid w:val="009914F0"/>
    <w:rsid w:val="009916B1"/>
    <w:rsid w:val="00991BB2"/>
    <w:rsid w:val="00991C16"/>
    <w:rsid w:val="00992687"/>
    <w:rsid w:val="0099302F"/>
    <w:rsid w:val="00993166"/>
    <w:rsid w:val="00993206"/>
    <w:rsid w:val="00993236"/>
    <w:rsid w:val="00993BB6"/>
    <w:rsid w:val="00993CA6"/>
    <w:rsid w:val="00993D47"/>
    <w:rsid w:val="00993FD0"/>
    <w:rsid w:val="0099413B"/>
    <w:rsid w:val="0099460E"/>
    <w:rsid w:val="009947C3"/>
    <w:rsid w:val="00995098"/>
    <w:rsid w:val="00995279"/>
    <w:rsid w:val="0099538A"/>
    <w:rsid w:val="009954EE"/>
    <w:rsid w:val="009959C1"/>
    <w:rsid w:val="009959C4"/>
    <w:rsid w:val="00995C2B"/>
    <w:rsid w:val="00995D12"/>
    <w:rsid w:val="00995DE2"/>
    <w:rsid w:val="009960E4"/>
    <w:rsid w:val="00996136"/>
    <w:rsid w:val="0099613E"/>
    <w:rsid w:val="00996362"/>
    <w:rsid w:val="00996768"/>
    <w:rsid w:val="009968E1"/>
    <w:rsid w:val="00996BDE"/>
    <w:rsid w:val="00996C76"/>
    <w:rsid w:val="00996F70"/>
    <w:rsid w:val="009972DB"/>
    <w:rsid w:val="00997A49"/>
    <w:rsid w:val="00997DF8"/>
    <w:rsid w:val="009A0174"/>
    <w:rsid w:val="009A05C9"/>
    <w:rsid w:val="009A0A86"/>
    <w:rsid w:val="009A11D8"/>
    <w:rsid w:val="009A124A"/>
    <w:rsid w:val="009A132F"/>
    <w:rsid w:val="009A159B"/>
    <w:rsid w:val="009A1B34"/>
    <w:rsid w:val="009A1D13"/>
    <w:rsid w:val="009A20D8"/>
    <w:rsid w:val="009A214F"/>
    <w:rsid w:val="009A21FF"/>
    <w:rsid w:val="009A273E"/>
    <w:rsid w:val="009A2CBC"/>
    <w:rsid w:val="009A30E5"/>
    <w:rsid w:val="009A344D"/>
    <w:rsid w:val="009A356F"/>
    <w:rsid w:val="009A3730"/>
    <w:rsid w:val="009A37BC"/>
    <w:rsid w:val="009A3921"/>
    <w:rsid w:val="009A3B28"/>
    <w:rsid w:val="009A3BC3"/>
    <w:rsid w:val="009A3C73"/>
    <w:rsid w:val="009A45F2"/>
    <w:rsid w:val="009A46D0"/>
    <w:rsid w:val="009A4737"/>
    <w:rsid w:val="009A4766"/>
    <w:rsid w:val="009A4D3F"/>
    <w:rsid w:val="009A4E2A"/>
    <w:rsid w:val="009A516D"/>
    <w:rsid w:val="009A53D1"/>
    <w:rsid w:val="009A5504"/>
    <w:rsid w:val="009A5518"/>
    <w:rsid w:val="009A5787"/>
    <w:rsid w:val="009A5A06"/>
    <w:rsid w:val="009A5A20"/>
    <w:rsid w:val="009A5CDB"/>
    <w:rsid w:val="009A5E37"/>
    <w:rsid w:val="009A5E50"/>
    <w:rsid w:val="009A5F05"/>
    <w:rsid w:val="009A6075"/>
    <w:rsid w:val="009A60A0"/>
    <w:rsid w:val="009A68C2"/>
    <w:rsid w:val="009A6A90"/>
    <w:rsid w:val="009A6ADB"/>
    <w:rsid w:val="009A6CBA"/>
    <w:rsid w:val="009A6D53"/>
    <w:rsid w:val="009A7380"/>
    <w:rsid w:val="009A74CC"/>
    <w:rsid w:val="009A790B"/>
    <w:rsid w:val="009A7AF8"/>
    <w:rsid w:val="009A7B40"/>
    <w:rsid w:val="009A7B50"/>
    <w:rsid w:val="009A7C45"/>
    <w:rsid w:val="009B04B4"/>
    <w:rsid w:val="009B0776"/>
    <w:rsid w:val="009B0961"/>
    <w:rsid w:val="009B0A1B"/>
    <w:rsid w:val="009B0AEA"/>
    <w:rsid w:val="009B0AFF"/>
    <w:rsid w:val="009B0C22"/>
    <w:rsid w:val="009B10AE"/>
    <w:rsid w:val="009B127B"/>
    <w:rsid w:val="009B12DF"/>
    <w:rsid w:val="009B12EF"/>
    <w:rsid w:val="009B1D85"/>
    <w:rsid w:val="009B1E57"/>
    <w:rsid w:val="009B214F"/>
    <w:rsid w:val="009B21AC"/>
    <w:rsid w:val="009B2311"/>
    <w:rsid w:val="009B2352"/>
    <w:rsid w:val="009B27D9"/>
    <w:rsid w:val="009B2AB4"/>
    <w:rsid w:val="009B2B50"/>
    <w:rsid w:val="009B31D3"/>
    <w:rsid w:val="009B346B"/>
    <w:rsid w:val="009B3535"/>
    <w:rsid w:val="009B3AE7"/>
    <w:rsid w:val="009B449E"/>
    <w:rsid w:val="009B47EC"/>
    <w:rsid w:val="009B4A06"/>
    <w:rsid w:val="009B4AD0"/>
    <w:rsid w:val="009B4EC2"/>
    <w:rsid w:val="009B4F3A"/>
    <w:rsid w:val="009B50CC"/>
    <w:rsid w:val="009B520F"/>
    <w:rsid w:val="009B5260"/>
    <w:rsid w:val="009B542B"/>
    <w:rsid w:val="009B56DE"/>
    <w:rsid w:val="009B5AA3"/>
    <w:rsid w:val="009B5B1A"/>
    <w:rsid w:val="009B5B1E"/>
    <w:rsid w:val="009B5CF3"/>
    <w:rsid w:val="009B60D8"/>
    <w:rsid w:val="009B61D7"/>
    <w:rsid w:val="009B6281"/>
    <w:rsid w:val="009B6B27"/>
    <w:rsid w:val="009B72E5"/>
    <w:rsid w:val="009B79E2"/>
    <w:rsid w:val="009B7CA5"/>
    <w:rsid w:val="009B7DE5"/>
    <w:rsid w:val="009C0398"/>
    <w:rsid w:val="009C0472"/>
    <w:rsid w:val="009C0608"/>
    <w:rsid w:val="009C084B"/>
    <w:rsid w:val="009C0D85"/>
    <w:rsid w:val="009C10AF"/>
    <w:rsid w:val="009C114A"/>
    <w:rsid w:val="009C12C6"/>
    <w:rsid w:val="009C174A"/>
    <w:rsid w:val="009C19A8"/>
    <w:rsid w:val="009C214D"/>
    <w:rsid w:val="009C2246"/>
    <w:rsid w:val="009C2A8A"/>
    <w:rsid w:val="009C2C06"/>
    <w:rsid w:val="009C31AC"/>
    <w:rsid w:val="009C3B7B"/>
    <w:rsid w:val="009C40E9"/>
    <w:rsid w:val="009C41EB"/>
    <w:rsid w:val="009C4987"/>
    <w:rsid w:val="009C4B55"/>
    <w:rsid w:val="009C4D4A"/>
    <w:rsid w:val="009C54B8"/>
    <w:rsid w:val="009C5ABB"/>
    <w:rsid w:val="009C5D60"/>
    <w:rsid w:val="009C5E4A"/>
    <w:rsid w:val="009C696E"/>
    <w:rsid w:val="009C6D12"/>
    <w:rsid w:val="009C6E07"/>
    <w:rsid w:val="009C724C"/>
    <w:rsid w:val="009C7696"/>
    <w:rsid w:val="009C7807"/>
    <w:rsid w:val="009C7B06"/>
    <w:rsid w:val="009C7C20"/>
    <w:rsid w:val="009C7FDE"/>
    <w:rsid w:val="009D05CD"/>
    <w:rsid w:val="009D0D62"/>
    <w:rsid w:val="009D0D9E"/>
    <w:rsid w:val="009D0EFA"/>
    <w:rsid w:val="009D113B"/>
    <w:rsid w:val="009D14C1"/>
    <w:rsid w:val="009D1704"/>
    <w:rsid w:val="009D1858"/>
    <w:rsid w:val="009D1BE8"/>
    <w:rsid w:val="009D2160"/>
    <w:rsid w:val="009D220F"/>
    <w:rsid w:val="009D27CD"/>
    <w:rsid w:val="009D287A"/>
    <w:rsid w:val="009D2A5B"/>
    <w:rsid w:val="009D2AD7"/>
    <w:rsid w:val="009D332D"/>
    <w:rsid w:val="009D33A2"/>
    <w:rsid w:val="009D3537"/>
    <w:rsid w:val="009D3784"/>
    <w:rsid w:val="009D3A82"/>
    <w:rsid w:val="009D3EEB"/>
    <w:rsid w:val="009D4085"/>
    <w:rsid w:val="009D429A"/>
    <w:rsid w:val="009D4402"/>
    <w:rsid w:val="009D4A66"/>
    <w:rsid w:val="009D5225"/>
    <w:rsid w:val="009D5A21"/>
    <w:rsid w:val="009D5D72"/>
    <w:rsid w:val="009D60C5"/>
    <w:rsid w:val="009D6566"/>
    <w:rsid w:val="009D6579"/>
    <w:rsid w:val="009D6581"/>
    <w:rsid w:val="009D691B"/>
    <w:rsid w:val="009D6A33"/>
    <w:rsid w:val="009D6A81"/>
    <w:rsid w:val="009D6A8C"/>
    <w:rsid w:val="009D6CD7"/>
    <w:rsid w:val="009D6FB4"/>
    <w:rsid w:val="009D71E7"/>
    <w:rsid w:val="009D7264"/>
    <w:rsid w:val="009D74B8"/>
    <w:rsid w:val="009D7698"/>
    <w:rsid w:val="009D7979"/>
    <w:rsid w:val="009D7A15"/>
    <w:rsid w:val="009D7B4E"/>
    <w:rsid w:val="009D7E38"/>
    <w:rsid w:val="009E0067"/>
    <w:rsid w:val="009E0115"/>
    <w:rsid w:val="009E0294"/>
    <w:rsid w:val="009E074F"/>
    <w:rsid w:val="009E0762"/>
    <w:rsid w:val="009E0A97"/>
    <w:rsid w:val="009E0BFB"/>
    <w:rsid w:val="009E0DC1"/>
    <w:rsid w:val="009E143C"/>
    <w:rsid w:val="009E1441"/>
    <w:rsid w:val="009E183F"/>
    <w:rsid w:val="009E18D0"/>
    <w:rsid w:val="009E1C94"/>
    <w:rsid w:val="009E2569"/>
    <w:rsid w:val="009E26C6"/>
    <w:rsid w:val="009E32F9"/>
    <w:rsid w:val="009E3356"/>
    <w:rsid w:val="009E38B2"/>
    <w:rsid w:val="009E394E"/>
    <w:rsid w:val="009E3C23"/>
    <w:rsid w:val="009E3D24"/>
    <w:rsid w:val="009E410A"/>
    <w:rsid w:val="009E4522"/>
    <w:rsid w:val="009E486F"/>
    <w:rsid w:val="009E49F4"/>
    <w:rsid w:val="009E4DAB"/>
    <w:rsid w:val="009E4EE9"/>
    <w:rsid w:val="009E58F1"/>
    <w:rsid w:val="009E5942"/>
    <w:rsid w:val="009E5B00"/>
    <w:rsid w:val="009E5B83"/>
    <w:rsid w:val="009E615A"/>
    <w:rsid w:val="009E6364"/>
    <w:rsid w:val="009E685E"/>
    <w:rsid w:val="009E68BA"/>
    <w:rsid w:val="009E6914"/>
    <w:rsid w:val="009E6D0F"/>
    <w:rsid w:val="009E6DB3"/>
    <w:rsid w:val="009E6E5F"/>
    <w:rsid w:val="009E727B"/>
    <w:rsid w:val="009E75AC"/>
    <w:rsid w:val="009E76BA"/>
    <w:rsid w:val="009E76EF"/>
    <w:rsid w:val="009E784E"/>
    <w:rsid w:val="009E7A06"/>
    <w:rsid w:val="009E7A08"/>
    <w:rsid w:val="009E7AB6"/>
    <w:rsid w:val="009F093B"/>
    <w:rsid w:val="009F0B60"/>
    <w:rsid w:val="009F0B7C"/>
    <w:rsid w:val="009F0F35"/>
    <w:rsid w:val="009F1285"/>
    <w:rsid w:val="009F1293"/>
    <w:rsid w:val="009F1F62"/>
    <w:rsid w:val="009F206B"/>
    <w:rsid w:val="009F2440"/>
    <w:rsid w:val="009F2DFC"/>
    <w:rsid w:val="009F310F"/>
    <w:rsid w:val="009F362B"/>
    <w:rsid w:val="009F38B4"/>
    <w:rsid w:val="009F3C7C"/>
    <w:rsid w:val="009F3D5E"/>
    <w:rsid w:val="009F3ECC"/>
    <w:rsid w:val="009F4391"/>
    <w:rsid w:val="009F43EC"/>
    <w:rsid w:val="009F441B"/>
    <w:rsid w:val="009F4439"/>
    <w:rsid w:val="009F4531"/>
    <w:rsid w:val="009F4D61"/>
    <w:rsid w:val="009F4E1B"/>
    <w:rsid w:val="009F5307"/>
    <w:rsid w:val="009F5688"/>
    <w:rsid w:val="009F56F1"/>
    <w:rsid w:val="009F5864"/>
    <w:rsid w:val="009F5C69"/>
    <w:rsid w:val="009F5CB7"/>
    <w:rsid w:val="009F621F"/>
    <w:rsid w:val="009F64A7"/>
    <w:rsid w:val="009F6A8B"/>
    <w:rsid w:val="009F6CD4"/>
    <w:rsid w:val="009F6D26"/>
    <w:rsid w:val="009F71CF"/>
    <w:rsid w:val="009F753E"/>
    <w:rsid w:val="009F76D8"/>
    <w:rsid w:val="009F7EA1"/>
    <w:rsid w:val="00A002CF"/>
    <w:rsid w:val="00A003DA"/>
    <w:rsid w:val="00A0044E"/>
    <w:rsid w:val="00A0089A"/>
    <w:rsid w:val="00A00C71"/>
    <w:rsid w:val="00A00EA7"/>
    <w:rsid w:val="00A00FFC"/>
    <w:rsid w:val="00A013C1"/>
    <w:rsid w:val="00A01528"/>
    <w:rsid w:val="00A01BA5"/>
    <w:rsid w:val="00A01FE8"/>
    <w:rsid w:val="00A020D3"/>
    <w:rsid w:val="00A0244B"/>
    <w:rsid w:val="00A0245E"/>
    <w:rsid w:val="00A02594"/>
    <w:rsid w:val="00A0265D"/>
    <w:rsid w:val="00A0266F"/>
    <w:rsid w:val="00A028BE"/>
    <w:rsid w:val="00A02A69"/>
    <w:rsid w:val="00A02B3F"/>
    <w:rsid w:val="00A02BDB"/>
    <w:rsid w:val="00A02D1C"/>
    <w:rsid w:val="00A02E69"/>
    <w:rsid w:val="00A02ED9"/>
    <w:rsid w:val="00A032B6"/>
    <w:rsid w:val="00A03A41"/>
    <w:rsid w:val="00A03B2E"/>
    <w:rsid w:val="00A03C94"/>
    <w:rsid w:val="00A03E19"/>
    <w:rsid w:val="00A03F26"/>
    <w:rsid w:val="00A03F37"/>
    <w:rsid w:val="00A04686"/>
    <w:rsid w:val="00A04705"/>
    <w:rsid w:val="00A0470E"/>
    <w:rsid w:val="00A0494D"/>
    <w:rsid w:val="00A049CC"/>
    <w:rsid w:val="00A04C0E"/>
    <w:rsid w:val="00A04F4D"/>
    <w:rsid w:val="00A0527B"/>
    <w:rsid w:val="00A05417"/>
    <w:rsid w:val="00A0567F"/>
    <w:rsid w:val="00A05874"/>
    <w:rsid w:val="00A05921"/>
    <w:rsid w:val="00A05961"/>
    <w:rsid w:val="00A05B30"/>
    <w:rsid w:val="00A05C4E"/>
    <w:rsid w:val="00A06136"/>
    <w:rsid w:val="00A0662D"/>
    <w:rsid w:val="00A06EC7"/>
    <w:rsid w:val="00A06F61"/>
    <w:rsid w:val="00A0708D"/>
    <w:rsid w:val="00A07260"/>
    <w:rsid w:val="00A07702"/>
    <w:rsid w:val="00A07746"/>
    <w:rsid w:val="00A10131"/>
    <w:rsid w:val="00A1017D"/>
    <w:rsid w:val="00A10511"/>
    <w:rsid w:val="00A10761"/>
    <w:rsid w:val="00A10816"/>
    <w:rsid w:val="00A1087C"/>
    <w:rsid w:val="00A10BC2"/>
    <w:rsid w:val="00A1108F"/>
    <w:rsid w:val="00A115A4"/>
    <w:rsid w:val="00A11ABC"/>
    <w:rsid w:val="00A122DC"/>
    <w:rsid w:val="00A12341"/>
    <w:rsid w:val="00A128A7"/>
    <w:rsid w:val="00A12A09"/>
    <w:rsid w:val="00A12C92"/>
    <w:rsid w:val="00A12E32"/>
    <w:rsid w:val="00A1310A"/>
    <w:rsid w:val="00A132B7"/>
    <w:rsid w:val="00A1339C"/>
    <w:rsid w:val="00A137F0"/>
    <w:rsid w:val="00A13940"/>
    <w:rsid w:val="00A13945"/>
    <w:rsid w:val="00A13A42"/>
    <w:rsid w:val="00A13CDB"/>
    <w:rsid w:val="00A13D60"/>
    <w:rsid w:val="00A14025"/>
    <w:rsid w:val="00A143FE"/>
    <w:rsid w:val="00A149A9"/>
    <w:rsid w:val="00A15405"/>
    <w:rsid w:val="00A157C3"/>
    <w:rsid w:val="00A15B5B"/>
    <w:rsid w:val="00A15BE3"/>
    <w:rsid w:val="00A15D74"/>
    <w:rsid w:val="00A15E6D"/>
    <w:rsid w:val="00A162E4"/>
    <w:rsid w:val="00A16651"/>
    <w:rsid w:val="00A16899"/>
    <w:rsid w:val="00A16A36"/>
    <w:rsid w:val="00A16EC9"/>
    <w:rsid w:val="00A16F93"/>
    <w:rsid w:val="00A1708A"/>
    <w:rsid w:val="00A1714A"/>
    <w:rsid w:val="00A1720D"/>
    <w:rsid w:val="00A17D48"/>
    <w:rsid w:val="00A20190"/>
    <w:rsid w:val="00A2066D"/>
    <w:rsid w:val="00A206E2"/>
    <w:rsid w:val="00A2099D"/>
    <w:rsid w:val="00A209AC"/>
    <w:rsid w:val="00A20A71"/>
    <w:rsid w:val="00A20E97"/>
    <w:rsid w:val="00A211CB"/>
    <w:rsid w:val="00A2136C"/>
    <w:rsid w:val="00A21532"/>
    <w:rsid w:val="00A215DD"/>
    <w:rsid w:val="00A21AEF"/>
    <w:rsid w:val="00A21B8D"/>
    <w:rsid w:val="00A21BC4"/>
    <w:rsid w:val="00A21BE2"/>
    <w:rsid w:val="00A220A0"/>
    <w:rsid w:val="00A2213A"/>
    <w:rsid w:val="00A224EA"/>
    <w:rsid w:val="00A22845"/>
    <w:rsid w:val="00A22940"/>
    <w:rsid w:val="00A22961"/>
    <w:rsid w:val="00A22A49"/>
    <w:rsid w:val="00A22BE6"/>
    <w:rsid w:val="00A22C9D"/>
    <w:rsid w:val="00A22CBC"/>
    <w:rsid w:val="00A22D9C"/>
    <w:rsid w:val="00A23435"/>
    <w:rsid w:val="00A2358F"/>
    <w:rsid w:val="00A235BF"/>
    <w:rsid w:val="00A2363C"/>
    <w:rsid w:val="00A2391A"/>
    <w:rsid w:val="00A240C7"/>
    <w:rsid w:val="00A24115"/>
    <w:rsid w:val="00A244C9"/>
    <w:rsid w:val="00A246C9"/>
    <w:rsid w:val="00A247B0"/>
    <w:rsid w:val="00A2499A"/>
    <w:rsid w:val="00A24A75"/>
    <w:rsid w:val="00A24B38"/>
    <w:rsid w:val="00A24D7D"/>
    <w:rsid w:val="00A24F9B"/>
    <w:rsid w:val="00A258AB"/>
    <w:rsid w:val="00A25FA1"/>
    <w:rsid w:val="00A263B7"/>
    <w:rsid w:val="00A269E8"/>
    <w:rsid w:val="00A26A7E"/>
    <w:rsid w:val="00A26AB1"/>
    <w:rsid w:val="00A26D86"/>
    <w:rsid w:val="00A26ED3"/>
    <w:rsid w:val="00A27800"/>
    <w:rsid w:val="00A27A37"/>
    <w:rsid w:val="00A27B0B"/>
    <w:rsid w:val="00A27C4A"/>
    <w:rsid w:val="00A27CF2"/>
    <w:rsid w:val="00A27D2E"/>
    <w:rsid w:val="00A27F81"/>
    <w:rsid w:val="00A30240"/>
    <w:rsid w:val="00A307C3"/>
    <w:rsid w:val="00A3085B"/>
    <w:rsid w:val="00A308A2"/>
    <w:rsid w:val="00A30D3E"/>
    <w:rsid w:val="00A30EF5"/>
    <w:rsid w:val="00A313FB"/>
    <w:rsid w:val="00A3184F"/>
    <w:rsid w:val="00A319ED"/>
    <w:rsid w:val="00A31D67"/>
    <w:rsid w:val="00A31DEC"/>
    <w:rsid w:val="00A31F12"/>
    <w:rsid w:val="00A3206D"/>
    <w:rsid w:val="00A32265"/>
    <w:rsid w:val="00A322F1"/>
    <w:rsid w:val="00A32323"/>
    <w:rsid w:val="00A323A6"/>
    <w:rsid w:val="00A323C4"/>
    <w:rsid w:val="00A32705"/>
    <w:rsid w:val="00A32779"/>
    <w:rsid w:val="00A3295A"/>
    <w:rsid w:val="00A32CB0"/>
    <w:rsid w:val="00A3303D"/>
    <w:rsid w:val="00A3317A"/>
    <w:rsid w:val="00A333B6"/>
    <w:rsid w:val="00A334D1"/>
    <w:rsid w:val="00A33B2A"/>
    <w:rsid w:val="00A33CAB"/>
    <w:rsid w:val="00A33E50"/>
    <w:rsid w:val="00A347A9"/>
    <w:rsid w:val="00A34805"/>
    <w:rsid w:val="00A35893"/>
    <w:rsid w:val="00A358AC"/>
    <w:rsid w:val="00A358BB"/>
    <w:rsid w:val="00A35CCB"/>
    <w:rsid w:val="00A35E06"/>
    <w:rsid w:val="00A36159"/>
    <w:rsid w:val="00A3691F"/>
    <w:rsid w:val="00A36AC0"/>
    <w:rsid w:val="00A36CE4"/>
    <w:rsid w:val="00A37015"/>
    <w:rsid w:val="00A370F3"/>
    <w:rsid w:val="00A37203"/>
    <w:rsid w:val="00A372D2"/>
    <w:rsid w:val="00A3746D"/>
    <w:rsid w:val="00A374C5"/>
    <w:rsid w:val="00A37601"/>
    <w:rsid w:val="00A3799E"/>
    <w:rsid w:val="00A37AAE"/>
    <w:rsid w:val="00A37C76"/>
    <w:rsid w:val="00A37C91"/>
    <w:rsid w:val="00A40051"/>
    <w:rsid w:val="00A40373"/>
    <w:rsid w:val="00A4053E"/>
    <w:rsid w:val="00A4063C"/>
    <w:rsid w:val="00A407D9"/>
    <w:rsid w:val="00A408DA"/>
    <w:rsid w:val="00A40922"/>
    <w:rsid w:val="00A40AE9"/>
    <w:rsid w:val="00A40B53"/>
    <w:rsid w:val="00A40DCC"/>
    <w:rsid w:val="00A418DB"/>
    <w:rsid w:val="00A41BFE"/>
    <w:rsid w:val="00A41DDB"/>
    <w:rsid w:val="00A42077"/>
    <w:rsid w:val="00A42090"/>
    <w:rsid w:val="00A42497"/>
    <w:rsid w:val="00A42668"/>
    <w:rsid w:val="00A42788"/>
    <w:rsid w:val="00A42D7E"/>
    <w:rsid w:val="00A42DA1"/>
    <w:rsid w:val="00A42E73"/>
    <w:rsid w:val="00A43421"/>
    <w:rsid w:val="00A43525"/>
    <w:rsid w:val="00A438B3"/>
    <w:rsid w:val="00A439ED"/>
    <w:rsid w:val="00A43A7E"/>
    <w:rsid w:val="00A43BF2"/>
    <w:rsid w:val="00A44341"/>
    <w:rsid w:val="00A4484E"/>
    <w:rsid w:val="00A44B8A"/>
    <w:rsid w:val="00A4557C"/>
    <w:rsid w:val="00A455C0"/>
    <w:rsid w:val="00A4565B"/>
    <w:rsid w:val="00A456A0"/>
    <w:rsid w:val="00A458DE"/>
    <w:rsid w:val="00A45CA5"/>
    <w:rsid w:val="00A45FEA"/>
    <w:rsid w:val="00A462E6"/>
    <w:rsid w:val="00A46A3C"/>
    <w:rsid w:val="00A47039"/>
    <w:rsid w:val="00A471DF"/>
    <w:rsid w:val="00A4772A"/>
    <w:rsid w:val="00A477AC"/>
    <w:rsid w:val="00A502AD"/>
    <w:rsid w:val="00A50743"/>
    <w:rsid w:val="00A50819"/>
    <w:rsid w:val="00A50F6F"/>
    <w:rsid w:val="00A51572"/>
    <w:rsid w:val="00A51821"/>
    <w:rsid w:val="00A5199A"/>
    <w:rsid w:val="00A51B58"/>
    <w:rsid w:val="00A51D29"/>
    <w:rsid w:val="00A51E50"/>
    <w:rsid w:val="00A51F76"/>
    <w:rsid w:val="00A521A2"/>
    <w:rsid w:val="00A5234A"/>
    <w:rsid w:val="00A523F1"/>
    <w:rsid w:val="00A52880"/>
    <w:rsid w:val="00A529B7"/>
    <w:rsid w:val="00A52D7F"/>
    <w:rsid w:val="00A52E96"/>
    <w:rsid w:val="00A52F2E"/>
    <w:rsid w:val="00A52F96"/>
    <w:rsid w:val="00A5343F"/>
    <w:rsid w:val="00A5344F"/>
    <w:rsid w:val="00A535C8"/>
    <w:rsid w:val="00A537EA"/>
    <w:rsid w:val="00A53BEA"/>
    <w:rsid w:val="00A544A7"/>
    <w:rsid w:val="00A54514"/>
    <w:rsid w:val="00A546A5"/>
    <w:rsid w:val="00A546C9"/>
    <w:rsid w:val="00A54E17"/>
    <w:rsid w:val="00A55154"/>
    <w:rsid w:val="00A5562C"/>
    <w:rsid w:val="00A55780"/>
    <w:rsid w:val="00A559ED"/>
    <w:rsid w:val="00A55BA5"/>
    <w:rsid w:val="00A5631A"/>
    <w:rsid w:val="00A564D4"/>
    <w:rsid w:val="00A5650A"/>
    <w:rsid w:val="00A56534"/>
    <w:rsid w:val="00A56571"/>
    <w:rsid w:val="00A56581"/>
    <w:rsid w:val="00A56A5B"/>
    <w:rsid w:val="00A56EA5"/>
    <w:rsid w:val="00A5708E"/>
    <w:rsid w:val="00A57130"/>
    <w:rsid w:val="00A575D8"/>
    <w:rsid w:val="00A57CD4"/>
    <w:rsid w:val="00A57DB2"/>
    <w:rsid w:val="00A57DE4"/>
    <w:rsid w:val="00A57EF7"/>
    <w:rsid w:val="00A60350"/>
    <w:rsid w:val="00A6048A"/>
    <w:rsid w:val="00A60496"/>
    <w:rsid w:val="00A60557"/>
    <w:rsid w:val="00A6061B"/>
    <w:rsid w:val="00A6069E"/>
    <w:rsid w:val="00A607D9"/>
    <w:rsid w:val="00A609AF"/>
    <w:rsid w:val="00A60CD7"/>
    <w:rsid w:val="00A60D49"/>
    <w:rsid w:val="00A60D6B"/>
    <w:rsid w:val="00A60EB8"/>
    <w:rsid w:val="00A60F4A"/>
    <w:rsid w:val="00A61020"/>
    <w:rsid w:val="00A610F7"/>
    <w:rsid w:val="00A61890"/>
    <w:rsid w:val="00A6193A"/>
    <w:rsid w:val="00A61EFD"/>
    <w:rsid w:val="00A6221E"/>
    <w:rsid w:val="00A62709"/>
    <w:rsid w:val="00A62737"/>
    <w:rsid w:val="00A62CD7"/>
    <w:rsid w:val="00A62E0E"/>
    <w:rsid w:val="00A62E96"/>
    <w:rsid w:val="00A63207"/>
    <w:rsid w:val="00A6348B"/>
    <w:rsid w:val="00A63A47"/>
    <w:rsid w:val="00A64433"/>
    <w:rsid w:val="00A646AC"/>
    <w:rsid w:val="00A64D99"/>
    <w:rsid w:val="00A650FC"/>
    <w:rsid w:val="00A655B8"/>
    <w:rsid w:val="00A655EB"/>
    <w:rsid w:val="00A65E24"/>
    <w:rsid w:val="00A65E39"/>
    <w:rsid w:val="00A661BF"/>
    <w:rsid w:val="00A66650"/>
    <w:rsid w:val="00A66893"/>
    <w:rsid w:val="00A66F49"/>
    <w:rsid w:val="00A67488"/>
    <w:rsid w:val="00A675F0"/>
    <w:rsid w:val="00A67AD1"/>
    <w:rsid w:val="00A67D50"/>
    <w:rsid w:val="00A67E6E"/>
    <w:rsid w:val="00A701C7"/>
    <w:rsid w:val="00A70248"/>
    <w:rsid w:val="00A703F1"/>
    <w:rsid w:val="00A70699"/>
    <w:rsid w:val="00A70B9F"/>
    <w:rsid w:val="00A70BF3"/>
    <w:rsid w:val="00A70C29"/>
    <w:rsid w:val="00A70D4E"/>
    <w:rsid w:val="00A71191"/>
    <w:rsid w:val="00A711E4"/>
    <w:rsid w:val="00A715A8"/>
    <w:rsid w:val="00A71898"/>
    <w:rsid w:val="00A71934"/>
    <w:rsid w:val="00A71B80"/>
    <w:rsid w:val="00A71EA1"/>
    <w:rsid w:val="00A71EAD"/>
    <w:rsid w:val="00A72344"/>
    <w:rsid w:val="00A72492"/>
    <w:rsid w:val="00A725D4"/>
    <w:rsid w:val="00A72786"/>
    <w:rsid w:val="00A72CA2"/>
    <w:rsid w:val="00A72D13"/>
    <w:rsid w:val="00A72D3F"/>
    <w:rsid w:val="00A72DC5"/>
    <w:rsid w:val="00A72F1C"/>
    <w:rsid w:val="00A734FE"/>
    <w:rsid w:val="00A739A0"/>
    <w:rsid w:val="00A74050"/>
    <w:rsid w:val="00A74292"/>
    <w:rsid w:val="00A742F9"/>
    <w:rsid w:val="00A744F4"/>
    <w:rsid w:val="00A7463F"/>
    <w:rsid w:val="00A7467C"/>
    <w:rsid w:val="00A7478A"/>
    <w:rsid w:val="00A74997"/>
    <w:rsid w:val="00A749B3"/>
    <w:rsid w:val="00A753CC"/>
    <w:rsid w:val="00A75466"/>
    <w:rsid w:val="00A75831"/>
    <w:rsid w:val="00A75AE8"/>
    <w:rsid w:val="00A76B47"/>
    <w:rsid w:val="00A76B95"/>
    <w:rsid w:val="00A76BED"/>
    <w:rsid w:val="00A76D6F"/>
    <w:rsid w:val="00A76EAC"/>
    <w:rsid w:val="00A76FE9"/>
    <w:rsid w:val="00A7721D"/>
    <w:rsid w:val="00A779EA"/>
    <w:rsid w:val="00A77B52"/>
    <w:rsid w:val="00A77C04"/>
    <w:rsid w:val="00A77C67"/>
    <w:rsid w:val="00A8023F"/>
    <w:rsid w:val="00A80437"/>
    <w:rsid w:val="00A806D3"/>
    <w:rsid w:val="00A80BA6"/>
    <w:rsid w:val="00A80D75"/>
    <w:rsid w:val="00A81B4D"/>
    <w:rsid w:val="00A81CE0"/>
    <w:rsid w:val="00A81D95"/>
    <w:rsid w:val="00A81EBE"/>
    <w:rsid w:val="00A820FC"/>
    <w:rsid w:val="00A821FA"/>
    <w:rsid w:val="00A8229C"/>
    <w:rsid w:val="00A82307"/>
    <w:rsid w:val="00A82493"/>
    <w:rsid w:val="00A8279A"/>
    <w:rsid w:val="00A827DE"/>
    <w:rsid w:val="00A8286B"/>
    <w:rsid w:val="00A828EA"/>
    <w:rsid w:val="00A82CE9"/>
    <w:rsid w:val="00A8315E"/>
    <w:rsid w:val="00A83203"/>
    <w:rsid w:val="00A832C3"/>
    <w:rsid w:val="00A83B52"/>
    <w:rsid w:val="00A83BC8"/>
    <w:rsid w:val="00A84313"/>
    <w:rsid w:val="00A84602"/>
    <w:rsid w:val="00A847D1"/>
    <w:rsid w:val="00A84D7B"/>
    <w:rsid w:val="00A854A6"/>
    <w:rsid w:val="00A85708"/>
    <w:rsid w:val="00A85796"/>
    <w:rsid w:val="00A85DA7"/>
    <w:rsid w:val="00A86212"/>
    <w:rsid w:val="00A86416"/>
    <w:rsid w:val="00A864A6"/>
    <w:rsid w:val="00A865A0"/>
    <w:rsid w:val="00A86739"/>
    <w:rsid w:val="00A869B1"/>
    <w:rsid w:val="00A869FE"/>
    <w:rsid w:val="00A87230"/>
    <w:rsid w:val="00A87333"/>
    <w:rsid w:val="00A87577"/>
    <w:rsid w:val="00A87588"/>
    <w:rsid w:val="00A87632"/>
    <w:rsid w:val="00A876F8"/>
    <w:rsid w:val="00A87B1E"/>
    <w:rsid w:val="00A90304"/>
    <w:rsid w:val="00A90382"/>
    <w:rsid w:val="00A9073A"/>
    <w:rsid w:val="00A908C5"/>
    <w:rsid w:val="00A90ABD"/>
    <w:rsid w:val="00A90CD9"/>
    <w:rsid w:val="00A90DB0"/>
    <w:rsid w:val="00A90F87"/>
    <w:rsid w:val="00A9178E"/>
    <w:rsid w:val="00A9192B"/>
    <w:rsid w:val="00A919EE"/>
    <w:rsid w:val="00A91C33"/>
    <w:rsid w:val="00A91D86"/>
    <w:rsid w:val="00A91D9A"/>
    <w:rsid w:val="00A91E06"/>
    <w:rsid w:val="00A923A2"/>
    <w:rsid w:val="00A9285F"/>
    <w:rsid w:val="00A92A88"/>
    <w:rsid w:val="00A92D55"/>
    <w:rsid w:val="00A93134"/>
    <w:rsid w:val="00A9323E"/>
    <w:rsid w:val="00A93726"/>
    <w:rsid w:val="00A93CA0"/>
    <w:rsid w:val="00A93E06"/>
    <w:rsid w:val="00A93F49"/>
    <w:rsid w:val="00A93FA9"/>
    <w:rsid w:val="00A9421F"/>
    <w:rsid w:val="00A94318"/>
    <w:rsid w:val="00A94674"/>
    <w:rsid w:val="00A94792"/>
    <w:rsid w:val="00A94ADF"/>
    <w:rsid w:val="00A94DE2"/>
    <w:rsid w:val="00A94E97"/>
    <w:rsid w:val="00A950B4"/>
    <w:rsid w:val="00A9523D"/>
    <w:rsid w:val="00A956B5"/>
    <w:rsid w:val="00A95700"/>
    <w:rsid w:val="00A959A8"/>
    <w:rsid w:val="00A96142"/>
    <w:rsid w:val="00A9615E"/>
    <w:rsid w:val="00A961E3"/>
    <w:rsid w:val="00A962C1"/>
    <w:rsid w:val="00A96627"/>
    <w:rsid w:val="00A967F7"/>
    <w:rsid w:val="00A967FE"/>
    <w:rsid w:val="00A969AC"/>
    <w:rsid w:val="00A96A22"/>
    <w:rsid w:val="00A96B16"/>
    <w:rsid w:val="00A96B7D"/>
    <w:rsid w:val="00A96EE9"/>
    <w:rsid w:val="00A971B8"/>
    <w:rsid w:val="00A97309"/>
    <w:rsid w:val="00A974B2"/>
    <w:rsid w:val="00A9783F"/>
    <w:rsid w:val="00AA135B"/>
    <w:rsid w:val="00AA16C5"/>
    <w:rsid w:val="00AA1905"/>
    <w:rsid w:val="00AA1A33"/>
    <w:rsid w:val="00AA240E"/>
    <w:rsid w:val="00AA2445"/>
    <w:rsid w:val="00AA2482"/>
    <w:rsid w:val="00AA29C8"/>
    <w:rsid w:val="00AA2F8E"/>
    <w:rsid w:val="00AA3075"/>
    <w:rsid w:val="00AA364E"/>
    <w:rsid w:val="00AA383D"/>
    <w:rsid w:val="00AA3F32"/>
    <w:rsid w:val="00AA4BE2"/>
    <w:rsid w:val="00AA4EDD"/>
    <w:rsid w:val="00AA4FBA"/>
    <w:rsid w:val="00AA5262"/>
    <w:rsid w:val="00AA5750"/>
    <w:rsid w:val="00AA5AF6"/>
    <w:rsid w:val="00AA5B68"/>
    <w:rsid w:val="00AA6B11"/>
    <w:rsid w:val="00AA6BF5"/>
    <w:rsid w:val="00AA6E37"/>
    <w:rsid w:val="00AA7073"/>
    <w:rsid w:val="00AA70C7"/>
    <w:rsid w:val="00AA70D6"/>
    <w:rsid w:val="00AA7394"/>
    <w:rsid w:val="00AA73DA"/>
    <w:rsid w:val="00AA754B"/>
    <w:rsid w:val="00AA77DC"/>
    <w:rsid w:val="00AA7BB0"/>
    <w:rsid w:val="00AA7D12"/>
    <w:rsid w:val="00AA7F14"/>
    <w:rsid w:val="00AA7FEF"/>
    <w:rsid w:val="00AB04CA"/>
    <w:rsid w:val="00AB0513"/>
    <w:rsid w:val="00AB0919"/>
    <w:rsid w:val="00AB0F9F"/>
    <w:rsid w:val="00AB1115"/>
    <w:rsid w:val="00AB119C"/>
    <w:rsid w:val="00AB174D"/>
    <w:rsid w:val="00AB186B"/>
    <w:rsid w:val="00AB1B0B"/>
    <w:rsid w:val="00AB1BC4"/>
    <w:rsid w:val="00AB1C66"/>
    <w:rsid w:val="00AB1DEE"/>
    <w:rsid w:val="00AB1E51"/>
    <w:rsid w:val="00AB1F3A"/>
    <w:rsid w:val="00AB2343"/>
    <w:rsid w:val="00AB2344"/>
    <w:rsid w:val="00AB234A"/>
    <w:rsid w:val="00AB24CD"/>
    <w:rsid w:val="00AB2A57"/>
    <w:rsid w:val="00AB2E84"/>
    <w:rsid w:val="00AB2EC6"/>
    <w:rsid w:val="00AB33A8"/>
    <w:rsid w:val="00AB397E"/>
    <w:rsid w:val="00AB399F"/>
    <w:rsid w:val="00AB3C95"/>
    <w:rsid w:val="00AB3EAE"/>
    <w:rsid w:val="00AB3F1C"/>
    <w:rsid w:val="00AB3FC1"/>
    <w:rsid w:val="00AB436B"/>
    <w:rsid w:val="00AB45EC"/>
    <w:rsid w:val="00AB4994"/>
    <w:rsid w:val="00AB4A21"/>
    <w:rsid w:val="00AB4B49"/>
    <w:rsid w:val="00AB4EF4"/>
    <w:rsid w:val="00AB517F"/>
    <w:rsid w:val="00AB5366"/>
    <w:rsid w:val="00AB55B1"/>
    <w:rsid w:val="00AB5732"/>
    <w:rsid w:val="00AB5902"/>
    <w:rsid w:val="00AB659B"/>
    <w:rsid w:val="00AB66CD"/>
    <w:rsid w:val="00AB672B"/>
    <w:rsid w:val="00AB6730"/>
    <w:rsid w:val="00AB68A8"/>
    <w:rsid w:val="00AB68B3"/>
    <w:rsid w:val="00AB72DA"/>
    <w:rsid w:val="00AB7395"/>
    <w:rsid w:val="00AB768B"/>
    <w:rsid w:val="00AB7B6D"/>
    <w:rsid w:val="00AB7FA4"/>
    <w:rsid w:val="00AC0012"/>
    <w:rsid w:val="00AC028A"/>
    <w:rsid w:val="00AC06B3"/>
    <w:rsid w:val="00AC083F"/>
    <w:rsid w:val="00AC0A8A"/>
    <w:rsid w:val="00AC0B5B"/>
    <w:rsid w:val="00AC1046"/>
    <w:rsid w:val="00AC105E"/>
    <w:rsid w:val="00AC12E6"/>
    <w:rsid w:val="00AC1362"/>
    <w:rsid w:val="00AC19A8"/>
    <w:rsid w:val="00AC1BD0"/>
    <w:rsid w:val="00AC1F6A"/>
    <w:rsid w:val="00AC24D4"/>
    <w:rsid w:val="00AC2895"/>
    <w:rsid w:val="00AC2D61"/>
    <w:rsid w:val="00AC2E2C"/>
    <w:rsid w:val="00AC3352"/>
    <w:rsid w:val="00AC3F5C"/>
    <w:rsid w:val="00AC411B"/>
    <w:rsid w:val="00AC42FC"/>
    <w:rsid w:val="00AC45CE"/>
    <w:rsid w:val="00AC4739"/>
    <w:rsid w:val="00AC47ED"/>
    <w:rsid w:val="00AC49D2"/>
    <w:rsid w:val="00AC4A3D"/>
    <w:rsid w:val="00AC4E8E"/>
    <w:rsid w:val="00AC4FDD"/>
    <w:rsid w:val="00AC5404"/>
    <w:rsid w:val="00AC5443"/>
    <w:rsid w:val="00AC578E"/>
    <w:rsid w:val="00AC5D46"/>
    <w:rsid w:val="00AC5EE5"/>
    <w:rsid w:val="00AC5F8D"/>
    <w:rsid w:val="00AC6355"/>
    <w:rsid w:val="00AC66ED"/>
    <w:rsid w:val="00AC6C7C"/>
    <w:rsid w:val="00AC6F88"/>
    <w:rsid w:val="00AC72F3"/>
    <w:rsid w:val="00AC745C"/>
    <w:rsid w:val="00AC76DE"/>
    <w:rsid w:val="00AC76FB"/>
    <w:rsid w:val="00AC77FA"/>
    <w:rsid w:val="00AC7B04"/>
    <w:rsid w:val="00AC7B89"/>
    <w:rsid w:val="00AC7FDE"/>
    <w:rsid w:val="00AD0476"/>
    <w:rsid w:val="00AD08D4"/>
    <w:rsid w:val="00AD0A03"/>
    <w:rsid w:val="00AD10C7"/>
    <w:rsid w:val="00AD1273"/>
    <w:rsid w:val="00AD1D6C"/>
    <w:rsid w:val="00AD1E10"/>
    <w:rsid w:val="00AD20E1"/>
    <w:rsid w:val="00AD233A"/>
    <w:rsid w:val="00AD24C3"/>
    <w:rsid w:val="00AD2589"/>
    <w:rsid w:val="00AD2A6F"/>
    <w:rsid w:val="00AD33A8"/>
    <w:rsid w:val="00AD359B"/>
    <w:rsid w:val="00AD3611"/>
    <w:rsid w:val="00AD365B"/>
    <w:rsid w:val="00AD3669"/>
    <w:rsid w:val="00AD388B"/>
    <w:rsid w:val="00AD38FE"/>
    <w:rsid w:val="00AD3B9D"/>
    <w:rsid w:val="00AD3D7E"/>
    <w:rsid w:val="00AD4176"/>
    <w:rsid w:val="00AD457A"/>
    <w:rsid w:val="00AD4BA8"/>
    <w:rsid w:val="00AD4C45"/>
    <w:rsid w:val="00AD54B8"/>
    <w:rsid w:val="00AD5657"/>
    <w:rsid w:val="00AD6876"/>
    <w:rsid w:val="00AD6941"/>
    <w:rsid w:val="00AD6989"/>
    <w:rsid w:val="00AD6A80"/>
    <w:rsid w:val="00AD6B97"/>
    <w:rsid w:val="00AD6C46"/>
    <w:rsid w:val="00AD7476"/>
    <w:rsid w:val="00AD7495"/>
    <w:rsid w:val="00AD7565"/>
    <w:rsid w:val="00AD7731"/>
    <w:rsid w:val="00AD79B5"/>
    <w:rsid w:val="00AD7A0A"/>
    <w:rsid w:val="00AD7AF5"/>
    <w:rsid w:val="00AD7C17"/>
    <w:rsid w:val="00AD7FEF"/>
    <w:rsid w:val="00AE06A8"/>
    <w:rsid w:val="00AE0CD0"/>
    <w:rsid w:val="00AE0D0A"/>
    <w:rsid w:val="00AE0D6B"/>
    <w:rsid w:val="00AE0FEF"/>
    <w:rsid w:val="00AE11DE"/>
    <w:rsid w:val="00AE1962"/>
    <w:rsid w:val="00AE198B"/>
    <w:rsid w:val="00AE1A27"/>
    <w:rsid w:val="00AE1EB2"/>
    <w:rsid w:val="00AE1EE7"/>
    <w:rsid w:val="00AE2212"/>
    <w:rsid w:val="00AE2620"/>
    <w:rsid w:val="00AE298D"/>
    <w:rsid w:val="00AE2F90"/>
    <w:rsid w:val="00AE328D"/>
    <w:rsid w:val="00AE337C"/>
    <w:rsid w:val="00AE3508"/>
    <w:rsid w:val="00AE369D"/>
    <w:rsid w:val="00AE3BBB"/>
    <w:rsid w:val="00AE3D37"/>
    <w:rsid w:val="00AE3FF4"/>
    <w:rsid w:val="00AE4072"/>
    <w:rsid w:val="00AE4212"/>
    <w:rsid w:val="00AE4428"/>
    <w:rsid w:val="00AE4499"/>
    <w:rsid w:val="00AE4737"/>
    <w:rsid w:val="00AE47A4"/>
    <w:rsid w:val="00AE4F94"/>
    <w:rsid w:val="00AE548A"/>
    <w:rsid w:val="00AE57CC"/>
    <w:rsid w:val="00AE5C47"/>
    <w:rsid w:val="00AE5CE8"/>
    <w:rsid w:val="00AE64D4"/>
    <w:rsid w:val="00AE64F9"/>
    <w:rsid w:val="00AE65EC"/>
    <w:rsid w:val="00AE70B7"/>
    <w:rsid w:val="00AE7549"/>
    <w:rsid w:val="00AE7778"/>
    <w:rsid w:val="00AE79B7"/>
    <w:rsid w:val="00AE7A34"/>
    <w:rsid w:val="00AE7B3C"/>
    <w:rsid w:val="00AE7F56"/>
    <w:rsid w:val="00AF00AE"/>
    <w:rsid w:val="00AF0434"/>
    <w:rsid w:val="00AF04CD"/>
    <w:rsid w:val="00AF0AA5"/>
    <w:rsid w:val="00AF0F1F"/>
    <w:rsid w:val="00AF0F78"/>
    <w:rsid w:val="00AF10E7"/>
    <w:rsid w:val="00AF1D22"/>
    <w:rsid w:val="00AF1D5D"/>
    <w:rsid w:val="00AF2788"/>
    <w:rsid w:val="00AF2BB8"/>
    <w:rsid w:val="00AF2EB7"/>
    <w:rsid w:val="00AF2F87"/>
    <w:rsid w:val="00AF310A"/>
    <w:rsid w:val="00AF3B9E"/>
    <w:rsid w:val="00AF3C34"/>
    <w:rsid w:val="00AF3E0F"/>
    <w:rsid w:val="00AF3E57"/>
    <w:rsid w:val="00AF431E"/>
    <w:rsid w:val="00AF4527"/>
    <w:rsid w:val="00AF4646"/>
    <w:rsid w:val="00AF4C8C"/>
    <w:rsid w:val="00AF4EA9"/>
    <w:rsid w:val="00AF56E5"/>
    <w:rsid w:val="00AF58C7"/>
    <w:rsid w:val="00AF5FB4"/>
    <w:rsid w:val="00AF60D7"/>
    <w:rsid w:val="00AF63AB"/>
    <w:rsid w:val="00AF6723"/>
    <w:rsid w:val="00AF6858"/>
    <w:rsid w:val="00AF69A6"/>
    <w:rsid w:val="00AF6A64"/>
    <w:rsid w:val="00AF6B02"/>
    <w:rsid w:val="00AF6D1E"/>
    <w:rsid w:val="00AF6D95"/>
    <w:rsid w:val="00AF6EFA"/>
    <w:rsid w:val="00AF703B"/>
    <w:rsid w:val="00AF72F0"/>
    <w:rsid w:val="00AF73EB"/>
    <w:rsid w:val="00AF7BF8"/>
    <w:rsid w:val="00B001AE"/>
    <w:rsid w:val="00B0036C"/>
    <w:rsid w:val="00B00683"/>
    <w:rsid w:val="00B00988"/>
    <w:rsid w:val="00B00B3D"/>
    <w:rsid w:val="00B00D85"/>
    <w:rsid w:val="00B017B5"/>
    <w:rsid w:val="00B02042"/>
    <w:rsid w:val="00B0205F"/>
    <w:rsid w:val="00B021A7"/>
    <w:rsid w:val="00B022BF"/>
    <w:rsid w:val="00B02390"/>
    <w:rsid w:val="00B0248E"/>
    <w:rsid w:val="00B02B17"/>
    <w:rsid w:val="00B02CFC"/>
    <w:rsid w:val="00B02F5C"/>
    <w:rsid w:val="00B02F7D"/>
    <w:rsid w:val="00B03654"/>
    <w:rsid w:val="00B040AB"/>
    <w:rsid w:val="00B0436C"/>
    <w:rsid w:val="00B043B0"/>
    <w:rsid w:val="00B04479"/>
    <w:rsid w:val="00B044D6"/>
    <w:rsid w:val="00B04A04"/>
    <w:rsid w:val="00B04AE7"/>
    <w:rsid w:val="00B04ED3"/>
    <w:rsid w:val="00B05021"/>
    <w:rsid w:val="00B052E8"/>
    <w:rsid w:val="00B0567B"/>
    <w:rsid w:val="00B05CF8"/>
    <w:rsid w:val="00B05F81"/>
    <w:rsid w:val="00B063C4"/>
    <w:rsid w:val="00B06550"/>
    <w:rsid w:val="00B06653"/>
    <w:rsid w:val="00B067F4"/>
    <w:rsid w:val="00B06910"/>
    <w:rsid w:val="00B06A19"/>
    <w:rsid w:val="00B06B15"/>
    <w:rsid w:val="00B06B5D"/>
    <w:rsid w:val="00B06BAA"/>
    <w:rsid w:val="00B06C91"/>
    <w:rsid w:val="00B06ED8"/>
    <w:rsid w:val="00B071F8"/>
    <w:rsid w:val="00B07A2B"/>
    <w:rsid w:val="00B101D4"/>
    <w:rsid w:val="00B104C0"/>
    <w:rsid w:val="00B10524"/>
    <w:rsid w:val="00B107E6"/>
    <w:rsid w:val="00B10C2F"/>
    <w:rsid w:val="00B11916"/>
    <w:rsid w:val="00B119F6"/>
    <w:rsid w:val="00B11B72"/>
    <w:rsid w:val="00B1204A"/>
    <w:rsid w:val="00B124F8"/>
    <w:rsid w:val="00B12688"/>
    <w:rsid w:val="00B12B50"/>
    <w:rsid w:val="00B12C8E"/>
    <w:rsid w:val="00B13237"/>
    <w:rsid w:val="00B13775"/>
    <w:rsid w:val="00B137B7"/>
    <w:rsid w:val="00B13828"/>
    <w:rsid w:val="00B13902"/>
    <w:rsid w:val="00B1399E"/>
    <w:rsid w:val="00B141F3"/>
    <w:rsid w:val="00B147E8"/>
    <w:rsid w:val="00B14B71"/>
    <w:rsid w:val="00B14D43"/>
    <w:rsid w:val="00B14E17"/>
    <w:rsid w:val="00B1545D"/>
    <w:rsid w:val="00B15960"/>
    <w:rsid w:val="00B161ED"/>
    <w:rsid w:val="00B16381"/>
    <w:rsid w:val="00B1644E"/>
    <w:rsid w:val="00B16917"/>
    <w:rsid w:val="00B16C03"/>
    <w:rsid w:val="00B16CED"/>
    <w:rsid w:val="00B16F11"/>
    <w:rsid w:val="00B178D9"/>
    <w:rsid w:val="00B17F90"/>
    <w:rsid w:val="00B2001A"/>
    <w:rsid w:val="00B20069"/>
    <w:rsid w:val="00B20350"/>
    <w:rsid w:val="00B204D4"/>
    <w:rsid w:val="00B2101E"/>
    <w:rsid w:val="00B21216"/>
    <w:rsid w:val="00B21465"/>
    <w:rsid w:val="00B214CE"/>
    <w:rsid w:val="00B21824"/>
    <w:rsid w:val="00B219CA"/>
    <w:rsid w:val="00B21B04"/>
    <w:rsid w:val="00B22466"/>
    <w:rsid w:val="00B22A33"/>
    <w:rsid w:val="00B22BE5"/>
    <w:rsid w:val="00B23460"/>
    <w:rsid w:val="00B235DD"/>
    <w:rsid w:val="00B23B40"/>
    <w:rsid w:val="00B23E59"/>
    <w:rsid w:val="00B2459A"/>
    <w:rsid w:val="00B24BAD"/>
    <w:rsid w:val="00B25291"/>
    <w:rsid w:val="00B25370"/>
    <w:rsid w:val="00B253BB"/>
    <w:rsid w:val="00B25687"/>
    <w:rsid w:val="00B2576D"/>
    <w:rsid w:val="00B25EE8"/>
    <w:rsid w:val="00B25EF5"/>
    <w:rsid w:val="00B25FC4"/>
    <w:rsid w:val="00B266D1"/>
    <w:rsid w:val="00B26813"/>
    <w:rsid w:val="00B26AC8"/>
    <w:rsid w:val="00B26E3A"/>
    <w:rsid w:val="00B26E58"/>
    <w:rsid w:val="00B26E9D"/>
    <w:rsid w:val="00B2715B"/>
    <w:rsid w:val="00B271CC"/>
    <w:rsid w:val="00B27311"/>
    <w:rsid w:val="00B27993"/>
    <w:rsid w:val="00B27CDD"/>
    <w:rsid w:val="00B30098"/>
    <w:rsid w:val="00B300C5"/>
    <w:rsid w:val="00B304D4"/>
    <w:rsid w:val="00B305B1"/>
    <w:rsid w:val="00B30CB9"/>
    <w:rsid w:val="00B30E13"/>
    <w:rsid w:val="00B31A82"/>
    <w:rsid w:val="00B31DE9"/>
    <w:rsid w:val="00B3208E"/>
    <w:rsid w:val="00B32123"/>
    <w:rsid w:val="00B32173"/>
    <w:rsid w:val="00B321E3"/>
    <w:rsid w:val="00B322AB"/>
    <w:rsid w:val="00B3295A"/>
    <w:rsid w:val="00B32ACF"/>
    <w:rsid w:val="00B32AD2"/>
    <w:rsid w:val="00B33095"/>
    <w:rsid w:val="00B33176"/>
    <w:rsid w:val="00B33E41"/>
    <w:rsid w:val="00B33F7D"/>
    <w:rsid w:val="00B34369"/>
    <w:rsid w:val="00B346B2"/>
    <w:rsid w:val="00B34702"/>
    <w:rsid w:val="00B347AC"/>
    <w:rsid w:val="00B34AF3"/>
    <w:rsid w:val="00B34B4B"/>
    <w:rsid w:val="00B34BC2"/>
    <w:rsid w:val="00B34DCD"/>
    <w:rsid w:val="00B34F28"/>
    <w:rsid w:val="00B3512E"/>
    <w:rsid w:val="00B35318"/>
    <w:rsid w:val="00B35338"/>
    <w:rsid w:val="00B359CE"/>
    <w:rsid w:val="00B35B8D"/>
    <w:rsid w:val="00B35BAE"/>
    <w:rsid w:val="00B3600A"/>
    <w:rsid w:val="00B363D5"/>
    <w:rsid w:val="00B36CB9"/>
    <w:rsid w:val="00B36DB2"/>
    <w:rsid w:val="00B36E03"/>
    <w:rsid w:val="00B36EBD"/>
    <w:rsid w:val="00B375F5"/>
    <w:rsid w:val="00B37860"/>
    <w:rsid w:val="00B378D1"/>
    <w:rsid w:val="00B37C2D"/>
    <w:rsid w:val="00B37F14"/>
    <w:rsid w:val="00B37F24"/>
    <w:rsid w:val="00B4008A"/>
    <w:rsid w:val="00B40553"/>
    <w:rsid w:val="00B407D5"/>
    <w:rsid w:val="00B40833"/>
    <w:rsid w:val="00B4093C"/>
    <w:rsid w:val="00B40950"/>
    <w:rsid w:val="00B40C67"/>
    <w:rsid w:val="00B41359"/>
    <w:rsid w:val="00B413D4"/>
    <w:rsid w:val="00B4140F"/>
    <w:rsid w:val="00B41514"/>
    <w:rsid w:val="00B415D3"/>
    <w:rsid w:val="00B416E4"/>
    <w:rsid w:val="00B41971"/>
    <w:rsid w:val="00B41A7F"/>
    <w:rsid w:val="00B41BDE"/>
    <w:rsid w:val="00B41C37"/>
    <w:rsid w:val="00B42562"/>
    <w:rsid w:val="00B42AA2"/>
    <w:rsid w:val="00B42B19"/>
    <w:rsid w:val="00B42DF1"/>
    <w:rsid w:val="00B42E68"/>
    <w:rsid w:val="00B43275"/>
    <w:rsid w:val="00B43280"/>
    <w:rsid w:val="00B432CE"/>
    <w:rsid w:val="00B432EC"/>
    <w:rsid w:val="00B437D9"/>
    <w:rsid w:val="00B43801"/>
    <w:rsid w:val="00B43C9C"/>
    <w:rsid w:val="00B43DCD"/>
    <w:rsid w:val="00B43F8F"/>
    <w:rsid w:val="00B440EA"/>
    <w:rsid w:val="00B44377"/>
    <w:rsid w:val="00B44BA5"/>
    <w:rsid w:val="00B44E59"/>
    <w:rsid w:val="00B44EBD"/>
    <w:rsid w:val="00B4506B"/>
    <w:rsid w:val="00B458F4"/>
    <w:rsid w:val="00B45E34"/>
    <w:rsid w:val="00B4627C"/>
    <w:rsid w:val="00B46291"/>
    <w:rsid w:val="00B4631A"/>
    <w:rsid w:val="00B46724"/>
    <w:rsid w:val="00B46743"/>
    <w:rsid w:val="00B46901"/>
    <w:rsid w:val="00B474BF"/>
    <w:rsid w:val="00B4759A"/>
    <w:rsid w:val="00B4760A"/>
    <w:rsid w:val="00B47EF3"/>
    <w:rsid w:val="00B500FF"/>
    <w:rsid w:val="00B5056F"/>
    <w:rsid w:val="00B507DB"/>
    <w:rsid w:val="00B50924"/>
    <w:rsid w:val="00B50CF0"/>
    <w:rsid w:val="00B50EB9"/>
    <w:rsid w:val="00B50FE6"/>
    <w:rsid w:val="00B50FF9"/>
    <w:rsid w:val="00B511B8"/>
    <w:rsid w:val="00B513C7"/>
    <w:rsid w:val="00B51444"/>
    <w:rsid w:val="00B514CC"/>
    <w:rsid w:val="00B514D0"/>
    <w:rsid w:val="00B515E8"/>
    <w:rsid w:val="00B51A4C"/>
    <w:rsid w:val="00B51A9F"/>
    <w:rsid w:val="00B51B49"/>
    <w:rsid w:val="00B51B67"/>
    <w:rsid w:val="00B51F80"/>
    <w:rsid w:val="00B52603"/>
    <w:rsid w:val="00B52CC6"/>
    <w:rsid w:val="00B537BC"/>
    <w:rsid w:val="00B5394D"/>
    <w:rsid w:val="00B53E77"/>
    <w:rsid w:val="00B5431D"/>
    <w:rsid w:val="00B543DE"/>
    <w:rsid w:val="00B54C44"/>
    <w:rsid w:val="00B551D7"/>
    <w:rsid w:val="00B554AF"/>
    <w:rsid w:val="00B5552D"/>
    <w:rsid w:val="00B55691"/>
    <w:rsid w:val="00B556D5"/>
    <w:rsid w:val="00B558D1"/>
    <w:rsid w:val="00B5595E"/>
    <w:rsid w:val="00B559B1"/>
    <w:rsid w:val="00B55B5F"/>
    <w:rsid w:val="00B55C82"/>
    <w:rsid w:val="00B55CD6"/>
    <w:rsid w:val="00B55ECA"/>
    <w:rsid w:val="00B56012"/>
    <w:rsid w:val="00B56026"/>
    <w:rsid w:val="00B5638D"/>
    <w:rsid w:val="00B56D2A"/>
    <w:rsid w:val="00B57156"/>
    <w:rsid w:val="00B5773F"/>
    <w:rsid w:val="00B57853"/>
    <w:rsid w:val="00B57AA5"/>
    <w:rsid w:val="00B57DCE"/>
    <w:rsid w:val="00B6023E"/>
    <w:rsid w:val="00B60722"/>
    <w:rsid w:val="00B60B90"/>
    <w:rsid w:val="00B61138"/>
    <w:rsid w:val="00B61754"/>
    <w:rsid w:val="00B619E8"/>
    <w:rsid w:val="00B61BC3"/>
    <w:rsid w:val="00B61E09"/>
    <w:rsid w:val="00B6244F"/>
    <w:rsid w:val="00B6260D"/>
    <w:rsid w:val="00B62742"/>
    <w:rsid w:val="00B628C9"/>
    <w:rsid w:val="00B63679"/>
    <w:rsid w:val="00B644EC"/>
    <w:rsid w:val="00B64757"/>
    <w:rsid w:val="00B6480E"/>
    <w:rsid w:val="00B64962"/>
    <w:rsid w:val="00B649C2"/>
    <w:rsid w:val="00B64EB2"/>
    <w:rsid w:val="00B65083"/>
    <w:rsid w:val="00B652DA"/>
    <w:rsid w:val="00B65C2D"/>
    <w:rsid w:val="00B65EC6"/>
    <w:rsid w:val="00B6607E"/>
    <w:rsid w:val="00B664DF"/>
    <w:rsid w:val="00B66794"/>
    <w:rsid w:val="00B66E31"/>
    <w:rsid w:val="00B67136"/>
    <w:rsid w:val="00B6727A"/>
    <w:rsid w:val="00B673B8"/>
    <w:rsid w:val="00B67465"/>
    <w:rsid w:val="00B674C9"/>
    <w:rsid w:val="00B67501"/>
    <w:rsid w:val="00B67A69"/>
    <w:rsid w:val="00B67CF8"/>
    <w:rsid w:val="00B67D21"/>
    <w:rsid w:val="00B67F03"/>
    <w:rsid w:val="00B70131"/>
    <w:rsid w:val="00B70F7A"/>
    <w:rsid w:val="00B71557"/>
    <w:rsid w:val="00B715B3"/>
    <w:rsid w:val="00B7166B"/>
    <w:rsid w:val="00B7168A"/>
    <w:rsid w:val="00B71781"/>
    <w:rsid w:val="00B719C9"/>
    <w:rsid w:val="00B7258F"/>
    <w:rsid w:val="00B727F7"/>
    <w:rsid w:val="00B728E2"/>
    <w:rsid w:val="00B72CB5"/>
    <w:rsid w:val="00B72D43"/>
    <w:rsid w:val="00B73175"/>
    <w:rsid w:val="00B73447"/>
    <w:rsid w:val="00B73685"/>
    <w:rsid w:val="00B73807"/>
    <w:rsid w:val="00B73BD3"/>
    <w:rsid w:val="00B73CA3"/>
    <w:rsid w:val="00B73E00"/>
    <w:rsid w:val="00B73F6F"/>
    <w:rsid w:val="00B74586"/>
    <w:rsid w:val="00B74960"/>
    <w:rsid w:val="00B74C3A"/>
    <w:rsid w:val="00B74DA6"/>
    <w:rsid w:val="00B74DD2"/>
    <w:rsid w:val="00B74E87"/>
    <w:rsid w:val="00B74EB6"/>
    <w:rsid w:val="00B75102"/>
    <w:rsid w:val="00B752C6"/>
    <w:rsid w:val="00B755A3"/>
    <w:rsid w:val="00B75F28"/>
    <w:rsid w:val="00B7621D"/>
    <w:rsid w:val="00B76757"/>
    <w:rsid w:val="00B7699D"/>
    <w:rsid w:val="00B769DA"/>
    <w:rsid w:val="00B76A41"/>
    <w:rsid w:val="00B76D1A"/>
    <w:rsid w:val="00B7720B"/>
    <w:rsid w:val="00B77408"/>
    <w:rsid w:val="00B77469"/>
    <w:rsid w:val="00B77653"/>
    <w:rsid w:val="00B77ABC"/>
    <w:rsid w:val="00B77C0C"/>
    <w:rsid w:val="00B77CAF"/>
    <w:rsid w:val="00B77FE5"/>
    <w:rsid w:val="00B8015D"/>
    <w:rsid w:val="00B805AF"/>
    <w:rsid w:val="00B80961"/>
    <w:rsid w:val="00B80B5F"/>
    <w:rsid w:val="00B80CE0"/>
    <w:rsid w:val="00B80D8B"/>
    <w:rsid w:val="00B8129B"/>
    <w:rsid w:val="00B81457"/>
    <w:rsid w:val="00B819DB"/>
    <w:rsid w:val="00B81C03"/>
    <w:rsid w:val="00B81D42"/>
    <w:rsid w:val="00B82E15"/>
    <w:rsid w:val="00B83437"/>
    <w:rsid w:val="00B8345A"/>
    <w:rsid w:val="00B837C0"/>
    <w:rsid w:val="00B83975"/>
    <w:rsid w:val="00B83CD3"/>
    <w:rsid w:val="00B84555"/>
    <w:rsid w:val="00B84874"/>
    <w:rsid w:val="00B85052"/>
    <w:rsid w:val="00B85389"/>
    <w:rsid w:val="00B855F6"/>
    <w:rsid w:val="00B85791"/>
    <w:rsid w:val="00B85C75"/>
    <w:rsid w:val="00B860FF"/>
    <w:rsid w:val="00B865AD"/>
    <w:rsid w:val="00B86613"/>
    <w:rsid w:val="00B8666D"/>
    <w:rsid w:val="00B86923"/>
    <w:rsid w:val="00B86AA8"/>
    <w:rsid w:val="00B86D7F"/>
    <w:rsid w:val="00B86F20"/>
    <w:rsid w:val="00B86F5D"/>
    <w:rsid w:val="00B86FE4"/>
    <w:rsid w:val="00B87021"/>
    <w:rsid w:val="00B872AC"/>
    <w:rsid w:val="00B87452"/>
    <w:rsid w:val="00B877EC"/>
    <w:rsid w:val="00B87873"/>
    <w:rsid w:val="00B90386"/>
    <w:rsid w:val="00B90581"/>
    <w:rsid w:val="00B90604"/>
    <w:rsid w:val="00B90B14"/>
    <w:rsid w:val="00B9105A"/>
    <w:rsid w:val="00B91555"/>
    <w:rsid w:val="00B91733"/>
    <w:rsid w:val="00B91C7E"/>
    <w:rsid w:val="00B91E15"/>
    <w:rsid w:val="00B91E24"/>
    <w:rsid w:val="00B91F69"/>
    <w:rsid w:val="00B91FBE"/>
    <w:rsid w:val="00B920DB"/>
    <w:rsid w:val="00B9210B"/>
    <w:rsid w:val="00B92CCA"/>
    <w:rsid w:val="00B930CB"/>
    <w:rsid w:val="00B936A6"/>
    <w:rsid w:val="00B937B7"/>
    <w:rsid w:val="00B939FE"/>
    <w:rsid w:val="00B93CBE"/>
    <w:rsid w:val="00B93E46"/>
    <w:rsid w:val="00B94037"/>
    <w:rsid w:val="00B943D4"/>
    <w:rsid w:val="00B9467D"/>
    <w:rsid w:val="00B94782"/>
    <w:rsid w:val="00B9483E"/>
    <w:rsid w:val="00B9488F"/>
    <w:rsid w:val="00B948CD"/>
    <w:rsid w:val="00B94CD4"/>
    <w:rsid w:val="00B94CF9"/>
    <w:rsid w:val="00B94D6B"/>
    <w:rsid w:val="00B955C5"/>
    <w:rsid w:val="00B95678"/>
    <w:rsid w:val="00B95904"/>
    <w:rsid w:val="00B961F4"/>
    <w:rsid w:val="00B966C5"/>
    <w:rsid w:val="00B9672B"/>
    <w:rsid w:val="00B968B3"/>
    <w:rsid w:val="00B96F1B"/>
    <w:rsid w:val="00B97023"/>
    <w:rsid w:val="00B9736F"/>
    <w:rsid w:val="00B97897"/>
    <w:rsid w:val="00B97C1D"/>
    <w:rsid w:val="00B97F2B"/>
    <w:rsid w:val="00BA014C"/>
    <w:rsid w:val="00BA0FC1"/>
    <w:rsid w:val="00BA135C"/>
    <w:rsid w:val="00BA1396"/>
    <w:rsid w:val="00BA1619"/>
    <w:rsid w:val="00BA1835"/>
    <w:rsid w:val="00BA1ABA"/>
    <w:rsid w:val="00BA1CC8"/>
    <w:rsid w:val="00BA232E"/>
    <w:rsid w:val="00BA23D6"/>
    <w:rsid w:val="00BA24F1"/>
    <w:rsid w:val="00BA2527"/>
    <w:rsid w:val="00BA2721"/>
    <w:rsid w:val="00BA2983"/>
    <w:rsid w:val="00BA2DF5"/>
    <w:rsid w:val="00BA333B"/>
    <w:rsid w:val="00BA35D1"/>
    <w:rsid w:val="00BA43B5"/>
    <w:rsid w:val="00BA453D"/>
    <w:rsid w:val="00BA45F7"/>
    <w:rsid w:val="00BA49A0"/>
    <w:rsid w:val="00BA4C46"/>
    <w:rsid w:val="00BA4D24"/>
    <w:rsid w:val="00BA4DA5"/>
    <w:rsid w:val="00BA5100"/>
    <w:rsid w:val="00BA5823"/>
    <w:rsid w:val="00BA589C"/>
    <w:rsid w:val="00BA5B83"/>
    <w:rsid w:val="00BA5BBF"/>
    <w:rsid w:val="00BA66D0"/>
    <w:rsid w:val="00BA6A7C"/>
    <w:rsid w:val="00BA789A"/>
    <w:rsid w:val="00BB03DA"/>
    <w:rsid w:val="00BB03FE"/>
    <w:rsid w:val="00BB07CE"/>
    <w:rsid w:val="00BB081D"/>
    <w:rsid w:val="00BB0AFC"/>
    <w:rsid w:val="00BB0B3D"/>
    <w:rsid w:val="00BB0C33"/>
    <w:rsid w:val="00BB0E48"/>
    <w:rsid w:val="00BB0E8F"/>
    <w:rsid w:val="00BB1304"/>
    <w:rsid w:val="00BB14AC"/>
    <w:rsid w:val="00BB1A6C"/>
    <w:rsid w:val="00BB1E4F"/>
    <w:rsid w:val="00BB1E7C"/>
    <w:rsid w:val="00BB202B"/>
    <w:rsid w:val="00BB2133"/>
    <w:rsid w:val="00BB2476"/>
    <w:rsid w:val="00BB340A"/>
    <w:rsid w:val="00BB3CCB"/>
    <w:rsid w:val="00BB3EB2"/>
    <w:rsid w:val="00BB43A6"/>
    <w:rsid w:val="00BB458D"/>
    <w:rsid w:val="00BB45DA"/>
    <w:rsid w:val="00BB4BFD"/>
    <w:rsid w:val="00BB4E8C"/>
    <w:rsid w:val="00BB51AA"/>
    <w:rsid w:val="00BB55F9"/>
    <w:rsid w:val="00BB564B"/>
    <w:rsid w:val="00BB5BFA"/>
    <w:rsid w:val="00BB5E4C"/>
    <w:rsid w:val="00BB651E"/>
    <w:rsid w:val="00BB6714"/>
    <w:rsid w:val="00BB6772"/>
    <w:rsid w:val="00BB6A06"/>
    <w:rsid w:val="00BB6E62"/>
    <w:rsid w:val="00BB7262"/>
    <w:rsid w:val="00BB7845"/>
    <w:rsid w:val="00BB7BF1"/>
    <w:rsid w:val="00BB7E6C"/>
    <w:rsid w:val="00BB7EE7"/>
    <w:rsid w:val="00BC087C"/>
    <w:rsid w:val="00BC0AF5"/>
    <w:rsid w:val="00BC0BF0"/>
    <w:rsid w:val="00BC1632"/>
    <w:rsid w:val="00BC1653"/>
    <w:rsid w:val="00BC16F9"/>
    <w:rsid w:val="00BC1A9A"/>
    <w:rsid w:val="00BC1F19"/>
    <w:rsid w:val="00BC1FE5"/>
    <w:rsid w:val="00BC23BF"/>
    <w:rsid w:val="00BC24A6"/>
    <w:rsid w:val="00BC264D"/>
    <w:rsid w:val="00BC2779"/>
    <w:rsid w:val="00BC2901"/>
    <w:rsid w:val="00BC3196"/>
    <w:rsid w:val="00BC327F"/>
    <w:rsid w:val="00BC38FC"/>
    <w:rsid w:val="00BC47EE"/>
    <w:rsid w:val="00BC4C6B"/>
    <w:rsid w:val="00BC510B"/>
    <w:rsid w:val="00BC5682"/>
    <w:rsid w:val="00BC5724"/>
    <w:rsid w:val="00BC5904"/>
    <w:rsid w:val="00BC5B21"/>
    <w:rsid w:val="00BC5C8C"/>
    <w:rsid w:val="00BC5EC3"/>
    <w:rsid w:val="00BC6396"/>
    <w:rsid w:val="00BC67EB"/>
    <w:rsid w:val="00BC70D9"/>
    <w:rsid w:val="00BC71DB"/>
    <w:rsid w:val="00BC734C"/>
    <w:rsid w:val="00BC75B6"/>
    <w:rsid w:val="00BC7686"/>
    <w:rsid w:val="00BC774E"/>
    <w:rsid w:val="00BC7AB0"/>
    <w:rsid w:val="00BC7CD6"/>
    <w:rsid w:val="00BC7D92"/>
    <w:rsid w:val="00BC7F53"/>
    <w:rsid w:val="00BD0585"/>
    <w:rsid w:val="00BD0AEA"/>
    <w:rsid w:val="00BD0BB8"/>
    <w:rsid w:val="00BD0C8F"/>
    <w:rsid w:val="00BD0D18"/>
    <w:rsid w:val="00BD0D8D"/>
    <w:rsid w:val="00BD0EAB"/>
    <w:rsid w:val="00BD1040"/>
    <w:rsid w:val="00BD14A6"/>
    <w:rsid w:val="00BD1517"/>
    <w:rsid w:val="00BD1883"/>
    <w:rsid w:val="00BD18A2"/>
    <w:rsid w:val="00BD1987"/>
    <w:rsid w:val="00BD1A93"/>
    <w:rsid w:val="00BD1A9A"/>
    <w:rsid w:val="00BD1AB6"/>
    <w:rsid w:val="00BD1C59"/>
    <w:rsid w:val="00BD2073"/>
    <w:rsid w:val="00BD23A3"/>
    <w:rsid w:val="00BD23D8"/>
    <w:rsid w:val="00BD2849"/>
    <w:rsid w:val="00BD2E5E"/>
    <w:rsid w:val="00BD312C"/>
    <w:rsid w:val="00BD3496"/>
    <w:rsid w:val="00BD34F4"/>
    <w:rsid w:val="00BD363F"/>
    <w:rsid w:val="00BD3A39"/>
    <w:rsid w:val="00BD3FDA"/>
    <w:rsid w:val="00BD4063"/>
    <w:rsid w:val="00BD4212"/>
    <w:rsid w:val="00BD427F"/>
    <w:rsid w:val="00BD428C"/>
    <w:rsid w:val="00BD42E8"/>
    <w:rsid w:val="00BD46D2"/>
    <w:rsid w:val="00BD4827"/>
    <w:rsid w:val="00BD48DE"/>
    <w:rsid w:val="00BD48F9"/>
    <w:rsid w:val="00BD4DA9"/>
    <w:rsid w:val="00BD4EE7"/>
    <w:rsid w:val="00BD57DC"/>
    <w:rsid w:val="00BD5B05"/>
    <w:rsid w:val="00BD64B1"/>
    <w:rsid w:val="00BD703A"/>
    <w:rsid w:val="00BD73CF"/>
    <w:rsid w:val="00BD762C"/>
    <w:rsid w:val="00BD7AFB"/>
    <w:rsid w:val="00BE00A5"/>
    <w:rsid w:val="00BE0153"/>
    <w:rsid w:val="00BE07AF"/>
    <w:rsid w:val="00BE0877"/>
    <w:rsid w:val="00BE0FAA"/>
    <w:rsid w:val="00BE11AA"/>
    <w:rsid w:val="00BE122D"/>
    <w:rsid w:val="00BE1310"/>
    <w:rsid w:val="00BE13D2"/>
    <w:rsid w:val="00BE1457"/>
    <w:rsid w:val="00BE15F4"/>
    <w:rsid w:val="00BE17C7"/>
    <w:rsid w:val="00BE20AD"/>
    <w:rsid w:val="00BE23E9"/>
    <w:rsid w:val="00BE2742"/>
    <w:rsid w:val="00BE2A2F"/>
    <w:rsid w:val="00BE2A4E"/>
    <w:rsid w:val="00BE2A77"/>
    <w:rsid w:val="00BE2A9F"/>
    <w:rsid w:val="00BE2B01"/>
    <w:rsid w:val="00BE32D2"/>
    <w:rsid w:val="00BE3368"/>
    <w:rsid w:val="00BE3408"/>
    <w:rsid w:val="00BE3F33"/>
    <w:rsid w:val="00BE4092"/>
    <w:rsid w:val="00BE469A"/>
    <w:rsid w:val="00BE475D"/>
    <w:rsid w:val="00BE4C00"/>
    <w:rsid w:val="00BE4EA4"/>
    <w:rsid w:val="00BE4F6E"/>
    <w:rsid w:val="00BE50DD"/>
    <w:rsid w:val="00BE510B"/>
    <w:rsid w:val="00BE5772"/>
    <w:rsid w:val="00BE57BD"/>
    <w:rsid w:val="00BE5952"/>
    <w:rsid w:val="00BE5A11"/>
    <w:rsid w:val="00BE5E8A"/>
    <w:rsid w:val="00BE6197"/>
    <w:rsid w:val="00BE61C1"/>
    <w:rsid w:val="00BE6A3D"/>
    <w:rsid w:val="00BE6A3F"/>
    <w:rsid w:val="00BE6D02"/>
    <w:rsid w:val="00BE6D8A"/>
    <w:rsid w:val="00BE6F2D"/>
    <w:rsid w:val="00BE7074"/>
    <w:rsid w:val="00BE764D"/>
    <w:rsid w:val="00BE7D0C"/>
    <w:rsid w:val="00BF020E"/>
    <w:rsid w:val="00BF0390"/>
    <w:rsid w:val="00BF0393"/>
    <w:rsid w:val="00BF07D5"/>
    <w:rsid w:val="00BF0842"/>
    <w:rsid w:val="00BF0A1A"/>
    <w:rsid w:val="00BF14DA"/>
    <w:rsid w:val="00BF17E5"/>
    <w:rsid w:val="00BF2175"/>
    <w:rsid w:val="00BF2707"/>
    <w:rsid w:val="00BF2B27"/>
    <w:rsid w:val="00BF2BCE"/>
    <w:rsid w:val="00BF2D00"/>
    <w:rsid w:val="00BF2DD3"/>
    <w:rsid w:val="00BF2E64"/>
    <w:rsid w:val="00BF2FA0"/>
    <w:rsid w:val="00BF33E3"/>
    <w:rsid w:val="00BF36F4"/>
    <w:rsid w:val="00BF3C5F"/>
    <w:rsid w:val="00BF3CCB"/>
    <w:rsid w:val="00BF3CDF"/>
    <w:rsid w:val="00BF3D70"/>
    <w:rsid w:val="00BF3FBA"/>
    <w:rsid w:val="00BF4161"/>
    <w:rsid w:val="00BF46AC"/>
    <w:rsid w:val="00BF482E"/>
    <w:rsid w:val="00BF49D4"/>
    <w:rsid w:val="00BF5241"/>
    <w:rsid w:val="00BF5393"/>
    <w:rsid w:val="00BF54B4"/>
    <w:rsid w:val="00BF5B53"/>
    <w:rsid w:val="00BF5D48"/>
    <w:rsid w:val="00BF5FD1"/>
    <w:rsid w:val="00BF62DC"/>
    <w:rsid w:val="00BF63E9"/>
    <w:rsid w:val="00BF69BE"/>
    <w:rsid w:val="00BF6E76"/>
    <w:rsid w:val="00BF6ECC"/>
    <w:rsid w:val="00BF708A"/>
    <w:rsid w:val="00BF726C"/>
    <w:rsid w:val="00BF7607"/>
    <w:rsid w:val="00BF765C"/>
    <w:rsid w:val="00BF784F"/>
    <w:rsid w:val="00BF7ED8"/>
    <w:rsid w:val="00C000C0"/>
    <w:rsid w:val="00C0027A"/>
    <w:rsid w:val="00C002D0"/>
    <w:rsid w:val="00C005C3"/>
    <w:rsid w:val="00C00840"/>
    <w:rsid w:val="00C008C8"/>
    <w:rsid w:val="00C009F8"/>
    <w:rsid w:val="00C00A84"/>
    <w:rsid w:val="00C01154"/>
    <w:rsid w:val="00C011FE"/>
    <w:rsid w:val="00C01303"/>
    <w:rsid w:val="00C01376"/>
    <w:rsid w:val="00C01DBF"/>
    <w:rsid w:val="00C01E57"/>
    <w:rsid w:val="00C02064"/>
    <w:rsid w:val="00C0219B"/>
    <w:rsid w:val="00C024E4"/>
    <w:rsid w:val="00C025AE"/>
    <w:rsid w:val="00C029BE"/>
    <w:rsid w:val="00C03048"/>
    <w:rsid w:val="00C034DC"/>
    <w:rsid w:val="00C03531"/>
    <w:rsid w:val="00C03739"/>
    <w:rsid w:val="00C04303"/>
    <w:rsid w:val="00C044BC"/>
    <w:rsid w:val="00C04515"/>
    <w:rsid w:val="00C04773"/>
    <w:rsid w:val="00C047CD"/>
    <w:rsid w:val="00C05627"/>
    <w:rsid w:val="00C0583F"/>
    <w:rsid w:val="00C05B25"/>
    <w:rsid w:val="00C06042"/>
    <w:rsid w:val="00C06326"/>
    <w:rsid w:val="00C06328"/>
    <w:rsid w:val="00C06420"/>
    <w:rsid w:val="00C06ED6"/>
    <w:rsid w:val="00C0791E"/>
    <w:rsid w:val="00C07F14"/>
    <w:rsid w:val="00C10398"/>
    <w:rsid w:val="00C103A5"/>
    <w:rsid w:val="00C10485"/>
    <w:rsid w:val="00C10AF2"/>
    <w:rsid w:val="00C10FA3"/>
    <w:rsid w:val="00C1109A"/>
    <w:rsid w:val="00C1126F"/>
    <w:rsid w:val="00C11372"/>
    <w:rsid w:val="00C11390"/>
    <w:rsid w:val="00C11511"/>
    <w:rsid w:val="00C115D8"/>
    <w:rsid w:val="00C1168A"/>
    <w:rsid w:val="00C11761"/>
    <w:rsid w:val="00C11992"/>
    <w:rsid w:val="00C11A8D"/>
    <w:rsid w:val="00C12217"/>
    <w:rsid w:val="00C12908"/>
    <w:rsid w:val="00C12FAE"/>
    <w:rsid w:val="00C13149"/>
    <w:rsid w:val="00C13BCF"/>
    <w:rsid w:val="00C13C5B"/>
    <w:rsid w:val="00C140F9"/>
    <w:rsid w:val="00C14C60"/>
    <w:rsid w:val="00C14E1E"/>
    <w:rsid w:val="00C1520E"/>
    <w:rsid w:val="00C1532B"/>
    <w:rsid w:val="00C1539A"/>
    <w:rsid w:val="00C15A73"/>
    <w:rsid w:val="00C15C36"/>
    <w:rsid w:val="00C16105"/>
    <w:rsid w:val="00C161CC"/>
    <w:rsid w:val="00C1628A"/>
    <w:rsid w:val="00C16BEA"/>
    <w:rsid w:val="00C16F32"/>
    <w:rsid w:val="00C17262"/>
    <w:rsid w:val="00C172C9"/>
    <w:rsid w:val="00C173FB"/>
    <w:rsid w:val="00C17548"/>
    <w:rsid w:val="00C175C7"/>
    <w:rsid w:val="00C17946"/>
    <w:rsid w:val="00C17992"/>
    <w:rsid w:val="00C20047"/>
    <w:rsid w:val="00C20267"/>
    <w:rsid w:val="00C2069F"/>
    <w:rsid w:val="00C20875"/>
    <w:rsid w:val="00C20A54"/>
    <w:rsid w:val="00C20C02"/>
    <w:rsid w:val="00C20DC2"/>
    <w:rsid w:val="00C21062"/>
    <w:rsid w:val="00C210D6"/>
    <w:rsid w:val="00C21460"/>
    <w:rsid w:val="00C2194B"/>
    <w:rsid w:val="00C21F75"/>
    <w:rsid w:val="00C220B1"/>
    <w:rsid w:val="00C2239C"/>
    <w:rsid w:val="00C229D6"/>
    <w:rsid w:val="00C22BC8"/>
    <w:rsid w:val="00C2318E"/>
    <w:rsid w:val="00C23615"/>
    <w:rsid w:val="00C23803"/>
    <w:rsid w:val="00C23805"/>
    <w:rsid w:val="00C2386A"/>
    <w:rsid w:val="00C23D0B"/>
    <w:rsid w:val="00C23F03"/>
    <w:rsid w:val="00C23F2D"/>
    <w:rsid w:val="00C246DC"/>
    <w:rsid w:val="00C24771"/>
    <w:rsid w:val="00C248FD"/>
    <w:rsid w:val="00C24AD2"/>
    <w:rsid w:val="00C25128"/>
    <w:rsid w:val="00C25131"/>
    <w:rsid w:val="00C25156"/>
    <w:rsid w:val="00C25249"/>
    <w:rsid w:val="00C2527D"/>
    <w:rsid w:val="00C25798"/>
    <w:rsid w:val="00C257FF"/>
    <w:rsid w:val="00C25AC9"/>
    <w:rsid w:val="00C261FF"/>
    <w:rsid w:val="00C26A4D"/>
    <w:rsid w:val="00C26BB8"/>
    <w:rsid w:val="00C26EA4"/>
    <w:rsid w:val="00C2744C"/>
    <w:rsid w:val="00C2755C"/>
    <w:rsid w:val="00C275BB"/>
    <w:rsid w:val="00C2778D"/>
    <w:rsid w:val="00C278DF"/>
    <w:rsid w:val="00C27E11"/>
    <w:rsid w:val="00C27F0E"/>
    <w:rsid w:val="00C301A5"/>
    <w:rsid w:val="00C3020F"/>
    <w:rsid w:val="00C303D4"/>
    <w:rsid w:val="00C304E5"/>
    <w:rsid w:val="00C31351"/>
    <w:rsid w:val="00C31890"/>
    <w:rsid w:val="00C31B38"/>
    <w:rsid w:val="00C31DE6"/>
    <w:rsid w:val="00C31ED8"/>
    <w:rsid w:val="00C31F70"/>
    <w:rsid w:val="00C3205D"/>
    <w:rsid w:val="00C32060"/>
    <w:rsid w:val="00C32BC6"/>
    <w:rsid w:val="00C33166"/>
    <w:rsid w:val="00C331A5"/>
    <w:rsid w:val="00C333E3"/>
    <w:rsid w:val="00C334A9"/>
    <w:rsid w:val="00C33856"/>
    <w:rsid w:val="00C340ED"/>
    <w:rsid w:val="00C342E5"/>
    <w:rsid w:val="00C34373"/>
    <w:rsid w:val="00C348DB"/>
    <w:rsid w:val="00C34952"/>
    <w:rsid w:val="00C349AF"/>
    <w:rsid w:val="00C35037"/>
    <w:rsid w:val="00C35071"/>
    <w:rsid w:val="00C35338"/>
    <w:rsid w:val="00C35358"/>
    <w:rsid w:val="00C35632"/>
    <w:rsid w:val="00C35884"/>
    <w:rsid w:val="00C35978"/>
    <w:rsid w:val="00C35999"/>
    <w:rsid w:val="00C35B1A"/>
    <w:rsid w:val="00C35DAC"/>
    <w:rsid w:val="00C35F2E"/>
    <w:rsid w:val="00C36261"/>
    <w:rsid w:val="00C36402"/>
    <w:rsid w:val="00C36429"/>
    <w:rsid w:val="00C3657C"/>
    <w:rsid w:val="00C36620"/>
    <w:rsid w:val="00C36824"/>
    <w:rsid w:val="00C36CE0"/>
    <w:rsid w:val="00C3719B"/>
    <w:rsid w:val="00C37291"/>
    <w:rsid w:val="00C376D4"/>
    <w:rsid w:val="00C3779A"/>
    <w:rsid w:val="00C404A2"/>
    <w:rsid w:val="00C406A6"/>
    <w:rsid w:val="00C40B90"/>
    <w:rsid w:val="00C40C3D"/>
    <w:rsid w:val="00C40E32"/>
    <w:rsid w:val="00C41035"/>
    <w:rsid w:val="00C41206"/>
    <w:rsid w:val="00C41209"/>
    <w:rsid w:val="00C4146B"/>
    <w:rsid w:val="00C41666"/>
    <w:rsid w:val="00C4177D"/>
    <w:rsid w:val="00C41B43"/>
    <w:rsid w:val="00C4208B"/>
    <w:rsid w:val="00C4247B"/>
    <w:rsid w:val="00C424F3"/>
    <w:rsid w:val="00C42679"/>
    <w:rsid w:val="00C4283B"/>
    <w:rsid w:val="00C429B9"/>
    <w:rsid w:val="00C42D86"/>
    <w:rsid w:val="00C433E3"/>
    <w:rsid w:val="00C4384F"/>
    <w:rsid w:val="00C43ADA"/>
    <w:rsid w:val="00C43D21"/>
    <w:rsid w:val="00C44022"/>
    <w:rsid w:val="00C440FE"/>
    <w:rsid w:val="00C4413E"/>
    <w:rsid w:val="00C44309"/>
    <w:rsid w:val="00C448EA"/>
    <w:rsid w:val="00C452F7"/>
    <w:rsid w:val="00C4533C"/>
    <w:rsid w:val="00C45536"/>
    <w:rsid w:val="00C45ACE"/>
    <w:rsid w:val="00C46734"/>
    <w:rsid w:val="00C46836"/>
    <w:rsid w:val="00C46AAB"/>
    <w:rsid w:val="00C46ADC"/>
    <w:rsid w:val="00C46B14"/>
    <w:rsid w:val="00C471DE"/>
    <w:rsid w:val="00C4752B"/>
    <w:rsid w:val="00C5018B"/>
    <w:rsid w:val="00C5038B"/>
    <w:rsid w:val="00C5044C"/>
    <w:rsid w:val="00C505CA"/>
    <w:rsid w:val="00C5090B"/>
    <w:rsid w:val="00C50984"/>
    <w:rsid w:val="00C509E9"/>
    <w:rsid w:val="00C5113D"/>
    <w:rsid w:val="00C5136E"/>
    <w:rsid w:val="00C5144D"/>
    <w:rsid w:val="00C51556"/>
    <w:rsid w:val="00C519C3"/>
    <w:rsid w:val="00C51E24"/>
    <w:rsid w:val="00C52197"/>
    <w:rsid w:val="00C52316"/>
    <w:rsid w:val="00C52878"/>
    <w:rsid w:val="00C52894"/>
    <w:rsid w:val="00C5299B"/>
    <w:rsid w:val="00C52A7C"/>
    <w:rsid w:val="00C52FBB"/>
    <w:rsid w:val="00C53C67"/>
    <w:rsid w:val="00C53CEA"/>
    <w:rsid w:val="00C53F5E"/>
    <w:rsid w:val="00C540B0"/>
    <w:rsid w:val="00C54169"/>
    <w:rsid w:val="00C5449A"/>
    <w:rsid w:val="00C54571"/>
    <w:rsid w:val="00C54844"/>
    <w:rsid w:val="00C54CE2"/>
    <w:rsid w:val="00C55053"/>
    <w:rsid w:val="00C550F7"/>
    <w:rsid w:val="00C5539D"/>
    <w:rsid w:val="00C55B6E"/>
    <w:rsid w:val="00C56305"/>
    <w:rsid w:val="00C56474"/>
    <w:rsid w:val="00C565F3"/>
    <w:rsid w:val="00C56736"/>
    <w:rsid w:val="00C5695B"/>
    <w:rsid w:val="00C56A10"/>
    <w:rsid w:val="00C56B6E"/>
    <w:rsid w:val="00C56C0E"/>
    <w:rsid w:val="00C56F33"/>
    <w:rsid w:val="00C56FF3"/>
    <w:rsid w:val="00C572F4"/>
    <w:rsid w:val="00C5733D"/>
    <w:rsid w:val="00C57558"/>
    <w:rsid w:val="00C575BA"/>
    <w:rsid w:val="00C57625"/>
    <w:rsid w:val="00C57785"/>
    <w:rsid w:val="00C57A6E"/>
    <w:rsid w:val="00C57BFF"/>
    <w:rsid w:val="00C57CE7"/>
    <w:rsid w:val="00C57E91"/>
    <w:rsid w:val="00C6018C"/>
    <w:rsid w:val="00C60319"/>
    <w:rsid w:val="00C6047B"/>
    <w:rsid w:val="00C6049A"/>
    <w:rsid w:val="00C60621"/>
    <w:rsid w:val="00C60636"/>
    <w:rsid w:val="00C606A1"/>
    <w:rsid w:val="00C608D8"/>
    <w:rsid w:val="00C60B6B"/>
    <w:rsid w:val="00C60C57"/>
    <w:rsid w:val="00C60DE4"/>
    <w:rsid w:val="00C615EA"/>
    <w:rsid w:val="00C61671"/>
    <w:rsid w:val="00C61AD1"/>
    <w:rsid w:val="00C61F22"/>
    <w:rsid w:val="00C621BE"/>
    <w:rsid w:val="00C62550"/>
    <w:rsid w:val="00C62582"/>
    <w:rsid w:val="00C62585"/>
    <w:rsid w:val="00C62722"/>
    <w:rsid w:val="00C627A6"/>
    <w:rsid w:val="00C6288A"/>
    <w:rsid w:val="00C62F64"/>
    <w:rsid w:val="00C63170"/>
    <w:rsid w:val="00C63333"/>
    <w:rsid w:val="00C63699"/>
    <w:rsid w:val="00C636A8"/>
    <w:rsid w:val="00C63817"/>
    <w:rsid w:val="00C63D18"/>
    <w:rsid w:val="00C63DEA"/>
    <w:rsid w:val="00C63E04"/>
    <w:rsid w:val="00C64033"/>
    <w:rsid w:val="00C64144"/>
    <w:rsid w:val="00C6444B"/>
    <w:rsid w:val="00C644AA"/>
    <w:rsid w:val="00C644E2"/>
    <w:rsid w:val="00C6458F"/>
    <w:rsid w:val="00C649F1"/>
    <w:rsid w:val="00C64ACE"/>
    <w:rsid w:val="00C64DD3"/>
    <w:rsid w:val="00C64DDF"/>
    <w:rsid w:val="00C65054"/>
    <w:rsid w:val="00C65294"/>
    <w:rsid w:val="00C65679"/>
    <w:rsid w:val="00C65898"/>
    <w:rsid w:val="00C65950"/>
    <w:rsid w:val="00C65C5E"/>
    <w:rsid w:val="00C65D44"/>
    <w:rsid w:val="00C662DB"/>
    <w:rsid w:val="00C66804"/>
    <w:rsid w:val="00C67247"/>
    <w:rsid w:val="00C676CA"/>
    <w:rsid w:val="00C67A7A"/>
    <w:rsid w:val="00C67C86"/>
    <w:rsid w:val="00C67DA1"/>
    <w:rsid w:val="00C7014E"/>
    <w:rsid w:val="00C703A8"/>
    <w:rsid w:val="00C7062A"/>
    <w:rsid w:val="00C707FC"/>
    <w:rsid w:val="00C7137C"/>
    <w:rsid w:val="00C715BB"/>
    <w:rsid w:val="00C7172C"/>
    <w:rsid w:val="00C718CE"/>
    <w:rsid w:val="00C71DD1"/>
    <w:rsid w:val="00C71E42"/>
    <w:rsid w:val="00C722FB"/>
    <w:rsid w:val="00C72738"/>
    <w:rsid w:val="00C727A1"/>
    <w:rsid w:val="00C728A2"/>
    <w:rsid w:val="00C72F15"/>
    <w:rsid w:val="00C73210"/>
    <w:rsid w:val="00C73854"/>
    <w:rsid w:val="00C73A8C"/>
    <w:rsid w:val="00C7416A"/>
    <w:rsid w:val="00C747FC"/>
    <w:rsid w:val="00C74865"/>
    <w:rsid w:val="00C74965"/>
    <w:rsid w:val="00C749FF"/>
    <w:rsid w:val="00C74CAD"/>
    <w:rsid w:val="00C74F03"/>
    <w:rsid w:val="00C75724"/>
    <w:rsid w:val="00C7581E"/>
    <w:rsid w:val="00C75CE3"/>
    <w:rsid w:val="00C75E57"/>
    <w:rsid w:val="00C76161"/>
    <w:rsid w:val="00C7658F"/>
    <w:rsid w:val="00C7677C"/>
    <w:rsid w:val="00C7712A"/>
    <w:rsid w:val="00C77301"/>
    <w:rsid w:val="00C77304"/>
    <w:rsid w:val="00C7772C"/>
    <w:rsid w:val="00C77DF8"/>
    <w:rsid w:val="00C8002D"/>
    <w:rsid w:val="00C8121C"/>
    <w:rsid w:val="00C81D64"/>
    <w:rsid w:val="00C81FFF"/>
    <w:rsid w:val="00C82294"/>
    <w:rsid w:val="00C822C8"/>
    <w:rsid w:val="00C82495"/>
    <w:rsid w:val="00C82498"/>
    <w:rsid w:val="00C826DC"/>
    <w:rsid w:val="00C82BB5"/>
    <w:rsid w:val="00C82D98"/>
    <w:rsid w:val="00C83008"/>
    <w:rsid w:val="00C83318"/>
    <w:rsid w:val="00C833C6"/>
    <w:rsid w:val="00C835AF"/>
    <w:rsid w:val="00C83995"/>
    <w:rsid w:val="00C83BE4"/>
    <w:rsid w:val="00C83FB7"/>
    <w:rsid w:val="00C8404F"/>
    <w:rsid w:val="00C8455F"/>
    <w:rsid w:val="00C849B9"/>
    <w:rsid w:val="00C84D42"/>
    <w:rsid w:val="00C84DA3"/>
    <w:rsid w:val="00C84E03"/>
    <w:rsid w:val="00C84F3B"/>
    <w:rsid w:val="00C852FB"/>
    <w:rsid w:val="00C85361"/>
    <w:rsid w:val="00C85734"/>
    <w:rsid w:val="00C85F27"/>
    <w:rsid w:val="00C8602F"/>
    <w:rsid w:val="00C86388"/>
    <w:rsid w:val="00C8648F"/>
    <w:rsid w:val="00C86679"/>
    <w:rsid w:val="00C86795"/>
    <w:rsid w:val="00C868C6"/>
    <w:rsid w:val="00C86CF3"/>
    <w:rsid w:val="00C86E17"/>
    <w:rsid w:val="00C87073"/>
    <w:rsid w:val="00C874E7"/>
    <w:rsid w:val="00C87667"/>
    <w:rsid w:val="00C87693"/>
    <w:rsid w:val="00C87B90"/>
    <w:rsid w:val="00C87FB2"/>
    <w:rsid w:val="00C87FC1"/>
    <w:rsid w:val="00C90017"/>
    <w:rsid w:val="00C902E7"/>
    <w:rsid w:val="00C90377"/>
    <w:rsid w:val="00C908DA"/>
    <w:rsid w:val="00C909B5"/>
    <w:rsid w:val="00C90A43"/>
    <w:rsid w:val="00C90D30"/>
    <w:rsid w:val="00C90E69"/>
    <w:rsid w:val="00C91014"/>
    <w:rsid w:val="00C91895"/>
    <w:rsid w:val="00C91CFD"/>
    <w:rsid w:val="00C91F10"/>
    <w:rsid w:val="00C92356"/>
    <w:rsid w:val="00C92584"/>
    <w:rsid w:val="00C92F93"/>
    <w:rsid w:val="00C93571"/>
    <w:rsid w:val="00C938B2"/>
    <w:rsid w:val="00C939A7"/>
    <w:rsid w:val="00C939C8"/>
    <w:rsid w:val="00C93A57"/>
    <w:rsid w:val="00C93C04"/>
    <w:rsid w:val="00C93C95"/>
    <w:rsid w:val="00C93E55"/>
    <w:rsid w:val="00C93F78"/>
    <w:rsid w:val="00C940D3"/>
    <w:rsid w:val="00C94137"/>
    <w:rsid w:val="00C9418D"/>
    <w:rsid w:val="00C94279"/>
    <w:rsid w:val="00C9478A"/>
    <w:rsid w:val="00C94ADF"/>
    <w:rsid w:val="00C95274"/>
    <w:rsid w:val="00C9545B"/>
    <w:rsid w:val="00C955FE"/>
    <w:rsid w:val="00C95E84"/>
    <w:rsid w:val="00C95F7F"/>
    <w:rsid w:val="00C96A26"/>
    <w:rsid w:val="00C96D8C"/>
    <w:rsid w:val="00C9730C"/>
    <w:rsid w:val="00CA0162"/>
    <w:rsid w:val="00CA01EC"/>
    <w:rsid w:val="00CA0869"/>
    <w:rsid w:val="00CA0A38"/>
    <w:rsid w:val="00CA0B72"/>
    <w:rsid w:val="00CA0D4C"/>
    <w:rsid w:val="00CA0EA4"/>
    <w:rsid w:val="00CA0F94"/>
    <w:rsid w:val="00CA11FA"/>
    <w:rsid w:val="00CA1549"/>
    <w:rsid w:val="00CA17A8"/>
    <w:rsid w:val="00CA1895"/>
    <w:rsid w:val="00CA1A3D"/>
    <w:rsid w:val="00CA1A65"/>
    <w:rsid w:val="00CA1C83"/>
    <w:rsid w:val="00CA1E61"/>
    <w:rsid w:val="00CA26EB"/>
    <w:rsid w:val="00CA2AF1"/>
    <w:rsid w:val="00CA2EA7"/>
    <w:rsid w:val="00CA30ED"/>
    <w:rsid w:val="00CA36F1"/>
    <w:rsid w:val="00CA3847"/>
    <w:rsid w:val="00CA3A74"/>
    <w:rsid w:val="00CA3B6B"/>
    <w:rsid w:val="00CA401A"/>
    <w:rsid w:val="00CA438D"/>
    <w:rsid w:val="00CA448F"/>
    <w:rsid w:val="00CA44DE"/>
    <w:rsid w:val="00CA4516"/>
    <w:rsid w:val="00CA4C28"/>
    <w:rsid w:val="00CA4C38"/>
    <w:rsid w:val="00CA4D20"/>
    <w:rsid w:val="00CA517A"/>
    <w:rsid w:val="00CA518B"/>
    <w:rsid w:val="00CA53C6"/>
    <w:rsid w:val="00CA53F6"/>
    <w:rsid w:val="00CA58B2"/>
    <w:rsid w:val="00CA5918"/>
    <w:rsid w:val="00CA5EF0"/>
    <w:rsid w:val="00CA601D"/>
    <w:rsid w:val="00CA61DC"/>
    <w:rsid w:val="00CA6223"/>
    <w:rsid w:val="00CA62F3"/>
    <w:rsid w:val="00CA6539"/>
    <w:rsid w:val="00CA6A20"/>
    <w:rsid w:val="00CA6BD6"/>
    <w:rsid w:val="00CA75AD"/>
    <w:rsid w:val="00CA79D4"/>
    <w:rsid w:val="00CA7B10"/>
    <w:rsid w:val="00CA7D29"/>
    <w:rsid w:val="00CB007C"/>
    <w:rsid w:val="00CB00A9"/>
    <w:rsid w:val="00CB0D09"/>
    <w:rsid w:val="00CB0EFD"/>
    <w:rsid w:val="00CB0F27"/>
    <w:rsid w:val="00CB1107"/>
    <w:rsid w:val="00CB118C"/>
    <w:rsid w:val="00CB14BD"/>
    <w:rsid w:val="00CB171D"/>
    <w:rsid w:val="00CB19EE"/>
    <w:rsid w:val="00CB1CE4"/>
    <w:rsid w:val="00CB1D0C"/>
    <w:rsid w:val="00CB1FA7"/>
    <w:rsid w:val="00CB25E5"/>
    <w:rsid w:val="00CB2BCA"/>
    <w:rsid w:val="00CB2C72"/>
    <w:rsid w:val="00CB2E9E"/>
    <w:rsid w:val="00CB2F5E"/>
    <w:rsid w:val="00CB3163"/>
    <w:rsid w:val="00CB3580"/>
    <w:rsid w:val="00CB38F2"/>
    <w:rsid w:val="00CB3B11"/>
    <w:rsid w:val="00CB430C"/>
    <w:rsid w:val="00CB4536"/>
    <w:rsid w:val="00CB46AE"/>
    <w:rsid w:val="00CB47D4"/>
    <w:rsid w:val="00CB4C9A"/>
    <w:rsid w:val="00CB4D3E"/>
    <w:rsid w:val="00CB4DE5"/>
    <w:rsid w:val="00CB5090"/>
    <w:rsid w:val="00CB53B7"/>
    <w:rsid w:val="00CB54A7"/>
    <w:rsid w:val="00CB55C9"/>
    <w:rsid w:val="00CB5970"/>
    <w:rsid w:val="00CB5C54"/>
    <w:rsid w:val="00CB5E02"/>
    <w:rsid w:val="00CB62A3"/>
    <w:rsid w:val="00CB7546"/>
    <w:rsid w:val="00CB7575"/>
    <w:rsid w:val="00CB76D1"/>
    <w:rsid w:val="00CB77D7"/>
    <w:rsid w:val="00CB799D"/>
    <w:rsid w:val="00CC0209"/>
    <w:rsid w:val="00CC0393"/>
    <w:rsid w:val="00CC0493"/>
    <w:rsid w:val="00CC056C"/>
    <w:rsid w:val="00CC0751"/>
    <w:rsid w:val="00CC0AB4"/>
    <w:rsid w:val="00CC0C2C"/>
    <w:rsid w:val="00CC14A0"/>
    <w:rsid w:val="00CC19A3"/>
    <w:rsid w:val="00CC19C3"/>
    <w:rsid w:val="00CC19FD"/>
    <w:rsid w:val="00CC1B9E"/>
    <w:rsid w:val="00CC1BCB"/>
    <w:rsid w:val="00CC1C1B"/>
    <w:rsid w:val="00CC2227"/>
    <w:rsid w:val="00CC23A5"/>
    <w:rsid w:val="00CC24EA"/>
    <w:rsid w:val="00CC2581"/>
    <w:rsid w:val="00CC25AF"/>
    <w:rsid w:val="00CC278A"/>
    <w:rsid w:val="00CC2FE5"/>
    <w:rsid w:val="00CC3B14"/>
    <w:rsid w:val="00CC3DFB"/>
    <w:rsid w:val="00CC3F48"/>
    <w:rsid w:val="00CC405C"/>
    <w:rsid w:val="00CC4667"/>
    <w:rsid w:val="00CC49FF"/>
    <w:rsid w:val="00CC4C3C"/>
    <w:rsid w:val="00CC4E51"/>
    <w:rsid w:val="00CC4FE5"/>
    <w:rsid w:val="00CC51B6"/>
    <w:rsid w:val="00CC5206"/>
    <w:rsid w:val="00CC53A3"/>
    <w:rsid w:val="00CC53AA"/>
    <w:rsid w:val="00CC53F8"/>
    <w:rsid w:val="00CC5425"/>
    <w:rsid w:val="00CC55D6"/>
    <w:rsid w:val="00CC573F"/>
    <w:rsid w:val="00CC5CF7"/>
    <w:rsid w:val="00CC5ECD"/>
    <w:rsid w:val="00CC626C"/>
    <w:rsid w:val="00CC6667"/>
    <w:rsid w:val="00CC673A"/>
    <w:rsid w:val="00CC679E"/>
    <w:rsid w:val="00CC6E66"/>
    <w:rsid w:val="00CC73CB"/>
    <w:rsid w:val="00CC7498"/>
    <w:rsid w:val="00CC7553"/>
    <w:rsid w:val="00CC76DA"/>
    <w:rsid w:val="00CC7748"/>
    <w:rsid w:val="00CC78DD"/>
    <w:rsid w:val="00CC79EB"/>
    <w:rsid w:val="00CC7A4E"/>
    <w:rsid w:val="00CC7BCB"/>
    <w:rsid w:val="00CC7C20"/>
    <w:rsid w:val="00CC7DE1"/>
    <w:rsid w:val="00CD011A"/>
    <w:rsid w:val="00CD016D"/>
    <w:rsid w:val="00CD0502"/>
    <w:rsid w:val="00CD07B0"/>
    <w:rsid w:val="00CD0976"/>
    <w:rsid w:val="00CD0D13"/>
    <w:rsid w:val="00CD0F3C"/>
    <w:rsid w:val="00CD11E6"/>
    <w:rsid w:val="00CD15B9"/>
    <w:rsid w:val="00CD1FE9"/>
    <w:rsid w:val="00CD207E"/>
    <w:rsid w:val="00CD21F9"/>
    <w:rsid w:val="00CD24DD"/>
    <w:rsid w:val="00CD28A7"/>
    <w:rsid w:val="00CD28EF"/>
    <w:rsid w:val="00CD2ACD"/>
    <w:rsid w:val="00CD2C7D"/>
    <w:rsid w:val="00CD2D47"/>
    <w:rsid w:val="00CD2D8A"/>
    <w:rsid w:val="00CD2E69"/>
    <w:rsid w:val="00CD3075"/>
    <w:rsid w:val="00CD3273"/>
    <w:rsid w:val="00CD32D6"/>
    <w:rsid w:val="00CD343E"/>
    <w:rsid w:val="00CD3AF6"/>
    <w:rsid w:val="00CD3E7C"/>
    <w:rsid w:val="00CD3EEC"/>
    <w:rsid w:val="00CD48E8"/>
    <w:rsid w:val="00CD4A6A"/>
    <w:rsid w:val="00CD51ED"/>
    <w:rsid w:val="00CD55A7"/>
    <w:rsid w:val="00CD5700"/>
    <w:rsid w:val="00CD64A3"/>
    <w:rsid w:val="00CD6611"/>
    <w:rsid w:val="00CD6B32"/>
    <w:rsid w:val="00CD721B"/>
    <w:rsid w:val="00CD73BD"/>
    <w:rsid w:val="00CD76D4"/>
    <w:rsid w:val="00CD776B"/>
    <w:rsid w:val="00CD7933"/>
    <w:rsid w:val="00CD793C"/>
    <w:rsid w:val="00CD7BDF"/>
    <w:rsid w:val="00CE0423"/>
    <w:rsid w:val="00CE08B8"/>
    <w:rsid w:val="00CE0B88"/>
    <w:rsid w:val="00CE0C3F"/>
    <w:rsid w:val="00CE14BF"/>
    <w:rsid w:val="00CE1560"/>
    <w:rsid w:val="00CE18B4"/>
    <w:rsid w:val="00CE19A3"/>
    <w:rsid w:val="00CE1A4A"/>
    <w:rsid w:val="00CE1B0A"/>
    <w:rsid w:val="00CE1DBC"/>
    <w:rsid w:val="00CE1F9E"/>
    <w:rsid w:val="00CE2116"/>
    <w:rsid w:val="00CE230A"/>
    <w:rsid w:val="00CE2442"/>
    <w:rsid w:val="00CE26CF"/>
    <w:rsid w:val="00CE2705"/>
    <w:rsid w:val="00CE27C2"/>
    <w:rsid w:val="00CE29FB"/>
    <w:rsid w:val="00CE2D84"/>
    <w:rsid w:val="00CE2E99"/>
    <w:rsid w:val="00CE34B5"/>
    <w:rsid w:val="00CE3573"/>
    <w:rsid w:val="00CE3CBA"/>
    <w:rsid w:val="00CE3CE4"/>
    <w:rsid w:val="00CE3EF7"/>
    <w:rsid w:val="00CE437A"/>
    <w:rsid w:val="00CE4468"/>
    <w:rsid w:val="00CE45C6"/>
    <w:rsid w:val="00CE4602"/>
    <w:rsid w:val="00CE4938"/>
    <w:rsid w:val="00CE4A5C"/>
    <w:rsid w:val="00CE4D14"/>
    <w:rsid w:val="00CE4D94"/>
    <w:rsid w:val="00CE5053"/>
    <w:rsid w:val="00CE50ED"/>
    <w:rsid w:val="00CE511A"/>
    <w:rsid w:val="00CE568C"/>
    <w:rsid w:val="00CE5743"/>
    <w:rsid w:val="00CE59BC"/>
    <w:rsid w:val="00CE59F9"/>
    <w:rsid w:val="00CE6274"/>
    <w:rsid w:val="00CE636F"/>
    <w:rsid w:val="00CE6449"/>
    <w:rsid w:val="00CE6494"/>
    <w:rsid w:val="00CE6A42"/>
    <w:rsid w:val="00CE6FFF"/>
    <w:rsid w:val="00CE71D8"/>
    <w:rsid w:val="00CE74E1"/>
    <w:rsid w:val="00CE773A"/>
    <w:rsid w:val="00CE7821"/>
    <w:rsid w:val="00CE7D6F"/>
    <w:rsid w:val="00CE7E50"/>
    <w:rsid w:val="00CE7EEE"/>
    <w:rsid w:val="00CF046D"/>
    <w:rsid w:val="00CF07F0"/>
    <w:rsid w:val="00CF0A58"/>
    <w:rsid w:val="00CF0E3E"/>
    <w:rsid w:val="00CF1122"/>
    <w:rsid w:val="00CF12F9"/>
    <w:rsid w:val="00CF1674"/>
    <w:rsid w:val="00CF1801"/>
    <w:rsid w:val="00CF1C34"/>
    <w:rsid w:val="00CF22EE"/>
    <w:rsid w:val="00CF26F6"/>
    <w:rsid w:val="00CF280B"/>
    <w:rsid w:val="00CF2891"/>
    <w:rsid w:val="00CF2AD4"/>
    <w:rsid w:val="00CF2B31"/>
    <w:rsid w:val="00CF2D13"/>
    <w:rsid w:val="00CF334B"/>
    <w:rsid w:val="00CF34BB"/>
    <w:rsid w:val="00CF385C"/>
    <w:rsid w:val="00CF3872"/>
    <w:rsid w:val="00CF3901"/>
    <w:rsid w:val="00CF3B89"/>
    <w:rsid w:val="00CF3BE5"/>
    <w:rsid w:val="00CF4266"/>
    <w:rsid w:val="00CF450E"/>
    <w:rsid w:val="00CF45D3"/>
    <w:rsid w:val="00CF470A"/>
    <w:rsid w:val="00CF4C2D"/>
    <w:rsid w:val="00CF5253"/>
    <w:rsid w:val="00CF5450"/>
    <w:rsid w:val="00CF55F5"/>
    <w:rsid w:val="00CF58AD"/>
    <w:rsid w:val="00CF59F7"/>
    <w:rsid w:val="00CF5DEC"/>
    <w:rsid w:val="00CF6320"/>
    <w:rsid w:val="00CF6366"/>
    <w:rsid w:val="00CF6CCD"/>
    <w:rsid w:val="00CF6CDC"/>
    <w:rsid w:val="00CF6FCF"/>
    <w:rsid w:val="00CF707E"/>
    <w:rsid w:val="00CF7B3D"/>
    <w:rsid w:val="00CF7C9C"/>
    <w:rsid w:val="00CF7D4D"/>
    <w:rsid w:val="00D00002"/>
    <w:rsid w:val="00D00028"/>
    <w:rsid w:val="00D006B3"/>
    <w:rsid w:val="00D008F4"/>
    <w:rsid w:val="00D00AB4"/>
    <w:rsid w:val="00D00B0A"/>
    <w:rsid w:val="00D00B30"/>
    <w:rsid w:val="00D00DD2"/>
    <w:rsid w:val="00D0152F"/>
    <w:rsid w:val="00D016D0"/>
    <w:rsid w:val="00D0190E"/>
    <w:rsid w:val="00D01A9E"/>
    <w:rsid w:val="00D01AF7"/>
    <w:rsid w:val="00D0204E"/>
    <w:rsid w:val="00D020EE"/>
    <w:rsid w:val="00D024BF"/>
    <w:rsid w:val="00D02719"/>
    <w:rsid w:val="00D02B16"/>
    <w:rsid w:val="00D02C9C"/>
    <w:rsid w:val="00D02D86"/>
    <w:rsid w:val="00D02F37"/>
    <w:rsid w:val="00D03101"/>
    <w:rsid w:val="00D03224"/>
    <w:rsid w:val="00D0328F"/>
    <w:rsid w:val="00D032CB"/>
    <w:rsid w:val="00D034DE"/>
    <w:rsid w:val="00D034F2"/>
    <w:rsid w:val="00D03AD3"/>
    <w:rsid w:val="00D03BA5"/>
    <w:rsid w:val="00D03D45"/>
    <w:rsid w:val="00D04329"/>
    <w:rsid w:val="00D04551"/>
    <w:rsid w:val="00D045A9"/>
    <w:rsid w:val="00D046CA"/>
    <w:rsid w:val="00D04D8C"/>
    <w:rsid w:val="00D04EE0"/>
    <w:rsid w:val="00D04F79"/>
    <w:rsid w:val="00D05549"/>
    <w:rsid w:val="00D0561E"/>
    <w:rsid w:val="00D05749"/>
    <w:rsid w:val="00D05DD7"/>
    <w:rsid w:val="00D05EE7"/>
    <w:rsid w:val="00D05FEE"/>
    <w:rsid w:val="00D0604E"/>
    <w:rsid w:val="00D061F5"/>
    <w:rsid w:val="00D069DA"/>
    <w:rsid w:val="00D06D67"/>
    <w:rsid w:val="00D07B15"/>
    <w:rsid w:val="00D07CB5"/>
    <w:rsid w:val="00D07D74"/>
    <w:rsid w:val="00D10075"/>
    <w:rsid w:val="00D101E7"/>
    <w:rsid w:val="00D10629"/>
    <w:rsid w:val="00D10B30"/>
    <w:rsid w:val="00D10BA2"/>
    <w:rsid w:val="00D12332"/>
    <w:rsid w:val="00D1259A"/>
    <w:rsid w:val="00D125FF"/>
    <w:rsid w:val="00D12695"/>
    <w:rsid w:val="00D12AC0"/>
    <w:rsid w:val="00D12D24"/>
    <w:rsid w:val="00D12D45"/>
    <w:rsid w:val="00D135E7"/>
    <w:rsid w:val="00D137C9"/>
    <w:rsid w:val="00D13A44"/>
    <w:rsid w:val="00D13C32"/>
    <w:rsid w:val="00D13CC3"/>
    <w:rsid w:val="00D14894"/>
    <w:rsid w:val="00D14C8D"/>
    <w:rsid w:val="00D14DB8"/>
    <w:rsid w:val="00D14E08"/>
    <w:rsid w:val="00D14E22"/>
    <w:rsid w:val="00D15175"/>
    <w:rsid w:val="00D1534E"/>
    <w:rsid w:val="00D1560B"/>
    <w:rsid w:val="00D15AB8"/>
    <w:rsid w:val="00D15AF6"/>
    <w:rsid w:val="00D16023"/>
    <w:rsid w:val="00D163F3"/>
    <w:rsid w:val="00D164BE"/>
    <w:rsid w:val="00D16728"/>
    <w:rsid w:val="00D16D95"/>
    <w:rsid w:val="00D16F0C"/>
    <w:rsid w:val="00D172EF"/>
    <w:rsid w:val="00D174AD"/>
    <w:rsid w:val="00D17D22"/>
    <w:rsid w:val="00D17E78"/>
    <w:rsid w:val="00D17ECD"/>
    <w:rsid w:val="00D20871"/>
    <w:rsid w:val="00D20C64"/>
    <w:rsid w:val="00D21297"/>
    <w:rsid w:val="00D214F0"/>
    <w:rsid w:val="00D21BCC"/>
    <w:rsid w:val="00D21DE9"/>
    <w:rsid w:val="00D21E9C"/>
    <w:rsid w:val="00D22182"/>
    <w:rsid w:val="00D224CE"/>
    <w:rsid w:val="00D22AFF"/>
    <w:rsid w:val="00D22B72"/>
    <w:rsid w:val="00D22F19"/>
    <w:rsid w:val="00D23278"/>
    <w:rsid w:val="00D23948"/>
    <w:rsid w:val="00D23FAA"/>
    <w:rsid w:val="00D246BE"/>
    <w:rsid w:val="00D24844"/>
    <w:rsid w:val="00D249F9"/>
    <w:rsid w:val="00D24A52"/>
    <w:rsid w:val="00D24B01"/>
    <w:rsid w:val="00D24B6D"/>
    <w:rsid w:val="00D24C91"/>
    <w:rsid w:val="00D24EA6"/>
    <w:rsid w:val="00D24FB6"/>
    <w:rsid w:val="00D25560"/>
    <w:rsid w:val="00D25581"/>
    <w:rsid w:val="00D255E4"/>
    <w:rsid w:val="00D2596A"/>
    <w:rsid w:val="00D259C1"/>
    <w:rsid w:val="00D26044"/>
    <w:rsid w:val="00D26585"/>
    <w:rsid w:val="00D26C7C"/>
    <w:rsid w:val="00D26CCF"/>
    <w:rsid w:val="00D274E2"/>
    <w:rsid w:val="00D276FA"/>
    <w:rsid w:val="00D27CB9"/>
    <w:rsid w:val="00D27D0E"/>
    <w:rsid w:val="00D27EFA"/>
    <w:rsid w:val="00D30B59"/>
    <w:rsid w:val="00D30CAD"/>
    <w:rsid w:val="00D312CC"/>
    <w:rsid w:val="00D31341"/>
    <w:rsid w:val="00D31421"/>
    <w:rsid w:val="00D3157D"/>
    <w:rsid w:val="00D315B4"/>
    <w:rsid w:val="00D316D9"/>
    <w:rsid w:val="00D31718"/>
    <w:rsid w:val="00D31982"/>
    <w:rsid w:val="00D31A70"/>
    <w:rsid w:val="00D31B01"/>
    <w:rsid w:val="00D32DB2"/>
    <w:rsid w:val="00D32DB6"/>
    <w:rsid w:val="00D32F02"/>
    <w:rsid w:val="00D3305D"/>
    <w:rsid w:val="00D3319B"/>
    <w:rsid w:val="00D3329D"/>
    <w:rsid w:val="00D339E6"/>
    <w:rsid w:val="00D339FE"/>
    <w:rsid w:val="00D33B8E"/>
    <w:rsid w:val="00D33C1C"/>
    <w:rsid w:val="00D33D2B"/>
    <w:rsid w:val="00D33D4F"/>
    <w:rsid w:val="00D33D76"/>
    <w:rsid w:val="00D34110"/>
    <w:rsid w:val="00D342FB"/>
    <w:rsid w:val="00D34493"/>
    <w:rsid w:val="00D3465E"/>
    <w:rsid w:val="00D34AD7"/>
    <w:rsid w:val="00D350A3"/>
    <w:rsid w:val="00D35207"/>
    <w:rsid w:val="00D35230"/>
    <w:rsid w:val="00D358D6"/>
    <w:rsid w:val="00D35C81"/>
    <w:rsid w:val="00D35D96"/>
    <w:rsid w:val="00D35D9F"/>
    <w:rsid w:val="00D35E3D"/>
    <w:rsid w:val="00D365EB"/>
    <w:rsid w:val="00D366EA"/>
    <w:rsid w:val="00D368EF"/>
    <w:rsid w:val="00D36BB2"/>
    <w:rsid w:val="00D36C55"/>
    <w:rsid w:val="00D36DDE"/>
    <w:rsid w:val="00D3711A"/>
    <w:rsid w:val="00D376CF"/>
    <w:rsid w:val="00D37710"/>
    <w:rsid w:val="00D379FC"/>
    <w:rsid w:val="00D37A92"/>
    <w:rsid w:val="00D37D32"/>
    <w:rsid w:val="00D37FBA"/>
    <w:rsid w:val="00D40825"/>
    <w:rsid w:val="00D40B57"/>
    <w:rsid w:val="00D41062"/>
    <w:rsid w:val="00D4110D"/>
    <w:rsid w:val="00D41127"/>
    <w:rsid w:val="00D4129E"/>
    <w:rsid w:val="00D41392"/>
    <w:rsid w:val="00D4140D"/>
    <w:rsid w:val="00D41856"/>
    <w:rsid w:val="00D41989"/>
    <w:rsid w:val="00D419FF"/>
    <w:rsid w:val="00D421F9"/>
    <w:rsid w:val="00D421FE"/>
    <w:rsid w:val="00D426E2"/>
    <w:rsid w:val="00D4281F"/>
    <w:rsid w:val="00D4290F"/>
    <w:rsid w:val="00D42B2C"/>
    <w:rsid w:val="00D43273"/>
    <w:rsid w:val="00D4345F"/>
    <w:rsid w:val="00D434CF"/>
    <w:rsid w:val="00D4370E"/>
    <w:rsid w:val="00D4395B"/>
    <w:rsid w:val="00D43A34"/>
    <w:rsid w:val="00D43B35"/>
    <w:rsid w:val="00D43C63"/>
    <w:rsid w:val="00D43D3A"/>
    <w:rsid w:val="00D440F8"/>
    <w:rsid w:val="00D44537"/>
    <w:rsid w:val="00D44B43"/>
    <w:rsid w:val="00D44C45"/>
    <w:rsid w:val="00D44CE1"/>
    <w:rsid w:val="00D4500A"/>
    <w:rsid w:val="00D4508D"/>
    <w:rsid w:val="00D451D9"/>
    <w:rsid w:val="00D452C0"/>
    <w:rsid w:val="00D4540B"/>
    <w:rsid w:val="00D4543E"/>
    <w:rsid w:val="00D458A2"/>
    <w:rsid w:val="00D45BA8"/>
    <w:rsid w:val="00D462DE"/>
    <w:rsid w:val="00D468AD"/>
    <w:rsid w:val="00D46C80"/>
    <w:rsid w:val="00D46CCE"/>
    <w:rsid w:val="00D47340"/>
    <w:rsid w:val="00D47790"/>
    <w:rsid w:val="00D477E0"/>
    <w:rsid w:val="00D47DB1"/>
    <w:rsid w:val="00D47DC3"/>
    <w:rsid w:val="00D503B2"/>
    <w:rsid w:val="00D50528"/>
    <w:rsid w:val="00D50B89"/>
    <w:rsid w:val="00D50D83"/>
    <w:rsid w:val="00D514C1"/>
    <w:rsid w:val="00D51531"/>
    <w:rsid w:val="00D51681"/>
    <w:rsid w:val="00D51FC9"/>
    <w:rsid w:val="00D520EE"/>
    <w:rsid w:val="00D52301"/>
    <w:rsid w:val="00D52ADF"/>
    <w:rsid w:val="00D5314D"/>
    <w:rsid w:val="00D536BD"/>
    <w:rsid w:val="00D53AD9"/>
    <w:rsid w:val="00D53B9B"/>
    <w:rsid w:val="00D53CF9"/>
    <w:rsid w:val="00D53EC9"/>
    <w:rsid w:val="00D54486"/>
    <w:rsid w:val="00D5485E"/>
    <w:rsid w:val="00D54B28"/>
    <w:rsid w:val="00D54E0B"/>
    <w:rsid w:val="00D550F8"/>
    <w:rsid w:val="00D553A4"/>
    <w:rsid w:val="00D5543F"/>
    <w:rsid w:val="00D556BF"/>
    <w:rsid w:val="00D5596A"/>
    <w:rsid w:val="00D55A24"/>
    <w:rsid w:val="00D55B0E"/>
    <w:rsid w:val="00D55DF5"/>
    <w:rsid w:val="00D55EA5"/>
    <w:rsid w:val="00D56607"/>
    <w:rsid w:val="00D56B78"/>
    <w:rsid w:val="00D56CD8"/>
    <w:rsid w:val="00D56D3C"/>
    <w:rsid w:val="00D56DF4"/>
    <w:rsid w:val="00D56EA2"/>
    <w:rsid w:val="00D56F10"/>
    <w:rsid w:val="00D56F41"/>
    <w:rsid w:val="00D56FFD"/>
    <w:rsid w:val="00D570B4"/>
    <w:rsid w:val="00D57852"/>
    <w:rsid w:val="00D578BD"/>
    <w:rsid w:val="00D57A77"/>
    <w:rsid w:val="00D57E32"/>
    <w:rsid w:val="00D60228"/>
    <w:rsid w:val="00D6037A"/>
    <w:rsid w:val="00D60513"/>
    <w:rsid w:val="00D6137C"/>
    <w:rsid w:val="00D614CB"/>
    <w:rsid w:val="00D61726"/>
    <w:rsid w:val="00D61839"/>
    <w:rsid w:val="00D619DC"/>
    <w:rsid w:val="00D61D0B"/>
    <w:rsid w:val="00D61F7C"/>
    <w:rsid w:val="00D61F8B"/>
    <w:rsid w:val="00D6212E"/>
    <w:rsid w:val="00D623DC"/>
    <w:rsid w:val="00D626DF"/>
    <w:rsid w:val="00D629BD"/>
    <w:rsid w:val="00D62AA2"/>
    <w:rsid w:val="00D62B34"/>
    <w:rsid w:val="00D630EB"/>
    <w:rsid w:val="00D63140"/>
    <w:rsid w:val="00D6326C"/>
    <w:rsid w:val="00D63639"/>
    <w:rsid w:val="00D6366C"/>
    <w:rsid w:val="00D63756"/>
    <w:rsid w:val="00D63942"/>
    <w:rsid w:val="00D63A6F"/>
    <w:rsid w:val="00D645FC"/>
    <w:rsid w:val="00D64AEC"/>
    <w:rsid w:val="00D64BA0"/>
    <w:rsid w:val="00D65092"/>
    <w:rsid w:val="00D651CF"/>
    <w:rsid w:val="00D6522B"/>
    <w:rsid w:val="00D65BA7"/>
    <w:rsid w:val="00D6612F"/>
    <w:rsid w:val="00D661DE"/>
    <w:rsid w:val="00D6620F"/>
    <w:rsid w:val="00D66302"/>
    <w:rsid w:val="00D663D2"/>
    <w:rsid w:val="00D66547"/>
    <w:rsid w:val="00D666D7"/>
    <w:rsid w:val="00D667C9"/>
    <w:rsid w:val="00D667D7"/>
    <w:rsid w:val="00D668F2"/>
    <w:rsid w:val="00D66C12"/>
    <w:rsid w:val="00D66F9C"/>
    <w:rsid w:val="00D671B6"/>
    <w:rsid w:val="00D6741B"/>
    <w:rsid w:val="00D67890"/>
    <w:rsid w:val="00D67B37"/>
    <w:rsid w:val="00D67D00"/>
    <w:rsid w:val="00D67D0E"/>
    <w:rsid w:val="00D67F42"/>
    <w:rsid w:val="00D70372"/>
    <w:rsid w:val="00D704C1"/>
    <w:rsid w:val="00D70576"/>
    <w:rsid w:val="00D705FF"/>
    <w:rsid w:val="00D70636"/>
    <w:rsid w:val="00D70841"/>
    <w:rsid w:val="00D70ACF"/>
    <w:rsid w:val="00D70C5E"/>
    <w:rsid w:val="00D71071"/>
    <w:rsid w:val="00D710D0"/>
    <w:rsid w:val="00D710D3"/>
    <w:rsid w:val="00D71250"/>
    <w:rsid w:val="00D715BE"/>
    <w:rsid w:val="00D718F6"/>
    <w:rsid w:val="00D71A6D"/>
    <w:rsid w:val="00D71E95"/>
    <w:rsid w:val="00D721D5"/>
    <w:rsid w:val="00D723B5"/>
    <w:rsid w:val="00D724BE"/>
    <w:rsid w:val="00D72D45"/>
    <w:rsid w:val="00D72E1A"/>
    <w:rsid w:val="00D732BB"/>
    <w:rsid w:val="00D73C35"/>
    <w:rsid w:val="00D73D18"/>
    <w:rsid w:val="00D7408E"/>
    <w:rsid w:val="00D74432"/>
    <w:rsid w:val="00D744A6"/>
    <w:rsid w:val="00D745C7"/>
    <w:rsid w:val="00D74AB1"/>
    <w:rsid w:val="00D74B65"/>
    <w:rsid w:val="00D74DE8"/>
    <w:rsid w:val="00D75119"/>
    <w:rsid w:val="00D7544F"/>
    <w:rsid w:val="00D75A0C"/>
    <w:rsid w:val="00D75F2B"/>
    <w:rsid w:val="00D76122"/>
    <w:rsid w:val="00D7632D"/>
    <w:rsid w:val="00D76647"/>
    <w:rsid w:val="00D76C35"/>
    <w:rsid w:val="00D770C9"/>
    <w:rsid w:val="00D774D9"/>
    <w:rsid w:val="00D77628"/>
    <w:rsid w:val="00D77652"/>
    <w:rsid w:val="00D77850"/>
    <w:rsid w:val="00D77ACB"/>
    <w:rsid w:val="00D77E0F"/>
    <w:rsid w:val="00D801DF"/>
    <w:rsid w:val="00D80BD0"/>
    <w:rsid w:val="00D80C0E"/>
    <w:rsid w:val="00D80CF0"/>
    <w:rsid w:val="00D81048"/>
    <w:rsid w:val="00D81093"/>
    <w:rsid w:val="00D81584"/>
    <w:rsid w:val="00D81587"/>
    <w:rsid w:val="00D81813"/>
    <w:rsid w:val="00D81AC4"/>
    <w:rsid w:val="00D81FF9"/>
    <w:rsid w:val="00D825EE"/>
    <w:rsid w:val="00D8263A"/>
    <w:rsid w:val="00D8292A"/>
    <w:rsid w:val="00D82D0F"/>
    <w:rsid w:val="00D82E5C"/>
    <w:rsid w:val="00D835AA"/>
    <w:rsid w:val="00D839BC"/>
    <w:rsid w:val="00D83B50"/>
    <w:rsid w:val="00D83D7B"/>
    <w:rsid w:val="00D83ED6"/>
    <w:rsid w:val="00D83F90"/>
    <w:rsid w:val="00D84135"/>
    <w:rsid w:val="00D84192"/>
    <w:rsid w:val="00D8470B"/>
    <w:rsid w:val="00D84B98"/>
    <w:rsid w:val="00D84C0C"/>
    <w:rsid w:val="00D85229"/>
    <w:rsid w:val="00D852DA"/>
    <w:rsid w:val="00D853A1"/>
    <w:rsid w:val="00D855EA"/>
    <w:rsid w:val="00D859B4"/>
    <w:rsid w:val="00D85FCF"/>
    <w:rsid w:val="00D864FF"/>
    <w:rsid w:val="00D86D56"/>
    <w:rsid w:val="00D86E18"/>
    <w:rsid w:val="00D86E3D"/>
    <w:rsid w:val="00D86F4C"/>
    <w:rsid w:val="00D87121"/>
    <w:rsid w:val="00D8714E"/>
    <w:rsid w:val="00D8748C"/>
    <w:rsid w:val="00D87787"/>
    <w:rsid w:val="00D87881"/>
    <w:rsid w:val="00D87AD3"/>
    <w:rsid w:val="00D87B33"/>
    <w:rsid w:val="00D87BD8"/>
    <w:rsid w:val="00D90052"/>
    <w:rsid w:val="00D900A8"/>
    <w:rsid w:val="00D907AB"/>
    <w:rsid w:val="00D91486"/>
    <w:rsid w:val="00D915F8"/>
    <w:rsid w:val="00D916E6"/>
    <w:rsid w:val="00D9187B"/>
    <w:rsid w:val="00D9197C"/>
    <w:rsid w:val="00D91B5D"/>
    <w:rsid w:val="00D91BC9"/>
    <w:rsid w:val="00D91EBE"/>
    <w:rsid w:val="00D92091"/>
    <w:rsid w:val="00D9226A"/>
    <w:rsid w:val="00D9228A"/>
    <w:rsid w:val="00D924F7"/>
    <w:rsid w:val="00D92505"/>
    <w:rsid w:val="00D926E9"/>
    <w:rsid w:val="00D929AC"/>
    <w:rsid w:val="00D92A44"/>
    <w:rsid w:val="00D92CDE"/>
    <w:rsid w:val="00D92E6B"/>
    <w:rsid w:val="00D93002"/>
    <w:rsid w:val="00D931D0"/>
    <w:rsid w:val="00D934A2"/>
    <w:rsid w:val="00D938A0"/>
    <w:rsid w:val="00D938EC"/>
    <w:rsid w:val="00D93963"/>
    <w:rsid w:val="00D93A30"/>
    <w:rsid w:val="00D93A43"/>
    <w:rsid w:val="00D93D4A"/>
    <w:rsid w:val="00D93F6C"/>
    <w:rsid w:val="00D94144"/>
    <w:rsid w:val="00D94238"/>
    <w:rsid w:val="00D943D3"/>
    <w:rsid w:val="00D94C45"/>
    <w:rsid w:val="00D9512B"/>
    <w:rsid w:val="00D956D9"/>
    <w:rsid w:val="00D95830"/>
    <w:rsid w:val="00D95A50"/>
    <w:rsid w:val="00D95B5D"/>
    <w:rsid w:val="00D95BB1"/>
    <w:rsid w:val="00D95D8B"/>
    <w:rsid w:val="00D95FBD"/>
    <w:rsid w:val="00D96092"/>
    <w:rsid w:val="00D96274"/>
    <w:rsid w:val="00D9643C"/>
    <w:rsid w:val="00D96AF6"/>
    <w:rsid w:val="00D96BB6"/>
    <w:rsid w:val="00D96F05"/>
    <w:rsid w:val="00D97094"/>
    <w:rsid w:val="00D9713E"/>
    <w:rsid w:val="00D97783"/>
    <w:rsid w:val="00D977E7"/>
    <w:rsid w:val="00D97965"/>
    <w:rsid w:val="00D97A8B"/>
    <w:rsid w:val="00D97D78"/>
    <w:rsid w:val="00D97DC4"/>
    <w:rsid w:val="00DA0191"/>
    <w:rsid w:val="00DA032F"/>
    <w:rsid w:val="00DA0513"/>
    <w:rsid w:val="00DA05E5"/>
    <w:rsid w:val="00DA0872"/>
    <w:rsid w:val="00DA08DD"/>
    <w:rsid w:val="00DA0A87"/>
    <w:rsid w:val="00DA0B64"/>
    <w:rsid w:val="00DA0BFA"/>
    <w:rsid w:val="00DA1289"/>
    <w:rsid w:val="00DA14DE"/>
    <w:rsid w:val="00DA1944"/>
    <w:rsid w:val="00DA1A75"/>
    <w:rsid w:val="00DA1D03"/>
    <w:rsid w:val="00DA2159"/>
    <w:rsid w:val="00DA24F4"/>
    <w:rsid w:val="00DA3001"/>
    <w:rsid w:val="00DA3276"/>
    <w:rsid w:val="00DA3440"/>
    <w:rsid w:val="00DA3998"/>
    <w:rsid w:val="00DA3ABA"/>
    <w:rsid w:val="00DA3B5E"/>
    <w:rsid w:val="00DA3CFE"/>
    <w:rsid w:val="00DA43A4"/>
    <w:rsid w:val="00DA482E"/>
    <w:rsid w:val="00DA4C8F"/>
    <w:rsid w:val="00DA4DEA"/>
    <w:rsid w:val="00DA54AC"/>
    <w:rsid w:val="00DA56AB"/>
    <w:rsid w:val="00DA571D"/>
    <w:rsid w:val="00DA589E"/>
    <w:rsid w:val="00DA58B6"/>
    <w:rsid w:val="00DA5906"/>
    <w:rsid w:val="00DA5D13"/>
    <w:rsid w:val="00DA60F3"/>
    <w:rsid w:val="00DA6C61"/>
    <w:rsid w:val="00DA6D5E"/>
    <w:rsid w:val="00DA6D61"/>
    <w:rsid w:val="00DA7257"/>
    <w:rsid w:val="00DA72A8"/>
    <w:rsid w:val="00DA748B"/>
    <w:rsid w:val="00DA7CE5"/>
    <w:rsid w:val="00DA7E62"/>
    <w:rsid w:val="00DB00CA"/>
    <w:rsid w:val="00DB00D1"/>
    <w:rsid w:val="00DB00FA"/>
    <w:rsid w:val="00DB06B1"/>
    <w:rsid w:val="00DB084C"/>
    <w:rsid w:val="00DB0886"/>
    <w:rsid w:val="00DB0961"/>
    <w:rsid w:val="00DB1109"/>
    <w:rsid w:val="00DB110A"/>
    <w:rsid w:val="00DB12AE"/>
    <w:rsid w:val="00DB1398"/>
    <w:rsid w:val="00DB1648"/>
    <w:rsid w:val="00DB18E4"/>
    <w:rsid w:val="00DB1B71"/>
    <w:rsid w:val="00DB1E5B"/>
    <w:rsid w:val="00DB1E8B"/>
    <w:rsid w:val="00DB2A5B"/>
    <w:rsid w:val="00DB3136"/>
    <w:rsid w:val="00DB37F5"/>
    <w:rsid w:val="00DB392B"/>
    <w:rsid w:val="00DB3D0F"/>
    <w:rsid w:val="00DB3F3A"/>
    <w:rsid w:val="00DB41CA"/>
    <w:rsid w:val="00DB4203"/>
    <w:rsid w:val="00DB48BE"/>
    <w:rsid w:val="00DB4A7A"/>
    <w:rsid w:val="00DB4B59"/>
    <w:rsid w:val="00DB4D16"/>
    <w:rsid w:val="00DB524A"/>
    <w:rsid w:val="00DB5F4C"/>
    <w:rsid w:val="00DB5FDB"/>
    <w:rsid w:val="00DB6441"/>
    <w:rsid w:val="00DB6603"/>
    <w:rsid w:val="00DB6BDE"/>
    <w:rsid w:val="00DB6E8C"/>
    <w:rsid w:val="00DB746A"/>
    <w:rsid w:val="00DB7476"/>
    <w:rsid w:val="00DB790D"/>
    <w:rsid w:val="00DB7A25"/>
    <w:rsid w:val="00DB7B5D"/>
    <w:rsid w:val="00DB7F82"/>
    <w:rsid w:val="00DC0B45"/>
    <w:rsid w:val="00DC0CE4"/>
    <w:rsid w:val="00DC0D7F"/>
    <w:rsid w:val="00DC0DC4"/>
    <w:rsid w:val="00DC1CC4"/>
    <w:rsid w:val="00DC20E7"/>
    <w:rsid w:val="00DC24EC"/>
    <w:rsid w:val="00DC27A9"/>
    <w:rsid w:val="00DC2B4D"/>
    <w:rsid w:val="00DC2B6A"/>
    <w:rsid w:val="00DC2E84"/>
    <w:rsid w:val="00DC2EFE"/>
    <w:rsid w:val="00DC308C"/>
    <w:rsid w:val="00DC35B2"/>
    <w:rsid w:val="00DC3682"/>
    <w:rsid w:val="00DC3E50"/>
    <w:rsid w:val="00DC40B5"/>
    <w:rsid w:val="00DC41FB"/>
    <w:rsid w:val="00DC437A"/>
    <w:rsid w:val="00DC4453"/>
    <w:rsid w:val="00DC44A7"/>
    <w:rsid w:val="00DC4A88"/>
    <w:rsid w:val="00DC50B0"/>
    <w:rsid w:val="00DC52D9"/>
    <w:rsid w:val="00DC559F"/>
    <w:rsid w:val="00DC5D3A"/>
    <w:rsid w:val="00DC5F3E"/>
    <w:rsid w:val="00DC628E"/>
    <w:rsid w:val="00DC67AF"/>
    <w:rsid w:val="00DC684C"/>
    <w:rsid w:val="00DC696E"/>
    <w:rsid w:val="00DC6C1E"/>
    <w:rsid w:val="00DC7007"/>
    <w:rsid w:val="00DC72AA"/>
    <w:rsid w:val="00DC733B"/>
    <w:rsid w:val="00DC733D"/>
    <w:rsid w:val="00DC795B"/>
    <w:rsid w:val="00DC7CA9"/>
    <w:rsid w:val="00DD03D4"/>
    <w:rsid w:val="00DD0510"/>
    <w:rsid w:val="00DD0934"/>
    <w:rsid w:val="00DD0F3F"/>
    <w:rsid w:val="00DD0F41"/>
    <w:rsid w:val="00DD0FC0"/>
    <w:rsid w:val="00DD101F"/>
    <w:rsid w:val="00DD10F7"/>
    <w:rsid w:val="00DD12AF"/>
    <w:rsid w:val="00DD1604"/>
    <w:rsid w:val="00DD169B"/>
    <w:rsid w:val="00DD1C4D"/>
    <w:rsid w:val="00DD1DE9"/>
    <w:rsid w:val="00DD2141"/>
    <w:rsid w:val="00DD2292"/>
    <w:rsid w:val="00DD24F4"/>
    <w:rsid w:val="00DD2CD2"/>
    <w:rsid w:val="00DD2F92"/>
    <w:rsid w:val="00DD31B2"/>
    <w:rsid w:val="00DD383D"/>
    <w:rsid w:val="00DD3B33"/>
    <w:rsid w:val="00DD3DBE"/>
    <w:rsid w:val="00DD414D"/>
    <w:rsid w:val="00DD5063"/>
    <w:rsid w:val="00DD5378"/>
    <w:rsid w:val="00DD549C"/>
    <w:rsid w:val="00DD54AB"/>
    <w:rsid w:val="00DD54FC"/>
    <w:rsid w:val="00DD565A"/>
    <w:rsid w:val="00DD5716"/>
    <w:rsid w:val="00DD578D"/>
    <w:rsid w:val="00DD58A4"/>
    <w:rsid w:val="00DD590A"/>
    <w:rsid w:val="00DD5C7F"/>
    <w:rsid w:val="00DD691A"/>
    <w:rsid w:val="00DD6C9D"/>
    <w:rsid w:val="00DD6DAA"/>
    <w:rsid w:val="00DD70AF"/>
    <w:rsid w:val="00DD70D5"/>
    <w:rsid w:val="00DD759A"/>
    <w:rsid w:val="00DD75E9"/>
    <w:rsid w:val="00DD770F"/>
    <w:rsid w:val="00DD7BB5"/>
    <w:rsid w:val="00DD7FB8"/>
    <w:rsid w:val="00DE0C15"/>
    <w:rsid w:val="00DE0CE7"/>
    <w:rsid w:val="00DE0EA7"/>
    <w:rsid w:val="00DE14A9"/>
    <w:rsid w:val="00DE1809"/>
    <w:rsid w:val="00DE1858"/>
    <w:rsid w:val="00DE18A4"/>
    <w:rsid w:val="00DE1A95"/>
    <w:rsid w:val="00DE1BE2"/>
    <w:rsid w:val="00DE1F8E"/>
    <w:rsid w:val="00DE1FB6"/>
    <w:rsid w:val="00DE204C"/>
    <w:rsid w:val="00DE21C9"/>
    <w:rsid w:val="00DE22A1"/>
    <w:rsid w:val="00DE23FF"/>
    <w:rsid w:val="00DE295A"/>
    <w:rsid w:val="00DE2AC6"/>
    <w:rsid w:val="00DE2CF4"/>
    <w:rsid w:val="00DE2EAB"/>
    <w:rsid w:val="00DE3527"/>
    <w:rsid w:val="00DE35D6"/>
    <w:rsid w:val="00DE37F4"/>
    <w:rsid w:val="00DE39A6"/>
    <w:rsid w:val="00DE3C36"/>
    <w:rsid w:val="00DE3F00"/>
    <w:rsid w:val="00DE413D"/>
    <w:rsid w:val="00DE4B2A"/>
    <w:rsid w:val="00DE4C27"/>
    <w:rsid w:val="00DE4D8C"/>
    <w:rsid w:val="00DE4F9D"/>
    <w:rsid w:val="00DE5652"/>
    <w:rsid w:val="00DE5B0D"/>
    <w:rsid w:val="00DE5E19"/>
    <w:rsid w:val="00DE616C"/>
    <w:rsid w:val="00DE6943"/>
    <w:rsid w:val="00DE6957"/>
    <w:rsid w:val="00DE7114"/>
    <w:rsid w:val="00DE71AB"/>
    <w:rsid w:val="00DE745A"/>
    <w:rsid w:val="00DE74AD"/>
    <w:rsid w:val="00DE7756"/>
    <w:rsid w:val="00DE78F3"/>
    <w:rsid w:val="00DE7902"/>
    <w:rsid w:val="00DE79F9"/>
    <w:rsid w:val="00DE7B64"/>
    <w:rsid w:val="00DE7BD7"/>
    <w:rsid w:val="00DE7F4C"/>
    <w:rsid w:val="00DF00E1"/>
    <w:rsid w:val="00DF01A5"/>
    <w:rsid w:val="00DF0597"/>
    <w:rsid w:val="00DF060E"/>
    <w:rsid w:val="00DF063C"/>
    <w:rsid w:val="00DF0CF6"/>
    <w:rsid w:val="00DF130F"/>
    <w:rsid w:val="00DF1557"/>
    <w:rsid w:val="00DF1561"/>
    <w:rsid w:val="00DF1CB4"/>
    <w:rsid w:val="00DF243D"/>
    <w:rsid w:val="00DF2679"/>
    <w:rsid w:val="00DF2799"/>
    <w:rsid w:val="00DF2E20"/>
    <w:rsid w:val="00DF2F19"/>
    <w:rsid w:val="00DF2F96"/>
    <w:rsid w:val="00DF2FF5"/>
    <w:rsid w:val="00DF31E1"/>
    <w:rsid w:val="00DF32AC"/>
    <w:rsid w:val="00DF342A"/>
    <w:rsid w:val="00DF3814"/>
    <w:rsid w:val="00DF3CB0"/>
    <w:rsid w:val="00DF3CB2"/>
    <w:rsid w:val="00DF3EB0"/>
    <w:rsid w:val="00DF4311"/>
    <w:rsid w:val="00DF45F7"/>
    <w:rsid w:val="00DF4A88"/>
    <w:rsid w:val="00DF4B70"/>
    <w:rsid w:val="00DF4B96"/>
    <w:rsid w:val="00DF4C6E"/>
    <w:rsid w:val="00DF4EBE"/>
    <w:rsid w:val="00DF5665"/>
    <w:rsid w:val="00DF5794"/>
    <w:rsid w:val="00DF5DA9"/>
    <w:rsid w:val="00DF62E3"/>
    <w:rsid w:val="00DF6347"/>
    <w:rsid w:val="00DF6444"/>
    <w:rsid w:val="00DF720F"/>
    <w:rsid w:val="00DF73A2"/>
    <w:rsid w:val="00DF73D7"/>
    <w:rsid w:val="00DF7461"/>
    <w:rsid w:val="00DF7974"/>
    <w:rsid w:val="00DF7EC4"/>
    <w:rsid w:val="00DF7F84"/>
    <w:rsid w:val="00E005BD"/>
    <w:rsid w:val="00E00A3D"/>
    <w:rsid w:val="00E00AE0"/>
    <w:rsid w:val="00E00D1A"/>
    <w:rsid w:val="00E010F7"/>
    <w:rsid w:val="00E012DC"/>
    <w:rsid w:val="00E01479"/>
    <w:rsid w:val="00E01754"/>
    <w:rsid w:val="00E01D15"/>
    <w:rsid w:val="00E01E9C"/>
    <w:rsid w:val="00E0212C"/>
    <w:rsid w:val="00E021AF"/>
    <w:rsid w:val="00E0253E"/>
    <w:rsid w:val="00E02582"/>
    <w:rsid w:val="00E02845"/>
    <w:rsid w:val="00E03186"/>
    <w:rsid w:val="00E0347C"/>
    <w:rsid w:val="00E0349F"/>
    <w:rsid w:val="00E0373F"/>
    <w:rsid w:val="00E037F3"/>
    <w:rsid w:val="00E037FC"/>
    <w:rsid w:val="00E03A1D"/>
    <w:rsid w:val="00E03A94"/>
    <w:rsid w:val="00E040A7"/>
    <w:rsid w:val="00E046BE"/>
    <w:rsid w:val="00E04844"/>
    <w:rsid w:val="00E05689"/>
    <w:rsid w:val="00E0578E"/>
    <w:rsid w:val="00E05EC7"/>
    <w:rsid w:val="00E05F1F"/>
    <w:rsid w:val="00E05F55"/>
    <w:rsid w:val="00E0608A"/>
    <w:rsid w:val="00E062CE"/>
    <w:rsid w:val="00E06589"/>
    <w:rsid w:val="00E06670"/>
    <w:rsid w:val="00E06F25"/>
    <w:rsid w:val="00E070F2"/>
    <w:rsid w:val="00E07186"/>
    <w:rsid w:val="00E07298"/>
    <w:rsid w:val="00E07469"/>
    <w:rsid w:val="00E07483"/>
    <w:rsid w:val="00E075FF"/>
    <w:rsid w:val="00E07E5E"/>
    <w:rsid w:val="00E10189"/>
    <w:rsid w:val="00E1018E"/>
    <w:rsid w:val="00E101F8"/>
    <w:rsid w:val="00E106DB"/>
    <w:rsid w:val="00E108D5"/>
    <w:rsid w:val="00E10C6D"/>
    <w:rsid w:val="00E112E9"/>
    <w:rsid w:val="00E115C7"/>
    <w:rsid w:val="00E116E1"/>
    <w:rsid w:val="00E11BB6"/>
    <w:rsid w:val="00E11D58"/>
    <w:rsid w:val="00E11F26"/>
    <w:rsid w:val="00E12287"/>
    <w:rsid w:val="00E123D6"/>
    <w:rsid w:val="00E12530"/>
    <w:rsid w:val="00E125EB"/>
    <w:rsid w:val="00E12655"/>
    <w:rsid w:val="00E1269F"/>
    <w:rsid w:val="00E126B5"/>
    <w:rsid w:val="00E127B0"/>
    <w:rsid w:val="00E127E4"/>
    <w:rsid w:val="00E12854"/>
    <w:rsid w:val="00E1297A"/>
    <w:rsid w:val="00E12D04"/>
    <w:rsid w:val="00E12E46"/>
    <w:rsid w:val="00E1302E"/>
    <w:rsid w:val="00E1315C"/>
    <w:rsid w:val="00E13275"/>
    <w:rsid w:val="00E13322"/>
    <w:rsid w:val="00E133B4"/>
    <w:rsid w:val="00E13C2D"/>
    <w:rsid w:val="00E13C70"/>
    <w:rsid w:val="00E13DAC"/>
    <w:rsid w:val="00E143BB"/>
    <w:rsid w:val="00E14E24"/>
    <w:rsid w:val="00E15002"/>
    <w:rsid w:val="00E15112"/>
    <w:rsid w:val="00E15566"/>
    <w:rsid w:val="00E1563E"/>
    <w:rsid w:val="00E15678"/>
    <w:rsid w:val="00E157A3"/>
    <w:rsid w:val="00E15B36"/>
    <w:rsid w:val="00E15E4F"/>
    <w:rsid w:val="00E15FB9"/>
    <w:rsid w:val="00E162C8"/>
    <w:rsid w:val="00E1646B"/>
    <w:rsid w:val="00E16972"/>
    <w:rsid w:val="00E16D22"/>
    <w:rsid w:val="00E16DBF"/>
    <w:rsid w:val="00E16E8F"/>
    <w:rsid w:val="00E170E8"/>
    <w:rsid w:val="00E17768"/>
    <w:rsid w:val="00E177E3"/>
    <w:rsid w:val="00E17978"/>
    <w:rsid w:val="00E17D8C"/>
    <w:rsid w:val="00E20442"/>
    <w:rsid w:val="00E20CFA"/>
    <w:rsid w:val="00E20EE8"/>
    <w:rsid w:val="00E210BB"/>
    <w:rsid w:val="00E21145"/>
    <w:rsid w:val="00E216F8"/>
    <w:rsid w:val="00E218D4"/>
    <w:rsid w:val="00E219DB"/>
    <w:rsid w:val="00E22215"/>
    <w:rsid w:val="00E224A3"/>
    <w:rsid w:val="00E2286A"/>
    <w:rsid w:val="00E22C08"/>
    <w:rsid w:val="00E23A45"/>
    <w:rsid w:val="00E23DDC"/>
    <w:rsid w:val="00E24144"/>
    <w:rsid w:val="00E24679"/>
    <w:rsid w:val="00E24999"/>
    <w:rsid w:val="00E24A82"/>
    <w:rsid w:val="00E24AFF"/>
    <w:rsid w:val="00E24C11"/>
    <w:rsid w:val="00E2515A"/>
    <w:rsid w:val="00E2521D"/>
    <w:rsid w:val="00E255C2"/>
    <w:rsid w:val="00E25AE7"/>
    <w:rsid w:val="00E26825"/>
    <w:rsid w:val="00E26B90"/>
    <w:rsid w:val="00E26D25"/>
    <w:rsid w:val="00E26EA7"/>
    <w:rsid w:val="00E2714D"/>
    <w:rsid w:val="00E27185"/>
    <w:rsid w:val="00E2791E"/>
    <w:rsid w:val="00E27C3B"/>
    <w:rsid w:val="00E27F45"/>
    <w:rsid w:val="00E303DC"/>
    <w:rsid w:val="00E307F6"/>
    <w:rsid w:val="00E3084D"/>
    <w:rsid w:val="00E30939"/>
    <w:rsid w:val="00E30C8C"/>
    <w:rsid w:val="00E30DE8"/>
    <w:rsid w:val="00E3143E"/>
    <w:rsid w:val="00E316E4"/>
    <w:rsid w:val="00E317BB"/>
    <w:rsid w:val="00E317C6"/>
    <w:rsid w:val="00E3198D"/>
    <w:rsid w:val="00E31F87"/>
    <w:rsid w:val="00E32037"/>
    <w:rsid w:val="00E32209"/>
    <w:rsid w:val="00E3222E"/>
    <w:rsid w:val="00E32286"/>
    <w:rsid w:val="00E32369"/>
    <w:rsid w:val="00E3267E"/>
    <w:rsid w:val="00E32B3A"/>
    <w:rsid w:val="00E33164"/>
    <w:rsid w:val="00E3343E"/>
    <w:rsid w:val="00E34236"/>
    <w:rsid w:val="00E343FE"/>
    <w:rsid w:val="00E34585"/>
    <w:rsid w:val="00E345F1"/>
    <w:rsid w:val="00E34B2F"/>
    <w:rsid w:val="00E34CDF"/>
    <w:rsid w:val="00E34D84"/>
    <w:rsid w:val="00E34DC8"/>
    <w:rsid w:val="00E3503C"/>
    <w:rsid w:val="00E350BF"/>
    <w:rsid w:val="00E352D5"/>
    <w:rsid w:val="00E354CC"/>
    <w:rsid w:val="00E35568"/>
    <w:rsid w:val="00E359A0"/>
    <w:rsid w:val="00E35ADA"/>
    <w:rsid w:val="00E35CD9"/>
    <w:rsid w:val="00E35D73"/>
    <w:rsid w:val="00E35EDE"/>
    <w:rsid w:val="00E3670A"/>
    <w:rsid w:val="00E36776"/>
    <w:rsid w:val="00E367A2"/>
    <w:rsid w:val="00E370DA"/>
    <w:rsid w:val="00E376F7"/>
    <w:rsid w:val="00E37AE6"/>
    <w:rsid w:val="00E37CED"/>
    <w:rsid w:val="00E401B0"/>
    <w:rsid w:val="00E40367"/>
    <w:rsid w:val="00E403A2"/>
    <w:rsid w:val="00E40461"/>
    <w:rsid w:val="00E4097F"/>
    <w:rsid w:val="00E40A8C"/>
    <w:rsid w:val="00E40AB4"/>
    <w:rsid w:val="00E40B12"/>
    <w:rsid w:val="00E40DA7"/>
    <w:rsid w:val="00E40F2D"/>
    <w:rsid w:val="00E411B4"/>
    <w:rsid w:val="00E41495"/>
    <w:rsid w:val="00E414F0"/>
    <w:rsid w:val="00E419E0"/>
    <w:rsid w:val="00E41AB2"/>
    <w:rsid w:val="00E41AE8"/>
    <w:rsid w:val="00E41BF7"/>
    <w:rsid w:val="00E41CAA"/>
    <w:rsid w:val="00E41E4B"/>
    <w:rsid w:val="00E4201F"/>
    <w:rsid w:val="00E4213B"/>
    <w:rsid w:val="00E424ED"/>
    <w:rsid w:val="00E42715"/>
    <w:rsid w:val="00E42841"/>
    <w:rsid w:val="00E43231"/>
    <w:rsid w:val="00E4349E"/>
    <w:rsid w:val="00E4357A"/>
    <w:rsid w:val="00E43585"/>
    <w:rsid w:val="00E4364F"/>
    <w:rsid w:val="00E43A1D"/>
    <w:rsid w:val="00E43B6C"/>
    <w:rsid w:val="00E43F2A"/>
    <w:rsid w:val="00E43F46"/>
    <w:rsid w:val="00E44099"/>
    <w:rsid w:val="00E445C6"/>
    <w:rsid w:val="00E445E3"/>
    <w:rsid w:val="00E4470F"/>
    <w:rsid w:val="00E4498A"/>
    <w:rsid w:val="00E44EE5"/>
    <w:rsid w:val="00E44F7B"/>
    <w:rsid w:val="00E4571F"/>
    <w:rsid w:val="00E4583E"/>
    <w:rsid w:val="00E45CA6"/>
    <w:rsid w:val="00E45FF1"/>
    <w:rsid w:val="00E4606D"/>
    <w:rsid w:val="00E4608E"/>
    <w:rsid w:val="00E46209"/>
    <w:rsid w:val="00E4656E"/>
    <w:rsid w:val="00E467D6"/>
    <w:rsid w:val="00E46A42"/>
    <w:rsid w:val="00E47665"/>
    <w:rsid w:val="00E47A31"/>
    <w:rsid w:val="00E47C84"/>
    <w:rsid w:val="00E47E8D"/>
    <w:rsid w:val="00E47EFE"/>
    <w:rsid w:val="00E5003E"/>
    <w:rsid w:val="00E5007D"/>
    <w:rsid w:val="00E50346"/>
    <w:rsid w:val="00E506F6"/>
    <w:rsid w:val="00E50811"/>
    <w:rsid w:val="00E50DB0"/>
    <w:rsid w:val="00E51004"/>
    <w:rsid w:val="00E510A2"/>
    <w:rsid w:val="00E513CE"/>
    <w:rsid w:val="00E5176F"/>
    <w:rsid w:val="00E517FF"/>
    <w:rsid w:val="00E518C2"/>
    <w:rsid w:val="00E51A35"/>
    <w:rsid w:val="00E51E85"/>
    <w:rsid w:val="00E51FD6"/>
    <w:rsid w:val="00E52048"/>
    <w:rsid w:val="00E5222C"/>
    <w:rsid w:val="00E522F1"/>
    <w:rsid w:val="00E524A2"/>
    <w:rsid w:val="00E5286C"/>
    <w:rsid w:val="00E52BD3"/>
    <w:rsid w:val="00E52D51"/>
    <w:rsid w:val="00E533B1"/>
    <w:rsid w:val="00E53510"/>
    <w:rsid w:val="00E53607"/>
    <w:rsid w:val="00E536AF"/>
    <w:rsid w:val="00E53C21"/>
    <w:rsid w:val="00E53F3F"/>
    <w:rsid w:val="00E545C6"/>
    <w:rsid w:val="00E549C8"/>
    <w:rsid w:val="00E54A33"/>
    <w:rsid w:val="00E54C43"/>
    <w:rsid w:val="00E54C59"/>
    <w:rsid w:val="00E54D4E"/>
    <w:rsid w:val="00E54DA6"/>
    <w:rsid w:val="00E54E37"/>
    <w:rsid w:val="00E54F7F"/>
    <w:rsid w:val="00E5541C"/>
    <w:rsid w:val="00E55564"/>
    <w:rsid w:val="00E5584E"/>
    <w:rsid w:val="00E55CD9"/>
    <w:rsid w:val="00E55D48"/>
    <w:rsid w:val="00E55E14"/>
    <w:rsid w:val="00E55FB2"/>
    <w:rsid w:val="00E560A1"/>
    <w:rsid w:val="00E56331"/>
    <w:rsid w:val="00E56835"/>
    <w:rsid w:val="00E56A24"/>
    <w:rsid w:val="00E56E38"/>
    <w:rsid w:val="00E570D5"/>
    <w:rsid w:val="00E5780F"/>
    <w:rsid w:val="00E57908"/>
    <w:rsid w:val="00E57C26"/>
    <w:rsid w:val="00E60253"/>
    <w:rsid w:val="00E6084F"/>
    <w:rsid w:val="00E60ACB"/>
    <w:rsid w:val="00E60CA3"/>
    <w:rsid w:val="00E6159C"/>
    <w:rsid w:val="00E61662"/>
    <w:rsid w:val="00E6178E"/>
    <w:rsid w:val="00E61F62"/>
    <w:rsid w:val="00E62072"/>
    <w:rsid w:val="00E62188"/>
    <w:rsid w:val="00E621D7"/>
    <w:rsid w:val="00E6243F"/>
    <w:rsid w:val="00E62489"/>
    <w:rsid w:val="00E6273D"/>
    <w:rsid w:val="00E62C17"/>
    <w:rsid w:val="00E62CB2"/>
    <w:rsid w:val="00E6308C"/>
    <w:rsid w:val="00E6308E"/>
    <w:rsid w:val="00E6314C"/>
    <w:rsid w:val="00E635BD"/>
    <w:rsid w:val="00E640B3"/>
    <w:rsid w:val="00E643AA"/>
    <w:rsid w:val="00E644AD"/>
    <w:rsid w:val="00E64758"/>
    <w:rsid w:val="00E64942"/>
    <w:rsid w:val="00E64E17"/>
    <w:rsid w:val="00E64FB1"/>
    <w:rsid w:val="00E64FDF"/>
    <w:rsid w:val="00E651BD"/>
    <w:rsid w:val="00E6526B"/>
    <w:rsid w:val="00E65855"/>
    <w:rsid w:val="00E65867"/>
    <w:rsid w:val="00E658FB"/>
    <w:rsid w:val="00E65934"/>
    <w:rsid w:val="00E65BBD"/>
    <w:rsid w:val="00E6609D"/>
    <w:rsid w:val="00E665FE"/>
    <w:rsid w:val="00E66891"/>
    <w:rsid w:val="00E66A4E"/>
    <w:rsid w:val="00E66E55"/>
    <w:rsid w:val="00E67917"/>
    <w:rsid w:val="00E6799D"/>
    <w:rsid w:val="00E67AD7"/>
    <w:rsid w:val="00E67CA3"/>
    <w:rsid w:val="00E70270"/>
    <w:rsid w:val="00E7030E"/>
    <w:rsid w:val="00E7066F"/>
    <w:rsid w:val="00E707DF"/>
    <w:rsid w:val="00E70A25"/>
    <w:rsid w:val="00E70D24"/>
    <w:rsid w:val="00E711FB"/>
    <w:rsid w:val="00E71317"/>
    <w:rsid w:val="00E71691"/>
    <w:rsid w:val="00E71772"/>
    <w:rsid w:val="00E717D2"/>
    <w:rsid w:val="00E71D18"/>
    <w:rsid w:val="00E720D8"/>
    <w:rsid w:val="00E72138"/>
    <w:rsid w:val="00E72159"/>
    <w:rsid w:val="00E72201"/>
    <w:rsid w:val="00E72442"/>
    <w:rsid w:val="00E724C6"/>
    <w:rsid w:val="00E72544"/>
    <w:rsid w:val="00E72576"/>
    <w:rsid w:val="00E72A48"/>
    <w:rsid w:val="00E72B8D"/>
    <w:rsid w:val="00E72D5B"/>
    <w:rsid w:val="00E72EC7"/>
    <w:rsid w:val="00E731E6"/>
    <w:rsid w:val="00E733F3"/>
    <w:rsid w:val="00E73739"/>
    <w:rsid w:val="00E738D6"/>
    <w:rsid w:val="00E73902"/>
    <w:rsid w:val="00E73954"/>
    <w:rsid w:val="00E73C27"/>
    <w:rsid w:val="00E740A3"/>
    <w:rsid w:val="00E743D4"/>
    <w:rsid w:val="00E74810"/>
    <w:rsid w:val="00E74C2D"/>
    <w:rsid w:val="00E752E9"/>
    <w:rsid w:val="00E7562B"/>
    <w:rsid w:val="00E75730"/>
    <w:rsid w:val="00E7583A"/>
    <w:rsid w:val="00E75845"/>
    <w:rsid w:val="00E75A8D"/>
    <w:rsid w:val="00E75E9C"/>
    <w:rsid w:val="00E75F39"/>
    <w:rsid w:val="00E76126"/>
    <w:rsid w:val="00E7613E"/>
    <w:rsid w:val="00E761A5"/>
    <w:rsid w:val="00E7653B"/>
    <w:rsid w:val="00E765D9"/>
    <w:rsid w:val="00E76668"/>
    <w:rsid w:val="00E766BE"/>
    <w:rsid w:val="00E767FB"/>
    <w:rsid w:val="00E76DF3"/>
    <w:rsid w:val="00E77298"/>
    <w:rsid w:val="00E77586"/>
    <w:rsid w:val="00E778A0"/>
    <w:rsid w:val="00E8011C"/>
    <w:rsid w:val="00E8025A"/>
    <w:rsid w:val="00E8026A"/>
    <w:rsid w:val="00E80404"/>
    <w:rsid w:val="00E8043A"/>
    <w:rsid w:val="00E8059B"/>
    <w:rsid w:val="00E80896"/>
    <w:rsid w:val="00E8093B"/>
    <w:rsid w:val="00E809B4"/>
    <w:rsid w:val="00E80A67"/>
    <w:rsid w:val="00E80A8C"/>
    <w:rsid w:val="00E80AB6"/>
    <w:rsid w:val="00E8217D"/>
    <w:rsid w:val="00E8218A"/>
    <w:rsid w:val="00E82300"/>
    <w:rsid w:val="00E8243F"/>
    <w:rsid w:val="00E82746"/>
    <w:rsid w:val="00E83050"/>
    <w:rsid w:val="00E83203"/>
    <w:rsid w:val="00E83862"/>
    <w:rsid w:val="00E83960"/>
    <w:rsid w:val="00E839F2"/>
    <w:rsid w:val="00E83A3B"/>
    <w:rsid w:val="00E84072"/>
    <w:rsid w:val="00E8473A"/>
    <w:rsid w:val="00E84860"/>
    <w:rsid w:val="00E84A26"/>
    <w:rsid w:val="00E84B88"/>
    <w:rsid w:val="00E84BB2"/>
    <w:rsid w:val="00E84D0D"/>
    <w:rsid w:val="00E84E15"/>
    <w:rsid w:val="00E84F93"/>
    <w:rsid w:val="00E8546C"/>
    <w:rsid w:val="00E854BE"/>
    <w:rsid w:val="00E858B9"/>
    <w:rsid w:val="00E85B0F"/>
    <w:rsid w:val="00E862CC"/>
    <w:rsid w:val="00E865E8"/>
    <w:rsid w:val="00E8681F"/>
    <w:rsid w:val="00E868C6"/>
    <w:rsid w:val="00E86B05"/>
    <w:rsid w:val="00E86B9B"/>
    <w:rsid w:val="00E86DA0"/>
    <w:rsid w:val="00E86F51"/>
    <w:rsid w:val="00E86F8D"/>
    <w:rsid w:val="00E872F9"/>
    <w:rsid w:val="00E876A9"/>
    <w:rsid w:val="00E8778D"/>
    <w:rsid w:val="00E8786A"/>
    <w:rsid w:val="00E90032"/>
    <w:rsid w:val="00E900E1"/>
    <w:rsid w:val="00E902FF"/>
    <w:rsid w:val="00E904CC"/>
    <w:rsid w:val="00E90B09"/>
    <w:rsid w:val="00E90E65"/>
    <w:rsid w:val="00E9112D"/>
    <w:rsid w:val="00E91754"/>
    <w:rsid w:val="00E91D7B"/>
    <w:rsid w:val="00E922B3"/>
    <w:rsid w:val="00E9234B"/>
    <w:rsid w:val="00E9234F"/>
    <w:rsid w:val="00E924F0"/>
    <w:rsid w:val="00E924F8"/>
    <w:rsid w:val="00E92551"/>
    <w:rsid w:val="00E92576"/>
    <w:rsid w:val="00E92682"/>
    <w:rsid w:val="00E92845"/>
    <w:rsid w:val="00E929FB"/>
    <w:rsid w:val="00E92D01"/>
    <w:rsid w:val="00E92DA2"/>
    <w:rsid w:val="00E92F77"/>
    <w:rsid w:val="00E93414"/>
    <w:rsid w:val="00E934B4"/>
    <w:rsid w:val="00E9395E"/>
    <w:rsid w:val="00E93B44"/>
    <w:rsid w:val="00E93E43"/>
    <w:rsid w:val="00E93E92"/>
    <w:rsid w:val="00E944E4"/>
    <w:rsid w:val="00E94545"/>
    <w:rsid w:val="00E94B4D"/>
    <w:rsid w:val="00E951A2"/>
    <w:rsid w:val="00E956E8"/>
    <w:rsid w:val="00E95733"/>
    <w:rsid w:val="00E95B2C"/>
    <w:rsid w:val="00E96027"/>
    <w:rsid w:val="00E96606"/>
    <w:rsid w:val="00E966FE"/>
    <w:rsid w:val="00E969FC"/>
    <w:rsid w:val="00E96E30"/>
    <w:rsid w:val="00E96E35"/>
    <w:rsid w:val="00E96EE8"/>
    <w:rsid w:val="00E96F60"/>
    <w:rsid w:val="00E96F6D"/>
    <w:rsid w:val="00E970EF"/>
    <w:rsid w:val="00E977DC"/>
    <w:rsid w:val="00E977FD"/>
    <w:rsid w:val="00E97826"/>
    <w:rsid w:val="00E97C35"/>
    <w:rsid w:val="00E97FD9"/>
    <w:rsid w:val="00EA0024"/>
    <w:rsid w:val="00EA0361"/>
    <w:rsid w:val="00EA09BF"/>
    <w:rsid w:val="00EA0E2E"/>
    <w:rsid w:val="00EA0EFF"/>
    <w:rsid w:val="00EA153E"/>
    <w:rsid w:val="00EA15ED"/>
    <w:rsid w:val="00EA1622"/>
    <w:rsid w:val="00EA17E7"/>
    <w:rsid w:val="00EA1811"/>
    <w:rsid w:val="00EA1B06"/>
    <w:rsid w:val="00EA1BDB"/>
    <w:rsid w:val="00EA2424"/>
    <w:rsid w:val="00EA2CD0"/>
    <w:rsid w:val="00EA2DD6"/>
    <w:rsid w:val="00EA2E47"/>
    <w:rsid w:val="00EA3005"/>
    <w:rsid w:val="00EA369F"/>
    <w:rsid w:val="00EA3947"/>
    <w:rsid w:val="00EA3D3D"/>
    <w:rsid w:val="00EA421E"/>
    <w:rsid w:val="00EA4964"/>
    <w:rsid w:val="00EA4A58"/>
    <w:rsid w:val="00EA4AF7"/>
    <w:rsid w:val="00EA4C75"/>
    <w:rsid w:val="00EA5279"/>
    <w:rsid w:val="00EA594A"/>
    <w:rsid w:val="00EA61D7"/>
    <w:rsid w:val="00EA6218"/>
    <w:rsid w:val="00EA6274"/>
    <w:rsid w:val="00EA63E1"/>
    <w:rsid w:val="00EA6411"/>
    <w:rsid w:val="00EA65E5"/>
    <w:rsid w:val="00EA66A9"/>
    <w:rsid w:val="00EA6E15"/>
    <w:rsid w:val="00EA6FB8"/>
    <w:rsid w:val="00EA739D"/>
    <w:rsid w:val="00EA7942"/>
    <w:rsid w:val="00EA797E"/>
    <w:rsid w:val="00EB038E"/>
    <w:rsid w:val="00EB060F"/>
    <w:rsid w:val="00EB074F"/>
    <w:rsid w:val="00EB09EA"/>
    <w:rsid w:val="00EB1699"/>
    <w:rsid w:val="00EB175A"/>
    <w:rsid w:val="00EB19F4"/>
    <w:rsid w:val="00EB1B39"/>
    <w:rsid w:val="00EB1E2F"/>
    <w:rsid w:val="00EB24A5"/>
    <w:rsid w:val="00EB2514"/>
    <w:rsid w:val="00EB258D"/>
    <w:rsid w:val="00EB2C7E"/>
    <w:rsid w:val="00EB3408"/>
    <w:rsid w:val="00EB3700"/>
    <w:rsid w:val="00EB3EB5"/>
    <w:rsid w:val="00EB4042"/>
    <w:rsid w:val="00EB40D4"/>
    <w:rsid w:val="00EB41DB"/>
    <w:rsid w:val="00EB45BB"/>
    <w:rsid w:val="00EB45DC"/>
    <w:rsid w:val="00EB4666"/>
    <w:rsid w:val="00EB4AAC"/>
    <w:rsid w:val="00EB4C36"/>
    <w:rsid w:val="00EB4C55"/>
    <w:rsid w:val="00EB4D50"/>
    <w:rsid w:val="00EB4E92"/>
    <w:rsid w:val="00EB4EF9"/>
    <w:rsid w:val="00EB537E"/>
    <w:rsid w:val="00EB55A9"/>
    <w:rsid w:val="00EB5E5D"/>
    <w:rsid w:val="00EB5F2F"/>
    <w:rsid w:val="00EB6241"/>
    <w:rsid w:val="00EB63B8"/>
    <w:rsid w:val="00EB654B"/>
    <w:rsid w:val="00EB6591"/>
    <w:rsid w:val="00EB6624"/>
    <w:rsid w:val="00EB6670"/>
    <w:rsid w:val="00EB67EA"/>
    <w:rsid w:val="00EB67FA"/>
    <w:rsid w:val="00EB6ABB"/>
    <w:rsid w:val="00EB6FFC"/>
    <w:rsid w:val="00EB7018"/>
    <w:rsid w:val="00EB7F08"/>
    <w:rsid w:val="00EC02A0"/>
    <w:rsid w:val="00EC065A"/>
    <w:rsid w:val="00EC079B"/>
    <w:rsid w:val="00EC0819"/>
    <w:rsid w:val="00EC0B12"/>
    <w:rsid w:val="00EC0BD7"/>
    <w:rsid w:val="00EC0CBB"/>
    <w:rsid w:val="00EC0EF8"/>
    <w:rsid w:val="00EC0F84"/>
    <w:rsid w:val="00EC16B0"/>
    <w:rsid w:val="00EC1C30"/>
    <w:rsid w:val="00EC1E93"/>
    <w:rsid w:val="00EC200F"/>
    <w:rsid w:val="00EC23B9"/>
    <w:rsid w:val="00EC24F5"/>
    <w:rsid w:val="00EC2766"/>
    <w:rsid w:val="00EC29FD"/>
    <w:rsid w:val="00EC3016"/>
    <w:rsid w:val="00EC30A1"/>
    <w:rsid w:val="00EC30C0"/>
    <w:rsid w:val="00EC3197"/>
    <w:rsid w:val="00EC368E"/>
    <w:rsid w:val="00EC36C2"/>
    <w:rsid w:val="00EC3905"/>
    <w:rsid w:val="00EC3C2E"/>
    <w:rsid w:val="00EC3D10"/>
    <w:rsid w:val="00EC41AE"/>
    <w:rsid w:val="00EC424E"/>
    <w:rsid w:val="00EC43D7"/>
    <w:rsid w:val="00EC46BC"/>
    <w:rsid w:val="00EC514F"/>
    <w:rsid w:val="00EC518F"/>
    <w:rsid w:val="00EC5FF0"/>
    <w:rsid w:val="00EC630C"/>
    <w:rsid w:val="00EC66F1"/>
    <w:rsid w:val="00EC695D"/>
    <w:rsid w:val="00EC6A9C"/>
    <w:rsid w:val="00EC7241"/>
    <w:rsid w:val="00EC73E7"/>
    <w:rsid w:val="00EC74FE"/>
    <w:rsid w:val="00EC7EAE"/>
    <w:rsid w:val="00ED0023"/>
    <w:rsid w:val="00ED07D5"/>
    <w:rsid w:val="00ED0A33"/>
    <w:rsid w:val="00ED0BBD"/>
    <w:rsid w:val="00ED0BFA"/>
    <w:rsid w:val="00ED0CC6"/>
    <w:rsid w:val="00ED0D90"/>
    <w:rsid w:val="00ED0FC7"/>
    <w:rsid w:val="00ED1179"/>
    <w:rsid w:val="00ED1220"/>
    <w:rsid w:val="00ED1466"/>
    <w:rsid w:val="00ED1485"/>
    <w:rsid w:val="00ED1720"/>
    <w:rsid w:val="00ED19FA"/>
    <w:rsid w:val="00ED1E8A"/>
    <w:rsid w:val="00ED22B7"/>
    <w:rsid w:val="00ED2365"/>
    <w:rsid w:val="00ED2494"/>
    <w:rsid w:val="00ED283B"/>
    <w:rsid w:val="00ED2BF3"/>
    <w:rsid w:val="00ED2DFE"/>
    <w:rsid w:val="00ED316C"/>
    <w:rsid w:val="00ED31A2"/>
    <w:rsid w:val="00ED3494"/>
    <w:rsid w:val="00ED3817"/>
    <w:rsid w:val="00ED39A5"/>
    <w:rsid w:val="00ED3A7F"/>
    <w:rsid w:val="00ED3E94"/>
    <w:rsid w:val="00ED3F24"/>
    <w:rsid w:val="00ED40E1"/>
    <w:rsid w:val="00ED415B"/>
    <w:rsid w:val="00ED43D6"/>
    <w:rsid w:val="00ED4E47"/>
    <w:rsid w:val="00ED4E61"/>
    <w:rsid w:val="00ED4ECA"/>
    <w:rsid w:val="00ED5A3D"/>
    <w:rsid w:val="00ED61A6"/>
    <w:rsid w:val="00ED65B7"/>
    <w:rsid w:val="00ED65D8"/>
    <w:rsid w:val="00ED6891"/>
    <w:rsid w:val="00ED690D"/>
    <w:rsid w:val="00ED6BA8"/>
    <w:rsid w:val="00ED6F54"/>
    <w:rsid w:val="00ED6FE1"/>
    <w:rsid w:val="00ED700F"/>
    <w:rsid w:val="00ED7176"/>
    <w:rsid w:val="00ED71E1"/>
    <w:rsid w:val="00ED72AD"/>
    <w:rsid w:val="00ED78E2"/>
    <w:rsid w:val="00ED7A9A"/>
    <w:rsid w:val="00ED7F08"/>
    <w:rsid w:val="00EE0056"/>
    <w:rsid w:val="00EE00EF"/>
    <w:rsid w:val="00EE0158"/>
    <w:rsid w:val="00EE039F"/>
    <w:rsid w:val="00EE03A3"/>
    <w:rsid w:val="00EE0947"/>
    <w:rsid w:val="00EE0A94"/>
    <w:rsid w:val="00EE0B93"/>
    <w:rsid w:val="00EE0C1E"/>
    <w:rsid w:val="00EE0E8E"/>
    <w:rsid w:val="00EE170A"/>
    <w:rsid w:val="00EE187A"/>
    <w:rsid w:val="00EE19B9"/>
    <w:rsid w:val="00EE19FB"/>
    <w:rsid w:val="00EE1A16"/>
    <w:rsid w:val="00EE1A89"/>
    <w:rsid w:val="00EE1B51"/>
    <w:rsid w:val="00EE1BB0"/>
    <w:rsid w:val="00EE1CE6"/>
    <w:rsid w:val="00EE1F79"/>
    <w:rsid w:val="00EE226C"/>
    <w:rsid w:val="00EE23B0"/>
    <w:rsid w:val="00EE262B"/>
    <w:rsid w:val="00EE265C"/>
    <w:rsid w:val="00EE2A23"/>
    <w:rsid w:val="00EE2CC6"/>
    <w:rsid w:val="00EE2FAD"/>
    <w:rsid w:val="00EE3542"/>
    <w:rsid w:val="00EE3626"/>
    <w:rsid w:val="00EE3A77"/>
    <w:rsid w:val="00EE3E93"/>
    <w:rsid w:val="00EE419A"/>
    <w:rsid w:val="00EE4491"/>
    <w:rsid w:val="00EE4704"/>
    <w:rsid w:val="00EE4776"/>
    <w:rsid w:val="00EE4B1C"/>
    <w:rsid w:val="00EE4B68"/>
    <w:rsid w:val="00EE4C0E"/>
    <w:rsid w:val="00EE4C51"/>
    <w:rsid w:val="00EE5695"/>
    <w:rsid w:val="00EE5A33"/>
    <w:rsid w:val="00EE5A6C"/>
    <w:rsid w:val="00EE5C51"/>
    <w:rsid w:val="00EE5D68"/>
    <w:rsid w:val="00EE67DC"/>
    <w:rsid w:val="00EE68AA"/>
    <w:rsid w:val="00EE6C37"/>
    <w:rsid w:val="00EE6EA1"/>
    <w:rsid w:val="00EE7318"/>
    <w:rsid w:val="00EE79E6"/>
    <w:rsid w:val="00EE7B4C"/>
    <w:rsid w:val="00EE7DCB"/>
    <w:rsid w:val="00EE7EDD"/>
    <w:rsid w:val="00EE7FA6"/>
    <w:rsid w:val="00EF087C"/>
    <w:rsid w:val="00EF098F"/>
    <w:rsid w:val="00EF0A5D"/>
    <w:rsid w:val="00EF0B67"/>
    <w:rsid w:val="00EF0EC3"/>
    <w:rsid w:val="00EF17C0"/>
    <w:rsid w:val="00EF20DF"/>
    <w:rsid w:val="00EF21FE"/>
    <w:rsid w:val="00EF257D"/>
    <w:rsid w:val="00EF2BB7"/>
    <w:rsid w:val="00EF2E84"/>
    <w:rsid w:val="00EF39DD"/>
    <w:rsid w:val="00EF42A4"/>
    <w:rsid w:val="00EF44CA"/>
    <w:rsid w:val="00EF4B4C"/>
    <w:rsid w:val="00EF4C6E"/>
    <w:rsid w:val="00EF4C95"/>
    <w:rsid w:val="00EF4F27"/>
    <w:rsid w:val="00EF4F33"/>
    <w:rsid w:val="00EF504A"/>
    <w:rsid w:val="00EF5279"/>
    <w:rsid w:val="00EF56EB"/>
    <w:rsid w:val="00EF5F80"/>
    <w:rsid w:val="00EF5FE2"/>
    <w:rsid w:val="00EF68F3"/>
    <w:rsid w:val="00EF6B6A"/>
    <w:rsid w:val="00EF6CB7"/>
    <w:rsid w:val="00EF72CD"/>
    <w:rsid w:val="00EF77D1"/>
    <w:rsid w:val="00EF7928"/>
    <w:rsid w:val="00EF79DB"/>
    <w:rsid w:val="00EF7C58"/>
    <w:rsid w:val="00EF7F0F"/>
    <w:rsid w:val="00F00375"/>
    <w:rsid w:val="00F0047C"/>
    <w:rsid w:val="00F0055B"/>
    <w:rsid w:val="00F00794"/>
    <w:rsid w:val="00F00A31"/>
    <w:rsid w:val="00F00E87"/>
    <w:rsid w:val="00F00F78"/>
    <w:rsid w:val="00F00F86"/>
    <w:rsid w:val="00F01016"/>
    <w:rsid w:val="00F010FF"/>
    <w:rsid w:val="00F0130D"/>
    <w:rsid w:val="00F0131D"/>
    <w:rsid w:val="00F01357"/>
    <w:rsid w:val="00F01399"/>
    <w:rsid w:val="00F02018"/>
    <w:rsid w:val="00F0206A"/>
    <w:rsid w:val="00F0236D"/>
    <w:rsid w:val="00F02466"/>
    <w:rsid w:val="00F02631"/>
    <w:rsid w:val="00F026B6"/>
    <w:rsid w:val="00F0270C"/>
    <w:rsid w:val="00F02B5A"/>
    <w:rsid w:val="00F03615"/>
    <w:rsid w:val="00F037ED"/>
    <w:rsid w:val="00F03B61"/>
    <w:rsid w:val="00F03C42"/>
    <w:rsid w:val="00F03CE4"/>
    <w:rsid w:val="00F03E82"/>
    <w:rsid w:val="00F042EE"/>
    <w:rsid w:val="00F0448C"/>
    <w:rsid w:val="00F044CE"/>
    <w:rsid w:val="00F04692"/>
    <w:rsid w:val="00F0474A"/>
    <w:rsid w:val="00F047A9"/>
    <w:rsid w:val="00F047B2"/>
    <w:rsid w:val="00F04926"/>
    <w:rsid w:val="00F04B7C"/>
    <w:rsid w:val="00F04BC7"/>
    <w:rsid w:val="00F04C5D"/>
    <w:rsid w:val="00F05236"/>
    <w:rsid w:val="00F0534B"/>
    <w:rsid w:val="00F05384"/>
    <w:rsid w:val="00F05A55"/>
    <w:rsid w:val="00F05A97"/>
    <w:rsid w:val="00F0608E"/>
    <w:rsid w:val="00F06833"/>
    <w:rsid w:val="00F06A91"/>
    <w:rsid w:val="00F06B30"/>
    <w:rsid w:val="00F06DD4"/>
    <w:rsid w:val="00F06EA9"/>
    <w:rsid w:val="00F077EF"/>
    <w:rsid w:val="00F07C26"/>
    <w:rsid w:val="00F07F75"/>
    <w:rsid w:val="00F10386"/>
    <w:rsid w:val="00F10436"/>
    <w:rsid w:val="00F105BE"/>
    <w:rsid w:val="00F10740"/>
    <w:rsid w:val="00F10A07"/>
    <w:rsid w:val="00F10C0F"/>
    <w:rsid w:val="00F10E29"/>
    <w:rsid w:val="00F10FA7"/>
    <w:rsid w:val="00F11151"/>
    <w:rsid w:val="00F111E3"/>
    <w:rsid w:val="00F11531"/>
    <w:rsid w:val="00F115E2"/>
    <w:rsid w:val="00F11A0B"/>
    <w:rsid w:val="00F11A81"/>
    <w:rsid w:val="00F11BE4"/>
    <w:rsid w:val="00F12278"/>
    <w:rsid w:val="00F1234B"/>
    <w:rsid w:val="00F12409"/>
    <w:rsid w:val="00F125D4"/>
    <w:rsid w:val="00F12840"/>
    <w:rsid w:val="00F12856"/>
    <w:rsid w:val="00F1292A"/>
    <w:rsid w:val="00F12DA1"/>
    <w:rsid w:val="00F13376"/>
    <w:rsid w:val="00F13378"/>
    <w:rsid w:val="00F13A93"/>
    <w:rsid w:val="00F13BCB"/>
    <w:rsid w:val="00F1418D"/>
    <w:rsid w:val="00F14438"/>
    <w:rsid w:val="00F14695"/>
    <w:rsid w:val="00F146AF"/>
    <w:rsid w:val="00F14A00"/>
    <w:rsid w:val="00F14A4D"/>
    <w:rsid w:val="00F14C4A"/>
    <w:rsid w:val="00F14FC1"/>
    <w:rsid w:val="00F151DE"/>
    <w:rsid w:val="00F15556"/>
    <w:rsid w:val="00F15781"/>
    <w:rsid w:val="00F158AB"/>
    <w:rsid w:val="00F158F2"/>
    <w:rsid w:val="00F15D07"/>
    <w:rsid w:val="00F15F2D"/>
    <w:rsid w:val="00F1626C"/>
    <w:rsid w:val="00F164CA"/>
    <w:rsid w:val="00F16A3E"/>
    <w:rsid w:val="00F16F47"/>
    <w:rsid w:val="00F17485"/>
    <w:rsid w:val="00F17506"/>
    <w:rsid w:val="00F178A5"/>
    <w:rsid w:val="00F178BF"/>
    <w:rsid w:val="00F201A3"/>
    <w:rsid w:val="00F205EA"/>
    <w:rsid w:val="00F20C57"/>
    <w:rsid w:val="00F20C90"/>
    <w:rsid w:val="00F210FC"/>
    <w:rsid w:val="00F21D19"/>
    <w:rsid w:val="00F21F5D"/>
    <w:rsid w:val="00F22007"/>
    <w:rsid w:val="00F2261B"/>
    <w:rsid w:val="00F22724"/>
    <w:rsid w:val="00F22C27"/>
    <w:rsid w:val="00F233CC"/>
    <w:rsid w:val="00F23936"/>
    <w:rsid w:val="00F23A2F"/>
    <w:rsid w:val="00F23A50"/>
    <w:rsid w:val="00F23BDB"/>
    <w:rsid w:val="00F24110"/>
    <w:rsid w:val="00F24302"/>
    <w:rsid w:val="00F24A37"/>
    <w:rsid w:val="00F255C8"/>
    <w:rsid w:val="00F25664"/>
    <w:rsid w:val="00F25AA8"/>
    <w:rsid w:val="00F25AB6"/>
    <w:rsid w:val="00F25BF5"/>
    <w:rsid w:val="00F25D27"/>
    <w:rsid w:val="00F25E21"/>
    <w:rsid w:val="00F25EA7"/>
    <w:rsid w:val="00F26059"/>
    <w:rsid w:val="00F261B1"/>
    <w:rsid w:val="00F262F0"/>
    <w:rsid w:val="00F26557"/>
    <w:rsid w:val="00F26658"/>
    <w:rsid w:val="00F26820"/>
    <w:rsid w:val="00F26F63"/>
    <w:rsid w:val="00F270E6"/>
    <w:rsid w:val="00F2735C"/>
    <w:rsid w:val="00F27406"/>
    <w:rsid w:val="00F27634"/>
    <w:rsid w:val="00F277D3"/>
    <w:rsid w:val="00F278CD"/>
    <w:rsid w:val="00F27DEE"/>
    <w:rsid w:val="00F27E11"/>
    <w:rsid w:val="00F3056C"/>
    <w:rsid w:val="00F30588"/>
    <w:rsid w:val="00F307C0"/>
    <w:rsid w:val="00F31003"/>
    <w:rsid w:val="00F310B6"/>
    <w:rsid w:val="00F314C7"/>
    <w:rsid w:val="00F315D7"/>
    <w:rsid w:val="00F31874"/>
    <w:rsid w:val="00F31DBF"/>
    <w:rsid w:val="00F31F3F"/>
    <w:rsid w:val="00F32190"/>
    <w:rsid w:val="00F32481"/>
    <w:rsid w:val="00F328BB"/>
    <w:rsid w:val="00F32AB1"/>
    <w:rsid w:val="00F32C3A"/>
    <w:rsid w:val="00F3359C"/>
    <w:rsid w:val="00F336F5"/>
    <w:rsid w:val="00F33C9B"/>
    <w:rsid w:val="00F33D7D"/>
    <w:rsid w:val="00F343FC"/>
    <w:rsid w:val="00F34479"/>
    <w:rsid w:val="00F34B42"/>
    <w:rsid w:val="00F34D54"/>
    <w:rsid w:val="00F35173"/>
    <w:rsid w:val="00F35247"/>
    <w:rsid w:val="00F3584F"/>
    <w:rsid w:val="00F35881"/>
    <w:rsid w:val="00F35995"/>
    <w:rsid w:val="00F35DD0"/>
    <w:rsid w:val="00F35DF6"/>
    <w:rsid w:val="00F35F79"/>
    <w:rsid w:val="00F365A6"/>
    <w:rsid w:val="00F36764"/>
    <w:rsid w:val="00F36B22"/>
    <w:rsid w:val="00F36D3C"/>
    <w:rsid w:val="00F36D99"/>
    <w:rsid w:val="00F3706E"/>
    <w:rsid w:val="00F37078"/>
    <w:rsid w:val="00F37441"/>
    <w:rsid w:val="00F37601"/>
    <w:rsid w:val="00F37B26"/>
    <w:rsid w:val="00F37DDD"/>
    <w:rsid w:val="00F4006C"/>
    <w:rsid w:val="00F40227"/>
    <w:rsid w:val="00F40985"/>
    <w:rsid w:val="00F40999"/>
    <w:rsid w:val="00F40B3C"/>
    <w:rsid w:val="00F40B45"/>
    <w:rsid w:val="00F40B68"/>
    <w:rsid w:val="00F40F09"/>
    <w:rsid w:val="00F41021"/>
    <w:rsid w:val="00F4129D"/>
    <w:rsid w:val="00F41307"/>
    <w:rsid w:val="00F415A6"/>
    <w:rsid w:val="00F419AB"/>
    <w:rsid w:val="00F419CD"/>
    <w:rsid w:val="00F41B05"/>
    <w:rsid w:val="00F41BD8"/>
    <w:rsid w:val="00F41D67"/>
    <w:rsid w:val="00F41FCA"/>
    <w:rsid w:val="00F42FF3"/>
    <w:rsid w:val="00F4309C"/>
    <w:rsid w:val="00F43422"/>
    <w:rsid w:val="00F434D8"/>
    <w:rsid w:val="00F434DB"/>
    <w:rsid w:val="00F43D3A"/>
    <w:rsid w:val="00F43F13"/>
    <w:rsid w:val="00F44EBA"/>
    <w:rsid w:val="00F451D9"/>
    <w:rsid w:val="00F45213"/>
    <w:rsid w:val="00F45306"/>
    <w:rsid w:val="00F456EF"/>
    <w:rsid w:val="00F4592B"/>
    <w:rsid w:val="00F45973"/>
    <w:rsid w:val="00F459BB"/>
    <w:rsid w:val="00F45C9A"/>
    <w:rsid w:val="00F463A0"/>
    <w:rsid w:val="00F46770"/>
    <w:rsid w:val="00F4693A"/>
    <w:rsid w:val="00F46987"/>
    <w:rsid w:val="00F469A0"/>
    <w:rsid w:val="00F46A4A"/>
    <w:rsid w:val="00F46D0A"/>
    <w:rsid w:val="00F4701B"/>
    <w:rsid w:val="00F47807"/>
    <w:rsid w:val="00F47827"/>
    <w:rsid w:val="00F47D56"/>
    <w:rsid w:val="00F47D70"/>
    <w:rsid w:val="00F50106"/>
    <w:rsid w:val="00F50438"/>
    <w:rsid w:val="00F50C3F"/>
    <w:rsid w:val="00F50CFD"/>
    <w:rsid w:val="00F50FA6"/>
    <w:rsid w:val="00F5129F"/>
    <w:rsid w:val="00F5172B"/>
    <w:rsid w:val="00F51953"/>
    <w:rsid w:val="00F519EE"/>
    <w:rsid w:val="00F51A17"/>
    <w:rsid w:val="00F51A7C"/>
    <w:rsid w:val="00F51D9A"/>
    <w:rsid w:val="00F51F62"/>
    <w:rsid w:val="00F5208A"/>
    <w:rsid w:val="00F523FD"/>
    <w:rsid w:val="00F52490"/>
    <w:rsid w:val="00F5256F"/>
    <w:rsid w:val="00F5260F"/>
    <w:rsid w:val="00F5292B"/>
    <w:rsid w:val="00F52945"/>
    <w:rsid w:val="00F52986"/>
    <w:rsid w:val="00F529E2"/>
    <w:rsid w:val="00F52F9F"/>
    <w:rsid w:val="00F52FBA"/>
    <w:rsid w:val="00F531B2"/>
    <w:rsid w:val="00F5330F"/>
    <w:rsid w:val="00F53494"/>
    <w:rsid w:val="00F53597"/>
    <w:rsid w:val="00F53655"/>
    <w:rsid w:val="00F5377A"/>
    <w:rsid w:val="00F53A23"/>
    <w:rsid w:val="00F53D09"/>
    <w:rsid w:val="00F5413B"/>
    <w:rsid w:val="00F543A4"/>
    <w:rsid w:val="00F548FA"/>
    <w:rsid w:val="00F54CDB"/>
    <w:rsid w:val="00F54DEC"/>
    <w:rsid w:val="00F5540C"/>
    <w:rsid w:val="00F55446"/>
    <w:rsid w:val="00F5595F"/>
    <w:rsid w:val="00F55E41"/>
    <w:rsid w:val="00F55E9C"/>
    <w:rsid w:val="00F5612D"/>
    <w:rsid w:val="00F5623E"/>
    <w:rsid w:val="00F562C2"/>
    <w:rsid w:val="00F56324"/>
    <w:rsid w:val="00F56829"/>
    <w:rsid w:val="00F568BA"/>
    <w:rsid w:val="00F56998"/>
    <w:rsid w:val="00F57102"/>
    <w:rsid w:val="00F5715A"/>
    <w:rsid w:val="00F57225"/>
    <w:rsid w:val="00F5724A"/>
    <w:rsid w:val="00F57683"/>
    <w:rsid w:val="00F57715"/>
    <w:rsid w:val="00F57CB2"/>
    <w:rsid w:val="00F57D2F"/>
    <w:rsid w:val="00F57EEF"/>
    <w:rsid w:val="00F57F51"/>
    <w:rsid w:val="00F60600"/>
    <w:rsid w:val="00F6074F"/>
    <w:rsid w:val="00F60CDB"/>
    <w:rsid w:val="00F61053"/>
    <w:rsid w:val="00F61956"/>
    <w:rsid w:val="00F619AF"/>
    <w:rsid w:val="00F61D92"/>
    <w:rsid w:val="00F61F17"/>
    <w:rsid w:val="00F620EE"/>
    <w:rsid w:val="00F62516"/>
    <w:rsid w:val="00F62B2C"/>
    <w:rsid w:val="00F63864"/>
    <w:rsid w:val="00F639AC"/>
    <w:rsid w:val="00F63FF6"/>
    <w:rsid w:val="00F640A3"/>
    <w:rsid w:val="00F64148"/>
    <w:rsid w:val="00F64279"/>
    <w:rsid w:val="00F642E9"/>
    <w:rsid w:val="00F64456"/>
    <w:rsid w:val="00F648A5"/>
    <w:rsid w:val="00F64B7D"/>
    <w:rsid w:val="00F64BA6"/>
    <w:rsid w:val="00F64F15"/>
    <w:rsid w:val="00F64F76"/>
    <w:rsid w:val="00F65001"/>
    <w:rsid w:val="00F65364"/>
    <w:rsid w:val="00F65504"/>
    <w:rsid w:val="00F65584"/>
    <w:rsid w:val="00F6567B"/>
    <w:rsid w:val="00F65714"/>
    <w:rsid w:val="00F65AB9"/>
    <w:rsid w:val="00F65D2D"/>
    <w:rsid w:val="00F65FFA"/>
    <w:rsid w:val="00F66028"/>
    <w:rsid w:val="00F663CE"/>
    <w:rsid w:val="00F663D6"/>
    <w:rsid w:val="00F663E7"/>
    <w:rsid w:val="00F66548"/>
    <w:rsid w:val="00F6656A"/>
    <w:rsid w:val="00F66650"/>
    <w:rsid w:val="00F6666A"/>
    <w:rsid w:val="00F66A80"/>
    <w:rsid w:val="00F66D2C"/>
    <w:rsid w:val="00F66D60"/>
    <w:rsid w:val="00F6724E"/>
    <w:rsid w:val="00F67EF9"/>
    <w:rsid w:val="00F67FDB"/>
    <w:rsid w:val="00F70803"/>
    <w:rsid w:val="00F70E27"/>
    <w:rsid w:val="00F711E5"/>
    <w:rsid w:val="00F71447"/>
    <w:rsid w:val="00F7160B"/>
    <w:rsid w:val="00F71A3D"/>
    <w:rsid w:val="00F71D25"/>
    <w:rsid w:val="00F7232A"/>
    <w:rsid w:val="00F72430"/>
    <w:rsid w:val="00F725C1"/>
    <w:rsid w:val="00F726D2"/>
    <w:rsid w:val="00F729FE"/>
    <w:rsid w:val="00F72B93"/>
    <w:rsid w:val="00F72C51"/>
    <w:rsid w:val="00F72D83"/>
    <w:rsid w:val="00F72F6D"/>
    <w:rsid w:val="00F731F4"/>
    <w:rsid w:val="00F7324A"/>
    <w:rsid w:val="00F732C1"/>
    <w:rsid w:val="00F73980"/>
    <w:rsid w:val="00F73B06"/>
    <w:rsid w:val="00F74090"/>
    <w:rsid w:val="00F7412D"/>
    <w:rsid w:val="00F74224"/>
    <w:rsid w:val="00F747B6"/>
    <w:rsid w:val="00F74B2E"/>
    <w:rsid w:val="00F751E3"/>
    <w:rsid w:val="00F75C21"/>
    <w:rsid w:val="00F75E55"/>
    <w:rsid w:val="00F763EF"/>
    <w:rsid w:val="00F7669C"/>
    <w:rsid w:val="00F76740"/>
    <w:rsid w:val="00F7691B"/>
    <w:rsid w:val="00F76BB1"/>
    <w:rsid w:val="00F771B5"/>
    <w:rsid w:val="00F77379"/>
    <w:rsid w:val="00F777AD"/>
    <w:rsid w:val="00F778F2"/>
    <w:rsid w:val="00F77C18"/>
    <w:rsid w:val="00F77E85"/>
    <w:rsid w:val="00F77FAC"/>
    <w:rsid w:val="00F805B9"/>
    <w:rsid w:val="00F80997"/>
    <w:rsid w:val="00F80AA6"/>
    <w:rsid w:val="00F80CD2"/>
    <w:rsid w:val="00F80E5B"/>
    <w:rsid w:val="00F814AF"/>
    <w:rsid w:val="00F82934"/>
    <w:rsid w:val="00F8302F"/>
    <w:rsid w:val="00F83081"/>
    <w:rsid w:val="00F83364"/>
    <w:rsid w:val="00F834A4"/>
    <w:rsid w:val="00F83C85"/>
    <w:rsid w:val="00F83C91"/>
    <w:rsid w:val="00F83D04"/>
    <w:rsid w:val="00F83D50"/>
    <w:rsid w:val="00F840ED"/>
    <w:rsid w:val="00F84299"/>
    <w:rsid w:val="00F849DE"/>
    <w:rsid w:val="00F84CC2"/>
    <w:rsid w:val="00F84ED3"/>
    <w:rsid w:val="00F855BB"/>
    <w:rsid w:val="00F85639"/>
    <w:rsid w:val="00F85AA6"/>
    <w:rsid w:val="00F85BAB"/>
    <w:rsid w:val="00F85FF8"/>
    <w:rsid w:val="00F8609D"/>
    <w:rsid w:val="00F860E3"/>
    <w:rsid w:val="00F864A4"/>
    <w:rsid w:val="00F86816"/>
    <w:rsid w:val="00F870B7"/>
    <w:rsid w:val="00F872FD"/>
    <w:rsid w:val="00F874F2"/>
    <w:rsid w:val="00F875BF"/>
    <w:rsid w:val="00F87F59"/>
    <w:rsid w:val="00F90469"/>
    <w:rsid w:val="00F904C1"/>
    <w:rsid w:val="00F90560"/>
    <w:rsid w:val="00F90C73"/>
    <w:rsid w:val="00F90D70"/>
    <w:rsid w:val="00F910BF"/>
    <w:rsid w:val="00F9113E"/>
    <w:rsid w:val="00F912BB"/>
    <w:rsid w:val="00F913B9"/>
    <w:rsid w:val="00F91482"/>
    <w:rsid w:val="00F9162B"/>
    <w:rsid w:val="00F9169B"/>
    <w:rsid w:val="00F91BAD"/>
    <w:rsid w:val="00F92059"/>
    <w:rsid w:val="00F920A7"/>
    <w:rsid w:val="00F921C2"/>
    <w:rsid w:val="00F9237C"/>
    <w:rsid w:val="00F9256E"/>
    <w:rsid w:val="00F92AD0"/>
    <w:rsid w:val="00F92BE8"/>
    <w:rsid w:val="00F92E41"/>
    <w:rsid w:val="00F93331"/>
    <w:rsid w:val="00F9367C"/>
    <w:rsid w:val="00F936C5"/>
    <w:rsid w:val="00F93DE6"/>
    <w:rsid w:val="00F93E87"/>
    <w:rsid w:val="00F94082"/>
    <w:rsid w:val="00F94458"/>
    <w:rsid w:val="00F94611"/>
    <w:rsid w:val="00F94828"/>
    <w:rsid w:val="00F94922"/>
    <w:rsid w:val="00F94B10"/>
    <w:rsid w:val="00F94B61"/>
    <w:rsid w:val="00F94E52"/>
    <w:rsid w:val="00F95435"/>
    <w:rsid w:val="00F954FD"/>
    <w:rsid w:val="00F95A50"/>
    <w:rsid w:val="00F95E63"/>
    <w:rsid w:val="00F95EA7"/>
    <w:rsid w:val="00F95EE8"/>
    <w:rsid w:val="00F961A5"/>
    <w:rsid w:val="00F96873"/>
    <w:rsid w:val="00F96A03"/>
    <w:rsid w:val="00F96B24"/>
    <w:rsid w:val="00F96B9F"/>
    <w:rsid w:val="00F96D2A"/>
    <w:rsid w:val="00F96F1C"/>
    <w:rsid w:val="00F973C6"/>
    <w:rsid w:val="00F9746B"/>
    <w:rsid w:val="00F97560"/>
    <w:rsid w:val="00F97641"/>
    <w:rsid w:val="00F977B0"/>
    <w:rsid w:val="00F97DB8"/>
    <w:rsid w:val="00FA0010"/>
    <w:rsid w:val="00FA0101"/>
    <w:rsid w:val="00FA033D"/>
    <w:rsid w:val="00FA0773"/>
    <w:rsid w:val="00FA07DF"/>
    <w:rsid w:val="00FA0874"/>
    <w:rsid w:val="00FA0923"/>
    <w:rsid w:val="00FA0AEB"/>
    <w:rsid w:val="00FA11F0"/>
    <w:rsid w:val="00FA13C5"/>
    <w:rsid w:val="00FA13F8"/>
    <w:rsid w:val="00FA157C"/>
    <w:rsid w:val="00FA18FA"/>
    <w:rsid w:val="00FA1B3E"/>
    <w:rsid w:val="00FA1DA9"/>
    <w:rsid w:val="00FA236B"/>
    <w:rsid w:val="00FA250D"/>
    <w:rsid w:val="00FA2C13"/>
    <w:rsid w:val="00FA327F"/>
    <w:rsid w:val="00FA3300"/>
    <w:rsid w:val="00FA3355"/>
    <w:rsid w:val="00FA371D"/>
    <w:rsid w:val="00FA3A23"/>
    <w:rsid w:val="00FA3CD2"/>
    <w:rsid w:val="00FA3DA2"/>
    <w:rsid w:val="00FA4580"/>
    <w:rsid w:val="00FA4B3E"/>
    <w:rsid w:val="00FA4C8A"/>
    <w:rsid w:val="00FA4F02"/>
    <w:rsid w:val="00FA52A9"/>
    <w:rsid w:val="00FA550F"/>
    <w:rsid w:val="00FA586E"/>
    <w:rsid w:val="00FA5A53"/>
    <w:rsid w:val="00FA61BE"/>
    <w:rsid w:val="00FA6328"/>
    <w:rsid w:val="00FA63B6"/>
    <w:rsid w:val="00FA689F"/>
    <w:rsid w:val="00FA698B"/>
    <w:rsid w:val="00FA6B5A"/>
    <w:rsid w:val="00FA6D46"/>
    <w:rsid w:val="00FA70EB"/>
    <w:rsid w:val="00FA7108"/>
    <w:rsid w:val="00FA721B"/>
    <w:rsid w:val="00FA767E"/>
    <w:rsid w:val="00FA77E1"/>
    <w:rsid w:val="00FA7969"/>
    <w:rsid w:val="00FA7AA3"/>
    <w:rsid w:val="00FA7BC4"/>
    <w:rsid w:val="00FB01F0"/>
    <w:rsid w:val="00FB0E86"/>
    <w:rsid w:val="00FB1816"/>
    <w:rsid w:val="00FB19C7"/>
    <w:rsid w:val="00FB2206"/>
    <w:rsid w:val="00FB2385"/>
    <w:rsid w:val="00FB2A46"/>
    <w:rsid w:val="00FB2FC5"/>
    <w:rsid w:val="00FB3050"/>
    <w:rsid w:val="00FB3173"/>
    <w:rsid w:val="00FB36DF"/>
    <w:rsid w:val="00FB3B2A"/>
    <w:rsid w:val="00FB3E61"/>
    <w:rsid w:val="00FB4673"/>
    <w:rsid w:val="00FB497D"/>
    <w:rsid w:val="00FB4F08"/>
    <w:rsid w:val="00FB4FF5"/>
    <w:rsid w:val="00FB5090"/>
    <w:rsid w:val="00FB5560"/>
    <w:rsid w:val="00FB58A4"/>
    <w:rsid w:val="00FB5A70"/>
    <w:rsid w:val="00FB661A"/>
    <w:rsid w:val="00FB7254"/>
    <w:rsid w:val="00FB7722"/>
    <w:rsid w:val="00FB77CF"/>
    <w:rsid w:val="00FB78D3"/>
    <w:rsid w:val="00FB7B94"/>
    <w:rsid w:val="00FC0047"/>
    <w:rsid w:val="00FC0071"/>
    <w:rsid w:val="00FC0309"/>
    <w:rsid w:val="00FC083E"/>
    <w:rsid w:val="00FC08FE"/>
    <w:rsid w:val="00FC0924"/>
    <w:rsid w:val="00FC0948"/>
    <w:rsid w:val="00FC0B8F"/>
    <w:rsid w:val="00FC0EA0"/>
    <w:rsid w:val="00FC104F"/>
    <w:rsid w:val="00FC14F8"/>
    <w:rsid w:val="00FC164B"/>
    <w:rsid w:val="00FC1D15"/>
    <w:rsid w:val="00FC2058"/>
    <w:rsid w:val="00FC241F"/>
    <w:rsid w:val="00FC273A"/>
    <w:rsid w:val="00FC2920"/>
    <w:rsid w:val="00FC309A"/>
    <w:rsid w:val="00FC33A4"/>
    <w:rsid w:val="00FC33CE"/>
    <w:rsid w:val="00FC349F"/>
    <w:rsid w:val="00FC3558"/>
    <w:rsid w:val="00FC38EE"/>
    <w:rsid w:val="00FC3BD2"/>
    <w:rsid w:val="00FC3D47"/>
    <w:rsid w:val="00FC3DBA"/>
    <w:rsid w:val="00FC3E13"/>
    <w:rsid w:val="00FC42BD"/>
    <w:rsid w:val="00FC4515"/>
    <w:rsid w:val="00FC4949"/>
    <w:rsid w:val="00FC49B2"/>
    <w:rsid w:val="00FC4AD7"/>
    <w:rsid w:val="00FC525D"/>
    <w:rsid w:val="00FC54D8"/>
    <w:rsid w:val="00FC568F"/>
    <w:rsid w:val="00FC5790"/>
    <w:rsid w:val="00FC58A4"/>
    <w:rsid w:val="00FC5D63"/>
    <w:rsid w:val="00FC5FB2"/>
    <w:rsid w:val="00FC6057"/>
    <w:rsid w:val="00FC671D"/>
    <w:rsid w:val="00FC6C64"/>
    <w:rsid w:val="00FC6F60"/>
    <w:rsid w:val="00FC70BA"/>
    <w:rsid w:val="00FC7273"/>
    <w:rsid w:val="00FC7371"/>
    <w:rsid w:val="00FC76DC"/>
    <w:rsid w:val="00FC77F2"/>
    <w:rsid w:val="00FD018A"/>
    <w:rsid w:val="00FD05B7"/>
    <w:rsid w:val="00FD0B3F"/>
    <w:rsid w:val="00FD0C4B"/>
    <w:rsid w:val="00FD0F71"/>
    <w:rsid w:val="00FD0FF8"/>
    <w:rsid w:val="00FD140E"/>
    <w:rsid w:val="00FD154E"/>
    <w:rsid w:val="00FD1707"/>
    <w:rsid w:val="00FD1774"/>
    <w:rsid w:val="00FD1934"/>
    <w:rsid w:val="00FD1C22"/>
    <w:rsid w:val="00FD1D4F"/>
    <w:rsid w:val="00FD1DBF"/>
    <w:rsid w:val="00FD1E21"/>
    <w:rsid w:val="00FD2056"/>
    <w:rsid w:val="00FD21BC"/>
    <w:rsid w:val="00FD2585"/>
    <w:rsid w:val="00FD27BD"/>
    <w:rsid w:val="00FD2B6C"/>
    <w:rsid w:val="00FD2BE0"/>
    <w:rsid w:val="00FD2E5D"/>
    <w:rsid w:val="00FD306F"/>
    <w:rsid w:val="00FD30E4"/>
    <w:rsid w:val="00FD3258"/>
    <w:rsid w:val="00FD3347"/>
    <w:rsid w:val="00FD33F1"/>
    <w:rsid w:val="00FD3726"/>
    <w:rsid w:val="00FD4423"/>
    <w:rsid w:val="00FD45DA"/>
    <w:rsid w:val="00FD464A"/>
    <w:rsid w:val="00FD46BC"/>
    <w:rsid w:val="00FD4BC1"/>
    <w:rsid w:val="00FD4D82"/>
    <w:rsid w:val="00FD4D99"/>
    <w:rsid w:val="00FD500E"/>
    <w:rsid w:val="00FD5358"/>
    <w:rsid w:val="00FD54AD"/>
    <w:rsid w:val="00FD57DE"/>
    <w:rsid w:val="00FD5906"/>
    <w:rsid w:val="00FD594B"/>
    <w:rsid w:val="00FD5A58"/>
    <w:rsid w:val="00FD5A9E"/>
    <w:rsid w:val="00FD5D9C"/>
    <w:rsid w:val="00FD63B7"/>
    <w:rsid w:val="00FD6B37"/>
    <w:rsid w:val="00FD6E15"/>
    <w:rsid w:val="00FD6EB7"/>
    <w:rsid w:val="00FD6F19"/>
    <w:rsid w:val="00FD702B"/>
    <w:rsid w:val="00FD709B"/>
    <w:rsid w:val="00FD7121"/>
    <w:rsid w:val="00FD74D3"/>
    <w:rsid w:val="00FD7700"/>
    <w:rsid w:val="00FD782B"/>
    <w:rsid w:val="00FD7862"/>
    <w:rsid w:val="00FE0265"/>
    <w:rsid w:val="00FE0483"/>
    <w:rsid w:val="00FE0570"/>
    <w:rsid w:val="00FE07D3"/>
    <w:rsid w:val="00FE08E1"/>
    <w:rsid w:val="00FE0902"/>
    <w:rsid w:val="00FE0E1B"/>
    <w:rsid w:val="00FE0E41"/>
    <w:rsid w:val="00FE10E0"/>
    <w:rsid w:val="00FE1456"/>
    <w:rsid w:val="00FE14D6"/>
    <w:rsid w:val="00FE16A7"/>
    <w:rsid w:val="00FE19D6"/>
    <w:rsid w:val="00FE1FCA"/>
    <w:rsid w:val="00FE2002"/>
    <w:rsid w:val="00FE2711"/>
    <w:rsid w:val="00FE299F"/>
    <w:rsid w:val="00FE2A53"/>
    <w:rsid w:val="00FE2F2B"/>
    <w:rsid w:val="00FE2F72"/>
    <w:rsid w:val="00FE303A"/>
    <w:rsid w:val="00FE315F"/>
    <w:rsid w:val="00FE32D5"/>
    <w:rsid w:val="00FE3316"/>
    <w:rsid w:val="00FE34FD"/>
    <w:rsid w:val="00FE359A"/>
    <w:rsid w:val="00FE367B"/>
    <w:rsid w:val="00FE3785"/>
    <w:rsid w:val="00FE3A71"/>
    <w:rsid w:val="00FE42E1"/>
    <w:rsid w:val="00FE44CE"/>
    <w:rsid w:val="00FE490C"/>
    <w:rsid w:val="00FE497B"/>
    <w:rsid w:val="00FE4CC7"/>
    <w:rsid w:val="00FE4CF8"/>
    <w:rsid w:val="00FE500C"/>
    <w:rsid w:val="00FE5076"/>
    <w:rsid w:val="00FE5141"/>
    <w:rsid w:val="00FE5237"/>
    <w:rsid w:val="00FE53D9"/>
    <w:rsid w:val="00FE5D02"/>
    <w:rsid w:val="00FE5FE8"/>
    <w:rsid w:val="00FE61D8"/>
    <w:rsid w:val="00FE64A0"/>
    <w:rsid w:val="00FE66B2"/>
    <w:rsid w:val="00FE679F"/>
    <w:rsid w:val="00FE6908"/>
    <w:rsid w:val="00FE6A08"/>
    <w:rsid w:val="00FE6C07"/>
    <w:rsid w:val="00FE75FD"/>
    <w:rsid w:val="00FE761A"/>
    <w:rsid w:val="00FE7E83"/>
    <w:rsid w:val="00FF030A"/>
    <w:rsid w:val="00FF0C67"/>
    <w:rsid w:val="00FF0F33"/>
    <w:rsid w:val="00FF133D"/>
    <w:rsid w:val="00FF13F0"/>
    <w:rsid w:val="00FF174C"/>
    <w:rsid w:val="00FF17E0"/>
    <w:rsid w:val="00FF1FBC"/>
    <w:rsid w:val="00FF2296"/>
    <w:rsid w:val="00FF293A"/>
    <w:rsid w:val="00FF2DD5"/>
    <w:rsid w:val="00FF35C1"/>
    <w:rsid w:val="00FF3604"/>
    <w:rsid w:val="00FF3A03"/>
    <w:rsid w:val="00FF3D46"/>
    <w:rsid w:val="00FF4081"/>
    <w:rsid w:val="00FF4151"/>
    <w:rsid w:val="00FF4262"/>
    <w:rsid w:val="00FF4300"/>
    <w:rsid w:val="00FF44E9"/>
    <w:rsid w:val="00FF4965"/>
    <w:rsid w:val="00FF4983"/>
    <w:rsid w:val="00FF4BAE"/>
    <w:rsid w:val="00FF4BEC"/>
    <w:rsid w:val="00FF50D6"/>
    <w:rsid w:val="00FF54B7"/>
    <w:rsid w:val="00FF5506"/>
    <w:rsid w:val="00FF59BD"/>
    <w:rsid w:val="00FF5BF4"/>
    <w:rsid w:val="00FF6138"/>
    <w:rsid w:val="00FF6185"/>
    <w:rsid w:val="00FF6269"/>
    <w:rsid w:val="00FF67A4"/>
    <w:rsid w:val="00FF69A1"/>
    <w:rsid w:val="00FF6A2F"/>
    <w:rsid w:val="00FF6B10"/>
    <w:rsid w:val="00FF6EF3"/>
    <w:rsid w:val="00FF7337"/>
    <w:rsid w:val="00FF739D"/>
    <w:rsid w:val="00FF74D0"/>
    <w:rsid w:val="00FF7863"/>
    <w:rsid w:val="00FF787E"/>
    <w:rsid w:val="00FF7AC7"/>
    <w:rsid w:val="00FF7E30"/>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C8BB0B"/>
  <w15:docId w15:val="{D50BA841-3BA4-4526-B519-BABCD061B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564D4"/>
    <w:pPr>
      <w:spacing w:after="120" w:line="300" w:lineRule="auto"/>
      <w:jc w:val="both"/>
    </w:pPr>
    <w:rPr>
      <w:rFonts w:ascii="Arial" w:hAnsi="Arial"/>
      <w:szCs w:val="24"/>
    </w:rPr>
  </w:style>
  <w:style w:type="paragraph" w:styleId="1">
    <w:name w:val="heading 1"/>
    <w:aliases w:val="1_ΚΕΦΑΛΑΙΟ"/>
    <w:basedOn w:val="a"/>
    <w:next w:val="a"/>
    <w:link w:val="1Char"/>
    <w:uiPriority w:val="9"/>
    <w:qFormat/>
    <w:rsid w:val="00212A95"/>
    <w:pPr>
      <w:keepNext/>
      <w:numPr>
        <w:numId w:val="9"/>
      </w:numPr>
      <w:spacing w:line="276" w:lineRule="auto"/>
      <w:outlineLvl w:val="0"/>
    </w:pPr>
    <w:rPr>
      <w:b/>
      <w:bCs/>
      <w:color w:val="2F5496"/>
      <w:kern w:val="32"/>
      <w:sz w:val="28"/>
      <w:szCs w:val="32"/>
    </w:rPr>
  </w:style>
  <w:style w:type="paragraph" w:styleId="2">
    <w:name w:val="heading 2"/>
    <w:aliases w:val="2_ΘΕΜΑ ΚΕΦΑΛΑΙΟΥ"/>
    <w:basedOn w:val="a"/>
    <w:next w:val="a"/>
    <w:link w:val="2Char"/>
    <w:qFormat/>
    <w:rsid w:val="00895F39"/>
    <w:pPr>
      <w:keepNext/>
      <w:spacing w:after="600" w:line="276" w:lineRule="auto"/>
      <w:outlineLvl w:val="1"/>
    </w:pPr>
    <w:rPr>
      <w:b/>
      <w:bCs/>
      <w:iCs/>
      <w:color w:val="2F5496"/>
      <w:sz w:val="28"/>
      <w:szCs w:val="28"/>
    </w:rPr>
  </w:style>
  <w:style w:type="paragraph" w:styleId="3">
    <w:name w:val="heading 3"/>
    <w:aliases w:val="3_1.1."/>
    <w:basedOn w:val="a"/>
    <w:next w:val="a"/>
    <w:link w:val="3Char"/>
    <w:qFormat/>
    <w:rsid w:val="00895F39"/>
    <w:pPr>
      <w:keepNext/>
      <w:numPr>
        <w:ilvl w:val="1"/>
        <w:numId w:val="9"/>
      </w:numPr>
      <w:shd w:val="clear" w:color="auto" w:fill="D5DCE4"/>
      <w:spacing w:before="600" w:after="360" w:line="276" w:lineRule="auto"/>
      <w:ind w:left="851" w:hanging="851"/>
      <w:outlineLvl w:val="2"/>
    </w:pPr>
    <w:rPr>
      <w:b/>
      <w:bCs/>
      <w:color w:val="2F5496"/>
      <w:sz w:val="24"/>
      <w:szCs w:val="26"/>
    </w:rPr>
  </w:style>
  <w:style w:type="paragraph" w:styleId="4">
    <w:name w:val="heading 4"/>
    <w:aliases w:val="4_1.1.1."/>
    <w:basedOn w:val="a"/>
    <w:next w:val="a"/>
    <w:link w:val="4Char"/>
    <w:qFormat/>
    <w:rsid w:val="001B2FE7"/>
    <w:pPr>
      <w:keepNext/>
      <w:numPr>
        <w:ilvl w:val="2"/>
        <w:numId w:val="9"/>
      </w:numPr>
      <w:spacing w:before="360" w:after="240" w:line="276" w:lineRule="auto"/>
      <w:ind w:left="851" w:hanging="851"/>
      <w:outlineLvl w:val="3"/>
    </w:pPr>
    <w:rPr>
      <w:b/>
      <w:color w:val="2F5496"/>
      <w:sz w:val="22"/>
      <w:szCs w:val="22"/>
    </w:rPr>
  </w:style>
  <w:style w:type="paragraph" w:styleId="5">
    <w:name w:val="heading 5"/>
    <w:aliases w:val="5_1.1.1.1"/>
    <w:basedOn w:val="a"/>
    <w:next w:val="a"/>
    <w:link w:val="5Char"/>
    <w:qFormat/>
    <w:rsid w:val="001B2FE7"/>
    <w:pPr>
      <w:keepNext/>
      <w:numPr>
        <w:ilvl w:val="3"/>
        <w:numId w:val="9"/>
      </w:numPr>
      <w:spacing w:before="360" w:after="240" w:line="276" w:lineRule="auto"/>
      <w:ind w:left="851" w:hanging="851"/>
      <w:outlineLvl w:val="4"/>
    </w:pPr>
    <w:rPr>
      <w:b/>
      <w:color w:val="2F5496"/>
      <w:sz w:val="22"/>
      <w:szCs w:val="22"/>
    </w:rPr>
  </w:style>
  <w:style w:type="paragraph" w:styleId="6">
    <w:name w:val="heading 6"/>
    <w:basedOn w:val="a"/>
    <w:next w:val="a"/>
    <w:link w:val="6Char"/>
    <w:qFormat/>
    <w:rsid w:val="002E0B4C"/>
    <w:pPr>
      <w:keepNext/>
      <w:outlineLvl w:val="5"/>
    </w:pPr>
    <w:rPr>
      <w:rFonts w:ascii="Arial Narrow" w:hAnsi="Arial Narrow"/>
      <w:b/>
      <w:sz w:val="22"/>
      <w:szCs w:val="22"/>
    </w:rPr>
  </w:style>
  <w:style w:type="paragraph" w:styleId="7">
    <w:name w:val="heading 7"/>
    <w:basedOn w:val="a"/>
    <w:next w:val="a"/>
    <w:link w:val="7Char"/>
    <w:qFormat/>
    <w:rsid w:val="002E0B4C"/>
    <w:pPr>
      <w:keepNext/>
      <w:outlineLvl w:val="6"/>
    </w:pPr>
    <w:rPr>
      <w:rFonts w:ascii="Arial Narrow" w:hAnsi="Arial Narrow"/>
      <w:b/>
      <w:i/>
      <w:sz w:val="22"/>
      <w:szCs w:val="22"/>
    </w:rPr>
  </w:style>
  <w:style w:type="paragraph" w:styleId="8">
    <w:name w:val="heading 8"/>
    <w:basedOn w:val="a"/>
    <w:next w:val="a"/>
    <w:link w:val="8Char"/>
    <w:qFormat/>
    <w:rsid w:val="002E0B4C"/>
    <w:pPr>
      <w:keepNext/>
      <w:spacing w:before="100" w:beforeAutospacing="1" w:after="100" w:afterAutospacing="1"/>
      <w:outlineLvl w:val="7"/>
    </w:pPr>
    <w:rPr>
      <w:rFonts w:ascii="Arial Narrow" w:hAnsi="Arial Narrow"/>
      <w:b/>
      <w:sz w:val="16"/>
      <w:szCs w:val="16"/>
    </w:rPr>
  </w:style>
  <w:style w:type="paragraph" w:styleId="9">
    <w:name w:val="heading 9"/>
    <w:basedOn w:val="a"/>
    <w:next w:val="a"/>
    <w:link w:val="9Char"/>
    <w:qFormat/>
    <w:rsid w:val="002E0B4C"/>
    <w:pPr>
      <w:keepNext/>
      <w:outlineLvl w:val="8"/>
    </w:pPr>
    <w:rPr>
      <w:rFonts w:ascii="Arial Narrow" w:hAnsi="Arial Narrow"/>
      <w:b/>
      <w:color w:val="00008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E0B4C"/>
    <w:pPr>
      <w:tabs>
        <w:tab w:val="center" w:pos="4153"/>
        <w:tab w:val="right" w:pos="8306"/>
      </w:tabs>
    </w:pPr>
  </w:style>
  <w:style w:type="paragraph" w:styleId="a4">
    <w:name w:val="footer"/>
    <w:basedOn w:val="a"/>
    <w:link w:val="Char0"/>
    <w:rsid w:val="002E0B4C"/>
    <w:pPr>
      <w:tabs>
        <w:tab w:val="center" w:pos="4153"/>
        <w:tab w:val="right" w:pos="8306"/>
      </w:tabs>
    </w:pPr>
  </w:style>
  <w:style w:type="character" w:styleId="a5">
    <w:name w:val="page number"/>
    <w:basedOn w:val="a0"/>
    <w:rsid w:val="002E0B4C"/>
  </w:style>
  <w:style w:type="paragraph" w:styleId="a6">
    <w:name w:val="Balloon Text"/>
    <w:basedOn w:val="a"/>
    <w:link w:val="Char1"/>
    <w:uiPriority w:val="99"/>
    <w:semiHidden/>
    <w:rsid w:val="002E0B4C"/>
    <w:rPr>
      <w:rFonts w:ascii="Tahoma" w:hAnsi="Tahoma"/>
      <w:sz w:val="16"/>
      <w:szCs w:val="16"/>
    </w:rPr>
  </w:style>
  <w:style w:type="paragraph" w:styleId="a7">
    <w:name w:val="Body Text Indent"/>
    <w:basedOn w:val="a"/>
    <w:link w:val="Char2"/>
    <w:rsid w:val="002E0B4C"/>
    <w:pPr>
      <w:ind w:left="720" w:hanging="720"/>
    </w:pPr>
    <w:rPr>
      <w:sz w:val="22"/>
      <w:szCs w:val="22"/>
    </w:rPr>
  </w:style>
  <w:style w:type="paragraph" w:styleId="a8">
    <w:name w:val="Body Text"/>
    <w:basedOn w:val="a"/>
    <w:link w:val="Char3"/>
    <w:rsid w:val="002E0B4C"/>
    <w:rPr>
      <w:sz w:val="22"/>
      <w:szCs w:val="22"/>
    </w:rPr>
  </w:style>
  <w:style w:type="paragraph" w:styleId="20">
    <w:name w:val="Body Text Indent 2"/>
    <w:basedOn w:val="a"/>
    <w:link w:val="2Char0"/>
    <w:rsid w:val="002E0B4C"/>
    <w:pPr>
      <w:ind w:left="284"/>
    </w:pPr>
    <w:rPr>
      <w:sz w:val="22"/>
      <w:szCs w:val="22"/>
    </w:rPr>
  </w:style>
  <w:style w:type="paragraph" w:styleId="a9">
    <w:name w:val="Plain Text"/>
    <w:basedOn w:val="a"/>
    <w:link w:val="Char4"/>
    <w:rsid w:val="002E0B4C"/>
    <w:rPr>
      <w:rFonts w:ascii="Courier New" w:hAnsi="Courier New"/>
      <w:szCs w:val="20"/>
    </w:rPr>
  </w:style>
  <w:style w:type="paragraph" w:styleId="21">
    <w:name w:val="Body Text 2"/>
    <w:basedOn w:val="a"/>
    <w:link w:val="2Char1"/>
    <w:rsid w:val="002E0B4C"/>
    <w:pPr>
      <w:spacing w:line="480" w:lineRule="auto"/>
    </w:pPr>
  </w:style>
  <w:style w:type="paragraph" w:styleId="aa">
    <w:name w:val="footnote text"/>
    <w:aliases w:val="Footnote,Fußnote,Fodnotetekst Tegn Tegn Tegn Tegn Tegn Tegn Tegn Char Char,Fodnotetekst Tegn Tegn Tegn Tegn Tegn Tegn Tegn Char Char Char Char,Fodnotetekst Tegn Tegn Tegn Tegn Tegn Tegn Tegn,lábléc,C26 Footnote body, Char,Char"/>
    <w:basedOn w:val="a"/>
    <w:link w:val="Char5"/>
    <w:qFormat/>
    <w:rsid w:val="002E0B4C"/>
    <w:rPr>
      <w:szCs w:val="20"/>
      <w:lang w:val="en-GB"/>
    </w:rPr>
  </w:style>
  <w:style w:type="character" w:styleId="ab">
    <w:name w:val="footnote reference"/>
    <w:aliases w:val="Footnote Reference Number,Footnote Reference_LVL6,Footnote Reference_LVL61,Footnote Reference_LVL62,Footnote Reference_LVL63,Footnote Reference_LVL64,C26 Footnote Number,Footnote Reference_LVL65,Footnote symbol,Footnote Reference1"/>
    <w:uiPriority w:val="99"/>
    <w:qFormat/>
    <w:rsid w:val="002E0B4C"/>
    <w:rPr>
      <w:vertAlign w:val="superscript"/>
    </w:rPr>
  </w:style>
  <w:style w:type="table" w:styleId="ac">
    <w:name w:val="Table Grid"/>
    <w:basedOn w:val="a1"/>
    <w:uiPriority w:val="59"/>
    <w:rsid w:val="00D44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Κείμενο υποσημείωσης Char"/>
    <w:aliases w:val="Footnote Char,Fußnote Char,Fodnotetekst Tegn Tegn Tegn Tegn Tegn Tegn Tegn Char Char Char,Fodnotetekst Tegn Tegn Tegn Tegn Tegn Tegn Tegn Char Char Char Char Char,Fodnotetekst Tegn Tegn Tegn Tegn Tegn Tegn Tegn Char,lábléc Char"/>
    <w:link w:val="aa"/>
    <w:rsid w:val="00476C30"/>
    <w:rPr>
      <w:lang w:val="en-GB" w:eastAsia="el-GR" w:bidi="ar-SA"/>
    </w:rPr>
  </w:style>
  <w:style w:type="character" w:styleId="ad">
    <w:name w:val="annotation reference"/>
    <w:uiPriority w:val="99"/>
    <w:semiHidden/>
    <w:rsid w:val="00610DA8"/>
    <w:rPr>
      <w:sz w:val="16"/>
      <w:szCs w:val="16"/>
    </w:rPr>
  </w:style>
  <w:style w:type="paragraph" w:styleId="ae">
    <w:name w:val="annotation text"/>
    <w:basedOn w:val="a"/>
    <w:link w:val="Char6"/>
    <w:uiPriority w:val="99"/>
    <w:rsid w:val="00610DA8"/>
    <w:rPr>
      <w:szCs w:val="20"/>
    </w:rPr>
  </w:style>
  <w:style w:type="paragraph" w:styleId="af">
    <w:name w:val="annotation subject"/>
    <w:basedOn w:val="ae"/>
    <w:next w:val="ae"/>
    <w:link w:val="Char7"/>
    <w:uiPriority w:val="99"/>
    <w:semiHidden/>
    <w:rsid w:val="00610DA8"/>
    <w:rPr>
      <w:b/>
      <w:bCs/>
    </w:rPr>
  </w:style>
  <w:style w:type="paragraph" w:styleId="af0">
    <w:name w:val="List Paragraph"/>
    <w:aliases w:val="1st level - Bullet List Paragraph,Bullet EY,Bullet list,Lettre d'introduction,List L1,List Paragraph compact,List Paragraph1,List Paragraph11,Normal bullet 2,Normal bullet 21,Numbered List,Paragraph,Paragraphe de liste 2,Reference list"/>
    <w:basedOn w:val="a"/>
    <w:link w:val="Char8"/>
    <w:uiPriority w:val="34"/>
    <w:qFormat/>
    <w:rsid w:val="00875F08"/>
    <w:pPr>
      <w:spacing w:after="200" w:line="276" w:lineRule="auto"/>
      <w:ind w:left="720"/>
      <w:contextualSpacing/>
    </w:pPr>
    <w:rPr>
      <w:rFonts w:ascii="Calibri" w:eastAsia="Calibri" w:hAnsi="Calibri"/>
      <w:sz w:val="22"/>
      <w:szCs w:val="22"/>
      <w:lang w:eastAsia="en-US"/>
    </w:rPr>
  </w:style>
  <w:style w:type="paragraph" w:customStyle="1" w:styleId="CharCharCharCharCharCharCharCharCharCharCharCharChar">
    <w:name w:val="Char Char Char Char Char Char Char Char Char Char Char Char Char"/>
    <w:basedOn w:val="a"/>
    <w:rsid w:val="00F64BA6"/>
    <w:pPr>
      <w:spacing w:after="160" w:line="240" w:lineRule="exact"/>
    </w:pPr>
    <w:rPr>
      <w:rFonts w:ascii="Verdana" w:hAnsi="Verdana"/>
      <w:szCs w:val="20"/>
      <w:lang w:val="en-US" w:eastAsia="en-US"/>
    </w:rPr>
  </w:style>
  <w:style w:type="paragraph" w:styleId="Web">
    <w:name w:val="Normal (Web)"/>
    <w:basedOn w:val="a"/>
    <w:uiPriority w:val="99"/>
    <w:unhideWhenUsed/>
    <w:rsid w:val="00707015"/>
    <w:pPr>
      <w:spacing w:before="100" w:beforeAutospacing="1" w:after="100" w:afterAutospacing="1"/>
    </w:pPr>
    <w:rPr>
      <w:lang w:val="en-US" w:bidi="en-US"/>
    </w:rPr>
  </w:style>
  <w:style w:type="character" w:styleId="af1">
    <w:name w:val="line number"/>
    <w:basedOn w:val="a0"/>
    <w:rsid w:val="00707015"/>
  </w:style>
  <w:style w:type="paragraph" w:styleId="af2">
    <w:name w:val="No Spacing"/>
    <w:link w:val="Char9"/>
    <w:uiPriority w:val="1"/>
    <w:qFormat/>
    <w:rsid w:val="00C56FF3"/>
    <w:rPr>
      <w:rFonts w:ascii="Calibri" w:eastAsia="Calibri" w:hAnsi="Calibri"/>
      <w:sz w:val="22"/>
      <w:szCs w:val="22"/>
      <w:lang w:eastAsia="en-US"/>
    </w:rPr>
  </w:style>
  <w:style w:type="character" w:customStyle="1" w:styleId="af3">
    <w:name w:val="Σύμβολο υποσημείωσης"/>
    <w:rsid w:val="00835387"/>
    <w:rPr>
      <w:vertAlign w:val="superscript"/>
    </w:rPr>
  </w:style>
  <w:style w:type="character" w:customStyle="1" w:styleId="10">
    <w:name w:val="Παραπομπή υποσημείωσης1"/>
    <w:rsid w:val="00835387"/>
    <w:rPr>
      <w:vertAlign w:val="superscript"/>
    </w:rPr>
  </w:style>
  <w:style w:type="paragraph" w:styleId="af4">
    <w:name w:val="Revision"/>
    <w:hidden/>
    <w:uiPriority w:val="99"/>
    <w:semiHidden/>
    <w:rsid w:val="0056106D"/>
    <w:rPr>
      <w:sz w:val="24"/>
      <w:szCs w:val="24"/>
    </w:rPr>
  </w:style>
  <w:style w:type="paragraph" w:styleId="af5">
    <w:name w:val="endnote text"/>
    <w:basedOn w:val="a"/>
    <w:link w:val="Chara"/>
    <w:semiHidden/>
    <w:unhideWhenUsed/>
    <w:rsid w:val="00F12840"/>
    <w:rPr>
      <w:szCs w:val="20"/>
    </w:rPr>
  </w:style>
  <w:style w:type="character" w:customStyle="1" w:styleId="Chara">
    <w:name w:val="Κείμενο σημείωσης τέλους Char"/>
    <w:basedOn w:val="a0"/>
    <w:link w:val="af5"/>
    <w:semiHidden/>
    <w:rsid w:val="00F12840"/>
  </w:style>
  <w:style w:type="character" w:styleId="af6">
    <w:name w:val="endnote reference"/>
    <w:semiHidden/>
    <w:unhideWhenUsed/>
    <w:rsid w:val="00F12840"/>
    <w:rPr>
      <w:vertAlign w:val="superscript"/>
    </w:rPr>
  </w:style>
  <w:style w:type="paragraph" w:customStyle="1" w:styleId="aplo">
    <w:name w:val="aplo"/>
    <w:basedOn w:val="a"/>
    <w:rsid w:val="004F40E8"/>
    <w:pPr>
      <w:tabs>
        <w:tab w:val="left" w:pos="567"/>
      </w:tabs>
      <w:spacing w:before="120"/>
    </w:pPr>
    <w:rPr>
      <w:sz w:val="22"/>
      <w:szCs w:val="20"/>
      <w:lang w:val="en-GB"/>
    </w:rPr>
  </w:style>
  <w:style w:type="paragraph" w:styleId="af7">
    <w:name w:val="Title"/>
    <w:basedOn w:val="a"/>
    <w:link w:val="Charb"/>
    <w:qFormat/>
    <w:rsid w:val="004F40E8"/>
    <w:pPr>
      <w:jc w:val="center"/>
    </w:pPr>
    <w:rPr>
      <w:b/>
      <w:bCs/>
      <w:lang w:eastAsia="en-US"/>
    </w:rPr>
  </w:style>
  <w:style w:type="character" w:customStyle="1" w:styleId="Charb">
    <w:name w:val="Τίτλος Char"/>
    <w:link w:val="af7"/>
    <w:rsid w:val="004F40E8"/>
    <w:rPr>
      <w:b/>
      <w:bCs/>
      <w:sz w:val="24"/>
      <w:szCs w:val="24"/>
      <w:lang w:eastAsia="en-US"/>
    </w:rPr>
  </w:style>
  <w:style w:type="numbering" w:customStyle="1" w:styleId="11">
    <w:name w:val="Χωρίς λίστα1"/>
    <w:next w:val="a2"/>
    <w:semiHidden/>
    <w:rsid w:val="004F40E8"/>
  </w:style>
  <w:style w:type="paragraph" w:customStyle="1" w:styleId="keimeno">
    <w:name w:val="keimeno"/>
    <w:basedOn w:val="a"/>
    <w:rsid w:val="004F40E8"/>
    <w:rPr>
      <w:sz w:val="22"/>
      <w:szCs w:val="20"/>
    </w:rPr>
  </w:style>
  <w:style w:type="paragraph" w:styleId="30">
    <w:name w:val="Body Text 3"/>
    <w:basedOn w:val="a"/>
    <w:link w:val="3Char0"/>
    <w:rsid w:val="004F40E8"/>
    <w:rPr>
      <w:sz w:val="22"/>
      <w:szCs w:val="20"/>
    </w:rPr>
  </w:style>
  <w:style w:type="character" w:customStyle="1" w:styleId="3Char0">
    <w:name w:val="Σώμα κείμενου 3 Char"/>
    <w:link w:val="30"/>
    <w:rsid w:val="004F40E8"/>
    <w:rPr>
      <w:sz w:val="22"/>
    </w:rPr>
  </w:style>
  <w:style w:type="paragraph" w:customStyle="1" w:styleId="Giota">
    <w:name w:val="Giota"/>
    <w:basedOn w:val="a"/>
    <w:rsid w:val="004F40E8"/>
    <w:pPr>
      <w:tabs>
        <w:tab w:val="left" w:pos="567"/>
        <w:tab w:val="left" w:pos="1134"/>
        <w:tab w:val="left" w:pos="1701"/>
      </w:tabs>
    </w:pPr>
    <w:rPr>
      <w:sz w:val="18"/>
      <w:szCs w:val="20"/>
    </w:rPr>
  </w:style>
  <w:style w:type="paragraph" w:customStyle="1" w:styleId="12">
    <w:name w:val="Στυλ1"/>
    <w:basedOn w:val="a"/>
    <w:rsid w:val="004F40E8"/>
    <w:pPr>
      <w:spacing w:before="120"/>
      <w:ind w:firstLine="567"/>
    </w:pPr>
    <w:rPr>
      <w:szCs w:val="20"/>
    </w:rPr>
  </w:style>
  <w:style w:type="paragraph" w:styleId="31">
    <w:name w:val="Body Text Indent 3"/>
    <w:basedOn w:val="a"/>
    <w:link w:val="3Char1"/>
    <w:rsid w:val="004F40E8"/>
    <w:pPr>
      <w:tabs>
        <w:tab w:val="num" w:pos="652"/>
      </w:tabs>
      <w:ind w:left="652" w:hanging="652"/>
    </w:pPr>
    <w:rPr>
      <w:sz w:val="22"/>
      <w:szCs w:val="20"/>
    </w:rPr>
  </w:style>
  <w:style w:type="character" w:customStyle="1" w:styleId="3Char1">
    <w:name w:val="Σώμα κείμενου με εσοχή 3 Char"/>
    <w:link w:val="31"/>
    <w:rsid w:val="004F40E8"/>
    <w:rPr>
      <w:sz w:val="22"/>
    </w:rPr>
  </w:style>
  <w:style w:type="character" w:customStyle="1" w:styleId="Charc">
    <w:name w:val="Πίνακας εικόνων Char"/>
    <w:basedOn w:val="a0"/>
    <w:link w:val="af8"/>
    <w:uiPriority w:val="99"/>
    <w:rsid w:val="000A1E26"/>
    <w:rPr>
      <w:rFonts w:ascii="Arial" w:hAnsi="Arial"/>
      <w:iCs/>
      <w:noProof/>
      <w:color w:val="404040" w:themeColor="text1" w:themeTint="BF"/>
      <w:sz w:val="18"/>
      <w:szCs w:val="24"/>
    </w:rPr>
  </w:style>
  <w:style w:type="paragraph" w:customStyle="1" w:styleId="CharCharCharChar">
    <w:name w:val="Char Char Char Char"/>
    <w:basedOn w:val="a"/>
    <w:rsid w:val="004F40E8"/>
    <w:pPr>
      <w:spacing w:after="160" w:line="240" w:lineRule="exact"/>
    </w:pPr>
    <w:rPr>
      <w:rFonts w:ascii="Verdana" w:hAnsi="Verdana"/>
      <w:szCs w:val="20"/>
      <w:lang w:val="en-US" w:eastAsia="en-US"/>
    </w:rPr>
  </w:style>
  <w:style w:type="character" w:styleId="af9">
    <w:name w:val="Strong"/>
    <w:uiPriority w:val="22"/>
    <w:qFormat/>
    <w:rsid w:val="004F40E8"/>
    <w:rPr>
      <w:b/>
      <w:bCs/>
    </w:rPr>
  </w:style>
  <w:style w:type="paragraph" w:customStyle="1" w:styleId="Default">
    <w:name w:val="Default"/>
    <w:rsid w:val="004F40E8"/>
    <w:pPr>
      <w:autoSpaceDE w:val="0"/>
      <w:autoSpaceDN w:val="0"/>
      <w:adjustRightInd w:val="0"/>
    </w:pPr>
    <w:rPr>
      <w:rFonts w:eastAsia="Calibri"/>
      <w:color w:val="000000"/>
      <w:sz w:val="24"/>
      <w:szCs w:val="24"/>
      <w:lang w:eastAsia="en-US"/>
    </w:rPr>
  </w:style>
  <w:style w:type="paragraph" w:styleId="-HTML">
    <w:name w:val="HTML Preformatted"/>
    <w:basedOn w:val="a"/>
    <w:link w:val="-HTMLChar"/>
    <w:uiPriority w:val="99"/>
    <w:unhideWhenUsed/>
    <w:rsid w:val="004F4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Cs w:val="20"/>
    </w:rPr>
  </w:style>
  <w:style w:type="character" w:customStyle="1" w:styleId="-HTMLChar">
    <w:name w:val="Προ-διαμορφωμένο HTML Char"/>
    <w:link w:val="-HTML"/>
    <w:uiPriority w:val="99"/>
    <w:rsid w:val="004F40E8"/>
    <w:rPr>
      <w:rFonts w:ascii="Courier New" w:hAnsi="Courier New" w:cs="Courier New"/>
    </w:rPr>
  </w:style>
  <w:style w:type="paragraph" w:customStyle="1" w:styleId="afa">
    <w:name w:val="Διαγράμματα πίνακας εικόνων"/>
    <w:basedOn w:val="a"/>
    <w:next w:val="a"/>
    <w:autoRedefine/>
    <w:qFormat/>
    <w:rsid w:val="00525AC9"/>
    <w:pPr>
      <w:tabs>
        <w:tab w:val="left" w:pos="1559"/>
        <w:tab w:val="right" w:pos="9072"/>
      </w:tabs>
      <w:spacing w:before="20" w:after="20" w:line="276" w:lineRule="auto"/>
      <w:ind w:left="1559" w:hanging="1559"/>
      <w:jc w:val="left"/>
    </w:pPr>
    <w:rPr>
      <w:noProof/>
      <w:sz w:val="18"/>
      <w:szCs w:val="18"/>
    </w:rPr>
  </w:style>
  <w:style w:type="paragraph" w:customStyle="1" w:styleId="font5">
    <w:name w:val="font5"/>
    <w:basedOn w:val="a"/>
    <w:rsid w:val="004F40E8"/>
    <w:pPr>
      <w:spacing w:before="100" w:beforeAutospacing="1" w:after="100" w:afterAutospacing="1"/>
    </w:pPr>
    <w:rPr>
      <w:rFonts w:ascii="Tahoma" w:hAnsi="Tahoma" w:cs="Tahoma"/>
      <w:b/>
      <w:bCs/>
      <w:color w:val="000000"/>
      <w:sz w:val="18"/>
      <w:szCs w:val="18"/>
    </w:rPr>
  </w:style>
  <w:style w:type="paragraph" w:customStyle="1" w:styleId="font6">
    <w:name w:val="font6"/>
    <w:basedOn w:val="a"/>
    <w:rsid w:val="004F40E8"/>
    <w:pPr>
      <w:spacing w:before="100" w:beforeAutospacing="1" w:after="100" w:afterAutospacing="1"/>
    </w:pPr>
    <w:rPr>
      <w:rFonts w:ascii="Tahoma" w:hAnsi="Tahoma" w:cs="Tahoma"/>
      <w:color w:val="000000"/>
      <w:sz w:val="18"/>
      <w:szCs w:val="18"/>
    </w:rPr>
  </w:style>
  <w:style w:type="paragraph" w:customStyle="1" w:styleId="font7">
    <w:name w:val="font7"/>
    <w:basedOn w:val="a"/>
    <w:rsid w:val="004F40E8"/>
    <w:pPr>
      <w:spacing w:before="100" w:beforeAutospacing="1" w:after="100" w:afterAutospacing="1"/>
    </w:pPr>
    <w:rPr>
      <w:rFonts w:ascii="Segoe UI" w:hAnsi="Segoe UI" w:cs="Segoe UI"/>
      <w:b/>
      <w:bCs/>
      <w:i/>
      <w:iCs/>
      <w:sz w:val="16"/>
      <w:szCs w:val="16"/>
    </w:rPr>
  </w:style>
  <w:style w:type="paragraph" w:customStyle="1" w:styleId="xl52827">
    <w:name w:val="xl52827"/>
    <w:basedOn w:val="a"/>
    <w:rsid w:val="004F40E8"/>
    <w:pPr>
      <w:spacing w:before="100" w:beforeAutospacing="1" w:after="100" w:afterAutospacing="1"/>
      <w:textAlignment w:val="center"/>
    </w:pPr>
    <w:rPr>
      <w:rFonts w:ascii="Segoe UI" w:hAnsi="Segoe UI" w:cs="Segoe UI"/>
      <w:sz w:val="16"/>
      <w:szCs w:val="16"/>
    </w:rPr>
  </w:style>
  <w:style w:type="paragraph" w:customStyle="1" w:styleId="xl52828">
    <w:name w:val="xl52828"/>
    <w:basedOn w:val="a"/>
    <w:rsid w:val="004F40E8"/>
    <w:pPr>
      <w:shd w:val="clear" w:color="000000" w:fill="BFBFBF"/>
      <w:spacing w:before="100" w:beforeAutospacing="1" w:after="100" w:afterAutospacing="1"/>
      <w:textAlignment w:val="center"/>
    </w:pPr>
    <w:rPr>
      <w:rFonts w:ascii="Segoe UI" w:hAnsi="Segoe UI" w:cs="Segoe UI"/>
      <w:sz w:val="16"/>
      <w:szCs w:val="16"/>
    </w:rPr>
  </w:style>
  <w:style w:type="paragraph" w:customStyle="1" w:styleId="xl52829">
    <w:name w:val="xl52829"/>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30">
    <w:name w:val="xl52830"/>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31">
    <w:name w:val="xl52831"/>
    <w:basedOn w:val="a"/>
    <w:rsid w:val="004F40E8"/>
    <w:pPr>
      <w:spacing w:before="100" w:beforeAutospacing="1" w:after="100" w:afterAutospacing="1"/>
      <w:textAlignment w:val="center"/>
    </w:pPr>
    <w:rPr>
      <w:rFonts w:ascii="Segoe UI" w:hAnsi="Segoe UI" w:cs="Segoe UI"/>
      <w:b/>
      <w:bCs/>
      <w:sz w:val="16"/>
      <w:szCs w:val="16"/>
    </w:rPr>
  </w:style>
  <w:style w:type="paragraph" w:customStyle="1" w:styleId="xl52832">
    <w:name w:val="xl52832"/>
    <w:basedOn w:val="a"/>
    <w:rsid w:val="004F40E8"/>
    <w:pPr>
      <w:shd w:val="clear" w:color="000000" w:fill="BFBFBF"/>
      <w:spacing w:before="100" w:beforeAutospacing="1" w:after="100" w:afterAutospacing="1"/>
      <w:textAlignment w:val="center"/>
    </w:pPr>
    <w:rPr>
      <w:rFonts w:ascii="Segoe UI" w:hAnsi="Segoe UI" w:cs="Segoe UI"/>
      <w:b/>
      <w:bCs/>
      <w:sz w:val="16"/>
      <w:szCs w:val="16"/>
    </w:rPr>
  </w:style>
  <w:style w:type="paragraph" w:customStyle="1" w:styleId="xl52833">
    <w:name w:val="xl52833"/>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34">
    <w:name w:val="xl52834"/>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35">
    <w:name w:val="xl52835"/>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36">
    <w:name w:val="xl52836"/>
    <w:basedOn w:val="a"/>
    <w:rsid w:val="004F40E8"/>
    <w:pPr>
      <w:spacing w:before="100" w:beforeAutospacing="1" w:after="100" w:afterAutospacing="1"/>
      <w:textAlignment w:val="center"/>
    </w:pPr>
    <w:rPr>
      <w:rFonts w:ascii="Segoe UI" w:hAnsi="Segoe UI" w:cs="Segoe UI"/>
      <w:color w:val="C00000"/>
      <w:sz w:val="16"/>
      <w:szCs w:val="16"/>
    </w:rPr>
  </w:style>
  <w:style w:type="paragraph" w:customStyle="1" w:styleId="xl52837">
    <w:name w:val="xl52837"/>
    <w:basedOn w:val="a"/>
    <w:rsid w:val="004F40E8"/>
    <w:pPr>
      <w:pBdr>
        <w:left w:val="single" w:sz="4" w:space="0" w:color="auto"/>
        <w:righ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838">
    <w:name w:val="xl52838"/>
    <w:basedOn w:val="a"/>
    <w:rsid w:val="004F40E8"/>
    <w:pPr>
      <w:pBdr>
        <w:left w:val="single" w:sz="4" w:space="0" w:color="auto"/>
        <w:right w:val="single" w:sz="8"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839">
    <w:name w:val="xl52839"/>
    <w:basedOn w:val="a"/>
    <w:rsid w:val="004F40E8"/>
    <w:pPr>
      <w:shd w:val="clear" w:color="000000" w:fill="FFFFFF"/>
      <w:spacing w:before="100" w:beforeAutospacing="1" w:after="100" w:afterAutospacing="1"/>
      <w:textAlignment w:val="center"/>
    </w:pPr>
    <w:rPr>
      <w:rFonts w:ascii="Segoe UI" w:hAnsi="Segoe UI" w:cs="Segoe UI"/>
      <w:b/>
      <w:bCs/>
      <w:sz w:val="16"/>
      <w:szCs w:val="16"/>
    </w:rPr>
  </w:style>
  <w:style w:type="paragraph" w:customStyle="1" w:styleId="xl52840">
    <w:name w:val="xl52840"/>
    <w:basedOn w:val="a"/>
    <w:rsid w:val="004F40E8"/>
    <w:pPr>
      <w:spacing w:before="100" w:beforeAutospacing="1" w:after="100" w:afterAutospacing="1"/>
      <w:textAlignment w:val="center"/>
    </w:pPr>
    <w:rPr>
      <w:rFonts w:ascii="Segoe UI" w:hAnsi="Segoe UI" w:cs="Segoe UI"/>
      <w:sz w:val="16"/>
      <w:szCs w:val="16"/>
    </w:rPr>
  </w:style>
  <w:style w:type="paragraph" w:customStyle="1" w:styleId="xl52841">
    <w:name w:val="xl52841"/>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42">
    <w:name w:val="xl52842"/>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43">
    <w:name w:val="xl52843"/>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44">
    <w:name w:val="xl52844"/>
    <w:basedOn w:val="a"/>
    <w:rsid w:val="004F40E8"/>
    <w:pPr>
      <w:spacing w:before="100" w:beforeAutospacing="1" w:after="100" w:afterAutospacing="1"/>
      <w:jc w:val="center"/>
      <w:textAlignment w:val="center"/>
    </w:pPr>
    <w:rPr>
      <w:rFonts w:ascii="Segoe UI" w:hAnsi="Segoe UI" w:cs="Segoe UI"/>
      <w:sz w:val="16"/>
      <w:szCs w:val="16"/>
    </w:rPr>
  </w:style>
  <w:style w:type="paragraph" w:customStyle="1" w:styleId="xl52845">
    <w:name w:val="xl52845"/>
    <w:basedOn w:val="a"/>
    <w:rsid w:val="004F40E8"/>
    <w:pPr>
      <w:pBdr>
        <w:left w:val="single" w:sz="4" w:space="0" w:color="auto"/>
        <w:right w:val="single" w:sz="4" w:space="0" w:color="auto"/>
      </w:pBdr>
      <w:spacing w:before="100" w:beforeAutospacing="1" w:after="100" w:afterAutospacing="1"/>
      <w:jc w:val="center"/>
    </w:pPr>
    <w:rPr>
      <w:rFonts w:ascii="Segoe UI" w:hAnsi="Segoe UI" w:cs="Segoe UI"/>
      <w:sz w:val="16"/>
      <w:szCs w:val="16"/>
    </w:rPr>
  </w:style>
  <w:style w:type="paragraph" w:customStyle="1" w:styleId="xl52846">
    <w:name w:val="xl52846"/>
    <w:basedOn w:val="a"/>
    <w:rsid w:val="004F40E8"/>
    <w:pPr>
      <w:pBdr>
        <w:left w:val="single" w:sz="4" w:space="0" w:color="auto"/>
        <w:right w:val="single" w:sz="8" w:space="0" w:color="auto"/>
      </w:pBdr>
      <w:spacing w:before="100" w:beforeAutospacing="1" w:after="100" w:afterAutospacing="1"/>
      <w:jc w:val="center"/>
    </w:pPr>
    <w:rPr>
      <w:rFonts w:ascii="Segoe UI" w:hAnsi="Segoe UI" w:cs="Segoe UI"/>
      <w:sz w:val="16"/>
      <w:szCs w:val="16"/>
    </w:rPr>
  </w:style>
  <w:style w:type="paragraph" w:customStyle="1" w:styleId="xl52847">
    <w:name w:val="xl52847"/>
    <w:basedOn w:val="a"/>
    <w:rsid w:val="004F40E8"/>
    <w:pPr>
      <w:pBdr>
        <w:left w:val="single" w:sz="4" w:space="0" w:color="auto"/>
        <w:right w:val="single" w:sz="4" w:space="0" w:color="auto"/>
      </w:pBdr>
      <w:spacing w:before="100" w:beforeAutospacing="1" w:after="100" w:afterAutospacing="1"/>
      <w:jc w:val="center"/>
    </w:pPr>
    <w:rPr>
      <w:rFonts w:ascii="Segoe UI" w:hAnsi="Segoe UI" w:cs="Segoe UI"/>
      <w:b/>
      <w:bCs/>
      <w:sz w:val="16"/>
      <w:szCs w:val="16"/>
    </w:rPr>
  </w:style>
  <w:style w:type="paragraph" w:customStyle="1" w:styleId="xl52848">
    <w:name w:val="xl52848"/>
    <w:basedOn w:val="a"/>
    <w:rsid w:val="004F40E8"/>
    <w:pPr>
      <w:pBdr>
        <w:left w:val="single" w:sz="4" w:space="0" w:color="auto"/>
        <w:right w:val="single" w:sz="8" w:space="0" w:color="auto"/>
      </w:pBdr>
      <w:spacing w:before="100" w:beforeAutospacing="1" w:after="100" w:afterAutospacing="1"/>
      <w:jc w:val="center"/>
    </w:pPr>
    <w:rPr>
      <w:rFonts w:ascii="Segoe UI" w:hAnsi="Segoe UI" w:cs="Segoe UI"/>
      <w:b/>
      <w:bCs/>
      <w:sz w:val="16"/>
      <w:szCs w:val="16"/>
    </w:rPr>
  </w:style>
  <w:style w:type="paragraph" w:customStyle="1" w:styleId="xl52849">
    <w:name w:val="xl52849"/>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0">
    <w:name w:val="xl52850"/>
    <w:basedOn w:val="a"/>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1">
    <w:name w:val="xl52851"/>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2">
    <w:name w:val="xl52852"/>
    <w:basedOn w:val="a"/>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53">
    <w:name w:val="xl52853"/>
    <w:basedOn w:val="a"/>
    <w:rsid w:val="004F40E8"/>
    <w:pPr>
      <w:pBdr>
        <w:lef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54">
    <w:name w:val="xl52854"/>
    <w:basedOn w:val="a"/>
    <w:rsid w:val="004F40E8"/>
    <w:pPr>
      <w:pBdr>
        <w:lef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55">
    <w:name w:val="xl52855"/>
    <w:basedOn w:val="a"/>
    <w:rsid w:val="004F40E8"/>
    <w:pPr>
      <w:pBdr>
        <w:left w:val="single" w:sz="4" w:space="0" w:color="auto"/>
      </w:pBdr>
      <w:spacing w:before="100" w:beforeAutospacing="1" w:after="100" w:afterAutospacing="1"/>
      <w:jc w:val="center"/>
    </w:pPr>
    <w:rPr>
      <w:rFonts w:ascii="Segoe UI" w:hAnsi="Segoe UI" w:cs="Segoe UI"/>
      <w:sz w:val="16"/>
      <w:szCs w:val="16"/>
    </w:rPr>
  </w:style>
  <w:style w:type="paragraph" w:customStyle="1" w:styleId="xl52856">
    <w:name w:val="xl52856"/>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857">
    <w:name w:val="xl52857"/>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858">
    <w:name w:val="xl52858"/>
    <w:basedOn w:val="a"/>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859">
    <w:name w:val="xl52859"/>
    <w:basedOn w:val="a"/>
    <w:rsid w:val="004F40E8"/>
    <w:pPr>
      <w:shd w:val="clear" w:color="000000" w:fill="A5A5A5"/>
      <w:spacing w:before="100" w:beforeAutospacing="1" w:after="100" w:afterAutospacing="1"/>
      <w:textAlignment w:val="center"/>
    </w:pPr>
    <w:rPr>
      <w:rFonts w:ascii="Segoe UI" w:hAnsi="Segoe UI" w:cs="Segoe UI"/>
      <w:sz w:val="16"/>
      <w:szCs w:val="16"/>
    </w:rPr>
  </w:style>
  <w:style w:type="paragraph" w:customStyle="1" w:styleId="xl52860">
    <w:name w:val="xl52860"/>
    <w:basedOn w:val="a"/>
    <w:rsid w:val="004F40E8"/>
    <w:pP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61">
    <w:name w:val="xl52861"/>
    <w:basedOn w:val="a"/>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2">
    <w:name w:val="xl52862"/>
    <w:basedOn w:val="a"/>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3">
    <w:name w:val="xl52863"/>
    <w:basedOn w:val="a"/>
    <w:rsid w:val="004F40E8"/>
    <w:pP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64">
    <w:name w:val="xl52864"/>
    <w:basedOn w:val="a"/>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5">
    <w:name w:val="xl52865"/>
    <w:basedOn w:val="a"/>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6">
    <w:name w:val="xl52866"/>
    <w:basedOn w:val="a"/>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7">
    <w:name w:val="xl52867"/>
    <w:basedOn w:val="a"/>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8">
    <w:name w:val="xl52868"/>
    <w:basedOn w:val="a"/>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69">
    <w:name w:val="xl52869"/>
    <w:basedOn w:val="a"/>
    <w:rsid w:val="004F40E8"/>
    <w:pPr>
      <w:shd w:val="clear" w:color="000000" w:fill="A5A5A5"/>
      <w:spacing w:before="100" w:beforeAutospacing="1" w:after="100" w:afterAutospacing="1"/>
      <w:textAlignment w:val="center"/>
    </w:pPr>
    <w:rPr>
      <w:rFonts w:ascii="Segoe UI" w:hAnsi="Segoe UI" w:cs="Segoe UI"/>
      <w:color w:val="C00000"/>
      <w:sz w:val="16"/>
      <w:szCs w:val="16"/>
    </w:rPr>
  </w:style>
  <w:style w:type="paragraph" w:customStyle="1" w:styleId="xl52870">
    <w:name w:val="xl52870"/>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871">
    <w:name w:val="xl52871"/>
    <w:basedOn w:val="a"/>
    <w:rsid w:val="004F40E8"/>
    <w:pPr>
      <w:pBdr>
        <w:left w:val="single" w:sz="8" w:space="0" w:color="auto"/>
      </w:pBdr>
      <w:spacing w:before="100" w:beforeAutospacing="1" w:after="100" w:afterAutospacing="1"/>
      <w:textAlignment w:val="center"/>
    </w:pPr>
    <w:rPr>
      <w:rFonts w:ascii="Segoe UI" w:hAnsi="Segoe UI" w:cs="Segoe UI"/>
      <w:b/>
      <w:bCs/>
      <w:sz w:val="16"/>
      <w:szCs w:val="16"/>
    </w:rPr>
  </w:style>
  <w:style w:type="paragraph" w:customStyle="1" w:styleId="xl52872">
    <w:name w:val="xl52872"/>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73">
    <w:name w:val="xl52873"/>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74">
    <w:name w:val="xl52874"/>
    <w:basedOn w:val="a"/>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75">
    <w:name w:val="xl52875"/>
    <w:basedOn w:val="a"/>
    <w:rsid w:val="004F40E8"/>
    <w:pPr>
      <w:pBdr>
        <w:left w:val="single" w:sz="8" w:space="0" w:color="auto"/>
      </w:pBdr>
      <w:shd w:val="clear" w:color="000000" w:fill="FFFFFF"/>
      <w:spacing w:before="100" w:beforeAutospacing="1" w:after="100" w:afterAutospacing="1"/>
      <w:textAlignment w:val="center"/>
    </w:pPr>
    <w:rPr>
      <w:rFonts w:ascii="Segoe UI" w:hAnsi="Segoe UI" w:cs="Segoe UI"/>
      <w:b/>
      <w:bCs/>
      <w:sz w:val="16"/>
      <w:szCs w:val="16"/>
    </w:rPr>
  </w:style>
  <w:style w:type="paragraph" w:customStyle="1" w:styleId="xl52876">
    <w:name w:val="xl52876"/>
    <w:basedOn w:val="a"/>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77">
    <w:name w:val="xl52877"/>
    <w:basedOn w:val="a"/>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78">
    <w:name w:val="xl52878"/>
    <w:basedOn w:val="a"/>
    <w:rsid w:val="004F40E8"/>
    <w:pPr>
      <w:pBdr>
        <w:left w:val="single" w:sz="8" w:space="0" w:color="auto"/>
      </w:pBdr>
      <w:shd w:val="clear" w:color="000000" w:fill="FFFFFF"/>
      <w:spacing w:before="100" w:beforeAutospacing="1" w:after="100" w:afterAutospacing="1"/>
      <w:textAlignment w:val="center"/>
    </w:pPr>
    <w:rPr>
      <w:rFonts w:ascii="Segoe UI" w:hAnsi="Segoe UI" w:cs="Segoe UI"/>
      <w:sz w:val="16"/>
      <w:szCs w:val="16"/>
    </w:rPr>
  </w:style>
  <w:style w:type="paragraph" w:customStyle="1" w:styleId="xl52879">
    <w:name w:val="xl52879"/>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2880">
    <w:name w:val="xl52880"/>
    <w:basedOn w:val="a"/>
    <w:rsid w:val="004F40E8"/>
    <w:pPr>
      <w:pBdr>
        <w:left w:val="single" w:sz="8" w:space="0" w:color="auto"/>
      </w:pBdr>
      <w:spacing w:before="100" w:beforeAutospacing="1" w:after="100" w:afterAutospacing="1"/>
      <w:textAlignment w:val="center"/>
    </w:pPr>
    <w:rPr>
      <w:rFonts w:ascii="Segoe UI" w:hAnsi="Segoe UI" w:cs="Segoe UI"/>
      <w:b/>
      <w:bCs/>
      <w:sz w:val="16"/>
      <w:szCs w:val="16"/>
    </w:rPr>
  </w:style>
  <w:style w:type="paragraph" w:customStyle="1" w:styleId="xl52881">
    <w:name w:val="xl52881"/>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i/>
      <w:iCs/>
      <w:sz w:val="16"/>
      <w:szCs w:val="16"/>
    </w:rPr>
  </w:style>
  <w:style w:type="paragraph" w:customStyle="1" w:styleId="xl52882">
    <w:name w:val="xl52882"/>
    <w:basedOn w:val="a"/>
    <w:rsid w:val="004F40E8"/>
    <w:pPr>
      <w:pBdr>
        <w:left w:val="single" w:sz="8" w:space="0" w:color="auto"/>
      </w:pBdr>
      <w:spacing w:before="100" w:beforeAutospacing="1" w:after="100" w:afterAutospacing="1"/>
    </w:pPr>
    <w:rPr>
      <w:rFonts w:ascii="Segoe UI" w:hAnsi="Segoe UI" w:cs="Segoe UI"/>
      <w:sz w:val="16"/>
      <w:szCs w:val="16"/>
    </w:rPr>
  </w:style>
  <w:style w:type="paragraph" w:customStyle="1" w:styleId="xl52883">
    <w:name w:val="xl52883"/>
    <w:basedOn w:val="a"/>
    <w:rsid w:val="004F40E8"/>
    <w:pPr>
      <w:pBdr>
        <w:left w:val="single" w:sz="8" w:space="0" w:color="auto"/>
      </w:pBdr>
      <w:spacing w:before="100" w:beforeAutospacing="1" w:after="100" w:afterAutospacing="1"/>
    </w:pPr>
    <w:rPr>
      <w:rFonts w:ascii="Segoe UI" w:hAnsi="Segoe UI" w:cs="Segoe UI"/>
      <w:b/>
      <w:bCs/>
      <w:sz w:val="16"/>
      <w:szCs w:val="16"/>
    </w:rPr>
  </w:style>
  <w:style w:type="paragraph" w:customStyle="1" w:styleId="xl52884">
    <w:name w:val="xl52884"/>
    <w:basedOn w:val="a"/>
    <w:rsid w:val="004F40E8"/>
    <w:pPr>
      <w:pBdr>
        <w:left w:val="single" w:sz="8" w:space="0" w:color="auto"/>
      </w:pBdr>
      <w:spacing w:before="100" w:beforeAutospacing="1" w:after="100" w:afterAutospacing="1"/>
    </w:pPr>
    <w:rPr>
      <w:rFonts w:ascii="Segoe UI" w:hAnsi="Segoe UI" w:cs="Segoe UI"/>
      <w:sz w:val="16"/>
      <w:szCs w:val="16"/>
    </w:rPr>
  </w:style>
  <w:style w:type="paragraph" w:customStyle="1" w:styleId="xl52885">
    <w:name w:val="xl52885"/>
    <w:basedOn w:val="a"/>
    <w:rsid w:val="004F40E8"/>
    <w:pPr>
      <w:pBdr>
        <w:left w:val="single" w:sz="8" w:space="0" w:color="auto"/>
      </w:pBdr>
      <w:shd w:val="clear" w:color="000000" w:fill="FFFFFF"/>
      <w:spacing w:before="100" w:beforeAutospacing="1" w:after="100" w:afterAutospacing="1"/>
    </w:pPr>
    <w:rPr>
      <w:rFonts w:ascii="Segoe UI" w:hAnsi="Segoe UI" w:cs="Segoe UI"/>
      <w:b/>
      <w:bCs/>
      <w:i/>
      <w:iCs/>
      <w:sz w:val="16"/>
      <w:szCs w:val="16"/>
    </w:rPr>
  </w:style>
  <w:style w:type="paragraph" w:customStyle="1" w:styleId="xl52886">
    <w:name w:val="xl52886"/>
    <w:basedOn w:val="a"/>
    <w:rsid w:val="004F40E8"/>
    <w:pPr>
      <w:pBdr>
        <w:left w:val="single" w:sz="8" w:space="0" w:color="auto"/>
      </w:pBdr>
      <w:shd w:val="clear" w:color="000000" w:fill="FFFFFF"/>
      <w:spacing w:before="100" w:beforeAutospacing="1" w:after="100" w:afterAutospacing="1"/>
    </w:pPr>
    <w:rPr>
      <w:rFonts w:ascii="Segoe UI" w:hAnsi="Segoe UI" w:cs="Segoe UI"/>
      <w:b/>
      <w:bCs/>
      <w:sz w:val="16"/>
      <w:szCs w:val="16"/>
    </w:rPr>
  </w:style>
  <w:style w:type="paragraph" w:customStyle="1" w:styleId="xl52887">
    <w:name w:val="xl52887"/>
    <w:basedOn w:val="a"/>
    <w:rsid w:val="004F40E8"/>
    <w:pPr>
      <w:pBdr>
        <w:left w:val="single" w:sz="8" w:space="0" w:color="auto"/>
      </w:pBdr>
      <w:spacing w:before="100" w:beforeAutospacing="1" w:after="100" w:afterAutospacing="1"/>
      <w:textAlignment w:val="center"/>
    </w:pPr>
    <w:rPr>
      <w:rFonts w:ascii="Segoe UI" w:hAnsi="Segoe UI" w:cs="Segoe UI"/>
      <w:sz w:val="16"/>
      <w:szCs w:val="16"/>
    </w:rPr>
  </w:style>
  <w:style w:type="paragraph" w:customStyle="1" w:styleId="xl52888">
    <w:name w:val="xl52888"/>
    <w:basedOn w:val="a"/>
    <w:rsid w:val="004F40E8"/>
    <w:pPr>
      <w:pBdr>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89">
    <w:name w:val="xl52889"/>
    <w:basedOn w:val="a"/>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90">
    <w:name w:val="xl52890"/>
    <w:basedOn w:val="a"/>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91">
    <w:name w:val="xl52891"/>
    <w:basedOn w:val="a"/>
    <w:rsid w:val="004F40E8"/>
    <w:pPr>
      <w:pBdr>
        <w:righ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892">
    <w:name w:val="xl52892"/>
    <w:basedOn w:val="a"/>
    <w:rsid w:val="004F40E8"/>
    <w:pPr>
      <w:pBdr>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893">
    <w:name w:val="xl52893"/>
    <w:basedOn w:val="a"/>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894">
    <w:name w:val="xl52894"/>
    <w:basedOn w:val="a"/>
    <w:rsid w:val="004F40E8"/>
    <w:pPr>
      <w:pBdr>
        <w:righ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895">
    <w:name w:val="xl52895"/>
    <w:basedOn w:val="a"/>
    <w:rsid w:val="004F40E8"/>
    <w:pPr>
      <w:pBdr>
        <w:righ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896">
    <w:name w:val="xl52896"/>
    <w:basedOn w:val="a"/>
    <w:rsid w:val="004F40E8"/>
    <w:pPr>
      <w:pBdr>
        <w:right w:val="single" w:sz="4" w:space="0" w:color="auto"/>
      </w:pBdr>
      <w:spacing w:before="100" w:beforeAutospacing="1" w:after="100" w:afterAutospacing="1"/>
      <w:jc w:val="center"/>
    </w:pPr>
    <w:rPr>
      <w:rFonts w:ascii="Segoe UI" w:hAnsi="Segoe UI" w:cs="Segoe UI"/>
      <w:sz w:val="16"/>
      <w:szCs w:val="16"/>
    </w:rPr>
  </w:style>
  <w:style w:type="paragraph" w:customStyle="1" w:styleId="xl52897">
    <w:name w:val="xl52897"/>
    <w:basedOn w:val="a"/>
    <w:rsid w:val="004F40E8"/>
    <w:pPr>
      <w:pBdr>
        <w:right w:val="single" w:sz="4" w:space="0" w:color="auto"/>
      </w:pBdr>
      <w:spacing w:before="100" w:beforeAutospacing="1" w:after="100" w:afterAutospacing="1"/>
      <w:jc w:val="center"/>
    </w:pPr>
    <w:rPr>
      <w:rFonts w:ascii="Segoe UI" w:hAnsi="Segoe UI" w:cs="Segoe UI"/>
      <w:b/>
      <w:bCs/>
      <w:sz w:val="16"/>
      <w:szCs w:val="16"/>
    </w:rPr>
  </w:style>
  <w:style w:type="paragraph" w:customStyle="1" w:styleId="xl52898">
    <w:name w:val="xl52898"/>
    <w:basedOn w:val="a"/>
    <w:rsid w:val="004F40E8"/>
    <w:pPr>
      <w:pBdr>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899">
    <w:name w:val="xl52899"/>
    <w:basedOn w:val="a"/>
    <w:rsid w:val="004F40E8"/>
    <w:pPr>
      <w:pBdr>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00">
    <w:name w:val="xl52900"/>
    <w:basedOn w:val="a"/>
    <w:rsid w:val="004F40E8"/>
    <w:pPr>
      <w:pBdr>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01">
    <w:name w:val="xl52901"/>
    <w:basedOn w:val="a"/>
    <w:rsid w:val="004F40E8"/>
    <w:pPr>
      <w:pBdr>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02">
    <w:name w:val="xl52902"/>
    <w:basedOn w:val="a"/>
    <w:rsid w:val="004F40E8"/>
    <w:pPr>
      <w:pBdr>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03">
    <w:name w:val="xl52903"/>
    <w:basedOn w:val="a"/>
    <w:rsid w:val="004F40E8"/>
    <w:pPr>
      <w:pBdr>
        <w:lef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04">
    <w:name w:val="xl52904"/>
    <w:basedOn w:val="a"/>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05">
    <w:name w:val="xl52905"/>
    <w:basedOn w:val="a"/>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06">
    <w:name w:val="xl52906"/>
    <w:basedOn w:val="a"/>
    <w:rsid w:val="004F40E8"/>
    <w:pPr>
      <w:pBdr>
        <w:left w:val="single" w:sz="8"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907">
    <w:name w:val="xl52907"/>
    <w:basedOn w:val="a"/>
    <w:rsid w:val="004F40E8"/>
    <w:pPr>
      <w:pBdr>
        <w:lef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08">
    <w:name w:val="xl52908"/>
    <w:basedOn w:val="a"/>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09">
    <w:name w:val="xl52909"/>
    <w:basedOn w:val="a"/>
    <w:rsid w:val="004F40E8"/>
    <w:pPr>
      <w:pBdr>
        <w:left w:val="single" w:sz="8"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10">
    <w:name w:val="xl52910"/>
    <w:basedOn w:val="a"/>
    <w:rsid w:val="004F40E8"/>
    <w:pPr>
      <w:pBdr>
        <w:lef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11">
    <w:name w:val="xl52911"/>
    <w:basedOn w:val="a"/>
    <w:rsid w:val="004F40E8"/>
    <w:pPr>
      <w:pBdr>
        <w:left w:val="single" w:sz="8" w:space="0" w:color="auto"/>
      </w:pBdr>
      <w:spacing w:before="100" w:beforeAutospacing="1" w:after="100" w:afterAutospacing="1"/>
      <w:jc w:val="center"/>
    </w:pPr>
    <w:rPr>
      <w:rFonts w:ascii="Segoe UI" w:hAnsi="Segoe UI" w:cs="Segoe UI"/>
      <w:sz w:val="16"/>
      <w:szCs w:val="16"/>
    </w:rPr>
  </w:style>
  <w:style w:type="paragraph" w:customStyle="1" w:styleId="xl52912">
    <w:name w:val="xl52912"/>
    <w:basedOn w:val="a"/>
    <w:rsid w:val="004F40E8"/>
    <w:pPr>
      <w:pBdr>
        <w:left w:val="single" w:sz="8" w:space="0" w:color="auto"/>
      </w:pBdr>
      <w:spacing w:before="100" w:beforeAutospacing="1" w:after="100" w:afterAutospacing="1"/>
      <w:jc w:val="center"/>
    </w:pPr>
    <w:rPr>
      <w:rFonts w:ascii="Segoe UI" w:hAnsi="Segoe UI" w:cs="Segoe UI"/>
      <w:b/>
      <w:bCs/>
      <w:sz w:val="16"/>
      <w:szCs w:val="16"/>
    </w:rPr>
  </w:style>
  <w:style w:type="paragraph" w:customStyle="1" w:styleId="xl52913">
    <w:name w:val="xl52913"/>
    <w:basedOn w:val="a"/>
    <w:rsid w:val="004F40E8"/>
    <w:pPr>
      <w:pBdr>
        <w:lef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14">
    <w:name w:val="xl52914"/>
    <w:basedOn w:val="a"/>
    <w:rsid w:val="004F40E8"/>
    <w:pPr>
      <w:pBdr>
        <w:lef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15">
    <w:name w:val="xl52915"/>
    <w:basedOn w:val="a"/>
    <w:rsid w:val="004F40E8"/>
    <w:pPr>
      <w:pBdr>
        <w:lef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16">
    <w:name w:val="xl52916"/>
    <w:basedOn w:val="a"/>
    <w:rsid w:val="004F40E8"/>
    <w:pPr>
      <w:pBdr>
        <w:lef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17">
    <w:name w:val="xl52917"/>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18">
    <w:name w:val="xl52918"/>
    <w:basedOn w:val="a"/>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19">
    <w:name w:val="xl52919"/>
    <w:basedOn w:val="a"/>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20">
    <w:name w:val="xl52920"/>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921">
    <w:name w:val="xl52921"/>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22">
    <w:name w:val="xl52922"/>
    <w:basedOn w:val="a"/>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23">
    <w:name w:val="xl52923"/>
    <w:basedOn w:val="a"/>
    <w:rsid w:val="004F40E8"/>
    <w:pPr>
      <w:pBdr>
        <w:left w:val="single" w:sz="8" w:space="0" w:color="auto"/>
        <w:righ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24">
    <w:name w:val="xl52924"/>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25">
    <w:name w:val="xl52925"/>
    <w:basedOn w:val="a"/>
    <w:rsid w:val="004F40E8"/>
    <w:pPr>
      <w:pBdr>
        <w:left w:val="single" w:sz="4" w:space="0" w:color="auto"/>
        <w:right w:val="single" w:sz="8"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26">
    <w:name w:val="xl52926"/>
    <w:basedOn w:val="a"/>
    <w:rsid w:val="004F40E8"/>
    <w:pPr>
      <w:pBdr>
        <w:left w:val="single" w:sz="8" w:space="0" w:color="auto"/>
        <w:right w:val="single" w:sz="4" w:space="0" w:color="auto"/>
      </w:pBdr>
      <w:spacing w:before="100" w:beforeAutospacing="1" w:after="100" w:afterAutospacing="1"/>
      <w:jc w:val="center"/>
    </w:pPr>
    <w:rPr>
      <w:rFonts w:ascii="Segoe UI" w:hAnsi="Segoe UI" w:cs="Segoe UI"/>
      <w:sz w:val="16"/>
      <w:szCs w:val="16"/>
    </w:rPr>
  </w:style>
  <w:style w:type="paragraph" w:customStyle="1" w:styleId="xl52927">
    <w:name w:val="xl52927"/>
    <w:basedOn w:val="a"/>
    <w:rsid w:val="004F40E8"/>
    <w:pPr>
      <w:pBdr>
        <w:left w:val="single" w:sz="8" w:space="0" w:color="auto"/>
        <w:right w:val="single" w:sz="4" w:space="0" w:color="auto"/>
      </w:pBdr>
      <w:spacing w:before="100" w:beforeAutospacing="1" w:after="100" w:afterAutospacing="1"/>
      <w:jc w:val="center"/>
    </w:pPr>
    <w:rPr>
      <w:rFonts w:ascii="Segoe UI" w:hAnsi="Segoe UI" w:cs="Segoe UI"/>
      <w:b/>
      <w:bCs/>
      <w:sz w:val="16"/>
      <w:szCs w:val="16"/>
    </w:rPr>
  </w:style>
  <w:style w:type="paragraph" w:customStyle="1" w:styleId="xl52928">
    <w:name w:val="xl52928"/>
    <w:basedOn w:val="a"/>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29">
    <w:name w:val="xl52929"/>
    <w:basedOn w:val="a"/>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30">
    <w:name w:val="xl52930"/>
    <w:basedOn w:val="a"/>
    <w:rsid w:val="004F40E8"/>
    <w:pPr>
      <w:pBdr>
        <w:left w:val="single" w:sz="4" w:space="0" w:color="auto"/>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31">
    <w:name w:val="xl52931"/>
    <w:basedOn w:val="a"/>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32">
    <w:name w:val="xl52932"/>
    <w:basedOn w:val="a"/>
    <w:rsid w:val="004F40E8"/>
    <w:pPr>
      <w:pBdr>
        <w:left w:val="single" w:sz="8" w:space="0" w:color="auto"/>
        <w:righ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33">
    <w:name w:val="xl52933"/>
    <w:basedOn w:val="a"/>
    <w:rsid w:val="004F40E8"/>
    <w:pPr>
      <w:pBdr>
        <w:left w:val="single" w:sz="8"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34">
    <w:name w:val="xl52934"/>
    <w:basedOn w:val="a"/>
    <w:rsid w:val="004F40E8"/>
    <w:pPr>
      <w:pBdr>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35">
    <w:name w:val="xl52935"/>
    <w:basedOn w:val="a"/>
    <w:rsid w:val="004F40E8"/>
    <w:pPr>
      <w:pBdr>
        <w:lef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36">
    <w:name w:val="xl52936"/>
    <w:basedOn w:val="a"/>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37">
    <w:name w:val="xl52937"/>
    <w:basedOn w:val="a"/>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38">
    <w:name w:val="xl52938"/>
    <w:basedOn w:val="a"/>
    <w:rsid w:val="004F40E8"/>
    <w:pPr>
      <w:pBdr>
        <w:left w:val="single" w:sz="4"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39">
    <w:name w:val="xl52939"/>
    <w:basedOn w:val="a"/>
    <w:rsid w:val="004F40E8"/>
    <w:pPr>
      <w:pBdr>
        <w:left w:val="single" w:sz="4"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40">
    <w:name w:val="xl52940"/>
    <w:basedOn w:val="a"/>
    <w:rsid w:val="004F40E8"/>
    <w:pPr>
      <w:pBdr>
        <w:left w:val="single" w:sz="4" w:space="0" w:color="auto"/>
      </w:pBdr>
      <w:spacing w:before="100" w:beforeAutospacing="1" w:after="100" w:afterAutospacing="1"/>
      <w:jc w:val="center"/>
    </w:pPr>
    <w:rPr>
      <w:rFonts w:ascii="Segoe UI" w:hAnsi="Segoe UI" w:cs="Segoe UI"/>
      <w:b/>
      <w:bCs/>
      <w:sz w:val="16"/>
      <w:szCs w:val="16"/>
    </w:rPr>
  </w:style>
  <w:style w:type="paragraph" w:customStyle="1" w:styleId="xl52941">
    <w:name w:val="xl52941"/>
    <w:basedOn w:val="a"/>
    <w:rsid w:val="004F40E8"/>
    <w:pPr>
      <w:pBdr>
        <w:lef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42">
    <w:name w:val="xl52942"/>
    <w:basedOn w:val="a"/>
    <w:rsid w:val="004F40E8"/>
    <w:pPr>
      <w:pBdr>
        <w:lef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43">
    <w:name w:val="xl52943"/>
    <w:basedOn w:val="a"/>
    <w:rsid w:val="004F40E8"/>
    <w:pPr>
      <w:pBdr>
        <w:left w:val="single" w:sz="4"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44">
    <w:name w:val="xl52944"/>
    <w:basedOn w:val="a"/>
    <w:rsid w:val="004F40E8"/>
    <w:pPr>
      <w:pBdr>
        <w:left w:val="single" w:sz="4"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45">
    <w:name w:val="xl52945"/>
    <w:basedOn w:val="a"/>
    <w:rsid w:val="004F40E8"/>
    <w:pPr>
      <w:pBdr>
        <w:lef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46">
    <w:name w:val="xl52946"/>
    <w:basedOn w:val="a"/>
    <w:rsid w:val="004F40E8"/>
    <w:pPr>
      <w:pBdr>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47">
    <w:name w:val="xl52947"/>
    <w:basedOn w:val="a"/>
    <w:rsid w:val="004F40E8"/>
    <w:pPr>
      <w:spacing w:before="100" w:beforeAutospacing="1" w:after="100" w:afterAutospacing="1"/>
      <w:jc w:val="center"/>
      <w:textAlignment w:val="center"/>
    </w:pPr>
    <w:rPr>
      <w:rFonts w:ascii="Segoe UI" w:hAnsi="Segoe UI" w:cs="Segoe UI"/>
      <w:sz w:val="16"/>
      <w:szCs w:val="16"/>
    </w:rPr>
  </w:style>
  <w:style w:type="paragraph" w:customStyle="1" w:styleId="xl52948">
    <w:name w:val="xl52948"/>
    <w:basedOn w:val="a"/>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49">
    <w:name w:val="xl52949"/>
    <w:basedOn w:val="a"/>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50">
    <w:name w:val="xl52950"/>
    <w:basedOn w:val="a"/>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51">
    <w:name w:val="xl52951"/>
    <w:basedOn w:val="a"/>
    <w:rsid w:val="004F40E8"/>
    <w:pPr>
      <w:pBdr>
        <w:right w:val="single" w:sz="8" w:space="0" w:color="auto"/>
      </w:pBd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52">
    <w:name w:val="xl52952"/>
    <w:basedOn w:val="a"/>
    <w:rsid w:val="004F40E8"/>
    <w:pPr>
      <w:pBdr>
        <w:right w:val="single" w:sz="8" w:space="0" w:color="auto"/>
      </w:pBdr>
      <w:spacing w:before="100" w:beforeAutospacing="1" w:after="100" w:afterAutospacing="1"/>
      <w:jc w:val="center"/>
      <w:textAlignment w:val="center"/>
    </w:pPr>
    <w:rPr>
      <w:rFonts w:ascii="Segoe UI" w:hAnsi="Segoe UI" w:cs="Segoe UI"/>
      <w:b/>
      <w:bCs/>
      <w:sz w:val="16"/>
      <w:szCs w:val="16"/>
    </w:rPr>
  </w:style>
  <w:style w:type="paragraph" w:customStyle="1" w:styleId="xl52953">
    <w:name w:val="xl52953"/>
    <w:basedOn w:val="a"/>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54">
    <w:name w:val="xl52954"/>
    <w:basedOn w:val="a"/>
    <w:rsid w:val="004F40E8"/>
    <w:pPr>
      <w:spacing w:before="100" w:beforeAutospacing="1" w:after="100" w:afterAutospacing="1"/>
      <w:jc w:val="center"/>
      <w:textAlignment w:val="center"/>
    </w:pPr>
    <w:rPr>
      <w:rFonts w:ascii="Segoe UI" w:hAnsi="Segoe UI" w:cs="Segoe UI"/>
      <w:b/>
      <w:bCs/>
      <w:sz w:val="16"/>
      <w:szCs w:val="16"/>
    </w:rPr>
  </w:style>
  <w:style w:type="paragraph" w:customStyle="1" w:styleId="xl52955">
    <w:name w:val="xl52955"/>
    <w:basedOn w:val="a"/>
    <w:rsid w:val="004F40E8"/>
    <w:pPr>
      <w:pBdr>
        <w:right w:val="single" w:sz="8" w:space="0" w:color="auto"/>
      </w:pBdr>
      <w:spacing w:before="100" w:beforeAutospacing="1" w:after="100" w:afterAutospacing="1"/>
      <w:jc w:val="center"/>
      <w:textAlignment w:val="center"/>
    </w:pPr>
    <w:rPr>
      <w:rFonts w:ascii="Segoe UI" w:hAnsi="Segoe UI" w:cs="Segoe UI"/>
      <w:sz w:val="16"/>
      <w:szCs w:val="16"/>
    </w:rPr>
  </w:style>
  <w:style w:type="paragraph" w:customStyle="1" w:styleId="xl52956">
    <w:name w:val="xl52956"/>
    <w:basedOn w:val="a"/>
    <w:rsid w:val="004F40E8"/>
    <w:pPr>
      <w:pBdr>
        <w:right w:val="single" w:sz="8" w:space="0" w:color="auto"/>
      </w:pBdr>
      <w:spacing w:before="100" w:beforeAutospacing="1" w:after="100" w:afterAutospacing="1"/>
      <w:jc w:val="center"/>
    </w:pPr>
    <w:rPr>
      <w:rFonts w:ascii="Segoe UI" w:hAnsi="Segoe UI" w:cs="Segoe UI"/>
      <w:sz w:val="16"/>
      <w:szCs w:val="16"/>
    </w:rPr>
  </w:style>
  <w:style w:type="paragraph" w:customStyle="1" w:styleId="xl52957">
    <w:name w:val="xl52957"/>
    <w:basedOn w:val="a"/>
    <w:rsid w:val="004F40E8"/>
    <w:pPr>
      <w:spacing w:before="100" w:beforeAutospacing="1" w:after="100" w:afterAutospacing="1"/>
      <w:jc w:val="center"/>
    </w:pPr>
    <w:rPr>
      <w:rFonts w:ascii="Segoe UI" w:hAnsi="Segoe UI" w:cs="Segoe UI"/>
      <w:sz w:val="16"/>
      <w:szCs w:val="16"/>
    </w:rPr>
  </w:style>
  <w:style w:type="paragraph" w:customStyle="1" w:styleId="xl52958">
    <w:name w:val="xl52958"/>
    <w:basedOn w:val="a"/>
    <w:rsid w:val="004F40E8"/>
    <w:pPr>
      <w:pBdr>
        <w:right w:val="single" w:sz="8" w:space="0" w:color="auto"/>
      </w:pBdr>
      <w:spacing w:before="100" w:beforeAutospacing="1" w:after="100" w:afterAutospacing="1"/>
      <w:jc w:val="center"/>
    </w:pPr>
    <w:rPr>
      <w:rFonts w:ascii="Segoe UI" w:hAnsi="Segoe UI" w:cs="Segoe UI"/>
      <w:b/>
      <w:bCs/>
      <w:sz w:val="16"/>
      <w:szCs w:val="16"/>
    </w:rPr>
  </w:style>
  <w:style w:type="paragraph" w:customStyle="1" w:styleId="xl52959">
    <w:name w:val="xl52959"/>
    <w:basedOn w:val="a"/>
    <w:rsid w:val="004F40E8"/>
    <w:pPr>
      <w:pBdr>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60">
    <w:name w:val="xl52960"/>
    <w:basedOn w:val="a"/>
    <w:rsid w:val="004F40E8"/>
    <w:pPr>
      <w:pBdr>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61">
    <w:name w:val="xl52961"/>
    <w:basedOn w:val="a"/>
    <w:rsid w:val="004F40E8"/>
    <w:pPr>
      <w:pBdr>
        <w:right w:val="single" w:sz="8" w:space="0" w:color="auto"/>
      </w:pBd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62">
    <w:name w:val="xl52962"/>
    <w:basedOn w:val="a"/>
    <w:rsid w:val="004F40E8"/>
    <w:pPr>
      <w:pBdr>
        <w:top w:val="single" w:sz="8" w:space="0" w:color="auto"/>
        <w:bottom w:val="single" w:sz="8" w:space="0" w:color="auto"/>
      </w:pBdr>
      <w:shd w:val="clear" w:color="000000" w:fill="A5A5A5"/>
      <w:spacing w:before="100" w:beforeAutospacing="1" w:after="100" w:afterAutospacing="1"/>
      <w:textAlignment w:val="center"/>
    </w:pPr>
    <w:rPr>
      <w:rFonts w:ascii="Segoe UI" w:hAnsi="Segoe UI" w:cs="Segoe UI"/>
      <w:sz w:val="16"/>
      <w:szCs w:val="16"/>
    </w:rPr>
  </w:style>
  <w:style w:type="paragraph" w:customStyle="1" w:styleId="xl52963">
    <w:name w:val="xl52963"/>
    <w:basedOn w:val="a"/>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64">
    <w:name w:val="xl52964"/>
    <w:basedOn w:val="a"/>
    <w:rsid w:val="004F40E8"/>
    <w:pPr>
      <w:shd w:val="clear" w:color="000000" w:fill="FFFFFF"/>
      <w:spacing w:before="100" w:beforeAutospacing="1" w:after="100" w:afterAutospacing="1"/>
      <w:jc w:val="center"/>
    </w:pPr>
    <w:rPr>
      <w:rFonts w:ascii="Segoe UI" w:hAnsi="Segoe UI" w:cs="Segoe UI"/>
      <w:b/>
      <w:bCs/>
      <w:sz w:val="16"/>
      <w:szCs w:val="16"/>
    </w:rPr>
  </w:style>
  <w:style w:type="paragraph" w:customStyle="1" w:styleId="xl52965">
    <w:name w:val="xl52965"/>
    <w:basedOn w:val="a"/>
    <w:rsid w:val="004F40E8"/>
    <w:pPr>
      <w:pBdr>
        <w:right w:val="single" w:sz="8" w:space="0" w:color="auto"/>
      </w:pBdr>
      <w:shd w:val="clear" w:color="000000" w:fill="FFFFFF"/>
      <w:spacing w:before="100" w:beforeAutospacing="1" w:after="100" w:afterAutospacing="1"/>
      <w:jc w:val="center"/>
    </w:pPr>
    <w:rPr>
      <w:rFonts w:ascii="Segoe UI" w:hAnsi="Segoe UI" w:cs="Segoe UI"/>
      <w:b/>
      <w:bCs/>
      <w:sz w:val="16"/>
      <w:szCs w:val="16"/>
    </w:rPr>
  </w:style>
  <w:style w:type="paragraph" w:customStyle="1" w:styleId="xl52966">
    <w:name w:val="xl52966"/>
    <w:basedOn w:val="a"/>
    <w:rsid w:val="004F40E8"/>
    <w:pPr>
      <w:spacing w:before="100" w:beforeAutospacing="1" w:after="100" w:afterAutospacing="1"/>
      <w:jc w:val="center"/>
      <w:textAlignment w:val="center"/>
    </w:pPr>
    <w:rPr>
      <w:rFonts w:ascii="Segoe UI" w:hAnsi="Segoe UI" w:cs="Segoe UI"/>
      <w:sz w:val="16"/>
      <w:szCs w:val="16"/>
    </w:rPr>
  </w:style>
  <w:style w:type="paragraph" w:customStyle="1" w:styleId="xl52967">
    <w:name w:val="xl52967"/>
    <w:basedOn w:val="a"/>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68">
    <w:name w:val="xl52968"/>
    <w:basedOn w:val="a"/>
    <w:rsid w:val="004F40E8"/>
    <w:pPr>
      <w:shd w:val="clear" w:color="000000" w:fill="FFFFFF"/>
      <w:spacing w:before="100" w:beforeAutospacing="1" w:after="100" w:afterAutospacing="1"/>
      <w:jc w:val="center"/>
      <w:textAlignment w:val="center"/>
    </w:pPr>
    <w:rPr>
      <w:rFonts w:ascii="Segoe UI" w:hAnsi="Segoe UI" w:cs="Segoe UI"/>
      <w:b/>
      <w:bCs/>
      <w:sz w:val="16"/>
      <w:szCs w:val="16"/>
    </w:rPr>
  </w:style>
  <w:style w:type="paragraph" w:customStyle="1" w:styleId="xl52969">
    <w:name w:val="xl52969"/>
    <w:basedOn w:val="a"/>
    <w:rsid w:val="004F40E8"/>
    <w:pPr>
      <w:spacing w:before="100" w:beforeAutospacing="1" w:after="100" w:afterAutospacing="1"/>
      <w:jc w:val="center"/>
    </w:pPr>
    <w:rPr>
      <w:rFonts w:ascii="Segoe UI" w:hAnsi="Segoe UI" w:cs="Segoe UI"/>
      <w:b/>
      <w:bCs/>
      <w:sz w:val="16"/>
      <w:szCs w:val="16"/>
    </w:rPr>
  </w:style>
  <w:style w:type="paragraph" w:customStyle="1" w:styleId="xl52970">
    <w:name w:val="xl52970"/>
    <w:basedOn w:val="a"/>
    <w:rsid w:val="004F40E8"/>
    <w:pP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71">
    <w:name w:val="xl52971"/>
    <w:basedOn w:val="a"/>
    <w:rsid w:val="004F40E8"/>
    <w:pPr>
      <w:shd w:val="clear" w:color="000000" w:fill="FFFFFF"/>
      <w:spacing w:before="100" w:beforeAutospacing="1" w:after="100" w:afterAutospacing="1"/>
      <w:jc w:val="center"/>
    </w:pPr>
    <w:rPr>
      <w:rFonts w:ascii="Segoe UI" w:hAnsi="Segoe UI" w:cs="Segoe UI"/>
      <w:b/>
      <w:bCs/>
      <w:sz w:val="16"/>
      <w:szCs w:val="16"/>
    </w:rPr>
  </w:style>
  <w:style w:type="paragraph" w:customStyle="1" w:styleId="xl52972">
    <w:name w:val="xl52972"/>
    <w:basedOn w:val="a"/>
    <w:rsid w:val="004F40E8"/>
    <w:pPr>
      <w:shd w:val="clear" w:color="000000" w:fill="FFFFFF"/>
      <w:spacing w:before="100" w:beforeAutospacing="1" w:after="100" w:afterAutospacing="1"/>
      <w:jc w:val="center"/>
    </w:pPr>
    <w:rPr>
      <w:rFonts w:ascii="Segoe UI" w:hAnsi="Segoe UI" w:cs="Segoe UI"/>
      <w:b/>
      <w:bCs/>
      <w:i/>
      <w:iCs/>
      <w:sz w:val="16"/>
      <w:szCs w:val="16"/>
    </w:rPr>
  </w:style>
  <w:style w:type="paragraph" w:customStyle="1" w:styleId="xl52973">
    <w:name w:val="xl52973"/>
    <w:basedOn w:val="a"/>
    <w:rsid w:val="004F40E8"/>
    <w:pPr>
      <w:pBdr>
        <w:bottom w:val="single" w:sz="8" w:space="0" w:color="auto"/>
      </w:pBdr>
      <w:shd w:val="clear" w:color="000000" w:fill="A5A5A5"/>
      <w:spacing w:before="100" w:beforeAutospacing="1" w:after="100" w:afterAutospacing="1"/>
      <w:textAlignment w:val="center"/>
    </w:pPr>
    <w:rPr>
      <w:rFonts w:ascii="Segoe UI" w:hAnsi="Segoe UI" w:cs="Segoe UI"/>
      <w:sz w:val="16"/>
      <w:szCs w:val="16"/>
    </w:rPr>
  </w:style>
  <w:style w:type="paragraph" w:customStyle="1" w:styleId="xl52974">
    <w:name w:val="xl52974"/>
    <w:basedOn w:val="a"/>
    <w:rsid w:val="004F40E8"/>
    <w:pPr>
      <w:spacing w:before="100" w:beforeAutospacing="1" w:after="100" w:afterAutospacing="1"/>
      <w:jc w:val="center"/>
      <w:textAlignment w:val="center"/>
    </w:pPr>
    <w:rPr>
      <w:rFonts w:ascii="Segoe UI" w:hAnsi="Segoe UI" w:cs="Segoe UI"/>
      <w:color w:val="FFFFFF"/>
      <w:sz w:val="16"/>
      <w:szCs w:val="16"/>
    </w:rPr>
  </w:style>
  <w:style w:type="paragraph" w:customStyle="1" w:styleId="xl52975">
    <w:name w:val="xl52975"/>
    <w:basedOn w:val="a"/>
    <w:rsid w:val="004F40E8"/>
    <w:pPr>
      <w:pBdr>
        <w:top w:val="single" w:sz="8" w:space="0" w:color="auto"/>
        <w:left w:val="single" w:sz="8"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76">
    <w:name w:val="xl52976"/>
    <w:basedOn w:val="a"/>
    <w:rsid w:val="004F40E8"/>
    <w:pPr>
      <w:pBdr>
        <w:top w:val="single" w:sz="8" w:space="0" w:color="auto"/>
        <w:left w:val="single" w:sz="4"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77">
    <w:name w:val="xl52977"/>
    <w:basedOn w:val="a"/>
    <w:rsid w:val="004F40E8"/>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78">
    <w:name w:val="xl52978"/>
    <w:basedOn w:val="a"/>
    <w:rsid w:val="004F40E8"/>
    <w:pPr>
      <w:pBdr>
        <w:top w:val="single" w:sz="8"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79">
    <w:name w:val="xl52979"/>
    <w:basedOn w:val="a"/>
    <w:rsid w:val="004F40E8"/>
    <w:pPr>
      <w:pBdr>
        <w:top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80">
    <w:name w:val="xl52980"/>
    <w:basedOn w:val="a"/>
    <w:rsid w:val="004F40E8"/>
    <w:pPr>
      <w:pBdr>
        <w:top w:val="single" w:sz="8" w:space="0" w:color="auto"/>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81">
    <w:name w:val="xl52981"/>
    <w:basedOn w:val="a"/>
    <w:rsid w:val="004F40E8"/>
    <w:pPr>
      <w:pBdr>
        <w:top w:val="single" w:sz="8"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2982">
    <w:name w:val="xl52982"/>
    <w:basedOn w:val="a"/>
    <w:rsid w:val="004F40E8"/>
    <w:pPr>
      <w:pBdr>
        <w:top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color w:val="C00000"/>
      <w:sz w:val="16"/>
      <w:szCs w:val="16"/>
    </w:rPr>
  </w:style>
  <w:style w:type="paragraph" w:customStyle="1" w:styleId="xl52983">
    <w:name w:val="xl52983"/>
    <w:basedOn w:val="a"/>
    <w:rsid w:val="004F40E8"/>
    <w:pPr>
      <w:pBdr>
        <w:right w:val="single" w:sz="8"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2984">
    <w:name w:val="xl52984"/>
    <w:basedOn w:val="a"/>
    <w:rsid w:val="004F40E8"/>
    <w:pPr>
      <w:pBdr>
        <w:left w:val="single" w:sz="8" w:space="0" w:color="auto"/>
      </w:pBdr>
      <w:shd w:val="clear" w:color="000000" w:fill="A5A5A5"/>
      <w:spacing w:before="100" w:beforeAutospacing="1" w:after="100" w:afterAutospacing="1"/>
    </w:pPr>
    <w:rPr>
      <w:rFonts w:ascii="Segoe UI" w:hAnsi="Segoe UI" w:cs="Segoe UI"/>
      <w:b/>
      <w:bCs/>
      <w:sz w:val="16"/>
      <w:szCs w:val="16"/>
    </w:rPr>
  </w:style>
  <w:style w:type="paragraph" w:customStyle="1" w:styleId="xl52985">
    <w:name w:val="xl52985"/>
    <w:basedOn w:val="a"/>
    <w:rsid w:val="004F40E8"/>
    <w:pPr>
      <w:pBdr>
        <w:lef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6">
    <w:name w:val="xl52986"/>
    <w:basedOn w:val="a"/>
    <w:rsid w:val="004F40E8"/>
    <w:pPr>
      <w:pBdr>
        <w:left w:val="single" w:sz="8"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7">
    <w:name w:val="xl52987"/>
    <w:basedOn w:val="a"/>
    <w:rsid w:val="004F40E8"/>
    <w:pPr>
      <w:pBdr>
        <w:lef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8">
    <w:name w:val="xl52988"/>
    <w:basedOn w:val="a"/>
    <w:rsid w:val="004F40E8"/>
    <w:pPr>
      <w:pBdr>
        <w:left w:val="single" w:sz="4"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89">
    <w:name w:val="xl52989"/>
    <w:basedOn w:val="a"/>
    <w:rsid w:val="004F40E8"/>
    <w:pPr>
      <w:pBdr>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0">
    <w:name w:val="xl52990"/>
    <w:basedOn w:val="a"/>
    <w:rsid w:val="004F40E8"/>
    <w:pPr>
      <w:pBdr>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1">
    <w:name w:val="xl52991"/>
    <w:basedOn w:val="a"/>
    <w:rsid w:val="004F40E8"/>
    <w:pP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2">
    <w:name w:val="xl52992"/>
    <w:basedOn w:val="a"/>
    <w:rsid w:val="004F40E8"/>
    <w:pPr>
      <w:pBdr>
        <w:left w:val="single" w:sz="4" w:space="0" w:color="auto"/>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3">
    <w:name w:val="xl52993"/>
    <w:basedOn w:val="a"/>
    <w:rsid w:val="004F40E8"/>
    <w:pPr>
      <w:pBdr>
        <w:lef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4">
    <w:name w:val="xl52994"/>
    <w:basedOn w:val="a"/>
    <w:rsid w:val="004F40E8"/>
    <w:pPr>
      <w:pBdr>
        <w:left w:val="single" w:sz="8"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5">
    <w:name w:val="xl52995"/>
    <w:basedOn w:val="a"/>
    <w:rsid w:val="004F40E8"/>
    <w:pPr>
      <w:pBdr>
        <w:lef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6">
    <w:name w:val="xl52996"/>
    <w:basedOn w:val="a"/>
    <w:rsid w:val="004F40E8"/>
    <w:pPr>
      <w:pBdr>
        <w:left w:val="single" w:sz="4"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7">
    <w:name w:val="xl52997"/>
    <w:basedOn w:val="a"/>
    <w:rsid w:val="004F40E8"/>
    <w:pPr>
      <w:pBdr>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8">
    <w:name w:val="xl52998"/>
    <w:basedOn w:val="a"/>
    <w:rsid w:val="004F40E8"/>
    <w:pPr>
      <w:pBdr>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2999">
    <w:name w:val="xl52999"/>
    <w:basedOn w:val="a"/>
    <w:rsid w:val="004F40E8"/>
    <w:pP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0">
    <w:name w:val="xl53000"/>
    <w:basedOn w:val="a"/>
    <w:rsid w:val="004F40E8"/>
    <w:pPr>
      <w:pBdr>
        <w:left w:val="single" w:sz="4" w:space="0" w:color="auto"/>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1">
    <w:name w:val="xl53001"/>
    <w:basedOn w:val="a"/>
    <w:rsid w:val="004F40E8"/>
    <w:pPr>
      <w:pBdr>
        <w:lef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2">
    <w:name w:val="xl53002"/>
    <w:basedOn w:val="a"/>
    <w:rsid w:val="004F40E8"/>
    <w:pPr>
      <w:pBdr>
        <w:left w:val="single" w:sz="8"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3">
    <w:name w:val="xl53003"/>
    <w:basedOn w:val="a"/>
    <w:rsid w:val="004F40E8"/>
    <w:pPr>
      <w:pBdr>
        <w:lef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4">
    <w:name w:val="xl53004"/>
    <w:basedOn w:val="a"/>
    <w:rsid w:val="004F40E8"/>
    <w:pPr>
      <w:pBdr>
        <w:left w:val="single" w:sz="4" w:space="0" w:color="auto"/>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5">
    <w:name w:val="xl53005"/>
    <w:basedOn w:val="a"/>
    <w:rsid w:val="004F40E8"/>
    <w:pPr>
      <w:pBdr>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6">
    <w:name w:val="xl53006"/>
    <w:basedOn w:val="a"/>
    <w:rsid w:val="004F40E8"/>
    <w:pPr>
      <w:pBdr>
        <w:right w:val="single" w:sz="4"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7">
    <w:name w:val="xl53007"/>
    <w:basedOn w:val="a"/>
    <w:rsid w:val="004F40E8"/>
    <w:pP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8">
    <w:name w:val="xl53008"/>
    <w:basedOn w:val="a"/>
    <w:rsid w:val="004F40E8"/>
    <w:pPr>
      <w:pBdr>
        <w:left w:val="single" w:sz="4" w:space="0" w:color="auto"/>
        <w:right w:val="single" w:sz="8" w:space="0" w:color="auto"/>
      </w:pBdr>
      <w:shd w:val="clear" w:color="000000" w:fill="A5A5A5"/>
      <w:spacing w:before="100" w:beforeAutospacing="1" w:after="100" w:afterAutospacing="1"/>
      <w:jc w:val="center"/>
    </w:pPr>
    <w:rPr>
      <w:rFonts w:ascii="Segoe UI" w:hAnsi="Segoe UI" w:cs="Segoe UI"/>
      <w:b/>
      <w:bCs/>
      <w:sz w:val="16"/>
      <w:szCs w:val="16"/>
    </w:rPr>
  </w:style>
  <w:style w:type="paragraph" w:customStyle="1" w:styleId="xl53009">
    <w:name w:val="xl53009"/>
    <w:basedOn w:val="a"/>
    <w:rsid w:val="004F40E8"/>
    <w:pPr>
      <w:pBdr>
        <w:lef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0">
    <w:name w:val="xl53010"/>
    <w:basedOn w:val="a"/>
    <w:rsid w:val="004F40E8"/>
    <w:pPr>
      <w:pBdr>
        <w:left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1">
    <w:name w:val="xl53011"/>
    <w:basedOn w:val="a"/>
    <w:rsid w:val="004F40E8"/>
    <w:pPr>
      <w:pBdr>
        <w:lef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2">
    <w:name w:val="xl53012"/>
    <w:basedOn w:val="a"/>
    <w:rsid w:val="004F40E8"/>
    <w:pPr>
      <w:pBdr>
        <w:left w:val="single" w:sz="4"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3">
    <w:name w:val="xl53013"/>
    <w:basedOn w:val="a"/>
    <w:rsid w:val="004F40E8"/>
    <w:pPr>
      <w:pBdr>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4">
    <w:name w:val="xl53014"/>
    <w:basedOn w:val="a"/>
    <w:rsid w:val="004F40E8"/>
    <w:pPr>
      <w:pBdr>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5">
    <w:name w:val="xl53015"/>
    <w:basedOn w:val="a"/>
    <w:rsid w:val="004F40E8"/>
    <w:pP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6">
    <w:name w:val="xl53016"/>
    <w:basedOn w:val="a"/>
    <w:rsid w:val="004F40E8"/>
    <w:pPr>
      <w:pBdr>
        <w:left w:val="single" w:sz="4"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7">
    <w:name w:val="xl53017"/>
    <w:basedOn w:val="a"/>
    <w:rsid w:val="004F40E8"/>
    <w:pPr>
      <w:pBdr>
        <w:left w:val="single" w:sz="8" w:space="0" w:color="auto"/>
        <w:bottom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3018">
    <w:name w:val="xl53018"/>
    <w:basedOn w:val="a"/>
    <w:rsid w:val="004F40E8"/>
    <w:pPr>
      <w:pBdr>
        <w:left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19">
    <w:name w:val="xl53019"/>
    <w:basedOn w:val="a"/>
    <w:rsid w:val="004F40E8"/>
    <w:pPr>
      <w:pBdr>
        <w:left w:val="single" w:sz="8"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0">
    <w:name w:val="xl53020"/>
    <w:basedOn w:val="a"/>
    <w:rsid w:val="004F40E8"/>
    <w:pPr>
      <w:pBdr>
        <w:left w:val="single" w:sz="4"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1">
    <w:name w:val="xl53021"/>
    <w:basedOn w:val="a"/>
    <w:rsid w:val="004F40E8"/>
    <w:pPr>
      <w:pBdr>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2">
    <w:name w:val="xl53022"/>
    <w:basedOn w:val="a"/>
    <w:rsid w:val="004F40E8"/>
    <w:pPr>
      <w:pBdr>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3">
    <w:name w:val="xl53023"/>
    <w:basedOn w:val="a"/>
    <w:rsid w:val="004F40E8"/>
    <w:pPr>
      <w:pBdr>
        <w:bottom w:val="single" w:sz="8" w:space="0" w:color="auto"/>
        <w:right w:val="single" w:sz="4"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4">
    <w:name w:val="xl53024"/>
    <w:basedOn w:val="a"/>
    <w:rsid w:val="004F40E8"/>
    <w:pPr>
      <w:pBdr>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5">
    <w:name w:val="xl53025"/>
    <w:basedOn w:val="a"/>
    <w:rsid w:val="004F40E8"/>
    <w:pPr>
      <w:pBdr>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26">
    <w:name w:val="xl53026"/>
    <w:basedOn w:val="a"/>
    <w:rsid w:val="004F40E8"/>
    <w:pPr>
      <w:pBdr>
        <w:left w:val="single" w:sz="8" w:space="0" w:color="auto"/>
      </w:pBdr>
      <w:shd w:val="clear" w:color="000000" w:fill="A5A5A5"/>
      <w:spacing w:before="100" w:beforeAutospacing="1" w:after="100" w:afterAutospacing="1"/>
      <w:textAlignment w:val="center"/>
    </w:pPr>
    <w:rPr>
      <w:rFonts w:ascii="Segoe UI" w:hAnsi="Segoe UI" w:cs="Segoe UI"/>
      <w:b/>
      <w:bCs/>
      <w:sz w:val="16"/>
      <w:szCs w:val="16"/>
    </w:rPr>
  </w:style>
  <w:style w:type="paragraph" w:customStyle="1" w:styleId="xl53027">
    <w:name w:val="xl53027"/>
    <w:basedOn w:val="a"/>
    <w:rsid w:val="004F40E8"/>
    <w:pPr>
      <w:pBdr>
        <w:left w:val="single" w:sz="4" w:space="0" w:color="auto"/>
        <w:right w:val="single" w:sz="4" w:space="0" w:color="auto"/>
      </w:pBdr>
      <w:spacing w:before="100" w:beforeAutospacing="1" w:after="100" w:afterAutospacing="1"/>
      <w:textAlignment w:val="center"/>
    </w:pPr>
    <w:rPr>
      <w:rFonts w:ascii="Segoe UI" w:hAnsi="Segoe UI" w:cs="Segoe UI"/>
      <w:sz w:val="16"/>
      <w:szCs w:val="16"/>
    </w:rPr>
  </w:style>
  <w:style w:type="paragraph" w:customStyle="1" w:styleId="xl53028">
    <w:name w:val="xl53028"/>
    <w:basedOn w:val="a"/>
    <w:rsid w:val="004F40E8"/>
    <w:pPr>
      <w:pBdr>
        <w:left w:val="single" w:sz="8" w:space="0" w:color="auto"/>
      </w:pBdr>
      <w:spacing w:before="100" w:beforeAutospacing="1" w:after="100" w:afterAutospacing="1"/>
      <w:textAlignment w:val="center"/>
    </w:pPr>
    <w:rPr>
      <w:rFonts w:ascii="Segoe UI" w:hAnsi="Segoe UI" w:cs="Segoe UI"/>
      <w:color w:val="FFFFFF"/>
      <w:sz w:val="16"/>
      <w:szCs w:val="16"/>
    </w:rPr>
  </w:style>
  <w:style w:type="paragraph" w:customStyle="1" w:styleId="xl53029">
    <w:name w:val="xl53029"/>
    <w:basedOn w:val="a"/>
    <w:rsid w:val="004F40E8"/>
    <w:pPr>
      <w:pBdr>
        <w:left w:val="single" w:sz="8" w:space="0" w:color="auto"/>
      </w:pBdr>
      <w:spacing w:before="100" w:beforeAutospacing="1" w:after="100" w:afterAutospacing="1"/>
      <w:jc w:val="center"/>
      <w:textAlignment w:val="center"/>
    </w:pPr>
    <w:rPr>
      <w:rFonts w:ascii="Segoe UI" w:hAnsi="Segoe UI" w:cs="Segoe UI"/>
      <w:color w:val="FFFFFF"/>
      <w:sz w:val="16"/>
      <w:szCs w:val="16"/>
    </w:rPr>
  </w:style>
  <w:style w:type="paragraph" w:customStyle="1" w:styleId="xl53030">
    <w:name w:val="xl53030"/>
    <w:basedOn w:val="a"/>
    <w:rsid w:val="004F40E8"/>
    <w:pPr>
      <w:spacing w:before="100" w:beforeAutospacing="1" w:after="100" w:afterAutospacing="1"/>
      <w:textAlignment w:val="center"/>
    </w:pPr>
    <w:rPr>
      <w:rFonts w:ascii="Segoe UI" w:hAnsi="Segoe UI" w:cs="Segoe UI"/>
      <w:color w:val="FFFFFF"/>
      <w:sz w:val="16"/>
      <w:szCs w:val="16"/>
    </w:rPr>
  </w:style>
  <w:style w:type="paragraph" w:customStyle="1" w:styleId="xl53031">
    <w:name w:val="xl53031"/>
    <w:basedOn w:val="a"/>
    <w:rsid w:val="004F40E8"/>
    <w:pPr>
      <w:pBdr>
        <w:top w:val="single" w:sz="8" w:space="0" w:color="auto"/>
        <w:left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32">
    <w:name w:val="xl53032"/>
    <w:basedOn w:val="a"/>
    <w:rsid w:val="004F40E8"/>
    <w:pPr>
      <w:pBdr>
        <w:top w:val="single" w:sz="8" w:space="0" w:color="auto"/>
        <w:left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33">
    <w:name w:val="xl53033"/>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color w:val="FF0000"/>
      <w:sz w:val="16"/>
      <w:szCs w:val="16"/>
    </w:rPr>
  </w:style>
  <w:style w:type="paragraph" w:customStyle="1" w:styleId="xl53034">
    <w:name w:val="xl53034"/>
    <w:basedOn w:val="a"/>
    <w:rsid w:val="004F40E8"/>
    <w:pPr>
      <w:pBdr>
        <w:left w:val="single" w:sz="4" w:space="0" w:color="auto"/>
        <w:right w:val="single" w:sz="4" w:space="0" w:color="auto"/>
      </w:pBdr>
      <w:shd w:val="clear" w:color="000000" w:fill="FFFFFF"/>
      <w:spacing w:before="100" w:beforeAutospacing="1" w:after="100" w:afterAutospacing="1"/>
      <w:jc w:val="center"/>
    </w:pPr>
    <w:rPr>
      <w:rFonts w:ascii="Segoe UI" w:hAnsi="Segoe UI" w:cs="Segoe UI"/>
      <w:b/>
      <w:bCs/>
      <w:color w:val="FF0000"/>
      <w:sz w:val="16"/>
      <w:szCs w:val="16"/>
    </w:rPr>
  </w:style>
  <w:style w:type="paragraph" w:customStyle="1" w:styleId="xl53035">
    <w:name w:val="xl53035"/>
    <w:basedOn w:val="a"/>
    <w:rsid w:val="004F40E8"/>
    <w:pPr>
      <w:pBdr>
        <w:top w:val="single" w:sz="8" w:space="0" w:color="auto"/>
      </w:pBdr>
      <w:shd w:val="clear" w:color="000000" w:fill="272727"/>
      <w:spacing w:before="100" w:beforeAutospacing="1" w:after="100" w:afterAutospacing="1"/>
      <w:textAlignment w:val="center"/>
    </w:pPr>
    <w:rPr>
      <w:rFonts w:ascii="Segoe UI" w:hAnsi="Segoe UI" w:cs="Segoe UI"/>
      <w:b/>
      <w:bCs/>
      <w:color w:val="FFFFFF"/>
      <w:sz w:val="16"/>
      <w:szCs w:val="16"/>
    </w:rPr>
  </w:style>
  <w:style w:type="paragraph" w:customStyle="1" w:styleId="xl53036">
    <w:name w:val="xl53036"/>
    <w:basedOn w:val="a"/>
    <w:rsid w:val="004F40E8"/>
    <w:pPr>
      <w:shd w:val="clear" w:color="000000" w:fill="272727"/>
      <w:spacing w:before="100" w:beforeAutospacing="1" w:after="100" w:afterAutospacing="1"/>
      <w:textAlignment w:val="center"/>
    </w:pPr>
    <w:rPr>
      <w:rFonts w:ascii="Segoe UI" w:hAnsi="Segoe UI" w:cs="Segoe UI"/>
      <w:b/>
      <w:bCs/>
      <w:color w:val="FFFFFF"/>
      <w:sz w:val="16"/>
      <w:szCs w:val="16"/>
    </w:rPr>
  </w:style>
  <w:style w:type="paragraph" w:customStyle="1" w:styleId="xl53037">
    <w:name w:val="xl53037"/>
    <w:basedOn w:val="a"/>
    <w:rsid w:val="004F40E8"/>
    <w:pPr>
      <w:pBdr>
        <w:left w:val="single" w:sz="4" w:space="0" w:color="auto"/>
        <w:right w:val="single" w:sz="4" w:space="0" w:color="auto"/>
      </w:pBdr>
      <w:spacing w:before="100" w:beforeAutospacing="1" w:after="100" w:afterAutospacing="1"/>
      <w:jc w:val="center"/>
      <w:textAlignment w:val="center"/>
    </w:pPr>
    <w:rPr>
      <w:rFonts w:ascii="Segoe UI" w:hAnsi="Segoe UI" w:cs="Segoe UI"/>
      <w:sz w:val="16"/>
      <w:szCs w:val="16"/>
    </w:rPr>
  </w:style>
  <w:style w:type="paragraph" w:customStyle="1" w:styleId="xl53038">
    <w:name w:val="xl53038"/>
    <w:basedOn w:val="a"/>
    <w:rsid w:val="004F40E8"/>
    <w:pPr>
      <w:pBdr>
        <w:top w:val="single" w:sz="8" w:space="0" w:color="auto"/>
        <w:left w:val="single" w:sz="8" w:space="0" w:color="auto"/>
      </w:pBd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39">
    <w:name w:val="xl53039"/>
    <w:basedOn w:val="a"/>
    <w:rsid w:val="004F40E8"/>
    <w:pPr>
      <w:pBdr>
        <w:top w:val="single" w:sz="8" w:space="0" w:color="auto"/>
      </w:pBd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40">
    <w:name w:val="xl53040"/>
    <w:basedOn w:val="a"/>
    <w:rsid w:val="004F40E8"/>
    <w:pPr>
      <w:pBdr>
        <w:left w:val="single" w:sz="8" w:space="0" w:color="auto"/>
      </w:pBd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41">
    <w:name w:val="xl53041"/>
    <w:basedOn w:val="a"/>
    <w:rsid w:val="004F40E8"/>
    <w:pPr>
      <w:shd w:val="clear" w:color="000000" w:fill="272727"/>
      <w:spacing w:before="100" w:beforeAutospacing="1" w:after="100" w:afterAutospacing="1"/>
      <w:jc w:val="center"/>
      <w:textAlignment w:val="center"/>
    </w:pPr>
    <w:rPr>
      <w:rFonts w:ascii="Segoe UI" w:hAnsi="Segoe UI" w:cs="Segoe UI"/>
      <w:b/>
      <w:bCs/>
      <w:color w:val="FFFFFF"/>
      <w:sz w:val="16"/>
      <w:szCs w:val="16"/>
    </w:rPr>
  </w:style>
  <w:style w:type="paragraph" w:customStyle="1" w:styleId="xl53042">
    <w:name w:val="xl53042"/>
    <w:basedOn w:val="a"/>
    <w:rsid w:val="004F40E8"/>
    <w:pPr>
      <w:pBdr>
        <w:top w:val="single" w:sz="8" w:space="0" w:color="auto"/>
        <w:bottom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43">
    <w:name w:val="xl53043"/>
    <w:basedOn w:val="a"/>
    <w:rsid w:val="004F40E8"/>
    <w:pPr>
      <w:pBdr>
        <w:top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b/>
      <w:bCs/>
      <w:sz w:val="16"/>
      <w:szCs w:val="16"/>
    </w:rPr>
  </w:style>
  <w:style w:type="paragraph" w:customStyle="1" w:styleId="xl53044">
    <w:name w:val="xl53044"/>
    <w:basedOn w:val="a"/>
    <w:rsid w:val="004F40E8"/>
    <w:pPr>
      <w:pBdr>
        <w:top w:val="single" w:sz="8" w:space="0" w:color="auto"/>
        <w:left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sz w:val="16"/>
      <w:szCs w:val="16"/>
    </w:rPr>
  </w:style>
  <w:style w:type="paragraph" w:customStyle="1" w:styleId="xl53045">
    <w:name w:val="xl53045"/>
    <w:basedOn w:val="a"/>
    <w:rsid w:val="004F40E8"/>
    <w:pPr>
      <w:pBdr>
        <w:left w:val="single" w:sz="8" w:space="0" w:color="auto"/>
        <w:bottom w:val="single" w:sz="8" w:space="0" w:color="auto"/>
        <w:right w:val="single" w:sz="8" w:space="0" w:color="auto"/>
      </w:pBdr>
      <w:shd w:val="clear" w:color="000000" w:fill="A5A5A5"/>
      <w:spacing w:before="100" w:beforeAutospacing="1" w:after="100" w:afterAutospacing="1"/>
      <w:jc w:val="center"/>
      <w:textAlignment w:val="center"/>
    </w:pPr>
    <w:rPr>
      <w:rFonts w:ascii="Segoe UI" w:hAnsi="Segoe UI" w:cs="Segoe UI"/>
      <w:sz w:val="16"/>
      <w:szCs w:val="16"/>
    </w:rPr>
  </w:style>
  <w:style w:type="paragraph" w:customStyle="1" w:styleId="xl53046">
    <w:name w:val="xl53046"/>
    <w:basedOn w:val="a"/>
    <w:rsid w:val="004F40E8"/>
    <w:pPr>
      <w:pBdr>
        <w:bottom w:val="single" w:sz="8" w:space="0" w:color="auto"/>
      </w:pBdr>
      <w:spacing w:before="100" w:beforeAutospacing="1" w:after="100" w:afterAutospacing="1"/>
      <w:textAlignment w:val="center"/>
    </w:pPr>
    <w:rPr>
      <w:rFonts w:ascii="Segoe UI" w:hAnsi="Segoe UI" w:cs="Segoe UI"/>
      <w:i/>
      <w:iCs/>
      <w:sz w:val="16"/>
      <w:szCs w:val="16"/>
    </w:rPr>
  </w:style>
  <w:style w:type="paragraph" w:customStyle="1" w:styleId="xl53047">
    <w:name w:val="xl53047"/>
    <w:basedOn w:val="a"/>
    <w:rsid w:val="004F40E8"/>
    <w:pPr>
      <w:pBdr>
        <w:bottom w:val="single" w:sz="8" w:space="0" w:color="auto"/>
      </w:pBdr>
      <w:spacing w:before="100" w:beforeAutospacing="1" w:after="100" w:afterAutospacing="1"/>
      <w:jc w:val="center"/>
      <w:textAlignment w:val="center"/>
    </w:pPr>
    <w:rPr>
      <w:rFonts w:ascii="Segoe UI" w:hAnsi="Segoe UI" w:cs="Segoe UI"/>
      <w:i/>
      <w:iCs/>
      <w:sz w:val="16"/>
      <w:szCs w:val="16"/>
    </w:rPr>
  </w:style>
  <w:style w:type="paragraph" w:customStyle="1" w:styleId="afb">
    <w:name w:val="Τ"/>
    <w:basedOn w:val="a"/>
    <w:rsid w:val="004F40E8"/>
    <w:pPr>
      <w:spacing w:before="120" w:line="360" w:lineRule="auto"/>
    </w:pPr>
    <w:rPr>
      <w:rFonts w:cs="Arial"/>
      <w:sz w:val="22"/>
      <w:szCs w:val="22"/>
    </w:rPr>
  </w:style>
  <w:style w:type="character" w:customStyle="1" w:styleId="Char9">
    <w:name w:val="Χωρίς διάστιχο Char"/>
    <w:link w:val="af2"/>
    <w:uiPriority w:val="1"/>
    <w:rsid w:val="003B594D"/>
    <w:rPr>
      <w:rFonts w:ascii="Calibri" w:eastAsia="Calibri" w:hAnsi="Calibri"/>
      <w:sz w:val="22"/>
      <w:szCs w:val="22"/>
      <w:lang w:val="el-GR" w:eastAsia="en-US" w:bidi="ar-SA"/>
    </w:rPr>
  </w:style>
  <w:style w:type="paragraph" w:customStyle="1" w:styleId="Body">
    <w:name w:val="Body"/>
    <w:rsid w:val="002D7DE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US"/>
    </w:rPr>
  </w:style>
  <w:style w:type="character" w:styleId="afc">
    <w:name w:val="Emphasis"/>
    <w:uiPriority w:val="20"/>
    <w:qFormat/>
    <w:rsid w:val="00261EA1"/>
    <w:rPr>
      <w:i/>
      <w:iCs/>
    </w:rPr>
  </w:style>
  <w:style w:type="character" w:customStyle="1" w:styleId="1Char">
    <w:name w:val="Επικεφαλίδα 1 Char"/>
    <w:aliases w:val="1_ΚΕΦΑΛΑΙΟ Char"/>
    <w:link w:val="1"/>
    <w:uiPriority w:val="9"/>
    <w:rsid w:val="00212A95"/>
    <w:rPr>
      <w:rFonts w:ascii="Arial" w:hAnsi="Arial"/>
      <w:b/>
      <w:bCs/>
      <w:color w:val="2F5496"/>
      <w:kern w:val="32"/>
      <w:sz w:val="28"/>
      <w:szCs w:val="32"/>
    </w:rPr>
  </w:style>
  <w:style w:type="character" w:customStyle="1" w:styleId="2Char">
    <w:name w:val="Επικεφαλίδα 2 Char"/>
    <w:aliases w:val="2_ΘΕΜΑ ΚΕΦΑΛΑΙΟΥ Char"/>
    <w:link w:val="2"/>
    <w:rsid w:val="00895F39"/>
    <w:rPr>
      <w:rFonts w:ascii="Arial" w:hAnsi="Arial"/>
      <w:b/>
      <w:bCs/>
      <w:iCs/>
      <w:color w:val="2F5496"/>
      <w:sz w:val="28"/>
      <w:szCs w:val="28"/>
    </w:rPr>
  </w:style>
  <w:style w:type="character" w:customStyle="1" w:styleId="3Char">
    <w:name w:val="Επικεφαλίδα 3 Char"/>
    <w:aliases w:val="3_1.1. Char"/>
    <w:link w:val="3"/>
    <w:rsid w:val="00895F39"/>
    <w:rPr>
      <w:rFonts w:ascii="Arial" w:hAnsi="Arial"/>
      <w:b/>
      <w:bCs/>
      <w:color w:val="2F5496"/>
      <w:sz w:val="24"/>
      <w:szCs w:val="26"/>
      <w:shd w:val="clear" w:color="auto" w:fill="D5DCE4"/>
    </w:rPr>
  </w:style>
  <w:style w:type="character" w:customStyle="1" w:styleId="4Char">
    <w:name w:val="Επικεφαλίδα 4 Char"/>
    <w:aliases w:val="4_1.1.1. Char"/>
    <w:link w:val="4"/>
    <w:rsid w:val="001B2FE7"/>
    <w:rPr>
      <w:rFonts w:ascii="Arial" w:hAnsi="Arial"/>
      <w:b/>
      <w:color w:val="2F5496"/>
      <w:sz w:val="22"/>
      <w:szCs w:val="22"/>
    </w:rPr>
  </w:style>
  <w:style w:type="character" w:customStyle="1" w:styleId="5Char">
    <w:name w:val="Επικεφαλίδα 5 Char"/>
    <w:aliases w:val="5_1.1.1.1 Char"/>
    <w:link w:val="5"/>
    <w:rsid w:val="001B2FE7"/>
    <w:rPr>
      <w:rFonts w:ascii="Arial" w:hAnsi="Arial"/>
      <w:b/>
      <w:color w:val="2F5496"/>
      <w:sz w:val="22"/>
      <w:szCs w:val="22"/>
    </w:rPr>
  </w:style>
  <w:style w:type="character" w:customStyle="1" w:styleId="6Char">
    <w:name w:val="Επικεφαλίδα 6 Char"/>
    <w:link w:val="6"/>
    <w:rsid w:val="00CD2D8A"/>
    <w:rPr>
      <w:rFonts w:ascii="Arial Narrow" w:hAnsi="Arial Narrow"/>
      <w:b/>
      <w:sz w:val="22"/>
      <w:szCs w:val="22"/>
    </w:rPr>
  </w:style>
  <w:style w:type="character" w:customStyle="1" w:styleId="7Char">
    <w:name w:val="Επικεφαλίδα 7 Char"/>
    <w:link w:val="7"/>
    <w:rsid w:val="00CD2D8A"/>
    <w:rPr>
      <w:rFonts w:ascii="Arial Narrow" w:hAnsi="Arial Narrow"/>
      <w:b/>
      <w:i/>
      <w:sz w:val="22"/>
      <w:szCs w:val="22"/>
    </w:rPr>
  </w:style>
  <w:style w:type="character" w:customStyle="1" w:styleId="8Char">
    <w:name w:val="Επικεφαλίδα 8 Char"/>
    <w:link w:val="8"/>
    <w:rsid w:val="00CD2D8A"/>
    <w:rPr>
      <w:rFonts w:ascii="Arial Narrow" w:hAnsi="Arial Narrow"/>
      <w:b/>
      <w:sz w:val="16"/>
      <w:szCs w:val="16"/>
    </w:rPr>
  </w:style>
  <w:style w:type="character" w:customStyle="1" w:styleId="9Char">
    <w:name w:val="Επικεφαλίδα 9 Char"/>
    <w:link w:val="9"/>
    <w:rsid w:val="00CD2D8A"/>
    <w:rPr>
      <w:rFonts w:ascii="Arial Narrow" w:hAnsi="Arial Narrow"/>
      <w:b/>
      <w:color w:val="000080"/>
      <w:sz w:val="24"/>
      <w:szCs w:val="22"/>
    </w:rPr>
  </w:style>
  <w:style w:type="character" w:customStyle="1" w:styleId="Char">
    <w:name w:val="Κεφαλίδα Char"/>
    <w:link w:val="a3"/>
    <w:rsid w:val="00CD2D8A"/>
    <w:rPr>
      <w:sz w:val="24"/>
      <w:szCs w:val="24"/>
    </w:rPr>
  </w:style>
  <w:style w:type="character" w:customStyle="1" w:styleId="Char0">
    <w:name w:val="Υποσέλιδο Char"/>
    <w:link w:val="a4"/>
    <w:rsid w:val="00CD2D8A"/>
    <w:rPr>
      <w:sz w:val="24"/>
      <w:szCs w:val="24"/>
    </w:rPr>
  </w:style>
  <w:style w:type="character" w:customStyle="1" w:styleId="Char1">
    <w:name w:val="Κείμενο πλαισίου Char"/>
    <w:link w:val="a6"/>
    <w:uiPriority w:val="99"/>
    <w:semiHidden/>
    <w:rsid w:val="00CD2D8A"/>
    <w:rPr>
      <w:rFonts w:ascii="Tahoma" w:hAnsi="Tahoma" w:cs="Tahoma"/>
      <w:sz w:val="16"/>
      <w:szCs w:val="16"/>
    </w:rPr>
  </w:style>
  <w:style w:type="character" w:customStyle="1" w:styleId="Char2">
    <w:name w:val="Σώμα κείμενου με εσοχή Char"/>
    <w:link w:val="a7"/>
    <w:rsid w:val="00CD2D8A"/>
    <w:rPr>
      <w:sz w:val="22"/>
      <w:szCs w:val="22"/>
    </w:rPr>
  </w:style>
  <w:style w:type="character" w:customStyle="1" w:styleId="Char3">
    <w:name w:val="Σώμα κειμένου Char"/>
    <w:link w:val="a8"/>
    <w:rsid w:val="00CD2D8A"/>
    <w:rPr>
      <w:sz w:val="22"/>
      <w:szCs w:val="22"/>
    </w:rPr>
  </w:style>
  <w:style w:type="character" w:customStyle="1" w:styleId="2Char0">
    <w:name w:val="Σώμα κείμενου με εσοχή 2 Char"/>
    <w:link w:val="20"/>
    <w:rsid w:val="00CD2D8A"/>
    <w:rPr>
      <w:sz w:val="22"/>
      <w:szCs w:val="22"/>
    </w:rPr>
  </w:style>
  <w:style w:type="character" w:customStyle="1" w:styleId="Char4">
    <w:name w:val="Απλό κείμενο Char"/>
    <w:link w:val="a9"/>
    <w:rsid w:val="00CD2D8A"/>
    <w:rPr>
      <w:rFonts w:ascii="Courier New" w:hAnsi="Courier New"/>
    </w:rPr>
  </w:style>
  <w:style w:type="character" w:customStyle="1" w:styleId="2Char1">
    <w:name w:val="Σώμα κείμενου 2 Char"/>
    <w:link w:val="21"/>
    <w:rsid w:val="00CD2D8A"/>
    <w:rPr>
      <w:sz w:val="24"/>
      <w:szCs w:val="24"/>
    </w:rPr>
  </w:style>
  <w:style w:type="character" w:customStyle="1" w:styleId="Char6">
    <w:name w:val="Κείμενο σχολίου Char"/>
    <w:basedOn w:val="a0"/>
    <w:link w:val="ae"/>
    <w:uiPriority w:val="99"/>
    <w:rsid w:val="00CD2D8A"/>
  </w:style>
  <w:style w:type="character" w:customStyle="1" w:styleId="Char7">
    <w:name w:val="Θέμα σχολίου Char"/>
    <w:link w:val="af"/>
    <w:uiPriority w:val="99"/>
    <w:semiHidden/>
    <w:rsid w:val="00CD2D8A"/>
    <w:rPr>
      <w:b/>
      <w:bCs/>
    </w:rPr>
  </w:style>
  <w:style w:type="character" w:customStyle="1" w:styleId="Char8">
    <w:name w:val="Παράγραφος λίστας Char"/>
    <w:aliases w:val="1st level - Bullet List Paragraph Char,Bullet EY Char,Bullet list Char,Lettre d'introduction Char,List L1 Char,List Paragraph compact Char,List Paragraph1 Char,List Paragraph11 Char,Normal bullet 2 Char,Normal bullet 21 Char"/>
    <w:link w:val="af0"/>
    <w:uiPriority w:val="34"/>
    <w:qFormat/>
    <w:locked/>
    <w:rsid w:val="00CC5CF7"/>
    <w:rPr>
      <w:rFonts w:ascii="Calibri" w:eastAsia="Calibri" w:hAnsi="Calibri"/>
      <w:sz w:val="22"/>
      <w:szCs w:val="22"/>
      <w:lang w:eastAsia="en-US"/>
    </w:rPr>
  </w:style>
  <w:style w:type="paragraph" w:styleId="afd">
    <w:name w:val="TOC Heading"/>
    <w:basedOn w:val="a"/>
    <w:next w:val="a"/>
    <w:uiPriority w:val="39"/>
    <w:unhideWhenUsed/>
    <w:qFormat/>
    <w:rsid w:val="00632814"/>
    <w:pPr>
      <w:keepLines/>
      <w:pBdr>
        <w:bottom w:val="single" w:sz="4" w:space="1" w:color="2F5496"/>
      </w:pBdr>
      <w:spacing w:after="240" w:line="276" w:lineRule="auto"/>
    </w:pPr>
    <w:rPr>
      <w:b/>
      <w:bCs/>
      <w:color w:val="2F5496"/>
    </w:rPr>
  </w:style>
  <w:style w:type="paragraph" w:styleId="13">
    <w:name w:val="toc 1"/>
    <w:basedOn w:val="a"/>
    <w:next w:val="a"/>
    <w:autoRedefine/>
    <w:uiPriority w:val="39"/>
    <w:unhideWhenUsed/>
    <w:rsid w:val="00632814"/>
    <w:pPr>
      <w:tabs>
        <w:tab w:val="left" w:pos="709"/>
        <w:tab w:val="right" w:pos="9072"/>
      </w:tabs>
      <w:spacing w:before="240" w:after="160" w:line="276" w:lineRule="auto"/>
    </w:pPr>
    <w:rPr>
      <w:rFonts w:cs="Arial"/>
      <w:b/>
      <w:noProof/>
      <w:color w:val="2F5496"/>
      <w:sz w:val="18"/>
      <w:szCs w:val="18"/>
    </w:rPr>
  </w:style>
  <w:style w:type="paragraph" w:styleId="22">
    <w:name w:val="toc 2"/>
    <w:basedOn w:val="a"/>
    <w:next w:val="a"/>
    <w:autoRedefine/>
    <w:uiPriority w:val="39"/>
    <w:unhideWhenUsed/>
    <w:rsid w:val="00632814"/>
    <w:pPr>
      <w:tabs>
        <w:tab w:val="left" w:pos="709"/>
        <w:tab w:val="right" w:pos="9072"/>
      </w:tabs>
      <w:spacing w:before="160" w:after="60" w:line="276" w:lineRule="auto"/>
    </w:pPr>
    <w:rPr>
      <w:rFonts w:cs="Arial"/>
      <w:b/>
      <w:bCs/>
      <w:noProof/>
      <w:sz w:val="18"/>
      <w:szCs w:val="18"/>
    </w:rPr>
  </w:style>
  <w:style w:type="paragraph" w:styleId="32">
    <w:name w:val="toc 3"/>
    <w:basedOn w:val="a"/>
    <w:next w:val="a"/>
    <w:autoRedefine/>
    <w:uiPriority w:val="39"/>
    <w:unhideWhenUsed/>
    <w:rsid w:val="00632814"/>
    <w:pPr>
      <w:tabs>
        <w:tab w:val="left" w:pos="709"/>
        <w:tab w:val="right" w:pos="9072"/>
      </w:tabs>
      <w:spacing w:before="20" w:after="20" w:line="276" w:lineRule="auto"/>
      <w:ind w:left="709" w:hanging="709"/>
    </w:pPr>
    <w:rPr>
      <w:rFonts w:cs="Arial"/>
      <w:noProof/>
      <w:sz w:val="18"/>
      <w:szCs w:val="18"/>
    </w:rPr>
  </w:style>
  <w:style w:type="paragraph" w:styleId="afe">
    <w:name w:val="caption"/>
    <w:basedOn w:val="a"/>
    <w:next w:val="a"/>
    <w:uiPriority w:val="35"/>
    <w:unhideWhenUsed/>
    <w:qFormat/>
    <w:rsid w:val="00BB55F9"/>
    <w:rPr>
      <w:b/>
      <w:bCs/>
      <w:szCs w:val="20"/>
    </w:rPr>
  </w:style>
  <w:style w:type="paragraph" w:styleId="40">
    <w:name w:val="toc 4"/>
    <w:basedOn w:val="a"/>
    <w:next w:val="a"/>
    <w:autoRedefine/>
    <w:uiPriority w:val="39"/>
    <w:unhideWhenUsed/>
    <w:rsid w:val="00823377"/>
    <w:pPr>
      <w:tabs>
        <w:tab w:val="left" w:pos="709"/>
        <w:tab w:val="right" w:pos="9072"/>
      </w:tabs>
      <w:spacing w:before="20" w:after="20" w:line="276" w:lineRule="auto"/>
      <w:ind w:left="709" w:hanging="709"/>
      <w:jc w:val="left"/>
    </w:pPr>
    <w:rPr>
      <w:rFonts w:cs="Arial"/>
      <w:noProof/>
      <w:sz w:val="18"/>
      <w:szCs w:val="20"/>
    </w:rPr>
  </w:style>
  <w:style w:type="paragraph" w:styleId="af8">
    <w:name w:val="table of figures"/>
    <w:basedOn w:val="a"/>
    <w:link w:val="Charc"/>
    <w:autoRedefine/>
    <w:uiPriority w:val="99"/>
    <w:unhideWhenUsed/>
    <w:qFormat/>
    <w:rsid w:val="000A1E26"/>
    <w:pPr>
      <w:tabs>
        <w:tab w:val="left" w:pos="1276"/>
        <w:tab w:val="right" w:pos="9072"/>
      </w:tabs>
      <w:spacing w:after="20" w:line="276" w:lineRule="auto"/>
      <w:jc w:val="left"/>
    </w:pPr>
    <w:rPr>
      <w:iCs/>
      <w:noProof/>
      <w:color w:val="404040" w:themeColor="text1" w:themeTint="BF"/>
      <w:sz w:val="18"/>
    </w:rPr>
  </w:style>
  <w:style w:type="paragraph" w:styleId="50">
    <w:name w:val="toc 5"/>
    <w:basedOn w:val="a"/>
    <w:next w:val="a"/>
    <w:autoRedefine/>
    <w:uiPriority w:val="39"/>
    <w:unhideWhenUsed/>
    <w:rsid w:val="00CB4536"/>
    <w:pPr>
      <w:tabs>
        <w:tab w:val="left" w:pos="709"/>
        <w:tab w:val="right" w:pos="9072"/>
      </w:tabs>
      <w:spacing w:before="20" w:after="20" w:line="276" w:lineRule="auto"/>
    </w:pPr>
    <w:rPr>
      <w:rFonts w:cs="Arial"/>
      <w:noProof/>
      <w:sz w:val="18"/>
      <w:szCs w:val="20"/>
    </w:rPr>
  </w:style>
  <w:style w:type="paragraph" w:styleId="60">
    <w:name w:val="toc 6"/>
    <w:basedOn w:val="a"/>
    <w:next w:val="a"/>
    <w:autoRedefine/>
    <w:uiPriority w:val="39"/>
    <w:unhideWhenUsed/>
    <w:rsid w:val="0031248B"/>
    <w:pPr>
      <w:spacing w:after="0"/>
      <w:ind w:left="880"/>
      <w:jc w:val="left"/>
    </w:pPr>
    <w:rPr>
      <w:rFonts w:ascii="Calibri" w:hAnsi="Calibri"/>
      <w:szCs w:val="20"/>
    </w:rPr>
  </w:style>
  <w:style w:type="paragraph" w:styleId="70">
    <w:name w:val="toc 7"/>
    <w:basedOn w:val="a"/>
    <w:next w:val="a"/>
    <w:autoRedefine/>
    <w:uiPriority w:val="39"/>
    <w:unhideWhenUsed/>
    <w:rsid w:val="0031248B"/>
    <w:pPr>
      <w:spacing w:after="0"/>
      <w:ind w:left="1100"/>
      <w:jc w:val="left"/>
    </w:pPr>
    <w:rPr>
      <w:rFonts w:ascii="Calibri" w:hAnsi="Calibri"/>
      <w:szCs w:val="20"/>
    </w:rPr>
  </w:style>
  <w:style w:type="paragraph" w:styleId="80">
    <w:name w:val="toc 8"/>
    <w:basedOn w:val="a"/>
    <w:next w:val="a"/>
    <w:autoRedefine/>
    <w:uiPriority w:val="39"/>
    <w:unhideWhenUsed/>
    <w:rsid w:val="0031248B"/>
    <w:pPr>
      <w:spacing w:after="0"/>
      <w:ind w:left="1320"/>
      <w:jc w:val="left"/>
    </w:pPr>
    <w:rPr>
      <w:rFonts w:ascii="Calibri" w:hAnsi="Calibri"/>
      <w:szCs w:val="20"/>
    </w:rPr>
  </w:style>
  <w:style w:type="paragraph" w:styleId="90">
    <w:name w:val="toc 9"/>
    <w:basedOn w:val="a"/>
    <w:next w:val="a"/>
    <w:autoRedefine/>
    <w:uiPriority w:val="39"/>
    <w:unhideWhenUsed/>
    <w:rsid w:val="0031248B"/>
    <w:pPr>
      <w:spacing w:after="0"/>
      <w:ind w:left="1540"/>
      <w:jc w:val="left"/>
    </w:pPr>
    <w:rPr>
      <w:rFonts w:ascii="Calibri" w:hAnsi="Calibri"/>
      <w:szCs w:val="20"/>
    </w:rPr>
  </w:style>
  <w:style w:type="character" w:customStyle="1" w:styleId="14">
    <w:name w:val="Ανεπίλυτη αναφορά1"/>
    <w:uiPriority w:val="99"/>
    <w:semiHidden/>
    <w:unhideWhenUsed/>
    <w:rsid w:val="00193773"/>
    <w:rPr>
      <w:color w:val="605E5C"/>
      <w:shd w:val="clear" w:color="auto" w:fill="E1DFDD"/>
    </w:rPr>
  </w:style>
  <w:style w:type="table" w:customStyle="1" w:styleId="15">
    <w:name w:val="Πλέγμα πίνακα1"/>
    <w:basedOn w:val="a1"/>
    <w:next w:val="ac"/>
    <w:uiPriority w:val="59"/>
    <w:rsid w:val="00E7729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Βασικό1"/>
    <w:rsid w:val="00EA594A"/>
    <w:rPr>
      <w:color w:val="000000"/>
      <w:sz w:val="24"/>
      <w:szCs w:val="24"/>
    </w:rPr>
  </w:style>
  <w:style w:type="character" w:styleId="aff">
    <w:name w:val="Unresolved Mention"/>
    <w:basedOn w:val="a0"/>
    <w:uiPriority w:val="99"/>
    <w:semiHidden/>
    <w:unhideWhenUsed/>
    <w:rsid w:val="002F75CE"/>
    <w:rPr>
      <w:color w:val="605E5C"/>
      <w:shd w:val="clear" w:color="auto" w:fill="E1DFDD"/>
    </w:rPr>
  </w:style>
  <w:style w:type="character" w:customStyle="1" w:styleId="markedcontent">
    <w:name w:val="markedcontent"/>
    <w:basedOn w:val="a0"/>
    <w:rsid w:val="002339BB"/>
  </w:style>
  <w:style w:type="numbering" w:customStyle="1" w:styleId="23">
    <w:name w:val="Χωρίς λίστα2"/>
    <w:next w:val="a2"/>
    <w:uiPriority w:val="99"/>
    <w:semiHidden/>
    <w:rsid w:val="006258B0"/>
  </w:style>
  <w:style w:type="paragraph" w:styleId="aff0">
    <w:name w:val="Block Text"/>
    <w:basedOn w:val="a"/>
    <w:rsid w:val="006258B0"/>
    <w:pPr>
      <w:spacing w:after="0" w:line="240" w:lineRule="auto"/>
      <w:ind w:left="360" w:right="70" w:hanging="360"/>
    </w:pPr>
    <w:rPr>
      <w:rFonts w:ascii="Times New Roman" w:hAnsi="Times New Roman"/>
      <w:sz w:val="16"/>
      <w:szCs w:val="22"/>
    </w:rPr>
  </w:style>
  <w:style w:type="paragraph" w:customStyle="1" w:styleId="xl70">
    <w:name w:val="xl70"/>
    <w:basedOn w:val="a"/>
    <w:rsid w:val="006258B0"/>
    <w:pPr>
      <w:spacing w:before="100" w:beforeAutospacing="1" w:after="100" w:afterAutospacing="1" w:line="240" w:lineRule="auto"/>
      <w:jc w:val="left"/>
      <w:textAlignment w:val="center"/>
    </w:pPr>
    <w:rPr>
      <w:rFonts w:cs="Arial"/>
      <w:sz w:val="22"/>
      <w:szCs w:val="22"/>
    </w:rPr>
  </w:style>
  <w:style w:type="paragraph" w:customStyle="1" w:styleId="xl71">
    <w:name w:val="xl71"/>
    <w:basedOn w:val="a"/>
    <w:rsid w:val="006258B0"/>
    <w:pPr>
      <w:pBdr>
        <w:left w:val="single" w:sz="8" w:space="0" w:color="auto"/>
        <w:right w:val="single" w:sz="4" w:space="0" w:color="000000"/>
      </w:pBdr>
      <w:spacing w:before="100" w:beforeAutospacing="1" w:after="100" w:afterAutospacing="1" w:line="240" w:lineRule="auto"/>
      <w:jc w:val="left"/>
      <w:textAlignment w:val="center"/>
    </w:pPr>
    <w:rPr>
      <w:rFonts w:cs="Arial"/>
      <w:sz w:val="22"/>
      <w:szCs w:val="22"/>
    </w:rPr>
  </w:style>
  <w:style w:type="paragraph" w:customStyle="1" w:styleId="xl72">
    <w:name w:val="xl72"/>
    <w:basedOn w:val="a"/>
    <w:rsid w:val="006258B0"/>
    <w:pPr>
      <w:pBdr>
        <w:left w:val="single" w:sz="4" w:space="0" w:color="000000"/>
        <w:right w:val="single" w:sz="4" w:space="0" w:color="000000"/>
      </w:pBdr>
      <w:spacing w:before="100" w:beforeAutospacing="1" w:after="100" w:afterAutospacing="1" w:line="240" w:lineRule="auto"/>
      <w:jc w:val="left"/>
      <w:textAlignment w:val="center"/>
    </w:pPr>
    <w:rPr>
      <w:rFonts w:cs="Arial"/>
      <w:sz w:val="22"/>
      <w:szCs w:val="22"/>
    </w:rPr>
  </w:style>
  <w:style w:type="paragraph" w:customStyle="1" w:styleId="xl73">
    <w:name w:val="xl73"/>
    <w:basedOn w:val="a"/>
    <w:rsid w:val="006258B0"/>
    <w:pPr>
      <w:pBdr>
        <w:left w:val="single" w:sz="4" w:space="0" w:color="000000"/>
        <w:right w:val="single" w:sz="8" w:space="0" w:color="auto"/>
      </w:pBdr>
      <w:spacing w:before="100" w:beforeAutospacing="1" w:after="100" w:afterAutospacing="1" w:line="240" w:lineRule="auto"/>
      <w:jc w:val="left"/>
      <w:textAlignment w:val="center"/>
    </w:pPr>
    <w:rPr>
      <w:rFonts w:cs="Arial"/>
      <w:sz w:val="22"/>
      <w:szCs w:val="22"/>
    </w:rPr>
  </w:style>
  <w:style w:type="paragraph" w:customStyle="1" w:styleId="xl74">
    <w:name w:val="xl74"/>
    <w:basedOn w:val="a"/>
    <w:rsid w:val="006258B0"/>
    <w:pPr>
      <w:pBdr>
        <w:left w:val="single" w:sz="4" w:space="0" w:color="000000"/>
        <w:right w:val="single" w:sz="4" w:space="0" w:color="000000"/>
      </w:pBdr>
      <w:spacing w:before="100" w:beforeAutospacing="1" w:after="100" w:afterAutospacing="1" w:line="240" w:lineRule="auto"/>
      <w:jc w:val="right"/>
      <w:textAlignment w:val="center"/>
    </w:pPr>
    <w:rPr>
      <w:rFonts w:cs="Arial"/>
      <w:sz w:val="22"/>
      <w:szCs w:val="22"/>
    </w:rPr>
  </w:style>
  <w:style w:type="paragraph" w:customStyle="1" w:styleId="xl75">
    <w:name w:val="xl75"/>
    <w:basedOn w:val="a"/>
    <w:rsid w:val="006258B0"/>
    <w:pPr>
      <w:pBdr>
        <w:left w:val="single" w:sz="4" w:space="0" w:color="000000"/>
        <w:right w:val="single" w:sz="8" w:space="0" w:color="auto"/>
      </w:pBdr>
      <w:spacing w:before="100" w:beforeAutospacing="1" w:after="100" w:afterAutospacing="1" w:line="240" w:lineRule="auto"/>
      <w:jc w:val="right"/>
      <w:textAlignment w:val="center"/>
    </w:pPr>
    <w:rPr>
      <w:rFonts w:cs="Arial"/>
      <w:sz w:val="22"/>
      <w:szCs w:val="22"/>
    </w:rPr>
  </w:style>
  <w:style w:type="paragraph" w:customStyle="1" w:styleId="Titlos1">
    <w:name w:val="Titlos_1"/>
    <w:basedOn w:val="a"/>
    <w:link w:val="Titlos1Char"/>
    <w:qFormat/>
    <w:rsid w:val="006258B0"/>
    <w:pPr>
      <w:shd w:val="clear" w:color="auto" w:fill="595959"/>
      <w:spacing w:after="0" w:line="240" w:lineRule="auto"/>
    </w:pPr>
    <w:rPr>
      <w:rFonts w:ascii="Arial Narrow" w:hAnsi="Arial Narrow"/>
      <w:b/>
      <w:color w:val="FFFFFF"/>
      <w:sz w:val="26"/>
      <w:szCs w:val="26"/>
    </w:rPr>
  </w:style>
  <w:style w:type="character" w:customStyle="1" w:styleId="Titlos1Char">
    <w:name w:val="Titlos_1 Char"/>
    <w:basedOn w:val="a0"/>
    <w:link w:val="Titlos1"/>
    <w:rsid w:val="006258B0"/>
    <w:rPr>
      <w:rFonts w:ascii="Arial Narrow" w:hAnsi="Arial Narrow"/>
      <w:b/>
      <w:color w:val="FFFFFF"/>
      <w:sz w:val="26"/>
      <w:szCs w:val="26"/>
      <w:shd w:val="clear" w:color="auto" w:fill="595959"/>
    </w:rPr>
  </w:style>
  <w:style w:type="paragraph" w:customStyle="1" w:styleId="msonormal0">
    <w:name w:val="msonormal"/>
    <w:basedOn w:val="a"/>
    <w:rsid w:val="006B16D9"/>
    <w:pPr>
      <w:spacing w:before="100" w:beforeAutospacing="1" w:after="100" w:afterAutospacing="1" w:line="240" w:lineRule="auto"/>
      <w:jc w:val="left"/>
    </w:pPr>
    <w:rPr>
      <w:rFonts w:ascii="Times New Roman" w:hAnsi="Times New Roman"/>
      <w:sz w:val="24"/>
    </w:rPr>
  </w:style>
  <w:style w:type="numbering" w:customStyle="1" w:styleId="33">
    <w:name w:val="Χωρίς λίστα3"/>
    <w:next w:val="a2"/>
    <w:uiPriority w:val="99"/>
    <w:semiHidden/>
    <w:unhideWhenUsed/>
    <w:rsid w:val="00A62737"/>
  </w:style>
  <w:style w:type="numbering" w:customStyle="1" w:styleId="110">
    <w:name w:val="Χωρίς λίστα11"/>
    <w:next w:val="a2"/>
    <w:semiHidden/>
    <w:rsid w:val="00A62737"/>
  </w:style>
  <w:style w:type="numbering" w:customStyle="1" w:styleId="210">
    <w:name w:val="Χωρίς λίστα21"/>
    <w:next w:val="a2"/>
    <w:semiHidden/>
    <w:rsid w:val="00A62737"/>
  </w:style>
  <w:style w:type="table" w:customStyle="1" w:styleId="111">
    <w:name w:val="Μεσαία λίστα 11"/>
    <w:basedOn w:val="a1"/>
    <w:next w:val="17"/>
    <w:uiPriority w:val="65"/>
    <w:rsid w:val="008C002B"/>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17">
    <w:name w:val="Medium List 1"/>
    <w:basedOn w:val="a1"/>
    <w:uiPriority w:val="65"/>
    <w:semiHidden/>
    <w:unhideWhenUsed/>
    <w:rsid w:val="008C002B"/>
    <w:rPr>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CharCharCharCharCharCharCharCharCharChar11pt">
    <w:name w:val="Char Char Char Char Char Char Char Char Char Char Βασικό+11pt"/>
    <w:basedOn w:val="a"/>
    <w:rsid w:val="008C002B"/>
    <w:pPr>
      <w:spacing w:after="0" w:line="240" w:lineRule="auto"/>
    </w:pPr>
    <w:rPr>
      <w:rFonts w:ascii="Times New Roman" w:hAnsi="Times New Roman"/>
      <w:b/>
      <w:sz w:val="22"/>
    </w:rPr>
  </w:style>
  <w:style w:type="paragraph" w:customStyle="1" w:styleId="Pinakastitlos">
    <w:name w:val="Pinakas_titlos"/>
    <w:basedOn w:val="a"/>
    <w:qFormat/>
    <w:rsid w:val="008C002B"/>
    <w:pPr>
      <w:spacing w:before="120" w:after="0" w:line="240" w:lineRule="auto"/>
      <w:ind w:right="-1"/>
      <w:jc w:val="center"/>
    </w:pPr>
    <w:rPr>
      <w:rFonts w:ascii="Arial Narrow" w:hAnsi="Arial Narrow"/>
      <w:b/>
      <w:color w:val="FFFFFF"/>
      <w:sz w:val="24"/>
    </w:rPr>
  </w:style>
  <w:style w:type="paragraph" w:customStyle="1" w:styleId="18">
    <w:name w:val="Παράγραφος λίστας1"/>
    <w:basedOn w:val="a"/>
    <w:rsid w:val="008C002B"/>
    <w:pPr>
      <w:spacing w:after="200" w:line="276" w:lineRule="auto"/>
      <w:ind w:left="720"/>
      <w:jc w:val="left"/>
    </w:pPr>
    <w:rPr>
      <w:rFonts w:ascii="Calibri" w:hAnsi="Calibri" w:cs="Calibri"/>
      <w:sz w:val="22"/>
      <w:szCs w:val="22"/>
      <w:lang w:eastAsia="en-US"/>
    </w:rPr>
  </w:style>
  <w:style w:type="paragraph" w:customStyle="1" w:styleId="24">
    <w:name w:val="Παράγραφος λίστας2"/>
    <w:basedOn w:val="a"/>
    <w:rsid w:val="008C002B"/>
    <w:pPr>
      <w:spacing w:after="200" w:line="276" w:lineRule="auto"/>
      <w:ind w:left="720"/>
      <w:jc w:val="left"/>
    </w:pPr>
    <w:rPr>
      <w:rFonts w:ascii="Calibri" w:hAnsi="Calibri" w:cs="Calibri"/>
      <w:sz w:val="22"/>
      <w:szCs w:val="22"/>
      <w:lang w:eastAsia="en-US"/>
    </w:rPr>
  </w:style>
  <w:style w:type="paragraph" w:customStyle="1" w:styleId="xl76">
    <w:name w:val="xl76"/>
    <w:basedOn w:val="a"/>
    <w:rsid w:val="008C002B"/>
    <w:pPr>
      <w:shd w:val="clear" w:color="000000" w:fill="FFFFFF"/>
      <w:spacing w:before="100" w:beforeAutospacing="1" w:after="100" w:afterAutospacing="1" w:line="240" w:lineRule="auto"/>
      <w:jc w:val="left"/>
      <w:textAlignment w:val="center"/>
    </w:pPr>
    <w:rPr>
      <w:rFonts w:ascii="Segoe UI" w:hAnsi="Segoe UI" w:cs="Segoe UI"/>
      <w:b/>
      <w:bCs/>
      <w:sz w:val="16"/>
      <w:szCs w:val="16"/>
    </w:rPr>
  </w:style>
  <w:style w:type="paragraph" w:customStyle="1" w:styleId="xl77">
    <w:name w:val="xl77"/>
    <w:basedOn w:val="a"/>
    <w:rsid w:val="008C002B"/>
    <w:pPr>
      <w:shd w:val="clear" w:color="000000" w:fill="FFFFFF"/>
      <w:spacing w:before="100" w:beforeAutospacing="1" w:after="100" w:afterAutospacing="1" w:line="240" w:lineRule="auto"/>
      <w:jc w:val="center"/>
      <w:textAlignment w:val="center"/>
    </w:pPr>
    <w:rPr>
      <w:rFonts w:ascii="Segoe UI" w:hAnsi="Segoe UI" w:cs="Segoe UI"/>
      <w:sz w:val="16"/>
      <w:szCs w:val="16"/>
    </w:rPr>
  </w:style>
  <w:style w:type="paragraph" w:customStyle="1" w:styleId="xl78">
    <w:name w:val="xl78"/>
    <w:basedOn w:val="a"/>
    <w:rsid w:val="008C002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79">
    <w:name w:val="xl79"/>
    <w:basedOn w:val="a"/>
    <w:rsid w:val="008C002B"/>
    <w:pPr>
      <w:pBdr>
        <w:top w:val="single" w:sz="4" w:space="0" w:color="auto"/>
        <w:left w:val="single" w:sz="4" w:space="0" w:color="auto"/>
        <w:bottom w:val="single" w:sz="4" w:space="0" w:color="auto"/>
      </w:pBd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80">
    <w:name w:val="xl80"/>
    <w:basedOn w:val="a"/>
    <w:rsid w:val="008C002B"/>
    <w:pPr>
      <w:pBdr>
        <w:top w:val="single" w:sz="4" w:space="0" w:color="auto"/>
        <w:bottom w:val="single" w:sz="4" w:space="0" w:color="auto"/>
      </w:pBd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81">
    <w:name w:val="xl81"/>
    <w:basedOn w:val="a"/>
    <w:rsid w:val="008C002B"/>
    <w:pPr>
      <w:pBdr>
        <w:top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82">
    <w:name w:val="xl82"/>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83">
    <w:name w:val="xl83"/>
    <w:basedOn w:val="a"/>
    <w:rsid w:val="008C002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84">
    <w:name w:val="xl84"/>
    <w:basedOn w:val="a"/>
    <w:rsid w:val="008C002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left"/>
      <w:textAlignment w:val="center"/>
    </w:pPr>
    <w:rPr>
      <w:rFonts w:ascii="Arial Narrow" w:hAnsi="Arial Narrow"/>
      <w:b/>
      <w:bCs/>
      <w:sz w:val="16"/>
      <w:szCs w:val="16"/>
    </w:rPr>
  </w:style>
  <w:style w:type="paragraph" w:customStyle="1" w:styleId="xl85">
    <w:name w:val="xl85"/>
    <w:basedOn w:val="a"/>
    <w:rsid w:val="008C002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86">
    <w:name w:val="xl86"/>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87">
    <w:name w:val="xl87"/>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Narrow" w:hAnsi="Arial Narrow"/>
      <w:i/>
      <w:iCs/>
      <w:sz w:val="16"/>
      <w:szCs w:val="16"/>
    </w:rPr>
  </w:style>
  <w:style w:type="paragraph" w:customStyle="1" w:styleId="xl88">
    <w:name w:val="xl88"/>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89">
    <w:name w:val="xl89"/>
    <w:basedOn w:val="a"/>
    <w:rsid w:val="008C002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Narrow" w:hAnsi="Arial Narrow"/>
      <w:b/>
      <w:bCs/>
      <w:i/>
      <w:iCs/>
      <w:sz w:val="16"/>
      <w:szCs w:val="16"/>
    </w:rPr>
  </w:style>
  <w:style w:type="paragraph" w:customStyle="1" w:styleId="xl90">
    <w:name w:val="xl90"/>
    <w:basedOn w:val="a"/>
    <w:rsid w:val="008C002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left"/>
      <w:textAlignment w:val="center"/>
    </w:pPr>
    <w:rPr>
      <w:rFonts w:ascii="Arial Narrow" w:hAnsi="Arial Narrow"/>
      <w:b/>
      <w:bCs/>
      <w:i/>
      <w:iCs/>
      <w:sz w:val="16"/>
      <w:szCs w:val="16"/>
    </w:rPr>
  </w:style>
  <w:style w:type="paragraph" w:customStyle="1" w:styleId="xl91">
    <w:name w:val="xl91"/>
    <w:basedOn w:val="a"/>
    <w:rsid w:val="008C002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Narrow" w:hAnsi="Arial Narrow"/>
      <w:b/>
      <w:bCs/>
      <w:i/>
      <w:iCs/>
      <w:sz w:val="16"/>
      <w:szCs w:val="16"/>
    </w:rPr>
  </w:style>
  <w:style w:type="paragraph" w:customStyle="1" w:styleId="xl92">
    <w:name w:val="xl92"/>
    <w:basedOn w:val="a"/>
    <w:rsid w:val="008C002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Narrow" w:hAnsi="Arial Narrow"/>
      <w:b/>
      <w:bCs/>
      <w:i/>
      <w:iCs/>
      <w:sz w:val="16"/>
      <w:szCs w:val="16"/>
    </w:rPr>
  </w:style>
  <w:style w:type="paragraph" w:customStyle="1" w:styleId="xl93">
    <w:name w:val="xl93"/>
    <w:basedOn w:val="a"/>
    <w:rsid w:val="008C002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left"/>
      <w:textAlignment w:val="center"/>
    </w:pPr>
    <w:rPr>
      <w:rFonts w:ascii="Arial Narrow" w:hAnsi="Arial Narrow"/>
      <w:b/>
      <w:bCs/>
      <w:i/>
      <w:iCs/>
      <w:sz w:val="16"/>
      <w:szCs w:val="16"/>
    </w:rPr>
  </w:style>
  <w:style w:type="paragraph" w:customStyle="1" w:styleId="xl94">
    <w:name w:val="xl94"/>
    <w:basedOn w:val="a"/>
    <w:rsid w:val="008C002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Narrow" w:hAnsi="Arial Narrow"/>
      <w:b/>
      <w:bCs/>
      <w:i/>
      <w:iCs/>
      <w:sz w:val="16"/>
      <w:szCs w:val="16"/>
    </w:rPr>
  </w:style>
  <w:style w:type="paragraph" w:customStyle="1" w:styleId="xl95">
    <w:name w:val="xl95"/>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96">
    <w:name w:val="xl96"/>
    <w:basedOn w:val="a"/>
    <w:rsid w:val="008C002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97">
    <w:name w:val="xl97"/>
    <w:basedOn w:val="a"/>
    <w:rsid w:val="008C002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98">
    <w:name w:val="xl98"/>
    <w:basedOn w:val="a"/>
    <w:rsid w:val="008C002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99">
    <w:name w:val="xl99"/>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Narrow" w:hAnsi="Arial Narrow"/>
      <w:i/>
      <w:iCs/>
      <w:sz w:val="16"/>
      <w:szCs w:val="16"/>
    </w:rPr>
  </w:style>
  <w:style w:type="paragraph" w:customStyle="1" w:styleId="xl100">
    <w:name w:val="xl100"/>
    <w:basedOn w:val="a"/>
    <w:rsid w:val="008C002B"/>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left"/>
      <w:textAlignment w:val="center"/>
    </w:pPr>
    <w:rPr>
      <w:rFonts w:ascii="Arial Narrow" w:hAnsi="Arial Narrow"/>
      <w:b/>
      <w:bCs/>
      <w:sz w:val="16"/>
      <w:szCs w:val="16"/>
    </w:rPr>
  </w:style>
  <w:style w:type="paragraph" w:customStyle="1" w:styleId="xl101">
    <w:name w:val="xl101"/>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102">
    <w:name w:val="xl102"/>
    <w:basedOn w:val="a"/>
    <w:rsid w:val="008C002B"/>
    <w:pPr>
      <w:pBdr>
        <w:top w:val="single" w:sz="4" w:space="0" w:color="auto"/>
        <w:left w:val="single" w:sz="8" w:space="0" w:color="auto"/>
        <w:bottom w:val="single" w:sz="4" w:space="0" w:color="auto"/>
      </w:pBdr>
      <w:spacing w:before="100" w:beforeAutospacing="1" w:after="100" w:afterAutospacing="1" w:line="240" w:lineRule="auto"/>
      <w:jc w:val="left"/>
      <w:textAlignment w:val="center"/>
    </w:pPr>
    <w:rPr>
      <w:rFonts w:ascii="Arial Narrow" w:hAnsi="Arial Narrow"/>
      <w:i/>
      <w:iCs/>
      <w:sz w:val="16"/>
      <w:szCs w:val="16"/>
    </w:rPr>
  </w:style>
  <w:style w:type="paragraph" w:customStyle="1" w:styleId="xl103">
    <w:name w:val="xl103"/>
    <w:basedOn w:val="a"/>
    <w:rsid w:val="008C00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104">
    <w:name w:val="xl104"/>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05">
    <w:name w:val="xl105"/>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sz w:val="16"/>
      <w:szCs w:val="16"/>
    </w:rPr>
  </w:style>
  <w:style w:type="paragraph" w:customStyle="1" w:styleId="xl106">
    <w:name w:val="xl106"/>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sz w:val="16"/>
      <w:szCs w:val="16"/>
    </w:rPr>
  </w:style>
  <w:style w:type="paragraph" w:customStyle="1" w:styleId="xl107">
    <w:name w:val="xl107"/>
    <w:basedOn w:val="a"/>
    <w:rsid w:val="008C002B"/>
    <w:pPr>
      <w:pBdr>
        <w:top w:val="single" w:sz="4" w:space="0" w:color="auto"/>
        <w:left w:val="single" w:sz="4" w:space="0" w:color="auto"/>
        <w:bottom w:val="single" w:sz="4" w:space="0" w:color="auto"/>
      </w:pBdr>
      <w:shd w:val="clear" w:color="000000" w:fill="A5A5A5"/>
      <w:spacing w:before="100" w:beforeAutospacing="1" w:after="100" w:afterAutospacing="1" w:line="240" w:lineRule="auto"/>
      <w:jc w:val="left"/>
      <w:textAlignment w:val="center"/>
    </w:pPr>
    <w:rPr>
      <w:rFonts w:ascii="Arial Narrow" w:hAnsi="Arial Narrow"/>
      <w:b/>
      <w:bCs/>
      <w:sz w:val="16"/>
      <w:szCs w:val="16"/>
    </w:rPr>
  </w:style>
  <w:style w:type="paragraph" w:customStyle="1" w:styleId="xl108">
    <w:name w:val="xl108"/>
    <w:basedOn w:val="a"/>
    <w:rsid w:val="008C002B"/>
    <w:pPr>
      <w:pBdr>
        <w:top w:val="single" w:sz="4" w:space="0" w:color="auto"/>
        <w:bottom w:val="single" w:sz="4" w:space="0" w:color="auto"/>
        <w:right w:val="single" w:sz="4" w:space="0" w:color="auto"/>
      </w:pBdr>
      <w:shd w:val="clear" w:color="000000" w:fill="A5A5A5"/>
      <w:spacing w:before="100" w:beforeAutospacing="1" w:after="100" w:afterAutospacing="1" w:line="240" w:lineRule="auto"/>
      <w:jc w:val="left"/>
      <w:textAlignment w:val="center"/>
    </w:pPr>
    <w:rPr>
      <w:rFonts w:ascii="Arial Narrow" w:hAnsi="Arial Narrow"/>
      <w:b/>
      <w:bCs/>
      <w:sz w:val="16"/>
      <w:szCs w:val="16"/>
    </w:rPr>
  </w:style>
  <w:style w:type="paragraph" w:customStyle="1" w:styleId="xl109">
    <w:name w:val="xl109"/>
    <w:basedOn w:val="a"/>
    <w:rsid w:val="008C002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Narrow" w:hAnsi="Arial Narrow"/>
      <w:b/>
      <w:bCs/>
      <w:sz w:val="16"/>
      <w:szCs w:val="16"/>
    </w:rPr>
  </w:style>
  <w:style w:type="paragraph" w:customStyle="1" w:styleId="xl110">
    <w:name w:val="xl110"/>
    <w:basedOn w:val="a"/>
    <w:rsid w:val="008C002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Narrow" w:hAnsi="Arial Narrow"/>
      <w:b/>
      <w:bCs/>
      <w:sz w:val="16"/>
      <w:szCs w:val="16"/>
    </w:rPr>
  </w:style>
  <w:style w:type="paragraph" w:customStyle="1" w:styleId="xl111">
    <w:name w:val="xl111"/>
    <w:basedOn w:val="a"/>
    <w:rsid w:val="008C002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12">
    <w:name w:val="xl112"/>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Narrow" w:hAnsi="Arial Narrow"/>
      <w:b/>
      <w:bCs/>
      <w:sz w:val="16"/>
      <w:szCs w:val="16"/>
    </w:rPr>
  </w:style>
  <w:style w:type="paragraph" w:customStyle="1" w:styleId="xl113">
    <w:name w:val="xl113"/>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Narrow" w:hAnsi="Arial Narrow"/>
      <w:b/>
      <w:bCs/>
      <w:sz w:val="16"/>
      <w:szCs w:val="16"/>
    </w:rPr>
  </w:style>
  <w:style w:type="paragraph" w:customStyle="1" w:styleId="xl114">
    <w:name w:val="xl114"/>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15">
    <w:name w:val="xl115"/>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16">
    <w:name w:val="xl116"/>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Narrow" w:hAnsi="Arial Narrow"/>
      <w:b/>
      <w:bCs/>
      <w:sz w:val="16"/>
      <w:szCs w:val="16"/>
    </w:rPr>
  </w:style>
  <w:style w:type="paragraph" w:customStyle="1" w:styleId="xl117">
    <w:name w:val="xl117"/>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118">
    <w:name w:val="xl118"/>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Narrow" w:hAnsi="Arial Narrow"/>
      <w:i/>
      <w:iCs/>
      <w:sz w:val="16"/>
      <w:szCs w:val="16"/>
    </w:rPr>
  </w:style>
  <w:style w:type="paragraph" w:customStyle="1" w:styleId="xl119">
    <w:name w:val="xl119"/>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120">
    <w:name w:val="xl120"/>
    <w:basedOn w:val="a"/>
    <w:rsid w:val="008C002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121">
    <w:name w:val="xl121"/>
    <w:basedOn w:val="a"/>
    <w:rsid w:val="008C002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left"/>
      <w:textAlignment w:val="center"/>
    </w:pPr>
    <w:rPr>
      <w:rFonts w:ascii="Arial Narrow" w:hAnsi="Arial Narrow"/>
      <w:b/>
      <w:bCs/>
      <w:sz w:val="16"/>
      <w:szCs w:val="16"/>
    </w:rPr>
  </w:style>
  <w:style w:type="paragraph" w:customStyle="1" w:styleId="xl122">
    <w:name w:val="xl122"/>
    <w:basedOn w:val="a"/>
    <w:rsid w:val="008C002B"/>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jc w:val="center"/>
      <w:textAlignment w:val="center"/>
    </w:pPr>
    <w:rPr>
      <w:rFonts w:ascii="Arial Narrow" w:hAnsi="Arial Narrow"/>
      <w:b/>
      <w:bCs/>
      <w:sz w:val="16"/>
      <w:szCs w:val="16"/>
    </w:rPr>
  </w:style>
  <w:style w:type="paragraph" w:styleId="aff1">
    <w:name w:val="Body Text First Indent"/>
    <w:basedOn w:val="a8"/>
    <w:link w:val="Chard"/>
    <w:uiPriority w:val="99"/>
    <w:rsid w:val="008C002B"/>
    <w:pPr>
      <w:spacing w:line="240" w:lineRule="auto"/>
      <w:ind w:firstLine="210"/>
      <w:jc w:val="left"/>
    </w:pPr>
    <w:rPr>
      <w:rFonts w:ascii="Times New Roman" w:hAnsi="Times New Roman"/>
      <w:sz w:val="20"/>
      <w:szCs w:val="20"/>
      <w:lang w:eastAsia="en-US"/>
    </w:rPr>
  </w:style>
  <w:style w:type="character" w:customStyle="1" w:styleId="Chard">
    <w:name w:val="Σώμα κείμενου Πρώτη Εσοχή Char"/>
    <w:basedOn w:val="Char3"/>
    <w:link w:val="aff1"/>
    <w:uiPriority w:val="99"/>
    <w:rsid w:val="008C002B"/>
    <w:rPr>
      <w:sz w:val="22"/>
      <w:szCs w:val="22"/>
      <w:lang w:eastAsia="en-US"/>
    </w:rPr>
  </w:style>
  <w:style w:type="paragraph" w:customStyle="1" w:styleId="xl123">
    <w:name w:val="xl123"/>
    <w:basedOn w:val="a"/>
    <w:rsid w:val="008C002B"/>
    <w:pPr>
      <w:shd w:val="clear" w:color="000000" w:fill="FFFFFF"/>
      <w:spacing w:before="100" w:beforeAutospacing="1" w:after="100" w:afterAutospacing="1" w:line="240" w:lineRule="auto"/>
      <w:jc w:val="left"/>
    </w:pPr>
    <w:rPr>
      <w:rFonts w:ascii="Arial Narrow" w:hAnsi="Arial Narrow"/>
      <w:sz w:val="24"/>
    </w:rPr>
  </w:style>
  <w:style w:type="paragraph" w:customStyle="1" w:styleId="xl124">
    <w:name w:val="xl124"/>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i/>
      <w:iCs/>
      <w:sz w:val="16"/>
      <w:szCs w:val="16"/>
    </w:rPr>
  </w:style>
  <w:style w:type="paragraph" w:customStyle="1" w:styleId="xl125">
    <w:name w:val="xl125"/>
    <w:basedOn w:val="a"/>
    <w:rsid w:val="008C00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Narrow" w:hAnsi="Arial Narrow"/>
      <w:b/>
      <w:bCs/>
      <w:i/>
      <w:iCs/>
      <w:sz w:val="16"/>
      <w:szCs w:val="16"/>
    </w:rPr>
  </w:style>
  <w:style w:type="paragraph" w:customStyle="1" w:styleId="xl126">
    <w:name w:val="xl126"/>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127">
    <w:name w:val="xl127"/>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Narrow" w:hAnsi="Arial Narrow"/>
      <w:i/>
      <w:iCs/>
      <w:sz w:val="16"/>
      <w:szCs w:val="16"/>
    </w:rPr>
  </w:style>
  <w:style w:type="paragraph" w:customStyle="1" w:styleId="xl128">
    <w:name w:val="xl128"/>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i/>
      <w:iCs/>
      <w:sz w:val="16"/>
      <w:szCs w:val="16"/>
    </w:rPr>
  </w:style>
  <w:style w:type="paragraph" w:customStyle="1" w:styleId="xl129">
    <w:name w:val="xl129"/>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Narrow" w:hAnsi="Arial Narrow"/>
      <w:b/>
      <w:bCs/>
      <w:i/>
      <w:iCs/>
      <w:sz w:val="16"/>
      <w:szCs w:val="16"/>
    </w:rPr>
  </w:style>
  <w:style w:type="paragraph" w:customStyle="1" w:styleId="xl130">
    <w:name w:val="xl130"/>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i/>
      <w:iCs/>
      <w:sz w:val="16"/>
      <w:szCs w:val="16"/>
    </w:rPr>
  </w:style>
  <w:style w:type="paragraph" w:customStyle="1" w:styleId="xl131">
    <w:name w:val="xl131"/>
    <w:basedOn w:val="a"/>
    <w:rsid w:val="008C00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71">
    <w:name w:val="xl53071"/>
    <w:basedOn w:val="a"/>
    <w:rsid w:val="008C002B"/>
    <w:pPr>
      <w:spacing w:before="100" w:beforeAutospacing="1" w:after="100" w:afterAutospacing="1" w:line="240" w:lineRule="auto"/>
      <w:jc w:val="left"/>
    </w:pPr>
    <w:rPr>
      <w:rFonts w:ascii="Calibri" w:hAnsi="Calibri"/>
      <w:color w:val="000000"/>
      <w:sz w:val="24"/>
    </w:rPr>
  </w:style>
  <w:style w:type="paragraph" w:customStyle="1" w:styleId="xl53072">
    <w:name w:val="xl53072"/>
    <w:basedOn w:val="a"/>
    <w:rsid w:val="008C002B"/>
    <w:pPr>
      <w:spacing w:before="100" w:beforeAutospacing="1" w:after="100" w:afterAutospacing="1" w:line="240" w:lineRule="auto"/>
      <w:jc w:val="left"/>
    </w:pPr>
    <w:rPr>
      <w:rFonts w:ascii="Calibri" w:hAnsi="Calibri"/>
      <w:b/>
      <w:bCs/>
      <w:color w:val="000000"/>
      <w:sz w:val="24"/>
    </w:rPr>
  </w:style>
  <w:style w:type="paragraph" w:customStyle="1" w:styleId="xl53073">
    <w:name w:val="xl53073"/>
    <w:basedOn w:val="a"/>
    <w:rsid w:val="008C002B"/>
    <w:pPr>
      <w:spacing w:before="100" w:beforeAutospacing="1" w:after="100" w:afterAutospacing="1" w:line="240" w:lineRule="auto"/>
      <w:jc w:val="left"/>
      <w:textAlignment w:val="center"/>
    </w:pPr>
    <w:rPr>
      <w:rFonts w:ascii="Calibri" w:hAnsi="Calibri"/>
      <w:color w:val="000000"/>
      <w:sz w:val="24"/>
    </w:rPr>
  </w:style>
  <w:style w:type="paragraph" w:customStyle="1" w:styleId="xl53074">
    <w:name w:val="xl53074"/>
    <w:basedOn w:val="a"/>
    <w:rsid w:val="008C002B"/>
    <w:pPr>
      <w:pBdr>
        <w:top w:val="single" w:sz="8" w:space="0" w:color="auto"/>
        <w:left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Arial Narrow" w:hAnsi="Arial Narrow"/>
      <w:sz w:val="24"/>
    </w:rPr>
  </w:style>
  <w:style w:type="paragraph" w:customStyle="1" w:styleId="xl53075">
    <w:name w:val="xl53075"/>
    <w:basedOn w:val="a"/>
    <w:rsid w:val="008C002B"/>
    <w:pPr>
      <w:pBdr>
        <w:top w:val="single" w:sz="8" w:space="0" w:color="auto"/>
        <w:bottom w:val="single" w:sz="8" w:space="0" w:color="auto"/>
      </w:pBdr>
      <w:shd w:val="clear" w:color="000000" w:fill="D8D8D8"/>
      <w:spacing w:before="100" w:beforeAutospacing="1" w:after="100" w:afterAutospacing="1" w:line="240" w:lineRule="auto"/>
      <w:jc w:val="center"/>
      <w:textAlignment w:val="center"/>
    </w:pPr>
    <w:rPr>
      <w:rFonts w:ascii="Arial Narrow" w:hAnsi="Arial Narrow"/>
      <w:sz w:val="24"/>
    </w:rPr>
  </w:style>
  <w:style w:type="paragraph" w:customStyle="1" w:styleId="xl53076">
    <w:name w:val="xl53076"/>
    <w:basedOn w:val="a"/>
    <w:rsid w:val="008C002B"/>
    <w:pPr>
      <w:spacing w:before="100" w:beforeAutospacing="1" w:after="100" w:afterAutospacing="1" w:line="240" w:lineRule="auto"/>
      <w:jc w:val="center"/>
      <w:textAlignment w:val="center"/>
    </w:pPr>
    <w:rPr>
      <w:rFonts w:ascii="Arial Narrow" w:hAnsi="Arial Narrow"/>
      <w:b/>
      <w:bCs/>
      <w:color w:val="0000FF"/>
      <w:sz w:val="16"/>
      <w:szCs w:val="16"/>
    </w:rPr>
  </w:style>
  <w:style w:type="paragraph" w:customStyle="1" w:styleId="xl53077">
    <w:name w:val="xl53077"/>
    <w:basedOn w:val="a"/>
    <w:rsid w:val="008C002B"/>
    <w:pPr>
      <w:shd w:val="clear" w:color="000000" w:fill="A5A5A5"/>
      <w:spacing w:before="100" w:beforeAutospacing="1" w:after="100" w:afterAutospacing="1" w:line="240" w:lineRule="auto"/>
      <w:jc w:val="left"/>
      <w:textAlignment w:val="center"/>
    </w:pPr>
    <w:rPr>
      <w:rFonts w:ascii="Arial Narrow" w:hAnsi="Arial Narrow"/>
      <w:b/>
      <w:bCs/>
      <w:sz w:val="16"/>
      <w:szCs w:val="16"/>
    </w:rPr>
  </w:style>
  <w:style w:type="paragraph" w:customStyle="1" w:styleId="xl53078">
    <w:name w:val="xl53078"/>
    <w:basedOn w:val="a"/>
    <w:rsid w:val="008C002B"/>
    <w:pP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79">
    <w:name w:val="xl53079"/>
    <w:basedOn w:val="a"/>
    <w:rsid w:val="008C002B"/>
    <w:pPr>
      <w:spacing w:before="100" w:beforeAutospacing="1" w:after="100" w:afterAutospacing="1" w:line="240" w:lineRule="auto"/>
      <w:jc w:val="left"/>
      <w:textAlignment w:val="center"/>
    </w:pPr>
    <w:rPr>
      <w:rFonts w:ascii="Arial Narrow" w:hAnsi="Arial Narrow"/>
      <w:b/>
      <w:bCs/>
      <w:sz w:val="16"/>
      <w:szCs w:val="16"/>
    </w:rPr>
  </w:style>
  <w:style w:type="paragraph" w:customStyle="1" w:styleId="xl53080">
    <w:name w:val="xl53080"/>
    <w:basedOn w:val="a"/>
    <w:rsid w:val="008C002B"/>
    <w:pP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81">
    <w:name w:val="xl53081"/>
    <w:basedOn w:val="a"/>
    <w:rsid w:val="008C002B"/>
    <w:pPr>
      <w:spacing w:before="100" w:beforeAutospacing="1" w:after="100" w:afterAutospacing="1" w:line="240" w:lineRule="auto"/>
      <w:jc w:val="left"/>
      <w:textAlignment w:val="center"/>
    </w:pPr>
    <w:rPr>
      <w:rFonts w:ascii="Arial Narrow" w:hAnsi="Arial Narrow"/>
      <w:sz w:val="16"/>
      <w:szCs w:val="16"/>
    </w:rPr>
  </w:style>
  <w:style w:type="paragraph" w:customStyle="1" w:styleId="xl53082">
    <w:name w:val="xl53082"/>
    <w:basedOn w:val="a"/>
    <w:rsid w:val="008C002B"/>
    <w:pPr>
      <w:spacing w:before="100" w:beforeAutospacing="1" w:after="100" w:afterAutospacing="1" w:line="240" w:lineRule="auto"/>
      <w:jc w:val="center"/>
      <w:textAlignment w:val="center"/>
    </w:pPr>
    <w:rPr>
      <w:rFonts w:ascii="Arial Narrow" w:hAnsi="Arial Narrow"/>
      <w:sz w:val="16"/>
      <w:szCs w:val="16"/>
    </w:rPr>
  </w:style>
  <w:style w:type="paragraph" w:customStyle="1" w:styleId="xl53083">
    <w:name w:val="xl53083"/>
    <w:basedOn w:val="a"/>
    <w:rsid w:val="008C002B"/>
    <w:pP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84">
    <w:name w:val="xl53084"/>
    <w:basedOn w:val="a"/>
    <w:rsid w:val="008C002B"/>
    <w:pPr>
      <w:spacing w:before="100" w:beforeAutospacing="1" w:after="100" w:afterAutospacing="1" w:line="240" w:lineRule="auto"/>
      <w:jc w:val="left"/>
      <w:textAlignment w:val="center"/>
    </w:pPr>
    <w:rPr>
      <w:rFonts w:ascii="Arial Narrow" w:hAnsi="Arial Narrow"/>
      <w:i/>
      <w:iCs/>
      <w:sz w:val="16"/>
      <w:szCs w:val="16"/>
    </w:rPr>
  </w:style>
  <w:style w:type="paragraph" w:customStyle="1" w:styleId="xl53085">
    <w:name w:val="xl53085"/>
    <w:basedOn w:val="a"/>
    <w:rsid w:val="008C002B"/>
    <w:pPr>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53086">
    <w:name w:val="xl53086"/>
    <w:basedOn w:val="a"/>
    <w:rsid w:val="008C002B"/>
    <w:pP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87">
    <w:name w:val="xl53087"/>
    <w:basedOn w:val="a"/>
    <w:rsid w:val="008C002B"/>
    <w:pPr>
      <w:spacing w:before="100" w:beforeAutospacing="1" w:after="100" w:afterAutospacing="1" w:line="240" w:lineRule="auto"/>
      <w:jc w:val="center"/>
      <w:textAlignment w:val="center"/>
    </w:pPr>
    <w:rPr>
      <w:rFonts w:ascii="Arial Narrow" w:hAnsi="Arial Narrow"/>
      <w:i/>
      <w:iCs/>
      <w:sz w:val="16"/>
      <w:szCs w:val="16"/>
    </w:rPr>
  </w:style>
  <w:style w:type="paragraph" w:customStyle="1" w:styleId="xl53088">
    <w:name w:val="xl53088"/>
    <w:basedOn w:val="a"/>
    <w:rsid w:val="008C002B"/>
    <w:pPr>
      <w:spacing w:before="100" w:beforeAutospacing="1" w:after="100" w:afterAutospacing="1" w:line="240" w:lineRule="auto"/>
      <w:jc w:val="left"/>
      <w:textAlignment w:val="center"/>
    </w:pPr>
    <w:rPr>
      <w:rFonts w:ascii="Arial Narrow" w:hAnsi="Arial Narrow"/>
      <w:b/>
      <w:bCs/>
      <w:i/>
      <w:iCs/>
      <w:sz w:val="16"/>
      <w:szCs w:val="16"/>
    </w:rPr>
  </w:style>
  <w:style w:type="paragraph" w:customStyle="1" w:styleId="xl53089">
    <w:name w:val="xl53089"/>
    <w:basedOn w:val="a"/>
    <w:rsid w:val="008C002B"/>
    <w:pP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90">
    <w:name w:val="xl53090"/>
    <w:basedOn w:val="a"/>
    <w:rsid w:val="008C002B"/>
    <w:pPr>
      <w:shd w:val="clear" w:color="000000" w:fill="A5A5A5"/>
      <w:spacing w:before="100" w:beforeAutospacing="1" w:after="100" w:afterAutospacing="1" w:line="240" w:lineRule="auto"/>
      <w:jc w:val="left"/>
      <w:textAlignment w:val="center"/>
    </w:pPr>
    <w:rPr>
      <w:rFonts w:ascii="Arial Narrow" w:hAnsi="Arial Narrow"/>
      <w:b/>
      <w:bCs/>
      <w:sz w:val="16"/>
      <w:szCs w:val="16"/>
    </w:rPr>
  </w:style>
  <w:style w:type="paragraph" w:customStyle="1" w:styleId="xl53091">
    <w:name w:val="xl53091"/>
    <w:basedOn w:val="a"/>
    <w:rsid w:val="008C002B"/>
    <w:pPr>
      <w:shd w:val="clear" w:color="000000" w:fill="A5A5A5"/>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92">
    <w:name w:val="xl53092"/>
    <w:basedOn w:val="a"/>
    <w:rsid w:val="008C002B"/>
    <w:pPr>
      <w:spacing w:before="100" w:beforeAutospacing="1" w:after="100" w:afterAutospacing="1" w:line="240" w:lineRule="auto"/>
      <w:jc w:val="center"/>
      <w:textAlignment w:val="center"/>
    </w:pPr>
    <w:rPr>
      <w:rFonts w:ascii="Arial Narrow" w:hAnsi="Arial Narrow"/>
      <w:sz w:val="16"/>
      <w:szCs w:val="16"/>
    </w:rPr>
  </w:style>
  <w:style w:type="paragraph" w:customStyle="1" w:styleId="xl53093">
    <w:name w:val="xl53093"/>
    <w:basedOn w:val="a"/>
    <w:rsid w:val="008C002B"/>
    <w:pPr>
      <w:spacing w:before="100" w:beforeAutospacing="1" w:after="100" w:afterAutospacing="1" w:line="240" w:lineRule="auto"/>
      <w:jc w:val="left"/>
      <w:textAlignment w:val="center"/>
    </w:pPr>
    <w:rPr>
      <w:rFonts w:ascii="Arial Narrow" w:hAnsi="Arial Narrow"/>
      <w:b/>
      <w:bCs/>
      <w:i/>
      <w:iCs/>
      <w:sz w:val="16"/>
      <w:szCs w:val="16"/>
    </w:rPr>
  </w:style>
  <w:style w:type="paragraph" w:customStyle="1" w:styleId="xl53094">
    <w:name w:val="xl53094"/>
    <w:basedOn w:val="a"/>
    <w:rsid w:val="008C002B"/>
    <w:pPr>
      <w:shd w:val="clear" w:color="000000" w:fill="C5BE97"/>
      <w:spacing w:before="100" w:beforeAutospacing="1" w:after="100" w:afterAutospacing="1" w:line="240" w:lineRule="auto"/>
      <w:jc w:val="left"/>
    </w:pPr>
    <w:rPr>
      <w:rFonts w:ascii="Arial Narrow" w:hAnsi="Arial Narrow"/>
      <w:i/>
      <w:iCs/>
      <w:sz w:val="16"/>
      <w:szCs w:val="16"/>
    </w:rPr>
  </w:style>
  <w:style w:type="paragraph" w:customStyle="1" w:styleId="xl53095">
    <w:name w:val="xl53095"/>
    <w:basedOn w:val="a"/>
    <w:rsid w:val="008C002B"/>
    <w:pPr>
      <w:shd w:val="clear" w:color="000000" w:fill="FFFF00"/>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96">
    <w:name w:val="xl53096"/>
    <w:basedOn w:val="a"/>
    <w:rsid w:val="008C002B"/>
    <w:pPr>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97">
    <w:name w:val="xl53097"/>
    <w:basedOn w:val="a"/>
    <w:rsid w:val="008C002B"/>
    <w:pPr>
      <w:pBdr>
        <w:top w:val="single" w:sz="8" w:space="0" w:color="auto"/>
        <w:left w:val="single" w:sz="8" w:space="0" w:color="auto"/>
      </w:pBdr>
      <w:spacing w:before="100" w:beforeAutospacing="1" w:after="100" w:afterAutospacing="1" w:line="240" w:lineRule="auto"/>
      <w:jc w:val="center"/>
      <w:textAlignment w:val="center"/>
    </w:pPr>
    <w:rPr>
      <w:rFonts w:ascii="Arial Narrow" w:hAnsi="Arial Narrow"/>
      <w:sz w:val="16"/>
      <w:szCs w:val="16"/>
    </w:rPr>
  </w:style>
  <w:style w:type="paragraph" w:customStyle="1" w:styleId="xl53098">
    <w:name w:val="xl53098"/>
    <w:basedOn w:val="a"/>
    <w:rsid w:val="008C002B"/>
    <w:pPr>
      <w:pBdr>
        <w:top w:val="single" w:sz="8" w:space="0" w:color="auto"/>
        <w:left w:val="single" w:sz="8" w:space="0" w:color="auto"/>
        <w:right w:val="single" w:sz="8" w:space="0" w:color="auto"/>
      </w:pBdr>
      <w:shd w:val="clear" w:color="000000" w:fill="FAC090"/>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099">
    <w:name w:val="xl53099"/>
    <w:basedOn w:val="a"/>
    <w:rsid w:val="008C002B"/>
    <w:pPr>
      <w:pBdr>
        <w:top w:val="single" w:sz="8" w:space="0" w:color="auto"/>
        <w:left w:val="single" w:sz="8" w:space="0" w:color="auto"/>
        <w:bottom w:val="single" w:sz="8" w:space="0" w:color="auto"/>
      </w:pBdr>
      <w:shd w:val="clear" w:color="000000" w:fill="B6DDE8"/>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100">
    <w:name w:val="xl53100"/>
    <w:basedOn w:val="a"/>
    <w:rsid w:val="008C002B"/>
    <w:pPr>
      <w:pBdr>
        <w:top w:val="single" w:sz="8" w:space="0" w:color="auto"/>
        <w:bottom w:val="single" w:sz="8" w:space="0" w:color="auto"/>
        <w:right w:val="single" w:sz="8" w:space="0" w:color="auto"/>
      </w:pBdr>
      <w:shd w:val="clear" w:color="000000" w:fill="B6DDE8"/>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101">
    <w:name w:val="xl53101"/>
    <w:basedOn w:val="a"/>
    <w:rsid w:val="008C002B"/>
    <w:pPr>
      <w:pBdr>
        <w:top w:val="single" w:sz="8" w:space="0" w:color="auto"/>
        <w:left w:val="single" w:sz="8" w:space="0" w:color="auto"/>
        <w:bottom w:val="single" w:sz="8" w:space="0" w:color="auto"/>
      </w:pBdr>
      <w:shd w:val="clear" w:color="000000" w:fill="C2D69A"/>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102">
    <w:name w:val="xl53102"/>
    <w:basedOn w:val="a"/>
    <w:rsid w:val="008C002B"/>
    <w:pPr>
      <w:pBdr>
        <w:top w:val="single" w:sz="8" w:space="0" w:color="auto"/>
        <w:bottom w:val="single" w:sz="8" w:space="0" w:color="auto"/>
      </w:pBdr>
      <w:shd w:val="clear" w:color="000000" w:fill="C2D69A"/>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103">
    <w:name w:val="xl53103"/>
    <w:basedOn w:val="a"/>
    <w:rsid w:val="008C002B"/>
    <w:pPr>
      <w:pBdr>
        <w:left w:val="single" w:sz="8" w:space="0" w:color="auto"/>
        <w:bottom w:val="single" w:sz="8" w:space="0" w:color="auto"/>
      </w:pBdr>
      <w:spacing w:before="100" w:beforeAutospacing="1" w:after="100" w:afterAutospacing="1" w:line="240" w:lineRule="auto"/>
      <w:jc w:val="left"/>
      <w:textAlignment w:val="center"/>
    </w:pPr>
    <w:rPr>
      <w:rFonts w:ascii="Arial Narrow" w:hAnsi="Arial Narrow"/>
      <w:color w:val="000000"/>
      <w:sz w:val="16"/>
      <w:szCs w:val="16"/>
    </w:rPr>
  </w:style>
  <w:style w:type="paragraph" w:customStyle="1" w:styleId="xl53104">
    <w:name w:val="xl53104"/>
    <w:basedOn w:val="a"/>
    <w:rsid w:val="008C002B"/>
    <w:pPr>
      <w:pBdr>
        <w:top w:val="single" w:sz="8" w:space="0" w:color="auto"/>
        <w:left w:val="single" w:sz="8" w:space="0" w:color="auto"/>
        <w:bottom w:val="single" w:sz="8" w:space="0" w:color="auto"/>
        <w:right w:val="single" w:sz="8" w:space="0" w:color="auto"/>
      </w:pBdr>
      <w:shd w:val="clear" w:color="000000" w:fill="FAC090"/>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105">
    <w:name w:val="xl53105"/>
    <w:basedOn w:val="a"/>
    <w:rsid w:val="008C002B"/>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106">
    <w:name w:val="xl53106"/>
    <w:basedOn w:val="a"/>
    <w:rsid w:val="008C002B"/>
    <w:pPr>
      <w:pBdr>
        <w:top w:val="single" w:sz="8" w:space="0" w:color="auto"/>
        <w:left w:val="single" w:sz="8" w:space="0" w:color="auto"/>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Arial Narrow" w:hAnsi="Arial Narrow"/>
      <w:b/>
      <w:bCs/>
      <w:sz w:val="16"/>
      <w:szCs w:val="16"/>
    </w:rPr>
  </w:style>
  <w:style w:type="paragraph" w:customStyle="1" w:styleId="xl53107">
    <w:name w:val="xl53107"/>
    <w:basedOn w:val="a"/>
    <w:rsid w:val="008C002B"/>
    <w:pPr>
      <w:spacing w:before="100" w:beforeAutospacing="1" w:after="100" w:afterAutospacing="1" w:line="240" w:lineRule="auto"/>
      <w:jc w:val="left"/>
    </w:pPr>
    <w:rPr>
      <w:rFonts w:ascii="Arial Narrow" w:hAnsi="Arial Narrow"/>
      <w:color w:val="000000"/>
      <w:sz w:val="16"/>
      <w:szCs w:val="16"/>
    </w:rPr>
  </w:style>
  <w:style w:type="paragraph" w:customStyle="1" w:styleId="xl53108">
    <w:name w:val="xl53108"/>
    <w:basedOn w:val="a"/>
    <w:rsid w:val="008C002B"/>
    <w:pPr>
      <w:spacing w:before="100" w:beforeAutospacing="1" w:after="100" w:afterAutospacing="1" w:line="240" w:lineRule="auto"/>
      <w:jc w:val="left"/>
    </w:pPr>
    <w:rPr>
      <w:rFonts w:ascii="Arial Narrow" w:hAnsi="Arial Narrow"/>
      <w:sz w:val="16"/>
      <w:szCs w:val="16"/>
    </w:rPr>
  </w:style>
  <w:style w:type="paragraph" w:customStyle="1" w:styleId="xl53109">
    <w:name w:val="xl53109"/>
    <w:basedOn w:val="a"/>
    <w:rsid w:val="008C002B"/>
    <w:pPr>
      <w:spacing w:before="100" w:beforeAutospacing="1" w:after="100" w:afterAutospacing="1" w:line="240" w:lineRule="auto"/>
      <w:ind w:firstLineChars="200" w:firstLine="200"/>
      <w:jc w:val="left"/>
      <w:textAlignment w:val="center"/>
    </w:pPr>
    <w:rPr>
      <w:rFonts w:ascii="Arial Narrow" w:hAnsi="Arial Narrow"/>
      <w:sz w:val="16"/>
      <w:szCs w:val="16"/>
    </w:rPr>
  </w:style>
  <w:style w:type="table" w:customStyle="1" w:styleId="2-21">
    <w:name w:val="Μεσαία σκίαση 2 - ΄Εμφαση 21"/>
    <w:basedOn w:val="a1"/>
    <w:next w:val="2-2"/>
    <w:uiPriority w:val="64"/>
    <w:rsid w:val="008C002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translate">
    <w:name w:val="notranslate"/>
    <w:rsid w:val="008C002B"/>
  </w:style>
  <w:style w:type="character" w:customStyle="1" w:styleId="tlid-translation">
    <w:name w:val="tlid-translation"/>
    <w:rsid w:val="008C002B"/>
  </w:style>
  <w:style w:type="table" w:customStyle="1" w:styleId="GridTable4-Accent11">
    <w:name w:val="Grid Table 4 - Accent 11"/>
    <w:basedOn w:val="a1"/>
    <w:uiPriority w:val="49"/>
    <w:rsid w:val="008C002B"/>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6Colorful-Accent11">
    <w:name w:val="List Table 6 Colorful - Accent 11"/>
    <w:basedOn w:val="a1"/>
    <w:uiPriority w:val="51"/>
    <w:rsid w:val="008C002B"/>
    <w:rPr>
      <w:rFonts w:ascii="Calibri" w:eastAsia="Calibri" w:hAnsi="Calibri"/>
      <w:color w:val="365F91"/>
      <w:sz w:val="22"/>
      <w:szCs w:val="22"/>
      <w:lang w:eastAsia="en-US"/>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leParagraph">
    <w:name w:val="Table Paragraph"/>
    <w:basedOn w:val="a"/>
    <w:uiPriority w:val="1"/>
    <w:qFormat/>
    <w:rsid w:val="008C002B"/>
    <w:pPr>
      <w:widowControl w:val="0"/>
      <w:autoSpaceDE w:val="0"/>
      <w:autoSpaceDN w:val="0"/>
      <w:spacing w:after="200" w:line="276" w:lineRule="auto"/>
      <w:jc w:val="left"/>
    </w:pPr>
    <w:rPr>
      <w:rFonts w:eastAsia="Arial" w:cs="Arial"/>
      <w:sz w:val="22"/>
      <w:szCs w:val="22"/>
      <w:lang w:val="en-US" w:eastAsia="en-US"/>
    </w:rPr>
  </w:style>
  <w:style w:type="paragraph" w:customStyle="1" w:styleId="xl65">
    <w:name w:val="xl65"/>
    <w:basedOn w:val="a"/>
    <w:rsid w:val="008C002B"/>
    <w:pPr>
      <w:spacing w:before="100" w:beforeAutospacing="1" w:after="100" w:afterAutospacing="1" w:line="240" w:lineRule="auto"/>
      <w:jc w:val="left"/>
    </w:pPr>
    <w:rPr>
      <w:rFonts w:ascii="Arial Narrow" w:hAnsi="Arial Narrow"/>
      <w:sz w:val="14"/>
      <w:szCs w:val="14"/>
    </w:rPr>
  </w:style>
  <w:style w:type="paragraph" w:customStyle="1" w:styleId="xl66">
    <w:name w:val="xl66"/>
    <w:basedOn w:val="a"/>
    <w:rsid w:val="008C002B"/>
    <w:pPr>
      <w:shd w:val="clear" w:color="000000" w:fill="A0A0A0"/>
      <w:spacing w:before="100" w:beforeAutospacing="1" w:after="100" w:afterAutospacing="1" w:line="240" w:lineRule="auto"/>
      <w:jc w:val="left"/>
    </w:pPr>
    <w:rPr>
      <w:rFonts w:ascii="Arial Narrow" w:hAnsi="Arial Narrow"/>
      <w:sz w:val="14"/>
      <w:szCs w:val="14"/>
    </w:rPr>
  </w:style>
  <w:style w:type="paragraph" w:customStyle="1" w:styleId="xl67">
    <w:name w:val="xl67"/>
    <w:basedOn w:val="a"/>
    <w:rsid w:val="008C002B"/>
    <w:pPr>
      <w:shd w:val="clear" w:color="000000" w:fill="A0A0A0"/>
      <w:spacing w:before="100" w:beforeAutospacing="1" w:after="100" w:afterAutospacing="1" w:line="240" w:lineRule="auto"/>
      <w:jc w:val="left"/>
    </w:pPr>
    <w:rPr>
      <w:rFonts w:ascii="Arial Narrow" w:hAnsi="Arial Narrow"/>
      <w:sz w:val="14"/>
      <w:szCs w:val="14"/>
    </w:rPr>
  </w:style>
  <w:style w:type="paragraph" w:customStyle="1" w:styleId="xl68">
    <w:name w:val="xl68"/>
    <w:basedOn w:val="a"/>
    <w:rsid w:val="008C002B"/>
    <w:pPr>
      <w:shd w:val="clear" w:color="000000" w:fill="A0A0A0"/>
      <w:spacing w:before="100" w:beforeAutospacing="1" w:after="100" w:afterAutospacing="1" w:line="240" w:lineRule="auto"/>
      <w:jc w:val="right"/>
    </w:pPr>
    <w:rPr>
      <w:rFonts w:ascii="Arial Narrow" w:hAnsi="Arial Narrow"/>
      <w:sz w:val="14"/>
      <w:szCs w:val="14"/>
    </w:rPr>
  </w:style>
  <w:style w:type="paragraph" w:customStyle="1" w:styleId="xl69">
    <w:name w:val="xl69"/>
    <w:basedOn w:val="a"/>
    <w:rsid w:val="008C002B"/>
    <w:pPr>
      <w:shd w:val="clear" w:color="000000" w:fill="BEBEBE"/>
      <w:spacing w:before="100" w:beforeAutospacing="1" w:after="100" w:afterAutospacing="1" w:line="240" w:lineRule="auto"/>
      <w:jc w:val="left"/>
    </w:pPr>
    <w:rPr>
      <w:rFonts w:ascii="Arial Narrow" w:hAnsi="Arial Narrow"/>
      <w:sz w:val="14"/>
      <w:szCs w:val="14"/>
    </w:rPr>
  </w:style>
  <w:style w:type="paragraph" w:customStyle="1" w:styleId="Style3">
    <w:name w:val="Style3"/>
    <w:basedOn w:val="a"/>
    <w:uiPriority w:val="99"/>
    <w:rsid w:val="008C002B"/>
    <w:pPr>
      <w:spacing w:before="120" w:line="240" w:lineRule="auto"/>
      <w:jc w:val="center"/>
    </w:pPr>
    <w:rPr>
      <w:rFonts w:cs="Arial"/>
      <w:b/>
      <w:bCs/>
      <w:kern w:val="32"/>
      <w:sz w:val="28"/>
      <w:szCs w:val="32"/>
      <w:u w:val="single"/>
    </w:rPr>
  </w:style>
  <w:style w:type="table" w:customStyle="1" w:styleId="-11">
    <w:name w:val="Ανοιχτόχρωμη σκίαση - Έμφαση 11"/>
    <w:basedOn w:val="a1"/>
    <w:uiPriority w:val="60"/>
    <w:rsid w:val="008C002B"/>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v1msolistparagraph">
    <w:name w:val="v1msolistparagraph"/>
    <w:basedOn w:val="a"/>
    <w:rsid w:val="008C002B"/>
    <w:pPr>
      <w:spacing w:before="100" w:beforeAutospacing="1" w:after="100" w:afterAutospacing="1" w:line="240" w:lineRule="auto"/>
      <w:jc w:val="left"/>
    </w:pPr>
    <w:rPr>
      <w:rFonts w:ascii="Times New Roman" w:hAnsi="Times New Roman"/>
      <w:sz w:val="24"/>
      <w:lang w:val="en-US" w:eastAsia="en-US"/>
    </w:rPr>
  </w:style>
  <w:style w:type="paragraph" w:customStyle="1" w:styleId="v1msonormal">
    <w:name w:val="v1msonormal"/>
    <w:basedOn w:val="a"/>
    <w:rsid w:val="008C002B"/>
    <w:pPr>
      <w:spacing w:before="100" w:beforeAutospacing="1" w:after="100" w:afterAutospacing="1" w:line="240" w:lineRule="auto"/>
      <w:jc w:val="left"/>
    </w:pPr>
    <w:rPr>
      <w:rFonts w:ascii="Times New Roman" w:hAnsi="Times New Roman"/>
      <w:sz w:val="24"/>
      <w:lang w:val="en-US" w:eastAsia="en-US"/>
    </w:rPr>
  </w:style>
  <w:style w:type="character" w:customStyle="1" w:styleId="g-lead">
    <w:name w:val="g-lead"/>
    <w:rsid w:val="008C002B"/>
  </w:style>
  <w:style w:type="table" w:customStyle="1" w:styleId="112">
    <w:name w:val="Μεσαία σκίαση 11"/>
    <w:basedOn w:val="a1"/>
    <w:next w:val="19"/>
    <w:uiPriority w:val="63"/>
    <w:rsid w:val="008C002B"/>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20">
    <w:name w:val="Μεσαία λίστα 12"/>
    <w:basedOn w:val="a1"/>
    <w:next w:val="17"/>
    <w:uiPriority w:val="65"/>
    <w:rsid w:val="008C002B"/>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TableCell">
    <w:name w:val="Table Cell"/>
    <w:basedOn w:val="a"/>
    <w:uiPriority w:val="9"/>
    <w:qFormat/>
    <w:rsid w:val="008C002B"/>
    <w:pPr>
      <w:widowControl w:val="0"/>
      <w:spacing w:before="10" w:after="20" w:line="200" w:lineRule="exact"/>
      <w:jc w:val="right"/>
    </w:pPr>
    <w:rPr>
      <w:rFonts w:ascii="Arial Narrow" w:eastAsia="Calibri" w:hAnsi="Arial Narrow"/>
      <w:color w:val="000000"/>
      <w:sz w:val="17"/>
      <w:szCs w:val="22"/>
      <w:lang w:val="en-GB" w:eastAsia="en-US"/>
    </w:rPr>
  </w:style>
  <w:style w:type="paragraph" w:customStyle="1" w:styleId="TableRow">
    <w:name w:val="Table Row"/>
    <w:qFormat/>
    <w:rsid w:val="008C002B"/>
    <w:pPr>
      <w:spacing w:before="10" w:after="20" w:line="200" w:lineRule="exact"/>
    </w:pPr>
    <w:rPr>
      <w:rFonts w:ascii="Arial Narrow" w:eastAsia="Calibri" w:hAnsi="Arial Narrow"/>
      <w:color w:val="000000"/>
      <w:sz w:val="17"/>
      <w:szCs w:val="22"/>
      <w:lang w:val="en-GB" w:eastAsia="en-US"/>
    </w:rPr>
  </w:style>
  <w:style w:type="paragraph" w:customStyle="1" w:styleId="TableColumn">
    <w:name w:val="Table Column"/>
    <w:qFormat/>
    <w:rsid w:val="008C002B"/>
    <w:pPr>
      <w:spacing w:before="20" w:line="220" w:lineRule="exact"/>
      <w:jc w:val="center"/>
    </w:pPr>
    <w:rPr>
      <w:rFonts w:ascii="Arial Narrow" w:eastAsia="Calibri" w:hAnsi="Arial Narrow"/>
      <w:color w:val="000000"/>
      <w:sz w:val="18"/>
      <w:szCs w:val="22"/>
      <w:lang w:val="en-GB" w:eastAsia="en-US"/>
    </w:rPr>
  </w:style>
  <w:style w:type="table" w:customStyle="1" w:styleId="OECD">
    <w:name w:val="OECD"/>
    <w:basedOn w:val="1a"/>
    <w:uiPriority w:val="99"/>
    <w:rsid w:val="008C002B"/>
    <w:pPr>
      <w:spacing w:before="10" w:after="20" w:line="200" w:lineRule="exact"/>
      <w:jc w:val="both"/>
    </w:pPr>
    <w:rPr>
      <w:rFonts w:ascii="Arial Narrow" w:eastAsia="Calibri" w:hAnsi="Arial Narrow"/>
      <w:sz w:val="17"/>
      <w:lang w:val="en-US" w:eastAsia="en-GB"/>
    </w:rPr>
    <w:tblPr>
      <w:tblBorders>
        <w:top w:val="single" w:sz="12" w:space="0" w:color="4F81BD"/>
        <w:bottom w:val="single" w:sz="12" w:space="0" w:color="4F81BD"/>
        <w:insideH w:val="single" w:sz="6" w:space="0" w:color="BFBFBF"/>
        <w:insideV w:val="single" w:sz="6" w:space="0" w:color="BFBFBF"/>
      </w:tblBorders>
    </w:tblPr>
    <w:tcPr>
      <w:shd w:val="clear" w:color="auto" w:fill="auto"/>
    </w:tcPr>
    <w:tblStylePr w:type="firstRow">
      <w:tblPr/>
      <w:tcPr>
        <w:tcBorders>
          <w:bottom w:val="single" w:sz="6" w:space="0" w:color="4F81BD"/>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a">
    <w:name w:val="Table Simple 1"/>
    <w:basedOn w:val="a1"/>
    <w:semiHidden/>
    <w:unhideWhenUsed/>
    <w:rsid w:val="008C002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2">
    <w:name w:val="Medium Shading 2 Accent 2"/>
    <w:basedOn w:val="a1"/>
    <w:uiPriority w:val="64"/>
    <w:semiHidden/>
    <w:unhideWhenUsed/>
    <w:rsid w:val="008C002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19">
    <w:name w:val="Medium Shading 1"/>
    <w:basedOn w:val="a1"/>
    <w:uiPriority w:val="63"/>
    <w:semiHidden/>
    <w:unhideWhenUsed/>
    <w:rsid w:val="008C002B"/>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OECD1">
    <w:name w:val="OECD1"/>
    <w:basedOn w:val="1a"/>
    <w:uiPriority w:val="99"/>
    <w:rsid w:val="008C002B"/>
    <w:pPr>
      <w:spacing w:before="10" w:after="20" w:line="200" w:lineRule="exact"/>
      <w:jc w:val="both"/>
    </w:pPr>
    <w:rPr>
      <w:rFonts w:ascii="Arial Narrow" w:eastAsia="Calibri" w:hAnsi="Arial Narrow"/>
      <w:sz w:val="17"/>
      <w:lang w:val="en-US" w:eastAsia="en-GB"/>
    </w:rPr>
    <w:tblPr>
      <w:tblBorders>
        <w:top w:val="single" w:sz="12" w:space="0" w:color="4F81BD"/>
        <w:bottom w:val="single" w:sz="12" w:space="0" w:color="4F81BD"/>
        <w:insideH w:val="single" w:sz="6" w:space="0" w:color="BFBFBF"/>
        <w:insideV w:val="single" w:sz="6" w:space="0" w:color="BFBFBF"/>
      </w:tblBorders>
    </w:tblPr>
    <w:tcPr>
      <w:shd w:val="clear" w:color="auto" w:fill="auto"/>
    </w:tcPr>
    <w:tblStylePr w:type="firstRow">
      <w:tblPr/>
      <w:tcPr>
        <w:tcBorders>
          <w:bottom w:val="single" w:sz="6" w:space="0" w:color="4F81BD"/>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paragraph" w:customStyle="1" w:styleId="Para">
    <w:name w:val="Para"/>
    <w:link w:val="ParaChar"/>
    <w:uiPriority w:val="4"/>
    <w:qFormat/>
    <w:rsid w:val="008C002B"/>
    <w:pPr>
      <w:spacing w:before="120" w:after="120" w:line="260" w:lineRule="atLeast"/>
      <w:jc w:val="both"/>
    </w:pPr>
    <w:rPr>
      <w:rFonts w:asciiTheme="minorHAnsi" w:hAnsiTheme="minorHAnsi"/>
      <w:color w:val="000000" w:themeColor="text1"/>
      <w:szCs w:val="22"/>
      <w:lang w:val="en-GB" w:eastAsia="en-US"/>
    </w:rPr>
  </w:style>
  <w:style w:type="character" w:customStyle="1" w:styleId="ParaChar">
    <w:name w:val="Para Char"/>
    <w:basedOn w:val="a0"/>
    <w:link w:val="Para"/>
    <w:uiPriority w:val="4"/>
    <w:locked/>
    <w:rsid w:val="008C002B"/>
    <w:rPr>
      <w:rFonts w:asciiTheme="minorHAnsi" w:hAnsiTheme="minorHAnsi"/>
      <w:color w:val="000000" w:themeColor="text1"/>
      <w:szCs w:val="22"/>
      <w:lang w:val="en-GB" w:eastAsia="en-US"/>
    </w:rPr>
  </w:style>
  <w:style w:type="paragraph" w:customStyle="1" w:styleId="xl63">
    <w:name w:val="xl63"/>
    <w:basedOn w:val="a"/>
    <w:rsid w:val="008C002B"/>
    <w:pPr>
      <w:spacing w:before="100" w:beforeAutospacing="1" w:after="100" w:afterAutospacing="1" w:line="240" w:lineRule="auto"/>
      <w:jc w:val="left"/>
    </w:pPr>
    <w:rPr>
      <w:rFonts w:cs="Arial"/>
      <w:sz w:val="16"/>
      <w:szCs w:val="16"/>
    </w:rPr>
  </w:style>
  <w:style w:type="paragraph" w:customStyle="1" w:styleId="xl64">
    <w:name w:val="xl64"/>
    <w:basedOn w:val="a"/>
    <w:rsid w:val="008C002B"/>
    <w:pPr>
      <w:pBdr>
        <w:top w:val="dotted" w:sz="4" w:space="0" w:color="000000"/>
        <w:left w:val="single" w:sz="8" w:space="0" w:color="000000"/>
        <w:bottom w:val="dotted" w:sz="4" w:space="0" w:color="000000"/>
        <w:right w:val="dotted" w:sz="4" w:space="0" w:color="000000"/>
      </w:pBdr>
      <w:spacing w:before="100" w:beforeAutospacing="1" w:after="100" w:afterAutospacing="1" w:line="240" w:lineRule="auto"/>
      <w:jc w:val="left"/>
      <w:textAlignment w:val="center"/>
    </w:pPr>
    <w:rPr>
      <w:rFonts w:cs="Arial"/>
      <w:sz w:val="16"/>
      <w:szCs w:val="16"/>
    </w:rPr>
  </w:style>
  <w:style w:type="paragraph" w:customStyle="1" w:styleId="xl132">
    <w:name w:val="xl132"/>
    <w:basedOn w:val="a"/>
    <w:rsid w:val="008943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Calibri" w:hAnsi="Calibri" w:cs="Calibri"/>
      <w:b/>
      <w:bCs/>
      <w:sz w:val="24"/>
    </w:rPr>
  </w:style>
  <w:style w:type="paragraph" w:customStyle="1" w:styleId="xl133">
    <w:name w:val="xl133"/>
    <w:basedOn w:val="a"/>
    <w:rsid w:val="00894363"/>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left"/>
    </w:pPr>
    <w:rPr>
      <w:rFonts w:ascii="Calibri" w:hAnsi="Calibri" w:cs="Calibri"/>
      <w:b/>
      <w:bCs/>
      <w:sz w:val="24"/>
    </w:rPr>
  </w:style>
  <w:style w:type="paragraph" w:customStyle="1" w:styleId="xl134">
    <w:name w:val="xl134"/>
    <w:basedOn w:val="a"/>
    <w:rsid w:val="00894363"/>
    <w:pPr>
      <w:pBdr>
        <w:top w:val="single" w:sz="8" w:space="0" w:color="auto"/>
        <w:bottom w:val="single" w:sz="8" w:space="0" w:color="auto"/>
      </w:pBdr>
      <w:shd w:val="clear" w:color="000000" w:fill="D9D9D9"/>
      <w:spacing w:before="100" w:beforeAutospacing="1" w:after="100" w:afterAutospacing="1" w:line="240" w:lineRule="auto"/>
      <w:jc w:val="center"/>
      <w:textAlignment w:val="center"/>
    </w:pPr>
    <w:rPr>
      <w:rFonts w:ascii="Calibri" w:hAnsi="Calibri" w:cs="Calibri"/>
      <w:b/>
      <w:bCs/>
      <w:sz w:val="24"/>
    </w:rPr>
  </w:style>
  <w:style w:type="paragraph" w:customStyle="1" w:styleId="xl135">
    <w:name w:val="xl135"/>
    <w:basedOn w:val="a"/>
    <w:rsid w:val="00894363"/>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textAlignment w:val="center"/>
    </w:pPr>
    <w:rPr>
      <w:rFonts w:ascii="Calibri" w:hAnsi="Calibri" w:cs="Calibri"/>
      <w:b/>
      <w:bCs/>
      <w:sz w:val="28"/>
      <w:szCs w:val="28"/>
    </w:rPr>
  </w:style>
  <w:style w:type="paragraph" w:customStyle="1" w:styleId="xl136">
    <w:name w:val="xl136"/>
    <w:basedOn w:val="a"/>
    <w:rsid w:val="00894363"/>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hAnsi="Calibri" w:cs="Calibri"/>
      <w:b/>
      <w:bCs/>
      <w:color w:val="FFFFFF"/>
      <w:sz w:val="24"/>
    </w:rPr>
  </w:style>
  <w:style w:type="paragraph" w:customStyle="1" w:styleId="xl137">
    <w:name w:val="xl137"/>
    <w:basedOn w:val="a"/>
    <w:rsid w:val="00894363"/>
    <w:pPr>
      <w:pBdr>
        <w:left w:val="single" w:sz="8" w:space="0" w:color="auto"/>
        <w:bottom w:val="single" w:sz="8" w:space="0" w:color="auto"/>
        <w:right w:val="single" w:sz="8" w:space="0" w:color="auto"/>
      </w:pBdr>
      <w:shd w:val="clear" w:color="000000" w:fill="1F497D"/>
      <w:spacing w:before="100" w:beforeAutospacing="1" w:after="100" w:afterAutospacing="1" w:line="240" w:lineRule="auto"/>
      <w:jc w:val="center"/>
      <w:textAlignment w:val="center"/>
    </w:pPr>
    <w:rPr>
      <w:rFonts w:ascii="Calibri" w:hAnsi="Calibri" w:cs="Calibri"/>
      <w:b/>
      <w:bCs/>
      <w:color w:val="FFFFFF"/>
      <w:sz w:val="24"/>
    </w:rPr>
  </w:style>
  <w:style w:type="paragraph" w:customStyle="1" w:styleId="xl138">
    <w:name w:val="xl138"/>
    <w:basedOn w:val="a"/>
    <w:rsid w:val="00894363"/>
    <w:pPr>
      <w:pBdr>
        <w:top w:val="single" w:sz="8" w:space="0" w:color="auto"/>
        <w:left w:val="single" w:sz="8" w:space="0" w:color="auto"/>
        <w:bottom w:val="single" w:sz="8" w:space="0" w:color="auto"/>
      </w:pBdr>
      <w:spacing w:before="100" w:beforeAutospacing="1" w:after="100" w:afterAutospacing="1" w:line="240" w:lineRule="auto"/>
      <w:jc w:val="left"/>
      <w:textAlignment w:val="center"/>
    </w:pPr>
    <w:rPr>
      <w:rFonts w:ascii="Calibri" w:hAnsi="Calibri" w:cs="Calibri"/>
      <w:b/>
      <w:bCs/>
      <w:sz w:val="24"/>
    </w:rPr>
  </w:style>
  <w:style w:type="paragraph" w:customStyle="1" w:styleId="xl139">
    <w:name w:val="xl139"/>
    <w:basedOn w:val="a"/>
    <w:rsid w:val="00894363"/>
    <w:pPr>
      <w:pBdr>
        <w:top w:val="single" w:sz="8" w:space="0" w:color="auto"/>
        <w:bottom w:val="single" w:sz="8" w:space="0" w:color="auto"/>
      </w:pBdr>
      <w:spacing w:before="100" w:beforeAutospacing="1" w:after="100" w:afterAutospacing="1" w:line="240" w:lineRule="auto"/>
      <w:jc w:val="left"/>
      <w:textAlignment w:val="center"/>
    </w:pPr>
    <w:rPr>
      <w:rFonts w:ascii="Calibri" w:hAnsi="Calibri" w:cs="Calibri"/>
      <w:b/>
      <w:bCs/>
      <w:sz w:val="24"/>
    </w:rPr>
  </w:style>
  <w:style w:type="paragraph" w:customStyle="1" w:styleId="xl140">
    <w:name w:val="xl140"/>
    <w:basedOn w:val="a"/>
    <w:rsid w:val="00894363"/>
    <w:pPr>
      <w:pBdr>
        <w:left w:val="single" w:sz="8" w:space="0" w:color="auto"/>
        <w:bottom w:val="single" w:sz="8" w:space="0" w:color="auto"/>
      </w:pBdr>
      <w:shd w:val="clear" w:color="000000" w:fill="538DD5"/>
      <w:spacing w:before="100" w:beforeAutospacing="1" w:after="100" w:afterAutospacing="1" w:line="240" w:lineRule="auto"/>
      <w:jc w:val="left"/>
      <w:textAlignment w:val="center"/>
    </w:pPr>
    <w:rPr>
      <w:rFonts w:ascii="Calibri" w:hAnsi="Calibri" w:cs="Calibri"/>
      <w:b/>
      <w:bCs/>
      <w:sz w:val="24"/>
    </w:rPr>
  </w:style>
  <w:style w:type="paragraph" w:customStyle="1" w:styleId="xl141">
    <w:name w:val="xl141"/>
    <w:basedOn w:val="a"/>
    <w:rsid w:val="00894363"/>
    <w:pPr>
      <w:pBdr>
        <w:bottom w:val="single" w:sz="8" w:space="0" w:color="auto"/>
      </w:pBdr>
      <w:shd w:val="clear" w:color="000000" w:fill="538DD5"/>
      <w:spacing w:before="100" w:beforeAutospacing="1" w:after="100" w:afterAutospacing="1" w:line="240" w:lineRule="auto"/>
      <w:jc w:val="left"/>
      <w:textAlignment w:val="center"/>
    </w:pPr>
    <w:rPr>
      <w:rFonts w:ascii="Calibri" w:hAnsi="Calibri" w:cs="Calibri"/>
      <w:b/>
      <w:bCs/>
      <w:sz w:val="24"/>
    </w:rPr>
  </w:style>
  <w:style w:type="paragraph" w:customStyle="1" w:styleId="xl142">
    <w:name w:val="xl142"/>
    <w:basedOn w:val="a"/>
    <w:rsid w:val="00894363"/>
    <w:pPr>
      <w:pBdr>
        <w:bottom w:val="single" w:sz="8" w:space="0" w:color="auto"/>
      </w:pBdr>
      <w:shd w:val="clear" w:color="000000" w:fill="1F497D"/>
      <w:spacing w:before="100" w:beforeAutospacing="1" w:after="100" w:afterAutospacing="1" w:line="240" w:lineRule="auto"/>
      <w:jc w:val="center"/>
      <w:textAlignment w:val="center"/>
    </w:pPr>
    <w:rPr>
      <w:rFonts w:ascii="Calibri" w:hAnsi="Calibri" w:cs="Calibri"/>
      <w:b/>
      <w:bCs/>
      <w:color w:val="FFFFFF"/>
      <w:sz w:val="24"/>
    </w:rPr>
  </w:style>
  <w:style w:type="paragraph" w:customStyle="1" w:styleId="xl143">
    <w:name w:val="xl143"/>
    <w:basedOn w:val="a"/>
    <w:rsid w:val="00894363"/>
    <w:pPr>
      <w:pBdr>
        <w:top w:val="single" w:sz="12" w:space="0" w:color="auto"/>
        <w:left w:val="single" w:sz="8" w:space="0" w:color="auto"/>
        <w:bottom w:val="single" w:sz="8" w:space="0" w:color="auto"/>
      </w:pBdr>
      <w:spacing w:before="100" w:beforeAutospacing="1" w:after="100" w:afterAutospacing="1" w:line="240" w:lineRule="auto"/>
      <w:jc w:val="left"/>
      <w:textAlignment w:val="center"/>
    </w:pPr>
    <w:rPr>
      <w:rFonts w:ascii="Times New Roman" w:hAnsi="Times New Roman"/>
      <w:b/>
      <w:bCs/>
      <w:sz w:val="24"/>
    </w:rPr>
  </w:style>
  <w:style w:type="paragraph" w:customStyle="1" w:styleId="xl144">
    <w:name w:val="xl144"/>
    <w:basedOn w:val="a"/>
    <w:rsid w:val="00894363"/>
    <w:pPr>
      <w:pBdr>
        <w:top w:val="single" w:sz="12" w:space="0" w:color="auto"/>
        <w:bottom w:val="single" w:sz="8" w:space="0" w:color="auto"/>
      </w:pBdr>
      <w:spacing w:before="100" w:beforeAutospacing="1" w:after="100" w:afterAutospacing="1" w:line="240" w:lineRule="auto"/>
      <w:jc w:val="left"/>
      <w:textAlignment w:val="center"/>
    </w:pPr>
    <w:rPr>
      <w:rFonts w:ascii="Times New Roman" w:hAnsi="Times New Roman"/>
      <w:b/>
      <w:bCs/>
      <w:sz w:val="24"/>
    </w:rPr>
  </w:style>
  <w:style w:type="paragraph" w:customStyle="1" w:styleId="xl145">
    <w:name w:val="xl145"/>
    <w:basedOn w:val="a"/>
    <w:rsid w:val="00894363"/>
    <w:pPr>
      <w:pBdr>
        <w:top w:val="single" w:sz="8" w:space="0" w:color="auto"/>
        <w:left w:val="single" w:sz="8" w:space="0" w:color="auto"/>
        <w:right w:val="single" w:sz="8" w:space="0" w:color="auto"/>
      </w:pBdr>
      <w:shd w:val="clear" w:color="000000" w:fill="1F497D"/>
      <w:spacing w:before="100" w:beforeAutospacing="1" w:after="100" w:afterAutospacing="1" w:line="240" w:lineRule="auto"/>
      <w:jc w:val="left"/>
      <w:textAlignment w:val="center"/>
    </w:pPr>
    <w:rPr>
      <w:rFonts w:ascii="Calibri" w:hAnsi="Calibri" w:cs="Calibri"/>
      <w:b/>
      <w:bCs/>
      <w:color w:val="FFFFFF"/>
      <w:sz w:val="24"/>
    </w:rPr>
  </w:style>
  <w:style w:type="numbering" w:customStyle="1" w:styleId="41">
    <w:name w:val="Χωρίς λίστα4"/>
    <w:next w:val="a2"/>
    <w:uiPriority w:val="99"/>
    <w:semiHidden/>
    <w:unhideWhenUsed/>
    <w:rsid w:val="00FF4262"/>
  </w:style>
  <w:style w:type="paragraph" w:customStyle="1" w:styleId="xl146">
    <w:name w:val="xl146"/>
    <w:basedOn w:val="a"/>
    <w:rsid w:val="00FF4262"/>
    <w:pPr>
      <w:pBdr>
        <w:top w:val="single" w:sz="4" w:space="0" w:color="auto"/>
        <w:left w:val="single" w:sz="4" w:space="0" w:color="auto"/>
        <w:bottom w:val="single" w:sz="8" w:space="0" w:color="auto"/>
        <w:right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147">
    <w:name w:val="xl147"/>
    <w:basedOn w:val="a"/>
    <w:rsid w:val="00FF4262"/>
    <w:pPr>
      <w:pBdr>
        <w:top w:val="single" w:sz="4" w:space="0" w:color="auto"/>
        <w:left w:val="single" w:sz="4" w:space="0" w:color="auto"/>
        <w:bottom w:val="single" w:sz="8" w:space="0" w:color="auto"/>
        <w:right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148">
    <w:name w:val="xl148"/>
    <w:basedOn w:val="a"/>
    <w:rsid w:val="00FF4262"/>
    <w:pPr>
      <w:pBdr>
        <w:top w:val="single" w:sz="8" w:space="0" w:color="auto"/>
      </w:pBdr>
      <w:spacing w:before="100" w:beforeAutospacing="1" w:after="100" w:afterAutospacing="1" w:line="240" w:lineRule="auto"/>
      <w:jc w:val="left"/>
    </w:pPr>
    <w:rPr>
      <w:rFonts w:ascii="Calibri" w:hAnsi="Calibri" w:cs="Calibri"/>
      <w:sz w:val="22"/>
      <w:szCs w:val="22"/>
    </w:rPr>
  </w:style>
  <w:style w:type="paragraph" w:customStyle="1" w:styleId="xl149">
    <w:name w:val="xl149"/>
    <w:basedOn w:val="a"/>
    <w:rsid w:val="00FF4262"/>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Calibri" w:hAnsi="Calibri" w:cs="Calibri"/>
      <w:sz w:val="22"/>
      <w:szCs w:val="22"/>
    </w:rPr>
  </w:style>
  <w:style w:type="paragraph" w:customStyle="1" w:styleId="xl150">
    <w:name w:val="xl150"/>
    <w:basedOn w:val="a"/>
    <w:rsid w:val="00FF4262"/>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line="240" w:lineRule="auto"/>
      <w:jc w:val="left"/>
    </w:pPr>
    <w:rPr>
      <w:rFonts w:ascii="Calibri" w:hAnsi="Calibri" w:cs="Calibri"/>
      <w:sz w:val="22"/>
      <w:szCs w:val="22"/>
    </w:rPr>
  </w:style>
  <w:style w:type="paragraph" w:customStyle="1" w:styleId="xl151">
    <w:name w:val="xl151"/>
    <w:basedOn w:val="a"/>
    <w:rsid w:val="00FF4262"/>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pPr>
    <w:rPr>
      <w:rFonts w:ascii="Calibri" w:hAnsi="Calibri" w:cs="Calibri"/>
      <w:sz w:val="22"/>
      <w:szCs w:val="22"/>
    </w:rPr>
  </w:style>
  <w:style w:type="paragraph" w:customStyle="1" w:styleId="xl152">
    <w:name w:val="xl152"/>
    <w:basedOn w:val="a"/>
    <w:rsid w:val="00FF426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left"/>
    </w:pPr>
    <w:rPr>
      <w:rFonts w:ascii="Calibri" w:hAnsi="Calibri" w:cs="Calibri"/>
      <w:sz w:val="22"/>
      <w:szCs w:val="22"/>
    </w:rPr>
  </w:style>
  <w:style w:type="paragraph" w:customStyle="1" w:styleId="xl153">
    <w:name w:val="xl153"/>
    <w:basedOn w:val="a"/>
    <w:rsid w:val="00FF4262"/>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right"/>
    </w:pPr>
    <w:rPr>
      <w:rFonts w:ascii="Calibri" w:hAnsi="Calibri" w:cs="Calibri"/>
      <w:sz w:val="22"/>
      <w:szCs w:val="22"/>
    </w:rPr>
  </w:style>
  <w:style w:type="paragraph" w:customStyle="1" w:styleId="xl154">
    <w:name w:val="xl154"/>
    <w:basedOn w:val="a"/>
    <w:rsid w:val="00FF4262"/>
    <w:pPr>
      <w:pBdr>
        <w:top w:val="single" w:sz="4" w:space="0" w:color="auto"/>
        <w:left w:val="single" w:sz="4" w:space="0" w:color="auto"/>
        <w:right w:val="single" w:sz="8" w:space="0" w:color="auto"/>
      </w:pBdr>
      <w:shd w:val="clear" w:color="000000" w:fill="99CCFF"/>
      <w:spacing w:before="100" w:beforeAutospacing="1" w:after="100" w:afterAutospacing="1" w:line="240" w:lineRule="auto"/>
      <w:jc w:val="right"/>
    </w:pPr>
    <w:rPr>
      <w:rFonts w:ascii="Calibri" w:hAnsi="Calibri" w:cs="Calibri"/>
      <w:sz w:val="22"/>
      <w:szCs w:val="22"/>
    </w:rPr>
  </w:style>
  <w:style w:type="paragraph" w:customStyle="1" w:styleId="xl155">
    <w:name w:val="xl155"/>
    <w:basedOn w:val="a"/>
    <w:rsid w:val="00FF4262"/>
    <w:pPr>
      <w:pBdr>
        <w:top w:val="single" w:sz="4" w:space="0" w:color="auto"/>
        <w:left w:val="single" w:sz="8"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Calibri" w:hAnsi="Calibri" w:cs="Calibri"/>
      <w:sz w:val="22"/>
      <w:szCs w:val="22"/>
    </w:rPr>
  </w:style>
  <w:style w:type="paragraph" w:customStyle="1" w:styleId="xl156">
    <w:name w:val="xl156"/>
    <w:basedOn w:val="a"/>
    <w:rsid w:val="00FF4262"/>
    <w:pPr>
      <w:pBdr>
        <w:left w:val="single" w:sz="8" w:space="0" w:color="auto"/>
        <w:right w:val="single" w:sz="8" w:space="0" w:color="auto"/>
      </w:pBdr>
      <w:shd w:val="clear" w:color="000000" w:fill="FFCC99"/>
      <w:spacing w:before="100" w:beforeAutospacing="1" w:after="100" w:afterAutospacing="1" w:line="240" w:lineRule="auto"/>
      <w:jc w:val="center"/>
    </w:pPr>
    <w:rPr>
      <w:rFonts w:ascii="Calibri" w:hAnsi="Calibri" w:cs="Calibri"/>
      <w:sz w:val="22"/>
      <w:szCs w:val="22"/>
    </w:rPr>
  </w:style>
  <w:style w:type="paragraph" w:customStyle="1" w:styleId="xl157">
    <w:name w:val="xl157"/>
    <w:basedOn w:val="a"/>
    <w:rsid w:val="00FF4262"/>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58">
    <w:name w:val="xl158"/>
    <w:basedOn w:val="a"/>
    <w:rsid w:val="00FF426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59">
    <w:name w:val="xl159"/>
    <w:basedOn w:val="a"/>
    <w:rsid w:val="00FF426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60">
    <w:name w:val="xl160"/>
    <w:basedOn w:val="a"/>
    <w:rsid w:val="00FF4262"/>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Calibri" w:hAnsi="Calibri" w:cs="Calibri"/>
      <w:sz w:val="22"/>
      <w:szCs w:val="22"/>
    </w:rPr>
  </w:style>
  <w:style w:type="paragraph" w:customStyle="1" w:styleId="xl161">
    <w:name w:val="xl161"/>
    <w:basedOn w:val="a"/>
    <w:rsid w:val="00FF4262"/>
    <w:pPr>
      <w:pBdr>
        <w:top w:val="single" w:sz="4" w:space="0" w:color="auto"/>
        <w:bottom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62">
    <w:name w:val="xl162"/>
    <w:basedOn w:val="a"/>
    <w:rsid w:val="00FF4262"/>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Calibri" w:hAnsi="Calibri" w:cs="Calibri"/>
      <w:sz w:val="22"/>
      <w:szCs w:val="22"/>
    </w:rPr>
  </w:style>
  <w:style w:type="paragraph" w:customStyle="1" w:styleId="xl163">
    <w:name w:val="xl163"/>
    <w:basedOn w:val="a"/>
    <w:rsid w:val="00FF4262"/>
    <w:pP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64">
    <w:name w:val="xl164"/>
    <w:basedOn w:val="a"/>
    <w:rsid w:val="00FF4262"/>
    <w:pPr>
      <w:pBdr>
        <w:top w:val="single" w:sz="4"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textAlignment w:val="center"/>
    </w:pPr>
    <w:rPr>
      <w:rFonts w:ascii="Calibri" w:hAnsi="Calibri" w:cs="Calibri"/>
      <w:sz w:val="22"/>
      <w:szCs w:val="22"/>
    </w:rPr>
  </w:style>
  <w:style w:type="paragraph" w:customStyle="1" w:styleId="xl165">
    <w:name w:val="xl165"/>
    <w:basedOn w:val="a"/>
    <w:rsid w:val="00FF4262"/>
    <w:pPr>
      <w:shd w:val="clear" w:color="000000" w:fill="CC99FF"/>
      <w:spacing w:before="100" w:beforeAutospacing="1" w:after="100" w:afterAutospacing="1" w:line="240" w:lineRule="auto"/>
      <w:jc w:val="center"/>
    </w:pPr>
    <w:rPr>
      <w:rFonts w:ascii="Calibri" w:hAnsi="Calibri" w:cs="Calibri"/>
      <w:b/>
      <w:bCs/>
      <w:sz w:val="28"/>
      <w:szCs w:val="28"/>
    </w:rPr>
  </w:style>
  <w:style w:type="paragraph" w:customStyle="1" w:styleId="xl166">
    <w:name w:val="xl166"/>
    <w:basedOn w:val="a"/>
    <w:rsid w:val="00FF4262"/>
    <w:pPr>
      <w:shd w:val="clear" w:color="000000" w:fill="CC99FF"/>
      <w:spacing w:before="100" w:beforeAutospacing="1" w:after="100" w:afterAutospacing="1" w:line="240" w:lineRule="auto"/>
      <w:jc w:val="center"/>
    </w:pPr>
    <w:rPr>
      <w:rFonts w:ascii="Calibri" w:hAnsi="Calibri" w:cs="Calibri"/>
      <w:b/>
      <w:bCs/>
      <w:sz w:val="28"/>
      <w:szCs w:val="28"/>
      <w:u w:val="single"/>
    </w:rPr>
  </w:style>
  <w:style w:type="paragraph" w:customStyle="1" w:styleId="xl167">
    <w:name w:val="xl167"/>
    <w:basedOn w:val="a"/>
    <w:rsid w:val="00FF4262"/>
    <w:pPr>
      <w:pBdr>
        <w:top w:val="single" w:sz="4" w:space="0" w:color="auto"/>
        <w:bottom w:val="single" w:sz="4" w:space="0" w:color="auto"/>
      </w:pBdr>
      <w:shd w:val="clear" w:color="000000" w:fill="00B050"/>
      <w:spacing w:before="100" w:beforeAutospacing="1" w:after="100" w:afterAutospacing="1" w:line="240" w:lineRule="auto"/>
      <w:jc w:val="left"/>
    </w:pPr>
    <w:rPr>
      <w:rFonts w:ascii="Calibri" w:hAnsi="Calibri" w:cs="Calibri"/>
      <w:sz w:val="22"/>
      <w:szCs w:val="22"/>
    </w:rPr>
  </w:style>
  <w:style w:type="paragraph" w:customStyle="1" w:styleId="xl168">
    <w:name w:val="xl168"/>
    <w:basedOn w:val="a"/>
    <w:rsid w:val="00FF42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2"/>
      <w:szCs w:val="22"/>
    </w:rPr>
  </w:style>
  <w:style w:type="paragraph" w:customStyle="1" w:styleId="xl169">
    <w:name w:val="xl169"/>
    <w:basedOn w:val="a"/>
    <w:rsid w:val="00FF426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u w:val="single"/>
    </w:rPr>
  </w:style>
  <w:style w:type="paragraph" w:customStyle="1" w:styleId="xl170">
    <w:name w:val="xl170"/>
    <w:basedOn w:val="a"/>
    <w:rsid w:val="00FF4262"/>
    <w:pPr>
      <w:pBdr>
        <w:bottom w:val="single" w:sz="8" w:space="0" w:color="auto"/>
      </w:pBdr>
      <w:shd w:val="clear" w:color="000000" w:fill="FFFFFF"/>
      <w:spacing w:before="100" w:beforeAutospacing="1" w:after="100" w:afterAutospacing="1" w:line="240" w:lineRule="auto"/>
      <w:jc w:val="left"/>
    </w:pPr>
    <w:rPr>
      <w:rFonts w:ascii="Calibri" w:hAnsi="Calibri" w:cs="Calibri"/>
      <w:b/>
      <w:bCs/>
      <w:sz w:val="22"/>
      <w:szCs w:val="22"/>
      <w:u w:val="single"/>
    </w:rPr>
  </w:style>
  <w:style w:type="paragraph" w:customStyle="1" w:styleId="xl171">
    <w:name w:val="xl171"/>
    <w:basedOn w:val="a"/>
    <w:rsid w:val="00FF4262"/>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72">
    <w:name w:val="xl172"/>
    <w:basedOn w:val="a"/>
    <w:rsid w:val="00FF4262"/>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73">
    <w:name w:val="xl173"/>
    <w:basedOn w:val="a"/>
    <w:rsid w:val="00FF4262"/>
    <w:pPr>
      <w:shd w:val="clear" w:color="000000" w:fill="FFFFFF"/>
      <w:spacing w:before="100" w:beforeAutospacing="1" w:after="100" w:afterAutospacing="1" w:line="240" w:lineRule="auto"/>
      <w:jc w:val="left"/>
    </w:pPr>
    <w:rPr>
      <w:rFonts w:ascii="Calibri" w:hAnsi="Calibri" w:cs="Calibri"/>
      <w:b/>
      <w:bCs/>
      <w:sz w:val="22"/>
      <w:szCs w:val="22"/>
      <w:u w:val="single"/>
    </w:rPr>
  </w:style>
  <w:style w:type="paragraph" w:customStyle="1" w:styleId="xl174">
    <w:name w:val="xl174"/>
    <w:basedOn w:val="a"/>
    <w:rsid w:val="00FF426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color w:val="000000"/>
      <w:sz w:val="22"/>
      <w:szCs w:val="22"/>
    </w:rPr>
  </w:style>
  <w:style w:type="paragraph" w:customStyle="1" w:styleId="xl175">
    <w:name w:val="xl175"/>
    <w:basedOn w:val="a"/>
    <w:rsid w:val="00FF426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76">
    <w:name w:val="xl176"/>
    <w:basedOn w:val="a"/>
    <w:rsid w:val="00FF426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77">
    <w:name w:val="xl177"/>
    <w:basedOn w:val="a"/>
    <w:rsid w:val="00FF426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78">
    <w:name w:val="xl178"/>
    <w:basedOn w:val="a"/>
    <w:rsid w:val="00FF4262"/>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color w:val="000000"/>
      <w:sz w:val="22"/>
      <w:szCs w:val="22"/>
    </w:rPr>
  </w:style>
  <w:style w:type="paragraph" w:customStyle="1" w:styleId="xl179">
    <w:name w:val="xl179"/>
    <w:basedOn w:val="a"/>
    <w:rsid w:val="00FF4262"/>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80">
    <w:name w:val="xl180"/>
    <w:basedOn w:val="a"/>
    <w:rsid w:val="00FF426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color w:val="000000"/>
      <w:sz w:val="22"/>
      <w:szCs w:val="22"/>
    </w:rPr>
  </w:style>
  <w:style w:type="paragraph" w:customStyle="1" w:styleId="xl181">
    <w:name w:val="xl181"/>
    <w:basedOn w:val="a"/>
    <w:rsid w:val="00FF426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82">
    <w:name w:val="xl182"/>
    <w:basedOn w:val="a"/>
    <w:rsid w:val="00FF426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rFonts w:ascii="Calibri" w:hAnsi="Calibri" w:cs="Calibri"/>
      <w:sz w:val="22"/>
      <w:szCs w:val="22"/>
    </w:rPr>
  </w:style>
  <w:style w:type="paragraph" w:customStyle="1" w:styleId="xl183">
    <w:name w:val="xl183"/>
    <w:basedOn w:val="a"/>
    <w:rsid w:val="00FF426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rFonts w:ascii="Calibri" w:hAnsi="Calibri" w:cs="Calibri"/>
      <w:sz w:val="22"/>
      <w:szCs w:val="22"/>
    </w:rPr>
  </w:style>
  <w:style w:type="paragraph" w:customStyle="1" w:styleId="xl184">
    <w:name w:val="xl184"/>
    <w:basedOn w:val="a"/>
    <w:rsid w:val="00FF4262"/>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85">
    <w:name w:val="xl185"/>
    <w:basedOn w:val="a"/>
    <w:rsid w:val="00FF4262"/>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86">
    <w:name w:val="xl186"/>
    <w:basedOn w:val="a"/>
    <w:rsid w:val="00FF4262"/>
    <w:pPr>
      <w:pBdr>
        <w:left w:val="single" w:sz="8"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87">
    <w:name w:val="xl187"/>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88">
    <w:name w:val="xl188"/>
    <w:basedOn w:val="a"/>
    <w:rsid w:val="00FF426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textAlignment w:val="top"/>
    </w:pPr>
    <w:rPr>
      <w:rFonts w:ascii="Calibri" w:hAnsi="Calibri" w:cs="Calibri"/>
      <w:sz w:val="22"/>
      <w:szCs w:val="22"/>
    </w:rPr>
  </w:style>
  <w:style w:type="paragraph" w:customStyle="1" w:styleId="xl189">
    <w:name w:val="xl189"/>
    <w:basedOn w:val="a"/>
    <w:rsid w:val="00FF4262"/>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left"/>
    </w:pPr>
    <w:rPr>
      <w:rFonts w:ascii="Calibri" w:hAnsi="Calibri" w:cs="Calibri"/>
      <w:b/>
      <w:bCs/>
      <w:sz w:val="22"/>
      <w:szCs w:val="22"/>
      <w:u w:val="single"/>
    </w:rPr>
  </w:style>
  <w:style w:type="paragraph" w:customStyle="1" w:styleId="xl190">
    <w:name w:val="xl190"/>
    <w:basedOn w:val="a"/>
    <w:rsid w:val="00FF4262"/>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left"/>
    </w:pPr>
    <w:rPr>
      <w:rFonts w:ascii="Calibri" w:hAnsi="Calibri" w:cs="Calibri"/>
      <w:sz w:val="18"/>
      <w:szCs w:val="18"/>
    </w:rPr>
  </w:style>
  <w:style w:type="paragraph" w:customStyle="1" w:styleId="xl191">
    <w:name w:val="xl191"/>
    <w:basedOn w:val="a"/>
    <w:rsid w:val="00FF4262"/>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left"/>
    </w:pPr>
    <w:rPr>
      <w:rFonts w:ascii="Calibri" w:hAnsi="Calibri" w:cs="Calibri"/>
      <w:sz w:val="18"/>
      <w:szCs w:val="18"/>
    </w:rPr>
  </w:style>
  <w:style w:type="paragraph" w:customStyle="1" w:styleId="xl192">
    <w:name w:val="xl192"/>
    <w:basedOn w:val="a"/>
    <w:rsid w:val="00FF4262"/>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left"/>
    </w:pPr>
    <w:rPr>
      <w:rFonts w:ascii="Calibri" w:hAnsi="Calibri" w:cs="Calibri"/>
      <w:sz w:val="18"/>
      <w:szCs w:val="18"/>
    </w:rPr>
  </w:style>
  <w:style w:type="paragraph" w:customStyle="1" w:styleId="xl193">
    <w:name w:val="xl193"/>
    <w:basedOn w:val="a"/>
    <w:rsid w:val="00FF4262"/>
    <w:pPr>
      <w:pBdr>
        <w:bottom w:val="single" w:sz="8" w:space="0" w:color="auto"/>
      </w:pBdr>
      <w:shd w:val="clear" w:color="000000" w:fill="FFFFFF"/>
      <w:spacing w:before="100" w:beforeAutospacing="1" w:after="100" w:afterAutospacing="1" w:line="240" w:lineRule="auto"/>
      <w:jc w:val="left"/>
      <w:textAlignment w:val="center"/>
    </w:pPr>
    <w:rPr>
      <w:rFonts w:ascii="Calibri" w:hAnsi="Calibri" w:cs="Calibri"/>
      <w:b/>
      <w:bCs/>
      <w:sz w:val="22"/>
      <w:szCs w:val="22"/>
      <w:u w:val="single"/>
    </w:rPr>
  </w:style>
  <w:style w:type="paragraph" w:customStyle="1" w:styleId="xl194">
    <w:name w:val="xl194"/>
    <w:basedOn w:val="a"/>
    <w:rsid w:val="00FF426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rFonts w:ascii="Calibri" w:hAnsi="Calibri" w:cs="Calibri"/>
      <w:sz w:val="22"/>
      <w:szCs w:val="22"/>
    </w:rPr>
  </w:style>
  <w:style w:type="paragraph" w:customStyle="1" w:styleId="xl195">
    <w:name w:val="xl195"/>
    <w:basedOn w:val="a"/>
    <w:rsid w:val="00FF4262"/>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Calibri" w:hAnsi="Calibri" w:cs="Calibri"/>
      <w:sz w:val="22"/>
      <w:szCs w:val="22"/>
    </w:rPr>
  </w:style>
  <w:style w:type="paragraph" w:customStyle="1" w:styleId="xl196">
    <w:name w:val="xl196"/>
    <w:basedOn w:val="a"/>
    <w:rsid w:val="00FF4262"/>
    <w:pPr>
      <w:pBdr>
        <w:top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97">
    <w:name w:val="xl197"/>
    <w:basedOn w:val="a"/>
    <w:rsid w:val="00FF4262"/>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198">
    <w:name w:val="xl198"/>
    <w:basedOn w:val="a"/>
    <w:rsid w:val="00FF4262"/>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Calibri" w:hAnsi="Calibri" w:cs="Calibri"/>
      <w:sz w:val="22"/>
      <w:szCs w:val="22"/>
    </w:rPr>
  </w:style>
  <w:style w:type="paragraph" w:customStyle="1" w:styleId="xl199">
    <w:name w:val="xl199"/>
    <w:basedOn w:val="a"/>
    <w:rsid w:val="00FF4262"/>
    <w:pPr>
      <w:pBdr>
        <w:left w:val="single" w:sz="8" w:space="0" w:color="auto"/>
        <w:bottom w:val="single" w:sz="4" w:space="0" w:color="auto"/>
      </w:pBdr>
      <w:shd w:val="clear" w:color="000000" w:fill="FFFFFF"/>
      <w:spacing w:before="100" w:beforeAutospacing="1" w:after="100" w:afterAutospacing="1" w:line="240" w:lineRule="auto"/>
      <w:jc w:val="left"/>
      <w:textAlignment w:val="center"/>
    </w:pPr>
    <w:rPr>
      <w:rFonts w:ascii="Calibri" w:hAnsi="Calibri" w:cs="Calibri"/>
      <w:sz w:val="22"/>
      <w:szCs w:val="22"/>
    </w:rPr>
  </w:style>
  <w:style w:type="paragraph" w:customStyle="1" w:styleId="xl200">
    <w:name w:val="xl200"/>
    <w:basedOn w:val="a"/>
    <w:rsid w:val="00FF4262"/>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left"/>
      <w:textAlignment w:val="center"/>
    </w:pPr>
    <w:rPr>
      <w:rFonts w:ascii="Calibri" w:hAnsi="Calibri" w:cs="Calibri"/>
      <w:sz w:val="22"/>
      <w:szCs w:val="22"/>
    </w:rPr>
  </w:style>
  <w:style w:type="paragraph" w:customStyle="1" w:styleId="xl201">
    <w:name w:val="xl201"/>
    <w:basedOn w:val="a"/>
    <w:rsid w:val="00FF4262"/>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left"/>
    </w:pPr>
    <w:rPr>
      <w:rFonts w:ascii="Calibri" w:hAnsi="Calibri" w:cs="Calibri"/>
      <w:b/>
      <w:bCs/>
      <w:sz w:val="22"/>
      <w:szCs w:val="22"/>
      <w:u w:val="single"/>
    </w:rPr>
  </w:style>
  <w:style w:type="paragraph" w:customStyle="1" w:styleId="xl202">
    <w:name w:val="xl202"/>
    <w:basedOn w:val="a"/>
    <w:rsid w:val="00FF4262"/>
    <w:pP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203">
    <w:name w:val="xl203"/>
    <w:basedOn w:val="a"/>
    <w:rsid w:val="00FF4262"/>
    <w:pPr>
      <w:pBdr>
        <w:left w:val="single" w:sz="8" w:space="0" w:color="auto"/>
        <w:bottom w:val="single" w:sz="4" w:space="0" w:color="auto"/>
        <w:right w:val="single" w:sz="8" w:space="0" w:color="auto"/>
      </w:pBdr>
      <w:shd w:val="clear" w:color="000000" w:fill="FFCC99"/>
      <w:spacing w:before="100" w:beforeAutospacing="1" w:after="100" w:afterAutospacing="1" w:line="240" w:lineRule="auto"/>
      <w:jc w:val="center"/>
      <w:textAlignment w:val="center"/>
    </w:pPr>
    <w:rPr>
      <w:rFonts w:ascii="Calibri" w:hAnsi="Calibri" w:cs="Calibri"/>
      <w:sz w:val="22"/>
      <w:szCs w:val="22"/>
    </w:rPr>
  </w:style>
  <w:style w:type="paragraph" w:customStyle="1" w:styleId="xl204">
    <w:name w:val="xl204"/>
    <w:basedOn w:val="a"/>
    <w:rsid w:val="00FF4262"/>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rFonts w:ascii="Calibri" w:hAnsi="Calibri" w:cs="Calibri"/>
      <w:sz w:val="22"/>
      <w:szCs w:val="22"/>
    </w:rPr>
  </w:style>
  <w:style w:type="paragraph" w:customStyle="1" w:styleId="xl205">
    <w:name w:val="xl205"/>
    <w:basedOn w:val="a"/>
    <w:rsid w:val="00FF426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pPr>
    <w:rPr>
      <w:rFonts w:ascii="Times New Roman" w:hAnsi="Times New Roman"/>
      <w:sz w:val="24"/>
    </w:rPr>
  </w:style>
  <w:style w:type="paragraph" w:customStyle="1" w:styleId="xl206">
    <w:name w:val="xl206"/>
    <w:basedOn w:val="a"/>
    <w:rsid w:val="00FF426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left"/>
    </w:pPr>
    <w:rPr>
      <w:rFonts w:ascii="Calibri" w:hAnsi="Calibri" w:cs="Calibri"/>
      <w:sz w:val="22"/>
      <w:szCs w:val="22"/>
    </w:rPr>
  </w:style>
  <w:style w:type="paragraph" w:customStyle="1" w:styleId="xl207">
    <w:name w:val="xl207"/>
    <w:basedOn w:val="a"/>
    <w:rsid w:val="00FF426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left"/>
    </w:pPr>
    <w:rPr>
      <w:rFonts w:ascii="Calibri" w:hAnsi="Calibri" w:cs="Calibri"/>
      <w:sz w:val="22"/>
      <w:szCs w:val="22"/>
    </w:rPr>
  </w:style>
  <w:style w:type="paragraph" w:customStyle="1" w:styleId="xl208">
    <w:name w:val="xl208"/>
    <w:basedOn w:val="a"/>
    <w:rsid w:val="00FF4262"/>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left"/>
    </w:pPr>
    <w:rPr>
      <w:rFonts w:ascii="Calibri" w:hAnsi="Calibri" w:cs="Calibri"/>
      <w:sz w:val="22"/>
      <w:szCs w:val="22"/>
    </w:rPr>
  </w:style>
  <w:style w:type="paragraph" w:customStyle="1" w:styleId="xl209">
    <w:name w:val="xl209"/>
    <w:basedOn w:val="a"/>
    <w:rsid w:val="00FF426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Calibri" w:hAnsi="Calibri" w:cs="Calibri"/>
      <w:sz w:val="22"/>
      <w:szCs w:val="22"/>
    </w:rPr>
  </w:style>
  <w:style w:type="paragraph" w:customStyle="1" w:styleId="xl210">
    <w:name w:val="xl210"/>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211">
    <w:name w:val="xl211"/>
    <w:basedOn w:val="a"/>
    <w:rsid w:val="00FF426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color w:val="000000"/>
      <w:sz w:val="22"/>
      <w:szCs w:val="22"/>
    </w:rPr>
  </w:style>
  <w:style w:type="paragraph" w:customStyle="1" w:styleId="xl212">
    <w:name w:val="xl212"/>
    <w:basedOn w:val="a"/>
    <w:rsid w:val="00FF4262"/>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left"/>
    </w:pPr>
    <w:rPr>
      <w:rFonts w:ascii="Calibri" w:hAnsi="Calibri" w:cs="Calibri"/>
      <w:color w:val="000000"/>
      <w:sz w:val="22"/>
      <w:szCs w:val="22"/>
    </w:rPr>
  </w:style>
  <w:style w:type="paragraph" w:customStyle="1" w:styleId="xl213">
    <w:name w:val="xl213"/>
    <w:basedOn w:val="a"/>
    <w:rsid w:val="00FF4262"/>
    <w:pPr>
      <w:pBdr>
        <w:top w:val="single" w:sz="8" w:space="0" w:color="auto"/>
        <w:left w:val="single" w:sz="8" w:space="0" w:color="auto"/>
        <w:bottom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14">
    <w:name w:val="xl214"/>
    <w:basedOn w:val="a"/>
    <w:rsid w:val="00FF4262"/>
    <w:pPr>
      <w:pBdr>
        <w:left w:val="single" w:sz="8" w:space="0" w:color="auto"/>
        <w:bottom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15">
    <w:name w:val="xl215"/>
    <w:basedOn w:val="a"/>
    <w:rsid w:val="00FF4262"/>
    <w:pPr>
      <w:pBdr>
        <w:top w:val="single" w:sz="4" w:space="0" w:color="auto"/>
        <w:left w:val="single" w:sz="8" w:space="0" w:color="auto"/>
        <w:bottom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16">
    <w:name w:val="xl216"/>
    <w:basedOn w:val="a"/>
    <w:rsid w:val="00FF4262"/>
    <w:pPr>
      <w:pBdr>
        <w:top w:val="single" w:sz="4" w:space="0" w:color="auto"/>
        <w:bottom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17">
    <w:name w:val="xl217"/>
    <w:basedOn w:val="a"/>
    <w:rsid w:val="00FF4262"/>
    <w:pPr>
      <w:pBdr>
        <w:top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18">
    <w:name w:val="xl218"/>
    <w:basedOn w:val="a"/>
    <w:rsid w:val="00FF426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19">
    <w:name w:val="xl219"/>
    <w:basedOn w:val="a"/>
    <w:rsid w:val="00FF4262"/>
    <w:pPr>
      <w:pBdr>
        <w:top w:val="single" w:sz="8" w:space="0" w:color="auto"/>
        <w:left w:val="single" w:sz="8" w:space="0" w:color="auto"/>
        <w:bottom w:val="single" w:sz="8"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20">
    <w:name w:val="xl220"/>
    <w:basedOn w:val="a"/>
    <w:rsid w:val="00FF426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21">
    <w:name w:val="xl221"/>
    <w:basedOn w:val="a"/>
    <w:rsid w:val="00FF4262"/>
    <w:pPr>
      <w:pBdr>
        <w:top w:val="single" w:sz="4" w:space="0" w:color="auto"/>
        <w:left w:val="single" w:sz="8" w:space="0" w:color="auto"/>
        <w:bottom w:val="single" w:sz="8"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22">
    <w:name w:val="xl222"/>
    <w:basedOn w:val="a"/>
    <w:rsid w:val="00FF4262"/>
    <w:pPr>
      <w:pBdr>
        <w:top w:val="single" w:sz="4" w:space="0" w:color="auto"/>
        <w:bottom w:val="single" w:sz="8"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23">
    <w:name w:val="xl223"/>
    <w:basedOn w:val="a"/>
    <w:rsid w:val="00FF4262"/>
    <w:pPr>
      <w:pBdr>
        <w:top w:val="single" w:sz="4" w:space="0" w:color="auto"/>
        <w:left w:val="single" w:sz="8" w:space="0" w:color="auto"/>
        <w:bottom w:val="single" w:sz="4" w:space="0" w:color="auto"/>
      </w:pBdr>
      <w:shd w:val="clear" w:color="000000" w:fill="EEECE1"/>
      <w:spacing w:before="100" w:beforeAutospacing="1" w:after="100" w:afterAutospacing="1" w:line="240" w:lineRule="auto"/>
      <w:jc w:val="center"/>
      <w:textAlignment w:val="center"/>
    </w:pPr>
    <w:rPr>
      <w:rFonts w:ascii="Calibri" w:hAnsi="Calibri" w:cs="Calibri"/>
      <w:sz w:val="22"/>
      <w:szCs w:val="22"/>
    </w:rPr>
  </w:style>
  <w:style w:type="paragraph" w:customStyle="1" w:styleId="xl224">
    <w:name w:val="xl224"/>
    <w:basedOn w:val="a"/>
    <w:rsid w:val="00FF4262"/>
    <w:pPr>
      <w:pBdr>
        <w:top w:val="single" w:sz="4" w:space="0" w:color="auto"/>
        <w:left w:val="single" w:sz="8" w:space="0" w:color="auto"/>
        <w:bottom w:val="single" w:sz="8" w:space="0" w:color="auto"/>
      </w:pBdr>
      <w:shd w:val="clear" w:color="000000" w:fill="EEECE1"/>
      <w:spacing w:before="100" w:beforeAutospacing="1" w:after="100" w:afterAutospacing="1" w:line="240" w:lineRule="auto"/>
      <w:jc w:val="center"/>
      <w:textAlignment w:val="center"/>
    </w:pPr>
    <w:rPr>
      <w:rFonts w:ascii="Calibri" w:hAnsi="Calibri" w:cs="Calibri"/>
      <w:sz w:val="22"/>
      <w:szCs w:val="22"/>
    </w:rPr>
  </w:style>
  <w:style w:type="paragraph" w:customStyle="1" w:styleId="xl225">
    <w:name w:val="xl225"/>
    <w:basedOn w:val="a"/>
    <w:rsid w:val="00FF426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Calibri" w:hAnsi="Calibri" w:cs="Calibri"/>
      <w:sz w:val="22"/>
      <w:szCs w:val="22"/>
    </w:rPr>
  </w:style>
  <w:style w:type="paragraph" w:customStyle="1" w:styleId="xl226">
    <w:name w:val="xl226"/>
    <w:basedOn w:val="a"/>
    <w:rsid w:val="00FF4262"/>
    <w:pPr>
      <w:pBdr>
        <w:top w:val="single" w:sz="4" w:space="0" w:color="auto"/>
        <w:left w:val="single" w:sz="8"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27">
    <w:name w:val="xl227"/>
    <w:basedOn w:val="a"/>
    <w:rsid w:val="00FF4262"/>
    <w:pPr>
      <w:pBdr>
        <w:top w:val="single" w:sz="8" w:space="0" w:color="auto"/>
        <w:left w:val="single" w:sz="8" w:space="0" w:color="auto"/>
        <w:bottom w:val="single" w:sz="8" w:space="0" w:color="auto"/>
        <w:right w:val="single" w:sz="8" w:space="0" w:color="auto"/>
      </w:pBdr>
      <w:shd w:val="clear" w:color="000000" w:fill="EEECE1"/>
      <w:spacing w:before="100" w:beforeAutospacing="1" w:after="100" w:afterAutospacing="1" w:line="240" w:lineRule="auto"/>
      <w:jc w:val="center"/>
    </w:pPr>
    <w:rPr>
      <w:rFonts w:ascii="Calibri" w:hAnsi="Calibri" w:cs="Calibri"/>
      <w:b/>
      <w:bCs/>
      <w:sz w:val="22"/>
      <w:szCs w:val="22"/>
    </w:rPr>
  </w:style>
  <w:style w:type="paragraph" w:customStyle="1" w:styleId="xl228">
    <w:name w:val="xl228"/>
    <w:basedOn w:val="a"/>
    <w:rsid w:val="00FF4262"/>
    <w:pPr>
      <w:pBdr>
        <w:top w:val="single" w:sz="8" w:space="0" w:color="auto"/>
        <w:left w:val="single" w:sz="8" w:space="0" w:color="auto"/>
        <w:bottom w:val="single" w:sz="8" w:space="0" w:color="auto"/>
        <w:right w:val="single" w:sz="8" w:space="0" w:color="auto"/>
      </w:pBdr>
      <w:shd w:val="clear" w:color="000000" w:fill="FFCC99"/>
      <w:spacing w:before="100" w:beforeAutospacing="1" w:after="100" w:afterAutospacing="1" w:line="240" w:lineRule="auto"/>
      <w:jc w:val="center"/>
    </w:pPr>
    <w:rPr>
      <w:rFonts w:ascii="Calibri" w:hAnsi="Calibri" w:cs="Calibri"/>
      <w:b/>
      <w:bCs/>
      <w:sz w:val="22"/>
      <w:szCs w:val="22"/>
    </w:rPr>
  </w:style>
  <w:style w:type="paragraph" w:customStyle="1" w:styleId="xl229">
    <w:name w:val="xl229"/>
    <w:basedOn w:val="a"/>
    <w:rsid w:val="00FF4262"/>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Calibri" w:hAnsi="Calibri" w:cs="Calibri"/>
      <w:b/>
      <w:bCs/>
      <w:sz w:val="28"/>
      <w:szCs w:val="28"/>
      <w:u w:val="single"/>
    </w:rPr>
  </w:style>
  <w:style w:type="paragraph" w:customStyle="1" w:styleId="xl230">
    <w:name w:val="xl230"/>
    <w:basedOn w:val="a"/>
    <w:rsid w:val="00FF4262"/>
    <w:pPr>
      <w:pBdr>
        <w:top w:val="single" w:sz="8" w:space="0" w:color="auto"/>
        <w:left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Calibri" w:hAnsi="Calibri" w:cs="Calibri"/>
      <w:b/>
      <w:bCs/>
      <w:sz w:val="22"/>
      <w:szCs w:val="22"/>
    </w:rPr>
  </w:style>
  <w:style w:type="paragraph" w:customStyle="1" w:styleId="xl231">
    <w:name w:val="xl231"/>
    <w:basedOn w:val="a"/>
    <w:rsid w:val="00FF4262"/>
    <w:pPr>
      <w:pBdr>
        <w:top w:val="single" w:sz="8" w:space="0" w:color="auto"/>
        <w:left w:val="single" w:sz="8" w:space="0" w:color="auto"/>
        <w:bottom w:val="single" w:sz="8" w:space="0" w:color="auto"/>
        <w:right w:val="single" w:sz="8" w:space="0" w:color="auto"/>
      </w:pBdr>
      <w:shd w:val="clear" w:color="000000" w:fill="99CCFF"/>
      <w:spacing w:before="100" w:beforeAutospacing="1" w:after="100" w:afterAutospacing="1" w:line="240" w:lineRule="auto"/>
      <w:jc w:val="center"/>
    </w:pPr>
    <w:rPr>
      <w:rFonts w:ascii="Calibri" w:hAnsi="Calibri" w:cs="Calibri"/>
      <w:b/>
      <w:bCs/>
      <w:sz w:val="22"/>
      <w:szCs w:val="22"/>
    </w:rPr>
  </w:style>
  <w:style w:type="paragraph" w:customStyle="1" w:styleId="xl232">
    <w:name w:val="xl232"/>
    <w:basedOn w:val="a"/>
    <w:rsid w:val="00FF4262"/>
    <w:pPr>
      <w:pBdr>
        <w:top w:val="single" w:sz="8" w:space="0" w:color="auto"/>
        <w:left w:val="single" w:sz="8" w:space="0" w:color="auto"/>
        <w:bottom w:val="single" w:sz="8" w:space="0" w:color="auto"/>
      </w:pBdr>
      <w:shd w:val="clear" w:color="000000" w:fill="EEECE1"/>
      <w:spacing w:before="100" w:beforeAutospacing="1" w:after="100" w:afterAutospacing="1" w:line="240" w:lineRule="auto"/>
      <w:jc w:val="center"/>
    </w:pPr>
    <w:rPr>
      <w:rFonts w:ascii="Calibri" w:hAnsi="Calibri" w:cs="Calibri"/>
      <w:b/>
      <w:bCs/>
      <w:sz w:val="22"/>
      <w:szCs w:val="22"/>
    </w:rPr>
  </w:style>
  <w:style w:type="paragraph" w:customStyle="1" w:styleId="xl233">
    <w:name w:val="xl233"/>
    <w:basedOn w:val="a"/>
    <w:rsid w:val="00FF42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hAnsi="Calibri" w:cs="Calibri"/>
      <w:sz w:val="24"/>
    </w:rPr>
  </w:style>
  <w:style w:type="paragraph" w:customStyle="1" w:styleId="xl234">
    <w:name w:val="xl234"/>
    <w:basedOn w:val="a"/>
    <w:rsid w:val="00FF4262"/>
    <w:pPr>
      <w:spacing w:before="100" w:beforeAutospacing="1" w:after="100" w:afterAutospacing="1" w:line="240" w:lineRule="auto"/>
      <w:jc w:val="left"/>
    </w:pPr>
    <w:rPr>
      <w:rFonts w:ascii="Calibri" w:hAnsi="Calibri" w:cs="Calibri"/>
      <w:color w:val="FF0000"/>
      <w:sz w:val="22"/>
      <w:szCs w:val="22"/>
    </w:rPr>
  </w:style>
  <w:style w:type="paragraph" w:customStyle="1" w:styleId="xl235">
    <w:name w:val="xl235"/>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hAnsi="Calibri" w:cs="Calibri"/>
      <w:sz w:val="22"/>
      <w:szCs w:val="22"/>
    </w:rPr>
  </w:style>
  <w:style w:type="paragraph" w:customStyle="1" w:styleId="xl236">
    <w:name w:val="xl236"/>
    <w:basedOn w:val="a"/>
    <w:rsid w:val="00FF4262"/>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hAnsi="Calibri" w:cs="Calibri"/>
      <w:color w:val="000000"/>
      <w:sz w:val="22"/>
      <w:szCs w:val="22"/>
    </w:rPr>
  </w:style>
  <w:style w:type="paragraph" w:customStyle="1" w:styleId="xl237">
    <w:name w:val="xl237"/>
    <w:basedOn w:val="a"/>
    <w:rsid w:val="00FF4262"/>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left"/>
    </w:pPr>
    <w:rPr>
      <w:rFonts w:ascii="Calibri" w:hAnsi="Calibri" w:cs="Calibri"/>
      <w:color w:val="000000"/>
      <w:sz w:val="22"/>
      <w:szCs w:val="22"/>
    </w:rPr>
  </w:style>
  <w:style w:type="paragraph" w:customStyle="1" w:styleId="xl238">
    <w:name w:val="xl238"/>
    <w:basedOn w:val="a"/>
    <w:rsid w:val="00FF4262"/>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line="240" w:lineRule="auto"/>
      <w:jc w:val="left"/>
    </w:pPr>
    <w:rPr>
      <w:rFonts w:ascii="Calibri" w:hAnsi="Calibri" w:cs="Calibri"/>
      <w:color w:val="000000"/>
      <w:sz w:val="22"/>
      <w:szCs w:val="22"/>
    </w:rPr>
  </w:style>
  <w:style w:type="paragraph" w:customStyle="1" w:styleId="xl239">
    <w:name w:val="xl239"/>
    <w:basedOn w:val="a"/>
    <w:rsid w:val="00FF4262"/>
    <w:pPr>
      <w:pBdr>
        <w:top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Calibri" w:hAnsi="Calibri" w:cs="Calibri"/>
      <w:color w:val="000000"/>
      <w:sz w:val="22"/>
      <w:szCs w:val="22"/>
    </w:rPr>
  </w:style>
  <w:style w:type="paragraph" w:customStyle="1" w:styleId="xl240">
    <w:name w:val="xl240"/>
    <w:basedOn w:val="a"/>
    <w:rsid w:val="00FF4262"/>
    <w:pPr>
      <w:pBdr>
        <w:top w:val="single" w:sz="4" w:space="0" w:color="auto"/>
        <w:bottom w:val="single" w:sz="4" w:space="0" w:color="auto"/>
      </w:pBdr>
      <w:spacing w:before="100" w:beforeAutospacing="1" w:after="100" w:afterAutospacing="1" w:line="240" w:lineRule="auto"/>
      <w:jc w:val="left"/>
    </w:pPr>
    <w:rPr>
      <w:rFonts w:ascii="Calibri" w:hAnsi="Calibri" w:cs="Calibri"/>
      <w:color w:val="000000"/>
      <w:sz w:val="22"/>
      <w:szCs w:val="22"/>
    </w:rPr>
  </w:style>
  <w:style w:type="paragraph" w:customStyle="1" w:styleId="xl241">
    <w:name w:val="xl241"/>
    <w:basedOn w:val="a"/>
    <w:rsid w:val="00FF4262"/>
    <w:pPr>
      <w:pBdr>
        <w:top w:val="single" w:sz="4" w:space="0" w:color="auto"/>
        <w:bottom w:val="single" w:sz="4" w:space="0" w:color="auto"/>
      </w:pBdr>
      <w:shd w:val="clear" w:color="000000" w:fill="EEECE1"/>
      <w:spacing w:before="100" w:beforeAutospacing="1" w:after="100" w:afterAutospacing="1" w:line="240" w:lineRule="auto"/>
      <w:jc w:val="center"/>
    </w:pPr>
    <w:rPr>
      <w:rFonts w:ascii="Calibri" w:hAnsi="Calibri" w:cs="Calibri"/>
      <w:color w:val="000000"/>
      <w:sz w:val="22"/>
      <w:szCs w:val="22"/>
    </w:rPr>
  </w:style>
  <w:style w:type="paragraph" w:customStyle="1" w:styleId="xl242">
    <w:name w:val="xl242"/>
    <w:basedOn w:val="a"/>
    <w:rsid w:val="00FF426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Calibri" w:hAnsi="Calibri" w:cs="Calibri"/>
      <w:color w:val="000000"/>
      <w:sz w:val="22"/>
      <w:szCs w:val="22"/>
    </w:rPr>
  </w:style>
  <w:style w:type="paragraph" w:customStyle="1" w:styleId="xl243">
    <w:name w:val="xl243"/>
    <w:basedOn w:val="a"/>
    <w:rsid w:val="00FF426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2"/>
      <w:szCs w:val="22"/>
    </w:rPr>
  </w:style>
  <w:style w:type="paragraph" w:customStyle="1" w:styleId="xl244">
    <w:name w:val="xl244"/>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b/>
      <w:bCs/>
      <w:sz w:val="22"/>
      <w:szCs w:val="22"/>
      <w:u w:val="single"/>
    </w:rPr>
  </w:style>
  <w:style w:type="paragraph" w:customStyle="1" w:styleId="xl245">
    <w:name w:val="xl245"/>
    <w:basedOn w:val="a"/>
    <w:rsid w:val="00FF4262"/>
    <w:pPr>
      <w:pBdr>
        <w:top w:val="single" w:sz="8" w:space="0" w:color="auto"/>
        <w:left w:val="single" w:sz="8"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Calibri" w:hAnsi="Calibri" w:cs="Calibri"/>
      <w:sz w:val="22"/>
      <w:szCs w:val="22"/>
    </w:rPr>
  </w:style>
  <w:style w:type="paragraph" w:customStyle="1" w:styleId="xl246">
    <w:name w:val="xl246"/>
    <w:basedOn w:val="a"/>
    <w:rsid w:val="00FF4262"/>
    <w:pPr>
      <w:shd w:val="clear" w:color="000000" w:fill="FFFFFF"/>
      <w:spacing w:before="100" w:beforeAutospacing="1" w:after="100" w:afterAutospacing="1" w:line="240" w:lineRule="auto"/>
      <w:jc w:val="left"/>
    </w:pPr>
    <w:rPr>
      <w:rFonts w:ascii="Calibri" w:hAnsi="Calibri" w:cs="Calibri"/>
      <w:color w:val="FF0000"/>
      <w:sz w:val="22"/>
      <w:szCs w:val="22"/>
    </w:rPr>
  </w:style>
  <w:style w:type="paragraph" w:customStyle="1" w:styleId="xl247">
    <w:name w:val="xl247"/>
    <w:basedOn w:val="a"/>
    <w:rsid w:val="00FF4262"/>
    <w:pPr>
      <w:pBdr>
        <w:top w:val="single" w:sz="4" w:space="0" w:color="auto"/>
        <w:left w:val="single" w:sz="4" w:space="0" w:color="auto"/>
      </w:pBdr>
      <w:shd w:val="clear" w:color="000000" w:fill="FFFFFF"/>
      <w:spacing w:before="100" w:beforeAutospacing="1" w:after="100" w:afterAutospacing="1" w:line="240" w:lineRule="auto"/>
      <w:jc w:val="center"/>
    </w:pPr>
    <w:rPr>
      <w:rFonts w:ascii="Calibri" w:hAnsi="Calibri" w:cs="Calibri"/>
      <w:color w:val="FF0000"/>
      <w:sz w:val="22"/>
      <w:szCs w:val="22"/>
    </w:rPr>
  </w:style>
  <w:style w:type="paragraph" w:customStyle="1" w:styleId="xl248">
    <w:name w:val="xl248"/>
    <w:basedOn w:val="a"/>
    <w:rsid w:val="00FF4262"/>
    <w:pPr>
      <w:pBdr>
        <w:top w:val="single" w:sz="4" w:space="0" w:color="auto"/>
        <w:left w:val="single" w:sz="4" w:space="0" w:color="auto"/>
      </w:pBdr>
      <w:shd w:val="clear" w:color="000000" w:fill="FFFFFF"/>
      <w:spacing w:before="100" w:beforeAutospacing="1" w:after="100" w:afterAutospacing="1" w:line="240" w:lineRule="auto"/>
      <w:jc w:val="center"/>
    </w:pPr>
    <w:rPr>
      <w:rFonts w:ascii="Calibri" w:hAnsi="Calibri" w:cs="Calibri"/>
      <w:sz w:val="22"/>
      <w:szCs w:val="22"/>
    </w:rPr>
  </w:style>
  <w:style w:type="paragraph" w:customStyle="1" w:styleId="xl249">
    <w:name w:val="xl249"/>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hAnsi="Calibri" w:cs="Calibri"/>
      <w:color w:val="FF0000"/>
      <w:sz w:val="22"/>
      <w:szCs w:val="22"/>
    </w:rPr>
  </w:style>
  <w:style w:type="paragraph" w:customStyle="1" w:styleId="xl250">
    <w:name w:val="xl250"/>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251">
    <w:name w:val="xl251"/>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hAnsi="Calibri" w:cs="Calibri"/>
      <w:sz w:val="22"/>
      <w:szCs w:val="22"/>
    </w:rPr>
  </w:style>
  <w:style w:type="paragraph" w:customStyle="1" w:styleId="xl252">
    <w:name w:val="xl252"/>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hAnsi="Calibri" w:cs="Calibri"/>
      <w:sz w:val="22"/>
      <w:szCs w:val="22"/>
    </w:rPr>
  </w:style>
  <w:style w:type="paragraph" w:customStyle="1" w:styleId="xl253">
    <w:name w:val="xl253"/>
    <w:basedOn w:val="a"/>
    <w:rsid w:val="00FF4262"/>
    <w:pPr>
      <w:pBdr>
        <w:bottom w:val="single" w:sz="4" w:space="0" w:color="auto"/>
      </w:pBdr>
      <w:shd w:val="clear" w:color="000000" w:fill="C0C0C0"/>
      <w:spacing w:before="100" w:beforeAutospacing="1" w:after="100" w:afterAutospacing="1" w:line="240" w:lineRule="auto"/>
      <w:jc w:val="left"/>
    </w:pPr>
    <w:rPr>
      <w:rFonts w:ascii="Calibri" w:hAnsi="Calibri" w:cs="Calibri"/>
      <w:sz w:val="22"/>
      <w:szCs w:val="22"/>
    </w:rPr>
  </w:style>
  <w:style w:type="paragraph" w:customStyle="1" w:styleId="xl254">
    <w:name w:val="xl254"/>
    <w:basedOn w:val="a"/>
    <w:rsid w:val="00FF426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55">
    <w:name w:val="xl255"/>
    <w:basedOn w:val="a"/>
    <w:rsid w:val="00FF426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left"/>
    </w:pPr>
    <w:rPr>
      <w:rFonts w:ascii="Calibri" w:hAnsi="Calibri" w:cs="Calibri"/>
      <w:sz w:val="22"/>
      <w:szCs w:val="22"/>
    </w:rPr>
  </w:style>
  <w:style w:type="paragraph" w:customStyle="1" w:styleId="xl256">
    <w:name w:val="xl256"/>
    <w:basedOn w:val="a"/>
    <w:rsid w:val="00FF426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left"/>
    </w:pPr>
    <w:rPr>
      <w:rFonts w:ascii="Calibri" w:hAnsi="Calibri" w:cs="Calibri"/>
      <w:sz w:val="22"/>
      <w:szCs w:val="22"/>
    </w:rPr>
  </w:style>
  <w:style w:type="paragraph" w:customStyle="1" w:styleId="xl257">
    <w:name w:val="xl257"/>
    <w:basedOn w:val="a"/>
    <w:rsid w:val="00FF426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Calibri" w:hAnsi="Calibri" w:cs="Calibri"/>
      <w:sz w:val="22"/>
      <w:szCs w:val="22"/>
    </w:rPr>
  </w:style>
  <w:style w:type="paragraph" w:customStyle="1" w:styleId="xl258">
    <w:name w:val="xl258"/>
    <w:basedOn w:val="a"/>
    <w:rsid w:val="00FF426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Calibri" w:hAnsi="Calibri" w:cs="Calibri"/>
      <w:sz w:val="22"/>
      <w:szCs w:val="22"/>
    </w:rPr>
  </w:style>
  <w:style w:type="paragraph" w:customStyle="1" w:styleId="xl259">
    <w:name w:val="xl259"/>
    <w:basedOn w:val="a"/>
    <w:rsid w:val="00FF4262"/>
    <w:pPr>
      <w:pBdr>
        <w:left w:val="single" w:sz="8" w:space="0" w:color="auto"/>
        <w:bottom w:val="single" w:sz="4" w:space="0" w:color="auto"/>
      </w:pBdr>
      <w:shd w:val="clear" w:color="000000" w:fill="EEECE1"/>
      <w:spacing w:before="100" w:beforeAutospacing="1" w:after="100" w:afterAutospacing="1" w:line="240" w:lineRule="auto"/>
      <w:jc w:val="center"/>
      <w:textAlignment w:val="center"/>
    </w:pPr>
    <w:rPr>
      <w:rFonts w:ascii="Calibri" w:hAnsi="Calibri" w:cs="Calibri"/>
      <w:sz w:val="22"/>
      <w:szCs w:val="22"/>
    </w:rPr>
  </w:style>
  <w:style w:type="paragraph" w:customStyle="1" w:styleId="xl260">
    <w:name w:val="xl260"/>
    <w:basedOn w:val="a"/>
    <w:rsid w:val="00FF4262"/>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left"/>
      <w:textAlignment w:val="center"/>
    </w:pPr>
    <w:rPr>
      <w:rFonts w:ascii="Calibri" w:hAnsi="Calibri" w:cs="Calibri"/>
      <w:sz w:val="22"/>
      <w:szCs w:val="22"/>
    </w:rPr>
  </w:style>
  <w:style w:type="paragraph" w:customStyle="1" w:styleId="xl261">
    <w:name w:val="xl261"/>
    <w:basedOn w:val="a"/>
    <w:rsid w:val="00FF426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Calibri" w:hAnsi="Calibri" w:cs="Calibri"/>
      <w:color w:val="FF0000"/>
      <w:sz w:val="22"/>
      <w:szCs w:val="22"/>
    </w:rPr>
  </w:style>
  <w:style w:type="paragraph" w:customStyle="1" w:styleId="xl262">
    <w:name w:val="xl262"/>
    <w:basedOn w:val="a"/>
    <w:rsid w:val="00FF4262"/>
    <w:pPr>
      <w:pBdr>
        <w:right w:val="single" w:sz="8" w:space="0" w:color="auto"/>
      </w:pBdr>
      <w:spacing w:before="100" w:beforeAutospacing="1" w:after="100" w:afterAutospacing="1" w:line="240" w:lineRule="auto"/>
      <w:jc w:val="center"/>
    </w:pPr>
    <w:rPr>
      <w:rFonts w:ascii="Calibri" w:hAnsi="Calibri" w:cs="Calibri"/>
      <w:sz w:val="22"/>
      <w:szCs w:val="22"/>
    </w:rPr>
  </w:style>
  <w:style w:type="paragraph" w:customStyle="1" w:styleId="xl263">
    <w:name w:val="xl263"/>
    <w:basedOn w:val="a"/>
    <w:rsid w:val="00FF4262"/>
    <w:pPr>
      <w:pBdr>
        <w:bottom w:val="single" w:sz="4" w:space="0" w:color="auto"/>
        <w:right w:val="single" w:sz="8" w:space="0" w:color="auto"/>
      </w:pBdr>
      <w:spacing w:before="100" w:beforeAutospacing="1" w:after="100" w:afterAutospacing="1" w:line="240" w:lineRule="auto"/>
      <w:jc w:val="center"/>
    </w:pPr>
    <w:rPr>
      <w:rFonts w:ascii="Calibri" w:hAnsi="Calibri" w:cs="Calibri"/>
      <w:sz w:val="22"/>
      <w:szCs w:val="22"/>
    </w:rPr>
  </w:style>
  <w:style w:type="paragraph" w:customStyle="1" w:styleId="xl264">
    <w:name w:val="xl264"/>
    <w:basedOn w:val="a"/>
    <w:rsid w:val="00FF4262"/>
    <w:pPr>
      <w:pBdr>
        <w:top w:val="single" w:sz="4" w:space="0" w:color="auto"/>
        <w:left w:val="single" w:sz="4" w:space="0" w:color="auto"/>
        <w:bottom w:val="single" w:sz="4" w:space="0" w:color="auto"/>
      </w:pBdr>
      <w:shd w:val="clear" w:color="000000" w:fill="99CCFF"/>
      <w:spacing w:before="100" w:beforeAutospacing="1" w:after="100" w:afterAutospacing="1" w:line="240" w:lineRule="auto"/>
      <w:jc w:val="left"/>
    </w:pPr>
    <w:rPr>
      <w:rFonts w:ascii="Calibri" w:hAnsi="Calibri" w:cs="Calibri"/>
      <w:sz w:val="22"/>
      <w:szCs w:val="22"/>
    </w:rPr>
  </w:style>
  <w:style w:type="paragraph" w:customStyle="1" w:styleId="xl265">
    <w:name w:val="xl265"/>
    <w:basedOn w:val="a"/>
    <w:rsid w:val="00FF4262"/>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left"/>
    </w:pPr>
    <w:rPr>
      <w:rFonts w:ascii="Calibri" w:hAnsi="Calibri" w:cs="Calibri"/>
      <w:sz w:val="22"/>
      <w:szCs w:val="22"/>
    </w:rPr>
  </w:style>
  <w:style w:type="paragraph" w:customStyle="1" w:styleId="xl266">
    <w:name w:val="xl266"/>
    <w:basedOn w:val="a"/>
    <w:rsid w:val="00FF4262"/>
    <w:pPr>
      <w:pBdr>
        <w:top w:val="single" w:sz="4" w:space="0" w:color="auto"/>
        <w:bottom w:val="single" w:sz="4" w:space="0" w:color="auto"/>
        <w:right w:val="single" w:sz="8" w:space="0" w:color="auto"/>
      </w:pBdr>
      <w:shd w:val="clear" w:color="000000" w:fill="FFCC99"/>
      <w:spacing w:before="100" w:beforeAutospacing="1" w:after="100" w:afterAutospacing="1" w:line="240" w:lineRule="auto"/>
      <w:jc w:val="center"/>
    </w:pPr>
    <w:rPr>
      <w:rFonts w:ascii="Calibri" w:hAnsi="Calibri" w:cs="Calibri"/>
      <w:sz w:val="22"/>
      <w:szCs w:val="22"/>
    </w:rPr>
  </w:style>
  <w:style w:type="paragraph" w:customStyle="1" w:styleId="xl267">
    <w:name w:val="xl267"/>
    <w:basedOn w:val="a"/>
    <w:rsid w:val="00FF4262"/>
    <w:pPr>
      <w:pBdr>
        <w:top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268">
    <w:name w:val="xl268"/>
    <w:basedOn w:val="a"/>
    <w:rsid w:val="00FF4262"/>
    <w:pPr>
      <w:pBdr>
        <w:left w:val="single" w:sz="4" w:space="0" w:color="auto"/>
      </w:pBdr>
      <w:spacing w:before="100" w:beforeAutospacing="1" w:after="100" w:afterAutospacing="1" w:line="240" w:lineRule="auto"/>
      <w:jc w:val="center"/>
    </w:pPr>
    <w:rPr>
      <w:rFonts w:ascii="Calibri" w:hAnsi="Calibri" w:cs="Calibri"/>
      <w:sz w:val="22"/>
      <w:szCs w:val="22"/>
    </w:rPr>
  </w:style>
  <w:style w:type="paragraph" w:customStyle="1" w:styleId="xl269">
    <w:name w:val="xl269"/>
    <w:basedOn w:val="a"/>
    <w:rsid w:val="00FF4262"/>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hAnsi="Calibri" w:cs="Calibri"/>
      <w:sz w:val="22"/>
      <w:szCs w:val="22"/>
    </w:rPr>
  </w:style>
  <w:style w:type="paragraph" w:customStyle="1" w:styleId="xl270">
    <w:name w:val="xl270"/>
    <w:basedOn w:val="a"/>
    <w:rsid w:val="00FF4262"/>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Calibri" w:hAnsi="Calibri" w:cs="Calibri"/>
      <w:sz w:val="22"/>
      <w:szCs w:val="22"/>
    </w:rPr>
  </w:style>
  <w:style w:type="paragraph" w:customStyle="1" w:styleId="xl271">
    <w:name w:val="xl271"/>
    <w:basedOn w:val="a"/>
    <w:rsid w:val="00FF426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color w:val="FF0000"/>
      <w:sz w:val="22"/>
      <w:szCs w:val="22"/>
    </w:rPr>
  </w:style>
  <w:style w:type="paragraph" w:customStyle="1" w:styleId="xl272">
    <w:name w:val="xl272"/>
    <w:basedOn w:val="a"/>
    <w:rsid w:val="00FF426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color w:val="FF0000"/>
      <w:sz w:val="22"/>
      <w:szCs w:val="22"/>
    </w:rPr>
  </w:style>
  <w:style w:type="paragraph" w:customStyle="1" w:styleId="xl273">
    <w:name w:val="xl273"/>
    <w:basedOn w:val="a"/>
    <w:rsid w:val="00FF4262"/>
    <w:pPr>
      <w:pBdr>
        <w:top w:val="single" w:sz="4" w:space="0" w:color="auto"/>
        <w:bottom w:val="single" w:sz="4" w:space="0" w:color="auto"/>
        <w:right w:val="single" w:sz="8" w:space="0" w:color="auto"/>
      </w:pBdr>
      <w:shd w:val="clear" w:color="000000" w:fill="99CCFF"/>
      <w:spacing w:before="100" w:beforeAutospacing="1" w:after="100" w:afterAutospacing="1" w:line="240" w:lineRule="auto"/>
      <w:jc w:val="left"/>
    </w:pPr>
    <w:rPr>
      <w:rFonts w:ascii="Calibri" w:hAnsi="Calibri" w:cs="Calibri"/>
      <w:sz w:val="22"/>
      <w:szCs w:val="22"/>
    </w:rPr>
  </w:style>
  <w:style w:type="paragraph" w:customStyle="1" w:styleId="xl274">
    <w:name w:val="xl274"/>
    <w:basedOn w:val="a"/>
    <w:rsid w:val="00FF4262"/>
    <w:pPr>
      <w:pBdr>
        <w:bottom w:val="single" w:sz="4" w:space="0" w:color="auto"/>
        <w:right w:val="single" w:sz="4" w:space="0" w:color="auto"/>
      </w:pBdr>
      <w:shd w:val="clear" w:color="000000" w:fill="FFFFFF"/>
      <w:spacing w:before="100" w:beforeAutospacing="1" w:after="100" w:afterAutospacing="1" w:line="240" w:lineRule="auto"/>
      <w:jc w:val="left"/>
    </w:pPr>
    <w:rPr>
      <w:rFonts w:ascii="Calibri" w:hAnsi="Calibri" w:cs="Calibri"/>
      <w:b/>
      <w:bCs/>
      <w:sz w:val="22"/>
      <w:szCs w:val="22"/>
      <w:u w:val="single"/>
    </w:rPr>
  </w:style>
  <w:style w:type="character" w:styleId="aff2">
    <w:name w:val="Placeholder Text"/>
    <w:basedOn w:val="a0"/>
    <w:uiPriority w:val="99"/>
    <w:semiHidden/>
    <w:rsid w:val="006323AF"/>
    <w:rPr>
      <w:color w:val="808080"/>
    </w:rPr>
  </w:style>
  <w:style w:type="character" w:customStyle="1" w:styleId="25">
    <w:name w:val="Ανεπίλυτη αναφορά2"/>
    <w:basedOn w:val="a0"/>
    <w:uiPriority w:val="99"/>
    <w:semiHidden/>
    <w:unhideWhenUsed/>
    <w:rsid w:val="0040795B"/>
    <w:rPr>
      <w:color w:val="605E5C"/>
      <w:shd w:val="clear" w:color="auto" w:fill="E1DFDD"/>
    </w:rPr>
  </w:style>
  <w:style w:type="character" w:customStyle="1" w:styleId="section-info">
    <w:name w:val="section-info"/>
    <w:basedOn w:val="a0"/>
    <w:rsid w:val="003A7EDC"/>
  </w:style>
  <w:style w:type="paragraph" w:customStyle="1" w:styleId="paragraph">
    <w:name w:val="paragraph"/>
    <w:basedOn w:val="a"/>
    <w:rsid w:val="003220A1"/>
    <w:pPr>
      <w:spacing w:before="100" w:beforeAutospacing="1" w:after="100" w:afterAutospacing="1" w:line="240" w:lineRule="auto"/>
      <w:jc w:val="left"/>
    </w:pPr>
    <w:rPr>
      <w:rFonts w:ascii="Times New Roman" w:hAnsi="Times New Roman"/>
      <w:sz w:val="24"/>
    </w:rPr>
  </w:style>
  <w:style w:type="paragraph" w:customStyle="1" w:styleId="1b">
    <w:name w:val="Βασικό 1"/>
    <w:basedOn w:val="a"/>
    <w:link w:val="1Char0"/>
    <w:qFormat/>
    <w:rsid w:val="00BA232E"/>
    <w:pPr>
      <w:tabs>
        <w:tab w:val="left" w:pos="6960"/>
      </w:tabs>
      <w:spacing w:before="120" w:line="276" w:lineRule="auto"/>
    </w:pPr>
    <w:rPr>
      <w:rFonts w:ascii="Verdana" w:hAnsi="Verdana" w:cs="Arial"/>
      <w:szCs w:val="20"/>
    </w:rPr>
  </w:style>
  <w:style w:type="character" w:customStyle="1" w:styleId="1Char0">
    <w:name w:val="Βασικό 1 Char"/>
    <w:link w:val="1b"/>
    <w:rsid w:val="00BA232E"/>
    <w:rPr>
      <w:rFonts w:ascii="Verdana" w:hAnsi="Verdana" w:cs="Arial"/>
    </w:rPr>
  </w:style>
  <w:style w:type="paragraph" w:customStyle="1" w:styleId="aff3">
    <w:name w:val="πίνακες"/>
    <w:basedOn w:val="32"/>
    <w:autoRedefine/>
    <w:rsid w:val="00E62072"/>
  </w:style>
  <w:style w:type="paragraph" w:styleId="aff4">
    <w:name w:val="Subtitle"/>
    <w:basedOn w:val="a"/>
    <w:next w:val="a"/>
    <w:link w:val="Chare"/>
    <w:rsid w:val="009629F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e">
    <w:name w:val="Υπότιτλος Char"/>
    <w:basedOn w:val="a0"/>
    <w:link w:val="aff4"/>
    <w:rsid w:val="009629F5"/>
    <w:rPr>
      <w:rFonts w:asciiTheme="minorHAnsi" w:eastAsiaTheme="minorEastAsia" w:hAnsiTheme="minorHAnsi" w:cstheme="minorBidi"/>
      <w:color w:val="5A5A5A" w:themeColor="text1" w:themeTint="A5"/>
      <w:spacing w:val="15"/>
      <w:sz w:val="22"/>
      <w:szCs w:val="22"/>
    </w:rPr>
  </w:style>
  <w:style w:type="character" w:styleId="aff5">
    <w:name w:val="Subtle Emphasis"/>
    <w:basedOn w:val="a0"/>
    <w:uiPriority w:val="19"/>
    <w:qFormat/>
    <w:rsid w:val="009629F5"/>
    <w:rPr>
      <w:i/>
      <w:iCs/>
      <w:color w:val="404040" w:themeColor="text1" w:themeTint="BF"/>
    </w:rPr>
  </w:style>
  <w:style w:type="character" w:styleId="-">
    <w:name w:val="Hyperlink"/>
    <w:basedOn w:val="a0"/>
    <w:uiPriority w:val="99"/>
    <w:unhideWhenUsed/>
    <w:rsid w:val="00E934B4"/>
    <w:rPr>
      <w:color w:val="0000FF" w:themeColor="hyperlink"/>
      <w:u w:val="single"/>
    </w:rPr>
  </w:style>
  <w:style w:type="character" w:styleId="-0">
    <w:name w:val="FollowedHyperlink"/>
    <w:basedOn w:val="a0"/>
    <w:uiPriority w:val="99"/>
    <w:unhideWhenUsed/>
    <w:rsid w:val="004D2586"/>
    <w:rPr>
      <w:color w:val="800080"/>
      <w:u w:val="single"/>
    </w:rPr>
  </w:style>
  <w:style w:type="paragraph" w:customStyle="1" w:styleId="Tabletext">
    <w:name w:val="Table text"/>
    <w:basedOn w:val="a"/>
    <w:link w:val="TabletextChar"/>
    <w:qFormat/>
    <w:rsid w:val="000B29D9"/>
    <w:pPr>
      <w:spacing w:after="0" w:line="240" w:lineRule="exact"/>
      <w:jc w:val="left"/>
    </w:pPr>
    <w:rPr>
      <w:rFonts w:ascii="Calibri" w:hAnsi="Calibri" w:cstheme="minorBidi"/>
      <w:sz w:val="22"/>
      <w:szCs w:val="22"/>
      <w:lang w:val="en-US"/>
    </w:rPr>
  </w:style>
  <w:style w:type="character" w:customStyle="1" w:styleId="TabletextChar">
    <w:name w:val="Table text Char"/>
    <w:basedOn w:val="a0"/>
    <w:link w:val="Tabletext"/>
    <w:rsid w:val="000B29D9"/>
    <w:rPr>
      <w:rFonts w:ascii="Calibri" w:hAnsi="Calibri" w:cstheme="minorBidi"/>
      <w:sz w:val="22"/>
      <w:szCs w:val="22"/>
      <w:lang w:val="en-US"/>
    </w:rPr>
  </w:style>
  <w:style w:type="paragraph" w:customStyle="1" w:styleId="Source">
    <w:name w:val="Source"/>
    <w:basedOn w:val="a"/>
    <w:link w:val="SourceChar"/>
    <w:qFormat/>
    <w:rsid w:val="00FA61BE"/>
    <w:pPr>
      <w:spacing w:after="160" w:line="240" w:lineRule="auto"/>
      <w:jc w:val="left"/>
    </w:pPr>
    <w:rPr>
      <w:rFonts w:ascii="Calibri Light" w:eastAsiaTheme="minorEastAsia" w:hAnsi="Calibri Light" w:cstheme="minorBidi"/>
      <w:i/>
      <w:sz w:val="18"/>
      <w:szCs w:val="22"/>
      <w:lang w:val="en-US"/>
    </w:rPr>
  </w:style>
  <w:style w:type="character" w:customStyle="1" w:styleId="SourceChar">
    <w:name w:val="Source Char"/>
    <w:basedOn w:val="a0"/>
    <w:link w:val="Source"/>
    <w:rsid w:val="00FA61BE"/>
    <w:rPr>
      <w:rFonts w:ascii="Calibri Light" w:eastAsiaTheme="minorEastAsia" w:hAnsi="Calibri Light" w:cstheme="minorBidi"/>
      <w:i/>
      <w:sz w:val="18"/>
      <w:szCs w:val="22"/>
      <w:lang w:val="en-US"/>
    </w:rPr>
  </w:style>
  <w:style w:type="paragraph" w:customStyle="1" w:styleId="Table">
    <w:name w:val="Table"/>
    <w:basedOn w:val="afe"/>
    <w:link w:val="TableChar"/>
    <w:qFormat/>
    <w:rsid w:val="00A53BEA"/>
    <w:pPr>
      <w:shd w:val="clear" w:color="auto" w:fill="4F81BD" w:themeFill="accent1"/>
      <w:spacing w:after="60" w:line="240" w:lineRule="auto"/>
      <w:jc w:val="left"/>
    </w:pPr>
    <w:rPr>
      <w:rFonts w:ascii="Calibri" w:eastAsiaTheme="minorHAnsi" w:hAnsi="Calibri" w:cstheme="minorBidi"/>
      <w:bCs w:val="0"/>
      <w:iCs/>
      <w:color w:val="FFFFFF" w:themeColor="background1"/>
      <w:sz w:val="24"/>
      <w:szCs w:val="18"/>
      <w:lang w:val="en-US" w:eastAsia="en-US"/>
    </w:rPr>
  </w:style>
  <w:style w:type="character" w:customStyle="1" w:styleId="TableChar">
    <w:name w:val="Table Char"/>
    <w:basedOn w:val="a0"/>
    <w:link w:val="Table"/>
    <w:rsid w:val="00A53BEA"/>
    <w:rPr>
      <w:rFonts w:ascii="Calibri" w:eastAsiaTheme="minorHAnsi" w:hAnsi="Calibri" w:cstheme="minorBidi"/>
      <w:b/>
      <w:iCs/>
      <w:color w:val="FFFFFF" w:themeColor="background1"/>
      <w:sz w:val="24"/>
      <w:szCs w:val="18"/>
      <w:shd w:val="clear" w:color="auto" w:fill="4F81BD" w:themeFill="accent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4301">
      <w:bodyDiv w:val="1"/>
      <w:marLeft w:val="0"/>
      <w:marRight w:val="0"/>
      <w:marTop w:val="0"/>
      <w:marBottom w:val="0"/>
      <w:divBdr>
        <w:top w:val="none" w:sz="0" w:space="0" w:color="auto"/>
        <w:left w:val="none" w:sz="0" w:space="0" w:color="auto"/>
        <w:bottom w:val="none" w:sz="0" w:space="0" w:color="auto"/>
        <w:right w:val="none" w:sz="0" w:space="0" w:color="auto"/>
      </w:divBdr>
    </w:div>
    <w:div w:id="18093204">
      <w:bodyDiv w:val="1"/>
      <w:marLeft w:val="0"/>
      <w:marRight w:val="0"/>
      <w:marTop w:val="0"/>
      <w:marBottom w:val="0"/>
      <w:divBdr>
        <w:top w:val="none" w:sz="0" w:space="0" w:color="auto"/>
        <w:left w:val="none" w:sz="0" w:space="0" w:color="auto"/>
        <w:bottom w:val="none" w:sz="0" w:space="0" w:color="auto"/>
        <w:right w:val="none" w:sz="0" w:space="0" w:color="auto"/>
      </w:divBdr>
    </w:div>
    <w:div w:id="44843246">
      <w:bodyDiv w:val="1"/>
      <w:marLeft w:val="0"/>
      <w:marRight w:val="0"/>
      <w:marTop w:val="0"/>
      <w:marBottom w:val="0"/>
      <w:divBdr>
        <w:top w:val="none" w:sz="0" w:space="0" w:color="auto"/>
        <w:left w:val="none" w:sz="0" w:space="0" w:color="auto"/>
        <w:bottom w:val="none" w:sz="0" w:space="0" w:color="auto"/>
        <w:right w:val="none" w:sz="0" w:space="0" w:color="auto"/>
      </w:divBdr>
    </w:div>
    <w:div w:id="85467254">
      <w:bodyDiv w:val="1"/>
      <w:marLeft w:val="0"/>
      <w:marRight w:val="0"/>
      <w:marTop w:val="0"/>
      <w:marBottom w:val="0"/>
      <w:divBdr>
        <w:top w:val="none" w:sz="0" w:space="0" w:color="auto"/>
        <w:left w:val="none" w:sz="0" w:space="0" w:color="auto"/>
        <w:bottom w:val="none" w:sz="0" w:space="0" w:color="auto"/>
        <w:right w:val="none" w:sz="0" w:space="0" w:color="auto"/>
      </w:divBdr>
    </w:div>
    <w:div w:id="108941120">
      <w:bodyDiv w:val="1"/>
      <w:marLeft w:val="0"/>
      <w:marRight w:val="0"/>
      <w:marTop w:val="0"/>
      <w:marBottom w:val="0"/>
      <w:divBdr>
        <w:top w:val="none" w:sz="0" w:space="0" w:color="auto"/>
        <w:left w:val="none" w:sz="0" w:space="0" w:color="auto"/>
        <w:bottom w:val="none" w:sz="0" w:space="0" w:color="auto"/>
        <w:right w:val="none" w:sz="0" w:space="0" w:color="auto"/>
      </w:divBdr>
    </w:div>
    <w:div w:id="117651680">
      <w:bodyDiv w:val="1"/>
      <w:marLeft w:val="0"/>
      <w:marRight w:val="0"/>
      <w:marTop w:val="0"/>
      <w:marBottom w:val="0"/>
      <w:divBdr>
        <w:top w:val="none" w:sz="0" w:space="0" w:color="auto"/>
        <w:left w:val="none" w:sz="0" w:space="0" w:color="auto"/>
        <w:bottom w:val="none" w:sz="0" w:space="0" w:color="auto"/>
        <w:right w:val="none" w:sz="0" w:space="0" w:color="auto"/>
      </w:divBdr>
    </w:div>
    <w:div w:id="122040123">
      <w:bodyDiv w:val="1"/>
      <w:marLeft w:val="0"/>
      <w:marRight w:val="0"/>
      <w:marTop w:val="0"/>
      <w:marBottom w:val="0"/>
      <w:divBdr>
        <w:top w:val="none" w:sz="0" w:space="0" w:color="auto"/>
        <w:left w:val="none" w:sz="0" w:space="0" w:color="auto"/>
        <w:bottom w:val="none" w:sz="0" w:space="0" w:color="auto"/>
        <w:right w:val="none" w:sz="0" w:space="0" w:color="auto"/>
      </w:divBdr>
    </w:div>
    <w:div w:id="144320420">
      <w:bodyDiv w:val="1"/>
      <w:marLeft w:val="0"/>
      <w:marRight w:val="0"/>
      <w:marTop w:val="0"/>
      <w:marBottom w:val="0"/>
      <w:divBdr>
        <w:top w:val="none" w:sz="0" w:space="0" w:color="auto"/>
        <w:left w:val="none" w:sz="0" w:space="0" w:color="auto"/>
        <w:bottom w:val="none" w:sz="0" w:space="0" w:color="auto"/>
        <w:right w:val="none" w:sz="0" w:space="0" w:color="auto"/>
      </w:divBdr>
    </w:div>
    <w:div w:id="149905212">
      <w:bodyDiv w:val="1"/>
      <w:marLeft w:val="0"/>
      <w:marRight w:val="0"/>
      <w:marTop w:val="0"/>
      <w:marBottom w:val="0"/>
      <w:divBdr>
        <w:top w:val="none" w:sz="0" w:space="0" w:color="auto"/>
        <w:left w:val="none" w:sz="0" w:space="0" w:color="auto"/>
        <w:bottom w:val="none" w:sz="0" w:space="0" w:color="auto"/>
        <w:right w:val="none" w:sz="0" w:space="0" w:color="auto"/>
      </w:divBdr>
    </w:div>
    <w:div w:id="184171755">
      <w:bodyDiv w:val="1"/>
      <w:marLeft w:val="0"/>
      <w:marRight w:val="0"/>
      <w:marTop w:val="0"/>
      <w:marBottom w:val="0"/>
      <w:divBdr>
        <w:top w:val="none" w:sz="0" w:space="0" w:color="auto"/>
        <w:left w:val="none" w:sz="0" w:space="0" w:color="auto"/>
        <w:bottom w:val="none" w:sz="0" w:space="0" w:color="auto"/>
        <w:right w:val="none" w:sz="0" w:space="0" w:color="auto"/>
      </w:divBdr>
    </w:div>
    <w:div w:id="198249948">
      <w:bodyDiv w:val="1"/>
      <w:marLeft w:val="0"/>
      <w:marRight w:val="0"/>
      <w:marTop w:val="0"/>
      <w:marBottom w:val="0"/>
      <w:divBdr>
        <w:top w:val="none" w:sz="0" w:space="0" w:color="auto"/>
        <w:left w:val="none" w:sz="0" w:space="0" w:color="auto"/>
        <w:bottom w:val="none" w:sz="0" w:space="0" w:color="auto"/>
        <w:right w:val="none" w:sz="0" w:space="0" w:color="auto"/>
      </w:divBdr>
    </w:div>
    <w:div w:id="198325388">
      <w:bodyDiv w:val="1"/>
      <w:marLeft w:val="0"/>
      <w:marRight w:val="0"/>
      <w:marTop w:val="0"/>
      <w:marBottom w:val="0"/>
      <w:divBdr>
        <w:top w:val="none" w:sz="0" w:space="0" w:color="auto"/>
        <w:left w:val="none" w:sz="0" w:space="0" w:color="auto"/>
        <w:bottom w:val="none" w:sz="0" w:space="0" w:color="auto"/>
        <w:right w:val="none" w:sz="0" w:space="0" w:color="auto"/>
      </w:divBdr>
    </w:div>
    <w:div w:id="219245015">
      <w:bodyDiv w:val="1"/>
      <w:marLeft w:val="0"/>
      <w:marRight w:val="0"/>
      <w:marTop w:val="0"/>
      <w:marBottom w:val="0"/>
      <w:divBdr>
        <w:top w:val="none" w:sz="0" w:space="0" w:color="auto"/>
        <w:left w:val="none" w:sz="0" w:space="0" w:color="auto"/>
        <w:bottom w:val="none" w:sz="0" w:space="0" w:color="auto"/>
        <w:right w:val="none" w:sz="0" w:space="0" w:color="auto"/>
      </w:divBdr>
    </w:div>
    <w:div w:id="231232118">
      <w:bodyDiv w:val="1"/>
      <w:marLeft w:val="0"/>
      <w:marRight w:val="0"/>
      <w:marTop w:val="0"/>
      <w:marBottom w:val="0"/>
      <w:divBdr>
        <w:top w:val="none" w:sz="0" w:space="0" w:color="auto"/>
        <w:left w:val="none" w:sz="0" w:space="0" w:color="auto"/>
        <w:bottom w:val="none" w:sz="0" w:space="0" w:color="auto"/>
        <w:right w:val="none" w:sz="0" w:space="0" w:color="auto"/>
      </w:divBdr>
    </w:div>
    <w:div w:id="238248796">
      <w:bodyDiv w:val="1"/>
      <w:marLeft w:val="0"/>
      <w:marRight w:val="0"/>
      <w:marTop w:val="0"/>
      <w:marBottom w:val="0"/>
      <w:divBdr>
        <w:top w:val="none" w:sz="0" w:space="0" w:color="auto"/>
        <w:left w:val="none" w:sz="0" w:space="0" w:color="auto"/>
        <w:bottom w:val="none" w:sz="0" w:space="0" w:color="auto"/>
        <w:right w:val="none" w:sz="0" w:space="0" w:color="auto"/>
      </w:divBdr>
    </w:div>
    <w:div w:id="259291271">
      <w:bodyDiv w:val="1"/>
      <w:marLeft w:val="0"/>
      <w:marRight w:val="0"/>
      <w:marTop w:val="0"/>
      <w:marBottom w:val="0"/>
      <w:divBdr>
        <w:top w:val="none" w:sz="0" w:space="0" w:color="auto"/>
        <w:left w:val="none" w:sz="0" w:space="0" w:color="auto"/>
        <w:bottom w:val="none" w:sz="0" w:space="0" w:color="auto"/>
        <w:right w:val="none" w:sz="0" w:space="0" w:color="auto"/>
      </w:divBdr>
    </w:div>
    <w:div w:id="262684772">
      <w:bodyDiv w:val="1"/>
      <w:marLeft w:val="0"/>
      <w:marRight w:val="0"/>
      <w:marTop w:val="0"/>
      <w:marBottom w:val="0"/>
      <w:divBdr>
        <w:top w:val="none" w:sz="0" w:space="0" w:color="auto"/>
        <w:left w:val="none" w:sz="0" w:space="0" w:color="auto"/>
        <w:bottom w:val="none" w:sz="0" w:space="0" w:color="auto"/>
        <w:right w:val="none" w:sz="0" w:space="0" w:color="auto"/>
      </w:divBdr>
    </w:div>
    <w:div w:id="288509309">
      <w:bodyDiv w:val="1"/>
      <w:marLeft w:val="0"/>
      <w:marRight w:val="0"/>
      <w:marTop w:val="0"/>
      <w:marBottom w:val="0"/>
      <w:divBdr>
        <w:top w:val="none" w:sz="0" w:space="0" w:color="auto"/>
        <w:left w:val="none" w:sz="0" w:space="0" w:color="auto"/>
        <w:bottom w:val="none" w:sz="0" w:space="0" w:color="auto"/>
        <w:right w:val="none" w:sz="0" w:space="0" w:color="auto"/>
      </w:divBdr>
    </w:div>
    <w:div w:id="296186604">
      <w:bodyDiv w:val="1"/>
      <w:marLeft w:val="0"/>
      <w:marRight w:val="0"/>
      <w:marTop w:val="0"/>
      <w:marBottom w:val="0"/>
      <w:divBdr>
        <w:top w:val="none" w:sz="0" w:space="0" w:color="auto"/>
        <w:left w:val="none" w:sz="0" w:space="0" w:color="auto"/>
        <w:bottom w:val="none" w:sz="0" w:space="0" w:color="auto"/>
        <w:right w:val="none" w:sz="0" w:space="0" w:color="auto"/>
      </w:divBdr>
    </w:div>
    <w:div w:id="298846140">
      <w:bodyDiv w:val="1"/>
      <w:marLeft w:val="0"/>
      <w:marRight w:val="0"/>
      <w:marTop w:val="0"/>
      <w:marBottom w:val="0"/>
      <w:divBdr>
        <w:top w:val="none" w:sz="0" w:space="0" w:color="auto"/>
        <w:left w:val="none" w:sz="0" w:space="0" w:color="auto"/>
        <w:bottom w:val="none" w:sz="0" w:space="0" w:color="auto"/>
        <w:right w:val="none" w:sz="0" w:space="0" w:color="auto"/>
      </w:divBdr>
    </w:div>
    <w:div w:id="299922234">
      <w:bodyDiv w:val="1"/>
      <w:marLeft w:val="0"/>
      <w:marRight w:val="0"/>
      <w:marTop w:val="0"/>
      <w:marBottom w:val="0"/>
      <w:divBdr>
        <w:top w:val="none" w:sz="0" w:space="0" w:color="auto"/>
        <w:left w:val="none" w:sz="0" w:space="0" w:color="auto"/>
        <w:bottom w:val="none" w:sz="0" w:space="0" w:color="auto"/>
        <w:right w:val="none" w:sz="0" w:space="0" w:color="auto"/>
      </w:divBdr>
    </w:div>
    <w:div w:id="333529478">
      <w:bodyDiv w:val="1"/>
      <w:marLeft w:val="0"/>
      <w:marRight w:val="0"/>
      <w:marTop w:val="0"/>
      <w:marBottom w:val="0"/>
      <w:divBdr>
        <w:top w:val="none" w:sz="0" w:space="0" w:color="auto"/>
        <w:left w:val="none" w:sz="0" w:space="0" w:color="auto"/>
        <w:bottom w:val="none" w:sz="0" w:space="0" w:color="auto"/>
        <w:right w:val="none" w:sz="0" w:space="0" w:color="auto"/>
      </w:divBdr>
    </w:div>
    <w:div w:id="339893255">
      <w:bodyDiv w:val="1"/>
      <w:marLeft w:val="0"/>
      <w:marRight w:val="0"/>
      <w:marTop w:val="0"/>
      <w:marBottom w:val="0"/>
      <w:divBdr>
        <w:top w:val="none" w:sz="0" w:space="0" w:color="auto"/>
        <w:left w:val="none" w:sz="0" w:space="0" w:color="auto"/>
        <w:bottom w:val="none" w:sz="0" w:space="0" w:color="auto"/>
        <w:right w:val="none" w:sz="0" w:space="0" w:color="auto"/>
      </w:divBdr>
    </w:div>
    <w:div w:id="348065415">
      <w:bodyDiv w:val="1"/>
      <w:marLeft w:val="0"/>
      <w:marRight w:val="0"/>
      <w:marTop w:val="0"/>
      <w:marBottom w:val="0"/>
      <w:divBdr>
        <w:top w:val="none" w:sz="0" w:space="0" w:color="auto"/>
        <w:left w:val="none" w:sz="0" w:space="0" w:color="auto"/>
        <w:bottom w:val="none" w:sz="0" w:space="0" w:color="auto"/>
        <w:right w:val="none" w:sz="0" w:space="0" w:color="auto"/>
      </w:divBdr>
    </w:div>
    <w:div w:id="351876978">
      <w:bodyDiv w:val="1"/>
      <w:marLeft w:val="0"/>
      <w:marRight w:val="0"/>
      <w:marTop w:val="0"/>
      <w:marBottom w:val="0"/>
      <w:divBdr>
        <w:top w:val="none" w:sz="0" w:space="0" w:color="auto"/>
        <w:left w:val="none" w:sz="0" w:space="0" w:color="auto"/>
        <w:bottom w:val="none" w:sz="0" w:space="0" w:color="auto"/>
        <w:right w:val="none" w:sz="0" w:space="0" w:color="auto"/>
      </w:divBdr>
    </w:div>
    <w:div w:id="352268649">
      <w:bodyDiv w:val="1"/>
      <w:marLeft w:val="0"/>
      <w:marRight w:val="0"/>
      <w:marTop w:val="0"/>
      <w:marBottom w:val="0"/>
      <w:divBdr>
        <w:top w:val="none" w:sz="0" w:space="0" w:color="auto"/>
        <w:left w:val="none" w:sz="0" w:space="0" w:color="auto"/>
        <w:bottom w:val="none" w:sz="0" w:space="0" w:color="auto"/>
        <w:right w:val="none" w:sz="0" w:space="0" w:color="auto"/>
      </w:divBdr>
    </w:div>
    <w:div w:id="391852433">
      <w:bodyDiv w:val="1"/>
      <w:marLeft w:val="0"/>
      <w:marRight w:val="0"/>
      <w:marTop w:val="0"/>
      <w:marBottom w:val="0"/>
      <w:divBdr>
        <w:top w:val="none" w:sz="0" w:space="0" w:color="auto"/>
        <w:left w:val="none" w:sz="0" w:space="0" w:color="auto"/>
        <w:bottom w:val="none" w:sz="0" w:space="0" w:color="auto"/>
        <w:right w:val="none" w:sz="0" w:space="0" w:color="auto"/>
      </w:divBdr>
    </w:div>
    <w:div w:id="395857685">
      <w:bodyDiv w:val="1"/>
      <w:marLeft w:val="0"/>
      <w:marRight w:val="0"/>
      <w:marTop w:val="0"/>
      <w:marBottom w:val="0"/>
      <w:divBdr>
        <w:top w:val="none" w:sz="0" w:space="0" w:color="auto"/>
        <w:left w:val="none" w:sz="0" w:space="0" w:color="auto"/>
        <w:bottom w:val="none" w:sz="0" w:space="0" w:color="auto"/>
        <w:right w:val="none" w:sz="0" w:space="0" w:color="auto"/>
      </w:divBdr>
    </w:div>
    <w:div w:id="401414900">
      <w:bodyDiv w:val="1"/>
      <w:marLeft w:val="0"/>
      <w:marRight w:val="0"/>
      <w:marTop w:val="0"/>
      <w:marBottom w:val="0"/>
      <w:divBdr>
        <w:top w:val="none" w:sz="0" w:space="0" w:color="auto"/>
        <w:left w:val="none" w:sz="0" w:space="0" w:color="auto"/>
        <w:bottom w:val="none" w:sz="0" w:space="0" w:color="auto"/>
        <w:right w:val="none" w:sz="0" w:space="0" w:color="auto"/>
      </w:divBdr>
    </w:div>
    <w:div w:id="406348277">
      <w:bodyDiv w:val="1"/>
      <w:marLeft w:val="0"/>
      <w:marRight w:val="0"/>
      <w:marTop w:val="0"/>
      <w:marBottom w:val="0"/>
      <w:divBdr>
        <w:top w:val="none" w:sz="0" w:space="0" w:color="auto"/>
        <w:left w:val="none" w:sz="0" w:space="0" w:color="auto"/>
        <w:bottom w:val="none" w:sz="0" w:space="0" w:color="auto"/>
        <w:right w:val="none" w:sz="0" w:space="0" w:color="auto"/>
      </w:divBdr>
    </w:div>
    <w:div w:id="410472816">
      <w:bodyDiv w:val="1"/>
      <w:marLeft w:val="0"/>
      <w:marRight w:val="0"/>
      <w:marTop w:val="0"/>
      <w:marBottom w:val="0"/>
      <w:divBdr>
        <w:top w:val="none" w:sz="0" w:space="0" w:color="auto"/>
        <w:left w:val="none" w:sz="0" w:space="0" w:color="auto"/>
        <w:bottom w:val="none" w:sz="0" w:space="0" w:color="auto"/>
        <w:right w:val="none" w:sz="0" w:space="0" w:color="auto"/>
      </w:divBdr>
    </w:div>
    <w:div w:id="415130324">
      <w:bodyDiv w:val="1"/>
      <w:marLeft w:val="0"/>
      <w:marRight w:val="0"/>
      <w:marTop w:val="0"/>
      <w:marBottom w:val="0"/>
      <w:divBdr>
        <w:top w:val="none" w:sz="0" w:space="0" w:color="auto"/>
        <w:left w:val="none" w:sz="0" w:space="0" w:color="auto"/>
        <w:bottom w:val="none" w:sz="0" w:space="0" w:color="auto"/>
        <w:right w:val="none" w:sz="0" w:space="0" w:color="auto"/>
      </w:divBdr>
    </w:div>
    <w:div w:id="516895220">
      <w:bodyDiv w:val="1"/>
      <w:marLeft w:val="0"/>
      <w:marRight w:val="0"/>
      <w:marTop w:val="0"/>
      <w:marBottom w:val="0"/>
      <w:divBdr>
        <w:top w:val="none" w:sz="0" w:space="0" w:color="auto"/>
        <w:left w:val="none" w:sz="0" w:space="0" w:color="auto"/>
        <w:bottom w:val="none" w:sz="0" w:space="0" w:color="auto"/>
        <w:right w:val="none" w:sz="0" w:space="0" w:color="auto"/>
      </w:divBdr>
    </w:div>
    <w:div w:id="527451044">
      <w:bodyDiv w:val="1"/>
      <w:marLeft w:val="0"/>
      <w:marRight w:val="0"/>
      <w:marTop w:val="0"/>
      <w:marBottom w:val="0"/>
      <w:divBdr>
        <w:top w:val="none" w:sz="0" w:space="0" w:color="auto"/>
        <w:left w:val="none" w:sz="0" w:space="0" w:color="auto"/>
        <w:bottom w:val="none" w:sz="0" w:space="0" w:color="auto"/>
        <w:right w:val="none" w:sz="0" w:space="0" w:color="auto"/>
      </w:divBdr>
    </w:div>
    <w:div w:id="567887243">
      <w:bodyDiv w:val="1"/>
      <w:marLeft w:val="0"/>
      <w:marRight w:val="0"/>
      <w:marTop w:val="0"/>
      <w:marBottom w:val="0"/>
      <w:divBdr>
        <w:top w:val="none" w:sz="0" w:space="0" w:color="auto"/>
        <w:left w:val="none" w:sz="0" w:space="0" w:color="auto"/>
        <w:bottom w:val="none" w:sz="0" w:space="0" w:color="auto"/>
        <w:right w:val="none" w:sz="0" w:space="0" w:color="auto"/>
      </w:divBdr>
    </w:div>
    <w:div w:id="569000385">
      <w:bodyDiv w:val="1"/>
      <w:marLeft w:val="0"/>
      <w:marRight w:val="0"/>
      <w:marTop w:val="0"/>
      <w:marBottom w:val="0"/>
      <w:divBdr>
        <w:top w:val="none" w:sz="0" w:space="0" w:color="auto"/>
        <w:left w:val="none" w:sz="0" w:space="0" w:color="auto"/>
        <w:bottom w:val="none" w:sz="0" w:space="0" w:color="auto"/>
        <w:right w:val="none" w:sz="0" w:space="0" w:color="auto"/>
      </w:divBdr>
    </w:div>
    <w:div w:id="576745727">
      <w:bodyDiv w:val="1"/>
      <w:marLeft w:val="0"/>
      <w:marRight w:val="0"/>
      <w:marTop w:val="0"/>
      <w:marBottom w:val="0"/>
      <w:divBdr>
        <w:top w:val="none" w:sz="0" w:space="0" w:color="auto"/>
        <w:left w:val="none" w:sz="0" w:space="0" w:color="auto"/>
        <w:bottom w:val="none" w:sz="0" w:space="0" w:color="auto"/>
        <w:right w:val="none" w:sz="0" w:space="0" w:color="auto"/>
      </w:divBdr>
    </w:div>
    <w:div w:id="587008151">
      <w:bodyDiv w:val="1"/>
      <w:marLeft w:val="0"/>
      <w:marRight w:val="0"/>
      <w:marTop w:val="0"/>
      <w:marBottom w:val="0"/>
      <w:divBdr>
        <w:top w:val="none" w:sz="0" w:space="0" w:color="auto"/>
        <w:left w:val="none" w:sz="0" w:space="0" w:color="auto"/>
        <w:bottom w:val="none" w:sz="0" w:space="0" w:color="auto"/>
        <w:right w:val="none" w:sz="0" w:space="0" w:color="auto"/>
      </w:divBdr>
    </w:div>
    <w:div w:id="599339778">
      <w:bodyDiv w:val="1"/>
      <w:marLeft w:val="0"/>
      <w:marRight w:val="0"/>
      <w:marTop w:val="0"/>
      <w:marBottom w:val="0"/>
      <w:divBdr>
        <w:top w:val="none" w:sz="0" w:space="0" w:color="auto"/>
        <w:left w:val="none" w:sz="0" w:space="0" w:color="auto"/>
        <w:bottom w:val="none" w:sz="0" w:space="0" w:color="auto"/>
        <w:right w:val="none" w:sz="0" w:space="0" w:color="auto"/>
      </w:divBdr>
    </w:div>
    <w:div w:id="603924538">
      <w:bodyDiv w:val="1"/>
      <w:marLeft w:val="0"/>
      <w:marRight w:val="0"/>
      <w:marTop w:val="0"/>
      <w:marBottom w:val="0"/>
      <w:divBdr>
        <w:top w:val="none" w:sz="0" w:space="0" w:color="auto"/>
        <w:left w:val="none" w:sz="0" w:space="0" w:color="auto"/>
        <w:bottom w:val="none" w:sz="0" w:space="0" w:color="auto"/>
        <w:right w:val="none" w:sz="0" w:space="0" w:color="auto"/>
      </w:divBdr>
    </w:div>
    <w:div w:id="608047107">
      <w:bodyDiv w:val="1"/>
      <w:marLeft w:val="0"/>
      <w:marRight w:val="0"/>
      <w:marTop w:val="0"/>
      <w:marBottom w:val="0"/>
      <w:divBdr>
        <w:top w:val="none" w:sz="0" w:space="0" w:color="auto"/>
        <w:left w:val="none" w:sz="0" w:space="0" w:color="auto"/>
        <w:bottom w:val="none" w:sz="0" w:space="0" w:color="auto"/>
        <w:right w:val="none" w:sz="0" w:space="0" w:color="auto"/>
      </w:divBdr>
    </w:div>
    <w:div w:id="630209122">
      <w:bodyDiv w:val="1"/>
      <w:marLeft w:val="0"/>
      <w:marRight w:val="0"/>
      <w:marTop w:val="0"/>
      <w:marBottom w:val="0"/>
      <w:divBdr>
        <w:top w:val="none" w:sz="0" w:space="0" w:color="auto"/>
        <w:left w:val="none" w:sz="0" w:space="0" w:color="auto"/>
        <w:bottom w:val="none" w:sz="0" w:space="0" w:color="auto"/>
        <w:right w:val="none" w:sz="0" w:space="0" w:color="auto"/>
      </w:divBdr>
    </w:div>
    <w:div w:id="634406708">
      <w:bodyDiv w:val="1"/>
      <w:marLeft w:val="0"/>
      <w:marRight w:val="0"/>
      <w:marTop w:val="0"/>
      <w:marBottom w:val="0"/>
      <w:divBdr>
        <w:top w:val="none" w:sz="0" w:space="0" w:color="auto"/>
        <w:left w:val="none" w:sz="0" w:space="0" w:color="auto"/>
        <w:bottom w:val="none" w:sz="0" w:space="0" w:color="auto"/>
        <w:right w:val="none" w:sz="0" w:space="0" w:color="auto"/>
      </w:divBdr>
    </w:div>
    <w:div w:id="648369344">
      <w:bodyDiv w:val="1"/>
      <w:marLeft w:val="0"/>
      <w:marRight w:val="0"/>
      <w:marTop w:val="0"/>
      <w:marBottom w:val="0"/>
      <w:divBdr>
        <w:top w:val="none" w:sz="0" w:space="0" w:color="auto"/>
        <w:left w:val="none" w:sz="0" w:space="0" w:color="auto"/>
        <w:bottom w:val="none" w:sz="0" w:space="0" w:color="auto"/>
        <w:right w:val="none" w:sz="0" w:space="0" w:color="auto"/>
      </w:divBdr>
    </w:div>
    <w:div w:id="650015050">
      <w:bodyDiv w:val="1"/>
      <w:marLeft w:val="0"/>
      <w:marRight w:val="0"/>
      <w:marTop w:val="0"/>
      <w:marBottom w:val="0"/>
      <w:divBdr>
        <w:top w:val="none" w:sz="0" w:space="0" w:color="auto"/>
        <w:left w:val="none" w:sz="0" w:space="0" w:color="auto"/>
        <w:bottom w:val="none" w:sz="0" w:space="0" w:color="auto"/>
        <w:right w:val="none" w:sz="0" w:space="0" w:color="auto"/>
      </w:divBdr>
    </w:div>
    <w:div w:id="655110204">
      <w:bodyDiv w:val="1"/>
      <w:marLeft w:val="0"/>
      <w:marRight w:val="0"/>
      <w:marTop w:val="0"/>
      <w:marBottom w:val="0"/>
      <w:divBdr>
        <w:top w:val="none" w:sz="0" w:space="0" w:color="auto"/>
        <w:left w:val="none" w:sz="0" w:space="0" w:color="auto"/>
        <w:bottom w:val="none" w:sz="0" w:space="0" w:color="auto"/>
        <w:right w:val="none" w:sz="0" w:space="0" w:color="auto"/>
      </w:divBdr>
    </w:div>
    <w:div w:id="680278150">
      <w:bodyDiv w:val="1"/>
      <w:marLeft w:val="0"/>
      <w:marRight w:val="0"/>
      <w:marTop w:val="0"/>
      <w:marBottom w:val="0"/>
      <w:divBdr>
        <w:top w:val="none" w:sz="0" w:space="0" w:color="auto"/>
        <w:left w:val="none" w:sz="0" w:space="0" w:color="auto"/>
        <w:bottom w:val="none" w:sz="0" w:space="0" w:color="auto"/>
        <w:right w:val="none" w:sz="0" w:space="0" w:color="auto"/>
      </w:divBdr>
    </w:div>
    <w:div w:id="689843296">
      <w:bodyDiv w:val="1"/>
      <w:marLeft w:val="0"/>
      <w:marRight w:val="0"/>
      <w:marTop w:val="0"/>
      <w:marBottom w:val="0"/>
      <w:divBdr>
        <w:top w:val="none" w:sz="0" w:space="0" w:color="auto"/>
        <w:left w:val="none" w:sz="0" w:space="0" w:color="auto"/>
        <w:bottom w:val="none" w:sz="0" w:space="0" w:color="auto"/>
        <w:right w:val="none" w:sz="0" w:space="0" w:color="auto"/>
      </w:divBdr>
    </w:div>
    <w:div w:id="691613160">
      <w:bodyDiv w:val="1"/>
      <w:marLeft w:val="0"/>
      <w:marRight w:val="0"/>
      <w:marTop w:val="0"/>
      <w:marBottom w:val="0"/>
      <w:divBdr>
        <w:top w:val="none" w:sz="0" w:space="0" w:color="auto"/>
        <w:left w:val="none" w:sz="0" w:space="0" w:color="auto"/>
        <w:bottom w:val="none" w:sz="0" w:space="0" w:color="auto"/>
        <w:right w:val="none" w:sz="0" w:space="0" w:color="auto"/>
      </w:divBdr>
    </w:div>
    <w:div w:id="698358264">
      <w:bodyDiv w:val="1"/>
      <w:marLeft w:val="0"/>
      <w:marRight w:val="0"/>
      <w:marTop w:val="0"/>
      <w:marBottom w:val="0"/>
      <w:divBdr>
        <w:top w:val="none" w:sz="0" w:space="0" w:color="auto"/>
        <w:left w:val="none" w:sz="0" w:space="0" w:color="auto"/>
        <w:bottom w:val="none" w:sz="0" w:space="0" w:color="auto"/>
        <w:right w:val="none" w:sz="0" w:space="0" w:color="auto"/>
      </w:divBdr>
    </w:div>
    <w:div w:id="711732581">
      <w:bodyDiv w:val="1"/>
      <w:marLeft w:val="0"/>
      <w:marRight w:val="0"/>
      <w:marTop w:val="0"/>
      <w:marBottom w:val="0"/>
      <w:divBdr>
        <w:top w:val="none" w:sz="0" w:space="0" w:color="auto"/>
        <w:left w:val="none" w:sz="0" w:space="0" w:color="auto"/>
        <w:bottom w:val="none" w:sz="0" w:space="0" w:color="auto"/>
        <w:right w:val="none" w:sz="0" w:space="0" w:color="auto"/>
      </w:divBdr>
    </w:div>
    <w:div w:id="743256259">
      <w:bodyDiv w:val="1"/>
      <w:marLeft w:val="0"/>
      <w:marRight w:val="0"/>
      <w:marTop w:val="0"/>
      <w:marBottom w:val="0"/>
      <w:divBdr>
        <w:top w:val="none" w:sz="0" w:space="0" w:color="auto"/>
        <w:left w:val="none" w:sz="0" w:space="0" w:color="auto"/>
        <w:bottom w:val="none" w:sz="0" w:space="0" w:color="auto"/>
        <w:right w:val="none" w:sz="0" w:space="0" w:color="auto"/>
      </w:divBdr>
    </w:div>
    <w:div w:id="758017378">
      <w:bodyDiv w:val="1"/>
      <w:marLeft w:val="0"/>
      <w:marRight w:val="0"/>
      <w:marTop w:val="0"/>
      <w:marBottom w:val="0"/>
      <w:divBdr>
        <w:top w:val="none" w:sz="0" w:space="0" w:color="auto"/>
        <w:left w:val="none" w:sz="0" w:space="0" w:color="auto"/>
        <w:bottom w:val="none" w:sz="0" w:space="0" w:color="auto"/>
        <w:right w:val="none" w:sz="0" w:space="0" w:color="auto"/>
      </w:divBdr>
    </w:div>
    <w:div w:id="761993331">
      <w:bodyDiv w:val="1"/>
      <w:marLeft w:val="0"/>
      <w:marRight w:val="0"/>
      <w:marTop w:val="0"/>
      <w:marBottom w:val="0"/>
      <w:divBdr>
        <w:top w:val="none" w:sz="0" w:space="0" w:color="auto"/>
        <w:left w:val="none" w:sz="0" w:space="0" w:color="auto"/>
        <w:bottom w:val="none" w:sz="0" w:space="0" w:color="auto"/>
        <w:right w:val="none" w:sz="0" w:space="0" w:color="auto"/>
      </w:divBdr>
    </w:div>
    <w:div w:id="781923326">
      <w:bodyDiv w:val="1"/>
      <w:marLeft w:val="0"/>
      <w:marRight w:val="0"/>
      <w:marTop w:val="0"/>
      <w:marBottom w:val="0"/>
      <w:divBdr>
        <w:top w:val="none" w:sz="0" w:space="0" w:color="auto"/>
        <w:left w:val="none" w:sz="0" w:space="0" w:color="auto"/>
        <w:bottom w:val="none" w:sz="0" w:space="0" w:color="auto"/>
        <w:right w:val="none" w:sz="0" w:space="0" w:color="auto"/>
      </w:divBdr>
    </w:div>
    <w:div w:id="800152919">
      <w:bodyDiv w:val="1"/>
      <w:marLeft w:val="0"/>
      <w:marRight w:val="0"/>
      <w:marTop w:val="0"/>
      <w:marBottom w:val="0"/>
      <w:divBdr>
        <w:top w:val="none" w:sz="0" w:space="0" w:color="auto"/>
        <w:left w:val="none" w:sz="0" w:space="0" w:color="auto"/>
        <w:bottom w:val="none" w:sz="0" w:space="0" w:color="auto"/>
        <w:right w:val="none" w:sz="0" w:space="0" w:color="auto"/>
      </w:divBdr>
    </w:div>
    <w:div w:id="814953339">
      <w:bodyDiv w:val="1"/>
      <w:marLeft w:val="0"/>
      <w:marRight w:val="0"/>
      <w:marTop w:val="0"/>
      <w:marBottom w:val="0"/>
      <w:divBdr>
        <w:top w:val="none" w:sz="0" w:space="0" w:color="auto"/>
        <w:left w:val="none" w:sz="0" w:space="0" w:color="auto"/>
        <w:bottom w:val="none" w:sz="0" w:space="0" w:color="auto"/>
        <w:right w:val="none" w:sz="0" w:space="0" w:color="auto"/>
      </w:divBdr>
    </w:div>
    <w:div w:id="824668473">
      <w:bodyDiv w:val="1"/>
      <w:marLeft w:val="0"/>
      <w:marRight w:val="0"/>
      <w:marTop w:val="0"/>
      <w:marBottom w:val="0"/>
      <w:divBdr>
        <w:top w:val="none" w:sz="0" w:space="0" w:color="auto"/>
        <w:left w:val="none" w:sz="0" w:space="0" w:color="auto"/>
        <w:bottom w:val="none" w:sz="0" w:space="0" w:color="auto"/>
        <w:right w:val="none" w:sz="0" w:space="0" w:color="auto"/>
      </w:divBdr>
    </w:div>
    <w:div w:id="829441062">
      <w:bodyDiv w:val="1"/>
      <w:marLeft w:val="0"/>
      <w:marRight w:val="0"/>
      <w:marTop w:val="0"/>
      <w:marBottom w:val="0"/>
      <w:divBdr>
        <w:top w:val="none" w:sz="0" w:space="0" w:color="auto"/>
        <w:left w:val="none" w:sz="0" w:space="0" w:color="auto"/>
        <w:bottom w:val="none" w:sz="0" w:space="0" w:color="auto"/>
        <w:right w:val="none" w:sz="0" w:space="0" w:color="auto"/>
      </w:divBdr>
    </w:div>
    <w:div w:id="837189471">
      <w:bodyDiv w:val="1"/>
      <w:marLeft w:val="0"/>
      <w:marRight w:val="0"/>
      <w:marTop w:val="0"/>
      <w:marBottom w:val="0"/>
      <w:divBdr>
        <w:top w:val="none" w:sz="0" w:space="0" w:color="auto"/>
        <w:left w:val="none" w:sz="0" w:space="0" w:color="auto"/>
        <w:bottom w:val="none" w:sz="0" w:space="0" w:color="auto"/>
        <w:right w:val="none" w:sz="0" w:space="0" w:color="auto"/>
      </w:divBdr>
    </w:div>
    <w:div w:id="837771417">
      <w:bodyDiv w:val="1"/>
      <w:marLeft w:val="0"/>
      <w:marRight w:val="0"/>
      <w:marTop w:val="0"/>
      <w:marBottom w:val="0"/>
      <w:divBdr>
        <w:top w:val="none" w:sz="0" w:space="0" w:color="auto"/>
        <w:left w:val="none" w:sz="0" w:space="0" w:color="auto"/>
        <w:bottom w:val="none" w:sz="0" w:space="0" w:color="auto"/>
        <w:right w:val="none" w:sz="0" w:space="0" w:color="auto"/>
      </w:divBdr>
    </w:div>
    <w:div w:id="843013955">
      <w:bodyDiv w:val="1"/>
      <w:marLeft w:val="0"/>
      <w:marRight w:val="0"/>
      <w:marTop w:val="0"/>
      <w:marBottom w:val="0"/>
      <w:divBdr>
        <w:top w:val="none" w:sz="0" w:space="0" w:color="auto"/>
        <w:left w:val="none" w:sz="0" w:space="0" w:color="auto"/>
        <w:bottom w:val="none" w:sz="0" w:space="0" w:color="auto"/>
        <w:right w:val="none" w:sz="0" w:space="0" w:color="auto"/>
      </w:divBdr>
    </w:div>
    <w:div w:id="860705938">
      <w:bodyDiv w:val="1"/>
      <w:marLeft w:val="0"/>
      <w:marRight w:val="0"/>
      <w:marTop w:val="0"/>
      <w:marBottom w:val="0"/>
      <w:divBdr>
        <w:top w:val="none" w:sz="0" w:space="0" w:color="auto"/>
        <w:left w:val="none" w:sz="0" w:space="0" w:color="auto"/>
        <w:bottom w:val="none" w:sz="0" w:space="0" w:color="auto"/>
        <w:right w:val="none" w:sz="0" w:space="0" w:color="auto"/>
      </w:divBdr>
    </w:div>
    <w:div w:id="877164391">
      <w:bodyDiv w:val="1"/>
      <w:marLeft w:val="0"/>
      <w:marRight w:val="0"/>
      <w:marTop w:val="0"/>
      <w:marBottom w:val="0"/>
      <w:divBdr>
        <w:top w:val="none" w:sz="0" w:space="0" w:color="auto"/>
        <w:left w:val="none" w:sz="0" w:space="0" w:color="auto"/>
        <w:bottom w:val="none" w:sz="0" w:space="0" w:color="auto"/>
        <w:right w:val="none" w:sz="0" w:space="0" w:color="auto"/>
      </w:divBdr>
    </w:div>
    <w:div w:id="894245664">
      <w:bodyDiv w:val="1"/>
      <w:marLeft w:val="0"/>
      <w:marRight w:val="0"/>
      <w:marTop w:val="0"/>
      <w:marBottom w:val="0"/>
      <w:divBdr>
        <w:top w:val="none" w:sz="0" w:space="0" w:color="auto"/>
        <w:left w:val="none" w:sz="0" w:space="0" w:color="auto"/>
        <w:bottom w:val="none" w:sz="0" w:space="0" w:color="auto"/>
        <w:right w:val="none" w:sz="0" w:space="0" w:color="auto"/>
      </w:divBdr>
    </w:div>
    <w:div w:id="903834032">
      <w:bodyDiv w:val="1"/>
      <w:marLeft w:val="0"/>
      <w:marRight w:val="0"/>
      <w:marTop w:val="0"/>
      <w:marBottom w:val="0"/>
      <w:divBdr>
        <w:top w:val="none" w:sz="0" w:space="0" w:color="auto"/>
        <w:left w:val="none" w:sz="0" w:space="0" w:color="auto"/>
        <w:bottom w:val="none" w:sz="0" w:space="0" w:color="auto"/>
        <w:right w:val="none" w:sz="0" w:space="0" w:color="auto"/>
      </w:divBdr>
    </w:div>
    <w:div w:id="912351912">
      <w:bodyDiv w:val="1"/>
      <w:marLeft w:val="0"/>
      <w:marRight w:val="0"/>
      <w:marTop w:val="0"/>
      <w:marBottom w:val="0"/>
      <w:divBdr>
        <w:top w:val="none" w:sz="0" w:space="0" w:color="auto"/>
        <w:left w:val="none" w:sz="0" w:space="0" w:color="auto"/>
        <w:bottom w:val="none" w:sz="0" w:space="0" w:color="auto"/>
        <w:right w:val="none" w:sz="0" w:space="0" w:color="auto"/>
      </w:divBdr>
    </w:div>
    <w:div w:id="921179922">
      <w:bodyDiv w:val="1"/>
      <w:marLeft w:val="0"/>
      <w:marRight w:val="0"/>
      <w:marTop w:val="0"/>
      <w:marBottom w:val="0"/>
      <w:divBdr>
        <w:top w:val="none" w:sz="0" w:space="0" w:color="auto"/>
        <w:left w:val="none" w:sz="0" w:space="0" w:color="auto"/>
        <w:bottom w:val="none" w:sz="0" w:space="0" w:color="auto"/>
        <w:right w:val="none" w:sz="0" w:space="0" w:color="auto"/>
      </w:divBdr>
    </w:div>
    <w:div w:id="938834381">
      <w:bodyDiv w:val="1"/>
      <w:marLeft w:val="0"/>
      <w:marRight w:val="0"/>
      <w:marTop w:val="0"/>
      <w:marBottom w:val="0"/>
      <w:divBdr>
        <w:top w:val="none" w:sz="0" w:space="0" w:color="auto"/>
        <w:left w:val="none" w:sz="0" w:space="0" w:color="auto"/>
        <w:bottom w:val="none" w:sz="0" w:space="0" w:color="auto"/>
        <w:right w:val="none" w:sz="0" w:space="0" w:color="auto"/>
      </w:divBdr>
    </w:div>
    <w:div w:id="955019774">
      <w:bodyDiv w:val="1"/>
      <w:marLeft w:val="0"/>
      <w:marRight w:val="0"/>
      <w:marTop w:val="0"/>
      <w:marBottom w:val="0"/>
      <w:divBdr>
        <w:top w:val="none" w:sz="0" w:space="0" w:color="auto"/>
        <w:left w:val="none" w:sz="0" w:space="0" w:color="auto"/>
        <w:bottom w:val="none" w:sz="0" w:space="0" w:color="auto"/>
        <w:right w:val="none" w:sz="0" w:space="0" w:color="auto"/>
      </w:divBdr>
    </w:div>
    <w:div w:id="961228613">
      <w:bodyDiv w:val="1"/>
      <w:marLeft w:val="0"/>
      <w:marRight w:val="0"/>
      <w:marTop w:val="0"/>
      <w:marBottom w:val="0"/>
      <w:divBdr>
        <w:top w:val="none" w:sz="0" w:space="0" w:color="auto"/>
        <w:left w:val="none" w:sz="0" w:space="0" w:color="auto"/>
        <w:bottom w:val="none" w:sz="0" w:space="0" w:color="auto"/>
        <w:right w:val="none" w:sz="0" w:space="0" w:color="auto"/>
      </w:divBdr>
    </w:div>
    <w:div w:id="966355608">
      <w:bodyDiv w:val="1"/>
      <w:marLeft w:val="0"/>
      <w:marRight w:val="0"/>
      <w:marTop w:val="0"/>
      <w:marBottom w:val="0"/>
      <w:divBdr>
        <w:top w:val="none" w:sz="0" w:space="0" w:color="auto"/>
        <w:left w:val="none" w:sz="0" w:space="0" w:color="auto"/>
        <w:bottom w:val="none" w:sz="0" w:space="0" w:color="auto"/>
        <w:right w:val="none" w:sz="0" w:space="0" w:color="auto"/>
      </w:divBdr>
    </w:div>
    <w:div w:id="1008411250">
      <w:bodyDiv w:val="1"/>
      <w:marLeft w:val="0"/>
      <w:marRight w:val="0"/>
      <w:marTop w:val="0"/>
      <w:marBottom w:val="0"/>
      <w:divBdr>
        <w:top w:val="none" w:sz="0" w:space="0" w:color="auto"/>
        <w:left w:val="none" w:sz="0" w:space="0" w:color="auto"/>
        <w:bottom w:val="none" w:sz="0" w:space="0" w:color="auto"/>
        <w:right w:val="none" w:sz="0" w:space="0" w:color="auto"/>
      </w:divBdr>
    </w:div>
    <w:div w:id="1025642493">
      <w:bodyDiv w:val="1"/>
      <w:marLeft w:val="0"/>
      <w:marRight w:val="0"/>
      <w:marTop w:val="0"/>
      <w:marBottom w:val="0"/>
      <w:divBdr>
        <w:top w:val="none" w:sz="0" w:space="0" w:color="auto"/>
        <w:left w:val="none" w:sz="0" w:space="0" w:color="auto"/>
        <w:bottom w:val="none" w:sz="0" w:space="0" w:color="auto"/>
        <w:right w:val="none" w:sz="0" w:space="0" w:color="auto"/>
      </w:divBdr>
    </w:div>
    <w:div w:id="1041514180">
      <w:bodyDiv w:val="1"/>
      <w:marLeft w:val="0"/>
      <w:marRight w:val="0"/>
      <w:marTop w:val="0"/>
      <w:marBottom w:val="0"/>
      <w:divBdr>
        <w:top w:val="none" w:sz="0" w:space="0" w:color="auto"/>
        <w:left w:val="none" w:sz="0" w:space="0" w:color="auto"/>
        <w:bottom w:val="none" w:sz="0" w:space="0" w:color="auto"/>
        <w:right w:val="none" w:sz="0" w:space="0" w:color="auto"/>
      </w:divBdr>
    </w:div>
    <w:div w:id="1072972953">
      <w:bodyDiv w:val="1"/>
      <w:marLeft w:val="0"/>
      <w:marRight w:val="0"/>
      <w:marTop w:val="0"/>
      <w:marBottom w:val="0"/>
      <w:divBdr>
        <w:top w:val="none" w:sz="0" w:space="0" w:color="auto"/>
        <w:left w:val="none" w:sz="0" w:space="0" w:color="auto"/>
        <w:bottom w:val="none" w:sz="0" w:space="0" w:color="auto"/>
        <w:right w:val="none" w:sz="0" w:space="0" w:color="auto"/>
      </w:divBdr>
    </w:div>
    <w:div w:id="1091462978">
      <w:bodyDiv w:val="1"/>
      <w:marLeft w:val="0"/>
      <w:marRight w:val="0"/>
      <w:marTop w:val="0"/>
      <w:marBottom w:val="0"/>
      <w:divBdr>
        <w:top w:val="none" w:sz="0" w:space="0" w:color="auto"/>
        <w:left w:val="none" w:sz="0" w:space="0" w:color="auto"/>
        <w:bottom w:val="none" w:sz="0" w:space="0" w:color="auto"/>
        <w:right w:val="none" w:sz="0" w:space="0" w:color="auto"/>
      </w:divBdr>
    </w:div>
    <w:div w:id="1093353243">
      <w:bodyDiv w:val="1"/>
      <w:marLeft w:val="0"/>
      <w:marRight w:val="0"/>
      <w:marTop w:val="0"/>
      <w:marBottom w:val="0"/>
      <w:divBdr>
        <w:top w:val="none" w:sz="0" w:space="0" w:color="auto"/>
        <w:left w:val="none" w:sz="0" w:space="0" w:color="auto"/>
        <w:bottom w:val="none" w:sz="0" w:space="0" w:color="auto"/>
        <w:right w:val="none" w:sz="0" w:space="0" w:color="auto"/>
      </w:divBdr>
    </w:div>
    <w:div w:id="1110273514">
      <w:bodyDiv w:val="1"/>
      <w:marLeft w:val="0"/>
      <w:marRight w:val="0"/>
      <w:marTop w:val="0"/>
      <w:marBottom w:val="0"/>
      <w:divBdr>
        <w:top w:val="none" w:sz="0" w:space="0" w:color="auto"/>
        <w:left w:val="none" w:sz="0" w:space="0" w:color="auto"/>
        <w:bottom w:val="none" w:sz="0" w:space="0" w:color="auto"/>
        <w:right w:val="none" w:sz="0" w:space="0" w:color="auto"/>
      </w:divBdr>
    </w:div>
    <w:div w:id="1112091873">
      <w:bodyDiv w:val="1"/>
      <w:marLeft w:val="0"/>
      <w:marRight w:val="0"/>
      <w:marTop w:val="0"/>
      <w:marBottom w:val="0"/>
      <w:divBdr>
        <w:top w:val="none" w:sz="0" w:space="0" w:color="auto"/>
        <w:left w:val="none" w:sz="0" w:space="0" w:color="auto"/>
        <w:bottom w:val="none" w:sz="0" w:space="0" w:color="auto"/>
        <w:right w:val="none" w:sz="0" w:space="0" w:color="auto"/>
      </w:divBdr>
    </w:div>
    <w:div w:id="1127042130">
      <w:bodyDiv w:val="1"/>
      <w:marLeft w:val="0"/>
      <w:marRight w:val="0"/>
      <w:marTop w:val="0"/>
      <w:marBottom w:val="0"/>
      <w:divBdr>
        <w:top w:val="none" w:sz="0" w:space="0" w:color="auto"/>
        <w:left w:val="none" w:sz="0" w:space="0" w:color="auto"/>
        <w:bottom w:val="none" w:sz="0" w:space="0" w:color="auto"/>
        <w:right w:val="none" w:sz="0" w:space="0" w:color="auto"/>
      </w:divBdr>
    </w:div>
    <w:div w:id="1129083134">
      <w:bodyDiv w:val="1"/>
      <w:marLeft w:val="0"/>
      <w:marRight w:val="0"/>
      <w:marTop w:val="0"/>
      <w:marBottom w:val="0"/>
      <w:divBdr>
        <w:top w:val="none" w:sz="0" w:space="0" w:color="auto"/>
        <w:left w:val="none" w:sz="0" w:space="0" w:color="auto"/>
        <w:bottom w:val="none" w:sz="0" w:space="0" w:color="auto"/>
        <w:right w:val="none" w:sz="0" w:space="0" w:color="auto"/>
      </w:divBdr>
    </w:div>
    <w:div w:id="1134516833">
      <w:bodyDiv w:val="1"/>
      <w:marLeft w:val="0"/>
      <w:marRight w:val="0"/>
      <w:marTop w:val="0"/>
      <w:marBottom w:val="0"/>
      <w:divBdr>
        <w:top w:val="none" w:sz="0" w:space="0" w:color="auto"/>
        <w:left w:val="none" w:sz="0" w:space="0" w:color="auto"/>
        <w:bottom w:val="none" w:sz="0" w:space="0" w:color="auto"/>
        <w:right w:val="none" w:sz="0" w:space="0" w:color="auto"/>
      </w:divBdr>
    </w:div>
    <w:div w:id="1150288380">
      <w:bodyDiv w:val="1"/>
      <w:marLeft w:val="0"/>
      <w:marRight w:val="0"/>
      <w:marTop w:val="0"/>
      <w:marBottom w:val="0"/>
      <w:divBdr>
        <w:top w:val="none" w:sz="0" w:space="0" w:color="auto"/>
        <w:left w:val="none" w:sz="0" w:space="0" w:color="auto"/>
        <w:bottom w:val="none" w:sz="0" w:space="0" w:color="auto"/>
        <w:right w:val="none" w:sz="0" w:space="0" w:color="auto"/>
      </w:divBdr>
    </w:div>
    <w:div w:id="1155339764">
      <w:bodyDiv w:val="1"/>
      <w:marLeft w:val="0"/>
      <w:marRight w:val="0"/>
      <w:marTop w:val="0"/>
      <w:marBottom w:val="0"/>
      <w:divBdr>
        <w:top w:val="none" w:sz="0" w:space="0" w:color="auto"/>
        <w:left w:val="none" w:sz="0" w:space="0" w:color="auto"/>
        <w:bottom w:val="none" w:sz="0" w:space="0" w:color="auto"/>
        <w:right w:val="none" w:sz="0" w:space="0" w:color="auto"/>
      </w:divBdr>
    </w:div>
    <w:div w:id="1187060112">
      <w:bodyDiv w:val="1"/>
      <w:marLeft w:val="0"/>
      <w:marRight w:val="0"/>
      <w:marTop w:val="0"/>
      <w:marBottom w:val="0"/>
      <w:divBdr>
        <w:top w:val="none" w:sz="0" w:space="0" w:color="auto"/>
        <w:left w:val="none" w:sz="0" w:space="0" w:color="auto"/>
        <w:bottom w:val="none" w:sz="0" w:space="0" w:color="auto"/>
        <w:right w:val="none" w:sz="0" w:space="0" w:color="auto"/>
      </w:divBdr>
    </w:div>
    <w:div w:id="1198203236">
      <w:bodyDiv w:val="1"/>
      <w:marLeft w:val="0"/>
      <w:marRight w:val="0"/>
      <w:marTop w:val="0"/>
      <w:marBottom w:val="0"/>
      <w:divBdr>
        <w:top w:val="none" w:sz="0" w:space="0" w:color="auto"/>
        <w:left w:val="none" w:sz="0" w:space="0" w:color="auto"/>
        <w:bottom w:val="none" w:sz="0" w:space="0" w:color="auto"/>
        <w:right w:val="none" w:sz="0" w:space="0" w:color="auto"/>
      </w:divBdr>
    </w:div>
    <w:div w:id="1198544099">
      <w:bodyDiv w:val="1"/>
      <w:marLeft w:val="0"/>
      <w:marRight w:val="0"/>
      <w:marTop w:val="0"/>
      <w:marBottom w:val="0"/>
      <w:divBdr>
        <w:top w:val="none" w:sz="0" w:space="0" w:color="auto"/>
        <w:left w:val="none" w:sz="0" w:space="0" w:color="auto"/>
        <w:bottom w:val="none" w:sz="0" w:space="0" w:color="auto"/>
        <w:right w:val="none" w:sz="0" w:space="0" w:color="auto"/>
      </w:divBdr>
    </w:div>
    <w:div w:id="1206911964">
      <w:bodyDiv w:val="1"/>
      <w:marLeft w:val="0"/>
      <w:marRight w:val="0"/>
      <w:marTop w:val="0"/>
      <w:marBottom w:val="0"/>
      <w:divBdr>
        <w:top w:val="none" w:sz="0" w:space="0" w:color="auto"/>
        <w:left w:val="none" w:sz="0" w:space="0" w:color="auto"/>
        <w:bottom w:val="none" w:sz="0" w:space="0" w:color="auto"/>
        <w:right w:val="none" w:sz="0" w:space="0" w:color="auto"/>
      </w:divBdr>
    </w:div>
    <w:div w:id="1213154429">
      <w:bodyDiv w:val="1"/>
      <w:marLeft w:val="0"/>
      <w:marRight w:val="0"/>
      <w:marTop w:val="0"/>
      <w:marBottom w:val="0"/>
      <w:divBdr>
        <w:top w:val="none" w:sz="0" w:space="0" w:color="auto"/>
        <w:left w:val="none" w:sz="0" w:space="0" w:color="auto"/>
        <w:bottom w:val="none" w:sz="0" w:space="0" w:color="auto"/>
        <w:right w:val="none" w:sz="0" w:space="0" w:color="auto"/>
      </w:divBdr>
    </w:div>
    <w:div w:id="1217088277">
      <w:bodyDiv w:val="1"/>
      <w:marLeft w:val="0"/>
      <w:marRight w:val="0"/>
      <w:marTop w:val="0"/>
      <w:marBottom w:val="0"/>
      <w:divBdr>
        <w:top w:val="none" w:sz="0" w:space="0" w:color="auto"/>
        <w:left w:val="none" w:sz="0" w:space="0" w:color="auto"/>
        <w:bottom w:val="none" w:sz="0" w:space="0" w:color="auto"/>
        <w:right w:val="none" w:sz="0" w:space="0" w:color="auto"/>
      </w:divBdr>
    </w:div>
    <w:div w:id="1220021600">
      <w:bodyDiv w:val="1"/>
      <w:marLeft w:val="0"/>
      <w:marRight w:val="0"/>
      <w:marTop w:val="0"/>
      <w:marBottom w:val="0"/>
      <w:divBdr>
        <w:top w:val="none" w:sz="0" w:space="0" w:color="auto"/>
        <w:left w:val="none" w:sz="0" w:space="0" w:color="auto"/>
        <w:bottom w:val="none" w:sz="0" w:space="0" w:color="auto"/>
        <w:right w:val="none" w:sz="0" w:space="0" w:color="auto"/>
      </w:divBdr>
    </w:div>
    <w:div w:id="1226449326">
      <w:bodyDiv w:val="1"/>
      <w:marLeft w:val="0"/>
      <w:marRight w:val="0"/>
      <w:marTop w:val="0"/>
      <w:marBottom w:val="0"/>
      <w:divBdr>
        <w:top w:val="none" w:sz="0" w:space="0" w:color="auto"/>
        <w:left w:val="none" w:sz="0" w:space="0" w:color="auto"/>
        <w:bottom w:val="none" w:sz="0" w:space="0" w:color="auto"/>
        <w:right w:val="none" w:sz="0" w:space="0" w:color="auto"/>
      </w:divBdr>
    </w:div>
    <w:div w:id="1230191981">
      <w:bodyDiv w:val="1"/>
      <w:marLeft w:val="0"/>
      <w:marRight w:val="0"/>
      <w:marTop w:val="0"/>
      <w:marBottom w:val="0"/>
      <w:divBdr>
        <w:top w:val="none" w:sz="0" w:space="0" w:color="auto"/>
        <w:left w:val="none" w:sz="0" w:space="0" w:color="auto"/>
        <w:bottom w:val="none" w:sz="0" w:space="0" w:color="auto"/>
        <w:right w:val="none" w:sz="0" w:space="0" w:color="auto"/>
      </w:divBdr>
    </w:div>
    <w:div w:id="1230727839">
      <w:bodyDiv w:val="1"/>
      <w:marLeft w:val="0"/>
      <w:marRight w:val="0"/>
      <w:marTop w:val="0"/>
      <w:marBottom w:val="0"/>
      <w:divBdr>
        <w:top w:val="none" w:sz="0" w:space="0" w:color="auto"/>
        <w:left w:val="none" w:sz="0" w:space="0" w:color="auto"/>
        <w:bottom w:val="none" w:sz="0" w:space="0" w:color="auto"/>
        <w:right w:val="none" w:sz="0" w:space="0" w:color="auto"/>
      </w:divBdr>
    </w:div>
    <w:div w:id="1231886947">
      <w:bodyDiv w:val="1"/>
      <w:marLeft w:val="0"/>
      <w:marRight w:val="0"/>
      <w:marTop w:val="0"/>
      <w:marBottom w:val="0"/>
      <w:divBdr>
        <w:top w:val="none" w:sz="0" w:space="0" w:color="auto"/>
        <w:left w:val="none" w:sz="0" w:space="0" w:color="auto"/>
        <w:bottom w:val="none" w:sz="0" w:space="0" w:color="auto"/>
        <w:right w:val="none" w:sz="0" w:space="0" w:color="auto"/>
      </w:divBdr>
    </w:div>
    <w:div w:id="1245915491">
      <w:bodyDiv w:val="1"/>
      <w:marLeft w:val="0"/>
      <w:marRight w:val="0"/>
      <w:marTop w:val="0"/>
      <w:marBottom w:val="0"/>
      <w:divBdr>
        <w:top w:val="none" w:sz="0" w:space="0" w:color="auto"/>
        <w:left w:val="none" w:sz="0" w:space="0" w:color="auto"/>
        <w:bottom w:val="none" w:sz="0" w:space="0" w:color="auto"/>
        <w:right w:val="none" w:sz="0" w:space="0" w:color="auto"/>
      </w:divBdr>
    </w:div>
    <w:div w:id="1282683463">
      <w:bodyDiv w:val="1"/>
      <w:marLeft w:val="0"/>
      <w:marRight w:val="0"/>
      <w:marTop w:val="0"/>
      <w:marBottom w:val="0"/>
      <w:divBdr>
        <w:top w:val="none" w:sz="0" w:space="0" w:color="auto"/>
        <w:left w:val="none" w:sz="0" w:space="0" w:color="auto"/>
        <w:bottom w:val="none" w:sz="0" w:space="0" w:color="auto"/>
        <w:right w:val="none" w:sz="0" w:space="0" w:color="auto"/>
      </w:divBdr>
    </w:div>
    <w:div w:id="1292129620">
      <w:bodyDiv w:val="1"/>
      <w:marLeft w:val="0"/>
      <w:marRight w:val="0"/>
      <w:marTop w:val="0"/>
      <w:marBottom w:val="0"/>
      <w:divBdr>
        <w:top w:val="none" w:sz="0" w:space="0" w:color="auto"/>
        <w:left w:val="none" w:sz="0" w:space="0" w:color="auto"/>
        <w:bottom w:val="none" w:sz="0" w:space="0" w:color="auto"/>
        <w:right w:val="none" w:sz="0" w:space="0" w:color="auto"/>
      </w:divBdr>
    </w:div>
    <w:div w:id="1300844163">
      <w:bodyDiv w:val="1"/>
      <w:marLeft w:val="0"/>
      <w:marRight w:val="0"/>
      <w:marTop w:val="0"/>
      <w:marBottom w:val="0"/>
      <w:divBdr>
        <w:top w:val="none" w:sz="0" w:space="0" w:color="auto"/>
        <w:left w:val="none" w:sz="0" w:space="0" w:color="auto"/>
        <w:bottom w:val="none" w:sz="0" w:space="0" w:color="auto"/>
        <w:right w:val="none" w:sz="0" w:space="0" w:color="auto"/>
      </w:divBdr>
    </w:div>
    <w:div w:id="1303924231">
      <w:bodyDiv w:val="1"/>
      <w:marLeft w:val="0"/>
      <w:marRight w:val="0"/>
      <w:marTop w:val="0"/>
      <w:marBottom w:val="0"/>
      <w:divBdr>
        <w:top w:val="none" w:sz="0" w:space="0" w:color="auto"/>
        <w:left w:val="none" w:sz="0" w:space="0" w:color="auto"/>
        <w:bottom w:val="none" w:sz="0" w:space="0" w:color="auto"/>
        <w:right w:val="none" w:sz="0" w:space="0" w:color="auto"/>
      </w:divBdr>
    </w:div>
    <w:div w:id="1305358430">
      <w:bodyDiv w:val="1"/>
      <w:marLeft w:val="0"/>
      <w:marRight w:val="0"/>
      <w:marTop w:val="0"/>
      <w:marBottom w:val="0"/>
      <w:divBdr>
        <w:top w:val="none" w:sz="0" w:space="0" w:color="auto"/>
        <w:left w:val="none" w:sz="0" w:space="0" w:color="auto"/>
        <w:bottom w:val="none" w:sz="0" w:space="0" w:color="auto"/>
        <w:right w:val="none" w:sz="0" w:space="0" w:color="auto"/>
      </w:divBdr>
    </w:div>
    <w:div w:id="1306159404">
      <w:bodyDiv w:val="1"/>
      <w:marLeft w:val="0"/>
      <w:marRight w:val="0"/>
      <w:marTop w:val="0"/>
      <w:marBottom w:val="0"/>
      <w:divBdr>
        <w:top w:val="none" w:sz="0" w:space="0" w:color="auto"/>
        <w:left w:val="none" w:sz="0" w:space="0" w:color="auto"/>
        <w:bottom w:val="none" w:sz="0" w:space="0" w:color="auto"/>
        <w:right w:val="none" w:sz="0" w:space="0" w:color="auto"/>
      </w:divBdr>
    </w:div>
    <w:div w:id="1309626757">
      <w:bodyDiv w:val="1"/>
      <w:marLeft w:val="0"/>
      <w:marRight w:val="0"/>
      <w:marTop w:val="0"/>
      <w:marBottom w:val="0"/>
      <w:divBdr>
        <w:top w:val="none" w:sz="0" w:space="0" w:color="auto"/>
        <w:left w:val="none" w:sz="0" w:space="0" w:color="auto"/>
        <w:bottom w:val="none" w:sz="0" w:space="0" w:color="auto"/>
        <w:right w:val="none" w:sz="0" w:space="0" w:color="auto"/>
      </w:divBdr>
    </w:div>
    <w:div w:id="1338656904">
      <w:bodyDiv w:val="1"/>
      <w:marLeft w:val="0"/>
      <w:marRight w:val="0"/>
      <w:marTop w:val="0"/>
      <w:marBottom w:val="0"/>
      <w:divBdr>
        <w:top w:val="none" w:sz="0" w:space="0" w:color="auto"/>
        <w:left w:val="none" w:sz="0" w:space="0" w:color="auto"/>
        <w:bottom w:val="none" w:sz="0" w:space="0" w:color="auto"/>
        <w:right w:val="none" w:sz="0" w:space="0" w:color="auto"/>
      </w:divBdr>
    </w:div>
    <w:div w:id="1339845627">
      <w:bodyDiv w:val="1"/>
      <w:marLeft w:val="0"/>
      <w:marRight w:val="0"/>
      <w:marTop w:val="0"/>
      <w:marBottom w:val="0"/>
      <w:divBdr>
        <w:top w:val="none" w:sz="0" w:space="0" w:color="auto"/>
        <w:left w:val="none" w:sz="0" w:space="0" w:color="auto"/>
        <w:bottom w:val="none" w:sz="0" w:space="0" w:color="auto"/>
        <w:right w:val="none" w:sz="0" w:space="0" w:color="auto"/>
      </w:divBdr>
    </w:div>
    <w:div w:id="1348873122">
      <w:bodyDiv w:val="1"/>
      <w:marLeft w:val="0"/>
      <w:marRight w:val="0"/>
      <w:marTop w:val="0"/>
      <w:marBottom w:val="0"/>
      <w:divBdr>
        <w:top w:val="none" w:sz="0" w:space="0" w:color="auto"/>
        <w:left w:val="none" w:sz="0" w:space="0" w:color="auto"/>
        <w:bottom w:val="none" w:sz="0" w:space="0" w:color="auto"/>
        <w:right w:val="none" w:sz="0" w:space="0" w:color="auto"/>
      </w:divBdr>
    </w:div>
    <w:div w:id="1416172376">
      <w:bodyDiv w:val="1"/>
      <w:marLeft w:val="0"/>
      <w:marRight w:val="0"/>
      <w:marTop w:val="0"/>
      <w:marBottom w:val="0"/>
      <w:divBdr>
        <w:top w:val="none" w:sz="0" w:space="0" w:color="auto"/>
        <w:left w:val="none" w:sz="0" w:space="0" w:color="auto"/>
        <w:bottom w:val="none" w:sz="0" w:space="0" w:color="auto"/>
        <w:right w:val="none" w:sz="0" w:space="0" w:color="auto"/>
      </w:divBdr>
    </w:div>
    <w:div w:id="1418868416">
      <w:bodyDiv w:val="1"/>
      <w:marLeft w:val="0"/>
      <w:marRight w:val="0"/>
      <w:marTop w:val="0"/>
      <w:marBottom w:val="0"/>
      <w:divBdr>
        <w:top w:val="none" w:sz="0" w:space="0" w:color="auto"/>
        <w:left w:val="none" w:sz="0" w:space="0" w:color="auto"/>
        <w:bottom w:val="none" w:sz="0" w:space="0" w:color="auto"/>
        <w:right w:val="none" w:sz="0" w:space="0" w:color="auto"/>
      </w:divBdr>
    </w:div>
    <w:div w:id="1422801881">
      <w:bodyDiv w:val="1"/>
      <w:marLeft w:val="0"/>
      <w:marRight w:val="0"/>
      <w:marTop w:val="0"/>
      <w:marBottom w:val="0"/>
      <w:divBdr>
        <w:top w:val="none" w:sz="0" w:space="0" w:color="auto"/>
        <w:left w:val="none" w:sz="0" w:space="0" w:color="auto"/>
        <w:bottom w:val="none" w:sz="0" w:space="0" w:color="auto"/>
        <w:right w:val="none" w:sz="0" w:space="0" w:color="auto"/>
      </w:divBdr>
    </w:div>
    <w:div w:id="1424764190">
      <w:bodyDiv w:val="1"/>
      <w:marLeft w:val="0"/>
      <w:marRight w:val="0"/>
      <w:marTop w:val="0"/>
      <w:marBottom w:val="0"/>
      <w:divBdr>
        <w:top w:val="none" w:sz="0" w:space="0" w:color="auto"/>
        <w:left w:val="none" w:sz="0" w:space="0" w:color="auto"/>
        <w:bottom w:val="none" w:sz="0" w:space="0" w:color="auto"/>
        <w:right w:val="none" w:sz="0" w:space="0" w:color="auto"/>
      </w:divBdr>
    </w:div>
    <w:div w:id="1451054008">
      <w:bodyDiv w:val="1"/>
      <w:marLeft w:val="0"/>
      <w:marRight w:val="0"/>
      <w:marTop w:val="0"/>
      <w:marBottom w:val="0"/>
      <w:divBdr>
        <w:top w:val="none" w:sz="0" w:space="0" w:color="auto"/>
        <w:left w:val="none" w:sz="0" w:space="0" w:color="auto"/>
        <w:bottom w:val="none" w:sz="0" w:space="0" w:color="auto"/>
        <w:right w:val="none" w:sz="0" w:space="0" w:color="auto"/>
      </w:divBdr>
    </w:div>
    <w:div w:id="1465849261">
      <w:bodyDiv w:val="1"/>
      <w:marLeft w:val="0"/>
      <w:marRight w:val="0"/>
      <w:marTop w:val="0"/>
      <w:marBottom w:val="0"/>
      <w:divBdr>
        <w:top w:val="none" w:sz="0" w:space="0" w:color="auto"/>
        <w:left w:val="none" w:sz="0" w:space="0" w:color="auto"/>
        <w:bottom w:val="none" w:sz="0" w:space="0" w:color="auto"/>
        <w:right w:val="none" w:sz="0" w:space="0" w:color="auto"/>
      </w:divBdr>
    </w:div>
    <w:div w:id="1470201356">
      <w:bodyDiv w:val="1"/>
      <w:marLeft w:val="0"/>
      <w:marRight w:val="0"/>
      <w:marTop w:val="0"/>
      <w:marBottom w:val="0"/>
      <w:divBdr>
        <w:top w:val="none" w:sz="0" w:space="0" w:color="auto"/>
        <w:left w:val="none" w:sz="0" w:space="0" w:color="auto"/>
        <w:bottom w:val="none" w:sz="0" w:space="0" w:color="auto"/>
        <w:right w:val="none" w:sz="0" w:space="0" w:color="auto"/>
      </w:divBdr>
    </w:div>
    <w:div w:id="1474716164">
      <w:bodyDiv w:val="1"/>
      <w:marLeft w:val="0"/>
      <w:marRight w:val="0"/>
      <w:marTop w:val="0"/>
      <w:marBottom w:val="0"/>
      <w:divBdr>
        <w:top w:val="none" w:sz="0" w:space="0" w:color="auto"/>
        <w:left w:val="none" w:sz="0" w:space="0" w:color="auto"/>
        <w:bottom w:val="none" w:sz="0" w:space="0" w:color="auto"/>
        <w:right w:val="none" w:sz="0" w:space="0" w:color="auto"/>
      </w:divBdr>
    </w:div>
    <w:div w:id="1481536505">
      <w:bodyDiv w:val="1"/>
      <w:marLeft w:val="0"/>
      <w:marRight w:val="0"/>
      <w:marTop w:val="0"/>
      <w:marBottom w:val="0"/>
      <w:divBdr>
        <w:top w:val="none" w:sz="0" w:space="0" w:color="auto"/>
        <w:left w:val="none" w:sz="0" w:space="0" w:color="auto"/>
        <w:bottom w:val="none" w:sz="0" w:space="0" w:color="auto"/>
        <w:right w:val="none" w:sz="0" w:space="0" w:color="auto"/>
      </w:divBdr>
    </w:div>
    <w:div w:id="1493254948">
      <w:bodyDiv w:val="1"/>
      <w:marLeft w:val="0"/>
      <w:marRight w:val="0"/>
      <w:marTop w:val="0"/>
      <w:marBottom w:val="0"/>
      <w:divBdr>
        <w:top w:val="none" w:sz="0" w:space="0" w:color="auto"/>
        <w:left w:val="none" w:sz="0" w:space="0" w:color="auto"/>
        <w:bottom w:val="none" w:sz="0" w:space="0" w:color="auto"/>
        <w:right w:val="none" w:sz="0" w:space="0" w:color="auto"/>
      </w:divBdr>
    </w:div>
    <w:div w:id="1510484284">
      <w:bodyDiv w:val="1"/>
      <w:marLeft w:val="0"/>
      <w:marRight w:val="0"/>
      <w:marTop w:val="0"/>
      <w:marBottom w:val="0"/>
      <w:divBdr>
        <w:top w:val="none" w:sz="0" w:space="0" w:color="auto"/>
        <w:left w:val="none" w:sz="0" w:space="0" w:color="auto"/>
        <w:bottom w:val="none" w:sz="0" w:space="0" w:color="auto"/>
        <w:right w:val="none" w:sz="0" w:space="0" w:color="auto"/>
      </w:divBdr>
    </w:div>
    <w:div w:id="1525051633">
      <w:bodyDiv w:val="1"/>
      <w:marLeft w:val="0"/>
      <w:marRight w:val="0"/>
      <w:marTop w:val="0"/>
      <w:marBottom w:val="0"/>
      <w:divBdr>
        <w:top w:val="none" w:sz="0" w:space="0" w:color="auto"/>
        <w:left w:val="none" w:sz="0" w:space="0" w:color="auto"/>
        <w:bottom w:val="none" w:sz="0" w:space="0" w:color="auto"/>
        <w:right w:val="none" w:sz="0" w:space="0" w:color="auto"/>
      </w:divBdr>
    </w:div>
    <w:div w:id="1545364765">
      <w:bodyDiv w:val="1"/>
      <w:marLeft w:val="0"/>
      <w:marRight w:val="0"/>
      <w:marTop w:val="0"/>
      <w:marBottom w:val="0"/>
      <w:divBdr>
        <w:top w:val="none" w:sz="0" w:space="0" w:color="auto"/>
        <w:left w:val="none" w:sz="0" w:space="0" w:color="auto"/>
        <w:bottom w:val="none" w:sz="0" w:space="0" w:color="auto"/>
        <w:right w:val="none" w:sz="0" w:space="0" w:color="auto"/>
      </w:divBdr>
    </w:div>
    <w:div w:id="1561020951">
      <w:bodyDiv w:val="1"/>
      <w:marLeft w:val="0"/>
      <w:marRight w:val="0"/>
      <w:marTop w:val="0"/>
      <w:marBottom w:val="0"/>
      <w:divBdr>
        <w:top w:val="none" w:sz="0" w:space="0" w:color="auto"/>
        <w:left w:val="none" w:sz="0" w:space="0" w:color="auto"/>
        <w:bottom w:val="none" w:sz="0" w:space="0" w:color="auto"/>
        <w:right w:val="none" w:sz="0" w:space="0" w:color="auto"/>
      </w:divBdr>
    </w:div>
    <w:div w:id="1562015715">
      <w:bodyDiv w:val="1"/>
      <w:marLeft w:val="0"/>
      <w:marRight w:val="0"/>
      <w:marTop w:val="0"/>
      <w:marBottom w:val="0"/>
      <w:divBdr>
        <w:top w:val="none" w:sz="0" w:space="0" w:color="auto"/>
        <w:left w:val="none" w:sz="0" w:space="0" w:color="auto"/>
        <w:bottom w:val="none" w:sz="0" w:space="0" w:color="auto"/>
        <w:right w:val="none" w:sz="0" w:space="0" w:color="auto"/>
      </w:divBdr>
    </w:div>
    <w:div w:id="1578976192">
      <w:bodyDiv w:val="1"/>
      <w:marLeft w:val="0"/>
      <w:marRight w:val="0"/>
      <w:marTop w:val="0"/>
      <w:marBottom w:val="0"/>
      <w:divBdr>
        <w:top w:val="none" w:sz="0" w:space="0" w:color="auto"/>
        <w:left w:val="none" w:sz="0" w:space="0" w:color="auto"/>
        <w:bottom w:val="none" w:sz="0" w:space="0" w:color="auto"/>
        <w:right w:val="none" w:sz="0" w:space="0" w:color="auto"/>
      </w:divBdr>
    </w:div>
    <w:div w:id="1602179295">
      <w:bodyDiv w:val="1"/>
      <w:marLeft w:val="0"/>
      <w:marRight w:val="0"/>
      <w:marTop w:val="0"/>
      <w:marBottom w:val="0"/>
      <w:divBdr>
        <w:top w:val="none" w:sz="0" w:space="0" w:color="auto"/>
        <w:left w:val="none" w:sz="0" w:space="0" w:color="auto"/>
        <w:bottom w:val="none" w:sz="0" w:space="0" w:color="auto"/>
        <w:right w:val="none" w:sz="0" w:space="0" w:color="auto"/>
      </w:divBdr>
    </w:div>
    <w:div w:id="1605263758">
      <w:bodyDiv w:val="1"/>
      <w:marLeft w:val="0"/>
      <w:marRight w:val="0"/>
      <w:marTop w:val="0"/>
      <w:marBottom w:val="0"/>
      <w:divBdr>
        <w:top w:val="none" w:sz="0" w:space="0" w:color="auto"/>
        <w:left w:val="none" w:sz="0" w:space="0" w:color="auto"/>
        <w:bottom w:val="none" w:sz="0" w:space="0" w:color="auto"/>
        <w:right w:val="none" w:sz="0" w:space="0" w:color="auto"/>
      </w:divBdr>
    </w:div>
    <w:div w:id="1614088871">
      <w:bodyDiv w:val="1"/>
      <w:marLeft w:val="0"/>
      <w:marRight w:val="0"/>
      <w:marTop w:val="0"/>
      <w:marBottom w:val="0"/>
      <w:divBdr>
        <w:top w:val="none" w:sz="0" w:space="0" w:color="auto"/>
        <w:left w:val="none" w:sz="0" w:space="0" w:color="auto"/>
        <w:bottom w:val="none" w:sz="0" w:space="0" w:color="auto"/>
        <w:right w:val="none" w:sz="0" w:space="0" w:color="auto"/>
      </w:divBdr>
    </w:div>
    <w:div w:id="1624576762">
      <w:bodyDiv w:val="1"/>
      <w:marLeft w:val="0"/>
      <w:marRight w:val="0"/>
      <w:marTop w:val="0"/>
      <w:marBottom w:val="0"/>
      <w:divBdr>
        <w:top w:val="none" w:sz="0" w:space="0" w:color="auto"/>
        <w:left w:val="none" w:sz="0" w:space="0" w:color="auto"/>
        <w:bottom w:val="none" w:sz="0" w:space="0" w:color="auto"/>
        <w:right w:val="none" w:sz="0" w:space="0" w:color="auto"/>
      </w:divBdr>
    </w:div>
    <w:div w:id="1630552525">
      <w:bodyDiv w:val="1"/>
      <w:marLeft w:val="0"/>
      <w:marRight w:val="0"/>
      <w:marTop w:val="0"/>
      <w:marBottom w:val="0"/>
      <w:divBdr>
        <w:top w:val="none" w:sz="0" w:space="0" w:color="auto"/>
        <w:left w:val="none" w:sz="0" w:space="0" w:color="auto"/>
        <w:bottom w:val="none" w:sz="0" w:space="0" w:color="auto"/>
        <w:right w:val="none" w:sz="0" w:space="0" w:color="auto"/>
      </w:divBdr>
    </w:div>
    <w:div w:id="1632900254">
      <w:bodyDiv w:val="1"/>
      <w:marLeft w:val="0"/>
      <w:marRight w:val="0"/>
      <w:marTop w:val="0"/>
      <w:marBottom w:val="0"/>
      <w:divBdr>
        <w:top w:val="none" w:sz="0" w:space="0" w:color="auto"/>
        <w:left w:val="none" w:sz="0" w:space="0" w:color="auto"/>
        <w:bottom w:val="none" w:sz="0" w:space="0" w:color="auto"/>
        <w:right w:val="none" w:sz="0" w:space="0" w:color="auto"/>
      </w:divBdr>
    </w:div>
    <w:div w:id="1647970227">
      <w:bodyDiv w:val="1"/>
      <w:marLeft w:val="0"/>
      <w:marRight w:val="0"/>
      <w:marTop w:val="0"/>
      <w:marBottom w:val="0"/>
      <w:divBdr>
        <w:top w:val="none" w:sz="0" w:space="0" w:color="auto"/>
        <w:left w:val="none" w:sz="0" w:space="0" w:color="auto"/>
        <w:bottom w:val="none" w:sz="0" w:space="0" w:color="auto"/>
        <w:right w:val="none" w:sz="0" w:space="0" w:color="auto"/>
      </w:divBdr>
    </w:div>
    <w:div w:id="1662268453">
      <w:bodyDiv w:val="1"/>
      <w:marLeft w:val="0"/>
      <w:marRight w:val="0"/>
      <w:marTop w:val="0"/>
      <w:marBottom w:val="0"/>
      <w:divBdr>
        <w:top w:val="none" w:sz="0" w:space="0" w:color="auto"/>
        <w:left w:val="none" w:sz="0" w:space="0" w:color="auto"/>
        <w:bottom w:val="none" w:sz="0" w:space="0" w:color="auto"/>
        <w:right w:val="none" w:sz="0" w:space="0" w:color="auto"/>
      </w:divBdr>
    </w:div>
    <w:div w:id="1678262625">
      <w:bodyDiv w:val="1"/>
      <w:marLeft w:val="0"/>
      <w:marRight w:val="0"/>
      <w:marTop w:val="0"/>
      <w:marBottom w:val="0"/>
      <w:divBdr>
        <w:top w:val="none" w:sz="0" w:space="0" w:color="auto"/>
        <w:left w:val="none" w:sz="0" w:space="0" w:color="auto"/>
        <w:bottom w:val="none" w:sz="0" w:space="0" w:color="auto"/>
        <w:right w:val="none" w:sz="0" w:space="0" w:color="auto"/>
      </w:divBdr>
    </w:div>
    <w:div w:id="1689790048">
      <w:bodyDiv w:val="1"/>
      <w:marLeft w:val="0"/>
      <w:marRight w:val="0"/>
      <w:marTop w:val="0"/>
      <w:marBottom w:val="0"/>
      <w:divBdr>
        <w:top w:val="none" w:sz="0" w:space="0" w:color="auto"/>
        <w:left w:val="none" w:sz="0" w:space="0" w:color="auto"/>
        <w:bottom w:val="none" w:sz="0" w:space="0" w:color="auto"/>
        <w:right w:val="none" w:sz="0" w:space="0" w:color="auto"/>
      </w:divBdr>
    </w:div>
    <w:div w:id="1727408928">
      <w:bodyDiv w:val="1"/>
      <w:marLeft w:val="0"/>
      <w:marRight w:val="0"/>
      <w:marTop w:val="0"/>
      <w:marBottom w:val="0"/>
      <w:divBdr>
        <w:top w:val="none" w:sz="0" w:space="0" w:color="auto"/>
        <w:left w:val="none" w:sz="0" w:space="0" w:color="auto"/>
        <w:bottom w:val="none" w:sz="0" w:space="0" w:color="auto"/>
        <w:right w:val="none" w:sz="0" w:space="0" w:color="auto"/>
      </w:divBdr>
    </w:div>
    <w:div w:id="1736314188">
      <w:bodyDiv w:val="1"/>
      <w:marLeft w:val="0"/>
      <w:marRight w:val="0"/>
      <w:marTop w:val="0"/>
      <w:marBottom w:val="0"/>
      <w:divBdr>
        <w:top w:val="none" w:sz="0" w:space="0" w:color="auto"/>
        <w:left w:val="none" w:sz="0" w:space="0" w:color="auto"/>
        <w:bottom w:val="none" w:sz="0" w:space="0" w:color="auto"/>
        <w:right w:val="none" w:sz="0" w:space="0" w:color="auto"/>
      </w:divBdr>
    </w:div>
    <w:div w:id="1740856942">
      <w:bodyDiv w:val="1"/>
      <w:marLeft w:val="0"/>
      <w:marRight w:val="0"/>
      <w:marTop w:val="0"/>
      <w:marBottom w:val="0"/>
      <w:divBdr>
        <w:top w:val="none" w:sz="0" w:space="0" w:color="auto"/>
        <w:left w:val="none" w:sz="0" w:space="0" w:color="auto"/>
        <w:bottom w:val="none" w:sz="0" w:space="0" w:color="auto"/>
        <w:right w:val="none" w:sz="0" w:space="0" w:color="auto"/>
      </w:divBdr>
    </w:div>
    <w:div w:id="1746148958">
      <w:bodyDiv w:val="1"/>
      <w:marLeft w:val="0"/>
      <w:marRight w:val="0"/>
      <w:marTop w:val="0"/>
      <w:marBottom w:val="0"/>
      <w:divBdr>
        <w:top w:val="none" w:sz="0" w:space="0" w:color="auto"/>
        <w:left w:val="none" w:sz="0" w:space="0" w:color="auto"/>
        <w:bottom w:val="none" w:sz="0" w:space="0" w:color="auto"/>
        <w:right w:val="none" w:sz="0" w:space="0" w:color="auto"/>
      </w:divBdr>
    </w:div>
    <w:div w:id="1751779722">
      <w:bodyDiv w:val="1"/>
      <w:marLeft w:val="0"/>
      <w:marRight w:val="0"/>
      <w:marTop w:val="0"/>
      <w:marBottom w:val="0"/>
      <w:divBdr>
        <w:top w:val="none" w:sz="0" w:space="0" w:color="auto"/>
        <w:left w:val="none" w:sz="0" w:space="0" w:color="auto"/>
        <w:bottom w:val="none" w:sz="0" w:space="0" w:color="auto"/>
        <w:right w:val="none" w:sz="0" w:space="0" w:color="auto"/>
      </w:divBdr>
    </w:div>
    <w:div w:id="1754738508">
      <w:bodyDiv w:val="1"/>
      <w:marLeft w:val="0"/>
      <w:marRight w:val="0"/>
      <w:marTop w:val="0"/>
      <w:marBottom w:val="0"/>
      <w:divBdr>
        <w:top w:val="none" w:sz="0" w:space="0" w:color="auto"/>
        <w:left w:val="none" w:sz="0" w:space="0" w:color="auto"/>
        <w:bottom w:val="none" w:sz="0" w:space="0" w:color="auto"/>
        <w:right w:val="none" w:sz="0" w:space="0" w:color="auto"/>
      </w:divBdr>
    </w:div>
    <w:div w:id="1761296263">
      <w:bodyDiv w:val="1"/>
      <w:marLeft w:val="0"/>
      <w:marRight w:val="0"/>
      <w:marTop w:val="0"/>
      <w:marBottom w:val="0"/>
      <w:divBdr>
        <w:top w:val="none" w:sz="0" w:space="0" w:color="auto"/>
        <w:left w:val="none" w:sz="0" w:space="0" w:color="auto"/>
        <w:bottom w:val="none" w:sz="0" w:space="0" w:color="auto"/>
        <w:right w:val="none" w:sz="0" w:space="0" w:color="auto"/>
      </w:divBdr>
    </w:div>
    <w:div w:id="1762295652">
      <w:bodyDiv w:val="1"/>
      <w:marLeft w:val="0"/>
      <w:marRight w:val="0"/>
      <w:marTop w:val="0"/>
      <w:marBottom w:val="0"/>
      <w:divBdr>
        <w:top w:val="none" w:sz="0" w:space="0" w:color="auto"/>
        <w:left w:val="none" w:sz="0" w:space="0" w:color="auto"/>
        <w:bottom w:val="none" w:sz="0" w:space="0" w:color="auto"/>
        <w:right w:val="none" w:sz="0" w:space="0" w:color="auto"/>
      </w:divBdr>
    </w:div>
    <w:div w:id="1779446802">
      <w:bodyDiv w:val="1"/>
      <w:marLeft w:val="0"/>
      <w:marRight w:val="0"/>
      <w:marTop w:val="0"/>
      <w:marBottom w:val="0"/>
      <w:divBdr>
        <w:top w:val="none" w:sz="0" w:space="0" w:color="auto"/>
        <w:left w:val="none" w:sz="0" w:space="0" w:color="auto"/>
        <w:bottom w:val="none" w:sz="0" w:space="0" w:color="auto"/>
        <w:right w:val="none" w:sz="0" w:space="0" w:color="auto"/>
      </w:divBdr>
    </w:div>
    <w:div w:id="1781870887">
      <w:bodyDiv w:val="1"/>
      <w:marLeft w:val="0"/>
      <w:marRight w:val="0"/>
      <w:marTop w:val="0"/>
      <w:marBottom w:val="0"/>
      <w:divBdr>
        <w:top w:val="none" w:sz="0" w:space="0" w:color="auto"/>
        <w:left w:val="none" w:sz="0" w:space="0" w:color="auto"/>
        <w:bottom w:val="none" w:sz="0" w:space="0" w:color="auto"/>
        <w:right w:val="none" w:sz="0" w:space="0" w:color="auto"/>
      </w:divBdr>
    </w:div>
    <w:div w:id="1793859433">
      <w:bodyDiv w:val="1"/>
      <w:marLeft w:val="0"/>
      <w:marRight w:val="0"/>
      <w:marTop w:val="0"/>
      <w:marBottom w:val="0"/>
      <w:divBdr>
        <w:top w:val="none" w:sz="0" w:space="0" w:color="auto"/>
        <w:left w:val="none" w:sz="0" w:space="0" w:color="auto"/>
        <w:bottom w:val="none" w:sz="0" w:space="0" w:color="auto"/>
        <w:right w:val="none" w:sz="0" w:space="0" w:color="auto"/>
      </w:divBdr>
    </w:div>
    <w:div w:id="1793865336">
      <w:bodyDiv w:val="1"/>
      <w:marLeft w:val="0"/>
      <w:marRight w:val="0"/>
      <w:marTop w:val="0"/>
      <w:marBottom w:val="0"/>
      <w:divBdr>
        <w:top w:val="none" w:sz="0" w:space="0" w:color="auto"/>
        <w:left w:val="none" w:sz="0" w:space="0" w:color="auto"/>
        <w:bottom w:val="none" w:sz="0" w:space="0" w:color="auto"/>
        <w:right w:val="none" w:sz="0" w:space="0" w:color="auto"/>
      </w:divBdr>
    </w:div>
    <w:div w:id="1850830895">
      <w:bodyDiv w:val="1"/>
      <w:marLeft w:val="0"/>
      <w:marRight w:val="0"/>
      <w:marTop w:val="0"/>
      <w:marBottom w:val="0"/>
      <w:divBdr>
        <w:top w:val="none" w:sz="0" w:space="0" w:color="auto"/>
        <w:left w:val="none" w:sz="0" w:space="0" w:color="auto"/>
        <w:bottom w:val="none" w:sz="0" w:space="0" w:color="auto"/>
        <w:right w:val="none" w:sz="0" w:space="0" w:color="auto"/>
      </w:divBdr>
    </w:div>
    <w:div w:id="1877614871">
      <w:bodyDiv w:val="1"/>
      <w:marLeft w:val="0"/>
      <w:marRight w:val="0"/>
      <w:marTop w:val="0"/>
      <w:marBottom w:val="0"/>
      <w:divBdr>
        <w:top w:val="none" w:sz="0" w:space="0" w:color="auto"/>
        <w:left w:val="none" w:sz="0" w:space="0" w:color="auto"/>
        <w:bottom w:val="none" w:sz="0" w:space="0" w:color="auto"/>
        <w:right w:val="none" w:sz="0" w:space="0" w:color="auto"/>
      </w:divBdr>
    </w:div>
    <w:div w:id="1882593417">
      <w:bodyDiv w:val="1"/>
      <w:marLeft w:val="0"/>
      <w:marRight w:val="0"/>
      <w:marTop w:val="0"/>
      <w:marBottom w:val="0"/>
      <w:divBdr>
        <w:top w:val="none" w:sz="0" w:space="0" w:color="auto"/>
        <w:left w:val="none" w:sz="0" w:space="0" w:color="auto"/>
        <w:bottom w:val="none" w:sz="0" w:space="0" w:color="auto"/>
        <w:right w:val="none" w:sz="0" w:space="0" w:color="auto"/>
      </w:divBdr>
    </w:div>
    <w:div w:id="1887255648">
      <w:bodyDiv w:val="1"/>
      <w:marLeft w:val="0"/>
      <w:marRight w:val="0"/>
      <w:marTop w:val="0"/>
      <w:marBottom w:val="0"/>
      <w:divBdr>
        <w:top w:val="none" w:sz="0" w:space="0" w:color="auto"/>
        <w:left w:val="none" w:sz="0" w:space="0" w:color="auto"/>
        <w:bottom w:val="none" w:sz="0" w:space="0" w:color="auto"/>
        <w:right w:val="none" w:sz="0" w:space="0" w:color="auto"/>
      </w:divBdr>
    </w:div>
    <w:div w:id="1888180348">
      <w:bodyDiv w:val="1"/>
      <w:marLeft w:val="0"/>
      <w:marRight w:val="0"/>
      <w:marTop w:val="0"/>
      <w:marBottom w:val="0"/>
      <w:divBdr>
        <w:top w:val="none" w:sz="0" w:space="0" w:color="auto"/>
        <w:left w:val="none" w:sz="0" w:space="0" w:color="auto"/>
        <w:bottom w:val="none" w:sz="0" w:space="0" w:color="auto"/>
        <w:right w:val="none" w:sz="0" w:space="0" w:color="auto"/>
      </w:divBdr>
    </w:div>
    <w:div w:id="1911502784">
      <w:bodyDiv w:val="1"/>
      <w:marLeft w:val="0"/>
      <w:marRight w:val="0"/>
      <w:marTop w:val="0"/>
      <w:marBottom w:val="0"/>
      <w:divBdr>
        <w:top w:val="none" w:sz="0" w:space="0" w:color="auto"/>
        <w:left w:val="none" w:sz="0" w:space="0" w:color="auto"/>
        <w:bottom w:val="none" w:sz="0" w:space="0" w:color="auto"/>
        <w:right w:val="none" w:sz="0" w:space="0" w:color="auto"/>
      </w:divBdr>
    </w:div>
    <w:div w:id="1915237551">
      <w:bodyDiv w:val="1"/>
      <w:marLeft w:val="0"/>
      <w:marRight w:val="0"/>
      <w:marTop w:val="0"/>
      <w:marBottom w:val="0"/>
      <w:divBdr>
        <w:top w:val="none" w:sz="0" w:space="0" w:color="auto"/>
        <w:left w:val="none" w:sz="0" w:space="0" w:color="auto"/>
        <w:bottom w:val="none" w:sz="0" w:space="0" w:color="auto"/>
        <w:right w:val="none" w:sz="0" w:space="0" w:color="auto"/>
      </w:divBdr>
    </w:div>
    <w:div w:id="1916238614">
      <w:bodyDiv w:val="1"/>
      <w:marLeft w:val="0"/>
      <w:marRight w:val="0"/>
      <w:marTop w:val="0"/>
      <w:marBottom w:val="0"/>
      <w:divBdr>
        <w:top w:val="none" w:sz="0" w:space="0" w:color="auto"/>
        <w:left w:val="none" w:sz="0" w:space="0" w:color="auto"/>
        <w:bottom w:val="none" w:sz="0" w:space="0" w:color="auto"/>
        <w:right w:val="none" w:sz="0" w:space="0" w:color="auto"/>
      </w:divBdr>
    </w:div>
    <w:div w:id="1956672636">
      <w:bodyDiv w:val="1"/>
      <w:marLeft w:val="0"/>
      <w:marRight w:val="0"/>
      <w:marTop w:val="0"/>
      <w:marBottom w:val="0"/>
      <w:divBdr>
        <w:top w:val="none" w:sz="0" w:space="0" w:color="auto"/>
        <w:left w:val="none" w:sz="0" w:space="0" w:color="auto"/>
        <w:bottom w:val="none" w:sz="0" w:space="0" w:color="auto"/>
        <w:right w:val="none" w:sz="0" w:space="0" w:color="auto"/>
      </w:divBdr>
    </w:div>
    <w:div w:id="1972322987">
      <w:bodyDiv w:val="1"/>
      <w:marLeft w:val="0"/>
      <w:marRight w:val="0"/>
      <w:marTop w:val="0"/>
      <w:marBottom w:val="0"/>
      <w:divBdr>
        <w:top w:val="none" w:sz="0" w:space="0" w:color="auto"/>
        <w:left w:val="none" w:sz="0" w:space="0" w:color="auto"/>
        <w:bottom w:val="none" w:sz="0" w:space="0" w:color="auto"/>
        <w:right w:val="none" w:sz="0" w:space="0" w:color="auto"/>
      </w:divBdr>
    </w:div>
    <w:div w:id="1983192908">
      <w:bodyDiv w:val="1"/>
      <w:marLeft w:val="0"/>
      <w:marRight w:val="0"/>
      <w:marTop w:val="0"/>
      <w:marBottom w:val="0"/>
      <w:divBdr>
        <w:top w:val="none" w:sz="0" w:space="0" w:color="auto"/>
        <w:left w:val="none" w:sz="0" w:space="0" w:color="auto"/>
        <w:bottom w:val="none" w:sz="0" w:space="0" w:color="auto"/>
        <w:right w:val="none" w:sz="0" w:space="0" w:color="auto"/>
      </w:divBdr>
    </w:div>
    <w:div w:id="2007394375">
      <w:bodyDiv w:val="1"/>
      <w:marLeft w:val="0"/>
      <w:marRight w:val="0"/>
      <w:marTop w:val="0"/>
      <w:marBottom w:val="0"/>
      <w:divBdr>
        <w:top w:val="none" w:sz="0" w:space="0" w:color="auto"/>
        <w:left w:val="none" w:sz="0" w:space="0" w:color="auto"/>
        <w:bottom w:val="none" w:sz="0" w:space="0" w:color="auto"/>
        <w:right w:val="none" w:sz="0" w:space="0" w:color="auto"/>
      </w:divBdr>
    </w:div>
    <w:div w:id="2008169484">
      <w:bodyDiv w:val="1"/>
      <w:marLeft w:val="0"/>
      <w:marRight w:val="0"/>
      <w:marTop w:val="0"/>
      <w:marBottom w:val="0"/>
      <w:divBdr>
        <w:top w:val="none" w:sz="0" w:space="0" w:color="auto"/>
        <w:left w:val="none" w:sz="0" w:space="0" w:color="auto"/>
        <w:bottom w:val="none" w:sz="0" w:space="0" w:color="auto"/>
        <w:right w:val="none" w:sz="0" w:space="0" w:color="auto"/>
      </w:divBdr>
    </w:div>
    <w:div w:id="2009208414">
      <w:bodyDiv w:val="1"/>
      <w:marLeft w:val="0"/>
      <w:marRight w:val="0"/>
      <w:marTop w:val="0"/>
      <w:marBottom w:val="0"/>
      <w:divBdr>
        <w:top w:val="none" w:sz="0" w:space="0" w:color="auto"/>
        <w:left w:val="none" w:sz="0" w:space="0" w:color="auto"/>
        <w:bottom w:val="none" w:sz="0" w:space="0" w:color="auto"/>
        <w:right w:val="none" w:sz="0" w:space="0" w:color="auto"/>
      </w:divBdr>
    </w:div>
    <w:div w:id="2009861232">
      <w:bodyDiv w:val="1"/>
      <w:marLeft w:val="0"/>
      <w:marRight w:val="0"/>
      <w:marTop w:val="0"/>
      <w:marBottom w:val="0"/>
      <w:divBdr>
        <w:top w:val="none" w:sz="0" w:space="0" w:color="auto"/>
        <w:left w:val="none" w:sz="0" w:space="0" w:color="auto"/>
        <w:bottom w:val="none" w:sz="0" w:space="0" w:color="auto"/>
        <w:right w:val="none" w:sz="0" w:space="0" w:color="auto"/>
      </w:divBdr>
    </w:div>
    <w:div w:id="2058433601">
      <w:bodyDiv w:val="1"/>
      <w:marLeft w:val="0"/>
      <w:marRight w:val="0"/>
      <w:marTop w:val="0"/>
      <w:marBottom w:val="0"/>
      <w:divBdr>
        <w:top w:val="none" w:sz="0" w:space="0" w:color="auto"/>
        <w:left w:val="none" w:sz="0" w:space="0" w:color="auto"/>
        <w:bottom w:val="none" w:sz="0" w:space="0" w:color="auto"/>
        <w:right w:val="none" w:sz="0" w:space="0" w:color="auto"/>
      </w:divBdr>
    </w:div>
    <w:div w:id="2074618493">
      <w:bodyDiv w:val="1"/>
      <w:marLeft w:val="0"/>
      <w:marRight w:val="0"/>
      <w:marTop w:val="0"/>
      <w:marBottom w:val="0"/>
      <w:divBdr>
        <w:top w:val="none" w:sz="0" w:space="0" w:color="auto"/>
        <w:left w:val="none" w:sz="0" w:space="0" w:color="auto"/>
        <w:bottom w:val="none" w:sz="0" w:space="0" w:color="auto"/>
        <w:right w:val="none" w:sz="0" w:space="0" w:color="auto"/>
      </w:divBdr>
    </w:div>
    <w:div w:id="2107576198">
      <w:bodyDiv w:val="1"/>
      <w:marLeft w:val="0"/>
      <w:marRight w:val="0"/>
      <w:marTop w:val="0"/>
      <w:marBottom w:val="0"/>
      <w:divBdr>
        <w:top w:val="none" w:sz="0" w:space="0" w:color="auto"/>
        <w:left w:val="none" w:sz="0" w:space="0" w:color="auto"/>
        <w:bottom w:val="none" w:sz="0" w:space="0" w:color="auto"/>
        <w:right w:val="none" w:sz="0" w:space="0" w:color="auto"/>
      </w:divBdr>
    </w:div>
    <w:div w:id="2120097507">
      <w:bodyDiv w:val="1"/>
      <w:marLeft w:val="0"/>
      <w:marRight w:val="0"/>
      <w:marTop w:val="0"/>
      <w:marBottom w:val="0"/>
      <w:divBdr>
        <w:top w:val="none" w:sz="0" w:space="0" w:color="auto"/>
        <w:left w:val="none" w:sz="0" w:space="0" w:color="auto"/>
        <w:bottom w:val="none" w:sz="0" w:space="0" w:color="auto"/>
        <w:right w:val="none" w:sz="0" w:space="0" w:color="auto"/>
      </w:divBdr>
    </w:div>
    <w:div w:id="2121681010">
      <w:bodyDiv w:val="1"/>
      <w:marLeft w:val="0"/>
      <w:marRight w:val="0"/>
      <w:marTop w:val="0"/>
      <w:marBottom w:val="0"/>
      <w:divBdr>
        <w:top w:val="none" w:sz="0" w:space="0" w:color="auto"/>
        <w:left w:val="none" w:sz="0" w:space="0" w:color="auto"/>
        <w:bottom w:val="none" w:sz="0" w:space="0" w:color="auto"/>
        <w:right w:val="none" w:sz="0" w:space="0" w:color="auto"/>
      </w:divBdr>
    </w:div>
    <w:div w:id="2137142131">
      <w:bodyDiv w:val="1"/>
      <w:marLeft w:val="0"/>
      <w:marRight w:val="0"/>
      <w:marTop w:val="0"/>
      <w:marBottom w:val="0"/>
      <w:divBdr>
        <w:top w:val="none" w:sz="0" w:space="0" w:color="auto"/>
        <w:left w:val="none" w:sz="0" w:space="0" w:color="auto"/>
        <w:bottom w:val="none" w:sz="0" w:space="0" w:color="auto"/>
        <w:right w:val="none" w:sz="0" w:space="0" w:color="auto"/>
      </w:divBdr>
    </w:div>
    <w:div w:id="2142335856">
      <w:bodyDiv w:val="1"/>
      <w:marLeft w:val="0"/>
      <w:marRight w:val="0"/>
      <w:marTop w:val="0"/>
      <w:marBottom w:val="0"/>
      <w:divBdr>
        <w:top w:val="none" w:sz="0" w:space="0" w:color="auto"/>
        <w:left w:val="none" w:sz="0" w:space="0" w:color="auto"/>
        <w:bottom w:val="none" w:sz="0" w:space="0" w:color="auto"/>
        <w:right w:val="none" w:sz="0" w:space="0" w:color="auto"/>
      </w:divBdr>
    </w:div>
    <w:div w:id="214565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4.xml"/><Relationship Id="rId21" Type="http://schemas.openxmlformats.org/officeDocument/2006/relationships/footer" Target="footer2.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chart" Target="charts/chart48.xml"/><Relationship Id="rId68" Type="http://schemas.openxmlformats.org/officeDocument/2006/relationships/chart" Target="charts/chart53.xml"/><Relationship Id="rId84" Type="http://schemas.openxmlformats.org/officeDocument/2006/relationships/chart" Target="charts/chart69.xml"/><Relationship Id="rId89" Type="http://schemas.openxmlformats.org/officeDocument/2006/relationships/chart" Target="charts/chart74.xml"/><Relationship Id="rId112" Type="http://schemas.openxmlformats.org/officeDocument/2006/relationships/chart" Target="charts/chart89.xml"/><Relationship Id="rId16" Type="http://schemas.openxmlformats.org/officeDocument/2006/relationships/chart" Target="charts/chart5.xml"/><Relationship Id="rId107" Type="http://schemas.openxmlformats.org/officeDocument/2006/relationships/chart" Target="charts/chart88.xml"/><Relationship Id="rId11" Type="http://schemas.openxmlformats.org/officeDocument/2006/relationships/footer" Target="footer1.xml"/><Relationship Id="rId32" Type="http://schemas.openxmlformats.org/officeDocument/2006/relationships/chart" Target="charts/chart17.xml"/><Relationship Id="rId37" Type="http://schemas.openxmlformats.org/officeDocument/2006/relationships/chart" Target="charts/chart22.xml"/><Relationship Id="rId53" Type="http://schemas.openxmlformats.org/officeDocument/2006/relationships/chart" Target="charts/chart38.xml"/><Relationship Id="rId58" Type="http://schemas.openxmlformats.org/officeDocument/2006/relationships/chart" Target="charts/chart43.xml"/><Relationship Id="rId74" Type="http://schemas.openxmlformats.org/officeDocument/2006/relationships/chart" Target="charts/chart59.xml"/><Relationship Id="rId79" Type="http://schemas.openxmlformats.org/officeDocument/2006/relationships/chart" Target="charts/chart64.xml"/><Relationship Id="rId102" Type="http://schemas.openxmlformats.org/officeDocument/2006/relationships/header" Target="header4.xml"/><Relationship Id="rId123" Type="http://schemas.openxmlformats.org/officeDocument/2006/relationships/footer" Target="footer9.xm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chart" Target="charts/chart75.xml"/><Relationship Id="rId95" Type="http://schemas.openxmlformats.org/officeDocument/2006/relationships/chart" Target="charts/chart80.xml"/><Relationship Id="rId22" Type="http://schemas.openxmlformats.org/officeDocument/2006/relationships/footer" Target="footer3.xml"/><Relationship Id="rId27" Type="http://schemas.openxmlformats.org/officeDocument/2006/relationships/chart" Target="charts/chart12.xml"/><Relationship Id="rId43" Type="http://schemas.openxmlformats.org/officeDocument/2006/relationships/chart" Target="charts/chart28.xml"/><Relationship Id="rId48" Type="http://schemas.openxmlformats.org/officeDocument/2006/relationships/chart" Target="charts/chart33.xml"/><Relationship Id="rId64" Type="http://schemas.openxmlformats.org/officeDocument/2006/relationships/chart" Target="charts/chart49.xml"/><Relationship Id="rId69" Type="http://schemas.openxmlformats.org/officeDocument/2006/relationships/chart" Target="charts/chart54.xml"/><Relationship Id="rId113" Type="http://schemas.openxmlformats.org/officeDocument/2006/relationships/chart" Target="charts/chart90.xml"/><Relationship Id="rId118" Type="http://schemas.openxmlformats.org/officeDocument/2006/relationships/chart" Target="charts/chart95.xml"/><Relationship Id="rId80" Type="http://schemas.openxmlformats.org/officeDocument/2006/relationships/chart" Target="charts/chart65.xml"/><Relationship Id="rId85" Type="http://schemas.openxmlformats.org/officeDocument/2006/relationships/chart" Target="charts/chart70.xml"/><Relationship Id="rId12" Type="http://schemas.openxmlformats.org/officeDocument/2006/relationships/chart" Target="charts/chart1.xml"/><Relationship Id="rId17" Type="http://schemas.openxmlformats.org/officeDocument/2006/relationships/chart" Target="charts/chart6.xml"/><Relationship Id="rId33" Type="http://schemas.openxmlformats.org/officeDocument/2006/relationships/chart" Target="charts/chart18.xml"/><Relationship Id="rId38" Type="http://schemas.openxmlformats.org/officeDocument/2006/relationships/chart" Target="charts/chart23.xml"/><Relationship Id="rId59" Type="http://schemas.openxmlformats.org/officeDocument/2006/relationships/chart" Target="charts/chart44.xml"/><Relationship Id="rId103" Type="http://schemas.openxmlformats.org/officeDocument/2006/relationships/footer" Target="footer4.xml"/><Relationship Id="rId108" Type="http://schemas.openxmlformats.org/officeDocument/2006/relationships/header" Target="header5.xml"/><Relationship Id="rId124" Type="http://schemas.openxmlformats.org/officeDocument/2006/relationships/header" Target="header9.xml"/><Relationship Id="rId129" Type="http://schemas.openxmlformats.org/officeDocument/2006/relationships/theme" Target="theme/theme1.xml"/><Relationship Id="rId54" Type="http://schemas.openxmlformats.org/officeDocument/2006/relationships/chart" Target="charts/chart39.xml"/><Relationship Id="rId70" Type="http://schemas.openxmlformats.org/officeDocument/2006/relationships/chart" Target="charts/chart55.xml"/><Relationship Id="rId75" Type="http://schemas.openxmlformats.org/officeDocument/2006/relationships/chart" Target="charts/chart60.xml"/><Relationship Id="rId91" Type="http://schemas.openxmlformats.org/officeDocument/2006/relationships/chart" Target="charts/chart76.xml"/><Relationship Id="rId96" Type="http://schemas.openxmlformats.org/officeDocument/2006/relationships/chart" Target="charts/chart8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8.xml"/><Relationship Id="rId28" Type="http://schemas.openxmlformats.org/officeDocument/2006/relationships/chart" Target="charts/chart13.xml"/><Relationship Id="rId49" Type="http://schemas.openxmlformats.org/officeDocument/2006/relationships/chart" Target="charts/chart34.xml"/><Relationship Id="rId114" Type="http://schemas.openxmlformats.org/officeDocument/2006/relationships/chart" Target="charts/chart91.xml"/><Relationship Id="rId119" Type="http://schemas.openxmlformats.org/officeDocument/2006/relationships/chart" Target="charts/chart96.xml"/><Relationship Id="rId44" Type="http://schemas.openxmlformats.org/officeDocument/2006/relationships/chart" Target="charts/chart29.xml"/><Relationship Id="rId60" Type="http://schemas.openxmlformats.org/officeDocument/2006/relationships/chart" Target="charts/chart45.xml"/><Relationship Id="rId65" Type="http://schemas.openxmlformats.org/officeDocument/2006/relationships/chart" Target="charts/chart50.xml"/><Relationship Id="rId81" Type="http://schemas.openxmlformats.org/officeDocument/2006/relationships/chart" Target="charts/chart66.xml"/><Relationship Id="rId86" Type="http://schemas.openxmlformats.org/officeDocument/2006/relationships/chart" Target="charts/chart71.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4.xml"/><Relationship Id="rId109" Type="http://schemas.openxmlformats.org/officeDocument/2006/relationships/header" Target="header6.xml"/><Relationship Id="rId34" Type="http://schemas.openxmlformats.org/officeDocument/2006/relationships/chart" Target="charts/chart19.xml"/><Relationship Id="rId50" Type="http://schemas.openxmlformats.org/officeDocument/2006/relationships/chart" Target="charts/chart35.xml"/><Relationship Id="rId55" Type="http://schemas.openxmlformats.org/officeDocument/2006/relationships/chart" Target="charts/chart40.xml"/><Relationship Id="rId76" Type="http://schemas.openxmlformats.org/officeDocument/2006/relationships/chart" Target="charts/chart61.xml"/><Relationship Id="rId97" Type="http://schemas.openxmlformats.org/officeDocument/2006/relationships/chart" Target="charts/chart82.xml"/><Relationship Id="rId104" Type="http://schemas.openxmlformats.org/officeDocument/2006/relationships/footer" Target="footer5.xml"/><Relationship Id="rId120" Type="http://schemas.openxmlformats.org/officeDocument/2006/relationships/header" Target="header7.xml"/><Relationship Id="rId125" Type="http://schemas.openxmlformats.org/officeDocument/2006/relationships/header" Target="header10.xml"/><Relationship Id="rId7" Type="http://schemas.openxmlformats.org/officeDocument/2006/relationships/footnotes" Target="footnotes.xml"/><Relationship Id="rId71" Type="http://schemas.openxmlformats.org/officeDocument/2006/relationships/chart" Target="charts/chart56.xml"/><Relationship Id="rId92" Type="http://schemas.openxmlformats.org/officeDocument/2006/relationships/chart" Target="charts/chart77.xml"/><Relationship Id="rId2" Type="http://schemas.openxmlformats.org/officeDocument/2006/relationships/customXml" Target="../customXml/item2.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hart" Target="charts/chart25.xml"/><Relationship Id="rId45" Type="http://schemas.openxmlformats.org/officeDocument/2006/relationships/chart" Target="charts/chart30.xml"/><Relationship Id="rId66" Type="http://schemas.openxmlformats.org/officeDocument/2006/relationships/chart" Target="charts/chart51.xml"/><Relationship Id="rId87" Type="http://schemas.openxmlformats.org/officeDocument/2006/relationships/chart" Target="charts/chart72.xml"/><Relationship Id="rId110" Type="http://schemas.openxmlformats.org/officeDocument/2006/relationships/footer" Target="footer6.xml"/><Relationship Id="rId115" Type="http://schemas.openxmlformats.org/officeDocument/2006/relationships/chart" Target="charts/chart92.xml"/><Relationship Id="rId61" Type="http://schemas.openxmlformats.org/officeDocument/2006/relationships/chart" Target="charts/chart46.xml"/><Relationship Id="rId82" Type="http://schemas.openxmlformats.org/officeDocument/2006/relationships/chart" Target="charts/chart67.xml"/><Relationship Id="rId19" Type="http://schemas.openxmlformats.org/officeDocument/2006/relationships/header" Target="header1.xml"/><Relationship Id="rId14" Type="http://schemas.openxmlformats.org/officeDocument/2006/relationships/chart" Target="charts/chart3.xml"/><Relationship Id="rId30" Type="http://schemas.openxmlformats.org/officeDocument/2006/relationships/chart" Target="charts/chart15.xml"/><Relationship Id="rId35" Type="http://schemas.openxmlformats.org/officeDocument/2006/relationships/chart" Target="charts/chart20.xml"/><Relationship Id="rId56" Type="http://schemas.openxmlformats.org/officeDocument/2006/relationships/chart" Target="charts/chart41.xml"/><Relationship Id="rId77" Type="http://schemas.openxmlformats.org/officeDocument/2006/relationships/chart" Target="charts/chart62.xml"/><Relationship Id="rId100" Type="http://schemas.openxmlformats.org/officeDocument/2006/relationships/chart" Target="charts/chart85.xml"/><Relationship Id="rId105" Type="http://schemas.openxmlformats.org/officeDocument/2006/relationships/chart" Target="charts/chart86.xml"/><Relationship Id="rId126"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chart" Target="charts/chart36.xml"/><Relationship Id="rId72" Type="http://schemas.openxmlformats.org/officeDocument/2006/relationships/chart" Target="charts/chart57.xml"/><Relationship Id="rId93" Type="http://schemas.openxmlformats.org/officeDocument/2006/relationships/chart" Target="charts/chart78.xml"/><Relationship Id="rId98" Type="http://schemas.openxmlformats.org/officeDocument/2006/relationships/chart" Target="charts/chart83.xml"/><Relationship Id="rId121" Type="http://schemas.openxmlformats.org/officeDocument/2006/relationships/header" Target="header8.xml"/><Relationship Id="rId3" Type="http://schemas.openxmlformats.org/officeDocument/2006/relationships/numbering" Target="numbering.xml"/><Relationship Id="rId25" Type="http://schemas.openxmlformats.org/officeDocument/2006/relationships/chart" Target="charts/chart10.xml"/><Relationship Id="rId46" Type="http://schemas.openxmlformats.org/officeDocument/2006/relationships/chart" Target="charts/chart31.xml"/><Relationship Id="rId67" Type="http://schemas.openxmlformats.org/officeDocument/2006/relationships/chart" Target="charts/chart52.xml"/><Relationship Id="rId116" Type="http://schemas.openxmlformats.org/officeDocument/2006/relationships/chart" Target="charts/chart93.xml"/><Relationship Id="rId20" Type="http://schemas.openxmlformats.org/officeDocument/2006/relationships/header" Target="header2.xml"/><Relationship Id="rId41" Type="http://schemas.openxmlformats.org/officeDocument/2006/relationships/chart" Target="charts/chart26.xml"/><Relationship Id="rId62" Type="http://schemas.openxmlformats.org/officeDocument/2006/relationships/chart" Target="charts/chart47.xml"/><Relationship Id="rId83" Type="http://schemas.openxmlformats.org/officeDocument/2006/relationships/chart" Target="charts/chart68.xml"/><Relationship Id="rId88" Type="http://schemas.openxmlformats.org/officeDocument/2006/relationships/chart" Target="charts/chart73.xml"/><Relationship Id="rId111" Type="http://schemas.openxmlformats.org/officeDocument/2006/relationships/footer" Target="footer7.xml"/><Relationship Id="rId15" Type="http://schemas.openxmlformats.org/officeDocument/2006/relationships/chart" Target="charts/chart4.xml"/><Relationship Id="rId36" Type="http://schemas.openxmlformats.org/officeDocument/2006/relationships/chart" Target="charts/chart21.xml"/><Relationship Id="rId57" Type="http://schemas.openxmlformats.org/officeDocument/2006/relationships/chart" Target="charts/chart42.xml"/><Relationship Id="rId106" Type="http://schemas.openxmlformats.org/officeDocument/2006/relationships/chart" Target="charts/chart87.xml"/><Relationship Id="rId127" Type="http://schemas.openxmlformats.org/officeDocument/2006/relationships/footer" Target="footer11.xml"/><Relationship Id="rId10" Type="http://schemas.openxmlformats.org/officeDocument/2006/relationships/image" Target="media/image2.png"/><Relationship Id="rId31" Type="http://schemas.openxmlformats.org/officeDocument/2006/relationships/chart" Target="charts/chart16.xml"/><Relationship Id="rId52" Type="http://schemas.openxmlformats.org/officeDocument/2006/relationships/chart" Target="charts/chart37.xml"/><Relationship Id="rId73" Type="http://schemas.openxmlformats.org/officeDocument/2006/relationships/chart" Target="charts/chart58.xml"/><Relationship Id="rId78" Type="http://schemas.openxmlformats.org/officeDocument/2006/relationships/chart" Target="charts/chart63.xml"/><Relationship Id="rId94" Type="http://schemas.openxmlformats.org/officeDocument/2006/relationships/chart" Target="charts/chart79.xml"/><Relationship Id="rId99" Type="http://schemas.openxmlformats.org/officeDocument/2006/relationships/chart" Target="charts/chart84.xml"/><Relationship Id="rId101" Type="http://schemas.openxmlformats.org/officeDocument/2006/relationships/header" Target="header3.xml"/><Relationship Id="rId122" Type="http://schemas.openxmlformats.org/officeDocument/2006/relationships/footer" Target="footer8.xm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chart" Target="charts/chart1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xristof\Application%20Data\Microsoft\&#928;&#961;&#972;&#964;&#965;&#960;&#945;\PROSX2006.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k.begiazi\Desktop\&#917;&#921;&#931;&#919;&#915;&#919;&#932;&#921;&#922;&#919;%202026\&#916;&#953;&#940;&#947;&#961;&#945;&#956;&#956;&#945;%201.1%20&#931;&#967;&#949;&#948;&#943;&#959;&#965;%20&#917;&#953;&#963;&#951;&#947;&#951;&#964;&#953;&#954;&#942;&#962;%202025_final.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172.21.8.50\dadgk\&#917;&#928;&#921;&#931;&#922;&#927;&#928;&#919;&#931;&#919;%20&#916;&#913;&#928;&#913;&#925;&#937;&#925;%20&amp;%20&#928;&#929;&#927;&#939;&#928;&#927;&#923;&#927;&#915;&#921;&#931;&#924;&#927;&#931;%20&#917;&#928;&#921;&#916;&#927;&#931;&#917;&#937;&#925;\&#917;&#921;&#931;&#919;&#915;&#919;&#932;&#921;&#922;&#919;\&#917;&#921;&#931;&#919;&#915;&#919;&#932;&#921;&#922;&#919;%202026\&#922;&#917;&#934;&#913;&#923;&#913;&#921;&#927;%202%20&#917;&#921;&#931;&#919;&#915;&#919;&#932;&#921;&#922;&#919;%202026\&#928;&#921;&#925;&#913;&#922;&#917;&#931;%20-%20&#916;&#921;&#913;&#915;&#929;&#913;&#924;&#924;&#913;&#932;&#913;%20&#917;&#921;&#931;&#919;&#915;&#919;&#932;&#921;&#922;&#919;&#931;\&#928;&#929;&#927;&#917;&#916;&#929;&#921;&#913;%20&#932;&#919;&#931;%20&#922;&#933;&#914;&#917;&#929;&#925;&#919;&#931;&#919;&#931;.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koufosotiri\AppData\Local\Temp\dabdb74b-24e0-4622-8b7f-fa7a95dd9a7f_&#916;&#921;&#913;&#915;&#929;&#913;&#924;&#924;&#913;&#932;&#913;%20&#917;&#921;&#931;&#919;&#915;&#919;&#932;&#921;&#922;&#919;%20&#928;&#933;2026.zip.a7f\&#916;&#921;&#913;&#915;&#929;&#913;&#924;&#924;&#913;&#932;&#913;%20&#917;&#921;&#931;&#919;&#915;&#919;&#932;&#921;&#922;&#919;%20&#928;&#933;2026\&#916;&#921;&#913;&#915;&#929;&#913;&#924;&#924;&#913;&#932;&#913;%201.2%20_1.4%20&#917;&#921;&#931;&#919;&#915;&#919;&#932;&#921;&#922;&#919;&#931;%20%202026%2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e.koufosotiri\AppData\Local\Temp\dabdb74b-24e0-4622-8b7f-fa7a95dd9a7f_&#916;&#921;&#913;&#915;&#929;&#913;&#924;&#924;&#913;&#932;&#913;%20&#917;&#921;&#931;&#919;&#915;&#919;&#932;&#921;&#922;&#919;%20&#928;&#933;2026.zip.a7f\&#916;&#921;&#913;&#915;&#929;&#913;&#924;&#924;&#913;&#932;&#913;%20&#917;&#921;&#931;&#919;&#915;&#919;&#932;&#921;&#922;&#919;%20&#928;&#933;2026\&#916;&#921;&#913;&#915;&#929;&#913;&#924;&#924;&#913;&#932;&#913;%201.2%20_1.4%20&#917;&#921;&#931;&#919;&#915;&#919;&#932;&#921;&#922;&#919;&#931;%20%202026%20.xlsx" TargetMode="Externa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5.xml"/><Relationship Id="rId1" Type="http://schemas.microsoft.com/office/2011/relationships/chartStyle" Target="style35.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36.xml"/><Relationship Id="rId1" Type="http://schemas.microsoft.com/office/2011/relationships/chartStyle" Target="style36.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e.koufosotiri\AppData\Local\Temp\f24186a8-b247-4a49-9412-a63e58588712_&#916;&#921;&#913;&#915;&#929;&#913;&#924;&#924;&#913;&#932;&#913;%20&#917;&#921;&#931;&#919;&#915;&#919;&#932;&#921;&#922;&#919;%20&#928;&#933;2026%20(005).zip.712\&#916;&#921;&#913;&#915;&#929;&#913;&#924;&#924;&#913;&#932;&#913;%20&#917;&#921;&#931;&#919;&#915;&#919;&#932;&#921;&#922;&#919;%20&#928;&#933;2026\&#916;&#921;&#913;&#915;&#929;&#913;&#924;&#924;&#913;&#932;&#913;%201.2%20_1.4%20&#917;&#921;&#931;&#919;&#915;&#919;&#932;&#921;&#922;&#919;&#931;%20%202026%20.xlsx" TargetMode="Externa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8.xml"/><Relationship Id="rId1" Type="http://schemas.microsoft.com/office/2011/relationships/chartStyle" Target="style38.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9.xml"/><Relationship Id="rId1" Type="http://schemas.microsoft.com/office/2011/relationships/chartStyle" Target="style39.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40.xml"/><Relationship Id="rId1" Type="http://schemas.microsoft.com/office/2011/relationships/chartStyle" Target="style40.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41.xml"/><Relationship Id="rId1" Type="http://schemas.microsoft.com/office/2011/relationships/chartStyle" Target="style41.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42.xml"/><Relationship Id="rId1" Type="http://schemas.microsoft.com/office/2011/relationships/chartStyle" Target="style42.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43.xml"/><Relationship Id="rId1" Type="http://schemas.microsoft.com/office/2011/relationships/chartStyle" Target="style43.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44.xml"/><Relationship Id="rId1" Type="http://schemas.microsoft.com/office/2011/relationships/chartStyle" Target="style44.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45.xml"/><Relationship Id="rId1" Type="http://schemas.microsoft.com/office/2011/relationships/chartStyle" Target="style45.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46.xml"/><Relationship Id="rId1" Type="http://schemas.microsoft.com/office/2011/relationships/chartStyle" Target="style46.xml"/></Relationships>
</file>

<file path=word/charts/_rels/chart49.xml.rels><?xml version="1.0" encoding="UTF-8" standalone="yes"?>
<Relationships xmlns="http://schemas.openxmlformats.org/package/2006/relationships"><Relationship Id="rId3" Type="http://schemas.openxmlformats.org/officeDocument/2006/relationships/oleObject" Target="file:///\\172.21.8.50\dadgk\&#917;&#928;&#921;&#931;&#922;&#927;&#928;&#919;&#931;&#919;%20&#916;&#913;&#928;&#913;&#925;&#937;&#925;%20&amp;%20&#928;&#929;&#927;&#939;&#928;&#927;&#923;&#927;&#915;&#921;&#931;&#924;&#927;&#931;%20&#917;&#928;&#921;&#916;&#927;&#931;&#917;&#937;&#925;\&#917;&#921;&#931;&#919;&#915;&#919;&#932;&#921;&#922;&#919;\&#917;&#921;&#931;&#919;&#915;&#919;&#932;&#921;&#922;&#919;%202026\&#922;&#917;&#934;&#913;&#923;&#913;&#921;&#927;%202%20&#917;&#921;&#931;&#919;&#915;&#919;&#932;&#921;&#922;&#919;%202026\&#928;&#921;&#925;&#913;&#922;&#917;&#931;%20-%20&#916;&#921;&#913;&#915;&#929;&#913;&#924;&#924;&#913;&#932;&#913;%20&#917;&#921;&#931;&#919;&#915;&#919;&#932;&#921;&#922;&#919;&#931;\&#933;&#928;.%20&#913;&#925;&#913;&#928;&#932;&#933;&#926;&#919;&#931;.xlsx" TargetMode="External"/><Relationship Id="rId2" Type="http://schemas.microsoft.com/office/2011/relationships/chartColorStyle" Target="colors47.xml"/><Relationship Id="rId1" Type="http://schemas.microsoft.com/office/2011/relationships/chartStyle" Target="style47.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5.xml"/></Relationships>
</file>

<file path=word/charts/_rels/chart50.xml.rels><?xml version="1.0" encoding="UTF-8" standalone="yes"?>
<Relationships xmlns="http://schemas.openxmlformats.org/package/2006/relationships"><Relationship Id="rId3" Type="http://schemas.openxmlformats.org/officeDocument/2006/relationships/oleObject" Target="file:///\\172.21.8.50\dadgk\&#917;&#928;&#921;&#931;&#922;&#927;&#928;&#919;&#931;&#919;%20&#916;&#913;&#928;&#913;&#925;&#937;&#925;%20&amp;%20&#928;&#929;&#927;&#939;&#928;&#927;&#923;&#927;&#915;&#921;&#931;&#924;&#927;&#931;%20&#917;&#928;&#921;&#916;&#927;&#931;&#917;&#937;&#925;\&#917;&#921;&#931;&#919;&#915;&#919;&#932;&#921;&#922;&#919;\&#917;&#921;&#931;&#919;&#915;&#919;&#932;&#921;&#922;&#919;%202026\&#922;&#917;&#934;&#913;&#923;&#913;&#921;&#927;%202%20&#917;&#921;&#931;&#919;&#915;&#919;&#932;&#921;&#922;&#919;%202026\&#928;&#921;&#925;&#913;&#922;&#917;&#931;%20-%20&#916;&#921;&#913;&#915;&#929;&#913;&#924;&#924;&#913;&#932;&#913;%20&#917;&#921;&#931;&#919;&#915;&#919;&#932;&#921;&#922;&#919;&#931;\&#933;&#928;.%20&#913;&#925;&#913;&#928;&#932;&#933;&#926;&#919;&#931;.xlsx" TargetMode="External"/><Relationship Id="rId2" Type="http://schemas.microsoft.com/office/2011/relationships/chartColorStyle" Target="colors48.xml"/><Relationship Id="rId1" Type="http://schemas.microsoft.com/office/2011/relationships/chartStyle" Target="style48.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9.xml"/><Relationship Id="rId1" Type="http://schemas.microsoft.com/office/2011/relationships/chartStyle" Target="style49.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50.xml"/><Relationship Id="rId1" Type="http://schemas.microsoft.com/office/2011/relationships/chartStyle" Target="style50.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51.xml"/><Relationship Id="rId1" Type="http://schemas.microsoft.com/office/2011/relationships/chartStyle" Target="style51.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52.xml"/><Relationship Id="rId1" Type="http://schemas.microsoft.com/office/2011/relationships/chartStyle" Target="style52.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53.xml"/><Relationship Id="rId1" Type="http://schemas.microsoft.com/office/2011/relationships/chartStyle" Target="style53.xml"/></Relationships>
</file>

<file path=word/charts/_rels/chart56.xml.rels><?xml version="1.0" encoding="UTF-8" standalone="yes"?>
<Relationships xmlns="http://schemas.openxmlformats.org/package/2006/relationships"><Relationship Id="rId3" Type="http://schemas.openxmlformats.org/officeDocument/2006/relationships/oleObject" Target="file:///\\172.21.8.50\dadgk\&#917;&#928;&#921;&#931;&#922;&#927;&#928;&#919;&#931;&#919;%20&#916;&#913;&#928;&#913;&#925;&#937;&#925;%20&amp;%20&#928;&#929;&#927;&#939;&#928;&#927;&#923;&#927;&#915;&#921;&#931;&#924;&#927;&#931;%20&#917;&#928;&#921;&#916;&#927;&#931;&#917;&#937;&#925;\&#917;&#921;&#931;&#919;&#915;&#919;&#932;&#921;&#922;&#919;\&#917;&#921;&#931;&#919;&#915;&#919;&#932;&#921;&#922;&#919;%202026\&#922;&#917;&#934;&#913;&#923;&#913;&#921;&#927;%202%20&#917;&#921;&#931;&#919;&#915;&#919;&#932;&#921;&#922;&#919;%202026\&#928;&#921;&#925;&#913;&#922;&#917;&#931;%20-%20&#916;&#921;&#913;&#915;&#929;&#913;&#924;&#924;&#913;&#932;&#913;%20&#917;&#921;&#931;&#919;&#915;&#919;&#932;&#921;&#922;&#919;&#931;\&#933;&#928;.%20&#925;&#913;&#933;&#932;&#921;&#923;&#921;&#913;&#931;.xlsx" TargetMode="External"/><Relationship Id="rId2" Type="http://schemas.microsoft.com/office/2011/relationships/chartColorStyle" Target="colors54.xml"/><Relationship Id="rId1" Type="http://schemas.microsoft.com/office/2011/relationships/chartStyle" Target="style54.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55.xml"/><Relationship Id="rId1" Type="http://schemas.microsoft.com/office/2011/relationships/chartStyle" Target="style55.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56.xml"/><Relationship Id="rId1" Type="http://schemas.microsoft.com/office/2011/relationships/chartStyle" Target="style56.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57.xml"/><Relationship Id="rId1" Type="http://schemas.microsoft.com/office/2011/relationships/chartStyle" Target="style57.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koufosotiri\Desktop\&#916;&#953;&#945;&#947;&#961;&#945;&#769;&#956;&#956;&#945;&#964;&#945;%201.6%20&#954;&#945;&#953;%201.7%20&#964;&#959;&#965;%20&#963;&#967;&#949;&#948;&#953;&#769;&#959;&#965;%20&#949;&#953;&#963;&#951;&#947;&#951;&#964;&#953;&#954;&#951;&#769;&#962;%202026_final.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58.xml"/><Relationship Id="rId1" Type="http://schemas.microsoft.com/office/2011/relationships/chartStyle" Target="style58.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59.xml"/><Relationship Id="rId1" Type="http://schemas.microsoft.com/office/2011/relationships/chartStyle" Target="style59.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60.xml"/><Relationship Id="rId1" Type="http://schemas.microsoft.com/office/2011/relationships/chartStyle" Target="style60.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61.xml"/><Relationship Id="rId1" Type="http://schemas.microsoft.com/office/2011/relationships/chartStyle" Target="style61.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62.xml"/><Relationship Id="rId1" Type="http://schemas.microsoft.com/office/2011/relationships/chartStyle" Target="style62.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63.xml"/><Relationship Id="rId1" Type="http://schemas.microsoft.com/office/2011/relationships/chartStyle" Target="style63.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64.xml"/><Relationship Id="rId1" Type="http://schemas.microsoft.com/office/2011/relationships/chartStyle" Target="style64.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65.xml"/><Relationship Id="rId1" Type="http://schemas.microsoft.com/office/2011/relationships/chartStyle" Target="style65.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66.xml"/><Relationship Id="rId1" Type="http://schemas.microsoft.com/office/2011/relationships/chartStyle" Target="style66.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67.xml"/><Relationship Id="rId1" Type="http://schemas.microsoft.com/office/2011/relationships/chartStyle" Target="style67.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koufosotiri\Desktop\&#916;&#953;&#945;&#947;&#961;&#945;&#769;&#956;&#956;&#945;&#964;&#945;%201.6%20&#954;&#945;&#953;%201.7%20&#964;&#959;&#965;%20&#963;&#967;&#949;&#948;&#953;&#769;&#959;&#965;%20&#949;&#953;&#963;&#951;&#947;&#951;&#964;&#953;&#954;&#951;&#769;&#962;%202026_final.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68.xml"/><Relationship Id="rId1" Type="http://schemas.microsoft.com/office/2011/relationships/chartStyle" Target="style68.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69.xml"/><Relationship Id="rId1" Type="http://schemas.microsoft.com/office/2011/relationships/chartStyle" Target="style69.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70.xml"/><Relationship Id="rId1" Type="http://schemas.microsoft.com/office/2011/relationships/chartStyle" Target="style70.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71.xml"/><Relationship Id="rId1" Type="http://schemas.microsoft.com/office/2011/relationships/chartStyle" Target="style71.xml"/></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72.xml"/><Relationship Id="rId1" Type="http://schemas.microsoft.com/office/2011/relationships/chartStyle" Target="style72.xml"/></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73.xml"/><Relationship Id="rId1" Type="http://schemas.microsoft.com/office/2011/relationships/chartStyle" Target="style73.xml"/></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74.xml"/><Relationship Id="rId1" Type="http://schemas.microsoft.com/office/2011/relationships/chartStyle" Target="style74.xm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75.xml"/><Relationship Id="rId1" Type="http://schemas.microsoft.com/office/2011/relationships/chartStyle" Target="style75.xml"/></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76.xml"/><Relationship Id="rId1" Type="http://schemas.microsoft.com/office/2011/relationships/chartStyle" Target="style76.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77.xml"/><Relationship Id="rId1" Type="http://schemas.microsoft.com/office/2011/relationships/chartStyle" Target="style7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80.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78.xml"/><Relationship Id="rId1" Type="http://schemas.microsoft.com/office/2011/relationships/chartStyle" Target="style78.xml"/></Relationships>
</file>

<file path=word/charts/_rels/chart81.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79.xml"/><Relationship Id="rId1" Type="http://schemas.microsoft.com/office/2011/relationships/chartStyle" Target="style79.xml"/></Relationships>
</file>

<file path=word/charts/_rels/chart82.xml.rels><?xml version="1.0" encoding="UTF-8" standalone="yes"?>
<Relationships xmlns="http://schemas.openxmlformats.org/package/2006/relationships"><Relationship Id="rId3" Type="http://schemas.openxmlformats.org/officeDocument/2006/relationships/package" Target="../embeddings/Microsoft_Excel_Worksheet69.xlsx"/><Relationship Id="rId2" Type="http://schemas.microsoft.com/office/2011/relationships/chartColorStyle" Target="colors80.xml"/><Relationship Id="rId1" Type="http://schemas.microsoft.com/office/2011/relationships/chartStyle" Target="style80.xml"/></Relationships>
</file>

<file path=word/charts/_rels/chart83.xml.rels><?xml version="1.0" encoding="UTF-8" standalone="yes"?>
<Relationships xmlns="http://schemas.openxmlformats.org/package/2006/relationships"><Relationship Id="rId3" Type="http://schemas.openxmlformats.org/officeDocument/2006/relationships/package" Target="../embeddings/Microsoft_Excel_Worksheet70.xlsx"/><Relationship Id="rId2" Type="http://schemas.microsoft.com/office/2011/relationships/chartColorStyle" Target="colors81.xml"/><Relationship Id="rId1" Type="http://schemas.microsoft.com/office/2011/relationships/chartStyle" Target="style81.xml"/></Relationships>
</file>

<file path=word/charts/_rels/chart84.xml.rels><?xml version="1.0" encoding="UTF-8" standalone="yes"?>
<Relationships xmlns="http://schemas.openxmlformats.org/package/2006/relationships"><Relationship Id="rId3" Type="http://schemas.openxmlformats.org/officeDocument/2006/relationships/package" Target="../embeddings/Microsoft_Excel_Worksheet71.xlsx"/><Relationship Id="rId2" Type="http://schemas.microsoft.com/office/2011/relationships/chartColorStyle" Target="colors82.xml"/><Relationship Id="rId1" Type="http://schemas.microsoft.com/office/2011/relationships/chartStyle" Target="style82.xml"/></Relationships>
</file>

<file path=word/charts/_rels/chart85.xml.rels><?xml version="1.0" encoding="UTF-8" standalone="yes"?>
<Relationships xmlns="http://schemas.openxmlformats.org/package/2006/relationships"><Relationship Id="rId3" Type="http://schemas.openxmlformats.org/officeDocument/2006/relationships/package" Target="../embeddings/Microsoft_Excel_Worksheet72.xlsx"/><Relationship Id="rId2" Type="http://schemas.microsoft.com/office/2011/relationships/chartColorStyle" Target="colors83.xml"/><Relationship Id="rId1" Type="http://schemas.microsoft.com/office/2011/relationships/chartStyle" Target="style83.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e.koufosotiri\Desktop\&#916;&#953;&#945;&#947;&#961;&#940;&#956;&#956;&#945;&#964;&#945;%20&#947;&#953;&#945;%20&#960;&#945;&#961;&#959;&#967;&#941;&#962;%20&#963;&#949;%20&#949;&#961;&#947;&#945;&#950;&#972;&#956;&#949;&#957;&#959;&#965;&#962;.xlsx" TargetMode="Externa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chartUserShapes" Target="../drawings/drawing8.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e.koufosotiri\Desktop\&#916;&#953;&#945;&#947;&#961;&#940;&#956;&#956;&#945;&#964;&#945;%20&#947;&#953;&#945;%20&#960;&#945;&#961;&#959;&#967;&#941;&#962;%20&#963;&#949;%20&#949;&#961;&#947;&#945;&#950;&#972;&#956;&#949;&#957;&#959;&#965;&#962;%2010.11%20(&#946;&#959;&#951;&#952;&#951;&#964;&#953;&#954;&#972;%20&#945;&#961;&#967;&#949;&#943;&#959;).xlsx" TargetMode="Externa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chartUserShapes" Target="../drawings/drawing9.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e.koufosotiri\Desktop\&#916;&#953;&#945;&#947;&#961;&#940;&#956;&#956;&#945;&#964;&#945;%20&#947;&#953;&#945;%20&#960;&#945;&#961;&#959;&#967;&#941;&#962;%20&#963;&#949;%20&#949;&#961;&#947;&#945;&#950;&#972;&#956;&#949;&#957;&#959;&#965;&#962;%2010.11%20(&#946;&#959;&#951;&#952;&#951;&#964;&#953;&#954;&#972;%20&#945;&#961;&#967;&#949;&#943;&#959;).xlsx" TargetMode="Externa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chartUserShapes" Target="../drawings/drawing10.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e.koufosotiri\Desktop\el_&#916;&#953;&#945;&#947;&#961;&#940;&#956;&#956;&#945;&#964;&#945;%20&#917;&#953;&#963;&#951;&#947;&#951;&#964;&#953;&#954;&#942;&#962;_2026.xls" TargetMode="Externa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chartUserShapes" Target="../drawings/drawing11.xml"/></Relationships>
</file>

<file path=word/charts/_rels/chart9.xml.rels><?xml version="1.0" encoding="UTF-8" standalone="yes"?>
<Relationships xmlns="http://schemas.openxmlformats.org/package/2006/relationships"><Relationship Id="rId3" Type="http://schemas.openxmlformats.org/officeDocument/2006/relationships/oleObject" Target="file:///\\172.21.8.50\dadgk\&#917;&#928;&#921;&#931;&#922;&#927;&#928;&#919;&#931;&#919;%20&#916;&#913;&#928;&#913;&#925;&#937;&#925;%20&amp;%20&#928;&#929;&#927;&#939;&#928;&#927;&#923;&#927;&#915;&#921;&#931;&#924;&#927;&#931;%20&#917;&#928;&#921;&#916;&#927;&#931;&#917;&#937;&#925;\&#917;&#921;&#931;&#919;&#915;&#919;&#932;&#921;&#922;&#919;\&#917;&#921;&#931;&#919;&#915;&#919;&#932;&#921;&#922;&#919;%202026\&#922;&#917;&#934;&#913;&#923;&#913;&#921;&#927;%202%20&#917;&#921;&#931;&#919;&#915;&#919;&#932;&#921;&#922;&#919;%202026\&#928;&#921;&#925;&#913;&#922;&#917;&#931;%20-%20&#916;&#921;&#913;&#915;&#929;&#913;&#924;&#924;&#913;&#932;&#913;%20&#917;&#921;&#931;&#919;&#915;&#919;&#932;&#921;&#922;&#919;&#931;\&#914;&#927;&#933;&#923;&#919;.xlsx" TargetMode="External"/><Relationship Id="rId2" Type="http://schemas.microsoft.com/office/2011/relationships/chartColorStyle" Target="colors7.xml"/><Relationship Id="rId1" Type="http://schemas.microsoft.com/office/2011/relationships/chartStyle" Target="style7.xml"/></Relationships>
</file>

<file path=word/charts/_rels/chart90.xml.rels><?xml version="1.0" encoding="UTF-8" standalone="yes"?>
<Relationships xmlns="http://schemas.openxmlformats.org/package/2006/relationships"><Relationship Id="rId3" Type="http://schemas.openxmlformats.org/officeDocument/2006/relationships/oleObject" Target="file:///C:\Users\e.koufosotiri\AppData\Local\Microsoft\Windows\INetCache\Content.Outlook\HJ5BIQNL\&#916;&#953;&#945;&#947;&#961;&#940;&#956;&#956;&#945;&#964;&#945;%20&#917;&#953;&#963;&#951;&#947;&#951;&#964;&#953;&#954;&#942;&#962;_2026.xls" TargetMode="Externa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chartUserShapes" Target="../drawings/drawing12.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e.koufosotiri\Desktop\el_&#916;&#953;&#945;&#947;&#961;&#940;&#956;&#956;&#945;&#964;&#945;%20&#917;&#953;&#963;&#951;&#947;&#951;&#964;&#953;&#954;&#942;&#962;_2026.xls" TargetMode="Externa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chartUserShapes" Target="../drawings/drawing13.xml"/></Relationships>
</file>

<file path=word/charts/_rels/chart92.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e.koufosotiri\Desktop\el_&#916;&#953;&#945;&#947;&#961;&#940;&#956;&#956;&#945;&#964;&#945;%20&#917;&#953;&#963;&#951;&#947;&#951;&#964;&#953;&#954;&#942;&#962;_2026.xls" TargetMode="External"/></Relationships>
</file>

<file path=word/charts/_rels/chart93.xml.rels><?xml version="1.0" encoding="UTF-8" standalone="yes"?>
<Relationships xmlns="http://schemas.openxmlformats.org/package/2006/relationships"><Relationship Id="rId3" Type="http://schemas.openxmlformats.org/officeDocument/2006/relationships/oleObject" Target="file:///C:\Users\e.koufosotiri\Desktop\&#913;&#960;&#959;&#948;&#972;&#963;&#949;&#953;&#962;%2010-&#949;&#964;&#974;&#957;%20(&#916;&#953;&#940;&#947;&#961;&#945;&#956;&#956;&#945;%204.5)_&#917;&#921;&#931;&#919;&#915;&#919;&#932;_2026.xlsx" TargetMode="Externa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chartUserShapes" Target="../drawings/drawing15.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e.koufosotiri\Desktop\el_&#916;&#953;&#945;&#947;&#961;&#940;&#956;&#956;&#945;&#964;&#945;%20&#917;&#953;&#963;&#951;&#947;&#951;&#964;&#953;&#954;&#942;&#962;_2026.xls" TargetMode="Externa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chartUserShapes" Target="../drawings/drawing16.xml"/></Relationships>
</file>

<file path=word/charts/_rels/chart95.xml.rels><?xml version="1.0" encoding="UTF-8" standalone="yes"?>
<Relationships xmlns="http://schemas.openxmlformats.org/package/2006/relationships"><Relationship Id="rId3" Type="http://schemas.openxmlformats.org/officeDocument/2006/relationships/oleObject" Target="file:///C:\Users\e.koufosotiri\Desktop\el_&#916;&#953;&#945;&#947;&#961;&#940;&#956;&#956;&#945;&#964;&#945;%20&#917;&#953;&#963;&#951;&#947;&#951;&#964;&#953;&#954;&#942;&#962;_2026.xls" TargetMode="Externa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chartUserShapes" Target="../drawings/drawing17.xml"/></Relationships>
</file>

<file path=word/charts/_rels/chart96.xml.rels><?xml version="1.0" encoding="UTF-8" standalone="yes"?>
<Relationships xmlns="http://schemas.openxmlformats.org/package/2006/relationships"><Relationship Id="rId3" Type="http://schemas.openxmlformats.org/officeDocument/2006/relationships/oleObject" Target="file:///C:\Users\e.koufosotiri\Desktop\&#964;&#949;&#955;&#953;&#954;&#959;%20&#917;&#953;&#963;&#928;&#933;2025%20&#917;&#915;&#915;&#933;&#919;&#931;&#917;&#921;&#931;%20&#928;&#921;&#925;&#913;&#922;&#913;&#931;%20-%20&#960;&#961;&#959;&#946;&#955;&#949;&#968;&#951;.xlsx" TargetMode="Externa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chartUserShapes" Target="../drawings/drawing1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2872174385776"/>
          <c:y val="2.511582134931719E-2"/>
          <c:w val="0.83421134463041025"/>
          <c:h val="0.80784064195049676"/>
        </c:manualLayout>
      </c:layout>
      <c:barChart>
        <c:barDir val="col"/>
        <c:grouping val="clustered"/>
        <c:varyColors val="0"/>
        <c:ser>
          <c:idx val="0"/>
          <c:order val="0"/>
          <c:spPr>
            <a:solidFill>
              <a:srgbClr val="4F81BD">
                <a:lumMod val="75000"/>
              </a:srgbClr>
            </a:solidFill>
            <a:ln>
              <a:noFill/>
            </a:ln>
            <a:effectLst/>
          </c:spPr>
          <c:invertIfNegative val="0"/>
          <c:cat>
            <c:numRef>
              <c:f>Φύλλο1!$A$3:$A$17</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numRef>
          </c:cat>
          <c:val>
            <c:numRef>
              <c:f>Φύλλο1!$B$3:$B$17</c:f>
              <c:numCache>
                <c:formatCode>0</c:formatCode>
                <c:ptCount val="15"/>
                <c:pt idx="0">
                  <c:v>157053.01562079674</c:v>
                </c:pt>
                <c:pt idx="1">
                  <c:v>142795.42655563407</c:v>
                </c:pt>
                <c:pt idx="2">
                  <c:v>125180.69164867664</c:v>
                </c:pt>
                <c:pt idx="3">
                  <c:v>117045.01229319558</c:v>
                </c:pt>
                <c:pt idx="4">
                  <c:v>116456.08976379866</c:v>
                </c:pt>
                <c:pt idx="5">
                  <c:v>117492.4892938117</c:v>
                </c:pt>
                <c:pt idx="6">
                  <c:v>116164.02499092721</c:v>
                </c:pt>
                <c:pt idx="7">
                  <c:v>117154.19525562991</c:v>
                </c:pt>
                <c:pt idx="8">
                  <c:v>116842.63997127327</c:v>
                </c:pt>
                <c:pt idx="9">
                  <c:v>125351.12350373314</c:v>
                </c:pt>
                <c:pt idx="10">
                  <c:v>119815.266112165</c:v>
                </c:pt>
                <c:pt idx="11">
                  <c:v>132168.44157713582</c:v>
                </c:pt>
                <c:pt idx="12">
                  <c:v>139878.3373766203</c:v>
                </c:pt>
                <c:pt idx="13">
                  <c:v>151710.41332575236</c:v>
                </c:pt>
                <c:pt idx="14">
                  <c:v>158570.09003312391</c:v>
                </c:pt>
              </c:numCache>
            </c:numRef>
          </c:val>
          <c:extLst>
            <c:ext xmlns:c16="http://schemas.microsoft.com/office/drawing/2014/chart" uri="{C3380CC4-5D6E-409C-BE32-E72D297353CC}">
              <c16:uniqueId val="{00000000-71DC-4E9F-A6B8-0996E4C8A356}"/>
            </c:ext>
          </c:extLst>
        </c:ser>
        <c:dLbls>
          <c:showLegendKey val="0"/>
          <c:showVal val="0"/>
          <c:showCatName val="0"/>
          <c:showSerName val="0"/>
          <c:showPercent val="0"/>
          <c:showBubbleSize val="0"/>
        </c:dLbls>
        <c:gapWidth val="219"/>
        <c:overlap val="-27"/>
        <c:axId val="1966595968"/>
        <c:axId val="1965174800"/>
      </c:barChart>
      <c:catAx>
        <c:axId val="196659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965174800"/>
        <c:crosses val="autoZero"/>
        <c:auto val="1"/>
        <c:lblAlgn val="ctr"/>
        <c:lblOffset val="100"/>
        <c:noMultiLvlLbl val="0"/>
      </c:catAx>
      <c:valAx>
        <c:axId val="1965174800"/>
        <c:scaling>
          <c:orientation val="minMax"/>
          <c:max val="160000"/>
        </c:scaling>
        <c:delete val="0"/>
        <c:axPos val="l"/>
        <c:majorGridlines>
          <c:spPr>
            <a:ln w="3175" cap="flat" cmpd="sng" algn="ctr">
              <a:solidFill>
                <a:sysClr val="window" lastClr="FFFFFF">
                  <a:lumMod val="85000"/>
                </a:sys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sz="800" b="1">
                    <a:latin typeface="Arial" panose="020B0604020202020204" pitchFamily="34" charset="0"/>
                    <a:cs typeface="Arial" panose="020B0604020202020204" pitchFamily="34" charset="0"/>
                  </a:rPr>
                  <a:t>εκατ. ευρώ</a:t>
                </a:r>
              </a:p>
            </c:rich>
          </c:tx>
          <c:layout>
            <c:manualLayout>
              <c:xMode val="edge"/>
              <c:yMode val="edge"/>
              <c:x val="9.4558336109990711E-3"/>
              <c:y val="0.3553220024326227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966595968"/>
        <c:crosses val="autoZero"/>
        <c:crossBetween val="between"/>
      </c:valAx>
      <c:spPr>
        <a:noFill/>
        <a:ln>
          <a:noFill/>
        </a:ln>
        <a:effectLst/>
      </c:spPr>
    </c:plotArea>
    <c:plotVisOnly val="1"/>
    <c:dispBlanksAs val="gap"/>
    <c:showDLblsOverMax val="0"/>
  </c:chart>
  <c:spPr>
    <a:solidFill>
      <a:schemeClr val="bg1"/>
    </a:solidFill>
    <a:ln w="3175" cap="flat" cmpd="sng" algn="ctr">
      <a:solidFill>
        <a:sysClr val="window" lastClr="FFFFFF">
          <a:lumMod val="85000"/>
        </a:sysClr>
      </a:solidFill>
      <a:round/>
    </a:ln>
    <a:effectLst/>
  </c:spPr>
  <c:txPr>
    <a:bodyPr/>
    <a:lstStyle/>
    <a:p>
      <a:pPr>
        <a:defRPr/>
      </a:pPr>
      <a:endParaRPr lang="el-GR"/>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A589-4FA6-8C1C-DC1B6AC268B4}"/>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A589-4FA6-8C1C-DC1B6AC268B4}"/>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A589-4FA6-8C1C-DC1B6AC268B4}"/>
              </c:ext>
            </c:extLst>
          </c:dPt>
          <c:dPt>
            <c:idx val="3"/>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7-A589-4FA6-8C1C-DC1B6AC268B4}"/>
              </c:ext>
            </c:extLst>
          </c:dPt>
          <c:dPt>
            <c:idx val="4"/>
            <c:bubble3D val="0"/>
            <c:explosion val="13"/>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9-A589-4FA6-8C1C-DC1B6AC268B4}"/>
              </c:ext>
            </c:extLst>
          </c:dPt>
          <c:dLbls>
            <c:dLbl>
              <c:idx val="0"/>
              <c:layout>
                <c:manualLayout>
                  <c:x val="0.1218807365101789"/>
                  <c:y val="2.382734284120729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788000590334147"/>
                      <c:h val="0.24487550602162989"/>
                    </c:manualLayout>
                  </c15:layout>
                </c:ext>
                <c:ext xmlns:c16="http://schemas.microsoft.com/office/drawing/2014/chart" uri="{C3380CC4-5D6E-409C-BE32-E72D297353CC}">
                  <c16:uniqueId val="{00000001-A589-4FA6-8C1C-DC1B6AC268B4}"/>
                </c:ext>
              </c:extLst>
            </c:dLbl>
            <c:dLbl>
              <c:idx val="1"/>
              <c:layout>
                <c:manualLayout>
                  <c:x val="0.1167985395600922"/>
                  <c:y val="-0.1012962342877939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589-4FA6-8C1C-DC1B6AC268B4}"/>
                </c:ext>
              </c:extLst>
            </c:dLbl>
            <c:dLbl>
              <c:idx val="2"/>
              <c:layout>
                <c:manualLayout>
                  <c:x val="0.23234121429575527"/>
                  <c:y val="-6.2974124493401229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840140985684397"/>
                      <c:h val="0.24182275649986021"/>
                    </c:manualLayout>
                  </c15:layout>
                </c:ext>
                <c:ext xmlns:c16="http://schemas.microsoft.com/office/drawing/2014/chart" uri="{C3380CC4-5D6E-409C-BE32-E72D297353CC}">
                  <c16:uniqueId val="{00000005-A589-4FA6-8C1C-DC1B6AC268B4}"/>
                </c:ext>
              </c:extLst>
            </c:dLbl>
            <c:dLbl>
              <c:idx val="4"/>
              <c:layout>
                <c:manualLayout>
                  <c:x val="-7.5240642281013945E-2"/>
                  <c:y val="-2.7169634523876537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00405953991881"/>
                      <c:h val="0.2008410986072692"/>
                    </c:manualLayout>
                  </c15:layout>
                </c:ext>
                <c:ext xmlns:c16="http://schemas.microsoft.com/office/drawing/2014/chart" uri="{C3380CC4-5D6E-409C-BE32-E72D297353CC}">
                  <c16:uniqueId val="{00000009-A589-4FA6-8C1C-DC1B6AC268B4}"/>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'1'!$A$4:$A$8</c:f>
              <c:strCache>
                <c:ptCount val="5"/>
                <c:pt idx="0">
                  <c:v>ΕΠΙΤΕΛΙΚΟΣ ΣΥΝΤΟΝΙΣΜΟΣ ΚΑΙ ΕΠΕΝΔΥΣΕΙΣ ΠΡΟΕΔΡΙΑΣ ΤΗΣ ΚΥΒΕΡΝΗΣΗΣ</c:v>
                </c:pt>
                <c:pt idx="1">
                  <c:v>ΣΥΝΤΟΝΙΣΜΟΣ ΚΥΒΕΡΝΗΤΙΚΟΥ ΕΡΓΟΥ</c:v>
                </c:pt>
                <c:pt idx="2">
                  <c:v>ΣΥΝΟΧΗ ΚΑΙ ΣΥΝΤΟΝΙΣΜΟΣ ΝΟΜΟΠΑΡΑΣΚΕΥΑΣΤΙΚΗΣ ΔΙΑΔΙΚΑΣΙΑΣ</c:v>
                </c:pt>
                <c:pt idx="3">
                  <c:v>ΣΥΝΤΟΝΙΣΜΟΣ ΚΥΒΕΡΝΗΤΙΚΩΝ ΔΡΑΣΕΩΝ ΣΕ ΘΕΜΑΤΑ ΕΘΝΙΚΗΣ ΑΣΦΑΛΕΙΑΣ</c:v>
                </c:pt>
                <c:pt idx="4">
                  <c:v>ΕΠΙΚΟΙΝΩΝΙΑ ΚΑΙ ΕΝΗΜΕΡΩΣΗ</c:v>
                </c:pt>
              </c:strCache>
            </c:strRef>
          </c:cat>
          <c:val>
            <c:numRef>
              <c:f>'1'!$B$4:$B$8</c:f>
              <c:numCache>
                <c:formatCode>#,##0\ "€"</c:formatCode>
                <c:ptCount val="5"/>
                <c:pt idx="0">
                  <c:v>11065660</c:v>
                </c:pt>
                <c:pt idx="1">
                  <c:v>5012950</c:v>
                </c:pt>
                <c:pt idx="2">
                  <c:v>11727800</c:v>
                </c:pt>
                <c:pt idx="3">
                  <c:v>215000</c:v>
                </c:pt>
                <c:pt idx="4">
                  <c:v>17883590</c:v>
                </c:pt>
              </c:numCache>
            </c:numRef>
          </c:val>
          <c:extLst>
            <c:ext xmlns:c16="http://schemas.microsoft.com/office/drawing/2014/chart" uri="{C3380CC4-5D6E-409C-BE32-E72D297353CC}">
              <c16:uniqueId val="{0000000A-A589-4FA6-8C1C-DC1B6AC268B4}"/>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6769917873672318"/>
          <c:y val="6.7966006293545156E-2"/>
          <c:w val="0.51585837177849514"/>
          <c:h val="0.82870331311457446"/>
        </c:manualLayout>
      </c:layout>
      <c:bar3DChart>
        <c:barDir val="bar"/>
        <c:grouping val="percentStacked"/>
        <c:varyColors val="0"/>
        <c:ser>
          <c:idx val="0"/>
          <c:order val="0"/>
          <c:tx>
            <c:strRef>
              <c:f>'1'!$B$13</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BE-453B-8998-623F4C527A99}"/>
                </c:ext>
              </c:extLst>
            </c:dLbl>
            <c:dLbl>
              <c:idx val="4"/>
              <c:layout>
                <c:manualLayout>
                  <c:x val="5.1161656060908514E-2"/>
                  <c:y val="-7.9960324879410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BE-453B-8998-623F4C527A99}"/>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ΕΠΙΤΕΛΙΚΟΣ ΣΥΝΤΟΝΙΣΜΟΣ ΚΑΙ ΕΠΕΝΔΥΣΕΙΣ ΠΡΟΕΔΡΙΑΣ ΤΗΣ ΚΥΒΕΡΝΗΣΗΣ</c:v>
                </c:pt>
                <c:pt idx="1">
                  <c:v>ΣΥΝΤΟΝΙΣΜΟΣ ΚΥΒΕΡΝΗΤΙΚΟΥ ΕΡΓΟΥ</c:v>
                </c:pt>
                <c:pt idx="2">
                  <c:v>ΣΥΝΟΧΗ ΚΑΙ ΣΥΝΤΟΝΙΣΜΟΣ ΝΟΜΟΠΑΡΑΣΚΕΥΑΣΤΙΚΗΣ ΔΙΑΔΙΚΑΣΙΑΣ</c:v>
                </c:pt>
                <c:pt idx="3">
                  <c:v>ΣΥΝΤΟΝΙΣΜΟΣ ΚΥΒΕΡΝΗΤΙΚΩΝ ΔΡΑΣΕΩΝ ΣΕ ΘΕΜΑΤΑ ΕΘΝΙΚΗΣ ΑΣΦΑΛΕΙΑΣ</c:v>
                </c:pt>
                <c:pt idx="4">
                  <c:v>ΕΠΙΚΟΙΝΩΝΙΑ ΚΑΙ ΕΝΗΜΕΡΩΣΗ</c:v>
                </c:pt>
              </c:strCache>
            </c:strRef>
          </c:cat>
          <c:val>
            <c:numRef>
              <c:f>'1'!$B$14:$B$18</c:f>
              <c:numCache>
                <c:formatCode>#,##0\ "€"</c:formatCode>
                <c:ptCount val="5"/>
                <c:pt idx="0">
                  <c:v>11065660</c:v>
                </c:pt>
                <c:pt idx="1">
                  <c:v>5012950</c:v>
                </c:pt>
                <c:pt idx="2">
                  <c:v>11727800</c:v>
                </c:pt>
                <c:pt idx="3">
                  <c:v>215000</c:v>
                </c:pt>
                <c:pt idx="4">
                  <c:v>8283590</c:v>
                </c:pt>
              </c:numCache>
            </c:numRef>
          </c:val>
          <c:extLst>
            <c:ext xmlns:c16="http://schemas.microsoft.com/office/drawing/2014/chart" uri="{C3380CC4-5D6E-409C-BE32-E72D297353CC}">
              <c16:uniqueId val="{00000002-27BE-453B-8998-623F4C527A99}"/>
            </c:ext>
          </c:extLst>
        </c:ser>
        <c:ser>
          <c:idx val="1"/>
          <c:order val="1"/>
          <c:tx>
            <c:strRef>
              <c:f>'1'!$C$13</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27BE-453B-8998-623F4C527A99}"/>
                </c:ext>
              </c:extLst>
            </c:dLbl>
            <c:dLbl>
              <c:idx val="1"/>
              <c:delete val="1"/>
              <c:extLst>
                <c:ext xmlns:c15="http://schemas.microsoft.com/office/drawing/2012/chart" uri="{CE6537A1-D6FC-4f65-9D91-7224C49458BB}"/>
                <c:ext xmlns:c16="http://schemas.microsoft.com/office/drawing/2014/chart" uri="{C3380CC4-5D6E-409C-BE32-E72D297353CC}">
                  <c16:uniqueId val="{00000004-27BE-453B-8998-623F4C527A99}"/>
                </c:ext>
              </c:extLst>
            </c:dLbl>
            <c:dLbl>
              <c:idx val="2"/>
              <c:delete val="1"/>
              <c:extLst>
                <c:ext xmlns:c15="http://schemas.microsoft.com/office/drawing/2012/chart" uri="{CE6537A1-D6FC-4f65-9D91-7224C49458BB}"/>
                <c:ext xmlns:c16="http://schemas.microsoft.com/office/drawing/2014/chart" uri="{C3380CC4-5D6E-409C-BE32-E72D297353CC}">
                  <c16:uniqueId val="{00000005-27BE-453B-8998-623F4C527A99}"/>
                </c:ext>
              </c:extLst>
            </c:dLbl>
            <c:dLbl>
              <c:idx val="3"/>
              <c:delete val="1"/>
              <c:extLst>
                <c:ext xmlns:c15="http://schemas.microsoft.com/office/drawing/2012/chart" uri="{CE6537A1-D6FC-4f65-9D91-7224C49458BB}"/>
                <c:ext xmlns:c16="http://schemas.microsoft.com/office/drawing/2014/chart" uri="{C3380CC4-5D6E-409C-BE32-E72D297353CC}">
                  <c16:uniqueId val="{00000006-27BE-453B-8998-623F4C527A99}"/>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ΕΠΙΤΕΛΙΚΟΣ ΣΥΝΤΟΝΙΣΜΟΣ ΚΑΙ ΕΠΕΝΔΥΣΕΙΣ ΠΡΟΕΔΡΙΑΣ ΤΗΣ ΚΥΒΕΡΝΗΣΗΣ</c:v>
                </c:pt>
                <c:pt idx="1">
                  <c:v>ΣΥΝΤΟΝΙΣΜΟΣ ΚΥΒΕΡΝΗΤΙΚΟΥ ΕΡΓΟΥ</c:v>
                </c:pt>
                <c:pt idx="2">
                  <c:v>ΣΥΝΟΧΗ ΚΑΙ ΣΥΝΤΟΝΙΣΜΟΣ ΝΟΜΟΠΑΡΑΣΚΕΥΑΣΤΙΚΗΣ ΔΙΑΔΙΚΑΣΙΑΣ</c:v>
                </c:pt>
                <c:pt idx="3">
                  <c:v>ΣΥΝΤΟΝΙΣΜΟΣ ΚΥΒΕΡΝΗΤΙΚΩΝ ΔΡΑΣΕΩΝ ΣΕ ΘΕΜΑΤΑ ΕΘΝΙΚΗΣ ΑΣΦΑΛΕΙΑΣ</c:v>
                </c:pt>
                <c:pt idx="4">
                  <c:v>ΕΠΙΚΟΙΝΩΝΙΑ ΚΑΙ ΕΝΗΜΕΡΩΣΗ</c:v>
                </c:pt>
              </c:strCache>
            </c:strRef>
          </c:cat>
          <c:val>
            <c:numRef>
              <c:f>'1'!$C$14:$C$18</c:f>
              <c:numCache>
                <c:formatCode>#,##0\ "€"</c:formatCode>
                <c:ptCount val="5"/>
                <c:pt idx="0">
                  <c:v>0</c:v>
                </c:pt>
                <c:pt idx="1">
                  <c:v>0</c:v>
                </c:pt>
                <c:pt idx="2">
                  <c:v>0</c:v>
                </c:pt>
                <c:pt idx="3">
                  <c:v>0</c:v>
                </c:pt>
                <c:pt idx="4">
                  <c:v>252059565.59999999</c:v>
                </c:pt>
              </c:numCache>
            </c:numRef>
          </c:val>
          <c:extLst>
            <c:ext xmlns:c16="http://schemas.microsoft.com/office/drawing/2014/chart" uri="{C3380CC4-5D6E-409C-BE32-E72D297353CC}">
              <c16:uniqueId val="{00000007-27BE-453B-8998-623F4C527A99}"/>
            </c:ext>
          </c:extLst>
        </c:ser>
        <c:dLbls>
          <c:showLegendKey val="0"/>
          <c:showVal val="0"/>
          <c:showCatName val="0"/>
          <c:showSerName val="0"/>
          <c:showPercent val="0"/>
          <c:showBubbleSize val="0"/>
        </c:dLbls>
        <c:gapWidth val="150"/>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750627258924489E-3"/>
          <c:y val="0.21677939538133267"/>
          <c:w val="0.9191705135749394"/>
          <c:h val="0.78230329122528752"/>
        </c:manualLayout>
      </c:layout>
      <c:pie3DChart>
        <c:varyColors val="1"/>
        <c:ser>
          <c:idx val="0"/>
          <c:order val="0"/>
          <c:tx>
            <c:strRef>
              <c:f>'1'!$B$22:$B$23</c:f>
              <c:strCache>
                <c:ptCount val="2"/>
                <c:pt idx="0">
                  <c:v>Ανθρώπινοι Πόροι ανά Πρόγραμμα </c:v>
                </c:pt>
                <c:pt idx="1">
                  <c:v>ΠΡΟΣΩΠΙΚΟ 2026</c:v>
                </c:pt>
              </c:strCache>
            </c:strRef>
          </c:tx>
          <c:dPt>
            <c:idx val="0"/>
            <c:bubble3D val="0"/>
            <c:explosion val="19"/>
            <c:spPr>
              <a:solidFill>
                <a:schemeClr val="accent1">
                  <a:lumMod val="60000"/>
                  <a:lumOff val="40000"/>
                </a:schemeClr>
              </a:solidFill>
              <a:ln>
                <a:noFill/>
              </a:ln>
              <a:effectLst/>
              <a:sp3d/>
            </c:spPr>
            <c:extLst>
              <c:ext xmlns:c16="http://schemas.microsoft.com/office/drawing/2014/chart" uri="{C3380CC4-5D6E-409C-BE32-E72D297353CC}">
                <c16:uniqueId val="{00000001-64B6-4DFF-880D-5A7C73CEE447}"/>
              </c:ext>
            </c:extLst>
          </c:dPt>
          <c:dPt>
            <c:idx val="1"/>
            <c:bubble3D val="0"/>
            <c:spPr>
              <a:solidFill>
                <a:schemeClr val="accent5">
                  <a:lumMod val="75000"/>
                </a:schemeClr>
              </a:solidFill>
              <a:ln>
                <a:noFill/>
              </a:ln>
              <a:effectLst/>
              <a:sp3d/>
            </c:spPr>
            <c:extLst>
              <c:ext xmlns:c16="http://schemas.microsoft.com/office/drawing/2014/chart" uri="{C3380CC4-5D6E-409C-BE32-E72D297353CC}">
                <c16:uniqueId val="{00000003-64B6-4DFF-880D-5A7C73CEE447}"/>
              </c:ext>
            </c:extLst>
          </c:dPt>
          <c:dPt>
            <c:idx val="2"/>
            <c:bubble3D val="0"/>
            <c:explosion val="1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64B6-4DFF-880D-5A7C73CEE447}"/>
              </c:ext>
            </c:extLst>
          </c:dPt>
          <c:dPt>
            <c:idx val="3"/>
            <c:bubble3D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7-64B6-4DFF-880D-5A7C73CEE447}"/>
              </c:ext>
            </c:extLst>
          </c:dPt>
          <c:dPt>
            <c:idx val="4"/>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9-64B6-4DFF-880D-5A7C73CEE447}"/>
              </c:ext>
            </c:extLst>
          </c:dPt>
          <c:dLbls>
            <c:dLbl>
              <c:idx val="0"/>
              <c:layout>
                <c:manualLayout>
                  <c:x val="-0.25131261767956231"/>
                  <c:y val="-4.107517135897582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4B6-4DFF-880D-5A7C73CEE447}"/>
                </c:ext>
              </c:extLst>
            </c:dLbl>
            <c:dLbl>
              <c:idx val="1"/>
              <c:layout>
                <c:manualLayout>
                  <c:x val="4.9611868075862653E-2"/>
                  <c:y val="-0.1928540946770142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4B6-4DFF-880D-5A7C73CEE447}"/>
                </c:ext>
              </c:extLst>
            </c:dLbl>
            <c:dLbl>
              <c:idx val="2"/>
              <c:layout>
                <c:manualLayout>
                  <c:x val="7.3637235414143409E-2"/>
                  <c:y val="-4.970562132970789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7861948623566"/>
                      <c:h val="0.20983606557377046"/>
                    </c:manualLayout>
                  </c15:layout>
                </c:ext>
                <c:ext xmlns:c16="http://schemas.microsoft.com/office/drawing/2014/chart" uri="{C3380CC4-5D6E-409C-BE32-E72D297353CC}">
                  <c16:uniqueId val="{00000005-64B6-4DFF-880D-5A7C73CEE447}"/>
                </c:ext>
              </c:extLst>
            </c:dLbl>
            <c:dLbl>
              <c:idx val="4"/>
              <c:layout>
                <c:manualLayout>
                  <c:x val="-5.7898501256146526E-2"/>
                  <c:y val="4.369795502180888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64B6-4DFF-880D-5A7C73CEE44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'1'!$A$24:$A$28</c:f>
              <c:strCache>
                <c:ptCount val="5"/>
                <c:pt idx="0">
                  <c:v>ΕΠΙΤΕΛΙΚΟΣ ΣΥΝΤΟΝΙΣΜΟΣ ΚΑΙ ΕΠΕΝΔΥΣΕΙΣ ΠΡΟΕΔΡΙΑΣ ΤΗΣ ΚΥΒΕΡΝΗΣΗΣ</c:v>
                </c:pt>
                <c:pt idx="1">
                  <c:v>ΣΥΝΤΟΝΙΣΜΟΣ ΚΥΒΕΡΝΗΤΙΚΟΥ ΕΡΓΟΥ</c:v>
                </c:pt>
                <c:pt idx="2">
                  <c:v>ΣΥΝΟΧΗ ΚΑΙ ΣΥΝΤΟΝΙΣΜΟΣ ΝΟΜΟΠΑΡΑΣΚΕΥΑΣΤΙΚΗΣ ΔΙΑΔΙΚΑΣΙΑΣ</c:v>
                </c:pt>
                <c:pt idx="3">
                  <c:v>ΣΥΝΤΟΝΙΣΜΟΣ ΚΥΒΕΡΝΗΤΙΚΩΝ ΔΡΑΣΕΩΝ ΣΕ ΘΕΜΑΤΑ ΕΘΝΙΚΗΣ ΑΣΦΑΛΕΙΑΣ</c:v>
                </c:pt>
                <c:pt idx="4">
                  <c:v>ΕΠΙΚΟΙΝΩΝΙΑ ΚΑΙ ΕΝΗΜΕΡΩΣΗ</c:v>
                </c:pt>
              </c:strCache>
            </c:strRef>
          </c:cat>
          <c:val>
            <c:numRef>
              <c:f>'1'!$B$24:$B$28</c:f>
              <c:numCache>
                <c:formatCode>_-* #,##0\ _€_-;\-* #,##0\ _€_-;_-* "-"??\ _€_-;_-@_-</c:formatCode>
                <c:ptCount val="5"/>
                <c:pt idx="0">
                  <c:v>179</c:v>
                </c:pt>
                <c:pt idx="1">
                  <c:v>111</c:v>
                </c:pt>
                <c:pt idx="2">
                  <c:v>267</c:v>
                </c:pt>
                <c:pt idx="3">
                  <c:v>6</c:v>
                </c:pt>
                <c:pt idx="4">
                  <c:v>2055</c:v>
                </c:pt>
              </c:numCache>
            </c:numRef>
          </c:val>
          <c:extLst>
            <c:ext xmlns:c16="http://schemas.microsoft.com/office/drawing/2014/chart" uri="{C3380CC4-5D6E-409C-BE32-E72D297353CC}">
              <c16:uniqueId val="{0000000A-64B6-4DFF-880D-5A7C73CEE447}"/>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447552076838876E-2"/>
          <c:y val="0.23298244386118402"/>
          <c:w val="0.79561572719617324"/>
          <c:h val="0.684041228423089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11"/>
            <c:spPr>
              <a:gradFill rotWithShape="1">
                <a:gsLst>
                  <a:gs pos="0">
                    <a:schemeClr val="accent1">
                      <a:shade val="42000"/>
                      <a:satMod val="103000"/>
                      <a:lumMod val="102000"/>
                      <a:tint val="94000"/>
                    </a:schemeClr>
                  </a:gs>
                  <a:gs pos="50000">
                    <a:schemeClr val="accent1">
                      <a:shade val="42000"/>
                      <a:satMod val="110000"/>
                      <a:lumMod val="100000"/>
                      <a:shade val="100000"/>
                    </a:schemeClr>
                  </a:gs>
                  <a:gs pos="100000">
                    <a:schemeClr val="accent1">
                      <a:shade val="42000"/>
                      <a:lumMod val="99000"/>
                      <a:satMod val="120000"/>
                      <a:shade val="78000"/>
                    </a:schemeClr>
                  </a:gs>
                </a:gsLst>
                <a:lin ang="5400000" scaled="0"/>
              </a:gradFill>
              <a:ln>
                <a:noFill/>
              </a:ln>
              <a:effectLst/>
              <a:sp3d/>
            </c:spPr>
            <c:extLst>
              <c:ext xmlns:c16="http://schemas.microsoft.com/office/drawing/2014/chart" uri="{C3380CC4-5D6E-409C-BE32-E72D297353CC}">
                <c16:uniqueId val="{00000001-091D-4480-AB6E-912BF571DBB3}"/>
              </c:ext>
            </c:extLst>
          </c:dPt>
          <c:dPt>
            <c:idx val="1"/>
            <c:bubble3D val="0"/>
            <c:spPr>
              <a:gradFill rotWithShape="1">
                <a:gsLst>
                  <a:gs pos="0">
                    <a:schemeClr val="accent1">
                      <a:shade val="55000"/>
                      <a:satMod val="103000"/>
                      <a:lumMod val="102000"/>
                      <a:tint val="94000"/>
                    </a:schemeClr>
                  </a:gs>
                  <a:gs pos="50000">
                    <a:schemeClr val="accent1">
                      <a:shade val="55000"/>
                      <a:satMod val="110000"/>
                      <a:lumMod val="100000"/>
                      <a:shade val="100000"/>
                    </a:schemeClr>
                  </a:gs>
                  <a:gs pos="100000">
                    <a:schemeClr val="accent1">
                      <a:shade val="55000"/>
                      <a:lumMod val="99000"/>
                      <a:satMod val="120000"/>
                      <a:shade val="78000"/>
                    </a:schemeClr>
                  </a:gs>
                </a:gsLst>
                <a:lin ang="5400000" scaled="0"/>
              </a:gradFill>
              <a:ln>
                <a:noFill/>
              </a:ln>
              <a:effectLst/>
              <a:sp3d/>
            </c:spPr>
            <c:extLst>
              <c:ext xmlns:c16="http://schemas.microsoft.com/office/drawing/2014/chart" uri="{C3380CC4-5D6E-409C-BE32-E72D297353CC}">
                <c16:uniqueId val="{00000003-091D-4480-AB6E-912BF571DBB3}"/>
              </c:ext>
            </c:extLst>
          </c:dPt>
          <c:dPt>
            <c:idx val="2"/>
            <c:bubble3D val="0"/>
            <c:spPr>
              <a:gradFill rotWithShape="1">
                <a:gsLst>
                  <a:gs pos="0">
                    <a:schemeClr val="accent1">
                      <a:shade val="68000"/>
                      <a:satMod val="103000"/>
                      <a:lumMod val="102000"/>
                      <a:tint val="94000"/>
                    </a:schemeClr>
                  </a:gs>
                  <a:gs pos="50000">
                    <a:schemeClr val="accent1">
                      <a:shade val="68000"/>
                      <a:satMod val="110000"/>
                      <a:lumMod val="100000"/>
                      <a:shade val="100000"/>
                    </a:schemeClr>
                  </a:gs>
                  <a:gs pos="100000">
                    <a:schemeClr val="accent1">
                      <a:shade val="68000"/>
                      <a:lumMod val="99000"/>
                      <a:satMod val="120000"/>
                      <a:shade val="78000"/>
                    </a:schemeClr>
                  </a:gs>
                </a:gsLst>
                <a:lin ang="5400000" scaled="0"/>
              </a:gradFill>
              <a:ln>
                <a:noFill/>
              </a:ln>
              <a:effectLst/>
              <a:sp3d/>
            </c:spPr>
            <c:extLst>
              <c:ext xmlns:c16="http://schemas.microsoft.com/office/drawing/2014/chart" uri="{C3380CC4-5D6E-409C-BE32-E72D297353CC}">
                <c16:uniqueId val="{00000005-091D-4480-AB6E-912BF571DBB3}"/>
              </c:ext>
            </c:extLst>
          </c:dPt>
          <c:dPt>
            <c:idx val="3"/>
            <c:bubble3D val="0"/>
            <c:explosion val="9"/>
            <c:spPr>
              <a:gradFill rotWithShape="1">
                <a:gsLst>
                  <a:gs pos="0">
                    <a:schemeClr val="accent1">
                      <a:shade val="80000"/>
                      <a:satMod val="103000"/>
                      <a:lumMod val="102000"/>
                      <a:tint val="94000"/>
                    </a:schemeClr>
                  </a:gs>
                  <a:gs pos="50000">
                    <a:schemeClr val="accent1">
                      <a:shade val="80000"/>
                      <a:satMod val="110000"/>
                      <a:lumMod val="100000"/>
                      <a:shade val="100000"/>
                    </a:schemeClr>
                  </a:gs>
                  <a:gs pos="100000">
                    <a:schemeClr val="accent1">
                      <a:shade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07-091D-4480-AB6E-912BF571DBB3}"/>
              </c:ext>
            </c:extLst>
          </c:dPt>
          <c:dPt>
            <c:idx val="4"/>
            <c:bubble3D val="0"/>
            <c:spPr>
              <a:gradFill rotWithShape="1">
                <a:gsLst>
                  <a:gs pos="0">
                    <a:schemeClr val="accent1">
                      <a:shade val="93000"/>
                      <a:satMod val="103000"/>
                      <a:lumMod val="102000"/>
                      <a:tint val="94000"/>
                    </a:schemeClr>
                  </a:gs>
                  <a:gs pos="50000">
                    <a:schemeClr val="accent1">
                      <a:shade val="93000"/>
                      <a:satMod val="110000"/>
                      <a:lumMod val="100000"/>
                      <a:shade val="100000"/>
                    </a:schemeClr>
                  </a:gs>
                  <a:gs pos="100000">
                    <a:schemeClr val="accent1">
                      <a:shade val="93000"/>
                      <a:lumMod val="99000"/>
                      <a:satMod val="120000"/>
                      <a:shade val="78000"/>
                    </a:schemeClr>
                  </a:gs>
                </a:gsLst>
                <a:lin ang="5400000" scaled="0"/>
              </a:gradFill>
              <a:ln>
                <a:noFill/>
              </a:ln>
              <a:effectLst/>
              <a:sp3d/>
            </c:spPr>
            <c:extLst>
              <c:ext xmlns:c16="http://schemas.microsoft.com/office/drawing/2014/chart" uri="{C3380CC4-5D6E-409C-BE32-E72D297353CC}">
                <c16:uniqueId val="{00000009-091D-4480-AB6E-912BF571DBB3}"/>
              </c:ext>
            </c:extLst>
          </c:dPt>
          <c:dPt>
            <c:idx val="5"/>
            <c:bubble3D val="0"/>
            <c:explosion val="13"/>
            <c:spPr>
              <a:gradFill rotWithShape="1">
                <a:gsLst>
                  <a:gs pos="0">
                    <a:schemeClr val="accent1">
                      <a:tint val="94000"/>
                      <a:satMod val="103000"/>
                      <a:lumMod val="102000"/>
                      <a:tint val="94000"/>
                    </a:schemeClr>
                  </a:gs>
                  <a:gs pos="50000">
                    <a:schemeClr val="accent1">
                      <a:tint val="94000"/>
                      <a:satMod val="110000"/>
                      <a:lumMod val="100000"/>
                      <a:shade val="100000"/>
                    </a:schemeClr>
                  </a:gs>
                  <a:gs pos="100000">
                    <a:schemeClr val="accent1">
                      <a:tint val="94000"/>
                      <a:lumMod val="99000"/>
                      <a:satMod val="120000"/>
                      <a:shade val="78000"/>
                    </a:schemeClr>
                  </a:gs>
                </a:gsLst>
                <a:lin ang="5400000" scaled="0"/>
              </a:gradFill>
              <a:ln>
                <a:noFill/>
              </a:ln>
              <a:effectLst/>
              <a:sp3d/>
            </c:spPr>
            <c:extLst>
              <c:ext xmlns:c16="http://schemas.microsoft.com/office/drawing/2014/chart" uri="{C3380CC4-5D6E-409C-BE32-E72D297353CC}">
                <c16:uniqueId val="{0000000B-091D-4480-AB6E-912BF571DBB3}"/>
              </c:ext>
            </c:extLst>
          </c:dPt>
          <c:dPt>
            <c:idx val="6"/>
            <c:bubble3D val="0"/>
            <c:spPr>
              <a:gradFill rotWithShape="1">
                <a:gsLst>
                  <a:gs pos="0">
                    <a:schemeClr val="accent1">
                      <a:tint val="81000"/>
                      <a:satMod val="103000"/>
                      <a:lumMod val="102000"/>
                      <a:tint val="94000"/>
                    </a:schemeClr>
                  </a:gs>
                  <a:gs pos="50000">
                    <a:schemeClr val="accent1">
                      <a:tint val="81000"/>
                      <a:satMod val="110000"/>
                      <a:lumMod val="100000"/>
                      <a:shade val="100000"/>
                    </a:schemeClr>
                  </a:gs>
                  <a:gs pos="100000">
                    <a:schemeClr val="accent1">
                      <a:tint val="81000"/>
                      <a:lumMod val="99000"/>
                      <a:satMod val="120000"/>
                      <a:shade val="78000"/>
                    </a:schemeClr>
                  </a:gs>
                </a:gsLst>
                <a:lin ang="5400000" scaled="0"/>
              </a:gradFill>
              <a:ln>
                <a:noFill/>
              </a:ln>
              <a:effectLst/>
              <a:sp3d/>
            </c:spPr>
            <c:extLst>
              <c:ext xmlns:c16="http://schemas.microsoft.com/office/drawing/2014/chart" uri="{C3380CC4-5D6E-409C-BE32-E72D297353CC}">
                <c16:uniqueId val="{0000000D-091D-4480-AB6E-912BF571DBB3}"/>
              </c:ext>
            </c:extLst>
          </c:dPt>
          <c:dPt>
            <c:idx val="7"/>
            <c:bubble3D val="0"/>
            <c:explosion val="1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F-091D-4480-AB6E-912BF571DBB3}"/>
              </c:ext>
            </c:extLst>
          </c:dPt>
          <c:dPt>
            <c:idx val="8"/>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11-091D-4480-AB6E-912BF571DBB3}"/>
              </c:ext>
            </c:extLst>
          </c:dPt>
          <c:dPt>
            <c:idx val="9"/>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3-091D-4480-AB6E-912BF571DBB3}"/>
              </c:ext>
            </c:extLst>
          </c:dPt>
          <c:dLbls>
            <c:dLbl>
              <c:idx val="0"/>
              <c:layout>
                <c:manualLayout>
                  <c:x val="0.21734575350076837"/>
                  <c:y val="9.0922829022627424E-2"/>
                </c:manualLayout>
              </c:layout>
              <c:tx>
                <c:rich>
                  <a:bodyPr/>
                  <a:lstStyle/>
                  <a:p>
                    <a:fld id="{C701DDAE-2FA8-4C15-8BF2-2F48EA4FA70D}"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091D-4480-AB6E-912BF571DBB3}"/>
                </c:ext>
              </c:extLst>
            </c:dLbl>
            <c:dLbl>
              <c:idx val="1"/>
              <c:layout>
                <c:manualLayout>
                  <c:x val="-0.28313693147783209"/>
                  <c:y val="-2.1033690806502546E-3"/>
                </c:manualLayout>
              </c:layout>
              <c:tx>
                <c:rich>
                  <a:bodyPr/>
                  <a:lstStyle/>
                  <a:p>
                    <a:fld id="{76D7C03C-C1CF-4C9F-9EBA-641476234E88}"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2188524945958382"/>
                      <c:h val="0.11269805846909173"/>
                    </c:manualLayout>
                  </c15:layout>
                  <c15:dlblFieldTable/>
                  <c15:showDataLabelsRange val="0"/>
                </c:ext>
                <c:ext xmlns:c16="http://schemas.microsoft.com/office/drawing/2014/chart" uri="{C3380CC4-5D6E-409C-BE32-E72D297353CC}">
                  <c16:uniqueId val="{00000003-091D-4480-AB6E-912BF571DBB3}"/>
                </c:ext>
              </c:extLst>
            </c:dLbl>
            <c:dLbl>
              <c:idx val="2"/>
              <c:layout>
                <c:manualLayout>
                  <c:x val="-0.4746133745409718"/>
                  <c:y val="-0.10135228931018747"/>
                </c:manualLayout>
              </c:layout>
              <c:tx>
                <c:rich>
                  <a:bodyPr/>
                  <a:lstStyle/>
                  <a:p>
                    <a:fld id="{4C3966D6-BFEE-4F07-9E72-4DBC6180A855}" type="CATEGORYNAME">
                      <a:rPr lang="el-GR" sz="500"/>
                      <a:pPr/>
                      <a:t>[ΟΝΟΜΑ ΚΑΤΗΓΟΡΙΑΣ]</a:t>
                    </a:fld>
                    <a:r>
                      <a:rPr lang="el-GR" sz="500" baseline="0"/>
                      <a:t> </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4632629851808766"/>
                      <c:h val="0.15229606299212597"/>
                    </c:manualLayout>
                  </c15:layout>
                  <c15:dlblFieldTable/>
                  <c15:showDataLabelsRange val="0"/>
                </c:ext>
                <c:ext xmlns:c16="http://schemas.microsoft.com/office/drawing/2014/chart" uri="{C3380CC4-5D6E-409C-BE32-E72D297353CC}">
                  <c16:uniqueId val="{00000005-091D-4480-AB6E-912BF571DBB3}"/>
                </c:ext>
              </c:extLst>
            </c:dLbl>
            <c:dLbl>
              <c:idx val="3"/>
              <c:layout>
                <c:manualLayout>
                  <c:x val="0.11731172716224013"/>
                  <c:y val="-5.3323534558180258E-2"/>
                </c:manualLayout>
              </c:layout>
              <c:tx>
                <c:rich>
                  <a:bodyPr/>
                  <a:lstStyle/>
                  <a:p>
                    <a:fld id="{7E366E67-1D50-49B3-950B-30DCACFB0CE3}"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091D-4480-AB6E-912BF571DBB3}"/>
                </c:ext>
              </c:extLst>
            </c:dLbl>
            <c:dLbl>
              <c:idx val="4"/>
              <c:layout>
                <c:manualLayout>
                  <c:x val="0.26422522983965485"/>
                  <c:y val="0.20080629921259838"/>
                </c:manualLayout>
              </c:layout>
              <c:tx>
                <c:rich>
                  <a:bodyPr/>
                  <a:lstStyle/>
                  <a:p>
                    <a:fld id="{C2EB3F3B-AFD1-4606-A94C-4EA0BB498FA8}"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091D-4480-AB6E-912BF571DBB3}"/>
                </c:ext>
              </c:extLst>
            </c:dLbl>
            <c:dLbl>
              <c:idx val="5"/>
              <c:layout>
                <c:manualLayout>
                  <c:x val="0.26498745539938712"/>
                  <c:y val="-2.5927559055118135E-2"/>
                </c:manualLayout>
              </c:layout>
              <c:tx>
                <c:rich>
                  <a:bodyPr/>
                  <a:lstStyle/>
                  <a:p>
                    <a:fld id="{204DDBDD-C136-49ED-8551-6A258A38C828}"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091D-4480-AB6E-912BF571DBB3}"/>
                </c:ext>
              </c:extLst>
            </c:dLbl>
            <c:dLbl>
              <c:idx val="6"/>
              <c:layout>
                <c:manualLayout>
                  <c:x val="0.25178810476694824"/>
                  <c:y val="-0.17544206773305313"/>
                </c:manualLayout>
              </c:layout>
              <c:tx>
                <c:rich>
                  <a:bodyPr/>
                  <a:lstStyle/>
                  <a:p>
                    <a:fld id="{2B9A20F6-0461-4300-B11D-3D1A9B4BB4BA}"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091D-4480-AB6E-912BF571DBB3}"/>
                </c:ext>
              </c:extLst>
            </c:dLbl>
            <c:dLbl>
              <c:idx val="7"/>
              <c:layout>
                <c:manualLayout>
                  <c:x val="-0.25927961871359245"/>
                  <c:y val="-0.16159580052493439"/>
                </c:manualLayout>
              </c:layout>
              <c:tx>
                <c:rich>
                  <a:bodyPr/>
                  <a:lstStyle/>
                  <a:p>
                    <a:fld id="{765C105E-9AFE-4031-8B7C-03F38BFF9075}"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091D-4480-AB6E-912BF571DBB3}"/>
                </c:ext>
              </c:extLst>
            </c:dLbl>
            <c:dLbl>
              <c:idx val="8"/>
              <c:layout>
                <c:manualLayout>
                  <c:x val="-0.11981803818072906"/>
                  <c:y val="-7.3230630817432155E-2"/>
                </c:manualLayout>
              </c:layout>
              <c:tx>
                <c:rich>
                  <a:bodyPr/>
                  <a:lstStyle/>
                  <a:p>
                    <a:fld id="{02CC999A-2B39-41B9-9031-367108595776}"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1-091D-4480-AB6E-912BF571DBB3}"/>
                </c:ext>
              </c:extLst>
            </c:dLbl>
            <c:dLbl>
              <c:idx val="9"/>
              <c:layout>
                <c:manualLayout>
                  <c:x val="-0.2007578560876612"/>
                  <c:y val="-4.5182832259604053E-2"/>
                </c:manualLayout>
              </c:layout>
              <c:tx>
                <c:rich>
                  <a:bodyPr/>
                  <a:lstStyle/>
                  <a:p>
                    <a:fld id="{3CE5D925-9968-48D7-86BB-DBB0B1E4FB38}" type="CATEGORYNAME">
                      <a:rPr lang="el-GR"/>
                      <a:pPr/>
                      <a:t>[ΟΝΟΜΑ ΚΑΤΗΓΟΡΙΑΣ]</a:t>
                    </a:fld>
                    <a:r>
                      <a:rPr lang="el-GR" baseline="0"/>
                      <a:t> </a:t>
                    </a: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3-091D-4480-AB6E-912BF571DBB3}"/>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Times New Roman" panose="02020603050405020304" pitchFamily="18"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multiLvlStrRef>
              <c:f>'1'!$A$4:$B$13</c:f>
              <c:multiLvlStrCache>
                <c:ptCount val="10"/>
                <c:lvl>
                  <c:pt idx="0">
                    <c:v>48.751.500 €</c:v>
                  </c:pt>
                  <c:pt idx="1">
                    <c:v>17.920.600 €</c:v>
                  </c:pt>
                  <c:pt idx="2">
                    <c:v>22.626.485 €</c:v>
                  </c:pt>
                  <c:pt idx="3">
                    <c:v>20.406.800 €</c:v>
                  </c:pt>
                  <c:pt idx="4">
                    <c:v>19.896.509 €</c:v>
                  </c:pt>
                  <c:pt idx="5">
                    <c:v>8.289.000 €</c:v>
                  </c:pt>
                  <c:pt idx="6">
                    <c:v>12.452.800 €</c:v>
                  </c:pt>
                  <c:pt idx="7">
                    <c:v>44.373.944 €</c:v>
                  </c:pt>
                  <c:pt idx="8">
                    <c:v>36.778.363 €</c:v>
                  </c:pt>
                  <c:pt idx="9">
                    <c:v>3.932.172.000 €</c:v>
                  </c:pt>
                </c:lvl>
                <c:lvl>
                  <c:pt idx="0">
                    <c:v>ΕΠΙΤΕΛΙΚΟΣ ΣΥΝΤΟΝΙΣΜΟΣ ΚΑΙ ΕΠΕΝΔΥΣΕΙΣ ΥΠΟΥΡΓΕΙΟΥ ΕΣΩΤΕΡΙΚΩΝ</c:v>
                  </c:pt>
                  <c:pt idx="1">
                    <c:v>ΣΧΕΔΙΑΣΜΟΣ ΚΑΙ ΥΛΟΠΟΙΗΣΗ ΠΟΛΙΤΙΚΩΝ ΙΘΑΓΕΝΕΙΑΣ</c:v>
                  </c:pt>
                  <c:pt idx="2">
                    <c:v>ΑΝΘΡΩΠΙΝΟ ΔΥΝΑΜΙΚΟ ΔΗΜΟΣΙΟΥ ΤΟΜΕΑ ΚΑΙ ΕΚΣΥΓΧΡΟΝΙΣΜΟΣ ΔΗΜΟΣΙΩΝ ΟΡΓΑΝΩΣΕΩΝ</c:v>
                  </c:pt>
                  <c:pt idx="3">
                    <c:v>ΕΠΙΛΟΓΗ ΠΡΟΣΩΠΙΚΟΥ ΣΤΟ ΔΗΜΟΣΙΟ ΤΟΜΕΑ</c:v>
                  </c:pt>
                  <c:pt idx="4">
                    <c:v>ΑΝΑΠΤΥΞΗ ΚΑΙ ΕΝΔΥΝΑΜΩΣΗ ΑΝΘΡΩΠΙΝΟΥ ΔΥΝΑΜΙΚΟΥ ΔΗΜΟΣΙΟΥ ΤΟΜΕΑ</c:v>
                  </c:pt>
                  <c:pt idx="5">
                    <c:v>ΔΙΑΦΑΝΕΙΑ ΚΑΙ ΣΧΕΣΕΙΣ ΜΕ ΤΟΝ ΠΟΛΙΤΗ</c:v>
                  </c:pt>
                  <c:pt idx="6">
                    <c:v>ΕΛΕΓΧΟΣ, ΑΚΕΡΑΙΟΤΗΤΑ ΚΑΙ ΔΗΜΟΣΙΑ ΛΟΓΟΔΟΣΙΑ</c:v>
                  </c:pt>
                  <c:pt idx="7">
                    <c:v>ΕΚΛΟΓΕΣ-ΠΟΛΙΤΙΚΑ ΚΟΜΜΑΤΑ</c:v>
                  </c:pt>
                  <c:pt idx="8">
                    <c:v>ΨΗΦΙΟΠΟΙΗΣΗ ΚΑΙ ΑΠΛΟΥΣΤΕΥΣΗ ΔΙΑΔΙΚΑΣΙΩΝ-ΑΝΑΒΑΘΜΙΣΗ ΕΞΥΠΗΡΕΤΗΣΗΣ ΠΟΛΙΤΩΝ ΑΠΟ ΤΑ ΚΕΠ</c:v>
                  </c:pt>
                  <c:pt idx="9">
                    <c:v>ΕΝΙΣΧΥΣΗ ΤΟΠΙΚΗΣ ΑΝΑΠΤΥΞΗΣ</c:v>
                  </c:pt>
                </c:lvl>
              </c:multiLvlStrCache>
            </c:multiLvlStrRef>
          </c:cat>
          <c:val>
            <c:numRef>
              <c:f>'1'!$B$4:$B$13</c:f>
              <c:numCache>
                <c:formatCode>#,##0\ "€"</c:formatCode>
                <c:ptCount val="10"/>
                <c:pt idx="0">
                  <c:v>48751499.799999997</c:v>
                </c:pt>
                <c:pt idx="1">
                  <c:v>17920600</c:v>
                </c:pt>
                <c:pt idx="2">
                  <c:v>22626485.100000001</c:v>
                </c:pt>
                <c:pt idx="3">
                  <c:v>20406800</c:v>
                </c:pt>
                <c:pt idx="4">
                  <c:v>19896508.5</c:v>
                </c:pt>
                <c:pt idx="5">
                  <c:v>8289000</c:v>
                </c:pt>
                <c:pt idx="6">
                  <c:v>12452800</c:v>
                </c:pt>
                <c:pt idx="7">
                  <c:v>44373944</c:v>
                </c:pt>
                <c:pt idx="8">
                  <c:v>36778362.600000001</c:v>
                </c:pt>
                <c:pt idx="9">
                  <c:v>3932172000</c:v>
                </c:pt>
              </c:numCache>
            </c:numRef>
          </c:val>
          <c:extLst>
            <c:ext xmlns:c16="http://schemas.microsoft.com/office/drawing/2014/chart" uri="{C3380CC4-5D6E-409C-BE32-E72D297353CC}">
              <c16:uniqueId val="{00000014-091D-4480-AB6E-912BF571DBB3}"/>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'1'!$B$18</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4"/>
              <c:layout>
                <c:manualLayout>
                  <c:x val="3.7486218302094816E-2"/>
                  <c:y val="-4.61254612546125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4A-4A0B-AF32-0D1E85C3EC3F}"/>
                </c:ext>
              </c:extLst>
            </c:dLbl>
            <c:dLbl>
              <c:idx val="9"/>
              <c:layout>
                <c:manualLayout>
                  <c:x val="3.4798534798534862E-2"/>
                  <c:y val="-3.83141762452107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4A-4A0B-AF32-0D1E85C3EC3F}"/>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'1'!$A$19:$A$28</c:f>
              <c:strCache>
                <c:ptCount val="10"/>
                <c:pt idx="0">
                  <c:v>ΕΠΙΤΕΛΙΚΟΣ ΣΥΝΤΟΝΙΣΜΟΣ ΚΑΙ ΕΠΕΝΔΥΣΕΙΣ ΥΠΟΥΡΓΕΙΟΥ ΕΣΩΤΕΡΙΚΩΝ</c:v>
                </c:pt>
                <c:pt idx="1">
                  <c:v>ΣΧΕΔΙΑΣΜΟΣ ΚΑΙ ΥΛΟΠΟΙΗΣΗ ΠΟΛΙΤΙΚΩΝ ΙΘΑΓΕΝΕΙΑΣ</c:v>
                </c:pt>
                <c:pt idx="2">
                  <c:v>ΑΝΘΡΩΠΙΝΟ ΔΥΝΑΜΙΚΟ ΔΗΜΟΣΙΟΥ ΤΟΜΕΑ ΚΑΙ ΕΚΣΥΓΧΡΟΝΙΣΜΟΣ ΔΗΜΟΣΙΩΝ ΟΡΓΑΝΩΣΕΩΝ</c:v>
                </c:pt>
                <c:pt idx="3">
                  <c:v>ΕΠΙΛΟΓΗ ΠΡΟΣΩΠΙΚΟΥ ΣΤΟ ΔΗΜΟΣΙΟ ΤΟΜΕΑ</c:v>
                </c:pt>
                <c:pt idx="4">
                  <c:v>ΑΝΑΠΤΥΞΗ ΚΑΙ ΕΝΔΥΝΑΜΩΣΗ ΑΝΘΡΩΠΙΝΟΥ ΔΥΝΑΜΙΚΟΥ ΔΗΜΟΣΙΟΥ ΤΟΜΕΑ</c:v>
                </c:pt>
                <c:pt idx="5">
                  <c:v>ΔΙΑΦΑΝΕΙΑ ΚΑΙ ΣΧΕΣΕΙΣ ΜΕ ΤΟΝ ΠΟΛΙΤΗ</c:v>
                </c:pt>
                <c:pt idx="6">
                  <c:v>ΕΛΕΓΧΟΣ, ΑΚΕΡΑΙΟΤΗΤΑ ΚΑΙ ΔΗΜΟΣΙΑ ΛΟΓΟΔΟΣΙΑ</c:v>
                </c:pt>
                <c:pt idx="7">
                  <c:v>ΕΚΛΟΓΕΣ-ΠΟΛΙΤΙΚΑ ΚΟΜΜΑΤΑ</c:v>
                </c:pt>
                <c:pt idx="8">
                  <c:v>ΨΗΦΙΟΠΟΙΗΣΗ ΚΑΙ ΑΠΛΟΥΣΤΕΥΣΗ ΔΙΑΔΙΚΑΣΙΩΝ-ΑΝΑΒΑΘΜΙΣΗ ΕΞΥΠΗΡΕΤΗΣΗΣ ΠΟΛΙΤΩΝ ΑΠΟ ΤΑ ΚΕΠ</c:v>
                </c:pt>
                <c:pt idx="9">
                  <c:v>ΕΝΙΣΧΥΣΗ ΤΟΠΙΚΗΣ ΑΝΑΠΤΥΞΗΣ</c:v>
                </c:pt>
              </c:strCache>
            </c:strRef>
          </c:cat>
          <c:val>
            <c:numRef>
              <c:f>'1'!$B$19:$B$28</c:f>
              <c:numCache>
                <c:formatCode>#,##0\ "€"</c:formatCode>
                <c:ptCount val="10"/>
                <c:pt idx="0">
                  <c:v>47121499.799999997</c:v>
                </c:pt>
                <c:pt idx="1">
                  <c:v>6473984.0099999998</c:v>
                </c:pt>
                <c:pt idx="2">
                  <c:v>23884431.84</c:v>
                </c:pt>
                <c:pt idx="3">
                  <c:v>18047565.719999999</c:v>
                </c:pt>
                <c:pt idx="4">
                  <c:v>2575384.88</c:v>
                </c:pt>
                <c:pt idx="5">
                  <c:v>8289000</c:v>
                </c:pt>
                <c:pt idx="6">
                  <c:v>11255840.310000001</c:v>
                </c:pt>
                <c:pt idx="7">
                  <c:v>44373944</c:v>
                </c:pt>
                <c:pt idx="8">
                  <c:v>40395132.460000001</c:v>
                </c:pt>
                <c:pt idx="9">
                  <c:v>19797094</c:v>
                </c:pt>
              </c:numCache>
            </c:numRef>
          </c:val>
          <c:extLst>
            <c:ext xmlns:c16="http://schemas.microsoft.com/office/drawing/2014/chart" uri="{C3380CC4-5D6E-409C-BE32-E72D297353CC}">
              <c16:uniqueId val="{00000002-4B4A-4A0B-AF32-0D1E85C3EC3F}"/>
            </c:ext>
          </c:extLst>
        </c:ser>
        <c:ser>
          <c:idx val="1"/>
          <c:order val="1"/>
          <c:tx>
            <c:strRef>
              <c:f>'1'!$C$18</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4B4A-4A0B-AF32-0D1E85C3EC3F}"/>
                </c:ext>
              </c:extLst>
            </c:dLbl>
            <c:dLbl>
              <c:idx val="2"/>
              <c:delete val="1"/>
              <c:extLst>
                <c:ext xmlns:c15="http://schemas.microsoft.com/office/drawing/2012/chart" uri="{CE6537A1-D6FC-4f65-9D91-7224C49458BB}"/>
                <c:ext xmlns:c16="http://schemas.microsoft.com/office/drawing/2014/chart" uri="{C3380CC4-5D6E-409C-BE32-E72D297353CC}">
                  <c16:uniqueId val="{00000004-4B4A-4A0B-AF32-0D1E85C3EC3F}"/>
                </c:ext>
              </c:extLst>
            </c:dLbl>
            <c:dLbl>
              <c:idx val="3"/>
              <c:delete val="1"/>
              <c:extLst>
                <c:ext xmlns:c15="http://schemas.microsoft.com/office/drawing/2012/chart" uri="{CE6537A1-D6FC-4f65-9D91-7224C49458BB}"/>
                <c:ext xmlns:c16="http://schemas.microsoft.com/office/drawing/2014/chart" uri="{C3380CC4-5D6E-409C-BE32-E72D297353CC}">
                  <c16:uniqueId val="{00000005-4B4A-4A0B-AF32-0D1E85C3EC3F}"/>
                </c:ext>
              </c:extLst>
            </c:dLbl>
            <c:dLbl>
              <c:idx val="5"/>
              <c:delete val="1"/>
              <c:extLst>
                <c:ext xmlns:c15="http://schemas.microsoft.com/office/drawing/2012/chart" uri="{CE6537A1-D6FC-4f65-9D91-7224C49458BB}"/>
                <c:ext xmlns:c16="http://schemas.microsoft.com/office/drawing/2014/chart" uri="{C3380CC4-5D6E-409C-BE32-E72D297353CC}">
                  <c16:uniqueId val="{00000006-4B4A-4A0B-AF32-0D1E85C3EC3F}"/>
                </c:ext>
              </c:extLst>
            </c:dLbl>
            <c:dLbl>
              <c:idx val="6"/>
              <c:delete val="1"/>
              <c:extLst>
                <c:ext xmlns:c15="http://schemas.microsoft.com/office/drawing/2012/chart" uri="{CE6537A1-D6FC-4f65-9D91-7224C49458BB}"/>
                <c:ext xmlns:c16="http://schemas.microsoft.com/office/drawing/2014/chart" uri="{C3380CC4-5D6E-409C-BE32-E72D297353CC}">
                  <c16:uniqueId val="{00000007-4B4A-4A0B-AF32-0D1E85C3EC3F}"/>
                </c:ext>
              </c:extLst>
            </c:dLbl>
            <c:dLbl>
              <c:idx val="7"/>
              <c:delete val="1"/>
              <c:extLst>
                <c:ext xmlns:c15="http://schemas.microsoft.com/office/drawing/2012/chart" uri="{CE6537A1-D6FC-4f65-9D91-7224C49458BB}"/>
                <c:ext xmlns:c16="http://schemas.microsoft.com/office/drawing/2014/chart" uri="{C3380CC4-5D6E-409C-BE32-E72D297353CC}">
                  <c16:uniqueId val="{00000008-4B4A-4A0B-AF32-0D1E85C3EC3F}"/>
                </c:ext>
              </c:extLst>
            </c:dLbl>
            <c:dLbl>
              <c:idx val="8"/>
              <c:delete val="1"/>
              <c:extLst>
                <c:ext xmlns:c15="http://schemas.microsoft.com/office/drawing/2012/chart" uri="{CE6537A1-D6FC-4f65-9D91-7224C49458BB}"/>
                <c:ext xmlns:c16="http://schemas.microsoft.com/office/drawing/2014/chart" uri="{C3380CC4-5D6E-409C-BE32-E72D297353CC}">
                  <c16:uniqueId val="{00000009-4B4A-4A0B-AF32-0D1E85C3EC3F}"/>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'1'!$A$19:$A$28</c:f>
              <c:strCache>
                <c:ptCount val="10"/>
                <c:pt idx="0">
                  <c:v>ΕΠΙΤΕΛΙΚΟΣ ΣΥΝΤΟΝΙΣΜΟΣ ΚΑΙ ΕΠΕΝΔΥΣΕΙΣ ΥΠΟΥΡΓΕΙΟΥ ΕΣΩΤΕΡΙΚΩΝ</c:v>
                </c:pt>
                <c:pt idx="1">
                  <c:v>ΣΧΕΔΙΑΣΜΟΣ ΚΑΙ ΥΛΟΠΟΙΗΣΗ ΠΟΛΙΤΙΚΩΝ ΙΘΑΓΕΝΕΙΑΣ</c:v>
                </c:pt>
                <c:pt idx="2">
                  <c:v>ΑΝΘΡΩΠΙΝΟ ΔΥΝΑΜΙΚΟ ΔΗΜΟΣΙΟΥ ΤΟΜΕΑ ΚΑΙ ΕΚΣΥΓΧΡΟΝΙΣΜΟΣ ΔΗΜΟΣΙΩΝ ΟΡΓΑΝΩΣΕΩΝ</c:v>
                </c:pt>
                <c:pt idx="3">
                  <c:v>ΕΠΙΛΟΓΗ ΠΡΟΣΩΠΙΚΟΥ ΣΤΟ ΔΗΜΟΣΙΟ ΤΟΜΕΑ</c:v>
                </c:pt>
                <c:pt idx="4">
                  <c:v>ΑΝΑΠΤΥΞΗ ΚΑΙ ΕΝΔΥΝΑΜΩΣΗ ΑΝΘΡΩΠΙΝΟΥ ΔΥΝΑΜΙΚΟΥ ΔΗΜΟΣΙΟΥ ΤΟΜΕΑ</c:v>
                </c:pt>
                <c:pt idx="5">
                  <c:v>ΔΙΑΦΑΝΕΙΑ ΚΑΙ ΣΧΕΣΕΙΣ ΜΕ ΤΟΝ ΠΟΛΙΤΗ</c:v>
                </c:pt>
                <c:pt idx="6">
                  <c:v>ΕΛΕΓΧΟΣ, ΑΚΕΡΑΙΟΤΗΤΑ ΚΑΙ ΔΗΜΟΣΙΑ ΛΟΓΟΔΟΣΙΑ</c:v>
                </c:pt>
                <c:pt idx="7">
                  <c:v>ΕΚΛΟΓΕΣ-ΠΟΛΙΤΙΚΑ ΚΟΜΜΑΤΑ</c:v>
                </c:pt>
                <c:pt idx="8">
                  <c:v>ΨΗΦΙΟΠΟΙΗΣΗ ΚΑΙ ΑΠΛΟΥΣΤΕΥΣΗ ΔΙΑΔΙΚΑΣΙΩΝ-ΑΝΑΒΑΘΜΙΣΗ ΕΞΥΠΗΡΕΤΗΣΗΣ ΠΟΛΙΤΩΝ ΑΠΟ ΤΑ ΚΕΠ</c:v>
                </c:pt>
                <c:pt idx="9">
                  <c:v>ΕΝΙΣΧΥΣΗ ΤΟΠΙΚΗΣ ΑΝΑΠΤΥΞΗΣ</c:v>
                </c:pt>
              </c:strCache>
            </c:strRef>
          </c:cat>
          <c:val>
            <c:numRef>
              <c:f>'1'!$C$19:$C$28</c:f>
              <c:numCache>
                <c:formatCode>#,##0\ "€"</c:formatCode>
                <c:ptCount val="10"/>
                <c:pt idx="0">
                  <c:v>12724205</c:v>
                </c:pt>
                <c:pt idx="1">
                  <c:v>0</c:v>
                </c:pt>
                <c:pt idx="2">
                  <c:v>0</c:v>
                </c:pt>
                <c:pt idx="3">
                  <c:v>0</c:v>
                </c:pt>
                <c:pt idx="4">
                  <c:v>24560210</c:v>
                </c:pt>
                <c:pt idx="5">
                  <c:v>0</c:v>
                </c:pt>
                <c:pt idx="6">
                  <c:v>0</c:v>
                </c:pt>
                <c:pt idx="7">
                  <c:v>0</c:v>
                </c:pt>
                <c:pt idx="8">
                  <c:v>0</c:v>
                </c:pt>
                <c:pt idx="9">
                  <c:v>9731000000</c:v>
                </c:pt>
              </c:numCache>
            </c:numRef>
          </c:val>
          <c:extLst>
            <c:ext xmlns:c16="http://schemas.microsoft.com/office/drawing/2014/chart" uri="{C3380CC4-5D6E-409C-BE32-E72D297353CC}">
              <c16:uniqueId val="{0000000A-4B4A-4A0B-AF32-0D1E85C3EC3F}"/>
            </c:ext>
          </c:extLst>
        </c:ser>
        <c:dLbls>
          <c:showLegendKey val="0"/>
          <c:showVal val="0"/>
          <c:showCatName val="0"/>
          <c:showSerName val="0"/>
          <c:showPercent val="0"/>
          <c:showBubbleSize val="0"/>
        </c:dLbls>
        <c:gapWidth val="52"/>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w="3175">
          <a:noFill/>
        </a:ln>
        <a:effectLst/>
      </c:spPr>
    </c:plotArea>
    <c:legend>
      <c:legendPos val="b"/>
      <c:layout>
        <c:manualLayout>
          <c:xMode val="edge"/>
          <c:yMode val="edge"/>
          <c:x val="0.10435319344729098"/>
          <c:y val="0.86410155904743235"/>
          <c:w val="0.79129361310541801"/>
          <c:h val="7.2452857741245005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350318487297161E-2"/>
          <c:y val="0.25858364478633722"/>
          <c:w val="0.86332042096024186"/>
          <c:h val="0.74049905052191067"/>
        </c:manualLayout>
      </c:layout>
      <c:pie3DChart>
        <c:varyColors val="1"/>
        <c:ser>
          <c:idx val="0"/>
          <c:order val="0"/>
          <c:tx>
            <c:strRef>
              <c:f>'1'!$B$32:$B$33</c:f>
              <c:strCache>
                <c:ptCount val="2"/>
                <c:pt idx="0">
                  <c:v>Ανθρώπινοι Πόροι ανά Πρόγραμμα </c:v>
                </c:pt>
                <c:pt idx="1">
                  <c:v>ΠΡΟΣΩΠΙΚΟ 2026</c:v>
                </c:pt>
              </c:strCache>
            </c:strRef>
          </c:tx>
          <c:dPt>
            <c:idx val="0"/>
            <c:bubble3D val="0"/>
            <c:spPr>
              <a:gradFill rotWithShape="1">
                <a:gsLst>
                  <a:gs pos="0">
                    <a:schemeClr val="accent1">
                      <a:shade val="42000"/>
                      <a:satMod val="103000"/>
                      <a:lumMod val="102000"/>
                      <a:tint val="94000"/>
                    </a:schemeClr>
                  </a:gs>
                  <a:gs pos="50000">
                    <a:schemeClr val="accent1">
                      <a:shade val="42000"/>
                      <a:satMod val="110000"/>
                      <a:lumMod val="100000"/>
                      <a:shade val="100000"/>
                    </a:schemeClr>
                  </a:gs>
                  <a:gs pos="100000">
                    <a:schemeClr val="accent1">
                      <a:shade val="42000"/>
                      <a:lumMod val="99000"/>
                      <a:satMod val="120000"/>
                      <a:shade val="78000"/>
                    </a:schemeClr>
                  </a:gs>
                </a:gsLst>
                <a:lin ang="5400000" scaled="0"/>
              </a:gradFill>
              <a:ln>
                <a:noFill/>
              </a:ln>
              <a:effectLst/>
              <a:sp3d/>
            </c:spPr>
            <c:extLst>
              <c:ext xmlns:c16="http://schemas.microsoft.com/office/drawing/2014/chart" uri="{C3380CC4-5D6E-409C-BE32-E72D297353CC}">
                <c16:uniqueId val="{00000001-1532-4FDD-9296-D1D841136EA4}"/>
              </c:ext>
            </c:extLst>
          </c:dPt>
          <c:dPt>
            <c:idx val="1"/>
            <c:bubble3D val="0"/>
            <c:spPr>
              <a:gradFill rotWithShape="1">
                <a:gsLst>
                  <a:gs pos="0">
                    <a:schemeClr val="accent1">
                      <a:shade val="55000"/>
                      <a:satMod val="103000"/>
                      <a:lumMod val="102000"/>
                      <a:tint val="94000"/>
                    </a:schemeClr>
                  </a:gs>
                  <a:gs pos="50000">
                    <a:schemeClr val="accent1">
                      <a:shade val="55000"/>
                      <a:satMod val="110000"/>
                      <a:lumMod val="100000"/>
                      <a:shade val="100000"/>
                    </a:schemeClr>
                  </a:gs>
                  <a:gs pos="100000">
                    <a:schemeClr val="accent1">
                      <a:shade val="55000"/>
                      <a:lumMod val="99000"/>
                      <a:satMod val="120000"/>
                      <a:shade val="78000"/>
                    </a:schemeClr>
                  </a:gs>
                </a:gsLst>
                <a:lin ang="5400000" scaled="0"/>
              </a:gradFill>
              <a:ln>
                <a:noFill/>
              </a:ln>
              <a:effectLst/>
              <a:sp3d/>
            </c:spPr>
            <c:extLst>
              <c:ext xmlns:c16="http://schemas.microsoft.com/office/drawing/2014/chart" uri="{C3380CC4-5D6E-409C-BE32-E72D297353CC}">
                <c16:uniqueId val="{00000003-1532-4FDD-9296-D1D841136EA4}"/>
              </c:ext>
            </c:extLst>
          </c:dPt>
          <c:dPt>
            <c:idx val="2"/>
            <c:bubble3D val="0"/>
            <c:spPr>
              <a:gradFill rotWithShape="1">
                <a:gsLst>
                  <a:gs pos="0">
                    <a:schemeClr val="accent1">
                      <a:shade val="68000"/>
                      <a:satMod val="103000"/>
                      <a:lumMod val="102000"/>
                      <a:tint val="94000"/>
                    </a:schemeClr>
                  </a:gs>
                  <a:gs pos="50000">
                    <a:schemeClr val="accent1">
                      <a:shade val="68000"/>
                      <a:satMod val="110000"/>
                      <a:lumMod val="100000"/>
                      <a:shade val="100000"/>
                    </a:schemeClr>
                  </a:gs>
                  <a:gs pos="100000">
                    <a:schemeClr val="accent1">
                      <a:shade val="68000"/>
                      <a:lumMod val="99000"/>
                      <a:satMod val="120000"/>
                      <a:shade val="78000"/>
                    </a:schemeClr>
                  </a:gs>
                </a:gsLst>
                <a:lin ang="5400000" scaled="0"/>
              </a:gradFill>
              <a:ln>
                <a:noFill/>
              </a:ln>
              <a:effectLst/>
              <a:sp3d/>
            </c:spPr>
            <c:extLst>
              <c:ext xmlns:c16="http://schemas.microsoft.com/office/drawing/2014/chart" uri="{C3380CC4-5D6E-409C-BE32-E72D297353CC}">
                <c16:uniqueId val="{00000005-1532-4FDD-9296-D1D841136EA4}"/>
              </c:ext>
            </c:extLst>
          </c:dPt>
          <c:dPt>
            <c:idx val="3"/>
            <c:bubble3D val="0"/>
            <c:spPr>
              <a:gradFill rotWithShape="1">
                <a:gsLst>
                  <a:gs pos="0">
                    <a:schemeClr val="accent1">
                      <a:shade val="80000"/>
                      <a:satMod val="103000"/>
                      <a:lumMod val="102000"/>
                      <a:tint val="94000"/>
                    </a:schemeClr>
                  </a:gs>
                  <a:gs pos="50000">
                    <a:schemeClr val="accent1">
                      <a:shade val="80000"/>
                      <a:satMod val="110000"/>
                      <a:lumMod val="100000"/>
                      <a:shade val="100000"/>
                    </a:schemeClr>
                  </a:gs>
                  <a:gs pos="100000">
                    <a:schemeClr val="accent1">
                      <a:shade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07-1532-4FDD-9296-D1D841136EA4}"/>
              </c:ext>
            </c:extLst>
          </c:dPt>
          <c:dPt>
            <c:idx val="4"/>
            <c:bubble3D val="0"/>
            <c:spPr>
              <a:gradFill rotWithShape="1">
                <a:gsLst>
                  <a:gs pos="0">
                    <a:schemeClr val="accent1">
                      <a:shade val="93000"/>
                      <a:satMod val="103000"/>
                      <a:lumMod val="102000"/>
                      <a:tint val="94000"/>
                    </a:schemeClr>
                  </a:gs>
                  <a:gs pos="50000">
                    <a:schemeClr val="accent1">
                      <a:shade val="93000"/>
                      <a:satMod val="110000"/>
                      <a:lumMod val="100000"/>
                      <a:shade val="100000"/>
                    </a:schemeClr>
                  </a:gs>
                  <a:gs pos="100000">
                    <a:schemeClr val="accent1">
                      <a:shade val="93000"/>
                      <a:lumMod val="99000"/>
                      <a:satMod val="120000"/>
                      <a:shade val="78000"/>
                    </a:schemeClr>
                  </a:gs>
                </a:gsLst>
                <a:lin ang="5400000" scaled="0"/>
              </a:gradFill>
              <a:ln>
                <a:noFill/>
              </a:ln>
              <a:effectLst/>
              <a:sp3d/>
            </c:spPr>
            <c:extLst>
              <c:ext xmlns:c16="http://schemas.microsoft.com/office/drawing/2014/chart" uri="{C3380CC4-5D6E-409C-BE32-E72D297353CC}">
                <c16:uniqueId val="{00000009-1532-4FDD-9296-D1D841136EA4}"/>
              </c:ext>
            </c:extLst>
          </c:dPt>
          <c:dPt>
            <c:idx val="5"/>
            <c:bubble3D val="0"/>
            <c:spPr>
              <a:gradFill rotWithShape="1">
                <a:gsLst>
                  <a:gs pos="0">
                    <a:schemeClr val="accent1">
                      <a:tint val="94000"/>
                      <a:satMod val="103000"/>
                      <a:lumMod val="102000"/>
                      <a:tint val="94000"/>
                    </a:schemeClr>
                  </a:gs>
                  <a:gs pos="50000">
                    <a:schemeClr val="accent1">
                      <a:tint val="94000"/>
                      <a:satMod val="110000"/>
                      <a:lumMod val="100000"/>
                      <a:shade val="100000"/>
                    </a:schemeClr>
                  </a:gs>
                  <a:gs pos="100000">
                    <a:schemeClr val="accent1">
                      <a:tint val="94000"/>
                      <a:lumMod val="99000"/>
                      <a:satMod val="120000"/>
                      <a:shade val="78000"/>
                    </a:schemeClr>
                  </a:gs>
                </a:gsLst>
                <a:lin ang="5400000" scaled="0"/>
              </a:gradFill>
              <a:ln>
                <a:noFill/>
              </a:ln>
              <a:effectLst/>
              <a:sp3d/>
            </c:spPr>
            <c:extLst>
              <c:ext xmlns:c16="http://schemas.microsoft.com/office/drawing/2014/chart" uri="{C3380CC4-5D6E-409C-BE32-E72D297353CC}">
                <c16:uniqueId val="{0000000B-1532-4FDD-9296-D1D841136EA4}"/>
              </c:ext>
            </c:extLst>
          </c:dPt>
          <c:dPt>
            <c:idx val="6"/>
            <c:bubble3D val="0"/>
            <c:spPr>
              <a:gradFill rotWithShape="1">
                <a:gsLst>
                  <a:gs pos="0">
                    <a:schemeClr val="accent1">
                      <a:tint val="81000"/>
                      <a:satMod val="103000"/>
                      <a:lumMod val="102000"/>
                      <a:tint val="94000"/>
                    </a:schemeClr>
                  </a:gs>
                  <a:gs pos="50000">
                    <a:schemeClr val="accent1">
                      <a:tint val="81000"/>
                      <a:satMod val="110000"/>
                      <a:lumMod val="100000"/>
                      <a:shade val="100000"/>
                    </a:schemeClr>
                  </a:gs>
                  <a:gs pos="100000">
                    <a:schemeClr val="accent1">
                      <a:tint val="81000"/>
                      <a:lumMod val="99000"/>
                      <a:satMod val="120000"/>
                      <a:shade val="78000"/>
                    </a:schemeClr>
                  </a:gs>
                </a:gsLst>
                <a:lin ang="5400000" scaled="0"/>
              </a:gradFill>
              <a:ln>
                <a:noFill/>
              </a:ln>
              <a:effectLst/>
              <a:sp3d/>
            </c:spPr>
            <c:extLst>
              <c:ext xmlns:c16="http://schemas.microsoft.com/office/drawing/2014/chart" uri="{C3380CC4-5D6E-409C-BE32-E72D297353CC}">
                <c16:uniqueId val="{0000000D-1532-4FDD-9296-D1D841136EA4}"/>
              </c:ext>
            </c:extLst>
          </c:dPt>
          <c:dPt>
            <c:idx val="7"/>
            <c:bubble3D val="0"/>
            <c:spPr>
              <a:gradFill rotWithShape="1">
                <a:gsLst>
                  <a:gs pos="0">
                    <a:schemeClr val="accent1">
                      <a:tint val="69000"/>
                      <a:satMod val="103000"/>
                      <a:lumMod val="102000"/>
                      <a:tint val="94000"/>
                    </a:schemeClr>
                  </a:gs>
                  <a:gs pos="50000">
                    <a:schemeClr val="accent1">
                      <a:tint val="69000"/>
                      <a:satMod val="110000"/>
                      <a:lumMod val="100000"/>
                      <a:shade val="100000"/>
                    </a:schemeClr>
                  </a:gs>
                  <a:gs pos="100000">
                    <a:schemeClr val="accent1">
                      <a:tint val="69000"/>
                      <a:lumMod val="99000"/>
                      <a:satMod val="120000"/>
                      <a:shade val="78000"/>
                    </a:schemeClr>
                  </a:gs>
                </a:gsLst>
                <a:lin ang="5400000" scaled="0"/>
              </a:gradFill>
              <a:ln>
                <a:noFill/>
              </a:ln>
              <a:effectLst/>
              <a:sp3d/>
            </c:spPr>
            <c:extLst>
              <c:ext xmlns:c16="http://schemas.microsoft.com/office/drawing/2014/chart" uri="{C3380CC4-5D6E-409C-BE32-E72D297353CC}">
                <c16:uniqueId val="{0000000F-1532-4FDD-9296-D1D841136EA4}"/>
              </c:ext>
            </c:extLst>
          </c:dPt>
          <c:dPt>
            <c:idx val="8"/>
            <c:bubble3D val="0"/>
            <c:spPr>
              <a:gradFill rotWithShape="1">
                <a:gsLst>
                  <a:gs pos="0">
                    <a:schemeClr val="accent1">
                      <a:tint val="56000"/>
                      <a:satMod val="103000"/>
                      <a:lumMod val="102000"/>
                      <a:tint val="94000"/>
                    </a:schemeClr>
                  </a:gs>
                  <a:gs pos="50000">
                    <a:schemeClr val="accent1">
                      <a:tint val="56000"/>
                      <a:satMod val="110000"/>
                      <a:lumMod val="100000"/>
                      <a:shade val="100000"/>
                    </a:schemeClr>
                  </a:gs>
                  <a:gs pos="100000">
                    <a:schemeClr val="accent1">
                      <a:tint val="56000"/>
                      <a:lumMod val="99000"/>
                      <a:satMod val="120000"/>
                      <a:shade val="78000"/>
                    </a:schemeClr>
                  </a:gs>
                </a:gsLst>
                <a:lin ang="5400000" scaled="0"/>
              </a:gradFill>
              <a:ln>
                <a:noFill/>
              </a:ln>
              <a:effectLst/>
              <a:sp3d/>
            </c:spPr>
            <c:extLst>
              <c:ext xmlns:c16="http://schemas.microsoft.com/office/drawing/2014/chart" uri="{C3380CC4-5D6E-409C-BE32-E72D297353CC}">
                <c16:uniqueId val="{00000011-1532-4FDD-9296-D1D841136EA4}"/>
              </c:ext>
            </c:extLst>
          </c:dPt>
          <c:dPt>
            <c:idx val="9"/>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13-1532-4FDD-9296-D1D841136EA4}"/>
              </c:ext>
            </c:extLst>
          </c:dPt>
          <c:dLbls>
            <c:dLbl>
              <c:idx val="0"/>
              <c:layout>
                <c:manualLayout>
                  <c:x val="0.32330489235469351"/>
                  <c:y val="4.316073394051547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1532-4FDD-9296-D1D841136EA4}"/>
                </c:ext>
              </c:extLst>
            </c:dLbl>
            <c:dLbl>
              <c:idx val="1"/>
              <c:layout>
                <c:manualLayout>
                  <c:x val="-1.3407190612035796E-2"/>
                  <c:y val="-0.1804884514435695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532-4FDD-9296-D1D841136EA4}"/>
                </c:ext>
              </c:extLst>
            </c:dLbl>
            <c:dLbl>
              <c:idx val="2"/>
              <c:layout>
                <c:manualLayout>
                  <c:x val="-0.22698295942934024"/>
                  <c:y val="-0.2215052493438320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532-4FDD-9296-D1D841136EA4}"/>
                </c:ext>
              </c:extLst>
            </c:dLbl>
            <c:dLbl>
              <c:idx val="3"/>
              <c:layout>
                <c:manualLayout>
                  <c:x val="-0.31184545661695823"/>
                  <c:y val="0.1861044788756244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532-4FDD-9296-D1D841136EA4}"/>
                </c:ext>
              </c:extLst>
            </c:dLbl>
            <c:dLbl>
              <c:idx val="4"/>
              <c:layout>
                <c:manualLayout>
                  <c:x val="0.41070129028367169"/>
                  <c:y val="-0.1636139107611548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532-4FDD-9296-D1D841136EA4}"/>
                </c:ext>
              </c:extLst>
            </c:dLbl>
            <c:dLbl>
              <c:idx val="5"/>
              <c:layout>
                <c:manualLayout>
                  <c:x val="0.20337250195352469"/>
                  <c:y val="-0.2446278215223097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532-4FDD-9296-D1D841136EA4}"/>
                </c:ext>
              </c:extLst>
            </c:dLbl>
            <c:dLbl>
              <c:idx val="6"/>
              <c:layout>
                <c:manualLayout>
                  <c:x val="0.32392856841447865"/>
                  <c:y val="0.1375836085005502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1532-4FDD-9296-D1D841136EA4}"/>
                </c:ext>
              </c:extLst>
            </c:dLbl>
            <c:dLbl>
              <c:idx val="7"/>
              <c:layout>
                <c:manualLayout>
                  <c:x val="-8.7968111211556441E-2"/>
                  <c:y val="-5.810424301800984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370551349891553"/>
                      <c:h val="0.11282170373864556"/>
                    </c:manualLayout>
                  </c15:layout>
                </c:ext>
                <c:ext xmlns:c16="http://schemas.microsoft.com/office/drawing/2014/chart" uri="{C3380CC4-5D6E-409C-BE32-E72D297353CC}">
                  <c16:uniqueId val="{0000000F-1532-4FDD-9296-D1D841136EA4}"/>
                </c:ext>
              </c:extLst>
            </c:dLbl>
            <c:dLbl>
              <c:idx val="8"/>
              <c:layout>
                <c:manualLayout>
                  <c:x val="-0.38954806694179306"/>
                  <c:y val="0.10377614088561507"/>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0732021841321283"/>
                      <c:h val="0.15825489555741012"/>
                    </c:manualLayout>
                  </c15:layout>
                </c:ext>
                <c:ext xmlns:c16="http://schemas.microsoft.com/office/drawing/2014/chart" uri="{C3380CC4-5D6E-409C-BE32-E72D297353CC}">
                  <c16:uniqueId val="{00000011-1532-4FDD-9296-D1D841136EA4}"/>
                </c:ext>
              </c:extLst>
            </c:dLbl>
            <c:dLbl>
              <c:idx val="9"/>
              <c:layout>
                <c:manualLayout>
                  <c:x val="-0.26681840814914215"/>
                  <c:y val="-2.989997218089674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753905359900752"/>
                      <c:h val="0.17287371336647436"/>
                    </c:manualLayout>
                  </c15:layout>
                </c:ext>
                <c:ext xmlns:c16="http://schemas.microsoft.com/office/drawing/2014/chart" uri="{C3380CC4-5D6E-409C-BE32-E72D297353CC}">
                  <c16:uniqueId val="{00000013-1532-4FDD-9296-D1D841136EA4}"/>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'1'!$A$34:$A$43</c:f>
              <c:strCache>
                <c:ptCount val="10"/>
                <c:pt idx="0">
                  <c:v>ΕΠΙΤΕΛΙΚΟΣ ΣΥΝΤΟΝΙΣΜΟΣ ΚΑΙ ΕΠΕΝΔΥΣΕΙΣ ΥΠΟΥΡΓΕΙΟΥ ΕΣΩΤΕΡΙΚΩΝ</c:v>
                </c:pt>
                <c:pt idx="1">
                  <c:v>ΣΧΕΔΙΑΣΜΟΣ ΚΑΙ ΥΛΟΠΟΙΗΣΗ ΠΟΛΙΤΙΚΩΝ ΙΘΑΓΕΝΕΙΑΣ</c:v>
                </c:pt>
                <c:pt idx="2">
                  <c:v>ΑΝΘΡΩΠΙΝΟ ΔΥΝΑΜΙΚΟ ΔΗΜΟΣΙΟΥ ΤΟΜΕΑ ΚΑΙ ΕΚΣΥΓΧΡΟΝΙΣΜΟΣ ΔΗΜΟΣΙΩΝ ΟΡΓΑΝΩΣΕΩΝ</c:v>
                </c:pt>
                <c:pt idx="3">
                  <c:v>ΕΠΙΛΟΓΗ ΠΡΟΣΩΠΙΚΟΥ ΣΤΟ ΔΗΜΟΣΙΟ ΤΟΜΕΑ</c:v>
                </c:pt>
                <c:pt idx="4">
                  <c:v>ΑΝΑΠΤΥΞΗ ΚΑΙ ΕΝΔΥΝΑΜΩΣΗ ΑΝΘΡΩΠΙΝΟΥ ΔΥΝΑΜΙΚΟΥ ΔΗΜΟΣΙΟΥ ΤΟΜΕΑ</c:v>
                </c:pt>
                <c:pt idx="5">
                  <c:v>ΔΙΑΦΑΝΕΙΑ ΚΑΙ ΣΧΕΣΕΙΣ ΜΕ ΤΟΝ ΠΟΛΙΤΗ</c:v>
                </c:pt>
                <c:pt idx="6">
                  <c:v>ΕΛΕΓΧΟΣ, ΑΚΕΡΑΙΟΤΗΤΑ ΚΑΙ ΔΗΜΟΣΙΑ ΛΟΓΟΔΟΣΙΑ</c:v>
                </c:pt>
                <c:pt idx="7">
                  <c:v>ΕΚΛΟΓΕΣ-ΠΟΛΙΤΙΚΑ ΚΟΜΜΑΤΑ</c:v>
                </c:pt>
                <c:pt idx="8">
                  <c:v>ΨΗΦΙΟΠΟΙΗΣΗ ΚΑΙ ΑΠΛΟΥΣΤΕΥΣΗ ΔΙΑΔΙΚΑΣΙΩΝ-ΑΝΑΒΑΘΜΙΣΗ ΕΞΥΠΗΡΕΤΗΣΗΣ ΠΟΛΙΤΩΝ ΑΠΟ ΤΑ ΚΕΠ</c:v>
                </c:pt>
                <c:pt idx="9">
                  <c:v>ΕΝΙΣΧΥΣΗ ΤΟΠΙΚΗΣ ΑΝΑΠΤΥΞΗΣ</c:v>
                </c:pt>
              </c:strCache>
            </c:strRef>
          </c:cat>
          <c:val>
            <c:numRef>
              <c:f>'1'!$B$34:$B$43</c:f>
              <c:numCache>
                <c:formatCode>_-* #,##0\ _€_-;\-* #,##0\ _€_-;_-* "-"??\ _€_-;_-@_-</c:formatCode>
                <c:ptCount val="10"/>
                <c:pt idx="0">
                  <c:v>541</c:v>
                </c:pt>
                <c:pt idx="1">
                  <c:v>331</c:v>
                </c:pt>
                <c:pt idx="2">
                  <c:v>133</c:v>
                </c:pt>
                <c:pt idx="3">
                  <c:v>312</c:v>
                </c:pt>
                <c:pt idx="4">
                  <c:v>170</c:v>
                </c:pt>
                <c:pt idx="5">
                  <c:v>171</c:v>
                </c:pt>
                <c:pt idx="6">
                  <c:v>361</c:v>
                </c:pt>
                <c:pt idx="7">
                  <c:v>21</c:v>
                </c:pt>
                <c:pt idx="8">
                  <c:v>16</c:v>
                </c:pt>
                <c:pt idx="9">
                  <c:v>131619</c:v>
                </c:pt>
              </c:numCache>
            </c:numRef>
          </c:val>
          <c:extLst>
            <c:ext xmlns:c16="http://schemas.microsoft.com/office/drawing/2014/chart" uri="{C3380CC4-5D6E-409C-BE32-E72D297353CC}">
              <c16:uniqueId val="{00000014-1532-4FDD-9296-D1D841136EA4}"/>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139F-47DF-AE82-7613BD6EBF05}"/>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139F-47DF-AE82-7613BD6EBF05}"/>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139F-47DF-AE82-7613BD6EBF05}"/>
              </c:ext>
            </c:extLst>
          </c:dPt>
          <c:dPt>
            <c:idx val="3"/>
            <c:bubble3D val="0"/>
            <c:explosion val="2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7-139F-47DF-AE82-7613BD6EBF05}"/>
              </c:ext>
            </c:extLst>
          </c:dPt>
          <c:dPt>
            <c:idx val="4"/>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9-139F-47DF-AE82-7613BD6EBF05}"/>
              </c:ext>
            </c:extLst>
          </c:dPt>
          <c:dLbls>
            <c:dLbl>
              <c:idx val="0"/>
              <c:layout>
                <c:manualLayout>
                  <c:x val="0.13230429988974643"/>
                  <c:y val="2.6759432700026761E-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5523704520396912"/>
                      <c:h val="0.27294621354027293"/>
                    </c:manualLayout>
                  </c15:layout>
                </c:ext>
                <c:ext xmlns:c16="http://schemas.microsoft.com/office/drawing/2014/chart" uri="{C3380CC4-5D6E-409C-BE32-E72D297353CC}">
                  <c16:uniqueId val="{00000001-139F-47DF-AE82-7613BD6EBF05}"/>
                </c:ext>
              </c:extLst>
            </c:dLbl>
            <c:dLbl>
              <c:idx val="1"/>
              <c:layout>
                <c:manualLayout>
                  <c:x val="0.16312133513757329"/>
                  <c:y val="0.1050851909965179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39F-47DF-AE82-7613BD6EBF05}"/>
                </c:ext>
              </c:extLst>
            </c:dLbl>
            <c:dLbl>
              <c:idx val="2"/>
              <c:layout>
                <c:manualLayout>
                  <c:x val="-0.12079764560852164"/>
                  <c:y val="-8.027829810008027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39F-47DF-AE82-7613BD6EBF05}"/>
                </c:ext>
              </c:extLst>
            </c:dLbl>
            <c:dLbl>
              <c:idx val="3"/>
              <c:layout>
                <c:manualLayout>
                  <c:x val="1.9708045039022824E-2"/>
                  <c:y val="-9.248144222807046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270129960326068"/>
                      <c:h val="0.14530371956114529"/>
                    </c:manualLayout>
                  </c15:layout>
                </c:ext>
                <c:ext xmlns:c16="http://schemas.microsoft.com/office/drawing/2014/chart" uri="{C3380CC4-5D6E-409C-BE32-E72D297353CC}">
                  <c16:uniqueId val="{00000007-139F-47DF-AE82-7613BD6EBF05}"/>
                </c:ext>
              </c:extLst>
            </c:dLbl>
            <c:dLbl>
              <c:idx val="4"/>
              <c:layout>
                <c:manualLayout>
                  <c:x val="-0.36299820295340701"/>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39F-47DF-AE82-7613BD6EBF0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'1'!$A$4:$A$8</c:f>
              <c:strCache>
                <c:ptCount val="5"/>
                <c:pt idx="0">
                  <c:v>ΕΠΙΤΕΛΙΚΟΣ ΣΥΝΤΟΝΙΣΜΟΣ ΚΑΙ ΕΠΕΝΔΥΣΕΙΣ ΥΠΟΥΡΓΕΙΟΥ ΕΞΩΤΕΡΙΚΩΝ</c:v>
                </c:pt>
                <c:pt idx="1">
                  <c:v>ΔΙΕΘΝΕΙΣ ΟΙΚΟΝΟΜΙΚΕΣ ΚΑΙ ΕΜΠΟΡΙΚΕΣ ΣΧΕΣΕΙΣ</c:v>
                </c:pt>
                <c:pt idx="2">
                  <c:v>ΔΙΠΛΩΜΑΤΙΚΕΣ ΑΡΧΕΣ-ΠΡΟΩΘΗΣΗ ΕΛΛΗΝΙΚΩΝ ΣΥΜΦΕΡΟΝΤΩΝ</c:v>
                </c:pt>
                <c:pt idx="3">
                  <c:v>ΑΠΟΔΗΜΟΣ ΕΛΛΗΝΙΣΜΟΣ</c:v>
                </c:pt>
                <c:pt idx="4">
                  <c:v>ΕΛΛΗΝΙΚΗ ΔΙΠΛΩΜΑΤΙΚΗ ΑΚΑΔΗΜΙΑ-ΕΚΠΑΙΔΕΥΣΗ ΚΑΙ ΑΝΑΠΤΥΞΗ ΑΝΘΡΩΠΙΝΩΝ ΠΟΡΩΝ</c:v>
                </c:pt>
              </c:strCache>
            </c:strRef>
          </c:cat>
          <c:val>
            <c:numRef>
              <c:f>'1'!$B$4:$B$8</c:f>
              <c:numCache>
                <c:formatCode>#,##0\ "€"</c:formatCode>
                <c:ptCount val="5"/>
                <c:pt idx="0">
                  <c:v>24601920</c:v>
                </c:pt>
                <c:pt idx="1">
                  <c:v>71279850</c:v>
                </c:pt>
                <c:pt idx="2">
                  <c:v>363434540</c:v>
                </c:pt>
                <c:pt idx="3">
                  <c:v>21849860</c:v>
                </c:pt>
                <c:pt idx="4">
                  <c:v>2070830</c:v>
                </c:pt>
              </c:numCache>
            </c:numRef>
          </c:val>
          <c:extLst>
            <c:ext xmlns:c16="http://schemas.microsoft.com/office/drawing/2014/chart" uri="{C3380CC4-5D6E-409C-BE32-E72D297353CC}">
              <c16:uniqueId val="{0000000A-139F-47DF-AE82-7613BD6EBF0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'1'!$B$13</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08-4166-83DD-33888958BAED}"/>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ΕΠΙΤΕΛΙΚΟΣ ΣΥΝΤΟΝΙΣΜΟΣ ΚΑΙ ΕΠΕΝΔΥΣΕΙΣ ΥΠΟΥΡΓΕΙΟΥ ΕΞΩΤΕΡΙΚΩΝ</c:v>
                </c:pt>
                <c:pt idx="1">
                  <c:v>ΔΙΕΘΝΕΙΣ ΟΙΚΟΝΟΜΙΚΕΣ ΚΑΙ ΕΜΠΟΡΙΚΕΣ ΣΧΕΣΕΙΣ</c:v>
                </c:pt>
                <c:pt idx="2">
                  <c:v>ΔΙΠΛΩΜΑΤΙΚΕΣ ΑΡΧΕΣ-ΠΡΟΩΘΗΣΗ ΕΛΛΗΝΙΚΩΝ ΣΥΜΦΕΡΟΝΤΩΝ</c:v>
                </c:pt>
                <c:pt idx="3">
                  <c:v>ΑΠΟΔΗΜΟΣ ΕΛΛΗΝΙΣΜΟΣ</c:v>
                </c:pt>
                <c:pt idx="4">
                  <c:v>ΕΛΛΗΝΙΚΗ ΔΙΠΛΩΜΑΤΙΚΗ ΑΚΑΔΗΜΙΑ-ΕΚΠΑΙΔΕΥΣΗ ΚΑΙ ΑΝΑΠΤΥΞΗ ΑΝΘΡΩΠΙΝΩΝ ΠΟΡΩΝ</c:v>
                </c:pt>
              </c:strCache>
            </c:strRef>
          </c:cat>
          <c:val>
            <c:numRef>
              <c:f>'1'!$B$14:$B$18</c:f>
              <c:numCache>
                <c:formatCode>#,##0\ "€"</c:formatCode>
                <c:ptCount val="5"/>
                <c:pt idx="0">
                  <c:v>24590420</c:v>
                </c:pt>
                <c:pt idx="1">
                  <c:v>53746850</c:v>
                </c:pt>
                <c:pt idx="2">
                  <c:v>363216040</c:v>
                </c:pt>
                <c:pt idx="3">
                  <c:v>21676860</c:v>
                </c:pt>
                <c:pt idx="4">
                  <c:v>2070830</c:v>
                </c:pt>
              </c:numCache>
            </c:numRef>
          </c:val>
          <c:extLst>
            <c:ext xmlns:c16="http://schemas.microsoft.com/office/drawing/2014/chart" uri="{C3380CC4-5D6E-409C-BE32-E72D297353CC}">
              <c16:uniqueId val="{00000001-6A08-4166-83DD-33888958BAED}"/>
            </c:ext>
          </c:extLst>
        </c:ser>
        <c:ser>
          <c:idx val="1"/>
          <c:order val="1"/>
          <c:tx>
            <c:strRef>
              <c:f>'1'!$C$13</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0"/>
              <c:layout>
                <c:manualLayout>
                  <c:x val="-3.52811466372657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08-4166-83DD-33888958BAED}"/>
                </c:ext>
              </c:extLst>
            </c:dLbl>
            <c:dLbl>
              <c:idx val="2"/>
              <c:layout>
                <c:manualLayout>
                  <c:x val="-2.6460859977949284E-2"/>
                  <c:y val="-7.98654826728328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08-4166-83DD-33888958BAED}"/>
                </c:ext>
              </c:extLst>
            </c:dLbl>
            <c:dLbl>
              <c:idx val="3"/>
              <c:delete val="1"/>
              <c:extLst>
                <c:ext xmlns:c15="http://schemas.microsoft.com/office/drawing/2012/chart" uri="{CE6537A1-D6FC-4f65-9D91-7224C49458BB}"/>
                <c:ext xmlns:c16="http://schemas.microsoft.com/office/drawing/2014/chart" uri="{C3380CC4-5D6E-409C-BE32-E72D297353CC}">
                  <c16:uniqueId val="{00000004-6A08-4166-83DD-33888958BAED}"/>
                </c:ext>
              </c:extLst>
            </c:dLbl>
            <c:dLbl>
              <c:idx val="4"/>
              <c:delete val="1"/>
              <c:extLst>
                <c:ext xmlns:c15="http://schemas.microsoft.com/office/drawing/2012/chart" uri="{CE6537A1-D6FC-4f65-9D91-7224C49458BB}"/>
                <c:ext xmlns:c16="http://schemas.microsoft.com/office/drawing/2014/chart" uri="{C3380CC4-5D6E-409C-BE32-E72D297353CC}">
                  <c16:uniqueId val="{00000005-6A08-4166-83DD-33888958BAED}"/>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ΕΠΙΤΕΛΙΚΟΣ ΣΥΝΤΟΝΙΣΜΟΣ ΚΑΙ ΕΠΕΝΔΥΣΕΙΣ ΥΠΟΥΡΓΕΙΟΥ ΕΞΩΤΕΡΙΚΩΝ</c:v>
                </c:pt>
                <c:pt idx="1">
                  <c:v>ΔΙΕΘΝΕΙΣ ΟΙΚΟΝΟΜΙΚΕΣ ΚΑΙ ΕΜΠΟΡΙΚΕΣ ΣΧΕΣΕΙΣ</c:v>
                </c:pt>
                <c:pt idx="2">
                  <c:v>ΔΙΠΛΩΜΑΤΙΚΕΣ ΑΡΧΕΣ-ΠΡΟΩΘΗΣΗ ΕΛΛΗΝΙΚΩΝ ΣΥΜΦΕΡΟΝΤΩΝ</c:v>
                </c:pt>
                <c:pt idx="3">
                  <c:v>ΑΠΟΔΗΜΟΣ ΕΛΛΗΝΙΣΜΟΣ</c:v>
                </c:pt>
                <c:pt idx="4">
                  <c:v>ΕΛΛΗΝΙΚΗ ΔΙΠΛΩΜΑΤΙΚΗ ΑΚΑΔΗΜΙΑ-ΕΚΠΑΙΔΕΥΣΗ ΚΑΙ ΑΝΑΠΤΥΞΗ ΑΝΘΡΩΠΙΝΩΝ ΠΟΡΩΝ</c:v>
                </c:pt>
              </c:strCache>
            </c:strRef>
          </c:cat>
          <c:val>
            <c:numRef>
              <c:f>'1'!$C$14:$C$18</c:f>
              <c:numCache>
                <c:formatCode>#,##0\ "€"</c:formatCode>
                <c:ptCount val="5"/>
                <c:pt idx="0">
                  <c:v>12595</c:v>
                </c:pt>
                <c:pt idx="1">
                  <c:v>27468500</c:v>
                </c:pt>
                <c:pt idx="2">
                  <c:v>239305</c:v>
                </c:pt>
                <c:pt idx="3">
                  <c:v>0</c:v>
                </c:pt>
                <c:pt idx="4">
                  <c:v>0</c:v>
                </c:pt>
              </c:numCache>
            </c:numRef>
          </c:val>
          <c:extLst>
            <c:ext xmlns:c16="http://schemas.microsoft.com/office/drawing/2014/chart" uri="{C3380CC4-5D6E-409C-BE32-E72D297353CC}">
              <c16:uniqueId val="{00000006-6A08-4166-83DD-33888958BAED}"/>
            </c:ext>
          </c:extLst>
        </c:ser>
        <c:dLbls>
          <c:showLegendKey val="0"/>
          <c:showVal val="0"/>
          <c:showCatName val="0"/>
          <c:showSerName val="0"/>
          <c:showPercent val="0"/>
          <c:showBubbleSize val="0"/>
        </c:dLbls>
        <c:gapWidth val="56"/>
        <c:gapDepth val="141"/>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w="3175">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305766973513125E-2"/>
          <c:y val="0.17804322989038138"/>
          <c:w val="0.9653121147949919"/>
          <c:h val="0.82103937007874006"/>
        </c:manualLayout>
      </c:layout>
      <c:pie3DChart>
        <c:varyColors val="1"/>
        <c:ser>
          <c:idx val="0"/>
          <c:order val="0"/>
          <c:tx>
            <c:strRef>
              <c:f>'1'!$B$22:$B$23</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A38E-4FF3-9642-104659E81EAB}"/>
              </c:ext>
            </c:extLst>
          </c:dPt>
          <c:dPt>
            <c:idx val="1"/>
            <c:bubble3D val="0"/>
            <c:explosion val="1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A38E-4FF3-9642-104659E81EAB}"/>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A38E-4FF3-9642-104659E81EAB}"/>
              </c:ext>
            </c:extLst>
          </c:dPt>
          <c:dPt>
            <c:idx val="3"/>
            <c:bubble3D val="0"/>
            <c:explosion val="22"/>
            <c:spPr>
              <a:solidFill>
                <a:schemeClr val="accent1">
                  <a:lumMod val="60000"/>
                  <a:lumOff val="40000"/>
                </a:schemeClr>
              </a:solidFill>
              <a:ln>
                <a:noFill/>
              </a:ln>
              <a:effectLst/>
              <a:sp3d/>
            </c:spPr>
            <c:extLst>
              <c:ext xmlns:c16="http://schemas.microsoft.com/office/drawing/2014/chart" uri="{C3380CC4-5D6E-409C-BE32-E72D297353CC}">
                <c16:uniqueId val="{00000007-A38E-4FF3-9642-104659E81EAB}"/>
              </c:ext>
            </c:extLst>
          </c:dPt>
          <c:dPt>
            <c:idx val="4"/>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9-A38E-4FF3-9642-104659E81EAB}"/>
              </c:ext>
            </c:extLst>
          </c:dPt>
          <c:dLbls>
            <c:dLbl>
              <c:idx val="0"/>
              <c:layout>
                <c:manualLayout>
                  <c:x val="0.10337459492039337"/>
                  <c:y val="-1.786712775801342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0469367734766342"/>
                      <c:h val="0.24128192175135899"/>
                    </c:manualLayout>
                  </c15:layout>
                </c:ext>
                <c:ext xmlns:c16="http://schemas.microsoft.com/office/drawing/2014/chart" uri="{C3380CC4-5D6E-409C-BE32-E72D297353CC}">
                  <c16:uniqueId val="{00000001-A38E-4FF3-9642-104659E81EAB}"/>
                </c:ext>
              </c:extLst>
            </c:dLbl>
            <c:dLbl>
              <c:idx val="1"/>
              <c:layout>
                <c:manualLayout>
                  <c:x val="0.11943264247049375"/>
                  <c:y val="-4.155510051860139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38E-4FF3-9642-104659E81EAB}"/>
                </c:ext>
              </c:extLst>
            </c:dLbl>
            <c:dLbl>
              <c:idx val="2"/>
              <c:layout>
                <c:manualLayout>
                  <c:x val="-8.4979599599145625E-2"/>
                  <c:y val="-0.1547779583852287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38E-4FF3-9642-104659E81EAB}"/>
                </c:ext>
              </c:extLst>
            </c:dLbl>
            <c:dLbl>
              <c:idx val="3"/>
              <c:layout>
                <c:manualLayout>
                  <c:x val="-0.24405599583360008"/>
                  <c:y val="-3.09835131198412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38E-4FF3-9642-104659E81EAB}"/>
                </c:ext>
              </c:extLst>
            </c:dLbl>
            <c:dLbl>
              <c:idx val="4"/>
              <c:layout>
                <c:manualLayout>
                  <c:x val="-0.14953667450885072"/>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A38E-4FF3-9642-104659E81EA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'1'!$A$24:$A$28</c:f>
              <c:strCache>
                <c:ptCount val="5"/>
                <c:pt idx="0">
                  <c:v>ΕΠΙΤΕΛΙΚΟΣ ΣΥΝΤΟΝΙΣΜΟΣ ΚΑΙ ΕΠΕΝΔΥΣΕΙΣ ΥΠΟΥΡΓΕΙΟΥ ΕΞΩΤΕΡΙΚΩΝ</c:v>
                </c:pt>
                <c:pt idx="1">
                  <c:v>ΔΙΕΘΝΕΙΣ ΟΙΚΟΝΟΜΙΚΕΣ ΚΑΙ ΕΜΠΟΡΙΚΕΣ ΣΧΕΣΕΙΣ</c:v>
                </c:pt>
                <c:pt idx="2">
                  <c:v>ΔΙΠΛΩΜΑΤΙΚΕΣ ΑΡΧΕΣ-ΠΡΟΩΘΗΣΗ ΕΛΛΗΝΙΚΩΝ ΣΥΜΦΕΡΟΝΤΩΝ</c:v>
                </c:pt>
                <c:pt idx="3">
                  <c:v>ΑΠΟΔΗΜΟΣ ΕΛΛΗΝΙΣΜΟΣ</c:v>
                </c:pt>
                <c:pt idx="4">
                  <c:v>ΕΛΛΗΝΙΚΗ ΔΙΠΛΩΜΑΤΙΚΗ ΑΚΑΔΗΜΙΑ-ΕΚΠΑΙΔΕΥΣΗ ΚΑΙ ΑΝΑΠΤΥΞΗ ΑΝΘΡΩΠΙΝΩΝ ΠΟΡΩΝ</c:v>
                </c:pt>
              </c:strCache>
            </c:strRef>
          </c:cat>
          <c:val>
            <c:numRef>
              <c:f>'1'!$B$24:$B$28</c:f>
              <c:numCache>
                <c:formatCode>_-* #,##0\ _€_-;\-* #,##0\ _€_-;_-* "-"??\ _€_-;_-@_-</c:formatCode>
                <c:ptCount val="5"/>
                <c:pt idx="0">
                  <c:v>449</c:v>
                </c:pt>
                <c:pt idx="1">
                  <c:v>276</c:v>
                </c:pt>
                <c:pt idx="2">
                  <c:v>1508</c:v>
                </c:pt>
                <c:pt idx="3">
                  <c:v>114</c:v>
                </c:pt>
                <c:pt idx="4">
                  <c:v>19</c:v>
                </c:pt>
              </c:numCache>
            </c:numRef>
          </c:val>
          <c:extLst>
            <c:ext xmlns:c16="http://schemas.microsoft.com/office/drawing/2014/chart" uri="{C3380CC4-5D6E-409C-BE32-E72D297353CC}">
              <c16:uniqueId val="{0000000A-A38E-4FF3-9642-104659E81EAB}"/>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8"/>
            <c:spPr>
              <a:gradFill rotWithShape="1">
                <a:gsLst>
                  <a:gs pos="0">
                    <a:schemeClr val="accent1">
                      <a:shade val="55000"/>
                      <a:satMod val="103000"/>
                      <a:lumMod val="102000"/>
                      <a:tint val="94000"/>
                    </a:schemeClr>
                  </a:gs>
                  <a:gs pos="50000">
                    <a:schemeClr val="accent1">
                      <a:shade val="55000"/>
                      <a:satMod val="110000"/>
                      <a:lumMod val="100000"/>
                      <a:shade val="100000"/>
                    </a:schemeClr>
                  </a:gs>
                  <a:gs pos="100000">
                    <a:schemeClr val="accent1">
                      <a:shade val="55000"/>
                      <a:lumMod val="99000"/>
                      <a:satMod val="120000"/>
                      <a:shade val="78000"/>
                    </a:schemeClr>
                  </a:gs>
                </a:gsLst>
                <a:lin ang="5400000" scaled="0"/>
              </a:gradFill>
              <a:ln>
                <a:noFill/>
              </a:ln>
              <a:effectLst/>
              <a:sp3d/>
            </c:spPr>
            <c:extLst>
              <c:ext xmlns:c16="http://schemas.microsoft.com/office/drawing/2014/chart" uri="{C3380CC4-5D6E-409C-BE32-E72D297353CC}">
                <c16:uniqueId val="{00000001-985C-4AA1-B8D6-AD5D99A559C6}"/>
              </c:ext>
            </c:extLst>
          </c:dPt>
          <c:dPt>
            <c:idx val="1"/>
            <c:bubble3D val="0"/>
            <c:explosion val="7"/>
            <c:spPr>
              <a:gradFill rotWithShape="1">
                <a:gsLst>
                  <a:gs pos="0">
                    <a:schemeClr val="accent1">
                      <a:shade val="68000"/>
                      <a:satMod val="103000"/>
                      <a:lumMod val="102000"/>
                      <a:tint val="94000"/>
                    </a:schemeClr>
                  </a:gs>
                  <a:gs pos="50000">
                    <a:schemeClr val="accent1">
                      <a:shade val="68000"/>
                      <a:satMod val="110000"/>
                      <a:lumMod val="100000"/>
                      <a:shade val="100000"/>
                    </a:schemeClr>
                  </a:gs>
                  <a:gs pos="100000">
                    <a:schemeClr val="accent1">
                      <a:shade val="68000"/>
                      <a:lumMod val="99000"/>
                      <a:satMod val="120000"/>
                      <a:shade val="78000"/>
                    </a:schemeClr>
                  </a:gs>
                </a:gsLst>
                <a:lin ang="5400000" scaled="0"/>
              </a:gradFill>
              <a:ln>
                <a:noFill/>
              </a:ln>
              <a:effectLst/>
              <a:sp3d/>
            </c:spPr>
            <c:extLst>
              <c:ext xmlns:c16="http://schemas.microsoft.com/office/drawing/2014/chart" uri="{C3380CC4-5D6E-409C-BE32-E72D297353CC}">
                <c16:uniqueId val="{00000003-985C-4AA1-B8D6-AD5D99A559C6}"/>
              </c:ext>
            </c:extLst>
          </c:dPt>
          <c:dPt>
            <c:idx val="2"/>
            <c:bubble3D val="0"/>
            <c:explosion val="11"/>
            <c:spPr>
              <a:gradFill rotWithShape="1">
                <a:gsLst>
                  <a:gs pos="0">
                    <a:schemeClr val="accent1">
                      <a:shade val="80000"/>
                      <a:satMod val="103000"/>
                      <a:lumMod val="102000"/>
                      <a:tint val="94000"/>
                    </a:schemeClr>
                  </a:gs>
                  <a:gs pos="50000">
                    <a:schemeClr val="accent1">
                      <a:shade val="80000"/>
                      <a:satMod val="110000"/>
                      <a:lumMod val="100000"/>
                      <a:shade val="100000"/>
                    </a:schemeClr>
                  </a:gs>
                  <a:gs pos="100000">
                    <a:schemeClr val="accent1">
                      <a:shade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05-985C-4AA1-B8D6-AD5D99A559C6}"/>
              </c:ext>
            </c:extLst>
          </c:dPt>
          <c:dPt>
            <c:idx val="3"/>
            <c:bubble3D val="0"/>
            <c:spPr>
              <a:gradFill rotWithShape="1">
                <a:gsLst>
                  <a:gs pos="0">
                    <a:schemeClr val="accent1">
                      <a:shade val="93000"/>
                      <a:satMod val="103000"/>
                      <a:lumMod val="102000"/>
                      <a:tint val="94000"/>
                    </a:schemeClr>
                  </a:gs>
                  <a:gs pos="50000">
                    <a:schemeClr val="accent1">
                      <a:shade val="93000"/>
                      <a:satMod val="110000"/>
                      <a:lumMod val="100000"/>
                      <a:shade val="100000"/>
                    </a:schemeClr>
                  </a:gs>
                  <a:gs pos="100000">
                    <a:schemeClr val="accent1">
                      <a:shade val="93000"/>
                      <a:lumMod val="99000"/>
                      <a:satMod val="120000"/>
                      <a:shade val="78000"/>
                    </a:schemeClr>
                  </a:gs>
                </a:gsLst>
                <a:lin ang="5400000" scaled="0"/>
              </a:gradFill>
              <a:ln>
                <a:noFill/>
              </a:ln>
              <a:effectLst/>
              <a:sp3d/>
            </c:spPr>
            <c:extLst>
              <c:ext xmlns:c16="http://schemas.microsoft.com/office/drawing/2014/chart" uri="{C3380CC4-5D6E-409C-BE32-E72D297353CC}">
                <c16:uniqueId val="{00000007-985C-4AA1-B8D6-AD5D99A559C6}"/>
              </c:ext>
            </c:extLst>
          </c:dPt>
          <c:dPt>
            <c:idx val="4"/>
            <c:bubble3D val="0"/>
            <c:spPr>
              <a:gradFill rotWithShape="1">
                <a:gsLst>
                  <a:gs pos="0">
                    <a:schemeClr val="accent1">
                      <a:tint val="94000"/>
                      <a:satMod val="103000"/>
                      <a:lumMod val="102000"/>
                      <a:tint val="94000"/>
                    </a:schemeClr>
                  </a:gs>
                  <a:gs pos="50000">
                    <a:schemeClr val="accent1">
                      <a:tint val="94000"/>
                      <a:satMod val="110000"/>
                      <a:lumMod val="100000"/>
                      <a:shade val="100000"/>
                    </a:schemeClr>
                  </a:gs>
                  <a:gs pos="100000">
                    <a:schemeClr val="accent1">
                      <a:tint val="94000"/>
                      <a:lumMod val="99000"/>
                      <a:satMod val="120000"/>
                      <a:shade val="78000"/>
                    </a:schemeClr>
                  </a:gs>
                </a:gsLst>
                <a:lin ang="5400000" scaled="0"/>
              </a:gradFill>
              <a:ln>
                <a:noFill/>
              </a:ln>
              <a:effectLst/>
              <a:sp3d/>
            </c:spPr>
            <c:extLst>
              <c:ext xmlns:c16="http://schemas.microsoft.com/office/drawing/2014/chart" uri="{C3380CC4-5D6E-409C-BE32-E72D297353CC}">
                <c16:uniqueId val="{00000009-985C-4AA1-B8D6-AD5D99A559C6}"/>
              </c:ext>
            </c:extLst>
          </c:dPt>
          <c:dPt>
            <c:idx val="5"/>
            <c:bubble3D val="0"/>
            <c:spPr>
              <a:gradFill rotWithShape="1">
                <a:gsLst>
                  <a:gs pos="0">
                    <a:schemeClr val="accent1">
                      <a:tint val="81000"/>
                      <a:satMod val="103000"/>
                      <a:lumMod val="102000"/>
                      <a:tint val="94000"/>
                    </a:schemeClr>
                  </a:gs>
                  <a:gs pos="50000">
                    <a:schemeClr val="accent1">
                      <a:tint val="81000"/>
                      <a:satMod val="110000"/>
                      <a:lumMod val="100000"/>
                      <a:shade val="100000"/>
                    </a:schemeClr>
                  </a:gs>
                  <a:gs pos="100000">
                    <a:schemeClr val="accent1">
                      <a:tint val="81000"/>
                      <a:lumMod val="99000"/>
                      <a:satMod val="120000"/>
                      <a:shade val="78000"/>
                    </a:schemeClr>
                  </a:gs>
                </a:gsLst>
                <a:lin ang="5400000" scaled="0"/>
              </a:gradFill>
              <a:ln>
                <a:noFill/>
              </a:ln>
              <a:effectLst/>
              <a:sp3d/>
            </c:spPr>
            <c:extLst>
              <c:ext xmlns:c16="http://schemas.microsoft.com/office/drawing/2014/chart" uri="{C3380CC4-5D6E-409C-BE32-E72D297353CC}">
                <c16:uniqueId val="{0000000B-985C-4AA1-B8D6-AD5D99A559C6}"/>
              </c:ext>
            </c:extLst>
          </c:dPt>
          <c:dPt>
            <c:idx val="6"/>
            <c:bubble3D val="0"/>
            <c:explosion val="10"/>
            <c:spPr>
              <a:gradFill rotWithShape="1">
                <a:gsLst>
                  <a:gs pos="0">
                    <a:schemeClr val="accent1">
                      <a:tint val="69000"/>
                      <a:satMod val="103000"/>
                      <a:lumMod val="102000"/>
                      <a:tint val="94000"/>
                    </a:schemeClr>
                  </a:gs>
                  <a:gs pos="50000">
                    <a:schemeClr val="accent1">
                      <a:tint val="69000"/>
                      <a:satMod val="110000"/>
                      <a:lumMod val="100000"/>
                      <a:shade val="100000"/>
                    </a:schemeClr>
                  </a:gs>
                  <a:gs pos="100000">
                    <a:schemeClr val="accent1">
                      <a:tint val="69000"/>
                      <a:lumMod val="99000"/>
                      <a:satMod val="120000"/>
                      <a:shade val="78000"/>
                    </a:schemeClr>
                  </a:gs>
                </a:gsLst>
                <a:lin ang="5400000" scaled="0"/>
              </a:gradFill>
              <a:ln>
                <a:noFill/>
              </a:ln>
              <a:effectLst/>
              <a:sp3d/>
            </c:spPr>
            <c:extLst>
              <c:ext xmlns:c16="http://schemas.microsoft.com/office/drawing/2014/chart" uri="{C3380CC4-5D6E-409C-BE32-E72D297353CC}">
                <c16:uniqueId val="{0000000D-985C-4AA1-B8D6-AD5D99A559C6}"/>
              </c:ext>
            </c:extLst>
          </c:dPt>
          <c:dPt>
            <c:idx val="7"/>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F-985C-4AA1-B8D6-AD5D99A559C6}"/>
              </c:ext>
            </c:extLst>
          </c:dPt>
          <c:dPt>
            <c:idx val="8"/>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11-985C-4AA1-B8D6-AD5D99A559C6}"/>
              </c:ext>
            </c:extLst>
          </c:dPt>
          <c:dLbls>
            <c:dLbl>
              <c:idx val="0"/>
              <c:layout>
                <c:manualLayout>
                  <c:x val="0.1590064727386255"/>
                  <c:y val="-0.1438216183253293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985C-4AA1-B8D6-AD5D99A559C6}"/>
                </c:ext>
              </c:extLst>
            </c:dLbl>
            <c:dLbl>
              <c:idx val="1"/>
              <c:layout>
                <c:manualLayout>
                  <c:x val="-0.1456484560157654"/>
                  <c:y val="0.2617533668947119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85C-4AA1-B8D6-AD5D99A559C6}"/>
                </c:ext>
              </c:extLst>
            </c:dLbl>
            <c:dLbl>
              <c:idx val="2"/>
              <c:layout>
                <c:manualLayout>
                  <c:x val="-0.15231606422641153"/>
                  <c:y val="6.963140286822300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985C-4AA1-B8D6-AD5D99A559C6}"/>
                </c:ext>
              </c:extLst>
            </c:dLbl>
            <c:dLbl>
              <c:idx val="4"/>
              <c:layout>
                <c:manualLayout>
                  <c:x val="0.15624061325300159"/>
                  <c:y val="-0.1240609268103782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985C-4AA1-B8D6-AD5D99A559C6}"/>
                </c:ext>
              </c:extLst>
            </c:dLbl>
            <c:dLbl>
              <c:idx val="5"/>
              <c:layout>
                <c:manualLayout>
                  <c:x val="-0.21954960977176644"/>
                  <c:y val="-0.1036762617787530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985C-4AA1-B8D6-AD5D99A559C6}"/>
                </c:ext>
              </c:extLst>
            </c:dLbl>
            <c:dLbl>
              <c:idx val="6"/>
              <c:layout>
                <c:manualLayout>
                  <c:x val="-7.625125233801508E-2"/>
                  <c:y val="-0.6854664825105798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985C-4AA1-B8D6-AD5D99A559C6}"/>
                </c:ext>
              </c:extLst>
            </c:dLbl>
            <c:dLbl>
              <c:idx val="7"/>
              <c:layout>
                <c:manualLayout>
                  <c:x val="0.2677312937867331"/>
                  <c:y val="-8.9642442235704167E-2"/>
                </c:manualLayout>
              </c:layout>
              <c:tx>
                <c:rich>
                  <a:bodyPr/>
                  <a:lstStyle/>
                  <a:p>
                    <a:fld id="{BD548ABD-D202-4FA1-BF30-144438FD3FE5}" type="CATEGORYNAME">
                      <a:rPr lang="el-GR"/>
                      <a:pPr/>
                      <a:t>[ΟΝΟΜΑ ΚΑΤΗΓΟΡΙΑΣ]</a:t>
                    </a:fld>
                    <a:r>
                      <a:rPr lang="el-GR" baseline="0"/>
                      <a:t>. </a:t>
                    </a:r>
                  </a:p>
                  <a:p>
                    <a:fld id="{6C68606A-349D-43E4-A816-7DEBAE004B89}" type="VALUE">
                      <a:rPr lang="el-GR" baseline="0"/>
                      <a:pPr/>
                      <a:t>[ΤΙΜΗ]</a:t>
                    </a:fld>
                    <a:endParaRPr lang="el-GR"/>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985C-4AA1-B8D6-AD5D99A559C6}"/>
                </c:ext>
              </c:extLst>
            </c:dLbl>
            <c:dLbl>
              <c:idx val="8"/>
              <c:layout>
                <c:manualLayout>
                  <c:x val="0.10315620415143799"/>
                  <c:y val="-1.440127361129039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985C-4AA1-B8D6-AD5D99A559C6}"/>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'1'!$A$5:$A$13</c:f>
              <c:strCache>
                <c:ptCount val="9"/>
                <c:pt idx="0">
                  <c:v>ΑΠΟΤΡΟΠΗ ΕΞΩΤΕΡΙΚΩΝ ΑΠΕΙΛΩΝ - ΕΓΓΥΗΣΗ ΤΗΣ ΑΣΦΑΛΕΙΑΣ ΚΑΙ ΤΗΣ ΑΜΥΝΑΣ ΤΗΣ ΧΩΡΑΣ</c:v>
                </c:pt>
                <c:pt idx="1">
                  <c:v>ΔΙΕΘΝΕΙΣ ΣΧΕΣΕΙΣ/ ΔΡΑΣΕΙΣ ΥΠΕΘΑ ΣΤΟ ΕΞΩΤΕΡΙΚΟ</c:v>
                </c:pt>
                <c:pt idx="2">
                  <c:v>ΣΥΛΛΟΓΗ – ΕΠΕΞΕΡΓΑΣΙΑ – ΕΚΜΕΤΑΛΛΕΥΣΗ ΠΛΗΡΟΦΟΡΙΩΝ ΕΠ΄ ΩΦΕΛΕΙΑ ΤΗΣ ΕΘΝΙΚΗΣ ΑΣΦΑΛΕΙΑΣ</c:v>
                </c:pt>
                <c:pt idx="3">
                  <c:v>ΕΠΙΤΕΛΙΚΟΣ ΣΥΝΤΟΝΙΣΜΟΣ ΚΑΙ ΕΠΕΝΔΥΣΕΙΣ ΥΠΟΥΡΓΕΙΟΥ ΕΘΝΙΚΗΣ ΑΜΥΝΑΣ</c:v>
                </c:pt>
                <c:pt idx="4">
                  <c:v>ΣΥΝΕΙΣΦΟΡΑ ΕΝΟΠΛΩΝ ΔΥΝΑΜΕΩΝ ΣΤΟΝ ΤΟΜΕΑ ΤΗΣ ΠΟΛΙΤΙΚΗΣ ΠΡΟΣΤΑΣΙΑΣ</c:v>
                </c:pt>
                <c:pt idx="5">
                  <c:v>ΣΥΝΕΙΣΦΟΡΑ ΕΝΟΠΛΩΝ ΔΥΝΑΜΕΩΝ ΣΤΟ ΠΕΡΙΒΑΛΛΟΝ</c:v>
                </c:pt>
                <c:pt idx="6">
                  <c:v>ΠΑΡΟΧΗ ΥΓΕΙΟΝΟΜΙΚΗΣ ΠΕΡΙΘΑΛΨΗΣ ΕΝΟΠΛΩΝ ΔΥΝΑΜΕΩΝ</c:v>
                </c:pt>
                <c:pt idx="7">
                  <c:v>ΕΚΠΑΙΔΕΥΣΗ ΠΡΟΣΩΠΙΚΟΥ ΕΝΟΠΛΩΝ ΔΥΝΑΜΕΩΝ</c:v>
                </c:pt>
                <c:pt idx="8">
                  <c:v>ΚΟΙΝΩΝΙΚΗ ΜΕΡΙΜΝΑ ΠΡΟΣΩΠΙΚΟΥ</c:v>
                </c:pt>
              </c:strCache>
            </c:strRef>
          </c:cat>
          <c:val>
            <c:numRef>
              <c:f>'1'!$B$5:$B$13</c:f>
              <c:numCache>
                <c:formatCode>#,##0\ "€"</c:formatCode>
                <c:ptCount val="9"/>
                <c:pt idx="0">
                  <c:v>6275222033.3839998</c:v>
                </c:pt>
                <c:pt idx="1">
                  <c:v>128421052.087</c:v>
                </c:pt>
                <c:pt idx="2">
                  <c:v>36945000</c:v>
                </c:pt>
                <c:pt idx="3">
                  <c:v>10423858.141000001</c:v>
                </c:pt>
                <c:pt idx="4">
                  <c:v>135261279.98199999</c:v>
                </c:pt>
                <c:pt idx="5">
                  <c:v>24607572.702</c:v>
                </c:pt>
                <c:pt idx="6">
                  <c:v>326994372.10299999</c:v>
                </c:pt>
                <c:pt idx="7">
                  <c:v>91962228.600999996</c:v>
                </c:pt>
                <c:pt idx="8">
                  <c:v>33434603</c:v>
                </c:pt>
              </c:numCache>
            </c:numRef>
          </c:val>
          <c:extLst>
            <c:ext xmlns:c16="http://schemas.microsoft.com/office/drawing/2014/chart" uri="{C3380CC4-5D6E-409C-BE32-E72D297353CC}">
              <c16:uniqueId val="{00000012-985C-4AA1-B8D6-AD5D99A559C6}"/>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6.7255407076085294E-2"/>
          <c:y val="3.8068060896907494E-2"/>
          <c:w val="0.91921586972493929"/>
          <c:h val="0.6883126354172171"/>
        </c:manualLayout>
      </c:layout>
      <c:barChart>
        <c:barDir val="col"/>
        <c:grouping val="clustered"/>
        <c:varyColors val="0"/>
        <c:ser>
          <c:idx val="0"/>
          <c:order val="0"/>
          <c:spPr>
            <a:solidFill>
              <a:schemeClr val="accent1">
                <a:lumMod val="60000"/>
                <a:lumOff val="40000"/>
              </a:schemeClr>
            </a:solidFill>
            <a:ln>
              <a:noFill/>
            </a:ln>
            <a:effectLst/>
          </c:spPr>
          <c:invertIfNegative val="0"/>
          <c:dPt>
            <c:idx val="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1-6ADA-43E9-A72E-27C81A048C0B}"/>
              </c:ext>
            </c:extLst>
          </c:dPt>
          <c:dPt>
            <c:idx val="7"/>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3-6ADA-43E9-A72E-27C81A048C0B}"/>
              </c:ext>
            </c:extLst>
          </c:dPt>
          <c:dPt>
            <c:idx val="9"/>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5-6ADA-43E9-A72E-27C81A048C0B}"/>
              </c:ext>
            </c:extLst>
          </c:dPt>
          <c:dPt>
            <c:idx val="1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7-6ADA-43E9-A72E-27C81A048C0B}"/>
              </c:ext>
            </c:extLst>
          </c:dPt>
          <c:dPt>
            <c:idx val="11"/>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9-6ADA-43E9-A72E-27C81A048C0B}"/>
              </c:ext>
            </c:extLst>
          </c:dPt>
          <c:dPt>
            <c:idx val="12"/>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B-6ADA-43E9-A72E-27C81A048C0B}"/>
              </c:ext>
            </c:extLst>
          </c:dPt>
          <c:dPt>
            <c:idx val="13"/>
            <c:invertIfNegative val="0"/>
            <c:bubble3D val="0"/>
            <c:spPr>
              <a:solidFill>
                <a:srgbClr val="00B0F0"/>
              </a:solidFill>
              <a:ln>
                <a:noFill/>
              </a:ln>
              <a:effectLst/>
            </c:spPr>
            <c:extLst>
              <c:ext xmlns:c16="http://schemas.microsoft.com/office/drawing/2014/chart" uri="{C3380CC4-5D6E-409C-BE32-E72D297353CC}">
                <c16:uniqueId val="{0000000D-6ADA-43E9-A72E-27C81A048C0B}"/>
              </c:ext>
            </c:extLst>
          </c:dPt>
          <c:dPt>
            <c:idx val="14"/>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F-6ADA-43E9-A72E-27C81A048C0B}"/>
              </c:ext>
            </c:extLst>
          </c:dPt>
          <c:dPt>
            <c:idx val="15"/>
            <c:invertIfNegative val="0"/>
            <c:bubble3D val="0"/>
            <c:spPr>
              <a:solidFill>
                <a:schemeClr val="accent1">
                  <a:lumMod val="75000"/>
                </a:schemeClr>
              </a:solidFill>
              <a:ln>
                <a:noFill/>
              </a:ln>
              <a:effectLst/>
            </c:spPr>
            <c:extLst>
              <c:ext xmlns:c16="http://schemas.microsoft.com/office/drawing/2014/chart" uri="{C3380CC4-5D6E-409C-BE32-E72D297353CC}">
                <c16:uniqueId val="{00000011-6ADA-43E9-A72E-27C81A048C0B}"/>
              </c:ext>
            </c:extLst>
          </c:dPt>
          <c:dPt>
            <c:idx val="16"/>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3-6ADA-43E9-A72E-27C81A048C0B}"/>
              </c:ext>
            </c:extLst>
          </c:dPt>
          <c:dPt>
            <c:idx val="17"/>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5-6ADA-43E9-A72E-27C81A048C0B}"/>
              </c:ext>
            </c:extLst>
          </c:dPt>
          <c:dPt>
            <c:idx val="19"/>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7-6ADA-43E9-A72E-27C81A048C0B}"/>
              </c:ext>
            </c:extLst>
          </c:dPt>
          <c:dPt>
            <c:idx val="20"/>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19-6ADA-43E9-A72E-27C81A048C0B}"/>
              </c:ext>
            </c:extLst>
          </c:dPt>
          <c:dLbls>
            <c:dLbl>
              <c:idx val="0"/>
              <c:layout>
                <c:manualLayout>
                  <c:x val="5.560203736251592E-2"/>
                  <c:y val="5.27615769424430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ADA-43E9-A72E-27C81A048C0B}"/>
                </c:ext>
              </c:extLst>
            </c:dLbl>
            <c:dLbl>
              <c:idx val="28"/>
              <c:tx>
                <c:rich>
                  <a:bodyPr/>
                  <a:lstStyle/>
                  <a:p>
                    <a:r>
                      <a:rPr lang="en-US"/>
                      <a:t>-0.2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ADA-43E9-A72E-27C81A048C0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ΑΕΠ ΕΛ ΕΖ'!$B$133:$B$161</c:f>
              <c:strCache>
                <c:ptCount val="29"/>
                <c:pt idx="0">
                  <c:v>Ιρλανδία</c:v>
                </c:pt>
                <c:pt idx="1">
                  <c:v>Βουλγαρία</c:v>
                </c:pt>
                <c:pt idx="2">
                  <c:v>Κύπρος</c:v>
                </c:pt>
                <c:pt idx="3">
                  <c:v>Κροατία</c:v>
                </c:pt>
                <c:pt idx="4">
                  <c:v>Λιθουανία</c:v>
                </c:pt>
                <c:pt idx="5">
                  <c:v>Πολωνία</c:v>
                </c:pt>
                <c:pt idx="6">
                  <c:v>Ισπανία</c:v>
                </c:pt>
                <c:pt idx="7">
                  <c:v>Τσεχία</c:v>
                </c:pt>
                <c:pt idx="8">
                  <c:v>Μάλτα</c:v>
                </c:pt>
                <c:pt idx="9">
                  <c:v>Ρουμανία</c:v>
                </c:pt>
                <c:pt idx="10">
                  <c:v>Δανία</c:v>
                </c:pt>
                <c:pt idx="11">
                  <c:v>Πορτογαλία</c:v>
                </c:pt>
                <c:pt idx="12">
                  <c:v>Ελλάδα</c:v>
                </c:pt>
                <c:pt idx="13">
                  <c:v>ΕΕ 27</c:v>
                </c:pt>
                <c:pt idx="14">
                  <c:v>Σουηδία</c:v>
                </c:pt>
                <c:pt idx="15">
                  <c:v>ΕΖ 20</c:v>
                </c:pt>
                <c:pt idx="16">
                  <c:v>Ολλάνδία</c:v>
                </c:pt>
                <c:pt idx="17">
                  <c:v>Βέλγιο</c:v>
                </c:pt>
                <c:pt idx="18">
                  <c:v>Γαλλία</c:v>
                </c:pt>
                <c:pt idx="19">
                  <c:v>Σλοβενία</c:v>
                </c:pt>
                <c:pt idx="20">
                  <c:v>Σλοβακία</c:v>
                </c:pt>
                <c:pt idx="21">
                  <c:v>Λετονία </c:v>
                </c:pt>
                <c:pt idx="22">
                  <c:v>Εσθονία</c:v>
                </c:pt>
                <c:pt idx="23">
                  <c:v>Ιταλία</c:v>
                </c:pt>
                <c:pt idx="24">
                  <c:v>Αυστρία</c:v>
                </c:pt>
                <c:pt idx="25">
                  <c:v>Φινλανδία</c:v>
                </c:pt>
                <c:pt idx="26">
                  <c:v>Γερμανία</c:v>
                </c:pt>
                <c:pt idx="27">
                  <c:v>Ουγγαρία</c:v>
                </c:pt>
                <c:pt idx="28">
                  <c:v>Λουξεμβούργο</c:v>
                </c:pt>
              </c:strCache>
            </c:strRef>
          </c:cat>
          <c:val>
            <c:numRef>
              <c:f>'1.2 ΑΕΠ ΕΛ ΕΖ'!$C$133:$C$161</c:f>
              <c:numCache>
                <c:formatCode>#,##0.##########</c:formatCode>
                <c:ptCount val="29"/>
                <c:pt idx="0" formatCode="#,##0.0">
                  <c:v>18</c:v>
                </c:pt>
                <c:pt idx="1">
                  <c:v>3.4</c:v>
                </c:pt>
                <c:pt idx="2">
                  <c:v>3.3</c:v>
                </c:pt>
                <c:pt idx="3">
                  <c:v>3.2</c:v>
                </c:pt>
                <c:pt idx="4">
                  <c:v>3.1</c:v>
                </c:pt>
                <c:pt idx="5" formatCode="#,##0.0">
                  <c:v>3</c:v>
                </c:pt>
                <c:pt idx="6">
                  <c:v>2.8</c:v>
                </c:pt>
                <c:pt idx="7">
                  <c:v>2.6</c:v>
                </c:pt>
                <c:pt idx="8">
                  <c:v>2.2999999999999998</c:v>
                </c:pt>
                <c:pt idx="9">
                  <c:v>2.1</c:v>
                </c:pt>
                <c:pt idx="10">
                  <c:v>1.9</c:v>
                </c:pt>
                <c:pt idx="11">
                  <c:v>1.9</c:v>
                </c:pt>
                <c:pt idx="12">
                  <c:v>1.7</c:v>
                </c:pt>
                <c:pt idx="13">
                  <c:v>1.6</c:v>
                </c:pt>
                <c:pt idx="14">
                  <c:v>1.6</c:v>
                </c:pt>
                <c:pt idx="15">
                  <c:v>1.5</c:v>
                </c:pt>
                <c:pt idx="16">
                  <c:v>1.5</c:v>
                </c:pt>
                <c:pt idx="17" formatCode="#,##0.0">
                  <c:v>1</c:v>
                </c:pt>
                <c:pt idx="18">
                  <c:v>0.8</c:v>
                </c:pt>
                <c:pt idx="19">
                  <c:v>0.8</c:v>
                </c:pt>
                <c:pt idx="20">
                  <c:v>0.7</c:v>
                </c:pt>
                <c:pt idx="21">
                  <c:v>0.6</c:v>
                </c:pt>
                <c:pt idx="22">
                  <c:v>0.5</c:v>
                </c:pt>
                <c:pt idx="23">
                  <c:v>0.4</c:v>
                </c:pt>
                <c:pt idx="24">
                  <c:v>0.3</c:v>
                </c:pt>
                <c:pt idx="25">
                  <c:v>0.2</c:v>
                </c:pt>
                <c:pt idx="26">
                  <c:v>0.2</c:v>
                </c:pt>
                <c:pt idx="27">
                  <c:v>0.2</c:v>
                </c:pt>
                <c:pt idx="28">
                  <c:v>-0.2</c:v>
                </c:pt>
              </c:numCache>
            </c:numRef>
          </c:val>
          <c:extLst>
            <c:ext xmlns:c16="http://schemas.microsoft.com/office/drawing/2014/chart" uri="{C3380CC4-5D6E-409C-BE32-E72D297353CC}">
              <c16:uniqueId val="{0000001C-6ADA-43E9-A72E-27C81A048C0B}"/>
            </c:ext>
          </c:extLst>
        </c:ser>
        <c:dLbls>
          <c:dLblPos val="outEnd"/>
          <c:showLegendKey val="0"/>
          <c:showVal val="1"/>
          <c:showCatName val="0"/>
          <c:showSerName val="0"/>
          <c:showPercent val="0"/>
          <c:showBubbleSize val="0"/>
        </c:dLbls>
        <c:gapWidth val="50"/>
        <c:axId val="421464831"/>
        <c:axId val="148210799"/>
      </c:barChart>
      <c:catAx>
        <c:axId val="42146483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1" i="0" u="none" strike="noStrik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48210799"/>
        <c:crosses val="autoZero"/>
        <c:auto val="1"/>
        <c:lblAlgn val="ctr"/>
        <c:lblOffset val="100"/>
        <c:noMultiLvlLbl val="0"/>
      </c:catAx>
      <c:valAx>
        <c:axId val="148210799"/>
        <c:scaling>
          <c:orientation val="minMax"/>
          <c:max val="18"/>
          <c:min val="-2"/>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42146483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bg1">
          <a:lumMod val="85000"/>
        </a:schemeClr>
      </a:solidFill>
      <a:round/>
    </a:ln>
    <a:effectLst/>
  </c:spPr>
  <c:txPr>
    <a:bodyPr/>
    <a:lstStyle/>
    <a:p>
      <a:pPr>
        <a:defRPr/>
      </a:pPr>
      <a:endParaRPr lang="el-GR"/>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0087473630294554"/>
          <c:y val="4.0366972477064222E-2"/>
          <c:w val="0.4748694753839342"/>
          <c:h val="0.86467714791465022"/>
        </c:manualLayout>
      </c:layout>
      <c:bar3DChart>
        <c:barDir val="bar"/>
        <c:grouping val="percentStacked"/>
        <c:varyColors val="0"/>
        <c:ser>
          <c:idx val="0"/>
          <c:order val="0"/>
          <c:tx>
            <c:strRef>
              <c:f>'1'!$B$18</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8"/>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46-4731-9061-DC3367540F1E}"/>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'1'!$A$20:$A$28</c:f>
              <c:strCache>
                <c:ptCount val="9"/>
                <c:pt idx="0">
                  <c:v>ΑΠΟΤΡΟΠΗ ΕΞΩΤΕΡΙΚΩΝ ΑΠΕΙΛΩΝ - ΕΓΓΥΗΣΗ ΤΗΣ ΑΣΦΑΛΕΙΑΣ ΚΑΙ ΤΗΣ ΑΜΥΝΑΣ ΤΗΣ ΧΩΡΑΣ</c:v>
                </c:pt>
                <c:pt idx="1">
                  <c:v>ΔΙΕΘΝΕΙΣ ΣΧΕΣΕΙΣ/ ΔΡΑΣΕΙΣ ΥΠΕΘΑ ΣΤΟ ΕΞΩΤΕΡΙΚΟ</c:v>
                </c:pt>
                <c:pt idx="2">
                  <c:v>ΣΥΛΛΟΓΗ – ΕΠΕΞΕΡΓΑΣΙΑ – ΕΚΜΕΤΑΛΛΕΥΣΗ ΠΛΗΡΟΦΟΡΙΩΝ ΕΠ΄ ΩΦΕΛΕΙΑ ΤΗΣ ΕΘΝΙΚΗΣ ΑΣΦΑΛΕΙΑΣ</c:v>
                </c:pt>
                <c:pt idx="3">
                  <c:v>ΕΠΙΤΕΛΙΚΟΣ ΣΥΝΤΟΝΙΣΜΟΣ ΚΑΙ ΕΠΕΝΔΥΣΕΙΣ ΥΠΟΥΡΓΕΙΟΥ ΕΘΝΙΚΗΣ ΑΜΥΝΑΣ</c:v>
                </c:pt>
                <c:pt idx="4">
                  <c:v>ΣΥΝΕΙΣΦΟΡΑ ΕΝΟΠΛΩΝ ΔΥΝΑΜΕΩΝ ΣΤΟΝ ΤΟΜΕΑ ΤΗΣ ΠΟΛΙΤΙΚΗΣ ΠΡΟΣΤΑΣΙΑΣ</c:v>
                </c:pt>
                <c:pt idx="5">
                  <c:v>ΣΥΝΕΙΣΦΟΡΑ ΕΝΟΠΛΩΝ ΔΥΝΑΜΕΩΝ ΣΤΟ ΠΕΡΙΒΑΛΛΟΝ</c:v>
                </c:pt>
                <c:pt idx="6">
                  <c:v>ΠΑΡΟΧΗ ΥΓΕΙΟΝΟΜΙΚΗΣ ΠΕΡΙΘΑΛΨΗΣ ΕΝΟΠΛΩΝ ΔΥΝΑΜΕΩΝ</c:v>
                </c:pt>
                <c:pt idx="7">
                  <c:v>ΕΚΠΑΙΔΕΥΣΗ ΠΡΟΣΩΠΙΚΟΥ ΕΝΟΠΛΩΝ ΔΥΝΑΜΕΩΝ</c:v>
                </c:pt>
                <c:pt idx="8">
                  <c:v>ΚΟΙΝΩΝΙΚΗ ΜΕΡΙΜΝΑ ΠΡΟΣΩΠΙΚΟΥ</c:v>
                </c:pt>
              </c:strCache>
            </c:strRef>
          </c:cat>
          <c:val>
            <c:numRef>
              <c:f>'1'!$B$20:$B$28</c:f>
              <c:numCache>
                <c:formatCode>#,##0\ "€"</c:formatCode>
                <c:ptCount val="9"/>
                <c:pt idx="0">
                  <c:v>5375222033.3839998</c:v>
                </c:pt>
                <c:pt idx="1">
                  <c:v>128421052.087</c:v>
                </c:pt>
                <c:pt idx="2">
                  <c:v>36945000</c:v>
                </c:pt>
                <c:pt idx="3">
                  <c:v>9863858.1410000008</c:v>
                </c:pt>
                <c:pt idx="4">
                  <c:v>135261279.98199999</c:v>
                </c:pt>
                <c:pt idx="5">
                  <c:v>24607572.702</c:v>
                </c:pt>
                <c:pt idx="6">
                  <c:v>326994372.10299999</c:v>
                </c:pt>
                <c:pt idx="7">
                  <c:v>91962228.600999996</c:v>
                </c:pt>
                <c:pt idx="8">
                  <c:v>33434603</c:v>
                </c:pt>
              </c:numCache>
            </c:numRef>
          </c:val>
          <c:extLst>
            <c:ext xmlns:c16="http://schemas.microsoft.com/office/drawing/2014/chart" uri="{C3380CC4-5D6E-409C-BE32-E72D297353CC}">
              <c16:uniqueId val="{00000001-FE46-4731-9061-DC3367540F1E}"/>
            </c:ext>
          </c:extLst>
        </c:ser>
        <c:ser>
          <c:idx val="1"/>
          <c:order val="1"/>
          <c:tx>
            <c:strRef>
              <c:f>'1'!$C$18</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0"/>
              <c:layout>
                <c:manualLayout>
                  <c:x val="-6.17420066152149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46-4731-9061-DC3367540F1E}"/>
                </c:ext>
              </c:extLst>
            </c:dLbl>
            <c:dLbl>
              <c:idx val="1"/>
              <c:delete val="1"/>
              <c:extLst>
                <c:ext xmlns:c15="http://schemas.microsoft.com/office/drawing/2012/chart" uri="{CE6537A1-D6FC-4f65-9D91-7224C49458BB}"/>
                <c:ext xmlns:c16="http://schemas.microsoft.com/office/drawing/2014/chart" uri="{C3380CC4-5D6E-409C-BE32-E72D297353CC}">
                  <c16:uniqueId val="{00000003-FE46-4731-9061-DC3367540F1E}"/>
                </c:ext>
              </c:extLst>
            </c:dLbl>
            <c:dLbl>
              <c:idx val="2"/>
              <c:delete val="1"/>
              <c:extLst>
                <c:ext xmlns:c15="http://schemas.microsoft.com/office/drawing/2012/chart" uri="{CE6537A1-D6FC-4f65-9D91-7224C49458BB}"/>
                <c:ext xmlns:c16="http://schemas.microsoft.com/office/drawing/2014/chart" uri="{C3380CC4-5D6E-409C-BE32-E72D297353CC}">
                  <c16:uniqueId val="{00000004-FE46-4731-9061-DC3367540F1E}"/>
                </c:ext>
              </c:extLst>
            </c:dLbl>
            <c:dLbl>
              <c:idx val="4"/>
              <c:delete val="1"/>
              <c:extLst>
                <c:ext xmlns:c15="http://schemas.microsoft.com/office/drawing/2012/chart" uri="{CE6537A1-D6FC-4f65-9D91-7224C49458BB}"/>
                <c:ext xmlns:c16="http://schemas.microsoft.com/office/drawing/2014/chart" uri="{C3380CC4-5D6E-409C-BE32-E72D297353CC}">
                  <c16:uniqueId val="{00000005-FE46-4731-9061-DC3367540F1E}"/>
                </c:ext>
              </c:extLst>
            </c:dLbl>
            <c:dLbl>
              <c:idx val="5"/>
              <c:delete val="1"/>
              <c:extLst>
                <c:ext xmlns:c15="http://schemas.microsoft.com/office/drawing/2012/chart" uri="{CE6537A1-D6FC-4f65-9D91-7224C49458BB}"/>
                <c:ext xmlns:c16="http://schemas.microsoft.com/office/drawing/2014/chart" uri="{C3380CC4-5D6E-409C-BE32-E72D297353CC}">
                  <c16:uniqueId val="{00000006-FE46-4731-9061-DC3367540F1E}"/>
                </c:ext>
              </c:extLst>
            </c:dLbl>
            <c:dLbl>
              <c:idx val="6"/>
              <c:layout>
                <c:manualLayout>
                  <c:x val="-1.984564498346212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46-4731-9061-DC3367540F1E}"/>
                </c:ext>
              </c:extLst>
            </c:dLbl>
            <c:dLbl>
              <c:idx val="7"/>
              <c:delete val="1"/>
              <c:extLst>
                <c:ext xmlns:c15="http://schemas.microsoft.com/office/drawing/2012/chart" uri="{CE6537A1-D6FC-4f65-9D91-7224C49458BB}"/>
                <c:ext xmlns:c16="http://schemas.microsoft.com/office/drawing/2014/chart" uri="{C3380CC4-5D6E-409C-BE32-E72D297353CC}">
                  <c16:uniqueId val="{00000008-FE46-4731-9061-DC3367540F1E}"/>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'1'!$A$20:$A$28</c:f>
              <c:strCache>
                <c:ptCount val="9"/>
                <c:pt idx="0">
                  <c:v>ΑΠΟΤΡΟΠΗ ΕΞΩΤΕΡΙΚΩΝ ΑΠΕΙΛΩΝ - ΕΓΓΥΗΣΗ ΤΗΣ ΑΣΦΑΛΕΙΑΣ ΚΑΙ ΤΗΣ ΑΜΥΝΑΣ ΤΗΣ ΧΩΡΑΣ</c:v>
                </c:pt>
                <c:pt idx="1">
                  <c:v>ΔΙΕΘΝΕΙΣ ΣΧΕΣΕΙΣ/ ΔΡΑΣΕΙΣ ΥΠΕΘΑ ΣΤΟ ΕΞΩΤΕΡΙΚΟ</c:v>
                </c:pt>
                <c:pt idx="2">
                  <c:v>ΣΥΛΛΟΓΗ – ΕΠΕΞΕΡΓΑΣΙΑ – ΕΚΜΕΤΑΛΛΕΥΣΗ ΠΛΗΡΟΦΟΡΙΩΝ ΕΠ΄ ΩΦΕΛΕΙΑ ΤΗΣ ΕΘΝΙΚΗΣ ΑΣΦΑΛΕΙΑΣ</c:v>
                </c:pt>
                <c:pt idx="3">
                  <c:v>ΕΠΙΤΕΛΙΚΟΣ ΣΥΝΤΟΝΙΣΜΟΣ ΚΑΙ ΕΠΕΝΔΥΣΕΙΣ ΥΠΟΥΡΓΕΙΟΥ ΕΘΝΙΚΗΣ ΑΜΥΝΑΣ</c:v>
                </c:pt>
                <c:pt idx="4">
                  <c:v>ΣΥΝΕΙΣΦΟΡΑ ΕΝΟΠΛΩΝ ΔΥΝΑΜΕΩΝ ΣΤΟΝ ΤΟΜΕΑ ΤΗΣ ΠΟΛΙΤΙΚΗΣ ΠΡΟΣΤΑΣΙΑΣ</c:v>
                </c:pt>
                <c:pt idx="5">
                  <c:v>ΣΥΝΕΙΣΦΟΡΑ ΕΝΟΠΛΩΝ ΔΥΝΑΜΕΩΝ ΣΤΟ ΠΕΡΙΒΑΛΛΟΝ</c:v>
                </c:pt>
                <c:pt idx="6">
                  <c:v>ΠΑΡΟΧΗ ΥΓΕΙΟΝΟΜΙΚΗΣ ΠΕΡΙΘΑΛΨΗΣ ΕΝΟΠΛΩΝ ΔΥΝΑΜΕΩΝ</c:v>
                </c:pt>
                <c:pt idx="7">
                  <c:v>ΕΚΠΑΙΔΕΥΣΗ ΠΡΟΣΩΠΙΚΟΥ ΕΝΟΠΛΩΝ ΔΥΝΑΜΕΩΝ</c:v>
                </c:pt>
                <c:pt idx="8">
                  <c:v>ΚΟΙΝΩΝΙΚΗ ΜΕΡΙΜΝΑ ΠΡΟΣΩΠΙΚΟΥ</c:v>
                </c:pt>
              </c:strCache>
            </c:strRef>
          </c:cat>
          <c:val>
            <c:numRef>
              <c:f>'1'!$C$20:$C$28</c:f>
              <c:numCache>
                <c:formatCode>#,##0\ "€"</c:formatCode>
                <c:ptCount val="9"/>
                <c:pt idx="0">
                  <c:v>100283077.64</c:v>
                </c:pt>
                <c:pt idx="1">
                  <c:v>0</c:v>
                </c:pt>
                <c:pt idx="2">
                  <c:v>0</c:v>
                </c:pt>
                <c:pt idx="3">
                  <c:v>2436499</c:v>
                </c:pt>
                <c:pt idx="4">
                  <c:v>0</c:v>
                </c:pt>
                <c:pt idx="5">
                  <c:v>0</c:v>
                </c:pt>
                <c:pt idx="6">
                  <c:v>50879962</c:v>
                </c:pt>
                <c:pt idx="7">
                  <c:v>0</c:v>
                </c:pt>
                <c:pt idx="8">
                  <c:v>659148453.82000005</c:v>
                </c:pt>
              </c:numCache>
            </c:numRef>
          </c:val>
          <c:extLst>
            <c:ext xmlns:c16="http://schemas.microsoft.com/office/drawing/2014/chart" uri="{C3380CC4-5D6E-409C-BE32-E72D297353CC}">
              <c16:uniqueId val="{00000009-FE46-4731-9061-DC3367540F1E}"/>
            </c:ext>
          </c:extLst>
        </c:ser>
        <c:dLbls>
          <c:showLegendKey val="0"/>
          <c:showVal val="0"/>
          <c:showCatName val="0"/>
          <c:showSerName val="0"/>
          <c:showPercent val="0"/>
          <c:showBubbleSize val="0"/>
        </c:dLbls>
        <c:gapWidth val="55"/>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layout>
        <c:manualLayout>
          <c:xMode val="edge"/>
          <c:yMode val="edge"/>
          <c:x val="4.2163748274574836E-2"/>
          <c:y val="0.95560798370352962"/>
          <c:w val="0.90685204316384382"/>
          <c:h val="3.6929329729306223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10B8-4F07-BF82-25EC0DEC71C5}"/>
              </c:ext>
            </c:extLst>
          </c:dPt>
          <c:dPt>
            <c:idx val="1"/>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10B8-4F07-BF82-25EC0DEC71C5}"/>
              </c:ext>
            </c:extLst>
          </c:dPt>
          <c:dPt>
            <c:idx val="2"/>
            <c:bubble3D val="0"/>
            <c:explosion val="23"/>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10B8-4F07-BF82-25EC0DEC71C5}"/>
              </c:ext>
            </c:extLst>
          </c:dPt>
          <c:dPt>
            <c:idx val="3"/>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7-10B8-4F07-BF82-25EC0DEC71C5}"/>
              </c:ext>
            </c:extLst>
          </c:dPt>
          <c:dPt>
            <c:idx val="4"/>
            <c:bubble3D val="0"/>
            <c:explosion val="23"/>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9-10B8-4F07-BF82-25EC0DEC71C5}"/>
              </c:ext>
            </c:extLst>
          </c:dPt>
          <c:dPt>
            <c:idx val="5"/>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B-10B8-4F07-BF82-25EC0DEC71C5}"/>
              </c:ext>
            </c:extLst>
          </c:dPt>
          <c:dPt>
            <c:idx val="6"/>
            <c:bubble3D val="0"/>
            <c:explosion val="35"/>
            <c:spPr>
              <a:gradFill rotWithShape="1">
                <a:gsLst>
                  <a:gs pos="0">
                    <a:schemeClr val="accent1">
                      <a:tint val="48000"/>
                      <a:satMod val="103000"/>
                      <a:lumMod val="102000"/>
                      <a:tint val="94000"/>
                    </a:schemeClr>
                  </a:gs>
                  <a:gs pos="50000">
                    <a:schemeClr val="accent1">
                      <a:tint val="48000"/>
                      <a:satMod val="110000"/>
                      <a:lumMod val="100000"/>
                      <a:shade val="100000"/>
                    </a:schemeClr>
                  </a:gs>
                  <a:gs pos="100000">
                    <a:schemeClr val="accent1">
                      <a:tint val="48000"/>
                      <a:lumMod val="99000"/>
                      <a:satMod val="120000"/>
                      <a:shade val="78000"/>
                    </a:schemeClr>
                  </a:gs>
                </a:gsLst>
                <a:lin ang="5400000" scaled="0"/>
              </a:gradFill>
              <a:ln>
                <a:noFill/>
              </a:ln>
              <a:effectLst/>
              <a:sp3d/>
            </c:spPr>
            <c:extLst>
              <c:ext xmlns:c16="http://schemas.microsoft.com/office/drawing/2014/chart" uri="{C3380CC4-5D6E-409C-BE32-E72D297353CC}">
                <c16:uniqueId val="{0000000D-10B8-4F07-BF82-25EC0DEC71C5}"/>
              </c:ext>
            </c:extLst>
          </c:dPt>
          <c:dLbls>
            <c:dLbl>
              <c:idx val="1"/>
              <c:layout>
                <c:manualLayout>
                  <c:x val="0.25342297706697353"/>
                  <c:y val="-7.111222728073060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0B8-4F07-BF82-25EC0DEC71C5}"/>
                </c:ext>
              </c:extLst>
            </c:dLbl>
            <c:dLbl>
              <c:idx val="3"/>
              <c:layout>
                <c:manualLayout>
                  <c:x val="-0.25365809652683807"/>
                  <c:y val="-2.196594137549703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0B8-4F07-BF82-25EC0DEC71C5}"/>
                </c:ext>
              </c:extLst>
            </c:dLbl>
            <c:dLbl>
              <c:idx val="4"/>
              <c:layout>
                <c:manualLayout>
                  <c:x val="-0.12573961407733369"/>
                  <c:y val="-0.1416201317333825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0B8-4F07-BF82-25EC0DEC71C5}"/>
                </c:ext>
              </c:extLst>
            </c:dLbl>
            <c:dLbl>
              <c:idx val="5"/>
              <c:layout>
                <c:manualLayout>
                  <c:x val="-8.6427870716821925E-2"/>
                  <c:y val="-1.025376525920834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10B8-4F07-BF82-25EC0DEC71C5}"/>
                </c:ext>
              </c:extLst>
            </c:dLbl>
            <c:dLbl>
              <c:idx val="6"/>
              <c:layout>
                <c:manualLayout>
                  <c:x val="0.25256646031559993"/>
                  <c:y val="-8.962380817472023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10B8-4F07-BF82-25EC0DEC71C5}"/>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'1'!$A$4:$A$10</c:f>
              <c:strCache>
                <c:ptCount val="7"/>
                <c:pt idx="0">
                  <c:v>ΕΠΙΤΕΛΙΚΟΣ ΣΥΝΤΟΝΙΣΜΟΣ, ΕΠΕΝΔΥΣΕΙΣ ΚΑΙ ΔΙΑΜΟΡΦΩΣΗ ΠΟΛΙΤΙΚΩΝ ΥΠΟΥΡΓΕΙΟΥ ΥΓΕΙΑΣ</c:v>
                </c:pt>
                <c:pt idx="1">
                  <c:v>ΕΠΕΙΓΟΥΣΑ ΠΡΟΝΟΣΟΚΟΜΕΙΑΚΗ ΦΡΟΝΤΙΔΑ</c:v>
                </c:pt>
                <c:pt idx="2">
                  <c:v>ΠΑΡΟΧΗ ΥΠΗΡΕΣΙΩΝ ΠΡΩΤΟΒΑΘΜΙΑΣ ΦΡΟΝΤΙΔΑΣ ΥΓΕΙΑΣ</c:v>
                </c:pt>
                <c:pt idx="3">
                  <c:v>ΝΟΣΟΚΟΜΕΙΑΚΗ ΠΕΡΙΘΑΛΨΗ</c:v>
                </c:pt>
                <c:pt idx="4">
                  <c:v>ΠΡΟΛΗΨΗ ΚΑΙ ΠΡΟΣΤΑΣΙΑ ΤΗΣ ΔΗΜΟΣΙΑΣ ΥΓΕΙΑΣ</c:v>
                </c:pt>
                <c:pt idx="5">
                  <c:v>ΕΝΙΣΧΥΣΗ ΝΠΙΔ ΨΥΧΙΚΗΣ ΥΓΕΙΑΣ</c:v>
                </c:pt>
                <c:pt idx="6">
                  <c:v>ΑΝΤΙΜΕΤΩΠΙΣΗ ΤΩΝ ΕΞΑΡΤΗΣΕΩΝ</c:v>
                </c:pt>
              </c:strCache>
            </c:strRef>
          </c:cat>
          <c:val>
            <c:numRef>
              <c:f>'1'!$B$4:$B$10</c:f>
              <c:numCache>
                <c:formatCode>#,##0\ "€"</c:formatCode>
                <c:ptCount val="7"/>
                <c:pt idx="0">
                  <c:v>151083929.80000001</c:v>
                </c:pt>
                <c:pt idx="1">
                  <c:v>234941397.59999999</c:v>
                </c:pt>
                <c:pt idx="2">
                  <c:v>766395000</c:v>
                </c:pt>
                <c:pt idx="3">
                  <c:v>5929696869.1999998</c:v>
                </c:pt>
                <c:pt idx="4">
                  <c:v>564151721.39999998</c:v>
                </c:pt>
                <c:pt idx="5">
                  <c:v>67816803.400000006</c:v>
                </c:pt>
                <c:pt idx="6">
                  <c:v>127859278.59999999</c:v>
                </c:pt>
              </c:numCache>
            </c:numRef>
          </c:val>
          <c:extLst>
            <c:ext xmlns:c16="http://schemas.microsoft.com/office/drawing/2014/chart" uri="{C3380CC4-5D6E-409C-BE32-E72D297353CC}">
              <c16:uniqueId val="{0000000E-10B8-4F07-BF82-25EC0DEC71C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'1'!$B$15</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3"/>
              <c:layout>
                <c:manualLayout>
                  <c:x val="4.630650496141124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55-4575-A57F-81E647C3E4FE}"/>
                </c:ext>
              </c:extLst>
            </c:dLbl>
            <c:dLbl>
              <c:idx val="4"/>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55-4575-A57F-81E647C3E4FE}"/>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'1'!$A$16:$A$22</c:f>
              <c:strCache>
                <c:ptCount val="7"/>
                <c:pt idx="0">
                  <c:v>ΕΠΙΤΕΛΙΚΟΣ ΣΥΝΤΟΝΙΣΜΟΣ, ΕΠΕΝΔΥΣΕΙΣ ΚΑΙ ΔΙΑΜΟΡΦΩΣΗ ΠΟΛΙΤΙΚΩΝ ΥΠΟΥΡΓΕΙΟΥ ΥΓΕΙΑΣ</c:v>
                </c:pt>
                <c:pt idx="1">
                  <c:v>ΕΠΕΙΓΟΥΣΑ ΠΡΟΝΟΣΟΚΟΜΕΙΑΚΗ ΦΡΟΝΤΙΔΑ</c:v>
                </c:pt>
                <c:pt idx="2">
                  <c:v>ΠΑΡΟΧΗ ΥΠΗΡΕΣΙΩΝ ΠΡΩΤΟΒΑΘΜΙΑΣ ΦΡΟΝΤΙΔΑΣ ΥΓΕΙΑΣ</c:v>
                </c:pt>
                <c:pt idx="3">
                  <c:v>ΝΟΣΟΚΟΜΕΙΑΚΗ ΠΕΡΙΘΑΛΨΗ</c:v>
                </c:pt>
                <c:pt idx="4">
                  <c:v>ΠΡΟΛΗΨΗ ΚΑΙ ΠΡΟΣΤΑΣΙΑ ΤΗΣ ΔΗΜΟΣΙΑΣ ΥΓΕΙΑΣ</c:v>
                </c:pt>
                <c:pt idx="5">
                  <c:v>ΕΝΙΣΧΥΣΗ ΝΠΙΔ ΨΥΧΙΚΗΣ ΥΓΕΙΑΣ</c:v>
                </c:pt>
                <c:pt idx="6">
                  <c:v>ΑΝΤΙΜΕΤΩΠΙΣΗ ΤΩΝ ΕΞΑΡΤΗΣΕΩΝ</c:v>
                </c:pt>
              </c:strCache>
            </c:strRef>
          </c:cat>
          <c:val>
            <c:numRef>
              <c:f>'1'!$B$16:$B$22</c:f>
              <c:numCache>
                <c:formatCode>#,##0\ "€"</c:formatCode>
                <c:ptCount val="7"/>
                <c:pt idx="0">
                  <c:v>125496111.8</c:v>
                </c:pt>
                <c:pt idx="1">
                  <c:v>144112638.93000001</c:v>
                </c:pt>
                <c:pt idx="2">
                  <c:v>465365008.44</c:v>
                </c:pt>
                <c:pt idx="3">
                  <c:v>1192306709.1500001</c:v>
                </c:pt>
                <c:pt idx="4">
                  <c:v>455755228.14999998</c:v>
                </c:pt>
                <c:pt idx="5">
                  <c:v>68312472.120000005</c:v>
                </c:pt>
                <c:pt idx="6">
                  <c:v>43262567.280000001</c:v>
                </c:pt>
              </c:numCache>
            </c:numRef>
          </c:val>
          <c:extLst>
            <c:ext xmlns:c16="http://schemas.microsoft.com/office/drawing/2014/chart" uri="{C3380CC4-5D6E-409C-BE32-E72D297353CC}">
              <c16:uniqueId val="{00000002-6455-4575-A57F-81E647C3E4FE}"/>
            </c:ext>
          </c:extLst>
        </c:ser>
        <c:ser>
          <c:idx val="1"/>
          <c:order val="1"/>
          <c:tx>
            <c:strRef>
              <c:f>'1'!$C$15</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4"/>
              <c:layout>
                <c:manualLayout>
                  <c:x val="-2.20507166482910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55-4575-A57F-81E647C3E4FE}"/>
                </c:ext>
              </c:extLst>
            </c:dLbl>
            <c:dLbl>
              <c:idx val="5"/>
              <c:layout>
                <c:manualLayout>
                  <c:x val="-3.74862183020948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55-4575-A57F-81E647C3E4FE}"/>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'1'!$A$16:$A$22</c:f>
              <c:strCache>
                <c:ptCount val="7"/>
                <c:pt idx="0">
                  <c:v>ΕΠΙΤΕΛΙΚΟΣ ΣΥΝΤΟΝΙΣΜΟΣ, ΕΠΕΝΔΥΣΕΙΣ ΚΑΙ ΔΙΑΜΟΡΦΩΣΗ ΠΟΛΙΤΙΚΩΝ ΥΠΟΥΡΓΕΙΟΥ ΥΓΕΙΑΣ</c:v>
                </c:pt>
                <c:pt idx="1">
                  <c:v>ΕΠΕΙΓΟΥΣΑ ΠΡΟΝΟΣΟΚΟΜΕΙΑΚΗ ΦΡΟΝΤΙΔΑ</c:v>
                </c:pt>
                <c:pt idx="2">
                  <c:v>ΠΑΡΟΧΗ ΥΠΗΡΕΣΙΩΝ ΠΡΩΤΟΒΑΘΜΙΑΣ ΦΡΟΝΤΙΔΑΣ ΥΓΕΙΑΣ</c:v>
                </c:pt>
                <c:pt idx="3">
                  <c:v>ΝΟΣΟΚΟΜΕΙΑΚΗ ΠΕΡΙΘΑΛΨΗ</c:v>
                </c:pt>
                <c:pt idx="4">
                  <c:v>ΠΡΟΛΗΨΗ ΚΑΙ ΠΡΟΣΤΑΣΙΑ ΤΗΣ ΔΗΜΟΣΙΑΣ ΥΓΕΙΑΣ</c:v>
                </c:pt>
                <c:pt idx="5">
                  <c:v>ΕΝΙΣΧΥΣΗ ΝΠΙΔ ΨΥΧΙΚΗΣ ΥΓΕΙΑΣ</c:v>
                </c:pt>
                <c:pt idx="6">
                  <c:v>ΑΝΤΙΜΕΤΩΠΙΣΗ ΤΩΝ ΕΞΑΡΤΗΣΕΩΝ</c:v>
                </c:pt>
              </c:strCache>
            </c:strRef>
          </c:cat>
          <c:val>
            <c:numRef>
              <c:f>'1'!$C$16:$C$22</c:f>
              <c:numCache>
                <c:formatCode>#,##0\ "€"</c:formatCode>
                <c:ptCount val="7"/>
                <c:pt idx="0">
                  <c:v>66677480.759999998</c:v>
                </c:pt>
                <c:pt idx="1">
                  <c:v>144267998.33000001</c:v>
                </c:pt>
                <c:pt idx="2">
                  <c:v>1747993014.47</c:v>
                </c:pt>
                <c:pt idx="3">
                  <c:v>9464874805.4200001</c:v>
                </c:pt>
                <c:pt idx="4">
                  <c:v>48935260.619999997</c:v>
                </c:pt>
                <c:pt idx="5">
                  <c:v>9536953</c:v>
                </c:pt>
                <c:pt idx="6">
                  <c:v>103095356.8</c:v>
                </c:pt>
              </c:numCache>
            </c:numRef>
          </c:val>
          <c:extLst>
            <c:ext xmlns:c16="http://schemas.microsoft.com/office/drawing/2014/chart" uri="{C3380CC4-5D6E-409C-BE32-E72D297353CC}">
              <c16:uniqueId val="{00000005-6455-4575-A57F-81E647C3E4FE}"/>
            </c:ext>
          </c:extLst>
        </c:ser>
        <c:dLbls>
          <c:showLegendKey val="0"/>
          <c:showVal val="0"/>
          <c:showCatName val="0"/>
          <c:showSerName val="0"/>
          <c:showPercent val="0"/>
          <c:showBubbleSize val="0"/>
        </c:dLbls>
        <c:gapWidth val="81"/>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00185305572534"/>
          <c:y val="0.2839256783549538"/>
          <c:w val="0.83961601904707628"/>
          <c:h val="0.71515689577339703"/>
        </c:manualLayout>
      </c:layout>
      <c:pie3DChart>
        <c:varyColors val="1"/>
        <c:ser>
          <c:idx val="0"/>
          <c:order val="0"/>
          <c:tx>
            <c:strRef>
              <c:f>'1'!$B$27:$B$28</c:f>
              <c:strCache>
                <c:ptCount val="2"/>
                <c:pt idx="0">
                  <c:v>Ανθρώπινοι Πόροι ανά Πρόγραμμα </c:v>
                </c:pt>
                <c:pt idx="1">
                  <c:v>ΠΡΟΣΩΠΙΚΟ 2026</c:v>
                </c:pt>
              </c:strCache>
            </c:strRef>
          </c:tx>
          <c:dPt>
            <c:idx val="0"/>
            <c:bubble3D val="0"/>
            <c:spPr>
              <a:gradFill rotWithShape="1">
                <a:gsLst>
                  <a:gs pos="0">
                    <a:schemeClr val="accent1">
                      <a:shade val="47000"/>
                      <a:satMod val="103000"/>
                      <a:lumMod val="102000"/>
                      <a:tint val="94000"/>
                    </a:schemeClr>
                  </a:gs>
                  <a:gs pos="50000">
                    <a:schemeClr val="accent1">
                      <a:shade val="47000"/>
                      <a:satMod val="110000"/>
                      <a:lumMod val="100000"/>
                      <a:shade val="100000"/>
                    </a:schemeClr>
                  </a:gs>
                  <a:gs pos="100000">
                    <a:schemeClr val="accent1">
                      <a:shade val="47000"/>
                      <a:lumMod val="99000"/>
                      <a:satMod val="120000"/>
                      <a:shade val="78000"/>
                    </a:schemeClr>
                  </a:gs>
                </a:gsLst>
                <a:lin ang="5400000" scaled="0"/>
              </a:gradFill>
              <a:ln>
                <a:noFill/>
              </a:ln>
              <a:effectLst/>
              <a:sp3d/>
            </c:spPr>
            <c:extLst>
              <c:ext xmlns:c16="http://schemas.microsoft.com/office/drawing/2014/chart" uri="{C3380CC4-5D6E-409C-BE32-E72D297353CC}">
                <c16:uniqueId val="{00000001-816D-48CA-9A93-26AB09215D71}"/>
              </c:ext>
            </c:extLst>
          </c:dPt>
          <c:dPt>
            <c:idx val="1"/>
            <c:bubble3D val="0"/>
            <c:explosion val="24"/>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3-816D-48CA-9A93-26AB09215D71}"/>
              </c:ext>
            </c:extLst>
          </c:dPt>
          <c:dPt>
            <c:idx val="2"/>
            <c:bubble3D val="0"/>
            <c:explosion val="19"/>
            <c:spPr>
              <a:solidFill>
                <a:schemeClr val="accent1">
                  <a:lumMod val="60000"/>
                  <a:lumOff val="40000"/>
                </a:schemeClr>
              </a:solidFill>
              <a:ln>
                <a:noFill/>
              </a:ln>
              <a:effectLst/>
              <a:sp3d/>
            </c:spPr>
            <c:extLst>
              <c:ext xmlns:c16="http://schemas.microsoft.com/office/drawing/2014/chart" uri="{C3380CC4-5D6E-409C-BE32-E72D297353CC}">
                <c16:uniqueId val="{00000005-816D-48CA-9A93-26AB09215D71}"/>
              </c:ext>
            </c:extLst>
          </c:dPt>
          <c:dPt>
            <c:idx val="3"/>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7-816D-48CA-9A93-26AB09215D71}"/>
              </c:ext>
            </c:extLst>
          </c:dPt>
          <c:dPt>
            <c:idx val="4"/>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9-816D-48CA-9A93-26AB09215D71}"/>
              </c:ext>
            </c:extLst>
          </c:dPt>
          <c:dPt>
            <c:idx val="5"/>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B-816D-48CA-9A93-26AB09215D71}"/>
              </c:ext>
            </c:extLst>
          </c:dPt>
          <c:dPt>
            <c:idx val="6"/>
            <c:bubble3D val="0"/>
            <c:explosion val="20"/>
            <c:spPr>
              <a:gradFill rotWithShape="1">
                <a:gsLst>
                  <a:gs pos="0">
                    <a:schemeClr val="accent1">
                      <a:tint val="48000"/>
                      <a:satMod val="103000"/>
                      <a:lumMod val="102000"/>
                      <a:tint val="94000"/>
                    </a:schemeClr>
                  </a:gs>
                  <a:gs pos="50000">
                    <a:schemeClr val="accent1">
                      <a:tint val="48000"/>
                      <a:satMod val="110000"/>
                      <a:lumMod val="100000"/>
                      <a:shade val="100000"/>
                    </a:schemeClr>
                  </a:gs>
                  <a:gs pos="100000">
                    <a:schemeClr val="accent1">
                      <a:tint val="48000"/>
                      <a:lumMod val="99000"/>
                      <a:satMod val="120000"/>
                      <a:shade val="78000"/>
                    </a:schemeClr>
                  </a:gs>
                </a:gsLst>
                <a:lin ang="5400000" scaled="0"/>
              </a:gradFill>
              <a:ln>
                <a:noFill/>
              </a:ln>
              <a:effectLst/>
              <a:sp3d/>
            </c:spPr>
            <c:extLst>
              <c:ext xmlns:c16="http://schemas.microsoft.com/office/drawing/2014/chart" uri="{C3380CC4-5D6E-409C-BE32-E72D297353CC}">
                <c16:uniqueId val="{0000000D-816D-48CA-9A93-26AB09215D71}"/>
              </c:ext>
            </c:extLst>
          </c:dPt>
          <c:dLbls>
            <c:dLbl>
              <c:idx val="1"/>
              <c:layout>
                <c:manualLayout>
                  <c:x val="0.11024685568728737"/>
                  <c:y val="-0.1759146981627296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16D-48CA-9A93-26AB09215D71}"/>
                </c:ext>
              </c:extLst>
            </c:dLbl>
            <c:dLbl>
              <c:idx val="2"/>
              <c:layout>
                <c:manualLayout>
                  <c:x val="0.1464598589832482"/>
                  <c:y val="-6.02597048487491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16D-48CA-9A93-26AB09215D71}"/>
                </c:ext>
              </c:extLst>
            </c:dLbl>
            <c:dLbl>
              <c:idx val="3"/>
              <c:layout>
                <c:manualLayout>
                  <c:x val="-7.3415906720036464E-2"/>
                  <c:y val="-1.840003003244126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171040637560879"/>
                      <c:h val="0.13162175445200824"/>
                    </c:manualLayout>
                  </c15:layout>
                </c:ext>
                <c:ext xmlns:c16="http://schemas.microsoft.com/office/drawing/2014/chart" uri="{C3380CC4-5D6E-409C-BE32-E72D297353CC}">
                  <c16:uniqueId val="{00000007-816D-48CA-9A93-26AB09215D71}"/>
                </c:ext>
              </c:extLst>
            </c:dLbl>
            <c:dLbl>
              <c:idx val="4"/>
              <c:layout>
                <c:manualLayout>
                  <c:x val="-0.28889164763996561"/>
                  <c:y val="-9.442963055912832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16D-48CA-9A93-26AB09215D71}"/>
                </c:ext>
              </c:extLst>
            </c:dLbl>
            <c:dLbl>
              <c:idx val="5"/>
              <c:layout>
                <c:manualLayout>
                  <c:x val="-0.22655400916392499"/>
                  <c:y val="0.1002930568930682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16D-48CA-9A93-26AB09215D71}"/>
                </c:ext>
              </c:extLst>
            </c:dLbl>
            <c:dLbl>
              <c:idx val="6"/>
              <c:layout>
                <c:manualLayout>
                  <c:x val="-0.19669639665790989"/>
                  <c:y val="-0.2054347702940010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16D-48CA-9A93-26AB09215D71}"/>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'1'!$A$29:$A$35</c:f>
              <c:strCache>
                <c:ptCount val="7"/>
                <c:pt idx="0">
                  <c:v>ΕΠΙΤΕΛΙΚΟΣ ΣΥΝΤΟΝΙΣΜΟΣ, ΕΠΕΝΔΥΣΕΙΣ ΚΑΙ ΔΙΑΜΟΡΦΩΣΗ ΠΟΛΙΤΙΚΩΝ ΥΠΟΥΡΓΕΙΟΥ ΥΓΕΙΑΣ</c:v>
                </c:pt>
                <c:pt idx="1">
                  <c:v>ΕΠΕΙΓΟΥΣΑ ΠΡΟΝΟΣΟΚΟΜΕΙΑΚΗ ΦΡΟΝΤΙΔΑ</c:v>
                </c:pt>
                <c:pt idx="2">
                  <c:v>ΠΑΡΟΧΗ ΥΠΗΡΕΣΙΩΝ ΠΡΩΤΟΒΑΘΜΙΑΣ ΦΡΟΝΤΙΔΑΣ ΥΓΕΙΑΣ</c:v>
                </c:pt>
                <c:pt idx="3">
                  <c:v>ΝΟΣΟΚΟΜΕΙΑΚΗ ΠΕΡΙΘΑΛΨΗ</c:v>
                </c:pt>
                <c:pt idx="4">
                  <c:v>ΠΡΟΛΗΨΗ ΚΑΙ ΠΡΟΣΤΑΣΙΑ ΤΗΣ ΔΗΜΟΣΙΑΣ ΥΓΕΙΑΣ</c:v>
                </c:pt>
                <c:pt idx="5">
                  <c:v>ΕΝΙΣΧΥΣΗ ΝΠΙΔ ΨΥΧΙΚΗΣ ΥΓΕΙΑΣ</c:v>
                </c:pt>
                <c:pt idx="6">
                  <c:v>ΑΝΤΙΜΕΤΩΠΙΣΗ ΤΩΝ ΕΞΑΡΤΗΣΕΩΝ</c:v>
                </c:pt>
              </c:strCache>
            </c:strRef>
          </c:cat>
          <c:val>
            <c:numRef>
              <c:f>'1'!$B$29:$B$35</c:f>
              <c:numCache>
                <c:formatCode>_-* #,##0\ _€_-;\-* #,##0\ _€_-;_-* "-"??\ _€_-;_-@_-</c:formatCode>
                <c:ptCount val="7"/>
                <c:pt idx="0">
                  <c:v>556</c:v>
                </c:pt>
                <c:pt idx="1">
                  <c:v>4886</c:v>
                </c:pt>
                <c:pt idx="2">
                  <c:v>17193</c:v>
                </c:pt>
                <c:pt idx="3">
                  <c:v>87238</c:v>
                </c:pt>
                <c:pt idx="4">
                  <c:v>1528</c:v>
                </c:pt>
                <c:pt idx="5">
                  <c:v>186</c:v>
                </c:pt>
                <c:pt idx="6">
                  <c:v>1753</c:v>
                </c:pt>
              </c:numCache>
            </c:numRef>
          </c:val>
          <c:extLst>
            <c:ext xmlns:c16="http://schemas.microsoft.com/office/drawing/2014/chart" uri="{C3380CC4-5D6E-409C-BE32-E72D297353CC}">
              <c16:uniqueId val="{0000000E-816D-48CA-9A93-26AB09215D71}"/>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8BBA-4059-ABD2-2CEB585E2324}"/>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8BBA-4059-ABD2-2CEB585E2324}"/>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8BBA-4059-ABD2-2CEB585E2324}"/>
              </c:ext>
            </c:extLst>
          </c:dPt>
          <c:dPt>
            <c:idx val="3"/>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7-8BBA-4059-ABD2-2CEB585E2324}"/>
              </c:ext>
            </c:extLst>
          </c:dPt>
          <c:dPt>
            <c:idx val="4"/>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9-8BBA-4059-ABD2-2CEB585E2324}"/>
              </c:ext>
            </c:extLst>
          </c:dPt>
          <c:dPt>
            <c:idx val="5"/>
            <c:bubble3D val="0"/>
            <c:spPr>
              <a:gradFill rotWithShape="1">
                <a:gsLst>
                  <a:gs pos="0">
                    <a:schemeClr val="accent1">
                      <a:tint val="72000"/>
                      <a:satMod val="103000"/>
                      <a:lumMod val="102000"/>
                      <a:tint val="94000"/>
                    </a:schemeClr>
                  </a:gs>
                  <a:gs pos="50000">
                    <a:schemeClr val="accent1">
                      <a:tint val="72000"/>
                      <a:satMod val="110000"/>
                      <a:lumMod val="100000"/>
                      <a:shade val="100000"/>
                    </a:schemeClr>
                  </a:gs>
                  <a:gs pos="100000">
                    <a:schemeClr val="accent1">
                      <a:tint val="72000"/>
                      <a:lumMod val="99000"/>
                      <a:satMod val="120000"/>
                      <a:shade val="78000"/>
                    </a:schemeClr>
                  </a:gs>
                </a:gsLst>
                <a:lin ang="5400000" scaled="0"/>
              </a:gradFill>
              <a:ln>
                <a:noFill/>
              </a:ln>
              <a:effectLst/>
              <a:sp3d/>
            </c:spPr>
            <c:extLst>
              <c:ext xmlns:c16="http://schemas.microsoft.com/office/drawing/2014/chart" uri="{C3380CC4-5D6E-409C-BE32-E72D297353CC}">
                <c16:uniqueId val="{0000000B-8BBA-4059-ABD2-2CEB585E2324}"/>
              </c:ext>
            </c:extLst>
          </c:dPt>
          <c:dPt>
            <c:idx val="6"/>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D-8BBA-4059-ABD2-2CEB585E2324}"/>
              </c:ext>
            </c:extLst>
          </c:dPt>
          <c:dPt>
            <c:idx val="7"/>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F-8BBA-4059-ABD2-2CEB585E2324}"/>
              </c:ext>
            </c:extLst>
          </c:dPt>
          <c:dPt>
            <c:idx val="8"/>
            <c:bubble3D val="0"/>
            <c:spPr>
              <a:gradFill rotWithShape="1">
                <a:gsLst>
                  <a:gs pos="0">
                    <a:schemeClr val="accent1">
                      <a:tint val="44000"/>
                      <a:satMod val="103000"/>
                      <a:lumMod val="102000"/>
                      <a:tint val="94000"/>
                    </a:schemeClr>
                  </a:gs>
                  <a:gs pos="50000">
                    <a:schemeClr val="accent1">
                      <a:tint val="44000"/>
                      <a:satMod val="110000"/>
                      <a:lumMod val="100000"/>
                      <a:shade val="100000"/>
                    </a:schemeClr>
                  </a:gs>
                  <a:gs pos="100000">
                    <a:schemeClr val="accent1">
                      <a:tint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11-8BBA-4059-ABD2-2CEB585E2324}"/>
              </c:ext>
            </c:extLst>
          </c:dPt>
          <c:dLbls>
            <c:dLbl>
              <c:idx val="0"/>
              <c:layout>
                <c:manualLayout>
                  <c:x val="0.12179662367106836"/>
                  <c:y val="-8.185455757774957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BBA-4059-ABD2-2CEB585E2324}"/>
                </c:ext>
              </c:extLst>
            </c:dLbl>
            <c:dLbl>
              <c:idx val="1"/>
              <c:layout>
                <c:manualLayout>
                  <c:x val="-0.13098785474307442"/>
                  <c:y val="9.696447100517989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BBA-4059-ABD2-2CEB585E2324}"/>
                </c:ext>
              </c:extLst>
            </c:dLbl>
            <c:dLbl>
              <c:idx val="2"/>
              <c:layout>
                <c:manualLayout>
                  <c:x val="-4.251941269987166E-2"/>
                  <c:y val="-5.277197573235185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BBA-4059-ABD2-2CEB585E2324}"/>
                </c:ext>
              </c:extLst>
            </c:dLbl>
            <c:dLbl>
              <c:idx val="3"/>
              <c:layout>
                <c:manualLayout>
                  <c:x val="-0.11421047077286549"/>
                  <c:y val="-0.1416700961284611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BBA-4059-ABD2-2CEB585E2324}"/>
                </c:ext>
              </c:extLst>
            </c:dLbl>
            <c:dLbl>
              <c:idx val="4"/>
              <c:layout>
                <c:manualLayout>
                  <c:x val="0.12608814948715075"/>
                  <c:y val="-2.147073521883582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6666666667"/>
                      <c:h val="0.21792803615740658"/>
                    </c:manualLayout>
                  </c15:layout>
                </c:ext>
                <c:ext xmlns:c16="http://schemas.microsoft.com/office/drawing/2014/chart" uri="{C3380CC4-5D6E-409C-BE32-E72D297353CC}">
                  <c16:uniqueId val="{00000009-8BBA-4059-ABD2-2CEB585E2324}"/>
                </c:ext>
              </c:extLst>
            </c:dLbl>
            <c:dLbl>
              <c:idx val="5"/>
              <c:layout>
                <c:manualLayout>
                  <c:x val="-0.3224825106978359"/>
                  <c:y val="-3.41506413832698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BBA-4059-ABD2-2CEB585E2324}"/>
                </c:ext>
              </c:extLst>
            </c:dLbl>
            <c:dLbl>
              <c:idx val="6"/>
              <c:layout>
                <c:manualLayout>
                  <c:x val="0.26437901487994936"/>
                  <c:y val="-0.1058371997562817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BBA-4059-ABD2-2CEB585E2324}"/>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'1'!$A$4:$A$12</c:f>
              <c:strCache>
                <c:ptCount val="9"/>
                <c:pt idx="0">
                  <c:v>ΑΠΟΝΟΜΗ ΔΙΚΑΙΟΣΥΝΗΣ</c:v>
                </c:pt>
                <c:pt idx="1">
                  <c:v>ΠΡΟΑΣΠΙΣΗ ΑΝΘΡΩΠΙΝΗΣ ΑΣΦΑΛΕΙΑΣ</c:v>
                </c:pt>
                <c:pt idx="2">
                  <c:v>ΨΗΦΙΑΚΗ ΔΙΚΑΙΟΣΥΝΗ</c:v>
                </c:pt>
                <c:pt idx="3">
                  <c:v>ΠΡΟΣΤΑΣΙΑ ΑΝΗΛΙΚΩΝ</c:v>
                </c:pt>
                <c:pt idx="4">
                  <c:v>ΕΠΙΤΕΛΙΚΟΣ ΣΥΝΤΟΝΙΣΜΟΣ ΚΑΙ ΕΠΕΝΔΥΣΕΙΣ ΥΠΟΥΡΓΕΙΟΥ ΔΙΚΑΙΟΣΥΝΗΣ</c:v>
                </c:pt>
                <c:pt idx="5">
                  <c:v>ΠΡΟΣΤΑΣΙΑ ΠΡΟΣΩΠΙΚΩΝ ΔΕΔΟΜΕΝΩΝ</c:v>
                </c:pt>
                <c:pt idx="6">
                  <c:v>ΠΡΟΣΤΑΣΙΑ ΤΟΥ ΔΙKAIΩΜΑΤΟΣ ΣΤΟ ΑΠΟΡΡΗΤΟ ΤΩΝ ΕΠΙΚΟΙΝΩΝΙΩΝ</c:v>
                </c:pt>
                <c:pt idx="7">
                  <c:v>ΖΗΤΗΜΑΤΑ ΔΗΜΟΣΙΩΝ ΣΥΜΒΑΣΕΩΝ ΚΑΙ ΠΡΟΔΙΚΑΣΤΙΚΩΝ ΠΡΟΣΦΥΓΩΝ</c:v>
                </c:pt>
                <c:pt idx="8">
                  <c:v>ΕΠΙΛΥΣΗ ΔΙΑΦΟΡΩΝ ΜΕΣΩ ΤΟΥ ΘΕΣΜΟΥ ΤΗΣ ΔΙΑΜΕΣΟΛΑΒΗΣΗΣ</c:v>
                </c:pt>
              </c:strCache>
            </c:strRef>
          </c:cat>
          <c:val>
            <c:numRef>
              <c:f>'1'!$B$4:$B$12</c:f>
              <c:numCache>
                <c:formatCode>#,##0\ "€"</c:formatCode>
                <c:ptCount val="9"/>
                <c:pt idx="0">
                  <c:v>595882004.20000005</c:v>
                </c:pt>
                <c:pt idx="1">
                  <c:v>52335143.600000001</c:v>
                </c:pt>
                <c:pt idx="2">
                  <c:v>7278329.2000000002</c:v>
                </c:pt>
                <c:pt idx="3">
                  <c:v>8382523</c:v>
                </c:pt>
                <c:pt idx="4">
                  <c:v>6346000</c:v>
                </c:pt>
                <c:pt idx="5">
                  <c:v>2817000</c:v>
                </c:pt>
                <c:pt idx="6">
                  <c:v>2526000</c:v>
                </c:pt>
                <c:pt idx="8">
                  <c:v>4010000</c:v>
                </c:pt>
              </c:numCache>
            </c:numRef>
          </c:val>
          <c:extLst>
            <c:ext xmlns:c16="http://schemas.microsoft.com/office/drawing/2014/chart" uri="{C3380CC4-5D6E-409C-BE32-E72D297353CC}">
              <c16:uniqueId val="{00000012-8BBA-4059-ABD2-2CEB585E2324}"/>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'1'!$B$17</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8C-4043-B4EA-7024E2477FD9}"/>
                </c:ext>
              </c:extLst>
            </c:dLbl>
            <c:dLbl>
              <c:idx val="4"/>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8C-4043-B4EA-7024E2477FD9}"/>
                </c:ext>
              </c:extLst>
            </c:dLbl>
            <c:dLbl>
              <c:idx val="7"/>
              <c:delete val="1"/>
              <c:extLst>
                <c:ext xmlns:c15="http://schemas.microsoft.com/office/drawing/2012/chart" uri="{CE6537A1-D6FC-4f65-9D91-7224C49458BB}"/>
                <c:ext xmlns:c16="http://schemas.microsoft.com/office/drawing/2014/chart" uri="{C3380CC4-5D6E-409C-BE32-E72D297353CC}">
                  <c16:uniqueId val="{00000002-E28C-4043-B4EA-7024E2477FD9}"/>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'1'!$A$18:$A$26</c:f>
              <c:strCache>
                <c:ptCount val="9"/>
                <c:pt idx="0">
                  <c:v>ΑΠΟΝΟΜΗ ΔΙΚΑΙΟΣΥΝΗΣ</c:v>
                </c:pt>
                <c:pt idx="1">
                  <c:v>ΠΡΟΑΣΠΙΣΗ ΑΝΘΡΩΠΙΝΗΣ ΑΣΦΑΛΕΙΑΣ</c:v>
                </c:pt>
                <c:pt idx="2">
                  <c:v>ΨΗΦΙΑΚΗ ΔΙΚΑΙΟΣΥΝΗ</c:v>
                </c:pt>
                <c:pt idx="3">
                  <c:v>ΠΡΟΣΤΑΣΙΑ ΑΝΗΛΙΚΩΝ</c:v>
                </c:pt>
                <c:pt idx="4">
                  <c:v>ΕΠΙΤΕΛΙΚΟΣ ΣΥΝΤΟΝΙΣΜΟΣ ΚΑΙ ΕΠΕΝΔΥΣΕΙΣ ΥΠΟΥΡΓΕΙΟΥ ΔΙΚΑΙΟΣΥΝΗΣ</c:v>
                </c:pt>
                <c:pt idx="5">
                  <c:v>ΠΡΟΣΤΑΣΙΑ ΠΡΟΣΩΠΙΚΩΝ ΔΕΔΟΜΕΝΩΝ</c:v>
                </c:pt>
                <c:pt idx="6">
                  <c:v>ΠΡΟΣΤΑΣΙΑ ΤΟΥ ΔΙKAIΩΜΑΤΟΣ ΣΤΟ ΑΠΟΡΡΗΤΟ ΤΩΝ ΕΠΙΚΟΙΝΩΝΙΩΝ</c:v>
                </c:pt>
                <c:pt idx="7">
                  <c:v>ΖΗΤΗΜΑΤΑ ΔΗΜΟΣΙΩΝ ΣΥΜΒΑΣΕΩΝ ΚΑΙ ΠΡΟΔΙΚΑΣΤΙΚΩΝ ΠΡΟΣΦΥΓΩΝ</c:v>
                </c:pt>
                <c:pt idx="8">
                  <c:v>ΕΠΙΛΥΣΗ ΔΙΑΦΟΡΩΝ ΜΕΣΩ ΤΟΥ ΘΕΣΜΟΥ ΤΗΣ ΔΙΑΜΕΣΟΛΑΒΗΣΗΣ</c:v>
                </c:pt>
              </c:strCache>
            </c:strRef>
          </c:cat>
          <c:val>
            <c:numRef>
              <c:f>'1'!$B$18:$B$26</c:f>
              <c:numCache>
                <c:formatCode>#,##0\ "€"</c:formatCode>
                <c:ptCount val="9"/>
                <c:pt idx="0">
                  <c:v>569797890.69000006</c:v>
                </c:pt>
                <c:pt idx="1">
                  <c:v>48560308.700000003</c:v>
                </c:pt>
                <c:pt idx="2">
                  <c:v>7278329.2000000002</c:v>
                </c:pt>
                <c:pt idx="3">
                  <c:v>7122523</c:v>
                </c:pt>
                <c:pt idx="4">
                  <c:v>5629386.0300000003</c:v>
                </c:pt>
                <c:pt idx="5">
                  <c:v>2817000</c:v>
                </c:pt>
                <c:pt idx="6">
                  <c:v>2526000</c:v>
                </c:pt>
                <c:pt idx="7">
                  <c:v>0</c:v>
                </c:pt>
                <c:pt idx="8">
                  <c:v>4607584.5</c:v>
                </c:pt>
              </c:numCache>
            </c:numRef>
          </c:val>
          <c:extLst>
            <c:ext xmlns:c16="http://schemas.microsoft.com/office/drawing/2014/chart" uri="{C3380CC4-5D6E-409C-BE32-E72D297353CC}">
              <c16:uniqueId val="{00000003-E28C-4043-B4EA-7024E2477FD9}"/>
            </c:ext>
          </c:extLst>
        </c:ser>
        <c:ser>
          <c:idx val="1"/>
          <c:order val="1"/>
          <c:tx>
            <c:strRef>
              <c:f>'1'!$C$17</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0"/>
              <c:layout>
                <c:manualLayout>
                  <c:x val="-2.42557883131201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8C-4043-B4EA-7024E2477FD9}"/>
                </c:ext>
              </c:extLst>
            </c:dLbl>
            <c:dLbl>
              <c:idx val="2"/>
              <c:delete val="1"/>
              <c:extLst>
                <c:ext xmlns:c15="http://schemas.microsoft.com/office/drawing/2012/chart" uri="{CE6537A1-D6FC-4f65-9D91-7224C49458BB}"/>
                <c:ext xmlns:c16="http://schemas.microsoft.com/office/drawing/2014/chart" uri="{C3380CC4-5D6E-409C-BE32-E72D297353CC}">
                  <c16:uniqueId val="{00000005-E28C-4043-B4EA-7024E2477FD9}"/>
                </c:ext>
              </c:extLst>
            </c:dLbl>
            <c:dLbl>
              <c:idx val="5"/>
              <c:delete val="1"/>
              <c:extLst>
                <c:ext xmlns:c15="http://schemas.microsoft.com/office/drawing/2012/chart" uri="{CE6537A1-D6FC-4f65-9D91-7224C49458BB}"/>
                <c:ext xmlns:c16="http://schemas.microsoft.com/office/drawing/2014/chart" uri="{C3380CC4-5D6E-409C-BE32-E72D297353CC}">
                  <c16:uniqueId val="{00000006-E28C-4043-B4EA-7024E2477FD9}"/>
                </c:ext>
              </c:extLst>
            </c:dLbl>
            <c:dLbl>
              <c:idx val="6"/>
              <c:delete val="1"/>
              <c:extLst>
                <c:ext xmlns:c15="http://schemas.microsoft.com/office/drawing/2012/chart" uri="{CE6537A1-D6FC-4f65-9D91-7224C49458BB}"/>
                <c:ext xmlns:c16="http://schemas.microsoft.com/office/drawing/2014/chart" uri="{C3380CC4-5D6E-409C-BE32-E72D297353CC}">
                  <c16:uniqueId val="{00000007-E28C-4043-B4EA-7024E2477FD9}"/>
                </c:ext>
              </c:extLst>
            </c:dLbl>
            <c:dLbl>
              <c:idx val="8"/>
              <c:delete val="1"/>
              <c:extLst>
                <c:ext xmlns:c15="http://schemas.microsoft.com/office/drawing/2012/chart" uri="{CE6537A1-D6FC-4f65-9D91-7224C49458BB}"/>
                <c:ext xmlns:c16="http://schemas.microsoft.com/office/drawing/2014/chart" uri="{C3380CC4-5D6E-409C-BE32-E72D297353CC}">
                  <c16:uniqueId val="{00000008-E28C-4043-B4EA-7024E2477FD9}"/>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'1'!$A$18:$A$26</c:f>
              <c:strCache>
                <c:ptCount val="9"/>
                <c:pt idx="0">
                  <c:v>ΑΠΟΝΟΜΗ ΔΙΚΑΙΟΣΥΝΗΣ</c:v>
                </c:pt>
                <c:pt idx="1">
                  <c:v>ΠΡΟΑΣΠΙΣΗ ΑΝΘΡΩΠΙΝΗΣ ΑΣΦΑΛΕΙΑΣ</c:v>
                </c:pt>
                <c:pt idx="2">
                  <c:v>ΨΗΦΙΑΚΗ ΔΙΚΑΙΟΣΥΝΗ</c:v>
                </c:pt>
                <c:pt idx="3">
                  <c:v>ΠΡΟΣΤΑΣΙΑ ΑΝΗΛΙΚΩΝ</c:v>
                </c:pt>
                <c:pt idx="4">
                  <c:v>ΕΠΙΤΕΛΙΚΟΣ ΣΥΝΤΟΝΙΣΜΟΣ ΚΑΙ ΕΠΕΝΔΥΣΕΙΣ ΥΠΟΥΡΓΕΙΟΥ ΔΙΚΑΙΟΣΥΝΗΣ</c:v>
                </c:pt>
                <c:pt idx="5">
                  <c:v>ΠΡΟΣΤΑΣΙΑ ΠΡΟΣΩΠΙΚΩΝ ΔΕΔΟΜΕΝΩΝ</c:v>
                </c:pt>
                <c:pt idx="6">
                  <c:v>ΠΡΟΣΤΑΣΙΑ ΤΟΥ ΔΙKAIΩΜΑΤΟΣ ΣΤΟ ΑΠΟΡΡΗΤΟ ΤΩΝ ΕΠΙΚΟΙΝΩΝΙΩΝ</c:v>
                </c:pt>
                <c:pt idx="7">
                  <c:v>ΖΗΤΗΜΑΤΑ ΔΗΜΟΣΙΩΝ ΣΥΜΒΑΣΕΩΝ ΚΑΙ ΠΡΟΔΙΚΑΣΤΙΚΩΝ ΠΡΟΣΦΥΓΩΝ</c:v>
                </c:pt>
                <c:pt idx="8">
                  <c:v>ΕΠΙΛΥΣΗ ΔΙΑΦΟΡΩΝ ΜΕΣΩ ΤΟΥ ΘΕΣΜΟΥ ΤΗΣ ΔΙΑΜΕΣΟΛΑΒΗΣΗΣ</c:v>
                </c:pt>
              </c:strCache>
            </c:strRef>
          </c:cat>
          <c:val>
            <c:numRef>
              <c:f>'1'!$C$18:$C$26</c:f>
              <c:numCache>
                <c:formatCode>#,##0\ "€"</c:formatCode>
                <c:ptCount val="9"/>
                <c:pt idx="0">
                  <c:v>90740467.790000007</c:v>
                </c:pt>
                <c:pt idx="1">
                  <c:v>13129997.4</c:v>
                </c:pt>
                <c:pt idx="2">
                  <c:v>0</c:v>
                </c:pt>
                <c:pt idx="3">
                  <c:v>1480064.57</c:v>
                </c:pt>
                <c:pt idx="4">
                  <c:v>899370.81</c:v>
                </c:pt>
                <c:pt idx="5">
                  <c:v>0</c:v>
                </c:pt>
                <c:pt idx="6">
                  <c:v>0</c:v>
                </c:pt>
                <c:pt idx="7">
                  <c:v>9776400</c:v>
                </c:pt>
                <c:pt idx="8">
                  <c:v>0</c:v>
                </c:pt>
              </c:numCache>
            </c:numRef>
          </c:val>
          <c:extLst>
            <c:ext xmlns:c16="http://schemas.microsoft.com/office/drawing/2014/chart" uri="{C3380CC4-5D6E-409C-BE32-E72D297353CC}">
              <c16:uniqueId val="{00000009-E28C-4043-B4EA-7024E2477FD9}"/>
            </c:ext>
          </c:extLst>
        </c:ser>
        <c:dLbls>
          <c:showLegendKey val="0"/>
          <c:showVal val="0"/>
          <c:showCatName val="0"/>
          <c:showSerName val="0"/>
          <c:showPercent val="0"/>
          <c:showBubbleSize val="0"/>
        </c:dLbls>
        <c:gapWidth val="58"/>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767175468754446E-2"/>
          <c:y val="0.22862137078226047"/>
          <c:w val="0.90485070629975051"/>
          <c:h val="0.77046107638607031"/>
        </c:manualLayout>
      </c:layout>
      <c:pie3DChart>
        <c:varyColors val="1"/>
        <c:ser>
          <c:idx val="0"/>
          <c:order val="0"/>
          <c:tx>
            <c:strRef>
              <c:f>'1'!$B$30:$B$31</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8B08-4957-8B56-9E6BBF0DD785}"/>
              </c:ext>
            </c:extLst>
          </c:dPt>
          <c:dPt>
            <c:idx val="1"/>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8B08-4957-8B56-9E6BBF0DD785}"/>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8B08-4957-8B56-9E6BBF0DD785}"/>
              </c:ext>
            </c:extLst>
          </c:dPt>
          <c:dPt>
            <c:idx val="3"/>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7-8B08-4957-8B56-9E6BBF0DD785}"/>
              </c:ext>
            </c:extLst>
          </c:dPt>
          <c:dPt>
            <c:idx val="4"/>
            <c:bubble3D val="0"/>
            <c:explosion val="16"/>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9-8B08-4957-8B56-9E6BBF0DD785}"/>
              </c:ext>
            </c:extLst>
          </c:dPt>
          <c:dPt>
            <c:idx val="5"/>
            <c:bubble3D val="0"/>
            <c:spPr>
              <a:gradFill rotWithShape="1">
                <a:gsLst>
                  <a:gs pos="0">
                    <a:schemeClr val="accent1">
                      <a:tint val="72000"/>
                      <a:satMod val="103000"/>
                      <a:lumMod val="102000"/>
                      <a:tint val="94000"/>
                    </a:schemeClr>
                  </a:gs>
                  <a:gs pos="50000">
                    <a:schemeClr val="accent1">
                      <a:tint val="72000"/>
                      <a:satMod val="110000"/>
                      <a:lumMod val="100000"/>
                      <a:shade val="100000"/>
                    </a:schemeClr>
                  </a:gs>
                  <a:gs pos="100000">
                    <a:schemeClr val="accent1">
                      <a:tint val="72000"/>
                      <a:lumMod val="99000"/>
                      <a:satMod val="120000"/>
                      <a:shade val="78000"/>
                    </a:schemeClr>
                  </a:gs>
                </a:gsLst>
                <a:lin ang="5400000" scaled="0"/>
              </a:gradFill>
              <a:ln>
                <a:noFill/>
              </a:ln>
              <a:effectLst/>
              <a:sp3d/>
            </c:spPr>
            <c:extLst>
              <c:ext xmlns:c16="http://schemas.microsoft.com/office/drawing/2014/chart" uri="{C3380CC4-5D6E-409C-BE32-E72D297353CC}">
                <c16:uniqueId val="{0000000B-8B08-4957-8B56-9E6BBF0DD785}"/>
              </c:ext>
            </c:extLst>
          </c:dPt>
          <c:dPt>
            <c:idx val="6"/>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D-8B08-4957-8B56-9E6BBF0DD785}"/>
              </c:ext>
            </c:extLst>
          </c:dPt>
          <c:dPt>
            <c:idx val="7"/>
            <c:bubble3D val="0"/>
            <c:spPr>
              <a:gradFill rotWithShape="1">
                <a:gsLst>
                  <a:gs pos="0">
                    <a:schemeClr val="accent1">
                      <a:tint val="44000"/>
                      <a:satMod val="103000"/>
                      <a:lumMod val="102000"/>
                      <a:tint val="94000"/>
                    </a:schemeClr>
                  </a:gs>
                  <a:gs pos="50000">
                    <a:schemeClr val="accent1">
                      <a:tint val="44000"/>
                      <a:satMod val="110000"/>
                      <a:lumMod val="100000"/>
                      <a:shade val="100000"/>
                    </a:schemeClr>
                  </a:gs>
                  <a:gs pos="100000">
                    <a:schemeClr val="accent1">
                      <a:tint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0F-8B08-4957-8B56-9E6BBF0DD785}"/>
              </c:ext>
            </c:extLst>
          </c:dPt>
          <c:dPt>
            <c:idx val="8"/>
            <c:bubble3D val="0"/>
            <c:spPr>
              <a:gradFill rotWithShape="1">
                <a:gsLst>
                  <a:gs pos="0">
                    <a:schemeClr val="accent1">
                      <a:tint val="44000"/>
                      <a:satMod val="103000"/>
                      <a:lumMod val="102000"/>
                      <a:tint val="94000"/>
                    </a:schemeClr>
                  </a:gs>
                  <a:gs pos="50000">
                    <a:schemeClr val="accent1">
                      <a:tint val="44000"/>
                      <a:satMod val="110000"/>
                      <a:lumMod val="100000"/>
                      <a:shade val="100000"/>
                    </a:schemeClr>
                  </a:gs>
                  <a:gs pos="100000">
                    <a:schemeClr val="accent1">
                      <a:tint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11-8B08-4957-8B56-9E6BBF0DD785}"/>
              </c:ext>
            </c:extLst>
          </c:dPt>
          <c:dLbls>
            <c:dLbl>
              <c:idx val="0"/>
              <c:layout>
                <c:manualLayout>
                  <c:x val="9.4095508372221637E-2"/>
                  <c:y val="-0.1343678487386030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137105105522228"/>
                      <c:h val="0.17214679814395129"/>
                    </c:manualLayout>
                  </c15:layout>
                </c:ext>
                <c:ext xmlns:c16="http://schemas.microsoft.com/office/drawing/2014/chart" uri="{C3380CC4-5D6E-409C-BE32-E72D297353CC}">
                  <c16:uniqueId val="{00000001-8B08-4957-8B56-9E6BBF0DD785}"/>
                </c:ext>
              </c:extLst>
            </c:dLbl>
            <c:dLbl>
              <c:idx val="1"/>
              <c:layout>
                <c:manualLayout>
                  <c:x val="-0.18281363671878392"/>
                  <c:y val="0.2403759401729617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B08-4957-8B56-9E6BBF0DD785}"/>
                </c:ext>
              </c:extLst>
            </c:dLbl>
            <c:dLbl>
              <c:idx val="2"/>
              <c:layout>
                <c:manualLayout>
                  <c:x val="-2.7445670864178446E-2"/>
                  <c:y val="-4.590578239575723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B08-4957-8B56-9E6BBF0DD785}"/>
                </c:ext>
              </c:extLst>
            </c:dLbl>
            <c:dLbl>
              <c:idx val="3"/>
              <c:layout>
                <c:manualLayout>
                  <c:x val="-0.22467509918481804"/>
                  <c:y val="-4.644207158430701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B08-4957-8B56-9E6BBF0DD785}"/>
                </c:ext>
              </c:extLst>
            </c:dLbl>
            <c:dLbl>
              <c:idx val="4"/>
              <c:layout>
                <c:manualLayout>
                  <c:x val="0.18896946373136092"/>
                  <c:y val="-8.341532050761696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101031564839226"/>
                      <c:h val="0.13670103092783506"/>
                    </c:manualLayout>
                  </c15:layout>
                </c:ext>
                <c:ext xmlns:c16="http://schemas.microsoft.com/office/drawing/2014/chart" uri="{C3380CC4-5D6E-409C-BE32-E72D297353CC}">
                  <c16:uniqueId val="{00000009-8B08-4957-8B56-9E6BBF0DD785}"/>
                </c:ext>
              </c:extLst>
            </c:dLbl>
            <c:dLbl>
              <c:idx val="5"/>
              <c:layout>
                <c:manualLayout>
                  <c:x val="0.21433782739671314"/>
                  <c:y val="1.286031900299737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8B08-4957-8B56-9E6BBF0DD785}"/>
                </c:ext>
              </c:extLst>
            </c:dLbl>
            <c:dLbl>
              <c:idx val="6"/>
              <c:layout>
                <c:manualLayout>
                  <c:x val="0.27978886872878478"/>
                  <c:y val="-9.959232294215544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8B08-4957-8B56-9E6BBF0DD785}"/>
                </c:ext>
              </c:extLst>
            </c:dLbl>
            <c:dLbl>
              <c:idx val="7"/>
              <c:layout>
                <c:manualLayout>
                  <c:x val="-0.39024490185694816"/>
                  <c:y val="0.1493637571655263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8B08-4957-8B56-9E6BBF0DD785}"/>
                </c:ext>
              </c:extLst>
            </c:dLbl>
            <c:dLbl>
              <c:idx val="8"/>
              <c:layout>
                <c:manualLayout>
                  <c:x val="-0.19626596289576265"/>
                  <c:y val="-0.1182809617394221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4030315394699148"/>
                      <c:h val="0.13532556109350341"/>
                    </c:manualLayout>
                  </c15:layout>
                </c:ext>
                <c:ext xmlns:c16="http://schemas.microsoft.com/office/drawing/2014/chart" uri="{C3380CC4-5D6E-409C-BE32-E72D297353CC}">
                  <c16:uniqueId val="{00000011-8B08-4957-8B56-9E6BBF0DD785}"/>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'1'!$A$32:$A$40</c:f>
              <c:strCache>
                <c:ptCount val="9"/>
                <c:pt idx="0">
                  <c:v>ΑΠΟΝΟΜΗ ΔΙΚΑΙΟΣΥΝΗΣ</c:v>
                </c:pt>
                <c:pt idx="1">
                  <c:v>ΠΡΟΑΣΠΙΣΗ ΑΝΘΡΩΠΙΝΗΣ ΑΣΦΑΛΕΙΑΣ</c:v>
                </c:pt>
                <c:pt idx="2">
                  <c:v>ΨΗΦΙΑΚΗ ΔΙΚΑΙΟΣΥΝΗ</c:v>
                </c:pt>
                <c:pt idx="3">
                  <c:v>ΠΡΟΣΤΑΣΙΑ ΑΝΗΛΙΚΩΝ</c:v>
                </c:pt>
                <c:pt idx="4">
                  <c:v>ΕΠΙΤΕΛΙΚΟΣ ΣΥΝΤΟΝΙΣΜΟΣ ΚΑΙ ΕΠΕΝΔΥΣΕΙΣ ΥΠΟΥΡΓΕΙΟΥ ΔΙΚΑΙΟΣΥΝΗΣ</c:v>
                </c:pt>
                <c:pt idx="5">
                  <c:v>ΠΡΟΣΤΑΣΙΑ ΠΡΟΣΩΠΙΚΩΝ ΔΕΔΟΜΕΝΩΝ</c:v>
                </c:pt>
                <c:pt idx="6">
                  <c:v>ΠΡΟΣΤΑΣΙΑ ΤΟΥ ΔΙKAIΩΜΑΤΟΣ ΣΤΟ ΑΠΟΡΡΗΤΟ ΤΩΝ ΕΠΙΚΟΙΝΩΝΙΩΝ</c:v>
                </c:pt>
                <c:pt idx="7">
                  <c:v>ΖΗΤΗΜΑΤΑ ΔΗΜΟΣΙΩΝ ΣΥΜΒΑΣΕΩΝ ΚΑΙ ΠΡΟΔΙΚΑΣΤΙΚΩΝ ΠΡΟΣΦΥΓΩΝ</c:v>
                </c:pt>
                <c:pt idx="8">
                  <c:v>ΕΠΙΛΥΣΗ ΔΙΑΦΟΡΩΝ ΜΕΣΩ ΤΟΥ ΘΕΣΜΟΥ ΤΗΣ ΔΙΑΜΕΣΟΛΑΒΗΣΗΣ</c:v>
                </c:pt>
              </c:strCache>
            </c:strRef>
          </c:cat>
          <c:val>
            <c:numRef>
              <c:f>'1'!$B$32:$B$40</c:f>
              <c:numCache>
                <c:formatCode>_-* #,##0\ _€_-;\-* #,##0\ _€_-;_-* "-"??\ _€_-;_-@_-</c:formatCode>
                <c:ptCount val="9"/>
                <c:pt idx="0">
                  <c:v>9679</c:v>
                </c:pt>
                <c:pt idx="1">
                  <c:v>2189</c:v>
                </c:pt>
                <c:pt idx="2">
                  <c:v>37</c:v>
                </c:pt>
                <c:pt idx="3">
                  <c:v>181</c:v>
                </c:pt>
                <c:pt idx="4">
                  <c:v>119</c:v>
                </c:pt>
                <c:pt idx="5">
                  <c:v>56</c:v>
                </c:pt>
                <c:pt idx="6">
                  <c:v>36</c:v>
                </c:pt>
                <c:pt idx="7">
                  <c:v>130</c:v>
                </c:pt>
                <c:pt idx="8">
                  <c:v>6</c:v>
                </c:pt>
              </c:numCache>
            </c:numRef>
          </c:val>
          <c:extLst>
            <c:ext xmlns:c16="http://schemas.microsoft.com/office/drawing/2014/chart" uri="{C3380CC4-5D6E-409C-BE32-E72D297353CC}">
              <c16:uniqueId val="{00000012-8B08-4957-8B56-9E6BBF0DD78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3337654904E-2"/>
          <c:y val="0.27828770991424912"/>
          <c:w val="0.78900051220168577"/>
          <c:h val="0.68100661469253687"/>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spPr>
              <a:gradFill rotWithShape="1">
                <a:gsLst>
                  <a:gs pos="0">
                    <a:schemeClr val="accent1">
                      <a:shade val="38000"/>
                      <a:satMod val="103000"/>
                      <a:lumMod val="102000"/>
                      <a:tint val="94000"/>
                    </a:schemeClr>
                  </a:gs>
                  <a:gs pos="50000">
                    <a:schemeClr val="accent1">
                      <a:shade val="38000"/>
                      <a:satMod val="110000"/>
                      <a:lumMod val="100000"/>
                      <a:shade val="100000"/>
                    </a:schemeClr>
                  </a:gs>
                  <a:gs pos="100000">
                    <a:schemeClr val="accent1">
                      <a:shade val="38000"/>
                      <a:lumMod val="99000"/>
                      <a:satMod val="120000"/>
                      <a:shade val="78000"/>
                    </a:schemeClr>
                  </a:gs>
                </a:gsLst>
                <a:lin ang="5400000" scaled="0"/>
              </a:gradFill>
              <a:ln>
                <a:noFill/>
              </a:ln>
              <a:effectLst/>
              <a:sp3d/>
            </c:spPr>
            <c:extLst>
              <c:ext xmlns:c16="http://schemas.microsoft.com/office/drawing/2014/chart" uri="{C3380CC4-5D6E-409C-BE32-E72D297353CC}">
                <c16:uniqueId val="{00000001-2BD5-45E5-93D1-AB4EF66F4B76}"/>
              </c:ext>
            </c:extLst>
          </c:dPt>
          <c:dPt>
            <c:idx val="1"/>
            <c:bubble3D val="0"/>
            <c:explosion val="9"/>
            <c:spPr>
              <a:gradFill rotWithShape="1">
                <a:gsLst>
                  <a:gs pos="0">
                    <a:schemeClr val="accent1">
                      <a:shade val="46000"/>
                      <a:satMod val="103000"/>
                      <a:lumMod val="102000"/>
                      <a:tint val="94000"/>
                    </a:schemeClr>
                  </a:gs>
                  <a:gs pos="50000">
                    <a:schemeClr val="accent1">
                      <a:shade val="46000"/>
                      <a:satMod val="110000"/>
                      <a:lumMod val="100000"/>
                      <a:shade val="100000"/>
                    </a:schemeClr>
                  </a:gs>
                  <a:gs pos="100000">
                    <a:schemeClr val="accent1">
                      <a:shade val="46000"/>
                      <a:lumMod val="99000"/>
                      <a:satMod val="120000"/>
                      <a:shade val="78000"/>
                    </a:schemeClr>
                  </a:gs>
                </a:gsLst>
                <a:lin ang="5400000" scaled="0"/>
              </a:gradFill>
              <a:ln>
                <a:noFill/>
              </a:ln>
              <a:effectLst/>
              <a:sp3d/>
            </c:spPr>
            <c:extLst>
              <c:ext xmlns:c16="http://schemas.microsoft.com/office/drawing/2014/chart" uri="{C3380CC4-5D6E-409C-BE32-E72D297353CC}">
                <c16:uniqueId val="{00000003-2BD5-45E5-93D1-AB4EF66F4B76}"/>
              </c:ext>
            </c:extLst>
          </c:dPt>
          <c:dPt>
            <c:idx val="2"/>
            <c:bubble3D val="0"/>
            <c:spPr>
              <a:gradFill rotWithShape="1">
                <a:gsLst>
                  <a:gs pos="0">
                    <a:schemeClr val="accent1">
                      <a:shade val="54000"/>
                      <a:satMod val="103000"/>
                      <a:lumMod val="102000"/>
                      <a:tint val="94000"/>
                    </a:schemeClr>
                  </a:gs>
                  <a:gs pos="50000">
                    <a:schemeClr val="accent1">
                      <a:shade val="54000"/>
                      <a:satMod val="110000"/>
                      <a:lumMod val="100000"/>
                      <a:shade val="100000"/>
                    </a:schemeClr>
                  </a:gs>
                  <a:gs pos="100000">
                    <a:schemeClr val="accent1">
                      <a:shade val="54000"/>
                      <a:lumMod val="99000"/>
                      <a:satMod val="120000"/>
                      <a:shade val="78000"/>
                    </a:schemeClr>
                  </a:gs>
                </a:gsLst>
                <a:lin ang="5400000" scaled="0"/>
              </a:gradFill>
              <a:ln>
                <a:noFill/>
              </a:ln>
              <a:effectLst/>
              <a:sp3d/>
            </c:spPr>
            <c:extLst>
              <c:ext xmlns:c16="http://schemas.microsoft.com/office/drawing/2014/chart" uri="{C3380CC4-5D6E-409C-BE32-E72D297353CC}">
                <c16:uniqueId val="{00000005-2BD5-45E5-93D1-AB4EF66F4B76}"/>
              </c:ext>
            </c:extLst>
          </c:dPt>
          <c:dPt>
            <c:idx val="3"/>
            <c:bubble3D val="0"/>
            <c:spPr>
              <a:gradFill rotWithShape="1">
                <a:gsLst>
                  <a:gs pos="0">
                    <a:schemeClr val="accent1">
                      <a:shade val="62000"/>
                      <a:satMod val="103000"/>
                      <a:lumMod val="102000"/>
                      <a:tint val="94000"/>
                    </a:schemeClr>
                  </a:gs>
                  <a:gs pos="50000">
                    <a:schemeClr val="accent1">
                      <a:shade val="62000"/>
                      <a:satMod val="110000"/>
                      <a:lumMod val="100000"/>
                      <a:shade val="100000"/>
                    </a:schemeClr>
                  </a:gs>
                  <a:gs pos="100000">
                    <a:schemeClr val="accent1">
                      <a:shade val="62000"/>
                      <a:lumMod val="99000"/>
                      <a:satMod val="120000"/>
                      <a:shade val="78000"/>
                    </a:schemeClr>
                  </a:gs>
                </a:gsLst>
                <a:lin ang="5400000" scaled="0"/>
              </a:gradFill>
              <a:ln>
                <a:noFill/>
              </a:ln>
              <a:effectLst/>
              <a:sp3d/>
            </c:spPr>
            <c:extLst>
              <c:ext xmlns:c16="http://schemas.microsoft.com/office/drawing/2014/chart" uri="{C3380CC4-5D6E-409C-BE32-E72D297353CC}">
                <c16:uniqueId val="{00000007-2BD5-45E5-93D1-AB4EF66F4B76}"/>
              </c:ext>
            </c:extLst>
          </c:dPt>
          <c:dPt>
            <c:idx val="4"/>
            <c:bubble3D val="0"/>
            <c:explosion val="15"/>
            <c:spPr>
              <a:gradFill rotWithShape="1">
                <a:gsLst>
                  <a:gs pos="0">
                    <a:schemeClr val="accent1">
                      <a:shade val="71000"/>
                      <a:satMod val="103000"/>
                      <a:lumMod val="102000"/>
                      <a:tint val="94000"/>
                    </a:schemeClr>
                  </a:gs>
                  <a:gs pos="50000">
                    <a:schemeClr val="accent1">
                      <a:shade val="71000"/>
                      <a:satMod val="110000"/>
                      <a:lumMod val="100000"/>
                      <a:shade val="100000"/>
                    </a:schemeClr>
                  </a:gs>
                  <a:gs pos="100000">
                    <a:schemeClr val="accent1">
                      <a:shade val="71000"/>
                      <a:lumMod val="99000"/>
                      <a:satMod val="120000"/>
                      <a:shade val="78000"/>
                    </a:schemeClr>
                  </a:gs>
                </a:gsLst>
                <a:lin ang="5400000" scaled="0"/>
              </a:gradFill>
              <a:ln>
                <a:noFill/>
              </a:ln>
              <a:effectLst/>
              <a:sp3d/>
            </c:spPr>
            <c:extLst>
              <c:ext xmlns:c16="http://schemas.microsoft.com/office/drawing/2014/chart" uri="{C3380CC4-5D6E-409C-BE32-E72D297353CC}">
                <c16:uniqueId val="{00000009-2BD5-45E5-93D1-AB4EF66F4B76}"/>
              </c:ext>
            </c:extLst>
          </c:dPt>
          <c:dPt>
            <c:idx val="5"/>
            <c:bubble3D val="0"/>
            <c:spPr>
              <a:gradFill rotWithShape="1">
                <a:gsLst>
                  <a:gs pos="0">
                    <a:schemeClr val="accent1">
                      <a:shade val="79000"/>
                      <a:satMod val="103000"/>
                      <a:lumMod val="102000"/>
                      <a:tint val="94000"/>
                    </a:schemeClr>
                  </a:gs>
                  <a:gs pos="50000">
                    <a:schemeClr val="accent1">
                      <a:shade val="79000"/>
                      <a:satMod val="110000"/>
                      <a:lumMod val="100000"/>
                      <a:shade val="100000"/>
                    </a:schemeClr>
                  </a:gs>
                  <a:gs pos="100000">
                    <a:schemeClr val="accent1">
                      <a:shade val="79000"/>
                      <a:lumMod val="99000"/>
                      <a:satMod val="120000"/>
                      <a:shade val="78000"/>
                    </a:schemeClr>
                  </a:gs>
                </a:gsLst>
                <a:lin ang="5400000" scaled="0"/>
              </a:gradFill>
              <a:ln>
                <a:noFill/>
              </a:ln>
              <a:effectLst/>
              <a:sp3d/>
            </c:spPr>
            <c:extLst>
              <c:ext xmlns:c16="http://schemas.microsoft.com/office/drawing/2014/chart" uri="{C3380CC4-5D6E-409C-BE32-E72D297353CC}">
                <c16:uniqueId val="{0000000B-2BD5-45E5-93D1-AB4EF66F4B76}"/>
              </c:ext>
            </c:extLst>
          </c:dPt>
          <c:dPt>
            <c:idx val="6"/>
            <c:bubble3D val="0"/>
            <c:spPr>
              <a:gradFill rotWithShape="1">
                <a:gsLst>
                  <a:gs pos="0">
                    <a:schemeClr val="accent1">
                      <a:shade val="87000"/>
                      <a:satMod val="103000"/>
                      <a:lumMod val="102000"/>
                      <a:tint val="94000"/>
                    </a:schemeClr>
                  </a:gs>
                  <a:gs pos="50000">
                    <a:schemeClr val="accent1">
                      <a:shade val="87000"/>
                      <a:satMod val="110000"/>
                      <a:lumMod val="100000"/>
                      <a:shade val="100000"/>
                    </a:schemeClr>
                  </a:gs>
                  <a:gs pos="100000">
                    <a:schemeClr val="accent1">
                      <a:shade val="87000"/>
                      <a:lumMod val="99000"/>
                      <a:satMod val="120000"/>
                      <a:shade val="78000"/>
                    </a:schemeClr>
                  </a:gs>
                </a:gsLst>
                <a:lin ang="5400000" scaled="0"/>
              </a:gradFill>
              <a:ln>
                <a:noFill/>
              </a:ln>
              <a:effectLst/>
              <a:sp3d/>
            </c:spPr>
            <c:extLst>
              <c:ext xmlns:c16="http://schemas.microsoft.com/office/drawing/2014/chart" uri="{C3380CC4-5D6E-409C-BE32-E72D297353CC}">
                <c16:uniqueId val="{0000000D-2BD5-45E5-93D1-AB4EF66F4B76}"/>
              </c:ext>
            </c:extLst>
          </c:dPt>
          <c:dPt>
            <c:idx val="7"/>
            <c:bubble3D val="0"/>
            <c:spPr>
              <a:gradFill rotWithShape="1">
                <a:gsLst>
                  <a:gs pos="0">
                    <a:schemeClr val="accent1">
                      <a:shade val="95000"/>
                      <a:satMod val="103000"/>
                      <a:lumMod val="102000"/>
                      <a:tint val="94000"/>
                    </a:schemeClr>
                  </a:gs>
                  <a:gs pos="50000">
                    <a:schemeClr val="accent1">
                      <a:shade val="95000"/>
                      <a:satMod val="110000"/>
                      <a:lumMod val="100000"/>
                      <a:shade val="100000"/>
                    </a:schemeClr>
                  </a:gs>
                  <a:gs pos="100000">
                    <a:schemeClr val="accent1">
                      <a:shade val="95000"/>
                      <a:lumMod val="99000"/>
                      <a:satMod val="120000"/>
                      <a:shade val="78000"/>
                    </a:schemeClr>
                  </a:gs>
                </a:gsLst>
                <a:lin ang="5400000" scaled="0"/>
              </a:gradFill>
              <a:ln>
                <a:noFill/>
              </a:ln>
              <a:effectLst/>
              <a:sp3d/>
            </c:spPr>
            <c:extLst>
              <c:ext xmlns:c16="http://schemas.microsoft.com/office/drawing/2014/chart" uri="{C3380CC4-5D6E-409C-BE32-E72D297353CC}">
                <c16:uniqueId val="{0000000F-2BD5-45E5-93D1-AB4EF66F4B76}"/>
              </c:ext>
            </c:extLst>
          </c:dPt>
          <c:dPt>
            <c:idx val="8"/>
            <c:bubble3D val="0"/>
            <c:explosion val="9"/>
            <c:spPr>
              <a:gradFill rotWithShape="1">
                <a:gsLst>
                  <a:gs pos="0">
                    <a:schemeClr val="accent1">
                      <a:tint val="96000"/>
                      <a:satMod val="103000"/>
                      <a:lumMod val="102000"/>
                      <a:tint val="94000"/>
                    </a:schemeClr>
                  </a:gs>
                  <a:gs pos="50000">
                    <a:schemeClr val="accent1">
                      <a:tint val="96000"/>
                      <a:satMod val="110000"/>
                      <a:lumMod val="100000"/>
                      <a:shade val="100000"/>
                    </a:schemeClr>
                  </a:gs>
                  <a:gs pos="100000">
                    <a:schemeClr val="accent1">
                      <a:tint val="96000"/>
                      <a:lumMod val="99000"/>
                      <a:satMod val="120000"/>
                      <a:shade val="78000"/>
                    </a:schemeClr>
                  </a:gs>
                </a:gsLst>
                <a:lin ang="5400000" scaled="0"/>
              </a:gradFill>
              <a:ln>
                <a:noFill/>
              </a:ln>
              <a:effectLst/>
              <a:sp3d/>
            </c:spPr>
            <c:extLst>
              <c:ext xmlns:c16="http://schemas.microsoft.com/office/drawing/2014/chart" uri="{C3380CC4-5D6E-409C-BE32-E72D297353CC}">
                <c16:uniqueId val="{00000011-2BD5-45E5-93D1-AB4EF66F4B76}"/>
              </c:ext>
            </c:extLst>
          </c:dPt>
          <c:dPt>
            <c:idx val="9"/>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13-2BD5-45E5-93D1-AB4EF66F4B76}"/>
              </c:ext>
            </c:extLst>
          </c:dPt>
          <c:dPt>
            <c:idx val="10"/>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15-2BD5-45E5-93D1-AB4EF66F4B76}"/>
              </c:ext>
            </c:extLst>
          </c:dPt>
          <c:dPt>
            <c:idx val="11"/>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7-2BD5-45E5-93D1-AB4EF66F4B76}"/>
              </c:ext>
            </c:extLst>
          </c:dPt>
          <c:dPt>
            <c:idx val="12"/>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19-2BD5-45E5-93D1-AB4EF66F4B76}"/>
              </c:ext>
            </c:extLst>
          </c:dPt>
          <c:dPt>
            <c:idx val="13"/>
            <c:bubble3D val="0"/>
            <c:spPr>
              <a:gradFill rotWithShape="1">
                <a:gsLst>
                  <a:gs pos="0">
                    <a:schemeClr val="accent1">
                      <a:tint val="55000"/>
                      <a:satMod val="103000"/>
                      <a:lumMod val="102000"/>
                      <a:tint val="94000"/>
                    </a:schemeClr>
                  </a:gs>
                  <a:gs pos="50000">
                    <a:schemeClr val="accent1">
                      <a:tint val="55000"/>
                      <a:satMod val="110000"/>
                      <a:lumMod val="100000"/>
                      <a:shade val="100000"/>
                    </a:schemeClr>
                  </a:gs>
                  <a:gs pos="100000">
                    <a:schemeClr val="accent1">
                      <a:tint val="55000"/>
                      <a:lumMod val="99000"/>
                      <a:satMod val="120000"/>
                      <a:shade val="78000"/>
                    </a:schemeClr>
                  </a:gs>
                </a:gsLst>
                <a:lin ang="5400000" scaled="0"/>
              </a:gradFill>
              <a:ln>
                <a:noFill/>
              </a:ln>
              <a:effectLst/>
              <a:sp3d/>
            </c:spPr>
            <c:extLst>
              <c:ext xmlns:c16="http://schemas.microsoft.com/office/drawing/2014/chart" uri="{C3380CC4-5D6E-409C-BE32-E72D297353CC}">
                <c16:uniqueId val="{0000001B-2BD5-45E5-93D1-AB4EF66F4B76}"/>
              </c:ext>
            </c:extLst>
          </c:dPt>
          <c:dPt>
            <c:idx val="14"/>
            <c:bubble3D val="0"/>
            <c:spPr>
              <a:gradFill rotWithShape="1">
                <a:gsLst>
                  <a:gs pos="0">
                    <a:schemeClr val="accent1">
                      <a:tint val="47000"/>
                      <a:satMod val="103000"/>
                      <a:lumMod val="102000"/>
                      <a:tint val="94000"/>
                    </a:schemeClr>
                  </a:gs>
                  <a:gs pos="50000">
                    <a:schemeClr val="accent1">
                      <a:tint val="47000"/>
                      <a:satMod val="110000"/>
                      <a:lumMod val="100000"/>
                      <a:shade val="100000"/>
                    </a:schemeClr>
                  </a:gs>
                  <a:gs pos="100000">
                    <a:schemeClr val="accent1">
                      <a:tint val="47000"/>
                      <a:lumMod val="99000"/>
                      <a:satMod val="120000"/>
                      <a:shade val="78000"/>
                    </a:schemeClr>
                  </a:gs>
                </a:gsLst>
                <a:lin ang="5400000" scaled="0"/>
              </a:gradFill>
              <a:ln>
                <a:noFill/>
              </a:ln>
              <a:effectLst/>
              <a:sp3d/>
            </c:spPr>
            <c:extLst>
              <c:ext xmlns:c16="http://schemas.microsoft.com/office/drawing/2014/chart" uri="{C3380CC4-5D6E-409C-BE32-E72D297353CC}">
                <c16:uniqueId val="{0000001D-2BD5-45E5-93D1-AB4EF66F4B76}"/>
              </c:ext>
            </c:extLst>
          </c:dPt>
          <c:dPt>
            <c:idx val="15"/>
            <c:bubble3D val="0"/>
            <c:spPr>
              <a:gradFill rotWithShape="1">
                <a:gsLst>
                  <a:gs pos="0">
                    <a:schemeClr val="accent1">
                      <a:tint val="39000"/>
                      <a:satMod val="103000"/>
                      <a:lumMod val="102000"/>
                      <a:tint val="94000"/>
                    </a:schemeClr>
                  </a:gs>
                  <a:gs pos="50000">
                    <a:schemeClr val="accent1">
                      <a:tint val="39000"/>
                      <a:satMod val="110000"/>
                      <a:lumMod val="100000"/>
                      <a:shade val="100000"/>
                    </a:schemeClr>
                  </a:gs>
                  <a:gs pos="100000">
                    <a:schemeClr val="accent1">
                      <a:tint val="39000"/>
                      <a:lumMod val="99000"/>
                      <a:satMod val="120000"/>
                      <a:shade val="78000"/>
                    </a:schemeClr>
                  </a:gs>
                </a:gsLst>
                <a:lin ang="5400000" scaled="0"/>
              </a:gradFill>
              <a:ln>
                <a:noFill/>
              </a:ln>
              <a:effectLst/>
              <a:sp3d/>
            </c:spPr>
            <c:extLst>
              <c:ext xmlns:c16="http://schemas.microsoft.com/office/drawing/2014/chart" uri="{C3380CC4-5D6E-409C-BE32-E72D297353CC}">
                <c16:uniqueId val="{0000001F-2BD5-45E5-93D1-AB4EF66F4B76}"/>
              </c:ext>
            </c:extLst>
          </c:dPt>
          <c:dLbls>
            <c:dLbl>
              <c:idx val="0"/>
              <c:layout>
                <c:manualLayout>
                  <c:x val="0.12037729297068296"/>
                  <c:y val="-0.1982392194792633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4444434798461658"/>
                      <c:h val="0.11047997091872171"/>
                    </c:manualLayout>
                  </c15:layout>
                </c:ext>
                <c:ext xmlns:c16="http://schemas.microsoft.com/office/drawing/2014/chart" uri="{C3380CC4-5D6E-409C-BE32-E72D297353CC}">
                  <c16:uniqueId val="{00000001-2BD5-45E5-93D1-AB4EF66F4B76}"/>
                </c:ext>
              </c:extLst>
            </c:dLbl>
            <c:dLbl>
              <c:idx val="1"/>
              <c:layout>
                <c:manualLayout>
                  <c:x val="-1.3436220711352562E-2"/>
                  <c:y val="-3.701243545823628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0905346864717985"/>
                      <c:h val="9.4150313857099266E-2"/>
                    </c:manualLayout>
                  </c15:layout>
                </c:ext>
                <c:ext xmlns:c16="http://schemas.microsoft.com/office/drawing/2014/chart" uri="{C3380CC4-5D6E-409C-BE32-E72D297353CC}">
                  <c16:uniqueId val="{00000003-2BD5-45E5-93D1-AB4EF66F4B76}"/>
                </c:ext>
              </c:extLst>
            </c:dLbl>
            <c:dLbl>
              <c:idx val="3"/>
              <c:layout>
                <c:manualLayout>
                  <c:x val="0.17958121001137262"/>
                  <c:y val="-0.2203887024426975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2BD5-45E5-93D1-AB4EF66F4B76}"/>
                </c:ext>
              </c:extLst>
            </c:dLbl>
            <c:dLbl>
              <c:idx val="4"/>
              <c:layout>
                <c:manualLayout>
                  <c:x val="0.14177516950403243"/>
                  <c:y val="1.306872399400198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2BD5-45E5-93D1-AB4EF66F4B76}"/>
                </c:ext>
              </c:extLst>
            </c:dLbl>
            <c:dLbl>
              <c:idx val="5"/>
              <c:layout>
                <c:manualLayout>
                  <c:x val="0.20249988888890186"/>
                  <c:y val="0.1258156649090364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2BD5-45E5-93D1-AB4EF66F4B76}"/>
                </c:ext>
              </c:extLst>
            </c:dLbl>
            <c:dLbl>
              <c:idx val="6"/>
              <c:layout>
                <c:manualLayout>
                  <c:x val="0.28891039943050117"/>
                  <c:y val="-0.1095888699197019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8.6696299125784582E-2"/>
                      <c:h val="0.16093696243451841"/>
                    </c:manualLayout>
                  </c15:layout>
                </c:ext>
                <c:ext xmlns:c16="http://schemas.microsoft.com/office/drawing/2014/chart" uri="{C3380CC4-5D6E-409C-BE32-E72D297353CC}">
                  <c16:uniqueId val="{0000000D-2BD5-45E5-93D1-AB4EF66F4B76}"/>
                </c:ext>
              </c:extLst>
            </c:dLbl>
            <c:dLbl>
              <c:idx val="7"/>
              <c:layout>
                <c:manualLayout>
                  <c:x val="0"/>
                  <c:y val="0.1884841097198203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2BD5-45E5-93D1-AB4EF66F4B76}"/>
                </c:ext>
              </c:extLst>
            </c:dLbl>
            <c:dLbl>
              <c:idx val="8"/>
              <c:layout>
                <c:manualLayout>
                  <c:x val="-2.6761062254208302E-2"/>
                  <c:y val="-6.093631329884258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2BD5-45E5-93D1-AB4EF66F4B76}"/>
                </c:ext>
              </c:extLst>
            </c:dLbl>
            <c:dLbl>
              <c:idx val="9"/>
              <c:layout>
                <c:manualLayout>
                  <c:x val="-0.12628041688184113"/>
                  <c:y val="2.464694222278622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2BD5-45E5-93D1-AB4EF66F4B76}"/>
                </c:ext>
              </c:extLst>
            </c:dLbl>
            <c:dLbl>
              <c:idx val="10"/>
              <c:layout>
                <c:manualLayout>
                  <c:x val="2.0307842483774572E-2"/>
                  <c:y val="-4.145606611358335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2585183717097262"/>
                      <c:h val="0.1101834184457194"/>
                    </c:manualLayout>
                  </c15:layout>
                </c:ext>
                <c:ext xmlns:c16="http://schemas.microsoft.com/office/drawing/2014/chart" uri="{C3380CC4-5D6E-409C-BE32-E72D297353CC}">
                  <c16:uniqueId val="{00000015-2BD5-45E5-93D1-AB4EF66F4B76}"/>
                </c:ext>
              </c:extLst>
            </c:dLbl>
            <c:dLbl>
              <c:idx val="11"/>
              <c:layout>
                <c:manualLayout>
                  <c:x val="-0.12576417697605657"/>
                  <c:y val="1.266950478105179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9.9597531014246149E-2"/>
                      <c:h val="0.13424645085069231"/>
                    </c:manualLayout>
                  </c15:layout>
                </c:ext>
                <c:ext xmlns:c16="http://schemas.microsoft.com/office/drawing/2014/chart" uri="{C3380CC4-5D6E-409C-BE32-E72D297353CC}">
                  <c16:uniqueId val="{00000017-2BD5-45E5-93D1-AB4EF66F4B76}"/>
                </c:ext>
              </c:extLst>
            </c:dLbl>
            <c:dLbl>
              <c:idx val="12"/>
              <c:layout>
                <c:manualLayout>
                  <c:x val="-0.26206625632655894"/>
                  <c:y val="-7.9794191533972519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4139205116"/>
                      <c:h val="0.13485434520153439"/>
                    </c:manualLayout>
                  </c15:layout>
                </c:ext>
                <c:ext xmlns:c16="http://schemas.microsoft.com/office/drawing/2014/chart" uri="{C3380CC4-5D6E-409C-BE32-E72D297353CC}">
                  <c16:uniqueId val="{00000019-2BD5-45E5-93D1-AB4EF66F4B76}"/>
                </c:ext>
              </c:extLst>
            </c:dLbl>
            <c:dLbl>
              <c:idx val="13"/>
              <c:layout>
                <c:manualLayout>
                  <c:x val="-7.1145065252130213E-2"/>
                  <c:y val="-0.2060216494973593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9577025584040142"/>
                      <c:h val="0.14390494057162886"/>
                    </c:manualLayout>
                  </c15:layout>
                </c:ext>
                <c:ext xmlns:c16="http://schemas.microsoft.com/office/drawing/2014/chart" uri="{C3380CC4-5D6E-409C-BE32-E72D297353CC}">
                  <c16:uniqueId val="{0000001B-2BD5-45E5-93D1-AB4EF66F4B76}"/>
                </c:ext>
              </c:extLst>
            </c:dLbl>
            <c:dLbl>
              <c:idx val="14"/>
              <c:layout>
                <c:manualLayout>
                  <c:x val="6.9873338600039928E-2"/>
                  <c:y val="-0.1389883869627590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D-2BD5-45E5-93D1-AB4EF66F4B76}"/>
                </c:ext>
              </c:extLst>
            </c:dLbl>
            <c:dLbl>
              <c:idx val="15"/>
              <c:layout>
                <c:manualLayout>
                  <c:x val="-0.1909013881533827"/>
                  <c:y val="-0.1426738547623838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6374066331400833"/>
                      <c:h val="7.1415691422847538E-2"/>
                    </c:manualLayout>
                  </c15:layout>
                </c:ext>
                <c:ext xmlns:c16="http://schemas.microsoft.com/office/drawing/2014/chart" uri="{C3380CC4-5D6E-409C-BE32-E72D297353CC}">
                  <c16:uniqueId val="{0000001F-2BD5-45E5-93D1-AB4EF66F4B76}"/>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'1'!$A$4:$A$19</c:f>
              <c:strCache>
                <c:ptCount val="16"/>
                <c:pt idx="0">
                  <c:v>ΠΑΝΕΠΙΣΤΗΜΙΑΚΑ ΝΟΣΟΚΟΜΕΙΑ</c:v>
                </c:pt>
                <c:pt idx="1">
                  <c:v>ΘΡΗΣΚΕΙΑ</c:v>
                </c:pt>
                <c:pt idx="2">
                  <c:v>ΣΧΟΛΙΚΟΣ/ ΠΑΝΕΠΙΣΤΗΜΙΑΚΟΣ ΑΘΛΗΤΙΣΜΟΣ</c:v>
                </c:pt>
                <c:pt idx="3">
                  <c:v>ΔΗΜΟΣΙΕΣ ΒΙΒΛΙΟΘΗΚΕΣ/ ΓΕΝΙΚΑ ΑΡΧΕΙΑ</c:v>
                </c:pt>
                <c:pt idx="4">
                  <c:v>ΕΡΑΣΙΤΕΧΝΙΚΟΣ ΚΑΙ ΕΠΑΓΓΕΛΜΑΤΙΚΟΣ ΑΘΛΗΤΙΣΜΟΣ</c:v>
                </c:pt>
                <c:pt idx="5">
                  <c:v>ΑΘΛΗΣΗ ΓΙΑ ΟΛΟΥΣ, ΑΝΑΨΥΧΗ, ΑΘΛΟΤΟΥΡΙΣΜΟΣ, ΕΠΙΣΤΗΜΟΝΙΚΗ ΥΠΟΣΤΗΡΙΞΗ ΚΑΙ ΔΙΕΘΝΕΙΣ ΣΧΕΣΕΙΣ</c:v>
                </c:pt>
                <c:pt idx="6">
                  <c:v>ΕΡΓΑ ΥΠΟΔΟΜΩΝ ΑΘΛΗΤΙΣΜΟΥ</c:v>
                </c:pt>
                <c:pt idx="7">
                  <c:v>ΠΡΩΤΟΒΑΘΜΙΑ/ ΔΕΥΤΕΡΟΒΑΘΜΙΑ ΕΚΠΑΙΔΕΥΣΗ</c:v>
                </c:pt>
                <c:pt idx="8">
                  <c:v>ΤΡΙΤΟΒΑΘΜΙΑ ΕΚΠΑΙΔΕΥΣΗ</c:v>
                </c:pt>
                <c:pt idx="9">
                  <c:v>ΕΠΑΓΓΕΛΜΑΤΙΚΗ ΕΚΠΑΙΔΕΥΣΗ ΚΑΙ ΔΙΑ ΒΙΟΥ ΜΑΘΗΣΗ</c:v>
                </c:pt>
                <c:pt idx="10">
                  <c:v>ΕΚΠΑΙΔΕΥΣΗ ΕΛΛΗΝΟΠΑΙΔΩΝ ΕΞΩΤΕΡΙΚΟΥ</c:v>
                </c:pt>
                <c:pt idx="11">
                  <c:v>ΘΡΗΣΚΕΥΤΙΚΗ ΕΚΠΑΙΔΕΥΣΗ</c:v>
                </c:pt>
                <c:pt idx="12">
                  <c:v>ΕΠΙΤΕΛΙΚΟΣ ΣΥΝΤΟΝΙΣΜΟΣ ΚΑΙ ΕΠΕΝΔΥΣΕΙΣ ΥΠΟΥΡΓΕΙΟΥ ΠΑΙΔΕΙΑΣ, ΘΡΗΣΚΕΥΜΑΤΩΝ ΚΑΙ ΑΘΛΗΤΙΣΜΟΥ</c:v>
                </c:pt>
                <c:pt idx="13">
                  <c:v>ΔΙΑΣΦΑΛΙΣΗ ΤΗΣ ΠΟΙΟΤΗΤΑΣ ΣΤΗΝ ΠΡΩΤΟΒΑΘΜΙΑ ΚΑΙ ΔΕΥΤΕΡΟΒΑΘΜΙΑ ΕΚΠΑΙΔΕΥΣΗ</c:v>
                </c:pt>
                <c:pt idx="14">
                  <c:v>ΕΘΝΙΚΗ ΑΡΧΗ ΑΝΩΤΑΤΗΣ ΕΚΠΑΙΔΕΥΣΗΣ</c:v>
                </c:pt>
                <c:pt idx="15">
                  <c:v>ΕΘΝΙΚΟΣ ΟΡΓΑΝΙΣΜΟΣ ΕΞΕΤΑΣΕΩΝ</c:v>
                </c:pt>
              </c:strCache>
            </c:strRef>
          </c:cat>
          <c:val>
            <c:numRef>
              <c:f>'1'!$B$4:$B$19</c:f>
              <c:numCache>
                <c:formatCode>#,##0\ "€"</c:formatCode>
                <c:ptCount val="16"/>
                <c:pt idx="0">
                  <c:v>23385469.879999999</c:v>
                </c:pt>
                <c:pt idx="1">
                  <c:v>228845036.19999999</c:v>
                </c:pt>
                <c:pt idx="2">
                  <c:v>3216843.18</c:v>
                </c:pt>
                <c:pt idx="3">
                  <c:v>30763305.199999999</c:v>
                </c:pt>
                <c:pt idx="4">
                  <c:v>93182200.200000003</c:v>
                </c:pt>
                <c:pt idx="5">
                  <c:v>48954270</c:v>
                </c:pt>
                <c:pt idx="6">
                  <c:v>65256394.5</c:v>
                </c:pt>
                <c:pt idx="7">
                  <c:v>4105158935.9299998</c:v>
                </c:pt>
                <c:pt idx="8">
                  <c:v>1457580950.52</c:v>
                </c:pt>
                <c:pt idx="9">
                  <c:v>486068053.83999997</c:v>
                </c:pt>
                <c:pt idx="10">
                  <c:v>19082456</c:v>
                </c:pt>
                <c:pt idx="11">
                  <c:v>7294689.4000000004</c:v>
                </c:pt>
                <c:pt idx="12">
                  <c:v>188311395.15000001</c:v>
                </c:pt>
                <c:pt idx="13">
                  <c:v>77000</c:v>
                </c:pt>
                <c:pt idx="14">
                  <c:v>6667000</c:v>
                </c:pt>
                <c:pt idx="15">
                  <c:v>89000</c:v>
                </c:pt>
              </c:numCache>
            </c:numRef>
          </c:val>
          <c:extLst>
            <c:ext xmlns:c16="http://schemas.microsoft.com/office/drawing/2014/chart" uri="{C3380CC4-5D6E-409C-BE32-E72D297353CC}">
              <c16:uniqueId val="{00000020-2BD5-45E5-93D1-AB4EF66F4B76}"/>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8236414882194029"/>
          <c:y val="1.5950696932419513E-2"/>
          <c:w val="0.50119340169327808"/>
          <c:h val="0.81356971887947971"/>
        </c:manualLayout>
      </c:layout>
      <c:bar3DChart>
        <c:barDir val="bar"/>
        <c:grouping val="percentStacked"/>
        <c:varyColors val="0"/>
        <c:ser>
          <c:idx val="0"/>
          <c:order val="0"/>
          <c:tx>
            <c:strRef>
              <c:f>'1'!$B$24</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11"/>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97-492F-AFA4-439C334FA1F9}"/>
                </c:ext>
              </c:extLst>
            </c:dLbl>
            <c:dLbl>
              <c:idx val="12"/>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97-492F-AFA4-439C334FA1F9}"/>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'1'!$A$25:$A$40</c:f>
              <c:strCache>
                <c:ptCount val="16"/>
                <c:pt idx="0">
                  <c:v>ΠΑΝΕΠΙΣΤΗΜΙΑΚΑ ΝΟΣΟΚΟΜΕΙΑ</c:v>
                </c:pt>
                <c:pt idx="1">
                  <c:v>ΘΡΗΣΚΕΙΑ</c:v>
                </c:pt>
                <c:pt idx="2">
                  <c:v>ΣΧΟΛΙΚΟΣ/ ΠΑΝΕΠΙΣΤΗΜΙΑΚΟΣ ΑΘΛΗΤΙΣΜΟΣ</c:v>
                </c:pt>
                <c:pt idx="3">
                  <c:v>ΔΗΜΟΣΙΕΣ ΒΙΒΛΙΟΘΗΚΕΣ/ ΓΕΝΙΚΑ ΑΡΧΕΙΑ</c:v>
                </c:pt>
                <c:pt idx="4">
                  <c:v>ΕΡΑΣΙΤΕΧΝΙΚΟΣ ΚΑΙ ΕΠΑΓΓΕΛΜΑΤΙΚΟΣ ΑΘΛΗΤΙΣΜΟΣ</c:v>
                </c:pt>
                <c:pt idx="5">
                  <c:v>ΑΘΛΗΣΗ ΓΙΑ ΟΛΟΥΣ, ΑΝΑΨΥΧΗ, ΑΘΛΟΤΟΥΡΙΣΜΟΣ, ΕΠΙΣΤΗΜΟΝΙΚΗ ΥΠΟΣΤΗΡΙΞΗ ΚΑΙ ΔΙΕΘΝΕΙΣ ΣΧΕΣΕΙΣ</c:v>
                </c:pt>
                <c:pt idx="6">
                  <c:v>ΕΡΓΑ ΥΠΟΔΟΜΩΝ ΑΘΛΗΤΙΣΜΟΥ</c:v>
                </c:pt>
                <c:pt idx="7">
                  <c:v>ΠΡΩΤΟΒΑΘΜΙΑ/ ΔΕΥΤΕΡΟΒΑΘΜΙΑ ΕΚΠΑΙΔΕΥΣΗ</c:v>
                </c:pt>
                <c:pt idx="8">
                  <c:v>ΤΡΙΤΟΒΑΘΜΙΑ ΕΚΠΑΙΔΕΥΣΗ</c:v>
                </c:pt>
                <c:pt idx="9">
                  <c:v>ΕΠΑΓΓΕΛΜΑΤΙΚΗ ΕΚΠΑΙΔΕΥΣΗ ΚΑΙ ΔΙΑ ΒΙΟΥ ΜΑΘΗΣΗ</c:v>
                </c:pt>
                <c:pt idx="10">
                  <c:v>ΕΚΠΑΙΔΕΥΣΗ ΕΛΛΗΝΟΠΑΙΔΩΝ ΕΞΩΤΕΡΙΚΟΥ</c:v>
                </c:pt>
                <c:pt idx="11">
                  <c:v>ΘΡΗΣΚΕΥΤΙΚΗ ΕΚΠΑΙΔΕΥΣΗ</c:v>
                </c:pt>
                <c:pt idx="12">
                  <c:v>ΕΠΙΤΕΛΙΚΟΣ ΣΥΝΤΟΝΙΣΜΟΣ ΚΑΙ ΕΠΕΝΔΥΣΕΙΣ ΥΠΟΥΡΓΕΙΟΥ ΠΑΙΔΕΙΑΣ, ΘΡΗΣΚΕΥΜΑΤΩΝ ΚΑΙ ΑΘΛΗΤΙΣΜΟΥ</c:v>
                </c:pt>
                <c:pt idx="13">
                  <c:v>ΔΙΑΣΦΑΛΙΣΗ ΤΗΣ ΠΟΙΟΤΗΤΑΣ ΣΤΗΝ ΠΡΩΤΟΒΑΘΜΙΑ ΚΑΙ ΔΕΥΤΕΡΟΒΑΘΜΙΑ ΕΚΠΑΙΔΕΥΣΗ</c:v>
                </c:pt>
                <c:pt idx="14">
                  <c:v>ΕΘΝΙΚΗ ΑΡΧΗ ΑΝΩΤΑΤΗΣ ΕΚΠΑΙΔΕΥΣΗΣ</c:v>
                </c:pt>
                <c:pt idx="15">
                  <c:v>ΕΘΝΙΚΟΣ ΟΡΓΑΝΙΣΜΟΣ ΕΞΕΤΑΣΕΩΝ</c:v>
                </c:pt>
              </c:strCache>
            </c:strRef>
          </c:cat>
          <c:val>
            <c:numRef>
              <c:f>'1'!$B$25:$B$40</c:f>
              <c:numCache>
                <c:formatCode>#,##0\ "€"</c:formatCode>
                <c:ptCount val="16"/>
                <c:pt idx="0">
                  <c:v>11903769.84</c:v>
                </c:pt>
                <c:pt idx="1">
                  <c:v>228845036.19999999</c:v>
                </c:pt>
                <c:pt idx="2">
                  <c:v>3118843.18</c:v>
                </c:pt>
                <c:pt idx="3">
                  <c:v>19445305.199999999</c:v>
                </c:pt>
                <c:pt idx="4">
                  <c:v>33181790.219999999</c:v>
                </c:pt>
                <c:pt idx="5">
                  <c:v>27181923.579999998</c:v>
                </c:pt>
                <c:pt idx="6">
                  <c:v>63991412.289999999</c:v>
                </c:pt>
                <c:pt idx="7">
                  <c:v>4008781973.9000001</c:v>
                </c:pt>
                <c:pt idx="8">
                  <c:v>921136461.63</c:v>
                </c:pt>
                <c:pt idx="9">
                  <c:v>346145245.10000002</c:v>
                </c:pt>
                <c:pt idx="10">
                  <c:v>19082456</c:v>
                </c:pt>
                <c:pt idx="11">
                  <c:v>6906689.4000000004</c:v>
                </c:pt>
                <c:pt idx="12">
                  <c:v>187833134.41</c:v>
                </c:pt>
                <c:pt idx="13">
                  <c:v>77000</c:v>
                </c:pt>
                <c:pt idx="14">
                  <c:v>6667000</c:v>
                </c:pt>
                <c:pt idx="15">
                  <c:v>89000</c:v>
                </c:pt>
              </c:numCache>
            </c:numRef>
          </c:val>
          <c:extLst>
            <c:ext xmlns:c16="http://schemas.microsoft.com/office/drawing/2014/chart" uri="{C3380CC4-5D6E-409C-BE32-E72D297353CC}">
              <c16:uniqueId val="{00000002-EE97-492F-AFA4-439C334FA1F9}"/>
            </c:ext>
          </c:extLst>
        </c:ser>
        <c:ser>
          <c:idx val="1"/>
          <c:order val="1"/>
          <c:tx>
            <c:strRef>
              <c:f>'1'!$C$24</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EE97-492F-AFA4-439C334FA1F9}"/>
                </c:ext>
              </c:extLst>
            </c:dLbl>
            <c:dLbl>
              <c:idx val="2"/>
              <c:layout>
                <c:manualLayout>
                  <c:x val="-3.52811466372657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97-492F-AFA4-439C334FA1F9}"/>
                </c:ext>
              </c:extLst>
            </c:dLbl>
            <c:dLbl>
              <c:idx val="6"/>
              <c:layout>
                <c:manualLayout>
                  <c:x val="-2.425578831312017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97-492F-AFA4-439C334FA1F9}"/>
                </c:ext>
              </c:extLst>
            </c:dLbl>
            <c:dLbl>
              <c:idx val="7"/>
              <c:layout>
                <c:manualLayout>
                  <c:x val="-3.96912899669239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97-492F-AFA4-439C334FA1F9}"/>
                </c:ext>
              </c:extLst>
            </c:dLbl>
            <c:dLbl>
              <c:idx val="10"/>
              <c:delete val="1"/>
              <c:extLst>
                <c:ext xmlns:c15="http://schemas.microsoft.com/office/drawing/2012/chart" uri="{CE6537A1-D6FC-4f65-9D91-7224C49458BB}"/>
                <c:ext xmlns:c16="http://schemas.microsoft.com/office/drawing/2014/chart" uri="{C3380CC4-5D6E-409C-BE32-E72D297353CC}">
                  <c16:uniqueId val="{00000007-EE97-492F-AFA4-439C334FA1F9}"/>
                </c:ext>
              </c:extLst>
            </c:dLbl>
            <c:dLbl>
              <c:idx val="11"/>
              <c:layout>
                <c:manualLayout>
                  <c:x val="-3.0871003307607496E-2"/>
                  <c:y val="-3.843421708081507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97-492F-AFA4-439C334FA1F9}"/>
                </c:ext>
              </c:extLst>
            </c:dLbl>
            <c:dLbl>
              <c:idx val="12"/>
              <c:layout>
                <c:manualLayout>
                  <c:x val="-3.08710033076074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97-492F-AFA4-439C334FA1F9}"/>
                </c:ext>
              </c:extLst>
            </c:dLbl>
            <c:dLbl>
              <c:idx val="13"/>
              <c:delete val="1"/>
              <c:extLst>
                <c:ext xmlns:c15="http://schemas.microsoft.com/office/drawing/2012/chart" uri="{CE6537A1-D6FC-4f65-9D91-7224C49458BB}"/>
                <c:ext xmlns:c16="http://schemas.microsoft.com/office/drawing/2014/chart" uri="{C3380CC4-5D6E-409C-BE32-E72D297353CC}">
                  <c16:uniqueId val="{0000000A-EE97-492F-AFA4-439C334FA1F9}"/>
                </c:ext>
              </c:extLst>
            </c:dLbl>
            <c:dLbl>
              <c:idx val="14"/>
              <c:delete val="1"/>
              <c:extLst>
                <c:ext xmlns:c15="http://schemas.microsoft.com/office/drawing/2012/chart" uri="{CE6537A1-D6FC-4f65-9D91-7224C49458BB}"/>
                <c:ext xmlns:c16="http://schemas.microsoft.com/office/drawing/2014/chart" uri="{C3380CC4-5D6E-409C-BE32-E72D297353CC}">
                  <c16:uniqueId val="{0000000B-EE97-492F-AFA4-439C334FA1F9}"/>
                </c:ext>
              </c:extLst>
            </c:dLbl>
            <c:dLbl>
              <c:idx val="15"/>
              <c:delete val="1"/>
              <c:extLst>
                <c:ext xmlns:c15="http://schemas.microsoft.com/office/drawing/2012/chart" uri="{CE6537A1-D6FC-4f65-9D91-7224C49458BB}"/>
                <c:ext xmlns:c16="http://schemas.microsoft.com/office/drawing/2014/chart" uri="{C3380CC4-5D6E-409C-BE32-E72D297353CC}">
                  <c16:uniqueId val="{0000000C-EE97-492F-AFA4-439C334FA1F9}"/>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'1'!$A$25:$A$40</c:f>
              <c:strCache>
                <c:ptCount val="16"/>
                <c:pt idx="0">
                  <c:v>ΠΑΝΕΠΙΣΤΗΜΙΑΚΑ ΝΟΣΟΚΟΜΕΙΑ</c:v>
                </c:pt>
                <c:pt idx="1">
                  <c:v>ΘΡΗΣΚΕΙΑ</c:v>
                </c:pt>
                <c:pt idx="2">
                  <c:v>ΣΧΟΛΙΚΟΣ/ ΠΑΝΕΠΙΣΤΗΜΙΑΚΟΣ ΑΘΛΗΤΙΣΜΟΣ</c:v>
                </c:pt>
                <c:pt idx="3">
                  <c:v>ΔΗΜΟΣΙΕΣ ΒΙΒΛΙΟΘΗΚΕΣ/ ΓΕΝΙΚΑ ΑΡΧΕΙΑ</c:v>
                </c:pt>
                <c:pt idx="4">
                  <c:v>ΕΡΑΣΙΤΕΧΝΙΚΟΣ ΚΑΙ ΕΠΑΓΓΕΛΜΑΤΙΚΟΣ ΑΘΛΗΤΙΣΜΟΣ</c:v>
                </c:pt>
                <c:pt idx="5">
                  <c:v>ΑΘΛΗΣΗ ΓΙΑ ΟΛΟΥΣ, ΑΝΑΨΥΧΗ, ΑΘΛΟΤΟΥΡΙΣΜΟΣ, ΕΠΙΣΤΗΜΟΝΙΚΗ ΥΠΟΣΤΗΡΙΞΗ ΚΑΙ ΔΙΕΘΝΕΙΣ ΣΧΕΣΕΙΣ</c:v>
                </c:pt>
                <c:pt idx="6">
                  <c:v>ΕΡΓΑ ΥΠΟΔΟΜΩΝ ΑΘΛΗΤΙΣΜΟΥ</c:v>
                </c:pt>
                <c:pt idx="7">
                  <c:v>ΠΡΩΤΟΒΑΘΜΙΑ/ ΔΕΥΤΕΡΟΒΑΘΜΙΑ ΕΚΠΑΙΔΕΥΣΗ</c:v>
                </c:pt>
                <c:pt idx="8">
                  <c:v>ΤΡΙΤΟΒΑΘΜΙΑ ΕΚΠΑΙΔΕΥΣΗ</c:v>
                </c:pt>
                <c:pt idx="9">
                  <c:v>ΕΠΑΓΓΕΛΜΑΤΙΚΗ ΕΚΠΑΙΔΕΥΣΗ ΚΑΙ ΔΙΑ ΒΙΟΥ ΜΑΘΗΣΗ</c:v>
                </c:pt>
                <c:pt idx="10">
                  <c:v>ΕΚΠΑΙΔΕΥΣΗ ΕΛΛΗΝΟΠΑΙΔΩΝ ΕΞΩΤΕΡΙΚΟΥ</c:v>
                </c:pt>
                <c:pt idx="11">
                  <c:v>ΘΡΗΣΚΕΥΤΙΚΗ ΕΚΠΑΙΔΕΥΣΗ</c:v>
                </c:pt>
                <c:pt idx="12">
                  <c:v>ΕΠΙΤΕΛΙΚΟΣ ΣΥΝΤΟΝΙΣΜΟΣ ΚΑΙ ΕΠΕΝΔΥΣΕΙΣ ΥΠΟΥΡΓΕΙΟΥ ΠΑΙΔΕΙΑΣ, ΘΡΗΣΚΕΥΜΑΤΩΝ ΚΑΙ ΑΘΛΗΤΙΣΜΟΥ</c:v>
                </c:pt>
                <c:pt idx="13">
                  <c:v>ΔΙΑΣΦΑΛΙΣΗ ΤΗΣ ΠΟΙΟΤΗΤΑΣ ΣΤΗΝ ΠΡΩΤΟΒΑΘΜΙΑ ΚΑΙ ΔΕΥΤΕΡΟΒΑΘΜΙΑ ΕΚΠΑΙΔΕΥΣΗ</c:v>
                </c:pt>
                <c:pt idx="14">
                  <c:v>ΕΘΝΙΚΗ ΑΡΧΗ ΑΝΩΤΑΤΗΣ ΕΚΠΑΙΔΕΥΣΗΣ</c:v>
                </c:pt>
                <c:pt idx="15">
                  <c:v>ΕΘΝΙΚΟΣ ΟΡΓΑΝΙΣΜΟΣ ΕΞΕΤΑΣΕΩΝ</c:v>
                </c:pt>
              </c:strCache>
            </c:strRef>
          </c:cat>
          <c:val>
            <c:numRef>
              <c:f>'1'!$C$25:$C$40</c:f>
              <c:numCache>
                <c:formatCode>#,##0\ "€"</c:formatCode>
                <c:ptCount val="16"/>
                <c:pt idx="0">
                  <c:v>38530821.07</c:v>
                </c:pt>
                <c:pt idx="1">
                  <c:v>0</c:v>
                </c:pt>
                <c:pt idx="2">
                  <c:v>150978</c:v>
                </c:pt>
                <c:pt idx="3">
                  <c:v>11124107</c:v>
                </c:pt>
                <c:pt idx="4">
                  <c:v>68395862.269999996</c:v>
                </c:pt>
                <c:pt idx="5">
                  <c:v>24961808</c:v>
                </c:pt>
                <c:pt idx="6">
                  <c:v>4913561.59</c:v>
                </c:pt>
                <c:pt idx="7">
                  <c:v>121336445.62</c:v>
                </c:pt>
                <c:pt idx="8">
                  <c:v>1425533550.01</c:v>
                </c:pt>
                <c:pt idx="9">
                  <c:v>183299501.53</c:v>
                </c:pt>
                <c:pt idx="10">
                  <c:v>0</c:v>
                </c:pt>
                <c:pt idx="11">
                  <c:v>473730</c:v>
                </c:pt>
                <c:pt idx="12">
                  <c:v>41638.800000000003</c:v>
                </c:pt>
                <c:pt idx="13">
                  <c:v>0</c:v>
                </c:pt>
                <c:pt idx="14">
                  <c:v>0</c:v>
                </c:pt>
                <c:pt idx="15">
                  <c:v>0</c:v>
                </c:pt>
              </c:numCache>
            </c:numRef>
          </c:val>
          <c:extLst>
            <c:ext xmlns:c16="http://schemas.microsoft.com/office/drawing/2014/chart" uri="{C3380CC4-5D6E-409C-BE32-E72D297353CC}">
              <c16:uniqueId val="{0000000D-EE97-492F-AFA4-439C334FA1F9}"/>
            </c:ext>
          </c:extLst>
        </c:ser>
        <c:dLbls>
          <c:showLegendKey val="0"/>
          <c:showVal val="0"/>
          <c:showCatName val="0"/>
          <c:showSerName val="0"/>
          <c:showPercent val="0"/>
          <c:showBubbleSize val="0"/>
        </c:dLbls>
        <c:gapWidth val="73"/>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4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393082225463552E-2"/>
          <c:y val="0.2946316282030344"/>
          <c:w val="0.8274369297454236"/>
          <c:h val="0.70445100239334824"/>
        </c:manualLayout>
      </c:layout>
      <c:pie3DChart>
        <c:varyColors val="1"/>
        <c:ser>
          <c:idx val="0"/>
          <c:order val="0"/>
          <c:tx>
            <c:strRef>
              <c:f>'1'!$B$44:$B$45</c:f>
              <c:strCache>
                <c:ptCount val="2"/>
                <c:pt idx="0">
                  <c:v>Ανθρώπινοι Πόροι ανά Πρόγραμμα </c:v>
                </c:pt>
                <c:pt idx="1">
                  <c:v>ΠΡΟΣΩΠΙΚΟ 2026</c:v>
                </c:pt>
              </c:strCache>
            </c:strRef>
          </c:tx>
          <c:dPt>
            <c:idx val="0"/>
            <c:bubble3D val="0"/>
            <c:spPr>
              <a:gradFill rotWithShape="1">
                <a:gsLst>
                  <a:gs pos="0">
                    <a:schemeClr val="accent1">
                      <a:shade val="38000"/>
                      <a:satMod val="103000"/>
                      <a:lumMod val="102000"/>
                      <a:tint val="94000"/>
                    </a:schemeClr>
                  </a:gs>
                  <a:gs pos="50000">
                    <a:schemeClr val="accent1">
                      <a:shade val="38000"/>
                      <a:satMod val="110000"/>
                      <a:lumMod val="100000"/>
                      <a:shade val="100000"/>
                    </a:schemeClr>
                  </a:gs>
                  <a:gs pos="100000">
                    <a:schemeClr val="accent1">
                      <a:shade val="38000"/>
                      <a:lumMod val="99000"/>
                      <a:satMod val="120000"/>
                      <a:shade val="78000"/>
                    </a:schemeClr>
                  </a:gs>
                </a:gsLst>
                <a:lin ang="5400000" scaled="0"/>
              </a:gradFill>
              <a:ln>
                <a:noFill/>
              </a:ln>
              <a:effectLst/>
              <a:sp3d/>
            </c:spPr>
            <c:extLst>
              <c:ext xmlns:c16="http://schemas.microsoft.com/office/drawing/2014/chart" uri="{C3380CC4-5D6E-409C-BE32-E72D297353CC}">
                <c16:uniqueId val="{00000001-B693-484C-B50F-9CCB6D1F2462}"/>
              </c:ext>
            </c:extLst>
          </c:dPt>
          <c:dPt>
            <c:idx val="1"/>
            <c:bubble3D val="0"/>
            <c:spPr>
              <a:gradFill rotWithShape="1">
                <a:gsLst>
                  <a:gs pos="0">
                    <a:schemeClr val="accent1">
                      <a:shade val="46000"/>
                      <a:satMod val="103000"/>
                      <a:lumMod val="102000"/>
                      <a:tint val="94000"/>
                    </a:schemeClr>
                  </a:gs>
                  <a:gs pos="50000">
                    <a:schemeClr val="accent1">
                      <a:shade val="46000"/>
                      <a:satMod val="110000"/>
                      <a:lumMod val="100000"/>
                      <a:shade val="100000"/>
                    </a:schemeClr>
                  </a:gs>
                  <a:gs pos="100000">
                    <a:schemeClr val="accent1">
                      <a:shade val="46000"/>
                      <a:lumMod val="99000"/>
                      <a:satMod val="120000"/>
                      <a:shade val="78000"/>
                    </a:schemeClr>
                  </a:gs>
                </a:gsLst>
                <a:lin ang="5400000" scaled="0"/>
              </a:gradFill>
              <a:ln>
                <a:noFill/>
              </a:ln>
              <a:effectLst/>
              <a:sp3d/>
            </c:spPr>
            <c:extLst>
              <c:ext xmlns:c16="http://schemas.microsoft.com/office/drawing/2014/chart" uri="{C3380CC4-5D6E-409C-BE32-E72D297353CC}">
                <c16:uniqueId val="{00000003-B693-484C-B50F-9CCB6D1F2462}"/>
              </c:ext>
            </c:extLst>
          </c:dPt>
          <c:dPt>
            <c:idx val="2"/>
            <c:bubble3D val="0"/>
            <c:spPr>
              <a:gradFill rotWithShape="1">
                <a:gsLst>
                  <a:gs pos="0">
                    <a:schemeClr val="accent1">
                      <a:shade val="54000"/>
                      <a:satMod val="103000"/>
                      <a:lumMod val="102000"/>
                      <a:tint val="94000"/>
                    </a:schemeClr>
                  </a:gs>
                  <a:gs pos="50000">
                    <a:schemeClr val="accent1">
                      <a:shade val="54000"/>
                      <a:satMod val="110000"/>
                      <a:lumMod val="100000"/>
                      <a:shade val="100000"/>
                    </a:schemeClr>
                  </a:gs>
                  <a:gs pos="100000">
                    <a:schemeClr val="accent1">
                      <a:shade val="54000"/>
                      <a:lumMod val="99000"/>
                      <a:satMod val="120000"/>
                      <a:shade val="78000"/>
                    </a:schemeClr>
                  </a:gs>
                </a:gsLst>
                <a:lin ang="5400000" scaled="0"/>
              </a:gradFill>
              <a:ln>
                <a:noFill/>
              </a:ln>
              <a:effectLst/>
              <a:sp3d/>
            </c:spPr>
            <c:extLst>
              <c:ext xmlns:c16="http://schemas.microsoft.com/office/drawing/2014/chart" uri="{C3380CC4-5D6E-409C-BE32-E72D297353CC}">
                <c16:uniqueId val="{00000005-B693-484C-B50F-9CCB6D1F2462}"/>
              </c:ext>
            </c:extLst>
          </c:dPt>
          <c:dPt>
            <c:idx val="3"/>
            <c:bubble3D val="0"/>
            <c:spPr>
              <a:gradFill rotWithShape="1">
                <a:gsLst>
                  <a:gs pos="0">
                    <a:schemeClr val="accent1">
                      <a:shade val="62000"/>
                      <a:satMod val="103000"/>
                      <a:lumMod val="102000"/>
                      <a:tint val="94000"/>
                    </a:schemeClr>
                  </a:gs>
                  <a:gs pos="50000">
                    <a:schemeClr val="accent1">
                      <a:shade val="62000"/>
                      <a:satMod val="110000"/>
                      <a:lumMod val="100000"/>
                      <a:shade val="100000"/>
                    </a:schemeClr>
                  </a:gs>
                  <a:gs pos="100000">
                    <a:schemeClr val="accent1">
                      <a:shade val="62000"/>
                      <a:lumMod val="99000"/>
                      <a:satMod val="120000"/>
                      <a:shade val="78000"/>
                    </a:schemeClr>
                  </a:gs>
                </a:gsLst>
                <a:lin ang="5400000" scaled="0"/>
              </a:gradFill>
              <a:ln>
                <a:noFill/>
              </a:ln>
              <a:effectLst/>
              <a:sp3d/>
            </c:spPr>
            <c:extLst>
              <c:ext xmlns:c16="http://schemas.microsoft.com/office/drawing/2014/chart" uri="{C3380CC4-5D6E-409C-BE32-E72D297353CC}">
                <c16:uniqueId val="{00000007-B693-484C-B50F-9CCB6D1F2462}"/>
              </c:ext>
            </c:extLst>
          </c:dPt>
          <c:dPt>
            <c:idx val="4"/>
            <c:bubble3D val="0"/>
            <c:spPr>
              <a:gradFill rotWithShape="1">
                <a:gsLst>
                  <a:gs pos="0">
                    <a:schemeClr val="accent1">
                      <a:shade val="71000"/>
                      <a:satMod val="103000"/>
                      <a:lumMod val="102000"/>
                      <a:tint val="94000"/>
                    </a:schemeClr>
                  </a:gs>
                  <a:gs pos="50000">
                    <a:schemeClr val="accent1">
                      <a:shade val="71000"/>
                      <a:satMod val="110000"/>
                      <a:lumMod val="100000"/>
                      <a:shade val="100000"/>
                    </a:schemeClr>
                  </a:gs>
                  <a:gs pos="100000">
                    <a:schemeClr val="accent1">
                      <a:shade val="71000"/>
                      <a:lumMod val="99000"/>
                      <a:satMod val="120000"/>
                      <a:shade val="78000"/>
                    </a:schemeClr>
                  </a:gs>
                </a:gsLst>
                <a:lin ang="5400000" scaled="0"/>
              </a:gradFill>
              <a:ln>
                <a:noFill/>
              </a:ln>
              <a:effectLst/>
              <a:sp3d/>
            </c:spPr>
            <c:extLst>
              <c:ext xmlns:c16="http://schemas.microsoft.com/office/drawing/2014/chart" uri="{C3380CC4-5D6E-409C-BE32-E72D297353CC}">
                <c16:uniqueId val="{00000009-B693-484C-B50F-9CCB6D1F2462}"/>
              </c:ext>
            </c:extLst>
          </c:dPt>
          <c:dPt>
            <c:idx val="5"/>
            <c:bubble3D val="0"/>
            <c:spPr>
              <a:gradFill rotWithShape="1">
                <a:gsLst>
                  <a:gs pos="0">
                    <a:schemeClr val="accent1">
                      <a:shade val="79000"/>
                      <a:satMod val="103000"/>
                      <a:lumMod val="102000"/>
                      <a:tint val="94000"/>
                    </a:schemeClr>
                  </a:gs>
                  <a:gs pos="50000">
                    <a:schemeClr val="accent1">
                      <a:shade val="79000"/>
                      <a:satMod val="110000"/>
                      <a:lumMod val="100000"/>
                      <a:shade val="100000"/>
                    </a:schemeClr>
                  </a:gs>
                  <a:gs pos="100000">
                    <a:schemeClr val="accent1">
                      <a:shade val="79000"/>
                      <a:lumMod val="99000"/>
                      <a:satMod val="120000"/>
                      <a:shade val="78000"/>
                    </a:schemeClr>
                  </a:gs>
                </a:gsLst>
                <a:lin ang="5400000" scaled="0"/>
              </a:gradFill>
              <a:ln>
                <a:noFill/>
              </a:ln>
              <a:effectLst/>
              <a:sp3d/>
            </c:spPr>
            <c:extLst>
              <c:ext xmlns:c16="http://schemas.microsoft.com/office/drawing/2014/chart" uri="{C3380CC4-5D6E-409C-BE32-E72D297353CC}">
                <c16:uniqueId val="{0000000B-B693-484C-B50F-9CCB6D1F2462}"/>
              </c:ext>
            </c:extLst>
          </c:dPt>
          <c:dPt>
            <c:idx val="6"/>
            <c:bubble3D val="0"/>
            <c:spPr>
              <a:gradFill rotWithShape="1">
                <a:gsLst>
                  <a:gs pos="0">
                    <a:schemeClr val="accent1">
                      <a:shade val="87000"/>
                      <a:satMod val="103000"/>
                      <a:lumMod val="102000"/>
                      <a:tint val="94000"/>
                    </a:schemeClr>
                  </a:gs>
                  <a:gs pos="50000">
                    <a:schemeClr val="accent1">
                      <a:shade val="87000"/>
                      <a:satMod val="110000"/>
                      <a:lumMod val="100000"/>
                      <a:shade val="100000"/>
                    </a:schemeClr>
                  </a:gs>
                  <a:gs pos="100000">
                    <a:schemeClr val="accent1">
                      <a:shade val="87000"/>
                      <a:lumMod val="99000"/>
                      <a:satMod val="120000"/>
                      <a:shade val="78000"/>
                    </a:schemeClr>
                  </a:gs>
                </a:gsLst>
                <a:lin ang="5400000" scaled="0"/>
              </a:gradFill>
              <a:ln>
                <a:noFill/>
              </a:ln>
              <a:effectLst/>
              <a:sp3d/>
            </c:spPr>
            <c:extLst>
              <c:ext xmlns:c16="http://schemas.microsoft.com/office/drawing/2014/chart" uri="{C3380CC4-5D6E-409C-BE32-E72D297353CC}">
                <c16:uniqueId val="{0000000D-B693-484C-B50F-9CCB6D1F2462}"/>
              </c:ext>
            </c:extLst>
          </c:dPt>
          <c:dPt>
            <c:idx val="7"/>
            <c:bubble3D val="0"/>
            <c:spPr>
              <a:gradFill rotWithShape="1">
                <a:gsLst>
                  <a:gs pos="0">
                    <a:schemeClr val="accent1">
                      <a:shade val="95000"/>
                      <a:satMod val="103000"/>
                      <a:lumMod val="102000"/>
                      <a:tint val="94000"/>
                    </a:schemeClr>
                  </a:gs>
                  <a:gs pos="50000">
                    <a:schemeClr val="accent1">
                      <a:shade val="95000"/>
                      <a:satMod val="110000"/>
                      <a:lumMod val="100000"/>
                      <a:shade val="100000"/>
                    </a:schemeClr>
                  </a:gs>
                  <a:gs pos="100000">
                    <a:schemeClr val="accent1">
                      <a:shade val="95000"/>
                      <a:lumMod val="99000"/>
                      <a:satMod val="120000"/>
                      <a:shade val="78000"/>
                    </a:schemeClr>
                  </a:gs>
                </a:gsLst>
                <a:lin ang="5400000" scaled="0"/>
              </a:gradFill>
              <a:ln>
                <a:noFill/>
              </a:ln>
              <a:effectLst/>
              <a:sp3d/>
            </c:spPr>
            <c:extLst>
              <c:ext xmlns:c16="http://schemas.microsoft.com/office/drawing/2014/chart" uri="{C3380CC4-5D6E-409C-BE32-E72D297353CC}">
                <c16:uniqueId val="{0000000F-B693-484C-B50F-9CCB6D1F2462}"/>
              </c:ext>
            </c:extLst>
          </c:dPt>
          <c:dPt>
            <c:idx val="8"/>
            <c:bubble3D val="0"/>
            <c:spPr>
              <a:gradFill rotWithShape="1">
                <a:gsLst>
                  <a:gs pos="0">
                    <a:schemeClr val="accent1">
                      <a:tint val="96000"/>
                      <a:satMod val="103000"/>
                      <a:lumMod val="102000"/>
                      <a:tint val="94000"/>
                    </a:schemeClr>
                  </a:gs>
                  <a:gs pos="50000">
                    <a:schemeClr val="accent1">
                      <a:tint val="96000"/>
                      <a:satMod val="110000"/>
                      <a:lumMod val="100000"/>
                      <a:shade val="100000"/>
                    </a:schemeClr>
                  </a:gs>
                  <a:gs pos="100000">
                    <a:schemeClr val="accent1">
                      <a:tint val="96000"/>
                      <a:lumMod val="99000"/>
                      <a:satMod val="120000"/>
                      <a:shade val="78000"/>
                    </a:schemeClr>
                  </a:gs>
                </a:gsLst>
                <a:lin ang="5400000" scaled="0"/>
              </a:gradFill>
              <a:ln>
                <a:noFill/>
              </a:ln>
              <a:effectLst/>
              <a:sp3d/>
            </c:spPr>
            <c:extLst>
              <c:ext xmlns:c16="http://schemas.microsoft.com/office/drawing/2014/chart" uri="{C3380CC4-5D6E-409C-BE32-E72D297353CC}">
                <c16:uniqueId val="{00000011-B693-484C-B50F-9CCB6D1F2462}"/>
              </c:ext>
            </c:extLst>
          </c:dPt>
          <c:dPt>
            <c:idx val="9"/>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13-B693-484C-B50F-9CCB6D1F2462}"/>
              </c:ext>
            </c:extLst>
          </c:dPt>
          <c:dPt>
            <c:idx val="10"/>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15-B693-484C-B50F-9CCB6D1F2462}"/>
              </c:ext>
            </c:extLst>
          </c:dPt>
          <c:dPt>
            <c:idx val="11"/>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17-B693-484C-B50F-9CCB6D1F2462}"/>
              </c:ext>
            </c:extLst>
          </c:dPt>
          <c:dPt>
            <c:idx val="12"/>
            <c:bubble3D val="0"/>
            <c:explosion val="16"/>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19-B693-484C-B50F-9CCB6D1F2462}"/>
              </c:ext>
            </c:extLst>
          </c:dPt>
          <c:dPt>
            <c:idx val="13"/>
            <c:bubble3D val="0"/>
            <c:spPr>
              <a:gradFill rotWithShape="1">
                <a:gsLst>
                  <a:gs pos="0">
                    <a:schemeClr val="accent1">
                      <a:tint val="55000"/>
                      <a:satMod val="103000"/>
                      <a:lumMod val="102000"/>
                      <a:tint val="94000"/>
                    </a:schemeClr>
                  </a:gs>
                  <a:gs pos="50000">
                    <a:schemeClr val="accent1">
                      <a:tint val="55000"/>
                      <a:satMod val="110000"/>
                      <a:lumMod val="100000"/>
                      <a:shade val="100000"/>
                    </a:schemeClr>
                  </a:gs>
                  <a:gs pos="100000">
                    <a:schemeClr val="accent1">
                      <a:tint val="55000"/>
                      <a:lumMod val="99000"/>
                      <a:satMod val="120000"/>
                      <a:shade val="78000"/>
                    </a:schemeClr>
                  </a:gs>
                </a:gsLst>
                <a:lin ang="5400000" scaled="0"/>
              </a:gradFill>
              <a:ln>
                <a:noFill/>
              </a:ln>
              <a:effectLst/>
              <a:sp3d/>
            </c:spPr>
            <c:extLst>
              <c:ext xmlns:c16="http://schemas.microsoft.com/office/drawing/2014/chart" uri="{C3380CC4-5D6E-409C-BE32-E72D297353CC}">
                <c16:uniqueId val="{0000001B-B693-484C-B50F-9CCB6D1F2462}"/>
              </c:ext>
            </c:extLst>
          </c:dPt>
          <c:dPt>
            <c:idx val="14"/>
            <c:bubble3D val="0"/>
            <c:spPr>
              <a:gradFill rotWithShape="1">
                <a:gsLst>
                  <a:gs pos="0">
                    <a:schemeClr val="accent1">
                      <a:tint val="47000"/>
                      <a:satMod val="103000"/>
                      <a:lumMod val="102000"/>
                      <a:tint val="94000"/>
                    </a:schemeClr>
                  </a:gs>
                  <a:gs pos="50000">
                    <a:schemeClr val="accent1">
                      <a:tint val="47000"/>
                      <a:satMod val="110000"/>
                      <a:lumMod val="100000"/>
                      <a:shade val="100000"/>
                    </a:schemeClr>
                  </a:gs>
                  <a:gs pos="100000">
                    <a:schemeClr val="accent1">
                      <a:tint val="47000"/>
                      <a:lumMod val="99000"/>
                      <a:satMod val="120000"/>
                      <a:shade val="78000"/>
                    </a:schemeClr>
                  </a:gs>
                </a:gsLst>
                <a:lin ang="5400000" scaled="0"/>
              </a:gradFill>
              <a:ln>
                <a:noFill/>
              </a:ln>
              <a:effectLst/>
              <a:sp3d/>
            </c:spPr>
            <c:extLst>
              <c:ext xmlns:c16="http://schemas.microsoft.com/office/drawing/2014/chart" uri="{C3380CC4-5D6E-409C-BE32-E72D297353CC}">
                <c16:uniqueId val="{0000001D-B693-484C-B50F-9CCB6D1F2462}"/>
              </c:ext>
            </c:extLst>
          </c:dPt>
          <c:dPt>
            <c:idx val="15"/>
            <c:bubble3D val="0"/>
            <c:spPr>
              <a:gradFill rotWithShape="1">
                <a:gsLst>
                  <a:gs pos="0">
                    <a:schemeClr val="accent1">
                      <a:tint val="39000"/>
                      <a:satMod val="103000"/>
                      <a:lumMod val="102000"/>
                      <a:tint val="94000"/>
                    </a:schemeClr>
                  </a:gs>
                  <a:gs pos="50000">
                    <a:schemeClr val="accent1">
                      <a:tint val="39000"/>
                      <a:satMod val="110000"/>
                      <a:lumMod val="100000"/>
                      <a:shade val="100000"/>
                    </a:schemeClr>
                  </a:gs>
                  <a:gs pos="100000">
                    <a:schemeClr val="accent1">
                      <a:tint val="39000"/>
                      <a:lumMod val="99000"/>
                      <a:satMod val="120000"/>
                      <a:shade val="78000"/>
                    </a:schemeClr>
                  </a:gs>
                </a:gsLst>
                <a:lin ang="5400000" scaled="0"/>
              </a:gradFill>
              <a:ln>
                <a:noFill/>
              </a:ln>
              <a:effectLst/>
              <a:sp3d/>
            </c:spPr>
            <c:extLst>
              <c:ext xmlns:c16="http://schemas.microsoft.com/office/drawing/2014/chart" uri="{C3380CC4-5D6E-409C-BE32-E72D297353CC}">
                <c16:uniqueId val="{0000001F-B693-484C-B50F-9CCB6D1F2462}"/>
              </c:ext>
            </c:extLst>
          </c:dPt>
          <c:dLbls>
            <c:dLbl>
              <c:idx val="0"/>
              <c:layout>
                <c:manualLayout>
                  <c:x val="0.38134214204481331"/>
                  <c:y val="2.987689300343733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9347321309106094"/>
                      <c:h val="0.11192574098969335"/>
                    </c:manualLayout>
                  </c15:layout>
                </c:ext>
                <c:ext xmlns:c16="http://schemas.microsoft.com/office/drawing/2014/chart" uri="{C3380CC4-5D6E-409C-BE32-E72D297353CC}">
                  <c16:uniqueId val="{00000001-B693-484C-B50F-9CCB6D1F2462}"/>
                </c:ext>
              </c:extLst>
            </c:dLbl>
            <c:dLbl>
              <c:idx val="1"/>
              <c:layout>
                <c:manualLayout>
                  <c:x val="-4.5454491343685389E-3"/>
                  <c:y val="-7.012329279285858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9.2424229024241383E-2"/>
                      <c:h val="7.5175212854490733E-2"/>
                    </c:manualLayout>
                  </c15:layout>
                </c:ext>
                <c:ext xmlns:c16="http://schemas.microsoft.com/office/drawing/2014/chart" uri="{C3380CC4-5D6E-409C-BE32-E72D297353CC}">
                  <c16:uniqueId val="{00000003-B693-484C-B50F-9CCB6D1F2462}"/>
                </c:ext>
              </c:extLst>
            </c:dLbl>
            <c:dLbl>
              <c:idx val="2"/>
              <c:layout>
                <c:manualLayout>
                  <c:x val="0.15142605231483158"/>
                  <c:y val="-0.1748663977978362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693-484C-B50F-9CCB6D1F2462}"/>
                </c:ext>
              </c:extLst>
            </c:dLbl>
            <c:dLbl>
              <c:idx val="3"/>
              <c:layout>
                <c:manualLayout>
                  <c:x val="0.17590360190643195"/>
                  <c:y val="-5.9666809431247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693-484C-B50F-9CCB6D1F2462}"/>
                </c:ext>
              </c:extLst>
            </c:dLbl>
            <c:dLbl>
              <c:idx val="4"/>
              <c:layout>
                <c:manualLayout>
                  <c:x val="0.32613322317322169"/>
                  <c:y val="-9.367210805966327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825868473733742"/>
                      <c:h val="0.12141937135906794"/>
                    </c:manualLayout>
                  </c15:layout>
                </c:ext>
                <c:ext xmlns:c16="http://schemas.microsoft.com/office/drawing/2014/chart" uri="{C3380CC4-5D6E-409C-BE32-E72D297353CC}">
                  <c16:uniqueId val="{00000009-B693-484C-B50F-9CCB6D1F2462}"/>
                </c:ext>
              </c:extLst>
            </c:dLbl>
            <c:dLbl>
              <c:idx val="5"/>
              <c:layout>
                <c:manualLayout>
                  <c:x val="-0.47331255588641274"/>
                  <c:y val="-0.1612668709298366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654402764152825"/>
                      <c:h val="0.14717330058513328"/>
                    </c:manualLayout>
                  </c15:layout>
                </c:ext>
                <c:ext xmlns:c16="http://schemas.microsoft.com/office/drawing/2014/chart" uri="{C3380CC4-5D6E-409C-BE32-E72D297353CC}">
                  <c16:uniqueId val="{0000000B-B693-484C-B50F-9CCB6D1F2462}"/>
                </c:ext>
              </c:extLst>
            </c:dLbl>
            <c:dLbl>
              <c:idx val="6"/>
              <c:layout>
                <c:manualLayout>
                  <c:x val="0.28256796115258442"/>
                  <c:y val="-0.2457975801805262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B693-484C-B50F-9CCB6D1F2462}"/>
                </c:ext>
              </c:extLst>
            </c:dLbl>
            <c:dLbl>
              <c:idx val="7"/>
              <c:layout>
                <c:manualLayout>
                  <c:x val="7.6138135018340488E-3"/>
                  <c:y val="6.801981588343240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B693-484C-B50F-9CCB6D1F2462}"/>
                </c:ext>
              </c:extLst>
            </c:dLbl>
            <c:dLbl>
              <c:idx val="8"/>
              <c:layout>
                <c:manualLayout>
                  <c:x val="-0.12017188733670073"/>
                  <c:y val="5.940913310792340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B693-484C-B50F-9CCB6D1F2462}"/>
                </c:ext>
              </c:extLst>
            </c:dLbl>
            <c:dLbl>
              <c:idx val="9"/>
              <c:layout>
                <c:manualLayout>
                  <c:x val="-0.16131991770047488"/>
                  <c:y val="4.500951142575062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B693-484C-B50F-9CCB6D1F2462}"/>
                </c:ext>
              </c:extLst>
            </c:dLbl>
            <c:dLbl>
              <c:idx val="10"/>
              <c:layout>
                <c:manualLayout>
                  <c:x val="0.20097895466977936"/>
                  <c:y val="-0.2311649843091975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5-B693-484C-B50F-9CCB6D1F2462}"/>
                </c:ext>
              </c:extLst>
            </c:dLbl>
            <c:dLbl>
              <c:idx val="11"/>
              <c:layout>
                <c:manualLayout>
                  <c:x val="-0.25934830366301509"/>
                  <c:y val="-0.4422649339947431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B693-484C-B50F-9CCB6D1F2462}"/>
                </c:ext>
              </c:extLst>
            </c:dLbl>
            <c:dLbl>
              <c:idx val="12"/>
              <c:layout>
                <c:manualLayout>
                  <c:x val="0.25485784232869457"/>
                  <c:y val="0.1578479886666886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9-B693-484C-B50F-9CCB6D1F2462}"/>
                </c:ext>
              </c:extLst>
            </c:dLbl>
            <c:dLbl>
              <c:idx val="13"/>
              <c:layout>
                <c:manualLayout>
                  <c:x val="-6.7333036747532021E-2"/>
                  <c:y val="-0.4691759257575481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B-B693-484C-B50F-9CCB6D1F2462}"/>
                </c:ext>
              </c:extLst>
            </c:dLbl>
            <c:dLbl>
              <c:idx val="14"/>
              <c:layout>
                <c:manualLayout>
                  <c:x val="1.3607136901742443E-2"/>
                  <c:y val="-0.1439207627914870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D-B693-484C-B50F-9CCB6D1F2462}"/>
                </c:ext>
              </c:extLst>
            </c:dLbl>
            <c:dLbl>
              <c:idx val="15"/>
              <c:layout>
                <c:manualLayout>
                  <c:x val="-0.33030731688566617"/>
                  <c:y val="-7.405572971782117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902706863315399"/>
                      <c:h val="8.9161513347416926E-2"/>
                    </c:manualLayout>
                  </c15:layout>
                </c:ext>
                <c:ext xmlns:c16="http://schemas.microsoft.com/office/drawing/2014/chart" uri="{C3380CC4-5D6E-409C-BE32-E72D297353CC}">
                  <c16:uniqueId val="{0000001F-B693-484C-B50F-9CCB6D1F2462}"/>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'1'!$A$46:$A$61</c:f>
              <c:strCache>
                <c:ptCount val="16"/>
                <c:pt idx="0">
                  <c:v>ΠΑΝΕΠΙΣΤΗΜΙΑΚΑ ΝΟΣΟΚΟΜΕΙΑ</c:v>
                </c:pt>
                <c:pt idx="1">
                  <c:v>ΘΡΗΣΚΕΙΑ</c:v>
                </c:pt>
                <c:pt idx="2">
                  <c:v>ΣΧΟΛΙΚΟΣ/ ΠΑΝΕΠΙΣΤΗΜΙΑΚΟΣ ΑΘΛΗΤΙΣΜΟΣ</c:v>
                </c:pt>
                <c:pt idx="3">
                  <c:v>ΔΗΜΟΣΙΕΣ ΒΙΒΛΙΟΘΗΚΕΣ/ ΓΕΝΙΚΑ ΑΡΧΕΙΑ</c:v>
                </c:pt>
                <c:pt idx="4">
                  <c:v>ΕΡΑΣΙΤΕΧΝΙΚΟΣ ΚΑΙ ΕΠΑΓΓΕΛΜΑΤΙΚΟΣ ΑΘΛΗΤΙΣΜΟΣ</c:v>
                </c:pt>
                <c:pt idx="5">
                  <c:v>ΑΘΛΗΣΗ ΓΙΑ ΟΛΟΥΣ, ΑΝΑΨΥΧΗ, ΑΘΛΟΤΟΥΡΙΣΜΟΣ, ΕΠΙΣΤΗΜΟΝΙΚΗ ΥΠΟΣΤΗΡΙΞΗ ΚΑΙ ΔΙΕΘΝΕΙΣ ΣΧΕΣΕΙΣ</c:v>
                </c:pt>
                <c:pt idx="6">
                  <c:v>ΕΡΓΑ ΥΠΟΔΟΜΩΝ ΑΘΛΗΤΙΣΜΟΥ</c:v>
                </c:pt>
                <c:pt idx="7">
                  <c:v>ΠΡΩΤΟΒΑΘΜΙΑ/ ΔΕΥΤΕΡΟΒΑΘΜΙΑ ΕΚΠΑΙΔΕΥΣΗ</c:v>
                </c:pt>
                <c:pt idx="8">
                  <c:v>ΤΡΙΤΟΒΑΘΜΙΑ ΕΚΠΑΙΔΕΥΣΗ</c:v>
                </c:pt>
                <c:pt idx="9">
                  <c:v>ΕΠΑΓΓΕΛΜΑΤΙΚΗ ΕΚΠΑΙΔΕΥΣΗ ΚΑΙ ΔΙΑ ΒΙΟΥ ΜΑΘΗΣΗ</c:v>
                </c:pt>
                <c:pt idx="10">
                  <c:v>ΕΚΠΑΙΔΕΥΣΗ ΕΛΛΗΝΟΠΑΙΔΩΝ ΕΞΩΤΕΡΙΚΟΥ</c:v>
                </c:pt>
                <c:pt idx="11">
                  <c:v>ΘΡΗΣΚΕΥΤΙΚΗ ΕΚΠΑΙΔΕΥΣΗ</c:v>
                </c:pt>
                <c:pt idx="12">
                  <c:v>ΕΠΙΤΕΛΙΚΟΣ ΣΥΝΤΟΝΙΣΜΟΣ ΚΑΙ ΕΠΕΝΔΥΣΕΙΣ ΥΠΟΥΡΓΕΙΟΥ ΠΑΙΔΕΙΑΣ, ΘΡΗΣΚΕΥΜΑΤΩΝ ΚΑΙ ΑΘΛΗΤΙΣΜΟΥ</c:v>
                </c:pt>
                <c:pt idx="13">
                  <c:v>ΔΙΑΣΦΑΛΙΣΗ ΤΗΣ ΠΟΙΟΤΗΤΑΣ ΣΤΗΝ ΠΡΩΤΟΒΑΘΜΙΑ ΚΑΙ ΔΕΥΤΕΡΟΒΑΘΜΙΑ ΕΚΠΑΙΔΕΥΣΗ</c:v>
                </c:pt>
                <c:pt idx="14">
                  <c:v>ΕΘΝΙΚΗ ΑΡΧΗ ΑΝΩΤΑΤΗΣ ΕΚΠΑΙΔΕΥΣΗΣ</c:v>
                </c:pt>
                <c:pt idx="15">
                  <c:v>ΕΘΝΙΚΟΣ ΟΡΓΑΝΙΣΜΟΣ ΕΞΕΤΑΣΕΩΝ</c:v>
                </c:pt>
              </c:strCache>
            </c:strRef>
          </c:cat>
          <c:val>
            <c:numRef>
              <c:f>'1'!$B$46:$B$61</c:f>
              <c:numCache>
                <c:formatCode>_-* #,##0\ _€_-;\-* #,##0\ _€_-;_-* "-"??\ _€_-;_-@_-</c:formatCode>
                <c:ptCount val="16"/>
                <c:pt idx="0">
                  <c:v>1016</c:v>
                </c:pt>
                <c:pt idx="1">
                  <c:v>30</c:v>
                </c:pt>
                <c:pt idx="2">
                  <c:v>519</c:v>
                </c:pt>
                <c:pt idx="3">
                  <c:v>490</c:v>
                </c:pt>
                <c:pt idx="4">
                  <c:v>463</c:v>
                </c:pt>
                <c:pt idx="5">
                  <c:v>176</c:v>
                </c:pt>
                <c:pt idx="6">
                  <c:v>76</c:v>
                </c:pt>
                <c:pt idx="7">
                  <c:v>134718</c:v>
                </c:pt>
                <c:pt idx="8">
                  <c:v>24538</c:v>
                </c:pt>
                <c:pt idx="9">
                  <c:v>15686</c:v>
                </c:pt>
                <c:pt idx="10">
                  <c:v>686</c:v>
                </c:pt>
                <c:pt idx="11">
                  <c:v>225</c:v>
                </c:pt>
                <c:pt idx="12">
                  <c:v>791</c:v>
                </c:pt>
                <c:pt idx="13">
                  <c:v>7</c:v>
                </c:pt>
                <c:pt idx="14">
                  <c:v>25</c:v>
                </c:pt>
                <c:pt idx="15">
                  <c:v>9</c:v>
                </c:pt>
              </c:numCache>
            </c:numRef>
          </c:val>
          <c:extLst>
            <c:ext xmlns:c16="http://schemas.microsoft.com/office/drawing/2014/chart" uri="{C3380CC4-5D6E-409C-BE32-E72D297353CC}">
              <c16:uniqueId val="{00000020-B693-484C-B50F-9CCB6D1F2462}"/>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188637803956977E-2"/>
          <c:y val="2.0936171762495764E-2"/>
          <c:w val="0.90044474695975196"/>
          <c:h val="0.77569536207895129"/>
        </c:manualLayout>
      </c:layout>
      <c:barChart>
        <c:barDir val="col"/>
        <c:grouping val="stacked"/>
        <c:varyColors val="0"/>
        <c:ser>
          <c:idx val="2"/>
          <c:order val="2"/>
          <c:tx>
            <c:strRef>
              <c:f>'1.3 ΣΥΜΒΟΛΗ ΑΕΠ '!$D$4</c:f>
              <c:strCache>
                <c:ptCount val="1"/>
                <c:pt idx="0">
                  <c:v>Ιδιωτική κατανάλωση</c:v>
                </c:pt>
              </c:strCache>
            </c:strRef>
          </c:tx>
          <c:spPr>
            <a:solidFill>
              <a:schemeClr val="accent1"/>
            </a:solidFill>
            <a:ln w="25400">
              <a:noFill/>
            </a:ln>
          </c:spPr>
          <c:invertIfNegative val="0"/>
          <c:cat>
            <c:strRef>
              <c:f>'1.3 ΣΥΜΒΟΛΗ ΑΕΠ '!$A$10:$A$27</c:f>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f>'1.3 ΣΥΜΒΟΛΗ ΑΕΠ '!$D$10:$D$27</c:f>
              <c:numCache>
                <c:formatCode>0.0%</c:formatCode>
                <c:ptCount val="18"/>
                <c:pt idx="0">
                  <c:v>-4.1989613483431609E-2</c:v>
                </c:pt>
                <c:pt idx="1">
                  <c:v>8.7144350572615492E-2</c:v>
                </c:pt>
                <c:pt idx="2">
                  <c:v>3.6402849231534473E-2</c:v>
                </c:pt>
                <c:pt idx="3">
                  <c:v>8.110820865968206E-2</c:v>
                </c:pt>
                <c:pt idx="4">
                  <c:v>9.4410186611553676E-2</c:v>
                </c:pt>
                <c:pt idx="5">
                  <c:v>6.633161440443687E-2</c:v>
                </c:pt>
                <c:pt idx="6">
                  <c:v>5.0927288697787912E-2</c:v>
                </c:pt>
                <c:pt idx="7">
                  <c:v>3.2573716974562038E-2</c:v>
                </c:pt>
                <c:pt idx="8">
                  <c:v>1.424713198650409E-2</c:v>
                </c:pt>
                <c:pt idx="9">
                  <c:v>1.2419137098725695E-2</c:v>
                </c:pt>
                <c:pt idx="10">
                  <c:v>1.0636319207405927E-2</c:v>
                </c:pt>
                <c:pt idx="11">
                  <c:v>1.2575145858701838E-2</c:v>
                </c:pt>
                <c:pt idx="12">
                  <c:v>1.3935069324116445E-2</c:v>
                </c:pt>
                <c:pt idx="13">
                  <c:v>1.527670435883605E-2</c:v>
                </c:pt>
                <c:pt idx="14">
                  <c:v>1.8858311898721322E-2</c:v>
                </c:pt>
                <c:pt idx="15">
                  <c:v>7.4405127045301615E-3</c:v>
                </c:pt>
                <c:pt idx="16">
                  <c:v>1.2856550579043001E-2</c:v>
                </c:pt>
                <c:pt idx="17">
                  <c:v>7.7802770820867952E-3</c:v>
                </c:pt>
              </c:numCache>
            </c:numRef>
          </c:val>
          <c:extLst>
            <c:ext xmlns:c16="http://schemas.microsoft.com/office/drawing/2014/chart" uri="{C3380CC4-5D6E-409C-BE32-E72D297353CC}">
              <c16:uniqueId val="{00000000-AE4E-4E98-A4A7-3875DD5DB535}"/>
            </c:ext>
          </c:extLst>
        </c:ser>
        <c:ser>
          <c:idx val="3"/>
          <c:order val="3"/>
          <c:tx>
            <c:strRef>
              <c:f>'1.3 ΣΥΜΒΟΛΗ ΑΕΠ '!$E$4</c:f>
              <c:strCache>
                <c:ptCount val="1"/>
                <c:pt idx="0">
                  <c:v>Δημόσια κατανάλωση</c:v>
                </c:pt>
              </c:strCache>
            </c:strRef>
          </c:tx>
          <c:spPr>
            <a:solidFill>
              <a:schemeClr val="accent4"/>
            </a:solidFill>
            <a:ln w="25400">
              <a:noFill/>
            </a:ln>
          </c:spPr>
          <c:invertIfNegative val="0"/>
          <c:cat>
            <c:strRef>
              <c:f>'1.3 ΣΥΜΒΟΛΗ ΑΕΠ '!$A$10:$A$27</c:f>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f>'1.3 ΣΥΜΒΟΛΗ ΑΕΠ '!$E$10:$E$27</c:f>
              <c:numCache>
                <c:formatCode>0.0%</c:formatCode>
                <c:ptCount val="18"/>
                <c:pt idx="0">
                  <c:v>4.5373738124092925E-3</c:v>
                </c:pt>
                <c:pt idx="1">
                  <c:v>4.7348737956182108E-3</c:v>
                </c:pt>
                <c:pt idx="2">
                  <c:v>7.2773053276801386E-3</c:v>
                </c:pt>
                <c:pt idx="3">
                  <c:v>7.5561902597494357E-4</c:v>
                </c:pt>
                <c:pt idx="4">
                  <c:v>2.4671903772933794E-3</c:v>
                </c:pt>
                <c:pt idx="5">
                  <c:v>4.3382542788214917E-3</c:v>
                </c:pt>
                <c:pt idx="6">
                  <c:v>-1.6018264892366948E-3</c:v>
                </c:pt>
                <c:pt idx="7">
                  <c:v>-3.896726516095214E-3</c:v>
                </c:pt>
                <c:pt idx="8">
                  <c:v>9.2232179187878328E-3</c:v>
                </c:pt>
                <c:pt idx="9">
                  <c:v>4.7761960930907833E-3</c:v>
                </c:pt>
                <c:pt idx="10">
                  <c:v>-1.4787891198469536E-3</c:v>
                </c:pt>
                <c:pt idx="11">
                  <c:v>7.7858699388621512E-3</c:v>
                </c:pt>
                <c:pt idx="12">
                  <c:v>-1.4149418689220159E-2</c:v>
                </c:pt>
                <c:pt idx="13">
                  <c:v>-8.8073400378726064E-3</c:v>
                </c:pt>
                <c:pt idx="14">
                  <c:v>-3.566636854147028E-3</c:v>
                </c:pt>
                <c:pt idx="15">
                  <c:v>-6.8890241240594004E-3</c:v>
                </c:pt>
                <c:pt idx="16">
                  <c:v>-6.4673653185478523E-4</c:v>
                </c:pt>
                <c:pt idx="17">
                  <c:v>1.4145101939783092E-3</c:v>
                </c:pt>
              </c:numCache>
            </c:numRef>
          </c:val>
          <c:extLst>
            <c:ext xmlns:c16="http://schemas.microsoft.com/office/drawing/2014/chart" uri="{C3380CC4-5D6E-409C-BE32-E72D297353CC}">
              <c16:uniqueId val="{00000001-AE4E-4E98-A4A7-3875DD5DB535}"/>
            </c:ext>
          </c:extLst>
        </c:ser>
        <c:ser>
          <c:idx val="5"/>
          <c:order val="5"/>
          <c:tx>
            <c:strRef>
              <c:f>'1.3 ΣΥΜΒΟΛΗ ΑΕΠ '!$G$4</c:f>
              <c:strCache>
                <c:ptCount val="1"/>
                <c:pt idx="0">
                  <c:v>Επενδύσεις</c:v>
                </c:pt>
              </c:strCache>
            </c:strRef>
          </c:tx>
          <c:spPr>
            <a:solidFill>
              <a:schemeClr val="accent1">
                <a:lumMod val="75000"/>
              </a:schemeClr>
            </a:solidFill>
            <a:ln w="19050">
              <a:noFill/>
            </a:ln>
          </c:spPr>
          <c:invertIfNegative val="0"/>
          <c:cat>
            <c:strRef>
              <c:f>'1.3 ΣΥΜΒΟΛΗ ΑΕΠ '!$A$10:$A$27</c:f>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f>'1.3 ΣΥΜΒΟΛΗ ΑΕΠ '!$G$10:$G$27</c:f>
              <c:numCache>
                <c:formatCode>0.0%</c:formatCode>
                <c:ptCount val="18"/>
                <c:pt idx="0">
                  <c:v>1.3057515259537149E-2</c:v>
                </c:pt>
                <c:pt idx="1">
                  <c:v>3.0386848533336223E-2</c:v>
                </c:pt>
                <c:pt idx="2">
                  <c:v>2.7280834506303749E-2</c:v>
                </c:pt>
                <c:pt idx="3">
                  <c:v>3.3126847022814848E-2</c:v>
                </c:pt>
                <c:pt idx="4">
                  <c:v>2.6155036243003152E-2</c:v>
                </c:pt>
                <c:pt idx="5">
                  <c:v>2.0617079461661671E-2</c:v>
                </c:pt>
                <c:pt idx="6">
                  <c:v>1.7230636661871752E-2</c:v>
                </c:pt>
                <c:pt idx="7">
                  <c:v>2.5247960036825712E-2</c:v>
                </c:pt>
                <c:pt idx="8">
                  <c:v>1.6674038946651145E-2</c:v>
                </c:pt>
                <c:pt idx="9">
                  <c:v>1.2599590818636474E-2</c:v>
                </c:pt>
                <c:pt idx="10">
                  <c:v>1.3040022564616949E-2</c:v>
                </c:pt>
                <c:pt idx="11">
                  <c:v>-6.9402474904456293E-4</c:v>
                </c:pt>
                <c:pt idx="12">
                  <c:v>6.9945066651745814E-3</c:v>
                </c:pt>
                <c:pt idx="13">
                  <c:v>5.8120680018478033E-3</c:v>
                </c:pt>
                <c:pt idx="14">
                  <c:v>7.3186370137608137E-4</c:v>
                </c:pt>
                <c:pt idx="15">
                  <c:v>1.2570049217893389E-2</c:v>
                </c:pt>
                <c:pt idx="16">
                  <c:v>-3.6737732618511757E-3</c:v>
                </c:pt>
                <c:pt idx="17">
                  <c:v>1.0355311098654717E-2</c:v>
                </c:pt>
              </c:numCache>
            </c:numRef>
          </c:val>
          <c:extLst>
            <c:ext xmlns:c16="http://schemas.microsoft.com/office/drawing/2014/chart" uri="{C3380CC4-5D6E-409C-BE32-E72D297353CC}">
              <c16:uniqueId val="{00000002-AE4E-4E98-A4A7-3875DD5DB535}"/>
            </c:ext>
          </c:extLst>
        </c:ser>
        <c:ser>
          <c:idx val="11"/>
          <c:order val="12"/>
          <c:tx>
            <c:strRef>
              <c:f>'1.3 ΣΥΜΒΟΛΗ ΑΕΠ '!$N$4</c:f>
              <c:strCache>
                <c:ptCount val="1"/>
                <c:pt idx="0">
                  <c:v>Καθαρές εξαγωγές</c:v>
                </c:pt>
              </c:strCache>
            </c:strRef>
          </c:tx>
          <c:spPr>
            <a:solidFill>
              <a:schemeClr val="bg1">
                <a:lumMod val="75000"/>
              </a:schemeClr>
            </a:solidFill>
            <a:ln>
              <a:solidFill>
                <a:schemeClr val="accent1">
                  <a:lumMod val="60000"/>
                  <a:lumOff val="40000"/>
                </a:schemeClr>
              </a:solidFill>
            </a:ln>
          </c:spPr>
          <c:invertIfNegative val="0"/>
          <c:cat>
            <c:strRef>
              <c:f>'1.3 ΣΥΜΒΟΛΗ ΑΕΠ '!$A$10:$A$27</c:f>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f>'1.3 ΣΥΜΒΟΛΗ ΑΕΠ '!$N$10:$N$27</c:f>
              <c:numCache>
                <c:formatCode>0.0%</c:formatCode>
                <c:ptCount val="18"/>
                <c:pt idx="0">
                  <c:v>1.7365683968515924E-2</c:v>
                </c:pt>
                <c:pt idx="1">
                  <c:v>-1.5922880806591575E-2</c:v>
                </c:pt>
                <c:pt idx="2">
                  <c:v>5.3877625910941827E-2</c:v>
                </c:pt>
                <c:pt idx="3">
                  <c:v>-2.0118203032962269E-2</c:v>
                </c:pt>
                <c:pt idx="4">
                  <c:v>-1.7027507140962749E-2</c:v>
                </c:pt>
                <c:pt idx="5">
                  <c:v>-1.2125796198908892E-2</c:v>
                </c:pt>
                <c:pt idx="6">
                  <c:v>-2.4193667977666158E-2</c:v>
                </c:pt>
                <c:pt idx="7">
                  <c:v>-3.510462114161237E-2</c:v>
                </c:pt>
                <c:pt idx="8">
                  <c:v>1.3624561730920243E-2</c:v>
                </c:pt>
                <c:pt idx="9">
                  <c:v>-1.5656269899038784E-3</c:v>
                </c:pt>
                <c:pt idx="10">
                  <c:v>-1.2798737230840643E-2</c:v>
                </c:pt>
                <c:pt idx="11">
                  <c:v>1.239468755693989E-2</c:v>
                </c:pt>
                <c:pt idx="12">
                  <c:v>-3.4940592711124221E-2</c:v>
                </c:pt>
                <c:pt idx="13">
                  <c:v>-3.3892636719007753E-2</c:v>
                </c:pt>
                <c:pt idx="14">
                  <c:v>-1.2815259048635112E-2</c:v>
                </c:pt>
                <c:pt idx="15">
                  <c:v>9.6789777258040818E-4</c:v>
                </c:pt>
                <c:pt idx="16">
                  <c:v>-7.6862273685137598E-4</c:v>
                </c:pt>
                <c:pt idx="17">
                  <c:v>2.1586507803394002E-2</c:v>
                </c:pt>
              </c:numCache>
            </c:numRef>
          </c:val>
          <c:extLst>
            <c:ext xmlns:c16="http://schemas.microsoft.com/office/drawing/2014/chart" uri="{C3380CC4-5D6E-409C-BE32-E72D297353CC}">
              <c16:uniqueId val="{00000003-AE4E-4E98-A4A7-3875DD5DB535}"/>
            </c:ext>
          </c:extLst>
        </c:ser>
        <c:dLbls>
          <c:showLegendKey val="0"/>
          <c:showVal val="0"/>
          <c:showCatName val="0"/>
          <c:showSerName val="0"/>
          <c:showPercent val="0"/>
          <c:showBubbleSize val="0"/>
        </c:dLbls>
        <c:gapWidth val="150"/>
        <c:overlap val="100"/>
        <c:axId val="467660888"/>
        <c:axId val="469214824"/>
        <c:extLst>
          <c:ext xmlns:c15="http://schemas.microsoft.com/office/drawing/2012/chart" uri="{02D57815-91ED-43cb-92C2-25804820EDAC}">
            <c15:filteredBarSeries>
              <c15:ser>
                <c:idx val="1"/>
                <c:order val="1"/>
                <c:tx>
                  <c:strRef>
                    <c:extLst>
                      <c:ext uri="{02D57815-91ED-43cb-92C2-25804820EDAC}">
                        <c15:formulaRef>
                          <c15:sqref>'1.3 ΣΥΜΒΟΛΗ ΑΕΠ '!$C$5</c15:sqref>
                        </c15:formulaRef>
                      </c:ext>
                    </c:extLst>
                    <c:strCache>
                      <c:ptCount val="1"/>
                      <c:pt idx="0">
                        <c:v>Total Consumption</c:v>
                      </c:pt>
                    </c:strCache>
                  </c:strRef>
                </c:tx>
                <c:spPr>
                  <a:solidFill>
                    <a:srgbClr val="89A54E"/>
                  </a:solidFill>
                  <a:ln w="25400">
                    <a:noFill/>
                  </a:ln>
                </c:spPr>
                <c:invertIfNegative val="0"/>
                <c:cat>
                  <c:strRef>
                    <c:extLst>
                      <c:ext uri="{02D57815-91ED-43cb-92C2-25804820EDAC}">
                        <c15:formulaRef>
                          <c15:sqref>'1.3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c:ext uri="{02D57815-91ED-43cb-92C2-25804820EDAC}">
                        <c15:formulaRef>
                          <c15:sqref>'1.3 ΣΥΜΒΟΛΗ ΑΕΠ '!$C$10:$C$25</c15:sqref>
                        </c15:formulaRef>
                      </c:ext>
                    </c:extLst>
                    <c:numCache>
                      <c:formatCode>0.0%</c:formatCode>
                      <c:ptCount val="16"/>
                      <c:pt idx="0">
                        <c:v>-3.6574700189252553E-2</c:v>
                      </c:pt>
                      <c:pt idx="1">
                        <c:v>9.3094474306282496E-2</c:v>
                      </c:pt>
                      <c:pt idx="2">
                        <c:v>3.9953418041482294E-2</c:v>
                      </c:pt>
                      <c:pt idx="3">
                        <c:v>8.2298207605106602E-2</c:v>
                      </c:pt>
                      <c:pt idx="4">
                        <c:v>9.7520839572742726E-2</c:v>
                      </c:pt>
                      <c:pt idx="5">
                        <c:v>6.9520799146586737E-2</c:v>
                      </c:pt>
                      <c:pt idx="6">
                        <c:v>4.8872486991458255E-2</c:v>
                      </c:pt>
                      <c:pt idx="7">
                        <c:v>2.9366249555501271E-2</c:v>
                      </c:pt>
                      <c:pt idx="8">
                        <c:v>2.2944638239619591E-2</c:v>
                      </c:pt>
                      <c:pt idx="9">
                        <c:v>1.6371443497656048E-2</c:v>
                      </c:pt>
                      <c:pt idx="10">
                        <c:v>1.0182702816670493E-2</c:v>
                      </c:pt>
                      <c:pt idx="11">
                        <c:v>1.8465639771648754E-2</c:v>
                      </c:pt>
                      <c:pt idx="12">
                        <c:v>2.7996187512588908E-3</c:v>
                      </c:pt>
                      <c:pt idx="13">
                        <c:v>6.9161727033674389E-3</c:v>
                      </c:pt>
                      <c:pt idx="14">
                        <c:v>1.5913234573907933E-2</c:v>
                      </c:pt>
                      <c:pt idx="15">
                        <c:v>-8.4070703546930479E-4</c:v>
                      </c:pt>
                    </c:numCache>
                  </c:numRef>
                </c:val>
                <c:extLst>
                  <c:ext xmlns:c16="http://schemas.microsoft.com/office/drawing/2014/chart" uri="{C3380CC4-5D6E-409C-BE32-E72D297353CC}">
                    <c16:uniqueId val="{00000016-AE4E-4E98-A4A7-3875DD5DB53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'1.3 ΣΥΜΒΟΛΗ ΑΕΠ '!$F$5</c15:sqref>
                        </c15:formulaRef>
                      </c:ext>
                    </c:extLst>
                    <c:strCache>
                      <c:ptCount val="1"/>
                      <c:pt idx="0">
                        <c:v>Gross Capital Formation</c:v>
                      </c:pt>
                    </c:strCache>
                  </c:strRef>
                </c:tx>
                <c:spPr>
                  <a:ln w="19050">
                    <a:noFill/>
                  </a:ln>
                </c:spPr>
                <c:invertIfNegative val="0"/>
                <c:cat>
                  <c:strRef>
                    <c:extLst xmlns:c15="http://schemas.microsoft.com/office/drawing/2012/chart">
                      <c:ext xmlns:c15="http://schemas.microsoft.com/office/drawing/2012/chart" uri="{02D57815-91ED-43cb-92C2-25804820EDAC}">
                        <c15:formulaRef>
                          <c15:sqref>'1.3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'1.3 ΣΥΜΒΟΛΗ ΑΕΠ '!$F$10:$F$25</c15:sqref>
                        </c15:formulaRef>
                      </c:ext>
                    </c:extLst>
                    <c:numCache>
                      <c:formatCode>0.0%</c:formatCode>
                      <c:ptCount val="16"/>
                      <c:pt idx="0">
                        <c:v>7.4258090790354288E-4</c:v>
                      </c:pt>
                      <c:pt idx="1">
                        <c:v>7.0598956757969025E-2</c:v>
                      </c:pt>
                      <c:pt idx="2">
                        <c:v>1.1227987046964951E-2</c:v>
                      </c:pt>
                      <c:pt idx="3">
                        <c:v>6.8820456773810421E-2</c:v>
                      </c:pt>
                      <c:pt idx="4">
                        <c:v>2.1024387826207996E-2</c:v>
                      </c:pt>
                      <c:pt idx="5">
                        <c:v>-4.3938963301471502E-4</c:v>
                      </c:pt>
                      <c:pt idx="6">
                        <c:v>2.4089885176128829E-2</c:v>
                      </c:pt>
                      <c:pt idx="7">
                        <c:v>4.1979090332862679E-2</c:v>
                      </c:pt>
                      <c:pt idx="8">
                        <c:v>-6.4952210230674202E-3</c:v>
                      </c:pt>
                      <c:pt idx="9">
                        <c:v>3.2256840547866985E-3</c:v>
                      </c:pt>
                      <c:pt idx="10">
                        <c:v>1.0534260310124451E-2</c:v>
                      </c:pt>
                      <c:pt idx="11">
                        <c:v>8.7064862971761206E-4</c:v>
                      </c:pt>
                      <c:pt idx="12">
                        <c:v>3.9088559132105502E-2</c:v>
                      </c:pt>
                      <c:pt idx="13">
                        <c:v>4.4157870424938281E-2</c:v>
                      </c:pt>
                      <c:pt idx="14">
                        <c:v>3.1823225644333153E-2</c:v>
                      </c:pt>
                      <c:pt idx="15">
                        <c:v>4.1639786033276067E-2</c:v>
                      </c:pt>
                    </c:numCache>
                  </c:numRef>
                </c:val>
                <c:extLst xmlns:c15="http://schemas.microsoft.com/office/drawing/2012/chart">
                  <c:ext xmlns:c16="http://schemas.microsoft.com/office/drawing/2014/chart" uri="{C3380CC4-5D6E-409C-BE32-E72D297353CC}">
                    <c16:uniqueId val="{00000017-AE4E-4E98-A4A7-3875DD5DB535}"/>
                  </c:ext>
                </c:extLst>
              </c15:ser>
            </c15:filteredBarSeries>
          </c:ext>
        </c:extLst>
      </c:barChart>
      <c:lineChart>
        <c:grouping val="stacked"/>
        <c:varyColors val="0"/>
        <c:ser>
          <c:idx val="0"/>
          <c:order val="0"/>
          <c:tx>
            <c:strRef>
              <c:f>'1.3 ΣΥΜΒΟΛΗ ΑΕΠ '!$B$4</c:f>
              <c:strCache>
                <c:ptCount val="1"/>
                <c:pt idx="0">
                  <c:v>Ακαθάριστο εγχώριο προϊόν           </c:v>
                </c:pt>
              </c:strCache>
            </c:strRef>
          </c:tx>
          <c:spPr>
            <a:ln w="25400">
              <a:solidFill>
                <a:schemeClr val="tx1"/>
              </a:solidFill>
            </a:ln>
          </c:spPr>
          <c:marker>
            <c:symbol val="none"/>
          </c:marker>
          <c:dLbls>
            <c:dLbl>
              <c:idx val="0"/>
              <c:layout>
                <c:manualLayout>
                  <c:x val="1.4971915721119205E-3"/>
                  <c:y val="7.0921109225377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4E-4E98-A4A7-3875DD5DB535}"/>
                </c:ext>
              </c:extLst>
            </c:dLbl>
            <c:dLbl>
              <c:idx val="1"/>
              <c:layout>
                <c:manualLayout>
                  <c:x val="4.4164040780217207E-3"/>
                  <c:y val="-2.2456140350877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4E-4E98-A4A7-3875DD5DB535}"/>
                </c:ext>
              </c:extLst>
            </c:dLbl>
            <c:dLbl>
              <c:idx val="2"/>
              <c:layout>
                <c:manualLayout>
                  <c:x val="1.472134692673916E-3"/>
                  <c:y val="-5.3333333333333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4E-4E98-A4A7-3875DD5DB535}"/>
                </c:ext>
              </c:extLst>
            </c:dLbl>
            <c:dLbl>
              <c:idx val="3"/>
              <c:layout>
                <c:manualLayout>
                  <c:x val="3.6960126400958425E-3"/>
                  <c:y val="-8.6829024263997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4E-4E98-A4A7-3875DD5DB535}"/>
                </c:ext>
              </c:extLst>
            </c:dLbl>
            <c:dLbl>
              <c:idx val="4"/>
              <c:layout>
                <c:manualLayout>
                  <c:x val="8.8327878530067572E-3"/>
                  <c:y val="-6.65251676445328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4E-4E98-A4A7-3875DD5DB535}"/>
                </c:ext>
              </c:extLst>
            </c:dLbl>
            <c:dLbl>
              <c:idx val="5"/>
              <c:layout>
                <c:manualLayout>
                  <c:x val="1.766561631208699E-2"/>
                  <c:y val="-2.5263157894736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E4E-4E98-A4A7-3875DD5DB535}"/>
                </c:ext>
              </c:extLst>
            </c:dLbl>
            <c:dLbl>
              <c:idx val="6"/>
              <c:layout>
                <c:manualLayout>
                  <c:x val="5.888538770695664E-3"/>
                  <c:y val="-5.0526315789473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E4E-4E98-A4A7-3875DD5DB535}"/>
                </c:ext>
              </c:extLst>
            </c:dLbl>
            <c:dLbl>
              <c:idx val="7"/>
              <c:layout>
                <c:manualLayout>
                  <c:x val="2.0584745555287196E-2"/>
                  <c:y val="-7.754253658354944E-2"/>
                </c:manualLayout>
              </c:layout>
              <c:spPr>
                <a:noFill/>
                <a:ln>
                  <a:noFill/>
                </a:ln>
                <a:effectLst/>
              </c:spPr>
              <c:txPr>
                <a:bodyPr wrap="square" lIns="38100" tIns="19050" rIns="38100" bIns="19050" anchor="ctr">
                  <a:noAutofit/>
                </a:bodyPr>
                <a:lstStyle/>
                <a:p>
                  <a:pPr>
                    <a:defRPr sz="700" b="1">
                      <a:latin typeface="Arial" panose="020B0604020202020204" pitchFamily="34" charset="0"/>
                      <a:cs typeface="Arial" panose="020B0604020202020204"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15:layout>
                    <c:manualLayout>
                      <c:w val="6.8843552769795729E-2"/>
                      <c:h val="5.7543931687202329E-2"/>
                    </c:manualLayout>
                  </c15:layout>
                </c:ext>
                <c:ext xmlns:c16="http://schemas.microsoft.com/office/drawing/2014/chart" uri="{C3380CC4-5D6E-409C-BE32-E72D297353CC}">
                  <c16:uniqueId val="{0000000B-AE4E-4E98-A4A7-3875DD5DB535}"/>
                </c:ext>
              </c:extLst>
            </c:dLbl>
            <c:dLbl>
              <c:idx val="8"/>
              <c:layout>
                <c:manualLayout>
                  <c:x val="8.8328081560433876E-3"/>
                  <c:y val="-9.5438596491228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E4E-4E98-A4A7-3875DD5DB535}"/>
                </c:ext>
              </c:extLst>
            </c:dLbl>
            <c:dLbl>
              <c:idx val="9"/>
              <c:layout>
                <c:manualLayout>
                  <c:x val="-7.3606734633695796E-3"/>
                  <c:y val="-7.5789473684210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E4E-4E98-A4A7-3875DD5DB535}"/>
                </c:ext>
              </c:extLst>
            </c:dLbl>
            <c:dLbl>
              <c:idx val="10"/>
              <c:layout>
                <c:manualLayout>
                  <c:x val="-6.615214994487321E-3"/>
                  <c:y val="-5.87587219977965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E4E-4E98-A4A7-3875DD5DB535}"/>
                </c:ext>
              </c:extLst>
            </c:dLbl>
            <c:dLbl>
              <c:idx val="11"/>
              <c:layout>
                <c:manualLayout>
                  <c:x val="7.3722317235144579E-4"/>
                  <c:y val="-7.9315021354978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E4E-4E98-A4A7-3875DD5DB535}"/>
                </c:ext>
              </c:extLst>
            </c:dLbl>
            <c:dLbl>
              <c:idx val="12"/>
              <c:layout>
                <c:manualLayout>
                  <c:x val="-2.4255788313120256E-2"/>
                  <c:y val="-4.0923453883981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E4E-4E98-A4A7-3875DD5DB535}"/>
                </c:ext>
              </c:extLst>
            </c:dLbl>
            <c:dLbl>
              <c:idx val="13"/>
              <c:layout>
                <c:manualLayout>
                  <c:x val="0"/>
                  <c:y val="-5.8715845168165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E4E-4E98-A4A7-3875DD5DB535}"/>
                </c:ext>
              </c:extLst>
            </c:dLbl>
            <c:dLbl>
              <c:idx val="14"/>
              <c:layout>
                <c:manualLayout>
                  <c:x val="0"/>
                  <c:y val="-2.8349479887494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E4E-4E98-A4A7-3875DD5DB535}"/>
                </c:ext>
              </c:extLst>
            </c:dLbl>
            <c:dLbl>
              <c:idx val="15"/>
              <c:layout>
                <c:manualLayout>
                  <c:x val="-1.2013980110524834E-3"/>
                  <c:y val="-1.5799877226600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E4E-4E98-A4A7-3875DD5DB535}"/>
                </c:ext>
              </c:extLst>
            </c:dLbl>
            <c:dLbl>
              <c:idx val="16"/>
              <c:layout>
                <c:manualLayout>
                  <c:x val="0"/>
                  <c:y val="-3.305178112376056E-2"/>
                </c:manualLayout>
              </c:layout>
              <c:spPr>
                <a:noFill/>
                <a:ln>
                  <a:noFill/>
                </a:ln>
                <a:effectLst/>
              </c:spPr>
              <c:txPr>
                <a:bodyPr wrap="square" lIns="38100" tIns="19050" rIns="38100" bIns="19050" anchor="ctr">
                  <a:noAutofit/>
                </a:bodyPr>
                <a:lstStyle/>
                <a:p>
                  <a:pPr>
                    <a:defRPr sz="700" b="1">
                      <a:latin typeface="Arial" panose="020B0604020202020204" pitchFamily="34" charset="0"/>
                      <a:cs typeface="Arial" panose="020B0604020202020204"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AE4E-4E98-A4A7-3875DD5DB535}"/>
                </c:ext>
              </c:extLst>
            </c:dLbl>
            <c:dLbl>
              <c:idx val="17"/>
              <c:layout>
                <c:manualLayout>
                  <c:x val="0"/>
                  <c:y val="-7.3448402497245683E-3"/>
                </c:manualLayout>
              </c:layout>
              <c:spPr>
                <a:solidFill>
                  <a:schemeClr val="accent2">
                    <a:lumMod val="60000"/>
                    <a:lumOff val="40000"/>
                  </a:schemeClr>
                </a:solidFill>
                <a:ln>
                  <a:noFill/>
                </a:ln>
                <a:effectLst/>
              </c:spPr>
              <c:txPr>
                <a:bodyPr wrap="square" lIns="38100" tIns="19050" rIns="38100" bIns="19050" anchor="ctr">
                  <a:spAutoFit/>
                </a:bodyPr>
                <a:lstStyle/>
                <a:p>
                  <a:pPr>
                    <a:defRPr sz="700" b="1">
                      <a:latin typeface="Arial" panose="020B0604020202020204" pitchFamily="34" charset="0"/>
                      <a:cs typeface="Arial" panose="020B0604020202020204"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E4E-4E98-A4A7-3875DD5DB535}"/>
                </c:ext>
              </c:extLst>
            </c:dLbl>
            <c:spPr>
              <a:noFill/>
              <a:ln>
                <a:noFill/>
              </a:ln>
              <a:effectLst/>
            </c:spPr>
            <c:txPr>
              <a:bodyPr wrap="square" lIns="38100" tIns="19050" rIns="38100" bIns="19050" anchor="ctr">
                <a:spAutoFit/>
              </a:bodyPr>
              <a:lstStyle/>
              <a:p>
                <a:pPr>
                  <a:defRPr sz="700" b="1">
                    <a:latin typeface="Arial" panose="020B0604020202020204" pitchFamily="34" charset="0"/>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'1.3 ΣΥΜΒΟΛΗ ΑΕΠ '!$A$10:$A$27</c:f>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f>'1.3 ΣΥΜΒΟΛΗ ΑΕΠ '!$B$10:$B$27</c:f>
              <c:numCache>
                <c:formatCode>0.0%</c:formatCode>
                <c:ptCount val="18"/>
                <c:pt idx="0">
                  <c:v>-2.1612081326821613E-2</c:v>
                </c:pt>
                <c:pt idx="1">
                  <c:v>0.15020582082000994</c:v>
                </c:pt>
                <c:pt idx="2">
                  <c:v>0.11489660766403256</c:v>
                </c:pt>
                <c:pt idx="3">
                  <c:v>0.10199495171044118</c:v>
                </c:pt>
                <c:pt idx="4">
                  <c:v>7.9704721592706765E-2</c:v>
                </c:pt>
                <c:pt idx="5">
                  <c:v>6.6934871926312076E-2</c:v>
                </c:pt>
                <c:pt idx="6">
                  <c:v>4.7137461435367137E-2</c:v>
                </c:pt>
                <c:pt idx="7">
                  <c:v>4.1357331356205507E-2</c:v>
                </c:pt>
                <c:pt idx="8">
                  <c:v>2.0657796439385215E-2</c:v>
                </c:pt>
                <c:pt idx="9">
                  <c:v>3.07941402685191E-2</c:v>
                </c:pt>
                <c:pt idx="10">
                  <c:v>2.2227171984690812E-2</c:v>
                </c:pt>
                <c:pt idx="11">
                  <c:v>1.9333636676737216E-2</c:v>
                </c:pt>
                <c:pt idx="12">
                  <c:v>2.2091337645200364E-2</c:v>
                </c:pt>
                <c:pt idx="13">
                  <c:v>2.1430446673065134E-2</c:v>
                </c:pt>
                <c:pt idx="14">
                  <c:v>2.2695473213467311E-2</c:v>
                </c:pt>
                <c:pt idx="15">
                  <c:v>2.5067603813328718E-2</c:v>
                </c:pt>
                <c:pt idx="16">
                  <c:v>2.2188995926472933E-2</c:v>
                </c:pt>
                <c:pt idx="17">
                  <c:v>1.696239292326528E-2</c:v>
                </c:pt>
              </c:numCache>
            </c:numRef>
          </c:val>
          <c:smooth val="0"/>
          <c:extLst>
            <c:ext xmlns:c16="http://schemas.microsoft.com/office/drawing/2014/chart" uri="{C3380CC4-5D6E-409C-BE32-E72D297353CC}">
              <c16:uniqueId val="{00000015-AE4E-4E98-A4A7-3875DD5DB535}"/>
            </c:ext>
          </c:extLst>
        </c:ser>
        <c:dLbls>
          <c:showLegendKey val="0"/>
          <c:showVal val="0"/>
          <c:showCatName val="0"/>
          <c:showSerName val="0"/>
          <c:showPercent val="0"/>
          <c:showBubbleSize val="0"/>
        </c:dLbls>
        <c:marker val="1"/>
        <c:smooth val="0"/>
        <c:axId val="467660888"/>
        <c:axId val="469214824"/>
        <c:extLst>
          <c:ext xmlns:c15="http://schemas.microsoft.com/office/drawing/2012/chart" uri="{02D57815-91ED-43cb-92C2-25804820EDAC}">
            <c15:filteredLineSeries>
              <c15:ser>
                <c:idx val="1"/>
                <c:order val="6"/>
                <c:tx>
                  <c:strRef>
                    <c:extLst>
                      <c:ext uri="{02D57815-91ED-43cb-92C2-25804820EDAC}">
                        <c15:formulaRef>
                          <c15:sqref>'1.3 ΣΥΜΒΟΛΗ ΑΕΠ '!$H$5</c15:sqref>
                        </c15:formulaRef>
                      </c:ext>
                    </c:extLst>
                    <c:strCache>
                      <c:ptCount val="1"/>
                      <c:pt idx="0">
                        <c:v>Total Exports</c:v>
                      </c:pt>
                    </c:strCache>
                  </c:strRef>
                </c:tx>
                <c:spPr>
                  <a:ln w="25400">
                    <a:solidFill>
                      <a:srgbClr val="666699"/>
                    </a:solidFill>
                    <a:prstDash val="solid"/>
                  </a:ln>
                </c:spPr>
                <c:cat>
                  <c:strRef>
                    <c:extLst>
                      <c:ext uri="{02D57815-91ED-43cb-92C2-25804820EDAC}">
                        <c15:formulaRef>
                          <c15:sqref>'1.3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c:ext uri="{02D57815-91ED-43cb-92C2-25804820EDAC}">
                        <c15:formulaRef>
                          <c15:sqref>'1.3 ΣΥΜΒΟΛΗ ΑΕΠ '!$H$10:$H$25</c15:sqref>
                        </c15:formulaRef>
                      </c:ext>
                    </c:extLst>
                    <c:numCache>
                      <c:formatCode>0.0%</c:formatCode>
                      <c:ptCount val="16"/>
                      <c:pt idx="0">
                        <c:v>-2.8154738856364949E-3</c:v>
                      </c:pt>
                      <c:pt idx="1">
                        <c:v>8.0434802878091197E-2</c:v>
                      </c:pt>
                      <c:pt idx="2">
                        <c:v>0.14010033532246746</c:v>
                      </c:pt>
                      <c:pt idx="3">
                        <c:v>9.583904450144258E-2</c:v>
                      </c:pt>
                      <c:pt idx="4">
                        <c:v>5.2892294909248246E-2</c:v>
                      </c:pt>
                      <c:pt idx="5">
                        <c:v>5.0003151187424627E-2</c:v>
                      </c:pt>
                      <c:pt idx="6">
                        <c:v>-2.9897483158863682E-3</c:v>
                      </c:pt>
                      <c:pt idx="7">
                        <c:v>-2.2156502609523847E-3</c:v>
                      </c:pt>
                      <c:pt idx="8">
                        <c:v>3.0258381639188595E-2</c:v>
                      </c:pt>
                      <c:pt idx="9">
                        <c:v>-7.0920462329510745E-3</c:v>
                      </c:pt>
                      <c:pt idx="10">
                        <c:v>6.701361003550306E-4</c:v>
                      </c:pt>
                      <c:pt idx="11">
                        <c:v>3.4816165964421343E-3</c:v>
                      </c:pt>
                      <c:pt idx="12">
                        <c:v>-1.5327944495558877E-2</c:v>
                      </c:pt>
                      <c:pt idx="13">
                        <c:v>7.792856140908631E-3</c:v>
                      </c:pt>
                      <c:pt idx="14">
                        <c:v>1.0788258290450525E-2</c:v>
                      </c:pt>
                      <c:pt idx="15">
                        <c:v>1.1351791588319305E-2</c:v>
                      </c:pt>
                    </c:numCache>
                  </c:numRef>
                </c:val>
                <c:smooth val="0"/>
                <c:extLst>
                  <c:ext xmlns:c16="http://schemas.microsoft.com/office/drawing/2014/chart" uri="{C3380CC4-5D6E-409C-BE32-E72D297353CC}">
                    <c16:uniqueId val="{00000018-AE4E-4E98-A4A7-3875DD5DB535}"/>
                  </c:ext>
                </c:extLst>
              </c15:ser>
            </c15:filteredLineSeries>
            <c15:filteredLineSeries>
              <c15:ser>
                <c:idx val="6"/>
                <c:order val="7"/>
                <c:tx>
                  <c:strRef>
                    <c:extLst xmlns:c15="http://schemas.microsoft.com/office/drawing/2012/chart">
                      <c:ext xmlns:c15="http://schemas.microsoft.com/office/drawing/2012/chart" uri="{02D57815-91ED-43cb-92C2-25804820EDAC}">
                        <c15:formulaRef>
                          <c15:sqref>'1.3 ΣΥΜΒΟΛΗ ΑΕΠ '!$I$5</c15:sqref>
                        </c15:formulaRef>
                      </c:ext>
                    </c:extLst>
                    <c:strCache>
                      <c:ptCount val="1"/>
                      <c:pt idx="0">
                        <c:v>Goods</c:v>
                      </c:pt>
                    </c:strCache>
                  </c:strRef>
                </c:tx>
                <c:cat>
                  <c:strRef>
                    <c:extLst xmlns:c15="http://schemas.microsoft.com/office/drawing/2012/chart">
                      <c:ext xmlns:c15="http://schemas.microsoft.com/office/drawing/2012/chart" uri="{02D57815-91ED-43cb-92C2-25804820EDAC}">
                        <c15:formulaRef>
                          <c15:sqref>'1.3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'1.3 ΣΥΜΒΟΛΗ ΑΕΠ '!$I$10:$I$25</c15:sqref>
                        </c15:formulaRef>
                      </c:ext>
                    </c:extLst>
                    <c:numCache>
                      <c:formatCode>0.0%</c:formatCode>
                      <c:ptCount val="16"/>
                      <c:pt idx="0">
                        <c:v>1.8262226420701126E-2</c:v>
                      </c:pt>
                      <c:pt idx="1">
                        <c:v>3.7862083651907803E-2</c:v>
                      </c:pt>
                      <c:pt idx="2">
                        <c:v>2.9007844821464686E-2</c:v>
                      </c:pt>
                      <c:pt idx="3">
                        <c:v>2.1782847501343735E-2</c:v>
                      </c:pt>
                      <c:pt idx="4">
                        <c:v>1.2795351920818331E-2</c:v>
                      </c:pt>
                      <c:pt idx="5">
                        <c:v>1.0752590267147562E-2</c:v>
                      </c:pt>
                      <c:pt idx="6">
                        <c:v>7.158992008591554E-3</c:v>
                      </c:pt>
                      <c:pt idx="7">
                        <c:v>3.8918830949131217E-3</c:v>
                      </c:pt>
                      <c:pt idx="8">
                        <c:v>1.6295890221974717E-2</c:v>
                      </c:pt>
                      <c:pt idx="9">
                        <c:v>-5.6661897537141947E-3</c:v>
                      </c:pt>
                      <c:pt idx="10">
                        <c:v>-5.4948123852219533E-3</c:v>
                      </c:pt>
                      <c:pt idx="11">
                        <c:v>-7.9646928909168392E-3</c:v>
                      </c:pt>
                      <c:pt idx="12">
                        <c:v>-1.8921600763833552E-2</c:v>
                      </c:pt>
                      <c:pt idx="13">
                        <c:v>1.1485903573513676E-3</c:v>
                      </c:pt>
                      <c:pt idx="14">
                        <c:v>1.2922289924850768E-3</c:v>
                      </c:pt>
                      <c:pt idx="15">
                        <c:v>2.4597112184871163E-3</c:v>
                      </c:pt>
                    </c:numCache>
                  </c:numRef>
                </c:val>
                <c:smooth val="0"/>
                <c:extLst xmlns:c15="http://schemas.microsoft.com/office/drawing/2012/chart">
                  <c:ext xmlns:c16="http://schemas.microsoft.com/office/drawing/2014/chart" uri="{C3380CC4-5D6E-409C-BE32-E72D297353CC}">
                    <c16:uniqueId val="{00000019-AE4E-4E98-A4A7-3875DD5DB535}"/>
                  </c:ext>
                </c:extLst>
              </c15:ser>
            </c15:filteredLineSeries>
            <c15:filteredLineSeries>
              <c15:ser>
                <c:idx val="7"/>
                <c:order val="8"/>
                <c:tx>
                  <c:strRef>
                    <c:extLst xmlns:c15="http://schemas.microsoft.com/office/drawing/2012/chart">
                      <c:ext xmlns:c15="http://schemas.microsoft.com/office/drawing/2012/chart" uri="{02D57815-91ED-43cb-92C2-25804820EDAC}">
                        <c15:formulaRef>
                          <c15:sqref>'1.3 ΣΥΜΒΟΛΗ ΑΕΠ '!$J$5</c15:sqref>
                        </c15:formulaRef>
                      </c:ext>
                    </c:extLst>
                    <c:strCache>
                      <c:ptCount val="1"/>
                      <c:pt idx="0">
                        <c:v>Services</c:v>
                      </c:pt>
                    </c:strCache>
                  </c:strRef>
                </c:tx>
                <c:cat>
                  <c:strRef>
                    <c:extLst xmlns:c15="http://schemas.microsoft.com/office/drawing/2012/chart">
                      <c:ext xmlns:c15="http://schemas.microsoft.com/office/drawing/2012/chart" uri="{02D57815-91ED-43cb-92C2-25804820EDAC}">
                        <c15:formulaRef>
                          <c15:sqref>'1.3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'1.3 ΣΥΜΒΟΛΗ ΑΕΠ '!$J$10:$J$25</c15:sqref>
                        </c15:formulaRef>
                      </c:ext>
                    </c:extLst>
                    <c:numCache>
                      <c:formatCode>0.0%</c:formatCode>
                      <c:ptCount val="16"/>
                      <c:pt idx="0">
                        <c:v>-3.2685390241681454E-2</c:v>
                      </c:pt>
                      <c:pt idx="1">
                        <c:v>6.2352307756932852E-2</c:v>
                      </c:pt>
                      <c:pt idx="2">
                        <c:v>0.10179643576275643</c:v>
                      </c:pt>
                      <c:pt idx="3">
                        <c:v>7.9095846670536082E-2</c:v>
                      </c:pt>
                      <c:pt idx="4">
                        <c:v>3.3254462744700355E-2</c:v>
                      </c:pt>
                      <c:pt idx="5">
                        <c:v>4.2778895776693075E-2</c:v>
                      </c:pt>
                      <c:pt idx="6">
                        <c:v>-3.2599138911082776E-3</c:v>
                      </c:pt>
                      <c:pt idx="7">
                        <c:v>-6.644985432932262E-3</c:v>
                      </c:pt>
                      <c:pt idx="8">
                        <c:v>1.1998027397656576E-2</c:v>
                      </c:pt>
                      <c:pt idx="9">
                        <c:v>-9.0444456101249112E-5</c:v>
                      </c:pt>
                      <c:pt idx="10">
                        <c:v>6.5585049163959051E-3</c:v>
                      </c:pt>
                      <c:pt idx="11">
                        <c:v>8.9021899989268592E-3</c:v>
                      </c:pt>
                      <c:pt idx="12">
                        <c:v>6.2483802275491943E-3</c:v>
                      </c:pt>
                      <c:pt idx="13">
                        <c:v>4.5957641291772275E-3</c:v>
                      </c:pt>
                      <c:pt idx="14">
                        <c:v>7.5937403313654618E-3</c:v>
                      </c:pt>
                      <c:pt idx="15">
                        <c:v>8.7881471312585592E-3</c:v>
                      </c:pt>
                    </c:numCache>
                  </c:numRef>
                </c:val>
                <c:smooth val="0"/>
                <c:extLst xmlns:c15="http://schemas.microsoft.com/office/drawing/2012/chart">
                  <c:ext xmlns:c16="http://schemas.microsoft.com/office/drawing/2014/chart" uri="{C3380CC4-5D6E-409C-BE32-E72D297353CC}">
                    <c16:uniqueId val="{0000001A-AE4E-4E98-A4A7-3875DD5DB535}"/>
                  </c:ext>
                </c:extLst>
              </c15:ser>
            </c15:filteredLineSeries>
            <c15:filteredLineSeries>
              <c15:ser>
                <c:idx val="8"/>
                <c:order val="9"/>
                <c:tx>
                  <c:strRef>
                    <c:extLst xmlns:c15="http://schemas.microsoft.com/office/drawing/2012/chart">
                      <c:ext xmlns:c15="http://schemas.microsoft.com/office/drawing/2012/chart" uri="{02D57815-91ED-43cb-92C2-25804820EDAC}">
                        <c15:formulaRef>
                          <c15:sqref>'1.3 ΣΥΜΒΟΛΗ ΑΕΠ '!$K$5</c15:sqref>
                        </c15:formulaRef>
                      </c:ext>
                    </c:extLst>
                    <c:strCache>
                      <c:ptCount val="1"/>
                      <c:pt idx="0">
                        <c:v>Total Imports</c:v>
                      </c:pt>
                    </c:strCache>
                  </c:strRef>
                </c:tx>
                <c:cat>
                  <c:strRef>
                    <c:extLst xmlns:c15="http://schemas.microsoft.com/office/drawing/2012/chart">
                      <c:ext xmlns:c15="http://schemas.microsoft.com/office/drawing/2012/chart" uri="{02D57815-91ED-43cb-92C2-25804820EDAC}">
                        <c15:formulaRef>
                          <c15:sqref>'1.3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'1.3 ΣΥΜΒΟΛΗ ΑΕΠ '!$K$10:$K$25</c15:sqref>
                        </c15:formulaRef>
                      </c:ext>
                    </c:extLst>
                    <c:numCache>
                      <c:formatCode>0.0%</c:formatCode>
                      <c:ptCount val="16"/>
                      <c:pt idx="0">
                        <c:v>-2.0181157854152417E-2</c:v>
                      </c:pt>
                      <c:pt idx="1">
                        <c:v>9.6357683684682782E-2</c:v>
                      </c:pt>
                      <c:pt idx="2">
                        <c:v>8.6222709411525641E-2</c:v>
                      </c:pt>
                      <c:pt idx="3">
                        <c:v>0.11595724753440485</c:v>
                      </c:pt>
                      <c:pt idx="4">
                        <c:v>6.9919802050210991E-2</c:v>
                      </c:pt>
                      <c:pt idx="5">
                        <c:v>6.2128947386333525E-2</c:v>
                      </c:pt>
                      <c:pt idx="6">
                        <c:v>2.1203919661779792E-2</c:v>
                      </c:pt>
                      <c:pt idx="7">
                        <c:v>3.2888970880659986E-2</c:v>
                      </c:pt>
                      <c:pt idx="8">
                        <c:v>1.6633819908268354E-2</c:v>
                      </c:pt>
                      <c:pt idx="9">
                        <c:v>-5.5264192430471964E-3</c:v>
                      </c:pt>
                      <c:pt idx="10">
                        <c:v>1.3468873331195673E-2</c:v>
                      </c:pt>
                      <c:pt idx="11">
                        <c:v>-8.9130709604977546E-3</c:v>
                      </c:pt>
                      <c:pt idx="12">
                        <c:v>1.9612648215565347E-2</c:v>
                      </c:pt>
                      <c:pt idx="13">
                        <c:v>4.1685492859916386E-2</c:v>
                      </c:pt>
                      <c:pt idx="14">
                        <c:v>2.3603517339085636E-2</c:v>
                      </c:pt>
                      <c:pt idx="15">
                        <c:v>1.0383893815738897E-2</c:v>
                      </c:pt>
                    </c:numCache>
                  </c:numRef>
                </c:val>
                <c:smooth val="0"/>
                <c:extLst xmlns:c15="http://schemas.microsoft.com/office/drawing/2012/chart">
                  <c:ext xmlns:c16="http://schemas.microsoft.com/office/drawing/2014/chart" uri="{C3380CC4-5D6E-409C-BE32-E72D297353CC}">
                    <c16:uniqueId val="{0000001B-AE4E-4E98-A4A7-3875DD5DB535}"/>
                  </c:ext>
                </c:extLst>
              </c15:ser>
            </c15:filteredLineSeries>
            <c15:filteredLineSeries>
              <c15:ser>
                <c:idx val="9"/>
                <c:order val="10"/>
                <c:tx>
                  <c:strRef>
                    <c:extLst xmlns:c15="http://schemas.microsoft.com/office/drawing/2012/chart">
                      <c:ext xmlns:c15="http://schemas.microsoft.com/office/drawing/2012/chart" uri="{02D57815-91ED-43cb-92C2-25804820EDAC}">
                        <c15:formulaRef>
                          <c15:sqref>'1.3 ΣΥΜΒΟΛΗ ΑΕΠ '!$L$5</c15:sqref>
                        </c15:formulaRef>
                      </c:ext>
                    </c:extLst>
                    <c:strCache>
                      <c:ptCount val="1"/>
                      <c:pt idx="0">
                        <c:v>Goods</c:v>
                      </c:pt>
                    </c:strCache>
                  </c:strRef>
                </c:tx>
                <c:cat>
                  <c:strRef>
                    <c:extLst xmlns:c15="http://schemas.microsoft.com/office/drawing/2012/chart">
                      <c:ext xmlns:c15="http://schemas.microsoft.com/office/drawing/2012/chart" uri="{02D57815-91ED-43cb-92C2-25804820EDAC}">
                        <c15:formulaRef>
                          <c15:sqref>'1.3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'1.3 ΣΥΜΒΟΛΗ ΑΕΠ '!$L$10:$L$25</c15:sqref>
                        </c15:formulaRef>
                      </c:ext>
                    </c:extLst>
                    <c:numCache>
                      <c:formatCode>0.0%</c:formatCode>
                      <c:ptCount val="16"/>
                      <c:pt idx="0">
                        <c:v>-6.5269009920111247E-3</c:v>
                      </c:pt>
                      <c:pt idx="1">
                        <c:v>7.1868627023563572E-2</c:v>
                      </c:pt>
                      <c:pt idx="2">
                        <c:v>5.1258363028479498E-2</c:v>
                      </c:pt>
                      <c:pt idx="3">
                        <c:v>8.294262839239358E-2</c:v>
                      </c:pt>
                      <c:pt idx="4">
                        <c:v>5.757495057271951E-2</c:v>
                      </c:pt>
                      <c:pt idx="5">
                        <c:v>5.7994365329589952E-2</c:v>
                      </c:pt>
                      <c:pt idx="6">
                        <c:v>3.1165701294191658E-2</c:v>
                      </c:pt>
                      <c:pt idx="7">
                        <c:v>2.1390845975000069E-2</c:v>
                      </c:pt>
                      <c:pt idx="8">
                        <c:v>6.6250163613006284E-3</c:v>
                      </c:pt>
                      <c:pt idx="9">
                        <c:v>-1.3559553187401395E-2</c:v>
                      </c:pt>
                      <c:pt idx="10">
                        <c:v>8.9293313041988228E-3</c:v>
                      </c:pt>
                      <c:pt idx="11">
                        <c:v>-5.9197420295404521E-3</c:v>
                      </c:pt>
                      <c:pt idx="12">
                        <c:v>1.3205009313440052E-2</c:v>
                      </c:pt>
                      <c:pt idx="13">
                        <c:v>3.5487547450353631E-2</c:v>
                      </c:pt>
                      <c:pt idx="14">
                        <c:v>1.1668551439837584E-2</c:v>
                      </c:pt>
                      <c:pt idx="15">
                        <c:v>6.541616541591219E-3</c:v>
                      </c:pt>
                    </c:numCache>
                  </c:numRef>
                </c:val>
                <c:smooth val="0"/>
                <c:extLst xmlns:c15="http://schemas.microsoft.com/office/drawing/2012/chart">
                  <c:ext xmlns:c16="http://schemas.microsoft.com/office/drawing/2014/chart" uri="{C3380CC4-5D6E-409C-BE32-E72D297353CC}">
                    <c16:uniqueId val="{0000001C-AE4E-4E98-A4A7-3875DD5DB535}"/>
                  </c:ext>
                </c:extLst>
              </c15:ser>
            </c15:filteredLineSeries>
            <c15:filteredLineSeries>
              <c15:ser>
                <c:idx val="10"/>
                <c:order val="11"/>
                <c:tx>
                  <c:strRef>
                    <c:extLst xmlns:c15="http://schemas.microsoft.com/office/drawing/2012/chart">
                      <c:ext xmlns:c15="http://schemas.microsoft.com/office/drawing/2012/chart" uri="{02D57815-91ED-43cb-92C2-25804820EDAC}">
                        <c15:formulaRef>
                          <c15:sqref>'1.3 ΣΥΜΒΟΛΗ ΑΕΠ '!$M$5</c15:sqref>
                        </c15:formulaRef>
                      </c:ext>
                    </c:extLst>
                    <c:strCache>
                      <c:ptCount val="1"/>
                      <c:pt idx="0">
                        <c:v>Servicies</c:v>
                      </c:pt>
                    </c:strCache>
                  </c:strRef>
                </c:tx>
                <c:cat>
                  <c:strRef>
                    <c:extLst xmlns:c15="http://schemas.microsoft.com/office/drawing/2012/chart">
                      <c:ext xmlns:c15="http://schemas.microsoft.com/office/drawing/2012/chart" uri="{02D57815-91ED-43cb-92C2-25804820EDAC}">
                        <c15:formulaRef>
                          <c15:sqref>'1.3 ΣΥΜΒΟΛΗ ΑΕΠ '!$A$10:$A$27</c15:sqref>
                        </c15:formulaRef>
                      </c:ext>
                    </c:extLst>
                    <c:strCache>
                      <c:ptCount val="18"/>
                      <c:pt idx="0">
                        <c:v>2021 Q1</c:v>
                      </c:pt>
                      <c:pt idx="1">
                        <c:v>2021 Q2</c:v>
                      </c:pt>
                      <c:pt idx="2">
                        <c:v>2021 Q3</c:v>
                      </c:pt>
                      <c:pt idx="3">
                        <c:v>2021 Q4</c:v>
                      </c:pt>
                      <c:pt idx="4">
                        <c:v>2022 Q1</c:v>
                      </c:pt>
                      <c:pt idx="5">
                        <c:v>2022 Q2</c:v>
                      </c:pt>
                      <c:pt idx="6">
                        <c:v>2022 Q3</c:v>
                      </c:pt>
                      <c:pt idx="7">
                        <c:v>2022 Q4</c:v>
                      </c:pt>
                      <c:pt idx="8">
                        <c:v>2023 Q1</c:v>
                      </c:pt>
                      <c:pt idx="9">
                        <c:v>2023 Q2</c:v>
                      </c:pt>
                      <c:pt idx="10">
                        <c:v>2023 Q3</c:v>
                      </c:pt>
                      <c:pt idx="11">
                        <c:v>2023 Q4</c:v>
                      </c:pt>
                      <c:pt idx="12">
                        <c:v>2024 Q1</c:v>
                      </c:pt>
                      <c:pt idx="13">
                        <c:v>2024 Q2</c:v>
                      </c:pt>
                      <c:pt idx="14">
                        <c:v>2024 Q3</c:v>
                      </c:pt>
                      <c:pt idx="15">
                        <c:v>2024 Q4</c:v>
                      </c:pt>
                      <c:pt idx="16">
                        <c:v>2025 Q1</c:v>
                      </c:pt>
                      <c:pt idx="17">
                        <c:v>2025 Q2</c:v>
                      </c:pt>
                    </c:strCache>
                  </c:strRef>
                </c:cat>
                <c:val>
                  <c:numRef>
                    <c:extLst xmlns:c15="http://schemas.microsoft.com/office/drawing/2012/chart">
                      <c:ext xmlns:c15="http://schemas.microsoft.com/office/drawing/2012/chart" uri="{02D57815-91ED-43cb-92C2-25804820EDAC}">
                        <c15:formulaRef>
                          <c15:sqref>'1.3 ΣΥΜΒΟΛΗ ΑΕΠ '!$M$10:$M$25</c15:sqref>
                        </c15:formulaRef>
                      </c:ext>
                    </c:extLst>
                    <c:numCache>
                      <c:formatCode>0.0%</c:formatCode>
                      <c:ptCount val="16"/>
                      <c:pt idx="0">
                        <c:v>-1.5378967654558814E-2</c:v>
                      </c:pt>
                      <c:pt idx="1">
                        <c:v>2.3622791399213819E-2</c:v>
                      </c:pt>
                      <c:pt idx="2">
                        <c:v>3.4649395603045363E-2</c:v>
                      </c:pt>
                      <c:pt idx="3">
                        <c:v>3.354837692373891E-2</c:v>
                      </c:pt>
                      <c:pt idx="4">
                        <c:v>1.2490380161682184E-2</c:v>
                      </c:pt>
                      <c:pt idx="5">
                        <c:v>4.7186385805132536E-3</c:v>
                      </c:pt>
                      <c:pt idx="6">
                        <c:v>-8.8684824791124359E-3</c:v>
                      </c:pt>
                      <c:pt idx="7">
                        <c:v>1.0477368383659339E-2</c:v>
                      </c:pt>
                      <c:pt idx="8">
                        <c:v>1.2704213915123379E-2</c:v>
                      </c:pt>
                      <c:pt idx="9">
                        <c:v>8.2311375460691338E-3</c:v>
                      </c:pt>
                      <c:pt idx="10">
                        <c:v>2.5321158934598132E-3</c:v>
                      </c:pt>
                      <c:pt idx="11">
                        <c:v>-3.0985826894735606E-3</c:v>
                      </c:pt>
                      <c:pt idx="12">
                        <c:v>4.6838131609253002E-3</c:v>
                      </c:pt>
                      <c:pt idx="13">
                        <c:v>5.4183743808578818E-3</c:v>
                      </c:pt>
                      <c:pt idx="14">
                        <c:v>1.2917807166637511E-2</c:v>
                      </c:pt>
                      <c:pt idx="15">
                        <c:v>5.1149727227229689E-3</c:v>
                      </c:pt>
                    </c:numCache>
                  </c:numRef>
                </c:val>
                <c:smooth val="0"/>
                <c:extLst xmlns:c15="http://schemas.microsoft.com/office/drawing/2012/chart">
                  <c:ext xmlns:c16="http://schemas.microsoft.com/office/drawing/2014/chart" uri="{C3380CC4-5D6E-409C-BE32-E72D297353CC}">
                    <c16:uniqueId val="{0000001D-AE4E-4E98-A4A7-3875DD5DB535}"/>
                  </c:ext>
                </c:extLst>
              </c15:ser>
            </c15:filteredLineSeries>
          </c:ext>
        </c:extLst>
      </c:lineChart>
      <c:catAx>
        <c:axId val="467660888"/>
        <c:scaling>
          <c:orientation val="minMax"/>
        </c:scaling>
        <c:delete val="0"/>
        <c:axPos val="b"/>
        <c:numFmt formatCode="General" sourceLinked="1"/>
        <c:majorTickMark val="out"/>
        <c:minorTickMark val="none"/>
        <c:tickLblPos val="nextTo"/>
        <c:spPr>
          <a:ln w="3175">
            <a:solidFill>
              <a:schemeClr val="bg1">
                <a:lumMod val="85000"/>
              </a:schemeClr>
            </a:solidFill>
            <a:prstDash val="solid"/>
          </a:ln>
        </c:spPr>
        <c:txPr>
          <a:bodyPr rot="-5400000" vert="horz"/>
          <a:lstStyle/>
          <a:p>
            <a:pPr>
              <a:defRPr sz="700" b="1" i="0" u="none" strike="noStrike" baseline="0">
                <a:solidFill>
                  <a:srgbClr val="000000"/>
                </a:solidFill>
                <a:latin typeface="Arial" panose="020B0604020202020204" pitchFamily="34" charset="0"/>
                <a:ea typeface="Calibri"/>
                <a:cs typeface="Arial" panose="020B0604020202020204" pitchFamily="34" charset="0"/>
              </a:defRPr>
            </a:pPr>
            <a:endParaRPr lang="el-GR"/>
          </a:p>
        </c:txPr>
        <c:crossAx val="469214824"/>
        <c:crossesAt val="0"/>
        <c:auto val="1"/>
        <c:lblAlgn val="ctr"/>
        <c:lblOffset val="100"/>
        <c:tickLblSkip val="1"/>
        <c:tickMarkSkip val="1"/>
        <c:noMultiLvlLbl val="0"/>
      </c:catAx>
      <c:valAx>
        <c:axId val="469214824"/>
        <c:scaling>
          <c:orientation val="minMax"/>
          <c:max val="0.16000000000000003"/>
          <c:min val="-6.0000000000000012E-2"/>
        </c:scaling>
        <c:delete val="0"/>
        <c:axPos val="l"/>
        <c:majorGridlines>
          <c:spPr>
            <a:ln w="317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ln>
          </c:spPr>
        </c:majorGridlines>
        <c:numFmt formatCode="0.0%" sourceLinked="1"/>
        <c:majorTickMark val="out"/>
        <c:minorTickMark val="none"/>
        <c:tickLblPos val="nextTo"/>
        <c:spPr>
          <a:ln w="3175">
            <a:solidFill>
              <a:schemeClr val="bg1">
                <a:lumMod val="85000"/>
              </a:schemeClr>
            </a:solidFill>
            <a:prstDash val="solid"/>
          </a:ln>
        </c:spPr>
        <c:txPr>
          <a:bodyPr rot="0" vert="horz"/>
          <a:lstStyle/>
          <a:p>
            <a:pPr>
              <a:defRPr sz="700" b="1" i="0" u="none" strike="noStrike" baseline="0">
                <a:solidFill>
                  <a:srgbClr val="000000"/>
                </a:solidFill>
                <a:latin typeface="Arial" panose="020B0604020202020204" pitchFamily="34" charset="0"/>
                <a:ea typeface="Calibri"/>
                <a:cs typeface="Arial" panose="020B0604020202020204" pitchFamily="34" charset="0"/>
              </a:defRPr>
            </a:pPr>
            <a:endParaRPr lang="el-GR"/>
          </a:p>
        </c:txPr>
        <c:crossAx val="467660888"/>
        <c:crossesAt val="1"/>
        <c:crossBetween val="between"/>
      </c:valAx>
      <c:spPr>
        <a:solidFill>
          <a:srgbClr val="FFFFFF"/>
        </a:solidFill>
        <a:ln w="3175">
          <a:solidFill>
            <a:schemeClr val="bg1">
              <a:lumMod val="85000"/>
            </a:schemeClr>
          </a:solidFill>
        </a:ln>
      </c:spPr>
    </c:plotArea>
    <c:legend>
      <c:legendPos val="r"/>
      <c:layout>
        <c:manualLayout>
          <c:xMode val="edge"/>
          <c:yMode val="edge"/>
          <c:x val="0.3372733507539783"/>
          <c:y val="0.79540757464476874"/>
          <c:w val="0.6601204976169599"/>
          <c:h val="0.14931681661663657"/>
        </c:manualLayout>
      </c:layout>
      <c:overlay val="0"/>
      <c:spPr>
        <a:noFill/>
        <a:ln w="25400">
          <a:noFill/>
        </a:ln>
      </c:spPr>
      <c:txPr>
        <a:bodyPr/>
        <a:lstStyle/>
        <a:p>
          <a:pPr>
            <a:defRPr sz="700" b="1" i="0" u="none" strike="noStrike" baseline="0">
              <a:solidFill>
                <a:srgbClr val="000000"/>
              </a:solidFill>
              <a:latin typeface="Arial" panose="020B0604020202020204" pitchFamily="34" charset="0"/>
              <a:ea typeface="Calibri"/>
              <a:cs typeface="Arial" panose="020B0604020202020204" pitchFamily="34" charset="0"/>
            </a:defRPr>
          </a:pPr>
          <a:endParaRPr lang="el-GR"/>
        </a:p>
      </c:txPr>
    </c:legend>
    <c:plotVisOnly val="1"/>
    <c:dispBlanksAs val="gap"/>
    <c:showDLblsOverMax val="0"/>
  </c:chart>
  <c:spPr>
    <a:solidFill>
      <a:srgbClr val="FFFFFF"/>
    </a:solidFill>
    <a:ln w="3175">
      <a:solidFill>
        <a:schemeClr val="bg1">
          <a:lumMod val="85000"/>
        </a:schemeClr>
      </a:solidFill>
      <a:prstDash val="solid"/>
    </a:ln>
  </c:spPr>
  <c:txPr>
    <a:bodyPr/>
    <a:lstStyle/>
    <a:p>
      <a:pPr>
        <a:defRPr sz="1000" b="0" i="0" u="none" strike="noStrike" baseline="0">
          <a:solidFill>
            <a:srgbClr val="000000"/>
          </a:solidFill>
          <a:latin typeface="Arial Greek"/>
          <a:ea typeface="Arial Greek"/>
          <a:cs typeface="Arial Greek"/>
        </a:defRPr>
      </a:pPr>
      <a:endParaRPr lang="el-GR"/>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9B6A-4A07-BB70-83E0033DC179}"/>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9B6A-4A07-BB70-83E0033DC179}"/>
              </c:ext>
            </c:extLst>
          </c:dPt>
          <c:dPt>
            <c:idx val="2"/>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5-9B6A-4A07-BB70-83E0033DC179}"/>
              </c:ext>
            </c:extLst>
          </c:dPt>
          <c:dPt>
            <c:idx val="3"/>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7-9B6A-4A07-BB70-83E0033DC179}"/>
              </c:ext>
            </c:extLst>
          </c:dPt>
          <c:dLbls>
            <c:dLbl>
              <c:idx val="1"/>
              <c:layout>
                <c:manualLayout>
                  <c:x val="0.16312133513757329"/>
                  <c:y val="0.1050851909965179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B6A-4A07-BB70-83E0033DC179}"/>
                </c:ext>
              </c:extLst>
            </c:dLbl>
            <c:dLbl>
              <c:idx val="3"/>
              <c:layout>
                <c:manualLayout>
                  <c:x val="7.0174582642439823E-2"/>
                  <c:y val="-9.529241859121677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9B6A-4A07-BB70-83E0033DC179}"/>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'1'!$A$4:$A$7</c:f>
              <c:strCache>
                <c:ptCount val="4"/>
                <c:pt idx="0">
                  <c:v>ΕΠΙΤΕΛΙΚΟΣ ΣΥΝΤΟΝΙΣΜΟΣ ΚΑΙ ΕΠΕΝΔΥΣΕΙΣ ΥΠΟΥΡΓΕΙΟΥ ΠΟΛΙΤΙΣΜΟΥ </c:v>
                </c:pt>
                <c:pt idx="1">
                  <c:v>ΑΡΧΑΙΟΛΟΓΙΚΑ ΜΟΥΣΕΙΑ - ΑΡΧΑΙΟΛΟΓΙΚΟΙ ΧΩΡΟΙ-ΜΝΗΜΕΙΑ-ΚΤΙΡΙΑ</c:v>
                </c:pt>
                <c:pt idx="2">
                  <c:v>ΤΕΧΝΕΣ ΚΑΙ ΓΡΑΜΜΑΤΑ - ΚΑΛΛΙΤΕΧΝΙΚΗ ΕΚΠΑΙΔΕΥΣΗ ΚΑΙ ΛΟΙΠΕΣ ΠΟΛΙΤΙΣΤΙΚΕΣ ΔΡΑΣΕΙΣ</c:v>
                </c:pt>
                <c:pt idx="3">
                  <c:v>ΟΠΤΙΚΟΑΚΟΥΣΤΙΚΗ ΠΑΡΑΓΩΓΗ</c:v>
                </c:pt>
              </c:strCache>
            </c:strRef>
          </c:cat>
          <c:val>
            <c:numRef>
              <c:f>'1'!$B$4:$B$7</c:f>
              <c:numCache>
                <c:formatCode>#,##0\ "€"</c:formatCode>
                <c:ptCount val="4"/>
                <c:pt idx="0">
                  <c:v>105599800</c:v>
                </c:pt>
                <c:pt idx="1">
                  <c:v>374154570</c:v>
                </c:pt>
                <c:pt idx="2">
                  <c:v>104840608.4174</c:v>
                </c:pt>
                <c:pt idx="3">
                  <c:v>68514021.582599998</c:v>
                </c:pt>
              </c:numCache>
            </c:numRef>
          </c:val>
          <c:extLst>
            <c:ext xmlns:c16="http://schemas.microsoft.com/office/drawing/2014/chart" uri="{C3380CC4-5D6E-409C-BE32-E72D297353CC}">
              <c16:uniqueId val="{00000008-9B6A-4A07-BB70-83E0033DC179}"/>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'1'!$B$12</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1"/>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31-468D-9072-42A6C83FC94C}"/>
                </c:ext>
              </c:extLst>
            </c:dLbl>
            <c:dLbl>
              <c:idx val="2"/>
              <c:layout>
                <c:manualLayout>
                  <c:x val="3.3076074972436607E-2"/>
                  <c:y val="-9.46745562130177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31-468D-9072-42A6C83FC94C}"/>
                </c:ext>
              </c:extLst>
            </c:dLbl>
            <c:dLbl>
              <c:idx val="3"/>
              <c:delete val="1"/>
              <c:extLst>
                <c:ext xmlns:c15="http://schemas.microsoft.com/office/drawing/2012/chart" uri="{CE6537A1-D6FC-4f65-9D91-7224C49458BB}"/>
                <c:ext xmlns:c16="http://schemas.microsoft.com/office/drawing/2014/chart" uri="{C3380CC4-5D6E-409C-BE32-E72D297353CC}">
                  <c16:uniqueId val="{00000002-F231-468D-9072-42A6C83FC94C}"/>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'1'!$A$13:$A$16</c:f>
              <c:strCache>
                <c:ptCount val="4"/>
                <c:pt idx="0">
                  <c:v>ΕΠΙΤΕΛΙΚΟΣ ΣΥΝΤΟΝΙΣΜΟΣ ΚΑΙ ΕΠΕΝΔΥΣΕΙΣ ΥΠΟΥΡΓΕΙΟΥ ΠΟΛΙΤΙΣΜΟΥ </c:v>
                </c:pt>
                <c:pt idx="1">
                  <c:v>ΑΡΧΑΙΟΛΟΓΙΚΑ ΜΟΥΣΕΙΑ - ΑΡΧΑΙΟΛΟΓΙΚΟΙ ΧΩΡΟΙ-ΜΝΗΜΕΙΑ-ΚΤΙΡΙΑ</c:v>
                </c:pt>
                <c:pt idx="2">
                  <c:v>ΤΕΧΝΕΣ ΚΑΙ ΓΡΑΜΜΑΤΑ - ΚΑΛΛΙΤΕΧΝΙΚΗ ΕΚΠΑΙΔΕΥΣΗ ΚΑΙ ΛΟΙΠΕΣ ΠΟΛΙΤΙΣΤΙΚΕΣ ΔΡΑΣΕΙΣ</c:v>
                </c:pt>
                <c:pt idx="3">
                  <c:v>ΟΠΤΙΚΟΑΚΟΥΣΤΙΚΗ ΠΑΡΑΓΩΓΗ</c:v>
                </c:pt>
              </c:strCache>
            </c:strRef>
          </c:cat>
          <c:val>
            <c:numRef>
              <c:f>'1'!$B$13:$B$16</c:f>
              <c:numCache>
                <c:formatCode>#,##0\ "€"</c:formatCode>
                <c:ptCount val="4"/>
                <c:pt idx="0">
                  <c:v>114366200.33</c:v>
                </c:pt>
                <c:pt idx="1">
                  <c:v>361265824.49000001</c:v>
                </c:pt>
                <c:pt idx="2">
                  <c:v>31523831.437399998</c:v>
                </c:pt>
                <c:pt idx="3">
                  <c:v>2.5999909266829001E-3</c:v>
                </c:pt>
              </c:numCache>
            </c:numRef>
          </c:val>
          <c:extLst>
            <c:ext xmlns:c16="http://schemas.microsoft.com/office/drawing/2014/chart" uri="{C3380CC4-5D6E-409C-BE32-E72D297353CC}">
              <c16:uniqueId val="{00000003-F231-468D-9072-42A6C83FC94C}"/>
            </c:ext>
          </c:extLst>
        </c:ser>
        <c:ser>
          <c:idx val="1"/>
          <c:order val="1"/>
          <c:tx>
            <c:strRef>
              <c:f>'1'!$C$12</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'1'!$A$13:$A$16</c:f>
              <c:strCache>
                <c:ptCount val="4"/>
                <c:pt idx="0">
                  <c:v>ΕΠΙΤΕΛΙΚΟΣ ΣΥΝΤΟΝΙΣΜΟΣ ΚΑΙ ΕΠΕΝΔΥΣΕΙΣ ΥΠΟΥΡΓΕΙΟΥ ΠΟΛΙΤΙΣΜΟΥ </c:v>
                </c:pt>
                <c:pt idx="1">
                  <c:v>ΑΡΧΑΙΟΛΟΓΙΚΑ ΜΟΥΣΕΙΑ - ΑΡΧΑΙΟΛΟΓΙΚΟΙ ΧΩΡΟΙ-ΜΝΗΜΕΙΑ-ΚΤΙΡΙΑ</c:v>
                </c:pt>
                <c:pt idx="2">
                  <c:v>ΤΕΧΝΕΣ ΚΑΙ ΓΡΑΜΜΑΤΑ - ΚΑΛΛΙΤΕΧΝΙΚΗ ΕΚΠΑΙΔΕΥΣΗ ΚΑΙ ΛΟΙΠΕΣ ΠΟΛΙΤΙΣΤΙΚΕΣ ΔΡΑΣΕΙΣ</c:v>
                </c:pt>
                <c:pt idx="3">
                  <c:v>ΟΠΤΙΚΟΑΚΟΥΣΤΙΚΗ ΠΑΡΑΓΩΓΗ</c:v>
                </c:pt>
              </c:strCache>
            </c:strRef>
          </c:cat>
          <c:val>
            <c:numRef>
              <c:f>'1'!$C$13:$C$16</c:f>
              <c:numCache>
                <c:formatCode>#,##0\ "€"</c:formatCode>
                <c:ptCount val="4"/>
                <c:pt idx="0">
                  <c:v>25297496.27</c:v>
                </c:pt>
                <c:pt idx="1">
                  <c:v>153247137.09</c:v>
                </c:pt>
                <c:pt idx="2">
                  <c:v>206932178.38999999</c:v>
                </c:pt>
                <c:pt idx="3">
                  <c:v>83361129.540000007</c:v>
                </c:pt>
              </c:numCache>
            </c:numRef>
          </c:val>
          <c:extLst>
            <c:ext xmlns:c16="http://schemas.microsoft.com/office/drawing/2014/chart" uri="{C3380CC4-5D6E-409C-BE32-E72D297353CC}">
              <c16:uniqueId val="{00000004-F231-468D-9072-42A6C83FC94C}"/>
            </c:ext>
          </c:extLst>
        </c:ser>
        <c:dLbls>
          <c:showLegendKey val="0"/>
          <c:showVal val="0"/>
          <c:showCatName val="0"/>
          <c:showSerName val="0"/>
          <c:showPercent val="0"/>
          <c:showBubbleSize val="0"/>
        </c:dLbls>
        <c:gapWidth val="74"/>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354291826647401E-2"/>
          <c:y val="0.19933328575619888"/>
          <c:w val="0.93826358994185755"/>
          <c:h val="0.79974910991111003"/>
        </c:manualLayout>
      </c:layout>
      <c:pie3DChart>
        <c:varyColors val="1"/>
        <c:ser>
          <c:idx val="0"/>
          <c:order val="0"/>
          <c:tx>
            <c:strRef>
              <c:f>'1'!$B$20:$B$21</c:f>
              <c:strCache>
                <c:ptCount val="2"/>
                <c:pt idx="0">
                  <c:v>Ανθρώπινοι Πόροι ανά Πρόγραμμα </c:v>
                </c:pt>
                <c:pt idx="1">
                  <c:v>ΠΡΟΣΩΠΙΚΟ 2026</c:v>
                </c:pt>
              </c:strCache>
            </c:strRef>
          </c:tx>
          <c:dPt>
            <c:idx val="0"/>
            <c:bubble3D val="0"/>
            <c:explosion val="34"/>
            <c:spPr>
              <a:gradFill rotWithShape="1">
                <a:gsLst>
                  <a:gs pos="0">
                    <a:schemeClr val="accent1">
                      <a:shade val="58000"/>
                      <a:satMod val="103000"/>
                      <a:lumMod val="102000"/>
                      <a:tint val="94000"/>
                    </a:schemeClr>
                  </a:gs>
                  <a:gs pos="50000">
                    <a:schemeClr val="accent1">
                      <a:shade val="58000"/>
                      <a:satMod val="110000"/>
                      <a:lumMod val="100000"/>
                      <a:shade val="100000"/>
                    </a:schemeClr>
                  </a:gs>
                  <a:gs pos="100000">
                    <a:schemeClr val="accent1">
                      <a:shade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1-1E24-4CE6-875E-EBE35397DC3C}"/>
              </c:ext>
            </c:extLst>
          </c:dPt>
          <c:dPt>
            <c:idx val="1"/>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3-1E24-4CE6-875E-EBE35397DC3C}"/>
              </c:ext>
            </c:extLst>
          </c:dPt>
          <c:dPt>
            <c:idx val="2"/>
            <c:bubble3D val="0"/>
            <c:explosion val="11"/>
            <c:spPr>
              <a:solidFill>
                <a:schemeClr val="accent5">
                  <a:lumMod val="75000"/>
                </a:schemeClr>
              </a:solidFill>
              <a:ln>
                <a:noFill/>
              </a:ln>
              <a:effectLst/>
              <a:sp3d/>
            </c:spPr>
            <c:extLst>
              <c:ext xmlns:c16="http://schemas.microsoft.com/office/drawing/2014/chart" uri="{C3380CC4-5D6E-409C-BE32-E72D297353CC}">
                <c16:uniqueId val="{00000005-1E24-4CE6-875E-EBE35397DC3C}"/>
              </c:ext>
            </c:extLst>
          </c:dPt>
          <c:dPt>
            <c:idx val="3"/>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7-1E24-4CE6-875E-EBE35397DC3C}"/>
              </c:ext>
            </c:extLst>
          </c:dPt>
          <c:dLbls>
            <c:dLbl>
              <c:idx val="0"/>
              <c:layout>
                <c:manualLayout>
                  <c:x val="0.12300931731725318"/>
                  <c:y val="1.269479571884790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3172299438314423"/>
                      <c:h val="0.16024158690200899"/>
                    </c:manualLayout>
                  </c15:layout>
                </c:ext>
                <c:ext xmlns:c16="http://schemas.microsoft.com/office/drawing/2014/chart" uri="{C3380CC4-5D6E-409C-BE32-E72D297353CC}">
                  <c16:uniqueId val="{00000001-1E24-4CE6-875E-EBE35397DC3C}"/>
                </c:ext>
              </c:extLst>
            </c:dLbl>
            <c:dLbl>
              <c:idx val="1"/>
              <c:layout>
                <c:manualLayout>
                  <c:x val="0.11637493139208697"/>
                  <c:y val="-7.619319488387214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E24-4CE6-875E-EBE35397DC3C}"/>
                </c:ext>
              </c:extLst>
            </c:dLbl>
            <c:dLbl>
              <c:idx val="2"/>
              <c:layout>
                <c:manualLayout>
                  <c:x val="-0.14312356214569102"/>
                  <c:y val="-2.414229819785538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E24-4CE6-875E-EBE35397DC3C}"/>
                </c:ext>
              </c:extLst>
            </c:dLbl>
            <c:dLbl>
              <c:idx val="3"/>
              <c:layout>
                <c:manualLayout>
                  <c:x val="-9.1571283762578851E-2"/>
                  <c:y val="-0.1755009475779273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1E24-4CE6-875E-EBE35397DC3C}"/>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'1'!$A$22:$A$25</c:f>
              <c:strCache>
                <c:ptCount val="4"/>
                <c:pt idx="0">
                  <c:v>ΕΠΙΤΕΛΙΚΟΣ ΣΥΝΤΟΝΙΣΜΟΣ ΚΑΙ ΕΠΕΝΔΥΣΕΙΣ ΥΠΟΥΡΓΕΙΟΥ ΠΟΛΙΤΙΣΜΟΥ </c:v>
                </c:pt>
                <c:pt idx="1">
                  <c:v>ΑΡΧΑΙΟΛΟΓΙΚΑ ΜΟΥΣΕΙΑ - ΑΡΧΑΙΟΛΟΓΙΚΟΙ ΧΩΡΟΙ-ΜΝΗΜΕΙΑ-ΚΤΙΡΙΑ</c:v>
                </c:pt>
                <c:pt idx="2">
                  <c:v>ΤΕΧΝΕΣ ΚΑΙ ΓΡΑΜΜΑΤΑ - ΚΑΛΛΙΤΕΧΝΙΚΗ ΕΚΠΑΙΔΕΥΣΗ ΚΑΙ ΛΟΙΠΕΣ ΠΟΛΙΤΙΣΤΙΚΕΣ ΔΡΑΣΕΙΣ</c:v>
                </c:pt>
                <c:pt idx="3">
                  <c:v>ΟΠΤΙΚΟΑΚΟΥΣΤΙΚΗ ΠΑΡΑΓΩΓΗ</c:v>
                </c:pt>
              </c:strCache>
            </c:strRef>
          </c:cat>
          <c:val>
            <c:numRef>
              <c:f>'1'!$B$22:$B$25</c:f>
              <c:numCache>
                <c:formatCode>_-* #,##0\ _€_-;\-* #,##0\ _€_-;_-* "-"??\ _€_-;_-@_-</c:formatCode>
                <c:ptCount val="4"/>
                <c:pt idx="0">
                  <c:v>483</c:v>
                </c:pt>
                <c:pt idx="1">
                  <c:v>10304</c:v>
                </c:pt>
                <c:pt idx="2">
                  <c:v>2337</c:v>
                </c:pt>
                <c:pt idx="3">
                  <c:v>37</c:v>
                </c:pt>
              </c:numCache>
            </c:numRef>
          </c:val>
          <c:extLst>
            <c:ext xmlns:c16="http://schemas.microsoft.com/office/drawing/2014/chart" uri="{C3380CC4-5D6E-409C-BE32-E72D297353CC}">
              <c16:uniqueId val="{00000008-1E24-4CE6-875E-EBE35397DC3C}"/>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081865455902903"/>
          <c:y val="0.32421483899878367"/>
          <c:w val="0.74710415056993285"/>
          <c:h val="0.64219338436354001"/>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3637-4EC8-99A8-67ECFA80FC65}"/>
              </c:ext>
            </c:extLst>
          </c:dPt>
          <c:dPt>
            <c:idx val="1"/>
            <c:bubble3D val="0"/>
            <c:spPr>
              <a:gradFill rotWithShape="1">
                <a:gsLst>
                  <a:gs pos="0">
                    <a:schemeClr val="accent1">
                      <a:shade val="46000"/>
                      <a:satMod val="103000"/>
                      <a:lumMod val="102000"/>
                      <a:tint val="94000"/>
                    </a:schemeClr>
                  </a:gs>
                  <a:gs pos="50000">
                    <a:schemeClr val="accent1">
                      <a:shade val="46000"/>
                      <a:satMod val="110000"/>
                      <a:lumMod val="100000"/>
                      <a:shade val="100000"/>
                    </a:schemeClr>
                  </a:gs>
                  <a:gs pos="100000">
                    <a:schemeClr val="accent1">
                      <a:shade val="46000"/>
                      <a:lumMod val="99000"/>
                      <a:satMod val="120000"/>
                      <a:shade val="78000"/>
                    </a:schemeClr>
                  </a:gs>
                </a:gsLst>
                <a:lin ang="5400000" scaled="0"/>
              </a:gradFill>
              <a:ln>
                <a:noFill/>
              </a:ln>
              <a:effectLst/>
              <a:sp3d/>
            </c:spPr>
            <c:extLst>
              <c:ext xmlns:c16="http://schemas.microsoft.com/office/drawing/2014/chart" uri="{C3380CC4-5D6E-409C-BE32-E72D297353CC}">
                <c16:uniqueId val="{00000003-3637-4EC8-99A8-67ECFA80FC65}"/>
              </c:ext>
            </c:extLst>
          </c:dPt>
          <c:dPt>
            <c:idx val="2"/>
            <c:bubble3D val="0"/>
            <c:spPr>
              <a:gradFill rotWithShape="1">
                <a:gsLst>
                  <a:gs pos="0">
                    <a:schemeClr val="accent1">
                      <a:shade val="54000"/>
                      <a:satMod val="103000"/>
                      <a:lumMod val="102000"/>
                      <a:tint val="94000"/>
                    </a:schemeClr>
                  </a:gs>
                  <a:gs pos="50000">
                    <a:schemeClr val="accent1">
                      <a:shade val="54000"/>
                      <a:satMod val="110000"/>
                      <a:lumMod val="100000"/>
                      <a:shade val="100000"/>
                    </a:schemeClr>
                  </a:gs>
                  <a:gs pos="100000">
                    <a:schemeClr val="accent1">
                      <a:shade val="54000"/>
                      <a:lumMod val="99000"/>
                      <a:satMod val="120000"/>
                      <a:shade val="78000"/>
                    </a:schemeClr>
                  </a:gs>
                </a:gsLst>
                <a:lin ang="5400000" scaled="0"/>
              </a:gradFill>
              <a:ln>
                <a:noFill/>
              </a:ln>
              <a:effectLst/>
              <a:sp3d/>
            </c:spPr>
            <c:extLst>
              <c:ext xmlns:c16="http://schemas.microsoft.com/office/drawing/2014/chart" uri="{C3380CC4-5D6E-409C-BE32-E72D297353CC}">
                <c16:uniqueId val="{00000005-3637-4EC8-99A8-67ECFA80FC65}"/>
              </c:ext>
            </c:extLst>
          </c:dPt>
          <c:dPt>
            <c:idx val="3"/>
            <c:bubble3D val="0"/>
            <c:spPr>
              <a:gradFill rotWithShape="1">
                <a:gsLst>
                  <a:gs pos="0">
                    <a:schemeClr val="accent1">
                      <a:shade val="62000"/>
                      <a:satMod val="103000"/>
                      <a:lumMod val="102000"/>
                      <a:tint val="94000"/>
                    </a:schemeClr>
                  </a:gs>
                  <a:gs pos="50000">
                    <a:schemeClr val="accent1">
                      <a:shade val="62000"/>
                      <a:satMod val="110000"/>
                      <a:lumMod val="100000"/>
                      <a:shade val="100000"/>
                    </a:schemeClr>
                  </a:gs>
                  <a:gs pos="100000">
                    <a:schemeClr val="accent1">
                      <a:shade val="62000"/>
                      <a:lumMod val="99000"/>
                      <a:satMod val="120000"/>
                      <a:shade val="78000"/>
                    </a:schemeClr>
                  </a:gs>
                </a:gsLst>
                <a:lin ang="5400000" scaled="0"/>
              </a:gradFill>
              <a:ln>
                <a:noFill/>
              </a:ln>
              <a:effectLst/>
              <a:sp3d/>
            </c:spPr>
            <c:extLst>
              <c:ext xmlns:c16="http://schemas.microsoft.com/office/drawing/2014/chart" uri="{C3380CC4-5D6E-409C-BE32-E72D297353CC}">
                <c16:uniqueId val="{00000007-3637-4EC8-99A8-67ECFA80FC65}"/>
              </c:ext>
            </c:extLst>
          </c:dPt>
          <c:dPt>
            <c:idx val="4"/>
            <c:bubble3D val="0"/>
            <c:spPr>
              <a:gradFill rotWithShape="1">
                <a:gsLst>
                  <a:gs pos="0">
                    <a:schemeClr val="accent1">
                      <a:shade val="71000"/>
                      <a:satMod val="103000"/>
                      <a:lumMod val="102000"/>
                      <a:tint val="94000"/>
                    </a:schemeClr>
                  </a:gs>
                  <a:gs pos="50000">
                    <a:schemeClr val="accent1">
                      <a:shade val="71000"/>
                      <a:satMod val="110000"/>
                      <a:lumMod val="100000"/>
                      <a:shade val="100000"/>
                    </a:schemeClr>
                  </a:gs>
                  <a:gs pos="100000">
                    <a:schemeClr val="accent1">
                      <a:shade val="71000"/>
                      <a:lumMod val="99000"/>
                      <a:satMod val="120000"/>
                      <a:shade val="78000"/>
                    </a:schemeClr>
                  </a:gs>
                </a:gsLst>
                <a:lin ang="5400000" scaled="0"/>
              </a:gradFill>
              <a:ln>
                <a:noFill/>
              </a:ln>
              <a:effectLst/>
              <a:sp3d/>
            </c:spPr>
            <c:extLst>
              <c:ext xmlns:c16="http://schemas.microsoft.com/office/drawing/2014/chart" uri="{C3380CC4-5D6E-409C-BE32-E72D297353CC}">
                <c16:uniqueId val="{00000009-3637-4EC8-99A8-67ECFA80FC65}"/>
              </c:ext>
            </c:extLst>
          </c:dPt>
          <c:dPt>
            <c:idx val="5"/>
            <c:bubble3D val="0"/>
            <c:spPr>
              <a:gradFill rotWithShape="1">
                <a:gsLst>
                  <a:gs pos="0">
                    <a:schemeClr val="accent1">
                      <a:shade val="79000"/>
                      <a:satMod val="103000"/>
                      <a:lumMod val="102000"/>
                      <a:tint val="94000"/>
                    </a:schemeClr>
                  </a:gs>
                  <a:gs pos="50000">
                    <a:schemeClr val="accent1">
                      <a:shade val="79000"/>
                      <a:satMod val="110000"/>
                      <a:lumMod val="100000"/>
                      <a:shade val="100000"/>
                    </a:schemeClr>
                  </a:gs>
                  <a:gs pos="100000">
                    <a:schemeClr val="accent1">
                      <a:shade val="79000"/>
                      <a:lumMod val="99000"/>
                      <a:satMod val="120000"/>
                      <a:shade val="78000"/>
                    </a:schemeClr>
                  </a:gs>
                </a:gsLst>
                <a:lin ang="5400000" scaled="0"/>
              </a:gradFill>
              <a:ln>
                <a:noFill/>
              </a:ln>
              <a:effectLst/>
              <a:sp3d/>
            </c:spPr>
            <c:extLst>
              <c:ext xmlns:c16="http://schemas.microsoft.com/office/drawing/2014/chart" uri="{C3380CC4-5D6E-409C-BE32-E72D297353CC}">
                <c16:uniqueId val="{0000000B-3637-4EC8-99A8-67ECFA80FC65}"/>
              </c:ext>
            </c:extLst>
          </c:dPt>
          <c:dPt>
            <c:idx val="6"/>
            <c:bubble3D val="0"/>
            <c:spPr>
              <a:gradFill rotWithShape="1">
                <a:gsLst>
                  <a:gs pos="0">
                    <a:schemeClr val="accent1">
                      <a:shade val="87000"/>
                      <a:satMod val="103000"/>
                      <a:lumMod val="102000"/>
                      <a:tint val="94000"/>
                    </a:schemeClr>
                  </a:gs>
                  <a:gs pos="50000">
                    <a:schemeClr val="accent1">
                      <a:shade val="87000"/>
                      <a:satMod val="110000"/>
                      <a:lumMod val="100000"/>
                      <a:shade val="100000"/>
                    </a:schemeClr>
                  </a:gs>
                  <a:gs pos="100000">
                    <a:schemeClr val="accent1">
                      <a:shade val="87000"/>
                      <a:lumMod val="99000"/>
                      <a:satMod val="120000"/>
                      <a:shade val="78000"/>
                    </a:schemeClr>
                  </a:gs>
                </a:gsLst>
                <a:lin ang="5400000" scaled="0"/>
              </a:gradFill>
              <a:ln>
                <a:noFill/>
              </a:ln>
              <a:effectLst/>
              <a:sp3d/>
            </c:spPr>
            <c:extLst>
              <c:ext xmlns:c16="http://schemas.microsoft.com/office/drawing/2014/chart" uri="{C3380CC4-5D6E-409C-BE32-E72D297353CC}">
                <c16:uniqueId val="{0000000D-3637-4EC8-99A8-67ECFA80FC65}"/>
              </c:ext>
            </c:extLst>
          </c:dPt>
          <c:dPt>
            <c:idx val="7"/>
            <c:bubble3D val="0"/>
            <c:spPr>
              <a:gradFill rotWithShape="1">
                <a:gsLst>
                  <a:gs pos="0">
                    <a:schemeClr val="accent1">
                      <a:shade val="95000"/>
                      <a:satMod val="103000"/>
                      <a:lumMod val="102000"/>
                      <a:tint val="94000"/>
                    </a:schemeClr>
                  </a:gs>
                  <a:gs pos="50000">
                    <a:schemeClr val="accent1">
                      <a:shade val="95000"/>
                      <a:satMod val="110000"/>
                      <a:lumMod val="100000"/>
                      <a:shade val="100000"/>
                    </a:schemeClr>
                  </a:gs>
                  <a:gs pos="100000">
                    <a:schemeClr val="accent1">
                      <a:shade val="95000"/>
                      <a:lumMod val="99000"/>
                      <a:satMod val="120000"/>
                      <a:shade val="78000"/>
                    </a:schemeClr>
                  </a:gs>
                </a:gsLst>
                <a:lin ang="5400000" scaled="0"/>
              </a:gradFill>
              <a:ln>
                <a:noFill/>
              </a:ln>
              <a:effectLst/>
              <a:sp3d/>
            </c:spPr>
            <c:extLst>
              <c:ext xmlns:c16="http://schemas.microsoft.com/office/drawing/2014/chart" uri="{C3380CC4-5D6E-409C-BE32-E72D297353CC}">
                <c16:uniqueId val="{0000000F-3637-4EC8-99A8-67ECFA80FC65}"/>
              </c:ext>
            </c:extLst>
          </c:dPt>
          <c:dPt>
            <c:idx val="8"/>
            <c:bubble3D val="0"/>
            <c:spPr>
              <a:gradFill rotWithShape="1">
                <a:gsLst>
                  <a:gs pos="0">
                    <a:schemeClr val="accent1">
                      <a:tint val="96000"/>
                      <a:satMod val="103000"/>
                      <a:lumMod val="102000"/>
                      <a:tint val="94000"/>
                    </a:schemeClr>
                  </a:gs>
                  <a:gs pos="50000">
                    <a:schemeClr val="accent1">
                      <a:tint val="96000"/>
                      <a:satMod val="110000"/>
                      <a:lumMod val="100000"/>
                      <a:shade val="100000"/>
                    </a:schemeClr>
                  </a:gs>
                  <a:gs pos="100000">
                    <a:schemeClr val="accent1">
                      <a:tint val="96000"/>
                      <a:lumMod val="99000"/>
                      <a:satMod val="120000"/>
                      <a:shade val="78000"/>
                    </a:schemeClr>
                  </a:gs>
                </a:gsLst>
                <a:lin ang="5400000" scaled="0"/>
              </a:gradFill>
              <a:ln>
                <a:noFill/>
              </a:ln>
              <a:effectLst/>
              <a:sp3d/>
            </c:spPr>
            <c:extLst>
              <c:ext xmlns:c16="http://schemas.microsoft.com/office/drawing/2014/chart" uri="{C3380CC4-5D6E-409C-BE32-E72D297353CC}">
                <c16:uniqueId val="{00000011-3637-4EC8-99A8-67ECFA80FC65}"/>
              </c:ext>
            </c:extLst>
          </c:dPt>
          <c:dPt>
            <c:idx val="9"/>
            <c:bubble3D val="0"/>
            <c:spPr>
              <a:gradFill rotWithShape="1">
                <a:gsLst>
                  <a:gs pos="0">
                    <a:schemeClr val="accent1">
                      <a:tint val="88000"/>
                      <a:satMod val="103000"/>
                      <a:lumMod val="102000"/>
                      <a:tint val="94000"/>
                    </a:schemeClr>
                  </a:gs>
                  <a:gs pos="50000">
                    <a:schemeClr val="accent1">
                      <a:tint val="88000"/>
                      <a:satMod val="110000"/>
                      <a:lumMod val="100000"/>
                      <a:shade val="100000"/>
                    </a:schemeClr>
                  </a:gs>
                  <a:gs pos="100000">
                    <a:schemeClr val="accent1">
                      <a:tint val="88000"/>
                      <a:lumMod val="99000"/>
                      <a:satMod val="120000"/>
                      <a:shade val="78000"/>
                    </a:schemeClr>
                  </a:gs>
                </a:gsLst>
                <a:lin ang="5400000" scaled="0"/>
              </a:gradFill>
              <a:ln>
                <a:noFill/>
              </a:ln>
              <a:effectLst/>
              <a:sp3d/>
            </c:spPr>
            <c:extLst>
              <c:ext xmlns:c16="http://schemas.microsoft.com/office/drawing/2014/chart" uri="{C3380CC4-5D6E-409C-BE32-E72D297353CC}">
                <c16:uniqueId val="{00000013-3637-4EC8-99A8-67ECFA80FC65}"/>
              </c:ext>
            </c:extLst>
          </c:dPt>
          <c:dPt>
            <c:idx val="10"/>
            <c:bubble3D val="0"/>
            <c:spPr>
              <a:gradFill rotWithShape="1">
                <a:gsLst>
                  <a:gs pos="0">
                    <a:schemeClr val="accent1">
                      <a:tint val="80000"/>
                      <a:satMod val="103000"/>
                      <a:lumMod val="102000"/>
                      <a:tint val="94000"/>
                    </a:schemeClr>
                  </a:gs>
                  <a:gs pos="50000">
                    <a:schemeClr val="accent1">
                      <a:tint val="80000"/>
                      <a:satMod val="110000"/>
                      <a:lumMod val="100000"/>
                      <a:shade val="100000"/>
                    </a:schemeClr>
                  </a:gs>
                  <a:gs pos="100000">
                    <a:schemeClr val="accent1">
                      <a:tint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15-3637-4EC8-99A8-67ECFA80FC65}"/>
              </c:ext>
            </c:extLst>
          </c:dPt>
          <c:dPt>
            <c:idx val="11"/>
            <c:bubble3D val="0"/>
            <c:spPr>
              <a:gradFill rotWithShape="1">
                <a:gsLst>
                  <a:gs pos="0">
                    <a:schemeClr val="accent1">
                      <a:tint val="94000"/>
                      <a:satMod val="103000"/>
                      <a:lumMod val="102000"/>
                      <a:tint val="94000"/>
                    </a:schemeClr>
                  </a:gs>
                  <a:gs pos="50000">
                    <a:schemeClr val="accent1">
                      <a:tint val="94000"/>
                      <a:satMod val="110000"/>
                      <a:lumMod val="100000"/>
                      <a:shade val="100000"/>
                    </a:schemeClr>
                  </a:gs>
                  <a:gs pos="100000">
                    <a:schemeClr val="accent1">
                      <a:tint val="94000"/>
                      <a:lumMod val="99000"/>
                      <a:satMod val="120000"/>
                      <a:shade val="78000"/>
                    </a:schemeClr>
                  </a:gs>
                </a:gsLst>
                <a:lin ang="5400000" scaled="0"/>
              </a:gradFill>
              <a:ln>
                <a:noFill/>
              </a:ln>
              <a:effectLst/>
              <a:sp3d/>
            </c:spPr>
            <c:extLst>
              <c:ext xmlns:c16="http://schemas.microsoft.com/office/drawing/2014/chart" uri="{C3380CC4-5D6E-409C-BE32-E72D297353CC}">
                <c16:uniqueId val="{00000017-3637-4EC8-99A8-67ECFA80FC65}"/>
              </c:ext>
            </c:extLst>
          </c:dPt>
          <c:dPt>
            <c:idx val="12"/>
            <c:bubble3D val="0"/>
            <c:spPr>
              <a:gradFill rotWithShape="1">
                <a:gsLst>
                  <a:gs pos="0">
                    <a:schemeClr val="accent1">
                      <a:tint val="88000"/>
                      <a:satMod val="103000"/>
                      <a:lumMod val="102000"/>
                      <a:tint val="94000"/>
                    </a:schemeClr>
                  </a:gs>
                  <a:gs pos="50000">
                    <a:schemeClr val="accent1">
                      <a:tint val="88000"/>
                      <a:satMod val="110000"/>
                      <a:lumMod val="100000"/>
                      <a:shade val="100000"/>
                    </a:schemeClr>
                  </a:gs>
                  <a:gs pos="100000">
                    <a:schemeClr val="accent1">
                      <a:tint val="88000"/>
                      <a:lumMod val="99000"/>
                      <a:satMod val="120000"/>
                      <a:shade val="78000"/>
                    </a:schemeClr>
                  </a:gs>
                </a:gsLst>
                <a:lin ang="5400000" scaled="0"/>
              </a:gradFill>
              <a:ln>
                <a:noFill/>
              </a:ln>
              <a:effectLst/>
              <a:sp3d/>
            </c:spPr>
            <c:extLst>
              <c:ext xmlns:c16="http://schemas.microsoft.com/office/drawing/2014/chart" uri="{C3380CC4-5D6E-409C-BE32-E72D297353CC}">
                <c16:uniqueId val="{00000019-3637-4EC8-99A8-67ECFA80FC65}"/>
              </c:ext>
            </c:extLst>
          </c:dPt>
          <c:dPt>
            <c:idx val="13"/>
            <c:bubble3D val="0"/>
            <c:spPr>
              <a:gradFill rotWithShape="1">
                <a:gsLst>
                  <a:gs pos="0">
                    <a:schemeClr val="accent1">
                      <a:tint val="85000"/>
                      <a:satMod val="103000"/>
                      <a:lumMod val="102000"/>
                      <a:tint val="94000"/>
                    </a:schemeClr>
                  </a:gs>
                  <a:gs pos="50000">
                    <a:schemeClr val="accent1">
                      <a:tint val="85000"/>
                      <a:satMod val="110000"/>
                      <a:lumMod val="100000"/>
                      <a:shade val="100000"/>
                    </a:schemeClr>
                  </a:gs>
                  <a:gs pos="100000">
                    <a:schemeClr val="accent1">
                      <a:tint val="85000"/>
                      <a:lumMod val="99000"/>
                      <a:satMod val="120000"/>
                      <a:shade val="78000"/>
                    </a:schemeClr>
                  </a:gs>
                </a:gsLst>
                <a:lin ang="5400000" scaled="0"/>
              </a:gradFill>
              <a:ln>
                <a:noFill/>
              </a:ln>
              <a:effectLst/>
              <a:sp3d/>
            </c:spPr>
            <c:extLst>
              <c:ext xmlns:c16="http://schemas.microsoft.com/office/drawing/2014/chart" uri="{C3380CC4-5D6E-409C-BE32-E72D297353CC}">
                <c16:uniqueId val="{0000001B-3637-4EC8-99A8-67ECFA80FC65}"/>
              </c:ext>
            </c:extLst>
          </c:dPt>
          <c:dPt>
            <c:idx val="14"/>
            <c:bubble3D val="0"/>
            <c:spPr>
              <a:gradFill rotWithShape="1">
                <a:gsLst>
                  <a:gs pos="0">
                    <a:schemeClr val="accent1">
                      <a:tint val="79000"/>
                      <a:satMod val="103000"/>
                      <a:lumMod val="102000"/>
                      <a:tint val="94000"/>
                    </a:schemeClr>
                  </a:gs>
                  <a:gs pos="50000">
                    <a:schemeClr val="accent1">
                      <a:tint val="79000"/>
                      <a:satMod val="110000"/>
                      <a:lumMod val="100000"/>
                      <a:shade val="100000"/>
                    </a:schemeClr>
                  </a:gs>
                  <a:gs pos="100000">
                    <a:schemeClr val="accent1">
                      <a:tint val="79000"/>
                      <a:lumMod val="99000"/>
                      <a:satMod val="120000"/>
                      <a:shade val="78000"/>
                    </a:schemeClr>
                  </a:gs>
                </a:gsLst>
                <a:lin ang="5400000" scaled="0"/>
              </a:gradFill>
              <a:ln>
                <a:noFill/>
              </a:ln>
              <a:effectLst/>
              <a:sp3d/>
            </c:spPr>
            <c:extLst>
              <c:ext xmlns:c16="http://schemas.microsoft.com/office/drawing/2014/chart" uri="{C3380CC4-5D6E-409C-BE32-E72D297353CC}">
                <c16:uniqueId val="{0000001D-3637-4EC8-99A8-67ECFA80FC65}"/>
              </c:ext>
            </c:extLst>
          </c:dPt>
          <c:dPt>
            <c:idx val="15"/>
            <c:bubble3D val="0"/>
            <c:spPr>
              <a:gradFill rotWithShape="1">
                <a:gsLst>
                  <a:gs pos="0">
                    <a:schemeClr val="accent1">
                      <a:tint val="72000"/>
                      <a:satMod val="103000"/>
                      <a:lumMod val="102000"/>
                      <a:tint val="94000"/>
                    </a:schemeClr>
                  </a:gs>
                  <a:gs pos="50000">
                    <a:schemeClr val="accent1">
                      <a:tint val="72000"/>
                      <a:satMod val="110000"/>
                      <a:lumMod val="100000"/>
                      <a:shade val="100000"/>
                    </a:schemeClr>
                  </a:gs>
                  <a:gs pos="100000">
                    <a:schemeClr val="accent1">
                      <a:tint val="72000"/>
                      <a:lumMod val="99000"/>
                      <a:satMod val="120000"/>
                      <a:shade val="78000"/>
                    </a:schemeClr>
                  </a:gs>
                </a:gsLst>
                <a:lin ang="5400000" scaled="0"/>
              </a:gradFill>
              <a:ln>
                <a:noFill/>
              </a:ln>
              <a:effectLst/>
              <a:sp3d/>
            </c:spPr>
            <c:extLst>
              <c:ext xmlns:c16="http://schemas.microsoft.com/office/drawing/2014/chart" uri="{C3380CC4-5D6E-409C-BE32-E72D297353CC}">
                <c16:uniqueId val="{0000001F-3637-4EC8-99A8-67ECFA80FC65}"/>
              </c:ext>
            </c:extLst>
          </c:dPt>
          <c:dPt>
            <c:idx val="16"/>
            <c:bubble3D val="0"/>
            <c:spPr>
              <a:gradFill rotWithShape="1">
                <a:gsLst>
                  <a:gs pos="0">
                    <a:schemeClr val="accent1">
                      <a:tint val="75000"/>
                      <a:satMod val="103000"/>
                      <a:lumMod val="102000"/>
                      <a:tint val="94000"/>
                    </a:schemeClr>
                  </a:gs>
                  <a:gs pos="50000">
                    <a:schemeClr val="accent1">
                      <a:tint val="75000"/>
                      <a:satMod val="110000"/>
                      <a:lumMod val="100000"/>
                      <a:shade val="100000"/>
                    </a:schemeClr>
                  </a:gs>
                  <a:gs pos="100000">
                    <a:schemeClr val="accent1">
                      <a:tint val="75000"/>
                      <a:lumMod val="99000"/>
                      <a:satMod val="120000"/>
                      <a:shade val="78000"/>
                    </a:schemeClr>
                  </a:gs>
                </a:gsLst>
                <a:lin ang="5400000" scaled="0"/>
              </a:gradFill>
              <a:ln>
                <a:noFill/>
              </a:ln>
              <a:effectLst/>
              <a:sp3d/>
            </c:spPr>
            <c:extLst>
              <c:ext xmlns:c16="http://schemas.microsoft.com/office/drawing/2014/chart" uri="{C3380CC4-5D6E-409C-BE32-E72D297353CC}">
                <c16:uniqueId val="{00000021-3637-4EC8-99A8-67ECFA80FC65}"/>
              </c:ext>
            </c:extLst>
          </c:dPt>
          <c:dPt>
            <c:idx val="17"/>
            <c:bubble3D val="0"/>
            <c:spPr>
              <a:gradFill rotWithShape="1">
                <a:gsLst>
                  <a:gs pos="0">
                    <a:schemeClr val="accent1">
                      <a:tint val="63000"/>
                      <a:satMod val="103000"/>
                      <a:lumMod val="102000"/>
                      <a:tint val="94000"/>
                    </a:schemeClr>
                  </a:gs>
                  <a:gs pos="50000">
                    <a:schemeClr val="accent1">
                      <a:tint val="63000"/>
                      <a:satMod val="110000"/>
                      <a:lumMod val="100000"/>
                      <a:shade val="100000"/>
                    </a:schemeClr>
                  </a:gs>
                  <a:gs pos="100000">
                    <a:schemeClr val="accent1">
                      <a:tint val="63000"/>
                      <a:lumMod val="99000"/>
                      <a:satMod val="120000"/>
                      <a:shade val="78000"/>
                    </a:schemeClr>
                  </a:gs>
                </a:gsLst>
                <a:lin ang="5400000" scaled="0"/>
              </a:gradFill>
              <a:ln>
                <a:noFill/>
              </a:ln>
              <a:effectLst/>
              <a:sp3d/>
            </c:spPr>
            <c:extLst>
              <c:ext xmlns:c16="http://schemas.microsoft.com/office/drawing/2014/chart" uri="{C3380CC4-5D6E-409C-BE32-E72D297353CC}">
                <c16:uniqueId val="{00000023-3637-4EC8-99A8-67ECFA80FC65}"/>
              </c:ext>
            </c:extLst>
          </c:dPt>
          <c:dPt>
            <c:idx val="18"/>
            <c:bubble3D val="0"/>
            <c:spPr>
              <a:gradFill rotWithShape="1">
                <a:gsLst>
                  <a:gs pos="0">
                    <a:schemeClr val="accent1">
                      <a:tint val="55000"/>
                      <a:satMod val="103000"/>
                      <a:lumMod val="102000"/>
                      <a:tint val="94000"/>
                    </a:schemeClr>
                  </a:gs>
                  <a:gs pos="50000">
                    <a:schemeClr val="accent1">
                      <a:tint val="55000"/>
                      <a:satMod val="110000"/>
                      <a:lumMod val="100000"/>
                      <a:shade val="100000"/>
                    </a:schemeClr>
                  </a:gs>
                  <a:gs pos="100000">
                    <a:schemeClr val="accent1">
                      <a:tint val="55000"/>
                      <a:lumMod val="99000"/>
                      <a:satMod val="120000"/>
                      <a:shade val="78000"/>
                    </a:schemeClr>
                  </a:gs>
                </a:gsLst>
                <a:lin ang="5400000" scaled="0"/>
              </a:gradFill>
              <a:ln>
                <a:noFill/>
              </a:ln>
              <a:effectLst/>
              <a:sp3d/>
            </c:spPr>
            <c:extLst>
              <c:ext xmlns:c16="http://schemas.microsoft.com/office/drawing/2014/chart" uri="{C3380CC4-5D6E-409C-BE32-E72D297353CC}">
                <c16:uniqueId val="{00000025-3637-4EC8-99A8-67ECFA80FC65}"/>
              </c:ext>
            </c:extLst>
          </c:dPt>
          <c:dPt>
            <c:idx val="19"/>
            <c:bubble3D val="0"/>
            <c:spPr>
              <a:gradFill rotWithShape="1">
                <a:gsLst>
                  <a:gs pos="0">
                    <a:schemeClr val="accent1">
                      <a:tint val="56000"/>
                      <a:satMod val="103000"/>
                      <a:lumMod val="102000"/>
                      <a:tint val="94000"/>
                    </a:schemeClr>
                  </a:gs>
                  <a:gs pos="50000">
                    <a:schemeClr val="accent1">
                      <a:tint val="56000"/>
                      <a:satMod val="110000"/>
                      <a:lumMod val="100000"/>
                      <a:shade val="100000"/>
                    </a:schemeClr>
                  </a:gs>
                  <a:gs pos="100000">
                    <a:schemeClr val="accent1">
                      <a:tint val="56000"/>
                      <a:lumMod val="99000"/>
                      <a:satMod val="120000"/>
                      <a:shade val="78000"/>
                    </a:schemeClr>
                  </a:gs>
                </a:gsLst>
                <a:lin ang="5400000" scaled="0"/>
              </a:gradFill>
              <a:ln>
                <a:noFill/>
              </a:ln>
              <a:effectLst/>
              <a:sp3d/>
            </c:spPr>
            <c:extLst>
              <c:ext xmlns:c16="http://schemas.microsoft.com/office/drawing/2014/chart" uri="{C3380CC4-5D6E-409C-BE32-E72D297353CC}">
                <c16:uniqueId val="{00000027-3637-4EC8-99A8-67ECFA80FC65}"/>
              </c:ext>
            </c:extLst>
          </c:dPt>
          <c:dPt>
            <c:idx val="20"/>
            <c:bubble3D val="0"/>
            <c:spPr>
              <a:gradFill rotWithShape="1">
                <a:gsLst>
                  <a:gs pos="0">
                    <a:schemeClr val="accent1">
                      <a:tint val="50000"/>
                      <a:satMod val="103000"/>
                      <a:lumMod val="102000"/>
                      <a:tint val="94000"/>
                    </a:schemeClr>
                  </a:gs>
                  <a:gs pos="50000">
                    <a:schemeClr val="accent1">
                      <a:tint val="50000"/>
                      <a:satMod val="110000"/>
                      <a:lumMod val="100000"/>
                      <a:shade val="100000"/>
                    </a:schemeClr>
                  </a:gs>
                  <a:gs pos="100000">
                    <a:schemeClr val="accent1">
                      <a:tint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29-3637-4EC8-99A8-67ECFA80FC65}"/>
              </c:ext>
            </c:extLst>
          </c:dPt>
          <c:dPt>
            <c:idx val="2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2B-3637-4EC8-99A8-67ECFA80FC65}"/>
              </c:ext>
            </c:extLst>
          </c:dPt>
          <c:dLbls>
            <c:dLbl>
              <c:idx val="0"/>
              <c:layout>
                <c:manualLayout>
                  <c:x val="4.8184982941079445E-2"/>
                  <c:y val="-0.1097009932581956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637-4EC8-99A8-67ECFA80FC65}"/>
                </c:ext>
              </c:extLst>
            </c:dLbl>
            <c:dLbl>
              <c:idx val="2"/>
              <c:layout>
                <c:manualLayout>
                  <c:x val="0.1788662111833596"/>
                  <c:y val="4.099675775822139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637-4EC8-99A8-67ECFA80FC65}"/>
                </c:ext>
              </c:extLst>
            </c:dLbl>
            <c:dLbl>
              <c:idx val="3"/>
              <c:layout>
                <c:manualLayout>
                  <c:x val="0.14985519361848881"/>
                  <c:y val="-0.1346619384078800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637-4EC8-99A8-67ECFA80FC65}"/>
                </c:ext>
              </c:extLst>
            </c:dLbl>
            <c:dLbl>
              <c:idx val="4"/>
              <c:layout>
                <c:manualLayout>
                  <c:x val="-2.2538957712976065E-2"/>
                  <c:y val="0.5008499819875457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637-4EC8-99A8-67ECFA80FC65}"/>
                </c:ext>
              </c:extLst>
            </c:dLbl>
            <c:dLbl>
              <c:idx val="6"/>
              <c:layout>
                <c:manualLayout>
                  <c:x val="-4.1857208587625552E-2"/>
                  <c:y val="0.2523052853687406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3637-4EC8-99A8-67ECFA80FC65}"/>
                </c:ext>
              </c:extLst>
            </c:dLbl>
            <c:dLbl>
              <c:idx val="7"/>
              <c:layout>
                <c:manualLayout>
                  <c:x val="-3.6573804790387972E-2"/>
                  <c:y val="0.3434548916679531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3637-4EC8-99A8-67ECFA80FC65}"/>
                </c:ext>
              </c:extLst>
            </c:dLbl>
            <c:dLbl>
              <c:idx val="11"/>
              <c:layout>
                <c:manualLayout>
                  <c:x val="-0.18157653942650773"/>
                  <c:y val="-0.3093458439646263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3637-4EC8-99A8-67ECFA80FC65}"/>
                </c:ext>
              </c:extLst>
            </c:dLbl>
            <c:dLbl>
              <c:idx val="12"/>
              <c:layout>
                <c:manualLayout>
                  <c:x val="5.6628671140473486E-4"/>
                  <c:y val="-0.3931586600455430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9-3637-4EC8-99A8-67ECFA80FC65}"/>
                </c:ext>
              </c:extLst>
            </c:dLbl>
            <c:dLbl>
              <c:idx val="13"/>
              <c:layout>
                <c:manualLayout>
                  <c:x val="-2.1019715424215834E-2"/>
                  <c:y val="-0.245655756445078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B-3637-4EC8-99A8-67ECFA80FC65}"/>
                </c:ext>
              </c:extLst>
            </c:dLbl>
            <c:dLbl>
              <c:idx val="15"/>
              <c:layout>
                <c:manualLayout>
                  <c:x val="-0.1482518296017849"/>
                  <c:y val="-0.1302609125078877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F-3637-4EC8-99A8-67ECFA80FC65}"/>
                </c:ext>
              </c:extLst>
            </c:dLbl>
            <c:dLbl>
              <c:idx val="16"/>
              <c:layout>
                <c:manualLayout>
                  <c:x val="-3.2798097040516061E-2"/>
                  <c:y val="9.9053471974539769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1-3637-4EC8-99A8-67ECFA80FC65}"/>
                </c:ext>
              </c:extLst>
            </c:dLbl>
            <c:dLbl>
              <c:idx val="17"/>
              <c:layout>
                <c:manualLayout>
                  <c:x val="7.8359218328138969E-2"/>
                  <c:y val="-0.2455035803451397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3-3637-4EC8-99A8-67ECFA80FC65}"/>
                </c:ext>
              </c:extLst>
            </c:dLbl>
            <c:dLbl>
              <c:idx val="18"/>
              <c:layout>
                <c:manualLayout>
                  <c:x val="4.7616352255857725E-2"/>
                  <c:y val="-2.781575832432713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5-3637-4EC8-99A8-67ECFA80FC65}"/>
                </c:ext>
              </c:extLst>
            </c:dLbl>
            <c:dLbl>
              <c:idx val="19"/>
              <c:layout>
                <c:manualLayout>
                  <c:x val="2.5531083697227994E-2"/>
                  <c:y val="-0.1407766970305182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7-3637-4EC8-99A8-67ECFA80FC65}"/>
                </c:ext>
              </c:extLst>
            </c:dLbl>
            <c:dLbl>
              <c:idx val="20"/>
              <c:layout>
                <c:manualLayout>
                  <c:x val="0.49576789528018206"/>
                  <c:y val="-8.614269440673076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9-3637-4EC8-99A8-67ECFA80FC65}"/>
                </c:ext>
              </c:extLst>
            </c:dLbl>
            <c:dLbl>
              <c:idx val="21"/>
              <c:layout>
                <c:manualLayout>
                  <c:x val="0.3233943727629861"/>
                  <c:y val="-0.1572973137119072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B-3637-4EC8-99A8-67ECFA80FC65}"/>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'1'!$A$4:$A$25</c:f>
              <c:strCache>
                <c:ptCount val="22"/>
                <c:pt idx="0">
                  <c:v>ΕΠΙΤΕΛΙΚΟΣ ΣΥΝΤΟΝΙΣΜΟΣ ΚΑΙ ΕΠΕΝΔΥΣΕΙΣ ΥΠΟΥΡΓΕΙΟΥ ΕΘΝΙΚΗΣ ΟΙΚΟΝΟΜΙΑΣ ΚΑΙ ΟΙΚΟΝΟΜΙΚΩΝ</c:v>
                </c:pt>
                <c:pt idx="1">
                  <c:v>ΟΙΚΟΝΟΜΙΚΗ ΠΟΛΙΤΙΚΗ</c:v>
                </c:pt>
                <c:pt idx="2">
                  <c:v>ΔΙΑΧΕΙΡΙΣΗ ΔΗΜΟΣΙΑΣ ΠΕΡΙΟΥΣΙΑΣ</c:v>
                </c:pt>
                <c:pt idx="3">
                  <c:v>ΓΕΝΙΚΕΣ ΚΡΑΤΙΚΕΣ ΔΑΠΑΝΕΣ ΚΑΙ ΔΗΜΟΣΙΟΝΟΜΙΚΗ ΠΟΛΙΤΙΚΗ</c:v>
                </c:pt>
                <c:pt idx="4">
                  <c:v>ΣΤΑΤΙΣΤΙΚΑ ΔΕΔΟΜΕΝΑ ΚΑΙ ΕΡΕΥΝΕΣ ΕΛΣΤΑΤ</c:v>
                </c:pt>
                <c:pt idx="5">
                  <c:v>ΜΕΤΑΝΑΣΤΕΥΤΙΚΗ ΠΟΛΙΤΙΚΗ</c:v>
                </c:pt>
                <c:pt idx="6">
                  <c:v>ΝΟΜΙΚΗ ΥΠΟΣΤΗΡΙΞΗ ΤΟΥ ΚΡΑΤΟΥΣ</c:v>
                </c:pt>
                <c:pt idx="7">
                  <c:v>ΕΠΙΤΕΛΙΚΟΣ ΣΥΝΤΟΝΙΣΜΟΣ ΔΗΜΟΣΙΩΝ ΕΣΟΔΩΝ</c:v>
                </c:pt>
                <c:pt idx="8">
                  <c:v>ΦΟΡΟΛΟΓΙΚΕΣ ΥΠΗΡΕΣΙΕΣ</c:v>
                </c:pt>
                <c:pt idx="9">
                  <c:v>ΤΕΛΩΝΕΙΑΚΕΣ ΥΠΗΡΕΣΙΕΣ</c:v>
                </c:pt>
                <c:pt idx="10">
                  <c:v>ΥΠΗΡΕΣΙΕΣ ΓΕΝΙΚΟΥ ΧΗΜΕΙΟΥ ΤΟΥ ΚΡΑΤΟΥΣ</c:v>
                </c:pt>
                <c:pt idx="11">
                  <c:v>ΑΡΧΗ ΚΑΤΑΠΟΛΕΜΗΣΗΣ ΤΗΣ ΝΟΜΙΜΟΠΟΙΗΣΗΣ ΕΣΟΔΩΝ ΑΠΟ ΕΓΚΛΗΜΑΤΙΚΕΣ ΔΡΑΣΤΗΡΙΟΤΗΤΕΣ</c:v>
                </c:pt>
                <c:pt idx="12">
                  <c:v>ΕΛΛΗΝΙΚΟ ΔΗΜΟΣΙΟΝΟΜΙΚΟ ΣΥΜΒΟΥΛΙΟ</c:v>
                </c:pt>
                <c:pt idx="13">
                  <c:v>ΑΝΤΙΜΕΤΩΠΙΣΗ ΟΙΚΟΝΟΜΙΚΟΥ ΕΓΚΛΗΜΑΤΟΣ</c:v>
                </c:pt>
                <c:pt idx="14">
                  <c:v>ΑΜΥΝΤΙΚΕΣ ΚΑΤΑΣΚΕΥΕΣ</c:v>
                </c:pt>
                <c:pt idx="15">
                  <c:v>ΕΘΝΙΚΗ ΕΠΙΤΡΟΠΗ ΓΙΑ ΤΑ ΔΙΚΑΙΩΜΑΤΑ ΤΟΥ ΑΝΘΡΩΠΟΥ</c:v>
                </c:pt>
                <c:pt idx="16">
                  <c:v>ΣΧΕΔΙΑΣΜΟΣ, ΠΡΟΓΡΑΜΜΑΤΙΣΜΟΣ, ΕΚΤΕΛΕΣΗ ΚΑΙ ΠΑΡΑΚΟΛΟΥΘΗΣΗ ΤΟΥ ΠΡΟΓΡΑΜΜΑΤΟΣ ΔΗΜΟΣΙΩΝ ΕΠΕΝΔΥΣΕΩΝ</c:v>
                </c:pt>
                <c:pt idx="17">
                  <c:v>ΡΥΘΜΙΣΗ ΘΕΜΑΤΩΝ ΣΤΟΥΣ ΤΟΜΕΙΣ ΤΟΥ ΠΟΛΙΤΙΣΜΟΥ ΚΑΙ ΤΗΣ ΘΡΗΣΚΕΙΑΣ</c:v>
                </c:pt>
                <c:pt idx="18">
                  <c:v>ΕΘΝΙΚΟ ΣΥΜΒΟΥΛΙΟ ΡΑΔΙΟΤΗΛΕΟΡΑΣΗΣ</c:v>
                </c:pt>
                <c:pt idx="19">
                  <c:v>ΕΠΙΤΡΟΠΗ ΕΠΟΠΤΕΙΑΣ ΚΑΙ ΕΛΕΓΧΟΥ ΠΑΙΓΝΙΩΝ</c:v>
                </c:pt>
                <c:pt idx="20">
                  <c:v>ΦΟΡΟΛΟΓΙΚΗ ΚΑΙ ΤΕΛΩΝΕΙΑΚΗ ΕΚΠΑΙΔΕΥΣΗ</c:v>
                </c:pt>
                <c:pt idx="21">
                  <c:v>ΔΡΑΣΕΙΣ ΚΟΙΝΩΝΙΚΗΣ ΠΡΟΣΤΑΣΙΑΣ</c:v>
                </c:pt>
              </c:strCache>
            </c:strRef>
          </c:cat>
          <c:val>
            <c:numRef>
              <c:f>'1'!$B$4:$B$25</c:f>
              <c:numCache>
                <c:formatCode>#,##0\ "€"</c:formatCode>
                <c:ptCount val="22"/>
                <c:pt idx="0">
                  <c:v>36417039.721000001</c:v>
                </c:pt>
                <c:pt idx="1">
                  <c:v>628209710.72000003</c:v>
                </c:pt>
                <c:pt idx="2">
                  <c:v>46192815.342</c:v>
                </c:pt>
                <c:pt idx="3">
                  <c:v>14409419989.785</c:v>
                </c:pt>
                <c:pt idx="4">
                  <c:v>39000031.994000003</c:v>
                </c:pt>
                <c:pt idx="5">
                  <c:v>180000000</c:v>
                </c:pt>
                <c:pt idx="6">
                  <c:v>43750000</c:v>
                </c:pt>
                <c:pt idx="7">
                  <c:v>71141743.052000001</c:v>
                </c:pt>
                <c:pt idx="8">
                  <c:v>333581608.34100002</c:v>
                </c:pt>
                <c:pt idx="9">
                  <c:v>144900665.35499999</c:v>
                </c:pt>
                <c:pt idx="10">
                  <c:v>17382729.572000001</c:v>
                </c:pt>
                <c:pt idx="11">
                  <c:v>2986000</c:v>
                </c:pt>
                <c:pt idx="12">
                  <c:v>1114322.2860000001</c:v>
                </c:pt>
                <c:pt idx="13">
                  <c:v>12813432.779999999</c:v>
                </c:pt>
                <c:pt idx="15">
                  <c:v>762849.78</c:v>
                </c:pt>
                <c:pt idx="16">
                  <c:v>2585871665.9699998</c:v>
                </c:pt>
                <c:pt idx="17">
                  <c:v>18585183.190000001</c:v>
                </c:pt>
                <c:pt idx="18">
                  <c:v>2378000</c:v>
                </c:pt>
                <c:pt idx="19">
                  <c:v>281051.06400000001</c:v>
                </c:pt>
                <c:pt idx="20">
                  <c:v>17878820.899999999</c:v>
                </c:pt>
                <c:pt idx="21">
                  <c:v>784724340.148</c:v>
                </c:pt>
              </c:numCache>
            </c:numRef>
          </c:val>
          <c:extLst>
            <c:ext xmlns:c16="http://schemas.microsoft.com/office/drawing/2014/chart" uri="{C3380CC4-5D6E-409C-BE32-E72D297353CC}">
              <c16:uniqueId val="{0000002C-3637-4EC8-99A8-67ECFA80FC6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9161718279754812"/>
          <c:y val="1.3637067364769979E-2"/>
          <c:w val="0.48154008050085784"/>
          <c:h val="0.89342212972796675"/>
        </c:manualLayout>
      </c:layout>
      <c:bar3DChart>
        <c:barDir val="bar"/>
        <c:grouping val="percentStacked"/>
        <c:varyColors val="0"/>
        <c:ser>
          <c:idx val="0"/>
          <c:order val="0"/>
          <c:tx>
            <c:strRef>
              <c:f>'1'!$B$30</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3660-4100-B425-ED318574B382}"/>
                </c:ext>
              </c:extLst>
            </c:dLbl>
            <c:dLbl>
              <c:idx val="12"/>
              <c:delete val="1"/>
              <c:extLst>
                <c:ext xmlns:c15="http://schemas.microsoft.com/office/drawing/2012/chart" uri="{CE6537A1-D6FC-4f65-9D91-7224C49458BB}"/>
                <c:ext xmlns:c16="http://schemas.microsoft.com/office/drawing/2014/chart" uri="{C3380CC4-5D6E-409C-BE32-E72D297353CC}">
                  <c16:uniqueId val="{00000001-3660-4100-B425-ED318574B382}"/>
                </c:ext>
              </c:extLst>
            </c:dLbl>
            <c:dLbl>
              <c:idx val="14"/>
              <c:delete val="1"/>
              <c:extLst>
                <c:ext xmlns:c15="http://schemas.microsoft.com/office/drawing/2012/chart" uri="{CE6537A1-D6FC-4f65-9D91-7224C49458BB}"/>
                <c:ext xmlns:c16="http://schemas.microsoft.com/office/drawing/2014/chart" uri="{C3380CC4-5D6E-409C-BE32-E72D297353CC}">
                  <c16:uniqueId val="{00000002-3660-4100-B425-ED318574B382}"/>
                </c:ext>
              </c:extLst>
            </c:dLbl>
            <c:dLbl>
              <c:idx val="15"/>
              <c:delete val="1"/>
              <c:extLst>
                <c:ext xmlns:c15="http://schemas.microsoft.com/office/drawing/2012/chart" uri="{CE6537A1-D6FC-4f65-9D91-7224C49458BB}"/>
                <c:ext xmlns:c16="http://schemas.microsoft.com/office/drawing/2014/chart" uri="{C3380CC4-5D6E-409C-BE32-E72D297353CC}">
                  <c16:uniqueId val="{00000003-3660-4100-B425-ED318574B382}"/>
                </c:ext>
              </c:extLst>
            </c:dLbl>
            <c:dLbl>
              <c:idx val="19"/>
              <c:delete val="1"/>
              <c:extLst>
                <c:ext xmlns:c15="http://schemas.microsoft.com/office/drawing/2012/chart" uri="{CE6537A1-D6FC-4f65-9D91-7224C49458BB}"/>
                <c:ext xmlns:c16="http://schemas.microsoft.com/office/drawing/2014/chart" uri="{C3380CC4-5D6E-409C-BE32-E72D297353CC}">
                  <c16:uniqueId val="{00000004-3660-4100-B425-ED318574B382}"/>
                </c:ext>
              </c:extLst>
            </c:dLbl>
            <c:dLbl>
              <c:idx val="21"/>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660-4100-B425-ED318574B382}"/>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'1'!$A$31:$A$52</c:f>
              <c:strCache>
                <c:ptCount val="22"/>
                <c:pt idx="0">
                  <c:v>ΕΠΙΤΕΛΙΚΟΣ ΣΥΝΤΟΝΙΣΜΟΣ ΚΑΙ ΕΠΕΝΔΥΣΕΙΣ ΥΠΟΥΡΓΕΙΟΥ ΕΘΝΙΚΗΣ ΟΙΚΟΝΟΜΙΑΣ ΚΑΙ ΟΙΚΟΝΟΜΙΚΩΝ</c:v>
                </c:pt>
                <c:pt idx="1">
                  <c:v>ΟΙΚΟΝΟΜΙΚΗ ΠΟΛΙΤΙΚΗ</c:v>
                </c:pt>
                <c:pt idx="2">
                  <c:v>ΔΙΑΧΕΙΡΙΣΗ ΔΗΜΟΣΙΑΣ ΠΕΡΙΟΥΣΙΑΣ</c:v>
                </c:pt>
                <c:pt idx="3">
                  <c:v>ΓΕΝΙΚΕΣ ΚΡΑΤΙΚΕΣ ΔΑΠΑΝΕΣ ΚΑΙ ΔΗΜΟΣΙΟΝΟΜΙΚΗ ΠΟΛΙΤΙΚΗ</c:v>
                </c:pt>
                <c:pt idx="4">
                  <c:v>ΣΤΑΤΙΣΤΙΚΑ ΔΕΔΟΜΕΝΑ ΚΑΙ ΕΡΕΥΝΕΣ ΕΛΣΤΑΤ</c:v>
                </c:pt>
                <c:pt idx="5">
                  <c:v>ΜΕΤΑΝΑΣΤΕΥΤΙΚΗ ΠΟΛΙΤΙΚΗ</c:v>
                </c:pt>
                <c:pt idx="6">
                  <c:v>ΝΟΜΙΚΗ ΥΠΟΣΤΗΡΙΞΗ ΤΟΥ ΚΡΑΤΟΥΣ</c:v>
                </c:pt>
                <c:pt idx="7">
                  <c:v>ΕΠΙΤΕΛΙΚΟΣ ΣΥΝΤΟΝΙΣΜΟΣ ΔΗΜΟΣΙΩΝ ΕΣΟΔΩΝ</c:v>
                </c:pt>
                <c:pt idx="8">
                  <c:v>ΦΟΡΟΛΟΓΙΚΕΣ ΥΠΗΡΕΣΙΕΣ</c:v>
                </c:pt>
                <c:pt idx="9">
                  <c:v>ΤΕΛΩΝΕΙΑΚΕΣ ΥΠΗΡΕΣΙΕΣ</c:v>
                </c:pt>
                <c:pt idx="10">
                  <c:v>ΥΠΗΡΕΣΙΕΣ ΓΕΝΙΚΟΥ ΧΗΜΕΙΟΥ ΤΟΥ ΚΡΑΤΟΥΣ</c:v>
                </c:pt>
                <c:pt idx="11">
                  <c:v>ΑΡΧΗ ΚΑΤΑΠΟΛΕΜΗΣΗΣ ΤΗΣ ΝΟΜΙΜΟΠΟΙΗΣΗΣ ΕΣΟΔΩΝ ΑΠΟ ΕΓΚΛΗΜΑΤΙΚΕΣ ΔΡΑΣΤΗΡΙΟΤΗΤΕΣ</c:v>
                </c:pt>
                <c:pt idx="12">
                  <c:v>ΕΛΛΗΝΙΚΟ ΔΗΜΟΣΙΟΝΟΜΙΚΟ ΣΥΜΒΟΥΛΙΟ</c:v>
                </c:pt>
                <c:pt idx="13">
                  <c:v>ΑΝΤΙΜΕΤΩΠΙΣΗ ΟΙΚΟΝΟΜΙΚΟΥ ΕΓΚΛΗΜΑΤΟΣ</c:v>
                </c:pt>
                <c:pt idx="14">
                  <c:v>ΑΜΥΝΤΙΚΕΣ ΚΑΤΑΣΚΕΥΕΣ</c:v>
                </c:pt>
                <c:pt idx="15">
                  <c:v>ΕΘΝΙΚΗ ΕΠΙΤΡΟΠΗ ΓΙΑ ΤΑ ΔΙΚΑΙΩΜΑΤΑ ΤΟΥ ΑΝΘΡΩΠΟΥ</c:v>
                </c:pt>
                <c:pt idx="16">
                  <c:v>ΣΧΕΔΙΑΣΜΟΣ, ΠΡΟΓΡΑΜΜΑΤΙΣΜΟΣ, ΕΚΤΕΛΕΣΗ ΚΑΙ ΠΑΡΑΚΟΛΟΥΘΗΣΗ ΤΟΥ ΠΡΟΓΡΑΜΜΑΤΟΣ ΔΗΜΟΣΙΩΝ ΕΠΕΝΔΥΣΕΩΝ</c:v>
                </c:pt>
                <c:pt idx="17">
                  <c:v>ΡΥΘΜΙΣΗ ΘΕΜΑΤΩΝ ΣΤΟΥΣ ΤΟΜΕΙΣ ΤΟΥ ΠΟΛΙΤΙΣΜΟΥ ΚΑΙ ΤΗΣ ΘΡΗΣΚΕΙΑΣ</c:v>
                </c:pt>
                <c:pt idx="18">
                  <c:v>ΕΘΝΙΚΟ ΣΥΜΒΟΥΛΙΟ ΡΑΔΙΟΤΗΛΕΟΡΑΣΗΣ</c:v>
                </c:pt>
                <c:pt idx="19">
                  <c:v>ΕΠΙΤΡΟΠΗ ΕΠΟΠΤΕΙΑΣ ΚΑΙ ΕΛΕΓΧΟΥ ΠΑΙΓΝΙΩΝ</c:v>
                </c:pt>
                <c:pt idx="20">
                  <c:v>ΦΟΡΟΛΟΓΙΚΗ ΚΑΙ ΤΕΛΩΝΕΙΑΚΗ ΕΚΠΑΙΔΕΥΣΗ</c:v>
                </c:pt>
                <c:pt idx="21">
                  <c:v>ΔΡΑΣΕΙΣ ΚΟΙΝΩΝΙΚΗΣ ΠΡΟΣΤΑΣΙΑΣ</c:v>
                </c:pt>
              </c:strCache>
            </c:strRef>
          </c:cat>
          <c:val>
            <c:numRef>
              <c:f>'1'!$B$31:$B$52</c:f>
              <c:numCache>
                <c:formatCode>#,##0\ "€"</c:formatCode>
                <c:ptCount val="22"/>
                <c:pt idx="0">
                  <c:v>36449114.670999996</c:v>
                </c:pt>
                <c:pt idx="1">
                  <c:v>598945411.5</c:v>
                </c:pt>
                <c:pt idx="2">
                  <c:v>35028755.412</c:v>
                </c:pt>
                <c:pt idx="3">
                  <c:v>13554858695.264999</c:v>
                </c:pt>
                <c:pt idx="5">
                  <c:v>180000000</c:v>
                </c:pt>
                <c:pt idx="6">
                  <c:v>43750000</c:v>
                </c:pt>
                <c:pt idx="7">
                  <c:v>72014185.162</c:v>
                </c:pt>
                <c:pt idx="8">
                  <c:v>337648448.59100002</c:v>
                </c:pt>
                <c:pt idx="9">
                  <c:v>148256546.595</c:v>
                </c:pt>
                <c:pt idx="10">
                  <c:v>17422177.291999999</c:v>
                </c:pt>
                <c:pt idx="11">
                  <c:v>2986000</c:v>
                </c:pt>
                <c:pt idx="13">
                  <c:v>12813432.779999999</c:v>
                </c:pt>
                <c:pt idx="16">
                  <c:v>498184778.20999998</c:v>
                </c:pt>
                <c:pt idx="17">
                  <c:v>7111710.0499999998</c:v>
                </c:pt>
                <c:pt idx="18">
                  <c:v>2378000</c:v>
                </c:pt>
                <c:pt idx="20">
                  <c:v>17878820.899999999</c:v>
                </c:pt>
                <c:pt idx="21">
                  <c:v>784724340.148</c:v>
                </c:pt>
              </c:numCache>
            </c:numRef>
          </c:val>
          <c:extLst>
            <c:ext xmlns:c16="http://schemas.microsoft.com/office/drawing/2014/chart" uri="{C3380CC4-5D6E-409C-BE32-E72D297353CC}">
              <c16:uniqueId val="{00000006-3660-4100-B425-ED318574B382}"/>
            </c:ext>
          </c:extLst>
        </c:ser>
        <c:ser>
          <c:idx val="1"/>
          <c:order val="1"/>
          <c:tx>
            <c:strRef>
              <c:f>'1'!$C$30</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3"/>
              <c:layout>
                <c:manualLayout>
                  <c:x val="-5.03720810249732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660-4100-B425-ED318574B382}"/>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'1'!$A$31:$A$52</c:f>
              <c:strCache>
                <c:ptCount val="22"/>
                <c:pt idx="0">
                  <c:v>ΕΠΙΤΕΛΙΚΟΣ ΣΥΝΤΟΝΙΣΜΟΣ ΚΑΙ ΕΠΕΝΔΥΣΕΙΣ ΥΠΟΥΡΓΕΙΟΥ ΕΘΝΙΚΗΣ ΟΙΚΟΝΟΜΙΑΣ ΚΑΙ ΟΙΚΟΝΟΜΙΚΩΝ</c:v>
                </c:pt>
                <c:pt idx="1">
                  <c:v>ΟΙΚΟΝΟΜΙΚΗ ΠΟΛΙΤΙΚΗ</c:v>
                </c:pt>
                <c:pt idx="2">
                  <c:v>ΔΙΑΧΕΙΡΙΣΗ ΔΗΜΟΣΙΑΣ ΠΕΡΙΟΥΣΙΑΣ</c:v>
                </c:pt>
                <c:pt idx="3">
                  <c:v>ΓΕΝΙΚΕΣ ΚΡΑΤΙΚΕΣ ΔΑΠΑΝΕΣ ΚΑΙ ΔΗΜΟΣΙΟΝΟΜΙΚΗ ΠΟΛΙΤΙΚΗ</c:v>
                </c:pt>
                <c:pt idx="4">
                  <c:v>ΣΤΑΤΙΣΤΙΚΑ ΔΕΔΟΜΕΝΑ ΚΑΙ ΕΡΕΥΝΕΣ ΕΛΣΤΑΤ</c:v>
                </c:pt>
                <c:pt idx="5">
                  <c:v>ΜΕΤΑΝΑΣΤΕΥΤΙΚΗ ΠΟΛΙΤΙΚΗ</c:v>
                </c:pt>
                <c:pt idx="6">
                  <c:v>ΝΟΜΙΚΗ ΥΠΟΣΤΗΡΙΞΗ ΤΟΥ ΚΡΑΤΟΥΣ</c:v>
                </c:pt>
                <c:pt idx="7">
                  <c:v>ΕΠΙΤΕΛΙΚΟΣ ΣΥΝΤΟΝΙΣΜΟΣ ΔΗΜΟΣΙΩΝ ΕΣΟΔΩΝ</c:v>
                </c:pt>
                <c:pt idx="8">
                  <c:v>ΦΟΡΟΛΟΓΙΚΕΣ ΥΠΗΡΕΣΙΕΣ</c:v>
                </c:pt>
                <c:pt idx="9">
                  <c:v>ΤΕΛΩΝΕΙΑΚΕΣ ΥΠΗΡΕΣΙΕΣ</c:v>
                </c:pt>
                <c:pt idx="10">
                  <c:v>ΥΠΗΡΕΣΙΕΣ ΓΕΝΙΚΟΥ ΧΗΜΕΙΟΥ ΤΟΥ ΚΡΑΤΟΥΣ</c:v>
                </c:pt>
                <c:pt idx="11">
                  <c:v>ΑΡΧΗ ΚΑΤΑΠΟΛΕΜΗΣΗΣ ΤΗΣ ΝΟΜΙΜΟΠΟΙΗΣΗΣ ΕΣΟΔΩΝ ΑΠΟ ΕΓΚΛΗΜΑΤΙΚΕΣ ΔΡΑΣΤΗΡΙΟΤΗΤΕΣ</c:v>
                </c:pt>
                <c:pt idx="12">
                  <c:v>ΕΛΛΗΝΙΚΟ ΔΗΜΟΣΙΟΝΟΜΙΚΟ ΣΥΜΒΟΥΛΙΟ</c:v>
                </c:pt>
                <c:pt idx="13">
                  <c:v>ΑΝΤΙΜΕΤΩΠΙΣΗ ΟΙΚΟΝΟΜΙΚΟΥ ΕΓΚΛΗΜΑΤΟΣ</c:v>
                </c:pt>
                <c:pt idx="14">
                  <c:v>ΑΜΥΝΤΙΚΕΣ ΚΑΤΑΣΚΕΥΕΣ</c:v>
                </c:pt>
                <c:pt idx="15">
                  <c:v>ΕΘΝΙΚΗ ΕΠΙΤΡΟΠΗ ΓΙΑ ΤΑ ΔΙΚΑΙΩΜΑΤΑ ΤΟΥ ΑΝΘΡΩΠΟΥ</c:v>
                </c:pt>
                <c:pt idx="16">
                  <c:v>ΣΧΕΔΙΑΣΜΟΣ, ΠΡΟΓΡΑΜΜΑΤΙΣΜΟΣ, ΕΚΤΕΛΕΣΗ ΚΑΙ ΠΑΡΑΚΟΛΟΥΘΗΣΗ ΤΟΥ ΠΡΟΓΡΑΜΜΑΤΟΣ ΔΗΜΟΣΙΩΝ ΕΠΕΝΔΥΣΕΩΝ</c:v>
                </c:pt>
                <c:pt idx="17">
                  <c:v>ΡΥΘΜΙΣΗ ΘΕΜΑΤΩΝ ΣΤΟΥΣ ΤΟΜΕΙΣ ΤΟΥ ΠΟΛΙΤΙΣΜΟΥ ΚΑΙ ΤΗΣ ΘΡΗΣΚΕΙΑΣ</c:v>
                </c:pt>
                <c:pt idx="18">
                  <c:v>ΕΘΝΙΚΟ ΣΥΜΒΟΥΛΙΟ ΡΑΔΙΟΤΗΛΕΟΡΑΣΗΣ</c:v>
                </c:pt>
                <c:pt idx="19">
                  <c:v>ΕΠΙΤΡΟΠΗ ΕΠΟΠΤΕΙΑΣ ΚΑΙ ΕΛΕΓΧΟΥ ΠΑΙΓΝΙΩΝ</c:v>
                </c:pt>
                <c:pt idx="20">
                  <c:v>ΦΟΡΟΛΟΓΙΚΗ ΚΑΙ ΤΕΛΩΝΕΙΑΚΗ ΕΚΠΑΙΔΕΥΣΗ</c:v>
                </c:pt>
                <c:pt idx="21">
                  <c:v>ΔΡΑΣΕΙΣ ΚΟΙΝΩΝΙΚΗΣ ΠΡΟΣΤΑΣΙΑΣ</c:v>
                </c:pt>
              </c:strCache>
            </c:strRef>
          </c:cat>
          <c:val>
            <c:numRef>
              <c:f>'1'!$C$31:$C$52</c:f>
              <c:numCache>
                <c:formatCode>#,##0\ "€"</c:formatCode>
                <c:ptCount val="22"/>
                <c:pt idx="1">
                  <c:v>248619000</c:v>
                </c:pt>
                <c:pt idx="2">
                  <c:v>119720000</c:v>
                </c:pt>
                <c:pt idx="3">
                  <c:v>2926000</c:v>
                </c:pt>
                <c:pt idx="4">
                  <c:v>40754036</c:v>
                </c:pt>
                <c:pt idx="10">
                  <c:v>14980000</c:v>
                </c:pt>
                <c:pt idx="12">
                  <c:v>2250000</c:v>
                </c:pt>
                <c:pt idx="14">
                  <c:v>159117000</c:v>
                </c:pt>
                <c:pt idx="15">
                  <c:v>1155526</c:v>
                </c:pt>
                <c:pt idx="16">
                  <c:v>287674000</c:v>
                </c:pt>
                <c:pt idx="17">
                  <c:v>2632000</c:v>
                </c:pt>
                <c:pt idx="19">
                  <c:v>19710084</c:v>
                </c:pt>
              </c:numCache>
            </c:numRef>
          </c:val>
          <c:extLst>
            <c:ext xmlns:c16="http://schemas.microsoft.com/office/drawing/2014/chart" uri="{C3380CC4-5D6E-409C-BE32-E72D297353CC}">
              <c16:uniqueId val="{00000008-3660-4100-B425-ED318574B382}"/>
            </c:ext>
          </c:extLst>
        </c:ser>
        <c:dLbls>
          <c:showLegendKey val="0"/>
          <c:showVal val="0"/>
          <c:showCatName val="0"/>
          <c:showSerName val="0"/>
          <c:showPercent val="0"/>
          <c:showBubbleSize val="0"/>
        </c:dLbls>
        <c:gapWidth val="50"/>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4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190834194237297"/>
          <c:y val="0.36394310902041233"/>
          <c:w val="0.69346083393379587"/>
          <c:h val="0.59390740110321705"/>
        </c:manualLayout>
      </c:layout>
      <c:pie3DChart>
        <c:varyColors val="1"/>
        <c:ser>
          <c:idx val="0"/>
          <c:order val="0"/>
          <c:tx>
            <c:strRef>
              <c:f>'1'!$B$56:$B$57</c:f>
              <c:strCache>
                <c:ptCount val="2"/>
                <c:pt idx="0">
                  <c:v>Ανθρώπινοι Πόροι ανά Πρόγραμμα </c:v>
                </c:pt>
                <c:pt idx="1">
                  <c:v>ΠΡΟΣΩΠΙΚΟ 2026</c:v>
                </c:pt>
              </c:strCache>
            </c:strRef>
          </c:tx>
          <c:dPt>
            <c:idx val="0"/>
            <c:bubble3D val="0"/>
            <c:explosion val="22"/>
            <c:spPr>
              <a:gradFill rotWithShape="1">
                <a:gsLst>
                  <a:gs pos="0">
                    <a:schemeClr val="accent1">
                      <a:shade val="36000"/>
                      <a:satMod val="103000"/>
                      <a:lumMod val="102000"/>
                      <a:tint val="94000"/>
                    </a:schemeClr>
                  </a:gs>
                  <a:gs pos="50000">
                    <a:schemeClr val="accent1">
                      <a:shade val="36000"/>
                      <a:satMod val="110000"/>
                      <a:lumMod val="100000"/>
                      <a:shade val="100000"/>
                    </a:schemeClr>
                  </a:gs>
                  <a:gs pos="100000">
                    <a:schemeClr val="accent1">
                      <a:shade val="36000"/>
                      <a:lumMod val="99000"/>
                      <a:satMod val="120000"/>
                      <a:shade val="78000"/>
                    </a:schemeClr>
                  </a:gs>
                </a:gsLst>
                <a:lin ang="5400000" scaled="0"/>
              </a:gradFill>
              <a:ln>
                <a:noFill/>
              </a:ln>
              <a:effectLst/>
              <a:sp3d/>
            </c:spPr>
            <c:extLst>
              <c:ext xmlns:c16="http://schemas.microsoft.com/office/drawing/2014/chart" uri="{C3380CC4-5D6E-409C-BE32-E72D297353CC}">
                <c16:uniqueId val="{00000001-DFB0-4D01-B855-FC5AA217932E}"/>
              </c:ext>
            </c:extLst>
          </c:dPt>
          <c:dPt>
            <c:idx val="1"/>
            <c:bubble3D val="0"/>
            <c:spPr>
              <a:gradFill rotWithShape="1">
                <a:gsLst>
                  <a:gs pos="0">
                    <a:schemeClr val="accent1">
                      <a:shade val="42000"/>
                      <a:satMod val="103000"/>
                      <a:lumMod val="102000"/>
                      <a:tint val="94000"/>
                    </a:schemeClr>
                  </a:gs>
                  <a:gs pos="50000">
                    <a:schemeClr val="accent1">
                      <a:shade val="42000"/>
                      <a:satMod val="110000"/>
                      <a:lumMod val="100000"/>
                      <a:shade val="100000"/>
                    </a:schemeClr>
                  </a:gs>
                  <a:gs pos="100000">
                    <a:schemeClr val="accent1">
                      <a:shade val="42000"/>
                      <a:lumMod val="99000"/>
                      <a:satMod val="120000"/>
                      <a:shade val="78000"/>
                    </a:schemeClr>
                  </a:gs>
                </a:gsLst>
                <a:lin ang="5400000" scaled="0"/>
              </a:gradFill>
              <a:ln>
                <a:noFill/>
              </a:ln>
              <a:effectLst/>
              <a:sp3d/>
            </c:spPr>
            <c:extLst>
              <c:ext xmlns:c16="http://schemas.microsoft.com/office/drawing/2014/chart" uri="{C3380CC4-5D6E-409C-BE32-E72D297353CC}">
                <c16:uniqueId val="{00000003-DFB0-4D01-B855-FC5AA217932E}"/>
              </c:ext>
            </c:extLst>
          </c:dPt>
          <c:dPt>
            <c:idx val="2"/>
            <c:bubble3D val="0"/>
            <c:explosion val="25"/>
            <c:spPr>
              <a:gradFill rotWithShape="1">
                <a:gsLst>
                  <a:gs pos="0">
                    <a:schemeClr val="accent1">
                      <a:shade val="49000"/>
                      <a:satMod val="103000"/>
                      <a:lumMod val="102000"/>
                      <a:tint val="94000"/>
                    </a:schemeClr>
                  </a:gs>
                  <a:gs pos="50000">
                    <a:schemeClr val="accent1">
                      <a:shade val="49000"/>
                      <a:satMod val="110000"/>
                      <a:lumMod val="100000"/>
                      <a:shade val="100000"/>
                    </a:schemeClr>
                  </a:gs>
                  <a:gs pos="100000">
                    <a:schemeClr val="accent1">
                      <a:shade val="49000"/>
                      <a:lumMod val="99000"/>
                      <a:satMod val="120000"/>
                      <a:shade val="78000"/>
                    </a:schemeClr>
                  </a:gs>
                </a:gsLst>
                <a:lin ang="5400000" scaled="0"/>
              </a:gradFill>
              <a:ln>
                <a:noFill/>
              </a:ln>
              <a:effectLst/>
              <a:sp3d/>
            </c:spPr>
            <c:extLst>
              <c:ext xmlns:c16="http://schemas.microsoft.com/office/drawing/2014/chart" uri="{C3380CC4-5D6E-409C-BE32-E72D297353CC}">
                <c16:uniqueId val="{00000005-DFB0-4D01-B855-FC5AA217932E}"/>
              </c:ext>
            </c:extLst>
          </c:dPt>
          <c:dPt>
            <c:idx val="3"/>
            <c:bubble3D val="0"/>
            <c:spPr>
              <a:gradFill rotWithShape="1">
                <a:gsLst>
                  <a:gs pos="0">
                    <a:schemeClr val="accent1">
                      <a:shade val="55000"/>
                      <a:satMod val="103000"/>
                      <a:lumMod val="102000"/>
                      <a:tint val="94000"/>
                    </a:schemeClr>
                  </a:gs>
                  <a:gs pos="50000">
                    <a:schemeClr val="accent1">
                      <a:shade val="55000"/>
                      <a:satMod val="110000"/>
                      <a:lumMod val="100000"/>
                      <a:shade val="100000"/>
                    </a:schemeClr>
                  </a:gs>
                  <a:gs pos="100000">
                    <a:schemeClr val="accent1">
                      <a:shade val="55000"/>
                      <a:lumMod val="99000"/>
                      <a:satMod val="120000"/>
                      <a:shade val="78000"/>
                    </a:schemeClr>
                  </a:gs>
                </a:gsLst>
                <a:lin ang="5400000" scaled="0"/>
              </a:gradFill>
              <a:ln>
                <a:noFill/>
              </a:ln>
              <a:effectLst/>
              <a:sp3d/>
            </c:spPr>
            <c:extLst>
              <c:ext xmlns:c16="http://schemas.microsoft.com/office/drawing/2014/chart" uri="{C3380CC4-5D6E-409C-BE32-E72D297353CC}">
                <c16:uniqueId val="{00000007-DFB0-4D01-B855-FC5AA217932E}"/>
              </c:ext>
            </c:extLst>
          </c:dPt>
          <c:dPt>
            <c:idx val="4"/>
            <c:bubble3D val="0"/>
            <c:explosion val="15"/>
            <c:spPr>
              <a:gradFill rotWithShape="1">
                <a:gsLst>
                  <a:gs pos="0">
                    <a:schemeClr val="accent1">
                      <a:shade val="61000"/>
                      <a:satMod val="103000"/>
                      <a:lumMod val="102000"/>
                      <a:tint val="94000"/>
                    </a:schemeClr>
                  </a:gs>
                  <a:gs pos="50000">
                    <a:schemeClr val="accent1">
                      <a:shade val="61000"/>
                      <a:satMod val="110000"/>
                      <a:lumMod val="100000"/>
                      <a:shade val="100000"/>
                    </a:schemeClr>
                  </a:gs>
                  <a:gs pos="100000">
                    <a:schemeClr val="accent1">
                      <a:shade val="61000"/>
                      <a:lumMod val="99000"/>
                      <a:satMod val="120000"/>
                      <a:shade val="78000"/>
                    </a:schemeClr>
                  </a:gs>
                </a:gsLst>
                <a:lin ang="5400000" scaled="0"/>
              </a:gradFill>
              <a:ln>
                <a:noFill/>
              </a:ln>
              <a:effectLst/>
              <a:sp3d/>
            </c:spPr>
            <c:extLst>
              <c:ext xmlns:c16="http://schemas.microsoft.com/office/drawing/2014/chart" uri="{C3380CC4-5D6E-409C-BE32-E72D297353CC}">
                <c16:uniqueId val="{00000009-DFB0-4D01-B855-FC5AA217932E}"/>
              </c:ext>
            </c:extLst>
          </c:dPt>
          <c:dPt>
            <c:idx val="5"/>
            <c:bubble3D val="0"/>
            <c:spPr>
              <a:gradFill rotWithShape="1">
                <a:gsLst>
                  <a:gs pos="0">
                    <a:schemeClr val="accent1">
                      <a:shade val="74000"/>
                      <a:satMod val="103000"/>
                      <a:lumMod val="102000"/>
                      <a:tint val="94000"/>
                    </a:schemeClr>
                  </a:gs>
                  <a:gs pos="50000">
                    <a:schemeClr val="accent1">
                      <a:shade val="74000"/>
                      <a:satMod val="110000"/>
                      <a:lumMod val="100000"/>
                      <a:shade val="100000"/>
                    </a:schemeClr>
                  </a:gs>
                  <a:gs pos="100000">
                    <a:schemeClr val="accent1">
                      <a:shade val="74000"/>
                      <a:lumMod val="99000"/>
                      <a:satMod val="120000"/>
                      <a:shade val="78000"/>
                    </a:schemeClr>
                  </a:gs>
                </a:gsLst>
                <a:lin ang="5400000" scaled="0"/>
              </a:gradFill>
              <a:ln>
                <a:noFill/>
              </a:ln>
              <a:effectLst/>
              <a:sp3d/>
            </c:spPr>
            <c:extLst>
              <c:ext xmlns:c16="http://schemas.microsoft.com/office/drawing/2014/chart" uri="{C3380CC4-5D6E-409C-BE32-E72D297353CC}">
                <c16:uniqueId val="{0000000B-DFB0-4D01-B855-FC5AA217932E}"/>
              </c:ext>
            </c:extLst>
          </c:dPt>
          <c:dPt>
            <c:idx val="6"/>
            <c:bubble3D val="0"/>
            <c:explosion val="11"/>
            <c:spPr>
              <a:gradFill rotWithShape="1">
                <a:gsLst>
                  <a:gs pos="0">
                    <a:schemeClr val="accent1">
                      <a:shade val="80000"/>
                      <a:satMod val="103000"/>
                      <a:lumMod val="102000"/>
                      <a:tint val="94000"/>
                    </a:schemeClr>
                  </a:gs>
                  <a:gs pos="50000">
                    <a:schemeClr val="accent1">
                      <a:shade val="80000"/>
                      <a:satMod val="110000"/>
                      <a:lumMod val="100000"/>
                      <a:shade val="100000"/>
                    </a:schemeClr>
                  </a:gs>
                  <a:gs pos="100000">
                    <a:schemeClr val="accent1">
                      <a:shade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0D-DFB0-4D01-B855-FC5AA217932E}"/>
              </c:ext>
            </c:extLst>
          </c:dPt>
          <c:dPt>
            <c:idx val="7"/>
            <c:bubble3D val="0"/>
            <c:spPr>
              <a:gradFill rotWithShape="1">
                <a:gsLst>
                  <a:gs pos="0">
                    <a:schemeClr val="accent1">
                      <a:shade val="87000"/>
                      <a:satMod val="103000"/>
                      <a:lumMod val="102000"/>
                      <a:tint val="94000"/>
                    </a:schemeClr>
                  </a:gs>
                  <a:gs pos="50000">
                    <a:schemeClr val="accent1">
                      <a:shade val="87000"/>
                      <a:satMod val="110000"/>
                      <a:lumMod val="100000"/>
                      <a:shade val="100000"/>
                    </a:schemeClr>
                  </a:gs>
                  <a:gs pos="100000">
                    <a:schemeClr val="accent1">
                      <a:shade val="87000"/>
                      <a:lumMod val="99000"/>
                      <a:satMod val="120000"/>
                      <a:shade val="78000"/>
                    </a:schemeClr>
                  </a:gs>
                </a:gsLst>
                <a:lin ang="5400000" scaled="0"/>
              </a:gradFill>
              <a:ln>
                <a:noFill/>
              </a:ln>
              <a:effectLst/>
              <a:sp3d/>
            </c:spPr>
            <c:extLst>
              <c:ext xmlns:c16="http://schemas.microsoft.com/office/drawing/2014/chart" uri="{C3380CC4-5D6E-409C-BE32-E72D297353CC}">
                <c16:uniqueId val="{0000000F-DFB0-4D01-B855-FC5AA217932E}"/>
              </c:ext>
            </c:extLst>
          </c:dPt>
          <c:dPt>
            <c:idx val="8"/>
            <c:bubble3D val="0"/>
            <c:explosion val="12"/>
            <c:spPr>
              <a:gradFill rotWithShape="1">
                <a:gsLst>
                  <a:gs pos="0">
                    <a:schemeClr val="accent1">
                      <a:shade val="93000"/>
                      <a:satMod val="103000"/>
                      <a:lumMod val="102000"/>
                      <a:tint val="94000"/>
                    </a:schemeClr>
                  </a:gs>
                  <a:gs pos="50000">
                    <a:schemeClr val="accent1">
                      <a:shade val="93000"/>
                      <a:satMod val="110000"/>
                      <a:lumMod val="100000"/>
                      <a:shade val="100000"/>
                    </a:schemeClr>
                  </a:gs>
                  <a:gs pos="100000">
                    <a:schemeClr val="accent1">
                      <a:shade val="93000"/>
                      <a:lumMod val="99000"/>
                      <a:satMod val="120000"/>
                      <a:shade val="78000"/>
                    </a:schemeClr>
                  </a:gs>
                </a:gsLst>
                <a:lin ang="5400000" scaled="0"/>
              </a:gradFill>
              <a:ln>
                <a:noFill/>
              </a:ln>
              <a:effectLst/>
              <a:sp3d/>
            </c:spPr>
            <c:extLst>
              <c:ext xmlns:c16="http://schemas.microsoft.com/office/drawing/2014/chart" uri="{C3380CC4-5D6E-409C-BE32-E72D297353CC}">
                <c16:uniqueId val="{00000011-DFB0-4D01-B855-FC5AA217932E}"/>
              </c:ext>
            </c:extLst>
          </c:dPt>
          <c:dPt>
            <c:idx val="9"/>
            <c:bubble3D val="0"/>
            <c:spPr>
              <a:gradFill rotWithShape="1">
                <a:gsLst>
                  <a:gs pos="0">
                    <a:schemeClr val="accent1">
                      <a:tint val="97000"/>
                      <a:satMod val="103000"/>
                      <a:lumMod val="102000"/>
                      <a:tint val="94000"/>
                    </a:schemeClr>
                  </a:gs>
                  <a:gs pos="50000">
                    <a:schemeClr val="accent1">
                      <a:tint val="97000"/>
                      <a:satMod val="110000"/>
                      <a:lumMod val="100000"/>
                      <a:shade val="100000"/>
                    </a:schemeClr>
                  </a:gs>
                  <a:gs pos="100000">
                    <a:schemeClr val="accent1">
                      <a:tint val="97000"/>
                      <a:lumMod val="99000"/>
                      <a:satMod val="120000"/>
                      <a:shade val="78000"/>
                    </a:schemeClr>
                  </a:gs>
                </a:gsLst>
                <a:lin ang="5400000" scaled="0"/>
              </a:gradFill>
              <a:ln>
                <a:noFill/>
              </a:ln>
              <a:effectLst/>
              <a:sp3d/>
            </c:spPr>
            <c:extLst>
              <c:ext xmlns:c16="http://schemas.microsoft.com/office/drawing/2014/chart" uri="{C3380CC4-5D6E-409C-BE32-E72D297353CC}">
                <c16:uniqueId val="{00000013-DFB0-4D01-B855-FC5AA217932E}"/>
              </c:ext>
            </c:extLst>
          </c:dPt>
          <c:dPt>
            <c:idx val="10"/>
            <c:bubble3D val="0"/>
            <c:spPr>
              <a:gradFill rotWithShape="1">
                <a:gsLst>
                  <a:gs pos="0">
                    <a:schemeClr val="accent1">
                      <a:tint val="94000"/>
                      <a:satMod val="103000"/>
                      <a:lumMod val="102000"/>
                      <a:tint val="94000"/>
                    </a:schemeClr>
                  </a:gs>
                  <a:gs pos="50000">
                    <a:schemeClr val="accent1">
                      <a:tint val="94000"/>
                      <a:satMod val="110000"/>
                      <a:lumMod val="100000"/>
                      <a:shade val="100000"/>
                    </a:schemeClr>
                  </a:gs>
                  <a:gs pos="100000">
                    <a:schemeClr val="accent1">
                      <a:tint val="94000"/>
                      <a:lumMod val="99000"/>
                      <a:satMod val="120000"/>
                      <a:shade val="78000"/>
                    </a:schemeClr>
                  </a:gs>
                </a:gsLst>
                <a:lin ang="5400000" scaled="0"/>
              </a:gradFill>
              <a:ln>
                <a:noFill/>
              </a:ln>
              <a:effectLst/>
              <a:sp3d/>
            </c:spPr>
            <c:extLst>
              <c:ext xmlns:c16="http://schemas.microsoft.com/office/drawing/2014/chart" uri="{C3380CC4-5D6E-409C-BE32-E72D297353CC}">
                <c16:uniqueId val="{00000015-DFB0-4D01-B855-FC5AA217932E}"/>
              </c:ext>
            </c:extLst>
          </c:dPt>
          <c:dPt>
            <c:idx val="11"/>
            <c:bubble3D val="0"/>
            <c:spPr>
              <a:gradFill rotWithShape="1">
                <a:gsLst>
                  <a:gs pos="0">
                    <a:schemeClr val="accent1">
                      <a:tint val="88000"/>
                      <a:satMod val="103000"/>
                      <a:lumMod val="102000"/>
                      <a:tint val="94000"/>
                    </a:schemeClr>
                  </a:gs>
                  <a:gs pos="50000">
                    <a:schemeClr val="accent1">
                      <a:tint val="88000"/>
                      <a:satMod val="110000"/>
                      <a:lumMod val="100000"/>
                      <a:shade val="100000"/>
                    </a:schemeClr>
                  </a:gs>
                  <a:gs pos="100000">
                    <a:schemeClr val="accent1">
                      <a:tint val="88000"/>
                      <a:lumMod val="99000"/>
                      <a:satMod val="120000"/>
                      <a:shade val="78000"/>
                    </a:schemeClr>
                  </a:gs>
                </a:gsLst>
                <a:lin ang="5400000" scaled="0"/>
              </a:gradFill>
              <a:ln>
                <a:noFill/>
              </a:ln>
              <a:effectLst/>
              <a:sp3d/>
            </c:spPr>
            <c:extLst>
              <c:ext xmlns:c16="http://schemas.microsoft.com/office/drawing/2014/chart" uri="{C3380CC4-5D6E-409C-BE32-E72D297353CC}">
                <c16:uniqueId val="{00000017-DFB0-4D01-B855-FC5AA217932E}"/>
              </c:ext>
            </c:extLst>
          </c:dPt>
          <c:dPt>
            <c:idx val="12"/>
            <c:bubble3D val="0"/>
            <c:spPr>
              <a:gradFill rotWithShape="1">
                <a:gsLst>
                  <a:gs pos="0">
                    <a:schemeClr val="accent1">
                      <a:tint val="88000"/>
                      <a:satMod val="103000"/>
                      <a:lumMod val="102000"/>
                      <a:tint val="94000"/>
                    </a:schemeClr>
                  </a:gs>
                  <a:gs pos="50000">
                    <a:schemeClr val="accent1">
                      <a:tint val="88000"/>
                      <a:satMod val="110000"/>
                      <a:lumMod val="100000"/>
                      <a:shade val="100000"/>
                    </a:schemeClr>
                  </a:gs>
                  <a:gs pos="100000">
                    <a:schemeClr val="accent1">
                      <a:tint val="88000"/>
                      <a:lumMod val="99000"/>
                      <a:satMod val="120000"/>
                      <a:shade val="78000"/>
                    </a:schemeClr>
                  </a:gs>
                </a:gsLst>
                <a:lin ang="5400000" scaled="0"/>
              </a:gradFill>
              <a:ln>
                <a:noFill/>
              </a:ln>
              <a:effectLst/>
              <a:sp3d/>
            </c:spPr>
            <c:extLst>
              <c:ext xmlns:c16="http://schemas.microsoft.com/office/drawing/2014/chart" uri="{C3380CC4-5D6E-409C-BE32-E72D297353CC}">
                <c16:uniqueId val="{00000019-DFB0-4D01-B855-FC5AA217932E}"/>
              </c:ext>
            </c:extLst>
          </c:dPt>
          <c:dPt>
            <c:idx val="13"/>
            <c:bubble3D val="0"/>
            <c:explosion val="9"/>
            <c:spPr>
              <a:gradFill rotWithShape="1">
                <a:gsLst>
                  <a:gs pos="0">
                    <a:schemeClr val="accent1">
                      <a:tint val="81000"/>
                      <a:satMod val="103000"/>
                      <a:lumMod val="102000"/>
                      <a:tint val="94000"/>
                    </a:schemeClr>
                  </a:gs>
                  <a:gs pos="50000">
                    <a:schemeClr val="accent1">
                      <a:tint val="81000"/>
                      <a:satMod val="110000"/>
                      <a:lumMod val="100000"/>
                      <a:shade val="100000"/>
                    </a:schemeClr>
                  </a:gs>
                  <a:gs pos="100000">
                    <a:schemeClr val="accent1">
                      <a:tint val="81000"/>
                      <a:lumMod val="99000"/>
                      <a:satMod val="120000"/>
                      <a:shade val="78000"/>
                    </a:schemeClr>
                  </a:gs>
                </a:gsLst>
                <a:lin ang="5400000" scaled="0"/>
              </a:gradFill>
              <a:ln>
                <a:noFill/>
              </a:ln>
              <a:effectLst/>
              <a:sp3d/>
            </c:spPr>
            <c:extLst>
              <c:ext xmlns:c16="http://schemas.microsoft.com/office/drawing/2014/chart" uri="{C3380CC4-5D6E-409C-BE32-E72D297353CC}">
                <c16:uniqueId val="{0000001B-DFB0-4D01-B855-FC5AA217932E}"/>
              </c:ext>
            </c:extLst>
          </c:dPt>
          <c:dPt>
            <c:idx val="14"/>
            <c:bubble3D val="0"/>
            <c:spPr>
              <a:gradFill rotWithShape="1">
                <a:gsLst>
                  <a:gs pos="0">
                    <a:schemeClr val="accent1">
                      <a:tint val="75000"/>
                      <a:satMod val="103000"/>
                      <a:lumMod val="102000"/>
                      <a:tint val="94000"/>
                    </a:schemeClr>
                  </a:gs>
                  <a:gs pos="50000">
                    <a:schemeClr val="accent1">
                      <a:tint val="75000"/>
                      <a:satMod val="110000"/>
                      <a:lumMod val="100000"/>
                      <a:shade val="100000"/>
                    </a:schemeClr>
                  </a:gs>
                  <a:gs pos="100000">
                    <a:schemeClr val="accent1">
                      <a:tint val="75000"/>
                      <a:lumMod val="99000"/>
                      <a:satMod val="120000"/>
                      <a:shade val="78000"/>
                    </a:schemeClr>
                  </a:gs>
                </a:gsLst>
                <a:lin ang="5400000" scaled="0"/>
              </a:gradFill>
              <a:ln>
                <a:noFill/>
              </a:ln>
              <a:effectLst/>
              <a:sp3d/>
            </c:spPr>
            <c:extLst>
              <c:ext xmlns:c16="http://schemas.microsoft.com/office/drawing/2014/chart" uri="{C3380CC4-5D6E-409C-BE32-E72D297353CC}">
                <c16:uniqueId val="{0000001D-DFB0-4D01-B855-FC5AA217932E}"/>
              </c:ext>
            </c:extLst>
          </c:dPt>
          <c:dPt>
            <c:idx val="15"/>
            <c:bubble3D val="0"/>
            <c:explosion val="16"/>
            <c:spPr>
              <a:gradFill rotWithShape="1">
                <a:gsLst>
                  <a:gs pos="0">
                    <a:schemeClr val="accent1">
                      <a:tint val="69000"/>
                      <a:satMod val="103000"/>
                      <a:lumMod val="102000"/>
                      <a:tint val="94000"/>
                    </a:schemeClr>
                  </a:gs>
                  <a:gs pos="50000">
                    <a:schemeClr val="accent1">
                      <a:tint val="69000"/>
                      <a:satMod val="110000"/>
                      <a:lumMod val="100000"/>
                      <a:shade val="100000"/>
                    </a:schemeClr>
                  </a:gs>
                  <a:gs pos="100000">
                    <a:schemeClr val="accent1">
                      <a:tint val="69000"/>
                      <a:lumMod val="99000"/>
                      <a:satMod val="120000"/>
                      <a:shade val="78000"/>
                    </a:schemeClr>
                  </a:gs>
                </a:gsLst>
                <a:lin ang="5400000" scaled="0"/>
              </a:gradFill>
              <a:ln>
                <a:noFill/>
              </a:ln>
              <a:effectLst/>
              <a:sp3d/>
            </c:spPr>
            <c:extLst>
              <c:ext xmlns:c16="http://schemas.microsoft.com/office/drawing/2014/chart" uri="{C3380CC4-5D6E-409C-BE32-E72D297353CC}">
                <c16:uniqueId val="{0000001F-DFB0-4D01-B855-FC5AA217932E}"/>
              </c:ext>
            </c:extLst>
          </c:dPt>
          <c:dPt>
            <c:idx val="16"/>
            <c:bubble3D val="0"/>
            <c:spPr>
              <a:gradFill rotWithShape="1">
                <a:gsLst>
                  <a:gs pos="0">
                    <a:schemeClr val="accent1">
                      <a:tint val="62000"/>
                      <a:satMod val="103000"/>
                      <a:lumMod val="102000"/>
                      <a:tint val="94000"/>
                    </a:schemeClr>
                  </a:gs>
                  <a:gs pos="50000">
                    <a:schemeClr val="accent1">
                      <a:tint val="62000"/>
                      <a:satMod val="110000"/>
                      <a:lumMod val="100000"/>
                      <a:shade val="100000"/>
                    </a:schemeClr>
                  </a:gs>
                  <a:gs pos="100000">
                    <a:schemeClr val="accent1">
                      <a:tint val="62000"/>
                      <a:lumMod val="99000"/>
                      <a:satMod val="120000"/>
                      <a:shade val="78000"/>
                    </a:schemeClr>
                  </a:gs>
                </a:gsLst>
                <a:lin ang="5400000" scaled="0"/>
              </a:gradFill>
              <a:ln>
                <a:noFill/>
              </a:ln>
              <a:effectLst/>
              <a:sp3d/>
            </c:spPr>
            <c:extLst>
              <c:ext xmlns:c16="http://schemas.microsoft.com/office/drawing/2014/chart" uri="{C3380CC4-5D6E-409C-BE32-E72D297353CC}">
                <c16:uniqueId val="{00000021-DFB0-4D01-B855-FC5AA217932E}"/>
              </c:ext>
            </c:extLst>
          </c:dPt>
          <c:dPt>
            <c:idx val="17"/>
            <c:bubble3D val="0"/>
            <c:spPr>
              <a:gradFill rotWithShape="1">
                <a:gsLst>
                  <a:gs pos="0">
                    <a:schemeClr val="accent1">
                      <a:tint val="56000"/>
                      <a:satMod val="103000"/>
                      <a:lumMod val="102000"/>
                      <a:tint val="94000"/>
                    </a:schemeClr>
                  </a:gs>
                  <a:gs pos="50000">
                    <a:schemeClr val="accent1">
                      <a:tint val="56000"/>
                      <a:satMod val="110000"/>
                      <a:lumMod val="100000"/>
                      <a:shade val="100000"/>
                    </a:schemeClr>
                  </a:gs>
                  <a:gs pos="100000">
                    <a:schemeClr val="accent1">
                      <a:tint val="56000"/>
                      <a:lumMod val="99000"/>
                      <a:satMod val="120000"/>
                      <a:shade val="78000"/>
                    </a:schemeClr>
                  </a:gs>
                </a:gsLst>
                <a:lin ang="5400000" scaled="0"/>
              </a:gradFill>
              <a:ln>
                <a:noFill/>
              </a:ln>
              <a:effectLst/>
              <a:sp3d/>
            </c:spPr>
            <c:extLst>
              <c:ext xmlns:c16="http://schemas.microsoft.com/office/drawing/2014/chart" uri="{C3380CC4-5D6E-409C-BE32-E72D297353CC}">
                <c16:uniqueId val="{00000023-DFB0-4D01-B855-FC5AA217932E}"/>
              </c:ext>
            </c:extLst>
          </c:dPt>
          <c:dPt>
            <c:idx val="18"/>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25-DFB0-4D01-B855-FC5AA217932E}"/>
              </c:ext>
            </c:extLst>
          </c:dPt>
          <c:dPt>
            <c:idx val="19"/>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27-DFB0-4D01-B855-FC5AA217932E}"/>
              </c:ext>
            </c:extLst>
          </c:dPt>
          <c:dPt>
            <c:idx val="20"/>
            <c:bubble3D val="0"/>
            <c:spPr>
              <a:gradFill rotWithShape="1">
                <a:gsLst>
                  <a:gs pos="0">
                    <a:schemeClr val="accent1">
                      <a:tint val="37000"/>
                      <a:satMod val="103000"/>
                      <a:lumMod val="102000"/>
                      <a:tint val="94000"/>
                    </a:schemeClr>
                  </a:gs>
                  <a:gs pos="50000">
                    <a:schemeClr val="accent1">
                      <a:tint val="37000"/>
                      <a:satMod val="110000"/>
                      <a:lumMod val="100000"/>
                      <a:shade val="100000"/>
                    </a:schemeClr>
                  </a:gs>
                  <a:gs pos="100000">
                    <a:schemeClr val="accent1">
                      <a:tint val="37000"/>
                      <a:lumMod val="99000"/>
                      <a:satMod val="120000"/>
                      <a:shade val="78000"/>
                    </a:schemeClr>
                  </a:gs>
                </a:gsLst>
                <a:lin ang="5400000" scaled="0"/>
              </a:gradFill>
              <a:ln>
                <a:noFill/>
              </a:ln>
              <a:effectLst/>
              <a:sp3d/>
            </c:spPr>
            <c:extLst>
              <c:ext xmlns:c16="http://schemas.microsoft.com/office/drawing/2014/chart" uri="{C3380CC4-5D6E-409C-BE32-E72D297353CC}">
                <c16:uniqueId val="{00000029-DFB0-4D01-B855-FC5AA217932E}"/>
              </c:ext>
            </c:extLst>
          </c:dPt>
          <c:dPt>
            <c:idx val="21"/>
            <c:bubble3D val="0"/>
            <c:spPr>
              <a:gradFill rotWithShape="1">
                <a:gsLst>
                  <a:gs pos="0">
                    <a:schemeClr val="accent1">
                      <a:tint val="37000"/>
                      <a:satMod val="103000"/>
                      <a:lumMod val="102000"/>
                      <a:tint val="94000"/>
                    </a:schemeClr>
                  </a:gs>
                  <a:gs pos="50000">
                    <a:schemeClr val="accent1">
                      <a:tint val="37000"/>
                      <a:satMod val="110000"/>
                      <a:lumMod val="100000"/>
                      <a:shade val="100000"/>
                    </a:schemeClr>
                  </a:gs>
                  <a:gs pos="100000">
                    <a:schemeClr val="accent1">
                      <a:tint val="37000"/>
                      <a:lumMod val="99000"/>
                      <a:satMod val="120000"/>
                      <a:shade val="78000"/>
                    </a:schemeClr>
                  </a:gs>
                </a:gsLst>
                <a:lin ang="5400000" scaled="0"/>
              </a:gradFill>
              <a:ln>
                <a:noFill/>
              </a:ln>
              <a:effectLst/>
              <a:sp3d/>
            </c:spPr>
            <c:extLst>
              <c:ext xmlns:c16="http://schemas.microsoft.com/office/drawing/2014/chart" uri="{C3380CC4-5D6E-409C-BE32-E72D297353CC}">
                <c16:uniqueId val="{0000002B-DFB0-4D01-B855-FC5AA217932E}"/>
              </c:ext>
            </c:extLst>
          </c:dPt>
          <c:dLbls>
            <c:dLbl>
              <c:idx val="0"/>
              <c:layout>
                <c:manualLayout>
                  <c:x val="0.21851774040924046"/>
                  <c:y val="-0.1853026574803149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FB0-4D01-B855-FC5AA217932E}"/>
                </c:ext>
              </c:extLst>
            </c:dLbl>
            <c:dLbl>
              <c:idx val="1"/>
              <c:layout>
                <c:manualLayout>
                  <c:x val="5.216201484708935E-2"/>
                  <c:y val="-0.1016093157704146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FB0-4D01-B855-FC5AA217932E}"/>
                </c:ext>
              </c:extLst>
            </c:dLbl>
            <c:dLbl>
              <c:idx val="2"/>
              <c:layout>
                <c:manualLayout>
                  <c:x val="0.17244042399881934"/>
                  <c:y val="-6.817052165354330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FB0-4D01-B855-FC5AA217932E}"/>
                </c:ext>
              </c:extLst>
            </c:dLbl>
            <c:dLbl>
              <c:idx val="3"/>
              <c:layout>
                <c:manualLayout>
                  <c:x val="5.3039033895817538E-2"/>
                  <c:y val="-3.778611636647358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FB0-4D01-B855-FC5AA217932E}"/>
                </c:ext>
              </c:extLst>
            </c:dLbl>
            <c:dLbl>
              <c:idx val="4"/>
              <c:layout>
                <c:manualLayout>
                  <c:x val="2.7470133440854208E-2"/>
                  <c:y val="-1.518657993837726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FB0-4D01-B855-FC5AA217932E}"/>
                </c:ext>
              </c:extLst>
            </c:dLbl>
            <c:dLbl>
              <c:idx val="5"/>
              <c:layout>
                <c:manualLayout>
                  <c:x val="4.7537289815236021E-2"/>
                  <c:y val="2.695421854838454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1114092352930735"/>
                      <c:h val="9.121694641785548E-2"/>
                    </c:manualLayout>
                  </c15:layout>
                </c:ext>
                <c:ext xmlns:c16="http://schemas.microsoft.com/office/drawing/2014/chart" uri="{C3380CC4-5D6E-409C-BE32-E72D297353CC}">
                  <c16:uniqueId val="{0000000B-DFB0-4D01-B855-FC5AA217932E}"/>
                </c:ext>
              </c:extLst>
            </c:dLbl>
            <c:dLbl>
              <c:idx val="6"/>
              <c:layout>
                <c:manualLayout>
                  <c:x val="1.6433558784142269E-2"/>
                  <c:y val="0.1262112394053510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DFB0-4D01-B855-FC5AA217932E}"/>
                </c:ext>
              </c:extLst>
            </c:dLbl>
            <c:dLbl>
              <c:idx val="7"/>
              <c:layout>
                <c:manualLayout>
                  <c:x val="5.2183107762025727E-2"/>
                  <c:y val="8.653174212598424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DFB0-4D01-B855-FC5AA217932E}"/>
                </c:ext>
              </c:extLst>
            </c:dLbl>
            <c:dLbl>
              <c:idx val="8"/>
              <c:layout>
                <c:manualLayout>
                  <c:x val="1.4303144582293497E-2"/>
                  <c:y val="5.737989273079995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DFB0-4D01-B855-FC5AA217932E}"/>
                </c:ext>
              </c:extLst>
            </c:dLbl>
            <c:dLbl>
              <c:idx val="9"/>
              <c:layout>
                <c:manualLayout>
                  <c:x val="1.4012261339771535E-2"/>
                  <c:y val="5.115661925658502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DFB0-4D01-B855-FC5AA217932E}"/>
                </c:ext>
              </c:extLst>
            </c:dLbl>
            <c:dLbl>
              <c:idx val="10"/>
              <c:layout>
                <c:manualLayout>
                  <c:x val="-0.19641267829393433"/>
                  <c:y val="0.1941262713254592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1839865391700541"/>
                      <c:h val="0.14846563320678799"/>
                    </c:manualLayout>
                  </c15:layout>
                </c:ext>
                <c:ext xmlns:c16="http://schemas.microsoft.com/office/drawing/2014/chart" uri="{C3380CC4-5D6E-409C-BE32-E72D297353CC}">
                  <c16:uniqueId val="{00000015-DFB0-4D01-B855-FC5AA217932E}"/>
                </c:ext>
              </c:extLst>
            </c:dLbl>
            <c:dLbl>
              <c:idx val="11"/>
              <c:layout>
                <c:manualLayout>
                  <c:x val="-8.6885113463408659E-2"/>
                  <c:y val="6.893778593881298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7-DFB0-4D01-B855-FC5AA217932E}"/>
                </c:ext>
              </c:extLst>
            </c:dLbl>
            <c:dLbl>
              <c:idx val="13"/>
              <c:layout>
                <c:manualLayout>
                  <c:x val="-7.7282544304390008E-2"/>
                  <c:y val="-9.1160146483666316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B-DFB0-4D01-B855-FC5AA217932E}"/>
                </c:ext>
              </c:extLst>
            </c:dLbl>
            <c:dLbl>
              <c:idx val="14"/>
              <c:layout>
                <c:manualLayout>
                  <c:x val="-8.9056798268994639E-2"/>
                  <c:y val="-7.763096777081969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D-DFB0-4D01-B855-FC5AA217932E}"/>
                </c:ext>
              </c:extLst>
            </c:dLbl>
            <c:dLbl>
              <c:idx val="16"/>
              <c:layout>
                <c:manualLayout>
                  <c:x val="-0.28507027580758582"/>
                  <c:y val="-0.211546505905511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1-DFB0-4D01-B855-FC5AA217932E}"/>
                </c:ext>
              </c:extLst>
            </c:dLbl>
            <c:dLbl>
              <c:idx val="17"/>
              <c:layout>
                <c:manualLayout>
                  <c:x val="7.7015631892503475E-2"/>
                  <c:y val="-6.955772319504836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3-DFB0-4D01-B855-FC5AA217932E}"/>
                </c:ext>
              </c:extLst>
            </c:dLbl>
            <c:dLbl>
              <c:idx val="18"/>
              <c:layout>
                <c:manualLayout>
                  <c:x val="-4.8686154947636735E-2"/>
                  <c:y val="-0.1709727884804913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5-DFB0-4D01-B855-FC5AA217932E}"/>
                </c:ext>
              </c:extLst>
            </c:dLbl>
            <c:dLbl>
              <c:idx val="19"/>
              <c:layout>
                <c:manualLayout>
                  <c:x val="0.14429068747883914"/>
                  <c:y val="-0.1951439468503937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7-DFB0-4D01-B855-FC5AA217932E}"/>
                </c:ext>
              </c:extLst>
            </c:dLbl>
            <c:dLbl>
              <c:idx val="20"/>
              <c:layout>
                <c:manualLayout>
                  <c:x val="0.14506801864761393"/>
                  <c:y val="-0.3042864173228346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29-DFB0-4D01-B855-FC5AA217932E}"/>
                </c:ext>
              </c:extLst>
            </c:dLbl>
            <c:spPr>
              <a:noFill/>
              <a:ln>
                <a:noFill/>
              </a:ln>
              <a:effectLst/>
            </c:spPr>
            <c:txPr>
              <a:bodyPr rot="0" spcFirstLastPara="1" vertOverflow="ellipsis" vert="horz" wrap="square" anchor="ctr" anchorCtr="1"/>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'1'!$A$58:$A$79</c:f>
              <c:strCache>
                <c:ptCount val="22"/>
                <c:pt idx="0">
                  <c:v>ΕΠΙΤΕΛΙΚΟΣ ΣΥΝΤΟΝΙΣΜΟΣ ΚΑΙ ΕΠΕΝΔΥΣΕΙΣ ΥΠΟΥΡΓΕΙΟΥ ΕΘΝΙΚΗΣ ΟΙΚΟΝΟΜΙΑΣ ΚΑΙ ΟΙΚΟΝΟΜΙΚΩΝ</c:v>
                </c:pt>
                <c:pt idx="1">
                  <c:v>ΟΙΚΟΝΟΜΙΚΗ ΠΟΛΙΤΙΚΗ</c:v>
                </c:pt>
                <c:pt idx="2">
                  <c:v>ΔΙΑΧΕΙΡΙΣΗ ΔΗΜΟΣΙΑΣ ΠΕΡΙΟΥΣΙΑΣ</c:v>
                </c:pt>
                <c:pt idx="3">
                  <c:v>ΓΕΝΙΚΕΣ ΚΡΑΤΙΚΕΣ ΔΑΠΑΝΕΣ ΚΑΙ ΔΗΜΟΣΙΟΝΟΜΙΚΗ ΠΟΛΙΤΙΚΗ</c:v>
                </c:pt>
                <c:pt idx="4">
                  <c:v>ΣΤΑΤΙΣΤΙΚΑ ΔΕΔΟΜΕΝΑ ΚΑΙ ΕΡΕΥΝΕΣ ΕΛΣΤΑΤ</c:v>
                </c:pt>
                <c:pt idx="5">
                  <c:v>ΜΕΤΑΝΑΣΤΕΥΤΙΚΗ ΠΟΛΙΤΙΚΗ</c:v>
                </c:pt>
                <c:pt idx="6">
                  <c:v>ΝΟΜΙΚΗ ΥΠΟΣΤΗΡΙΞΗ ΤΟΥ ΚΡΑΤΟΥΣ</c:v>
                </c:pt>
                <c:pt idx="7">
                  <c:v>ΕΠΙΤΕΛΙΚΟΣ ΣΥΝΤΟΝΙΣΜΟΣ ΔΗΜΟΣΙΩΝ ΕΣΟΔΩΝ</c:v>
                </c:pt>
                <c:pt idx="8">
                  <c:v>ΦΟΡΟΛΟΓΙΚΕΣ ΥΠΗΡΕΣΙΕΣ</c:v>
                </c:pt>
                <c:pt idx="9">
                  <c:v>ΤΕΛΩΝΕΙΑΚΕΣ ΥΠΗΡΕΣΙΕΣ</c:v>
                </c:pt>
                <c:pt idx="10">
                  <c:v>ΥΠΗΡΕΣΙΕΣ ΓΕΝΙΚΟΥ ΧΗΜΕΙΟΥ ΤΟΥ ΚΡΑΤΟΥΣ</c:v>
                </c:pt>
                <c:pt idx="11">
                  <c:v>ΑΡΧΗ ΚΑΤΑΠΟΛΕΜΗΣΗΣ ΤΗΣ ΝΟΜΙΜΟΠΟΙΗΣΗΣ ΕΣΟΔΩΝ ΑΠΟ ΕΓΚΛΗΜΑΤΙΚΕΣ ΔΡΑΣΤΗΡΙΟΤΗΤΕΣ</c:v>
                </c:pt>
                <c:pt idx="12">
                  <c:v>ΕΛΛΗΝΙΚΟ ΔΗΜΟΣΙΟΝΟΜΙΚΟ ΣΥΜΒΟΥΛΙΟ</c:v>
                </c:pt>
                <c:pt idx="13">
                  <c:v>ΑΝΤΙΜΕΤΩΠΙΣΗ ΟΙΚΟΝΟΜΙΚΟΥ ΕΓΚΛΗΜΑΤΟΣ</c:v>
                </c:pt>
                <c:pt idx="14">
                  <c:v>ΑΜΥΝΤΙΚΕΣ ΚΑΤΑΣΚΕΥΕΣ</c:v>
                </c:pt>
                <c:pt idx="15">
                  <c:v>ΕΘΝΙΚΗ ΕΠΙΤΡΟΠΗ ΓΙΑ ΤΑ ΔΙΚΑΙΩΜΑΤΑ ΤΟΥ ΑΝΘΡΩΠΟΥ</c:v>
                </c:pt>
                <c:pt idx="16">
                  <c:v>ΣΧΕΔΙΑΣΜΟΣ, ΠΡΟΓΡΑΜΜΑΤΙΣΜΟΣ, ΕΚΤΕΛΕΣΗ ΚΑΙ ΠΑΡΑΚΟΛΟΥΘΗΣΗ ΤΟΥ ΠΡΟΓΡΑΜΜΑΤΟΣ ΔΗΜΟΣΙΩΝ ΕΠΕΝΔΥΣΕΩΝ</c:v>
                </c:pt>
                <c:pt idx="17">
                  <c:v>ΡΥΘΜΙΣΗ ΘΕΜΑΤΩΝ ΣΤΟΥΣ ΤΟΜΕΙΣ ΤΟΥ ΠΟΛΙΤΙΣΜΟΥ ΚΑΙ ΤΗΣ ΘΡΗΣΚΕΙΑΣ</c:v>
                </c:pt>
                <c:pt idx="18">
                  <c:v>ΕΘΝΙΚΟ ΣΥΜΒΟΥΛΙΟ ΡΑΔΙΟΤΗΛΕΟΡΑΣΗΣ</c:v>
                </c:pt>
                <c:pt idx="19">
                  <c:v>ΕΠΙΤΡΟΠΗ ΕΠΟΠΤΕΙΑΣ ΚΑΙ ΕΛΕΓΧΟΥ ΠΑΙΓΝΙΩΝ</c:v>
                </c:pt>
                <c:pt idx="20">
                  <c:v>ΦΟΡΟΛΟΓΙΚΗ ΚΑΙ ΤΕΛΩΝΕΙΑΚΗ ΕΚΠΑΙΔΕΥΣΗ</c:v>
                </c:pt>
                <c:pt idx="21">
                  <c:v>ΔΡΑΣΕΙΣ ΚΟΙΝΩΝΙΚΗΣ ΠΡΟΣΤΑΣΙΑΣ</c:v>
                </c:pt>
              </c:strCache>
            </c:strRef>
          </c:cat>
          <c:val>
            <c:numRef>
              <c:f>'1'!$B$58:$B$79</c:f>
              <c:numCache>
                <c:formatCode>#,##0</c:formatCode>
                <c:ptCount val="22"/>
                <c:pt idx="0">
                  <c:v>482</c:v>
                </c:pt>
                <c:pt idx="1">
                  <c:v>788</c:v>
                </c:pt>
                <c:pt idx="2">
                  <c:v>988</c:v>
                </c:pt>
                <c:pt idx="3">
                  <c:v>929</c:v>
                </c:pt>
                <c:pt idx="4">
                  <c:v>666</c:v>
                </c:pt>
                <c:pt idx="6">
                  <c:v>636</c:v>
                </c:pt>
                <c:pt idx="7">
                  <c:v>1410</c:v>
                </c:pt>
                <c:pt idx="8">
                  <c:v>6426</c:v>
                </c:pt>
                <c:pt idx="9">
                  <c:v>2415</c:v>
                </c:pt>
                <c:pt idx="10">
                  <c:v>457</c:v>
                </c:pt>
                <c:pt idx="11">
                  <c:v>68</c:v>
                </c:pt>
                <c:pt idx="12">
                  <c:v>8</c:v>
                </c:pt>
                <c:pt idx="13">
                  <c:v>246</c:v>
                </c:pt>
                <c:pt idx="14">
                  <c:v>1901</c:v>
                </c:pt>
                <c:pt idx="15">
                  <c:v>12</c:v>
                </c:pt>
                <c:pt idx="16">
                  <c:v>1162</c:v>
                </c:pt>
                <c:pt idx="17">
                  <c:v>112</c:v>
                </c:pt>
                <c:pt idx="18">
                  <c:v>59</c:v>
                </c:pt>
                <c:pt idx="19">
                  <c:v>71</c:v>
                </c:pt>
                <c:pt idx="20">
                  <c:v>463</c:v>
                </c:pt>
              </c:numCache>
            </c:numRef>
          </c:val>
          <c:extLst>
            <c:ext xmlns:c16="http://schemas.microsoft.com/office/drawing/2014/chart" uri="{C3380CC4-5D6E-409C-BE32-E72D297353CC}">
              <c16:uniqueId val="{0000002C-DFB0-4D01-B855-FC5AA217932E}"/>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67276389238561E-3"/>
          <c:y val="0.1787205569260924"/>
          <c:w val="0.96540624538801445"/>
          <c:h val="0.82127944307390754"/>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B3E4-4040-9A7F-E80815929F83}"/>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B3E4-4040-9A7F-E80815929F83}"/>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B3E4-4040-9A7F-E80815929F83}"/>
              </c:ext>
            </c:extLst>
          </c:dPt>
          <c:dPt>
            <c:idx val="3"/>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7-B3E4-4040-9A7F-E80815929F83}"/>
              </c:ext>
            </c:extLst>
          </c:dPt>
          <c:dPt>
            <c:idx val="4"/>
            <c:bubble3D val="0"/>
            <c:spPr>
              <a:gradFill rotWithShape="1">
                <a:gsLst>
                  <a:gs pos="0">
                    <a:schemeClr val="accent1">
                      <a:tint val="70000"/>
                      <a:satMod val="103000"/>
                      <a:lumMod val="102000"/>
                      <a:tint val="94000"/>
                    </a:schemeClr>
                  </a:gs>
                  <a:gs pos="50000">
                    <a:schemeClr val="accent1">
                      <a:tint val="70000"/>
                      <a:satMod val="110000"/>
                      <a:lumMod val="100000"/>
                      <a:shade val="100000"/>
                    </a:schemeClr>
                  </a:gs>
                  <a:gs pos="100000">
                    <a:schemeClr val="accent1">
                      <a:tint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9-B3E4-4040-9A7F-E80815929F83}"/>
              </c:ext>
            </c:extLst>
          </c:dPt>
          <c:dPt>
            <c:idx val="5"/>
            <c:bubble3D val="0"/>
            <c:explosion val="26"/>
            <c:spPr>
              <a:gradFill rotWithShape="1">
                <a:gsLst>
                  <a:gs pos="0">
                    <a:schemeClr val="accent1">
                      <a:tint val="50000"/>
                      <a:satMod val="103000"/>
                      <a:lumMod val="102000"/>
                      <a:tint val="94000"/>
                    </a:schemeClr>
                  </a:gs>
                  <a:gs pos="50000">
                    <a:schemeClr val="accent1">
                      <a:tint val="50000"/>
                      <a:satMod val="110000"/>
                      <a:lumMod val="100000"/>
                      <a:shade val="100000"/>
                    </a:schemeClr>
                  </a:gs>
                  <a:gs pos="100000">
                    <a:schemeClr val="accent1">
                      <a:tint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B-B3E4-4040-9A7F-E80815929F83}"/>
              </c:ext>
            </c:extLst>
          </c:dPt>
          <c:dLbls>
            <c:dLbl>
              <c:idx val="0"/>
              <c:layout>
                <c:manualLayout>
                  <c:x val="0.16277625648620717"/>
                  <c:y val="-0.1477222899296488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3E4-4040-9A7F-E80815929F83}"/>
                </c:ext>
              </c:extLst>
            </c:dLbl>
            <c:dLbl>
              <c:idx val="1"/>
              <c:layout>
                <c:manualLayout>
                  <c:x val="-5.8800180423996422E-2"/>
                  <c:y val="1.295468761083056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3E4-4040-9A7F-E80815929F83}"/>
                </c:ext>
              </c:extLst>
            </c:dLbl>
            <c:dLbl>
              <c:idx val="2"/>
              <c:layout>
                <c:manualLayout>
                  <c:x val="-8.3068060335489191E-2"/>
                  <c:y val="0.2625847148872509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3E4-4040-9A7F-E80815929F83}"/>
                </c:ext>
              </c:extLst>
            </c:dLbl>
            <c:dLbl>
              <c:idx val="3"/>
              <c:layout>
                <c:manualLayout>
                  <c:x val="1.6195571336383351E-2"/>
                  <c:y val="-5.842455225012929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9560461499"/>
                      <c:h val="0.10920122109199869"/>
                    </c:manualLayout>
                  </c15:layout>
                </c:ext>
                <c:ext xmlns:c16="http://schemas.microsoft.com/office/drawing/2014/chart" uri="{C3380CC4-5D6E-409C-BE32-E72D297353CC}">
                  <c16:uniqueId val="{00000007-B3E4-4040-9A7F-E80815929F83}"/>
                </c:ext>
              </c:extLst>
            </c:dLbl>
            <c:dLbl>
              <c:idx val="4"/>
              <c:layout>
                <c:manualLayout>
                  <c:x val="-7.8538210463881458E-2"/>
                  <c:y val="-0.2599124181310767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3E4-4040-9A7F-E80815929F83}"/>
                </c:ext>
              </c:extLst>
            </c:dLbl>
            <c:dLbl>
              <c:idx val="5"/>
              <c:layout>
                <c:manualLayout>
                  <c:x val="0.33628228389863618"/>
                  <c:y val="-6.294715067581371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4074972436604189"/>
                      <c:h val="0.24539127887983958"/>
                    </c:manualLayout>
                  </c15:layout>
                </c:ext>
                <c:ext xmlns:c16="http://schemas.microsoft.com/office/drawing/2014/chart" uri="{C3380CC4-5D6E-409C-BE32-E72D297353CC}">
                  <c16:uniqueId val="{0000000B-B3E4-4040-9A7F-E80815929F83}"/>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'1'!$A$4:$A$9</c:f>
              <c:strCache>
                <c:ptCount val="6"/>
                <c:pt idx="0">
                  <c:v>ΒΙΩΣΙΜΗ ΑΓΡΟΤΙΚΗ ΑΝΑΠΤΥΞΗ</c:v>
                </c:pt>
                <c:pt idx="1">
                  <c:v>ΦΥΤΙΚΗ ΚΑΙ ΖΩΙΚΗ ΠΑΡΑΓΩΓΗ</c:v>
                </c:pt>
                <c:pt idx="2">
                  <c:v>ΚΤΗΝΙΑΤΡΙΚΗ</c:v>
                </c:pt>
                <c:pt idx="3">
                  <c:v>ΑΛΙΕΙΑ</c:v>
                </c:pt>
                <c:pt idx="4">
                  <c:v>ΤΡΟΦΙΜΑ</c:v>
                </c:pt>
                <c:pt idx="5">
                  <c:v>ΕΠΙΤΕΛΙΚΟΣ ΣΥΝΤΟΝΙΣΜΟΣ ΚΑΙ ΕΠΕΝΔΥΣΕΙΣ ΥΠΟΥΡΓΕΙΟΥ ΑΓΡΟΤΙΚΗΣ ΑΝΑΠΤΥΞΗΣ ΚΑΙ ΤΡΟΦΙΜΩΝ</c:v>
                </c:pt>
              </c:strCache>
            </c:strRef>
          </c:cat>
          <c:val>
            <c:numRef>
              <c:f>'1'!$B$4:$B$9</c:f>
              <c:numCache>
                <c:formatCode>#,##0\ "€"</c:formatCode>
                <c:ptCount val="6"/>
                <c:pt idx="0">
                  <c:v>1192342623.5999999</c:v>
                </c:pt>
                <c:pt idx="1">
                  <c:v>101361720.40000001</c:v>
                </c:pt>
                <c:pt idx="2">
                  <c:v>30580464.699999999</c:v>
                </c:pt>
                <c:pt idx="3">
                  <c:v>101738933.2</c:v>
                </c:pt>
                <c:pt idx="4">
                  <c:v>27958161</c:v>
                </c:pt>
                <c:pt idx="5">
                  <c:v>49895097.100000001</c:v>
                </c:pt>
              </c:numCache>
            </c:numRef>
          </c:val>
          <c:extLst>
            <c:ext xmlns:c16="http://schemas.microsoft.com/office/drawing/2014/chart" uri="{C3380CC4-5D6E-409C-BE32-E72D297353CC}">
              <c16:uniqueId val="{0000000C-B3E4-4040-9A7F-E80815929F83}"/>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6557036997629908"/>
          <c:y val="3.6712552539420663E-2"/>
          <c:w val="0.51798718053891923"/>
          <c:h val="0.82397395379737093"/>
        </c:manualLayout>
      </c:layout>
      <c:bar3DChart>
        <c:barDir val="bar"/>
        <c:grouping val="percentStacked"/>
        <c:varyColors val="0"/>
        <c:ser>
          <c:idx val="0"/>
          <c:order val="0"/>
          <c:tx>
            <c:strRef>
              <c:f>'1'!$B$14</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1"/>
              <c:layout>
                <c:manualLayout>
                  <c:x val="2.64608599779492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AE-4F42-9588-DC328ADAE614}"/>
                </c:ext>
              </c:extLst>
            </c:dLbl>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AE-4F42-9588-DC328ADAE614}"/>
                </c:ext>
              </c:extLst>
            </c:dLbl>
            <c:dLbl>
              <c:idx val="3"/>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AE-4F42-9588-DC328ADAE61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'1'!$A$15:$A$20</c:f>
              <c:strCache>
                <c:ptCount val="6"/>
                <c:pt idx="0">
                  <c:v>ΒΙΩΣΙΜΗ ΑΓΡΟΤΙΚΗ ΑΝΑΠΤΥΞΗ</c:v>
                </c:pt>
                <c:pt idx="1">
                  <c:v>ΦΥΤΙΚΗ ΚΑΙ ΖΩΙΚΗ ΠΑΡΑΓΩΓΗ</c:v>
                </c:pt>
                <c:pt idx="2">
                  <c:v>ΚΤΗΝΙΑΤΡΙΚΗ</c:v>
                </c:pt>
                <c:pt idx="3">
                  <c:v>ΑΛΙΕΙΑ</c:v>
                </c:pt>
                <c:pt idx="4">
                  <c:v>ΤΡΟΦΙΜΑ</c:v>
                </c:pt>
                <c:pt idx="5">
                  <c:v>ΕΠΙΤΕΛΙΚΟΣ ΣΥΝΤΟΝΙΣΜΟΣ ΚΑΙ ΕΠΕΝΔΥΣΕΙΣ ΥΠΟΥΡΓΕΙΟΥ ΑΓΡΟΤΙΚΗΣ ΑΝΑΠΤΥΞΗΣ ΚΑΙ ΤΡΟΦΙΜΩΝ</c:v>
                </c:pt>
              </c:strCache>
            </c:strRef>
          </c:cat>
          <c:val>
            <c:numRef>
              <c:f>'1'!$B$15:$B$20</c:f>
              <c:numCache>
                <c:formatCode>#,##0\ "€"</c:formatCode>
                <c:ptCount val="6"/>
                <c:pt idx="0">
                  <c:v>1050094650.33</c:v>
                </c:pt>
                <c:pt idx="1">
                  <c:v>55438714.140000001</c:v>
                </c:pt>
                <c:pt idx="2">
                  <c:v>20046376.449999999</c:v>
                </c:pt>
                <c:pt idx="3">
                  <c:v>81614172.629999995</c:v>
                </c:pt>
                <c:pt idx="4">
                  <c:v>16297641.130000001</c:v>
                </c:pt>
                <c:pt idx="5">
                  <c:v>51772574.560000002</c:v>
                </c:pt>
              </c:numCache>
            </c:numRef>
          </c:val>
          <c:extLst>
            <c:ext xmlns:c16="http://schemas.microsoft.com/office/drawing/2014/chart" uri="{C3380CC4-5D6E-409C-BE32-E72D297353CC}">
              <c16:uniqueId val="{00000003-E0AE-4F42-9588-DC328ADAE614}"/>
            </c:ext>
          </c:extLst>
        </c:ser>
        <c:ser>
          <c:idx val="1"/>
          <c:order val="1"/>
          <c:tx>
            <c:strRef>
              <c:f>'1'!$C$14</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3"/>
              <c:layout>
                <c:manualLayout>
                  <c:x val="-2.6905826429642735E-2"/>
                  <c:y val="-3.33750477631096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AE-4F42-9588-DC328ADAE614}"/>
                </c:ext>
              </c:extLst>
            </c:dLbl>
            <c:dLbl>
              <c:idx val="5"/>
              <c:delete val="1"/>
              <c:extLst>
                <c:ext xmlns:c15="http://schemas.microsoft.com/office/drawing/2012/chart" uri="{CE6537A1-D6FC-4f65-9D91-7224C49458BB}"/>
                <c:ext xmlns:c16="http://schemas.microsoft.com/office/drawing/2014/chart" uri="{C3380CC4-5D6E-409C-BE32-E72D297353CC}">
                  <c16:uniqueId val="{00000005-E0AE-4F42-9588-DC328ADAE61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'1'!$A$15:$A$20</c:f>
              <c:strCache>
                <c:ptCount val="6"/>
                <c:pt idx="0">
                  <c:v>ΒΙΩΣΙΜΗ ΑΓΡΟΤΙΚΗ ΑΝΑΠΤΥΞΗ</c:v>
                </c:pt>
                <c:pt idx="1">
                  <c:v>ΦΥΤΙΚΗ ΚΑΙ ΖΩΙΚΗ ΠΑΡΑΓΩΓΗ</c:v>
                </c:pt>
                <c:pt idx="2">
                  <c:v>ΚΤΗΝΙΑΤΡΙΚΗ</c:v>
                </c:pt>
                <c:pt idx="3">
                  <c:v>ΑΛΙΕΙΑ</c:v>
                </c:pt>
                <c:pt idx="4">
                  <c:v>ΤΡΟΦΙΜΑ</c:v>
                </c:pt>
                <c:pt idx="5">
                  <c:v>ΕΠΙΤΕΛΙΚΟΣ ΣΥΝΤΟΝΙΣΜΟΣ ΚΑΙ ΕΠΕΝΔΥΣΕΙΣ ΥΠΟΥΡΓΕΙΟΥ ΑΓΡΟΤΙΚΗΣ ΑΝΑΠΤΥΞΗΣ ΚΑΙ ΤΡΟΦΙΜΩΝ</c:v>
                </c:pt>
              </c:strCache>
            </c:strRef>
          </c:cat>
          <c:val>
            <c:numRef>
              <c:f>'1'!$C$15:$C$20</c:f>
              <c:numCache>
                <c:formatCode>#,##0\ "€"</c:formatCode>
                <c:ptCount val="6"/>
                <c:pt idx="0">
                  <c:v>207719830.97</c:v>
                </c:pt>
                <c:pt idx="1">
                  <c:v>307792226.99000001</c:v>
                </c:pt>
                <c:pt idx="2">
                  <c:v>3841684</c:v>
                </c:pt>
                <c:pt idx="3">
                  <c:v>249460</c:v>
                </c:pt>
                <c:pt idx="4">
                  <c:v>20619986.309999999</c:v>
                </c:pt>
              </c:numCache>
            </c:numRef>
          </c:val>
          <c:extLst>
            <c:ext xmlns:c16="http://schemas.microsoft.com/office/drawing/2014/chart" uri="{C3380CC4-5D6E-409C-BE32-E72D297353CC}">
              <c16:uniqueId val="{00000006-E0AE-4F42-9588-DC328ADAE614}"/>
            </c:ext>
          </c:extLst>
        </c:ser>
        <c:dLbls>
          <c:showLegendKey val="0"/>
          <c:showVal val="0"/>
          <c:showCatName val="0"/>
          <c:showSerName val="0"/>
          <c:showPercent val="0"/>
          <c:showBubbleSize val="0"/>
        </c:dLbls>
        <c:gapWidth val="57"/>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412883642107045E-2"/>
          <c:y val="0.13524462319907854"/>
          <c:w val="0.96658711635789307"/>
          <c:h val="0.86383806340754166"/>
        </c:manualLayout>
      </c:layout>
      <c:pie3DChart>
        <c:varyColors val="1"/>
        <c:ser>
          <c:idx val="0"/>
          <c:order val="0"/>
          <c:tx>
            <c:strRef>
              <c:f>'1'!$B$24:$B$25</c:f>
              <c:strCache>
                <c:ptCount val="2"/>
                <c:pt idx="0">
                  <c:v>Ανθρώπινοι Πόροι ανά Πρόγραμμα </c:v>
                </c:pt>
                <c:pt idx="1">
                  <c:v>ΠΡΟΣΩΠΙΚΟ 2026</c:v>
                </c:pt>
              </c:strCache>
            </c:strRef>
          </c:tx>
          <c:dPt>
            <c:idx val="0"/>
            <c:bubble3D val="0"/>
            <c:explosion val="10"/>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B94B-456C-B43D-13F4982997C3}"/>
              </c:ext>
            </c:extLst>
          </c:dPt>
          <c:dPt>
            <c:idx val="1"/>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B94B-456C-B43D-13F4982997C3}"/>
              </c:ext>
            </c:extLst>
          </c:dPt>
          <c:dPt>
            <c:idx val="2"/>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B94B-456C-B43D-13F4982997C3}"/>
              </c:ext>
            </c:extLst>
          </c:dPt>
          <c:dPt>
            <c:idx val="3"/>
            <c:bubble3D val="0"/>
            <c:explosion val="16"/>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7-B94B-456C-B43D-13F4982997C3}"/>
              </c:ext>
            </c:extLst>
          </c:dPt>
          <c:dPt>
            <c:idx val="4"/>
            <c:bubble3D val="0"/>
            <c:spPr>
              <a:gradFill rotWithShape="1">
                <a:gsLst>
                  <a:gs pos="0">
                    <a:schemeClr val="accent1">
                      <a:tint val="70000"/>
                      <a:satMod val="103000"/>
                      <a:lumMod val="102000"/>
                      <a:tint val="94000"/>
                    </a:schemeClr>
                  </a:gs>
                  <a:gs pos="50000">
                    <a:schemeClr val="accent1">
                      <a:tint val="70000"/>
                      <a:satMod val="110000"/>
                      <a:lumMod val="100000"/>
                      <a:shade val="100000"/>
                    </a:schemeClr>
                  </a:gs>
                  <a:gs pos="100000">
                    <a:schemeClr val="accent1">
                      <a:tint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9-B94B-456C-B43D-13F4982997C3}"/>
              </c:ext>
            </c:extLst>
          </c:dPt>
          <c:dPt>
            <c:idx val="5"/>
            <c:bubble3D val="0"/>
            <c:explosion val="7"/>
            <c:spPr>
              <a:gradFill rotWithShape="1">
                <a:gsLst>
                  <a:gs pos="0">
                    <a:schemeClr val="accent1">
                      <a:tint val="50000"/>
                      <a:satMod val="103000"/>
                      <a:lumMod val="102000"/>
                      <a:tint val="94000"/>
                    </a:schemeClr>
                  </a:gs>
                  <a:gs pos="50000">
                    <a:schemeClr val="accent1">
                      <a:tint val="50000"/>
                      <a:satMod val="110000"/>
                      <a:lumMod val="100000"/>
                      <a:shade val="100000"/>
                    </a:schemeClr>
                  </a:gs>
                  <a:gs pos="100000">
                    <a:schemeClr val="accent1">
                      <a:tint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B-B94B-456C-B43D-13F4982997C3}"/>
              </c:ext>
            </c:extLst>
          </c:dPt>
          <c:dLbls>
            <c:dLbl>
              <c:idx val="0"/>
              <c:layout>
                <c:manualLayout>
                  <c:x val="0.1464598589832482"/>
                  <c:y val="-6.02597048487491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B94B-456C-B43D-13F4982997C3}"/>
                </c:ext>
              </c:extLst>
            </c:dLbl>
            <c:dLbl>
              <c:idx val="1"/>
              <c:layout>
                <c:manualLayout>
                  <c:x val="-0.15495497278798132"/>
                  <c:y val="-4.7961630695445403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94B-456C-B43D-13F4982997C3}"/>
                </c:ext>
              </c:extLst>
            </c:dLbl>
            <c:dLbl>
              <c:idx val="2"/>
              <c:layout>
                <c:manualLayout>
                  <c:x val="-9.3374163785270053E-2"/>
                  <c:y val="0.1291969259238277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B94B-456C-B43D-13F4982997C3}"/>
                </c:ext>
              </c:extLst>
            </c:dLbl>
            <c:dLbl>
              <c:idx val="3"/>
              <c:layout>
                <c:manualLayout>
                  <c:x val="-9.2653412680684222E-2"/>
                  <c:y val="-6.0325912498348216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B94B-456C-B43D-13F4982997C3}"/>
                </c:ext>
              </c:extLst>
            </c:dLbl>
            <c:dLbl>
              <c:idx val="4"/>
              <c:layout>
                <c:manualLayout>
                  <c:x val="-0.15217839598363858"/>
                  <c:y val="-0.1927275817141562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B94B-456C-B43D-13F4982997C3}"/>
                </c:ext>
              </c:extLst>
            </c:dLbl>
            <c:dLbl>
              <c:idx val="5"/>
              <c:layout>
                <c:manualLayout>
                  <c:x val="0.18726527702309897"/>
                  <c:y val="-4.228234907996332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43888913003845847"/>
                      <c:h val="0.14905614233845932"/>
                    </c:manualLayout>
                  </c15:layout>
                </c:ext>
                <c:ext xmlns:c16="http://schemas.microsoft.com/office/drawing/2014/chart" uri="{C3380CC4-5D6E-409C-BE32-E72D297353CC}">
                  <c16:uniqueId val="{0000000B-B94B-456C-B43D-13F4982997C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'1'!$A$26:$A$31</c:f>
              <c:strCache>
                <c:ptCount val="6"/>
                <c:pt idx="0">
                  <c:v>ΒΙΩΣΙΜΗ ΑΓΡΟΤΙΚΗ ΑΝΑΠΤΥΞΗ</c:v>
                </c:pt>
                <c:pt idx="1">
                  <c:v>ΦΥΤΙΚΗ ΚΑΙ ΖΩΙΚΗ ΠΑΡΑΓΩΓΗ</c:v>
                </c:pt>
                <c:pt idx="2">
                  <c:v>ΚΤΗΝΙΑΤΡΙΚΗ</c:v>
                </c:pt>
                <c:pt idx="3">
                  <c:v>ΑΛΙΕΙΑ</c:v>
                </c:pt>
                <c:pt idx="4">
                  <c:v>ΤΡΟΦΙΜΑ</c:v>
                </c:pt>
                <c:pt idx="5">
                  <c:v>ΕΠΙΤΕΛΙΚΟΣ ΣΥΝΤΟΝΙΣΜΟΣ ΚΑΙ ΕΠΕΝΔΥΣΕΙΣ ΥΠΟΥΡΓΕΙΟΥ ΑΓΡΟΤΙΚΗΣ ΑΝΑΠΤΥΞΗΣ ΚΑΙ ΤΡΟΦΙΜΩΝ</c:v>
                </c:pt>
              </c:strCache>
            </c:strRef>
          </c:cat>
          <c:val>
            <c:numRef>
              <c:f>'1'!$B$26:$B$31</c:f>
              <c:numCache>
                <c:formatCode>_-* #,##0\ _€_-;\-* #,##0\ _€_-;_-* "-"??\ _€_-;_-@_-</c:formatCode>
                <c:ptCount val="6"/>
                <c:pt idx="0">
                  <c:v>1446</c:v>
                </c:pt>
                <c:pt idx="1">
                  <c:v>1380</c:v>
                </c:pt>
                <c:pt idx="2">
                  <c:v>245</c:v>
                </c:pt>
                <c:pt idx="3">
                  <c:v>84</c:v>
                </c:pt>
                <c:pt idx="4">
                  <c:v>498</c:v>
                </c:pt>
                <c:pt idx="5">
                  <c:v>254</c:v>
                </c:pt>
              </c:numCache>
            </c:numRef>
          </c:val>
          <c:extLst>
            <c:ext xmlns:c16="http://schemas.microsoft.com/office/drawing/2014/chart" uri="{C3380CC4-5D6E-409C-BE32-E72D297353CC}">
              <c16:uniqueId val="{0000000C-B94B-456C-B43D-13F4982997C3}"/>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12422713257100283"/>
          <c:w val="0.92487045343959884"/>
          <c:h val="0.82982268128297332"/>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E158-4D9A-9A56-268AC1F4357B}"/>
              </c:ext>
            </c:extLst>
          </c:dPt>
          <c:dPt>
            <c:idx val="1"/>
            <c:bubble3D val="0"/>
            <c:explosion val="1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3-E158-4D9A-9A56-268AC1F4357B}"/>
              </c:ext>
            </c:extLst>
          </c:dPt>
          <c:dPt>
            <c:idx val="2"/>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5-E158-4D9A-9A56-268AC1F4357B}"/>
              </c:ext>
            </c:extLst>
          </c:dPt>
          <c:dPt>
            <c:idx val="3"/>
            <c:bubble3D val="0"/>
            <c:explosion val="7"/>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7-E158-4D9A-9A56-268AC1F4357B}"/>
              </c:ext>
            </c:extLst>
          </c:dPt>
          <c:dPt>
            <c:idx val="4"/>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9-E158-4D9A-9A56-268AC1F4357B}"/>
              </c:ext>
            </c:extLst>
          </c:dPt>
          <c:dLbls>
            <c:dLbl>
              <c:idx val="2"/>
              <c:layout>
                <c:manualLayout>
                  <c:x val="9.3841361846007415E-2"/>
                  <c:y val="0.3090922790132692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158-4D9A-9A56-268AC1F4357B}"/>
                </c:ext>
              </c:extLst>
            </c:dLbl>
            <c:dLbl>
              <c:idx val="3"/>
              <c:layout>
                <c:manualLayout>
                  <c:x val="0.12578493317563991"/>
                  <c:y val="-9.714627092182623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E158-4D9A-9A56-268AC1F4357B}"/>
                </c:ext>
              </c:extLst>
            </c:dLbl>
            <c:dLbl>
              <c:idx val="4"/>
              <c:layout>
                <c:manualLayout>
                  <c:x val="-0.25904986166309724"/>
                  <c:y val="-0.130127812365419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158-4D9A-9A56-268AC1F4357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'1'!$A$4:$A$8</c:f>
              <c:strCache>
                <c:ptCount val="5"/>
                <c:pt idx="0">
                  <c:v>ΡΥΘΜΙΣΗ, ΈΛΕΓΧΟΣ ΚΑΙ ΕΠΟΠΤΕΙΑ ΑΓΟΡΩΝ ΑΠΟΒΛΗΤΩΝ, ΕΝΕΡΓΕΙΑΣ ΚΑΙ ΥΔΑΤΩΝ</c:v>
                </c:pt>
                <c:pt idx="1">
                  <c:v>ΕΠΙΤΕΛΙΚΟΣ ΣΥΝΤΟΝΙΣΜΟΣ ΚΑΙ ΕΠΕΝΔΥΣΕΙΣ ΥΠΟΥΡΓΕΙΟΥ ΠΕΡΙΒΑΛΛΟΝΤΟΣ ΚΑΙ ΕΝΕΡΓΕΙΑΣ</c:v>
                </c:pt>
                <c:pt idx="2">
                  <c:v>ΠΡΟΣΤΑΣΙΑ ΦΥΣΙΚΟΥ ΠΕΡΙΒΑΛΛΟΝΤΟΣ ΚΑΙ ΥΔΑΤΩΝ ΒΑΣΕΙ ΒΙΩΣΙΜΗΣ ΑΝΑΠΤΥΞΗΣ</c:v>
                </c:pt>
                <c:pt idx="3">
                  <c:v>ΧΩΡΟΤΑΞΙΚΟΣ ΣΧΕΔΙΑΣΜΟΣ ΚΑΙ ΑΣΤΙΚΟ ΠΕΡΙΒΑΛΛΟΝ</c:v>
                </c:pt>
                <c:pt idx="4">
                  <c:v>ΔΙΑΧΕΙΡΙΣΗ ΕΝΕΡΓΕΙΑΣ ΚΑΙ ΟΡΥΚΤΩΝ ΠΡΩΤΩΝ ΥΛΩΝ</c:v>
                </c:pt>
              </c:strCache>
            </c:strRef>
          </c:cat>
          <c:val>
            <c:numRef>
              <c:f>'1'!$B$4:$B$8</c:f>
              <c:numCache>
                <c:formatCode>#,##0\ "€"</c:formatCode>
                <c:ptCount val="5"/>
                <c:pt idx="1">
                  <c:v>16014940</c:v>
                </c:pt>
                <c:pt idx="2">
                  <c:v>924297966</c:v>
                </c:pt>
                <c:pt idx="3">
                  <c:v>784371404</c:v>
                </c:pt>
                <c:pt idx="4">
                  <c:v>1408767690</c:v>
                </c:pt>
              </c:numCache>
            </c:numRef>
          </c:val>
          <c:extLst>
            <c:ext xmlns:c16="http://schemas.microsoft.com/office/drawing/2014/chart" uri="{C3380CC4-5D6E-409C-BE32-E72D297353CC}">
              <c16:uniqueId val="{0000000A-E158-4D9A-9A56-268AC1F4357B}"/>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837892507097036E-2"/>
          <c:y val="1.7137847907078677E-2"/>
          <c:w val="0.62635616248079251"/>
          <c:h val="0.73003683451201151"/>
        </c:manualLayout>
      </c:layout>
      <c:barChart>
        <c:barDir val="col"/>
        <c:grouping val="stacked"/>
        <c:varyColors val="0"/>
        <c:ser>
          <c:idx val="0"/>
          <c:order val="0"/>
          <c:tx>
            <c:strRef>
              <c:f>'1.4 ΑΠΑ κλαδοι ΣΤΑΘΕΡΕΣ '!$A$7</c:f>
              <c:strCache>
                <c:ptCount val="1"/>
                <c:pt idx="0">
                  <c:v>Πρωτογενής τομέας</c:v>
                </c:pt>
              </c:strCache>
            </c:strRef>
          </c:tx>
          <c:spPr>
            <a:solidFill>
              <a:schemeClr val="accent1">
                <a:lumMod val="50000"/>
              </a:schemeClr>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'!$B$7:$AE$7</c:f>
              <c:numCache>
                <c:formatCode>0.0</c:formatCode>
                <c:ptCount val="14"/>
                <c:pt idx="0">
                  <c:v>1812.6590275344083</c:v>
                </c:pt>
                <c:pt idx="1">
                  <c:v>1929.2198875306401</c:v>
                </c:pt>
                <c:pt idx="2">
                  <c:v>1971.726312623071</c:v>
                </c:pt>
                <c:pt idx="3">
                  <c:v>1697.0321401841259</c:v>
                </c:pt>
                <c:pt idx="4">
                  <c:v>1516.8472166677609</c:v>
                </c:pt>
                <c:pt idx="5">
                  <c:v>1373.4043370805853</c:v>
                </c:pt>
                <c:pt idx="6">
                  <c:v>1264.5175725809097</c:v>
                </c:pt>
                <c:pt idx="7">
                  <c:v>1266.8448989691817</c:v>
                </c:pt>
                <c:pt idx="8">
                  <c:v>1334.6758446102747</c:v>
                </c:pt>
                <c:pt idx="9">
                  <c:v>1319.9968269770702</c:v>
                </c:pt>
                <c:pt idx="10">
                  <c:v>1275.3403694773317</c:v>
                </c:pt>
                <c:pt idx="11">
                  <c:v>1389.8577502101898</c:v>
                </c:pt>
                <c:pt idx="12">
                  <c:v>1452.1663605532481</c:v>
                </c:pt>
                <c:pt idx="13">
                  <c:v>1393.1198542479499</c:v>
                </c:pt>
              </c:numCache>
            </c:numRef>
          </c:val>
          <c:extLst>
            <c:ext xmlns:c16="http://schemas.microsoft.com/office/drawing/2014/chart" uri="{C3380CC4-5D6E-409C-BE32-E72D297353CC}">
              <c16:uniqueId val="{00000000-FC90-4B35-B618-23498169E24E}"/>
            </c:ext>
          </c:extLst>
        </c:ser>
        <c:ser>
          <c:idx val="2"/>
          <c:order val="1"/>
          <c:tx>
            <c:strRef>
              <c:f>'1.4 ΑΠΑ κλαδοι ΣΤΑΘΕΡΕΣ '!$A$9</c:f>
              <c:strCache>
                <c:ptCount val="1"/>
                <c:pt idx="0">
                  <c:v>Βιομηχανία συμπεριλαμβανομένης της ενέργειας</c:v>
                </c:pt>
              </c:strCache>
            </c:strRef>
          </c:tx>
          <c:spPr>
            <a:solidFill>
              <a:schemeClr val="bg1">
                <a:lumMod val="85000"/>
              </a:schemeClr>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'!$B$9:$AE$9</c:f>
              <c:numCache>
                <c:formatCode>0</c:formatCode>
                <c:ptCount val="14"/>
                <c:pt idx="0">
                  <c:v>6118.2351812672659</c:v>
                </c:pt>
                <c:pt idx="1">
                  <c:v>6168.390420184227</c:v>
                </c:pt>
                <c:pt idx="2">
                  <c:v>6135.3802313789274</c:v>
                </c:pt>
                <c:pt idx="3">
                  <c:v>5952.2438795598691</c:v>
                </c:pt>
                <c:pt idx="4">
                  <c:v>6224.8492446652663</c:v>
                </c:pt>
                <c:pt idx="5">
                  <c:v>6139.9923561159349</c:v>
                </c:pt>
                <c:pt idx="6">
                  <c:v>6419.5404764777404</c:v>
                </c:pt>
                <c:pt idx="7">
                  <c:v>6524.7207239813542</c:v>
                </c:pt>
                <c:pt idx="8">
                  <c:v>6583.8210102414414</c:v>
                </c:pt>
                <c:pt idx="9">
                  <c:v>6838.1805640992588</c:v>
                </c:pt>
                <c:pt idx="10">
                  <c:v>6723.2633270121214</c:v>
                </c:pt>
                <c:pt idx="11">
                  <c:v>6782.0431818818906</c:v>
                </c:pt>
                <c:pt idx="12">
                  <c:v>6816.5684351084874</c:v>
                </c:pt>
                <c:pt idx="13">
                  <c:v>6832.5646444836502</c:v>
                </c:pt>
              </c:numCache>
            </c:numRef>
          </c:val>
          <c:extLst>
            <c:ext xmlns:c16="http://schemas.microsoft.com/office/drawing/2014/chart" uri="{C3380CC4-5D6E-409C-BE32-E72D297353CC}">
              <c16:uniqueId val="{00000001-FC90-4B35-B618-23498169E24E}"/>
            </c:ext>
          </c:extLst>
        </c:ser>
        <c:ser>
          <c:idx val="3"/>
          <c:order val="2"/>
          <c:tx>
            <c:strRef>
              <c:f>'1.4 ΑΠΑ κλαδοι ΣΤΑΘΕΡΕΣ '!$A$10</c:f>
              <c:strCache>
                <c:ptCount val="1"/>
                <c:pt idx="0">
                  <c:v>Κατασκευές</c:v>
                </c:pt>
              </c:strCache>
            </c:strRef>
          </c:tx>
          <c:spPr>
            <a:solidFill>
              <a:schemeClr val="accent4"/>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'!$B$10:$AE$10</c:f>
              <c:numCache>
                <c:formatCode>0</c:formatCode>
                <c:ptCount val="14"/>
                <c:pt idx="0">
                  <c:v>928.0438168124299</c:v>
                </c:pt>
                <c:pt idx="1">
                  <c:v>726.64547165150486</c:v>
                </c:pt>
                <c:pt idx="2">
                  <c:v>740.85929608013794</c:v>
                </c:pt>
                <c:pt idx="3">
                  <c:v>788.28811603807469</c:v>
                </c:pt>
                <c:pt idx="4">
                  <c:v>840.93197148389106</c:v>
                </c:pt>
                <c:pt idx="5">
                  <c:v>892.02406014229393</c:v>
                </c:pt>
                <c:pt idx="6">
                  <c:v>885.4851376028638</c:v>
                </c:pt>
                <c:pt idx="7">
                  <c:v>888.31009406385897</c:v>
                </c:pt>
                <c:pt idx="8">
                  <c:v>877.68034286621969</c:v>
                </c:pt>
                <c:pt idx="9">
                  <c:v>857.97447454390476</c:v>
                </c:pt>
                <c:pt idx="10">
                  <c:v>912.55109026569755</c:v>
                </c:pt>
                <c:pt idx="11">
                  <c:v>977.11516429571429</c:v>
                </c:pt>
                <c:pt idx="12">
                  <c:v>797.99069183877214</c:v>
                </c:pt>
                <c:pt idx="13">
                  <c:v>952.6665518322734</c:v>
                </c:pt>
              </c:numCache>
            </c:numRef>
          </c:val>
          <c:extLst>
            <c:ext xmlns:c16="http://schemas.microsoft.com/office/drawing/2014/chart" uri="{C3380CC4-5D6E-409C-BE32-E72D297353CC}">
              <c16:uniqueId val="{00000002-FC90-4B35-B618-23498169E24E}"/>
            </c:ext>
          </c:extLst>
        </c:ser>
        <c:ser>
          <c:idx val="5"/>
          <c:order val="3"/>
          <c:tx>
            <c:strRef>
              <c:f>'1.4 ΑΠΑ κλαδοι ΣΤΑΘΕΡΕΣ '!$A$12</c:f>
              <c:strCache>
                <c:ptCount val="1"/>
                <c:pt idx="0">
                  <c:v>Εμπόριο, ξενοδοχεία και εστιατόρια, μεταφορές και επικοινωνίες</c:v>
                </c:pt>
              </c:strCache>
            </c:strRef>
          </c:tx>
          <c:spPr>
            <a:solidFill>
              <a:schemeClr val="bg1">
                <a:lumMod val="65000"/>
              </a:schemeClr>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'!$B$12:$AE$12</c:f>
              <c:numCache>
                <c:formatCode>0</c:formatCode>
                <c:ptCount val="14"/>
                <c:pt idx="0">
                  <c:v>9540.2887498971468</c:v>
                </c:pt>
                <c:pt idx="1">
                  <c:v>10031.288376537224</c:v>
                </c:pt>
                <c:pt idx="2">
                  <c:v>9949.5984881430049</c:v>
                </c:pt>
                <c:pt idx="3">
                  <c:v>10014.398654517372</c:v>
                </c:pt>
                <c:pt idx="4">
                  <c:v>10154.08726751581</c:v>
                </c:pt>
                <c:pt idx="5">
                  <c:v>10073.964372807537</c:v>
                </c:pt>
                <c:pt idx="6">
                  <c:v>10060.036418509411</c:v>
                </c:pt>
                <c:pt idx="7">
                  <c:v>10046.884892372271</c:v>
                </c:pt>
                <c:pt idx="8">
                  <c:v>10104.375706949559</c:v>
                </c:pt>
                <c:pt idx="9">
                  <c:v>10230.027557468035</c:v>
                </c:pt>
                <c:pt idx="10" formatCode="General">
                  <c:v>10239.864479805747</c:v>
                </c:pt>
                <c:pt idx="11" formatCode="General">
                  <c:v>10226.00299263269</c:v>
                </c:pt>
                <c:pt idx="12" formatCode="General">
                  <c:v>10280.595443139826</c:v>
                </c:pt>
                <c:pt idx="13" formatCode="General">
                  <c:v>10419.138542219906</c:v>
                </c:pt>
              </c:numCache>
            </c:numRef>
          </c:val>
          <c:extLst>
            <c:ext xmlns:c16="http://schemas.microsoft.com/office/drawing/2014/chart" uri="{C3380CC4-5D6E-409C-BE32-E72D297353CC}">
              <c16:uniqueId val="{00000003-FC90-4B35-B618-23498169E24E}"/>
            </c:ext>
          </c:extLst>
        </c:ser>
        <c:ser>
          <c:idx val="6"/>
          <c:order val="4"/>
          <c:tx>
            <c:strRef>
              <c:f>'1.4 ΑΠΑ κλαδοι ΣΤΑΘΕΡΕΣ '!$A$13</c:f>
              <c:strCache>
                <c:ptCount val="1"/>
                <c:pt idx="0">
                  <c:v>Ενημέρωση και επικοινωνία</c:v>
                </c:pt>
              </c:strCache>
            </c:strRef>
          </c:tx>
          <c:spPr>
            <a:solidFill>
              <a:schemeClr val="tx2">
                <a:lumMod val="40000"/>
                <a:lumOff val="60000"/>
              </a:schemeClr>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'!$B$13:$AE$13</c:f>
              <c:numCache>
                <c:formatCode>0</c:formatCode>
                <c:ptCount val="14"/>
                <c:pt idx="0">
                  <c:v>1581.8113166242229</c:v>
                </c:pt>
                <c:pt idx="1">
                  <c:v>1633.5770039293336</c:v>
                </c:pt>
                <c:pt idx="2">
                  <c:v>1717.3144483642805</c:v>
                </c:pt>
                <c:pt idx="3">
                  <c:v>1731.4145114837697</c:v>
                </c:pt>
                <c:pt idx="4">
                  <c:v>1722.4397004421794</c:v>
                </c:pt>
                <c:pt idx="5">
                  <c:v>1751.3524347315954</c:v>
                </c:pt>
                <c:pt idx="6">
                  <c:v>1738.889718873012</c:v>
                </c:pt>
                <c:pt idx="7">
                  <c:v>1794.0053162708393</c:v>
                </c:pt>
                <c:pt idx="8">
                  <c:v>1817.7274878653593</c:v>
                </c:pt>
                <c:pt idx="9">
                  <c:v>1814.0812373110887</c:v>
                </c:pt>
                <c:pt idx="10" formatCode="General">
                  <c:v>1794.3601084724473</c:v>
                </c:pt>
                <c:pt idx="11" formatCode="General">
                  <c:v>1814.7736323053978</c:v>
                </c:pt>
                <c:pt idx="12" formatCode="General">
                  <c:v>1806.7162970017005</c:v>
                </c:pt>
                <c:pt idx="13" formatCode="General">
                  <c:v>1837.0771476609621</c:v>
                </c:pt>
              </c:numCache>
            </c:numRef>
          </c:val>
          <c:extLst>
            <c:ext xmlns:c16="http://schemas.microsoft.com/office/drawing/2014/chart" uri="{C3380CC4-5D6E-409C-BE32-E72D297353CC}">
              <c16:uniqueId val="{00000004-FC90-4B35-B618-23498169E24E}"/>
            </c:ext>
          </c:extLst>
        </c:ser>
        <c:ser>
          <c:idx val="7"/>
          <c:order val="5"/>
          <c:tx>
            <c:strRef>
              <c:f>'1.4 ΑΠΑ κλαδοι ΣΤΑΘΕΡΕΣ '!$A$14</c:f>
              <c:strCache>
                <c:ptCount val="1"/>
                <c:pt idx="0">
                  <c:v>Χρηματοπιστωτικές και ασφαλιστικές δραστηριότητες</c:v>
                </c:pt>
              </c:strCache>
            </c:strRef>
          </c:tx>
          <c:spPr>
            <a:solidFill>
              <a:srgbClr val="0070C0"/>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'!$B$14:$AE$14</c:f>
              <c:numCache>
                <c:formatCode>0</c:formatCode>
                <c:ptCount val="14"/>
                <c:pt idx="0">
                  <c:v>1972.5326721495726</c:v>
                </c:pt>
                <c:pt idx="1">
                  <c:v>1970.4623709280893</c:v>
                </c:pt>
                <c:pt idx="2">
                  <c:v>2042.262890543725</c:v>
                </c:pt>
                <c:pt idx="3">
                  <c:v>2178.034911300354</c:v>
                </c:pt>
                <c:pt idx="4">
                  <c:v>2108.0684857467463</c:v>
                </c:pt>
                <c:pt idx="5">
                  <c:v>2158.184060879712</c:v>
                </c:pt>
                <c:pt idx="6">
                  <c:v>2149.1241948669062</c:v>
                </c:pt>
                <c:pt idx="7">
                  <c:v>2158.0166464622698</c:v>
                </c:pt>
                <c:pt idx="8">
                  <c:v>2172.276947108588</c:v>
                </c:pt>
                <c:pt idx="9">
                  <c:v>2177.3245598410817</c:v>
                </c:pt>
                <c:pt idx="10" formatCode="General">
                  <c:v>2208.6325812060859</c:v>
                </c:pt>
                <c:pt idx="11" formatCode="General">
                  <c:v>2237.1701198115279</c:v>
                </c:pt>
                <c:pt idx="12" formatCode="General">
                  <c:v>2259.5441472713501</c:v>
                </c:pt>
                <c:pt idx="13" formatCode="General">
                  <c:v>2290.7765109833249</c:v>
                </c:pt>
              </c:numCache>
            </c:numRef>
          </c:val>
          <c:extLst>
            <c:ext xmlns:c16="http://schemas.microsoft.com/office/drawing/2014/chart" uri="{C3380CC4-5D6E-409C-BE32-E72D297353CC}">
              <c16:uniqueId val="{00000005-FC90-4B35-B618-23498169E24E}"/>
            </c:ext>
          </c:extLst>
        </c:ser>
        <c:ser>
          <c:idx val="8"/>
          <c:order val="6"/>
          <c:tx>
            <c:strRef>
              <c:f>'1.4 ΑΠΑ κλαδοι ΣΤΑΘΕΡΕΣ '!$A$15</c:f>
              <c:strCache>
                <c:ptCount val="1"/>
                <c:pt idx="0">
                  <c:v>Δραστηριότητες σχετικές με την ακίνητη περιουσία</c:v>
                </c:pt>
              </c:strCache>
            </c:strRef>
          </c:tx>
          <c:spPr>
            <a:solidFill>
              <a:schemeClr val="accent1">
                <a:lumMod val="75000"/>
              </a:schemeClr>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'!$B$15:$AE$15</c:f>
              <c:numCache>
                <c:formatCode>0</c:formatCode>
                <c:ptCount val="14"/>
                <c:pt idx="0">
                  <c:v>7225.3314800295675</c:v>
                </c:pt>
                <c:pt idx="1">
                  <c:v>7242.6961241772815</c:v>
                </c:pt>
                <c:pt idx="2">
                  <c:v>7299.8775328379161</c:v>
                </c:pt>
                <c:pt idx="3">
                  <c:v>7397.4752974469011</c:v>
                </c:pt>
                <c:pt idx="4">
                  <c:v>7532.5301104142181</c:v>
                </c:pt>
                <c:pt idx="5">
                  <c:v>7639.7153194488346</c:v>
                </c:pt>
                <c:pt idx="6">
                  <c:v>7714.2965721911396</c:v>
                </c:pt>
                <c:pt idx="7">
                  <c:v>7755.9376671952514</c:v>
                </c:pt>
                <c:pt idx="8">
                  <c:v>7562.722116400395</c:v>
                </c:pt>
                <c:pt idx="9">
                  <c:v>7671.2269971531759</c:v>
                </c:pt>
                <c:pt idx="10" formatCode="General">
                  <c:v>7747.1698203233909</c:v>
                </c:pt>
                <c:pt idx="11" formatCode="General">
                  <c:v>7790.0104221817783</c:v>
                </c:pt>
                <c:pt idx="12" formatCode="General">
                  <c:v>7596.6476713602497</c:v>
                </c:pt>
                <c:pt idx="13" formatCode="General">
                  <c:v>7705.8476408435754</c:v>
                </c:pt>
              </c:numCache>
            </c:numRef>
          </c:val>
          <c:extLst>
            <c:ext xmlns:c16="http://schemas.microsoft.com/office/drawing/2014/chart" uri="{C3380CC4-5D6E-409C-BE32-E72D297353CC}">
              <c16:uniqueId val="{00000006-FC90-4B35-B618-23498169E24E}"/>
            </c:ext>
          </c:extLst>
        </c:ser>
        <c:ser>
          <c:idx val="9"/>
          <c:order val="7"/>
          <c:tx>
            <c:strRef>
              <c:f>'1.4 ΑΠΑ κλαδοι ΣΤΑΘΕΡΕΣ '!$A$16</c:f>
              <c:strCache>
                <c:ptCount val="1"/>
                <c:pt idx="0">
                  <c:v>Επαγγελματικές, επιστημονικές και τεχνικές δραστηριότητες</c:v>
                </c:pt>
              </c:strCache>
            </c:strRef>
          </c:tx>
          <c:spPr>
            <a:solidFill>
              <a:schemeClr val="accent4">
                <a:lumMod val="75000"/>
              </a:schemeClr>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'!$B$16:$AE$16</c:f>
              <c:numCache>
                <c:formatCode>0</c:formatCode>
                <c:ptCount val="14"/>
                <c:pt idx="0">
                  <c:v>2497.2290852664123</c:v>
                </c:pt>
                <c:pt idx="1">
                  <c:v>2560.0461873124445</c:v>
                </c:pt>
                <c:pt idx="2">
                  <c:v>2658.6166902859763</c:v>
                </c:pt>
                <c:pt idx="3">
                  <c:v>2775.765980896233</c:v>
                </c:pt>
                <c:pt idx="4">
                  <c:v>2829.799414259176</c:v>
                </c:pt>
                <c:pt idx="5">
                  <c:v>2849.0676403795469</c:v>
                </c:pt>
                <c:pt idx="6">
                  <c:v>2762.5359600756387</c:v>
                </c:pt>
                <c:pt idx="7">
                  <c:v>2907.8178415369171</c:v>
                </c:pt>
                <c:pt idx="8">
                  <c:v>2852.3280539017651</c:v>
                </c:pt>
                <c:pt idx="9">
                  <c:v>2842.2783461823069</c:v>
                </c:pt>
                <c:pt idx="10" formatCode="General">
                  <c:v>2945.9914424488975</c:v>
                </c:pt>
                <c:pt idx="11" formatCode="General">
                  <c:v>2908.9532645838376</c:v>
                </c:pt>
                <c:pt idx="12" formatCode="General">
                  <c:v>2930.8758722146208</c:v>
                </c:pt>
                <c:pt idx="13" formatCode="General">
                  <c:v>3002.8627111720684</c:v>
                </c:pt>
              </c:numCache>
            </c:numRef>
          </c:val>
          <c:extLst>
            <c:ext xmlns:c16="http://schemas.microsoft.com/office/drawing/2014/chart" uri="{C3380CC4-5D6E-409C-BE32-E72D297353CC}">
              <c16:uniqueId val="{00000007-FC90-4B35-B618-23498169E24E}"/>
            </c:ext>
          </c:extLst>
        </c:ser>
        <c:ser>
          <c:idx val="10"/>
          <c:order val="8"/>
          <c:tx>
            <c:strRef>
              <c:f>'1.4 ΑΠΑ κλαδοι ΣΤΑΘΕΡΕΣ '!$A$17</c:f>
              <c:strCache>
                <c:ptCount val="1"/>
                <c:pt idx="0">
                  <c:v>Δημόσια διοίκηση και άμυνα</c:v>
                </c:pt>
              </c:strCache>
            </c:strRef>
          </c:tx>
          <c:spPr>
            <a:solidFill>
              <a:schemeClr val="tx2">
                <a:lumMod val="60000"/>
                <a:lumOff val="40000"/>
              </a:schemeClr>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'!$B$17:$AE$17</c:f>
              <c:numCache>
                <c:formatCode>0</c:formatCode>
                <c:ptCount val="14"/>
                <c:pt idx="0">
                  <c:v>7979.8928553827109</c:v>
                </c:pt>
                <c:pt idx="1">
                  <c:v>7955.4804116166206</c:v>
                </c:pt>
                <c:pt idx="2">
                  <c:v>8121.9629397478138</c:v>
                </c:pt>
                <c:pt idx="3">
                  <c:v>8117.5723434674755</c:v>
                </c:pt>
                <c:pt idx="4">
                  <c:v>8163.3744809120581</c:v>
                </c:pt>
                <c:pt idx="5">
                  <c:v>8187.6087045814329</c:v>
                </c:pt>
                <c:pt idx="6">
                  <c:v>8046.2764806199211</c:v>
                </c:pt>
                <c:pt idx="7">
                  <c:v>8096.5818315335882</c:v>
                </c:pt>
                <c:pt idx="8">
                  <c:v>8143.4543201163306</c:v>
                </c:pt>
                <c:pt idx="9">
                  <c:v>8156.0368948153437</c:v>
                </c:pt>
                <c:pt idx="10" formatCode="General">
                  <c:v>7978.4654052189098</c:v>
                </c:pt>
                <c:pt idx="11" formatCode="General">
                  <c:v>8085.5599421112111</c:v>
                </c:pt>
                <c:pt idx="12" formatCode="General">
                  <c:v>7944.4875925695133</c:v>
                </c:pt>
                <c:pt idx="13" formatCode="General">
                  <c:v>7821.5997368926064</c:v>
                </c:pt>
              </c:numCache>
            </c:numRef>
          </c:val>
          <c:extLst>
            <c:ext xmlns:c16="http://schemas.microsoft.com/office/drawing/2014/chart" uri="{C3380CC4-5D6E-409C-BE32-E72D297353CC}">
              <c16:uniqueId val="{00000008-FC90-4B35-B618-23498169E24E}"/>
            </c:ext>
          </c:extLst>
        </c:ser>
        <c:ser>
          <c:idx val="11"/>
          <c:order val="9"/>
          <c:tx>
            <c:strRef>
              <c:f>'1.4 ΑΠΑ κλαδοι ΣΤΑΘΕΡΕΣ '!$A$18</c:f>
              <c:strCache>
                <c:ptCount val="1"/>
                <c:pt idx="0">
                  <c:v>Τέχνες, διασκέδαση και ψυχαγωγία</c:v>
                </c:pt>
              </c:strCache>
            </c:strRef>
          </c:tx>
          <c:spPr>
            <a:solidFill>
              <a:schemeClr val="accent1">
                <a:lumMod val="40000"/>
                <a:lumOff val="60000"/>
              </a:schemeClr>
            </a:solidFill>
            <a:ln>
              <a:noFill/>
            </a:ln>
            <a:effectLst/>
          </c:spPr>
          <c:invertIfNegative val="0"/>
          <c:cat>
            <c:multiLvlStrRef>
              <c:f>'1.4 ΑΠΑ κλαδοι ΣΤΑΘΕΡΕΣ '!$B$5:$AE$6</c:f>
              <c:multiLvlStrCache>
                <c:ptCount val="14"/>
                <c:lvl>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lvl>
                <c:lvl>
                  <c:pt idx="0">
                    <c:v>2022</c:v>
                  </c:pt>
                  <c:pt idx="4">
                    <c:v>2023</c:v>
                  </c:pt>
                  <c:pt idx="8">
                    <c:v>2024</c:v>
                  </c:pt>
                  <c:pt idx="12">
                    <c:v>2025</c:v>
                  </c:pt>
                </c:lvl>
              </c:multiLvlStrCache>
            </c:multiLvlStrRef>
          </c:cat>
          <c:val>
            <c:numRef>
              <c:f>'1.4 ΑΠΑ κλαδοι ΣΤΑΘΕΡΕΣ '!$B$18:$AE$18</c:f>
              <c:numCache>
                <c:formatCode>0</c:formatCode>
                <c:ptCount val="14"/>
                <c:pt idx="0">
                  <c:v>1537.8720482943254</c:v>
                </c:pt>
                <c:pt idx="1">
                  <c:v>1451.1142871439997</c:v>
                </c:pt>
                <c:pt idx="2">
                  <c:v>1482.6237822915029</c:v>
                </c:pt>
                <c:pt idx="3">
                  <c:v>1455.2520317727162</c:v>
                </c:pt>
                <c:pt idx="4">
                  <c:v>1520.6471607973824</c:v>
                </c:pt>
                <c:pt idx="5">
                  <c:v>1536.966555373064</c:v>
                </c:pt>
                <c:pt idx="6">
                  <c:v>1539.4352203923133</c:v>
                </c:pt>
                <c:pt idx="7">
                  <c:v>1575.6096561478562</c:v>
                </c:pt>
                <c:pt idx="8">
                  <c:v>1567.4739809755802</c:v>
                </c:pt>
                <c:pt idx="9">
                  <c:v>1541.1069336393164</c:v>
                </c:pt>
                <c:pt idx="10" formatCode="General">
                  <c:v>1567.4042209383811</c:v>
                </c:pt>
                <c:pt idx="11" formatCode="General">
                  <c:v>1579.6198740888815</c:v>
                </c:pt>
                <c:pt idx="12" formatCode="General">
                  <c:v>1607.8258370066023</c:v>
                </c:pt>
                <c:pt idx="13" formatCode="General">
                  <c:v>1678.2207407749625</c:v>
                </c:pt>
              </c:numCache>
            </c:numRef>
          </c:val>
          <c:extLst>
            <c:ext xmlns:c16="http://schemas.microsoft.com/office/drawing/2014/chart" uri="{C3380CC4-5D6E-409C-BE32-E72D297353CC}">
              <c16:uniqueId val="{00000009-FC90-4B35-B618-23498169E24E}"/>
            </c:ext>
          </c:extLst>
        </c:ser>
        <c:dLbls>
          <c:showLegendKey val="0"/>
          <c:showVal val="0"/>
          <c:showCatName val="0"/>
          <c:showSerName val="0"/>
          <c:showPercent val="0"/>
          <c:showBubbleSize val="0"/>
        </c:dLbls>
        <c:gapWidth val="220"/>
        <c:overlap val="100"/>
        <c:serLines>
          <c:spPr>
            <a:ln w="9525" cap="flat" cmpd="sng" algn="ctr">
              <a:solidFill>
                <a:schemeClr val="tx1">
                  <a:lumMod val="35000"/>
                  <a:lumOff val="65000"/>
                </a:schemeClr>
              </a:solidFill>
              <a:round/>
            </a:ln>
            <a:effectLst/>
          </c:spPr>
        </c:serLines>
        <c:axId val="1881836127"/>
        <c:axId val="1"/>
      </c:barChart>
      <c:catAx>
        <c:axId val="1881836127"/>
        <c:scaling>
          <c:orientation val="minMax"/>
        </c:scaling>
        <c:delete val="0"/>
        <c:axPos val="b"/>
        <c:numFmt formatCode="General" sourceLinked="0"/>
        <c:majorTickMark val="none"/>
        <c:minorTickMark val="none"/>
        <c:tickLblPos val="nextTo"/>
        <c:spPr>
          <a:noFill/>
          <a:ln w="3175" cap="flat" cmpd="sng" algn="ctr">
            <a:solidFill>
              <a:schemeClr val="bg1">
                <a:lumMod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1"/>
        <c:crosses val="autoZero"/>
        <c:auto val="1"/>
        <c:lblAlgn val="ctr"/>
        <c:lblOffset val="1"/>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3175">
            <a:solidFill>
              <a:schemeClr val="bg1">
                <a:lumMod val="85000"/>
              </a:schemeClr>
            </a:solid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1881836127"/>
        <c:crosses val="autoZero"/>
        <c:crossBetween val="between"/>
        <c:majorUnit val="5000"/>
      </c:valAx>
      <c:spPr>
        <a:noFill/>
        <a:ln w="25400">
          <a:noFill/>
        </a:ln>
      </c:spPr>
    </c:plotArea>
    <c:legend>
      <c:legendPos val="r"/>
      <c:layout>
        <c:manualLayout>
          <c:xMode val="edge"/>
          <c:yMode val="edge"/>
          <c:x val="0.70991605101181532"/>
          <c:y val="1.0759451374119954E-3"/>
          <c:w val="0.28787887732335554"/>
          <c:h val="0.99784810972517601"/>
        </c:manualLayout>
      </c:layout>
      <c:overlay val="0"/>
      <c:txPr>
        <a:bodyPr/>
        <a:lstStyle/>
        <a:p>
          <a:pPr>
            <a:defRPr sz="700" kern="100" baseline="0">
              <a:latin typeface="Arial" panose="020B0604020202020204" pitchFamily="34" charset="0"/>
              <a:cs typeface="Arial" panose="020B0604020202020204" pitchFamily="34" charset="0"/>
            </a:defRPr>
          </a:pPr>
          <a:endParaRPr lang="el-GR"/>
        </a:p>
      </c:txPr>
    </c:legend>
    <c:plotVisOnly val="1"/>
    <c:dispBlanksAs val="gap"/>
    <c:showDLblsOverMax val="0"/>
  </c:chart>
  <c:spPr>
    <a:solidFill>
      <a:schemeClr val="bg1"/>
    </a:solidFill>
    <a:ln w="3175" cap="flat" cmpd="sng" algn="ctr">
      <a:solidFill>
        <a:schemeClr val="bg1">
          <a:lumMod val="85000"/>
        </a:schemeClr>
      </a:solidFill>
      <a:round/>
    </a:ln>
    <a:effectLst/>
  </c:spPr>
  <c:txPr>
    <a:bodyPr/>
    <a:lstStyle/>
    <a:p>
      <a:pPr>
        <a:defRPr/>
      </a:pPr>
      <a:endParaRPr lang="el-GR"/>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'1'!$B$13</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653-4A06-A1A0-B02EC1652324}"/>
                </c:ext>
              </c:extLst>
            </c:dLbl>
            <c:dLbl>
              <c:idx val="3"/>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53-4A06-A1A0-B02EC1652324}"/>
                </c:ext>
              </c:extLst>
            </c:dLbl>
            <c:dLbl>
              <c:idx val="4"/>
              <c:layout>
                <c:manualLayout>
                  <c:x val="3.1390130834583189E-2"/>
                  <c:y val="-2.71903884413397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53-4A06-A1A0-B02EC165232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ΡΥΘΜΙΣΗ, ΈΛΕΓΧΟΣ ΚΑΙ ΕΠΟΠΤΕΙΑ ΑΓΟΡΩΝ ΑΠΟΒΛΗΤΩΝ, ΕΝΕΡΓΕΙΑΣ ΚΑΙ ΥΔΑΤΩΝ</c:v>
                </c:pt>
                <c:pt idx="1">
                  <c:v>ΕΠΙΤΕΛΙΚΟΣ ΣΥΝΤΟΝΙΣΜΟΣ ΚΑΙ ΕΠΕΝΔΥΣΕΙΣ ΥΠΟΥΡΓΕΙΟΥ ΠΕΡΙΒΑΛΛΟΝΤΟΣ ΚΑΙ ΕΝΕΡΓΕΙΑΣ</c:v>
                </c:pt>
                <c:pt idx="2">
                  <c:v>ΠΡΟΣΤΑΣΙΑ ΦΥΣΙΚΟΥ ΠΕΡΙΒΑΛΛΟΝΤΟΣ ΚΑΙ ΥΔΑΤΩΝ ΒΑΣΕΙ ΒΙΩΣΙΜΗΣ ΑΝΑΠΤΥΞΗΣ</c:v>
                </c:pt>
                <c:pt idx="3">
                  <c:v>ΧΩΡΟΤΑΞΙΚΟΣ ΣΧΕΔΙΑΣΜΟΣ ΚΑΙ ΑΣΤΙΚΟ ΠΕΡΙΒΑΛΛΟΝ</c:v>
                </c:pt>
                <c:pt idx="4">
                  <c:v>ΔΙΑΧΕΙΡΙΣΗ ΕΝΕΡΓΕΙΑΣ ΚΑΙ ΟΡΥΚΤΩΝ ΠΡΩΤΩΝ ΥΛΩΝ</c:v>
                </c:pt>
              </c:strCache>
            </c:strRef>
          </c:cat>
          <c:val>
            <c:numRef>
              <c:f>'1'!$B$14:$B$18</c:f>
              <c:numCache>
                <c:formatCode>#,##0\ "€"</c:formatCode>
                <c:ptCount val="5"/>
                <c:pt idx="0">
                  <c:v>0</c:v>
                </c:pt>
                <c:pt idx="1">
                  <c:v>15880940</c:v>
                </c:pt>
                <c:pt idx="2">
                  <c:v>1015878316.66</c:v>
                </c:pt>
                <c:pt idx="3">
                  <c:v>892202158.45000005</c:v>
                </c:pt>
                <c:pt idx="4">
                  <c:v>1443206028.1400001</c:v>
                </c:pt>
              </c:numCache>
            </c:numRef>
          </c:val>
          <c:extLst>
            <c:ext xmlns:c16="http://schemas.microsoft.com/office/drawing/2014/chart" uri="{C3380CC4-5D6E-409C-BE32-E72D297353CC}">
              <c16:uniqueId val="{00000003-5653-4A06-A1A0-B02EC1652324}"/>
            </c:ext>
          </c:extLst>
        </c:ser>
        <c:ser>
          <c:idx val="1"/>
          <c:order val="1"/>
          <c:tx>
            <c:strRef>
              <c:f>'1'!$C$13</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5653-4A06-A1A0-B02EC1652324}"/>
                </c:ext>
              </c:extLst>
            </c:dLbl>
            <c:dLbl>
              <c:idx val="3"/>
              <c:layout>
                <c:manualLayout>
                  <c:x val="-1.3452913214821477E-2"/>
                  <c:y val="-5.438077688267948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53-4A06-A1A0-B02EC165232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ΡΥΘΜΙΣΗ, ΈΛΕΓΧΟΣ ΚΑΙ ΕΠΟΠΤΕΙΑ ΑΓΟΡΩΝ ΑΠΟΒΛΗΤΩΝ, ΕΝΕΡΓΕΙΑΣ ΚΑΙ ΥΔΑΤΩΝ</c:v>
                </c:pt>
                <c:pt idx="1">
                  <c:v>ΕΠΙΤΕΛΙΚΟΣ ΣΥΝΤΟΝΙΣΜΟΣ ΚΑΙ ΕΠΕΝΔΥΣΕΙΣ ΥΠΟΥΡΓΕΙΟΥ ΠΕΡΙΒΑΛΛΟΝΤΟΣ ΚΑΙ ΕΝΕΡΓΕΙΑΣ</c:v>
                </c:pt>
                <c:pt idx="2">
                  <c:v>ΠΡΟΣΤΑΣΙΑ ΦΥΣΙΚΟΥ ΠΕΡΙΒΑΛΛΟΝΤΟΣ ΚΑΙ ΥΔΑΤΩΝ ΒΑΣΕΙ ΒΙΩΣΙΜΗΣ ΑΝΑΠΤΥΞΗΣ</c:v>
                </c:pt>
                <c:pt idx="3">
                  <c:v>ΧΩΡΟΤΑΞΙΚΟΣ ΣΧΕΔΙΑΣΜΟΣ ΚΑΙ ΑΣΤΙΚΟ ΠΕΡΙΒΑΛΛΟΝ</c:v>
                </c:pt>
                <c:pt idx="4">
                  <c:v>ΔΙΑΧΕΙΡΙΣΗ ΕΝΕΡΓΕΙΑΣ ΚΑΙ ΟΡΥΚΤΩΝ ΠΡΩΤΩΝ ΥΛΩΝ</c:v>
                </c:pt>
              </c:strCache>
            </c:strRef>
          </c:cat>
          <c:val>
            <c:numRef>
              <c:f>'1'!$C$14:$C$18</c:f>
              <c:numCache>
                <c:formatCode>#,##0\ "€"</c:formatCode>
                <c:ptCount val="5"/>
                <c:pt idx="0">
                  <c:v>16338000</c:v>
                </c:pt>
                <c:pt idx="1">
                  <c:v>0</c:v>
                </c:pt>
                <c:pt idx="2">
                  <c:v>274123332.91000003</c:v>
                </c:pt>
                <c:pt idx="3">
                  <c:v>55149500</c:v>
                </c:pt>
                <c:pt idx="4">
                  <c:v>2633512989.5799999</c:v>
                </c:pt>
              </c:numCache>
            </c:numRef>
          </c:val>
          <c:extLst>
            <c:ext xmlns:c16="http://schemas.microsoft.com/office/drawing/2014/chart" uri="{C3380CC4-5D6E-409C-BE32-E72D297353CC}">
              <c16:uniqueId val="{00000006-5653-4A06-A1A0-B02EC1652324}"/>
            </c:ext>
          </c:extLst>
        </c:ser>
        <c:dLbls>
          <c:showLegendKey val="0"/>
          <c:showVal val="0"/>
          <c:showCatName val="0"/>
          <c:showSerName val="0"/>
          <c:showPercent val="0"/>
          <c:showBubbleSize val="0"/>
        </c:dLbls>
        <c:gapWidth val="72"/>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989933037674617E-2"/>
          <c:y val="0.18320625389452216"/>
          <c:w val="0.83961601904707628"/>
          <c:h val="0.71515689577339703"/>
        </c:manualLayout>
      </c:layout>
      <c:pie3DChart>
        <c:varyColors val="1"/>
        <c:ser>
          <c:idx val="0"/>
          <c:order val="0"/>
          <c:tx>
            <c:strRef>
              <c:f>'1'!$B$22:$B$23</c:f>
              <c:strCache>
                <c:ptCount val="2"/>
                <c:pt idx="0">
                  <c:v>Ανθρώπινοι Πόροι ανά Πρόγραμμα </c:v>
                </c:pt>
                <c:pt idx="1">
                  <c:v>ΠΡΟΣΩΠΙΚΟ 2026</c:v>
                </c:pt>
              </c:strCache>
            </c:strRef>
          </c:tx>
          <c:explosion val="14"/>
          <c:dPt>
            <c:idx val="0"/>
            <c:bubble3D val="0"/>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0BA6-428B-957A-DAEF325FAD46}"/>
              </c:ext>
            </c:extLst>
          </c:dPt>
          <c:dPt>
            <c:idx val="1"/>
            <c:bubble3D val="0"/>
            <c:spPr>
              <a:solidFill>
                <a:schemeClr val="accent1">
                  <a:lumMod val="60000"/>
                  <a:lumOff val="40000"/>
                </a:schemeClr>
              </a:solidFill>
              <a:ln>
                <a:noFill/>
              </a:ln>
              <a:effectLst/>
              <a:sp3d/>
            </c:spPr>
            <c:extLst>
              <c:ext xmlns:c16="http://schemas.microsoft.com/office/drawing/2014/chart" uri="{C3380CC4-5D6E-409C-BE32-E72D297353CC}">
                <c16:uniqueId val="{00000003-0BA6-428B-957A-DAEF325FAD46}"/>
              </c:ext>
            </c:extLst>
          </c:dPt>
          <c:dPt>
            <c:idx val="2"/>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5-0BA6-428B-957A-DAEF325FAD46}"/>
              </c:ext>
            </c:extLst>
          </c:dPt>
          <c:dPt>
            <c:idx val="3"/>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7-0BA6-428B-957A-DAEF325FAD46}"/>
              </c:ext>
            </c:extLst>
          </c:dPt>
          <c:dPt>
            <c:idx val="4"/>
            <c:bubble3D val="0"/>
            <c:spPr>
              <a:solidFill>
                <a:schemeClr val="accent5">
                  <a:lumMod val="75000"/>
                </a:schemeClr>
              </a:solidFill>
              <a:ln>
                <a:noFill/>
              </a:ln>
              <a:effectLst/>
              <a:sp3d/>
            </c:spPr>
            <c:extLst>
              <c:ext xmlns:c16="http://schemas.microsoft.com/office/drawing/2014/chart" uri="{C3380CC4-5D6E-409C-BE32-E72D297353CC}">
                <c16:uniqueId val="{00000009-0BA6-428B-957A-DAEF325FAD46}"/>
              </c:ext>
            </c:extLst>
          </c:dPt>
          <c:dLbls>
            <c:dLbl>
              <c:idx val="0"/>
              <c:layout>
                <c:manualLayout>
                  <c:x val="4.8562625854255435E-2"/>
                  <c:y val="-9.733794067108518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BA6-428B-957A-DAEF325FAD46}"/>
                </c:ext>
              </c:extLst>
            </c:dLbl>
            <c:dLbl>
              <c:idx val="1"/>
              <c:layout>
                <c:manualLayout>
                  <c:x val="0.20692121512647724"/>
                  <c:y val="-0.2233293680016616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0BA6-428B-957A-DAEF325FAD46}"/>
                </c:ext>
              </c:extLst>
            </c:dLbl>
            <c:dLbl>
              <c:idx val="2"/>
              <c:layout>
                <c:manualLayout>
                  <c:x val="-0.36154181388847895"/>
                  <c:y val="-2.3520380110589908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BA6-428B-957A-DAEF325FAD46}"/>
                </c:ext>
              </c:extLst>
            </c:dLbl>
            <c:dLbl>
              <c:idx val="3"/>
              <c:layout>
                <c:manualLayout>
                  <c:x val="-0.17108821154797768"/>
                  <c:y val="0.2288834251449794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0BA6-428B-957A-DAEF325FAD46}"/>
                </c:ext>
              </c:extLst>
            </c:dLbl>
            <c:dLbl>
              <c:idx val="4"/>
              <c:layout>
                <c:manualLayout>
                  <c:x val="-0.24246490613635688"/>
                  <c:y val="-0.163069544364508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BA6-428B-957A-DAEF325FAD46}"/>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'1'!$A$24:$A$28</c:f>
              <c:strCache>
                <c:ptCount val="5"/>
                <c:pt idx="0">
                  <c:v>ΡΥΘΜΙΣΗ, ΈΛΕΓΧΟΣ ΚΑΙ ΕΠΟΠΤΕΙΑ ΑΓΟΡΩΝ ΑΠΟΒΛΗΤΩΝ, ΕΝΕΡΓΕΙΑΣ ΚΑΙ ΥΔΑΤΩΝ</c:v>
                </c:pt>
                <c:pt idx="1">
                  <c:v>ΕΠΙΤΕΛΙΚΟΣ ΣΥΝΤΟΝΙΣΜΟΣ ΚΑΙ ΕΠΕΝΔΥΣΕΙΣ ΥΠΟΥΡΓΕΙΟΥ ΠΕΡΙΒΑΛΛΟΝΤΟΣ ΚΑΙ ΕΝΕΡΓΕΙΑΣ</c:v>
                </c:pt>
                <c:pt idx="2">
                  <c:v>ΠΡΟΣΤΑΣΙΑ ΦΥΣΙΚΟΥ ΠΕΡΙΒΑΛΛΟΝΤΟΣ ΚΑΙ ΥΔΑΤΩΝ ΒΑΣΕΙ ΒΙΩΣΙΜΗΣ ΑΝΑΠΤΥΞΗΣ</c:v>
                </c:pt>
                <c:pt idx="3">
                  <c:v>ΧΩΡΟΤΑΞΙΚΟΣ ΣΧΕΔΙΑΣΜΟΣ ΚΑΙ ΑΣΤΙΚΟ ΠΕΡΙΒΑΛΛΟΝ</c:v>
                </c:pt>
                <c:pt idx="4">
                  <c:v>ΔΙΑΧΕΙΡΙΣΗ ΕΝΕΡΓΕΙΑΣ ΚΑΙ ΟΡΥΚΤΩΝ ΠΡΩΤΩΝ ΥΛΩΝ</c:v>
                </c:pt>
              </c:strCache>
            </c:strRef>
          </c:cat>
          <c:val>
            <c:numRef>
              <c:f>'1'!$B$24:$B$28</c:f>
              <c:numCache>
                <c:formatCode>_-* #,##0\ _€_-;\-* #,##0\ _€_-;_-* "-"??\ _€_-;_-@_-</c:formatCode>
                <c:ptCount val="5"/>
                <c:pt idx="0">
                  <c:v>141</c:v>
                </c:pt>
                <c:pt idx="1">
                  <c:v>268</c:v>
                </c:pt>
                <c:pt idx="2">
                  <c:v>3498</c:v>
                </c:pt>
                <c:pt idx="3">
                  <c:v>189</c:v>
                </c:pt>
                <c:pt idx="4">
                  <c:v>242</c:v>
                </c:pt>
              </c:numCache>
            </c:numRef>
          </c:val>
          <c:extLst>
            <c:ext xmlns:c16="http://schemas.microsoft.com/office/drawing/2014/chart" uri="{C3380CC4-5D6E-409C-BE32-E72D297353CC}">
              <c16:uniqueId val="{0000000A-0BA6-428B-957A-DAEF325FAD46}"/>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DEFA-43D0-BD86-4C0B021332FB}"/>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DEFA-43D0-BD86-4C0B021332FB}"/>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DEFA-43D0-BD86-4C0B021332FB}"/>
              </c:ext>
            </c:extLst>
          </c:dPt>
          <c:dPt>
            <c:idx val="3"/>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7-DEFA-43D0-BD86-4C0B021332FB}"/>
              </c:ext>
            </c:extLst>
          </c:dPt>
          <c:dPt>
            <c:idx val="4"/>
            <c:bubble3D val="0"/>
            <c:spPr>
              <a:gradFill rotWithShape="1">
                <a:gsLst>
                  <a:gs pos="0">
                    <a:schemeClr val="accent1">
                      <a:tint val="70000"/>
                      <a:satMod val="103000"/>
                      <a:lumMod val="102000"/>
                      <a:tint val="94000"/>
                    </a:schemeClr>
                  </a:gs>
                  <a:gs pos="50000">
                    <a:schemeClr val="accent1">
                      <a:tint val="70000"/>
                      <a:satMod val="110000"/>
                      <a:lumMod val="100000"/>
                      <a:shade val="100000"/>
                    </a:schemeClr>
                  </a:gs>
                  <a:gs pos="100000">
                    <a:schemeClr val="accent1">
                      <a:tint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9-DEFA-43D0-BD86-4C0B021332FB}"/>
              </c:ext>
            </c:extLst>
          </c:dPt>
          <c:dLbls>
            <c:dLbl>
              <c:idx val="0"/>
              <c:layout>
                <c:manualLayout>
                  <c:x val="0.34840132304299892"/>
                  <c:y val="0.14257391933151214"/>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579933847850055"/>
                      <c:h val="0.25085034013605439"/>
                    </c:manualLayout>
                  </c15:layout>
                </c:ext>
                <c:ext xmlns:c16="http://schemas.microsoft.com/office/drawing/2014/chart" uri="{C3380CC4-5D6E-409C-BE32-E72D297353CC}">
                  <c16:uniqueId val="{00000001-DEFA-43D0-BD86-4C0B021332FB}"/>
                </c:ext>
              </c:extLst>
            </c:dLbl>
            <c:dLbl>
              <c:idx val="1"/>
              <c:layout>
                <c:manualLayout>
                  <c:x val="0.16312133513757329"/>
                  <c:y val="0.1050851909965179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EFA-43D0-BD86-4C0B021332FB}"/>
                </c:ext>
              </c:extLst>
            </c:dLbl>
            <c:dLbl>
              <c:idx val="2"/>
              <c:layout>
                <c:manualLayout>
                  <c:x val="-0.15328911614824331"/>
                  <c:y val="6.25350402628242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EFA-43D0-BD86-4C0B021332FB}"/>
                </c:ext>
              </c:extLst>
            </c:dLbl>
            <c:dLbl>
              <c:idx val="3"/>
              <c:layout>
                <c:manualLayout>
                  <c:x val="0.10753724796579048"/>
                  <c:y val="-0.1207780855315705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EFA-43D0-BD86-4C0B021332FB}"/>
                </c:ext>
              </c:extLst>
            </c:dLbl>
            <c:dLbl>
              <c:idx val="4"/>
              <c:layout>
                <c:manualLayout>
                  <c:x val="-9.7303229518502343E-2"/>
                  <c:y val="-0.128405283033749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EFA-43D0-BD86-4C0B021332F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'1'!$A$4:$A$8</c:f>
              <c:strCache>
                <c:ptCount val="5"/>
                <c:pt idx="0">
                  <c:v>ΕΠΙΤΕΛΙΚΟΣ ΣΥΝΤΟΝΙΣΜΟΣ, ΕΠΕΝΔΥΣΕΙΣ ΚΑΙ ΔΙΑΜΟΡΦΩΣΗ ΠΟΛΙΤΙΚΩΝ ΥΠΟΥΡΓΕΙΟΥ ΕΡΓΑΣΙΑΣ ΚΑΙ ΚΟΙΝΩΝΙΚΗΣ ΑΣΦΑΛΙΣΗΣ</c:v>
                </c:pt>
                <c:pt idx="1">
                  <c:v>ΠΟΛΙΤΙΚΕΣ ΚΟΙΝΩΝΙΚΗΣ ΑΣΦΑΛΙΣΗΣ</c:v>
                </c:pt>
                <c:pt idx="2">
                  <c:v>ΠΟΛΙΤΙΚΕΣ ΣΤΗΡΙΞΗΣ ΤΗΣ ΕΡΓΑΣΙΑΣ</c:v>
                </c:pt>
                <c:pt idx="3">
                  <c:v>ΕΛΕΓΧΟΣ ΤΗΣ ΑΓΟΡΑΣ ΕΡΓΑΣΙΑΣ</c:v>
                </c:pt>
                <c:pt idx="4">
                  <c:v>ΣΤΑΤΙΣΤΙΚΑ ΔΕΔΟΜΕΝΑ ΚΑΙ ΕΡΕΥΝΕΣ ΕΑΑ</c:v>
                </c:pt>
              </c:strCache>
            </c:strRef>
          </c:cat>
          <c:val>
            <c:numRef>
              <c:f>'1'!$B$4:$B$8</c:f>
              <c:numCache>
                <c:formatCode>#,##0\ "€"</c:formatCode>
                <c:ptCount val="5"/>
                <c:pt idx="0">
                  <c:v>49270160</c:v>
                </c:pt>
                <c:pt idx="1">
                  <c:v>17005622995.08</c:v>
                </c:pt>
                <c:pt idx="2">
                  <c:v>2013141640</c:v>
                </c:pt>
                <c:pt idx="3">
                  <c:v>32841000</c:v>
                </c:pt>
                <c:pt idx="4">
                  <c:v>202204.92</c:v>
                </c:pt>
              </c:numCache>
            </c:numRef>
          </c:val>
          <c:extLst>
            <c:ext xmlns:c16="http://schemas.microsoft.com/office/drawing/2014/chart" uri="{C3380CC4-5D6E-409C-BE32-E72D297353CC}">
              <c16:uniqueId val="{0000000A-DEFA-43D0-BD86-4C0B021332FB}"/>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'1'!$B$13</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1"/>
              <c:layout>
                <c:manualLayout>
                  <c:x val="4.48430440494045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86-460F-8CEB-A5EDB092F414}"/>
                </c:ext>
              </c:extLst>
            </c:dLbl>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86-460F-8CEB-A5EDB092F41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ΕΠΙΤΕΛΙΚΟΣ ΣΥΝΤΟΝΙΣΜΟΣ, ΕΠΕΝΔΥΣΕΙΣ ΚΑΙ ΔΙΑΜΟΡΦΩΣΗ ΠΟΛΙΤΙΚΩΝ ΥΠΟΥΡΓΕΙΟΥ ΕΡΓΑΣΙΑΣ ΚΑΙ ΚΟΙΝΩΝΙΚΗΣ ΑΣΦΑΛΙΣΗΣ</c:v>
                </c:pt>
                <c:pt idx="1">
                  <c:v>ΠΟΛΙΤΙΚΕΣ ΚΟΙΝΩΝΙΚΗΣ ΑΣΦΑΛΙΣΗΣ</c:v>
                </c:pt>
                <c:pt idx="2">
                  <c:v>ΠΟΛΙΤΙΚΕΣ ΣΤΗΡΙΞΗΣ ΤΗΣ ΕΡΓΑΣΙΑΣ</c:v>
                </c:pt>
                <c:pt idx="3">
                  <c:v>ΕΛΕΓΧΟΣ ΤΗΣ ΑΓΟΡΑΣ ΕΡΓΑΣΙΑΣ</c:v>
                </c:pt>
                <c:pt idx="4">
                  <c:v>ΣΤΑΤΙΣΤΙΚΑ ΔΕΔΟΜΕΝΑ ΚΑΙ ΕΡΕΥΝΕΣ ΕΑΑ</c:v>
                </c:pt>
              </c:strCache>
            </c:strRef>
          </c:cat>
          <c:val>
            <c:numRef>
              <c:f>'1'!$B$14:$B$18</c:f>
              <c:numCache>
                <c:formatCode>#,##0\ "€"</c:formatCode>
                <c:ptCount val="5"/>
                <c:pt idx="0">
                  <c:v>53063248.759999998</c:v>
                </c:pt>
                <c:pt idx="1">
                  <c:v>67843925.840002</c:v>
                </c:pt>
                <c:pt idx="2">
                  <c:v>160677971.40000001</c:v>
                </c:pt>
                <c:pt idx="3">
                  <c:v>32841000</c:v>
                </c:pt>
              </c:numCache>
            </c:numRef>
          </c:val>
          <c:extLst>
            <c:ext xmlns:c16="http://schemas.microsoft.com/office/drawing/2014/chart" uri="{C3380CC4-5D6E-409C-BE32-E72D297353CC}">
              <c16:uniqueId val="{00000002-1F86-460F-8CEB-A5EDB092F414}"/>
            </c:ext>
          </c:extLst>
        </c:ser>
        <c:ser>
          <c:idx val="1"/>
          <c:order val="1"/>
          <c:tx>
            <c:strRef>
              <c:f>'1'!$C$13</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1F86-460F-8CEB-A5EDB092F41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ΕΠΙΤΕΛΙΚΟΣ ΣΥΝΤΟΝΙΣΜΟΣ, ΕΠΕΝΔΥΣΕΙΣ ΚΑΙ ΔΙΑΜΟΡΦΩΣΗ ΠΟΛΙΤΙΚΩΝ ΥΠΟΥΡΓΕΙΟΥ ΕΡΓΑΣΙΑΣ ΚΑΙ ΚΟΙΝΩΝΙΚΗΣ ΑΣΦΑΛΙΣΗΣ</c:v>
                </c:pt>
                <c:pt idx="1">
                  <c:v>ΠΟΛΙΤΙΚΕΣ ΚΟΙΝΩΝΙΚΗΣ ΑΣΦΑΛΙΣΗΣ</c:v>
                </c:pt>
                <c:pt idx="2">
                  <c:v>ΠΟΛΙΤΙΚΕΣ ΣΤΗΡΙΞΗΣ ΤΗΣ ΕΡΓΑΣΙΑΣ</c:v>
                </c:pt>
                <c:pt idx="3">
                  <c:v>ΕΛΕΓΧΟΣ ΤΗΣ ΑΓΟΡΑΣ ΕΡΓΑΣΙΑΣ</c:v>
                </c:pt>
                <c:pt idx="4">
                  <c:v>ΣΤΑΤΙΣΤΙΚΑ ΔΕΔΟΜΕΝΑ ΚΑΙ ΕΡΕΥΝΕΣ ΕΑΑ</c:v>
                </c:pt>
              </c:strCache>
            </c:strRef>
          </c:cat>
          <c:val>
            <c:numRef>
              <c:f>'1'!$C$14:$C$18</c:f>
              <c:numCache>
                <c:formatCode>#,##0\ "€"</c:formatCode>
                <c:ptCount val="5"/>
                <c:pt idx="1">
                  <c:v>37107645209.709999</c:v>
                </c:pt>
                <c:pt idx="2">
                  <c:v>3424000000</c:v>
                </c:pt>
                <c:pt idx="3">
                  <c:v>0</c:v>
                </c:pt>
                <c:pt idx="4">
                  <c:v>488265</c:v>
                </c:pt>
              </c:numCache>
            </c:numRef>
          </c:val>
          <c:extLst>
            <c:ext xmlns:c16="http://schemas.microsoft.com/office/drawing/2014/chart" uri="{C3380CC4-5D6E-409C-BE32-E72D297353CC}">
              <c16:uniqueId val="{00000004-1F86-460F-8CEB-A5EDB092F414}"/>
            </c:ext>
          </c:extLst>
        </c:ser>
        <c:dLbls>
          <c:showLegendKey val="0"/>
          <c:showVal val="0"/>
          <c:showCatName val="0"/>
          <c:showSerName val="0"/>
          <c:showPercent val="0"/>
          <c:showBubbleSize val="0"/>
        </c:dLbls>
        <c:gapWidth val="51"/>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532497881783546E-2"/>
          <c:y val="0.17361392775543344"/>
          <c:w val="0.97008538388672128"/>
          <c:h val="0.82546875885118676"/>
        </c:manualLayout>
      </c:layout>
      <c:pie3DChart>
        <c:varyColors val="1"/>
        <c:ser>
          <c:idx val="0"/>
          <c:order val="0"/>
          <c:tx>
            <c:strRef>
              <c:f>'1'!$B$22:$B$23</c:f>
              <c:strCache>
                <c:ptCount val="2"/>
                <c:pt idx="0">
                  <c:v>Ανθρώπινοι Πόροι ανά Πρόγραμμα </c:v>
                </c:pt>
                <c:pt idx="1">
                  <c:v>ΠΡΟΣΩΠΙΚΟ 2026</c:v>
                </c:pt>
              </c:strCache>
            </c:strRef>
          </c:tx>
          <c:dPt>
            <c:idx val="0"/>
            <c:bubble3D val="0"/>
            <c:explosion val="19"/>
            <c:spPr>
              <a:solidFill>
                <a:schemeClr val="accent1">
                  <a:lumMod val="60000"/>
                  <a:lumOff val="40000"/>
                </a:schemeClr>
              </a:solidFill>
              <a:ln>
                <a:noFill/>
              </a:ln>
              <a:effectLst/>
              <a:sp3d/>
            </c:spPr>
            <c:extLst>
              <c:ext xmlns:c16="http://schemas.microsoft.com/office/drawing/2014/chart" uri="{C3380CC4-5D6E-409C-BE32-E72D297353CC}">
                <c16:uniqueId val="{00000001-32BE-4C4B-A7DB-A8F67FDEA7DE}"/>
              </c:ext>
            </c:extLst>
          </c:dPt>
          <c:dPt>
            <c:idx val="1"/>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32BE-4C4B-A7DB-A8F67FDEA7DE}"/>
              </c:ext>
            </c:extLst>
          </c:dPt>
          <c:dPt>
            <c:idx val="2"/>
            <c:bubble3D val="0"/>
            <c:explosion val="26"/>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32BE-4C4B-A7DB-A8F67FDEA7DE}"/>
              </c:ext>
            </c:extLst>
          </c:dPt>
          <c:dPt>
            <c:idx val="3"/>
            <c:bubble3D val="0"/>
            <c:spPr>
              <a:solidFill>
                <a:schemeClr val="accent5">
                  <a:lumMod val="75000"/>
                </a:schemeClr>
              </a:solidFill>
              <a:ln>
                <a:noFill/>
              </a:ln>
              <a:effectLst/>
              <a:sp3d/>
            </c:spPr>
            <c:extLst>
              <c:ext xmlns:c16="http://schemas.microsoft.com/office/drawing/2014/chart" uri="{C3380CC4-5D6E-409C-BE32-E72D297353CC}">
                <c16:uniqueId val="{00000007-32BE-4C4B-A7DB-A8F67FDEA7DE}"/>
              </c:ext>
            </c:extLst>
          </c:dPt>
          <c:dPt>
            <c:idx val="4"/>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9-32BE-4C4B-A7DB-A8F67FDEA7DE}"/>
              </c:ext>
            </c:extLst>
          </c:dPt>
          <c:dLbls>
            <c:dLbl>
              <c:idx val="0"/>
              <c:layout>
                <c:manualLayout>
                  <c:x val="0.27030688694232957"/>
                  <c:y val="3.448685762105825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2BE-4C4B-A7DB-A8F67FDEA7DE}"/>
                </c:ext>
              </c:extLst>
            </c:dLbl>
            <c:dLbl>
              <c:idx val="1"/>
              <c:layout>
                <c:manualLayout>
                  <c:x val="9.3572235660178818E-2"/>
                  <c:y val="9.8883227831815142E-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2569608608221225"/>
                      <c:h val="0.21462829736211031"/>
                    </c:manualLayout>
                  </c15:layout>
                </c:ext>
                <c:ext xmlns:c16="http://schemas.microsoft.com/office/drawing/2014/chart" uri="{C3380CC4-5D6E-409C-BE32-E72D297353CC}">
                  <c16:uniqueId val="{00000003-32BE-4C4B-A7DB-A8F67FDEA7DE}"/>
                </c:ext>
              </c:extLst>
            </c:dLbl>
            <c:dLbl>
              <c:idx val="2"/>
              <c:layout>
                <c:manualLayout>
                  <c:x val="-5.2182166991503708E-2"/>
                  <c:y val="5.813176230669008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2BE-4C4B-A7DB-A8F67FDEA7DE}"/>
                </c:ext>
              </c:extLst>
            </c:dLbl>
            <c:dLbl>
              <c:idx val="3"/>
              <c:layout>
                <c:manualLayout>
                  <c:x val="-0.15120501240862047"/>
                  <c:y val="1.448516777129477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2BE-4C4B-A7DB-A8F67FDEA7DE}"/>
                </c:ext>
              </c:extLst>
            </c:dLbl>
            <c:dLbl>
              <c:idx val="4"/>
              <c:layout>
                <c:manualLayout>
                  <c:x val="-0.1302045702861368"/>
                  <c:y val="-6.684831662229272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2BE-4C4B-A7DB-A8F67FDEA7DE}"/>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'1'!$A$24:$A$28</c:f>
              <c:strCache>
                <c:ptCount val="5"/>
                <c:pt idx="0">
                  <c:v>ΕΠΙΤΕΛΙΚΟΣ ΣΥΝΤΟΝΙΣΜΟΣ, ΕΠΕΝΔΥΣΕΙΣ ΚΑΙ ΔΙΑΜΟΡΦΩΣΗ ΠΟΛΙΤΙΚΩΝ ΥΠΟΥΡΓΕΙΟΥ ΕΡΓΑΣΙΑΣ ΚΑΙ ΚΟΙΝΩΝΙΚΗΣ ΑΣΦΑΛΙΣΗΣ</c:v>
                </c:pt>
                <c:pt idx="1">
                  <c:v>ΠΟΛΙΤΙΚΕΣ ΚΟΙΝΩΝΙΚΗΣ ΑΣΦΑΛΙΣΗΣ</c:v>
                </c:pt>
                <c:pt idx="2">
                  <c:v>ΠΟΛΙΤΙΚΕΣ ΣΤΗΡΙΞΗΣ ΤΗΣ ΕΡΓΑΣΙΑΣ</c:v>
                </c:pt>
                <c:pt idx="3">
                  <c:v>ΕΛΕΓΧΟΣ ΤΗΣ ΑΓΟΡΑΣ ΕΡΓΑΣΙΑΣ</c:v>
                </c:pt>
                <c:pt idx="4">
                  <c:v>ΣΤΑΤΙΣΤΙΚΑ ΔΕΔΟΜΕΝΑ ΚΑΙ ΕΡΕΥΝΕΣ ΕΑΑ</c:v>
                </c:pt>
              </c:strCache>
            </c:strRef>
          </c:cat>
          <c:val>
            <c:numRef>
              <c:f>'1'!$B$24:$B$28</c:f>
              <c:numCache>
                <c:formatCode>_-* #,##0\ _€_-;\-* #,##0\ _€_-;_-* "-"??\ _€_-;_-@_-</c:formatCode>
                <c:ptCount val="5"/>
                <c:pt idx="0">
                  <c:v>228</c:v>
                </c:pt>
                <c:pt idx="1">
                  <c:v>7417</c:v>
                </c:pt>
                <c:pt idx="2">
                  <c:v>5182</c:v>
                </c:pt>
                <c:pt idx="3">
                  <c:v>773</c:v>
                </c:pt>
                <c:pt idx="4">
                  <c:v>6</c:v>
                </c:pt>
              </c:numCache>
            </c:numRef>
          </c:val>
          <c:extLst>
            <c:ext xmlns:c16="http://schemas.microsoft.com/office/drawing/2014/chart" uri="{C3380CC4-5D6E-409C-BE32-E72D297353CC}">
              <c16:uniqueId val="{0000000A-32BE-4C4B-A7DB-A8F67FDEA7DE}"/>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340A-4A19-99EB-6A39C77D1D77}"/>
              </c:ext>
            </c:extLst>
          </c:dPt>
          <c:dPt>
            <c:idx val="1"/>
            <c:bubble3D val="0"/>
            <c:explosion val="21"/>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340A-4A19-99EB-6A39C77D1D77}"/>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340A-4A19-99EB-6A39C77D1D77}"/>
              </c:ext>
            </c:extLst>
          </c:dPt>
          <c:dLbls>
            <c:dLbl>
              <c:idx val="0"/>
              <c:layout>
                <c:manualLayout>
                  <c:x val="0.27783902976846742"/>
                  <c:y val="3.104494750656168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7783902976846747"/>
                      <c:h val="0.24088541666666666"/>
                    </c:manualLayout>
                  </c15:layout>
                </c:ext>
                <c:ext xmlns:c16="http://schemas.microsoft.com/office/drawing/2014/chart" uri="{C3380CC4-5D6E-409C-BE32-E72D297353CC}">
                  <c16:uniqueId val="{00000001-340A-4A19-99EB-6A39C77D1D77}"/>
                </c:ext>
              </c:extLst>
            </c:dLbl>
            <c:dLbl>
              <c:idx val="1"/>
              <c:layout>
                <c:manualLayout>
                  <c:x val="-0.31648178211461164"/>
                  <c:y val="0"/>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348401323042999"/>
                      <c:h val="0.22526041666666666"/>
                    </c:manualLayout>
                  </c15:layout>
                </c:ext>
                <c:ext xmlns:c16="http://schemas.microsoft.com/office/drawing/2014/chart" uri="{C3380CC4-5D6E-409C-BE32-E72D297353CC}">
                  <c16:uniqueId val="{00000003-340A-4A19-99EB-6A39C77D1D77}"/>
                </c:ext>
              </c:extLst>
            </c:dLbl>
            <c:dLbl>
              <c:idx val="2"/>
              <c:layout>
                <c:manualLayout>
                  <c:x val="-2.8072498277262076E-2"/>
                  <c:y val="-0.3509087373083175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120167724348677"/>
                      <c:h val="0.18333333333333332"/>
                    </c:manualLayout>
                  </c15:layout>
                </c:ext>
                <c:ext xmlns:c16="http://schemas.microsoft.com/office/drawing/2014/chart" uri="{C3380CC4-5D6E-409C-BE32-E72D297353CC}">
                  <c16:uniqueId val="{00000005-340A-4A19-99EB-6A39C77D1D7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'1'!$A$4:$A$6</c:f>
              <c:strCache>
                <c:ptCount val="3"/>
                <c:pt idx="0">
                  <c:v>ΕΠΙΤΕΛΙΚΟΣ ΣΥΝΤΟΝΙΣΜΟΣ, ΕΠΕΝΔΥΣΕΙΣ ΚΑΙ ΔΙΑΜΟΡΦΩΣΗ ΠΟΛΙΤΙΚΩΝ ΥΠΟΥΡΓΕΙΟΥ ΚΟΙΝΩΝΙΚΗΣ ΣΥΝΟΧΗΣ ΚΑΙ ΟΙΚΟΓΕΝΕΙΑΣ</c:v>
                </c:pt>
                <c:pt idx="1">
                  <c:v>ΠΟΛΙΤΙΚΕΣ ΚΟΙΝΩΝΙΚΗΣ ΑΛΛΗΛΕΓΓΥΗΣ ΚΑΙ ΚΑΤΑΠΟΛΕΜΗΣΗΣ ΤΗΣ ΦΤΩΧΕΙΑΣ</c:v>
                </c:pt>
                <c:pt idx="2">
                  <c:v>ΠΟΛΙΤΙΚΕΣ ΓΙΑ ΤΗΝ ΙΣΟΤΗΤΑ ΤΩΝ ΦΥΛΩΝ ΚΑΙ ΤΑ ΑΝΘΡΩΠΙΝΑ ΔΙΚΑΙΩΜΑΤΑ</c:v>
                </c:pt>
              </c:strCache>
            </c:strRef>
          </c:cat>
          <c:val>
            <c:numRef>
              <c:f>'1'!$B$4:$B$6</c:f>
              <c:numCache>
                <c:formatCode>#,##0\ "€"</c:formatCode>
                <c:ptCount val="3"/>
                <c:pt idx="0">
                  <c:v>75656592</c:v>
                </c:pt>
                <c:pt idx="1">
                  <c:v>3723720408</c:v>
                </c:pt>
                <c:pt idx="2">
                  <c:v>3939000</c:v>
                </c:pt>
              </c:numCache>
            </c:numRef>
          </c:val>
          <c:extLst>
            <c:ext xmlns:c16="http://schemas.microsoft.com/office/drawing/2014/chart" uri="{C3380CC4-5D6E-409C-BE32-E72D297353CC}">
              <c16:uniqueId val="{00000006-340A-4A19-99EB-6A39C77D1D77}"/>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9590221288491088"/>
          <c:y val="6.0191518467852256E-2"/>
          <c:w val="0.47984199880196893"/>
          <c:h val="0.83668623501405703"/>
        </c:manualLayout>
      </c:layout>
      <c:bar3DChart>
        <c:barDir val="bar"/>
        <c:grouping val="percentStacked"/>
        <c:varyColors val="0"/>
        <c:ser>
          <c:idx val="0"/>
          <c:order val="0"/>
          <c:tx>
            <c:strRef>
              <c:f>'1'!$B$11</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1"/>
              <c:layout>
                <c:manualLayout>
                  <c:x val="3.58744352395235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13-45A2-82C3-7954802BE555}"/>
                </c:ext>
              </c:extLst>
            </c:dLbl>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13-45A2-82C3-7954802BE555}"/>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'1'!$A$12:$A$14</c:f>
              <c:strCache>
                <c:ptCount val="3"/>
                <c:pt idx="0">
                  <c:v>ΕΠΙΤΕΛΙΚΟΣ ΣΥΝΤΟΝΙΣΜΟΣ, ΕΠΕΝΔΥΣΕΙΣ ΚΑΙ ΔΙΑΜΟΡΦΩΣΗ ΠΟΛΙΤΙΚΩΝ ΥΠΟΥΡΓΕΙΟΥ ΚΟΙΝΩΝΙΚΗΣ ΣΥΝΟΧΗΣ ΚΑΙ ΟΙΚΟΓΕΝΕΙΑΣ</c:v>
                </c:pt>
                <c:pt idx="1">
                  <c:v>ΠΟΛΙΤΙΚΕΣ ΚΟΙΝΩΝΙΚΗΣ ΑΛΛΗΛΕΓΓΥΗΣ ΚΑΙ ΚΑΤΑΠΟΛΕΜΗΣΗΣ ΤΗΣ ΦΤΩΧΕΙΑΣ</c:v>
                </c:pt>
                <c:pt idx="2">
                  <c:v>ΠΟΛΙΤΙΚΕΣ ΓΙΑ ΤΗΝ ΙΣΟΤΗΤΑ ΤΩΝ ΦΥΛΩΝ ΚΑΙ ΤΑ ΑΝΘΡΩΠΙΝΑ ΔΙΚΑΙΩΜΑΤΑ</c:v>
                </c:pt>
              </c:strCache>
            </c:strRef>
          </c:cat>
          <c:val>
            <c:numRef>
              <c:f>'1'!$B$12:$B$14</c:f>
              <c:numCache>
                <c:formatCode>#,##0\ "€"</c:formatCode>
                <c:ptCount val="3"/>
                <c:pt idx="0">
                  <c:v>69266474.849999994</c:v>
                </c:pt>
                <c:pt idx="1">
                  <c:v>267954700.11000001</c:v>
                </c:pt>
                <c:pt idx="2">
                  <c:v>3266298.5</c:v>
                </c:pt>
              </c:numCache>
            </c:numRef>
          </c:val>
          <c:extLst>
            <c:ext xmlns:c16="http://schemas.microsoft.com/office/drawing/2014/chart" uri="{C3380CC4-5D6E-409C-BE32-E72D297353CC}">
              <c16:uniqueId val="{00000002-AF13-45A2-82C3-7954802BE555}"/>
            </c:ext>
          </c:extLst>
        </c:ser>
        <c:ser>
          <c:idx val="1"/>
          <c:order val="1"/>
          <c:tx>
            <c:strRef>
              <c:f>'1'!$C$11</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AF13-45A2-82C3-7954802BE555}"/>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'1'!$A$12:$A$14</c:f>
              <c:strCache>
                <c:ptCount val="3"/>
                <c:pt idx="0">
                  <c:v>ΕΠΙΤΕΛΙΚΟΣ ΣΥΝΤΟΝΙΣΜΟΣ, ΕΠΕΝΔΥΣΕΙΣ ΚΑΙ ΔΙΑΜΟΡΦΩΣΗ ΠΟΛΙΤΙΚΩΝ ΥΠΟΥΡΓΕΙΟΥ ΚΟΙΝΩΝΙΚΗΣ ΣΥΝΟΧΗΣ ΚΑΙ ΟΙΚΟΓΕΝΕΙΑΣ</c:v>
                </c:pt>
                <c:pt idx="1">
                  <c:v>ΠΟΛΙΤΙΚΕΣ ΚΟΙΝΩΝΙΚΗΣ ΑΛΛΗΛΕΓΓΥΗΣ ΚΑΙ ΚΑΤΑΠΟΛΕΜΗΣΗΣ ΤΗΣ ΦΤΩΧΕΙΑΣ</c:v>
                </c:pt>
                <c:pt idx="2">
                  <c:v>ΠΟΛΙΤΙΚΕΣ ΓΙΑ ΤΗΝ ΙΣΟΤΗΤΑ ΤΩΝ ΦΥΛΩΝ ΚΑΙ ΤΑ ΑΝΘΡΩΠΙΝΑ ΔΙΚΑΙΩΜΑΤΑ</c:v>
                </c:pt>
              </c:strCache>
            </c:strRef>
          </c:cat>
          <c:val>
            <c:numRef>
              <c:f>'1'!$C$12:$C$14</c:f>
              <c:numCache>
                <c:formatCode>#,##0\ "€"</c:formatCode>
                <c:ptCount val="3"/>
                <c:pt idx="0">
                  <c:v>0</c:v>
                </c:pt>
                <c:pt idx="1">
                  <c:v>3325015304.3400002</c:v>
                </c:pt>
                <c:pt idx="2">
                  <c:v>689050</c:v>
                </c:pt>
              </c:numCache>
            </c:numRef>
          </c:val>
          <c:extLst>
            <c:ext xmlns:c16="http://schemas.microsoft.com/office/drawing/2014/chart" uri="{C3380CC4-5D6E-409C-BE32-E72D297353CC}">
              <c16:uniqueId val="{00000004-AF13-45A2-82C3-7954802BE555}"/>
            </c:ext>
          </c:extLst>
        </c:ser>
        <c:dLbls>
          <c:showLegendKey val="0"/>
          <c:showVal val="0"/>
          <c:showCatName val="0"/>
          <c:showSerName val="0"/>
          <c:showPercent val="0"/>
          <c:showBubbleSize val="0"/>
        </c:dLbls>
        <c:gapWidth val="150"/>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10491086993107E-2"/>
          <c:y val="0.11236003756411182"/>
          <c:w val="0.93686709682019498"/>
          <c:h val="0.79701798743047025"/>
        </c:manualLayout>
      </c:layout>
      <c:pie3DChart>
        <c:varyColors val="1"/>
        <c:ser>
          <c:idx val="0"/>
          <c:order val="0"/>
          <c:tx>
            <c:strRef>
              <c:f>'1'!$B$18:$B$19</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1798-4E0D-A226-B67CE395E7BA}"/>
              </c:ext>
            </c:extLst>
          </c:dPt>
          <c:dPt>
            <c:idx val="1"/>
            <c:bubble3D val="0"/>
            <c:explosion val="1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1798-4E0D-A226-B67CE395E7BA}"/>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1798-4E0D-A226-B67CE395E7BA}"/>
              </c:ext>
            </c:extLst>
          </c:dPt>
          <c:dLbls>
            <c:dLbl>
              <c:idx val="0"/>
              <c:layout>
                <c:manualLayout>
                  <c:x val="0.24114718520384809"/>
                  <c:y val="5.095541401273882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4672546857772878"/>
                      <c:h val="0.36402916554145281"/>
                    </c:manualLayout>
                  </c15:layout>
                </c:ext>
                <c:ext xmlns:c16="http://schemas.microsoft.com/office/drawing/2014/chart" uri="{C3380CC4-5D6E-409C-BE32-E72D297353CC}">
                  <c16:uniqueId val="{00000001-1798-4E0D-A226-B67CE395E7BA}"/>
                </c:ext>
              </c:extLst>
            </c:dLbl>
            <c:dLbl>
              <c:idx val="1"/>
              <c:layout>
                <c:manualLayout>
                  <c:x val="0.39894546501197192"/>
                  <c:y val="-1.111062951993386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798-4E0D-A226-B67CE395E7BA}"/>
                </c:ext>
              </c:extLst>
            </c:dLbl>
            <c:dLbl>
              <c:idx val="2"/>
              <c:layout>
                <c:manualLayout>
                  <c:x val="-0.18194070822766925"/>
                  <c:y val="1.2232576432533089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0422807504111659"/>
                      <c:h val="0.25301502917230889"/>
                    </c:manualLayout>
                  </c15:layout>
                </c:ext>
                <c:ext xmlns:c16="http://schemas.microsoft.com/office/drawing/2014/chart" uri="{C3380CC4-5D6E-409C-BE32-E72D297353CC}">
                  <c16:uniqueId val="{00000005-1798-4E0D-A226-B67CE395E7BA}"/>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'1'!$A$20:$A$22</c:f>
              <c:strCache>
                <c:ptCount val="3"/>
                <c:pt idx="0">
                  <c:v>ΕΠΙΤΕΛΙΚΟΣ ΣΥΝΤΟΝΙΣΜΟΣ, ΕΠΕΝΔΥΣΕΙΣ ΚΑΙ ΔΙΑΜΟΡΦΩΣΗ ΠΟΛΙΤΙΚΩΝ ΥΠΟΥΡΓΕΙΟΥ ΚΟΙΝΩΝΙΚΗΣ ΣΥΝΟΧΗΣ ΚΑΙ ΟΙΚΟΓΕΝΕΙΑΣ</c:v>
                </c:pt>
                <c:pt idx="1">
                  <c:v>ΠΟΛΙΤΙΚΕΣ ΚΟΙΝΩΝΙΚΗΣ ΑΛΛΗΛΕΓΓΥΗΣ ΚΑΙ ΚΑΤΑΠΟΛΕΜΗΣΗΣ ΤΗΣ ΦΤΩΧΕΙΑΣ</c:v>
                </c:pt>
                <c:pt idx="2">
                  <c:v>ΠΟΛΙΤΙΚΕΣ ΓΙΑ ΤΗΝ ΙΣΟΤΗΤΑ ΤΩΝ ΦΥΛΩΝ ΚΑΙ ΤΑ ΑΝΘΡΩΠΙΝΑ ΔΙΚΑΙΩΜΑΤΑ</c:v>
                </c:pt>
              </c:strCache>
            </c:strRef>
          </c:cat>
          <c:val>
            <c:numRef>
              <c:f>'1'!$B$20:$B$22</c:f>
              <c:numCache>
                <c:formatCode>_-* #,##0\ _€_-;\-* #,##0\ _€_-;_-* "-"??\ _€_-;_-@_-</c:formatCode>
                <c:ptCount val="3"/>
                <c:pt idx="0">
                  <c:v>170</c:v>
                </c:pt>
                <c:pt idx="1">
                  <c:v>3511</c:v>
                </c:pt>
                <c:pt idx="2">
                  <c:v>165</c:v>
                </c:pt>
              </c:numCache>
            </c:numRef>
          </c:val>
          <c:extLst>
            <c:ext xmlns:c16="http://schemas.microsoft.com/office/drawing/2014/chart" uri="{C3380CC4-5D6E-409C-BE32-E72D297353CC}">
              <c16:uniqueId val="{00000006-1798-4E0D-A226-B67CE395E7BA}"/>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5FCE-4957-B418-D3E6D8819F0E}"/>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5FCE-4957-B418-D3E6D8819F0E}"/>
              </c:ext>
            </c:extLst>
          </c:dPt>
          <c:dPt>
            <c:idx val="2"/>
            <c:bubble3D val="0"/>
            <c:explosion val="1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5FCE-4957-B418-D3E6D8819F0E}"/>
              </c:ext>
            </c:extLst>
          </c:dPt>
          <c:dPt>
            <c:idx val="3"/>
            <c:bubble3D val="0"/>
            <c:spPr>
              <a:gradFill rotWithShape="1">
                <a:gsLst>
                  <a:gs pos="0">
                    <a:schemeClr val="accent1">
                      <a:shade val="86000"/>
                      <a:satMod val="103000"/>
                      <a:lumMod val="102000"/>
                      <a:tint val="94000"/>
                    </a:schemeClr>
                  </a:gs>
                  <a:gs pos="50000">
                    <a:schemeClr val="accent1">
                      <a:shade val="86000"/>
                      <a:satMod val="110000"/>
                      <a:lumMod val="100000"/>
                      <a:shade val="100000"/>
                    </a:schemeClr>
                  </a:gs>
                  <a:gs pos="100000">
                    <a:schemeClr val="accent1">
                      <a:shade val="86000"/>
                      <a:lumMod val="99000"/>
                      <a:satMod val="120000"/>
                      <a:shade val="78000"/>
                    </a:schemeClr>
                  </a:gs>
                </a:gsLst>
                <a:lin ang="5400000" scaled="0"/>
              </a:gradFill>
              <a:ln>
                <a:noFill/>
              </a:ln>
              <a:effectLst/>
              <a:sp3d/>
            </c:spPr>
            <c:extLst>
              <c:ext xmlns:c16="http://schemas.microsoft.com/office/drawing/2014/chart" uri="{C3380CC4-5D6E-409C-BE32-E72D297353CC}">
                <c16:uniqueId val="{00000007-5FCE-4957-B418-D3E6D8819F0E}"/>
              </c:ext>
            </c:extLst>
          </c:dPt>
          <c:dPt>
            <c:idx val="4"/>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9-5FCE-4957-B418-D3E6D8819F0E}"/>
              </c:ext>
            </c:extLst>
          </c:dPt>
          <c:dPt>
            <c:idx val="5"/>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B-5FCE-4957-B418-D3E6D8819F0E}"/>
              </c:ext>
            </c:extLst>
          </c:dPt>
          <c:dPt>
            <c:idx val="6"/>
            <c:bubble3D val="0"/>
            <c:spPr>
              <a:gradFill rotWithShape="1">
                <a:gsLst>
                  <a:gs pos="0">
                    <a:schemeClr val="accent1">
                      <a:tint val="72000"/>
                      <a:satMod val="103000"/>
                      <a:lumMod val="102000"/>
                      <a:tint val="94000"/>
                    </a:schemeClr>
                  </a:gs>
                  <a:gs pos="50000">
                    <a:schemeClr val="accent1">
                      <a:tint val="72000"/>
                      <a:satMod val="110000"/>
                      <a:lumMod val="100000"/>
                      <a:shade val="100000"/>
                    </a:schemeClr>
                  </a:gs>
                  <a:gs pos="100000">
                    <a:schemeClr val="accent1">
                      <a:tint val="72000"/>
                      <a:lumMod val="99000"/>
                      <a:satMod val="120000"/>
                      <a:shade val="78000"/>
                    </a:schemeClr>
                  </a:gs>
                </a:gsLst>
                <a:lin ang="5400000" scaled="0"/>
              </a:gradFill>
              <a:ln>
                <a:noFill/>
              </a:ln>
              <a:effectLst/>
              <a:sp3d/>
            </c:spPr>
            <c:extLst>
              <c:ext xmlns:c16="http://schemas.microsoft.com/office/drawing/2014/chart" uri="{C3380CC4-5D6E-409C-BE32-E72D297353CC}">
                <c16:uniqueId val="{0000000D-5FCE-4957-B418-D3E6D8819F0E}"/>
              </c:ext>
            </c:extLst>
          </c:dPt>
          <c:dPt>
            <c:idx val="7"/>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F-5FCE-4957-B418-D3E6D8819F0E}"/>
              </c:ext>
            </c:extLst>
          </c:dPt>
          <c:dPt>
            <c:idx val="8"/>
            <c:bubble3D val="0"/>
            <c:spPr>
              <a:gradFill rotWithShape="1">
                <a:gsLst>
                  <a:gs pos="0">
                    <a:schemeClr val="accent1">
                      <a:tint val="44000"/>
                      <a:satMod val="103000"/>
                      <a:lumMod val="102000"/>
                      <a:tint val="94000"/>
                    </a:schemeClr>
                  </a:gs>
                  <a:gs pos="50000">
                    <a:schemeClr val="accent1">
                      <a:tint val="44000"/>
                      <a:satMod val="110000"/>
                      <a:lumMod val="100000"/>
                      <a:shade val="100000"/>
                    </a:schemeClr>
                  </a:gs>
                  <a:gs pos="100000">
                    <a:schemeClr val="accent1">
                      <a:tint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11-5FCE-4957-B418-D3E6D8819F0E}"/>
              </c:ext>
            </c:extLst>
          </c:dPt>
          <c:dLbls>
            <c:dLbl>
              <c:idx val="0"/>
              <c:layout>
                <c:manualLayout>
                  <c:x val="0.32186997022285113"/>
                  <c:y val="6.359262867779466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FCE-4957-B418-D3E6D8819F0E}"/>
                </c:ext>
              </c:extLst>
            </c:dLbl>
            <c:dLbl>
              <c:idx val="1"/>
              <c:layout>
                <c:manualLayout>
                  <c:x val="0.16312133513757329"/>
                  <c:y val="0.1050851909965179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FCE-4957-B418-D3E6D8819F0E}"/>
                </c:ext>
              </c:extLst>
            </c:dLbl>
            <c:dLbl>
              <c:idx val="2"/>
              <c:layout>
                <c:manualLayout>
                  <c:x val="-0.20386838992893141"/>
                  <c:y val="-4.811219106424077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FCE-4957-B418-D3E6D8819F0E}"/>
                </c:ext>
              </c:extLst>
            </c:dLbl>
            <c:dLbl>
              <c:idx val="3"/>
              <c:layout>
                <c:manualLayout>
                  <c:x val="-2.7996973991241621E-2"/>
                  <c:y val="-0.1309022912250861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FCE-4957-B418-D3E6D8819F0E}"/>
                </c:ext>
              </c:extLst>
            </c:dLbl>
            <c:dLbl>
              <c:idx val="4"/>
              <c:layout>
                <c:manualLayout>
                  <c:x val="-0.72718172745321585"/>
                  <c:y val="-0.4583125468449122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FCE-4957-B418-D3E6D8819F0E}"/>
                </c:ext>
              </c:extLst>
            </c:dLbl>
            <c:dLbl>
              <c:idx val="5"/>
              <c:layout>
                <c:manualLayout>
                  <c:x val="-3.432800296324591E-2"/>
                  <c:y val="-6.199022562365570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9560461499"/>
                      <c:h val="0.14570833917787238"/>
                    </c:manualLayout>
                  </c15:layout>
                </c:ext>
                <c:ext xmlns:c16="http://schemas.microsoft.com/office/drawing/2014/chart" uri="{C3380CC4-5D6E-409C-BE32-E72D297353CC}">
                  <c16:uniqueId val="{0000000B-5FCE-4957-B418-D3E6D8819F0E}"/>
                </c:ext>
              </c:extLst>
            </c:dLbl>
            <c:dLbl>
              <c:idx val="6"/>
              <c:layout>
                <c:manualLayout>
                  <c:x val="0.10143329658213888"/>
                  <c:y val="-6.101698770561720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263506063947079"/>
                      <c:h val="0.16369764082811747"/>
                    </c:manualLayout>
                  </c15:layout>
                </c:ext>
                <c:ext xmlns:c16="http://schemas.microsoft.com/office/drawing/2014/chart" uri="{C3380CC4-5D6E-409C-BE32-E72D297353CC}">
                  <c16:uniqueId val="{0000000D-5FCE-4957-B418-D3E6D8819F0E}"/>
                </c:ext>
              </c:extLst>
            </c:dLbl>
            <c:dLbl>
              <c:idx val="7"/>
              <c:layout>
                <c:manualLayout>
                  <c:x val="0.22083237114655047"/>
                  <c:y val="-2.611087311726862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5FCE-4957-B418-D3E6D8819F0E}"/>
                </c:ext>
              </c:extLst>
            </c:dLbl>
            <c:dLbl>
              <c:idx val="8"/>
              <c:layout>
                <c:manualLayout>
                  <c:x val="4.5940282498517185E-2"/>
                  <c:y val="-0.1713327814370030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5FCE-4957-B418-D3E6D8819F0E}"/>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'1'!$A$4:$A$12</c:f>
              <c:strCache>
                <c:ptCount val="9"/>
                <c:pt idx="0">
                  <c:v>ΠΡΟΣΤΑΣΙΑ ΤΩΝ ΚΑΤΑΝΑΛΩΤΩΝ</c:v>
                </c:pt>
                <c:pt idx="1">
                  <c:v>ΕΡΕΥΝΑ ΚΑΙ ΑΝΑΠΤΥΞΗ ΣΕ ΕΡΕΥΝΗΤΙΚΑ ΚΕΝΤΡΑ ΚΑΙ ΕΠΙΧΕΙΡΗΣΕΙΣ</c:v>
                </c:pt>
                <c:pt idx="2">
                  <c:v>ΕΛΛΗΝΙΚΗ ΒΙΟΜΗΧΑΝΙΑ</c:v>
                </c:pt>
                <c:pt idx="3">
                  <c:v>ΠΡΟΣΕΛΚΥΣΗ ΙΔΙΩΤΙΚΩΝ ΕΠΕΝΔΥΣΕΩΝ</c:v>
                </c:pt>
                <c:pt idx="4">
                  <c:v>ΕΠΙΧΕΙΡΗΜΑΤΙΚΟ ΠΕΡΙΒΑΛΛΟΝ ΣΤΟΝ ΤΟΜΕΑ ΤΟΥ ΕΜΠΟΡΙΟΥ</c:v>
                </c:pt>
                <c:pt idx="5">
                  <c:v>ΚΕΝΤΡΙΚΕΣ ΔΙΑΔΙΚΑΣΙΕΣ ΑΝΑΘΕΣΗΣ ΔΗΜΟΣΙΩΝ ΣΥΜΒΑΣΕΩΝ</c:v>
                </c:pt>
                <c:pt idx="6">
                  <c:v>ΕΠΙΤΕΛΙΚΟΣ ΣΥΝΤΟΝΙΣΜΟΣ ΚΑΙ ΕΠΕΝΔΥΣΕΙΣ ΥΠΟΥΡΓΕΙΟΥ ΑΝΑΠΤΥΞΗΣ</c:v>
                </c:pt>
                <c:pt idx="7">
                  <c:v>ΔΙΑΜΕΣΟΛΑΒΗΣΗ ΓΙΑ ΤΗΝ ΕΞΩΔΙΚΑΣΤΙΚΗ ΕΠΙΛΥΣΗ ΚΑΤΑΝΑΛΩΤΙΚΩΝ ΔΙΑΦΟΡΩΝ</c:v>
                </c:pt>
                <c:pt idx="8">
                  <c:v>ΠΡΟΣΤΑΣΙΑ ΤΟΥ ΕΛΕΥΘΕΡΟΥ ΑΝΤΑΓΩΝΙΣΜΟΥ </c:v>
                </c:pt>
              </c:strCache>
            </c:strRef>
          </c:cat>
          <c:val>
            <c:numRef>
              <c:f>'1'!$B$4:$B$12</c:f>
              <c:numCache>
                <c:formatCode>#,##0\ "€"</c:formatCode>
                <c:ptCount val="9"/>
                <c:pt idx="0">
                  <c:v>14772560.24</c:v>
                </c:pt>
                <c:pt idx="1">
                  <c:v>308956040</c:v>
                </c:pt>
                <c:pt idx="2">
                  <c:v>160416000</c:v>
                </c:pt>
                <c:pt idx="3">
                  <c:v>251829000</c:v>
                </c:pt>
                <c:pt idx="4">
                  <c:v>20944950.300000001</c:v>
                </c:pt>
                <c:pt idx="5">
                  <c:v>12186689.460000001</c:v>
                </c:pt>
                <c:pt idx="6">
                  <c:v>27061760</c:v>
                </c:pt>
                <c:pt idx="7">
                  <c:v>2309000</c:v>
                </c:pt>
              </c:numCache>
            </c:numRef>
          </c:val>
          <c:extLst>
            <c:ext xmlns:c16="http://schemas.microsoft.com/office/drawing/2014/chart" uri="{C3380CC4-5D6E-409C-BE32-E72D297353CC}">
              <c16:uniqueId val="{00000012-5FCE-4957-B418-D3E6D8819F0E}"/>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9261665610431554"/>
          <c:y val="5.0400916380297825E-2"/>
          <c:w val="0.48312755558256432"/>
          <c:h val="0.85480652418447689"/>
        </c:manualLayout>
      </c:layout>
      <c:bar3DChart>
        <c:barDir val="bar"/>
        <c:grouping val="percentStacked"/>
        <c:varyColors val="0"/>
        <c:ser>
          <c:idx val="0"/>
          <c:order val="0"/>
          <c:tx>
            <c:strRef>
              <c:f>'1'!$B$17</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1"/>
              <c:layout>
                <c:manualLayout>
                  <c:x val="3.5281146637265712E-2"/>
                  <c:y val="-7.873361197143564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5E-406D-B483-9DC220299A23}"/>
                </c:ext>
              </c:extLst>
            </c:dLbl>
            <c:dLbl>
              <c:idx val="3"/>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5E-406D-B483-9DC220299A23}"/>
                </c:ext>
              </c:extLst>
            </c:dLbl>
            <c:dLbl>
              <c:idx val="6"/>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5E-406D-B483-9DC220299A23}"/>
                </c:ext>
              </c:extLst>
            </c:dLbl>
            <c:dLbl>
              <c:idx val="8"/>
              <c:delete val="1"/>
              <c:extLst>
                <c:ext xmlns:c15="http://schemas.microsoft.com/office/drawing/2012/chart" uri="{CE6537A1-D6FC-4f65-9D91-7224C49458BB}"/>
                <c:ext xmlns:c16="http://schemas.microsoft.com/office/drawing/2014/chart" uri="{C3380CC4-5D6E-409C-BE32-E72D297353CC}">
                  <c16:uniqueId val="{00000003-075E-406D-B483-9DC220299A23}"/>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'1'!$A$18:$A$26</c:f>
              <c:strCache>
                <c:ptCount val="9"/>
                <c:pt idx="0">
                  <c:v>ΠΡΟΣΤΑΣΙΑ ΤΩΝ ΚΑΤΑΝΑΛΩΤΩΝ</c:v>
                </c:pt>
                <c:pt idx="1">
                  <c:v>ΕΡΕΥΝΑ ΚΑΙ ΑΝΑΠΤΥΞΗ ΣΕ ΕΡΕΥΝΗΤΙΚΑ ΚΕΝΤΡΑ ΚΑΙ ΕΠΙΧΕΙΡΗΣΕΙΣ</c:v>
                </c:pt>
                <c:pt idx="2">
                  <c:v>ΕΛΛΗΝΙΚΗ ΒΙΟΜΗΧΑΝΙΑ</c:v>
                </c:pt>
                <c:pt idx="3">
                  <c:v>ΠΡΟΣΕΛΚΥΣΗ ΙΔΙΩΤΙΚΩΝ ΕΠΕΝΔΥΣΕΩΝ</c:v>
                </c:pt>
                <c:pt idx="4">
                  <c:v>ΕΠΙΧΕΙΡΗΜΑΤΙΚΟ ΠΕΡΙΒΑΛΛΟΝ ΣΤΟΝ ΤΟΜΕΑ ΤΟΥ ΕΜΠΟΡΙΟΥ</c:v>
                </c:pt>
                <c:pt idx="5">
                  <c:v>ΚΕΝΤΡΙΚΕΣ ΔΙΑΔΙΚΑΣΙΕΣ ΑΝΑΘΕΣΗΣ ΔΗΜΟΣΙΩΝ ΣΥΜΒΑΣΕΩΝ</c:v>
                </c:pt>
                <c:pt idx="6">
                  <c:v>ΕΠΙΤΕΛΙΚΟΣ ΣΥΝΤΟΝΙΣΜΟΣ ΚΑΙ ΕΠΕΝΔΥΣΕΙΣ ΥΠΟΥΡΓΕΙΟΥ ΑΝΑΠΤΥΞΗΣ</c:v>
                </c:pt>
                <c:pt idx="7">
                  <c:v>ΔΙΑΜΕΣΟΛΑΒΗΣΗ ΓΙΑ ΤΗΝ ΕΞΩΔΙΚΑΣΤΙΚΗ ΕΠΙΛΥΣΗ ΚΑΤΑΝΑΛΩΤΙΚΩΝ ΔΙΑΦΟΡΩΝ</c:v>
                </c:pt>
                <c:pt idx="8">
                  <c:v>ΠΡΟΣΤΑΣΙΑ ΤΟΥ ΕΛΕΥΘΕΡΟΥ ΑΝΤΑΓΩΝΙΣΜΟΥ </c:v>
                </c:pt>
              </c:strCache>
            </c:strRef>
          </c:cat>
          <c:val>
            <c:numRef>
              <c:f>'1'!$B$18:$B$26</c:f>
              <c:numCache>
                <c:formatCode>#,##0\ "€"</c:formatCode>
                <c:ptCount val="9"/>
                <c:pt idx="0">
                  <c:v>14782782.08</c:v>
                </c:pt>
                <c:pt idx="1">
                  <c:v>106615872.09999999</c:v>
                </c:pt>
                <c:pt idx="2">
                  <c:v>181225306.69999999</c:v>
                </c:pt>
                <c:pt idx="3">
                  <c:v>254510267.18000001</c:v>
                </c:pt>
                <c:pt idx="4">
                  <c:v>20957924.170000002</c:v>
                </c:pt>
                <c:pt idx="5">
                  <c:v>11583885.060000001</c:v>
                </c:pt>
                <c:pt idx="6">
                  <c:v>9280277.3699999992</c:v>
                </c:pt>
                <c:pt idx="7">
                  <c:v>2309000</c:v>
                </c:pt>
                <c:pt idx="8">
                  <c:v>0</c:v>
                </c:pt>
              </c:numCache>
            </c:numRef>
          </c:val>
          <c:extLst>
            <c:ext xmlns:c16="http://schemas.microsoft.com/office/drawing/2014/chart" uri="{C3380CC4-5D6E-409C-BE32-E72D297353CC}">
              <c16:uniqueId val="{00000004-075E-406D-B483-9DC220299A23}"/>
            </c:ext>
          </c:extLst>
        </c:ser>
        <c:ser>
          <c:idx val="1"/>
          <c:order val="1"/>
          <c:tx>
            <c:strRef>
              <c:f>'1'!$C$17</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075E-406D-B483-9DC220299A23}"/>
                </c:ext>
              </c:extLst>
            </c:dLbl>
            <c:dLbl>
              <c:idx val="2"/>
              <c:layout>
                <c:manualLayout>
                  <c:x val="-3.96912899669239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5E-406D-B483-9DC220299A23}"/>
                </c:ext>
              </c:extLst>
            </c:dLbl>
            <c:dLbl>
              <c:idx val="3"/>
              <c:delete val="1"/>
              <c:extLst>
                <c:ext xmlns:c15="http://schemas.microsoft.com/office/drawing/2012/chart" uri="{CE6537A1-D6FC-4f65-9D91-7224C49458BB}"/>
                <c:ext xmlns:c16="http://schemas.microsoft.com/office/drawing/2014/chart" uri="{C3380CC4-5D6E-409C-BE32-E72D297353CC}">
                  <c16:uniqueId val="{00000007-075E-406D-B483-9DC220299A23}"/>
                </c:ext>
              </c:extLst>
            </c:dLbl>
            <c:dLbl>
              <c:idx val="4"/>
              <c:delete val="1"/>
              <c:extLst>
                <c:ext xmlns:c15="http://schemas.microsoft.com/office/drawing/2012/chart" uri="{CE6537A1-D6FC-4f65-9D91-7224C49458BB}"/>
                <c:ext xmlns:c16="http://schemas.microsoft.com/office/drawing/2014/chart" uri="{C3380CC4-5D6E-409C-BE32-E72D297353CC}">
                  <c16:uniqueId val="{00000008-075E-406D-B483-9DC220299A23}"/>
                </c:ext>
              </c:extLst>
            </c:dLbl>
            <c:dLbl>
              <c:idx val="5"/>
              <c:delete val="1"/>
              <c:extLst>
                <c:ext xmlns:c15="http://schemas.microsoft.com/office/drawing/2012/chart" uri="{CE6537A1-D6FC-4f65-9D91-7224C49458BB}"/>
                <c:ext xmlns:c16="http://schemas.microsoft.com/office/drawing/2014/chart" uri="{C3380CC4-5D6E-409C-BE32-E72D297353CC}">
                  <c16:uniqueId val="{00000009-075E-406D-B483-9DC220299A23}"/>
                </c:ext>
              </c:extLst>
            </c:dLbl>
            <c:dLbl>
              <c:idx val="6"/>
              <c:delete val="1"/>
              <c:extLst>
                <c:ext xmlns:c15="http://schemas.microsoft.com/office/drawing/2012/chart" uri="{CE6537A1-D6FC-4f65-9D91-7224C49458BB}"/>
                <c:ext xmlns:c16="http://schemas.microsoft.com/office/drawing/2014/chart" uri="{C3380CC4-5D6E-409C-BE32-E72D297353CC}">
                  <c16:uniqueId val="{0000000A-075E-406D-B483-9DC220299A23}"/>
                </c:ext>
              </c:extLst>
            </c:dLbl>
            <c:dLbl>
              <c:idx val="7"/>
              <c:delete val="1"/>
              <c:extLst>
                <c:ext xmlns:c15="http://schemas.microsoft.com/office/drawing/2012/chart" uri="{CE6537A1-D6FC-4f65-9D91-7224C49458BB}"/>
                <c:ext xmlns:c16="http://schemas.microsoft.com/office/drawing/2014/chart" uri="{C3380CC4-5D6E-409C-BE32-E72D297353CC}">
                  <c16:uniqueId val="{0000000B-075E-406D-B483-9DC220299A23}"/>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'1'!$A$18:$A$26</c:f>
              <c:strCache>
                <c:ptCount val="9"/>
                <c:pt idx="0">
                  <c:v>ΠΡΟΣΤΑΣΙΑ ΤΩΝ ΚΑΤΑΝΑΛΩΤΩΝ</c:v>
                </c:pt>
                <c:pt idx="1">
                  <c:v>ΕΡΕΥΝΑ ΚΑΙ ΑΝΑΠΤΥΞΗ ΣΕ ΕΡΕΥΝΗΤΙΚΑ ΚΕΝΤΡΑ ΚΑΙ ΕΠΙΧΕΙΡΗΣΕΙΣ</c:v>
                </c:pt>
                <c:pt idx="2">
                  <c:v>ΕΛΛΗΝΙΚΗ ΒΙΟΜΗΧΑΝΙΑ</c:v>
                </c:pt>
                <c:pt idx="3">
                  <c:v>ΠΡΟΣΕΛΚΥΣΗ ΙΔΙΩΤΙΚΩΝ ΕΠΕΝΔΥΣΕΩΝ</c:v>
                </c:pt>
                <c:pt idx="4">
                  <c:v>ΕΠΙΧΕΙΡΗΜΑΤΙΚΟ ΠΕΡΙΒΑΛΛΟΝ ΣΤΟΝ ΤΟΜΕΑ ΤΟΥ ΕΜΠΟΡΙΟΥ</c:v>
                </c:pt>
                <c:pt idx="5">
                  <c:v>ΚΕΝΤΡΙΚΕΣ ΔΙΑΔΙΚΑΣΙΕΣ ΑΝΑΘΕΣΗΣ ΔΗΜΟΣΙΩΝ ΣΥΜΒΑΣΕΩΝ</c:v>
                </c:pt>
                <c:pt idx="6">
                  <c:v>ΕΠΙΤΕΛΙΚΟΣ ΣΥΝΤΟΝΙΣΜΟΣ ΚΑΙ ΕΠΕΝΔΥΣΕΙΣ ΥΠΟΥΡΓΕΙΟΥ ΑΝΑΠΤΥΞΗΣ</c:v>
                </c:pt>
                <c:pt idx="7">
                  <c:v>ΔΙΑΜΕΣΟΛΑΒΗΣΗ ΓΙΑ ΤΗΝ ΕΞΩΔΙΚΑΣΤΙΚΗ ΕΠΙΛΥΣΗ ΚΑΤΑΝΑΛΩΤΙΚΩΝ ΔΙΑΦΟΡΩΝ</c:v>
                </c:pt>
                <c:pt idx="8">
                  <c:v>ΠΡΟΣΤΑΣΙΑ ΤΟΥ ΕΛΕΥΘΕΡΟΥ ΑΝΤΑΓΩΝΙΣΜΟΥ </c:v>
                </c:pt>
              </c:strCache>
            </c:strRef>
          </c:cat>
          <c:val>
            <c:numRef>
              <c:f>'1'!$C$18:$C$26</c:f>
              <c:numCache>
                <c:formatCode>#,##0\ "€"</c:formatCode>
                <c:ptCount val="9"/>
                <c:pt idx="0">
                  <c:v>0</c:v>
                </c:pt>
                <c:pt idx="1">
                  <c:v>494880603</c:v>
                </c:pt>
                <c:pt idx="2">
                  <c:v>8430000</c:v>
                </c:pt>
                <c:pt idx="3">
                  <c:v>0</c:v>
                </c:pt>
                <c:pt idx="4">
                  <c:v>0</c:v>
                </c:pt>
                <c:pt idx="5">
                  <c:v>0</c:v>
                </c:pt>
                <c:pt idx="6">
                  <c:v>0</c:v>
                </c:pt>
                <c:pt idx="7">
                  <c:v>0</c:v>
                </c:pt>
                <c:pt idx="8">
                  <c:v>10059000</c:v>
                </c:pt>
              </c:numCache>
            </c:numRef>
          </c:val>
          <c:extLst>
            <c:ext xmlns:c16="http://schemas.microsoft.com/office/drawing/2014/chart" uri="{C3380CC4-5D6E-409C-BE32-E72D297353CC}">
              <c16:uniqueId val="{0000000C-075E-406D-B483-9DC220299A23}"/>
            </c:ext>
          </c:extLst>
        </c:ser>
        <c:dLbls>
          <c:showLegendKey val="0"/>
          <c:showVal val="0"/>
          <c:showCatName val="0"/>
          <c:showSerName val="0"/>
          <c:showPercent val="0"/>
          <c:showBubbleSize val="0"/>
        </c:dLbls>
        <c:gapWidth val="90"/>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759087664675299E-2"/>
          <c:y val="6.295874117313649E-2"/>
          <c:w val="0.90229574543890956"/>
          <c:h val="0.69512900852791326"/>
        </c:manualLayout>
      </c:layout>
      <c:lineChart>
        <c:grouping val="standard"/>
        <c:varyColors val="0"/>
        <c:ser>
          <c:idx val="1"/>
          <c:order val="0"/>
          <c:tx>
            <c:strRef>
              <c:f>Φύλλο1!$C$5</c:f>
              <c:strCache>
                <c:ptCount val="1"/>
                <c:pt idx="0">
                  <c:v>Πυρήνας-Ελλάδα</c:v>
                </c:pt>
              </c:strCache>
            </c:strRef>
          </c:tx>
          <c:spPr>
            <a:ln w="28575" cap="rnd">
              <a:solidFill>
                <a:srgbClr val="7E9BC8"/>
              </a:solidFill>
              <a:round/>
            </a:ln>
            <a:effectLst/>
          </c:spPr>
          <c:marker>
            <c:symbol val="none"/>
          </c:marker>
          <c:cat>
            <c:strRef>
              <c:f>Φύλλο1!$A$7:$A$58</c:f>
              <c:strCache>
                <c:ptCount val="52"/>
                <c:pt idx="0">
                  <c:v>2021-07</c:v>
                </c:pt>
                <c:pt idx="1">
                  <c:v>2021-08</c:v>
                </c:pt>
                <c:pt idx="2">
                  <c:v>2021-09</c:v>
                </c:pt>
                <c:pt idx="3">
                  <c:v>2021-10</c:v>
                </c:pt>
                <c:pt idx="4">
                  <c:v>2021-11</c:v>
                </c:pt>
                <c:pt idx="5">
                  <c:v>2021-12</c:v>
                </c:pt>
                <c:pt idx="6">
                  <c:v>2022-01</c:v>
                </c:pt>
                <c:pt idx="7">
                  <c:v>2022-02</c:v>
                </c:pt>
                <c:pt idx="8">
                  <c:v>2022-03</c:v>
                </c:pt>
                <c:pt idx="9">
                  <c:v>2022-04</c:v>
                </c:pt>
                <c:pt idx="10">
                  <c:v>2022-05</c:v>
                </c:pt>
                <c:pt idx="11">
                  <c:v>2022-06</c:v>
                </c:pt>
                <c:pt idx="12">
                  <c:v>2022-07</c:v>
                </c:pt>
                <c:pt idx="13">
                  <c:v>2022-08</c:v>
                </c:pt>
                <c:pt idx="14">
                  <c:v>2022-09</c:v>
                </c:pt>
                <c:pt idx="15">
                  <c:v>2022-10</c:v>
                </c:pt>
                <c:pt idx="16">
                  <c:v>2022-11</c:v>
                </c:pt>
                <c:pt idx="17">
                  <c:v>2022-12</c:v>
                </c:pt>
                <c:pt idx="18">
                  <c:v>2023-1</c:v>
                </c:pt>
                <c:pt idx="19">
                  <c:v>2023-2</c:v>
                </c:pt>
                <c:pt idx="20">
                  <c:v>2023-3</c:v>
                </c:pt>
                <c:pt idx="21">
                  <c:v>2023-4</c:v>
                </c:pt>
                <c:pt idx="22">
                  <c:v>2023-5</c:v>
                </c:pt>
                <c:pt idx="23">
                  <c:v>2023-6</c:v>
                </c:pt>
                <c:pt idx="24">
                  <c:v>2023-7</c:v>
                </c:pt>
                <c:pt idx="25">
                  <c:v>2023-8</c:v>
                </c:pt>
                <c:pt idx="26">
                  <c:v>2023-9</c:v>
                </c:pt>
                <c:pt idx="27">
                  <c:v>2023-10</c:v>
                </c:pt>
                <c:pt idx="28">
                  <c:v>2023-11</c:v>
                </c:pt>
                <c:pt idx="29">
                  <c:v>2023-12</c:v>
                </c:pt>
                <c:pt idx="30">
                  <c:v>2024-1</c:v>
                </c:pt>
                <c:pt idx="31">
                  <c:v>2024-2</c:v>
                </c:pt>
                <c:pt idx="32">
                  <c:v>2024-3</c:v>
                </c:pt>
                <c:pt idx="33">
                  <c:v>2024-4</c:v>
                </c:pt>
                <c:pt idx="34">
                  <c:v>2024-5</c:v>
                </c:pt>
                <c:pt idx="35">
                  <c:v>2024-6</c:v>
                </c:pt>
                <c:pt idx="36">
                  <c:v>2024-7</c:v>
                </c:pt>
                <c:pt idx="37">
                  <c:v>2024-8</c:v>
                </c:pt>
                <c:pt idx="38">
                  <c:v>2024-9</c:v>
                </c:pt>
                <c:pt idx="39">
                  <c:v>2024-10</c:v>
                </c:pt>
                <c:pt idx="40">
                  <c:v>2024-11</c:v>
                </c:pt>
                <c:pt idx="41">
                  <c:v>2024-12</c:v>
                </c:pt>
                <c:pt idx="42">
                  <c:v>2025-1</c:v>
                </c:pt>
                <c:pt idx="43">
                  <c:v>2025-2</c:v>
                </c:pt>
                <c:pt idx="44">
                  <c:v>2025-3</c:v>
                </c:pt>
                <c:pt idx="45">
                  <c:v>2025-4</c:v>
                </c:pt>
                <c:pt idx="46">
                  <c:v>2025-5</c:v>
                </c:pt>
                <c:pt idx="47">
                  <c:v>2025-6</c:v>
                </c:pt>
                <c:pt idx="48">
                  <c:v>2025-7</c:v>
                </c:pt>
                <c:pt idx="49">
                  <c:v>2025-8</c:v>
                </c:pt>
                <c:pt idx="50">
                  <c:v>2025-9</c:v>
                </c:pt>
                <c:pt idx="51">
                  <c:v>2025-10</c:v>
                </c:pt>
              </c:strCache>
            </c:strRef>
          </c:cat>
          <c:val>
            <c:numRef>
              <c:f>Φύλλο1!$C$7:$C$58</c:f>
              <c:numCache>
                <c:formatCode>#.##0##########</c:formatCode>
                <c:ptCount val="52"/>
                <c:pt idx="0">
                  <c:v>-1.1000000000000001</c:v>
                </c:pt>
                <c:pt idx="1">
                  <c:v>-0.7</c:v>
                </c:pt>
                <c:pt idx="2">
                  <c:v>0.2</c:v>
                </c:pt>
                <c:pt idx="3">
                  <c:v>0.4</c:v>
                </c:pt>
                <c:pt idx="4">
                  <c:v>0.7</c:v>
                </c:pt>
                <c:pt idx="5">
                  <c:v>1.1000000000000001</c:v>
                </c:pt>
                <c:pt idx="6">
                  <c:v>1.5</c:v>
                </c:pt>
                <c:pt idx="7">
                  <c:v>1.5</c:v>
                </c:pt>
                <c:pt idx="8">
                  <c:v>2.5</c:v>
                </c:pt>
                <c:pt idx="9">
                  <c:v>2.6</c:v>
                </c:pt>
                <c:pt idx="10">
                  <c:v>3.7</c:v>
                </c:pt>
                <c:pt idx="11">
                  <c:v>5.5</c:v>
                </c:pt>
                <c:pt idx="12">
                  <c:v>5.5</c:v>
                </c:pt>
                <c:pt idx="13">
                  <c:v>5.8</c:v>
                </c:pt>
                <c:pt idx="14">
                  <c:v>6.9</c:v>
                </c:pt>
                <c:pt idx="15">
                  <c:v>6.6</c:v>
                </c:pt>
                <c:pt idx="16">
                  <c:v>6.8</c:v>
                </c:pt>
                <c:pt idx="17">
                  <c:v>5.9</c:v>
                </c:pt>
                <c:pt idx="18">
                  <c:v>6.5</c:v>
                </c:pt>
                <c:pt idx="19">
                  <c:v>6.8</c:v>
                </c:pt>
                <c:pt idx="20" formatCode="#.##00">
                  <c:v>7</c:v>
                </c:pt>
                <c:pt idx="21">
                  <c:v>7.2</c:v>
                </c:pt>
                <c:pt idx="22">
                  <c:v>7.3</c:v>
                </c:pt>
                <c:pt idx="23">
                  <c:v>4.8</c:v>
                </c:pt>
                <c:pt idx="24">
                  <c:v>5.4</c:v>
                </c:pt>
                <c:pt idx="25">
                  <c:v>5.4</c:v>
                </c:pt>
                <c:pt idx="26">
                  <c:v>4.2</c:v>
                </c:pt>
                <c:pt idx="27">
                  <c:v>3.6</c:v>
                </c:pt>
                <c:pt idx="28">
                  <c:v>2.8</c:v>
                </c:pt>
                <c:pt idx="29">
                  <c:v>3.3</c:v>
                </c:pt>
                <c:pt idx="30">
                  <c:v>3.1</c:v>
                </c:pt>
                <c:pt idx="31" formatCode="#.##00">
                  <c:v>3</c:v>
                </c:pt>
                <c:pt idx="32">
                  <c:v>3.4</c:v>
                </c:pt>
                <c:pt idx="33">
                  <c:v>3.1</c:v>
                </c:pt>
                <c:pt idx="34">
                  <c:v>2.8</c:v>
                </c:pt>
                <c:pt idx="35">
                  <c:v>3.4</c:v>
                </c:pt>
                <c:pt idx="36">
                  <c:v>3.8</c:v>
                </c:pt>
                <c:pt idx="37">
                  <c:v>3.7</c:v>
                </c:pt>
                <c:pt idx="38">
                  <c:v>3.6</c:v>
                </c:pt>
                <c:pt idx="39">
                  <c:v>4.3</c:v>
                </c:pt>
                <c:pt idx="40">
                  <c:v>4.5</c:v>
                </c:pt>
                <c:pt idx="41">
                  <c:v>4.4000000000000004</c:v>
                </c:pt>
                <c:pt idx="42">
                  <c:v>4.4000000000000004</c:v>
                </c:pt>
                <c:pt idx="43">
                  <c:v>4.2</c:v>
                </c:pt>
                <c:pt idx="44">
                  <c:v>3.8</c:v>
                </c:pt>
                <c:pt idx="45">
                  <c:v>3.8</c:v>
                </c:pt>
                <c:pt idx="46" formatCode="#.##00">
                  <c:v>4</c:v>
                </c:pt>
                <c:pt idx="47">
                  <c:v>4.2</c:v>
                </c:pt>
                <c:pt idx="48">
                  <c:v>4.3</c:v>
                </c:pt>
                <c:pt idx="49">
                  <c:v>3.9</c:v>
                </c:pt>
                <c:pt idx="50">
                  <c:v>2.6</c:v>
                </c:pt>
                <c:pt idx="51">
                  <c:v>1.9</c:v>
                </c:pt>
              </c:numCache>
            </c:numRef>
          </c:val>
          <c:smooth val="0"/>
          <c:extLst>
            <c:ext xmlns:c16="http://schemas.microsoft.com/office/drawing/2014/chart" uri="{C3380CC4-5D6E-409C-BE32-E72D297353CC}">
              <c16:uniqueId val="{00000000-04E0-4836-9C75-053BDF8125F2}"/>
            </c:ext>
          </c:extLst>
        </c:ser>
        <c:ser>
          <c:idx val="2"/>
          <c:order val="1"/>
          <c:tx>
            <c:strRef>
              <c:f>Φύλλο1!$D$5</c:f>
              <c:strCache>
                <c:ptCount val="1"/>
                <c:pt idx="0">
                  <c:v>Εν.ΔΤΚ-Ελλάδα</c:v>
                </c:pt>
              </c:strCache>
            </c:strRef>
          </c:tx>
          <c:spPr>
            <a:ln w="28575" cap="rnd">
              <a:solidFill>
                <a:srgbClr val="4978B1"/>
              </a:solidFill>
              <a:round/>
            </a:ln>
            <a:effectLst/>
          </c:spPr>
          <c:marker>
            <c:symbol val="none"/>
          </c:marker>
          <c:cat>
            <c:strRef>
              <c:f>Φύλλο1!$A$7:$A$58</c:f>
              <c:strCache>
                <c:ptCount val="52"/>
                <c:pt idx="0">
                  <c:v>2021-07</c:v>
                </c:pt>
                <c:pt idx="1">
                  <c:v>2021-08</c:v>
                </c:pt>
                <c:pt idx="2">
                  <c:v>2021-09</c:v>
                </c:pt>
                <c:pt idx="3">
                  <c:v>2021-10</c:v>
                </c:pt>
                <c:pt idx="4">
                  <c:v>2021-11</c:v>
                </c:pt>
                <c:pt idx="5">
                  <c:v>2021-12</c:v>
                </c:pt>
                <c:pt idx="6">
                  <c:v>2022-01</c:v>
                </c:pt>
                <c:pt idx="7">
                  <c:v>2022-02</c:v>
                </c:pt>
                <c:pt idx="8">
                  <c:v>2022-03</c:v>
                </c:pt>
                <c:pt idx="9">
                  <c:v>2022-04</c:v>
                </c:pt>
                <c:pt idx="10">
                  <c:v>2022-05</c:v>
                </c:pt>
                <c:pt idx="11">
                  <c:v>2022-06</c:v>
                </c:pt>
                <c:pt idx="12">
                  <c:v>2022-07</c:v>
                </c:pt>
                <c:pt idx="13">
                  <c:v>2022-08</c:v>
                </c:pt>
                <c:pt idx="14">
                  <c:v>2022-09</c:v>
                </c:pt>
                <c:pt idx="15">
                  <c:v>2022-10</c:v>
                </c:pt>
                <c:pt idx="16">
                  <c:v>2022-11</c:v>
                </c:pt>
                <c:pt idx="17">
                  <c:v>2022-12</c:v>
                </c:pt>
                <c:pt idx="18">
                  <c:v>2023-1</c:v>
                </c:pt>
                <c:pt idx="19">
                  <c:v>2023-2</c:v>
                </c:pt>
                <c:pt idx="20">
                  <c:v>2023-3</c:v>
                </c:pt>
                <c:pt idx="21">
                  <c:v>2023-4</c:v>
                </c:pt>
                <c:pt idx="22">
                  <c:v>2023-5</c:v>
                </c:pt>
                <c:pt idx="23">
                  <c:v>2023-6</c:v>
                </c:pt>
                <c:pt idx="24">
                  <c:v>2023-7</c:v>
                </c:pt>
                <c:pt idx="25">
                  <c:v>2023-8</c:v>
                </c:pt>
                <c:pt idx="26">
                  <c:v>2023-9</c:v>
                </c:pt>
                <c:pt idx="27">
                  <c:v>2023-10</c:v>
                </c:pt>
                <c:pt idx="28">
                  <c:v>2023-11</c:v>
                </c:pt>
                <c:pt idx="29">
                  <c:v>2023-12</c:v>
                </c:pt>
                <c:pt idx="30">
                  <c:v>2024-1</c:v>
                </c:pt>
                <c:pt idx="31">
                  <c:v>2024-2</c:v>
                </c:pt>
                <c:pt idx="32">
                  <c:v>2024-3</c:v>
                </c:pt>
                <c:pt idx="33">
                  <c:v>2024-4</c:v>
                </c:pt>
                <c:pt idx="34">
                  <c:v>2024-5</c:v>
                </c:pt>
                <c:pt idx="35">
                  <c:v>2024-6</c:v>
                </c:pt>
                <c:pt idx="36">
                  <c:v>2024-7</c:v>
                </c:pt>
                <c:pt idx="37">
                  <c:v>2024-8</c:v>
                </c:pt>
                <c:pt idx="38">
                  <c:v>2024-9</c:v>
                </c:pt>
                <c:pt idx="39">
                  <c:v>2024-10</c:v>
                </c:pt>
                <c:pt idx="40">
                  <c:v>2024-11</c:v>
                </c:pt>
                <c:pt idx="41">
                  <c:v>2024-12</c:v>
                </c:pt>
                <c:pt idx="42">
                  <c:v>2025-1</c:v>
                </c:pt>
                <c:pt idx="43">
                  <c:v>2025-2</c:v>
                </c:pt>
                <c:pt idx="44">
                  <c:v>2025-3</c:v>
                </c:pt>
                <c:pt idx="45">
                  <c:v>2025-4</c:v>
                </c:pt>
                <c:pt idx="46">
                  <c:v>2025-5</c:v>
                </c:pt>
                <c:pt idx="47">
                  <c:v>2025-6</c:v>
                </c:pt>
                <c:pt idx="48">
                  <c:v>2025-7</c:v>
                </c:pt>
                <c:pt idx="49">
                  <c:v>2025-8</c:v>
                </c:pt>
                <c:pt idx="50">
                  <c:v>2025-9</c:v>
                </c:pt>
                <c:pt idx="51">
                  <c:v>2025-10</c:v>
                </c:pt>
              </c:strCache>
            </c:strRef>
          </c:cat>
          <c:val>
            <c:numRef>
              <c:f>Φύλλο1!$D$7:$D$58</c:f>
              <c:numCache>
                <c:formatCode>#.##0##########</c:formatCode>
                <c:ptCount val="52"/>
                <c:pt idx="0">
                  <c:v>0.7</c:v>
                </c:pt>
                <c:pt idx="1">
                  <c:v>1.2</c:v>
                </c:pt>
                <c:pt idx="2">
                  <c:v>1.9</c:v>
                </c:pt>
                <c:pt idx="3">
                  <c:v>2.8</c:v>
                </c:pt>
                <c:pt idx="4" formatCode="#.##00">
                  <c:v>4</c:v>
                </c:pt>
                <c:pt idx="5">
                  <c:v>4.4000000000000004</c:v>
                </c:pt>
                <c:pt idx="6">
                  <c:v>5.5</c:v>
                </c:pt>
                <c:pt idx="7">
                  <c:v>6.3</c:v>
                </c:pt>
                <c:pt idx="8" formatCode="#.##00">
                  <c:v>8</c:v>
                </c:pt>
                <c:pt idx="9">
                  <c:v>9.1</c:v>
                </c:pt>
                <c:pt idx="10">
                  <c:v>10.5</c:v>
                </c:pt>
                <c:pt idx="11">
                  <c:v>11.6</c:v>
                </c:pt>
                <c:pt idx="12">
                  <c:v>11.3</c:v>
                </c:pt>
                <c:pt idx="13">
                  <c:v>11.2</c:v>
                </c:pt>
                <c:pt idx="14">
                  <c:v>12.1</c:v>
                </c:pt>
                <c:pt idx="15">
                  <c:v>9.5</c:v>
                </c:pt>
                <c:pt idx="16">
                  <c:v>8.8000000000000007</c:v>
                </c:pt>
                <c:pt idx="17">
                  <c:v>7.6</c:v>
                </c:pt>
                <c:pt idx="18">
                  <c:v>7.3</c:v>
                </c:pt>
                <c:pt idx="19">
                  <c:v>6.5</c:v>
                </c:pt>
                <c:pt idx="20">
                  <c:v>5.4</c:v>
                </c:pt>
                <c:pt idx="21">
                  <c:v>4.5</c:v>
                </c:pt>
                <c:pt idx="22">
                  <c:v>4.0999999999999996</c:v>
                </c:pt>
                <c:pt idx="23">
                  <c:v>2.8</c:v>
                </c:pt>
                <c:pt idx="24">
                  <c:v>3.5</c:v>
                </c:pt>
                <c:pt idx="25">
                  <c:v>3.5</c:v>
                </c:pt>
                <c:pt idx="26">
                  <c:v>2.4</c:v>
                </c:pt>
                <c:pt idx="27">
                  <c:v>3.8</c:v>
                </c:pt>
                <c:pt idx="28">
                  <c:v>2.9</c:v>
                </c:pt>
                <c:pt idx="29">
                  <c:v>3.7</c:v>
                </c:pt>
                <c:pt idx="30">
                  <c:v>3.2</c:v>
                </c:pt>
                <c:pt idx="31">
                  <c:v>3.1</c:v>
                </c:pt>
                <c:pt idx="32">
                  <c:v>3.4</c:v>
                </c:pt>
                <c:pt idx="33">
                  <c:v>3.2</c:v>
                </c:pt>
                <c:pt idx="34">
                  <c:v>2.4</c:v>
                </c:pt>
                <c:pt idx="35">
                  <c:v>2.5</c:v>
                </c:pt>
                <c:pt idx="36" formatCode="#.##00">
                  <c:v>3</c:v>
                </c:pt>
                <c:pt idx="37">
                  <c:v>3.2</c:v>
                </c:pt>
                <c:pt idx="38">
                  <c:v>3.1</c:v>
                </c:pt>
                <c:pt idx="39">
                  <c:v>3.1</c:v>
                </c:pt>
                <c:pt idx="40" formatCode="#.##00">
                  <c:v>3</c:v>
                </c:pt>
                <c:pt idx="41">
                  <c:v>2.9</c:v>
                </c:pt>
                <c:pt idx="42">
                  <c:v>3.1</c:v>
                </c:pt>
                <c:pt idx="43" formatCode="#.##00">
                  <c:v>3</c:v>
                </c:pt>
                <c:pt idx="44">
                  <c:v>3.1</c:v>
                </c:pt>
                <c:pt idx="45">
                  <c:v>2.6</c:v>
                </c:pt>
                <c:pt idx="46">
                  <c:v>3.3</c:v>
                </c:pt>
                <c:pt idx="47">
                  <c:v>3.6</c:v>
                </c:pt>
                <c:pt idx="48">
                  <c:v>3.7</c:v>
                </c:pt>
                <c:pt idx="49">
                  <c:v>3.1</c:v>
                </c:pt>
                <c:pt idx="50">
                  <c:v>1.8</c:v>
                </c:pt>
                <c:pt idx="51">
                  <c:v>1.7</c:v>
                </c:pt>
              </c:numCache>
            </c:numRef>
          </c:val>
          <c:smooth val="0"/>
          <c:extLst>
            <c:ext xmlns:c16="http://schemas.microsoft.com/office/drawing/2014/chart" uri="{C3380CC4-5D6E-409C-BE32-E72D297353CC}">
              <c16:uniqueId val="{00000001-04E0-4836-9C75-053BDF8125F2}"/>
            </c:ext>
          </c:extLst>
        </c:ser>
        <c:ser>
          <c:idx val="3"/>
          <c:order val="2"/>
          <c:tx>
            <c:strRef>
              <c:f>Φύλλο1!$E$5</c:f>
              <c:strCache>
                <c:ptCount val="1"/>
                <c:pt idx="0">
                  <c:v>Τρόφιμα </c:v>
                </c:pt>
              </c:strCache>
            </c:strRef>
          </c:tx>
          <c:spPr>
            <a:ln w="28575" cap="rnd">
              <a:solidFill>
                <a:srgbClr val="3C6494"/>
              </a:solidFill>
              <a:round/>
            </a:ln>
            <a:effectLst/>
          </c:spPr>
          <c:marker>
            <c:symbol val="none"/>
          </c:marker>
          <c:cat>
            <c:strRef>
              <c:f>Φύλλο1!$A$7:$A$58</c:f>
              <c:strCache>
                <c:ptCount val="52"/>
                <c:pt idx="0">
                  <c:v>2021-07</c:v>
                </c:pt>
                <c:pt idx="1">
                  <c:v>2021-08</c:v>
                </c:pt>
                <c:pt idx="2">
                  <c:v>2021-09</c:v>
                </c:pt>
                <c:pt idx="3">
                  <c:v>2021-10</c:v>
                </c:pt>
                <c:pt idx="4">
                  <c:v>2021-11</c:v>
                </c:pt>
                <c:pt idx="5">
                  <c:v>2021-12</c:v>
                </c:pt>
                <c:pt idx="6">
                  <c:v>2022-01</c:v>
                </c:pt>
                <c:pt idx="7">
                  <c:v>2022-02</c:v>
                </c:pt>
                <c:pt idx="8">
                  <c:v>2022-03</c:v>
                </c:pt>
                <c:pt idx="9">
                  <c:v>2022-04</c:v>
                </c:pt>
                <c:pt idx="10">
                  <c:v>2022-05</c:v>
                </c:pt>
                <c:pt idx="11">
                  <c:v>2022-06</c:v>
                </c:pt>
                <c:pt idx="12">
                  <c:v>2022-07</c:v>
                </c:pt>
                <c:pt idx="13">
                  <c:v>2022-08</c:v>
                </c:pt>
                <c:pt idx="14">
                  <c:v>2022-09</c:v>
                </c:pt>
                <c:pt idx="15">
                  <c:v>2022-10</c:v>
                </c:pt>
                <c:pt idx="16">
                  <c:v>2022-11</c:v>
                </c:pt>
                <c:pt idx="17">
                  <c:v>2022-12</c:v>
                </c:pt>
                <c:pt idx="18">
                  <c:v>2023-1</c:v>
                </c:pt>
                <c:pt idx="19">
                  <c:v>2023-2</c:v>
                </c:pt>
                <c:pt idx="20">
                  <c:v>2023-3</c:v>
                </c:pt>
                <c:pt idx="21">
                  <c:v>2023-4</c:v>
                </c:pt>
                <c:pt idx="22">
                  <c:v>2023-5</c:v>
                </c:pt>
                <c:pt idx="23">
                  <c:v>2023-6</c:v>
                </c:pt>
                <c:pt idx="24">
                  <c:v>2023-7</c:v>
                </c:pt>
                <c:pt idx="25">
                  <c:v>2023-8</c:v>
                </c:pt>
                <c:pt idx="26">
                  <c:v>2023-9</c:v>
                </c:pt>
                <c:pt idx="27">
                  <c:v>2023-10</c:v>
                </c:pt>
                <c:pt idx="28">
                  <c:v>2023-11</c:v>
                </c:pt>
                <c:pt idx="29">
                  <c:v>2023-12</c:v>
                </c:pt>
                <c:pt idx="30">
                  <c:v>2024-1</c:v>
                </c:pt>
                <c:pt idx="31">
                  <c:v>2024-2</c:v>
                </c:pt>
                <c:pt idx="32">
                  <c:v>2024-3</c:v>
                </c:pt>
                <c:pt idx="33">
                  <c:v>2024-4</c:v>
                </c:pt>
                <c:pt idx="34">
                  <c:v>2024-5</c:v>
                </c:pt>
                <c:pt idx="35">
                  <c:v>2024-6</c:v>
                </c:pt>
                <c:pt idx="36">
                  <c:v>2024-7</c:v>
                </c:pt>
                <c:pt idx="37">
                  <c:v>2024-8</c:v>
                </c:pt>
                <c:pt idx="38">
                  <c:v>2024-9</c:v>
                </c:pt>
                <c:pt idx="39">
                  <c:v>2024-10</c:v>
                </c:pt>
                <c:pt idx="40">
                  <c:v>2024-11</c:v>
                </c:pt>
                <c:pt idx="41">
                  <c:v>2024-12</c:v>
                </c:pt>
                <c:pt idx="42">
                  <c:v>2025-1</c:v>
                </c:pt>
                <c:pt idx="43">
                  <c:v>2025-2</c:v>
                </c:pt>
                <c:pt idx="44">
                  <c:v>2025-3</c:v>
                </c:pt>
                <c:pt idx="45">
                  <c:v>2025-4</c:v>
                </c:pt>
                <c:pt idx="46">
                  <c:v>2025-5</c:v>
                </c:pt>
                <c:pt idx="47">
                  <c:v>2025-6</c:v>
                </c:pt>
                <c:pt idx="48">
                  <c:v>2025-7</c:v>
                </c:pt>
                <c:pt idx="49">
                  <c:v>2025-8</c:v>
                </c:pt>
                <c:pt idx="50">
                  <c:v>2025-9</c:v>
                </c:pt>
                <c:pt idx="51">
                  <c:v>2025-10</c:v>
                </c:pt>
              </c:strCache>
            </c:strRef>
          </c:cat>
          <c:val>
            <c:numRef>
              <c:f>Φύλλο1!$E$7:$E$58</c:f>
              <c:numCache>
                <c:formatCode>#.##0##########</c:formatCode>
                <c:ptCount val="52"/>
                <c:pt idx="0">
                  <c:v>1.7</c:v>
                </c:pt>
                <c:pt idx="1">
                  <c:v>2.7</c:v>
                </c:pt>
                <c:pt idx="2">
                  <c:v>2.9</c:v>
                </c:pt>
                <c:pt idx="3">
                  <c:v>2.4</c:v>
                </c:pt>
                <c:pt idx="4" formatCode="#.##00">
                  <c:v>3</c:v>
                </c:pt>
                <c:pt idx="5">
                  <c:v>3.6</c:v>
                </c:pt>
                <c:pt idx="6">
                  <c:v>4.4000000000000004</c:v>
                </c:pt>
                <c:pt idx="7">
                  <c:v>5.9</c:v>
                </c:pt>
                <c:pt idx="8">
                  <c:v>6.7</c:v>
                </c:pt>
                <c:pt idx="9">
                  <c:v>8.9</c:v>
                </c:pt>
                <c:pt idx="10">
                  <c:v>10.1</c:v>
                </c:pt>
                <c:pt idx="11">
                  <c:v>10.3</c:v>
                </c:pt>
                <c:pt idx="12">
                  <c:v>10.5</c:v>
                </c:pt>
                <c:pt idx="13">
                  <c:v>10.8</c:v>
                </c:pt>
                <c:pt idx="14">
                  <c:v>10.7</c:v>
                </c:pt>
                <c:pt idx="15">
                  <c:v>12.3</c:v>
                </c:pt>
                <c:pt idx="16">
                  <c:v>12.5</c:v>
                </c:pt>
                <c:pt idx="17">
                  <c:v>12.9</c:v>
                </c:pt>
                <c:pt idx="18">
                  <c:v>12.8</c:v>
                </c:pt>
                <c:pt idx="19">
                  <c:v>12.2</c:v>
                </c:pt>
                <c:pt idx="20">
                  <c:v>11.8</c:v>
                </c:pt>
                <c:pt idx="21">
                  <c:v>9.6</c:v>
                </c:pt>
                <c:pt idx="22">
                  <c:v>9.8000000000000007</c:v>
                </c:pt>
                <c:pt idx="23">
                  <c:v>10.7</c:v>
                </c:pt>
                <c:pt idx="24">
                  <c:v>10.9</c:v>
                </c:pt>
                <c:pt idx="25">
                  <c:v>9.3000000000000007</c:v>
                </c:pt>
                <c:pt idx="26">
                  <c:v>8.1999999999999993</c:v>
                </c:pt>
                <c:pt idx="27">
                  <c:v>8.8000000000000007</c:v>
                </c:pt>
                <c:pt idx="28">
                  <c:v>7.6</c:v>
                </c:pt>
                <c:pt idx="29">
                  <c:v>7.6</c:v>
                </c:pt>
                <c:pt idx="30">
                  <c:v>7.1</c:v>
                </c:pt>
                <c:pt idx="31">
                  <c:v>5.8</c:v>
                </c:pt>
                <c:pt idx="32">
                  <c:v>4.8</c:v>
                </c:pt>
                <c:pt idx="33">
                  <c:v>4.8</c:v>
                </c:pt>
                <c:pt idx="34">
                  <c:v>2.4</c:v>
                </c:pt>
                <c:pt idx="35">
                  <c:v>1.3</c:v>
                </c:pt>
                <c:pt idx="36">
                  <c:v>1.4</c:v>
                </c:pt>
                <c:pt idx="37" formatCode="#.##00">
                  <c:v>2</c:v>
                </c:pt>
                <c:pt idx="38">
                  <c:v>2.9</c:v>
                </c:pt>
                <c:pt idx="39" formatCode="#.##00">
                  <c:v>1</c:v>
                </c:pt>
                <c:pt idx="40">
                  <c:v>0.5</c:v>
                </c:pt>
                <c:pt idx="41">
                  <c:v>-0.2</c:v>
                </c:pt>
                <c:pt idx="42" formatCode="#.##00">
                  <c:v>0</c:v>
                </c:pt>
                <c:pt idx="43">
                  <c:v>0.4</c:v>
                </c:pt>
                <c:pt idx="44">
                  <c:v>2.1</c:v>
                </c:pt>
                <c:pt idx="45">
                  <c:v>1.7</c:v>
                </c:pt>
                <c:pt idx="46">
                  <c:v>2.8</c:v>
                </c:pt>
                <c:pt idx="47">
                  <c:v>2.4</c:v>
                </c:pt>
                <c:pt idx="48">
                  <c:v>3.3</c:v>
                </c:pt>
                <c:pt idx="49">
                  <c:v>2.4</c:v>
                </c:pt>
                <c:pt idx="50">
                  <c:v>1.4</c:v>
                </c:pt>
                <c:pt idx="51">
                  <c:v>2.8</c:v>
                </c:pt>
              </c:numCache>
            </c:numRef>
          </c:val>
          <c:smooth val="0"/>
          <c:extLst>
            <c:ext xmlns:c16="http://schemas.microsoft.com/office/drawing/2014/chart" uri="{C3380CC4-5D6E-409C-BE32-E72D297353CC}">
              <c16:uniqueId val="{00000002-04E0-4836-9C75-053BDF8125F2}"/>
            </c:ext>
          </c:extLst>
        </c:ser>
        <c:dLbls>
          <c:showLegendKey val="0"/>
          <c:showVal val="0"/>
          <c:showCatName val="0"/>
          <c:showSerName val="0"/>
          <c:showPercent val="0"/>
          <c:showBubbleSize val="0"/>
        </c:dLbls>
        <c:marker val="1"/>
        <c:smooth val="0"/>
        <c:axId val="2098263504"/>
        <c:axId val="1938319392"/>
      </c:lineChart>
      <c:lineChart>
        <c:grouping val="standard"/>
        <c:varyColors val="0"/>
        <c:ser>
          <c:idx val="0"/>
          <c:order val="3"/>
          <c:tx>
            <c:strRef>
              <c:f>Φύλλο1!$B$5</c:f>
              <c:strCache>
                <c:ptCount val="1"/>
                <c:pt idx="0">
                  <c:v>Ενέργεια-Ελλάδα</c:v>
                </c:pt>
              </c:strCache>
            </c:strRef>
          </c:tx>
          <c:spPr>
            <a:ln w="28575" cap="rnd">
              <a:solidFill>
                <a:srgbClr val="7F7F7F"/>
              </a:solidFill>
              <a:round/>
            </a:ln>
            <a:effectLst/>
          </c:spPr>
          <c:marker>
            <c:symbol val="none"/>
          </c:marker>
          <c:cat>
            <c:strRef>
              <c:f>Φύλλο1!$A$7:$A$58</c:f>
              <c:strCache>
                <c:ptCount val="52"/>
                <c:pt idx="0">
                  <c:v>2021-07</c:v>
                </c:pt>
                <c:pt idx="1">
                  <c:v>2021-08</c:v>
                </c:pt>
                <c:pt idx="2">
                  <c:v>2021-09</c:v>
                </c:pt>
                <c:pt idx="3">
                  <c:v>2021-10</c:v>
                </c:pt>
                <c:pt idx="4">
                  <c:v>2021-11</c:v>
                </c:pt>
                <c:pt idx="5">
                  <c:v>2021-12</c:v>
                </c:pt>
                <c:pt idx="6">
                  <c:v>2022-01</c:v>
                </c:pt>
                <c:pt idx="7">
                  <c:v>2022-02</c:v>
                </c:pt>
                <c:pt idx="8">
                  <c:v>2022-03</c:v>
                </c:pt>
                <c:pt idx="9">
                  <c:v>2022-04</c:v>
                </c:pt>
                <c:pt idx="10">
                  <c:v>2022-05</c:v>
                </c:pt>
                <c:pt idx="11">
                  <c:v>2022-06</c:v>
                </c:pt>
                <c:pt idx="12">
                  <c:v>2022-07</c:v>
                </c:pt>
                <c:pt idx="13">
                  <c:v>2022-08</c:v>
                </c:pt>
                <c:pt idx="14">
                  <c:v>2022-09</c:v>
                </c:pt>
                <c:pt idx="15">
                  <c:v>2022-10</c:v>
                </c:pt>
                <c:pt idx="16">
                  <c:v>2022-11</c:v>
                </c:pt>
                <c:pt idx="17">
                  <c:v>2022-12</c:v>
                </c:pt>
                <c:pt idx="18">
                  <c:v>2023-1</c:v>
                </c:pt>
                <c:pt idx="19">
                  <c:v>2023-2</c:v>
                </c:pt>
                <c:pt idx="20">
                  <c:v>2023-3</c:v>
                </c:pt>
                <c:pt idx="21">
                  <c:v>2023-4</c:v>
                </c:pt>
                <c:pt idx="22">
                  <c:v>2023-5</c:v>
                </c:pt>
                <c:pt idx="23">
                  <c:v>2023-6</c:v>
                </c:pt>
                <c:pt idx="24">
                  <c:v>2023-7</c:v>
                </c:pt>
                <c:pt idx="25">
                  <c:v>2023-8</c:v>
                </c:pt>
                <c:pt idx="26">
                  <c:v>2023-9</c:v>
                </c:pt>
                <c:pt idx="27">
                  <c:v>2023-10</c:v>
                </c:pt>
                <c:pt idx="28">
                  <c:v>2023-11</c:v>
                </c:pt>
                <c:pt idx="29">
                  <c:v>2023-12</c:v>
                </c:pt>
                <c:pt idx="30">
                  <c:v>2024-1</c:v>
                </c:pt>
                <c:pt idx="31">
                  <c:v>2024-2</c:v>
                </c:pt>
                <c:pt idx="32">
                  <c:v>2024-3</c:v>
                </c:pt>
                <c:pt idx="33">
                  <c:v>2024-4</c:v>
                </c:pt>
                <c:pt idx="34">
                  <c:v>2024-5</c:v>
                </c:pt>
                <c:pt idx="35">
                  <c:v>2024-6</c:v>
                </c:pt>
                <c:pt idx="36">
                  <c:v>2024-7</c:v>
                </c:pt>
                <c:pt idx="37">
                  <c:v>2024-8</c:v>
                </c:pt>
                <c:pt idx="38">
                  <c:v>2024-9</c:v>
                </c:pt>
                <c:pt idx="39">
                  <c:v>2024-10</c:v>
                </c:pt>
                <c:pt idx="40">
                  <c:v>2024-11</c:v>
                </c:pt>
                <c:pt idx="41">
                  <c:v>2024-12</c:v>
                </c:pt>
                <c:pt idx="42">
                  <c:v>2025-1</c:v>
                </c:pt>
                <c:pt idx="43">
                  <c:v>2025-2</c:v>
                </c:pt>
                <c:pt idx="44">
                  <c:v>2025-3</c:v>
                </c:pt>
                <c:pt idx="45">
                  <c:v>2025-4</c:v>
                </c:pt>
                <c:pt idx="46">
                  <c:v>2025-5</c:v>
                </c:pt>
                <c:pt idx="47">
                  <c:v>2025-6</c:v>
                </c:pt>
                <c:pt idx="48">
                  <c:v>2025-7</c:v>
                </c:pt>
                <c:pt idx="49">
                  <c:v>2025-8</c:v>
                </c:pt>
                <c:pt idx="50">
                  <c:v>2025-9</c:v>
                </c:pt>
                <c:pt idx="51">
                  <c:v>2025-10</c:v>
                </c:pt>
              </c:strCache>
            </c:strRef>
          </c:cat>
          <c:val>
            <c:numRef>
              <c:f>Φύλλο1!$B$7:$B$58</c:f>
              <c:numCache>
                <c:formatCode>#.##0##########</c:formatCode>
                <c:ptCount val="52"/>
                <c:pt idx="0">
                  <c:v>12.1</c:v>
                </c:pt>
                <c:pt idx="1">
                  <c:v>12.7</c:v>
                </c:pt>
                <c:pt idx="2">
                  <c:v>13.2</c:v>
                </c:pt>
                <c:pt idx="3">
                  <c:v>25.4</c:v>
                </c:pt>
                <c:pt idx="4">
                  <c:v>35.5</c:v>
                </c:pt>
                <c:pt idx="5">
                  <c:v>34.799999999999997</c:v>
                </c:pt>
                <c:pt idx="6">
                  <c:v>40.5</c:v>
                </c:pt>
                <c:pt idx="7" formatCode="#.##00">
                  <c:v>44</c:v>
                </c:pt>
                <c:pt idx="8">
                  <c:v>51.2</c:v>
                </c:pt>
                <c:pt idx="9">
                  <c:v>57.6</c:v>
                </c:pt>
                <c:pt idx="10" formatCode="#.##00">
                  <c:v>61</c:v>
                </c:pt>
                <c:pt idx="11">
                  <c:v>60.6</c:v>
                </c:pt>
                <c:pt idx="12">
                  <c:v>54.4</c:v>
                </c:pt>
                <c:pt idx="13">
                  <c:v>50.4</c:v>
                </c:pt>
                <c:pt idx="14">
                  <c:v>53.8</c:v>
                </c:pt>
                <c:pt idx="15">
                  <c:v>20.7</c:v>
                </c:pt>
                <c:pt idx="16">
                  <c:v>11.7</c:v>
                </c:pt>
                <c:pt idx="17">
                  <c:v>4.7</c:v>
                </c:pt>
                <c:pt idx="18">
                  <c:v>0.7</c:v>
                </c:pt>
                <c:pt idx="19">
                  <c:v>-5.8</c:v>
                </c:pt>
                <c:pt idx="20">
                  <c:v>-14.7</c:v>
                </c:pt>
                <c:pt idx="21" formatCode="#.##00">
                  <c:v>-18</c:v>
                </c:pt>
                <c:pt idx="22">
                  <c:v>-21.1</c:v>
                </c:pt>
                <c:pt idx="23" formatCode="#.##00">
                  <c:v>-22</c:v>
                </c:pt>
                <c:pt idx="24">
                  <c:v>-20.399999999999999</c:v>
                </c:pt>
                <c:pt idx="25">
                  <c:v>-17.3</c:v>
                </c:pt>
                <c:pt idx="26">
                  <c:v>-18.3</c:v>
                </c:pt>
                <c:pt idx="27">
                  <c:v>-6.8</c:v>
                </c:pt>
                <c:pt idx="28">
                  <c:v>-7.2</c:v>
                </c:pt>
                <c:pt idx="29" formatCode="#.##00">
                  <c:v>-4</c:v>
                </c:pt>
                <c:pt idx="30">
                  <c:v>-6.4</c:v>
                </c:pt>
                <c:pt idx="31">
                  <c:v>-2.8</c:v>
                </c:pt>
                <c:pt idx="32" formatCode="#.##00">
                  <c:v>-1</c:v>
                </c:pt>
                <c:pt idx="33">
                  <c:v>-1.4</c:v>
                </c:pt>
                <c:pt idx="34">
                  <c:v>-1.8</c:v>
                </c:pt>
                <c:pt idx="35">
                  <c:v>-2.4</c:v>
                </c:pt>
                <c:pt idx="36">
                  <c:v>1.4</c:v>
                </c:pt>
                <c:pt idx="37">
                  <c:v>2.2999999999999998</c:v>
                </c:pt>
                <c:pt idx="38">
                  <c:v>-0.8</c:v>
                </c:pt>
                <c:pt idx="39">
                  <c:v>-1.6</c:v>
                </c:pt>
                <c:pt idx="40">
                  <c:v>-2.2999999999999998</c:v>
                </c:pt>
                <c:pt idx="41">
                  <c:v>0.7</c:v>
                </c:pt>
                <c:pt idx="42">
                  <c:v>2.6</c:v>
                </c:pt>
                <c:pt idx="43">
                  <c:v>1.6</c:v>
                </c:pt>
                <c:pt idx="44">
                  <c:v>0.2</c:v>
                </c:pt>
                <c:pt idx="45">
                  <c:v>-4.7</c:v>
                </c:pt>
                <c:pt idx="46">
                  <c:v>-1.5</c:v>
                </c:pt>
                <c:pt idx="47" formatCode="#.##00">
                  <c:v>2</c:v>
                </c:pt>
                <c:pt idx="48">
                  <c:v>0.7</c:v>
                </c:pt>
                <c:pt idx="49">
                  <c:v>-1.9</c:v>
                </c:pt>
                <c:pt idx="50">
                  <c:v>-3.7</c:v>
                </c:pt>
                <c:pt idx="51">
                  <c:v>-3.3</c:v>
                </c:pt>
              </c:numCache>
            </c:numRef>
          </c:val>
          <c:smooth val="0"/>
          <c:extLst>
            <c:ext xmlns:c16="http://schemas.microsoft.com/office/drawing/2014/chart" uri="{C3380CC4-5D6E-409C-BE32-E72D297353CC}">
              <c16:uniqueId val="{00000003-04E0-4836-9C75-053BDF8125F2}"/>
            </c:ext>
          </c:extLst>
        </c:ser>
        <c:dLbls>
          <c:showLegendKey val="0"/>
          <c:showVal val="0"/>
          <c:showCatName val="0"/>
          <c:showSerName val="0"/>
          <c:showPercent val="0"/>
          <c:showBubbleSize val="0"/>
        </c:dLbls>
        <c:marker val="1"/>
        <c:smooth val="0"/>
        <c:axId val="1066668415"/>
        <c:axId val="1066663135"/>
      </c:lineChart>
      <c:dateAx>
        <c:axId val="20982635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820000" spcFirstLastPara="1" vertOverflow="ellipsis" wrap="square" anchor="b"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938319392"/>
        <c:crosses val="autoZero"/>
        <c:auto val="0"/>
        <c:lblOffset val="100"/>
        <c:baseTimeUnit val="days"/>
      </c:dateAx>
      <c:valAx>
        <c:axId val="1938319392"/>
        <c:scaling>
          <c:orientation val="minMax"/>
        </c:scaling>
        <c:delete val="0"/>
        <c:axPos val="r"/>
        <c:numFmt formatCode="#,##0.0" sourceLinked="0"/>
        <c:majorTickMark val="none"/>
        <c:minorTickMark val="none"/>
        <c:tickLblPos val="low"/>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2098263504"/>
        <c:crosses val="max"/>
        <c:crossBetween val="between"/>
      </c:valAx>
      <c:valAx>
        <c:axId val="1066663135"/>
        <c:scaling>
          <c:orientation val="minMax"/>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crossAx val="1066668415"/>
        <c:crosses val="max"/>
        <c:crossBetween val="between"/>
      </c:valAx>
      <c:catAx>
        <c:axId val="1066668415"/>
        <c:scaling>
          <c:orientation val="minMax"/>
        </c:scaling>
        <c:delete val="1"/>
        <c:axPos val="b"/>
        <c:numFmt formatCode="General" sourceLinked="1"/>
        <c:majorTickMark val="out"/>
        <c:minorTickMark val="none"/>
        <c:tickLblPos val="nextTo"/>
        <c:crossAx val="1066663135"/>
        <c:crosses val="autoZero"/>
        <c:auto val="1"/>
        <c:lblAlgn val="ctr"/>
        <c:lblOffset val="100"/>
        <c:noMultiLvlLbl val="0"/>
      </c:catAx>
      <c:spPr>
        <a:noFill/>
        <a:ln>
          <a:noFill/>
        </a:ln>
        <a:effectLst/>
      </c:spPr>
    </c:plotArea>
    <c:legend>
      <c:legendPos val="b"/>
      <c:layout>
        <c:manualLayout>
          <c:xMode val="edge"/>
          <c:yMode val="edge"/>
          <c:x val="4.0895397998072736E-2"/>
          <c:y val="0.86027227565412456"/>
          <c:w val="0.90295597103513625"/>
          <c:h val="6.404497007365067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userShapes r:id="rId4"/>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483318176220396E-3"/>
          <c:y val="0.20027465048244328"/>
          <c:w val="0.93667250024461435"/>
          <c:h val="0.79880814325143457"/>
        </c:manualLayout>
      </c:layout>
      <c:pie3DChart>
        <c:varyColors val="1"/>
        <c:ser>
          <c:idx val="0"/>
          <c:order val="0"/>
          <c:tx>
            <c:strRef>
              <c:f>'1'!$B$30:$B$31</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3E69-436B-8EB3-AC8321888BC3}"/>
              </c:ext>
            </c:extLst>
          </c:dPt>
          <c:dPt>
            <c:idx val="1"/>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3E69-436B-8EB3-AC8321888BC3}"/>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3E69-436B-8EB3-AC8321888BC3}"/>
              </c:ext>
            </c:extLst>
          </c:dPt>
          <c:dPt>
            <c:idx val="3"/>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7-3E69-436B-8EB3-AC8321888BC3}"/>
              </c:ext>
            </c:extLst>
          </c:dPt>
          <c:dPt>
            <c:idx val="4"/>
            <c:bubble3D val="0"/>
            <c:spPr>
              <a:gradFill rotWithShape="1">
                <a:gsLst>
                  <a:gs pos="0">
                    <a:schemeClr val="accent1">
                      <a:tint val="83000"/>
                      <a:satMod val="103000"/>
                      <a:lumMod val="102000"/>
                      <a:tint val="94000"/>
                    </a:schemeClr>
                  </a:gs>
                  <a:gs pos="50000">
                    <a:schemeClr val="accent1">
                      <a:tint val="83000"/>
                      <a:satMod val="110000"/>
                      <a:lumMod val="100000"/>
                      <a:shade val="100000"/>
                    </a:schemeClr>
                  </a:gs>
                  <a:gs pos="100000">
                    <a:schemeClr val="accent1">
                      <a:tint val="83000"/>
                      <a:lumMod val="99000"/>
                      <a:satMod val="120000"/>
                      <a:shade val="78000"/>
                    </a:schemeClr>
                  </a:gs>
                </a:gsLst>
                <a:lin ang="5400000" scaled="0"/>
              </a:gradFill>
              <a:ln>
                <a:noFill/>
              </a:ln>
              <a:effectLst/>
              <a:sp3d/>
            </c:spPr>
            <c:extLst>
              <c:ext xmlns:c16="http://schemas.microsoft.com/office/drawing/2014/chart" uri="{C3380CC4-5D6E-409C-BE32-E72D297353CC}">
                <c16:uniqueId val="{00000009-3E69-436B-8EB3-AC8321888BC3}"/>
              </c:ext>
            </c:extLst>
          </c:dPt>
          <c:dPt>
            <c:idx val="5"/>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B-3E69-436B-8EB3-AC8321888BC3}"/>
              </c:ext>
            </c:extLst>
          </c:dPt>
          <c:dPt>
            <c:idx val="6"/>
            <c:bubble3D val="0"/>
            <c:explosion val="16"/>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D-3E69-436B-8EB3-AC8321888BC3}"/>
              </c:ext>
            </c:extLst>
          </c:dPt>
          <c:dPt>
            <c:idx val="7"/>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F-3E69-436B-8EB3-AC8321888BC3}"/>
              </c:ext>
            </c:extLst>
          </c:dPt>
          <c:dPt>
            <c:idx val="8"/>
            <c:bubble3D val="0"/>
            <c:spPr>
              <a:gradFill rotWithShape="1">
                <a:gsLst>
                  <a:gs pos="0">
                    <a:schemeClr val="accent1">
                      <a:tint val="44000"/>
                      <a:satMod val="103000"/>
                      <a:lumMod val="102000"/>
                      <a:tint val="94000"/>
                    </a:schemeClr>
                  </a:gs>
                  <a:gs pos="50000">
                    <a:schemeClr val="accent1">
                      <a:tint val="44000"/>
                      <a:satMod val="110000"/>
                      <a:lumMod val="100000"/>
                      <a:shade val="100000"/>
                    </a:schemeClr>
                  </a:gs>
                  <a:gs pos="100000">
                    <a:schemeClr val="accent1">
                      <a:tint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11-3E69-436B-8EB3-AC8321888BC3}"/>
              </c:ext>
            </c:extLst>
          </c:dPt>
          <c:dLbls>
            <c:dLbl>
              <c:idx val="0"/>
              <c:layout>
                <c:manualLayout>
                  <c:x val="0.24351624774507225"/>
                  <c:y val="7.7915007165339847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3734280183003586"/>
                      <c:h val="0.17357941456682494"/>
                    </c:manualLayout>
                  </c15:layout>
                </c:ext>
                <c:ext xmlns:c16="http://schemas.microsoft.com/office/drawing/2014/chart" uri="{C3380CC4-5D6E-409C-BE32-E72D297353CC}">
                  <c16:uniqueId val="{00000001-3E69-436B-8EB3-AC8321888BC3}"/>
                </c:ext>
              </c:extLst>
            </c:dLbl>
            <c:dLbl>
              <c:idx val="1"/>
              <c:layout>
                <c:manualLayout>
                  <c:x val="0.12547496219909143"/>
                  <c:y val="-7.026239198610202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E69-436B-8EB3-AC8321888BC3}"/>
                </c:ext>
              </c:extLst>
            </c:dLbl>
            <c:dLbl>
              <c:idx val="2"/>
              <c:layout>
                <c:manualLayout>
                  <c:x val="-9.2782579096263557E-2"/>
                  <c:y val="0.2225032902405823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E69-436B-8EB3-AC8321888BC3}"/>
                </c:ext>
              </c:extLst>
            </c:dLbl>
            <c:dLbl>
              <c:idx val="3"/>
              <c:layout>
                <c:manualLayout>
                  <c:x val="-0.11517773035690146"/>
                  <c:y val="0.1947458430160413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E69-436B-8EB3-AC8321888BC3}"/>
                </c:ext>
              </c:extLst>
            </c:dLbl>
            <c:dLbl>
              <c:idx val="4"/>
              <c:layout>
                <c:manualLayout>
                  <c:x val="-0.20942605385575533"/>
                  <c:y val="4.722815092239544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E69-436B-8EB3-AC8321888BC3}"/>
                </c:ext>
              </c:extLst>
            </c:dLbl>
            <c:dLbl>
              <c:idx val="5"/>
              <c:layout>
                <c:manualLayout>
                  <c:x val="-0.1490623031887818"/>
                  <c:y val="-3.362828930051366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3E69-436B-8EB3-AC8321888BC3}"/>
                </c:ext>
              </c:extLst>
            </c:dLbl>
            <c:dLbl>
              <c:idx val="6"/>
              <c:layout>
                <c:manualLayout>
                  <c:x val="-2.2645466001983725E-2"/>
                  <c:y val="-5.927155953643330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3E69-436B-8EB3-AC8321888BC3}"/>
                </c:ext>
              </c:extLst>
            </c:dLbl>
            <c:dLbl>
              <c:idx val="7"/>
              <c:layout>
                <c:manualLayout>
                  <c:x val="0.16226671900140704"/>
                  <c:y val="-0.1054185562048296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573591343770466"/>
                      <c:h val="0.14051575931232091"/>
                    </c:manualLayout>
                  </c15:layout>
                </c:ext>
                <c:ext xmlns:c16="http://schemas.microsoft.com/office/drawing/2014/chart" uri="{C3380CC4-5D6E-409C-BE32-E72D297353CC}">
                  <c16:uniqueId val="{0000000F-3E69-436B-8EB3-AC8321888BC3}"/>
                </c:ext>
              </c:extLst>
            </c:dLbl>
            <c:dLbl>
              <c:idx val="8"/>
              <c:layout>
                <c:manualLayout>
                  <c:x val="0.33526903384899254"/>
                  <c:y val="-0.1417307793545864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3E69-436B-8EB3-AC8321888BC3}"/>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'1'!$A$32:$A$40</c:f>
              <c:strCache>
                <c:ptCount val="9"/>
                <c:pt idx="0">
                  <c:v>ΠΡΟΣΤΑΣΙΑ ΤΩΝ ΚΑΤΑΝΑΛΩΤΩΝ</c:v>
                </c:pt>
                <c:pt idx="1">
                  <c:v>ΕΡΕΥΝΑ ΚΑΙ ΑΝΑΠΤΥΞΗ ΣΕ ΕΡΕΥΝΗΤΙΚΑ ΚΕΝΤΡΑ ΚΑΙ ΕΠΙΧΕΙΡΗΣΕΙΣ</c:v>
                </c:pt>
                <c:pt idx="2">
                  <c:v>ΕΛΛΗΝΙΚΗ ΒΙΟΜΗΧΑΝΙΑ</c:v>
                </c:pt>
                <c:pt idx="3">
                  <c:v>ΠΡΟΣΕΛΚΥΣΗ ΙΔΙΩΤΙΚΩΝ ΕΠΕΝΔΥΣΕΩΝ</c:v>
                </c:pt>
                <c:pt idx="4">
                  <c:v>ΕΠΙΧΕΙΡΗΜΑΤΙΚΟ ΠΕΡΙΒΑΛΛΟΝ ΣΤΟΝ ΤΟΜΕΑ ΤΟΥ ΕΜΠΟΡΙΟΥ</c:v>
                </c:pt>
                <c:pt idx="5">
                  <c:v>ΚΕΝΤΡΙΚΕΣ ΔΙΑΔΙΚΑΣΙΕΣ ΑΝΑΘΕΣΗΣ ΔΗΜΟΣΙΩΝ ΣΥΜΒΑΣΕΩΝ</c:v>
                </c:pt>
                <c:pt idx="6">
                  <c:v>ΕΠΙΤΕΛΙΚΟΣ ΣΥΝΤΟΝΙΣΜΟΣ ΚΑΙ ΕΠΕΝΔΥΣΕΙΣ ΥΠΟΥΡΓΕΙΟΥ ΑΝΑΠΤΥΞΗΣ</c:v>
                </c:pt>
                <c:pt idx="7">
                  <c:v>ΔΙΑΜΕΣΟΛΑΒΗΣΗ ΓΙΑ ΤΗΝ ΕΞΩΔΙΚΑΣΤΙΚΗ ΕΠΙΛΥΣΗ ΚΑΤΑΝΑΛΩΤΙΚΩΝ ΔΙΑΦΟΡΩΝ</c:v>
                </c:pt>
                <c:pt idx="8">
                  <c:v>ΠΡΟΣΤΑΣΙΑ ΤΟΥ ΕΛΕΥΘΕΡΟΥ ΑΝΤΑΓΩΝΙΣΜΟΥ </c:v>
                </c:pt>
              </c:strCache>
            </c:strRef>
          </c:cat>
          <c:val>
            <c:numRef>
              <c:f>'1'!$B$32:$B$40</c:f>
              <c:numCache>
                <c:formatCode>_-* #,##0\ _€_-;\-* #,##0\ _€_-;_-* "-"??\ _€_-;_-@_-</c:formatCode>
                <c:ptCount val="9"/>
                <c:pt idx="0">
                  <c:v>40</c:v>
                </c:pt>
                <c:pt idx="1">
                  <c:v>3795</c:v>
                </c:pt>
                <c:pt idx="2">
                  <c:v>166</c:v>
                </c:pt>
                <c:pt idx="3">
                  <c:v>75</c:v>
                </c:pt>
                <c:pt idx="4">
                  <c:v>137</c:v>
                </c:pt>
                <c:pt idx="5">
                  <c:v>33</c:v>
                </c:pt>
                <c:pt idx="6">
                  <c:v>322</c:v>
                </c:pt>
                <c:pt idx="7">
                  <c:v>35</c:v>
                </c:pt>
                <c:pt idx="8">
                  <c:v>104</c:v>
                </c:pt>
              </c:numCache>
            </c:numRef>
          </c:val>
          <c:extLst>
            <c:ext xmlns:c16="http://schemas.microsoft.com/office/drawing/2014/chart" uri="{C3380CC4-5D6E-409C-BE32-E72D297353CC}">
              <c16:uniqueId val="{00000012-3E69-436B-8EB3-AC8321888BC3}"/>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20564463620658"/>
          <c:y val="0.18907702578933067"/>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A29F-43DF-88CA-3DF848EB3AEA}"/>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A29F-43DF-88CA-3DF848EB3AEA}"/>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A29F-43DF-88CA-3DF848EB3AEA}"/>
              </c:ext>
            </c:extLst>
          </c:dPt>
          <c:dPt>
            <c:idx val="3"/>
            <c:bubble3D val="0"/>
            <c:spPr>
              <a:gradFill rotWithShape="1">
                <a:gsLst>
                  <a:gs pos="0">
                    <a:schemeClr val="accent1">
                      <a:shade val="92000"/>
                      <a:satMod val="103000"/>
                      <a:lumMod val="102000"/>
                      <a:tint val="94000"/>
                    </a:schemeClr>
                  </a:gs>
                  <a:gs pos="50000">
                    <a:schemeClr val="accent1">
                      <a:shade val="92000"/>
                      <a:satMod val="110000"/>
                      <a:lumMod val="100000"/>
                      <a:shade val="100000"/>
                    </a:schemeClr>
                  </a:gs>
                  <a:gs pos="100000">
                    <a:schemeClr val="accent1">
                      <a:shade val="92000"/>
                      <a:lumMod val="99000"/>
                      <a:satMod val="120000"/>
                      <a:shade val="78000"/>
                    </a:schemeClr>
                  </a:gs>
                </a:gsLst>
                <a:lin ang="5400000" scaled="0"/>
              </a:gradFill>
              <a:ln>
                <a:noFill/>
              </a:ln>
              <a:effectLst/>
              <a:sp3d/>
            </c:spPr>
            <c:extLst>
              <c:ext xmlns:c16="http://schemas.microsoft.com/office/drawing/2014/chart" uri="{C3380CC4-5D6E-409C-BE32-E72D297353CC}">
                <c16:uniqueId val="{00000007-A29F-43DF-88CA-3DF848EB3AEA}"/>
              </c:ext>
            </c:extLst>
          </c:dPt>
          <c:dPt>
            <c:idx val="4"/>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9-A29F-43DF-88CA-3DF848EB3AEA}"/>
              </c:ext>
            </c:extLst>
          </c:dPt>
          <c:dPt>
            <c:idx val="5"/>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B-A29F-43DF-88CA-3DF848EB3AEA}"/>
              </c:ext>
            </c:extLst>
          </c:dPt>
          <c:dPt>
            <c:idx val="6"/>
            <c:bubble3D val="0"/>
            <c:spPr>
              <a:gradFill rotWithShape="1">
                <a:gsLst>
                  <a:gs pos="0">
                    <a:schemeClr val="accent1">
                      <a:tint val="62000"/>
                      <a:satMod val="103000"/>
                      <a:lumMod val="102000"/>
                      <a:tint val="94000"/>
                    </a:schemeClr>
                  </a:gs>
                  <a:gs pos="50000">
                    <a:schemeClr val="accent1">
                      <a:tint val="62000"/>
                      <a:satMod val="110000"/>
                      <a:lumMod val="100000"/>
                      <a:shade val="100000"/>
                    </a:schemeClr>
                  </a:gs>
                  <a:gs pos="100000">
                    <a:schemeClr val="accent1">
                      <a:tint val="62000"/>
                      <a:lumMod val="99000"/>
                      <a:satMod val="120000"/>
                      <a:shade val="78000"/>
                    </a:schemeClr>
                  </a:gs>
                </a:gsLst>
                <a:lin ang="5400000" scaled="0"/>
              </a:gradFill>
              <a:ln>
                <a:noFill/>
              </a:ln>
              <a:effectLst/>
              <a:sp3d/>
            </c:spPr>
            <c:extLst>
              <c:ext xmlns:c16="http://schemas.microsoft.com/office/drawing/2014/chart" uri="{C3380CC4-5D6E-409C-BE32-E72D297353CC}">
                <c16:uniqueId val="{0000000D-A29F-43DF-88CA-3DF848EB3AEA}"/>
              </c:ext>
            </c:extLst>
          </c:dPt>
          <c:dPt>
            <c:idx val="7"/>
            <c:bubble3D val="0"/>
            <c:spPr>
              <a:gradFill rotWithShape="1">
                <a:gsLst>
                  <a:gs pos="0">
                    <a:schemeClr val="accent1">
                      <a:tint val="69000"/>
                      <a:satMod val="103000"/>
                      <a:lumMod val="102000"/>
                      <a:tint val="94000"/>
                    </a:schemeClr>
                  </a:gs>
                  <a:gs pos="50000">
                    <a:schemeClr val="accent1">
                      <a:tint val="69000"/>
                      <a:satMod val="110000"/>
                      <a:lumMod val="100000"/>
                      <a:shade val="100000"/>
                    </a:schemeClr>
                  </a:gs>
                  <a:gs pos="100000">
                    <a:schemeClr val="accent1">
                      <a:tint val="69000"/>
                      <a:lumMod val="99000"/>
                      <a:satMod val="120000"/>
                      <a:shade val="78000"/>
                    </a:schemeClr>
                  </a:gs>
                </a:gsLst>
                <a:lin ang="5400000" scaled="0"/>
              </a:gradFill>
              <a:ln>
                <a:noFill/>
              </a:ln>
              <a:effectLst/>
              <a:sp3d/>
            </c:spPr>
            <c:extLst>
              <c:ext xmlns:c16="http://schemas.microsoft.com/office/drawing/2014/chart" uri="{C3380CC4-5D6E-409C-BE32-E72D297353CC}">
                <c16:uniqueId val="{0000000F-A29F-43DF-88CA-3DF848EB3AEA}"/>
              </c:ext>
            </c:extLst>
          </c:dPt>
          <c:dPt>
            <c:idx val="8"/>
            <c:bubble3D val="0"/>
            <c:spPr>
              <a:gradFill rotWithShape="1">
                <a:gsLst>
                  <a:gs pos="0">
                    <a:schemeClr val="accent1">
                      <a:tint val="56000"/>
                      <a:satMod val="103000"/>
                      <a:lumMod val="102000"/>
                      <a:tint val="94000"/>
                    </a:schemeClr>
                  </a:gs>
                  <a:gs pos="50000">
                    <a:schemeClr val="accent1">
                      <a:tint val="56000"/>
                      <a:satMod val="110000"/>
                      <a:lumMod val="100000"/>
                      <a:shade val="100000"/>
                    </a:schemeClr>
                  </a:gs>
                  <a:gs pos="100000">
                    <a:schemeClr val="accent1">
                      <a:tint val="56000"/>
                      <a:lumMod val="99000"/>
                      <a:satMod val="120000"/>
                      <a:shade val="78000"/>
                    </a:schemeClr>
                  </a:gs>
                </a:gsLst>
                <a:lin ang="5400000" scaled="0"/>
              </a:gradFill>
              <a:ln>
                <a:noFill/>
              </a:ln>
              <a:effectLst/>
              <a:sp3d/>
            </c:spPr>
            <c:extLst>
              <c:ext xmlns:c16="http://schemas.microsoft.com/office/drawing/2014/chart" uri="{C3380CC4-5D6E-409C-BE32-E72D297353CC}">
                <c16:uniqueId val="{00000011-A29F-43DF-88CA-3DF848EB3AEA}"/>
              </c:ext>
            </c:extLst>
          </c:dPt>
          <c:dPt>
            <c:idx val="9"/>
            <c:bubble3D val="0"/>
            <c:spPr>
              <a:gradFill rotWithShape="1">
                <a:gsLst>
                  <a:gs pos="0">
                    <a:schemeClr val="accent1">
                      <a:tint val="46000"/>
                      <a:satMod val="103000"/>
                      <a:lumMod val="102000"/>
                      <a:tint val="94000"/>
                    </a:schemeClr>
                  </a:gs>
                  <a:gs pos="50000">
                    <a:schemeClr val="accent1">
                      <a:tint val="46000"/>
                      <a:satMod val="110000"/>
                      <a:lumMod val="100000"/>
                      <a:shade val="100000"/>
                    </a:schemeClr>
                  </a:gs>
                  <a:gs pos="100000">
                    <a:schemeClr val="accent1">
                      <a:tint val="46000"/>
                      <a:lumMod val="99000"/>
                      <a:satMod val="120000"/>
                      <a:shade val="78000"/>
                    </a:schemeClr>
                  </a:gs>
                </a:gsLst>
                <a:lin ang="5400000" scaled="0"/>
              </a:gradFill>
              <a:ln>
                <a:noFill/>
              </a:ln>
              <a:effectLst/>
              <a:sp3d/>
            </c:spPr>
            <c:extLst>
              <c:ext xmlns:c16="http://schemas.microsoft.com/office/drawing/2014/chart" uri="{C3380CC4-5D6E-409C-BE32-E72D297353CC}">
                <c16:uniqueId val="{00000013-A29F-43DF-88CA-3DF848EB3AEA}"/>
              </c:ext>
            </c:extLst>
          </c:dPt>
          <c:dLbls>
            <c:dLbl>
              <c:idx val="0"/>
              <c:layout>
                <c:manualLayout>
                  <c:x val="-1.7654100458530247E-2"/>
                  <c:y val="-0.1116788979141957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295809495698369"/>
                      <c:h val="0.10757784428237983"/>
                    </c:manualLayout>
                  </c15:layout>
                </c:ext>
                <c:ext xmlns:c16="http://schemas.microsoft.com/office/drawing/2014/chart" uri="{C3380CC4-5D6E-409C-BE32-E72D297353CC}">
                  <c16:uniqueId val="{00000001-A29F-43DF-88CA-3DF848EB3AEA}"/>
                </c:ext>
              </c:extLst>
            </c:dLbl>
            <c:dLbl>
              <c:idx val="1"/>
              <c:layout>
                <c:manualLayout>
                  <c:x val="0.14688317546233648"/>
                  <c:y val="-0.132656238495128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29F-43DF-88CA-3DF848EB3AEA}"/>
                </c:ext>
              </c:extLst>
            </c:dLbl>
            <c:dLbl>
              <c:idx val="2"/>
              <c:layout>
                <c:manualLayout>
                  <c:x val="0.15702222269577601"/>
                  <c:y val="-1.501077635964961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A29F-43DF-88CA-3DF848EB3AEA}"/>
                </c:ext>
              </c:extLst>
            </c:dLbl>
            <c:dLbl>
              <c:idx val="3"/>
              <c:layout>
                <c:manualLayout>
                  <c:x val="9.7171605240819858E-2"/>
                  <c:y val="2.78519289496574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A29F-43DF-88CA-3DF848EB3AEA}"/>
                </c:ext>
              </c:extLst>
            </c:dLbl>
            <c:dLbl>
              <c:idx val="4"/>
              <c:layout>
                <c:manualLayout>
                  <c:x val="-7.6551754073739695E-2"/>
                  <c:y val="-2.488685505705054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699007717750827"/>
                      <c:h val="0.15967208934843946"/>
                    </c:manualLayout>
                  </c15:layout>
                </c:ext>
                <c:ext xmlns:c16="http://schemas.microsoft.com/office/drawing/2014/chart" uri="{C3380CC4-5D6E-409C-BE32-E72D297353CC}">
                  <c16:uniqueId val="{00000009-A29F-43DF-88CA-3DF848EB3AEA}"/>
                </c:ext>
              </c:extLst>
            </c:dLbl>
            <c:dLbl>
              <c:idx val="5"/>
              <c:layout>
                <c:manualLayout>
                  <c:x val="-0.36129535905440779"/>
                  <c:y val="-3.9623557484110014E-3"/>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6666666667"/>
                      <c:h val="0.21792803615740658"/>
                    </c:manualLayout>
                  </c15:layout>
                </c:ext>
                <c:ext xmlns:c16="http://schemas.microsoft.com/office/drawing/2014/chart" uri="{C3380CC4-5D6E-409C-BE32-E72D297353CC}">
                  <c16:uniqueId val="{0000000B-A29F-43DF-88CA-3DF848EB3AEA}"/>
                </c:ext>
              </c:extLst>
            </c:dLbl>
            <c:dLbl>
              <c:idx val="6"/>
              <c:layout>
                <c:manualLayout>
                  <c:x val="-0.15227330683799842"/>
                  <c:y val="-1.507379965580544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A29F-43DF-88CA-3DF848EB3AEA}"/>
                </c:ext>
              </c:extLst>
            </c:dLbl>
            <c:dLbl>
              <c:idx val="9"/>
              <c:layout>
                <c:manualLayout>
                  <c:x val="-6.0881678356207697E-2"/>
                  <c:y val="-0.13779482110743788"/>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900771775082686"/>
                      <c:h val="0.15967208934843946"/>
                    </c:manualLayout>
                  </c15:layout>
                </c:ext>
                <c:ext xmlns:c16="http://schemas.microsoft.com/office/drawing/2014/chart" uri="{C3380CC4-5D6E-409C-BE32-E72D297353CC}">
                  <c16:uniqueId val="{00000013-A29F-43DF-88CA-3DF848EB3AEA}"/>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'1'!$A$4:$A$13</c:f>
              <c:strCache>
                <c:ptCount val="10"/>
                <c:pt idx="0">
                  <c:v>ΑΠΟΔΟΤΙΚΗ ΚΑΙ ΒΙΩΣΙΜΗ ΔΙΑΧΕΙΡΙΣΗ ΠΟΡΩΝ</c:v>
                </c:pt>
                <c:pt idx="1">
                  <c:v>ΑΣΦΑΛΕΙΣ ΚΑΙ ΠΟΙΟΤΙΚΕΣ ΥΠΟΔΟΜΕΣ ΜΕΤΑΦΟΡΩΝ</c:v>
                </c:pt>
                <c:pt idx="2">
                  <c:v>ΑΣΦΑΛΕΙΣ, ΒΙΩΣΙΜΕΣ ΚΑΙ ΕΝΕΡΓΕΙΑΚΑ ΑΠΟΔΟΤΙΚΕΣ ΚΤΙΡΙΑΚΕΣ ΥΠΟΔΟΜΕΣ</c:v>
                </c:pt>
                <c:pt idx="3">
                  <c:v>ΒΙΩΣΙΜΗ ΑΣΤΙΚΗ ΚΙΝΗΤΙΚΟΤΗΤΑ</c:v>
                </c:pt>
                <c:pt idx="4">
                  <c:v>ΕΠΙΤΕΛΙΚΟΣ ΣΥΝΤΟΝΙΣΜΟΣ ΚΑΙ ΕΠΕΝΔΥΣΕΙΣ ΥΠΟΥΡΓΕΙΟΥ ΥΠΟΔΟΜΩΝ ΚΑΙ ΜΕΤΑΦΟΡΩΝ</c:v>
                </c:pt>
                <c:pt idx="5">
                  <c:v>ΠΟΙΟΤΗΤΑ, ΑΣΦΑΛΕΙΑ ΚΑΙ ΟΙΚΟΝΟΜΙΚΗ ΠΡΟΣΙΤΟΤΗΤΑ ΜΕΤΑΦΟΡΩΝ</c:v>
                </c:pt>
                <c:pt idx="6">
                  <c:v>ΔΙΑΧΕΙΡΙΣΗ ΚΑΙ ΛΕΙΤΟΥΡΓΙΑ ΥΠΗΡΕΣΙΑΣ ΠΟΛΙΤΙΚΗΣ ΑΕΡΟΠΟΡΙΑΣ</c:v>
                </c:pt>
                <c:pt idx="7">
                  <c:v>ΡΥΘΜΙΣΤΙΚΗ ΑΡΧΗ ΣΙΔΗΡΟΔΡΟΜΩΝ</c:v>
                </c:pt>
                <c:pt idx="8">
                  <c:v>ΔΙΑΧΕΙΡΙΣΗ ΚΑΙ ΛΕΙΤΟΥΡΓΙΑ ΤΗΣ ΑΡΧΗΣ ΠΟΛΙΤΙΚΗΣ ΑΕΡΟΠΟΡΙΑΣ</c:v>
                </c:pt>
                <c:pt idx="9">
                  <c:v>ΠΡΟΛΗΨΗ ΚΑΙ ΑΝΤΙΜΕΤΩΠΙΣΗ ΕΠΙΠΤΩΣΕΩΝ ΦΥΣΙΚΩΝ ΚΑΤΑΣΤΡΟΦΩΝ</c:v>
                </c:pt>
              </c:strCache>
            </c:strRef>
          </c:cat>
          <c:val>
            <c:numRef>
              <c:f>'1'!$B$4:$B$13</c:f>
              <c:numCache>
                <c:formatCode>#,##0\ "€"</c:formatCode>
                <c:ptCount val="10"/>
                <c:pt idx="0">
                  <c:v>97365034.400000006</c:v>
                </c:pt>
                <c:pt idx="1">
                  <c:v>1264693700.5999999</c:v>
                </c:pt>
                <c:pt idx="2">
                  <c:v>95565229.099999994</c:v>
                </c:pt>
                <c:pt idx="3">
                  <c:v>350711690.5</c:v>
                </c:pt>
                <c:pt idx="4">
                  <c:v>56544861</c:v>
                </c:pt>
                <c:pt idx="5">
                  <c:v>729693133.60000002</c:v>
                </c:pt>
                <c:pt idx="6">
                  <c:v>194724000</c:v>
                </c:pt>
                <c:pt idx="7">
                  <c:v>3447000</c:v>
                </c:pt>
                <c:pt idx="9">
                  <c:v>599011350.79999995</c:v>
                </c:pt>
              </c:numCache>
            </c:numRef>
          </c:val>
          <c:extLst>
            <c:ext xmlns:c16="http://schemas.microsoft.com/office/drawing/2014/chart" uri="{C3380CC4-5D6E-409C-BE32-E72D297353CC}">
              <c16:uniqueId val="{00000014-A29F-43DF-88CA-3DF848EB3AEA}"/>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0241828646832598"/>
          <c:y val="3.2510713757942955E-2"/>
          <c:w val="0.47332592521855388"/>
          <c:h val="0.83562231472658277"/>
        </c:manualLayout>
      </c:layout>
      <c:bar3DChart>
        <c:barDir val="bar"/>
        <c:grouping val="percentStacked"/>
        <c:varyColors val="0"/>
        <c:ser>
          <c:idx val="0"/>
          <c:order val="0"/>
          <c:tx>
            <c:strRef>
              <c:f>'1'!$B$18</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4C-46E6-A417-894131DF7F0E}"/>
                </c:ext>
              </c:extLst>
            </c:dLbl>
            <c:dLbl>
              <c:idx val="3"/>
              <c:layout>
                <c:manualLayout>
                  <c:x val="3.7486218302094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4C-46E6-A417-894131DF7F0E}"/>
                </c:ext>
              </c:extLst>
            </c:dLbl>
            <c:dLbl>
              <c:idx val="5"/>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4C-46E6-A417-894131DF7F0E}"/>
                </c:ext>
              </c:extLst>
            </c:dLbl>
            <c:dLbl>
              <c:idx val="8"/>
              <c:delete val="1"/>
              <c:extLst>
                <c:ext xmlns:c15="http://schemas.microsoft.com/office/drawing/2012/chart" uri="{CE6537A1-D6FC-4f65-9D91-7224C49458BB}"/>
                <c:ext xmlns:c16="http://schemas.microsoft.com/office/drawing/2014/chart" uri="{C3380CC4-5D6E-409C-BE32-E72D297353CC}">
                  <c16:uniqueId val="{00000003-134C-46E6-A417-894131DF7F0E}"/>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'1'!$A$19:$A$28</c:f>
              <c:strCache>
                <c:ptCount val="10"/>
                <c:pt idx="0">
                  <c:v>ΑΠΟΔΟΤΙΚΗ ΚΑΙ ΒΙΩΣΙΜΗ ΔΙΑΧΕΙΡΙΣΗ ΠΟΡΩΝ</c:v>
                </c:pt>
                <c:pt idx="1">
                  <c:v>ΑΣΦΑΛΕΙΣ ΚΑΙ ΠΟΙΟΤΙΚΕΣ ΥΠΟΔΟΜΕΣ ΜΕΤΑΦΟΡΩΝ</c:v>
                </c:pt>
                <c:pt idx="2">
                  <c:v>ΑΣΦΑΛΕΙΣ, ΒΙΩΣΙΜΕΣ ΚΑΙ ΕΝΕΡΓΕΙΑΚΑ ΑΠΟΔΟΤΙΚΕΣ ΚΤΙΡΙΑΚΕΣ ΥΠΟΔΟΜΕΣ</c:v>
                </c:pt>
                <c:pt idx="3">
                  <c:v>ΒΙΩΣΙΜΗ ΑΣΤΙΚΗ ΚΙΝΗΤΙΚΟΤΗΤΑ</c:v>
                </c:pt>
                <c:pt idx="4">
                  <c:v>ΕΠΙΤΕΛΙΚΟΣ ΣΥΝΤΟΝΙΣΜΟΣ ΚΑΙ ΕΠΕΝΔΥΣΕΙΣ ΥΠΟΥΡΓΕΙΟΥ ΥΠΟΔΟΜΩΝ ΚΑΙ ΜΕΤΑΦΟΡΩΝ</c:v>
                </c:pt>
                <c:pt idx="5">
                  <c:v>ΠΟΙΟΤΗΤΑ, ΑΣΦΑΛΕΙΑ ΚΑΙ ΟΙΚΟΝΟΜΙΚΗ ΠΡΟΣΙΤΟΤΗΤΑ ΜΕΤΑΦΟΡΩΝ</c:v>
                </c:pt>
                <c:pt idx="6">
                  <c:v>ΔΙΑΧΕΙΡΙΣΗ ΚΑΙ ΛΕΙΤΟΥΡΓΙΑ ΥΠΗΡΕΣΙΑΣ ΠΟΛΙΤΙΚΗΣ ΑΕΡΟΠΟΡΙΑΣ</c:v>
                </c:pt>
                <c:pt idx="7">
                  <c:v>ΡΥΘΜΙΣΤΙΚΗ ΑΡΧΗ ΣΙΔΗΡΟΔΡΟΜΩΝ</c:v>
                </c:pt>
                <c:pt idx="8">
                  <c:v>ΔΙΑΧΕΙΡΙΣΗ ΚΑΙ ΛΕΙΤΟΥΡΓΙΑ ΤΗΣ ΑΡΧΗΣ ΠΟΛΙΤΙΚΗΣ ΑΕΡΟΠΟΡΙΑΣ</c:v>
                </c:pt>
                <c:pt idx="9">
                  <c:v>ΠΡΟΛΗΨΗ ΚΑΙ ΑΝΤΙΜΕΤΩΠΙΣΗ ΕΠΙΠΤΩΣΕΩΝ ΦΥΣΙΚΩΝ ΚΑΤΑΣΤΡΟΦΩΝ</c:v>
                </c:pt>
              </c:strCache>
            </c:strRef>
          </c:cat>
          <c:val>
            <c:numRef>
              <c:f>'1'!$B$19:$B$28</c:f>
              <c:numCache>
                <c:formatCode>#,##0\ "€"</c:formatCode>
                <c:ptCount val="10"/>
                <c:pt idx="0">
                  <c:v>90731657.670000002</c:v>
                </c:pt>
                <c:pt idx="1">
                  <c:v>603153916.40999997</c:v>
                </c:pt>
                <c:pt idx="2">
                  <c:v>1579120.38</c:v>
                </c:pt>
                <c:pt idx="3">
                  <c:v>5384.3500000088998</c:v>
                </c:pt>
                <c:pt idx="4">
                  <c:v>58681225.479999997</c:v>
                </c:pt>
                <c:pt idx="5">
                  <c:v>181963722.09</c:v>
                </c:pt>
                <c:pt idx="6">
                  <c:v>194724000</c:v>
                </c:pt>
                <c:pt idx="7">
                  <c:v>3447000</c:v>
                </c:pt>
                <c:pt idx="8">
                  <c:v>0</c:v>
                </c:pt>
                <c:pt idx="9">
                  <c:v>637299171.90999997</c:v>
                </c:pt>
              </c:numCache>
            </c:numRef>
          </c:val>
          <c:extLst>
            <c:ext xmlns:c16="http://schemas.microsoft.com/office/drawing/2014/chart" uri="{C3380CC4-5D6E-409C-BE32-E72D297353CC}">
              <c16:uniqueId val="{00000004-134C-46E6-A417-894131DF7F0E}"/>
            </c:ext>
          </c:extLst>
        </c:ser>
        <c:ser>
          <c:idx val="1"/>
          <c:order val="1"/>
          <c:tx>
            <c:strRef>
              <c:f>'1'!$C$18</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5-134C-46E6-A417-894131DF7F0E}"/>
                </c:ext>
              </c:extLst>
            </c:dLbl>
            <c:dLbl>
              <c:idx val="6"/>
              <c:delete val="1"/>
              <c:extLst>
                <c:ext xmlns:c15="http://schemas.microsoft.com/office/drawing/2012/chart" uri="{CE6537A1-D6FC-4f65-9D91-7224C49458BB}"/>
                <c:ext xmlns:c16="http://schemas.microsoft.com/office/drawing/2014/chart" uri="{C3380CC4-5D6E-409C-BE32-E72D297353CC}">
                  <c16:uniqueId val="{00000006-134C-46E6-A417-894131DF7F0E}"/>
                </c:ext>
              </c:extLst>
            </c:dLbl>
            <c:dLbl>
              <c:idx val="7"/>
              <c:delete val="1"/>
              <c:extLst>
                <c:ext xmlns:c15="http://schemas.microsoft.com/office/drawing/2012/chart" uri="{CE6537A1-D6FC-4f65-9D91-7224C49458BB}"/>
                <c:ext xmlns:c16="http://schemas.microsoft.com/office/drawing/2014/chart" uri="{C3380CC4-5D6E-409C-BE32-E72D297353CC}">
                  <c16:uniqueId val="{00000007-134C-46E6-A417-894131DF7F0E}"/>
                </c:ext>
              </c:extLst>
            </c:dLbl>
            <c:dLbl>
              <c:idx val="9"/>
              <c:delete val="1"/>
              <c:extLst>
                <c:ext xmlns:c15="http://schemas.microsoft.com/office/drawing/2012/chart" uri="{CE6537A1-D6FC-4f65-9D91-7224C49458BB}"/>
                <c:ext xmlns:c16="http://schemas.microsoft.com/office/drawing/2014/chart" uri="{C3380CC4-5D6E-409C-BE32-E72D297353CC}">
                  <c16:uniqueId val="{00000008-134C-46E6-A417-894131DF7F0E}"/>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'1'!$A$19:$A$28</c:f>
              <c:strCache>
                <c:ptCount val="10"/>
                <c:pt idx="0">
                  <c:v>ΑΠΟΔΟΤΙΚΗ ΚΑΙ ΒΙΩΣΙΜΗ ΔΙΑΧΕΙΡΙΣΗ ΠΟΡΩΝ</c:v>
                </c:pt>
                <c:pt idx="1">
                  <c:v>ΑΣΦΑΛΕΙΣ ΚΑΙ ΠΟΙΟΤΙΚΕΣ ΥΠΟΔΟΜΕΣ ΜΕΤΑΦΟΡΩΝ</c:v>
                </c:pt>
                <c:pt idx="2">
                  <c:v>ΑΣΦΑΛΕΙΣ, ΒΙΩΣΙΜΕΣ ΚΑΙ ΕΝΕΡΓΕΙΑΚΑ ΑΠΟΔΟΤΙΚΕΣ ΚΤΙΡΙΑΚΕΣ ΥΠΟΔΟΜΕΣ</c:v>
                </c:pt>
                <c:pt idx="3">
                  <c:v>ΒΙΩΣΙΜΗ ΑΣΤΙΚΗ ΚΙΝΗΤΙΚΟΤΗΤΑ</c:v>
                </c:pt>
                <c:pt idx="4">
                  <c:v>ΕΠΙΤΕΛΙΚΟΣ ΣΥΝΤΟΝΙΣΜΟΣ ΚΑΙ ΕΠΕΝΔΥΣΕΙΣ ΥΠΟΥΡΓΕΙΟΥ ΥΠΟΔΟΜΩΝ ΚΑΙ ΜΕΤΑΦΟΡΩΝ</c:v>
                </c:pt>
                <c:pt idx="5">
                  <c:v>ΠΟΙΟΤΗΤΑ, ΑΣΦΑΛΕΙΑ ΚΑΙ ΟΙΚΟΝΟΜΙΚΗ ΠΡΟΣΙΤΟΤΗΤΑ ΜΕΤΑΦΟΡΩΝ</c:v>
                </c:pt>
                <c:pt idx="6">
                  <c:v>ΔΙΑΧΕΙΡΙΣΗ ΚΑΙ ΛΕΙΤΟΥΡΓΙΑ ΥΠΗΡΕΣΙΑΣ ΠΟΛΙΤΙΚΗΣ ΑΕΡΟΠΟΡΙΑΣ</c:v>
                </c:pt>
                <c:pt idx="7">
                  <c:v>ΡΥΘΜΙΣΤΙΚΗ ΑΡΧΗ ΣΙΔΗΡΟΔΡΟΜΩΝ</c:v>
                </c:pt>
                <c:pt idx="8">
                  <c:v>ΔΙΑΧΕΙΡΙΣΗ ΚΑΙ ΛΕΙΤΟΥΡΓΙΑ ΤΗΣ ΑΡΧΗΣ ΠΟΛΙΤΙΚΗΣ ΑΕΡΟΠΟΡΙΑΣ</c:v>
                </c:pt>
                <c:pt idx="9">
                  <c:v>ΠΡΟΛΗΨΗ ΚΑΙ ΑΝΤΙΜΕΤΩΠΙΣΗ ΕΠΙΠΤΩΣΕΩΝ ΦΥΣΙΚΩΝ ΚΑΤΑΣΤΡΟΦΩΝ</c:v>
                </c:pt>
              </c:strCache>
            </c:strRef>
          </c:cat>
          <c:val>
            <c:numRef>
              <c:f>'1'!$C$19:$C$28</c:f>
              <c:numCache>
                <c:formatCode>#,##0\ "€"</c:formatCode>
                <c:ptCount val="10"/>
                <c:pt idx="0">
                  <c:v>27913031.690000001</c:v>
                </c:pt>
                <c:pt idx="1">
                  <c:v>980089999.40999997</c:v>
                </c:pt>
                <c:pt idx="2">
                  <c:v>147718487.91</c:v>
                </c:pt>
                <c:pt idx="3">
                  <c:v>378780000</c:v>
                </c:pt>
                <c:pt idx="4">
                  <c:v>0</c:v>
                </c:pt>
                <c:pt idx="5">
                  <c:v>880272163.84000003</c:v>
                </c:pt>
                <c:pt idx="6">
                  <c:v>0</c:v>
                </c:pt>
                <c:pt idx="7">
                  <c:v>0</c:v>
                </c:pt>
                <c:pt idx="8">
                  <c:v>38788226.229999997</c:v>
                </c:pt>
                <c:pt idx="9">
                  <c:v>0</c:v>
                </c:pt>
              </c:numCache>
            </c:numRef>
          </c:val>
          <c:extLst>
            <c:ext xmlns:c16="http://schemas.microsoft.com/office/drawing/2014/chart" uri="{C3380CC4-5D6E-409C-BE32-E72D297353CC}">
              <c16:uniqueId val="{00000009-134C-46E6-A417-894131DF7F0E}"/>
            </c:ext>
          </c:extLst>
        </c:ser>
        <c:dLbls>
          <c:showLegendKey val="0"/>
          <c:showVal val="0"/>
          <c:showCatName val="0"/>
          <c:showSerName val="0"/>
          <c:showPercent val="0"/>
          <c:showBubbleSize val="0"/>
        </c:dLbls>
        <c:gapWidth val="59"/>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491919707349749E-2"/>
          <c:y val="0.21222426096051364"/>
          <c:w val="0.89689525781353452"/>
          <c:h val="0.76413860556351842"/>
        </c:manualLayout>
      </c:layout>
      <c:pie3DChart>
        <c:varyColors val="1"/>
        <c:ser>
          <c:idx val="0"/>
          <c:order val="0"/>
          <c:tx>
            <c:strRef>
              <c:f>'1'!$B$32:$B$33</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CB9C-4B0C-A126-BDCADAA05BA8}"/>
              </c:ext>
            </c:extLst>
          </c:dPt>
          <c:dPt>
            <c:idx val="1"/>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CB9C-4B0C-A126-BDCADAA05BA8}"/>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CB9C-4B0C-A126-BDCADAA05BA8}"/>
              </c:ext>
            </c:extLst>
          </c:dPt>
          <c:dPt>
            <c:idx val="3"/>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7-CB9C-4B0C-A126-BDCADAA05BA8}"/>
              </c:ext>
            </c:extLst>
          </c:dPt>
          <c:dPt>
            <c:idx val="4"/>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9-CB9C-4B0C-A126-BDCADAA05BA8}"/>
              </c:ext>
            </c:extLst>
          </c:dPt>
          <c:dPt>
            <c:idx val="5"/>
            <c:bubble3D val="0"/>
            <c:explosion val="16"/>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B-CB9C-4B0C-A126-BDCADAA05BA8}"/>
              </c:ext>
            </c:extLst>
          </c:dPt>
          <c:dPt>
            <c:idx val="6"/>
            <c:bubble3D val="0"/>
            <c:spPr>
              <a:gradFill rotWithShape="1">
                <a:gsLst>
                  <a:gs pos="0">
                    <a:schemeClr val="accent1">
                      <a:tint val="62000"/>
                      <a:satMod val="103000"/>
                      <a:lumMod val="102000"/>
                      <a:tint val="94000"/>
                    </a:schemeClr>
                  </a:gs>
                  <a:gs pos="50000">
                    <a:schemeClr val="accent1">
                      <a:tint val="62000"/>
                      <a:satMod val="110000"/>
                      <a:lumMod val="100000"/>
                      <a:shade val="100000"/>
                    </a:schemeClr>
                  </a:gs>
                  <a:gs pos="100000">
                    <a:schemeClr val="accent1">
                      <a:tint val="62000"/>
                      <a:lumMod val="99000"/>
                      <a:satMod val="120000"/>
                      <a:shade val="78000"/>
                    </a:schemeClr>
                  </a:gs>
                </a:gsLst>
                <a:lin ang="5400000" scaled="0"/>
              </a:gradFill>
              <a:ln>
                <a:noFill/>
              </a:ln>
              <a:effectLst/>
              <a:sp3d/>
            </c:spPr>
            <c:extLst>
              <c:ext xmlns:c16="http://schemas.microsoft.com/office/drawing/2014/chart" uri="{C3380CC4-5D6E-409C-BE32-E72D297353CC}">
                <c16:uniqueId val="{0000000D-CB9C-4B0C-A126-BDCADAA05BA8}"/>
              </c:ext>
            </c:extLst>
          </c:dPt>
          <c:dPt>
            <c:idx val="7"/>
            <c:bubble3D val="0"/>
            <c:spPr>
              <a:gradFill rotWithShape="1">
                <a:gsLst>
                  <a:gs pos="0">
                    <a:schemeClr val="accent1">
                      <a:tint val="69000"/>
                      <a:satMod val="103000"/>
                      <a:lumMod val="102000"/>
                      <a:tint val="94000"/>
                    </a:schemeClr>
                  </a:gs>
                  <a:gs pos="50000">
                    <a:schemeClr val="accent1">
                      <a:tint val="69000"/>
                      <a:satMod val="110000"/>
                      <a:lumMod val="100000"/>
                      <a:shade val="100000"/>
                    </a:schemeClr>
                  </a:gs>
                  <a:gs pos="100000">
                    <a:schemeClr val="accent1">
                      <a:tint val="69000"/>
                      <a:lumMod val="99000"/>
                      <a:satMod val="120000"/>
                      <a:shade val="78000"/>
                    </a:schemeClr>
                  </a:gs>
                </a:gsLst>
                <a:lin ang="5400000" scaled="0"/>
              </a:gradFill>
              <a:ln>
                <a:noFill/>
              </a:ln>
              <a:effectLst/>
              <a:sp3d/>
            </c:spPr>
            <c:extLst>
              <c:ext xmlns:c16="http://schemas.microsoft.com/office/drawing/2014/chart" uri="{C3380CC4-5D6E-409C-BE32-E72D297353CC}">
                <c16:uniqueId val="{0000000F-CB9C-4B0C-A126-BDCADAA05BA8}"/>
              </c:ext>
            </c:extLst>
          </c:dPt>
          <c:dPt>
            <c:idx val="8"/>
            <c:bubble3D val="0"/>
            <c:spPr>
              <a:gradFill rotWithShape="1">
                <a:gsLst>
                  <a:gs pos="0">
                    <a:schemeClr val="accent1">
                      <a:tint val="56000"/>
                      <a:satMod val="103000"/>
                      <a:lumMod val="102000"/>
                      <a:tint val="94000"/>
                    </a:schemeClr>
                  </a:gs>
                  <a:gs pos="50000">
                    <a:schemeClr val="accent1">
                      <a:tint val="56000"/>
                      <a:satMod val="110000"/>
                      <a:lumMod val="100000"/>
                      <a:shade val="100000"/>
                    </a:schemeClr>
                  </a:gs>
                  <a:gs pos="100000">
                    <a:schemeClr val="accent1">
                      <a:tint val="56000"/>
                      <a:lumMod val="99000"/>
                      <a:satMod val="120000"/>
                      <a:shade val="78000"/>
                    </a:schemeClr>
                  </a:gs>
                </a:gsLst>
                <a:lin ang="5400000" scaled="0"/>
              </a:gradFill>
              <a:ln>
                <a:noFill/>
              </a:ln>
              <a:effectLst/>
              <a:sp3d/>
            </c:spPr>
            <c:extLst>
              <c:ext xmlns:c16="http://schemas.microsoft.com/office/drawing/2014/chart" uri="{C3380CC4-5D6E-409C-BE32-E72D297353CC}">
                <c16:uniqueId val="{00000011-CB9C-4B0C-A126-BDCADAA05BA8}"/>
              </c:ext>
            </c:extLst>
          </c:dPt>
          <c:dPt>
            <c:idx val="9"/>
            <c:bubble3D val="0"/>
            <c:spPr>
              <a:gradFill rotWithShape="1">
                <a:gsLst>
                  <a:gs pos="0">
                    <a:schemeClr val="accent1">
                      <a:tint val="46000"/>
                      <a:satMod val="103000"/>
                      <a:lumMod val="102000"/>
                      <a:tint val="94000"/>
                    </a:schemeClr>
                  </a:gs>
                  <a:gs pos="50000">
                    <a:schemeClr val="accent1">
                      <a:tint val="46000"/>
                      <a:satMod val="110000"/>
                      <a:lumMod val="100000"/>
                      <a:shade val="100000"/>
                    </a:schemeClr>
                  </a:gs>
                  <a:gs pos="100000">
                    <a:schemeClr val="accent1">
                      <a:tint val="46000"/>
                      <a:lumMod val="99000"/>
                      <a:satMod val="120000"/>
                      <a:shade val="78000"/>
                    </a:schemeClr>
                  </a:gs>
                </a:gsLst>
                <a:lin ang="5400000" scaled="0"/>
              </a:gradFill>
              <a:ln>
                <a:noFill/>
              </a:ln>
              <a:effectLst/>
              <a:sp3d/>
            </c:spPr>
            <c:extLst>
              <c:ext xmlns:c16="http://schemas.microsoft.com/office/drawing/2014/chart" uri="{C3380CC4-5D6E-409C-BE32-E72D297353CC}">
                <c16:uniqueId val="{00000013-CB9C-4B0C-A126-BDCADAA05BA8}"/>
              </c:ext>
            </c:extLst>
          </c:dPt>
          <c:dLbls>
            <c:dLbl>
              <c:idx val="0"/>
              <c:layout>
                <c:manualLayout>
                  <c:x val="0.16077961390642465"/>
                  <c:y val="-0.1141679608441508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B9C-4B0C-A126-BDCADAA05BA8}"/>
                </c:ext>
              </c:extLst>
            </c:dLbl>
            <c:dLbl>
              <c:idx val="1"/>
              <c:layout>
                <c:manualLayout>
                  <c:x val="-2.3866282817321227E-2"/>
                  <c:y val="-6.5310874260281357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54812751919925"/>
                      <c:h val="0.11051209810695414"/>
                    </c:manualLayout>
                  </c15:layout>
                </c:ext>
                <c:ext xmlns:c16="http://schemas.microsoft.com/office/drawing/2014/chart" uri="{C3380CC4-5D6E-409C-BE32-E72D297353CC}">
                  <c16:uniqueId val="{00000003-CB9C-4B0C-A126-BDCADAA05BA8}"/>
                </c:ext>
              </c:extLst>
            </c:dLbl>
            <c:dLbl>
              <c:idx val="2"/>
              <c:layout>
                <c:manualLayout>
                  <c:x val="9.999622899213477E-2"/>
                  <c:y val="-0.218787212319060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B9C-4B0C-A126-BDCADAA05BA8}"/>
                </c:ext>
              </c:extLst>
            </c:dLbl>
            <c:dLbl>
              <c:idx val="3"/>
              <c:layout>
                <c:manualLayout>
                  <c:x val="3.4384701183958657E-2"/>
                  <c:y val="-6.025565853636449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B9C-4B0C-A126-BDCADAA05BA8}"/>
                </c:ext>
              </c:extLst>
            </c:dLbl>
            <c:dLbl>
              <c:idx val="4"/>
              <c:layout>
                <c:manualLayout>
                  <c:x val="2.8639677191704016E-2"/>
                  <c:y val="5.543192324584234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326165244562384"/>
                      <c:h val="0.25078160019197598"/>
                    </c:manualLayout>
                  </c15:layout>
                </c:ext>
                <c:ext xmlns:c16="http://schemas.microsoft.com/office/drawing/2014/chart" uri="{C3380CC4-5D6E-409C-BE32-E72D297353CC}">
                  <c16:uniqueId val="{00000009-CB9C-4B0C-A126-BDCADAA05BA8}"/>
                </c:ext>
              </c:extLst>
            </c:dLbl>
            <c:dLbl>
              <c:idx val="5"/>
              <c:layout>
                <c:manualLayout>
                  <c:x val="-0.36154757151478378"/>
                  <c:y val="-5.236656596173212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CB9C-4B0C-A126-BDCADAA05BA8}"/>
                </c:ext>
              </c:extLst>
            </c:dLbl>
            <c:dLbl>
              <c:idx val="6"/>
              <c:layout>
                <c:manualLayout>
                  <c:x val="-0.20745116075004719"/>
                  <c:y val="-2.580554058887716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CB9C-4B0C-A126-BDCADAA05BA8}"/>
                </c:ext>
              </c:extLst>
            </c:dLbl>
            <c:dLbl>
              <c:idx val="9"/>
              <c:layout>
                <c:manualLayout>
                  <c:x val="-0.17488794406279867"/>
                  <c:y val="-8.229723672355010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3-CB9C-4B0C-A126-BDCADAA05BA8}"/>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'1'!$A$34:$A$43</c:f>
              <c:strCache>
                <c:ptCount val="10"/>
                <c:pt idx="0">
                  <c:v>ΑΠΟΔΟΤΙΚΗ ΚΑΙ ΒΙΩΣΙΜΗ ΔΙΑΧΕΙΡΙΣΗ ΠΟΡΩΝ</c:v>
                </c:pt>
                <c:pt idx="1">
                  <c:v>ΑΣΦΑΛΕΙΣ ΚΑΙ ΠΟΙΟΤΙΚΕΣ ΥΠΟΔΟΜΕΣ ΜΕΤΑΦΟΡΩΝ</c:v>
                </c:pt>
                <c:pt idx="2">
                  <c:v>ΑΣΦΑΛΕΙΣ, ΒΙΩΣΙΜΕΣ ΚΑΙ ΕΝΕΡΓΕΙΑΚΑ ΑΠΟΔΟΤΙΚΕΣ ΚΤΙΡΙΑΚΕΣ ΥΠΟΔΟΜΕΣ</c:v>
                </c:pt>
                <c:pt idx="3">
                  <c:v>ΒΙΩΣΙΜΗ ΑΣΤΙΚΗ ΚΙΝΗΤΙΚΟΤΗΤΑ</c:v>
                </c:pt>
                <c:pt idx="4">
                  <c:v>ΕΠΙΤΕΛΙΚΟΣ ΣΥΝΤΟΝΙΣΜΟΣ ΚΑΙ ΕΠΕΝΔΥΣΕΙΣ ΥΠΟΥΡΓΕΙΟΥ ΥΠΟΔΟΜΩΝ ΚΑΙ ΜΕΤΑΦΟΡΩΝ</c:v>
                </c:pt>
                <c:pt idx="5">
                  <c:v>ΠΟΙΟΤΗΤΑ, ΑΣΦΑΛΕΙΑ ΚΑΙ ΟΙΚΟΝΟΜΙΚΗ ΠΡΟΣΙΤΟΤΗΤΑ ΜΕΤΑΦΟΡΩΝ</c:v>
                </c:pt>
                <c:pt idx="6">
                  <c:v>ΔΙΑΧΕΙΡΙΣΗ ΚΑΙ ΛΕΙΤΟΥΡΓΙΑ ΥΠΗΡΕΣΙΑΣ ΠΟΛΙΤΙΚΗΣ ΑΕΡΟΠΟΡΙΑΣ</c:v>
                </c:pt>
                <c:pt idx="7">
                  <c:v>ΡΥΘΜΙΣΤΙΚΗ ΑΡΧΗ ΣΙΔΗΡΟΔΡΟΜΩΝ</c:v>
                </c:pt>
                <c:pt idx="8">
                  <c:v>ΔΙΑΧΕΙΡΙΣΗ ΚΑΙ ΛΕΙΤΟΥΡΓΙΑ ΤΗΣ ΑΡΧΗΣ ΠΟΛΙΤΙΚΗΣ ΑΕΡΟΠΟΡΙΑΣ</c:v>
                </c:pt>
                <c:pt idx="9">
                  <c:v>ΠΡΟΛΗΨΗ ΚΑΙ ΑΝΤΙΜΕΤΩΠΙΣΗ ΕΠΙΠΤΩΣΕΩΝ ΦΥΣΙΚΩΝ ΚΑΤΑΣΤΡΟΦΩΝ</c:v>
                </c:pt>
              </c:strCache>
            </c:strRef>
          </c:cat>
          <c:val>
            <c:numRef>
              <c:f>'1'!$B$34:$B$43</c:f>
              <c:numCache>
                <c:formatCode>_-* #,##0\ _€_-;\-* #,##0\ _€_-;_-* "-"??\ _€_-;_-@_-</c:formatCode>
                <c:ptCount val="10"/>
                <c:pt idx="0">
                  <c:v>125</c:v>
                </c:pt>
                <c:pt idx="1">
                  <c:v>1800</c:v>
                </c:pt>
                <c:pt idx="2">
                  <c:v>249</c:v>
                </c:pt>
                <c:pt idx="3">
                  <c:v>379</c:v>
                </c:pt>
                <c:pt idx="4">
                  <c:v>661</c:v>
                </c:pt>
                <c:pt idx="5">
                  <c:v>8974</c:v>
                </c:pt>
                <c:pt idx="6">
                  <c:v>1929</c:v>
                </c:pt>
                <c:pt idx="7">
                  <c:v>23</c:v>
                </c:pt>
                <c:pt idx="8">
                  <c:v>134</c:v>
                </c:pt>
                <c:pt idx="9">
                  <c:v>205</c:v>
                </c:pt>
              </c:numCache>
            </c:numRef>
          </c:val>
          <c:extLst>
            <c:ext xmlns:c16="http://schemas.microsoft.com/office/drawing/2014/chart" uri="{C3380CC4-5D6E-409C-BE32-E72D297353CC}">
              <c16:uniqueId val="{00000014-CB9C-4B0C-A126-BDCADAA05BA8}"/>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spPr>
              <a:gradFill rotWithShape="1">
                <a:gsLst>
                  <a:gs pos="0">
                    <a:schemeClr val="accent1">
                      <a:shade val="44000"/>
                      <a:satMod val="103000"/>
                      <a:lumMod val="102000"/>
                      <a:tint val="94000"/>
                    </a:schemeClr>
                  </a:gs>
                  <a:gs pos="50000">
                    <a:schemeClr val="accent1">
                      <a:shade val="44000"/>
                      <a:satMod val="110000"/>
                      <a:lumMod val="100000"/>
                      <a:shade val="100000"/>
                    </a:schemeClr>
                  </a:gs>
                  <a:gs pos="100000">
                    <a:schemeClr val="accent1">
                      <a:shade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01-3061-4137-94A9-C6EB6C586515}"/>
              </c:ext>
            </c:extLst>
          </c:dPt>
          <c:dPt>
            <c:idx val="1"/>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3-3061-4137-94A9-C6EB6C586515}"/>
              </c:ext>
            </c:extLst>
          </c:dPt>
          <c:dPt>
            <c:idx val="2"/>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5-3061-4137-94A9-C6EB6C586515}"/>
              </c:ext>
            </c:extLst>
          </c:dPt>
          <c:dPt>
            <c:idx val="3"/>
            <c:bubble3D val="0"/>
            <c:explosion val="7"/>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7-3061-4137-94A9-C6EB6C586515}"/>
              </c:ext>
            </c:extLst>
          </c:dPt>
          <c:dPt>
            <c:idx val="4"/>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9-3061-4137-94A9-C6EB6C586515}"/>
              </c:ext>
            </c:extLst>
          </c:dPt>
          <c:dPt>
            <c:idx val="5"/>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B-3061-4137-94A9-C6EB6C586515}"/>
              </c:ext>
            </c:extLst>
          </c:dPt>
          <c:dPt>
            <c:idx val="6"/>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D-3061-4137-94A9-C6EB6C586515}"/>
              </c:ext>
            </c:extLst>
          </c:dPt>
          <c:dPt>
            <c:idx val="7"/>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F-3061-4137-94A9-C6EB6C586515}"/>
              </c:ext>
            </c:extLst>
          </c:dPt>
          <c:dPt>
            <c:idx val="8"/>
            <c:bubble3D val="0"/>
            <c:spPr>
              <a:gradFill rotWithShape="1">
                <a:gsLst>
                  <a:gs pos="0">
                    <a:schemeClr val="accent1">
                      <a:tint val="44000"/>
                      <a:satMod val="103000"/>
                      <a:lumMod val="102000"/>
                      <a:tint val="94000"/>
                    </a:schemeClr>
                  </a:gs>
                  <a:gs pos="50000">
                    <a:schemeClr val="accent1">
                      <a:tint val="44000"/>
                      <a:satMod val="110000"/>
                      <a:lumMod val="100000"/>
                      <a:shade val="100000"/>
                    </a:schemeClr>
                  </a:gs>
                  <a:gs pos="100000">
                    <a:schemeClr val="accent1">
                      <a:tint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11-3061-4137-94A9-C6EB6C586515}"/>
              </c:ext>
            </c:extLst>
          </c:dPt>
          <c:dLbls>
            <c:dLbl>
              <c:idx val="0"/>
              <c:layout>
                <c:manualLayout>
                  <c:x val="-9.3956293352370199E-2"/>
                  <c:y val="-0.1678856134247992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061-4137-94A9-C6EB6C586515}"/>
                </c:ext>
              </c:extLst>
            </c:dLbl>
            <c:dLbl>
              <c:idx val="1"/>
              <c:layout>
                <c:manualLayout>
                  <c:x val="3.531409047482055E-2"/>
                  <c:y val="-4.217842720336258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061-4137-94A9-C6EB6C586515}"/>
                </c:ext>
              </c:extLst>
            </c:dLbl>
            <c:dLbl>
              <c:idx val="2"/>
              <c:layout>
                <c:manualLayout>
                  <c:x val="0.16312133513757329"/>
                  <c:y val="0.1050851909965179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061-4137-94A9-C6EB6C586515}"/>
                </c:ext>
              </c:extLst>
            </c:dLbl>
            <c:dLbl>
              <c:idx val="3"/>
              <c:layout>
                <c:manualLayout>
                  <c:x val="-1.3516669685572118E-2"/>
                  <c:y val="7.571494961570528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061-4137-94A9-C6EB6C586515}"/>
                </c:ext>
              </c:extLst>
            </c:dLbl>
            <c:dLbl>
              <c:idx val="5"/>
              <c:layout>
                <c:manualLayout>
                  <c:x val="0.10096441598386126"/>
                  <c:y val="-0.12999193626025365"/>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3061-4137-94A9-C6EB6C586515}"/>
                </c:ext>
              </c:extLst>
            </c:dLbl>
            <c:dLbl>
              <c:idx val="6"/>
              <c:layout>
                <c:manualLayout>
                  <c:x val="-1.7419084454767916E-2"/>
                  <c:y val="8.6322508292350931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3061-4137-94A9-C6EB6C586515}"/>
                </c:ext>
              </c:extLst>
            </c:dLbl>
            <c:dLbl>
              <c:idx val="7"/>
              <c:layout>
                <c:manualLayout>
                  <c:x val="-0.11050600407019488"/>
                  <c:y val="0.1361339048857601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6666666667"/>
                      <c:h val="0.21792803615740658"/>
                    </c:manualLayout>
                  </c15:layout>
                </c:ext>
                <c:ext xmlns:c16="http://schemas.microsoft.com/office/drawing/2014/chart" uri="{C3380CC4-5D6E-409C-BE32-E72D297353CC}">
                  <c16:uniqueId val="{0000000F-3061-4137-94A9-C6EB6C586515}"/>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'1'!$A$4:$A$12</c:f>
              <c:strCache>
                <c:ptCount val="9"/>
                <c:pt idx="0">
                  <c:v>ΔΙΑΧΕΙΡΙΣΗ ΘΑΛΑΣΣΙΩΝ ΣΥΝΟΡΩΝ</c:v>
                </c:pt>
                <c:pt idx="1">
                  <c:v>ΥΠΗΡΕΣΙΕΣ ΑΣΦΑΛΕΙΑΣ ΚΑΙ ΑΣΤΥΝΟΜΕΥΣΗΣ ΘΑΛΑΣΣΙΟΥ ΧΩΡΟΥ, ΛΙΜΕΝΩΝ- ΕΡΕΥΝΑΣ ΚΑΙ ΔΙΑΣΩΣΗΣ</c:v>
                </c:pt>
                <c:pt idx="2">
                  <c:v>ΕΠΙΤΕΛΙΚΟΣ ΣΥΝΤΟΝΙΣΜΟΣ ΚΑΙ ΕΠΕΝΔΥΣΕΙΣ ΥΠΟΥΡΓΕΙΟΥ ΝΑΥΤΙΛΙΑΣ ΚΑΙ ΝΗΣΙΩΤΙΚΗΣ ΠΟΛΙΤΙΚΗΣ</c:v>
                </c:pt>
                <c:pt idx="3">
                  <c:v>ΝΑΥΤΙΛΙΑΚΗ ΠΟΛΙΤΙΚΗ ΚΑΙ ΕΛΕΓΧΟΣ ΠΛΟΙΩΝ</c:v>
                </c:pt>
                <c:pt idx="4">
                  <c:v>ΟΛΟΚΛΗΡΩΜΕΝΗ ΘΑΛΑΣΣΙΑ ΠΟΛΙΤΙΚΗ ΣΤΟ ΝΗΣΙΩΤΙΚΟ ΧΩΡΟ</c:v>
                </c:pt>
                <c:pt idx="5">
                  <c:v>ΛΙΜΕΝΙΚΗ ΠΟΛΙΤΙΚΗ - ΥΠΟΔΟΜΕΣ - ΘΑΛΑΣΣΙΟΣ ΤΟΥΡΙΣΜΟΣ</c:v>
                </c:pt>
                <c:pt idx="6">
                  <c:v>ΡΥΘΜΙΣΤΙΚΗ ΑΡΧΗ ΛΙΜΕΝΩΝ</c:v>
                </c:pt>
                <c:pt idx="7">
                  <c:v>ΕΚΠΑΙΔΕΥΣΗ ΝΑΥΤΙΚΩΝ</c:v>
                </c:pt>
                <c:pt idx="8">
                  <c:v>ΚΟΙΝΩΝΙΚΗ ΠΡΟΣΤΑΣΙΑ ΛΙΜΕΝΙΚΩΝ ΚΑΙ ΝΑΥΤΙΚΩΝ</c:v>
                </c:pt>
              </c:strCache>
            </c:strRef>
          </c:cat>
          <c:val>
            <c:numRef>
              <c:f>'1'!$B$4:$B$12</c:f>
              <c:numCache>
                <c:formatCode>#,##0\ "€"</c:formatCode>
                <c:ptCount val="9"/>
                <c:pt idx="0">
                  <c:v>51618000</c:v>
                </c:pt>
                <c:pt idx="1">
                  <c:v>253419580</c:v>
                </c:pt>
                <c:pt idx="2">
                  <c:v>62545670</c:v>
                </c:pt>
                <c:pt idx="3">
                  <c:v>213847890</c:v>
                </c:pt>
                <c:pt idx="4">
                  <c:v>68095000</c:v>
                </c:pt>
                <c:pt idx="5">
                  <c:v>71586230</c:v>
                </c:pt>
                <c:pt idx="7">
                  <c:v>35480630</c:v>
                </c:pt>
              </c:numCache>
            </c:numRef>
          </c:val>
          <c:extLst>
            <c:ext xmlns:c16="http://schemas.microsoft.com/office/drawing/2014/chart" uri="{C3380CC4-5D6E-409C-BE32-E72D297353CC}">
              <c16:uniqueId val="{00000012-3061-4137-94A9-C6EB6C58651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'1'!$B$17</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3"/>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8F-4119-B935-7BDCF3355404}"/>
                </c:ext>
              </c:extLst>
            </c:dLbl>
            <c:dLbl>
              <c:idx val="7"/>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8F-4119-B935-7BDCF335540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'1'!$A$18:$A$26</c:f>
              <c:strCache>
                <c:ptCount val="9"/>
                <c:pt idx="0">
                  <c:v>ΔΙΑΧΕΙΡΙΣΗ ΘΑΛΑΣΣΙΩΝ ΣΥΝΟΡΩΝ</c:v>
                </c:pt>
                <c:pt idx="1">
                  <c:v>ΥΠΗΡΕΣΙΕΣ ΑΣΦΑΛΕΙΑΣ ΚΑΙ ΑΣΤΥΝΟΜΕΥΣΗΣ ΘΑΛΑΣΣΙΟΥ ΧΩΡΟΥ, ΛΙΜΕΝΩΝ- ΕΡΕΥΝΑΣ ΚΑΙ ΔΙΑΣΩΣΗΣ</c:v>
                </c:pt>
                <c:pt idx="2">
                  <c:v>ΕΠΙΤΕΛΙΚΟΣ ΣΥΝΤΟΝΙΣΜΟΣ ΚΑΙ ΕΠΕΝΔΥΣΕΙΣ ΥΠΟΥΡΓΕΙΟΥ ΝΑΥΤΙΛΙΑΣ ΚΑΙ ΝΗΣΙΩΤΙΚΗΣ ΠΟΛΙΤΙΚΗΣ</c:v>
                </c:pt>
                <c:pt idx="3">
                  <c:v>ΝΑΥΤΙΛΙΑΚΗ ΠΟΛΙΤΙΚΗ ΚΑΙ ΕΛΕΓΧΟΣ ΠΛΟΙΩΝ</c:v>
                </c:pt>
                <c:pt idx="4">
                  <c:v>ΟΛΟΚΛΗΡΩΜΕΝΗ ΘΑΛΑΣΣΙΑ ΠΟΛΙΤΙΚΗ ΣΤΟ ΝΗΣΙΩΤΙΚΟ ΧΩΡΟ</c:v>
                </c:pt>
                <c:pt idx="5">
                  <c:v>ΛΙΜΕΝΙΚΗ ΠΟΛΙΤΙΚΗ - ΥΠΟΔΟΜΕΣ - ΘΑΛΑΣΣΙΟΣ ΤΟΥΡΙΣΜΟΣ</c:v>
                </c:pt>
                <c:pt idx="6">
                  <c:v>ΡΥΘΜΙΣΤΙΚΗ ΑΡΧΗ ΛΙΜΕΝΩΝ</c:v>
                </c:pt>
                <c:pt idx="7">
                  <c:v>ΕΚΠΑΙΔΕΥΣΗ ΝΑΥΤΙΚΩΝ</c:v>
                </c:pt>
                <c:pt idx="8">
                  <c:v>ΚΟΙΝΩΝΙΚΗ ΠΡΟΣΤΑΣΙΑ ΛΙΜΕΝΙΚΩΝ ΚΑΙ ΝΑΥΤΙΚΩΝ</c:v>
                </c:pt>
              </c:strCache>
            </c:strRef>
          </c:cat>
          <c:val>
            <c:numRef>
              <c:f>'1'!$B$18:$B$26</c:f>
              <c:numCache>
                <c:formatCode>#,##0\ "€"</c:formatCode>
                <c:ptCount val="9"/>
                <c:pt idx="0">
                  <c:v>51618000</c:v>
                </c:pt>
                <c:pt idx="1">
                  <c:v>253419580</c:v>
                </c:pt>
                <c:pt idx="2">
                  <c:v>62697896.780000001</c:v>
                </c:pt>
                <c:pt idx="3">
                  <c:v>214034713.77000001</c:v>
                </c:pt>
                <c:pt idx="4">
                  <c:v>63097277.579999998</c:v>
                </c:pt>
                <c:pt idx="5">
                  <c:v>46172200.979999997</c:v>
                </c:pt>
                <c:pt idx="7">
                  <c:v>35480630</c:v>
                </c:pt>
              </c:numCache>
            </c:numRef>
          </c:val>
          <c:extLst>
            <c:ext xmlns:c16="http://schemas.microsoft.com/office/drawing/2014/chart" uri="{C3380CC4-5D6E-409C-BE32-E72D297353CC}">
              <c16:uniqueId val="{00000002-898F-4119-B935-7BDCF3355404}"/>
            </c:ext>
          </c:extLst>
        </c:ser>
        <c:ser>
          <c:idx val="1"/>
          <c:order val="1"/>
          <c:tx>
            <c:strRef>
              <c:f>'1'!$C$17</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'1'!$A$18:$A$26</c:f>
              <c:strCache>
                <c:ptCount val="9"/>
                <c:pt idx="0">
                  <c:v>ΔΙΑΧΕΙΡΙΣΗ ΘΑΛΑΣΣΙΩΝ ΣΥΝΟΡΩΝ</c:v>
                </c:pt>
                <c:pt idx="1">
                  <c:v>ΥΠΗΡΕΣΙΕΣ ΑΣΦΑΛΕΙΑΣ ΚΑΙ ΑΣΤΥΝΟΜΕΥΣΗΣ ΘΑΛΑΣΣΙΟΥ ΧΩΡΟΥ, ΛΙΜΕΝΩΝ- ΕΡΕΥΝΑΣ ΚΑΙ ΔΙΑΣΩΣΗΣ</c:v>
                </c:pt>
                <c:pt idx="2">
                  <c:v>ΕΠΙΤΕΛΙΚΟΣ ΣΥΝΤΟΝΙΣΜΟΣ ΚΑΙ ΕΠΕΝΔΥΣΕΙΣ ΥΠΟΥΡΓΕΙΟΥ ΝΑΥΤΙΛΙΑΣ ΚΑΙ ΝΗΣΙΩΤΙΚΗΣ ΠΟΛΙΤΙΚΗΣ</c:v>
                </c:pt>
                <c:pt idx="3">
                  <c:v>ΝΑΥΤΙΛΙΑΚΗ ΠΟΛΙΤΙΚΗ ΚΑΙ ΕΛΕΓΧΟΣ ΠΛΟΙΩΝ</c:v>
                </c:pt>
                <c:pt idx="4">
                  <c:v>ΟΛΟΚΛΗΡΩΜΕΝΗ ΘΑΛΑΣΣΙΑ ΠΟΛΙΤΙΚΗ ΣΤΟ ΝΗΣΙΩΤΙΚΟ ΧΩΡΟ</c:v>
                </c:pt>
                <c:pt idx="5">
                  <c:v>ΛΙΜΕΝΙΚΗ ΠΟΛΙΤΙΚΗ - ΥΠΟΔΟΜΕΣ - ΘΑΛΑΣΣΙΟΣ ΤΟΥΡΙΣΜΟΣ</c:v>
                </c:pt>
                <c:pt idx="6">
                  <c:v>ΡΥΘΜΙΣΤΙΚΗ ΑΡΧΗ ΛΙΜΕΝΩΝ</c:v>
                </c:pt>
                <c:pt idx="7">
                  <c:v>ΕΚΠΑΙΔΕΥΣΗ ΝΑΥΤΙΚΩΝ</c:v>
                </c:pt>
                <c:pt idx="8">
                  <c:v>ΚΟΙΝΩΝΙΚΗ ΠΡΟΣΤΑΣΙΑ ΛΙΜΕΝΙΚΩΝ ΚΑΙ ΝΑΥΤΙΚΩΝ</c:v>
                </c:pt>
              </c:strCache>
            </c:strRef>
          </c:cat>
          <c:val>
            <c:numRef>
              <c:f>'1'!$C$18:$C$26</c:f>
              <c:numCache>
                <c:formatCode>General</c:formatCode>
                <c:ptCount val="9"/>
                <c:pt idx="5" formatCode="#,##0\ &quot;€&quot;">
                  <c:v>72909749.939999998</c:v>
                </c:pt>
                <c:pt idx="6" formatCode="#,##0\ &quot;€&quot;">
                  <c:v>1374600.01</c:v>
                </c:pt>
                <c:pt idx="8" formatCode="#,##0\ &quot;€&quot;">
                  <c:v>34964255</c:v>
                </c:pt>
              </c:numCache>
            </c:numRef>
          </c:val>
          <c:extLst>
            <c:ext xmlns:c16="http://schemas.microsoft.com/office/drawing/2014/chart" uri="{C3380CC4-5D6E-409C-BE32-E72D297353CC}">
              <c16:uniqueId val="{00000003-898F-4119-B935-7BDCF3355404}"/>
            </c:ext>
          </c:extLst>
        </c:ser>
        <c:dLbls>
          <c:showLegendKey val="0"/>
          <c:showVal val="0"/>
          <c:showCatName val="0"/>
          <c:showSerName val="0"/>
          <c:showPercent val="0"/>
          <c:showBubbleSize val="0"/>
        </c:dLbls>
        <c:gapWidth val="67"/>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261215459729092E-2"/>
          <c:y val="0.18423692365557109"/>
          <c:w val="0.95735666630877581"/>
          <c:h val="0.81484534059410818"/>
        </c:manualLayout>
      </c:layout>
      <c:pie3DChart>
        <c:varyColors val="1"/>
        <c:ser>
          <c:idx val="0"/>
          <c:order val="0"/>
          <c:tx>
            <c:strRef>
              <c:f>'1'!$B$30:$B$31</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8B36-4652-8AC4-8709983C822C}"/>
              </c:ext>
            </c:extLst>
          </c:dPt>
          <c:dPt>
            <c:idx val="1"/>
            <c:bubble3D val="0"/>
            <c:explosion val="6"/>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8B36-4652-8AC4-8709983C822C}"/>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8B36-4652-8AC4-8709983C822C}"/>
              </c:ext>
            </c:extLst>
          </c:dPt>
          <c:dPt>
            <c:idx val="3"/>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7-8B36-4652-8AC4-8709983C822C}"/>
              </c:ext>
            </c:extLst>
          </c:dPt>
          <c:dPt>
            <c:idx val="4"/>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9-8B36-4652-8AC4-8709983C822C}"/>
              </c:ext>
            </c:extLst>
          </c:dPt>
          <c:dPt>
            <c:idx val="5"/>
            <c:bubble3D val="0"/>
            <c:spPr>
              <a:gradFill rotWithShape="1">
                <a:gsLst>
                  <a:gs pos="0">
                    <a:schemeClr val="accent1">
                      <a:tint val="65000"/>
                      <a:satMod val="103000"/>
                      <a:lumMod val="102000"/>
                      <a:tint val="94000"/>
                    </a:schemeClr>
                  </a:gs>
                  <a:gs pos="50000">
                    <a:schemeClr val="accent1">
                      <a:tint val="65000"/>
                      <a:satMod val="110000"/>
                      <a:lumMod val="100000"/>
                      <a:shade val="100000"/>
                    </a:schemeClr>
                  </a:gs>
                  <a:gs pos="100000">
                    <a:schemeClr val="accent1">
                      <a:tint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B-8B36-4652-8AC4-8709983C822C}"/>
              </c:ext>
            </c:extLst>
          </c:dPt>
          <c:dPt>
            <c:idx val="6"/>
            <c:bubble3D val="0"/>
            <c:explosion val="16"/>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D-8B36-4652-8AC4-8709983C822C}"/>
              </c:ext>
            </c:extLst>
          </c:dPt>
          <c:dPt>
            <c:idx val="7"/>
            <c:bubble3D val="0"/>
            <c:spPr>
              <a:gradFill rotWithShape="1">
                <a:gsLst>
                  <a:gs pos="0">
                    <a:schemeClr val="accent1">
                      <a:tint val="44000"/>
                      <a:satMod val="103000"/>
                      <a:lumMod val="102000"/>
                      <a:tint val="94000"/>
                    </a:schemeClr>
                  </a:gs>
                  <a:gs pos="50000">
                    <a:schemeClr val="accent1">
                      <a:tint val="44000"/>
                      <a:satMod val="110000"/>
                      <a:lumMod val="100000"/>
                      <a:shade val="100000"/>
                    </a:schemeClr>
                  </a:gs>
                  <a:gs pos="100000">
                    <a:schemeClr val="accent1">
                      <a:tint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0F-8B36-4652-8AC4-8709983C822C}"/>
              </c:ext>
            </c:extLst>
          </c:dPt>
          <c:dPt>
            <c:idx val="8"/>
            <c:bubble3D val="0"/>
            <c:spPr>
              <a:gradFill rotWithShape="1">
                <a:gsLst>
                  <a:gs pos="0">
                    <a:schemeClr val="accent1">
                      <a:tint val="44000"/>
                      <a:satMod val="103000"/>
                      <a:lumMod val="102000"/>
                      <a:tint val="94000"/>
                    </a:schemeClr>
                  </a:gs>
                  <a:gs pos="50000">
                    <a:schemeClr val="accent1">
                      <a:tint val="44000"/>
                      <a:satMod val="110000"/>
                      <a:lumMod val="100000"/>
                      <a:shade val="100000"/>
                    </a:schemeClr>
                  </a:gs>
                  <a:gs pos="100000">
                    <a:schemeClr val="accent1">
                      <a:tint val="44000"/>
                      <a:lumMod val="99000"/>
                      <a:satMod val="120000"/>
                      <a:shade val="78000"/>
                    </a:schemeClr>
                  </a:gs>
                </a:gsLst>
                <a:lin ang="5400000" scaled="0"/>
              </a:gradFill>
              <a:ln>
                <a:noFill/>
              </a:ln>
              <a:effectLst/>
              <a:sp3d/>
            </c:spPr>
            <c:extLst>
              <c:ext xmlns:c16="http://schemas.microsoft.com/office/drawing/2014/chart" uri="{C3380CC4-5D6E-409C-BE32-E72D297353CC}">
                <c16:uniqueId val="{00000011-8B36-4652-8AC4-8709983C822C}"/>
              </c:ext>
            </c:extLst>
          </c:dPt>
          <c:dLbls>
            <c:dLbl>
              <c:idx val="0"/>
              <c:layout>
                <c:manualLayout>
                  <c:x val="0.1464598589832482"/>
                  <c:y val="-6.02597048487491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B36-4652-8AC4-8709983C822C}"/>
                </c:ext>
              </c:extLst>
            </c:dLbl>
            <c:dLbl>
              <c:idx val="1"/>
              <c:layout>
                <c:manualLayout>
                  <c:x val="4.4657753474056656E-2"/>
                  <c:y val="9.8438513445582264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B36-4652-8AC4-8709983C822C}"/>
                </c:ext>
              </c:extLst>
            </c:dLbl>
            <c:dLbl>
              <c:idx val="2"/>
              <c:layout>
                <c:manualLayout>
                  <c:x val="-9.3543480714304322E-2"/>
                  <c:y val="0.2064562407381143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8B36-4652-8AC4-8709983C822C}"/>
                </c:ext>
              </c:extLst>
            </c:dLbl>
            <c:dLbl>
              <c:idx val="3"/>
              <c:layout>
                <c:manualLayout>
                  <c:x val="-0.13412513347628682"/>
                  <c:y val="8.253267480171086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8B36-4652-8AC4-8709983C822C}"/>
                </c:ext>
              </c:extLst>
            </c:dLbl>
            <c:dLbl>
              <c:idx val="4"/>
              <c:layout>
                <c:manualLayout>
                  <c:x val="0.11588683017472796"/>
                  <c:y val="-8.362380188211163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8B36-4652-8AC4-8709983C822C}"/>
                </c:ext>
              </c:extLst>
            </c:dLbl>
            <c:dLbl>
              <c:idx val="5"/>
              <c:layout>
                <c:manualLayout>
                  <c:x val="-0.23457074894304145"/>
                  <c:y val="-4.6957990861948837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86793877887645"/>
                      <c:h val="0.15365285682281102"/>
                    </c:manualLayout>
                  </c15:layout>
                </c:ext>
                <c:ext xmlns:c16="http://schemas.microsoft.com/office/drawing/2014/chart" uri="{C3380CC4-5D6E-409C-BE32-E72D297353CC}">
                  <c16:uniqueId val="{0000000B-8B36-4652-8AC4-8709983C822C}"/>
                </c:ext>
              </c:extLst>
            </c:dLbl>
            <c:dLbl>
              <c:idx val="6"/>
              <c:layout>
                <c:manualLayout>
                  <c:x val="0.15519337783989784"/>
                  <c:y val="-4.640715916775085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920617420066149"/>
                      <c:h val="0.12941790655181415"/>
                    </c:manualLayout>
                  </c15:layout>
                </c:ext>
                <c:ext xmlns:c16="http://schemas.microsoft.com/office/drawing/2014/chart" uri="{C3380CC4-5D6E-409C-BE32-E72D297353CC}">
                  <c16:uniqueId val="{0000000D-8B36-4652-8AC4-8709983C822C}"/>
                </c:ext>
              </c:extLst>
            </c:dLbl>
            <c:dLbl>
              <c:idx val="7"/>
              <c:layout>
                <c:manualLayout>
                  <c:x val="0.31553811561867878"/>
                  <c:y val="-0.1385765111389267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8B36-4652-8AC4-8709983C822C}"/>
                </c:ext>
              </c:extLst>
            </c:dLbl>
            <c:dLbl>
              <c:idx val="8"/>
              <c:layout>
                <c:manualLayout>
                  <c:x val="0.25845506081309849"/>
                  <c:y val="6.5968261406635052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1-8B36-4652-8AC4-8709983C822C}"/>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'1'!$A$32:$A$40</c:f>
              <c:strCache>
                <c:ptCount val="9"/>
                <c:pt idx="0">
                  <c:v>ΔΙΑΧΕΙΡΙΣΗ ΘΑΛΑΣΣΙΩΝ ΣΥΝΟΡΩΝ</c:v>
                </c:pt>
                <c:pt idx="1">
                  <c:v>ΥΠΗΡΕΣΙΕΣ ΑΣΦΑΛΕΙΑΣ ΚΑΙ ΑΣΤΥΝΟΜΕΥΣΗΣ ΘΑΛΑΣΣΙΟΥ ΧΩΡΟΥ, ΛΙΜΕΝΩΝ- ΕΡΕΥΝΑΣ ΚΑΙ ΔΙΑΣΩΣΗΣ</c:v>
                </c:pt>
                <c:pt idx="2">
                  <c:v>ΕΠΙΤΕΛΙΚΟΣ ΣΥΝΤΟΝΙΣΜΟΣ ΚΑΙ ΕΠΕΝΔΥΣΕΙΣ ΥΠΟΥΡΓΕΙΟΥ ΝΑΥΤΙΛΙΑΣ ΚΑΙ ΝΗΣΙΩΤΙΚΗΣ ΠΟΛΙΤΙΚΗΣ</c:v>
                </c:pt>
                <c:pt idx="3">
                  <c:v>ΝΑΥΤΙΛΙΑΚΗ ΠΟΛΙΤΙΚΗ ΚΑΙ ΕΛΕΓΧΟΣ ΠΛΟΙΩΝ</c:v>
                </c:pt>
                <c:pt idx="4">
                  <c:v>ΟΛΟΚΛΗΡΩΜΕΝΗ ΘΑΛΑΣΣΙΑ ΠΟΛΙΤΙΚΗ ΣΤΟ ΝΗΣΙΩΤΙΚΟ ΧΩΡΟ</c:v>
                </c:pt>
                <c:pt idx="5">
                  <c:v>ΛΙΜΕΝΙΚΗ ΠΟΛΙΤΙΚΗ - ΥΠΟΔΟΜΕΣ - ΘΑΛΑΣΣΙΟΣ ΤΟΥΡΙΣΜΟΣ</c:v>
                </c:pt>
                <c:pt idx="6">
                  <c:v>ΡΥΘΜΙΣΤΙΚΗ ΑΡΧΗ ΛΙΜΕΝΩΝ</c:v>
                </c:pt>
                <c:pt idx="7">
                  <c:v>ΕΚΠΑΙΔΕΥΣΗ ΝΑΥΤΙΚΩΝ</c:v>
                </c:pt>
                <c:pt idx="8">
                  <c:v>ΚΟΙΝΩΝΙΚΗ ΠΡΟΣΤΑΣΙΑ ΛΙΜΕΝΙΚΩΝ ΚΑΙ ΝΑΥΤΙΚΩΝ</c:v>
                </c:pt>
              </c:strCache>
            </c:strRef>
          </c:cat>
          <c:val>
            <c:numRef>
              <c:f>'1'!$B$32:$B$40</c:f>
              <c:numCache>
                <c:formatCode>_-* #,##0\ _€_-;\-* #,##0\ _€_-;_-* "-"??\ _€_-;_-@_-</c:formatCode>
                <c:ptCount val="9"/>
                <c:pt idx="1">
                  <c:v>6200</c:v>
                </c:pt>
                <c:pt idx="2">
                  <c:v>1000</c:v>
                </c:pt>
                <c:pt idx="3">
                  <c:v>539</c:v>
                </c:pt>
                <c:pt idx="4">
                  <c:v>79</c:v>
                </c:pt>
                <c:pt idx="5">
                  <c:v>259</c:v>
                </c:pt>
                <c:pt idx="6">
                  <c:v>15</c:v>
                </c:pt>
                <c:pt idx="7">
                  <c:v>90</c:v>
                </c:pt>
                <c:pt idx="8">
                  <c:v>42</c:v>
                </c:pt>
              </c:numCache>
            </c:numRef>
          </c:val>
          <c:extLst>
            <c:ext xmlns:c16="http://schemas.microsoft.com/office/drawing/2014/chart" uri="{C3380CC4-5D6E-409C-BE32-E72D297353CC}">
              <c16:uniqueId val="{00000012-8B36-4652-8AC4-8709983C822C}"/>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65C1-4C78-9E4F-15C3034CF81C}"/>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65C1-4C78-9E4F-15C3034CF81C}"/>
              </c:ext>
            </c:extLst>
          </c:dPt>
          <c:dPt>
            <c:idx val="2"/>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65C1-4C78-9E4F-15C3034CF81C}"/>
              </c:ext>
            </c:extLst>
          </c:dPt>
          <c:dPt>
            <c:idx val="3"/>
            <c:bubble3D val="0"/>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7-65C1-4C78-9E4F-15C3034CF81C}"/>
              </c:ext>
            </c:extLst>
          </c:dPt>
          <c:dLbls>
            <c:dLbl>
              <c:idx val="0"/>
              <c:layout>
                <c:manualLayout>
                  <c:x val="0.10082584597204099"/>
                  <c:y val="9.429899852776016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442125550182738"/>
                      <c:h val="0.32555513737297703"/>
                    </c:manualLayout>
                  </c15:layout>
                </c:ext>
                <c:ext xmlns:c16="http://schemas.microsoft.com/office/drawing/2014/chart" uri="{C3380CC4-5D6E-409C-BE32-E72D297353CC}">
                  <c16:uniqueId val="{00000001-65C1-4C78-9E4F-15C3034CF81C}"/>
                </c:ext>
              </c:extLst>
            </c:dLbl>
            <c:dLbl>
              <c:idx val="1"/>
              <c:layout>
                <c:manualLayout>
                  <c:x val="-2.2715381145692392E-2"/>
                  <c:y val="-1.7617415491688502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5C1-4C78-9E4F-15C3034CF81C}"/>
                </c:ext>
              </c:extLst>
            </c:dLbl>
            <c:dLbl>
              <c:idx val="2"/>
              <c:layout>
                <c:manualLayout>
                  <c:x val="-8.3638020991587736E-2"/>
                  <c:y val="0.15823748884983657"/>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0036392363854186"/>
                      <c:h val="0.26496048174633041"/>
                    </c:manualLayout>
                  </c15:layout>
                </c:ext>
                <c:ext xmlns:c16="http://schemas.microsoft.com/office/drawing/2014/chart" uri="{C3380CC4-5D6E-409C-BE32-E72D297353CC}">
                  <c16:uniqueId val="{00000005-65C1-4C78-9E4F-15C3034CF81C}"/>
                </c:ext>
              </c:extLst>
            </c:dLbl>
            <c:dLbl>
              <c:idx val="3"/>
              <c:layout>
                <c:manualLayout>
                  <c:x val="-7.8230282107835294E-2"/>
                  <c:y val="-2.225041267328883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82454476681619"/>
                      <c:h val="0.18836038258838772"/>
                    </c:manualLayout>
                  </c15:layout>
                </c:ext>
                <c:ext xmlns:c16="http://schemas.microsoft.com/office/drawing/2014/chart" uri="{C3380CC4-5D6E-409C-BE32-E72D297353CC}">
                  <c16:uniqueId val="{00000007-65C1-4C78-9E4F-15C3034CF81C}"/>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'1'!$A$4:$A$7</c:f>
              <c:strCache>
                <c:ptCount val="4"/>
                <c:pt idx="0">
                  <c:v>ΣΧΕΔΙΑΣΜΟΣ ΚΑΙ ΥΛΟΠΟΙΗΣΗ ΠΟΛΙΤΙΚΩΝ ΤΟΥΡΙΣΤΙΚΗΣ ΑΝΑΠΤΥΞΗΣ</c:v>
                </c:pt>
                <c:pt idx="1">
                  <c:v>ΤΟΥΡΙΣΤΙΚΕΣ ΕΠΕΝΔΥΣΕΙΣ</c:v>
                </c:pt>
                <c:pt idx="2">
                  <c:v>ΕΠΙΤΕΛΙΚΟΣ ΣΥΝΤΟΝΙΣΜΟΣ ΥΠΟΥΡΓΕΙΟΥ ΤΟΥΡΙΣΜΟΥ</c:v>
                </c:pt>
                <c:pt idx="3">
                  <c:v>ΤΟΥΡΙΣΤΙΚΗ ΕΚΠΑΙΔΕΥΣΗ ΚΑΙ ΚΑΤΑΡΤΙΣΗ</c:v>
                </c:pt>
              </c:strCache>
            </c:strRef>
          </c:cat>
          <c:val>
            <c:numRef>
              <c:f>'1'!$B$4:$B$7</c:f>
              <c:numCache>
                <c:formatCode>#,##0\ "€"</c:formatCode>
                <c:ptCount val="4"/>
                <c:pt idx="0">
                  <c:v>94088620</c:v>
                </c:pt>
                <c:pt idx="1">
                  <c:v>109745500</c:v>
                </c:pt>
                <c:pt idx="2">
                  <c:v>9034760</c:v>
                </c:pt>
                <c:pt idx="3">
                  <c:v>25123120</c:v>
                </c:pt>
              </c:numCache>
            </c:numRef>
          </c:val>
          <c:extLst>
            <c:ext xmlns:c16="http://schemas.microsoft.com/office/drawing/2014/chart" uri="{C3380CC4-5D6E-409C-BE32-E72D297353CC}">
              <c16:uniqueId val="{00000008-65C1-4C78-9E4F-15C3034CF81C}"/>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'1'!$B$12</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1A-4BA2-B097-F2500C61452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'1'!$A$13:$A$16</c:f>
              <c:strCache>
                <c:ptCount val="4"/>
                <c:pt idx="0">
                  <c:v>ΣΧΕΔΙΑΣΜΟΣ ΚΑΙ ΥΛΟΠΟΙΗΣΗ ΠΟΛΙΤΙΚΩΝ ΤΟΥΡΙΣΤΙΚΗΣ ΑΝΑΠΤΥΞΗΣ</c:v>
                </c:pt>
                <c:pt idx="1">
                  <c:v>ΤΟΥΡΙΣΤΙΚΕΣ ΕΠΕΝΔΥΣΕΙΣ</c:v>
                </c:pt>
                <c:pt idx="2">
                  <c:v>ΕΠΙΤΕΛΙΚΟΣ ΣΥΝΤΟΝΙΣΜΟΣ ΥΠΟΥΡΓΕΙΟΥ ΤΟΥΡΙΣΜΟΥ</c:v>
                </c:pt>
                <c:pt idx="3">
                  <c:v>ΤΟΥΡΙΣΤΙΚΗ ΕΚΠΑΙΔΕΥΣΗ ΚΑΙ ΚΑΤΑΡΤΙΣΗ</c:v>
                </c:pt>
              </c:strCache>
            </c:strRef>
          </c:cat>
          <c:val>
            <c:numRef>
              <c:f>'1'!$B$13:$B$16</c:f>
              <c:numCache>
                <c:formatCode>#,##0\ "€"</c:formatCode>
                <c:ptCount val="4"/>
                <c:pt idx="0">
                  <c:v>64694616.479999997</c:v>
                </c:pt>
                <c:pt idx="1">
                  <c:v>125234539.12</c:v>
                </c:pt>
                <c:pt idx="2">
                  <c:v>9034760</c:v>
                </c:pt>
                <c:pt idx="3">
                  <c:v>28142494.120000001</c:v>
                </c:pt>
              </c:numCache>
            </c:numRef>
          </c:val>
          <c:extLst>
            <c:ext xmlns:c16="http://schemas.microsoft.com/office/drawing/2014/chart" uri="{C3380CC4-5D6E-409C-BE32-E72D297353CC}">
              <c16:uniqueId val="{00000001-7C1A-4BA2-B097-F2500C614524}"/>
            </c:ext>
          </c:extLst>
        </c:ser>
        <c:ser>
          <c:idx val="1"/>
          <c:order val="1"/>
          <c:tx>
            <c:strRef>
              <c:f>'1'!$C$12</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7C1A-4BA2-B097-F2500C614524}"/>
                </c:ext>
              </c:extLst>
            </c:dLbl>
            <c:dLbl>
              <c:idx val="2"/>
              <c:delete val="1"/>
              <c:extLst>
                <c:ext xmlns:c15="http://schemas.microsoft.com/office/drawing/2012/chart" uri="{CE6537A1-D6FC-4f65-9D91-7224C49458BB}"/>
                <c:ext xmlns:c16="http://schemas.microsoft.com/office/drawing/2014/chart" uri="{C3380CC4-5D6E-409C-BE32-E72D297353CC}">
                  <c16:uniqueId val="{00000003-7C1A-4BA2-B097-F2500C614524}"/>
                </c:ext>
              </c:extLst>
            </c:dLbl>
            <c:dLbl>
              <c:idx val="3"/>
              <c:delete val="1"/>
              <c:extLst>
                <c:ext xmlns:c15="http://schemas.microsoft.com/office/drawing/2012/chart" uri="{CE6537A1-D6FC-4f65-9D91-7224C49458BB}"/>
                <c:ext xmlns:c16="http://schemas.microsoft.com/office/drawing/2014/chart" uri="{C3380CC4-5D6E-409C-BE32-E72D297353CC}">
                  <c16:uniqueId val="{00000004-7C1A-4BA2-B097-F2500C614524}"/>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'1'!$A$13:$A$16</c:f>
              <c:strCache>
                <c:ptCount val="4"/>
                <c:pt idx="0">
                  <c:v>ΣΧΕΔΙΑΣΜΟΣ ΚΑΙ ΥΛΟΠΟΙΗΣΗ ΠΟΛΙΤΙΚΩΝ ΤΟΥΡΙΣΤΙΚΗΣ ΑΝΑΠΤΥΞΗΣ</c:v>
                </c:pt>
                <c:pt idx="1">
                  <c:v>ΤΟΥΡΙΣΤΙΚΕΣ ΕΠΕΝΔΥΣΕΙΣ</c:v>
                </c:pt>
                <c:pt idx="2">
                  <c:v>ΕΠΙΤΕΛΙΚΟΣ ΣΥΝΤΟΝΙΣΜΟΣ ΥΠΟΥΡΓΕΙΟΥ ΤΟΥΡΙΣΜΟΥ</c:v>
                </c:pt>
                <c:pt idx="3">
                  <c:v>ΤΟΥΡΙΣΤΙΚΗ ΕΚΠΑΙΔΕΥΣΗ ΚΑΙ ΚΑΤΑΡΤΙΣΗ</c:v>
                </c:pt>
              </c:strCache>
            </c:strRef>
          </c:cat>
          <c:val>
            <c:numRef>
              <c:f>'1'!$C$13:$C$16</c:f>
              <c:numCache>
                <c:formatCode>#,##0\ "€"</c:formatCode>
                <c:ptCount val="4"/>
                <c:pt idx="0">
                  <c:v>36710460</c:v>
                </c:pt>
                <c:pt idx="1">
                  <c:v>0</c:v>
                </c:pt>
                <c:pt idx="2">
                  <c:v>0</c:v>
                </c:pt>
                <c:pt idx="3">
                  <c:v>0</c:v>
                </c:pt>
              </c:numCache>
            </c:numRef>
          </c:val>
          <c:extLst>
            <c:ext xmlns:c16="http://schemas.microsoft.com/office/drawing/2014/chart" uri="{C3380CC4-5D6E-409C-BE32-E72D297353CC}">
              <c16:uniqueId val="{00000005-7C1A-4BA2-B097-F2500C614524}"/>
            </c:ext>
          </c:extLst>
        </c:ser>
        <c:dLbls>
          <c:showLegendKey val="0"/>
          <c:showVal val="0"/>
          <c:showCatName val="0"/>
          <c:showSerName val="0"/>
          <c:showPercent val="0"/>
          <c:showBubbleSize val="0"/>
        </c:dLbls>
        <c:gapWidth val="79"/>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59716679734435E-3"/>
          <c:y val="0.15059215985098637"/>
          <c:w val="0.99525802400781938"/>
          <c:h val="0.848490390314114"/>
        </c:manualLayout>
      </c:layout>
      <c:pie3DChart>
        <c:varyColors val="1"/>
        <c:ser>
          <c:idx val="0"/>
          <c:order val="0"/>
          <c:tx>
            <c:strRef>
              <c:f>'1'!$B$20:$B$21</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E69E-4113-AF04-6AF08CC90DF5}"/>
              </c:ext>
            </c:extLst>
          </c:dPt>
          <c:dPt>
            <c:idx val="1"/>
            <c:bubble3D val="0"/>
            <c:spPr>
              <a:solidFill>
                <a:schemeClr val="accent5">
                  <a:lumMod val="75000"/>
                </a:schemeClr>
              </a:solidFill>
              <a:ln>
                <a:noFill/>
              </a:ln>
              <a:effectLst/>
              <a:sp3d/>
            </c:spPr>
            <c:extLst>
              <c:ext xmlns:c16="http://schemas.microsoft.com/office/drawing/2014/chart" uri="{C3380CC4-5D6E-409C-BE32-E72D297353CC}">
                <c16:uniqueId val="{00000003-E69E-4113-AF04-6AF08CC90DF5}"/>
              </c:ext>
            </c:extLst>
          </c:dPt>
          <c:dPt>
            <c:idx val="2"/>
            <c:bubble3D val="0"/>
            <c:explosion val="14"/>
            <c:spPr>
              <a:solidFill>
                <a:schemeClr val="accent1">
                  <a:lumMod val="60000"/>
                  <a:lumOff val="40000"/>
                </a:schemeClr>
              </a:solidFill>
              <a:ln>
                <a:noFill/>
              </a:ln>
              <a:effectLst/>
              <a:sp3d/>
            </c:spPr>
            <c:extLst>
              <c:ext xmlns:c16="http://schemas.microsoft.com/office/drawing/2014/chart" uri="{C3380CC4-5D6E-409C-BE32-E72D297353CC}">
                <c16:uniqueId val="{00000005-E69E-4113-AF04-6AF08CC90DF5}"/>
              </c:ext>
            </c:extLst>
          </c:dPt>
          <c:dPt>
            <c:idx val="3"/>
            <c:bubble3D val="0"/>
            <c:explosion val="4"/>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7-E69E-4113-AF04-6AF08CC90DF5}"/>
              </c:ext>
            </c:extLst>
          </c:dPt>
          <c:dLbls>
            <c:dLbl>
              <c:idx val="0"/>
              <c:layout>
                <c:manualLayout>
                  <c:x val="0.16375339305102765"/>
                  <c:y val="1.925779113387100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401201503615797"/>
                      <c:h val="0.3301317661587887"/>
                    </c:manualLayout>
                  </c15:layout>
                </c:ext>
                <c:ext xmlns:c16="http://schemas.microsoft.com/office/drawing/2014/chart" uri="{C3380CC4-5D6E-409C-BE32-E72D297353CC}">
                  <c16:uniqueId val="{00000001-E69E-4113-AF04-6AF08CC90DF5}"/>
                </c:ext>
              </c:extLst>
            </c:dLbl>
            <c:dLbl>
              <c:idx val="1"/>
              <c:layout>
                <c:manualLayout>
                  <c:x val="1.6729920747780406E-2"/>
                  <c:y val="-9.0613265456857217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743612671348826"/>
                      <c:h val="0.22909909773754289"/>
                    </c:manualLayout>
                  </c15:layout>
                </c:ext>
                <c:ext xmlns:c16="http://schemas.microsoft.com/office/drawing/2014/chart" uri="{C3380CC4-5D6E-409C-BE32-E72D297353CC}">
                  <c16:uniqueId val="{00000003-E69E-4113-AF04-6AF08CC90DF5}"/>
                </c:ext>
              </c:extLst>
            </c:dLbl>
            <c:dLbl>
              <c:idx val="2"/>
              <c:layout>
                <c:manualLayout>
                  <c:x val="0.19899369308045017"/>
                  <c:y val="-2.924589354818048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12849317209105"/>
                      <c:h val="0.19003992063372116"/>
                    </c:manualLayout>
                  </c15:layout>
                </c:ext>
                <c:ext xmlns:c16="http://schemas.microsoft.com/office/drawing/2014/chart" uri="{C3380CC4-5D6E-409C-BE32-E72D297353CC}">
                  <c16:uniqueId val="{00000005-E69E-4113-AF04-6AF08CC90DF5}"/>
                </c:ext>
              </c:extLst>
            </c:dLbl>
            <c:dLbl>
              <c:idx val="3"/>
              <c:layout>
                <c:manualLayout>
                  <c:x val="-4.7886754140309885E-2"/>
                  <c:y val="-9.467885869105072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143970933746051"/>
                      <c:h val="0.22963440860215054"/>
                    </c:manualLayout>
                  </c15:layout>
                </c:ext>
                <c:ext xmlns:c16="http://schemas.microsoft.com/office/drawing/2014/chart" uri="{C3380CC4-5D6E-409C-BE32-E72D297353CC}">
                  <c16:uniqueId val="{00000007-E69E-4113-AF04-6AF08CC90DF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'1'!$A$22:$A$25</c:f>
              <c:strCache>
                <c:ptCount val="4"/>
                <c:pt idx="0">
                  <c:v>ΣΧΕΔΙΑΣΜΟΣ ΚΑΙ ΥΛΟΠΟΙΗΣΗ ΠΟΛΙΤΙΚΩΝ ΤΟΥΡΙΣΤΙΚΗΣ ΑΝΑΠΤΥΞΗΣ</c:v>
                </c:pt>
                <c:pt idx="1">
                  <c:v>ΤΟΥΡΙΣΤΙΚΕΣ ΕΠΕΝΔΥΣΕΙΣ</c:v>
                </c:pt>
                <c:pt idx="2">
                  <c:v>ΕΠΙΤΕΛΙΚΟΣ ΣΥΝΤΟΝΙΣΜΟΣ ΥΠΟΥΡΓΕΙΟΥ ΤΟΥΡΙΣΜΟΥ</c:v>
                </c:pt>
                <c:pt idx="3">
                  <c:v>ΤΟΥΡΙΣΤΙΚΗ ΕΚΠΑΙΔΕΥΣΗ ΚΑΙ ΚΑΤΑΡΤΙΣΗ</c:v>
                </c:pt>
              </c:strCache>
            </c:strRef>
          </c:cat>
          <c:val>
            <c:numRef>
              <c:f>'1'!$B$22:$B$25</c:f>
              <c:numCache>
                <c:formatCode>_-* #,##0\ _€_-;\-* #,##0\ _€_-;_-* "-"??\ _€_-;_-@_-</c:formatCode>
                <c:ptCount val="4"/>
                <c:pt idx="0">
                  <c:v>77</c:v>
                </c:pt>
                <c:pt idx="1">
                  <c:v>194</c:v>
                </c:pt>
                <c:pt idx="2">
                  <c:v>97</c:v>
                </c:pt>
                <c:pt idx="3">
                  <c:v>311</c:v>
                </c:pt>
              </c:numCache>
            </c:numRef>
          </c:val>
          <c:extLst>
            <c:ext xmlns:c16="http://schemas.microsoft.com/office/drawing/2014/chart" uri="{C3380CC4-5D6E-409C-BE32-E72D297353CC}">
              <c16:uniqueId val="{00000008-E69E-4113-AF04-6AF08CC90DF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667711326602372E-2"/>
          <c:y val="3.7740724524293168E-2"/>
          <c:w val="0.86608552055993004"/>
          <c:h val="0.75268915223336352"/>
        </c:manualLayout>
      </c:layout>
      <c:lineChart>
        <c:grouping val="standard"/>
        <c:varyColors val="0"/>
        <c:ser>
          <c:idx val="0"/>
          <c:order val="0"/>
          <c:tx>
            <c:v>Επενδύσεις στην Ευρωζώνη (% ΑΕΠ)</c:v>
          </c:tx>
          <c:spPr>
            <a:ln w="31750" cap="rnd">
              <a:solidFill>
                <a:schemeClr val="accent1"/>
              </a:solidFill>
              <a:round/>
            </a:ln>
            <a:effectLst>
              <a:outerShdw blurRad="40000" dist="23000" dir="5400000" rotWithShape="0">
                <a:srgbClr val="000000">
                  <a:alpha val="35000"/>
                </a:srgbClr>
              </a:outerShdw>
            </a:effectLst>
          </c:spPr>
          <c:marker>
            <c:symbol val="none"/>
          </c:marker>
          <c:cat>
            <c:numRef>
              <c:f>'Διάγραμμα 1.6 Investment gap'!$G$8:$AG$8</c:f>
              <c:numCache>
                <c:formatCode>##############</c:formatCode>
                <c:ptCount val="2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numCache>
            </c:numRef>
          </c:cat>
          <c:val>
            <c:numRef>
              <c:f>'Διάγραμμα 1.6 Investment gap'!$G$18:$AG$18</c:f>
              <c:numCache>
                <c:formatCode>0.0%</c:formatCode>
                <c:ptCount val="27"/>
                <c:pt idx="0">
                  <c:v>0.21998442017256808</c:v>
                </c:pt>
                <c:pt idx="1">
                  <c:v>0.21730839342491468</c:v>
                </c:pt>
                <c:pt idx="2">
                  <c:v>0.21227610102905933</c:v>
                </c:pt>
                <c:pt idx="3">
                  <c:v>0.21307590497599518</c:v>
                </c:pt>
                <c:pt idx="4">
                  <c:v>0.21351812819662347</c:v>
                </c:pt>
                <c:pt idx="5">
                  <c:v>0.21577660701861492</c:v>
                </c:pt>
                <c:pt idx="6">
                  <c:v>0.22056515080970523</c:v>
                </c:pt>
                <c:pt idx="7">
                  <c:v>0.22489730131065799</c:v>
                </c:pt>
                <c:pt idx="8">
                  <c:v>0.22153759143050533</c:v>
                </c:pt>
                <c:pt idx="9">
                  <c:v>0.20588638361453368</c:v>
                </c:pt>
                <c:pt idx="10">
                  <c:v>0.20111631420472978</c:v>
                </c:pt>
                <c:pt idx="11">
                  <c:v>0.2008762962377541</c:v>
                </c:pt>
                <c:pt idx="12">
                  <c:v>0.19630120443602439</c:v>
                </c:pt>
                <c:pt idx="13">
                  <c:v>0.1921100103694241</c:v>
                </c:pt>
                <c:pt idx="14">
                  <c:v>0.19217329398571587</c:v>
                </c:pt>
                <c:pt idx="15">
                  <c:v>0.19722082859398041</c:v>
                </c:pt>
                <c:pt idx="16">
                  <c:v>0.20075531696410193</c:v>
                </c:pt>
                <c:pt idx="17">
                  <c:v>0.20330130005993541</c:v>
                </c:pt>
                <c:pt idx="18">
                  <c:v>0.20623003466899001</c:v>
                </c:pt>
                <c:pt idx="19">
                  <c:v>0.21732559613687377</c:v>
                </c:pt>
                <c:pt idx="20">
                  <c:v>0.21811625139343985</c:v>
                </c:pt>
                <c:pt idx="21">
                  <c:v>0.21273962113906542</c:v>
                </c:pt>
                <c:pt idx="22">
                  <c:v>0.20948134432058038</c:v>
                </c:pt>
                <c:pt idx="23">
                  <c:v>0.21340171859625509</c:v>
                </c:pt>
                <c:pt idx="24">
                  <c:v>0.20726845838938515</c:v>
                </c:pt>
                <c:pt idx="25">
                  <c:v>0.20910993531485844</c:v>
                </c:pt>
                <c:pt idx="26">
                  <c:v>0.21179613013609674</c:v>
                </c:pt>
              </c:numCache>
            </c:numRef>
          </c:val>
          <c:smooth val="0"/>
          <c:extLst>
            <c:ext xmlns:c16="http://schemas.microsoft.com/office/drawing/2014/chart" uri="{C3380CC4-5D6E-409C-BE32-E72D297353CC}">
              <c16:uniqueId val="{00000000-1F54-40C0-A404-167824C4D051}"/>
            </c:ext>
          </c:extLst>
        </c:ser>
        <c:ser>
          <c:idx val="2"/>
          <c:order val="1"/>
          <c:tx>
            <c:v>Επενδύσεις στην Ελλάδα (% ΑΕΠ)</c:v>
          </c:tx>
          <c:spPr>
            <a:ln w="31750" cap="rnd">
              <a:solidFill>
                <a:schemeClr val="accent1">
                  <a:lumMod val="50000"/>
                </a:schemeClr>
              </a:solidFill>
              <a:round/>
            </a:ln>
            <a:effectLst>
              <a:outerShdw blurRad="40000" dist="23000" dir="5400000" rotWithShape="0">
                <a:srgbClr val="000000">
                  <a:alpha val="35000"/>
                </a:srgbClr>
              </a:outerShdw>
            </a:effectLst>
          </c:spPr>
          <c:marker>
            <c:symbol val="none"/>
          </c:marker>
          <c:cat>
            <c:numRef>
              <c:f>'Διάγραμμα 1.6 Investment gap'!$G$8:$AG$8</c:f>
              <c:numCache>
                <c:formatCode>##############</c:formatCode>
                <c:ptCount val="2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numCache>
            </c:numRef>
          </c:cat>
          <c:val>
            <c:numRef>
              <c:f>'Διάγραμμα 1.6 Investment gap'!$G$16:$AG$16</c:f>
              <c:numCache>
                <c:formatCode>0.0%</c:formatCode>
                <c:ptCount val="27"/>
                <c:pt idx="0">
                  <c:v>0.23192825719586338</c:v>
                </c:pt>
                <c:pt idx="1">
                  <c:v>0.23033379993066866</c:v>
                </c:pt>
                <c:pt idx="2">
                  <c:v>0.21460282828409849</c:v>
                </c:pt>
                <c:pt idx="3">
                  <c:v>0.22668859019186388</c:v>
                </c:pt>
                <c:pt idx="4">
                  <c:v>0.23149962377692251</c:v>
                </c:pt>
                <c:pt idx="5">
                  <c:v>0.2012961074044966</c:v>
                </c:pt>
                <c:pt idx="6">
                  <c:v>0.22446652577707821</c:v>
                </c:pt>
                <c:pt idx="7">
                  <c:v>0.24269085111128069</c:v>
                </c:pt>
                <c:pt idx="8">
                  <c:v>0.22481784240634681</c:v>
                </c:pt>
                <c:pt idx="9">
                  <c:v>0.20338013289734402</c:v>
                </c:pt>
                <c:pt idx="10">
                  <c:v>0.1677808972402465</c:v>
                </c:pt>
                <c:pt idx="11">
                  <c:v>0.13916270739328057</c:v>
                </c:pt>
                <c:pt idx="12">
                  <c:v>0.12321193590071164</c:v>
                </c:pt>
                <c:pt idx="13">
                  <c:v>0.11427209356282329</c:v>
                </c:pt>
                <c:pt idx="14">
                  <c:v>0.11084179225495468</c:v>
                </c:pt>
                <c:pt idx="15">
                  <c:v>0.11129744477999812</c:v>
                </c:pt>
                <c:pt idx="16">
                  <c:v>0.11419246314242411</c:v>
                </c:pt>
                <c:pt idx="17">
                  <c:v>0.12115989881748165</c:v>
                </c:pt>
                <c:pt idx="18">
                  <c:v>0.1132870877476175</c:v>
                </c:pt>
                <c:pt idx="19">
                  <c:v>0.10984937173183486</c:v>
                </c:pt>
                <c:pt idx="20">
                  <c:v>0.12299845708027062</c:v>
                </c:pt>
                <c:pt idx="21">
                  <c:v>0.13772637981269967</c:v>
                </c:pt>
                <c:pt idx="22">
                  <c:v>0.15938037829908053</c:v>
                </c:pt>
                <c:pt idx="23">
                  <c:v>0.16624030361738337</c:v>
                </c:pt>
                <c:pt idx="24">
                  <c:v>0.1701015537625819</c:v>
                </c:pt>
                <c:pt idx="25">
                  <c:v>0.17594947500045971</c:v>
                </c:pt>
                <c:pt idx="26">
                  <c:v>0.18944838454712074</c:v>
                </c:pt>
              </c:numCache>
            </c:numRef>
          </c:val>
          <c:smooth val="0"/>
          <c:extLst>
            <c:ext xmlns:c16="http://schemas.microsoft.com/office/drawing/2014/chart" uri="{C3380CC4-5D6E-409C-BE32-E72D297353CC}">
              <c16:uniqueId val="{00000001-1F54-40C0-A404-167824C4D051}"/>
            </c:ext>
          </c:extLst>
        </c:ser>
        <c:ser>
          <c:idx val="1"/>
          <c:order val="2"/>
          <c:tx>
            <c:v>Επενδυτικό κενό της Ελλάδας</c:v>
          </c:tx>
          <c:spPr>
            <a:ln w="31750" cap="rnd">
              <a:solidFill>
                <a:srgbClr val="00B0F0"/>
              </a:solidFill>
              <a:round/>
            </a:ln>
            <a:effectLst>
              <a:outerShdw blurRad="40000" dist="23000" dir="5400000" rotWithShape="0">
                <a:srgbClr val="000000">
                  <a:alpha val="35000"/>
                </a:srgbClr>
              </a:outerShdw>
            </a:effectLst>
          </c:spPr>
          <c:marker>
            <c:symbol val="none"/>
          </c:marker>
          <c:cat>
            <c:numRef>
              <c:f>'Διάγραμμα 1.6 Investment gap'!$G$8:$AG$8</c:f>
              <c:numCache>
                <c:formatCode>##############</c:formatCode>
                <c:ptCount val="2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numCache>
            </c:numRef>
          </c:cat>
          <c:val>
            <c:numRef>
              <c:f>'Διάγραμμα 1.6 Investment gap'!$G$19:$AG$19</c:f>
              <c:numCache>
                <c:formatCode>0.0%</c:formatCode>
                <c:ptCount val="27"/>
                <c:pt idx="0">
                  <c:v>1.1943837023295295E-2</c:v>
                </c:pt>
                <c:pt idx="1">
                  <c:v>1.3025406505753984E-2</c:v>
                </c:pt>
                <c:pt idx="2">
                  <c:v>2.3267272550391571E-3</c:v>
                </c:pt>
                <c:pt idx="3">
                  <c:v>1.3612685215868697E-2</c:v>
                </c:pt>
                <c:pt idx="4">
                  <c:v>1.7981495580299045E-2</c:v>
                </c:pt>
                <c:pt idx="5">
                  <c:v>-1.448049961411832E-2</c:v>
                </c:pt>
                <c:pt idx="6">
                  <c:v>3.9013749673729725E-3</c:v>
                </c:pt>
                <c:pt idx="7">
                  <c:v>1.7793549800622699E-2</c:v>
                </c:pt>
                <c:pt idx="8">
                  <c:v>3.2802509758414755E-3</c:v>
                </c:pt>
                <c:pt idx="9">
                  <c:v>-2.5062507171896564E-3</c:v>
                </c:pt>
                <c:pt idx="10">
                  <c:v>-3.3335416964483278E-2</c:v>
                </c:pt>
                <c:pt idx="11">
                  <c:v>-6.1713588844473533E-2</c:v>
                </c:pt>
                <c:pt idx="12">
                  <c:v>-7.3089268535312751E-2</c:v>
                </c:pt>
                <c:pt idx="13">
                  <c:v>-7.7837916806600807E-2</c:v>
                </c:pt>
                <c:pt idx="14">
                  <c:v>-8.1331501730761188E-2</c:v>
                </c:pt>
                <c:pt idx="15">
                  <c:v>-8.592338381398229E-2</c:v>
                </c:pt>
                <c:pt idx="16">
                  <c:v>-8.6562853821677818E-2</c:v>
                </c:pt>
                <c:pt idx="17">
                  <c:v>-8.2141401242453754E-2</c:v>
                </c:pt>
                <c:pt idx="18">
                  <c:v>-9.2942946921372505E-2</c:v>
                </c:pt>
                <c:pt idx="19">
                  <c:v>-0.10747622440503891</c:v>
                </c:pt>
                <c:pt idx="20">
                  <c:v>-9.5117794313169232E-2</c:v>
                </c:pt>
                <c:pt idx="21">
                  <c:v>-7.5013241326365748E-2</c:v>
                </c:pt>
                <c:pt idx="22">
                  <c:v>-5.0100966021499854E-2</c:v>
                </c:pt>
                <c:pt idx="23">
                  <c:v>-4.7161414978871719E-2</c:v>
                </c:pt>
                <c:pt idx="24">
                  <c:v>-3.7166904626803249E-2</c:v>
                </c:pt>
                <c:pt idx="25">
                  <c:v>-3.3160460314398732E-2</c:v>
                </c:pt>
                <c:pt idx="26">
                  <c:v>-2.2347745588976009E-2</c:v>
                </c:pt>
              </c:numCache>
            </c:numRef>
          </c:val>
          <c:smooth val="0"/>
          <c:extLst>
            <c:ext xmlns:c16="http://schemas.microsoft.com/office/drawing/2014/chart" uri="{C3380CC4-5D6E-409C-BE32-E72D297353CC}">
              <c16:uniqueId val="{00000002-1F54-40C0-A404-167824C4D051}"/>
            </c:ext>
          </c:extLst>
        </c:ser>
        <c:dLbls>
          <c:showLegendKey val="0"/>
          <c:showVal val="0"/>
          <c:showCatName val="0"/>
          <c:showSerName val="0"/>
          <c:showPercent val="0"/>
          <c:showBubbleSize val="0"/>
        </c:dLbls>
        <c:smooth val="0"/>
        <c:axId val="548877360"/>
        <c:axId val="431479216"/>
      </c:lineChart>
      <c:catAx>
        <c:axId val="548877360"/>
        <c:scaling>
          <c:orientation val="minMax"/>
        </c:scaling>
        <c:delete val="0"/>
        <c:axPos val="b"/>
        <c:numFmt formatCode="##############"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31479216"/>
        <c:crosses val="autoZero"/>
        <c:auto val="1"/>
        <c:lblAlgn val="ctr"/>
        <c:lblOffset val="100"/>
        <c:noMultiLvlLbl val="0"/>
      </c:catAx>
      <c:valAx>
        <c:axId val="431479216"/>
        <c:scaling>
          <c:orientation val="minMax"/>
          <c:max val="0.27"/>
          <c:min val="-0.11000000000000001"/>
        </c:scaling>
        <c:delete val="0"/>
        <c:axPos val="l"/>
        <c:majorGridlines>
          <c:spPr>
            <a:ln w="3175" cap="flat" cmpd="sng" algn="ctr">
              <a:solidFill>
                <a:schemeClr val="bg1">
                  <a:lumMod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548877360"/>
        <c:crosses val="autoZero"/>
        <c:crossBetween val="between"/>
        <c:majorUnit val="2.0000000000000004E-2"/>
      </c:valAx>
      <c:spPr>
        <a:solidFill>
          <a:schemeClr val="bg1"/>
        </a:solidFill>
        <a:ln>
          <a:noFill/>
        </a:ln>
        <a:effectLst/>
      </c:spPr>
    </c:plotArea>
    <c:legend>
      <c:legendPos val="b"/>
      <c:layout>
        <c:manualLayout>
          <c:xMode val="edge"/>
          <c:yMode val="edge"/>
          <c:x val="1.7786246950663689E-2"/>
          <c:y val="0.8111865574688305"/>
          <c:w val="0.96485006518904814"/>
          <c:h val="8.8539969422691808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175" cap="flat" cmpd="sng" algn="ctr">
      <a:solidFill>
        <a:schemeClr val="bg1">
          <a:lumMod val="85000"/>
        </a:schemeClr>
      </a:solid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userShapes r:id="rId4"/>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explosion val="8"/>
          <c:dPt>
            <c:idx val="0"/>
            <c:bubble3D val="0"/>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0AD0-4E76-BB5A-80242C24FF47}"/>
              </c:ext>
            </c:extLst>
          </c:dPt>
          <c:dPt>
            <c:idx val="1"/>
            <c:bubble3D val="0"/>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3-0AD0-4E76-BB5A-80242C24FF47}"/>
              </c:ext>
            </c:extLst>
          </c:dPt>
          <c:dPt>
            <c:idx val="2"/>
            <c:bubble3D val="0"/>
            <c:spPr>
              <a:gradFill rotWithShape="1">
                <a:gsLst>
                  <a:gs pos="0">
                    <a:schemeClr val="accent1">
                      <a:shade val="82000"/>
                      <a:satMod val="103000"/>
                      <a:lumMod val="102000"/>
                      <a:tint val="94000"/>
                    </a:schemeClr>
                  </a:gs>
                  <a:gs pos="50000">
                    <a:schemeClr val="accent1">
                      <a:shade val="82000"/>
                      <a:satMod val="110000"/>
                      <a:lumMod val="100000"/>
                      <a:shade val="100000"/>
                    </a:schemeClr>
                  </a:gs>
                  <a:gs pos="100000">
                    <a:schemeClr val="accent1">
                      <a:shade val="82000"/>
                      <a:lumMod val="99000"/>
                      <a:satMod val="120000"/>
                      <a:shade val="78000"/>
                    </a:schemeClr>
                  </a:gs>
                </a:gsLst>
                <a:lin ang="5400000" scaled="0"/>
              </a:gradFill>
              <a:ln>
                <a:noFill/>
              </a:ln>
              <a:effectLst/>
              <a:sp3d/>
            </c:spPr>
            <c:extLst>
              <c:ext xmlns:c16="http://schemas.microsoft.com/office/drawing/2014/chart" uri="{C3380CC4-5D6E-409C-BE32-E72D297353CC}">
                <c16:uniqueId val="{00000005-0AD0-4E76-BB5A-80242C24FF47}"/>
              </c:ext>
            </c:extLst>
          </c:dPt>
          <c:dPt>
            <c:idx val="3"/>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7-0AD0-4E76-BB5A-80242C24FF47}"/>
              </c:ext>
            </c:extLst>
          </c:dPt>
          <c:dPt>
            <c:idx val="4"/>
            <c:bubble3D val="0"/>
            <c:spPr>
              <a:gradFill rotWithShape="1">
                <a:gsLst>
                  <a:gs pos="0">
                    <a:schemeClr val="accent1">
                      <a:tint val="83000"/>
                      <a:satMod val="103000"/>
                      <a:lumMod val="102000"/>
                      <a:tint val="94000"/>
                    </a:schemeClr>
                  </a:gs>
                  <a:gs pos="50000">
                    <a:schemeClr val="accent1">
                      <a:tint val="83000"/>
                      <a:satMod val="110000"/>
                      <a:lumMod val="100000"/>
                      <a:shade val="100000"/>
                    </a:schemeClr>
                  </a:gs>
                  <a:gs pos="100000">
                    <a:schemeClr val="accent1">
                      <a:tint val="83000"/>
                      <a:lumMod val="99000"/>
                      <a:satMod val="120000"/>
                      <a:shade val="78000"/>
                    </a:schemeClr>
                  </a:gs>
                </a:gsLst>
                <a:lin ang="5400000" scaled="0"/>
              </a:gradFill>
              <a:ln>
                <a:noFill/>
              </a:ln>
              <a:effectLst/>
              <a:sp3d/>
            </c:spPr>
            <c:extLst>
              <c:ext xmlns:c16="http://schemas.microsoft.com/office/drawing/2014/chart" uri="{C3380CC4-5D6E-409C-BE32-E72D297353CC}">
                <c16:uniqueId val="{00000009-0AD0-4E76-BB5A-80242C24FF47}"/>
              </c:ext>
            </c:extLst>
          </c:dPt>
          <c:dPt>
            <c:idx val="5"/>
            <c:bubble3D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B-0AD0-4E76-BB5A-80242C24FF47}"/>
              </c:ext>
            </c:extLst>
          </c:dPt>
          <c:dPt>
            <c:idx val="6"/>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D-0AD0-4E76-BB5A-80242C24FF47}"/>
              </c:ext>
            </c:extLst>
          </c:dPt>
          <c:dPt>
            <c:idx val="7"/>
            <c:bubble3D val="0"/>
            <c:spPr>
              <a:gradFill rotWithShape="1">
                <a:gsLst>
                  <a:gs pos="0">
                    <a:schemeClr val="accent1">
                      <a:tint val="46000"/>
                      <a:satMod val="103000"/>
                      <a:lumMod val="102000"/>
                      <a:tint val="94000"/>
                    </a:schemeClr>
                  </a:gs>
                  <a:gs pos="50000">
                    <a:schemeClr val="accent1">
                      <a:tint val="46000"/>
                      <a:satMod val="110000"/>
                      <a:lumMod val="100000"/>
                      <a:shade val="100000"/>
                    </a:schemeClr>
                  </a:gs>
                  <a:gs pos="100000">
                    <a:schemeClr val="accent1">
                      <a:tint val="46000"/>
                      <a:lumMod val="99000"/>
                      <a:satMod val="120000"/>
                      <a:shade val="78000"/>
                    </a:schemeClr>
                  </a:gs>
                </a:gsLst>
                <a:lin ang="5400000" scaled="0"/>
              </a:gradFill>
              <a:ln>
                <a:noFill/>
              </a:ln>
              <a:effectLst/>
              <a:sp3d/>
            </c:spPr>
            <c:extLst>
              <c:ext xmlns:c16="http://schemas.microsoft.com/office/drawing/2014/chart" uri="{C3380CC4-5D6E-409C-BE32-E72D297353CC}">
                <c16:uniqueId val="{0000000F-0AD0-4E76-BB5A-80242C24FF47}"/>
              </c:ext>
            </c:extLst>
          </c:dPt>
          <c:dLbls>
            <c:dLbl>
              <c:idx val="0"/>
              <c:layout>
                <c:manualLayout>
                  <c:x val="-4.3311987895964965E-2"/>
                  <c:y val="-5.710056762602043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0AD0-4E76-BB5A-80242C24FF47}"/>
                </c:ext>
              </c:extLst>
            </c:dLbl>
            <c:dLbl>
              <c:idx val="1"/>
              <c:layout>
                <c:manualLayout>
                  <c:x val="7.0000185101058016E-2"/>
                  <c:y val="-6.02945096766349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836833378187149"/>
                      <c:h val="0.16219450062791058"/>
                    </c:manualLayout>
                  </c15:layout>
                </c:ext>
                <c:ext xmlns:c16="http://schemas.microsoft.com/office/drawing/2014/chart" uri="{C3380CC4-5D6E-409C-BE32-E72D297353CC}">
                  <c16:uniqueId val="{00000003-0AD0-4E76-BB5A-80242C24FF47}"/>
                </c:ext>
              </c:extLst>
            </c:dLbl>
            <c:dLbl>
              <c:idx val="2"/>
              <c:layout>
                <c:manualLayout>
                  <c:x val="1.6306209355765575E-2"/>
                  <c:y val="-7.593099478997614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0AD0-4E76-BB5A-80242C24FF47}"/>
                </c:ext>
              </c:extLst>
            </c:dLbl>
            <c:dLbl>
              <c:idx val="4"/>
              <c:layout>
                <c:manualLayout>
                  <c:x val="7.5721252028882046E-5"/>
                  <c:y val="-7.511591773270832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0AD0-4E76-BB5A-80242C24FF47}"/>
                </c:ext>
              </c:extLst>
            </c:dLbl>
            <c:dLbl>
              <c:idx val="5"/>
              <c:layout>
                <c:manualLayout>
                  <c:x val="-0.27170049616599007"/>
                  <c:y val="-6.6759356236914986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0AD0-4E76-BB5A-80242C24FF47}"/>
                </c:ext>
              </c:extLst>
            </c:dLbl>
            <c:dLbl>
              <c:idx val="6"/>
              <c:layout>
                <c:manualLayout>
                  <c:x val="-6.1152369485614685E-3"/>
                  <c:y val="-0.1595995052094661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0AD0-4E76-BB5A-80242C24FF47}"/>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'1'!$A$4:$A$11</c:f>
              <c:strCache>
                <c:ptCount val="8"/>
                <c:pt idx="0">
                  <c:v>ΚΥΒΕΡΝΟΑΣΦΑΛΕΙΑ</c:v>
                </c:pt>
                <c:pt idx="1">
                  <c:v>ΕΠΙΤΕΛΙΚΟΣ ΣΥΝΤΟΝΙΣΜΟΣ ΚΑΙ ΕΠΕΝΔΥΣΕΙΣ ΥΠΟΥΡΓΕΙΟΥ ΨΗΦΙΑΚΗΣ ΔΙΑΚΥΒΕΡΝΗΣΗΣ</c:v>
                </c:pt>
                <c:pt idx="2">
                  <c:v>ΨΗΦΙΑΚΟΣ ΜΕΤΑΣΧΗΜΑΤΙΣΜΟΣ ΚΑΙ ΜΕΤΑΡΡΥΘΜΙΣΗ ΔΗΜΟΣΙΟΥ ΤΟΜΕΑ</c:v>
                </c:pt>
                <c:pt idx="3">
                  <c:v>ΗΛΕΚΤΡΟΝΙΚΗ ΔΙΑΚΥΒΕΡΝΗΣΗ ΚΑΙ ΔΙΑΛΕΙΤΟΥΡΓΙΚΟΤΗΤΑ</c:v>
                </c:pt>
                <c:pt idx="4">
                  <c:v>ΤΕΧΝΟΛΟΓΙΕΣ ΠΛΗΡΟΦΟΡΙΚΗΣ, ΕΠΙΚΟΙΝΩΝΙΩΝ(ΤΠΕ) ΚΑΙ ΥΠΟΔΟΜΩΝ ΠΛΗΡΟΦΟΡΙΚΗΣ ΣΤΗ ΔΗΜΟΣΙΑ ΔΙΟΙΚΗΣΗ</c:v>
                </c:pt>
                <c:pt idx="5">
                  <c:v>ΤΗΛΕΠΙΚΟΙΝΩΝΙΕΣ-ΤΑΧΥΔΡΟΜΙΚΕΣ ΥΠΗΡΕΣΙΕΣ</c:v>
                </c:pt>
                <c:pt idx="6">
                  <c:v>ΔΙΑΣΤΗΜΙΚΗ ΣΤΡΑΤΗΓΙΚΗ</c:v>
                </c:pt>
                <c:pt idx="7">
                  <c:v>ΡΥΘΜΙΣΗ ΘΕΜΑΤΩΝ ΗΛΕΚΤΡΟΝΙΚΩΝ ΕΠΙΚΟΙΝΩΝΙΩΝ ΚΑΙ ΤΑΧΥΔΡΟΜΙΚΩΝ ΥΠΗΡΕΣΙΩΝ - ΕΕΤΤ</c:v>
                </c:pt>
              </c:strCache>
            </c:strRef>
          </c:cat>
          <c:val>
            <c:numRef>
              <c:f>'1'!$B$4:$B$11</c:f>
              <c:numCache>
                <c:formatCode>#,##0\ "€"</c:formatCode>
                <c:ptCount val="8"/>
                <c:pt idx="0">
                  <c:v>50142900</c:v>
                </c:pt>
                <c:pt idx="1">
                  <c:v>61350900</c:v>
                </c:pt>
                <c:pt idx="2">
                  <c:v>650111150</c:v>
                </c:pt>
                <c:pt idx="3">
                  <c:v>64113317.799999997</c:v>
                </c:pt>
                <c:pt idx="4">
                  <c:v>462698532.19999999</c:v>
                </c:pt>
                <c:pt idx="5">
                  <c:v>73510882</c:v>
                </c:pt>
                <c:pt idx="6">
                  <c:v>28706318</c:v>
                </c:pt>
                <c:pt idx="7">
                  <c:v>769000</c:v>
                </c:pt>
              </c:numCache>
            </c:numRef>
          </c:val>
          <c:extLst>
            <c:ext xmlns:c16="http://schemas.microsoft.com/office/drawing/2014/chart" uri="{C3380CC4-5D6E-409C-BE32-E72D297353CC}">
              <c16:uniqueId val="{00000010-0AD0-4E76-BB5A-80242C24FF47}"/>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'1'!$B$16</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0"/>
              <c:layout>
                <c:manualLayout>
                  <c:x val="4.6306504961411248E-2"/>
                  <c:y val="-6.39181847235538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45-4677-9051-8F090262B16F}"/>
                </c:ext>
              </c:extLst>
            </c:dLbl>
            <c:dLbl>
              <c:idx val="4"/>
              <c:layout>
                <c:manualLayout>
                  <c:x val="3.5281146637265712E-2"/>
                  <c:y val="-3.19590923617775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45-4677-9051-8F090262B16F}"/>
                </c:ext>
              </c:extLst>
            </c:dLbl>
            <c:dLbl>
              <c:idx val="6"/>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45-4677-9051-8F090262B16F}"/>
                </c:ext>
              </c:extLst>
            </c:dLbl>
            <c:dLbl>
              <c:idx val="7"/>
              <c:layout>
                <c:manualLayout>
                  <c:x val="4.2267230377900665E-2"/>
                  <c:y val="1.464774812044486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45-4677-9051-8F090262B16F}"/>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'1'!$A$17:$A$24</c:f>
              <c:strCache>
                <c:ptCount val="8"/>
                <c:pt idx="0">
                  <c:v>ΚΥΒΕΡΝΟΑΣΦΑΛΕΙΑ</c:v>
                </c:pt>
                <c:pt idx="1">
                  <c:v>ΕΠΙΤΕΛΙΚΟΣ ΣΥΝΤΟΝΙΣΜΟΣ ΚΑΙ ΕΠΕΝΔΥΣΕΙΣ ΥΠΟΥΡΓΕΙΟΥ ΨΗΦΙΑΚΗΣ ΔΙΑΚΥΒΕΡΝΗΣΗΣ</c:v>
                </c:pt>
                <c:pt idx="2">
                  <c:v>ΨΗΦΙΑΚΟΣ ΜΕΤΑΣΧΗΜΑΤΙΣΜΟΣ ΚΑΙ ΜΕΤΑΡΡΥΘΜΙΣΗ ΔΗΜΟΣΙΟΥ ΤΟΜΕΑ</c:v>
                </c:pt>
                <c:pt idx="3">
                  <c:v>ΗΛΕΚΤΡΟΝΙΚΗ ΔΙΑΚΥΒΕΡΝΗΣΗ ΚΑΙ ΔΙΑΛΕΙΤΟΥΡΓΙΚΟΤΗΤΑ</c:v>
                </c:pt>
                <c:pt idx="4">
                  <c:v>ΤΕΧΝΟΛΟΓΙΕΣ ΠΛΗΡΟΦΟΡΙΚΗΣ, ΕΠΙΚΟΙΝΩΝΙΩΝ(ΤΠΕ) ΚΑΙ ΥΠΟΔΟΜΩΝ ΠΛΗΡΟΦΟΡΙΚΗΣ ΣΤΗ ΔΗΜΟΣΙΑ ΔΙΟΙΚΗΣΗ</c:v>
                </c:pt>
                <c:pt idx="5">
                  <c:v>ΤΗΛΕΠΙΚΟΙΝΩΝΙΕΣ-ΤΑΧΥΔΡΟΜΙΚΕΣ ΥΠΗΡΕΣΙΕΣ</c:v>
                </c:pt>
                <c:pt idx="6">
                  <c:v>ΔΙΑΣΤΗΜΙΚΗ ΣΤΡΑΤΗΓΙΚΗ</c:v>
                </c:pt>
                <c:pt idx="7">
                  <c:v>ΡΥΘΜΙΣΗ ΘΕΜΑΤΩΝ ΗΛΕΚΤΡΟΝΙΚΩΝ ΕΠΙΚΟΙΝΩΝΙΩΝ ΚΑΙ ΤΑΧΥΔΡΟΜΙΚΩΝ ΥΠΗΡΕΣΙΩΝ - ΕΕΤΤ</c:v>
                </c:pt>
              </c:strCache>
            </c:strRef>
          </c:cat>
          <c:val>
            <c:numRef>
              <c:f>'1'!$B$17:$B$24</c:f>
              <c:numCache>
                <c:formatCode>#,##0\ "€"</c:formatCode>
                <c:ptCount val="8"/>
                <c:pt idx="0">
                  <c:v>8026597.8200000003</c:v>
                </c:pt>
                <c:pt idx="1">
                  <c:v>62109978.789999999</c:v>
                </c:pt>
                <c:pt idx="2">
                  <c:v>303964287.19</c:v>
                </c:pt>
                <c:pt idx="3">
                  <c:v>23341729.309999999</c:v>
                </c:pt>
                <c:pt idx="4">
                  <c:v>81378767.560000002</c:v>
                </c:pt>
                <c:pt idx="5">
                  <c:v>75995575.310000002</c:v>
                </c:pt>
                <c:pt idx="6">
                  <c:v>27906318</c:v>
                </c:pt>
                <c:pt idx="7">
                  <c:v>194000</c:v>
                </c:pt>
              </c:numCache>
            </c:numRef>
          </c:val>
          <c:extLst>
            <c:ext xmlns:c16="http://schemas.microsoft.com/office/drawing/2014/chart" uri="{C3380CC4-5D6E-409C-BE32-E72D297353CC}">
              <c16:uniqueId val="{00000004-FE45-4677-9051-8F090262B16F}"/>
            </c:ext>
          </c:extLst>
        </c:ser>
        <c:ser>
          <c:idx val="1"/>
          <c:order val="1"/>
          <c:tx>
            <c:strRef>
              <c:f>'1'!$C$16</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FE45-4677-9051-8F090262B16F}"/>
                </c:ext>
              </c:extLst>
            </c:dLbl>
            <c:dLbl>
              <c:idx val="5"/>
              <c:delete val="1"/>
              <c:extLst>
                <c:ext xmlns:c15="http://schemas.microsoft.com/office/drawing/2012/chart" uri="{CE6537A1-D6FC-4f65-9D91-7224C49458BB}"/>
                <c:ext xmlns:c16="http://schemas.microsoft.com/office/drawing/2014/chart" uri="{C3380CC4-5D6E-409C-BE32-E72D297353CC}">
                  <c16:uniqueId val="{00000006-FE45-4677-9051-8F090262B16F}"/>
                </c:ext>
              </c:extLst>
            </c:dLbl>
            <c:dLbl>
              <c:idx val="6"/>
              <c:layout>
                <c:manualLayout>
                  <c:x val="-3.3076074972436607E-2"/>
                  <c:y val="-2.929549624088972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45-4677-9051-8F090262B16F}"/>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'1'!$A$17:$A$24</c:f>
              <c:strCache>
                <c:ptCount val="8"/>
                <c:pt idx="0">
                  <c:v>ΚΥΒΕΡΝΟΑΣΦΑΛΕΙΑ</c:v>
                </c:pt>
                <c:pt idx="1">
                  <c:v>ΕΠΙΤΕΛΙΚΟΣ ΣΥΝΤΟΝΙΣΜΟΣ ΚΑΙ ΕΠΕΝΔΥΣΕΙΣ ΥΠΟΥΡΓΕΙΟΥ ΨΗΦΙΑΚΗΣ ΔΙΑΚΥΒΕΡΝΗΣΗΣ</c:v>
                </c:pt>
                <c:pt idx="2">
                  <c:v>ΨΗΦΙΑΚΟΣ ΜΕΤΑΣΧΗΜΑΤΙΣΜΟΣ ΚΑΙ ΜΕΤΑΡΡΥΘΜΙΣΗ ΔΗΜΟΣΙΟΥ ΤΟΜΕΑ</c:v>
                </c:pt>
                <c:pt idx="3">
                  <c:v>ΗΛΕΚΤΡΟΝΙΚΗ ΔΙΑΚΥΒΕΡΝΗΣΗ ΚΑΙ ΔΙΑΛΕΙΤΟΥΡΓΙΚΟΤΗΤΑ</c:v>
                </c:pt>
                <c:pt idx="4">
                  <c:v>ΤΕΧΝΟΛΟΓΙΕΣ ΠΛΗΡΟΦΟΡΙΚΗΣ, ΕΠΙΚΟΙΝΩΝΙΩΝ(ΤΠΕ) ΚΑΙ ΥΠΟΔΟΜΩΝ ΠΛΗΡΟΦΟΡΙΚΗΣ ΣΤΗ ΔΗΜΟΣΙΑ ΔΙΟΙΚΗΣΗ</c:v>
                </c:pt>
                <c:pt idx="5">
                  <c:v>ΤΗΛΕΠΙΚΟΙΝΩΝΙΕΣ-ΤΑΧΥΔΡΟΜΙΚΕΣ ΥΠΗΡΕΣΙΕΣ</c:v>
                </c:pt>
                <c:pt idx="6">
                  <c:v>ΔΙΑΣΤΗΜΙΚΗ ΣΤΡΑΤΗΓΙΚΗ</c:v>
                </c:pt>
                <c:pt idx="7">
                  <c:v>ΡΥΘΜΙΣΗ ΘΕΜΑΤΩΝ ΗΛΕΚΤΡΟΝΙΚΩΝ ΕΠΙΚΟΙΝΩΝΙΩΝ ΚΑΙ ΤΑΧΥΔΡΟΜΙΚΩΝ ΥΠΗΡΕΣΙΩΝ - ΕΕΤΤ</c:v>
                </c:pt>
              </c:strCache>
            </c:strRef>
          </c:cat>
          <c:val>
            <c:numRef>
              <c:f>'1'!$C$17:$C$24</c:f>
              <c:numCache>
                <c:formatCode>#,##0\ "€"</c:formatCode>
                <c:ptCount val="8"/>
                <c:pt idx="0">
                  <c:v>90158810.329999998</c:v>
                </c:pt>
                <c:pt idx="1">
                  <c:v>0</c:v>
                </c:pt>
                <c:pt idx="2">
                  <c:v>881188248.38</c:v>
                </c:pt>
                <c:pt idx="3">
                  <c:v>79244195.819999993</c:v>
                </c:pt>
                <c:pt idx="4">
                  <c:v>673171025.5</c:v>
                </c:pt>
                <c:pt idx="5">
                  <c:v>0</c:v>
                </c:pt>
                <c:pt idx="6">
                  <c:v>2498900</c:v>
                </c:pt>
                <c:pt idx="7">
                  <c:v>24673000</c:v>
                </c:pt>
              </c:numCache>
            </c:numRef>
          </c:val>
          <c:extLst>
            <c:ext xmlns:c16="http://schemas.microsoft.com/office/drawing/2014/chart" uri="{C3380CC4-5D6E-409C-BE32-E72D297353CC}">
              <c16:uniqueId val="{00000008-FE45-4677-9051-8F090262B16F}"/>
            </c:ext>
          </c:extLst>
        </c:ser>
        <c:dLbls>
          <c:showLegendKey val="0"/>
          <c:showVal val="0"/>
          <c:showCatName val="0"/>
          <c:showSerName val="0"/>
          <c:showPercent val="0"/>
          <c:showBubbleSize val="0"/>
        </c:dLbls>
        <c:gapWidth val="83"/>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483318176220274E-3"/>
          <c:y val="0.25491432873839831"/>
          <c:w val="0.87462000205212986"/>
          <c:h val="0.74416781012293032"/>
        </c:manualLayout>
      </c:layout>
      <c:pie3DChart>
        <c:varyColors val="1"/>
        <c:ser>
          <c:idx val="0"/>
          <c:order val="0"/>
          <c:tx>
            <c:strRef>
              <c:f>'1'!$B$28:$B$29</c:f>
              <c:strCache>
                <c:ptCount val="2"/>
                <c:pt idx="0">
                  <c:v>Ανθρώπινοι Πόροι ανά Πρόγραμμα </c:v>
                </c:pt>
                <c:pt idx="1">
                  <c:v>ΠΡΟΣΩΠΙΚΟ 2026</c:v>
                </c:pt>
              </c:strCache>
            </c:strRef>
          </c:tx>
          <c:explosion val="15"/>
          <c:dPt>
            <c:idx val="0"/>
            <c:bubble3D val="0"/>
            <c:spPr>
              <a:gradFill rotWithShape="1">
                <a:gsLst>
                  <a:gs pos="0">
                    <a:schemeClr val="accent1">
                      <a:shade val="47000"/>
                      <a:satMod val="103000"/>
                      <a:lumMod val="102000"/>
                      <a:tint val="94000"/>
                    </a:schemeClr>
                  </a:gs>
                  <a:gs pos="50000">
                    <a:schemeClr val="accent1">
                      <a:shade val="47000"/>
                      <a:satMod val="110000"/>
                      <a:lumMod val="100000"/>
                      <a:shade val="100000"/>
                    </a:schemeClr>
                  </a:gs>
                  <a:gs pos="100000">
                    <a:schemeClr val="accent1">
                      <a:shade val="47000"/>
                      <a:lumMod val="99000"/>
                      <a:satMod val="120000"/>
                      <a:shade val="78000"/>
                    </a:schemeClr>
                  </a:gs>
                </a:gsLst>
                <a:lin ang="5400000" scaled="0"/>
              </a:gradFill>
              <a:ln>
                <a:noFill/>
              </a:ln>
              <a:effectLst/>
              <a:sp3d/>
            </c:spPr>
            <c:extLst>
              <c:ext xmlns:c16="http://schemas.microsoft.com/office/drawing/2014/chart" uri="{C3380CC4-5D6E-409C-BE32-E72D297353CC}">
                <c16:uniqueId val="{00000001-475A-4F3D-9A2C-D6A2741CDC90}"/>
              </c:ext>
            </c:extLst>
          </c:dPt>
          <c:dPt>
            <c:idx val="1"/>
            <c:bubble3D val="0"/>
            <c:spPr>
              <a:gradFill rotWithShape="1">
                <a:gsLst>
                  <a:gs pos="0">
                    <a:schemeClr val="accent1">
                      <a:shade val="65000"/>
                      <a:satMod val="103000"/>
                      <a:lumMod val="102000"/>
                      <a:tint val="94000"/>
                    </a:schemeClr>
                  </a:gs>
                  <a:gs pos="50000">
                    <a:schemeClr val="accent1">
                      <a:shade val="65000"/>
                      <a:satMod val="110000"/>
                      <a:lumMod val="100000"/>
                      <a:shade val="100000"/>
                    </a:schemeClr>
                  </a:gs>
                  <a:gs pos="100000">
                    <a:schemeClr val="accent1">
                      <a:shade val="65000"/>
                      <a:lumMod val="99000"/>
                      <a:satMod val="120000"/>
                      <a:shade val="78000"/>
                    </a:schemeClr>
                  </a:gs>
                </a:gsLst>
                <a:lin ang="5400000" scaled="0"/>
              </a:gradFill>
              <a:ln>
                <a:noFill/>
              </a:ln>
              <a:effectLst/>
              <a:sp3d/>
            </c:spPr>
            <c:extLst>
              <c:ext xmlns:c16="http://schemas.microsoft.com/office/drawing/2014/chart" uri="{C3380CC4-5D6E-409C-BE32-E72D297353CC}">
                <c16:uniqueId val="{00000003-475A-4F3D-9A2C-D6A2741CDC90}"/>
              </c:ext>
            </c:extLst>
          </c:dPt>
          <c:dPt>
            <c:idx val="2"/>
            <c:bubble3D val="0"/>
            <c:spPr>
              <a:gradFill rotWithShape="1">
                <a:gsLst>
                  <a:gs pos="0">
                    <a:schemeClr val="accent1">
                      <a:shade val="82000"/>
                      <a:satMod val="103000"/>
                      <a:lumMod val="102000"/>
                      <a:tint val="94000"/>
                    </a:schemeClr>
                  </a:gs>
                  <a:gs pos="50000">
                    <a:schemeClr val="accent1">
                      <a:shade val="82000"/>
                      <a:satMod val="110000"/>
                      <a:lumMod val="100000"/>
                      <a:shade val="100000"/>
                    </a:schemeClr>
                  </a:gs>
                  <a:gs pos="100000">
                    <a:schemeClr val="accent1">
                      <a:shade val="82000"/>
                      <a:lumMod val="99000"/>
                      <a:satMod val="120000"/>
                      <a:shade val="78000"/>
                    </a:schemeClr>
                  </a:gs>
                </a:gsLst>
                <a:lin ang="5400000" scaled="0"/>
              </a:gradFill>
              <a:ln>
                <a:noFill/>
              </a:ln>
              <a:effectLst/>
              <a:sp3d/>
            </c:spPr>
            <c:extLst>
              <c:ext xmlns:c16="http://schemas.microsoft.com/office/drawing/2014/chart" uri="{C3380CC4-5D6E-409C-BE32-E72D297353CC}">
                <c16:uniqueId val="{00000005-475A-4F3D-9A2C-D6A2741CDC90}"/>
              </c:ext>
            </c:extLst>
          </c:dPt>
          <c:dPt>
            <c:idx val="3"/>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7-475A-4F3D-9A2C-D6A2741CDC90}"/>
              </c:ext>
            </c:extLst>
          </c:dPt>
          <c:dPt>
            <c:idx val="4"/>
            <c:bubble3D val="0"/>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9-475A-4F3D-9A2C-D6A2741CDC90}"/>
              </c:ext>
            </c:extLst>
          </c:dPt>
          <c:dPt>
            <c:idx val="5"/>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B-475A-4F3D-9A2C-D6A2741CDC90}"/>
              </c:ext>
            </c:extLst>
          </c:dPt>
          <c:dPt>
            <c:idx val="6"/>
            <c:bubble3D val="0"/>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D-475A-4F3D-9A2C-D6A2741CDC90}"/>
              </c:ext>
            </c:extLst>
          </c:dPt>
          <c:dPt>
            <c:idx val="7"/>
            <c:bubble3D val="0"/>
            <c:spPr>
              <a:gradFill rotWithShape="1">
                <a:gsLst>
                  <a:gs pos="0">
                    <a:schemeClr val="accent1">
                      <a:tint val="46000"/>
                      <a:satMod val="103000"/>
                      <a:lumMod val="102000"/>
                      <a:tint val="94000"/>
                    </a:schemeClr>
                  </a:gs>
                  <a:gs pos="50000">
                    <a:schemeClr val="accent1">
                      <a:tint val="46000"/>
                      <a:satMod val="110000"/>
                      <a:lumMod val="100000"/>
                      <a:shade val="100000"/>
                    </a:schemeClr>
                  </a:gs>
                  <a:gs pos="100000">
                    <a:schemeClr val="accent1">
                      <a:tint val="46000"/>
                      <a:lumMod val="99000"/>
                      <a:satMod val="120000"/>
                      <a:shade val="78000"/>
                    </a:schemeClr>
                  </a:gs>
                </a:gsLst>
                <a:lin ang="5400000" scaled="0"/>
              </a:gradFill>
              <a:ln>
                <a:noFill/>
              </a:ln>
              <a:effectLst/>
              <a:sp3d/>
            </c:spPr>
            <c:extLst>
              <c:ext xmlns:c16="http://schemas.microsoft.com/office/drawing/2014/chart" uri="{C3380CC4-5D6E-409C-BE32-E72D297353CC}">
                <c16:uniqueId val="{0000000F-475A-4F3D-9A2C-D6A2741CDC90}"/>
              </c:ext>
            </c:extLst>
          </c:dPt>
          <c:dLbls>
            <c:dLbl>
              <c:idx val="0"/>
              <c:layout>
                <c:manualLayout>
                  <c:x val="-1.6970788219572465E-3"/>
                  <c:y val="-0.1745219649152434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75A-4F3D-9A2C-D6A2741CDC90}"/>
                </c:ext>
              </c:extLst>
            </c:dLbl>
            <c:dLbl>
              <c:idx val="1"/>
              <c:layout>
                <c:manualLayout>
                  <c:x val="3.6457189476607914E-2"/>
                  <c:y val="-4.927149350233659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75A-4F3D-9A2C-D6A2741CDC90}"/>
                </c:ext>
              </c:extLst>
            </c:dLbl>
            <c:dLbl>
              <c:idx val="2"/>
              <c:layout>
                <c:manualLayout>
                  <c:x val="0.1192896949630485"/>
                  <c:y val="-0.1004878048780487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75A-4F3D-9A2C-D6A2741CDC90}"/>
                </c:ext>
              </c:extLst>
            </c:dLbl>
            <c:dLbl>
              <c:idx val="3"/>
              <c:layout>
                <c:manualLayout>
                  <c:x val="0"/>
                  <c:y val="0.1919182131238333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9565225334423314"/>
                      <c:h val="0.18797152947545545"/>
                    </c:manualLayout>
                  </c15:layout>
                </c:ext>
                <c:ext xmlns:c16="http://schemas.microsoft.com/office/drawing/2014/chart" uri="{C3380CC4-5D6E-409C-BE32-E72D297353CC}">
                  <c16:uniqueId val="{00000007-475A-4F3D-9A2C-D6A2741CDC90}"/>
                </c:ext>
              </c:extLst>
            </c:dLbl>
            <c:dLbl>
              <c:idx val="4"/>
              <c:layout>
                <c:manualLayout>
                  <c:x val="-3.0151149762758522E-2"/>
                  <c:y val="-3.881193135040425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475A-4F3D-9A2C-D6A2741CDC90}"/>
                </c:ext>
              </c:extLst>
            </c:dLbl>
            <c:dLbl>
              <c:idx val="5"/>
              <c:layout>
                <c:manualLayout>
                  <c:x val="-3.4250178422057395E-2"/>
                  <c:y val="-0.2094071372824448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232227035567635"/>
                      <c:h val="0.10933004137194717"/>
                    </c:manualLayout>
                  </c15:layout>
                </c:ext>
                <c:ext xmlns:c16="http://schemas.microsoft.com/office/drawing/2014/chart" uri="{C3380CC4-5D6E-409C-BE32-E72D297353CC}">
                  <c16:uniqueId val="{0000000B-475A-4F3D-9A2C-D6A2741CDC90}"/>
                </c:ext>
              </c:extLst>
            </c:dLbl>
            <c:dLbl>
              <c:idx val="6"/>
              <c:layout>
                <c:manualLayout>
                  <c:x val="-8.0944182694180911E-2"/>
                  <c:y val="-8.2377888739517319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75A-4F3D-9A2C-D6A2741CDC90}"/>
                </c:ext>
              </c:extLst>
            </c:dLbl>
            <c:dLbl>
              <c:idx val="7"/>
              <c:layout>
                <c:manualLayout>
                  <c:x val="9.4120848399094403E-2"/>
                  <c:y val="-6.928430192874683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475A-4F3D-9A2C-D6A2741CDC90}"/>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'1'!$A$30:$A$37</c:f>
              <c:strCache>
                <c:ptCount val="8"/>
                <c:pt idx="0">
                  <c:v>ΚΥΒΕΡΝΟΑΣΦΑΛΕΙΑ</c:v>
                </c:pt>
                <c:pt idx="1">
                  <c:v>ΕΠΙΤΕΛΙΚΟΣ ΣΥΝΤΟΝΙΣΜΟΣ ΚΑΙ ΕΠΕΝΔΥΣΕΙΣ ΥΠΟΥΡΓΕΙΟΥ ΨΗΦΙΑΚΗΣ ΔΙΑΚΥΒΕΡΝΗΣΗΣ</c:v>
                </c:pt>
                <c:pt idx="2">
                  <c:v>ΨΗΦΙΑΚΟΣ ΜΕΤΑΣΧΗΜΑΤΙΣΜΟΣ ΚΑΙ ΜΕΤΑΡΡΥΘΜΙΣΗ ΔΗΜΟΣΙΟΥ ΤΟΜΕΑ</c:v>
                </c:pt>
                <c:pt idx="3">
                  <c:v>ΗΛΕΚΤΡΟΝΙΚΗ ΔΙΑΚΥΒΕΡΝΗΣΗ ΚΑΙ ΔΙΑΛΕΙΤΟΥΡΓΙΚΟΤΗΤΑ</c:v>
                </c:pt>
                <c:pt idx="4">
                  <c:v>ΤΕΧΝΟΛΟΓΙΕΣ ΠΛΗΡΟΦΟΡΙΚΗΣ, ΕΠΙΚΟΙΝΩΝΙΩΝ(ΤΠΕ) ΚΑΙ ΥΠΟΔΟΜΩΝ ΠΛΗΡΟΦΟΡΙΚΗΣ ΣΤΗ ΔΗΜΟΣΙΑ ΔΙΟΙΚΗΣΗ</c:v>
                </c:pt>
                <c:pt idx="5">
                  <c:v>ΤΗΛΕΠΙΚΟΙΝΩΝΙΕΣ-ΤΑΧΥΔΡΟΜΙΚΕΣ ΥΠΗΡΕΣΙΕΣ</c:v>
                </c:pt>
                <c:pt idx="6">
                  <c:v>ΔΙΑΣΤΗΜΙΚΗ ΣΤΡΑΤΗΓΙΚΗ</c:v>
                </c:pt>
                <c:pt idx="7">
                  <c:v>ΡΥΘΜΙΣΗ ΘΕΜΑΤΩΝ ΗΛΕΚΤΡΟΝΙΚΩΝ ΕΠΙΚΟΙΝΩΝΙΩΝ ΚΑΙ ΤΑΧΥΔΡΟΜΙΚΩΝ ΥΠΗΡΕΣΙΩΝ - ΕΕΤΤ</c:v>
                </c:pt>
              </c:strCache>
            </c:strRef>
          </c:cat>
          <c:val>
            <c:numRef>
              <c:f>'1'!$B$30:$B$37</c:f>
              <c:numCache>
                <c:formatCode>_-* #,##0\ _€_-;\-* #,##0\ _€_-;_-* "-"??\ _€_-;_-@_-</c:formatCode>
                <c:ptCount val="8"/>
                <c:pt idx="0">
                  <c:v>129</c:v>
                </c:pt>
                <c:pt idx="1">
                  <c:v>162</c:v>
                </c:pt>
                <c:pt idx="2">
                  <c:v>1502</c:v>
                </c:pt>
                <c:pt idx="3">
                  <c:v>245</c:v>
                </c:pt>
                <c:pt idx="4">
                  <c:v>317</c:v>
                </c:pt>
                <c:pt idx="5">
                  <c:v>102</c:v>
                </c:pt>
                <c:pt idx="6">
                  <c:v>33</c:v>
                </c:pt>
                <c:pt idx="7">
                  <c:v>208</c:v>
                </c:pt>
              </c:numCache>
            </c:numRef>
          </c:val>
          <c:extLst>
            <c:ext xmlns:c16="http://schemas.microsoft.com/office/drawing/2014/chart" uri="{C3380CC4-5D6E-409C-BE32-E72D297353CC}">
              <c16:uniqueId val="{00000010-475A-4F3D-9A2C-D6A2741CDC90}"/>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CFD7-4888-9B25-44C2E6489F7D}"/>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CFD7-4888-9B25-44C2E6489F7D}"/>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CFD7-4888-9B25-44C2E6489F7D}"/>
              </c:ext>
            </c:extLst>
          </c:dPt>
          <c:dPt>
            <c:idx val="3"/>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7-CFD7-4888-9B25-44C2E6489F7D}"/>
              </c:ext>
            </c:extLst>
          </c:dPt>
          <c:dLbls>
            <c:dLbl>
              <c:idx val="1"/>
              <c:layout>
                <c:manualLayout>
                  <c:x val="0.16312133513757329"/>
                  <c:y val="0.1050851909965179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CFD7-4888-9B25-44C2E6489F7D}"/>
                </c:ext>
              </c:extLst>
            </c:dLbl>
            <c:dLbl>
              <c:idx val="2"/>
              <c:layout>
                <c:manualLayout>
                  <c:x val="0.12186831179255503"/>
                  <c:y val="8.069253258414056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FD7-4888-9B25-44C2E6489F7D}"/>
                </c:ext>
              </c:extLst>
            </c:dLbl>
            <c:dLbl>
              <c:idx val="3"/>
              <c:layout>
                <c:manualLayout>
                  <c:x val="-3.5018882011303161E-2"/>
                  <c:y val="-0.3211743792517976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6666666667"/>
                      <c:h val="0.21792803615740658"/>
                    </c:manualLayout>
                  </c15:layout>
                </c:ext>
                <c:ext xmlns:c16="http://schemas.microsoft.com/office/drawing/2014/chart" uri="{C3380CC4-5D6E-409C-BE32-E72D297353CC}">
                  <c16:uniqueId val="{00000007-CFD7-4888-9B25-44C2E6489F7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'1'!$A$4:$A$7</c:f>
              <c:strCache>
                <c:ptCount val="4"/>
                <c:pt idx="0">
                  <c:v>ΕΠΙΤΕΛΙΚΟΣ ΣΥΝΤΟΝΙΣΜΟΣ ΚΑΙ ΕΠΕΝΔΥΣΕΙΣ ΥΠΟΥΡΓΕΙΟΥ ΜΕΤΑΝΑΣΤΕΥΣΗΣ ΚΑΙ ΑΣΥΛΟΥ</c:v>
                </c:pt>
                <c:pt idx="1">
                  <c:v>ΔΙΑΧΕΙΡΙΣΗ ΑΣΥΛΟΥ</c:v>
                </c:pt>
                <c:pt idx="2">
                  <c:v>ΝΟΜΙΜΗ ΜΕΤΑΝΑΣΤΕΥΣΗ</c:v>
                </c:pt>
                <c:pt idx="3">
                  <c:v>ΥΠΟΔΟΧΗ - ΤΑΥΤΟΠΟΙΗΣΗ ΠΡΟΣΦΥΓΙΚΩΝ ΡΟΩΝ</c:v>
                </c:pt>
              </c:strCache>
            </c:strRef>
          </c:cat>
          <c:val>
            <c:numRef>
              <c:f>'1'!$B$4:$B$7</c:f>
              <c:numCache>
                <c:formatCode>#,##0\ "€"</c:formatCode>
                <c:ptCount val="4"/>
                <c:pt idx="0">
                  <c:v>98909707</c:v>
                </c:pt>
                <c:pt idx="1">
                  <c:v>69375567</c:v>
                </c:pt>
                <c:pt idx="2">
                  <c:v>41228726</c:v>
                </c:pt>
                <c:pt idx="3">
                  <c:v>326619000</c:v>
                </c:pt>
              </c:numCache>
            </c:numRef>
          </c:val>
          <c:extLst>
            <c:ext xmlns:c16="http://schemas.microsoft.com/office/drawing/2014/chart" uri="{C3380CC4-5D6E-409C-BE32-E72D297353CC}">
              <c16:uniqueId val="{00000008-CFD7-4888-9B25-44C2E6489F7D}"/>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9308905134128372"/>
          <c:y val="8.7956008144587844E-2"/>
          <c:w val="0.49196326730891476"/>
          <c:h val="0.82462629714649804"/>
        </c:manualLayout>
      </c:layout>
      <c:bar3DChart>
        <c:barDir val="bar"/>
        <c:grouping val="percentStacked"/>
        <c:varyColors val="0"/>
        <c:ser>
          <c:idx val="0"/>
          <c:order val="0"/>
          <c:tx>
            <c:strRef>
              <c:f>'1'!$B$12</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6E-41A8-951D-13056715F9B3}"/>
                </c:ext>
              </c:extLst>
            </c:dLbl>
            <c:dLbl>
              <c:idx val="3"/>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6E-41A8-951D-13056715F9B3}"/>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'1'!$A$13:$A$16</c:f>
              <c:strCache>
                <c:ptCount val="4"/>
                <c:pt idx="0">
                  <c:v>ΕΠΙΤΕΛΙΚΟΣ ΣΥΝΤΟΝΙΣΜΟΣ ΚΑΙ ΕΠΕΝΔΥΣΕΙΣ ΥΠΟΥΡΓΕΙΟΥ ΜΕΤΑΝΑΣΤΕΥΣΗΣ ΚΑΙ ΑΣΥΛΟΥ</c:v>
                </c:pt>
                <c:pt idx="1">
                  <c:v>ΔΙΑΧΕΙΡΙΣΗ ΑΣΥΛΟΥ</c:v>
                </c:pt>
                <c:pt idx="2">
                  <c:v>ΝΟΜΙΜΗ ΜΕΤΑΝΑΣΤΕΥΣΗ</c:v>
                </c:pt>
                <c:pt idx="3">
                  <c:v>ΥΠΟΔΟΧΗ - ΤΑΥΤΟΠΟΙΗΣΗ ΠΡΟΣΦΥΓΙΚΩΝ ΡΟΩΝ</c:v>
                </c:pt>
              </c:strCache>
            </c:strRef>
          </c:cat>
          <c:val>
            <c:numRef>
              <c:f>'1'!$B$13:$B$16</c:f>
              <c:numCache>
                <c:formatCode>#,##0\ "€"</c:formatCode>
                <c:ptCount val="4"/>
                <c:pt idx="0">
                  <c:v>48853636.409999996</c:v>
                </c:pt>
                <c:pt idx="1">
                  <c:v>69375567</c:v>
                </c:pt>
                <c:pt idx="2">
                  <c:v>40301380.740000002</c:v>
                </c:pt>
                <c:pt idx="3">
                  <c:v>316119000</c:v>
                </c:pt>
              </c:numCache>
            </c:numRef>
          </c:val>
          <c:extLst>
            <c:ext xmlns:c16="http://schemas.microsoft.com/office/drawing/2014/chart" uri="{C3380CC4-5D6E-409C-BE32-E72D297353CC}">
              <c16:uniqueId val="{00000002-956E-41A8-951D-13056715F9B3}"/>
            </c:ext>
          </c:extLst>
        </c:ser>
        <c:ser>
          <c:idx val="1"/>
          <c:order val="1"/>
          <c:tx>
            <c:strRef>
              <c:f>'1'!$C$12</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cat>
            <c:strRef>
              <c:f>'1'!$A$13:$A$16</c:f>
              <c:strCache>
                <c:ptCount val="4"/>
                <c:pt idx="0">
                  <c:v>ΕΠΙΤΕΛΙΚΟΣ ΣΥΝΤΟΝΙΣΜΟΣ ΚΑΙ ΕΠΕΝΔΥΣΕΙΣ ΥΠΟΥΡΓΕΙΟΥ ΜΕΤΑΝΑΣΤΕΥΣΗΣ ΚΑΙ ΑΣΥΛΟΥ</c:v>
                </c:pt>
                <c:pt idx="1">
                  <c:v>ΔΙΑΧΕΙΡΙΣΗ ΑΣΥΛΟΥ</c:v>
                </c:pt>
                <c:pt idx="2">
                  <c:v>ΝΟΜΙΜΗ ΜΕΤΑΝΑΣΤΕΥΣΗ</c:v>
                </c:pt>
                <c:pt idx="3">
                  <c:v>ΥΠΟΔΟΧΗ - ΤΑΥΤΟΠΟΙΗΣΗ ΠΡΟΣΦΥΓΙΚΩΝ ΡΟΩΝ</c:v>
                </c:pt>
              </c:strCache>
            </c:strRef>
          </c:cat>
          <c:val>
            <c:numRef>
              <c:f>'1'!$C$13:$C$16</c:f>
              <c:numCache>
                <c:formatCode>#,##0\ "€"</c:formatCode>
                <c:ptCount val="4"/>
                <c:pt idx="0">
                  <c:v>0</c:v>
                </c:pt>
                <c:pt idx="1">
                  <c:v>0</c:v>
                </c:pt>
                <c:pt idx="2">
                  <c:v>0</c:v>
                </c:pt>
                <c:pt idx="3">
                  <c:v>0</c:v>
                </c:pt>
              </c:numCache>
            </c:numRef>
          </c:val>
          <c:extLst>
            <c:ext xmlns:c16="http://schemas.microsoft.com/office/drawing/2014/chart" uri="{C3380CC4-5D6E-409C-BE32-E72D297353CC}">
              <c16:uniqueId val="{00000003-956E-41A8-951D-13056715F9B3}"/>
            </c:ext>
          </c:extLst>
        </c:ser>
        <c:dLbls>
          <c:showLegendKey val="0"/>
          <c:showVal val="0"/>
          <c:showCatName val="0"/>
          <c:showSerName val="0"/>
          <c:showPercent val="0"/>
          <c:showBubbleSize val="0"/>
        </c:dLbls>
        <c:gapWidth val="58"/>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99280696818829E-2"/>
          <c:y val="0.21198325699483642"/>
          <c:w val="0.92262506988913329"/>
          <c:h val="0.78709945429483186"/>
        </c:manualLayout>
      </c:layout>
      <c:pie3DChart>
        <c:varyColors val="1"/>
        <c:ser>
          <c:idx val="0"/>
          <c:order val="0"/>
          <c:tx>
            <c:strRef>
              <c:f>'1'!$B$20:$B$21</c:f>
              <c:strCache>
                <c:ptCount val="2"/>
                <c:pt idx="0">
                  <c:v>Ανθρώπινοι Πόροι ανά Πρόγραμμα </c:v>
                </c:pt>
                <c:pt idx="1">
                  <c:v>ΠΡΟΣΩΠΙΚΟ 2026</c:v>
                </c:pt>
              </c:strCache>
            </c:strRef>
          </c:tx>
          <c:dPt>
            <c:idx val="0"/>
            <c:bubble3D val="0"/>
            <c:explosion val="16"/>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3836-46B1-9791-B3A4F0C0DF27}"/>
              </c:ext>
            </c:extLst>
          </c:dPt>
          <c:dPt>
            <c:idx val="1"/>
            <c:bubble3D val="0"/>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3836-46B1-9791-B3A4F0C0DF27}"/>
              </c:ext>
            </c:extLst>
          </c:dPt>
          <c:dPt>
            <c:idx val="2"/>
            <c:bubble3D val="0"/>
            <c:explosion val="26"/>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3836-46B1-9791-B3A4F0C0DF27}"/>
              </c:ext>
            </c:extLst>
          </c:dPt>
          <c:dPt>
            <c:idx val="3"/>
            <c:bubble3D val="0"/>
            <c:explosion val="14"/>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7-3836-46B1-9791-B3A4F0C0DF27}"/>
              </c:ext>
            </c:extLst>
          </c:dPt>
          <c:dLbls>
            <c:dLbl>
              <c:idx val="0"/>
              <c:layout>
                <c:manualLayout>
                  <c:x val="0.1464598589832482"/>
                  <c:y val="-6.02597048487491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836-46B1-9791-B3A4F0C0DF27}"/>
                </c:ext>
              </c:extLst>
            </c:dLbl>
            <c:dLbl>
              <c:idx val="1"/>
              <c:layout>
                <c:manualLayout>
                  <c:x val="6.4615370002754483E-2"/>
                  <c:y val="7.63121506313308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836-46B1-9791-B3A4F0C0DF27}"/>
                </c:ext>
              </c:extLst>
            </c:dLbl>
            <c:dLbl>
              <c:idx val="2"/>
              <c:layout>
                <c:manualLayout>
                  <c:x val="-5.7620918072914556E-2"/>
                  <c:y val="-3.174103237095379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836-46B1-9791-B3A4F0C0DF27}"/>
                </c:ext>
              </c:extLst>
            </c:dLbl>
            <c:dLbl>
              <c:idx val="3"/>
              <c:layout>
                <c:manualLayout>
                  <c:x val="-0.10270164685864101"/>
                  <c:y val="-0.1707007874015748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836-46B1-9791-B3A4F0C0DF2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'1'!$A$22:$A$25</c:f>
              <c:strCache>
                <c:ptCount val="4"/>
                <c:pt idx="0">
                  <c:v>ΕΠΙΤΕΛΙΚΟΣ ΣΥΝΤΟΝΙΣΜΟΣ ΚΑΙ ΕΠΕΝΔΥΣΕΙΣ ΥΠΟΥΡΓΕΙΟΥ ΜΕΤΑΝΑΣΤΕΥΣΗΣ ΚΑΙ ΑΣΥΛΟΥ</c:v>
                </c:pt>
                <c:pt idx="1">
                  <c:v>ΔΙΑΧΕΙΡΙΣΗ ΑΣΥΛΟΥ</c:v>
                </c:pt>
                <c:pt idx="2">
                  <c:v>ΝΟΜΙΜΗ ΜΕΤΑΝΑΣΤΕΥΣΗ</c:v>
                </c:pt>
                <c:pt idx="3">
                  <c:v>ΥΠΟΔΟΧΗ - ΤΑΥΤΟΠΟΙΗΣΗ ΠΡΟΣΦΥΓΙΚΩΝ ΡΟΩΝ</c:v>
                </c:pt>
              </c:strCache>
            </c:strRef>
          </c:cat>
          <c:val>
            <c:numRef>
              <c:f>'1'!$B$22:$B$25</c:f>
              <c:numCache>
                <c:formatCode>_-* #,##0\ _€_-;\-* #,##0\ _€_-;_-* "-"??\ _€_-;_-@_-</c:formatCode>
                <c:ptCount val="4"/>
                <c:pt idx="0">
                  <c:v>286</c:v>
                </c:pt>
                <c:pt idx="1">
                  <c:v>997</c:v>
                </c:pt>
                <c:pt idx="2">
                  <c:v>129</c:v>
                </c:pt>
                <c:pt idx="3">
                  <c:v>871</c:v>
                </c:pt>
              </c:numCache>
            </c:numRef>
          </c:val>
          <c:extLst>
            <c:ext xmlns:c16="http://schemas.microsoft.com/office/drawing/2014/chart" uri="{C3380CC4-5D6E-409C-BE32-E72D297353CC}">
              <c16:uniqueId val="{00000008-3836-46B1-9791-B3A4F0C0DF27}"/>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DD8D-4E1A-8165-4BB66DE15A1A}"/>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DD8D-4E1A-8165-4BB66DE15A1A}"/>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DD8D-4E1A-8165-4BB66DE15A1A}"/>
              </c:ext>
            </c:extLst>
          </c:dPt>
          <c:dPt>
            <c:idx val="3"/>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7-DD8D-4E1A-8165-4BB66DE15A1A}"/>
              </c:ext>
            </c:extLst>
          </c:dPt>
          <c:dPt>
            <c:idx val="4"/>
            <c:bubble3D val="0"/>
            <c:explosion val="28"/>
            <c:spPr>
              <a:gradFill rotWithShape="1">
                <a:gsLst>
                  <a:gs pos="0">
                    <a:schemeClr val="accent1">
                      <a:tint val="70000"/>
                      <a:satMod val="103000"/>
                      <a:lumMod val="102000"/>
                      <a:tint val="94000"/>
                    </a:schemeClr>
                  </a:gs>
                  <a:gs pos="50000">
                    <a:schemeClr val="accent1">
                      <a:tint val="70000"/>
                      <a:satMod val="110000"/>
                      <a:lumMod val="100000"/>
                      <a:shade val="100000"/>
                    </a:schemeClr>
                  </a:gs>
                  <a:gs pos="100000">
                    <a:schemeClr val="accent1">
                      <a:tint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9-DD8D-4E1A-8165-4BB66DE15A1A}"/>
              </c:ext>
            </c:extLst>
          </c:dPt>
          <c:dPt>
            <c:idx val="5"/>
            <c:bubble3D val="0"/>
            <c:spPr>
              <a:gradFill rotWithShape="1">
                <a:gsLst>
                  <a:gs pos="0">
                    <a:schemeClr val="accent1">
                      <a:tint val="50000"/>
                      <a:satMod val="103000"/>
                      <a:lumMod val="102000"/>
                      <a:tint val="94000"/>
                    </a:schemeClr>
                  </a:gs>
                  <a:gs pos="50000">
                    <a:schemeClr val="accent1">
                      <a:tint val="50000"/>
                      <a:satMod val="110000"/>
                      <a:lumMod val="100000"/>
                      <a:shade val="100000"/>
                    </a:schemeClr>
                  </a:gs>
                  <a:gs pos="100000">
                    <a:schemeClr val="accent1">
                      <a:tint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B-DD8D-4E1A-8165-4BB66DE15A1A}"/>
              </c:ext>
            </c:extLst>
          </c:dPt>
          <c:dLbls>
            <c:dLbl>
              <c:idx val="0"/>
              <c:layout>
                <c:manualLayout>
                  <c:x val="0.14296364172340434"/>
                  <c:y val="-3.076309253158220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D8D-4E1A-8165-4BB66DE15A1A}"/>
                </c:ext>
              </c:extLst>
            </c:dLbl>
            <c:dLbl>
              <c:idx val="1"/>
              <c:layout>
                <c:manualLayout>
                  <c:x val="0.26234952990302896"/>
                  <c:y val="0.2153997159621456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D8D-4E1A-8165-4BB66DE15A1A}"/>
                </c:ext>
              </c:extLst>
            </c:dLbl>
            <c:dLbl>
              <c:idx val="2"/>
              <c:layout>
                <c:manualLayout>
                  <c:x val="0.275940931859813"/>
                  <c:y val="-9.638003743740526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D8D-4E1A-8165-4BB66DE15A1A}"/>
                </c:ext>
              </c:extLst>
            </c:dLbl>
            <c:dLbl>
              <c:idx val="3"/>
              <c:layout>
                <c:manualLayout>
                  <c:x val="-0.12893340509944529"/>
                  <c:y val="0.1549456897038449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6666666667"/>
                      <c:h val="0.21792803615740658"/>
                    </c:manualLayout>
                  </c15:layout>
                </c:ext>
                <c:ext xmlns:c16="http://schemas.microsoft.com/office/drawing/2014/chart" uri="{C3380CC4-5D6E-409C-BE32-E72D297353CC}">
                  <c16:uniqueId val="{00000007-DD8D-4E1A-8165-4BB66DE15A1A}"/>
                </c:ext>
              </c:extLst>
            </c:dLbl>
            <c:dLbl>
              <c:idx val="4"/>
              <c:layout>
                <c:manualLayout>
                  <c:x val="-0.13056467762050633"/>
                  <c:y val="-0.15562919436560074"/>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540351943327922"/>
                      <c:h val="0.19415333701047985"/>
                    </c:manualLayout>
                  </c15:layout>
                </c:ext>
                <c:ext xmlns:c16="http://schemas.microsoft.com/office/drawing/2014/chart" uri="{C3380CC4-5D6E-409C-BE32-E72D297353CC}">
                  <c16:uniqueId val="{00000009-DD8D-4E1A-8165-4BB66DE15A1A}"/>
                </c:ext>
              </c:extLst>
            </c:dLbl>
            <c:dLbl>
              <c:idx val="5"/>
              <c:layout>
                <c:manualLayout>
                  <c:x val="-0.31175007724846304"/>
                  <c:y val="6.348984718821845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DD8D-4E1A-8165-4BB66DE15A1A}"/>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'1'!$A$4:$A$9</c:f>
              <c:strCache>
                <c:ptCount val="6"/>
                <c:pt idx="0">
                  <c:v>ΑΣΦΑΛΕΙΑ ΣΥΝΟΡΩΝ - ΔΙΑΧΕΙΡΙΣΗ ΜΕΤΑΝΑΣΤΕΥΤΙΚΩΝ ΡΟΩΝ</c:v>
                </c:pt>
                <c:pt idx="1">
                  <c:v>ΕΠΙΤΕΛΙΚΟΣ ΣΥΝΤΟΝΙΣΜΟΣ ΥΠΟΥΡΓΕΙΟΥ ΠΡΟΣΤΑΣΙΑΣ ΤΟΥ ΠΟΛΙΤΗ</c:v>
                </c:pt>
                <c:pt idx="2">
                  <c:v>ΑΣΤΥΝΟΜΙΚΕΣ ΥΠΗΡΕΣΙΕΣ</c:v>
                </c:pt>
                <c:pt idx="3">
                  <c:v>ΑΝΤΕΓΚΛΗΜΑΤΙΚΗ ΠΟΛΙΤΙΚΗ/ ΣΩΦΡΟΝΙΣΜΟΣ</c:v>
                </c:pt>
                <c:pt idx="4">
                  <c:v>ΕΚΠΑΙΔΕΥΣΗ ΕΛΛΗΝΙΚΗΣ ΑΣΤΥΝΟΜΙΑΣ</c:v>
                </c:pt>
                <c:pt idx="5">
                  <c:v>ΕΦΑΠΑΞ ΒΟΗΘΗΜΑΤΑ ΚΑΙ ΛΟΙΠΕΣ ΠΑΡΟΧΕΣ ΠΡΟΝΟΙΑΣ</c:v>
                </c:pt>
              </c:strCache>
            </c:strRef>
          </c:cat>
          <c:val>
            <c:numRef>
              <c:f>'1'!$B$4:$B$9</c:f>
              <c:numCache>
                <c:formatCode>#,##0\ "€"</c:formatCode>
                <c:ptCount val="6"/>
                <c:pt idx="0">
                  <c:v>110782265</c:v>
                </c:pt>
                <c:pt idx="1">
                  <c:v>28566000</c:v>
                </c:pt>
                <c:pt idx="2">
                  <c:v>2209941051.0999999</c:v>
                </c:pt>
                <c:pt idx="3">
                  <c:v>194263000</c:v>
                </c:pt>
                <c:pt idx="4">
                  <c:v>59732683.899999999</c:v>
                </c:pt>
              </c:numCache>
            </c:numRef>
          </c:val>
          <c:extLst>
            <c:ext xmlns:c16="http://schemas.microsoft.com/office/drawing/2014/chart" uri="{C3380CC4-5D6E-409C-BE32-E72D297353CC}">
              <c16:uniqueId val="{0000000C-DD8D-4E1A-8165-4BB66DE15A1A}"/>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'1'!$B$14</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EE-4907-B354-40E447B0949D}"/>
                </c:ext>
              </c:extLst>
            </c:dLbl>
            <c:dLbl>
              <c:idx val="3"/>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EE-4907-B354-40E447B0949D}"/>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'1'!$A$15:$A$20</c:f>
              <c:strCache>
                <c:ptCount val="6"/>
                <c:pt idx="0">
                  <c:v>ΑΣΦΑΛΕΙΑ ΣΥΝΟΡΩΝ - ΔΙΑΧΕΙΡΙΣΗ ΜΕΤΑΝΑΣΤΕΥΤΙΚΩΝ ΡΟΩΝ</c:v>
                </c:pt>
                <c:pt idx="1">
                  <c:v>ΕΠΙΤΕΛΙΚΟΣ ΣΥΝΤΟΝΙΣΜΟΣ ΥΠΟΥΡΓΕΙΟΥ ΠΡΟΣΤΑΣΙΑΣ ΤΟΥ ΠΟΛΙΤΗ</c:v>
                </c:pt>
                <c:pt idx="2">
                  <c:v>ΑΣΤΥΝΟΜΙΚΕΣ ΥΠΗΡΕΣΙΕΣ</c:v>
                </c:pt>
                <c:pt idx="3">
                  <c:v>ΑΝΤΕΓΚΛΗΜΑΤΙΚΗ ΠΟΛΙΤΙΚΗ/ ΣΩΦΡΟΝΙΣΜΟΣ</c:v>
                </c:pt>
                <c:pt idx="4">
                  <c:v>ΕΚΠΑΙΔΕΥΣΗ ΕΛΛΗΝΙΚΗΣ ΑΣΤΥΝΟΜΙΑΣ</c:v>
                </c:pt>
                <c:pt idx="5">
                  <c:v>ΕΦΑΠΑΞ ΒΟΗΘΗΜΑΤΑ ΚΑΙ ΛΟΙΠΕΣ ΠΑΡΟΧΕΣ ΠΡΟΝΟΙΑΣ</c:v>
                </c:pt>
              </c:strCache>
            </c:strRef>
          </c:cat>
          <c:val>
            <c:numRef>
              <c:f>'1'!$B$15:$B$20</c:f>
              <c:numCache>
                <c:formatCode>#,##0\ "€"</c:formatCode>
                <c:ptCount val="6"/>
                <c:pt idx="0">
                  <c:v>109234186.23</c:v>
                </c:pt>
                <c:pt idx="1">
                  <c:v>28566000</c:v>
                </c:pt>
                <c:pt idx="2">
                  <c:v>2207419625.8800001</c:v>
                </c:pt>
                <c:pt idx="3">
                  <c:v>188422904</c:v>
                </c:pt>
                <c:pt idx="4">
                  <c:v>59732683.899999999</c:v>
                </c:pt>
              </c:numCache>
            </c:numRef>
          </c:val>
          <c:extLst>
            <c:ext xmlns:c16="http://schemas.microsoft.com/office/drawing/2014/chart" uri="{C3380CC4-5D6E-409C-BE32-E72D297353CC}">
              <c16:uniqueId val="{00000002-C5EE-4907-B354-40E447B0949D}"/>
            </c:ext>
          </c:extLst>
        </c:ser>
        <c:ser>
          <c:idx val="1"/>
          <c:order val="1"/>
          <c:tx>
            <c:strRef>
              <c:f>'1'!$C$14</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0"/>
              <c:layout>
                <c:manualLayout>
                  <c:x val="-1.98456449834619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EE-4907-B354-40E447B0949D}"/>
                </c:ext>
              </c:extLst>
            </c:dLbl>
            <c:dLbl>
              <c:idx val="2"/>
              <c:layout>
                <c:manualLayout>
                  <c:x val="-3.08710033076076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EE-4907-B354-40E447B0949D}"/>
                </c:ext>
              </c:extLst>
            </c:dLbl>
            <c:dLbl>
              <c:idx val="3"/>
              <c:layout>
                <c:manualLayout>
                  <c:x val="-2.2050716648291068E-2"/>
                  <c:y val="-4.62320850670365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EE-4907-B354-40E447B0949D}"/>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'1'!$A$15:$A$20</c:f>
              <c:strCache>
                <c:ptCount val="6"/>
                <c:pt idx="0">
                  <c:v>ΑΣΦΑΛΕΙΑ ΣΥΝΟΡΩΝ - ΔΙΑΧΕΙΡΙΣΗ ΜΕΤΑΝΑΣΤΕΥΤΙΚΩΝ ΡΟΩΝ</c:v>
                </c:pt>
                <c:pt idx="1">
                  <c:v>ΕΠΙΤΕΛΙΚΟΣ ΣΥΝΤΟΝΙΣΜΟΣ ΥΠΟΥΡΓΕΙΟΥ ΠΡΟΣΤΑΣΙΑΣ ΤΟΥ ΠΟΛΙΤΗ</c:v>
                </c:pt>
                <c:pt idx="2">
                  <c:v>ΑΣΤΥΝΟΜΙΚΕΣ ΥΠΗΡΕΣΙΕΣ</c:v>
                </c:pt>
                <c:pt idx="3">
                  <c:v>ΑΝΤΕΓΚΛΗΜΑΤΙΚΗ ΠΟΛΙΤΙΚΗ/ ΣΩΦΡΟΝΙΣΜΟΣ</c:v>
                </c:pt>
                <c:pt idx="4">
                  <c:v>ΕΚΠΑΙΔΕΥΣΗ ΕΛΛΗΝΙΚΗΣ ΑΣΤΥΝΟΜΙΑΣ</c:v>
                </c:pt>
                <c:pt idx="5">
                  <c:v>ΕΦΑΠΑΞ ΒΟΗΘΗΜΑΤΑ ΚΑΙ ΛΟΙΠΕΣ ΠΑΡΟΧΕΣ ΠΡΟΝΟΙΑΣ</c:v>
                </c:pt>
              </c:strCache>
            </c:strRef>
          </c:cat>
          <c:val>
            <c:numRef>
              <c:f>'1'!$C$15:$C$20</c:f>
              <c:numCache>
                <c:formatCode>General</c:formatCode>
                <c:ptCount val="6"/>
                <c:pt idx="0" formatCode="#,##0\ &quot;€&quot;">
                  <c:v>2634310.54</c:v>
                </c:pt>
                <c:pt idx="2" formatCode="#,##0\ &quot;€&quot;">
                  <c:v>6994017.46</c:v>
                </c:pt>
                <c:pt idx="3" formatCode="#,##0\ &quot;€&quot;">
                  <c:v>727936</c:v>
                </c:pt>
                <c:pt idx="5" formatCode="#,##0\ &quot;€&quot;">
                  <c:v>124223608.01000001</c:v>
                </c:pt>
              </c:numCache>
            </c:numRef>
          </c:val>
          <c:extLst>
            <c:ext xmlns:c16="http://schemas.microsoft.com/office/drawing/2014/chart" uri="{C3380CC4-5D6E-409C-BE32-E72D297353CC}">
              <c16:uniqueId val="{00000006-C5EE-4907-B354-40E447B0949D}"/>
            </c:ext>
          </c:extLst>
        </c:ser>
        <c:dLbls>
          <c:showLegendKey val="0"/>
          <c:showVal val="0"/>
          <c:showCatName val="0"/>
          <c:showSerName val="0"/>
          <c:showPercent val="0"/>
          <c:showBubbleSize val="0"/>
        </c:dLbls>
        <c:gapWidth val="57"/>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674099101836144E-2"/>
          <c:y val="0.21198323231178837"/>
          <c:w val="0.92394378266666888"/>
          <c:h val="0.78709945429483186"/>
        </c:manualLayout>
      </c:layout>
      <c:pie3DChart>
        <c:varyColors val="1"/>
        <c:ser>
          <c:idx val="0"/>
          <c:order val="0"/>
          <c:tx>
            <c:strRef>
              <c:f>'1'!$B$24:$B$25</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9D52-4813-BF79-41089182DDE2}"/>
              </c:ext>
            </c:extLst>
          </c:dPt>
          <c:dPt>
            <c:idx val="1"/>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9D52-4813-BF79-41089182DDE2}"/>
              </c:ext>
            </c:extLst>
          </c:dPt>
          <c:dPt>
            <c:idx val="2"/>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9D52-4813-BF79-41089182DDE2}"/>
              </c:ext>
            </c:extLst>
          </c:dPt>
          <c:dPt>
            <c:idx val="3"/>
            <c:bubble3D val="0"/>
            <c:explosion val="16"/>
            <c:spPr>
              <a:solidFill>
                <a:schemeClr val="accent5">
                  <a:lumMod val="75000"/>
                </a:schemeClr>
              </a:solidFill>
              <a:ln>
                <a:noFill/>
              </a:ln>
              <a:effectLst/>
              <a:sp3d/>
            </c:spPr>
            <c:extLst>
              <c:ext xmlns:c16="http://schemas.microsoft.com/office/drawing/2014/chart" uri="{C3380CC4-5D6E-409C-BE32-E72D297353CC}">
                <c16:uniqueId val="{00000007-9D52-4813-BF79-41089182DDE2}"/>
              </c:ext>
            </c:extLst>
          </c:dPt>
          <c:dPt>
            <c:idx val="4"/>
            <c:bubble3D val="0"/>
            <c:spPr>
              <a:gradFill rotWithShape="1">
                <a:gsLst>
                  <a:gs pos="0">
                    <a:schemeClr val="accent1">
                      <a:tint val="70000"/>
                      <a:satMod val="103000"/>
                      <a:lumMod val="102000"/>
                      <a:tint val="94000"/>
                    </a:schemeClr>
                  </a:gs>
                  <a:gs pos="50000">
                    <a:schemeClr val="accent1">
                      <a:tint val="70000"/>
                      <a:satMod val="110000"/>
                      <a:lumMod val="100000"/>
                      <a:shade val="100000"/>
                    </a:schemeClr>
                  </a:gs>
                  <a:gs pos="100000">
                    <a:schemeClr val="accent1">
                      <a:tint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9-9D52-4813-BF79-41089182DDE2}"/>
              </c:ext>
            </c:extLst>
          </c:dPt>
          <c:dPt>
            <c:idx val="5"/>
            <c:bubble3D val="0"/>
            <c:spPr>
              <a:gradFill rotWithShape="1">
                <a:gsLst>
                  <a:gs pos="0">
                    <a:schemeClr val="accent1">
                      <a:tint val="50000"/>
                      <a:satMod val="103000"/>
                      <a:lumMod val="102000"/>
                      <a:tint val="94000"/>
                    </a:schemeClr>
                  </a:gs>
                  <a:gs pos="50000">
                    <a:schemeClr val="accent1">
                      <a:tint val="50000"/>
                      <a:satMod val="110000"/>
                      <a:lumMod val="100000"/>
                      <a:shade val="100000"/>
                    </a:schemeClr>
                  </a:gs>
                  <a:gs pos="100000">
                    <a:schemeClr val="accent1">
                      <a:tint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B-9D52-4813-BF79-41089182DDE2}"/>
              </c:ext>
            </c:extLst>
          </c:dPt>
          <c:dLbls>
            <c:dLbl>
              <c:idx val="0"/>
              <c:layout>
                <c:manualLayout>
                  <c:x val="0.16873511474465291"/>
                  <c:y val="-6.025970484874915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214005072193502"/>
                      <c:h val="0.14491803278688525"/>
                    </c:manualLayout>
                  </c15:layout>
                </c:ext>
                <c:ext xmlns:c16="http://schemas.microsoft.com/office/drawing/2014/chart" uri="{C3380CC4-5D6E-409C-BE32-E72D297353CC}">
                  <c16:uniqueId val="{00000001-9D52-4813-BF79-41089182DDE2}"/>
                </c:ext>
              </c:extLst>
            </c:dLbl>
            <c:dLbl>
              <c:idx val="1"/>
              <c:layout>
                <c:manualLayout>
                  <c:x val="6.4615370002754483E-2"/>
                  <c:y val="7.63121506313308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D52-4813-BF79-41089182DDE2}"/>
                </c:ext>
              </c:extLst>
            </c:dLbl>
            <c:dLbl>
              <c:idx val="2"/>
              <c:layout>
                <c:manualLayout>
                  <c:x val="0.26223434786758054"/>
                  <c:y val="-1.6393567653365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201269218414954"/>
                      <c:h val="0.11071013245283244"/>
                    </c:manualLayout>
                  </c15:layout>
                </c:ext>
                <c:ext xmlns:c16="http://schemas.microsoft.com/office/drawing/2014/chart" uri="{C3380CC4-5D6E-409C-BE32-E72D297353CC}">
                  <c16:uniqueId val="{00000005-9D52-4813-BF79-41089182DDE2}"/>
                </c:ext>
              </c:extLst>
            </c:dLbl>
            <c:dLbl>
              <c:idx val="3"/>
              <c:layout>
                <c:manualLayout>
                  <c:x val="-0.14118164844660158"/>
                  <c:y val="0.10277895141156136"/>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11456184083315"/>
                      <c:h val="0.11142090845201727"/>
                    </c:manualLayout>
                  </c15:layout>
                </c:ext>
                <c:ext xmlns:c16="http://schemas.microsoft.com/office/drawing/2014/chart" uri="{C3380CC4-5D6E-409C-BE32-E72D297353CC}">
                  <c16:uniqueId val="{00000007-9D52-4813-BF79-41089182DDE2}"/>
                </c:ext>
              </c:extLst>
            </c:dLbl>
            <c:dLbl>
              <c:idx val="4"/>
              <c:layout>
                <c:manualLayout>
                  <c:x val="-0.16936247792049838"/>
                  <c:y val="-4.786377312592023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9D52-4813-BF79-41089182DDE2}"/>
                </c:ext>
              </c:extLst>
            </c:dLbl>
            <c:dLbl>
              <c:idx val="5"/>
              <c:layout>
                <c:manualLayout>
                  <c:x val="-6.2593744060371159E-2"/>
                  <c:y val="-6.916427574337287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252975544539844"/>
                      <c:h val="0.17201176033253354"/>
                    </c:manualLayout>
                  </c15:layout>
                </c:ext>
                <c:ext xmlns:c16="http://schemas.microsoft.com/office/drawing/2014/chart" uri="{C3380CC4-5D6E-409C-BE32-E72D297353CC}">
                  <c16:uniqueId val="{0000000B-9D52-4813-BF79-41089182DDE2}"/>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'1'!$A$26:$A$31</c:f>
              <c:strCache>
                <c:ptCount val="6"/>
                <c:pt idx="0">
                  <c:v>ΑΣΦΑΛΕΙΑ ΣΥΝΟΡΩΝ - ΔΙΑΧΕΙΡΙΣΗ ΜΕΤΑΝΑΣΤΕΥΤΙΚΩΝ ΡΟΩΝ</c:v>
                </c:pt>
                <c:pt idx="1">
                  <c:v>ΕΠΙΤΕΛΙΚΟΣ ΣΥΝΤΟΝΙΣΜΟΣ ΥΠΟΥΡΓΕΙΟΥ ΠΡΟΣΤΑΣΙΑΣ ΤΟΥ ΠΟΛΙΤΗ</c:v>
                </c:pt>
                <c:pt idx="2">
                  <c:v>ΑΣΤΥΝΟΜΙΚΕΣ ΥΠΗΡΕΣΙΕΣ</c:v>
                </c:pt>
                <c:pt idx="3">
                  <c:v>ΑΝΤΕΓΚΛΗΜΑΤΙΚΗ ΠΟΛΙΤΙΚΗ/ ΣΩΦΡΟΝΙΣΜΟΣ</c:v>
                </c:pt>
                <c:pt idx="4">
                  <c:v>ΕΚΠΑΙΔΕΥΣΗ ΕΛΛΗΝΙΚΗΣ ΑΣΤΥΝΟΜΙΑΣ</c:v>
                </c:pt>
                <c:pt idx="5">
                  <c:v>ΕΦΑΠΑΞ ΒΟΗΘΗΜΑΤΑ ΚΑΙ ΛΟΙΠΕΣ ΠΑΡΟΧΕΣ ΠΡΟΝΟΙΑΣ</c:v>
                </c:pt>
              </c:strCache>
            </c:strRef>
          </c:cat>
          <c:val>
            <c:numRef>
              <c:f>'1'!$B$26:$B$31</c:f>
              <c:numCache>
                <c:formatCode>_-* #,##0\ _€_-;\-* #,##0\ _€_-;_-* "-"??\ _€_-;_-@_-</c:formatCode>
                <c:ptCount val="6"/>
                <c:pt idx="0">
                  <c:v>4948</c:v>
                </c:pt>
                <c:pt idx="1">
                  <c:v>780</c:v>
                </c:pt>
                <c:pt idx="2">
                  <c:v>47204</c:v>
                </c:pt>
                <c:pt idx="3">
                  <c:v>4779</c:v>
                </c:pt>
                <c:pt idx="4">
                  <c:v>3523</c:v>
                </c:pt>
                <c:pt idx="5">
                  <c:v>152</c:v>
                </c:pt>
              </c:numCache>
            </c:numRef>
          </c:val>
          <c:extLst>
            <c:ext xmlns:c16="http://schemas.microsoft.com/office/drawing/2014/chart" uri="{C3380CC4-5D6E-409C-BE32-E72D297353CC}">
              <c16:uniqueId val="{0000000C-9D52-4813-BF79-41089182DDE2}"/>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EC49-4704-83B2-A6AC69D2B2C8}"/>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EC49-4704-83B2-A6AC69D2B2C8}"/>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EC49-4704-83B2-A6AC69D2B2C8}"/>
              </c:ext>
            </c:extLst>
          </c:dPt>
          <c:dPt>
            <c:idx val="3"/>
            <c:bubble3D val="0"/>
            <c:explosion val="13"/>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extLst>
              <c:ext xmlns:c16="http://schemas.microsoft.com/office/drawing/2014/chart" uri="{C3380CC4-5D6E-409C-BE32-E72D297353CC}">
                <c16:uniqueId val="{00000007-EC49-4704-83B2-A6AC69D2B2C8}"/>
              </c:ext>
            </c:extLst>
          </c:dPt>
          <c:dPt>
            <c:idx val="4"/>
            <c:bubble3D val="0"/>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a:sp3d/>
            </c:spPr>
            <c:extLst>
              <c:ext xmlns:c16="http://schemas.microsoft.com/office/drawing/2014/chart" uri="{C3380CC4-5D6E-409C-BE32-E72D297353CC}">
                <c16:uniqueId val="{00000009-EC49-4704-83B2-A6AC69D2B2C8}"/>
              </c:ext>
            </c:extLst>
          </c:dPt>
          <c:dLbls>
            <c:dLbl>
              <c:idx val="0"/>
              <c:layout>
                <c:manualLayout>
                  <c:x val="0.19906944239467311"/>
                  <c:y val="-1.7679760576912458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C49-4704-83B2-A6AC69D2B2C8}"/>
                </c:ext>
              </c:extLst>
            </c:dLbl>
            <c:dLbl>
              <c:idx val="1"/>
              <c:layout>
                <c:manualLayout>
                  <c:x val="0.16312133513757329"/>
                  <c:y val="0.1050851909965179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C49-4704-83B2-A6AC69D2B2C8}"/>
                </c:ext>
              </c:extLst>
            </c:dLbl>
            <c:dLbl>
              <c:idx val="2"/>
              <c:layout>
                <c:manualLayout>
                  <c:x val="-0.38054293378708037"/>
                  <c:y val="0"/>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EC49-4704-83B2-A6AC69D2B2C8}"/>
                </c:ext>
              </c:extLst>
            </c:dLbl>
            <c:dLbl>
              <c:idx val="3"/>
              <c:layout>
                <c:manualLayout>
                  <c:x val="-0.11050600407019488"/>
                  <c:y val="0.13613390488576019"/>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666666666666667"/>
                      <c:h val="0.21792803615740658"/>
                    </c:manualLayout>
                  </c15:layout>
                </c:ext>
                <c:ext xmlns:c16="http://schemas.microsoft.com/office/drawing/2014/chart" uri="{C3380CC4-5D6E-409C-BE32-E72D297353CC}">
                  <c16:uniqueId val="{00000007-EC49-4704-83B2-A6AC69D2B2C8}"/>
                </c:ext>
              </c:extLst>
            </c:dLbl>
            <c:dLbl>
              <c:idx val="4"/>
              <c:layout>
                <c:manualLayout>
                  <c:x val="-0.1074270980736008"/>
                  <c:y val="-9.388786429746773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EC49-4704-83B2-A6AC69D2B2C8}"/>
                </c:ext>
              </c:extLst>
            </c:dLbl>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'1'!$A$4:$A$8</c:f>
              <c:strCache>
                <c:ptCount val="5"/>
                <c:pt idx="0">
                  <c:v>ΕΠΙΤΕΛΙΚΟΣ ΣΥΝΤΟΝΙΣΜΟΣ ΚΑΙ ΕΠΕΝΔΥΣΕΙΣ ΥΠΟΥΡΓΕΙΟΥ ΚΛΙΜΑΤΙΚΗΣ ΚΡΙΣΗΣ ΚΑΙ ΠΟΛΙΤΙΚΗΣ ΠΡΟΣΤΑΣΙΑΣ</c:v>
                </c:pt>
                <c:pt idx="1">
                  <c:v>ΠΟΛΙΤΙΚΗ ΠΡΟΣΤΑΣΙΑ</c:v>
                </c:pt>
                <c:pt idx="2">
                  <c:v>ΠΥΡΟΣΒΕΣΤΙΚΕΣ ΥΠΗΡΕΣΙΕΣ ΚΑΙ ΑΝΤΙΜΕΤΩΠΙΣΗ ΚΑΤΑΣΤΡΟΦΩΝ</c:v>
                </c:pt>
                <c:pt idx="3">
                  <c:v>ΕΚΠΑΙΔΕΥΣΗ ΠΥΡΟΣΒΕΣΤΙΚΟΥ ΣΩΜΑΤΟΣ</c:v>
                </c:pt>
                <c:pt idx="4">
                  <c:v>ΑΝΤΙΜΕΤΩΠΙΣΗ ΕΠΙΠΤΩΣΕΩΝ ΦΥΣΙΚΩΝ ΚΑΤΑΣΤΡΟΦΩΝ ΚΑΙ ΚΡΑΤΙΚΗ ΑΡΩΓΗ</c:v>
                </c:pt>
              </c:strCache>
            </c:strRef>
          </c:cat>
          <c:val>
            <c:numRef>
              <c:f>'1'!$B$4:$B$8</c:f>
              <c:numCache>
                <c:formatCode>#,##0\ "€"</c:formatCode>
                <c:ptCount val="5"/>
                <c:pt idx="0">
                  <c:v>7291400</c:v>
                </c:pt>
                <c:pt idx="1">
                  <c:v>195111057</c:v>
                </c:pt>
                <c:pt idx="2">
                  <c:v>1071487721</c:v>
                </c:pt>
                <c:pt idx="3">
                  <c:v>15907197</c:v>
                </c:pt>
                <c:pt idx="4">
                  <c:v>148317625</c:v>
                </c:pt>
              </c:numCache>
            </c:numRef>
          </c:val>
          <c:extLst>
            <c:ext xmlns:c16="http://schemas.microsoft.com/office/drawing/2014/chart" uri="{C3380CC4-5D6E-409C-BE32-E72D297353CC}">
              <c16:uniqueId val="{0000000A-EC49-4704-83B2-A6AC69D2B2C8}"/>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23182646976843E-2"/>
          <c:y val="1.9265829021926584E-2"/>
          <c:w val="0.90713439721598954"/>
          <c:h val="0.76476072419994068"/>
        </c:manualLayout>
      </c:layout>
      <c:lineChart>
        <c:grouping val="standard"/>
        <c:varyColors val="0"/>
        <c:ser>
          <c:idx val="0"/>
          <c:order val="0"/>
          <c:tx>
            <c:strRef>
              <c:f>'Διάγραμμα 1.7 GDP vs. EA'!$A$38</c:f>
              <c:strCache>
                <c:ptCount val="1"/>
                <c:pt idx="0">
                  <c:v>Ευρωπαϊκή Ένωση</c:v>
                </c:pt>
              </c:strCache>
            </c:strRef>
          </c:tx>
          <c:spPr>
            <a:ln w="28575" cap="rnd">
              <a:solidFill>
                <a:srgbClr val="00B0F0"/>
              </a:solidFill>
              <a:round/>
            </a:ln>
            <a:effectLst/>
          </c:spPr>
          <c:marker>
            <c:symbol val="none"/>
          </c:marker>
          <c:cat>
            <c:strRef>
              <c:f>'Διάγραμμα 1.7 GDP vs. EA'!$B$36:$O$36</c:f>
              <c:strCache>
                <c:ptCount val="14"/>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strCache>
            </c:strRef>
          </c:cat>
          <c:val>
            <c:numRef>
              <c:f>'Διάγραμμα 1.7 GDP vs. EA'!$B$38:$O$38</c:f>
              <c:numCache>
                <c:formatCode>#,##0.##########</c:formatCode>
                <c:ptCount val="14"/>
                <c:pt idx="0">
                  <c:v>-0.1</c:v>
                </c:pt>
                <c:pt idx="1">
                  <c:v>1.5</c:v>
                </c:pt>
                <c:pt idx="2">
                  <c:v>2.2000000000000002</c:v>
                </c:pt>
                <c:pt idx="3">
                  <c:v>1.7</c:v>
                </c:pt>
                <c:pt idx="4">
                  <c:v>2.7</c:v>
                </c:pt>
                <c:pt idx="5">
                  <c:v>1.9</c:v>
                </c:pt>
                <c:pt idx="6">
                  <c:v>1.7</c:v>
                </c:pt>
                <c:pt idx="7">
                  <c:v>-5.4</c:v>
                </c:pt>
                <c:pt idx="8">
                  <c:v>6.4</c:v>
                </c:pt>
                <c:pt idx="9">
                  <c:v>2.9</c:v>
                </c:pt>
                <c:pt idx="10">
                  <c:v>-0.1</c:v>
                </c:pt>
                <c:pt idx="11">
                  <c:v>0.8</c:v>
                </c:pt>
                <c:pt idx="12">
                  <c:v>1.1000000000000001</c:v>
                </c:pt>
                <c:pt idx="13">
                  <c:v>1.2</c:v>
                </c:pt>
              </c:numCache>
            </c:numRef>
          </c:val>
          <c:smooth val="0"/>
          <c:extLst>
            <c:ext xmlns:c16="http://schemas.microsoft.com/office/drawing/2014/chart" uri="{C3380CC4-5D6E-409C-BE32-E72D297353CC}">
              <c16:uniqueId val="{00000000-3B95-4F69-BF4C-AF71501E34D6}"/>
            </c:ext>
          </c:extLst>
        </c:ser>
        <c:ser>
          <c:idx val="1"/>
          <c:order val="1"/>
          <c:tx>
            <c:strRef>
              <c:f>'Διάγραμμα 1.7 GDP vs. EA'!$A$39</c:f>
              <c:strCache>
                <c:ptCount val="1"/>
                <c:pt idx="0">
                  <c:v>Ευρωζώνη</c:v>
                </c:pt>
              </c:strCache>
            </c:strRef>
          </c:tx>
          <c:spPr>
            <a:ln w="28575" cap="rnd">
              <a:solidFill>
                <a:schemeClr val="accent1"/>
              </a:solidFill>
              <a:round/>
            </a:ln>
            <a:effectLst/>
          </c:spPr>
          <c:marker>
            <c:symbol val="none"/>
          </c:marker>
          <c:cat>
            <c:strRef>
              <c:f>'Διάγραμμα 1.7 GDP vs. EA'!$B$36:$O$36</c:f>
              <c:strCache>
                <c:ptCount val="14"/>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strCache>
            </c:strRef>
          </c:cat>
          <c:val>
            <c:numRef>
              <c:f>'Διάγραμμα 1.7 GDP vs. EA'!$B$39:$O$39</c:f>
              <c:numCache>
                <c:formatCode>#,##0.##########</c:formatCode>
                <c:ptCount val="14"/>
                <c:pt idx="0">
                  <c:v>-0.3</c:v>
                </c:pt>
                <c:pt idx="1">
                  <c:v>1.3</c:v>
                </c:pt>
                <c:pt idx="2">
                  <c:v>1.9</c:v>
                </c:pt>
                <c:pt idx="3">
                  <c:v>1.5</c:v>
                </c:pt>
                <c:pt idx="4">
                  <c:v>2.4</c:v>
                </c:pt>
                <c:pt idx="5">
                  <c:v>1.6</c:v>
                </c:pt>
                <c:pt idx="6">
                  <c:v>1.4</c:v>
                </c:pt>
                <c:pt idx="7">
                  <c:v>-6.1</c:v>
                </c:pt>
                <c:pt idx="8">
                  <c:v>6.4</c:v>
                </c:pt>
                <c:pt idx="9">
                  <c:v>3.1</c:v>
                </c:pt>
                <c:pt idx="10">
                  <c:v>-0.2</c:v>
                </c:pt>
                <c:pt idx="11">
                  <c:v>0.5</c:v>
                </c:pt>
                <c:pt idx="12">
                  <c:v>0.9</c:v>
                </c:pt>
                <c:pt idx="13">
                  <c:v>1</c:v>
                </c:pt>
              </c:numCache>
            </c:numRef>
          </c:val>
          <c:smooth val="0"/>
          <c:extLst>
            <c:ext xmlns:c16="http://schemas.microsoft.com/office/drawing/2014/chart" uri="{C3380CC4-5D6E-409C-BE32-E72D297353CC}">
              <c16:uniqueId val="{00000001-3B95-4F69-BF4C-AF71501E34D6}"/>
            </c:ext>
          </c:extLst>
        </c:ser>
        <c:ser>
          <c:idx val="2"/>
          <c:order val="2"/>
          <c:tx>
            <c:strRef>
              <c:f>'Διάγραμμα 1.7 GDP vs. EA'!$A$40</c:f>
              <c:strCache>
                <c:ptCount val="1"/>
                <c:pt idx="0">
                  <c:v>Ελλάδα</c:v>
                </c:pt>
              </c:strCache>
            </c:strRef>
          </c:tx>
          <c:spPr>
            <a:ln w="28575" cap="rnd">
              <a:solidFill>
                <a:schemeClr val="accent1">
                  <a:lumMod val="50000"/>
                </a:schemeClr>
              </a:solidFill>
              <a:round/>
            </a:ln>
            <a:effectLst/>
          </c:spPr>
          <c:marker>
            <c:symbol val="none"/>
          </c:marker>
          <c:cat>
            <c:strRef>
              <c:f>'Διάγραμμα 1.7 GDP vs. EA'!$B$36:$O$36</c:f>
              <c:strCache>
                <c:ptCount val="14"/>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strCache>
            </c:strRef>
          </c:cat>
          <c:val>
            <c:numRef>
              <c:f>'Διάγραμμα 1.7 GDP vs. EA'!$B$40:$O$40</c:f>
              <c:numCache>
                <c:formatCode>#,##0.##########</c:formatCode>
                <c:ptCount val="14"/>
                <c:pt idx="0">
                  <c:v>-1.6</c:v>
                </c:pt>
                <c:pt idx="1">
                  <c:v>1.5</c:v>
                </c:pt>
                <c:pt idx="2">
                  <c:v>0.4</c:v>
                </c:pt>
                <c:pt idx="3">
                  <c:v>0.4</c:v>
                </c:pt>
                <c:pt idx="4">
                  <c:v>1.7</c:v>
                </c:pt>
                <c:pt idx="5">
                  <c:v>2.2999999999999998</c:v>
                </c:pt>
                <c:pt idx="6">
                  <c:v>2.4</c:v>
                </c:pt>
                <c:pt idx="7">
                  <c:v>-9</c:v>
                </c:pt>
                <c:pt idx="8">
                  <c:v>9.1999999999999993</c:v>
                </c:pt>
                <c:pt idx="9">
                  <c:v>6.1</c:v>
                </c:pt>
                <c:pt idx="10">
                  <c:v>2.4</c:v>
                </c:pt>
                <c:pt idx="11">
                  <c:v>2.2000000000000002</c:v>
                </c:pt>
                <c:pt idx="12" formatCode="0.0">
                  <c:v>2.4058277003143447</c:v>
                </c:pt>
                <c:pt idx="13" formatCode="0.0">
                  <c:v>2.5686400770111417</c:v>
                </c:pt>
              </c:numCache>
            </c:numRef>
          </c:val>
          <c:smooth val="0"/>
          <c:extLst>
            <c:ext xmlns:c16="http://schemas.microsoft.com/office/drawing/2014/chart" uri="{C3380CC4-5D6E-409C-BE32-E72D297353CC}">
              <c16:uniqueId val="{00000002-3B95-4F69-BF4C-AF71501E34D6}"/>
            </c:ext>
          </c:extLst>
        </c:ser>
        <c:dLbls>
          <c:showLegendKey val="0"/>
          <c:showVal val="0"/>
          <c:showCatName val="0"/>
          <c:showSerName val="0"/>
          <c:showPercent val="0"/>
          <c:showBubbleSize val="0"/>
        </c:dLbls>
        <c:smooth val="0"/>
        <c:axId val="937764623"/>
        <c:axId val="762423631"/>
      </c:lineChart>
      <c:catAx>
        <c:axId val="937764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762423631"/>
        <c:crosses val="autoZero"/>
        <c:auto val="1"/>
        <c:lblAlgn val="ctr"/>
        <c:lblOffset val="100"/>
        <c:noMultiLvlLbl val="0"/>
      </c:catAx>
      <c:valAx>
        <c:axId val="762423631"/>
        <c:scaling>
          <c:orientation val="minMax"/>
          <c:max val="10"/>
        </c:scaling>
        <c:delete val="0"/>
        <c:axPos val="l"/>
        <c:majorGridlines>
          <c:spPr>
            <a:ln w="3175" cap="flat" cmpd="sng" algn="ctr">
              <a:solidFill>
                <a:schemeClr val="bg1">
                  <a:lumMod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937764623"/>
        <c:crosses val="autoZero"/>
        <c:crossBetween val="between"/>
      </c:valAx>
      <c:spPr>
        <a:noFill/>
        <a:ln>
          <a:noFill/>
        </a:ln>
        <a:effectLst/>
      </c:spPr>
    </c:plotArea>
    <c:legend>
      <c:legendPos val="b"/>
      <c:layout>
        <c:manualLayout>
          <c:xMode val="edge"/>
          <c:yMode val="edge"/>
          <c:x val="0.36602829385830477"/>
          <c:y val="0.79432465620289705"/>
          <c:w val="0.53608388331677281"/>
          <c:h val="6.7710327783306462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bg1">
          <a:lumMod val="85000"/>
        </a:schemeClr>
      </a:solid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userShapes r:id="rId4"/>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0"/>
      <c:rotY val="40"/>
      <c:depthPercent val="100"/>
      <c:rAngAx val="1"/>
    </c:view3D>
    <c:floor>
      <c:thickness val="0"/>
      <c:spPr>
        <a:solidFill>
          <a:schemeClr val="bg1">
            <a:lumMod val="95000"/>
          </a:schemeClr>
        </a:solid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'1'!$B$13</c:f>
              <c:strCache>
                <c:ptCount val="1"/>
                <c:pt idx="0">
                  <c:v>Π/Υ ΔΑΠΑΝΗ ΚΕΝΤΡΙΚΗΣ ΔΙΟΙΚΗΣΗΣ</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invertIfNegative val="0"/>
          <c:dLbls>
            <c:dLbl>
              <c:idx val="2"/>
              <c:layout>
                <c:manualLayout>
                  <c:x val="6.57697979391266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52-46F5-83C3-03476426CF7F}"/>
                </c:ext>
              </c:extLst>
            </c:dLbl>
            <c:dLbl>
              <c:idx val="3"/>
              <c:layout>
                <c:manualLayout>
                  <c:x val="8.370701555888857E-2"/>
                  <c:y val="-5.58464161991544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52-46F5-83C3-03476426CF7F}"/>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ΕΠΙΤΕΛΙΚΟΣ ΣΥΝΤΟΝΙΣΜΟΣ ΚΑΙ ΕΠΕΝΔΥΣΕΙΣ ΥΠΟΥΡΓΕΙΟΥ ΚΛΙΜΑΤΙΚΗΣ ΚΡΙΣΗΣ ΚΑΙ ΠΟΛΙΤΙΚΗΣ ΠΡΟΣΤΑΣΙΑΣ</c:v>
                </c:pt>
                <c:pt idx="1">
                  <c:v>ΠΟΛΙΤΙΚΗ ΠΡΟΣΤΑΣΙΑ</c:v>
                </c:pt>
                <c:pt idx="2">
                  <c:v>ΠΥΡΟΣΒΕΣΤΙΚΕΣ ΥΠΗΡΕΣΙΕΣ ΚΑΙ ΑΝΤΙΜΕΤΩΠΙΣΗ ΚΑΤΑΣΤΡΟΦΩΝ</c:v>
                </c:pt>
                <c:pt idx="3">
                  <c:v>ΕΚΠΑΙΔΕΥΣΗ ΠΥΡΟΣΒΕΣΤΙΚΟΥ ΣΩΜΑΤΟΣ</c:v>
                </c:pt>
                <c:pt idx="4">
                  <c:v>ΑΝΤΙΜΕΤΩΠΙΣΗ ΕΠΙΠΤΩΣΕΩΝ ΦΥΣΙΚΩΝ ΚΑΤΑΣΤΡΟΦΩΝ ΚΑΙ ΚΡΑΤΙΚΗ ΑΡΩΓΗ</c:v>
                </c:pt>
              </c:strCache>
            </c:strRef>
          </c:cat>
          <c:val>
            <c:numRef>
              <c:f>'1'!$B$14:$B$18</c:f>
              <c:numCache>
                <c:formatCode>#,##0\ "€"</c:formatCode>
                <c:ptCount val="5"/>
                <c:pt idx="0">
                  <c:v>7533107.1900000004</c:v>
                </c:pt>
                <c:pt idx="1">
                  <c:v>206773227.31999999</c:v>
                </c:pt>
                <c:pt idx="2">
                  <c:v>969181162.65999997</c:v>
                </c:pt>
                <c:pt idx="3">
                  <c:v>16422534.970000001</c:v>
                </c:pt>
                <c:pt idx="4">
                  <c:v>146817625</c:v>
                </c:pt>
              </c:numCache>
            </c:numRef>
          </c:val>
          <c:extLst>
            <c:ext xmlns:c16="http://schemas.microsoft.com/office/drawing/2014/chart" uri="{C3380CC4-5D6E-409C-BE32-E72D297353CC}">
              <c16:uniqueId val="{00000002-2352-46F5-83C3-03476426CF7F}"/>
            </c:ext>
          </c:extLst>
        </c:ser>
        <c:ser>
          <c:idx val="1"/>
          <c:order val="1"/>
          <c:tx>
            <c:strRef>
              <c:f>'1'!$C$13</c:f>
              <c:strCache>
                <c:ptCount val="1"/>
                <c:pt idx="0">
                  <c:v>Π/Υ ΔΑΠΑΝΗ ΛΟΙΠΩΝ ΦΟΡΕΩΝ Γ.Κ.</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2352-46F5-83C3-03476426CF7F}"/>
                </c:ext>
              </c:extLst>
            </c:dLbl>
            <c:dLbl>
              <c:idx val="2"/>
              <c:delete val="1"/>
              <c:extLst>
                <c:ext xmlns:c15="http://schemas.microsoft.com/office/drawing/2012/chart" uri="{CE6537A1-D6FC-4f65-9D91-7224C49458BB}"/>
                <c:ext xmlns:c16="http://schemas.microsoft.com/office/drawing/2014/chart" uri="{C3380CC4-5D6E-409C-BE32-E72D297353CC}">
                  <c16:uniqueId val="{00000004-2352-46F5-83C3-03476426CF7F}"/>
                </c:ext>
              </c:extLst>
            </c:dLbl>
            <c:dLbl>
              <c:idx val="3"/>
              <c:delete val="1"/>
              <c:extLst>
                <c:ext xmlns:c15="http://schemas.microsoft.com/office/drawing/2012/chart" uri="{CE6537A1-D6FC-4f65-9D91-7224C49458BB}"/>
                <c:ext xmlns:c16="http://schemas.microsoft.com/office/drawing/2014/chart" uri="{C3380CC4-5D6E-409C-BE32-E72D297353CC}">
                  <c16:uniqueId val="{00000005-2352-46F5-83C3-03476426CF7F}"/>
                </c:ext>
              </c:extLst>
            </c:dLbl>
            <c:dLbl>
              <c:idx val="4"/>
              <c:delete val="1"/>
              <c:extLst>
                <c:ext xmlns:c15="http://schemas.microsoft.com/office/drawing/2012/chart" uri="{CE6537A1-D6FC-4f65-9D91-7224C49458BB}"/>
                <c:ext xmlns:c16="http://schemas.microsoft.com/office/drawing/2014/chart" uri="{C3380CC4-5D6E-409C-BE32-E72D297353CC}">
                  <c16:uniqueId val="{00000006-2352-46F5-83C3-03476426CF7F}"/>
                </c:ext>
              </c:extLst>
            </c:dLbl>
            <c:numFmt formatCode="_(&quot;€&quot;* #,##0_);_(&quot;€&quot;* \(#,##0\);_(&quot;€&quot;* &quot;-&quot;_);_(@_)"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'1'!$A$14:$A$18</c:f>
              <c:strCache>
                <c:ptCount val="5"/>
                <c:pt idx="0">
                  <c:v>ΕΠΙΤΕΛΙΚΟΣ ΣΥΝΤΟΝΙΣΜΟΣ ΚΑΙ ΕΠΕΝΔΥΣΕΙΣ ΥΠΟΥΡΓΕΙΟΥ ΚΛΙΜΑΤΙΚΗΣ ΚΡΙΣΗΣ ΚΑΙ ΠΟΛΙΤΙΚΗΣ ΠΡΟΣΤΑΣΙΑΣ</c:v>
                </c:pt>
                <c:pt idx="1">
                  <c:v>ΠΟΛΙΤΙΚΗ ΠΡΟΣΤΑΣΙΑ</c:v>
                </c:pt>
                <c:pt idx="2">
                  <c:v>ΠΥΡΟΣΒΕΣΤΙΚΕΣ ΥΠΗΡΕΣΙΕΣ ΚΑΙ ΑΝΤΙΜΕΤΩΠΙΣΗ ΚΑΤΑΣΤΡΟΦΩΝ</c:v>
                </c:pt>
                <c:pt idx="3">
                  <c:v>ΕΚΠΑΙΔΕΥΣΗ ΠΥΡΟΣΒΕΣΤΙΚΟΥ ΣΩΜΑΤΟΣ</c:v>
                </c:pt>
                <c:pt idx="4">
                  <c:v>ΑΝΤΙΜΕΤΩΠΙΣΗ ΕΠΙΠΤΩΣΕΩΝ ΦΥΣΙΚΩΝ ΚΑΤΑΣΤΡΟΦΩΝ ΚΑΙ ΚΡΑΤΙΚΗ ΑΡΩΓΗ</c:v>
                </c:pt>
              </c:strCache>
            </c:strRef>
          </c:cat>
          <c:val>
            <c:numRef>
              <c:f>'1'!$C$14:$C$18</c:f>
              <c:numCache>
                <c:formatCode>#,##0\ "€"</c:formatCode>
                <c:ptCount val="5"/>
                <c:pt idx="0">
                  <c:v>0</c:v>
                </c:pt>
                <c:pt idx="1">
                  <c:v>3165500</c:v>
                </c:pt>
                <c:pt idx="2">
                  <c:v>0</c:v>
                </c:pt>
                <c:pt idx="3">
                  <c:v>0</c:v>
                </c:pt>
                <c:pt idx="4">
                  <c:v>0</c:v>
                </c:pt>
              </c:numCache>
            </c:numRef>
          </c:val>
          <c:extLst>
            <c:ext xmlns:c16="http://schemas.microsoft.com/office/drawing/2014/chart" uri="{C3380CC4-5D6E-409C-BE32-E72D297353CC}">
              <c16:uniqueId val="{00000007-2352-46F5-83C3-03476426CF7F}"/>
            </c:ext>
          </c:extLst>
        </c:ser>
        <c:dLbls>
          <c:showLegendKey val="0"/>
          <c:showVal val="0"/>
          <c:showCatName val="0"/>
          <c:showSerName val="0"/>
          <c:showPercent val="0"/>
          <c:showBubbleSize val="0"/>
        </c:dLbls>
        <c:gapWidth val="84"/>
        <c:shape val="box"/>
        <c:axId val="325772143"/>
        <c:axId val="422940559"/>
        <c:axId val="0"/>
      </c:bar3DChart>
      <c:catAx>
        <c:axId val="325772143"/>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422940559"/>
        <c:crosses val="autoZero"/>
        <c:auto val="1"/>
        <c:lblAlgn val="ctr"/>
        <c:lblOffset val="100"/>
        <c:noMultiLvlLbl val="0"/>
      </c:catAx>
      <c:valAx>
        <c:axId val="422940559"/>
        <c:scaling>
          <c:orientation val="minMax"/>
        </c:scaling>
        <c:delete val="1"/>
        <c:axPos val="b"/>
        <c:majorGridlines>
          <c:spPr>
            <a:ln w="9525" cap="flat" cmpd="sng" algn="ctr">
              <a:noFill/>
              <a:round/>
            </a:ln>
            <a:effectLst/>
          </c:spPr>
        </c:majorGridlines>
        <c:numFmt formatCode="#,##0" sourceLinked="0"/>
        <c:majorTickMark val="none"/>
        <c:minorTickMark val="none"/>
        <c:tickLblPos val="nextTo"/>
        <c:crossAx val="3257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511303295373823E-2"/>
          <c:y val="0.18578420940625665"/>
          <c:w val="0.86477322221234521"/>
          <c:h val="0.73467391514635605"/>
        </c:manualLayout>
      </c:layout>
      <c:pie3DChart>
        <c:varyColors val="1"/>
        <c:ser>
          <c:idx val="0"/>
          <c:order val="0"/>
          <c:tx>
            <c:strRef>
              <c:f>'1'!$B$22:$B$23</c:f>
              <c:strCache>
                <c:ptCount val="2"/>
                <c:pt idx="0">
                  <c:v>Ανθρώπινοι Πόροι ανά Πρόγραμμα </c:v>
                </c:pt>
                <c:pt idx="1">
                  <c:v>ΠΡΟΣΩΠΙΚΟ 2026</c:v>
                </c:pt>
              </c:strCache>
            </c:strRef>
          </c:tx>
          <c:dPt>
            <c:idx val="0"/>
            <c:bubble3D val="0"/>
            <c:explosion val="19"/>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1F75-496B-99B6-E6F9D274F755}"/>
              </c:ext>
            </c:extLst>
          </c:dPt>
          <c:dPt>
            <c:idx val="1"/>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1F75-496B-99B6-E6F9D274F755}"/>
              </c:ext>
            </c:extLst>
          </c:dPt>
          <c:dPt>
            <c:idx val="2"/>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1F75-496B-99B6-E6F9D274F755}"/>
              </c:ext>
            </c:extLst>
          </c:dPt>
          <c:dPt>
            <c:idx val="3"/>
            <c:bubble3D val="0"/>
            <c:explosion val="16"/>
            <c:spPr>
              <a:gradFill rotWithShape="1">
                <a:gsLst>
                  <a:gs pos="0">
                    <a:schemeClr val="accent1">
                      <a:tint val="58000"/>
                      <a:satMod val="103000"/>
                      <a:lumMod val="102000"/>
                      <a:tint val="94000"/>
                    </a:schemeClr>
                  </a:gs>
                  <a:gs pos="50000">
                    <a:schemeClr val="accent1">
                      <a:tint val="58000"/>
                      <a:satMod val="110000"/>
                      <a:lumMod val="100000"/>
                      <a:shade val="100000"/>
                    </a:schemeClr>
                  </a:gs>
                  <a:gs pos="100000">
                    <a:schemeClr val="accent1">
                      <a:tint val="58000"/>
                      <a:lumMod val="99000"/>
                      <a:satMod val="120000"/>
                      <a:shade val="78000"/>
                    </a:schemeClr>
                  </a:gs>
                </a:gsLst>
                <a:lin ang="5400000" scaled="0"/>
              </a:gradFill>
              <a:ln>
                <a:noFill/>
              </a:ln>
              <a:effectLst/>
              <a:sp3d/>
            </c:spPr>
            <c:extLst>
              <c:ext xmlns:c16="http://schemas.microsoft.com/office/drawing/2014/chart" uri="{C3380CC4-5D6E-409C-BE32-E72D297353CC}">
                <c16:uniqueId val="{00000007-1F75-496B-99B6-E6F9D274F755}"/>
              </c:ext>
            </c:extLst>
          </c:dPt>
          <c:dPt>
            <c:idx val="4"/>
            <c:bubble3D val="0"/>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a:sp3d/>
            </c:spPr>
            <c:extLst>
              <c:ext xmlns:c16="http://schemas.microsoft.com/office/drawing/2014/chart" uri="{C3380CC4-5D6E-409C-BE32-E72D297353CC}">
                <c16:uniqueId val="{00000009-1F75-496B-99B6-E6F9D274F755}"/>
              </c:ext>
            </c:extLst>
          </c:dPt>
          <c:dLbls>
            <c:dLbl>
              <c:idx val="0"/>
              <c:layout>
                <c:manualLayout>
                  <c:x val="0.21371450398909608"/>
                  <c:y val="-6.814814814814816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9115766262403525"/>
                      <c:h val="0.21540740740740735"/>
                    </c:manualLayout>
                  </c15:layout>
                </c:ext>
                <c:ext xmlns:c16="http://schemas.microsoft.com/office/drawing/2014/chart" uri="{C3380CC4-5D6E-409C-BE32-E72D297353CC}">
                  <c16:uniqueId val="{00000001-1F75-496B-99B6-E6F9D274F755}"/>
                </c:ext>
              </c:extLst>
            </c:dLbl>
            <c:dLbl>
              <c:idx val="1"/>
              <c:layout>
                <c:manualLayout>
                  <c:x val="0.11619529642587399"/>
                  <c:y val="0.1556642752989208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F75-496B-99B6-E6F9D274F755}"/>
                </c:ext>
              </c:extLst>
            </c:dLbl>
            <c:dLbl>
              <c:idx val="2"/>
              <c:layout>
                <c:manualLayout>
                  <c:x val="0.41286720086119333"/>
                  <c:y val="-4.2601341498990159E-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1F75-496B-99B6-E6F9D274F755}"/>
                </c:ext>
              </c:extLst>
            </c:dLbl>
            <c:dLbl>
              <c:idx val="3"/>
              <c:layout>
                <c:manualLayout>
                  <c:x val="-0.18622580373021497"/>
                  <c:y val="0.24115111589757254"/>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524364305619461"/>
                      <c:h val="0.20686334208223975"/>
                    </c:manualLayout>
                  </c15:layout>
                </c:ext>
                <c:ext xmlns:c16="http://schemas.microsoft.com/office/drawing/2014/chart" uri="{C3380CC4-5D6E-409C-BE32-E72D297353CC}">
                  <c16:uniqueId val="{00000007-1F75-496B-99B6-E6F9D274F755}"/>
                </c:ext>
              </c:extLst>
            </c:dLbl>
            <c:dLbl>
              <c:idx val="4"/>
              <c:layout>
                <c:manualLayout>
                  <c:x val="-0.16921094896214048"/>
                  <c:y val="-1.663925342665500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1F75-496B-99B6-E6F9D274F75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'1'!$A$24:$A$28</c:f>
              <c:strCache>
                <c:ptCount val="5"/>
                <c:pt idx="0">
                  <c:v>ΕΠΙΤΕΛΙΚΟΣ ΣΥΝΤΟΝΙΣΜΟΣ ΚΑΙ ΕΠΕΝΔΥΣΕΙΣ ΥΠΟΥΡΓΕΙΟΥ ΚΛΙΜΑΤΙΚΗΣ ΚΡΙΣΗΣ ΚΑΙ ΠΟΛΙΤΙΚΗΣ ΠΡΟΣΤΑΣΙΑΣ</c:v>
                </c:pt>
                <c:pt idx="1">
                  <c:v>ΠΟΛΙΤΙΚΗ ΠΡΟΣΤΑΣΙΑ</c:v>
                </c:pt>
                <c:pt idx="2">
                  <c:v>ΠΥΡΟΣΒΕΣΤΙΚΕΣ ΥΠΗΡΕΣΙΕΣ ΚΑΙ ΑΝΤΙΜΕΤΩΠΙΣΗ ΚΑΤΑΣΤΡΟΦΩΝ</c:v>
                </c:pt>
                <c:pt idx="3">
                  <c:v>ΕΚΠΑΙΔΕΥΣΗ ΠΥΡΟΣΒΕΣΤΙΚΟΥ ΣΩΜΑΤΟΣ</c:v>
                </c:pt>
                <c:pt idx="4">
                  <c:v>ΑΝΤΙΜΕΤΩΠΙΣΗ ΕΠΙΠΤΩΣΕΩΝ ΦΥΣΙΚΩΝ ΚΑΤΑΣΤΡΟΦΩΝ ΚΑΙ ΚΡΑΤΙΚΗ ΑΡΩΓΗ</c:v>
                </c:pt>
              </c:strCache>
            </c:strRef>
          </c:cat>
          <c:val>
            <c:numRef>
              <c:f>'1'!$B$24:$B$28</c:f>
              <c:numCache>
                <c:formatCode>_-* #,##0\ _€_-;\-* #,##0\ _€_-;_-* "-"??\ _€_-;_-@_-</c:formatCode>
                <c:ptCount val="5"/>
                <c:pt idx="0">
                  <c:v>326</c:v>
                </c:pt>
                <c:pt idx="1">
                  <c:v>390</c:v>
                </c:pt>
                <c:pt idx="2">
                  <c:v>17462</c:v>
                </c:pt>
                <c:pt idx="3">
                  <c:v>177</c:v>
                </c:pt>
                <c:pt idx="4">
                  <c:v>431</c:v>
                </c:pt>
              </c:numCache>
            </c:numRef>
          </c:val>
          <c:extLst>
            <c:ext xmlns:c16="http://schemas.microsoft.com/office/drawing/2014/chart" uri="{C3380CC4-5D6E-409C-BE32-E72D297353CC}">
              <c16:uniqueId val="{0000000A-1F75-496B-99B6-E6F9D274F75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13204894842690118"/>
          <c:w val="0.92487043033623006"/>
          <c:h val="0.82200088625285472"/>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E83C-4D81-8CCB-43304535F384}"/>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E83C-4D81-8CCB-43304535F384}"/>
              </c:ext>
            </c:extLst>
          </c:dPt>
          <c:dPt>
            <c:idx val="2"/>
            <c:bubble3D val="0"/>
            <c:explosion val="12"/>
            <c:spPr>
              <a:solidFill>
                <a:schemeClr val="accent1">
                  <a:lumMod val="60000"/>
                  <a:lumOff val="40000"/>
                </a:schemeClr>
              </a:solidFill>
              <a:ln>
                <a:noFill/>
              </a:ln>
              <a:effectLst/>
              <a:sp3d/>
            </c:spPr>
            <c:extLst>
              <c:ext xmlns:c16="http://schemas.microsoft.com/office/drawing/2014/chart" uri="{C3380CC4-5D6E-409C-BE32-E72D297353CC}">
                <c16:uniqueId val="{00000005-E83C-4D81-8CCB-43304535F384}"/>
              </c:ext>
            </c:extLst>
          </c:dPt>
          <c:dLbls>
            <c:dLbl>
              <c:idx val="0"/>
              <c:layout>
                <c:manualLayout>
                  <c:x val="7.0120933800730936E-2"/>
                  <c:y val="-0.1254664979834609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E83C-4D81-8CCB-43304535F384}"/>
                </c:ext>
              </c:extLst>
            </c:dLbl>
            <c:dLbl>
              <c:idx val="1"/>
              <c:layout>
                <c:manualLayout>
                  <c:x val="-1.0388622275360471E-2"/>
                  <c:y val="8.520107701616108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2804555990589385"/>
                      <c:h val="0.27607084547502425"/>
                    </c:manualLayout>
                  </c15:layout>
                </c:ext>
                <c:ext xmlns:c16="http://schemas.microsoft.com/office/drawing/2014/chart" uri="{C3380CC4-5D6E-409C-BE32-E72D297353CC}">
                  <c16:uniqueId val="{00000003-E83C-4D81-8CCB-43304535F384}"/>
                </c:ext>
              </c:extLst>
            </c:dLbl>
            <c:dLbl>
              <c:idx val="2"/>
              <c:layout>
                <c:manualLayout>
                  <c:x val="-7.7670818721872079E-2"/>
                  <c:y val="-4.548368657246754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547144258566353"/>
                      <c:h val="0.31214524630702156"/>
                    </c:manualLayout>
                  </c15:layout>
                </c:ext>
                <c:ext xmlns:c16="http://schemas.microsoft.com/office/drawing/2014/chart" uri="{C3380CC4-5D6E-409C-BE32-E72D297353CC}">
                  <c16:uniqueId val="{00000005-E83C-4D81-8CCB-43304535F384}"/>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'1'!$A$4:$A$6</c:f>
              <c:strCache>
                <c:ptCount val="3"/>
                <c:pt idx="0">
                  <c:v>ΕΠΙΤΕΛΙΚΟΣ ΣΥΝΤΟΝΙΣΜΟΣ Α.Δ.Α.</c:v>
                </c:pt>
                <c:pt idx="1">
                  <c:v>ΔΙΑΧΕΙΡΙΣΗ ΘΕΜΑΤΩΝ ΑΛΛΟΔΑΠΩΝ ΚΑΙ ΑΣΤΙΚΗΣ ΚΑΤΑΣΤΑΣΗΣ Α.Δ.Α.</c:v>
                </c:pt>
                <c:pt idx="2">
                  <c:v>ΦΥΣΙΚΟ ΚΑΙ ΑΣΤΙΚΟ ΠΕΡΙΒΑΛΛΟΝ Α.Δ.Α.</c:v>
                </c:pt>
              </c:strCache>
            </c:strRef>
          </c:cat>
          <c:val>
            <c:numRef>
              <c:f>'1'!$B$4:$B$6</c:f>
              <c:numCache>
                <c:formatCode>#,##0\ "€"</c:formatCode>
                <c:ptCount val="3"/>
                <c:pt idx="0">
                  <c:v>7129500</c:v>
                </c:pt>
                <c:pt idx="1">
                  <c:v>4378500</c:v>
                </c:pt>
                <c:pt idx="2">
                  <c:v>2872000</c:v>
                </c:pt>
              </c:numCache>
            </c:numRef>
          </c:val>
          <c:extLst>
            <c:ext xmlns:c16="http://schemas.microsoft.com/office/drawing/2014/chart" uri="{C3380CC4-5D6E-409C-BE32-E72D297353CC}">
              <c16:uniqueId val="{00000006-E83C-4D81-8CCB-43304535F384}"/>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487946367999513E-2"/>
          <c:y val="0.1784100908249778"/>
          <c:w val="0.96212993540050562"/>
          <c:h val="0.82067259578164242"/>
        </c:manualLayout>
      </c:layout>
      <c:pie3DChart>
        <c:varyColors val="1"/>
        <c:ser>
          <c:idx val="0"/>
          <c:order val="0"/>
          <c:tx>
            <c:strRef>
              <c:f>'1'!$B$18:$B$19</c:f>
              <c:strCache>
                <c:ptCount val="2"/>
                <c:pt idx="0">
                  <c:v>Ανθρώπινοι Πόροι ανά Πρόγραμμα </c:v>
                </c:pt>
                <c:pt idx="1">
                  <c:v>ΠΡΟΣΩΠΙΚΟ 2026</c:v>
                </c:pt>
              </c:strCache>
            </c:strRef>
          </c:tx>
          <c:dPt>
            <c:idx val="0"/>
            <c:bubble3D val="0"/>
            <c:explosion val="1"/>
            <c:spPr>
              <a:solidFill>
                <a:schemeClr val="accent5">
                  <a:lumMod val="75000"/>
                </a:schemeClr>
              </a:solidFill>
              <a:ln>
                <a:noFill/>
              </a:ln>
              <a:effectLst/>
              <a:sp3d/>
            </c:spPr>
            <c:extLst>
              <c:ext xmlns:c16="http://schemas.microsoft.com/office/drawing/2014/chart" uri="{C3380CC4-5D6E-409C-BE32-E72D297353CC}">
                <c16:uniqueId val="{00000001-4B7F-4617-A483-EADF01DE946D}"/>
              </c:ext>
            </c:extLst>
          </c:dPt>
          <c:dPt>
            <c:idx val="1"/>
            <c:bubble3D val="0"/>
            <c:explosion val="22"/>
            <c:spPr>
              <a:gradFill rotWithShape="1">
                <a:gsLst>
                  <a:gs pos="0">
                    <a:schemeClr val="accent1">
                      <a:shade val="70000"/>
                      <a:satMod val="103000"/>
                      <a:lumMod val="102000"/>
                      <a:tint val="94000"/>
                    </a:schemeClr>
                  </a:gs>
                  <a:gs pos="50000">
                    <a:schemeClr val="accent1">
                      <a:shade val="70000"/>
                      <a:satMod val="110000"/>
                      <a:lumMod val="100000"/>
                      <a:shade val="100000"/>
                    </a:schemeClr>
                  </a:gs>
                  <a:gs pos="100000">
                    <a:schemeClr val="accent1">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3-4B7F-4617-A483-EADF01DE946D}"/>
              </c:ext>
            </c:extLst>
          </c:dPt>
          <c:dPt>
            <c:idx val="2"/>
            <c:bubble3D val="0"/>
            <c:explosion val="22"/>
            <c:spPr>
              <a:solidFill>
                <a:schemeClr val="accent5">
                  <a:lumMod val="60000"/>
                  <a:lumOff val="40000"/>
                </a:schemeClr>
              </a:solidFill>
              <a:ln>
                <a:noFill/>
              </a:ln>
              <a:effectLst/>
              <a:sp3d/>
            </c:spPr>
            <c:extLst>
              <c:ext xmlns:c16="http://schemas.microsoft.com/office/drawing/2014/chart" uri="{C3380CC4-5D6E-409C-BE32-E72D297353CC}">
                <c16:uniqueId val="{00000005-4B7F-4617-A483-EADF01DE946D}"/>
              </c:ext>
            </c:extLst>
          </c:dPt>
          <c:dLbls>
            <c:dLbl>
              <c:idx val="0"/>
              <c:layout>
                <c:manualLayout>
                  <c:x val="6.8484634896906663E-2"/>
                  <c:y val="-6.025982363715327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B7F-4617-A483-EADF01DE946D}"/>
                </c:ext>
              </c:extLst>
            </c:dLbl>
            <c:dLbl>
              <c:idx val="1"/>
              <c:layout>
                <c:manualLayout>
                  <c:x val="-8.8129205503767183E-2"/>
                  <c:y val="-7.194244604316556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B7F-4617-A483-EADF01DE946D}"/>
                </c:ext>
              </c:extLst>
            </c:dLbl>
            <c:dLbl>
              <c:idx val="2"/>
              <c:layout>
                <c:manualLayout>
                  <c:x val="-9.8147432876999591E-2"/>
                  <c:y val="-6.264959685794671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B7F-4617-A483-EADF01DE946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'1'!$A$20:$A$22</c:f>
              <c:strCache>
                <c:ptCount val="3"/>
                <c:pt idx="0">
                  <c:v>ΕΠΙΤΕΛΙΚΟΣ ΣΥΝΤΟΝΙΣΜΟΣ Α.Δ.Α.</c:v>
                </c:pt>
                <c:pt idx="1">
                  <c:v>ΔΙΑΧΕΙΡΙΣΗ ΘΕΜΑΤΩΝ ΑΛΛΟΔΑΠΩΝ ΚΑΙ ΑΣΤΙΚΗΣ ΚΑΤΑΣΤΑΣΗΣ Α.Δ.Α.</c:v>
                </c:pt>
                <c:pt idx="2">
                  <c:v>ΦΥΣΙΚΟ ΚΑΙ ΑΣΤΙΚΟ ΠΕΡΙΒΑΛΛΟΝ Α.Δ.Α.</c:v>
                </c:pt>
              </c:strCache>
            </c:strRef>
          </c:cat>
          <c:val>
            <c:numRef>
              <c:f>'1'!$B$20:$B$22</c:f>
              <c:numCache>
                <c:formatCode>_-* #,##0\ _€_-;\-* #,##0\ _€_-;_-* "-"??\ _€_-;_-@_-</c:formatCode>
                <c:ptCount val="3"/>
                <c:pt idx="0">
                  <c:v>145</c:v>
                </c:pt>
                <c:pt idx="1">
                  <c:v>230</c:v>
                </c:pt>
                <c:pt idx="2">
                  <c:v>70</c:v>
                </c:pt>
              </c:numCache>
            </c:numRef>
          </c:val>
          <c:extLst>
            <c:ext xmlns:c16="http://schemas.microsoft.com/office/drawing/2014/chart" uri="{C3380CC4-5D6E-409C-BE32-E72D297353CC}">
              <c16:uniqueId val="{00000006-4B7F-4617-A483-EADF01DE946D}"/>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5C42-4C34-B0F7-9C4353CADEF1}"/>
              </c:ext>
            </c:extLst>
          </c:dPt>
          <c:dPt>
            <c:idx val="1"/>
            <c:bubble3D val="0"/>
            <c:explosion val="6"/>
            <c:spPr>
              <a:solidFill>
                <a:schemeClr val="accent1">
                  <a:lumMod val="60000"/>
                  <a:lumOff val="40000"/>
                </a:schemeClr>
              </a:solidFill>
              <a:ln>
                <a:noFill/>
              </a:ln>
              <a:effectLst/>
              <a:sp3d/>
            </c:spPr>
            <c:extLst>
              <c:ext xmlns:c16="http://schemas.microsoft.com/office/drawing/2014/chart" uri="{C3380CC4-5D6E-409C-BE32-E72D297353CC}">
                <c16:uniqueId val="{00000003-5C42-4C34-B0F7-9C4353CADEF1}"/>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5C42-4C34-B0F7-9C4353CADEF1}"/>
              </c:ext>
            </c:extLst>
          </c:dPt>
          <c:dLbls>
            <c:dLbl>
              <c:idx val="0"/>
              <c:layout>
                <c:manualLayout>
                  <c:x val="4.9457911130526819E-2"/>
                  <c:y val="-0.2617332150408299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C42-4C34-B0F7-9C4353CADEF1}"/>
                </c:ext>
              </c:extLst>
            </c:dLbl>
            <c:dLbl>
              <c:idx val="1"/>
              <c:layout>
                <c:manualLayout>
                  <c:x val="-6.2408660351826843E-2"/>
                  <c:y val="-5.052628228675863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C42-4C34-B0F7-9C4353CADEF1}"/>
                </c:ext>
              </c:extLst>
            </c:dLbl>
            <c:dLbl>
              <c:idx val="2"/>
              <c:layout>
                <c:manualLayout>
                  <c:x val="-0.10794270472618528"/>
                  <c:y val="-0.1193812718565955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C42-4C34-B0F7-9C4353CADEF1}"/>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'1'!$A$4:$A$6</c:f>
              <c:strCache>
                <c:ptCount val="3"/>
                <c:pt idx="0">
                  <c:v>ΕΠΙΤΕΛΙΚΟΣ ΣΥΝΤΟΝΙΣΜΟΣ Α.Δ.Θ.Σ.Ε.</c:v>
                </c:pt>
                <c:pt idx="1">
                  <c:v>ΔΙΑΧΕΙΡΙΣΗ ΘΕΜΑΤΩΝ ΑΛΛΟΔΑΠΩΝ ΚΑΙ ΑΣΤΙΚΗΣ ΚΑΤΑΣΤΑΣΗΣ Α.Δ.Θ.Σ.Ε.</c:v>
                </c:pt>
                <c:pt idx="2">
                  <c:v>ΦΥΣΙΚΟ ΚΑΙ ΑΣΤΙΚΟ ΠΕΡΙΒΑΛΛΟΝ Α.Δ.Θ.Σ.Ε.</c:v>
                </c:pt>
              </c:strCache>
            </c:strRef>
          </c:cat>
          <c:val>
            <c:numRef>
              <c:f>'1'!$B$4:$B$6</c:f>
              <c:numCache>
                <c:formatCode>#,##0\ "€"</c:formatCode>
                <c:ptCount val="3"/>
                <c:pt idx="0">
                  <c:v>5689690</c:v>
                </c:pt>
                <c:pt idx="1">
                  <c:v>2886310</c:v>
                </c:pt>
                <c:pt idx="2">
                  <c:v>2566000</c:v>
                </c:pt>
              </c:numCache>
            </c:numRef>
          </c:val>
          <c:extLst>
            <c:ext xmlns:c16="http://schemas.microsoft.com/office/drawing/2014/chart" uri="{C3380CC4-5D6E-409C-BE32-E72D297353CC}">
              <c16:uniqueId val="{00000006-5C42-4C34-B0F7-9C4353CADEF1}"/>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71865061562017E-2"/>
          <c:y val="0.20718706924224395"/>
          <c:w val="0.93189923115288475"/>
          <c:h val="0.79189561736437619"/>
        </c:manualLayout>
      </c:layout>
      <c:pie3DChart>
        <c:varyColors val="1"/>
        <c:ser>
          <c:idx val="0"/>
          <c:order val="0"/>
          <c:tx>
            <c:strRef>
              <c:f>'1'!$B$18:$B$19</c:f>
              <c:strCache>
                <c:ptCount val="2"/>
                <c:pt idx="0">
                  <c:v>Ανθρώπινοι Πόροι ανά Πρόγραμμα </c:v>
                </c:pt>
                <c:pt idx="1">
                  <c:v>ΠΡΟΣΩΠΙΚΟ 2026</c:v>
                </c:pt>
              </c:strCache>
            </c:strRef>
          </c:tx>
          <c:dPt>
            <c:idx val="0"/>
            <c:bubble3D val="0"/>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6271-4513-A050-B834824D7C67}"/>
              </c:ext>
            </c:extLst>
          </c:dPt>
          <c:dPt>
            <c:idx val="1"/>
            <c:bubble3D val="0"/>
            <c:explosion val="22"/>
            <c:spPr>
              <a:solidFill>
                <a:schemeClr val="accent1">
                  <a:lumMod val="60000"/>
                  <a:lumOff val="40000"/>
                </a:schemeClr>
              </a:solidFill>
              <a:ln>
                <a:noFill/>
              </a:ln>
              <a:effectLst/>
              <a:sp3d/>
            </c:spPr>
            <c:extLst>
              <c:ext xmlns:c16="http://schemas.microsoft.com/office/drawing/2014/chart" uri="{C3380CC4-5D6E-409C-BE32-E72D297353CC}">
                <c16:uniqueId val="{00000003-6271-4513-A050-B834824D7C67}"/>
              </c:ext>
            </c:extLst>
          </c:dPt>
          <c:dPt>
            <c:idx val="2"/>
            <c:bubble3D val="0"/>
            <c:explosion val="22"/>
            <c:spPr>
              <a:gradFill rotWithShape="1">
                <a:gsLst>
                  <a:gs pos="0">
                    <a:schemeClr val="accent1">
                      <a:shade val="90000"/>
                      <a:satMod val="103000"/>
                      <a:lumMod val="102000"/>
                      <a:tint val="94000"/>
                    </a:schemeClr>
                  </a:gs>
                  <a:gs pos="50000">
                    <a:schemeClr val="accent1">
                      <a:shade val="90000"/>
                      <a:satMod val="110000"/>
                      <a:lumMod val="100000"/>
                      <a:shade val="100000"/>
                    </a:schemeClr>
                  </a:gs>
                  <a:gs pos="100000">
                    <a:schemeClr val="accent1">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5-6271-4513-A050-B834824D7C67}"/>
              </c:ext>
            </c:extLst>
          </c:dPt>
          <c:dLbls>
            <c:dLbl>
              <c:idx val="0"/>
              <c:layout>
                <c:manualLayout>
                  <c:x val="0.1464598589832482"/>
                  <c:y val="-6.02597048487491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271-4513-A050-B834824D7C67}"/>
                </c:ext>
              </c:extLst>
            </c:dLbl>
            <c:dLbl>
              <c:idx val="1"/>
              <c:layout>
                <c:manualLayout>
                  <c:x val="-0.16885206052661278"/>
                  <c:y val="-2.521764968058253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271-4513-A050-B834824D7C67}"/>
                </c:ext>
              </c:extLst>
            </c:dLbl>
            <c:dLbl>
              <c:idx val="2"/>
              <c:layout>
                <c:manualLayout>
                  <c:x val="-0.11880561384208146"/>
                  <c:y val="-1.465961445062488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9733481495628924"/>
                      <c:h val="0.2025792349726776"/>
                    </c:manualLayout>
                  </c15:layout>
                </c:ext>
                <c:ext xmlns:c16="http://schemas.microsoft.com/office/drawing/2014/chart" uri="{C3380CC4-5D6E-409C-BE32-E72D297353CC}">
                  <c16:uniqueId val="{00000005-6271-4513-A050-B834824D7C6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'1'!$A$20:$A$22</c:f>
              <c:strCache>
                <c:ptCount val="3"/>
                <c:pt idx="0">
                  <c:v>ΕΠΙΤΕΛΙΚΟΣ ΣΥΝΤΟΝΙΣΜΟΣ Α.Δ.Θ.Σ.Ε.</c:v>
                </c:pt>
                <c:pt idx="1">
                  <c:v>ΔΙΑΧΕΙΡΙΣΗ ΘΕΜΑΤΩΝ ΑΛΛΟΔΑΠΩΝ ΚΑΙ ΑΣΤΙΚΗΣ ΚΑΤΑΣΤΑΣΗΣ Α.Δ.Θ.Σ.Ε.</c:v>
                </c:pt>
                <c:pt idx="2">
                  <c:v>ΦΥΣΙΚΟ ΚΑΙ ΑΣΤΙΚΟ ΠΕΡΙΒΑΛΛΟΝ Α.Δ.Θ.Σ.Ε.</c:v>
                </c:pt>
              </c:strCache>
            </c:strRef>
          </c:cat>
          <c:val>
            <c:numRef>
              <c:f>'1'!$B$20:$B$22</c:f>
              <c:numCache>
                <c:formatCode>_-* #,##0\ _€_-;\-* #,##0\ _€_-;_-* "-"??\ _€_-;_-@_-</c:formatCode>
                <c:ptCount val="3"/>
                <c:pt idx="0">
                  <c:v>134</c:v>
                </c:pt>
                <c:pt idx="1">
                  <c:v>93</c:v>
                </c:pt>
                <c:pt idx="2">
                  <c:v>93</c:v>
                </c:pt>
              </c:numCache>
            </c:numRef>
          </c:val>
          <c:extLst>
            <c:ext xmlns:c16="http://schemas.microsoft.com/office/drawing/2014/chart" uri="{C3380CC4-5D6E-409C-BE32-E72D297353CC}">
              <c16:uniqueId val="{00000006-6271-4513-A050-B834824D7C67}"/>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7410-404D-877D-BEEF55375A3F}"/>
              </c:ext>
            </c:extLst>
          </c:dPt>
          <c:dPt>
            <c:idx val="1"/>
            <c:bubble3D val="0"/>
            <c:explosion val="6"/>
            <c:spPr>
              <a:solidFill>
                <a:schemeClr val="accent1">
                  <a:lumMod val="60000"/>
                  <a:lumOff val="40000"/>
                </a:schemeClr>
              </a:solidFill>
              <a:ln>
                <a:noFill/>
              </a:ln>
              <a:effectLst/>
              <a:sp3d/>
            </c:spPr>
            <c:extLst>
              <c:ext xmlns:c16="http://schemas.microsoft.com/office/drawing/2014/chart" uri="{C3380CC4-5D6E-409C-BE32-E72D297353CC}">
                <c16:uniqueId val="{00000003-7410-404D-877D-BEEF55375A3F}"/>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7410-404D-877D-BEEF55375A3F}"/>
              </c:ext>
            </c:extLst>
          </c:dPt>
          <c:dLbls>
            <c:dLbl>
              <c:idx val="0"/>
              <c:layout>
                <c:manualLayout>
                  <c:x val="-2.5464716098579695E-2"/>
                  <c:y val="-0.2728448838881585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7410-404D-877D-BEEF55375A3F}"/>
                </c:ext>
              </c:extLst>
            </c:dLbl>
            <c:dLbl>
              <c:idx val="1"/>
              <c:layout>
                <c:manualLayout>
                  <c:x val="-0.17866480306279245"/>
                  <c:y val="-1.7397980116297785E-1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7410-404D-877D-BEEF55375A3F}"/>
                </c:ext>
              </c:extLst>
            </c:dLbl>
            <c:dLbl>
              <c:idx val="2"/>
              <c:layout>
                <c:manualLayout>
                  <c:x val="-4.9031428581576164E-2"/>
                  <c:y val="-0.2117719855969692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7410-404D-877D-BEEF55375A3F}"/>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'1'!$A$4:$A$6</c:f>
              <c:strCache>
                <c:ptCount val="3"/>
                <c:pt idx="0">
                  <c:v>ΕΠΙΤΕΛΙΚΟΣ ΣΥΝΤΟΝΙΣΜΟΣ Α.Δ.Η.Δ.Μ.</c:v>
                </c:pt>
                <c:pt idx="1">
                  <c:v>ΔΙΑΧΕΙΡΙΣΗ ΘΕΜΑΤΩΝ ΑΛΛΟΔΑΠΩΝ ΚΑΙ ΑΣΤΙΚΗΣ ΚΑΤΑΣΤΑΣΗΣ Α.Δ.Η.Δ.Μ.</c:v>
                </c:pt>
                <c:pt idx="2">
                  <c:v>ΦΥΣΙΚΟ ΚΑΙ ΑΣΤΙΚΟ ΠΕΡΙΒΑΛΛΟΝ Α.Δ.Η.Δ.Μ.</c:v>
                </c:pt>
              </c:strCache>
            </c:strRef>
          </c:cat>
          <c:val>
            <c:numRef>
              <c:f>'1'!$B$4:$B$6</c:f>
              <c:numCache>
                <c:formatCode>#,##0\ "€"</c:formatCode>
                <c:ptCount val="3"/>
                <c:pt idx="0">
                  <c:v>5421170</c:v>
                </c:pt>
                <c:pt idx="1">
                  <c:v>1659830</c:v>
                </c:pt>
                <c:pt idx="2">
                  <c:v>3900000</c:v>
                </c:pt>
              </c:numCache>
            </c:numRef>
          </c:val>
          <c:extLst>
            <c:ext xmlns:c16="http://schemas.microsoft.com/office/drawing/2014/chart" uri="{C3380CC4-5D6E-409C-BE32-E72D297353CC}">
              <c16:uniqueId val="{00000006-7410-404D-877D-BEEF55375A3F}"/>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6487946367999513E-2"/>
          <c:y val="0.1784100908249778"/>
          <c:w val="0.96212993540050562"/>
          <c:h val="0.82067259578164242"/>
        </c:manualLayout>
      </c:layout>
      <c:pie3DChart>
        <c:varyColors val="1"/>
        <c:ser>
          <c:idx val="0"/>
          <c:order val="0"/>
          <c:tx>
            <c:strRef>
              <c:f>'1'!$B$18:$B$19</c:f>
              <c:strCache>
                <c:ptCount val="2"/>
                <c:pt idx="0">
                  <c:v>Ανθρώπινοι Πόροι ανά Πρόγραμμα </c:v>
                </c:pt>
                <c:pt idx="1">
                  <c:v>ΠΡΟΣΩΠΙΚΟ 2026</c:v>
                </c:pt>
              </c:strCache>
            </c:strRef>
          </c:tx>
          <c:dPt>
            <c:idx val="0"/>
            <c:bubble3D val="0"/>
            <c:explosion val="1"/>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44B9-49D9-8DC4-8DE435C30478}"/>
              </c:ext>
            </c:extLst>
          </c:dPt>
          <c:dPt>
            <c:idx val="1"/>
            <c:bubble3D val="0"/>
            <c:explosion val="22"/>
            <c:spPr>
              <a:solidFill>
                <a:schemeClr val="accent5">
                  <a:lumMod val="75000"/>
                </a:schemeClr>
              </a:solidFill>
              <a:ln>
                <a:noFill/>
              </a:ln>
              <a:effectLst/>
              <a:sp3d/>
            </c:spPr>
            <c:extLst>
              <c:ext xmlns:c16="http://schemas.microsoft.com/office/drawing/2014/chart" uri="{C3380CC4-5D6E-409C-BE32-E72D297353CC}">
                <c16:uniqueId val="{00000003-44B9-49D9-8DC4-8DE435C30478}"/>
              </c:ext>
            </c:extLst>
          </c:dPt>
          <c:dPt>
            <c:idx val="2"/>
            <c:bubble3D val="0"/>
            <c:explosion val="22"/>
            <c:spPr>
              <a:solidFill>
                <a:schemeClr val="accent1">
                  <a:lumMod val="60000"/>
                  <a:lumOff val="40000"/>
                </a:schemeClr>
              </a:solidFill>
              <a:ln>
                <a:noFill/>
              </a:ln>
              <a:effectLst/>
              <a:sp3d/>
            </c:spPr>
            <c:extLst>
              <c:ext xmlns:c16="http://schemas.microsoft.com/office/drawing/2014/chart" uri="{C3380CC4-5D6E-409C-BE32-E72D297353CC}">
                <c16:uniqueId val="{00000005-44B9-49D9-8DC4-8DE435C30478}"/>
              </c:ext>
            </c:extLst>
          </c:dPt>
          <c:dLbls>
            <c:dLbl>
              <c:idx val="0"/>
              <c:layout>
                <c:manualLayout>
                  <c:x val="5.4691390613648097E-2"/>
                  <c:y val="-0.16577541116712929"/>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4B9-49D9-8DC4-8DE435C30478}"/>
                </c:ext>
              </c:extLst>
            </c:dLbl>
            <c:dLbl>
              <c:idx val="1"/>
              <c:layout>
                <c:manualLayout>
                  <c:x val="-7.0627218834092051E-2"/>
                  <c:y val="-7.112634302007231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4B9-49D9-8DC4-8DE435C30478}"/>
                </c:ext>
              </c:extLst>
            </c:dLbl>
            <c:dLbl>
              <c:idx val="2"/>
              <c:layout>
                <c:manualLayout>
                  <c:x val="-9.8842501037653574E-2"/>
                  <c:y val="-5.785343378840237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44B9-49D9-8DC4-8DE435C30478}"/>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'1'!$A$20:$A$22</c:f>
              <c:strCache>
                <c:ptCount val="3"/>
                <c:pt idx="0">
                  <c:v>ΕΠΙΤΕΛΙΚΟΣ ΣΥΝΤΟΝΙΣΜΟΣ Α.Δ.Η.Δ.Μ.</c:v>
                </c:pt>
                <c:pt idx="1">
                  <c:v>ΔΙΑΧΕΙΡΙΣΗ ΘΕΜΑΤΩΝ ΑΛΛΟΔΑΠΩΝ ΚΑΙ ΑΣΤΙΚΗΣ ΚΑΤΑΣΤΑΣΗΣ Α.Δ.Η.Δ.Μ.</c:v>
                </c:pt>
                <c:pt idx="2">
                  <c:v>ΦΥΣΙΚΟ ΚΑΙ ΑΣΤΙΚΟ ΠΕΡΙΒΑΛΛΟΝ Α.Δ.Η.Δ.Μ.</c:v>
                </c:pt>
              </c:strCache>
            </c:strRef>
          </c:cat>
          <c:val>
            <c:numRef>
              <c:f>'1'!$B$20:$B$22</c:f>
              <c:numCache>
                <c:formatCode>_-* #,##0\ _€_-;\-* #,##0\ _€_-;_-* "-"??\ _€_-;_-@_-</c:formatCode>
                <c:ptCount val="3"/>
                <c:pt idx="0">
                  <c:v>171</c:v>
                </c:pt>
                <c:pt idx="1">
                  <c:v>68</c:v>
                </c:pt>
                <c:pt idx="2">
                  <c:v>100</c:v>
                </c:pt>
              </c:numCache>
            </c:numRef>
          </c:val>
          <c:extLst>
            <c:ext xmlns:c16="http://schemas.microsoft.com/office/drawing/2014/chart" uri="{C3380CC4-5D6E-409C-BE32-E72D297353CC}">
              <c16:uniqueId val="{00000006-44B9-49D9-8DC4-8DE435C30478}"/>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9947-4E11-8785-492711F3CF8D}"/>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9947-4E11-8785-492711F3CF8D}"/>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9947-4E11-8785-492711F3CF8D}"/>
              </c:ext>
            </c:extLst>
          </c:dPt>
          <c:dLbls>
            <c:dLbl>
              <c:idx val="0"/>
              <c:layout>
                <c:manualLayout>
                  <c:x val="3.2308987837380135E-2"/>
                  <c:y val="-0.37050260242893368"/>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378169790518191"/>
                      <c:h val="0.21785310734463276"/>
                    </c:manualLayout>
                  </c15:layout>
                </c:ext>
                <c:ext xmlns:c16="http://schemas.microsoft.com/office/drawing/2014/chart" uri="{C3380CC4-5D6E-409C-BE32-E72D297353CC}">
                  <c16:uniqueId val="{00000001-9947-4E11-8785-492711F3CF8D}"/>
                </c:ext>
              </c:extLst>
            </c:dLbl>
            <c:dLbl>
              <c:idx val="1"/>
              <c:layout>
                <c:manualLayout>
                  <c:x val="-9.6789103126166565E-2"/>
                  <c:y val="-0.1367521367521368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937155457552372"/>
                      <c:h val="0.33223231711420687"/>
                    </c:manualLayout>
                  </c15:layout>
                </c:ext>
                <c:ext xmlns:c16="http://schemas.microsoft.com/office/drawing/2014/chart" uri="{C3380CC4-5D6E-409C-BE32-E72D297353CC}">
                  <c16:uniqueId val="{00000003-9947-4E11-8785-492711F3CF8D}"/>
                </c:ext>
              </c:extLst>
            </c:dLbl>
            <c:dLbl>
              <c:idx val="2"/>
              <c:layout>
                <c:manualLayout>
                  <c:x val="-0.41865669362371655"/>
                  <c:y val="-0.2287573211012632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9947-4E11-8785-492711F3CF8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'1'!$A$4:$A$6</c:f>
              <c:strCache>
                <c:ptCount val="3"/>
                <c:pt idx="0">
                  <c:v>ΕΠΙΤΕΛΙΚΟΣ ΣΥΝΤΟΝΙΣΜΟΣ Α.Δ.Π.Δ.Ε. &amp; Ι.</c:v>
                </c:pt>
                <c:pt idx="1">
                  <c:v>ΔΙΑΧΕΙΡΙΣΗ ΘΕΜΑΤΩΝ ΑΛΛΟΔΑΠΩΝ ΚΑΙ ΑΣΤΙΚΗΣ ΚΑΤΑΣΤΑΣΗΣ Α.Δ.Π.Δ.Ε. &amp; Ι.</c:v>
                </c:pt>
                <c:pt idx="2">
                  <c:v>ΦΥΣΙΚΟ ΚΑΙ ΑΣΤΙΚΟ ΠΕΡΙΒΑΛΛΟΝ Α.Δ.Π.Δ.Ε. &amp; Ι.</c:v>
                </c:pt>
              </c:strCache>
            </c:strRef>
          </c:cat>
          <c:val>
            <c:numRef>
              <c:f>'1'!$B$4:$B$6</c:f>
              <c:numCache>
                <c:formatCode>#,##0\ "€"</c:formatCode>
                <c:ptCount val="3"/>
                <c:pt idx="0">
                  <c:v>7875076</c:v>
                </c:pt>
                <c:pt idx="1">
                  <c:v>2835924</c:v>
                </c:pt>
                <c:pt idx="2">
                  <c:v>4845000</c:v>
                </c:pt>
              </c:numCache>
            </c:numRef>
          </c:val>
          <c:extLst>
            <c:ext xmlns:c16="http://schemas.microsoft.com/office/drawing/2014/chart" uri="{C3380CC4-5D6E-409C-BE32-E72D297353CC}">
              <c16:uniqueId val="{00000006-9947-4E11-8785-492711F3CF8D}"/>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216663945945052E-2"/>
          <c:y val="0.19279858003361089"/>
          <c:w val="0.94940121782255982"/>
          <c:h val="0.80628410657300931"/>
        </c:manualLayout>
      </c:layout>
      <c:pie3DChart>
        <c:varyColors val="1"/>
        <c:ser>
          <c:idx val="0"/>
          <c:order val="0"/>
          <c:tx>
            <c:strRef>
              <c:f>'1'!$B$18:$B$19</c:f>
              <c:strCache>
                <c:ptCount val="2"/>
                <c:pt idx="0">
                  <c:v>Ανθρώπινοι Πόροι ανά Πρόγραμμα </c:v>
                </c:pt>
                <c:pt idx="1">
                  <c:v>ΠΡΟΣΩΠΙΚΟ 2026</c:v>
                </c:pt>
              </c:strCache>
            </c:strRef>
          </c:tx>
          <c:dPt>
            <c:idx val="0"/>
            <c:bubble3D val="0"/>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CB71-4FF3-AAEA-1217BA3FD8F5}"/>
              </c:ext>
            </c:extLst>
          </c:dPt>
          <c:dPt>
            <c:idx val="1"/>
            <c:bubble3D val="0"/>
            <c:explosion val="22"/>
            <c:spPr>
              <a:solidFill>
                <a:schemeClr val="accent5">
                  <a:lumMod val="75000"/>
                </a:schemeClr>
              </a:solidFill>
              <a:ln>
                <a:noFill/>
              </a:ln>
              <a:effectLst/>
              <a:sp3d/>
            </c:spPr>
            <c:extLst>
              <c:ext xmlns:c16="http://schemas.microsoft.com/office/drawing/2014/chart" uri="{C3380CC4-5D6E-409C-BE32-E72D297353CC}">
                <c16:uniqueId val="{00000003-CB71-4FF3-AAEA-1217BA3FD8F5}"/>
              </c:ext>
            </c:extLst>
          </c:dPt>
          <c:dPt>
            <c:idx val="2"/>
            <c:bubble3D val="0"/>
            <c:explosion val="22"/>
            <c:spPr>
              <a:solidFill>
                <a:schemeClr val="accent1">
                  <a:lumMod val="60000"/>
                  <a:lumOff val="40000"/>
                </a:schemeClr>
              </a:solidFill>
              <a:ln>
                <a:noFill/>
              </a:ln>
              <a:effectLst/>
              <a:sp3d/>
            </c:spPr>
            <c:extLst>
              <c:ext xmlns:c16="http://schemas.microsoft.com/office/drawing/2014/chart" uri="{C3380CC4-5D6E-409C-BE32-E72D297353CC}">
                <c16:uniqueId val="{00000005-CB71-4FF3-AAEA-1217BA3FD8F5}"/>
              </c:ext>
            </c:extLst>
          </c:dPt>
          <c:dLbls>
            <c:dLbl>
              <c:idx val="0"/>
              <c:layout>
                <c:manualLayout>
                  <c:x val="8.4794034152566491E-2"/>
                  <c:y val="-0.2095600102864280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B71-4FF3-AAEA-1217BA3FD8F5}"/>
                </c:ext>
              </c:extLst>
            </c:dLbl>
            <c:dLbl>
              <c:idx val="1"/>
              <c:layout>
                <c:manualLayout>
                  <c:x val="-9.0433461528444559E-2"/>
                  <c:y val="-0.1099327129563351"/>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30615353896639436"/>
                      <c:h val="0.27656533842360609"/>
                    </c:manualLayout>
                  </c15:layout>
                </c:ext>
                <c:ext xmlns:c16="http://schemas.microsoft.com/office/drawing/2014/chart" uri="{C3380CC4-5D6E-409C-BE32-E72D297353CC}">
                  <c16:uniqueId val="{00000003-CB71-4FF3-AAEA-1217BA3FD8F5}"/>
                </c:ext>
              </c:extLst>
            </c:dLbl>
            <c:dLbl>
              <c:idx val="2"/>
              <c:layout>
                <c:manualLayout>
                  <c:x val="-4.450911111304031E-2"/>
                  <c:y val="-8.888380010041513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6133016173419338"/>
                      <c:h val="0.23684010727274951"/>
                    </c:manualLayout>
                  </c15:layout>
                </c:ext>
                <c:ext xmlns:c16="http://schemas.microsoft.com/office/drawing/2014/chart" uri="{C3380CC4-5D6E-409C-BE32-E72D297353CC}">
                  <c16:uniqueId val="{00000005-CB71-4FF3-AAEA-1217BA3FD8F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'1'!$A$20:$A$22</c:f>
              <c:strCache>
                <c:ptCount val="3"/>
                <c:pt idx="0">
                  <c:v>ΕΠΙΤΕΛΙΚΟΣ ΣΥΝΤΟΝΙΣΜΟΣ Α.Δ.Π.Δ.Ε. &amp; Ι.</c:v>
                </c:pt>
                <c:pt idx="1">
                  <c:v>ΔΙΑΧΕΙΡΙΣΗ ΘΕΜΑΤΩΝ ΑΛΛΟΔΑΠΩΝ ΚΑΙ ΑΣΤΙΚΗΣ ΚΑΤΑΣΤΑΣΗΣ Α.Δ.Π.Δ.Ε. &amp; Ι.</c:v>
                </c:pt>
                <c:pt idx="2">
                  <c:v>ΦΥΣΙΚΟ ΚΑΙ ΑΣΤΙΚΟ ΠΕΡΙΒΑΛΛΟΝ Α.Δ.Π.Δ.Ε. &amp; Ι.</c:v>
                </c:pt>
              </c:strCache>
            </c:strRef>
          </c:cat>
          <c:val>
            <c:numRef>
              <c:f>'1'!$B$20:$B$22</c:f>
              <c:numCache>
                <c:formatCode>_-* #,##0\ _€_-;\-* #,##0\ _€_-;_-* "-"??\ _€_-;_-@_-</c:formatCode>
                <c:ptCount val="3"/>
                <c:pt idx="0">
                  <c:v>213</c:v>
                </c:pt>
                <c:pt idx="1">
                  <c:v>95</c:v>
                </c:pt>
                <c:pt idx="2">
                  <c:v>144</c:v>
                </c:pt>
              </c:numCache>
            </c:numRef>
          </c:val>
          <c:extLst>
            <c:ext xmlns:c16="http://schemas.microsoft.com/office/drawing/2014/chart" uri="{C3380CC4-5D6E-409C-BE32-E72D297353CC}">
              <c16:uniqueId val="{00000006-CB71-4FF3-AAEA-1217BA3FD8F5}"/>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1">
            <a:lumMod val="95000"/>
          </a:schemeClr>
        </a:solidFill>
        <a:ln>
          <a:solidFill>
            <a:schemeClr val="bg1">
              <a:lumMod val="85000"/>
            </a:schemeClr>
          </a:solidFill>
        </a:ln>
        <a:effectLst/>
        <a:sp3d>
          <a:contourClr>
            <a:schemeClr val="bg1">
              <a:lumMod val="8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'1'!$A$10</c:f>
              <c:strCache>
                <c:ptCount val="1"/>
                <c:pt idx="0">
                  <c:v>ΔΙΟΙΚΗΤΙΚΗ ΚΑΙ ΕΠΙΤΕΛΙΚΗ ΥΠΟΣΤΗΡΙΞΗ ΤΗΣ ΠΡΟΕΔΡΙΑΣ ΤΗΣ ΔΗΜΟΚΡΑΤΙΑΣ</c:v>
                </c:pt>
              </c:strCache>
            </c:strRef>
          </c:tx>
          <c:spPr>
            <a:solidFill>
              <a:schemeClr val="accent1"/>
            </a:solidFill>
            <a:ln>
              <a:noFill/>
            </a:ln>
            <a:effectLst/>
            <a:sp3d/>
          </c:spPr>
          <c:invertIfNegative val="0"/>
          <c:dLbls>
            <c:dLbl>
              <c:idx val="0"/>
              <c:layout>
                <c:manualLayout>
                  <c:x val="0.33812949640287771"/>
                  <c:y val="-5.2130317584462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FF-4A10-BA7A-68F1E45B2E2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'1'!$A$10</c:f>
              <c:strCache>
                <c:ptCount val="1"/>
                <c:pt idx="0">
                  <c:v>ΔΙΟΙΚΗΤΙΚΗ ΚΑΙ ΕΠΙΤΕΛΙΚΗ ΥΠΟΣΤΗΡΙΞΗ ΤΗΣ ΠΡΟΕΔΡΙΑΣ ΤΗΣ ΔΗΜΟΚΡΑΤΙΑΣ</c:v>
                </c:pt>
              </c:strCache>
            </c:strRef>
          </c:cat>
          <c:val>
            <c:numRef>
              <c:f>'1'!$B$10</c:f>
              <c:numCache>
                <c:formatCode>"€"#,##0_);[Red]\("€"#,##0\)</c:formatCode>
                <c:ptCount val="1"/>
                <c:pt idx="0">
                  <c:v>4951000</c:v>
                </c:pt>
              </c:numCache>
            </c:numRef>
          </c:val>
          <c:extLst>
            <c:ext xmlns:c16="http://schemas.microsoft.com/office/drawing/2014/chart" uri="{C3380CC4-5D6E-409C-BE32-E72D297353CC}">
              <c16:uniqueId val="{00000001-55FF-4A10-BA7A-68F1E45B2E22}"/>
            </c:ext>
          </c:extLst>
        </c:ser>
        <c:dLbls>
          <c:showLegendKey val="0"/>
          <c:showVal val="0"/>
          <c:showCatName val="0"/>
          <c:showSerName val="0"/>
          <c:showPercent val="0"/>
          <c:showBubbleSize val="0"/>
        </c:dLbls>
        <c:gapWidth val="150"/>
        <c:shape val="box"/>
        <c:axId val="1032046624"/>
        <c:axId val="1130665536"/>
        <c:axId val="0"/>
      </c:bar3DChart>
      <c:catAx>
        <c:axId val="1032046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1130665536"/>
        <c:crosses val="autoZero"/>
        <c:auto val="1"/>
        <c:lblAlgn val="ctr"/>
        <c:lblOffset val="100"/>
        <c:noMultiLvlLbl val="0"/>
      </c:catAx>
      <c:valAx>
        <c:axId val="1130665536"/>
        <c:scaling>
          <c:orientation val="minMax"/>
        </c:scaling>
        <c:delete val="0"/>
        <c:axPos val="l"/>
        <c:majorGridlines>
          <c:spPr>
            <a:ln w="9525" cap="flat" cmpd="sng" algn="ctr">
              <a:no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1032046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E07F-4B09-88DE-49465AF7AE04}"/>
              </c:ext>
            </c:extLst>
          </c:dPt>
          <c:dPt>
            <c:idx val="1"/>
            <c:bubble3D val="0"/>
            <c:explosion val="6"/>
            <c:spPr>
              <a:solidFill>
                <a:schemeClr val="accent1">
                  <a:lumMod val="60000"/>
                  <a:lumOff val="40000"/>
                </a:schemeClr>
              </a:solidFill>
              <a:ln>
                <a:noFill/>
              </a:ln>
              <a:effectLst/>
              <a:sp3d/>
            </c:spPr>
            <c:extLst>
              <c:ext xmlns:c16="http://schemas.microsoft.com/office/drawing/2014/chart" uri="{C3380CC4-5D6E-409C-BE32-E72D297353CC}">
                <c16:uniqueId val="{00000003-E07F-4B09-88DE-49465AF7AE04}"/>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E07F-4B09-88DE-49465AF7AE04}"/>
              </c:ext>
            </c:extLst>
          </c:dPt>
          <c:dLbls>
            <c:dLbl>
              <c:idx val="0"/>
              <c:layout>
                <c:manualLayout>
                  <c:x val="0.14403638313816999"/>
                  <c:y val="0"/>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6634183244009249"/>
                      <c:h val="0.32328357716574851"/>
                    </c:manualLayout>
                  </c15:layout>
                </c:ext>
                <c:ext xmlns:c16="http://schemas.microsoft.com/office/drawing/2014/chart" uri="{C3380CC4-5D6E-409C-BE32-E72D297353CC}">
                  <c16:uniqueId val="{00000001-E07F-4B09-88DE-49465AF7AE04}"/>
                </c:ext>
              </c:extLst>
            </c:dLbl>
            <c:dLbl>
              <c:idx val="1"/>
              <c:layout>
                <c:manualLayout>
                  <c:x val="-7.1638418941241302E-2"/>
                  <c:y val="2.2867770719439136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424233216713403"/>
                      <c:h val="0.26779177602799648"/>
                    </c:manualLayout>
                  </c15:layout>
                </c:ext>
                <c:ext xmlns:c16="http://schemas.microsoft.com/office/drawing/2014/chart" uri="{C3380CC4-5D6E-409C-BE32-E72D297353CC}">
                  <c16:uniqueId val="{00000003-E07F-4B09-88DE-49465AF7AE04}"/>
                </c:ext>
              </c:extLst>
            </c:dLbl>
            <c:dLbl>
              <c:idx val="2"/>
              <c:layout>
                <c:manualLayout>
                  <c:x val="-8.5595980825190709E-2"/>
                  <c:y val="-0.108937402257530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8927380218597259"/>
                      <c:h val="0.19702770487022456"/>
                    </c:manualLayout>
                  </c15:layout>
                </c:ext>
                <c:ext xmlns:c16="http://schemas.microsoft.com/office/drawing/2014/chart" uri="{C3380CC4-5D6E-409C-BE32-E72D297353CC}">
                  <c16:uniqueId val="{00000005-E07F-4B09-88DE-49465AF7AE04}"/>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'1'!$A$4:$A$6</c:f>
              <c:strCache>
                <c:ptCount val="3"/>
                <c:pt idx="0">
                  <c:v>ΕΠΙΤΕΛΙΚΟΣ ΣΥΝΤΟΝΙΣΜΟΣ Α.Δ.ΑΙΓ.</c:v>
                </c:pt>
                <c:pt idx="1">
                  <c:v>ΔΙΑΧΕΙΡΙΣΗ ΘΕΜΑΤΩΝ ΑΛΛΟΔΑΠΩΝ ΚΑΙ ΑΣΤΙΚΗΣ ΚΑΤΑΣΤΑΣΗΣ Α.Δ.ΑΙΓ.</c:v>
                </c:pt>
                <c:pt idx="2">
                  <c:v>ΦΥΣΙΚΟ ΚΑΙ ΑΣΤΙΚΟ ΠΕΡΙΒΑΛΛΟΝ Α.Δ.ΑΙΓ.</c:v>
                </c:pt>
              </c:strCache>
            </c:strRef>
          </c:cat>
          <c:val>
            <c:numRef>
              <c:f>'1'!$B$4:$B$6</c:f>
              <c:numCache>
                <c:formatCode>#,##0\ "€"</c:formatCode>
                <c:ptCount val="3"/>
                <c:pt idx="0">
                  <c:v>3872622.5</c:v>
                </c:pt>
                <c:pt idx="1">
                  <c:v>1296377.5</c:v>
                </c:pt>
                <c:pt idx="2">
                  <c:v>1980000</c:v>
                </c:pt>
              </c:numCache>
            </c:numRef>
          </c:val>
          <c:extLst>
            <c:ext xmlns:c16="http://schemas.microsoft.com/office/drawing/2014/chart" uri="{C3380CC4-5D6E-409C-BE32-E72D297353CC}">
              <c16:uniqueId val="{00000006-E07F-4B09-88DE-49465AF7AE04}"/>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870318797998124E-2"/>
          <c:y val="9.6875318642723598E-2"/>
          <c:w val="0.90771679755989498"/>
          <c:h val="0.78709945429483186"/>
        </c:manualLayout>
      </c:layout>
      <c:pie3DChart>
        <c:varyColors val="1"/>
        <c:ser>
          <c:idx val="0"/>
          <c:order val="0"/>
          <c:tx>
            <c:strRef>
              <c:f>'1'!$B$18:$B$19</c:f>
              <c:strCache>
                <c:ptCount val="2"/>
                <c:pt idx="0">
                  <c:v>Ανθρώπινοι Πόροι ανά Πρόγραμμα </c:v>
                </c:pt>
                <c:pt idx="1">
                  <c:v>ΠΡΟΣΩΠΙΚΟ 2026</c:v>
                </c:pt>
              </c:strCache>
            </c:strRef>
          </c:tx>
          <c:dPt>
            <c:idx val="0"/>
            <c:bubble3D val="0"/>
            <c:explosion val="2"/>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90B4-4835-AA19-0D4EF8B8917C}"/>
              </c:ext>
            </c:extLst>
          </c:dPt>
          <c:dPt>
            <c:idx val="1"/>
            <c:bubble3D val="0"/>
            <c:explosion val="22"/>
            <c:spPr>
              <a:solidFill>
                <a:schemeClr val="accent5">
                  <a:lumMod val="60000"/>
                  <a:lumOff val="40000"/>
                </a:schemeClr>
              </a:solidFill>
              <a:ln>
                <a:noFill/>
              </a:ln>
              <a:effectLst/>
              <a:sp3d/>
            </c:spPr>
            <c:extLst>
              <c:ext xmlns:c16="http://schemas.microsoft.com/office/drawing/2014/chart" uri="{C3380CC4-5D6E-409C-BE32-E72D297353CC}">
                <c16:uniqueId val="{00000003-90B4-4835-AA19-0D4EF8B8917C}"/>
              </c:ext>
            </c:extLst>
          </c:dPt>
          <c:dPt>
            <c:idx val="2"/>
            <c:bubble3D val="0"/>
            <c:explosion val="22"/>
            <c:spPr>
              <a:solidFill>
                <a:schemeClr val="accent1">
                  <a:lumMod val="60000"/>
                  <a:lumOff val="40000"/>
                </a:schemeClr>
              </a:solidFill>
              <a:ln>
                <a:noFill/>
              </a:ln>
              <a:effectLst/>
              <a:sp3d/>
            </c:spPr>
            <c:extLst>
              <c:ext xmlns:c16="http://schemas.microsoft.com/office/drawing/2014/chart" uri="{C3380CC4-5D6E-409C-BE32-E72D297353CC}">
                <c16:uniqueId val="{00000005-90B4-4835-AA19-0D4EF8B8917C}"/>
              </c:ext>
            </c:extLst>
          </c:dPt>
          <c:dLbls>
            <c:dLbl>
              <c:idx val="0"/>
              <c:layout>
                <c:manualLayout>
                  <c:x val="5.0716561477224226E-2"/>
                  <c:y val="-0.24190054621550686"/>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3658213891951485"/>
                      <c:h val="0.36485550117046178"/>
                    </c:manualLayout>
                  </c15:layout>
                </c:ext>
                <c:ext xmlns:c16="http://schemas.microsoft.com/office/drawing/2014/chart" uri="{C3380CC4-5D6E-409C-BE32-E72D297353CC}">
                  <c16:uniqueId val="{00000001-90B4-4835-AA19-0D4EF8B8917C}"/>
                </c:ext>
              </c:extLst>
            </c:dLbl>
            <c:dLbl>
              <c:idx val="1"/>
              <c:layout>
                <c:manualLayout>
                  <c:x val="-9.8559931937945461E-2"/>
                  <c:y val="-7.941888345037964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0B4-4835-AA19-0D4EF8B8917C}"/>
                </c:ext>
              </c:extLst>
            </c:dLbl>
            <c:dLbl>
              <c:idx val="2"/>
              <c:layout>
                <c:manualLayout>
                  <c:x val="-4.6607325739995736E-2"/>
                  <c:y val="2.751832858597479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4062835861063123"/>
                      <c:h val="0.39368432999929065"/>
                    </c:manualLayout>
                  </c15:layout>
                </c:ext>
                <c:ext xmlns:c16="http://schemas.microsoft.com/office/drawing/2014/chart" uri="{C3380CC4-5D6E-409C-BE32-E72D297353CC}">
                  <c16:uniqueId val="{00000005-90B4-4835-AA19-0D4EF8B8917C}"/>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'1'!$A$20:$A$22</c:f>
              <c:strCache>
                <c:ptCount val="3"/>
                <c:pt idx="0">
                  <c:v>ΕΠΙΤΕΛΙΚΟΣ ΣΥΝΤΟΝΙΣΜΟΣ Α.Δ.ΑΙΓ.</c:v>
                </c:pt>
                <c:pt idx="1">
                  <c:v>ΔΙΑΧΕΙΡΙΣΗ ΘΕΜΑΤΩΝ ΑΛΛΟΔΑΠΩΝ ΚΑΙ ΑΣΤΙΚΗΣ ΚΑΤΑΣΤΑΣΗΣ Α.Δ.ΑΙΓ.</c:v>
                </c:pt>
                <c:pt idx="2">
                  <c:v>ΦΥΣΙΚΟ ΚΑΙ ΑΣΤΙΚΟ ΠΕΡΙΒΑΛΛΟΝ Α.Δ.ΑΙΓ.</c:v>
                </c:pt>
              </c:strCache>
            </c:strRef>
          </c:cat>
          <c:val>
            <c:numRef>
              <c:f>'1'!$B$20:$B$22</c:f>
              <c:numCache>
                <c:formatCode>_-* #,##0\ _€_-;\-* #,##0\ _€_-;_-* "-"??\ _€_-;_-@_-</c:formatCode>
                <c:ptCount val="3"/>
                <c:pt idx="0">
                  <c:v>84</c:v>
                </c:pt>
                <c:pt idx="1">
                  <c:v>32</c:v>
                </c:pt>
                <c:pt idx="2">
                  <c:v>51</c:v>
                </c:pt>
              </c:numCache>
            </c:numRef>
          </c:val>
          <c:extLst>
            <c:ext xmlns:c16="http://schemas.microsoft.com/office/drawing/2014/chart" uri="{C3380CC4-5D6E-409C-BE32-E72D297353CC}">
              <c16:uniqueId val="{00000006-90B4-4835-AA19-0D4EF8B8917C}"/>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E14D-471C-B8B1-A41843D4D0CD}"/>
              </c:ext>
            </c:extLst>
          </c:dPt>
          <c:dPt>
            <c:idx val="1"/>
            <c:bubble3D val="0"/>
            <c:explosion val="6"/>
            <c:spPr>
              <a:solidFill>
                <a:schemeClr val="accent1">
                  <a:lumMod val="60000"/>
                  <a:lumOff val="40000"/>
                </a:schemeClr>
              </a:solidFill>
              <a:ln>
                <a:noFill/>
              </a:ln>
              <a:effectLst/>
              <a:sp3d/>
            </c:spPr>
            <c:extLst>
              <c:ext xmlns:c16="http://schemas.microsoft.com/office/drawing/2014/chart" uri="{C3380CC4-5D6E-409C-BE32-E72D297353CC}">
                <c16:uniqueId val="{00000003-E14D-471C-B8B1-A41843D4D0CD}"/>
              </c:ext>
            </c:extLst>
          </c:dPt>
          <c:dPt>
            <c:idx val="2"/>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5-E14D-471C-B8B1-A41843D4D0CD}"/>
              </c:ext>
            </c:extLst>
          </c:dPt>
          <c:dLbls>
            <c:dLbl>
              <c:idx val="0"/>
              <c:layout>
                <c:manualLayout>
                  <c:x val="3.032581236055526E-2"/>
                  <c:y val="-0.41290822253775655"/>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75371414161863"/>
                      <c:h val="0.24298785793176431"/>
                    </c:manualLayout>
                  </c15:layout>
                </c:ext>
                <c:ext xmlns:c16="http://schemas.microsoft.com/office/drawing/2014/chart" uri="{C3380CC4-5D6E-409C-BE32-E72D297353CC}">
                  <c16:uniqueId val="{00000001-E14D-471C-B8B1-A41843D4D0CD}"/>
                </c:ext>
              </c:extLst>
            </c:dLbl>
            <c:dLbl>
              <c:idx val="1"/>
              <c:layout>
                <c:manualLayout>
                  <c:x val="-1.1090830412724892E-2"/>
                  <c:y val="-3.3433594625884772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5808002500238736"/>
                      <c:h val="0.33860695158769893"/>
                    </c:manualLayout>
                  </c15:layout>
                </c:ext>
                <c:ext xmlns:c16="http://schemas.microsoft.com/office/drawing/2014/chart" uri="{C3380CC4-5D6E-409C-BE32-E72D297353CC}">
                  <c16:uniqueId val="{00000003-E14D-471C-B8B1-A41843D4D0CD}"/>
                </c:ext>
              </c:extLst>
            </c:dLbl>
            <c:dLbl>
              <c:idx val="2"/>
              <c:layout>
                <c:manualLayout>
                  <c:x val="-0.10718419058559417"/>
                  <c:y val="1.4860506455367101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593155596454519"/>
                      <c:h val="0.2798413149176025"/>
                    </c:manualLayout>
                  </c15:layout>
                </c:ext>
                <c:ext xmlns:c16="http://schemas.microsoft.com/office/drawing/2014/chart" uri="{C3380CC4-5D6E-409C-BE32-E72D297353CC}">
                  <c16:uniqueId val="{00000005-E14D-471C-B8B1-A41843D4D0CD}"/>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'1'!$A$4:$A$6</c:f>
              <c:strCache>
                <c:ptCount val="3"/>
                <c:pt idx="0">
                  <c:v>ΕΠΙΤΕΛΙΚΟΣ ΣΥΝΤΟΝΙΣΜΟΣ Α.Δ.Κ.</c:v>
                </c:pt>
                <c:pt idx="1">
                  <c:v>ΔΙΑΧΕΙΡΙΣΗ ΘΕΜΑΤΩΝ ΑΛΛΟΔΑΠΩΝ ΚΑΙ ΑΣΤΙΚΗΣ ΚΑΤΑΣΤΑΣΗΣ Α.Δ.Κ.</c:v>
                </c:pt>
                <c:pt idx="2">
                  <c:v>ΦΥΣΙΚΟ ΚΑΙ ΑΣΤΙΚΟ ΠΕΡΙΒΑΛΛΟΝ Α.Δ.Κ.</c:v>
                </c:pt>
              </c:strCache>
            </c:strRef>
          </c:cat>
          <c:val>
            <c:numRef>
              <c:f>'1'!$B$4:$B$6</c:f>
              <c:numCache>
                <c:formatCode>#,##0\ "€"</c:formatCode>
                <c:ptCount val="3"/>
                <c:pt idx="0">
                  <c:v>3702060</c:v>
                </c:pt>
                <c:pt idx="1">
                  <c:v>1663620</c:v>
                </c:pt>
                <c:pt idx="2">
                  <c:v>1945320</c:v>
                </c:pt>
              </c:numCache>
            </c:numRef>
          </c:val>
          <c:extLst>
            <c:ext xmlns:c16="http://schemas.microsoft.com/office/drawing/2014/chart" uri="{C3380CC4-5D6E-409C-BE32-E72D297353CC}">
              <c16:uniqueId val="{00000006-E14D-471C-B8B1-A41843D4D0CD}"/>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850055126791621E-2"/>
          <c:y val="8.3998630605956859E-2"/>
          <c:w val="0.92871705175839825"/>
          <c:h val="0.79189561736437619"/>
        </c:manualLayout>
      </c:layout>
      <c:pie3DChart>
        <c:varyColors val="1"/>
        <c:ser>
          <c:idx val="0"/>
          <c:order val="0"/>
          <c:tx>
            <c:strRef>
              <c:f>'1'!$B$18:$B$19</c:f>
              <c:strCache>
                <c:ptCount val="2"/>
                <c:pt idx="0">
                  <c:v>Ανθρώπινοι Πόροι ανά Πρόγραμμα </c:v>
                </c:pt>
                <c:pt idx="1">
                  <c:v>ΠΡΟΣΩΠΙΚΟ 2026</c:v>
                </c:pt>
              </c:strCache>
            </c:strRef>
          </c:tx>
          <c:dPt>
            <c:idx val="0"/>
            <c:bubble3D val="0"/>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A739-45EE-9A7F-40E0890E0960}"/>
              </c:ext>
            </c:extLst>
          </c:dPt>
          <c:dPt>
            <c:idx val="1"/>
            <c:bubble3D val="0"/>
            <c:explosion val="11"/>
            <c:spPr>
              <a:solidFill>
                <a:schemeClr val="accent5">
                  <a:lumMod val="75000"/>
                </a:schemeClr>
              </a:solidFill>
              <a:ln>
                <a:noFill/>
              </a:ln>
              <a:effectLst/>
              <a:sp3d/>
            </c:spPr>
            <c:extLst>
              <c:ext xmlns:c16="http://schemas.microsoft.com/office/drawing/2014/chart" uri="{C3380CC4-5D6E-409C-BE32-E72D297353CC}">
                <c16:uniqueId val="{00000003-A739-45EE-9A7F-40E0890E0960}"/>
              </c:ext>
            </c:extLst>
          </c:dPt>
          <c:dPt>
            <c:idx val="2"/>
            <c:bubble3D val="0"/>
            <c:explosion val="22"/>
            <c:spPr>
              <a:solidFill>
                <a:schemeClr val="accent1">
                  <a:lumMod val="60000"/>
                  <a:lumOff val="40000"/>
                </a:schemeClr>
              </a:solidFill>
              <a:ln>
                <a:noFill/>
              </a:ln>
              <a:effectLst/>
              <a:sp3d/>
            </c:spPr>
            <c:extLst>
              <c:ext xmlns:c16="http://schemas.microsoft.com/office/drawing/2014/chart" uri="{C3380CC4-5D6E-409C-BE32-E72D297353CC}">
                <c16:uniqueId val="{00000005-A739-45EE-9A7F-40E0890E0960}"/>
              </c:ext>
            </c:extLst>
          </c:dPt>
          <c:dLbls>
            <c:dLbl>
              <c:idx val="0"/>
              <c:layout>
                <c:manualLayout>
                  <c:x val="-1.2720485463021642E-2"/>
                  <c:y val="-0.3325603489704632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A739-45EE-9A7F-40E0890E0960}"/>
                </c:ext>
              </c:extLst>
            </c:dLbl>
            <c:dLbl>
              <c:idx val="1"/>
              <c:layout>
                <c:manualLayout>
                  <c:x val="-0.14573822153156984"/>
                  <c:y val="-5.725007353260280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4414484021911814"/>
                      <c:h val="0.37718418349880178"/>
                    </c:manualLayout>
                  </c15:layout>
                </c:ext>
                <c:ext xmlns:c16="http://schemas.microsoft.com/office/drawing/2014/chart" uri="{C3380CC4-5D6E-409C-BE32-E72D297353CC}">
                  <c16:uniqueId val="{00000003-A739-45EE-9A7F-40E0890E0960}"/>
                </c:ext>
              </c:extLst>
            </c:dLbl>
            <c:dLbl>
              <c:idx val="2"/>
              <c:layout>
                <c:manualLayout>
                  <c:x val="-0.12401601798178334"/>
                  <c:y val="-6.1842616739865075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15691324692461953"/>
                      <c:h val="0.31796473810338927"/>
                    </c:manualLayout>
                  </c15:layout>
                </c:ext>
                <c:ext xmlns:c16="http://schemas.microsoft.com/office/drawing/2014/chart" uri="{C3380CC4-5D6E-409C-BE32-E72D297353CC}">
                  <c16:uniqueId val="{00000005-A739-45EE-9A7F-40E0890E0960}"/>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'1'!$A$20:$A$22</c:f>
              <c:strCache>
                <c:ptCount val="3"/>
                <c:pt idx="0">
                  <c:v>ΕΠΙΤΕΛΙΚΟΣ ΣΥΝΤΟΝΙΣΜΟΣ Α.Δ.Κ.</c:v>
                </c:pt>
                <c:pt idx="1">
                  <c:v>ΔΙΑΧΕΙΡΙΣΗ ΘΕΜΑΤΩΝ ΑΛΛΟΔΑΠΩΝ ΚΑΙ ΑΣΤΙΚΗΣ ΚΑΤΑΣΤΑΣΗΣ Α.Δ.Κ.</c:v>
                </c:pt>
                <c:pt idx="2">
                  <c:v>ΦΥΣΙΚΟ ΚΑΙ ΑΣΤΙΚΟ ΠΕΡΙΒΑΛΛΟΝ Α.Δ.Κ.</c:v>
                </c:pt>
              </c:strCache>
            </c:strRef>
          </c:cat>
          <c:val>
            <c:numRef>
              <c:f>'1'!$B$20:$B$22</c:f>
              <c:numCache>
                <c:formatCode>_-* #,##0\ _€_-;\-* #,##0\ _€_-;_-* "-"??\ _€_-;_-@_-</c:formatCode>
                <c:ptCount val="3"/>
                <c:pt idx="0">
                  <c:v>97</c:v>
                </c:pt>
                <c:pt idx="1">
                  <c:v>46</c:v>
                </c:pt>
                <c:pt idx="2">
                  <c:v>58</c:v>
                </c:pt>
              </c:numCache>
            </c:numRef>
          </c:val>
          <c:extLst>
            <c:ext xmlns:c16="http://schemas.microsoft.com/office/drawing/2014/chart" uri="{C3380CC4-5D6E-409C-BE32-E72D297353CC}">
              <c16:uniqueId val="{00000006-A739-45EE-9A7F-40E0890E0960}"/>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129546560401189E-2"/>
          <c:y val="0.23594531143246206"/>
          <c:w val="0.83530698716787599"/>
          <c:h val="0.71810461812476145"/>
        </c:manualLayout>
      </c:layout>
      <c:pie3DChart>
        <c:varyColors val="1"/>
        <c:ser>
          <c:idx val="0"/>
          <c:order val="0"/>
          <c:tx>
            <c:strRef>
              <c:f>'1'!$B$2:$B$3</c:f>
              <c:strCache>
                <c:ptCount val="2"/>
                <c:pt idx="0">
                  <c:v>Προϋπολογιζόμενη Δαπάνη Κρατικού Προϋπολογισμού ανά Πρόγραμμα </c:v>
                </c:pt>
                <c:pt idx="1">
                  <c:v>Π/Υ ΔΑΠΑΝΗ ΑΝΑ ΠΡΟΓΡΑΜΜΑ</c:v>
                </c:pt>
              </c:strCache>
            </c:strRef>
          </c:tx>
          <c:dPt>
            <c:idx val="0"/>
            <c:bubble3D val="0"/>
            <c:explosion val="3"/>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a:sp3d/>
            </c:spPr>
            <c:extLst>
              <c:ext xmlns:c16="http://schemas.microsoft.com/office/drawing/2014/chart" uri="{C3380CC4-5D6E-409C-BE32-E72D297353CC}">
                <c16:uniqueId val="{00000001-FBA5-462A-976F-66FACFD91147}"/>
              </c:ext>
            </c:extLst>
          </c:dPt>
          <c:dPt>
            <c:idx val="1"/>
            <c:bubble3D val="0"/>
            <c:explosion val="6"/>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sp3d/>
            </c:spPr>
            <c:extLst>
              <c:ext xmlns:c16="http://schemas.microsoft.com/office/drawing/2014/chart" uri="{C3380CC4-5D6E-409C-BE32-E72D297353CC}">
                <c16:uniqueId val="{00000003-FBA5-462A-976F-66FACFD91147}"/>
              </c:ext>
            </c:extLst>
          </c:dPt>
          <c:dPt>
            <c:idx val="2"/>
            <c:bubble3D val="0"/>
            <c:explosion val="12"/>
            <c:spPr>
              <a:solidFill>
                <a:schemeClr val="accent1">
                  <a:lumMod val="60000"/>
                  <a:lumOff val="40000"/>
                </a:schemeClr>
              </a:solidFill>
              <a:ln>
                <a:noFill/>
              </a:ln>
              <a:effectLst/>
              <a:sp3d/>
            </c:spPr>
            <c:extLst>
              <c:ext xmlns:c16="http://schemas.microsoft.com/office/drawing/2014/chart" uri="{C3380CC4-5D6E-409C-BE32-E72D297353CC}">
                <c16:uniqueId val="{00000005-FBA5-462A-976F-66FACFD91147}"/>
              </c:ext>
            </c:extLst>
          </c:dPt>
          <c:dLbls>
            <c:dLbl>
              <c:idx val="0"/>
              <c:layout>
                <c:manualLayout>
                  <c:x val="5.0374663924790189E-2"/>
                  <c:y val="-0.25954552277760168"/>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FBA5-462A-976F-66FACFD91147}"/>
                </c:ext>
              </c:extLst>
            </c:dLbl>
            <c:dLbl>
              <c:idx val="1"/>
              <c:layout>
                <c:manualLayout>
                  <c:x val="-0.11653585926928284"/>
                  <c:y val="-1.0559026105836207E-1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FBA5-462A-976F-66FACFD91147}"/>
                </c:ext>
              </c:extLst>
            </c:dLbl>
            <c:dLbl>
              <c:idx val="2"/>
              <c:layout>
                <c:manualLayout>
                  <c:x val="-0.41865669362371655"/>
                  <c:y val="-0.22875732110126326"/>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FBA5-462A-976F-66FACFD9114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'1'!$A$4:$A$6</c:f>
              <c:strCache>
                <c:ptCount val="3"/>
                <c:pt idx="0">
                  <c:v>ΕΠΙΤΕΛΙΚΟΣ ΣΥΝΤΟΝΙΣΜΟΣ Α.Δ.Μ.Θ.</c:v>
                </c:pt>
                <c:pt idx="1">
                  <c:v>ΔΙΑΧΕΙΡΙΣΗ ΘΕΜΑΤΩΝ ΑΛΛΟΔΑΠΩΝ ΚΑΙ ΑΣΤΙΚΗΣ ΚΑΤΑΣΤΑΣΗΣ Α.Δ.Μ.Θ.</c:v>
                </c:pt>
                <c:pt idx="2">
                  <c:v>ΦΥΣΙΚΟ ΚΑΙ ΑΣΤΙΚΟ ΠΕΡΙΒΑΛΛΟΝ Α.Δ.Μ.Θ.</c:v>
                </c:pt>
              </c:strCache>
            </c:strRef>
          </c:cat>
          <c:val>
            <c:numRef>
              <c:f>'1'!$B$4:$B$6</c:f>
              <c:numCache>
                <c:formatCode>#,##0\ "€"</c:formatCode>
                <c:ptCount val="3"/>
                <c:pt idx="0">
                  <c:v>9313160</c:v>
                </c:pt>
                <c:pt idx="1">
                  <c:v>4326840</c:v>
                </c:pt>
                <c:pt idx="2">
                  <c:v>6000000</c:v>
                </c:pt>
              </c:numCache>
            </c:numRef>
          </c:val>
          <c:extLst>
            <c:ext xmlns:c16="http://schemas.microsoft.com/office/drawing/2014/chart" uri="{C3380CC4-5D6E-409C-BE32-E72D297353CC}">
              <c16:uniqueId val="{00000006-FBA5-462A-976F-66FACFD91147}"/>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305784406497146E-2"/>
          <c:y val="0.10364363333088036"/>
          <c:w val="0.9653121147949919"/>
          <c:h val="0.82067259578164242"/>
        </c:manualLayout>
      </c:layout>
      <c:pie3DChart>
        <c:varyColors val="1"/>
        <c:ser>
          <c:idx val="0"/>
          <c:order val="0"/>
          <c:tx>
            <c:strRef>
              <c:f>'1'!$B$18:$B$19</c:f>
              <c:strCache>
                <c:ptCount val="2"/>
                <c:pt idx="0">
                  <c:v>Ανθρώπινοι Πόροι ανά Πρόγραμμα </c:v>
                </c:pt>
                <c:pt idx="1">
                  <c:v>ΠΡΟΣΩΠΙΚΟ 2026</c:v>
                </c:pt>
              </c:strCache>
            </c:strRef>
          </c:tx>
          <c:dPt>
            <c:idx val="0"/>
            <c:bubble3D val="0"/>
            <c:spPr>
              <a:gradFill rotWithShape="1">
                <a:gsLst>
                  <a:gs pos="0">
                    <a:schemeClr val="accent1">
                      <a:shade val="50000"/>
                      <a:satMod val="103000"/>
                      <a:lumMod val="102000"/>
                      <a:tint val="94000"/>
                    </a:schemeClr>
                  </a:gs>
                  <a:gs pos="50000">
                    <a:schemeClr val="accent1">
                      <a:shade val="50000"/>
                      <a:satMod val="110000"/>
                      <a:lumMod val="100000"/>
                      <a:shade val="100000"/>
                    </a:schemeClr>
                  </a:gs>
                  <a:gs pos="100000">
                    <a:schemeClr val="accent1">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1-2091-47CD-BC90-AE7B85E4244B}"/>
              </c:ext>
            </c:extLst>
          </c:dPt>
          <c:dPt>
            <c:idx val="1"/>
            <c:bubble3D val="0"/>
            <c:explosion val="14"/>
            <c:spPr>
              <a:solidFill>
                <a:schemeClr val="accent1">
                  <a:lumMod val="60000"/>
                  <a:lumOff val="40000"/>
                </a:schemeClr>
              </a:solidFill>
              <a:ln>
                <a:noFill/>
              </a:ln>
              <a:effectLst/>
              <a:sp3d/>
            </c:spPr>
            <c:extLst>
              <c:ext xmlns:c16="http://schemas.microsoft.com/office/drawing/2014/chart" uri="{C3380CC4-5D6E-409C-BE32-E72D297353CC}">
                <c16:uniqueId val="{00000003-2091-47CD-BC90-AE7B85E4244B}"/>
              </c:ext>
            </c:extLst>
          </c:dPt>
          <c:dPt>
            <c:idx val="2"/>
            <c:bubble3D val="0"/>
            <c:explosion val="22"/>
            <c:spPr>
              <a:solidFill>
                <a:schemeClr val="accent5">
                  <a:lumMod val="75000"/>
                </a:schemeClr>
              </a:solidFill>
              <a:ln>
                <a:noFill/>
              </a:ln>
              <a:effectLst/>
              <a:sp3d/>
            </c:spPr>
            <c:extLst>
              <c:ext xmlns:c16="http://schemas.microsoft.com/office/drawing/2014/chart" uri="{C3380CC4-5D6E-409C-BE32-E72D297353CC}">
                <c16:uniqueId val="{00000005-2091-47CD-BC90-AE7B85E4244B}"/>
              </c:ext>
            </c:extLst>
          </c:dPt>
          <c:dLbls>
            <c:dLbl>
              <c:idx val="0"/>
              <c:layout>
                <c:manualLayout>
                  <c:x val="0.1464598589832482"/>
                  <c:y val="-6.025970484874915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091-47CD-BC90-AE7B85E4244B}"/>
                </c:ext>
              </c:extLst>
            </c:dLbl>
            <c:dLbl>
              <c:idx val="1"/>
              <c:layout>
                <c:manualLayout>
                  <c:x val="-0.11517773035690147"/>
                  <c:y val="-0.1151079136690648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2091-47CD-BC90-AE7B85E4244B}"/>
                </c:ext>
              </c:extLst>
            </c:dLbl>
            <c:dLbl>
              <c:idx val="2"/>
              <c:layout>
                <c:manualLayout>
                  <c:x val="-5.605208551142446E-2"/>
                  <c:y val="9.2928491852187108E-3"/>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091-47CD-BC90-AE7B85E4244B}"/>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'1'!$A$20:$A$22</c:f>
              <c:strCache>
                <c:ptCount val="3"/>
                <c:pt idx="0">
                  <c:v>ΕΠΙΤΕΛΙΚΟΣ ΣΥΝΤΟΝΙΣΜΟΣ Α.Δ.Μ.Θ.</c:v>
                </c:pt>
                <c:pt idx="1">
                  <c:v>ΔΙΑΧΕΙΡΙΣΗ ΘΕΜΑΤΩΝ ΑΛΛΟΔΑΠΩΝ ΚΑΙ ΑΣΤΙΚΗΣ ΚΑΤΑΣΤΑΣΗΣ Α.Δ.Μ.Θ.</c:v>
                </c:pt>
                <c:pt idx="2">
                  <c:v>ΦΥΣΙΚΟ ΚΑΙ ΑΣΤΙΚΟ ΠΕΡΙΒΑΛΛΟΝ Α.Δ.Μ.Θ.</c:v>
                </c:pt>
              </c:strCache>
            </c:strRef>
          </c:cat>
          <c:val>
            <c:numRef>
              <c:f>'1'!$B$20:$B$22</c:f>
              <c:numCache>
                <c:formatCode>_-* #,##0\ _€_-;\-* #,##0\ _€_-;_-* "-"??\ _€_-;_-@_-</c:formatCode>
                <c:ptCount val="3"/>
                <c:pt idx="0">
                  <c:v>251</c:v>
                </c:pt>
                <c:pt idx="1">
                  <c:v>126</c:v>
                </c:pt>
                <c:pt idx="2">
                  <c:v>172</c:v>
                </c:pt>
              </c:numCache>
            </c:numRef>
          </c:val>
          <c:extLst>
            <c:ext xmlns:c16="http://schemas.microsoft.com/office/drawing/2014/chart" uri="{C3380CC4-5D6E-409C-BE32-E72D297353CC}">
              <c16:uniqueId val="{00000006-2091-47CD-BC90-AE7B85E4244B}"/>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l-GR"/>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345536466155611E-2"/>
          <c:y val="2.9623269694027968E-2"/>
          <c:w val="0.82648864040837233"/>
          <c:h val="0.79463473915075689"/>
        </c:manualLayout>
      </c:layout>
      <c:pie3DChart>
        <c:varyColors val="1"/>
        <c:ser>
          <c:idx val="0"/>
          <c:order val="0"/>
          <c:tx>
            <c:strRef>
              <c:f>'Δαπάνη '!$B$1</c:f>
              <c:strCache>
                <c:ptCount val="1"/>
                <c:pt idx="0">
                  <c:v>ΠΟΣΟΣΤΟ</c:v>
                </c:pt>
              </c:strCache>
            </c:strRef>
          </c:tx>
          <c:dPt>
            <c:idx val="0"/>
            <c:bubble3D val="0"/>
            <c:spPr>
              <a:solidFill>
                <a:schemeClr val="accent1">
                  <a:shade val="53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CDE-4CB0-BF4F-70E75914A778}"/>
              </c:ext>
            </c:extLst>
          </c:dPt>
          <c:dPt>
            <c:idx val="1"/>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CDE-4CB0-BF4F-70E75914A778}"/>
              </c:ext>
            </c:extLst>
          </c:dPt>
          <c:dPt>
            <c:idx val="2"/>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CDE-4CB0-BF4F-70E75914A778}"/>
              </c:ext>
            </c:extLst>
          </c:dPt>
          <c:dPt>
            <c:idx val="3"/>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CDE-4CB0-BF4F-70E75914A778}"/>
              </c:ext>
            </c:extLst>
          </c:dPt>
          <c:dPt>
            <c:idx val="4"/>
            <c:bubble3D val="0"/>
            <c:explosion val="17"/>
            <c:spPr>
              <a:solidFill>
                <a:schemeClr val="accent1">
                  <a:tint val="54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CDE-4CB0-BF4F-70E75914A778}"/>
              </c:ext>
            </c:extLst>
          </c:dPt>
          <c:dLbls>
            <c:dLbl>
              <c:idx val="0"/>
              <c:layout>
                <c:manualLayout>
                  <c:x val="1.9444444444444445E-2"/>
                  <c:y val="-5.555555555555558E-2"/>
                </c:manualLayout>
              </c:layout>
              <c:tx>
                <c:rich>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01070D3D-9CAA-4325-8928-2017E06DDB43}" type="CATEGORYNAME">
                      <a:rPr lang="el-GR"/>
                      <a:pPr>
                        <a:defRPr/>
                      </a:pPr>
                      <a:t>[ΟΝΟΜΑ ΚΑΤΗΓΟΡΙΑΣ]</a:t>
                    </a:fld>
                    <a:endParaRPr lang="el-GR"/>
                  </a:p>
                </c:rich>
              </c:tx>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l-GR"/>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CDE-4CB0-BF4F-70E75914A778}"/>
                </c:ext>
              </c:extLst>
            </c:dLbl>
            <c:dLbl>
              <c:idx val="1"/>
              <c:layout>
                <c:manualLayout>
                  <c:x val="5.0331411413329925E-2"/>
                  <c:y val="-1.4814814814814951E-2"/>
                </c:manualLayout>
              </c:layout>
              <c:tx>
                <c:rich>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0A2F25D9-11BF-46DD-BE05-7A1B06A94844}" type="CATEGORYNAME">
                      <a:rPr lang="el-GR"/>
                      <a:pPr>
                        <a:defRPr/>
                      </a:pPr>
                      <a:t>[ΟΝΟΜΑ ΚΑΤΗΓΟΡΙΑΣ]</a:t>
                    </a:fld>
                    <a:endParaRPr lang="el-GR"/>
                  </a:p>
                </c:rich>
              </c:tx>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l-GR"/>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CDE-4CB0-BF4F-70E75914A778}"/>
                </c:ext>
              </c:extLst>
            </c:dLbl>
            <c:dLbl>
              <c:idx val="2"/>
              <c:layout>
                <c:manualLayout>
                  <c:x val="-6.997455470737915E-2"/>
                  <c:y val="3.3333333333333194E-2"/>
                </c:manualLayout>
              </c:layout>
              <c:tx>
                <c:rich>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F691C13C-162D-4198-BD60-FC4862E00654}" type="CATEGORYNAME">
                      <a:rPr lang="el-GR"/>
                      <a:pPr>
                        <a:defRPr/>
                      </a:pPr>
                      <a:t>[ΟΝΟΜΑ ΚΑΤΗΓΟΡΙΑΣ]</a:t>
                    </a:fld>
                    <a:endParaRPr lang="el-GR"/>
                  </a:p>
                </c:rich>
              </c:tx>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l-GR"/>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CDE-4CB0-BF4F-70E75914A778}"/>
                </c:ext>
              </c:extLst>
            </c:dLbl>
            <c:dLbl>
              <c:idx val="3"/>
              <c:layout>
                <c:manualLayout>
                  <c:x val="-1.2722646310432569E-2"/>
                  <c:y val="0"/>
                </c:manualLayout>
              </c:layout>
              <c:tx>
                <c:rich>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2DE1CC5A-6540-4777-B0C8-359F2FDE0E0B}" type="CATEGORYNAME">
                      <a:rPr lang="el-GR"/>
                      <a:pPr>
                        <a:defRPr/>
                      </a:pPr>
                      <a:t>[ΟΝΟΜΑ ΚΑΤΗΓΟΡΙΑΣ]</a:t>
                    </a:fld>
                    <a:endParaRPr lang="el-GR"/>
                  </a:p>
                </c:rich>
              </c:tx>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l-GR"/>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CDE-4CB0-BF4F-70E75914A778}"/>
                </c:ext>
              </c:extLst>
            </c:dLbl>
            <c:dLbl>
              <c:idx val="4"/>
              <c:layout>
                <c:manualLayout>
                  <c:x val="-6.9487800981399062E-2"/>
                  <c:y val="2.1385864446370043E-2"/>
                </c:manualLayout>
              </c:layout>
              <c:tx>
                <c:rich>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A14A6A5B-4C4D-4421-97B1-CB3D0EF00D92}" type="CATEGORYNAME">
                      <a:rPr lang="el-GR"/>
                      <a:pPr>
                        <a:defRPr/>
                      </a:pPr>
                      <a:t>[ΟΝΟΜΑ ΚΑΤΗΓΟΡΙΑΣ]</a:t>
                    </a:fld>
                    <a:endParaRPr lang="el-GR"/>
                  </a:p>
                </c:rich>
              </c:tx>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l-GR"/>
                </a:p>
              </c:txPr>
              <c:dLblPos val="bestFit"/>
              <c:showLegendKey val="0"/>
              <c:showVal val="1"/>
              <c:showCatName val="1"/>
              <c:showSerName val="0"/>
              <c:showPercent val="0"/>
              <c:showBubbleSize val="0"/>
              <c:extLst>
                <c:ext xmlns:c15="http://schemas.microsoft.com/office/drawing/2012/chart" uri="{CE6537A1-D6FC-4f65-9D91-7224C49458BB}">
                  <c15:layout>
                    <c:manualLayout>
                      <c:w val="0.22786118758522733"/>
                      <c:h val="0.16585337483279208"/>
                    </c:manualLayout>
                  </c15:layout>
                  <c15:dlblFieldTable/>
                  <c15:showDataLabelsRange val="0"/>
                </c:ext>
                <c:ext xmlns:c16="http://schemas.microsoft.com/office/drawing/2014/chart" uri="{C3380CC4-5D6E-409C-BE32-E72D297353CC}">
                  <c16:uniqueId val="{00000009-4CDE-4CB0-BF4F-70E75914A778}"/>
                </c:ext>
              </c:extLst>
            </c:dLbl>
            <c:spPr>
              <a:noFill/>
              <a:ln>
                <a:noFill/>
              </a:ln>
              <a:effectLst/>
            </c:spPr>
            <c:txPr>
              <a:bodyPr rot="0" spcFirstLastPara="1" vertOverflow="ellipsis" vert="horz" wrap="square" anchor="ctr" anchorCtr="1"/>
              <a:lstStyle/>
              <a:p>
                <a:pPr>
                  <a:defRPr sz="7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'Δαπάνη '!$A$2:$A$6</c:f>
              <c:strCache>
                <c:ptCount val="5"/>
                <c:pt idx="0">
                  <c:v>Υπουργείο Παιδείας, Θρησκευμάτων και Αθλητισμού</c:v>
                </c:pt>
                <c:pt idx="1">
                  <c:v>Υπουργείο Εθνικής Άμυνας</c:v>
                </c:pt>
                <c:pt idx="2">
                  <c:v>Υπουργείο Υγείας</c:v>
                </c:pt>
                <c:pt idx="3">
                  <c:v>Υπουργείο Προστασίας του Πολίτη</c:v>
                </c:pt>
                <c:pt idx="4">
                  <c:v>Λοιποί φορείς της Κεντρικής Διοίκησης</c:v>
                </c:pt>
              </c:strCache>
            </c:strRef>
          </c:cat>
          <c:val>
            <c:numRef>
              <c:f>'Δαπάνη '!$B$2:$B$6</c:f>
              <c:numCache>
                <c:formatCode>0%</c:formatCode>
                <c:ptCount val="5"/>
                <c:pt idx="0">
                  <c:v>0.33</c:v>
                </c:pt>
                <c:pt idx="1">
                  <c:v>0.19</c:v>
                </c:pt>
                <c:pt idx="2">
                  <c:v>0.16</c:v>
                </c:pt>
                <c:pt idx="3">
                  <c:v>0.13</c:v>
                </c:pt>
                <c:pt idx="4">
                  <c:v>0.2</c:v>
                </c:pt>
              </c:numCache>
            </c:numRef>
          </c:val>
          <c:extLst>
            <c:ext xmlns:c16="http://schemas.microsoft.com/office/drawing/2014/chart" uri="{C3380CC4-5D6E-409C-BE32-E72D297353CC}">
              <c16:uniqueId val="{0000000A-4CDE-4CB0-BF4F-70E75914A77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bg1">
          <a:lumMod val="85000"/>
        </a:schemeClr>
      </a:solidFill>
      <a:round/>
    </a:ln>
    <a:effectLst/>
  </c:spPr>
  <c:txPr>
    <a:bodyPr/>
    <a:lstStyle/>
    <a:p>
      <a:pPr>
        <a:defRPr sz="700" b="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userShapes r:id="rId4"/>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pivotSource>
    <c:name>[Διαγράμματα για παροχές σε εργαζόμενους 10.11 (βοηθητικό αρχείο).xlsx]Προσληψεις Διαγραμμα 3.2!Συγκεντρωτικός Πίνακας4</c:name>
    <c:fmtId val="-1"/>
  </c:pivotSource>
  <c:chart>
    <c:autoTitleDeleted val="0"/>
    <c:pivotFmts>
      <c:pivotFmt>
        <c:idx val="0"/>
        <c:spPr>
          <a:solidFill>
            <a:schemeClr val="accent1"/>
          </a:solidFill>
          <a:ln>
            <a:solidFill>
              <a:schemeClr val="accent1">
                <a:shade val="50000"/>
                <a:alpha val="97000"/>
              </a:schemeClr>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0070C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431160961550148E-2"/>
          <c:y val="3.3847724401081115E-2"/>
          <c:w val="0.90478017370623776"/>
          <c:h val="0.7220768657902884"/>
        </c:manualLayout>
      </c:layout>
      <c:barChart>
        <c:barDir val="col"/>
        <c:grouping val="clustered"/>
        <c:varyColors val="0"/>
        <c:ser>
          <c:idx val="0"/>
          <c:order val="0"/>
          <c:tx>
            <c:strRef>
              <c:f>'Προσληψεις Διαγραμμα 3.2'!$B$3</c:f>
              <c:strCache>
                <c:ptCount val="1"/>
                <c:pt idx="0">
                  <c:v>2024: Απολογιστικά στοιχεία</c:v>
                </c:pt>
              </c:strCache>
            </c:strRef>
          </c:tx>
          <c:spPr>
            <a:solidFill>
              <a:srgbClr val="0070C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'Προσληψεις Διαγραμμα 3.2'!$A$4:$A$9</c:f>
              <c:strCache>
                <c:ptCount val="5"/>
                <c:pt idx="0">
                  <c:v>Υπουργείο Παιδείας, Θρησκευμάτων και Αθλητισμού</c:v>
                </c:pt>
                <c:pt idx="1">
                  <c:v>Υπουργείο Εθνικής Άμυνας</c:v>
                </c:pt>
                <c:pt idx="2">
                  <c:v>Υπουργείο Υγείας</c:v>
                </c:pt>
                <c:pt idx="3">
                  <c:v>Υπουργείο Προστασίας του Πολίτη</c:v>
                </c:pt>
                <c:pt idx="4">
                  <c:v>Λοιποί φορείς της Κεντρικής Διοίκησης</c:v>
                </c:pt>
              </c:strCache>
            </c:strRef>
          </c:cat>
          <c:val>
            <c:numRef>
              <c:f>'Προσληψεις Διαγραμμα 3.2'!$B$4:$B$9</c:f>
              <c:numCache>
                <c:formatCode>0%</c:formatCode>
                <c:ptCount val="5"/>
                <c:pt idx="0">
                  <c:v>0.49639635555958478</c:v>
                </c:pt>
                <c:pt idx="1">
                  <c:v>8.3269117447078558E-2</c:v>
                </c:pt>
                <c:pt idx="2">
                  <c:v>0.20416118942930964</c:v>
                </c:pt>
                <c:pt idx="3">
                  <c:v>6.6769412084674309E-2</c:v>
                </c:pt>
                <c:pt idx="4">
                  <c:v>0.14940392547935272</c:v>
                </c:pt>
              </c:numCache>
            </c:numRef>
          </c:val>
          <c:extLst>
            <c:ext xmlns:c16="http://schemas.microsoft.com/office/drawing/2014/chart" uri="{C3380CC4-5D6E-409C-BE32-E72D297353CC}">
              <c16:uniqueId val="{00000000-3AC6-4959-9360-294105F7663E}"/>
            </c:ext>
          </c:extLst>
        </c:ser>
        <c:ser>
          <c:idx val="1"/>
          <c:order val="1"/>
          <c:tx>
            <c:strRef>
              <c:f>'Προσληψεις Διαγραμμα 3.2'!$C$3</c:f>
              <c:strCache>
                <c:ptCount val="1"/>
                <c:pt idx="0">
                  <c:v>2025: Υλοποιηθέντες έως 30.6.2025</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'Προσληψεις Διαγραμμα 3.2'!$A$4:$A$9</c:f>
              <c:strCache>
                <c:ptCount val="5"/>
                <c:pt idx="0">
                  <c:v>Υπουργείο Παιδείας, Θρησκευμάτων και Αθλητισμού</c:v>
                </c:pt>
                <c:pt idx="1">
                  <c:v>Υπουργείο Εθνικής Άμυνας</c:v>
                </c:pt>
                <c:pt idx="2">
                  <c:v>Υπουργείο Υγείας</c:v>
                </c:pt>
                <c:pt idx="3">
                  <c:v>Υπουργείο Προστασίας του Πολίτη</c:v>
                </c:pt>
                <c:pt idx="4">
                  <c:v>Λοιποί φορείς της Κεντρικής Διοίκησης</c:v>
                </c:pt>
              </c:strCache>
            </c:strRef>
          </c:cat>
          <c:val>
            <c:numRef>
              <c:f>'Προσληψεις Διαγραμμα 3.2'!$C$4:$C$9</c:f>
              <c:numCache>
                <c:formatCode>0%</c:formatCode>
                <c:ptCount val="5"/>
                <c:pt idx="0">
                  <c:v>0.20062395008399328</c:v>
                </c:pt>
                <c:pt idx="1">
                  <c:v>2.591792656587473E-2</c:v>
                </c:pt>
                <c:pt idx="2">
                  <c:v>0.14254859611231102</c:v>
                </c:pt>
                <c:pt idx="3">
                  <c:v>0.19870410367170627</c:v>
                </c:pt>
                <c:pt idx="4">
                  <c:v>0.43220542356611469</c:v>
                </c:pt>
              </c:numCache>
            </c:numRef>
          </c:val>
          <c:extLst>
            <c:ext xmlns:c16="http://schemas.microsoft.com/office/drawing/2014/chart" uri="{C3380CC4-5D6E-409C-BE32-E72D297353CC}">
              <c16:uniqueId val="{00000001-3AC6-4959-9360-294105F7663E}"/>
            </c:ext>
          </c:extLst>
        </c:ser>
        <c:dLbls>
          <c:dLblPos val="outEnd"/>
          <c:showLegendKey val="0"/>
          <c:showVal val="1"/>
          <c:showCatName val="0"/>
          <c:showSerName val="0"/>
          <c:showPercent val="0"/>
          <c:showBubbleSize val="0"/>
        </c:dLbls>
        <c:gapWidth val="120"/>
        <c:axId val="1540699871"/>
        <c:axId val="1647167759"/>
      </c:barChart>
      <c:catAx>
        <c:axId val="154069987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1647167759"/>
        <c:crosses val="autoZero"/>
        <c:auto val="1"/>
        <c:lblAlgn val="ctr"/>
        <c:lblOffset val="100"/>
        <c:noMultiLvlLbl val="0"/>
      </c:catAx>
      <c:valAx>
        <c:axId val="1647167759"/>
        <c:scaling>
          <c:orientation val="minMax"/>
        </c:scaling>
        <c:delete val="0"/>
        <c:axPos val="l"/>
        <c:majorGridlines>
          <c:spPr>
            <a:ln w="3175" cap="flat" cmpd="sng" algn="ctr">
              <a:solidFill>
                <a:schemeClr val="bg1">
                  <a:lumMod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1540699871"/>
        <c:crosses val="autoZero"/>
        <c:crossBetween val="between"/>
      </c:valAx>
      <c:spPr>
        <a:noFill/>
        <a:ln>
          <a:noFill/>
        </a:ln>
        <a:effectLst/>
      </c:spPr>
    </c:plotArea>
    <c:legend>
      <c:legendPos val="tr"/>
      <c:layout>
        <c:manualLayout>
          <c:xMode val="edge"/>
          <c:yMode val="edge"/>
          <c:x val="0.55580116156924719"/>
          <c:y val="8.7739462960328668E-2"/>
          <c:w val="0.30069109943198574"/>
          <c:h val="0.1267619493975968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bg1">
          <a:lumMod val="85000"/>
        </a:schemeClr>
      </a:solid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userShapes r:id="rId4"/>
  <c:extLst>
    <c:ext xmlns:c14="http://schemas.microsoft.com/office/drawing/2007/8/2/chart" uri="{781A3756-C4B2-4CAC-9D66-4F8BD8637D16}">
      <c14:pivotOptions>
        <c14:dropZoneFilter val="1"/>
        <c14:dropZoneCatego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pivotSource>
    <c:name>[Διαγράμματα για παροχές σε εργαζόμενους 10.11 (βοηθητικό αρχείο).xlsx]Αποχωρήσεις Διάγραμμα 3.2!Συγκεντρωτικός Πίνακας5</c:name>
    <c:fmtId val="-1"/>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dLbl>
          <c:idx val="0"/>
          <c:layout>
            <c:manualLayout>
              <c:x val="5.5920252143095966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dLbl>
          <c:idx val="0"/>
          <c:layout>
            <c:manualLayout>
              <c:x val="5.5920252143095966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dLbl>
          <c:idx val="0"/>
          <c:layout>
            <c:manualLayout>
              <c:x val="5.5920252143095966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6.6255458420508909E-2"/>
          <c:y val="2.0645985134972209E-2"/>
          <c:w val="0.92015782757034092"/>
          <c:h val="0.7365327500980644"/>
        </c:manualLayout>
      </c:layout>
      <c:barChart>
        <c:barDir val="col"/>
        <c:grouping val="clustered"/>
        <c:varyColors val="0"/>
        <c:ser>
          <c:idx val="0"/>
          <c:order val="0"/>
          <c:tx>
            <c:strRef>
              <c:f>'Αποχωρήσεις Διάγραμμα 3.2'!$B$1</c:f>
              <c:strCache>
                <c:ptCount val="1"/>
                <c:pt idx="0">
                  <c:v> 2024</c:v>
                </c:pt>
              </c:strCache>
            </c:strRef>
          </c:tx>
          <c:spPr>
            <a:solidFill>
              <a:schemeClr val="accent1">
                <a:tint val="65000"/>
              </a:schemeClr>
            </a:solidFill>
            <a:ln>
              <a:noFill/>
            </a:ln>
            <a:effectLst/>
          </c:spPr>
          <c:invertIfNegative val="0"/>
          <c:dPt>
            <c:idx val="0"/>
            <c:invertIfNegative val="0"/>
            <c:bubble3D val="0"/>
            <c:spPr>
              <a:solidFill>
                <a:schemeClr val="accent1">
                  <a:tint val="65000"/>
                </a:schemeClr>
              </a:solidFill>
              <a:ln>
                <a:noFill/>
              </a:ln>
              <a:effectLst/>
            </c:spPr>
            <c:extLst>
              <c:ext xmlns:c16="http://schemas.microsoft.com/office/drawing/2014/chart" uri="{C3380CC4-5D6E-409C-BE32-E72D297353CC}">
                <c16:uniqueId val="{00000001-7F26-4D59-B28E-E9AF21DD427C}"/>
              </c:ext>
            </c:extLst>
          </c:dPt>
          <c:dLbls>
            <c:dLbl>
              <c:idx val="0"/>
              <c:layout>
                <c:manualLayout>
                  <c:x val="-1.3230429988974642E-2"/>
                  <c:y val="4.05268490374873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26-4D59-B28E-E9AF21DD427C}"/>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'Αποχωρήσεις Διάγραμμα 3.2'!$A$2:$A$7</c:f>
              <c:strCache>
                <c:ptCount val="5"/>
                <c:pt idx="0">
                  <c:v>Υπουργείο Παιδείας, Θρησκευμάτων και Αθλητισμού</c:v>
                </c:pt>
                <c:pt idx="1">
                  <c:v>Υπουργείο Υγείας</c:v>
                </c:pt>
                <c:pt idx="2">
                  <c:v>Υπουργείο Εθνικής Άμυνας</c:v>
                </c:pt>
                <c:pt idx="3">
                  <c:v>Υπουργείο Προστασίας του Πολίτη</c:v>
                </c:pt>
                <c:pt idx="4">
                  <c:v>Λοιποί φορείς της Κεντρικής Διοίκησης</c:v>
                </c:pt>
              </c:strCache>
            </c:strRef>
          </c:cat>
          <c:val>
            <c:numRef>
              <c:f>'Αποχωρήσεις Διάγραμμα 3.2'!$B$2:$B$7</c:f>
              <c:numCache>
                <c:formatCode>#,##0</c:formatCode>
                <c:ptCount val="5"/>
                <c:pt idx="0">
                  <c:v>5510</c:v>
                </c:pt>
                <c:pt idx="1">
                  <c:v>2471</c:v>
                </c:pt>
                <c:pt idx="2">
                  <c:v>3192</c:v>
                </c:pt>
                <c:pt idx="3">
                  <c:v>1453</c:v>
                </c:pt>
                <c:pt idx="4">
                  <c:v>2574</c:v>
                </c:pt>
              </c:numCache>
            </c:numRef>
          </c:val>
          <c:extLst>
            <c:ext xmlns:c16="http://schemas.microsoft.com/office/drawing/2014/chart" uri="{C3380CC4-5D6E-409C-BE32-E72D297353CC}">
              <c16:uniqueId val="{00000002-7F26-4D59-B28E-E9AF21DD427C}"/>
            </c:ext>
          </c:extLst>
        </c:ser>
        <c:ser>
          <c:idx val="1"/>
          <c:order val="1"/>
          <c:tx>
            <c:strRef>
              <c:f>'Αποχωρήσεις Διάγραμμα 3.2'!$C$1</c:f>
              <c:strCache>
                <c:ptCount val="1"/>
                <c:pt idx="0">
                  <c:v> 2025</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3-7F26-4D59-B28E-E9AF21DD427C}"/>
              </c:ext>
            </c:extLst>
          </c:dPt>
          <c:dLbls>
            <c:dLbl>
              <c:idx val="0"/>
              <c:layout>
                <c:manualLayout>
                  <c:x val="-8.8202866593164279E-3"/>
                  <c:y val="4.05268490374873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26-4D59-B28E-E9AF21DD427C}"/>
                </c:ext>
              </c:extLst>
            </c:dLbl>
            <c:dLbl>
              <c:idx val="1"/>
              <c:layout>
                <c:manualLayout>
                  <c:x val="4.410143329658214E-3"/>
                  <c:y val="4.05268490374873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26-4D59-B28E-E9AF21DD427C}"/>
                </c:ext>
              </c:extLst>
            </c:dLbl>
            <c:dLbl>
              <c:idx val="2"/>
              <c:layout>
                <c:manualLayout>
                  <c:x val="0"/>
                  <c:y val="4.05268490374873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F26-4D59-B28E-E9AF21DD427C}"/>
                </c:ext>
              </c:extLst>
            </c:dLbl>
            <c:dLbl>
              <c:idx val="4"/>
              <c:layout>
                <c:manualLayout>
                  <c:x val="2.2050716648289452E-3"/>
                  <c:y val="1.2158054711246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26-4D59-B28E-E9AF21DD427C}"/>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'Αποχωρήσεις Διάγραμμα 3.2'!$A$2:$A$7</c:f>
              <c:strCache>
                <c:ptCount val="5"/>
                <c:pt idx="0">
                  <c:v>Υπουργείο Παιδείας, Θρησκευμάτων και Αθλητισμού</c:v>
                </c:pt>
                <c:pt idx="1">
                  <c:v>Υπουργείο Υγείας</c:v>
                </c:pt>
                <c:pt idx="2">
                  <c:v>Υπουργείο Εθνικής Άμυνας</c:v>
                </c:pt>
                <c:pt idx="3">
                  <c:v>Υπουργείο Προστασίας του Πολίτη</c:v>
                </c:pt>
                <c:pt idx="4">
                  <c:v>Λοιποί φορείς της Κεντρικής Διοίκησης</c:v>
                </c:pt>
              </c:strCache>
            </c:strRef>
          </c:cat>
          <c:val>
            <c:numRef>
              <c:f>'Αποχωρήσεις Διάγραμμα 3.2'!$C$2:$C$7</c:f>
              <c:numCache>
                <c:formatCode>#,##0</c:formatCode>
                <c:ptCount val="5"/>
                <c:pt idx="0">
                  <c:v>5877</c:v>
                </c:pt>
                <c:pt idx="1">
                  <c:v>2352</c:v>
                </c:pt>
                <c:pt idx="2">
                  <c:v>4518</c:v>
                </c:pt>
                <c:pt idx="3">
                  <c:v>1784</c:v>
                </c:pt>
                <c:pt idx="4">
                  <c:v>2830</c:v>
                </c:pt>
              </c:numCache>
            </c:numRef>
          </c:val>
          <c:extLst>
            <c:ext xmlns:c16="http://schemas.microsoft.com/office/drawing/2014/chart" uri="{C3380CC4-5D6E-409C-BE32-E72D297353CC}">
              <c16:uniqueId val="{00000004-7F26-4D59-B28E-E9AF21DD427C}"/>
            </c:ext>
          </c:extLst>
        </c:ser>
        <c:ser>
          <c:idx val="2"/>
          <c:order val="2"/>
          <c:tx>
            <c:strRef>
              <c:f>'Αποχωρήσεις Διάγραμμα 3.2'!$D$1</c:f>
              <c:strCache>
                <c:ptCount val="1"/>
                <c:pt idx="0">
                  <c:v> 2026</c:v>
                </c:pt>
              </c:strCache>
            </c:strRef>
          </c:tx>
          <c:spPr>
            <a:solidFill>
              <a:schemeClr val="accent1">
                <a:shade val="65000"/>
              </a:schemeClr>
            </a:solidFill>
            <a:ln>
              <a:noFill/>
            </a:ln>
            <a:effectLst/>
          </c:spPr>
          <c:invertIfNegative val="0"/>
          <c:dPt>
            <c:idx val="3"/>
            <c:invertIfNegative val="0"/>
            <c:bubble3D val="0"/>
            <c:spPr>
              <a:solidFill>
                <a:schemeClr val="accent1">
                  <a:shade val="65000"/>
                </a:schemeClr>
              </a:solidFill>
              <a:ln>
                <a:noFill/>
              </a:ln>
              <a:effectLst/>
            </c:spPr>
            <c:extLst>
              <c:ext xmlns:c16="http://schemas.microsoft.com/office/drawing/2014/chart" uri="{C3380CC4-5D6E-409C-BE32-E72D297353CC}">
                <c16:uniqueId val="{00000006-7F26-4D59-B28E-E9AF21DD427C}"/>
              </c:ext>
            </c:extLst>
          </c:dPt>
          <c:dLbls>
            <c:dLbl>
              <c:idx val="1"/>
              <c:layout>
                <c:manualLayout>
                  <c:x val="1.98456449834619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F26-4D59-B28E-E9AF21DD427C}"/>
                </c:ext>
              </c:extLst>
            </c:dLbl>
            <c:dLbl>
              <c:idx val="3"/>
              <c:layout>
                <c:manualLayout>
                  <c:x val="5.592025214309596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26-4D59-B28E-E9AF21DD427C}"/>
                </c:ext>
              </c:extLst>
            </c:dLbl>
            <c:dLbl>
              <c:idx val="4"/>
              <c:layout>
                <c:manualLayout>
                  <c:x val="1.5435501653803748E-2"/>
                  <c:y val="-4.05268490374880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F26-4D59-B28E-E9AF21DD427C}"/>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'Αποχωρήσεις Διάγραμμα 3.2'!$A$2:$A$7</c:f>
              <c:strCache>
                <c:ptCount val="5"/>
                <c:pt idx="0">
                  <c:v>Υπουργείο Παιδείας, Θρησκευμάτων και Αθλητισμού</c:v>
                </c:pt>
                <c:pt idx="1">
                  <c:v>Υπουργείο Υγείας</c:v>
                </c:pt>
                <c:pt idx="2">
                  <c:v>Υπουργείο Εθνικής Άμυνας</c:v>
                </c:pt>
                <c:pt idx="3">
                  <c:v>Υπουργείο Προστασίας του Πολίτη</c:v>
                </c:pt>
                <c:pt idx="4">
                  <c:v>Λοιποί φορείς της Κεντρικής Διοίκησης</c:v>
                </c:pt>
              </c:strCache>
            </c:strRef>
          </c:cat>
          <c:val>
            <c:numRef>
              <c:f>'Αποχωρήσεις Διάγραμμα 3.2'!$D$2:$D$7</c:f>
              <c:numCache>
                <c:formatCode>#,##0</c:formatCode>
                <c:ptCount val="5"/>
                <c:pt idx="0">
                  <c:v>5878.7631000000001</c:v>
                </c:pt>
                <c:pt idx="1">
                  <c:v>2352.7055999999998</c:v>
                </c:pt>
                <c:pt idx="2">
                  <c:v>3195</c:v>
                </c:pt>
                <c:pt idx="3">
                  <c:v>1784.5352</c:v>
                </c:pt>
                <c:pt idx="4">
                  <c:v>2640.849000000002</c:v>
                </c:pt>
              </c:numCache>
            </c:numRef>
          </c:val>
          <c:extLst>
            <c:ext xmlns:c16="http://schemas.microsoft.com/office/drawing/2014/chart" uri="{C3380CC4-5D6E-409C-BE32-E72D297353CC}">
              <c16:uniqueId val="{00000007-7F26-4D59-B28E-E9AF21DD427C}"/>
            </c:ext>
          </c:extLst>
        </c:ser>
        <c:dLbls>
          <c:showLegendKey val="0"/>
          <c:showVal val="0"/>
          <c:showCatName val="0"/>
          <c:showSerName val="0"/>
          <c:showPercent val="0"/>
          <c:showBubbleSize val="0"/>
        </c:dLbls>
        <c:gapWidth val="120"/>
        <c:axId val="1740966719"/>
        <c:axId val="1480569343"/>
      </c:barChart>
      <c:catAx>
        <c:axId val="174096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1480569343"/>
        <c:crosses val="autoZero"/>
        <c:auto val="1"/>
        <c:lblAlgn val="ctr"/>
        <c:lblOffset val="100"/>
        <c:noMultiLvlLbl val="0"/>
      </c:catAx>
      <c:valAx>
        <c:axId val="1480569343"/>
        <c:scaling>
          <c:orientation val="minMax"/>
        </c:scaling>
        <c:delete val="0"/>
        <c:axPos val="l"/>
        <c:majorGridlines>
          <c:spPr>
            <a:ln w="3175" cap="flat" cmpd="sng" algn="ctr">
              <a:solidFill>
                <a:schemeClr val="bg1">
                  <a:lumMod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crossAx val="1740966719"/>
        <c:crosses val="autoZero"/>
        <c:crossBetween val="between"/>
      </c:valAx>
      <c:spPr>
        <a:noFill/>
        <a:ln>
          <a:noFill/>
        </a:ln>
        <a:effectLst/>
      </c:spPr>
    </c:plotArea>
    <c:legend>
      <c:legendPos val="r"/>
      <c:layout>
        <c:manualLayout>
          <c:xMode val="edge"/>
          <c:yMode val="edge"/>
          <c:x val="0.68714281754700213"/>
          <c:y val="3.7239374666400857E-2"/>
          <c:w val="0.26117632760072579"/>
          <c:h val="0.10902086851546658"/>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bg1">
          <a:lumMod val="85000"/>
        </a:schemeClr>
      </a:solid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l-GR"/>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6.9358540227501528E-2"/>
          <c:y val="3.9907249938191607E-2"/>
          <c:w val="0.90957428322190725"/>
          <c:h val="0.7487840601751613"/>
        </c:manualLayout>
      </c:layout>
      <c:barChart>
        <c:barDir val="col"/>
        <c:grouping val="stacked"/>
        <c:varyColors val="0"/>
        <c:ser>
          <c:idx val="0"/>
          <c:order val="0"/>
          <c:tx>
            <c:strRef>
              <c:f>'Diagramma 4-1'!$B$1</c:f>
              <c:strCache>
                <c:ptCount val="1"/>
                <c:pt idx="0">
                  <c:v>Έντοκα</c:v>
                </c:pt>
              </c:strCache>
            </c:strRef>
          </c:tx>
          <c:spPr>
            <a:solidFill>
              <a:schemeClr val="tx2">
                <a:lumMod val="75000"/>
              </a:schemeClr>
            </a:solidFill>
            <a:ln>
              <a:noFill/>
            </a:ln>
            <a:effectLst/>
          </c:spPr>
          <c:invertIfNegative val="0"/>
          <c:cat>
            <c:strRef>
              <c:f>'Diagramma 4-1'!$A$2:$A$47</c:f>
              <c:strCache>
                <c:ptCount val="46"/>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pt idx="33">
                  <c:v>58</c:v>
                </c:pt>
                <c:pt idx="34">
                  <c:v>59</c:v>
                </c:pt>
                <c:pt idx="35">
                  <c:v>60</c:v>
                </c:pt>
                <c:pt idx="36">
                  <c:v>61</c:v>
                </c:pt>
                <c:pt idx="37">
                  <c:v>62</c:v>
                </c:pt>
                <c:pt idx="38">
                  <c:v>63</c:v>
                </c:pt>
                <c:pt idx="39">
                  <c:v>64</c:v>
                </c:pt>
                <c:pt idx="40">
                  <c:v>65</c:v>
                </c:pt>
                <c:pt idx="41">
                  <c:v>66</c:v>
                </c:pt>
                <c:pt idx="42">
                  <c:v>67</c:v>
                </c:pt>
                <c:pt idx="43">
                  <c:v>68</c:v>
                </c:pt>
                <c:pt idx="44">
                  <c:v>69</c:v>
                </c:pt>
                <c:pt idx="45">
                  <c:v>70</c:v>
                </c:pt>
              </c:strCache>
            </c:strRef>
          </c:cat>
          <c:val>
            <c:numRef>
              <c:f>'Diagramma 4-1'!$B$2:$B$47</c:f>
              <c:numCache>
                <c:formatCode>#,##0.0</c:formatCode>
                <c:ptCount val="46"/>
                <c:pt idx="0">
                  <c:v>4023.71</c:v>
                </c:pt>
                <c:pt idx="1">
                  <c:v>4056.558</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numCache>
            </c:numRef>
          </c:val>
          <c:extLst>
            <c:ext xmlns:c16="http://schemas.microsoft.com/office/drawing/2014/chart" uri="{C3380CC4-5D6E-409C-BE32-E72D297353CC}">
              <c16:uniqueId val="{00000000-0F8A-49D2-A461-E0134E39D8A8}"/>
            </c:ext>
          </c:extLst>
        </c:ser>
        <c:ser>
          <c:idx val="1"/>
          <c:order val="1"/>
          <c:tx>
            <c:strRef>
              <c:f>'Diagramma 4-1'!$C$1</c:f>
              <c:strCache>
                <c:ptCount val="1"/>
                <c:pt idx="0">
                  <c:v>Ομόλογα</c:v>
                </c:pt>
              </c:strCache>
            </c:strRef>
          </c:tx>
          <c:spPr>
            <a:solidFill>
              <a:schemeClr val="accent1"/>
            </a:solidFill>
            <a:ln>
              <a:noFill/>
            </a:ln>
            <a:effectLst/>
          </c:spPr>
          <c:invertIfNegative val="0"/>
          <c:cat>
            <c:strRef>
              <c:f>'Diagramma 4-1'!$A$2:$A$47</c:f>
              <c:strCache>
                <c:ptCount val="46"/>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pt idx="33">
                  <c:v>58</c:v>
                </c:pt>
                <c:pt idx="34">
                  <c:v>59</c:v>
                </c:pt>
                <c:pt idx="35">
                  <c:v>60</c:v>
                </c:pt>
                <c:pt idx="36">
                  <c:v>61</c:v>
                </c:pt>
                <c:pt idx="37">
                  <c:v>62</c:v>
                </c:pt>
                <c:pt idx="38">
                  <c:v>63</c:v>
                </c:pt>
                <c:pt idx="39">
                  <c:v>64</c:v>
                </c:pt>
                <c:pt idx="40">
                  <c:v>65</c:v>
                </c:pt>
                <c:pt idx="41">
                  <c:v>66</c:v>
                </c:pt>
                <c:pt idx="42">
                  <c:v>67</c:v>
                </c:pt>
                <c:pt idx="43">
                  <c:v>68</c:v>
                </c:pt>
                <c:pt idx="44">
                  <c:v>69</c:v>
                </c:pt>
                <c:pt idx="45">
                  <c:v>70</c:v>
                </c:pt>
              </c:strCache>
            </c:strRef>
          </c:cat>
          <c:val>
            <c:numRef>
              <c:f>'Diagramma 4-1'!$C$2:$C$47</c:f>
              <c:numCache>
                <c:formatCode>#,##0.0</c:formatCode>
                <c:ptCount val="46"/>
                <c:pt idx="1">
                  <c:v>6534.882079</c:v>
                </c:pt>
                <c:pt idx="2">
                  <c:v>6173.6944100000001</c:v>
                </c:pt>
                <c:pt idx="3">
                  <c:v>9816.5922429999991</c:v>
                </c:pt>
                <c:pt idx="4">
                  <c:v>4770.4496369999997</c:v>
                </c:pt>
                <c:pt idx="5">
                  <c:v>5673.3861550000001</c:v>
                </c:pt>
                <c:pt idx="6">
                  <c:v>6046.1805000000004</c:v>
                </c:pt>
                <c:pt idx="7">
                  <c:v>3746.2039840000002</c:v>
                </c:pt>
                <c:pt idx="8">
                  <c:v>12013.425832999999</c:v>
                </c:pt>
                <c:pt idx="9">
                  <c:v>5306.3887519999998</c:v>
                </c:pt>
                <c:pt idx="10">
                  <c:v>9243.8306269999994</c:v>
                </c:pt>
                <c:pt idx="11">
                  <c:v>44.197279999999999</c:v>
                </c:pt>
                <c:pt idx="12">
                  <c:v>5804.5361149999999</c:v>
                </c:pt>
                <c:pt idx="13">
                  <c:v>5546.2593969999998</c:v>
                </c:pt>
                <c:pt idx="14">
                  <c:v>45.596290000000003</c:v>
                </c:pt>
                <c:pt idx="15">
                  <c:v>50.228611000000001</c:v>
                </c:pt>
                <c:pt idx="16">
                  <c:v>50.845267</c:v>
                </c:pt>
                <c:pt idx="17">
                  <c:v>5553.6638709999997</c:v>
                </c:pt>
                <c:pt idx="25">
                  <c:v>5364.25</c:v>
                </c:pt>
                <c:pt idx="27">
                  <c:v>3500</c:v>
                </c:pt>
                <c:pt idx="29">
                  <c:v>4000</c:v>
                </c:pt>
                <c:pt idx="32">
                  <c:v>1468.13</c:v>
                </c:pt>
              </c:numCache>
            </c:numRef>
          </c:val>
          <c:extLst>
            <c:ext xmlns:c16="http://schemas.microsoft.com/office/drawing/2014/chart" uri="{C3380CC4-5D6E-409C-BE32-E72D297353CC}">
              <c16:uniqueId val="{00000001-0F8A-49D2-A461-E0134E39D8A8}"/>
            </c:ext>
          </c:extLst>
        </c:ser>
        <c:ser>
          <c:idx val="2"/>
          <c:order val="2"/>
          <c:tx>
            <c:strRef>
              <c:f>'Diagramma 4-1'!$D$1</c:f>
              <c:strCache>
                <c:ptCount val="1"/>
                <c:pt idx="0">
                  <c:v>Δάνεια</c:v>
                </c:pt>
              </c:strCache>
            </c:strRef>
          </c:tx>
          <c:spPr>
            <a:solidFill>
              <a:schemeClr val="accent1">
                <a:tint val="65000"/>
              </a:schemeClr>
            </a:solidFill>
            <a:ln>
              <a:noFill/>
            </a:ln>
            <a:effectLst/>
          </c:spPr>
          <c:invertIfNegative val="0"/>
          <c:cat>
            <c:strRef>
              <c:f>'Diagramma 4-1'!$A$2:$A$47</c:f>
              <c:strCache>
                <c:ptCount val="46"/>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pt idx="14">
                  <c:v>39</c:v>
                </c:pt>
                <c:pt idx="15">
                  <c:v>40</c:v>
                </c:pt>
                <c:pt idx="16">
                  <c:v>41</c:v>
                </c:pt>
                <c:pt idx="17">
                  <c:v>42</c:v>
                </c:pt>
                <c:pt idx="18">
                  <c:v>43</c:v>
                </c:pt>
                <c:pt idx="19">
                  <c:v>44</c:v>
                </c:pt>
                <c:pt idx="20">
                  <c:v>45</c:v>
                </c:pt>
                <c:pt idx="21">
                  <c:v>46</c:v>
                </c:pt>
                <c:pt idx="22">
                  <c:v>47</c:v>
                </c:pt>
                <c:pt idx="23">
                  <c:v>48</c:v>
                </c:pt>
                <c:pt idx="24">
                  <c:v>49</c:v>
                </c:pt>
                <c:pt idx="25">
                  <c:v>50</c:v>
                </c:pt>
                <c:pt idx="26">
                  <c:v>51</c:v>
                </c:pt>
                <c:pt idx="27">
                  <c:v>52</c:v>
                </c:pt>
                <c:pt idx="28">
                  <c:v>53</c:v>
                </c:pt>
                <c:pt idx="29">
                  <c:v>54</c:v>
                </c:pt>
                <c:pt idx="30">
                  <c:v>55</c:v>
                </c:pt>
                <c:pt idx="31">
                  <c:v>56</c:v>
                </c:pt>
                <c:pt idx="32">
                  <c:v>57</c:v>
                </c:pt>
                <c:pt idx="33">
                  <c:v>58</c:v>
                </c:pt>
                <c:pt idx="34">
                  <c:v>59</c:v>
                </c:pt>
                <c:pt idx="35">
                  <c:v>60</c:v>
                </c:pt>
                <c:pt idx="36">
                  <c:v>61</c:v>
                </c:pt>
                <c:pt idx="37">
                  <c:v>62</c:v>
                </c:pt>
                <c:pt idx="38">
                  <c:v>63</c:v>
                </c:pt>
                <c:pt idx="39">
                  <c:v>64</c:v>
                </c:pt>
                <c:pt idx="40">
                  <c:v>65</c:v>
                </c:pt>
                <c:pt idx="41">
                  <c:v>66</c:v>
                </c:pt>
                <c:pt idx="42">
                  <c:v>67</c:v>
                </c:pt>
                <c:pt idx="43">
                  <c:v>68</c:v>
                </c:pt>
                <c:pt idx="44">
                  <c:v>69</c:v>
                </c:pt>
                <c:pt idx="45">
                  <c:v>70</c:v>
                </c:pt>
              </c:strCache>
            </c:strRef>
          </c:cat>
          <c:val>
            <c:numRef>
              <c:f>'Diagramma 4-1'!$D$2:$D$47</c:f>
              <c:numCache>
                <c:formatCode>#,##0.0</c:formatCode>
                <c:ptCount val="46"/>
                <c:pt idx="0">
                  <c:v>1087.3603993148429</c:v>
                </c:pt>
                <c:pt idx="1">
                  <c:v>2323.6927310698516</c:v>
                </c:pt>
                <c:pt idx="2">
                  <c:v>3190.2095493136039</c:v>
                </c:pt>
                <c:pt idx="3">
                  <c:v>3298.5270871466164</c:v>
                </c:pt>
                <c:pt idx="4">
                  <c:v>6308.4231454282881</c:v>
                </c:pt>
                <c:pt idx="5">
                  <c:v>5232.8653185535741</c:v>
                </c:pt>
                <c:pt idx="6">
                  <c:v>5024.0160742685257</c:v>
                </c:pt>
                <c:pt idx="7">
                  <c:v>5301.7692599106831</c:v>
                </c:pt>
                <c:pt idx="8">
                  <c:v>5252.3893232057189</c:v>
                </c:pt>
                <c:pt idx="9">
                  <c:v>5596.6079995663431</c:v>
                </c:pt>
                <c:pt idx="10">
                  <c:v>6322.9424996608195</c:v>
                </c:pt>
                <c:pt idx="11">
                  <c:v>6609.7720089699897</c:v>
                </c:pt>
                <c:pt idx="12">
                  <c:v>7351.8285766317376</c:v>
                </c:pt>
                <c:pt idx="13">
                  <c:v>5931.976367676898</c:v>
                </c:pt>
                <c:pt idx="14">
                  <c:v>5949.3809388548225</c:v>
                </c:pt>
                <c:pt idx="15">
                  <c:v>5260.5356014559629</c:v>
                </c:pt>
                <c:pt idx="16">
                  <c:v>3930.9203573515128</c:v>
                </c:pt>
                <c:pt idx="17">
                  <c:v>3354.2682517567282</c:v>
                </c:pt>
                <c:pt idx="18">
                  <c:v>4194.9609086609362</c:v>
                </c:pt>
                <c:pt idx="19">
                  <c:v>4266.2849806160502</c:v>
                </c:pt>
                <c:pt idx="20">
                  <c:v>4339.1223244995354</c:v>
                </c:pt>
                <c:pt idx="21">
                  <c:v>5313.5183363555097</c:v>
                </c:pt>
                <c:pt idx="22">
                  <c:v>4489.5197764195773</c:v>
                </c:pt>
                <c:pt idx="23">
                  <c:v>4566.9719761844854</c:v>
                </c:pt>
                <c:pt idx="24">
                  <c:v>4646.2488486399998</c:v>
                </c:pt>
                <c:pt idx="25">
                  <c:v>5730.8356830700004</c:v>
                </c:pt>
                <c:pt idx="26">
                  <c:v>6786.7170950499994</c:v>
                </c:pt>
                <c:pt idx="27">
                  <c:v>6820.8757730500001</c:v>
                </c:pt>
                <c:pt idx="28">
                  <c:v>6838.2154258399996</c:v>
                </c:pt>
                <c:pt idx="29">
                  <c:v>6770.9764542999992</c:v>
                </c:pt>
                <c:pt idx="30">
                  <c:v>6779.7761184500005</c:v>
                </c:pt>
                <c:pt idx="31">
                  <c:v>6818.9554479999997</c:v>
                </c:pt>
                <c:pt idx="32">
                  <c:v>6950.2691800000002</c:v>
                </c:pt>
                <c:pt idx="33">
                  <c:v>7084.7438259999999</c:v>
                </c:pt>
                <c:pt idx="34">
                  <c:v>7214.8218706099997</c:v>
                </c:pt>
                <c:pt idx="35">
                  <c:v>7360.364004</c:v>
                </c:pt>
                <c:pt idx="36">
                  <c:v>4071.514776</c:v>
                </c:pt>
                <c:pt idx="37">
                  <c:v>4193.6602190000003</c:v>
                </c:pt>
                <c:pt idx="38">
                  <c:v>4319.4700279999997</c:v>
                </c:pt>
                <c:pt idx="39">
                  <c:v>4449.0541270000003</c:v>
                </c:pt>
                <c:pt idx="40">
                  <c:v>4582.5257490000004</c:v>
                </c:pt>
                <c:pt idx="41">
                  <c:v>4720.0015229999999</c:v>
                </c:pt>
                <c:pt idx="42">
                  <c:v>4861.6015690000004</c:v>
                </c:pt>
                <c:pt idx="43">
                  <c:v>5007.4496159999999</c:v>
                </c:pt>
                <c:pt idx="44">
                  <c:v>5157.6731030000001</c:v>
                </c:pt>
                <c:pt idx="45">
                  <c:v>5312.4033010000003</c:v>
                </c:pt>
              </c:numCache>
            </c:numRef>
          </c:val>
          <c:extLst>
            <c:ext xmlns:c16="http://schemas.microsoft.com/office/drawing/2014/chart" uri="{C3380CC4-5D6E-409C-BE32-E72D297353CC}">
              <c16:uniqueId val="{00000002-0F8A-49D2-A461-E0134E39D8A8}"/>
            </c:ext>
          </c:extLst>
        </c:ser>
        <c:dLbls>
          <c:showLegendKey val="0"/>
          <c:showVal val="0"/>
          <c:showCatName val="0"/>
          <c:showSerName val="0"/>
          <c:showPercent val="0"/>
          <c:showBubbleSize val="0"/>
        </c:dLbls>
        <c:gapWidth val="20"/>
        <c:overlap val="100"/>
        <c:axId val="1683182607"/>
        <c:axId val="1"/>
      </c:barChart>
      <c:catAx>
        <c:axId val="1683182607"/>
        <c:scaling>
          <c:orientation val="minMax"/>
        </c:scaling>
        <c:delete val="0"/>
        <c:axPos val="b"/>
        <c:numFmt formatCode="General" sourceLinked="1"/>
        <c:majorTickMark val="out"/>
        <c:minorTickMark val="none"/>
        <c:tickLblPos val="nextTo"/>
        <c:spPr>
          <a:noFill/>
          <a:ln w="3175" cap="flat" cmpd="sng" algn="ctr">
            <a:solidFill>
              <a:schemeClr val="bg1">
                <a:lumMod val="85000"/>
              </a:schemeClr>
            </a:solidFill>
            <a:prstDash val="solid"/>
            <a:round/>
          </a:ln>
          <a:effectLst/>
        </c:spPr>
        <c:txPr>
          <a:bodyPr rot="0" spcFirstLastPara="1" vertOverflow="ellipsis" wrap="square" anchor="ctr" anchorCtr="1"/>
          <a:lstStyle/>
          <a:p>
            <a:pPr>
              <a:defRPr sz="650" b="1" i="0" u="none" strike="noStrike" kern="1200" baseline="0">
                <a:solidFill>
                  <a:srgbClr val="000000"/>
                </a:solidFill>
                <a:latin typeface="Arial" panose="020B0604020202020204" pitchFamily="34" charset="0"/>
                <a:ea typeface="Times New Roman"/>
                <a:cs typeface="Arial" panose="020B0604020202020204" pitchFamily="34" charset="0"/>
              </a:defRPr>
            </a:pPr>
            <a:endParaRPr lang="el-GR"/>
          </a:p>
        </c:txPr>
        <c:crossAx val="1"/>
        <c:crosses val="autoZero"/>
        <c:auto val="1"/>
        <c:lblAlgn val="ctr"/>
        <c:lblOffset val="100"/>
        <c:tickLblSkip val="1"/>
        <c:tickMarkSkip val="1"/>
        <c:noMultiLvlLbl val="0"/>
      </c:catAx>
      <c:valAx>
        <c:axId val="1"/>
        <c:scaling>
          <c:orientation val="minMax"/>
          <c:max val="18000"/>
          <c:min val="0"/>
        </c:scaling>
        <c:delete val="0"/>
        <c:axPos val="l"/>
        <c:numFmt formatCode="#,##0" sourceLinked="0"/>
        <c:majorTickMark val="out"/>
        <c:minorTickMark val="none"/>
        <c:tickLblPos val="nextTo"/>
        <c:spPr>
          <a:noFill/>
          <a:ln w="3175" cap="flat" cmpd="sng" algn="ctr">
            <a:solidFill>
              <a:schemeClr val="bg1">
                <a:lumMod val="85000"/>
              </a:schemeClr>
            </a:solidFill>
            <a:prstDash val="solid"/>
            <a:round/>
          </a:ln>
          <a:effectLst/>
        </c:spPr>
        <c:txPr>
          <a:bodyPr rot="0" spcFirstLastPara="1" vertOverflow="ellipsis" wrap="square" anchor="ctr" anchorCtr="1"/>
          <a:lstStyle/>
          <a:p>
            <a:pPr>
              <a:defRPr sz="700" b="1" i="0" u="none" strike="noStrike" kern="1200" baseline="0">
                <a:solidFill>
                  <a:srgbClr val="000000"/>
                </a:solidFill>
                <a:latin typeface="Arial" panose="020B0604020202020204" pitchFamily="34" charset="0"/>
                <a:ea typeface="Times New Roman"/>
                <a:cs typeface="Arial" panose="020B0604020202020204" pitchFamily="34" charset="0"/>
              </a:defRPr>
            </a:pPr>
            <a:endParaRPr lang="el-GR"/>
          </a:p>
        </c:txPr>
        <c:crossAx val="1683182607"/>
        <c:crosses val="autoZero"/>
        <c:crossBetween val="between"/>
        <c:majorUnit val="2000"/>
      </c:valAx>
      <c:spPr>
        <a:solidFill>
          <a:srgbClr val="FFFFFF"/>
        </a:solidFill>
        <a:ln w="25400">
          <a:noFill/>
        </a:ln>
        <a:effectLst/>
      </c:spPr>
    </c:plotArea>
    <c:legend>
      <c:legendPos val="b"/>
      <c:layout>
        <c:manualLayout>
          <c:xMode val="edge"/>
          <c:yMode val="edge"/>
          <c:x val="0.36283047860472789"/>
          <c:y val="0.87020555934629351"/>
          <c:w val="0.33760676422406838"/>
          <c:h val="5.6849419098072534E-2"/>
        </c:manualLayout>
      </c:layout>
      <c:overlay val="0"/>
      <c:spPr>
        <a:solidFill>
          <a:srgbClr val="FFFFFF"/>
        </a:solidFill>
        <a:ln w="25400">
          <a:noFill/>
        </a:ln>
        <a:effectLst/>
      </c:spPr>
      <c:txPr>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Times New Roman"/>
              <a:cs typeface="Arial" panose="020B0604020202020204" pitchFamily="34" charset="0"/>
            </a:defRPr>
          </a:pPr>
          <a:endParaRPr lang="el-GR"/>
        </a:p>
      </c:txPr>
    </c:legend>
    <c:plotVisOnly val="1"/>
    <c:dispBlanksAs val="gap"/>
    <c:showDLblsOverMax val="0"/>
  </c:chart>
  <c:spPr>
    <a:solidFill>
      <a:srgbClr val="FFFFFF"/>
    </a:solidFill>
    <a:ln w="3175" cap="flat" cmpd="sng" algn="ctr">
      <a:solidFill>
        <a:schemeClr val="bg1">
          <a:lumMod val="85000"/>
        </a:schemeClr>
      </a:solidFill>
      <a:prstDash val="solid"/>
      <a:round/>
    </a:ln>
    <a:effectLst/>
  </c:spPr>
  <c:txPr>
    <a:bodyPr/>
    <a:lstStyle/>
    <a:p>
      <a:pPr>
        <a:defRPr sz="1725" b="0" i="0" u="none" strike="noStrike" baseline="0">
          <a:solidFill>
            <a:srgbClr val="000000"/>
          </a:solidFill>
          <a:latin typeface="Times New Roman"/>
          <a:ea typeface="Times New Roman"/>
          <a:cs typeface="Times New Roman"/>
        </a:defRPr>
      </a:pPr>
      <a:endParaRPr lang="el-G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'1'!$A$10</c:f>
              <c:strCache>
                <c:ptCount val="1"/>
                <c:pt idx="0">
                  <c:v>ΚΟΙΝΟΒΟΥΛΕΥΤΙΚΟ ΕΡΓΟ</c:v>
                </c:pt>
              </c:strCache>
            </c:strRef>
          </c:tx>
          <c:spPr>
            <a:solidFill>
              <a:schemeClr val="accent1"/>
            </a:solidFill>
            <a:ln>
              <a:noFill/>
            </a:ln>
            <a:effectLst/>
            <a:sp3d/>
          </c:spPr>
          <c:invertIfNegative val="0"/>
          <c:dLbls>
            <c:dLbl>
              <c:idx val="0"/>
              <c:layout>
                <c:manualLayout>
                  <c:x val="0.32364672364672348"/>
                  <c:y val="-6.474457278300022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8C-471C-BD47-1E26B0B9FE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'1'!$A$10</c:f>
              <c:strCache>
                <c:ptCount val="1"/>
                <c:pt idx="0">
                  <c:v>ΚΟΙΝΟΒΟΥΛΕΥΤΙΚΟ ΕΡΓΟ</c:v>
                </c:pt>
              </c:strCache>
            </c:strRef>
          </c:cat>
          <c:val>
            <c:numRef>
              <c:f>'1'!$B$10</c:f>
              <c:numCache>
                <c:formatCode>#,##0_-"€"</c:formatCode>
                <c:ptCount val="1"/>
                <c:pt idx="0">
                  <c:v>186630000</c:v>
                </c:pt>
              </c:numCache>
            </c:numRef>
          </c:val>
          <c:extLst>
            <c:ext xmlns:c16="http://schemas.microsoft.com/office/drawing/2014/chart" uri="{C3380CC4-5D6E-409C-BE32-E72D297353CC}">
              <c16:uniqueId val="{00000001-3F8C-471C-BD47-1E26B0B9FE4D}"/>
            </c:ext>
          </c:extLst>
        </c:ser>
        <c:dLbls>
          <c:showLegendKey val="0"/>
          <c:showVal val="0"/>
          <c:showCatName val="0"/>
          <c:showSerName val="0"/>
          <c:showPercent val="0"/>
          <c:showBubbleSize val="0"/>
        </c:dLbls>
        <c:gapWidth val="150"/>
        <c:shape val="box"/>
        <c:axId val="818912719"/>
        <c:axId val="814160911"/>
        <c:axId val="0"/>
      </c:bar3DChart>
      <c:catAx>
        <c:axId val="8189127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814160911"/>
        <c:crosses val="autoZero"/>
        <c:auto val="1"/>
        <c:lblAlgn val="ctr"/>
        <c:lblOffset val="100"/>
        <c:noMultiLvlLbl val="0"/>
      </c:catAx>
      <c:valAx>
        <c:axId val="814160911"/>
        <c:scaling>
          <c:orientation val="minMax"/>
        </c:scaling>
        <c:delete val="0"/>
        <c:axPos val="l"/>
        <c:majorGridlines>
          <c:spPr>
            <a:ln w="9525" cap="flat" cmpd="sng" algn="ctr">
              <a:noFill/>
              <a:round/>
            </a:ln>
            <a:effectLst/>
          </c:spPr>
        </c:majorGridlines>
        <c:numFmt formatCode="#,##0_-&quot;€&quot;"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818912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noFill/>
      <a:round/>
    </a:ln>
    <a:effectLst/>
  </c:spPr>
  <c:txPr>
    <a:bodyPr/>
    <a:lstStyle/>
    <a:p>
      <a:pPr>
        <a:defRPr/>
      </a:pPr>
      <a:endParaRPr lang="el-GR"/>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495663526998037E-2"/>
          <c:y val="0.22741502207159656"/>
          <c:w val="0.72612740379962659"/>
          <c:h val="0.49844388399254036"/>
        </c:manualLayout>
      </c:layout>
      <c:pie3DChart>
        <c:varyColors val="1"/>
        <c:ser>
          <c:idx val="0"/>
          <c:order val="0"/>
          <c:explosion val="3"/>
          <c:dPt>
            <c:idx val="0"/>
            <c:bubble3D val="0"/>
            <c:spPr>
              <a:solidFill>
                <a:schemeClr val="accent1">
                  <a:tint val="48000"/>
                </a:schemeClr>
              </a:solidFill>
              <a:ln>
                <a:noFill/>
              </a:ln>
              <a:effectLst/>
              <a:sp3d/>
            </c:spPr>
            <c:extLst>
              <c:ext xmlns:c16="http://schemas.microsoft.com/office/drawing/2014/chart" uri="{C3380CC4-5D6E-409C-BE32-E72D297353CC}">
                <c16:uniqueId val="{00000001-A3BF-4D95-AAB3-7E87D087B7B0}"/>
              </c:ext>
            </c:extLst>
          </c:dPt>
          <c:dPt>
            <c:idx val="1"/>
            <c:bubble3D val="0"/>
            <c:spPr>
              <a:solidFill>
                <a:schemeClr val="accent1">
                  <a:tint val="65000"/>
                </a:schemeClr>
              </a:solidFill>
              <a:ln>
                <a:noFill/>
              </a:ln>
              <a:effectLst/>
              <a:sp3d/>
            </c:spPr>
            <c:extLst>
              <c:ext xmlns:c16="http://schemas.microsoft.com/office/drawing/2014/chart" uri="{C3380CC4-5D6E-409C-BE32-E72D297353CC}">
                <c16:uniqueId val="{00000003-A3BF-4D95-AAB3-7E87D087B7B0}"/>
              </c:ext>
            </c:extLst>
          </c:dPt>
          <c:dPt>
            <c:idx val="2"/>
            <c:bubble3D val="0"/>
            <c:spPr>
              <a:solidFill>
                <a:schemeClr val="accent1">
                  <a:tint val="83000"/>
                </a:schemeClr>
              </a:solidFill>
              <a:ln>
                <a:noFill/>
              </a:ln>
              <a:effectLst/>
              <a:sp3d/>
            </c:spPr>
            <c:extLst>
              <c:ext xmlns:c16="http://schemas.microsoft.com/office/drawing/2014/chart" uri="{C3380CC4-5D6E-409C-BE32-E72D297353CC}">
                <c16:uniqueId val="{00000005-A3BF-4D95-AAB3-7E87D087B7B0}"/>
              </c:ext>
            </c:extLst>
          </c:dPt>
          <c:dPt>
            <c:idx val="3"/>
            <c:bubble3D val="0"/>
            <c:spPr>
              <a:solidFill>
                <a:schemeClr val="accent1"/>
              </a:solidFill>
              <a:ln>
                <a:noFill/>
              </a:ln>
              <a:effectLst/>
              <a:sp3d/>
            </c:spPr>
            <c:extLst>
              <c:ext xmlns:c16="http://schemas.microsoft.com/office/drawing/2014/chart" uri="{C3380CC4-5D6E-409C-BE32-E72D297353CC}">
                <c16:uniqueId val="{00000007-A3BF-4D95-AAB3-7E87D087B7B0}"/>
              </c:ext>
            </c:extLst>
          </c:dPt>
          <c:dPt>
            <c:idx val="4"/>
            <c:bubble3D val="0"/>
            <c:spPr>
              <a:solidFill>
                <a:schemeClr val="tx2">
                  <a:lumMod val="40000"/>
                  <a:lumOff val="60000"/>
                </a:schemeClr>
              </a:solidFill>
              <a:ln>
                <a:noFill/>
              </a:ln>
              <a:effectLst/>
              <a:sp3d/>
            </c:spPr>
            <c:extLst>
              <c:ext xmlns:c16="http://schemas.microsoft.com/office/drawing/2014/chart" uri="{C3380CC4-5D6E-409C-BE32-E72D297353CC}">
                <c16:uniqueId val="{00000009-A3BF-4D95-AAB3-7E87D087B7B0}"/>
              </c:ext>
            </c:extLst>
          </c:dPt>
          <c:dPt>
            <c:idx val="5"/>
            <c:bubble3D val="0"/>
            <c:spPr>
              <a:solidFill>
                <a:schemeClr val="accent1">
                  <a:shade val="65000"/>
                </a:schemeClr>
              </a:solidFill>
              <a:ln>
                <a:noFill/>
              </a:ln>
              <a:effectLst/>
              <a:sp3d/>
            </c:spPr>
            <c:extLst>
              <c:ext xmlns:c16="http://schemas.microsoft.com/office/drawing/2014/chart" uri="{C3380CC4-5D6E-409C-BE32-E72D297353CC}">
                <c16:uniqueId val="{0000000B-A3BF-4D95-AAB3-7E87D087B7B0}"/>
              </c:ext>
            </c:extLst>
          </c:dPt>
          <c:dPt>
            <c:idx val="6"/>
            <c:bubble3D val="0"/>
            <c:spPr>
              <a:solidFill>
                <a:schemeClr val="accent1">
                  <a:shade val="47000"/>
                </a:schemeClr>
              </a:solidFill>
              <a:ln>
                <a:noFill/>
              </a:ln>
              <a:effectLst/>
              <a:sp3d/>
            </c:spPr>
            <c:extLst>
              <c:ext xmlns:c16="http://schemas.microsoft.com/office/drawing/2014/chart" uri="{C3380CC4-5D6E-409C-BE32-E72D297353CC}">
                <c16:uniqueId val="{0000000D-A3BF-4D95-AAB3-7E87D087B7B0}"/>
              </c:ext>
            </c:extLst>
          </c:dPt>
          <c:dLbls>
            <c:dLbl>
              <c:idx val="0"/>
              <c:layout>
                <c:manualLayout>
                  <c:x val="-0.13041199699504005"/>
                  <c:y val="-0.1711860012279596"/>
                </c:manualLayout>
              </c:layout>
              <c:numFmt formatCode="0.0%" sourceLinked="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3BF-4D95-AAB3-7E87D087B7B0}"/>
                </c:ext>
              </c:extLst>
            </c:dLbl>
            <c:dLbl>
              <c:idx val="1"/>
              <c:layout>
                <c:manualLayout>
                  <c:x val="-3.4545192783309024E-2"/>
                  <c:y val="-0.22974467966628839"/>
                </c:manualLayout>
              </c:layout>
              <c:numFmt formatCode="0.0%" sourceLinked="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3BF-4D95-AAB3-7E87D087B7B0}"/>
                </c:ext>
              </c:extLst>
            </c:dLbl>
            <c:dLbl>
              <c:idx val="2"/>
              <c:layout>
                <c:manualLayout>
                  <c:x val="2.3964149903165158E-2"/>
                  <c:y val="-0.16329440733560585"/>
                </c:manualLayout>
              </c:layout>
              <c:numFmt formatCode="0.0%" sourceLinked="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3BF-4D95-AAB3-7E87D087B7B0}"/>
                </c:ext>
              </c:extLst>
            </c:dLbl>
            <c:dLbl>
              <c:idx val="3"/>
              <c:layout>
                <c:manualLayout>
                  <c:x val="3.5272763256477865E-2"/>
                  <c:y val="1.0812300737787007E-3"/>
                </c:manualLayout>
              </c:layout>
              <c:tx>
                <c:rich>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fld id="{83030806-060D-4CB6-BE41-0E39B347A841}" type="CATEGORYNAME">
                      <a:rPr lang="el-GR"/>
                      <a:pPr>
                        <a:defRPr sz="700"/>
                      </a:pPr>
                      <a:t>[ΟΝΟΜΑ ΚΑΤΗΓΟΡΙΑΣ]</a:t>
                    </a:fld>
                    <a:r>
                      <a:rPr lang="el-GR" baseline="0"/>
                      <a:t>
0,03%</a:t>
                    </a:r>
                  </a:p>
                </c:rich>
              </c:tx>
              <c:numFmt formatCode="0.0%" sourceLinked="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3BF-4D95-AAB3-7E87D087B7B0}"/>
                </c:ext>
              </c:extLst>
            </c:dLbl>
            <c:dLbl>
              <c:idx val="4"/>
              <c:layout>
                <c:manualLayout>
                  <c:x val="-5.1256968103404466E-3"/>
                  <c:y val="0.15520980530875889"/>
                </c:manualLayout>
              </c:layout>
              <c:numFmt formatCode="0.0%" sourceLinked="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3BF-4D95-AAB3-7E87D087B7B0}"/>
                </c:ext>
              </c:extLst>
            </c:dLbl>
            <c:dLbl>
              <c:idx val="5"/>
              <c:layout>
                <c:manualLayout>
                  <c:x val="0.10090107844362058"/>
                  <c:y val="0.13081321161108081"/>
                </c:manualLayout>
              </c:layout>
              <c:tx>
                <c:rich>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r>
                      <a:rPr lang="el-GR" sz="700" b="0" i="0" u="none" strike="noStrike" baseline="0">
                        <a:solidFill>
                          <a:srgbClr val="000000"/>
                        </a:solidFill>
                        <a:latin typeface="Arial"/>
                        <a:cs typeface="Arial"/>
                      </a:rPr>
                      <a:t>Δάνεια Μηχανισμού Στήριξης</a:t>
                    </a:r>
                  </a:p>
                  <a:p>
                    <a:pPr>
                      <a:defRPr sz="700"/>
                    </a:pPr>
                    <a:r>
                      <a:rPr lang="el-GR" sz="700" b="0" i="0" u="none" strike="noStrike" baseline="0">
                        <a:solidFill>
                          <a:srgbClr val="000000"/>
                        </a:solidFill>
                        <a:latin typeface="Arial"/>
                        <a:cs typeface="Arial"/>
                      </a:rPr>
                      <a:t>53,9%</a:t>
                    </a:r>
                  </a:p>
                </c:rich>
              </c:tx>
              <c:numFmt formatCode="0.0%" sourceLinked="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3BF-4D95-AAB3-7E87D087B7B0}"/>
                </c:ext>
              </c:extLst>
            </c:dLbl>
            <c:dLbl>
              <c:idx val="6"/>
              <c:layout>
                <c:manualLayout>
                  <c:x val="-8.8287674288379872E-2"/>
                  <c:y val="-7.3017739948846735E-2"/>
                </c:manualLayout>
              </c:layout>
              <c:tx>
                <c:rich>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r>
                      <a:rPr lang="en-US" sz="700"/>
                      <a:t>Repos
13,0%</a:t>
                    </a:r>
                  </a:p>
                </c:rich>
              </c:tx>
              <c:numFmt formatCode="0.0%" sourceLinked="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3BF-4D95-AAB3-7E87D087B7B0}"/>
                </c:ext>
              </c:extLst>
            </c:dLbl>
            <c:dLbl>
              <c:idx val="7"/>
              <c:layout>
                <c:manualLayout>
                  <c:x val="1.8374216736421461E-2"/>
                  <c:y val="-9.5634541009476617E-2"/>
                </c:manualLayout>
              </c:layout>
              <c:numFmt formatCode="0.0%" sourceLinked="0"/>
              <c:spPr>
                <a:noFill/>
                <a:ln w="25400">
                  <a:noFill/>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A3BF-4D95-AAB3-7E87D087B7B0}"/>
                </c:ext>
              </c:extLst>
            </c:dLbl>
            <c:numFmt formatCode="0.0%" sourceLinked="0"/>
            <c:spPr>
              <a:noFill/>
              <a:ln w="25400">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0000"/>
                    </a:solidFill>
                    <a:latin typeface="Arial"/>
                    <a:ea typeface="Arial"/>
                    <a:cs typeface="Arial"/>
                  </a:defRPr>
                </a:pPr>
                <a:endParaRPr lang="el-GR"/>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'Diagramma 4-2'!$Q$1:$Q$7</c:f>
              <c:strCache>
                <c:ptCount val="7"/>
                <c:pt idx="0">
                  <c:v>Ομόλογα Εσωτερικού</c:v>
                </c:pt>
                <c:pt idx="1">
                  <c:v>Ομόλογα Εξωτερικού</c:v>
                </c:pt>
                <c:pt idx="2">
                  <c:v>Έντοκα Γραμμάτια</c:v>
                </c:pt>
                <c:pt idx="3">
                  <c:v>Λοιπά Δάνεια Εσωτερικού</c:v>
                </c:pt>
                <c:pt idx="4">
                  <c:v>Ειδικά, Διακρατικά Δάνεια και λοιπά Δάνεια Εξωτερικού</c:v>
                </c:pt>
                <c:pt idx="5">
                  <c:v>Δάνεια Μηχανισμού Στήριξης</c:v>
                </c:pt>
                <c:pt idx="6">
                  <c:v>Repos</c:v>
                </c:pt>
              </c:strCache>
            </c:strRef>
          </c:cat>
          <c:val>
            <c:numRef>
              <c:f>'Diagramma 4-2'!$R$1:$R$7</c:f>
              <c:numCache>
                <c:formatCode>0.0%</c:formatCode>
                <c:ptCount val="7"/>
                <c:pt idx="0">
                  <c:v>0.24557682744903034</c:v>
                </c:pt>
                <c:pt idx="1">
                  <c:v>4.9278965688712081E-3</c:v>
                </c:pt>
                <c:pt idx="2">
                  <c:v>2.0089507707608156E-2</c:v>
                </c:pt>
                <c:pt idx="3" formatCode="0.00%">
                  <c:v>3.1079065141720536E-4</c:v>
                </c:pt>
                <c:pt idx="4">
                  <c:v>6.0024863252113377E-2</c:v>
                </c:pt>
                <c:pt idx="5">
                  <c:v>0.53880905022376924</c:v>
                </c:pt>
                <c:pt idx="6">
                  <c:v>0.13026106414719046</c:v>
                </c:pt>
              </c:numCache>
            </c:numRef>
          </c:val>
          <c:extLst>
            <c:ext xmlns:c16="http://schemas.microsoft.com/office/drawing/2014/chart" uri="{C3380CC4-5D6E-409C-BE32-E72D297353CC}">
              <c16:uniqueId val="{0000000F-A3BF-4D95-AAB3-7E87D087B7B0}"/>
            </c:ext>
          </c:extLst>
        </c:ser>
        <c:dLbls>
          <c:showLegendKey val="0"/>
          <c:showVal val="0"/>
          <c:showCatName val="0"/>
          <c:showSerName val="0"/>
          <c:showPercent val="0"/>
          <c:showBubbleSize val="0"/>
          <c:showLeaderLines val="1"/>
        </c:dLbls>
      </c:pie3DChart>
      <c:spPr>
        <a:noFill/>
        <a:ln w="25400">
          <a:noFill/>
        </a:ln>
        <a:effectLst/>
      </c:spPr>
    </c:plotArea>
    <c:plotVisOnly val="1"/>
    <c:dispBlanksAs val="zero"/>
    <c:showDLblsOverMax val="0"/>
  </c:chart>
  <c:spPr>
    <a:solidFill>
      <a:srgbClr val="FFFFFF"/>
    </a:solidFill>
    <a:ln w="3175" cap="flat" cmpd="sng" algn="ctr">
      <a:solidFill>
        <a:schemeClr val="bg1">
          <a:lumMod val="85000"/>
        </a:schemeClr>
      </a:solidFill>
      <a:prstDash val="solid"/>
      <a:round/>
    </a:ln>
    <a:effectLst/>
  </c:spPr>
  <c:txPr>
    <a:bodyPr/>
    <a:lstStyle/>
    <a:p>
      <a:pPr>
        <a:defRPr sz="1000" b="0" i="0" u="none" strike="noStrike" baseline="0">
          <a:solidFill>
            <a:srgbClr val="000000"/>
          </a:solidFill>
          <a:latin typeface="Arial"/>
          <a:ea typeface="Arial"/>
          <a:cs typeface="Arial"/>
        </a:defRPr>
      </a:pPr>
      <a:endParaRPr lang="el-GR"/>
    </a:p>
  </c:txPr>
  <c:externalData r:id="rId3">
    <c:autoUpdate val="0"/>
  </c:externalData>
  <c:userShapes r:id="rId4"/>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9472990777338607E-2"/>
          <c:y val="3.4300217423317132E-2"/>
          <c:w val="0.87623117249493865"/>
          <c:h val="0.76037521035464239"/>
        </c:manualLayout>
      </c:layout>
      <c:lineChart>
        <c:grouping val="standard"/>
        <c:varyColors val="0"/>
        <c:ser>
          <c:idx val="1"/>
          <c:order val="0"/>
          <c:tx>
            <c:strRef>
              <c:f>'Diagramma 4.3 '!$A$5</c:f>
              <c:strCache>
                <c:ptCount val="1"/>
                <c:pt idx="0">
                  <c:v>Τόκοι μετά SWAP ως % του ΑΕΠ</c:v>
                </c:pt>
              </c:strCache>
            </c:strRef>
          </c:tx>
          <c:spPr>
            <a:ln w="28575" cap="rnd" cmpd="sng" algn="ctr">
              <a:solidFill>
                <a:schemeClr val="accent1">
                  <a:lumMod val="75000"/>
                </a:schemeClr>
              </a:solidFill>
              <a:prstDash val="solid"/>
              <a:round/>
            </a:ln>
            <a:effectLst/>
          </c:spPr>
          <c:marker>
            <c:symbol val="square"/>
            <c:size val="5"/>
            <c:spPr>
              <a:solidFill>
                <a:schemeClr val="accent1">
                  <a:lumMod val="75000"/>
                </a:schemeClr>
              </a:solidFill>
              <a:ln w="9525" cap="flat" cmpd="sng" algn="ctr">
                <a:solidFill>
                  <a:schemeClr val="accent1">
                    <a:lumMod val="75000"/>
                  </a:schemeClr>
                </a:solidFill>
                <a:prstDash val="solid"/>
                <a:round/>
              </a:ln>
              <a:effectLst/>
            </c:spPr>
          </c:marker>
          <c:cat>
            <c:strRef>
              <c:f>'Diagramma 4.3 '!$B$3:$G$3</c:f>
              <c:strCache>
                <c:ptCount val="6"/>
                <c:pt idx="0">
                  <c:v>2021</c:v>
                </c:pt>
                <c:pt idx="1">
                  <c:v>2022</c:v>
                </c:pt>
                <c:pt idx="2">
                  <c:v>2023</c:v>
                </c:pt>
                <c:pt idx="3">
                  <c:v>2024</c:v>
                </c:pt>
                <c:pt idx="4">
                  <c:v>2025*</c:v>
                </c:pt>
                <c:pt idx="5">
                  <c:v>2026**</c:v>
                </c:pt>
              </c:strCache>
            </c:strRef>
          </c:cat>
          <c:val>
            <c:numRef>
              <c:f>'Diagramma 4.3 '!$B$5:$G$5</c:f>
              <c:numCache>
                <c:formatCode>0.0%</c:formatCode>
                <c:ptCount val="6"/>
                <c:pt idx="0">
                  <c:v>3.2328321820398215E-2</c:v>
                </c:pt>
                <c:pt idx="1">
                  <c:v>2.9274089532339172E-2</c:v>
                </c:pt>
                <c:pt idx="2">
                  <c:v>2.8817994890647392E-2</c:v>
                </c:pt>
                <c:pt idx="3">
                  <c:v>2.9758887537172207E-2</c:v>
                </c:pt>
                <c:pt idx="4">
                  <c:v>2.9328862028894599E-2</c:v>
                </c:pt>
                <c:pt idx="5">
                  <c:v>2.806545272751745E-2</c:v>
                </c:pt>
              </c:numCache>
            </c:numRef>
          </c:val>
          <c:smooth val="0"/>
          <c:extLst>
            <c:ext xmlns:c16="http://schemas.microsoft.com/office/drawing/2014/chart" uri="{C3380CC4-5D6E-409C-BE32-E72D297353CC}">
              <c16:uniqueId val="{00000000-2766-4A1F-ABB2-8504538439CC}"/>
            </c:ext>
          </c:extLst>
        </c:ser>
        <c:dLbls>
          <c:showLegendKey val="0"/>
          <c:showVal val="0"/>
          <c:showCatName val="0"/>
          <c:showSerName val="0"/>
          <c:showPercent val="0"/>
          <c:showBubbleSize val="0"/>
        </c:dLbls>
        <c:marker val="1"/>
        <c:smooth val="0"/>
        <c:axId val="1683181007"/>
        <c:axId val="1"/>
      </c:lineChart>
      <c:catAx>
        <c:axId val="1683181007"/>
        <c:scaling>
          <c:orientation val="minMax"/>
        </c:scaling>
        <c:delete val="0"/>
        <c:axPos val="b"/>
        <c:numFmt formatCode="General" sourceLinked="1"/>
        <c:majorTickMark val="out"/>
        <c:minorTickMark val="none"/>
        <c:tickLblPos val="nextTo"/>
        <c:spPr>
          <a:noFill/>
          <a:ln w="3175" cap="flat" cmpd="sng" algn="ctr">
            <a:solidFill>
              <a:schemeClr val="bg1">
                <a:lumMod val="85000"/>
              </a:schemeClr>
            </a:solidFill>
            <a:prstDash val="solid"/>
            <a:round/>
          </a:ln>
          <a:effectLst/>
        </c:spPr>
        <c:txPr>
          <a:bodyPr rot="0" spcFirstLastPara="1" vertOverflow="ellipsis" wrap="square" anchor="ctr" anchorCtr="1"/>
          <a:lstStyle/>
          <a:p>
            <a:pPr>
              <a:defRPr sz="700" b="1" i="0" u="none" strike="noStrike" kern="1200" baseline="0">
                <a:solidFill>
                  <a:srgbClr val="000000"/>
                </a:solidFill>
                <a:latin typeface="Arial"/>
                <a:ea typeface="Arial"/>
                <a:cs typeface="Arial"/>
              </a:defRPr>
            </a:pPr>
            <a:endParaRPr lang="el-GR"/>
          </a:p>
        </c:txPr>
        <c:crossAx val="1"/>
        <c:crosses val="autoZero"/>
        <c:auto val="1"/>
        <c:lblAlgn val="ctr"/>
        <c:lblOffset val="100"/>
        <c:tickLblSkip val="1"/>
        <c:tickMarkSkip val="1"/>
        <c:noMultiLvlLbl val="0"/>
      </c:catAx>
      <c:valAx>
        <c:axId val="1"/>
        <c:scaling>
          <c:orientation val="minMax"/>
          <c:max val="4.0000000000000008E-2"/>
          <c:min val="0"/>
        </c:scaling>
        <c:delete val="0"/>
        <c:axPos val="l"/>
        <c:majorGridlines>
          <c:spPr>
            <a:ln w="3175" cap="flat" cmpd="sng" algn="ctr">
              <a:solidFill>
                <a:schemeClr val="bg1">
                  <a:lumMod val="65000"/>
                </a:schemeClr>
              </a:solidFill>
              <a:prstDash val="solid"/>
              <a:round/>
            </a:ln>
            <a:effectLst/>
          </c:spPr>
        </c:majorGridlines>
        <c:numFmt formatCode="0.0%" sourceLinked="1"/>
        <c:majorTickMark val="out"/>
        <c:minorTickMark val="none"/>
        <c:tickLblPos val="nextTo"/>
        <c:spPr>
          <a:noFill/>
          <a:ln w="3175" cap="flat" cmpd="sng" algn="ctr">
            <a:solidFill>
              <a:schemeClr val="bg1">
                <a:lumMod val="85000"/>
              </a:schemeClr>
            </a:solidFill>
            <a:prstDash val="solid"/>
            <a:round/>
          </a:ln>
          <a:effectLst/>
        </c:spPr>
        <c:txPr>
          <a:bodyPr rot="0" spcFirstLastPara="1" vertOverflow="ellipsis" wrap="square" anchor="ctr" anchorCtr="1"/>
          <a:lstStyle/>
          <a:p>
            <a:pPr>
              <a:defRPr sz="700" b="1" i="0" u="none" strike="noStrike" kern="1200" baseline="0">
                <a:solidFill>
                  <a:srgbClr val="000000"/>
                </a:solidFill>
                <a:latin typeface="Arial"/>
                <a:ea typeface="Arial"/>
                <a:cs typeface="Arial"/>
              </a:defRPr>
            </a:pPr>
            <a:endParaRPr lang="el-GR"/>
          </a:p>
        </c:txPr>
        <c:crossAx val="1683181007"/>
        <c:crosses val="autoZero"/>
        <c:crossBetween val="between"/>
        <c:minorUnit val="1.0000000000000002E-2"/>
      </c:valAx>
      <c:spPr>
        <a:solidFill>
          <a:srgbClr val="D5DCE4"/>
        </a:solidFill>
        <a:ln w="3175">
          <a:solidFill>
            <a:schemeClr val="bg1">
              <a:lumMod val="85000"/>
            </a:schemeClr>
          </a:solidFill>
          <a:prstDash val="solid"/>
        </a:ln>
        <a:effectLst/>
      </c:spPr>
    </c:plotArea>
    <c:legend>
      <c:legendPos val="r"/>
      <c:layout>
        <c:manualLayout>
          <c:xMode val="edge"/>
          <c:yMode val="edge"/>
          <c:x val="0.43976767853247378"/>
          <c:y val="0.88099557476159807"/>
          <c:w val="0.50623692722877489"/>
          <c:h val="9.6463189626049203E-2"/>
        </c:manualLayout>
      </c:layout>
      <c:overlay val="0"/>
      <c:spPr>
        <a:solidFill>
          <a:srgbClr val="FFFFFF"/>
        </a:solidFill>
        <a:ln w="3175">
          <a:noFill/>
          <a:prstDash val="solid"/>
        </a:ln>
        <a:effectLst/>
      </c:spPr>
      <c:txPr>
        <a:bodyPr rot="0" spcFirstLastPara="1" vertOverflow="ellipsis" vert="horz" wrap="square" anchor="ctr" anchorCtr="1"/>
        <a:lstStyle/>
        <a:p>
          <a:pPr>
            <a:defRPr sz="700" b="0" i="0" u="none" strike="noStrike" kern="1200" baseline="0">
              <a:solidFill>
                <a:srgbClr val="000000"/>
              </a:solidFill>
              <a:latin typeface="Arial"/>
              <a:ea typeface="Arial"/>
              <a:cs typeface="Arial"/>
            </a:defRPr>
          </a:pPr>
          <a:endParaRPr lang="el-GR"/>
        </a:p>
      </c:txPr>
    </c:legend>
    <c:plotVisOnly val="1"/>
    <c:dispBlanksAs val="gap"/>
    <c:showDLblsOverMax val="0"/>
  </c:chart>
  <c:spPr>
    <a:solidFill>
      <a:srgbClr val="FFFFFF"/>
    </a:solidFill>
    <a:ln w="3175" cap="flat" cmpd="sng" algn="ctr">
      <a:solidFill>
        <a:schemeClr val="bg1">
          <a:lumMod val="85000"/>
        </a:schemeClr>
      </a:solidFill>
      <a:prstDash val="solid"/>
      <a:round/>
    </a:ln>
    <a:effectLst/>
  </c:spPr>
  <c:txPr>
    <a:bodyPr/>
    <a:lstStyle/>
    <a:p>
      <a:pPr>
        <a:defRPr sz="900" b="0" i="0" u="none" strike="noStrike" baseline="0">
          <a:solidFill>
            <a:srgbClr val="000000"/>
          </a:solidFill>
          <a:latin typeface="Arial"/>
          <a:ea typeface="Arial"/>
          <a:cs typeface="Arial"/>
        </a:defRPr>
      </a:pPr>
      <a:endParaRPr lang="el-GR"/>
    </a:p>
  </c:txPr>
  <c:externalData r:id="rId3">
    <c:autoUpdate val="0"/>
  </c:externalData>
  <c:userShapes r:id="rId4"/>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780800127256812E-2"/>
          <c:y val="6.8922305764411024E-2"/>
          <c:w val="0.89083104005938651"/>
          <c:h val="0.75187969924812026"/>
        </c:manualLayout>
      </c:layout>
      <c:lineChart>
        <c:grouping val="standard"/>
        <c:varyColors val="0"/>
        <c:ser>
          <c:idx val="0"/>
          <c:order val="0"/>
          <c:tx>
            <c:strRef>
              <c:f>'Diagramma 4.4 '!$D$1</c:f>
              <c:strCache>
                <c:ptCount val="1"/>
              </c:strCache>
            </c:strRef>
          </c:tx>
          <c:spPr>
            <a:ln w="28575" cmpd="sng">
              <a:solidFill>
                <a:schemeClr val="accent1">
                  <a:lumMod val="75000"/>
                </a:schemeClr>
              </a:solidFill>
              <a:prstDash val="solid"/>
            </a:ln>
          </c:spPr>
          <c:marker>
            <c:symbol val="square"/>
            <c:size val="5"/>
            <c:spPr>
              <a:solidFill>
                <a:schemeClr val="accent1">
                  <a:lumMod val="75000"/>
                </a:schemeClr>
              </a:solidFill>
              <a:ln>
                <a:solidFill>
                  <a:schemeClr val="accent1">
                    <a:lumMod val="75000"/>
                  </a:schemeClr>
                </a:solidFill>
                <a:prstDash val="solid"/>
              </a:ln>
            </c:spPr>
          </c:marker>
          <c:cat>
            <c:strRef>
              <c:f>'Diagramma 4.4 '!$A$3:$A$10</c:f>
              <c:strCache>
                <c:ptCount val="8"/>
                <c:pt idx="0">
                  <c:v>3Μ</c:v>
                </c:pt>
                <c:pt idx="1">
                  <c:v>6Μ</c:v>
                </c:pt>
                <c:pt idx="2">
                  <c:v>1Ε</c:v>
                </c:pt>
                <c:pt idx="3">
                  <c:v>5Ε</c:v>
                </c:pt>
                <c:pt idx="4">
                  <c:v>10Ε</c:v>
                </c:pt>
                <c:pt idx="5">
                  <c:v>15Ε</c:v>
                </c:pt>
                <c:pt idx="6">
                  <c:v>20Ε</c:v>
                </c:pt>
                <c:pt idx="7">
                  <c:v>30Ε</c:v>
                </c:pt>
              </c:strCache>
            </c:strRef>
          </c:cat>
          <c:val>
            <c:numRef>
              <c:f>'Diagramma 4.4 '!$B$3:$B$10</c:f>
              <c:numCache>
                <c:formatCode>0.0000%</c:formatCode>
                <c:ptCount val="8"/>
                <c:pt idx="0">
                  <c:v>2.061E-2</c:v>
                </c:pt>
                <c:pt idx="1">
                  <c:v>2.0279999999999999E-2</c:v>
                </c:pt>
                <c:pt idx="2">
                  <c:v>1.9980000000000001E-2</c:v>
                </c:pt>
                <c:pt idx="3">
                  <c:v>2.461E-2</c:v>
                </c:pt>
                <c:pt idx="4">
                  <c:v>3.2349999999999997E-2</c:v>
                </c:pt>
                <c:pt idx="5">
                  <c:v>3.5060000000000001E-2</c:v>
                </c:pt>
                <c:pt idx="6">
                  <c:v>3.6749999999999998E-2</c:v>
                </c:pt>
                <c:pt idx="7">
                  <c:v>4.1270000000000001E-2</c:v>
                </c:pt>
              </c:numCache>
            </c:numRef>
          </c:val>
          <c:smooth val="0"/>
          <c:extLst>
            <c:ext xmlns:c16="http://schemas.microsoft.com/office/drawing/2014/chart" uri="{C3380CC4-5D6E-409C-BE32-E72D297353CC}">
              <c16:uniqueId val="{00000000-E895-431B-A67D-E99C5ABB943B}"/>
            </c:ext>
          </c:extLst>
        </c:ser>
        <c:ser>
          <c:idx val="1"/>
          <c:order val="1"/>
          <c:tx>
            <c:strRef>
              <c:f>'Diagramma 4.4 '!$B$1</c:f>
              <c:strCache>
                <c:ptCount val="1"/>
                <c:pt idx="0">
                  <c:v>20/10/2025</c:v>
                </c:pt>
              </c:strCache>
            </c:strRef>
          </c:tx>
          <c:spPr>
            <a:ln w="12700">
              <a:solidFill>
                <a:srgbClr val="FF00FF"/>
              </a:solidFill>
              <a:prstDash val="solid"/>
            </a:ln>
          </c:spPr>
          <c:marker>
            <c:symbol val="diamond"/>
            <c:size val="5"/>
            <c:spPr>
              <a:solidFill>
                <a:srgbClr val="FF00FF"/>
              </a:solidFill>
              <a:ln>
                <a:solidFill>
                  <a:srgbClr val="FF00FF"/>
                </a:solidFill>
                <a:prstDash val="solid"/>
              </a:ln>
            </c:spPr>
          </c:marker>
          <c:cat>
            <c:strRef>
              <c:f>'Diagramma 4.4 '!$A$3:$A$10</c:f>
              <c:strCache>
                <c:ptCount val="8"/>
                <c:pt idx="0">
                  <c:v>3Μ</c:v>
                </c:pt>
                <c:pt idx="1">
                  <c:v>6Μ</c:v>
                </c:pt>
                <c:pt idx="2">
                  <c:v>1Ε</c:v>
                </c:pt>
                <c:pt idx="3">
                  <c:v>5Ε</c:v>
                </c:pt>
                <c:pt idx="4">
                  <c:v>10Ε</c:v>
                </c:pt>
                <c:pt idx="5">
                  <c:v>15Ε</c:v>
                </c:pt>
                <c:pt idx="6">
                  <c:v>20Ε</c:v>
                </c:pt>
                <c:pt idx="7">
                  <c:v>30Ε</c:v>
                </c:pt>
              </c:strCache>
            </c:strRef>
          </c:cat>
          <c:val>
            <c:numRef>
              <c:f>'Diagramma 4.4 '!#REF!</c:f>
              <c:numCache>
                <c:formatCode>General</c:formatCode>
                <c:ptCount val="1"/>
                <c:pt idx="0">
                  <c:v>1</c:v>
                </c:pt>
              </c:numCache>
            </c:numRef>
          </c:val>
          <c:smooth val="0"/>
          <c:extLst>
            <c:ext xmlns:c16="http://schemas.microsoft.com/office/drawing/2014/chart" uri="{C3380CC4-5D6E-409C-BE32-E72D297353CC}">
              <c16:uniqueId val="{00000001-E895-431B-A67D-E99C5ABB943B}"/>
            </c:ext>
          </c:extLst>
        </c:ser>
        <c:dLbls>
          <c:showLegendKey val="0"/>
          <c:showVal val="0"/>
          <c:showCatName val="0"/>
          <c:showSerName val="0"/>
          <c:showPercent val="0"/>
          <c:showBubbleSize val="0"/>
        </c:dLbls>
        <c:marker val="1"/>
        <c:smooth val="0"/>
        <c:axId val="1683178607"/>
        <c:axId val="1"/>
      </c:lineChart>
      <c:catAx>
        <c:axId val="1683178607"/>
        <c:scaling>
          <c:orientation val="minMax"/>
        </c:scaling>
        <c:delete val="0"/>
        <c:axPos val="b"/>
        <c:numFmt formatCode="General" sourceLinked="1"/>
        <c:majorTickMark val="out"/>
        <c:minorTickMark val="none"/>
        <c:tickLblPos val="low"/>
        <c:spPr>
          <a:ln w="3175">
            <a:solidFill>
              <a:schemeClr val="bg1">
                <a:lumMod val="85000"/>
              </a:schemeClr>
            </a:solidFill>
            <a:prstDash val="solid"/>
          </a:ln>
        </c:spPr>
        <c:txPr>
          <a:bodyPr rot="0" vert="horz"/>
          <a:lstStyle/>
          <a:p>
            <a:pPr>
              <a:defRPr sz="700" b="0" i="0" u="none" strike="noStrike" baseline="0">
                <a:solidFill>
                  <a:srgbClr val="000000"/>
                </a:solidFill>
                <a:latin typeface="Arial" panose="020B0604020202020204" pitchFamily="34" charset="0"/>
                <a:ea typeface="Times New Roman"/>
                <a:cs typeface="Arial" panose="020B0604020202020204" pitchFamily="34" charset="0"/>
              </a:defRPr>
            </a:pPr>
            <a:endParaRPr lang="el-GR"/>
          </a:p>
        </c:txPr>
        <c:crossAx val="1"/>
        <c:crosses val="autoZero"/>
        <c:auto val="1"/>
        <c:lblAlgn val="ctr"/>
        <c:lblOffset val="100"/>
        <c:tickLblSkip val="1"/>
        <c:tickMarkSkip val="1"/>
        <c:noMultiLvlLbl val="0"/>
      </c:catAx>
      <c:valAx>
        <c:axId val="1"/>
        <c:scaling>
          <c:orientation val="minMax"/>
          <c:max val="5.5000000000000007E-2"/>
          <c:min val="0"/>
        </c:scaling>
        <c:delete val="0"/>
        <c:axPos val="l"/>
        <c:majorGridlines>
          <c:spPr>
            <a:ln w="3175">
              <a:solidFill>
                <a:schemeClr val="bg1">
                  <a:lumMod val="65000"/>
                </a:schemeClr>
              </a:solidFill>
              <a:prstDash val="solid"/>
            </a:ln>
          </c:spPr>
        </c:majorGridlines>
        <c:numFmt formatCode="0.0%" sourceLinked="0"/>
        <c:majorTickMark val="out"/>
        <c:minorTickMark val="none"/>
        <c:tickLblPos val="nextTo"/>
        <c:spPr>
          <a:ln w="3175">
            <a:solidFill>
              <a:schemeClr val="bg1">
                <a:lumMod val="85000"/>
              </a:schemeClr>
            </a:solidFill>
            <a:prstDash val="solid"/>
          </a:ln>
        </c:spPr>
        <c:txPr>
          <a:bodyPr rot="0" vert="horz"/>
          <a:lstStyle/>
          <a:p>
            <a:pPr>
              <a:defRPr sz="700" b="0" i="0" u="none" strike="noStrike" baseline="0">
                <a:solidFill>
                  <a:srgbClr val="000000"/>
                </a:solidFill>
                <a:latin typeface="Arial" panose="020B0604020202020204" pitchFamily="34" charset="0"/>
                <a:ea typeface="Times New Roman"/>
                <a:cs typeface="Arial" panose="020B0604020202020204" pitchFamily="34" charset="0"/>
              </a:defRPr>
            </a:pPr>
            <a:endParaRPr lang="el-GR"/>
          </a:p>
        </c:txPr>
        <c:crossAx val="1683178607"/>
        <c:crosses val="autoZero"/>
        <c:crossBetween val="between"/>
        <c:majorUnit val="5.000000000000001E-3"/>
      </c:valAx>
      <c:spPr>
        <a:solidFill>
          <a:srgbClr val="D5DCE4"/>
        </a:solidFill>
        <a:ln w="3175">
          <a:solidFill>
            <a:schemeClr val="bg1">
              <a:lumMod val="85000"/>
            </a:schemeClr>
          </a:solidFill>
          <a:prstDash val="solid"/>
        </a:ln>
      </c:spPr>
    </c:plotArea>
    <c:plotVisOnly val="1"/>
    <c:dispBlanksAs val="gap"/>
    <c:showDLblsOverMax val="0"/>
  </c:chart>
  <c:spPr>
    <a:solidFill>
      <a:srgbClr val="FFFFFF"/>
    </a:solidFill>
    <a:ln w="3175">
      <a:solidFill>
        <a:schemeClr val="bg1">
          <a:lumMod val="85000"/>
        </a:schemeClr>
      </a:solidFill>
    </a:ln>
  </c:spPr>
  <c:txPr>
    <a:bodyPr/>
    <a:lstStyle/>
    <a:p>
      <a:pPr>
        <a:defRPr sz="1200" b="0" i="0" u="none" strike="noStrike" baseline="0">
          <a:solidFill>
            <a:srgbClr val="000000"/>
          </a:solidFill>
          <a:latin typeface="Arial"/>
          <a:ea typeface="Arial"/>
          <a:cs typeface="Arial"/>
        </a:defRPr>
      </a:pPr>
      <a:endParaRPr lang="el-GR"/>
    </a:p>
  </c:txPr>
  <c:externalData r:id="rId1">
    <c:autoUpdate val="0"/>
  </c:externalData>
  <c:userShapes r:id="rId2"/>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4717464341213143E-2"/>
          <c:y val="3.8749047917376128E-2"/>
          <c:w val="0.87063799494743421"/>
          <c:h val="0.68524299015937129"/>
        </c:manualLayout>
      </c:layout>
      <c:lineChart>
        <c:grouping val="standard"/>
        <c:varyColors val="0"/>
        <c:ser>
          <c:idx val="0"/>
          <c:order val="0"/>
          <c:tx>
            <c:strRef>
              <c:f>'ΣΤΟΙΧΕΙΑ ΓΙΑ ΠΡΟΥΠ '!$B$2</c:f>
              <c:strCache>
                <c:ptCount val="1"/>
                <c:pt idx="0">
                  <c:v>ΒΕΛΓΙΟ</c:v>
                </c:pt>
              </c:strCache>
            </c:strRef>
          </c:tx>
          <c:spPr>
            <a:ln w="28575" cap="rnd" cmpd="sng" algn="ctr">
              <a:solidFill>
                <a:schemeClr val="accent4">
                  <a:lumMod val="50000"/>
                </a:schemeClr>
              </a:solidFill>
              <a:prstDash val="solid"/>
              <a:round/>
            </a:ln>
            <a:effectLst/>
          </c:spPr>
          <c:marker>
            <c:symbol val="none"/>
          </c:marker>
          <c:cat>
            <c:numRef>
              <c:f>'ΣΤΟΙΧΕΙΑ ΓΙΑ ΠΡΟΥΠ '!$A$2032:$A$2563</c:f>
              <c:numCache>
                <c:formatCode>m/d/yyyy</c:formatCode>
                <c:ptCount val="275"/>
                <c:pt idx="0">
                  <c:v>45566</c:v>
                </c:pt>
                <c:pt idx="1">
                  <c:v>45567</c:v>
                </c:pt>
                <c:pt idx="2">
                  <c:v>45568</c:v>
                </c:pt>
                <c:pt idx="3">
                  <c:v>45569</c:v>
                </c:pt>
                <c:pt idx="4">
                  <c:v>45572</c:v>
                </c:pt>
                <c:pt idx="5">
                  <c:v>45573</c:v>
                </c:pt>
                <c:pt idx="6">
                  <c:v>45574</c:v>
                </c:pt>
                <c:pt idx="7">
                  <c:v>45575</c:v>
                </c:pt>
                <c:pt idx="8">
                  <c:v>45576</c:v>
                </c:pt>
                <c:pt idx="9">
                  <c:v>45579</c:v>
                </c:pt>
                <c:pt idx="10">
                  <c:v>45580</c:v>
                </c:pt>
                <c:pt idx="11">
                  <c:v>45581</c:v>
                </c:pt>
                <c:pt idx="12">
                  <c:v>45582</c:v>
                </c:pt>
                <c:pt idx="13">
                  <c:v>45583</c:v>
                </c:pt>
                <c:pt idx="14">
                  <c:v>45586</c:v>
                </c:pt>
                <c:pt idx="15">
                  <c:v>45587</c:v>
                </c:pt>
                <c:pt idx="16">
                  <c:v>45588</c:v>
                </c:pt>
                <c:pt idx="17">
                  <c:v>45589</c:v>
                </c:pt>
                <c:pt idx="18">
                  <c:v>45590</c:v>
                </c:pt>
                <c:pt idx="19">
                  <c:v>45593</c:v>
                </c:pt>
                <c:pt idx="20">
                  <c:v>45594</c:v>
                </c:pt>
                <c:pt idx="21">
                  <c:v>45595</c:v>
                </c:pt>
                <c:pt idx="22">
                  <c:v>45596</c:v>
                </c:pt>
                <c:pt idx="23">
                  <c:v>45597</c:v>
                </c:pt>
                <c:pt idx="24">
                  <c:v>45600</c:v>
                </c:pt>
                <c:pt idx="25">
                  <c:v>45601</c:v>
                </c:pt>
                <c:pt idx="26">
                  <c:v>45602</c:v>
                </c:pt>
                <c:pt idx="27">
                  <c:v>45603</c:v>
                </c:pt>
                <c:pt idx="28">
                  <c:v>45604</c:v>
                </c:pt>
                <c:pt idx="29">
                  <c:v>45607</c:v>
                </c:pt>
                <c:pt idx="30">
                  <c:v>45608</c:v>
                </c:pt>
                <c:pt idx="31">
                  <c:v>45609</c:v>
                </c:pt>
                <c:pt idx="32">
                  <c:v>45610</c:v>
                </c:pt>
                <c:pt idx="33">
                  <c:v>45611</c:v>
                </c:pt>
                <c:pt idx="34">
                  <c:v>45614</c:v>
                </c:pt>
                <c:pt idx="35">
                  <c:v>45615</c:v>
                </c:pt>
                <c:pt idx="36">
                  <c:v>45616</c:v>
                </c:pt>
                <c:pt idx="37">
                  <c:v>45617</c:v>
                </c:pt>
                <c:pt idx="38">
                  <c:v>45618</c:v>
                </c:pt>
                <c:pt idx="39">
                  <c:v>45621</c:v>
                </c:pt>
                <c:pt idx="40">
                  <c:v>45622</c:v>
                </c:pt>
                <c:pt idx="41">
                  <c:v>45623</c:v>
                </c:pt>
                <c:pt idx="42">
                  <c:v>45624</c:v>
                </c:pt>
                <c:pt idx="43">
                  <c:v>45625</c:v>
                </c:pt>
                <c:pt idx="44">
                  <c:v>45628</c:v>
                </c:pt>
                <c:pt idx="45">
                  <c:v>45629</c:v>
                </c:pt>
                <c:pt idx="46">
                  <c:v>45630</c:v>
                </c:pt>
                <c:pt idx="47">
                  <c:v>45631</c:v>
                </c:pt>
                <c:pt idx="48">
                  <c:v>45632</c:v>
                </c:pt>
                <c:pt idx="49">
                  <c:v>45635</c:v>
                </c:pt>
                <c:pt idx="50">
                  <c:v>45636</c:v>
                </c:pt>
                <c:pt idx="51">
                  <c:v>45637</c:v>
                </c:pt>
                <c:pt idx="52">
                  <c:v>45638</c:v>
                </c:pt>
                <c:pt idx="53">
                  <c:v>45639</c:v>
                </c:pt>
                <c:pt idx="54">
                  <c:v>45642</c:v>
                </c:pt>
                <c:pt idx="55">
                  <c:v>45643</c:v>
                </c:pt>
                <c:pt idx="56">
                  <c:v>45644</c:v>
                </c:pt>
                <c:pt idx="57">
                  <c:v>45645</c:v>
                </c:pt>
                <c:pt idx="58">
                  <c:v>45646</c:v>
                </c:pt>
                <c:pt idx="59">
                  <c:v>45649</c:v>
                </c:pt>
                <c:pt idx="60">
                  <c:v>45650</c:v>
                </c:pt>
                <c:pt idx="61">
                  <c:v>45651</c:v>
                </c:pt>
                <c:pt idx="62">
                  <c:v>45652</c:v>
                </c:pt>
                <c:pt idx="63">
                  <c:v>45653</c:v>
                </c:pt>
                <c:pt idx="64">
                  <c:v>45656</c:v>
                </c:pt>
                <c:pt idx="65">
                  <c:v>45657</c:v>
                </c:pt>
                <c:pt idx="66">
                  <c:v>45658</c:v>
                </c:pt>
                <c:pt idx="67">
                  <c:v>45659</c:v>
                </c:pt>
                <c:pt idx="68">
                  <c:v>45660</c:v>
                </c:pt>
                <c:pt idx="69">
                  <c:v>45663</c:v>
                </c:pt>
                <c:pt idx="70">
                  <c:v>45664</c:v>
                </c:pt>
                <c:pt idx="71">
                  <c:v>45665</c:v>
                </c:pt>
                <c:pt idx="72">
                  <c:v>45666</c:v>
                </c:pt>
                <c:pt idx="73">
                  <c:v>45667</c:v>
                </c:pt>
                <c:pt idx="74">
                  <c:v>45670</c:v>
                </c:pt>
                <c:pt idx="75">
                  <c:v>45671</c:v>
                </c:pt>
                <c:pt idx="76">
                  <c:v>45672</c:v>
                </c:pt>
                <c:pt idx="77">
                  <c:v>45673</c:v>
                </c:pt>
                <c:pt idx="78">
                  <c:v>45674</c:v>
                </c:pt>
                <c:pt idx="79">
                  <c:v>45677</c:v>
                </c:pt>
                <c:pt idx="80">
                  <c:v>45678</c:v>
                </c:pt>
                <c:pt idx="81">
                  <c:v>45679</c:v>
                </c:pt>
                <c:pt idx="82">
                  <c:v>45680</c:v>
                </c:pt>
                <c:pt idx="83">
                  <c:v>45681</c:v>
                </c:pt>
                <c:pt idx="84">
                  <c:v>45684</c:v>
                </c:pt>
                <c:pt idx="85">
                  <c:v>45685</c:v>
                </c:pt>
                <c:pt idx="86">
                  <c:v>45686</c:v>
                </c:pt>
                <c:pt idx="87">
                  <c:v>45687</c:v>
                </c:pt>
                <c:pt idx="88">
                  <c:v>45688</c:v>
                </c:pt>
                <c:pt idx="89">
                  <c:v>45691</c:v>
                </c:pt>
                <c:pt idx="90">
                  <c:v>45692</c:v>
                </c:pt>
                <c:pt idx="91">
                  <c:v>45693</c:v>
                </c:pt>
                <c:pt idx="92">
                  <c:v>45694</c:v>
                </c:pt>
                <c:pt idx="93">
                  <c:v>45695</c:v>
                </c:pt>
                <c:pt idx="94">
                  <c:v>45698</c:v>
                </c:pt>
                <c:pt idx="95">
                  <c:v>45699</c:v>
                </c:pt>
                <c:pt idx="96">
                  <c:v>45700</c:v>
                </c:pt>
                <c:pt idx="97">
                  <c:v>45701</c:v>
                </c:pt>
                <c:pt idx="98">
                  <c:v>45702</c:v>
                </c:pt>
                <c:pt idx="99">
                  <c:v>45705</c:v>
                </c:pt>
                <c:pt idx="100">
                  <c:v>45706</c:v>
                </c:pt>
                <c:pt idx="101">
                  <c:v>45707</c:v>
                </c:pt>
                <c:pt idx="102">
                  <c:v>45708</c:v>
                </c:pt>
                <c:pt idx="103">
                  <c:v>45709</c:v>
                </c:pt>
                <c:pt idx="104">
                  <c:v>45712</c:v>
                </c:pt>
                <c:pt idx="105">
                  <c:v>45713</c:v>
                </c:pt>
                <c:pt idx="106">
                  <c:v>45714</c:v>
                </c:pt>
                <c:pt idx="107">
                  <c:v>45715</c:v>
                </c:pt>
                <c:pt idx="108">
                  <c:v>45716</c:v>
                </c:pt>
                <c:pt idx="109">
                  <c:v>45719</c:v>
                </c:pt>
                <c:pt idx="110">
                  <c:v>45720</c:v>
                </c:pt>
                <c:pt idx="111">
                  <c:v>45721</c:v>
                </c:pt>
                <c:pt idx="112">
                  <c:v>45722</c:v>
                </c:pt>
                <c:pt idx="113">
                  <c:v>45723</c:v>
                </c:pt>
                <c:pt idx="114">
                  <c:v>45726</c:v>
                </c:pt>
                <c:pt idx="115">
                  <c:v>45727</c:v>
                </c:pt>
                <c:pt idx="116">
                  <c:v>45728</c:v>
                </c:pt>
                <c:pt idx="117">
                  <c:v>45729</c:v>
                </c:pt>
                <c:pt idx="118">
                  <c:v>45730</c:v>
                </c:pt>
                <c:pt idx="119">
                  <c:v>45733</c:v>
                </c:pt>
                <c:pt idx="120">
                  <c:v>45734</c:v>
                </c:pt>
                <c:pt idx="121">
                  <c:v>45735</c:v>
                </c:pt>
                <c:pt idx="122">
                  <c:v>45736</c:v>
                </c:pt>
                <c:pt idx="123">
                  <c:v>45737</c:v>
                </c:pt>
                <c:pt idx="124">
                  <c:v>45740</c:v>
                </c:pt>
                <c:pt idx="125">
                  <c:v>45741</c:v>
                </c:pt>
                <c:pt idx="126">
                  <c:v>45742</c:v>
                </c:pt>
                <c:pt idx="127">
                  <c:v>45743</c:v>
                </c:pt>
                <c:pt idx="128">
                  <c:v>45744</c:v>
                </c:pt>
                <c:pt idx="129">
                  <c:v>45747</c:v>
                </c:pt>
                <c:pt idx="130">
                  <c:v>45748</c:v>
                </c:pt>
                <c:pt idx="131">
                  <c:v>45749</c:v>
                </c:pt>
                <c:pt idx="132">
                  <c:v>45750</c:v>
                </c:pt>
                <c:pt idx="133">
                  <c:v>45751</c:v>
                </c:pt>
                <c:pt idx="134">
                  <c:v>45754</c:v>
                </c:pt>
                <c:pt idx="135">
                  <c:v>45755</c:v>
                </c:pt>
                <c:pt idx="136">
                  <c:v>45756</c:v>
                </c:pt>
                <c:pt idx="137">
                  <c:v>45757</c:v>
                </c:pt>
                <c:pt idx="138">
                  <c:v>45758</c:v>
                </c:pt>
                <c:pt idx="139">
                  <c:v>45761</c:v>
                </c:pt>
                <c:pt idx="140">
                  <c:v>45762</c:v>
                </c:pt>
                <c:pt idx="141">
                  <c:v>45763</c:v>
                </c:pt>
                <c:pt idx="142">
                  <c:v>45764</c:v>
                </c:pt>
                <c:pt idx="143">
                  <c:v>45765</c:v>
                </c:pt>
                <c:pt idx="144">
                  <c:v>45768</c:v>
                </c:pt>
                <c:pt idx="145">
                  <c:v>45769</c:v>
                </c:pt>
                <c:pt idx="146">
                  <c:v>45770</c:v>
                </c:pt>
                <c:pt idx="147">
                  <c:v>45771</c:v>
                </c:pt>
                <c:pt idx="148">
                  <c:v>45772</c:v>
                </c:pt>
                <c:pt idx="149">
                  <c:v>45775</c:v>
                </c:pt>
                <c:pt idx="150">
                  <c:v>45776</c:v>
                </c:pt>
                <c:pt idx="151">
                  <c:v>45777</c:v>
                </c:pt>
                <c:pt idx="152">
                  <c:v>45778</c:v>
                </c:pt>
                <c:pt idx="153">
                  <c:v>45779</c:v>
                </c:pt>
                <c:pt idx="154">
                  <c:v>45782</c:v>
                </c:pt>
                <c:pt idx="155">
                  <c:v>45783</c:v>
                </c:pt>
                <c:pt idx="156">
                  <c:v>45784</c:v>
                </c:pt>
                <c:pt idx="157">
                  <c:v>45785</c:v>
                </c:pt>
                <c:pt idx="158">
                  <c:v>45786</c:v>
                </c:pt>
                <c:pt idx="159">
                  <c:v>45789</c:v>
                </c:pt>
                <c:pt idx="160">
                  <c:v>45790</c:v>
                </c:pt>
                <c:pt idx="161">
                  <c:v>45791</c:v>
                </c:pt>
                <c:pt idx="162">
                  <c:v>45792</c:v>
                </c:pt>
                <c:pt idx="163">
                  <c:v>45793</c:v>
                </c:pt>
                <c:pt idx="164">
                  <c:v>45796</c:v>
                </c:pt>
                <c:pt idx="165">
                  <c:v>45797</c:v>
                </c:pt>
                <c:pt idx="166">
                  <c:v>45798</c:v>
                </c:pt>
                <c:pt idx="167">
                  <c:v>45799</c:v>
                </c:pt>
                <c:pt idx="168">
                  <c:v>45800</c:v>
                </c:pt>
                <c:pt idx="169">
                  <c:v>45803</c:v>
                </c:pt>
                <c:pt idx="170">
                  <c:v>45804</c:v>
                </c:pt>
                <c:pt idx="171">
                  <c:v>45805</c:v>
                </c:pt>
                <c:pt idx="172">
                  <c:v>45806</c:v>
                </c:pt>
                <c:pt idx="173">
                  <c:v>45807</c:v>
                </c:pt>
                <c:pt idx="174">
                  <c:v>45810</c:v>
                </c:pt>
                <c:pt idx="175">
                  <c:v>45811</c:v>
                </c:pt>
                <c:pt idx="176">
                  <c:v>45812</c:v>
                </c:pt>
                <c:pt idx="177">
                  <c:v>45813</c:v>
                </c:pt>
                <c:pt idx="178">
                  <c:v>45814</c:v>
                </c:pt>
                <c:pt idx="179">
                  <c:v>45817</c:v>
                </c:pt>
                <c:pt idx="180">
                  <c:v>45818</c:v>
                </c:pt>
                <c:pt idx="181">
                  <c:v>45819</c:v>
                </c:pt>
                <c:pt idx="182">
                  <c:v>45820</c:v>
                </c:pt>
                <c:pt idx="183">
                  <c:v>45821</c:v>
                </c:pt>
                <c:pt idx="184">
                  <c:v>45824</c:v>
                </c:pt>
                <c:pt idx="185">
                  <c:v>45825</c:v>
                </c:pt>
                <c:pt idx="186">
                  <c:v>45826</c:v>
                </c:pt>
                <c:pt idx="187">
                  <c:v>45827</c:v>
                </c:pt>
                <c:pt idx="188">
                  <c:v>45828</c:v>
                </c:pt>
                <c:pt idx="189">
                  <c:v>45831</c:v>
                </c:pt>
                <c:pt idx="190">
                  <c:v>45832</c:v>
                </c:pt>
                <c:pt idx="191">
                  <c:v>45833</c:v>
                </c:pt>
                <c:pt idx="192">
                  <c:v>45834</c:v>
                </c:pt>
                <c:pt idx="193">
                  <c:v>45835</c:v>
                </c:pt>
                <c:pt idx="194">
                  <c:v>45838</c:v>
                </c:pt>
                <c:pt idx="195">
                  <c:v>45839</c:v>
                </c:pt>
                <c:pt idx="196">
                  <c:v>45840</c:v>
                </c:pt>
                <c:pt idx="197">
                  <c:v>45841</c:v>
                </c:pt>
                <c:pt idx="198">
                  <c:v>45842</c:v>
                </c:pt>
                <c:pt idx="199">
                  <c:v>45845</c:v>
                </c:pt>
                <c:pt idx="200">
                  <c:v>45846</c:v>
                </c:pt>
                <c:pt idx="201">
                  <c:v>45847</c:v>
                </c:pt>
                <c:pt idx="202">
                  <c:v>45848</c:v>
                </c:pt>
                <c:pt idx="203">
                  <c:v>45849</c:v>
                </c:pt>
                <c:pt idx="204">
                  <c:v>45852</c:v>
                </c:pt>
                <c:pt idx="205">
                  <c:v>45853</c:v>
                </c:pt>
                <c:pt idx="206">
                  <c:v>45854</c:v>
                </c:pt>
                <c:pt idx="207">
                  <c:v>45855</c:v>
                </c:pt>
                <c:pt idx="208">
                  <c:v>45856</c:v>
                </c:pt>
                <c:pt idx="209">
                  <c:v>45859</c:v>
                </c:pt>
                <c:pt idx="210">
                  <c:v>45860</c:v>
                </c:pt>
                <c:pt idx="211">
                  <c:v>45861</c:v>
                </c:pt>
                <c:pt idx="212">
                  <c:v>45862</c:v>
                </c:pt>
                <c:pt idx="213">
                  <c:v>45863</c:v>
                </c:pt>
                <c:pt idx="214">
                  <c:v>45866</c:v>
                </c:pt>
                <c:pt idx="215">
                  <c:v>45867</c:v>
                </c:pt>
                <c:pt idx="216">
                  <c:v>45868</c:v>
                </c:pt>
                <c:pt idx="217">
                  <c:v>45869</c:v>
                </c:pt>
                <c:pt idx="218">
                  <c:v>45870</c:v>
                </c:pt>
                <c:pt idx="219">
                  <c:v>45873</c:v>
                </c:pt>
                <c:pt idx="220">
                  <c:v>45874</c:v>
                </c:pt>
                <c:pt idx="221">
                  <c:v>45875</c:v>
                </c:pt>
                <c:pt idx="222">
                  <c:v>45876</c:v>
                </c:pt>
                <c:pt idx="223">
                  <c:v>45877</c:v>
                </c:pt>
                <c:pt idx="224">
                  <c:v>45880</c:v>
                </c:pt>
                <c:pt idx="225">
                  <c:v>45881</c:v>
                </c:pt>
                <c:pt idx="226">
                  <c:v>45882</c:v>
                </c:pt>
                <c:pt idx="227">
                  <c:v>45883</c:v>
                </c:pt>
                <c:pt idx="228">
                  <c:v>45884</c:v>
                </c:pt>
                <c:pt idx="229">
                  <c:v>45887</c:v>
                </c:pt>
                <c:pt idx="230">
                  <c:v>45888</c:v>
                </c:pt>
                <c:pt idx="231">
                  <c:v>45889</c:v>
                </c:pt>
                <c:pt idx="232">
                  <c:v>45890</c:v>
                </c:pt>
                <c:pt idx="233">
                  <c:v>45891</c:v>
                </c:pt>
                <c:pt idx="234">
                  <c:v>45894</c:v>
                </c:pt>
                <c:pt idx="235">
                  <c:v>45895</c:v>
                </c:pt>
                <c:pt idx="236">
                  <c:v>45896</c:v>
                </c:pt>
                <c:pt idx="237">
                  <c:v>45897</c:v>
                </c:pt>
                <c:pt idx="238">
                  <c:v>45898</c:v>
                </c:pt>
                <c:pt idx="239">
                  <c:v>45901</c:v>
                </c:pt>
                <c:pt idx="240">
                  <c:v>45902</c:v>
                </c:pt>
                <c:pt idx="241">
                  <c:v>45903</c:v>
                </c:pt>
                <c:pt idx="242">
                  <c:v>45904</c:v>
                </c:pt>
                <c:pt idx="243">
                  <c:v>45905</c:v>
                </c:pt>
                <c:pt idx="244">
                  <c:v>45908</c:v>
                </c:pt>
                <c:pt idx="245">
                  <c:v>45909</c:v>
                </c:pt>
                <c:pt idx="246">
                  <c:v>45910</c:v>
                </c:pt>
                <c:pt idx="247">
                  <c:v>45911</c:v>
                </c:pt>
                <c:pt idx="248">
                  <c:v>45912</c:v>
                </c:pt>
                <c:pt idx="249">
                  <c:v>45915</c:v>
                </c:pt>
                <c:pt idx="250">
                  <c:v>45916</c:v>
                </c:pt>
                <c:pt idx="251">
                  <c:v>45917</c:v>
                </c:pt>
                <c:pt idx="252">
                  <c:v>45918</c:v>
                </c:pt>
                <c:pt idx="253">
                  <c:v>45919</c:v>
                </c:pt>
                <c:pt idx="254">
                  <c:v>45922</c:v>
                </c:pt>
                <c:pt idx="255">
                  <c:v>45923</c:v>
                </c:pt>
                <c:pt idx="256">
                  <c:v>45924</c:v>
                </c:pt>
                <c:pt idx="257">
                  <c:v>45925</c:v>
                </c:pt>
                <c:pt idx="258">
                  <c:v>45926</c:v>
                </c:pt>
                <c:pt idx="259">
                  <c:v>45929</c:v>
                </c:pt>
                <c:pt idx="260">
                  <c:v>45930</c:v>
                </c:pt>
                <c:pt idx="261">
                  <c:v>45931</c:v>
                </c:pt>
                <c:pt idx="262">
                  <c:v>45932</c:v>
                </c:pt>
                <c:pt idx="263">
                  <c:v>45933</c:v>
                </c:pt>
                <c:pt idx="264">
                  <c:v>45936</c:v>
                </c:pt>
                <c:pt idx="265">
                  <c:v>45937</c:v>
                </c:pt>
                <c:pt idx="266">
                  <c:v>45938</c:v>
                </c:pt>
                <c:pt idx="267">
                  <c:v>45939</c:v>
                </c:pt>
                <c:pt idx="268">
                  <c:v>45940</c:v>
                </c:pt>
                <c:pt idx="269">
                  <c:v>45943</c:v>
                </c:pt>
                <c:pt idx="270">
                  <c:v>45944</c:v>
                </c:pt>
                <c:pt idx="271">
                  <c:v>45945</c:v>
                </c:pt>
                <c:pt idx="272">
                  <c:v>45946</c:v>
                </c:pt>
                <c:pt idx="273">
                  <c:v>45947</c:v>
                </c:pt>
                <c:pt idx="274">
                  <c:v>45950</c:v>
                </c:pt>
              </c:numCache>
            </c:numRef>
          </c:cat>
          <c:val>
            <c:numRef>
              <c:f>'ΣΤΟΙΧΕΙΑ ΓΙΑ ΠΡΟΥΠ '!$B$2032:$B$2563</c:f>
              <c:numCache>
                <c:formatCode>General</c:formatCode>
                <c:ptCount val="275"/>
                <c:pt idx="0">
                  <c:v>2.649</c:v>
                </c:pt>
                <c:pt idx="1">
                  <c:v>2.7010000000000001</c:v>
                </c:pt>
                <c:pt idx="2">
                  <c:v>2.77</c:v>
                </c:pt>
                <c:pt idx="3">
                  <c:v>2.8239999999999998</c:v>
                </c:pt>
                <c:pt idx="4">
                  <c:v>2.867</c:v>
                </c:pt>
                <c:pt idx="5">
                  <c:v>2.8540000000000001</c:v>
                </c:pt>
                <c:pt idx="6">
                  <c:v>2.875</c:v>
                </c:pt>
                <c:pt idx="7">
                  <c:v>2.8610000000000002</c:v>
                </c:pt>
                <c:pt idx="8">
                  <c:v>2.867</c:v>
                </c:pt>
                <c:pt idx="9">
                  <c:v>2.8759999999999999</c:v>
                </c:pt>
                <c:pt idx="10">
                  <c:v>2.8170000000000002</c:v>
                </c:pt>
                <c:pt idx="11">
                  <c:v>2.7789999999999999</c:v>
                </c:pt>
                <c:pt idx="12">
                  <c:v>2.7989999999999999</c:v>
                </c:pt>
                <c:pt idx="13">
                  <c:v>2.76</c:v>
                </c:pt>
                <c:pt idx="14">
                  <c:v>2.867</c:v>
                </c:pt>
                <c:pt idx="15">
                  <c:v>2.9039999999999999</c:v>
                </c:pt>
                <c:pt idx="16">
                  <c:v>2.883</c:v>
                </c:pt>
                <c:pt idx="17">
                  <c:v>2.8420000000000001</c:v>
                </c:pt>
                <c:pt idx="18">
                  <c:v>2.89</c:v>
                </c:pt>
                <c:pt idx="19">
                  <c:v>2.867</c:v>
                </c:pt>
                <c:pt idx="20">
                  <c:v>2.927</c:v>
                </c:pt>
                <c:pt idx="21">
                  <c:v>2.9670000000000001</c:v>
                </c:pt>
                <c:pt idx="22">
                  <c:v>2.9729999999999999</c:v>
                </c:pt>
                <c:pt idx="23">
                  <c:v>3.0049999999999999</c:v>
                </c:pt>
                <c:pt idx="24">
                  <c:v>2.9769999999999999</c:v>
                </c:pt>
                <c:pt idx="25">
                  <c:v>2.9969999999999999</c:v>
                </c:pt>
                <c:pt idx="26">
                  <c:v>2.9980000000000002</c:v>
                </c:pt>
                <c:pt idx="27">
                  <c:v>3.0390000000000001</c:v>
                </c:pt>
                <c:pt idx="28">
                  <c:v>2.96</c:v>
                </c:pt>
                <c:pt idx="29">
                  <c:v>2.9180000000000001</c:v>
                </c:pt>
                <c:pt idx="30">
                  <c:v>2.9569999999999999</c:v>
                </c:pt>
                <c:pt idx="31">
                  <c:v>2.9849999999999999</c:v>
                </c:pt>
                <c:pt idx="32">
                  <c:v>2.931</c:v>
                </c:pt>
                <c:pt idx="33">
                  <c:v>2.9420000000000002</c:v>
                </c:pt>
                <c:pt idx="34">
                  <c:v>2.851</c:v>
                </c:pt>
                <c:pt idx="35">
                  <c:v>2.907</c:v>
                </c:pt>
                <c:pt idx="36">
                  <c:v>2.931</c:v>
                </c:pt>
                <c:pt idx="37">
                  <c:v>2.9209999999999998</c:v>
                </c:pt>
                <c:pt idx="38">
                  <c:v>2.855</c:v>
                </c:pt>
                <c:pt idx="39">
                  <c:v>2.8319999999999999</c:v>
                </c:pt>
                <c:pt idx="40">
                  <c:v>2.8450000000000002</c:v>
                </c:pt>
                <c:pt idx="41">
                  <c:v>2.7930000000000001</c:v>
                </c:pt>
                <c:pt idx="42">
                  <c:v>2.7280000000000002</c:v>
                </c:pt>
                <c:pt idx="43">
                  <c:v>2.6789999999999998</c:v>
                </c:pt>
                <c:pt idx="44">
                  <c:v>2.6640000000000001</c:v>
                </c:pt>
                <c:pt idx="45">
                  <c:v>2.6579999999999999</c:v>
                </c:pt>
                <c:pt idx="46">
                  <c:v>2.649</c:v>
                </c:pt>
                <c:pt idx="47">
                  <c:v>2.66</c:v>
                </c:pt>
                <c:pt idx="48">
                  <c:v>2.6520000000000001</c:v>
                </c:pt>
                <c:pt idx="49">
                  <c:v>2.649</c:v>
                </c:pt>
                <c:pt idx="50">
                  <c:v>2.6669999999999998</c:v>
                </c:pt>
                <c:pt idx="51">
                  <c:v>2.6890000000000001</c:v>
                </c:pt>
                <c:pt idx="52">
                  <c:v>2.7850000000000001</c:v>
                </c:pt>
                <c:pt idx="53">
                  <c:v>2.8420000000000001</c:v>
                </c:pt>
                <c:pt idx="54">
                  <c:v>2.8420000000000001</c:v>
                </c:pt>
                <c:pt idx="55">
                  <c:v>2.8319999999999999</c:v>
                </c:pt>
                <c:pt idx="56">
                  <c:v>2.8450000000000002</c:v>
                </c:pt>
                <c:pt idx="57">
                  <c:v>2.9089999999999998</c:v>
                </c:pt>
                <c:pt idx="58">
                  <c:v>2.879</c:v>
                </c:pt>
                <c:pt idx="59">
                  <c:v>2.9350000000000001</c:v>
                </c:pt>
                <c:pt idx="60">
                  <c:v>2.9350000000000001</c:v>
                </c:pt>
                <c:pt idx="61">
                  <c:v>2.9350000000000001</c:v>
                </c:pt>
                <c:pt idx="62">
                  <c:v>2.9350000000000001</c:v>
                </c:pt>
                <c:pt idx="63">
                  <c:v>2.9969999999999999</c:v>
                </c:pt>
                <c:pt idx="64">
                  <c:v>2.9729999999999999</c:v>
                </c:pt>
                <c:pt idx="65">
                  <c:v>2.9729999999999999</c:v>
                </c:pt>
                <c:pt idx="66">
                  <c:v>2.9729999999999999</c:v>
                </c:pt>
                <c:pt idx="67">
                  <c:v>2.9969999999999999</c:v>
                </c:pt>
                <c:pt idx="68">
                  <c:v>3.056</c:v>
                </c:pt>
                <c:pt idx="69">
                  <c:v>3.0310000000000001</c:v>
                </c:pt>
                <c:pt idx="70">
                  <c:v>3.0710000000000002</c:v>
                </c:pt>
                <c:pt idx="71">
                  <c:v>3.113</c:v>
                </c:pt>
                <c:pt idx="72">
                  <c:v>3.1480000000000001</c:v>
                </c:pt>
                <c:pt idx="73">
                  <c:v>3.1789999999999998</c:v>
                </c:pt>
                <c:pt idx="74">
                  <c:v>3.206</c:v>
                </c:pt>
                <c:pt idx="75">
                  <c:v>3.234</c:v>
                </c:pt>
                <c:pt idx="76">
                  <c:v>3.1269999999999998</c:v>
                </c:pt>
                <c:pt idx="77">
                  <c:v>3.11</c:v>
                </c:pt>
                <c:pt idx="78">
                  <c:v>3.093</c:v>
                </c:pt>
                <c:pt idx="79">
                  <c:v>3.085</c:v>
                </c:pt>
                <c:pt idx="80">
                  <c:v>3.0590000000000002</c:v>
                </c:pt>
                <c:pt idx="81">
                  <c:v>3.0710000000000002</c:v>
                </c:pt>
                <c:pt idx="82">
                  <c:v>3.105</c:v>
                </c:pt>
                <c:pt idx="83">
                  <c:v>3.1070000000000002</c:v>
                </c:pt>
                <c:pt idx="84">
                  <c:v>3.0750000000000002</c:v>
                </c:pt>
                <c:pt idx="85">
                  <c:v>3.16</c:v>
                </c:pt>
                <c:pt idx="86">
                  <c:v>3.1840000000000002</c:v>
                </c:pt>
                <c:pt idx="87">
                  <c:v>3.125</c:v>
                </c:pt>
                <c:pt idx="88">
                  <c:v>3.0630000000000002</c:v>
                </c:pt>
                <c:pt idx="89">
                  <c:v>2.976</c:v>
                </c:pt>
                <c:pt idx="90">
                  <c:v>2.9780000000000002</c:v>
                </c:pt>
                <c:pt idx="91">
                  <c:v>2.9430000000000001</c:v>
                </c:pt>
                <c:pt idx="92">
                  <c:v>2.9489999999999998</c:v>
                </c:pt>
                <c:pt idx="93">
                  <c:v>2.948</c:v>
                </c:pt>
                <c:pt idx="94">
                  <c:v>2.9409999999999998</c:v>
                </c:pt>
                <c:pt idx="95">
                  <c:v>3.0129999999999999</c:v>
                </c:pt>
                <c:pt idx="96">
                  <c:v>3.0489999999999999</c:v>
                </c:pt>
                <c:pt idx="97">
                  <c:v>2.9780000000000002</c:v>
                </c:pt>
                <c:pt idx="98">
                  <c:v>2.9950000000000001</c:v>
                </c:pt>
                <c:pt idx="99">
                  <c:v>3.0419999999999998</c:v>
                </c:pt>
                <c:pt idx="100">
                  <c:v>3.0459999999999998</c:v>
                </c:pt>
                <c:pt idx="101">
                  <c:v>3.1269999999999998</c:v>
                </c:pt>
                <c:pt idx="102">
                  <c:v>3.1120000000000001</c:v>
                </c:pt>
                <c:pt idx="103">
                  <c:v>3.0619999999999998</c:v>
                </c:pt>
                <c:pt idx="104">
                  <c:v>3.0649999999999999</c:v>
                </c:pt>
                <c:pt idx="105">
                  <c:v>3.036</c:v>
                </c:pt>
                <c:pt idx="106">
                  <c:v>3</c:v>
                </c:pt>
                <c:pt idx="107">
                  <c:v>2.9860000000000002</c:v>
                </c:pt>
                <c:pt idx="108">
                  <c:v>2.9889999999999999</c:v>
                </c:pt>
                <c:pt idx="109">
                  <c:v>3.0619999999999998</c:v>
                </c:pt>
                <c:pt idx="110">
                  <c:v>3.0790000000000002</c:v>
                </c:pt>
                <c:pt idx="111">
                  <c:v>3.3340000000000001</c:v>
                </c:pt>
                <c:pt idx="112">
                  <c:v>3.3879999999999999</c:v>
                </c:pt>
                <c:pt idx="113">
                  <c:v>3.395</c:v>
                </c:pt>
                <c:pt idx="114">
                  <c:v>3.3879999999999999</c:v>
                </c:pt>
                <c:pt idx="115">
                  <c:v>3.4380000000000002</c:v>
                </c:pt>
                <c:pt idx="116">
                  <c:v>3.4079999999999999</c:v>
                </c:pt>
                <c:pt idx="117">
                  <c:v>3.4020000000000001</c:v>
                </c:pt>
                <c:pt idx="118">
                  <c:v>3.4180000000000001</c:v>
                </c:pt>
                <c:pt idx="119">
                  <c:v>3.3490000000000002</c:v>
                </c:pt>
                <c:pt idx="120">
                  <c:v>3.3580000000000001</c:v>
                </c:pt>
                <c:pt idx="121">
                  <c:v>3.3490000000000002</c:v>
                </c:pt>
                <c:pt idx="122">
                  <c:v>3.3410000000000002</c:v>
                </c:pt>
                <c:pt idx="123">
                  <c:v>3.319</c:v>
                </c:pt>
                <c:pt idx="124">
                  <c:v>3.3159999999999998</c:v>
                </c:pt>
                <c:pt idx="125">
                  <c:v>3.3340000000000001</c:v>
                </c:pt>
                <c:pt idx="126">
                  <c:v>3.3330000000000002</c:v>
                </c:pt>
                <c:pt idx="127">
                  <c:v>3.3130000000000002</c:v>
                </c:pt>
                <c:pt idx="128">
                  <c:v>3.278</c:v>
                </c:pt>
                <c:pt idx="129">
                  <c:v>3.298</c:v>
                </c:pt>
                <c:pt idx="130">
                  <c:v>3.2469999999999999</c:v>
                </c:pt>
                <c:pt idx="131">
                  <c:v>3.2730000000000001</c:v>
                </c:pt>
                <c:pt idx="132">
                  <c:v>3.2160000000000002</c:v>
                </c:pt>
                <c:pt idx="133">
                  <c:v>3.1659999999999999</c:v>
                </c:pt>
                <c:pt idx="134">
                  <c:v>3.23</c:v>
                </c:pt>
                <c:pt idx="135">
                  <c:v>3.2370000000000001</c:v>
                </c:pt>
                <c:pt idx="136">
                  <c:v>3.2280000000000002</c:v>
                </c:pt>
                <c:pt idx="137">
                  <c:v>3.2010000000000001</c:v>
                </c:pt>
                <c:pt idx="138">
                  <c:v>3.1920000000000002</c:v>
                </c:pt>
                <c:pt idx="139">
                  <c:v>3.1219999999999999</c:v>
                </c:pt>
                <c:pt idx="140">
                  <c:v>3.141</c:v>
                </c:pt>
                <c:pt idx="141">
                  <c:v>3.1179999999999999</c:v>
                </c:pt>
                <c:pt idx="142">
                  <c:v>3.0840000000000001</c:v>
                </c:pt>
                <c:pt idx="143">
                  <c:v>3.0840000000000001</c:v>
                </c:pt>
                <c:pt idx="144">
                  <c:v>3.0840000000000001</c:v>
                </c:pt>
                <c:pt idx="145">
                  <c:v>3.056</c:v>
                </c:pt>
                <c:pt idx="146">
                  <c:v>3.09</c:v>
                </c:pt>
                <c:pt idx="147">
                  <c:v>3.024</c:v>
                </c:pt>
                <c:pt idx="148">
                  <c:v>3.0510000000000002</c:v>
                </c:pt>
                <c:pt idx="149">
                  <c:v>3.1</c:v>
                </c:pt>
                <c:pt idx="150">
                  <c:v>3.0790000000000002</c:v>
                </c:pt>
                <c:pt idx="151">
                  <c:v>3.03</c:v>
                </c:pt>
                <c:pt idx="152">
                  <c:v>3.03</c:v>
                </c:pt>
                <c:pt idx="153">
                  <c:v>3.12</c:v>
                </c:pt>
                <c:pt idx="154">
                  <c:v>3.1070000000000002</c:v>
                </c:pt>
                <c:pt idx="155">
                  <c:v>3.1259999999999999</c:v>
                </c:pt>
                <c:pt idx="156">
                  <c:v>3.0659999999999998</c:v>
                </c:pt>
                <c:pt idx="157">
                  <c:v>3.1120000000000001</c:v>
                </c:pt>
                <c:pt idx="158">
                  <c:v>3.1339999999999999</c:v>
                </c:pt>
                <c:pt idx="159">
                  <c:v>3.2</c:v>
                </c:pt>
                <c:pt idx="160">
                  <c:v>3.226</c:v>
                </c:pt>
                <c:pt idx="161">
                  <c:v>3.2389999999999999</c:v>
                </c:pt>
                <c:pt idx="162">
                  <c:v>3.1549999999999998</c:v>
                </c:pt>
                <c:pt idx="163">
                  <c:v>3.1219999999999999</c:v>
                </c:pt>
                <c:pt idx="164">
                  <c:v>3.1120000000000001</c:v>
                </c:pt>
                <c:pt idx="165">
                  <c:v>3.1230000000000002</c:v>
                </c:pt>
                <c:pt idx="166">
                  <c:v>3.1680000000000001</c:v>
                </c:pt>
                <c:pt idx="167">
                  <c:v>3.1709999999999998</c:v>
                </c:pt>
                <c:pt idx="168">
                  <c:v>3.109</c:v>
                </c:pt>
                <c:pt idx="169">
                  <c:v>3.089</c:v>
                </c:pt>
                <c:pt idx="170">
                  <c:v>3.0569999999999999</c:v>
                </c:pt>
                <c:pt idx="171">
                  <c:v>3.0760000000000001</c:v>
                </c:pt>
                <c:pt idx="172">
                  <c:v>3.03</c:v>
                </c:pt>
                <c:pt idx="173">
                  <c:v>3.0190000000000001</c:v>
                </c:pt>
                <c:pt idx="174">
                  <c:v>3.0489999999999999</c:v>
                </c:pt>
                <c:pt idx="175">
                  <c:v>3.052</c:v>
                </c:pt>
                <c:pt idx="176">
                  <c:v>3.0630000000000002</c:v>
                </c:pt>
                <c:pt idx="177">
                  <c:v>3.113</c:v>
                </c:pt>
                <c:pt idx="178">
                  <c:v>3.1040000000000001</c:v>
                </c:pt>
                <c:pt idx="179">
                  <c:v>3.0950000000000002</c:v>
                </c:pt>
                <c:pt idx="180">
                  <c:v>3.0569999999999999</c:v>
                </c:pt>
                <c:pt idx="181">
                  <c:v>3.0710000000000002</c:v>
                </c:pt>
                <c:pt idx="182">
                  <c:v>3.028</c:v>
                </c:pt>
                <c:pt idx="183">
                  <c:v>3.105</c:v>
                </c:pt>
                <c:pt idx="184">
                  <c:v>3.093</c:v>
                </c:pt>
                <c:pt idx="185">
                  <c:v>3.1070000000000002</c:v>
                </c:pt>
                <c:pt idx="186">
                  <c:v>3.0710000000000002</c:v>
                </c:pt>
                <c:pt idx="187">
                  <c:v>3.1190000000000002</c:v>
                </c:pt>
                <c:pt idx="188">
                  <c:v>3.0939999999999999</c:v>
                </c:pt>
                <c:pt idx="189">
                  <c:v>3.0830000000000002</c:v>
                </c:pt>
                <c:pt idx="190">
                  <c:v>3.105</c:v>
                </c:pt>
                <c:pt idx="191">
                  <c:v>3.121</c:v>
                </c:pt>
                <c:pt idx="192">
                  <c:v>3.113</c:v>
                </c:pt>
                <c:pt idx="193">
                  <c:v>3.1429999999999998</c:v>
                </c:pt>
                <c:pt idx="194">
                  <c:v>3.157</c:v>
                </c:pt>
                <c:pt idx="195">
                  <c:v>3.1309999999999998</c:v>
                </c:pt>
                <c:pt idx="196">
                  <c:v>3.1970000000000001</c:v>
                </c:pt>
                <c:pt idx="197">
                  <c:v>3.1560000000000001</c:v>
                </c:pt>
                <c:pt idx="198">
                  <c:v>3.1560000000000001</c:v>
                </c:pt>
                <c:pt idx="199">
                  <c:v>3.194</c:v>
                </c:pt>
                <c:pt idx="200">
                  <c:v>3.2309999999999999</c:v>
                </c:pt>
                <c:pt idx="201">
                  <c:v>3.2210000000000001</c:v>
                </c:pt>
                <c:pt idx="202">
                  <c:v>3.25</c:v>
                </c:pt>
                <c:pt idx="203">
                  <c:v>3.266</c:v>
                </c:pt>
                <c:pt idx="204">
                  <c:v>3.28</c:v>
                </c:pt>
                <c:pt idx="205">
                  <c:v>3.26</c:v>
                </c:pt>
                <c:pt idx="206">
                  <c:v>3.2280000000000002</c:v>
                </c:pt>
                <c:pt idx="207">
                  <c:v>3.2269999999999999</c:v>
                </c:pt>
                <c:pt idx="208">
                  <c:v>3.25</c:v>
                </c:pt>
                <c:pt idx="209">
                  <c:v>3.157</c:v>
                </c:pt>
                <c:pt idx="210">
                  <c:v>3.1320000000000001</c:v>
                </c:pt>
                <c:pt idx="211">
                  <c:v>3.17</c:v>
                </c:pt>
                <c:pt idx="212">
                  <c:v>3.2429999999999999</c:v>
                </c:pt>
                <c:pt idx="213">
                  <c:v>3.246</c:v>
                </c:pt>
                <c:pt idx="214">
                  <c:v>3.2130000000000001</c:v>
                </c:pt>
                <c:pt idx="215">
                  <c:v>3.2240000000000002</c:v>
                </c:pt>
                <c:pt idx="216">
                  <c:v>3.2210000000000001</c:v>
                </c:pt>
                <c:pt idx="217">
                  <c:v>3.2109999999999999</c:v>
                </c:pt>
                <c:pt idx="218">
                  <c:v>3.206</c:v>
                </c:pt>
                <c:pt idx="219">
                  <c:v>3.1429999999999998</c:v>
                </c:pt>
                <c:pt idx="220">
                  <c:v>3.141</c:v>
                </c:pt>
                <c:pt idx="221">
                  <c:v>3.1629999999999998</c:v>
                </c:pt>
                <c:pt idx="222">
                  <c:v>3.145</c:v>
                </c:pt>
                <c:pt idx="223">
                  <c:v>3.1970000000000001</c:v>
                </c:pt>
                <c:pt idx="224">
                  <c:v>3.2050000000000001</c:v>
                </c:pt>
                <c:pt idx="225">
                  <c:v>3.246</c:v>
                </c:pt>
                <c:pt idx="226">
                  <c:v>3.1739999999999999</c:v>
                </c:pt>
                <c:pt idx="227">
                  <c:v>3.218</c:v>
                </c:pt>
                <c:pt idx="228">
                  <c:v>3.3119999999999998</c:v>
                </c:pt>
                <c:pt idx="229">
                  <c:v>3.286</c:v>
                </c:pt>
                <c:pt idx="230">
                  <c:v>3.274</c:v>
                </c:pt>
                <c:pt idx="231">
                  <c:v>3.2480000000000002</c:v>
                </c:pt>
                <c:pt idx="232">
                  <c:v>3.298</c:v>
                </c:pt>
                <c:pt idx="233">
                  <c:v>3.2549999999999999</c:v>
                </c:pt>
                <c:pt idx="234">
                  <c:v>3.3279999999999998</c:v>
                </c:pt>
                <c:pt idx="235">
                  <c:v>3.294</c:v>
                </c:pt>
                <c:pt idx="236">
                  <c:v>3.2839999999999998</c:v>
                </c:pt>
                <c:pt idx="237">
                  <c:v>3.26</c:v>
                </c:pt>
                <c:pt idx="238">
                  <c:v>3.2959999999999998</c:v>
                </c:pt>
                <c:pt idx="239">
                  <c:v>3.3210000000000002</c:v>
                </c:pt>
                <c:pt idx="240">
                  <c:v>3.36</c:v>
                </c:pt>
                <c:pt idx="241">
                  <c:v>3.3119999999999998</c:v>
                </c:pt>
                <c:pt idx="242">
                  <c:v>3.278</c:v>
                </c:pt>
                <c:pt idx="243">
                  <c:v>3.2290000000000001</c:v>
                </c:pt>
                <c:pt idx="244">
                  <c:v>3.198</c:v>
                </c:pt>
                <c:pt idx="245">
                  <c:v>3.206</c:v>
                </c:pt>
                <c:pt idx="246">
                  <c:v>3.198</c:v>
                </c:pt>
                <c:pt idx="247">
                  <c:v>3.19</c:v>
                </c:pt>
                <c:pt idx="248">
                  <c:v>3.2519999999999998</c:v>
                </c:pt>
                <c:pt idx="249">
                  <c:v>3.2210000000000001</c:v>
                </c:pt>
                <c:pt idx="250">
                  <c:v>3.226</c:v>
                </c:pt>
                <c:pt idx="251">
                  <c:v>3.21</c:v>
                </c:pt>
                <c:pt idx="252">
                  <c:v>3.2629999999999999</c:v>
                </c:pt>
                <c:pt idx="253">
                  <c:v>3.2759999999999998</c:v>
                </c:pt>
                <c:pt idx="254">
                  <c:v>3.282</c:v>
                </c:pt>
                <c:pt idx="255">
                  <c:v>3.2839999999999998</c:v>
                </c:pt>
                <c:pt idx="256">
                  <c:v>3.2919999999999998</c:v>
                </c:pt>
                <c:pt idx="257">
                  <c:v>3.323</c:v>
                </c:pt>
                <c:pt idx="258">
                  <c:v>3.294</c:v>
                </c:pt>
                <c:pt idx="259">
                  <c:v>3.254</c:v>
                </c:pt>
                <c:pt idx="260">
                  <c:v>3.2589999999999999</c:v>
                </c:pt>
                <c:pt idx="261">
                  <c:v>3.2530000000000001</c:v>
                </c:pt>
                <c:pt idx="262">
                  <c:v>3.2389999999999999</c:v>
                </c:pt>
                <c:pt idx="263">
                  <c:v>3.234</c:v>
                </c:pt>
                <c:pt idx="264">
                  <c:v>3.2749999999999999</c:v>
                </c:pt>
                <c:pt idx="265">
                  <c:v>3.2749999999999999</c:v>
                </c:pt>
                <c:pt idx="266">
                  <c:v>3.2429999999999999</c:v>
                </c:pt>
                <c:pt idx="267">
                  <c:v>3.2559999999999998</c:v>
                </c:pt>
                <c:pt idx="268">
                  <c:v>3.214</c:v>
                </c:pt>
                <c:pt idx="269">
                  <c:v>3.2029999999999998</c:v>
                </c:pt>
                <c:pt idx="270">
                  <c:v>3.1459999999999999</c:v>
                </c:pt>
                <c:pt idx="271">
                  <c:v>3.1080000000000001</c:v>
                </c:pt>
                <c:pt idx="272">
                  <c:v>3.1019999999999999</c:v>
                </c:pt>
                <c:pt idx="273">
                  <c:v>3.1230000000000002</c:v>
                </c:pt>
                <c:pt idx="274">
                  <c:v>3.1269999999999998</c:v>
                </c:pt>
              </c:numCache>
            </c:numRef>
          </c:val>
          <c:smooth val="0"/>
          <c:extLst>
            <c:ext xmlns:c16="http://schemas.microsoft.com/office/drawing/2014/chart" uri="{C3380CC4-5D6E-409C-BE32-E72D297353CC}">
              <c16:uniqueId val="{00000000-9EB6-407A-B87A-18670FE94C73}"/>
            </c:ext>
          </c:extLst>
        </c:ser>
        <c:ser>
          <c:idx val="1"/>
          <c:order val="1"/>
          <c:tx>
            <c:strRef>
              <c:f>'ΣΤΟΙΧΕΙΑ ΓΙΑ ΠΡΟΥΠ '!$C$2</c:f>
              <c:strCache>
                <c:ptCount val="1"/>
                <c:pt idx="0">
                  <c:v>ΓΑΛΛΙΑ</c:v>
                </c:pt>
              </c:strCache>
            </c:strRef>
          </c:tx>
          <c:spPr>
            <a:ln w="28575" cap="rnd" cmpd="sng" algn="ctr">
              <a:solidFill>
                <a:schemeClr val="accent2">
                  <a:lumMod val="50000"/>
                </a:schemeClr>
              </a:solidFill>
              <a:prstDash val="solid"/>
              <a:round/>
            </a:ln>
            <a:effectLst/>
          </c:spPr>
          <c:marker>
            <c:symbol val="none"/>
          </c:marker>
          <c:cat>
            <c:numRef>
              <c:f>'ΣΤΟΙΧΕΙΑ ΓΙΑ ΠΡΟΥΠ '!$A$2032:$A$2563</c:f>
              <c:numCache>
                <c:formatCode>m/d/yyyy</c:formatCode>
                <c:ptCount val="275"/>
                <c:pt idx="0">
                  <c:v>45566</c:v>
                </c:pt>
                <c:pt idx="1">
                  <c:v>45567</c:v>
                </c:pt>
                <c:pt idx="2">
                  <c:v>45568</c:v>
                </c:pt>
                <c:pt idx="3">
                  <c:v>45569</c:v>
                </c:pt>
                <c:pt idx="4">
                  <c:v>45572</c:v>
                </c:pt>
                <c:pt idx="5">
                  <c:v>45573</c:v>
                </c:pt>
                <c:pt idx="6">
                  <c:v>45574</c:v>
                </c:pt>
                <c:pt idx="7">
                  <c:v>45575</c:v>
                </c:pt>
                <c:pt idx="8">
                  <c:v>45576</c:v>
                </c:pt>
                <c:pt idx="9">
                  <c:v>45579</c:v>
                </c:pt>
                <c:pt idx="10">
                  <c:v>45580</c:v>
                </c:pt>
                <c:pt idx="11">
                  <c:v>45581</c:v>
                </c:pt>
                <c:pt idx="12">
                  <c:v>45582</c:v>
                </c:pt>
                <c:pt idx="13">
                  <c:v>45583</c:v>
                </c:pt>
                <c:pt idx="14">
                  <c:v>45586</c:v>
                </c:pt>
                <c:pt idx="15">
                  <c:v>45587</c:v>
                </c:pt>
                <c:pt idx="16">
                  <c:v>45588</c:v>
                </c:pt>
                <c:pt idx="17">
                  <c:v>45589</c:v>
                </c:pt>
                <c:pt idx="18">
                  <c:v>45590</c:v>
                </c:pt>
                <c:pt idx="19">
                  <c:v>45593</c:v>
                </c:pt>
                <c:pt idx="20">
                  <c:v>45594</c:v>
                </c:pt>
                <c:pt idx="21">
                  <c:v>45595</c:v>
                </c:pt>
                <c:pt idx="22">
                  <c:v>45596</c:v>
                </c:pt>
                <c:pt idx="23">
                  <c:v>45597</c:v>
                </c:pt>
                <c:pt idx="24">
                  <c:v>45600</c:v>
                </c:pt>
                <c:pt idx="25">
                  <c:v>45601</c:v>
                </c:pt>
                <c:pt idx="26">
                  <c:v>45602</c:v>
                </c:pt>
                <c:pt idx="27">
                  <c:v>45603</c:v>
                </c:pt>
                <c:pt idx="28">
                  <c:v>45604</c:v>
                </c:pt>
                <c:pt idx="29">
                  <c:v>45607</c:v>
                </c:pt>
                <c:pt idx="30">
                  <c:v>45608</c:v>
                </c:pt>
                <c:pt idx="31">
                  <c:v>45609</c:v>
                </c:pt>
                <c:pt idx="32">
                  <c:v>45610</c:v>
                </c:pt>
                <c:pt idx="33">
                  <c:v>45611</c:v>
                </c:pt>
                <c:pt idx="34">
                  <c:v>45614</c:v>
                </c:pt>
                <c:pt idx="35">
                  <c:v>45615</c:v>
                </c:pt>
                <c:pt idx="36">
                  <c:v>45616</c:v>
                </c:pt>
                <c:pt idx="37">
                  <c:v>45617</c:v>
                </c:pt>
                <c:pt idx="38">
                  <c:v>45618</c:v>
                </c:pt>
                <c:pt idx="39">
                  <c:v>45621</c:v>
                </c:pt>
                <c:pt idx="40">
                  <c:v>45622</c:v>
                </c:pt>
                <c:pt idx="41">
                  <c:v>45623</c:v>
                </c:pt>
                <c:pt idx="42">
                  <c:v>45624</c:v>
                </c:pt>
                <c:pt idx="43">
                  <c:v>45625</c:v>
                </c:pt>
                <c:pt idx="44">
                  <c:v>45628</c:v>
                </c:pt>
                <c:pt idx="45">
                  <c:v>45629</c:v>
                </c:pt>
                <c:pt idx="46">
                  <c:v>45630</c:v>
                </c:pt>
                <c:pt idx="47">
                  <c:v>45631</c:v>
                </c:pt>
                <c:pt idx="48">
                  <c:v>45632</c:v>
                </c:pt>
                <c:pt idx="49">
                  <c:v>45635</c:v>
                </c:pt>
                <c:pt idx="50">
                  <c:v>45636</c:v>
                </c:pt>
                <c:pt idx="51">
                  <c:v>45637</c:v>
                </c:pt>
                <c:pt idx="52">
                  <c:v>45638</c:v>
                </c:pt>
                <c:pt idx="53">
                  <c:v>45639</c:v>
                </c:pt>
                <c:pt idx="54">
                  <c:v>45642</c:v>
                </c:pt>
                <c:pt idx="55">
                  <c:v>45643</c:v>
                </c:pt>
                <c:pt idx="56">
                  <c:v>45644</c:v>
                </c:pt>
                <c:pt idx="57">
                  <c:v>45645</c:v>
                </c:pt>
                <c:pt idx="58">
                  <c:v>45646</c:v>
                </c:pt>
                <c:pt idx="59">
                  <c:v>45649</c:v>
                </c:pt>
                <c:pt idx="60">
                  <c:v>45650</c:v>
                </c:pt>
                <c:pt idx="61">
                  <c:v>45651</c:v>
                </c:pt>
                <c:pt idx="62">
                  <c:v>45652</c:v>
                </c:pt>
                <c:pt idx="63">
                  <c:v>45653</c:v>
                </c:pt>
                <c:pt idx="64">
                  <c:v>45656</c:v>
                </c:pt>
                <c:pt idx="65">
                  <c:v>45657</c:v>
                </c:pt>
                <c:pt idx="66">
                  <c:v>45658</c:v>
                </c:pt>
                <c:pt idx="67">
                  <c:v>45659</c:v>
                </c:pt>
                <c:pt idx="68">
                  <c:v>45660</c:v>
                </c:pt>
                <c:pt idx="69">
                  <c:v>45663</c:v>
                </c:pt>
                <c:pt idx="70">
                  <c:v>45664</c:v>
                </c:pt>
                <c:pt idx="71">
                  <c:v>45665</c:v>
                </c:pt>
                <c:pt idx="72">
                  <c:v>45666</c:v>
                </c:pt>
                <c:pt idx="73">
                  <c:v>45667</c:v>
                </c:pt>
                <c:pt idx="74">
                  <c:v>45670</c:v>
                </c:pt>
                <c:pt idx="75">
                  <c:v>45671</c:v>
                </c:pt>
                <c:pt idx="76">
                  <c:v>45672</c:v>
                </c:pt>
                <c:pt idx="77">
                  <c:v>45673</c:v>
                </c:pt>
                <c:pt idx="78">
                  <c:v>45674</c:v>
                </c:pt>
                <c:pt idx="79">
                  <c:v>45677</c:v>
                </c:pt>
                <c:pt idx="80">
                  <c:v>45678</c:v>
                </c:pt>
                <c:pt idx="81">
                  <c:v>45679</c:v>
                </c:pt>
                <c:pt idx="82">
                  <c:v>45680</c:v>
                </c:pt>
                <c:pt idx="83">
                  <c:v>45681</c:v>
                </c:pt>
                <c:pt idx="84">
                  <c:v>45684</c:v>
                </c:pt>
                <c:pt idx="85">
                  <c:v>45685</c:v>
                </c:pt>
                <c:pt idx="86">
                  <c:v>45686</c:v>
                </c:pt>
                <c:pt idx="87">
                  <c:v>45687</c:v>
                </c:pt>
                <c:pt idx="88">
                  <c:v>45688</c:v>
                </c:pt>
                <c:pt idx="89">
                  <c:v>45691</c:v>
                </c:pt>
                <c:pt idx="90">
                  <c:v>45692</c:v>
                </c:pt>
                <c:pt idx="91">
                  <c:v>45693</c:v>
                </c:pt>
                <c:pt idx="92">
                  <c:v>45694</c:v>
                </c:pt>
                <c:pt idx="93">
                  <c:v>45695</c:v>
                </c:pt>
                <c:pt idx="94">
                  <c:v>45698</c:v>
                </c:pt>
                <c:pt idx="95">
                  <c:v>45699</c:v>
                </c:pt>
                <c:pt idx="96">
                  <c:v>45700</c:v>
                </c:pt>
                <c:pt idx="97">
                  <c:v>45701</c:v>
                </c:pt>
                <c:pt idx="98">
                  <c:v>45702</c:v>
                </c:pt>
                <c:pt idx="99">
                  <c:v>45705</c:v>
                </c:pt>
                <c:pt idx="100">
                  <c:v>45706</c:v>
                </c:pt>
                <c:pt idx="101">
                  <c:v>45707</c:v>
                </c:pt>
                <c:pt idx="102">
                  <c:v>45708</c:v>
                </c:pt>
                <c:pt idx="103">
                  <c:v>45709</c:v>
                </c:pt>
                <c:pt idx="104">
                  <c:v>45712</c:v>
                </c:pt>
                <c:pt idx="105">
                  <c:v>45713</c:v>
                </c:pt>
                <c:pt idx="106">
                  <c:v>45714</c:v>
                </c:pt>
                <c:pt idx="107">
                  <c:v>45715</c:v>
                </c:pt>
                <c:pt idx="108">
                  <c:v>45716</c:v>
                </c:pt>
                <c:pt idx="109">
                  <c:v>45719</c:v>
                </c:pt>
                <c:pt idx="110">
                  <c:v>45720</c:v>
                </c:pt>
                <c:pt idx="111">
                  <c:v>45721</c:v>
                </c:pt>
                <c:pt idx="112">
                  <c:v>45722</c:v>
                </c:pt>
                <c:pt idx="113">
                  <c:v>45723</c:v>
                </c:pt>
                <c:pt idx="114">
                  <c:v>45726</c:v>
                </c:pt>
                <c:pt idx="115">
                  <c:v>45727</c:v>
                </c:pt>
                <c:pt idx="116">
                  <c:v>45728</c:v>
                </c:pt>
                <c:pt idx="117">
                  <c:v>45729</c:v>
                </c:pt>
                <c:pt idx="118">
                  <c:v>45730</c:v>
                </c:pt>
                <c:pt idx="119">
                  <c:v>45733</c:v>
                </c:pt>
                <c:pt idx="120">
                  <c:v>45734</c:v>
                </c:pt>
                <c:pt idx="121">
                  <c:v>45735</c:v>
                </c:pt>
                <c:pt idx="122">
                  <c:v>45736</c:v>
                </c:pt>
                <c:pt idx="123">
                  <c:v>45737</c:v>
                </c:pt>
                <c:pt idx="124">
                  <c:v>45740</c:v>
                </c:pt>
                <c:pt idx="125">
                  <c:v>45741</c:v>
                </c:pt>
                <c:pt idx="126">
                  <c:v>45742</c:v>
                </c:pt>
                <c:pt idx="127">
                  <c:v>45743</c:v>
                </c:pt>
                <c:pt idx="128">
                  <c:v>45744</c:v>
                </c:pt>
                <c:pt idx="129">
                  <c:v>45747</c:v>
                </c:pt>
                <c:pt idx="130">
                  <c:v>45748</c:v>
                </c:pt>
                <c:pt idx="131">
                  <c:v>45749</c:v>
                </c:pt>
                <c:pt idx="132">
                  <c:v>45750</c:v>
                </c:pt>
                <c:pt idx="133">
                  <c:v>45751</c:v>
                </c:pt>
                <c:pt idx="134">
                  <c:v>45754</c:v>
                </c:pt>
                <c:pt idx="135">
                  <c:v>45755</c:v>
                </c:pt>
                <c:pt idx="136">
                  <c:v>45756</c:v>
                </c:pt>
                <c:pt idx="137">
                  <c:v>45757</c:v>
                </c:pt>
                <c:pt idx="138">
                  <c:v>45758</c:v>
                </c:pt>
                <c:pt idx="139">
                  <c:v>45761</c:v>
                </c:pt>
                <c:pt idx="140">
                  <c:v>45762</c:v>
                </c:pt>
                <c:pt idx="141">
                  <c:v>45763</c:v>
                </c:pt>
                <c:pt idx="142">
                  <c:v>45764</c:v>
                </c:pt>
                <c:pt idx="143">
                  <c:v>45765</c:v>
                </c:pt>
                <c:pt idx="144">
                  <c:v>45768</c:v>
                </c:pt>
                <c:pt idx="145">
                  <c:v>45769</c:v>
                </c:pt>
                <c:pt idx="146">
                  <c:v>45770</c:v>
                </c:pt>
                <c:pt idx="147">
                  <c:v>45771</c:v>
                </c:pt>
                <c:pt idx="148">
                  <c:v>45772</c:v>
                </c:pt>
                <c:pt idx="149">
                  <c:v>45775</c:v>
                </c:pt>
                <c:pt idx="150">
                  <c:v>45776</c:v>
                </c:pt>
                <c:pt idx="151">
                  <c:v>45777</c:v>
                </c:pt>
                <c:pt idx="152">
                  <c:v>45778</c:v>
                </c:pt>
                <c:pt idx="153">
                  <c:v>45779</c:v>
                </c:pt>
                <c:pt idx="154">
                  <c:v>45782</c:v>
                </c:pt>
                <c:pt idx="155">
                  <c:v>45783</c:v>
                </c:pt>
                <c:pt idx="156">
                  <c:v>45784</c:v>
                </c:pt>
                <c:pt idx="157">
                  <c:v>45785</c:v>
                </c:pt>
                <c:pt idx="158">
                  <c:v>45786</c:v>
                </c:pt>
                <c:pt idx="159">
                  <c:v>45789</c:v>
                </c:pt>
                <c:pt idx="160">
                  <c:v>45790</c:v>
                </c:pt>
                <c:pt idx="161">
                  <c:v>45791</c:v>
                </c:pt>
                <c:pt idx="162">
                  <c:v>45792</c:v>
                </c:pt>
                <c:pt idx="163">
                  <c:v>45793</c:v>
                </c:pt>
                <c:pt idx="164">
                  <c:v>45796</c:v>
                </c:pt>
                <c:pt idx="165">
                  <c:v>45797</c:v>
                </c:pt>
                <c:pt idx="166">
                  <c:v>45798</c:v>
                </c:pt>
                <c:pt idx="167">
                  <c:v>45799</c:v>
                </c:pt>
                <c:pt idx="168">
                  <c:v>45800</c:v>
                </c:pt>
                <c:pt idx="169">
                  <c:v>45803</c:v>
                </c:pt>
                <c:pt idx="170">
                  <c:v>45804</c:v>
                </c:pt>
                <c:pt idx="171">
                  <c:v>45805</c:v>
                </c:pt>
                <c:pt idx="172">
                  <c:v>45806</c:v>
                </c:pt>
                <c:pt idx="173">
                  <c:v>45807</c:v>
                </c:pt>
                <c:pt idx="174">
                  <c:v>45810</c:v>
                </c:pt>
                <c:pt idx="175">
                  <c:v>45811</c:v>
                </c:pt>
                <c:pt idx="176">
                  <c:v>45812</c:v>
                </c:pt>
                <c:pt idx="177">
                  <c:v>45813</c:v>
                </c:pt>
                <c:pt idx="178">
                  <c:v>45814</c:v>
                </c:pt>
                <c:pt idx="179">
                  <c:v>45817</c:v>
                </c:pt>
                <c:pt idx="180">
                  <c:v>45818</c:v>
                </c:pt>
                <c:pt idx="181">
                  <c:v>45819</c:v>
                </c:pt>
                <c:pt idx="182">
                  <c:v>45820</c:v>
                </c:pt>
                <c:pt idx="183">
                  <c:v>45821</c:v>
                </c:pt>
                <c:pt idx="184">
                  <c:v>45824</c:v>
                </c:pt>
                <c:pt idx="185">
                  <c:v>45825</c:v>
                </c:pt>
                <c:pt idx="186">
                  <c:v>45826</c:v>
                </c:pt>
                <c:pt idx="187">
                  <c:v>45827</c:v>
                </c:pt>
                <c:pt idx="188">
                  <c:v>45828</c:v>
                </c:pt>
                <c:pt idx="189">
                  <c:v>45831</c:v>
                </c:pt>
                <c:pt idx="190">
                  <c:v>45832</c:v>
                </c:pt>
                <c:pt idx="191">
                  <c:v>45833</c:v>
                </c:pt>
                <c:pt idx="192">
                  <c:v>45834</c:v>
                </c:pt>
                <c:pt idx="193">
                  <c:v>45835</c:v>
                </c:pt>
                <c:pt idx="194">
                  <c:v>45838</c:v>
                </c:pt>
                <c:pt idx="195">
                  <c:v>45839</c:v>
                </c:pt>
                <c:pt idx="196">
                  <c:v>45840</c:v>
                </c:pt>
                <c:pt idx="197">
                  <c:v>45841</c:v>
                </c:pt>
                <c:pt idx="198">
                  <c:v>45842</c:v>
                </c:pt>
                <c:pt idx="199">
                  <c:v>45845</c:v>
                </c:pt>
                <c:pt idx="200">
                  <c:v>45846</c:v>
                </c:pt>
                <c:pt idx="201">
                  <c:v>45847</c:v>
                </c:pt>
                <c:pt idx="202">
                  <c:v>45848</c:v>
                </c:pt>
                <c:pt idx="203">
                  <c:v>45849</c:v>
                </c:pt>
                <c:pt idx="204">
                  <c:v>45852</c:v>
                </c:pt>
                <c:pt idx="205">
                  <c:v>45853</c:v>
                </c:pt>
                <c:pt idx="206">
                  <c:v>45854</c:v>
                </c:pt>
                <c:pt idx="207">
                  <c:v>45855</c:v>
                </c:pt>
                <c:pt idx="208">
                  <c:v>45856</c:v>
                </c:pt>
                <c:pt idx="209">
                  <c:v>45859</c:v>
                </c:pt>
                <c:pt idx="210">
                  <c:v>45860</c:v>
                </c:pt>
                <c:pt idx="211">
                  <c:v>45861</c:v>
                </c:pt>
                <c:pt idx="212">
                  <c:v>45862</c:v>
                </c:pt>
                <c:pt idx="213">
                  <c:v>45863</c:v>
                </c:pt>
                <c:pt idx="214">
                  <c:v>45866</c:v>
                </c:pt>
                <c:pt idx="215">
                  <c:v>45867</c:v>
                </c:pt>
                <c:pt idx="216">
                  <c:v>45868</c:v>
                </c:pt>
                <c:pt idx="217">
                  <c:v>45869</c:v>
                </c:pt>
                <c:pt idx="218">
                  <c:v>45870</c:v>
                </c:pt>
                <c:pt idx="219">
                  <c:v>45873</c:v>
                </c:pt>
                <c:pt idx="220">
                  <c:v>45874</c:v>
                </c:pt>
                <c:pt idx="221">
                  <c:v>45875</c:v>
                </c:pt>
                <c:pt idx="222">
                  <c:v>45876</c:v>
                </c:pt>
                <c:pt idx="223">
                  <c:v>45877</c:v>
                </c:pt>
                <c:pt idx="224">
                  <c:v>45880</c:v>
                </c:pt>
                <c:pt idx="225">
                  <c:v>45881</c:v>
                </c:pt>
                <c:pt idx="226">
                  <c:v>45882</c:v>
                </c:pt>
                <c:pt idx="227">
                  <c:v>45883</c:v>
                </c:pt>
                <c:pt idx="228">
                  <c:v>45884</c:v>
                </c:pt>
                <c:pt idx="229">
                  <c:v>45887</c:v>
                </c:pt>
                <c:pt idx="230">
                  <c:v>45888</c:v>
                </c:pt>
                <c:pt idx="231">
                  <c:v>45889</c:v>
                </c:pt>
                <c:pt idx="232">
                  <c:v>45890</c:v>
                </c:pt>
                <c:pt idx="233">
                  <c:v>45891</c:v>
                </c:pt>
                <c:pt idx="234">
                  <c:v>45894</c:v>
                </c:pt>
                <c:pt idx="235">
                  <c:v>45895</c:v>
                </c:pt>
                <c:pt idx="236">
                  <c:v>45896</c:v>
                </c:pt>
                <c:pt idx="237">
                  <c:v>45897</c:v>
                </c:pt>
                <c:pt idx="238">
                  <c:v>45898</c:v>
                </c:pt>
                <c:pt idx="239">
                  <c:v>45901</c:v>
                </c:pt>
                <c:pt idx="240">
                  <c:v>45902</c:v>
                </c:pt>
                <c:pt idx="241">
                  <c:v>45903</c:v>
                </c:pt>
                <c:pt idx="242">
                  <c:v>45904</c:v>
                </c:pt>
                <c:pt idx="243">
                  <c:v>45905</c:v>
                </c:pt>
                <c:pt idx="244">
                  <c:v>45908</c:v>
                </c:pt>
                <c:pt idx="245">
                  <c:v>45909</c:v>
                </c:pt>
                <c:pt idx="246">
                  <c:v>45910</c:v>
                </c:pt>
                <c:pt idx="247">
                  <c:v>45911</c:v>
                </c:pt>
                <c:pt idx="248">
                  <c:v>45912</c:v>
                </c:pt>
                <c:pt idx="249">
                  <c:v>45915</c:v>
                </c:pt>
                <c:pt idx="250">
                  <c:v>45916</c:v>
                </c:pt>
                <c:pt idx="251">
                  <c:v>45917</c:v>
                </c:pt>
                <c:pt idx="252">
                  <c:v>45918</c:v>
                </c:pt>
                <c:pt idx="253">
                  <c:v>45919</c:v>
                </c:pt>
                <c:pt idx="254">
                  <c:v>45922</c:v>
                </c:pt>
                <c:pt idx="255">
                  <c:v>45923</c:v>
                </c:pt>
                <c:pt idx="256">
                  <c:v>45924</c:v>
                </c:pt>
                <c:pt idx="257">
                  <c:v>45925</c:v>
                </c:pt>
                <c:pt idx="258">
                  <c:v>45926</c:v>
                </c:pt>
                <c:pt idx="259">
                  <c:v>45929</c:v>
                </c:pt>
                <c:pt idx="260">
                  <c:v>45930</c:v>
                </c:pt>
                <c:pt idx="261">
                  <c:v>45931</c:v>
                </c:pt>
                <c:pt idx="262">
                  <c:v>45932</c:v>
                </c:pt>
                <c:pt idx="263">
                  <c:v>45933</c:v>
                </c:pt>
                <c:pt idx="264">
                  <c:v>45936</c:v>
                </c:pt>
                <c:pt idx="265">
                  <c:v>45937</c:v>
                </c:pt>
                <c:pt idx="266">
                  <c:v>45938</c:v>
                </c:pt>
                <c:pt idx="267">
                  <c:v>45939</c:v>
                </c:pt>
                <c:pt idx="268">
                  <c:v>45940</c:v>
                </c:pt>
                <c:pt idx="269">
                  <c:v>45943</c:v>
                </c:pt>
                <c:pt idx="270">
                  <c:v>45944</c:v>
                </c:pt>
                <c:pt idx="271">
                  <c:v>45945</c:v>
                </c:pt>
                <c:pt idx="272">
                  <c:v>45946</c:v>
                </c:pt>
                <c:pt idx="273">
                  <c:v>45947</c:v>
                </c:pt>
                <c:pt idx="274">
                  <c:v>45950</c:v>
                </c:pt>
              </c:numCache>
            </c:numRef>
          </c:cat>
          <c:val>
            <c:numRef>
              <c:f>'ΣΤΟΙΧΕΙΑ ΓΙΑ ΠΡΟΥΠ '!$C$2032:$C$2563</c:f>
              <c:numCache>
                <c:formatCode>General</c:formatCode>
                <c:ptCount val="275"/>
                <c:pt idx="0">
                  <c:v>2.8159999999999998</c:v>
                </c:pt>
                <c:pt idx="1">
                  <c:v>2.8620000000000001</c:v>
                </c:pt>
                <c:pt idx="2">
                  <c:v>2.94</c:v>
                </c:pt>
                <c:pt idx="3">
                  <c:v>2.9860000000000002</c:v>
                </c:pt>
                <c:pt idx="4">
                  <c:v>3.0249999999999999</c:v>
                </c:pt>
                <c:pt idx="5">
                  <c:v>3.0110000000000001</c:v>
                </c:pt>
                <c:pt idx="6">
                  <c:v>3.0270000000000001</c:v>
                </c:pt>
                <c:pt idx="7">
                  <c:v>3.024</c:v>
                </c:pt>
                <c:pt idx="8">
                  <c:v>3.0379999999999998</c:v>
                </c:pt>
                <c:pt idx="9">
                  <c:v>3.0339999999999998</c:v>
                </c:pt>
                <c:pt idx="10">
                  <c:v>2.956</c:v>
                </c:pt>
                <c:pt idx="11">
                  <c:v>2.9220000000000002</c:v>
                </c:pt>
                <c:pt idx="12">
                  <c:v>2.9420000000000002</c:v>
                </c:pt>
                <c:pt idx="13">
                  <c:v>2.8980000000000001</c:v>
                </c:pt>
                <c:pt idx="14">
                  <c:v>3.02</c:v>
                </c:pt>
                <c:pt idx="15">
                  <c:v>3.056</c:v>
                </c:pt>
                <c:pt idx="16">
                  <c:v>3.032</c:v>
                </c:pt>
                <c:pt idx="17">
                  <c:v>2.99</c:v>
                </c:pt>
                <c:pt idx="18">
                  <c:v>3.0449999999999999</c:v>
                </c:pt>
                <c:pt idx="19">
                  <c:v>3.0110000000000001</c:v>
                </c:pt>
                <c:pt idx="20">
                  <c:v>3.0790000000000002</c:v>
                </c:pt>
                <c:pt idx="21">
                  <c:v>3.125</c:v>
                </c:pt>
                <c:pt idx="22">
                  <c:v>3.1240000000000001</c:v>
                </c:pt>
                <c:pt idx="23">
                  <c:v>3.1629999999999998</c:v>
                </c:pt>
                <c:pt idx="24">
                  <c:v>3.141</c:v>
                </c:pt>
                <c:pt idx="25">
                  <c:v>3.1579999999999999</c:v>
                </c:pt>
                <c:pt idx="26">
                  <c:v>3.1720000000000002</c:v>
                </c:pt>
                <c:pt idx="27">
                  <c:v>3.2010000000000001</c:v>
                </c:pt>
                <c:pt idx="28">
                  <c:v>3.1190000000000002</c:v>
                </c:pt>
                <c:pt idx="29">
                  <c:v>3.0779999999999998</c:v>
                </c:pt>
                <c:pt idx="30">
                  <c:v>3.1230000000000002</c:v>
                </c:pt>
                <c:pt idx="31">
                  <c:v>3.1419999999999999</c:v>
                </c:pt>
                <c:pt idx="32">
                  <c:v>3.08</c:v>
                </c:pt>
                <c:pt idx="33">
                  <c:v>3.0830000000000002</c:v>
                </c:pt>
                <c:pt idx="34">
                  <c:v>3.0990000000000002</c:v>
                </c:pt>
                <c:pt idx="35">
                  <c:v>3.0750000000000002</c:v>
                </c:pt>
                <c:pt idx="36">
                  <c:v>3.1040000000000001</c:v>
                </c:pt>
                <c:pt idx="37">
                  <c:v>3.1019999999999999</c:v>
                </c:pt>
                <c:pt idx="38">
                  <c:v>3.044</c:v>
                </c:pt>
                <c:pt idx="39">
                  <c:v>3.0230000000000001</c:v>
                </c:pt>
                <c:pt idx="40">
                  <c:v>3.048</c:v>
                </c:pt>
                <c:pt idx="41">
                  <c:v>3.02</c:v>
                </c:pt>
                <c:pt idx="42">
                  <c:v>2.9449999999999998</c:v>
                </c:pt>
                <c:pt idx="43">
                  <c:v>2.8940000000000001</c:v>
                </c:pt>
                <c:pt idx="44">
                  <c:v>2.915</c:v>
                </c:pt>
                <c:pt idx="45">
                  <c:v>2.9039999999999999</c:v>
                </c:pt>
                <c:pt idx="46">
                  <c:v>2.8969999999999998</c:v>
                </c:pt>
                <c:pt idx="47">
                  <c:v>2.89</c:v>
                </c:pt>
                <c:pt idx="48">
                  <c:v>2.8759999999999999</c:v>
                </c:pt>
                <c:pt idx="49">
                  <c:v>2.8730000000000002</c:v>
                </c:pt>
                <c:pt idx="50">
                  <c:v>2.88</c:v>
                </c:pt>
                <c:pt idx="51">
                  <c:v>2.8889999999999998</c:v>
                </c:pt>
                <c:pt idx="52">
                  <c:v>2.9870000000000001</c:v>
                </c:pt>
                <c:pt idx="53">
                  <c:v>3.04</c:v>
                </c:pt>
                <c:pt idx="54">
                  <c:v>3.044</c:v>
                </c:pt>
                <c:pt idx="55">
                  <c:v>3.0339999999999998</c:v>
                </c:pt>
                <c:pt idx="56">
                  <c:v>3.048</c:v>
                </c:pt>
                <c:pt idx="57">
                  <c:v>3.1160000000000001</c:v>
                </c:pt>
                <c:pt idx="58">
                  <c:v>3.077</c:v>
                </c:pt>
                <c:pt idx="59">
                  <c:v>3.137</c:v>
                </c:pt>
                <c:pt idx="60">
                  <c:v>3.137</c:v>
                </c:pt>
                <c:pt idx="61">
                  <c:v>3.137</c:v>
                </c:pt>
                <c:pt idx="62">
                  <c:v>3.137</c:v>
                </c:pt>
                <c:pt idx="63">
                  <c:v>3.21</c:v>
                </c:pt>
                <c:pt idx="64">
                  <c:v>3.194</c:v>
                </c:pt>
                <c:pt idx="65">
                  <c:v>3.194</c:v>
                </c:pt>
                <c:pt idx="66">
                  <c:v>3.194</c:v>
                </c:pt>
                <c:pt idx="67">
                  <c:v>3.2330000000000001</c:v>
                </c:pt>
                <c:pt idx="68">
                  <c:v>3.286</c:v>
                </c:pt>
                <c:pt idx="69">
                  <c:v>3.2589999999999999</c:v>
                </c:pt>
                <c:pt idx="70">
                  <c:v>3.2989999999999999</c:v>
                </c:pt>
                <c:pt idx="71">
                  <c:v>3.355</c:v>
                </c:pt>
                <c:pt idx="72">
                  <c:v>3.395</c:v>
                </c:pt>
                <c:pt idx="73">
                  <c:v>3.427</c:v>
                </c:pt>
                <c:pt idx="74">
                  <c:v>3.4590000000000001</c:v>
                </c:pt>
                <c:pt idx="75">
                  <c:v>3.4710000000000001</c:v>
                </c:pt>
                <c:pt idx="76">
                  <c:v>3.3540000000000001</c:v>
                </c:pt>
                <c:pt idx="77">
                  <c:v>3.3359999999999999</c:v>
                </c:pt>
                <c:pt idx="78">
                  <c:v>3.3109999999999999</c:v>
                </c:pt>
                <c:pt idx="79">
                  <c:v>3.3</c:v>
                </c:pt>
                <c:pt idx="80">
                  <c:v>3.2730000000000001</c:v>
                </c:pt>
                <c:pt idx="81">
                  <c:v>3.2650000000000001</c:v>
                </c:pt>
                <c:pt idx="82">
                  <c:v>3.3050000000000002</c:v>
                </c:pt>
                <c:pt idx="83">
                  <c:v>3.3010000000000002</c:v>
                </c:pt>
                <c:pt idx="84">
                  <c:v>3.27</c:v>
                </c:pt>
                <c:pt idx="85">
                  <c:v>3.294</c:v>
                </c:pt>
                <c:pt idx="86">
                  <c:v>3.3210000000000002</c:v>
                </c:pt>
                <c:pt idx="87">
                  <c:v>3.2639999999999998</c:v>
                </c:pt>
                <c:pt idx="88">
                  <c:v>3.2040000000000002</c:v>
                </c:pt>
                <c:pt idx="89">
                  <c:v>3.1110000000000002</c:v>
                </c:pt>
                <c:pt idx="90">
                  <c:v>3.109</c:v>
                </c:pt>
                <c:pt idx="91">
                  <c:v>3.0819999999999999</c:v>
                </c:pt>
                <c:pt idx="92">
                  <c:v>3.09</c:v>
                </c:pt>
                <c:pt idx="93">
                  <c:v>3.0920000000000001</c:v>
                </c:pt>
                <c:pt idx="94">
                  <c:v>3.0830000000000002</c:v>
                </c:pt>
                <c:pt idx="95">
                  <c:v>3.206</c:v>
                </c:pt>
                <c:pt idx="96">
                  <c:v>3.2370000000000001</c:v>
                </c:pt>
                <c:pt idx="97">
                  <c:v>3.153</c:v>
                </c:pt>
                <c:pt idx="98">
                  <c:v>3.1720000000000002</c:v>
                </c:pt>
                <c:pt idx="99">
                  <c:v>3.2109999999999999</c:v>
                </c:pt>
                <c:pt idx="100">
                  <c:v>3.2040000000000002</c:v>
                </c:pt>
                <c:pt idx="101">
                  <c:v>3.2879999999999998</c:v>
                </c:pt>
                <c:pt idx="102">
                  <c:v>3.266</c:v>
                </c:pt>
                <c:pt idx="103">
                  <c:v>3.2170000000000001</c:v>
                </c:pt>
                <c:pt idx="104">
                  <c:v>3.2240000000000002</c:v>
                </c:pt>
                <c:pt idx="105">
                  <c:v>3.1949999999999998</c:v>
                </c:pt>
                <c:pt idx="106">
                  <c:v>3.1480000000000001</c:v>
                </c:pt>
                <c:pt idx="107">
                  <c:v>3.1389999999999998</c:v>
                </c:pt>
                <c:pt idx="108">
                  <c:v>3.1440000000000001</c:v>
                </c:pt>
                <c:pt idx="109">
                  <c:v>3.2149999999999999</c:v>
                </c:pt>
                <c:pt idx="110">
                  <c:v>3.2290000000000001</c:v>
                </c:pt>
                <c:pt idx="111">
                  <c:v>3.4889999999999999</c:v>
                </c:pt>
                <c:pt idx="112">
                  <c:v>3.5379999999999998</c:v>
                </c:pt>
                <c:pt idx="113">
                  <c:v>3.5529999999999999</c:v>
                </c:pt>
                <c:pt idx="114">
                  <c:v>3.5419999999999998</c:v>
                </c:pt>
                <c:pt idx="115">
                  <c:v>3.585</c:v>
                </c:pt>
                <c:pt idx="116">
                  <c:v>3.552</c:v>
                </c:pt>
                <c:pt idx="117">
                  <c:v>3.556</c:v>
                </c:pt>
                <c:pt idx="118">
                  <c:v>3.5659999999999998</c:v>
                </c:pt>
                <c:pt idx="119">
                  <c:v>3.4889999999999999</c:v>
                </c:pt>
                <c:pt idx="120">
                  <c:v>3.4870000000000001</c:v>
                </c:pt>
                <c:pt idx="121">
                  <c:v>3.476</c:v>
                </c:pt>
                <c:pt idx="122">
                  <c:v>3.48</c:v>
                </c:pt>
                <c:pt idx="123">
                  <c:v>3.4620000000000002</c:v>
                </c:pt>
                <c:pt idx="124">
                  <c:v>3.4590000000000001</c:v>
                </c:pt>
                <c:pt idx="125">
                  <c:v>3.4820000000000002</c:v>
                </c:pt>
                <c:pt idx="126">
                  <c:v>3.488</c:v>
                </c:pt>
                <c:pt idx="127">
                  <c:v>3.4660000000000002</c:v>
                </c:pt>
                <c:pt idx="128">
                  <c:v>3.4319999999999999</c:v>
                </c:pt>
                <c:pt idx="129">
                  <c:v>3.452</c:v>
                </c:pt>
                <c:pt idx="130">
                  <c:v>3.4</c:v>
                </c:pt>
                <c:pt idx="131">
                  <c:v>3.427</c:v>
                </c:pt>
                <c:pt idx="132">
                  <c:v>3.3769999999999998</c:v>
                </c:pt>
                <c:pt idx="133">
                  <c:v>3.331</c:v>
                </c:pt>
                <c:pt idx="134">
                  <c:v>3.3969999999999998</c:v>
                </c:pt>
                <c:pt idx="135">
                  <c:v>3.3889999999999998</c:v>
                </c:pt>
                <c:pt idx="136">
                  <c:v>3.391</c:v>
                </c:pt>
                <c:pt idx="137">
                  <c:v>3.3519999999999999</c:v>
                </c:pt>
                <c:pt idx="138">
                  <c:v>3.351</c:v>
                </c:pt>
                <c:pt idx="139">
                  <c:v>3.2719999999999998</c:v>
                </c:pt>
                <c:pt idx="140">
                  <c:v>3.2930000000000001</c:v>
                </c:pt>
                <c:pt idx="141">
                  <c:v>3.2690000000000001</c:v>
                </c:pt>
                <c:pt idx="142">
                  <c:v>3.2389999999999999</c:v>
                </c:pt>
                <c:pt idx="143">
                  <c:v>3.2389999999999999</c:v>
                </c:pt>
                <c:pt idx="144">
                  <c:v>3.2389999999999999</c:v>
                </c:pt>
                <c:pt idx="145">
                  <c:v>3.2120000000000002</c:v>
                </c:pt>
                <c:pt idx="146">
                  <c:v>3.2370000000000001</c:v>
                </c:pt>
                <c:pt idx="147">
                  <c:v>3.165</c:v>
                </c:pt>
                <c:pt idx="148">
                  <c:v>3.1869999999999998</c:v>
                </c:pt>
                <c:pt idx="149">
                  <c:v>3.2360000000000002</c:v>
                </c:pt>
                <c:pt idx="150">
                  <c:v>3.2170000000000001</c:v>
                </c:pt>
                <c:pt idx="151">
                  <c:v>3.1659999999999999</c:v>
                </c:pt>
                <c:pt idx="152">
                  <c:v>3.1659999999999999</c:v>
                </c:pt>
                <c:pt idx="153">
                  <c:v>3.2480000000000002</c:v>
                </c:pt>
                <c:pt idx="154">
                  <c:v>3.2349999999999999</c:v>
                </c:pt>
                <c:pt idx="155">
                  <c:v>3.258</c:v>
                </c:pt>
                <c:pt idx="156">
                  <c:v>3.194</c:v>
                </c:pt>
                <c:pt idx="157">
                  <c:v>3.238</c:v>
                </c:pt>
                <c:pt idx="158">
                  <c:v>3.2639999999999998</c:v>
                </c:pt>
                <c:pt idx="159">
                  <c:v>3.3250000000000002</c:v>
                </c:pt>
                <c:pt idx="160">
                  <c:v>3.3530000000000002</c:v>
                </c:pt>
                <c:pt idx="161">
                  <c:v>3.3780000000000001</c:v>
                </c:pt>
                <c:pt idx="162">
                  <c:v>3.2930000000000001</c:v>
                </c:pt>
                <c:pt idx="163">
                  <c:v>3.262</c:v>
                </c:pt>
                <c:pt idx="164">
                  <c:v>3.258</c:v>
                </c:pt>
                <c:pt idx="165">
                  <c:v>3.262</c:v>
                </c:pt>
                <c:pt idx="166">
                  <c:v>3.31</c:v>
                </c:pt>
                <c:pt idx="167">
                  <c:v>3.32</c:v>
                </c:pt>
                <c:pt idx="168">
                  <c:v>3.26</c:v>
                </c:pt>
                <c:pt idx="169">
                  <c:v>3.2360000000000002</c:v>
                </c:pt>
                <c:pt idx="170">
                  <c:v>3.2040000000000002</c:v>
                </c:pt>
                <c:pt idx="171">
                  <c:v>3.2229999999999999</c:v>
                </c:pt>
                <c:pt idx="172">
                  <c:v>3.1760000000000002</c:v>
                </c:pt>
                <c:pt idx="173">
                  <c:v>3.1589999999999998</c:v>
                </c:pt>
                <c:pt idx="174">
                  <c:v>3.1869999999999998</c:v>
                </c:pt>
                <c:pt idx="175">
                  <c:v>3.1890000000000001</c:v>
                </c:pt>
                <c:pt idx="176">
                  <c:v>3.2040000000000002</c:v>
                </c:pt>
                <c:pt idx="177">
                  <c:v>3.2509999999999999</c:v>
                </c:pt>
                <c:pt idx="178">
                  <c:v>3.2440000000000002</c:v>
                </c:pt>
                <c:pt idx="179">
                  <c:v>3.2389999999999999</c:v>
                </c:pt>
                <c:pt idx="180">
                  <c:v>3.202</c:v>
                </c:pt>
                <c:pt idx="181">
                  <c:v>3.2250000000000001</c:v>
                </c:pt>
                <c:pt idx="182">
                  <c:v>3.181</c:v>
                </c:pt>
                <c:pt idx="183">
                  <c:v>3.2519999999999998</c:v>
                </c:pt>
                <c:pt idx="184">
                  <c:v>3.2330000000000001</c:v>
                </c:pt>
                <c:pt idx="185">
                  <c:v>3.2480000000000002</c:v>
                </c:pt>
                <c:pt idx="186">
                  <c:v>3.2120000000000002</c:v>
                </c:pt>
                <c:pt idx="187">
                  <c:v>3.2709999999999999</c:v>
                </c:pt>
                <c:pt idx="188">
                  <c:v>3.2440000000000002</c:v>
                </c:pt>
                <c:pt idx="189">
                  <c:v>3.2290000000000001</c:v>
                </c:pt>
                <c:pt idx="190">
                  <c:v>3.25</c:v>
                </c:pt>
                <c:pt idx="191">
                  <c:v>3.2570000000000001</c:v>
                </c:pt>
                <c:pt idx="192">
                  <c:v>3.2469999999999999</c:v>
                </c:pt>
                <c:pt idx="193">
                  <c:v>3.2639999999999998</c:v>
                </c:pt>
                <c:pt idx="194">
                  <c:v>3.2839999999999998</c:v>
                </c:pt>
                <c:pt idx="195">
                  <c:v>3.25</c:v>
                </c:pt>
                <c:pt idx="196">
                  <c:v>3.3210000000000002</c:v>
                </c:pt>
                <c:pt idx="197">
                  <c:v>3.274</c:v>
                </c:pt>
                <c:pt idx="198">
                  <c:v>3.278</c:v>
                </c:pt>
                <c:pt idx="199">
                  <c:v>3.32</c:v>
                </c:pt>
                <c:pt idx="200">
                  <c:v>3.3639999999999999</c:v>
                </c:pt>
                <c:pt idx="201">
                  <c:v>3.36</c:v>
                </c:pt>
                <c:pt idx="202">
                  <c:v>3.3969999999999998</c:v>
                </c:pt>
                <c:pt idx="203">
                  <c:v>3.4119999999999999</c:v>
                </c:pt>
                <c:pt idx="204">
                  <c:v>3.431</c:v>
                </c:pt>
                <c:pt idx="205">
                  <c:v>3.4049999999999998</c:v>
                </c:pt>
                <c:pt idx="206">
                  <c:v>3.379</c:v>
                </c:pt>
                <c:pt idx="207">
                  <c:v>3.379</c:v>
                </c:pt>
                <c:pt idx="208">
                  <c:v>3.3980000000000001</c:v>
                </c:pt>
                <c:pt idx="209">
                  <c:v>3.2919999999999998</c:v>
                </c:pt>
                <c:pt idx="210">
                  <c:v>3.2629999999999999</c:v>
                </c:pt>
                <c:pt idx="211">
                  <c:v>3.2989999999999999</c:v>
                </c:pt>
                <c:pt idx="212">
                  <c:v>3.3780000000000001</c:v>
                </c:pt>
                <c:pt idx="213">
                  <c:v>3.3849999999999998</c:v>
                </c:pt>
                <c:pt idx="214">
                  <c:v>3.3490000000000002</c:v>
                </c:pt>
                <c:pt idx="215">
                  <c:v>3.363</c:v>
                </c:pt>
                <c:pt idx="216">
                  <c:v>3.3580000000000001</c:v>
                </c:pt>
                <c:pt idx="217">
                  <c:v>3.347</c:v>
                </c:pt>
                <c:pt idx="218">
                  <c:v>3.3460000000000001</c:v>
                </c:pt>
                <c:pt idx="219">
                  <c:v>3.2829999999999999</c:v>
                </c:pt>
                <c:pt idx="220">
                  <c:v>3.2839999999999998</c:v>
                </c:pt>
                <c:pt idx="221">
                  <c:v>3.3109999999999999</c:v>
                </c:pt>
                <c:pt idx="222">
                  <c:v>3.2949999999999999</c:v>
                </c:pt>
                <c:pt idx="223">
                  <c:v>3.3479999999999999</c:v>
                </c:pt>
                <c:pt idx="224">
                  <c:v>3.355</c:v>
                </c:pt>
                <c:pt idx="225">
                  <c:v>3.4079999999999999</c:v>
                </c:pt>
                <c:pt idx="226">
                  <c:v>3.3340000000000001</c:v>
                </c:pt>
                <c:pt idx="227">
                  <c:v>3.3719999999999999</c:v>
                </c:pt>
                <c:pt idx="228">
                  <c:v>3.4670000000000001</c:v>
                </c:pt>
                <c:pt idx="229">
                  <c:v>3.4460000000000002</c:v>
                </c:pt>
                <c:pt idx="230">
                  <c:v>3.4350000000000001</c:v>
                </c:pt>
                <c:pt idx="231">
                  <c:v>3.4129999999999998</c:v>
                </c:pt>
                <c:pt idx="232">
                  <c:v>3.4609999999999999</c:v>
                </c:pt>
                <c:pt idx="233">
                  <c:v>3.42</c:v>
                </c:pt>
                <c:pt idx="234">
                  <c:v>3.5089999999999999</c:v>
                </c:pt>
                <c:pt idx="235">
                  <c:v>3.4980000000000002</c:v>
                </c:pt>
                <c:pt idx="236">
                  <c:v>3.5169999999999999</c:v>
                </c:pt>
                <c:pt idx="237">
                  <c:v>3.4769999999999999</c:v>
                </c:pt>
                <c:pt idx="238">
                  <c:v>3.5110000000000001</c:v>
                </c:pt>
                <c:pt idx="239">
                  <c:v>3.536</c:v>
                </c:pt>
                <c:pt idx="240">
                  <c:v>3.5819999999999999</c:v>
                </c:pt>
                <c:pt idx="241">
                  <c:v>3.54</c:v>
                </c:pt>
                <c:pt idx="242">
                  <c:v>3.49</c:v>
                </c:pt>
                <c:pt idx="243">
                  <c:v>3.4470000000000001</c:v>
                </c:pt>
                <c:pt idx="244">
                  <c:v>3.4079999999999999</c:v>
                </c:pt>
                <c:pt idx="245">
                  <c:v>3.468</c:v>
                </c:pt>
                <c:pt idx="246">
                  <c:v>3.4609999999999999</c:v>
                </c:pt>
                <c:pt idx="247">
                  <c:v>3.4409999999999998</c:v>
                </c:pt>
                <c:pt idx="248">
                  <c:v>3.5059999999999998</c:v>
                </c:pt>
                <c:pt idx="249">
                  <c:v>3.4780000000000002</c:v>
                </c:pt>
                <c:pt idx="250">
                  <c:v>3.488</c:v>
                </c:pt>
                <c:pt idx="251">
                  <c:v>3.48</c:v>
                </c:pt>
                <c:pt idx="252">
                  <c:v>3.5379999999999998</c:v>
                </c:pt>
                <c:pt idx="253">
                  <c:v>3.5529999999999999</c:v>
                </c:pt>
                <c:pt idx="254">
                  <c:v>3.5590000000000002</c:v>
                </c:pt>
                <c:pt idx="255">
                  <c:v>3.5630000000000002</c:v>
                </c:pt>
                <c:pt idx="256">
                  <c:v>3.5680000000000001</c:v>
                </c:pt>
                <c:pt idx="257">
                  <c:v>3.6</c:v>
                </c:pt>
                <c:pt idx="258">
                  <c:v>3.5680000000000001</c:v>
                </c:pt>
                <c:pt idx="259">
                  <c:v>3.5310000000000001</c:v>
                </c:pt>
                <c:pt idx="260">
                  <c:v>3.5329999999999999</c:v>
                </c:pt>
                <c:pt idx="261">
                  <c:v>3.5289999999999999</c:v>
                </c:pt>
                <c:pt idx="262">
                  <c:v>3.5179999999999998</c:v>
                </c:pt>
                <c:pt idx="263">
                  <c:v>3.5070000000000001</c:v>
                </c:pt>
                <c:pt idx="264">
                  <c:v>3.5670000000000002</c:v>
                </c:pt>
                <c:pt idx="265">
                  <c:v>3.569</c:v>
                </c:pt>
                <c:pt idx="266">
                  <c:v>3.5139999999999998</c:v>
                </c:pt>
                <c:pt idx="267">
                  <c:v>3.524</c:v>
                </c:pt>
                <c:pt idx="268">
                  <c:v>3.4780000000000002</c:v>
                </c:pt>
                <c:pt idx="269">
                  <c:v>3.468</c:v>
                </c:pt>
                <c:pt idx="270">
                  <c:v>3.3940000000000001</c:v>
                </c:pt>
                <c:pt idx="271">
                  <c:v>3.3410000000000002</c:v>
                </c:pt>
                <c:pt idx="272">
                  <c:v>3.335</c:v>
                </c:pt>
                <c:pt idx="273">
                  <c:v>3.36</c:v>
                </c:pt>
                <c:pt idx="274">
                  <c:v>3.3610000000000002</c:v>
                </c:pt>
              </c:numCache>
            </c:numRef>
          </c:val>
          <c:smooth val="0"/>
          <c:extLst>
            <c:ext xmlns:c16="http://schemas.microsoft.com/office/drawing/2014/chart" uri="{C3380CC4-5D6E-409C-BE32-E72D297353CC}">
              <c16:uniqueId val="{00000001-9EB6-407A-B87A-18670FE94C73}"/>
            </c:ext>
          </c:extLst>
        </c:ser>
        <c:ser>
          <c:idx val="2"/>
          <c:order val="2"/>
          <c:tx>
            <c:strRef>
              <c:f>'ΣΤΟΙΧΕΙΑ ΓΙΑ ΠΡΟΥΠ '!$D$2</c:f>
              <c:strCache>
                <c:ptCount val="1"/>
                <c:pt idx="0">
                  <c:v>ΕΛΛΑΔΑ</c:v>
                </c:pt>
              </c:strCache>
            </c:strRef>
          </c:tx>
          <c:spPr>
            <a:ln w="28575" cap="rnd" cmpd="sng" algn="ctr">
              <a:solidFill>
                <a:schemeClr val="accent1">
                  <a:lumMod val="75000"/>
                </a:schemeClr>
              </a:solidFill>
              <a:prstDash val="solid"/>
              <a:round/>
            </a:ln>
            <a:effectLst/>
          </c:spPr>
          <c:marker>
            <c:symbol val="none"/>
          </c:marker>
          <c:cat>
            <c:numRef>
              <c:f>'ΣΤΟΙΧΕΙΑ ΓΙΑ ΠΡΟΥΠ '!$A$2032:$A$2563</c:f>
              <c:numCache>
                <c:formatCode>m/d/yyyy</c:formatCode>
                <c:ptCount val="275"/>
                <c:pt idx="0">
                  <c:v>45566</c:v>
                </c:pt>
                <c:pt idx="1">
                  <c:v>45567</c:v>
                </c:pt>
                <c:pt idx="2">
                  <c:v>45568</c:v>
                </c:pt>
                <c:pt idx="3">
                  <c:v>45569</c:v>
                </c:pt>
                <c:pt idx="4">
                  <c:v>45572</c:v>
                </c:pt>
                <c:pt idx="5">
                  <c:v>45573</c:v>
                </c:pt>
                <c:pt idx="6">
                  <c:v>45574</c:v>
                </c:pt>
                <c:pt idx="7">
                  <c:v>45575</c:v>
                </c:pt>
                <c:pt idx="8">
                  <c:v>45576</c:v>
                </c:pt>
                <c:pt idx="9">
                  <c:v>45579</c:v>
                </c:pt>
                <c:pt idx="10">
                  <c:v>45580</c:v>
                </c:pt>
                <c:pt idx="11">
                  <c:v>45581</c:v>
                </c:pt>
                <c:pt idx="12">
                  <c:v>45582</c:v>
                </c:pt>
                <c:pt idx="13">
                  <c:v>45583</c:v>
                </c:pt>
                <c:pt idx="14">
                  <c:v>45586</c:v>
                </c:pt>
                <c:pt idx="15">
                  <c:v>45587</c:v>
                </c:pt>
                <c:pt idx="16">
                  <c:v>45588</c:v>
                </c:pt>
                <c:pt idx="17">
                  <c:v>45589</c:v>
                </c:pt>
                <c:pt idx="18">
                  <c:v>45590</c:v>
                </c:pt>
                <c:pt idx="19">
                  <c:v>45593</c:v>
                </c:pt>
                <c:pt idx="20">
                  <c:v>45594</c:v>
                </c:pt>
                <c:pt idx="21">
                  <c:v>45595</c:v>
                </c:pt>
                <c:pt idx="22">
                  <c:v>45596</c:v>
                </c:pt>
                <c:pt idx="23">
                  <c:v>45597</c:v>
                </c:pt>
                <c:pt idx="24">
                  <c:v>45600</c:v>
                </c:pt>
                <c:pt idx="25">
                  <c:v>45601</c:v>
                </c:pt>
                <c:pt idx="26">
                  <c:v>45602</c:v>
                </c:pt>
                <c:pt idx="27">
                  <c:v>45603</c:v>
                </c:pt>
                <c:pt idx="28">
                  <c:v>45604</c:v>
                </c:pt>
                <c:pt idx="29">
                  <c:v>45607</c:v>
                </c:pt>
                <c:pt idx="30">
                  <c:v>45608</c:v>
                </c:pt>
                <c:pt idx="31">
                  <c:v>45609</c:v>
                </c:pt>
                <c:pt idx="32">
                  <c:v>45610</c:v>
                </c:pt>
                <c:pt idx="33">
                  <c:v>45611</c:v>
                </c:pt>
                <c:pt idx="34">
                  <c:v>45614</c:v>
                </c:pt>
                <c:pt idx="35">
                  <c:v>45615</c:v>
                </c:pt>
                <c:pt idx="36">
                  <c:v>45616</c:v>
                </c:pt>
                <c:pt idx="37">
                  <c:v>45617</c:v>
                </c:pt>
                <c:pt idx="38">
                  <c:v>45618</c:v>
                </c:pt>
                <c:pt idx="39">
                  <c:v>45621</c:v>
                </c:pt>
                <c:pt idx="40">
                  <c:v>45622</c:v>
                </c:pt>
                <c:pt idx="41">
                  <c:v>45623</c:v>
                </c:pt>
                <c:pt idx="42">
                  <c:v>45624</c:v>
                </c:pt>
                <c:pt idx="43">
                  <c:v>45625</c:v>
                </c:pt>
                <c:pt idx="44">
                  <c:v>45628</c:v>
                </c:pt>
                <c:pt idx="45">
                  <c:v>45629</c:v>
                </c:pt>
                <c:pt idx="46">
                  <c:v>45630</c:v>
                </c:pt>
                <c:pt idx="47">
                  <c:v>45631</c:v>
                </c:pt>
                <c:pt idx="48">
                  <c:v>45632</c:v>
                </c:pt>
                <c:pt idx="49">
                  <c:v>45635</c:v>
                </c:pt>
                <c:pt idx="50">
                  <c:v>45636</c:v>
                </c:pt>
                <c:pt idx="51">
                  <c:v>45637</c:v>
                </c:pt>
                <c:pt idx="52">
                  <c:v>45638</c:v>
                </c:pt>
                <c:pt idx="53">
                  <c:v>45639</c:v>
                </c:pt>
                <c:pt idx="54">
                  <c:v>45642</c:v>
                </c:pt>
                <c:pt idx="55">
                  <c:v>45643</c:v>
                </c:pt>
                <c:pt idx="56">
                  <c:v>45644</c:v>
                </c:pt>
                <c:pt idx="57">
                  <c:v>45645</c:v>
                </c:pt>
                <c:pt idx="58">
                  <c:v>45646</c:v>
                </c:pt>
                <c:pt idx="59">
                  <c:v>45649</c:v>
                </c:pt>
                <c:pt idx="60">
                  <c:v>45650</c:v>
                </c:pt>
                <c:pt idx="61">
                  <c:v>45651</c:v>
                </c:pt>
                <c:pt idx="62">
                  <c:v>45652</c:v>
                </c:pt>
                <c:pt idx="63">
                  <c:v>45653</c:v>
                </c:pt>
                <c:pt idx="64">
                  <c:v>45656</c:v>
                </c:pt>
                <c:pt idx="65">
                  <c:v>45657</c:v>
                </c:pt>
                <c:pt idx="66">
                  <c:v>45658</c:v>
                </c:pt>
                <c:pt idx="67">
                  <c:v>45659</c:v>
                </c:pt>
                <c:pt idx="68">
                  <c:v>45660</c:v>
                </c:pt>
                <c:pt idx="69">
                  <c:v>45663</c:v>
                </c:pt>
                <c:pt idx="70">
                  <c:v>45664</c:v>
                </c:pt>
                <c:pt idx="71">
                  <c:v>45665</c:v>
                </c:pt>
                <c:pt idx="72">
                  <c:v>45666</c:v>
                </c:pt>
                <c:pt idx="73">
                  <c:v>45667</c:v>
                </c:pt>
                <c:pt idx="74">
                  <c:v>45670</c:v>
                </c:pt>
                <c:pt idx="75">
                  <c:v>45671</c:v>
                </c:pt>
                <c:pt idx="76">
                  <c:v>45672</c:v>
                </c:pt>
                <c:pt idx="77">
                  <c:v>45673</c:v>
                </c:pt>
                <c:pt idx="78">
                  <c:v>45674</c:v>
                </c:pt>
                <c:pt idx="79">
                  <c:v>45677</c:v>
                </c:pt>
                <c:pt idx="80">
                  <c:v>45678</c:v>
                </c:pt>
                <c:pt idx="81">
                  <c:v>45679</c:v>
                </c:pt>
                <c:pt idx="82">
                  <c:v>45680</c:v>
                </c:pt>
                <c:pt idx="83">
                  <c:v>45681</c:v>
                </c:pt>
                <c:pt idx="84">
                  <c:v>45684</c:v>
                </c:pt>
                <c:pt idx="85">
                  <c:v>45685</c:v>
                </c:pt>
                <c:pt idx="86">
                  <c:v>45686</c:v>
                </c:pt>
                <c:pt idx="87">
                  <c:v>45687</c:v>
                </c:pt>
                <c:pt idx="88">
                  <c:v>45688</c:v>
                </c:pt>
                <c:pt idx="89">
                  <c:v>45691</c:v>
                </c:pt>
                <c:pt idx="90">
                  <c:v>45692</c:v>
                </c:pt>
                <c:pt idx="91">
                  <c:v>45693</c:v>
                </c:pt>
                <c:pt idx="92">
                  <c:v>45694</c:v>
                </c:pt>
                <c:pt idx="93">
                  <c:v>45695</c:v>
                </c:pt>
                <c:pt idx="94">
                  <c:v>45698</c:v>
                </c:pt>
                <c:pt idx="95">
                  <c:v>45699</c:v>
                </c:pt>
                <c:pt idx="96">
                  <c:v>45700</c:v>
                </c:pt>
                <c:pt idx="97">
                  <c:v>45701</c:v>
                </c:pt>
                <c:pt idx="98">
                  <c:v>45702</c:v>
                </c:pt>
                <c:pt idx="99">
                  <c:v>45705</c:v>
                </c:pt>
                <c:pt idx="100">
                  <c:v>45706</c:v>
                </c:pt>
                <c:pt idx="101">
                  <c:v>45707</c:v>
                </c:pt>
                <c:pt idx="102">
                  <c:v>45708</c:v>
                </c:pt>
                <c:pt idx="103">
                  <c:v>45709</c:v>
                </c:pt>
                <c:pt idx="104">
                  <c:v>45712</c:v>
                </c:pt>
                <c:pt idx="105">
                  <c:v>45713</c:v>
                </c:pt>
                <c:pt idx="106">
                  <c:v>45714</c:v>
                </c:pt>
                <c:pt idx="107">
                  <c:v>45715</c:v>
                </c:pt>
                <c:pt idx="108">
                  <c:v>45716</c:v>
                </c:pt>
                <c:pt idx="109">
                  <c:v>45719</c:v>
                </c:pt>
                <c:pt idx="110">
                  <c:v>45720</c:v>
                </c:pt>
                <c:pt idx="111">
                  <c:v>45721</c:v>
                </c:pt>
                <c:pt idx="112">
                  <c:v>45722</c:v>
                </c:pt>
                <c:pt idx="113">
                  <c:v>45723</c:v>
                </c:pt>
                <c:pt idx="114">
                  <c:v>45726</c:v>
                </c:pt>
                <c:pt idx="115">
                  <c:v>45727</c:v>
                </c:pt>
                <c:pt idx="116">
                  <c:v>45728</c:v>
                </c:pt>
                <c:pt idx="117">
                  <c:v>45729</c:v>
                </c:pt>
                <c:pt idx="118">
                  <c:v>45730</c:v>
                </c:pt>
                <c:pt idx="119">
                  <c:v>45733</c:v>
                </c:pt>
                <c:pt idx="120">
                  <c:v>45734</c:v>
                </c:pt>
                <c:pt idx="121">
                  <c:v>45735</c:v>
                </c:pt>
                <c:pt idx="122">
                  <c:v>45736</c:v>
                </c:pt>
                <c:pt idx="123">
                  <c:v>45737</c:v>
                </c:pt>
                <c:pt idx="124">
                  <c:v>45740</c:v>
                </c:pt>
                <c:pt idx="125">
                  <c:v>45741</c:v>
                </c:pt>
                <c:pt idx="126">
                  <c:v>45742</c:v>
                </c:pt>
                <c:pt idx="127">
                  <c:v>45743</c:v>
                </c:pt>
                <c:pt idx="128">
                  <c:v>45744</c:v>
                </c:pt>
                <c:pt idx="129">
                  <c:v>45747</c:v>
                </c:pt>
                <c:pt idx="130">
                  <c:v>45748</c:v>
                </c:pt>
                <c:pt idx="131">
                  <c:v>45749</c:v>
                </c:pt>
                <c:pt idx="132">
                  <c:v>45750</c:v>
                </c:pt>
                <c:pt idx="133">
                  <c:v>45751</c:v>
                </c:pt>
                <c:pt idx="134">
                  <c:v>45754</c:v>
                </c:pt>
                <c:pt idx="135">
                  <c:v>45755</c:v>
                </c:pt>
                <c:pt idx="136">
                  <c:v>45756</c:v>
                </c:pt>
                <c:pt idx="137">
                  <c:v>45757</c:v>
                </c:pt>
                <c:pt idx="138">
                  <c:v>45758</c:v>
                </c:pt>
                <c:pt idx="139">
                  <c:v>45761</c:v>
                </c:pt>
                <c:pt idx="140">
                  <c:v>45762</c:v>
                </c:pt>
                <c:pt idx="141">
                  <c:v>45763</c:v>
                </c:pt>
                <c:pt idx="142">
                  <c:v>45764</c:v>
                </c:pt>
                <c:pt idx="143">
                  <c:v>45765</c:v>
                </c:pt>
                <c:pt idx="144">
                  <c:v>45768</c:v>
                </c:pt>
                <c:pt idx="145">
                  <c:v>45769</c:v>
                </c:pt>
                <c:pt idx="146">
                  <c:v>45770</c:v>
                </c:pt>
                <c:pt idx="147">
                  <c:v>45771</c:v>
                </c:pt>
                <c:pt idx="148">
                  <c:v>45772</c:v>
                </c:pt>
                <c:pt idx="149">
                  <c:v>45775</c:v>
                </c:pt>
                <c:pt idx="150">
                  <c:v>45776</c:v>
                </c:pt>
                <c:pt idx="151">
                  <c:v>45777</c:v>
                </c:pt>
                <c:pt idx="152">
                  <c:v>45778</c:v>
                </c:pt>
                <c:pt idx="153">
                  <c:v>45779</c:v>
                </c:pt>
                <c:pt idx="154">
                  <c:v>45782</c:v>
                </c:pt>
                <c:pt idx="155">
                  <c:v>45783</c:v>
                </c:pt>
                <c:pt idx="156">
                  <c:v>45784</c:v>
                </c:pt>
                <c:pt idx="157">
                  <c:v>45785</c:v>
                </c:pt>
                <c:pt idx="158">
                  <c:v>45786</c:v>
                </c:pt>
                <c:pt idx="159">
                  <c:v>45789</c:v>
                </c:pt>
                <c:pt idx="160">
                  <c:v>45790</c:v>
                </c:pt>
                <c:pt idx="161">
                  <c:v>45791</c:v>
                </c:pt>
                <c:pt idx="162">
                  <c:v>45792</c:v>
                </c:pt>
                <c:pt idx="163">
                  <c:v>45793</c:v>
                </c:pt>
                <c:pt idx="164">
                  <c:v>45796</c:v>
                </c:pt>
                <c:pt idx="165">
                  <c:v>45797</c:v>
                </c:pt>
                <c:pt idx="166">
                  <c:v>45798</c:v>
                </c:pt>
                <c:pt idx="167">
                  <c:v>45799</c:v>
                </c:pt>
                <c:pt idx="168">
                  <c:v>45800</c:v>
                </c:pt>
                <c:pt idx="169">
                  <c:v>45803</c:v>
                </c:pt>
                <c:pt idx="170">
                  <c:v>45804</c:v>
                </c:pt>
                <c:pt idx="171">
                  <c:v>45805</c:v>
                </c:pt>
                <c:pt idx="172">
                  <c:v>45806</c:v>
                </c:pt>
                <c:pt idx="173">
                  <c:v>45807</c:v>
                </c:pt>
                <c:pt idx="174">
                  <c:v>45810</c:v>
                </c:pt>
                <c:pt idx="175">
                  <c:v>45811</c:v>
                </c:pt>
                <c:pt idx="176">
                  <c:v>45812</c:v>
                </c:pt>
                <c:pt idx="177">
                  <c:v>45813</c:v>
                </c:pt>
                <c:pt idx="178">
                  <c:v>45814</c:v>
                </c:pt>
                <c:pt idx="179">
                  <c:v>45817</c:v>
                </c:pt>
                <c:pt idx="180">
                  <c:v>45818</c:v>
                </c:pt>
                <c:pt idx="181">
                  <c:v>45819</c:v>
                </c:pt>
                <c:pt idx="182">
                  <c:v>45820</c:v>
                </c:pt>
                <c:pt idx="183">
                  <c:v>45821</c:v>
                </c:pt>
                <c:pt idx="184">
                  <c:v>45824</c:v>
                </c:pt>
                <c:pt idx="185">
                  <c:v>45825</c:v>
                </c:pt>
                <c:pt idx="186">
                  <c:v>45826</c:v>
                </c:pt>
                <c:pt idx="187">
                  <c:v>45827</c:v>
                </c:pt>
                <c:pt idx="188">
                  <c:v>45828</c:v>
                </c:pt>
                <c:pt idx="189">
                  <c:v>45831</c:v>
                </c:pt>
                <c:pt idx="190">
                  <c:v>45832</c:v>
                </c:pt>
                <c:pt idx="191">
                  <c:v>45833</c:v>
                </c:pt>
                <c:pt idx="192">
                  <c:v>45834</c:v>
                </c:pt>
                <c:pt idx="193">
                  <c:v>45835</c:v>
                </c:pt>
                <c:pt idx="194">
                  <c:v>45838</c:v>
                </c:pt>
                <c:pt idx="195">
                  <c:v>45839</c:v>
                </c:pt>
                <c:pt idx="196">
                  <c:v>45840</c:v>
                </c:pt>
                <c:pt idx="197">
                  <c:v>45841</c:v>
                </c:pt>
                <c:pt idx="198">
                  <c:v>45842</c:v>
                </c:pt>
                <c:pt idx="199">
                  <c:v>45845</c:v>
                </c:pt>
                <c:pt idx="200">
                  <c:v>45846</c:v>
                </c:pt>
                <c:pt idx="201">
                  <c:v>45847</c:v>
                </c:pt>
                <c:pt idx="202">
                  <c:v>45848</c:v>
                </c:pt>
                <c:pt idx="203">
                  <c:v>45849</c:v>
                </c:pt>
                <c:pt idx="204">
                  <c:v>45852</c:v>
                </c:pt>
                <c:pt idx="205">
                  <c:v>45853</c:v>
                </c:pt>
                <c:pt idx="206">
                  <c:v>45854</c:v>
                </c:pt>
                <c:pt idx="207">
                  <c:v>45855</c:v>
                </c:pt>
                <c:pt idx="208">
                  <c:v>45856</c:v>
                </c:pt>
                <c:pt idx="209">
                  <c:v>45859</c:v>
                </c:pt>
                <c:pt idx="210">
                  <c:v>45860</c:v>
                </c:pt>
                <c:pt idx="211">
                  <c:v>45861</c:v>
                </c:pt>
                <c:pt idx="212">
                  <c:v>45862</c:v>
                </c:pt>
                <c:pt idx="213">
                  <c:v>45863</c:v>
                </c:pt>
                <c:pt idx="214">
                  <c:v>45866</c:v>
                </c:pt>
                <c:pt idx="215">
                  <c:v>45867</c:v>
                </c:pt>
                <c:pt idx="216">
                  <c:v>45868</c:v>
                </c:pt>
                <c:pt idx="217">
                  <c:v>45869</c:v>
                </c:pt>
                <c:pt idx="218">
                  <c:v>45870</c:v>
                </c:pt>
                <c:pt idx="219">
                  <c:v>45873</c:v>
                </c:pt>
                <c:pt idx="220">
                  <c:v>45874</c:v>
                </c:pt>
                <c:pt idx="221">
                  <c:v>45875</c:v>
                </c:pt>
                <c:pt idx="222">
                  <c:v>45876</c:v>
                </c:pt>
                <c:pt idx="223">
                  <c:v>45877</c:v>
                </c:pt>
                <c:pt idx="224">
                  <c:v>45880</c:v>
                </c:pt>
                <c:pt idx="225">
                  <c:v>45881</c:v>
                </c:pt>
                <c:pt idx="226">
                  <c:v>45882</c:v>
                </c:pt>
                <c:pt idx="227">
                  <c:v>45883</c:v>
                </c:pt>
                <c:pt idx="228">
                  <c:v>45884</c:v>
                </c:pt>
                <c:pt idx="229">
                  <c:v>45887</c:v>
                </c:pt>
                <c:pt idx="230">
                  <c:v>45888</c:v>
                </c:pt>
                <c:pt idx="231">
                  <c:v>45889</c:v>
                </c:pt>
                <c:pt idx="232">
                  <c:v>45890</c:v>
                </c:pt>
                <c:pt idx="233">
                  <c:v>45891</c:v>
                </c:pt>
                <c:pt idx="234">
                  <c:v>45894</c:v>
                </c:pt>
                <c:pt idx="235">
                  <c:v>45895</c:v>
                </c:pt>
                <c:pt idx="236">
                  <c:v>45896</c:v>
                </c:pt>
                <c:pt idx="237">
                  <c:v>45897</c:v>
                </c:pt>
                <c:pt idx="238">
                  <c:v>45898</c:v>
                </c:pt>
                <c:pt idx="239">
                  <c:v>45901</c:v>
                </c:pt>
                <c:pt idx="240">
                  <c:v>45902</c:v>
                </c:pt>
                <c:pt idx="241">
                  <c:v>45903</c:v>
                </c:pt>
                <c:pt idx="242">
                  <c:v>45904</c:v>
                </c:pt>
                <c:pt idx="243">
                  <c:v>45905</c:v>
                </c:pt>
                <c:pt idx="244">
                  <c:v>45908</c:v>
                </c:pt>
                <c:pt idx="245">
                  <c:v>45909</c:v>
                </c:pt>
                <c:pt idx="246">
                  <c:v>45910</c:v>
                </c:pt>
                <c:pt idx="247">
                  <c:v>45911</c:v>
                </c:pt>
                <c:pt idx="248">
                  <c:v>45912</c:v>
                </c:pt>
                <c:pt idx="249">
                  <c:v>45915</c:v>
                </c:pt>
                <c:pt idx="250">
                  <c:v>45916</c:v>
                </c:pt>
                <c:pt idx="251">
                  <c:v>45917</c:v>
                </c:pt>
                <c:pt idx="252">
                  <c:v>45918</c:v>
                </c:pt>
                <c:pt idx="253">
                  <c:v>45919</c:v>
                </c:pt>
                <c:pt idx="254">
                  <c:v>45922</c:v>
                </c:pt>
                <c:pt idx="255">
                  <c:v>45923</c:v>
                </c:pt>
                <c:pt idx="256">
                  <c:v>45924</c:v>
                </c:pt>
                <c:pt idx="257">
                  <c:v>45925</c:v>
                </c:pt>
                <c:pt idx="258">
                  <c:v>45926</c:v>
                </c:pt>
                <c:pt idx="259">
                  <c:v>45929</c:v>
                </c:pt>
                <c:pt idx="260">
                  <c:v>45930</c:v>
                </c:pt>
                <c:pt idx="261">
                  <c:v>45931</c:v>
                </c:pt>
                <c:pt idx="262">
                  <c:v>45932</c:v>
                </c:pt>
                <c:pt idx="263">
                  <c:v>45933</c:v>
                </c:pt>
                <c:pt idx="264">
                  <c:v>45936</c:v>
                </c:pt>
                <c:pt idx="265">
                  <c:v>45937</c:v>
                </c:pt>
                <c:pt idx="266">
                  <c:v>45938</c:v>
                </c:pt>
                <c:pt idx="267">
                  <c:v>45939</c:v>
                </c:pt>
                <c:pt idx="268">
                  <c:v>45940</c:v>
                </c:pt>
                <c:pt idx="269">
                  <c:v>45943</c:v>
                </c:pt>
                <c:pt idx="270">
                  <c:v>45944</c:v>
                </c:pt>
                <c:pt idx="271">
                  <c:v>45945</c:v>
                </c:pt>
                <c:pt idx="272">
                  <c:v>45946</c:v>
                </c:pt>
                <c:pt idx="273">
                  <c:v>45947</c:v>
                </c:pt>
                <c:pt idx="274">
                  <c:v>45950</c:v>
                </c:pt>
              </c:numCache>
            </c:numRef>
          </c:cat>
          <c:val>
            <c:numRef>
              <c:f>'ΣΤΟΙΧΕΙΑ ΓΙΑ ΠΡΟΥΠ '!$D$2032:$D$2563</c:f>
              <c:numCache>
                <c:formatCode>General</c:formatCode>
                <c:ptCount val="275"/>
                <c:pt idx="0">
                  <c:v>3.028</c:v>
                </c:pt>
                <c:pt idx="1">
                  <c:v>3.081</c:v>
                </c:pt>
                <c:pt idx="2">
                  <c:v>3.129</c:v>
                </c:pt>
                <c:pt idx="3">
                  <c:v>3.1560000000000001</c:v>
                </c:pt>
                <c:pt idx="4">
                  <c:v>3.2160000000000002</c:v>
                </c:pt>
                <c:pt idx="5">
                  <c:v>3.1880000000000002</c:v>
                </c:pt>
                <c:pt idx="6">
                  <c:v>3.2</c:v>
                </c:pt>
                <c:pt idx="7">
                  <c:v>3.1720000000000002</c:v>
                </c:pt>
                <c:pt idx="8">
                  <c:v>3.198</c:v>
                </c:pt>
                <c:pt idx="9">
                  <c:v>3.1909999999999998</c:v>
                </c:pt>
                <c:pt idx="10">
                  <c:v>3.1179999999999999</c:v>
                </c:pt>
                <c:pt idx="11">
                  <c:v>3.0630000000000002</c:v>
                </c:pt>
                <c:pt idx="12">
                  <c:v>3.0710000000000002</c:v>
                </c:pt>
                <c:pt idx="13">
                  <c:v>3.0230000000000001</c:v>
                </c:pt>
                <c:pt idx="14">
                  <c:v>3.1669999999999998</c:v>
                </c:pt>
                <c:pt idx="15">
                  <c:v>3.2040000000000002</c:v>
                </c:pt>
                <c:pt idx="16">
                  <c:v>3.1680000000000001</c:v>
                </c:pt>
                <c:pt idx="17">
                  <c:v>3.1240000000000001</c:v>
                </c:pt>
                <c:pt idx="18">
                  <c:v>3.1709999999999998</c:v>
                </c:pt>
                <c:pt idx="19">
                  <c:v>3.1560000000000001</c:v>
                </c:pt>
                <c:pt idx="20">
                  <c:v>3.2290000000000001</c:v>
                </c:pt>
                <c:pt idx="21">
                  <c:v>3.2879999999999998</c:v>
                </c:pt>
                <c:pt idx="22">
                  <c:v>3.2919999999999998</c:v>
                </c:pt>
                <c:pt idx="23">
                  <c:v>3.3050000000000002</c:v>
                </c:pt>
                <c:pt idx="24">
                  <c:v>3.2909999999999999</c:v>
                </c:pt>
                <c:pt idx="25">
                  <c:v>3.2949999999999999</c:v>
                </c:pt>
                <c:pt idx="26">
                  <c:v>3.31</c:v>
                </c:pt>
                <c:pt idx="27">
                  <c:v>3.323</c:v>
                </c:pt>
                <c:pt idx="28">
                  <c:v>3.2570000000000001</c:v>
                </c:pt>
                <c:pt idx="29">
                  <c:v>3.1989999999999998</c:v>
                </c:pt>
                <c:pt idx="30">
                  <c:v>3.2469999999999999</c:v>
                </c:pt>
                <c:pt idx="31">
                  <c:v>3.2530000000000001</c:v>
                </c:pt>
                <c:pt idx="32">
                  <c:v>3.1709999999999998</c:v>
                </c:pt>
                <c:pt idx="33">
                  <c:v>3.1859999999999999</c:v>
                </c:pt>
                <c:pt idx="34">
                  <c:v>3.2090000000000001</c:v>
                </c:pt>
                <c:pt idx="35">
                  <c:v>3.1869999999999998</c:v>
                </c:pt>
                <c:pt idx="36">
                  <c:v>3.2010000000000001</c:v>
                </c:pt>
                <c:pt idx="37">
                  <c:v>3.1789999999999998</c:v>
                </c:pt>
                <c:pt idx="38">
                  <c:v>3.11</c:v>
                </c:pt>
                <c:pt idx="39">
                  <c:v>3.0840000000000001</c:v>
                </c:pt>
                <c:pt idx="40">
                  <c:v>3.077</c:v>
                </c:pt>
                <c:pt idx="41">
                  <c:v>3.0230000000000001</c:v>
                </c:pt>
                <c:pt idx="42">
                  <c:v>2.97</c:v>
                </c:pt>
                <c:pt idx="43">
                  <c:v>2.9049999999999998</c:v>
                </c:pt>
                <c:pt idx="44">
                  <c:v>2.92</c:v>
                </c:pt>
                <c:pt idx="45">
                  <c:v>2.911</c:v>
                </c:pt>
                <c:pt idx="46">
                  <c:v>2.895</c:v>
                </c:pt>
                <c:pt idx="47">
                  <c:v>2.903</c:v>
                </c:pt>
                <c:pt idx="48">
                  <c:v>2.9</c:v>
                </c:pt>
                <c:pt idx="49">
                  <c:v>2.899</c:v>
                </c:pt>
                <c:pt idx="50">
                  <c:v>2.907</c:v>
                </c:pt>
                <c:pt idx="51">
                  <c:v>2.8959999999999999</c:v>
                </c:pt>
                <c:pt idx="52">
                  <c:v>3.0329999999999999</c:v>
                </c:pt>
                <c:pt idx="53">
                  <c:v>3.0670000000000002</c:v>
                </c:pt>
                <c:pt idx="54">
                  <c:v>3.085</c:v>
                </c:pt>
                <c:pt idx="55">
                  <c:v>3.0659999999999998</c:v>
                </c:pt>
                <c:pt idx="56">
                  <c:v>3.0840000000000001</c:v>
                </c:pt>
                <c:pt idx="57">
                  <c:v>3.1579999999999999</c:v>
                </c:pt>
                <c:pt idx="58">
                  <c:v>3.1320000000000001</c:v>
                </c:pt>
                <c:pt idx="59">
                  <c:v>3.181</c:v>
                </c:pt>
                <c:pt idx="60">
                  <c:v>3.181</c:v>
                </c:pt>
                <c:pt idx="61">
                  <c:v>3.181</c:v>
                </c:pt>
                <c:pt idx="62">
                  <c:v>3.181</c:v>
                </c:pt>
                <c:pt idx="63">
                  <c:v>3.2370000000000001</c:v>
                </c:pt>
                <c:pt idx="64">
                  <c:v>3.2149999999999999</c:v>
                </c:pt>
                <c:pt idx="65">
                  <c:v>3.2149999999999999</c:v>
                </c:pt>
                <c:pt idx="66">
                  <c:v>3.2149999999999999</c:v>
                </c:pt>
                <c:pt idx="67">
                  <c:v>3.2210000000000001</c:v>
                </c:pt>
                <c:pt idx="68">
                  <c:v>3.2370000000000001</c:v>
                </c:pt>
                <c:pt idx="69">
                  <c:v>3.2210000000000001</c:v>
                </c:pt>
                <c:pt idx="70">
                  <c:v>3.2549999999999999</c:v>
                </c:pt>
                <c:pt idx="71">
                  <c:v>3.3079999999999998</c:v>
                </c:pt>
                <c:pt idx="72">
                  <c:v>3.3519999999999999</c:v>
                </c:pt>
                <c:pt idx="73">
                  <c:v>3.4079999999999999</c:v>
                </c:pt>
                <c:pt idx="74">
                  <c:v>3.4670000000000001</c:v>
                </c:pt>
                <c:pt idx="75">
                  <c:v>3.4740000000000002</c:v>
                </c:pt>
                <c:pt idx="76">
                  <c:v>3.3519999999999999</c:v>
                </c:pt>
                <c:pt idx="77">
                  <c:v>3.31</c:v>
                </c:pt>
                <c:pt idx="78">
                  <c:v>3.3039999999999998</c:v>
                </c:pt>
                <c:pt idx="79">
                  <c:v>3.2810000000000001</c:v>
                </c:pt>
                <c:pt idx="80">
                  <c:v>3.3660000000000001</c:v>
                </c:pt>
                <c:pt idx="81">
                  <c:v>3.375</c:v>
                </c:pt>
                <c:pt idx="82">
                  <c:v>3.4159999999999999</c:v>
                </c:pt>
                <c:pt idx="83">
                  <c:v>3.4159999999999999</c:v>
                </c:pt>
                <c:pt idx="84">
                  <c:v>3.3929999999999998</c:v>
                </c:pt>
                <c:pt idx="85">
                  <c:v>3.4239999999999999</c:v>
                </c:pt>
                <c:pt idx="86">
                  <c:v>3.43</c:v>
                </c:pt>
                <c:pt idx="87">
                  <c:v>3.37</c:v>
                </c:pt>
                <c:pt idx="88">
                  <c:v>3.3170000000000002</c:v>
                </c:pt>
                <c:pt idx="89">
                  <c:v>3.258</c:v>
                </c:pt>
                <c:pt idx="90">
                  <c:v>3.2549999999999999</c:v>
                </c:pt>
                <c:pt idx="91">
                  <c:v>3.214</c:v>
                </c:pt>
                <c:pt idx="92">
                  <c:v>3.206</c:v>
                </c:pt>
                <c:pt idx="93">
                  <c:v>3.2290000000000001</c:v>
                </c:pt>
                <c:pt idx="94">
                  <c:v>3.2250000000000001</c:v>
                </c:pt>
                <c:pt idx="95">
                  <c:v>3.2989999999999999</c:v>
                </c:pt>
                <c:pt idx="96">
                  <c:v>3.3260000000000001</c:v>
                </c:pt>
                <c:pt idx="97">
                  <c:v>3.258</c:v>
                </c:pt>
                <c:pt idx="98">
                  <c:v>3.2879999999999998</c:v>
                </c:pt>
                <c:pt idx="99">
                  <c:v>3.3130000000000002</c:v>
                </c:pt>
                <c:pt idx="100">
                  <c:v>3.3130000000000002</c:v>
                </c:pt>
                <c:pt idx="101">
                  <c:v>3.3940000000000001</c:v>
                </c:pt>
                <c:pt idx="102">
                  <c:v>3.371</c:v>
                </c:pt>
                <c:pt idx="103">
                  <c:v>3.3050000000000002</c:v>
                </c:pt>
                <c:pt idx="104">
                  <c:v>3.3090000000000002</c:v>
                </c:pt>
                <c:pt idx="105">
                  <c:v>3.2770000000000001</c:v>
                </c:pt>
                <c:pt idx="106">
                  <c:v>3.2429999999999999</c:v>
                </c:pt>
                <c:pt idx="107">
                  <c:v>3.2440000000000002</c:v>
                </c:pt>
                <c:pt idx="108">
                  <c:v>3.2410000000000001</c:v>
                </c:pt>
                <c:pt idx="109">
                  <c:v>3.302</c:v>
                </c:pt>
                <c:pt idx="110">
                  <c:v>3.3210000000000002</c:v>
                </c:pt>
                <c:pt idx="111">
                  <c:v>3.5819999999999999</c:v>
                </c:pt>
                <c:pt idx="112">
                  <c:v>3.6549999999999998</c:v>
                </c:pt>
                <c:pt idx="113">
                  <c:v>3.6469999999999998</c:v>
                </c:pt>
                <c:pt idx="114">
                  <c:v>3.6480000000000001</c:v>
                </c:pt>
                <c:pt idx="115">
                  <c:v>3.6920000000000002</c:v>
                </c:pt>
                <c:pt idx="116">
                  <c:v>3.6859999999999999</c:v>
                </c:pt>
                <c:pt idx="117">
                  <c:v>3.6960000000000002</c:v>
                </c:pt>
                <c:pt idx="118">
                  <c:v>3.6840000000000002</c:v>
                </c:pt>
                <c:pt idx="119">
                  <c:v>3.5950000000000002</c:v>
                </c:pt>
                <c:pt idx="120">
                  <c:v>3.5939999999999999</c:v>
                </c:pt>
                <c:pt idx="121">
                  <c:v>3.5830000000000002</c:v>
                </c:pt>
                <c:pt idx="122">
                  <c:v>3.5859999999999999</c:v>
                </c:pt>
                <c:pt idx="123">
                  <c:v>3.5750000000000002</c:v>
                </c:pt>
                <c:pt idx="124">
                  <c:v>3.5680000000000001</c:v>
                </c:pt>
                <c:pt idx="125">
                  <c:v>3.5880000000000001</c:v>
                </c:pt>
                <c:pt idx="126">
                  <c:v>3.597</c:v>
                </c:pt>
                <c:pt idx="127">
                  <c:v>3.5790000000000002</c:v>
                </c:pt>
                <c:pt idx="128">
                  <c:v>3.5470000000000002</c:v>
                </c:pt>
                <c:pt idx="129">
                  <c:v>3.5510000000000002</c:v>
                </c:pt>
                <c:pt idx="130">
                  <c:v>3.4780000000000002</c:v>
                </c:pt>
                <c:pt idx="131">
                  <c:v>3.504</c:v>
                </c:pt>
                <c:pt idx="132">
                  <c:v>3.4569999999999999</c:v>
                </c:pt>
                <c:pt idx="133">
                  <c:v>3.444</c:v>
                </c:pt>
                <c:pt idx="134">
                  <c:v>3.5329999999999999</c:v>
                </c:pt>
                <c:pt idx="135">
                  <c:v>3.53</c:v>
                </c:pt>
                <c:pt idx="136">
                  <c:v>3.5539999999999998</c:v>
                </c:pt>
                <c:pt idx="137">
                  <c:v>3.5019999999999998</c:v>
                </c:pt>
                <c:pt idx="138">
                  <c:v>3.52</c:v>
                </c:pt>
                <c:pt idx="139">
                  <c:v>3.3860000000000001</c:v>
                </c:pt>
                <c:pt idx="140">
                  <c:v>3.4329999999999998</c:v>
                </c:pt>
                <c:pt idx="141">
                  <c:v>3.419</c:v>
                </c:pt>
                <c:pt idx="142">
                  <c:v>3.3650000000000002</c:v>
                </c:pt>
                <c:pt idx="143">
                  <c:v>3.3650000000000002</c:v>
                </c:pt>
                <c:pt idx="144">
                  <c:v>3.3650000000000002</c:v>
                </c:pt>
                <c:pt idx="145">
                  <c:v>3.3279999999999998</c:v>
                </c:pt>
                <c:pt idx="146">
                  <c:v>3.3530000000000002</c:v>
                </c:pt>
                <c:pt idx="147">
                  <c:v>3.2709999999999999</c:v>
                </c:pt>
                <c:pt idx="148">
                  <c:v>3.29</c:v>
                </c:pt>
                <c:pt idx="149">
                  <c:v>3.347</c:v>
                </c:pt>
                <c:pt idx="150">
                  <c:v>3.3220000000000001</c:v>
                </c:pt>
                <c:pt idx="151">
                  <c:v>3.2839999999999998</c:v>
                </c:pt>
                <c:pt idx="152">
                  <c:v>3.2839999999999998</c:v>
                </c:pt>
                <c:pt idx="153">
                  <c:v>3.3540000000000001</c:v>
                </c:pt>
                <c:pt idx="154">
                  <c:v>3.3359999999999999</c:v>
                </c:pt>
                <c:pt idx="155">
                  <c:v>3.3690000000000002</c:v>
                </c:pt>
                <c:pt idx="156">
                  <c:v>3.294</c:v>
                </c:pt>
                <c:pt idx="157">
                  <c:v>3.3319999999999999</c:v>
                </c:pt>
                <c:pt idx="158">
                  <c:v>3.3570000000000002</c:v>
                </c:pt>
                <c:pt idx="159">
                  <c:v>3.4239999999999999</c:v>
                </c:pt>
                <c:pt idx="160">
                  <c:v>3.448</c:v>
                </c:pt>
                <c:pt idx="161">
                  <c:v>3.4580000000000002</c:v>
                </c:pt>
                <c:pt idx="162">
                  <c:v>3.383</c:v>
                </c:pt>
                <c:pt idx="163">
                  <c:v>3.3410000000000002</c:v>
                </c:pt>
                <c:pt idx="164">
                  <c:v>3.34</c:v>
                </c:pt>
                <c:pt idx="165">
                  <c:v>3.3479999999999999</c:v>
                </c:pt>
                <c:pt idx="166">
                  <c:v>3.38</c:v>
                </c:pt>
                <c:pt idx="167">
                  <c:v>3.3780000000000001</c:v>
                </c:pt>
                <c:pt idx="168">
                  <c:v>3.3130000000000002</c:v>
                </c:pt>
                <c:pt idx="169">
                  <c:v>3.2789999999999999</c:v>
                </c:pt>
                <c:pt idx="170">
                  <c:v>3.2610000000000001</c:v>
                </c:pt>
                <c:pt idx="171">
                  <c:v>3.2770000000000001</c:v>
                </c:pt>
                <c:pt idx="172">
                  <c:v>3.23</c:v>
                </c:pt>
                <c:pt idx="173">
                  <c:v>3.2370000000000001</c:v>
                </c:pt>
                <c:pt idx="174">
                  <c:v>3.2480000000000002</c:v>
                </c:pt>
                <c:pt idx="175">
                  <c:v>3.2509999999999999</c:v>
                </c:pt>
                <c:pt idx="176">
                  <c:v>3.2509999999999999</c:v>
                </c:pt>
                <c:pt idx="177">
                  <c:v>3.2970000000000002</c:v>
                </c:pt>
                <c:pt idx="178">
                  <c:v>3.2690000000000001</c:v>
                </c:pt>
                <c:pt idx="179">
                  <c:v>3.26</c:v>
                </c:pt>
                <c:pt idx="180">
                  <c:v>3.2130000000000001</c:v>
                </c:pt>
                <c:pt idx="181">
                  <c:v>3.2429999999999999</c:v>
                </c:pt>
                <c:pt idx="182">
                  <c:v>3.21</c:v>
                </c:pt>
                <c:pt idx="183">
                  <c:v>3.2759999999999998</c:v>
                </c:pt>
                <c:pt idx="184">
                  <c:v>3.2610000000000001</c:v>
                </c:pt>
                <c:pt idx="185">
                  <c:v>3.286</c:v>
                </c:pt>
                <c:pt idx="186">
                  <c:v>3.246</c:v>
                </c:pt>
                <c:pt idx="187">
                  <c:v>3.319</c:v>
                </c:pt>
                <c:pt idx="188">
                  <c:v>3.294</c:v>
                </c:pt>
                <c:pt idx="189">
                  <c:v>3.2759999999999998</c:v>
                </c:pt>
                <c:pt idx="190">
                  <c:v>3.2770000000000001</c:v>
                </c:pt>
                <c:pt idx="191">
                  <c:v>3.294</c:v>
                </c:pt>
                <c:pt idx="192">
                  <c:v>3.262</c:v>
                </c:pt>
                <c:pt idx="193">
                  <c:v>3.2770000000000001</c:v>
                </c:pt>
                <c:pt idx="194">
                  <c:v>3.29</c:v>
                </c:pt>
                <c:pt idx="195">
                  <c:v>3.2789999999999999</c:v>
                </c:pt>
                <c:pt idx="196">
                  <c:v>3.3439999999999999</c:v>
                </c:pt>
                <c:pt idx="197">
                  <c:v>3.2789999999999999</c:v>
                </c:pt>
                <c:pt idx="198">
                  <c:v>3.2839999999999998</c:v>
                </c:pt>
                <c:pt idx="199">
                  <c:v>3.331</c:v>
                </c:pt>
                <c:pt idx="200">
                  <c:v>3.3679999999999999</c:v>
                </c:pt>
                <c:pt idx="201">
                  <c:v>3.3559999999999999</c:v>
                </c:pt>
                <c:pt idx="202">
                  <c:v>3.39</c:v>
                </c:pt>
                <c:pt idx="203">
                  <c:v>3.3919999999999999</c:v>
                </c:pt>
                <c:pt idx="204">
                  <c:v>3.4180000000000001</c:v>
                </c:pt>
                <c:pt idx="205">
                  <c:v>3.3940000000000001</c:v>
                </c:pt>
                <c:pt idx="206">
                  <c:v>3.3660000000000001</c:v>
                </c:pt>
                <c:pt idx="207">
                  <c:v>3.36</c:v>
                </c:pt>
                <c:pt idx="208">
                  <c:v>3.379</c:v>
                </c:pt>
                <c:pt idx="209">
                  <c:v>3.286</c:v>
                </c:pt>
                <c:pt idx="210">
                  <c:v>3.2679999999999998</c:v>
                </c:pt>
                <c:pt idx="211">
                  <c:v>3.3010000000000002</c:v>
                </c:pt>
                <c:pt idx="212">
                  <c:v>3.3820000000000001</c:v>
                </c:pt>
                <c:pt idx="213">
                  <c:v>3.39</c:v>
                </c:pt>
                <c:pt idx="214">
                  <c:v>3.35</c:v>
                </c:pt>
                <c:pt idx="215">
                  <c:v>3.3620000000000001</c:v>
                </c:pt>
                <c:pt idx="216">
                  <c:v>3.3650000000000002</c:v>
                </c:pt>
                <c:pt idx="217">
                  <c:v>3.3479999999999999</c:v>
                </c:pt>
                <c:pt idx="218">
                  <c:v>3.35</c:v>
                </c:pt>
                <c:pt idx="219">
                  <c:v>3.2730000000000001</c:v>
                </c:pt>
                <c:pt idx="220">
                  <c:v>3.2690000000000001</c:v>
                </c:pt>
                <c:pt idx="221">
                  <c:v>3.3</c:v>
                </c:pt>
                <c:pt idx="222">
                  <c:v>3.2789999999999999</c:v>
                </c:pt>
                <c:pt idx="223">
                  <c:v>3.327</c:v>
                </c:pt>
                <c:pt idx="224">
                  <c:v>3.34</c:v>
                </c:pt>
                <c:pt idx="225">
                  <c:v>3.379</c:v>
                </c:pt>
                <c:pt idx="226">
                  <c:v>3.3050000000000002</c:v>
                </c:pt>
                <c:pt idx="227">
                  <c:v>3.3380000000000001</c:v>
                </c:pt>
                <c:pt idx="228">
                  <c:v>3.4249999999999998</c:v>
                </c:pt>
                <c:pt idx="229">
                  <c:v>3.403</c:v>
                </c:pt>
                <c:pt idx="230">
                  <c:v>3.4009999999999998</c:v>
                </c:pt>
                <c:pt idx="231">
                  <c:v>3.3690000000000002</c:v>
                </c:pt>
                <c:pt idx="232">
                  <c:v>3.4220000000000002</c:v>
                </c:pt>
                <c:pt idx="233">
                  <c:v>3.363</c:v>
                </c:pt>
                <c:pt idx="234">
                  <c:v>3.4390000000000001</c:v>
                </c:pt>
                <c:pt idx="235">
                  <c:v>3.395</c:v>
                </c:pt>
                <c:pt idx="236">
                  <c:v>3.4039999999999999</c:v>
                </c:pt>
                <c:pt idx="237">
                  <c:v>3.3690000000000002</c:v>
                </c:pt>
                <c:pt idx="238">
                  <c:v>3.4129999999999998</c:v>
                </c:pt>
                <c:pt idx="239">
                  <c:v>3.4319999999999999</c:v>
                </c:pt>
                <c:pt idx="240">
                  <c:v>3.4929999999999999</c:v>
                </c:pt>
                <c:pt idx="241">
                  <c:v>3.4369999999999998</c:v>
                </c:pt>
                <c:pt idx="242">
                  <c:v>3.3940000000000001</c:v>
                </c:pt>
                <c:pt idx="243">
                  <c:v>3.3410000000000002</c:v>
                </c:pt>
                <c:pt idx="244">
                  <c:v>3.3090000000000002</c:v>
                </c:pt>
                <c:pt idx="245">
                  <c:v>3.319</c:v>
                </c:pt>
                <c:pt idx="246">
                  <c:v>3.3149999999999999</c:v>
                </c:pt>
                <c:pt idx="247">
                  <c:v>3.3069999999999999</c:v>
                </c:pt>
                <c:pt idx="248">
                  <c:v>3.37</c:v>
                </c:pt>
                <c:pt idx="249">
                  <c:v>3.3340000000000001</c:v>
                </c:pt>
                <c:pt idx="250">
                  <c:v>3.343</c:v>
                </c:pt>
                <c:pt idx="251">
                  <c:v>3.3260000000000001</c:v>
                </c:pt>
                <c:pt idx="252">
                  <c:v>3.379</c:v>
                </c:pt>
                <c:pt idx="253">
                  <c:v>3.3919999999999999</c:v>
                </c:pt>
                <c:pt idx="254">
                  <c:v>3.4020000000000001</c:v>
                </c:pt>
                <c:pt idx="255">
                  <c:v>3.4020000000000001</c:v>
                </c:pt>
                <c:pt idx="256">
                  <c:v>3.4169999999999998</c:v>
                </c:pt>
                <c:pt idx="257">
                  <c:v>3.456</c:v>
                </c:pt>
                <c:pt idx="258">
                  <c:v>3.4289999999999998</c:v>
                </c:pt>
                <c:pt idx="259">
                  <c:v>3.3809999999999998</c:v>
                </c:pt>
                <c:pt idx="260">
                  <c:v>3.38</c:v>
                </c:pt>
                <c:pt idx="261">
                  <c:v>3.3740000000000001</c:v>
                </c:pt>
                <c:pt idx="262">
                  <c:v>3.3690000000000002</c:v>
                </c:pt>
                <c:pt idx="263">
                  <c:v>3.3580000000000001</c:v>
                </c:pt>
                <c:pt idx="264">
                  <c:v>3.3860000000000001</c:v>
                </c:pt>
                <c:pt idx="265">
                  <c:v>3.3860000000000001</c:v>
                </c:pt>
                <c:pt idx="266">
                  <c:v>3.335</c:v>
                </c:pt>
                <c:pt idx="267">
                  <c:v>3.3639999999999999</c:v>
                </c:pt>
                <c:pt idx="268">
                  <c:v>3.3340000000000001</c:v>
                </c:pt>
                <c:pt idx="269">
                  <c:v>3.306</c:v>
                </c:pt>
                <c:pt idx="270">
                  <c:v>3.2650000000000001</c:v>
                </c:pt>
                <c:pt idx="271">
                  <c:v>3.2210000000000001</c:v>
                </c:pt>
                <c:pt idx="272">
                  <c:v>3.2109999999999999</c:v>
                </c:pt>
                <c:pt idx="273">
                  <c:v>3.2269999999999999</c:v>
                </c:pt>
                <c:pt idx="274">
                  <c:v>3.2160000000000002</c:v>
                </c:pt>
              </c:numCache>
            </c:numRef>
          </c:val>
          <c:smooth val="0"/>
          <c:extLst>
            <c:ext xmlns:c16="http://schemas.microsoft.com/office/drawing/2014/chart" uri="{C3380CC4-5D6E-409C-BE32-E72D297353CC}">
              <c16:uniqueId val="{00000002-9EB6-407A-B87A-18670FE94C73}"/>
            </c:ext>
          </c:extLst>
        </c:ser>
        <c:ser>
          <c:idx val="3"/>
          <c:order val="3"/>
          <c:tx>
            <c:strRef>
              <c:f>'ΣΤΟΙΧΕΙΑ ΓΙΑ ΠΡΟΥΠ '!$E$2</c:f>
              <c:strCache>
                <c:ptCount val="1"/>
                <c:pt idx="0">
                  <c:v>ΙΡΛΑΝΔΙΑ</c:v>
                </c:pt>
              </c:strCache>
            </c:strRef>
          </c:tx>
          <c:spPr>
            <a:ln w="28575" cap="rnd" cmpd="sng" algn="ctr">
              <a:solidFill>
                <a:schemeClr val="accent4">
                  <a:lumMod val="20000"/>
                  <a:lumOff val="80000"/>
                </a:schemeClr>
              </a:solidFill>
              <a:prstDash val="solid"/>
              <a:round/>
            </a:ln>
            <a:effectLst/>
          </c:spPr>
          <c:marker>
            <c:symbol val="none"/>
          </c:marker>
          <c:cat>
            <c:numRef>
              <c:f>'ΣΤΟΙΧΕΙΑ ΓΙΑ ΠΡΟΥΠ '!$A$2032:$A$2563</c:f>
              <c:numCache>
                <c:formatCode>m/d/yyyy</c:formatCode>
                <c:ptCount val="275"/>
                <c:pt idx="0">
                  <c:v>45566</c:v>
                </c:pt>
                <c:pt idx="1">
                  <c:v>45567</c:v>
                </c:pt>
                <c:pt idx="2">
                  <c:v>45568</c:v>
                </c:pt>
                <c:pt idx="3">
                  <c:v>45569</c:v>
                </c:pt>
                <c:pt idx="4">
                  <c:v>45572</c:v>
                </c:pt>
                <c:pt idx="5">
                  <c:v>45573</c:v>
                </c:pt>
                <c:pt idx="6">
                  <c:v>45574</c:v>
                </c:pt>
                <c:pt idx="7">
                  <c:v>45575</c:v>
                </c:pt>
                <c:pt idx="8">
                  <c:v>45576</c:v>
                </c:pt>
                <c:pt idx="9">
                  <c:v>45579</c:v>
                </c:pt>
                <c:pt idx="10">
                  <c:v>45580</c:v>
                </c:pt>
                <c:pt idx="11">
                  <c:v>45581</c:v>
                </c:pt>
                <c:pt idx="12">
                  <c:v>45582</c:v>
                </c:pt>
                <c:pt idx="13">
                  <c:v>45583</c:v>
                </c:pt>
                <c:pt idx="14">
                  <c:v>45586</c:v>
                </c:pt>
                <c:pt idx="15">
                  <c:v>45587</c:v>
                </c:pt>
                <c:pt idx="16">
                  <c:v>45588</c:v>
                </c:pt>
                <c:pt idx="17">
                  <c:v>45589</c:v>
                </c:pt>
                <c:pt idx="18">
                  <c:v>45590</c:v>
                </c:pt>
                <c:pt idx="19">
                  <c:v>45593</c:v>
                </c:pt>
                <c:pt idx="20">
                  <c:v>45594</c:v>
                </c:pt>
                <c:pt idx="21">
                  <c:v>45595</c:v>
                </c:pt>
                <c:pt idx="22">
                  <c:v>45596</c:v>
                </c:pt>
                <c:pt idx="23">
                  <c:v>45597</c:v>
                </c:pt>
                <c:pt idx="24">
                  <c:v>45600</c:v>
                </c:pt>
                <c:pt idx="25">
                  <c:v>45601</c:v>
                </c:pt>
                <c:pt idx="26">
                  <c:v>45602</c:v>
                </c:pt>
                <c:pt idx="27">
                  <c:v>45603</c:v>
                </c:pt>
                <c:pt idx="28">
                  <c:v>45604</c:v>
                </c:pt>
                <c:pt idx="29">
                  <c:v>45607</c:v>
                </c:pt>
                <c:pt idx="30">
                  <c:v>45608</c:v>
                </c:pt>
                <c:pt idx="31">
                  <c:v>45609</c:v>
                </c:pt>
                <c:pt idx="32">
                  <c:v>45610</c:v>
                </c:pt>
                <c:pt idx="33">
                  <c:v>45611</c:v>
                </c:pt>
                <c:pt idx="34">
                  <c:v>45614</c:v>
                </c:pt>
                <c:pt idx="35">
                  <c:v>45615</c:v>
                </c:pt>
                <c:pt idx="36">
                  <c:v>45616</c:v>
                </c:pt>
                <c:pt idx="37">
                  <c:v>45617</c:v>
                </c:pt>
                <c:pt idx="38">
                  <c:v>45618</c:v>
                </c:pt>
                <c:pt idx="39">
                  <c:v>45621</c:v>
                </c:pt>
                <c:pt idx="40">
                  <c:v>45622</c:v>
                </c:pt>
                <c:pt idx="41">
                  <c:v>45623</c:v>
                </c:pt>
                <c:pt idx="42">
                  <c:v>45624</c:v>
                </c:pt>
                <c:pt idx="43">
                  <c:v>45625</c:v>
                </c:pt>
                <c:pt idx="44">
                  <c:v>45628</c:v>
                </c:pt>
                <c:pt idx="45">
                  <c:v>45629</c:v>
                </c:pt>
                <c:pt idx="46">
                  <c:v>45630</c:v>
                </c:pt>
                <c:pt idx="47">
                  <c:v>45631</c:v>
                </c:pt>
                <c:pt idx="48">
                  <c:v>45632</c:v>
                </c:pt>
                <c:pt idx="49">
                  <c:v>45635</c:v>
                </c:pt>
                <c:pt idx="50">
                  <c:v>45636</c:v>
                </c:pt>
                <c:pt idx="51">
                  <c:v>45637</c:v>
                </c:pt>
                <c:pt idx="52">
                  <c:v>45638</c:v>
                </c:pt>
                <c:pt idx="53">
                  <c:v>45639</c:v>
                </c:pt>
                <c:pt idx="54">
                  <c:v>45642</c:v>
                </c:pt>
                <c:pt idx="55">
                  <c:v>45643</c:v>
                </c:pt>
                <c:pt idx="56">
                  <c:v>45644</c:v>
                </c:pt>
                <c:pt idx="57">
                  <c:v>45645</c:v>
                </c:pt>
                <c:pt idx="58">
                  <c:v>45646</c:v>
                </c:pt>
                <c:pt idx="59">
                  <c:v>45649</c:v>
                </c:pt>
                <c:pt idx="60">
                  <c:v>45650</c:v>
                </c:pt>
                <c:pt idx="61">
                  <c:v>45651</c:v>
                </c:pt>
                <c:pt idx="62">
                  <c:v>45652</c:v>
                </c:pt>
                <c:pt idx="63">
                  <c:v>45653</c:v>
                </c:pt>
                <c:pt idx="64">
                  <c:v>45656</c:v>
                </c:pt>
                <c:pt idx="65">
                  <c:v>45657</c:v>
                </c:pt>
                <c:pt idx="66">
                  <c:v>45658</c:v>
                </c:pt>
                <c:pt idx="67">
                  <c:v>45659</c:v>
                </c:pt>
                <c:pt idx="68">
                  <c:v>45660</c:v>
                </c:pt>
                <c:pt idx="69">
                  <c:v>45663</c:v>
                </c:pt>
                <c:pt idx="70">
                  <c:v>45664</c:v>
                </c:pt>
                <c:pt idx="71">
                  <c:v>45665</c:v>
                </c:pt>
                <c:pt idx="72">
                  <c:v>45666</c:v>
                </c:pt>
                <c:pt idx="73">
                  <c:v>45667</c:v>
                </c:pt>
                <c:pt idx="74">
                  <c:v>45670</c:v>
                </c:pt>
                <c:pt idx="75">
                  <c:v>45671</c:v>
                </c:pt>
                <c:pt idx="76">
                  <c:v>45672</c:v>
                </c:pt>
                <c:pt idx="77">
                  <c:v>45673</c:v>
                </c:pt>
                <c:pt idx="78">
                  <c:v>45674</c:v>
                </c:pt>
                <c:pt idx="79">
                  <c:v>45677</c:v>
                </c:pt>
                <c:pt idx="80">
                  <c:v>45678</c:v>
                </c:pt>
                <c:pt idx="81">
                  <c:v>45679</c:v>
                </c:pt>
                <c:pt idx="82">
                  <c:v>45680</c:v>
                </c:pt>
                <c:pt idx="83">
                  <c:v>45681</c:v>
                </c:pt>
                <c:pt idx="84">
                  <c:v>45684</c:v>
                </c:pt>
                <c:pt idx="85">
                  <c:v>45685</c:v>
                </c:pt>
                <c:pt idx="86">
                  <c:v>45686</c:v>
                </c:pt>
                <c:pt idx="87">
                  <c:v>45687</c:v>
                </c:pt>
                <c:pt idx="88">
                  <c:v>45688</c:v>
                </c:pt>
                <c:pt idx="89">
                  <c:v>45691</c:v>
                </c:pt>
                <c:pt idx="90">
                  <c:v>45692</c:v>
                </c:pt>
                <c:pt idx="91">
                  <c:v>45693</c:v>
                </c:pt>
                <c:pt idx="92">
                  <c:v>45694</c:v>
                </c:pt>
                <c:pt idx="93">
                  <c:v>45695</c:v>
                </c:pt>
                <c:pt idx="94">
                  <c:v>45698</c:v>
                </c:pt>
                <c:pt idx="95">
                  <c:v>45699</c:v>
                </c:pt>
                <c:pt idx="96">
                  <c:v>45700</c:v>
                </c:pt>
                <c:pt idx="97">
                  <c:v>45701</c:v>
                </c:pt>
                <c:pt idx="98">
                  <c:v>45702</c:v>
                </c:pt>
                <c:pt idx="99">
                  <c:v>45705</c:v>
                </c:pt>
                <c:pt idx="100">
                  <c:v>45706</c:v>
                </c:pt>
                <c:pt idx="101">
                  <c:v>45707</c:v>
                </c:pt>
                <c:pt idx="102">
                  <c:v>45708</c:v>
                </c:pt>
                <c:pt idx="103">
                  <c:v>45709</c:v>
                </c:pt>
                <c:pt idx="104">
                  <c:v>45712</c:v>
                </c:pt>
                <c:pt idx="105">
                  <c:v>45713</c:v>
                </c:pt>
                <c:pt idx="106">
                  <c:v>45714</c:v>
                </c:pt>
                <c:pt idx="107">
                  <c:v>45715</c:v>
                </c:pt>
                <c:pt idx="108">
                  <c:v>45716</c:v>
                </c:pt>
                <c:pt idx="109">
                  <c:v>45719</c:v>
                </c:pt>
                <c:pt idx="110">
                  <c:v>45720</c:v>
                </c:pt>
                <c:pt idx="111">
                  <c:v>45721</c:v>
                </c:pt>
                <c:pt idx="112">
                  <c:v>45722</c:v>
                </c:pt>
                <c:pt idx="113">
                  <c:v>45723</c:v>
                </c:pt>
                <c:pt idx="114">
                  <c:v>45726</c:v>
                </c:pt>
                <c:pt idx="115">
                  <c:v>45727</c:v>
                </c:pt>
                <c:pt idx="116">
                  <c:v>45728</c:v>
                </c:pt>
                <c:pt idx="117">
                  <c:v>45729</c:v>
                </c:pt>
                <c:pt idx="118">
                  <c:v>45730</c:v>
                </c:pt>
                <c:pt idx="119">
                  <c:v>45733</c:v>
                </c:pt>
                <c:pt idx="120">
                  <c:v>45734</c:v>
                </c:pt>
                <c:pt idx="121">
                  <c:v>45735</c:v>
                </c:pt>
                <c:pt idx="122">
                  <c:v>45736</c:v>
                </c:pt>
                <c:pt idx="123">
                  <c:v>45737</c:v>
                </c:pt>
                <c:pt idx="124">
                  <c:v>45740</c:v>
                </c:pt>
                <c:pt idx="125">
                  <c:v>45741</c:v>
                </c:pt>
                <c:pt idx="126">
                  <c:v>45742</c:v>
                </c:pt>
                <c:pt idx="127">
                  <c:v>45743</c:v>
                </c:pt>
                <c:pt idx="128">
                  <c:v>45744</c:v>
                </c:pt>
                <c:pt idx="129">
                  <c:v>45747</c:v>
                </c:pt>
                <c:pt idx="130">
                  <c:v>45748</c:v>
                </c:pt>
                <c:pt idx="131">
                  <c:v>45749</c:v>
                </c:pt>
                <c:pt idx="132">
                  <c:v>45750</c:v>
                </c:pt>
                <c:pt idx="133">
                  <c:v>45751</c:v>
                </c:pt>
                <c:pt idx="134">
                  <c:v>45754</c:v>
                </c:pt>
                <c:pt idx="135">
                  <c:v>45755</c:v>
                </c:pt>
                <c:pt idx="136">
                  <c:v>45756</c:v>
                </c:pt>
                <c:pt idx="137">
                  <c:v>45757</c:v>
                </c:pt>
                <c:pt idx="138">
                  <c:v>45758</c:v>
                </c:pt>
                <c:pt idx="139">
                  <c:v>45761</c:v>
                </c:pt>
                <c:pt idx="140">
                  <c:v>45762</c:v>
                </c:pt>
                <c:pt idx="141">
                  <c:v>45763</c:v>
                </c:pt>
                <c:pt idx="142">
                  <c:v>45764</c:v>
                </c:pt>
                <c:pt idx="143">
                  <c:v>45765</c:v>
                </c:pt>
                <c:pt idx="144">
                  <c:v>45768</c:v>
                </c:pt>
                <c:pt idx="145">
                  <c:v>45769</c:v>
                </c:pt>
                <c:pt idx="146">
                  <c:v>45770</c:v>
                </c:pt>
                <c:pt idx="147">
                  <c:v>45771</c:v>
                </c:pt>
                <c:pt idx="148">
                  <c:v>45772</c:v>
                </c:pt>
                <c:pt idx="149">
                  <c:v>45775</c:v>
                </c:pt>
                <c:pt idx="150">
                  <c:v>45776</c:v>
                </c:pt>
                <c:pt idx="151">
                  <c:v>45777</c:v>
                </c:pt>
                <c:pt idx="152">
                  <c:v>45778</c:v>
                </c:pt>
                <c:pt idx="153">
                  <c:v>45779</c:v>
                </c:pt>
                <c:pt idx="154">
                  <c:v>45782</c:v>
                </c:pt>
                <c:pt idx="155">
                  <c:v>45783</c:v>
                </c:pt>
                <c:pt idx="156">
                  <c:v>45784</c:v>
                </c:pt>
                <c:pt idx="157">
                  <c:v>45785</c:v>
                </c:pt>
                <c:pt idx="158">
                  <c:v>45786</c:v>
                </c:pt>
                <c:pt idx="159">
                  <c:v>45789</c:v>
                </c:pt>
                <c:pt idx="160">
                  <c:v>45790</c:v>
                </c:pt>
                <c:pt idx="161">
                  <c:v>45791</c:v>
                </c:pt>
                <c:pt idx="162">
                  <c:v>45792</c:v>
                </c:pt>
                <c:pt idx="163">
                  <c:v>45793</c:v>
                </c:pt>
                <c:pt idx="164">
                  <c:v>45796</c:v>
                </c:pt>
                <c:pt idx="165">
                  <c:v>45797</c:v>
                </c:pt>
                <c:pt idx="166">
                  <c:v>45798</c:v>
                </c:pt>
                <c:pt idx="167">
                  <c:v>45799</c:v>
                </c:pt>
                <c:pt idx="168">
                  <c:v>45800</c:v>
                </c:pt>
                <c:pt idx="169">
                  <c:v>45803</c:v>
                </c:pt>
                <c:pt idx="170">
                  <c:v>45804</c:v>
                </c:pt>
                <c:pt idx="171">
                  <c:v>45805</c:v>
                </c:pt>
                <c:pt idx="172">
                  <c:v>45806</c:v>
                </c:pt>
                <c:pt idx="173">
                  <c:v>45807</c:v>
                </c:pt>
                <c:pt idx="174">
                  <c:v>45810</c:v>
                </c:pt>
                <c:pt idx="175">
                  <c:v>45811</c:v>
                </c:pt>
                <c:pt idx="176">
                  <c:v>45812</c:v>
                </c:pt>
                <c:pt idx="177">
                  <c:v>45813</c:v>
                </c:pt>
                <c:pt idx="178">
                  <c:v>45814</c:v>
                </c:pt>
                <c:pt idx="179">
                  <c:v>45817</c:v>
                </c:pt>
                <c:pt idx="180">
                  <c:v>45818</c:v>
                </c:pt>
                <c:pt idx="181">
                  <c:v>45819</c:v>
                </c:pt>
                <c:pt idx="182">
                  <c:v>45820</c:v>
                </c:pt>
                <c:pt idx="183">
                  <c:v>45821</c:v>
                </c:pt>
                <c:pt idx="184">
                  <c:v>45824</c:v>
                </c:pt>
                <c:pt idx="185">
                  <c:v>45825</c:v>
                </c:pt>
                <c:pt idx="186">
                  <c:v>45826</c:v>
                </c:pt>
                <c:pt idx="187">
                  <c:v>45827</c:v>
                </c:pt>
                <c:pt idx="188">
                  <c:v>45828</c:v>
                </c:pt>
                <c:pt idx="189">
                  <c:v>45831</c:v>
                </c:pt>
                <c:pt idx="190">
                  <c:v>45832</c:v>
                </c:pt>
                <c:pt idx="191">
                  <c:v>45833</c:v>
                </c:pt>
                <c:pt idx="192">
                  <c:v>45834</c:v>
                </c:pt>
                <c:pt idx="193">
                  <c:v>45835</c:v>
                </c:pt>
                <c:pt idx="194">
                  <c:v>45838</c:v>
                </c:pt>
                <c:pt idx="195">
                  <c:v>45839</c:v>
                </c:pt>
                <c:pt idx="196">
                  <c:v>45840</c:v>
                </c:pt>
                <c:pt idx="197">
                  <c:v>45841</c:v>
                </c:pt>
                <c:pt idx="198">
                  <c:v>45842</c:v>
                </c:pt>
                <c:pt idx="199">
                  <c:v>45845</c:v>
                </c:pt>
                <c:pt idx="200">
                  <c:v>45846</c:v>
                </c:pt>
                <c:pt idx="201">
                  <c:v>45847</c:v>
                </c:pt>
                <c:pt idx="202">
                  <c:v>45848</c:v>
                </c:pt>
                <c:pt idx="203">
                  <c:v>45849</c:v>
                </c:pt>
                <c:pt idx="204">
                  <c:v>45852</c:v>
                </c:pt>
                <c:pt idx="205">
                  <c:v>45853</c:v>
                </c:pt>
                <c:pt idx="206">
                  <c:v>45854</c:v>
                </c:pt>
                <c:pt idx="207">
                  <c:v>45855</c:v>
                </c:pt>
                <c:pt idx="208">
                  <c:v>45856</c:v>
                </c:pt>
                <c:pt idx="209">
                  <c:v>45859</c:v>
                </c:pt>
                <c:pt idx="210">
                  <c:v>45860</c:v>
                </c:pt>
                <c:pt idx="211">
                  <c:v>45861</c:v>
                </c:pt>
                <c:pt idx="212">
                  <c:v>45862</c:v>
                </c:pt>
                <c:pt idx="213">
                  <c:v>45863</c:v>
                </c:pt>
                <c:pt idx="214">
                  <c:v>45866</c:v>
                </c:pt>
                <c:pt idx="215">
                  <c:v>45867</c:v>
                </c:pt>
                <c:pt idx="216">
                  <c:v>45868</c:v>
                </c:pt>
                <c:pt idx="217">
                  <c:v>45869</c:v>
                </c:pt>
                <c:pt idx="218">
                  <c:v>45870</c:v>
                </c:pt>
                <c:pt idx="219">
                  <c:v>45873</c:v>
                </c:pt>
                <c:pt idx="220">
                  <c:v>45874</c:v>
                </c:pt>
                <c:pt idx="221">
                  <c:v>45875</c:v>
                </c:pt>
                <c:pt idx="222">
                  <c:v>45876</c:v>
                </c:pt>
                <c:pt idx="223">
                  <c:v>45877</c:v>
                </c:pt>
                <c:pt idx="224">
                  <c:v>45880</c:v>
                </c:pt>
                <c:pt idx="225">
                  <c:v>45881</c:v>
                </c:pt>
                <c:pt idx="226">
                  <c:v>45882</c:v>
                </c:pt>
                <c:pt idx="227">
                  <c:v>45883</c:v>
                </c:pt>
                <c:pt idx="228">
                  <c:v>45884</c:v>
                </c:pt>
                <c:pt idx="229">
                  <c:v>45887</c:v>
                </c:pt>
                <c:pt idx="230">
                  <c:v>45888</c:v>
                </c:pt>
                <c:pt idx="231">
                  <c:v>45889</c:v>
                </c:pt>
                <c:pt idx="232">
                  <c:v>45890</c:v>
                </c:pt>
                <c:pt idx="233">
                  <c:v>45891</c:v>
                </c:pt>
                <c:pt idx="234">
                  <c:v>45894</c:v>
                </c:pt>
                <c:pt idx="235">
                  <c:v>45895</c:v>
                </c:pt>
                <c:pt idx="236">
                  <c:v>45896</c:v>
                </c:pt>
                <c:pt idx="237">
                  <c:v>45897</c:v>
                </c:pt>
                <c:pt idx="238">
                  <c:v>45898</c:v>
                </c:pt>
                <c:pt idx="239">
                  <c:v>45901</c:v>
                </c:pt>
                <c:pt idx="240">
                  <c:v>45902</c:v>
                </c:pt>
                <c:pt idx="241">
                  <c:v>45903</c:v>
                </c:pt>
                <c:pt idx="242">
                  <c:v>45904</c:v>
                </c:pt>
                <c:pt idx="243">
                  <c:v>45905</c:v>
                </c:pt>
                <c:pt idx="244">
                  <c:v>45908</c:v>
                </c:pt>
                <c:pt idx="245">
                  <c:v>45909</c:v>
                </c:pt>
                <c:pt idx="246">
                  <c:v>45910</c:v>
                </c:pt>
                <c:pt idx="247">
                  <c:v>45911</c:v>
                </c:pt>
                <c:pt idx="248">
                  <c:v>45912</c:v>
                </c:pt>
                <c:pt idx="249">
                  <c:v>45915</c:v>
                </c:pt>
                <c:pt idx="250">
                  <c:v>45916</c:v>
                </c:pt>
                <c:pt idx="251">
                  <c:v>45917</c:v>
                </c:pt>
                <c:pt idx="252">
                  <c:v>45918</c:v>
                </c:pt>
                <c:pt idx="253">
                  <c:v>45919</c:v>
                </c:pt>
                <c:pt idx="254">
                  <c:v>45922</c:v>
                </c:pt>
                <c:pt idx="255">
                  <c:v>45923</c:v>
                </c:pt>
                <c:pt idx="256">
                  <c:v>45924</c:v>
                </c:pt>
                <c:pt idx="257">
                  <c:v>45925</c:v>
                </c:pt>
                <c:pt idx="258">
                  <c:v>45926</c:v>
                </c:pt>
                <c:pt idx="259">
                  <c:v>45929</c:v>
                </c:pt>
                <c:pt idx="260">
                  <c:v>45930</c:v>
                </c:pt>
                <c:pt idx="261">
                  <c:v>45931</c:v>
                </c:pt>
                <c:pt idx="262">
                  <c:v>45932</c:v>
                </c:pt>
                <c:pt idx="263">
                  <c:v>45933</c:v>
                </c:pt>
                <c:pt idx="264">
                  <c:v>45936</c:v>
                </c:pt>
                <c:pt idx="265">
                  <c:v>45937</c:v>
                </c:pt>
                <c:pt idx="266">
                  <c:v>45938</c:v>
                </c:pt>
                <c:pt idx="267">
                  <c:v>45939</c:v>
                </c:pt>
                <c:pt idx="268">
                  <c:v>45940</c:v>
                </c:pt>
                <c:pt idx="269">
                  <c:v>45943</c:v>
                </c:pt>
                <c:pt idx="270">
                  <c:v>45944</c:v>
                </c:pt>
                <c:pt idx="271">
                  <c:v>45945</c:v>
                </c:pt>
                <c:pt idx="272">
                  <c:v>45946</c:v>
                </c:pt>
                <c:pt idx="273">
                  <c:v>45947</c:v>
                </c:pt>
                <c:pt idx="274">
                  <c:v>45950</c:v>
                </c:pt>
              </c:numCache>
            </c:numRef>
          </c:cat>
          <c:val>
            <c:numRef>
              <c:f>'ΣΤΟΙΧΕΙΑ ΓΙΑ ΠΡΟΥΠ '!$E$2032:$E$2563</c:f>
              <c:numCache>
                <c:formatCode>General</c:formatCode>
                <c:ptCount val="275"/>
                <c:pt idx="0">
                  <c:v>2.3679999999999999</c:v>
                </c:pt>
                <c:pt idx="1">
                  <c:v>2.4209999999999998</c:v>
                </c:pt>
                <c:pt idx="2">
                  <c:v>2.4849999999999999</c:v>
                </c:pt>
                <c:pt idx="3">
                  <c:v>2.5459999999999998</c:v>
                </c:pt>
                <c:pt idx="4">
                  <c:v>2.601</c:v>
                </c:pt>
                <c:pt idx="5">
                  <c:v>2.59</c:v>
                </c:pt>
                <c:pt idx="6">
                  <c:v>2.6139999999999999</c:v>
                </c:pt>
                <c:pt idx="7">
                  <c:v>2.6139999999999999</c:v>
                </c:pt>
                <c:pt idx="8">
                  <c:v>2.6259999999999999</c:v>
                </c:pt>
                <c:pt idx="9">
                  <c:v>2.6320000000000001</c:v>
                </c:pt>
                <c:pt idx="10">
                  <c:v>2.5670000000000002</c:v>
                </c:pt>
                <c:pt idx="11">
                  <c:v>2.5339999999999998</c:v>
                </c:pt>
                <c:pt idx="12">
                  <c:v>2.5539999999999998</c:v>
                </c:pt>
                <c:pt idx="13">
                  <c:v>2.5219999999999998</c:v>
                </c:pt>
                <c:pt idx="14">
                  <c:v>2.629</c:v>
                </c:pt>
                <c:pt idx="15">
                  <c:v>2.6640000000000001</c:v>
                </c:pt>
                <c:pt idx="16">
                  <c:v>2.64</c:v>
                </c:pt>
                <c:pt idx="17">
                  <c:v>2.601</c:v>
                </c:pt>
                <c:pt idx="18">
                  <c:v>2.6389999999999998</c:v>
                </c:pt>
                <c:pt idx="19">
                  <c:v>2.61</c:v>
                </c:pt>
                <c:pt idx="20">
                  <c:v>2.67</c:v>
                </c:pt>
                <c:pt idx="21">
                  <c:v>2.706</c:v>
                </c:pt>
                <c:pt idx="22">
                  <c:v>2.71</c:v>
                </c:pt>
                <c:pt idx="23">
                  <c:v>2.7349999999999999</c:v>
                </c:pt>
                <c:pt idx="24">
                  <c:v>2.7109999999999999</c:v>
                </c:pt>
                <c:pt idx="25">
                  <c:v>2.7349999999999999</c:v>
                </c:pt>
                <c:pt idx="26">
                  <c:v>2.7290000000000001</c:v>
                </c:pt>
                <c:pt idx="27">
                  <c:v>2.75</c:v>
                </c:pt>
                <c:pt idx="28">
                  <c:v>2.665</c:v>
                </c:pt>
                <c:pt idx="29">
                  <c:v>2.6219999999999999</c:v>
                </c:pt>
                <c:pt idx="30">
                  <c:v>2.6720000000000002</c:v>
                </c:pt>
                <c:pt idx="31">
                  <c:v>2.7130000000000001</c:v>
                </c:pt>
                <c:pt idx="32">
                  <c:v>2.657</c:v>
                </c:pt>
                <c:pt idx="33">
                  <c:v>2.6629999999999998</c:v>
                </c:pt>
                <c:pt idx="34">
                  <c:v>2.665</c:v>
                </c:pt>
                <c:pt idx="35">
                  <c:v>2.6259999999999999</c:v>
                </c:pt>
                <c:pt idx="36">
                  <c:v>2.6459999999999999</c:v>
                </c:pt>
                <c:pt idx="37">
                  <c:v>2.6219999999999999</c:v>
                </c:pt>
                <c:pt idx="38">
                  <c:v>2.5640000000000001</c:v>
                </c:pt>
                <c:pt idx="39">
                  <c:v>2.536</c:v>
                </c:pt>
                <c:pt idx="40">
                  <c:v>2.5259999999999998</c:v>
                </c:pt>
                <c:pt idx="41">
                  <c:v>2.4830000000000001</c:v>
                </c:pt>
                <c:pt idx="42">
                  <c:v>2.4369999999999998</c:v>
                </c:pt>
                <c:pt idx="43">
                  <c:v>2.3940000000000001</c:v>
                </c:pt>
                <c:pt idx="44">
                  <c:v>2.351</c:v>
                </c:pt>
                <c:pt idx="45">
                  <c:v>2.3610000000000002</c:v>
                </c:pt>
                <c:pt idx="46">
                  <c:v>2.3660000000000001</c:v>
                </c:pt>
                <c:pt idx="47">
                  <c:v>2.3980000000000001</c:v>
                </c:pt>
                <c:pt idx="48">
                  <c:v>2.3919999999999999</c:v>
                </c:pt>
                <c:pt idx="49">
                  <c:v>2.4089999999999998</c:v>
                </c:pt>
                <c:pt idx="50">
                  <c:v>2.4009999999999998</c:v>
                </c:pt>
                <c:pt idx="51">
                  <c:v>2.4089999999999998</c:v>
                </c:pt>
                <c:pt idx="52">
                  <c:v>2.4849999999999999</c:v>
                </c:pt>
                <c:pt idx="53">
                  <c:v>2.5339999999999998</c:v>
                </c:pt>
                <c:pt idx="54">
                  <c:v>2.5249999999999999</c:v>
                </c:pt>
                <c:pt idx="55">
                  <c:v>2.516</c:v>
                </c:pt>
                <c:pt idx="56">
                  <c:v>2.5259999999999998</c:v>
                </c:pt>
                <c:pt idx="57">
                  <c:v>2.5830000000000002</c:v>
                </c:pt>
                <c:pt idx="58">
                  <c:v>2.5609999999999999</c:v>
                </c:pt>
                <c:pt idx="59">
                  <c:v>2.5990000000000002</c:v>
                </c:pt>
                <c:pt idx="60">
                  <c:v>2.5990000000000002</c:v>
                </c:pt>
                <c:pt idx="61">
                  <c:v>2.5990000000000002</c:v>
                </c:pt>
                <c:pt idx="62">
                  <c:v>2.5990000000000002</c:v>
                </c:pt>
                <c:pt idx="63">
                  <c:v>2.6709999999999998</c:v>
                </c:pt>
                <c:pt idx="64">
                  <c:v>2.6360000000000001</c:v>
                </c:pt>
                <c:pt idx="65">
                  <c:v>2.6360000000000001</c:v>
                </c:pt>
                <c:pt idx="66">
                  <c:v>2.6360000000000001</c:v>
                </c:pt>
                <c:pt idx="67">
                  <c:v>2.6389999999999998</c:v>
                </c:pt>
                <c:pt idx="68">
                  <c:v>2.7010000000000001</c:v>
                </c:pt>
                <c:pt idx="69">
                  <c:v>2.726</c:v>
                </c:pt>
                <c:pt idx="70">
                  <c:v>2.7570000000000001</c:v>
                </c:pt>
                <c:pt idx="71">
                  <c:v>2.7909999999999999</c:v>
                </c:pt>
                <c:pt idx="72">
                  <c:v>2.8149999999999999</c:v>
                </c:pt>
                <c:pt idx="73">
                  <c:v>2.847</c:v>
                </c:pt>
                <c:pt idx="74">
                  <c:v>2.8719999999999999</c:v>
                </c:pt>
                <c:pt idx="75">
                  <c:v>2.9089999999999998</c:v>
                </c:pt>
                <c:pt idx="76">
                  <c:v>2.8260000000000001</c:v>
                </c:pt>
                <c:pt idx="77">
                  <c:v>2.7970000000000002</c:v>
                </c:pt>
                <c:pt idx="78">
                  <c:v>2.7869999999999999</c:v>
                </c:pt>
                <c:pt idx="79">
                  <c:v>2.798</c:v>
                </c:pt>
                <c:pt idx="80">
                  <c:v>2.794</c:v>
                </c:pt>
                <c:pt idx="81">
                  <c:v>2.8109999999999999</c:v>
                </c:pt>
                <c:pt idx="82">
                  <c:v>2.8290000000000002</c:v>
                </c:pt>
                <c:pt idx="83">
                  <c:v>2.8410000000000002</c:v>
                </c:pt>
                <c:pt idx="84">
                  <c:v>2.8010000000000002</c:v>
                </c:pt>
                <c:pt idx="85">
                  <c:v>2.827</c:v>
                </c:pt>
                <c:pt idx="86">
                  <c:v>2.843</c:v>
                </c:pt>
                <c:pt idx="87">
                  <c:v>2.78</c:v>
                </c:pt>
                <c:pt idx="88">
                  <c:v>2.7210000000000001</c:v>
                </c:pt>
                <c:pt idx="89">
                  <c:v>2.6389999999999998</c:v>
                </c:pt>
                <c:pt idx="90">
                  <c:v>2.657</c:v>
                </c:pt>
                <c:pt idx="91">
                  <c:v>2.6280000000000001</c:v>
                </c:pt>
                <c:pt idx="92">
                  <c:v>2.6440000000000001</c:v>
                </c:pt>
                <c:pt idx="93">
                  <c:v>2.6469999999999998</c:v>
                </c:pt>
                <c:pt idx="94">
                  <c:v>2.653</c:v>
                </c:pt>
                <c:pt idx="95">
                  <c:v>2.7229999999999999</c:v>
                </c:pt>
                <c:pt idx="96">
                  <c:v>2.7669999999999999</c:v>
                </c:pt>
                <c:pt idx="97">
                  <c:v>2.698</c:v>
                </c:pt>
                <c:pt idx="98">
                  <c:v>2.7109999999999999</c:v>
                </c:pt>
                <c:pt idx="99">
                  <c:v>2.7629999999999999</c:v>
                </c:pt>
                <c:pt idx="100">
                  <c:v>2.7730000000000001</c:v>
                </c:pt>
                <c:pt idx="101">
                  <c:v>2.8439999999999999</c:v>
                </c:pt>
                <c:pt idx="102">
                  <c:v>2.8250000000000002</c:v>
                </c:pt>
                <c:pt idx="103">
                  <c:v>2.7669999999999999</c:v>
                </c:pt>
                <c:pt idx="104">
                  <c:v>2.7709999999999999</c:v>
                </c:pt>
                <c:pt idx="105">
                  <c:v>2.7450000000000001</c:v>
                </c:pt>
                <c:pt idx="106">
                  <c:v>2.714</c:v>
                </c:pt>
                <c:pt idx="107">
                  <c:v>2.6819999999999999</c:v>
                </c:pt>
                <c:pt idx="108">
                  <c:v>2.677</c:v>
                </c:pt>
                <c:pt idx="109">
                  <c:v>2.7589999999999999</c:v>
                </c:pt>
                <c:pt idx="110">
                  <c:v>2.7629999999999999</c:v>
                </c:pt>
                <c:pt idx="111">
                  <c:v>3.0569999999999999</c:v>
                </c:pt>
                <c:pt idx="112">
                  <c:v>3.0939999999999999</c:v>
                </c:pt>
                <c:pt idx="113">
                  <c:v>3.097</c:v>
                </c:pt>
                <c:pt idx="114">
                  <c:v>3.0880000000000001</c:v>
                </c:pt>
                <c:pt idx="115">
                  <c:v>3.141</c:v>
                </c:pt>
                <c:pt idx="116">
                  <c:v>3.125</c:v>
                </c:pt>
                <c:pt idx="117">
                  <c:v>3.117</c:v>
                </c:pt>
                <c:pt idx="118">
                  <c:v>3.1419999999999999</c:v>
                </c:pt>
                <c:pt idx="119">
                  <c:v>3.085</c:v>
                </c:pt>
                <c:pt idx="120">
                  <c:v>3.0819999999999999</c:v>
                </c:pt>
                <c:pt idx="121">
                  <c:v>3.0880000000000001</c:v>
                </c:pt>
                <c:pt idx="122">
                  <c:v>3.0510000000000002</c:v>
                </c:pt>
                <c:pt idx="123">
                  <c:v>3.0459999999999998</c:v>
                </c:pt>
                <c:pt idx="124">
                  <c:v>3.056</c:v>
                </c:pt>
                <c:pt idx="125">
                  <c:v>3.08</c:v>
                </c:pt>
                <c:pt idx="126">
                  <c:v>3.0750000000000002</c:v>
                </c:pt>
                <c:pt idx="127">
                  <c:v>3.0539999999999998</c:v>
                </c:pt>
                <c:pt idx="128">
                  <c:v>3.0059999999999998</c:v>
                </c:pt>
                <c:pt idx="129">
                  <c:v>3.016</c:v>
                </c:pt>
                <c:pt idx="130">
                  <c:v>2.992</c:v>
                </c:pt>
                <c:pt idx="131">
                  <c:v>3.0379999999999998</c:v>
                </c:pt>
                <c:pt idx="132">
                  <c:v>2.9849999999999999</c:v>
                </c:pt>
                <c:pt idx="133">
                  <c:v>2.9279999999999999</c:v>
                </c:pt>
                <c:pt idx="134">
                  <c:v>3.0150000000000001</c:v>
                </c:pt>
                <c:pt idx="135">
                  <c:v>3.016</c:v>
                </c:pt>
                <c:pt idx="136">
                  <c:v>2.9990000000000001</c:v>
                </c:pt>
                <c:pt idx="137">
                  <c:v>2.923</c:v>
                </c:pt>
                <c:pt idx="138">
                  <c:v>2.9359999999999999</c:v>
                </c:pt>
                <c:pt idx="139">
                  <c:v>2.871</c:v>
                </c:pt>
                <c:pt idx="140">
                  <c:v>2.8929999999999998</c:v>
                </c:pt>
                <c:pt idx="141">
                  <c:v>2.87</c:v>
                </c:pt>
                <c:pt idx="142">
                  <c:v>2.8260000000000001</c:v>
                </c:pt>
                <c:pt idx="143">
                  <c:v>2.8260000000000001</c:v>
                </c:pt>
                <c:pt idx="144">
                  <c:v>2.8260000000000001</c:v>
                </c:pt>
                <c:pt idx="145">
                  <c:v>2.798</c:v>
                </c:pt>
                <c:pt idx="146">
                  <c:v>2.8460000000000001</c:v>
                </c:pt>
                <c:pt idx="147">
                  <c:v>2.7949999999999999</c:v>
                </c:pt>
                <c:pt idx="148">
                  <c:v>2.8220000000000001</c:v>
                </c:pt>
                <c:pt idx="149">
                  <c:v>2.859</c:v>
                </c:pt>
                <c:pt idx="150">
                  <c:v>2.8370000000000002</c:v>
                </c:pt>
                <c:pt idx="151">
                  <c:v>2.786</c:v>
                </c:pt>
                <c:pt idx="152">
                  <c:v>2.786</c:v>
                </c:pt>
                <c:pt idx="153">
                  <c:v>2.8780000000000001</c:v>
                </c:pt>
                <c:pt idx="154">
                  <c:v>2.859</c:v>
                </c:pt>
                <c:pt idx="155">
                  <c:v>2.9060000000000001</c:v>
                </c:pt>
                <c:pt idx="156">
                  <c:v>2.859</c:v>
                </c:pt>
                <c:pt idx="157">
                  <c:v>2.875</c:v>
                </c:pt>
                <c:pt idx="158">
                  <c:v>2.8969999999999998</c:v>
                </c:pt>
                <c:pt idx="159">
                  <c:v>2.9580000000000002</c:v>
                </c:pt>
                <c:pt idx="160">
                  <c:v>2.972</c:v>
                </c:pt>
                <c:pt idx="161">
                  <c:v>2.9820000000000002</c:v>
                </c:pt>
                <c:pt idx="162">
                  <c:v>2.9039999999999999</c:v>
                </c:pt>
                <c:pt idx="163">
                  <c:v>2.8780000000000001</c:v>
                </c:pt>
                <c:pt idx="164">
                  <c:v>2.875</c:v>
                </c:pt>
                <c:pt idx="165">
                  <c:v>2.9039999999999999</c:v>
                </c:pt>
                <c:pt idx="166">
                  <c:v>2.9540000000000002</c:v>
                </c:pt>
                <c:pt idx="167">
                  <c:v>2.9460000000000002</c:v>
                </c:pt>
                <c:pt idx="168">
                  <c:v>2.8959999999999999</c:v>
                </c:pt>
                <c:pt idx="169">
                  <c:v>2.863</c:v>
                </c:pt>
                <c:pt idx="170">
                  <c:v>2.823</c:v>
                </c:pt>
                <c:pt idx="171">
                  <c:v>2.839</c:v>
                </c:pt>
                <c:pt idx="172">
                  <c:v>2.7890000000000001</c:v>
                </c:pt>
                <c:pt idx="173">
                  <c:v>2.7839999999999998</c:v>
                </c:pt>
                <c:pt idx="174">
                  <c:v>2.81</c:v>
                </c:pt>
                <c:pt idx="175">
                  <c:v>2.8140000000000001</c:v>
                </c:pt>
                <c:pt idx="176">
                  <c:v>2.8250000000000002</c:v>
                </c:pt>
                <c:pt idx="177">
                  <c:v>2.879</c:v>
                </c:pt>
                <c:pt idx="178">
                  <c:v>2.87</c:v>
                </c:pt>
                <c:pt idx="179">
                  <c:v>2.8639999999999999</c:v>
                </c:pt>
                <c:pt idx="180">
                  <c:v>2.8210000000000002</c:v>
                </c:pt>
                <c:pt idx="181">
                  <c:v>2.8340000000000001</c:v>
                </c:pt>
                <c:pt idx="182">
                  <c:v>2.7839999999999998</c:v>
                </c:pt>
                <c:pt idx="183">
                  <c:v>2.8490000000000002</c:v>
                </c:pt>
                <c:pt idx="184">
                  <c:v>2.8370000000000002</c:v>
                </c:pt>
                <c:pt idx="185">
                  <c:v>2.8570000000000002</c:v>
                </c:pt>
                <c:pt idx="186">
                  <c:v>2.8260000000000001</c:v>
                </c:pt>
                <c:pt idx="187">
                  <c:v>2.8610000000000002</c:v>
                </c:pt>
                <c:pt idx="188">
                  <c:v>2.85</c:v>
                </c:pt>
                <c:pt idx="189">
                  <c:v>2.84</c:v>
                </c:pt>
                <c:pt idx="190">
                  <c:v>2.8679999999999999</c:v>
                </c:pt>
                <c:pt idx="191">
                  <c:v>2.8809999999999998</c:v>
                </c:pt>
                <c:pt idx="192">
                  <c:v>2.8730000000000002</c:v>
                </c:pt>
                <c:pt idx="193">
                  <c:v>2.8959999999999999</c:v>
                </c:pt>
                <c:pt idx="194">
                  <c:v>2.9159999999999999</c:v>
                </c:pt>
                <c:pt idx="195">
                  <c:v>2.8809999999999998</c:v>
                </c:pt>
                <c:pt idx="196">
                  <c:v>2.9289999999999998</c:v>
                </c:pt>
                <c:pt idx="197">
                  <c:v>2.883</c:v>
                </c:pt>
                <c:pt idx="198">
                  <c:v>2.8660000000000001</c:v>
                </c:pt>
                <c:pt idx="199">
                  <c:v>2.903</c:v>
                </c:pt>
                <c:pt idx="200">
                  <c:v>2.9460000000000002</c:v>
                </c:pt>
                <c:pt idx="201">
                  <c:v>2.9329999999999998</c:v>
                </c:pt>
                <c:pt idx="202">
                  <c:v>2.9769999999999999</c:v>
                </c:pt>
                <c:pt idx="203">
                  <c:v>2.9940000000000002</c:v>
                </c:pt>
                <c:pt idx="204">
                  <c:v>2.99</c:v>
                </c:pt>
                <c:pt idx="205">
                  <c:v>2.9710000000000001</c:v>
                </c:pt>
                <c:pt idx="206">
                  <c:v>2.9420000000000002</c:v>
                </c:pt>
                <c:pt idx="207">
                  <c:v>2.93</c:v>
                </c:pt>
                <c:pt idx="208">
                  <c:v>2.948</c:v>
                </c:pt>
                <c:pt idx="209">
                  <c:v>2.863</c:v>
                </c:pt>
                <c:pt idx="210">
                  <c:v>2.835</c:v>
                </c:pt>
                <c:pt idx="211">
                  <c:v>2.8759999999999999</c:v>
                </c:pt>
                <c:pt idx="212">
                  <c:v>2.94</c:v>
                </c:pt>
                <c:pt idx="213">
                  <c:v>2.9569999999999999</c:v>
                </c:pt>
                <c:pt idx="214">
                  <c:v>2.9079999999999999</c:v>
                </c:pt>
                <c:pt idx="215">
                  <c:v>2.9239999999999999</c:v>
                </c:pt>
                <c:pt idx="216">
                  <c:v>2.9239999999999999</c:v>
                </c:pt>
                <c:pt idx="217">
                  <c:v>2.9129999999999998</c:v>
                </c:pt>
                <c:pt idx="218">
                  <c:v>2.9060000000000001</c:v>
                </c:pt>
                <c:pt idx="219">
                  <c:v>2.843</c:v>
                </c:pt>
                <c:pt idx="220">
                  <c:v>2.8479999999999999</c:v>
                </c:pt>
                <c:pt idx="221">
                  <c:v>2.8839999999999999</c:v>
                </c:pt>
                <c:pt idx="222">
                  <c:v>2.8740000000000001</c:v>
                </c:pt>
                <c:pt idx="223">
                  <c:v>2.9289999999999998</c:v>
                </c:pt>
                <c:pt idx="224">
                  <c:v>2.9340000000000002</c:v>
                </c:pt>
                <c:pt idx="225">
                  <c:v>2.9780000000000002</c:v>
                </c:pt>
                <c:pt idx="226">
                  <c:v>2.911</c:v>
                </c:pt>
                <c:pt idx="227">
                  <c:v>2.9390000000000001</c:v>
                </c:pt>
                <c:pt idx="228">
                  <c:v>3.0219999999999998</c:v>
                </c:pt>
                <c:pt idx="229">
                  <c:v>3.0009999999999999</c:v>
                </c:pt>
                <c:pt idx="230">
                  <c:v>2.9809999999999999</c:v>
                </c:pt>
                <c:pt idx="231">
                  <c:v>2.9489999999999998</c:v>
                </c:pt>
                <c:pt idx="232">
                  <c:v>2.9969999999999999</c:v>
                </c:pt>
                <c:pt idx="233">
                  <c:v>2.97</c:v>
                </c:pt>
                <c:pt idx="234">
                  <c:v>3.02</c:v>
                </c:pt>
                <c:pt idx="235">
                  <c:v>2.9769999999999999</c:v>
                </c:pt>
                <c:pt idx="236">
                  <c:v>2.972</c:v>
                </c:pt>
                <c:pt idx="237">
                  <c:v>2.9420000000000002</c:v>
                </c:pt>
                <c:pt idx="238">
                  <c:v>2.964</c:v>
                </c:pt>
                <c:pt idx="239">
                  <c:v>2.9910000000000001</c:v>
                </c:pt>
                <c:pt idx="240">
                  <c:v>3.0329999999999999</c:v>
                </c:pt>
                <c:pt idx="241">
                  <c:v>2.988</c:v>
                </c:pt>
                <c:pt idx="242">
                  <c:v>2.956</c:v>
                </c:pt>
                <c:pt idx="243">
                  <c:v>2.8980000000000001</c:v>
                </c:pt>
                <c:pt idx="244">
                  <c:v>2.87</c:v>
                </c:pt>
                <c:pt idx="245">
                  <c:v>2.883</c:v>
                </c:pt>
                <c:pt idx="246">
                  <c:v>2.8780000000000001</c:v>
                </c:pt>
                <c:pt idx="247">
                  <c:v>2.879</c:v>
                </c:pt>
                <c:pt idx="248">
                  <c:v>2.9420000000000002</c:v>
                </c:pt>
                <c:pt idx="249">
                  <c:v>2.9159999999999999</c:v>
                </c:pt>
                <c:pt idx="250">
                  <c:v>2.923</c:v>
                </c:pt>
                <c:pt idx="251">
                  <c:v>2.903</c:v>
                </c:pt>
                <c:pt idx="252">
                  <c:v>2.9550000000000001</c:v>
                </c:pt>
                <c:pt idx="253">
                  <c:v>2.9740000000000002</c:v>
                </c:pt>
                <c:pt idx="254">
                  <c:v>2.9740000000000002</c:v>
                </c:pt>
                <c:pt idx="255">
                  <c:v>2.9740000000000002</c:v>
                </c:pt>
                <c:pt idx="256">
                  <c:v>2.98</c:v>
                </c:pt>
                <c:pt idx="257">
                  <c:v>3.0129999999999999</c:v>
                </c:pt>
                <c:pt idx="258">
                  <c:v>2.9849999999999999</c:v>
                </c:pt>
                <c:pt idx="259">
                  <c:v>2.948</c:v>
                </c:pt>
                <c:pt idx="260">
                  <c:v>2.95</c:v>
                </c:pt>
                <c:pt idx="261">
                  <c:v>2.9540000000000002</c:v>
                </c:pt>
                <c:pt idx="262">
                  <c:v>2.95</c:v>
                </c:pt>
                <c:pt idx="263">
                  <c:v>2.9449999999999998</c:v>
                </c:pt>
                <c:pt idx="264">
                  <c:v>2.9809999999999999</c:v>
                </c:pt>
                <c:pt idx="265">
                  <c:v>2.964</c:v>
                </c:pt>
                <c:pt idx="266">
                  <c:v>2.9279999999999999</c:v>
                </c:pt>
                <c:pt idx="267">
                  <c:v>2.9369999999999998</c:v>
                </c:pt>
                <c:pt idx="268">
                  <c:v>2.879</c:v>
                </c:pt>
                <c:pt idx="269">
                  <c:v>2.8719999999999999</c:v>
                </c:pt>
                <c:pt idx="270">
                  <c:v>2.8370000000000002</c:v>
                </c:pt>
                <c:pt idx="271">
                  <c:v>2.79</c:v>
                </c:pt>
                <c:pt idx="272">
                  <c:v>2.7909999999999999</c:v>
                </c:pt>
                <c:pt idx="273">
                  <c:v>2.8130000000000002</c:v>
                </c:pt>
                <c:pt idx="274">
                  <c:v>2.8130000000000002</c:v>
                </c:pt>
              </c:numCache>
            </c:numRef>
          </c:val>
          <c:smooth val="0"/>
          <c:extLst>
            <c:ext xmlns:c16="http://schemas.microsoft.com/office/drawing/2014/chart" uri="{C3380CC4-5D6E-409C-BE32-E72D297353CC}">
              <c16:uniqueId val="{00000003-9EB6-407A-B87A-18670FE94C73}"/>
            </c:ext>
          </c:extLst>
        </c:ser>
        <c:ser>
          <c:idx val="4"/>
          <c:order val="4"/>
          <c:tx>
            <c:strRef>
              <c:f>'ΣΤΟΙΧΕΙΑ ΓΙΑ ΠΡΟΥΠ '!$F$2</c:f>
              <c:strCache>
                <c:ptCount val="1"/>
                <c:pt idx="0">
                  <c:v>ΙΤΑΛΙΑ</c:v>
                </c:pt>
              </c:strCache>
            </c:strRef>
          </c:tx>
          <c:spPr>
            <a:ln w="28575" cap="rnd" cmpd="sng" algn="ctr">
              <a:solidFill>
                <a:schemeClr val="bg1">
                  <a:lumMod val="65000"/>
                </a:schemeClr>
              </a:solidFill>
              <a:prstDash val="solid"/>
              <a:round/>
            </a:ln>
            <a:effectLst/>
          </c:spPr>
          <c:marker>
            <c:symbol val="none"/>
          </c:marker>
          <c:cat>
            <c:numRef>
              <c:f>'ΣΤΟΙΧΕΙΑ ΓΙΑ ΠΡΟΥΠ '!$A$2032:$A$2563</c:f>
              <c:numCache>
                <c:formatCode>m/d/yyyy</c:formatCode>
                <c:ptCount val="275"/>
                <c:pt idx="0">
                  <c:v>45566</c:v>
                </c:pt>
                <c:pt idx="1">
                  <c:v>45567</c:v>
                </c:pt>
                <c:pt idx="2">
                  <c:v>45568</c:v>
                </c:pt>
                <c:pt idx="3">
                  <c:v>45569</c:v>
                </c:pt>
                <c:pt idx="4">
                  <c:v>45572</c:v>
                </c:pt>
                <c:pt idx="5">
                  <c:v>45573</c:v>
                </c:pt>
                <c:pt idx="6">
                  <c:v>45574</c:v>
                </c:pt>
                <c:pt idx="7">
                  <c:v>45575</c:v>
                </c:pt>
                <c:pt idx="8">
                  <c:v>45576</c:v>
                </c:pt>
                <c:pt idx="9">
                  <c:v>45579</c:v>
                </c:pt>
                <c:pt idx="10">
                  <c:v>45580</c:v>
                </c:pt>
                <c:pt idx="11">
                  <c:v>45581</c:v>
                </c:pt>
                <c:pt idx="12">
                  <c:v>45582</c:v>
                </c:pt>
                <c:pt idx="13">
                  <c:v>45583</c:v>
                </c:pt>
                <c:pt idx="14">
                  <c:v>45586</c:v>
                </c:pt>
                <c:pt idx="15">
                  <c:v>45587</c:v>
                </c:pt>
                <c:pt idx="16">
                  <c:v>45588</c:v>
                </c:pt>
                <c:pt idx="17">
                  <c:v>45589</c:v>
                </c:pt>
                <c:pt idx="18">
                  <c:v>45590</c:v>
                </c:pt>
                <c:pt idx="19">
                  <c:v>45593</c:v>
                </c:pt>
                <c:pt idx="20">
                  <c:v>45594</c:v>
                </c:pt>
                <c:pt idx="21">
                  <c:v>45595</c:v>
                </c:pt>
                <c:pt idx="22">
                  <c:v>45596</c:v>
                </c:pt>
                <c:pt idx="23">
                  <c:v>45597</c:v>
                </c:pt>
                <c:pt idx="24">
                  <c:v>45600</c:v>
                </c:pt>
                <c:pt idx="25">
                  <c:v>45601</c:v>
                </c:pt>
                <c:pt idx="26">
                  <c:v>45602</c:v>
                </c:pt>
                <c:pt idx="27">
                  <c:v>45603</c:v>
                </c:pt>
                <c:pt idx="28">
                  <c:v>45604</c:v>
                </c:pt>
                <c:pt idx="29">
                  <c:v>45607</c:v>
                </c:pt>
                <c:pt idx="30">
                  <c:v>45608</c:v>
                </c:pt>
                <c:pt idx="31">
                  <c:v>45609</c:v>
                </c:pt>
                <c:pt idx="32">
                  <c:v>45610</c:v>
                </c:pt>
                <c:pt idx="33">
                  <c:v>45611</c:v>
                </c:pt>
                <c:pt idx="34">
                  <c:v>45614</c:v>
                </c:pt>
                <c:pt idx="35">
                  <c:v>45615</c:v>
                </c:pt>
                <c:pt idx="36">
                  <c:v>45616</c:v>
                </c:pt>
                <c:pt idx="37">
                  <c:v>45617</c:v>
                </c:pt>
                <c:pt idx="38">
                  <c:v>45618</c:v>
                </c:pt>
                <c:pt idx="39">
                  <c:v>45621</c:v>
                </c:pt>
                <c:pt idx="40">
                  <c:v>45622</c:v>
                </c:pt>
                <c:pt idx="41">
                  <c:v>45623</c:v>
                </c:pt>
                <c:pt idx="42">
                  <c:v>45624</c:v>
                </c:pt>
                <c:pt idx="43">
                  <c:v>45625</c:v>
                </c:pt>
                <c:pt idx="44">
                  <c:v>45628</c:v>
                </c:pt>
                <c:pt idx="45">
                  <c:v>45629</c:v>
                </c:pt>
                <c:pt idx="46">
                  <c:v>45630</c:v>
                </c:pt>
                <c:pt idx="47">
                  <c:v>45631</c:v>
                </c:pt>
                <c:pt idx="48">
                  <c:v>45632</c:v>
                </c:pt>
                <c:pt idx="49">
                  <c:v>45635</c:v>
                </c:pt>
                <c:pt idx="50">
                  <c:v>45636</c:v>
                </c:pt>
                <c:pt idx="51">
                  <c:v>45637</c:v>
                </c:pt>
                <c:pt idx="52">
                  <c:v>45638</c:v>
                </c:pt>
                <c:pt idx="53">
                  <c:v>45639</c:v>
                </c:pt>
                <c:pt idx="54">
                  <c:v>45642</c:v>
                </c:pt>
                <c:pt idx="55">
                  <c:v>45643</c:v>
                </c:pt>
                <c:pt idx="56">
                  <c:v>45644</c:v>
                </c:pt>
                <c:pt idx="57">
                  <c:v>45645</c:v>
                </c:pt>
                <c:pt idx="58">
                  <c:v>45646</c:v>
                </c:pt>
                <c:pt idx="59">
                  <c:v>45649</c:v>
                </c:pt>
                <c:pt idx="60">
                  <c:v>45650</c:v>
                </c:pt>
                <c:pt idx="61">
                  <c:v>45651</c:v>
                </c:pt>
                <c:pt idx="62">
                  <c:v>45652</c:v>
                </c:pt>
                <c:pt idx="63">
                  <c:v>45653</c:v>
                </c:pt>
                <c:pt idx="64">
                  <c:v>45656</c:v>
                </c:pt>
                <c:pt idx="65">
                  <c:v>45657</c:v>
                </c:pt>
                <c:pt idx="66">
                  <c:v>45658</c:v>
                </c:pt>
                <c:pt idx="67">
                  <c:v>45659</c:v>
                </c:pt>
                <c:pt idx="68">
                  <c:v>45660</c:v>
                </c:pt>
                <c:pt idx="69">
                  <c:v>45663</c:v>
                </c:pt>
                <c:pt idx="70">
                  <c:v>45664</c:v>
                </c:pt>
                <c:pt idx="71">
                  <c:v>45665</c:v>
                </c:pt>
                <c:pt idx="72">
                  <c:v>45666</c:v>
                </c:pt>
                <c:pt idx="73">
                  <c:v>45667</c:v>
                </c:pt>
                <c:pt idx="74">
                  <c:v>45670</c:v>
                </c:pt>
                <c:pt idx="75">
                  <c:v>45671</c:v>
                </c:pt>
                <c:pt idx="76">
                  <c:v>45672</c:v>
                </c:pt>
                <c:pt idx="77">
                  <c:v>45673</c:v>
                </c:pt>
                <c:pt idx="78">
                  <c:v>45674</c:v>
                </c:pt>
                <c:pt idx="79">
                  <c:v>45677</c:v>
                </c:pt>
                <c:pt idx="80">
                  <c:v>45678</c:v>
                </c:pt>
                <c:pt idx="81">
                  <c:v>45679</c:v>
                </c:pt>
                <c:pt idx="82">
                  <c:v>45680</c:v>
                </c:pt>
                <c:pt idx="83">
                  <c:v>45681</c:v>
                </c:pt>
                <c:pt idx="84">
                  <c:v>45684</c:v>
                </c:pt>
                <c:pt idx="85">
                  <c:v>45685</c:v>
                </c:pt>
                <c:pt idx="86">
                  <c:v>45686</c:v>
                </c:pt>
                <c:pt idx="87">
                  <c:v>45687</c:v>
                </c:pt>
                <c:pt idx="88">
                  <c:v>45688</c:v>
                </c:pt>
                <c:pt idx="89">
                  <c:v>45691</c:v>
                </c:pt>
                <c:pt idx="90">
                  <c:v>45692</c:v>
                </c:pt>
                <c:pt idx="91">
                  <c:v>45693</c:v>
                </c:pt>
                <c:pt idx="92">
                  <c:v>45694</c:v>
                </c:pt>
                <c:pt idx="93">
                  <c:v>45695</c:v>
                </c:pt>
                <c:pt idx="94">
                  <c:v>45698</c:v>
                </c:pt>
                <c:pt idx="95">
                  <c:v>45699</c:v>
                </c:pt>
                <c:pt idx="96">
                  <c:v>45700</c:v>
                </c:pt>
                <c:pt idx="97">
                  <c:v>45701</c:v>
                </c:pt>
                <c:pt idx="98">
                  <c:v>45702</c:v>
                </c:pt>
                <c:pt idx="99">
                  <c:v>45705</c:v>
                </c:pt>
                <c:pt idx="100">
                  <c:v>45706</c:v>
                </c:pt>
                <c:pt idx="101">
                  <c:v>45707</c:v>
                </c:pt>
                <c:pt idx="102">
                  <c:v>45708</c:v>
                </c:pt>
                <c:pt idx="103">
                  <c:v>45709</c:v>
                </c:pt>
                <c:pt idx="104">
                  <c:v>45712</c:v>
                </c:pt>
                <c:pt idx="105">
                  <c:v>45713</c:v>
                </c:pt>
                <c:pt idx="106">
                  <c:v>45714</c:v>
                </c:pt>
                <c:pt idx="107">
                  <c:v>45715</c:v>
                </c:pt>
                <c:pt idx="108">
                  <c:v>45716</c:v>
                </c:pt>
                <c:pt idx="109">
                  <c:v>45719</c:v>
                </c:pt>
                <c:pt idx="110">
                  <c:v>45720</c:v>
                </c:pt>
                <c:pt idx="111">
                  <c:v>45721</c:v>
                </c:pt>
                <c:pt idx="112">
                  <c:v>45722</c:v>
                </c:pt>
                <c:pt idx="113">
                  <c:v>45723</c:v>
                </c:pt>
                <c:pt idx="114">
                  <c:v>45726</c:v>
                </c:pt>
                <c:pt idx="115">
                  <c:v>45727</c:v>
                </c:pt>
                <c:pt idx="116">
                  <c:v>45728</c:v>
                </c:pt>
                <c:pt idx="117">
                  <c:v>45729</c:v>
                </c:pt>
                <c:pt idx="118">
                  <c:v>45730</c:v>
                </c:pt>
                <c:pt idx="119">
                  <c:v>45733</c:v>
                </c:pt>
                <c:pt idx="120">
                  <c:v>45734</c:v>
                </c:pt>
                <c:pt idx="121">
                  <c:v>45735</c:v>
                </c:pt>
                <c:pt idx="122">
                  <c:v>45736</c:v>
                </c:pt>
                <c:pt idx="123">
                  <c:v>45737</c:v>
                </c:pt>
                <c:pt idx="124">
                  <c:v>45740</c:v>
                </c:pt>
                <c:pt idx="125">
                  <c:v>45741</c:v>
                </c:pt>
                <c:pt idx="126">
                  <c:v>45742</c:v>
                </c:pt>
                <c:pt idx="127">
                  <c:v>45743</c:v>
                </c:pt>
                <c:pt idx="128">
                  <c:v>45744</c:v>
                </c:pt>
                <c:pt idx="129">
                  <c:v>45747</c:v>
                </c:pt>
                <c:pt idx="130">
                  <c:v>45748</c:v>
                </c:pt>
                <c:pt idx="131">
                  <c:v>45749</c:v>
                </c:pt>
                <c:pt idx="132">
                  <c:v>45750</c:v>
                </c:pt>
                <c:pt idx="133">
                  <c:v>45751</c:v>
                </c:pt>
                <c:pt idx="134">
                  <c:v>45754</c:v>
                </c:pt>
                <c:pt idx="135">
                  <c:v>45755</c:v>
                </c:pt>
                <c:pt idx="136">
                  <c:v>45756</c:v>
                </c:pt>
                <c:pt idx="137">
                  <c:v>45757</c:v>
                </c:pt>
                <c:pt idx="138">
                  <c:v>45758</c:v>
                </c:pt>
                <c:pt idx="139">
                  <c:v>45761</c:v>
                </c:pt>
                <c:pt idx="140">
                  <c:v>45762</c:v>
                </c:pt>
                <c:pt idx="141">
                  <c:v>45763</c:v>
                </c:pt>
                <c:pt idx="142">
                  <c:v>45764</c:v>
                </c:pt>
                <c:pt idx="143">
                  <c:v>45765</c:v>
                </c:pt>
                <c:pt idx="144">
                  <c:v>45768</c:v>
                </c:pt>
                <c:pt idx="145">
                  <c:v>45769</c:v>
                </c:pt>
                <c:pt idx="146">
                  <c:v>45770</c:v>
                </c:pt>
                <c:pt idx="147">
                  <c:v>45771</c:v>
                </c:pt>
                <c:pt idx="148">
                  <c:v>45772</c:v>
                </c:pt>
                <c:pt idx="149">
                  <c:v>45775</c:v>
                </c:pt>
                <c:pt idx="150">
                  <c:v>45776</c:v>
                </c:pt>
                <c:pt idx="151">
                  <c:v>45777</c:v>
                </c:pt>
                <c:pt idx="152">
                  <c:v>45778</c:v>
                </c:pt>
                <c:pt idx="153">
                  <c:v>45779</c:v>
                </c:pt>
                <c:pt idx="154">
                  <c:v>45782</c:v>
                </c:pt>
                <c:pt idx="155">
                  <c:v>45783</c:v>
                </c:pt>
                <c:pt idx="156">
                  <c:v>45784</c:v>
                </c:pt>
                <c:pt idx="157">
                  <c:v>45785</c:v>
                </c:pt>
                <c:pt idx="158">
                  <c:v>45786</c:v>
                </c:pt>
                <c:pt idx="159">
                  <c:v>45789</c:v>
                </c:pt>
                <c:pt idx="160">
                  <c:v>45790</c:v>
                </c:pt>
                <c:pt idx="161">
                  <c:v>45791</c:v>
                </c:pt>
                <c:pt idx="162">
                  <c:v>45792</c:v>
                </c:pt>
                <c:pt idx="163">
                  <c:v>45793</c:v>
                </c:pt>
                <c:pt idx="164">
                  <c:v>45796</c:v>
                </c:pt>
                <c:pt idx="165">
                  <c:v>45797</c:v>
                </c:pt>
                <c:pt idx="166">
                  <c:v>45798</c:v>
                </c:pt>
                <c:pt idx="167">
                  <c:v>45799</c:v>
                </c:pt>
                <c:pt idx="168">
                  <c:v>45800</c:v>
                </c:pt>
                <c:pt idx="169">
                  <c:v>45803</c:v>
                </c:pt>
                <c:pt idx="170">
                  <c:v>45804</c:v>
                </c:pt>
                <c:pt idx="171">
                  <c:v>45805</c:v>
                </c:pt>
                <c:pt idx="172">
                  <c:v>45806</c:v>
                </c:pt>
                <c:pt idx="173">
                  <c:v>45807</c:v>
                </c:pt>
                <c:pt idx="174">
                  <c:v>45810</c:v>
                </c:pt>
                <c:pt idx="175">
                  <c:v>45811</c:v>
                </c:pt>
                <c:pt idx="176">
                  <c:v>45812</c:v>
                </c:pt>
                <c:pt idx="177">
                  <c:v>45813</c:v>
                </c:pt>
                <c:pt idx="178">
                  <c:v>45814</c:v>
                </c:pt>
                <c:pt idx="179">
                  <c:v>45817</c:v>
                </c:pt>
                <c:pt idx="180">
                  <c:v>45818</c:v>
                </c:pt>
                <c:pt idx="181">
                  <c:v>45819</c:v>
                </c:pt>
                <c:pt idx="182">
                  <c:v>45820</c:v>
                </c:pt>
                <c:pt idx="183">
                  <c:v>45821</c:v>
                </c:pt>
                <c:pt idx="184">
                  <c:v>45824</c:v>
                </c:pt>
                <c:pt idx="185">
                  <c:v>45825</c:v>
                </c:pt>
                <c:pt idx="186">
                  <c:v>45826</c:v>
                </c:pt>
                <c:pt idx="187">
                  <c:v>45827</c:v>
                </c:pt>
                <c:pt idx="188">
                  <c:v>45828</c:v>
                </c:pt>
                <c:pt idx="189">
                  <c:v>45831</c:v>
                </c:pt>
                <c:pt idx="190">
                  <c:v>45832</c:v>
                </c:pt>
                <c:pt idx="191">
                  <c:v>45833</c:v>
                </c:pt>
                <c:pt idx="192">
                  <c:v>45834</c:v>
                </c:pt>
                <c:pt idx="193">
                  <c:v>45835</c:v>
                </c:pt>
                <c:pt idx="194">
                  <c:v>45838</c:v>
                </c:pt>
                <c:pt idx="195">
                  <c:v>45839</c:v>
                </c:pt>
                <c:pt idx="196">
                  <c:v>45840</c:v>
                </c:pt>
                <c:pt idx="197">
                  <c:v>45841</c:v>
                </c:pt>
                <c:pt idx="198">
                  <c:v>45842</c:v>
                </c:pt>
                <c:pt idx="199">
                  <c:v>45845</c:v>
                </c:pt>
                <c:pt idx="200">
                  <c:v>45846</c:v>
                </c:pt>
                <c:pt idx="201">
                  <c:v>45847</c:v>
                </c:pt>
                <c:pt idx="202">
                  <c:v>45848</c:v>
                </c:pt>
                <c:pt idx="203">
                  <c:v>45849</c:v>
                </c:pt>
                <c:pt idx="204">
                  <c:v>45852</c:v>
                </c:pt>
                <c:pt idx="205">
                  <c:v>45853</c:v>
                </c:pt>
                <c:pt idx="206">
                  <c:v>45854</c:v>
                </c:pt>
                <c:pt idx="207">
                  <c:v>45855</c:v>
                </c:pt>
                <c:pt idx="208">
                  <c:v>45856</c:v>
                </c:pt>
                <c:pt idx="209">
                  <c:v>45859</c:v>
                </c:pt>
                <c:pt idx="210">
                  <c:v>45860</c:v>
                </c:pt>
                <c:pt idx="211">
                  <c:v>45861</c:v>
                </c:pt>
                <c:pt idx="212">
                  <c:v>45862</c:v>
                </c:pt>
                <c:pt idx="213">
                  <c:v>45863</c:v>
                </c:pt>
                <c:pt idx="214">
                  <c:v>45866</c:v>
                </c:pt>
                <c:pt idx="215">
                  <c:v>45867</c:v>
                </c:pt>
                <c:pt idx="216">
                  <c:v>45868</c:v>
                </c:pt>
                <c:pt idx="217">
                  <c:v>45869</c:v>
                </c:pt>
                <c:pt idx="218">
                  <c:v>45870</c:v>
                </c:pt>
                <c:pt idx="219">
                  <c:v>45873</c:v>
                </c:pt>
                <c:pt idx="220">
                  <c:v>45874</c:v>
                </c:pt>
                <c:pt idx="221">
                  <c:v>45875</c:v>
                </c:pt>
                <c:pt idx="222">
                  <c:v>45876</c:v>
                </c:pt>
                <c:pt idx="223">
                  <c:v>45877</c:v>
                </c:pt>
                <c:pt idx="224">
                  <c:v>45880</c:v>
                </c:pt>
                <c:pt idx="225">
                  <c:v>45881</c:v>
                </c:pt>
                <c:pt idx="226">
                  <c:v>45882</c:v>
                </c:pt>
                <c:pt idx="227">
                  <c:v>45883</c:v>
                </c:pt>
                <c:pt idx="228">
                  <c:v>45884</c:v>
                </c:pt>
                <c:pt idx="229">
                  <c:v>45887</c:v>
                </c:pt>
                <c:pt idx="230">
                  <c:v>45888</c:v>
                </c:pt>
                <c:pt idx="231">
                  <c:v>45889</c:v>
                </c:pt>
                <c:pt idx="232">
                  <c:v>45890</c:v>
                </c:pt>
                <c:pt idx="233">
                  <c:v>45891</c:v>
                </c:pt>
                <c:pt idx="234">
                  <c:v>45894</c:v>
                </c:pt>
                <c:pt idx="235">
                  <c:v>45895</c:v>
                </c:pt>
                <c:pt idx="236">
                  <c:v>45896</c:v>
                </c:pt>
                <c:pt idx="237">
                  <c:v>45897</c:v>
                </c:pt>
                <c:pt idx="238">
                  <c:v>45898</c:v>
                </c:pt>
                <c:pt idx="239">
                  <c:v>45901</c:v>
                </c:pt>
                <c:pt idx="240">
                  <c:v>45902</c:v>
                </c:pt>
                <c:pt idx="241">
                  <c:v>45903</c:v>
                </c:pt>
                <c:pt idx="242">
                  <c:v>45904</c:v>
                </c:pt>
                <c:pt idx="243">
                  <c:v>45905</c:v>
                </c:pt>
                <c:pt idx="244">
                  <c:v>45908</c:v>
                </c:pt>
                <c:pt idx="245">
                  <c:v>45909</c:v>
                </c:pt>
                <c:pt idx="246">
                  <c:v>45910</c:v>
                </c:pt>
                <c:pt idx="247">
                  <c:v>45911</c:v>
                </c:pt>
                <c:pt idx="248">
                  <c:v>45912</c:v>
                </c:pt>
                <c:pt idx="249">
                  <c:v>45915</c:v>
                </c:pt>
                <c:pt idx="250">
                  <c:v>45916</c:v>
                </c:pt>
                <c:pt idx="251">
                  <c:v>45917</c:v>
                </c:pt>
                <c:pt idx="252">
                  <c:v>45918</c:v>
                </c:pt>
                <c:pt idx="253">
                  <c:v>45919</c:v>
                </c:pt>
                <c:pt idx="254">
                  <c:v>45922</c:v>
                </c:pt>
                <c:pt idx="255">
                  <c:v>45923</c:v>
                </c:pt>
                <c:pt idx="256">
                  <c:v>45924</c:v>
                </c:pt>
                <c:pt idx="257">
                  <c:v>45925</c:v>
                </c:pt>
                <c:pt idx="258">
                  <c:v>45926</c:v>
                </c:pt>
                <c:pt idx="259">
                  <c:v>45929</c:v>
                </c:pt>
                <c:pt idx="260">
                  <c:v>45930</c:v>
                </c:pt>
                <c:pt idx="261">
                  <c:v>45931</c:v>
                </c:pt>
                <c:pt idx="262">
                  <c:v>45932</c:v>
                </c:pt>
                <c:pt idx="263">
                  <c:v>45933</c:v>
                </c:pt>
                <c:pt idx="264">
                  <c:v>45936</c:v>
                </c:pt>
                <c:pt idx="265">
                  <c:v>45937</c:v>
                </c:pt>
                <c:pt idx="266">
                  <c:v>45938</c:v>
                </c:pt>
                <c:pt idx="267">
                  <c:v>45939</c:v>
                </c:pt>
                <c:pt idx="268">
                  <c:v>45940</c:v>
                </c:pt>
                <c:pt idx="269">
                  <c:v>45943</c:v>
                </c:pt>
                <c:pt idx="270">
                  <c:v>45944</c:v>
                </c:pt>
                <c:pt idx="271">
                  <c:v>45945</c:v>
                </c:pt>
                <c:pt idx="272">
                  <c:v>45946</c:v>
                </c:pt>
                <c:pt idx="273">
                  <c:v>45947</c:v>
                </c:pt>
                <c:pt idx="274">
                  <c:v>45950</c:v>
                </c:pt>
              </c:numCache>
            </c:numRef>
          </c:cat>
          <c:val>
            <c:numRef>
              <c:f>'ΣΤΟΙΧΕΙΑ ΓΙΑ ΠΡΟΥΠ '!$F$2032:$F$2563</c:f>
              <c:numCache>
                <c:formatCode>General</c:formatCode>
                <c:ptCount val="275"/>
                <c:pt idx="0">
                  <c:v>3.3660000000000001</c:v>
                </c:pt>
                <c:pt idx="1">
                  <c:v>3.42</c:v>
                </c:pt>
                <c:pt idx="2">
                  <c:v>3.4809999999999999</c:v>
                </c:pt>
                <c:pt idx="3">
                  <c:v>3.5070000000000001</c:v>
                </c:pt>
                <c:pt idx="4">
                  <c:v>3.5710000000000002</c:v>
                </c:pt>
                <c:pt idx="5">
                  <c:v>3.5419999999999998</c:v>
                </c:pt>
                <c:pt idx="6">
                  <c:v>3.556</c:v>
                </c:pt>
                <c:pt idx="7">
                  <c:v>3.532</c:v>
                </c:pt>
                <c:pt idx="8">
                  <c:v>3.5590000000000002</c:v>
                </c:pt>
                <c:pt idx="9">
                  <c:v>3.544</c:v>
                </c:pt>
                <c:pt idx="10">
                  <c:v>3.46</c:v>
                </c:pt>
                <c:pt idx="11">
                  <c:v>3.4089999999999998</c:v>
                </c:pt>
                <c:pt idx="12">
                  <c:v>3.4119999999999999</c:v>
                </c:pt>
                <c:pt idx="13">
                  <c:v>3.3570000000000002</c:v>
                </c:pt>
                <c:pt idx="14">
                  <c:v>3.51</c:v>
                </c:pt>
                <c:pt idx="15">
                  <c:v>3.5609999999999999</c:v>
                </c:pt>
                <c:pt idx="16">
                  <c:v>3.5190000000000001</c:v>
                </c:pt>
                <c:pt idx="17">
                  <c:v>3.4729999999999999</c:v>
                </c:pt>
                <c:pt idx="18">
                  <c:v>3.5089999999999999</c:v>
                </c:pt>
                <c:pt idx="19">
                  <c:v>3.4910000000000001</c:v>
                </c:pt>
                <c:pt idx="20">
                  <c:v>3.5619999999999998</c:v>
                </c:pt>
                <c:pt idx="21">
                  <c:v>3.6360000000000001</c:v>
                </c:pt>
                <c:pt idx="22">
                  <c:v>3.6509999999999998</c:v>
                </c:pt>
                <c:pt idx="23">
                  <c:v>3.6819999999999999</c:v>
                </c:pt>
                <c:pt idx="24">
                  <c:v>3.6659999999999999</c:v>
                </c:pt>
                <c:pt idx="25">
                  <c:v>3.67</c:v>
                </c:pt>
                <c:pt idx="26">
                  <c:v>3.73</c:v>
                </c:pt>
                <c:pt idx="27">
                  <c:v>3.73</c:v>
                </c:pt>
                <c:pt idx="28">
                  <c:v>3.6560000000000001</c:v>
                </c:pt>
                <c:pt idx="29">
                  <c:v>3.593</c:v>
                </c:pt>
                <c:pt idx="30">
                  <c:v>3.6389999999999998</c:v>
                </c:pt>
                <c:pt idx="31">
                  <c:v>3.629</c:v>
                </c:pt>
                <c:pt idx="32">
                  <c:v>3.544</c:v>
                </c:pt>
                <c:pt idx="33">
                  <c:v>3.5529999999999999</c:v>
                </c:pt>
                <c:pt idx="34">
                  <c:v>3.5670000000000002</c:v>
                </c:pt>
                <c:pt idx="35">
                  <c:v>3.5510000000000002</c:v>
                </c:pt>
                <c:pt idx="36">
                  <c:v>3.5779999999999998</c:v>
                </c:pt>
                <c:pt idx="37">
                  <c:v>3.569</c:v>
                </c:pt>
                <c:pt idx="38">
                  <c:v>3.5009999999999999</c:v>
                </c:pt>
                <c:pt idx="39">
                  <c:v>3.4729999999999999</c:v>
                </c:pt>
                <c:pt idx="40">
                  <c:v>3.464</c:v>
                </c:pt>
                <c:pt idx="41">
                  <c:v>3.4089999999999998</c:v>
                </c:pt>
                <c:pt idx="42">
                  <c:v>3.3460000000000001</c:v>
                </c:pt>
                <c:pt idx="43">
                  <c:v>3.2749999999999999</c:v>
                </c:pt>
                <c:pt idx="44">
                  <c:v>3.2650000000000001</c:v>
                </c:pt>
                <c:pt idx="45">
                  <c:v>3.2429999999999999</c:v>
                </c:pt>
                <c:pt idx="46">
                  <c:v>3.214</c:v>
                </c:pt>
                <c:pt idx="47">
                  <c:v>3.1960000000000002</c:v>
                </c:pt>
                <c:pt idx="48">
                  <c:v>3.1920000000000002</c:v>
                </c:pt>
                <c:pt idx="49">
                  <c:v>3.1970000000000001</c:v>
                </c:pt>
                <c:pt idx="50">
                  <c:v>3.2069999999999999</c:v>
                </c:pt>
                <c:pt idx="51">
                  <c:v>3.1890000000000001</c:v>
                </c:pt>
                <c:pt idx="52">
                  <c:v>3.3490000000000002</c:v>
                </c:pt>
                <c:pt idx="53">
                  <c:v>3.3919999999999999</c:v>
                </c:pt>
                <c:pt idx="54">
                  <c:v>3.399</c:v>
                </c:pt>
                <c:pt idx="55">
                  <c:v>3.3839999999999999</c:v>
                </c:pt>
                <c:pt idx="56">
                  <c:v>3.403</c:v>
                </c:pt>
                <c:pt idx="57">
                  <c:v>3.4740000000000002</c:v>
                </c:pt>
                <c:pt idx="58">
                  <c:v>3.444</c:v>
                </c:pt>
                <c:pt idx="59">
                  <c:v>3.4889999999999999</c:v>
                </c:pt>
                <c:pt idx="60">
                  <c:v>3.4889999999999999</c:v>
                </c:pt>
                <c:pt idx="61">
                  <c:v>3.4889999999999999</c:v>
                </c:pt>
                <c:pt idx="62">
                  <c:v>3.4889999999999999</c:v>
                </c:pt>
                <c:pt idx="63">
                  <c:v>3.5409999999999999</c:v>
                </c:pt>
                <c:pt idx="64">
                  <c:v>3.5209999999999999</c:v>
                </c:pt>
                <c:pt idx="65">
                  <c:v>3.5209999999999999</c:v>
                </c:pt>
                <c:pt idx="66">
                  <c:v>3.5209999999999999</c:v>
                </c:pt>
                <c:pt idx="67">
                  <c:v>3.5409999999999999</c:v>
                </c:pt>
                <c:pt idx="68">
                  <c:v>3.5870000000000002</c:v>
                </c:pt>
                <c:pt idx="69">
                  <c:v>3.5710000000000002</c:v>
                </c:pt>
                <c:pt idx="70">
                  <c:v>3.629</c:v>
                </c:pt>
                <c:pt idx="71">
                  <c:v>3.6779999999999999</c:v>
                </c:pt>
                <c:pt idx="72">
                  <c:v>3.7109999999999999</c:v>
                </c:pt>
                <c:pt idx="73">
                  <c:v>3.7669999999999999</c:v>
                </c:pt>
                <c:pt idx="74">
                  <c:v>3.8210000000000002</c:v>
                </c:pt>
                <c:pt idx="75">
                  <c:v>3.839</c:v>
                </c:pt>
                <c:pt idx="76">
                  <c:v>3.694</c:v>
                </c:pt>
                <c:pt idx="77">
                  <c:v>3.653</c:v>
                </c:pt>
                <c:pt idx="78">
                  <c:v>3.645</c:v>
                </c:pt>
                <c:pt idx="79">
                  <c:v>3.6179999999999999</c:v>
                </c:pt>
                <c:pt idx="80">
                  <c:v>3.589</c:v>
                </c:pt>
                <c:pt idx="81">
                  <c:v>3.601</c:v>
                </c:pt>
                <c:pt idx="82">
                  <c:v>3.6459999999999999</c:v>
                </c:pt>
                <c:pt idx="83">
                  <c:v>3.6539999999999999</c:v>
                </c:pt>
                <c:pt idx="84">
                  <c:v>3.6320000000000001</c:v>
                </c:pt>
                <c:pt idx="85">
                  <c:v>3.6589999999999998</c:v>
                </c:pt>
                <c:pt idx="86">
                  <c:v>3.6619999999999999</c:v>
                </c:pt>
                <c:pt idx="87">
                  <c:v>3.5990000000000002</c:v>
                </c:pt>
                <c:pt idx="88">
                  <c:v>3.552</c:v>
                </c:pt>
                <c:pt idx="89">
                  <c:v>3.5009999999999999</c:v>
                </c:pt>
                <c:pt idx="90">
                  <c:v>3.4950000000000001</c:v>
                </c:pt>
                <c:pt idx="91">
                  <c:v>3.45</c:v>
                </c:pt>
                <c:pt idx="92">
                  <c:v>3.4449999999999998</c:v>
                </c:pt>
                <c:pt idx="93">
                  <c:v>3.4649999999999999</c:v>
                </c:pt>
                <c:pt idx="94">
                  <c:v>3.4489999999999998</c:v>
                </c:pt>
                <c:pt idx="95">
                  <c:v>3.5289999999999999</c:v>
                </c:pt>
                <c:pt idx="96">
                  <c:v>3.56</c:v>
                </c:pt>
                <c:pt idx="97">
                  <c:v>3.49</c:v>
                </c:pt>
                <c:pt idx="98">
                  <c:v>3.5209999999999999</c:v>
                </c:pt>
                <c:pt idx="99">
                  <c:v>3.5459999999999998</c:v>
                </c:pt>
                <c:pt idx="100">
                  <c:v>3.5459999999999998</c:v>
                </c:pt>
                <c:pt idx="101">
                  <c:v>3.64</c:v>
                </c:pt>
                <c:pt idx="102">
                  <c:v>3.6150000000000002</c:v>
                </c:pt>
                <c:pt idx="103">
                  <c:v>3.5529999999999999</c:v>
                </c:pt>
                <c:pt idx="104">
                  <c:v>3.617</c:v>
                </c:pt>
                <c:pt idx="105">
                  <c:v>3.5870000000000002</c:v>
                </c:pt>
                <c:pt idx="106">
                  <c:v>3.544</c:v>
                </c:pt>
                <c:pt idx="107">
                  <c:v>3.544</c:v>
                </c:pt>
                <c:pt idx="108">
                  <c:v>3.5369999999999999</c:v>
                </c:pt>
                <c:pt idx="109">
                  <c:v>3.5990000000000002</c:v>
                </c:pt>
                <c:pt idx="110">
                  <c:v>3.6230000000000002</c:v>
                </c:pt>
                <c:pt idx="111">
                  <c:v>3.899</c:v>
                </c:pt>
                <c:pt idx="112">
                  <c:v>3.9569999999999999</c:v>
                </c:pt>
                <c:pt idx="113">
                  <c:v>3.956</c:v>
                </c:pt>
                <c:pt idx="114">
                  <c:v>3.9630000000000001</c:v>
                </c:pt>
                <c:pt idx="115">
                  <c:v>4.0119999999999996</c:v>
                </c:pt>
                <c:pt idx="116">
                  <c:v>3.99</c:v>
                </c:pt>
                <c:pt idx="117">
                  <c:v>4.0019999999999998</c:v>
                </c:pt>
                <c:pt idx="118">
                  <c:v>3.9969999999999999</c:v>
                </c:pt>
                <c:pt idx="119">
                  <c:v>3.9169999999999998</c:v>
                </c:pt>
                <c:pt idx="120">
                  <c:v>3.9169999999999998</c:v>
                </c:pt>
                <c:pt idx="121">
                  <c:v>3.903</c:v>
                </c:pt>
                <c:pt idx="122">
                  <c:v>3.9060000000000001</c:v>
                </c:pt>
                <c:pt idx="123">
                  <c:v>3.8780000000000001</c:v>
                </c:pt>
                <c:pt idx="124">
                  <c:v>3.871</c:v>
                </c:pt>
                <c:pt idx="125">
                  <c:v>3.8929999999999998</c:v>
                </c:pt>
                <c:pt idx="126">
                  <c:v>3.8959999999999999</c:v>
                </c:pt>
                <c:pt idx="127">
                  <c:v>3.879</c:v>
                </c:pt>
                <c:pt idx="128">
                  <c:v>3.8479999999999999</c:v>
                </c:pt>
                <c:pt idx="129">
                  <c:v>3.8660000000000001</c:v>
                </c:pt>
                <c:pt idx="130">
                  <c:v>3.7890000000000001</c:v>
                </c:pt>
                <c:pt idx="131">
                  <c:v>3.8149999999999999</c:v>
                </c:pt>
                <c:pt idx="132">
                  <c:v>3.7709999999999999</c:v>
                </c:pt>
                <c:pt idx="133">
                  <c:v>3.7669999999999999</c:v>
                </c:pt>
                <c:pt idx="134">
                  <c:v>3.8650000000000002</c:v>
                </c:pt>
                <c:pt idx="135">
                  <c:v>3.8559999999999999</c:v>
                </c:pt>
                <c:pt idx="136">
                  <c:v>3.8809999999999998</c:v>
                </c:pt>
                <c:pt idx="137">
                  <c:v>3.8210000000000002</c:v>
                </c:pt>
                <c:pt idx="138">
                  <c:v>3.81</c:v>
                </c:pt>
                <c:pt idx="139">
                  <c:v>3.6760000000000002</c:v>
                </c:pt>
                <c:pt idx="140">
                  <c:v>3.7149999999999999</c:v>
                </c:pt>
                <c:pt idx="141">
                  <c:v>3.6949999999999998</c:v>
                </c:pt>
                <c:pt idx="142">
                  <c:v>3.6440000000000001</c:v>
                </c:pt>
                <c:pt idx="143">
                  <c:v>3.6440000000000001</c:v>
                </c:pt>
                <c:pt idx="144">
                  <c:v>3.6440000000000001</c:v>
                </c:pt>
                <c:pt idx="145">
                  <c:v>3.6080000000000001</c:v>
                </c:pt>
                <c:pt idx="146">
                  <c:v>3.629</c:v>
                </c:pt>
                <c:pt idx="147">
                  <c:v>3.544</c:v>
                </c:pt>
                <c:pt idx="148">
                  <c:v>3.573</c:v>
                </c:pt>
                <c:pt idx="149">
                  <c:v>3.6269999999999998</c:v>
                </c:pt>
                <c:pt idx="150">
                  <c:v>3.6059999999999999</c:v>
                </c:pt>
                <c:pt idx="151">
                  <c:v>3.5630000000000002</c:v>
                </c:pt>
                <c:pt idx="152">
                  <c:v>3.5630000000000002</c:v>
                </c:pt>
                <c:pt idx="153">
                  <c:v>3.6349999999999998</c:v>
                </c:pt>
                <c:pt idx="154">
                  <c:v>3.601</c:v>
                </c:pt>
                <c:pt idx="155">
                  <c:v>3.6259999999999999</c:v>
                </c:pt>
                <c:pt idx="156">
                  <c:v>3.5470000000000002</c:v>
                </c:pt>
                <c:pt idx="157">
                  <c:v>3.5819999999999999</c:v>
                </c:pt>
                <c:pt idx="158">
                  <c:v>3.6080000000000001</c:v>
                </c:pt>
                <c:pt idx="159">
                  <c:v>3.6760000000000002</c:v>
                </c:pt>
                <c:pt idx="160">
                  <c:v>3.6970000000000001</c:v>
                </c:pt>
                <c:pt idx="161">
                  <c:v>3.71</c:v>
                </c:pt>
                <c:pt idx="162">
                  <c:v>3.6259999999999999</c:v>
                </c:pt>
                <c:pt idx="163">
                  <c:v>3.5950000000000002</c:v>
                </c:pt>
                <c:pt idx="164">
                  <c:v>3.5960000000000001</c:v>
                </c:pt>
                <c:pt idx="165">
                  <c:v>3.601</c:v>
                </c:pt>
                <c:pt idx="166">
                  <c:v>3.641</c:v>
                </c:pt>
                <c:pt idx="167">
                  <c:v>3.6509999999999998</c:v>
                </c:pt>
                <c:pt idx="168">
                  <c:v>3.5830000000000002</c:v>
                </c:pt>
                <c:pt idx="169">
                  <c:v>3.5529999999999999</c:v>
                </c:pt>
                <c:pt idx="170">
                  <c:v>3.516</c:v>
                </c:pt>
                <c:pt idx="171">
                  <c:v>3.5339999999999998</c:v>
                </c:pt>
                <c:pt idx="172">
                  <c:v>3.488</c:v>
                </c:pt>
                <c:pt idx="173">
                  <c:v>3.4790000000000001</c:v>
                </c:pt>
                <c:pt idx="174">
                  <c:v>3.4980000000000002</c:v>
                </c:pt>
                <c:pt idx="175">
                  <c:v>3.4940000000000002</c:v>
                </c:pt>
                <c:pt idx="176">
                  <c:v>3.4910000000000001</c:v>
                </c:pt>
                <c:pt idx="177">
                  <c:v>3.5249999999999999</c:v>
                </c:pt>
                <c:pt idx="178">
                  <c:v>3.5</c:v>
                </c:pt>
                <c:pt idx="179">
                  <c:v>3.4860000000000002</c:v>
                </c:pt>
                <c:pt idx="180">
                  <c:v>3.4350000000000001</c:v>
                </c:pt>
                <c:pt idx="181">
                  <c:v>3.4449999999999998</c:v>
                </c:pt>
                <c:pt idx="182">
                  <c:v>3.4039999999999999</c:v>
                </c:pt>
                <c:pt idx="183">
                  <c:v>3.4830000000000001</c:v>
                </c:pt>
                <c:pt idx="184">
                  <c:v>3.4529999999999998</c:v>
                </c:pt>
                <c:pt idx="185">
                  <c:v>3.4860000000000002</c:v>
                </c:pt>
                <c:pt idx="186">
                  <c:v>3.4460000000000002</c:v>
                </c:pt>
                <c:pt idx="187">
                  <c:v>3.5209999999999999</c:v>
                </c:pt>
                <c:pt idx="188">
                  <c:v>3.496</c:v>
                </c:pt>
                <c:pt idx="189">
                  <c:v>3.48</c:v>
                </c:pt>
                <c:pt idx="190">
                  <c:v>3.4609999999999999</c:v>
                </c:pt>
                <c:pt idx="191">
                  <c:v>3.476</c:v>
                </c:pt>
                <c:pt idx="192">
                  <c:v>3.4510000000000001</c:v>
                </c:pt>
                <c:pt idx="193">
                  <c:v>3.472</c:v>
                </c:pt>
                <c:pt idx="194">
                  <c:v>3.4750000000000001</c:v>
                </c:pt>
                <c:pt idx="195">
                  <c:v>3.448</c:v>
                </c:pt>
                <c:pt idx="196">
                  <c:v>3.5129999999999999</c:v>
                </c:pt>
                <c:pt idx="197">
                  <c:v>3.4470000000000001</c:v>
                </c:pt>
                <c:pt idx="198">
                  <c:v>3.4420000000000002</c:v>
                </c:pt>
                <c:pt idx="199">
                  <c:v>3.49</c:v>
                </c:pt>
                <c:pt idx="200">
                  <c:v>3.536</c:v>
                </c:pt>
                <c:pt idx="201">
                  <c:v>3.5230000000000001</c:v>
                </c:pt>
                <c:pt idx="202">
                  <c:v>3.5579999999999998</c:v>
                </c:pt>
                <c:pt idx="203">
                  <c:v>3.569</c:v>
                </c:pt>
                <c:pt idx="204">
                  <c:v>3.5910000000000002</c:v>
                </c:pt>
                <c:pt idx="205">
                  <c:v>3.5710000000000002</c:v>
                </c:pt>
                <c:pt idx="206">
                  <c:v>3.5409999999999999</c:v>
                </c:pt>
                <c:pt idx="207">
                  <c:v>3.5329999999999999</c:v>
                </c:pt>
                <c:pt idx="208">
                  <c:v>3.5489999999999999</c:v>
                </c:pt>
                <c:pt idx="209">
                  <c:v>3.448</c:v>
                </c:pt>
                <c:pt idx="210">
                  <c:v>3.4319999999999999</c:v>
                </c:pt>
                <c:pt idx="211">
                  <c:v>3.4609999999999999</c:v>
                </c:pt>
                <c:pt idx="212">
                  <c:v>3.5489999999999999</c:v>
                </c:pt>
                <c:pt idx="213">
                  <c:v>3.5510000000000002</c:v>
                </c:pt>
                <c:pt idx="214">
                  <c:v>3.5049999999999999</c:v>
                </c:pt>
                <c:pt idx="215">
                  <c:v>3.5169999999999999</c:v>
                </c:pt>
                <c:pt idx="216">
                  <c:v>3.5190000000000001</c:v>
                </c:pt>
                <c:pt idx="217">
                  <c:v>3.5070000000000001</c:v>
                </c:pt>
                <c:pt idx="218">
                  <c:v>3.5110000000000001</c:v>
                </c:pt>
                <c:pt idx="219">
                  <c:v>3.4260000000000002</c:v>
                </c:pt>
                <c:pt idx="220">
                  <c:v>3.4249999999999998</c:v>
                </c:pt>
                <c:pt idx="221">
                  <c:v>3.4470000000000001</c:v>
                </c:pt>
                <c:pt idx="222">
                  <c:v>3.4220000000000002</c:v>
                </c:pt>
                <c:pt idx="223">
                  <c:v>3.476</c:v>
                </c:pt>
                <c:pt idx="224">
                  <c:v>3.484</c:v>
                </c:pt>
                <c:pt idx="225">
                  <c:v>3.53</c:v>
                </c:pt>
                <c:pt idx="226">
                  <c:v>3.4489999999999998</c:v>
                </c:pt>
                <c:pt idx="227">
                  <c:v>3.4889999999999999</c:v>
                </c:pt>
                <c:pt idx="228">
                  <c:v>3.5880000000000001</c:v>
                </c:pt>
                <c:pt idx="229">
                  <c:v>3.5550000000000002</c:v>
                </c:pt>
                <c:pt idx="230">
                  <c:v>3.5539999999999998</c:v>
                </c:pt>
                <c:pt idx="231">
                  <c:v>3.524</c:v>
                </c:pt>
                <c:pt idx="232">
                  <c:v>3.58</c:v>
                </c:pt>
                <c:pt idx="233">
                  <c:v>3.5249999999999999</c:v>
                </c:pt>
                <c:pt idx="234">
                  <c:v>3.5939999999999999</c:v>
                </c:pt>
                <c:pt idx="235">
                  <c:v>3.5550000000000002</c:v>
                </c:pt>
                <c:pt idx="236">
                  <c:v>3.5720000000000001</c:v>
                </c:pt>
                <c:pt idx="237">
                  <c:v>3.536</c:v>
                </c:pt>
                <c:pt idx="238">
                  <c:v>3.585</c:v>
                </c:pt>
                <c:pt idx="239">
                  <c:v>3.6080000000000001</c:v>
                </c:pt>
                <c:pt idx="240">
                  <c:v>3.6749999999999998</c:v>
                </c:pt>
                <c:pt idx="241">
                  <c:v>3.6120000000000001</c:v>
                </c:pt>
                <c:pt idx="242">
                  <c:v>3.5680000000000001</c:v>
                </c:pt>
                <c:pt idx="243">
                  <c:v>3.5030000000000001</c:v>
                </c:pt>
                <c:pt idx="244">
                  <c:v>3.47</c:v>
                </c:pt>
                <c:pt idx="245">
                  <c:v>3.4780000000000002</c:v>
                </c:pt>
                <c:pt idx="246">
                  <c:v>3.464</c:v>
                </c:pt>
                <c:pt idx="247">
                  <c:v>3.45</c:v>
                </c:pt>
                <c:pt idx="248">
                  <c:v>3.52</c:v>
                </c:pt>
                <c:pt idx="249">
                  <c:v>3.4729999999999999</c:v>
                </c:pt>
                <c:pt idx="250">
                  <c:v>3.476</c:v>
                </c:pt>
                <c:pt idx="251">
                  <c:v>3.4630000000000001</c:v>
                </c:pt>
                <c:pt idx="252">
                  <c:v>3.5209999999999999</c:v>
                </c:pt>
                <c:pt idx="253">
                  <c:v>3.532</c:v>
                </c:pt>
                <c:pt idx="254">
                  <c:v>3.5430000000000001</c:v>
                </c:pt>
                <c:pt idx="255">
                  <c:v>3.5419999999999998</c:v>
                </c:pt>
                <c:pt idx="256">
                  <c:v>3.5630000000000002</c:v>
                </c:pt>
                <c:pt idx="257">
                  <c:v>3.6059999999999999</c:v>
                </c:pt>
                <c:pt idx="258">
                  <c:v>3.5790000000000002</c:v>
                </c:pt>
                <c:pt idx="259">
                  <c:v>3.5310000000000001</c:v>
                </c:pt>
                <c:pt idx="260">
                  <c:v>3.532</c:v>
                </c:pt>
                <c:pt idx="261">
                  <c:v>3.524</c:v>
                </c:pt>
                <c:pt idx="262">
                  <c:v>3.5169999999999999</c:v>
                </c:pt>
                <c:pt idx="263">
                  <c:v>3.51</c:v>
                </c:pt>
                <c:pt idx="264">
                  <c:v>3.5390000000000001</c:v>
                </c:pt>
                <c:pt idx="265">
                  <c:v>3.5350000000000001</c:v>
                </c:pt>
                <c:pt idx="266">
                  <c:v>3.4750000000000001</c:v>
                </c:pt>
                <c:pt idx="267">
                  <c:v>3.5070000000000001</c:v>
                </c:pt>
                <c:pt idx="268">
                  <c:v>3.4609999999999999</c:v>
                </c:pt>
                <c:pt idx="269">
                  <c:v>3.4319999999999999</c:v>
                </c:pt>
                <c:pt idx="270">
                  <c:v>3.3919999999999999</c:v>
                </c:pt>
                <c:pt idx="271">
                  <c:v>3.379</c:v>
                </c:pt>
                <c:pt idx="272">
                  <c:v>3.3570000000000002</c:v>
                </c:pt>
                <c:pt idx="273">
                  <c:v>3.3769999999999998</c:v>
                </c:pt>
                <c:pt idx="274">
                  <c:v>3.3650000000000002</c:v>
                </c:pt>
              </c:numCache>
            </c:numRef>
          </c:val>
          <c:smooth val="0"/>
          <c:extLst>
            <c:ext xmlns:c16="http://schemas.microsoft.com/office/drawing/2014/chart" uri="{C3380CC4-5D6E-409C-BE32-E72D297353CC}">
              <c16:uniqueId val="{00000004-9EB6-407A-B87A-18670FE94C73}"/>
            </c:ext>
          </c:extLst>
        </c:ser>
        <c:ser>
          <c:idx val="5"/>
          <c:order val="5"/>
          <c:tx>
            <c:strRef>
              <c:f>'ΣΤΟΙΧΕΙΑ ΓΙΑ ΠΡΟΥΠ '!$G$2</c:f>
              <c:strCache>
                <c:ptCount val="1"/>
                <c:pt idx="0">
                  <c:v>ΠΟΡΤΟΓΑΛΙΑ</c:v>
                </c:pt>
              </c:strCache>
            </c:strRef>
          </c:tx>
          <c:spPr>
            <a:ln w="28575" cap="rnd" cmpd="sng" algn="ctr">
              <a:solidFill>
                <a:schemeClr val="tx2">
                  <a:lumMod val="60000"/>
                  <a:lumOff val="40000"/>
                </a:schemeClr>
              </a:solidFill>
              <a:prstDash val="solid"/>
              <a:round/>
            </a:ln>
            <a:effectLst/>
          </c:spPr>
          <c:marker>
            <c:symbol val="none"/>
          </c:marker>
          <c:cat>
            <c:numRef>
              <c:f>'ΣΤΟΙΧΕΙΑ ΓΙΑ ΠΡΟΥΠ '!$A$2032:$A$2563</c:f>
              <c:numCache>
                <c:formatCode>m/d/yyyy</c:formatCode>
                <c:ptCount val="275"/>
                <c:pt idx="0">
                  <c:v>45566</c:v>
                </c:pt>
                <c:pt idx="1">
                  <c:v>45567</c:v>
                </c:pt>
                <c:pt idx="2">
                  <c:v>45568</c:v>
                </c:pt>
                <c:pt idx="3">
                  <c:v>45569</c:v>
                </c:pt>
                <c:pt idx="4">
                  <c:v>45572</c:v>
                </c:pt>
                <c:pt idx="5">
                  <c:v>45573</c:v>
                </c:pt>
                <c:pt idx="6">
                  <c:v>45574</c:v>
                </c:pt>
                <c:pt idx="7">
                  <c:v>45575</c:v>
                </c:pt>
                <c:pt idx="8">
                  <c:v>45576</c:v>
                </c:pt>
                <c:pt idx="9">
                  <c:v>45579</c:v>
                </c:pt>
                <c:pt idx="10">
                  <c:v>45580</c:v>
                </c:pt>
                <c:pt idx="11">
                  <c:v>45581</c:v>
                </c:pt>
                <c:pt idx="12">
                  <c:v>45582</c:v>
                </c:pt>
                <c:pt idx="13">
                  <c:v>45583</c:v>
                </c:pt>
                <c:pt idx="14">
                  <c:v>45586</c:v>
                </c:pt>
                <c:pt idx="15">
                  <c:v>45587</c:v>
                </c:pt>
                <c:pt idx="16">
                  <c:v>45588</c:v>
                </c:pt>
                <c:pt idx="17">
                  <c:v>45589</c:v>
                </c:pt>
                <c:pt idx="18">
                  <c:v>45590</c:v>
                </c:pt>
                <c:pt idx="19">
                  <c:v>45593</c:v>
                </c:pt>
                <c:pt idx="20">
                  <c:v>45594</c:v>
                </c:pt>
                <c:pt idx="21">
                  <c:v>45595</c:v>
                </c:pt>
                <c:pt idx="22">
                  <c:v>45596</c:v>
                </c:pt>
                <c:pt idx="23">
                  <c:v>45597</c:v>
                </c:pt>
                <c:pt idx="24">
                  <c:v>45600</c:v>
                </c:pt>
                <c:pt idx="25">
                  <c:v>45601</c:v>
                </c:pt>
                <c:pt idx="26">
                  <c:v>45602</c:v>
                </c:pt>
                <c:pt idx="27">
                  <c:v>45603</c:v>
                </c:pt>
                <c:pt idx="28">
                  <c:v>45604</c:v>
                </c:pt>
                <c:pt idx="29">
                  <c:v>45607</c:v>
                </c:pt>
                <c:pt idx="30">
                  <c:v>45608</c:v>
                </c:pt>
                <c:pt idx="31">
                  <c:v>45609</c:v>
                </c:pt>
                <c:pt idx="32">
                  <c:v>45610</c:v>
                </c:pt>
                <c:pt idx="33">
                  <c:v>45611</c:v>
                </c:pt>
                <c:pt idx="34">
                  <c:v>45614</c:v>
                </c:pt>
                <c:pt idx="35">
                  <c:v>45615</c:v>
                </c:pt>
                <c:pt idx="36">
                  <c:v>45616</c:v>
                </c:pt>
                <c:pt idx="37">
                  <c:v>45617</c:v>
                </c:pt>
                <c:pt idx="38">
                  <c:v>45618</c:v>
                </c:pt>
                <c:pt idx="39">
                  <c:v>45621</c:v>
                </c:pt>
                <c:pt idx="40">
                  <c:v>45622</c:v>
                </c:pt>
                <c:pt idx="41">
                  <c:v>45623</c:v>
                </c:pt>
                <c:pt idx="42">
                  <c:v>45624</c:v>
                </c:pt>
                <c:pt idx="43">
                  <c:v>45625</c:v>
                </c:pt>
                <c:pt idx="44">
                  <c:v>45628</c:v>
                </c:pt>
                <c:pt idx="45">
                  <c:v>45629</c:v>
                </c:pt>
                <c:pt idx="46">
                  <c:v>45630</c:v>
                </c:pt>
                <c:pt idx="47">
                  <c:v>45631</c:v>
                </c:pt>
                <c:pt idx="48">
                  <c:v>45632</c:v>
                </c:pt>
                <c:pt idx="49">
                  <c:v>45635</c:v>
                </c:pt>
                <c:pt idx="50">
                  <c:v>45636</c:v>
                </c:pt>
                <c:pt idx="51">
                  <c:v>45637</c:v>
                </c:pt>
                <c:pt idx="52">
                  <c:v>45638</c:v>
                </c:pt>
                <c:pt idx="53">
                  <c:v>45639</c:v>
                </c:pt>
                <c:pt idx="54">
                  <c:v>45642</c:v>
                </c:pt>
                <c:pt idx="55">
                  <c:v>45643</c:v>
                </c:pt>
                <c:pt idx="56">
                  <c:v>45644</c:v>
                </c:pt>
                <c:pt idx="57">
                  <c:v>45645</c:v>
                </c:pt>
                <c:pt idx="58">
                  <c:v>45646</c:v>
                </c:pt>
                <c:pt idx="59">
                  <c:v>45649</c:v>
                </c:pt>
                <c:pt idx="60">
                  <c:v>45650</c:v>
                </c:pt>
                <c:pt idx="61">
                  <c:v>45651</c:v>
                </c:pt>
                <c:pt idx="62">
                  <c:v>45652</c:v>
                </c:pt>
                <c:pt idx="63">
                  <c:v>45653</c:v>
                </c:pt>
                <c:pt idx="64">
                  <c:v>45656</c:v>
                </c:pt>
                <c:pt idx="65">
                  <c:v>45657</c:v>
                </c:pt>
                <c:pt idx="66">
                  <c:v>45658</c:v>
                </c:pt>
                <c:pt idx="67">
                  <c:v>45659</c:v>
                </c:pt>
                <c:pt idx="68">
                  <c:v>45660</c:v>
                </c:pt>
                <c:pt idx="69">
                  <c:v>45663</c:v>
                </c:pt>
                <c:pt idx="70">
                  <c:v>45664</c:v>
                </c:pt>
                <c:pt idx="71">
                  <c:v>45665</c:v>
                </c:pt>
                <c:pt idx="72">
                  <c:v>45666</c:v>
                </c:pt>
                <c:pt idx="73">
                  <c:v>45667</c:v>
                </c:pt>
                <c:pt idx="74">
                  <c:v>45670</c:v>
                </c:pt>
                <c:pt idx="75">
                  <c:v>45671</c:v>
                </c:pt>
                <c:pt idx="76">
                  <c:v>45672</c:v>
                </c:pt>
                <c:pt idx="77">
                  <c:v>45673</c:v>
                </c:pt>
                <c:pt idx="78">
                  <c:v>45674</c:v>
                </c:pt>
                <c:pt idx="79">
                  <c:v>45677</c:v>
                </c:pt>
                <c:pt idx="80">
                  <c:v>45678</c:v>
                </c:pt>
                <c:pt idx="81">
                  <c:v>45679</c:v>
                </c:pt>
                <c:pt idx="82">
                  <c:v>45680</c:v>
                </c:pt>
                <c:pt idx="83">
                  <c:v>45681</c:v>
                </c:pt>
                <c:pt idx="84">
                  <c:v>45684</c:v>
                </c:pt>
                <c:pt idx="85">
                  <c:v>45685</c:v>
                </c:pt>
                <c:pt idx="86">
                  <c:v>45686</c:v>
                </c:pt>
                <c:pt idx="87">
                  <c:v>45687</c:v>
                </c:pt>
                <c:pt idx="88">
                  <c:v>45688</c:v>
                </c:pt>
                <c:pt idx="89">
                  <c:v>45691</c:v>
                </c:pt>
                <c:pt idx="90">
                  <c:v>45692</c:v>
                </c:pt>
                <c:pt idx="91">
                  <c:v>45693</c:v>
                </c:pt>
                <c:pt idx="92">
                  <c:v>45694</c:v>
                </c:pt>
                <c:pt idx="93">
                  <c:v>45695</c:v>
                </c:pt>
                <c:pt idx="94">
                  <c:v>45698</c:v>
                </c:pt>
                <c:pt idx="95">
                  <c:v>45699</c:v>
                </c:pt>
                <c:pt idx="96">
                  <c:v>45700</c:v>
                </c:pt>
                <c:pt idx="97">
                  <c:v>45701</c:v>
                </c:pt>
                <c:pt idx="98">
                  <c:v>45702</c:v>
                </c:pt>
                <c:pt idx="99">
                  <c:v>45705</c:v>
                </c:pt>
                <c:pt idx="100">
                  <c:v>45706</c:v>
                </c:pt>
                <c:pt idx="101">
                  <c:v>45707</c:v>
                </c:pt>
                <c:pt idx="102">
                  <c:v>45708</c:v>
                </c:pt>
                <c:pt idx="103">
                  <c:v>45709</c:v>
                </c:pt>
                <c:pt idx="104">
                  <c:v>45712</c:v>
                </c:pt>
                <c:pt idx="105">
                  <c:v>45713</c:v>
                </c:pt>
                <c:pt idx="106">
                  <c:v>45714</c:v>
                </c:pt>
                <c:pt idx="107">
                  <c:v>45715</c:v>
                </c:pt>
                <c:pt idx="108">
                  <c:v>45716</c:v>
                </c:pt>
                <c:pt idx="109">
                  <c:v>45719</c:v>
                </c:pt>
                <c:pt idx="110">
                  <c:v>45720</c:v>
                </c:pt>
                <c:pt idx="111">
                  <c:v>45721</c:v>
                </c:pt>
                <c:pt idx="112">
                  <c:v>45722</c:v>
                </c:pt>
                <c:pt idx="113">
                  <c:v>45723</c:v>
                </c:pt>
                <c:pt idx="114">
                  <c:v>45726</c:v>
                </c:pt>
                <c:pt idx="115">
                  <c:v>45727</c:v>
                </c:pt>
                <c:pt idx="116">
                  <c:v>45728</c:v>
                </c:pt>
                <c:pt idx="117">
                  <c:v>45729</c:v>
                </c:pt>
                <c:pt idx="118">
                  <c:v>45730</c:v>
                </c:pt>
                <c:pt idx="119">
                  <c:v>45733</c:v>
                </c:pt>
                <c:pt idx="120">
                  <c:v>45734</c:v>
                </c:pt>
                <c:pt idx="121">
                  <c:v>45735</c:v>
                </c:pt>
                <c:pt idx="122">
                  <c:v>45736</c:v>
                </c:pt>
                <c:pt idx="123">
                  <c:v>45737</c:v>
                </c:pt>
                <c:pt idx="124">
                  <c:v>45740</c:v>
                </c:pt>
                <c:pt idx="125">
                  <c:v>45741</c:v>
                </c:pt>
                <c:pt idx="126">
                  <c:v>45742</c:v>
                </c:pt>
                <c:pt idx="127">
                  <c:v>45743</c:v>
                </c:pt>
                <c:pt idx="128">
                  <c:v>45744</c:v>
                </c:pt>
                <c:pt idx="129">
                  <c:v>45747</c:v>
                </c:pt>
                <c:pt idx="130">
                  <c:v>45748</c:v>
                </c:pt>
                <c:pt idx="131">
                  <c:v>45749</c:v>
                </c:pt>
                <c:pt idx="132">
                  <c:v>45750</c:v>
                </c:pt>
                <c:pt idx="133">
                  <c:v>45751</c:v>
                </c:pt>
                <c:pt idx="134">
                  <c:v>45754</c:v>
                </c:pt>
                <c:pt idx="135">
                  <c:v>45755</c:v>
                </c:pt>
                <c:pt idx="136">
                  <c:v>45756</c:v>
                </c:pt>
                <c:pt idx="137">
                  <c:v>45757</c:v>
                </c:pt>
                <c:pt idx="138">
                  <c:v>45758</c:v>
                </c:pt>
                <c:pt idx="139">
                  <c:v>45761</c:v>
                </c:pt>
                <c:pt idx="140">
                  <c:v>45762</c:v>
                </c:pt>
                <c:pt idx="141">
                  <c:v>45763</c:v>
                </c:pt>
                <c:pt idx="142">
                  <c:v>45764</c:v>
                </c:pt>
                <c:pt idx="143">
                  <c:v>45765</c:v>
                </c:pt>
                <c:pt idx="144">
                  <c:v>45768</c:v>
                </c:pt>
                <c:pt idx="145">
                  <c:v>45769</c:v>
                </c:pt>
                <c:pt idx="146">
                  <c:v>45770</c:v>
                </c:pt>
                <c:pt idx="147">
                  <c:v>45771</c:v>
                </c:pt>
                <c:pt idx="148">
                  <c:v>45772</c:v>
                </c:pt>
                <c:pt idx="149">
                  <c:v>45775</c:v>
                </c:pt>
                <c:pt idx="150">
                  <c:v>45776</c:v>
                </c:pt>
                <c:pt idx="151">
                  <c:v>45777</c:v>
                </c:pt>
                <c:pt idx="152">
                  <c:v>45778</c:v>
                </c:pt>
                <c:pt idx="153">
                  <c:v>45779</c:v>
                </c:pt>
                <c:pt idx="154">
                  <c:v>45782</c:v>
                </c:pt>
                <c:pt idx="155">
                  <c:v>45783</c:v>
                </c:pt>
                <c:pt idx="156">
                  <c:v>45784</c:v>
                </c:pt>
                <c:pt idx="157">
                  <c:v>45785</c:v>
                </c:pt>
                <c:pt idx="158">
                  <c:v>45786</c:v>
                </c:pt>
                <c:pt idx="159">
                  <c:v>45789</c:v>
                </c:pt>
                <c:pt idx="160">
                  <c:v>45790</c:v>
                </c:pt>
                <c:pt idx="161">
                  <c:v>45791</c:v>
                </c:pt>
                <c:pt idx="162">
                  <c:v>45792</c:v>
                </c:pt>
                <c:pt idx="163">
                  <c:v>45793</c:v>
                </c:pt>
                <c:pt idx="164">
                  <c:v>45796</c:v>
                </c:pt>
                <c:pt idx="165">
                  <c:v>45797</c:v>
                </c:pt>
                <c:pt idx="166">
                  <c:v>45798</c:v>
                </c:pt>
                <c:pt idx="167">
                  <c:v>45799</c:v>
                </c:pt>
                <c:pt idx="168">
                  <c:v>45800</c:v>
                </c:pt>
                <c:pt idx="169">
                  <c:v>45803</c:v>
                </c:pt>
                <c:pt idx="170">
                  <c:v>45804</c:v>
                </c:pt>
                <c:pt idx="171">
                  <c:v>45805</c:v>
                </c:pt>
                <c:pt idx="172">
                  <c:v>45806</c:v>
                </c:pt>
                <c:pt idx="173">
                  <c:v>45807</c:v>
                </c:pt>
                <c:pt idx="174">
                  <c:v>45810</c:v>
                </c:pt>
                <c:pt idx="175">
                  <c:v>45811</c:v>
                </c:pt>
                <c:pt idx="176">
                  <c:v>45812</c:v>
                </c:pt>
                <c:pt idx="177">
                  <c:v>45813</c:v>
                </c:pt>
                <c:pt idx="178">
                  <c:v>45814</c:v>
                </c:pt>
                <c:pt idx="179">
                  <c:v>45817</c:v>
                </c:pt>
                <c:pt idx="180">
                  <c:v>45818</c:v>
                </c:pt>
                <c:pt idx="181">
                  <c:v>45819</c:v>
                </c:pt>
                <c:pt idx="182">
                  <c:v>45820</c:v>
                </c:pt>
                <c:pt idx="183">
                  <c:v>45821</c:v>
                </c:pt>
                <c:pt idx="184">
                  <c:v>45824</c:v>
                </c:pt>
                <c:pt idx="185">
                  <c:v>45825</c:v>
                </c:pt>
                <c:pt idx="186">
                  <c:v>45826</c:v>
                </c:pt>
                <c:pt idx="187">
                  <c:v>45827</c:v>
                </c:pt>
                <c:pt idx="188">
                  <c:v>45828</c:v>
                </c:pt>
                <c:pt idx="189">
                  <c:v>45831</c:v>
                </c:pt>
                <c:pt idx="190">
                  <c:v>45832</c:v>
                </c:pt>
                <c:pt idx="191">
                  <c:v>45833</c:v>
                </c:pt>
                <c:pt idx="192">
                  <c:v>45834</c:v>
                </c:pt>
                <c:pt idx="193">
                  <c:v>45835</c:v>
                </c:pt>
                <c:pt idx="194">
                  <c:v>45838</c:v>
                </c:pt>
                <c:pt idx="195">
                  <c:v>45839</c:v>
                </c:pt>
                <c:pt idx="196">
                  <c:v>45840</c:v>
                </c:pt>
                <c:pt idx="197">
                  <c:v>45841</c:v>
                </c:pt>
                <c:pt idx="198">
                  <c:v>45842</c:v>
                </c:pt>
                <c:pt idx="199">
                  <c:v>45845</c:v>
                </c:pt>
                <c:pt idx="200">
                  <c:v>45846</c:v>
                </c:pt>
                <c:pt idx="201">
                  <c:v>45847</c:v>
                </c:pt>
                <c:pt idx="202">
                  <c:v>45848</c:v>
                </c:pt>
                <c:pt idx="203">
                  <c:v>45849</c:v>
                </c:pt>
                <c:pt idx="204">
                  <c:v>45852</c:v>
                </c:pt>
                <c:pt idx="205">
                  <c:v>45853</c:v>
                </c:pt>
                <c:pt idx="206">
                  <c:v>45854</c:v>
                </c:pt>
                <c:pt idx="207">
                  <c:v>45855</c:v>
                </c:pt>
                <c:pt idx="208">
                  <c:v>45856</c:v>
                </c:pt>
                <c:pt idx="209">
                  <c:v>45859</c:v>
                </c:pt>
                <c:pt idx="210">
                  <c:v>45860</c:v>
                </c:pt>
                <c:pt idx="211">
                  <c:v>45861</c:v>
                </c:pt>
                <c:pt idx="212">
                  <c:v>45862</c:v>
                </c:pt>
                <c:pt idx="213">
                  <c:v>45863</c:v>
                </c:pt>
                <c:pt idx="214">
                  <c:v>45866</c:v>
                </c:pt>
                <c:pt idx="215">
                  <c:v>45867</c:v>
                </c:pt>
                <c:pt idx="216">
                  <c:v>45868</c:v>
                </c:pt>
                <c:pt idx="217">
                  <c:v>45869</c:v>
                </c:pt>
                <c:pt idx="218">
                  <c:v>45870</c:v>
                </c:pt>
                <c:pt idx="219">
                  <c:v>45873</c:v>
                </c:pt>
                <c:pt idx="220">
                  <c:v>45874</c:v>
                </c:pt>
                <c:pt idx="221">
                  <c:v>45875</c:v>
                </c:pt>
                <c:pt idx="222">
                  <c:v>45876</c:v>
                </c:pt>
                <c:pt idx="223">
                  <c:v>45877</c:v>
                </c:pt>
                <c:pt idx="224">
                  <c:v>45880</c:v>
                </c:pt>
                <c:pt idx="225">
                  <c:v>45881</c:v>
                </c:pt>
                <c:pt idx="226">
                  <c:v>45882</c:v>
                </c:pt>
                <c:pt idx="227">
                  <c:v>45883</c:v>
                </c:pt>
                <c:pt idx="228">
                  <c:v>45884</c:v>
                </c:pt>
                <c:pt idx="229">
                  <c:v>45887</c:v>
                </c:pt>
                <c:pt idx="230">
                  <c:v>45888</c:v>
                </c:pt>
                <c:pt idx="231">
                  <c:v>45889</c:v>
                </c:pt>
                <c:pt idx="232">
                  <c:v>45890</c:v>
                </c:pt>
                <c:pt idx="233">
                  <c:v>45891</c:v>
                </c:pt>
                <c:pt idx="234">
                  <c:v>45894</c:v>
                </c:pt>
                <c:pt idx="235">
                  <c:v>45895</c:v>
                </c:pt>
                <c:pt idx="236">
                  <c:v>45896</c:v>
                </c:pt>
                <c:pt idx="237">
                  <c:v>45897</c:v>
                </c:pt>
                <c:pt idx="238">
                  <c:v>45898</c:v>
                </c:pt>
                <c:pt idx="239">
                  <c:v>45901</c:v>
                </c:pt>
                <c:pt idx="240">
                  <c:v>45902</c:v>
                </c:pt>
                <c:pt idx="241">
                  <c:v>45903</c:v>
                </c:pt>
                <c:pt idx="242">
                  <c:v>45904</c:v>
                </c:pt>
                <c:pt idx="243">
                  <c:v>45905</c:v>
                </c:pt>
                <c:pt idx="244">
                  <c:v>45908</c:v>
                </c:pt>
                <c:pt idx="245">
                  <c:v>45909</c:v>
                </c:pt>
                <c:pt idx="246">
                  <c:v>45910</c:v>
                </c:pt>
                <c:pt idx="247">
                  <c:v>45911</c:v>
                </c:pt>
                <c:pt idx="248">
                  <c:v>45912</c:v>
                </c:pt>
                <c:pt idx="249">
                  <c:v>45915</c:v>
                </c:pt>
                <c:pt idx="250">
                  <c:v>45916</c:v>
                </c:pt>
                <c:pt idx="251">
                  <c:v>45917</c:v>
                </c:pt>
                <c:pt idx="252">
                  <c:v>45918</c:v>
                </c:pt>
                <c:pt idx="253">
                  <c:v>45919</c:v>
                </c:pt>
                <c:pt idx="254">
                  <c:v>45922</c:v>
                </c:pt>
                <c:pt idx="255">
                  <c:v>45923</c:v>
                </c:pt>
                <c:pt idx="256">
                  <c:v>45924</c:v>
                </c:pt>
                <c:pt idx="257">
                  <c:v>45925</c:v>
                </c:pt>
                <c:pt idx="258">
                  <c:v>45926</c:v>
                </c:pt>
                <c:pt idx="259">
                  <c:v>45929</c:v>
                </c:pt>
                <c:pt idx="260">
                  <c:v>45930</c:v>
                </c:pt>
                <c:pt idx="261">
                  <c:v>45931</c:v>
                </c:pt>
                <c:pt idx="262">
                  <c:v>45932</c:v>
                </c:pt>
                <c:pt idx="263">
                  <c:v>45933</c:v>
                </c:pt>
                <c:pt idx="264">
                  <c:v>45936</c:v>
                </c:pt>
                <c:pt idx="265">
                  <c:v>45937</c:v>
                </c:pt>
                <c:pt idx="266">
                  <c:v>45938</c:v>
                </c:pt>
                <c:pt idx="267">
                  <c:v>45939</c:v>
                </c:pt>
                <c:pt idx="268">
                  <c:v>45940</c:v>
                </c:pt>
                <c:pt idx="269">
                  <c:v>45943</c:v>
                </c:pt>
                <c:pt idx="270">
                  <c:v>45944</c:v>
                </c:pt>
                <c:pt idx="271">
                  <c:v>45945</c:v>
                </c:pt>
                <c:pt idx="272">
                  <c:v>45946</c:v>
                </c:pt>
                <c:pt idx="273">
                  <c:v>45947</c:v>
                </c:pt>
                <c:pt idx="274">
                  <c:v>45950</c:v>
                </c:pt>
              </c:numCache>
            </c:numRef>
          </c:cat>
          <c:val>
            <c:numRef>
              <c:f>'ΣΤΟΙΧΕΙΑ ΓΙΑ ΠΡΟΥΠ '!$G$2032:$G$2563</c:f>
              <c:numCache>
                <c:formatCode>General</c:formatCode>
                <c:ptCount val="275"/>
                <c:pt idx="0">
                  <c:v>2.6080000000000001</c:v>
                </c:pt>
                <c:pt idx="1">
                  <c:v>2.653</c:v>
                </c:pt>
                <c:pt idx="2">
                  <c:v>2.7029999999999998</c:v>
                </c:pt>
                <c:pt idx="3">
                  <c:v>2.7280000000000002</c:v>
                </c:pt>
                <c:pt idx="4">
                  <c:v>2.7709999999999999</c:v>
                </c:pt>
                <c:pt idx="5">
                  <c:v>2.7429999999999999</c:v>
                </c:pt>
                <c:pt idx="6">
                  <c:v>2.7650000000000001</c:v>
                </c:pt>
                <c:pt idx="7">
                  <c:v>2.7490000000000001</c:v>
                </c:pt>
                <c:pt idx="8">
                  <c:v>2.7669999999999999</c:v>
                </c:pt>
                <c:pt idx="9">
                  <c:v>2.7610000000000001</c:v>
                </c:pt>
                <c:pt idx="10">
                  <c:v>2.6880000000000002</c:v>
                </c:pt>
                <c:pt idx="11">
                  <c:v>2.649</c:v>
                </c:pt>
                <c:pt idx="12">
                  <c:v>2.6579999999999999</c:v>
                </c:pt>
                <c:pt idx="13">
                  <c:v>2.6139999999999999</c:v>
                </c:pt>
                <c:pt idx="14">
                  <c:v>2.7370000000000001</c:v>
                </c:pt>
                <c:pt idx="15">
                  <c:v>2.766</c:v>
                </c:pt>
                <c:pt idx="16">
                  <c:v>2.7360000000000002</c:v>
                </c:pt>
                <c:pt idx="17">
                  <c:v>2.6890000000000001</c:v>
                </c:pt>
                <c:pt idx="18">
                  <c:v>2.73</c:v>
                </c:pt>
                <c:pt idx="19">
                  <c:v>2.702</c:v>
                </c:pt>
                <c:pt idx="20">
                  <c:v>2.738</c:v>
                </c:pt>
                <c:pt idx="21">
                  <c:v>2.786</c:v>
                </c:pt>
                <c:pt idx="22">
                  <c:v>2.7909999999999999</c:v>
                </c:pt>
                <c:pt idx="23">
                  <c:v>2.855</c:v>
                </c:pt>
                <c:pt idx="24">
                  <c:v>2.867</c:v>
                </c:pt>
                <c:pt idx="25">
                  <c:v>2.8820000000000001</c:v>
                </c:pt>
                <c:pt idx="26">
                  <c:v>2.9</c:v>
                </c:pt>
                <c:pt idx="27">
                  <c:v>2.9289999999999998</c:v>
                </c:pt>
                <c:pt idx="28">
                  <c:v>2.8620000000000001</c:v>
                </c:pt>
                <c:pt idx="29">
                  <c:v>2.8140000000000001</c:v>
                </c:pt>
                <c:pt idx="30">
                  <c:v>2.851</c:v>
                </c:pt>
                <c:pt idx="31">
                  <c:v>2.8460000000000001</c:v>
                </c:pt>
                <c:pt idx="32">
                  <c:v>2.786</c:v>
                </c:pt>
                <c:pt idx="33">
                  <c:v>2.79</c:v>
                </c:pt>
                <c:pt idx="34">
                  <c:v>2.8090000000000002</c:v>
                </c:pt>
                <c:pt idx="35">
                  <c:v>2.782</c:v>
                </c:pt>
                <c:pt idx="36">
                  <c:v>2.798</c:v>
                </c:pt>
                <c:pt idx="37">
                  <c:v>2.786</c:v>
                </c:pt>
                <c:pt idx="38">
                  <c:v>2.7160000000000002</c:v>
                </c:pt>
                <c:pt idx="39">
                  <c:v>2.6850000000000001</c:v>
                </c:pt>
                <c:pt idx="40">
                  <c:v>2.6920000000000002</c:v>
                </c:pt>
                <c:pt idx="41">
                  <c:v>2.65</c:v>
                </c:pt>
                <c:pt idx="42">
                  <c:v>2.5950000000000002</c:v>
                </c:pt>
                <c:pt idx="43">
                  <c:v>2.5310000000000001</c:v>
                </c:pt>
                <c:pt idx="44">
                  <c:v>2.512</c:v>
                </c:pt>
                <c:pt idx="45">
                  <c:v>2.5049999999999999</c:v>
                </c:pt>
                <c:pt idx="46">
                  <c:v>2.5049999999999999</c:v>
                </c:pt>
                <c:pt idx="47">
                  <c:v>2.5110000000000001</c:v>
                </c:pt>
                <c:pt idx="48">
                  <c:v>2.5089999999999999</c:v>
                </c:pt>
                <c:pt idx="49">
                  <c:v>2.5110000000000001</c:v>
                </c:pt>
                <c:pt idx="50">
                  <c:v>2.5169999999999999</c:v>
                </c:pt>
                <c:pt idx="51">
                  <c:v>2.516</c:v>
                </c:pt>
                <c:pt idx="52">
                  <c:v>2.6389999999999998</c:v>
                </c:pt>
                <c:pt idx="53">
                  <c:v>2.7010000000000001</c:v>
                </c:pt>
                <c:pt idx="54">
                  <c:v>2.7320000000000002</c:v>
                </c:pt>
                <c:pt idx="55">
                  <c:v>2.7229999999999999</c:v>
                </c:pt>
                <c:pt idx="56">
                  <c:v>2.72</c:v>
                </c:pt>
                <c:pt idx="57">
                  <c:v>2.78</c:v>
                </c:pt>
                <c:pt idx="58">
                  <c:v>2.758</c:v>
                </c:pt>
                <c:pt idx="59">
                  <c:v>2.802</c:v>
                </c:pt>
                <c:pt idx="60">
                  <c:v>2.802</c:v>
                </c:pt>
                <c:pt idx="61">
                  <c:v>2.802</c:v>
                </c:pt>
                <c:pt idx="62">
                  <c:v>2.802</c:v>
                </c:pt>
                <c:pt idx="63">
                  <c:v>2.8650000000000002</c:v>
                </c:pt>
                <c:pt idx="64">
                  <c:v>2.8420000000000001</c:v>
                </c:pt>
                <c:pt idx="65">
                  <c:v>2.8420000000000001</c:v>
                </c:pt>
                <c:pt idx="66">
                  <c:v>2.8420000000000001</c:v>
                </c:pt>
                <c:pt idx="67">
                  <c:v>2.847</c:v>
                </c:pt>
                <c:pt idx="68">
                  <c:v>2.9</c:v>
                </c:pt>
                <c:pt idx="69">
                  <c:v>2.903</c:v>
                </c:pt>
                <c:pt idx="70">
                  <c:v>2.9409999999999998</c:v>
                </c:pt>
                <c:pt idx="71">
                  <c:v>2.9910000000000001</c:v>
                </c:pt>
                <c:pt idx="72">
                  <c:v>2.9990000000000001</c:v>
                </c:pt>
                <c:pt idx="73">
                  <c:v>3.028</c:v>
                </c:pt>
                <c:pt idx="74">
                  <c:v>3.0739999999999998</c:v>
                </c:pt>
                <c:pt idx="75">
                  <c:v>3.0950000000000002</c:v>
                </c:pt>
                <c:pt idx="76">
                  <c:v>2.9820000000000002</c:v>
                </c:pt>
                <c:pt idx="77">
                  <c:v>2.9660000000000002</c:v>
                </c:pt>
                <c:pt idx="78">
                  <c:v>2.952</c:v>
                </c:pt>
                <c:pt idx="79">
                  <c:v>2.9409999999999998</c:v>
                </c:pt>
                <c:pt idx="80">
                  <c:v>2.9220000000000002</c:v>
                </c:pt>
                <c:pt idx="81">
                  <c:v>2.931</c:v>
                </c:pt>
                <c:pt idx="82">
                  <c:v>2.9660000000000002</c:v>
                </c:pt>
                <c:pt idx="83">
                  <c:v>2.972</c:v>
                </c:pt>
                <c:pt idx="84">
                  <c:v>2.9430000000000001</c:v>
                </c:pt>
                <c:pt idx="85">
                  <c:v>2.9609999999999999</c:v>
                </c:pt>
                <c:pt idx="86">
                  <c:v>2.97</c:v>
                </c:pt>
                <c:pt idx="87">
                  <c:v>2.9119999999999999</c:v>
                </c:pt>
                <c:pt idx="88">
                  <c:v>2.8690000000000002</c:v>
                </c:pt>
                <c:pt idx="89">
                  <c:v>2.8119999999999998</c:v>
                </c:pt>
                <c:pt idx="90">
                  <c:v>2.8180000000000001</c:v>
                </c:pt>
                <c:pt idx="91">
                  <c:v>2.7909999999999999</c:v>
                </c:pt>
                <c:pt idx="92">
                  <c:v>2.7970000000000002</c:v>
                </c:pt>
                <c:pt idx="93">
                  <c:v>2.8079999999999998</c:v>
                </c:pt>
                <c:pt idx="94">
                  <c:v>2.8010000000000002</c:v>
                </c:pt>
                <c:pt idx="95">
                  <c:v>2.875</c:v>
                </c:pt>
                <c:pt idx="96">
                  <c:v>2.907</c:v>
                </c:pt>
                <c:pt idx="97">
                  <c:v>2.847</c:v>
                </c:pt>
                <c:pt idx="98">
                  <c:v>2.87</c:v>
                </c:pt>
                <c:pt idx="99">
                  <c:v>2.9089999999999998</c:v>
                </c:pt>
                <c:pt idx="100">
                  <c:v>2.9079999999999999</c:v>
                </c:pt>
                <c:pt idx="101">
                  <c:v>2.988</c:v>
                </c:pt>
                <c:pt idx="102">
                  <c:v>2.9689999999999999</c:v>
                </c:pt>
                <c:pt idx="103">
                  <c:v>2.9079999999999999</c:v>
                </c:pt>
                <c:pt idx="104">
                  <c:v>3</c:v>
                </c:pt>
                <c:pt idx="105">
                  <c:v>2.9729999999999999</c:v>
                </c:pt>
                <c:pt idx="106">
                  <c:v>2.9319999999999999</c:v>
                </c:pt>
                <c:pt idx="107">
                  <c:v>2.9319999999999999</c:v>
                </c:pt>
                <c:pt idx="108">
                  <c:v>2.9340000000000002</c:v>
                </c:pt>
                <c:pt idx="109">
                  <c:v>2.9929999999999999</c:v>
                </c:pt>
                <c:pt idx="110">
                  <c:v>3.012</c:v>
                </c:pt>
                <c:pt idx="111">
                  <c:v>3.2890000000000001</c:v>
                </c:pt>
                <c:pt idx="112">
                  <c:v>3.3410000000000002</c:v>
                </c:pt>
                <c:pt idx="113">
                  <c:v>3.3540000000000001</c:v>
                </c:pt>
                <c:pt idx="114">
                  <c:v>3.3620000000000001</c:v>
                </c:pt>
                <c:pt idx="115">
                  <c:v>3.3919999999999999</c:v>
                </c:pt>
                <c:pt idx="116">
                  <c:v>3.36</c:v>
                </c:pt>
                <c:pt idx="117">
                  <c:v>3.3650000000000002</c:v>
                </c:pt>
                <c:pt idx="118">
                  <c:v>3.371</c:v>
                </c:pt>
                <c:pt idx="119">
                  <c:v>3.3039999999999998</c:v>
                </c:pt>
                <c:pt idx="120">
                  <c:v>3.3039999999999998</c:v>
                </c:pt>
                <c:pt idx="121">
                  <c:v>3.2959999999999998</c:v>
                </c:pt>
                <c:pt idx="122">
                  <c:v>3.2919999999999998</c:v>
                </c:pt>
                <c:pt idx="123">
                  <c:v>3.28</c:v>
                </c:pt>
                <c:pt idx="124">
                  <c:v>3.2770000000000001</c:v>
                </c:pt>
                <c:pt idx="125">
                  <c:v>3.298</c:v>
                </c:pt>
                <c:pt idx="126">
                  <c:v>3.2989999999999999</c:v>
                </c:pt>
                <c:pt idx="127">
                  <c:v>3.2749999999999999</c:v>
                </c:pt>
                <c:pt idx="128">
                  <c:v>3.238</c:v>
                </c:pt>
                <c:pt idx="129">
                  <c:v>3.2549999999999999</c:v>
                </c:pt>
                <c:pt idx="130">
                  <c:v>3.198</c:v>
                </c:pt>
                <c:pt idx="131">
                  <c:v>3.2280000000000002</c:v>
                </c:pt>
                <c:pt idx="132">
                  <c:v>3.1880000000000002</c:v>
                </c:pt>
                <c:pt idx="133">
                  <c:v>3.1640000000000001</c:v>
                </c:pt>
                <c:pt idx="134">
                  <c:v>3.2309999999999999</c:v>
                </c:pt>
                <c:pt idx="135">
                  <c:v>3.234</c:v>
                </c:pt>
                <c:pt idx="136">
                  <c:v>3.2320000000000002</c:v>
                </c:pt>
                <c:pt idx="137">
                  <c:v>3.1970000000000001</c:v>
                </c:pt>
                <c:pt idx="138">
                  <c:v>3.1819999999999999</c:v>
                </c:pt>
                <c:pt idx="139">
                  <c:v>3.0920000000000001</c:v>
                </c:pt>
                <c:pt idx="140">
                  <c:v>3.1230000000000002</c:v>
                </c:pt>
                <c:pt idx="141">
                  <c:v>3.0939999999999999</c:v>
                </c:pt>
                <c:pt idx="142">
                  <c:v>3.05</c:v>
                </c:pt>
                <c:pt idx="143">
                  <c:v>3.05</c:v>
                </c:pt>
                <c:pt idx="144">
                  <c:v>3.05</c:v>
                </c:pt>
                <c:pt idx="145">
                  <c:v>3.0179999999999998</c:v>
                </c:pt>
                <c:pt idx="146">
                  <c:v>3.0459999999999998</c:v>
                </c:pt>
                <c:pt idx="147">
                  <c:v>2.9729999999999999</c:v>
                </c:pt>
                <c:pt idx="148">
                  <c:v>3.0019999999999998</c:v>
                </c:pt>
                <c:pt idx="149">
                  <c:v>3.0579999999999998</c:v>
                </c:pt>
                <c:pt idx="150">
                  <c:v>3.0470000000000002</c:v>
                </c:pt>
                <c:pt idx="151">
                  <c:v>3.0009999999999999</c:v>
                </c:pt>
                <c:pt idx="152">
                  <c:v>3.0009999999999999</c:v>
                </c:pt>
                <c:pt idx="153">
                  <c:v>3.0750000000000002</c:v>
                </c:pt>
                <c:pt idx="154">
                  <c:v>3.048</c:v>
                </c:pt>
                <c:pt idx="155">
                  <c:v>3.069</c:v>
                </c:pt>
                <c:pt idx="156">
                  <c:v>3.004</c:v>
                </c:pt>
                <c:pt idx="157">
                  <c:v>3.0449999999999999</c:v>
                </c:pt>
                <c:pt idx="158">
                  <c:v>3.081</c:v>
                </c:pt>
                <c:pt idx="159">
                  <c:v>3.1579999999999999</c:v>
                </c:pt>
                <c:pt idx="160">
                  <c:v>3.1869999999999998</c:v>
                </c:pt>
                <c:pt idx="161">
                  <c:v>3.1930000000000001</c:v>
                </c:pt>
                <c:pt idx="162">
                  <c:v>3.113</c:v>
                </c:pt>
                <c:pt idx="163">
                  <c:v>3.0910000000000002</c:v>
                </c:pt>
                <c:pt idx="164">
                  <c:v>3.0880000000000001</c:v>
                </c:pt>
                <c:pt idx="165">
                  <c:v>3.0939999999999999</c:v>
                </c:pt>
                <c:pt idx="166">
                  <c:v>3.137</c:v>
                </c:pt>
                <c:pt idx="167">
                  <c:v>3.1339999999999999</c:v>
                </c:pt>
                <c:pt idx="168">
                  <c:v>3.073</c:v>
                </c:pt>
                <c:pt idx="169">
                  <c:v>3.0579999999999998</c:v>
                </c:pt>
                <c:pt idx="170">
                  <c:v>3.0209999999999999</c:v>
                </c:pt>
                <c:pt idx="171">
                  <c:v>3.04</c:v>
                </c:pt>
                <c:pt idx="172">
                  <c:v>3</c:v>
                </c:pt>
                <c:pt idx="173">
                  <c:v>2.9689999999999999</c:v>
                </c:pt>
                <c:pt idx="174">
                  <c:v>2.9860000000000002</c:v>
                </c:pt>
                <c:pt idx="175">
                  <c:v>2.9929999999999999</c:v>
                </c:pt>
                <c:pt idx="176">
                  <c:v>3</c:v>
                </c:pt>
                <c:pt idx="177">
                  <c:v>3.0459999999999998</c:v>
                </c:pt>
                <c:pt idx="178">
                  <c:v>3.0459999999999998</c:v>
                </c:pt>
                <c:pt idx="179">
                  <c:v>3.0329999999999999</c:v>
                </c:pt>
                <c:pt idx="180">
                  <c:v>2.9820000000000002</c:v>
                </c:pt>
                <c:pt idx="181">
                  <c:v>2.9990000000000001</c:v>
                </c:pt>
                <c:pt idx="182">
                  <c:v>2.9620000000000002</c:v>
                </c:pt>
                <c:pt idx="183">
                  <c:v>3.0369999999999999</c:v>
                </c:pt>
                <c:pt idx="184">
                  <c:v>3.02</c:v>
                </c:pt>
                <c:pt idx="185">
                  <c:v>3.044</c:v>
                </c:pt>
                <c:pt idx="186">
                  <c:v>3.0030000000000001</c:v>
                </c:pt>
                <c:pt idx="187">
                  <c:v>3.0459999999999998</c:v>
                </c:pt>
                <c:pt idx="188">
                  <c:v>3.0259999999999998</c:v>
                </c:pt>
                <c:pt idx="189">
                  <c:v>3.0070000000000001</c:v>
                </c:pt>
                <c:pt idx="190">
                  <c:v>3.02</c:v>
                </c:pt>
                <c:pt idx="191">
                  <c:v>3.0419999999999998</c:v>
                </c:pt>
                <c:pt idx="192">
                  <c:v>3.028</c:v>
                </c:pt>
                <c:pt idx="193">
                  <c:v>3.0369999999999999</c:v>
                </c:pt>
                <c:pt idx="194">
                  <c:v>3.0529999999999999</c:v>
                </c:pt>
                <c:pt idx="195">
                  <c:v>3.0249999999999999</c:v>
                </c:pt>
                <c:pt idx="196">
                  <c:v>3.09</c:v>
                </c:pt>
                <c:pt idx="197">
                  <c:v>3.0430000000000001</c:v>
                </c:pt>
                <c:pt idx="198">
                  <c:v>3.04</c:v>
                </c:pt>
                <c:pt idx="199">
                  <c:v>3.081</c:v>
                </c:pt>
                <c:pt idx="200">
                  <c:v>3.1230000000000002</c:v>
                </c:pt>
                <c:pt idx="201">
                  <c:v>3.1110000000000002</c:v>
                </c:pt>
                <c:pt idx="202">
                  <c:v>3.137</c:v>
                </c:pt>
                <c:pt idx="203">
                  <c:v>3.1509999999999998</c:v>
                </c:pt>
                <c:pt idx="204">
                  <c:v>3.165</c:v>
                </c:pt>
                <c:pt idx="205">
                  <c:v>3.1459999999999999</c:v>
                </c:pt>
                <c:pt idx="206">
                  <c:v>3.12</c:v>
                </c:pt>
                <c:pt idx="207">
                  <c:v>3.1139999999999999</c:v>
                </c:pt>
                <c:pt idx="208">
                  <c:v>3.133</c:v>
                </c:pt>
                <c:pt idx="209">
                  <c:v>3.0419999999999998</c:v>
                </c:pt>
                <c:pt idx="210">
                  <c:v>3.0350000000000001</c:v>
                </c:pt>
                <c:pt idx="211">
                  <c:v>3.0510000000000002</c:v>
                </c:pt>
                <c:pt idx="212">
                  <c:v>3.1309999999999998</c:v>
                </c:pt>
                <c:pt idx="213">
                  <c:v>3.1429999999999998</c:v>
                </c:pt>
                <c:pt idx="214">
                  <c:v>3.1059999999999999</c:v>
                </c:pt>
                <c:pt idx="215">
                  <c:v>3.1230000000000002</c:v>
                </c:pt>
                <c:pt idx="216">
                  <c:v>3.1309999999999998</c:v>
                </c:pt>
                <c:pt idx="217">
                  <c:v>3.1150000000000002</c:v>
                </c:pt>
                <c:pt idx="218">
                  <c:v>3.105</c:v>
                </c:pt>
                <c:pt idx="219">
                  <c:v>3.0379999999999998</c:v>
                </c:pt>
                <c:pt idx="220">
                  <c:v>3.0350000000000001</c:v>
                </c:pt>
                <c:pt idx="221">
                  <c:v>3.0590000000000002</c:v>
                </c:pt>
                <c:pt idx="222">
                  <c:v>3.0329999999999999</c:v>
                </c:pt>
                <c:pt idx="223">
                  <c:v>3.0830000000000002</c:v>
                </c:pt>
                <c:pt idx="224">
                  <c:v>3.089</c:v>
                </c:pt>
                <c:pt idx="225">
                  <c:v>3.1320000000000001</c:v>
                </c:pt>
                <c:pt idx="226">
                  <c:v>3.0630000000000002</c:v>
                </c:pt>
                <c:pt idx="227">
                  <c:v>3.0960000000000001</c:v>
                </c:pt>
                <c:pt idx="228">
                  <c:v>3.177</c:v>
                </c:pt>
                <c:pt idx="229">
                  <c:v>3.1539999999999999</c:v>
                </c:pt>
                <c:pt idx="230">
                  <c:v>3.1480000000000001</c:v>
                </c:pt>
                <c:pt idx="231">
                  <c:v>3.1230000000000002</c:v>
                </c:pt>
                <c:pt idx="232">
                  <c:v>3.17</c:v>
                </c:pt>
                <c:pt idx="233">
                  <c:v>3.129</c:v>
                </c:pt>
                <c:pt idx="234">
                  <c:v>3.1960000000000002</c:v>
                </c:pt>
                <c:pt idx="235">
                  <c:v>3.1469999999999998</c:v>
                </c:pt>
                <c:pt idx="236">
                  <c:v>3.1480000000000001</c:v>
                </c:pt>
                <c:pt idx="237">
                  <c:v>3.137</c:v>
                </c:pt>
                <c:pt idx="238">
                  <c:v>3.1760000000000002</c:v>
                </c:pt>
                <c:pt idx="239">
                  <c:v>3.1890000000000001</c:v>
                </c:pt>
                <c:pt idx="240">
                  <c:v>3.2290000000000001</c:v>
                </c:pt>
                <c:pt idx="241">
                  <c:v>3.177</c:v>
                </c:pt>
                <c:pt idx="242">
                  <c:v>3.137</c:v>
                </c:pt>
                <c:pt idx="243">
                  <c:v>3.0830000000000002</c:v>
                </c:pt>
                <c:pt idx="244">
                  <c:v>3.0590000000000002</c:v>
                </c:pt>
                <c:pt idx="245">
                  <c:v>3.0790000000000002</c:v>
                </c:pt>
                <c:pt idx="246">
                  <c:v>3.07</c:v>
                </c:pt>
                <c:pt idx="247">
                  <c:v>3.0640000000000001</c:v>
                </c:pt>
                <c:pt idx="248">
                  <c:v>3.1240000000000001</c:v>
                </c:pt>
                <c:pt idx="249">
                  <c:v>3.0840000000000001</c:v>
                </c:pt>
                <c:pt idx="250">
                  <c:v>3.0910000000000002</c:v>
                </c:pt>
                <c:pt idx="251">
                  <c:v>3.0779999999999998</c:v>
                </c:pt>
                <c:pt idx="252">
                  <c:v>3.1259999999999999</c:v>
                </c:pt>
                <c:pt idx="253">
                  <c:v>3.1429999999999998</c:v>
                </c:pt>
                <c:pt idx="254">
                  <c:v>3.1539999999999999</c:v>
                </c:pt>
                <c:pt idx="255">
                  <c:v>3.145</c:v>
                </c:pt>
                <c:pt idx="256">
                  <c:v>3.1520000000000001</c:v>
                </c:pt>
                <c:pt idx="257">
                  <c:v>3.19</c:v>
                </c:pt>
                <c:pt idx="258">
                  <c:v>3.169</c:v>
                </c:pt>
                <c:pt idx="259">
                  <c:v>3.12</c:v>
                </c:pt>
                <c:pt idx="260">
                  <c:v>3.113</c:v>
                </c:pt>
                <c:pt idx="261">
                  <c:v>3.11</c:v>
                </c:pt>
                <c:pt idx="262">
                  <c:v>3.0979999999999999</c:v>
                </c:pt>
                <c:pt idx="263">
                  <c:v>3.0870000000000002</c:v>
                </c:pt>
                <c:pt idx="264">
                  <c:v>3.1110000000000002</c:v>
                </c:pt>
                <c:pt idx="265">
                  <c:v>3.11</c:v>
                </c:pt>
                <c:pt idx="266">
                  <c:v>3.0710000000000002</c:v>
                </c:pt>
                <c:pt idx="267">
                  <c:v>3.0950000000000002</c:v>
                </c:pt>
                <c:pt idx="268">
                  <c:v>3.0449999999999999</c:v>
                </c:pt>
                <c:pt idx="269">
                  <c:v>3.0270000000000001</c:v>
                </c:pt>
                <c:pt idx="270">
                  <c:v>2.984</c:v>
                </c:pt>
                <c:pt idx="271">
                  <c:v>2.95</c:v>
                </c:pt>
                <c:pt idx="272">
                  <c:v>2.9380000000000002</c:v>
                </c:pt>
                <c:pt idx="273">
                  <c:v>2.956</c:v>
                </c:pt>
                <c:pt idx="274">
                  <c:v>2.9529999999999998</c:v>
                </c:pt>
              </c:numCache>
            </c:numRef>
          </c:val>
          <c:smooth val="0"/>
          <c:extLst>
            <c:ext xmlns:c16="http://schemas.microsoft.com/office/drawing/2014/chart" uri="{C3380CC4-5D6E-409C-BE32-E72D297353CC}">
              <c16:uniqueId val="{00000005-9EB6-407A-B87A-18670FE94C73}"/>
            </c:ext>
          </c:extLst>
        </c:ser>
        <c:ser>
          <c:idx val="6"/>
          <c:order val="6"/>
          <c:tx>
            <c:strRef>
              <c:f>'ΣΤΟΙΧΕΙΑ ΓΙΑ ΠΡΟΥΠ '!$H$2</c:f>
              <c:strCache>
                <c:ptCount val="1"/>
                <c:pt idx="0">
                  <c:v>ΙΣΠΑΝΙΑ</c:v>
                </c:pt>
              </c:strCache>
            </c:strRef>
          </c:tx>
          <c:spPr>
            <a:ln w="28575" cap="rnd" cmpd="sng" algn="ctr">
              <a:solidFill>
                <a:schemeClr val="accent4">
                  <a:lumMod val="60000"/>
                  <a:lumOff val="40000"/>
                </a:schemeClr>
              </a:solidFill>
              <a:prstDash val="solid"/>
              <a:round/>
            </a:ln>
            <a:effectLst/>
          </c:spPr>
          <c:marker>
            <c:symbol val="none"/>
          </c:marker>
          <c:cat>
            <c:numRef>
              <c:f>'ΣΤΟΙΧΕΙΑ ΓΙΑ ΠΡΟΥΠ '!$A$2032:$A$2563</c:f>
              <c:numCache>
                <c:formatCode>m/d/yyyy</c:formatCode>
                <c:ptCount val="275"/>
                <c:pt idx="0">
                  <c:v>45566</c:v>
                </c:pt>
                <c:pt idx="1">
                  <c:v>45567</c:v>
                </c:pt>
                <c:pt idx="2">
                  <c:v>45568</c:v>
                </c:pt>
                <c:pt idx="3">
                  <c:v>45569</c:v>
                </c:pt>
                <c:pt idx="4">
                  <c:v>45572</c:v>
                </c:pt>
                <c:pt idx="5">
                  <c:v>45573</c:v>
                </c:pt>
                <c:pt idx="6">
                  <c:v>45574</c:v>
                </c:pt>
                <c:pt idx="7">
                  <c:v>45575</c:v>
                </c:pt>
                <c:pt idx="8">
                  <c:v>45576</c:v>
                </c:pt>
                <c:pt idx="9">
                  <c:v>45579</c:v>
                </c:pt>
                <c:pt idx="10">
                  <c:v>45580</c:v>
                </c:pt>
                <c:pt idx="11">
                  <c:v>45581</c:v>
                </c:pt>
                <c:pt idx="12">
                  <c:v>45582</c:v>
                </c:pt>
                <c:pt idx="13">
                  <c:v>45583</c:v>
                </c:pt>
                <c:pt idx="14">
                  <c:v>45586</c:v>
                </c:pt>
                <c:pt idx="15">
                  <c:v>45587</c:v>
                </c:pt>
                <c:pt idx="16">
                  <c:v>45588</c:v>
                </c:pt>
                <c:pt idx="17">
                  <c:v>45589</c:v>
                </c:pt>
                <c:pt idx="18">
                  <c:v>45590</c:v>
                </c:pt>
                <c:pt idx="19">
                  <c:v>45593</c:v>
                </c:pt>
                <c:pt idx="20">
                  <c:v>45594</c:v>
                </c:pt>
                <c:pt idx="21">
                  <c:v>45595</c:v>
                </c:pt>
                <c:pt idx="22">
                  <c:v>45596</c:v>
                </c:pt>
                <c:pt idx="23">
                  <c:v>45597</c:v>
                </c:pt>
                <c:pt idx="24">
                  <c:v>45600</c:v>
                </c:pt>
                <c:pt idx="25">
                  <c:v>45601</c:v>
                </c:pt>
                <c:pt idx="26">
                  <c:v>45602</c:v>
                </c:pt>
                <c:pt idx="27">
                  <c:v>45603</c:v>
                </c:pt>
                <c:pt idx="28">
                  <c:v>45604</c:v>
                </c:pt>
                <c:pt idx="29">
                  <c:v>45607</c:v>
                </c:pt>
                <c:pt idx="30">
                  <c:v>45608</c:v>
                </c:pt>
                <c:pt idx="31">
                  <c:v>45609</c:v>
                </c:pt>
                <c:pt idx="32">
                  <c:v>45610</c:v>
                </c:pt>
                <c:pt idx="33">
                  <c:v>45611</c:v>
                </c:pt>
                <c:pt idx="34">
                  <c:v>45614</c:v>
                </c:pt>
                <c:pt idx="35">
                  <c:v>45615</c:v>
                </c:pt>
                <c:pt idx="36">
                  <c:v>45616</c:v>
                </c:pt>
                <c:pt idx="37">
                  <c:v>45617</c:v>
                </c:pt>
                <c:pt idx="38">
                  <c:v>45618</c:v>
                </c:pt>
                <c:pt idx="39">
                  <c:v>45621</c:v>
                </c:pt>
                <c:pt idx="40">
                  <c:v>45622</c:v>
                </c:pt>
                <c:pt idx="41">
                  <c:v>45623</c:v>
                </c:pt>
                <c:pt idx="42">
                  <c:v>45624</c:v>
                </c:pt>
                <c:pt idx="43">
                  <c:v>45625</c:v>
                </c:pt>
                <c:pt idx="44">
                  <c:v>45628</c:v>
                </c:pt>
                <c:pt idx="45">
                  <c:v>45629</c:v>
                </c:pt>
                <c:pt idx="46">
                  <c:v>45630</c:v>
                </c:pt>
                <c:pt idx="47">
                  <c:v>45631</c:v>
                </c:pt>
                <c:pt idx="48">
                  <c:v>45632</c:v>
                </c:pt>
                <c:pt idx="49">
                  <c:v>45635</c:v>
                </c:pt>
                <c:pt idx="50">
                  <c:v>45636</c:v>
                </c:pt>
                <c:pt idx="51">
                  <c:v>45637</c:v>
                </c:pt>
                <c:pt idx="52">
                  <c:v>45638</c:v>
                </c:pt>
                <c:pt idx="53">
                  <c:v>45639</c:v>
                </c:pt>
                <c:pt idx="54">
                  <c:v>45642</c:v>
                </c:pt>
                <c:pt idx="55">
                  <c:v>45643</c:v>
                </c:pt>
                <c:pt idx="56">
                  <c:v>45644</c:v>
                </c:pt>
                <c:pt idx="57">
                  <c:v>45645</c:v>
                </c:pt>
                <c:pt idx="58">
                  <c:v>45646</c:v>
                </c:pt>
                <c:pt idx="59">
                  <c:v>45649</c:v>
                </c:pt>
                <c:pt idx="60">
                  <c:v>45650</c:v>
                </c:pt>
                <c:pt idx="61">
                  <c:v>45651</c:v>
                </c:pt>
                <c:pt idx="62">
                  <c:v>45652</c:v>
                </c:pt>
                <c:pt idx="63">
                  <c:v>45653</c:v>
                </c:pt>
                <c:pt idx="64">
                  <c:v>45656</c:v>
                </c:pt>
                <c:pt idx="65">
                  <c:v>45657</c:v>
                </c:pt>
                <c:pt idx="66">
                  <c:v>45658</c:v>
                </c:pt>
                <c:pt idx="67">
                  <c:v>45659</c:v>
                </c:pt>
                <c:pt idx="68">
                  <c:v>45660</c:v>
                </c:pt>
                <c:pt idx="69">
                  <c:v>45663</c:v>
                </c:pt>
                <c:pt idx="70">
                  <c:v>45664</c:v>
                </c:pt>
                <c:pt idx="71">
                  <c:v>45665</c:v>
                </c:pt>
                <c:pt idx="72">
                  <c:v>45666</c:v>
                </c:pt>
                <c:pt idx="73">
                  <c:v>45667</c:v>
                </c:pt>
                <c:pt idx="74">
                  <c:v>45670</c:v>
                </c:pt>
                <c:pt idx="75">
                  <c:v>45671</c:v>
                </c:pt>
                <c:pt idx="76">
                  <c:v>45672</c:v>
                </c:pt>
                <c:pt idx="77">
                  <c:v>45673</c:v>
                </c:pt>
                <c:pt idx="78">
                  <c:v>45674</c:v>
                </c:pt>
                <c:pt idx="79">
                  <c:v>45677</c:v>
                </c:pt>
                <c:pt idx="80">
                  <c:v>45678</c:v>
                </c:pt>
                <c:pt idx="81">
                  <c:v>45679</c:v>
                </c:pt>
                <c:pt idx="82">
                  <c:v>45680</c:v>
                </c:pt>
                <c:pt idx="83">
                  <c:v>45681</c:v>
                </c:pt>
                <c:pt idx="84">
                  <c:v>45684</c:v>
                </c:pt>
                <c:pt idx="85">
                  <c:v>45685</c:v>
                </c:pt>
                <c:pt idx="86">
                  <c:v>45686</c:v>
                </c:pt>
                <c:pt idx="87">
                  <c:v>45687</c:v>
                </c:pt>
                <c:pt idx="88">
                  <c:v>45688</c:v>
                </c:pt>
                <c:pt idx="89">
                  <c:v>45691</c:v>
                </c:pt>
                <c:pt idx="90">
                  <c:v>45692</c:v>
                </c:pt>
                <c:pt idx="91">
                  <c:v>45693</c:v>
                </c:pt>
                <c:pt idx="92">
                  <c:v>45694</c:v>
                </c:pt>
                <c:pt idx="93">
                  <c:v>45695</c:v>
                </c:pt>
                <c:pt idx="94">
                  <c:v>45698</c:v>
                </c:pt>
                <c:pt idx="95">
                  <c:v>45699</c:v>
                </c:pt>
                <c:pt idx="96">
                  <c:v>45700</c:v>
                </c:pt>
                <c:pt idx="97">
                  <c:v>45701</c:v>
                </c:pt>
                <c:pt idx="98">
                  <c:v>45702</c:v>
                </c:pt>
                <c:pt idx="99">
                  <c:v>45705</c:v>
                </c:pt>
                <c:pt idx="100">
                  <c:v>45706</c:v>
                </c:pt>
                <c:pt idx="101">
                  <c:v>45707</c:v>
                </c:pt>
                <c:pt idx="102">
                  <c:v>45708</c:v>
                </c:pt>
                <c:pt idx="103">
                  <c:v>45709</c:v>
                </c:pt>
                <c:pt idx="104">
                  <c:v>45712</c:v>
                </c:pt>
                <c:pt idx="105">
                  <c:v>45713</c:v>
                </c:pt>
                <c:pt idx="106">
                  <c:v>45714</c:v>
                </c:pt>
                <c:pt idx="107">
                  <c:v>45715</c:v>
                </c:pt>
                <c:pt idx="108">
                  <c:v>45716</c:v>
                </c:pt>
                <c:pt idx="109">
                  <c:v>45719</c:v>
                </c:pt>
                <c:pt idx="110">
                  <c:v>45720</c:v>
                </c:pt>
                <c:pt idx="111">
                  <c:v>45721</c:v>
                </c:pt>
                <c:pt idx="112">
                  <c:v>45722</c:v>
                </c:pt>
                <c:pt idx="113">
                  <c:v>45723</c:v>
                </c:pt>
                <c:pt idx="114">
                  <c:v>45726</c:v>
                </c:pt>
                <c:pt idx="115">
                  <c:v>45727</c:v>
                </c:pt>
                <c:pt idx="116">
                  <c:v>45728</c:v>
                </c:pt>
                <c:pt idx="117">
                  <c:v>45729</c:v>
                </c:pt>
                <c:pt idx="118">
                  <c:v>45730</c:v>
                </c:pt>
                <c:pt idx="119">
                  <c:v>45733</c:v>
                </c:pt>
                <c:pt idx="120">
                  <c:v>45734</c:v>
                </c:pt>
                <c:pt idx="121">
                  <c:v>45735</c:v>
                </c:pt>
                <c:pt idx="122">
                  <c:v>45736</c:v>
                </c:pt>
                <c:pt idx="123">
                  <c:v>45737</c:v>
                </c:pt>
                <c:pt idx="124">
                  <c:v>45740</c:v>
                </c:pt>
                <c:pt idx="125">
                  <c:v>45741</c:v>
                </c:pt>
                <c:pt idx="126">
                  <c:v>45742</c:v>
                </c:pt>
                <c:pt idx="127">
                  <c:v>45743</c:v>
                </c:pt>
                <c:pt idx="128">
                  <c:v>45744</c:v>
                </c:pt>
                <c:pt idx="129">
                  <c:v>45747</c:v>
                </c:pt>
                <c:pt idx="130">
                  <c:v>45748</c:v>
                </c:pt>
                <c:pt idx="131">
                  <c:v>45749</c:v>
                </c:pt>
                <c:pt idx="132">
                  <c:v>45750</c:v>
                </c:pt>
                <c:pt idx="133">
                  <c:v>45751</c:v>
                </c:pt>
                <c:pt idx="134">
                  <c:v>45754</c:v>
                </c:pt>
                <c:pt idx="135">
                  <c:v>45755</c:v>
                </c:pt>
                <c:pt idx="136">
                  <c:v>45756</c:v>
                </c:pt>
                <c:pt idx="137">
                  <c:v>45757</c:v>
                </c:pt>
                <c:pt idx="138">
                  <c:v>45758</c:v>
                </c:pt>
                <c:pt idx="139">
                  <c:v>45761</c:v>
                </c:pt>
                <c:pt idx="140">
                  <c:v>45762</c:v>
                </c:pt>
                <c:pt idx="141">
                  <c:v>45763</c:v>
                </c:pt>
                <c:pt idx="142">
                  <c:v>45764</c:v>
                </c:pt>
                <c:pt idx="143">
                  <c:v>45765</c:v>
                </c:pt>
                <c:pt idx="144">
                  <c:v>45768</c:v>
                </c:pt>
                <c:pt idx="145">
                  <c:v>45769</c:v>
                </c:pt>
                <c:pt idx="146">
                  <c:v>45770</c:v>
                </c:pt>
                <c:pt idx="147">
                  <c:v>45771</c:v>
                </c:pt>
                <c:pt idx="148">
                  <c:v>45772</c:v>
                </c:pt>
                <c:pt idx="149">
                  <c:v>45775</c:v>
                </c:pt>
                <c:pt idx="150">
                  <c:v>45776</c:v>
                </c:pt>
                <c:pt idx="151">
                  <c:v>45777</c:v>
                </c:pt>
                <c:pt idx="152">
                  <c:v>45778</c:v>
                </c:pt>
                <c:pt idx="153">
                  <c:v>45779</c:v>
                </c:pt>
                <c:pt idx="154">
                  <c:v>45782</c:v>
                </c:pt>
                <c:pt idx="155">
                  <c:v>45783</c:v>
                </c:pt>
                <c:pt idx="156">
                  <c:v>45784</c:v>
                </c:pt>
                <c:pt idx="157">
                  <c:v>45785</c:v>
                </c:pt>
                <c:pt idx="158">
                  <c:v>45786</c:v>
                </c:pt>
                <c:pt idx="159">
                  <c:v>45789</c:v>
                </c:pt>
                <c:pt idx="160">
                  <c:v>45790</c:v>
                </c:pt>
                <c:pt idx="161">
                  <c:v>45791</c:v>
                </c:pt>
                <c:pt idx="162">
                  <c:v>45792</c:v>
                </c:pt>
                <c:pt idx="163">
                  <c:v>45793</c:v>
                </c:pt>
                <c:pt idx="164">
                  <c:v>45796</c:v>
                </c:pt>
                <c:pt idx="165">
                  <c:v>45797</c:v>
                </c:pt>
                <c:pt idx="166">
                  <c:v>45798</c:v>
                </c:pt>
                <c:pt idx="167">
                  <c:v>45799</c:v>
                </c:pt>
                <c:pt idx="168">
                  <c:v>45800</c:v>
                </c:pt>
                <c:pt idx="169">
                  <c:v>45803</c:v>
                </c:pt>
                <c:pt idx="170">
                  <c:v>45804</c:v>
                </c:pt>
                <c:pt idx="171">
                  <c:v>45805</c:v>
                </c:pt>
                <c:pt idx="172">
                  <c:v>45806</c:v>
                </c:pt>
                <c:pt idx="173">
                  <c:v>45807</c:v>
                </c:pt>
                <c:pt idx="174">
                  <c:v>45810</c:v>
                </c:pt>
                <c:pt idx="175">
                  <c:v>45811</c:v>
                </c:pt>
                <c:pt idx="176">
                  <c:v>45812</c:v>
                </c:pt>
                <c:pt idx="177">
                  <c:v>45813</c:v>
                </c:pt>
                <c:pt idx="178">
                  <c:v>45814</c:v>
                </c:pt>
                <c:pt idx="179">
                  <c:v>45817</c:v>
                </c:pt>
                <c:pt idx="180">
                  <c:v>45818</c:v>
                </c:pt>
                <c:pt idx="181">
                  <c:v>45819</c:v>
                </c:pt>
                <c:pt idx="182">
                  <c:v>45820</c:v>
                </c:pt>
                <c:pt idx="183">
                  <c:v>45821</c:v>
                </c:pt>
                <c:pt idx="184">
                  <c:v>45824</c:v>
                </c:pt>
                <c:pt idx="185">
                  <c:v>45825</c:v>
                </c:pt>
                <c:pt idx="186">
                  <c:v>45826</c:v>
                </c:pt>
                <c:pt idx="187">
                  <c:v>45827</c:v>
                </c:pt>
                <c:pt idx="188">
                  <c:v>45828</c:v>
                </c:pt>
                <c:pt idx="189">
                  <c:v>45831</c:v>
                </c:pt>
                <c:pt idx="190">
                  <c:v>45832</c:v>
                </c:pt>
                <c:pt idx="191">
                  <c:v>45833</c:v>
                </c:pt>
                <c:pt idx="192">
                  <c:v>45834</c:v>
                </c:pt>
                <c:pt idx="193">
                  <c:v>45835</c:v>
                </c:pt>
                <c:pt idx="194">
                  <c:v>45838</c:v>
                </c:pt>
                <c:pt idx="195">
                  <c:v>45839</c:v>
                </c:pt>
                <c:pt idx="196">
                  <c:v>45840</c:v>
                </c:pt>
                <c:pt idx="197">
                  <c:v>45841</c:v>
                </c:pt>
                <c:pt idx="198">
                  <c:v>45842</c:v>
                </c:pt>
                <c:pt idx="199">
                  <c:v>45845</c:v>
                </c:pt>
                <c:pt idx="200">
                  <c:v>45846</c:v>
                </c:pt>
                <c:pt idx="201">
                  <c:v>45847</c:v>
                </c:pt>
                <c:pt idx="202">
                  <c:v>45848</c:v>
                </c:pt>
                <c:pt idx="203">
                  <c:v>45849</c:v>
                </c:pt>
                <c:pt idx="204">
                  <c:v>45852</c:v>
                </c:pt>
                <c:pt idx="205">
                  <c:v>45853</c:v>
                </c:pt>
                <c:pt idx="206">
                  <c:v>45854</c:v>
                </c:pt>
                <c:pt idx="207">
                  <c:v>45855</c:v>
                </c:pt>
                <c:pt idx="208">
                  <c:v>45856</c:v>
                </c:pt>
                <c:pt idx="209">
                  <c:v>45859</c:v>
                </c:pt>
                <c:pt idx="210">
                  <c:v>45860</c:v>
                </c:pt>
                <c:pt idx="211">
                  <c:v>45861</c:v>
                </c:pt>
                <c:pt idx="212">
                  <c:v>45862</c:v>
                </c:pt>
                <c:pt idx="213">
                  <c:v>45863</c:v>
                </c:pt>
                <c:pt idx="214">
                  <c:v>45866</c:v>
                </c:pt>
                <c:pt idx="215">
                  <c:v>45867</c:v>
                </c:pt>
                <c:pt idx="216">
                  <c:v>45868</c:v>
                </c:pt>
                <c:pt idx="217">
                  <c:v>45869</c:v>
                </c:pt>
                <c:pt idx="218">
                  <c:v>45870</c:v>
                </c:pt>
                <c:pt idx="219">
                  <c:v>45873</c:v>
                </c:pt>
                <c:pt idx="220">
                  <c:v>45874</c:v>
                </c:pt>
                <c:pt idx="221">
                  <c:v>45875</c:v>
                </c:pt>
                <c:pt idx="222">
                  <c:v>45876</c:v>
                </c:pt>
                <c:pt idx="223">
                  <c:v>45877</c:v>
                </c:pt>
                <c:pt idx="224">
                  <c:v>45880</c:v>
                </c:pt>
                <c:pt idx="225">
                  <c:v>45881</c:v>
                </c:pt>
                <c:pt idx="226">
                  <c:v>45882</c:v>
                </c:pt>
                <c:pt idx="227">
                  <c:v>45883</c:v>
                </c:pt>
                <c:pt idx="228">
                  <c:v>45884</c:v>
                </c:pt>
                <c:pt idx="229">
                  <c:v>45887</c:v>
                </c:pt>
                <c:pt idx="230">
                  <c:v>45888</c:v>
                </c:pt>
                <c:pt idx="231">
                  <c:v>45889</c:v>
                </c:pt>
                <c:pt idx="232">
                  <c:v>45890</c:v>
                </c:pt>
                <c:pt idx="233">
                  <c:v>45891</c:v>
                </c:pt>
                <c:pt idx="234">
                  <c:v>45894</c:v>
                </c:pt>
                <c:pt idx="235">
                  <c:v>45895</c:v>
                </c:pt>
                <c:pt idx="236">
                  <c:v>45896</c:v>
                </c:pt>
                <c:pt idx="237">
                  <c:v>45897</c:v>
                </c:pt>
                <c:pt idx="238">
                  <c:v>45898</c:v>
                </c:pt>
                <c:pt idx="239">
                  <c:v>45901</c:v>
                </c:pt>
                <c:pt idx="240">
                  <c:v>45902</c:v>
                </c:pt>
                <c:pt idx="241">
                  <c:v>45903</c:v>
                </c:pt>
                <c:pt idx="242">
                  <c:v>45904</c:v>
                </c:pt>
                <c:pt idx="243">
                  <c:v>45905</c:v>
                </c:pt>
                <c:pt idx="244">
                  <c:v>45908</c:v>
                </c:pt>
                <c:pt idx="245">
                  <c:v>45909</c:v>
                </c:pt>
                <c:pt idx="246">
                  <c:v>45910</c:v>
                </c:pt>
                <c:pt idx="247">
                  <c:v>45911</c:v>
                </c:pt>
                <c:pt idx="248">
                  <c:v>45912</c:v>
                </c:pt>
                <c:pt idx="249">
                  <c:v>45915</c:v>
                </c:pt>
                <c:pt idx="250">
                  <c:v>45916</c:v>
                </c:pt>
                <c:pt idx="251">
                  <c:v>45917</c:v>
                </c:pt>
                <c:pt idx="252">
                  <c:v>45918</c:v>
                </c:pt>
                <c:pt idx="253">
                  <c:v>45919</c:v>
                </c:pt>
                <c:pt idx="254">
                  <c:v>45922</c:v>
                </c:pt>
                <c:pt idx="255">
                  <c:v>45923</c:v>
                </c:pt>
                <c:pt idx="256">
                  <c:v>45924</c:v>
                </c:pt>
                <c:pt idx="257">
                  <c:v>45925</c:v>
                </c:pt>
                <c:pt idx="258">
                  <c:v>45926</c:v>
                </c:pt>
                <c:pt idx="259">
                  <c:v>45929</c:v>
                </c:pt>
                <c:pt idx="260">
                  <c:v>45930</c:v>
                </c:pt>
                <c:pt idx="261">
                  <c:v>45931</c:v>
                </c:pt>
                <c:pt idx="262">
                  <c:v>45932</c:v>
                </c:pt>
                <c:pt idx="263">
                  <c:v>45933</c:v>
                </c:pt>
                <c:pt idx="264">
                  <c:v>45936</c:v>
                </c:pt>
                <c:pt idx="265">
                  <c:v>45937</c:v>
                </c:pt>
                <c:pt idx="266">
                  <c:v>45938</c:v>
                </c:pt>
                <c:pt idx="267">
                  <c:v>45939</c:v>
                </c:pt>
                <c:pt idx="268">
                  <c:v>45940</c:v>
                </c:pt>
                <c:pt idx="269">
                  <c:v>45943</c:v>
                </c:pt>
                <c:pt idx="270">
                  <c:v>45944</c:v>
                </c:pt>
                <c:pt idx="271">
                  <c:v>45945</c:v>
                </c:pt>
                <c:pt idx="272">
                  <c:v>45946</c:v>
                </c:pt>
                <c:pt idx="273">
                  <c:v>45947</c:v>
                </c:pt>
                <c:pt idx="274">
                  <c:v>45950</c:v>
                </c:pt>
              </c:numCache>
            </c:numRef>
          </c:cat>
          <c:val>
            <c:numRef>
              <c:f>'ΣΤΟΙΧΕΙΑ ΓΙΑ ΠΡΟΥΠ '!$H$2032:$H$2563</c:f>
              <c:numCache>
                <c:formatCode>General</c:formatCode>
                <c:ptCount val="275"/>
                <c:pt idx="0">
                  <c:v>2.831</c:v>
                </c:pt>
                <c:pt idx="1">
                  <c:v>2.8820000000000001</c:v>
                </c:pt>
                <c:pt idx="2">
                  <c:v>2.9289999999999998</c:v>
                </c:pt>
                <c:pt idx="3">
                  <c:v>2.964</c:v>
                </c:pt>
                <c:pt idx="4">
                  <c:v>3.0190000000000001</c:v>
                </c:pt>
                <c:pt idx="5">
                  <c:v>2.988</c:v>
                </c:pt>
                <c:pt idx="6">
                  <c:v>3.0089999999999999</c:v>
                </c:pt>
                <c:pt idx="7">
                  <c:v>2.9889999999999999</c:v>
                </c:pt>
                <c:pt idx="8">
                  <c:v>3.012</c:v>
                </c:pt>
                <c:pt idx="9">
                  <c:v>3.008</c:v>
                </c:pt>
                <c:pt idx="10">
                  <c:v>2.9390000000000001</c:v>
                </c:pt>
                <c:pt idx="11">
                  <c:v>2.9020000000000001</c:v>
                </c:pt>
                <c:pt idx="12">
                  <c:v>2.9129999999999998</c:v>
                </c:pt>
                <c:pt idx="13">
                  <c:v>2.871</c:v>
                </c:pt>
                <c:pt idx="14">
                  <c:v>2.9990000000000001</c:v>
                </c:pt>
                <c:pt idx="15">
                  <c:v>3.0339999999999998</c:v>
                </c:pt>
                <c:pt idx="16">
                  <c:v>3.0019999999999998</c:v>
                </c:pt>
                <c:pt idx="17">
                  <c:v>2.956</c:v>
                </c:pt>
                <c:pt idx="18">
                  <c:v>2.9950000000000001</c:v>
                </c:pt>
                <c:pt idx="19">
                  <c:v>2.9790000000000001</c:v>
                </c:pt>
                <c:pt idx="20">
                  <c:v>3.0339999999999998</c:v>
                </c:pt>
                <c:pt idx="21">
                  <c:v>3.0950000000000002</c:v>
                </c:pt>
                <c:pt idx="22">
                  <c:v>3.0920000000000001</c:v>
                </c:pt>
                <c:pt idx="23">
                  <c:v>3.1190000000000002</c:v>
                </c:pt>
                <c:pt idx="24">
                  <c:v>3.101</c:v>
                </c:pt>
                <c:pt idx="25">
                  <c:v>3.1259999999999999</c:v>
                </c:pt>
                <c:pt idx="26">
                  <c:v>3.15</c:v>
                </c:pt>
                <c:pt idx="27">
                  <c:v>3.1760000000000002</c:v>
                </c:pt>
                <c:pt idx="28">
                  <c:v>3.1040000000000001</c:v>
                </c:pt>
                <c:pt idx="29">
                  <c:v>3.0590000000000002</c:v>
                </c:pt>
                <c:pt idx="30">
                  <c:v>3.113</c:v>
                </c:pt>
                <c:pt idx="31">
                  <c:v>3.113</c:v>
                </c:pt>
                <c:pt idx="32">
                  <c:v>3.0459999999999998</c:v>
                </c:pt>
                <c:pt idx="33">
                  <c:v>3.0550000000000002</c:v>
                </c:pt>
                <c:pt idx="34">
                  <c:v>3.0680000000000001</c:v>
                </c:pt>
                <c:pt idx="35">
                  <c:v>3.0419999999999998</c:v>
                </c:pt>
                <c:pt idx="36">
                  <c:v>3.06</c:v>
                </c:pt>
                <c:pt idx="37">
                  <c:v>3.04</c:v>
                </c:pt>
                <c:pt idx="38">
                  <c:v>2.9710000000000001</c:v>
                </c:pt>
                <c:pt idx="39">
                  <c:v>2.9380000000000002</c:v>
                </c:pt>
                <c:pt idx="40">
                  <c:v>2.9390000000000001</c:v>
                </c:pt>
                <c:pt idx="41">
                  <c:v>2.895</c:v>
                </c:pt>
                <c:pt idx="42">
                  <c:v>2.8410000000000002</c:v>
                </c:pt>
                <c:pt idx="43">
                  <c:v>2.79</c:v>
                </c:pt>
                <c:pt idx="44">
                  <c:v>2.766</c:v>
                </c:pt>
                <c:pt idx="45">
                  <c:v>2.76</c:v>
                </c:pt>
                <c:pt idx="46">
                  <c:v>2.758</c:v>
                </c:pt>
                <c:pt idx="47">
                  <c:v>2.7629999999999999</c:v>
                </c:pt>
                <c:pt idx="48">
                  <c:v>2.7570000000000001</c:v>
                </c:pt>
                <c:pt idx="49">
                  <c:v>2.7589999999999999</c:v>
                </c:pt>
                <c:pt idx="50">
                  <c:v>2.766</c:v>
                </c:pt>
                <c:pt idx="51">
                  <c:v>2.758</c:v>
                </c:pt>
                <c:pt idx="52">
                  <c:v>2.8730000000000002</c:v>
                </c:pt>
                <c:pt idx="53">
                  <c:v>2.923</c:v>
                </c:pt>
                <c:pt idx="54">
                  <c:v>2.9350000000000001</c:v>
                </c:pt>
                <c:pt idx="55">
                  <c:v>2.9239999999999999</c:v>
                </c:pt>
                <c:pt idx="56">
                  <c:v>2.9369999999999998</c:v>
                </c:pt>
                <c:pt idx="57">
                  <c:v>3.004</c:v>
                </c:pt>
                <c:pt idx="58">
                  <c:v>2.9740000000000002</c:v>
                </c:pt>
                <c:pt idx="59">
                  <c:v>3.02</c:v>
                </c:pt>
                <c:pt idx="60">
                  <c:v>3.02</c:v>
                </c:pt>
                <c:pt idx="61">
                  <c:v>3.02</c:v>
                </c:pt>
                <c:pt idx="62">
                  <c:v>3.02</c:v>
                </c:pt>
                <c:pt idx="63">
                  <c:v>3.08</c:v>
                </c:pt>
                <c:pt idx="64">
                  <c:v>3.0569999999999999</c:v>
                </c:pt>
                <c:pt idx="65">
                  <c:v>3.0569999999999999</c:v>
                </c:pt>
                <c:pt idx="66">
                  <c:v>3.0569999999999999</c:v>
                </c:pt>
                <c:pt idx="67">
                  <c:v>3.07</c:v>
                </c:pt>
                <c:pt idx="68">
                  <c:v>3.1059999999999999</c:v>
                </c:pt>
                <c:pt idx="69">
                  <c:v>3.1019999999999999</c:v>
                </c:pt>
                <c:pt idx="70">
                  <c:v>3.1440000000000001</c:v>
                </c:pt>
                <c:pt idx="71">
                  <c:v>3.1920000000000002</c:v>
                </c:pt>
                <c:pt idx="72">
                  <c:v>3.2250000000000001</c:v>
                </c:pt>
                <c:pt idx="73">
                  <c:v>3.2629999999999999</c:v>
                </c:pt>
                <c:pt idx="74">
                  <c:v>3.3050000000000002</c:v>
                </c:pt>
                <c:pt idx="75">
                  <c:v>3.3260000000000001</c:v>
                </c:pt>
                <c:pt idx="76">
                  <c:v>3.2080000000000002</c:v>
                </c:pt>
                <c:pt idx="77">
                  <c:v>3.1829999999999998</c:v>
                </c:pt>
                <c:pt idx="78">
                  <c:v>3.1709999999999998</c:v>
                </c:pt>
                <c:pt idx="79">
                  <c:v>3.1589999999999998</c:v>
                </c:pt>
                <c:pt idx="80">
                  <c:v>3.14</c:v>
                </c:pt>
                <c:pt idx="81">
                  <c:v>3.1469999999999998</c:v>
                </c:pt>
                <c:pt idx="82">
                  <c:v>3.181</c:v>
                </c:pt>
                <c:pt idx="83">
                  <c:v>3.1840000000000002</c:v>
                </c:pt>
                <c:pt idx="84">
                  <c:v>3.1539999999999999</c:v>
                </c:pt>
                <c:pt idx="85">
                  <c:v>3.1749999999999998</c:v>
                </c:pt>
                <c:pt idx="86">
                  <c:v>3.1819999999999999</c:v>
                </c:pt>
                <c:pt idx="87">
                  <c:v>3.1179999999999999</c:v>
                </c:pt>
                <c:pt idx="88">
                  <c:v>3.0659999999999998</c:v>
                </c:pt>
                <c:pt idx="89">
                  <c:v>3.0019999999999998</c:v>
                </c:pt>
                <c:pt idx="90">
                  <c:v>3.012</c:v>
                </c:pt>
                <c:pt idx="91">
                  <c:v>2.984</c:v>
                </c:pt>
                <c:pt idx="92">
                  <c:v>2.9870000000000001</c:v>
                </c:pt>
                <c:pt idx="93">
                  <c:v>2.9980000000000002</c:v>
                </c:pt>
                <c:pt idx="94">
                  <c:v>2.9849999999999999</c:v>
                </c:pt>
                <c:pt idx="95">
                  <c:v>3.06</c:v>
                </c:pt>
                <c:pt idx="96">
                  <c:v>3.097</c:v>
                </c:pt>
                <c:pt idx="97">
                  <c:v>3.0289999999999999</c:v>
                </c:pt>
                <c:pt idx="98">
                  <c:v>3.0579999999999998</c:v>
                </c:pt>
                <c:pt idx="99">
                  <c:v>3.0979999999999999</c:v>
                </c:pt>
                <c:pt idx="100">
                  <c:v>3.097</c:v>
                </c:pt>
                <c:pt idx="101">
                  <c:v>3.1760000000000002</c:v>
                </c:pt>
                <c:pt idx="102">
                  <c:v>3.153</c:v>
                </c:pt>
                <c:pt idx="103">
                  <c:v>3.093</c:v>
                </c:pt>
                <c:pt idx="104">
                  <c:v>3.11</c:v>
                </c:pt>
                <c:pt idx="105">
                  <c:v>3.0819999999999999</c:v>
                </c:pt>
                <c:pt idx="106">
                  <c:v>3.044</c:v>
                </c:pt>
                <c:pt idx="107">
                  <c:v>3.044</c:v>
                </c:pt>
                <c:pt idx="108">
                  <c:v>3.044</c:v>
                </c:pt>
                <c:pt idx="109">
                  <c:v>3.1059999999999999</c:v>
                </c:pt>
                <c:pt idx="110">
                  <c:v>3.1280000000000001</c:v>
                </c:pt>
                <c:pt idx="111">
                  <c:v>3.3969999999999998</c:v>
                </c:pt>
                <c:pt idx="112">
                  <c:v>3.448</c:v>
                </c:pt>
                <c:pt idx="113">
                  <c:v>3.4950000000000001</c:v>
                </c:pt>
                <c:pt idx="114">
                  <c:v>3.4849999999999999</c:v>
                </c:pt>
                <c:pt idx="115">
                  <c:v>3.524</c:v>
                </c:pt>
                <c:pt idx="116">
                  <c:v>3.4940000000000002</c:v>
                </c:pt>
                <c:pt idx="117">
                  <c:v>3.4980000000000002</c:v>
                </c:pt>
                <c:pt idx="118">
                  <c:v>3.5</c:v>
                </c:pt>
                <c:pt idx="119">
                  <c:v>3.4340000000000002</c:v>
                </c:pt>
                <c:pt idx="120">
                  <c:v>3.4350000000000001</c:v>
                </c:pt>
                <c:pt idx="121">
                  <c:v>3.4239999999999999</c:v>
                </c:pt>
                <c:pt idx="122">
                  <c:v>3.4239999999999999</c:v>
                </c:pt>
                <c:pt idx="123">
                  <c:v>3.4060000000000001</c:v>
                </c:pt>
                <c:pt idx="124">
                  <c:v>3.4</c:v>
                </c:pt>
                <c:pt idx="125">
                  <c:v>3.42</c:v>
                </c:pt>
                <c:pt idx="126">
                  <c:v>3.419</c:v>
                </c:pt>
                <c:pt idx="127">
                  <c:v>3.395</c:v>
                </c:pt>
                <c:pt idx="128">
                  <c:v>3.36</c:v>
                </c:pt>
                <c:pt idx="129">
                  <c:v>3.371</c:v>
                </c:pt>
                <c:pt idx="130">
                  <c:v>3.3140000000000001</c:v>
                </c:pt>
                <c:pt idx="131">
                  <c:v>3.3439999999999999</c:v>
                </c:pt>
                <c:pt idx="132">
                  <c:v>3.3029999999999999</c:v>
                </c:pt>
                <c:pt idx="133">
                  <c:v>3.2719999999999998</c:v>
                </c:pt>
                <c:pt idx="134">
                  <c:v>3.3420000000000001</c:v>
                </c:pt>
                <c:pt idx="135">
                  <c:v>3.3460000000000001</c:v>
                </c:pt>
                <c:pt idx="136">
                  <c:v>3.3479999999999999</c:v>
                </c:pt>
                <c:pt idx="137">
                  <c:v>3.3119999999999998</c:v>
                </c:pt>
                <c:pt idx="138">
                  <c:v>3.2970000000000002</c:v>
                </c:pt>
                <c:pt idx="139">
                  <c:v>3.21</c:v>
                </c:pt>
                <c:pt idx="140">
                  <c:v>3.2389999999999999</c:v>
                </c:pt>
                <c:pt idx="141">
                  <c:v>3.2080000000000002</c:v>
                </c:pt>
                <c:pt idx="142">
                  <c:v>3.169</c:v>
                </c:pt>
                <c:pt idx="143">
                  <c:v>3.169</c:v>
                </c:pt>
                <c:pt idx="144">
                  <c:v>3.169</c:v>
                </c:pt>
                <c:pt idx="145">
                  <c:v>3.1379999999999999</c:v>
                </c:pt>
                <c:pt idx="146">
                  <c:v>3.1659999999999999</c:v>
                </c:pt>
                <c:pt idx="147">
                  <c:v>3.09</c:v>
                </c:pt>
                <c:pt idx="148">
                  <c:v>3.121</c:v>
                </c:pt>
                <c:pt idx="149">
                  <c:v>3.18</c:v>
                </c:pt>
                <c:pt idx="150">
                  <c:v>3.1619999999999999</c:v>
                </c:pt>
                <c:pt idx="151">
                  <c:v>3.1120000000000001</c:v>
                </c:pt>
                <c:pt idx="152">
                  <c:v>3.1120000000000001</c:v>
                </c:pt>
                <c:pt idx="153">
                  <c:v>3.1890000000000001</c:v>
                </c:pt>
                <c:pt idx="154">
                  <c:v>3.1669999999999998</c:v>
                </c:pt>
                <c:pt idx="155">
                  <c:v>3.1909999999999998</c:v>
                </c:pt>
                <c:pt idx="156">
                  <c:v>3.1280000000000001</c:v>
                </c:pt>
                <c:pt idx="157">
                  <c:v>3.1739999999999999</c:v>
                </c:pt>
                <c:pt idx="158">
                  <c:v>3.2050000000000001</c:v>
                </c:pt>
                <c:pt idx="159">
                  <c:v>3.2719999999999998</c:v>
                </c:pt>
                <c:pt idx="160">
                  <c:v>3.2970000000000002</c:v>
                </c:pt>
                <c:pt idx="161">
                  <c:v>3.3159999999999998</c:v>
                </c:pt>
                <c:pt idx="162">
                  <c:v>3.2349999999999999</c:v>
                </c:pt>
                <c:pt idx="163">
                  <c:v>3.2109999999999999</c:v>
                </c:pt>
                <c:pt idx="164">
                  <c:v>3.21</c:v>
                </c:pt>
                <c:pt idx="165">
                  <c:v>3.2170000000000001</c:v>
                </c:pt>
                <c:pt idx="166">
                  <c:v>3.2610000000000001</c:v>
                </c:pt>
                <c:pt idx="167">
                  <c:v>3.2570000000000001</c:v>
                </c:pt>
                <c:pt idx="168">
                  <c:v>3.19</c:v>
                </c:pt>
                <c:pt idx="169">
                  <c:v>3.1760000000000002</c:v>
                </c:pt>
                <c:pt idx="170">
                  <c:v>3.1339999999999999</c:v>
                </c:pt>
                <c:pt idx="171">
                  <c:v>3.1539999999999999</c:v>
                </c:pt>
                <c:pt idx="172">
                  <c:v>3.109</c:v>
                </c:pt>
                <c:pt idx="173">
                  <c:v>3.09</c:v>
                </c:pt>
                <c:pt idx="174">
                  <c:v>3.1059999999999999</c:v>
                </c:pt>
                <c:pt idx="175">
                  <c:v>3.1070000000000002</c:v>
                </c:pt>
                <c:pt idx="176">
                  <c:v>3.1160000000000001</c:v>
                </c:pt>
                <c:pt idx="177">
                  <c:v>3.157</c:v>
                </c:pt>
                <c:pt idx="178">
                  <c:v>3.1509999999999998</c:v>
                </c:pt>
                <c:pt idx="179">
                  <c:v>3.1429999999999998</c:v>
                </c:pt>
                <c:pt idx="180">
                  <c:v>3.097</c:v>
                </c:pt>
                <c:pt idx="181">
                  <c:v>3.117</c:v>
                </c:pt>
                <c:pt idx="182">
                  <c:v>3.0760000000000001</c:v>
                </c:pt>
                <c:pt idx="183">
                  <c:v>3.157</c:v>
                </c:pt>
                <c:pt idx="184">
                  <c:v>3.1419999999999999</c:v>
                </c:pt>
                <c:pt idx="185">
                  <c:v>3.1640000000000001</c:v>
                </c:pt>
                <c:pt idx="186">
                  <c:v>3.1259999999999999</c:v>
                </c:pt>
                <c:pt idx="187">
                  <c:v>3.1760000000000002</c:v>
                </c:pt>
                <c:pt idx="188">
                  <c:v>3.2149999999999999</c:v>
                </c:pt>
                <c:pt idx="189">
                  <c:v>3.1960000000000002</c:v>
                </c:pt>
                <c:pt idx="190">
                  <c:v>3.2040000000000002</c:v>
                </c:pt>
                <c:pt idx="191">
                  <c:v>3.2269999999999999</c:v>
                </c:pt>
                <c:pt idx="192">
                  <c:v>3.21</c:v>
                </c:pt>
                <c:pt idx="193">
                  <c:v>3.2240000000000002</c:v>
                </c:pt>
                <c:pt idx="194">
                  <c:v>3.24</c:v>
                </c:pt>
                <c:pt idx="195">
                  <c:v>3.2130000000000001</c:v>
                </c:pt>
                <c:pt idx="196">
                  <c:v>3.2749999999999999</c:v>
                </c:pt>
                <c:pt idx="197">
                  <c:v>3.226</c:v>
                </c:pt>
                <c:pt idx="198">
                  <c:v>3.22</c:v>
                </c:pt>
                <c:pt idx="199">
                  <c:v>3.2589999999999999</c:v>
                </c:pt>
                <c:pt idx="200">
                  <c:v>3.302</c:v>
                </c:pt>
                <c:pt idx="201">
                  <c:v>3.2919999999999998</c:v>
                </c:pt>
                <c:pt idx="202">
                  <c:v>3.3170000000000002</c:v>
                </c:pt>
                <c:pt idx="203">
                  <c:v>3.3290000000000002</c:v>
                </c:pt>
                <c:pt idx="204">
                  <c:v>3.3410000000000002</c:v>
                </c:pt>
                <c:pt idx="205">
                  <c:v>3.3170000000000002</c:v>
                </c:pt>
                <c:pt idx="206">
                  <c:v>3.2949999999999999</c:v>
                </c:pt>
                <c:pt idx="207">
                  <c:v>3.29</c:v>
                </c:pt>
                <c:pt idx="208">
                  <c:v>3.31</c:v>
                </c:pt>
                <c:pt idx="209">
                  <c:v>3.214</c:v>
                </c:pt>
                <c:pt idx="210">
                  <c:v>3.202</c:v>
                </c:pt>
                <c:pt idx="211">
                  <c:v>3.2269999999999999</c:v>
                </c:pt>
                <c:pt idx="212">
                  <c:v>3.3050000000000002</c:v>
                </c:pt>
                <c:pt idx="213">
                  <c:v>3.3130000000000002</c:v>
                </c:pt>
                <c:pt idx="214">
                  <c:v>3.2730000000000001</c:v>
                </c:pt>
                <c:pt idx="215">
                  <c:v>3.2869999999999999</c:v>
                </c:pt>
                <c:pt idx="216">
                  <c:v>3.2890000000000001</c:v>
                </c:pt>
                <c:pt idx="217">
                  <c:v>3.2730000000000001</c:v>
                </c:pt>
                <c:pt idx="218">
                  <c:v>3.26</c:v>
                </c:pt>
                <c:pt idx="219">
                  <c:v>3.1989999999999998</c:v>
                </c:pt>
                <c:pt idx="220">
                  <c:v>3.2010000000000001</c:v>
                </c:pt>
                <c:pt idx="221">
                  <c:v>3.2280000000000002</c:v>
                </c:pt>
                <c:pt idx="222">
                  <c:v>3.2</c:v>
                </c:pt>
                <c:pt idx="223">
                  <c:v>3.254</c:v>
                </c:pt>
                <c:pt idx="224">
                  <c:v>3.258</c:v>
                </c:pt>
                <c:pt idx="225">
                  <c:v>3.2989999999999999</c:v>
                </c:pt>
                <c:pt idx="226">
                  <c:v>3.23</c:v>
                </c:pt>
                <c:pt idx="227">
                  <c:v>3.2639999999999998</c:v>
                </c:pt>
                <c:pt idx="228">
                  <c:v>3.35</c:v>
                </c:pt>
                <c:pt idx="229">
                  <c:v>3.327</c:v>
                </c:pt>
                <c:pt idx="230">
                  <c:v>3.3210000000000002</c:v>
                </c:pt>
                <c:pt idx="231">
                  <c:v>3.2949999999999999</c:v>
                </c:pt>
                <c:pt idx="232">
                  <c:v>3.343</c:v>
                </c:pt>
                <c:pt idx="233">
                  <c:v>3.3</c:v>
                </c:pt>
                <c:pt idx="234">
                  <c:v>3.3690000000000002</c:v>
                </c:pt>
                <c:pt idx="235">
                  <c:v>3.319</c:v>
                </c:pt>
                <c:pt idx="236">
                  <c:v>3.319</c:v>
                </c:pt>
                <c:pt idx="237">
                  <c:v>3.294</c:v>
                </c:pt>
                <c:pt idx="238">
                  <c:v>3.3290000000000002</c:v>
                </c:pt>
                <c:pt idx="239">
                  <c:v>3.35</c:v>
                </c:pt>
                <c:pt idx="240">
                  <c:v>3.3980000000000001</c:v>
                </c:pt>
                <c:pt idx="241">
                  <c:v>3.3450000000000002</c:v>
                </c:pt>
                <c:pt idx="242">
                  <c:v>3.3029999999999999</c:v>
                </c:pt>
                <c:pt idx="243">
                  <c:v>3.2519999999999998</c:v>
                </c:pt>
                <c:pt idx="244">
                  <c:v>3.2269999999999999</c:v>
                </c:pt>
                <c:pt idx="245">
                  <c:v>3.246</c:v>
                </c:pt>
                <c:pt idx="246">
                  <c:v>3.234</c:v>
                </c:pt>
                <c:pt idx="247">
                  <c:v>3.2280000000000002</c:v>
                </c:pt>
                <c:pt idx="248">
                  <c:v>3.2869999999999999</c:v>
                </c:pt>
                <c:pt idx="249">
                  <c:v>3.2429999999999999</c:v>
                </c:pt>
                <c:pt idx="250">
                  <c:v>3.2469999999999999</c:v>
                </c:pt>
                <c:pt idx="251">
                  <c:v>3.2290000000000001</c:v>
                </c:pt>
                <c:pt idx="252">
                  <c:v>3.2839999999999998</c:v>
                </c:pt>
                <c:pt idx="253">
                  <c:v>3.2930000000000001</c:v>
                </c:pt>
                <c:pt idx="254">
                  <c:v>3.2970000000000002</c:v>
                </c:pt>
                <c:pt idx="255">
                  <c:v>3.2949999999999999</c:v>
                </c:pt>
                <c:pt idx="256">
                  <c:v>3.2989999999999999</c:v>
                </c:pt>
                <c:pt idx="257">
                  <c:v>3.335</c:v>
                </c:pt>
                <c:pt idx="258">
                  <c:v>3.3109999999999999</c:v>
                </c:pt>
                <c:pt idx="259">
                  <c:v>3.262</c:v>
                </c:pt>
                <c:pt idx="260">
                  <c:v>3.2559999999999998</c:v>
                </c:pt>
                <c:pt idx="261">
                  <c:v>3.2509999999999999</c:v>
                </c:pt>
                <c:pt idx="262">
                  <c:v>3.24</c:v>
                </c:pt>
                <c:pt idx="263">
                  <c:v>3.23</c:v>
                </c:pt>
                <c:pt idx="264">
                  <c:v>3.254</c:v>
                </c:pt>
                <c:pt idx="265">
                  <c:v>3.2549999999999999</c:v>
                </c:pt>
                <c:pt idx="266">
                  <c:v>3.2160000000000002</c:v>
                </c:pt>
                <c:pt idx="267">
                  <c:v>3.2429999999999999</c:v>
                </c:pt>
                <c:pt idx="268">
                  <c:v>3.1949999999999998</c:v>
                </c:pt>
                <c:pt idx="269">
                  <c:v>3.1789999999999998</c:v>
                </c:pt>
                <c:pt idx="270">
                  <c:v>3.1360000000000001</c:v>
                </c:pt>
                <c:pt idx="271">
                  <c:v>3.1</c:v>
                </c:pt>
                <c:pt idx="272">
                  <c:v>3.089</c:v>
                </c:pt>
                <c:pt idx="273">
                  <c:v>3.1059999999999999</c:v>
                </c:pt>
                <c:pt idx="274">
                  <c:v>3.1030000000000002</c:v>
                </c:pt>
              </c:numCache>
            </c:numRef>
          </c:val>
          <c:smooth val="0"/>
          <c:extLst>
            <c:ext xmlns:c16="http://schemas.microsoft.com/office/drawing/2014/chart" uri="{C3380CC4-5D6E-409C-BE32-E72D297353CC}">
              <c16:uniqueId val="{00000006-9EB6-407A-B87A-18670FE94C73}"/>
            </c:ext>
          </c:extLst>
        </c:ser>
        <c:dLbls>
          <c:showLegendKey val="0"/>
          <c:showVal val="0"/>
          <c:showCatName val="0"/>
          <c:showSerName val="0"/>
          <c:showPercent val="0"/>
          <c:showBubbleSize val="0"/>
        </c:dLbls>
        <c:smooth val="0"/>
        <c:axId val="-655479840"/>
        <c:axId val="-490324720"/>
      </c:lineChart>
      <c:dateAx>
        <c:axId val="-655479840"/>
        <c:scaling>
          <c:orientation val="minMax"/>
        </c:scaling>
        <c:delete val="0"/>
        <c:axPos val="b"/>
        <c:numFmt formatCode="m/d/yyyy" sourceLinked="1"/>
        <c:majorTickMark val="none"/>
        <c:minorTickMark val="none"/>
        <c:tickLblPos val="low"/>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490324720"/>
        <c:crosses val="autoZero"/>
        <c:auto val="1"/>
        <c:lblOffset val="100"/>
        <c:baseTimeUnit val="days"/>
        <c:majorUnit val="1"/>
        <c:majorTimeUnit val="months"/>
        <c:minorUnit val="1"/>
        <c:minorTimeUnit val="months"/>
      </c:dateAx>
      <c:valAx>
        <c:axId val="-490324720"/>
        <c:scaling>
          <c:orientation val="minMax"/>
          <c:max val="6"/>
        </c:scaling>
        <c:delete val="0"/>
        <c:axPos val="l"/>
        <c:majorGridlines>
          <c:spPr>
            <a:ln w="3175" cap="flat" cmpd="sng" algn="ctr">
              <a:solidFill>
                <a:schemeClr val="bg1">
                  <a:lumMod val="85000"/>
                </a:schemeClr>
              </a:solidFill>
              <a:prstDash val="solid"/>
              <a:round/>
            </a:ln>
            <a:effectLst/>
          </c:spPr>
        </c:majorGridlines>
        <c:title>
          <c:tx>
            <c:rich>
              <a:bodyPr rot="-54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r>
                  <a:rPr lang="el-GR" sz="700">
                    <a:latin typeface="Arial" panose="020B0604020202020204" pitchFamily="34" charset="0"/>
                    <a:cs typeface="Arial" panose="020B0604020202020204" pitchFamily="34" charset="0"/>
                  </a:rPr>
                  <a:t>Απόδοση (%)</a:t>
                </a:r>
              </a:p>
            </c:rich>
          </c:tx>
          <c:layout>
            <c:manualLayout>
              <c:xMode val="edge"/>
              <c:yMode val="edge"/>
              <c:x val="8.8015348687808734E-3"/>
              <c:y val="0.30126332191185035"/>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crossAx val="-655479840"/>
        <c:crossesAt val="41931"/>
        <c:crossBetween val="between"/>
        <c:majorUnit val="1"/>
      </c:valAx>
      <c:spPr>
        <a:solidFill>
          <a:schemeClr val="bg1"/>
        </a:solidFill>
        <a:ln w="3175">
          <a:solidFill>
            <a:schemeClr val="bg1">
              <a:lumMod val="85000"/>
            </a:schemeClr>
          </a:solidFill>
          <a:prstDash val="sysDot"/>
        </a:ln>
        <a:effectLst/>
      </c:spPr>
    </c:plotArea>
    <c:legend>
      <c:legendPos val="b"/>
      <c:layout>
        <c:manualLayout>
          <c:xMode val="edge"/>
          <c:yMode val="edge"/>
          <c:x val="2.7766192952452057E-2"/>
          <c:y val="0.88264948149492839"/>
          <c:w val="0.9246745783017476"/>
          <c:h val="3.238723593761597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l-GR"/>
        </a:p>
      </c:txPr>
    </c:legend>
    <c:plotVisOnly val="1"/>
    <c:dispBlanksAs val="gap"/>
    <c:showDLblsOverMax val="0"/>
  </c:chart>
  <c:spPr>
    <a:solidFill>
      <a:schemeClr val="bg1"/>
    </a:solidFill>
    <a:ln w="3175" cap="flat" cmpd="sng" algn="ctr">
      <a:solidFill>
        <a:schemeClr val="bg1">
          <a:lumMod val="85000"/>
        </a:schemeClr>
      </a:solidFill>
      <a:prstDash val="solid"/>
      <a:round/>
    </a:ln>
    <a:effectLst/>
  </c:spPr>
  <c:txPr>
    <a:bodyPr/>
    <a:lstStyle/>
    <a:p>
      <a:pPr>
        <a:defRPr/>
      </a:pPr>
      <a:endParaRPr lang="el-GR"/>
    </a:p>
  </c:txPr>
  <c:externalData r:id="rId3">
    <c:autoUpdate val="0"/>
  </c:externalData>
  <c:userShapes r:id="rId4"/>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pieChart>
        <c:varyColors val="1"/>
        <c:ser>
          <c:idx val="0"/>
          <c:order val="0"/>
          <c:spPr>
            <a:ln>
              <a:solidFill>
                <a:schemeClr val="bg1">
                  <a:lumMod val="85000"/>
                </a:schemeClr>
              </a:solidFill>
            </a:ln>
          </c:spPr>
          <c:dPt>
            <c:idx val="0"/>
            <c:bubble3D val="0"/>
            <c:spPr>
              <a:solidFill>
                <a:schemeClr val="accent1">
                  <a:tint val="50000"/>
                </a:schemeClr>
              </a:solidFill>
              <a:ln>
                <a:solidFill>
                  <a:schemeClr val="bg1">
                    <a:lumMod val="85000"/>
                  </a:schemeClr>
                </a:solidFill>
              </a:ln>
              <a:effectLst/>
            </c:spPr>
            <c:extLst>
              <c:ext xmlns:c16="http://schemas.microsoft.com/office/drawing/2014/chart" uri="{C3380CC4-5D6E-409C-BE32-E72D297353CC}">
                <c16:uniqueId val="{00000001-845C-48BD-82D6-BD9790CECDB7}"/>
              </c:ext>
            </c:extLst>
          </c:dPt>
          <c:dPt>
            <c:idx val="1"/>
            <c:bubble3D val="0"/>
            <c:spPr>
              <a:solidFill>
                <a:schemeClr val="accent1">
                  <a:tint val="70000"/>
                </a:schemeClr>
              </a:solidFill>
              <a:ln>
                <a:solidFill>
                  <a:schemeClr val="bg1">
                    <a:lumMod val="85000"/>
                  </a:schemeClr>
                </a:solidFill>
              </a:ln>
              <a:effectLst/>
            </c:spPr>
            <c:extLst>
              <c:ext xmlns:c16="http://schemas.microsoft.com/office/drawing/2014/chart" uri="{C3380CC4-5D6E-409C-BE32-E72D297353CC}">
                <c16:uniqueId val="{00000003-845C-48BD-82D6-BD9790CECDB7}"/>
              </c:ext>
            </c:extLst>
          </c:dPt>
          <c:dPt>
            <c:idx val="2"/>
            <c:bubble3D val="0"/>
            <c:spPr>
              <a:solidFill>
                <a:schemeClr val="accent1">
                  <a:tint val="90000"/>
                </a:schemeClr>
              </a:solidFill>
              <a:ln>
                <a:solidFill>
                  <a:schemeClr val="bg1">
                    <a:lumMod val="85000"/>
                  </a:schemeClr>
                </a:solidFill>
              </a:ln>
              <a:effectLst/>
            </c:spPr>
            <c:extLst>
              <c:ext xmlns:c16="http://schemas.microsoft.com/office/drawing/2014/chart" uri="{C3380CC4-5D6E-409C-BE32-E72D297353CC}">
                <c16:uniqueId val="{00000005-845C-48BD-82D6-BD9790CECDB7}"/>
              </c:ext>
            </c:extLst>
          </c:dPt>
          <c:dPt>
            <c:idx val="3"/>
            <c:bubble3D val="0"/>
            <c:spPr>
              <a:solidFill>
                <a:schemeClr val="accent1">
                  <a:shade val="90000"/>
                </a:schemeClr>
              </a:solidFill>
              <a:ln>
                <a:solidFill>
                  <a:schemeClr val="bg1">
                    <a:lumMod val="85000"/>
                  </a:schemeClr>
                </a:solidFill>
              </a:ln>
              <a:effectLst/>
            </c:spPr>
            <c:extLst>
              <c:ext xmlns:c16="http://schemas.microsoft.com/office/drawing/2014/chart" uri="{C3380CC4-5D6E-409C-BE32-E72D297353CC}">
                <c16:uniqueId val="{00000006-845C-48BD-82D6-BD9790CECDB7}"/>
              </c:ext>
            </c:extLst>
          </c:dPt>
          <c:dPt>
            <c:idx val="4"/>
            <c:bubble3D val="0"/>
            <c:spPr>
              <a:solidFill>
                <a:schemeClr val="accent1">
                  <a:shade val="70000"/>
                </a:schemeClr>
              </a:solidFill>
              <a:ln>
                <a:solidFill>
                  <a:schemeClr val="bg1">
                    <a:lumMod val="85000"/>
                  </a:schemeClr>
                </a:solidFill>
              </a:ln>
              <a:effectLst/>
            </c:spPr>
            <c:extLst>
              <c:ext xmlns:c16="http://schemas.microsoft.com/office/drawing/2014/chart" uri="{C3380CC4-5D6E-409C-BE32-E72D297353CC}">
                <c16:uniqueId val="{00000008-845C-48BD-82D6-BD9790CECDB7}"/>
              </c:ext>
            </c:extLst>
          </c:dPt>
          <c:dPt>
            <c:idx val="5"/>
            <c:bubble3D val="0"/>
            <c:spPr>
              <a:solidFill>
                <a:schemeClr val="accent1">
                  <a:shade val="50000"/>
                </a:schemeClr>
              </a:solidFill>
              <a:ln>
                <a:solidFill>
                  <a:schemeClr val="bg1">
                    <a:lumMod val="85000"/>
                  </a:schemeClr>
                </a:solidFill>
              </a:ln>
              <a:effectLst/>
            </c:spPr>
            <c:extLst>
              <c:ext xmlns:c16="http://schemas.microsoft.com/office/drawing/2014/chart" uri="{C3380CC4-5D6E-409C-BE32-E72D297353CC}">
                <c16:uniqueId val="{00000009-845C-48BD-82D6-BD9790CECDB7}"/>
              </c:ext>
            </c:extLst>
          </c:dPt>
          <c:dLbls>
            <c:dLbl>
              <c:idx val="0"/>
              <c:layout>
                <c:manualLayout>
                  <c:x val="-3.1637830940483218E-2"/>
                  <c:y val="2.8667376690416895E-3"/>
                </c:manualLayout>
              </c:layout>
              <c:tx>
                <c:rich>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r>
                      <a:rPr lang="el-GR" baseline="0"/>
                      <a:t>Έντοκα Γραμμάτια </a:t>
                    </a:r>
                    <a:fld id="{6CDFF0C5-04DD-42A5-B6D6-31FC9D2CB283}" type="VALUE">
                      <a:rPr lang="en-US" baseline="0"/>
                      <a:pPr>
                        <a:defRPr sz="700" b="1">
                          <a:latin typeface="Arial" panose="020B0604020202020204" pitchFamily="34" charset="0"/>
                          <a:cs typeface="Arial" panose="020B0604020202020204" pitchFamily="34" charset="0"/>
                        </a:defRPr>
                      </a:pPr>
                      <a:t>[ΤΙΜΗ]</a:t>
                    </a:fld>
                    <a:endParaRPr lang="el-GR" baseline="0"/>
                  </a:p>
                </c:rich>
              </c:tx>
              <c:spPr>
                <a:noFill/>
                <a:ln>
                  <a:noFill/>
                </a:ln>
                <a:effectLst/>
              </c:spPr>
              <c:txPr>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9002274627599078"/>
                      <c:h val="9.76732293531066E-2"/>
                    </c:manualLayout>
                  </c15:layout>
                  <c15:dlblFieldTable/>
                  <c15:showDataLabelsRange val="0"/>
                </c:ext>
                <c:ext xmlns:c16="http://schemas.microsoft.com/office/drawing/2014/chart" uri="{C3380CC4-5D6E-409C-BE32-E72D297353CC}">
                  <c16:uniqueId val="{00000001-845C-48BD-82D6-BD9790CECDB7}"/>
                </c:ext>
              </c:extLst>
            </c:dLbl>
            <c:dLbl>
              <c:idx val="1"/>
              <c:layout>
                <c:manualLayout>
                  <c:x val="0.13111900582130304"/>
                  <c:y val="5.576028216046395E-4"/>
                </c:manualLayout>
              </c:layout>
              <c:tx>
                <c:rich>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r>
                      <a:rPr lang="el-GR"/>
                      <a:t>έως 3 έτη</a:t>
                    </a:r>
                    <a:r>
                      <a:rPr lang="el-GR" baseline="0"/>
                      <a:t> </a:t>
                    </a:r>
                    <a:fld id="{A755A733-DC09-4B9A-B1B8-918DEE862314}" type="VALUE">
                      <a:rPr lang="en-US" baseline="0"/>
                      <a:pPr>
                        <a:defRPr sz="700" b="1">
                          <a:latin typeface="Arial" panose="020B0604020202020204" pitchFamily="34" charset="0"/>
                          <a:cs typeface="Arial" panose="020B0604020202020204" pitchFamily="34" charset="0"/>
                        </a:defRPr>
                      </a:pPr>
                      <a:t>[ΤΙΜΗ]</a:t>
                    </a:fld>
                    <a:endParaRPr lang="el-GR" baseline="0"/>
                  </a:p>
                </c:rich>
              </c:tx>
              <c:spPr>
                <a:noFill/>
                <a:ln>
                  <a:noFill/>
                </a:ln>
                <a:effectLst/>
              </c:spPr>
              <c:txPr>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845C-48BD-82D6-BD9790CECDB7}"/>
                </c:ext>
              </c:extLst>
            </c:dLbl>
            <c:dLbl>
              <c:idx val="2"/>
              <c:layout>
                <c:manualLayout>
                  <c:x val="0.15637688280912546"/>
                  <c:y val="0.1100330965530187"/>
                </c:manualLayout>
              </c:layout>
              <c:tx>
                <c:rich>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r>
                      <a:rPr lang="el-GR"/>
                      <a:t>3 - 5 έτη</a:t>
                    </a:r>
                    <a:r>
                      <a:rPr lang="el-GR" baseline="0"/>
                      <a:t> </a:t>
                    </a:r>
                    <a:fld id="{CD18BFF9-FC00-4086-A4B1-896D894A113A}" type="VALUE">
                      <a:rPr lang="en-US" baseline="0"/>
                      <a:pPr>
                        <a:defRPr sz="700" b="1">
                          <a:latin typeface="Arial" panose="020B0604020202020204" pitchFamily="34" charset="0"/>
                          <a:cs typeface="Arial" panose="020B0604020202020204" pitchFamily="34" charset="0"/>
                        </a:defRPr>
                      </a:pPr>
                      <a:t>[ΤΙΜΗ]</a:t>
                    </a:fld>
                    <a:endParaRPr lang="el-GR" baseline="0"/>
                  </a:p>
                </c:rich>
              </c:tx>
              <c:spPr>
                <a:noFill/>
                <a:ln>
                  <a:noFill/>
                </a:ln>
                <a:effectLst/>
              </c:spPr>
              <c:txPr>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845C-48BD-82D6-BD9790CECDB7}"/>
                </c:ext>
              </c:extLst>
            </c:dLbl>
            <c:dLbl>
              <c:idx val="3"/>
              <c:layout>
                <c:manualLayout>
                  <c:x val="9.6905674284423551E-2"/>
                  <c:y val="-5.267074363508846E-2"/>
                </c:manualLayout>
              </c:layout>
              <c:tx>
                <c:rich>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r>
                      <a:rPr lang="el-GR"/>
                      <a:t>5 - 10 έτη</a:t>
                    </a:r>
                    <a:r>
                      <a:rPr lang="el-GR" baseline="0"/>
                      <a:t> </a:t>
                    </a:r>
                    <a:fld id="{BE678F54-74D4-46D6-94CB-7A372170AB28}" type="VALUE">
                      <a:rPr lang="en-US" baseline="0"/>
                      <a:pPr>
                        <a:defRPr sz="700" b="1">
                          <a:latin typeface="Arial" panose="020B0604020202020204" pitchFamily="34" charset="0"/>
                          <a:cs typeface="Arial" panose="020B0604020202020204" pitchFamily="34" charset="0"/>
                        </a:defRPr>
                      </a:pPr>
                      <a:t>[ΤΙΜΗ]</a:t>
                    </a:fld>
                    <a:endParaRPr lang="el-GR" baseline="0"/>
                  </a:p>
                </c:rich>
              </c:tx>
              <c:spPr>
                <a:noFill/>
                <a:ln>
                  <a:noFill/>
                </a:ln>
                <a:effectLst/>
              </c:spPr>
              <c:txPr>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6-845C-48BD-82D6-BD9790CECDB7}"/>
                </c:ext>
              </c:extLst>
            </c:dLbl>
            <c:dLbl>
              <c:idx val="4"/>
              <c:layout>
                <c:manualLayout>
                  <c:x val="-8.8108048993875889E-3"/>
                  <c:y val="3.7295143932251189E-2"/>
                </c:manualLayout>
              </c:layout>
              <c:tx>
                <c:rich>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r>
                      <a:rPr lang="el-GR" baseline="0"/>
                      <a:t>10 - 15 έτη </a:t>
                    </a:r>
                    <a:fld id="{40F0F67B-967E-4982-9FF9-290AF6DACB16}" type="VALUE">
                      <a:rPr lang="en-US" baseline="0"/>
                      <a:pPr>
                        <a:defRPr sz="700" b="1">
                          <a:latin typeface="Arial" panose="020B0604020202020204" pitchFamily="34" charset="0"/>
                          <a:cs typeface="Arial" panose="020B0604020202020204" pitchFamily="34" charset="0"/>
                        </a:defRPr>
                      </a:pPr>
                      <a:t>[ΤΙΜΗ]</a:t>
                    </a:fld>
                    <a:endParaRPr lang="el-GR" baseline="0"/>
                  </a:p>
                </c:rich>
              </c:tx>
              <c:spPr>
                <a:noFill/>
                <a:ln>
                  <a:noFill/>
                </a:ln>
                <a:effectLst/>
              </c:spPr>
              <c:txPr>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8-845C-48BD-82D6-BD9790CECDB7}"/>
                </c:ext>
              </c:extLst>
            </c:dLbl>
            <c:dLbl>
              <c:idx val="5"/>
              <c:layout>
                <c:manualLayout>
                  <c:x val="-6.8976496835731496E-2"/>
                  <c:y val="1.7017753583813328E-2"/>
                </c:manualLayout>
              </c:layout>
              <c:tx>
                <c:rich>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r>
                      <a:rPr lang="el-GR"/>
                      <a:t>15 - 30 έτη</a:t>
                    </a:r>
                    <a:r>
                      <a:rPr lang="el-GR" baseline="0"/>
                      <a:t> </a:t>
                    </a:r>
                    <a:fld id="{4B9F33F2-BB1C-4047-9724-7EF66D4FC140}" type="VALUE">
                      <a:rPr lang="en-US" baseline="0"/>
                      <a:pPr>
                        <a:defRPr sz="700" b="1">
                          <a:latin typeface="Arial" panose="020B0604020202020204" pitchFamily="34" charset="0"/>
                          <a:cs typeface="Arial" panose="020B0604020202020204" pitchFamily="34" charset="0"/>
                        </a:defRPr>
                      </a:pPr>
                      <a:t>[ΤΙΜΗ]</a:t>
                    </a:fld>
                    <a:endParaRPr lang="el-GR" baseline="0"/>
                  </a:p>
                </c:rich>
              </c:tx>
              <c:spPr>
                <a:noFill/>
                <a:ln w="25400">
                  <a:noFill/>
                </a:ln>
                <a:effectLst/>
              </c:spPr>
              <c:txPr>
                <a:bodyPr rot="0" spcFirstLastPara="1" vertOverflow="ellipsis" vert="horz" wrap="square" anchor="ctr" anchorCtr="1"/>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845C-48BD-82D6-BD9790CECDB7}"/>
                </c:ext>
              </c:extLst>
            </c:dLbl>
            <c:spPr>
              <a:noFill/>
              <a:ln w="25400">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0000"/>
                    </a:solidFill>
                    <a:latin typeface="Arial" panose="020B0604020202020204" pitchFamily="34" charset="0"/>
                    <a:ea typeface="Calibri"/>
                    <a:cs typeface="Arial" panose="020B0604020202020204" pitchFamily="34" charset="0"/>
                  </a:defRPr>
                </a:pPr>
                <a:endParaRPr lang="el-GR"/>
              </a:p>
            </c:txPr>
            <c:showLegendKey val="0"/>
            <c:showVal val="1"/>
            <c:showCatName val="1"/>
            <c:showSerName val="0"/>
            <c:showPercent val="0"/>
            <c:showBubbleSize val="0"/>
            <c:separator> </c:separator>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'Diagramma 4.6  '!$A$1:$A$6</c:f>
              <c:strCache>
                <c:ptCount val="6"/>
                <c:pt idx="0">
                  <c:v>Έντ. Γρ/τια</c:v>
                </c:pt>
                <c:pt idx="1">
                  <c:v>Έως 3 έτη</c:v>
                </c:pt>
                <c:pt idx="2">
                  <c:v>3-5 έτη</c:v>
                </c:pt>
                <c:pt idx="3">
                  <c:v>5-10 έτη</c:v>
                </c:pt>
                <c:pt idx="4">
                  <c:v>10-15 έτη</c:v>
                </c:pt>
                <c:pt idx="5">
                  <c:v>15-30 έτη</c:v>
                </c:pt>
              </c:strCache>
            </c:strRef>
          </c:cat>
          <c:val>
            <c:numRef>
              <c:f>'Diagramma 4.6  '!$B$1:$B$6</c:f>
              <c:numCache>
                <c:formatCode>0.0%</c:formatCode>
                <c:ptCount val="6"/>
                <c:pt idx="0">
                  <c:v>2.8000000000000001E-2</c:v>
                </c:pt>
                <c:pt idx="1">
                  <c:v>2.4E-2</c:v>
                </c:pt>
                <c:pt idx="2">
                  <c:v>1.9E-2</c:v>
                </c:pt>
                <c:pt idx="3">
                  <c:v>0.73</c:v>
                </c:pt>
                <c:pt idx="4">
                  <c:v>7.4999999999999997E-2</c:v>
                </c:pt>
                <c:pt idx="5">
                  <c:v>0.124</c:v>
                </c:pt>
              </c:numCache>
            </c:numRef>
          </c:val>
          <c:extLst>
            <c:ext xmlns:c16="http://schemas.microsoft.com/office/drawing/2014/chart" uri="{C3380CC4-5D6E-409C-BE32-E72D297353CC}">
              <c16:uniqueId val="{0000000A-845C-48BD-82D6-BD9790CECDB7}"/>
            </c:ext>
          </c:extLst>
        </c:ser>
        <c:dLbls>
          <c:showLegendKey val="0"/>
          <c:showVal val="0"/>
          <c:showCatName val="0"/>
          <c:showSerName val="0"/>
          <c:showPercent val="0"/>
          <c:showBubbleSize val="0"/>
          <c:showLeaderLines val="1"/>
        </c:dLbls>
        <c:firstSliceAng val="0"/>
      </c:pieChart>
      <c:spPr>
        <a:noFill/>
        <a:ln w="25400">
          <a:noFill/>
        </a:ln>
        <a:effectLst/>
      </c:spPr>
    </c:plotArea>
    <c:plotVisOnly val="1"/>
    <c:dispBlanksAs val="gap"/>
    <c:showDLblsOverMax val="0"/>
  </c:chart>
  <c:spPr>
    <a:solidFill>
      <a:schemeClr val="bg1"/>
    </a:solidFill>
    <a:ln w="3175" cap="flat" cmpd="sng" algn="ctr">
      <a:solidFill>
        <a:schemeClr val="bg1">
          <a:lumMod val="8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l-GR"/>
    </a:p>
  </c:txPr>
  <c:externalData r:id="rId3">
    <c:autoUpdate val="0"/>
  </c:externalData>
  <c:userShapes r:id="rId4"/>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7.2933526638828364E-2"/>
          <c:y val="5.2920738993228952E-2"/>
          <c:w val="0.90761750405186381"/>
          <c:h val="0.77049180327868849"/>
        </c:manualLayout>
      </c:layout>
      <c:barChart>
        <c:barDir val="col"/>
        <c:grouping val="clustered"/>
        <c:varyColors val="0"/>
        <c:ser>
          <c:idx val="0"/>
          <c:order val="0"/>
          <c:tx>
            <c:strRef>
              <c:f>'Diagramma 4.7 '!$D$1</c:f>
              <c:strCache>
                <c:ptCount val="1"/>
                <c:pt idx="0">
                  <c:v>2024</c:v>
                </c:pt>
              </c:strCache>
            </c:strRef>
          </c:tx>
          <c:spPr>
            <a:solidFill>
              <a:schemeClr val="accent1">
                <a:tint val="77000"/>
              </a:schemeClr>
            </a:solidFill>
            <a:ln>
              <a:noFill/>
            </a:ln>
            <a:effectLst/>
          </c:spPr>
          <c:invertIfNegative val="0"/>
          <c:cat>
            <c:strRef>
              <c:f>'Diagramma 4.7 '!$A$2:$A$10</c:f>
              <c:strCache>
                <c:ptCount val="9"/>
                <c:pt idx="0">
                  <c:v>Ιαν</c:v>
                </c:pt>
                <c:pt idx="1">
                  <c:v>Φεβ</c:v>
                </c:pt>
                <c:pt idx="2">
                  <c:v>Μαρ</c:v>
                </c:pt>
                <c:pt idx="3">
                  <c:v>Απρ</c:v>
                </c:pt>
                <c:pt idx="4">
                  <c:v>Μαϊ</c:v>
                </c:pt>
                <c:pt idx="5">
                  <c:v>Ιουν</c:v>
                </c:pt>
                <c:pt idx="6">
                  <c:v>Ιουλ</c:v>
                </c:pt>
                <c:pt idx="7">
                  <c:v>Αυγ</c:v>
                </c:pt>
                <c:pt idx="8">
                  <c:v>Σεπ</c:v>
                </c:pt>
              </c:strCache>
            </c:strRef>
          </c:cat>
          <c:val>
            <c:numRef>
              <c:f>'Diagramma 4.7 '!$D$2:$D$10</c:f>
              <c:numCache>
                <c:formatCode>#,##0</c:formatCode>
                <c:ptCount val="9"/>
                <c:pt idx="0">
                  <c:v>1990</c:v>
                </c:pt>
                <c:pt idx="1">
                  <c:v>1856</c:v>
                </c:pt>
                <c:pt idx="2">
                  <c:v>1468</c:v>
                </c:pt>
                <c:pt idx="3">
                  <c:v>1522</c:v>
                </c:pt>
                <c:pt idx="4">
                  <c:v>1585</c:v>
                </c:pt>
                <c:pt idx="5">
                  <c:v>1508</c:v>
                </c:pt>
                <c:pt idx="6">
                  <c:v>3600</c:v>
                </c:pt>
                <c:pt idx="7">
                  <c:v>1858</c:v>
                </c:pt>
                <c:pt idx="8">
                  <c:v>3230</c:v>
                </c:pt>
              </c:numCache>
            </c:numRef>
          </c:val>
          <c:extLst>
            <c:ext xmlns:c16="http://schemas.microsoft.com/office/drawing/2014/chart" uri="{C3380CC4-5D6E-409C-BE32-E72D297353CC}">
              <c16:uniqueId val="{00000000-6BFC-418D-AD0C-E1C1E52797B2}"/>
            </c:ext>
          </c:extLst>
        </c:ser>
        <c:ser>
          <c:idx val="1"/>
          <c:order val="1"/>
          <c:tx>
            <c:strRef>
              <c:f>'Diagramma 4.7 '!$E$1</c:f>
              <c:strCache>
                <c:ptCount val="1"/>
                <c:pt idx="0">
                  <c:v>2025</c:v>
                </c:pt>
              </c:strCache>
            </c:strRef>
          </c:tx>
          <c:spPr>
            <a:solidFill>
              <a:schemeClr val="accent1">
                <a:shade val="76000"/>
              </a:schemeClr>
            </a:solidFill>
            <a:ln>
              <a:noFill/>
            </a:ln>
            <a:effectLst/>
          </c:spPr>
          <c:invertIfNegative val="0"/>
          <c:cat>
            <c:strRef>
              <c:f>'Diagramma 4.7 '!$A$2:$A$10</c:f>
              <c:strCache>
                <c:ptCount val="9"/>
                <c:pt idx="0">
                  <c:v>Ιαν</c:v>
                </c:pt>
                <c:pt idx="1">
                  <c:v>Φεβ</c:v>
                </c:pt>
                <c:pt idx="2">
                  <c:v>Μαρ</c:v>
                </c:pt>
                <c:pt idx="3">
                  <c:v>Απρ</c:v>
                </c:pt>
                <c:pt idx="4">
                  <c:v>Μαϊ</c:v>
                </c:pt>
                <c:pt idx="5">
                  <c:v>Ιουν</c:v>
                </c:pt>
                <c:pt idx="6">
                  <c:v>Ιουλ</c:v>
                </c:pt>
                <c:pt idx="7">
                  <c:v>Αυγ</c:v>
                </c:pt>
                <c:pt idx="8">
                  <c:v>Σεπ</c:v>
                </c:pt>
              </c:strCache>
            </c:strRef>
          </c:cat>
          <c:val>
            <c:numRef>
              <c:f>'Diagramma 4.7 '!$E$2:$E$10</c:f>
              <c:numCache>
                <c:formatCode>#,##0</c:formatCode>
                <c:ptCount val="9"/>
                <c:pt idx="0">
                  <c:v>3578</c:v>
                </c:pt>
                <c:pt idx="1">
                  <c:v>5741</c:v>
                </c:pt>
                <c:pt idx="2">
                  <c:v>3250</c:v>
                </c:pt>
                <c:pt idx="3">
                  <c:v>2825</c:v>
                </c:pt>
                <c:pt idx="4">
                  <c:v>3524</c:v>
                </c:pt>
                <c:pt idx="5">
                  <c:v>2579</c:v>
                </c:pt>
                <c:pt idx="6">
                  <c:v>2039</c:v>
                </c:pt>
                <c:pt idx="7">
                  <c:v>1851</c:v>
                </c:pt>
                <c:pt idx="8">
                  <c:v>2790</c:v>
                </c:pt>
              </c:numCache>
            </c:numRef>
          </c:val>
          <c:extLst>
            <c:ext xmlns:c16="http://schemas.microsoft.com/office/drawing/2014/chart" uri="{C3380CC4-5D6E-409C-BE32-E72D297353CC}">
              <c16:uniqueId val="{00000001-6BFC-418D-AD0C-E1C1E52797B2}"/>
            </c:ext>
          </c:extLst>
        </c:ser>
        <c:dLbls>
          <c:showLegendKey val="0"/>
          <c:showVal val="0"/>
          <c:showCatName val="0"/>
          <c:showSerName val="0"/>
          <c:showPercent val="0"/>
          <c:showBubbleSize val="0"/>
        </c:dLbls>
        <c:gapWidth val="150"/>
        <c:axId val="1683162207"/>
        <c:axId val="1"/>
      </c:barChart>
      <c:catAx>
        <c:axId val="1683162207"/>
        <c:scaling>
          <c:orientation val="minMax"/>
        </c:scaling>
        <c:delete val="0"/>
        <c:axPos val="b"/>
        <c:numFmt formatCode="General" sourceLinked="1"/>
        <c:majorTickMark val="out"/>
        <c:minorTickMark val="none"/>
        <c:tickLblPos val="nextTo"/>
        <c:spPr>
          <a:noFill/>
          <a:ln w="3175" cap="flat" cmpd="sng" algn="ctr">
            <a:solidFill>
              <a:schemeClr val="bg1">
                <a:lumMod val="85000"/>
              </a:schemeClr>
            </a:solidFill>
            <a:prstDash val="solid"/>
            <a:round/>
          </a:ln>
          <a:effectLst/>
        </c:spPr>
        <c:txPr>
          <a:bodyPr rot="0" spcFirstLastPara="1" vertOverflow="ellipsis" wrap="square" anchor="ctr" anchorCtr="1"/>
          <a:lstStyle/>
          <a:p>
            <a:pPr>
              <a:defRPr sz="700" b="1" i="0" u="none" strike="noStrike" kern="1200" baseline="0">
                <a:solidFill>
                  <a:srgbClr val="000000"/>
                </a:solidFill>
                <a:latin typeface="Arial" panose="020B0604020202020204" pitchFamily="34" charset="0"/>
                <a:ea typeface="Times New Roman"/>
                <a:cs typeface="Arial" panose="020B0604020202020204" pitchFamily="34" charset="0"/>
              </a:defRPr>
            </a:pPr>
            <a:endParaRPr lang="el-GR"/>
          </a:p>
        </c:txPr>
        <c:crossAx val="1"/>
        <c:crosses val="autoZero"/>
        <c:auto val="1"/>
        <c:lblAlgn val="ctr"/>
        <c:lblOffset val="100"/>
        <c:tickLblSkip val="1"/>
        <c:tickMarkSkip val="1"/>
        <c:noMultiLvlLbl val="0"/>
      </c:catAx>
      <c:valAx>
        <c:axId val="1"/>
        <c:scaling>
          <c:orientation val="minMax"/>
          <c:max val="6000"/>
        </c:scaling>
        <c:delete val="0"/>
        <c:axPos val="l"/>
        <c:majorGridlines>
          <c:spPr>
            <a:ln w="3175" cap="flat" cmpd="sng" algn="ctr">
              <a:solidFill>
                <a:schemeClr val="bg1">
                  <a:lumMod val="85000"/>
                </a:schemeClr>
              </a:solidFill>
              <a:prstDash val="solid"/>
              <a:round/>
            </a:ln>
            <a:effectLst/>
          </c:spPr>
        </c:majorGridlines>
        <c:numFmt formatCode="0" sourceLinked="0"/>
        <c:majorTickMark val="out"/>
        <c:minorTickMark val="none"/>
        <c:tickLblPos val="nextTo"/>
        <c:spPr>
          <a:noFill/>
          <a:ln w="3175" cap="flat" cmpd="sng" algn="ctr">
            <a:solidFill>
              <a:schemeClr val="bg1">
                <a:lumMod val="85000"/>
              </a:schemeClr>
            </a:solidFill>
            <a:prstDash val="solid"/>
            <a:round/>
          </a:ln>
          <a:effectLst/>
        </c:spPr>
        <c:txPr>
          <a:bodyPr rot="0" spcFirstLastPara="1" vertOverflow="ellipsis" wrap="square" anchor="ctr" anchorCtr="1"/>
          <a:lstStyle/>
          <a:p>
            <a:pPr>
              <a:defRPr sz="700" b="0" i="0" u="none" strike="noStrike" kern="1200" baseline="0">
                <a:solidFill>
                  <a:srgbClr val="000000"/>
                </a:solidFill>
                <a:latin typeface="Arial" panose="020B0604020202020204" pitchFamily="34" charset="0"/>
                <a:ea typeface="Times New Roman"/>
                <a:cs typeface="Arial" panose="020B0604020202020204" pitchFamily="34" charset="0"/>
              </a:defRPr>
            </a:pPr>
            <a:endParaRPr lang="el-GR"/>
          </a:p>
        </c:txPr>
        <c:crossAx val="1683162207"/>
        <c:crosses val="autoZero"/>
        <c:crossBetween val="between"/>
        <c:majorUnit val="500"/>
      </c:valAx>
      <c:spPr>
        <a:solidFill>
          <a:srgbClr val="FFFFFF"/>
        </a:solidFill>
        <a:ln w="12700">
          <a:solidFill>
            <a:srgbClr val="FFFFFF"/>
          </a:solidFill>
          <a:prstDash val="solid"/>
        </a:ln>
        <a:effectLst/>
      </c:spPr>
    </c:plotArea>
    <c:legend>
      <c:legendPos val="r"/>
      <c:layout>
        <c:manualLayout>
          <c:xMode val="edge"/>
          <c:yMode val="edge"/>
          <c:x val="0.66324892133797497"/>
          <c:y val="3.141068455937171E-2"/>
          <c:w val="0.16207972771449911"/>
          <c:h val="6.4937295452539706E-2"/>
        </c:manualLayout>
      </c:layout>
      <c:overlay val="0"/>
      <c:spPr>
        <a:solidFill>
          <a:srgbClr val="FFFFFF"/>
        </a:solidFill>
        <a:ln w="3175">
          <a:solidFill>
            <a:schemeClr val="bg1">
              <a:lumMod val="85000"/>
            </a:schemeClr>
          </a:solidFill>
          <a:prstDash val="solid"/>
        </a:ln>
        <a:effectLst/>
      </c:spPr>
      <c:txPr>
        <a:bodyPr rot="0" spcFirstLastPara="1" vertOverflow="ellipsis" vert="horz" wrap="square" anchor="ctr" anchorCtr="1"/>
        <a:lstStyle/>
        <a:p>
          <a:pPr>
            <a:defRPr sz="700" b="1" i="0" u="none" strike="noStrike" kern="1200" baseline="0">
              <a:solidFill>
                <a:srgbClr val="000000"/>
              </a:solidFill>
              <a:latin typeface="Arial"/>
              <a:ea typeface="Arial"/>
              <a:cs typeface="Arial"/>
            </a:defRPr>
          </a:pPr>
          <a:endParaRPr lang="el-GR"/>
        </a:p>
      </c:txPr>
    </c:legend>
    <c:plotVisOnly val="1"/>
    <c:dispBlanksAs val="gap"/>
    <c:showDLblsOverMax val="0"/>
  </c:chart>
  <c:spPr>
    <a:solidFill>
      <a:srgbClr val="FFFFFF"/>
    </a:solidFill>
    <a:ln w="3175" cap="flat" cmpd="sng" algn="ctr">
      <a:solidFill>
        <a:schemeClr val="bg1">
          <a:lumMod val="85000"/>
        </a:schemeClr>
      </a:solidFill>
      <a:prstDash val="solid"/>
      <a:round/>
    </a:ln>
    <a:effectLst/>
  </c:spPr>
  <c:txPr>
    <a:bodyPr/>
    <a:lstStyle/>
    <a:p>
      <a:pPr>
        <a:defRPr sz="1600" b="0" i="0" u="none" strike="noStrike" baseline="0">
          <a:solidFill>
            <a:srgbClr val="000000"/>
          </a:solidFill>
          <a:latin typeface="Arial"/>
          <a:ea typeface="Arial"/>
          <a:cs typeface="Arial"/>
        </a:defRPr>
      </a:pPr>
      <a:endParaRPr lang="el-GR"/>
    </a:p>
  </c:txPr>
  <c:externalData r:id="rId3">
    <c:autoUpdate val="0"/>
  </c:externalData>
  <c:userShapes r:id="rId4"/>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20396912899669239"/>
          <c:y val="3.1100348086943546E-2"/>
          <c:w val="0.71885284185121845"/>
          <c:h val="0.63775473295520035"/>
        </c:manualLayout>
      </c:layout>
      <c:barChart>
        <c:barDir val="col"/>
        <c:grouping val="clustered"/>
        <c:varyColors val="0"/>
        <c:ser>
          <c:idx val="1"/>
          <c:order val="0"/>
          <c:tx>
            <c:strRef>
              <c:f>table1!$C$11</c:f>
              <c:strCache>
                <c:ptCount val="1"/>
                <c:pt idx="0">
                  <c:v>Εγγυήσεις ως % του ΑΕΠ</c:v>
                </c:pt>
              </c:strCache>
            </c:strRef>
          </c:tx>
          <c:spPr>
            <a:solidFill>
              <a:schemeClr val="tx2">
                <a:lumMod val="60000"/>
                <a:lumOff val="40000"/>
              </a:schemeClr>
            </a:solidFill>
            <a:ln>
              <a:noFill/>
            </a:ln>
            <a:effectLst/>
          </c:spPr>
          <c:invertIfNegative val="0"/>
          <c:cat>
            <c:strRef>
              <c:f>table1!$A$12:$A$27</c:f>
              <c:strCach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strCache>
            </c:strRef>
          </c:cat>
          <c:val>
            <c:numRef>
              <c:f>table1!$C$12:$C$27</c:f>
              <c:numCache>
                <c:formatCode>0.00%</c:formatCode>
                <c:ptCount val="16"/>
                <c:pt idx="0">
                  <c:v>5.5999999999999999E-3</c:v>
                </c:pt>
                <c:pt idx="1">
                  <c:v>8.8999999999999999E-3</c:v>
                </c:pt>
                <c:pt idx="2">
                  <c:v>3.7000000000000002E-3</c:v>
                </c:pt>
                <c:pt idx="3">
                  <c:v>3.5999999999999999E-3</c:v>
                </c:pt>
                <c:pt idx="4">
                  <c:v>3.0000000000000001E-3</c:v>
                </c:pt>
                <c:pt idx="5">
                  <c:v>4.0000000000000002E-4</c:v>
                </c:pt>
                <c:pt idx="6">
                  <c:v>8.9999999999999998E-4</c:v>
                </c:pt>
                <c:pt idx="7">
                  <c:v>1.5E-3</c:v>
                </c:pt>
                <c:pt idx="8">
                  <c:v>1E-3</c:v>
                </c:pt>
                <c:pt idx="9">
                  <c:v>2.3E-3</c:v>
                </c:pt>
                <c:pt idx="10">
                  <c:v>2.5999999999999999E-3</c:v>
                </c:pt>
                <c:pt idx="11">
                  <c:v>8.9999999999999998E-4</c:v>
                </c:pt>
                <c:pt idx="12">
                  <c:v>1.8E-3</c:v>
                </c:pt>
                <c:pt idx="13">
                  <c:v>2.7000000000000001E-3</c:v>
                </c:pt>
                <c:pt idx="14">
                  <c:v>1.2999999999999999E-3</c:v>
                </c:pt>
                <c:pt idx="15">
                  <c:v>6.9999999999999999E-4</c:v>
                </c:pt>
              </c:numCache>
            </c:numRef>
          </c:val>
          <c:extLst>
            <c:ext xmlns:c16="http://schemas.microsoft.com/office/drawing/2014/chart" uri="{C3380CC4-5D6E-409C-BE32-E72D297353CC}">
              <c16:uniqueId val="{00000000-2767-4CD1-85E9-2B404C388E92}"/>
            </c:ext>
          </c:extLst>
        </c:ser>
        <c:ser>
          <c:idx val="2"/>
          <c:order val="1"/>
          <c:tx>
            <c:strRef>
              <c:f>table1!$G$11</c:f>
              <c:strCache>
                <c:ptCount val="1"/>
                <c:pt idx="0">
                  <c:v>Καταπτώσεις ως % του ΑΕΠ</c:v>
                </c:pt>
              </c:strCache>
            </c:strRef>
          </c:tx>
          <c:spPr>
            <a:solidFill>
              <a:schemeClr val="accent1">
                <a:shade val="65000"/>
              </a:schemeClr>
            </a:solidFill>
            <a:ln>
              <a:noFill/>
            </a:ln>
            <a:effectLst/>
          </c:spPr>
          <c:invertIfNegative val="0"/>
          <c:cat>
            <c:strRef>
              <c:f>table1!$A$12:$A$27</c:f>
              <c:strCach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strCache>
            </c:strRef>
          </c:cat>
          <c:val>
            <c:numRef>
              <c:f>table1!$G$12:$G$27</c:f>
              <c:numCache>
                <c:formatCode>0.00%</c:formatCode>
                <c:ptCount val="16"/>
                <c:pt idx="0">
                  <c:v>4.4000000000000003E-3</c:v>
                </c:pt>
                <c:pt idx="1">
                  <c:v>7.1000000000000004E-3</c:v>
                </c:pt>
                <c:pt idx="2">
                  <c:v>4.3E-3</c:v>
                </c:pt>
                <c:pt idx="3">
                  <c:v>4.8999999999999998E-3</c:v>
                </c:pt>
                <c:pt idx="4">
                  <c:v>3.3E-3</c:v>
                </c:pt>
                <c:pt idx="5">
                  <c:v>4.0000000000000001E-3</c:v>
                </c:pt>
                <c:pt idx="6">
                  <c:v>2.3999999999999998E-3</c:v>
                </c:pt>
                <c:pt idx="7">
                  <c:v>3.8E-3</c:v>
                </c:pt>
                <c:pt idx="8">
                  <c:v>5.0000000000000001E-4</c:v>
                </c:pt>
                <c:pt idx="9">
                  <c:v>1E-4</c:v>
                </c:pt>
                <c:pt idx="10">
                  <c:v>1E-4</c:v>
                </c:pt>
                <c:pt idx="11">
                  <c:v>4.0000000000000002E-4</c:v>
                </c:pt>
                <c:pt idx="12">
                  <c:v>1.1000000000000001E-3</c:v>
                </c:pt>
                <c:pt idx="13">
                  <c:v>1.5E-3</c:v>
                </c:pt>
                <c:pt idx="14">
                  <c:v>1.8E-3</c:v>
                </c:pt>
                <c:pt idx="15">
                  <c:v>1.1999999999999999E-3</c:v>
                </c:pt>
              </c:numCache>
            </c:numRef>
          </c:val>
          <c:extLst>
            <c:ext xmlns:c16="http://schemas.microsoft.com/office/drawing/2014/chart" uri="{C3380CC4-5D6E-409C-BE32-E72D297353CC}">
              <c16:uniqueId val="{00000001-2767-4CD1-85E9-2B404C388E92}"/>
            </c:ext>
          </c:extLst>
        </c:ser>
        <c:dLbls>
          <c:showLegendKey val="0"/>
          <c:showVal val="0"/>
          <c:showCatName val="0"/>
          <c:showSerName val="0"/>
          <c:showPercent val="0"/>
          <c:showBubbleSize val="0"/>
        </c:dLbls>
        <c:gapWidth val="150"/>
        <c:axId val="370140872"/>
        <c:axId val="370141256"/>
      </c:barChart>
      <c:lineChart>
        <c:grouping val="standard"/>
        <c:varyColors val="0"/>
        <c:ser>
          <c:idx val="0"/>
          <c:order val="2"/>
          <c:tx>
            <c:strRef>
              <c:f>table1!$E$11</c:f>
              <c:strCache>
                <c:ptCount val="1"/>
                <c:pt idx="0">
                  <c:v>Υπόλοιπο ως % του ΑΕΠ</c:v>
                </c:pt>
              </c:strCache>
            </c:strRef>
          </c:tx>
          <c:spPr>
            <a:ln w="28575" cap="rnd" cmpd="sng" algn="ctr">
              <a:solidFill>
                <a:schemeClr val="accent1">
                  <a:tint val="65000"/>
                  <a:shade val="95000"/>
                  <a:satMod val="105000"/>
                </a:schemeClr>
              </a:solidFill>
              <a:prstDash val="solid"/>
              <a:round/>
            </a:ln>
            <a:effectLst/>
          </c:spPr>
          <c:marker>
            <c:symbol val="diamond"/>
            <c:size val="9"/>
            <c:spPr>
              <a:solidFill>
                <a:schemeClr val="accent1">
                  <a:tint val="65000"/>
                </a:schemeClr>
              </a:solidFill>
              <a:ln w="9525" cap="flat" cmpd="sng" algn="ctr">
                <a:solidFill>
                  <a:schemeClr val="accent1">
                    <a:tint val="65000"/>
                    <a:shade val="95000"/>
                    <a:satMod val="105000"/>
                  </a:schemeClr>
                </a:solidFill>
                <a:prstDash val="solid"/>
                <a:round/>
              </a:ln>
              <a:effectLst/>
            </c:spPr>
          </c:marker>
          <c:val>
            <c:numRef>
              <c:f>table1!$E$12:$E$27</c:f>
              <c:numCache>
                <c:formatCode>0.00%</c:formatCode>
                <c:ptCount val="16"/>
                <c:pt idx="0">
                  <c:v>0.1004</c:v>
                </c:pt>
                <c:pt idx="1">
                  <c:v>9.8100000000000007E-2</c:v>
                </c:pt>
                <c:pt idx="2">
                  <c:v>0.10390000000000001</c:v>
                </c:pt>
                <c:pt idx="3">
                  <c:v>9.6799999999999997E-2</c:v>
                </c:pt>
                <c:pt idx="4">
                  <c:v>9.2700000000000005E-2</c:v>
                </c:pt>
                <c:pt idx="5">
                  <c:v>8.6199999999999999E-2</c:v>
                </c:pt>
                <c:pt idx="6">
                  <c:v>7.5200000000000003E-2</c:v>
                </c:pt>
                <c:pt idx="7">
                  <c:v>6.5100000000000005E-2</c:v>
                </c:pt>
                <c:pt idx="8">
                  <c:v>5.7200000000000001E-2</c:v>
                </c:pt>
                <c:pt idx="9">
                  <c:v>5.2999999999999999E-2</c:v>
                </c:pt>
                <c:pt idx="10">
                  <c:v>5.5E-2</c:v>
                </c:pt>
                <c:pt idx="11">
                  <c:v>4.3099999999999999E-2</c:v>
                </c:pt>
                <c:pt idx="12">
                  <c:v>3.6499999999999998E-2</c:v>
                </c:pt>
                <c:pt idx="13">
                  <c:v>3.3300000000000003E-2</c:v>
                </c:pt>
                <c:pt idx="14">
                  <c:v>2.8799999999999999E-2</c:v>
                </c:pt>
                <c:pt idx="15">
                  <c:v>2.5399999999999999E-2</c:v>
                </c:pt>
              </c:numCache>
            </c:numRef>
          </c:val>
          <c:smooth val="0"/>
          <c:extLst>
            <c:ext xmlns:c16="http://schemas.microsoft.com/office/drawing/2014/chart" uri="{C3380CC4-5D6E-409C-BE32-E72D297353CC}">
              <c16:uniqueId val="{00000002-2767-4CD1-85E9-2B404C388E92}"/>
            </c:ext>
          </c:extLst>
        </c:ser>
        <c:dLbls>
          <c:showLegendKey val="0"/>
          <c:showVal val="0"/>
          <c:showCatName val="0"/>
          <c:showSerName val="0"/>
          <c:showPercent val="0"/>
          <c:showBubbleSize val="0"/>
        </c:dLbls>
        <c:marker val="1"/>
        <c:smooth val="0"/>
        <c:axId val="370206664"/>
        <c:axId val="370215248"/>
      </c:lineChart>
      <c:catAx>
        <c:axId val="370140872"/>
        <c:scaling>
          <c:orientation val="minMax"/>
        </c:scaling>
        <c:delete val="0"/>
        <c:axPos val="b"/>
        <c:numFmt formatCode="General" sourceLinked="1"/>
        <c:majorTickMark val="cross"/>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a:ea typeface="Arial"/>
                <a:cs typeface="Arial"/>
              </a:defRPr>
            </a:pPr>
            <a:endParaRPr lang="el-GR"/>
          </a:p>
        </c:txPr>
        <c:crossAx val="370141256"/>
        <c:crosses val="autoZero"/>
        <c:auto val="0"/>
        <c:lblAlgn val="ctr"/>
        <c:lblOffset val="100"/>
        <c:tickMarkSkip val="1"/>
        <c:noMultiLvlLbl val="0"/>
      </c:catAx>
      <c:valAx>
        <c:axId val="370141256"/>
        <c:scaling>
          <c:orientation val="minMax"/>
        </c:scaling>
        <c:delete val="0"/>
        <c:axPos val="l"/>
        <c:title>
          <c:tx>
            <c:rich>
              <a:bodyPr rot="-5400000" spcFirstLastPara="1" vertOverflow="ellipsis" vert="horz" wrap="square" anchor="ctr" anchorCtr="1"/>
              <a:lstStyle/>
              <a:p>
                <a:pPr>
                  <a:defRPr sz="600" b="0" i="0" u="none" strike="noStrike" kern="1200" baseline="0">
                    <a:solidFill>
                      <a:sysClr val="windowText" lastClr="000000"/>
                    </a:solidFill>
                    <a:latin typeface="Arial"/>
                    <a:ea typeface="Arial"/>
                    <a:cs typeface="Arial"/>
                  </a:defRPr>
                </a:pPr>
                <a:r>
                  <a:rPr lang="el-GR" sz="600" b="1" i="1" u="none" strike="noStrike" baseline="0">
                    <a:solidFill>
                      <a:sysClr val="windowText" lastClr="000000"/>
                    </a:solidFill>
                    <a:latin typeface="Arial"/>
                    <a:cs typeface="Arial"/>
                  </a:rPr>
                  <a:t>Εγγυήσεις και Καταπτώσεις</a:t>
                </a:r>
              </a:p>
              <a:p>
                <a:pPr>
                  <a:defRPr sz="600">
                    <a:solidFill>
                      <a:sysClr val="windowText" lastClr="000000"/>
                    </a:solidFill>
                  </a:defRPr>
                </a:pPr>
                <a:r>
                  <a:rPr lang="el-GR" sz="600" b="1" i="1" u="none" strike="noStrike" baseline="0">
                    <a:solidFill>
                      <a:sysClr val="windowText" lastClr="000000"/>
                    </a:solidFill>
                    <a:latin typeface="Arial"/>
                    <a:cs typeface="Arial"/>
                  </a:rPr>
                  <a:t>ως % του ΑΕΠ</a:t>
                </a:r>
              </a:p>
            </c:rich>
          </c:tx>
          <c:layout>
            <c:manualLayout>
              <c:xMode val="edge"/>
              <c:yMode val="edge"/>
              <c:x val="8.3980241168861616E-2"/>
              <c:y val="0.13600027028423567"/>
            </c:manualLayout>
          </c:layout>
          <c:overlay val="0"/>
          <c:spPr>
            <a:noFill/>
            <a:ln w="25400">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Arial"/>
                  <a:ea typeface="Arial"/>
                  <a:cs typeface="Arial"/>
                </a:defRPr>
              </a:pPr>
              <a:endParaRPr lang="el-GR"/>
            </a:p>
          </c:txPr>
        </c:title>
        <c:numFmt formatCode="0.00%" sourceLinked="1"/>
        <c:majorTickMark val="cross"/>
        <c:minorTickMark val="none"/>
        <c:tickLblPos val="nextTo"/>
        <c:spPr>
          <a:noFill/>
          <a:ln w="3175" cap="flat" cmpd="sng" algn="ctr">
            <a:solidFill>
              <a:schemeClr val="bg1">
                <a:lumMod val="85000"/>
              </a:schemeClr>
            </a:solidFill>
            <a:prstDash val="solid"/>
            <a:round/>
          </a:ln>
          <a:effectLst/>
        </c:spPr>
        <c:txPr>
          <a:bodyPr rot="0" spcFirstLastPara="1" vertOverflow="ellipsis" wrap="square" anchor="ctr" anchorCtr="1"/>
          <a:lstStyle/>
          <a:p>
            <a:pPr>
              <a:defRPr sz="600" b="0" i="0" u="none" strike="noStrike" kern="1200" baseline="0">
                <a:solidFill>
                  <a:srgbClr val="000000"/>
                </a:solidFill>
                <a:latin typeface="Arial"/>
                <a:ea typeface="Arial"/>
                <a:cs typeface="Arial"/>
              </a:defRPr>
            </a:pPr>
            <a:endParaRPr lang="el-GR"/>
          </a:p>
        </c:txPr>
        <c:crossAx val="370140872"/>
        <c:crosses val="autoZero"/>
        <c:crossBetween val="between"/>
      </c:valAx>
      <c:catAx>
        <c:axId val="370206664"/>
        <c:scaling>
          <c:orientation val="minMax"/>
        </c:scaling>
        <c:delete val="1"/>
        <c:axPos val="b"/>
        <c:majorTickMark val="out"/>
        <c:minorTickMark val="none"/>
        <c:tickLblPos val="none"/>
        <c:crossAx val="370215248"/>
        <c:crosses val="autoZero"/>
        <c:auto val="0"/>
        <c:lblAlgn val="ctr"/>
        <c:lblOffset val="100"/>
        <c:noMultiLvlLbl val="0"/>
      </c:catAx>
      <c:valAx>
        <c:axId val="370215248"/>
        <c:scaling>
          <c:orientation val="minMax"/>
        </c:scaling>
        <c:delete val="0"/>
        <c:axPos val="r"/>
        <c:title>
          <c:tx>
            <c:rich>
              <a:bodyPr rot="-5400000" spcFirstLastPara="1" vertOverflow="ellipsis" vert="horz" wrap="square" anchor="ctr" anchorCtr="1"/>
              <a:lstStyle/>
              <a:p>
                <a:pPr>
                  <a:defRPr sz="700" b="0" i="0" u="none" strike="noStrike" kern="1200" baseline="0">
                    <a:solidFill>
                      <a:sysClr val="windowText" lastClr="000000"/>
                    </a:solidFill>
                    <a:latin typeface="Arial"/>
                    <a:ea typeface="Arial"/>
                    <a:cs typeface="Arial"/>
                  </a:defRPr>
                </a:pPr>
                <a:r>
                  <a:rPr lang="el-GR" sz="600" b="1" i="1" u="none" strike="noStrike" baseline="0">
                    <a:solidFill>
                      <a:sysClr val="windowText" lastClr="000000"/>
                    </a:solidFill>
                    <a:latin typeface="Arial"/>
                    <a:cs typeface="Arial"/>
                  </a:rPr>
                  <a:t>Ανεξόφλητο Εγγυημένο Υπόλοιπο ως % του ΑΕΠ</a:t>
                </a:r>
              </a:p>
            </c:rich>
          </c:tx>
          <c:layout>
            <c:manualLayout>
              <c:xMode val="edge"/>
              <c:yMode val="edge"/>
              <c:x val="0.97751382510482776"/>
              <c:y val="1.92855751688283E-3"/>
            </c:manualLayout>
          </c:layout>
          <c:overlay val="0"/>
          <c:spPr>
            <a:noFill/>
            <a:ln w="25400">
              <a:noFill/>
            </a:ln>
            <a:effectLst/>
          </c:spPr>
          <c:txPr>
            <a:bodyPr rot="-5400000" spcFirstLastPara="1" vertOverflow="ellipsis" vert="horz" wrap="square" anchor="ctr" anchorCtr="1"/>
            <a:lstStyle/>
            <a:p>
              <a:pPr>
                <a:defRPr sz="700" b="0" i="0" u="none" strike="noStrike" kern="1200" baseline="0">
                  <a:solidFill>
                    <a:sysClr val="windowText" lastClr="000000"/>
                  </a:solidFill>
                  <a:latin typeface="Arial"/>
                  <a:ea typeface="Arial"/>
                  <a:cs typeface="Arial"/>
                </a:defRPr>
              </a:pPr>
              <a:endParaRPr lang="el-GR"/>
            </a:p>
          </c:txPr>
        </c:title>
        <c:numFmt formatCode="0.00%" sourceLinked="1"/>
        <c:majorTickMark val="cross"/>
        <c:minorTickMark val="none"/>
        <c:tickLblPos val="nextTo"/>
        <c:spPr>
          <a:noFill/>
          <a:ln w="3175" cap="flat" cmpd="sng" algn="ctr">
            <a:solidFill>
              <a:schemeClr val="bg1">
                <a:lumMod val="85000"/>
              </a:schemeClr>
            </a:solidFill>
            <a:prstDash val="solid"/>
            <a:round/>
          </a:ln>
          <a:effectLst/>
        </c:spPr>
        <c:txPr>
          <a:bodyPr rot="0" spcFirstLastPara="1" vertOverflow="ellipsis" wrap="square" anchor="ctr" anchorCtr="1"/>
          <a:lstStyle/>
          <a:p>
            <a:pPr>
              <a:defRPr sz="600" b="0" i="0" u="none" strike="noStrike" kern="1200" baseline="0">
                <a:solidFill>
                  <a:sysClr val="windowText" lastClr="000000"/>
                </a:solidFill>
                <a:latin typeface="Arial"/>
                <a:ea typeface="Arial"/>
                <a:cs typeface="Arial"/>
              </a:defRPr>
            </a:pPr>
            <a:endParaRPr lang="el-GR"/>
          </a:p>
        </c:txPr>
        <c:crossAx val="370206664"/>
        <c:crosses val="max"/>
        <c:crossBetween val="between"/>
      </c:valAx>
      <c:dTable>
        <c:showHorzBorder val="1"/>
        <c:showVertBorder val="1"/>
        <c:showOutline val="1"/>
        <c:showKeys val="0"/>
        <c:spPr>
          <a:noFill/>
          <a:ln w="3175" cap="flat" cmpd="sng" algn="ctr">
            <a:solidFill>
              <a:schemeClr val="bg1">
                <a:lumMod val="85000"/>
              </a:schemeClr>
            </a:solidFill>
            <a:prstDash val="solid"/>
            <a:round/>
          </a:ln>
          <a:effectLst/>
        </c:spPr>
        <c:txPr>
          <a:bodyPr rot="0" spcFirstLastPara="1" vertOverflow="ellipsis" vert="horz" wrap="square" anchor="ctr" anchorCtr="1"/>
          <a:lstStyle/>
          <a:p>
            <a:pPr rtl="0">
              <a:defRPr sz="600" b="0" i="0" u="none" strike="noStrike" kern="1200" baseline="0">
                <a:ln>
                  <a:noFill/>
                </a:ln>
                <a:solidFill>
                  <a:sysClr val="windowText" lastClr="000000"/>
                </a:solidFill>
                <a:latin typeface="Arial"/>
                <a:ea typeface="Arial"/>
                <a:cs typeface="Arial"/>
              </a:defRPr>
            </a:pPr>
            <a:endParaRPr lang="el-GR"/>
          </a:p>
        </c:txPr>
      </c:dTable>
      <c:spPr>
        <a:noFill/>
        <a:ln w="12700">
          <a:noFill/>
          <a:prstDash val="solid"/>
        </a:ln>
        <a:effectLst/>
      </c:spPr>
    </c:plotArea>
    <c:legend>
      <c:legendPos val="r"/>
      <c:layout>
        <c:manualLayout>
          <c:xMode val="edge"/>
          <c:yMode val="edge"/>
          <c:x val="0.19657224214117666"/>
          <c:y val="0.90387460401372088"/>
          <c:w val="0.71265033987620341"/>
          <c:h val="4.7166983985659029E-2"/>
        </c:manualLayout>
      </c:layout>
      <c:overlay val="0"/>
      <c:spPr>
        <a:solidFill>
          <a:srgbClr val="FFFFFF"/>
        </a:solidFill>
        <a:ln w="3175">
          <a:solidFill>
            <a:schemeClr val="bg1">
              <a:lumMod val="85000"/>
            </a:schemeClr>
          </a:solidFill>
          <a:prstDash val="solid"/>
        </a:ln>
        <a:effectLst/>
      </c:spPr>
      <c:txPr>
        <a:bodyPr rot="0" spcFirstLastPara="1" vertOverflow="ellipsis" vert="horz" wrap="square" anchor="ctr" anchorCtr="1"/>
        <a:lstStyle/>
        <a:p>
          <a:pPr>
            <a:defRPr sz="600" b="0" i="0" u="none" strike="noStrike" kern="1200" baseline="0">
              <a:solidFill>
                <a:srgbClr val="000000"/>
              </a:solidFill>
              <a:latin typeface="Arial"/>
              <a:ea typeface="Arial"/>
              <a:cs typeface="Arial"/>
            </a:defRPr>
          </a:pPr>
          <a:endParaRPr lang="el-GR"/>
        </a:p>
      </c:txPr>
    </c:legend>
    <c:plotVisOnly val="1"/>
    <c:dispBlanksAs val="gap"/>
    <c:showDLblsOverMax val="0"/>
  </c:chart>
  <c:spPr>
    <a:noFill/>
    <a:ln w="6350" cap="flat" cmpd="sng" algn="ctr">
      <a:solidFill>
        <a:schemeClr val="bg1">
          <a:lumMod val="85000"/>
        </a:schemeClr>
      </a:solidFill>
      <a:prstDash val="solid"/>
      <a:round/>
    </a:ln>
    <a:effectLst/>
  </c:spPr>
  <c:txPr>
    <a:bodyPr/>
    <a:lstStyle/>
    <a:p>
      <a:pPr>
        <a:defRPr sz="1000" b="0" i="0" u="none" strike="noStrike" baseline="0">
          <a:solidFill>
            <a:srgbClr val="000000"/>
          </a:solidFill>
          <a:latin typeface="Arial"/>
          <a:ea typeface="Arial"/>
          <a:cs typeface="Arial"/>
        </a:defRPr>
      </a:pPr>
      <a:endParaRPr lang="el-G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withinLinear" id="14">
  <a:schemeClr val="accent1"/>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withinLinear" id="14">
  <a:schemeClr val="accent1"/>
</cs:colorStyle>
</file>

<file path=word/charts/colors25.xml><?xml version="1.0" encoding="utf-8"?>
<cs:colorStyle xmlns:cs="http://schemas.microsoft.com/office/drawing/2012/chartStyle" xmlns:a="http://schemas.openxmlformats.org/drawingml/2006/main" meth="withinLinear" id="14">
  <a:schemeClr val="accent1"/>
</cs:colorStyle>
</file>

<file path=word/charts/colors26.xml><?xml version="1.0" encoding="utf-8"?>
<cs:colorStyle xmlns:cs="http://schemas.microsoft.com/office/drawing/2012/chartStyle" xmlns:a="http://schemas.openxmlformats.org/drawingml/2006/main" meth="withinLinear" id="14">
  <a:schemeClr val="accent1"/>
</cs:colorStyle>
</file>

<file path=word/charts/colors27.xml><?xml version="1.0" encoding="utf-8"?>
<cs:colorStyle xmlns:cs="http://schemas.microsoft.com/office/drawing/2012/chartStyle" xmlns:a="http://schemas.openxmlformats.org/drawingml/2006/main" meth="withinLinear" id="14">
  <a:schemeClr val="accent1"/>
</cs:colorStyle>
</file>

<file path=word/charts/colors28.xml><?xml version="1.0" encoding="utf-8"?>
<cs:colorStyle xmlns:cs="http://schemas.microsoft.com/office/drawing/2012/chartStyle" xmlns:a="http://schemas.openxmlformats.org/drawingml/2006/main" meth="withinLinear" id="14">
  <a:schemeClr val="accent1"/>
</cs:colorStyle>
</file>

<file path=word/charts/colors29.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4">
  <a:schemeClr val="accent1"/>
</cs:colorStyle>
</file>

<file path=word/charts/colors31.xml><?xml version="1.0" encoding="utf-8"?>
<cs:colorStyle xmlns:cs="http://schemas.microsoft.com/office/drawing/2012/chartStyle" xmlns:a="http://schemas.openxmlformats.org/drawingml/2006/main" meth="withinLinear" id="14">
  <a:schemeClr val="accent1"/>
</cs:colorStyle>
</file>

<file path=word/charts/colors32.xml><?xml version="1.0" encoding="utf-8"?>
<cs:colorStyle xmlns:cs="http://schemas.microsoft.com/office/drawing/2012/chartStyle" xmlns:a="http://schemas.openxmlformats.org/drawingml/2006/main" meth="withinLinear" id="14">
  <a:schemeClr val="accent1"/>
</cs:colorStyle>
</file>

<file path=word/charts/colors33.xml><?xml version="1.0" encoding="utf-8"?>
<cs:colorStyle xmlns:cs="http://schemas.microsoft.com/office/drawing/2012/chartStyle" xmlns:a="http://schemas.openxmlformats.org/drawingml/2006/main" meth="withinLinear" id="14">
  <a:schemeClr val="accent1"/>
</cs:colorStyle>
</file>

<file path=word/charts/colors34.xml><?xml version="1.0" encoding="utf-8"?>
<cs:colorStyle xmlns:cs="http://schemas.microsoft.com/office/drawing/2012/chartStyle" xmlns:a="http://schemas.openxmlformats.org/drawingml/2006/main" meth="withinLinear" id="14">
  <a:schemeClr val="accent1"/>
</cs:colorStyle>
</file>

<file path=word/charts/colors35.xml><?xml version="1.0" encoding="utf-8"?>
<cs:colorStyle xmlns:cs="http://schemas.microsoft.com/office/drawing/2012/chartStyle" xmlns:a="http://schemas.openxmlformats.org/drawingml/2006/main" meth="withinLinear" id="14">
  <a:schemeClr val="accent1"/>
</cs:colorStyle>
</file>

<file path=word/charts/colors36.xml><?xml version="1.0" encoding="utf-8"?>
<cs:colorStyle xmlns:cs="http://schemas.microsoft.com/office/drawing/2012/chartStyle" xmlns:a="http://schemas.openxmlformats.org/drawingml/2006/main" meth="withinLinear" id="14">
  <a:schemeClr val="accent1"/>
</cs:colorStyle>
</file>

<file path=word/charts/colors37.xml><?xml version="1.0" encoding="utf-8"?>
<cs:colorStyle xmlns:cs="http://schemas.microsoft.com/office/drawing/2012/chartStyle" xmlns:a="http://schemas.openxmlformats.org/drawingml/2006/main" meth="withinLinear" id="14">
  <a:schemeClr val="accent1"/>
</cs:colorStyle>
</file>

<file path=word/charts/colors38.xml><?xml version="1.0" encoding="utf-8"?>
<cs:colorStyle xmlns:cs="http://schemas.microsoft.com/office/drawing/2012/chartStyle" xmlns:a="http://schemas.openxmlformats.org/drawingml/2006/main" meth="withinLinear" id="14">
  <a:schemeClr val="accent1"/>
</cs:colorStyle>
</file>

<file path=word/charts/colors39.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withinLinear" id="14">
  <a:schemeClr val="accent1"/>
</cs:colorStyle>
</file>

<file path=word/charts/colors41.xml><?xml version="1.0" encoding="utf-8"?>
<cs:colorStyle xmlns:cs="http://schemas.microsoft.com/office/drawing/2012/chartStyle" xmlns:a="http://schemas.openxmlformats.org/drawingml/2006/main" meth="withinLinear" id="14">
  <a:schemeClr val="accent1"/>
</cs:colorStyle>
</file>

<file path=word/charts/colors42.xml><?xml version="1.0" encoding="utf-8"?>
<cs:colorStyle xmlns:cs="http://schemas.microsoft.com/office/drawing/2012/chartStyle" xmlns:a="http://schemas.openxmlformats.org/drawingml/2006/main" meth="withinLinear" id="14">
  <a:schemeClr val="accent1"/>
</cs:colorStyle>
</file>

<file path=word/charts/colors43.xml><?xml version="1.0" encoding="utf-8"?>
<cs:colorStyle xmlns:cs="http://schemas.microsoft.com/office/drawing/2012/chartStyle" xmlns:a="http://schemas.openxmlformats.org/drawingml/2006/main" meth="withinLinear" id="14">
  <a:schemeClr val="accent1"/>
</cs:colorStyle>
</file>

<file path=word/charts/colors44.xml><?xml version="1.0" encoding="utf-8"?>
<cs:colorStyle xmlns:cs="http://schemas.microsoft.com/office/drawing/2012/chartStyle" xmlns:a="http://schemas.openxmlformats.org/drawingml/2006/main" meth="withinLinear" id="14">
  <a:schemeClr val="accent1"/>
</cs:colorStyle>
</file>

<file path=word/charts/colors45.xml><?xml version="1.0" encoding="utf-8"?>
<cs:colorStyle xmlns:cs="http://schemas.microsoft.com/office/drawing/2012/chartStyle" xmlns:a="http://schemas.openxmlformats.org/drawingml/2006/main" meth="withinLinear" id="14">
  <a:schemeClr val="accent1"/>
</cs:colorStyle>
</file>

<file path=word/charts/colors46.xml><?xml version="1.0" encoding="utf-8"?>
<cs:colorStyle xmlns:cs="http://schemas.microsoft.com/office/drawing/2012/chartStyle" xmlns:a="http://schemas.openxmlformats.org/drawingml/2006/main" meth="withinLinear" id="14">
  <a:schemeClr val="accent1"/>
</cs:colorStyle>
</file>

<file path=word/charts/colors47.xml><?xml version="1.0" encoding="utf-8"?>
<cs:colorStyle xmlns:cs="http://schemas.microsoft.com/office/drawing/2012/chartStyle" xmlns:a="http://schemas.openxmlformats.org/drawingml/2006/main" meth="withinLinear" id="14">
  <a:schemeClr val="accent1"/>
</cs:colorStyle>
</file>

<file path=word/charts/colors48.xml><?xml version="1.0" encoding="utf-8"?>
<cs:colorStyle xmlns:cs="http://schemas.microsoft.com/office/drawing/2012/chartStyle" xmlns:a="http://schemas.openxmlformats.org/drawingml/2006/main" meth="withinLinear" id="14">
  <a:schemeClr val="accent1"/>
</cs:colorStyle>
</file>

<file path=word/charts/colors49.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withinLinear" id="14">
  <a:schemeClr val="accent1"/>
</cs:colorStyle>
</file>

<file path=word/charts/colors51.xml><?xml version="1.0" encoding="utf-8"?>
<cs:colorStyle xmlns:cs="http://schemas.microsoft.com/office/drawing/2012/chartStyle" xmlns:a="http://schemas.openxmlformats.org/drawingml/2006/main" meth="withinLinear" id="14">
  <a:schemeClr val="accent1"/>
</cs:colorStyle>
</file>

<file path=word/charts/colors52.xml><?xml version="1.0" encoding="utf-8"?>
<cs:colorStyle xmlns:cs="http://schemas.microsoft.com/office/drawing/2012/chartStyle" xmlns:a="http://schemas.openxmlformats.org/drawingml/2006/main" meth="withinLinear" id="14">
  <a:schemeClr val="accent1"/>
</cs:colorStyle>
</file>

<file path=word/charts/colors53.xml><?xml version="1.0" encoding="utf-8"?>
<cs:colorStyle xmlns:cs="http://schemas.microsoft.com/office/drawing/2012/chartStyle" xmlns:a="http://schemas.openxmlformats.org/drawingml/2006/main" meth="withinLinear" id="14">
  <a:schemeClr val="accent1"/>
</cs:colorStyle>
</file>

<file path=word/charts/colors54.xml><?xml version="1.0" encoding="utf-8"?>
<cs:colorStyle xmlns:cs="http://schemas.microsoft.com/office/drawing/2012/chartStyle" xmlns:a="http://schemas.openxmlformats.org/drawingml/2006/main" meth="withinLinear" id="14">
  <a:schemeClr val="accent1"/>
</cs:colorStyle>
</file>

<file path=word/charts/colors55.xml><?xml version="1.0" encoding="utf-8"?>
<cs:colorStyle xmlns:cs="http://schemas.microsoft.com/office/drawing/2012/chartStyle" xmlns:a="http://schemas.openxmlformats.org/drawingml/2006/main" meth="withinLinear" id="14">
  <a:schemeClr val="accent1"/>
</cs:colorStyle>
</file>

<file path=word/charts/colors56.xml><?xml version="1.0" encoding="utf-8"?>
<cs:colorStyle xmlns:cs="http://schemas.microsoft.com/office/drawing/2012/chartStyle" xmlns:a="http://schemas.openxmlformats.org/drawingml/2006/main" meth="withinLinear" id="14">
  <a:schemeClr val="accent1"/>
</cs:colorStyle>
</file>

<file path=word/charts/colors57.xml><?xml version="1.0" encoding="utf-8"?>
<cs:colorStyle xmlns:cs="http://schemas.microsoft.com/office/drawing/2012/chartStyle" xmlns:a="http://schemas.openxmlformats.org/drawingml/2006/main" meth="withinLinear" id="14">
  <a:schemeClr val="accent1"/>
</cs:colorStyle>
</file>

<file path=word/charts/colors58.xml><?xml version="1.0" encoding="utf-8"?>
<cs:colorStyle xmlns:cs="http://schemas.microsoft.com/office/drawing/2012/chartStyle" xmlns:a="http://schemas.openxmlformats.org/drawingml/2006/main" meth="withinLinear" id="14">
  <a:schemeClr val="accent1"/>
</cs:colorStyle>
</file>

<file path=word/charts/colors59.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withinLinear" id="14">
  <a:schemeClr val="accent1"/>
</cs:colorStyle>
</file>

<file path=word/charts/colors61.xml><?xml version="1.0" encoding="utf-8"?>
<cs:colorStyle xmlns:cs="http://schemas.microsoft.com/office/drawing/2012/chartStyle" xmlns:a="http://schemas.openxmlformats.org/drawingml/2006/main" meth="withinLinear" id="14">
  <a:schemeClr val="accent1"/>
</cs:colorStyle>
</file>

<file path=word/charts/colors62.xml><?xml version="1.0" encoding="utf-8"?>
<cs:colorStyle xmlns:cs="http://schemas.microsoft.com/office/drawing/2012/chartStyle" xmlns:a="http://schemas.openxmlformats.org/drawingml/2006/main" meth="withinLinear" id="14">
  <a:schemeClr val="accent1"/>
</cs:colorStyle>
</file>

<file path=word/charts/colors63.xml><?xml version="1.0" encoding="utf-8"?>
<cs:colorStyle xmlns:cs="http://schemas.microsoft.com/office/drawing/2012/chartStyle" xmlns:a="http://schemas.openxmlformats.org/drawingml/2006/main" meth="withinLinear" id="14">
  <a:schemeClr val="accent1"/>
</cs:colorStyle>
</file>

<file path=word/charts/colors64.xml><?xml version="1.0" encoding="utf-8"?>
<cs:colorStyle xmlns:cs="http://schemas.microsoft.com/office/drawing/2012/chartStyle" xmlns:a="http://schemas.openxmlformats.org/drawingml/2006/main" meth="withinLinear" id="14">
  <a:schemeClr val="accent1"/>
</cs:colorStyle>
</file>

<file path=word/charts/colors65.xml><?xml version="1.0" encoding="utf-8"?>
<cs:colorStyle xmlns:cs="http://schemas.microsoft.com/office/drawing/2012/chartStyle" xmlns:a="http://schemas.openxmlformats.org/drawingml/2006/main" meth="withinLinear" id="14">
  <a:schemeClr val="accent1"/>
</cs:colorStyle>
</file>

<file path=word/charts/colors66.xml><?xml version="1.0" encoding="utf-8"?>
<cs:colorStyle xmlns:cs="http://schemas.microsoft.com/office/drawing/2012/chartStyle" xmlns:a="http://schemas.openxmlformats.org/drawingml/2006/main" meth="withinLinear" id="14">
  <a:schemeClr val="accent1"/>
</cs:colorStyle>
</file>

<file path=word/charts/colors67.xml><?xml version="1.0" encoding="utf-8"?>
<cs:colorStyle xmlns:cs="http://schemas.microsoft.com/office/drawing/2012/chartStyle" xmlns:a="http://schemas.openxmlformats.org/drawingml/2006/main" meth="withinLinear" id="14">
  <a:schemeClr val="accent1"/>
</cs:colorStyle>
</file>

<file path=word/charts/colors68.xml><?xml version="1.0" encoding="utf-8"?>
<cs:colorStyle xmlns:cs="http://schemas.microsoft.com/office/drawing/2012/chartStyle" xmlns:a="http://schemas.openxmlformats.org/drawingml/2006/main" meth="withinLinear" id="14">
  <a:schemeClr val="accent1"/>
</cs:colorStyle>
</file>

<file path=word/charts/colors69.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withinLinear" id="14">
  <a:schemeClr val="accent1"/>
</cs:colorStyle>
</file>

<file path=word/charts/colors71.xml><?xml version="1.0" encoding="utf-8"?>
<cs:colorStyle xmlns:cs="http://schemas.microsoft.com/office/drawing/2012/chartStyle" xmlns:a="http://schemas.openxmlformats.org/drawingml/2006/main" meth="withinLinear" id="14">
  <a:schemeClr val="accent1"/>
</cs:colorStyle>
</file>

<file path=word/charts/colors72.xml><?xml version="1.0" encoding="utf-8"?>
<cs:colorStyle xmlns:cs="http://schemas.microsoft.com/office/drawing/2012/chartStyle" xmlns:a="http://schemas.openxmlformats.org/drawingml/2006/main" meth="withinLinear" id="14">
  <a:schemeClr val="accent1"/>
</cs:colorStyle>
</file>

<file path=word/charts/colors73.xml><?xml version="1.0" encoding="utf-8"?>
<cs:colorStyle xmlns:cs="http://schemas.microsoft.com/office/drawing/2012/chartStyle" xmlns:a="http://schemas.openxmlformats.org/drawingml/2006/main" meth="withinLinear" id="14">
  <a:schemeClr val="accent1"/>
</cs:colorStyle>
</file>

<file path=word/charts/colors74.xml><?xml version="1.0" encoding="utf-8"?>
<cs:colorStyle xmlns:cs="http://schemas.microsoft.com/office/drawing/2012/chartStyle" xmlns:a="http://schemas.openxmlformats.org/drawingml/2006/main" meth="withinLinear" id="14">
  <a:schemeClr val="accent1"/>
</cs:colorStyle>
</file>

<file path=word/charts/colors75.xml><?xml version="1.0" encoding="utf-8"?>
<cs:colorStyle xmlns:cs="http://schemas.microsoft.com/office/drawing/2012/chartStyle" xmlns:a="http://schemas.openxmlformats.org/drawingml/2006/main" meth="withinLinear" id="14">
  <a:schemeClr val="accent1"/>
</cs:colorStyle>
</file>

<file path=word/charts/colors76.xml><?xml version="1.0" encoding="utf-8"?>
<cs:colorStyle xmlns:cs="http://schemas.microsoft.com/office/drawing/2012/chartStyle" xmlns:a="http://schemas.openxmlformats.org/drawingml/2006/main" meth="withinLinear" id="14">
  <a:schemeClr val="accent1"/>
</cs:colorStyle>
</file>

<file path=word/charts/colors77.xml><?xml version="1.0" encoding="utf-8"?>
<cs:colorStyle xmlns:cs="http://schemas.microsoft.com/office/drawing/2012/chartStyle" xmlns:a="http://schemas.openxmlformats.org/drawingml/2006/main" meth="withinLinear" id="14">
  <a:schemeClr val="accent1"/>
</cs:colorStyle>
</file>

<file path=word/charts/colors78.xml><?xml version="1.0" encoding="utf-8"?>
<cs:colorStyle xmlns:cs="http://schemas.microsoft.com/office/drawing/2012/chartStyle" xmlns:a="http://schemas.openxmlformats.org/drawingml/2006/main" meth="withinLinear" id="14">
  <a:schemeClr val="accent1"/>
</cs:colorStyle>
</file>

<file path=word/charts/colors79.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80.xml><?xml version="1.0" encoding="utf-8"?>
<cs:colorStyle xmlns:cs="http://schemas.microsoft.com/office/drawing/2012/chartStyle" xmlns:a="http://schemas.openxmlformats.org/drawingml/2006/main" meth="withinLinear" id="14">
  <a:schemeClr val="accent1"/>
</cs:colorStyle>
</file>

<file path=word/charts/colors81.xml><?xml version="1.0" encoding="utf-8"?>
<cs:colorStyle xmlns:cs="http://schemas.microsoft.com/office/drawing/2012/chartStyle" xmlns:a="http://schemas.openxmlformats.org/drawingml/2006/main" meth="withinLinear" id="14">
  <a:schemeClr val="accent1"/>
</cs:colorStyle>
</file>

<file path=word/charts/colors82.xml><?xml version="1.0" encoding="utf-8"?>
<cs:colorStyle xmlns:cs="http://schemas.microsoft.com/office/drawing/2012/chartStyle" xmlns:a="http://schemas.openxmlformats.org/drawingml/2006/main" meth="withinLinear" id="14">
  <a:schemeClr val="accent1"/>
</cs:colorStyle>
</file>

<file path=word/charts/colors83.xml><?xml version="1.0" encoding="utf-8"?>
<cs:colorStyle xmlns:cs="http://schemas.microsoft.com/office/drawing/2012/chartStyle" xmlns:a="http://schemas.openxmlformats.org/drawingml/2006/main" meth="withinLinear" id="14">
  <a:schemeClr val="accent1"/>
</cs:colorStyle>
</file>

<file path=word/charts/colors84.xml><?xml version="1.0" encoding="utf-8"?>
<cs:colorStyle xmlns:cs="http://schemas.microsoft.com/office/drawing/2012/chartStyle" xmlns:a="http://schemas.openxmlformats.org/drawingml/2006/main" meth="withinLinear" id="14">
  <a:schemeClr val="accent1"/>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withinLinearReversed" id="21">
  <a:schemeClr val="accent1"/>
</cs:colorStyle>
</file>

<file path=word/charts/colors87.xml><?xml version="1.0" encoding="utf-8"?>
<cs:colorStyle xmlns:cs="http://schemas.microsoft.com/office/drawing/2012/chartStyle" xmlns:a="http://schemas.openxmlformats.org/drawingml/2006/main" meth="withinLinear" id="14">
  <a:schemeClr val="accent1"/>
</cs:colorStyle>
</file>

<file path=word/charts/colors88.xml><?xml version="1.0" encoding="utf-8"?>
<cs:colorStyle xmlns:cs="http://schemas.microsoft.com/office/drawing/2012/chartStyle" xmlns:a="http://schemas.openxmlformats.org/drawingml/2006/main" meth="withinLinearReversed" id="21">
  <a:schemeClr val="accent1"/>
</cs:colorStyle>
</file>

<file path=word/charts/colors89.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colors90.xml><?xml version="1.0" encoding="utf-8"?>
<cs:colorStyle xmlns:cs="http://schemas.microsoft.com/office/drawing/2012/chartStyle" xmlns:a="http://schemas.openxmlformats.org/drawingml/2006/main" meth="withinLinearReversed" id="21">
  <a:schemeClr val="accent1"/>
</cs:colorStyle>
</file>

<file path=word/charts/colors91.xml><?xml version="1.0" encoding="utf-8"?>
<cs:colorStyle xmlns:cs="http://schemas.microsoft.com/office/drawing/2012/chartStyle" xmlns:a="http://schemas.openxmlformats.org/drawingml/2006/main" meth="withinLinearReversed" id="21">
  <a:schemeClr val="accent1"/>
</cs:colorStyle>
</file>

<file path=word/charts/colors92.xml><?xml version="1.0" encoding="utf-8"?>
<cs:colorStyle xmlns:cs="http://schemas.microsoft.com/office/drawing/2012/chartStyle" xmlns:a="http://schemas.openxmlformats.org/drawingml/2006/main" meth="withinLinearReversed" id="21">
  <a:schemeClr val="accent1"/>
</cs:colorStyle>
</file>

<file path=word/charts/colors93.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400">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8.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9.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cdr:x>
      <cdr:y>0.93706</cdr:y>
    </cdr:from>
    <cdr:to>
      <cdr:x>0.78029</cdr:x>
      <cdr:y>1</cdr:y>
    </cdr:to>
    <cdr:sp macro="" textlink="">
      <cdr:nvSpPr>
        <cdr:cNvPr id="3" name="TextBox 1">
          <a:extLst xmlns:a="http://schemas.openxmlformats.org/drawingml/2006/main">
            <a:ext uri="{FF2B5EF4-FFF2-40B4-BE49-F238E27FC236}">
              <a16:creationId xmlns:a16="http://schemas.microsoft.com/office/drawing/2014/main" id="{80C4B964-A119-4F43-B62E-3152EE280623}"/>
            </a:ext>
          </a:extLst>
        </cdr:cNvPr>
        <cdr:cNvSpPr txBox="1"/>
      </cdr:nvSpPr>
      <cdr:spPr>
        <a:xfrm xmlns:a="http://schemas.openxmlformats.org/drawingml/2006/main">
          <a:off x="0" y="3827848"/>
          <a:ext cx="4449440" cy="2571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latin typeface="Arial" panose="020B0604020202020204" pitchFamily="34" charset="0"/>
              <a:cs typeface="Arial" panose="020B0604020202020204" pitchFamily="34" charset="0"/>
            </a:rPr>
            <a:t>Πηγή: ΕΛΣΤΑΤ, Μη Χρηματοοικονομικοί Λογαριασμοί Θεσμικών Τομέων, Οκτώβριος 202</a:t>
          </a:r>
          <a:r>
            <a:rPr lang="en-US" sz="700">
              <a:latin typeface="Arial" panose="020B0604020202020204" pitchFamily="34" charset="0"/>
              <a:cs typeface="Arial" panose="020B0604020202020204" pitchFamily="34" charset="0"/>
            </a:rPr>
            <a:t>5</a:t>
          </a:r>
          <a:endParaRPr lang="el-GR" sz="800">
            <a:latin typeface="Arial" panose="020B0604020202020204" pitchFamily="34" charset="0"/>
            <a:cs typeface="Arial" panose="020B060402020202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0.01158</cdr:x>
      <cdr:y>0.88359</cdr:y>
    </cdr:from>
    <cdr:to>
      <cdr:x>1</cdr:x>
      <cdr:y>0.98784</cdr:y>
    </cdr:to>
    <cdr:sp macro="" textlink="">
      <cdr:nvSpPr>
        <cdr:cNvPr id="3" name="TextBox 2">
          <a:extLst xmlns:a="http://schemas.openxmlformats.org/drawingml/2006/main">
            <a:ext uri="{FF2B5EF4-FFF2-40B4-BE49-F238E27FC236}">
              <a16:creationId xmlns:a16="http://schemas.microsoft.com/office/drawing/2014/main" id="{3F853B9F-EBED-472B-AC9E-8E59EDFAA383}"/>
            </a:ext>
          </a:extLst>
        </cdr:cNvPr>
        <cdr:cNvSpPr txBox="1"/>
      </cdr:nvSpPr>
      <cdr:spPr>
        <a:xfrm xmlns:a="http://schemas.openxmlformats.org/drawingml/2006/main">
          <a:off x="66694" y="2601726"/>
          <a:ext cx="5692756" cy="30696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700">
              <a:solidFill>
                <a:sysClr val="windowText" lastClr="000000">
                  <a:alpha val="75000"/>
                </a:sysClr>
              </a:solidFill>
              <a:latin typeface="Arial" panose="020B0604020202020204" pitchFamily="34" charset="0"/>
              <a:cs typeface="Arial" panose="020B0604020202020204" pitchFamily="34" charset="0"/>
            </a:rPr>
            <a:t>Πηγή: Στοιχεία από</a:t>
          </a:r>
          <a:r>
            <a:rPr lang="el-GR" sz="700" baseline="0">
              <a:solidFill>
                <a:sysClr val="windowText" lastClr="000000">
                  <a:alpha val="75000"/>
                </a:sysClr>
              </a:solidFill>
              <a:latin typeface="Arial" panose="020B0604020202020204" pitchFamily="34" charset="0"/>
              <a:cs typeface="Arial" panose="020B0604020202020204" pitchFamily="34" charset="0"/>
            </a:rPr>
            <a:t> το Υπουργείο Εσωτερικών κατόπιν επεξεργασίας από το Γενικό Λογιστήριο του Κράτους (Διεύθυνση Προϋπολογισμού Γενικής Κυβέρνησης/Υπουργείο Εθνικής Οικονομίας και Οικονομικών)</a:t>
          </a:r>
          <a:endParaRPr lang="el-GR" sz="700">
            <a:solidFill>
              <a:sysClr val="windowText" lastClr="000000">
                <a:alpha val="75000"/>
              </a:sysClr>
            </a:solidFill>
            <a:latin typeface="Arial" panose="020B0604020202020204" pitchFamily="34" charset="0"/>
            <a:cs typeface="Arial" panose="020B0604020202020204"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0.88674</cdr:y>
    </cdr:from>
    <cdr:to>
      <cdr:x>0.18544</cdr:x>
      <cdr:y>0.98082</cdr:y>
    </cdr:to>
    <cdr:sp macro="" textlink="">
      <cdr:nvSpPr>
        <cdr:cNvPr id="2" name="Πλαίσιο κειμένου 1"/>
        <cdr:cNvSpPr txBox="1"/>
      </cdr:nvSpPr>
      <cdr:spPr>
        <a:xfrm xmlns:a="http://schemas.openxmlformats.org/drawingml/2006/main">
          <a:off x="0" y="2367180"/>
          <a:ext cx="1068032" cy="2511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latin typeface="Arial" panose="020B0604020202020204" pitchFamily="34" charset="0"/>
              <a:cs typeface="Arial" panose="020B0604020202020204" pitchFamily="34" charset="0"/>
            </a:rPr>
            <a:t>Πηγή:</a:t>
          </a:r>
          <a:r>
            <a:rPr lang="el-GR" sz="700" baseline="0">
              <a:latin typeface="Arial" panose="020B0604020202020204" pitchFamily="34" charset="0"/>
              <a:cs typeface="Arial" panose="020B0604020202020204" pitchFamily="34" charset="0"/>
            </a:rPr>
            <a:t> ΟΔΔΗΧ</a:t>
          </a:r>
          <a:endParaRPr lang="el-GR" sz="700">
            <a:latin typeface="Arial" panose="020B0604020202020204" pitchFamily="34" charset="0"/>
            <a:cs typeface="Arial" panose="020B060402020202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0.93548</cdr:y>
    </cdr:from>
    <cdr:to>
      <cdr:x>0.2204</cdr:x>
      <cdr:y>1</cdr:y>
    </cdr:to>
    <cdr:sp macro="" textlink="">
      <cdr:nvSpPr>
        <cdr:cNvPr id="2" name="Πλαίσιο κειμένου 1"/>
        <cdr:cNvSpPr txBox="1"/>
      </cdr:nvSpPr>
      <cdr:spPr>
        <a:xfrm xmlns:a="http://schemas.openxmlformats.org/drawingml/2006/main">
          <a:off x="0" y="2545417"/>
          <a:ext cx="1169341" cy="1755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latin typeface="Arial" panose="020B0604020202020204" pitchFamily="34" charset="0"/>
              <a:cs typeface="Arial" panose="020B0604020202020204" pitchFamily="34" charset="0"/>
            </a:rPr>
            <a:t>Πηγή:ΟΔΔΗΧ</a:t>
          </a:r>
        </a:p>
      </cdr:txBody>
    </cdr:sp>
  </cdr:relSizeAnchor>
</c:userShapes>
</file>

<file path=word/drawings/drawing13.xml><?xml version="1.0" encoding="utf-8"?>
<c:userShapes xmlns:c="http://schemas.openxmlformats.org/drawingml/2006/chart">
  <cdr:relSizeAnchor xmlns:cdr="http://schemas.openxmlformats.org/drawingml/2006/chartDrawing">
    <cdr:from>
      <cdr:x>0</cdr:x>
      <cdr:y>0.92601</cdr:y>
    </cdr:from>
    <cdr:to>
      <cdr:x>0.21959</cdr:x>
      <cdr:y>0.98523</cdr:y>
    </cdr:to>
    <cdr:sp macro="" textlink="">
      <cdr:nvSpPr>
        <cdr:cNvPr id="2" name="Πλαίσιο κειμένου 1"/>
        <cdr:cNvSpPr txBox="1"/>
      </cdr:nvSpPr>
      <cdr:spPr>
        <a:xfrm xmlns:a="http://schemas.openxmlformats.org/drawingml/2006/main">
          <a:off x="0" y="2672538"/>
          <a:ext cx="1112300" cy="1709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latin typeface="Arial" panose="020B0604020202020204" pitchFamily="34" charset="0"/>
              <a:cs typeface="Arial" panose="020B0604020202020204" pitchFamily="34" charset="0"/>
            </a:rPr>
            <a:t>Πηγή: ΟΔΔΗΧ</a:t>
          </a:r>
        </a:p>
      </cdr:txBody>
    </cdr:sp>
  </cdr:relSizeAnchor>
</c:userShapes>
</file>

<file path=word/drawings/drawing14.xml><?xml version="1.0" encoding="utf-8"?>
<c:userShapes xmlns:c="http://schemas.openxmlformats.org/drawingml/2006/chart">
  <cdr:relSizeAnchor xmlns:cdr="http://schemas.openxmlformats.org/drawingml/2006/chartDrawing">
    <cdr:from>
      <cdr:x>0.01799</cdr:x>
      <cdr:y>0.92921</cdr:y>
    </cdr:from>
    <cdr:to>
      <cdr:x>0.34695</cdr:x>
      <cdr:y>1</cdr:y>
    </cdr:to>
    <cdr:sp macro="" textlink="">
      <cdr:nvSpPr>
        <cdr:cNvPr id="2" name="Πλαίσιο κειμένου 1"/>
        <cdr:cNvSpPr txBox="1"/>
      </cdr:nvSpPr>
      <cdr:spPr>
        <a:xfrm xmlns:a="http://schemas.openxmlformats.org/drawingml/2006/main">
          <a:off x="87368" y="2662498"/>
          <a:ext cx="1598019" cy="1793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latin typeface="Arial" panose="020B0604020202020204" pitchFamily="34" charset="0"/>
              <a:cs typeface="Arial" panose="020B0604020202020204" pitchFamily="34" charset="0"/>
            </a:rPr>
            <a:t>Πηγή:</a:t>
          </a:r>
          <a:r>
            <a:rPr lang="el-GR" sz="700" baseline="0">
              <a:latin typeface="Arial" panose="020B0604020202020204" pitchFamily="34" charset="0"/>
              <a:cs typeface="Arial" panose="020B0604020202020204" pitchFamily="34" charset="0"/>
            </a:rPr>
            <a:t> ΟΔΔΗΧ</a:t>
          </a:r>
          <a:endParaRPr lang="el-GR" sz="1050">
            <a:latin typeface="Arial" panose="020B0604020202020204" pitchFamily="34" charset="0"/>
            <a:cs typeface="Arial" panose="020B0604020202020204" pitchFamily="34"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cdr:x>
      <cdr:y>0.93808</cdr:y>
    </cdr:from>
    <cdr:to>
      <cdr:x>0.1702</cdr:x>
      <cdr:y>0.97879</cdr:y>
    </cdr:to>
    <cdr:sp macro="" textlink="">
      <cdr:nvSpPr>
        <cdr:cNvPr id="2" name="Πλαίσιο κειμένου 1"/>
        <cdr:cNvSpPr txBox="1"/>
      </cdr:nvSpPr>
      <cdr:spPr>
        <a:xfrm xmlns:a="http://schemas.openxmlformats.org/drawingml/2006/main">
          <a:off x="0" y="3100515"/>
          <a:ext cx="980258" cy="1345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latin typeface="Arial" panose="020B0604020202020204" pitchFamily="34" charset="0"/>
              <a:cs typeface="Arial" panose="020B0604020202020204" pitchFamily="34" charset="0"/>
            </a:rPr>
            <a:t>Πηγή:</a:t>
          </a:r>
          <a:r>
            <a:rPr lang="el-GR" sz="700" baseline="0">
              <a:latin typeface="Arial" panose="020B0604020202020204" pitchFamily="34" charset="0"/>
              <a:cs typeface="Arial" panose="020B0604020202020204" pitchFamily="34" charset="0"/>
            </a:rPr>
            <a:t> ΟΔΔΗΧ</a:t>
          </a:r>
          <a:endParaRPr lang="el-GR" sz="700">
            <a:latin typeface="Arial" panose="020B0604020202020204" pitchFamily="34" charset="0"/>
            <a:cs typeface="Arial" panose="020B0604020202020204" pitchFamily="34"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cdr:x>
      <cdr:y>0.93108</cdr:y>
    </cdr:from>
    <cdr:to>
      <cdr:x>0.17103</cdr:x>
      <cdr:y>1</cdr:y>
    </cdr:to>
    <cdr:sp macro="" textlink="">
      <cdr:nvSpPr>
        <cdr:cNvPr id="2" name="Πλαίσιο κειμένου 1"/>
        <cdr:cNvSpPr txBox="1"/>
      </cdr:nvSpPr>
      <cdr:spPr>
        <a:xfrm xmlns:a="http://schemas.openxmlformats.org/drawingml/2006/main">
          <a:off x="0" y="2312323"/>
          <a:ext cx="863169" cy="1711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latin typeface="Arial" panose="020B0604020202020204" pitchFamily="34" charset="0"/>
              <a:cs typeface="Arial" panose="020B0604020202020204" pitchFamily="34" charset="0"/>
            </a:rPr>
            <a:t>Πηγή: ΟΔΔΗΧ</a:t>
          </a:r>
        </a:p>
      </cdr:txBody>
    </cdr:sp>
  </cdr:relSizeAnchor>
</c:userShapes>
</file>

<file path=word/drawings/drawing17.xml><?xml version="1.0" encoding="utf-8"?>
<c:userShapes xmlns:c="http://schemas.openxmlformats.org/drawingml/2006/chart">
  <cdr:relSizeAnchor xmlns:cdr="http://schemas.openxmlformats.org/drawingml/2006/chartDrawing">
    <cdr:from>
      <cdr:x>0</cdr:x>
      <cdr:y>0.91491</cdr:y>
    </cdr:from>
    <cdr:to>
      <cdr:x>0.14987</cdr:x>
      <cdr:y>0.98483</cdr:y>
    </cdr:to>
    <cdr:sp macro="" textlink="">
      <cdr:nvSpPr>
        <cdr:cNvPr id="2" name="Πλαίσιο κειμένου 1"/>
        <cdr:cNvSpPr txBox="1"/>
      </cdr:nvSpPr>
      <cdr:spPr>
        <a:xfrm xmlns:a="http://schemas.openxmlformats.org/drawingml/2006/main">
          <a:off x="0" y="2206523"/>
          <a:ext cx="863169" cy="1686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latin typeface="Arial" panose="020B0604020202020204" pitchFamily="34" charset="0"/>
              <a:cs typeface="Arial" panose="020B0604020202020204" pitchFamily="34" charset="0"/>
            </a:rPr>
            <a:t>Πηγή: ΟΔΔΗΧ</a:t>
          </a:r>
        </a:p>
      </cdr:txBody>
    </cdr:sp>
  </cdr:relSizeAnchor>
</c:userShapes>
</file>

<file path=word/drawings/drawing18.xml><?xml version="1.0" encoding="utf-8"?>
<c:userShapes xmlns:c="http://schemas.openxmlformats.org/drawingml/2006/chart">
  <cdr:relSizeAnchor xmlns:cdr="http://schemas.openxmlformats.org/drawingml/2006/chartDrawing">
    <cdr:from>
      <cdr:x>0.89863</cdr:x>
      <cdr:y>0.75837</cdr:y>
    </cdr:from>
    <cdr:to>
      <cdr:x>1</cdr:x>
      <cdr:y>0.89811</cdr:y>
    </cdr:to>
    <cdr:sp macro="" textlink="">
      <cdr:nvSpPr>
        <cdr:cNvPr id="4" name="3 - TextBox"/>
        <cdr:cNvSpPr txBox="1"/>
      </cdr:nvSpPr>
      <cdr:spPr>
        <a:xfrm xmlns:a="http://schemas.openxmlformats.org/drawingml/2006/main">
          <a:off x="8801100" y="49625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l-G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0.92463</cdr:y>
    </cdr:from>
    <cdr:to>
      <cdr:x>0.2485</cdr:x>
      <cdr:y>0.98227</cdr:y>
    </cdr:to>
    <cdr:sp macro="" textlink="">
      <cdr:nvSpPr>
        <cdr:cNvPr id="2" name="Rectangle 1">
          <a:extLst xmlns:a="http://schemas.openxmlformats.org/drawingml/2006/main"/>
        </cdr:cNvPr>
        <cdr:cNvSpPr/>
      </cdr:nvSpPr>
      <cdr:spPr>
        <a:xfrm xmlns:a="http://schemas.openxmlformats.org/drawingml/2006/main">
          <a:off x="0" y="2902227"/>
          <a:ext cx="1431235" cy="18092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el-GR" sz="700" kern="1200">
              <a:solidFill>
                <a:schemeClr val="tx1">
                  <a:lumMod val="95000"/>
                  <a:lumOff val="5000"/>
                </a:schemeClr>
              </a:solidFill>
              <a:latin typeface="Arial" panose="020B0604020202020204" pitchFamily="34" charset="0"/>
              <a:cs typeface="Arial" panose="020B0604020202020204" pitchFamily="34" charset="0"/>
            </a:rPr>
            <a:t>Πηγή: </a:t>
          </a:r>
          <a:r>
            <a:rPr lang="en-GB" sz="700" kern="1200">
              <a:solidFill>
                <a:schemeClr val="tx1">
                  <a:lumMod val="95000"/>
                  <a:lumOff val="5000"/>
                </a:schemeClr>
              </a:solidFill>
              <a:latin typeface="Arial" panose="020B0604020202020204" pitchFamily="34" charset="0"/>
              <a:cs typeface="Arial" panose="020B0604020202020204" pitchFamily="34" charset="0"/>
            </a:rPr>
            <a:t>Eurostat</a:t>
          </a:r>
        </a:p>
      </cdr:txBody>
    </cdr:sp>
  </cdr:relSizeAnchor>
</c:userShapes>
</file>

<file path=word/drawings/drawing3.xml><?xml version="1.0" encoding="utf-8"?>
<c:userShapes xmlns:c="http://schemas.openxmlformats.org/drawingml/2006/chart">
  <cdr:relSizeAnchor xmlns:cdr="http://schemas.openxmlformats.org/drawingml/2006/chartDrawing">
    <cdr:from>
      <cdr:x>0.37748</cdr:x>
      <cdr:y>0.1174</cdr:y>
    </cdr:from>
    <cdr:to>
      <cdr:x>0.70109</cdr:x>
      <cdr:y>0.25828</cdr:y>
    </cdr:to>
    <cdr:sp macro="" textlink="">
      <cdr:nvSpPr>
        <cdr:cNvPr id="2" name="TextBox 1"/>
        <cdr:cNvSpPr txBox="1"/>
      </cdr:nvSpPr>
      <cdr:spPr>
        <a:xfrm xmlns:a="http://schemas.openxmlformats.org/drawingml/2006/main">
          <a:off x="3952270" y="762000"/>
          <a:ext cx="3388179"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l-GR" sz="1100"/>
        </a:p>
      </cdr:txBody>
    </cdr:sp>
  </cdr:relSizeAnchor>
  <cdr:relSizeAnchor xmlns:cdr="http://schemas.openxmlformats.org/drawingml/2006/chartDrawing">
    <cdr:from>
      <cdr:x>0.40418</cdr:x>
      <cdr:y>0.05295</cdr:y>
    </cdr:from>
    <cdr:to>
      <cdr:x>1</cdr:x>
      <cdr:y>0.26719</cdr:y>
    </cdr:to>
    <cdr:sp macro="" textlink="">
      <cdr:nvSpPr>
        <cdr:cNvPr id="3" name="TextBox 2"/>
        <cdr:cNvSpPr txBox="1"/>
      </cdr:nvSpPr>
      <cdr:spPr>
        <a:xfrm xmlns:a="http://schemas.openxmlformats.org/drawingml/2006/main">
          <a:off x="4032217" y="227432"/>
          <a:ext cx="5944074" cy="9201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l-GR" sz="2000" b="1"/>
        </a:p>
      </cdr:txBody>
    </cdr:sp>
  </cdr:relSizeAnchor>
  <cdr:relSizeAnchor xmlns:cdr="http://schemas.openxmlformats.org/drawingml/2006/chartDrawing">
    <cdr:from>
      <cdr:x>0</cdr:x>
      <cdr:y>0.94853</cdr:y>
    </cdr:from>
    <cdr:to>
      <cdr:x>0.84438</cdr:x>
      <cdr:y>1</cdr:y>
    </cdr:to>
    <cdr:sp macro="" textlink="">
      <cdr:nvSpPr>
        <cdr:cNvPr id="4" name="Rectangle 2">
          <a:extLst xmlns:a="http://schemas.openxmlformats.org/drawingml/2006/main"/>
        </cdr:cNvPr>
        <cdr:cNvSpPr/>
      </cdr:nvSpPr>
      <cdr:spPr>
        <a:xfrm xmlns:a="http://schemas.openxmlformats.org/drawingml/2006/main">
          <a:off x="0" y="3054345"/>
          <a:ext cx="4863164" cy="16574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l-GR" sz="700" kern="1200">
              <a:solidFill>
                <a:schemeClr val="tx1">
                  <a:lumMod val="95000"/>
                  <a:lumOff val="5000"/>
                </a:schemeClr>
              </a:solidFill>
              <a:latin typeface="Arial" panose="020B0604020202020204" pitchFamily="34" charset="0"/>
              <a:cs typeface="Arial" panose="020B0604020202020204" pitchFamily="34" charset="0"/>
            </a:rPr>
            <a:t>Πηγή: ΕΛΣΤΑΤ,</a:t>
          </a:r>
          <a:r>
            <a:rPr lang="el-GR" sz="700" kern="1200" baseline="0">
              <a:solidFill>
                <a:schemeClr val="tx1">
                  <a:lumMod val="95000"/>
                  <a:lumOff val="5000"/>
                </a:schemeClr>
              </a:solidFill>
              <a:latin typeface="Arial" panose="020B0604020202020204" pitchFamily="34" charset="0"/>
              <a:cs typeface="Arial" panose="020B0604020202020204" pitchFamily="34" charset="0"/>
            </a:rPr>
            <a:t> επεξεργασία Υπουργείου Εθνικής Οικονομίας και Οικονομικών </a:t>
          </a:r>
          <a:endParaRPr lang="en-GB" sz="700" kern="1200">
            <a:solidFill>
              <a:schemeClr val="tx1">
                <a:lumMod val="95000"/>
                <a:lumOff val="5000"/>
              </a:schemeClr>
            </a:solidFill>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0.93116</cdr:y>
    </cdr:from>
    <cdr:to>
      <cdr:x>0.84438</cdr:x>
      <cdr:y>0.98125</cdr:y>
    </cdr:to>
    <cdr:sp macro="" textlink="">
      <cdr:nvSpPr>
        <cdr:cNvPr id="2" name="Rectangle 2">
          <a:extLst xmlns:a="http://schemas.openxmlformats.org/drawingml/2006/main"/>
        </cdr:cNvPr>
        <cdr:cNvSpPr/>
      </cdr:nvSpPr>
      <cdr:spPr>
        <a:xfrm xmlns:a="http://schemas.openxmlformats.org/drawingml/2006/main">
          <a:off x="-898497" y="2368687"/>
          <a:ext cx="4863164" cy="12741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l-GR" sz="700" kern="1200">
              <a:solidFill>
                <a:schemeClr val="tx1">
                  <a:lumMod val="95000"/>
                  <a:lumOff val="5000"/>
                </a:schemeClr>
              </a:solidFill>
              <a:latin typeface="Arial" panose="020B0604020202020204" pitchFamily="34" charset="0"/>
              <a:cs typeface="Arial" panose="020B0604020202020204" pitchFamily="34" charset="0"/>
            </a:rPr>
            <a:t>Πηγή: ΕΛΣΤΑΤ,</a:t>
          </a:r>
          <a:r>
            <a:rPr lang="el-GR" sz="700" kern="1200" baseline="0">
              <a:solidFill>
                <a:schemeClr val="tx1">
                  <a:lumMod val="95000"/>
                  <a:lumOff val="5000"/>
                </a:schemeClr>
              </a:solidFill>
              <a:latin typeface="Arial" panose="020B0604020202020204" pitchFamily="34" charset="0"/>
              <a:cs typeface="Arial" panose="020B0604020202020204" pitchFamily="34" charset="0"/>
            </a:rPr>
            <a:t> επεξεργασία Υπουργείου Εθνικής Οικονομίας και Οικονομικών </a:t>
          </a:r>
          <a:endParaRPr lang="en-GB" sz="700" kern="1200">
            <a:solidFill>
              <a:schemeClr val="tx1">
                <a:lumMod val="95000"/>
                <a:lumOff val="5000"/>
              </a:schemeClr>
            </a:solidFill>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0.92207</cdr:y>
    </cdr:from>
    <cdr:to>
      <cdr:x>0.78288</cdr:x>
      <cdr:y>1</cdr:y>
    </cdr:to>
    <cdr:sp macro="" textlink="">
      <cdr:nvSpPr>
        <cdr:cNvPr id="2" name="Rectangle 1">
          <a:extLst xmlns:a="http://schemas.openxmlformats.org/drawingml/2006/main">
            <a:ext uri="{FF2B5EF4-FFF2-40B4-BE49-F238E27FC236}">
              <a16:creationId xmlns:a16="http://schemas.microsoft.com/office/drawing/2014/main" id="{CFB821F6-F36C-9A1C-4480-1B18D18B5666}"/>
            </a:ext>
          </a:extLst>
        </cdr:cNvPr>
        <cdr:cNvSpPr/>
      </cdr:nvSpPr>
      <cdr:spPr>
        <a:xfrm xmlns:a="http://schemas.openxmlformats.org/drawingml/2006/main">
          <a:off x="-898497" y="2323328"/>
          <a:ext cx="4508958" cy="19635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l-GR" sz="700" kern="1200">
              <a:solidFill>
                <a:schemeClr val="tx1"/>
              </a:solidFill>
              <a:latin typeface="Arial" panose="020B0604020202020204" pitchFamily="34" charset="0"/>
              <a:cs typeface="Arial" panose="020B0604020202020204" pitchFamily="34" charset="0"/>
            </a:rPr>
            <a:t>Πηγή:</a:t>
          </a:r>
          <a:r>
            <a:rPr lang="el-GR" sz="700" kern="1200" baseline="0">
              <a:solidFill>
                <a:schemeClr val="tx1"/>
              </a:solidFill>
              <a:latin typeface="Arial" panose="020B0604020202020204" pitchFamily="34" charset="0"/>
              <a:cs typeface="Arial" panose="020B0604020202020204" pitchFamily="34" charset="0"/>
            </a:rPr>
            <a:t> </a:t>
          </a:r>
          <a:r>
            <a:rPr lang="en-GB" sz="700" kern="1200" baseline="0">
              <a:solidFill>
                <a:schemeClr val="tx1"/>
              </a:solidFill>
              <a:latin typeface="Arial" panose="020B0604020202020204" pitchFamily="34" charset="0"/>
              <a:cs typeface="Arial" panose="020B0604020202020204" pitchFamily="34" charset="0"/>
            </a:rPr>
            <a:t>Eurostat, </a:t>
          </a:r>
          <a:r>
            <a:rPr lang="el-GR" sz="700" kern="1200" baseline="0">
              <a:solidFill>
                <a:schemeClr val="tx1"/>
              </a:solidFill>
              <a:latin typeface="Arial" panose="020B0604020202020204" pitchFamily="34" charset="0"/>
              <a:cs typeface="Arial" panose="020B0604020202020204" pitchFamily="34" charset="0"/>
            </a:rPr>
            <a:t>επεξεργασία στοιχείων απο το Υπουργείο Εθνικής Οικονομίας και Οικονομικών</a:t>
          </a:r>
          <a:r>
            <a:rPr lang="en-GB" sz="700" kern="1200">
              <a:latin typeface="Arial" panose="020B0604020202020204" pitchFamily="34" charset="0"/>
              <a:cs typeface="Arial" panose="020B0604020202020204" pitchFamily="34" charset="0"/>
            </a:rPr>
            <a:t>g</a:t>
          </a:r>
        </a:p>
      </cdr:txBody>
    </cdr:sp>
  </cdr:relSizeAnchor>
</c:userShapes>
</file>

<file path=word/drawings/drawing6.xml><?xml version="1.0" encoding="utf-8"?>
<c:userShapes xmlns:c="http://schemas.openxmlformats.org/drawingml/2006/chart">
  <cdr:relSizeAnchor xmlns:cdr="http://schemas.openxmlformats.org/drawingml/2006/chartDrawing">
    <cdr:from>
      <cdr:x>0.00882</cdr:x>
      <cdr:y>0.89222</cdr:y>
    </cdr:from>
    <cdr:to>
      <cdr:x>0.90761</cdr:x>
      <cdr:y>1</cdr:y>
    </cdr:to>
    <cdr:sp macro="" textlink="">
      <cdr:nvSpPr>
        <cdr:cNvPr id="2" name="Πλαίσιο κειμένου 1"/>
        <cdr:cNvSpPr txBox="1"/>
      </cdr:nvSpPr>
      <cdr:spPr>
        <a:xfrm xmlns:a="http://schemas.openxmlformats.org/drawingml/2006/main">
          <a:off x="50800" y="2535592"/>
          <a:ext cx="5176510" cy="3003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l-GR" sz="700">
              <a:effectLst/>
              <a:latin typeface="Arial" panose="020B0604020202020204" pitchFamily="34" charset="0"/>
              <a:ea typeface="+mn-ea"/>
              <a:cs typeface="Arial" panose="020B0604020202020204" pitchFamily="34" charset="0"/>
            </a:rPr>
            <a:t>Πηγή: Ετήσιοι Εθνικοί Λογαριασμοί (ΕΛΣΤΑΤ/</a:t>
          </a:r>
          <a:r>
            <a:rPr lang="en-US" sz="700">
              <a:effectLst/>
              <a:latin typeface="Arial" panose="020B0604020202020204" pitchFamily="34" charset="0"/>
              <a:ea typeface="+mn-ea"/>
              <a:cs typeface="Arial" panose="020B0604020202020204" pitchFamily="34" charset="0"/>
            </a:rPr>
            <a:t>Eurostat</a:t>
          </a:r>
          <a:r>
            <a:rPr lang="el-GR" sz="700">
              <a:effectLst/>
              <a:latin typeface="Arial" panose="020B0604020202020204" pitchFamily="34" charset="0"/>
              <a:ea typeface="+mn-ea"/>
              <a:cs typeface="Arial" panose="020B0604020202020204" pitchFamily="34" charset="0"/>
            </a:rPr>
            <a:t>), Φθινοπωρινές Οικονομικές Προβλέψεις Ευρωπαϊκής Επιτροπής, Προβλέψεις Υπουργείου Εθνικής Οικονομίας και Οικονομικών</a:t>
          </a:r>
        </a:p>
        <a:p xmlns:a="http://schemas.openxmlformats.org/drawingml/2006/main">
          <a:endParaRPr lang="el-GR" sz="1100"/>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0.82267</cdr:y>
    </cdr:from>
    <cdr:to>
      <cdr:x>0.29305</cdr:x>
      <cdr:y>0.88522</cdr:y>
    </cdr:to>
    <cdr:sp macro="" textlink="">
      <cdr:nvSpPr>
        <cdr:cNvPr id="2" name="Πλαίσιο κειμένου 1"/>
        <cdr:cNvSpPr txBox="1"/>
      </cdr:nvSpPr>
      <cdr:spPr>
        <a:xfrm xmlns:a="http://schemas.openxmlformats.org/drawingml/2006/main">
          <a:off x="0" y="2120397"/>
          <a:ext cx="1582296" cy="1612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l-GR" sz="700">
              <a:effectLst/>
              <a:latin typeface="Arial" panose="020B0604020202020204" pitchFamily="34" charset="0"/>
              <a:ea typeface="+mn-ea"/>
              <a:cs typeface="Arial" panose="020B0604020202020204" pitchFamily="34" charset="0"/>
            </a:rPr>
            <a:t>* έτη προβλέψεων</a:t>
          </a:r>
        </a:p>
        <a:p xmlns:a="http://schemas.openxmlformats.org/drawingml/2006/main">
          <a:endParaRPr lang="el-GR" sz="1100"/>
        </a:p>
      </cdr:txBody>
    </cdr:sp>
  </cdr:relSizeAnchor>
  <cdr:relSizeAnchor xmlns:cdr="http://schemas.openxmlformats.org/drawingml/2006/chartDrawing">
    <cdr:from>
      <cdr:x>0</cdr:x>
      <cdr:y>0.89686</cdr:y>
    </cdr:from>
    <cdr:to>
      <cdr:x>0.96015</cdr:x>
      <cdr:y>1</cdr:y>
    </cdr:to>
    <cdr:sp macro="" textlink="">
      <cdr:nvSpPr>
        <cdr:cNvPr id="3" name="Πλαίσιο κειμένου 1"/>
        <cdr:cNvSpPr txBox="1"/>
      </cdr:nvSpPr>
      <cdr:spPr>
        <a:xfrm xmlns:a="http://schemas.openxmlformats.org/drawingml/2006/main">
          <a:off x="0" y="2311627"/>
          <a:ext cx="5184239" cy="2658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700">
              <a:effectLst/>
              <a:latin typeface="Arial" panose="020B0604020202020204" pitchFamily="34" charset="0"/>
              <a:ea typeface="+mn-ea"/>
              <a:cs typeface="Arial" panose="020B0604020202020204" pitchFamily="34" charset="0"/>
            </a:rPr>
            <a:t>Πηγή: Εθνικοί Λογαριασμοί (Eurostat/ΕΛΣΤΑΤ), Προβλέψεις ΥΠΕΘΟΟ, Φθινοπωρινές Ευρωπαϊκές Οικονομικές Προβλέψεις 2025 της Ευρωπαϊκής Επιτροπής</a:t>
          </a:r>
        </a:p>
        <a:p xmlns:a="http://schemas.openxmlformats.org/drawingml/2006/main">
          <a:endParaRPr lang="el-GR" sz="1100"/>
        </a:p>
      </cdr:txBody>
    </cdr:sp>
  </cdr:relSizeAnchor>
  <cdr:relSizeAnchor xmlns:cdr="http://schemas.openxmlformats.org/drawingml/2006/chartDrawing">
    <cdr:from>
      <cdr:x>0.83918</cdr:x>
      <cdr:y>0.02118</cdr:y>
    </cdr:from>
    <cdr:to>
      <cdr:x>0.95367</cdr:x>
      <cdr:y>0.78631</cdr:y>
    </cdr:to>
    <cdr:sp macro="" textlink="">
      <cdr:nvSpPr>
        <cdr:cNvPr id="4" name="Ορθογώνιο 3">
          <a:extLst xmlns:a="http://schemas.openxmlformats.org/drawingml/2006/main">
            <a:ext uri="{FF2B5EF4-FFF2-40B4-BE49-F238E27FC236}">
              <a16:creationId xmlns:a16="http://schemas.microsoft.com/office/drawing/2014/main" id="{3597D8A1-2E1C-49CB-AE1E-54910D3BA887}"/>
            </a:ext>
          </a:extLst>
        </cdr:cNvPr>
        <cdr:cNvSpPr/>
      </cdr:nvSpPr>
      <cdr:spPr>
        <a:xfrm xmlns:a="http://schemas.openxmlformats.org/drawingml/2006/main">
          <a:off x="4531058" y="54591"/>
          <a:ext cx="618178" cy="1972102"/>
        </a:xfrm>
        <a:prstGeom xmlns:a="http://schemas.openxmlformats.org/drawingml/2006/main" prst="rect">
          <a:avLst/>
        </a:prstGeom>
        <a:solidFill xmlns:a="http://schemas.openxmlformats.org/drawingml/2006/main">
          <a:schemeClr val="accent1">
            <a:alpha val="37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l-GR" sz="1100"/>
        </a:p>
      </cdr:txBody>
    </cdr:sp>
  </cdr:relSizeAnchor>
</c:userShapes>
</file>

<file path=word/drawings/drawing8.xml><?xml version="1.0" encoding="utf-8"?>
<c:userShapes xmlns:c="http://schemas.openxmlformats.org/drawingml/2006/chart">
  <cdr:relSizeAnchor xmlns:cdr="http://schemas.openxmlformats.org/drawingml/2006/chartDrawing">
    <cdr:from>
      <cdr:x>0.60125</cdr:x>
      <cdr:y>0.19136</cdr:y>
    </cdr:from>
    <cdr:to>
      <cdr:x>0.69319</cdr:x>
      <cdr:y>0.30025</cdr:y>
    </cdr:to>
    <cdr:sp macro="" textlink="">
      <cdr:nvSpPr>
        <cdr:cNvPr id="3" name="TextBox 5">
          <a:extLst xmlns:a="http://schemas.openxmlformats.org/drawingml/2006/main">
            <a:ext uri="{FF2B5EF4-FFF2-40B4-BE49-F238E27FC236}">
              <a16:creationId xmlns:a16="http://schemas.microsoft.com/office/drawing/2014/main" id="{926D085E-AA4D-4651-ABC8-78B88E25AC4C}"/>
            </a:ext>
          </a:extLst>
        </cdr:cNvPr>
        <cdr:cNvSpPr txBox="1"/>
      </cdr:nvSpPr>
      <cdr:spPr>
        <a:xfrm xmlns:a="http://schemas.openxmlformats.org/drawingml/2006/main">
          <a:off x="3462889" y="665273"/>
          <a:ext cx="529499" cy="37856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800" b="1">
              <a:solidFill>
                <a:schemeClr val="bg1"/>
              </a:solidFill>
              <a:latin typeface="Arial" panose="020B0604020202020204" pitchFamily="34" charset="0"/>
              <a:cs typeface="Arial" panose="020B0604020202020204" pitchFamily="34" charset="0"/>
            </a:rPr>
            <a:t>33%</a:t>
          </a:r>
        </a:p>
      </cdr:txBody>
    </cdr:sp>
  </cdr:relSizeAnchor>
  <cdr:relSizeAnchor xmlns:cdr="http://schemas.openxmlformats.org/drawingml/2006/chartDrawing">
    <cdr:from>
      <cdr:x>0.26893</cdr:x>
      <cdr:y>0.28026</cdr:y>
    </cdr:from>
    <cdr:to>
      <cdr:x>0.35109</cdr:x>
      <cdr:y>0.38915</cdr:y>
    </cdr:to>
    <cdr:sp macro="" textlink="">
      <cdr:nvSpPr>
        <cdr:cNvPr id="4" name="TextBox 5">
          <a:extLst xmlns:a="http://schemas.openxmlformats.org/drawingml/2006/main">
            <a:ext uri="{FF2B5EF4-FFF2-40B4-BE49-F238E27FC236}">
              <a16:creationId xmlns:a16="http://schemas.microsoft.com/office/drawing/2014/main" id="{926D085E-AA4D-4651-ABC8-78B88E25AC4C}"/>
            </a:ext>
          </a:extLst>
        </cdr:cNvPr>
        <cdr:cNvSpPr txBox="1"/>
      </cdr:nvSpPr>
      <cdr:spPr>
        <a:xfrm xmlns:a="http://schemas.openxmlformats.org/drawingml/2006/main">
          <a:off x="1533150" y="786609"/>
          <a:ext cx="468397" cy="30562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800" b="1">
              <a:solidFill>
                <a:schemeClr val="bg1"/>
              </a:solidFill>
              <a:latin typeface="Arial" panose="020B0604020202020204" pitchFamily="34" charset="0"/>
              <a:cs typeface="Arial" panose="020B0604020202020204" pitchFamily="34" charset="0"/>
            </a:rPr>
            <a:t>13%</a:t>
          </a:r>
        </a:p>
      </cdr:txBody>
    </cdr:sp>
  </cdr:relSizeAnchor>
  <cdr:relSizeAnchor xmlns:cdr="http://schemas.openxmlformats.org/drawingml/2006/chartDrawing">
    <cdr:from>
      <cdr:x>0.32648</cdr:x>
      <cdr:y>0.41032</cdr:y>
    </cdr:from>
    <cdr:to>
      <cdr:x>0.40863</cdr:x>
      <cdr:y>0.51921</cdr:y>
    </cdr:to>
    <cdr:sp macro="" textlink="">
      <cdr:nvSpPr>
        <cdr:cNvPr id="5" name="TextBox 5">
          <a:extLst xmlns:a="http://schemas.openxmlformats.org/drawingml/2006/main">
            <a:ext uri="{FF2B5EF4-FFF2-40B4-BE49-F238E27FC236}">
              <a16:creationId xmlns:a16="http://schemas.microsoft.com/office/drawing/2014/main" id="{926D085E-AA4D-4651-ABC8-78B88E25AC4C}"/>
            </a:ext>
          </a:extLst>
        </cdr:cNvPr>
        <cdr:cNvSpPr txBox="1"/>
      </cdr:nvSpPr>
      <cdr:spPr>
        <a:xfrm xmlns:a="http://schemas.openxmlformats.org/drawingml/2006/main">
          <a:off x="1880372" y="1426538"/>
          <a:ext cx="473138" cy="37856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800" b="1">
              <a:solidFill>
                <a:schemeClr val="bg1"/>
              </a:solidFill>
              <a:latin typeface="Arial" panose="020B0604020202020204" pitchFamily="34" charset="0"/>
              <a:cs typeface="Arial" panose="020B0604020202020204" pitchFamily="34" charset="0"/>
            </a:rPr>
            <a:t>16%</a:t>
          </a:r>
        </a:p>
      </cdr:txBody>
    </cdr:sp>
  </cdr:relSizeAnchor>
  <cdr:relSizeAnchor xmlns:cdr="http://schemas.openxmlformats.org/drawingml/2006/chartDrawing">
    <cdr:from>
      <cdr:x>0.56206</cdr:x>
      <cdr:y>0.44456</cdr:y>
    </cdr:from>
    <cdr:to>
      <cdr:x>0.64421</cdr:x>
      <cdr:y>0.55345</cdr:y>
    </cdr:to>
    <cdr:sp macro="" textlink="">
      <cdr:nvSpPr>
        <cdr:cNvPr id="7" name="TextBox 5">
          <a:extLst xmlns:a="http://schemas.openxmlformats.org/drawingml/2006/main">
            <a:ext uri="{FF2B5EF4-FFF2-40B4-BE49-F238E27FC236}">
              <a16:creationId xmlns:a16="http://schemas.microsoft.com/office/drawing/2014/main" id="{926D085E-AA4D-4651-ABC8-78B88E25AC4C}"/>
            </a:ext>
          </a:extLst>
        </cdr:cNvPr>
        <cdr:cNvSpPr txBox="1"/>
      </cdr:nvSpPr>
      <cdr:spPr>
        <a:xfrm xmlns:a="http://schemas.openxmlformats.org/drawingml/2006/main">
          <a:off x="3237179" y="1545574"/>
          <a:ext cx="473139" cy="37856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800" b="1">
              <a:solidFill>
                <a:schemeClr val="bg1"/>
              </a:solidFill>
              <a:latin typeface="Arial" panose="020B0604020202020204" pitchFamily="34" charset="0"/>
              <a:cs typeface="Arial" panose="020B0604020202020204" pitchFamily="34" charset="0"/>
            </a:rPr>
            <a:t>18%</a:t>
          </a:r>
        </a:p>
      </cdr:txBody>
    </cdr:sp>
  </cdr:relSizeAnchor>
  <cdr:relSizeAnchor xmlns:cdr="http://schemas.openxmlformats.org/drawingml/2006/chartDrawing">
    <cdr:from>
      <cdr:x>0.01101</cdr:x>
      <cdr:y>0.85986</cdr:y>
    </cdr:from>
    <cdr:to>
      <cdr:x>0.98391</cdr:x>
      <cdr:y>0.98156</cdr:y>
    </cdr:to>
    <cdr:sp macro="" textlink="">
      <cdr:nvSpPr>
        <cdr:cNvPr id="8" name="TextBox 1">
          <a:extLst xmlns:a="http://schemas.openxmlformats.org/drawingml/2006/main">
            <a:ext uri="{FF2B5EF4-FFF2-40B4-BE49-F238E27FC236}">
              <a16:creationId xmlns:a16="http://schemas.microsoft.com/office/drawing/2014/main" id="{5E945C6D-62A6-4662-911B-F0F8F8107286}"/>
            </a:ext>
          </a:extLst>
        </cdr:cNvPr>
        <cdr:cNvSpPr txBox="1"/>
      </cdr:nvSpPr>
      <cdr:spPr>
        <a:xfrm xmlns:a="http://schemas.openxmlformats.org/drawingml/2006/main">
          <a:off x="60278" y="2227733"/>
          <a:ext cx="5328452" cy="3153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700">
              <a:solidFill>
                <a:sysClr val="windowText" lastClr="000000">
                  <a:alpha val="75000"/>
                </a:sysClr>
              </a:solidFill>
              <a:latin typeface="Arial" panose="020B0604020202020204" pitchFamily="34" charset="0"/>
              <a:cs typeface="Arial" panose="020B0604020202020204" pitchFamily="34" charset="0"/>
            </a:rPr>
            <a:t>Πηγή: </a:t>
          </a:r>
          <a:r>
            <a:rPr lang="el-GR" sz="700" baseline="0">
              <a:solidFill>
                <a:sysClr val="windowText" lastClr="000000">
                  <a:alpha val="75000"/>
                </a:sysClr>
              </a:solidFill>
              <a:latin typeface="Arial" panose="020B0604020202020204" pitchFamily="34" charset="0"/>
              <a:cs typeface="Arial" panose="020B0604020202020204" pitchFamily="34" charset="0"/>
            </a:rPr>
            <a:t>Γενικό Λογιστήριο του Κράτους (Διεύθυνση Προϋπολογισμού Γενικής Κυβέρνησης/Υπουργείο Εθνικής Οικονομίας και Οικονομικών)</a:t>
          </a:r>
          <a:endParaRPr lang="el-GR" sz="700">
            <a:solidFill>
              <a:sysClr val="windowText" lastClr="000000">
                <a:alpha val="75000"/>
              </a:sysClr>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0.34012</cdr:x>
      <cdr:y>0.12195</cdr:y>
    </cdr:from>
    <cdr:to>
      <cdr:x>0.45088</cdr:x>
      <cdr:y>0.20129</cdr:y>
    </cdr:to>
    <cdr:sp macro="" textlink="">
      <cdr:nvSpPr>
        <cdr:cNvPr id="2" name="Πλαίσιο κειμένου 1"/>
        <cdr:cNvSpPr txBox="1"/>
      </cdr:nvSpPr>
      <cdr:spPr>
        <a:xfrm xmlns:a="http://schemas.openxmlformats.org/drawingml/2006/main">
          <a:off x="1958887" y="423968"/>
          <a:ext cx="637954" cy="2758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800" b="1">
              <a:solidFill>
                <a:schemeClr val="bg1"/>
              </a:solidFill>
              <a:latin typeface="Arial" panose="020B0604020202020204" pitchFamily="34" charset="0"/>
              <a:cs typeface="Arial" panose="020B0604020202020204" pitchFamily="34" charset="0"/>
            </a:rPr>
            <a:t>20%</a:t>
          </a:r>
        </a:p>
      </cdr:txBody>
    </cdr:sp>
  </cdr:relSizeAnchor>
</c:userShapes>
</file>

<file path=word/drawings/drawing9.xml><?xml version="1.0" encoding="utf-8"?>
<c:userShapes xmlns:c="http://schemas.openxmlformats.org/drawingml/2006/chart">
  <cdr:relSizeAnchor xmlns:cdr="http://schemas.openxmlformats.org/drawingml/2006/chartDrawing">
    <cdr:from>
      <cdr:x>0.0069</cdr:x>
      <cdr:y>0.88231</cdr:y>
    </cdr:from>
    <cdr:to>
      <cdr:x>1</cdr:x>
      <cdr:y>0.98212</cdr:y>
    </cdr:to>
    <cdr:sp macro="" textlink="">
      <cdr:nvSpPr>
        <cdr:cNvPr id="2" name="TextBox 2">
          <a:extLst xmlns:a="http://schemas.openxmlformats.org/drawingml/2006/main"/>
        </cdr:cNvPr>
        <cdr:cNvSpPr txBox="1"/>
      </cdr:nvSpPr>
      <cdr:spPr>
        <a:xfrm xmlns:a="http://schemas.openxmlformats.org/drawingml/2006/main">
          <a:off x="39740" y="2636049"/>
          <a:ext cx="5719710" cy="29822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l-GR" sz="700">
              <a:solidFill>
                <a:sysClr val="windowText" lastClr="000000">
                  <a:alpha val="75000"/>
                </a:sysClr>
              </a:solidFill>
              <a:latin typeface="Arial" panose="020B0604020202020204" pitchFamily="34" charset="0"/>
              <a:cs typeface="Arial" panose="020B0604020202020204" pitchFamily="34" charset="0"/>
            </a:rPr>
            <a:t>Πηγή: Στοιχεία από</a:t>
          </a:r>
          <a:r>
            <a:rPr lang="el-GR" sz="700" baseline="0">
              <a:solidFill>
                <a:sysClr val="windowText" lastClr="000000">
                  <a:alpha val="75000"/>
                </a:sysClr>
              </a:solidFill>
              <a:latin typeface="Arial" panose="020B0604020202020204" pitchFamily="34" charset="0"/>
              <a:cs typeface="Arial" panose="020B0604020202020204" pitchFamily="34" charset="0"/>
            </a:rPr>
            <a:t> το Υπουργείο Εσωτερικών κατόπιν επεξεργασίας από το Γενικό Λογιστήριο του Κράτους (Διεύθυνση Προϋπολογισμού Γενικής Κυβέρνησης/Υπουργείο Εθνικής Οικονομίας και Οικονομικών)</a:t>
          </a:r>
          <a:endParaRPr lang="el-GR" sz="700">
            <a:solidFill>
              <a:sysClr val="windowText" lastClr="000000">
                <a:alpha val="75000"/>
              </a:sysClr>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A2F1E-8A60-45B6-AF35-CA29E7F3E32E}">
  <ds:schemaRefs>
    <ds:schemaRef ds:uri="http://schemas.openxmlformats.org/officeDocument/2006/bibliography"/>
  </ds:schemaRefs>
</ds:datastoreItem>
</file>

<file path=customXml/itemProps2.xml><?xml version="1.0" encoding="utf-8"?>
<ds:datastoreItem xmlns:ds="http://schemas.openxmlformats.org/officeDocument/2006/customXml" ds:itemID="{56097013-AF73-49A5-AF34-81837B673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PROSX2006</Template>
  <TotalTime>0</TotalTime>
  <Pages>1</Pages>
  <Words>92166</Words>
  <Characters>497700</Characters>
  <Application>Microsoft Office Word</Application>
  <DocSecurity>0</DocSecurity>
  <Lines>4147</Lines>
  <Paragraphs>1177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ΕΙΣΗΓΗΤΙΚΗ ΕΚΘΕΣΗ ΠΥ 2026</vt:lpstr>
      <vt:lpstr>ΟΙΚΟΝΟΜΙΚΕΣ ΕΞΕΛΙΞΕΙΣ</vt:lpstr>
    </vt:vector>
  </TitlesOfParts>
  <Company>Microsoft</Company>
  <LinksUpToDate>false</LinksUpToDate>
  <CharactersWithSpaces>588689</CharactersWithSpaces>
  <SharedDoc>false</SharedDoc>
  <HLinks>
    <vt:vector size="804" baseType="variant">
      <vt:variant>
        <vt:i4>7340102</vt:i4>
      </vt:variant>
      <vt:variant>
        <vt:i4>816</vt:i4>
      </vt:variant>
      <vt:variant>
        <vt:i4>0</vt:i4>
      </vt:variant>
      <vt:variant>
        <vt:i4>5</vt:i4>
      </vt:variant>
      <vt:variant>
        <vt:lpwstr>https://ec.europa.eu/eurostat/databrowser/view/PRC_HICP_MANR__custom_3730704/default/table?lang=en</vt:lpwstr>
      </vt:variant>
      <vt:variant>
        <vt:lpwstr/>
      </vt:variant>
      <vt:variant>
        <vt:i4>3997797</vt:i4>
      </vt:variant>
      <vt:variant>
        <vt:i4>810</vt:i4>
      </vt:variant>
      <vt:variant>
        <vt:i4>0</vt:i4>
      </vt:variant>
      <vt:variant>
        <vt:i4>5</vt:i4>
      </vt:variant>
      <vt:variant>
        <vt:lpwstr>https://www.statistics.gr/documents/20181/48ae45c4-93cd-0df5-2cda-4354cb1af6dd</vt:lpwstr>
      </vt:variant>
      <vt:variant>
        <vt:lpwstr/>
      </vt:variant>
      <vt:variant>
        <vt:i4>3997803</vt:i4>
      </vt:variant>
      <vt:variant>
        <vt:i4>798</vt:i4>
      </vt:variant>
      <vt:variant>
        <vt:i4>0</vt:i4>
      </vt:variant>
      <vt:variant>
        <vt:i4>5</vt:i4>
      </vt:variant>
      <vt:variant>
        <vt:lpwstr>https://www.statistics.gr/documents/20181/a63cf289-e76d-e2c0-1ca3-05113dc9e0ca</vt:lpwstr>
      </vt:variant>
      <vt:variant>
        <vt:lpwstr/>
      </vt:variant>
      <vt:variant>
        <vt:i4>4194385</vt:i4>
      </vt:variant>
      <vt:variant>
        <vt:i4>795</vt:i4>
      </vt:variant>
      <vt:variant>
        <vt:i4>0</vt:i4>
      </vt:variant>
      <vt:variant>
        <vt:i4>5</vt:i4>
      </vt:variant>
      <vt:variant>
        <vt:lpwstr>https://ypergasias.gov.gr/wp-content/uploads/2022/01/12.-%CE%95%CE%A1%CE%93%CE%91%CE%9D%CE%97-%CE%94%CE%95%CE%9A%CE%95%CE%9C%CE%92%CE%A1%CE%99%CE%9F%CE%A3-2021-.pdf</vt:lpwstr>
      </vt:variant>
      <vt:variant>
        <vt:lpwstr/>
      </vt:variant>
      <vt:variant>
        <vt:i4>6029380</vt:i4>
      </vt:variant>
      <vt:variant>
        <vt:i4>786</vt:i4>
      </vt:variant>
      <vt:variant>
        <vt:i4>0</vt:i4>
      </vt:variant>
      <vt:variant>
        <vt:i4>5</vt:i4>
      </vt:variant>
      <vt:variant>
        <vt:lpwstr>https://www.statistics.gr/el/statistics/-/publication/SEL18/-</vt:lpwstr>
      </vt:variant>
      <vt:variant>
        <vt:lpwstr/>
      </vt:variant>
      <vt:variant>
        <vt:i4>5505096</vt:i4>
      </vt:variant>
      <vt:variant>
        <vt:i4>777</vt:i4>
      </vt:variant>
      <vt:variant>
        <vt:i4>0</vt:i4>
      </vt:variant>
      <vt:variant>
        <vt:i4>5</vt:i4>
      </vt:variant>
      <vt:variant>
        <vt:lpwstr>https://www.statistics.gr/el/statistics/-/publication/SEM95/-</vt:lpwstr>
      </vt:variant>
      <vt:variant>
        <vt:lpwstr/>
      </vt:variant>
      <vt:variant>
        <vt:i4>1703966</vt:i4>
      </vt:variant>
      <vt:variant>
        <vt:i4>774</vt:i4>
      </vt:variant>
      <vt:variant>
        <vt:i4>0</vt:i4>
      </vt:variant>
      <vt:variant>
        <vt:i4>5</vt:i4>
      </vt:variant>
      <vt:variant>
        <vt:lpwstr>https://ec.europa.eu/eurostat/databrowser/view/tec00115/default/table?lang=en</vt:lpwstr>
      </vt:variant>
      <vt:variant>
        <vt:lpwstr/>
      </vt:variant>
      <vt:variant>
        <vt:i4>6291561</vt:i4>
      </vt:variant>
      <vt:variant>
        <vt:i4>771</vt:i4>
      </vt:variant>
      <vt:variant>
        <vt:i4>0</vt:i4>
      </vt:variant>
      <vt:variant>
        <vt:i4>5</vt:i4>
      </vt:variant>
      <vt:variant>
        <vt:lpwstr>https://ec.europa.eu/economy_finance/recovery-and-resilience-scoreboard/country_overview.html?lang=en</vt:lpwstr>
      </vt:variant>
      <vt:variant>
        <vt:lpwstr/>
      </vt:variant>
      <vt:variant>
        <vt:i4>6750298</vt:i4>
      </vt:variant>
      <vt:variant>
        <vt:i4>768</vt:i4>
      </vt:variant>
      <vt:variant>
        <vt:i4>0</vt:i4>
      </vt:variant>
      <vt:variant>
        <vt:i4>5</vt:i4>
      </vt:variant>
      <vt:variant>
        <vt:lpwstr>https://ec.europa.eu/economy_finance/recovery-and-resilience-scoreboard/disbursements.html?lang=el</vt:lpwstr>
      </vt:variant>
      <vt:variant>
        <vt:lpwstr/>
      </vt:variant>
      <vt:variant>
        <vt:i4>5505097</vt:i4>
      </vt:variant>
      <vt:variant>
        <vt:i4>753</vt:i4>
      </vt:variant>
      <vt:variant>
        <vt:i4>0</vt:i4>
      </vt:variant>
      <vt:variant>
        <vt:i4>5</vt:i4>
      </vt:variant>
      <vt:variant>
        <vt:lpwstr>https://www.statistics.gr/el/statistics/-/publication/SEL95/-</vt:lpwstr>
      </vt:variant>
      <vt:variant>
        <vt:lpwstr/>
      </vt:variant>
      <vt:variant>
        <vt:i4>6422575</vt:i4>
      </vt:variant>
      <vt:variant>
        <vt:i4>750</vt:i4>
      </vt:variant>
      <vt:variant>
        <vt:i4>0</vt:i4>
      </vt:variant>
      <vt:variant>
        <vt:i4>5</vt:i4>
      </vt:variant>
      <vt:variant>
        <vt:lpwstr>https://www.bruegel.org/dataset/national-policies-shield-consumers-rising-energy-prices</vt:lpwstr>
      </vt:variant>
      <vt:variant>
        <vt:lpwstr/>
      </vt:variant>
      <vt:variant>
        <vt:i4>6422575</vt:i4>
      </vt:variant>
      <vt:variant>
        <vt:i4>741</vt:i4>
      </vt:variant>
      <vt:variant>
        <vt:i4>0</vt:i4>
      </vt:variant>
      <vt:variant>
        <vt:i4>5</vt:i4>
      </vt:variant>
      <vt:variant>
        <vt:lpwstr>https://www.bruegel.org/dataset/national-policies-shield-consumers-rising-energy-prices</vt:lpwstr>
      </vt:variant>
      <vt:variant>
        <vt:lpwstr/>
      </vt:variant>
      <vt:variant>
        <vt:i4>3604600</vt:i4>
      </vt:variant>
      <vt:variant>
        <vt:i4>738</vt:i4>
      </vt:variant>
      <vt:variant>
        <vt:i4>0</vt:i4>
      </vt:variant>
      <vt:variant>
        <vt:i4>5</vt:i4>
      </vt:variant>
      <vt:variant>
        <vt:lpwstr>https://www.worldbank.org/en/research/commodity-markets</vt:lpwstr>
      </vt:variant>
      <vt:variant>
        <vt:lpwstr/>
      </vt:variant>
      <vt:variant>
        <vt:i4>786526</vt:i4>
      </vt:variant>
      <vt:variant>
        <vt:i4>735</vt:i4>
      </vt:variant>
      <vt:variant>
        <vt:i4>0</vt:i4>
      </vt:variant>
      <vt:variant>
        <vt:i4>5</vt:i4>
      </vt:variant>
      <vt:variant>
        <vt:lpwstr>https://www.ecb.europa.eu/stats/ecb_surveys/survey_of_professional_forecasters/html/ecb.spf2022q4~eb4b9aa2c2.en.html</vt:lpwstr>
      </vt:variant>
      <vt:variant>
        <vt:lpwstr/>
      </vt:variant>
      <vt:variant>
        <vt:i4>5570618</vt:i4>
      </vt:variant>
      <vt:variant>
        <vt:i4>732</vt:i4>
      </vt:variant>
      <vt:variant>
        <vt:i4>0</vt:i4>
      </vt:variant>
      <vt:variant>
        <vt:i4>5</vt:i4>
      </vt:variant>
      <vt:variant>
        <vt:lpwstr>https://www.ecb.europa.eu/pub/projections/html/ecb.projections202209_ecbstaff~3eafaaee1a.en.html</vt:lpwstr>
      </vt:variant>
      <vt:variant>
        <vt:lpwstr/>
      </vt:variant>
      <vt:variant>
        <vt:i4>8257559</vt:i4>
      </vt:variant>
      <vt:variant>
        <vt:i4>723</vt:i4>
      </vt:variant>
      <vt:variant>
        <vt:i4>0</vt:i4>
      </vt:variant>
      <vt:variant>
        <vt:i4>5</vt:i4>
      </vt:variant>
      <vt:variant>
        <vt:lpwstr>https://economy-finance.ec.europa.eu/publications/european-economic-forecast-spring-2022_en</vt:lpwstr>
      </vt:variant>
      <vt:variant>
        <vt:lpwstr/>
      </vt:variant>
      <vt:variant>
        <vt:i4>196724</vt:i4>
      </vt:variant>
      <vt:variant>
        <vt:i4>720</vt:i4>
      </vt:variant>
      <vt:variant>
        <vt:i4>0</vt:i4>
      </vt:variant>
      <vt:variant>
        <vt:i4>5</vt:i4>
      </vt:variant>
      <vt:variant>
        <vt:lpwstr>https://economy-finance.ec.europa.eu/economic-forecast-and-surveys/economic-forecasts/summer-2022-economic-forecast-russias-war-worsens-outlook_en</vt:lpwstr>
      </vt:variant>
      <vt:variant>
        <vt:lpwstr>documents</vt:lpwstr>
      </vt:variant>
      <vt:variant>
        <vt:i4>851989</vt:i4>
      </vt:variant>
      <vt:variant>
        <vt:i4>717</vt:i4>
      </vt:variant>
      <vt:variant>
        <vt:i4>0</vt:i4>
      </vt:variant>
      <vt:variant>
        <vt:i4>5</vt:i4>
      </vt:variant>
      <vt:variant>
        <vt:lpwstr>https://www.imf.org/en/Publications/WEO/Issues/2022/10/11/world-economic-outlook-october-2022</vt:lpwstr>
      </vt:variant>
      <vt:variant>
        <vt:lpwstr/>
      </vt:variant>
      <vt:variant>
        <vt:i4>1966135</vt:i4>
      </vt:variant>
      <vt:variant>
        <vt:i4>710</vt:i4>
      </vt:variant>
      <vt:variant>
        <vt:i4>0</vt:i4>
      </vt:variant>
      <vt:variant>
        <vt:i4>5</vt:i4>
      </vt:variant>
      <vt:variant>
        <vt:lpwstr/>
      </vt:variant>
      <vt:variant>
        <vt:lpwstr>_Toc115438044</vt:lpwstr>
      </vt:variant>
      <vt:variant>
        <vt:i4>1966129</vt:i4>
      </vt:variant>
      <vt:variant>
        <vt:i4>701</vt:i4>
      </vt:variant>
      <vt:variant>
        <vt:i4>0</vt:i4>
      </vt:variant>
      <vt:variant>
        <vt:i4>5</vt:i4>
      </vt:variant>
      <vt:variant>
        <vt:lpwstr/>
      </vt:variant>
      <vt:variant>
        <vt:lpwstr>_Toc118991100</vt:lpwstr>
      </vt:variant>
      <vt:variant>
        <vt:i4>1507376</vt:i4>
      </vt:variant>
      <vt:variant>
        <vt:i4>695</vt:i4>
      </vt:variant>
      <vt:variant>
        <vt:i4>0</vt:i4>
      </vt:variant>
      <vt:variant>
        <vt:i4>5</vt:i4>
      </vt:variant>
      <vt:variant>
        <vt:lpwstr/>
      </vt:variant>
      <vt:variant>
        <vt:lpwstr>_Toc118991099</vt:lpwstr>
      </vt:variant>
      <vt:variant>
        <vt:i4>1507376</vt:i4>
      </vt:variant>
      <vt:variant>
        <vt:i4>689</vt:i4>
      </vt:variant>
      <vt:variant>
        <vt:i4>0</vt:i4>
      </vt:variant>
      <vt:variant>
        <vt:i4>5</vt:i4>
      </vt:variant>
      <vt:variant>
        <vt:lpwstr/>
      </vt:variant>
      <vt:variant>
        <vt:lpwstr>_Toc118991098</vt:lpwstr>
      </vt:variant>
      <vt:variant>
        <vt:i4>1507376</vt:i4>
      </vt:variant>
      <vt:variant>
        <vt:i4>683</vt:i4>
      </vt:variant>
      <vt:variant>
        <vt:i4>0</vt:i4>
      </vt:variant>
      <vt:variant>
        <vt:i4>5</vt:i4>
      </vt:variant>
      <vt:variant>
        <vt:lpwstr/>
      </vt:variant>
      <vt:variant>
        <vt:lpwstr>_Toc118991097</vt:lpwstr>
      </vt:variant>
      <vt:variant>
        <vt:i4>1507376</vt:i4>
      </vt:variant>
      <vt:variant>
        <vt:i4>677</vt:i4>
      </vt:variant>
      <vt:variant>
        <vt:i4>0</vt:i4>
      </vt:variant>
      <vt:variant>
        <vt:i4>5</vt:i4>
      </vt:variant>
      <vt:variant>
        <vt:lpwstr/>
      </vt:variant>
      <vt:variant>
        <vt:lpwstr>_Toc118991096</vt:lpwstr>
      </vt:variant>
      <vt:variant>
        <vt:i4>1507376</vt:i4>
      </vt:variant>
      <vt:variant>
        <vt:i4>671</vt:i4>
      </vt:variant>
      <vt:variant>
        <vt:i4>0</vt:i4>
      </vt:variant>
      <vt:variant>
        <vt:i4>5</vt:i4>
      </vt:variant>
      <vt:variant>
        <vt:lpwstr/>
      </vt:variant>
      <vt:variant>
        <vt:lpwstr>_Toc118991095</vt:lpwstr>
      </vt:variant>
      <vt:variant>
        <vt:i4>1507376</vt:i4>
      </vt:variant>
      <vt:variant>
        <vt:i4>665</vt:i4>
      </vt:variant>
      <vt:variant>
        <vt:i4>0</vt:i4>
      </vt:variant>
      <vt:variant>
        <vt:i4>5</vt:i4>
      </vt:variant>
      <vt:variant>
        <vt:lpwstr/>
      </vt:variant>
      <vt:variant>
        <vt:lpwstr>_Toc118991094</vt:lpwstr>
      </vt:variant>
      <vt:variant>
        <vt:i4>1638455</vt:i4>
      </vt:variant>
      <vt:variant>
        <vt:i4>656</vt:i4>
      </vt:variant>
      <vt:variant>
        <vt:i4>0</vt:i4>
      </vt:variant>
      <vt:variant>
        <vt:i4>5</vt:i4>
      </vt:variant>
      <vt:variant>
        <vt:lpwstr/>
      </vt:variant>
      <vt:variant>
        <vt:lpwstr>_Toc115438038</vt:lpwstr>
      </vt:variant>
      <vt:variant>
        <vt:i4>1638455</vt:i4>
      </vt:variant>
      <vt:variant>
        <vt:i4>650</vt:i4>
      </vt:variant>
      <vt:variant>
        <vt:i4>0</vt:i4>
      </vt:variant>
      <vt:variant>
        <vt:i4>5</vt:i4>
      </vt:variant>
      <vt:variant>
        <vt:lpwstr/>
      </vt:variant>
      <vt:variant>
        <vt:lpwstr>_Toc115438037</vt:lpwstr>
      </vt:variant>
      <vt:variant>
        <vt:i4>1507391</vt:i4>
      </vt:variant>
      <vt:variant>
        <vt:i4>641</vt:i4>
      </vt:variant>
      <vt:variant>
        <vt:i4>0</vt:i4>
      </vt:variant>
      <vt:variant>
        <vt:i4>5</vt:i4>
      </vt:variant>
      <vt:variant>
        <vt:lpwstr/>
      </vt:variant>
      <vt:variant>
        <vt:lpwstr>_Toc115520945</vt:lpwstr>
      </vt:variant>
      <vt:variant>
        <vt:i4>1507391</vt:i4>
      </vt:variant>
      <vt:variant>
        <vt:i4>635</vt:i4>
      </vt:variant>
      <vt:variant>
        <vt:i4>0</vt:i4>
      </vt:variant>
      <vt:variant>
        <vt:i4>5</vt:i4>
      </vt:variant>
      <vt:variant>
        <vt:lpwstr/>
      </vt:variant>
      <vt:variant>
        <vt:lpwstr>_Toc115520944</vt:lpwstr>
      </vt:variant>
      <vt:variant>
        <vt:i4>1507391</vt:i4>
      </vt:variant>
      <vt:variant>
        <vt:i4>629</vt:i4>
      </vt:variant>
      <vt:variant>
        <vt:i4>0</vt:i4>
      </vt:variant>
      <vt:variant>
        <vt:i4>5</vt:i4>
      </vt:variant>
      <vt:variant>
        <vt:lpwstr/>
      </vt:variant>
      <vt:variant>
        <vt:lpwstr>_Toc115520943</vt:lpwstr>
      </vt:variant>
      <vt:variant>
        <vt:i4>1507391</vt:i4>
      </vt:variant>
      <vt:variant>
        <vt:i4>623</vt:i4>
      </vt:variant>
      <vt:variant>
        <vt:i4>0</vt:i4>
      </vt:variant>
      <vt:variant>
        <vt:i4>5</vt:i4>
      </vt:variant>
      <vt:variant>
        <vt:lpwstr/>
      </vt:variant>
      <vt:variant>
        <vt:lpwstr>_Toc115520942</vt:lpwstr>
      </vt:variant>
      <vt:variant>
        <vt:i4>1507391</vt:i4>
      </vt:variant>
      <vt:variant>
        <vt:i4>617</vt:i4>
      </vt:variant>
      <vt:variant>
        <vt:i4>0</vt:i4>
      </vt:variant>
      <vt:variant>
        <vt:i4>5</vt:i4>
      </vt:variant>
      <vt:variant>
        <vt:lpwstr/>
      </vt:variant>
      <vt:variant>
        <vt:lpwstr>_Toc115520941</vt:lpwstr>
      </vt:variant>
      <vt:variant>
        <vt:i4>1507391</vt:i4>
      </vt:variant>
      <vt:variant>
        <vt:i4>611</vt:i4>
      </vt:variant>
      <vt:variant>
        <vt:i4>0</vt:i4>
      </vt:variant>
      <vt:variant>
        <vt:i4>5</vt:i4>
      </vt:variant>
      <vt:variant>
        <vt:lpwstr/>
      </vt:variant>
      <vt:variant>
        <vt:lpwstr>_Toc115520940</vt:lpwstr>
      </vt:variant>
      <vt:variant>
        <vt:i4>1703984</vt:i4>
      </vt:variant>
      <vt:variant>
        <vt:i4>602</vt:i4>
      </vt:variant>
      <vt:variant>
        <vt:i4>0</vt:i4>
      </vt:variant>
      <vt:variant>
        <vt:i4>5</vt:i4>
      </vt:variant>
      <vt:variant>
        <vt:lpwstr/>
      </vt:variant>
      <vt:variant>
        <vt:lpwstr>_Toc118991041</vt:lpwstr>
      </vt:variant>
      <vt:variant>
        <vt:i4>1703984</vt:i4>
      </vt:variant>
      <vt:variant>
        <vt:i4>596</vt:i4>
      </vt:variant>
      <vt:variant>
        <vt:i4>0</vt:i4>
      </vt:variant>
      <vt:variant>
        <vt:i4>5</vt:i4>
      </vt:variant>
      <vt:variant>
        <vt:lpwstr/>
      </vt:variant>
      <vt:variant>
        <vt:lpwstr>_Toc118991040</vt:lpwstr>
      </vt:variant>
      <vt:variant>
        <vt:i4>1900592</vt:i4>
      </vt:variant>
      <vt:variant>
        <vt:i4>590</vt:i4>
      </vt:variant>
      <vt:variant>
        <vt:i4>0</vt:i4>
      </vt:variant>
      <vt:variant>
        <vt:i4>5</vt:i4>
      </vt:variant>
      <vt:variant>
        <vt:lpwstr/>
      </vt:variant>
      <vt:variant>
        <vt:lpwstr>_Toc118991039</vt:lpwstr>
      </vt:variant>
      <vt:variant>
        <vt:i4>1507379</vt:i4>
      </vt:variant>
      <vt:variant>
        <vt:i4>578</vt:i4>
      </vt:variant>
      <vt:variant>
        <vt:i4>0</vt:i4>
      </vt:variant>
      <vt:variant>
        <vt:i4>5</vt:i4>
      </vt:variant>
      <vt:variant>
        <vt:lpwstr/>
      </vt:variant>
      <vt:variant>
        <vt:lpwstr>_Toc119082332</vt:lpwstr>
      </vt:variant>
      <vt:variant>
        <vt:i4>1507379</vt:i4>
      </vt:variant>
      <vt:variant>
        <vt:i4>572</vt:i4>
      </vt:variant>
      <vt:variant>
        <vt:i4>0</vt:i4>
      </vt:variant>
      <vt:variant>
        <vt:i4>5</vt:i4>
      </vt:variant>
      <vt:variant>
        <vt:lpwstr/>
      </vt:variant>
      <vt:variant>
        <vt:lpwstr>_Toc119082331</vt:lpwstr>
      </vt:variant>
      <vt:variant>
        <vt:i4>1507379</vt:i4>
      </vt:variant>
      <vt:variant>
        <vt:i4>566</vt:i4>
      </vt:variant>
      <vt:variant>
        <vt:i4>0</vt:i4>
      </vt:variant>
      <vt:variant>
        <vt:i4>5</vt:i4>
      </vt:variant>
      <vt:variant>
        <vt:lpwstr/>
      </vt:variant>
      <vt:variant>
        <vt:lpwstr>_Toc119082330</vt:lpwstr>
      </vt:variant>
      <vt:variant>
        <vt:i4>1441843</vt:i4>
      </vt:variant>
      <vt:variant>
        <vt:i4>560</vt:i4>
      </vt:variant>
      <vt:variant>
        <vt:i4>0</vt:i4>
      </vt:variant>
      <vt:variant>
        <vt:i4>5</vt:i4>
      </vt:variant>
      <vt:variant>
        <vt:lpwstr/>
      </vt:variant>
      <vt:variant>
        <vt:lpwstr>_Toc119082329</vt:lpwstr>
      </vt:variant>
      <vt:variant>
        <vt:i4>1441843</vt:i4>
      </vt:variant>
      <vt:variant>
        <vt:i4>554</vt:i4>
      </vt:variant>
      <vt:variant>
        <vt:i4>0</vt:i4>
      </vt:variant>
      <vt:variant>
        <vt:i4>5</vt:i4>
      </vt:variant>
      <vt:variant>
        <vt:lpwstr/>
      </vt:variant>
      <vt:variant>
        <vt:lpwstr>_Toc119082328</vt:lpwstr>
      </vt:variant>
      <vt:variant>
        <vt:i4>1441843</vt:i4>
      </vt:variant>
      <vt:variant>
        <vt:i4>548</vt:i4>
      </vt:variant>
      <vt:variant>
        <vt:i4>0</vt:i4>
      </vt:variant>
      <vt:variant>
        <vt:i4>5</vt:i4>
      </vt:variant>
      <vt:variant>
        <vt:lpwstr/>
      </vt:variant>
      <vt:variant>
        <vt:lpwstr>_Toc119082327</vt:lpwstr>
      </vt:variant>
      <vt:variant>
        <vt:i4>1441843</vt:i4>
      </vt:variant>
      <vt:variant>
        <vt:i4>542</vt:i4>
      </vt:variant>
      <vt:variant>
        <vt:i4>0</vt:i4>
      </vt:variant>
      <vt:variant>
        <vt:i4>5</vt:i4>
      </vt:variant>
      <vt:variant>
        <vt:lpwstr/>
      </vt:variant>
      <vt:variant>
        <vt:lpwstr>_Toc119082324</vt:lpwstr>
      </vt:variant>
      <vt:variant>
        <vt:i4>1441843</vt:i4>
      </vt:variant>
      <vt:variant>
        <vt:i4>536</vt:i4>
      </vt:variant>
      <vt:variant>
        <vt:i4>0</vt:i4>
      </vt:variant>
      <vt:variant>
        <vt:i4>5</vt:i4>
      </vt:variant>
      <vt:variant>
        <vt:lpwstr/>
      </vt:variant>
      <vt:variant>
        <vt:lpwstr>_Toc119082323</vt:lpwstr>
      </vt:variant>
      <vt:variant>
        <vt:i4>1441843</vt:i4>
      </vt:variant>
      <vt:variant>
        <vt:i4>530</vt:i4>
      </vt:variant>
      <vt:variant>
        <vt:i4>0</vt:i4>
      </vt:variant>
      <vt:variant>
        <vt:i4>5</vt:i4>
      </vt:variant>
      <vt:variant>
        <vt:lpwstr/>
      </vt:variant>
      <vt:variant>
        <vt:lpwstr>_Toc119082322</vt:lpwstr>
      </vt:variant>
      <vt:variant>
        <vt:i4>1441843</vt:i4>
      </vt:variant>
      <vt:variant>
        <vt:i4>524</vt:i4>
      </vt:variant>
      <vt:variant>
        <vt:i4>0</vt:i4>
      </vt:variant>
      <vt:variant>
        <vt:i4>5</vt:i4>
      </vt:variant>
      <vt:variant>
        <vt:lpwstr/>
      </vt:variant>
      <vt:variant>
        <vt:lpwstr>_Toc119082321</vt:lpwstr>
      </vt:variant>
      <vt:variant>
        <vt:i4>1441843</vt:i4>
      </vt:variant>
      <vt:variant>
        <vt:i4>518</vt:i4>
      </vt:variant>
      <vt:variant>
        <vt:i4>0</vt:i4>
      </vt:variant>
      <vt:variant>
        <vt:i4>5</vt:i4>
      </vt:variant>
      <vt:variant>
        <vt:lpwstr/>
      </vt:variant>
      <vt:variant>
        <vt:lpwstr>_Toc119082320</vt:lpwstr>
      </vt:variant>
      <vt:variant>
        <vt:i4>1376307</vt:i4>
      </vt:variant>
      <vt:variant>
        <vt:i4>512</vt:i4>
      </vt:variant>
      <vt:variant>
        <vt:i4>0</vt:i4>
      </vt:variant>
      <vt:variant>
        <vt:i4>5</vt:i4>
      </vt:variant>
      <vt:variant>
        <vt:lpwstr/>
      </vt:variant>
      <vt:variant>
        <vt:lpwstr>_Toc119082319</vt:lpwstr>
      </vt:variant>
      <vt:variant>
        <vt:i4>1376307</vt:i4>
      </vt:variant>
      <vt:variant>
        <vt:i4>506</vt:i4>
      </vt:variant>
      <vt:variant>
        <vt:i4>0</vt:i4>
      </vt:variant>
      <vt:variant>
        <vt:i4>5</vt:i4>
      </vt:variant>
      <vt:variant>
        <vt:lpwstr/>
      </vt:variant>
      <vt:variant>
        <vt:lpwstr>_Toc119082318</vt:lpwstr>
      </vt:variant>
      <vt:variant>
        <vt:i4>1376307</vt:i4>
      </vt:variant>
      <vt:variant>
        <vt:i4>500</vt:i4>
      </vt:variant>
      <vt:variant>
        <vt:i4>0</vt:i4>
      </vt:variant>
      <vt:variant>
        <vt:i4>5</vt:i4>
      </vt:variant>
      <vt:variant>
        <vt:lpwstr/>
      </vt:variant>
      <vt:variant>
        <vt:lpwstr>_Toc119082317</vt:lpwstr>
      </vt:variant>
      <vt:variant>
        <vt:i4>1376307</vt:i4>
      </vt:variant>
      <vt:variant>
        <vt:i4>494</vt:i4>
      </vt:variant>
      <vt:variant>
        <vt:i4>0</vt:i4>
      </vt:variant>
      <vt:variant>
        <vt:i4>5</vt:i4>
      </vt:variant>
      <vt:variant>
        <vt:lpwstr/>
      </vt:variant>
      <vt:variant>
        <vt:lpwstr>_Toc119082316</vt:lpwstr>
      </vt:variant>
      <vt:variant>
        <vt:i4>1376307</vt:i4>
      </vt:variant>
      <vt:variant>
        <vt:i4>488</vt:i4>
      </vt:variant>
      <vt:variant>
        <vt:i4>0</vt:i4>
      </vt:variant>
      <vt:variant>
        <vt:i4>5</vt:i4>
      </vt:variant>
      <vt:variant>
        <vt:lpwstr/>
      </vt:variant>
      <vt:variant>
        <vt:lpwstr>_Toc119082315</vt:lpwstr>
      </vt:variant>
      <vt:variant>
        <vt:i4>1376307</vt:i4>
      </vt:variant>
      <vt:variant>
        <vt:i4>482</vt:i4>
      </vt:variant>
      <vt:variant>
        <vt:i4>0</vt:i4>
      </vt:variant>
      <vt:variant>
        <vt:i4>5</vt:i4>
      </vt:variant>
      <vt:variant>
        <vt:lpwstr/>
      </vt:variant>
      <vt:variant>
        <vt:lpwstr>_Toc119082314</vt:lpwstr>
      </vt:variant>
      <vt:variant>
        <vt:i4>1376307</vt:i4>
      </vt:variant>
      <vt:variant>
        <vt:i4>476</vt:i4>
      </vt:variant>
      <vt:variant>
        <vt:i4>0</vt:i4>
      </vt:variant>
      <vt:variant>
        <vt:i4>5</vt:i4>
      </vt:variant>
      <vt:variant>
        <vt:lpwstr/>
      </vt:variant>
      <vt:variant>
        <vt:lpwstr>_Toc119082313</vt:lpwstr>
      </vt:variant>
      <vt:variant>
        <vt:i4>1376307</vt:i4>
      </vt:variant>
      <vt:variant>
        <vt:i4>470</vt:i4>
      </vt:variant>
      <vt:variant>
        <vt:i4>0</vt:i4>
      </vt:variant>
      <vt:variant>
        <vt:i4>5</vt:i4>
      </vt:variant>
      <vt:variant>
        <vt:lpwstr/>
      </vt:variant>
      <vt:variant>
        <vt:lpwstr>_Toc119082312</vt:lpwstr>
      </vt:variant>
      <vt:variant>
        <vt:i4>1376307</vt:i4>
      </vt:variant>
      <vt:variant>
        <vt:i4>464</vt:i4>
      </vt:variant>
      <vt:variant>
        <vt:i4>0</vt:i4>
      </vt:variant>
      <vt:variant>
        <vt:i4>5</vt:i4>
      </vt:variant>
      <vt:variant>
        <vt:lpwstr/>
      </vt:variant>
      <vt:variant>
        <vt:lpwstr>_Toc119082311</vt:lpwstr>
      </vt:variant>
      <vt:variant>
        <vt:i4>1310771</vt:i4>
      </vt:variant>
      <vt:variant>
        <vt:i4>458</vt:i4>
      </vt:variant>
      <vt:variant>
        <vt:i4>0</vt:i4>
      </vt:variant>
      <vt:variant>
        <vt:i4>5</vt:i4>
      </vt:variant>
      <vt:variant>
        <vt:lpwstr/>
      </vt:variant>
      <vt:variant>
        <vt:lpwstr>_Toc119082308</vt:lpwstr>
      </vt:variant>
      <vt:variant>
        <vt:i4>1310771</vt:i4>
      </vt:variant>
      <vt:variant>
        <vt:i4>452</vt:i4>
      </vt:variant>
      <vt:variant>
        <vt:i4>0</vt:i4>
      </vt:variant>
      <vt:variant>
        <vt:i4>5</vt:i4>
      </vt:variant>
      <vt:variant>
        <vt:lpwstr/>
      </vt:variant>
      <vt:variant>
        <vt:lpwstr>_Toc119082307</vt:lpwstr>
      </vt:variant>
      <vt:variant>
        <vt:i4>1310771</vt:i4>
      </vt:variant>
      <vt:variant>
        <vt:i4>446</vt:i4>
      </vt:variant>
      <vt:variant>
        <vt:i4>0</vt:i4>
      </vt:variant>
      <vt:variant>
        <vt:i4>5</vt:i4>
      </vt:variant>
      <vt:variant>
        <vt:lpwstr/>
      </vt:variant>
      <vt:variant>
        <vt:lpwstr>_Toc119082306</vt:lpwstr>
      </vt:variant>
      <vt:variant>
        <vt:i4>1310771</vt:i4>
      </vt:variant>
      <vt:variant>
        <vt:i4>440</vt:i4>
      </vt:variant>
      <vt:variant>
        <vt:i4>0</vt:i4>
      </vt:variant>
      <vt:variant>
        <vt:i4>5</vt:i4>
      </vt:variant>
      <vt:variant>
        <vt:lpwstr/>
      </vt:variant>
      <vt:variant>
        <vt:lpwstr>_Toc119082305</vt:lpwstr>
      </vt:variant>
      <vt:variant>
        <vt:i4>1310771</vt:i4>
      </vt:variant>
      <vt:variant>
        <vt:i4>434</vt:i4>
      </vt:variant>
      <vt:variant>
        <vt:i4>0</vt:i4>
      </vt:variant>
      <vt:variant>
        <vt:i4>5</vt:i4>
      </vt:variant>
      <vt:variant>
        <vt:lpwstr/>
      </vt:variant>
      <vt:variant>
        <vt:lpwstr>_Toc119082304</vt:lpwstr>
      </vt:variant>
      <vt:variant>
        <vt:i4>1310771</vt:i4>
      </vt:variant>
      <vt:variant>
        <vt:i4>428</vt:i4>
      </vt:variant>
      <vt:variant>
        <vt:i4>0</vt:i4>
      </vt:variant>
      <vt:variant>
        <vt:i4>5</vt:i4>
      </vt:variant>
      <vt:variant>
        <vt:lpwstr/>
      </vt:variant>
      <vt:variant>
        <vt:lpwstr>_Toc119082303</vt:lpwstr>
      </vt:variant>
      <vt:variant>
        <vt:i4>1310771</vt:i4>
      </vt:variant>
      <vt:variant>
        <vt:i4>422</vt:i4>
      </vt:variant>
      <vt:variant>
        <vt:i4>0</vt:i4>
      </vt:variant>
      <vt:variant>
        <vt:i4>5</vt:i4>
      </vt:variant>
      <vt:variant>
        <vt:lpwstr/>
      </vt:variant>
      <vt:variant>
        <vt:lpwstr>_Toc119082302</vt:lpwstr>
      </vt:variant>
      <vt:variant>
        <vt:i4>1310771</vt:i4>
      </vt:variant>
      <vt:variant>
        <vt:i4>416</vt:i4>
      </vt:variant>
      <vt:variant>
        <vt:i4>0</vt:i4>
      </vt:variant>
      <vt:variant>
        <vt:i4>5</vt:i4>
      </vt:variant>
      <vt:variant>
        <vt:lpwstr/>
      </vt:variant>
      <vt:variant>
        <vt:lpwstr>_Toc119082301</vt:lpwstr>
      </vt:variant>
      <vt:variant>
        <vt:i4>1310771</vt:i4>
      </vt:variant>
      <vt:variant>
        <vt:i4>410</vt:i4>
      </vt:variant>
      <vt:variant>
        <vt:i4>0</vt:i4>
      </vt:variant>
      <vt:variant>
        <vt:i4>5</vt:i4>
      </vt:variant>
      <vt:variant>
        <vt:lpwstr/>
      </vt:variant>
      <vt:variant>
        <vt:lpwstr>_Toc119082300</vt:lpwstr>
      </vt:variant>
      <vt:variant>
        <vt:i4>1900594</vt:i4>
      </vt:variant>
      <vt:variant>
        <vt:i4>404</vt:i4>
      </vt:variant>
      <vt:variant>
        <vt:i4>0</vt:i4>
      </vt:variant>
      <vt:variant>
        <vt:i4>5</vt:i4>
      </vt:variant>
      <vt:variant>
        <vt:lpwstr/>
      </vt:variant>
      <vt:variant>
        <vt:lpwstr>_Toc119082299</vt:lpwstr>
      </vt:variant>
      <vt:variant>
        <vt:i4>1900594</vt:i4>
      </vt:variant>
      <vt:variant>
        <vt:i4>398</vt:i4>
      </vt:variant>
      <vt:variant>
        <vt:i4>0</vt:i4>
      </vt:variant>
      <vt:variant>
        <vt:i4>5</vt:i4>
      </vt:variant>
      <vt:variant>
        <vt:lpwstr/>
      </vt:variant>
      <vt:variant>
        <vt:lpwstr>_Toc119082298</vt:lpwstr>
      </vt:variant>
      <vt:variant>
        <vt:i4>1900594</vt:i4>
      </vt:variant>
      <vt:variant>
        <vt:i4>392</vt:i4>
      </vt:variant>
      <vt:variant>
        <vt:i4>0</vt:i4>
      </vt:variant>
      <vt:variant>
        <vt:i4>5</vt:i4>
      </vt:variant>
      <vt:variant>
        <vt:lpwstr/>
      </vt:variant>
      <vt:variant>
        <vt:lpwstr>_Toc119082297</vt:lpwstr>
      </vt:variant>
      <vt:variant>
        <vt:i4>1900594</vt:i4>
      </vt:variant>
      <vt:variant>
        <vt:i4>386</vt:i4>
      </vt:variant>
      <vt:variant>
        <vt:i4>0</vt:i4>
      </vt:variant>
      <vt:variant>
        <vt:i4>5</vt:i4>
      </vt:variant>
      <vt:variant>
        <vt:lpwstr/>
      </vt:variant>
      <vt:variant>
        <vt:lpwstr>_Toc119082296</vt:lpwstr>
      </vt:variant>
      <vt:variant>
        <vt:i4>1900594</vt:i4>
      </vt:variant>
      <vt:variant>
        <vt:i4>380</vt:i4>
      </vt:variant>
      <vt:variant>
        <vt:i4>0</vt:i4>
      </vt:variant>
      <vt:variant>
        <vt:i4>5</vt:i4>
      </vt:variant>
      <vt:variant>
        <vt:lpwstr/>
      </vt:variant>
      <vt:variant>
        <vt:lpwstr>_Toc119082295</vt:lpwstr>
      </vt:variant>
      <vt:variant>
        <vt:i4>1900594</vt:i4>
      </vt:variant>
      <vt:variant>
        <vt:i4>374</vt:i4>
      </vt:variant>
      <vt:variant>
        <vt:i4>0</vt:i4>
      </vt:variant>
      <vt:variant>
        <vt:i4>5</vt:i4>
      </vt:variant>
      <vt:variant>
        <vt:lpwstr/>
      </vt:variant>
      <vt:variant>
        <vt:lpwstr>_Toc119082294</vt:lpwstr>
      </vt:variant>
      <vt:variant>
        <vt:i4>1900594</vt:i4>
      </vt:variant>
      <vt:variant>
        <vt:i4>368</vt:i4>
      </vt:variant>
      <vt:variant>
        <vt:i4>0</vt:i4>
      </vt:variant>
      <vt:variant>
        <vt:i4>5</vt:i4>
      </vt:variant>
      <vt:variant>
        <vt:lpwstr/>
      </vt:variant>
      <vt:variant>
        <vt:lpwstr>_Toc119082293</vt:lpwstr>
      </vt:variant>
      <vt:variant>
        <vt:i4>1900594</vt:i4>
      </vt:variant>
      <vt:variant>
        <vt:i4>362</vt:i4>
      </vt:variant>
      <vt:variant>
        <vt:i4>0</vt:i4>
      </vt:variant>
      <vt:variant>
        <vt:i4>5</vt:i4>
      </vt:variant>
      <vt:variant>
        <vt:lpwstr/>
      </vt:variant>
      <vt:variant>
        <vt:lpwstr>_Toc119082292</vt:lpwstr>
      </vt:variant>
      <vt:variant>
        <vt:i4>1900594</vt:i4>
      </vt:variant>
      <vt:variant>
        <vt:i4>356</vt:i4>
      </vt:variant>
      <vt:variant>
        <vt:i4>0</vt:i4>
      </vt:variant>
      <vt:variant>
        <vt:i4>5</vt:i4>
      </vt:variant>
      <vt:variant>
        <vt:lpwstr/>
      </vt:variant>
      <vt:variant>
        <vt:lpwstr>_Toc119082291</vt:lpwstr>
      </vt:variant>
      <vt:variant>
        <vt:i4>1900594</vt:i4>
      </vt:variant>
      <vt:variant>
        <vt:i4>350</vt:i4>
      </vt:variant>
      <vt:variant>
        <vt:i4>0</vt:i4>
      </vt:variant>
      <vt:variant>
        <vt:i4>5</vt:i4>
      </vt:variant>
      <vt:variant>
        <vt:lpwstr/>
      </vt:variant>
      <vt:variant>
        <vt:lpwstr>_Toc119082290</vt:lpwstr>
      </vt:variant>
      <vt:variant>
        <vt:i4>1835058</vt:i4>
      </vt:variant>
      <vt:variant>
        <vt:i4>344</vt:i4>
      </vt:variant>
      <vt:variant>
        <vt:i4>0</vt:i4>
      </vt:variant>
      <vt:variant>
        <vt:i4>5</vt:i4>
      </vt:variant>
      <vt:variant>
        <vt:lpwstr/>
      </vt:variant>
      <vt:variant>
        <vt:lpwstr>_Toc119082289</vt:lpwstr>
      </vt:variant>
      <vt:variant>
        <vt:i4>1835058</vt:i4>
      </vt:variant>
      <vt:variant>
        <vt:i4>338</vt:i4>
      </vt:variant>
      <vt:variant>
        <vt:i4>0</vt:i4>
      </vt:variant>
      <vt:variant>
        <vt:i4>5</vt:i4>
      </vt:variant>
      <vt:variant>
        <vt:lpwstr/>
      </vt:variant>
      <vt:variant>
        <vt:lpwstr>_Toc119082288</vt:lpwstr>
      </vt:variant>
      <vt:variant>
        <vt:i4>1835058</vt:i4>
      </vt:variant>
      <vt:variant>
        <vt:i4>332</vt:i4>
      </vt:variant>
      <vt:variant>
        <vt:i4>0</vt:i4>
      </vt:variant>
      <vt:variant>
        <vt:i4>5</vt:i4>
      </vt:variant>
      <vt:variant>
        <vt:lpwstr/>
      </vt:variant>
      <vt:variant>
        <vt:lpwstr>_Toc119082287</vt:lpwstr>
      </vt:variant>
      <vt:variant>
        <vt:i4>1835058</vt:i4>
      </vt:variant>
      <vt:variant>
        <vt:i4>326</vt:i4>
      </vt:variant>
      <vt:variant>
        <vt:i4>0</vt:i4>
      </vt:variant>
      <vt:variant>
        <vt:i4>5</vt:i4>
      </vt:variant>
      <vt:variant>
        <vt:lpwstr/>
      </vt:variant>
      <vt:variant>
        <vt:lpwstr>_Toc119082286</vt:lpwstr>
      </vt:variant>
      <vt:variant>
        <vt:i4>1835058</vt:i4>
      </vt:variant>
      <vt:variant>
        <vt:i4>320</vt:i4>
      </vt:variant>
      <vt:variant>
        <vt:i4>0</vt:i4>
      </vt:variant>
      <vt:variant>
        <vt:i4>5</vt:i4>
      </vt:variant>
      <vt:variant>
        <vt:lpwstr/>
      </vt:variant>
      <vt:variant>
        <vt:lpwstr>_Toc119082285</vt:lpwstr>
      </vt:variant>
      <vt:variant>
        <vt:i4>1835058</vt:i4>
      </vt:variant>
      <vt:variant>
        <vt:i4>314</vt:i4>
      </vt:variant>
      <vt:variant>
        <vt:i4>0</vt:i4>
      </vt:variant>
      <vt:variant>
        <vt:i4>5</vt:i4>
      </vt:variant>
      <vt:variant>
        <vt:lpwstr/>
      </vt:variant>
      <vt:variant>
        <vt:lpwstr>_Toc119082284</vt:lpwstr>
      </vt:variant>
      <vt:variant>
        <vt:i4>1835058</vt:i4>
      </vt:variant>
      <vt:variant>
        <vt:i4>308</vt:i4>
      </vt:variant>
      <vt:variant>
        <vt:i4>0</vt:i4>
      </vt:variant>
      <vt:variant>
        <vt:i4>5</vt:i4>
      </vt:variant>
      <vt:variant>
        <vt:lpwstr/>
      </vt:variant>
      <vt:variant>
        <vt:lpwstr>_Toc119082283</vt:lpwstr>
      </vt:variant>
      <vt:variant>
        <vt:i4>1835058</vt:i4>
      </vt:variant>
      <vt:variant>
        <vt:i4>302</vt:i4>
      </vt:variant>
      <vt:variant>
        <vt:i4>0</vt:i4>
      </vt:variant>
      <vt:variant>
        <vt:i4>5</vt:i4>
      </vt:variant>
      <vt:variant>
        <vt:lpwstr/>
      </vt:variant>
      <vt:variant>
        <vt:lpwstr>_Toc119082282</vt:lpwstr>
      </vt:variant>
      <vt:variant>
        <vt:i4>1835058</vt:i4>
      </vt:variant>
      <vt:variant>
        <vt:i4>296</vt:i4>
      </vt:variant>
      <vt:variant>
        <vt:i4>0</vt:i4>
      </vt:variant>
      <vt:variant>
        <vt:i4>5</vt:i4>
      </vt:variant>
      <vt:variant>
        <vt:lpwstr/>
      </vt:variant>
      <vt:variant>
        <vt:lpwstr>_Toc119082281</vt:lpwstr>
      </vt:variant>
      <vt:variant>
        <vt:i4>1835058</vt:i4>
      </vt:variant>
      <vt:variant>
        <vt:i4>290</vt:i4>
      </vt:variant>
      <vt:variant>
        <vt:i4>0</vt:i4>
      </vt:variant>
      <vt:variant>
        <vt:i4>5</vt:i4>
      </vt:variant>
      <vt:variant>
        <vt:lpwstr/>
      </vt:variant>
      <vt:variant>
        <vt:lpwstr>_Toc119082280</vt:lpwstr>
      </vt:variant>
      <vt:variant>
        <vt:i4>1245234</vt:i4>
      </vt:variant>
      <vt:variant>
        <vt:i4>284</vt:i4>
      </vt:variant>
      <vt:variant>
        <vt:i4>0</vt:i4>
      </vt:variant>
      <vt:variant>
        <vt:i4>5</vt:i4>
      </vt:variant>
      <vt:variant>
        <vt:lpwstr/>
      </vt:variant>
      <vt:variant>
        <vt:lpwstr>_Toc119082279</vt:lpwstr>
      </vt:variant>
      <vt:variant>
        <vt:i4>1245234</vt:i4>
      </vt:variant>
      <vt:variant>
        <vt:i4>278</vt:i4>
      </vt:variant>
      <vt:variant>
        <vt:i4>0</vt:i4>
      </vt:variant>
      <vt:variant>
        <vt:i4>5</vt:i4>
      </vt:variant>
      <vt:variant>
        <vt:lpwstr/>
      </vt:variant>
      <vt:variant>
        <vt:lpwstr>_Toc119082278</vt:lpwstr>
      </vt:variant>
      <vt:variant>
        <vt:i4>1245234</vt:i4>
      </vt:variant>
      <vt:variant>
        <vt:i4>272</vt:i4>
      </vt:variant>
      <vt:variant>
        <vt:i4>0</vt:i4>
      </vt:variant>
      <vt:variant>
        <vt:i4>5</vt:i4>
      </vt:variant>
      <vt:variant>
        <vt:lpwstr/>
      </vt:variant>
      <vt:variant>
        <vt:lpwstr>_Toc119082277</vt:lpwstr>
      </vt:variant>
      <vt:variant>
        <vt:i4>1245234</vt:i4>
      </vt:variant>
      <vt:variant>
        <vt:i4>266</vt:i4>
      </vt:variant>
      <vt:variant>
        <vt:i4>0</vt:i4>
      </vt:variant>
      <vt:variant>
        <vt:i4>5</vt:i4>
      </vt:variant>
      <vt:variant>
        <vt:lpwstr/>
      </vt:variant>
      <vt:variant>
        <vt:lpwstr>_Toc119082276</vt:lpwstr>
      </vt:variant>
      <vt:variant>
        <vt:i4>1245234</vt:i4>
      </vt:variant>
      <vt:variant>
        <vt:i4>260</vt:i4>
      </vt:variant>
      <vt:variant>
        <vt:i4>0</vt:i4>
      </vt:variant>
      <vt:variant>
        <vt:i4>5</vt:i4>
      </vt:variant>
      <vt:variant>
        <vt:lpwstr/>
      </vt:variant>
      <vt:variant>
        <vt:lpwstr>_Toc119082275</vt:lpwstr>
      </vt:variant>
      <vt:variant>
        <vt:i4>1245234</vt:i4>
      </vt:variant>
      <vt:variant>
        <vt:i4>254</vt:i4>
      </vt:variant>
      <vt:variant>
        <vt:i4>0</vt:i4>
      </vt:variant>
      <vt:variant>
        <vt:i4>5</vt:i4>
      </vt:variant>
      <vt:variant>
        <vt:lpwstr/>
      </vt:variant>
      <vt:variant>
        <vt:lpwstr>_Toc119082274</vt:lpwstr>
      </vt:variant>
      <vt:variant>
        <vt:i4>1245234</vt:i4>
      </vt:variant>
      <vt:variant>
        <vt:i4>248</vt:i4>
      </vt:variant>
      <vt:variant>
        <vt:i4>0</vt:i4>
      </vt:variant>
      <vt:variant>
        <vt:i4>5</vt:i4>
      </vt:variant>
      <vt:variant>
        <vt:lpwstr/>
      </vt:variant>
      <vt:variant>
        <vt:lpwstr>_Toc119082273</vt:lpwstr>
      </vt:variant>
      <vt:variant>
        <vt:i4>1245234</vt:i4>
      </vt:variant>
      <vt:variant>
        <vt:i4>242</vt:i4>
      </vt:variant>
      <vt:variant>
        <vt:i4>0</vt:i4>
      </vt:variant>
      <vt:variant>
        <vt:i4>5</vt:i4>
      </vt:variant>
      <vt:variant>
        <vt:lpwstr/>
      </vt:variant>
      <vt:variant>
        <vt:lpwstr>_Toc119082272</vt:lpwstr>
      </vt:variant>
      <vt:variant>
        <vt:i4>1245234</vt:i4>
      </vt:variant>
      <vt:variant>
        <vt:i4>236</vt:i4>
      </vt:variant>
      <vt:variant>
        <vt:i4>0</vt:i4>
      </vt:variant>
      <vt:variant>
        <vt:i4>5</vt:i4>
      </vt:variant>
      <vt:variant>
        <vt:lpwstr/>
      </vt:variant>
      <vt:variant>
        <vt:lpwstr>_Toc119082271</vt:lpwstr>
      </vt:variant>
      <vt:variant>
        <vt:i4>1245234</vt:i4>
      </vt:variant>
      <vt:variant>
        <vt:i4>230</vt:i4>
      </vt:variant>
      <vt:variant>
        <vt:i4>0</vt:i4>
      </vt:variant>
      <vt:variant>
        <vt:i4>5</vt:i4>
      </vt:variant>
      <vt:variant>
        <vt:lpwstr/>
      </vt:variant>
      <vt:variant>
        <vt:lpwstr>_Toc119082270</vt:lpwstr>
      </vt:variant>
      <vt:variant>
        <vt:i4>1179698</vt:i4>
      </vt:variant>
      <vt:variant>
        <vt:i4>224</vt:i4>
      </vt:variant>
      <vt:variant>
        <vt:i4>0</vt:i4>
      </vt:variant>
      <vt:variant>
        <vt:i4>5</vt:i4>
      </vt:variant>
      <vt:variant>
        <vt:lpwstr/>
      </vt:variant>
      <vt:variant>
        <vt:lpwstr>_Toc119082269</vt:lpwstr>
      </vt:variant>
      <vt:variant>
        <vt:i4>1179698</vt:i4>
      </vt:variant>
      <vt:variant>
        <vt:i4>218</vt:i4>
      </vt:variant>
      <vt:variant>
        <vt:i4>0</vt:i4>
      </vt:variant>
      <vt:variant>
        <vt:i4>5</vt:i4>
      </vt:variant>
      <vt:variant>
        <vt:lpwstr/>
      </vt:variant>
      <vt:variant>
        <vt:lpwstr>_Toc119082268</vt:lpwstr>
      </vt:variant>
      <vt:variant>
        <vt:i4>1179698</vt:i4>
      </vt:variant>
      <vt:variant>
        <vt:i4>212</vt:i4>
      </vt:variant>
      <vt:variant>
        <vt:i4>0</vt:i4>
      </vt:variant>
      <vt:variant>
        <vt:i4>5</vt:i4>
      </vt:variant>
      <vt:variant>
        <vt:lpwstr/>
      </vt:variant>
      <vt:variant>
        <vt:lpwstr>_Toc119082267</vt:lpwstr>
      </vt:variant>
      <vt:variant>
        <vt:i4>1179698</vt:i4>
      </vt:variant>
      <vt:variant>
        <vt:i4>206</vt:i4>
      </vt:variant>
      <vt:variant>
        <vt:i4>0</vt:i4>
      </vt:variant>
      <vt:variant>
        <vt:i4>5</vt:i4>
      </vt:variant>
      <vt:variant>
        <vt:lpwstr/>
      </vt:variant>
      <vt:variant>
        <vt:lpwstr>_Toc119082266</vt:lpwstr>
      </vt:variant>
      <vt:variant>
        <vt:i4>1179698</vt:i4>
      </vt:variant>
      <vt:variant>
        <vt:i4>200</vt:i4>
      </vt:variant>
      <vt:variant>
        <vt:i4>0</vt:i4>
      </vt:variant>
      <vt:variant>
        <vt:i4>5</vt:i4>
      </vt:variant>
      <vt:variant>
        <vt:lpwstr/>
      </vt:variant>
      <vt:variant>
        <vt:lpwstr>_Toc119082265</vt:lpwstr>
      </vt:variant>
      <vt:variant>
        <vt:i4>1179698</vt:i4>
      </vt:variant>
      <vt:variant>
        <vt:i4>194</vt:i4>
      </vt:variant>
      <vt:variant>
        <vt:i4>0</vt:i4>
      </vt:variant>
      <vt:variant>
        <vt:i4>5</vt:i4>
      </vt:variant>
      <vt:variant>
        <vt:lpwstr/>
      </vt:variant>
      <vt:variant>
        <vt:lpwstr>_Toc119082264</vt:lpwstr>
      </vt:variant>
      <vt:variant>
        <vt:i4>1179698</vt:i4>
      </vt:variant>
      <vt:variant>
        <vt:i4>188</vt:i4>
      </vt:variant>
      <vt:variant>
        <vt:i4>0</vt:i4>
      </vt:variant>
      <vt:variant>
        <vt:i4>5</vt:i4>
      </vt:variant>
      <vt:variant>
        <vt:lpwstr/>
      </vt:variant>
      <vt:variant>
        <vt:lpwstr>_Toc119082263</vt:lpwstr>
      </vt:variant>
      <vt:variant>
        <vt:i4>1179698</vt:i4>
      </vt:variant>
      <vt:variant>
        <vt:i4>182</vt:i4>
      </vt:variant>
      <vt:variant>
        <vt:i4>0</vt:i4>
      </vt:variant>
      <vt:variant>
        <vt:i4>5</vt:i4>
      </vt:variant>
      <vt:variant>
        <vt:lpwstr/>
      </vt:variant>
      <vt:variant>
        <vt:lpwstr>_Toc119082262</vt:lpwstr>
      </vt:variant>
      <vt:variant>
        <vt:i4>1179698</vt:i4>
      </vt:variant>
      <vt:variant>
        <vt:i4>176</vt:i4>
      </vt:variant>
      <vt:variant>
        <vt:i4>0</vt:i4>
      </vt:variant>
      <vt:variant>
        <vt:i4>5</vt:i4>
      </vt:variant>
      <vt:variant>
        <vt:lpwstr/>
      </vt:variant>
      <vt:variant>
        <vt:lpwstr>_Toc119082261</vt:lpwstr>
      </vt:variant>
      <vt:variant>
        <vt:i4>1179698</vt:i4>
      </vt:variant>
      <vt:variant>
        <vt:i4>170</vt:i4>
      </vt:variant>
      <vt:variant>
        <vt:i4>0</vt:i4>
      </vt:variant>
      <vt:variant>
        <vt:i4>5</vt:i4>
      </vt:variant>
      <vt:variant>
        <vt:lpwstr/>
      </vt:variant>
      <vt:variant>
        <vt:lpwstr>_Toc119082260</vt:lpwstr>
      </vt:variant>
      <vt:variant>
        <vt:i4>1114162</vt:i4>
      </vt:variant>
      <vt:variant>
        <vt:i4>164</vt:i4>
      </vt:variant>
      <vt:variant>
        <vt:i4>0</vt:i4>
      </vt:variant>
      <vt:variant>
        <vt:i4>5</vt:i4>
      </vt:variant>
      <vt:variant>
        <vt:lpwstr/>
      </vt:variant>
      <vt:variant>
        <vt:lpwstr>_Toc119082259</vt:lpwstr>
      </vt:variant>
      <vt:variant>
        <vt:i4>1114162</vt:i4>
      </vt:variant>
      <vt:variant>
        <vt:i4>158</vt:i4>
      </vt:variant>
      <vt:variant>
        <vt:i4>0</vt:i4>
      </vt:variant>
      <vt:variant>
        <vt:i4>5</vt:i4>
      </vt:variant>
      <vt:variant>
        <vt:lpwstr/>
      </vt:variant>
      <vt:variant>
        <vt:lpwstr>_Toc119082257</vt:lpwstr>
      </vt:variant>
      <vt:variant>
        <vt:i4>1114162</vt:i4>
      </vt:variant>
      <vt:variant>
        <vt:i4>152</vt:i4>
      </vt:variant>
      <vt:variant>
        <vt:i4>0</vt:i4>
      </vt:variant>
      <vt:variant>
        <vt:i4>5</vt:i4>
      </vt:variant>
      <vt:variant>
        <vt:lpwstr/>
      </vt:variant>
      <vt:variant>
        <vt:lpwstr>_Toc119082256</vt:lpwstr>
      </vt:variant>
      <vt:variant>
        <vt:i4>1114162</vt:i4>
      </vt:variant>
      <vt:variant>
        <vt:i4>146</vt:i4>
      </vt:variant>
      <vt:variant>
        <vt:i4>0</vt:i4>
      </vt:variant>
      <vt:variant>
        <vt:i4>5</vt:i4>
      </vt:variant>
      <vt:variant>
        <vt:lpwstr/>
      </vt:variant>
      <vt:variant>
        <vt:lpwstr>_Toc119082255</vt:lpwstr>
      </vt:variant>
      <vt:variant>
        <vt:i4>1114162</vt:i4>
      </vt:variant>
      <vt:variant>
        <vt:i4>140</vt:i4>
      </vt:variant>
      <vt:variant>
        <vt:i4>0</vt:i4>
      </vt:variant>
      <vt:variant>
        <vt:i4>5</vt:i4>
      </vt:variant>
      <vt:variant>
        <vt:lpwstr/>
      </vt:variant>
      <vt:variant>
        <vt:lpwstr>_Toc119082254</vt:lpwstr>
      </vt:variant>
      <vt:variant>
        <vt:i4>1114162</vt:i4>
      </vt:variant>
      <vt:variant>
        <vt:i4>134</vt:i4>
      </vt:variant>
      <vt:variant>
        <vt:i4>0</vt:i4>
      </vt:variant>
      <vt:variant>
        <vt:i4>5</vt:i4>
      </vt:variant>
      <vt:variant>
        <vt:lpwstr/>
      </vt:variant>
      <vt:variant>
        <vt:lpwstr>_Toc119082253</vt:lpwstr>
      </vt:variant>
      <vt:variant>
        <vt:i4>1114162</vt:i4>
      </vt:variant>
      <vt:variant>
        <vt:i4>128</vt:i4>
      </vt:variant>
      <vt:variant>
        <vt:i4>0</vt:i4>
      </vt:variant>
      <vt:variant>
        <vt:i4>5</vt:i4>
      </vt:variant>
      <vt:variant>
        <vt:lpwstr/>
      </vt:variant>
      <vt:variant>
        <vt:lpwstr>_Toc119082252</vt:lpwstr>
      </vt:variant>
      <vt:variant>
        <vt:i4>1114162</vt:i4>
      </vt:variant>
      <vt:variant>
        <vt:i4>122</vt:i4>
      </vt:variant>
      <vt:variant>
        <vt:i4>0</vt:i4>
      </vt:variant>
      <vt:variant>
        <vt:i4>5</vt:i4>
      </vt:variant>
      <vt:variant>
        <vt:lpwstr/>
      </vt:variant>
      <vt:variant>
        <vt:lpwstr>_Toc119082251</vt:lpwstr>
      </vt:variant>
      <vt:variant>
        <vt:i4>1114162</vt:i4>
      </vt:variant>
      <vt:variant>
        <vt:i4>116</vt:i4>
      </vt:variant>
      <vt:variant>
        <vt:i4>0</vt:i4>
      </vt:variant>
      <vt:variant>
        <vt:i4>5</vt:i4>
      </vt:variant>
      <vt:variant>
        <vt:lpwstr/>
      </vt:variant>
      <vt:variant>
        <vt:lpwstr>_Toc119082250</vt:lpwstr>
      </vt:variant>
      <vt:variant>
        <vt:i4>1048626</vt:i4>
      </vt:variant>
      <vt:variant>
        <vt:i4>110</vt:i4>
      </vt:variant>
      <vt:variant>
        <vt:i4>0</vt:i4>
      </vt:variant>
      <vt:variant>
        <vt:i4>5</vt:i4>
      </vt:variant>
      <vt:variant>
        <vt:lpwstr/>
      </vt:variant>
      <vt:variant>
        <vt:lpwstr>_Toc119082247</vt:lpwstr>
      </vt:variant>
      <vt:variant>
        <vt:i4>1048626</vt:i4>
      </vt:variant>
      <vt:variant>
        <vt:i4>104</vt:i4>
      </vt:variant>
      <vt:variant>
        <vt:i4>0</vt:i4>
      </vt:variant>
      <vt:variant>
        <vt:i4>5</vt:i4>
      </vt:variant>
      <vt:variant>
        <vt:lpwstr/>
      </vt:variant>
      <vt:variant>
        <vt:lpwstr>_Toc119082245</vt:lpwstr>
      </vt:variant>
      <vt:variant>
        <vt:i4>1048626</vt:i4>
      </vt:variant>
      <vt:variant>
        <vt:i4>98</vt:i4>
      </vt:variant>
      <vt:variant>
        <vt:i4>0</vt:i4>
      </vt:variant>
      <vt:variant>
        <vt:i4>5</vt:i4>
      </vt:variant>
      <vt:variant>
        <vt:lpwstr/>
      </vt:variant>
      <vt:variant>
        <vt:lpwstr>_Toc119082244</vt:lpwstr>
      </vt:variant>
      <vt:variant>
        <vt:i4>1048626</vt:i4>
      </vt:variant>
      <vt:variant>
        <vt:i4>92</vt:i4>
      </vt:variant>
      <vt:variant>
        <vt:i4>0</vt:i4>
      </vt:variant>
      <vt:variant>
        <vt:i4>5</vt:i4>
      </vt:variant>
      <vt:variant>
        <vt:lpwstr/>
      </vt:variant>
      <vt:variant>
        <vt:lpwstr>_Toc119082243</vt:lpwstr>
      </vt:variant>
      <vt:variant>
        <vt:i4>1048626</vt:i4>
      </vt:variant>
      <vt:variant>
        <vt:i4>86</vt:i4>
      </vt:variant>
      <vt:variant>
        <vt:i4>0</vt:i4>
      </vt:variant>
      <vt:variant>
        <vt:i4>5</vt:i4>
      </vt:variant>
      <vt:variant>
        <vt:lpwstr/>
      </vt:variant>
      <vt:variant>
        <vt:lpwstr>_Toc119082242</vt:lpwstr>
      </vt:variant>
      <vt:variant>
        <vt:i4>1048626</vt:i4>
      </vt:variant>
      <vt:variant>
        <vt:i4>80</vt:i4>
      </vt:variant>
      <vt:variant>
        <vt:i4>0</vt:i4>
      </vt:variant>
      <vt:variant>
        <vt:i4>5</vt:i4>
      </vt:variant>
      <vt:variant>
        <vt:lpwstr/>
      </vt:variant>
      <vt:variant>
        <vt:lpwstr>_Toc119082241</vt:lpwstr>
      </vt:variant>
      <vt:variant>
        <vt:i4>1048626</vt:i4>
      </vt:variant>
      <vt:variant>
        <vt:i4>74</vt:i4>
      </vt:variant>
      <vt:variant>
        <vt:i4>0</vt:i4>
      </vt:variant>
      <vt:variant>
        <vt:i4>5</vt:i4>
      </vt:variant>
      <vt:variant>
        <vt:lpwstr/>
      </vt:variant>
      <vt:variant>
        <vt:lpwstr>_Toc119082240</vt:lpwstr>
      </vt:variant>
      <vt:variant>
        <vt:i4>1507378</vt:i4>
      </vt:variant>
      <vt:variant>
        <vt:i4>68</vt:i4>
      </vt:variant>
      <vt:variant>
        <vt:i4>0</vt:i4>
      </vt:variant>
      <vt:variant>
        <vt:i4>5</vt:i4>
      </vt:variant>
      <vt:variant>
        <vt:lpwstr/>
      </vt:variant>
      <vt:variant>
        <vt:lpwstr>_Toc119082239</vt:lpwstr>
      </vt:variant>
      <vt:variant>
        <vt:i4>1507378</vt:i4>
      </vt:variant>
      <vt:variant>
        <vt:i4>62</vt:i4>
      </vt:variant>
      <vt:variant>
        <vt:i4>0</vt:i4>
      </vt:variant>
      <vt:variant>
        <vt:i4>5</vt:i4>
      </vt:variant>
      <vt:variant>
        <vt:lpwstr/>
      </vt:variant>
      <vt:variant>
        <vt:lpwstr>_Toc119082238</vt:lpwstr>
      </vt:variant>
      <vt:variant>
        <vt:i4>1507378</vt:i4>
      </vt:variant>
      <vt:variant>
        <vt:i4>56</vt:i4>
      </vt:variant>
      <vt:variant>
        <vt:i4>0</vt:i4>
      </vt:variant>
      <vt:variant>
        <vt:i4>5</vt:i4>
      </vt:variant>
      <vt:variant>
        <vt:lpwstr/>
      </vt:variant>
      <vt:variant>
        <vt:lpwstr>_Toc119082237</vt:lpwstr>
      </vt:variant>
      <vt:variant>
        <vt:i4>1507378</vt:i4>
      </vt:variant>
      <vt:variant>
        <vt:i4>50</vt:i4>
      </vt:variant>
      <vt:variant>
        <vt:i4>0</vt:i4>
      </vt:variant>
      <vt:variant>
        <vt:i4>5</vt:i4>
      </vt:variant>
      <vt:variant>
        <vt:lpwstr/>
      </vt:variant>
      <vt:variant>
        <vt:lpwstr>_Toc119082236</vt:lpwstr>
      </vt:variant>
      <vt:variant>
        <vt:i4>1507378</vt:i4>
      </vt:variant>
      <vt:variant>
        <vt:i4>44</vt:i4>
      </vt:variant>
      <vt:variant>
        <vt:i4>0</vt:i4>
      </vt:variant>
      <vt:variant>
        <vt:i4>5</vt:i4>
      </vt:variant>
      <vt:variant>
        <vt:lpwstr/>
      </vt:variant>
      <vt:variant>
        <vt:lpwstr>_Toc119082235</vt:lpwstr>
      </vt:variant>
      <vt:variant>
        <vt:i4>1507378</vt:i4>
      </vt:variant>
      <vt:variant>
        <vt:i4>38</vt:i4>
      </vt:variant>
      <vt:variant>
        <vt:i4>0</vt:i4>
      </vt:variant>
      <vt:variant>
        <vt:i4>5</vt:i4>
      </vt:variant>
      <vt:variant>
        <vt:lpwstr/>
      </vt:variant>
      <vt:variant>
        <vt:lpwstr>_Toc119082234</vt:lpwstr>
      </vt:variant>
      <vt:variant>
        <vt:i4>1507378</vt:i4>
      </vt:variant>
      <vt:variant>
        <vt:i4>32</vt:i4>
      </vt:variant>
      <vt:variant>
        <vt:i4>0</vt:i4>
      </vt:variant>
      <vt:variant>
        <vt:i4>5</vt:i4>
      </vt:variant>
      <vt:variant>
        <vt:lpwstr/>
      </vt:variant>
      <vt:variant>
        <vt:lpwstr>_Toc119082233</vt:lpwstr>
      </vt:variant>
      <vt:variant>
        <vt:i4>1507378</vt:i4>
      </vt:variant>
      <vt:variant>
        <vt:i4>26</vt:i4>
      </vt:variant>
      <vt:variant>
        <vt:i4>0</vt:i4>
      </vt:variant>
      <vt:variant>
        <vt:i4>5</vt:i4>
      </vt:variant>
      <vt:variant>
        <vt:lpwstr/>
      </vt:variant>
      <vt:variant>
        <vt:lpwstr>_Toc119082231</vt:lpwstr>
      </vt:variant>
      <vt:variant>
        <vt:i4>1507378</vt:i4>
      </vt:variant>
      <vt:variant>
        <vt:i4>20</vt:i4>
      </vt:variant>
      <vt:variant>
        <vt:i4>0</vt:i4>
      </vt:variant>
      <vt:variant>
        <vt:i4>5</vt:i4>
      </vt:variant>
      <vt:variant>
        <vt:lpwstr/>
      </vt:variant>
      <vt:variant>
        <vt:lpwstr>_Toc119082230</vt:lpwstr>
      </vt:variant>
      <vt:variant>
        <vt:i4>1441842</vt:i4>
      </vt:variant>
      <vt:variant>
        <vt:i4>14</vt:i4>
      </vt:variant>
      <vt:variant>
        <vt:i4>0</vt:i4>
      </vt:variant>
      <vt:variant>
        <vt:i4>5</vt:i4>
      </vt:variant>
      <vt:variant>
        <vt:lpwstr/>
      </vt:variant>
      <vt:variant>
        <vt:lpwstr>_Toc119082229</vt:lpwstr>
      </vt:variant>
      <vt:variant>
        <vt:i4>1441842</vt:i4>
      </vt:variant>
      <vt:variant>
        <vt:i4>8</vt:i4>
      </vt:variant>
      <vt:variant>
        <vt:i4>0</vt:i4>
      </vt:variant>
      <vt:variant>
        <vt:i4>5</vt:i4>
      </vt:variant>
      <vt:variant>
        <vt:lpwstr/>
      </vt:variant>
      <vt:variant>
        <vt:lpwstr>_Toc119082228</vt:lpwstr>
      </vt:variant>
      <vt:variant>
        <vt:i4>1441842</vt:i4>
      </vt:variant>
      <vt:variant>
        <vt:i4>2</vt:i4>
      </vt:variant>
      <vt:variant>
        <vt:i4>0</vt:i4>
      </vt:variant>
      <vt:variant>
        <vt:i4>5</vt:i4>
      </vt:variant>
      <vt:variant>
        <vt:lpwstr/>
      </vt:variant>
      <vt:variant>
        <vt:lpwstr>_Toc119082227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ΕΙΣΗΓΗΤΙΚΗ ΕΚΘΕΣΗ ΠΥ 2026</dc:title>
  <dc:subject/>
  <dc:creator>dpgk_d</dc:creator>
  <cp:keywords/>
  <dc:description/>
  <cp:lastModifiedBy>Αιμιλία Ζωγράφου</cp:lastModifiedBy>
  <cp:revision>3</cp:revision>
  <cp:lastPrinted>2025-11-19T20:51:00Z</cp:lastPrinted>
  <dcterms:created xsi:type="dcterms:W3CDTF">2025-11-20T09:23:00Z</dcterms:created>
  <dcterms:modified xsi:type="dcterms:W3CDTF">2025-11-20T09:23:00Z</dcterms:modified>
</cp:coreProperties>
</file>